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947" w:rsidRPr="004B18B2" w:rsidRDefault="005B5947" w:rsidP="005B5947">
      <w:pPr>
        <w:shd w:val="clear" w:color="auto" w:fill="000000"/>
        <w:spacing w:after="200"/>
        <w:jc w:val="center"/>
        <w:rPr>
          <w:rFonts w:ascii="Arial" w:eastAsia="Cambria" w:hAnsi="Arial" w:cs="Arial"/>
          <w:color w:val="FFFFFF"/>
        </w:rPr>
      </w:pPr>
      <w:proofErr w:type="spellStart"/>
      <w:r w:rsidRPr="004B18B2">
        <w:rPr>
          <w:rFonts w:ascii="Arial" w:eastAsia="Cambria" w:hAnsi="Arial" w:cs="Arial"/>
          <w:color w:val="FFFFFF"/>
        </w:rPr>
        <w:t>Charltons</w:t>
      </w:r>
      <w:proofErr w:type="spellEnd"/>
      <w:r w:rsidRPr="004B18B2">
        <w:rPr>
          <w:rFonts w:ascii="Arial" w:eastAsia="Cambria" w:hAnsi="Arial" w:cs="Arial"/>
          <w:color w:val="FFFFFF"/>
        </w:rPr>
        <w:t xml:space="preserve"> - Hong Kong Law - </w:t>
      </w:r>
      <w:r w:rsidR="003B77F5">
        <w:rPr>
          <w:rFonts w:ascii="Arial" w:eastAsia="Cambria" w:hAnsi="Arial" w:cs="Arial"/>
          <w:color w:val="FFFFFF"/>
        </w:rPr>
        <w:t>01</w:t>
      </w:r>
      <w:r w:rsidRPr="004B18B2">
        <w:rPr>
          <w:rFonts w:ascii="Arial" w:eastAsia="Cambria" w:hAnsi="Arial" w:cs="Arial"/>
          <w:color w:val="FFFFFF"/>
        </w:rPr>
        <w:t xml:space="preserve"> </w:t>
      </w:r>
      <w:r w:rsidR="003B77F5">
        <w:rPr>
          <w:rFonts w:ascii="Arial" w:eastAsia="Cambria" w:hAnsi="Arial" w:cs="Arial"/>
          <w:color w:val="FFFFFF"/>
        </w:rPr>
        <w:t>December</w:t>
      </w:r>
      <w:r w:rsidRPr="004B18B2">
        <w:rPr>
          <w:rFonts w:ascii="Arial" w:eastAsia="Cambria" w:hAnsi="Arial" w:cs="Arial"/>
          <w:color w:val="FFFFFF"/>
        </w:rPr>
        <w:t xml:space="preserve"> 2023</w:t>
      </w:r>
    </w:p>
    <w:p w:rsidR="005B5947" w:rsidRDefault="00000000" w:rsidP="005B5947">
      <w:pPr>
        <w:spacing w:after="200"/>
        <w:jc w:val="center"/>
        <w:rPr>
          <w:rFonts w:ascii="Arial" w:hAnsi="Arial" w:cs="Arial"/>
          <w:b/>
          <w:color w:val="FF0000"/>
          <w:sz w:val="20"/>
          <w:szCs w:val="20"/>
        </w:rPr>
      </w:pPr>
      <w:hyperlink r:id="rId8" w:history="1">
        <w:r w:rsidR="005B5947" w:rsidRPr="004B18B2">
          <w:rPr>
            <w:rStyle w:val="a3"/>
            <w:rFonts w:ascii="Arial" w:eastAsia="Cambria" w:hAnsi="Arial" w:cs="Arial"/>
            <w:sz w:val="28"/>
          </w:rPr>
          <w:t>online version</w:t>
        </w:r>
      </w:hyperlink>
    </w:p>
    <w:p w:rsidR="00224363" w:rsidRPr="002D57D8" w:rsidRDefault="00457FFE" w:rsidP="00224363">
      <w:pPr>
        <w:pStyle w:val="a4"/>
        <w:rPr>
          <w:rFonts w:ascii="Arial" w:hAnsi="Arial" w:cs="Arial"/>
          <w:color w:val="FF0000"/>
          <w:sz w:val="20"/>
          <w:szCs w:val="20"/>
        </w:rPr>
      </w:pPr>
      <w:proofErr w:type="spellStart"/>
      <w:r w:rsidRPr="002D57D8">
        <w:rPr>
          <w:rFonts w:ascii="Arial" w:hAnsi="Arial" w:cs="Arial"/>
          <w:color w:val="FF0000"/>
          <w:sz w:val="20"/>
          <w:szCs w:val="20"/>
        </w:rPr>
        <w:t>HKEx</w:t>
      </w:r>
      <w:proofErr w:type="spellEnd"/>
      <w:r w:rsidRPr="002D57D8">
        <w:rPr>
          <w:rFonts w:ascii="Arial" w:hAnsi="Arial" w:cs="Arial"/>
          <w:color w:val="FF0000"/>
          <w:sz w:val="20"/>
          <w:szCs w:val="20"/>
        </w:rPr>
        <w:t xml:space="preserve"> Publishes </w:t>
      </w:r>
      <w:r w:rsidR="00C9134C">
        <w:rPr>
          <w:rFonts w:ascii="Arial" w:hAnsi="Arial" w:cs="Arial"/>
          <w:color w:val="FF0000"/>
          <w:sz w:val="20"/>
          <w:szCs w:val="20"/>
        </w:rPr>
        <w:t xml:space="preserve">Analysis of </w:t>
      </w:r>
      <w:r w:rsidRPr="002D57D8">
        <w:rPr>
          <w:rFonts w:ascii="Arial" w:hAnsi="Arial" w:cs="Arial"/>
          <w:color w:val="FF0000"/>
          <w:sz w:val="20"/>
          <w:szCs w:val="20"/>
        </w:rPr>
        <w:t xml:space="preserve">Corporate Governance Practice </w:t>
      </w:r>
      <w:r w:rsidR="00FE3565" w:rsidRPr="002D57D8">
        <w:rPr>
          <w:rFonts w:ascii="Arial" w:hAnsi="Arial" w:cs="Arial"/>
          <w:color w:val="FF0000"/>
          <w:sz w:val="20"/>
          <w:szCs w:val="20"/>
        </w:rPr>
        <w:t>Disclosure</w:t>
      </w:r>
      <w:r w:rsidR="00B23853" w:rsidRPr="002D57D8">
        <w:rPr>
          <w:rFonts w:ascii="Arial" w:hAnsi="Arial" w:cs="Arial"/>
          <w:color w:val="FF0000"/>
          <w:sz w:val="20"/>
          <w:szCs w:val="20"/>
        </w:rPr>
        <w:t xml:space="preserve"> </w:t>
      </w:r>
    </w:p>
    <w:p w:rsidR="002D57D8" w:rsidRDefault="00457FFE" w:rsidP="001E683C">
      <w:pPr>
        <w:jc w:val="both"/>
        <w:rPr>
          <w:rFonts w:ascii="Arial" w:hAnsi="Arial" w:cs="Arial"/>
          <w:sz w:val="20"/>
          <w:szCs w:val="20"/>
        </w:rPr>
      </w:pPr>
      <w:r w:rsidRPr="002D57D8">
        <w:rPr>
          <w:rFonts w:ascii="Arial" w:hAnsi="Arial" w:cs="Arial"/>
          <w:color w:val="000000" w:themeColor="text1"/>
          <w:sz w:val="20"/>
          <w:szCs w:val="20"/>
        </w:rPr>
        <w:t>On 17 November 2023, The Stock Exchange of Hong Kong Limited (</w:t>
      </w:r>
      <w:proofErr w:type="spellStart"/>
      <w:r w:rsidRPr="002D57D8">
        <w:rPr>
          <w:rFonts w:ascii="Arial" w:hAnsi="Arial" w:cs="Arial"/>
          <w:b/>
          <w:color w:val="000000" w:themeColor="text1"/>
          <w:sz w:val="20"/>
          <w:szCs w:val="20"/>
        </w:rPr>
        <w:t>HKEx</w:t>
      </w:r>
      <w:proofErr w:type="spellEnd"/>
      <w:r w:rsidR="003B28E6" w:rsidRPr="002D57D8">
        <w:rPr>
          <w:rFonts w:ascii="Arial" w:hAnsi="Arial" w:cs="Arial"/>
          <w:color w:val="000000" w:themeColor="text1"/>
          <w:sz w:val="20"/>
          <w:szCs w:val="20"/>
        </w:rPr>
        <w:t>)</w:t>
      </w:r>
      <w:r w:rsidR="005A50D2">
        <w:rPr>
          <w:rFonts w:ascii="Arial" w:hAnsi="Arial" w:cs="Arial"/>
          <w:color w:val="000000" w:themeColor="text1"/>
          <w:sz w:val="20"/>
          <w:szCs w:val="20"/>
        </w:rPr>
        <w:t xml:space="preserve"> published its</w:t>
      </w:r>
      <w:r w:rsidR="007C0ECC" w:rsidRPr="002D57D8">
        <w:rPr>
          <w:rFonts w:ascii="Arial" w:hAnsi="Arial" w:cs="Arial"/>
          <w:color w:val="000000" w:themeColor="text1"/>
          <w:sz w:val="20"/>
          <w:szCs w:val="20"/>
        </w:rPr>
        <w:t xml:space="preserve"> “</w:t>
      </w:r>
      <w:hyperlink r:id="rId9" w:history="1">
        <w:r w:rsidR="007C0ECC" w:rsidRPr="002D57D8">
          <w:rPr>
            <w:rStyle w:val="a3"/>
            <w:rFonts w:ascii="Arial" w:hAnsi="Arial" w:cs="Arial"/>
            <w:sz w:val="20"/>
            <w:szCs w:val="20"/>
          </w:rPr>
          <w:t>Analysis of 2022 Corporate Governance Practice Disclosure</w:t>
        </w:r>
      </w:hyperlink>
      <w:r w:rsidR="007C0ECC" w:rsidRPr="002D57D8">
        <w:rPr>
          <w:rFonts w:ascii="Arial" w:hAnsi="Arial" w:cs="Arial"/>
          <w:color w:val="000000" w:themeColor="text1"/>
          <w:sz w:val="20"/>
          <w:szCs w:val="20"/>
        </w:rPr>
        <w:t xml:space="preserve">”, setting out </w:t>
      </w:r>
      <w:r w:rsidR="005A50D2">
        <w:rPr>
          <w:rFonts w:ascii="Arial" w:hAnsi="Arial" w:cs="Arial"/>
          <w:color w:val="000000" w:themeColor="text1"/>
          <w:sz w:val="20"/>
          <w:szCs w:val="20"/>
        </w:rPr>
        <w:t xml:space="preserve">its findings and </w:t>
      </w:r>
      <w:r w:rsidR="00C61298">
        <w:rPr>
          <w:rFonts w:ascii="Arial" w:hAnsi="Arial" w:cs="Arial"/>
          <w:color w:val="000000" w:themeColor="text1"/>
          <w:sz w:val="20"/>
          <w:szCs w:val="20"/>
        </w:rPr>
        <w:t>guidance following</w:t>
      </w:r>
      <w:r w:rsidR="005A50D2">
        <w:rPr>
          <w:rFonts w:ascii="Arial" w:hAnsi="Arial" w:cs="Arial"/>
          <w:color w:val="000000" w:themeColor="text1"/>
          <w:sz w:val="20"/>
          <w:szCs w:val="20"/>
        </w:rPr>
        <w:t xml:space="preserve"> its</w:t>
      </w:r>
      <w:r w:rsidR="00901C30" w:rsidRPr="002D57D8">
        <w:rPr>
          <w:rFonts w:ascii="Arial" w:hAnsi="Arial" w:cs="Arial"/>
          <w:color w:val="000000" w:themeColor="text1"/>
          <w:sz w:val="20"/>
          <w:szCs w:val="20"/>
        </w:rPr>
        <w:t xml:space="preserve"> latest review of </w:t>
      </w:r>
      <w:r w:rsidR="00701817" w:rsidRPr="002D57D8">
        <w:rPr>
          <w:rFonts w:ascii="Arial" w:hAnsi="Arial" w:cs="Arial"/>
          <w:color w:val="000000" w:themeColor="text1"/>
          <w:sz w:val="20"/>
          <w:szCs w:val="20"/>
        </w:rPr>
        <w:t xml:space="preserve">listed companies’ compliance with the </w:t>
      </w:r>
      <w:hyperlink r:id="rId10" w:history="1">
        <w:r w:rsidR="00701817" w:rsidRPr="002D57D8">
          <w:rPr>
            <w:rStyle w:val="a3"/>
            <w:rFonts w:ascii="Arial" w:hAnsi="Arial" w:cs="Arial"/>
            <w:sz w:val="20"/>
            <w:szCs w:val="20"/>
          </w:rPr>
          <w:t>Corporate Governance Code</w:t>
        </w:r>
      </w:hyperlink>
      <w:r w:rsidR="00701817" w:rsidRPr="002D57D8">
        <w:rPr>
          <w:rFonts w:ascii="Arial" w:hAnsi="Arial" w:cs="Arial"/>
          <w:color w:val="000000" w:themeColor="text1"/>
          <w:sz w:val="20"/>
          <w:szCs w:val="20"/>
        </w:rPr>
        <w:t xml:space="preserve"> (</w:t>
      </w:r>
      <w:r w:rsidR="00C61298">
        <w:rPr>
          <w:rFonts w:ascii="Arial" w:hAnsi="Arial" w:cs="Arial"/>
          <w:b/>
          <w:color w:val="000000" w:themeColor="text1"/>
          <w:sz w:val="20"/>
          <w:szCs w:val="20"/>
        </w:rPr>
        <w:t>Corporate Governance Code</w:t>
      </w:r>
      <w:r w:rsidR="00701817" w:rsidRPr="002D57D8">
        <w:rPr>
          <w:rFonts w:ascii="Arial" w:hAnsi="Arial" w:cs="Arial"/>
          <w:color w:val="000000" w:themeColor="text1"/>
          <w:sz w:val="20"/>
          <w:szCs w:val="20"/>
        </w:rPr>
        <w:t>)</w:t>
      </w:r>
      <w:r w:rsidR="00E52AD3">
        <w:rPr>
          <w:rFonts w:ascii="Arial" w:hAnsi="Arial" w:cs="Arial"/>
          <w:color w:val="000000" w:themeColor="text1"/>
          <w:sz w:val="20"/>
          <w:szCs w:val="20"/>
        </w:rPr>
        <w:t>.</w:t>
      </w:r>
      <w:r w:rsidR="002D57D8">
        <w:rPr>
          <w:rStyle w:val="a9"/>
          <w:rFonts w:ascii="Arial" w:hAnsi="Arial" w:cs="Arial"/>
          <w:color w:val="000000" w:themeColor="text1"/>
          <w:sz w:val="20"/>
          <w:szCs w:val="20"/>
        </w:rPr>
        <w:footnoteReference w:id="1"/>
      </w:r>
      <w:r w:rsidR="00701817" w:rsidRPr="002D57D8">
        <w:rPr>
          <w:rFonts w:ascii="Arial" w:hAnsi="Arial" w:cs="Arial"/>
          <w:color w:val="000000" w:themeColor="text1"/>
          <w:sz w:val="20"/>
          <w:szCs w:val="20"/>
        </w:rPr>
        <w:t xml:space="preserve"> </w:t>
      </w:r>
      <w:r w:rsidR="00650A76" w:rsidRPr="002D57D8">
        <w:rPr>
          <w:rFonts w:ascii="Arial" w:hAnsi="Arial" w:cs="Arial"/>
          <w:sz w:val="20"/>
          <w:szCs w:val="20"/>
        </w:rPr>
        <w:t xml:space="preserve">The </w:t>
      </w:r>
      <w:proofErr w:type="spellStart"/>
      <w:r w:rsidR="00650A76" w:rsidRPr="002D57D8">
        <w:rPr>
          <w:rFonts w:ascii="Arial" w:hAnsi="Arial" w:cs="Arial"/>
          <w:sz w:val="20"/>
          <w:szCs w:val="20"/>
        </w:rPr>
        <w:t>HKEx</w:t>
      </w:r>
      <w:proofErr w:type="spellEnd"/>
      <w:r w:rsidR="00650A76" w:rsidRPr="002D57D8">
        <w:rPr>
          <w:rFonts w:ascii="Arial" w:hAnsi="Arial" w:cs="Arial"/>
          <w:sz w:val="20"/>
          <w:szCs w:val="20"/>
        </w:rPr>
        <w:t xml:space="preserve"> reviewed the </w:t>
      </w:r>
      <w:r w:rsidR="00B9033B" w:rsidRPr="002D57D8">
        <w:rPr>
          <w:rFonts w:ascii="Arial" w:hAnsi="Arial" w:cs="Arial"/>
          <w:sz w:val="20"/>
          <w:szCs w:val="20"/>
        </w:rPr>
        <w:t>corporate governance reports</w:t>
      </w:r>
      <w:r w:rsidR="00E71934" w:rsidRPr="002D57D8">
        <w:rPr>
          <w:rFonts w:ascii="Arial" w:hAnsi="Arial" w:cs="Arial"/>
          <w:sz w:val="20"/>
          <w:szCs w:val="20"/>
        </w:rPr>
        <w:t xml:space="preserve"> (</w:t>
      </w:r>
      <w:r w:rsidR="00C61298">
        <w:rPr>
          <w:rFonts w:ascii="Arial" w:hAnsi="Arial" w:cs="Arial"/>
          <w:b/>
          <w:sz w:val="20"/>
          <w:szCs w:val="20"/>
        </w:rPr>
        <w:t>Corporate Governance Report</w:t>
      </w:r>
      <w:r w:rsidR="00E71934" w:rsidRPr="002D57D8">
        <w:rPr>
          <w:rFonts w:ascii="Arial" w:hAnsi="Arial" w:cs="Arial"/>
          <w:b/>
          <w:sz w:val="20"/>
          <w:szCs w:val="20"/>
        </w:rPr>
        <w:t>s</w:t>
      </w:r>
      <w:r w:rsidR="00E71934" w:rsidRPr="002D57D8">
        <w:rPr>
          <w:rFonts w:ascii="Arial" w:hAnsi="Arial" w:cs="Arial"/>
          <w:sz w:val="20"/>
          <w:szCs w:val="20"/>
        </w:rPr>
        <w:t>)</w:t>
      </w:r>
      <w:r w:rsidR="00B9033B" w:rsidRPr="002D57D8">
        <w:rPr>
          <w:rFonts w:ascii="Arial" w:hAnsi="Arial" w:cs="Arial"/>
          <w:sz w:val="20"/>
          <w:szCs w:val="20"/>
        </w:rPr>
        <w:t xml:space="preserve"> and disclosures </w:t>
      </w:r>
      <w:r w:rsidR="00650A76" w:rsidRPr="002D57D8">
        <w:rPr>
          <w:rFonts w:ascii="Arial" w:hAnsi="Arial" w:cs="Arial"/>
          <w:sz w:val="20"/>
          <w:szCs w:val="20"/>
        </w:rPr>
        <w:t xml:space="preserve">of 400 </w:t>
      </w:r>
      <w:r w:rsidR="00C61298">
        <w:rPr>
          <w:rFonts w:ascii="Arial" w:hAnsi="Arial" w:cs="Arial"/>
          <w:sz w:val="20"/>
          <w:szCs w:val="20"/>
        </w:rPr>
        <w:t xml:space="preserve">randomly selected </w:t>
      </w:r>
      <w:r w:rsidR="00650A76" w:rsidRPr="002D57D8">
        <w:rPr>
          <w:rFonts w:ascii="Arial" w:hAnsi="Arial" w:cs="Arial"/>
          <w:sz w:val="20"/>
          <w:szCs w:val="20"/>
        </w:rPr>
        <w:t>listed companies</w:t>
      </w:r>
      <w:r w:rsidR="003C5307" w:rsidRPr="002D57D8">
        <w:rPr>
          <w:rFonts w:ascii="Arial" w:hAnsi="Arial" w:cs="Arial"/>
          <w:sz w:val="20"/>
          <w:szCs w:val="20"/>
        </w:rPr>
        <w:t>,</w:t>
      </w:r>
      <w:r w:rsidR="00650A76" w:rsidRPr="002D57D8">
        <w:rPr>
          <w:rFonts w:ascii="Arial" w:hAnsi="Arial" w:cs="Arial"/>
          <w:sz w:val="20"/>
          <w:szCs w:val="20"/>
        </w:rPr>
        <w:t xml:space="preserve"> representing 15.8% of all listed </w:t>
      </w:r>
      <w:r w:rsidR="00F06C80">
        <w:rPr>
          <w:rFonts w:ascii="Arial" w:hAnsi="Arial" w:cs="Arial"/>
          <w:sz w:val="20"/>
          <w:szCs w:val="20"/>
        </w:rPr>
        <w:t>companies</w:t>
      </w:r>
      <w:r w:rsidR="00650A76" w:rsidRPr="002D57D8">
        <w:rPr>
          <w:rFonts w:ascii="Arial" w:hAnsi="Arial" w:cs="Arial"/>
          <w:sz w:val="20"/>
          <w:szCs w:val="20"/>
        </w:rPr>
        <w:t xml:space="preserve"> as of 31 December 2022. </w:t>
      </w:r>
      <w:r w:rsidR="0002787E">
        <w:rPr>
          <w:rFonts w:ascii="Arial" w:hAnsi="Arial" w:cs="Arial"/>
          <w:sz w:val="20"/>
          <w:szCs w:val="20"/>
        </w:rPr>
        <w:t xml:space="preserve">It </w:t>
      </w:r>
      <w:r w:rsidR="00CA07EB">
        <w:rPr>
          <w:rFonts w:ascii="Arial" w:hAnsi="Arial" w:cs="Arial"/>
          <w:sz w:val="20"/>
          <w:szCs w:val="20"/>
        </w:rPr>
        <w:t xml:space="preserve">focused particularly on assessing </w:t>
      </w:r>
      <w:r w:rsidR="0002787E">
        <w:rPr>
          <w:rFonts w:ascii="Arial" w:hAnsi="Arial" w:cs="Arial"/>
          <w:sz w:val="20"/>
          <w:szCs w:val="20"/>
        </w:rPr>
        <w:t xml:space="preserve">compliance with </w:t>
      </w:r>
      <w:r w:rsidR="00B9033B" w:rsidRPr="002D57D8">
        <w:rPr>
          <w:rFonts w:ascii="Arial" w:hAnsi="Arial" w:cs="Arial"/>
          <w:sz w:val="20"/>
          <w:szCs w:val="20"/>
        </w:rPr>
        <w:t xml:space="preserve">the </w:t>
      </w:r>
      <w:r w:rsidR="0002787E">
        <w:rPr>
          <w:rFonts w:ascii="Arial" w:hAnsi="Arial" w:cs="Arial"/>
          <w:sz w:val="20"/>
          <w:szCs w:val="20"/>
        </w:rPr>
        <w:t>new Corporate Governance Code</w:t>
      </w:r>
      <w:r w:rsidR="0002787E" w:rsidRPr="002D57D8">
        <w:rPr>
          <w:rFonts w:ascii="Arial" w:hAnsi="Arial" w:cs="Arial"/>
          <w:sz w:val="20"/>
          <w:szCs w:val="20"/>
        </w:rPr>
        <w:t xml:space="preserve"> </w:t>
      </w:r>
      <w:r w:rsidR="00CA07EB">
        <w:rPr>
          <w:rFonts w:ascii="Arial" w:hAnsi="Arial" w:cs="Arial"/>
          <w:sz w:val="20"/>
          <w:szCs w:val="20"/>
        </w:rPr>
        <w:t>requirements introduced o</w:t>
      </w:r>
      <w:r w:rsidR="0002787E">
        <w:rPr>
          <w:rFonts w:ascii="Arial" w:hAnsi="Arial" w:cs="Arial"/>
          <w:sz w:val="20"/>
          <w:szCs w:val="20"/>
        </w:rPr>
        <w:t xml:space="preserve">n </w:t>
      </w:r>
      <w:r w:rsidR="00CA07EB">
        <w:rPr>
          <w:rFonts w:ascii="Arial" w:hAnsi="Arial" w:cs="Arial"/>
          <w:sz w:val="20"/>
          <w:szCs w:val="20"/>
        </w:rPr>
        <w:t xml:space="preserve">1 January </w:t>
      </w:r>
      <w:r w:rsidR="0002787E">
        <w:rPr>
          <w:rFonts w:ascii="Arial" w:hAnsi="Arial" w:cs="Arial"/>
          <w:sz w:val="20"/>
          <w:szCs w:val="20"/>
        </w:rPr>
        <w:t>2022 (</w:t>
      </w:r>
      <w:r w:rsidR="0002787E">
        <w:rPr>
          <w:rFonts w:ascii="Arial" w:hAnsi="Arial" w:cs="Arial"/>
          <w:b/>
          <w:sz w:val="20"/>
          <w:szCs w:val="20"/>
        </w:rPr>
        <w:t>2022 Update</w:t>
      </w:r>
      <w:r w:rsidR="0002787E" w:rsidRPr="0002787E">
        <w:rPr>
          <w:rFonts w:ascii="Arial" w:hAnsi="Arial" w:cs="Arial"/>
          <w:sz w:val="20"/>
          <w:szCs w:val="20"/>
        </w:rPr>
        <w:t>)</w:t>
      </w:r>
      <w:r w:rsidR="0002787E">
        <w:rPr>
          <w:rFonts w:ascii="Arial" w:hAnsi="Arial" w:cs="Arial"/>
          <w:sz w:val="20"/>
          <w:szCs w:val="20"/>
        </w:rPr>
        <w:t xml:space="preserve">, </w:t>
      </w:r>
      <w:r w:rsidR="00CA07EB">
        <w:rPr>
          <w:rFonts w:ascii="Arial" w:hAnsi="Arial" w:cs="Arial"/>
          <w:sz w:val="20"/>
          <w:szCs w:val="20"/>
        </w:rPr>
        <w:t>including those relating to</w:t>
      </w:r>
      <w:r w:rsidR="00B9033B" w:rsidRPr="002D57D8">
        <w:rPr>
          <w:rFonts w:ascii="Arial" w:hAnsi="Arial" w:cs="Arial"/>
          <w:sz w:val="20"/>
          <w:szCs w:val="20"/>
        </w:rPr>
        <w:t xml:space="preserve"> </w:t>
      </w:r>
      <w:r w:rsidR="00CD6166" w:rsidRPr="002D57D8">
        <w:rPr>
          <w:rFonts w:ascii="Arial" w:hAnsi="Arial" w:cs="Arial"/>
          <w:sz w:val="20"/>
          <w:szCs w:val="20"/>
        </w:rPr>
        <w:t>corporate culture, long-serving INEDs, diversity</w:t>
      </w:r>
      <w:r w:rsidR="00780FC3">
        <w:rPr>
          <w:rFonts w:ascii="Arial" w:hAnsi="Arial" w:cs="Arial"/>
          <w:sz w:val="20"/>
          <w:szCs w:val="20"/>
        </w:rPr>
        <w:t>,</w:t>
      </w:r>
      <w:r w:rsidR="00CD6166" w:rsidRPr="002D57D8">
        <w:rPr>
          <w:rFonts w:ascii="Arial" w:hAnsi="Arial" w:cs="Arial"/>
          <w:sz w:val="20"/>
          <w:szCs w:val="20"/>
        </w:rPr>
        <w:t xml:space="preserve"> and risk management and internal controls. </w:t>
      </w:r>
      <w:r w:rsidRPr="002D57D8">
        <w:rPr>
          <w:rFonts w:ascii="Arial" w:hAnsi="Arial" w:cs="Arial"/>
          <w:sz w:val="20"/>
          <w:szCs w:val="20"/>
        </w:rPr>
        <w:t xml:space="preserve">Generally, the </w:t>
      </w:r>
      <w:proofErr w:type="spellStart"/>
      <w:r w:rsidRPr="002D57D8">
        <w:rPr>
          <w:rFonts w:ascii="Arial" w:hAnsi="Arial" w:cs="Arial"/>
          <w:sz w:val="20"/>
          <w:szCs w:val="20"/>
        </w:rPr>
        <w:t>HKEx</w:t>
      </w:r>
      <w:proofErr w:type="spellEnd"/>
      <w:r w:rsidRPr="002D57D8">
        <w:rPr>
          <w:rFonts w:ascii="Arial" w:hAnsi="Arial" w:cs="Arial"/>
          <w:sz w:val="20"/>
          <w:szCs w:val="20"/>
        </w:rPr>
        <w:t xml:space="preserve"> observed </w:t>
      </w:r>
      <w:r w:rsidR="00780FC3">
        <w:rPr>
          <w:rFonts w:ascii="Arial" w:hAnsi="Arial" w:cs="Arial"/>
          <w:sz w:val="20"/>
          <w:szCs w:val="20"/>
        </w:rPr>
        <w:t xml:space="preserve">an </w:t>
      </w:r>
      <w:r w:rsidR="007C0ECC" w:rsidRPr="002D57D8">
        <w:rPr>
          <w:rFonts w:ascii="Arial" w:hAnsi="Arial" w:cs="Arial"/>
          <w:sz w:val="20"/>
          <w:szCs w:val="20"/>
        </w:rPr>
        <w:t xml:space="preserve">overall </w:t>
      </w:r>
      <w:r w:rsidRPr="002D57D8">
        <w:rPr>
          <w:rFonts w:ascii="Arial" w:hAnsi="Arial" w:cs="Arial"/>
          <w:sz w:val="20"/>
          <w:szCs w:val="20"/>
        </w:rPr>
        <w:t xml:space="preserve">improvement </w:t>
      </w:r>
      <w:r w:rsidR="007C0ECC" w:rsidRPr="002D57D8">
        <w:rPr>
          <w:rFonts w:ascii="Arial" w:hAnsi="Arial" w:cs="Arial"/>
          <w:sz w:val="20"/>
          <w:szCs w:val="20"/>
        </w:rPr>
        <w:t xml:space="preserve">in compliance with the </w:t>
      </w:r>
      <w:r w:rsidR="00C61298">
        <w:rPr>
          <w:rFonts w:ascii="Arial" w:hAnsi="Arial" w:cs="Arial"/>
          <w:sz w:val="20"/>
          <w:szCs w:val="20"/>
        </w:rPr>
        <w:t>Corporate Governance Code</w:t>
      </w:r>
      <w:r w:rsidR="007C0ECC" w:rsidRPr="002D57D8">
        <w:rPr>
          <w:rFonts w:ascii="Arial" w:hAnsi="Arial" w:cs="Arial"/>
          <w:sz w:val="20"/>
          <w:szCs w:val="20"/>
        </w:rPr>
        <w:t xml:space="preserve"> compared to previous reviews. </w:t>
      </w:r>
    </w:p>
    <w:p w:rsidR="00457FFE" w:rsidRPr="00457FFE" w:rsidRDefault="002D57D8" w:rsidP="00D24DEF">
      <w:pPr>
        <w:jc w:val="both"/>
        <w:rPr>
          <w:rFonts w:ascii="Arial" w:hAnsi="Arial" w:cs="Arial"/>
          <w:sz w:val="20"/>
          <w:szCs w:val="20"/>
        </w:rPr>
      </w:pPr>
      <w:r>
        <w:rPr>
          <w:rFonts w:ascii="Arial" w:hAnsi="Arial" w:cs="Arial"/>
          <w:sz w:val="20"/>
          <w:szCs w:val="20"/>
        </w:rPr>
        <w:t xml:space="preserve">For a summary of the 2022 Update, please see </w:t>
      </w:r>
      <w:hyperlink r:id="rId11" w:anchor=":~:text=Corporate%20Governance%20Code%20and%20related,effect%20on%201%20January%202023." w:history="1">
        <w:proofErr w:type="spellStart"/>
        <w:r w:rsidRPr="002D57D8">
          <w:rPr>
            <w:rStyle w:val="a3"/>
            <w:rFonts w:ascii="Arial" w:hAnsi="Arial" w:cs="Arial"/>
            <w:sz w:val="20"/>
            <w:szCs w:val="20"/>
          </w:rPr>
          <w:t>Charltons</w:t>
        </w:r>
        <w:proofErr w:type="spellEnd"/>
        <w:r w:rsidRPr="002D57D8">
          <w:rPr>
            <w:rStyle w:val="a3"/>
            <w:rFonts w:ascii="Arial" w:hAnsi="Arial" w:cs="Arial"/>
            <w:sz w:val="20"/>
            <w:szCs w:val="20"/>
          </w:rPr>
          <w:t>’ January 2022 newsletter</w:t>
        </w:r>
      </w:hyperlink>
      <w:r>
        <w:rPr>
          <w:rFonts w:ascii="Arial" w:hAnsi="Arial" w:cs="Arial"/>
          <w:sz w:val="20"/>
          <w:szCs w:val="20"/>
        </w:rPr>
        <w:t xml:space="preserve">. </w:t>
      </w:r>
    </w:p>
    <w:p w:rsidR="00CD6166" w:rsidRPr="002D57D8" w:rsidRDefault="00457FFE" w:rsidP="00D24DEF">
      <w:pPr>
        <w:jc w:val="both"/>
        <w:rPr>
          <w:rFonts w:ascii="Arial" w:hAnsi="Arial" w:cs="Arial"/>
          <w:color w:val="FF0000"/>
          <w:sz w:val="20"/>
          <w:szCs w:val="20"/>
        </w:rPr>
      </w:pPr>
      <w:r w:rsidRPr="002D57D8">
        <w:rPr>
          <w:rFonts w:ascii="Arial" w:hAnsi="Arial" w:cs="Arial"/>
          <w:b/>
          <w:color w:val="FF0000"/>
          <w:sz w:val="20"/>
          <w:szCs w:val="20"/>
        </w:rPr>
        <w:t xml:space="preserve">Key Findings </w:t>
      </w:r>
      <w:r w:rsidR="00C67F1F">
        <w:rPr>
          <w:rFonts w:ascii="Arial" w:hAnsi="Arial" w:cs="Arial"/>
          <w:b/>
          <w:color w:val="FF0000"/>
          <w:sz w:val="20"/>
          <w:szCs w:val="20"/>
        </w:rPr>
        <w:t>and Recommendations</w:t>
      </w:r>
    </w:p>
    <w:p w:rsidR="00CD6166" w:rsidRPr="002D57D8" w:rsidRDefault="001475F3" w:rsidP="002D57D8">
      <w:pPr>
        <w:ind w:left="-76" w:firstLine="76"/>
        <w:jc w:val="both"/>
        <w:rPr>
          <w:rFonts w:ascii="Arial" w:hAnsi="Arial" w:cs="Arial"/>
          <w:b/>
          <w:sz w:val="20"/>
          <w:szCs w:val="20"/>
        </w:rPr>
      </w:pPr>
      <w:r>
        <w:rPr>
          <w:rFonts w:ascii="Arial" w:hAnsi="Arial" w:cs="Arial"/>
          <w:b/>
          <w:sz w:val="20"/>
          <w:szCs w:val="20"/>
        </w:rPr>
        <w:t>Corporate C</w:t>
      </w:r>
      <w:r w:rsidR="00457FFE" w:rsidRPr="002D57D8">
        <w:rPr>
          <w:rFonts w:ascii="Arial" w:hAnsi="Arial" w:cs="Arial"/>
          <w:b/>
          <w:sz w:val="20"/>
          <w:szCs w:val="20"/>
        </w:rPr>
        <w:t xml:space="preserve">ulture </w:t>
      </w:r>
    </w:p>
    <w:p w:rsidR="006D25B2" w:rsidRPr="002D57D8" w:rsidRDefault="003B614B" w:rsidP="00C47C6E">
      <w:pPr>
        <w:jc w:val="both"/>
        <w:rPr>
          <w:rFonts w:ascii="Arial" w:hAnsi="Arial" w:cs="Arial"/>
          <w:sz w:val="20"/>
          <w:szCs w:val="20"/>
        </w:rPr>
      </w:pPr>
      <w:r w:rsidRPr="00091CE4">
        <w:rPr>
          <w:rFonts w:ascii="Arial" w:hAnsi="Arial" w:cs="Arial"/>
          <w:sz w:val="20"/>
          <w:szCs w:val="20"/>
        </w:rPr>
        <w:t>Code Provision</w:t>
      </w:r>
      <w:r>
        <w:rPr>
          <w:rFonts w:ascii="Arial" w:hAnsi="Arial" w:cs="Arial"/>
          <w:sz w:val="20"/>
          <w:szCs w:val="20"/>
        </w:rPr>
        <w:t xml:space="preserve"> (</w:t>
      </w:r>
      <w:r w:rsidRPr="00342151">
        <w:rPr>
          <w:rFonts w:ascii="Arial" w:hAnsi="Arial" w:cs="Arial"/>
          <w:b/>
          <w:sz w:val="20"/>
          <w:szCs w:val="20"/>
        </w:rPr>
        <w:t>CP</w:t>
      </w:r>
      <w:r>
        <w:rPr>
          <w:rFonts w:ascii="Arial" w:hAnsi="Arial" w:cs="Arial"/>
          <w:sz w:val="20"/>
          <w:szCs w:val="20"/>
        </w:rPr>
        <w:t>)</w:t>
      </w:r>
      <w:r w:rsidRPr="00091CE4">
        <w:rPr>
          <w:rStyle w:val="a9"/>
          <w:rFonts w:ascii="Arial" w:hAnsi="Arial" w:cs="Arial"/>
          <w:sz w:val="20"/>
          <w:szCs w:val="20"/>
        </w:rPr>
        <w:footnoteReference w:id="2"/>
      </w:r>
      <w:r w:rsidRPr="00091CE4">
        <w:rPr>
          <w:rFonts w:ascii="Arial" w:hAnsi="Arial" w:cs="Arial"/>
          <w:sz w:val="20"/>
          <w:szCs w:val="20"/>
        </w:rPr>
        <w:t xml:space="preserve"> </w:t>
      </w:r>
      <w:r w:rsidR="00F06C80" w:rsidRPr="00091CE4">
        <w:rPr>
          <w:rFonts w:ascii="Arial" w:hAnsi="Arial" w:cs="Arial"/>
          <w:sz w:val="20"/>
          <w:szCs w:val="20"/>
        </w:rPr>
        <w:t>A.1.1</w:t>
      </w:r>
      <w:r w:rsidR="00F06C80">
        <w:rPr>
          <w:rFonts w:ascii="Arial" w:hAnsi="Arial" w:cs="Arial"/>
          <w:sz w:val="20"/>
          <w:szCs w:val="20"/>
        </w:rPr>
        <w:t xml:space="preserve"> </w:t>
      </w:r>
      <w:r w:rsidR="001D6500">
        <w:rPr>
          <w:rFonts w:ascii="Arial" w:hAnsi="Arial" w:cs="Arial"/>
          <w:sz w:val="20"/>
          <w:szCs w:val="20"/>
        </w:rPr>
        <w:t xml:space="preserve">was </w:t>
      </w:r>
      <w:r w:rsidR="00457FFE" w:rsidRPr="00091CE4">
        <w:rPr>
          <w:rFonts w:ascii="Arial" w:hAnsi="Arial" w:cs="Arial"/>
          <w:sz w:val="20"/>
          <w:szCs w:val="20"/>
        </w:rPr>
        <w:t xml:space="preserve">newly implemented as </w:t>
      </w:r>
      <w:r w:rsidR="007C0ECC" w:rsidRPr="00091CE4">
        <w:rPr>
          <w:rFonts w:ascii="Arial" w:hAnsi="Arial" w:cs="Arial"/>
          <w:sz w:val="20"/>
          <w:szCs w:val="20"/>
        </w:rPr>
        <w:t>part of the 2022 U</w:t>
      </w:r>
      <w:r w:rsidR="00457FFE" w:rsidRPr="00091CE4">
        <w:rPr>
          <w:rFonts w:ascii="Arial" w:hAnsi="Arial" w:cs="Arial"/>
          <w:sz w:val="20"/>
          <w:szCs w:val="20"/>
        </w:rPr>
        <w:t xml:space="preserve">pdate </w:t>
      </w:r>
      <w:r w:rsidR="001D6500">
        <w:rPr>
          <w:rFonts w:ascii="Arial" w:hAnsi="Arial" w:cs="Arial"/>
          <w:sz w:val="20"/>
          <w:szCs w:val="20"/>
        </w:rPr>
        <w:t xml:space="preserve">and </w:t>
      </w:r>
      <w:proofErr w:type="spellStart"/>
      <w:r w:rsidR="007C0ECC" w:rsidRPr="00091CE4">
        <w:rPr>
          <w:rFonts w:ascii="Arial" w:hAnsi="Arial" w:cs="Arial"/>
          <w:sz w:val="20"/>
          <w:szCs w:val="20"/>
        </w:rPr>
        <w:t>emphasis</w:t>
      </w:r>
      <w:r w:rsidR="00457FFE" w:rsidRPr="00091CE4">
        <w:rPr>
          <w:rFonts w:ascii="Arial" w:hAnsi="Arial" w:cs="Arial"/>
          <w:sz w:val="20"/>
          <w:szCs w:val="20"/>
        </w:rPr>
        <w:t>ed</w:t>
      </w:r>
      <w:proofErr w:type="spellEnd"/>
      <w:r w:rsidR="00457FFE" w:rsidRPr="00091CE4">
        <w:rPr>
          <w:rFonts w:ascii="Arial" w:hAnsi="Arial" w:cs="Arial"/>
          <w:sz w:val="20"/>
          <w:szCs w:val="20"/>
        </w:rPr>
        <w:t xml:space="preserve"> the responsibility of boards of listed companies to set</w:t>
      </w:r>
      <w:r w:rsidR="001D6500">
        <w:rPr>
          <w:rFonts w:ascii="Arial" w:hAnsi="Arial" w:cs="Arial"/>
          <w:sz w:val="20"/>
          <w:szCs w:val="20"/>
        </w:rPr>
        <w:t xml:space="preserve"> the companies’</w:t>
      </w:r>
      <w:r w:rsidR="00457FFE" w:rsidRPr="002D57D8">
        <w:rPr>
          <w:rFonts w:ascii="Arial" w:hAnsi="Arial" w:cs="Arial"/>
          <w:sz w:val="20"/>
          <w:szCs w:val="20"/>
        </w:rPr>
        <w:t xml:space="preserve"> purpose, values </w:t>
      </w:r>
      <w:r w:rsidR="001D6500">
        <w:rPr>
          <w:rFonts w:ascii="Arial" w:hAnsi="Arial" w:cs="Arial"/>
          <w:sz w:val="20"/>
          <w:szCs w:val="20"/>
        </w:rPr>
        <w:t xml:space="preserve">and </w:t>
      </w:r>
      <w:r w:rsidR="00457FFE" w:rsidRPr="002D57D8">
        <w:rPr>
          <w:rFonts w:ascii="Arial" w:hAnsi="Arial" w:cs="Arial"/>
          <w:sz w:val="20"/>
          <w:szCs w:val="20"/>
        </w:rPr>
        <w:t>strategy and make sure that</w:t>
      </w:r>
      <w:r w:rsidR="001D6500">
        <w:rPr>
          <w:rFonts w:ascii="Arial" w:hAnsi="Arial" w:cs="Arial"/>
          <w:sz w:val="20"/>
          <w:szCs w:val="20"/>
        </w:rPr>
        <w:t xml:space="preserve"> these </w:t>
      </w:r>
      <w:r w:rsidR="00B67FBD" w:rsidRPr="002D57D8">
        <w:rPr>
          <w:rFonts w:ascii="Arial" w:hAnsi="Arial" w:cs="Arial"/>
          <w:sz w:val="20"/>
          <w:szCs w:val="20"/>
        </w:rPr>
        <w:t xml:space="preserve">are in line with </w:t>
      </w:r>
      <w:r w:rsidR="001D6500">
        <w:rPr>
          <w:rFonts w:ascii="Arial" w:hAnsi="Arial" w:cs="Arial"/>
          <w:sz w:val="20"/>
          <w:szCs w:val="20"/>
        </w:rPr>
        <w:t>the listed companies’</w:t>
      </w:r>
      <w:r w:rsidR="00457FFE" w:rsidRPr="002D57D8">
        <w:rPr>
          <w:rFonts w:ascii="Arial" w:hAnsi="Arial" w:cs="Arial"/>
          <w:sz w:val="20"/>
          <w:szCs w:val="20"/>
        </w:rPr>
        <w:t xml:space="preserve"> cultures. It </w:t>
      </w:r>
      <w:r w:rsidR="001D6500">
        <w:rPr>
          <w:rFonts w:ascii="Arial" w:hAnsi="Arial" w:cs="Arial"/>
          <w:sz w:val="20"/>
          <w:szCs w:val="20"/>
        </w:rPr>
        <w:t>also requires listed company directors</w:t>
      </w:r>
      <w:r w:rsidR="00457FFE" w:rsidRPr="002D57D8">
        <w:rPr>
          <w:rFonts w:ascii="Arial" w:hAnsi="Arial" w:cs="Arial"/>
          <w:sz w:val="20"/>
          <w:szCs w:val="20"/>
        </w:rPr>
        <w:t xml:space="preserve"> to act with integrit</w:t>
      </w:r>
      <w:r w:rsidR="00E71934" w:rsidRPr="002D57D8">
        <w:rPr>
          <w:rFonts w:ascii="Arial" w:hAnsi="Arial" w:cs="Arial"/>
          <w:sz w:val="20"/>
          <w:szCs w:val="20"/>
        </w:rPr>
        <w:t xml:space="preserve">y and take active steps to promote the culture of the listed company. </w:t>
      </w:r>
    </w:p>
    <w:p w:rsidR="00E64BF4" w:rsidRDefault="00457FFE" w:rsidP="00C47C6E">
      <w:pPr>
        <w:jc w:val="both"/>
        <w:rPr>
          <w:rFonts w:ascii="Arial" w:hAnsi="Arial" w:cs="Arial"/>
          <w:sz w:val="20"/>
          <w:szCs w:val="20"/>
        </w:rPr>
      </w:pPr>
      <w:r w:rsidRPr="002D57D8">
        <w:rPr>
          <w:rFonts w:ascii="Arial" w:hAnsi="Arial" w:cs="Arial"/>
          <w:sz w:val="20"/>
          <w:szCs w:val="20"/>
        </w:rPr>
        <w:t xml:space="preserve">All of the listed companies </w:t>
      </w:r>
      <w:r w:rsidR="001D6500">
        <w:rPr>
          <w:rFonts w:ascii="Arial" w:hAnsi="Arial" w:cs="Arial"/>
          <w:sz w:val="20"/>
          <w:szCs w:val="20"/>
        </w:rPr>
        <w:t>sampled responded that they had</w:t>
      </w:r>
      <w:r w:rsidRPr="002D57D8">
        <w:rPr>
          <w:rFonts w:ascii="Arial" w:hAnsi="Arial" w:cs="Arial"/>
          <w:sz w:val="20"/>
          <w:szCs w:val="20"/>
        </w:rPr>
        <w:t xml:space="preserve"> </w:t>
      </w:r>
      <w:r w:rsidR="00053F51">
        <w:rPr>
          <w:rFonts w:ascii="Arial" w:hAnsi="Arial" w:cs="Arial"/>
          <w:sz w:val="20"/>
          <w:szCs w:val="20"/>
        </w:rPr>
        <w:t>compli</w:t>
      </w:r>
      <w:r w:rsidRPr="002D57D8">
        <w:rPr>
          <w:rFonts w:ascii="Arial" w:hAnsi="Arial" w:cs="Arial"/>
          <w:sz w:val="20"/>
          <w:szCs w:val="20"/>
        </w:rPr>
        <w:t xml:space="preserve">ed </w:t>
      </w:r>
      <w:r w:rsidR="00E64BF4">
        <w:rPr>
          <w:rFonts w:ascii="Arial" w:hAnsi="Arial" w:cs="Arial"/>
          <w:sz w:val="20"/>
          <w:szCs w:val="20"/>
        </w:rPr>
        <w:t>with CP A.1.1, although t</w:t>
      </w:r>
      <w:r w:rsidR="0008288D">
        <w:rPr>
          <w:rFonts w:ascii="Arial" w:hAnsi="Arial" w:cs="Arial"/>
          <w:sz w:val="20"/>
          <w:szCs w:val="20"/>
        </w:rPr>
        <w:t xml:space="preserve">he </w:t>
      </w:r>
      <w:proofErr w:type="spellStart"/>
      <w:r w:rsidR="0008288D">
        <w:rPr>
          <w:rFonts w:ascii="Arial" w:hAnsi="Arial" w:cs="Arial"/>
          <w:sz w:val="20"/>
          <w:szCs w:val="20"/>
        </w:rPr>
        <w:t>HKEx</w:t>
      </w:r>
      <w:proofErr w:type="spellEnd"/>
      <w:r w:rsidR="0008288D">
        <w:rPr>
          <w:rFonts w:ascii="Arial" w:hAnsi="Arial" w:cs="Arial"/>
          <w:sz w:val="20"/>
          <w:szCs w:val="20"/>
        </w:rPr>
        <w:t xml:space="preserve"> noted that some companies</w:t>
      </w:r>
      <w:r w:rsidR="00BA5017">
        <w:rPr>
          <w:rFonts w:ascii="Arial" w:hAnsi="Arial" w:cs="Arial"/>
          <w:sz w:val="20"/>
          <w:szCs w:val="20"/>
        </w:rPr>
        <w:t>’</w:t>
      </w:r>
      <w:r w:rsidR="00D33DB2">
        <w:rPr>
          <w:rFonts w:ascii="Arial" w:hAnsi="Arial" w:cs="Arial"/>
          <w:sz w:val="20"/>
          <w:szCs w:val="20"/>
        </w:rPr>
        <w:t xml:space="preserve"> disclosure</w:t>
      </w:r>
      <w:r w:rsidR="00BA5017">
        <w:rPr>
          <w:rFonts w:ascii="Arial" w:hAnsi="Arial" w:cs="Arial"/>
          <w:sz w:val="20"/>
          <w:szCs w:val="20"/>
        </w:rPr>
        <w:t xml:space="preserve"> lacked sufficient detail.</w:t>
      </w:r>
      <w:r w:rsidR="0008288D">
        <w:rPr>
          <w:rFonts w:ascii="Arial" w:hAnsi="Arial" w:cs="Arial"/>
          <w:sz w:val="20"/>
          <w:szCs w:val="20"/>
        </w:rPr>
        <w:t xml:space="preserve"> </w:t>
      </w:r>
      <w:r w:rsidR="00D33DB2">
        <w:rPr>
          <w:rFonts w:ascii="Arial" w:hAnsi="Arial" w:cs="Arial"/>
          <w:sz w:val="20"/>
          <w:szCs w:val="20"/>
        </w:rPr>
        <w:t xml:space="preserve">It </w:t>
      </w:r>
      <w:proofErr w:type="spellStart"/>
      <w:r w:rsidR="00D33DB2">
        <w:rPr>
          <w:rFonts w:ascii="Arial" w:hAnsi="Arial" w:cs="Arial"/>
          <w:sz w:val="20"/>
          <w:szCs w:val="20"/>
        </w:rPr>
        <w:t>emphasised</w:t>
      </w:r>
      <w:proofErr w:type="spellEnd"/>
      <w:r w:rsidR="00D33DB2">
        <w:rPr>
          <w:rFonts w:ascii="Arial" w:hAnsi="Arial" w:cs="Arial"/>
          <w:sz w:val="20"/>
          <w:szCs w:val="20"/>
        </w:rPr>
        <w:t xml:space="preserve"> that merely </w:t>
      </w:r>
      <w:r w:rsidR="00D33DB2" w:rsidRPr="00214492">
        <w:rPr>
          <w:rFonts w:ascii="Arial" w:hAnsi="Arial" w:cs="Arial"/>
          <w:sz w:val="20"/>
          <w:szCs w:val="20"/>
        </w:rPr>
        <w:t>descri</w:t>
      </w:r>
      <w:r w:rsidR="00D33DB2">
        <w:rPr>
          <w:rFonts w:ascii="Arial" w:hAnsi="Arial" w:cs="Arial"/>
          <w:sz w:val="20"/>
          <w:szCs w:val="20"/>
        </w:rPr>
        <w:t>bing</w:t>
      </w:r>
      <w:r w:rsidR="00D33DB2" w:rsidRPr="00214492">
        <w:rPr>
          <w:rFonts w:ascii="Arial" w:hAnsi="Arial" w:cs="Arial"/>
          <w:sz w:val="20"/>
          <w:szCs w:val="20"/>
        </w:rPr>
        <w:t xml:space="preserve"> </w:t>
      </w:r>
      <w:r w:rsidR="00D33DB2">
        <w:rPr>
          <w:rFonts w:ascii="Arial" w:hAnsi="Arial" w:cs="Arial"/>
          <w:sz w:val="20"/>
          <w:szCs w:val="20"/>
        </w:rPr>
        <w:t>a</w:t>
      </w:r>
      <w:r w:rsidR="00D33DB2" w:rsidRPr="00214492">
        <w:rPr>
          <w:rFonts w:ascii="Arial" w:hAnsi="Arial" w:cs="Arial"/>
          <w:sz w:val="20"/>
          <w:szCs w:val="20"/>
        </w:rPr>
        <w:t xml:space="preserve"> </w:t>
      </w:r>
      <w:r w:rsidR="00D33DB2">
        <w:rPr>
          <w:rFonts w:ascii="Arial" w:hAnsi="Arial" w:cs="Arial"/>
          <w:sz w:val="20"/>
          <w:szCs w:val="20"/>
        </w:rPr>
        <w:t>listed company’</w:t>
      </w:r>
      <w:r w:rsidR="00D33DB2" w:rsidRPr="00214492">
        <w:rPr>
          <w:rFonts w:ascii="Arial" w:hAnsi="Arial" w:cs="Arial"/>
          <w:sz w:val="20"/>
          <w:szCs w:val="20"/>
        </w:rPr>
        <w:t xml:space="preserve">s </w:t>
      </w:r>
      <w:r w:rsidR="00D33DB2">
        <w:rPr>
          <w:rFonts w:ascii="Arial" w:hAnsi="Arial" w:cs="Arial"/>
          <w:sz w:val="20"/>
          <w:szCs w:val="20"/>
        </w:rPr>
        <w:t xml:space="preserve">general </w:t>
      </w:r>
      <w:r w:rsidR="00D33DB2" w:rsidRPr="00214492">
        <w:rPr>
          <w:rFonts w:ascii="Arial" w:hAnsi="Arial" w:cs="Arial"/>
          <w:sz w:val="20"/>
          <w:szCs w:val="20"/>
        </w:rPr>
        <w:t>corporate governance approach</w:t>
      </w:r>
      <w:r w:rsidR="00D33DB2">
        <w:rPr>
          <w:rFonts w:ascii="Arial" w:hAnsi="Arial" w:cs="Arial"/>
          <w:sz w:val="20"/>
          <w:szCs w:val="20"/>
        </w:rPr>
        <w:t xml:space="preserve"> would not </w:t>
      </w:r>
      <w:r w:rsidR="00D33DB2" w:rsidRPr="00214492">
        <w:rPr>
          <w:rFonts w:ascii="Arial" w:hAnsi="Arial" w:cs="Arial"/>
          <w:sz w:val="20"/>
          <w:szCs w:val="20"/>
        </w:rPr>
        <w:t>offer adequate in</w:t>
      </w:r>
      <w:r w:rsidR="00A40848">
        <w:rPr>
          <w:rFonts w:ascii="Arial" w:hAnsi="Arial" w:cs="Arial"/>
          <w:sz w:val="20"/>
          <w:szCs w:val="20"/>
        </w:rPr>
        <w:t>formation regarding the company’</w:t>
      </w:r>
      <w:r w:rsidR="00D33DB2" w:rsidRPr="00214492">
        <w:rPr>
          <w:rFonts w:ascii="Arial" w:hAnsi="Arial" w:cs="Arial"/>
          <w:sz w:val="20"/>
          <w:szCs w:val="20"/>
        </w:rPr>
        <w:t>s culture and</w:t>
      </w:r>
      <w:r w:rsidR="00D33DB2">
        <w:rPr>
          <w:rFonts w:ascii="Arial" w:hAnsi="Arial" w:cs="Arial"/>
          <w:sz w:val="20"/>
          <w:szCs w:val="20"/>
        </w:rPr>
        <w:t xml:space="preserve"> its alignment with the company’s purpose, values</w:t>
      </w:r>
      <w:r w:rsidR="00D33DB2" w:rsidRPr="00214492">
        <w:rPr>
          <w:rFonts w:ascii="Arial" w:hAnsi="Arial" w:cs="Arial"/>
          <w:sz w:val="20"/>
          <w:szCs w:val="20"/>
        </w:rPr>
        <w:t xml:space="preserve"> and strategy</w:t>
      </w:r>
      <w:r w:rsidR="00D33DB2">
        <w:rPr>
          <w:rFonts w:ascii="Arial" w:hAnsi="Arial" w:cs="Arial"/>
          <w:sz w:val="20"/>
          <w:szCs w:val="20"/>
        </w:rPr>
        <w:t xml:space="preserve">. </w:t>
      </w:r>
      <w:r w:rsidRPr="002D57D8">
        <w:rPr>
          <w:rFonts w:ascii="Arial" w:hAnsi="Arial" w:cs="Arial"/>
          <w:sz w:val="20"/>
          <w:szCs w:val="20"/>
        </w:rPr>
        <w:t xml:space="preserve">The </w:t>
      </w:r>
      <w:proofErr w:type="spellStart"/>
      <w:r w:rsidRPr="002D57D8">
        <w:rPr>
          <w:rFonts w:ascii="Arial" w:hAnsi="Arial" w:cs="Arial"/>
          <w:sz w:val="20"/>
          <w:szCs w:val="20"/>
        </w:rPr>
        <w:t>HKEx</w:t>
      </w:r>
      <w:proofErr w:type="spellEnd"/>
      <w:r w:rsidRPr="002D57D8">
        <w:rPr>
          <w:rFonts w:ascii="Arial" w:hAnsi="Arial" w:cs="Arial"/>
          <w:sz w:val="20"/>
          <w:szCs w:val="20"/>
        </w:rPr>
        <w:t xml:space="preserve"> </w:t>
      </w:r>
      <w:r w:rsidR="00E64BF4">
        <w:rPr>
          <w:rFonts w:ascii="Arial" w:hAnsi="Arial" w:cs="Arial"/>
          <w:sz w:val="20"/>
          <w:szCs w:val="20"/>
        </w:rPr>
        <w:t>commente</w:t>
      </w:r>
      <w:r w:rsidRPr="002D57D8">
        <w:rPr>
          <w:rFonts w:ascii="Arial" w:hAnsi="Arial" w:cs="Arial"/>
          <w:sz w:val="20"/>
          <w:szCs w:val="20"/>
        </w:rPr>
        <w:t xml:space="preserve">d that </w:t>
      </w:r>
      <w:r w:rsidR="00A40848">
        <w:rPr>
          <w:rFonts w:ascii="Arial" w:hAnsi="Arial" w:cs="Arial"/>
          <w:sz w:val="20"/>
          <w:szCs w:val="20"/>
        </w:rPr>
        <w:t xml:space="preserve">good </w:t>
      </w:r>
      <w:r w:rsidRPr="002D57D8">
        <w:rPr>
          <w:rFonts w:ascii="Arial" w:hAnsi="Arial" w:cs="Arial"/>
          <w:sz w:val="20"/>
          <w:szCs w:val="20"/>
        </w:rPr>
        <w:t xml:space="preserve">disclosure </w:t>
      </w:r>
      <w:r w:rsidR="00E64BF4">
        <w:rPr>
          <w:rFonts w:ascii="Arial" w:hAnsi="Arial" w:cs="Arial"/>
          <w:sz w:val="20"/>
          <w:szCs w:val="20"/>
        </w:rPr>
        <w:t>requires</w:t>
      </w:r>
      <w:r w:rsidR="00E64BF4" w:rsidRPr="00E64BF4">
        <w:rPr>
          <w:rFonts w:ascii="Arial" w:hAnsi="Arial" w:cs="Arial"/>
          <w:sz w:val="20"/>
          <w:szCs w:val="20"/>
        </w:rPr>
        <w:t xml:space="preserve"> </w:t>
      </w:r>
      <w:r w:rsidR="00E64BF4" w:rsidRPr="00157B55">
        <w:rPr>
          <w:rFonts w:ascii="Arial" w:hAnsi="Arial" w:cs="Arial"/>
          <w:sz w:val="20"/>
          <w:szCs w:val="20"/>
        </w:rPr>
        <w:t>comprehensive disclosure</w:t>
      </w:r>
      <w:r w:rsidR="00E64BF4">
        <w:rPr>
          <w:rFonts w:ascii="Arial" w:hAnsi="Arial" w:cs="Arial"/>
          <w:sz w:val="20"/>
          <w:szCs w:val="20"/>
        </w:rPr>
        <w:t xml:space="preserve"> which should include:</w:t>
      </w:r>
    </w:p>
    <w:p w:rsidR="00E64BF4" w:rsidRDefault="00E64BF4" w:rsidP="00214492">
      <w:pPr>
        <w:pStyle w:val="a6"/>
        <w:numPr>
          <w:ilvl w:val="0"/>
          <w:numId w:val="5"/>
        </w:numPr>
        <w:ind w:left="426" w:hanging="426"/>
        <w:jc w:val="both"/>
        <w:rPr>
          <w:rFonts w:ascii="Arial" w:hAnsi="Arial" w:cs="Arial"/>
          <w:sz w:val="20"/>
          <w:szCs w:val="20"/>
        </w:rPr>
      </w:pPr>
      <w:r>
        <w:rPr>
          <w:rFonts w:ascii="Arial" w:hAnsi="Arial" w:cs="Arial"/>
          <w:sz w:val="20"/>
          <w:szCs w:val="20"/>
        </w:rPr>
        <w:t>details of</w:t>
      </w:r>
      <w:r w:rsidRPr="00214492">
        <w:rPr>
          <w:rFonts w:ascii="Arial" w:hAnsi="Arial" w:cs="Arial"/>
          <w:sz w:val="20"/>
          <w:szCs w:val="20"/>
        </w:rPr>
        <w:t xml:space="preserve"> the different factors considered by the board and directors when assessing the alignment of the </w:t>
      </w:r>
      <w:r>
        <w:rPr>
          <w:rFonts w:ascii="Arial" w:hAnsi="Arial" w:cs="Arial"/>
          <w:sz w:val="20"/>
          <w:szCs w:val="20"/>
        </w:rPr>
        <w:t>listed company’s</w:t>
      </w:r>
      <w:r w:rsidRPr="00214492">
        <w:rPr>
          <w:rFonts w:ascii="Arial" w:hAnsi="Arial" w:cs="Arial"/>
          <w:sz w:val="20"/>
          <w:szCs w:val="20"/>
        </w:rPr>
        <w:t xml:space="preserve"> purpose, values, and strategy with its culture</w:t>
      </w:r>
      <w:r>
        <w:rPr>
          <w:rFonts w:ascii="Arial" w:hAnsi="Arial" w:cs="Arial"/>
          <w:sz w:val="20"/>
          <w:szCs w:val="20"/>
        </w:rPr>
        <w:t>;</w:t>
      </w:r>
      <w:r w:rsidR="001E3C50">
        <w:rPr>
          <w:rFonts w:ascii="Arial" w:hAnsi="Arial" w:cs="Arial"/>
          <w:sz w:val="20"/>
          <w:szCs w:val="20"/>
        </w:rPr>
        <w:t xml:space="preserve"> and</w:t>
      </w:r>
    </w:p>
    <w:p w:rsidR="00794476" w:rsidRDefault="00794476" w:rsidP="00214492">
      <w:pPr>
        <w:pStyle w:val="a6"/>
        <w:ind w:left="426"/>
        <w:jc w:val="both"/>
        <w:rPr>
          <w:rFonts w:ascii="Arial" w:hAnsi="Arial" w:cs="Arial"/>
          <w:sz w:val="20"/>
          <w:szCs w:val="20"/>
        </w:rPr>
      </w:pPr>
    </w:p>
    <w:p w:rsidR="001E3C50" w:rsidRDefault="00457FFE" w:rsidP="00214492">
      <w:pPr>
        <w:pStyle w:val="a6"/>
        <w:numPr>
          <w:ilvl w:val="0"/>
          <w:numId w:val="5"/>
        </w:numPr>
        <w:ind w:left="426" w:hanging="426"/>
        <w:jc w:val="both"/>
        <w:rPr>
          <w:rFonts w:ascii="Arial" w:hAnsi="Arial" w:cs="Arial"/>
          <w:sz w:val="20"/>
          <w:szCs w:val="20"/>
        </w:rPr>
      </w:pPr>
      <w:r w:rsidRPr="00214492">
        <w:rPr>
          <w:rFonts w:ascii="Arial" w:hAnsi="Arial" w:cs="Arial"/>
          <w:sz w:val="20"/>
          <w:szCs w:val="20"/>
        </w:rPr>
        <w:t xml:space="preserve">how the desired culture </w:t>
      </w:r>
      <w:r w:rsidR="00794476">
        <w:rPr>
          <w:rFonts w:ascii="Arial" w:hAnsi="Arial" w:cs="Arial"/>
          <w:sz w:val="20"/>
          <w:szCs w:val="20"/>
        </w:rPr>
        <w:t>supports the achievement of the listed company</w:t>
      </w:r>
      <w:r w:rsidR="0008288D" w:rsidRPr="00214492">
        <w:rPr>
          <w:rFonts w:ascii="Arial" w:hAnsi="Arial" w:cs="Arial"/>
          <w:sz w:val="20"/>
          <w:szCs w:val="20"/>
        </w:rPr>
        <w:t>’</w:t>
      </w:r>
      <w:r w:rsidR="00794476">
        <w:rPr>
          <w:rFonts w:ascii="Arial" w:hAnsi="Arial" w:cs="Arial"/>
          <w:sz w:val="20"/>
          <w:szCs w:val="20"/>
        </w:rPr>
        <w:t>s</w:t>
      </w:r>
      <w:r w:rsidRPr="00214492">
        <w:rPr>
          <w:rFonts w:ascii="Arial" w:hAnsi="Arial" w:cs="Arial"/>
          <w:sz w:val="20"/>
          <w:szCs w:val="20"/>
        </w:rPr>
        <w:t xml:space="preserve"> </w:t>
      </w:r>
      <w:r w:rsidR="007F1A7D" w:rsidRPr="00214492">
        <w:rPr>
          <w:rFonts w:ascii="Arial" w:hAnsi="Arial" w:cs="Arial"/>
          <w:sz w:val="20"/>
          <w:szCs w:val="20"/>
        </w:rPr>
        <w:t xml:space="preserve">long-term </w:t>
      </w:r>
      <w:r w:rsidRPr="00214492">
        <w:rPr>
          <w:rFonts w:ascii="Arial" w:hAnsi="Arial" w:cs="Arial"/>
          <w:sz w:val="20"/>
          <w:szCs w:val="20"/>
        </w:rPr>
        <w:t xml:space="preserve">business objectives and how </w:t>
      </w:r>
      <w:r w:rsidR="00794476">
        <w:rPr>
          <w:rFonts w:ascii="Arial" w:hAnsi="Arial" w:cs="Arial"/>
          <w:sz w:val="20"/>
          <w:szCs w:val="20"/>
        </w:rPr>
        <w:t xml:space="preserve">it </w:t>
      </w:r>
      <w:r w:rsidRPr="00214492">
        <w:rPr>
          <w:rFonts w:ascii="Arial" w:hAnsi="Arial" w:cs="Arial"/>
          <w:sz w:val="20"/>
          <w:szCs w:val="20"/>
        </w:rPr>
        <w:t xml:space="preserve">is </w:t>
      </w:r>
      <w:r w:rsidR="00BA5017" w:rsidRPr="00214492">
        <w:rPr>
          <w:rFonts w:ascii="Arial" w:hAnsi="Arial" w:cs="Arial"/>
          <w:sz w:val="20"/>
          <w:szCs w:val="20"/>
        </w:rPr>
        <w:t xml:space="preserve">implemented </w:t>
      </w:r>
      <w:r w:rsidRPr="00214492">
        <w:rPr>
          <w:rFonts w:ascii="Arial" w:hAnsi="Arial" w:cs="Arial"/>
          <w:sz w:val="20"/>
          <w:szCs w:val="20"/>
        </w:rPr>
        <w:t xml:space="preserve">throughout the </w:t>
      </w:r>
      <w:r w:rsidR="00A40848" w:rsidRPr="00214492">
        <w:rPr>
          <w:rFonts w:ascii="Arial" w:hAnsi="Arial" w:cs="Arial"/>
          <w:sz w:val="20"/>
          <w:szCs w:val="20"/>
        </w:rPr>
        <w:t xml:space="preserve">entire </w:t>
      </w:r>
      <w:proofErr w:type="spellStart"/>
      <w:r w:rsidR="001E3C50">
        <w:rPr>
          <w:rFonts w:ascii="Arial" w:hAnsi="Arial" w:cs="Arial"/>
          <w:sz w:val="20"/>
          <w:szCs w:val="20"/>
        </w:rPr>
        <w:t>organisation</w:t>
      </w:r>
      <w:proofErr w:type="spellEnd"/>
      <w:r w:rsidR="001E3C50">
        <w:rPr>
          <w:rFonts w:ascii="Arial" w:hAnsi="Arial" w:cs="Arial"/>
          <w:sz w:val="20"/>
          <w:szCs w:val="20"/>
        </w:rPr>
        <w:t>.</w:t>
      </w:r>
      <w:r w:rsidR="00794476">
        <w:rPr>
          <w:rFonts w:ascii="Arial" w:hAnsi="Arial" w:cs="Arial"/>
          <w:sz w:val="20"/>
          <w:szCs w:val="20"/>
        </w:rPr>
        <w:t xml:space="preserve"> </w:t>
      </w:r>
    </w:p>
    <w:p w:rsidR="00B44955" w:rsidRPr="002D57D8" w:rsidRDefault="00457FFE">
      <w:pPr>
        <w:jc w:val="both"/>
        <w:rPr>
          <w:rFonts w:ascii="Arial" w:hAnsi="Arial" w:cs="Arial"/>
          <w:sz w:val="20"/>
          <w:szCs w:val="20"/>
        </w:rPr>
      </w:pPr>
      <w:r w:rsidRPr="002D57D8">
        <w:rPr>
          <w:rFonts w:ascii="Arial" w:hAnsi="Arial" w:cs="Arial"/>
          <w:sz w:val="20"/>
          <w:szCs w:val="20"/>
        </w:rPr>
        <w:t xml:space="preserve">Although the high level of compliance is promising, the </w:t>
      </w:r>
      <w:proofErr w:type="spellStart"/>
      <w:r w:rsidRPr="002D57D8">
        <w:rPr>
          <w:rFonts w:ascii="Arial" w:hAnsi="Arial" w:cs="Arial"/>
          <w:sz w:val="20"/>
          <w:szCs w:val="20"/>
        </w:rPr>
        <w:t>HKEx</w:t>
      </w:r>
      <w:proofErr w:type="spellEnd"/>
      <w:r w:rsidRPr="002D57D8">
        <w:rPr>
          <w:rFonts w:ascii="Arial" w:hAnsi="Arial" w:cs="Arial"/>
          <w:sz w:val="20"/>
          <w:szCs w:val="20"/>
        </w:rPr>
        <w:t xml:space="preserve"> also noted some </w:t>
      </w:r>
      <w:r w:rsidR="001E3C50">
        <w:rPr>
          <w:rFonts w:ascii="Arial" w:hAnsi="Arial" w:cs="Arial"/>
          <w:sz w:val="20"/>
          <w:szCs w:val="20"/>
        </w:rPr>
        <w:t>areas for</w:t>
      </w:r>
      <w:r w:rsidRPr="002D57D8">
        <w:rPr>
          <w:rFonts w:ascii="Arial" w:hAnsi="Arial" w:cs="Arial"/>
          <w:sz w:val="20"/>
          <w:szCs w:val="20"/>
        </w:rPr>
        <w:t xml:space="preserve"> improvement. </w:t>
      </w:r>
      <w:r w:rsidR="001E3C50">
        <w:rPr>
          <w:rFonts w:ascii="Arial" w:hAnsi="Arial" w:cs="Arial"/>
          <w:sz w:val="20"/>
          <w:szCs w:val="20"/>
        </w:rPr>
        <w:t>O</w:t>
      </w:r>
      <w:r w:rsidR="007F1A7D" w:rsidRPr="002D57D8">
        <w:rPr>
          <w:rFonts w:ascii="Arial" w:hAnsi="Arial" w:cs="Arial"/>
          <w:sz w:val="20"/>
          <w:szCs w:val="20"/>
        </w:rPr>
        <w:t xml:space="preserve">ver </w:t>
      </w:r>
      <w:r w:rsidRPr="002D57D8">
        <w:rPr>
          <w:rFonts w:ascii="Arial" w:hAnsi="Arial" w:cs="Arial"/>
          <w:sz w:val="20"/>
          <w:szCs w:val="20"/>
        </w:rPr>
        <w:t xml:space="preserve">half of the </w:t>
      </w:r>
      <w:r w:rsidR="00C61298">
        <w:rPr>
          <w:rFonts w:ascii="Arial" w:hAnsi="Arial" w:cs="Arial"/>
          <w:sz w:val="20"/>
          <w:szCs w:val="20"/>
        </w:rPr>
        <w:t>Corporate Governance Report</w:t>
      </w:r>
      <w:r w:rsidRPr="002D57D8">
        <w:rPr>
          <w:rFonts w:ascii="Arial" w:hAnsi="Arial" w:cs="Arial"/>
          <w:sz w:val="20"/>
          <w:szCs w:val="20"/>
        </w:rPr>
        <w:t xml:space="preserve">s reviewed </w:t>
      </w:r>
      <w:r w:rsidR="007F1A7D" w:rsidRPr="002D57D8">
        <w:rPr>
          <w:rFonts w:ascii="Arial" w:hAnsi="Arial" w:cs="Arial"/>
          <w:sz w:val="20"/>
          <w:szCs w:val="20"/>
        </w:rPr>
        <w:t>d</w:t>
      </w:r>
      <w:r w:rsidR="001E3C50">
        <w:rPr>
          <w:rFonts w:ascii="Arial" w:hAnsi="Arial" w:cs="Arial"/>
          <w:sz w:val="20"/>
          <w:szCs w:val="20"/>
        </w:rPr>
        <w:t>id</w:t>
      </w:r>
      <w:r w:rsidR="007F1A7D" w:rsidRPr="002D57D8">
        <w:rPr>
          <w:rFonts w:ascii="Arial" w:hAnsi="Arial" w:cs="Arial"/>
          <w:sz w:val="20"/>
          <w:szCs w:val="20"/>
        </w:rPr>
        <w:t xml:space="preserve"> not </w:t>
      </w:r>
      <w:r w:rsidR="001E3C50">
        <w:rPr>
          <w:rFonts w:ascii="Arial" w:hAnsi="Arial" w:cs="Arial"/>
          <w:sz w:val="20"/>
          <w:szCs w:val="20"/>
        </w:rPr>
        <w:t xml:space="preserve">include </w:t>
      </w:r>
      <w:r w:rsidR="007F1A7D" w:rsidRPr="002D57D8">
        <w:rPr>
          <w:rFonts w:ascii="Arial" w:hAnsi="Arial" w:cs="Arial"/>
          <w:sz w:val="20"/>
          <w:szCs w:val="20"/>
        </w:rPr>
        <w:t>a</w:t>
      </w:r>
      <w:r w:rsidRPr="002D57D8">
        <w:rPr>
          <w:rFonts w:ascii="Arial" w:hAnsi="Arial" w:cs="Arial"/>
          <w:sz w:val="20"/>
          <w:szCs w:val="20"/>
        </w:rPr>
        <w:t xml:space="preserve"> section dedicated specifical</w:t>
      </w:r>
      <w:r w:rsidR="007F1A7D" w:rsidRPr="002D57D8">
        <w:rPr>
          <w:rFonts w:ascii="Arial" w:hAnsi="Arial" w:cs="Arial"/>
          <w:sz w:val="20"/>
          <w:szCs w:val="20"/>
        </w:rPr>
        <w:t xml:space="preserve">ly to corporate culture and related disclosures </w:t>
      </w:r>
      <w:r w:rsidR="00832674">
        <w:rPr>
          <w:rFonts w:ascii="Arial" w:hAnsi="Arial" w:cs="Arial"/>
          <w:sz w:val="20"/>
          <w:szCs w:val="20"/>
        </w:rPr>
        <w:t xml:space="preserve">were </w:t>
      </w:r>
      <w:r w:rsidR="007F1A7D" w:rsidRPr="002D57D8">
        <w:rPr>
          <w:rFonts w:ascii="Arial" w:hAnsi="Arial" w:cs="Arial"/>
          <w:sz w:val="20"/>
          <w:szCs w:val="20"/>
        </w:rPr>
        <w:t xml:space="preserve">sometimes contained outside the </w:t>
      </w:r>
      <w:r w:rsidR="00C61298">
        <w:rPr>
          <w:rFonts w:ascii="Arial" w:hAnsi="Arial" w:cs="Arial"/>
          <w:sz w:val="20"/>
          <w:szCs w:val="20"/>
        </w:rPr>
        <w:t>Corporate Governance Report</w:t>
      </w:r>
      <w:r w:rsidR="007F1A7D" w:rsidRPr="002D57D8">
        <w:rPr>
          <w:rFonts w:ascii="Arial" w:hAnsi="Arial" w:cs="Arial"/>
          <w:sz w:val="20"/>
          <w:szCs w:val="20"/>
        </w:rPr>
        <w:t xml:space="preserve">, </w:t>
      </w:r>
      <w:r w:rsidR="00832674">
        <w:rPr>
          <w:rFonts w:ascii="Arial" w:hAnsi="Arial" w:cs="Arial"/>
          <w:sz w:val="20"/>
          <w:szCs w:val="20"/>
        </w:rPr>
        <w:t>for example in the ESG report, the chairman’s statement or the management discussion and analysis. Acknowledging that the Corporate Governance</w:t>
      </w:r>
      <w:r w:rsidR="00832674" w:rsidRPr="00214492">
        <w:rPr>
          <w:rFonts w:ascii="Arial" w:hAnsi="Arial" w:cs="Arial"/>
          <w:sz w:val="20"/>
          <w:szCs w:val="20"/>
        </w:rPr>
        <w:t xml:space="preserve"> Code does not specify the location </w:t>
      </w:r>
      <w:r w:rsidR="00832674">
        <w:rPr>
          <w:rFonts w:ascii="Arial" w:hAnsi="Arial" w:cs="Arial"/>
          <w:sz w:val="20"/>
          <w:szCs w:val="20"/>
        </w:rPr>
        <w:t>f</w:t>
      </w:r>
      <w:r w:rsidR="00832674" w:rsidRPr="00214492">
        <w:rPr>
          <w:rFonts w:ascii="Arial" w:hAnsi="Arial" w:cs="Arial"/>
          <w:sz w:val="20"/>
          <w:szCs w:val="20"/>
        </w:rPr>
        <w:t xml:space="preserve">or presentation of information on corporate culture, </w:t>
      </w:r>
      <w:r w:rsidR="00832674">
        <w:rPr>
          <w:rFonts w:ascii="Arial" w:hAnsi="Arial" w:cs="Arial"/>
          <w:sz w:val="20"/>
          <w:szCs w:val="20"/>
        </w:rPr>
        <w:t xml:space="preserve">the </w:t>
      </w:r>
      <w:proofErr w:type="spellStart"/>
      <w:r w:rsidR="00832674">
        <w:rPr>
          <w:rFonts w:ascii="Arial" w:hAnsi="Arial" w:cs="Arial"/>
          <w:sz w:val="20"/>
          <w:szCs w:val="20"/>
        </w:rPr>
        <w:t>HKEx</w:t>
      </w:r>
      <w:proofErr w:type="spellEnd"/>
      <w:r w:rsidR="00832674">
        <w:rPr>
          <w:rFonts w:ascii="Arial" w:hAnsi="Arial" w:cs="Arial"/>
          <w:sz w:val="20"/>
          <w:szCs w:val="20"/>
        </w:rPr>
        <w:t xml:space="preserve"> commented that </w:t>
      </w:r>
      <w:r w:rsidR="00832674" w:rsidRPr="00214492">
        <w:rPr>
          <w:rFonts w:ascii="Arial" w:hAnsi="Arial" w:cs="Arial"/>
          <w:sz w:val="20"/>
          <w:szCs w:val="20"/>
        </w:rPr>
        <w:t xml:space="preserve">appropriate cross-references </w:t>
      </w:r>
      <w:r w:rsidR="00832674">
        <w:rPr>
          <w:rFonts w:ascii="Arial" w:hAnsi="Arial" w:cs="Arial"/>
          <w:sz w:val="20"/>
          <w:szCs w:val="20"/>
        </w:rPr>
        <w:t xml:space="preserve">should be included </w:t>
      </w:r>
      <w:r w:rsidR="00832674" w:rsidRPr="00214492">
        <w:rPr>
          <w:rFonts w:ascii="Arial" w:hAnsi="Arial" w:cs="Arial"/>
          <w:sz w:val="20"/>
          <w:szCs w:val="20"/>
        </w:rPr>
        <w:t xml:space="preserve">in the </w:t>
      </w:r>
      <w:r w:rsidR="00832674">
        <w:rPr>
          <w:rFonts w:ascii="Arial" w:hAnsi="Arial" w:cs="Arial"/>
          <w:sz w:val="20"/>
          <w:szCs w:val="20"/>
        </w:rPr>
        <w:t xml:space="preserve">Corporate Governance Report if these disclosures are made </w:t>
      </w:r>
      <w:r w:rsidR="00832674" w:rsidRPr="00214492">
        <w:rPr>
          <w:rFonts w:ascii="Arial" w:hAnsi="Arial" w:cs="Arial"/>
          <w:sz w:val="20"/>
          <w:szCs w:val="20"/>
        </w:rPr>
        <w:t>outside of it. </w:t>
      </w:r>
      <w:r w:rsidR="007F1A7D" w:rsidRPr="002D57D8">
        <w:rPr>
          <w:rFonts w:ascii="Arial" w:hAnsi="Arial" w:cs="Arial"/>
          <w:sz w:val="20"/>
          <w:szCs w:val="20"/>
        </w:rPr>
        <w:t xml:space="preserve"> </w:t>
      </w:r>
    </w:p>
    <w:p w:rsidR="00B44955" w:rsidRPr="002D57D8" w:rsidRDefault="001475F3" w:rsidP="00C47C6E">
      <w:pPr>
        <w:jc w:val="both"/>
        <w:rPr>
          <w:rFonts w:ascii="Arial" w:hAnsi="Arial" w:cs="Arial"/>
          <w:b/>
          <w:sz w:val="20"/>
          <w:szCs w:val="20"/>
        </w:rPr>
      </w:pPr>
      <w:r>
        <w:rPr>
          <w:rFonts w:ascii="Arial" w:hAnsi="Arial" w:cs="Arial"/>
          <w:b/>
          <w:sz w:val="20"/>
          <w:szCs w:val="20"/>
        </w:rPr>
        <w:t>Reduction and R</w:t>
      </w:r>
      <w:r w:rsidR="00457FFE" w:rsidRPr="002D57D8">
        <w:rPr>
          <w:rFonts w:ascii="Arial" w:hAnsi="Arial" w:cs="Arial"/>
          <w:b/>
          <w:sz w:val="20"/>
          <w:szCs w:val="20"/>
        </w:rPr>
        <w:t xml:space="preserve">e-election of </w:t>
      </w:r>
      <w:r w:rsidR="00923B08">
        <w:rPr>
          <w:rFonts w:ascii="Arial" w:hAnsi="Arial" w:cs="Arial"/>
          <w:b/>
          <w:sz w:val="20"/>
          <w:szCs w:val="20"/>
        </w:rPr>
        <w:t>L</w:t>
      </w:r>
      <w:r w:rsidR="00457FFE" w:rsidRPr="002D57D8">
        <w:rPr>
          <w:rFonts w:ascii="Arial" w:hAnsi="Arial" w:cs="Arial"/>
          <w:b/>
          <w:sz w:val="20"/>
          <w:szCs w:val="20"/>
        </w:rPr>
        <w:t>ong-serving INEDs</w:t>
      </w:r>
    </w:p>
    <w:p w:rsidR="00B44955" w:rsidRPr="002D57D8" w:rsidRDefault="00091CE4" w:rsidP="00C47C6E">
      <w:pPr>
        <w:jc w:val="both"/>
        <w:rPr>
          <w:rFonts w:ascii="Arial" w:hAnsi="Arial" w:cs="Arial"/>
          <w:sz w:val="20"/>
          <w:szCs w:val="20"/>
        </w:rPr>
      </w:pPr>
      <w:r>
        <w:rPr>
          <w:rFonts w:ascii="Arial" w:hAnsi="Arial" w:cs="Arial"/>
          <w:sz w:val="20"/>
          <w:szCs w:val="20"/>
        </w:rPr>
        <w:t>In light of concerns that long-s</w:t>
      </w:r>
      <w:r w:rsidR="00457FFE" w:rsidRPr="002D57D8">
        <w:rPr>
          <w:rFonts w:ascii="Arial" w:hAnsi="Arial" w:cs="Arial"/>
          <w:sz w:val="20"/>
          <w:szCs w:val="20"/>
        </w:rPr>
        <w:t>erving independent non-executive directors (</w:t>
      </w:r>
      <w:r w:rsidR="00457FFE" w:rsidRPr="002D57D8">
        <w:rPr>
          <w:rFonts w:ascii="Arial" w:hAnsi="Arial" w:cs="Arial"/>
          <w:b/>
          <w:sz w:val="20"/>
          <w:szCs w:val="20"/>
        </w:rPr>
        <w:t>INEDs</w:t>
      </w:r>
      <w:r w:rsidR="00457FFE" w:rsidRPr="002D57D8">
        <w:rPr>
          <w:rFonts w:ascii="Arial" w:hAnsi="Arial" w:cs="Arial"/>
          <w:sz w:val="20"/>
          <w:szCs w:val="20"/>
        </w:rPr>
        <w:t>)</w:t>
      </w:r>
      <w:r w:rsidR="00AC7508" w:rsidRPr="002D57D8">
        <w:rPr>
          <w:rFonts w:ascii="Arial" w:hAnsi="Arial" w:cs="Arial"/>
          <w:sz w:val="20"/>
          <w:szCs w:val="20"/>
        </w:rPr>
        <w:t>,</w:t>
      </w:r>
      <w:r w:rsidR="00457FFE" w:rsidRPr="002D57D8">
        <w:rPr>
          <w:rFonts w:ascii="Arial" w:hAnsi="Arial" w:cs="Arial"/>
          <w:sz w:val="20"/>
          <w:szCs w:val="20"/>
        </w:rPr>
        <w:t xml:space="preserve"> may be less objective given the prolonged time served on the board</w:t>
      </w:r>
      <w:r w:rsidR="00AC7508" w:rsidRPr="002D57D8">
        <w:rPr>
          <w:rFonts w:ascii="Arial" w:hAnsi="Arial" w:cs="Arial"/>
          <w:sz w:val="20"/>
          <w:szCs w:val="20"/>
        </w:rPr>
        <w:t>, that is more than nine years</w:t>
      </w:r>
      <w:r w:rsidR="00457FFE" w:rsidRPr="002D57D8">
        <w:rPr>
          <w:rFonts w:ascii="Arial" w:hAnsi="Arial" w:cs="Arial"/>
          <w:sz w:val="20"/>
          <w:szCs w:val="20"/>
        </w:rPr>
        <w:t>, the 2022 Update compel</w:t>
      </w:r>
      <w:r w:rsidR="00053F51">
        <w:rPr>
          <w:rFonts w:ascii="Arial" w:hAnsi="Arial" w:cs="Arial"/>
          <w:sz w:val="20"/>
          <w:szCs w:val="20"/>
        </w:rPr>
        <w:t>led</w:t>
      </w:r>
      <w:r w:rsidR="00457FFE" w:rsidRPr="002D57D8">
        <w:rPr>
          <w:rFonts w:ascii="Arial" w:hAnsi="Arial" w:cs="Arial"/>
          <w:sz w:val="20"/>
          <w:szCs w:val="20"/>
        </w:rPr>
        <w:t xml:space="preserve"> </w:t>
      </w:r>
      <w:r w:rsidR="00457FFE" w:rsidRPr="002D57D8">
        <w:rPr>
          <w:rFonts w:ascii="Arial" w:hAnsi="Arial" w:cs="Arial"/>
          <w:sz w:val="20"/>
          <w:szCs w:val="20"/>
        </w:rPr>
        <w:lastRenderedPageBreak/>
        <w:t>further disclosures when re-electing</w:t>
      </w:r>
      <w:r>
        <w:rPr>
          <w:rFonts w:ascii="Arial" w:hAnsi="Arial" w:cs="Arial"/>
          <w:sz w:val="20"/>
          <w:szCs w:val="20"/>
        </w:rPr>
        <w:t xml:space="preserve"> long-serving</w:t>
      </w:r>
      <w:r w:rsidR="00457FFE" w:rsidRPr="002D57D8">
        <w:rPr>
          <w:rFonts w:ascii="Arial" w:hAnsi="Arial" w:cs="Arial"/>
          <w:sz w:val="20"/>
          <w:szCs w:val="20"/>
        </w:rPr>
        <w:t xml:space="preserve"> INEDs.</w:t>
      </w:r>
      <w:r w:rsidR="007619AD">
        <w:rPr>
          <w:rFonts w:ascii="Arial" w:hAnsi="Arial" w:cs="Arial"/>
          <w:sz w:val="20"/>
          <w:szCs w:val="20"/>
        </w:rPr>
        <w:t xml:space="preserve"> </w:t>
      </w:r>
      <w:r w:rsidR="00F06C80">
        <w:rPr>
          <w:rFonts w:ascii="Arial" w:hAnsi="Arial" w:cs="Arial"/>
          <w:sz w:val="20"/>
          <w:szCs w:val="20"/>
        </w:rPr>
        <w:t>CP</w:t>
      </w:r>
      <w:r w:rsidR="00457FFE" w:rsidRPr="002D57D8">
        <w:rPr>
          <w:rFonts w:ascii="Arial" w:hAnsi="Arial" w:cs="Arial"/>
          <w:sz w:val="20"/>
          <w:szCs w:val="20"/>
        </w:rPr>
        <w:t xml:space="preserve"> B.2.3</w:t>
      </w:r>
      <w:r w:rsidR="0061326F" w:rsidRPr="002D57D8">
        <w:rPr>
          <w:rFonts w:ascii="Arial" w:hAnsi="Arial" w:cs="Arial"/>
          <w:sz w:val="20"/>
          <w:szCs w:val="20"/>
        </w:rPr>
        <w:t xml:space="preserve"> </w:t>
      </w:r>
      <w:r w:rsidR="00B67FBD">
        <w:rPr>
          <w:rFonts w:ascii="Arial" w:hAnsi="Arial" w:cs="Arial"/>
          <w:sz w:val="20"/>
          <w:szCs w:val="20"/>
        </w:rPr>
        <w:t xml:space="preserve">requires </w:t>
      </w:r>
      <w:r w:rsidR="00457FFE" w:rsidRPr="002D57D8">
        <w:rPr>
          <w:rFonts w:ascii="Arial" w:hAnsi="Arial" w:cs="Arial"/>
          <w:sz w:val="20"/>
          <w:szCs w:val="20"/>
        </w:rPr>
        <w:t xml:space="preserve">listed companies </w:t>
      </w:r>
      <w:r w:rsidR="00B67FBD">
        <w:rPr>
          <w:rFonts w:ascii="Arial" w:hAnsi="Arial" w:cs="Arial"/>
          <w:sz w:val="20"/>
          <w:szCs w:val="20"/>
        </w:rPr>
        <w:t xml:space="preserve">to </w:t>
      </w:r>
      <w:r w:rsidR="00457FFE" w:rsidRPr="002D57D8">
        <w:rPr>
          <w:rFonts w:ascii="Arial" w:hAnsi="Arial" w:cs="Arial"/>
          <w:sz w:val="20"/>
          <w:szCs w:val="20"/>
        </w:rPr>
        <w:t xml:space="preserve">disclose the factors considered, the process and the discussions </w:t>
      </w:r>
      <w:r w:rsidR="00923B08">
        <w:rPr>
          <w:rFonts w:ascii="Arial" w:hAnsi="Arial" w:cs="Arial"/>
          <w:sz w:val="20"/>
          <w:szCs w:val="20"/>
        </w:rPr>
        <w:t>of</w:t>
      </w:r>
      <w:r w:rsidR="00923B08" w:rsidRPr="002D57D8">
        <w:rPr>
          <w:rFonts w:ascii="Arial" w:hAnsi="Arial" w:cs="Arial"/>
          <w:sz w:val="20"/>
          <w:szCs w:val="20"/>
        </w:rPr>
        <w:t xml:space="preserve"> </w:t>
      </w:r>
      <w:r w:rsidR="00457FFE" w:rsidRPr="002D57D8">
        <w:rPr>
          <w:rFonts w:ascii="Arial" w:hAnsi="Arial" w:cs="Arial"/>
          <w:sz w:val="20"/>
          <w:szCs w:val="20"/>
        </w:rPr>
        <w:t xml:space="preserve">the board or nomination committee </w:t>
      </w:r>
      <w:r w:rsidR="00923B08">
        <w:rPr>
          <w:rFonts w:ascii="Arial" w:hAnsi="Arial" w:cs="Arial"/>
          <w:sz w:val="20"/>
          <w:szCs w:val="20"/>
        </w:rPr>
        <w:t xml:space="preserve">relating to </w:t>
      </w:r>
      <w:r w:rsidR="00D31D8C">
        <w:rPr>
          <w:rFonts w:ascii="Arial" w:hAnsi="Arial" w:cs="Arial"/>
          <w:sz w:val="20"/>
          <w:szCs w:val="20"/>
        </w:rPr>
        <w:t xml:space="preserve">the conclusion that </w:t>
      </w:r>
      <w:r w:rsidR="00457FFE" w:rsidRPr="002D57D8">
        <w:rPr>
          <w:rFonts w:ascii="Arial" w:hAnsi="Arial" w:cs="Arial"/>
          <w:sz w:val="20"/>
          <w:szCs w:val="20"/>
        </w:rPr>
        <w:t>the</w:t>
      </w:r>
      <w:r>
        <w:rPr>
          <w:rFonts w:ascii="Arial" w:hAnsi="Arial" w:cs="Arial"/>
          <w:sz w:val="20"/>
          <w:szCs w:val="20"/>
        </w:rPr>
        <w:t xml:space="preserve"> long-serving </w:t>
      </w:r>
      <w:r w:rsidRPr="002D57D8">
        <w:rPr>
          <w:rFonts w:ascii="Arial" w:hAnsi="Arial" w:cs="Arial"/>
          <w:sz w:val="20"/>
          <w:szCs w:val="20"/>
        </w:rPr>
        <w:t>INED</w:t>
      </w:r>
      <w:r w:rsidR="00D31D8C">
        <w:rPr>
          <w:rFonts w:ascii="Arial" w:hAnsi="Arial" w:cs="Arial"/>
          <w:sz w:val="20"/>
          <w:szCs w:val="20"/>
        </w:rPr>
        <w:t xml:space="preserve"> i</w:t>
      </w:r>
      <w:r w:rsidRPr="002D57D8">
        <w:rPr>
          <w:rFonts w:ascii="Arial" w:hAnsi="Arial" w:cs="Arial"/>
          <w:sz w:val="20"/>
          <w:szCs w:val="20"/>
        </w:rPr>
        <w:t>s</w:t>
      </w:r>
      <w:r w:rsidR="00457FFE" w:rsidRPr="002D57D8">
        <w:rPr>
          <w:rFonts w:ascii="Arial" w:hAnsi="Arial" w:cs="Arial"/>
          <w:sz w:val="20"/>
          <w:szCs w:val="20"/>
        </w:rPr>
        <w:t xml:space="preserve"> independen</w:t>
      </w:r>
      <w:r w:rsidR="00D31D8C">
        <w:rPr>
          <w:rFonts w:ascii="Arial" w:hAnsi="Arial" w:cs="Arial"/>
          <w:sz w:val="20"/>
          <w:szCs w:val="20"/>
        </w:rPr>
        <w:t>t and should be elected</w:t>
      </w:r>
      <w:r w:rsidR="00457FFE" w:rsidRPr="002D57D8">
        <w:rPr>
          <w:rFonts w:ascii="Arial" w:hAnsi="Arial" w:cs="Arial"/>
          <w:sz w:val="20"/>
          <w:szCs w:val="20"/>
        </w:rPr>
        <w:t xml:space="preserve">. </w:t>
      </w:r>
      <w:r w:rsidR="00F06C80">
        <w:rPr>
          <w:rFonts w:ascii="Arial" w:hAnsi="Arial" w:cs="Arial"/>
          <w:sz w:val="20"/>
          <w:szCs w:val="20"/>
        </w:rPr>
        <w:t>CP</w:t>
      </w:r>
      <w:r w:rsidR="00457FFE" w:rsidRPr="002D57D8">
        <w:rPr>
          <w:rFonts w:ascii="Arial" w:hAnsi="Arial" w:cs="Arial"/>
          <w:sz w:val="20"/>
          <w:szCs w:val="20"/>
        </w:rPr>
        <w:t xml:space="preserve"> B.2.4</w:t>
      </w:r>
      <w:r w:rsidR="0061326F" w:rsidRPr="002D57D8">
        <w:rPr>
          <w:rFonts w:ascii="Arial" w:hAnsi="Arial" w:cs="Arial"/>
          <w:sz w:val="20"/>
          <w:szCs w:val="20"/>
        </w:rPr>
        <w:t xml:space="preserve"> </w:t>
      </w:r>
      <w:r w:rsidR="00457FFE" w:rsidRPr="002D57D8">
        <w:rPr>
          <w:rFonts w:ascii="Arial" w:hAnsi="Arial" w:cs="Arial"/>
          <w:sz w:val="20"/>
          <w:szCs w:val="20"/>
        </w:rPr>
        <w:t xml:space="preserve">further requires listed companies </w:t>
      </w:r>
      <w:r w:rsidR="0057783C" w:rsidRPr="002D57D8">
        <w:rPr>
          <w:rFonts w:ascii="Arial" w:hAnsi="Arial" w:cs="Arial"/>
          <w:sz w:val="20"/>
          <w:szCs w:val="20"/>
        </w:rPr>
        <w:t>whose</w:t>
      </w:r>
      <w:r w:rsidR="00457FFE" w:rsidRPr="002D57D8">
        <w:rPr>
          <w:rFonts w:ascii="Arial" w:hAnsi="Arial" w:cs="Arial"/>
          <w:sz w:val="20"/>
          <w:szCs w:val="20"/>
        </w:rPr>
        <w:t xml:space="preserve"> INEDs are all </w:t>
      </w:r>
      <w:r>
        <w:rPr>
          <w:rFonts w:ascii="Arial" w:hAnsi="Arial" w:cs="Arial"/>
          <w:sz w:val="20"/>
          <w:szCs w:val="20"/>
        </w:rPr>
        <w:t>long-serving</w:t>
      </w:r>
      <w:r w:rsidR="00457FFE" w:rsidRPr="002D57D8">
        <w:rPr>
          <w:rFonts w:ascii="Arial" w:hAnsi="Arial" w:cs="Arial"/>
          <w:sz w:val="20"/>
          <w:szCs w:val="20"/>
        </w:rPr>
        <w:t xml:space="preserve"> INEDs to</w:t>
      </w:r>
      <w:r w:rsidR="00D31D8C">
        <w:rPr>
          <w:rFonts w:ascii="Arial" w:hAnsi="Arial" w:cs="Arial"/>
          <w:sz w:val="20"/>
          <w:szCs w:val="20"/>
        </w:rPr>
        <w:t>: (</w:t>
      </w:r>
      <w:proofErr w:type="spellStart"/>
      <w:r w:rsidR="00D31D8C">
        <w:rPr>
          <w:rFonts w:ascii="Arial" w:hAnsi="Arial" w:cs="Arial"/>
          <w:sz w:val="20"/>
          <w:szCs w:val="20"/>
        </w:rPr>
        <w:t>i</w:t>
      </w:r>
      <w:proofErr w:type="spellEnd"/>
      <w:r w:rsidR="00D31D8C">
        <w:rPr>
          <w:rFonts w:ascii="Arial" w:hAnsi="Arial" w:cs="Arial"/>
          <w:sz w:val="20"/>
          <w:szCs w:val="20"/>
        </w:rPr>
        <w:t>)</w:t>
      </w:r>
      <w:r w:rsidR="00457FFE" w:rsidRPr="002D57D8">
        <w:rPr>
          <w:rFonts w:ascii="Arial" w:hAnsi="Arial" w:cs="Arial"/>
          <w:sz w:val="20"/>
          <w:szCs w:val="20"/>
        </w:rPr>
        <w:t xml:space="preserve"> disclose each </w:t>
      </w:r>
      <w:r>
        <w:rPr>
          <w:rFonts w:ascii="Arial" w:hAnsi="Arial" w:cs="Arial"/>
          <w:sz w:val="20"/>
          <w:szCs w:val="20"/>
        </w:rPr>
        <w:t xml:space="preserve">long-serving </w:t>
      </w:r>
      <w:r w:rsidRPr="002D57D8">
        <w:rPr>
          <w:rFonts w:ascii="Arial" w:hAnsi="Arial" w:cs="Arial"/>
          <w:sz w:val="20"/>
          <w:szCs w:val="20"/>
        </w:rPr>
        <w:t>INED’s</w:t>
      </w:r>
      <w:r w:rsidR="00457FFE" w:rsidRPr="002D57D8">
        <w:rPr>
          <w:rFonts w:ascii="Arial" w:hAnsi="Arial" w:cs="Arial"/>
          <w:sz w:val="20"/>
          <w:szCs w:val="20"/>
        </w:rPr>
        <w:t xml:space="preserve"> tenure</w:t>
      </w:r>
      <w:r w:rsidR="0057783C" w:rsidRPr="002D57D8">
        <w:rPr>
          <w:rFonts w:ascii="Arial" w:hAnsi="Arial" w:cs="Arial"/>
          <w:sz w:val="20"/>
          <w:szCs w:val="20"/>
        </w:rPr>
        <w:t xml:space="preserve">; </w:t>
      </w:r>
      <w:r w:rsidR="00457FFE" w:rsidRPr="002D57D8">
        <w:rPr>
          <w:rFonts w:ascii="Arial" w:hAnsi="Arial" w:cs="Arial"/>
          <w:sz w:val="20"/>
          <w:szCs w:val="20"/>
        </w:rPr>
        <w:t xml:space="preserve">and </w:t>
      </w:r>
      <w:r w:rsidR="0057783C" w:rsidRPr="002D57D8">
        <w:rPr>
          <w:rFonts w:ascii="Arial" w:hAnsi="Arial" w:cs="Arial"/>
          <w:sz w:val="20"/>
          <w:szCs w:val="20"/>
        </w:rPr>
        <w:t>(</w:t>
      </w:r>
      <w:r w:rsidR="00D31D8C">
        <w:rPr>
          <w:rFonts w:ascii="Arial" w:hAnsi="Arial" w:cs="Arial"/>
          <w:sz w:val="20"/>
          <w:szCs w:val="20"/>
        </w:rPr>
        <w:t>ii</w:t>
      </w:r>
      <w:r w:rsidR="0057783C" w:rsidRPr="002D57D8">
        <w:rPr>
          <w:rFonts w:ascii="Arial" w:hAnsi="Arial" w:cs="Arial"/>
          <w:sz w:val="20"/>
          <w:szCs w:val="20"/>
        </w:rPr>
        <w:t xml:space="preserve">) </w:t>
      </w:r>
      <w:r w:rsidR="00457FFE" w:rsidRPr="002D57D8">
        <w:rPr>
          <w:rFonts w:ascii="Arial" w:hAnsi="Arial" w:cs="Arial"/>
          <w:sz w:val="20"/>
          <w:szCs w:val="20"/>
        </w:rPr>
        <w:t>appoint a new INED at the next annual general meeting</w:t>
      </w:r>
      <w:r w:rsidR="009201EC" w:rsidRPr="002D57D8">
        <w:rPr>
          <w:rFonts w:ascii="Arial" w:hAnsi="Arial" w:cs="Arial"/>
          <w:sz w:val="20"/>
          <w:szCs w:val="20"/>
        </w:rPr>
        <w:t xml:space="preserve"> (</w:t>
      </w:r>
      <w:r w:rsidR="009201EC" w:rsidRPr="002D57D8">
        <w:rPr>
          <w:rFonts w:ascii="Arial" w:hAnsi="Arial" w:cs="Arial"/>
          <w:b/>
          <w:sz w:val="20"/>
          <w:szCs w:val="20"/>
        </w:rPr>
        <w:t>AGM</w:t>
      </w:r>
      <w:r w:rsidR="009201EC" w:rsidRPr="002D57D8">
        <w:rPr>
          <w:rFonts w:ascii="Arial" w:hAnsi="Arial" w:cs="Arial"/>
          <w:sz w:val="20"/>
          <w:szCs w:val="20"/>
        </w:rPr>
        <w:t>)</w:t>
      </w:r>
      <w:r w:rsidR="00457FFE" w:rsidRPr="002D57D8">
        <w:rPr>
          <w:rFonts w:ascii="Arial" w:hAnsi="Arial" w:cs="Arial"/>
          <w:sz w:val="20"/>
          <w:szCs w:val="20"/>
        </w:rPr>
        <w:t>.</w:t>
      </w:r>
      <w:r w:rsidR="00D31D8C">
        <w:rPr>
          <w:rFonts w:ascii="Arial" w:hAnsi="Arial" w:cs="Arial"/>
          <w:sz w:val="20"/>
          <w:szCs w:val="20"/>
        </w:rPr>
        <w:t xml:space="preserve"> The latter requirement came into effect on 1 January 2023, whereas the other 2022 Update changes came into effect on 1 January 2022.  </w:t>
      </w:r>
    </w:p>
    <w:p w:rsidR="00DD25F7" w:rsidRDefault="00457FFE" w:rsidP="0056523B">
      <w:pPr>
        <w:jc w:val="both"/>
        <w:rPr>
          <w:rFonts w:ascii="Arial" w:hAnsi="Arial" w:cs="Arial"/>
          <w:sz w:val="20"/>
          <w:szCs w:val="20"/>
        </w:rPr>
      </w:pPr>
      <w:r w:rsidRPr="002D57D8">
        <w:rPr>
          <w:rFonts w:ascii="Arial" w:hAnsi="Arial" w:cs="Arial"/>
          <w:sz w:val="20"/>
          <w:szCs w:val="20"/>
        </w:rPr>
        <w:t xml:space="preserve">The </w:t>
      </w:r>
      <w:proofErr w:type="spellStart"/>
      <w:r w:rsidRPr="002D57D8">
        <w:rPr>
          <w:rFonts w:ascii="Arial" w:hAnsi="Arial" w:cs="Arial"/>
          <w:sz w:val="20"/>
          <w:szCs w:val="20"/>
        </w:rPr>
        <w:t>HKEx</w:t>
      </w:r>
      <w:proofErr w:type="spellEnd"/>
      <w:r w:rsidRPr="002D57D8">
        <w:rPr>
          <w:rFonts w:ascii="Arial" w:hAnsi="Arial" w:cs="Arial"/>
          <w:sz w:val="20"/>
          <w:szCs w:val="20"/>
        </w:rPr>
        <w:t xml:space="preserve"> noted a </w:t>
      </w:r>
      <w:r w:rsidR="00D31D8C">
        <w:rPr>
          <w:rFonts w:ascii="Arial" w:hAnsi="Arial" w:cs="Arial"/>
          <w:sz w:val="20"/>
          <w:szCs w:val="20"/>
        </w:rPr>
        <w:t>significant drop</w:t>
      </w:r>
      <w:r w:rsidRPr="002D57D8">
        <w:rPr>
          <w:rFonts w:ascii="Arial" w:hAnsi="Arial" w:cs="Arial"/>
          <w:sz w:val="20"/>
          <w:szCs w:val="20"/>
        </w:rPr>
        <w:t xml:space="preserve"> in </w:t>
      </w:r>
      <w:r w:rsidR="00D31D8C">
        <w:rPr>
          <w:rFonts w:ascii="Arial" w:hAnsi="Arial" w:cs="Arial"/>
          <w:sz w:val="20"/>
          <w:szCs w:val="20"/>
        </w:rPr>
        <w:t xml:space="preserve">the number of </w:t>
      </w:r>
      <w:r w:rsidRPr="002D57D8">
        <w:rPr>
          <w:rFonts w:ascii="Arial" w:hAnsi="Arial" w:cs="Arial"/>
          <w:sz w:val="20"/>
          <w:szCs w:val="20"/>
        </w:rPr>
        <w:t xml:space="preserve">listed companies with all </w:t>
      </w:r>
      <w:r w:rsidR="00091CE4">
        <w:rPr>
          <w:rFonts w:ascii="Arial" w:hAnsi="Arial" w:cs="Arial"/>
          <w:sz w:val="20"/>
          <w:szCs w:val="20"/>
        </w:rPr>
        <w:t>long-serving</w:t>
      </w:r>
      <w:r w:rsidRPr="002D57D8">
        <w:rPr>
          <w:rFonts w:ascii="Arial" w:hAnsi="Arial" w:cs="Arial"/>
          <w:sz w:val="20"/>
          <w:szCs w:val="20"/>
        </w:rPr>
        <w:t xml:space="preserve"> INEDs.  As of 31 August 2023, around 1,500 directorships </w:t>
      </w:r>
      <w:r w:rsidR="005C7B98">
        <w:rPr>
          <w:rFonts w:ascii="Arial" w:hAnsi="Arial" w:cs="Arial"/>
          <w:sz w:val="20"/>
          <w:szCs w:val="20"/>
        </w:rPr>
        <w:t>we</w:t>
      </w:r>
      <w:r w:rsidRPr="002D57D8">
        <w:rPr>
          <w:rFonts w:ascii="Arial" w:hAnsi="Arial" w:cs="Arial"/>
          <w:sz w:val="20"/>
          <w:szCs w:val="20"/>
        </w:rPr>
        <w:t>re held by long-serving INEDs</w:t>
      </w:r>
      <w:r w:rsidR="005C7B98">
        <w:rPr>
          <w:rFonts w:ascii="Arial" w:hAnsi="Arial" w:cs="Arial"/>
          <w:sz w:val="20"/>
          <w:szCs w:val="20"/>
        </w:rPr>
        <w:t xml:space="preserve"> </w:t>
      </w:r>
      <w:r w:rsidR="005C7B98" w:rsidRPr="002D57D8">
        <w:rPr>
          <w:rFonts w:ascii="Arial" w:hAnsi="Arial" w:cs="Arial"/>
          <w:sz w:val="20"/>
          <w:szCs w:val="20"/>
        </w:rPr>
        <w:t>across 800 listed companies</w:t>
      </w:r>
      <w:r w:rsidRPr="002D57D8">
        <w:rPr>
          <w:rFonts w:ascii="Arial" w:hAnsi="Arial" w:cs="Arial"/>
          <w:sz w:val="20"/>
          <w:szCs w:val="20"/>
        </w:rPr>
        <w:t>. Only 2% of all listed companies ha</w:t>
      </w:r>
      <w:r w:rsidR="005C7B98">
        <w:rPr>
          <w:rFonts w:ascii="Arial" w:hAnsi="Arial" w:cs="Arial"/>
          <w:sz w:val="20"/>
          <w:szCs w:val="20"/>
        </w:rPr>
        <w:t>d</w:t>
      </w:r>
      <w:r w:rsidRPr="002D57D8">
        <w:rPr>
          <w:rFonts w:ascii="Arial" w:hAnsi="Arial" w:cs="Arial"/>
          <w:sz w:val="20"/>
          <w:szCs w:val="20"/>
        </w:rPr>
        <w:t xml:space="preserve"> INEDs </w:t>
      </w:r>
      <w:r w:rsidR="005C7B98">
        <w:rPr>
          <w:rFonts w:ascii="Arial" w:hAnsi="Arial" w:cs="Arial"/>
          <w:sz w:val="20"/>
          <w:szCs w:val="20"/>
        </w:rPr>
        <w:t xml:space="preserve">who were </w:t>
      </w:r>
      <w:r w:rsidRPr="002D57D8">
        <w:rPr>
          <w:rFonts w:ascii="Arial" w:hAnsi="Arial" w:cs="Arial"/>
          <w:sz w:val="20"/>
          <w:szCs w:val="20"/>
        </w:rPr>
        <w:t>all</w:t>
      </w:r>
      <w:r w:rsidR="00091CE4">
        <w:rPr>
          <w:rFonts w:ascii="Arial" w:hAnsi="Arial" w:cs="Arial"/>
          <w:sz w:val="20"/>
          <w:szCs w:val="20"/>
        </w:rPr>
        <w:t xml:space="preserve"> long-serving</w:t>
      </w:r>
      <w:r w:rsidRPr="002D57D8">
        <w:rPr>
          <w:rFonts w:ascii="Arial" w:hAnsi="Arial" w:cs="Arial"/>
          <w:sz w:val="20"/>
          <w:szCs w:val="20"/>
        </w:rPr>
        <w:t xml:space="preserve"> INEDs, a 4% drop from </w:t>
      </w:r>
      <w:r w:rsidR="005C7B98">
        <w:rPr>
          <w:rFonts w:ascii="Arial" w:hAnsi="Arial" w:cs="Arial"/>
          <w:sz w:val="20"/>
          <w:szCs w:val="20"/>
        </w:rPr>
        <w:t xml:space="preserve">before </w:t>
      </w:r>
      <w:r w:rsidRPr="002D57D8">
        <w:rPr>
          <w:rFonts w:ascii="Arial" w:hAnsi="Arial" w:cs="Arial"/>
          <w:sz w:val="20"/>
          <w:szCs w:val="20"/>
        </w:rPr>
        <w:t xml:space="preserve">the 2022 Update. </w:t>
      </w:r>
      <w:r w:rsidR="0057783C" w:rsidRPr="002D57D8">
        <w:rPr>
          <w:rFonts w:ascii="Arial" w:hAnsi="Arial" w:cs="Arial"/>
          <w:sz w:val="20"/>
          <w:szCs w:val="20"/>
        </w:rPr>
        <w:t>All the</w:t>
      </w:r>
      <w:r w:rsidRPr="002D57D8">
        <w:rPr>
          <w:rFonts w:ascii="Arial" w:hAnsi="Arial" w:cs="Arial"/>
          <w:sz w:val="20"/>
          <w:szCs w:val="20"/>
        </w:rPr>
        <w:t xml:space="preserve"> companies sampled in this review complied with the </w:t>
      </w:r>
      <w:r w:rsidR="0057783C" w:rsidRPr="002D57D8">
        <w:rPr>
          <w:rFonts w:ascii="Arial" w:hAnsi="Arial" w:cs="Arial"/>
          <w:sz w:val="20"/>
          <w:szCs w:val="20"/>
        </w:rPr>
        <w:t xml:space="preserve">first limb of </w:t>
      </w:r>
      <w:r w:rsidR="00F06C80">
        <w:rPr>
          <w:rFonts w:ascii="Arial" w:hAnsi="Arial" w:cs="Arial"/>
          <w:sz w:val="20"/>
          <w:szCs w:val="20"/>
        </w:rPr>
        <w:t>CP</w:t>
      </w:r>
      <w:r w:rsidR="0057783C" w:rsidRPr="002D57D8">
        <w:rPr>
          <w:rFonts w:ascii="Arial" w:hAnsi="Arial" w:cs="Arial"/>
          <w:sz w:val="20"/>
          <w:szCs w:val="20"/>
        </w:rPr>
        <w:t xml:space="preserve"> B.2.4 and more than half complied with the </w:t>
      </w:r>
      <w:r w:rsidRPr="002D57D8">
        <w:rPr>
          <w:rFonts w:ascii="Arial" w:hAnsi="Arial" w:cs="Arial"/>
          <w:sz w:val="20"/>
          <w:szCs w:val="20"/>
        </w:rPr>
        <w:t xml:space="preserve">second limb of </w:t>
      </w:r>
      <w:r w:rsidR="00F06C80">
        <w:rPr>
          <w:rFonts w:ascii="Arial" w:hAnsi="Arial" w:cs="Arial"/>
          <w:sz w:val="20"/>
          <w:szCs w:val="20"/>
        </w:rPr>
        <w:t>CP</w:t>
      </w:r>
      <w:r w:rsidRPr="002D57D8">
        <w:rPr>
          <w:rFonts w:ascii="Arial" w:hAnsi="Arial" w:cs="Arial"/>
          <w:sz w:val="20"/>
          <w:szCs w:val="20"/>
        </w:rPr>
        <w:t xml:space="preserve"> B.2.4 and ha</w:t>
      </w:r>
      <w:r w:rsidR="005C7B98">
        <w:rPr>
          <w:rFonts w:ascii="Arial" w:hAnsi="Arial" w:cs="Arial"/>
          <w:sz w:val="20"/>
          <w:szCs w:val="20"/>
        </w:rPr>
        <w:t>d</w:t>
      </w:r>
      <w:r w:rsidRPr="002D57D8">
        <w:rPr>
          <w:rFonts w:ascii="Arial" w:hAnsi="Arial" w:cs="Arial"/>
          <w:sz w:val="20"/>
          <w:szCs w:val="20"/>
        </w:rPr>
        <w:t xml:space="preserve"> appointed a new INED before </w:t>
      </w:r>
      <w:r w:rsidR="009201EC" w:rsidRPr="002D57D8">
        <w:rPr>
          <w:rFonts w:ascii="Arial" w:hAnsi="Arial" w:cs="Arial"/>
          <w:sz w:val="20"/>
          <w:szCs w:val="20"/>
        </w:rPr>
        <w:t>their 2023 AGM</w:t>
      </w:r>
      <w:r w:rsidR="0057783C" w:rsidRPr="002D57D8">
        <w:rPr>
          <w:rFonts w:ascii="Arial" w:hAnsi="Arial" w:cs="Arial"/>
          <w:sz w:val="20"/>
          <w:szCs w:val="20"/>
        </w:rPr>
        <w:t xml:space="preserve">. </w:t>
      </w:r>
    </w:p>
    <w:p w:rsidR="00C47C6E" w:rsidRPr="002D57D8" w:rsidRDefault="00DD25F7" w:rsidP="0056523B">
      <w:pPr>
        <w:jc w:val="both"/>
        <w:rPr>
          <w:rFonts w:ascii="Arial" w:hAnsi="Arial" w:cs="Arial"/>
          <w:sz w:val="20"/>
          <w:szCs w:val="20"/>
        </w:rPr>
      </w:pPr>
      <w:r>
        <w:rPr>
          <w:rFonts w:ascii="Arial" w:hAnsi="Arial" w:cs="Arial"/>
          <w:sz w:val="20"/>
          <w:szCs w:val="20"/>
        </w:rPr>
        <w:t xml:space="preserve">The listed companies included in the sample all </w:t>
      </w:r>
      <w:r w:rsidRPr="00214492">
        <w:rPr>
          <w:rFonts w:ascii="Arial" w:hAnsi="Arial" w:cs="Arial"/>
          <w:sz w:val="20"/>
          <w:szCs w:val="20"/>
        </w:rPr>
        <w:t>provided reasons for re-electing Long Serving INEDs in their shareholder circulars and disclosed the factors considered in determining the</w:t>
      </w:r>
      <w:r>
        <w:rPr>
          <w:rFonts w:ascii="Arial" w:hAnsi="Arial" w:cs="Arial"/>
          <w:sz w:val="20"/>
          <w:szCs w:val="20"/>
        </w:rPr>
        <w:t>ir</w:t>
      </w:r>
      <w:r w:rsidRPr="00214492">
        <w:rPr>
          <w:rFonts w:ascii="Arial" w:hAnsi="Arial" w:cs="Arial"/>
          <w:sz w:val="20"/>
          <w:szCs w:val="20"/>
        </w:rPr>
        <w:t xml:space="preserve"> suitability for re-election.</w:t>
      </w:r>
      <w:r>
        <w:rPr>
          <w:rFonts w:ascii="Arial" w:hAnsi="Arial" w:cs="Arial"/>
          <w:sz w:val="20"/>
          <w:szCs w:val="20"/>
        </w:rPr>
        <w:t xml:space="preserve"> R</w:t>
      </w:r>
      <w:r w:rsidR="00954A5A" w:rsidRPr="002D57D8">
        <w:rPr>
          <w:rFonts w:ascii="Arial" w:hAnsi="Arial" w:cs="Arial"/>
          <w:sz w:val="20"/>
          <w:szCs w:val="20"/>
        </w:rPr>
        <w:t xml:space="preserve">easons </w:t>
      </w:r>
      <w:r>
        <w:rPr>
          <w:rFonts w:ascii="Arial" w:hAnsi="Arial" w:cs="Arial"/>
          <w:sz w:val="20"/>
          <w:szCs w:val="20"/>
        </w:rPr>
        <w:t xml:space="preserve">commonly given </w:t>
      </w:r>
      <w:r w:rsidR="00954A5A" w:rsidRPr="002D57D8">
        <w:rPr>
          <w:rFonts w:ascii="Arial" w:hAnsi="Arial" w:cs="Arial"/>
          <w:sz w:val="20"/>
          <w:szCs w:val="20"/>
        </w:rPr>
        <w:t>to explain why a</w:t>
      </w:r>
      <w:r w:rsidR="00091CE4">
        <w:rPr>
          <w:rFonts w:ascii="Arial" w:hAnsi="Arial" w:cs="Arial"/>
          <w:sz w:val="20"/>
          <w:szCs w:val="20"/>
        </w:rPr>
        <w:t xml:space="preserve"> long-serving</w:t>
      </w:r>
      <w:r w:rsidR="00954A5A" w:rsidRPr="002D57D8">
        <w:rPr>
          <w:rFonts w:ascii="Arial" w:hAnsi="Arial" w:cs="Arial"/>
          <w:sz w:val="20"/>
          <w:szCs w:val="20"/>
        </w:rPr>
        <w:t xml:space="preserve"> INED </w:t>
      </w:r>
      <w:r w:rsidR="003B4433">
        <w:rPr>
          <w:rFonts w:ascii="Arial" w:hAnsi="Arial" w:cs="Arial"/>
          <w:sz w:val="20"/>
          <w:szCs w:val="20"/>
        </w:rPr>
        <w:t>remain</w:t>
      </w:r>
      <w:r w:rsidR="00954A5A" w:rsidRPr="002D57D8">
        <w:rPr>
          <w:rFonts w:ascii="Arial" w:hAnsi="Arial" w:cs="Arial"/>
          <w:sz w:val="20"/>
          <w:szCs w:val="20"/>
        </w:rPr>
        <w:t>s independent and reasons</w:t>
      </w:r>
      <w:r w:rsidR="003B4433">
        <w:rPr>
          <w:rFonts w:ascii="Arial" w:hAnsi="Arial" w:cs="Arial"/>
          <w:sz w:val="20"/>
          <w:szCs w:val="20"/>
        </w:rPr>
        <w:t xml:space="preserve"> given</w:t>
      </w:r>
      <w:r w:rsidR="00954A5A" w:rsidRPr="002D57D8">
        <w:rPr>
          <w:rFonts w:ascii="Arial" w:hAnsi="Arial" w:cs="Arial"/>
          <w:sz w:val="20"/>
          <w:szCs w:val="20"/>
        </w:rPr>
        <w:t xml:space="preserve"> to support their re-election include</w:t>
      </w:r>
      <w:r w:rsidR="003B4433">
        <w:rPr>
          <w:rFonts w:ascii="Arial" w:hAnsi="Arial" w:cs="Arial"/>
          <w:sz w:val="20"/>
          <w:szCs w:val="20"/>
        </w:rPr>
        <w:t>d</w:t>
      </w:r>
      <w:r w:rsidR="00954A5A" w:rsidRPr="002D57D8">
        <w:rPr>
          <w:rFonts w:ascii="Arial" w:hAnsi="Arial" w:cs="Arial"/>
          <w:sz w:val="20"/>
          <w:szCs w:val="20"/>
        </w:rPr>
        <w:t xml:space="preserve"> their extensive experience, skills and/or knowledge (82%), their impartial judgment and objective contribution during </w:t>
      </w:r>
      <w:r w:rsidR="003B4433">
        <w:rPr>
          <w:rFonts w:ascii="Arial" w:hAnsi="Arial" w:cs="Arial"/>
          <w:sz w:val="20"/>
          <w:szCs w:val="20"/>
        </w:rPr>
        <w:t xml:space="preserve">their </w:t>
      </w:r>
      <w:r w:rsidR="00954A5A" w:rsidRPr="002D57D8">
        <w:rPr>
          <w:rFonts w:ascii="Arial" w:hAnsi="Arial" w:cs="Arial"/>
          <w:sz w:val="20"/>
          <w:szCs w:val="20"/>
        </w:rPr>
        <w:t xml:space="preserve">term of service (59%) and satisfaction of Main Board Rule 3.13 Independence Criteria (56%). </w:t>
      </w:r>
    </w:p>
    <w:p w:rsidR="007067E7" w:rsidRDefault="00F06C80" w:rsidP="0056523B">
      <w:pPr>
        <w:jc w:val="both"/>
        <w:rPr>
          <w:rFonts w:ascii="Arial" w:hAnsi="Arial" w:cs="Arial"/>
          <w:sz w:val="20"/>
          <w:szCs w:val="20"/>
        </w:rPr>
      </w:pPr>
      <w:r>
        <w:rPr>
          <w:rFonts w:ascii="Arial" w:hAnsi="Arial" w:cs="Arial"/>
          <w:sz w:val="20"/>
          <w:szCs w:val="20"/>
        </w:rPr>
        <w:t xml:space="preserve">The </w:t>
      </w:r>
      <w:proofErr w:type="spellStart"/>
      <w:r w:rsidR="00291ED2" w:rsidRPr="00F06C80">
        <w:rPr>
          <w:rFonts w:ascii="Arial" w:hAnsi="Arial" w:cs="Arial"/>
          <w:sz w:val="20"/>
          <w:szCs w:val="20"/>
        </w:rPr>
        <w:t>HKEx</w:t>
      </w:r>
      <w:proofErr w:type="spellEnd"/>
      <w:r>
        <w:rPr>
          <w:rFonts w:ascii="Arial" w:hAnsi="Arial" w:cs="Arial"/>
          <w:sz w:val="20"/>
          <w:szCs w:val="20"/>
        </w:rPr>
        <w:t xml:space="preserve"> </w:t>
      </w:r>
      <w:r w:rsidR="00457FFE" w:rsidRPr="002D57D8">
        <w:rPr>
          <w:rFonts w:ascii="Arial" w:hAnsi="Arial" w:cs="Arial"/>
          <w:sz w:val="20"/>
          <w:szCs w:val="20"/>
        </w:rPr>
        <w:t>highlighted that new INEDs are crucial to preventing board entrenchment, encouraging diversity and introducing fresh viewpoints</w:t>
      </w:r>
      <w:r w:rsidR="003B4433">
        <w:rPr>
          <w:rFonts w:ascii="Arial" w:hAnsi="Arial" w:cs="Arial"/>
          <w:sz w:val="20"/>
          <w:szCs w:val="20"/>
        </w:rPr>
        <w:t xml:space="preserve">. </w:t>
      </w:r>
      <w:r w:rsidR="007067E7" w:rsidRPr="00214492">
        <w:rPr>
          <w:rFonts w:ascii="Arial" w:hAnsi="Arial" w:cs="Arial"/>
          <w:sz w:val="20"/>
          <w:szCs w:val="20"/>
        </w:rPr>
        <w:t>If a</w:t>
      </w:r>
      <w:r w:rsidR="007067E7">
        <w:rPr>
          <w:rFonts w:ascii="Arial" w:hAnsi="Arial" w:cs="Arial"/>
          <w:sz w:val="20"/>
          <w:szCs w:val="20"/>
        </w:rPr>
        <w:t xml:space="preserve"> listed company chooses to re-elect a long-s</w:t>
      </w:r>
      <w:r w:rsidR="007067E7" w:rsidRPr="00214492">
        <w:rPr>
          <w:rFonts w:ascii="Arial" w:hAnsi="Arial" w:cs="Arial"/>
          <w:sz w:val="20"/>
          <w:szCs w:val="20"/>
        </w:rPr>
        <w:t xml:space="preserve">erving INED, it must provide the necessary information for the market to evaluate the thoroughness of its nomination process. This </w:t>
      </w:r>
      <w:r w:rsidR="007067E7">
        <w:rPr>
          <w:rFonts w:ascii="Arial" w:hAnsi="Arial" w:cs="Arial"/>
          <w:sz w:val="20"/>
          <w:szCs w:val="20"/>
        </w:rPr>
        <w:t>would include</w:t>
      </w:r>
      <w:r w:rsidR="007067E7" w:rsidRPr="00214492">
        <w:rPr>
          <w:rFonts w:ascii="Arial" w:hAnsi="Arial" w:cs="Arial"/>
          <w:sz w:val="20"/>
          <w:szCs w:val="20"/>
        </w:rPr>
        <w:t xml:space="preserve"> disclosing the actions taken by the nomination committee, such as re</w:t>
      </w:r>
      <w:r w:rsidR="007067E7">
        <w:rPr>
          <w:rFonts w:ascii="Arial" w:hAnsi="Arial" w:cs="Arial"/>
          <w:sz w:val="20"/>
          <w:szCs w:val="20"/>
        </w:rPr>
        <w:t>viewing the performance of the long-s</w:t>
      </w:r>
      <w:r w:rsidR="007067E7" w:rsidRPr="00214492">
        <w:rPr>
          <w:rFonts w:ascii="Arial" w:hAnsi="Arial" w:cs="Arial"/>
          <w:sz w:val="20"/>
          <w:szCs w:val="20"/>
        </w:rPr>
        <w:t xml:space="preserve">erving INED and assessing their ability to contribute impartially to the board. The </w:t>
      </w:r>
      <w:r w:rsidR="007067E7">
        <w:rPr>
          <w:rFonts w:ascii="Arial" w:hAnsi="Arial" w:cs="Arial"/>
          <w:sz w:val="20"/>
          <w:szCs w:val="20"/>
        </w:rPr>
        <w:t xml:space="preserve">listed company </w:t>
      </w:r>
      <w:r w:rsidR="007067E7" w:rsidRPr="00214492">
        <w:rPr>
          <w:rFonts w:ascii="Arial" w:hAnsi="Arial" w:cs="Arial"/>
          <w:sz w:val="20"/>
          <w:szCs w:val="20"/>
        </w:rPr>
        <w:t>should also disclose how the board eva</w:t>
      </w:r>
      <w:r w:rsidR="007067E7">
        <w:rPr>
          <w:rFonts w:ascii="Arial" w:hAnsi="Arial" w:cs="Arial"/>
          <w:sz w:val="20"/>
          <w:szCs w:val="20"/>
        </w:rPr>
        <w:t>luated the nomination committee’</w:t>
      </w:r>
      <w:r w:rsidR="007067E7" w:rsidRPr="00214492">
        <w:rPr>
          <w:rFonts w:ascii="Arial" w:hAnsi="Arial" w:cs="Arial"/>
          <w:sz w:val="20"/>
          <w:szCs w:val="20"/>
        </w:rPr>
        <w:t>s recommendation.</w:t>
      </w:r>
      <w:r w:rsidR="00457FFE" w:rsidRPr="002D57D8">
        <w:rPr>
          <w:rFonts w:ascii="Arial" w:hAnsi="Arial" w:cs="Arial"/>
          <w:sz w:val="20"/>
          <w:szCs w:val="20"/>
        </w:rPr>
        <w:t xml:space="preserve"> </w:t>
      </w:r>
    </w:p>
    <w:p w:rsidR="00954A5A" w:rsidRPr="002D57D8" w:rsidRDefault="00457FFE" w:rsidP="0056523B">
      <w:pPr>
        <w:jc w:val="both"/>
        <w:rPr>
          <w:rFonts w:ascii="Arial" w:hAnsi="Arial" w:cs="Arial"/>
          <w:sz w:val="20"/>
          <w:szCs w:val="20"/>
        </w:rPr>
      </w:pPr>
      <w:r w:rsidRPr="002D57D8">
        <w:rPr>
          <w:rFonts w:ascii="Arial" w:hAnsi="Arial" w:cs="Arial"/>
          <w:sz w:val="20"/>
          <w:szCs w:val="20"/>
        </w:rPr>
        <w:t xml:space="preserve">Although fewer listed companies </w:t>
      </w:r>
      <w:r w:rsidR="00654A55" w:rsidRPr="002D57D8">
        <w:rPr>
          <w:rFonts w:ascii="Arial" w:hAnsi="Arial" w:cs="Arial"/>
          <w:sz w:val="20"/>
          <w:szCs w:val="20"/>
        </w:rPr>
        <w:t>quoted</w:t>
      </w:r>
      <w:r w:rsidRPr="002D57D8">
        <w:rPr>
          <w:rFonts w:ascii="Arial" w:hAnsi="Arial" w:cs="Arial"/>
          <w:sz w:val="20"/>
          <w:szCs w:val="20"/>
        </w:rPr>
        <w:t xml:space="preserve"> Main Board Rule 3.13 as a reason for re-election compared to t</w:t>
      </w:r>
      <w:r w:rsidR="00291ED2">
        <w:rPr>
          <w:rFonts w:ascii="Arial" w:hAnsi="Arial" w:cs="Arial"/>
          <w:sz w:val="20"/>
          <w:szCs w:val="20"/>
        </w:rPr>
        <w:t>he last review in 20</w:t>
      </w:r>
      <w:r w:rsidR="003B614B">
        <w:rPr>
          <w:rFonts w:ascii="Arial" w:hAnsi="Arial" w:cs="Arial"/>
          <w:sz w:val="20"/>
          <w:szCs w:val="20"/>
        </w:rPr>
        <w:t>19</w:t>
      </w:r>
      <w:r w:rsidR="00291ED2">
        <w:rPr>
          <w:rFonts w:ascii="Arial" w:hAnsi="Arial" w:cs="Arial"/>
          <w:sz w:val="20"/>
          <w:szCs w:val="20"/>
        </w:rPr>
        <w:t xml:space="preserve">, the </w:t>
      </w:r>
      <w:proofErr w:type="spellStart"/>
      <w:r w:rsidR="00291ED2">
        <w:rPr>
          <w:rFonts w:ascii="Arial" w:hAnsi="Arial" w:cs="Arial"/>
          <w:sz w:val="20"/>
          <w:szCs w:val="20"/>
        </w:rPr>
        <w:t>HKEx</w:t>
      </w:r>
      <w:proofErr w:type="spellEnd"/>
      <w:r w:rsidRPr="002D57D8">
        <w:rPr>
          <w:rFonts w:ascii="Arial" w:hAnsi="Arial" w:cs="Arial"/>
          <w:sz w:val="20"/>
          <w:szCs w:val="20"/>
        </w:rPr>
        <w:t xml:space="preserve"> noted that Main Board Rule 3.13 </w:t>
      </w:r>
      <w:r w:rsidR="007067E7">
        <w:rPr>
          <w:rFonts w:ascii="Arial" w:hAnsi="Arial" w:cs="Arial"/>
          <w:sz w:val="20"/>
          <w:szCs w:val="20"/>
        </w:rPr>
        <w:t xml:space="preserve">mainly </w:t>
      </w:r>
      <w:r w:rsidRPr="002D57D8">
        <w:rPr>
          <w:rFonts w:ascii="Arial" w:hAnsi="Arial" w:cs="Arial"/>
          <w:sz w:val="20"/>
          <w:szCs w:val="20"/>
        </w:rPr>
        <w:t>addresses the director’s actual or potential conflicts of interests and</w:t>
      </w:r>
      <w:r w:rsidR="00654A55" w:rsidRPr="002D57D8">
        <w:rPr>
          <w:rFonts w:ascii="Arial" w:hAnsi="Arial" w:cs="Arial"/>
          <w:sz w:val="20"/>
          <w:szCs w:val="20"/>
        </w:rPr>
        <w:t xml:space="preserve"> relying on this rule only is</w:t>
      </w:r>
      <w:r w:rsidRPr="002D57D8">
        <w:rPr>
          <w:rFonts w:ascii="Arial" w:hAnsi="Arial" w:cs="Arial"/>
          <w:sz w:val="20"/>
          <w:szCs w:val="20"/>
        </w:rPr>
        <w:t xml:space="preserve"> insufficient to </w:t>
      </w:r>
      <w:r w:rsidR="00654A55" w:rsidRPr="002D57D8">
        <w:rPr>
          <w:rFonts w:ascii="Arial" w:hAnsi="Arial" w:cs="Arial"/>
          <w:sz w:val="20"/>
          <w:szCs w:val="20"/>
        </w:rPr>
        <w:t>explain</w:t>
      </w:r>
      <w:r w:rsidRPr="002D57D8">
        <w:rPr>
          <w:rFonts w:ascii="Arial" w:hAnsi="Arial" w:cs="Arial"/>
          <w:sz w:val="20"/>
          <w:szCs w:val="20"/>
        </w:rPr>
        <w:t xml:space="preserve"> the director’s </w:t>
      </w:r>
      <w:r w:rsidR="007F3018">
        <w:rPr>
          <w:rFonts w:ascii="Arial" w:hAnsi="Arial" w:cs="Arial"/>
          <w:sz w:val="20"/>
          <w:szCs w:val="20"/>
        </w:rPr>
        <w:t xml:space="preserve">continued </w:t>
      </w:r>
      <w:r w:rsidRPr="002D57D8">
        <w:rPr>
          <w:rFonts w:ascii="Arial" w:hAnsi="Arial" w:cs="Arial"/>
          <w:sz w:val="20"/>
          <w:szCs w:val="20"/>
        </w:rPr>
        <w:t>ability to</w:t>
      </w:r>
      <w:r w:rsidR="007F3018">
        <w:rPr>
          <w:rFonts w:ascii="Arial" w:hAnsi="Arial" w:cs="Arial"/>
          <w:sz w:val="20"/>
          <w:szCs w:val="20"/>
        </w:rPr>
        <w:t xml:space="preserve"> bring fresh perspectives and independent judgment to the board</w:t>
      </w:r>
      <w:r w:rsidRPr="002D57D8">
        <w:rPr>
          <w:rFonts w:ascii="Arial" w:hAnsi="Arial" w:cs="Arial"/>
          <w:sz w:val="20"/>
          <w:szCs w:val="20"/>
        </w:rPr>
        <w:t xml:space="preserve">.  </w:t>
      </w:r>
      <w:r w:rsidR="000C6F5B">
        <w:rPr>
          <w:rFonts w:ascii="Arial" w:hAnsi="Arial" w:cs="Arial"/>
          <w:sz w:val="20"/>
          <w:szCs w:val="20"/>
        </w:rPr>
        <w:t xml:space="preserve">When evaluating a </w:t>
      </w:r>
      <w:r w:rsidR="007F3018" w:rsidRPr="00157B55">
        <w:rPr>
          <w:rFonts w:ascii="Arial" w:hAnsi="Arial" w:cs="Arial"/>
          <w:sz w:val="20"/>
          <w:szCs w:val="20"/>
        </w:rPr>
        <w:t>long-serving INED</w:t>
      </w:r>
      <w:r w:rsidR="007F3018">
        <w:rPr>
          <w:rFonts w:ascii="Arial" w:hAnsi="Arial" w:cs="Arial"/>
          <w:sz w:val="20"/>
          <w:szCs w:val="20"/>
        </w:rPr>
        <w:t>’s</w:t>
      </w:r>
      <w:r w:rsidR="007F3018" w:rsidRPr="002D57D8">
        <w:rPr>
          <w:rFonts w:ascii="Arial" w:hAnsi="Arial" w:cs="Arial"/>
          <w:sz w:val="20"/>
          <w:szCs w:val="20"/>
        </w:rPr>
        <w:t xml:space="preserve"> </w:t>
      </w:r>
      <w:r w:rsidR="000C6F5B">
        <w:rPr>
          <w:rFonts w:ascii="Arial" w:hAnsi="Arial" w:cs="Arial"/>
          <w:sz w:val="20"/>
          <w:szCs w:val="20"/>
        </w:rPr>
        <w:t xml:space="preserve">ongoing suitability, the board (or nomination committee) should assess the INED’s mindset and determine if they can still provide </w:t>
      </w:r>
      <w:r w:rsidR="000C6F5B" w:rsidRPr="00214492">
        <w:rPr>
          <w:rFonts w:ascii="Arial" w:hAnsi="Arial" w:cs="Arial"/>
          <w:sz w:val="20"/>
          <w:szCs w:val="20"/>
        </w:rPr>
        <w:t>an independent and objective contribution</w:t>
      </w:r>
      <w:r w:rsidR="000C6F5B">
        <w:rPr>
          <w:rFonts w:ascii="Arial" w:hAnsi="Arial" w:cs="Arial"/>
          <w:sz w:val="20"/>
          <w:szCs w:val="20"/>
        </w:rPr>
        <w:t>.</w:t>
      </w:r>
      <w:r w:rsidR="000C6F5B" w:rsidRPr="002D57D8">
        <w:rPr>
          <w:rFonts w:ascii="Arial" w:hAnsi="Arial" w:cs="Arial"/>
          <w:sz w:val="20"/>
          <w:szCs w:val="20"/>
        </w:rPr>
        <w:t xml:space="preserve"> </w:t>
      </w:r>
      <w:r w:rsidR="002800D8" w:rsidRPr="002D57D8">
        <w:rPr>
          <w:rFonts w:ascii="Arial" w:hAnsi="Arial" w:cs="Arial"/>
          <w:sz w:val="20"/>
          <w:szCs w:val="20"/>
        </w:rPr>
        <w:t xml:space="preserve">The </w:t>
      </w:r>
      <w:proofErr w:type="spellStart"/>
      <w:r w:rsidR="002800D8" w:rsidRPr="002D57D8">
        <w:rPr>
          <w:rFonts w:ascii="Arial" w:hAnsi="Arial" w:cs="Arial"/>
          <w:sz w:val="20"/>
          <w:szCs w:val="20"/>
        </w:rPr>
        <w:t>HKE</w:t>
      </w:r>
      <w:r w:rsidR="00291ED2">
        <w:rPr>
          <w:rFonts w:ascii="Arial" w:hAnsi="Arial" w:cs="Arial"/>
          <w:sz w:val="20"/>
          <w:szCs w:val="20"/>
        </w:rPr>
        <w:t>x</w:t>
      </w:r>
      <w:proofErr w:type="spellEnd"/>
      <w:r w:rsidR="002800D8" w:rsidRPr="002D57D8">
        <w:rPr>
          <w:rFonts w:ascii="Arial" w:hAnsi="Arial" w:cs="Arial"/>
          <w:sz w:val="20"/>
          <w:szCs w:val="20"/>
        </w:rPr>
        <w:t xml:space="preserve"> also encouraged the use of board evaluations and board skills matrix</w:t>
      </w:r>
      <w:r w:rsidR="000C6F5B">
        <w:rPr>
          <w:rFonts w:ascii="Arial" w:hAnsi="Arial" w:cs="Arial"/>
          <w:sz w:val="20"/>
          <w:szCs w:val="20"/>
        </w:rPr>
        <w:t>es</w:t>
      </w:r>
      <w:r w:rsidR="002800D8" w:rsidRPr="002D57D8">
        <w:rPr>
          <w:rFonts w:ascii="Arial" w:hAnsi="Arial" w:cs="Arial"/>
          <w:sz w:val="20"/>
          <w:szCs w:val="20"/>
        </w:rPr>
        <w:t xml:space="preserve"> to assess the abilities of the board and </w:t>
      </w:r>
      <w:r w:rsidR="000C6F5B">
        <w:rPr>
          <w:rFonts w:ascii="Arial" w:hAnsi="Arial" w:cs="Arial"/>
          <w:sz w:val="20"/>
          <w:szCs w:val="20"/>
        </w:rPr>
        <w:t>any</w:t>
      </w:r>
      <w:r w:rsidR="002800D8" w:rsidRPr="002D57D8">
        <w:rPr>
          <w:rFonts w:ascii="Arial" w:hAnsi="Arial" w:cs="Arial"/>
          <w:sz w:val="20"/>
          <w:szCs w:val="20"/>
        </w:rPr>
        <w:t xml:space="preserve"> deficiencies. </w:t>
      </w:r>
    </w:p>
    <w:p w:rsidR="00F066D2" w:rsidRPr="002D57D8" w:rsidRDefault="001475F3" w:rsidP="0056523B">
      <w:pPr>
        <w:jc w:val="both"/>
        <w:rPr>
          <w:rFonts w:ascii="Arial" w:hAnsi="Arial" w:cs="Arial"/>
          <w:b/>
          <w:sz w:val="20"/>
          <w:szCs w:val="20"/>
        </w:rPr>
      </w:pPr>
      <w:r>
        <w:rPr>
          <w:rFonts w:ascii="Arial" w:hAnsi="Arial" w:cs="Arial"/>
          <w:b/>
          <w:sz w:val="20"/>
          <w:szCs w:val="20"/>
        </w:rPr>
        <w:t>Board D</w:t>
      </w:r>
      <w:r w:rsidR="00457FFE" w:rsidRPr="002D57D8">
        <w:rPr>
          <w:rFonts w:ascii="Arial" w:hAnsi="Arial" w:cs="Arial"/>
          <w:b/>
          <w:sz w:val="20"/>
          <w:szCs w:val="20"/>
        </w:rPr>
        <w:t xml:space="preserve">iversity </w:t>
      </w:r>
    </w:p>
    <w:p w:rsidR="00954A5A" w:rsidRPr="00F06C80" w:rsidRDefault="00457FFE" w:rsidP="0056523B">
      <w:pPr>
        <w:jc w:val="both"/>
        <w:rPr>
          <w:rFonts w:ascii="Arial" w:hAnsi="Arial" w:cs="Arial"/>
          <w:sz w:val="20"/>
          <w:szCs w:val="20"/>
        </w:rPr>
      </w:pPr>
      <w:r w:rsidRPr="002D57D8">
        <w:rPr>
          <w:rFonts w:ascii="Arial" w:hAnsi="Arial" w:cs="Arial"/>
          <w:sz w:val="20"/>
          <w:szCs w:val="20"/>
        </w:rPr>
        <w:t xml:space="preserve">The </w:t>
      </w:r>
      <w:proofErr w:type="spellStart"/>
      <w:r w:rsidRPr="002D57D8">
        <w:rPr>
          <w:rFonts w:ascii="Arial" w:hAnsi="Arial" w:cs="Arial"/>
          <w:sz w:val="20"/>
          <w:szCs w:val="20"/>
        </w:rPr>
        <w:t>HKE</w:t>
      </w:r>
      <w:r w:rsidR="00291ED2">
        <w:rPr>
          <w:rFonts w:ascii="Arial" w:hAnsi="Arial" w:cs="Arial"/>
          <w:sz w:val="20"/>
          <w:szCs w:val="20"/>
        </w:rPr>
        <w:t>x</w:t>
      </w:r>
      <w:proofErr w:type="spellEnd"/>
      <w:r w:rsidRPr="002D57D8">
        <w:rPr>
          <w:rFonts w:ascii="Arial" w:hAnsi="Arial" w:cs="Arial"/>
          <w:sz w:val="20"/>
          <w:szCs w:val="20"/>
        </w:rPr>
        <w:t xml:space="preserve"> believes that </w:t>
      </w:r>
      <w:r w:rsidR="001F2B49">
        <w:rPr>
          <w:rFonts w:ascii="Arial" w:hAnsi="Arial" w:cs="Arial"/>
          <w:sz w:val="20"/>
          <w:szCs w:val="20"/>
        </w:rPr>
        <w:t xml:space="preserve">board </w:t>
      </w:r>
      <w:r w:rsidRPr="002D57D8">
        <w:rPr>
          <w:rFonts w:ascii="Arial" w:hAnsi="Arial" w:cs="Arial"/>
          <w:sz w:val="20"/>
          <w:szCs w:val="20"/>
        </w:rPr>
        <w:t>diversity introduc</w:t>
      </w:r>
      <w:r w:rsidR="001F2B49">
        <w:rPr>
          <w:rFonts w:ascii="Arial" w:hAnsi="Arial" w:cs="Arial"/>
          <w:sz w:val="20"/>
          <w:szCs w:val="20"/>
        </w:rPr>
        <w:t>es</w:t>
      </w:r>
      <w:r w:rsidRPr="002D57D8">
        <w:rPr>
          <w:rFonts w:ascii="Arial" w:hAnsi="Arial" w:cs="Arial"/>
          <w:sz w:val="20"/>
          <w:szCs w:val="20"/>
        </w:rPr>
        <w:t xml:space="preserve"> diverse viewpoints to the board </w:t>
      </w:r>
      <w:r w:rsidR="001F2B49">
        <w:rPr>
          <w:rFonts w:ascii="Arial" w:hAnsi="Arial" w:cs="Arial"/>
          <w:sz w:val="20"/>
          <w:szCs w:val="20"/>
        </w:rPr>
        <w:t xml:space="preserve">and improves </w:t>
      </w:r>
      <w:r w:rsidR="009A1436" w:rsidRPr="002D57D8">
        <w:rPr>
          <w:rFonts w:ascii="Arial" w:hAnsi="Arial" w:cs="Arial"/>
          <w:sz w:val="20"/>
          <w:szCs w:val="20"/>
        </w:rPr>
        <w:t xml:space="preserve">board performance and decision-making. </w:t>
      </w:r>
      <w:r w:rsidRPr="00F06C80">
        <w:rPr>
          <w:rFonts w:ascii="Arial" w:hAnsi="Arial" w:cs="Arial"/>
          <w:sz w:val="20"/>
          <w:szCs w:val="20"/>
        </w:rPr>
        <w:t>Under Main Board Listing Rule 13.92</w:t>
      </w:r>
      <w:r w:rsidR="0029205B">
        <w:rPr>
          <w:rFonts w:ascii="Arial" w:hAnsi="Arial" w:cs="Arial"/>
          <w:sz w:val="20"/>
          <w:szCs w:val="20"/>
        </w:rPr>
        <w:t xml:space="preserve"> (GEM Listing Rule 17.104)</w:t>
      </w:r>
      <w:r w:rsidRPr="00F06C80">
        <w:rPr>
          <w:rFonts w:ascii="Arial" w:hAnsi="Arial" w:cs="Arial"/>
          <w:sz w:val="20"/>
          <w:szCs w:val="20"/>
        </w:rPr>
        <w:t xml:space="preserve">, the nomination committee </w:t>
      </w:r>
      <w:r w:rsidR="001F2B49">
        <w:rPr>
          <w:rFonts w:ascii="Arial" w:hAnsi="Arial" w:cs="Arial"/>
          <w:sz w:val="20"/>
          <w:szCs w:val="20"/>
        </w:rPr>
        <w:t xml:space="preserve">(or the board) </w:t>
      </w:r>
      <w:r w:rsidRPr="00F06C80">
        <w:rPr>
          <w:rFonts w:ascii="Arial" w:hAnsi="Arial" w:cs="Arial"/>
          <w:sz w:val="20"/>
          <w:szCs w:val="20"/>
        </w:rPr>
        <w:t xml:space="preserve">must </w:t>
      </w:r>
      <w:r w:rsidR="001F2B49">
        <w:rPr>
          <w:rFonts w:ascii="Arial" w:hAnsi="Arial" w:cs="Arial"/>
          <w:sz w:val="20"/>
          <w:szCs w:val="20"/>
        </w:rPr>
        <w:t xml:space="preserve">have </w:t>
      </w:r>
      <w:r w:rsidRPr="00F06C80">
        <w:rPr>
          <w:rFonts w:ascii="Arial" w:hAnsi="Arial" w:cs="Arial"/>
          <w:sz w:val="20"/>
          <w:szCs w:val="20"/>
        </w:rPr>
        <w:t xml:space="preserve">a policy ensuring diversity of board members and all listed companies must appoint at least one director of a different gender by 31 December 2024. </w:t>
      </w:r>
      <w:r w:rsidR="00E90110" w:rsidRPr="00F06C80">
        <w:rPr>
          <w:rFonts w:ascii="Arial" w:hAnsi="Arial" w:cs="Arial"/>
          <w:sz w:val="20"/>
          <w:szCs w:val="20"/>
        </w:rPr>
        <w:t>Add</w:t>
      </w:r>
      <w:r w:rsidR="00F06C80">
        <w:rPr>
          <w:rFonts w:ascii="Arial" w:hAnsi="Arial" w:cs="Arial"/>
          <w:sz w:val="20"/>
          <w:szCs w:val="20"/>
        </w:rPr>
        <w:t>itionally, p</w:t>
      </w:r>
      <w:r w:rsidRPr="00F06C80">
        <w:rPr>
          <w:rFonts w:ascii="Arial" w:hAnsi="Arial" w:cs="Arial"/>
          <w:sz w:val="20"/>
          <w:szCs w:val="20"/>
        </w:rPr>
        <w:t>aragraph J of the Mandatory Disclosure Requirements</w:t>
      </w:r>
      <w:r w:rsidRPr="00F06C80">
        <w:rPr>
          <w:rStyle w:val="a9"/>
          <w:rFonts w:ascii="Arial" w:hAnsi="Arial" w:cs="Arial"/>
          <w:sz w:val="20"/>
          <w:szCs w:val="20"/>
        </w:rPr>
        <w:footnoteReference w:id="3"/>
      </w:r>
      <w:r w:rsidRPr="00F06C80">
        <w:rPr>
          <w:rFonts w:ascii="Arial" w:hAnsi="Arial" w:cs="Arial"/>
          <w:sz w:val="20"/>
          <w:szCs w:val="20"/>
        </w:rPr>
        <w:t xml:space="preserve"> and</w:t>
      </w:r>
      <w:r w:rsidR="007619AD" w:rsidRPr="00F06C80">
        <w:rPr>
          <w:rFonts w:ascii="Arial" w:hAnsi="Arial" w:cs="Arial"/>
          <w:sz w:val="20"/>
          <w:szCs w:val="20"/>
        </w:rPr>
        <w:t xml:space="preserve"> </w:t>
      </w:r>
      <w:r w:rsidR="00F06C80" w:rsidRPr="00F06C80">
        <w:rPr>
          <w:rFonts w:ascii="Arial" w:hAnsi="Arial" w:cs="Arial"/>
          <w:sz w:val="20"/>
          <w:szCs w:val="20"/>
        </w:rPr>
        <w:t>CP</w:t>
      </w:r>
      <w:r w:rsidR="003F2BC7" w:rsidRPr="00F06C80">
        <w:rPr>
          <w:rFonts w:ascii="Arial" w:hAnsi="Arial" w:cs="Arial"/>
          <w:sz w:val="20"/>
          <w:szCs w:val="20"/>
        </w:rPr>
        <w:t xml:space="preserve"> </w:t>
      </w:r>
      <w:r w:rsidRPr="00F06C80">
        <w:rPr>
          <w:rFonts w:ascii="Arial" w:hAnsi="Arial" w:cs="Arial"/>
          <w:sz w:val="20"/>
          <w:szCs w:val="20"/>
        </w:rPr>
        <w:t xml:space="preserve">B.1.3 mandate listed companies to conduct a review of board diversity policies annually, set timed goals for board gender diversity, and disclose gender ratios with concrete objectives to enhance workforce gender diversity. </w:t>
      </w:r>
    </w:p>
    <w:p w:rsidR="009A1436" w:rsidRPr="002D57D8" w:rsidRDefault="00457FFE" w:rsidP="0056523B">
      <w:pPr>
        <w:jc w:val="both"/>
        <w:rPr>
          <w:rFonts w:ascii="Arial" w:hAnsi="Arial" w:cs="Arial"/>
          <w:sz w:val="20"/>
          <w:szCs w:val="20"/>
        </w:rPr>
      </w:pPr>
      <w:r w:rsidRPr="002D57D8">
        <w:rPr>
          <w:rFonts w:ascii="Arial" w:hAnsi="Arial" w:cs="Arial"/>
          <w:sz w:val="20"/>
          <w:szCs w:val="20"/>
        </w:rPr>
        <w:t xml:space="preserve">The </w:t>
      </w:r>
      <w:proofErr w:type="spellStart"/>
      <w:r w:rsidRPr="002D57D8">
        <w:rPr>
          <w:rFonts w:ascii="Arial" w:hAnsi="Arial" w:cs="Arial"/>
          <w:sz w:val="20"/>
          <w:szCs w:val="20"/>
        </w:rPr>
        <w:t>HKEx</w:t>
      </w:r>
      <w:proofErr w:type="spellEnd"/>
      <w:r w:rsidRPr="002D57D8">
        <w:rPr>
          <w:rFonts w:ascii="Arial" w:hAnsi="Arial" w:cs="Arial"/>
          <w:sz w:val="20"/>
          <w:szCs w:val="20"/>
        </w:rPr>
        <w:t xml:space="preserve"> found that as of 31 August 2022, 17.3% of directors of listed companies were female (</w:t>
      </w:r>
      <w:r w:rsidR="0029205B">
        <w:rPr>
          <w:rFonts w:ascii="Arial" w:hAnsi="Arial" w:cs="Arial"/>
          <w:sz w:val="20"/>
          <w:szCs w:val="20"/>
        </w:rPr>
        <w:t xml:space="preserve">compared to </w:t>
      </w:r>
      <w:r w:rsidRPr="002D57D8">
        <w:rPr>
          <w:rFonts w:ascii="Arial" w:hAnsi="Arial" w:cs="Arial"/>
          <w:sz w:val="20"/>
          <w:szCs w:val="20"/>
        </w:rPr>
        <w:t>15.2%</w:t>
      </w:r>
      <w:r w:rsidR="0029205B">
        <w:rPr>
          <w:rFonts w:ascii="Arial" w:hAnsi="Arial" w:cs="Arial"/>
          <w:sz w:val="20"/>
          <w:szCs w:val="20"/>
        </w:rPr>
        <w:t xml:space="preserve"> before the 2022 Update</w:t>
      </w:r>
      <w:r w:rsidRPr="002D57D8">
        <w:rPr>
          <w:rFonts w:ascii="Arial" w:hAnsi="Arial" w:cs="Arial"/>
          <w:sz w:val="20"/>
          <w:szCs w:val="20"/>
        </w:rPr>
        <w:t>) and 21.4% of all listed companies ha</w:t>
      </w:r>
      <w:r w:rsidR="0029205B">
        <w:rPr>
          <w:rFonts w:ascii="Arial" w:hAnsi="Arial" w:cs="Arial"/>
          <w:sz w:val="20"/>
          <w:szCs w:val="20"/>
        </w:rPr>
        <w:t>d</w:t>
      </w:r>
      <w:r w:rsidRPr="002D57D8">
        <w:rPr>
          <w:rFonts w:ascii="Arial" w:hAnsi="Arial" w:cs="Arial"/>
          <w:sz w:val="20"/>
          <w:szCs w:val="20"/>
        </w:rPr>
        <w:t xml:space="preserve"> single-gender boards (</w:t>
      </w:r>
      <w:r w:rsidR="0029205B">
        <w:rPr>
          <w:rFonts w:ascii="Arial" w:hAnsi="Arial" w:cs="Arial"/>
          <w:sz w:val="20"/>
          <w:szCs w:val="20"/>
        </w:rPr>
        <w:t xml:space="preserve">compared to </w:t>
      </w:r>
      <w:r w:rsidRPr="002D57D8">
        <w:rPr>
          <w:rFonts w:ascii="Arial" w:hAnsi="Arial" w:cs="Arial"/>
          <w:sz w:val="20"/>
          <w:szCs w:val="20"/>
        </w:rPr>
        <w:t>29.6%</w:t>
      </w:r>
      <w:r w:rsidR="0029205B">
        <w:rPr>
          <w:rFonts w:ascii="Arial" w:hAnsi="Arial" w:cs="Arial"/>
          <w:sz w:val="20"/>
          <w:szCs w:val="20"/>
        </w:rPr>
        <w:t xml:space="preserve"> before the 2022 Update</w:t>
      </w:r>
      <w:r w:rsidRPr="002D57D8">
        <w:rPr>
          <w:rFonts w:ascii="Arial" w:hAnsi="Arial" w:cs="Arial"/>
          <w:sz w:val="20"/>
          <w:szCs w:val="20"/>
        </w:rPr>
        <w:t xml:space="preserve">). </w:t>
      </w:r>
      <w:r w:rsidR="00547C48" w:rsidRPr="002D57D8">
        <w:rPr>
          <w:rFonts w:ascii="Arial" w:hAnsi="Arial" w:cs="Arial"/>
          <w:sz w:val="20"/>
          <w:szCs w:val="20"/>
        </w:rPr>
        <w:t>It also noted that the proportion of female chairs of Nomination Committees, Audit Committees and Remuneration Committees remain</w:t>
      </w:r>
      <w:r w:rsidR="00B67FBD">
        <w:rPr>
          <w:rFonts w:ascii="Arial" w:hAnsi="Arial" w:cs="Arial"/>
          <w:sz w:val="20"/>
          <w:szCs w:val="20"/>
        </w:rPr>
        <w:t>ed</w:t>
      </w:r>
      <w:r w:rsidR="00547C48" w:rsidRPr="002D57D8">
        <w:rPr>
          <w:rFonts w:ascii="Arial" w:hAnsi="Arial" w:cs="Arial"/>
          <w:sz w:val="20"/>
          <w:szCs w:val="20"/>
        </w:rPr>
        <w:t xml:space="preserve"> low at 10%, 9% and 12%</w:t>
      </w:r>
      <w:r w:rsidR="0029205B">
        <w:rPr>
          <w:rFonts w:ascii="Arial" w:hAnsi="Arial" w:cs="Arial"/>
          <w:sz w:val="20"/>
          <w:szCs w:val="20"/>
        </w:rPr>
        <w:t>,</w:t>
      </w:r>
      <w:r w:rsidR="00547C48" w:rsidRPr="002D57D8">
        <w:rPr>
          <w:rFonts w:ascii="Arial" w:hAnsi="Arial" w:cs="Arial"/>
          <w:sz w:val="20"/>
          <w:szCs w:val="20"/>
        </w:rPr>
        <w:t xml:space="preserve"> respectively. </w:t>
      </w:r>
      <w:r w:rsidR="00E90110" w:rsidRPr="002D57D8">
        <w:rPr>
          <w:rFonts w:ascii="Arial" w:hAnsi="Arial" w:cs="Arial"/>
          <w:sz w:val="20"/>
          <w:szCs w:val="20"/>
        </w:rPr>
        <w:t>All sampled listed companies ha</w:t>
      </w:r>
      <w:r w:rsidR="0029205B">
        <w:rPr>
          <w:rFonts w:ascii="Arial" w:hAnsi="Arial" w:cs="Arial"/>
          <w:sz w:val="20"/>
          <w:szCs w:val="20"/>
        </w:rPr>
        <w:t>d</w:t>
      </w:r>
      <w:r w:rsidR="00E90110" w:rsidRPr="002D57D8">
        <w:rPr>
          <w:rFonts w:ascii="Arial" w:hAnsi="Arial" w:cs="Arial"/>
          <w:sz w:val="20"/>
          <w:szCs w:val="20"/>
        </w:rPr>
        <w:t xml:space="preserve"> put in place and annually reviewed their board diversity policies, however around 40% failed to disclose timelines and targets </w:t>
      </w:r>
      <w:r w:rsidR="0029205B">
        <w:rPr>
          <w:rFonts w:ascii="Arial" w:hAnsi="Arial" w:cs="Arial"/>
          <w:sz w:val="20"/>
          <w:szCs w:val="20"/>
        </w:rPr>
        <w:t>f</w:t>
      </w:r>
      <w:r w:rsidR="00E90110" w:rsidRPr="002D57D8">
        <w:rPr>
          <w:rFonts w:ascii="Arial" w:hAnsi="Arial" w:cs="Arial"/>
          <w:sz w:val="20"/>
          <w:szCs w:val="20"/>
        </w:rPr>
        <w:t>o</w:t>
      </w:r>
      <w:r w:rsidR="0029205B">
        <w:rPr>
          <w:rFonts w:ascii="Arial" w:hAnsi="Arial" w:cs="Arial"/>
          <w:sz w:val="20"/>
          <w:szCs w:val="20"/>
        </w:rPr>
        <w:t>r</w:t>
      </w:r>
      <w:r w:rsidR="00E90110" w:rsidRPr="002D57D8">
        <w:rPr>
          <w:rFonts w:ascii="Arial" w:hAnsi="Arial" w:cs="Arial"/>
          <w:sz w:val="20"/>
          <w:szCs w:val="20"/>
        </w:rPr>
        <w:t xml:space="preserve"> achiev</w:t>
      </w:r>
      <w:r w:rsidR="0029205B">
        <w:rPr>
          <w:rFonts w:ascii="Arial" w:hAnsi="Arial" w:cs="Arial"/>
          <w:sz w:val="20"/>
          <w:szCs w:val="20"/>
        </w:rPr>
        <w:t>ing</w:t>
      </w:r>
      <w:r w:rsidR="00E90110" w:rsidRPr="002D57D8">
        <w:rPr>
          <w:rFonts w:ascii="Arial" w:hAnsi="Arial" w:cs="Arial"/>
          <w:sz w:val="20"/>
          <w:szCs w:val="20"/>
        </w:rPr>
        <w:t xml:space="preserve"> </w:t>
      </w:r>
      <w:r w:rsidR="0029205B">
        <w:rPr>
          <w:rFonts w:ascii="Arial" w:hAnsi="Arial" w:cs="Arial"/>
          <w:sz w:val="20"/>
          <w:szCs w:val="20"/>
        </w:rPr>
        <w:t xml:space="preserve">board </w:t>
      </w:r>
      <w:r w:rsidR="00E90110" w:rsidRPr="002D57D8">
        <w:rPr>
          <w:rFonts w:ascii="Arial" w:hAnsi="Arial" w:cs="Arial"/>
          <w:sz w:val="20"/>
          <w:szCs w:val="20"/>
        </w:rPr>
        <w:t>gender diversit</w:t>
      </w:r>
      <w:r w:rsidR="00C61298">
        <w:rPr>
          <w:rFonts w:ascii="Arial" w:hAnsi="Arial" w:cs="Arial"/>
          <w:sz w:val="20"/>
          <w:szCs w:val="20"/>
        </w:rPr>
        <w:t xml:space="preserve">y </w:t>
      </w:r>
      <w:r w:rsidR="00C61298">
        <w:rPr>
          <w:rFonts w:ascii="Arial" w:hAnsi="Arial" w:cs="Arial"/>
          <w:sz w:val="20"/>
          <w:szCs w:val="20"/>
        </w:rPr>
        <w:lastRenderedPageBreak/>
        <w:t>as required under the Corporate Governance Code.</w:t>
      </w:r>
      <w:r w:rsidRPr="002D57D8">
        <w:rPr>
          <w:rStyle w:val="a9"/>
          <w:rFonts w:ascii="Arial" w:hAnsi="Arial" w:cs="Arial"/>
          <w:sz w:val="20"/>
          <w:szCs w:val="20"/>
        </w:rPr>
        <w:footnoteReference w:id="4"/>
      </w:r>
      <w:r w:rsidR="003F2BC7" w:rsidRPr="002D57D8">
        <w:rPr>
          <w:rFonts w:ascii="Arial" w:hAnsi="Arial" w:cs="Arial"/>
          <w:sz w:val="20"/>
          <w:szCs w:val="20"/>
        </w:rPr>
        <w:t xml:space="preserve"> </w:t>
      </w:r>
      <w:r w:rsidR="00530D0D" w:rsidRPr="002D57D8">
        <w:rPr>
          <w:rFonts w:ascii="Arial" w:hAnsi="Arial" w:cs="Arial"/>
          <w:sz w:val="20"/>
          <w:szCs w:val="20"/>
        </w:rPr>
        <w:t xml:space="preserve"> Among the 60% that included gender diversity targets, most aim</w:t>
      </w:r>
      <w:r w:rsidR="0029205B">
        <w:rPr>
          <w:rFonts w:ascii="Arial" w:hAnsi="Arial" w:cs="Arial"/>
          <w:sz w:val="20"/>
          <w:szCs w:val="20"/>
        </w:rPr>
        <w:t>ed</w:t>
      </w:r>
      <w:r w:rsidR="00530D0D" w:rsidRPr="002D57D8">
        <w:rPr>
          <w:rFonts w:ascii="Arial" w:hAnsi="Arial" w:cs="Arial"/>
          <w:sz w:val="20"/>
          <w:szCs w:val="20"/>
        </w:rPr>
        <w:t xml:space="preserve"> to fulfill the gender diversity requirement under </w:t>
      </w:r>
      <w:r w:rsidR="0029205B">
        <w:rPr>
          <w:rFonts w:ascii="Arial" w:hAnsi="Arial" w:cs="Arial"/>
          <w:sz w:val="20"/>
          <w:szCs w:val="20"/>
        </w:rPr>
        <w:t xml:space="preserve">Main Board </w:t>
      </w:r>
      <w:r w:rsidR="00530D0D" w:rsidRPr="002D57D8">
        <w:rPr>
          <w:rFonts w:ascii="Arial" w:hAnsi="Arial" w:cs="Arial"/>
          <w:sz w:val="20"/>
          <w:szCs w:val="20"/>
        </w:rPr>
        <w:t xml:space="preserve">Listing Rule 13.92 </w:t>
      </w:r>
      <w:r w:rsidR="00547C48" w:rsidRPr="002D57D8">
        <w:rPr>
          <w:rFonts w:ascii="Arial" w:hAnsi="Arial" w:cs="Arial"/>
          <w:sz w:val="20"/>
          <w:szCs w:val="20"/>
        </w:rPr>
        <w:t xml:space="preserve">by the December 2024 deadline. </w:t>
      </w:r>
      <w:r w:rsidR="0037293C">
        <w:rPr>
          <w:rFonts w:ascii="Arial" w:hAnsi="Arial" w:cs="Arial"/>
          <w:sz w:val="20"/>
          <w:szCs w:val="20"/>
        </w:rPr>
        <w:t xml:space="preserve">Some listed companies </w:t>
      </w:r>
      <w:r w:rsidR="00547C48" w:rsidRPr="002D57D8">
        <w:rPr>
          <w:rFonts w:ascii="Arial" w:hAnsi="Arial" w:cs="Arial"/>
          <w:sz w:val="20"/>
          <w:szCs w:val="20"/>
        </w:rPr>
        <w:t xml:space="preserve">set targets beyond the basic requirements such as committing to ensure </w:t>
      </w:r>
      <w:r w:rsidR="0037293C">
        <w:rPr>
          <w:rFonts w:ascii="Arial" w:hAnsi="Arial" w:cs="Arial"/>
          <w:sz w:val="20"/>
          <w:szCs w:val="20"/>
        </w:rPr>
        <w:t xml:space="preserve">that </w:t>
      </w:r>
      <w:r w:rsidR="00547C48" w:rsidRPr="002D57D8">
        <w:rPr>
          <w:rFonts w:ascii="Arial" w:hAnsi="Arial" w:cs="Arial"/>
          <w:sz w:val="20"/>
          <w:szCs w:val="20"/>
        </w:rPr>
        <w:t xml:space="preserve">20% of the board </w:t>
      </w:r>
      <w:r w:rsidR="0037293C">
        <w:rPr>
          <w:rFonts w:ascii="Arial" w:hAnsi="Arial" w:cs="Arial"/>
          <w:sz w:val="20"/>
          <w:szCs w:val="20"/>
        </w:rPr>
        <w:t xml:space="preserve">made up of </w:t>
      </w:r>
      <w:r w:rsidR="00547C48" w:rsidRPr="002D57D8">
        <w:rPr>
          <w:rFonts w:ascii="Arial" w:hAnsi="Arial" w:cs="Arial"/>
          <w:sz w:val="20"/>
          <w:szCs w:val="20"/>
        </w:rPr>
        <w:t xml:space="preserve">female directors by 2025 and actions to increase diversity at </w:t>
      </w:r>
      <w:r w:rsidR="0037293C">
        <w:rPr>
          <w:rFonts w:ascii="Arial" w:hAnsi="Arial" w:cs="Arial"/>
          <w:sz w:val="20"/>
          <w:szCs w:val="20"/>
        </w:rPr>
        <w:t xml:space="preserve">the workforce </w:t>
      </w:r>
      <w:r w:rsidR="00547C48" w:rsidRPr="002D57D8">
        <w:rPr>
          <w:rFonts w:ascii="Arial" w:hAnsi="Arial" w:cs="Arial"/>
          <w:sz w:val="20"/>
          <w:szCs w:val="20"/>
        </w:rPr>
        <w:t xml:space="preserve">level in addition to the board level. </w:t>
      </w:r>
    </w:p>
    <w:p w:rsidR="003B614B" w:rsidRPr="002D57D8" w:rsidRDefault="003B614B" w:rsidP="003B614B">
      <w:pPr>
        <w:jc w:val="both"/>
        <w:rPr>
          <w:rFonts w:ascii="Arial" w:hAnsi="Arial" w:cs="Arial"/>
          <w:sz w:val="20"/>
          <w:szCs w:val="20"/>
        </w:rPr>
      </w:pPr>
      <w:r w:rsidRPr="002D57D8">
        <w:rPr>
          <w:rFonts w:ascii="Arial" w:hAnsi="Arial" w:cs="Arial"/>
          <w:sz w:val="20"/>
          <w:szCs w:val="20"/>
        </w:rPr>
        <w:t xml:space="preserve">As part of the review, the </w:t>
      </w:r>
      <w:proofErr w:type="spellStart"/>
      <w:r w:rsidRPr="002D57D8">
        <w:rPr>
          <w:rFonts w:ascii="Arial" w:hAnsi="Arial" w:cs="Arial"/>
          <w:sz w:val="20"/>
          <w:szCs w:val="20"/>
        </w:rPr>
        <w:t>HKEx</w:t>
      </w:r>
      <w:proofErr w:type="spellEnd"/>
      <w:r w:rsidRPr="002D57D8">
        <w:rPr>
          <w:rFonts w:ascii="Arial" w:hAnsi="Arial" w:cs="Arial"/>
          <w:sz w:val="20"/>
          <w:szCs w:val="20"/>
        </w:rPr>
        <w:t xml:space="preserve"> also followed up on listed companies with a single-gender board listed between July 2019 and December 2020 </w:t>
      </w:r>
      <w:r>
        <w:rPr>
          <w:rFonts w:ascii="Arial" w:hAnsi="Arial" w:cs="Arial"/>
          <w:sz w:val="20"/>
          <w:szCs w:val="20"/>
        </w:rPr>
        <w:t xml:space="preserve">that had </w:t>
      </w:r>
      <w:r w:rsidRPr="002D57D8">
        <w:rPr>
          <w:rFonts w:ascii="Arial" w:hAnsi="Arial" w:cs="Arial"/>
          <w:sz w:val="20"/>
          <w:szCs w:val="20"/>
        </w:rPr>
        <w:t xml:space="preserve">yet to appoint a female director at the time of the </w:t>
      </w:r>
      <w:proofErr w:type="spellStart"/>
      <w:r w:rsidRPr="002D57D8">
        <w:rPr>
          <w:rFonts w:ascii="Arial" w:hAnsi="Arial" w:cs="Arial"/>
          <w:sz w:val="20"/>
          <w:szCs w:val="20"/>
        </w:rPr>
        <w:t>HKE</w:t>
      </w:r>
      <w:r>
        <w:rPr>
          <w:rFonts w:ascii="Arial" w:hAnsi="Arial" w:cs="Arial"/>
          <w:sz w:val="20"/>
          <w:szCs w:val="20"/>
        </w:rPr>
        <w:t>x</w:t>
      </w:r>
      <w:r w:rsidRPr="002D57D8">
        <w:rPr>
          <w:rFonts w:ascii="Arial" w:hAnsi="Arial" w:cs="Arial"/>
          <w:sz w:val="20"/>
          <w:szCs w:val="20"/>
        </w:rPr>
        <w:t>’s</w:t>
      </w:r>
      <w:proofErr w:type="spellEnd"/>
      <w:r w:rsidRPr="002D57D8">
        <w:rPr>
          <w:rFonts w:ascii="Arial" w:hAnsi="Arial" w:cs="Arial"/>
          <w:sz w:val="20"/>
          <w:szCs w:val="20"/>
        </w:rPr>
        <w:t xml:space="preserve"> </w:t>
      </w:r>
      <w:r w:rsidRPr="00667598">
        <w:rPr>
          <w:rFonts w:ascii="Arial" w:hAnsi="Arial" w:cs="Arial"/>
          <w:sz w:val="20"/>
          <w:szCs w:val="20"/>
        </w:rPr>
        <w:t>Analysis of IPO Applicants’ Corporate Governance</w:t>
      </w:r>
      <w:r>
        <w:rPr>
          <w:rFonts w:ascii="Arial" w:hAnsi="Arial" w:cs="Arial"/>
          <w:sz w:val="20"/>
          <w:szCs w:val="20"/>
        </w:rPr>
        <w:t xml:space="preserve"> in</w:t>
      </w:r>
      <w:r w:rsidRPr="00667598" w:rsidDel="00667598">
        <w:rPr>
          <w:rFonts w:ascii="Arial" w:hAnsi="Arial" w:cs="Arial"/>
          <w:sz w:val="20"/>
          <w:szCs w:val="20"/>
        </w:rPr>
        <w:t xml:space="preserve"> </w:t>
      </w:r>
      <w:r w:rsidRPr="002D57D8">
        <w:rPr>
          <w:rFonts w:ascii="Arial" w:hAnsi="Arial" w:cs="Arial"/>
          <w:sz w:val="20"/>
          <w:szCs w:val="20"/>
        </w:rPr>
        <w:t>2021</w:t>
      </w:r>
      <w:r w:rsidRPr="002D57D8">
        <w:rPr>
          <w:rStyle w:val="a9"/>
          <w:rFonts w:ascii="Arial" w:hAnsi="Arial" w:cs="Arial"/>
          <w:sz w:val="20"/>
          <w:szCs w:val="20"/>
        </w:rPr>
        <w:footnoteReference w:id="5"/>
      </w:r>
      <w:r w:rsidRPr="002D57D8">
        <w:rPr>
          <w:rFonts w:ascii="Arial" w:hAnsi="Arial" w:cs="Arial"/>
          <w:sz w:val="20"/>
          <w:szCs w:val="20"/>
        </w:rPr>
        <w:t xml:space="preserve"> and listed companies with a single-gender board listed between January 2021 and June 2022. Half of these listed companies ha</w:t>
      </w:r>
      <w:r>
        <w:rPr>
          <w:rFonts w:ascii="Arial" w:hAnsi="Arial" w:cs="Arial"/>
          <w:sz w:val="20"/>
          <w:szCs w:val="20"/>
        </w:rPr>
        <w:t>d</w:t>
      </w:r>
      <w:r w:rsidRPr="002D57D8">
        <w:rPr>
          <w:rFonts w:ascii="Arial" w:hAnsi="Arial" w:cs="Arial"/>
          <w:sz w:val="20"/>
          <w:szCs w:val="20"/>
        </w:rPr>
        <w:t xml:space="preserve"> already appointed a female director</w:t>
      </w:r>
      <w:r>
        <w:rPr>
          <w:rFonts w:ascii="Arial" w:hAnsi="Arial" w:cs="Arial"/>
          <w:sz w:val="20"/>
          <w:szCs w:val="20"/>
        </w:rPr>
        <w:t>,</w:t>
      </w:r>
      <w:r w:rsidRPr="002D57D8">
        <w:rPr>
          <w:rFonts w:ascii="Arial" w:hAnsi="Arial" w:cs="Arial"/>
          <w:sz w:val="20"/>
          <w:szCs w:val="20"/>
        </w:rPr>
        <w:t xml:space="preserve"> and most of those who </w:t>
      </w:r>
      <w:r>
        <w:rPr>
          <w:rFonts w:ascii="Arial" w:hAnsi="Arial" w:cs="Arial"/>
          <w:sz w:val="20"/>
          <w:szCs w:val="20"/>
        </w:rPr>
        <w:t xml:space="preserve">had </w:t>
      </w:r>
      <w:r w:rsidRPr="002D57D8">
        <w:rPr>
          <w:rFonts w:ascii="Arial" w:hAnsi="Arial" w:cs="Arial"/>
          <w:sz w:val="20"/>
          <w:szCs w:val="20"/>
        </w:rPr>
        <w:t>not ha</w:t>
      </w:r>
      <w:r>
        <w:rPr>
          <w:rFonts w:ascii="Arial" w:hAnsi="Arial" w:cs="Arial"/>
          <w:sz w:val="20"/>
          <w:szCs w:val="20"/>
        </w:rPr>
        <w:t>d</w:t>
      </w:r>
      <w:r w:rsidRPr="002D57D8">
        <w:rPr>
          <w:rFonts w:ascii="Arial" w:hAnsi="Arial" w:cs="Arial"/>
          <w:sz w:val="20"/>
          <w:szCs w:val="20"/>
        </w:rPr>
        <w:t xml:space="preserve"> committed to meet the December 2024 deadline. </w:t>
      </w:r>
    </w:p>
    <w:p w:rsidR="003B614B" w:rsidRPr="002D57D8" w:rsidRDefault="003B614B" w:rsidP="003B614B">
      <w:pPr>
        <w:jc w:val="both"/>
        <w:rPr>
          <w:rFonts w:ascii="Arial" w:hAnsi="Arial" w:cs="Arial"/>
          <w:sz w:val="20"/>
          <w:szCs w:val="20"/>
        </w:rPr>
      </w:pPr>
      <w:r w:rsidRPr="002D57D8">
        <w:rPr>
          <w:rFonts w:ascii="Arial" w:hAnsi="Arial" w:cs="Arial"/>
          <w:sz w:val="20"/>
          <w:szCs w:val="20"/>
        </w:rPr>
        <w:t xml:space="preserve">The </w:t>
      </w:r>
      <w:proofErr w:type="spellStart"/>
      <w:r w:rsidRPr="002D57D8">
        <w:rPr>
          <w:rFonts w:ascii="Arial" w:hAnsi="Arial" w:cs="Arial"/>
          <w:sz w:val="20"/>
          <w:szCs w:val="20"/>
        </w:rPr>
        <w:t>HKEx</w:t>
      </w:r>
      <w:proofErr w:type="spellEnd"/>
      <w:r w:rsidRPr="002D57D8">
        <w:rPr>
          <w:rFonts w:ascii="Arial" w:hAnsi="Arial" w:cs="Arial"/>
          <w:sz w:val="20"/>
          <w:szCs w:val="20"/>
        </w:rPr>
        <w:t xml:space="preserve"> warned listed companies </w:t>
      </w:r>
      <w:r>
        <w:rPr>
          <w:rFonts w:ascii="Arial" w:hAnsi="Arial" w:cs="Arial"/>
          <w:sz w:val="20"/>
          <w:szCs w:val="20"/>
        </w:rPr>
        <w:t xml:space="preserve">that still have single gender boards that they </w:t>
      </w:r>
      <w:r w:rsidRPr="002D57D8">
        <w:rPr>
          <w:rFonts w:ascii="Arial" w:hAnsi="Arial" w:cs="Arial"/>
          <w:sz w:val="20"/>
          <w:szCs w:val="20"/>
        </w:rPr>
        <w:t>should not delay compliance with Main Board Lis</w:t>
      </w:r>
      <w:r>
        <w:rPr>
          <w:rFonts w:ascii="Arial" w:hAnsi="Arial" w:cs="Arial"/>
          <w:sz w:val="20"/>
          <w:szCs w:val="20"/>
        </w:rPr>
        <w:t>ting Rule 13.92 and the Corporate Governance Code</w:t>
      </w:r>
      <w:r w:rsidRPr="002D57D8">
        <w:rPr>
          <w:rFonts w:ascii="Arial" w:hAnsi="Arial" w:cs="Arial"/>
          <w:sz w:val="20"/>
          <w:szCs w:val="20"/>
        </w:rPr>
        <w:t xml:space="preserve"> until closer to the December 2024 deadline</w:t>
      </w:r>
      <w:r>
        <w:rPr>
          <w:rFonts w:ascii="Arial" w:hAnsi="Arial" w:cs="Arial"/>
          <w:sz w:val="20"/>
          <w:szCs w:val="20"/>
        </w:rPr>
        <w:t>, but should take active steps to appoint at least one different gender director (for example on a director’s retirement by rotation)</w:t>
      </w:r>
      <w:r w:rsidRPr="002D57D8">
        <w:rPr>
          <w:rFonts w:ascii="Arial" w:hAnsi="Arial" w:cs="Arial"/>
          <w:sz w:val="20"/>
          <w:szCs w:val="20"/>
        </w:rPr>
        <w:t xml:space="preserve">. Listed companies are encouraged to adopt higher gender representation ratios depending on the skills, experience and needs of the current board and the circumstances of the company. </w:t>
      </w:r>
      <w:r>
        <w:rPr>
          <w:rFonts w:ascii="Arial" w:hAnsi="Arial" w:cs="Arial"/>
          <w:sz w:val="20"/>
          <w:szCs w:val="20"/>
        </w:rPr>
        <w:t xml:space="preserve">The </w:t>
      </w:r>
      <w:proofErr w:type="spellStart"/>
      <w:r>
        <w:rPr>
          <w:rFonts w:ascii="Arial" w:hAnsi="Arial" w:cs="Arial"/>
          <w:sz w:val="20"/>
          <w:szCs w:val="20"/>
        </w:rPr>
        <w:t>HKEx</w:t>
      </w:r>
      <w:proofErr w:type="spellEnd"/>
      <w:r>
        <w:rPr>
          <w:rFonts w:ascii="Arial" w:hAnsi="Arial" w:cs="Arial"/>
          <w:sz w:val="20"/>
          <w:szCs w:val="20"/>
        </w:rPr>
        <w:t xml:space="preserve"> reminded listed companies that they need to disclose numerical targets and timelines for achieving board gender diversity. It recommended disclosing: </w:t>
      </w:r>
      <w:r w:rsidRPr="002D57D8">
        <w:rPr>
          <w:rFonts w:ascii="Arial" w:hAnsi="Arial" w:cs="Arial"/>
          <w:sz w:val="20"/>
          <w:szCs w:val="20"/>
        </w:rPr>
        <w:t xml:space="preserve">details of the </w:t>
      </w:r>
      <w:r>
        <w:rPr>
          <w:rFonts w:ascii="Arial" w:hAnsi="Arial" w:cs="Arial"/>
          <w:sz w:val="20"/>
          <w:szCs w:val="20"/>
        </w:rPr>
        <w:t xml:space="preserve">actions taken by the listed company and the </w:t>
      </w:r>
      <w:proofErr w:type="spellStart"/>
      <w:r w:rsidRPr="002D57D8">
        <w:rPr>
          <w:rFonts w:ascii="Arial" w:hAnsi="Arial" w:cs="Arial"/>
          <w:sz w:val="20"/>
          <w:szCs w:val="20"/>
        </w:rPr>
        <w:t>program</w:t>
      </w:r>
      <w:r>
        <w:rPr>
          <w:rFonts w:ascii="Arial" w:hAnsi="Arial" w:cs="Arial"/>
          <w:sz w:val="20"/>
          <w:szCs w:val="20"/>
        </w:rPr>
        <w:t>me</w:t>
      </w:r>
      <w:r w:rsidRPr="002D57D8">
        <w:rPr>
          <w:rFonts w:ascii="Arial" w:hAnsi="Arial" w:cs="Arial"/>
          <w:sz w:val="20"/>
          <w:szCs w:val="20"/>
        </w:rPr>
        <w:t>s</w:t>
      </w:r>
      <w:proofErr w:type="spellEnd"/>
      <w:r w:rsidRPr="002D57D8">
        <w:rPr>
          <w:rFonts w:ascii="Arial" w:hAnsi="Arial" w:cs="Arial"/>
          <w:sz w:val="20"/>
          <w:szCs w:val="20"/>
        </w:rPr>
        <w:t xml:space="preserve"> </w:t>
      </w:r>
      <w:r>
        <w:rPr>
          <w:rFonts w:ascii="Arial" w:hAnsi="Arial" w:cs="Arial"/>
          <w:sz w:val="20"/>
          <w:szCs w:val="20"/>
        </w:rPr>
        <w:t xml:space="preserve">it has put </w:t>
      </w:r>
      <w:r w:rsidRPr="002D57D8">
        <w:rPr>
          <w:rFonts w:ascii="Arial" w:hAnsi="Arial" w:cs="Arial"/>
          <w:sz w:val="20"/>
          <w:szCs w:val="20"/>
        </w:rPr>
        <w:t>in place</w:t>
      </w:r>
      <w:r>
        <w:rPr>
          <w:rFonts w:ascii="Arial" w:hAnsi="Arial" w:cs="Arial"/>
          <w:sz w:val="20"/>
          <w:szCs w:val="20"/>
        </w:rPr>
        <w:t xml:space="preserve"> and information on its progress </w:t>
      </w:r>
      <w:r w:rsidRPr="002D57D8">
        <w:rPr>
          <w:rFonts w:ascii="Arial" w:hAnsi="Arial" w:cs="Arial"/>
          <w:sz w:val="20"/>
          <w:szCs w:val="20"/>
        </w:rPr>
        <w:t xml:space="preserve">in meeting </w:t>
      </w:r>
      <w:r>
        <w:rPr>
          <w:rFonts w:ascii="Arial" w:hAnsi="Arial" w:cs="Arial"/>
          <w:sz w:val="20"/>
          <w:szCs w:val="20"/>
        </w:rPr>
        <w:t>its numerical targets and timelines,</w:t>
      </w:r>
      <w:r w:rsidRPr="002D57D8" w:rsidDel="00A95A87">
        <w:rPr>
          <w:rFonts w:ascii="Arial" w:hAnsi="Arial" w:cs="Arial"/>
          <w:sz w:val="20"/>
          <w:szCs w:val="20"/>
        </w:rPr>
        <w:t xml:space="preserve"> </w:t>
      </w:r>
      <w:r w:rsidRPr="002D57D8">
        <w:rPr>
          <w:rFonts w:ascii="Arial" w:hAnsi="Arial" w:cs="Arial"/>
          <w:sz w:val="20"/>
          <w:szCs w:val="20"/>
        </w:rPr>
        <w:t xml:space="preserve">and </w:t>
      </w:r>
      <w:r>
        <w:rPr>
          <w:rFonts w:ascii="Arial" w:hAnsi="Arial" w:cs="Arial"/>
          <w:sz w:val="20"/>
          <w:szCs w:val="20"/>
        </w:rPr>
        <w:t>if they will not be met, the steps it is taking to achieve its diversity goals</w:t>
      </w:r>
      <w:r w:rsidRPr="002D57D8">
        <w:rPr>
          <w:rFonts w:ascii="Arial" w:hAnsi="Arial" w:cs="Arial"/>
          <w:sz w:val="20"/>
          <w:szCs w:val="20"/>
        </w:rPr>
        <w:t xml:space="preserve">. Where </w:t>
      </w:r>
      <w:r>
        <w:rPr>
          <w:rFonts w:ascii="Arial" w:hAnsi="Arial" w:cs="Arial"/>
          <w:sz w:val="20"/>
          <w:szCs w:val="20"/>
        </w:rPr>
        <w:t xml:space="preserve">a diversity target or </w:t>
      </w:r>
      <w:r w:rsidRPr="002D57D8">
        <w:rPr>
          <w:rFonts w:ascii="Arial" w:hAnsi="Arial" w:cs="Arial"/>
          <w:sz w:val="20"/>
          <w:szCs w:val="20"/>
        </w:rPr>
        <w:t>timeline</w:t>
      </w:r>
      <w:r>
        <w:rPr>
          <w:rFonts w:ascii="Arial" w:hAnsi="Arial" w:cs="Arial"/>
          <w:sz w:val="20"/>
          <w:szCs w:val="20"/>
        </w:rPr>
        <w:t xml:space="preserve"> is revised</w:t>
      </w:r>
      <w:r w:rsidRPr="002D57D8">
        <w:rPr>
          <w:rFonts w:ascii="Arial" w:hAnsi="Arial" w:cs="Arial"/>
          <w:sz w:val="20"/>
          <w:szCs w:val="20"/>
        </w:rPr>
        <w:t xml:space="preserve">, </w:t>
      </w:r>
      <w:r>
        <w:rPr>
          <w:rFonts w:ascii="Arial" w:hAnsi="Arial" w:cs="Arial"/>
          <w:sz w:val="20"/>
          <w:szCs w:val="20"/>
        </w:rPr>
        <w:t xml:space="preserve">or circumstances </w:t>
      </w:r>
      <w:r w:rsidR="003B77F5">
        <w:rPr>
          <w:rFonts w:ascii="Arial" w:hAnsi="Arial" w:cs="Arial"/>
          <w:sz w:val="20"/>
          <w:szCs w:val="20"/>
        </w:rPr>
        <w:t>have</w:t>
      </w:r>
      <w:r>
        <w:rPr>
          <w:rFonts w:ascii="Arial" w:hAnsi="Arial" w:cs="Arial"/>
          <w:sz w:val="20"/>
          <w:szCs w:val="20"/>
        </w:rPr>
        <w:t xml:space="preserve"> changed making it more difficult for a listed company to meet its diversity commitments, </w:t>
      </w:r>
      <w:r w:rsidRPr="002D57D8">
        <w:rPr>
          <w:rFonts w:ascii="Arial" w:hAnsi="Arial" w:cs="Arial"/>
          <w:sz w:val="20"/>
          <w:szCs w:val="20"/>
        </w:rPr>
        <w:t xml:space="preserve">listed companies should </w:t>
      </w:r>
      <w:r>
        <w:rPr>
          <w:rFonts w:ascii="Arial" w:hAnsi="Arial" w:cs="Arial"/>
          <w:sz w:val="20"/>
          <w:szCs w:val="20"/>
        </w:rPr>
        <w:t>give a reasoned explanation</w:t>
      </w:r>
      <w:r w:rsidRPr="002D57D8">
        <w:rPr>
          <w:rFonts w:ascii="Arial" w:hAnsi="Arial" w:cs="Arial"/>
          <w:sz w:val="20"/>
          <w:szCs w:val="20"/>
        </w:rPr>
        <w:t xml:space="preserve">. Although not compulsory, the </w:t>
      </w:r>
      <w:proofErr w:type="spellStart"/>
      <w:r w:rsidRPr="002D57D8">
        <w:rPr>
          <w:rFonts w:ascii="Arial" w:hAnsi="Arial" w:cs="Arial"/>
          <w:sz w:val="20"/>
          <w:szCs w:val="20"/>
        </w:rPr>
        <w:t>HKE</w:t>
      </w:r>
      <w:r>
        <w:rPr>
          <w:rFonts w:ascii="Arial" w:hAnsi="Arial" w:cs="Arial"/>
          <w:sz w:val="20"/>
          <w:szCs w:val="20"/>
        </w:rPr>
        <w:t>x</w:t>
      </w:r>
      <w:proofErr w:type="spellEnd"/>
      <w:r w:rsidRPr="002D57D8">
        <w:rPr>
          <w:rFonts w:ascii="Arial" w:hAnsi="Arial" w:cs="Arial"/>
          <w:sz w:val="20"/>
          <w:szCs w:val="20"/>
        </w:rPr>
        <w:t xml:space="preserve"> also encourages listed companies to foster a more diverse talent pipeline and increase gender diversity </w:t>
      </w:r>
      <w:r>
        <w:rPr>
          <w:rFonts w:ascii="Arial" w:hAnsi="Arial" w:cs="Arial"/>
          <w:sz w:val="20"/>
          <w:szCs w:val="20"/>
        </w:rPr>
        <w:t xml:space="preserve">on </w:t>
      </w:r>
      <w:r w:rsidRPr="002D57D8">
        <w:rPr>
          <w:rFonts w:ascii="Arial" w:hAnsi="Arial" w:cs="Arial"/>
          <w:sz w:val="20"/>
          <w:szCs w:val="20"/>
        </w:rPr>
        <w:t xml:space="preserve">board committees. </w:t>
      </w:r>
    </w:p>
    <w:p w:rsidR="00B23853" w:rsidRPr="002D57D8" w:rsidRDefault="00457FFE" w:rsidP="003F3F27">
      <w:pPr>
        <w:rPr>
          <w:rFonts w:ascii="Arial" w:hAnsi="Arial" w:cs="Arial"/>
          <w:b/>
          <w:sz w:val="20"/>
          <w:szCs w:val="20"/>
          <w:lang w:val="en-HK"/>
        </w:rPr>
      </w:pPr>
      <w:r w:rsidRPr="002D57D8">
        <w:rPr>
          <w:rFonts w:ascii="Arial" w:hAnsi="Arial" w:cs="Arial"/>
          <w:b/>
          <w:sz w:val="20"/>
          <w:szCs w:val="20"/>
        </w:rPr>
        <w:t xml:space="preserve">Risk </w:t>
      </w:r>
      <w:r w:rsidR="00C67F1F">
        <w:rPr>
          <w:rFonts w:ascii="Arial" w:hAnsi="Arial" w:cs="Arial"/>
          <w:b/>
          <w:sz w:val="20"/>
          <w:szCs w:val="20"/>
        </w:rPr>
        <w:t>M</w:t>
      </w:r>
      <w:r w:rsidRPr="002D57D8">
        <w:rPr>
          <w:rFonts w:ascii="Arial" w:hAnsi="Arial" w:cs="Arial"/>
          <w:b/>
          <w:sz w:val="20"/>
          <w:szCs w:val="20"/>
        </w:rPr>
        <w:t>anagement</w:t>
      </w:r>
      <w:r w:rsidRPr="002D57D8">
        <w:rPr>
          <w:rFonts w:ascii="Arial" w:hAnsi="Arial" w:cs="Arial"/>
          <w:b/>
          <w:sz w:val="20"/>
          <w:szCs w:val="20"/>
          <w:lang w:val="en-HK"/>
        </w:rPr>
        <w:t xml:space="preserve"> and </w:t>
      </w:r>
      <w:r w:rsidR="00C67F1F">
        <w:rPr>
          <w:rFonts w:ascii="Arial" w:hAnsi="Arial" w:cs="Arial"/>
          <w:b/>
          <w:sz w:val="20"/>
          <w:szCs w:val="20"/>
          <w:lang w:val="en-HK"/>
        </w:rPr>
        <w:t>I</w:t>
      </w:r>
      <w:r w:rsidRPr="002D57D8">
        <w:rPr>
          <w:rFonts w:ascii="Arial" w:hAnsi="Arial" w:cs="Arial"/>
          <w:b/>
          <w:sz w:val="20"/>
          <w:szCs w:val="20"/>
          <w:lang w:val="en-HK"/>
        </w:rPr>
        <w:t xml:space="preserve">nternal </w:t>
      </w:r>
      <w:r w:rsidR="00C67F1F">
        <w:rPr>
          <w:rFonts w:ascii="Arial" w:hAnsi="Arial" w:cs="Arial"/>
          <w:b/>
          <w:sz w:val="20"/>
          <w:szCs w:val="20"/>
          <w:lang w:val="en-HK"/>
        </w:rPr>
        <w:t>C</w:t>
      </w:r>
      <w:r w:rsidRPr="002D57D8">
        <w:rPr>
          <w:rFonts w:ascii="Arial" w:hAnsi="Arial" w:cs="Arial"/>
          <w:b/>
          <w:sz w:val="20"/>
          <w:szCs w:val="20"/>
          <w:lang w:val="en-HK"/>
        </w:rPr>
        <w:t xml:space="preserve">ontrols </w:t>
      </w:r>
    </w:p>
    <w:p w:rsidR="003B614B" w:rsidRPr="002D57D8" w:rsidRDefault="003B614B" w:rsidP="003B614B">
      <w:pPr>
        <w:jc w:val="both"/>
        <w:rPr>
          <w:rFonts w:ascii="Arial" w:hAnsi="Arial" w:cs="Arial"/>
          <w:sz w:val="20"/>
          <w:szCs w:val="20"/>
        </w:rPr>
      </w:pPr>
      <w:r w:rsidRPr="00F06C80">
        <w:rPr>
          <w:rFonts w:ascii="Arial" w:hAnsi="Arial" w:cs="Arial"/>
          <w:sz w:val="20"/>
          <w:szCs w:val="20"/>
        </w:rPr>
        <w:t>Under paragraph H of the M</w:t>
      </w:r>
      <w:r>
        <w:rPr>
          <w:rFonts w:ascii="Arial" w:hAnsi="Arial" w:cs="Arial"/>
          <w:sz w:val="20"/>
          <w:szCs w:val="20"/>
        </w:rPr>
        <w:t>andatory Disclosure Requirement</w:t>
      </w:r>
      <w:r w:rsidRPr="00F06C80">
        <w:rPr>
          <w:rFonts w:ascii="Arial" w:hAnsi="Arial" w:cs="Arial"/>
          <w:sz w:val="20"/>
          <w:szCs w:val="20"/>
        </w:rPr>
        <w:t xml:space="preserve">s, </w:t>
      </w:r>
      <w:r>
        <w:rPr>
          <w:rFonts w:ascii="Arial" w:hAnsi="Arial" w:cs="Arial"/>
          <w:sz w:val="20"/>
          <w:szCs w:val="20"/>
        </w:rPr>
        <w:t>Corporate Governance Report</w:t>
      </w:r>
      <w:r w:rsidRPr="00F06C80">
        <w:rPr>
          <w:rFonts w:ascii="Arial" w:hAnsi="Arial" w:cs="Arial"/>
          <w:sz w:val="20"/>
          <w:szCs w:val="20"/>
        </w:rPr>
        <w:t>s</w:t>
      </w:r>
      <w:r w:rsidRPr="002D57D8">
        <w:rPr>
          <w:rFonts w:ascii="Arial" w:hAnsi="Arial" w:cs="Arial"/>
          <w:sz w:val="20"/>
          <w:szCs w:val="20"/>
        </w:rPr>
        <w:t xml:space="preserve"> must </w:t>
      </w:r>
      <w:r>
        <w:rPr>
          <w:rFonts w:ascii="Arial" w:hAnsi="Arial" w:cs="Arial"/>
          <w:sz w:val="20"/>
          <w:szCs w:val="20"/>
        </w:rPr>
        <w:t xml:space="preserve">disclose: </w:t>
      </w:r>
      <w:r w:rsidRPr="002D57D8">
        <w:rPr>
          <w:rFonts w:ascii="Arial" w:hAnsi="Arial" w:cs="Arial"/>
          <w:sz w:val="20"/>
          <w:szCs w:val="20"/>
        </w:rPr>
        <w:t>(</w:t>
      </w:r>
      <w:proofErr w:type="spellStart"/>
      <w:r>
        <w:rPr>
          <w:rFonts w:ascii="Arial" w:hAnsi="Arial" w:cs="Arial"/>
          <w:sz w:val="20"/>
          <w:szCs w:val="20"/>
        </w:rPr>
        <w:t>i</w:t>
      </w:r>
      <w:proofErr w:type="spellEnd"/>
      <w:r w:rsidRPr="002D57D8">
        <w:rPr>
          <w:rFonts w:ascii="Arial" w:hAnsi="Arial" w:cs="Arial"/>
          <w:sz w:val="20"/>
          <w:szCs w:val="20"/>
        </w:rPr>
        <w:t>) whether the listed company has put in place an internal audit function; (</w:t>
      </w:r>
      <w:r>
        <w:rPr>
          <w:rFonts w:ascii="Arial" w:hAnsi="Arial" w:cs="Arial"/>
          <w:sz w:val="20"/>
          <w:szCs w:val="20"/>
        </w:rPr>
        <w:t>ii</w:t>
      </w:r>
      <w:r w:rsidRPr="002D57D8">
        <w:rPr>
          <w:rFonts w:ascii="Arial" w:hAnsi="Arial" w:cs="Arial"/>
          <w:sz w:val="20"/>
          <w:szCs w:val="20"/>
        </w:rPr>
        <w:t xml:space="preserve">) the frequency of reviewing </w:t>
      </w:r>
      <w:r>
        <w:rPr>
          <w:rFonts w:ascii="Arial" w:hAnsi="Arial" w:cs="Arial"/>
          <w:sz w:val="20"/>
          <w:szCs w:val="20"/>
        </w:rPr>
        <w:t>its</w:t>
      </w:r>
      <w:r w:rsidRPr="002D57D8">
        <w:rPr>
          <w:rFonts w:ascii="Arial" w:hAnsi="Arial" w:cs="Arial"/>
          <w:sz w:val="20"/>
          <w:szCs w:val="20"/>
        </w:rPr>
        <w:t xml:space="preserve"> risk management and internal control system</w:t>
      </w:r>
      <w:r>
        <w:rPr>
          <w:rFonts w:ascii="Arial" w:hAnsi="Arial" w:cs="Arial"/>
          <w:sz w:val="20"/>
          <w:szCs w:val="20"/>
        </w:rPr>
        <w:t>s</w:t>
      </w:r>
      <w:r w:rsidRPr="002D57D8">
        <w:rPr>
          <w:rFonts w:ascii="Arial" w:hAnsi="Arial" w:cs="Arial"/>
          <w:sz w:val="20"/>
          <w:szCs w:val="20"/>
        </w:rPr>
        <w:t xml:space="preserve"> (</w:t>
      </w:r>
      <w:r w:rsidRPr="002D57D8">
        <w:rPr>
          <w:rFonts w:ascii="Arial" w:hAnsi="Arial" w:cs="Arial"/>
          <w:b/>
          <w:sz w:val="20"/>
          <w:szCs w:val="20"/>
        </w:rPr>
        <w:t>Internal Control System</w:t>
      </w:r>
      <w:r>
        <w:rPr>
          <w:rFonts w:ascii="Arial" w:hAnsi="Arial" w:cs="Arial"/>
          <w:b/>
          <w:sz w:val="20"/>
          <w:szCs w:val="20"/>
        </w:rPr>
        <w:t>s</w:t>
      </w:r>
      <w:r w:rsidRPr="002D57D8">
        <w:rPr>
          <w:rFonts w:ascii="Arial" w:hAnsi="Arial" w:cs="Arial"/>
          <w:sz w:val="20"/>
          <w:szCs w:val="20"/>
        </w:rPr>
        <w:t>); and (</w:t>
      </w:r>
      <w:r>
        <w:rPr>
          <w:rFonts w:ascii="Arial" w:hAnsi="Arial" w:cs="Arial"/>
          <w:sz w:val="20"/>
          <w:szCs w:val="20"/>
        </w:rPr>
        <w:t>iii</w:t>
      </w:r>
      <w:r w:rsidRPr="002D57D8">
        <w:rPr>
          <w:rFonts w:ascii="Arial" w:hAnsi="Arial" w:cs="Arial"/>
          <w:sz w:val="20"/>
          <w:szCs w:val="20"/>
        </w:rPr>
        <w:t xml:space="preserve">) whether the company considers </w:t>
      </w:r>
      <w:r>
        <w:rPr>
          <w:rFonts w:ascii="Arial" w:hAnsi="Arial" w:cs="Arial"/>
          <w:sz w:val="20"/>
          <w:szCs w:val="20"/>
        </w:rPr>
        <w:t xml:space="preserve">its Internal Control Systems to be </w:t>
      </w:r>
      <w:r w:rsidRPr="002D57D8">
        <w:rPr>
          <w:rFonts w:ascii="Arial" w:hAnsi="Arial" w:cs="Arial"/>
          <w:sz w:val="20"/>
          <w:szCs w:val="20"/>
        </w:rPr>
        <w:t>eff</w:t>
      </w:r>
      <w:r>
        <w:rPr>
          <w:rFonts w:ascii="Arial" w:hAnsi="Arial" w:cs="Arial"/>
          <w:sz w:val="20"/>
          <w:szCs w:val="20"/>
        </w:rPr>
        <w:t>ective</w:t>
      </w:r>
      <w:r w:rsidRPr="002D57D8">
        <w:rPr>
          <w:rFonts w:ascii="Arial" w:hAnsi="Arial" w:cs="Arial"/>
          <w:sz w:val="20"/>
          <w:szCs w:val="20"/>
        </w:rPr>
        <w:t xml:space="preserve"> and adequate.</w:t>
      </w:r>
      <w:r>
        <w:rPr>
          <w:rFonts w:ascii="Arial" w:hAnsi="Arial" w:cs="Arial"/>
          <w:sz w:val="20"/>
          <w:szCs w:val="20"/>
        </w:rPr>
        <w:t xml:space="preserve"> CP</w:t>
      </w:r>
      <w:r w:rsidRPr="002D57D8">
        <w:rPr>
          <w:rFonts w:ascii="Arial" w:hAnsi="Arial" w:cs="Arial"/>
          <w:sz w:val="20"/>
          <w:szCs w:val="20"/>
        </w:rPr>
        <w:t xml:space="preserve"> D.2.1 further imposes a duty on directors to monitor the Internal Control Systems, review </w:t>
      </w:r>
      <w:r>
        <w:rPr>
          <w:rFonts w:ascii="Arial" w:hAnsi="Arial" w:cs="Arial"/>
          <w:sz w:val="20"/>
          <w:szCs w:val="20"/>
        </w:rPr>
        <w:t>their</w:t>
      </w:r>
      <w:r w:rsidRPr="002D57D8">
        <w:rPr>
          <w:rFonts w:ascii="Arial" w:hAnsi="Arial" w:cs="Arial"/>
          <w:sz w:val="20"/>
          <w:szCs w:val="20"/>
        </w:rPr>
        <w:t xml:space="preserve"> effectiveness every year and report the results in </w:t>
      </w:r>
      <w:r>
        <w:rPr>
          <w:rFonts w:ascii="Arial" w:hAnsi="Arial" w:cs="Arial"/>
          <w:sz w:val="20"/>
          <w:szCs w:val="20"/>
        </w:rPr>
        <w:t>the company’s</w:t>
      </w:r>
      <w:r w:rsidRPr="002D57D8">
        <w:rPr>
          <w:rFonts w:ascii="Arial" w:hAnsi="Arial" w:cs="Arial"/>
          <w:sz w:val="20"/>
          <w:szCs w:val="20"/>
        </w:rPr>
        <w:t xml:space="preserve"> </w:t>
      </w:r>
      <w:r>
        <w:rPr>
          <w:rFonts w:ascii="Arial" w:hAnsi="Arial" w:cs="Arial"/>
          <w:sz w:val="20"/>
          <w:szCs w:val="20"/>
        </w:rPr>
        <w:t>Corporate Governance Report</w:t>
      </w:r>
      <w:r w:rsidRPr="002D57D8">
        <w:rPr>
          <w:rFonts w:ascii="Arial" w:hAnsi="Arial" w:cs="Arial"/>
          <w:sz w:val="20"/>
          <w:szCs w:val="20"/>
        </w:rPr>
        <w:t xml:space="preserve">. </w:t>
      </w:r>
    </w:p>
    <w:p w:rsidR="003B614B" w:rsidRPr="002D57D8" w:rsidRDefault="003B614B" w:rsidP="003B614B">
      <w:pPr>
        <w:jc w:val="both"/>
        <w:rPr>
          <w:rFonts w:ascii="Arial" w:hAnsi="Arial" w:cs="Arial"/>
          <w:sz w:val="20"/>
          <w:szCs w:val="20"/>
        </w:rPr>
      </w:pPr>
      <w:r w:rsidRPr="002D57D8">
        <w:rPr>
          <w:rFonts w:ascii="Arial" w:hAnsi="Arial" w:cs="Arial"/>
          <w:sz w:val="20"/>
          <w:szCs w:val="20"/>
        </w:rPr>
        <w:t xml:space="preserve">The </w:t>
      </w:r>
      <w:proofErr w:type="spellStart"/>
      <w:r w:rsidRPr="002D57D8">
        <w:rPr>
          <w:rFonts w:ascii="Arial" w:hAnsi="Arial" w:cs="Arial"/>
          <w:sz w:val="20"/>
          <w:szCs w:val="20"/>
        </w:rPr>
        <w:t>HKE</w:t>
      </w:r>
      <w:r>
        <w:rPr>
          <w:rFonts w:ascii="Arial" w:hAnsi="Arial" w:cs="Arial"/>
          <w:sz w:val="20"/>
          <w:szCs w:val="20"/>
        </w:rPr>
        <w:t>x</w:t>
      </w:r>
      <w:proofErr w:type="spellEnd"/>
      <w:r w:rsidRPr="002D57D8">
        <w:rPr>
          <w:rFonts w:ascii="Arial" w:hAnsi="Arial" w:cs="Arial"/>
          <w:sz w:val="20"/>
          <w:szCs w:val="20"/>
        </w:rPr>
        <w:t xml:space="preserve"> observed that most </w:t>
      </w:r>
      <w:r>
        <w:rPr>
          <w:rFonts w:ascii="Arial" w:hAnsi="Arial" w:cs="Arial"/>
          <w:sz w:val="20"/>
          <w:szCs w:val="20"/>
        </w:rPr>
        <w:t>Corporate Governance Report</w:t>
      </w:r>
      <w:r w:rsidRPr="002D57D8">
        <w:rPr>
          <w:rFonts w:ascii="Arial" w:hAnsi="Arial" w:cs="Arial"/>
          <w:sz w:val="20"/>
          <w:szCs w:val="20"/>
        </w:rPr>
        <w:t>s reviewed include</w:t>
      </w:r>
      <w:r>
        <w:rPr>
          <w:rFonts w:ascii="Arial" w:hAnsi="Arial" w:cs="Arial"/>
          <w:sz w:val="20"/>
          <w:szCs w:val="20"/>
        </w:rPr>
        <w:t>d</w:t>
      </w:r>
      <w:r w:rsidRPr="002D57D8">
        <w:rPr>
          <w:rFonts w:ascii="Arial" w:hAnsi="Arial" w:cs="Arial"/>
          <w:sz w:val="20"/>
          <w:szCs w:val="20"/>
        </w:rPr>
        <w:t xml:space="preserve"> </w:t>
      </w:r>
      <w:r>
        <w:rPr>
          <w:rFonts w:ascii="Arial" w:hAnsi="Arial" w:cs="Arial"/>
          <w:sz w:val="20"/>
          <w:szCs w:val="20"/>
        </w:rPr>
        <w:t>disclosures regarding</w:t>
      </w:r>
      <w:r w:rsidRPr="002D57D8">
        <w:rPr>
          <w:rFonts w:ascii="Arial" w:hAnsi="Arial" w:cs="Arial"/>
          <w:sz w:val="20"/>
          <w:szCs w:val="20"/>
        </w:rPr>
        <w:t xml:space="preserve"> the listed company</w:t>
      </w:r>
      <w:r>
        <w:rPr>
          <w:rFonts w:ascii="Arial" w:hAnsi="Arial" w:cs="Arial"/>
          <w:sz w:val="20"/>
          <w:szCs w:val="20"/>
        </w:rPr>
        <w:t>’</w:t>
      </w:r>
      <w:r w:rsidRPr="002D57D8">
        <w:rPr>
          <w:rFonts w:ascii="Arial" w:hAnsi="Arial" w:cs="Arial"/>
          <w:sz w:val="20"/>
          <w:szCs w:val="20"/>
        </w:rPr>
        <w:t>s business risks, an overview of the Internal Control System</w:t>
      </w:r>
      <w:r>
        <w:rPr>
          <w:rFonts w:ascii="Arial" w:hAnsi="Arial" w:cs="Arial"/>
          <w:sz w:val="20"/>
          <w:szCs w:val="20"/>
        </w:rPr>
        <w:t>s</w:t>
      </w:r>
      <w:r w:rsidRPr="002D57D8">
        <w:rPr>
          <w:rFonts w:ascii="Arial" w:hAnsi="Arial" w:cs="Arial"/>
          <w:sz w:val="20"/>
          <w:szCs w:val="20"/>
        </w:rPr>
        <w:t xml:space="preserve"> implemented, a summary of the review of the Internal Control System</w:t>
      </w:r>
      <w:r>
        <w:rPr>
          <w:rFonts w:ascii="Arial" w:hAnsi="Arial" w:cs="Arial"/>
          <w:sz w:val="20"/>
          <w:szCs w:val="20"/>
        </w:rPr>
        <w:t>s</w:t>
      </w:r>
      <w:r w:rsidRPr="002D57D8">
        <w:rPr>
          <w:rFonts w:ascii="Arial" w:hAnsi="Arial" w:cs="Arial"/>
          <w:sz w:val="20"/>
          <w:szCs w:val="20"/>
        </w:rPr>
        <w:t xml:space="preserve"> and confirmation by the directors that the Internal Control System</w:t>
      </w:r>
      <w:r>
        <w:rPr>
          <w:rFonts w:ascii="Arial" w:hAnsi="Arial" w:cs="Arial"/>
          <w:sz w:val="20"/>
          <w:szCs w:val="20"/>
        </w:rPr>
        <w:t>s</w:t>
      </w:r>
      <w:r w:rsidRPr="002D57D8">
        <w:rPr>
          <w:rFonts w:ascii="Arial" w:hAnsi="Arial" w:cs="Arial"/>
          <w:sz w:val="20"/>
          <w:szCs w:val="20"/>
        </w:rPr>
        <w:t xml:space="preserve"> </w:t>
      </w:r>
      <w:r>
        <w:rPr>
          <w:rFonts w:ascii="Arial" w:hAnsi="Arial" w:cs="Arial"/>
          <w:sz w:val="20"/>
          <w:szCs w:val="20"/>
        </w:rPr>
        <w:t>were</w:t>
      </w:r>
      <w:r w:rsidRPr="002D57D8">
        <w:rPr>
          <w:rFonts w:ascii="Arial" w:hAnsi="Arial" w:cs="Arial"/>
          <w:sz w:val="20"/>
          <w:szCs w:val="20"/>
        </w:rPr>
        <w:t xml:space="preserve"> effective. However, </w:t>
      </w:r>
      <w:r>
        <w:rPr>
          <w:rFonts w:ascii="Arial" w:hAnsi="Arial" w:cs="Arial"/>
          <w:sz w:val="20"/>
          <w:szCs w:val="20"/>
        </w:rPr>
        <w:t xml:space="preserve">some </w:t>
      </w:r>
      <w:r w:rsidRPr="002D57D8">
        <w:rPr>
          <w:rFonts w:ascii="Arial" w:hAnsi="Arial" w:cs="Arial"/>
          <w:sz w:val="20"/>
          <w:szCs w:val="20"/>
        </w:rPr>
        <w:t>disclosures fail</w:t>
      </w:r>
      <w:r>
        <w:rPr>
          <w:rFonts w:ascii="Arial" w:hAnsi="Arial" w:cs="Arial"/>
          <w:sz w:val="20"/>
          <w:szCs w:val="20"/>
        </w:rPr>
        <w:t>ed</w:t>
      </w:r>
      <w:r w:rsidRPr="002D57D8">
        <w:rPr>
          <w:rFonts w:ascii="Arial" w:hAnsi="Arial" w:cs="Arial"/>
          <w:sz w:val="20"/>
          <w:szCs w:val="20"/>
        </w:rPr>
        <w:t xml:space="preserve"> to </w:t>
      </w:r>
      <w:r>
        <w:rPr>
          <w:rFonts w:ascii="Arial" w:hAnsi="Arial" w:cs="Arial"/>
          <w:sz w:val="20"/>
          <w:szCs w:val="20"/>
        </w:rPr>
        <w:t xml:space="preserve">provide </w:t>
      </w:r>
      <w:r w:rsidRPr="002D57D8">
        <w:rPr>
          <w:rFonts w:ascii="Arial" w:hAnsi="Arial" w:cs="Arial"/>
          <w:sz w:val="20"/>
          <w:szCs w:val="20"/>
        </w:rPr>
        <w:t xml:space="preserve">specific </w:t>
      </w:r>
      <w:r>
        <w:rPr>
          <w:rFonts w:ascii="Arial" w:hAnsi="Arial" w:cs="Arial"/>
          <w:sz w:val="20"/>
          <w:szCs w:val="20"/>
        </w:rPr>
        <w:t xml:space="preserve">details </w:t>
      </w:r>
      <w:r w:rsidRPr="002D57D8">
        <w:rPr>
          <w:rFonts w:ascii="Arial" w:hAnsi="Arial" w:cs="Arial"/>
          <w:sz w:val="20"/>
          <w:szCs w:val="20"/>
        </w:rPr>
        <w:t>explain</w:t>
      </w:r>
      <w:r>
        <w:rPr>
          <w:rFonts w:ascii="Arial" w:hAnsi="Arial" w:cs="Arial"/>
          <w:sz w:val="20"/>
          <w:szCs w:val="20"/>
        </w:rPr>
        <w:t>ing</w:t>
      </w:r>
      <w:r w:rsidRPr="002D57D8">
        <w:rPr>
          <w:rFonts w:ascii="Arial" w:hAnsi="Arial" w:cs="Arial"/>
          <w:sz w:val="20"/>
          <w:szCs w:val="20"/>
        </w:rPr>
        <w:t xml:space="preserve"> how the Internal Control System</w:t>
      </w:r>
      <w:r>
        <w:rPr>
          <w:rFonts w:ascii="Arial" w:hAnsi="Arial" w:cs="Arial"/>
          <w:sz w:val="20"/>
          <w:szCs w:val="20"/>
        </w:rPr>
        <w:t>s’ design</w:t>
      </w:r>
      <w:r w:rsidRPr="002D57D8">
        <w:rPr>
          <w:rFonts w:ascii="Arial" w:hAnsi="Arial" w:cs="Arial"/>
          <w:sz w:val="20"/>
          <w:szCs w:val="20"/>
        </w:rPr>
        <w:t xml:space="preserve"> </w:t>
      </w:r>
      <w:r>
        <w:rPr>
          <w:rFonts w:ascii="Arial" w:hAnsi="Arial" w:cs="Arial"/>
          <w:sz w:val="20"/>
          <w:szCs w:val="20"/>
        </w:rPr>
        <w:t xml:space="preserve">addressed the </w:t>
      </w:r>
      <w:r w:rsidRPr="002D57D8">
        <w:rPr>
          <w:rFonts w:ascii="Arial" w:hAnsi="Arial" w:cs="Arial"/>
          <w:sz w:val="20"/>
          <w:szCs w:val="20"/>
        </w:rPr>
        <w:t xml:space="preserve">identified business risks. Some </w:t>
      </w:r>
      <w:r>
        <w:rPr>
          <w:rFonts w:ascii="Arial" w:hAnsi="Arial" w:cs="Arial"/>
          <w:sz w:val="20"/>
          <w:szCs w:val="20"/>
        </w:rPr>
        <w:t>Corporate Governance Report</w:t>
      </w:r>
      <w:r w:rsidRPr="002D57D8">
        <w:rPr>
          <w:rFonts w:ascii="Arial" w:hAnsi="Arial" w:cs="Arial"/>
          <w:sz w:val="20"/>
          <w:szCs w:val="20"/>
        </w:rPr>
        <w:t>s also did not elaborate on the supporting reasons behind the board’s confirmation that the Internal Control System</w:t>
      </w:r>
      <w:r>
        <w:rPr>
          <w:rFonts w:ascii="Arial" w:hAnsi="Arial" w:cs="Arial"/>
          <w:sz w:val="20"/>
          <w:szCs w:val="20"/>
        </w:rPr>
        <w:t>s</w:t>
      </w:r>
      <w:r w:rsidRPr="002D57D8">
        <w:rPr>
          <w:rFonts w:ascii="Arial" w:hAnsi="Arial" w:cs="Arial"/>
          <w:sz w:val="20"/>
          <w:szCs w:val="20"/>
        </w:rPr>
        <w:t xml:space="preserve"> </w:t>
      </w:r>
      <w:r>
        <w:rPr>
          <w:rFonts w:ascii="Arial" w:hAnsi="Arial" w:cs="Arial"/>
          <w:sz w:val="20"/>
          <w:szCs w:val="20"/>
        </w:rPr>
        <w:t>were</w:t>
      </w:r>
      <w:r w:rsidRPr="002D57D8">
        <w:rPr>
          <w:rFonts w:ascii="Arial" w:hAnsi="Arial" w:cs="Arial"/>
          <w:sz w:val="20"/>
          <w:szCs w:val="20"/>
        </w:rPr>
        <w:t xml:space="preserve"> efficient. </w:t>
      </w:r>
    </w:p>
    <w:p w:rsidR="003B614B" w:rsidRDefault="003B614B" w:rsidP="003B614B">
      <w:pPr>
        <w:jc w:val="both"/>
        <w:rPr>
          <w:rFonts w:ascii="Arial" w:hAnsi="Arial" w:cs="Arial"/>
          <w:sz w:val="20"/>
          <w:szCs w:val="20"/>
        </w:rPr>
      </w:pPr>
      <w:r w:rsidRPr="002D57D8">
        <w:rPr>
          <w:rFonts w:ascii="Arial" w:hAnsi="Arial" w:cs="Arial"/>
          <w:sz w:val="20"/>
          <w:szCs w:val="20"/>
        </w:rPr>
        <w:t>To provide constructive disclosure to</w:t>
      </w:r>
      <w:r>
        <w:rPr>
          <w:rFonts w:ascii="Arial" w:hAnsi="Arial" w:cs="Arial"/>
          <w:sz w:val="20"/>
          <w:szCs w:val="20"/>
        </w:rPr>
        <w:t xml:space="preserve"> shareholders</w:t>
      </w:r>
      <w:r w:rsidRPr="002D57D8">
        <w:rPr>
          <w:rFonts w:ascii="Arial" w:hAnsi="Arial" w:cs="Arial"/>
          <w:sz w:val="20"/>
          <w:szCs w:val="20"/>
        </w:rPr>
        <w:t>, t</w:t>
      </w:r>
      <w:r>
        <w:rPr>
          <w:rFonts w:ascii="Arial" w:hAnsi="Arial" w:cs="Arial"/>
          <w:sz w:val="20"/>
          <w:szCs w:val="20"/>
        </w:rPr>
        <w:t xml:space="preserve">he </w:t>
      </w:r>
      <w:proofErr w:type="spellStart"/>
      <w:r>
        <w:rPr>
          <w:rFonts w:ascii="Arial" w:hAnsi="Arial" w:cs="Arial"/>
          <w:sz w:val="20"/>
          <w:szCs w:val="20"/>
        </w:rPr>
        <w:t>HKEx</w:t>
      </w:r>
      <w:proofErr w:type="spellEnd"/>
      <w:r>
        <w:rPr>
          <w:rFonts w:ascii="Arial" w:hAnsi="Arial" w:cs="Arial"/>
          <w:sz w:val="20"/>
          <w:szCs w:val="20"/>
        </w:rPr>
        <w:t xml:space="preserve"> </w:t>
      </w:r>
      <w:r w:rsidRPr="002D57D8">
        <w:rPr>
          <w:rFonts w:ascii="Arial" w:hAnsi="Arial" w:cs="Arial"/>
          <w:sz w:val="20"/>
          <w:szCs w:val="20"/>
        </w:rPr>
        <w:t xml:space="preserve">suggested including details </w:t>
      </w:r>
      <w:r>
        <w:rPr>
          <w:rFonts w:ascii="Arial" w:hAnsi="Arial" w:cs="Arial"/>
          <w:sz w:val="20"/>
          <w:szCs w:val="20"/>
        </w:rPr>
        <w:t>of: (</w:t>
      </w:r>
      <w:proofErr w:type="spellStart"/>
      <w:r>
        <w:rPr>
          <w:rFonts w:ascii="Arial" w:hAnsi="Arial" w:cs="Arial"/>
          <w:sz w:val="20"/>
          <w:szCs w:val="20"/>
        </w:rPr>
        <w:t>i</w:t>
      </w:r>
      <w:proofErr w:type="spellEnd"/>
      <w:r>
        <w:rPr>
          <w:rFonts w:ascii="Arial" w:hAnsi="Arial" w:cs="Arial"/>
          <w:sz w:val="20"/>
          <w:szCs w:val="20"/>
        </w:rPr>
        <w:t xml:space="preserve">) </w:t>
      </w:r>
      <w:r w:rsidRPr="002D57D8">
        <w:rPr>
          <w:rFonts w:ascii="Arial" w:hAnsi="Arial" w:cs="Arial"/>
          <w:sz w:val="20"/>
          <w:szCs w:val="20"/>
        </w:rPr>
        <w:t xml:space="preserve">the </w:t>
      </w:r>
      <w:r>
        <w:rPr>
          <w:rFonts w:ascii="Arial" w:hAnsi="Arial" w:cs="Arial"/>
          <w:sz w:val="20"/>
          <w:szCs w:val="20"/>
        </w:rPr>
        <w:t xml:space="preserve">structure of the Internal Control Systems including the main individuals </w:t>
      </w:r>
      <w:r w:rsidRPr="002D57D8">
        <w:rPr>
          <w:rFonts w:ascii="Arial" w:hAnsi="Arial" w:cs="Arial"/>
          <w:sz w:val="20"/>
          <w:szCs w:val="20"/>
        </w:rPr>
        <w:t>and departments in charge of maintaining the Internal Control Systems</w:t>
      </w:r>
      <w:r>
        <w:rPr>
          <w:rFonts w:ascii="Arial" w:hAnsi="Arial" w:cs="Arial"/>
          <w:sz w:val="20"/>
          <w:szCs w:val="20"/>
        </w:rPr>
        <w:t>;</w:t>
      </w:r>
      <w:r w:rsidRPr="002D57D8">
        <w:rPr>
          <w:rFonts w:ascii="Arial" w:hAnsi="Arial" w:cs="Arial"/>
          <w:sz w:val="20"/>
          <w:szCs w:val="20"/>
        </w:rPr>
        <w:t xml:space="preserve"> and </w:t>
      </w:r>
      <w:r>
        <w:rPr>
          <w:rFonts w:ascii="Arial" w:hAnsi="Arial" w:cs="Arial"/>
          <w:sz w:val="20"/>
          <w:szCs w:val="20"/>
        </w:rPr>
        <w:t xml:space="preserve">(ii) the </w:t>
      </w:r>
      <w:r w:rsidRPr="002D57D8">
        <w:rPr>
          <w:rFonts w:ascii="Arial" w:hAnsi="Arial" w:cs="Arial"/>
          <w:sz w:val="20"/>
          <w:szCs w:val="20"/>
        </w:rPr>
        <w:t xml:space="preserve">procedures </w:t>
      </w:r>
      <w:r>
        <w:rPr>
          <w:rFonts w:ascii="Arial" w:hAnsi="Arial" w:cs="Arial"/>
          <w:sz w:val="20"/>
          <w:szCs w:val="20"/>
        </w:rPr>
        <w:t>for</w:t>
      </w:r>
      <w:r w:rsidRPr="002D57D8">
        <w:rPr>
          <w:rFonts w:ascii="Arial" w:hAnsi="Arial" w:cs="Arial"/>
          <w:sz w:val="20"/>
          <w:szCs w:val="20"/>
        </w:rPr>
        <w:t xml:space="preserve"> </w:t>
      </w:r>
      <w:r w:rsidRPr="00A11673">
        <w:rPr>
          <w:rFonts w:ascii="Arial" w:hAnsi="Arial" w:cs="Arial"/>
          <w:sz w:val="20"/>
          <w:szCs w:val="20"/>
        </w:rPr>
        <w:t xml:space="preserve">conducting regular reviews and monitoring </w:t>
      </w:r>
      <w:r>
        <w:rPr>
          <w:rFonts w:ascii="Arial" w:hAnsi="Arial" w:cs="Arial"/>
          <w:sz w:val="20"/>
          <w:szCs w:val="20"/>
        </w:rPr>
        <w:t xml:space="preserve">of </w:t>
      </w:r>
      <w:r w:rsidRPr="00A11673">
        <w:rPr>
          <w:rFonts w:ascii="Arial" w:hAnsi="Arial" w:cs="Arial"/>
          <w:sz w:val="20"/>
          <w:szCs w:val="20"/>
        </w:rPr>
        <w:t>the proper functioning of the Internal Control System</w:t>
      </w:r>
      <w:r>
        <w:rPr>
          <w:rFonts w:ascii="Arial" w:hAnsi="Arial" w:cs="Arial"/>
          <w:sz w:val="20"/>
          <w:szCs w:val="20"/>
        </w:rPr>
        <w:t>s.</w:t>
      </w:r>
      <w:r w:rsidRPr="002D57D8">
        <w:rPr>
          <w:rFonts w:ascii="Arial" w:hAnsi="Arial" w:cs="Arial"/>
          <w:sz w:val="20"/>
          <w:szCs w:val="20"/>
        </w:rPr>
        <w:t xml:space="preserve"> </w:t>
      </w:r>
      <w:r>
        <w:rPr>
          <w:rFonts w:ascii="Arial" w:hAnsi="Arial" w:cs="Arial"/>
          <w:sz w:val="20"/>
          <w:szCs w:val="20"/>
        </w:rPr>
        <w:t xml:space="preserve">It also recommended using </w:t>
      </w:r>
      <w:r w:rsidRPr="002D57D8">
        <w:rPr>
          <w:rFonts w:ascii="Arial" w:hAnsi="Arial" w:cs="Arial"/>
          <w:sz w:val="20"/>
          <w:szCs w:val="20"/>
        </w:rPr>
        <w:t>flowcharts and graphics</w:t>
      </w:r>
      <w:r w:rsidRPr="002D57D8" w:rsidDel="0072022A">
        <w:rPr>
          <w:rFonts w:ascii="Arial" w:hAnsi="Arial" w:cs="Arial"/>
          <w:sz w:val="20"/>
          <w:szCs w:val="20"/>
        </w:rPr>
        <w:t xml:space="preserve"> </w:t>
      </w:r>
      <w:r>
        <w:rPr>
          <w:rFonts w:ascii="Arial" w:hAnsi="Arial" w:cs="Arial"/>
          <w:sz w:val="20"/>
          <w:szCs w:val="20"/>
        </w:rPr>
        <w:t xml:space="preserve">where appropriate. </w:t>
      </w:r>
    </w:p>
    <w:p w:rsidR="00AF62CB" w:rsidRDefault="004D31E4" w:rsidP="00C026FB">
      <w:pPr>
        <w:jc w:val="both"/>
        <w:rPr>
          <w:rFonts w:ascii="Arial" w:hAnsi="Arial" w:cs="Arial"/>
          <w:sz w:val="20"/>
          <w:szCs w:val="20"/>
        </w:rPr>
      </w:pPr>
      <w:r>
        <w:rPr>
          <w:rFonts w:ascii="Arial" w:hAnsi="Arial" w:cs="Arial"/>
          <w:sz w:val="20"/>
          <w:szCs w:val="20"/>
        </w:rPr>
        <w:lastRenderedPageBreak/>
        <w:t xml:space="preserve">The </w:t>
      </w:r>
      <w:proofErr w:type="spellStart"/>
      <w:r>
        <w:rPr>
          <w:rFonts w:ascii="Arial" w:hAnsi="Arial" w:cs="Arial"/>
          <w:sz w:val="20"/>
          <w:szCs w:val="20"/>
        </w:rPr>
        <w:t>HKEx</w:t>
      </w:r>
      <w:proofErr w:type="spellEnd"/>
      <w:r>
        <w:rPr>
          <w:rFonts w:ascii="Arial" w:hAnsi="Arial" w:cs="Arial"/>
          <w:sz w:val="20"/>
          <w:szCs w:val="20"/>
        </w:rPr>
        <w:t xml:space="preserve"> also noted that Corporate Governance Reports should include details of the listed company’s annual internal controls review to support the </w:t>
      </w:r>
      <w:r w:rsidR="00D24DEF" w:rsidRPr="002D57D8">
        <w:rPr>
          <w:rFonts w:ascii="Arial" w:hAnsi="Arial" w:cs="Arial"/>
          <w:sz w:val="20"/>
          <w:szCs w:val="20"/>
        </w:rPr>
        <w:t>con</w:t>
      </w:r>
      <w:r>
        <w:rPr>
          <w:rFonts w:ascii="Arial" w:hAnsi="Arial" w:cs="Arial"/>
          <w:sz w:val="20"/>
          <w:szCs w:val="20"/>
        </w:rPr>
        <w:t>clusion</w:t>
      </w:r>
      <w:r w:rsidR="00D24DEF" w:rsidRPr="002D57D8">
        <w:rPr>
          <w:rFonts w:ascii="Arial" w:hAnsi="Arial" w:cs="Arial"/>
          <w:sz w:val="20"/>
          <w:szCs w:val="20"/>
        </w:rPr>
        <w:t xml:space="preserve"> that the Internal Control System</w:t>
      </w:r>
      <w:r>
        <w:rPr>
          <w:rFonts w:ascii="Arial" w:hAnsi="Arial" w:cs="Arial"/>
          <w:sz w:val="20"/>
          <w:szCs w:val="20"/>
        </w:rPr>
        <w:t>s</w:t>
      </w:r>
      <w:r w:rsidR="00D24DEF" w:rsidRPr="002D57D8">
        <w:rPr>
          <w:rFonts w:ascii="Arial" w:hAnsi="Arial" w:cs="Arial"/>
          <w:sz w:val="20"/>
          <w:szCs w:val="20"/>
        </w:rPr>
        <w:t xml:space="preserve"> </w:t>
      </w:r>
      <w:r>
        <w:rPr>
          <w:rFonts w:ascii="Arial" w:hAnsi="Arial" w:cs="Arial"/>
          <w:sz w:val="20"/>
          <w:szCs w:val="20"/>
        </w:rPr>
        <w:t>are</w:t>
      </w:r>
      <w:r w:rsidR="00D24DEF" w:rsidRPr="002D57D8">
        <w:rPr>
          <w:rFonts w:ascii="Arial" w:hAnsi="Arial" w:cs="Arial"/>
          <w:sz w:val="20"/>
          <w:szCs w:val="20"/>
        </w:rPr>
        <w:t xml:space="preserve"> effective. </w:t>
      </w:r>
      <w:r>
        <w:rPr>
          <w:rFonts w:ascii="Arial" w:hAnsi="Arial" w:cs="Arial"/>
          <w:sz w:val="20"/>
          <w:szCs w:val="20"/>
        </w:rPr>
        <w:t>It recommended disclosing:</w:t>
      </w:r>
      <w:r w:rsidR="00D24DEF" w:rsidRPr="002D57D8">
        <w:rPr>
          <w:rFonts w:ascii="Arial" w:hAnsi="Arial" w:cs="Arial"/>
          <w:sz w:val="20"/>
          <w:szCs w:val="20"/>
        </w:rPr>
        <w:t xml:space="preserve"> </w:t>
      </w:r>
    </w:p>
    <w:p w:rsidR="00E7229F" w:rsidRDefault="00AF62CB" w:rsidP="00214492">
      <w:pPr>
        <w:pStyle w:val="a6"/>
        <w:numPr>
          <w:ilvl w:val="0"/>
          <w:numId w:val="6"/>
        </w:numPr>
        <w:jc w:val="both"/>
        <w:rPr>
          <w:rFonts w:ascii="Arial" w:hAnsi="Arial" w:cs="Arial"/>
          <w:sz w:val="20"/>
          <w:szCs w:val="20"/>
        </w:rPr>
      </w:pPr>
      <w:r>
        <w:rPr>
          <w:rFonts w:ascii="Arial" w:hAnsi="Arial" w:cs="Arial"/>
          <w:sz w:val="20"/>
          <w:szCs w:val="20"/>
        </w:rPr>
        <w:t xml:space="preserve">whether </w:t>
      </w:r>
      <w:r w:rsidR="00D24DEF" w:rsidRPr="00214492">
        <w:rPr>
          <w:rFonts w:ascii="Arial" w:hAnsi="Arial" w:cs="Arial"/>
          <w:sz w:val="20"/>
          <w:szCs w:val="20"/>
        </w:rPr>
        <w:t xml:space="preserve">the </w:t>
      </w:r>
      <w:r>
        <w:rPr>
          <w:rFonts w:ascii="Arial" w:hAnsi="Arial" w:cs="Arial"/>
          <w:sz w:val="20"/>
          <w:szCs w:val="20"/>
        </w:rPr>
        <w:t xml:space="preserve">listed company’s </w:t>
      </w:r>
      <w:r w:rsidR="00D24DEF" w:rsidRPr="00214492">
        <w:rPr>
          <w:rFonts w:ascii="Arial" w:hAnsi="Arial" w:cs="Arial"/>
          <w:sz w:val="20"/>
          <w:szCs w:val="20"/>
        </w:rPr>
        <w:t>board</w:t>
      </w:r>
      <w:r>
        <w:rPr>
          <w:rFonts w:ascii="Arial" w:hAnsi="Arial" w:cs="Arial"/>
          <w:sz w:val="20"/>
          <w:szCs w:val="20"/>
        </w:rPr>
        <w:t xml:space="preserve"> has </w:t>
      </w:r>
      <w:r w:rsidR="00D24DEF" w:rsidRPr="00214492">
        <w:rPr>
          <w:rFonts w:ascii="Arial" w:hAnsi="Arial" w:cs="Arial"/>
          <w:sz w:val="20"/>
          <w:szCs w:val="20"/>
        </w:rPr>
        <w:t>confirm</w:t>
      </w:r>
      <w:r>
        <w:rPr>
          <w:rFonts w:ascii="Arial" w:hAnsi="Arial" w:cs="Arial"/>
          <w:sz w:val="20"/>
          <w:szCs w:val="20"/>
        </w:rPr>
        <w:t xml:space="preserve">ed the Internal Control Systems’ effectiveness; </w:t>
      </w:r>
    </w:p>
    <w:p w:rsidR="00AF62CB" w:rsidRDefault="00AF62CB" w:rsidP="00214492">
      <w:pPr>
        <w:pStyle w:val="a6"/>
        <w:jc w:val="both"/>
        <w:rPr>
          <w:rFonts w:ascii="Arial" w:hAnsi="Arial" w:cs="Arial"/>
          <w:sz w:val="20"/>
          <w:szCs w:val="20"/>
        </w:rPr>
      </w:pPr>
    </w:p>
    <w:p w:rsidR="00AF62CB" w:rsidRDefault="00AF62CB" w:rsidP="00214492">
      <w:pPr>
        <w:pStyle w:val="a6"/>
        <w:numPr>
          <w:ilvl w:val="0"/>
          <w:numId w:val="6"/>
        </w:numPr>
        <w:jc w:val="both"/>
        <w:rPr>
          <w:rFonts w:ascii="Arial" w:hAnsi="Arial" w:cs="Arial"/>
          <w:sz w:val="20"/>
          <w:szCs w:val="20"/>
        </w:rPr>
      </w:pPr>
      <w:r w:rsidRPr="00214492">
        <w:rPr>
          <w:rFonts w:ascii="Arial" w:hAnsi="Arial" w:cs="Arial"/>
          <w:sz w:val="20"/>
          <w:szCs w:val="20"/>
        </w:rPr>
        <w:t xml:space="preserve">the confirmations received </w:t>
      </w:r>
      <w:r>
        <w:rPr>
          <w:rFonts w:ascii="Arial" w:hAnsi="Arial" w:cs="Arial"/>
          <w:sz w:val="20"/>
          <w:szCs w:val="20"/>
        </w:rPr>
        <w:t xml:space="preserve">by the board or the listed company </w:t>
      </w:r>
      <w:r w:rsidRPr="00214492">
        <w:rPr>
          <w:rFonts w:ascii="Arial" w:hAnsi="Arial" w:cs="Arial"/>
          <w:sz w:val="20"/>
          <w:szCs w:val="20"/>
        </w:rPr>
        <w:t xml:space="preserve">in support of its determination that the </w:t>
      </w:r>
      <w:r>
        <w:rPr>
          <w:rFonts w:ascii="Arial" w:hAnsi="Arial" w:cs="Arial"/>
          <w:sz w:val="20"/>
          <w:szCs w:val="20"/>
        </w:rPr>
        <w:t>Internal Control Systems</w:t>
      </w:r>
      <w:r w:rsidRPr="00AF62CB">
        <w:rPr>
          <w:rFonts w:ascii="Arial" w:hAnsi="Arial" w:cs="Arial"/>
          <w:sz w:val="20"/>
          <w:szCs w:val="20"/>
        </w:rPr>
        <w:t xml:space="preserve"> </w:t>
      </w:r>
      <w:r>
        <w:rPr>
          <w:rFonts w:ascii="Arial" w:hAnsi="Arial" w:cs="Arial"/>
          <w:sz w:val="20"/>
          <w:szCs w:val="20"/>
        </w:rPr>
        <w:t xml:space="preserve">are </w:t>
      </w:r>
      <w:r w:rsidRPr="00214492">
        <w:rPr>
          <w:rFonts w:ascii="Arial" w:hAnsi="Arial" w:cs="Arial"/>
          <w:sz w:val="20"/>
          <w:szCs w:val="20"/>
        </w:rPr>
        <w:t xml:space="preserve">effective. These confirmations </w:t>
      </w:r>
      <w:r>
        <w:rPr>
          <w:rFonts w:ascii="Arial" w:hAnsi="Arial" w:cs="Arial"/>
          <w:sz w:val="20"/>
          <w:szCs w:val="20"/>
        </w:rPr>
        <w:t>can be from</w:t>
      </w:r>
      <w:r w:rsidRPr="00214492">
        <w:rPr>
          <w:rFonts w:ascii="Arial" w:hAnsi="Arial" w:cs="Arial"/>
          <w:sz w:val="20"/>
          <w:szCs w:val="20"/>
        </w:rPr>
        <w:t xml:space="preserve"> management,</w:t>
      </w:r>
      <w:r w:rsidR="00E7229F">
        <w:rPr>
          <w:rStyle w:val="a9"/>
          <w:rFonts w:ascii="Arial" w:hAnsi="Arial" w:cs="Arial"/>
          <w:sz w:val="20"/>
          <w:szCs w:val="20"/>
        </w:rPr>
        <w:footnoteReference w:id="6"/>
      </w:r>
      <w:r w:rsidRPr="00214492">
        <w:rPr>
          <w:rFonts w:ascii="Arial" w:hAnsi="Arial" w:cs="Arial"/>
          <w:sz w:val="20"/>
          <w:szCs w:val="20"/>
        </w:rPr>
        <w:t xml:space="preserve"> the audit committee, the internal audit function, other departments, and/or external advisers</w:t>
      </w:r>
      <w:r>
        <w:rPr>
          <w:rFonts w:ascii="Arial" w:hAnsi="Arial" w:cs="Arial"/>
          <w:sz w:val="20"/>
          <w:szCs w:val="20"/>
        </w:rPr>
        <w:t>;</w:t>
      </w:r>
      <w:r w:rsidR="00E7229F">
        <w:rPr>
          <w:rFonts w:ascii="Arial" w:hAnsi="Arial" w:cs="Arial"/>
          <w:sz w:val="20"/>
          <w:szCs w:val="20"/>
        </w:rPr>
        <w:t xml:space="preserve"> </w:t>
      </w:r>
    </w:p>
    <w:p w:rsidR="00E7229F" w:rsidRDefault="00E7229F" w:rsidP="00214492">
      <w:pPr>
        <w:pStyle w:val="a6"/>
        <w:jc w:val="both"/>
        <w:rPr>
          <w:rFonts w:ascii="Arial" w:hAnsi="Arial" w:cs="Arial"/>
          <w:sz w:val="20"/>
          <w:szCs w:val="20"/>
        </w:rPr>
      </w:pPr>
    </w:p>
    <w:p w:rsidR="00E7229F" w:rsidRDefault="00AF62CB" w:rsidP="00214492">
      <w:pPr>
        <w:pStyle w:val="a6"/>
        <w:numPr>
          <w:ilvl w:val="0"/>
          <w:numId w:val="6"/>
        </w:numPr>
        <w:jc w:val="both"/>
        <w:rPr>
          <w:rFonts w:ascii="Arial" w:hAnsi="Arial" w:cs="Arial"/>
          <w:sz w:val="20"/>
          <w:szCs w:val="20"/>
        </w:rPr>
      </w:pPr>
      <w:r w:rsidRPr="00214492">
        <w:rPr>
          <w:rFonts w:ascii="Arial" w:hAnsi="Arial" w:cs="Arial"/>
          <w:sz w:val="20"/>
          <w:szCs w:val="20"/>
        </w:rPr>
        <w:t>any significant areas of concern,</w:t>
      </w:r>
      <w:r w:rsidR="00E7229F">
        <w:rPr>
          <w:rStyle w:val="a9"/>
          <w:rFonts w:ascii="Arial" w:hAnsi="Arial" w:cs="Arial"/>
          <w:sz w:val="20"/>
          <w:szCs w:val="20"/>
        </w:rPr>
        <w:footnoteReference w:id="7"/>
      </w:r>
      <w:r w:rsidRPr="00214492">
        <w:rPr>
          <w:rFonts w:ascii="Arial" w:hAnsi="Arial" w:cs="Arial"/>
          <w:sz w:val="20"/>
          <w:szCs w:val="20"/>
        </w:rPr>
        <w:t xml:space="preserve"> such as material weaknesses, </w:t>
      </w:r>
      <w:r w:rsidR="00E7229F">
        <w:rPr>
          <w:rFonts w:ascii="Arial" w:hAnsi="Arial" w:cs="Arial"/>
          <w:sz w:val="20"/>
          <w:szCs w:val="20"/>
        </w:rPr>
        <w:t xml:space="preserve">that </w:t>
      </w:r>
      <w:r w:rsidRPr="00214492">
        <w:rPr>
          <w:rFonts w:ascii="Arial" w:hAnsi="Arial" w:cs="Arial"/>
          <w:sz w:val="20"/>
          <w:szCs w:val="20"/>
        </w:rPr>
        <w:t xml:space="preserve">were identified during the review </w:t>
      </w:r>
      <w:r w:rsidR="00E7229F">
        <w:rPr>
          <w:rFonts w:ascii="Arial" w:hAnsi="Arial" w:cs="Arial"/>
          <w:sz w:val="20"/>
          <w:szCs w:val="20"/>
        </w:rPr>
        <w:t>(and if so, how these were remedied); and</w:t>
      </w:r>
    </w:p>
    <w:p w:rsidR="00E7229F" w:rsidRPr="00214492" w:rsidRDefault="00E7229F" w:rsidP="00214492">
      <w:pPr>
        <w:pStyle w:val="a6"/>
        <w:rPr>
          <w:rFonts w:ascii="Arial" w:hAnsi="Arial" w:cs="Arial"/>
          <w:sz w:val="20"/>
          <w:szCs w:val="20"/>
        </w:rPr>
      </w:pPr>
    </w:p>
    <w:p w:rsidR="002D57D8" w:rsidRPr="00214492" w:rsidRDefault="00C67F1F" w:rsidP="00214492">
      <w:pPr>
        <w:pStyle w:val="a6"/>
        <w:numPr>
          <w:ilvl w:val="0"/>
          <w:numId w:val="6"/>
        </w:numPr>
        <w:jc w:val="both"/>
        <w:rPr>
          <w:rFonts w:ascii="Arial" w:hAnsi="Arial" w:cs="Arial"/>
          <w:sz w:val="20"/>
          <w:szCs w:val="20"/>
        </w:rPr>
      </w:pPr>
      <w:r w:rsidRPr="00FA70B7">
        <w:rPr>
          <w:rFonts w:ascii="Arial" w:hAnsi="Arial" w:cs="Arial"/>
          <w:sz w:val="20"/>
          <w:szCs w:val="20"/>
        </w:rPr>
        <w:t>changes made to the Internal Control System</w:t>
      </w:r>
      <w:r>
        <w:rPr>
          <w:rFonts w:ascii="Arial" w:hAnsi="Arial" w:cs="Arial"/>
          <w:sz w:val="20"/>
          <w:szCs w:val="20"/>
        </w:rPr>
        <w:t>s during the year</w:t>
      </w:r>
      <w:r w:rsidRPr="00AF62CB">
        <w:rPr>
          <w:rFonts w:ascii="Arial" w:hAnsi="Arial" w:cs="Arial"/>
          <w:sz w:val="20"/>
          <w:szCs w:val="20"/>
        </w:rPr>
        <w:t xml:space="preserve"> </w:t>
      </w:r>
      <w:r>
        <w:rPr>
          <w:rFonts w:ascii="Arial" w:hAnsi="Arial" w:cs="Arial"/>
          <w:sz w:val="20"/>
          <w:szCs w:val="20"/>
        </w:rPr>
        <w:t xml:space="preserve">with an </w:t>
      </w:r>
      <w:r w:rsidR="00D24DEF" w:rsidRPr="00214492">
        <w:rPr>
          <w:rFonts w:ascii="Arial" w:hAnsi="Arial" w:cs="Arial"/>
          <w:sz w:val="20"/>
          <w:szCs w:val="20"/>
        </w:rPr>
        <w:t xml:space="preserve">explanation </w:t>
      </w:r>
      <w:r>
        <w:rPr>
          <w:rFonts w:ascii="Arial" w:hAnsi="Arial" w:cs="Arial"/>
          <w:sz w:val="20"/>
          <w:szCs w:val="20"/>
        </w:rPr>
        <w:t>of what the</w:t>
      </w:r>
      <w:r w:rsidRPr="00214492">
        <w:rPr>
          <w:rFonts w:ascii="Arial" w:hAnsi="Arial" w:cs="Arial"/>
          <w:sz w:val="20"/>
          <w:szCs w:val="20"/>
        </w:rPr>
        <w:t xml:space="preserve"> changes were and the reasons </w:t>
      </w:r>
      <w:r>
        <w:rPr>
          <w:rFonts w:ascii="Arial" w:hAnsi="Arial" w:cs="Arial"/>
          <w:sz w:val="20"/>
          <w:szCs w:val="20"/>
        </w:rPr>
        <w:t xml:space="preserve">for </w:t>
      </w:r>
      <w:r w:rsidRPr="00214492">
        <w:rPr>
          <w:rFonts w:ascii="Arial" w:hAnsi="Arial" w:cs="Arial"/>
          <w:sz w:val="20"/>
          <w:szCs w:val="20"/>
        </w:rPr>
        <w:t>their implementation</w:t>
      </w:r>
      <w:r w:rsidR="00D24DEF" w:rsidRPr="00214492">
        <w:rPr>
          <w:rFonts w:ascii="Arial" w:hAnsi="Arial" w:cs="Arial"/>
          <w:sz w:val="20"/>
          <w:szCs w:val="20"/>
        </w:rPr>
        <w:t xml:space="preserve">.  </w:t>
      </w:r>
    </w:p>
    <w:p w:rsidR="00B23853" w:rsidRPr="002D57D8" w:rsidRDefault="00C67F1F" w:rsidP="00D24DEF">
      <w:pPr>
        <w:rPr>
          <w:rFonts w:ascii="Arial" w:hAnsi="Arial" w:cs="Arial"/>
          <w:b/>
          <w:color w:val="FF0000"/>
          <w:sz w:val="20"/>
          <w:szCs w:val="20"/>
          <w:lang w:val="en-HK"/>
        </w:rPr>
      </w:pPr>
      <w:r>
        <w:rPr>
          <w:rFonts w:ascii="Arial" w:hAnsi="Arial" w:cs="Arial"/>
          <w:b/>
          <w:color w:val="FF0000"/>
          <w:sz w:val="20"/>
          <w:szCs w:val="20"/>
          <w:lang w:val="en-HK"/>
        </w:rPr>
        <w:t>C</w:t>
      </w:r>
      <w:r w:rsidR="00D24DEF" w:rsidRPr="002D57D8">
        <w:rPr>
          <w:rFonts w:ascii="Arial" w:hAnsi="Arial" w:cs="Arial"/>
          <w:b/>
          <w:color w:val="FF0000"/>
          <w:sz w:val="20"/>
          <w:szCs w:val="20"/>
          <w:lang w:val="en-HK"/>
        </w:rPr>
        <w:t>ompliance with C</w:t>
      </w:r>
      <w:r>
        <w:rPr>
          <w:rFonts w:ascii="Arial" w:hAnsi="Arial" w:cs="Arial"/>
          <w:b/>
          <w:color w:val="FF0000"/>
          <w:sz w:val="20"/>
          <w:szCs w:val="20"/>
          <w:lang w:val="en-HK"/>
        </w:rPr>
        <w:t xml:space="preserve">ode </w:t>
      </w:r>
      <w:r w:rsidR="00D24DEF" w:rsidRPr="002D57D8">
        <w:rPr>
          <w:rFonts w:ascii="Arial" w:hAnsi="Arial" w:cs="Arial"/>
          <w:b/>
          <w:color w:val="FF0000"/>
          <w:sz w:val="20"/>
          <w:szCs w:val="20"/>
          <w:lang w:val="en-HK"/>
        </w:rPr>
        <w:t>P</w:t>
      </w:r>
      <w:r>
        <w:rPr>
          <w:rFonts w:ascii="Arial" w:hAnsi="Arial" w:cs="Arial"/>
          <w:b/>
          <w:color w:val="FF0000"/>
          <w:sz w:val="20"/>
          <w:szCs w:val="20"/>
          <w:lang w:val="en-HK"/>
        </w:rPr>
        <w:t>rovision</w:t>
      </w:r>
      <w:r w:rsidR="00D24DEF" w:rsidRPr="002D57D8">
        <w:rPr>
          <w:rFonts w:ascii="Arial" w:hAnsi="Arial" w:cs="Arial"/>
          <w:b/>
          <w:color w:val="FF0000"/>
          <w:sz w:val="20"/>
          <w:szCs w:val="20"/>
          <w:lang w:val="en-HK"/>
        </w:rPr>
        <w:t xml:space="preserve">s </w:t>
      </w:r>
    </w:p>
    <w:tbl>
      <w:tblPr>
        <w:tblStyle w:val="aa"/>
        <w:tblW w:w="9351" w:type="dxa"/>
        <w:tblLook w:val="04A0" w:firstRow="1" w:lastRow="0" w:firstColumn="1" w:lastColumn="0" w:noHBand="0" w:noVBand="1"/>
      </w:tblPr>
      <w:tblGrid>
        <w:gridCol w:w="2366"/>
        <w:gridCol w:w="2024"/>
        <w:gridCol w:w="2409"/>
        <w:gridCol w:w="2552"/>
      </w:tblGrid>
      <w:tr w:rsidR="004170ED" w:rsidRPr="002D57D8" w:rsidTr="00214492">
        <w:tc>
          <w:tcPr>
            <w:tcW w:w="2366" w:type="dxa"/>
          </w:tcPr>
          <w:p w:rsidR="004170ED" w:rsidRPr="002D57D8" w:rsidRDefault="004170ED" w:rsidP="00D24DEF">
            <w:pPr>
              <w:rPr>
                <w:rFonts w:ascii="Arial" w:hAnsi="Arial" w:cs="Arial"/>
                <w:sz w:val="20"/>
                <w:szCs w:val="20"/>
              </w:rPr>
            </w:pPr>
          </w:p>
        </w:tc>
        <w:tc>
          <w:tcPr>
            <w:tcW w:w="2024" w:type="dxa"/>
          </w:tcPr>
          <w:p w:rsidR="004170ED" w:rsidRPr="00214492" w:rsidRDefault="004170ED" w:rsidP="00D24DEF">
            <w:pPr>
              <w:rPr>
                <w:rFonts w:ascii="Arial" w:hAnsi="Arial" w:cs="Arial"/>
                <w:b/>
                <w:sz w:val="20"/>
                <w:szCs w:val="20"/>
              </w:rPr>
            </w:pPr>
            <w:r w:rsidRPr="00214492">
              <w:rPr>
                <w:rFonts w:ascii="Arial" w:hAnsi="Arial" w:cs="Arial"/>
                <w:b/>
                <w:sz w:val="20"/>
                <w:szCs w:val="20"/>
              </w:rPr>
              <w:t xml:space="preserve">2022 Review </w:t>
            </w:r>
          </w:p>
        </w:tc>
        <w:tc>
          <w:tcPr>
            <w:tcW w:w="2409" w:type="dxa"/>
          </w:tcPr>
          <w:p w:rsidR="004170ED" w:rsidRPr="00214492" w:rsidRDefault="004170ED" w:rsidP="00D24DEF">
            <w:pPr>
              <w:rPr>
                <w:rFonts w:ascii="Arial" w:hAnsi="Arial" w:cs="Arial"/>
                <w:b/>
                <w:sz w:val="20"/>
                <w:szCs w:val="20"/>
              </w:rPr>
            </w:pPr>
            <w:r w:rsidRPr="00214492">
              <w:rPr>
                <w:rFonts w:ascii="Arial" w:hAnsi="Arial" w:cs="Arial"/>
                <w:b/>
                <w:sz w:val="20"/>
                <w:szCs w:val="20"/>
              </w:rPr>
              <w:t xml:space="preserve">2019 Review </w:t>
            </w:r>
          </w:p>
        </w:tc>
        <w:tc>
          <w:tcPr>
            <w:tcW w:w="2552" w:type="dxa"/>
          </w:tcPr>
          <w:p w:rsidR="004170ED" w:rsidRPr="00214492" w:rsidRDefault="004170ED" w:rsidP="00D24DEF">
            <w:pPr>
              <w:rPr>
                <w:rFonts w:ascii="Arial" w:hAnsi="Arial" w:cs="Arial"/>
                <w:b/>
                <w:sz w:val="20"/>
                <w:szCs w:val="20"/>
              </w:rPr>
            </w:pPr>
            <w:r w:rsidRPr="00214492">
              <w:rPr>
                <w:rFonts w:ascii="Arial" w:hAnsi="Arial" w:cs="Arial"/>
                <w:b/>
                <w:sz w:val="20"/>
                <w:szCs w:val="20"/>
              </w:rPr>
              <w:t xml:space="preserve">2017/2018 Review </w:t>
            </w:r>
          </w:p>
        </w:tc>
      </w:tr>
      <w:tr w:rsidR="004170ED" w:rsidRPr="002D57D8" w:rsidTr="00214492">
        <w:tc>
          <w:tcPr>
            <w:tcW w:w="2366" w:type="dxa"/>
          </w:tcPr>
          <w:p w:rsidR="004170ED" w:rsidRPr="002D57D8" w:rsidRDefault="004170ED" w:rsidP="00D24DEF">
            <w:pPr>
              <w:rPr>
                <w:rFonts w:ascii="Arial" w:hAnsi="Arial" w:cs="Arial"/>
                <w:sz w:val="20"/>
                <w:szCs w:val="20"/>
              </w:rPr>
            </w:pPr>
            <w:r w:rsidRPr="002D57D8">
              <w:rPr>
                <w:rFonts w:ascii="Arial" w:hAnsi="Arial" w:cs="Arial"/>
                <w:sz w:val="20"/>
                <w:szCs w:val="20"/>
              </w:rPr>
              <w:t xml:space="preserve">Compliance with all 78 CPs </w:t>
            </w:r>
          </w:p>
        </w:tc>
        <w:tc>
          <w:tcPr>
            <w:tcW w:w="2024" w:type="dxa"/>
          </w:tcPr>
          <w:p w:rsidR="004170ED" w:rsidRPr="002D57D8" w:rsidRDefault="004170ED" w:rsidP="00D24DEF">
            <w:pPr>
              <w:rPr>
                <w:rFonts w:ascii="Arial" w:hAnsi="Arial" w:cs="Arial"/>
                <w:sz w:val="20"/>
                <w:szCs w:val="20"/>
              </w:rPr>
            </w:pPr>
            <w:r w:rsidRPr="002D57D8">
              <w:rPr>
                <w:rFonts w:ascii="Arial" w:hAnsi="Arial" w:cs="Arial"/>
                <w:sz w:val="20"/>
                <w:szCs w:val="20"/>
              </w:rPr>
              <w:t>49%</w:t>
            </w:r>
          </w:p>
        </w:tc>
        <w:tc>
          <w:tcPr>
            <w:tcW w:w="2409" w:type="dxa"/>
          </w:tcPr>
          <w:p w:rsidR="004170ED" w:rsidRPr="002D57D8" w:rsidRDefault="004170ED" w:rsidP="00D24DEF">
            <w:pPr>
              <w:rPr>
                <w:rFonts w:ascii="Arial" w:hAnsi="Arial" w:cs="Arial"/>
                <w:sz w:val="20"/>
                <w:szCs w:val="20"/>
              </w:rPr>
            </w:pPr>
            <w:r w:rsidRPr="002D57D8">
              <w:rPr>
                <w:rFonts w:ascii="Arial" w:hAnsi="Arial" w:cs="Arial"/>
                <w:sz w:val="20"/>
                <w:szCs w:val="20"/>
              </w:rPr>
              <w:t>41%</w:t>
            </w:r>
          </w:p>
        </w:tc>
        <w:tc>
          <w:tcPr>
            <w:tcW w:w="2552" w:type="dxa"/>
          </w:tcPr>
          <w:p w:rsidR="004170ED" w:rsidRPr="002D57D8" w:rsidRDefault="004170ED" w:rsidP="00D24DEF">
            <w:pPr>
              <w:rPr>
                <w:rFonts w:ascii="Arial" w:hAnsi="Arial" w:cs="Arial"/>
                <w:sz w:val="20"/>
                <w:szCs w:val="20"/>
              </w:rPr>
            </w:pPr>
            <w:r w:rsidRPr="002D57D8">
              <w:rPr>
                <w:rFonts w:ascii="Arial" w:hAnsi="Arial" w:cs="Arial"/>
                <w:sz w:val="20"/>
                <w:szCs w:val="20"/>
              </w:rPr>
              <w:t>36%</w:t>
            </w:r>
          </w:p>
        </w:tc>
      </w:tr>
      <w:tr w:rsidR="004170ED" w:rsidRPr="002D57D8" w:rsidTr="00214492">
        <w:tc>
          <w:tcPr>
            <w:tcW w:w="2366" w:type="dxa"/>
          </w:tcPr>
          <w:p w:rsidR="004170ED" w:rsidRPr="002D57D8" w:rsidRDefault="004170ED" w:rsidP="00D24DEF">
            <w:pPr>
              <w:rPr>
                <w:rFonts w:ascii="Arial" w:hAnsi="Arial" w:cs="Arial"/>
                <w:sz w:val="20"/>
                <w:szCs w:val="20"/>
              </w:rPr>
            </w:pPr>
            <w:r w:rsidRPr="002D57D8">
              <w:rPr>
                <w:rFonts w:ascii="Arial" w:hAnsi="Arial" w:cs="Arial"/>
                <w:sz w:val="20"/>
                <w:szCs w:val="20"/>
              </w:rPr>
              <w:t xml:space="preserve">Compliance with 70 or more CPs </w:t>
            </w:r>
          </w:p>
        </w:tc>
        <w:tc>
          <w:tcPr>
            <w:tcW w:w="2024" w:type="dxa"/>
          </w:tcPr>
          <w:p w:rsidR="004170ED" w:rsidRPr="002D57D8" w:rsidRDefault="004170ED" w:rsidP="00D24DEF">
            <w:pPr>
              <w:rPr>
                <w:rFonts w:ascii="Arial" w:hAnsi="Arial" w:cs="Arial"/>
                <w:sz w:val="20"/>
                <w:szCs w:val="20"/>
              </w:rPr>
            </w:pPr>
            <w:r w:rsidRPr="002D57D8">
              <w:rPr>
                <w:rFonts w:ascii="Arial" w:hAnsi="Arial" w:cs="Arial"/>
                <w:sz w:val="20"/>
                <w:szCs w:val="20"/>
              </w:rPr>
              <w:t xml:space="preserve">99.5% </w:t>
            </w:r>
            <w:r w:rsidRPr="002D57D8">
              <w:rPr>
                <w:rFonts w:ascii="Arial" w:hAnsi="Arial" w:cs="Arial"/>
                <w:i/>
                <w:sz w:val="20"/>
                <w:szCs w:val="20"/>
                <w:vertAlign w:val="superscript"/>
              </w:rPr>
              <w:t>(Note)</w:t>
            </w:r>
          </w:p>
        </w:tc>
        <w:tc>
          <w:tcPr>
            <w:tcW w:w="2409" w:type="dxa"/>
          </w:tcPr>
          <w:p w:rsidR="004170ED" w:rsidRPr="002D57D8" w:rsidRDefault="004170ED" w:rsidP="00D24DEF">
            <w:pPr>
              <w:rPr>
                <w:rFonts w:ascii="Arial" w:hAnsi="Arial" w:cs="Arial"/>
                <w:sz w:val="20"/>
                <w:szCs w:val="20"/>
              </w:rPr>
            </w:pPr>
            <w:r w:rsidRPr="002D57D8">
              <w:rPr>
                <w:rFonts w:ascii="Arial" w:hAnsi="Arial" w:cs="Arial"/>
                <w:sz w:val="20"/>
                <w:szCs w:val="20"/>
              </w:rPr>
              <w:t>100%</w:t>
            </w:r>
          </w:p>
        </w:tc>
        <w:tc>
          <w:tcPr>
            <w:tcW w:w="2552" w:type="dxa"/>
          </w:tcPr>
          <w:p w:rsidR="004170ED" w:rsidRPr="002D57D8" w:rsidRDefault="004170ED" w:rsidP="00D24DEF">
            <w:pPr>
              <w:rPr>
                <w:rFonts w:ascii="Arial" w:hAnsi="Arial" w:cs="Arial"/>
                <w:sz w:val="20"/>
                <w:szCs w:val="20"/>
              </w:rPr>
            </w:pPr>
            <w:r w:rsidRPr="002D57D8">
              <w:rPr>
                <w:rFonts w:ascii="Arial" w:hAnsi="Arial" w:cs="Arial"/>
                <w:sz w:val="20"/>
                <w:szCs w:val="20"/>
              </w:rPr>
              <w:t>100%</w:t>
            </w:r>
          </w:p>
        </w:tc>
      </w:tr>
    </w:tbl>
    <w:p w:rsidR="00CF6037" w:rsidRPr="00214492" w:rsidRDefault="00457FFE" w:rsidP="00214492">
      <w:pPr>
        <w:ind w:left="142"/>
        <w:jc w:val="both"/>
        <w:rPr>
          <w:rFonts w:ascii="Arial" w:hAnsi="Arial" w:cs="Arial"/>
          <w:i/>
          <w:sz w:val="18"/>
          <w:szCs w:val="20"/>
        </w:rPr>
      </w:pPr>
      <w:r w:rsidRPr="00214492">
        <w:rPr>
          <w:rFonts w:ascii="Arial" w:hAnsi="Arial" w:cs="Arial"/>
          <w:i/>
          <w:sz w:val="18"/>
          <w:szCs w:val="20"/>
        </w:rPr>
        <w:t>Note: Two sampled listed companies had prolonged vacancies in the chairman and/or chief executive officer positions due to s</w:t>
      </w:r>
      <w:r w:rsidR="00246879" w:rsidRPr="00214492">
        <w:rPr>
          <w:rFonts w:ascii="Arial" w:hAnsi="Arial" w:cs="Arial"/>
          <w:i/>
          <w:sz w:val="18"/>
          <w:szCs w:val="20"/>
        </w:rPr>
        <w:t xml:space="preserve">pecial circumstances, and have been excluded by the </w:t>
      </w:r>
      <w:proofErr w:type="spellStart"/>
      <w:r w:rsidR="00246879" w:rsidRPr="00214492">
        <w:rPr>
          <w:rFonts w:ascii="Arial" w:hAnsi="Arial" w:cs="Arial"/>
          <w:i/>
          <w:sz w:val="18"/>
          <w:szCs w:val="20"/>
        </w:rPr>
        <w:t>HKE</w:t>
      </w:r>
      <w:r w:rsidR="00291ED2" w:rsidRPr="00214492">
        <w:rPr>
          <w:rFonts w:ascii="Arial" w:hAnsi="Arial" w:cs="Arial"/>
          <w:i/>
          <w:sz w:val="18"/>
          <w:szCs w:val="20"/>
        </w:rPr>
        <w:t>x</w:t>
      </w:r>
      <w:proofErr w:type="spellEnd"/>
      <w:r w:rsidR="00246879" w:rsidRPr="00214492">
        <w:rPr>
          <w:rFonts w:ascii="Arial" w:hAnsi="Arial" w:cs="Arial"/>
          <w:i/>
          <w:sz w:val="18"/>
          <w:szCs w:val="20"/>
        </w:rPr>
        <w:t xml:space="preserve"> in presenting certain statistics</w:t>
      </w:r>
      <w:r w:rsidR="00457218" w:rsidRPr="00214492">
        <w:rPr>
          <w:rFonts w:ascii="Arial" w:hAnsi="Arial" w:cs="Arial"/>
          <w:i/>
          <w:sz w:val="18"/>
          <w:szCs w:val="20"/>
        </w:rPr>
        <w:t xml:space="preserve">. </w:t>
      </w:r>
    </w:p>
    <w:p w:rsidR="003B614B" w:rsidRPr="002D57D8" w:rsidRDefault="003B614B" w:rsidP="003B614B">
      <w:pPr>
        <w:jc w:val="both"/>
        <w:rPr>
          <w:rFonts w:ascii="Arial" w:hAnsi="Arial" w:cs="Arial"/>
          <w:sz w:val="20"/>
          <w:szCs w:val="20"/>
        </w:rPr>
      </w:pPr>
      <w:r>
        <w:rPr>
          <w:rFonts w:ascii="Arial" w:hAnsi="Arial" w:cs="Arial"/>
          <w:sz w:val="20"/>
          <w:szCs w:val="20"/>
        </w:rPr>
        <w:t>T</w:t>
      </w:r>
      <w:r w:rsidRPr="002D57D8">
        <w:rPr>
          <w:rFonts w:ascii="Arial" w:hAnsi="Arial" w:cs="Arial"/>
          <w:sz w:val="20"/>
          <w:szCs w:val="20"/>
        </w:rPr>
        <w:t>he CP least complied with</w:t>
      </w:r>
      <w:r>
        <w:rPr>
          <w:rFonts w:ascii="Arial" w:hAnsi="Arial" w:cs="Arial"/>
          <w:sz w:val="20"/>
          <w:szCs w:val="20"/>
        </w:rPr>
        <w:t xml:space="preserve"> was CP</w:t>
      </w:r>
      <w:r w:rsidRPr="002D57D8">
        <w:rPr>
          <w:rFonts w:ascii="Arial" w:hAnsi="Arial" w:cs="Arial"/>
          <w:sz w:val="20"/>
          <w:szCs w:val="20"/>
        </w:rPr>
        <w:t xml:space="preserve"> C.2.1 (61%) </w:t>
      </w:r>
      <w:r>
        <w:rPr>
          <w:rFonts w:ascii="Arial" w:hAnsi="Arial" w:cs="Arial"/>
          <w:sz w:val="20"/>
          <w:szCs w:val="20"/>
        </w:rPr>
        <w:t>which requires</w:t>
      </w:r>
      <w:r w:rsidRPr="002D57D8">
        <w:rPr>
          <w:rFonts w:ascii="Arial" w:hAnsi="Arial" w:cs="Arial"/>
          <w:sz w:val="20"/>
          <w:szCs w:val="20"/>
        </w:rPr>
        <w:t xml:space="preserve"> the separation of the roles of chairman and chief executive. The main reason </w:t>
      </w:r>
      <w:r>
        <w:rPr>
          <w:rFonts w:ascii="Arial" w:hAnsi="Arial" w:cs="Arial"/>
          <w:sz w:val="20"/>
          <w:szCs w:val="20"/>
        </w:rPr>
        <w:t xml:space="preserve">given for </w:t>
      </w:r>
      <w:r w:rsidRPr="002D57D8">
        <w:rPr>
          <w:rFonts w:ascii="Arial" w:hAnsi="Arial" w:cs="Arial"/>
          <w:sz w:val="20"/>
          <w:szCs w:val="20"/>
        </w:rPr>
        <w:t xml:space="preserve">the same person </w:t>
      </w:r>
      <w:r>
        <w:rPr>
          <w:rFonts w:ascii="Arial" w:hAnsi="Arial" w:cs="Arial"/>
          <w:sz w:val="20"/>
          <w:szCs w:val="20"/>
        </w:rPr>
        <w:t xml:space="preserve">occupying </w:t>
      </w:r>
      <w:r w:rsidRPr="002D57D8">
        <w:rPr>
          <w:rFonts w:ascii="Arial" w:hAnsi="Arial" w:cs="Arial"/>
          <w:sz w:val="20"/>
          <w:szCs w:val="20"/>
        </w:rPr>
        <w:t xml:space="preserve">the roles of chairman and chief executive </w:t>
      </w:r>
      <w:r>
        <w:rPr>
          <w:rFonts w:ascii="Arial" w:hAnsi="Arial" w:cs="Arial"/>
          <w:sz w:val="20"/>
          <w:szCs w:val="20"/>
        </w:rPr>
        <w:t>wa</w:t>
      </w:r>
      <w:r w:rsidRPr="002D57D8">
        <w:rPr>
          <w:rFonts w:ascii="Arial" w:hAnsi="Arial" w:cs="Arial"/>
          <w:sz w:val="20"/>
          <w:szCs w:val="20"/>
        </w:rPr>
        <w:t xml:space="preserve">s that </w:t>
      </w:r>
      <w:r>
        <w:rPr>
          <w:rFonts w:ascii="Arial" w:hAnsi="Arial" w:cs="Arial"/>
          <w:sz w:val="20"/>
          <w:szCs w:val="20"/>
        </w:rPr>
        <w:t xml:space="preserve">this </w:t>
      </w:r>
      <w:r w:rsidRPr="002D57D8">
        <w:rPr>
          <w:rFonts w:ascii="Arial" w:hAnsi="Arial" w:cs="Arial"/>
          <w:sz w:val="20"/>
          <w:szCs w:val="20"/>
        </w:rPr>
        <w:t xml:space="preserve">arrangement allows for more consistent leadership and </w:t>
      </w:r>
      <w:r>
        <w:rPr>
          <w:rFonts w:ascii="Arial" w:hAnsi="Arial" w:cs="Arial"/>
          <w:sz w:val="20"/>
          <w:szCs w:val="20"/>
        </w:rPr>
        <w:t xml:space="preserve">enables </w:t>
      </w:r>
      <w:r w:rsidRPr="002D57D8">
        <w:rPr>
          <w:rFonts w:ascii="Arial" w:hAnsi="Arial" w:cs="Arial"/>
          <w:sz w:val="20"/>
          <w:szCs w:val="20"/>
        </w:rPr>
        <w:t xml:space="preserve">the effective implementation of strategies. Other reasons </w:t>
      </w:r>
      <w:r>
        <w:rPr>
          <w:rFonts w:ascii="Arial" w:hAnsi="Arial" w:cs="Arial"/>
          <w:sz w:val="20"/>
          <w:szCs w:val="20"/>
        </w:rPr>
        <w:t xml:space="preserve">given </w:t>
      </w:r>
      <w:r w:rsidRPr="002D57D8">
        <w:rPr>
          <w:rFonts w:ascii="Arial" w:hAnsi="Arial" w:cs="Arial"/>
          <w:sz w:val="20"/>
          <w:szCs w:val="20"/>
        </w:rPr>
        <w:t>for non-compliance include</w:t>
      </w:r>
      <w:r>
        <w:rPr>
          <w:rFonts w:ascii="Arial" w:hAnsi="Arial" w:cs="Arial"/>
          <w:sz w:val="20"/>
          <w:szCs w:val="20"/>
        </w:rPr>
        <w:t>d</w:t>
      </w:r>
      <w:r w:rsidRPr="002D57D8">
        <w:rPr>
          <w:rFonts w:ascii="Arial" w:hAnsi="Arial" w:cs="Arial"/>
          <w:sz w:val="20"/>
          <w:szCs w:val="20"/>
        </w:rPr>
        <w:t xml:space="preserve"> </w:t>
      </w:r>
      <w:r>
        <w:rPr>
          <w:rFonts w:ascii="Arial" w:hAnsi="Arial" w:cs="Arial"/>
          <w:sz w:val="20"/>
          <w:szCs w:val="20"/>
        </w:rPr>
        <w:t>that: (</w:t>
      </w:r>
      <w:proofErr w:type="spellStart"/>
      <w:r>
        <w:rPr>
          <w:rFonts w:ascii="Arial" w:hAnsi="Arial" w:cs="Arial"/>
          <w:sz w:val="20"/>
          <w:szCs w:val="20"/>
        </w:rPr>
        <w:t>i</w:t>
      </w:r>
      <w:proofErr w:type="spellEnd"/>
      <w:r>
        <w:rPr>
          <w:rFonts w:ascii="Arial" w:hAnsi="Arial" w:cs="Arial"/>
          <w:sz w:val="20"/>
          <w:szCs w:val="20"/>
        </w:rPr>
        <w:t xml:space="preserve">) </w:t>
      </w:r>
      <w:r w:rsidRPr="002D57D8">
        <w:rPr>
          <w:rFonts w:ascii="Arial" w:hAnsi="Arial" w:cs="Arial"/>
          <w:sz w:val="20"/>
          <w:szCs w:val="20"/>
        </w:rPr>
        <w:t>the balance of power and authority was not impaired</w:t>
      </w:r>
      <w:r>
        <w:rPr>
          <w:rFonts w:ascii="Arial" w:hAnsi="Arial" w:cs="Arial"/>
          <w:sz w:val="20"/>
          <w:szCs w:val="20"/>
        </w:rPr>
        <w:t>;</w:t>
      </w:r>
      <w:r w:rsidRPr="002D57D8">
        <w:rPr>
          <w:rFonts w:ascii="Arial" w:hAnsi="Arial" w:cs="Arial"/>
          <w:sz w:val="20"/>
          <w:szCs w:val="20"/>
        </w:rPr>
        <w:t xml:space="preserve"> </w:t>
      </w:r>
      <w:r>
        <w:rPr>
          <w:rFonts w:ascii="Arial" w:hAnsi="Arial" w:cs="Arial"/>
          <w:sz w:val="20"/>
          <w:szCs w:val="20"/>
        </w:rPr>
        <w:t xml:space="preserve">(ii) </w:t>
      </w:r>
      <w:r w:rsidRPr="002D57D8">
        <w:rPr>
          <w:rFonts w:ascii="Arial" w:hAnsi="Arial" w:cs="Arial"/>
          <w:sz w:val="20"/>
          <w:szCs w:val="20"/>
        </w:rPr>
        <w:t xml:space="preserve">contributions </w:t>
      </w:r>
      <w:r>
        <w:rPr>
          <w:rFonts w:ascii="Arial" w:hAnsi="Arial" w:cs="Arial"/>
          <w:sz w:val="20"/>
          <w:szCs w:val="20"/>
        </w:rPr>
        <w:t>were</w:t>
      </w:r>
      <w:r w:rsidRPr="002D57D8">
        <w:rPr>
          <w:rFonts w:ascii="Arial" w:hAnsi="Arial" w:cs="Arial"/>
          <w:sz w:val="20"/>
          <w:szCs w:val="20"/>
        </w:rPr>
        <w:t xml:space="preserve"> made by all members of the board</w:t>
      </w:r>
      <w:r>
        <w:rPr>
          <w:rFonts w:ascii="Arial" w:hAnsi="Arial" w:cs="Arial"/>
          <w:sz w:val="20"/>
          <w:szCs w:val="20"/>
        </w:rPr>
        <w:t>;</w:t>
      </w:r>
      <w:r w:rsidRPr="002D57D8">
        <w:rPr>
          <w:rFonts w:ascii="Arial" w:hAnsi="Arial" w:cs="Arial"/>
          <w:sz w:val="20"/>
          <w:szCs w:val="20"/>
        </w:rPr>
        <w:t xml:space="preserve"> and </w:t>
      </w:r>
      <w:r>
        <w:rPr>
          <w:rFonts w:ascii="Arial" w:hAnsi="Arial" w:cs="Arial"/>
          <w:sz w:val="20"/>
          <w:szCs w:val="20"/>
        </w:rPr>
        <w:t xml:space="preserve">(iii) </w:t>
      </w:r>
      <w:r w:rsidRPr="002D57D8">
        <w:rPr>
          <w:rFonts w:ascii="Arial" w:hAnsi="Arial" w:cs="Arial"/>
          <w:sz w:val="20"/>
          <w:szCs w:val="20"/>
        </w:rPr>
        <w:t xml:space="preserve">the individual </w:t>
      </w:r>
      <w:r>
        <w:rPr>
          <w:rFonts w:ascii="Arial" w:hAnsi="Arial" w:cs="Arial"/>
          <w:sz w:val="20"/>
          <w:szCs w:val="20"/>
        </w:rPr>
        <w:t xml:space="preserve">assuming </w:t>
      </w:r>
      <w:r w:rsidRPr="002D57D8">
        <w:rPr>
          <w:rFonts w:ascii="Arial" w:hAnsi="Arial" w:cs="Arial"/>
          <w:sz w:val="20"/>
          <w:szCs w:val="20"/>
        </w:rPr>
        <w:t xml:space="preserve">both roles </w:t>
      </w:r>
      <w:r>
        <w:rPr>
          <w:rFonts w:ascii="Arial" w:hAnsi="Arial" w:cs="Arial"/>
          <w:sz w:val="20"/>
          <w:szCs w:val="20"/>
        </w:rPr>
        <w:t xml:space="preserve">being of </w:t>
      </w:r>
      <w:r w:rsidRPr="002D57D8">
        <w:rPr>
          <w:rFonts w:ascii="Arial" w:hAnsi="Arial" w:cs="Arial"/>
          <w:sz w:val="20"/>
          <w:szCs w:val="20"/>
        </w:rPr>
        <w:t xml:space="preserve">high </w:t>
      </w:r>
      <w:proofErr w:type="spellStart"/>
      <w:r w:rsidRPr="002D57D8">
        <w:rPr>
          <w:rFonts w:ascii="Arial" w:hAnsi="Arial" w:cs="Arial"/>
          <w:sz w:val="20"/>
          <w:szCs w:val="20"/>
        </w:rPr>
        <w:t>calibr</w:t>
      </w:r>
      <w:r>
        <w:rPr>
          <w:rFonts w:ascii="Arial" w:hAnsi="Arial" w:cs="Arial"/>
          <w:sz w:val="20"/>
          <w:szCs w:val="20"/>
        </w:rPr>
        <w:t>e</w:t>
      </w:r>
      <w:proofErr w:type="spellEnd"/>
      <w:r w:rsidRPr="002D57D8">
        <w:rPr>
          <w:rFonts w:ascii="Arial" w:hAnsi="Arial" w:cs="Arial"/>
          <w:sz w:val="20"/>
          <w:szCs w:val="20"/>
        </w:rPr>
        <w:t xml:space="preserve">, </w:t>
      </w:r>
      <w:r>
        <w:rPr>
          <w:rFonts w:ascii="Arial" w:hAnsi="Arial" w:cs="Arial"/>
          <w:sz w:val="20"/>
          <w:szCs w:val="20"/>
        </w:rPr>
        <w:t xml:space="preserve">and having </w:t>
      </w:r>
      <w:r w:rsidRPr="002D57D8">
        <w:rPr>
          <w:rFonts w:ascii="Arial" w:hAnsi="Arial" w:cs="Arial"/>
          <w:sz w:val="20"/>
          <w:szCs w:val="20"/>
        </w:rPr>
        <w:t xml:space="preserve">extensive experience and knowledge </w:t>
      </w:r>
      <w:r>
        <w:rPr>
          <w:rFonts w:ascii="Arial" w:hAnsi="Arial" w:cs="Arial"/>
          <w:sz w:val="20"/>
          <w:szCs w:val="20"/>
        </w:rPr>
        <w:t>of</w:t>
      </w:r>
      <w:r w:rsidRPr="002D57D8">
        <w:rPr>
          <w:rFonts w:ascii="Arial" w:hAnsi="Arial" w:cs="Arial"/>
          <w:sz w:val="20"/>
          <w:szCs w:val="20"/>
        </w:rPr>
        <w:t xml:space="preserve"> the listed company</w:t>
      </w:r>
      <w:r>
        <w:rPr>
          <w:rFonts w:ascii="Arial" w:hAnsi="Arial" w:cs="Arial"/>
          <w:sz w:val="20"/>
          <w:szCs w:val="20"/>
        </w:rPr>
        <w:t>’s operations</w:t>
      </w:r>
      <w:r w:rsidRPr="002D57D8">
        <w:rPr>
          <w:rFonts w:ascii="Arial" w:hAnsi="Arial" w:cs="Arial"/>
          <w:sz w:val="20"/>
          <w:szCs w:val="20"/>
        </w:rPr>
        <w:t xml:space="preserve">. However, the </w:t>
      </w:r>
      <w:proofErr w:type="spellStart"/>
      <w:r w:rsidRPr="002D57D8">
        <w:rPr>
          <w:rFonts w:ascii="Arial" w:hAnsi="Arial" w:cs="Arial"/>
          <w:sz w:val="20"/>
          <w:szCs w:val="20"/>
        </w:rPr>
        <w:t>HKE</w:t>
      </w:r>
      <w:r>
        <w:rPr>
          <w:rFonts w:ascii="Arial" w:hAnsi="Arial" w:cs="Arial"/>
          <w:sz w:val="20"/>
          <w:szCs w:val="20"/>
        </w:rPr>
        <w:t>x</w:t>
      </w:r>
      <w:proofErr w:type="spellEnd"/>
      <w:r w:rsidRPr="002D57D8">
        <w:rPr>
          <w:rFonts w:ascii="Arial" w:hAnsi="Arial" w:cs="Arial"/>
          <w:sz w:val="20"/>
          <w:szCs w:val="20"/>
        </w:rPr>
        <w:t xml:space="preserve"> reiterated</w:t>
      </w:r>
      <w:r>
        <w:rPr>
          <w:rFonts w:ascii="Arial" w:hAnsi="Arial" w:cs="Arial"/>
          <w:sz w:val="20"/>
          <w:szCs w:val="20"/>
        </w:rPr>
        <w:t xml:space="preserve"> the requirement under CP C.2.1, </w:t>
      </w:r>
      <w:r w:rsidRPr="002D57D8">
        <w:rPr>
          <w:rFonts w:ascii="Arial" w:hAnsi="Arial" w:cs="Arial"/>
          <w:sz w:val="20"/>
          <w:szCs w:val="20"/>
        </w:rPr>
        <w:t>stating that the chairman and the chief executive play different roles in the company’s management</w:t>
      </w:r>
      <w:r>
        <w:rPr>
          <w:rFonts w:ascii="Arial" w:hAnsi="Arial" w:cs="Arial"/>
          <w:sz w:val="20"/>
          <w:szCs w:val="20"/>
        </w:rPr>
        <w:t xml:space="preserve">. The </w:t>
      </w:r>
      <w:proofErr w:type="spellStart"/>
      <w:r>
        <w:rPr>
          <w:rFonts w:ascii="Arial" w:hAnsi="Arial" w:cs="Arial"/>
          <w:sz w:val="20"/>
          <w:szCs w:val="20"/>
        </w:rPr>
        <w:t>HKEx</w:t>
      </w:r>
      <w:proofErr w:type="spellEnd"/>
      <w:r>
        <w:rPr>
          <w:rFonts w:ascii="Arial" w:hAnsi="Arial" w:cs="Arial"/>
          <w:sz w:val="20"/>
          <w:szCs w:val="20"/>
        </w:rPr>
        <w:t xml:space="preserve"> regards the chairman as responsible for the overall effectiveness of the board in directing the company, and the chief executive as responsible for overseeing the company’s operations. It believes the </w:t>
      </w:r>
      <w:r w:rsidRPr="002D57D8">
        <w:rPr>
          <w:rFonts w:ascii="Arial" w:hAnsi="Arial" w:cs="Arial"/>
          <w:sz w:val="20"/>
          <w:szCs w:val="20"/>
        </w:rPr>
        <w:t>separation of the</w:t>
      </w:r>
      <w:r>
        <w:rPr>
          <w:rFonts w:ascii="Arial" w:hAnsi="Arial" w:cs="Arial"/>
          <w:sz w:val="20"/>
          <w:szCs w:val="20"/>
        </w:rPr>
        <w:t>se</w:t>
      </w:r>
      <w:r w:rsidRPr="002D57D8">
        <w:rPr>
          <w:rFonts w:ascii="Arial" w:hAnsi="Arial" w:cs="Arial"/>
          <w:sz w:val="20"/>
          <w:szCs w:val="20"/>
        </w:rPr>
        <w:t xml:space="preserve"> roles </w:t>
      </w:r>
      <w:r>
        <w:rPr>
          <w:rFonts w:ascii="Arial" w:hAnsi="Arial" w:cs="Arial"/>
          <w:sz w:val="20"/>
          <w:szCs w:val="20"/>
        </w:rPr>
        <w:t xml:space="preserve">and their responsibilities is necessary to achieve </w:t>
      </w:r>
      <w:r w:rsidRPr="002D57D8">
        <w:rPr>
          <w:rFonts w:ascii="Arial" w:hAnsi="Arial" w:cs="Arial"/>
          <w:sz w:val="20"/>
          <w:szCs w:val="20"/>
        </w:rPr>
        <w:t xml:space="preserve">checks and balances on the exercise of power. </w:t>
      </w:r>
      <w:proofErr w:type="spellStart"/>
      <w:r>
        <w:rPr>
          <w:rFonts w:ascii="Arial" w:hAnsi="Arial" w:cs="Arial"/>
          <w:sz w:val="20"/>
          <w:szCs w:val="20"/>
        </w:rPr>
        <w:t>HKEx</w:t>
      </w:r>
      <w:proofErr w:type="spellEnd"/>
      <w:r>
        <w:rPr>
          <w:rFonts w:ascii="Arial" w:hAnsi="Arial" w:cs="Arial"/>
          <w:sz w:val="20"/>
          <w:szCs w:val="20"/>
        </w:rPr>
        <w:t xml:space="preserve"> recommends that l</w:t>
      </w:r>
      <w:r w:rsidRPr="002D57D8">
        <w:rPr>
          <w:rFonts w:ascii="Arial" w:hAnsi="Arial" w:cs="Arial"/>
          <w:sz w:val="20"/>
          <w:szCs w:val="20"/>
        </w:rPr>
        <w:t xml:space="preserve">isted companies who fail to comply with this CP should disclose the alternative measures </w:t>
      </w:r>
      <w:r>
        <w:rPr>
          <w:rFonts w:ascii="Arial" w:hAnsi="Arial" w:cs="Arial"/>
          <w:sz w:val="20"/>
          <w:szCs w:val="20"/>
        </w:rPr>
        <w:t xml:space="preserve">adopted </w:t>
      </w:r>
      <w:r w:rsidRPr="002D57D8">
        <w:rPr>
          <w:rFonts w:ascii="Arial" w:hAnsi="Arial" w:cs="Arial"/>
          <w:sz w:val="20"/>
          <w:szCs w:val="20"/>
        </w:rPr>
        <w:t xml:space="preserve">to ensure that important decisions are </w:t>
      </w:r>
      <w:proofErr w:type="spellStart"/>
      <w:r w:rsidRPr="002D57D8">
        <w:rPr>
          <w:rFonts w:ascii="Arial" w:hAnsi="Arial" w:cs="Arial"/>
          <w:sz w:val="20"/>
          <w:szCs w:val="20"/>
        </w:rPr>
        <w:t>scrutinised</w:t>
      </w:r>
      <w:proofErr w:type="spellEnd"/>
      <w:r w:rsidRPr="002D57D8">
        <w:rPr>
          <w:rFonts w:ascii="Arial" w:hAnsi="Arial" w:cs="Arial"/>
          <w:sz w:val="20"/>
          <w:szCs w:val="20"/>
        </w:rPr>
        <w:t xml:space="preserve"> and </w:t>
      </w:r>
      <w:r>
        <w:rPr>
          <w:rFonts w:ascii="Arial" w:hAnsi="Arial" w:cs="Arial"/>
          <w:sz w:val="20"/>
          <w:szCs w:val="20"/>
        </w:rPr>
        <w:t>that the exercise of power by a single chairman and chief executive is monitored</w:t>
      </w:r>
      <w:r w:rsidRPr="002D57D8">
        <w:rPr>
          <w:rFonts w:ascii="Arial" w:hAnsi="Arial" w:cs="Arial"/>
          <w:sz w:val="20"/>
          <w:szCs w:val="20"/>
        </w:rPr>
        <w:t xml:space="preserve">. </w:t>
      </w:r>
    </w:p>
    <w:p w:rsidR="00457FFE" w:rsidRPr="002D57D8" w:rsidRDefault="001B6F27" w:rsidP="00674531">
      <w:pPr>
        <w:jc w:val="both"/>
        <w:rPr>
          <w:rFonts w:ascii="Arial" w:hAnsi="Arial" w:cs="Arial"/>
          <w:sz w:val="20"/>
          <w:szCs w:val="20"/>
        </w:rPr>
      </w:pPr>
      <w:r>
        <w:rPr>
          <w:rFonts w:ascii="Arial" w:hAnsi="Arial" w:cs="Arial"/>
          <w:sz w:val="20"/>
          <w:szCs w:val="20"/>
        </w:rPr>
        <w:t>T</w:t>
      </w:r>
      <w:r w:rsidR="00A237E4" w:rsidRPr="002D57D8">
        <w:rPr>
          <w:rFonts w:ascii="Arial" w:hAnsi="Arial" w:cs="Arial"/>
          <w:sz w:val="20"/>
          <w:szCs w:val="20"/>
        </w:rPr>
        <w:t>he other</w:t>
      </w:r>
      <w:r w:rsidR="00457FFE" w:rsidRPr="002D57D8">
        <w:rPr>
          <w:rFonts w:ascii="Arial" w:hAnsi="Arial" w:cs="Arial"/>
          <w:sz w:val="20"/>
          <w:szCs w:val="20"/>
        </w:rPr>
        <w:t xml:space="preserve"> CPs wi</w:t>
      </w:r>
      <w:r w:rsidR="00A237E4" w:rsidRPr="002D57D8">
        <w:rPr>
          <w:rFonts w:ascii="Arial" w:hAnsi="Arial" w:cs="Arial"/>
          <w:sz w:val="20"/>
          <w:szCs w:val="20"/>
        </w:rPr>
        <w:t xml:space="preserve">th the lowest compliance rates </w:t>
      </w:r>
      <w:r>
        <w:rPr>
          <w:rFonts w:ascii="Arial" w:hAnsi="Arial" w:cs="Arial"/>
          <w:sz w:val="20"/>
          <w:szCs w:val="20"/>
        </w:rPr>
        <w:t>we</w:t>
      </w:r>
      <w:r w:rsidR="00A237E4" w:rsidRPr="002D57D8">
        <w:rPr>
          <w:rFonts w:ascii="Arial" w:hAnsi="Arial" w:cs="Arial"/>
          <w:sz w:val="20"/>
          <w:szCs w:val="20"/>
        </w:rPr>
        <w:t>re</w:t>
      </w:r>
      <w:r w:rsidR="007619AD">
        <w:rPr>
          <w:rFonts w:ascii="Arial" w:hAnsi="Arial" w:cs="Arial"/>
          <w:sz w:val="20"/>
          <w:szCs w:val="20"/>
        </w:rPr>
        <w:t xml:space="preserve"> </w:t>
      </w:r>
      <w:r w:rsidR="00F06C80">
        <w:rPr>
          <w:rFonts w:ascii="Arial" w:hAnsi="Arial" w:cs="Arial"/>
          <w:sz w:val="20"/>
          <w:szCs w:val="20"/>
        </w:rPr>
        <w:t>CP</w:t>
      </w:r>
      <w:r w:rsidR="008A6551" w:rsidRPr="002D57D8">
        <w:rPr>
          <w:rFonts w:ascii="Arial" w:hAnsi="Arial" w:cs="Arial"/>
          <w:sz w:val="20"/>
          <w:szCs w:val="20"/>
        </w:rPr>
        <w:t xml:space="preserve"> F.2.2 </w:t>
      </w:r>
      <w:r>
        <w:rPr>
          <w:rFonts w:ascii="Arial" w:hAnsi="Arial" w:cs="Arial"/>
          <w:sz w:val="20"/>
          <w:szCs w:val="20"/>
        </w:rPr>
        <w:t xml:space="preserve">on AGM attendance by the </w:t>
      </w:r>
      <w:r w:rsidR="008A6551" w:rsidRPr="002D57D8">
        <w:rPr>
          <w:rFonts w:ascii="Arial" w:hAnsi="Arial" w:cs="Arial"/>
          <w:sz w:val="20"/>
          <w:szCs w:val="20"/>
        </w:rPr>
        <w:t>chairm</w:t>
      </w:r>
      <w:r>
        <w:rPr>
          <w:rFonts w:ascii="Arial" w:hAnsi="Arial" w:cs="Arial"/>
          <w:sz w:val="20"/>
          <w:szCs w:val="20"/>
        </w:rPr>
        <w:t>e</w:t>
      </w:r>
      <w:r w:rsidR="008A6551" w:rsidRPr="002D57D8">
        <w:rPr>
          <w:rFonts w:ascii="Arial" w:hAnsi="Arial" w:cs="Arial"/>
          <w:sz w:val="20"/>
          <w:szCs w:val="20"/>
        </w:rPr>
        <w:t>n of the board and board committees (95%);</w:t>
      </w:r>
      <w:r w:rsidR="007619AD">
        <w:rPr>
          <w:rFonts w:ascii="Arial" w:hAnsi="Arial" w:cs="Arial"/>
          <w:sz w:val="20"/>
          <w:szCs w:val="20"/>
        </w:rPr>
        <w:t xml:space="preserve"> </w:t>
      </w:r>
      <w:r w:rsidR="00F06C80">
        <w:rPr>
          <w:rFonts w:ascii="Arial" w:hAnsi="Arial" w:cs="Arial"/>
          <w:sz w:val="20"/>
          <w:szCs w:val="20"/>
        </w:rPr>
        <w:t>CP</w:t>
      </w:r>
      <w:r w:rsidR="008A6551" w:rsidRPr="002D57D8">
        <w:rPr>
          <w:rFonts w:ascii="Arial" w:hAnsi="Arial" w:cs="Arial"/>
          <w:sz w:val="20"/>
          <w:szCs w:val="20"/>
        </w:rPr>
        <w:t xml:space="preserve"> C.5.1 on board meetings at least four times a year (97%);</w:t>
      </w:r>
      <w:r w:rsidR="007619AD">
        <w:rPr>
          <w:rFonts w:ascii="Arial" w:hAnsi="Arial" w:cs="Arial"/>
          <w:sz w:val="20"/>
          <w:szCs w:val="20"/>
        </w:rPr>
        <w:t xml:space="preserve"> </w:t>
      </w:r>
      <w:r w:rsidR="00F06C80">
        <w:rPr>
          <w:rFonts w:ascii="Arial" w:hAnsi="Arial" w:cs="Arial"/>
          <w:sz w:val="20"/>
          <w:szCs w:val="20"/>
        </w:rPr>
        <w:t>CP</w:t>
      </w:r>
      <w:r w:rsidR="008A6551" w:rsidRPr="002D57D8">
        <w:rPr>
          <w:rFonts w:ascii="Arial" w:hAnsi="Arial" w:cs="Arial"/>
          <w:sz w:val="20"/>
          <w:szCs w:val="20"/>
        </w:rPr>
        <w:t xml:space="preserve"> B.2.2 on retirement of directors by rotation at least once every three years (97%); and</w:t>
      </w:r>
      <w:r w:rsidR="007619AD">
        <w:rPr>
          <w:rFonts w:ascii="Arial" w:hAnsi="Arial" w:cs="Arial"/>
          <w:sz w:val="20"/>
          <w:szCs w:val="20"/>
        </w:rPr>
        <w:t xml:space="preserve"> </w:t>
      </w:r>
      <w:r w:rsidR="00F06C80">
        <w:rPr>
          <w:rFonts w:ascii="Arial" w:hAnsi="Arial" w:cs="Arial"/>
          <w:sz w:val="20"/>
          <w:szCs w:val="20"/>
        </w:rPr>
        <w:t>CP</w:t>
      </w:r>
      <w:r w:rsidR="008A6551" w:rsidRPr="002D57D8">
        <w:rPr>
          <w:rFonts w:ascii="Arial" w:hAnsi="Arial" w:cs="Arial"/>
          <w:sz w:val="20"/>
          <w:szCs w:val="20"/>
        </w:rPr>
        <w:t xml:space="preserve"> C.1.6 on non-executive directors’ attendance at general meetings (97%). </w:t>
      </w:r>
    </w:p>
    <w:p w:rsidR="00710E22" w:rsidRPr="00214492" w:rsidRDefault="00457FFE" w:rsidP="00674531">
      <w:pPr>
        <w:jc w:val="both"/>
        <w:rPr>
          <w:rFonts w:ascii="Arial" w:hAnsi="Arial" w:cs="Arial"/>
          <w:b/>
          <w:color w:val="FF0000"/>
          <w:sz w:val="20"/>
          <w:szCs w:val="20"/>
        </w:rPr>
      </w:pPr>
      <w:r w:rsidRPr="00214492">
        <w:rPr>
          <w:rFonts w:ascii="Arial" w:hAnsi="Arial" w:cs="Arial"/>
          <w:b/>
          <w:color w:val="FF0000"/>
          <w:sz w:val="20"/>
          <w:szCs w:val="20"/>
        </w:rPr>
        <w:t>M</w:t>
      </w:r>
      <w:r w:rsidR="00D0434F" w:rsidRPr="00214492">
        <w:rPr>
          <w:rFonts w:ascii="Arial" w:hAnsi="Arial" w:cs="Arial"/>
          <w:b/>
          <w:color w:val="FF0000"/>
          <w:sz w:val="20"/>
          <w:szCs w:val="20"/>
        </w:rPr>
        <w:t xml:space="preserve">andatory </w:t>
      </w:r>
      <w:r w:rsidRPr="00214492">
        <w:rPr>
          <w:rFonts w:ascii="Arial" w:hAnsi="Arial" w:cs="Arial"/>
          <w:b/>
          <w:color w:val="FF0000"/>
          <w:sz w:val="20"/>
          <w:szCs w:val="20"/>
        </w:rPr>
        <w:t>D</w:t>
      </w:r>
      <w:r w:rsidR="00D0434F" w:rsidRPr="00214492">
        <w:rPr>
          <w:rFonts w:ascii="Arial" w:hAnsi="Arial" w:cs="Arial"/>
          <w:b/>
          <w:color w:val="FF0000"/>
          <w:sz w:val="20"/>
          <w:szCs w:val="20"/>
        </w:rPr>
        <w:t xml:space="preserve">isclosure </w:t>
      </w:r>
      <w:r w:rsidRPr="00214492">
        <w:rPr>
          <w:rFonts w:ascii="Arial" w:hAnsi="Arial" w:cs="Arial"/>
          <w:b/>
          <w:color w:val="FF0000"/>
          <w:sz w:val="20"/>
          <w:szCs w:val="20"/>
        </w:rPr>
        <w:t>R</w:t>
      </w:r>
      <w:r w:rsidR="00D0434F" w:rsidRPr="00214492">
        <w:rPr>
          <w:rFonts w:ascii="Arial" w:hAnsi="Arial" w:cs="Arial"/>
          <w:b/>
          <w:color w:val="FF0000"/>
          <w:sz w:val="20"/>
          <w:szCs w:val="20"/>
        </w:rPr>
        <w:t>equirement</w:t>
      </w:r>
      <w:r w:rsidRPr="00214492">
        <w:rPr>
          <w:rFonts w:ascii="Arial" w:hAnsi="Arial" w:cs="Arial"/>
          <w:b/>
          <w:color w:val="FF0000"/>
          <w:sz w:val="20"/>
          <w:szCs w:val="20"/>
        </w:rPr>
        <w:t xml:space="preserve">s </w:t>
      </w:r>
    </w:p>
    <w:p w:rsidR="003B614B" w:rsidRPr="003B614B" w:rsidRDefault="003B614B" w:rsidP="003B614B">
      <w:pPr>
        <w:jc w:val="both"/>
        <w:rPr>
          <w:rFonts w:ascii="Arial" w:hAnsi="Arial" w:cs="Arial"/>
          <w:sz w:val="20"/>
          <w:szCs w:val="20"/>
        </w:rPr>
      </w:pPr>
      <w:r w:rsidRPr="003B614B">
        <w:rPr>
          <w:rFonts w:ascii="Arial" w:hAnsi="Arial" w:cs="Arial"/>
          <w:sz w:val="20"/>
          <w:szCs w:val="20"/>
        </w:rPr>
        <w:t xml:space="preserve">The level of compliance with the mandatory disclosure requirements was generally high. However, the </w:t>
      </w:r>
      <w:proofErr w:type="spellStart"/>
      <w:r w:rsidRPr="003B614B">
        <w:rPr>
          <w:rFonts w:ascii="Arial" w:hAnsi="Arial" w:cs="Arial"/>
          <w:sz w:val="20"/>
          <w:szCs w:val="20"/>
        </w:rPr>
        <w:t>HKEx</w:t>
      </w:r>
      <w:proofErr w:type="spellEnd"/>
      <w:r w:rsidRPr="003B614B">
        <w:rPr>
          <w:rFonts w:ascii="Arial" w:hAnsi="Arial" w:cs="Arial"/>
          <w:sz w:val="20"/>
          <w:szCs w:val="20"/>
        </w:rPr>
        <w:t xml:space="preserve"> identified three Mandatory Disclosure Requirements which some of the listed companies sampled </w:t>
      </w:r>
      <w:r w:rsidRPr="003B614B">
        <w:rPr>
          <w:rFonts w:ascii="Arial" w:hAnsi="Arial" w:cs="Arial"/>
          <w:sz w:val="20"/>
          <w:szCs w:val="20"/>
        </w:rPr>
        <w:lastRenderedPageBreak/>
        <w:t xml:space="preserve">did not comply with or only partially complied with. These were the disclosures under paragraphs B(h), J(b) and L(c). </w:t>
      </w:r>
    </w:p>
    <w:p w:rsidR="00710E22" w:rsidRDefault="00457FFE" w:rsidP="00710E22">
      <w:pPr>
        <w:pStyle w:val="a6"/>
        <w:numPr>
          <w:ilvl w:val="0"/>
          <w:numId w:val="4"/>
        </w:numPr>
        <w:jc w:val="both"/>
        <w:rPr>
          <w:rFonts w:ascii="Arial" w:hAnsi="Arial" w:cs="Arial"/>
          <w:sz w:val="20"/>
          <w:szCs w:val="20"/>
        </w:rPr>
      </w:pPr>
      <w:r w:rsidRPr="002D57D8">
        <w:rPr>
          <w:rFonts w:ascii="Arial" w:hAnsi="Arial" w:cs="Arial"/>
          <w:sz w:val="20"/>
          <w:szCs w:val="20"/>
        </w:rPr>
        <w:t xml:space="preserve">Paragraph B(h): Relationships between board members, and between </w:t>
      </w:r>
      <w:r w:rsidR="009B10D1">
        <w:rPr>
          <w:rFonts w:ascii="Arial" w:hAnsi="Arial" w:cs="Arial"/>
          <w:sz w:val="20"/>
          <w:szCs w:val="20"/>
        </w:rPr>
        <w:t xml:space="preserve">the </w:t>
      </w:r>
      <w:r w:rsidRPr="002D57D8">
        <w:rPr>
          <w:rFonts w:ascii="Arial" w:hAnsi="Arial" w:cs="Arial"/>
          <w:sz w:val="20"/>
          <w:szCs w:val="20"/>
        </w:rPr>
        <w:t xml:space="preserve">chairman and chief executive – 16% of the listed companies sampled failed to make any disclosures </w:t>
      </w:r>
      <w:r w:rsidR="009B10D1">
        <w:rPr>
          <w:rFonts w:ascii="Arial" w:hAnsi="Arial" w:cs="Arial"/>
          <w:sz w:val="20"/>
          <w:szCs w:val="20"/>
        </w:rPr>
        <w:t xml:space="preserve">under </w:t>
      </w:r>
      <w:r w:rsidR="00F06C80">
        <w:rPr>
          <w:rFonts w:ascii="Arial" w:hAnsi="Arial" w:cs="Arial"/>
          <w:sz w:val="20"/>
          <w:szCs w:val="20"/>
        </w:rPr>
        <w:t>this paragraph</w:t>
      </w:r>
      <w:r w:rsidRPr="002D57D8">
        <w:rPr>
          <w:rFonts w:ascii="Arial" w:hAnsi="Arial" w:cs="Arial"/>
          <w:sz w:val="20"/>
          <w:szCs w:val="20"/>
        </w:rPr>
        <w:t xml:space="preserve">. </w:t>
      </w:r>
      <w:r w:rsidR="009B10D1">
        <w:rPr>
          <w:rFonts w:ascii="Arial" w:hAnsi="Arial" w:cs="Arial"/>
          <w:sz w:val="20"/>
          <w:szCs w:val="20"/>
        </w:rPr>
        <w:t xml:space="preserve">The </w:t>
      </w:r>
      <w:proofErr w:type="spellStart"/>
      <w:r w:rsidR="009B10D1">
        <w:rPr>
          <w:rFonts w:ascii="Arial" w:hAnsi="Arial" w:cs="Arial"/>
          <w:sz w:val="20"/>
          <w:szCs w:val="20"/>
        </w:rPr>
        <w:t>HKEx</w:t>
      </w:r>
      <w:proofErr w:type="spellEnd"/>
      <w:r w:rsidR="009B10D1">
        <w:rPr>
          <w:rFonts w:ascii="Arial" w:hAnsi="Arial" w:cs="Arial"/>
          <w:sz w:val="20"/>
          <w:szCs w:val="20"/>
        </w:rPr>
        <w:t xml:space="preserve"> commented that i</w:t>
      </w:r>
      <w:r w:rsidRPr="002D57D8">
        <w:rPr>
          <w:rFonts w:ascii="Arial" w:hAnsi="Arial" w:cs="Arial"/>
          <w:sz w:val="20"/>
          <w:szCs w:val="20"/>
        </w:rPr>
        <w:t xml:space="preserve">f this paragraph is not applicable, a negative statement should be included in the </w:t>
      </w:r>
      <w:r w:rsidR="00C61298">
        <w:rPr>
          <w:rFonts w:ascii="Arial" w:hAnsi="Arial" w:cs="Arial"/>
          <w:sz w:val="20"/>
          <w:szCs w:val="20"/>
        </w:rPr>
        <w:t>Corporate Governance Report</w:t>
      </w:r>
      <w:r w:rsidRPr="002D57D8">
        <w:rPr>
          <w:rFonts w:ascii="Arial" w:hAnsi="Arial" w:cs="Arial"/>
          <w:sz w:val="20"/>
          <w:szCs w:val="20"/>
        </w:rPr>
        <w:t xml:space="preserve">. </w:t>
      </w:r>
    </w:p>
    <w:p w:rsidR="009B10D1" w:rsidRPr="002D57D8" w:rsidRDefault="009B10D1" w:rsidP="00214492">
      <w:pPr>
        <w:pStyle w:val="a6"/>
        <w:jc w:val="both"/>
        <w:rPr>
          <w:rFonts w:ascii="Arial" w:hAnsi="Arial" w:cs="Arial"/>
          <w:sz w:val="20"/>
          <w:szCs w:val="20"/>
        </w:rPr>
      </w:pPr>
    </w:p>
    <w:p w:rsidR="00710E22" w:rsidRDefault="00457FFE" w:rsidP="00710E22">
      <w:pPr>
        <w:pStyle w:val="a6"/>
        <w:numPr>
          <w:ilvl w:val="0"/>
          <w:numId w:val="4"/>
        </w:numPr>
        <w:jc w:val="both"/>
        <w:rPr>
          <w:rFonts w:ascii="Arial" w:hAnsi="Arial" w:cs="Arial"/>
          <w:sz w:val="20"/>
          <w:szCs w:val="20"/>
        </w:rPr>
      </w:pPr>
      <w:r w:rsidRPr="002D57D8">
        <w:rPr>
          <w:rFonts w:ascii="Arial" w:hAnsi="Arial" w:cs="Arial"/>
          <w:sz w:val="20"/>
          <w:szCs w:val="20"/>
        </w:rPr>
        <w:t xml:space="preserve">Paragraph J(b): </w:t>
      </w:r>
      <w:proofErr w:type="gramStart"/>
      <w:r w:rsidRPr="002D57D8">
        <w:rPr>
          <w:rFonts w:ascii="Arial" w:hAnsi="Arial" w:cs="Arial"/>
          <w:sz w:val="20"/>
          <w:szCs w:val="20"/>
        </w:rPr>
        <w:t>Diversity  –</w:t>
      </w:r>
      <w:proofErr w:type="gramEnd"/>
      <w:r w:rsidRPr="002D57D8">
        <w:rPr>
          <w:rFonts w:ascii="Arial" w:hAnsi="Arial" w:cs="Arial"/>
          <w:sz w:val="20"/>
          <w:szCs w:val="20"/>
        </w:rPr>
        <w:t xml:space="preserve"> </w:t>
      </w:r>
      <w:r w:rsidR="0097462C" w:rsidRPr="002D57D8">
        <w:rPr>
          <w:rFonts w:ascii="Arial" w:hAnsi="Arial" w:cs="Arial"/>
          <w:sz w:val="20"/>
          <w:szCs w:val="20"/>
        </w:rPr>
        <w:t xml:space="preserve"> Listed companies often fail to include numerical targets and concrete timelines to achieve board gender diversity. </w:t>
      </w:r>
    </w:p>
    <w:p w:rsidR="009B10D1" w:rsidRPr="002D57D8" w:rsidRDefault="009B10D1" w:rsidP="00214492">
      <w:pPr>
        <w:pStyle w:val="a6"/>
        <w:jc w:val="both"/>
        <w:rPr>
          <w:rFonts w:ascii="Arial" w:hAnsi="Arial" w:cs="Arial"/>
          <w:sz w:val="20"/>
          <w:szCs w:val="20"/>
        </w:rPr>
      </w:pPr>
    </w:p>
    <w:p w:rsidR="0097462C" w:rsidRDefault="00457FFE" w:rsidP="00710E22">
      <w:pPr>
        <w:pStyle w:val="a6"/>
        <w:numPr>
          <w:ilvl w:val="0"/>
          <w:numId w:val="4"/>
        </w:numPr>
        <w:jc w:val="both"/>
        <w:rPr>
          <w:rFonts w:ascii="Arial" w:hAnsi="Arial" w:cs="Arial"/>
          <w:sz w:val="20"/>
          <w:szCs w:val="20"/>
        </w:rPr>
      </w:pPr>
      <w:r w:rsidRPr="002D57D8">
        <w:rPr>
          <w:rFonts w:ascii="Arial" w:hAnsi="Arial" w:cs="Arial"/>
          <w:sz w:val="20"/>
          <w:szCs w:val="20"/>
        </w:rPr>
        <w:t xml:space="preserve">Paragraph L(c): Investor Relations (shareholders’ communication policy) – Listed companies failed to disclose </w:t>
      </w:r>
      <w:r w:rsidR="009B10D1">
        <w:rPr>
          <w:rFonts w:ascii="Arial" w:hAnsi="Arial" w:cs="Arial"/>
          <w:sz w:val="20"/>
          <w:szCs w:val="20"/>
        </w:rPr>
        <w:t xml:space="preserve">their review of </w:t>
      </w:r>
      <w:r w:rsidRPr="002D57D8">
        <w:rPr>
          <w:rFonts w:ascii="Arial" w:hAnsi="Arial" w:cs="Arial"/>
          <w:sz w:val="20"/>
          <w:szCs w:val="20"/>
        </w:rPr>
        <w:t xml:space="preserve">the </w:t>
      </w:r>
      <w:r w:rsidR="00FD0C99">
        <w:rPr>
          <w:rFonts w:ascii="Arial" w:hAnsi="Arial" w:cs="Arial"/>
          <w:sz w:val="20"/>
          <w:szCs w:val="20"/>
        </w:rPr>
        <w:t xml:space="preserve">implementation and </w:t>
      </w:r>
      <w:r w:rsidR="00FD0C99" w:rsidRPr="002D57D8">
        <w:rPr>
          <w:rFonts w:ascii="Arial" w:hAnsi="Arial" w:cs="Arial"/>
          <w:sz w:val="20"/>
          <w:szCs w:val="20"/>
        </w:rPr>
        <w:t xml:space="preserve">effectiveness </w:t>
      </w:r>
      <w:r w:rsidR="00FD0C99">
        <w:rPr>
          <w:rFonts w:ascii="Arial" w:hAnsi="Arial" w:cs="Arial"/>
          <w:sz w:val="20"/>
          <w:szCs w:val="20"/>
        </w:rPr>
        <w:t xml:space="preserve">of their shareholders’ </w:t>
      </w:r>
      <w:r w:rsidRPr="002D57D8">
        <w:rPr>
          <w:rFonts w:ascii="Arial" w:hAnsi="Arial" w:cs="Arial"/>
          <w:sz w:val="20"/>
          <w:szCs w:val="20"/>
        </w:rPr>
        <w:t xml:space="preserve">communication policies. </w:t>
      </w:r>
    </w:p>
    <w:p w:rsidR="00FD0C99" w:rsidRDefault="003B614B" w:rsidP="00FD0C99">
      <w:pPr>
        <w:jc w:val="both"/>
        <w:rPr>
          <w:rFonts w:ascii="Arial" w:hAnsi="Arial" w:cs="Arial"/>
          <w:sz w:val="20"/>
          <w:szCs w:val="20"/>
        </w:rPr>
      </w:pPr>
      <w:r w:rsidRPr="002D57D8">
        <w:rPr>
          <w:rFonts w:ascii="Arial" w:hAnsi="Arial" w:cs="Arial"/>
          <w:sz w:val="20"/>
          <w:szCs w:val="20"/>
        </w:rPr>
        <w:t xml:space="preserve">The </w:t>
      </w:r>
      <w:proofErr w:type="spellStart"/>
      <w:r w:rsidRPr="002D57D8">
        <w:rPr>
          <w:rFonts w:ascii="Arial" w:hAnsi="Arial" w:cs="Arial"/>
          <w:sz w:val="20"/>
          <w:szCs w:val="20"/>
        </w:rPr>
        <w:t>HKE</w:t>
      </w:r>
      <w:r>
        <w:rPr>
          <w:rFonts w:ascii="Arial" w:hAnsi="Arial" w:cs="Arial"/>
          <w:sz w:val="20"/>
          <w:szCs w:val="20"/>
        </w:rPr>
        <w:t>x</w:t>
      </w:r>
      <w:proofErr w:type="spellEnd"/>
      <w:r w:rsidRPr="002D57D8">
        <w:rPr>
          <w:rFonts w:ascii="Arial" w:hAnsi="Arial" w:cs="Arial"/>
          <w:sz w:val="20"/>
          <w:szCs w:val="20"/>
        </w:rPr>
        <w:t xml:space="preserve"> reminded </w:t>
      </w:r>
      <w:r>
        <w:rPr>
          <w:rFonts w:ascii="Arial" w:hAnsi="Arial" w:cs="Arial"/>
          <w:sz w:val="20"/>
          <w:szCs w:val="20"/>
        </w:rPr>
        <w:t xml:space="preserve">listed companies </w:t>
      </w:r>
      <w:r w:rsidRPr="002D57D8">
        <w:rPr>
          <w:rFonts w:ascii="Arial" w:hAnsi="Arial" w:cs="Arial"/>
          <w:sz w:val="20"/>
          <w:szCs w:val="20"/>
        </w:rPr>
        <w:t xml:space="preserve">that </w:t>
      </w:r>
      <w:r>
        <w:rPr>
          <w:rFonts w:ascii="Arial" w:hAnsi="Arial" w:cs="Arial"/>
          <w:sz w:val="20"/>
          <w:szCs w:val="20"/>
        </w:rPr>
        <w:t xml:space="preserve">the information required by the </w:t>
      </w:r>
      <w:r w:rsidRPr="00806EF2">
        <w:rPr>
          <w:rFonts w:ascii="Arial" w:hAnsi="Arial" w:cs="Arial"/>
          <w:sz w:val="20"/>
          <w:szCs w:val="20"/>
        </w:rPr>
        <w:t xml:space="preserve">Mandatory Disclosure Requirements </w:t>
      </w:r>
      <w:r>
        <w:rPr>
          <w:rFonts w:ascii="Arial" w:hAnsi="Arial" w:cs="Arial"/>
          <w:sz w:val="20"/>
          <w:szCs w:val="20"/>
        </w:rPr>
        <w:t xml:space="preserve">(including all information required under the </w:t>
      </w:r>
      <w:r w:rsidRPr="00806EF2">
        <w:rPr>
          <w:rFonts w:ascii="Arial" w:hAnsi="Arial" w:cs="Arial"/>
          <w:sz w:val="20"/>
          <w:szCs w:val="20"/>
        </w:rPr>
        <w:t>Ma</w:t>
      </w:r>
      <w:r>
        <w:rPr>
          <w:rFonts w:ascii="Arial" w:hAnsi="Arial" w:cs="Arial"/>
          <w:sz w:val="20"/>
          <w:szCs w:val="20"/>
        </w:rPr>
        <w:t xml:space="preserve">ndatory Disclosure Requirements’ sub-paragraphs) must be disclosed in </w:t>
      </w:r>
      <w:r w:rsidRPr="002D57D8">
        <w:rPr>
          <w:rFonts w:ascii="Arial" w:hAnsi="Arial" w:cs="Arial"/>
          <w:sz w:val="20"/>
          <w:szCs w:val="20"/>
        </w:rPr>
        <w:t xml:space="preserve">their </w:t>
      </w:r>
      <w:r>
        <w:rPr>
          <w:rFonts w:ascii="Arial" w:hAnsi="Arial" w:cs="Arial"/>
          <w:sz w:val="20"/>
          <w:szCs w:val="20"/>
        </w:rPr>
        <w:t>Corporate Governance Report</w:t>
      </w:r>
      <w:r w:rsidRPr="002D57D8">
        <w:rPr>
          <w:rFonts w:ascii="Arial" w:hAnsi="Arial" w:cs="Arial"/>
          <w:sz w:val="20"/>
          <w:szCs w:val="20"/>
        </w:rPr>
        <w:t>s</w:t>
      </w:r>
      <w:r>
        <w:rPr>
          <w:rFonts w:ascii="Arial" w:hAnsi="Arial" w:cs="Arial"/>
          <w:sz w:val="20"/>
          <w:szCs w:val="20"/>
        </w:rPr>
        <w:t xml:space="preserve">. If a </w:t>
      </w:r>
      <w:r w:rsidRPr="00806EF2">
        <w:rPr>
          <w:rFonts w:ascii="Arial" w:hAnsi="Arial" w:cs="Arial"/>
          <w:sz w:val="20"/>
          <w:szCs w:val="20"/>
        </w:rPr>
        <w:t>M</w:t>
      </w:r>
      <w:r>
        <w:rPr>
          <w:rFonts w:ascii="Arial" w:hAnsi="Arial" w:cs="Arial"/>
          <w:sz w:val="20"/>
          <w:szCs w:val="20"/>
        </w:rPr>
        <w:t xml:space="preserve">andatory Disclosure Requirement does not apply, they must include a negative statement. The </w:t>
      </w:r>
      <w:proofErr w:type="spellStart"/>
      <w:r>
        <w:rPr>
          <w:rFonts w:ascii="Arial" w:hAnsi="Arial" w:cs="Arial"/>
          <w:sz w:val="20"/>
          <w:szCs w:val="20"/>
        </w:rPr>
        <w:t>HKEx</w:t>
      </w:r>
      <w:proofErr w:type="spellEnd"/>
      <w:r>
        <w:rPr>
          <w:rFonts w:ascii="Arial" w:hAnsi="Arial" w:cs="Arial"/>
          <w:sz w:val="20"/>
          <w:szCs w:val="20"/>
        </w:rPr>
        <w:t xml:space="preserve"> observed that some listed companies included disclosures required by the </w:t>
      </w:r>
      <w:r w:rsidRPr="00806EF2">
        <w:rPr>
          <w:rFonts w:ascii="Arial" w:hAnsi="Arial" w:cs="Arial"/>
          <w:sz w:val="20"/>
          <w:szCs w:val="20"/>
        </w:rPr>
        <w:t>Mandatory Disclosure Requirements</w:t>
      </w:r>
      <w:r>
        <w:rPr>
          <w:rFonts w:ascii="Arial" w:hAnsi="Arial" w:cs="Arial"/>
          <w:sz w:val="20"/>
          <w:szCs w:val="20"/>
        </w:rPr>
        <w:t xml:space="preserve"> in their </w:t>
      </w:r>
      <w:r w:rsidRPr="002D57D8">
        <w:rPr>
          <w:rFonts w:ascii="Arial" w:hAnsi="Arial" w:cs="Arial"/>
          <w:sz w:val="20"/>
          <w:szCs w:val="20"/>
        </w:rPr>
        <w:t>annual reports</w:t>
      </w:r>
      <w:r>
        <w:rPr>
          <w:rFonts w:ascii="Arial" w:hAnsi="Arial" w:cs="Arial"/>
          <w:sz w:val="20"/>
          <w:szCs w:val="20"/>
        </w:rPr>
        <w:t xml:space="preserve"> (but not their Corporate Governance Reports), while one referred to its diversity policy as disclosed on its website. It reiterated the requirement for information disclosed under the Corporate Governance Code to be included in listed companies’ Corporate Governance Reports and the need to include cross-references where appropriate.</w:t>
      </w:r>
      <w:r w:rsidR="009D4FFE">
        <w:rPr>
          <w:rFonts w:ascii="Arial" w:hAnsi="Arial" w:cs="Arial"/>
          <w:sz w:val="20"/>
          <w:szCs w:val="20"/>
        </w:rPr>
        <w:t xml:space="preserve">  </w:t>
      </w:r>
      <w:r w:rsidR="00FD0C99">
        <w:rPr>
          <w:rFonts w:ascii="Arial" w:hAnsi="Arial" w:cs="Arial"/>
          <w:sz w:val="20"/>
          <w:szCs w:val="20"/>
        </w:rPr>
        <w:t xml:space="preserve"> </w:t>
      </w:r>
      <w:r w:rsidR="00FD0C99" w:rsidRPr="002D57D8">
        <w:rPr>
          <w:rFonts w:ascii="Arial" w:hAnsi="Arial" w:cs="Arial"/>
          <w:sz w:val="20"/>
          <w:szCs w:val="20"/>
        </w:rPr>
        <w:t xml:space="preserve"> </w:t>
      </w:r>
    </w:p>
    <w:p w:rsidR="001C2094" w:rsidRPr="002D57D8" w:rsidRDefault="00457FFE" w:rsidP="00882681">
      <w:pPr>
        <w:jc w:val="both"/>
        <w:rPr>
          <w:rFonts w:ascii="Arial" w:hAnsi="Arial" w:cs="Arial"/>
          <w:b/>
          <w:sz w:val="20"/>
          <w:szCs w:val="20"/>
        </w:rPr>
      </w:pPr>
      <w:r w:rsidRPr="002D57D8">
        <w:rPr>
          <w:rFonts w:ascii="Arial" w:hAnsi="Arial" w:cs="Arial"/>
          <w:b/>
          <w:sz w:val="20"/>
          <w:szCs w:val="20"/>
        </w:rPr>
        <w:t xml:space="preserve">Common </w:t>
      </w:r>
      <w:r w:rsidR="009D269A">
        <w:rPr>
          <w:rFonts w:ascii="Arial" w:hAnsi="Arial" w:cs="Arial"/>
          <w:b/>
          <w:sz w:val="20"/>
          <w:szCs w:val="20"/>
        </w:rPr>
        <w:t>C</w:t>
      </w:r>
      <w:r w:rsidRPr="002D57D8">
        <w:rPr>
          <w:rFonts w:ascii="Arial" w:hAnsi="Arial" w:cs="Arial"/>
          <w:b/>
          <w:sz w:val="20"/>
          <w:szCs w:val="20"/>
        </w:rPr>
        <w:t xml:space="preserve">ompliance </w:t>
      </w:r>
      <w:r w:rsidR="009D269A">
        <w:rPr>
          <w:rFonts w:ascii="Arial" w:hAnsi="Arial" w:cs="Arial"/>
          <w:b/>
          <w:sz w:val="20"/>
          <w:szCs w:val="20"/>
        </w:rPr>
        <w:t>P</w:t>
      </w:r>
      <w:r w:rsidRPr="002D57D8">
        <w:rPr>
          <w:rFonts w:ascii="Arial" w:hAnsi="Arial" w:cs="Arial"/>
          <w:b/>
          <w:sz w:val="20"/>
          <w:szCs w:val="20"/>
        </w:rPr>
        <w:t xml:space="preserve">itfalls for CPs </w:t>
      </w:r>
    </w:p>
    <w:p w:rsidR="003B614B" w:rsidRPr="002D57D8" w:rsidRDefault="003B614B" w:rsidP="003B614B">
      <w:pPr>
        <w:jc w:val="both"/>
        <w:rPr>
          <w:rFonts w:ascii="Arial" w:hAnsi="Arial" w:cs="Arial"/>
          <w:sz w:val="20"/>
          <w:szCs w:val="20"/>
        </w:rPr>
      </w:pPr>
      <w:r w:rsidRPr="002D57D8">
        <w:rPr>
          <w:rFonts w:ascii="Arial" w:hAnsi="Arial" w:cs="Arial"/>
          <w:sz w:val="20"/>
          <w:szCs w:val="20"/>
        </w:rPr>
        <w:t xml:space="preserve">The “comply or explain” approach adopted by the </w:t>
      </w:r>
      <w:r>
        <w:rPr>
          <w:rFonts w:ascii="Arial" w:hAnsi="Arial" w:cs="Arial"/>
          <w:sz w:val="20"/>
          <w:szCs w:val="20"/>
        </w:rPr>
        <w:t>Corporate Governance Code</w:t>
      </w:r>
      <w:r w:rsidRPr="002D57D8">
        <w:rPr>
          <w:rFonts w:ascii="Arial" w:hAnsi="Arial" w:cs="Arial"/>
          <w:sz w:val="20"/>
          <w:szCs w:val="20"/>
        </w:rPr>
        <w:t xml:space="preserve"> is designed to allow room for listed companies to deviate from the requirements under the </w:t>
      </w:r>
      <w:r>
        <w:rPr>
          <w:rFonts w:ascii="Arial" w:hAnsi="Arial" w:cs="Arial"/>
          <w:sz w:val="20"/>
          <w:szCs w:val="20"/>
        </w:rPr>
        <w:t>Corporate Governance Code</w:t>
      </w:r>
      <w:r w:rsidRPr="002D57D8">
        <w:rPr>
          <w:rFonts w:ascii="Arial" w:hAnsi="Arial" w:cs="Arial"/>
          <w:sz w:val="20"/>
          <w:szCs w:val="20"/>
        </w:rPr>
        <w:t xml:space="preserve"> and </w:t>
      </w:r>
      <w:proofErr w:type="gramStart"/>
      <w:r>
        <w:rPr>
          <w:rFonts w:ascii="Arial" w:hAnsi="Arial" w:cs="Arial"/>
          <w:sz w:val="20"/>
          <w:szCs w:val="20"/>
        </w:rPr>
        <w:t xml:space="preserve">adopt  </w:t>
      </w:r>
      <w:r w:rsidRPr="002D57D8">
        <w:rPr>
          <w:rFonts w:ascii="Arial" w:hAnsi="Arial" w:cs="Arial"/>
          <w:sz w:val="20"/>
          <w:szCs w:val="20"/>
        </w:rPr>
        <w:t>alternative</w:t>
      </w:r>
      <w:proofErr w:type="gramEnd"/>
      <w:r w:rsidRPr="002D57D8">
        <w:rPr>
          <w:rFonts w:ascii="Arial" w:hAnsi="Arial" w:cs="Arial"/>
          <w:sz w:val="20"/>
          <w:szCs w:val="20"/>
        </w:rPr>
        <w:t xml:space="preserve"> </w:t>
      </w:r>
      <w:r>
        <w:rPr>
          <w:rFonts w:ascii="Arial" w:hAnsi="Arial" w:cs="Arial"/>
          <w:sz w:val="20"/>
          <w:szCs w:val="20"/>
        </w:rPr>
        <w:t xml:space="preserve">means of </w:t>
      </w:r>
      <w:r w:rsidRPr="002D57D8">
        <w:rPr>
          <w:rFonts w:ascii="Arial" w:hAnsi="Arial" w:cs="Arial"/>
          <w:sz w:val="20"/>
          <w:szCs w:val="20"/>
        </w:rPr>
        <w:t xml:space="preserve">ensuring effective corporate governance. </w:t>
      </w:r>
      <w:r>
        <w:rPr>
          <w:rFonts w:ascii="Arial" w:hAnsi="Arial" w:cs="Arial"/>
          <w:sz w:val="20"/>
          <w:szCs w:val="20"/>
        </w:rPr>
        <w:t>Under p</w:t>
      </w:r>
      <w:r w:rsidRPr="002D57D8">
        <w:rPr>
          <w:rFonts w:ascii="Arial" w:hAnsi="Arial" w:cs="Arial"/>
          <w:sz w:val="20"/>
          <w:szCs w:val="20"/>
        </w:rPr>
        <w:t xml:space="preserve">aragraph A(c) of the </w:t>
      </w:r>
      <w:r w:rsidRPr="00806EF2">
        <w:rPr>
          <w:rFonts w:ascii="Arial" w:hAnsi="Arial" w:cs="Arial"/>
          <w:sz w:val="20"/>
          <w:szCs w:val="20"/>
        </w:rPr>
        <w:t>Mandatory Disclosure Requirements</w:t>
      </w:r>
      <w:r w:rsidRPr="002D57D8">
        <w:rPr>
          <w:rFonts w:ascii="Arial" w:hAnsi="Arial" w:cs="Arial"/>
          <w:sz w:val="20"/>
          <w:szCs w:val="20"/>
        </w:rPr>
        <w:t xml:space="preserve">, if listed companies deviate from the </w:t>
      </w:r>
      <w:r>
        <w:rPr>
          <w:rFonts w:ascii="Arial" w:hAnsi="Arial" w:cs="Arial"/>
          <w:sz w:val="20"/>
          <w:szCs w:val="20"/>
        </w:rPr>
        <w:t xml:space="preserve">CPs, they must disclose considered reasons for the deviation in their Corporate Governance Report </w:t>
      </w:r>
      <w:r w:rsidRPr="002D57D8">
        <w:rPr>
          <w:rFonts w:ascii="Arial" w:hAnsi="Arial" w:cs="Arial"/>
          <w:sz w:val="20"/>
          <w:szCs w:val="20"/>
        </w:rPr>
        <w:t>an</w:t>
      </w:r>
      <w:r>
        <w:rPr>
          <w:rFonts w:ascii="Arial" w:hAnsi="Arial" w:cs="Arial"/>
          <w:sz w:val="20"/>
          <w:szCs w:val="20"/>
        </w:rPr>
        <w:t>d</w:t>
      </w:r>
      <w:r w:rsidRPr="002D57D8">
        <w:rPr>
          <w:rFonts w:ascii="Arial" w:hAnsi="Arial" w:cs="Arial"/>
          <w:sz w:val="20"/>
          <w:szCs w:val="20"/>
        </w:rPr>
        <w:t xml:space="preserve"> expla</w:t>
      </w:r>
      <w:r>
        <w:rPr>
          <w:rFonts w:ascii="Arial" w:hAnsi="Arial" w:cs="Arial"/>
          <w:sz w:val="20"/>
          <w:szCs w:val="20"/>
        </w:rPr>
        <w:t>in</w:t>
      </w:r>
      <w:r w:rsidRPr="002D57D8">
        <w:rPr>
          <w:rFonts w:ascii="Arial" w:hAnsi="Arial" w:cs="Arial"/>
          <w:sz w:val="20"/>
          <w:szCs w:val="20"/>
        </w:rPr>
        <w:t xml:space="preserve"> </w:t>
      </w:r>
      <w:r>
        <w:rPr>
          <w:rFonts w:ascii="Arial" w:hAnsi="Arial" w:cs="Arial"/>
          <w:sz w:val="20"/>
          <w:szCs w:val="20"/>
        </w:rPr>
        <w:t xml:space="preserve">how the </w:t>
      </w:r>
      <w:r w:rsidRPr="002D57D8">
        <w:rPr>
          <w:rFonts w:ascii="Arial" w:hAnsi="Arial" w:cs="Arial"/>
          <w:sz w:val="20"/>
          <w:szCs w:val="20"/>
        </w:rPr>
        <w:t xml:space="preserve">alternative measures </w:t>
      </w:r>
      <w:r>
        <w:rPr>
          <w:rFonts w:ascii="Arial" w:hAnsi="Arial" w:cs="Arial"/>
          <w:sz w:val="20"/>
          <w:szCs w:val="20"/>
        </w:rPr>
        <w:t>adopt</w:t>
      </w:r>
      <w:r w:rsidRPr="002D57D8">
        <w:rPr>
          <w:rFonts w:ascii="Arial" w:hAnsi="Arial" w:cs="Arial"/>
          <w:sz w:val="20"/>
          <w:szCs w:val="20"/>
        </w:rPr>
        <w:t>ed</w:t>
      </w:r>
      <w:r>
        <w:rPr>
          <w:rFonts w:ascii="Arial" w:hAnsi="Arial" w:cs="Arial"/>
          <w:sz w:val="20"/>
          <w:szCs w:val="20"/>
        </w:rPr>
        <w:t xml:space="preserve"> achieved good corporate governance</w:t>
      </w:r>
      <w:r w:rsidRPr="002D57D8">
        <w:rPr>
          <w:rFonts w:ascii="Arial" w:hAnsi="Arial" w:cs="Arial"/>
          <w:sz w:val="20"/>
          <w:szCs w:val="20"/>
        </w:rPr>
        <w:t xml:space="preserve">. </w:t>
      </w:r>
    </w:p>
    <w:p w:rsidR="003B614B" w:rsidRPr="00457FFE" w:rsidRDefault="003B614B" w:rsidP="003B614B">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HKEx</w:t>
      </w:r>
      <w:proofErr w:type="spellEnd"/>
      <w:r w:rsidRPr="002D57D8">
        <w:rPr>
          <w:rFonts w:ascii="Arial" w:hAnsi="Arial" w:cs="Arial"/>
          <w:sz w:val="20"/>
          <w:szCs w:val="20"/>
        </w:rPr>
        <w:t xml:space="preserve"> </w:t>
      </w:r>
      <w:r>
        <w:rPr>
          <w:rFonts w:ascii="Arial" w:hAnsi="Arial" w:cs="Arial"/>
          <w:sz w:val="20"/>
          <w:szCs w:val="20"/>
        </w:rPr>
        <w:t xml:space="preserve">identified </w:t>
      </w:r>
      <w:r w:rsidRPr="002D57D8">
        <w:rPr>
          <w:rFonts w:ascii="Arial" w:hAnsi="Arial" w:cs="Arial"/>
          <w:sz w:val="20"/>
          <w:szCs w:val="20"/>
        </w:rPr>
        <w:t xml:space="preserve">three </w:t>
      </w:r>
      <w:r>
        <w:rPr>
          <w:rFonts w:ascii="Arial" w:hAnsi="Arial" w:cs="Arial"/>
          <w:sz w:val="20"/>
          <w:szCs w:val="20"/>
        </w:rPr>
        <w:t xml:space="preserve">main </w:t>
      </w:r>
      <w:r w:rsidRPr="002D57D8">
        <w:rPr>
          <w:rFonts w:ascii="Arial" w:hAnsi="Arial" w:cs="Arial"/>
          <w:sz w:val="20"/>
          <w:szCs w:val="20"/>
        </w:rPr>
        <w:t xml:space="preserve">issues. First, some listed companies reported non-compliance with certain CPs but failed to explain the </w:t>
      </w:r>
      <w:r>
        <w:rPr>
          <w:rFonts w:ascii="Arial" w:hAnsi="Arial" w:cs="Arial"/>
          <w:sz w:val="20"/>
          <w:szCs w:val="20"/>
        </w:rPr>
        <w:t xml:space="preserve">reasons for non-compliance or </w:t>
      </w:r>
      <w:r w:rsidRPr="002D57D8">
        <w:rPr>
          <w:rFonts w:ascii="Arial" w:hAnsi="Arial" w:cs="Arial"/>
          <w:sz w:val="20"/>
          <w:szCs w:val="20"/>
        </w:rPr>
        <w:t xml:space="preserve">whether alternative measures </w:t>
      </w:r>
      <w:r>
        <w:rPr>
          <w:rFonts w:ascii="Arial" w:hAnsi="Arial" w:cs="Arial"/>
          <w:sz w:val="20"/>
          <w:szCs w:val="20"/>
        </w:rPr>
        <w:t>we</w:t>
      </w:r>
      <w:r w:rsidRPr="002D57D8">
        <w:rPr>
          <w:rFonts w:ascii="Arial" w:hAnsi="Arial" w:cs="Arial"/>
          <w:sz w:val="20"/>
          <w:szCs w:val="20"/>
        </w:rPr>
        <w:t xml:space="preserve">re in place to address potential issues </w:t>
      </w:r>
      <w:r>
        <w:rPr>
          <w:rFonts w:ascii="Arial" w:hAnsi="Arial" w:cs="Arial"/>
          <w:sz w:val="20"/>
          <w:szCs w:val="20"/>
        </w:rPr>
        <w:t xml:space="preserve">arising from </w:t>
      </w:r>
      <w:r w:rsidRPr="002D57D8">
        <w:rPr>
          <w:rFonts w:ascii="Arial" w:hAnsi="Arial" w:cs="Arial"/>
          <w:sz w:val="20"/>
          <w:szCs w:val="20"/>
        </w:rPr>
        <w:t xml:space="preserve">the non-compliance. Second, some </w:t>
      </w:r>
      <w:r>
        <w:rPr>
          <w:rFonts w:ascii="Arial" w:hAnsi="Arial" w:cs="Arial"/>
          <w:sz w:val="20"/>
          <w:szCs w:val="20"/>
        </w:rPr>
        <w:t>Corporate Governance Report</w:t>
      </w:r>
      <w:r w:rsidRPr="002D57D8">
        <w:rPr>
          <w:rFonts w:ascii="Arial" w:hAnsi="Arial" w:cs="Arial"/>
          <w:sz w:val="20"/>
          <w:szCs w:val="20"/>
        </w:rPr>
        <w:t xml:space="preserve">s stated that there was full compliance, however, a closer review of the report revealed non-compliance with specific CPs. </w:t>
      </w:r>
      <w:r>
        <w:rPr>
          <w:rFonts w:ascii="Arial" w:hAnsi="Arial" w:cs="Arial"/>
          <w:sz w:val="20"/>
          <w:szCs w:val="20"/>
        </w:rPr>
        <w:t xml:space="preserve">The </w:t>
      </w:r>
      <w:proofErr w:type="spellStart"/>
      <w:r>
        <w:rPr>
          <w:rFonts w:ascii="Arial" w:hAnsi="Arial" w:cs="Arial"/>
          <w:sz w:val="20"/>
          <w:szCs w:val="20"/>
        </w:rPr>
        <w:t>HKEx</w:t>
      </w:r>
      <w:proofErr w:type="spellEnd"/>
      <w:r>
        <w:rPr>
          <w:rFonts w:ascii="Arial" w:hAnsi="Arial" w:cs="Arial"/>
          <w:sz w:val="20"/>
          <w:szCs w:val="20"/>
        </w:rPr>
        <w:t xml:space="preserve"> reminded l</w:t>
      </w:r>
      <w:r w:rsidRPr="002D57D8">
        <w:rPr>
          <w:rFonts w:ascii="Arial" w:hAnsi="Arial" w:cs="Arial"/>
          <w:sz w:val="20"/>
          <w:szCs w:val="20"/>
        </w:rPr>
        <w:t xml:space="preserve">isted companies </w:t>
      </w:r>
      <w:r>
        <w:rPr>
          <w:rFonts w:ascii="Arial" w:hAnsi="Arial" w:cs="Arial"/>
          <w:sz w:val="20"/>
          <w:szCs w:val="20"/>
        </w:rPr>
        <w:t xml:space="preserve">of the requirement to </w:t>
      </w:r>
      <w:r w:rsidRPr="002D57D8">
        <w:rPr>
          <w:rFonts w:ascii="Arial" w:hAnsi="Arial" w:cs="Arial"/>
          <w:sz w:val="20"/>
          <w:szCs w:val="20"/>
        </w:rPr>
        <w:t>report all non-compliances</w:t>
      </w:r>
      <w:r>
        <w:rPr>
          <w:rFonts w:ascii="Arial" w:hAnsi="Arial" w:cs="Arial"/>
          <w:sz w:val="20"/>
          <w:szCs w:val="20"/>
        </w:rPr>
        <w:t xml:space="preserve"> under p</w:t>
      </w:r>
      <w:r w:rsidRPr="002D57D8">
        <w:rPr>
          <w:rFonts w:ascii="Arial" w:hAnsi="Arial" w:cs="Arial"/>
          <w:sz w:val="20"/>
          <w:szCs w:val="20"/>
        </w:rPr>
        <w:t xml:space="preserve">aragraph A(c) of the </w:t>
      </w:r>
      <w:r w:rsidRPr="00806EF2">
        <w:rPr>
          <w:rFonts w:ascii="Arial" w:hAnsi="Arial" w:cs="Arial"/>
          <w:sz w:val="20"/>
          <w:szCs w:val="20"/>
        </w:rPr>
        <w:t>Mandatory Disclosure Requirements</w:t>
      </w:r>
      <w:r w:rsidRPr="002D57D8">
        <w:rPr>
          <w:rFonts w:ascii="Arial" w:hAnsi="Arial" w:cs="Arial"/>
          <w:sz w:val="20"/>
          <w:szCs w:val="20"/>
        </w:rPr>
        <w:t>. Third, some listed companie</w:t>
      </w:r>
      <w:r>
        <w:rPr>
          <w:rFonts w:ascii="Arial" w:hAnsi="Arial" w:cs="Arial"/>
          <w:sz w:val="20"/>
          <w:szCs w:val="20"/>
        </w:rPr>
        <w:t>s</w:t>
      </w:r>
      <w:r w:rsidRPr="002D57D8">
        <w:rPr>
          <w:rFonts w:ascii="Arial" w:hAnsi="Arial" w:cs="Arial"/>
          <w:sz w:val="20"/>
          <w:szCs w:val="20"/>
        </w:rPr>
        <w:t xml:space="preserve"> misinterpreted the CPs. For instance, a </w:t>
      </w:r>
      <w:r>
        <w:rPr>
          <w:rFonts w:ascii="Arial" w:hAnsi="Arial" w:cs="Arial"/>
          <w:sz w:val="20"/>
          <w:szCs w:val="20"/>
        </w:rPr>
        <w:t xml:space="preserve">company in the </w:t>
      </w:r>
      <w:r w:rsidRPr="002D57D8">
        <w:rPr>
          <w:rFonts w:ascii="Arial" w:hAnsi="Arial" w:cs="Arial"/>
          <w:sz w:val="20"/>
          <w:szCs w:val="20"/>
        </w:rPr>
        <w:t>sample erred in interpreting</w:t>
      </w:r>
      <w:r>
        <w:rPr>
          <w:rFonts w:ascii="Arial" w:hAnsi="Arial" w:cs="Arial"/>
          <w:sz w:val="20"/>
          <w:szCs w:val="20"/>
        </w:rPr>
        <w:t xml:space="preserve"> CP</w:t>
      </w:r>
      <w:r w:rsidRPr="002D57D8">
        <w:rPr>
          <w:rFonts w:ascii="Arial" w:hAnsi="Arial" w:cs="Arial"/>
          <w:sz w:val="20"/>
          <w:szCs w:val="20"/>
        </w:rPr>
        <w:t xml:space="preserve"> C.6.1 as prohibiting external parties from acting as the company secretary</w:t>
      </w:r>
      <w:r>
        <w:rPr>
          <w:rFonts w:ascii="Arial" w:hAnsi="Arial" w:cs="Arial"/>
          <w:sz w:val="20"/>
          <w:szCs w:val="20"/>
        </w:rPr>
        <w:t xml:space="preserve">, </w:t>
      </w:r>
      <w:r w:rsidRPr="002D57D8">
        <w:rPr>
          <w:rFonts w:ascii="Arial" w:hAnsi="Arial" w:cs="Arial"/>
          <w:sz w:val="20"/>
          <w:szCs w:val="20"/>
        </w:rPr>
        <w:t xml:space="preserve">when this is permitted. </w:t>
      </w:r>
      <w:r>
        <w:rPr>
          <w:rFonts w:ascii="Arial" w:hAnsi="Arial" w:cs="Arial"/>
          <w:sz w:val="20"/>
          <w:szCs w:val="20"/>
        </w:rPr>
        <w:t xml:space="preserve">The </w:t>
      </w:r>
      <w:proofErr w:type="spellStart"/>
      <w:r>
        <w:rPr>
          <w:rFonts w:ascii="Arial" w:hAnsi="Arial" w:cs="Arial"/>
          <w:sz w:val="20"/>
          <w:szCs w:val="20"/>
        </w:rPr>
        <w:t>HKEx</w:t>
      </w:r>
      <w:proofErr w:type="spellEnd"/>
      <w:r>
        <w:rPr>
          <w:rFonts w:ascii="Arial" w:hAnsi="Arial" w:cs="Arial"/>
          <w:sz w:val="20"/>
          <w:szCs w:val="20"/>
        </w:rPr>
        <w:t xml:space="preserve"> advised l</w:t>
      </w:r>
      <w:r w:rsidRPr="002D57D8">
        <w:rPr>
          <w:rFonts w:ascii="Arial" w:hAnsi="Arial" w:cs="Arial"/>
          <w:sz w:val="20"/>
          <w:szCs w:val="20"/>
        </w:rPr>
        <w:t xml:space="preserve">isted companies </w:t>
      </w:r>
      <w:r>
        <w:rPr>
          <w:rFonts w:ascii="Arial" w:hAnsi="Arial" w:cs="Arial"/>
          <w:sz w:val="20"/>
          <w:szCs w:val="20"/>
        </w:rPr>
        <w:t xml:space="preserve">to </w:t>
      </w:r>
      <w:r w:rsidRPr="002D57D8">
        <w:rPr>
          <w:rFonts w:ascii="Arial" w:hAnsi="Arial" w:cs="Arial"/>
          <w:sz w:val="20"/>
          <w:szCs w:val="20"/>
        </w:rPr>
        <w:t>refer t</w:t>
      </w:r>
      <w:r>
        <w:rPr>
          <w:rFonts w:ascii="Arial" w:hAnsi="Arial" w:cs="Arial"/>
          <w:sz w:val="20"/>
          <w:szCs w:val="20"/>
        </w:rPr>
        <w:t xml:space="preserve">o guidance published by the </w:t>
      </w:r>
      <w:proofErr w:type="spellStart"/>
      <w:r>
        <w:rPr>
          <w:rFonts w:ascii="Arial" w:hAnsi="Arial" w:cs="Arial"/>
          <w:sz w:val="20"/>
          <w:szCs w:val="20"/>
        </w:rPr>
        <w:t>HKEx</w:t>
      </w:r>
      <w:proofErr w:type="spellEnd"/>
      <w:r w:rsidRPr="002D57D8">
        <w:rPr>
          <w:rFonts w:ascii="Arial" w:hAnsi="Arial" w:cs="Arial"/>
          <w:sz w:val="20"/>
          <w:szCs w:val="20"/>
        </w:rPr>
        <w:t xml:space="preserve"> for clarification</w:t>
      </w:r>
      <w:r>
        <w:rPr>
          <w:rFonts w:ascii="Arial" w:hAnsi="Arial" w:cs="Arial"/>
          <w:sz w:val="20"/>
          <w:szCs w:val="20"/>
        </w:rPr>
        <w:t xml:space="preserve"> of its requirements</w:t>
      </w:r>
      <w:r w:rsidRPr="002D57D8">
        <w:rPr>
          <w:rFonts w:ascii="Arial" w:hAnsi="Arial" w:cs="Arial"/>
          <w:sz w:val="20"/>
          <w:szCs w:val="20"/>
        </w:rPr>
        <w:t xml:space="preserve">. Listed companies should also refer to the most up-to-date versions of the </w:t>
      </w:r>
      <w:r>
        <w:rPr>
          <w:rFonts w:ascii="Arial" w:hAnsi="Arial" w:cs="Arial"/>
          <w:sz w:val="20"/>
          <w:szCs w:val="20"/>
        </w:rPr>
        <w:t>Corporate Governance Code</w:t>
      </w:r>
      <w:r w:rsidRPr="002D57D8">
        <w:rPr>
          <w:rFonts w:ascii="Arial" w:hAnsi="Arial" w:cs="Arial"/>
          <w:sz w:val="20"/>
          <w:szCs w:val="20"/>
        </w:rPr>
        <w:t xml:space="preserve"> and materials to</w:t>
      </w:r>
      <w:r>
        <w:rPr>
          <w:rFonts w:ascii="Arial" w:hAnsi="Arial" w:cs="Arial"/>
          <w:sz w:val="20"/>
          <w:szCs w:val="20"/>
        </w:rPr>
        <w:t xml:space="preserve"> ensure their compliance</w:t>
      </w:r>
      <w:r w:rsidRPr="002D57D8">
        <w:rPr>
          <w:rFonts w:ascii="Arial" w:hAnsi="Arial" w:cs="Arial"/>
          <w:sz w:val="20"/>
          <w:szCs w:val="20"/>
        </w:rPr>
        <w:t xml:space="preserve">. </w:t>
      </w:r>
    </w:p>
    <w:p w:rsidR="008E11FD" w:rsidRPr="002D57D8" w:rsidRDefault="00457FFE" w:rsidP="00882681">
      <w:pPr>
        <w:jc w:val="both"/>
        <w:rPr>
          <w:rFonts w:ascii="Arial" w:hAnsi="Arial" w:cs="Arial"/>
          <w:b/>
          <w:sz w:val="20"/>
          <w:szCs w:val="20"/>
        </w:rPr>
      </w:pPr>
      <w:r w:rsidRPr="002D57D8">
        <w:rPr>
          <w:rFonts w:ascii="Arial" w:hAnsi="Arial" w:cs="Arial"/>
          <w:b/>
          <w:sz w:val="20"/>
          <w:szCs w:val="20"/>
        </w:rPr>
        <w:t xml:space="preserve">Recommended Best Practices </w:t>
      </w:r>
    </w:p>
    <w:p w:rsidR="00246879" w:rsidRDefault="0099567E" w:rsidP="00457FFE">
      <w:pPr>
        <w:jc w:val="both"/>
        <w:rPr>
          <w:rFonts w:ascii="Arial" w:hAnsi="Arial" w:cs="Arial"/>
          <w:sz w:val="20"/>
          <w:szCs w:val="20"/>
        </w:rPr>
      </w:pPr>
      <w:r>
        <w:rPr>
          <w:rFonts w:ascii="Arial" w:hAnsi="Arial" w:cs="Arial"/>
          <w:sz w:val="20"/>
          <w:szCs w:val="20"/>
        </w:rPr>
        <w:t>While t</w:t>
      </w:r>
      <w:r w:rsidR="00457FFE" w:rsidRPr="002D57D8">
        <w:rPr>
          <w:rFonts w:ascii="Arial" w:hAnsi="Arial" w:cs="Arial"/>
          <w:sz w:val="20"/>
          <w:szCs w:val="20"/>
        </w:rPr>
        <w:t>he Recommended Best Practices are n</w:t>
      </w:r>
      <w:r w:rsidR="00291ED2">
        <w:rPr>
          <w:rFonts w:ascii="Arial" w:hAnsi="Arial" w:cs="Arial"/>
          <w:sz w:val="20"/>
          <w:szCs w:val="20"/>
        </w:rPr>
        <w:t xml:space="preserve">ot compulsory, the </w:t>
      </w:r>
      <w:proofErr w:type="spellStart"/>
      <w:r w:rsidR="00291ED2">
        <w:rPr>
          <w:rFonts w:ascii="Arial" w:hAnsi="Arial" w:cs="Arial"/>
          <w:sz w:val="20"/>
          <w:szCs w:val="20"/>
        </w:rPr>
        <w:t>HKEx</w:t>
      </w:r>
      <w:proofErr w:type="spellEnd"/>
      <w:r w:rsidR="00457FFE" w:rsidRPr="002D57D8">
        <w:rPr>
          <w:rFonts w:ascii="Arial" w:hAnsi="Arial" w:cs="Arial"/>
          <w:sz w:val="20"/>
          <w:szCs w:val="20"/>
        </w:rPr>
        <w:t xml:space="preserve"> encourages </w:t>
      </w:r>
      <w:r>
        <w:rPr>
          <w:rFonts w:ascii="Arial" w:hAnsi="Arial" w:cs="Arial"/>
          <w:sz w:val="20"/>
          <w:szCs w:val="20"/>
        </w:rPr>
        <w:t xml:space="preserve">their </w:t>
      </w:r>
      <w:r w:rsidR="00457FFE" w:rsidRPr="002D57D8">
        <w:rPr>
          <w:rFonts w:ascii="Arial" w:hAnsi="Arial" w:cs="Arial"/>
          <w:sz w:val="20"/>
          <w:szCs w:val="20"/>
        </w:rPr>
        <w:t xml:space="preserve">voluntary adoption </w:t>
      </w:r>
      <w:r>
        <w:rPr>
          <w:rFonts w:ascii="Arial" w:hAnsi="Arial" w:cs="Arial"/>
          <w:sz w:val="20"/>
          <w:szCs w:val="20"/>
        </w:rPr>
        <w:t xml:space="preserve">since </w:t>
      </w:r>
      <w:r w:rsidR="00457FFE" w:rsidRPr="002D57D8">
        <w:rPr>
          <w:rFonts w:ascii="Arial" w:hAnsi="Arial" w:cs="Arial"/>
          <w:sz w:val="20"/>
          <w:szCs w:val="20"/>
        </w:rPr>
        <w:t xml:space="preserve">they </w:t>
      </w:r>
      <w:r>
        <w:rPr>
          <w:rFonts w:ascii="Arial" w:hAnsi="Arial" w:cs="Arial"/>
          <w:sz w:val="20"/>
          <w:szCs w:val="20"/>
        </w:rPr>
        <w:t xml:space="preserve">often </w:t>
      </w:r>
      <w:r w:rsidR="00457FFE" w:rsidRPr="002D57D8">
        <w:rPr>
          <w:rFonts w:ascii="Arial" w:hAnsi="Arial" w:cs="Arial"/>
          <w:sz w:val="20"/>
          <w:szCs w:val="20"/>
        </w:rPr>
        <w:t>exten</w:t>
      </w:r>
      <w:r>
        <w:rPr>
          <w:rFonts w:ascii="Arial" w:hAnsi="Arial" w:cs="Arial"/>
          <w:sz w:val="20"/>
          <w:szCs w:val="20"/>
        </w:rPr>
        <w:t>d</w:t>
      </w:r>
      <w:r w:rsidR="00457FFE" w:rsidRPr="002D57D8">
        <w:rPr>
          <w:rFonts w:ascii="Arial" w:hAnsi="Arial" w:cs="Arial"/>
          <w:sz w:val="20"/>
          <w:szCs w:val="20"/>
        </w:rPr>
        <w:t xml:space="preserve"> the compulsory provisions</w:t>
      </w:r>
      <w:r>
        <w:rPr>
          <w:rFonts w:ascii="Arial" w:hAnsi="Arial" w:cs="Arial"/>
          <w:sz w:val="20"/>
          <w:szCs w:val="20"/>
        </w:rPr>
        <w:t xml:space="preserve"> and their adoption will allow</w:t>
      </w:r>
      <w:r w:rsidR="007619AD">
        <w:rPr>
          <w:rFonts w:ascii="Arial" w:hAnsi="Arial" w:cs="Arial"/>
          <w:sz w:val="20"/>
          <w:szCs w:val="20"/>
        </w:rPr>
        <w:t xml:space="preserve"> </w:t>
      </w:r>
      <w:r>
        <w:rPr>
          <w:rFonts w:ascii="Arial" w:hAnsi="Arial" w:cs="Arial"/>
          <w:sz w:val="20"/>
          <w:szCs w:val="20"/>
        </w:rPr>
        <w:t>l</w:t>
      </w:r>
      <w:r w:rsidR="00457FFE" w:rsidRPr="002D57D8">
        <w:rPr>
          <w:rFonts w:ascii="Arial" w:hAnsi="Arial" w:cs="Arial"/>
          <w:sz w:val="20"/>
          <w:szCs w:val="20"/>
        </w:rPr>
        <w:t xml:space="preserve">isted companies </w:t>
      </w:r>
      <w:r>
        <w:rPr>
          <w:rFonts w:ascii="Arial" w:hAnsi="Arial" w:cs="Arial"/>
          <w:sz w:val="20"/>
          <w:szCs w:val="20"/>
        </w:rPr>
        <w:t xml:space="preserve">to achieve a higher standard of </w:t>
      </w:r>
      <w:r w:rsidR="00457FFE" w:rsidRPr="002D57D8">
        <w:rPr>
          <w:rFonts w:ascii="Arial" w:hAnsi="Arial" w:cs="Arial"/>
          <w:sz w:val="20"/>
          <w:szCs w:val="20"/>
        </w:rPr>
        <w:t xml:space="preserve">corporate governance. </w:t>
      </w:r>
    </w:p>
    <w:p w:rsidR="005B5947" w:rsidRPr="00B17C58" w:rsidRDefault="005B5947" w:rsidP="005B5947">
      <w:pPr>
        <w:pStyle w:val="DisclaimerBold"/>
        <w:numPr>
          <w:ilvl w:val="0"/>
          <w:numId w:val="7"/>
        </w:numPr>
        <w:rPr>
          <w:rFonts w:ascii="Arial" w:hAnsi="Arial" w:cs="Arial"/>
          <w:sz w:val="20"/>
          <w:szCs w:val="20"/>
        </w:rPr>
      </w:pPr>
      <w:r w:rsidRPr="00B17C58">
        <w:rPr>
          <w:rFonts w:ascii="Arial" w:hAnsi="Arial" w:cs="Arial"/>
          <w:sz w:val="20"/>
          <w:szCs w:val="20"/>
        </w:rPr>
        <w:t>This newsletter is for information purposes only.</w:t>
      </w:r>
    </w:p>
    <w:p w:rsidR="005B5947" w:rsidRPr="00B17C58" w:rsidRDefault="005B5947" w:rsidP="005B5947">
      <w:pPr>
        <w:pStyle w:val="Disclaimer"/>
        <w:numPr>
          <w:ilvl w:val="0"/>
          <w:numId w:val="7"/>
        </w:numPr>
        <w:rPr>
          <w:rFonts w:ascii="Arial" w:hAnsi="Arial" w:cs="Arial"/>
          <w:sz w:val="20"/>
          <w:szCs w:val="20"/>
        </w:rPr>
      </w:pPr>
      <w:r w:rsidRPr="00B17C58">
        <w:rPr>
          <w:rFonts w:ascii="Arial" w:hAnsi="Arial" w:cs="Arial"/>
          <w:sz w:val="20"/>
          <w:szCs w:val="20"/>
        </w:rPr>
        <w:lastRenderedPageBreak/>
        <w:t>Its contents do not constitute legal advice and it should not be regarded as a substitute for detailed advice in individual cases.</w:t>
      </w:r>
    </w:p>
    <w:p w:rsidR="005B5947" w:rsidRPr="00B17C58" w:rsidRDefault="005B5947" w:rsidP="005B5947">
      <w:pPr>
        <w:pStyle w:val="Disclaimer"/>
        <w:numPr>
          <w:ilvl w:val="0"/>
          <w:numId w:val="7"/>
        </w:numPr>
        <w:rPr>
          <w:rFonts w:ascii="Arial" w:hAnsi="Arial" w:cs="Arial"/>
          <w:sz w:val="20"/>
          <w:szCs w:val="20"/>
        </w:rPr>
      </w:pPr>
      <w:r w:rsidRPr="00B17C58">
        <w:rPr>
          <w:rFonts w:ascii="Arial" w:hAnsi="Arial" w:cs="Arial"/>
          <w:sz w:val="20"/>
          <w:szCs w:val="20"/>
        </w:rPr>
        <w:t xml:space="preserve">Transmission of this information is not intended to create and receipt does not constitute a lawyer-client relationship between </w:t>
      </w:r>
      <w:proofErr w:type="spellStart"/>
      <w:r w:rsidRPr="00B17C58">
        <w:rPr>
          <w:rFonts w:ascii="Arial" w:hAnsi="Arial" w:cs="Arial"/>
          <w:sz w:val="20"/>
          <w:szCs w:val="20"/>
        </w:rPr>
        <w:t>Charltons</w:t>
      </w:r>
      <w:proofErr w:type="spellEnd"/>
      <w:r w:rsidRPr="00B17C58">
        <w:rPr>
          <w:rFonts w:ascii="Arial" w:hAnsi="Arial" w:cs="Arial"/>
          <w:sz w:val="20"/>
          <w:szCs w:val="20"/>
        </w:rPr>
        <w:t xml:space="preserve"> and the user or browser.</w:t>
      </w:r>
    </w:p>
    <w:p w:rsidR="005B5947" w:rsidRPr="00B17C58" w:rsidRDefault="005B5947" w:rsidP="005B5947">
      <w:pPr>
        <w:pStyle w:val="Disclaimer"/>
        <w:numPr>
          <w:ilvl w:val="0"/>
          <w:numId w:val="7"/>
        </w:numPr>
        <w:rPr>
          <w:rFonts w:ascii="Arial" w:hAnsi="Arial" w:cs="Arial"/>
          <w:sz w:val="20"/>
          <w:szCs w:val="20"/>
        </w:rPr>
      </w:pPr>
      <w:proofErr w:type="spellStart"/>
      <w:r w:rsidRPr="00B17C58">
        <w:rPr>
          <w:rFonts w:ascii="Arial" w:hAnsi="Arial" w:cs="Arial"/>
          <w:sz w:val="20"/>
          <w:szCs w:val="20"/>
        </w:rPr>
        <w:t>Charltons</w:t>
      </w:r>
      <w:proofErr w:type="spellEnd"/>
      <w:r w:rsidRPr="00B17C58">
        <w:rPr>
          <w:rFonts w:ascii="Arial" w:hAnsi="Arial" w:cs="Arial"/>
          <w:sz w:val="20"/>
          <w:szCs w:val="20"/>
        </w:rPr>
        <w:t xml:space="preserve"> is not responsible for any </w:t>
      </w:r>
      <w:proofErr w:type="gramStart"/>
      <w:r w:rsidRPr="00B17C58">
        <w:rPr>
          <w:rFonts w:ascii="Arial" w:hAnsi="Arial" w:cs="Arial"/>
          <w:sz w:val="20"/>
          <w:szCs w:val="20"/>
        </w:rPr>
        <w:t>third party</w:t>
      </w:r>
      <w:proofErr w:type="gramEnd"/>
      <w:r w:rsidRPr="00B17C58">
        <w:rPr>
          <w:rFonts w:ascii="Arial" w:hAnsi="Arial" w:cs="Arial"/>
          <w:sz w:val="20"/>
          <w:szCs w:val="20"/>
        </w:rPr>
        <w:t xml:space="preserve"> content which can be accessed through the website.</w:t>
      </w:r>
    </w:p>
    <w:p w:rsidR="005B5947" w:rsidRPr="00B17C58" w:rsidRDefault="005B5947" w:rsidP="005B5947">
      <w:pPr>
        <w:pStyle w:val="Disclaimer"/>
        <w:numPr>
          <w:ilvl w:val="0"/>
          <w:numId w:val="7"/>
        </w:numPr>
        <w:rPr>
          <w:rFonts w:ascii="Arial" w:hAnsi="Arial" w:cs="Arial"/>
          <w:sz w:val="20"/>
          <w:szCs w:val="20"/>
        </w:rPr>
      </w:pPr>
      <w:r w:rsidRPr="00B17C58">
        <w:rPr>
          <w:rFonts w:ascii="Arial" w:hAnsi="Arial" w:cs="Arial"/>
          <w:sz w:val="20"/>
          <w:szCs w:val="20"/>
        </w:rPr>
        <w:t xml:space="preserve">If you do not wish to receive this </w:t>
      </w:r>
      <w:proofErr w:type="gramStart"/>
      <w:r w:rsidRPr="00B17C58">
        <w:rPr>
          <w:rFonts w:ascii="Arial" w:hAnsi="Arial" w:cs="Arial"/>
          <w:sz w:val="20"/>
          <w:szCs w:val="20"/>
        </w:rPr>
        <w:t>newsletter</w:t>
      </w:r>
      <w:proofErr w:type="gramEnd"/>
      <w:r w:rsidRPr="00B17C58">
        <w:rPr>
          <w:rFonts w:ascii="Arial" w:hAnsi="Arial" w:cs="Arial"/>
          <w:sz w:val="20"/>
          <w:szCs w:val="20"/>
        </w:rPr>
        <w:t xml:space="preserve"> please let us know by emailing us at  </w:t>
      </w:r>
      <w:hyperlink r:id="rId12">
        <w:r w:rsidRPr="00B17C58">
          <w:rPr>
            <w:rFonts w:ascii="Arial" w:hAnsi="Arial" w:cs="Arial"/>
            <w:sz w:val="20"/>
            <w:szCs w:val="20"/>
          </w:rPr>
          <w:t>unsubscribe@charltonslaw.com</w:t>
        </w:r>
      </w:hyperlink>
    </w:p>
    <w:p w:rsidR="005B5947" w:rsidRPr="004B18B2" w:rsidRDefault="005B5947" w:rsidP="005B5947">
      <w:pPr>
        <w:pStyle w:val="BlackStrips"/>
        <w:numPr>
          <w:ilvl w:val="0"/>
          <w:numId w:val="7"/>
        </w:numPr>
        <w:rPr>
          <w:rFonts w:ascii="Arial" w:hAnsi="Arial" w:cs="Arial"/>
        </w:rPr>
      </w:pPr>
      <w:proofErr w:type="spellStart"/>
      <w:r w:rsidRPr="004B18B2">
        <w:rPr>
          <w:rFonts w:ascii="Arial" w:hAnsi="Arial" w:cs="Arial"/>
        </w:rPr>
        <w:t>Charltons</w:t>
      </w:r>
      <w:proofErr w:type="spellEnd"/>
      <w:r w:rsidRPr="004B18B2">
        <w:rPr>
          <w:rFonts w:ascii="Arial" w:hAnsi="Arial" w:cs="Arial"/>
        </w:rPr>
        <w:t xml:space="preserve"> - Hong Kong Law - </w:t>
      </w:r>
      <w:r w:rsidR="003B77F5">
        <w:rPr>
          <w:rFonts w:ascii="Arial" w:hAnsi="Arial" w:cs="Arial"/>
        </w:rPr>
        <w:t>01</w:t>
      </w:r>
      <w:r w:rsidRPr="004B18B2">
        <w:rPr>
          <w:rFonts w:ascii="Arial" w:hAnsi="Arial" w:cs="Arial"/>
        </w:rPr>
        <w:t xml:space="preserve"> </w:t>
      </w:r>
      <w:r w:rsidR="003B77F5">
        <w:rPr>
          <w:rFonts w:ascii="Arial" w:hAnsi="Arial" w:cs="Arial"/>
        </w:rPr>
        <w:t>December</w:t>
      </w:r>
      <w:r w:rsidRPr="004B18B2">
        <w:rPr>
          <w:rFonts w:ascii="Arial" w:hAnsi="Arial" w:cs="Arial"/>
        </w:rPr>
        <w:t xml:space="preserve"> 2023</w:t>
      </w:r>
    </w:p>
    <w:p w:rsidR="005B5947" w:rsidRPr="002D57D8" w:rsidRDefault="005B5947" w:rsidP="00457FFE">
      <w:pPr>
        <w:jc w:val="both"/>
        <w:rPr>
          <w:rFonts w:ascii="Arial" w:hAnsi="Arial" w:cs="Arial"/>
          <w:sz w:val="20"/>
          <w:szCs w:val="20"/>
        </w:rPr>
      </w:pPr>
    </w:p>
    <w:sectPr w:rsidR="005B5947" w:rsidRPr="002D57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832" w:rsidRDefault="00196832">
      <w:pPr>
        <w:spacing w:after="0" w:line="240" w:lineRule="auto"/>
      </w:pPr>
      <w:r>
        <w:separator/>
      </w:r>
    </w:p>
  </w:endnote>
  <w:endnote w:type="continuationSeparator" w:id="0">
    <w:p w:rsidR="00196832" w:rsidRDefault="0019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832" w:rsidRDefault="00196832" w:rsidP="00E71934">
      <w:pPr>
        <w:spacing w:after="0" w:line="240" w:lineRule="auto"/>
      </w:pPr>
      <w:r>
        <w:separator/>
      </w:r>
    </w:p>
  </w:footnote>
  <w:footnote w:type="continuationSeparator" w:id="0">
    <w:p w:rsidR="00196832" w:rsidRDefault="00196832" w:rsidP="00E71934">
      <w:pPr>
        <w:spacing w:after="0" w:line="240" w:lineRule="auto"/>
      </w:pPr>
      <w:r>
        <w:continuationSeparator/>
      </w:r>
    </w:p>
  </w:footnote>
  <w:footnote w:id="1">
    <w:p w:rsidR="002D57D8" w:rsidRPr="007619AD" w:rsidRDefault="002D57D8">
      <w:pPr>
        <w:pStyle w:val="a7"/>
        <w:rPr>
          <w:rFonts w:ascii="Arial" w:hAnsi="Arial" w:cs="Arial"/>
        </w:rPr>
      </w:pPr>
      <w:r w:rsidRPr="007619AD">
        <w:rPr>
          <w:rStyle w:val="a9"/>
          <w:rFonts w:ascii="Arial" w:hAnsi="Arial" w:cs="Arial"/>
        </w:rPr>
        <w:footnoteRef/>
      </w:r>
      <w:r w:rsidRPr="007619AD">
        <w:rPr>
          <w:rFonts w:ascii="Arial" w:hAnsi="Arial" w:cs="Arial"/>
        </w:rPr>
        <w:t xml:space="preserve"> Appendix 14 of the Main Board Listing Rules (Appendix 15 to the GEM Listing Rules)</w:t>
      </w:r>
    </w:p>
  </w:footnote>
  <w:footnote w:id="2">
    <w:p w:rsidR="003B614B" w:rsidRPr="007619AD" w:rsidRDefault="003B614B" w:rsidP="003B614B">
      <w:pPr>
        <w:pStyle w:val="a7"/>
        <w:rPr>
          <w:rFonts w:ascii="Arial" w:hAnsi="Arial" w:cs="Arial"/>
        </w:rPr>
      </w:pPr>
      <w:r w:rsidRPr="007619AD">
        <w:rPr>
          <w:rStyle w:val="a9"/>
          <w:rFonts w:ascii="Arial" w:hAnsi="Arial" w:cs="Arial"/>
        </w:rPr>
        <w:footnoteRef/>
      </w:r>
      <w:r w:rsidRPr="007619AD">
        <w:rPr>
          <w:rFonts w:ascii="Arial" w:hAnsi="Arial" w:cs="Arial"/>
        </w:rPr>
        <w:t xml:space="preserve"> Part 2 Appendix 14 </w:t>
      </w:r>
      <w:r>
        <w:rPr>
          <w:rFonts w:ascii="Arial" w:hAnsi="Arial" w:cs="Arial"/>
        </w:rPr>
        <w:t>to</w:t>
      </w:r>
      <w:r w:rsidRPr="007619AD">
        <w:rPr>
          <w:rFonts w:ascii="Arial" w:hAnsi="Arial" w:cs="Arial"/>
        </w:rPr>
        <w:t xml:space="preserve"> the Main Board Listing Rules (Part 2 Appendix 15 to the GEM Listing Rules)</w:t>
      </w:r>
    </w:p>
  </w:footnote>
  <w:footnote w:id="3">
    <w:p w:rsidR="003F2BC7" w:rsidRPr="007619AD" w:rsidRDefault="00457FFE">
      <w:pPr>
        <w:pStyle w:val="a7"/>
        <w:rPr>
          <w:rFonts w:ascii="Arial" w:hAnsi="Arial" w:cs="Arial"/>
        </w:rPr>
      </w:pPr>
      <w:r w:rsidRPr="007619AD">
        <w:rPr>
          <w:rStyle w:val="a9"/>
          <w:rFonts w:ascii="Arial" w:hAnsi="Arial" w:cs="Arial"/>
        </w:rPr>
        <w:footnoteRef/>
      </w:r>
      <w:r w:rsidRPr="007619AD">
        <w:rPr>
          <w:rFonts w:ascii="Arial" w:hAnsi="Arial" w:cs="Arial"/>
        </w:rPr>
        <w:t xml:space="preserve"> </w:t>
      </w:r>
      <w:r w:rsidR="00F06C80">
        <w:rPr>
          <w:rFonts w:ascii="Arial" w:hAnsi="Arial" w:cs="Arial"/>
        </w:rPr>
        <w:t>Part 1</w:t>
      </w:r>
      <w:r w:rsidR="00F06C80" w:rsidRPr="007619AD">
        <w:rPr>
          <w:rFonts w:ascii="Arial" w:hAnsi="Arial" w:cs="Arial"/>
        </w:rPr>
        <w:t xml:space="preserve"> Appendix 14 of the Main Board Listing Rules (</w:t>
      </w:r>
      <w:r w:rsidR="00F06C80">
        <w:rPr>
          <w:rFonts w:ascii="Arial" w:hAnsi="Arial" w:cs="Arial"/>
        </w:rPr>
        <w:t>Part 1</w:t>
      </w:r>
      <w:r w:rsidR="00F06C80" w:rsidRPr="007619AD">
        <w:rPr>
          <w:rFonts w:ascii="Arial" w:hAnsi="Arial" w:cs="Arial"/>
        </w:rPr>
        <w:t xml:space="preserve"> Appendix 15 to the GEM Listing Rules)</w:t>
      </w:r>
    </w:p>
  </w:footnote>
  <w:footnote w:id="4">
    <w:p w:rsidR="003F2BC7" w:rsidRPr="007619AD" w:rsidRDefault="00457FFE">
      <w:pPr>
        <w:pStyle w:val="a7"/>
        <w:rPr>
          <w:rFonts w:ascii="Arial" w:hAnsi="Arial" w:cs="Arial"/>
          <w:lang w:val="en-HK"/>
        </w:rPr>
      </w:pPr>
      <w:r w:rsidRPr="007619AD">
        <w:rPr>
          <w:rStyle w:val="a9"/>
          <w:rFonts w:ascii="Arial" w:hAnsi="Arial" w:cs="Arial"/>
        </w:rPr>
        <w:footnoteRef/>
      </w:r>
      <w:r w:rsidRPr="007619AD">
        <w:rPr>
          <w:rFonts w:ascii="Arial" w:hAnsi="Arial" w:cs="Arial"/>
        </w:rPr>
        <w:t xml:space="preserve"> </w:t>
      </w:r>
      <w:r w:rsidR="003B614B" w:rsidRPr="007619AD">
        <w:rPr>
          <w:rFonts w:ascii="Arial" w:hAnsi="Arial" w:cs="Arial"/>
        </w:rPr>
        <w:t xml:space="preserve">Paragraph J of </w:t>
      </w:r>
      <w:r w:rsidR="003B614B" w:rsidRPr="00F06C80">
        <w:rPr>
          <w:rFonts w:ascii="Arial" w:hAnsi="Arial" w:cs="Arial"/>
        </w:rPr>
        <w:t xml:space="preserve">the </w:t>
      </w:r>
      <w:r w:rsidR="003B614B" w:rsidRPr="00806EF2">
        <w:rPr>
          <w:rFonts w:ascii="Arial" w:hAnsi="Arial" w:cs="Arial"/>
        </w:rPr>
        <w:t>Mandatory Disclosure Requirements</w:t>
      </w:r>
      <w:r w:rsidR="003B614B" w:rsidRPr="00F06C80">
        <w:rPr>
          <w:rFonts w:ascii="Arial" w:hAnsi="Arial" w:cs="Arial"/>
        </w:rPr>
        <w:t xml:space="preserve"> and </w:t>
      </w:r>
      <w:r w:rsidR="003B614B">
        <w:rPr>
          <w:rFonts w:ascii="Arial" w:hAnsi="Arial" w:cs="Arial"/>
        </w:rPr>
        <w:t>CP</w:t>
      </w:r>
      <w:r w:rsidR="003B614B" w:rsidRPr="00F06C80">
        <w:rPr>
          <w:rFonts w:ascii="Arial" w:hAnsi="Arial" w:cs="Arial"/>
        </w:rPr>
        <w:t xml:space="preserve"> B.1.3.</w:t>
      </w:r>
    </w:p>
  </w:footnote>
  <w:footnote w:id="5">
    <w:p w:rsidR="003B614B" w:rsidRPr="007619AD" w:rsidRDefault="003B614B" w:rsidP="003B614B">
      <w:pPr>
        <w:pStyle w:val="a7"/>
        <w:rPr>
          <w:rFonts w:ascii="Arial" w:hAnsi="Arial" w:cs="Arial"/>
          <w:lang w:val="en-HK"/>
        </w:rPr>
      </w:pPr>
      <w:r w:rsidRPr="007619AD">
        <w:rPr>
          <w:rStyle w:val="a9"/>
          <w:rFonts w:ascii="Arial" w:hAnsi="Arial" w:cs="Arial"/>
        </w:rPr>
        <w:footnoteRef/>
      </w:r>
      <w:r w:rsidRPr="007619AD">
        <w:rPr>
          <w:rFonts w:ascii="Arial" w:hAnsi="Arial" w:cs="Arial"/>
        </w:rPr>
        <w:t xml:space="preserve"> Analysis of IPO Applicants’ Corporate Governance and ESG Practice Disclosure in 2020/2021</w:t>
      </w:r>
      <w:r>
        <w:rPr>
          <w:rFonts w:ascii="Arial" w:hAnsi="Arial" w:cs="Arial"/>
        </w:rPr>
        <w:t>,</w:t>
      </w:r>
      <w:hyperlink r:id="rId1" w:history="1">
        <w:r w:rsidRPr="007619AD">
          <w:rPr>
            <w:rStyle w:val="a3"/>
            <w:rFonts w:ascii="Arial" w:hAnsi="Arial" w:cs="Arial"/>
          </w:rPr>
          <w:t>https://www.hkex.com.hk/-/media/HKEX-Market/Listing/Rules-and-Guidance/Environmental-Social-and-Governance/Reports-on-ESGPD/esgreport_2020_2021.pdf</w:t>
        </w:r>
      </w:hyperlink>
      <w:r>
        <w:rPr>
          <w:rFonts w:ascii="Arial" w:hAnsi="Arial" w:cs="Arial"/>
        </w:rPr>
        <w:t xml:space="preserve"> </w:t>
      </w:r>
    </w:p>
  </w:footnote>
  <w:footnote w:id="6">
    <w:p w:rsidR="00E7229F" w:rsidRDefault="00E7229F">
      <w:pPr>
        <w:pStyle w:val="a7"/>
      </w:pPr>
      <w:r>
        <w:rPr>
          <w:rStyle w:val="a9"/>
        </w:rPr>
        <w:footnoteRef/>
      </w:r>
      <w:r>
        <w:t xml:space="preserve"> </w:t>
      </w:r>
      <w:r w:rsidRPr="00FA70B7">
        <w:rPr>
          <w:rFonts w:ascii="Arial" w:hAnsi="Arial" w:cs="Arial"/>
        </w:rPr>
        <w:t xml:space="preserve">This </w:t>
      </w:r>
      <w:r>
        <w:rPr>
          <w:rFonts w:ascii="Arial" w:hAnsi="Arial" w:cs="Arial"/>
        </w:rPr>
        <w:t xml:space="preserve">reflects </w:t>
      </w:r>
      <w:r w:rsidRPr="00FA70B7">
        <w:rPr>
          <w:rFonts w:ascii="Arial" w:hAnsi="Arial" w:cs="Arial"/>
        </w:rPr>
        <w:t xml:space="preserve">recommended best practice </w:t>
      </w:r>
      <w:r>
        <w:rPr>
          <w:rFonts w:ascii="Arial" w:hAnsi="Arial" w:cs="Arial"/>
        </w:rPr>
        <w:t>D.2.8.</w:t>
      </w:r>
    </w:p>
  </w:footnote>
  <w:footnote w:id="7">
    <w:p w:rsidR="00E7229F" w:rsidRDefault="00E7229F">
      <w:pPr>
        <w:pStyle w:val="a7"/>
      </w:pPr>
      <w:r>
        <w:rPr>
          <w:rStyle w:val="a9"/>
        </w:rPr>
        <w:footnoteRef/>
      </w:r>
      <w:r>
        <w:t xml:space="preserve"> </w:t>
      </w:r>
      <w:r w:rsidRPr="00214492">
        <w:rPr>
          <w:rFonts w:ascii="Arial" w:hAnsi="Arial" w:cs="Arial"/>
        </w:rPr>
        <w:t xml:space="preserve">This </w:t>
      </w:r>
      <w:r>
        <w:rPr>
          <w:rFonts w:ascii="Arial" w:hAnsi="Arial" w:cs="Arial"/>
        </w:rPr>
        <w:t xml:space="preserve">reflects </w:t>
      </w:r>
      <w:r w:rsidRPr="00214492">
        <w:rPr>
          <w:rFonts w:ascii="Arial" w:hAnsi="Arial" w:cs="Arial"/>
        </w:rPr>
        <w:t>recommended best practice D.2.9</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6F5D"/>
    <w:multiLevelType w:val="hybridMultilevel"/>
    <w:tmpl w:val="3C9458BC"/>
    <w:lvl w:ilvl="0" w:tplc="4EC6720A">
      <w:start w:val="1"/>
      <w:numFmt w:val="bullet"/>
      <w:lvlText w:val=""/>
      <w:lvlJc w:val="left"/>
      <w:pPr>
        <w:ind w:left="720" w:hanging="360"/>
      </w:pPr>
      <w:rPr>
        <w:rFonts w:ascii="Symbol" w:hAnsi="Symbol" w:hint="default"/>
      </w:rPr>
    </w:lvl>
    <w:lvl w:ilvl="1" w:tplc="88BC32C6" w:tentative="1">
      <w:start w:val="1"/>
      <w:numFmt w:val="bullet"/>
      <w:lvlText w:val="o"/>
      <w:lvlJc w:val="left"/>
      <w:pPr>
        <w:ind w:left="1440" w:hanging="360"/>
      </w:pPr>
      <w:rPr>
        <w:rFonts w:ascii="Courier New" w:hAnsi="Courier New" w:cs="Courier New" w:hint="default"/>
      </w:rPr>
    </w:lvl>
    <w:lvl w:ilvl="2" w:tplc="3CF60CB6" w:tentative="1">
      <w:start w:val="1"/>
      <w:numFmt w:val="bullet"/>
      <w:lvlText w:val=""/>
      <w:lvlJc w:val="left"/>
      <w:pPr>
        <w:ind w:left="2160" w:hanging="360"/>
      </w:pPr>
      <w:rPr>
        <w:rFonts w:ascii="Wingdings" w:hAnsi="Wingdings" w:hint="default"/>
      </w:rPr>
    </w:lvl>
    <w:lvl w:ilvl="3" w:tplc="E684E65E" w:tentative="1">
      <w:start w:val="1"/>
      <w:numFmt w:val="bullet"/>
      <w:lvlText w:val=""/>
      <w:lvlJc w:val="left"/>
      <w:pPr>
        <w:ind w:left="2880" w:hanging="360"/>
      </w:pPr>
      <w:rPr>
        <w:rFonts w:ascii="Symbol" w:hAnsi="Symbol" w:hint="default"/>
      </w:rPr>
    </w:lvl>
    <w:lvl w:ilvl="4" w:tplc="3AE4B0E8" w:tentative="1">
      <w:start w:val="1"/>
      <w:numFmt w:val="bullet"/>
      <w:lvlText w:val="o"/>
      <w:lvlJc w:val="left"/>
      <w:pPr>
        <w:ind w:left="3600" w:hanging="360"/>
      </w:pPr>
      <w:rPr>
        <w:rFonts w:ascii="Courier New" w:hAnsi="Courier New" w:cs="Courier New" w:hint="default"/>
      </w:rPr>
    </w:lvl>
    <w:lvl w:ilvl="5" w:tplc="697C37B4" w:tentative="1">
      <w:start w:val="1"/>
      <w:numFmt w:val="bullet"/>
      <w:lvlText w:val=""/>
      <w:lvlJc w:val="left"/>
      <w:pPr>
        <w:ind w:left="4320" w:hanging="360"/>
      </w:pPr>
      <w:rPr>
        <w:rFonts w:ascii="Wingdings" w:hAnsi="Wingdings" w:hint="default"/>
      </w:rPr>
    </w:lvl>
    <w:lvl w:ilvl="6" w:tplc="7054C1B6" w:tentative="1">
      <w:start w:val="1"/>
      <w:numFmt w:val="bullet"/>
      <w:lvlText w:val=""/>
      <w:lvlJc w:val="left"/>
      <w:pPr>
        <w:ind w:left="5040" w:hanging="360"/>
      </w:pPr>
      <w:rPr>
        <w:rFonts w:ascii="Symbol" w:hAnsi="Symbol" w:hint="default"/>
      </w:rPr>
    </w:lvl>
    <w:lvl w:ilvl="7" w:tplc="F9FAA6EA" w:tentative="1">
      <w:start w:val="1"/>
      <w:numFmt w:val="bullet"/>
      <w:lvlText w:val="o"/>
      <w:lvlJc w:val="left"/>
      <w:pPr>
        <w:ind w:left="5760" w:hanging="360"/>
      </w:pPr>
      <w:rPr>
        <w:rFonts w:ascii="Courier New" w:hAnsi="Courier New" w:cs="Courier New" w:hint="default"/>
      </w:rPr>
    </w:lvl>
    <w:lvl w:ilvl="8" w:tplc="D206CFBA" w:tentative="1">
      <w:start w:val="1"/>
      <w:numFmt w:val="bullet"/>
      <w:lvlText w:val=""/>
      <w:lvlJc w:val="left"/>
      <w:pPr>
        <w:ind w:left="6480" w:hanging="360"/>
      </w:pPr>
      <w:rPr>
        <w:rFonts w:ascii="Wingdings" w:hAnsi="Wingdings" w:hint="default"/>
      </w:rPr>
    </w:lvl>
  </w:abstractNum>
  <w:abstractNum w:abstractNumId="1" w15:restartNumberingAfterBreak="0">
    <w:nsid w:val="5349632A"/>
    <w:multiLevelType w:val="hybridMultilevel"/>
    <w:tmpl w:val="39BA0330"/>
    <w:lvl w:ilvl="0" w:tplc="A372ED50">
      <w:start w:val="1"/>
      <w:numFmt w:val="decimal"/>
      <w:lvlText w:val="%1."/>
      <w:lvlJc w:val="left"/>
      <w:pPr>
        <w:ind w:left="720" w:hanging="360"/>
      </w:pPr>
      <w:rPr>
        <w:rFonts w:hint="default"/>
      </w:rPr>
    </w:lvl>
    <w:lvl w:ilvl="1" w:tplc="DD84AF8A" w:tentative="1">
      <w:start w:val="1"/>
      <w:numFmt w:val="lowerLetter"/>
      <w:lvlText w:val="%2."/>
      <w:lvlJc w:val="left"/>
      <w:pPr>
        <w:ind w:left="1440" w:hanging="360"/>
      </w:pPr>
    </w:lvl>
    <w:lvl w:ilvl="2" w:tplc="F37EC6F0" w:tentative="1">
      <w:start w:val="1"/>
      <w:numFmt w:val="lowerRoman"/>
      <w:lvlText w:val="%3."/>
      <w:lvlJc w:val="right"/>
      <w:pPr>
        <w:ind w:left="2160" w:hanging="180"/>
      </w:pPr>
    </w:lvl>
    <w:lvl w:ilvl="3" w:tplc="59EAEE58" w:tentative="1">
      <w:start w:val="1"/>
      <w:numFmt w:val="decimal"/>
      <w:lvlText w:val="%4."/>
      <w:lvlJc w:val="left"/>
      <w:pPr>
        <w:ind w:left="2880" w:hanging="360"/>
      </w:pPr>
    </w:lvl>
    <w:lvl w:ilvl="4" w:tplc="36F0E770" w:tentative="1">
      <w:start w:val="1"/>
      <w:numFmt w:val="lowerLetter"/>
      <w:lvlText w:val="%5."/>
      <w:lvlJc w:val="left"/>
      <w:pPr>
        <w:ind w:left="3600" w:hanging="360"/>
      </w:pPr>
    </w:lvl>
    <w:lvl w:ilvl="5" w:tplc="6A8AC2B4" w:tentative="1">
      <w:start w:val="1"/>
      <w:numFmt w:val="lowerRoman"/>
      <w:lvlText w:val="%6."/>
      <w:lvlJc w:val="right"/>
      <w:pPr>
        <w:ind w:left="4320" w:hanging="180"/>
      </w:pPr>
    </w:lvl>
    <w:lvl w:ilvl="6" w:tplc="F6940E72" w:tentative="1">
      <w:start w:val="1"/>
      <w:numFmt w:val="decimal"/>
      <w:lvlText w:val="%7."/>
      <w:lvlJc w:val="left"/>
      <w:pPr>
        <w:ind w:left="5040" w:hanging="360"/>
      </w:pPr>
    </w:lvl>
    <w:lvl w:ilvl="7" w:tplc="6AACC78A" w:tentative="1">
      <w:start w:val="1"/>
      <w:numFmt w:val="lowerLetter"/>
      <w:lvlText w:val="%8."/>
      <w:lvlJc w:val="left"/>
      <w:pPr>
        <w:ind w:left="5760" w:hanging="360"/>
      </w:pPr>
    </w:lvl>
    <w:lvl w:ilvl="8" w:tplc="9732CD02" w:tentative="1">
      <w:start w:val="1"/>
      <w:numFmt w:val="lowerRoman"/>
      <w:lvlText w:val="%9."/>
      <w:lvlJc w:val="right"/>
      <w:pPr>
        <w:ind w:left="6480" w:hanging="180"/>
      </w:pPr>
    </w:lvl>
  </w:abstractNum>
  <w:abstractNum w:abstractNumId="2" w15:restartNumberingAfterBreak="0">
    <w:nsid w:val="61026025"/>
    <w:multiLevelType w:val="hybridMultilevel"/>
    <w:tmpl w:val="2572DC8C"/>
    <w:lvl w:ilvl="0" w:tplc="F06C1956">
      <w:start w:val="1"/>
      <w:numFmt w:val="upperLetter"/>
      <w:lvlText w:val="%1."/>
      <w:lvlJc w:val="left"/>
      <w:pPr>
        <w:ind w:left="644" w:hanging="360"/>
      </w:pPr>
      <w:rPr>
        <w:rFonts w:hint="default"/>
      </w:rPr>
    </w:lvl>
    <w:lvl w:ilvl="1" w:tplc="3CC83D9C" w:tentative="1">
      <w:start w:val="1"/>
      <w:numFmt w:val="lowerLetter"/>
      <w:lvlText w:val="%2."/>
      <w:lvlJc w:val="left"/>
      <w:pPr>
        <w:ind w:left="1364" w:hanging="360"/>
      </w:pPr>
    </w:lvl>
    <w:lvl w:ilvl="2" w:tplc="0A280E12" w:tentative="1">
      <w:start w:val="1"/>
      <w:numFmt w:val="lowerRoman"/>
      <w:lvlText w:val="%3."/>
      <w:lvlJc w:val="right"/>
      <w:pPr>
        <w:ind w:left="2084" w:hanging="180"/>
      </w:pPr>
    </w:lvl>
    <w:lvl w:ilvl="3" w:tplc="1E6CA07E" w:tentative="1">
      <w:start w:val="1"/>
      <w:numFmt w:val="decimal"/>
      <w:lvlText w:val="%4."/>
      <w:lvlJc w:val="left"/>
      <w:pPr>
        <w:ind w:left="2804" w:hanging="360"/>
      </w:pPr>
    </w:lvl>
    <w:lvl w:ilvl="4" w:tplc="9F4CD490" w:tentative="1">
      <w:start w:val="1"/>
      <w:numFmt w:val="lowerLetter"/>
      <w:lvlText w:val="%5."/>
      <w:lvlJc w:val="left"/>
      <w:pPr>
        <w:ind w:left="3524" w:hanging="360"/>
      </w:pPr>
    </w:lvl>
    <w:lvl w:ilvl="5" w:tplc="1694A4A0" w:tentative="1">
      <w:start w:val="1"/>
      <w:numFmt w:val="lowerRoman"/>
      <w:lvlText w:val="%6."/>
      <w:lvlJc w:val="right"/>
      <w:pPr>
        <w:ind w:left="4244" w:hanging="180"/>
      </w:pPr>
    </w:lvl>
    <w:lvl w:ilvl="6" w:tplc="3E628750" w:tentative="1">
      <w:start w:val="1"/>
      <w:numFmt w:val="decimal"/>
      <w:lvlText w:val="%7."/>
      <w:lvlJc w:val="left"/>
      <w:pPr>
        <w:ind w:left="4964" w:hanging="360"/>
      </w:pPr>
    </w:lvl>
    <w:lvl w:ilvl="7" w:tplc="6A9424DE" w:tentative="1">
      <w:start w:val="1"/>
      <w:numFmt w:val="lowerLetter"/>
      <w:lvlText w:val="%8."/>
      <w:lvlJc w:val="left"/>
      <w:pPr>
        <w:ind w:left="5684" w:hanging="360"/>
      </w:pPr>
    </w:lvl>
    <w:lvl w:ilvl="8" w:tplc="D4BA789A" w:tentative="1">
      <w:start w:val="1"/>
      <w:numFmt w:val="lowerRoman"/>
      <w:lvlText w:val="%9."/>
      <w:lvlJc w:val="right"/>
      <w:pPr>
        <w:ind w:left="6404" w:hanging="180"/>
      </w:pPr>
    </w:lvl>
  </w:abstractNum>
  <w:abstractNum w:abstractNumId="3" w15:restartNumberingAfterBreak="0">
    <w:nsid w:val="679040C5"/>
    <w:multiLevelType w:val="hybridMultilevel"/>
    <w:tmpl w:val="FFE0016E"/>
    <w:lvl w:ilvl="0" w:tplc="95BA7BB2">
      <w:start w:val="1"/>
      <w:numFmt w:val="bullet"/>
      <w:lvlText w:val="•"/>
      <w:lvlJc w:val="left"/>
      <w:pPr>
        <w:ind w:left="773" w:hanging="360"/>
      </w:pPr>
      <w:rPr>
        <w:rFonts w:ascii="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25F27"/>
    <w:multiLevelType w:val="hybridMultilevel"/>
    <w:tmpl w:val="ED2AEFE2"/>
    <w:lvl w:ilvl="0" w:tplc="68ECAC24">
      <w:start w:val="1"/>
      <w:numFmt w:val="bullet"/>
      <w:lvlText w:val="-"/>
      <w:lvlJc w:val="left"/>
      <w:pPr>
        <w:ind w:left="720" w:hanging="360"/>
      </w:pPr>
      <w:rPr>
        <w:rFonts w:ascii="Calibri" w:eastAsiaTheme="minorEastAsia" w:hAnsi="Calibri" w:cs="Calibri" w:hint="default"/>
      </w:rPr>
    </w:lvl>
    <w:lvl w:ilvl="1" w:tplc="8E4C939E" w:tentative="1">
      <w:start w:val="1"/>
      <w:numFmt w:val="bullet"/>
      <w:lvlText w:val="o"/>
      <w:lvlJc w:val="left"/>
      <w:pPr>
        <w:ind w:left="1440" w:hanging="360"/>
      </w:pPr>
      <w:rPr>
        <w:rFonts w:ascii="Courier New" w:hAnsi="Courier New" w:cs="Courier New" w:hint="default"/>
      </w:rPr>
    </w:lvl>
    <w:lvl w:ilvl="2" w:tplc="A0045236" w:tentative="1">
      <w:start w:val="1"/>
      <w:numFmt w:val="bullet"/>
      <w:lvlText w:val=""/>
      <w:lvlJc w:val="left"/>
      <w:pPr>
        <w:ind w:left="2160" w:hanging="360"/>
      </w:pPr>
      <w:rPr>
        <w:rFonts w:ascii="Wingdings" w:hAnsi="Wingdings" w:hint="default"/>
      </w:rPr>
    </w:lvl>
    <w:lvl w:ilvl="3" w:tplc="3650F234" w:tentative="1">
      <w:start w:val="1"/>
      <w:numFmt w:val="bullet"/>
      <w:lvlText w:val=""/>
      <w:lvlJc w:val="left"/>
      <w:pPr>
        <w:ind w:left="2880" w:hanging="360"/>
      </w:pPr>
      <w:rPr>
        <w:rFonts w:ascii="Symbol" w:hAnsi="Symbol" w:hint="default"/>
      </w:rPr>
    </w:lvl>
    <w:lvl w:ilvl="4" w:tplc="543C0F0E" w:tentative="1">
      <w:start w:val="1"/>
      <w:numFmt w:val="bullet"/>
      <w:lvlText w:val="o"/>
      <w:lvlJc w:val="left"/>
      <w:pPr>
        <w:ind w:left="3600" w:hanging="360"/>
      </w:pPr>
      <w:rPr>
        <w:rFonts w:ascii="Courier New" w:hAnsi="Courier New" w:cs="Courier New" w:hint="default"/>
      </w:rPr>
    </w:lvl>
    <w:lvl w:ilvl="5" w:tplc="1068BA86" w:tentative="1">
      <w:start w:val="1"/>
      <w:numFmt w:val="bullet"/>
      <w:lvlText w:val=""/>
      <w:lvlJc w:val="left"/>
      <w:pPr>
        <w:ind w:left="4320" w:hanging="360"/>
      </w:pPr>
      <w:rPr>
        <w:rFonts w:ascii="Wingdings" w:hAnsi="Wingdings" w:hint="default"/>
      </w:rPr>
    </w:lvl>
    <w:lvl w:ilvl="6" w:tplc="5A167C3C" w:tentative="1">
      <w:start w:val="1"/>
      <w:numFmt w:val="bullet"/>
      <w:lvlText w:val=""/>
      <w:lvlJc w:val="left"/>
      <w:pPr>
        <w:ind w:left="5040" w:hanging="360"/>
      </w:pPr>
      <w:rPr>
        <w:rFonts w:ascii="Symbol" w:hAnsi="Symbol" w:hint="default"/>
      </w:rPr>
    </w:lvl>
    <w:lvl w:ilvl="7" w:tplc="831A2668" w:tentative="1">
      <w:start w:val="1"/>
      <w:numFmt w:val="bullet"/>
      <w:lvlText w:val="o"/>
      <w:lvlJc w:val="left"/>
      <w:pPr>
        <w:ind w:left="5760" w:hanging="360"/>
      </w:pPr>
      <w:rPr>
        <w:rFonts w:ascii="Courier New" w:hAnsi="Courier New" w:cs="Courier New" w:hint="default"/>
      </w:rPr>
    </w:lvl>
    <w:lvl w:ilvl="8" w:tplc="DC9AB0E4" w:tentative="1">
      <w:start w:val="1"/>
      <w:numFmt w:val="bullet"/>
      <w:lvlText w:val=""/>
      <w:lvlJc w:val="left"/>
      <w:pPr>
        <w:ind w:left="6480" w:hanging="360"/>
      </w:pPr>
      <w:rPr>
        <w:rFonts w:ascii="Wingdings" w:hAnsi="Wingdings" w:hint="default"/>
      </w:rPr>
    </w:lvl>
  </w:abstractNum>
  <w:abstractNum w:abstractNumId="6" w15:restartNumberingAfterBreak="0">
    <w:nsid w:val="7B9B3591"/>
    <w:multiLevelType w:val="hybridMultilevel"/>
    <w:tmpl w:val="6C0EF21E"/>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274533">
    <w:abstractNumId w:val="5"/>
  </w:num>
  <w:num w:numId="2" w16cid:durableId="1608543096">
    <w:abstractNumId w:val="1"/>
  </w:num>
  <w:num w:numId="3" w16cid:durableId="513768912">
    <w:abstractNumId w:val="2"/>
  </w:num>
  <w:num w:numId="4" w16cid:durableId="1935940082">
    <w:abstractNumId w:val="0"/>
  </w:num>
  <w:num w:numId="5" w16cid:durableId="404762000">
    <w:abstractNumId w:val="3"/>
  </w:num>
  <w:num w:numId="6" w16cid:durableId="1755280384">
    <w:abstractNumId w:val="6"/>
  </w:num>
  <w:num w:numId="7" w16cid:durableId="1237939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363"/>
    <w:rsid w:val="00001D77"/>
    <w:rsid w:val="000259DF"/>
    <w:rsid w:val="0002626F"/>
    <w:rsid w:val="0002787E"/>
    <w:rsid w:val="000408A4"/>
    <w:rsid w:val="00042229"/>
    <w:rsid w:val="00053F51"/>
    <w:rsid w:val="00055386"/>
    <w:rsid w:val="0007427E"/>
    <w:rsid w:val="0008288D"/>
    <w:rsid w:val="00091CE4"/>
    <w:rsid w:val="000A44C2"/>
    <w:rsid w:val="000C6F5B"/>
    <w:rsid w:val="000D316B"/>
    <w:rsid w:val="00126A28"/>
    <w:rsid w:val="001475F3"/>
    <w:rsid w:val="00196832"/>
    <w:rsid w:val="001B6F27"/>
    <w:rsid w:val="001C2094"/>
    <w:rsid w:val="001D6500"/>
    <w:rsid w:val="001E3C50"/>
    <w:rsid w:val="001E683C"/>
    <w:rsid w:val="001F2B49"/>
    <w:rsid w:val="00214492"/>
    <w:rsid w:val="00224363"/>
    <w:rsid w:val="00233FE0"/>
    <w:rsid w:val="00246879"/>
    <w:rsid w:val="00252101"/>
    <w:rsid w:val="002800D8"/>
    <w:rsid w:val="00285019"/>
    <w:rsid w:val="00291ED2"/>
    <w:rsid w:val="0029205B"/>
    <w:rsid w:val="002B139F"/>
    <w:rsid w:val="002D57D8"/>
    <w:rsid w:val="002E1285"/>
    <w:rsid w:val="0037293C"/>
    <w:rsid w:val="00380AF9"/>
    <w:rsid w:val="003B28E6"/>
    <w:rsid w:val="003B4433"/>
    <w:rsid w:val="003B5A9E"/>
    <w:rsid w:val="003B614B"/>
    <w:rsid w:val="003B77F5"/>
    <w:rsid w:val="003C5307"/>
    <w:rsid w:val="003D7CC8"/>
    <w:rsid w:val="003F2BC7"/>
    <w:rsid w:val="003F3F27"/>
    <w:rsid w:val="003F5FB6"/>
    <w:rsid w:val="004170ED"/>
    <w:rsid w:val="00451199"/>
    <w:rsid w:val="00454BCF"/>
    <w:rsid w:val="00457218"/>
    <w:rsid w:val="00457FFE"/>
    <w:rsid w:val="004D31E4"/>
    <w:rsid w:val="004E4308"/>
    <w:rsid w:val="00530D0D"/>
    <w:rsid w:val="00547C48"/>
    <w:rsid w:val="0056523B"/>
    <w:rsid w:val="0057783C"/>
    <w:rsid w:val="005A50D2"/>
    <w:rsid w:val="005B5947"/>
    <w:rsid w:val="005B6604"/>
    <w:rsid w:val="005C7B98"/>
    <w:rsid w:val="005D1687"/>
    <w:rsid w:val="005E3012"/>
    <w:rsid w:val="005F408C"/>
    <w:rsid w:val="0061326F"/>
    <w:rsid w:val="00624C44"/>
    <w:rsid w:val="00650A76"/>
    <w:rsid w:val="0065110B"/>
    <w:rsid w:val="00654A55"/>
    <w:rsid w:val="00674531"/>
    <w:rsid w:val="00681C94"/>
    <w:rsid w:val="006D25B2"/>
    <w:rsid w:val="006E2BF9"/>
    <w:rsid w:val="00701817"/>
    <w:rsid w:val="007067E7"/>
    <w:rsid w:val="00710E22"/>
    <w:rsid w:val="007154E3"/>
    <w:rsid w:val="0072022A"/>
    <w:rsid w:val="007619AD"/>
    <w:rsid w:val="00780FC3"/>
    <w:rsid w:val="00794476"/>
    <w:rsid w:val="007C0ECC"/>
    <w:rsid w:val="007E4DC9"/>
    <w:rsid w:val="007F1A7D"/>
    <w:rsid w:val="007F1B23"/>
    <w:rsid w:val="007F3018"/>
    <w:rsid w:val="00832674"/>
    <w:rsid w:val="00882681"/>
    <w:rsid w:val="008A2217"/>
    <w:rsid w:val="008A6551"/>
    <w:rsid w:val="008B72CB"/>
    <w:rsid w:val="008E11FD"/>
    <w:rsid w:val="008E3C4C"/>
    <w:rsid w:val="00901C30"/>
    <w:rsid w:val="00914616"/>
    <w:rsid w:val="009201EC"/>
    <w:rsid w:val="00923B08"/>
    <w:rsid w:val="00954A5A"/>
    <w:rsid w:val="0097462C"/>
    <w:rsid w:val="00974CC2"/>
    <w:rsid w:val="00987FC1"/>
    <w:rsid w:val="0099567E"/>
    <w:rsid w:val="009A1436"/>
    <w:rsid w:val="009A6301"/>
    <w:rsid w:val="009B10D1"/>
    <w:rsid w:val="009D269A"/>
    <w:rsid w:val="009D4FFE"/>
    <w:rsid w:val="009D7D27"/>
    <w:rsid w:val="009F195B"/>
    <w:rsid w:val="00A237E4"/>
    <w:rsid w:val="00A36C3D"/>
    <w:rsid w:val="00A40848"/>
    <w:rsid w:val="00A95A87"/>
    <w:rsid w:val="00AC7508"/>
    <w:rsid w:val="00AF62CB"/>
    <w:rsid w:val="00B05760"/>
    <w:rsid w:val="00B23853"/>
    <w:rsid w:val="00B44955"/>
    <w:rsid w:val="00B67FBD"/>
    <w:rsid w:val="00B9033B"/>
    <w:rsid w:val="00BA3B31"/>
    <w:rsid w:val="00BA5017"/>
    <w:rsid w:val="00BC4E7B"/>
    <w:rsid w:val="00BC68C9"/>
    <w:rsid w:val="00BF7344"/>
    <w:rsid w:val="00C026FB"/>
    <w:rsid w:val="00C303BA"/>
    <w:rsid w:val="00C47C6E"/>
    <w:rsid w:val="00C61298"/>
    <w:rsid w:val="00C6451E"/>
    <w:rsid w:val="00C67F1F"/>
    <w:rsid w:val="00C9134C"/>
    <w:rsid w:val="00CA07EB"/>
    <w:rsid w:val="00CB30E1"/>
    <w:rsid w:val="00CC2878"/>
    <w:rsid w:val="00CD6166"/>
    <w:rsid w:val="00CF6037"/>
    <w:rsid w:val="00D0434F"/>
    <w:rsid w:val="00D24DEF"/>
    <w:rsid w:val="00D31D8C"/>
    <w:rsid w:val="00D33DB2"/>
    <w:rsid w:val="00D8172E"/>
    <w:rsid w:val="00D86F68"/>
    <w:rsid w:val="00DD25F7"/>
    <w:rsid w:val="00DF6557"/>
    <w:rsid w:val="00E02CEC"/>
    <w:rsid w:val="00E15725"/>
    <w:rsid w:val="00E303EE"/>
    <w:rsid w:val="00E52AD3"/>
    <w:rsid w:val="00E568AF"/>
    <w:rsid w:val="00E631CB"/>
    <w:rsid w:val="00E64BF4"/>
    <w:rsid w:val="00E71934"/>
    <w:rsid w:val="00E7229F"/>
    <w:rsid w:val="00E90110"/>
    <w:rsid w:val="00F05FCC"/>
    <w:rsid w:val="00F066D2"/>
    <w:rsid w:val="00F06C80"/>
    <w:rsid w:val="00F24B01"/>
    <w:rsid w:val="00F52239"/>
    <w:rsid w:val="00F55F05"/>
    <w:rsid w:val="00FC143A"/>
    <w:rsid w:val="00FD0C99"/>
    <w:rsid w:val="00FE3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233C"/>
  <w15:chartTrackingRefBased/>
  <w15:docId w15:val="{EF9FC47E-0C66-4795-B958-A14131BC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ackStrips">
    <w:name w:val="Black Strips"/>
    <w:basedOn w:val="a"/>
    <w:qFormat/>
    <w:rsid w:val="00224363"/>
    <w:pPr>
      <w:shd w:val="clear" w:color="auto" w:fill="000000"/>
      <w:spacing w:after="200" w:line="240" w:lineRule="auto"/>
      <w:jc w:val="center"/>
    </w:pPr>
    <w:rPr>
      <w:rFonts w:eastAsiaTheme="minorHAnsi"/>
      <w:color w:val="FFFFFF"/>
      <w:sz w:val="24"/>
      <w:szCs w:val="24"/>
      <w:lang w:eastAsia="en-US"/>
    </w:rPr>
  </w:style>
  <w:style w:type="character" w:styleId="a3">
    <w:name w:val="Hyperlink"/>
    <w:basedOn w:val="a0"/>
    <w:uiPriority w:val="99"/>
    <w:unhideWhenUsed/>
    <w:rsid w:val="00224363"/>
    <w:rPr>
      <w:color w:val="0563C1" w:themeColor="hyperlink"/>
      <w:u w:val="single"/>
    </w:rPr>
  </w:style>
  <w:style w:type="paragraph" w:customStyle="1" w:styleId="ReadOnline">
    <w:name w:val="Read Online"/>
    <w:basedOn w:val="a"/>
    <w:qFormat/>
    <w:rsid w:val="00224363"/>
    <w:pPr>
      <w:spacing w:after="200" w:line="240" w:lineRule="auto"/>
      <w:jc w:val="center"/>
    </w:pPr>
    <w:rPr>
      <w:rFonts w:eastAsiaTheme="minorHAnsi"/>
      <w:color w:val="00000A"/>
      <w:sz w:val="28"/>
      <w:szCs w:val="24"/>
      <w:u w:val="single"/>
      <w:lang w:eastAsia="en-US"/>
    </w:rPr>
  </w:style>
  <w:style w:type="paragraph" w:styleId="a4">
    <w:name w:val="Title"/>
    <w:basedOn w:val="a"/>
    <w:link w:val="a5"/>
    <w:qFormat/>
    <w:rsid w:val="00224363"/>
    <w:pPr>
      <w:keepNext/>
      <w:keepLines/>
      <w:spacing w:before="480" w:after="240" w:line="240" w:lineRule="auto"/>
    </w:pPr>
    <w:rPr>
      <w:rFonts w:asciiTheme="majorHAnsi" w:eastAsiaTheme="majorEastAsia" w:hAnsiTheme="majorHAnsi" w:cstheme="majorBidi"/>
      <w:b/>
      <w:bCs/>
      <w:color w:val="C0143C"/>
      <w:sz w:val="36"/>
      <w:szCs w:val="36"/>
      <w:lang w:eastAsia="en-US"/>
    </w:rPr>
  </w:style>
  <w:style w:type="character" w:customStyle="1" w:styleId="a5">
    <w:name w:val="Заголовок Знак"/>
    <w:basedOn w:val="a0"/>
    <w:link w:val="a4"/>
    <w:rsid w:val="00224363"/>
    <w:rPr>
      <w:rFonts w:asciiTheme="majorHAnsi" w:eastAsiaTheme="majorEastAsia" w:hAnsiTheme="majorHAnsi" w:cstheme="majorBidi"/>
      <w:b/>
      <w:bCs/>
      <w:color w:val="C0143C"/>
      <w:sz w:val="36"/>
      <w:szCs w:val="36"/>
      <w:lang w:eastAsia="en-US"/>
    </w:rPr>
  </w:style>
  <w:style w:type="paragraph" w:styleId="a6">
    <w:name w:val="List Paragraph"/>
    <w:basedOn w:val="a"/>
    <w:uiPriority w:val="34"/>
    <w:qFormat/>
    <w:rsid w:val="00B23853"/>
    <w:pPr>
      <w:ind w:left="720"/>
      <w:contextualSpacing/>
    </w:pPr>
  </w:style>
  <w:style w:type="paragraph" w:styleId="a7">
    <w:name w:val="footnote text"/>
    <w:basedOn w:val="a"/>
    <w:link w:val="a8"/>
    <w:uiPriority w:val="99"/>
    <w:semiHidden/>
    <w:unhideWhenUsed/>
    <w:rsid w:val="00E71934"/>
    <w:pPr>
      <w:spacing w:after="0" w:line="240" w:lineRule="auto"/>
    </w:pPr>
    <w:rPr>
      <w:sz w:val="20"/>
      <w:szCs w:val="20"/>
    </w:rPr>
  </w:style>
  <w:style w:type="character" w:customStyle="1" w:styleId="a8">
    <w:name w:val="Текст сноски Знак"/>
    <w:basedOn w:val="a0"/>
    <w:link w:val="a7"/>
    <w:uiPriority w:val="99"/>
    <w:semiHidden/>
    <w:rsid w:val="00E71934"/>
    <w:rPr>
      <w:sz w:val="20"/>
      <w:szCs w:val="20"/>
    </w:rPr>
  </w:style>
  <w:style w:type="character" w:styleId="a9">
    <w:name w:val="footnote reference"/>
    <w:basedOn w:val="a0"/>
    <w:uiPriority w:val="99"/>
    <w:semiHidden/>
    <w:unhideWhenUsed/>
    <w:rsid w:val="00E71934"/>
    <w:rPr>
      <w:vertAlign w:val="superscript"/>
    </w:rPr>
  </w:style>
  <w:style w:type="table" w:styleId="aa">
    <w:name w:val="Table Grid"/>
    <w:basedOn w:val="a1"/>
    <w:uiPriority w:val="39"/>
    <w:rsid w:val="00CF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A40848"/>
    <w:rPr>
      <w:color w:val="954F72" w:themeColor="followedHyperlink"/>
      <w:u w:val="single"/>
    </w:rPr>
  </w:style>
  <w:style w:type="paragraph" w:styleId="ac">
    <w:name w:val="Revision"/>
    <w:hidden/>
    <w:uiPriority w:val="99"/>
    <w:semiHidden/>
    <w:rsid w:val="00214492"/>
    <w:pPr>
      <w:spacing w:after="0" w:line="240" w:lineRule="auto"/>
    </w:pPr>
  </w:style>
  <w:style w:type="paragraph" w:customStyle="1" w:styleId="Disclaimer">
    <w:name w:val="Disclaimer"/>
    <w:basedOn w:val="a"/>
    <w:qFormat/>
    <w:rsid w:val="005B594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DisclaimerBold">
    <w:name w:val="Disclaimer Bold"/>
    <w:basedOn w:val="Disclaimer"/>
    <w:qFormat/>
    <w:rsid w:val="005B5947"/>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publishes-analysis-of-corporate-governance-practice-disclosure-of-listed-compan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hkex-corporate-governance-code-and-listing-rule-changes-effective-1-jan-2022/" TargetMode="External"/><Relationship Id="rId5" Type="http://schemas.openxmlformats.org/officeDocument/2006/relationships/webSettings" Target="webSettings.xml"/><Relationship Id="rId10" Type="http://schemas.openxmlformats.org/officeDocument/2006/relationships/hyperlink" Target="https://en-rules.hkex.com.hk/sites/default/files/net_file_store/HKEX4476_3828_VER23680.pdf" TargetMode="External"/><Relationship Id="rId4" Type="http://schemas.openxmlformats.org/officeDocument/2006/relationships/settings" Target="settings.xml"/><Relationship Id="rId9" Type="http://schemas.openxmlformats.org/officeDocument/2006/relationships/hyperlink" Target="https://www.hkex.com.hk/-/media/HKEX-Market/Listing/Rules-and-Guidance/Other-Resources/Exchanges-Review-of-Issuers-Annual-Disclosure/Review-of-Implementation-of-Code-on-Corporate-Governance-Practices/CG_Practices_2022_e.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media/HKEX-Market/Listing/Rules-and-Guidance/Environmental-Social-and-Governance/Reports-on-ESGPD/esgreport_2020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BC38BD-DE8D-42D2-AFD0-88B81AD9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6</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Charltons</dc:creator>
  <cp:lastModifiedBy>Александр Пирогов</cp:lastModifiedBy>
  <cp:revision>17</cp:revision>
  <dcterms:created xsi:type="dcterms:W3CDTF">2023-11-27T02:20:00Z</dcterms:created>
  <dcterms:modified xsi:type="dcterms:W3CDTF">2023-12-01T07:41:00Z</dcterms:modified>
</cp:coreProperties>
</file>