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C58" w:rsidRPr="004B18B2" w:rsidRDefault="00B17C58" w:rsidP="00B17C58">
      <w:pPr>
        <w:shd w:val="clear" w:color="auto" w:fill="000000"/>
        <w:spacing w:after="200"/>
        <w:jc w:val="center"/>
        <w:rPr>
          <w:rFonts w:ascii="Arial" w:eastAsia="Cambria" w:hAnsi="Arial" w:cs="Arial"/>
          <w:color w:val="FFFFFF"/>
        </w:rPr>
      </w:pPr>
      <w:proofErr w:type="spellStart"/>
      <w:r w:rsidRPr="004B18B2">
        <w:rPr>
          <w:rFonts w:ascii="Arial" w:eastAsia="Cambria" w:hAnsi="Arial" w:cs="Arial"/>
          <w:color w:val="FFFFFF"/>
        </w:rPr>
        <w:t>Charltons</w:t>
      </w:r>
      <w:proofErr w:type="spellEnd"/>
      <w:r w:rsidRPr="004B18B2">
        <w:rPr>
          <w:rFonts w:ascii="Arial" w:eastAsia="Cambria" w:hAnsi="Arial" w:cs="Arial"/>
          <w:color w:val="FFFFFF"/>
        </w:rPr>
        <w:t xml:space="preserve"> - Hong Kong Law - </w:t>
      </w:r>
      <w:r>
        <w:rPr>
          <w:rFonts w:ascii="Arial" w:eastAsia="Cambria" w:hAnsi="Arial" w:cs="Arial"/>
          <w:color w:val="FFFFFF"/>
        </w:rPr>
        <w:t>22</w:t>
      </w:r>
      <w:r w:rsidRPr="004B18B2">
        <w:rPr>
          <w:rFonts w:ascii="Arial" w:eastAsia="Cambria" w:hAnsi="Arial" w:cs="Arial"/>
          <w:color w:val="FFFFFF"/>
        </w:rPr>
        <w:t xml:space="preserve"> </w:t>
      </w:r>
      <w:r>
        <w:rPr>
          <w:rFonts w:ascii="Arial" w:eastAsia="Cambria" w:hAnsi="Arial" w:cs="Arial"/>
          <w:color w:val="FFFFFF"/>
        </w:rPr>
        <w:t>November</w:t>
      </w:r>
      <w:r w:rsidRPr="004B18B2">
        <w:rPr>
          <w:rFonts w:ascii="Arial" w:eastAsia="Cambria" w:hAnsi="Arial" w:cs="Arial"/>
          <w:color w:val="FFFFFF"/>
        </w:rPr>
        <w:t xml:space="preserve"> 2023</w:t>
      </w:r>
    </w:p>
    <w:p w:rsidR="00B17C58" w:rsidRPr="00B17C58" w:rsidRDefault="00000000" w:rsidP="00B17C58">
      <w:pPr>
        <w:spacing w:after="200"/>
        <w:jc w:val="center"/>
        <w:rPr>
          <w:rFonts w:ascii="Arial" w:hAnsi="Arial" w:cs="Arial"/>
          <w:b/>
          <w:color w:val="FF0000"/>
          <w:sz w:val="20"/>
          <w:szCs w:val="20"/>
        </w:rPr>
      </w:pPr>
      <w:hyperlink r:id="rId8" w:history="1">
        <w:r w:rsidR="00B17C58" w:rsidRPr="004B18B2">
          <w:rPr>
            <w:rStyle w:val="a3"/>
            <w:rFonts w:ascii="Arial" w:eastAsia="Cambria" w:hAnsi="Arial" w:cs="Arial"/>
            <w:sz w:val="28"/>
          </w:rPr>
          <w:t>online version</w:t>
        </w:r>
      </w:hyperlink>
    </w:p>
    <w:p w:rsidR="00FE3BCB" w:rsidRPr="00FE3BCB" w:rsidRDefault="00144FA0" w:rsidP="00FE3BCB">
      <w:pPr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pacing w:val="8"/>
          <w:shd w:val="clear" w:color="auto" w:fill="FFFFFF"/>
        </w:rPr>
        <w:t>HKEX Postpones Proposed Implementation Date for Climate Change</w:t>
      </w:r>
      <w:r w:rsidR="000649D1">
        <w:rPr>
          <w:rFonts w:ascii="Arial" w:hAnsi="Arial" w:cs="Arial"/>
          <w:b/>
          <w:bCs/>
          <w:color w:val="FF0000"/>
          <w:spacing w:val="8"/>
          <w:shd w:val="clear" w:color="auto" w:fill="FFFFFF"/>
        </w:rPr>
        <w:t xml:space="preserve"> Disclosures</w:t>
      </w:r>
      <w:r>
        <w:rPr>
          <w:rFonts w:ascii="Arial" w:hAnsi="Arial" w:cs="Arial"/>
          <w:b/>
          <w:bCs/>
          <w:color w:val="FF0000"/>
          <w:spacing w:val="8"/>
          <w:shd w:val="clear" w:color="auto" w:fill="FFFFFF"/>
        </w:rPr>
        <w:t xml:space="preserve"> </w:t>
      </w:r>
    </w:p>
    <w:p w:rsidR="006A6BC4" w:rsidRDefault="005A63C0" w:rsidP="000649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05678" w:rsidRPr="00FE3BCB">
        <w:rPr>
          <w:rFonts w:ascii="Arial" w:hAnsi="Arial" w:cs="Arial"/>
          <w:sz w:val="20"/>
          <w:szCs w:val="20"/>
        </w:rPr>
        <w:t>he Stock Exchange of Hong Kong Limited</w:t>
      </w:r>
      <w:r w:rsidR="00955C91" w:rsidRPr="00FE3BCB">
        <w:rPr>
          <w:rFonts w:ascii="Arial" w:hAnsi="Arial" w:cs="Arial"/>
          <w:sz w:val="20"/>
          <w:szCs w:val="20"/>
        </w:rPr>
        <w:t xml:space="preserve"> (</w:t>
      </w:r>
      <w:r w:rsidR="00955C91" w:rsidRPr="000649D1">
        <w:rPr>
          <w:rFonts w:ascii="Arial" w:hAnsi="Arial" w:cs="Arial"/>
          <w:b/>
          <w:sz w:val="20"/>
          <w:szCs w:val="20"/>
        </w:rPr>
        <w:t>HKEX</w:t>
      </w:r>
      <w:r w:rsidR="00955C91" w:rsidRPr="00FE3BCB">
        <w:rPr>
          <w:rFonts w:ascii="Arial" w:hAnsi="Arial" w:cs="Arial"/>
          <w:sz w:val="20"/>
          <w:szCs w:val="20"/>
        </w:rPr>
        <w:t>)</w:t>
      </w:r>
      <w:r w:rsidR="00B05678" w:rsidRPr="00FE3BC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6A6BC4" w:rsidRPr="007A7CEB">
          <w:rPr>
            <w:rStyle w:val="a3"/>
            <w:rFonts w:ascii="Arial" w:hAnsi="Arial" w:cs="Arial"/>
            <w:sz w:val="20"/>
            <w:szCs w:val="20"/>
          </w:rPr>
          <w:t>anno</w:t>
        </w:r>
        <w:r w:rsidR="006A6BC4" w:rsidRPr="007A7CEB">
          <w:rPr>
            <w:rStyle w:val="a3"/>
            <w:rFonts w:ascii="Arial" w:hAnsi="Arial" w:cs="Arial"/>
            <w:sz w:val="20"/>
            <w:szCs w:val="20"/>
          </w:rPr>
          <w:t>u</w:t>
        </w:r>
        <w:r w:rsidR="006A6BC4" w:rsidRPr="007A7CEB">
          <w:rPr>
            <w:rStyle w:val="a3"/>
            <w:rFonts w:ascii="Arial" w:hAnsi="Arial" w:cs="Arial"/>
            <w:sz w:val="20"/>
            <w:szCs w:val="20"/>
          </w:rPr>
          <w:t>nced</w:t>
        </w:r>
      </w:hyperlink>
      <w:r w:rsidR="008263DE">
        <w:rPr>
          <w:rStyle w:val="a7"/>
          <w:rFonts w:ascii="Arial" w:hAnsi="Arial" w:cs="Arial"/>
          <w:color w:val="0563C1" w:themeColor="hyperlink"/>
          <w:sz w:val="20"/>
          <w:szCs w:val="20"/>
          <w:u w:val="single"/>
        </w:rPr>
        <w:footnoteReference w:id="1"/>
      </w:r>
      <w:r w:rsidR="006A6BC4">
        <w:rPr>
          <w:rFonts w:ascii="Arial" w:hAnsi="Arial" w:cs="Arial"/>
          <w:sz w:val="20"/>
          <w:szCs w:val="20"/>
        </w:rPr>
        <w:t xml:space="preserve"> on 3 November 2023 that the proposed implementation date for the climate-related disclos</w:t>
      </w:r>
      <w:r w:rsidR="007A7CEB">
        <w:rPr>
          <w:rFonts w:ascii="Arial" w:hAnsi="Arial" w:cs="Arial"/>
          <w:sz w:val="20"/>
          <w:szCs w:val="20"/>
        </w:rPr>
        <w:t>ur</w:t>
      </w:r>
      <w:r w:rsidR="006A6BC4">
        <w:rPr>
          <w:rFonts w:ascii="Arial" w:hAnsi="Arial" w:cs="Arial"/>
          <w:sz w:val="20"/>
          <w:szCs w:val="20"/>
        </w:rPr>
        <w:t xml:space="preserve">es proposed in its April 2023 </w:t>
      </w:r>
      <w:hyperlink r:id="rId10" w:history="1">
        <w:r w:rsidR="006A6BC4" w:rsidRPr="007A7CEB">
          <w:rPr>
            <w:rStyle w:val="a3"/>
            <w:rFonts w:ascii="Arial" w:hAnsi="Arial" w:cs="Arial"/>
            <w:sz w:val="20"/>
            <w:szCs w:val="20"/>
          </w:rPr>
          <w:t>Cons</w:t>
        </w:r>
        <w:r w:rsidR="006A6BC4" w:rsidRPr="007A7CEB">
          <w:rPr>
            <w:rStyle w:val="a3"/>
            <w:rFonts w:ascii="Arial" w:hAnsi="Arial" w:cs="Arial"/>
            <w:sz w:val="20"/>
            <w:szCs w:val="20"/>
          </w:rPr>
          <w:t>u</w:t>
        </w:r>
        <w:r w:rsidR="006A6BC4" w:rsidRPr="007A7CEB">
          <w:rPr>
            <w:rStyle w:val="a3"/>
            <w:rFonts w:ascii="Arial" w:hAnsi="Arial" w:cs="Arial"/>
            <w:sz w:val="20"/>
            <w:szCs w:val="20"/>
          </w:rPr>
          <w:t>ltation Paper</w:t>
        </w:r>
      </w:hyperlink>
      <w:r w:rsidR="007A7CEB">
        <w:rPr>
          <w:rStyle w:val="a7"/>
          <w:rFonts w:ascii="Arial" w:hAnsi="Arial" w:cs="Arial"/>
          <w:color w:val="0563C1" w:themeColor="hyperlink"/>
          <w:sz w:val="20"/>
          <w:szCs w:val="20"/>
          <w:u w:val="single"/>
        </w:rPr>
        <w:footnoteReference w:id="2"/>
      </w:r>
      <w:r w:rsidR="006A6BC4">
        <w:rPr>
          <w:rFonts w:ascii="Arial" w:hAnsi="Arial" w:cs="Arial"/>
          <w:sz w:val="20"/>
          <w:szCs w:val="20"/>
        </w:rPr>
        <w:t xml:space="preserve"> will be postponed from 1 January 2024 to 1 January 2025.</w:t>
      </w:r>
    </w:p>
    <w:p w:rsidR="00B05678" w:rsidRPr="00FE3BCB" w:rsidRDefault="007A7CEB" w:rsidP="000649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hyperlink r:id="rId11" w:history="1">
        <w:r w:rsidRPr="00FE3BCB">
          <w:rPr>
            <w:rStyle w:val="a3"/>
            <w:rFonts w:ascii="Arial" w:hAnsi="Arial" w:cs="Arial"/>
            <w:sz w:val="20"/>
            <w:szCs w:val="20"/>
          </w:rPr>
          <w:t>Consultation Pa</w:t>
        </w:r>
        <w:r w:rsidRPr="00FE3BCB">
          <w:rPr>
            <w:rStyle w:val="a3"/>
            <w:rFonts w:ascii="Arial" w:hAnsi="Arial" w:cs="Arial"/>
            <w:sz w:val="20"/>
            <w:szCs w:val="20"/>
          </w:rPr>
          <w:t>p</w:t>
        </w:r>
        <w:r w:rsidRPr="00FE3BCB">
          <w:rPr>
            <w:rStyle w:val="a3"/>
            <w:rFonts w:ascii="Arial" w:hAnsi="Arial" w:cs="Arial"/>
            <w:sz w:val="20"/>
            <w:szCs w:val="20"/>
          </w:rPr>
          <w:t>er</w:t>
        </w:r>
      </w:hyperlink>
      <w:r>
        <w:rPr>
          <w:rFonts w:ascii="Arial" w:hAnsi="Arial" w:cs="Arial"/>
          <w:sz w:val="20"/>
          <w:szCs w:val="20"/>
        </w:rPr>
        <w:t xml:space="preserve"> proposed</w:t>
      </w:r>
      <w:r w:rsidR="005A63C0" w:rsidRPr="005A63C0">
        <w:rPr>
          <w:rFonts w:ascii="Arial" w:hAnsi="Arial" w:cs="Arial"/>
          <w:sz w:val="20"/>
          <w:szCs w:val="20"/>
        </w:rPr>
        <w:t xml:space="preserve"> the mandatory inclusion of climate-related disclosures in t</w:t>
      </w:r>
      <w:r w:rsidR="00B67930">
        <w:rPr>
          <w:rFonts w:ascii="Arial" w:hAnsi="Arial" w:cs="Arial"/>
          <w:sz w:val="20"/>
          <w:szCs w:val="20"/>
        </w:rPr>
        <w:t>he annual Environmental, Social</w:t>
      </w:r>
      <w:r w:rsidR="005A63C0" w:rsidRPr="005A63C0">
        <w:rPr>
          <w:rFonts w:ascii="Arial" w:hAnsi="Arial" w:cs="Arial"/>
          <w:sz w:val="20"/>
          <w:szCs w:val="20"/>
        </w:rPr>
        <w:t xml:space="preserve"> and Governance (</w:t>
      </w:r>
      <w:r w:rsidR="005A63C0" w:rsidRPr="00B67930">
        <w:rPr>
          <w:rFonts w:ascii="Arial" w:hAnsi="Arial" w:cs="Arial"/>
          <w:b/>
          <w:sz w:val="20"/>
          <w:szCs w:val="20"/>
        </w:rPr>
        <w:t>ESG)</w:t>
      </w:r>
      <w:r w:rsidR="005A63C0" w:rsidRPr="005A63C0">
        <w:rPr>
          <w:rFonts w:ascii="Arial" w:hAnsi="Arial" w:cs="Arial"/>
          <w:sz w:val="20"/>
          <w:szCs w:val="20"/>
        </w:rPr>
        <w:t xml:space="preserve"> reports of all listed issuers</w:t>
      </w:r>
      <w:r w:rsidR="00B67930">
        <w:rPr>
          <w:rFonts w:ascii="Arial" w:hAnsi="Arial" w:cs="Arial"/>
          <w:sz w:val="20"/>
          <w:szCs w:val="20"/>
        </w:rPr>
        <w:t xml:space="preserve"> and the introduc</w:t>
      </w:r>
      <w:r w:rsidR="005A63C0" w:rsidRPr="005A63C0">
        <w:rPr>
          <w:rFonts w:ascii="Arial" w:hAnsi="Arial" w:cs="Arial"/>
          <w:sz w:val="20"/>
          <w:szCs w:val="20"/>
        </w:rPr>
        <w:t>tion of additional climate-related disclosures.</w:t>
      </w:r>
      <w:r w:rsidR="00B67930">
        <w:rPr>
          <w:rFonts w:ascii="Arial" w:hAnsi="Arial" w:cs="Arial"/>
          <w:sz w:val="20"/>
          <w:szCs w:val="20"/>
        </w:rPr>
        <w:t xml:space="preserve"> </w:t>
      </w:r>
      <w:r w:rsidR="00B05678" w:rsidRPr="00FE3BCB">
        <w:rPr>
          <w:rFonts w:ascii="Arial" w:hAnsi="Arial" w:cs="Arial"/>
          <w:sz w:val="20"/>
          <w:szCs w:val="20"/>
        </w:rPr>
        <w:t>The proposed date for imp</w:t>
      </w:r>
      <w:r w:rsidR="00955C91" w:rsidRPr="00FE3BCB">
        <w:rPr>
          <w:rFonts w:ascii="Arial" w:hAnsi="Arial" w:cs="Arial"/>
          <w:sz w:val="20"/>
          <w:szCs w:val="20"/>
        </w:rPr>
        <w:t xml:space="preserve">lementing </w:t>
      </w:r>
      <w:r w:rsidR="006D7D4C">
        <w:rPr>
          <w:rFonts w:ascii="Arial" w:hAnsi="Arial" w:cs="Arial"/>
          <w:sz w:val="20"/>
          <w:szCs w:val="20"/>
        </w:rPr>
        <w:t>the</w:t>
      </w:r>
      <w:r w:rsidR="00B67930">
        <w:rPr>
          <w:rFonts w:ascii="Arial" w:hAnsi="Arial" w:cs="Arial"/>
          <w:sz w:val="20"/>
          <w:szCs w:val="20"/>
        </w:rPr>
        <w:t xml:space="preserve"> necessary amendments to the HKEX Listing Rules was </w:t>
      </w:r>
      <w:r w:rsidR="001C7964" w:rsidRPr="00FE3BCB">
        <w:rPr>
          <w:rFonts w:ascii="Arial" w:hAnsi="Arial" w:cs="Arial"/>
          <w:sz w:val="20"/>
          <w:szCs w:val="20"/>
        </w:rPr>
        <w:t>1 January</w:t>
      </w:r>
      <w:r w:rsidR="00B05678" w:rsidRPr="00FE3BCB">
        <w:rPr>
          <w:rFonts w:ascii="Arial" w:hAnsi="Arial" w:cs="Arial"/>
          <w:sz w:val="20"/>
          <w:szCs w:val="20"/>
        </w:rPr>
        <w:t xml:space="preserve"> 2024.</w:t>
      </w:r>
      <w:r w:rsidR="00955C91" w:rsidRPr="00FE3BCB">
        <w:rPr>
          <w:rFonts w:ascii="Arial" w:hAnsi="Arial" w:cs="Arial"/>
          <w:sz w:val="20"/>
          <w:szCs w:val="20"/>
        </w:rPr>
        <w:t xml:space="preserve"> For a </w:t>
      </w:r>
      <w:r w:rsidR="00FE3BCB" w:rsidRPr="00FE3BCB">
        <w:rPr>
          <w:rFonts w:ascii="Arial" w:hAnsi="Arial" w:cs="Arial"/>
          <w:sz w:val="20"/>
          <w:szCs w:val="20"/>
        </w:rPr>
        <w:t>summary of the HKEX’s April 2023</w:t>
      </w:r>
      <w:r w:rsidR="00955C91" w:rsidRPr="00FE3BCB">
        <w:rPr>
          <w:rFonts w:ascii="Arial" w:hAnsi="Arial" w:cs="Arial"/>
          <w:sz w:val="20"/>
          <w:szCs w:val="20"/>
        </w:rPr>
        <w:t xml:space="preserve"> Consultation Paper’s proposals, please see </w:t>
      </w:r>
      <w:hyperlink r:id="rId12" w:history="1">
        <w:r w:rsidR="00955C91" w:rsidRPr="00FE3BCB">
          <w:rPr>
            <w:rStyle w:val="a3"/>
            <w:rFonts w:ascii="Arial" w:hAnsi="Arial" w:cs="Arial"/>
            <w:sz w:val="20"/>
            <w:szCs w:val="20"/>
          </w:rPr>
          <w:t>Charltons’ April 2023 newslett</w:t>
        </w:r>
        <w:r w:rsidR="00955C91" w:rsidRPr="00FE3BCB">
          <w:rPr>
            <w:rStyle w:val="a3"/>
            <w:rFonts w:ascii="Arial" w:hAnsi="Arial" w:cs="Arial"/>
            <w:sz w:val="20"/>
            <w:szCs w:val="20"/>
          </w:rPr>
          <w:t>e</w:t>
        </w:r>
        <w:r w:rsidR="00955C91" w:rsidRPr="00FE3BCB">
          <w:rPr>
            <w:rStyle w:val="a3"/>
            <w:rFonts w:ascii="Arial" w:hAnsi="Arial" w:cs="Arial"/>
            <w:sz w:val="20"/>
            <w:szCs w:val="20"/>
          </w:rPr>
          <w:t>r</w:t>
        </w:r>
      </w:hyperlink>
      <w:r w:rsidR="00955C91" w:rsidRPr="00FE3BCB">
        <w:rPr>
          <w:rFonts w:ascii="Arial" w:hAnsi="Arial" w:cs="Arial"/>
          <w:sz w:val="20"/>
          <w:szCs w:val="20"/>
        </w:rPr>
        <w:t>.</w:t>
      </w:r>
    </w:p>
    <w:p w:rsidR="00B05678" w:rsidRPr="00FE3BCB" w:rsidRDefault="00B05678" w:rsidP="00B67930">
      <w:pPr>
        <w:jc w:val="both"/>
        <w:rPr>
          <w:rFonts w:ascii="Arial" w:hAnsi="Arial" w:cs="Arial"/>
          <w:sz w:val="20"/>
          <w:szCs w:val="20"/>
        </w:rPr>
      </w:pPr>
      <w:r w:rsidRPr="00FE3BCB">
        <w:rPr>
          <w:rFonts w:ascii="Arial" w:hAnsi="Arial" w:cs="Arial"/>
          <w:sz w:val="20"/>
          <w:szCs w:val="20"/>
        </w:rPr>
        <w:t xml:space="preserve">The </w:t>
      </w:r>
      <w:r w:rsidR="00A87A1B">
        <w:rPr>
          <w:rFonts w:ascii="Arial" w:hAnsi="Arial" w:cs="Arial"/>
          <w:sz w:val="20"/>
          <w:szCs w:val="20"/>
        </w:rPr>
        <w:t xml:space="preserve">Consultation Paper’s </w:t>
      </w:r>
      <w:r w:rsidRPr="00FE3BCB">
        <w:rPr>
          <w:rFonts w:ascii="Arial" w:hAnsi="Arial" w:cs="Arial"/>
          <w:sz w:val="20"/>
          <w:szCs w:val="20"/>
        </w:rPr>
        <w:t>proposals were i</w:t>
      </w:r>
      <w:r w:rsidR="001930F5" w:rsidRPr="00FE3BCB">
        <w:rPr>
          <w:rFonts w:ascii="Arial" w:hAnsi="Arial" w:cs="Arial"/>
          <w:sz w:val="20"/>
          <w:szCs w:val="20"/>
        </w:rPr>
        <w:t>nformed</w:t>
      </w:r>
      <w:r w:rsidR="00EF5920">
        <w:rPr>
          <w:rFonts w:ascii="Arial" w:hAnsi="Arial" w:cs="Arial"/>
          <w:sz w:val="20"/>
          <w:szCs w:val="20"/>
        </w:rPr>
        <w:t xml:space="preserve"> by the exposure draft </w:t>
      </w:r>
      <w:r w:rsidR="00B67930">
        <w:rPr>
          <w:rFonts w:ascii="Arial" w:hAnsi="Arial" w:cs="Arial"/>
          <w:sz w:val="20"/>
          <w:szCs w:val="20"/>
        </w:rPr>
        <w:t xml:space="preserve">of </w:t>
      </w:r>
      <w:r w:rsidRPr="00FE3BCB">
        <w:rPr>
          <w:rFonts w:ascii="Arial" w:hAnsi="Arial" w:cs="Arial"/>
          <w:sz w:val="20"/>
          <w:szCs w:val="20"/>
        </w:rPr>
        <w:t>IFRS S2 Climate-related Disclosures (</w:t>
      </w:r>
      <w:r w:rsidRPr="00A87A1B">
        <w:rPr>
          <w:rFonts w:ascii="Arial" w:hAnsi="Arial" w:cs="Arial"/>
          <w:b/>
          <w:sz w:val="20"/>
          <w:szCs w:val="20"/>
        </w:rPr>
        <w:t>ISSB Clim</w:t>
      </w:r>
      <w:r w:rsidR="001930F5" w:rsidRPr="00A87A1B">
        <w:rPr>
          <w:rFonts w:ascii="Arial" w:hAnsi="Arial" w:cs="Arial"/>
          <w:b/>
          <w:sz w:val="20"/>
          <w:szCs w:val="20"/>
        </w:rPr>
        <w:t>ate Standard</w:t>
      </w:r>
      <w:r w:rsidR="001930F5" w:rsidRPr="00FE3BCB">
        <w:rPr>
          <w:rFonts w:ascii="Arial" w:hAnsi="Arial" w:cs="Arial"/>
          <w:sz w:val="20"/>
          <w:szCs w:val="20"/>
        </w:rPr>
        <w:t xml:space="preserve">) </w:t>
      </w:r>
      <w:r w:rsidRPr="00FE3BCB">
        <w:rPr>
          <w:rFonts w:ascii="Arial" w:hAnsi="Arial" w:cs="Arial"/>
          <w:sz w:val="20"/>
          <w:szCs w:val="20"/>
        </w:rPr>
        <w:t>published by the International Sustainability Standards Board (</w:t>
      </w:r>
      <w:r w:rsidRPr="00A87A1B">
        <w:rPr>
          <w:rFonts w:ascii="Arial" w:hAnsi="Arial" w:cs="Arial"/>
          <w:b/>
          <w:sz w:val="20"/>
          <w:szCs w:val="20"/>
        </w:rPr>
        <w:t>ISSB</w:t>
      </w:r>
      <w:r w:rsidRPr="00FE3BCB">
        <w:rPr>
          <w:rFonts w:ascii="Arial" w:hAnsi="Arial" w:cs="Arial"/>
          <w:sz w:val="20"/>
          <w:szCs w:val="20"/>
        </w:rPr>
        <w:t>)</w:t>
      </w:r>
      <w:r w:rsidR="00104BC3" w:rsidRPr="00FE3BCB">
        <w:rPr>
          <w:rFonts w:ascii="Arial" w:hAnsi="Arial" w:cs="Arial"/>
          <w:sz w:val="20"/>
          <w:szCs w:val="20"/>
        </w:rPr>
        <w:t>, and the subsequent discussions that took place</w:t>
      </w:r>
      <w:r w:rsidRPr="00FE3BCB">
        <w:rPr>
          <w:rFonts w:ascii="Arial" w:hAnsi="Arial" w:cs="Arial"/>
          <w:sz w:val="20"/>
          <w:szCs w:val="20"/>
        </w:rPr>
        <w:t xml:space="preserve">. </w:t>
      </w:r>
      <w:r w:rsidR="001930F5" w:rsidRPr="00FE3BCB">
        <w:rPr>
          <w:rFonts w:ascii="Arial" w:hAnsi="Arial" w:cs="Arial"/>
          <w:sz w:val="20"/>
          <w:szCs w:val="20"/>
        </w:rPr>
        <w:t xml:space="preserve">The HKEX </w:t>
      </w:r>
      <w:r w:rsidR="0019044E" w:rsidRPr="00FE3BCB">
        <w:rPr>
          <w:rFonts w:ascii="Arial" w:hAnsi="Arial" w:cs="Arial"/>
          <w:sz w:val="20"/>
          <w:szCs w:val="20"/>
        </w:rPr>
        <w:t>s</w:t>
      </w:r>
      <w:r w:rsidR="00A87A1B">
        <w:rPr>
          <w:rFonts w:ascii="Arial" w:hAnsi="Arial" w:cs="Arial"/>
          <w:sz w:val="20"/>
          <w:szCs w:val="20"/>
        </w:rPr>
        <w:t>ai</w:t>
      </w:r>
      <w:r w:rsidR="0019044E" w:rsidRPr="00FE3BCB">
        <w:rPr>
          <w:rFonts w:ascii="Arial" w:hAnsi="Arial" w:cs="Arial"/>
          <w:sz w:val="20"/>
          <w:szCs w:val="20"/>
        </w:rPr>
        <w:t>d</w:t>
      </w:r>
      <w:r w:rsidRPr="00FE3BCB">
        <w:rPr>
          <w:rFonts w:ascii="Arial" w:hAnsi="Arial" w:cs="Arial"/>
          <w:sz w:val="20"/>
          <w:szCs w:val="20"/>
        </w:rPr>
        <w:t xml:space="preserve"> </w:t>
      </w:r>
      <w:r w:rsidR="00A87A1B">
        <w:rPr>
          <w:rFonts w:ascii="Arial" w:hAnsi="Arial" w:cs="Arial"/>
          <w:sz w:val="20"/>
          <w:szCs w:val="20"/>
        </w:rPr>
        <w:t xml:space="preserve">in the Consultation Paper </w:t>
      </w:r>
      <w:r w:rsidRPr="00FE3BCB">
        <w:rPr>
          <w:rFonts w:ascii="Arial" w:hAnsi="Arial" w:cs="Arial"/>
          <w:sz w:val="20"/>
          <w:szCs w:val="20"/>
        </w:rPr>
        <w:t>that it would consider the final IS</w:t>
      </w:r>
      <w:r w:rsidR="00F360E5" w:rsidRPr="00FE3BCB">
        <w:rPr>
          <w:rFonts w:ascii="Arial" w:hAnsi="Arial" w:cs="Arial"/>
          <w:sz w:val="20"/>
          <w:szCs w:val="20"/>
        </w:rPr>
        <w:t>SB Climate Standard when finalis</w:t>
      </w:r>
      <w:r w:rsidRPr="00FE3BCB">
        <w:rPr>
          <w:rFonts w:ascii="Arial" w:hAnsi="Arial" w:cs="Arial"/>
          <w:sz w:val="20"/>
          <w:szCs w:val="20"/>
        </w:rPr>
        <w:t>ing the a</w:t>
      </w:r>
      <w:r w:rsidR="00A40F00" w:rsidRPr="00FE3BCB">
        <w:rPr>
          <w:rFonts w:ascii="Arial" w:hAnsi="Arial" w:cs="Arial"/>
          <w:sz w:val="20"/>
          <w:szCs w:val="20"/>
        </w:rPr>
        <w:t xml:space="preserve">mendments to the </w:t>
      </w:r>
      <w:r w:rsidR="00A87A1B">
        <w:rPr>
          <w:rFonts w:ascii="Arial" w:hAnsi="Arial" w:cs="Arial"/>
          <w:sz w:val="20"/>
          <w:szCs w:val="20"/>
        </w:rPr>
        <w:t xml:space="preserve">HKEX </w:t>
      </w:r>
      <w:r w:rsidR="00A40F00" w:rsidRPr="00FE3BCB">
        <w:rPr>
          <w:rFonts w:ascii="Arial" w:hAnsi="Arial" w:cs="Arial"/>
          <w:sz w:val="20"/>
          <w:szCs w:val="20"/>
        </w:rPr>
        <w:t>Listing Rules.</w:t>
      </w:r>
    </w:p>
    <w:p w:rsidR="00B05678" w:rsidRPr="00FE3BCB" w:rsidRDefault="00B05678" w:rsidP="00463F99">
      <w:pPr>
        <w:jc w:val="both"/>
        <w:rPr>
          <w:rFonts w:ascii="Arial" w:hAnsi="Arial" w:cs="Arial"/>
          <w:sz w:val="20"/>
          <w:szCs w:val="20"/>
        </w:rPr>
      </w:pPr>
      <w:r w:rsidRPr="00FE3BCB">
        <w:rPr>
          <w:rFonts w:ascii="Arial" w:hAnsi="Arial" w:cs="Arial"/>
          <w:sz w:val="20"/>
          <w:szCs w:val="20"/>
        </w:rPr>
        <w:t xml:space="preserve">In June 2023, the ISSB </w:t>
      </w:r>
      <w:r w:rsidR="0019044E" w:rsidRPr="00FE3BCB">
        <w:rPr>
          <w:rFonts w:ascii="Arial" w:hAnsi="Arial" w:cs="Arial"/>
          <w:sz w:val="20"/>
          <w:szCs w:val="20"/>
        </w:rPr>
        <w:t>published</w:t>
      </w:r>
      <w:r w:rsidRPr="00FE3BCB">
        <w:rPr>
          <w:rFonts w:ascii="Arial" w:hAnsi="Arial" w:cs="Arial"/>
          <w:sz w:val="20"/>
          <w:szCs w:val="20"/>
        </w:rPr>
        <w:t xml:space="preserve"> the final IFRS Sustainability Disclosure Standards</w:t>
      </w:r>
      <w:r w:rsidR="00463F99">
        <w:rPr>
          <w:rFonts w:ascii="Arial" w:hAnsi="Arial" w:cs="Arial"/>
          <w:sz w:val="20"/>
          <w:szCs w:val="20"/>
        </w:rPr>
        <w:t xml:space="preserve"> </w:t>
      </w:r>
      <w:r w:rsidR="00463F99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="00463F99" w:rsidRPr="006D7D4C">
        <w:rPr>
          <w:rFonts w:ascii="Arial" w:eastAsia="Times New Roman" w:hAnsi="Arial" w:cs="Arial"/>
          <w:color w:val="000000" w:themeColor="text1"/>
          <w:sz w:val="20"/>
          <w:szCs w:val="20"/>
        </w:rPr>
        <w:t>omprising the </w:t>
      </w:r>
      <w:hyperlink r:id="rId13" w:tgtFrame="_blank" w:history="1">
        <w:r w:rsidR="00463F99" w:rsidRPr="009072F6">
          <w:rPr>
            <w:rStyle w:val="a3"/>
            <w:rFonts w:ascii="Arial" w:hAnsi="Arial" w:cs="Arial"/>
            <w:sz w:val="20"/>
            <w:szCs w:val="20"/>
          </w:rPr>
          <w:t>IF</w:t>
        </w:r>
        <w:r w:rsidR="00463F99" w:rsidRPr="009072F6">
          <w:rPr>
            <w:rStyle w:val="a3"/>
            <w:rFonts w:ascii="Arial" w:hAnsi="Arial" w:cs="Arial"/>
            <w:sz w:val="20"/>
            <w:szCs w:val="20"/>
          </w:rPr>
          <w:t>R</w:t>
        </w:r>
        <w:r w:rsidR="00463F99" w:rsidRPr="009072F6">
          <w:rPr>
            <w:rStyle w:val="a3"/>
            <w:rFonts w:ascii="Arial" w:hAnsi="Arial" w:cs="Arial"/>
            <w:sz w:val="20"/>
            <w:szCs w:val="20"/>
          </w:rPr>
          <w:t>S S1 General Requirements for Disclosure of Sustainability-related Financial Information</w:t>
        </w:r>
      </w:hyperlink>
      <w:r w:rsidR="00463F99" w:rsidRPr="006D7D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 and </w:t>
      </w:r>
      <w:r w:rsidR="00463F99" w:rsidRPr="009072F6">
        <w:rPr>
          <w:rStyle w:val="a3"/>
          <w:rFonts w:ascii="Arial" w:hAnsi="Arial" w:cs="Arial"/>
          <w:sz w:val="20"/>
          <w:szCs w:val="20"/>
        </w:rPr>
        <w:t>the </w:t>
      </w:r>
      <w:hyperlink r:id="rId14" w:tgtFrame="_blank" w:history="1">
        <w:r w:rsidR="00463F99" w:rsidRPr="009072F6">
          <w:rPr>
            <w:rStyle w:val="a3"/>
            <w:rFonts w:ascii="Arial" w:hAnsi="Arial" w:cs="Arial"/>
            <w:sz w:val="20"/>
            <w:szCs w:val="20"/>
          </w:rPr>
          <w:t>ISSB Climate Sta</w:t>
        </w:r>
        <w:r w:rsidR="00463F99" w:rsidRPr="009072F6">
          <w:rPr>
            <w:rStyle w:val="a3"/>
            <w:rFonts w:ascii="Arial" w:hAnsi="Arial" w:cs="Arial"/>
            <w:sz w:val="20"/>
            <w:szCs w:val="20"/>
          </w:rPr>
          <w:t>n</w:t>
        </w:r>
        <w:r w:rsidR="00463F99" w:rsidRPr="009072F6">
          <w:rPr>
            <w:rStyle w:val="a3"/>
            <w:rFonts w:ascii="Arial" w:hAnsi="Arial" w:cs="Arial"/>
            <w:sz w:val="20"/>
            <w:szCs w:val="20"/>
          </w:rPr>
          <w:t>dard</w:t>
        </w:r>
      </w:hyperlink>
      <w:r w:rsidRPr="00FE3BCB">
        <w:rPr>
          <w:rFonts w:ascii="Arial" w:hAnsi="Arial" w:cs="Arial"/>
          <w:sz w:val="20"/>
          <w:szCs w:val="20"/>
        </w:rPr>
        <w:t xml:space="preserve">. Additionally, the ISSB announced its intention to </w:t>
      </w:r>
      <w:r w:rsidR="0019044E" w:rsidRPr="00FE3BCB">
        <w:rPr>
          <w:rFonts w:ascii="Arial" w:hAnsi="Arial" w:cs="Arial"/>
          <w:sz w:val="20"/>
          <w:szCs w:val="20"/>
        </w:rPr>
        <w:t>publish</w:t>
      </w:r>
      <w:r w:rsidRPr="00FE3BCB">
        <w:rPr>
          <w:rFonts w:ascii="Arial" w:hAnsi="Arial" w:cs="Arial"/>
          <w:sz w:val="20"/>
          <w:szCs w:val="20"/>
        </w:rPr>
        <w:t xml:space="preserve"> an</w:t>
      </w:r>
      <w:r w:rsidR="0019044E" w:rsidRPr="00FE3BCB">
        <w:rPr>
          <w:rFonts w:ascii="Arial" w:hAnsi="Arial" w:cs="Arial"/>
          <w:sz w:val="20"/>
          <w:szCs w:val="20"/>
        </w:rPr>
        <w:t xml:space="preserve"> adoption guide (</w:t>
      </w:r>
      <w:r w:rsidRPr="00463F99">
        <w:rPr>
          <w:rFonts w:ascii="Arial" w:hAnsi="Arial" w:cs="Arial"/>
          <w:b/>
          <w:sz w:val="20"/>
          <w:szCs w:val="20"/>
        </w:rPr>
        <w:t>ISSB Adoption Guide</w:t>
      </w:r>
      <w:r w:rsidR="00463F99">
        <w:rPr>
          <w:rFonts w:ascii="Arial" w:hAnsi="Arial" w:cs="Arial"/>
          <w:sz w:val="20"/>
          <w:szCs w:val="20"/>
        </w:rPr>
        <w:t>)</w:t>
      </w:r>
      <w:r w:rsidR="0019044E" w:rsidRPr="00FE3BCB">
        <w:rPr>
          <w:rFonts w:ascii="Arial" w:hAnsi="Arial" w:cs="Arial"/>
          <w:sz w:val="20"/>
          <w:szCs w:val="20"/>
        </w:rPr>
        <w:t xml:space="preserve"> to</w:t>
      </w:r>
      <w:r w:rsidRPr="00FE3BCB">
        <w:rPr>
          <w:rFonts w:ascii="Arial" w:hAnsi="Arial" w:cs="Arial"/>
          <w:sz w:val="20"/>
          <w:szCs w:val="20"/>
        </w:rPr>
        <w:t xml:space="preserve"> assist regulatory bodies by providing guid</w:t>
      </w:r>
      <w:r w:rsidR="0019044E" w:rsidRPr="00FE3BCB">
        <w:rPr>
          <w:rFonts w:ascii="Arial" w:hAnsi="Arial" w:cs="Arial"/>
          <w:sz w:val="20"/>
          <w:szCs w:val="20"/>
        </w:rPr>
        <w:t>ance on implementation considerations</w:t>
      </w:r>
      <w:r w:rsidR="006D7D4C">
        <w:rPr>
          <w:rFonts w:ascii="Arial" w:hAnsi="Arial" w:cs="Arial"/>
          <w:sz w:val="20"/>
          <w:szCs w:val="20"/>
        </w:rPr>
        <w:t xml:space="preserve">, and </w:t>
      </w:r>
      <w:r w:rsidRPr="00FE3BCB">
        <w:rPr>
          <w:rFonts w:ascii="Arial" w:hAnsi="Arial" w:cs="Arial"/>
          <w:sz w:val="20"/>
          <w:szCs w:val="20"/>
        </w:rPr>
        <w:t>advising on scalability</w:t>
      </w:r>
      <w:r w:rsidR="00FE3BCB" w:rsidRPr="00FE3BCB">
        <w:rPr>
          <w:rFonts w:ascii="Arial" w:hAnsi="Arial" w:cs="Arial"/>
          <w:sz w:val="20"/>
          <w:szCs w:val="20"/>
        </w:rPr>
        <w:t xml:space="preserve"> and phasing</w:t>
      </w:r>
      <w:r w:rsidRPr="00FE3BCB">
        <w:rPr>
          <w:rFonts w:ascii="Arial" w:hAnsi="Arial" w:cs="Arial"/>
          <w:sz w:val="20"/>
          <w:szCs w:val="20"/>
        </w:rPr>
        <w:t xml:space="preserve">-in measures for </w:t>
      </w:r>
      <w:r w:rsidR="0019044E" w:rsidRPr="00FE3BCB">
        <w:rPr>
          <w:rFonts w:ascii="Arial" w:hAnsi="Arial" w:cs="Arial"/>
          <w:sz w:val="20"/>
          <w:szCs w:val="20"/>
        </w:rPr>
        <w:t>the application of the ISSB standards</w:t>
      </w:r>
      <w:r w:rsidR="007A7CEB">
        <w:rPr>
          <w:rFonts w:ascii="Arial" w:hAnsi="Arial" w:cs="Arial"/>
          <w:sz w:val="20"/>
          <w:szCs w:val="20"/>
        </w:rPr>
        <w:t>.</w:t>
      </w:r>
      <w:r w:rsidR="00CA1861">
        <w:rPr>
          <w:rStyle w:val="a7"/>
          <w:rFonts w:ascii="Arial" w:hAnsi="Arial" w:cs="Arial"/>
          <w:sz w:val="20"/>
          <w:szCs w:val="20"/>
        </w:rPr>
        <w:footnoteReference w:id="3"/>
      </w:r>
      <w:r w:rsidRPr="00FE3BCB">
        <w:rPr>
          <w:rFonts w:ascii="Arial" w:hAnsi="Arial" w:cs="Arial"/>
          <w:sz w:val="20"/>
          <w:szCs w:val="20"/>
        </w:rPr>
        <w:t xml:space="preserve"> The ISSB Adoption Guide is expected to be av</w:t>
      </w:r>
      <w:r w:rsidR="00A40F00" w:rsidRPr="00FE3BCB">
        <w:rPr>
          <w:rFonts w:ascii="Arial" w:hAnsi="Arial" w:cs="Arial"/>
          <w:sz w:val="20"/>
          <w:szCs w:val="20"/>
        </w:rPr>
        <w:t>ailable before the end of 2023.</w:t>
      </w:r>
    </w:p>
    <w:p w:rsidR="00B05678" w:rsidRDefault="0019044E" w:rsidP="00463F99">
      <w:pPr>
        <w:jc w:val="both"/>
        <w:rPr>
          <w:rFonts w:ascii="Arial" w:hAnsi="Arial" w:cs="Arial"/>
          <w:sz w:val="20"/>
          <w:szCs w:val="20"/>
        </w:rPr>
      </w:pPr>
      <w:r w:rsidRPr="00FE3BCB">
        <w:rPr>
          <w:rFonts w:ascii="Arial" w:hAnsi="Arial" w:cs="Arial"/>
          <w:sz w:val="20"/>
          <w:szCs w:val="20"/>
        </w:rPr>
        <w:t>The HKEX intends</w:t>
      </w:r>
      <w:r w:rsidR="00B05678" w:rsidRPr="00FE3BCB">
        <w:rPr>
          <w:rFonts w:ascii="Arial" w:hAnsi="Arial" w:cs="Arial"/>
          <w:sz w:val="20"/>
          <w:szCs w:val="20"/>
        </w:rPr>
        <w:t xml:space="preserve"> to take into account t</w:t>
      </w:r>
      <w:r w:rsidR="002472A7">
        <w:rPr>
          <w:rFonts w:ascii="Arial" w:hAnsi="Arial" w:cs="Arial"/>
          <w:sz w:val="20"/>
          <w:szCs w:val="20"/>
        </w:rPr>
        <w:t xml:space="preserve">he recommended approaches for </w:t>
      </w:r>
      <w:r w:rsidR="002472A7" w:rsidRPr="00FE3BCB">
        <w:rPr>
          <w:rFonts w:ascii="Arial" w:hAnsi="Arial" w:cs="Arial"/>
          <w:sz w:val="20"/>
          <w:szCs w:val="20"/>
        </w:rPr>
        <w:t>scaling and phasing-in of requirements</w:t>
      </w:r>
      <w:r w:rsidR="002472A7">
        <w:rPr>
          <w:rFonts w:ascii="Arial" w:hAnsi="Arial" w:cs="Arial"/>
          <w:sz w:val="20"/>
          <w:szCs w:val="20"/>
        </w:rPr>
        <w:t>, as provid</w:t>
      </w:r>
      <w:r w:rsidR="00B05678" w:rsidRPr="00FE3BCB">
        <w:rPr>
          <w:rFonts w:ascii="Arial" w:hAnsi="Arial" w:cs="Arial"/>
          <w:sz w:val="20"/>
          <w:szCs w:val="20"/>
        </w:rPr>
        <w:t>ed in th</w:t>
      </w:r>
      <w:r w:rsidRPr="00FE3BCB">
        <w:rPr>
          <w:rFonts w:ascii="Arial" w:hAnsi="Arial" w:cs="Arial"/>
          <w:sz w:val="20"/>
          <w:szCs w:val="20"/>
        </w:rPr>
        <w:t>e ISSB Adoption Guide</w:t>
      </w:r>
      <w:r w:rsidR="002472A7">
        <w:rPr>
          <w:rFonts w:ascii="Arial" w:hAnsi="Arial" w:cs="Arial"/>
          <w:sz w:val="20"/>
          <w:szCs w:val="20"/>
        </w:rPr>
        <w:t>,</w:t>
      </w:r>
      <w:r w:rsidRPr="00FE3BCB">
        <w:rPr>
          <w:rFonts w:ascii="Arial" w:hAnsi="Arial" w:cs="Arial"/>
          <w:sz w:val="20"/>
          <w:szCs w:val="20"/>
        </w:rPr>
        <w:t xml:space="preserve"> </w:t>
      </w:r>
      <w:r w:rsidR="00FE4668" w:rsidRPr="00FE3BCB">
        <w:rPr>
          <w:rFonts w:ascii="Arial" w:hAnsi="Arial" w:cs="Arial"/>
          <w:sz w:val="20"/>
          <w:szCs w:val="20"/>
        </w:rPr>
        <w:t>when finalis</w:t>
      </w:r>
      <w:r w:rsidR="00B05678" w:rsidRPr="00FE3BCB">
        <w:rPr>
          <w:rFonts w:ascii="Arial" w:hAnsi="Arial" w:cs="Arial"/>
          <w:sz w:val="20"/>
          <w:szCs w:val="20"/>
        </w:rPr>
        <w:t xml:space="preserve">ing the amendments to the </w:t>
      </w:r>
      <w:r w:rsidR="002472A7">
        <w:rPr>
          <w:rFonts w:ascii="Arial" w:hAnsi="Arial" w:cs="Arial"/>
          <w:sz w:val="20"/>
          <w:szCs w:val="20"/>
        </w:rPr>
        <w:t xml:space="preserve">HKEX </w:t>
      </w:r>
      <w:r w:rsidR="00B05678" w:rsidRPr="00FE3BCB">
        <w:rPr>
          <w:rFonts w:ascii="Arial" w:hAnsi="Arial" w:cs="Arial"/>
          <w:sz w:val="20"/>
          <w:szCs w:val="20"/>
        </w:rPr>
        <w:t xml:space="preserve">Listing Rules. </w:t>
      </w:r>
      <w:r w:rsidR="006A6BC4">
        <w:rPr>
          <w:rFonts w:ascii="Arial" w:hAnsi="Arial" w:cs="Arial"/>
          <w:sz w:val="20"/>
          <w:szCs w:val="20"/>
        </w:rPr>
        <w:t>Consequently, t</w:t>
      </w:r>
      <w:r w:rsidR="002472A7">
        <w:rPr>
          <w:rFonts w:ascii="Arial" w:hAnsi="Arial" w:cs="Arial"/>
          <w:sz w:val="20"/>
          <w:szCs w:val="20"/>
        </w:rPr>
        <w:t xml:space="preserve">he implementation date for the proposed </w:t>
      </w:r>
      <w:r w:rsidR="006A6BC4">
        <w:rPr>
          <w:rFonts w:ascii="Arial" w:hAnsi="Arial" w:cs="Arial"/>
          <w:sz w:val="20"/>
          <w:szCs w:val="20"/>
        </w:rPr>
        <w:t>HKEX Listing Rule</w:t>
      </w:r>
      <w:r w:rsidR="00B05678" w:rsidRPr="00FE3BCB">
        <w:rPr>
          <w:rFonts w:ascii="Arial" w:hAnsi="Arial" w:cs="Arial"/>
          <w:sz w:val="20"/>
          <w:szCs w:val="20"/>
        </w:rPr>
        <w:t xml:space="preserve"> amendments will be postponed to </w:t>
      </w:r>
      <w:r w:rsidR="00A40F00" w:rsidRPr="00FE3BCB">
        <w:rPr>
          <w:rFonts w:ascii="Arial" w:hAnsi="Arial" w:cs="Arial"/>
          <w:sz w:val="20"/>
          <w:szCs w:val="20"/>
        </w:rPr>
        <w:t xml:space="preserve">1 </w:t>
      </w:r>
      <w:r w:rsidR="00B05678" w:rsidRPr="00FE3BCB">
        <w:rPr>
          <w:rFonts w:ascii="Arial" w:hAnsi="Arial" w:cs="Arial"/>
          <w:sz w:val="20"/>
          <w:szCs w:val="20"/>
        </w:rPr>
        <w:t>Janua</w:t>
      </w:r>
      <w:r w:rsidR="00A40F00" w:rsidRPr="00FE3BCB">
        <w:rPr>
          <w:rFonts w:ascii="Arial" w:hAnsi="Arial" w:cs="Arial"/>
          <w:sz w:val="20"/>
          <w:szCs w:val="20"/>
        </w:rPr>
        <w:t xml:space="preserve">ry </w:t>
      </w:r>
      <w:r w:rsidR="000C3704" w:rsidRPr="00FE3BCB">
        <w:rPr>
          <w:rFonts w:ascii="Arial" w:hAnsi="Arial" w:cs="Arial"/>
          <w:sz w:val="20"/>
          <w:szCs w:val="20"/>
        </w:rPr>
        <w:t>2025</w:t>
      </w:r>
      <w:r w:rsidR="006A6BC4">
        <w:rPr>
          <w:rFonts w:ascii="Arial" w:hAnsi="Arial" w:cs="Arial"/>
          <w:sz w:val="20"/>
          <w:szCs w:val="20"/>
        </w:rPr>
        <w:t xml:space="preserve">, </w:t>
      </w:r>
      <w:r w:rsidR="00FE3BCB" w:rsidRPr="00FE3BCB">
        <w:rPr>
          <w:rFonts w:ascii="Arial" w:hAnsi="Arial" w:cs="Arial"/>
          <w:sz w:val="20"/>
          <w:szCs w:val="20"/>
        </w:rPr>
        <w:t>allow</w:t>
      </w:r>
      <w:r w:rsidR="006A6BC4">
        <w:rPr>
          <w:rFonts w:ascii="Arial" w:hAnsi="Arial" w:cs="Arial"/>
          <w:sz w:val="20"/>
          <w:szCs w:val="20"/>
        </w:rPr>
        <w:t>ing</w:t>
      </w:r>
      <w:r w:rsidR="00FE3BCB" w:rsidRPr="00FE3BCB">
        <w:rPr>
          <w:rFonts w:ascii="Arial" w:hAnsi="Arial" w:cs="Arial"/>
          <w:sz w:val="20"/>
          <w:szCs w:val="20"/>
        </w:rPr>
        <w:t xml:space="preserve"> issuers more time to</w:t>
      </w:r>
      <w:r w:rsidR="00B05678" w:rsidRPr="00FE3BCB">
        <w:rPr>
          <w:rFonts w:ascii="Arial" w:hAnsi="Arial" w:cs="Arial"/>
          <w:sz w:val="20"/>
          <w:szCs w:val="20"/>
        </w:rPr>
        <w:t xml:space="preserve"> </w:t>
      </w:r>
      <w:r w:rsidR="009733C9">
        <w:rPr>
          <w:rFonts w:ascii="Arial" w:hAnsi="Arial" w:cs="Arial"/>
          <w:sz w:val="20"/>
          <w:szCs w:val="20"/>
        </w:rPr>
        <w:t>familiaris</w:t>
      </w:r>
      <w:r w:rsidR="00FE3BCB" w:rsidRPr="00FE3BCB">
        <w:rPr>
          <w:rFonts w:ascii="Arial" w:hAnsi="Arial" w:cs="Arial"/>
          <w:sz w:val="20"/>
          <w:szCs w:val="20"/>
        </w:rPr>
        <w:t>e themselves</w:t>
      </w:r>
      <w:r w:rsidR="00B05678" w:rsidRPr="00FE3BCB">
        <w:rPr>
          <w:rFonts w:ascii="Arial" w:hAnsi="Arial" w:cs="Arial"/>
          <w:sz w:val="20"/>
          <w:szCs w:val="20"/>
        </w:rPr>
        <w:t xml:space="preserve"> with the new climate-r</w:t>
      </w:r>
      <w:r w:rsidR="00A40F00" w:rsidRPr="00FE3BCB">
        <w:rPr>
          <w:rFonts w:ascii="Arial" w:hAnsi="Arial" w:cs="Arial"/>
          <w:sz w:val="20"/>
          <w:szCs w:val="20"/>
        </w:rPr>
        <w:t>elated disclosure requirements.</w:t>
      </w:r>
    </w:p>
    <w:p w:rsidR="00B17C58" w:rsidRPr="00B17C58" w:rsidRDefault="00B17C58" w:rsidP="00B17C58">
      <w:pPr>
        <w:pStyle w:val="DisclaimerBold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7C58">
        <w:rPr>
          <w:rFonts w:ascii="Arial" w:hAnsi="Arial" w:cs="Arial"/>
          <w:sz w:val="20"/>
          <w:szCs w:val="20"/>
        </w:rPr>
        <w:t>This newsletter is for information purposes only.</w:t>
      </w:r>
    </w:p>
    <w:p w:rsidR="00B17C58" w:rsidRPr="00B17C58" w:rsidRDefault="00B17C58" w:rsidP="00B17C58">
      <w:pPr>
        <w:pStyle w:val="Disclaimer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7C58">
        <w:rPr>
          <w:rFonts w:ascii="Arial" w:hAnsi="Arial" w:cs="Arial"/>
          <w:sz w:val="20"/>
          <w:szCs w:val="20"/>
        </w:rPr>
        <w:t>Its contents do not constitute legal advice and it should not be regarded as a substitute for detailed advice in individual cases.</w:t>
      </w:r>
    </w:p>
    <w:p w:rsidR="00B17C58" w:rsidRPr="00B17C58" w:rsidRDefault="00B17C58" w:rsidP="00B17C58">
      <w:pPr>
        <w:pStyle w:val="Disclaimer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7C58">
        <w:rPr>
          <w:rFonts w:ascii="Arial" w:hAnsi="Arial" w:cs="Arial"/>
          <w:sz w:val="20"/>
          <w:szCs w:val="20"/>
        </w:rPr>
        <w:t xml:space="preserve">Transmission of this information is not intended to create and receipt does not constitute a lawyer-client relationship between </w:t>
      </w:r>
      <w:proofErr w:type="spellStart"/>
      <w:r w:rsidRPr="00B17C58">
        <w:rPr>
          <w:rFonts w:ascii="Arial" w:hAnsi="Arial" w:cs="Arial"/>
          <w:sz w:val="20"/>
          <w:szCs w:val="20"/>
        </w:rPr>
        <w:t>Charltons</w:t>
      </w:r>
      <w:proofErr w:type="spellEnd"/>
      <w:r w:rsidRPr="00B17C58">
        <w:rPr>
          <w:rFonts w:ascii="Arial" w:hAnsi="Arial" w:cs="Arial"/>
          <w:sz w:val="20"/>
          <w:szCs w:val="20"/>
        </w:rPr>
        <w:t xml:space="preserve"> and the user or browser.</w:t>
      </w:r>
    </w:p>
    <w:p w:rsidR="00B17C58" w:rsidRPr="00B17C58" w:rsidRDefault="00B17C58" w:rsidP="00B17C58">
      <w:pPr>
        <w:pStyle w:val="Disclaimer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B17C58">
        <w:rPr>
          <w:rFonts w:ascii="Arial" w:hAnsi="Arial" w:cs="Arial"/>
          <w:sz w:val="20"/>
          <w:szCs w:val="20"/>
        </w:rPr>
        <w:t>Charltons</w:t>
      </w:r>
      <w:proofErr w:type="spellEnd"/>
      <w:r w:rsidRPr="00B17C58">
        <w:rPr>
          <w:rFonts w:ascii="Arial" w:hAnsi="Arial" w:cs="Arial"/>
          <w:sz w:val="20"/>
          <w:szCs w:val="20"/>
        </w:rPr>
        <w:t xml:space="preserve"> is not responsible for any </w:t>
      </w:r>
      <w:proofErr w:type="gramStart"/>
      <w:r w:rsidRPr="00B17C58">
        <w:rPr>
          <w:rFonts w:ascii="Arial" w:hAnsi="Arial" w:cs="Arial"/>
          <w:sz w:val="20"/>
          <w:szCs w:val="20"/>
        </w:rPr>
        <w:t>third party</w:t>
      </w:r>
      <w:proofErr w:type="gramEnd"/>
      <w:r w:rsidRPr="00B17C58">
        <w:rPr>
          <w:rFonts w:ascii="Arial" w:hAnsi="Arial" w:cs="Arial"/>
          <w:sz w:val="20"/>
          <w:szCs w:val="20"/>
        </w:rPr>
        <w:t xml:space="preserve"> content which can be accessed through the website.</w:t>
      </w:r>
    </w:p>
    <w:p w:rsidR="00B17C58" w:rsidRPr="00B17C58" w:rsidRDefault="00B17C58" w:rsidP="00B17C58">
      <w:pPr>
        <w:pStyle w:val="Disclaimer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7C58">
        <w:rPr>
          <w:rFonts w:ascii="Arial" w:hAnsi="Arial" w:cs="Arial"/>
          <w:sz w:val="20"/>
          <w:szCs w:val="20"/>
        </w:rPr>
        <w:t xml:space="preserve">If you do not wish to receive this </w:t>
      </w:r>
      <w:proofErr w:type="gramStart"/>
      <w:r w:rsidRPr="00B17C58">
        <w:rPr>
          <w:rFonts w:ascii="Arial" w:hAnsi="Arial" w:cs="Arial"/>
          <w:sz w:val="20"/>
          <w:szCs w:val="20"/>
        </w:rPr>
        <w:t>newsletter</w:t>
      </w:r>
      <w:proofErr w:type="gramEnd"/>
      <w:r w:rsidRPr="00B17C58">
        <w:rPr>
          <w:rFonts w:ascii="Arial" w:hAnsi="Arial" w:cs="Arial"/>
          <w:sz w:val="20"/>
          <w:szCs w:val="20"/>
        </w:rPr>
        <w:t xml:space="preserve"> please let us know by emailing us at  </w:t>
      </w:r>
      <w:hyperlink r:id="rId15">
        <w:r w:rsidRPr="00B17C58">
          <w:rPr>
            <w:rFonts w:ascii="Arial" w:hAnsi="Arial" w:cs="Arial"/>
            <w:sz w:val="20"/>
            <w:szCs w:val="20"/>
          </w:rPr>
          <w:t>unsubscribe@charltonslaw.com</w:t>
        </w:r>
      </w:hyperlink>
    </w:p>
    <w:p w:rsidR="00B17C58" w:rsidRPr="004B18B2" w:rsidRDefault="00B17C58" w:rsidP="00B17C58">
      <w:pPr>
        <w:pStyle w:val="BlackStrips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4B18B2">
        <w:rPr>
          <w:rFonts w:ascii="Arial" w:hAnsi="Arial" w:cs="Arial"/>
        </w:rPr>
        <w:t>Charltons</w:t>
      </w:r>
      <w:proofErr w:type="spellEnd"/>
      <w:r w:rsidRPr="004B18B2">
        <w:rPr>
          <w:rFonts w:ascii="Arial" w:hAnsi="Arial" w:cs="Arial"/>
        </w:rPr>
        <w:t xml:space="preserve"> - Hong Kong Law - </w:t>
      </w:r>
      <w:r>
        <w:rPr>
          <w:rFonts w:ascii="Arial" w:hAnsi="Arial" w:cs="Arial"/>
        </w:rPr>
        <w:t>22</w:t>
      </w:r>
      <w:r w:rsidRPr="004B1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November</w:t>
      </w:r>
      <w:r w:rsidRPr="004B18B2">
        <w:rPr>
          <w:rFonts w:ascii="Arial" w:hAnsi="Arial" w:cs="Arial"/>
        </w:rPr>
        <w:t xml:space="preserve"> 2023</w:t>
      </w:r>
    </w:p>
    <w:p w:rsidR="00B17C58" w:rsidRPr="00FE3BCB" w:rsidRDefault="00B17C58" w:rsidP="00463F99">
      <w:pPr>
        <w:jc w:val="both"/>
        <w:rPr>
          <w:rFonts w:ascii="Arial" w:hAnsi="Arial" w:cs="Arial"/>
          <w:sz w:val="20"/>
          <w:szCs w:val="20"/>
        </w:rPr>
      </w:pPr>
    </w:p>
    <w:sectPr w:rsidR="00B17C58" w:rsidRPr="00FE3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6E8C" w:rsidRDefault="00096E8C" w:rsidP="00EF5920">
      <w:pPr>
        <w:spacing w:after="0" w:line="240" w:lineRule="auto"/>
      </w:pPr>
      <w:r>
        <w:separator/>
      </w:r>
    </w:p>
  </w:endnote>
  <w:endnote w:type="continuationSeparator" w:id="0">
    <w:p w:rsidR="00096E8C" w:rsidRDefault="00096E8C" w:rsidP="00EF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6E8C" w:rsidRDefault="00096E8C" w:rsidP="00EF5920">
      <w:pPr>
        <w:spacing w:after="0" w:line="240" w:lineRule="auto"/>
      </w:pPr>
      <w:r>
        <w:separator/>
      </w:r>
    </w:p>
  </w:footnote>
  <w:footnote w:type="continuationSeparator" w:id="0">
    <w:p w:rsidR="00096E8C" w:rsidRDefault="00096E8C" w:rsidP="00EF5920">
      <w:pPr>
        <w:spacing w:after="0" w:line="240" w:lineRule="auto"/>
      </w:pPr>
      <w:r>
        <w:continuationSeparator/>
      </w:r>
    </w:p>
  </w:footnote>
  <w:footnote w:id="1">
    <w:p w:rsidR="008263DE" w:rsidRDefault="008263DE">
      <w:pPr>
        <w:pStyle w:val="a5"/>
      </w:pPr>
      <w:r>
        <w:rPr>
          <w:rStyle w:val="a7"/>
        </w:rPr>
        <w:footnoteRef/>
      </w:r>
      <w:r>
        <w:t xml:space="preserve"> HKEX. 3 November 2023. Update on Consultation on Enhancement of Climate Disclosures under ESG Framework. Available at: </w:t>
      </w:r>
      <w:r w:rsidRPr="008263DE">
        <w:t>https://www.hkex.com.hk/News/Regulatory-Announcements/2023/231103news?sc_lang=en</w:t>
      </w:r>
    </w:p>
  </w:footnote>
  <w:footnote w:id="2">
    <w:p w:rsidR="007A7CEB" w:rsidRDefault="007A7CEB" w:rsidP="007A7CEB">
      <w:pPr>
        <w:pStyle w:val="a5"/>
      </w:pPr>
      <w:r>
        <w:rPr>
          <w:rStyle w:val="a7"/>
        </w:rPr>
        <w:footnoteRef/>
      </w:r>
      <w:r>
        <w:t xml:space="preserve"> HKEX. April 2023. Consultation Paper: Enhancement of Climate-related Disclosures Under the Environment, Social and Governance Framework. Available at: </w:t>
      </w:r>
      <w:r w:rsidRPr="005A63C0">
        <w:t>https://www.hkex.com.hk/-/media/HKEX-Market/News/Market-Consultations/2016-Present/April-2023-Climate-related-Disclosures/Consultation-Paper/cp202304.pdf</w:t>
      </w:r>
    </w:p>
  </w:footnote>
  <w:footnote w:id="3">
    <w:p w:rsidR="00CA1861" w:rsidRPr="006D7D4C" w:rsidRDefault="00CA1861" w:rsidP="00CA1861">
      <w:pPr>
        <w:pStyle w:val="a5"/>
        <w:rPr>
          <w:rFonts w:ascii="Arial" w:hAnsi="Arial" w:cs="Arial"/>
          <w:color w:val="000000" w:themeColor="text1"/>
        </w:rPr>
      </w:pPr>
      <w:r w:rsidRPr="006D7D4C">
        <w:rPr>
          <w:rStyle w:val="a7"/>
          <w:rFonts w:ascii="Arial" w:hAnsi="Arial" w:cs="Arial"/>
          <w:color w:val="000000" w:themeColor="text1"/>
        </w:rPr>
        <w:footnoteRef/>
      </w:r>
      <w:r w:rsidRPr="006D7D4C">
        <w:rPr>
          <w:rFonts w:ascii="Arial" w:hAnsi="Arial" w:cs="Arial"/>
          <w:color w:val="000000" w:themeColor="text1"/>
        </w:rPr>
        <w:t xml:space="preserve"> </w:t>
      </w:r>
      <w:r w:rsidRPr="002472A7">
        <w:t>See </w:t>
      </w:r>
      <w:hyperlink r:id="rId1" w:tgtFrame="_blank" w:history="1">
        <w:r w:rsidRPr="002472A7">
          <w:rPr>
            <w:color w:val="FF0000"/>
          </w:rPr>
          <w:t>Cover note: Adoption</w:t>
        </w:r>
        <w:r w:rsidRPr="002472A7">
          <w:rPr>
            <w:color w:val="FF0000"/>
          </w:rPr>
          <w:t xml:space="preserve"> </w:t>
        </w:r>
        <w:r w:rsidRPr="002472A7">
          <w:rPr>
            <w:color w:val="FF0000"/>
          </w:rPr>
          <w:t>Guide overview</w:t>
        </w:r>
      </w:hyperlink>
      <w:r w:rsidRPr="002472A7">
        <w:t> published by the IFRS Foundation.</w:t>
      </w:r>
    </w:p>
    <w:p w:rsidR="00CA1861" w:rsidRPr="006D7D4C" w:rsidRDefault="00CA1861">
      <w:pPr>
        <w:pStyle w:val="a5"/>
        <w:rPr>
          <w:rFonts w:ascii="Arial" w:eastAsia="PMingLiU" w:hAnsi="Arial" w:cs="Arial"/>
          <w:color w:val="000000" w:themeColor="text1"/>
          <w:lang w:eastAsia="zh-T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5A64"/>
    <w:multiLevelType w:val="multilevel"/>
    <w:tmpl w:val="115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65ECA"/>
    <w:multiLevelType w:val="multilevel"/>
    <w:tmpl w:val="704A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47AFF"/>
    <w:multiLevelType w:val="multilevel"/>
    <w:tmpl w:val="973ED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5664D"/>
    <w:multiLevelType w:val="multilevel"/>
    <w:tmpl w:val="CCFE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9A4413"/>
    <w:multiLevelType w:val="hybridMultilevel"/>
    <w:tmpl w:val="84AC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621545">
    <w:abstractNumId w:val="2"/>
  </w:num>
  <w:num w:numId="2" w16cid:durableId="1023361715">
    <w:abstractNumId w:val="1"/>
  </w:num>
  <w:num w:numId="3" w16cid:durableId="1937589570">
    <w:abstractNumId w:val="0"/>
  </w:num>
  <w:num w:numId="4" w16cid:durableId="879124893">
    <w:abstractNumId w:val="3"/>
  </w:num>
  <w:num w:numId="5" w16cid:durableId="1237939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678"/>
    <w:rsid w:val="000649D1"/>
    <w:rsid w:val="00096E8C"/>
    <w:rsid w:val="000C3704"/>
    <w:rsid w:val="00104BC3"/>
    <w:rsid w:val="00141BC5"/>
    <w:rsid w:val="00144FA0"/>
    <w:rsid w:val="0019044E"/>
    <w:rsid w:val="001930F5"/>
    <w:rsid w:val="001C7964"/>
    <w:rsid w:val="002472A7"/>
    <w:rsid w:val="003B3238"/>
    <w:rsid w:val="00463F99"/>
    <w:rsid w:val="004E2778"/>
    <w:rsid w:val="00595201"/>
    <w:rsid w:val="005A63C0"/>
    <w:rsid w:val="006A6BC4"/>
    <w:rsid w:val="006D7D4C"/>
    <w:rsid w:val="0078275A"/>
    <w:rsid w:val="007A7CEB"/>
    <w:rsid w:val="007B73DD"/>
    <w:rsid w:val="008263DE"/>
    <w:rsid w:val="00871BB6"/>
    <w:rsid w:val="009072F6"/>
    <w:rsid w:val="00910223"/>
    <w:rsid w:val="00955C91"/>
    <w:rsid w:val="009733C9"/>
    <w:rsid w:val="00A04625"/>
    <w:rsid w:val="00A40F00"/>
    <w:rsid w:val="00A857BE"/>
    <w:rsid w:val="00A87A1B"/>
    <w:rsid w:val="00B05678"/>
    <w:rsid w:val="00B17C58"/>
    <w:rsid w:val="00B41160"/>
    <w:rsid w:val="00B67930"/>
    <w:rsid w:val="00BA61BA"/>
    <w:rsid w:val="00CA1861"/>
    <w:rsid w:val="00D81CC4"/>
    <w:rsid w:val="00E2126B"/>
    <w:rsid w:val="00EF5920"/>
    <w:rsid w:val="00F360E5"/>
    <w:rsid w:val="00F455A6"/>
    <w:rsid w:val="00FE3BCB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E2855-BD4E-4A10-BF27-94881351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3D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E3BCB"/>
    <w:rPr>
      <w:color w:val="954F72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F592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592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F5920"/>
    <w:rPr>
      <w:vertAlign w:val="superscript"/>
    </w:rPr>
  </w:style>
  <w:style w:type="character" w:styleId="a8">
    <w:name w:val="Strong"/>
    <w:basedOn w:val="a0"/>
    <w:uiPriority w:val="22"/>
    <w:qFormat/>
    <w:rsid w:val="00EF5920"/>
    <w:rPr>
      <w:b/>
      <w:bCs/>
    </w:rPr>
  </w:style>
  <w:style w:type="paragraph" w:customStyle="1" w:styleId="Disclaimer">
    <w:name w:val="Disclaimer"/>
    <w:basedOn w:val="a"/>
    <w:qFormat/>
    <w:rsid w:val="00B17C58"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color="auto" w:fill="DDDDDD"/>
      <w:spacing w:before="101" w:after="101" w:line="240" w:lineRule="auto"/>
      <w:jc w:val="both"/>
    </w:pPr>
    <w:rPr>
      <w:rFonts w:eastAsiaTheme="minorHAnsi"/>
      <w:color w:val="00000A"/>
      <w:sz w:val="24"/>
      <w:szCs w:val="24"/>
      <w:lang w:eastAsia="en-US"/>
    </w:rPr>
  </w:style>
  <w:style w:type="paragraph" w:customStyle="1" w:styleId="BlackStrips">
    <w:name w:val="Black Strips"/>
    <w:basedOn w:val="a"/>
    <w:qFormat/>
    <w:rsid w:val="00B17C58"/>
    <w:pPr>
      <w:shd w:val="clear" w:color="auto" w:fill="000000"/>
      <w:spacing w:after="200" w:line="240" w:lineRule="auto"/>
      <w:jc w:val="center"/>
    </w:pPr>
    <w:rPr>
      <w:rFonts w:eastAsiaTheme="minorHAnsi"/>
      <w:color w:val="FFFFFF"/>
      <w:sz w:val="24"/>
      <w:szCs w:val="24"/>
      <w:lang w:eastAsia="en-US"/>
    </w:rPr>
  </w:style>
  <w:style w:type="paragraph" w:customStyle="1" w:styleId="DisclaimerBold">
    <w:name w:val="Disclaimer Bold"/>
    <w:basedOn w:val="Disclaimer"/>
    <w:qFormat/>
    <w:rsid w:val="00B17C58"/>
    <w:pPr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ltonslaw.com/hkex-postpones-proposed-implementation-date-for-climate-change-disclosures/" TargetMode="External"/><Relationship Id="rId13" Type="http://schemas.openxmlformats.org/officeDocument/2006/relationships/hyperlink" Target="https://www.ifrs.org/issued-standards/ifrs-sustainability-standards-navigator/ifrs-s1-general-requirem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harltonslaw.com/hkex-consults-on-mandatory-climate-disclosures-in-esg-report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kex.com.hk/-/media/HKEX-Market/News/Market-Consultations/2016-Present/April-2023-Climate-related-Disclosures/Consultation-Paper/cp20230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nsubscribe@charltonslaw.com?subject=unsubscribe%20-Hong%20Kong%20Law-" TargetMode="External"/><Relationship Id="rId10" Type="http://schemas.openxmlformats.org/officeDocument/2006/relationships/hyperlink" Target="https://www.hkex.com.hk/-/media/HKEX-Market/News/Market-Consultations/2016-Present/April-2023-Climate-related-Disclosures/Consultation-Paper/cp20230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kex.com.hk/News/Regulatory-Announcements/2023/231103news?sc_lang=en" TargetMode="External"/><Relationship Id="rId14" Type="http://schemas.openxmlformats.org/officeDocument/2006/relationships/hyperlink" Target="https://www.ifrs.org/issued-standards/ifrs-sustainability-standards-navigator/ifrs-s2-climate-related-disclosure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frs.org/supporting-implementation/supporting-materials-for-ifrs-sustainability-disclosure-standards/cover-note-adoption-guide-over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81E7A-442B-49EC-85DC-37F12F5D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Charltons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Charltons</dc:creator>
  <cp:keywords/>
  <dc:description/>
  <cp:lastModifiedBy>Александр Пирогов</cp:lastModifiedBy>
  <cp:revision>7</cp:revision>
  <dcterms:created xsi:type="dcterms:W3CDTF">2023-11-22T02:49:00Z</dcterms:created>
  <dcterms:modified xsi:type="dcterms:W3CDTF">2023-11-22T08:06:00Z</dcterms:modified>
</cp:coreProperties>
</file>