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835" w:rsidRPr="004B18B2" w:rsidRDefault="001A1835" w:rsidP="001A1835">
      <w:pPr>
        <w:shd w:val="clear" w:color="auto" w:fill="000000"/>
        <w:spacing w:after="200"/>
        <w:jc w:val="center"/>
        <w:rPr>
          <w:rFonts w:ascii="Arial" w:eastAsia="Cambria" w:hAnsi="Arial" w:cs="Arial"/>
          <w:color w:val="FFFFFF"/>
        </w:rPr>
      </w:pPr>
      <w:proofErr w:type="spellStart"/>
      <w:r w:rsidRPr="004B18B2">
        <w:rPr>
          <w:rFonts w:ascii="Arial" w:eastAsia="Cambria" w:hAnsi="Arial" w:cs="Arial"/>
          <w:color w:val="FFFFFF"/>
        </w:rPr>
        <w:t>Charltons</w:t>
      </w:r>
      <w:proofErr w:type="spellEnd"/>
      <w:r w:rsidRPr="004B18B2">
        <w:rPr>
          <w:rFonts w:ascii="Arial" w:eastAsia="Cambria" w:hAnsi="Arial" w:cs="Arial"/>
          <w:color w:val="FFFFFF"/>
        </w:rPr>
        <w:t xml:space="preserve"> - Hong Kong Law - </w:t>
      </w:r>
      <w:r>
        <w:rPr>
          <w:rFonts w:ascii="Arial" w:eastAsia="Cambria" w:hAnsi="Arial" w:cs="Arial"/>
          <w:color w:val="FFFFFF"/>
        </w:rPr>
        <w:t>18</w:t>
      </w:r>
      <w:r w:rsidRPr="004B18B2">
        <w:rPr>
          <w:rFonts w:ascii="Arial" w:eastAsia="Cambria" w:hAnsi="Arial" w:cs="Arial"/>
          <w:color w:val="FFFFFF"/>
        </w:rPr>
        <w:t xml:space="preserve"> </w:t>
      </w:r>
      <w:r>
        <w:rPr>
          <w:rFonts w:ascii="Arial" w:eastAsia="Cambria" w:hAnsi="Arial" w:cs="Arial"/>
          <w:color w:val="FFFFFF"/>
        </w:rPr>
        <w:t>November</w:t>
      </w:r>
      <w:r w:rsidRPr="004B18B2">
        <w:rPr>
          <w:rFonts w:ascii="Arial" w:eastAsia="Cambria" w:hAnsi="Arial" w:cs="Arial"/>
          <w:color w:val="FFFFFF"/>
        </w:rPr>
        <w:t xml:space="preserve"> 2023</w:t>
      </w:r>
    </w:p>
    <w:p w:rsidR="001A1835" w:rsidRPr="001A1835" w:rsidRDefault="001A1835" w:rsidP="001A1835">
      <w:pPr>
        <w:spacing w:after="200"/>
        <w:jc w:val="center"/>
        <w:rPr>
          <w:rFonts w:ascii="Arial" w:hAnsi="Arial" w:cs="Arial"/>
          <w:b/>
          <w:color w:val="FF0000"/>
          <w:sz w:val="20"/>
          <w:szCs w:val="20"/>
        </w:rPr>
      </w:pPr>
      <w:hyperlink r:id="rId8" w:history="1">
        <w:r w:rsidRPr="004B18B2">
          <w:rPr>
            <w:rStyle w:val="a3"/>
            <w:rFonts w:ascii="Arial" w:eastAsia="Cambria" w:hAnsi="Arial" w:cs="Arial"/>
            <w:sz w:val="28"/>
          </w:rPr>
          <w:t>online version</w:t>
        </w:r>
      </w:hyperlink>
    </w:p>
    <w:p w:rsidR="005D5517" w:rsidRPr="0095674A" w:rsidRDefault="0095674A" w:rsidP="0095674A">
      <w:pPr>
        <w:spacing w:after="0" w:line="240" w:lineRule="auto"/>
        <w:jc w:val="center"/>
        <w:rPr>
          <w:b/>
          <w:color w:val="FF0000"/>
          <w:sz w:val="44"/>
          <w:szCs w:val="44"/>
        </w:rPr>
      </w:pPr>
      <w:r>
        <w:rPr>
          <w:b/>
          <w:color w:val="FF0000"/>
          <w:sz w:val="44"/>
          <w:szCs w:val="44"/>
        </w:rPr>
        <w:t xml:space="preserve">HK </w:t>
      </w:r>
      <w:r w:rsidR="005D5517" w:rsidRPr="00CE2E30">
        <w:rPr>
          <w:b/>
          <w:color w:val="FF0000"/>
          <w:sz w:val="44"/>
          <w:szCs w:val="44"/>
        </w:rPr>
        <w:t>Takeovers and Share Buy-backs Code</w:t>
      </w:r>
      <w:r>
        <w:rPr>
          <w:b/>
          <w:color w:val="FF0000"/>
          <w:sz w:val="44"/>
          <w:szCs w:val="44"/>
        </w:rPr>
        <w:t>s</w:t>
      </w:r>
      <w:r w:rsidR="00611338" w:rsidRPr="0095674A">
        <w:rPr>
          <w:b/>
          <w:color w:val="FF0000"/>
          <w:sz w:val="44"/>
          <w:szCs w:val="44"/>
        </w:rPr>
        <w:t xml:space="preserve"> </w:t>
      </w:r>
      <w:r w:rsidR="00CE2E30">
        <w:rPr>
          <w:b/>
          <w:color w:val="FF0000"/>
          <w:sz w:val="44"/>
          <w:szCs w:val="44"/>
        </w:rPr>
        <w:t xml:space="preserve">Amended </w:t>
      </w:r>
      <w:r w:rsidR="00611338" w:rsidRPr="0095674A">
        <w:rPr>
          <w:b/>
          <w:color w:val="FF0000"/>
          <w:sz w:val="44"/>
          <w:szCs w:val="44"/>
        </w:rPr>
        <w:t>29 September 2023</w:t>
      </w:r>
    </w:p>
    <w:p w:rsidR="005D5517" w:rsidRDefault="005D5517" w:rsidP="00980B2D">
      <w:pPr>
        <w:spacing w:after="0" w:line="240" w:lineRule="auto"/>
        <w:jc w:val="both"/>
      </w:pPr>
    </w:p>
    <w:p w:rsidR="005D5517" w:rsidRDefault="00137242" w:rsidP="00980B2D">
      <w:pPr>
        <w:spacing w:after="0" w:line="240" w:lineRule="auto"/>
        <w:jc w:val="both"/>
      </w:pPr>
      <w:r>
        <w:t xml:space="preserve">On 21 September 2023, the </w:t>
      </w:r>
      <w:r w:rsidR="00F44B4F">
        <w:t xml:space="preserve">Hong Kong </w:t>
      </w:r>
      <w:r>
        <w:t xml:space="preserve">Securities and Futures Commission </w:t>
      </w:r>
      <w:r w:rsidR="00F44B4F">
        <w:t xml:space="preserve">(the </w:t>
      </w:r>
      <w:r w:rsidR="00F44B4F" w:rsidRPr="00F44B4F">
        <w:rPr>
          <w:b/>
        </w:rPr>
        <w:t>SFC</w:t>
      </w:r>
      <w:r w:rsidR="00F44B4F">
        <w:t xml:space="preserve">) </w:t>
      </w:r>
      <w:r>
        <w:t>published</w:t>
      </w:r>
      <w:r w:rsidR="00241231">
        <w:t xml:space="preserve"> its</w:t>
      </w:r>
      <w:r>
        <w:t xml:space="preserve"> </w:t>
      </w:r>
      <w:hyperlink r:id="rId9" w:history="1">
        <w:r w:rsidRPr="00137242">
          <w:rPr>
            <w:rStyle w:val="a3"/>
          </w:rPr>
          <w:t>Consultation Conclusions</w:t>
        </w:r>
      </w:hyperlink>
      <w:r>
        <w:t xml:space="preserve"> on proposed amendments to the Codes on Takeovers and Mergers and Share Buy</w:t>
      </w:r>
      <w:r w:rsidR="00241231">
        <w:t>-</w:t>
      </w:r>
      <w:r>
        <w:t>backs</w:t>
      </w:r>
      <w:r w:rsidR="00F44B4F">
        <w:t xml:space="preserve"> </w:t>
      </w:r>
      <w:r w:rsidR="00F44B4F" w:rsidRPr="00F44B4F">
        <w:t xml:space="preserve">(the </w:t>
      </w:r>
      <w:r w:rsidR="00F44B4F" w:rsidRPr="00F44B4F">
        <w:rPr>
          <w:b/>
        </w:rPr>
        <w:t>Hong Kong Takeovers Code</w:t>
      </w:r>
      <w:r w:rsidR="00F44B4F" w:rsidRPr="00F44B4F">
        <w:t>)</w:t>
      </w:r>
      <w:r>
        <w:t xml:space="preserve">. </w:t>
      </w:r>
      <w:r w:rsidRPr="00137242">
        <w:t xml:space="preserve">For a summary of the original </w:t>
      </w:r>
      <w:hyperlink r:id="rId10" w:history="1">
        <w:r w:rsidRPr="00157B66">
          <w:rPr>
            <w:rStyle w:val="a3"/>
          </w:rPr>
          <w:t>Consultation Paper</w:t>
        </w:r>
      </w:hyperlink>
      <w:r>
        <w:t xml:space="preserve">, please see </w:t>
      </w:r>
      <w:proofErr w:type="spellStart"/>
      <w:r>
        <w:t>Charltons</w:t>
      </w:r>
      <w:proofErr w:type="spellEnd"/>
      <w:r>
        <w:t xml:space="preserve">’ </w:t>
      </w:r>
      <w:hyperlink r:id="rId11" w:history="1">
        <w:r w:rsidRPr="00137242">
          <w:rPr>
            <w:rStyle w:val="a3"/>
          </w:rPr>
          <w:t>June 2023 newsletter</w:t>
        </w:r>
      </w:hyperlink>
      <w:r w:rsidRPr="00137242">
        <w:t>.</w:t>
      </w:r>
      <w:r w:rsidR="005D5517" w:rsidRPr="005D5517">
        <w:t xml:space="preserve"> </w:t>
      </w:r>
      <w:r w:rsidR="005D5517">
        <w:t xml:space="preserve">The amended </w:t>
      </w:r>
      <w:r w:rsidR="005D5517" w:rsidRPr="00006CA3">
        <w:t>Hong Kong Takeovers Code</w:t>
      </w:r>
      <w:r w:rsidR="005D5517">
        <w:t xml:space="preserve"> </w:t>
      </w:r>
      <w:r w:rsidR="0042456B">
        <w:t xml:space="preserve">was </w:t>
      </w:r>
      <w:proofErr w:type="spellStart"/>
      <w:r w:rsidR="0042456B">
        <w:t>gazette</w:t>
      </w:r>
      <w:r w:rsidR="00E859B5">
        <w:t>d</w:t>
      </w:r>
      <w:proofErr w:type="spellEnd"/>
      <w:r w:rsidR="0042456B">
        <w:t xml:space="preserve"> and took effect</w:t>
      </w:r>
      <w:r w:rsidR="005D5517">
        <w:t xml:space="preserve"> on </w:t>
      </w:r>
      <w:r w:rsidR="005D5517" w:rsidRPr="005A5DB5">
        <w:t>29 September 2023</w:t>
      </w:r>
      <w:r w:rsidR="005D5517">
        <w:t xml:space="preserve">. </w:t>
      </w:r>
    </w:p>
    <w:p w:rsidR="009972B5" w:rsidRDefault="009972B5" w:rsidP="00980B2D">
      <w:pPr>
        <w:spacing w:after="0" w:line="240" w:lineRule="auto"/>
        <w:jc w:val="both"/>
      </w:pPr>
    </w:p>
    <w:p w:rsidR="009972B5" w:rsidRDefault="009972B5" w:rsidP="00980B2D">
      <w:pPr>
        <w:spacing w:after="0" w:line="240" w:lineRule="auto"/>
        <w:jc w:val="both"/>
      </w:pPr>
      <w:r>
        <w:t>During the consultation period, the SFC rece</w:t>
      </w:r>
      <w:r w:rsidR="00F32B64">
        <w:t xml:space="preserve">ived 12 responses from various stakeholders and, after reviewing the feedback, the SFC decided to adopt all of the proposed amendments as set out in the Consultation Paper, with some slight modifications. </w:t>
      </w:r>
    </w:p>
    <w:p w:rsidR="00181E1C" w:rsidRDefault="00181E1C" w:rsidP="00980B2D">
      <w:pPr>
        <w:spacing w:after="0" w:line="240" w:lineRule="auto"/>
        <w:jc w:val="both"/>
      </w:pPr>
    </w:p>
    <w:p w:rsidR="005D5517" w:rsidRPr="00241231" w:rsidRDefault="00181E1C" w:rsidP="00980B2D">
      <w:pPr>
        <w:spacing w:after="0" w:line="240" w:lineRule="auto"/>
        <w:jc w:val="both"/>
        <w:rPr>
          <w:b/>
          <w:color w:val="FF0000"/>
        </w:rPr>
      </w:pPr>
      <w:r w:rsidRPr="00241231">
        <w:rPr>
          <w:b/>
          <w:color w:val="FF0000"/>
        </w:rPr>
        <w:t>1. Clarification of Voting, Acceptance and Concert Party Requirements on Takeovers Code Transactions</w:t>
      </w:r>
    </w:p>
    <w:p w:rsidR="005B3725" w:rsidRDefault="005B3725" w:rsidP="00980B2D">
      <w:pPr>
        <w:spacing w:after="0" w:line="240" w:lineRule="auto"/>
        <w:jc w:val="both"/>
      </w:pPr>
    </w:p>
    <w:p w:rsidR="008B28E5" w:rsidRPr="00214891" w:rsidRDefault="00214891" w:rsidP="00980B2D">
      <w:pPr>
        <w:spacing w:after="0" w:line="240" w:lineRule="auto"/>
        <w:jc w:val="both"/>
        <w:rPr>
          <w:b/>
        </w:rPr>
      </w:pPr>
      <w:r>
        <w:rPr>
          <w:b/>
        </w:rPr>
        <w:t xml:space="preserve">Expanded </w:t>
      </w:r>
      <w:r w:rsidR="008B28E5" w:rsidRPr="00214891">
        <w:rPr>
          <w:b/>
        </w:rPr>
        <w:t>definition of “close relatives”</w:t>
      </w:r>
    </w:p>
    <w:p w:rsidR="008B28E5" w:rsidRDefault="008B28E5" w:rsidP="00980B2D">
      <w:pPr>
        <w:spacing w:after="0" w:line="240" w:lineRule="auto"/>
        <w:jc w:val="both"/>
      </w:pPr>
    </w:p>
    <w:p w:rsidR="008B28E5" w:rsidRDefault="00214891" w:rsidP="00980B2D">
      <w:pPr>
        <w:spacing w:after="0" w:line="240" w:lineRule="auto"/>
        <w:jc w:val="both"/>
      </w:pPr>
      <w:r>
        <w:t>To codify existing practice, t</w:t>
      </w:r>
      <w:r w:rsidR="008B28E5">
        <w:t xml:space="preserve">he definition of “close </w:t>
      </w:r>
      <w:r w:rsidR="003F5E7B">
        <w:t>relatives” h</w:t>
      </w:r>
      <w:r w:rsidR="008B28E5">
        <w:t xml:space="preserve">as </w:t>
      </w:r>
      <w:r w:rsidR="003F5E7B">
        <w:t xml:space="preserve">been </w:t>
      </w:r>
      <w:r w:rsidR="008B28E5">
        <w:t>expanded to include the following:</w:t>
      </w:r>
    </w:p>
    <w:p w:rsidR="008B28E5" w:rsidRDefault="008B28E5" w:rsidP="00980B2D">
      <w:pPr>
        <w:spacing w:after="0" w:line="240" w:lineRule="auto"/>
        <w:jc w:val="both"/>
      </w:pPr>
    </w:p>
    <w:p w:rsidR="008B28E5" w:rsidRDefault="008B28E5" w:rsidP="00980B2D">
      <w:pPr>
        <w:pStyle w:val="a4"/>
        <w:numPr>
          <w:ilvl w:val="0"/>
          <w:numId w:val="1"/>
        </w:numPr>
        <w:spacing w:after="0" w:line="240" w:lineRule="auto"/>
        <w:jc w:val="both"/>
      </w:pPr>
      <w:r>
        <w:t>the</w:t>
      </w:r>
      <w:r w:rsidRPr="008B28E5">
        <w:t xml:space="preserve"> person’s grandparents and grandchildren;</w:t>
      </w:r>
    </w:p>
    <w:p w:rsidR="008B28E5" w:rsidRDefault="008B28E5" w:rsidP="00980B2D">
      <w:pPr>
        <w:pStyle w:val="a4"/>
        <w:spacing w:after="0" w:line="240" w:lineRule="auto"/>
        <w:jc w:val="both"/>
      </w:pPr>
    </w:p>
    <w:p w:rsidR="008B28E5" w:rsidRDefault="008B28E5" w:rsidP="00980B2D">
      <w:pPr>
        <w:pStyle w:val="a4"/>
        <w:numPr>
          <w:ilvl w:val="0"/>
          <w:numId w:val="1"/>
        </w:numPr>
        <w:spacing w:after="0" w:line="240" w:lineRule="auto"/>
        <w:jc w:val="both"/>
      </w:pPr>
      <w:r>
        <w:t>the person’s siblings, their spouse or de facto spouse and their children; and</w:t>
      </w:r>
    </w:p>
    <w:p w:rsidR="008B28E5" w:rsidRDefault="008B28E5" w:rsidP="00980B2D">
      <w:pPr>
        <w:spacing w:after="0" w:line="240" w:lineRule="auto"/>
        <w:jc w:val="both"/>
      </w:pPr>
    </w:p>
    <w:p w:rsidR="008B28E5" w:rsidRDefault="008B28E5" w:rsidP="00980B2D">
      <w:pPr>
        <w:pStyle w:val="a4"/>
        <w:numPr>
          <w:ilvl w:val="0"/>
          <w:numId w:val="1"/>
        </w:numPr>
        <w:spacing w:after="0" w:line="240" w:lineRule="auto"/>
        <w:jc w:val="both"/>
      </w:pPr>
      <w:r w:rsidRPr="008B28E5">
        <w:t>the parents and siblings of the person’s spouse or de facto spouse.</w:t>
      </w:r>
    </w:p>
    <w:p w:rsidR="00214891" w:rsidRDefault="00214891" w:rsidP="00980B2D">
      <w:pPr>
        <w:spacing w:after="0" w:line="240" w:lineRule="auto"/>
        <w:jc w:val="both"/>
      </w:pPr>
    </w:p>
    <w:p w:rsidR="00214891" w:rsidRDefault="00214891" w:rsidP="00980B2D">
      <w:pPr>
        <w:spacing w:after="0" w:line="240" w:lineRule="auto"/>
        <w:jc w:val="both"/>
      </w:pPr>
      <w:r w:rsidRPr="00214891">
        <w:t xml:space="preserve">The revised definition </w:t>
      </w:r>
      <w:r w:rsidR="003F5E7B">
        <w:t>clarifies</w:t>
      </w:r>
      <w:r w:rsidRPr="00214891">
        <w:t xml:space="preserve"> that “children” include natural, adopted and step-children.</w:t>
      </w:r>
      <w:r w:rsidR="00753FCB">
        <w:t xml:space="preserve"> The SFC will allow a</w:t>
      </w:r>
      <w:r w:rsidR="00753FCB" w:rsidRPr="00753FCB">
        <w:t xml:space="preserve">pplications to rebut the presumption of acting in concert </w:t>
      </w:r>
      <w:r w:rsidR="00330887">
        <w:t>on the basis of being</w:t>
      </w:r>
      <w:r w:rsidR="00A0360D">
        <w:t xml:space="preserve"> a close relative </w:t>
      </w:r>
      <w:r w:rsidR="00753FCB" w:rsidRPr="00753FCB">
        <w:t>and,</w:t>
      </w:r>
      <w:r w:rsidR="00A0360D">
        <w:t xml:space="preserve"> as in other cases</w:t>
      </w:r>
      <w:r w:rsidR="00753FCB" w:rsidRPr="00753FCB">
        <w:t xml:space="preserve">, the burden of proof </w:t>
      </w:r>
      <w:r w:rsidR="00A0360D">
        <w:t>is</w:t>
      </w:r>
      <w:r w:rsidR="00753FCB" w:rsidRPr="00753FCB">
        <w:t xml:space="preserve"> on the applicant.</w:t>
      </w:r>
      <w:r w:rsidR="00A0360D">
        <w:t xml:space="preserve"> </w:t>
      </w:r>
      <w:r w:rsidR="00A0360D" w:rsidRPr="00A0360D">
        <w:t>However, the SFC noted in the Consultation Paper that it is unlikely to accept arguments that parties are not in regular contact, or have not seen each other for a period, as grounds for rebutting the presumption unless there is corroborative evidence (</w:t>
      </w:r>
      <w:proofErr w:type="gramStart"/>
      <w:r w:rsidR="00A0360D" w:rsidRPr="00A0360D">
        <w:t>e.g.</w:t>
      </w:r>
      <w:proofErr w:type="gramEnd"/>
      <w:r w:rsidR="00A0360D" w:rsidRPr="00A0360D">
        <w:t xml:space="preserve"> litigation between family members evidencing a breakdown of the family relationship).</w:t>
      </w:r>
      <w:r w:rsidR="00A0360D" w:rsidRPr="00A0360D">
        <w:rPr>
          <w:rFonts w:hint="eastAsia"/>
          <w:vertAlign w:val="superscript"/>
        </w:rPr>
        <w:footnoteReference w:id="1"/>
      </w:r>
      <w:r w:rsidR="00A0360D" w:rsidRPr="00A0360D">
        <w:rPr>
          <w:vertAlign w:val="superscript"/>
        </w:rPr>
        <w:t xml:space="preserve"> </w:t>
      </w:r>
    </w:p>
    <w:p w:rsidR="005D5517" w:rsidRDefault="005D5517" w:rsidP="00980B2D">
      <w:pPr>
        <w:spacing w:after="0" w:line="240" w:lineRule="auto"/>
        <w:jc w:val="both"/>
      </w:pPr>
    </w:p>
    <w:p w:rsidR="0087755E" w:rsidRDefault="0065659F" w:rsidP="00980B2D">
      <w:pPr>
        <w:spacing w:after="0" w:line="240" w:lineRule="auto"/>
        <w:jc w:val="both"/>
        <w:rPr>
          <w:b/>
        </w:rPr>
      </w:pPr>
      <w:r>
        <w:rPr>
          <w:b/>
        </w:rPr>
        <w:t>Revised d</w:t>
      </w:r>
      <w:r w:rsidRPr="0065659F">
        <w:rPr>
          <w:b/>
        </w:rPr>
        <w:t>efinition of “voting rights”</w:t>
      </w:r>
    </w:p>
    <w:p w:rsidR="0065659F" w:rsidRDefault="0065659F" w:rsidP="00980B2D">
      <w:pPr>
        <w:spacing w:after="0" w:line="240" w:lineRule="auto"/>
        <w:jc w:val="both"/>
        <w:rPr>
          <w:b/>
        </w:rPr>
      </w:pPr>
    </w:p>
    <w:p w:rsidR="0065659F" w:rsidRDefault="0065659F" w:rsidP="00980B2D">
      <w:pPr>
        <w:spacing w:after="0" w:line="240" w:lineRule="auto"/>
        <w:jc w:val="both"/>
      </w:pPr>
      <w:r w:rsidRPr="0065659F">
        <w:t>The de</w:t>
      </w:r>
      <w:r w:rsidR="003F5E7B">
        <w:t xml:space="preserve">finition of “voting rights” </w:t>
      </w:r>
      <w:r w:rsidR="00A0360D">
        <w:t xml:space="preserve">is relevant to determining whether there has been an acquisition of “control” of a </w:t>
      </w:r>
      <w:r w:rsidR="00A0360D" w:rsidRPr="00A0360D">
        <w:t>Hong Kong-listed company (</w:t>
      </w:r>
      <w:r w:rsidR="00A0360D" w:rsidRPr="00A0360D">
        <w:rPr>
          <w:b/>
          <w:bCs/>
        </w:rPr>
        <w:t>HKEX-listed company</w:t>
      </w:r>
      <w:r w:rsidR="00A0360D" w:rsidRPr="00A0360D">
        <w:t>) (or other company to which the code applies</w:t>
      </w:r>
      <w:r w:rsidR="00A0360D">
        <w:rPr>
          <w:rStyle w:val="ab"/>
        </w:rPr>
        <w:footnoteReference w:id="2"/>
      </w:r>
      <w:r w:rsidR="00A0360D" w:rsidRPr="00A0360D">
        <w:t>)</w:t>
      </w:r>
      <w:r w:rsidR="00A0360D">
        <w:rPr>
          <w:rFonts w:ascii="Inter" w:hAnsi="Inter"/>
          <w:color w:val="2B2B2B"/>
          <w:sz w:val="21"/>
          <w:szCs w:val="21"/>
          <w:shd w:val="clear" w:color="auto" w:fill="FFFFFF"/>
        </w:rPr>
        <w:t>.</w:t>
      </w:r>
      <w:r w:rsidR="009E4484">
        <w:rPr>
          <w:rFonts w:ascii="Inter" w:hAnsi="Inter"/>
          <w:color w:val="2B2B2B"/>
          <w:sz w:val="21"/>
          <w:szCs w:val="21"/>
          <w:shd w:val="clear" w:color="auto" w:fill="FFFFFF"/>
        </w:rPr>
        <w:t xml:space="preserve"> </w:t>
      </w:r>
      <w:r w:rsidR="009E4484" w:rsidRPr="009E4484">
        <w:t xml:space="preserve">“Control” is defined as holding 30% or more of a company’s voting rights which </w:t>
      </w:r>
      <w:r w:rsidR="009E4484">
        <w:t>we</w:t>
      </w:r>
      <w:r w:rsidR="009E4484" w:rsidRPr="009E4484">
        <w:t xml:space="preserve">re </w:t>
      </w:r>
      <w:r w:rsidR="009E4484">
        <w:t xml:space="preserve">previously </w:t>
      </w:r>
      <w:r w:rsidR="009E4484" w:rsidRPr="009E4484">
        <w:lastRenderedPageBreak/>
        <w:t>defined as “voting rights </w:t>
      </w:r>
      <w:r w:rsidR="009E4484" w:rsidRPr="009E4484">
        <w:rPr>
          <w:i/>
          <w:iCs/>
        </w:rPr>
        <w:t>currently</w:t>
      </w:r>
      <w:r w:rsidR="009E4484" w:rsidRPr="009E4484">
        <w:t> exercisable at a general meeting of a company whether or not attributable to the share capital of the company” (</w:t>
      </w:r>
      <w:r w:rsidR="009E4484" w:rsidRPr="009E4484">
        <w:rPr>
          <w:i/>
          <w:iCs/>
        </w:rPr>
        <w:t>emphasis</w:t>
      </w:r>
      <w:r w:rsidR="009E4484" w:rsidRPr="009E4484">
        <w:t> added).</w:t>
      </w:r>
      <w:r w:rsidR="009E4484">
        <w:t xml:space="preserve"> That definition</w:t>
      </w:r>
      <w:r w:rsidR="00A0360D">
        <w:t xml:space="preserve"> </w:t>
      </w:r>
      <w:r w:rsidR="003F5E7B">
        <w:t>h</w:t>
      </w:r>
      <w:r>
        <w:t xml:space="preserve">as </w:t>
      </w:r>
      <w:r w:rsidR="009E4484">
        <w:t xml:space="preserve">now </w:t>
      </w:r>
      <w:r w:rsidR="003F5E7B">
        <w:t xml:space="preserve">been </w:t>
      </w:r>
      <w:r>
        <w:t xml:space="preserve">amended to </w:t>
      </w:r>
      <w:r w:rsidR="00737B4A">
        <w:t xml:space="preserve">clarify that </w:t>
      </w:r>
      <w:r>
        <w:t xml:space="preserve">voting rights </w:t>
      </w:r>
      <w:r w:rsidR="00737B4A">
        <w:t xml:space="preserve">are regarded as </w:t>
      </w:r>
      <w:r>
        <w:t xml:space="preserve">exercisable at </w:t>
      </w:r>
      <w:r w:rsidR="003F5E7B">
        <w:t xml:space="preserve">a </w:t>
      </w:r>
      <w:r>
        <w:t xml:space="preserve">general meeting </w:t>
      </w:r>
      <w:r w:rsidR="003F5E7B">
        <w:t>irrespective of any</w:t>
      </w:r>
      <w:r>
        <w:t xml:space="preserve"> restrictions </w:t>
      </w:r>
      <w:r w:rsidR="00737B4A">
        <w:t xml:space="preserve">on their exercise </w:t>
      </w:r>
      <w:r w:rsidRPr="0065659F">
        <w:t>(</w:t>
      </w:r>
      <w:proofErr w:type="gramStart"/>
      <w:r w:rsidRPr="0065659F">
        <w:t>e.g.</w:t>
      </w:r>
      <w:proofErr w:type="gramEnd"/>
      <w:r w:rsidRPr="0065659F">
        <w:t xml:space="preserve"> by agreement between the parties, by operation of law and regulations, or under a court order)</w:t>
      </w:r>
      <w:r w:rsidR="003F5E7B">
        <w:t>,</w:t>
      </w:r>
      <w:r>
        <w:t xml:space="preserve"> except for the voting rights attached to treasury shares. </w:t>
      </w:r>
      <w:r w:rsidR="009E4484" w:rsidRPr="009E4484">
        <w:t xml:space="preserve">Accordingly, </w:t>
      </w:r>
      <w:r w:rsidR="009E4484">
        <w:t xml:space="preserve">if </w:t>
      </w:r>
      <w:r w:rsidR="009E4484" w:rsidRPr="009E4484">
        <w:t xml:space="preserve">a person acquires 30% </w:t>
      </w:r>
      <w:r w:rsidR="009E4484">
        <w:t xml:space="preserve">or more </w:t>
      </w:r>
      <w:r w:rsidR="009E4484" w:rsidRPr="009E4484">
        <w:t>of a</w:t>
      </w:r>
      <w:r w:rsidR="009E4484">
        <w:t>n HKEX-listed</w:t>
      </w:r>
      <w:r w:rsidR="009E4484" w:rsidRPr="009E4484">
        <w:t xml:space="preserve"> company’s voting rights</w:t>
      </w:r>
      <w:r w:rsidR="009E4484">
        <w:t>, they</w:t>
      </w:r>
      <w:r w:rsidR="009E4484" w:rsidRPr="009E4484">
        <w:t xml:space="preserve"> will </w:t>
      </w:r>
      <w:r w:rsidR="009E4484">
        <w:t xml:space="preserve">be required </w:t>
      </w:r>
      <w:r w:rsidR="009E4484" w:rsidRPr="009E4484">
        <w:t xml:space="preserve">to make a mandatory general offer under Rule 26.1 of the Hong Kong Takeovers Code </w:t>
      </w:r>
      <w:r w:rsidR="009E4484">
        <w:t xml:space="preserve">even if </w:t>
      </w:r>
      <w:r w:rsidR="009E4484" w:rsidRPr="009E4484">
        <w:t>the voting rights are subject to an injunction prohibiting that person from exercising them.</w:t>
      </w:r>
    </w:p>
    <w:p w:rsidR="0065659F" w:rsidRDefault="0065659F" w:rsidP="00980B2D">
      <w:pPr>
        <w:spacing w:after="0" w:line="240" w:lineRule="auto"/>
        <w:jc w:val="both"/>
      </w:pPr>
    </w:p>
    <w:p w:rsidR="0065659F" w:rsidRPr="00D4602D" w:rsidRDefault="0065659F" w:rsidP="00980B2D">
      <w:pPr>
        <w:spacing w:after="0" w:line="240" w:lineRule="auto"/>
        <w:jc w:val="both"/>
        <w:rPr>
          <w:b/>
        </w:rPr>
      </w:pPr>
      <w:r w:rsidRPr="00D4602D">
        <w:rPr>
          <w:b/>
        </w:rPr>
        <w:t>Shareholders’ approval and a</w:t>
      </w:r>
      <w:r w:rsidR="00980B2D">
        <w:rPr>
          <w:b/>
        </w:rPr>
        <w:t>cceptance</w:t>
      </w:r>
      <w:r w:rsidR="00B6679F">
        <w:rPr>
          <w:b/>
        </w:rPr>
        <w:t xml:space="preserve">: </w:t>
      </w:r>
      <w:r w:rsidR="00B6679F" w:rsidRPr="00B6679F">
        <w:rPr>
          <w:b/>
        </w:rPr>
        <w:t>Note to Rule 2.2(c) of the Hong Kong Takeovers Code</w:t>
      </w:r>
    </w:p>
    <w:p w:rsidR="003C627C" w:rsidRDefault="003C627C" w:rsidP="00980B2D">
      <w:pPr>
        <w:spacing w:after="0" w:line="240" w:lineRule="auto"/>
        <w:jc w:val="both"/>
      </w:pPr>
    </w:p>
    <w:p w:rsidR="00E04113" w:rsidRDefault="00E04113" w:rsidP="00980B2D">
      <w:pPr>
        <w:spacing w:after="0" w:line="240" w:lineRule="auto"/>
        <w:jc w:val="both"/>
      </w:pPr>
      <w:r w:rsidRPr="00E04113">
        <w:t>Under Rule 2.2(c) of the Hong Kong Takeovers Code, a shareholders’ resolution approving an HKEX-listed company’s delisting after a proposed offer must be subject to the offeror being entitled to exercise, and exercising, rights to compulsorily acquire the remaining shares. If an offeree company is incorporated in a jurisdiction without compulsory acquisition rights, the SFC will waive the requirement provided the three conditions set out in the Note to Rule 2.2 are met. In particular, in addition to obtaining the requisite shareholders’ approval, the offeror must receive valid acceptances of 90% of the disinterested shares. However, condition</w:t>
      </w:r>
      <w:r w:rsidR="00592843">
        <w:t xml:space="preserve"> (iii) to the Note to Rule 2.2 wa</w:t>
      </w:r>
      <w:r w:rsidRPr="00E04113">
        <w:t>s</w:t>
      </w:r>
      <w:r w:rsidR="00592843">
        <w:t xml:space="preserve"> previously</w:t>
      </w:r>
      <w:r w:rsidRPr="00E04113">
        <w:t xml:space="preserve"> silent as to whether purchases made by an offero</w:t>
      </w:r>
      <w:r w:rsidR="00592843">
        <w:t>r and its concert parties could</w:t>
      </w:r>
      <w:r w:rsidRPr="00E04113">
        <w:t xml:space="preserve"> be included when determining whether the 90% of disinterested shares threshold has been met.</w:t>
      </w:r>
    </w:p>
    <w:p w:rsidR="00592843" w:rsidRDefault="00592843" w:rsidP="00980B2D">
      <w:pPr>
        <w:spacing w:after="0" w:line="240" w:lineRule="auto"/>
        <w:jc w:val="both"/>
      </w:pPr>
    </w:p>
    <w:p w:rsidR="00137242" w:rsidRDefault="00CD732B" w:rsidP="00980B2D">
      <w:pPr>
        <w:spacing w:after="0" w:line="240" w:lineRule="auto"/>
        <w:jc w:val="both"/>
      </w:pPr>
      <w:r>
        <w:t xml:space="preserve">The SFC </w:t>
      </w:r>
      <w:r w:rsidR="003F5E7B">
        <w:t xml:space="preserve">has </w:t>
      </w:r>
      <w:r w:rsidR="00592843">
        <w:t xml:space="preserve">now </w:t>
      </w:r>
      <w:r>
        <w:t xml:space="preserve">revised </w:t>
      </w:r>
      <w:r w:rsidRPr="00CD732B">
        <w:t>condition (iii) of the Note to Rule 2.2 to expressly include purchases made by the offeror and persons acting in concert with it from the date of the announcement of a firm intention to make an offer, when determining whether the 90% of the disinterested shares threshold has been met.</w:t>
      </w:r>
    </w:p>
    <w:p w:rsidR="00610B52" w:rsidRPr="00C86E06" w:rsidRDefault="00610B52" w:rsidP="00980B2D">
      <w:pPr>
        <w:spacing w:after="0" w:line="240" w:lineRule="auto"/>
        <w:jc w:val="both"/>
      </w:pPr>
    </w:p>
    <w:p w:rsidR="00CD732B" w:rsidRPr="00610B52" w:rsidRDefault="00610B52" w:rsidP="00980B2D">
      <w:pPr>
        <w:spacing w:after="0" w:line="240" w:lineRule="auto"/>
        <w:jc w:val="both"/>
        <w:rPr>
          <w:b/>
        </w:rPr>
      </w:pPr>
      <w:r w:rsidRPr="00610B52">
        <w:rPr>
          <w:b/>
        </w:rPr>
        <w:t>Rule 2.11 of the Hong Kong Takeovers Code</w:t>
      </w:r>
    </w:p>
    <w:p w:rsidR="00CD732B" w:rsidRDefault="00CD732B" w:rsidP="00980B2D">
      <w:pPr>
        <w:spacing w:after="0" w:line="240" w:lineRule="auto"/>
        <w:jc w:val="both"/>
      </w:pPr>
    </w:p>
    <w:p w:rsidR="006D5224" w:rsidRPr="008D2DC5" w:rsidRDefault="006D5224" w:rsidP="00980B2D">
      <w:pPr>
        <w:spacing w:after="0" w:line="240" w:lineRule="auto"/>
        <w:jc w:val="both"/>
      </w:pPr>
      <w:r w:rsidRPr="008D2DC5">
        <w:rPr>
          <w:rFonts w:hint="eastAsia"/>
        </w:rPr>
        <w:t>Rule 2.11 requires an offeror and its concert parties to have acquired 90% of the offeree company</w:t>
      </w:r>
      <w:r w:rsidR="00660281">
        <w:t>’</w:t>
      </w:r>
      <w:r w:rsidRPr="008D2DC5">
        <w:rPr>
          <w:rFonts w:hint="eastAsia"/>
        </w:rPr>
        <w:t xml:space="preserve">s disinterested shares before exercising its compulsory acquisition rights. The language of Rule 2.11 </w:t>
      </w:r>
      <w:r>
        <w:t>previously only allowed</w:t>
      </w:r>
      <w:r w:rsidRPr="008D2DC5">
        <w:rPr>
          <w:rFonts w:hint="eastAsia"/>
        </w:rPr>
        <w:t xml:space="preserve"> purchases made by an offeror and its concert parties during the period of 4 months after the posting of the initial offer document, together with acceptances, to count towards the 90% threshold.</w:t>
      </w:r>
    </w:p>
    <w:p w:rsidR="006D5224" w:rsidRDefault="006D5224" w:rsidP="00980B2D">
      <w:pPr>
        <w:spacing w:after="0" w:line="240" w:lineRule="auto"/>
        <w:jc w:val="both"/>
      </w:pPr>
    </w:p>
    <w:p w:rsidR="00F227C5" w:rsidRDefault="00E003FC" w:rsidP="00980B2D">
      <w:pPr>
        <w:spacing w:after="0" w:line="240" w:lineRule="auto"/>
        <w:jc w:val="both"/>
      </w:pPr>
      <w:r>
        <w:t xml:space="preserve">To align </w:t>
      </w:r>
      <w:r w:rsidR="006D5224">
        <w:t xml:space="preserve">with </w:t>
      </w:r>
      <w:r>
        <w:t xml:space="preserve">Rule 2.2, </w:t>
      </w:r>
      <w:r w:rsidR="00F227C5">
        <w:t xml:space="preserve">Rule 2.11 </w:t>
      </w:r>
      <w:r w:rsidR="003F5E7B">
        <w:t>h</w:t>
      </w:r>
      <w:r w:rsidR="00300092">
        <w:t xml:space="preserve">as </w:t>
      </w:r>
      <w:r w:rsidR="003F5E7B">
        <w:t xml:space="preserve">been </w:t>
      </w:r>
      <w:r w:rsidR="00300092">
        <w:t xml:space="preserve">amended </w:t>
      </w:r>
      <w:r w:rsidR="006D5224">
        <w:t xml:space="preserve">so </w:t>
      </w:r>
      <w:r w:rsidR="00300092">
        <w:t xml:space="preserve">that </w:t>
      </w:r>
      <w:r w:rsidR="00300092" w:rsidRPr="00300092">
        <w:t>purchases made by an offeror and its concert parties from the date of the announcement of a firm intention to make an offer until the end of 4 months after the posting of the initial offer document can count (with acceptances) towards the 90% of the offeree company’s disinterested shares threshold for the purpose of the offeror’s entitlement to exercise its compulsory acquisition rights.</w:t>
      </w:r>
    </w:p>
    <w:p w:rsidR="00300092" w:rsidRDefault="00300092" w:rsidP="00980B2D">
      <w:pPr>
        <w:spacing w:after="0" w:line="240" w:lineRule="auto"/>
        <w:jc w:val="both"/>
      </w:pPr>
    </w:p>
    <w:p w:rsidR="00300092" w:rsidRPr="000B741E" w:rsidRDefault="000B741E" w:rsidP="00980B2D">
      <w:pPr>
        <w:spacing w:after="0" w:line="240" w:lineRule="auto"/>
        <w:jc w:val="both"/>
        <w:rPr>
          <w:b/>
        </w:rPr>
      </w:pPr>
      <w:r w:rsidRPr="000B741E">
        <w:rPr>
          <w:b/>
        </w:rPr>
        <w:t>Rules 2.2 and 2.10 of the Hong Kong Takeovers Code</w:t>
      </w:r>
    </w:p>
    <w:p w:rsidR="00610B52" w:rsidRDefault="00610B52" w:rsidP="00980B2D">
      <w:pPr>
        <w:spacing w:after="0" w:line="240" w:lineRule="auto"/>
        <w:jc w:val="both"/>
      </w:pPr>
    </w:p>
    <w:p w:rsidR="00AC4C33" w:rsidRDefault="00AC4C33" w:rsidP="00980B2D">
      <w:pPr>
        <w:spacing w:after="0" w:line="240" w:lineRule="auto"/>
        <w:jc w:val="both"/>
      </w:pPr>
      <w:r>
        <w:t>Rules 2.2</w:t>
      </w:r>
      <w:r w:rsidR="007F6D7F">
        <w:t>(a)</w:t>
      </w:r>
      <w:r>
        <w:t xml:space="preserve"> and 2.10</w:t>
      </w:r>
      <w:r w:rsidR="007F6D7F">
        <w:t>(a)</w:t>
      </w:r>
      <w:r>
        <w:t xml:space="preserve"> </w:t>
      </w:r>
      <w:r w:rsidR="00172EEE">
        <w:t>have been</w:t>
      </w:r>
      <w:r>
        <w:t xml:space="preserve"> amended </w:t>
      </w:r>
      <w:r w:rsidR="005C472C">
        <w:t xml:space="preserve">so </w:t>
      </w:r>
      <w:r>
        <w:t xml:space="preserve">that </w:t>
      </w:r>
      <w:r w:rsidR="005C472C">
        <w:t>an offeror and its concert parties can attend and vote at meetings held to consider</w:t>
      </w:r>
      <w:r>
        <w:t xml:space="preserve"> a scheme of arrangement, capital </w:t>
      </w:r>
      <w:proofErr w:type="spellStart"/>
      <w:r>
        <w:t>reorgani</w:t>
      </w:r>
      <w:r w:rsidR="00A030C2">
        <w:t>s</w:t>
      </w:r>
      <w:r>
        <w:t>ation</w:t>
      </w:r>
      <w:proofErr w:type="spellEnd"/>
      <w:r>
        <w:t xml:space="preserve"> or delisting proposal</w:t>
      </w:r>
      <w:r w:rsidR="005C472C">
        <w:t xml:space="preserve">, </w:t>
      </w:r>
      <w:r w:rsidR="00207AFC">
        <w:t xml:space="preserve">although </w:t>
      </w:r>
      <w:r w:rsidR="005C472C">
        <w:t xml:space="preserve">their votes </w:t>
      </w:r>
      <w:r w:rsidR="00207AFC">
        <w:t xml:space="preserve">do </w:t>
      </w:r>
      <w:r w:rsidR="00207AFC" w:rsidRPr="008D2DC5">
        <w:rPr>
          <w:u w:val="single"/>
        </w:rPr>
        <w:t>not</w:t>
      </w:r>
      <w:r w:rsidR="00207AFC">
        <w:t xml:space="preserve"> count</w:t>
      </w:r>
      <w:r w:rsidR="005C472C">
        <w:t xml:space="preserve"> in determining whether </w:t>
      </w:r>
      <w:r w:rsidR="00207AFC">
        <w:t xml:space="preserve">the requirements of those rules (including the voting thresholds) have been met. </w:t>
      </w:r>
      <w:r w:rsidR="00421A85">
        <w:t xml:space="preserve">The rules now refer to approval of the </w:t>
      </w:r>
      <w:r w:rsidR="007F6D7F">
        <w:t xml:space="preserve">scheme of arrangement, capital </w:t>
      </w:r>
      <w:proofErr w:type="spellStart"/>
      <w:r w:rsidR="007F6D7F">
        <w:t>reorganisation</w:t>
      </w:r>
      <w:proofErr w:type="spellEnd"/>
      <w:r w:rsidR="007F6D7F">
        <w:t xml:space="preserve"> or </w:t>
      </w:r>
      <w:r w:rsidR="00421A85">
        <w:t>delisting</w:t>
      </w:r>
      <w:r w:rsidR="007F6D7F">
        <w:t xml:space="preserve"> by </w:t>
      </w:r>
      <w:r w:rsidRPr="00AC4C33">
        <w:t>at least 75% of the votes attaching to the disinterested shares that are cast either in person or by proxy at a duly convened meeting of “shareholders” (rather than of “disinterested shareholders”)</w:t>
      </w:r>
      <w:r>
        <w:t>.</w:t>
      </w:r>
    </w:p>
    <w:p w:rsidR="00AC4C33" w:rsidRDefault="00AC4C33" w:rsidP="00980B2D">
      <w:pPr>
        <w:spacing w:after="0" w:line="240" w:lineRule="auto"/>
        <w:jc w:val="both"/>
      </w:pPr>
    </w:p>
    <w:p w:rsidR="00082FD9" w:rsidRDefault="001D4CEC" w:rsidP="00980B2D">
      <w:pPr>
        <w:spacing w:after="0" w:line="240" w:lineRule="auto"/>
        <w:jc w:val="both"/>
      </w:pPr>
      <w:r>
        <w:t>Rules 2.2 and 2.10 were previously silent as to what procedures need to be complied with for convening a shareholder meeting.</w:t>
      </w:r>
      <w:r w:rsidRPr="001D4CEC">
        <w:t xml:space="preserve"> </w:t>
      </w:r>
      <w:r w:rsidR="007823A1" w:rsidRPr="00570DB2">
        <w:t>To clarify the uncertainty regarding the</w:t>
      </w:r>
      <w:r w:rsidR="007823A1">
        <w:t xml:space="preserve"> form of</w:t>
      </w:r>
      <w:r w:rsidR="007823A1" w:rsidRPr="00570DB2">
        <w:t xml:space="preserve"> shareholders’ meeting</w:t>
      </w:r>
      <w:r w:rsidR="007823A1">
        <w:t xml:space="preserve">, </w:t>
      </w:r>
      <w:proofErr w:type="gramStart"/>
      <w:r w:rsidR="00BE4A74" w:rsidRPr="00BE4A74">
        <w:t>Note</w:t>
      </w:r>
      <w:proofErr w:type="gramEnd"/>
      <w:r w:rsidR="00BE4A74" w:rsidRPr="00BE4A74">
        <w:t xml:space="preserve"> 8 to Rule 2 </w:t>
      </w:r>
      <w:r w:rsidR="00172EEE">
        <w:t>has been</w:t>
      </w:r>
      <w:r w:rsidR="00BE4A74">
        <w:t xml:space="preserve"> added </w:t>
      </w:r>
      <w:r w:rsidR="00BE4A74" w:rsidRPr="00BE4A74">
        <w:t>stating that a “duly convened meeting of shareholders”, for the purposes of Hong Kong Takeovers Code Rules 2.10 and 2.2, “refers to a shareholders’ meeting duly convened in accordance with the offeree company’s constitutional documents and the company law of its place of incorporation”.</w:t>
      </w:r>
    </w:p>
    <w:p w:rsidR="00A11A27" w:rsidRDefault="00A11A27" w:rsidP="00980B2D">
      <w:pPr>
        <w:spacing w:after="0" w:line="240" w:lineRule="auto"/>
        <w:jc w:val="both"/>
      </w:pPr>
    </w:p>
    <w:p w:rsidR="00C12E2D" w:rsidRDefault="00FD7F4C" w:rsidP="00980B2D">
      <w:pPr>
        <w:spacing w:after="0" w:line="240" w:lineRule="auto"/>
        <w:jc w:val="both"/>
        <w:rPr>
          <w:b/>
        </w:rPr>
      </w:pPr>
      <w:r w:rsidRPr="00FD7F4C">
        <w:rPr>
          <w:b/>
        </w:rPr>
        <w:t xml:space="preserve">Note 4 to Rules 3.1, 3.2 and 3.3 </w:t>
      </w:r>
      <w:r w:rsidRPr="000B741E">
        <w:rPr>
          <w:b/>
        </w:rPr>
        <w:t>of the Hong Kong Takeovers Code</w:t>
      </w:r>
      <w:r w:rsidRPr="00C12E2D">
        <w:rPr>
          <w:b/>
        </w:rPr>
        <w:t xml:space="preserve"> </w:t>
      </w:r>
      <w:r>
        <w:rPr>
          <w:b/>
        </w:rPr>
        <w:t xml:space="preserve">- </w:t>
      </w:r>
      <w:r w:rsidR="00C12E2D" w:rsidRPr="00C12E2D">
        <w:rPr>
          <w:b/>
        </w:rPr>
        <w:t xml:space="preserve">Irrevocable </w:t>
      </w:r>
      <w:r w:rsidR="00227E91">
        <w:rPr>
          <w:b/>
        </w:rPr>
        <w:t>c</w:t>
      </w:r>
      <w:r w:rsidR="00C12E2D" w:rsidRPr="00C12E2D">
        <w:rPr>
          <w:b/>
        </w:rPr>
        <w:t>ommitments</w:t>
      </w:r>
    </w:p>
    <w:p w:rsidR="001D31CC" w:rsidRDefault="001D31CC" w:rsidP="00980B2D">
      <w:pPr>
        <w:spacing w:after="0" w:line="240" w:lineRule="auto"/>
        <w:jc w:val="both"/>
        <w:rPr>
          <w:b/>
        </w:rPr>
      </w:pPr>
    </w:p>
    <w:p w:rsidR="009F2A86" w:rsidRDefault="00B9798B" w:rsidP="00980B2D">
      <w:pPr>
        <w:spacing w:after="0" w:line="240" w:lineRule="auto"/>
        <w:jc w:val="both"/>
      </w:pPr>
      <w:r>
        <w:t>T</w:t>
      </w:r>
      <w:r w:rsidRPr="00B9798B">
        <w:t>o streamline the process for offerors to gather irrevocable commitments</w:t>
      </w:r>
      <w:r>
        <w:t xml:space="preserve">, </w:t>
      </w:r>
      <w:r w:rsidR="00771FBD" w:rsidRPr="00771FBD">
        <w:t xml:space="preserve">Note </w:t>
      </w:r>
      <w:r w:rsidR="00771FBD">
        <w:t xml:space="preserve">4 to Rules 3.1, 3.2 and 3.3 </w:t>
      </w:r>
      <w:r w:rsidR="00497412">
        <w:t xml:space="preserve">and </w:t>
      </w:r>
      <w:hyperlink r:id="rId12" w:history="1">
        <w:r w:rsidR="00497412" w:rsidRPr="009B7D6F">
          <w:rPr>
            <w:rStyle w:val="a3"/>
          </w:rPr>
          <w:t>Practice Note 12</w:t>
        </w:r>
      </w:hyperlink>
      <w:r w:rsidR="00497412">
        <w:t xml:space="preserve"> </w:t>
      </w:r>
      <w:r w:rsidR="00AA5B36">
        <w:t>ha</w:t>
      </w:r>
      <w:r w:rsidR="00AB3C6A">
        <w:t>ve</w:t>
      </w:r>
      <w:r w:rsidR="00AA5B36">
        <w:t xml:space="preserve"> been</w:t>
      </w:r>
      <w:r w:rsidR="00771FBD">
        <w:t xml:space="preserve"> amended </w:t>
      </w:r>
      <w:r w:rsidR="00AB3C6A">
        <w:t xml:space="preserve">so that </w:t>
      </w:r>
      <w:r w:rsidR="00771FBD" w:rsidRPr="00771FBD">
        <w:t xml:space="preserve">an offeror </w:t>
      </w:r>
      <w:r w:rsidR="00AB3C6A">
        <w:t xml:space="preserve">is not required </w:t>
      </w:r>
      <w:r w:rsidR="00771FBD" w:rsidRPr="00771FBD">
        <w:t>to consult the Takeovers Executive</w:t>
      </w:r>
      <w:r w:rsidR="00771FBD">
        <w:rPr>
          <w:rStyle w:val="ab"/>
        </w:rPr>
        <w:footnoteReference w:id="3"/>
      </w:r>
      <w:r w:rsidR="00D7384F">
        <w:t xml:space="preserve"> (the </w:t>
      </w:r>
      <w:r w:rsidR="001D31CC" w:rsidRPr="00D7384F">
        <w:rPr>
          <w:b/>
        </w:rPr>
        <w:t>Executive</w:t>
      </w:r>
      <w:r w:rsidR="00D7384F">
        <w:t>)</w:t>
      </w:r>
      <w:r w:rsidR="00771FBD" w:rsidRPr="00771FBD">
        <w:t xml:space="preserve"> </w:t>
      </w:r>
      <w:r w:rsidR="00AB3C6A">
        <w:t xml:space="preserve">before </w:t>
      </w:r>
      <w:r w:rsidR="00771FBD" w:rsidRPr="00771FBD">
        <w:t>approaching a shareholder with a material interest</w:t>
      </w:r>
      <w:r w:rsidR="00467BEB">
        <w:t>. A shareholder has a material interest if they and their concert parties</w:t>
      </w:r>
      <w:r w:rsidR="00771FBD" w:rsidRPr="00771FBD">
        <w:t xml:space="preserve"> </w:t>
      </w:r>
      <w:r w:rsidR="00467BEB">
        <w:t>have direct or indirect control of</w:t>
      </w:r>
      <w:r w:rsidR="00771FBD" w:rsidRPr="00771FBD">
        <w:t xml:space="preserve"> 5% or more of an offeree company’s voting rights</w:t>
      </w:r>
      <w:r w:rsidR="00FD7F4C">
        <w:t>.</w:t>
      </w:r>
      <w:r>
        <w:t xml:space="preserve"> </w:t>
      </w:r>
      <w:r w:rsidR="00AB3C6A">
        <w:t xml:space="preserve">Offerors will only need to consult the Executive if they intend to approach shareholders without a material interest in the offeree company. They will also be restricted to approaching a </w:t>
      </w:r>
      <w:r w:rsidR="00397115" w:rsidRPr="00397115">
        <w:t>maximum of six shareholders, regardless of whether they have a material interest or not</w:t>
      </w:r>
      <w:r w:rsidR="00397115">
        <w:t>.</w:t>
      </w:r>
      <w:r w:rsidR="00564081" w:rsidRPr="00564081">
        <w:t xml:space="preserve"> </w:t>
      </w:r>
      <w:r w:rsidR="00467BEB">
        <w:t xml:space="preserve">Revised </w:t>
      </w:r>
      <w:hyperlink r:id="rId13" w:history="1">
        <w:r w:rsidR="00564081" w:rsidRPr="009B7D6F">
          <w:rPr>
            <w:rStyle w:val="a3"/>
          </w:rPr>
          <w:t>Practice Note 12</w:t>
        </w:r>
      </w:hyperlink>
      <w:r w:rsidR="00564081">
        <w:t xml:space="preserve"> </w:t>
      </w:r>
      <w:r w:rsidR="00467BEB">
        <w:t>includes guidance on the “rule of six”</w:t>
      </w:r>
      <w:r w:rsidR="00564081">
        <w:t xml:space="preserve"> </w:t>
      </w:r>
      <w:r w:rsidR="00EB746E">
        <w:t xml:space="preserve">and </w:t>
      </w:r>
      <w:r w:rsidR="00564081">
        <w:t>clarifies that i</w:t>
      </w:r>
      <w:r w:rsidR="00564081" w:rsidRPr="00564081">
        <w:t>n situations where a Special Purpose Vehicle</w:t>
      </w:r>
      <w:r w:rsidR="00564081">
        <w:t xml:space="preserve"> (</w:t>
      </w:r>
      <w:r w:rsidR="00564081" w:rsidRPr="008D2DC5">
        <w:rPr>
          <w:b/>
        </w:rPr>
        <w:t>SPV</w:t>
      </w:r>
      <w:r w:rsidR="00564081">
        <w:t xml:space="preserve">) has </w:t>
      </w:r>
      <w:r w:rsidR="00EB746E">
        <w:t xml:space="preserve">a </w:t>
      </w:r>
      <w:r w:rsidR="00564081">
        <w:t>material interest</w:t>
      </w:r>
      <w:r w:rsidR="00564081" w:rsidRPr="00564081">
        <w:t xml:space="preserve"> in an offeree company, the SPV </w:t>
      </w:r>
      <w:r w:rsidR="00EB746E">
        <w:t xml:space="preserve">and </w:t>
      </w:r>
      <w:r w:rsidR="00564081" w:rsidRPr="00564081">
        <w:t>its ultimate beneficial shareholders will be considered as a single shareholder.</w:t>
      </w:r>
      <w:r w:rsidR="00EB746E">
        <w:t xml:space="preserve"> The revised Practice Note also </w:t>
      </w:r>
      <w:r w:rsidR="009163F2">
        <w:t xml:space="preserve">requires offerors to provide to the Executive a list of shareholders that it has approached. If a draft possible offer announcement or Rule 3.5 announcement has been submitted for vetting, </w:t>
      </w:r>
      <w:r w:rsidR="009163F2" w:rsidRPr="008D2DC5">
        <w:t>the list of shareholders who have been approached should be provided by no later than 12:00 noon on the business day after the approach was made</w:t>
      </w:r>
      <w:r w:rsidR="009163F2">
        <w:t xml:space="preserve">. Where shareholders with material interests are approached, the list should be submitted </w:t>
      </w:r>
      <w:r w:rsidR="002E456E">
        <w:t>with the first draft of the possible offer announcement or Rule 3.5 announcement.</w:t>
      </w:r>
      <w:r w:rsidR="009163F2">
        <w:t xml:space="preserve"> </w:t>
      </w:r>
    </w:p>
    <w:p w:rsidR="00A11A27" w:rsidRPr="00771FBD" w:rsidRDefault="00A11A27" w:rsidP="00980B2D">
      <w:pPr>
        <w:spacing w:after="0" w:line="240" w:lineRule="auto"/>
        <w:jc w:val="both"/>
      </w:pPr>
    </w:p>
    <w:p w:rsidR="00C12E2D" w:rsidRPr="00241231" w:rsidRDefault="00944CFB" w:rsidP="00980B2D">
      <w:pPr>
        <w:spacing w:after="0" w:line="240" w:lineRule="auto"/>
        <w:jc w:val="both"/>
        <w:rPr>
          <w:b/>
          <w:color w:val="FF0000"/>
        </w:rPr>
      </w:pPr>
      <w:r w:rsidRPr="00241231">
        <w:rPr>
          <w:b/>
          <w:color w:val="FF0000"/>
        </w:rPr>
        <w:t>2. The Chain Principle</w:t>
      </w:r>
    </w:p>
    <w:p w:rsidR="00C8247C" w:rsidRDefault="00C8247C" w:rsidP="00980B2D">
      <w:pPr>
        <w:spacing w:after="0" w:line="240" w:lineRule="auto"/>
        <w:jc w:val="both"/>
      </w:pPr>
    </w:p>
    <w:p w:rsidR="00EF6D4A" w:rsidRDefault="00C8247C" w:rsidP="00980B2D">
      <w:pPr>
        <w:spacing w:after="0" w:line="240" w:lineRule="auto"/>
        <w:jc w:val="both"/>
      </w:pPr>
      <w:r>
        <w:t xml:space="preserve">The </w:t>
      </w:r>
      <w:r w:rsidRPr="008D2DC5">
        <w:rPr>
          <w:rFonts w:hint="eastAsia"/>
        </w:rPr>
        <w:t xml:space="preserve">chain principle applies where a mandatory general offer obligation for a second company (a chain principle offer) arises following an acquisition of statutory control of a company (the first company) where a person or group of persons obtains or consolidates control over the second company because the first company controls the second company. Note 8 to Rule 26.1 of the Hong Kong Takeovers Code sets out the two key tests for determining whether a </w:t>
      </w:r>
      <w:r w:rsidRPr="008D2DC5">
        <w:rPr>
          <w:rFonts w:hint="eastAsia"/>
        </w:rPr>
        <w:t>“</w:t>
      </w:r>
      <w:r w:rsidRPr="008D2DC5">
        <w:rPr>
          <w:rFonts w:hint="eastAsia"/>
        </w:rPr>
        <w:t>chain principle offer</w:t>
      </w:r>
      <w:r w:rsidRPr="008D2DC5">
        <w:rPr>
          <w:rFonts w:hint="eastAsia"/>
        </w:rPr>
        <w:t>”</w:t>
      </w:r>
      <w:r w:rsidRPr="008D2DC5">
        <w:rPr>
          <w:rFonts w:hint="eastAsia"/>
        </w:rPr>
        <w:t xml:space="preserve"> is required: the Substantiality Test and the Purpose Test. </w:t>
      </w:r>
    </w:p>
    <w:p w:rsidR="00EF6D4A" w:rsidRDefault="00EF6D4A" w:rsidP="00980B2D">
      <w:pPr>
        <w:spacing w:after="0" w:line="240" w:lineRule="auto"/>
        <w:jc w:val="both"/>
      </w:pPr>
    </w:p>
    <w:p w:rsidR="000B741E" w:rsidRDefault="00157B66" w:rsidP="00980B2D">
      <w:pPr>
        <w:spacing w:after="0" w:line="240" w:lineRule="auto"/>
        <w:jc w:val="both"/>
      </w:pPr>
      <w:r>
        <w:t>T</w:t>
      </w:r>
      <w:r w:rsidR="0052292B">
        <w:t>he Substantiality Test</w:t>
      </w:r>
      <w:r>
        <w:t xml:space="preserve"> </w:t>
      </w:r>
      <w:r w:rsidR="00E13133">
        <w:t>has been</w:t>
      </w:r>
      <w:r w:rsidR="00D7384F">
        <w:t xml:space="preserve"> amended to: </w:t>
      </w:r>
    </w:p>
    <w:p w:rsidR="00437C5B" w:rsidRDefault="00437C5B" w:rsidP="00980B2D">
      <w:pPr>
        <w:spacing w:after="0" w:line="240" w:lineRule="auto"/>
        <w:jc w:val="both"/>
      </w:pPr>
    </w:p>
    <w:p w:rsidR="00D7384F" w:rsidRDefault="00D7384F" w:rsidP="00980B2D">
      <w:pPr>
        <w:pStyle w:val="a4"/>
        <w:numPr>
          <w:ilvl w:val="0"/>
          <w:numId w:val="1"/>
        </w:numPr>
        <w:spacing w:after="0" w:line="240" w:lineRule="auto"/>
        <w:jc w:val="both"/>
      </w:pPr>
      <w:r>
        <w:t xml:space="preserve">add market </w:t>
      </w:r>
      <w:proofErr w:type="spellStart"/>
      <w:r>
        <w:t>capitalisation</w:t>
      </w:r>
      <w:proofErr w:type="spellEnd"/>
      <w:r>
        <w:t xml:space="preserve"> as one of the parameters </w:t>
      </w:r>
      <w:r w:rsidR="00EF6D4A">
        <w:t xml:space="preserve">for comparison </w:t>
      </w:r>
      <w:r w:rsidR="002F773A">
        <w:t xml:space="preserve">where both companies are listed </w:t>
      </w:r>
      <w:r>
        <w:t xml:space="preserve">when determining the Substantiality Test; and </w:t>
      </w:r>
    </w:p>
    <w:p w:rsidR="00D7384F" w:rsidRDefault="00D7384F" w:rsidP="00980B2D">
      <w:pPr>
        <w:pStyle w:val="a4"/>
        <w:spacing w:after="0" w:line="240" w:lineRule="auto"/>
        <w:jc w:val="both"/>
      </w:pPr>
    </w:p>
    <w:p w:rsidR="00D7384F" w:rsidRDefault="00D7384F" w:rsidP="00980B2D">
      <w:pPr>
        <w:pStyle w:val="a4"/>
        <w:numPr>
          <w:ilvl w:val="0"/>
          <w:numId w:val="1"/>
        </w:numPr>
        <w:spacing w:after="0" w:line="240" w:lineRule="auto"/>
        <w:jc w:val="both"/>
      </w:pPr>
      <w:r>
        <w:t xml:space="preserve">codify existing practice of looking at </w:t>
      </w:r>
      <w:proofErr w:type="spellStart"/>
      <w:r w:rsidR="00786121">
        <w:t>at</w:t>
      </w:r>
      <w:proofErr w:type="spellEnd"/>
      <w:r w:rsidR="00786121">
        <w:t xml:space="preserve"> </w:t>
      </w:r>
      <w:r>
        <w:t>least the three most recent financial periods when calculating whether the Substantiality Test p</w:t>
      </w:r>
      <w:r w:rsidR="007F5F4F">
        <w:t>roduces an anomalous result.</w:t>
      </w:r>
    </w:p>
    <w:p w:rsidR="00835FB6" w:rsidRDefault="00835FB6" w:rsidP="00980B2D">
      <w:pPr>
        <w:spacing w:after="0" w:line="240" w:lineRule="auto"/>
        <w:jc w:val="both"/>
      </w:pPr>
    </w:p>
    <w:p w:rsidR="00137242" w:rsidRDefault="007F5F4F" w:rsidP="00980B2D">
      <w:pPr>
        <w:spacing w:after="0" w:line="240" w:lineRule="auto"/>
        <w:jc w:val="both"/>
      </w:pPr>
      <w:r>
        <w:t xml:space="preserve">The SFC </w:t>
      </w:r>
      <w:r w:rsidR="00786121">
        <w:t xml:space="preserve">has also </w:t>
      </w:r>
      <w:r>
        <w:t>update</w:t>
      </w:r>
      <w:r w:rsidR="00786121">
        <w:t>d</w:t>
      </w:r>
      <w:r>
        <w:t xml:space="preserve"> </w:t>
      </w:r>
      <w:hyperlink r:id="rId14" w:history="1">
        <w:r w:rsidRPr="00786121">
          <w:rPr>
            <w:rStyle w:val="a3"/>
          </w:rPr>
          <w:t>Practice Note 19</w:t>
        </w:r>
      </w:hyperlink>
      <w:r w:rsidRPr="007F5F4F">
        <w:t xml:space="preserve"> to provide further guidance on the Executive’s approach to the Substantiality Test</w:t>
      </w:r>
      <w:r w:rsidR="00BE0950">
        <w:t>. This</w:t>
      </w:r>
      <w:r w:rsidR="00786121">
        <w:t xml:space="preserve"> includes guidance on the specific line items </w:t>
      </w:r>
      <w:r w:rsidR="00BE0950">
        <w:t xml:space="preserve">for assets and profits </w:t>
      </w:r>
      <w:r w:rsidR="00786121">
        <w:t xml:space="preserve">that </w:t>
      </w:r>
      <w:r w:rsidR="00BE0950">
        <w:t xml:space="preserve">are required to be </w:t>
      </w:r>
      <w:r w:rsidR="00786121">
        <w:t xml:space="preserve">taken into account </w:t>
      </w:r>
      <w:r w:rsidR="00BE0950">
        <w:t xml:space="preserve">and on market </w:t>
      </w:r>
      <w:proofErr w:type="spellStart"/>
      <w:r w:rsidR="00BE0950">
        <w:t>capitalisation</w:t>
      </w:r>
      <w:proofErr w:type="spellEnd"/>
      <w:r w:rsidR="00BE0950">
        <w:t xml:space="preserve"> reference dates. </w:t>
      </w:r>
      <w:hyperlink r:id="rId15" w:history="1">
        <w:r w:rsidR="00BE0950" w:rsidRPr="00016817">
          <w:rPr>
            <w:rStyle w:val="a3"/>
          </w:rPr>
          <w:t>Practice N</w:t>
        </w:r>
        <w:r w:rsidR="00BE0950" w:rsidRPr="00016817">
          <w:rPr>
            <w:rStyle w:val="a3"/>
          </w:rPr>
          <w:t>o</w:t>
        </w:r>
        <w:r w:rsidR="00BE0950" w:rsidRPr="00016817">
          <w:rPr>
            <w:rStyle w:val="a3"/>
          </w:rPr>
          <w:t>te 19</w:t>
        </w:r>
      </w:hyperlink>
      <w:r w:rsidR="00BE0950">
        <w:t xml:space="preserve"> also clarifies that </w:t>
      </w:r>
      <w:r w:rsidR="00BE0950">
        <w:lastRenderedPageBreak/>
        <w:t xml:space="preserve">a single factor of more than 60% may not by itself trigger a mandatory general offer under the chain principle: each case will be </w:t>
      </w:r>
      <w:r w:rsidR="00BE0950" w:rsidRPr="008D2DC5">
        <w:t>assessed by taking into account all the relevant facts and circumstances</w:t>
      </w:r>
      <w:r w:rsidR="00C8247C" w:rsidRPr="008D2DC5">
        <w:t>.</w:t>
      </w:r>
    </w:p>
    <w:p w:rsidR="00835FB6" w:rsidRDefault="00835FB6" w:rsidP="00980B2D">
      <w:pPr>
        <w:spacing w:after="0" w:line="240" w:lineRule="auto"/>
        <w:jc w:val="both"/>
      </w:pPr>
    </w:p>
    <w:p w:rsidR="007F5F4F" w:rsidRPr="00241231" w:rsidRDefault="007F5F4F" w:rsidP="00980B2D">
      <w:pPr>
        <w:spacing w:after="0" w:line="240" w:lineRule="auto"/>
        <w:jc w:val="both"/>
        <w:rPr>
          <w:b/>
          <w:color w:val="FF0000"/>
        </w:rPr>
      </w:pPr>
      <w:r w:rsidRPr="00241231">
        <w:rPr>
          <w:b/>
          <w:color w:val="FF0000"/>
        </w:rPr>
        <w:t xml:space="preserve">3. Offer </w:t>
      </w:r>
      <w:r w:rsidR="00227E91" w:rsidRPr="00241231">
        <w:rPr>
          <w:b/>
          <w:color w:val="FF0000"/>
        </w:rPr>
        <w:t>P</w:t>
      </w:r>
      <w:r w:rsidRPr="00241231">
        <w:rPr>
          <w:b/>
          <w:color w:val="FF0000"/>
        </w:rPr>
        <w:t xml:space="preserve">eriods and </w:t>
      </w:r>
      <w:r w:rsidR="00227E91" w:rsidRPr="00241231">
        <w:rPr>
          <w:b/>
          <w:color w:val="FF0000"/>
        </w:rPr>
        <w:t>T</w:t>
      </w:r>
      <w:r w:rsidRPr="00241231">
        <w:rPr>
          <w:b/>
          <w:color w:val="FF0000"/>
        </w:rPr>
        <w:t>imetable</w:t>
      </w:r>
    </w:p>
    <w:p w:rsidR="00A11A27" w:rsidRDefault="00A11A27" w:rsidP="00980B2D">
      <w:pPr>
        <w:spacing w:after="0" w:line="240" w:lineRule="auto"/>
        <w:jc w:val="both"/>
        <w:rPr>
          <w:color w:val="C00000"/>
        </w:rPr>
      </w:pPr>
    </w:p>
    <w:p w:rsidR="007F5F4F" w:rsidRPr="004D3506" w:rsidRDefault="007F5F4F" w:rsidP="00980B2D">
      <w:pPr>
        <w:spacing w:after="0" w:line="240" w:lineRule="auto"/>
        <w:jc w:val="both"/>
        <w:rPr>
          <w:b/>
        </w:rPr>
      </w:pPr>
      <w:r w:rsidRPr="004D3506">
        <w:rPr>
          <w:b/>
        </w:rPr>
        <w:t>Definition of “offer period”</w:t>
      </w:r>
    </w:p>
    <w:p w:rsidR="00DE5923" w:rsidRDefault="00DE5923" w:rsidP="00980B2D">
      <w:pPr>
        <w:spacing w:after="0" w:line="240" w:lineRule="auto"/>
        <w:jc w:val="both"/>
      </w:pPr>
    </w:p>
    <w:p w:rsidR="00201232" w:rsidRDefault="00201232" w:rsidP="00201232">
      <w:pPr>
        <w:pStyle w:val="af1"/>
        <w:shd w:val="clear" w:color="auto" w:fill="FFFFFF"/>
        <w:spacing w:before="0" w:beforeAutospacing="0" w:after="0" w:afterAutospacing="0" w:line="300" w:lineRule="atLeast"/>
        <w:jc w:val="both"/>
        <w:textAlignment w:val="baseline"/>
        <w:rPr>
          <w:rFonts w:asciiTheme="minorHAnsi" w:eastAsiaTheme="minorEastAsia" w:hAnsiTheme="minorHAnsi" w:cstheme="minorBidi"/>
          <w:sz w:val="22"/>
          <w:szCs w:val="22"/>
          <w:lang w:eastAsia="zh-TW"/>
        </w:rPr>
      </w:pPr>
      <w:r w:rsidRPr="008D2DC5">
        <w:rPr>
          <w:rFonts w:asciiTheme="minorHAnsi" w:eastAsiaTheme="minorEastAsia" w:hAnsiTheme="minorHAnsi" w:cstheme="minorBidi"/>
          <w:sz w:val="22"/>
          <w:szCs w:val="22"/>
          <w:lang w:eastAsia="zh-TW"/>
        </w:rPr>
        <w:t>Many of the Hong Kong Takeovers Code</w:t>
      </w:r>
      <w:r w:rsidR="00A862F8">
        <w:rPr>
          <w:rFonts w:asciiTheme="minorHAnsi" w:eastAsiaTheme="minorEastAsia" w:hAnsiTheme="minorHAnsi" w:cstheme="minorBidi"/>
          <w:sz w:val="22"/>
          <w:szCs w:val="22"/>
          <w:lang w:eastAsia="zh-TW"/>
        </w:rPr>
        <w:t>’</w:t>
      </w:r>
      <w:r w:rsidRPr="008D2DC5">
        <w:rPr>
          <w:rFonts w:asciiTheme="minorHAnsi" w:eastAsiaTheme="minorEastAsia" w:hAnsiTheme="minorHAnsi" w:cstheme="minorBidi"/>
          <w:sz w:val="22"/>
          <w:szCs w:val="22"/>
          <w:lang w:eastAsia="zh-TW"/>
        </w:rPr>
        <w:t>s obligations are triggered on the commencement o</w:t>
      </w:r>
      <w:r>
        <w:rPr>
          <w:rFonts w:asciiTheme="minorHAnsi" w:eastAsiaTheme="minorEastAsia" w:hAnsiTheme="minorHAnsi" w:cstheme="minorBidi"/>
          <w:sz w:val="22"/>
          <w:szCs w:val="22"/>
          <w:lang w:eastAsia="zh-TW"/>
        </w:rPr>
        <w:t>f an offer period. The SFC noted in the Consultation Paper</w:t>
      </w:r>
      <w:r w:rsidRPr="008D2DC5">
        <w:rPr>
          <w:rFonts w:asciiTheme="minorHAnsi" w:eastAsiaTheme="minorEastAsia" w:hAnsiTheme="minorHAnsi" w:cstheme="minorBidi"/>
          <w:sz w:val="22"/>
          <w:szCs w:val="22"/>
          <w:lang w:eastAsia="zh-TW"/>
        </w:rPr>
        <w:t xml:space="preserve"> that offeree companies experiencing financial difficulties and companies whose controlling stake is in receivership often find themselves in prolonged offer periods that render ongoing compliance with the relevant Takeovers Code requirements (</w:t>
      </w:r>
      <w:proofErr w:type="gramStart"/>
      <w:r w:rsidRPr="008D2DC5">
        <w:rPr>
          <w:rFonts w:asciiTheme="minorHAnsi" w:eastAsiaTheme="minorEastAsia" w:hAnsiTheme="minorHAnsi" w:cstheme="minorBidi"/>
          <w:sz w:val="22"/>
          <w:szCs w:val="22"/>
          <w:lang w:eastAsia="zh-TW"/>
        </w:rPr>
        <w:t>e.g.</w:t>
      </w:r>
      <w:proofErr w:type="gramEnd"/>
      <w:r w:rsidRPr="008D2DC5">
        <w:rPr>
          <w:rFonts w:asciiTheme="minorHAnsi" w:eastAsiaTheme="minorEastAsia" w:hAnsiTheme="minorHAnsi" w:cstheme="minorBidi"/>
          <w:sz w:val="22"/>
          <w:szCs w:val="22"/>
          <w:lang w:eastAsia="zh-TW"/>
        </w:rPr>
        <w:t xml:space="preserve"> the publication of monthly updates) unnecessarily burdensome. T</w:t>
      </w:r>
      <w:r>
        <w:rPr>
          <w:rFonts w:asciiTheme="minorHAnsi" w:eastAsiaTheme="minorEastAsia" w:hAnsiTheme="minorHAnsi" w:cstheme="minorBidi"/>
          <w:sz w:val="22"/>
          <w:szCs w:val="22"/>
          <w:lang w:eastAsia="zh-TW"/>
        </w:rPr>
        <w:t>he SFC also considered that the fact that a company continued</w:t>
      </w:r>
      <w:r w:rsidRPr="008D2DC5">
        <w:rPr>
          <w:rFonts w:asciiTheme="minorHAnsi" w:eastAsiaTheme="minorEastAsia" w:hAnsiTheme="minorHAnsi" w:cstheme="minorBidi"/>
          <w:sz w:val="22"/>
          <w:szCs w:val="22"/>
          <w:lang w:eastAsia="zh-TW"/>
        </w:rPr>
        <w:t xml:space="preserve"> to be subject to an offer period </w:t>
      </w:r>
      <w:r>
        <w:rPr>
          <w:rFonts w:asciiTheme="minorHAnsi" w:eastAsiaTheme="minorEastAsia" w:hAnsiTheme="minorHAnsi" w:cstheme="minorBidi"/>
          <w:sz w:val="22"/>
          <w:szCs w:val="22"/>
          <w:lang w:eastAsia="zh-TW"/>
        </w:rPr>
        <w:t>risked</w:t>
      </w:r>
      <w:r w:rsidRPr="008D2DC5">
        <w:rPr>
          <w:rFonts w:asciiTheme="minorHAnsi" w:eastAsiaTheme="minorEastAsia" w:hAnsiTheme="minorHAnsi" w:cstheme="minorBidi"/>
          <w:sz w:val="22"/>
          <w:szCs w:val="22"/>
          <w:lang w:eastAsia="zh-TW"/>
        </w:rPr>
        <w:t xml:space="preserve"> misleading the ma</w:t>
      </w:r>
      <w:r>
        <w:rPr>
          <w:rFonts w:asciiTheme="minorHAnsi" w:eastAsiaTheme="minorEastAsia" w:hAnsiTheme="minorHAnsi" w:cstheme="minorBidi"/>
          <w:sz w:val="22"/>
          <w:szCs w:val="22"/>
          <w:lang w:eastAsia="zh-TW"/>
        </w:rPr>
        <w:t>rket into believing that there wa</w:t>
      </w:r>
      <w:r w:rsidRPr="008D2DC5">
        <w:rPr>
          <w:rFonts w:asciiTheme="minorHAnsi" w:eastAsiaTheme="minorEastAsia" w:hAnsiTheme="minorHAnsi" w:cstheme="minorBidi"/>
          <w:sz w:val="22"/>
          <w:szCs w:val="22"/>
          <w:lang w:eastAsia="zh-TW"/>
        </w:rPr>
        <w:t>s the prospect of a takeover offer.</w:t>
      </w:r>
    </w:p>
    <w:p w:rsidR="00201232" w:rsidRPr="008D2DC5" w:rsidRDefault="00201232" w:rsidP="00201232">
      <w:pPr>
        <w:pStyle w:val="af1"/>
        <w:shd w:val="clear" w:color="auto" w:fill="FFFFFF"/>
        <w:spacing w:before="0" w:beforeAutospacing="0" w:after="0" w:afterAutospacing="0" w:line="300" w:lineRule="atLeast"/>
        <w:jc w:val="both"/>
        <w:textAlignment w:val="baseline"/>
        <w:rPr>
          <w:rFonts w:asciiTheme="minorHAnsi" w:eastAsiaTheme="minorEastAsia" w:hAnsiTheme="minorHAnsi" w:cstheme="minorBidi"/>
          <w:sz w:val="22"/>
          <w:szCs w:val="22"/>
          <w:lang w:eastAsia="zh-TW"/>
        </w:rPr>
      </w:pPr>
    </w:p>
    <w:p w:rsidR="00201232" w:rsidRPr="008D2DC5" w:rsidRDefault="00201232" w:rsidP="00201232">
      <w:pPr>
        <w:pStyle w:val="af1"/>
        <w:shd w:val="clear" w:color="auto" w:fill="FFFFFF"/>
        <w:spacing w:before="0" w:beforeAutospacing="0" w:after="0" w:afterAutospacing="0" w:line="300" w:lineRule="atLeast"/>
        <w:jc w:val="both"/>
        <w:textAlignment w:val="baseline"/>
        <w:rPr>
          <w:rFonts w:asciiTheme="minorHAnsi" w:eastAsiaTheme="minorEastAsia" w:hAnsiTheme="minorHAnsi" w:cstheme="minorBidi"/>
          <w:sz w:val="22"/>
          <w:szCs w:val="22"/>
          <w:lang w:eastAsia="zh-TW"/>
        </w:rPr>
      </w:pPr>
      <w:r w:rsidRPr="008D2DC5">
        <w:rPr>
          <w:rFonts w:asciiTheme="minorHAnsi" w:eastAsiaTheme="minorEastAsia" w:hAnsiTheme="minorHAnsi" w:cstheme="minorBidi"/>
          <w:sz w:val="22"/>
          <w:szCs w:val="22"/>
          <w:lang w:eastAsia="zh-TW"/>
        </w:rPr>
        <w:t xml:space="preserve">The SFC issued </w:t>
      </w:r>
      <w:hyperlink r:id="rId16" w:history="1">
        <w:r w:rsidRPr="00016817">
          <w:rPr>
            <w:rStyle w:val="a3"/>
            <w:rFonts w:asciiTheme="minorHAnsi" w:eastAsiaTheme="minorEastAsia" w:hAnsiTheme="minorHAnsi" w:cstheme="minorBidi"/>
            <w:sz w:val="22"/>
            <w:szCs w:val="22"/>
            <w:lang w:eastAsia="zh-TW"/>
          </w:rPr>
          <w:t>Practice Note 24</w:t>
        </w:r>
      </w:hyperlink>
      <w:r w:rsidRPr="008D2DC5">
        <w:rPr>
          <w:rFonts w:asciiTheme="minorHAnsi" w:eastAsiaTheme="minorEastAsia" w:hAnsiTheme="minorHAnsi" w:cstheme="minorBidi"/>
          <w:sz w:val="22"/>
          <w:szCs w:val="22"/>
          <w:lang w:eastAsia="zh-TW"/>
        </w:rPr>
        <w:t xml:space="preserve"> in November 2022 </w:t>
      </w:r>
      <w:r>
        <w:rPr>
          <w:rFonts w:asciiTheme="minorHAnsi" w:eastAsiaTheme="minorEastAsia" w:hAnsiTheme="minorHAnsi" w:cstheme="minorBidi"/>
          <w:sz w:val="22"/>
          <w:szCs w:val="22"/>
          <w:lang w:eastAsia="zh-TW"/>
        </w:rPr>
        <w:t>providing</w:t>
      </w:r>
      <w:r w:rsidRPr="008D2DC5">
        <w:rPr>
          <w:rFonts w:asciiTheme="minorHAnsi" w:eastAsiaTheme="minorEastAsia" w:hAnsiTheme="minorHAnsi" w:cstheme="minorBidi"/>
          <w:sz w:val="22"/>
          <w:szCs w:val="22"/>
          <w:lang w:eastAsia="zh-TW"/>
        </w:rPr>
        <w:t xml:space="preserve"> guidance on when an offer period should start when receivers or liquidators are appointed. However, once</w:t>
      </w:r>
      <w:r>
        <w:rPr>
          <w:rFonts w:asciiTheme="minorHAnsi" w:eastAsiaTheme="minorEastAsia" w:hAnsiTheme="minorHAnsi" w:cstheme="minorBidi"/>
          <w:sz w:val="22"/>
          <w:szCs w:val="22"/>
          <w:lang w:eastAsia="zh-TW"/>
        </w:rPr>
        <w:t xml:space="preserve"> commenced, an offer period did</w:t>
      </w:r>
      <w:r w:rsidRPr="008D2DC5">
        <w:rPr>
          <w:rFonts w:asciiTheme="minorHAnsi" w:eastAsiaTheme="minorEastAsia" w:hAnsiTheme="minorHAnsi" w:cstheme="minorBidi"/>
          <w:sz w:val="22"/>
          <w:szCs w:val="22"/>
          <w:lang w:eastAsia="zh-TW"/>
        </w:rPr>
        <w:t xml:space="preserve"> not end </w:t>
      </w:r>
      <w:r w:rsidR="00731362">
        <w:rPr>
          <w:rFonts w:asciiTheme="minorHAnsi" w:eastAsiaTheme="minorEastAsia" w:hAnsiTheme="minorHAnsi" w:cstheme="minorBidi"/>
          <w:sz w:val="22"/>
          <w:szCs w:val="22"/>
          <w:lang w:eastAsia="zh-TW"/>
        </w:rPr>
        <w:t xml:space="preserve">under the previous version of the Takeovers Code </w:t>
      </w:r>
      <w:r w:rsidRPr="008D2DC5">
        <w:rPr>
          <w:rFonts w:asciiTheme="minorHAnsi" w:eastAsiaTheme="minorEastAsia" w:hAnsiTheme="minorHAnsi" w:cstheme="minorBidi"/>
          <w:sz w:val="22"/>
          <w:szCs w:val="22"/>
          <w:lang w:eastAsia="zh-TW"/>
        </w:rPr>
        <w:t>until one of the situations under th</w:t>
      </w:r>
      <w:r>
        <w:rPr>
          <w:rFonts w:asciiTheme="minorHAnsi" w:eastAsiaTheme="minorEastAsia" w:hAnsiTheme="minorHAnsi" w:cstheme="minorBidi"/>
          <w:sz w:val="22"/>
          <w:szCs w:val="22"/>
          <w:lang w:eastAsia="zh-TW"/>
        </w:rPr>
        <w:t>e definition of “offer period” was met (</w:t>
      </w:r>
      <w:proofErr w:type="gramStart"/>
      <w:r>
        <w:rPr>
          <w:rFonts w:asciiTheme="minorHAnsi" w:eastAsiaTheme="minorEastAsia" w:hAnsiTheme="minorHAnsi" w:cstheme="minorBidi"/>
          <w:sz w:val="22"/>
          <w:szCs w:val="22"/>
          <w:lang w:eastAsia="zh-TW"/>
        </w:rPr>
        <w:t>i.e.</w:t>
      </w:r>
      <w:proofErr w:type="gramEnd"/>
      <w:r>
        <w:rPr>
          <w:rFonts w:asciiTheme="minorHAnsi" w:eastAsiaTheme="minorEastAsia" w:hAnsiTheme="minorHAnsi" w:cstheme="minorBidi"/>
          <w:sz w:val="22"/>
          <w:szCs w:val="22"/>
          <w:lang w:eastAsia="zh-TW"/>
        </w:rPr>
        <w:t xml:space="preserve"> the offer closed</w:t>
      </w:r>
      <w:r w:rsidRPr="008D2DC5">
        <w:rPr>
          <w:rFonts w:asciiTheme="minorHAnsi" w:eastAsiaTheme="minorEastAsia" w:hAnsiTheme="minorHAnsi" w:cstheme="minorBidi"/>
          <w:sz w:val="22"/>
          <w:szCs w:val="22"/>
          <w:lang w:eastAsia="zh-TW"/>
        </w:rPr>
        <w:t xml:space="preserve"> for a</w:t>
      </w:r>
      <w:r>
        <w:rPr>
          <w:rFonts w:asciiTheme="minorHAnsi" w:eastAsiaTheme="minorEastAsia" w:hAnsiTheme="minorHAnsi" w:cstheme="minorBidi"/>
          <w:sz w:val="22"/>
          <w:szCs w:val="22"/>
          <w:lang w:eastAsia="zh-TW"/>
        </w:rPr>
        <w:t>cceptances, lapsed, wa</w:t>
      </w:r>
      <w:r w:rsidRPr="008D2DC5">
        <w:rPr>
          <w:rFonts w:asciiTheme="minorHAnsi" w:eastAsiaTheme="minorEastAsia" w:hAnsiTheme="minorHAnsi" w:cstheme="minorBidi"/>
          <w:sz w:val="22"/>
          <w:szCs w:val="22"/>
          <w:lang w:eastAsia="zh-TW"/>
        </w:rPr>
        <w:t xml:space="preserve">s withdrawn, </w:t>
      </w:r>
      <w:r>
        <w:rPr>
          <w:rFonts w:asciiTheme="minorHAnsi" w:eastAsiaTheme="minorEastAsia" w:hAnsiTheme="minorHAnsi" w:cstheme="minorBidi"/>
          <w:sz w:val="22"/>
          <w:szCs w:val="22"/>
          <w:lang w:eastAsia="zh-TW"/>
        </w:rPr>
        <w:t xml:space="preserve">did </w:t>
      </w:r>
      <w:r w:rsidR="00731362">
        <w:rPr>
          <w:rFonts w:asciiTheme="minorHAnsi" w:eastAsiaTheme="minorEastAsia" w:hAnsiTheme="minorHAnsi" w:cstheme="minorBidi"/>
          <w:sz w:val="22"/>
          <w:szCs w:val="22"/>
          <w:lang w:eastAsia="zh-TW"/>
        </w:rPr>
        <w:t>not proceed or, if an offer allowed</w:t>
      </w:r>
      <w:r w:rsidRPr="008D2DC5">
        <w:rPr>
          <w:rFonts w:asciiTheme="minorHAnsi" w:eastAsiaTheme="minorEastAsia" w:hAnsiTheme="minorHAnsi" w:cstheme="minorBidi"/>
          <w:sz w:val="22"/>
          <w:szCs w:val="22"/>
          <w:lang w:eastAsia="zh-TW"/>
        </w:rPr>
        <w:t xml:space="preserve"> alternative forms of consideration to be elected, the last</w:t>
      </w:r>
      <w:r w:rsidR="00731362">
        <w:rPr>
          <w:rFonts w:asciiTheme="minorHAnsi" w:eastAsiaTheme="minorEastAsia" w:hAnsiTheme="minorHAnsi" w:cstheme="minorBidi"/>
          <w:sz w:val="22"/>
          <w:szCs w:val="22"/>
          <w:lang w:eastAsia="zh-TW"/>
        </w:rPr>
        <w:t xml:space="preserve"> date for making that election wa</w:t>
      </w:r>
      <w:r w:rsidRPr="008D2DC5">
        <w:rPr>
          <w:rFonts w:asciiTheme="minorHAnsi" w:eastAsiaTheme="minorEastAsia" w:hAnsiTheme="minorHAnsi" w:cstheme="minorBidi"/>
          <w:sz w:val="22"/>
          <w:szCs w:val="22"/>
          <w:lang w:eastAsia="zh-TW"/>
        </w:rPr>
        <w:t xml:space="preserve">s reached). </w:t>
      </w:r>
    </w:p>
    <w:p w:rsidR="00731362" w:rsidRDefault="00731362" w:rsidP="00201232">
      <w:pPr>
        <w:spacing w:after="0" w:line="240" w:lineRule="auto"/>
        <w:jc w:val="both"/>
      </w:pPr>
    </w:p>
    <w:p w:rsidR="007F5F4F" w:rsidRDefault="00731362" w:rsidP="00201232">
      <w:pPr>
        <w:spacing w:after="0" w:line="240" w:lineRule="auto"/>
        <w:jc w:val="both"/>
      </w:pPr>
      <w:r>
        <w:t>T</w:t>
      </w:r>
      <w:r w:rsidR="00DE5923" w:rsidRPr="00DE5923">
        <w:t>o tackle</w:t>
      </w:r>
      <w:r>
        <w:t xml:space="preserve"> the</w:t>
      </w:r>
      <w:r w:rsidR="00DE5923" w:rsidRPr="00DE5923">
        <w:t xml:space="preserve"> practical concerns re</w:t>
      </w:r>
      <w:r w:rsidR="00DE5923">
        <w:t xml:space="preserve">lated to </w:t>
      </w:r>
      <w:r w:rsidR="00FB7A01">
        <w:t>protracted</w:t>
      </w:r>
      <w:r w:rsidR="00DE5923">
        <w:t xml:space="preserve"> offer periods, t</w:t>
      </w:r>
      <w:r w:rsidR="00A62B2B">
        <w:t xml:space="preserve">he definition of “offer period” </w:t>
      </w:r>
      <w:r w:rsidR="00E769F6">
        <w:t>has been revised</w:t>
      </w:r>
      <w:r w:rsidR="00A62B2B">
        <w:t xml:space="preserve"> to </w:t>
      </w:r>
      <w:r w:rsidR="00A62B2B" w:rsidRPr="00A62B2B">
        <w:t>give the Executive explicit power to terminate an offer period</w:t>
      </w:r>
      <w:r w:rsidR="00A62B2B">
        <w:t>.</w:t>
      </w:r>
      <w:r w:rsidR="00BD6084">
        <w:t xml:space="preserve"> The </w:t>
      </w:r>
      <w:r w:rsidR="002C092C">
        <w:t xml:space="preserve">Consultation Conclusions note </w:t>
      </w:r>
      <w:r w:rsidR="00BD6084">
        <w:t xml:space="preserve">that the Executive will </w:t>
      </w:r>
      <w:r w:rsidR="00BD6084" w:rsidRPr="00BD6084">
        <w:t xml:space="preserve">only </w:t>
      </w:r>
      <w:r w:rsidR="002C092C">
        <w:t xml:space="preserve">exercise that power in </w:t>
      </w:r>
      <w:r w:rsidR="00BD6084">
        <w:t>limited</w:t>
      </w:r>
      <w:r w:rsidR="00BD6084" w:rsidRPr="00BD6084">
        <w:t xml:space="preserve"> </w:t>
      </w:r>
      <w:r w:rsidR="002C092C">
        <w:t>situation</w:t>
      </w:r>
      <w:r w:rsidR="00BD6084" w:rsidRPr="00BD6084">
        <w:t xml:space="preserve">s, particularly </w:t>
      </w:r>
      <w:r w:rsidR="002C092C">
        <w:t xml:space="preserve">if </w:t>
      </w:r>
      <w:r w:rsidR="00BD6084" w:rsidRPr="00BD6084">
        <w:t xml:space="preserve">it </w:t>
      </w:r>
      <w:r w:rsidR="00BD6084">
        <w:t xml:space="preserve">is clear </w:t>
      </w:r>
      <w:r w:rsidR="00BD6084" w:rsidRPr="00BD6084">
        <w:t>to the Executive that there is no real prospect of a change of control of the offeree company or offers being made in the foreseeable future.</w:t>
      </w:r>
    </w:p>
    <w:p w:rsidR="00A11A27" w:rsidRDefault="00A11A27" w:rsidP="00980B2D">
      <w:pPr>
        <w:spacing w:after="0" w:line="240" w:lineRule="auto"/>
        <w:jc w:val="both"/>
      </w:pPr>
    </w:p>
    <w:p w:rsidR="00A62B2B" w:rsidRDefault="004D3506" w:rsidP="00980B2D">
      <w:pPr>
        <w:spacing w:after="0" w:line="240" w:lineRule="auto"/>
        <w:jc w:val="both"/>
        <w:rPr>
          <w:b/>
        </w:rPr>
      </w:pPr>
      <w:r w:rsidRPr="004D3506">
        <w:rPr>
          <w:b/>
        </w:rPr>
        <w:t xml:space="preserve">Last </w:t>
      </w:r>
      <w:r w:rsidR="00227E91">
        <w:rPr>
          <w:b/>
        </w:rPr>
        <w:t>p</w:t>
      </w:r>
      <w:r w:rsidRPr="004D3506">
        <w:rPr>
          <w:b/>
        </w:rPr>
        <w:t xml:space="preserve">ossible </w:t>
      </w:r>
      <w:r w:rsidR="00227E91">
        <w:rPr>
          <w:b/>
        </w:rPr>
        <w:t>d</w:t>
      </w:r>
      <w:r w:rsidRPr="004D3506">
        <w:rPr>
          <w:b/>
        </w:rPr>
        <w:t xml:space="preserve">ay for Day 60 in </w:t>
      </w:r>
      <w:proofErr w:type="spellStart"/>
      <w:r w:rsidR="00227E91">
        <w:rPr>
          <w:b/>
        </w:rPr>
        <w:t>p</w:t>
      </w:r>
      <w:r w:rsidRPr="004D3506">
        <w:rPr>
          <w:b/>
        </w:rPr>
        <w:t>rivatisations</w:t>
      </w:r>
      <w:proofErr w:type="spellEnd"/>
      <w:r w:rsidRPr="004D3506">
        <w:rPr>
          <w:b/>
        </w:rPr>
        <w:t xml:space="preserve"> and </w:t>
      </w:r>
      <w:r w:rsidR="00227E91">
        <w:rPr>
          <w:b/>
        </w:rPr>
        <w:t>t</w:t>
      </w:r>
      <w:r w:rsidRPr="004D3506">
        <w:rPr>
          <w:b/>
        </w:rPr>
        <w:t xml:space="preserve">ake-private </w:t>
      </w:r>
      <w:r w:rsidR="00227E91">
        <w:rPr>
          <w:b/>
        </w:rPr>
        <w:t>t</w:t>
      </w:r>
      <w:r w:rsidRPr="004D3506">
        <w:rPr>
          <w:b/>
        </w:rPr>
        <w:t>ransactions</w:t>
      </w:r>
    </w:p>
    <w:p w:rsidR="001D31CC" w:rsidRDefault="001D31CC" w:rsidP="00980B2D">
      <w:pPr>
        <w:spacing w:after="0" w:line="240" w:lineRule="auto"/>
        <w:jc w:val="both"/>
        <w:rPr>
          <w:b/>
        </w:rPr>
      </w:pPr>
    </w:p>
    <w:p w:rsidR="004D3506" w:rsidRDefault="00823129" w:rsidP="00980B2D">
      <w:pPr>
        <w:spacing w:after="0" w:line="240" w:lineRule="auto"/>
        <w:jc w:val="both"/>
      </w:pPr>
      <w:r>
        <w:t>T</w:t>
      </w:r>
      <w:r w:rsidR="00BA5CB4">
        <w:t>o codify existing</w:t>
      </w:r>
      <w:r>
        <w:t xml:space="preserve"> practice and </w:t>
      </w:r>
      <w:r w:rsidR="00105619">
        <w:t xml:space="preserve">to </w:t>
      </w:r>
      <w:r>
        <w:t xml:space="preserve">align with the spirit of Rule 2.11, </w:t>
      </w:r>
      <w:r w:rsidR="006E4CA0" w:rsidRPr="006E4CA0">
        <w:t xml:space="preserve">Rule 15.5 </w:t>
      </w:r>
      <w:r w:rsidR="00BA5CB4">
        <w:t>has been</w:t>
      </w:r>
      <w:r w:rsidR="006E4CA0" w:rsidRPr="006E4CA0">
        <w:t xml:space="preserve"> amended </w:t>
      </w:r>
      <w:r w:rsidR="00105619">
        <w:t xml:space="preserve">so </w:t>
      </w:r>
      <w:r w:rsidR="006E4CA0">
        <w:t>that</w:t>
      </w:r>
      <w:r w:rsidR="00DE5E19">
        <w:t xml:space="preserve"> </w:t>
      </w:r>
      <w:r w:rsidR="006E4CA0">
        <w:t xml:space="preserve">Day 60 (the last day on which an offer must be declared unconditional as to acceptances) </w:t>
      </w:r>
      <w:r w:rsidR="000E32FA">
        <w:t xml:space="preserve">cannot be extended beyond the date that is </w:t>
      </w:r>
      <w:r w:rsidR="006E4CA0">
        <w:t xml:space="preserve">four months after the </w:t>
      </w:r>
      <w:r>
        <w:t xml:space="preserve">date </w:t>
      </w:r>
      <w:r w:rsidR="006E4CA0">
        <w:t xml:space="preserve">of the </w:t>
      </w:r>
      <w:r>
        <w:t xml:space="preserve">initial </w:t>
      </w:r>
      <w:r w:rsidR="006E4CA0">
        <w:t>offer document</w:t>
      </w:r>
      <w:r w:rsidR="00DE5E19">
        <w:t xml:space="preserve">. </w:t>
      </w:r>
    </w:p>
    <w:p w:rsidR="00A11A27" w:rsidRDefault="00A11A27" w:rsidP="00980B2D">
      <w:pPr>
        <w:spacing w:after="0" w:line="240" w:lineRule="auto"/>
        <w:jc w:val="both"/>
      </w:pPr>
    </w:p>
    <w:p w:rsidR="00DE5E19" w:rsidRDefault="00E60482" w:rsidP="00980B2D">
      <w:pPr>
        <w:spacing w:after="0" w:line="240" w:lineRule="auto"/>
        <w:jc w:val="both"/>
        <w:rPr>
          <w:b/>
        </w:rPr>
      </w:pPr>
      <w:r w:rsidRPr="00E60482">
        <w:rPr>
          <w:b/>
        </w:rPr>
        <w:t xml:space="preserve">Put </w:t>
      </w:r>
      <w:r w:rsidR="00227E91">
        <w:rPr>
          <w:b/>
        </w:rPr>
        <w:t>u</w:t>
      </w:r>
      <w:r w:rsidRPr="00E60482">
        <w:rPr>
          <w:b/>
        </w:rPr>
        <w:t xml:space="preserve">p or </w:t>
      </w:r>
      <w:r w:rsidR="00227E91">
        <w:rPr>
          <w:b/>
        </w:rPr>
        <w:t>s</w:t>
      </w:r>
      <w:r w:rsidRPr="00E60482">
        <w:rPr>
          <w:b/>
        </w:rPr>
        <w:t xml:space="preserve">hut </w:t>
      </w:r>
      <w:r w:rsidR="00227E91">
        <w:rPr>
          <w:b/>
        </w:rPr>
        <w:t>u</w:t>
      </w:r>
      <w:r w:rsidRPr="00E60482">
        <w:rPr>
          <w:b/>
        </w:rPr>
        <w:t>p (PUSU) Orders</w:t>
      </w:r>
    </w:p>
    <w:p w:rsidR="002079B0" w:rsidRPr="00E60482" w:rsidRDefault="002079B0" w:rsidP="00980B2D">
      <w:pPr>
        <w:spacing w:after="0" w:line="240" w:lineRule="auto"/>
        <w:jc w:val="both"/>
        <w:rPr>
          <w:b/>
        </w:rPr>
      </w:pPr>
    </w:p>
    <w:p w:rsidR="00EE52C6" w:rsidRDefault="003845A7" w:rsidP="002029F9">
      <w:pPr>
        <w:spacing w:after="0" w:line="240" w:lineRule="auto"/>
        <w:jc w:val="both"/>
      </w:pPr>
      <w:r>
        <w:t xml:space="preserve">The Executive has in the past granted a </w:t>
      </w:r>
      <w:r w:rsidR="00EE52C6" w:rsidRPr="00EE52C6">
        <w:t xml:space="preserve">PUSU order </w:t>
      </w:r>
      <w:r w:rsidR="00EE52C6">
        <w:t>(</w:t>
      </w:r>
      <w:proofErr w:type="gramStart"/>
      <w:r w:rsidR="00EE52C6">
        <w:t>i.e.</w:t>
      </w:r>
      <w:proofErr w:type="gramEnd"/>
      <w:r w:rsidR="00EE52C6" w:rsidRPr="002029F9">
        <w:t xml:space="preserve"> </w:t>
      </w:r>
      <w:r w:rsidR="004A4151">
        <w:t xml:space="preserve">an order </w:t>
      </w:r>
      <w:r w:rsidR="00EE52C6">
        <w:t xml:space="preserve">requiring a potential offeror to announce its firm intention to make an offer within a set time period (put up), or to announce that it will no longer proceed with an offer (shut up)) </w:t>
      </w:r>
      <w:r>
        <w:t xml:space="preserve">on request by </w:t>
      </w:r>
      <w:r w:rsidR="00EE52C6" w:rsidRPr="00EE52C6">
        <w:t>an offeree company</w:t>
      </w:r>
      <w:r>
        <w:t>. There was</w:t>
      </w:r>
      <w:r w:rsidR="007F6AA5">
        <w:t>,</w:t>
      </w:r>
      <w:r>
        <w:t xml:space="preserve"> however</w:t>
      </w:r>
      <w:r w:rsidR="007F6AA5">
        <w:t>,</w:t>
      </w:r>
      <w:r>
        <w:t xml:space="preserve"> no </w:t>
      </w:r>
      <w:r w:rsidRPr="008D2DC5">
        <w:rPr>
          <w:rFonts w:hint="eastAsia"/>
        </w:rPr>
        <w:t>express provision in the Hong Kong Takeovers Code empowering the Executive to issue a PUSU Order</w:t>
      </w:r>
      <w:r>
        <w:t xml:space="preserve">. The Executive would also invite offeree companies to </w:t>
      </w:r>
      <w:r w:rsidR="007F6AA5">
        <w:t xml:space="preserve">apply for a PUSU Order if they </w:t>
      </w:r>
      <w:r w:rsidR="00EE52C6" w:rsidRPr="00EE52C6">
        <w:t>ha</w:t>
      </w:r>
      <w:r w:rsidR="004A4151">
        <w:t>d</w:t>
      </w:r>
      <w:r w:rsidR="00EE52C6" w:rsidRPr="00EE52C6">
        <w:t xml:space="preserve"> already been subject to an extended offer period </w:t>
      </w:r>
      <w:r w:rsidR="007F6AA5">
        <w:t xml:space="preserve">without </w:t>
      </w:r>
      <w:r w:rsidR="00EE52C6" w:rsidRPr="00EE52C6">
        <w:t>the offeror announc</w:t>
      </w:r>
      <w:r w:rsidR="007F6AA5">
        <w:t>ing</w:t>
      </w:r>
      <w:r w:rsidR="00EE52C6" w:rsidRPr="00EE52C6">
        <w:t xml:space="preserve"> </w:t>
      </w:r>
      <w:r w:rsidR="009D06DD">
        <w:t>a</w:t>
      </w:r>
      <w:r w:rsidR="00EE52C6" w:rsidRPr="00EE52C6">
        <w:t xml:space="preserve"> firm intention to make an offer</w:t>
      </w:r>
      <w:r w:rsidR="00EE52C6">
        <w:t>.</w:t>
      </w:r>
      <w:r w:rsidR="004A4151">
        <w:t xml:space="preserve"> However, </w:t>
      </w:r>
      <w:r w:rsidR="00FD3988">
        <w:t>the Executive had no</w:t>
      </w:r>
      <w:r w:rsidR="004A4151">
        <w:t xml:space="preserve"> power to impose a PUSU order on an offeror if the offeree company failed to request one, which was often the case where the potential offeror was the offeree company’s controlling shareholder.</w:t>
      </w:r>
    </w:p>
    <w:p w:rsidR="00EE52C6" w:rsidRDefault="00EE52C6" w:rsidP="002029F9">
      <w:pPr>
        <w:spacing w:after="0" w:line="240" w:lineRule="auto"/>
        <w:jc w:val="both"/>
      </w:pPr>
    </w:p>
    <w:p w:rsidR="00DE5E19" w:rsidRDefault="003529C2" w:rsidP="002029F9">
      <w:pPr>
        <w:spacing w:after="0" w:line="240" w:lineRule="auto"/>
        <w:jc w:val="both"/>
      </w:pPr>
      <w:r>
        <w:lastRenderedPageBreak/>
        <w:t>A</w:t>
      </w:r>
      <w:r w:rsidR="007F6AA5">
        <w:t>s proposed in the Consultation Paper,</w:t>
      </w:r>
      <w:r>
        <w:t xml:space="preserve"> new </w:t>
      </w:r>
      <w:r w:rsidR="007F6AA5">
        <w:t>R</w:t>
      </w:r>
      <w:r>
        <w:t xml:space="preserve">ule 3.9 </w:t>
      </w:r>
      <w:r w:rsidR="00BA5CB4">
        <w:t>has been</w:t>
      </w:r>
      <w:r>
        <w:t xml:space="preserve"> introduced</w:t>
      </w:r>
      <w:r w:rsidR="006A7150">
        <w:t>,</w:t>
      </w:r>
      <w:r>
        <w:t xml:space="preserve"> </w:t>
      </w:r>
      <w:r w:rsidR="0024772C">
        <w:t>giving</w:t>
      </w:r>
      <w:r w:rsidRPr="003529C2">
        <w:t xml:space="preserve"> the Executive </w:t>
      </w:r>
      <w:r w:rsidR="0024772C">
        <w:t xml:space="preserve">the power </w:t>
      </w:r>
      <w:r w:rsidRPr="003529C2">
        <w:t>to impose PUSU orders in exceptional circumstances</w:t>
      </w:r>
      <w:r w:rsidR="00EF37D5">
        <w:t xml:space="preserve"> </w:t>
      </w:r>
      <w:r w:rsidR="0024772C">
        <w:t>either in response to a request from an offeree company or on its own initiative</w:t>
      </w:r>
      <w:r>
        <w:t>.</w:t>
      </w:r>
    </w:p>
    <w:p w:rsidR="003529C2" w:rsidRDefault="003529C2" w:rsidP="00980B2D">
      <w:pPr>
        <w:spacing w:after="0" w:line="240" w:lineRule="auto"/>
        <w:jc w:val="both"/>
      </w:pPr>
    </w:p>
    <w:p w:rsidR="003529C2" w:rsidRDefault="006A7150" w:rsidP="00980B2D">
      <w:pPr>
        <w:spacing w:after="0" w:line="240" w:lineRule="auto"/>
        <w:jc w:val="both"/>
      </w:pPr>
      <w:r>
        <w:t>The</w:t>
      </w:r>
      <w:r w:rsidR="003529C2">
        <w:t xml:space="preserve"> note to Rule 3.9 </w:t>
      </w:r>
      <w:r w:rsidR="00DB62E6">
        <w:t>provides that in deciding whether to impose a PUSU order</w:t>
      </w:r>
      <w:r w:rsidR="00DB62E6" w:rsidRPr="001C02C0">
        <w:t xml:space="preserve"> and </w:t>
      </w:r>
      <w:r w:rsidR="00DB62E6">
        <w:t xml:space="preserve">the </w:t>
      </w:r>
      <w:r w:rsidR="00DB62E6" w:rsidRPr="001C02C0">
        <w:t xml:space="preserve">time limit </w:t>
      </w:r>
      <w:r w:rsidR="00DB62E6">
        <w:t xml:space="preserve">to be imposed on the offeror, the Executive will consider all relevant factors including </w:t>
      </w:r>
      <w:r w:rsidR="003529C2">
        <w:t>(without limitation):</w:t>
      </w:r>
    </w:p>
    <w:p w:rsidR="00A11A27" w:rsidRDefault="00A11A27" w:rsidP="00980B2D">
      <w:pPr>
        <w:spacing w:after="0" w:line="240" w:lineRule="auto"/>
        <w:jc w:val="both"/>
      </w:pPr>
    </w:p>
    <w:p w:rsidR="003529C2" w:rsidRDefault="003529C2" w:rsidP="00980B2D">
      <w:pPr>
        <w:pStyle w:val="a4"/>
        <w:numPr>
          <w:ilvl w:val="0"/>
          <w:numId w:val="1"/>
        </w:numPr>
        <w:spacing w:after="0" w:line="240" w:lineRule="auto"/>
        <w:jc w:val="both"/>
      </w:pPr>
      <w:r>
        <w:t>the current duration of the offer period;</w:t>
      </w:r>
    </w:p>
    <w:p w:rsidR="003529C2" w:rsidRDefault="003529C2" w:rsidP="00980B2D">
      <w:pPr>
        <w:pStyle w:val="a4"/>
        <w:spacing w:after="0" w:line="240" w:lineRule="auto"/>
        <w:jc w:val="both"/>
      </w:pPr>
    </w:p>
    <w:p w:rsidR="003529C2" w:rsidRDefault="003529C2" w:rsidP="00980B2D">
      <w:pPr>
        <w:pStyle w:val="a4"/>
        <w:numPr>
          <w:ilvl w:val="0"/>
          <w:numId w:val="1"/>
        </w:numPr>
        <w:spacing w:after="0" w:line="240" w:lineRule="auto"/>
        <w:jc w:val="both"/>
      </w:pPr>
      <w:r>
        <w:t>the reason(s) for the offeror’s delay in issuing a firm intention announcement;</w:t>
      </w:r>
    </w:p>
    <w:p w:rsidR="003529C2" w:rsidRDefault="003529C2" w:rsidP="00980B2D">
      <w:pPr>
        <w:spacing w:after="0" w:line="240" w:lineRule="auto"/>
        <w:jc w:val="both"/>
      </w:pPr>
    </w:p>
    <w:p w:rsidR="003529C2" w:rsidRDefault="003529C2" w:rsidP="00980B2D">
      <w:pPr>
        <w:pStyle w:val="a4"/>
        <w:numPr>
          <w:ilvl w:val="0"/>
          <w:numId w:val="1"/>
        </w:numPr>
        <w:spacing w:after="0" w:line="240" w:lineRule="auto"/>
        <w:jc w:val="both"/>
      </w:pPr>
      <w:r>
        <w:t>the proposed offer timetable (if any);</w:t>
      </w:r>
    </w:p>
    <w:p w:rsidR="003529C2" w:rsidRDefault="003529C2" w:rsidP="00980B2D">
      <w:pPr>
        <w:spacing w:after="0" w:line="240" w:lineRule="auto"/>
        <w:jc w:val="both"/>
      </w:pPr>
    </w:p>
    <w:p w:rsidR="003529C2" w:rsidRDefault="003529C2" w:rsidP="00980B2D">
      <w:pPr>
        <w:pStyle w:val="a4"/>
        <w:numPr>
          <w:ilvl w:val="0"/>
          <w:numId w:val="1"/>
        </w:numPr>
        <w:spacing w:after="0" w:line="240" w:lineRule="auto"/>
        <w:jc w:val="both"/>
      </w:pPr>
      <w:r>
        <w:t>any adverse effects that the offer period has had on the offeree company; and</w:t>
      </w:r>
    </w:p>
    <w:p w:rsidR="003529C2" w:rsidRDefault="003529C2" w:rsidP="00980B2D">
      <w:pPr>
        <w:spacing w:after="0" w:line="240" w:lineRule="auto"/>
        <w:jc w:val="both"/>
      </w:pPr>
    </w:p>
    <w:p w:rsidR="00A11A27" w:rsidRDefault="003529C2" w:rsidP="008D2DC5">
      <w:pPr>
        <w:pStyle w:val="a4"/>
        <w:numPr>
          <w:ilvl w:val="0"/>
          <w:numId w:val="1"/>
        </w:numPr>
        <w:spacing w:after="0" w:line="240" w:lineRule="auto"/>
        <w:jc w:val="both"/>
      </w:pPr>
      <w:r>
        <w:t>the conduct of the parties to the offer.</w:t>
      </w:r>
    </w:p>
    <w:p w:rsidR="00DB62E6" w:rsidRDefault="00DB62E6" w:rsidP="00980B2D">
      <w:pPr>
        <w:spacing w:after="0" w:line="240" w:lineRule="auto"/>
        <w:jc w:val="both"/>
        <w:rPr>
          <w:b/>
        </w:rPr>
      </w:pPr>
    </w:p>
    <w:p w:rsidR="00DB62E6" w:rsidRPr="008D2DC5" w:rsidRDefault="00DB62E6" w:rsidP="00980B2D">
      <w:pPr>
        <w:spacing w:after="0" w:line="240" w:lineRule="auto"/>
        <w:jc w:val="both"/>
      </w:pPr>
      <w:r w:rsidRPr="008D2DC5">
        <w:rPr>
          <w:rFonts w:hint="eastAsia"/>
        </w:rPr>
        <w:t xml:space="preserve">New Rule 3.9 </w:t>
      </w:r>
      <w:r w:rsidR="009D06DD">
        <w:t xml:space="preserve">is </w:t>
      </w:r>
      <w:r w:rsidRPr="008D2DC5">
        <w:rPr>
          <w:rFonts w:hint="eastAsia"/>
        </w:rPr>
        <w:t xml:space="preserve">one of the Takeovers Code Rules that apply to share buy-back transactions and </w:t>
      </w:r>
      <w:r w:rsidR="009D06DD">
        <w:t xml:space="preserve">is now </w:t>
      </w:r>
      <w:r w:rsidRPr="008D2DC5">
        <w:rPr>
          <w:rFonts w:hint="eastAsia"/>
        </w:rPr>
        <w:t xml:space="preserve">included in the list set </w:t>
      </w:r>
      <w:r w:rsidR="009D06DD">
        <w:t xml:space="preserve">out </w:t>
      </w:r>
      <w:r w:rsidRPr="008D2DC5">
        <w:rPr>
          <w:rFonts w:hint="eastAsia"/>
        </w:rPr>
        <w:t>in Rule 5.1(c) of the Hong Kong Code on Share Buy-backs.</w:t>
      </w:r>
    </w:p>
    <w:p w:rsidR="00DB62E6" w:rsidRDefault="00DB62E6" w:rsidP="00980B2D">
      <w:pPr>
        <w:spacing w:after="0" w:line="240" w:lineRule="auto"/>
        <w:jc w:val="both"/>
        <w:rPr>
          <w:b/>
        </w:rPr>
      </w:pPr>
    </w:p>
    <w:p w:rsidR="00A11A27" w:rsidRDefault="00A11A27" w:rsidP="00980B2D">
      <w:pPr>
        <w:spacing w:after="0" w:line="240" w:lineRule="auto"/>
        <w:jc w:val="both"/>
        <w:rPr>
          <w:b/>
        </w:rPr>
      </w:pPr>
      <w:r w:rsidRPr="00A11A27">
        <w:rPr>
          <w:b/>
        </w:rPr>
        <w:t xml:space="preserve">Settlement of </w:t>
      </w:r>
      <w:r w:rsidR="00227E91">
        <w:rPr>
          <w:b/>
        </w:rPr>
        <w:t>c</w:t>
      </w:r>
      <w:r w:rsidRPr="00A11A27">
        <w:rPr>
          <w:b/>
        </w:rPr>
        <w:t xml:space="preserve">onsideration and </w:t>
      </w:r>
      <w:r w:rsidR="00227E91">
        <w:rPr>
          <w:b/>
        </w:rPr>
        <w:t>r</w:t>
      </w:r>
      <w:r w:rsidRPr="00A11A27">
        <w:rPr>
          <w:b/>
        </w:rPr>
        <w:t xml:space="preserve">eturn of </w:t>
      </w:r>
      <w:r w:rsidR="00227E91">
        <w:rPr>
          <w:b/>
        </w:rPr>
        <w:t>s</w:t>
      </w:r>
      <w:r w:rsidRPr="00A11A27">
        <w:rPr>
          <w:b/>
        </w:rPr>
        <w:t xml:space="preserve">hare </w:t>
      </w:r>
      <w:r w:rsidR="00227E91">
        <w:rPr>
          <w:b/>
        </w:rPr>
        <w:t>c</w:t>
      </w:r>
      <w:r w:rsidRPr="00A11A27">
        <w:rPr>
          <w:b/>
        </w:rPr>
        <w:t>ertificates</w:t>
      </w:r>
    </w:p>
    <w:p w:rsidR="00A11A27" w:rsidRDefault="00A11A27" w:rsidP="00980B2D">
      <w:pPr>
        <w:spacing w:after="0" w:line="240" w:lineRule="auto"/>
        <w:jc w:val="both"/>
        <w:rPr>
          <w:b/>
        </w:rPr>
      </w:pPr>
    </w:p>
    <w:p w:rsidR="00D630AB" w:rsidRDefault="00D630AB" w:rsidP="00980B2D">
      <w:pPr>
        <w:spacing w:after="0" w:line="240" w:lineRule="auto"/>
        <w:jc w:val="both"/>
      </w:pPr>
      <w:r w:rsidRPr="00D630AB">
        <w:t>Rule</w:t>
      </w:r>
      <w:r>
        <w:t xml:space="preserve">s 17 and 20.2 </w:t>
      </w:r>
      <w:r w:rsidR="00A55F41">
        <w:t>have been</w:t>
      </w:r>
      <w:r>
        <w:t xml:space="preserve"> amended to align the timing for the return of share certificates with the timing for settlement of consideration for an offer to </w:t>
      </w:r>
      <w:r w:rsidR="00A862F8">
        <w:t xml:space="preserve">require the return of share certificates </w:t>
      </w:r>
      <w:r>
        <w:t xml:space="preserve">within seven </w:t>
      </w:r>
      <w:r w:rsidR="008A4F8F">
        <w:t xml:space="preserve">business </w:t>
      </w:r>
      <w:r>
        <w:t>days after the relevant event.</w:t>
      </w:r>
    </w:p>
    <w:p w:rsidR="008A4F8F" w:rsidRDefault="008A4F8F" w:rsidP="00980B2D">
      <w:pPr>
        <w:spacing w:after="0" w:line="240" w:lineRule="auto"/>
        <w:jc w:val="both"/>
      </w:pPr>
    </w:p>
    <w:p w:rsidR="008A4F8F" w:rsidRPr="008D2DC5" w:rsidRDefault="00227E91" w:rsidP="008A4F8F">
      <w:pPr>
        <w:shd w:val="clear" w:color="auto" w:fill="FFFFFF"/>
        <w:spacing w:after="0" w:line="300" w:lineRule="atLeast"/>
        <w:jc w:val="both"/>
        <w:textAlignment w:val="baseline"/>
        <w:rPr>
          <w:u w:val="single"/>
        </w:rPr>
      </w:pPr>
      <w:r>
        <w:rPr>
          <w:u w:val="single"/>
        </w:rPr>
        <w:t>Successful o</w:t>
      </w:r>
      <w:r w:rsidR="008A4F8F" w:rsidRPr="008D2DC5">
        <w:rPr>
          <w:u w:val="single"/>
        </w:rPr>
        <w:t>ffers</w:t>
      </w:r>
    </w:p>
    <w:p w:rsidR="008A4F8F" w:rsidRDefault="008A4F8F" w:rsidP="008A4F8F">
      <w:pPr>
        <w:shd w:val="clear" w:color="auto" w:fill="FFFFFF"/>
        <w:spacing w:after="0" w:line="300" w:lineRule="atLeast"/>
        <w:jc w:val="both"/>
        <w:textAlignment w:val="baseline"/>
      </w:pPr>
    </w:p>
    <w:p w:rsidR="008A4F8F" w:rsidRDefault="008A4F8F" w:rsidP="008A4F8F">
      <w:pPr>
        <w:shd w:val="clear" w:color="auto" w:fill="FFFFFF"/>
        <w:spacing w:after="0" w:line="300" w:lineRule="atLeast"/>
        <w:jc w:val="both"/>
        <w:textAlignment w:val="baseline"/>
      </w:pPr>
      <w:r w:rsidRPr="008D2DC5">
        <w:t>In successful offers, share certificates for</w:t>
      </w:r>
      <w:r w:rsidRPr="008D2DC5">
        <w:rPr>
          <w:rFonts w:hint="eastAsia"/>
        </w:rPr>
        <w:t> </w:t>
      </w:r>
      <w:r w:rsidRPr="008D2DC5">
        <w:t>untaken shares</w:t>
      </w:r>
      <w:r w:rsidRPr="008D2DC5">
        <w:rPr>
          <w:rFonts w:hint="eastAsia"/>
        </w:rPr>
        <w:t> </w:t>
      </w:r>
      <w:r w:rsidRPr="008D2DC5">
        <w:t>(i.e. shares that have been tendered for acceptance by a shareholder but not taken up by the offeror) and</w:t>
      </w:r>
      <w:r w:rsidRPr="008D2DC5">
        <w:rPr>
          <w:rFonts w:hint="eastAsia"/>
        </w:rPr>
        <w:t> </w:t>
      </w:r>
      <w:r w:rsidRPr="008D2DC5">
        <w:t>untendered shares</w:t>
      </w:r>
      <w:r w:rsidRPr="008D2DC5">
        <w:rPr>
          <w:rFonts w:hint="eastAsia"/>
        </w:rPr>
        <w:t> </w:t>
      </w:r>
      <w:r w:rsidRPr="008D2DC5">
        <w:t>(i.e. shares that are not tendered for acceptance represented in a share certificate which also represents shares that the shareholder tenders for acceptance) in an offer (including partial offers) or a share buy-back by way of general offer must be posted to, or be made ready for collection by the accepting shareholder, at the same time as the payment of consideration</w:t>
      </w:r>
      <w:r w:rsidR="0065008F">
        <w:t xml:space="preserve"> by the </w:t>
      </w:r>
      <w:r w:rsidR="00683F20">
        <w:t>o</w:t>
      </w:r>
      <w:r w:rsidR="0065008F">
        <w:t>fferor</w:t>
      </w:r>
      <w:r w:rsidRPr="008D2DC5">
        <w:t>, and in any event no later than 7 business days after the later of:</w:t>
      </w:r>
      <w:r w:rsidR="0098427F">
        <w:t xml:space="preserve"> (</w:t>
      </w:r>
      <w:proofErr w:type="spellStart"/>
      <w:r w:rsidR="0098427F">
        <w:t>i</w:t>
      </w:r>
      <w:proofErr w:type="spellEnd"/>
      <w:r w:rsidR="0098427F">
        <w:t xml:space="preserve">) </w:t>
      </w:r>
      <w:r w:rsidRPr="008D2DC5">
        <w:t>the date the offer becomes, or is declared, unconditional; and</w:t>
      </w:r>
      <w:r w:rsidR="0098427F">
        <w:t xml:space="preserve"> (ii) </w:t>
      </w:r>
      <w:r w:rsidRPr="008D2DC5">
        <w:t>the date of receipt of a duly completed acceptance</w:t>
      </w:r>
      <w:r w:rsidR="00795833">
        <w:t xml:space="preserve"> (Rule 20.2(a))</w:t>
      </w:r>
      <w:r w:rsidRPr="008D2DC5">
        <w:t>.</w:t>
      </w:r>
      <w:r w:rsidR="0098427F">
        <w:t xml:space="preserve"> </w:t>
      </w:r>
      <w:r w:rsidRPr="008D2DC5">
        <w:t>In the case of partial offers, the deadline for the return of share certificates will be 7 business days after the close of the partial offer.</w:t>
      </w:r>
    </w:p>
    <w:p w:rsidR="008A4F8F" w:rsidRPr="008D2DC5" w:rsidRDefault="008A4F8F" w:rsidP="008A4F8F">
      <w:pPr>
        <w:shd w:val="clear" w:color="auto" w:fill="FFFFFF"/>
        <w:spacing w:after="0" w:line="300" w:lineRule="atLeast"/>
        <w:jc w:val="both"/>
        <w:textAlignment w:val="baseline"/>
      </w:pPr>
    </w:p>
    <w:p w:rsidR="008A4F8F" w:rsidRPr="008D2DC5" w:rsidRDefault="00227E91" w:rsidP="008A4F8F">
      <w:pPr>
        <w:shd w:val="clear" w:color="auto" w:fill="FFFFFF"/>
        <w:spacing w:after="0" w:line="300" w:lineRule="atLeast"/>
        <w:jc w:val="both"/>
        <w:textAlignment w:val="baseline"/>
        <w:rPr>
          <w:u w:val="single"/>
        </w:rPr>
      </w:pPr>
      <w:r>
        <w:rPr>
          <w:u w:val="single"/>
        </w:rPr>
        <w:t>Unsuccessful o</w:t>
      </w:r>
      <w:r w:rsidR="008A4F8F" w:rsidRPr="008D2DC5">
        <w:rPr>
          <w:u w:val="single"/>
        </w:rPr>
        <w:t>ffers</w:t>
      </w:r>
    </w:p>
    <w:p w:rsidR="0098427F" w:rsidRDefault="0098427F" w:rsidP="008A4F8F">
      <w:pPr>
        <w:shd w:val="clear" w:color="auto" w:fill="FFFFFF"/>
        <w:spacing w:after="0" w:line="300" w:lineRule="atLeast"/>
        <w:jc w:val="both"/>
        <w:textAlignment w:val="baseline"/>
      </w:pPr>
    </w:p>
    <w:p w:rsidR="008A4F8F" w:rsidRDefault="008A4F8F" w:rsidP="008A4F8F">
      <w:pPr>
        <w:shd w:val="clear" w:color="auto" w:fill="FFFFFF"/>
        <w:spacing w:after="0" w:line="300" w:lineRule="atLeast"/>
        <w:jc w:val="both"/>
        <w:textAlignment w:val="baseline"/>
      </w:pPr>
      <w:r w:rsidRPr="008D2DC5">
        <w:t>If an offer is withdrawn or lapses, the offeror must, as soon as possible but in any event no later than 7 business days after the offer is withdrawn or lapses, post the share certificates lodged with a</w:t>
      </w:r>
      <w:r w:rsidR="007912BC">
        <w:t>cceptance forms to, or make the</w:t>
      </w:r>
      <w:r w:rsidRPr="008D2DC5">
        <w:t xml:space="preserve"> share certificates available for collection by, the offeree company shareholders who accepted the offer</w:t>
      </w:r>
      <w:r w:rsidR="007912BC">
        <w:t xml:space="preserve"> (Rule 20.2(b))</w:t>
      </w:r>
      <w:r w:rsidRPr="008D2DC5">
        <w:t>.</w:t>
      </w:r>
    </w:p>
    <w:p w:rsidR="0098427F" w:rsidRDefault="0098427F" w:rsidP="008A4F8F">
      <w:pPr>
        <w:shd w:val="clear" w:color="auto" w:fill="FFFFFF"/>
        <w:spacing w:after="0" w:line="300" w:lineRule="atLeast"/>
        <w:jc w:val="both"/>
        <w:textAlignment w:val="baseline"/>
      </w:pPr>
    </w:p>
    <w:p w:rsidR="007912BC" w:rsidRPr="008D2DC5" w:rsidRDefault="007912BC" w:rsidP="008A4F8F">
      <w:pPr>
        <w:shd w:val="clear" w:color="auto" w:fill="FFFFFF"/>
        <w:spacing w:after="0" w:line="300" w:lineRule="atLeast"/>
        <w:jc w:val="both"/>
        <w:textAlignment w:val="baseline"/>
        <w:rPr>
          <w:u w:val="single"/>
        </w:rPr>
      </w:pPr>
      <w:r w:rsidRPr="008D2DC5">
        <w:rPr>
          <w:u w:val="single"/>
        </w:rPr>
        <w:lastRenderedPageBreak/>
        <w:t xml:space="preserve">Withdrawing </w:t>
      </w:r>
      <w:r w:rsidR="00227E91">
        <w:rPr>
          <w:u w:val="single"/>
        </w:rPr>
        <w:t>s</w:t>
      </w:r>
      <w:r w:rsidRPr="008D2DC5">
        <w:rPr>
          <w:u w:val="single"/>
        </w:rPr>
        <w:t>hareholders</w:t>
      </w:r>
    </w:p>
    <w:p w:rsidR="007912BC" w:rsidRPr="008D2DC5" w:rsidRDefault="007912BC" w:rsidP="008A4F8F">
      <w:pPr>
        <w:shd w:val="clear" w:color="auto" w:fill="FFFFFF"/>
        <w:spacing w:after="0" w:line="300" w:lineRule="atLeast"/>
        <w:jc w:val="both"/>
        <w:textAlignment w:val="baseline"/>
      </w:pPr>
    </w:p>
    <w:p w:rsidR="008A4F8F" w:rsidRPr="008D2DC5" w:rsidRDefault="00A81C59" w:rsidP="008A4F8F">
      <w:pPr>
        <w:shd w:val="clear" w:color="auto" w:fill="FFFFFF"/>
        <w:spacing w:after="0" w:line="300" w:lineRule="atLeast"/>
        <w:jc w:val="both"/>
        <w:textAlignment w:val="baseline"/>
      </w:pPr>
      <w:r>
        <w:t xml:space="preserve">Rule 17 allows </w:t>
      </w:r>
      <w:r w:rsidR="00795833">
        <w:t xml:space="preserve">an accepting shareholder to withdraw their acceptance of an offer </w:t>
      </w:r>
      <w:r w:rsidR="00795833" w:rsidRPr="00CA4D38">
        <w:t xml:space="preserve">after 21 days from the </w:t>
      </w:r>
      <w:r w:rsidR="00795833">
        <w:t>first closing date of the offer</w:t>
      </w:r>
      <w:r w:rsidR="00795833" w:rsidRPr="00CA4D38">
        <w:t xml:space="preserve"> if the offer has not become unconditional as to acceptances</w:t>
      </w:r>
      <w:r>
        <w:t>.</w:t>
      </w:r>
      <w:r w:rsidR="00795833">
        <w:t xml:space="preserve"> U</w:t>
      </w:r>
      <w:r w:rsidR="0098427F">
        <w:t xml:space="preserve">nder </w:t>
      </w:r>
      <w:r w:rsidR="00795833">
        <w:t xml:space="preserve">revised </w:t>
      </w:r>
      <w:r w:rsidR="0098427F">
        <w:t>Rule 17</w:t>
      </w:r>
      <w:r w:rsidR="00795833">
        <w:t xml:space="preserve">, an offeror </w:t>
      </w:r>
      <w:r>
        <w:t xml:space="preserve">is required </w:t>
      </w:r>
      <w:r w:rsidR="00795833">
        <w:t xml:space="preserve">to return share certificates to </w:t>
      </w:r>
      <w:r w:rsidR="008A4F8F" w:rsidRPr="008D2DC5">
        <w:t>accepti</w:t>
      </w:r>
      <w:r w:rsidR="007912BC">
        <w:t>ng shareholder</w:t>
      </w:r>
      <w:r w:rsidR="00795833">
        <w:t>s</w:t>
      </w:r>
      <w:r>
        <w:t xml:space="preserve"> who withdraw</w:t>
      </w:r>
      <w:r w:rsidR="007912BC">
        <w:t xml:space="preserve"> their</w:t>
      </w:r>
      <w:r w:rsidR="008A4F8F" w:rsidRPr="008D2DC5">
        <w:t xml:space="preserve"> acceptance</w:t>
      </w:r>
      <w:r>
        <w:t xml:space="preserve"> within 7 business days after receipt of the notice of withdrawal of acceptance</w:t>
      </w:r>
      <w:r w:rsidR="008A4F8F" w:rsidRPr="008D2DC5">
        <w:t>.</w:t>
      </w:r>
    </w:p>
    <w:p w:rsidR="008A4F8F" w:rsidRDefault="008A4F8F" w:rsidP="00980B2D">
      <w:pPr>
        <w:spacing w:after="0" w:line="240" w:lineRule="auto"/>
        <w:jc w:val="both"/>
      </w:pPr>
    </w:p>
    <w:p w:rsidR="00C60DF9" w:rsidRPr="002206D6" w:rsidRDefault="00C60DF9" w:rsidP="00C60DF9">
      <w:pPr>
        <w:spacing w:after="0" w:line="240" w:lineRule="auto"/>
        <w:jc w:val="both"/>
        <w:rPr>
          <w:b/>
        </w:rPr>
      </w:pPr>
      <w:r w:rsidRPr="002206D6">
        <w:rPr>
          <w:b/>
        </w:rPr>
        <w:t xml:space="preserve">Timing of </w:t>
      </w:r>
      <w:r w:rsidR="00227E91">
        <w:rPr>
          <w:b/>
        </w:rPr>
        <w:t>r</w:t>
      </w:r>
      <w:r w:rsidRPr="002206D6">
        <w:rPr>
          <w:b/>
        </w:rPr>
        <w:t xml:space="preserve">esignation of </w:t>
      </w:r>
      <w:r w:rsidR="00227E91">
        <w:rPr>
          <w:b/>
        </w:rPr>
        <w:t>o</w:t>
      </w:r>
      <w:r w:rsidRPr="002206D6">
        <w:rPr>
          <w:b/>
        </w:rPr>
        <w:t xml:space="preserve">fferee </w:t>
      </w:r>
      <w:r w:rsidR="00227E91">
        <w:rPr>
          <w:b/>
        </w:rPr>
        <w:t>company d</w:t>
      </w:r>
      <w:r w:rsidRPr="002206D6">
        <w:rPr>
          <w:b/>
        </w:rPr>
        <w:t>irectors</w:t>
      </w:r>
    </w:p>
    <w:p w:rsidR="009805E3" w:rsidRDefault="009805E3" w:rsidP="00980B2D">
      <w:pPr>
        <w:spacing w:after="0" w:line="240" w:lineRule="auto"/>
        <w:jc w:val="both"/>
        <w:rPr>
          <w:b/>
        </w:rPr>
      </w:pPr>
    </w:p>
    <w:p w:rsidR="009805E3" w:rsidRDefault="00826699" w:rsidP="00980B2D">
      <w:pPr>
        <w:spacing w:after="0" w:line="240" w:lineRule="auto"/>
        <w:jc w:val="both"/>
      </w:pPr>
      <w:r w:rsidRPr="008D2DC5">
        <w:t>T</w:t>
      </w:r>
      <w:r w:rsidRPr="00826699">
        <w:t xml:space="preserve">o clarify the exact time when </w:t>
      </w:r>
      <w:r w:rsidR="0081748C">
        <w:t xml:space="preserve">the resignation of an </w:t>
      </w:r>
      <w:r w:rsidR="00A67982">
        <w:t xml:space="preserve">offeree </w:t>
      </w:r>
      <w:r w:rsidR="0081748C">
        <w:t xml:space="preserve">company </w:t>
      </w:r>
      <w:r w:rsidRPr="00826699">
        <w:t>director</w:t>
      </w:r>
      <w:r w:rsidR="0081748C">
        <w:t xml:space="preserve"> </w:t>
      </w:r>
      <w:r w:rsidR="009B52D5">
        <w:t xml:space="preserve">can </w:t>
      </w:r>
      <w:r w:rsidRPr="00826699">
        <w:t>take effect</w:t>
      </w:r>
      <w:r w:rsidR="00BC57B1">
        <w:t>,</w:t>
      </w:r>
      <w:r>
        <w:t xml:space="preserve"> </w:t>
      </w:r>
      <w:r w:rsidR="00444BFF" w:rsidRPr="00444BFF">
        <w:t xml:space="preserve">Rule </w:t>
      </w:r>
      <w:r w:rsidR="00444BFF">
        <w:t xml:space="preserve">7 </w:t>
      </w:r>
      <w:r w:rsidR="0044433A">
        <w:t>has been</w:t>
      </w:r>
      <w:r w:rsidR="00444BFF">
        <w:t xml:space="preserve"> amended </w:t>
      </w:r>
      <w:r w:rsidR="0081748C">
        <w:t>to provide</w:t>
      </w:r>
      <w:r w:rsidR="00444BFF">
        <w:t xml:space="preserve"> that </w:t>
      </w:r>
      <w:r w:rsidR="0081748C">
        <w:t xml:space="preserve">the resignation of an </w:t>
      </w:r>
      <w:r w:rsidR="0081748C" w:rsidRPr="00444BFF">
        <w:t xml:space="preserve">offeree company </w:t>
      </w:r>
      <w:r w:rsidR="00444BFF" w:rsidRPr="00444BFF">
        <w:t xml:space="preserve">director </w:t>
      </w:r>
      <w:r w:rsidR="009B52D5">
        <w:t>can</w:t>
      </w:r>
      <w:r w:rsidR="00444BFF" w:rsidRPr="00444BFF">
        <w:t xml:space="preserve">not </w:t>
      </w:r>
      <w:r w:rsidR="0081748C">
        <w:t xml:space="preserve">take effect </w:t>
      </w:r>
      <w:r w:rsidR="00444BFF" w:rsidRPr="00444BFF">
        <w:t xml:space="preserve">until after the publication of the closing announcement on the first closing date of the offer, or the publication of </w:t>
      </w:r>
      <w:r w:rsidR="009B52D5">
        <w:t xml:space="preserve">an </w:t>
      </w:r>
      <w:r w:rsidR="00444BFF" w:rsidRPr="00444BFF">
        <w:t xml:space="preserve">announcement that the offer has become or been declared unconditional, whichever is later. In the case of </w:t>
      </w:r>
      <w:r w:rsidR="0081748C">
        <w:t xml:space="preserve">a transaction involving a </w:t>
      </w:r>
      <w:r w:rsidR="00444BFF" w:rsidRPr="00444BFF">
        <w:t>whitewash</w:t>
      </w:r>
      <w:r w:rsidR="0081748C">
        <w:t xml:space="preserve"> waiver</w:t>
      </w:r>
      <w:r w:rsidR="00444BFF" w:rsidRPr="00444BFF">
        <w:t xml:space="preserve">, </w:t>
      </w:r>
      <w:r w:rsidR="0081748C">
        <w:t xml:space="preserve">an offeree company director’s </w:t>
      </w:r>
      <w:r w:rsidR="00444BFF" w:rsidRPr="00444BFF">
        <w:t xml:space="preserve">resignation </w:t>
      </w:r>
      <w:r w:rsidR="0081748C">
        <w:t>can</w:t>
      </w:r>
      <w:r w:rsidR="00444BFF" w:rsidRPr="00444BFF">
        <w:t>not take effect until after the publication of the results announcement f</w:t>
      </w:r>
      <w:r w:rsidR="00227E91">
        <w:t>or</w:t>
      </w:r>
      <w:r w:rsidR="00444BFF" w:rsidRPr="00444BFF">
        <w:t xml:space="preserve"> the shareholders’ meeting to approve the waiver.</w:t>
      </w:r>
    </w:p>
    <w:p w:rsidR="00227E91" w:rsidRDefault="00227E91" w:rsidP="00980B2D">
      <w:pPr>
        <w:spacing w:after="0" w:line="240" w:lineRule="auto"/>
        <w:jc w:val="both"/>
      </w:pPr>
    </w:p>
    <w:p w:rsidR="00A8718A" w:rsidRDefault="00227E91" w:rsidP="00980B2D">
      <w:pPr>
        <w:spacing w:after="0" w:line="240" w:lineRule="auto"/>
        <w:jc w:val="both"/>
        <w:rPr>
          <w:b/>
        </w:rPr>
      </w:pPr>
      <w:r>
        <w:rPr>
          <w:b/>
        </w:rPr>
        <w:t xml:space="preserve">Other </w:t>
      </w:r>
      <w:r w:rsidR="00A8718A">
        <w:rPr>
          <w:b/>
        </w:rPr>
        <w:t>timing “housekeeping” amendments</w:t>
      </w:r>
    </w:p>
    <w:p w:rsidR="00A8718A" w:rsidRDefault="00A8718A" w:rsidP="00980B2D">
      <w:pPr>
        <w:spacing w:after="0" w:line="240" w:lineRule="auto"/>
        <w:jc w:val="both"/>
        <w:rPr>
          <w:b/>
        </w:rPr>
      </w:pPr>
    </w:p>
    <w:p w:rsidR="00227E91" w:rsidRPr="00A8718A" w:rsidRDefault="00A8718A" w:rsidP="00980B2D">
      <w:pPr>
        <w:spacing w:after="0" w:line="240" w:lineRule="auto"/>
        <w:jc w:val="both"/>
      </w:pPr>
      <w:r>
        <w:t xml:space="preserve">To remove possible confusion due to the use of different wording, a number of housekeeping amendments have been made to provisions specifying an applicable period of time. These amendments were set out in Appendix 2 to the </w:t>
      </w:r>
      <w:r w:rsidR="009D06DD">
        <w:t>Consultation Paper.</w:t>
      </w:r>
    </w:p>
    <w:p w:rsidR="002206D6" w:rsidRDefault="002206D6" w:rsidP="00980B2D">
      <w:pPr>
        <w:spacing w:after="0" w:line="240" w:lineRule="auto"/>
        <w:jc w:val="both"/>
      </w:pPr>
    </w:p>
    <w:p w:rsidR="00BF2ED1" w:rsidRDefault="00BF2ED1" w:rsidP="00980B2D">
      <w:pPr>
        <w:spacing w:after="0" w:line="240" w:lineRule="auto"/>
        <w:jc w:val="both"/>
        <w:rPr>
          <w:b/>
        </w:rPr>
      </w:pPr>
      <w:r>
        <w:rPr>
          <w:b/>
        </w:rPr>
        <w:t xml:space="preserve">Rule 15.7 of the </w:t>
      </w:r>
      <w:r w:rsidRPr="000B741E">
        <w:rPr>
          <w:b/>
        </w:rPr>
        <w:t>Hong Kong Takeovers Code</w:t>
      </w:r>
      <w:r w:rsidRPr="00C12E2D">
        <w:rPr>
          <w:b/>
        </w:rPr>
        <w:t xml:space="preserve"> </w:t>
      </w:r>
    </w:p>
    <w:p w:rsidR="00BF2ED1" w:rsidRDefault="00BF2ED1" w:rsidP="00980B2D">
      <w:pPr>
        <w:spacing w:after="0" w:line="240" w:lineRule="auto"/>
        <w:jc w:val="both"/>
        <w:rPr>
          <w:b/>
        </w:rPr>
      </w:pPr>
    </w:p>
    <w:p w:rsidR="00BF2ED1" w:rsidRDefault="00BF2ED1" w:rsidP="00BF2ED1">
      <w:pPr>
        <w:pStyle w:val="af1"/>
        <w:shd w:val="clear" w:color="auto" w:fill="FFFFFF"/>
        <w:spacing w:before="0" w:beforeAutospacing="0" w:after="0" w:afterAutospacing="0" w:line="300" w:lineRule="atLeast"/>
        <w:jc w:val="both"/>
        <w:textAlignment w:val="baseline"/>
        <w:rPr>
          <w:rFonts w:asciiTheme="minorHAnsi" w:eastAsiaTheme="minorEastAsia" w:hAnsiTheme="minorHAnsi" w:cstheme="minorBidi"/>
          <w:sz w:val="22"/>
          <w:szCs w:val="22"/>
          <w:lang w:eastAsia="zh-TW"/>
        </w:rPr>
      </w:pPr>
      <w:r w:rsidRPr="008D2DC5">
        <w:rPr>
          <w:rFonts w:asciiTheme="minorHAnsi" w:eastAsiaTheme="minorEastAsia" w:hAnsiTheme="minorHAnsi" w:cstheme="minorBidi"/>
          <w:sz w:val="22"/>
          <w:szCs w:val="22"/>
          <w:lang w:eastAsia="zh-TW"/>
        </w:rPr>
        <w:t>Under Rule 15.7 of the Hong Kong Takeovers Code, all conditions must be fulfilled or the offer will lapse within 21 days of the later of:</w:t>
      </w:r>
      <w:r>
        <w:rPr>
          <w:rFonts w:asciiTheme="minorHAnsi" w:eastAsiaTheme="minorEastAsia" w:hAnsiTheme="minorHAnsi" w:cstheme="minorBidi"/>
          <w:sz w:val="22"/>
          <w:szCs w:val="22"/>
          <w:lang w:eastAsia="zh-TW"/>
        </w:rPr>
        <w:t xml:space="preserve"> (</w:t>
      </w:r>
      <w:proofErr w:type="spellStart"/>
      <w:r>
        <w:rPr>
          <w:rFonts w:asciiTheme="minorHAnsi" w:eastAsiaTheme="minorEastAsia" w:hAnsiTheme="minorHAnsi" w:cstheme="minorBidi"/>
          <w:sz w:val="22"/>
          <w:szCs w:val="22"/>
          <w:lang w:eastAsia="zh-TW"/>
        </w:rPr>
        <w:t>i</w:t>
      </w:r>
      <w:proofErr w:type="spellEnd"/>
      <w:r>
        <w:rPr>
          <w:rFonts w:asciiTheme="minorHAnsi" w:eastAsiaTheme="minorEastAsia" w:hAnsiTheme="minorHAnsi" w:cstheme="minorBidi"/>
          <w:sz w:val="22"/>
          <w:szCs w:val="22"/>
          <w:lang w:eastAsia="zh-TW"/>
        </w:rPr>
        <w:t xml:space="preserve">) </w:t>
      </w:r>
      <w:r w:rsidRPr="008D2DC5">
        <w:rPr>
          <w:rFonts w:asciiTheme="minorHAnsi" w:hAnsiTheme="minorHAnsi"/>
          <w:sz w:val="22"/>
          <w:szCs w:val="22"/>
        </w:rPr>
        <w:t>the first closing date; or</w:t>
      </w:r>
      <w:r>
        <w:rPr>
          <w:rFonts w:asciiTheme="minorHAnsi" w:hAnsiTheme="minorHAnsi"/>
          <w:sz w:val="22"/>
          <w:szCs w:val="22"/>
        </w:rPr>
        <w:t xml:space="preserve"> (ii) </w:t>
      </w:r>
      <w:r w:rsidRPr="008D2DC5">
        <w:rPr>
          <w:rFonts w:asciiTheme="minorHAnsi" w:hAnsiTheme="minorHAnsi"/>
          <w:sz w:val="22"/>
          <w:szCs w:val="22"/>
        </w:rPr>
        <w:t>the date when the offer becomes or is declared unconditional.</w:t>
      </w:r>
      <w:r>
        <w:rPr>
          <w:rFonts w:asciiTheme="minorHAnsi" w:hAnsiTheme="minorHAnsi"/>
          <w:sz w:val="22"/>
          <w:szCs w:val="22"/>
        </w:rPr>
        <w:t xml:space="preserve"> </w:t>
      </w:r>
      <w:r w:rsidRPr="008D2DC5">
        <w:rPr>
          <w:rFonts w:asciiTheme="minorHAnsi" w:eastAsiaTheme="minorEastAsia" w:hAnsiTheme="minorHAnsi" w:cstheme="minorBidi"/>
          <w:sz w:val="22"/>
          <w:szCs w:val="22"/>
          <w:lang w:eastAsia="zh-TW"/>
        </w:rPr>
        <w:t xml:space="preserve">In the context of </w:t>
      </w:r>
      <w:proofErr w:type="spellStart"/>
      <w:r w:rsidRPr="008D2DC5">
        <w:rPr>
          <w:rFonts w:asciiTheme="minorHAnsi" w:eastAsiaTheme="minorEastAsia" w:hAnsiTheme="minorHAnsi" w:cstheme="minorBidi"/>
          <w:sz w:val="22"/>
          <w:szCs w:val="22"/>
          <w:lang w:eastAsia="zh-TW"/>
        </w:rPr>
        <w:t>privatisations</w:t>
      </w:r>
      <w:proofErr w:type="spellEnd"/>
      <w:r w:rsidRPr="008D2DC5">
        <w:rPr>
          <w:rFonts w:asciiTheme="minorHAnsi" w:eastAsiaTheme="minorEastAsia" w:hAnsiTheme="minorHAnsi" w:cstheme="minorBidi"/>
          <w:sz w:val="22"/>
          <w:szCs w:val="22"/>
          <w:lang w:eastAsia="zh-TW"/>
        </w:rPr>
        <w:t xml:space="preserve"> by scheme of arrangement, this means that the period between the date of the court meeting (which is </w:t>
      </w:r>
      <w:r>
        <w:rPr>
          <w:rFonts w:asciiTheme="minorHAnsi" w:eastAsiaTheme="minorEastAsia" w:hAnsiTheme="minorHAnsi" w:cstheme="minorBidi"/>
          <w:sz w:val="22"/>
          <w:szCs w:val="22"/>
          <w:lang w:eastAsia="zh-TW"/>
        </w:rPr>
        <w:t>equivalent to the date when an offer becomes</w:t>
      </w:r>
      <w:r w:rsidRPr="008D2DC5">
        <w:rPr>
          <w:rFonts w:asciiTheme="minorHAnsi" w:eastAsiaTheme="minorEastAsia" w:hAnsiTheme="minorHAnsi" w:cstheme="minorBidi"/>
          <w:sz w:val="22"/>
          <w:szCs w:val="22"/>
          <w:lang w:eastAsia="zh-TW"/>
        </w:rPr>
        <w:t xml:space="preserve"> unconditional as to acceptances) and the effective date of the scheme </w:t>
      </w:r>
      <w:r>
        <w:rPr>
          <w:rFonts w:asciiTheme="minorHAnsi" w:eastAsiaTheme="minorEastAsia" w:hAnsiTheme="minorHAnsi" w:cstheme="minorBidi"/>
          <w:sz w:val="22"/>
          <w:szCs w:val="22"/>
          <w:lang w:eastAsia="zh-TW"/>
        </w:rPr>
        <w:t xml:space="preserve">cannot </w:t>
      </w:r>
      <w:r w:rsidRPr="008D2DC5">
        <w:rPr>
          <w:rFonts w:asciiTheme="minorHAnsi" w:eastAsiaTheme="minorEastAsia" w:hAnsiTheme="minorHAnsi" w:cstheme="minorBidi"/>
          <w:sz w:val="22"/>
          <w:szCs w:val="22"/>
          <w:lang w:eastAsia="zh-TW"/>
        </w:rPr>
        <w:t xml:space="preserve">exceed 21 days without the consent of the Executive. </w:t>
      </w:r>
    </w:p>
    <w:p w:rsidR="00BF2ED1" w:rsidRDefault="00BF2ED1" w:rsidP="00BF2ED1">
      <w:pPr>
        <w:pStyle w:val="af1"/>
        <w:shd w:val="clear" w:color="auto" w:fill="FFFFFF"/>
        <w:spacing w:before="0" w:beforeAutospacing="0" w:after="0" w:afterAutospacing="0" w:line="300" w:lineRule="atLeast"/>
        <w:jc w:val="both"/>
        <w:textAlignment w:val="baseline"/>
        <w:rPr>
          <w:rFonts w:asciiTheme="minorHAnsi" w:eastAsiaTheme="minorEastAsia" w:hAnsiTheme="minorHAnsi" w:cstheme="minorBidi"/>
          <w:sz w:val="22"/>
          <w:szCs w:val="22"/>
          <w:lang w:eastAsia="zh-TW"/>
        </w:rPr>
      </w:pPr>
    </w:p>
    <w:p w:rsidR="002206D6" w:rsidRPr="00444BFF" w:rsidRDefault="00BF2ED1" w:rsidP="00980B2D">
      <w:pPr>
        <w:spacing w:after="0" w:line="240" w:lineRule="auto"/>
        <w:jc w:val="both"/>
      </w:pPr>
      <w:r>
        <w:t xml:space="preserve">A </w:t>
      </w:r>
      <w:r w:rsidR="001567F4">
        <w:t>n</w:t>
      </w:r>
      <w:r w:rsidR="002206D6">
        <w:t>ote to Rule 15.7</w:t>
      </w:r>
      <w:r w:rsidR="00A24D78">
        <w:t xml:space="preserve"> </w:t>
      </w:r>
      <w:r w:rsidR="0044433A">
        <w:t>has been</w:t>
      </w:r>
      <w:r w:rsidR="00A24D78">
        <w:t xml:space="preserve"> </w:t>
      </w:r>
      <w:r w:rsidR="009D06DD">
        <w:t>add</w:t>
      </w:r>
      <w:r w:rsidR="00A24D78">
        <w:t xml:space="preserve">ed </w:t>
      </w:r>
      <w:r w:rsidR="009D06DD">
        <w:t xml:space="preserve">to provide </w:t>
      </w:r>
      <w:r w:rsidR="00A24D78" w:rsidRPr="00A24D78">
        <w:t xml:space="preserve">that the Executive’s consent will not be </w:t>
      </w:r>
      <w:r w:rsidR="009D06DD">
        <w:t xml:space="preserve">required </w:t>
      </w:r>
      <w:r w:rsidR="00A24D78" w:rsidRPr="00A24D78">
        <w:t>in cases where</w:t>
      </w:r>
      <w:r w:rsidR="00A24D78">
        <w:t xml:space="preserve"> the 21-day requirement cannot be met in cases of </w:t>
      </w:r>
      <w:proofErr w:type="spellStart"/>
      <w:r w:rsidR="00A24D78">
        <w:t>privatisation</w:t>
      </w:r>
      <w:proofErr w:type="spellEnd"/>
      <w:r w:rsidR="00A24D78">
        <w:t xml:space="preserve"> by way of scheme of arrangement (</w:t>
      </w:r>
      <w:proofErr w:type="gramStart"/>
      <w:r w:rsidR="00A24D78">
        <w:t>i.e.</w:t>
      </w:r>
      <w:proofErr w:type="gramEnd"/>
      <w:r w:rsidR="00A24D78">
        <w:t xml:space="preserve"> when the effective date of a scheme </w:t>
      </w:r>
      <w:r w:rsidR="007C493E">
        <w:t xml:space="preserve">is </w:t>
      </w:r>
      <w:r w:rsidR="00A24D78">
        <w:t xml:space="preserve">more than 21 days </w:t>
      </w:r>
      <w:r w:rsidR="007C493E">
        <w:t xml:space="preserve">after </w:t>
      </w:r>
      <w:r w:rsidR="00A24D78">
        <w:t xml:space="preserve">the date of the court meeting) </w:t>
      </w:r>
      <w:r w:rsidR="007D1F07">
        <w:t xml:space="preserve">as a result </w:t>
      </w:r>
      <w:r w:rsidR="00A24D78" w:rsidRPr="00A24D78">
        <w:t>of the court’s timetable</w:t>
      </w:r>
      <w:r w:rsidR="007C493E">
        <w:t>,</w:t>
      </w:r>
      <w:r w:rsidR="000978DD">
        <w:t xml:space="preserve"> which is beyond the control of the offeree company</w:t>
      </w:r>
      <w:r w:rsidR="00A24D78">
        <w:t>.</w:t>
      </w:r>
    </w:p>
    <w:p w:rsidR="00A11A27" w:rsidRDefault="00A11A27" w:rsidP="00980B2D">
      <w:pPr>
        <w:spacing w:after="0" w:line="240" w:lineRule="auto"/>
        <w:jc w:val="both"/>
        <w:rPr>
          <w:b/>
        </w:rPr>
      </w:pPr>
    </w:p>
    <w:p w:rsidR="00276816" w:rsidRPr="00241231" w:rsidRDefault="00276816" w:rsidP="00980B2D">
      <w:pPr>
        <w:spacing w:after="0" w:line="240" w:lineRule="auto"/>
        <w:jc w:val="both"/>
        <w:rPr>
          <w:b/>
          <w:color w:val="FF0000"/>
        </w:rPr>
      </w:pPr>
      <w:r w:rsidRPr="00241231">
        <w:rPr>
          <w:b/>
          <w:color w:val="FF0000"/>
        </w:rPr>
        <w:t>4. Offer Requirements</w:t>
      </w:r>
    </w:p>
    <w:p w:rsidR="00276816" w:rsidRDefault="00276816" w:rsidP="00980B2D">
      <w:pPr>
        <w:spacing w:after="0" w:line="240" w:lineRule="auto"/>
        <w:jc w:val="both"/>
        <w:rPr>
          <w:color w:val="C00000"/>
        </w:rPr>
      </w:pPr>
    </w:p>
    <w:p w:rsidR="00276816" w:rsidRDefault="00D968BB" w:rsidP="00980B2D">
      <w:pPr>
        <w:spacing w:after="0" w:line="240" w:lineRule="auto"/>
        <w:jc w:val="both"/>
        <w:rPr>
          <w:b/>
        </w:rPr>
      </w:pPr>
      <w:r w:rsidRPr="00D968BB">
        <w:rPr>
          <w:b/>
        </w:rPr>
        <w:t xml:space="preserve">Disclosure of </w:t>
      </w:r>
      <w:r w:rsidR="007C493E">
        <w:rPr>
          <w:b/>
        </w:rPr>
        <w:t>o</w:t>
      </w:r>
      <w:r w:rsidRPr="00D968BB">
        <w:rPr>
          <w:b/>
        </w:rPr>
        <w:t xml:space="preserve">ffer </w:t>
      </w:r>
      <w:r w:rsidR="007C493E">
        <w:rPr>
          <w:b/>
        </w:rPr>
        <w:t>p</w:t>
      </w:r>
      <w:r w:rsidRPr="00D968BB">
        <w:rPr>
          <w:b/>
        </w:rPr>
        <w:t xml:space="preserve">rice in </w:t>
      </w:r>
      <w:r w:rsidR="007C493E">
        <w:rPr>
          <w:b/>
        </w:rPr>
        <w:t>t</w:t>
      </w:r>
      <w:r w:rsidRPr="00D968BB">
        <w:rPr>
          <w:b/>
        </w:rPr>
        <w:t xml:space="preserve">alks </w:t>
      </w:r>
      <w:r w:rsidR="007C493E">
        <w:rPr>
          <w:b/>
        </w:rPr>
        <w:t>a</w:t>
      </w:r>
      <w:r w:rsidRPr="00D968BB">
        <w:rPr>
          <w:b/>
        </w:rPr>
        <w:t>nnouncements</w:t>
      </w:r>
    </w:p>
    <w:p w:rsidR="00D968BB" w:rsidRDefault="00D968BB" w:rsidP="00980B2D">
      <w:pPr>
        <w:spacing w:after="0" w:line="240" w:lineRule="auto"/>
        <w:jc w:val="both"/>
        <w:rPr>
          <w:b/>
        </w:rPr>
      </w:pPr>
    </w:p>
    <w:p w:rsidR="0031610A" w:rsidRDefault="007F7E10" w:rsidP="00980B2D">
      <w:pPr>
        <w:spacing w:after="0" w:line="240" w:lineRule="auto"/>
        <w:jc w:val="both"/>
        <w:rPr>
          <w:rFonts w:ascii="Calibri" w:hAnsi="Calibri" w:cs="Calibri"/>
          <w:color w:val="2B2B2B"/>
          <w:shd w:val="clear" w:color="auto" w:fill="FFFFFF"/>
        </w:rPr>
      </w:pPr>
      <w:r w:rsidRPr="006A4043">
        <w:rPr>
          <w:rFonts w:ascii="Calibri" w:hAnsi="Calibri" w:cs="Calibri"/>
          <w:color w:val="2B2B2B"/>
          <w:shd w:val="clear" w:color="auto" w:fill="FFFFFF"/>
        </w:rPr>
        <w:t xml:space="preserve">Issue </w:t>
      </w:r>
      <w:hyperlink r:id="rId17" w:history="1">
        <w:r w:rsidRPr="00016817">
          <w:rPr>
            <w:rStyle w:val="a3"/>
            <w:rFonts w:ascii="Calibri" w:hAnsi="Calibri" w:cs="Calibri"/>
            <w:shd w:val="clear" w:color="auto" w:fill="FFFFFF"/>
          </w:rPr>
          <w:t>37 (June 2016)</w:t>
        </w:r>
      </w:hyperlink>
      <w:r w:rsidRPr="006A4043">
        <w:rPr>
          <w:rFonts w:ascii="Calibri" w:hAnsi="Calibri" w:cs="Calibri"/>
          <w:color w:val="2B2B2B"/>
          <w:shd w:val="clear" w:color="auto" w:fill="FFFFFF"/>
        </w:rPr>
        <w:t xml:space="preserve"> of the Takeovers Bulletin advised parties to maintain confidentiality and take all necessary steps to prevent leakage of information </w:t>
      </w:r>
      <w:r>
        <w:rPr>
          <w:rFonts w:ascii="Calibri" w:hAnsi="Calibri" w:cs="Calibri"/>
          <w:color w:val="2B2B2B"/>
          <w:shd w:val="clear" w:color="auto" w:fill="FFFFFF"/>
        </w:rPr>
        <w:t xml:space="preserve">before </w:t>
      </w:r>
      <w:r w:rsidRPr="006A4043">
        <w:rPr>
          <w:rFonts w:ascii="Calibri" w:hAnsi="Calibri" w:cs="Calibri"/>
          <w:color w:val="2B2B2B"/>
          <w:shd w:val="clear" w:color="auto" w:fill="FFFFFF"/>
        </w:rPr>
        <w:t xml:space="preserve">the announcement of a firm intention to make an offer. If confidentiality is maintained, the offeree need not issue a “talks announcement” under Rule 3.7. </w:t>
      </w:r>
      <w:r>
        <w:rPr>
          <w:rFonts w:ascii="Calibri" w:hAnsi="Calibri" w:cs="Calibri"/>
          <w:color w:val="2B2B2B"/>
          <w:shd w:val="clear" w:color="auto" w:fill="FFFFFF"/>
        </w:rPr>
        <w:t xml:space="preserve">Once an offeree company board has been approached or informed of a possible offer, it is imperative that confidentiality is maintained. </w:t>
      </w:r>
      <w:r w:rsidRPr="006A4043">
        <w:rPr>
          <w:rFonts w:ascii="Calibri" w:hAnsi="Calibri" w:cs="Calibri"/>
          <w:color w:val="2B2B2B"/>
          <w:shd w:val="clear" w:color="auto" w:fill="FFFFFF"/>
        </w:rPr>
        <w:t xml:space="preserve">The Executive adopts a strict approach on the issue of “talks </w:t>
      </w:r>
      <w:r w:rsidRPr="006A4043">
        <w:rPr>
          <w:rFonts w:ascii="Calibri" w:hAnsi="Calibri" w:cs="Calibri"/>
          <w:color w:val="2B2B2B"/>
          <w:shd w:val="clear" w:color="auto" w:fill="FFFFFF"/>
        </w:rPr>
        <w:lastRenderedPageBreak/>
        <w:t>announcements” to prevent the announcement being used to condition the market and mitigate the risk of the offeree’s trading price being impacted by the announcement of negotiations which may or may not proceed to an offer. Where the obligation to make a “talks announcement” arises under Rule 3.7, it is expected to be fairly short and to disclose only the fact that talks are taking place. This message has been conveyed and elaborated on in Takeovers Bulletin Issues </w:t>
      </w:r>
      <w:hyperlink r:id="rId18" w:tgtFrame="_blank" w:history="1">
        <w:r w:rsidRPr="006A4043">
          <w:rPr>
            <w:rStyle w:val="a3"/>
            <w:rFonts w:ascii="Calibri" w:hAnsi="Calibri" w:cs="Calibri"/>
            <w:color w:val="DD1D25"/>
            <w:bdr w:val="none" w:sz="0" w:space="0" w:color="auto" w:frame="1"/>
            <w:shd w:val="clear" w:color="auto" w:fill="FFFFFF"/>
          </w:rPr>
          <w:t>40 (March 2017)</w:t>
        </w:r>
      </w:hyperlink>
      <w:r w:rsidRPr="006A4043">
        <w:rPr>
          <w:rFonts w:ascii="Calibri" w:hAnsi="Calibri" w:cs="Calibri"/>
          <w:color w:val="2B2B2B"/>
          <w:shd w:val="clear" w:color="auto" w:fill="FFFFFF"/>
        </w:rPr>
        <w:t> and </w:t>
      </w:r>
      <w:hyperlink r:id="rId19" w:tgtFrame="_blank" w:history="1">
        <w:r w:rsidRPr="006A4043">
          <w:rPr>
            <w:rStyle w:val="a3"/>
            <w:rFonts w:ascii="Calibri" w:hAnsi="Calibri" w:cs="Calibri"/>
            <w:color w:val="DD1D25"/>
            <w:bdr w:val="none" w:sz="0" w:space="0" w:color="auto" w:frame="1"/>
            <w:shd w:val="clear" w:color="auto" w:fill="FFFFFF"/>
          </w:rPr>
          <w:t>53 (June 2020)</w:t>
        </w:r>
      </w:hyperlink>
      <w:r w:rsidRPr="006A4043">
        <w:rPr>
          <w:rFonts w:ascii="Calibri" w:hAnsi="Calibri" w:cs="Calibri"/>
          <w:color w:val="2B2B2B"/>
          <w:shd w:val="clear" w:color="auto" w:fill="FFFFFF"/>
        </w:rPr>
        <w:t xml:space="preserve">. It will not normally be acceptable for talks announcements to disclose the indicative offer price or the form of consideration where these have been communicated to the offeree board, given that an offer will not necessarily </w:t>
      </w:r>
      <w:proofErr w:type="spellStart"/>
      <w:r w:rsidRPr="006A4043">
        <w:rPr>
          <w:rFonts w:ascii="Calibri" w:hAnsi="Calibri" w:cs="Calibri"/>
          <w:color w:val="2B2B2B"/>
          <w:shd w:val="clear" w:color="auto" w:fill="FFFFFF"/>
        </w:rPr>
        <w:t>materialise</w:t>
      </w:r>
      <w:proofErr w:type="spellEnd"/>
      <w:r w:rsidRPr="006A4043">
        <w:rPr>
          <w:rFonts w:ascii="Calibri" w:hAnsi="Calibri" w:cs="Calibri"/>
          <w:color w:val="2B2B2B"/>
          <w:shd w:val="clear" w:color="auto" w:fill="FFFFFF"/>
        </w:rPr>
        <w:t>.</w:t>
      </w:r>
      <w:r w:rsidR="0031610A">
        <w:rPr>
          <w:rFonts w:ascii="Calibri" w:hAnsi="Calibri" w:cs="Calibri"/>
          <w:color w:val="2B2B2B"/>
          <w:shd w:val="clear" w:color="auto" w:fill="FFFFFF"/>
        </w:rPr>
        <w:t xml:space="preserve"> The Consultation Paper noted however that overseas listed offerors or dual-listed offeree companies are sometimes required by overseas regulatory requirements to disclose the offer price before a firm intention announcement can be made, and that the Executive has required the disclosure of the offer price (whether indicative or otherwise) to be accompanied by a statement that the price disclosed will be the floor price for any subsequent offer. </w:t>
      </w:r>
    </w:p>
    <w:p w:rsidR="00F633E2" w:rsidRPr="008D2DC5" w:rsidRDefault="00F633E2" w:rsidP="00980B2D">
      <w:pPr>
        <w:spacing w:after="0" w:line="240" w:lineRule="auto"/>
        <w:jc w:val="both"/>
        <w:rPr>
          <w:highlight w:val="yellow"/>
        </w:rPr>
      </w:pPr>
    </w:p>
    <w:p w:rsidR="00D968BB" w:rsidRDefault="0031610A" w:rsidP="00980B2D">
      <w:pPr>
        <w:spacing w:after="0" w:line="240" w:lineRule="auto"/>
        <w:jc w:val="both"/>
      </w:pPr>
      <w:r>
        <w:t xml:space="preserve">As proposed in the Consultation Paper, </w:t>
      </w:r>
      <w:proofErr w:type="gramStart"/>
      <w:r w:rsidR="0061076D" w:rsidRPr="001F7359">
        <w:t>Note</w:t>
      </w:r>
      <w:proofErr w:type="gramEnd"/>
      <w:r w:rsidR="0061076D" w:rsidRPr="001F7359">
        <w:t xml:space="preserve"> 4 to Rule 3.7 </w:t>
      </w:r>
      <w:r w:rsidR="0044433A" w:rsidRPr="001F7359">
        <w:t>has been</w:t>
      </w:r>
      <w:r w:rsidR="00675257" w:rsidRPr="001F7359">
        <w:t xml:space="preserve"> </w:t>
      </w:r>
      <w:r w:rsidR="0061076D" w:rsidRPr="001F7359">
        <w:t xml:space="preserve">introduced </w:t>
      </w:r>
      <w:r w:rsidR="000B468B">
        <w:t xml:space="preserve">to codify the Executive’s existing practice by </w:t>
      </w:r>
      <w:r w:rsidR="0061076D" w:rsidRPr="001F7359">
        <w:t>providing that the disclosure of an indicative offer price is not normally permitted before the announcement of a firm intention to make an offer, unless there are exceptional circumstances.</w:t>
      </w:r>
      <w:r w:rsidR="00F633E2" w:rsidRPr="001F7359">
        <w:t xml:space="preserve"> The SFC provides some </w:t>
      </w:r>
      <w:r w:rsidR="001F7359">
        <w:t>ex</w:t>
      </w:r>
      <w:r w:rsidR="00F633E2" w:rsidRPr="001F7359">
        <w:t xml:space="preserve">amples </w:t>
      </w:r>
      <w:r w:rsidR="00702FEB" w:rsidRPr="001F7359">
        <w:t xml:space="preserve">in the Consultation Conclusions </w:t>
      </w:r>
      <w:r w:rsidR="00F633E2" w:rsidRPr="001F7359">
        <w:t xml:space="preserve">of what could be considered exceptional circumstances, which include the need to clarify an incorrect market </w:t>
      </w:r>
      <w:proofErr w:type="spellStart"/>
      <w:r w:rsidR="00F633E2" w:rsidRPr="001F7359">
        <w:t>rumour</w:t>
      </w:r>
      <w:proofErr w:type="spellEnd"/>
      <w:r w:rsidR="00F633E2" w:rsidRPr="001F7359">
        <w:t xml:space="preserve"> or incorrect statement in the media which may be creating a false market in the shares of the offeree company, or where an offeror or an offeree company is required by overseas regulatory requirements to disclose an offer price prior to the announcement of a firm intention to make an offer.</w:t>
      </w:r>
      <w:r w:rsidR="000B468B">
        <w:t xml:space="preserve"> In exceptional circumstances where an indicative offer price is allowed to be disclosed, this will be the floor price for any subsequent offer.   </w:t>
      </w:r>
      <w:r w:rsidR="00927BC7">
        <w:t xml:space="preserve"> </w:t>
      </w:r>
    </w:p>
    <w:p w:rsidR="0031610A" w:rsidRDefault="0031610A" w:rsidP="00980B2D">
      <w:pPr>
        <w:spacing w:after="0" w:line="240" w:lineRule="auto"/>
        <w:jc w:val="both"/>
      </w:pPr>
    </w:p>
    <w:p w:rsidR="00DD19B9" w:rsidRDefault="0031610A" w:rsidP="0031610A">
      <w:pPr>
        <w:spacing w:after="0" w:line="240" w:lineRule="auto"/>
        <w:jc w:val="both"/>
      </w:pPr>
      <w:r w:rsidRPr="008D2DC5">
        <w:t xml:space="preserve">Note 3 to Rule 3.7 has been added to codify existing practice that a potential offeror who makes a statement in relation to the terms of a possible offer prior to an announcement of a firm intention to make an offer will be bound by that statement if an offer for the offeree company is subsequently made, unless the right not to be bound was specifically reserved at the time the statement was made or there are wholly exceptional circumstances. </w:t>
      </w:r>
    </w:p>
    <w:p w:rsidR="00DD19B9" w:rsidRDefault="00DD19B9" w:rsidP="0031610A">
      <w:pPr>
        <w:spacing w:after="0" w:line="240" w:lineRule="auto"/>
        <w:jc w:val="both"/>
      </w:pPr>
    </w:p>
    <w:p w:rsidR="00DD19B9" w:rsidRDefault="00DD19B9" w:rsidP="0031610A">
      <w:pPr>
        <w:spacing w:after="0" w:line="240" w:lineRule="auto"/>
        <w:jc w:val="both"/>
      </w:pPr>
      <w:r>
        <w:t>The Consultation Conclusions note that while a potential offeror may be able to deviate from previously announced terms if it specifically reserved that right and the circumstances for exercising it have arisen (under Note 3), it will ne</w:t>
      </w:r>
      <w:r w:rsidR="00161153">
        <w:t xml:space="preserve">ver be allowed to revise a previously announced offer price. </w:t>
      </w:r>
    </w:p>
    <w:p w:rsidR="00DD19B9" w:rsidRDefault="00DD19B9" w:rsidP="0031610A">
      <w:pPr>
        <w:spacing w:after="0" w:line="240" w:lineRule="auto"/>
        <w:jc w:val="both"/>
      </w:pPr>
    </w:p>
    <w:p w:rsidR="0061076D" w:rsidRDefault="00633202" w:rsidP="00980B2D">
      <w:pPr>
        <w:spacing w:after="0" w:line="240" w:lineRule="auto"/>
        <w:jc w:val="both"/>
        <w:rPr>
          <w:b/>
        </w:rPr>
      </w:pPr>
      <w:r w:rsidRPr="00633202">
        <w:rPr>
          <w:b/>
        </w:rPr>
        <w:t xml:space="preserve">Deduction of </w:t>
      </w:r>
      <w:r w:rsidR="001F7359">
        <w:rPr>
          <w:b/>
        </w:rPr>
        <w:t>d</w:t>
      </w:r>
      <w:r w:rsidRPr="00633202">
        <w:rPr>
          <w:b/>
        </w:rPr>
        <w:t xml:space="preserve">ividends from </w:t>
      </w:r>
      <w:r w:rsidR="001F7359">
        <w:rPr>
          <w:b/>
        </w:rPr>
        <w:t>o</w:t>
      </w:r>
      <w:r w:rsidRPr="00633202">
        <w:rPr>
          <w:b/>
        </w:rPr>
        <w:t xml:space="preserve">ffer </w:t>
      </w:r>
      <w:r w:rsidR="001F7359">
        <w:rPr>
          <w:b/>
        </w:rPr>
        <w:t>p</w:t>
      </w:r>
      <w:r w:rsidRPr="00633202">
        <w:rPr>
          <w:b/>
        </w:rPr>
        <w:t>rice</w:t>
      </w:r>
    </w:p>
    <w:p w:rsidR="00633202" w:rsidRDefault="00633202" w:rsidP="00980B2D">
      <w:pPr>
        <w:spacing w:after="0" w:line="240" w:lineRule="auto"/>
        <w:jc w:val="both"/>
        <w:rPr>
          <w:b/>
        </w:rPr>
      </w:pPr>
    </w:p>
    <w:p w:rsidR="00E74B05" w:rsidRPr="00E74B05" w:rsidRDefault="00D026ED" w:rsidP="00980B2D">
      <w:pPr>
        <w:spacing w:after="0" w:line="240" w:lineRule="auto"/>
        <w:jc w:val="both"/>
      </w:pPr>
      <w:r>
        <w:t xml:space="preserve">To </w:t>
      </w:r>
      <w:r w:rsidR="00B566DA">
        <w:t xml:space="preserve">codify the </w:t>
      </w:r>
      <w:r w:rsidR="00565009">
        <w:t xml:space="preserve">effect of </w:t>
      </w:r>
      <w:r>
        <w:t>dividend</w:t>
      </w:r>
      <w:r w:rsidR="00B566DA">
        <w:t>s</w:t>
      </w:r>
      <w:r>
        <w:t xml:space="preserve"> </w:t>
      </w:r>
      <w:r w:rsidR="00565009">
        <w:t xml:space="preserve">and withholding tax on </w:t>
      </w:r>
      <w:r>
        <w:t xml:space="preserve">the offer price, </w:t>
      </w:r>
      <w:proofErr w:type="gramStart"/>
      <w:r w:rsidR="00E74B05" w:rsidRPr="00E74B05">
        <w:t>Note</w:t>
      </w:r>
      <w:proofErr w:type="gramEnd"/>
      <w:r w:rsidR="00E74B05" w:rsidRPr="00E74B05">
        <w:t xml:space="preserve"> 11 to Rule 23.1 and Note 3 to Rule 26.3 of the Hong Kong Takeovers Code </w:t>
      </w:r>
      <w:r w:rsidR="007140E2">
        <w:t>have been</w:t>
      </w:r>
      <w:r>
        <w:t xml:space="preserve"> amended </w:t>
      </w:r>
      <w:r w:rsidR="00E74B05" w:rsidRPr="00E74B05">
        <w:t>to provide that:</w:t>
      </w:r>
    </w:p>
    <w:p w:rsidR="00E74B05" w:rsidRPr="00E74B05" w:rsidRDefault="00E74B05" w:rsidP="00980B2D">
      <w:pPr>
        <w:spacing w:after="0" w:line="240" w:lineRule="auto"/>
        <w:jc w:val="both"/>
      </w:pPr>
    </w:p>
    <w:p w:rsidR="00E74B05" w:rsidRDefault="00E74B05" w:rsidP="00980B2D">
      <w:pPr>
        <w:pStyle w:val="a4"/>
        <w:numPr>
          <w:ilvl w:val="0"/>
          <w:numId w:val="2"/>
        </w:numPr>
        <w:spacing w:after="0" w:line="240" w:lineRule="auto"/>
        <w:jc w:val="both"/>
      </w:pPr>
      <w:r w:rsidRPr="00E74B05">
        <w:t xml:space="preserve">an offeror cannot deduct from the offer consideration the amount of a dividend (or other distribution) subsequently paid or payable to offeree company shareholders by the offeree company, unless it has specifically reserved its right to do so in an announcement; </w:t>
      </w:r>
    </w:p>
    <w:p w:rsidR="00E74B05" w:rsidRPr="00E74B05" w:rsidRDefault="00E74B05" w:rsidP="00980B2D">
      <w:pPr>
        <w:pStyle w:val="a4"/>
        <w:spacing w:after="0" w:line="240" w:lineRule="auto"/>
        <w:jc w:val="both"/>
      </w:pPr>
    </w:p>
    <w:p w:rsidR="00633202" w:rsidRDefault="00E74B05" w:rsidP="00980B2D">
      <w:pPr>
        <w:pStyle w:val="a4"/>
        <w:numPr>
          <w:ilvl w:val="0"/>
          <w:numId w:val="2"/>
        </w:numPr>
        <w:spacing w:after="0" w:line="240" w:lineRule="auto"/>
        <w:jc w:val="both"/>
      </w:pPr>
      <w:r w:rsidRPr="00E74B05">
        <w:t xml:space="preserve">where </w:t>
      </w:r>
      <w:r w:rsidR="00B566DA">
        <w:t xml:space="preserve">the payment of </w:t>
      </w:r>
      <w:r w:rsidRPr="00E74B05">
        <w:t>a dividend (or other distribution) is subject to withholding tax or other deductions, the offer consideration should be reduced by the gross amount received or receivable by t</w:t>
      </w:r>
      <w:r>
        <w:t>he offeree company shareholders</w:t>
      </w:r>
      <w:r w:rsidRPr="00E74B05">
        <w:t>; and</w:t>
      </w:r>
    </w:p>
    <w:p w:rsidR="00E74B05" w:rsidRDefault="00E74B05" w:rsidP="00980B2D">
      <w:pPr>
        <w:pStyle w:val="a4"/>
        <w:spacing w:after="0" w:line="240" w:lineRule="auto"/>
        <w:jc w:val="both"/>
      </w:pPr>
    </w:p>
    <w:p w:rsidR="00E74B05" w:rsidRDefault="002F773A" w:rsidP="00980B2D">
      <w:pPr>
        <w:pStyle w:val="a4"/>
        <w:numPr>
          <w:ilvl w:val="0"/>
          <w:numId w:val="2"/>
        </w:numPr>
        <w:spacing w:after="0" w:line="240" w:lineRule="auto"/>
        <w:jc w:val="both"/>
      </w:pPr>
      <w:r>
        <w:t>where</w:t>
      </w:r>
      <w:r w:rsidR="00565009">
        <w:t xml:space="preserve"> a</w:t>
      </w:r>
      <w:r w:rsidR="0038403C">
        <w:t>n offeror</w:t>
      </w:r>
      <w:r>
        <w:t xml:space="preserve"> </w:t>
      </w:r>
      <w:r w:rsidR="0038403C">
        <w:t xml:space="preserve">has made a </w:t>
      </w:r>
      <w:r w:rsidR="00437C5B">
        <w:t xml:space="preserve">no increase statement to which Rule 18.3 applies and a dividend (or other distribution) is subsequently paid or becomes payable by the offeree company to offeree </w:t>
      </w:r>
      <w:r w:rsidR="00437C5B">
        <w:lastRenderedPageBreak/>
        <w:t>company shareholders, the offeror must reduce the offer consideration by an amount equal to that dividend (or other distribution) so that the overall value receivable by the offeree company shareholders remains the same, unless, and to the extent that, the offeror has stated that offeree company shareholders will be entitled to receive all or part of a specified dividend (or other distribution) in addition to the offer consideration.</w:t>
      </w:r>
    </w:p>
    <w:p w:rsidR="00202009" w:rsidRDefault="00202009" w:rsidP="00980B2D">
      <w:pPr>
        <w:pStyle w:val="a4"/>
        <w:spacing w:after="0" w:line="240" w:lineRule="auto"/>
        <w:jc w:val="both"/>
      </w:pPr>
    </w:p>
    <w:p w:rsidR="00202009" w:rsidRPr="00241231" w:rsidRDefault="00202009" w:rsidP="00980B2D">
      <w:pPr>
        <w:spacing w:after="0" w:line="240" w:lineRule="auto"/>
        <w:jc w:val="both"/>
        <w:rPr>
          <w:b/>
          <w:color w:val="FF0000"/>
        </w:rPr>
      </w:pPr>
      <w:r w:rsidRPr="00241231">
        <w:rPr>
          <w:b/>
          <w:color w:val="FF0000"/>
        </w:rPr>
        <w:t>5. Partial Offers</w:t>
      </w:r>
    </w:p>
    <w:p w:rsidR="00202009" w:rsidRDefault="00202009" w:rsidP="00980B2D">
      <w:pPr>
        <w:spacing w:after="0" w:line="240" w:lineRule="auto"/>
        <w:jc w:val="both"/>
        <w:rPr>
          <w:color w:val="C00000"/>
        </w:rPr>
      </w:pPr>
    </w:p>
    <w:p w:rsidR="00202009" w:rsidRDefault="00202009" w:rsidP="00980B2D">
      <w:pPr>
        <w:spacing w:after="0" w:line="240" w:lineRule="auto"/>
        <w:jc w:val="both"/>
        <w:rPr>
          <w:b/>
        </w:rPr>
      </w:pPr>
      <w:r w:rsidRPr="00202009">
        <w:rPr>
          <w:b/>
        </w:rPr>
        <w:t xml:space="preserve">Offer </w:t>
      </w:r>
      <w:r w:rsidR="00E749F1">
        <w:rPr>
          <w:b/>
        </w:rPr>
        <w:t>p</w:t>
      </w:r>
      <w:r w:rsidRPr="00202009">
        <w:rPr>
          <w:b/>
        </w:rPr>
        <w:t xml:space="preserve">eriods </w:t>
      </w:r>
      <w:r w:rsidR="00E749F1">
        <w:rPr>
          <w:b/>
        </w:rPr>
        <w:t>r</w:t>
      </w:r>
      <w:r w:rsidRPr="00202009">
        <w:rPr>
          <w:b/>
        </w:rPr>
        <w:t xml:space="preserve">elating to </w:t>
      </w:r>
      <w:r w:rsidR="00E749F1">
        <w:rPr>
          <w:b/>
        </w:rPr>
        <w:t>p</w:t>
      </w:r>
      <w:r w:rsidRPr="00202009">
        <w:rPr>
          <w:b/>
        </w:rPr>
        <w:t xml:space="preserve">artial </w:t>
      </w:r>
      <w:r w:rsidR="00E749F1">
        <w:rPr>
          <w:b/>
        </w:rPr>
        <w:t>o</w:t>
      </w:r>
      <w:r w:rsidRPr="00202009">
        <w:rPr>
          <w:b/>
        </w:rPr>
        <w:t>ffers</w:t>
      </w:r>
    </w:p>
    <w:p w:rsidR="00202009" w:rsidRDefault="00202009" w:rsidP="00980B2D">
      <w:pPr>
        <w:spacing w:after="0" w:line="240" w:lineRule="auto"/>
        <w:jc w:val="both"/>
        <w:rPr>
          <w:b/>
        </w:rPr>
      </w:pPr>
    </w:p>
    <w:p w:rsidR="00202009" w:rsidRDefault="00202009" w:rsidP="00980B2D">
      <w:pPr>
        <w:spacing w:after="0" w:line="240" w:lineRule="auto"/>
        <w:jc w:val="both"/>
      </w:pPr>
      <w:r w:rsidRPr="00202009">
        <w:t xml:space="preserve">Rule </w:t>
      </w:r>
      <w:r>
        <w:t xml:space="preserve">28.4 </w:t>
      </w:r>
      <w:r w:rsidR="007140E2">
        <w:t>has been</w:t>
      </w:r>
      <w:r>
        <w:t xml:space="preserve"> amended </w:t>
      </w:r>
      <w:r w:rsidR="003141F6">
        <w:t xml:space="preserve">to </w:t>
      </w:r>
      <w:r>
        <w:t>provid</w:t>
      </w:r>
      <w:r w:rsidR="003141F6">
        <w:t>e</w:t>
      </w:r>
      <w:r>
        <w:t xml:space="preserve"> that:</w:t>
      </w:r>
    </w:p>
    <w:p w:rsidR="00202009" w:rsidRDefault="00202009" w:rsidP="00980B2D">
      <w:pPr>
        <w:spacing w:after="0" w:line="240" w:lineRule="auto"/>
        <w:jc w:val="both"/>
      </w:pPr>
    </w:p>
    <w:p w:rsidR="00202009" w:rsidRDefault="00202009" w:rsidP="00980B2D">
      <w:pPr>
        <w:pStyle w:val="a4"/>
        <w:numPr>
          <w:ilvl w:val="0"/>
          <w:numId w:val="3"/>
        </w:numPr>
        <w:spacing w:after="0" w:line="240" w:lineRule="auto"/>
        <w:jc w:val="both"/>
      </w:pPr>
      <w:r>
        <w:t>if, on a closing day, acceptances received equal or exceed the precise number of shares stated in the offer document under Rule 28.7, the offeror must declare the partial offer unconditional as to acceptances and extend the final closing day to the 14th day thereafter. The offeror cannot further extend the final closing day;</w:t>
      </w:r>
    </w:p>
    <w:p w:rsidR="00202009" w:rsidRDefault="00202009" w:rsidP="00980B2D">
      <w:pPr>
        <w:pStyle w:val="a4"/>
        <w:spacing w:after="0" w:line="240" w:lineRule="auto"/>
        <w:jc w:val="both"/>
      </w:pPr>
    </w:p>
    <w:p w:rsidR="00202009" w:rsidRDefault="00202009" w:rsidP="00980B2D">
      <w:pPr>
        <w:pStyle w:val="a4"/>
        <w:numPr>
          <w:ilvl w:val="0"/>
          <w:numId w:val="3"/>
        </w:numPr>
        <w:spacing w:after="0" w:line="240" w:lineRule="auto"/>
        <w:jc w:val="both"/>
      </w:pPr>
      <w:r>
        <w:t>if the acceptance condition is fulfilled before the first closing day, the offeror must declare a partial offer unconditional as to acceptances on the day the acceptance condition is met, and the offer must remain open for acceptances for at least a further 14 days; and</w:t>
      </w:r>
    </w:p>
    <w:p w:rsidR="00202009" w:rsidRDefault="00202009" w:rsidP="00980B2D">
      <w:pPr>
        <w:spacing w:after="0" w:line="240" w:lineRule="auto"/>
        <w:jc w:val="both"/>
      </w:pPr>
    </w:p>
    <w:p w:rsidR="00202009" w:rsidRDefault="00202009" w:rsidP="00980B2D">
      <w:pPr>
        <w:pStyle w:val="a4"/>
        <w:numPr>
          <w:ilvl w:val="0"/>
          <w:numId w:val="3"/>
        </w:numPr>
        <w:spacing w:after="0" w:line="240" w:lineRule="auto"/>
        <w:jc w:val="both"/>
      </w:pPr>
      <w:r>
        <w:t>if the acceptance condition is satisfied after the first closing day during an extended offer period, the offeror must declare a partial offer unconditional as to acceptances on the day the acceptance condition is met, and the final closing day must be extended to the 14th day thereafter.</w:t>
      </w:r>
    </w:p>
    <w:p w:rsidR="00012BE7" w:rsidRDefault="00012BE7" w:rsidP="006A4043">
      <w:pPr>
        <w:spacing w:after="0" w:line="240" w:lineRule="auto"/>
        <w:jc w:val="both"/>
      </w:pPr>
    </w:p>
    <w:p w:rsidR="00F94BFB" w:rsidRDefault="007C39A4" w:rsidP="006A4043">
      <w:pPr>
        <w:spacing w:after="0" w:line="240" w:lineRule="auto"/>
        <w:jc w:val="both"/>
      </w:pPr>
      <w:r>
        <w:t>Rule 28.5 also imposes a “tick-box” approval condition which requires a partial offer to be conditional on majority approval from independent shareholders if an offer could result in an offeror holding 30% or more of a company.</w:t>
      </w:r>
      <w:r w:rsidR="006046A8">
        <w:t xml:space="preserve"> The Consultation Paper noted that the previous cross-reference to Rule 28.5 in Rule 28.4 had proved confusing and resulted in Rule 28.4 being </w:t>
      </w:r>
      <w:r w:rsidR="00F94BFB">
        <w:t xml:space="preserve">wrongly </w:t>
      </w:r>
      <w:r w:rsidR="006046A8">
        <w:t xml:space="preserve">interpreted to mean that the restriction </w:t>
      </w:r>
      <w:r w:rsidR="00F94BFB">
        <w:t xml:space="preserve">on extending an offer period takes effect only when </w:t>
      </w:r>
      <w:proofErr w:type="gramStart"/>
      <w:r w:rsidR="00F94BFB">
        <w:t>the an</w:t>
      </w:r>
      <w:proofErr w:type="gramEnd"/>
      <w:r w:rsidR="00F94BFB">
        <w:t xml:space="preserve"> offer has become unconditional both on acceptances and </w:t>
      </w:r>
      <w:r w:rsidR="003E3D06">
        <w:t xml:space="preserve">Rule 28.5 </w:t>
      </w:r>
      <w:r w:rsidR="00F94BFB">
        <w:t>approval.</w:t>
      </w:r>
    </w:p>
    <w:p w:rsidR="007C39A4" w:rsidRDefault="00F94BFB" w:rsidP="006A4043">
      <w:pPr>
        <w:spacing w:after="0" w:line="240" w:lineRule="auto"/>
        <w:jc w:val="both"/>
      </w:pPr>
      <w:r>
        <w:t xml:space="preserve">   </w:t>
      </w:r>
      <w:r w:rsidR="006046A8">
        <w:t xml:space="preserve"> </w:t>
      </w:r>
    </w:p>
    <w:p w:rsidR="00F82591" w:rsidRDefault="00AA27DA" w:rsidP="006A4043">
      <w:pPr>
        <w:spacing w:after="0" w:line="240" w:lineRule="auto"/>
        <w:jc w:val="both"/>
      </w:pPr>
      <w:r>
        <w:t>Rule 28.4</w:t>
      </w:r>
      <w:r w:rsidR="00F94BFB">
        <w:t xml:space="preserve"> has been revised to clarify that </w:t>
      </w:r>
      <w:r>
        <w:t xml:space="preserve">the restrictions on extending the final closing day under that rule apply irrespective of whether “tick box” approval (if required) under Rule 28.5 has been obtained. </w:t>
      </w:r>
      <w:r w:rsidR="00FF5F2B">
        <w:t>A N</w:t>
      </w:r>
      <w:r w:rsidR="00F82591">
        <w:t xml:space="preserve">ote has also been added to Rule 28.4 which provides that: </w:t>
      </w:r>
    </w:p>
    <w:p w:rsidR="00F82591" w:rsidRDefault="00F82591" w:rsidP="006A4043">
      <w:pPr>
        <w:spacing w:after="0" w:line="240" w:lineRule="auto"/>
        <w:jc w:val="both"/>
      </w:pPr>
    </w:p>
    <w:p w:rsidR="00012BE7" w:rsidRDefault="00F82591" w:rsidP="00980B2D">
      <w:pPr>
        <w:pStyle w:val="a4"/>
        <w:numPr>
          <w:ilvl w:val="0"/>
          <w:numId w:val="4"/>
        </w:numPr>
        <w:spacing w:after="0" w:line="240" w:lineRule="auto"/>
        <w:jc w:val="both"/>
      </w:pPr>
      <w:r>
        <w:t xml:space="preserve">a partial offer </w:t>
      </w:r>
      <w:r w:rsidR="00012BE7">
        <w:t>must stay open for a minimum of 21 days; and</w:t>
      </w:r>
    </w:p>
    <w:p w:rsidR="00012BE7" w:rsidRDefault="00012BE7" w:rsidP="00980B2D">
      <w:pPr>
        <w:pStyle w:val="a4"/>
        <w:spacing w:after="0" w:line="240" w:lineRule="auto"/>
        <w:jc w:val="both"/>
      </w:pPr>
    </w:p>
    <w:p w:rsidR="00E93B18" w:rsidRDefault="00F82591" w:rsidP="006A4043">
      <w:pPr>
        <w:pStyle w:val="a4"/>
        <w:numPr>
          <w:ilvl w:val="0"/>
          <w:numId w:val="4"/>
        </w:numPr>
        <w:spacing w:after="0" w:line="240" w:lineRule="auto"/>
        <w:jc w:val="both"/>
      </w:pPr>
      <w:r>
        <w:t>where an offer is subject to a condition that the approval required under Rule 28.5 is obtained, the Executive will not consider that condition as part of the acceptance condition for the offer. Accordingly, if the acceptance condition has been met on the first closing day</w:t>
      </w:r>
      <w:r w:rsidR="003E3D06">
        <w:t>, but Rule 28.5 approval has not been obtained</w:t>
      </w:r>
      <w:r>
        <w:t xml:space="preserve">, </w:t>
      </w:r>
      <w:r w:rsidR="003E3D06">
        <w:t xml:space="preserve">Rule 28.4 will be triggered so that </w:t>
      </w:r>
      <w:r>
        <w:t xml:space="preserve">the </w:t>
      </w:r>
      <w:r w:rsidR="003E3D06">
        <w:t xml:space="preserve">offer can only be extended for a further 14 days (which will be the final closing day). Rule 28.5 approval must be obtained by the final closing day, otherwise the offer will lapse. </w:t>
      </w:r>
    </w:p>
    <w:p w:rsidR="000F107B" w:rsidRDefault="000F107B" w:rsidP="00980B2D">
      <w:pPr>
        <w:pStyle w:val="a4"/>
        <w:spacing w:after="0" w:line="240" w:lineRule="auto"/>
        <w:jc w:val="both"/>
      </w:pPr>
    </w:p>
    <w:p w:rsidR="00E93B18" w:rsidRDefault="00E93B18" w:rsidP="00980B2D">
      <w:pPr>
        <w:spacing w:after="0" w:line="240" w:lineRule="auto"/>
        <w:jc w:val="both"/>
        <w:rPr>
          <w:b/>
        </w:rPr>
      </w:pPr>
      <w:r w:rsidRPr="00E93B18">
        <w:rPr>
          <w:b/>
        </w:rPr>
        <w:t xml:space="preserve">Comparable </w:t>
      </w:r>
      <w:r w:rsidR="00E749F1">
        <w:rPr>
          <w:b/>
        </w:rPr>
        <w:t>o</w:t>
      </w:r>
      <w:r w:rsidRPr="00E93B18">
        <w:rPr>
          <w:b/>
        </w:rPr>
        <w:t>ffer</w:t>
      </w:r>
      <w:r w:rsidR="00B20ACA">
        <w:rPr>
          <w:b/>
        </w:rPr>
        <w:t>s</w:t>
      </w:r>
      <w:r w:rsidRPr="00E93B18">
        <w:rPr>
          <w:b/>
        </w:rPr>
        <w:t xml:space="preserve"> for </w:t>
      </w:r>
      <w:r w:rsidR="00E749F1">
        <w:rPr>
          <w:b/>
        </w:rPr>
        <w:t>c</w:t>
      </w:r>
      <w:r w:rsidRPr="00E93B18">
        <w:rPr>
          <w:b/>
        </w:rPr>
        <w:t xml:space="preserve">onvertible </w:t>
      </w:r>
      <w:r w:rsidR="00E749F1">
        <w:rPr>
          <w:b/>
        </w:rPr>
        <w:t>s</w:t>
      </w:r>
      <w:r w:rsidRPr="00E93B18">
        <w:rPr>
          <w:b/>
        </w:rPr>
        <w:t xml:space="preserve">ecurities, </w:t>
      </w:r>
      <w:r w:rsidR="00E749F1">
        <w:rPr>
          <w:b/>
        </w:rPr>
        <w:t>w</w:t>
      </w:r>
      <w:r w:rsidRPr="00E93B18">
        <w:rPr>
          <w:b/>
        </w:rPr>
        <w:t>arrants</w:t>
      </w:r>
      <w:r w:rsidR="00E749F1">
        <w:rPr>
          <w:b/>
        </w:rPr>
        <w:t>,</w:t>
      </w:r>
      <w:r w:rsidRPr="00E93B18">
        <w:rPr>
          <w:b/>
        </w:rPr>
        <w:t xml:space="preserve"> etc</w:t>
      </w:r>
      <w:r w:rsidR="00E749F1">
        <w:rPr>
          <w:b/>
        </w:rPr>
        <w:t>. on partial offers</w:t>
      </w:r>
    </w:p>
    <w:p w:rsidR="00BB2426" w:rsidRDefault="00BB2426" w:rsidP="00980B2D">
      <w:pPr>
        <w:spacing w:after="0" w:line="240" w:lineRule="auto"/>
        <w:jc w:val="both"/>
        <w:rPr>
          <w:b/>
        </w:rPr>
      </w:pPr>
    </w:p>
    <w:p w:rsidR="00BB2426" w:rsidRDefault="005A0CD3" w:rsidP="00980B2D">
      <w:pPr>
        <w:spacing w:after="0" w:line="240" w:lineRule="auto"/>
        <w:jc w:val="both"/>
      </w:pPr>
      <w:r>
        <w:lastRenderedPageBreak/>
        <w:t xml:space="preserve">To codify market practice, </w:t>
      </w:r>
      <w:r w:rsidR="00B20ACA">
        <w:t xml:space="preserve">new </w:t>
      </w:r>
      <w:r w:rsidR="00BB2426" w:rsidRPr="00BB2426">
        <w:t>Rule 28.10</w:t>
      </w:r>
      <w:r w:rsidR="00BB2426">
        <w:t xml:space="preserve"> </w:t>
      </w:r>
      <w:r w:rsidR="00C43BAB">
        <w:t>has been</w:t>
      </w:r>
      <w:r w:rsidR="00BB2426">
        <w:t xml:space="preserve"> </w:t>
      </w:r>
      <w:r w:rsidR="00B20ACA">
        <w:t>add</w:t>
      </w:r>
      <w:r w:rsidR="00BB2426">
        <w:t>ed providing that</w:t>
      </w:r>
      <w:r w:rsidR="00BB2426" w:rsidRPr="00BB2426">
        <w:t xml:space="preserve"> when a</w:t>
      </w:r>
      <w:r w:rsidR="00B20ACA">
        <w:t xml:space="preserve"> partial</w:t>
      </w:r>
      <w:r w:rsidR="00BB2426" w:rsidRPr="00BB2426">
        <w:t xml:space="preserve"> offer could result in the offeror holding at least 30% of the voting rights and the offeree company has convertible securities, warrants, options, or subscription rights outstanding, the offeror is required to make </w:t>
      </w:r>
      <w:r w:rsidR="00BB2426">
        <w:t>a comparable</w:t>
      </w:r>
      <w:r w:rsidR="00BB2426" w:rsidRPr="00BB2426">
        <w:t xml:space="preserve"> offer or proposal to the holders of these securities to which the Rule 13 requirements will apply</w:t>
      </w:r>
      <w:r w:rsidR="00BB2426">
        <w:t>.</w:t>
      </w:r>
    </w:p>
    <w:p w:rsidR="00BB2426" w:rsidRDefault="00BB2426" w:rsidP="00980B2D">
      <w:pPr>
        <w:spacing w:after="0" w:line="240" w:lineRule="auto"/>
        <w:jc w:val="both"/>
      </w:pPr>
    </w:p>
    <w:p w:rsidR="00BB2426" w:rsidRDefault="00F81E1D" w:rsidP="00980B2D">
      <w:pPr>
        <w:spacing w:after="0" w:line="240" w:lineRule="auto"/>
        <w:jc w:val="both"/>
        <w:rPr>
          <w:b/>
        </w:rPr>
      </w:pPr>
      <w:r w:rsidRPr="00F81E1D">
        <w:rPr>
          <w:b/>
        </w:rPr>
        <w:t>Tick-box approval</w:t>
      </w:r>
      <w:r w:rsidR="00586C3A">
        <w:rPr>
          <w:b/>
        </w:rPr>
        <w:t xml:space="preserve"> in partial offers</w:t>
      </w:r>
      <w:r w:rsidRPr="00F81E1D">
        <w:rPr>
          <w:b/>
        </w:rPr>
        <w:cr/>
      </w:r>
    </w:p>
    <w:p w:rsidR="003D4B15" w:rsidRDefault="003D4B15" w:rsidP="00980B2D">
      <w:pPr>
        <w:spacing w:after="0" w:line="240" w:lineRule="auto"/>
        <w:jc w:val="both"/>
      </w:pPr>
      <w:r w:rsidRPr="003D4B15">
        <w:t xml:space="preserve">Rule </w:t>
      </w:r>
      <w:r>
        <w:t xml:space="preserve">28.5 </w:t>
      </w:r>
      <w:r w:rsidR="00C43BAB">
        <w:t>has been</w:t>
      </w:r>
      <w:r>
        <w:t xml:space="preserve"> amended </w:t>
      </w:r>
      <w:r w:rsidR="00CE1F8A">
        <w:t>to clarify that</w:t>
      </w:r>
      <w:r>
        <w:t xml:space="preserve"> the “tick box” approval condition does not apply to </w:t>
      </w:r>
      <w:r w:rsidRPr="003D4B15">
        <w:t>partial offers</w:t>
      </w:r>
      <w:r w:rsidR="00586C3A">
        <w:t xml:space="preserve"> where the offeror and its concert parties already hold more than 50% of the offeree </w:t>
      </w:r>
      <w:r w:rsidRPr="003D4B15">
        <w:t>(</w:t>
      </w:r>
      <w:proofErr w:type="gramStart"/>
      <w:r w:rsidRPr="003D4B15">
        <w:t>i.e.</w:t>
      </w:r>
      <w:proofErr w:type="gramEnd"/>
      <w:r w:rsidRPr="003D4B15">
        <w:t xml:space="preserve"> offers within</w:t>
      </w:r>
      <w:r>
        <w:t xml:space="preserve"> Rule 28.1(b)</w:t>
      </w:r>
      <w:r w:rsidR="00FF5F2B">
        <w:t>)</w:t>
      </w:r>
      <w:r>
        <w:t>.</w:t>
      </w:r>
    </w:p>
    <w:p w:rsidR="003D4B15" w:rsidRDefault="003D4B15" w:rsidP="00980B2D">
      <w:pPr>
        <w:spacing w:after="0" w:line="240" w:lineRule="auto"/>
        <w:jc w:val="both"/>
      </w:pPr>
    </w:p>
    <w:p w:rsidR="003D4B15" w:rsidRDefault="003D4B15" w:rsidP="00980B2D">
      <w:pPr>
        <w:spacing w:after="0" w:line="240" w:lineRule="auto"/>
        <w:jc w:val="both"/>
        <w:rPr>
          <w:b/>
        </w:rPr>
      </w:pPr>
      <w:r w:rsidRPr="003D4B15">
        <w:rPr>
          <w:b/>
        </w:rPr>
        <w:t xml:space="preserve">Acceptance and </w:t>
      </w:r>
      <w:r w:rsidR="00B57090">
        <w:rPr>
          <w:b/>
        </w:rPr>
        <w:t>a</w:t>
      </w:r>
      <w:r w:rsidRPr="003D4B15">
        <w:rPr>
          <w:b/>
        </w:rPr>
        <w:t xml:space="preserve">pproval of </w:t>
      </w:r>
      <w:r w:rsidR="00B57090">
        <w:rPr>
          <w:b/>
        </w:rPr>
        <w:t>p</w:t>
      </w:r>
      <w:r w:rsidRPr="003D4B15">
        <w:rPr>
          <w:b/>
        </w:rPr>
        <w:t xml:space="preserve">artial </w:t>
      </w:r>
      <w:r w:rsidR="00B57090">
        <w:rPr>
          <w:b/>
        </w:rPr>
        <w:t>o</w:t>
      </w:r>
      <w:r w:rsidRPr="003D4B15">
        <w:rPr>
          <w:b/>
        </w:rPr>
        <w:t xml:space="preserve">ffers by </w:t>
      </w:r>
      <w:r w:rsidR="00B57090">
        <w:rPr>
          <w:b/>
        </w:rPr>
        <w:t>e</w:t>
      </w:r>
      <w:r w:rsidRPr="003D4B15">
        <w:rPr>
          <w:b/>
        </w:rPr>
        <w:t xml:space="preserve">xempt </w:t>
      </w:r>
      <w:r w:rsidR="00B57090">
        <w:rPr>
          <w:b/>
        </w:rPr>
        <w:t>p</w:t>
      </w:r>
      <w:r w:rsidRPr="003D4B15">
        <w:rPr>
          <w:b/>
        </w:rPr>
        <w:t xml:space="preserve">rincipal </w:t>
      </w:r>
      <w:r w:rsidR="00B57090">
        <w:rPr>
          <w:b/>
        </w:rPr>
        <w:t>t</w:t>
      </w:r>
      <w:r w:rsidRPr="003D4B15">
        <w:rPr>
          <w:b/>
        </w:rPr>
        <w:t>raders</w:t>
      </w:r>
    </w:p>
    <w:p w:rsidR="003D4B15" w:rsidRDefault="003D4B15" w:rsidP="00980B2D">
      <w:pPr>
        <w:spacing w:after="0" w:line="240" w:lineRule="auto"/>
        <w:jc w:val="both"/>
        <w:rPr>
          <w:b/>
        </w:rPr>
      </w:pPr>
    </w:p>
    <w:p w:rsidR="005201E6" w:rsidRDefault="00C756D2" w:rsidP="00980B2D">
      <w:pPr>
        <w:spacing w:after="0" w:line="240" w:lineRule="auto"/>
        <w:jc w:val="both"/>
      </w:pPr>
      <w:r>
        <w:t>T</w:t>
      </w:r>
      <w:r w:rsidRPr="00C756D2">
        <w:t>o extend the rules governing acceptances and voting by exempt principal traders</w:t>
      </w:r>
      <w:r w:rsidR="004E6EF3">
        <w:t xml:space="preserve"> to partial offers</w:t>
      </w:r>
      <w:r>
        <w:t xml:space="preserve">, </w:t>
      </w:r>
      <w:proofErr w:type="gramStart"/>
      <w:r w:rsidR="00FF5F2B">
        <w:t>N</w:t>
      </w:r>
      <w:r w:rsidR="005201E6" w:rsidRPr="005201E6">
        <w:t>ote</w:t>
      </w:r>
      <w:proofErr w:type="gramEnd"/>
      <w:r w:rsidR="005201E6" w:rsidRPr="005201E6">
        <w:t xml:space="preserve"> </w:t>
      </w:r>
      <w:r w:rsidR="005201E6">
        <w:t xml:space="preserve">3 to Rule 28 </w:t>
      </w:r>
      <w:r w:rsidR="00C43BAB">
        <w:t>has been</w:t>
      </w:r>
      <w:r w:rsidR="005201E6">
        <w:t xml:space="preserve"> introduced providing that </w:t>
      </w:r>
      <w:r w:rsidR="005201E6" w:rsidRPr="005201E6">
        <w:t>partial offers are subject to the application of both Rule 35.3 and</w:t>
      </w:r>
      <w:r w:rsidR="005201E6">
        <w:t xml:space="preserve"> Rule 35.4</w:t>
      </w:r>
      <w:r w:rsidR="00FF5F2B">
        <w:t>.</w:t>
      </w:r>
      <w:r w:rsidR="004E6EF3">
        <w:t xml:space="preserve"> As a result</w:t>
      </w:r>
      <w:r w:rsidR="005201E6">
        <w:t>:</w:t>
      </w:r>
    </w:p>
    <w:p w:rsidR="005201E6" w:rsidRDefault="005201E6" w:rsidP="00980B2D">
      <w:pPr>
        <w:spacing w:after="0" w:line="240" w:lineRule="auto"/>
        <w:jc w:val="both"/>
      </w:pPr>
    </w:p>
    <w:p w:rsidR="003D4B15" w:rsidRDefault="005201E6" w:rsidP="00980B2D">
      <w:pPr>
        <w:pStyle w:val="a4"/>
        <w:numPr>
          <w:ilvl w:val="0"/>
          <w:numId w:val="5"/>
        </w:numPr>
        <w:spacing w:after="0" w:line="240" w:lineRule="auto"/>
        <w:jc w:val="both"/>
      </w:pPr>
      <w:r w:rsidRPr="005201E6">
        <w:t xml:space="preserve">shares held by exempt principal traders connected </w:t>
      </w:r>
      <w:r w:rsidR="004E6EF3">
        <w:t>with</w:t>
      </w:r>
      <w:r w:rsidRPr="005201E6">
        <w:t xml:space="preserve"> an offeror must not be assented to an offer, until the offer becomes or is declared unconditional as to acceptances</w:t>
      </w:r>
      <w:r>
        <w:t xml:space="preserve">; and </w:t>
      </w:r>
    </w:p>
    <w:p w:rsidR="005201E6" w:rsidRDefault="005201E6" w:rsidP="00980B2D">
      <w:pPr>
        <w:pStyle w:val="a4"/>
        <w:spacing w:after="0" w:line="240" w:lineRule="auto"/>
        <w:jc w:val="both"/>
      </w:pPr>
    </w:p>
    <w:p w:rsidR="005201E6" w:rsidRDefault="005201E6" w:rsidP="00980B2D">
      <w:pPr>
        <w:pStyle w:val="a4"/>
        <w:numPr>
          <w:ilvl w:val="0"/>
          <w:numId w:val="5"/>
        </w:numPr>
        <w:spacing w:after="0" w:line="240" w:lineRule="auto"/>
        <w:jc w:val="both"/>
      </w:pPr>
      <w:r>
        <w:t>shares held by an exempt principal trader connected with an offeror or the offeree company must not be voted in the context of an offer. This includes the approval of an offer under Rule 28.5.</w:t>
      </w:r>
    </w:p>
    <w:p w:rsidR="00191777" w:rsidRDefault="00191777" w:rsidP="00980B2D">
      <w:pPr>
        <w:pStyle w:val="a4"/>
        <w:spacing w:after="0" w:line="240" w:lineRule="auto"/>
        <w:jc w:val="both"/>
      </w:pPr>
    </w:p>
    <w:p w:rsidR="00191777" w:rsidRPr="00241231" w:rsidRDefault="00191777" w:rsidP="00980B2D">
      <w:pPr>
        <w:spacing w:after="0" w:line="240" w:lineRule="auto"/>
        <w:jc w:val="both"/>
        <w:rPr>
          <w:b/>
          <w:color w:val="FF0000"/>
        </w:rPr>
      </w:pPr>
      <w:r w:rsidRPr="00241231">
        <w:rPr>
          <w:b/>
          <w:color w:val="FF0000"/>
        </w:rPr>
        <w:t>6. Green Initiatives</w:t>
      </w:r>
    </w:p>
    <w:p w:rsidR="00191777" w:rsidRDefault="00191777" w:rsidP="00980B2D">
      <w:pPr>
        <w:spacing w:after="0" w:line="240" w:lineRule="auto"/>
        <w:jc w:val="both"/>
        <w:rPr>
          <w:color w:val="C00000"/>
        </w:rPr>
      </w:pPr>
    </w:p>
    <w:p w:rsidR="00191777" w:rsidRPr="001D31CC" w:rsidRDefault="009B34A2" w:rsidP="00980B2D">
      <w:pPr>
        <w:spacing w:after="0" w:line="240" w:lineRule="auto"/>
        <w:jc w:val="both"/>
        <w:rPr>
          <w:b/>
        </w:rPr>
      </w:pPr>
      <w:r w:rsidRPr="001D31CC">
        <w:rPr>
          <w:b/>
        </w:rPr>
        <w:t xml:space="preserve">Electronic </w:t>
      </w:r>
      <w:r w:rsidR="00B57090">
        <w:rPr>
          <w:b/>
        </w:rPr>
        <w:t>d</w:t>
      </w:r>
      <w:r w:rsidRPr="001D31CC">
        <w:rPr>
          <w:b/>
        </w:rPr>
        <w:t xml:space="preserve">issemination of </w:t>
      </w:r>
      <w:r w:rsidR="00B57090">
        <w:rPr>
          <w:b/>
        </w:rPr>
        <w:t>d</w:t>
      </w:r>
      <w:r w:rsidRPr="001D31CC">
        <w:rPr>
          <w:b/>
        </w:rPr>
        <w:t>ocuments</w:t>
      </w:r>
    </w:p>
    <w:p w:rsidR="009B34A2" w:rsidRDefault="009B34A2" w:rsidP="00980B2D">
      <w:pPr>
        <w:spacing w:after="0" w:line="240" w:lineRule="auto"/>
        <w:jc w:val="both"/>
      </w:pPr>
    </w:p>
    <w:p w:rsidR="009B34A2" w:rsidRDefault="009B34A2" w:rsidP="00980B2D">
      <w:pPr>
        <w:spacing w:after="0" w:line="240" w:lineRule="auto"/>
        <w:jc w:val="both"/>
      </w:pPr>
      <w:r>
        <w:t xml:space="preserve">Rule 8.7 </w:t>
      </w:r>
      <w:r w:rsidR="00C43BAB">
        <w:t>has been</w:t>
      </w:r>
      <w:r>
        <w:t xml:space="preserve"> introduced</w:t>
      </w:r>
      <w:r w:rsidRPr="009B34A2">
        <w:t xml:space="preserve"> which provides the offeror and offeree company with the option of </w:t>
      </w:r>
      <w:r w:rsidR="00AF0FDE">
        <w:t xml:space="preserve">disseminating </w:t>
      </w:r>
      <w:r w:rsidRPr="009B34A2">
        <w:t>documents under the</w:t>
      </w:r>
      <w:r w:rsidR="00E94A51">
        <w:t xml:space="preserve"> Hong Kong</w:t>
      </w:r>
      <w:r w:rsidRPr="009B34A2">
        <w:t xml:space="preserve"> </w:t>
      </w:r>
      <w:r w:rsidR="00AF0FDE">
        <w:t>Takeover</w:t>
      </w:r>
      <w:r w:rsidR="002718EA">
        <w:t>s</w:t>
      </w:r>
      <w:r w:rsidR="00AF0FDE">
        <w:t xml:space="preserve"> </w:t>
      </w:r>
      <w:r w:rsidRPr="009B34A2">
        <w:t>Code electronically</w:t>
      </w:r>
      <w:r w:rsidR="004B1018">
        <w:t>, to the extent this is permitted under applicable laws and regulations, including the Hong Kong Listing Rules, and the companies’ constitutional documents</w:t>
      </w:r>
      <w:r w:rsidRPr="009B34A2">
        <w:t xml:space="preserve">. </w:t>
      </w:r>
    </w:p>
    <w:p w:rsidR="00E94A51" w:rsidRDefault="00E94A51" w:rsidP="00980B2D">
      <w:pPr>
        <w:spacing w:after="0" w:line="240" w:lineRule="auto"/>
        <w:jc w:val="both"/>
      </w:pPr>
    </w:p>
    <w:p w:rsidR="00E94A51" w:rsidRPr="001D31CC" w:rsidRDefault="00E94A51" w:rsidP="00980B2D">
      <w:pPr>
        <w:spacing w:after="0" w:line="240" w:lineRule="auto"/>
        <w:jc w:val="both"/>
        <w:rPr>
          <w:b/>
        </w:rPr>
      </w:pPr>
      <w:r w:rsidRPr="001D31CC">
        <w:rPr>
          <w:b/>
        </w:rPr>
        <w:t xml:space="preserve">Language </w:t>
      </w:r>
      <w:r w:rsidR="00B57090">
        <w:rPr>
          <w:b/>
        </w:rPr>
        <w:t>p</w:t>
      </w:r>
      <w:r w:rsidRPr="001D31CC">
        <w:rPr>
          <w:b/>
        </w:rPr>
        <w:t>reference</w:t>
      </w:r>
    </w:p>
    <w:p w:rsidR="00E94A51" w:rsidRDefault="00E94A51" w:rsidP="00980B2D">
      <w:pPr>
        <w:spacing w:after="0" w:line="240" w:lineRule="auto"/>
        <w:jc w:val="both"/>
      </w:pPr>
    </w:p>
    <w:p w:rsidR="00E94A51" w:rsidRDefault="00A9189B" w:rsidP="00980B2D">
      <w:pPr>
        <w:spacing w:after="0" w:line="240" w:lineRule="auto"/>
        <w:jc w:val="both"/>
      </w:pPr>
      <w:r>
        <w:t xml:space="preserve">Note 2 to Rule 8.6 </w:t>
      </w:r>
      <w:r w:rsidR="00C43BAB">
        <w:t>has been</w:t>
      </w:r>
      <w:r>
        <w:t xml:space="preserve"> introduced</w:t>
      </w:r>
      <w:r w:rsidRPr="00A9189B">
        <w:t xml:space="preserve"> permitting issuers to send physical copies of documents in either English or Chinese, as long as arrangements are in place to ascertain the language preference of the recipient.</w:t>
      </w:r>
    </w:p>
    <w:p w:rsidR="00A9189B" w:rsidRDefault="00A9189B" w:rsidP="00980B2D">
      <w:pPr>
        <w:spacing w:after="0" w:line="240" w:lineRule="auto"/>
        <w:jc w:val="both"/>
      </w:pPr>
    </w:p>
    <w:p w:rsidR="00A9189B" w:rsidRPr="001D31CC" w:rsidRDefault="00D6273B" w:rsidP="00980B2D">
      <w:pPr>
        <w:spacing w:after="0" w:line="240" w:lineRule="auto"/>
        <w:jc w:val="both"/>
        <w:rPr>
          <w:b/>
        </w:rPr>
      </w:pPr>
      <w:r w:rsidRPr="001D31CC">
        <w:rPr>
          <w:b/>
        </w:rPr>
        <w:t xml:space="preserve">Publication of </w:t>
      </w:r>
      <w:r w:rsidR="00B57090">
        <w:rPr>
          <w:b/>
        </w:rPr>
        <w:t>a</w:t>
      </w:r>
      <w:r w:rsidRPr="001D31CC">
        <w:rPr>
          <w:b/>
        </w:rPr>
        <w:t xml:space="preserve">nnouncements in </w:t>
      </w:r>
      <w:r w:rsidR="00B57090">
        <w:rPr>
          <w:b/>
        </w:rPr>
        <w:t>r</w:t>
      </w:r>
      <w:r w:rsidRPr="001D31CC">
        <w:rPr>
          <w:b/>
        </w:rPr>
        <w:t xml:space="preserve">espect of </w:t>
      </w:r>
      <w:r w:rsidR="00B57090">
        <w:rPr>
          <w:b/>
        </w:rPr>
        <w:t>u</w:t>
      </w:r>
      <w:r w:rsidRPr="001D31CC">
        <w:rPr>
          <w:b/>
        </w:rPr>
        <w:t xml:space="preserve">nlisted </w:t>
      </w:r>
      <w:r w:rsidR="00B57090">
        <w:rPr>
          <w:b/>
        </w:rPr>
        <w:t>o</w:t>
      </w:r>
      <w:r w:rsidRPr="001D31CC">
        <w:rPr>
          <w:b/>
        </w:rPr>
        <w:t>fferees</w:t>
      </w:r>
    </w:p>
    <w:p w:rsidR="00D6273B" w:rsidRDefault="00D6273B" w:rsidP="00980B2D">
      <w:pPr>
        <w:spacing w:after="0" w:line="240" w:lineRule="auto"/>
        <w:jc w:val="both"/>
      </w:pPr>
    </w:p>
    <w:p w:rsidR="00D6273B" w:rsidRDefault="00D6273B" w:rsidP="00980B2D">
      <w:pPr>
        <w:spacing w:after="0" w:line="240" w:lineRule="auto"/>
        <w:jc w:val="both"/>
      </w:pPr>
      <w:r w:rsidRPr="00D6273B">
        <w:t xml:space="preserve">The SFC </w:t>
      </w:r>
      <w:r w:rsidR="007D7439">
        <w:t>previously</w:t>
      </w:r>
      <w:r w:rsidR="007D7439" w:rsidRPr="00D6273B">
        <w:t xml:space="preserve"> </w:t>
      </w:r>
      <w:r w:rsidRPr="00D6273B">
        <w:t>require</w:t>
      </w:r>
      <w:r w:rsidR="00FF0736">
        <w:t>d</w:t>
      </w:r>
      <w:r w:rsidRPr="00D6273B">
        <w:t xml:space="preserve"> unlisted offeree companies </w:t>
      </w:r>
      <w:r w:rsidR="002718EA">
        <w:t>that</w:t>
      </w:r>
      <w:r w:rsidRPr="00D6273B">
        <w:t xml:space="preserve"> are public companies within section 4.2 of the Introduction to the </w:t>
      </w:r>
      <w:r w:rsidR="007D7439">
        <w:t xml:space="preserve">Hong Kong Takeovers </w:t>
      </w:r>
      <w:r w:rsidRPr="00D6273B">
        <w:t>Code to publish their announcements in a leading English and a leading Chinese newspaper. The SFC</w:t>
      </w:r>
      <w:r w:rsidR="00C43BAB">
        <w:t xml:space="preserve"> has</w:t>
      </w:r>
      <w:r w:rsidRPr="00D6273B">
        <w:t xml:space="preserve"> remove</w:t>
      </w:r>
      <w:r>
        <w:t>d</w:t>
      </w:r>
      <w:r w:rsidRPr="00D6273B">
        <w:t xml:space="preserve"> this requirement from Rule 12.2.</w:t>
      </w:r>
    </w:p>
    <w:p w:rsidR="00D6273B" w:rsidRDefault="00D6273B" w:rsidP="00980B2D">
      <w:pPr>
        <w:spacing w:after="0" w:line="240" w:lineRule="auto"/>
        <w:jc w:val="both"/>
      </w:pPr>
    </w:p>
    <w:p w:rsidR="00D6273B" w:rsidRPr="001D31CC" w:rsidRDefault="007126F2" w:rsidP="00980B2D">
      <w:pPr>
        <w:spacing w:after="0" w:line="240" w:lineRule="auto"/>
        <w:jc w:val="both"/>
        <w:rPr>
          <w:b/>
        </w:rPr>
      </w:pPr>
      <w:r w:rsidRPr="001D31CC">
        <w:rPr>
          <w:b/>
        </w:rPr>
        <w:t>Submissions to the Executive</w:t>
      </w:r>
    </w:p>
    <w:p w:rsidR="007126F2" w:rsidRDefault="007126F2" w:rsidP="00980B2D">
      <w:pPr>
        <w:spacing w:after="0" w:line="240" w:lineRule="auto"/>
        <w:jc w:val="both"/>
      </w:pPr>
    </w:p>
    <w:p w:rsidR="007126F2" w:rsidRDefault="007D7439" w:rsidP="00980B2D">
      <w:pPr>
        <w:spacing w:after="0" w:line="240" w:lineRule="auto"/>
        <w:jc w:val="both"/>
      </w:pPr>
      <w:r>
        <w:t>Section</w:t>
      </w:r>
      <w:r w:rsidR="007126F2">
        <w:t>s 8.1</w:t>
      </w:r>
      <w:r>
        <w:t xml:space="preserve"> and</w:t>
      </w:r>
      <w:r w:rsidR="007126F2">
        <w:t xml:space="preserve"> 8.2 </w:t>
      </w:r>
      <w:r>
        <w:t xml:space="preserve">of the Introduction to the Hong Kong Takeovers Code </w:t>
      </w:r>
      <w:r w:rsidR="007126F2">
        <w:t xml:space="preserve">and </w:t>
      </w:r>
      <w:r>
        <w:t xml:space="preserve">Rule </w:t>
      </w:r>
      <w:r w:rsidR="007126F2">
        <w:t xml:space="preserve">12.1 </w:t>
      </w:r>
      <w:r w:rsidR="00886FD3">
        <w:t>have been</w:t>
      </w:r>
      <w:r w:rsidR="007126F2">
        <w:t xml:space="preserve"> amended t</w:t>
      </w:r>
      <w:r>
        <w:t>o</w:t>
      </w:r>
      <w:r w:rsidR="007126F2">
        <w:t xml:space="preserve"> </w:t>
      </w:r>
      <w:r w:rsidR="007126F2" w:rsidRPr="007126F2">
        <w:t xml:space="preserve">require all submissions (including draft documents, ruling applications, financial resources </w:t>
      </w:r>
      <w:r w:rsidR="007126F2" w:rsidRPr="007126F2">
        <w:lastRenderedPageBreak/>
        <w:t xml:space="preserve">confirmations, no material change confirmations and other reports, letters and confirmations required under the </w:t>
      </w:r>
      <w:r w:rsidR="00374221">
        <w:t xml:space="preserve">Hong Kong Takeovers </w:t>
      </w:r>
      <w:r w:rsidR="007126F2" w:rsidRPr="007126F2">
        <w:t>Code and Practice Note 20) to be made electronically by email to cfmailbox@sfc.hk, unless directed otherwise. It will continue to accept fees for document vetting and ruling applications by c</w:t>
      </w:r>
      <w:r w:rsidR="007126F2">
        <w:t>heque or telegraphic transfer.</w:t>
      </w:r>
    </w:p>
    <w:p w:rsidR="009B34A2" w:rsidRDefault="009B34A2" w:rsidP="00980B2D">
      <w:pPr>
        <w:spacing w:after="0" w:line="240" w:lineRule="auto"/>
        <w:jc w:val="both"/>
      </w:pPr>
    </w:p>
    <w:p w:rsidR="009B34A2" w:rsidRPr="00241231" w:rsidRDefault="00DB6036" w:rsidP="00980B2D">
      <w:pPr>
        <w:spacing w:after="0" w:line="240" w:lineRule="auto"/>
        <w:jc w:val="both"/>
        <w:rPr>
          <w:b/>
          <w:color w:val="FF0000"/>
        </w:rPr>
      </w:pPr>
      <w:r w:rsidRPr="00241231">
        <w:rPr>
          <w:b/>
          <w:color w:val="FF0000"/>
        </w:rPr>
        <w:t xml:space="preserve">7. </w:t>
      </w:r>
      <w:r w:rsidR="000801B4" w:rsidRPr="00241231">
        <w:rPr>
          <w:b/>
          <w:color w:val="FF0000"/>
        </w:rPr>
        <w:t>Other Hong Kong Takeovers Code Amendments</w:t>
      </w:r>
    </w:p>
    <w:p w:rsidR="000801B4" w:rsidRDefault="000801B4" w:rsidP="00980B2D">
      <w:pPr>
        <w:spacing w:after="0" w:line="240" w:lineRule="auto"/>
        <w:jc w:val="both"/>
      </w:pPr>
    </w:p>
    <w:p w:rsidR="000801B4" w:rsidRPr="001D31CC" w:rsidRDefault="00DB6036" w:rsidP="00980B2D">
      <w:pPr>
        <w:spacing w:after="0" w:line="240" w:lineRule="auto"/>
        <w:jc w:val="both"/>
        <w:rPr>
          <w:b/>
        </w:rPr>
      </w:pPr>
      <w:r w:rsidRPr="001D31CC">
        <w:rPr>
          <w:b/>
        </w:rPr>
        <w:t xml:space="preserve">Definition of </w:t>
      </w:r>
      <w:r w:rsidR="00B57090">
        <w:rPr>
          <w:b/>
        </w:rPr>
        <w:t>o</w:t>
      </w:r>
      <w:r w:rsidRPr="001D31CC">
        <w:rPr>
          <w:b/>
        </w:rPr>
        <w:t>n-</w:t>
      </w:r>
      <w:r w:rsidR="00B57090">
        <w:rPr>
          <w:b/>
        </w:rPr>
        <w:t>m</w:t>
      </w:r>
      <w:r w:rsidRPr="001D31CC">
        <w:rPr>
          <w:b/>
        </w:rPr>
        <w:t xml:space="preserve">arket </w:t>
      </w:r>
      <w:r w:rsidR="00B57090">
        <w:rPr>
          <w:b/>
        </w:rPr>
        <w:t>s</w:t>
      </w:r>
      <w:r w:rsidRPr="001D31CC">
        <w:rPr>
          <w:b/>
        </w:rPr>
        <w:t xml:space="preserve">hare </w:t>
      </w:r>
      <w:r w:rsidR="00B57090">
        <w:rPr>
          <w:b/>
        </w:rPr>
        <w:t>b</w:t>
      </w:r>
      <w:r w:rsidRPr="001D31CC">
        <w:rPr>
          <w:b/>
        </w:rPr>
        <w:t>uy-backs</w:t>
      </w:r>
    </w:p>
    <w:p w:rsidR="00DB6036" w:rsidRDefault="00DB6036" w:rsidP="00980B2D">
      <w:pPr>
        <w:spacing w:after="0" w:line="240" w:lineRule="auto"/>
        <w:jc w:val="both"/>
      </w:pPr>
    </w:p>
    <w:p w:rsidR="00374221" w:rsidRDefault="00374221" w:rsidP="00980B2D">
      <w:pPr>
        <w:spacing w:after="0" w:line="240" w:lineRule="auto"/>
        <w:jc w:val="both"/>
      </w:pPr>
      <w:r>
        <w:t xml:space="preserve">An on-market share buy-back is not generally subject to any requirements under the Hong Kong Takeovers Code provided that it does not have any general offer implications. However, off-market share-buy backs are subject to strict requirements under the Hong Kong Takeovers Code </w:t>
      </w:r>
      <w:r w:rsidR="00DE72D1">
        <w:t xml:space="preserve">including the approval of </w:t>
      </w:r>
      <w:r>
        <w:t xml:space="preserve">at least 75% of the </w:t>
      </w:r>
      <w:r w:rsidR="00DE72D1">
        <w:t xml:space="preserve">company’s </w:t>
      </w:r>
      <w:r>
        <w:t xml:space="preserve">independent shareholders. </w:t>
      </w:r>
    </w:p>
    <w:p w:rsidR="00DE72D1" w:rsidRDefault="00DE72D1" w:rsidP="00980B2D">
      <w:pPr>
        <w:spacing w:after="0" w:line="240" w:lineRule="auto"/>
        <w:jc w:val="both"/>
      </w:pPr>
    </w:p>
    <w:p w:rsidR="00DB6036" w:rsidRDefault="00DE72D1" w:rsidP="00980B2D">
      <w:pPr>
        <w:spacing w:after="0" w:line="240" w:lineRule="auto"/>
        <w:jc w:val="both"/>
      </w:pPr>
      <w:r>
        <w:t xml:space="preserve">To clarify that </w:t>
      </w:r>
      <w:r w:rsidRPr="000756A8">
        <w:t>“on-market share buy-back</w:t>
      </w:r>
      <w:r>
        <w:t>s</w:t>
      </w:r>
      <w:r w:rsidRPr="000756A8">
        <w:t xml:space="preserve">” </w:t>
      </w:r>
      <w:r>
        <w:t>as defined under the Hong Kong Takeovers Code are not the same as share purchases “on the Exchange”, the term used in the Hong Kong Stock Exchange’s Listing Rules, t</w:t>
      </w:r>
      <w:r w:rsidR="006D753F">
        <w:t>he definition of</w:t>
      </w:r>
      <w:r w:rsidR="000756A8" w:rsidRPr="000756A8">
        <w:t xml:space="preserve"> “on-market share buy-back” </w:t>
      </w:r>
      <w:r w:rsidR="00886FD3">
        <w:t>has been</w:t>
      </w:r>
      <w:r w:rsidR="006D753F">
        <w:t xml:space="preserve"> amended</w:t>
      </w:r>
      <w:r>
        <w:t>.</w:t>
      </w:r>
      <w:r w:rsidR="006D753F">
        <w:t xml:space="preserve"> </w:t>
      </w:r>
      <w:r>
        <w:t xml:space="preserve">The revised definition clarifies </w:t>
      </w:r>
      <w:r w:rsidR="00373691">
        <w:t xml:space="preserve">that to count as an “on-market share buy-back”, </w:t>
      </w:r>
      <w:r w:rsidR="000756A8" w:rsidRPr="000756A8">
        <w:t xml:space="preserve">a share buy-back </w:t>
      </w:r>
      <w:r w:rsidR="00373691">
        <w:t xml:space="preserve">must be </w:t>
      </w:r>
      <w:r w:rsidR="000756A8" w:rsidRPr="000756A8">
        <w:t xml:space="preserve">made by a listed company through the </w:t>
      </w:r>
      <w:r w:rsidR="001C2E3C" w:rsidRPr="000756A8">
        <w:t xml:space="preserve">automatic order matching system </w:t>
      </w:r>
      <w:r w:rsidR="000756A8" w:rsidRPr="000756A8">
        <w:t>of the Hong Kong Stock Exchange</w:t>
      </w:r>
      <w:r w:rsidR="001C2E3C">
        <w:t xml:space="preserve"> or a </w:t>
      </w:r>
      <w:proofErr w:type="spellStart"/>
      <w:r w:rsidR="001C2E3C">
        <w:t>recognised</w:t>
      </w:r>
      <w:proofErr w:type="spellEnd"/>
      <w:r w:rsidR="001C2E3C">
        <w:t xml:space="preserve"> </w:t>
      </w:r>
      <w:proofErr w:type="gramStart"/>
      <w:r w:rsidR="001C2E3C">
        <w:t>exchange</w:t>
      </w:r>
      <w:r w:rsidR="000756A8" w:rsidRPr="000756A8">
        <w:t xml:space="preserve"> </w:t>
      </w:r>
      <w:r w:rsidR="001C2E3C">
        <w:t xml:space="preserve"> where</w:t>
      </w:r>
      <w:proofErr w:type="gramEnd"/>
      <w:r w:rsidR="001C2E3C">
        <w:t xml:space="preserve"> </w:t>
      </w:r>
      <w:r w:rsidR="000756A8" w:rsidRPr="000756A8">
        <w:t xml:space="preserve">the company buying back its shares and its directors </w:t>
      </w:r>
      <w:r w:rsidR="001C2E3C">
        <w:t xml:space="preserve">have no </w:t>
      </w:r>
      <w:r w:rsidR="000756A8" w:rsidRPr="000756A8">
        <w:t>involve</w:t>
      </w:r>
      <w:r w:rsidR="001C2E3C">
        <w:t>ment</w:t>
      </w:r>
      <w:r w:rsidR="000756A8" w:rsidRPr="000756A8">
        <w:t xml:space="preserve"> </w:t>
      </w:r>
      <w:r w:rsidR="001C2E3C">
        <w:t>(direct or indirect</w:t>
      </w:r>
      <w:r w:rsidR="001C2E3C" w:rsidRPr="000756A8">
        <w:t xml:space="preserve">) </w:t>
      </w:r>
      <w:r w:rsidR="000756A8" w:rsidRPr="000756A8">
        <w:t xml:space="preserve">in the </w:t>
      </w:r>
      <w:r w:rsidR="001C2E3C">
        <w:t xml:space="preserve">solicitation, </w:t>
      </w:r>
      <w:r w:rsidR="000756A8" w:rsidRPr="000756A8">
        <w:t>selection or identification of the sellers of the shares.</w:t>
      </w:r>
    </w:p>
    <w:p w:rsidR="000756A8" w:rsidRDefault="000756A8" w:rsidP="00980B2D">
      <w:pPr>
        <w:spacing w:after="0" w:line="240" w:lineRule="auto"/>
        <w:jc w:val="both"/>
      </w:pPr>
    </w:p>
    <w:p w:rsidR="000756A8" w:rsidRDefault="0023533B" w:rsidP="00980B2D">
      <w:pPr>
        <w:spacing w:after="0" w:line="240" w:lineRule="auto"/>
        <w:jc w:val="both"/>
      </w:pPr>
      <w:r>
        <w:t>A Note has been added to the definition to clarify that t</w:t>
      </w:r>
      <w:r w:rsidR="000756A8">
        <w:t>he appointment of a broker to effect buying-back of shares would not in itself be treated as the company or its directors being involved in the solicitation, selection or identification of sellers of shares.</w:t>
      </w:r>
    </w:p>
    <w:p w:rsidR="00114290" w:rsidRDefault="00114290" w:rsidP="00980B2D">
      <w:pPr>
        <w:spacing w:after="0" w:line="240" w:lineRule="auto"/>
        <w:jc w:val="both"/>
      </w:pPr>
    </w:p>
    <w:p w:rsidR="00114290" w:rsidRPr="008D2DC5" w:rsidRDefault="00114290" w:rsidP="00980B2D">
      <w:pPr>
        <w:spacing w:after="0" w:line="240" w:lineRule="auto"/>
        <w:jc w:val="both"/>
        <w:rPr>
          <w:b/>
        </w:rPr>
      </w:pPr>
      <w:r w:rsidRPr="008D2DC5">
        <w:rPr>
          <w:b/>
        </w:rPr>
        <w:t xml:space="preserve">Disclosure of </w:t>
      </w:r>
      <w:r w:rsidR="00B57090">
        <w:rPr>
          <w:b/>
        </w:rPr>
        <w:t>s</w:t>
      </w:r>
      <w:r w:rsidRPr="008D2DC5">
        <w:rPr>
          <w:b/>
        </w:rPr>
        <w:t xml:space="preserve">pecial </w:t>
      </w:r>
      <w:r w:rsidR="00B57090">
        <w:rPr>
          <w:b/>
        </w:rPr>
        <w:t>d</w:t>
      </w:r>
      <w:r w:rsidRPr="008D2DC5">
        <w:rPr>
          <w:b/>
        </w:rPr>
        <w:t xml:space="preserve">eals in </w:t>
      </w:r>
      <w:r w:rsidR="00B57090">
        <w:rPr>
          <w:b/>
        </w:rPr>
        <w:t>f</w:t>
      </w:r>
      <w:r w:rsidRPr="008D2DC5">
        <w:rPr>
          <w:b/>
        </w:rPr>
        <w:t xml:space="preserve">irm </w:t>
      </w:r>
      <w:r w:rsidR="00B57090">
        <w:rPr>
          <w:b/>
        </w:rPr>
        <w:t>i</w:t>
      </w:r>
      <w:r w:rsidRPr="008D2DC5">
        <w:rPr>
          <w:b/>
        </w:rPr>
        <w:t xml:space="preserve">ntention </w:t>
      </w:r>
      <w:r w:rsidR="00B57090">
        <w:rPr>
          <w:b/>
        </w:rPr>
        <w:t>a</w:t>
      </w:r>
      <w:r w:rsidRPr="008D2DC5">
        <w:rPr>
          <w:b/>
        </w:rPr>
        <w:t>nnouncements</w:t>
      </w:r>
    </w:p>
    <w:p w:rsidR="00114290" w:rsidRDefault="00114290" w:rsidP="00980B2D">
      <w:pPr>
        <w:spacing w:after="0" w:line="240" w:lineRule="auto"/>
        <w:jc w:val="both"/>
      </w:pPr>
    </w:p>
    <w:p w:rsidR="00114290" w:rsidRDefault="00886FD3" w:rsidP="00980B2D">
      <w:pPr>
        <w:spacing w:after="0" w:line="240" w:lineRule="auto"/>
        <w:jc w:val="both"/>
      </w:pPr>
      <w:r>
        <w:t xml:space="preserve">To codify </w:t>
      </w:r>
      <w:r w:rsidR="00B16BA7">
        <w:t xml:space="preserve">routine </w:t>
      </w:r>
      <w:r w:rsidR="004D7E5D">
        <w:t xml:space="preserve">disclosure </w:t>
      </w:r>
      <w:r w:rsidR="00B16BA7">
        <w:t>requirement</w:t>
      </w:r>
      <w:r w:rsidR="00F81802">
        <w:t>s</w:t>
      </w:r>
      <w:r w:rsidR="00B16BA7">
        <w:t xml:space="preserve">, </w:t>
      </w:r>
      <w:r w:rsidR="004D7E5D">
        <w:t xml:space="preserve">the prescribed disclosure for announcements of a firm intention to make an offer under </w:t>
      </w:r>
      <w:r w:rsidR="00114290">
        <w:t>Rule 3.5</w:t>
      </w:r>
      <w:r w:rsidR="00A21718">
        <w:t xml:space="preserve"> has been revised to require disclosure of any special deals or an appropriate negative statement. The required disclosure for offer documents and offeree board circulars, as set out in Schedules I and II to the Hong Kong Takeovers Code, respectively, </w:t>
      </w:r>
      <w:r>
        <w:t>ha</w:t>
      </w:r>
      <w:r w:rsidR="00A21718">
        <w:t>s</w:t>
      </w:r>
      <w:r>
        <w:t xml:space="preserve"> </w:t>
      </w:r>
      <w:r w:rsidR="00A21718">
        <w:t xml:space="preserve">also </w:t>
      </w:r>
      <w:r>
        <w:t>been</w:t>
      </w:r>
      <w:r w:rsidR="00114290">
        <w:t xml:space="preserve"> amended to </w:t>
      </w:r>
      <w:r w:rsidR="00A21718">
        <w:t>require disclosure of special deals.</w:t>
      </w:r>
    </w:p>
    <w:p w:rsidR="00114290" w:rsidRDefault="00114290" w:rsidP="00980B2D">
      <w:pPr>
        <w:spacing w:after="0" w:line="240" w:lineRule="auto"/>
        <w:jc w:val="both"/>
      </w:pPr>
    </w:p>
    <w:p w:rsidR="00114290" w:rsidRPr="00865BC9" w:rsidRDefault="00114290" w:rsidP="00980B2D">
      <w:pPr>
        <w:spacing w:after="0" w:line="240" w:lineRule="auto"/>
        <w:jc w:val="both"/>
        <w:rPr>
          <w:b/>
        </w:rPr>
      </w:pPr>
      <w:r w:rsidRPr="00865BC9">
        <w:rPr>
          <w:b/>
        </w:rPr>
        <w:t xml:space="preserve">Disclosure of </w:t>
      </w:r>
      <w:r w:rsidR="00B57090">
        <w:rPr>
          <w:b/>
        </w:rPr>
        <w:t>o</w:t>
      </w:r>
      <w:r w:rsidRPr="00865BC9">
        <w:rPr>
          <w:b/>
        </w:rPr>
        <w:t xml:space="preserve">fferor and </w:t>
      </w:r>
      <w:r w:rsidR="00B57090">
        <w:rPr>
          <w:b/>
        </w:rPr>
        <w:t>o</w:t>
      </w:r>
      <w:r w:rsidRPr="00865BC9">
        <w:rPr>
          <w:b/>
        </w:rPr>
        <w:t xml:space="preserve">fferee </w:t>
      </w:r>
      <w:r w:rsidR="00B57090">
        <w:rPr>
          <w:b/>
        </w:rPr>
        <w:t>r</w:t>
      </w:r>
      <w:r w:rsidRPr="00865BC9">
        <w:rPr>
          <w:b/>
        </w:rPr>
        <w:t xml:space="preserve">elevant </w:t>
      </w:r>
      <w:r w:rsidR="00B57090">
        <w:rPr>
          <w:b/>
        </w:rPr>
        <w:t>s</w:t>
      </w:r>
      <w:r w:rsidRPr="00865BC9">
        <w:rPr>
          <w:b/>
        </w:rPr>
        <w:t xml:space="preserve">ecurities on </w:t>
      </w:r>
      <w:r w:rsidR="00B57090">
        <w:rPr>
          <w:b/>
        </w:rPr>
        <w:t>c</w:t>
      </w:r>
      <w:r w:rsidRPr="00865BC9">
        <w:rPr>
          <w:b/>
        </w:rPr>
        <w:t xml:space="preserve">ommencement of </w:t>
      </w:r>
      <w:r w:rsidR="00B57090">
        <w:rPr>
          <w:b/>
        </w:rPr>
        <w:t>o</w:t>
      </w:r>
      <w:r w:rsidRPr="00865BC9">
        <w:rPr>
          <w:b/>
        </w:rPr>
        <w:t xml:space="preserve">ffer </w:t>
      </w:r>
      <w:r w:rsidR="00B57090">
        <w:rPr>
          <w:b/>
        </w:rPr>
        <w:t>p</w:t>
      </w:r>
      <w:r w:rsidRPr="00865BC9">
        <w:rPr>
          <w:b/>
        </w:rPr>
        <w:t>eriods</w:t>
      </w:r>
    </w:p>
    <w:p w:rsidR="00114290" w:rsidRDefault="00114290" w:rsidP="00980B2D">
      <w:pPr>
        <w:spacing w:after="0" w:line="240" w:lineRule="auto"/>
        <w:jc w:val="both"/>
      </w:pPr>
    </w:p>
    <w:p w:rsidR="00865BC9" w:rsidRDefault="00A3193C" w:rsidP="00980B2D">
      <w:pPr>
        <w:spacing w:after="0" w:line="240" w:lineRule="auto"/>
        <w:jc w:val="both"/>
      </w:pPr>
      <w:r w:rsidRPr="006A4043">
        <w:t>Rule 22 of the Hong Kong Takeovers Code requires the disclosure of dealings in relevant securities by the offeror and offeree and their respective associates during the offer period</w:t>
      </w:r>
      <w:r>
        <w:rPr>
          <w:rFonts w:ascii="Inter" w:hAnsi="Inter"/>
          <w:color w:val="2B2B2B"/>
          <w:sz w:val="21"/>
          <w:szCs w:val="21"/>
          <w:shd w:val="clear" w:color="auto" w:fill="FFFFFF"/>
        </w:rPr>
        <w:t xml:space="preserve">. </w:t>
      </w:r>
      <w:r w:rsidR="00865BC9">
        <w:t xml:space="preserve">Note 14 to Rule 22 </w:t>
      </w:r>
      <w:r w:rsidR="00EA75F8">
        <w:t xml:space="preserve">has been </w:t>
      </w:r>
      <w:r w:rsidR="00865BC9">
        <w:t xml:space="preserve">added to remove the requirement for class (6) associates </w:t>
      </w:r>
      <w:r w:rsidR="00E20F8F">
        <w:t>(</w:t>
      </w:r>
      <w:proofErr w:type="gramStart"/>
      <w:r w:rsidR="00E20F8F">
        <w:t>i.e.</w:t>
      </w:r>
      <w:proofErr w:type="gramEnd"/>
      <w:r w:rsidR="00E20F8F">
        <w:t xml:space="preserve"> holders of 5% or more) </w:t>
      </w:r>
      <w:r w:rsidR="00865BC9">
        <w:t xml:space="preserve">of the offeror to disclose </w:t>
      </w:r>
      <w:r w:rsidR="00865BC9" w:rsidRPr="00865BC9">
        <w:t>their dealings in relevant securities of the offeree during a cash offer.</w:t>
      </w:r>
    </w:p>
    <w:p w:rsidR="00865BC9" w:rsidRDefault="00865BC9" w:rsidP="00980B2D">
      <w:pPr>
        <w:spacing w:after="0" w:line="240" w:lineRule="auto"/>
        <w:jc w:val="both"/>
      </w:pPr>
    </w:p>
    <w:p w:rsidR="00865BC9" w:rsidRDefault="00865BC9" w:rsidP="00980B2D">
      <w:pPr>
        <w:spacing w:after="0" w:line="240" w:lineRule="auto"/>
        <w:jc w:val="both"/>
        <w:rPr>
          <w:b/>
        </w:rPr>
      </w:pPr>
      <w:r w:rsidRPr="00865BC9">
        <w:rPr>
          <w:b/>
        </w:rPr>
        <w:t xml:space="preserve">Frustrating </w:t>
      </w:r>
      <w:r w:rsidR="00B57090">
        <w:rPr>
          <w:b/>
        </w:rPr>
        <w:t>a</w:t>
      </w:r>
      <w:r w:rsidRPr="00865BC9">
        <w:rPr>
          <w:b/>
        </w:rPr>
        <w:t>ctions</w:t>
      </w:r>
    </w:p>
    <w:p w:rsidR="00DD2BBE" w:rsidRDefault="00DD2BBE" w:rsidP="00980B2D">
      <w:pPr>
        <w:spacing w:after="0" w:line="240" w:lineRule="auto"/>
        <w:jc w:val="both"/>
        <w:rPr>
          <w:b/>
        </w:rPr>
      </w:pPr>
    </w:p>
    <w:p w:rsidR="00DD2BBE" w:rsidRDefault="00DD2BBE" w:rsidP="00980B2D">
      <w:pPr>
        <w:spacing w:after="0" w:line="240" w:lineRule="auto"/>
        <w:jc w:val="both"/>
      </w:pPr>
      <w:r w:rsidRPr="00DD2BBE">
        <w:t xml:space="preserve">Rule 4 </w:t>
      </w:r>
      <w:r w:rsidR="00EA75F8">
        <w:t>has been</w:t>
      </w:r>
      <w:r w:rsidRPr="00DD2BBE">
        <w:t xml:space="preserve"> amended to clarify that the following frustrating actions listed in Rule </w:t>
      </w:r>
      <w:r>
        <w:t xml:space="preserve">4 </w:t>
      </w:r>
      <w:r w:rsidRPr="00DD2BBE">
        <w:t>are merely examples of events that might constitute frustrating actions and are not a definitive or exhaustive list of the events that may be frustrating actions:</w:t>
      </w:r>
    </w:p>
    <w:p w:rsidR="00DD2BBE" w:rsidRDefault="00DD2BBE" w:rsidP="00980B2D">
      <w:pPr>
        <w:spacing w:after="0" w:line="240" w:lineRule="auto"/>
        <w:jc w:val="both"/>
      </w:pPr>
    </w:p>
    <w:p w:rsidR="00DD2BBE" w:rsidRDefault="00DD2BBE" w:rsidP="00980B2D">
      <w:pPr>
        <w:pStyle w:val="a4"/>
        <w:numPr>
          <w:ilvl w:val="0"/>
          <w:numId w:val="6"/>
        </w:numPr>
        <w:spacing w:after="0" w:line="240" w:lineRule="auto"/>
        <w:jc w:val="both"/>
      </w:pPr>
      <w:r>
        <w:t>share issues;</w:t>
      </w:r>
    </w:p>
    <w:p w:rsidR="00DD2BBE" w:rsidRDefault="00DD2BBE" w:rsidP="00980B2D">
      <w:pPr>
        <w:pStyle w:val="a4"/>
        <w:spacing w:after="0" w:line="240" w:lineRule="auto"/>
        <w:jc w:val="both"/>
      </w:pPr>
    </w:p>
    <w:p w:rsidR="00DD2BBE" w:rsidRDefault="00DD2BBE" w:rsidP="00980B2D">
      <w:pPr>
        <w:pStyle w:val="a4"/>
        <w:numPr>
          <w:ilvl w:val="0"/>
          <w:numId w:val="6"/>
        </w:numPr>
        <w:spacing w:after="0" w:line="240" w:lineRule="auto"/>
        <w:jc w:val="both"/>
      </w:pPr>
      <w:r>
        <w:t>the issue or grant of convertible securities, options or warrants for the offeree company’s shares;</w:t>
      </w:r>
    </w:p>
    <w:p w:rsidR="00DD2BBE" w:rsidRDefault="00DD2BBE" w:rsidP="00980B2D">
      <w:pPr>
        <w:pStyle w:val="a4"/>
        <w:spacing w:after="0" w:line="240" w:lineRule="auto"/>
        <w:jc w:val="both"/>
      </w:pPr>
    </w:p>
    <w:p w:rsidR="00DD2BBE" w:rsidRDefault="00DD2BBE" w:rsidP="00980B2D">
      <w:pPr>
        <w:pStyle w:val="a4"/>
        <w:numPr>
          <w:ilvl w:val="0"/>
          <w:numId w:val="6"/>
        </w:numPr>
        <w:spacing w:after="0" w:line="240" w:lineRule="auto"/>
        <w:jc w:val="both"/>
      </w:pPr>
      <w:r>
        <w:t>the sale, disposal or acquisition of assets of a material amount;</w:t>
      </w:r>
    </w:p>
    <w:p w:rsidR="00DD2BBE" w:rsidRDefault="00DD2BBE" w:rsidP="00980B2D">
      <w:pPr>
        <w:pStyle w:val="a4"/>
        <w:spacing w:after="0" w:line="240" w:lineRule="auto"/>
        <w:jc w:val="both"/>
      </w:pPr>
    </w:p>
    <w:p w:rsidR="00DD2BBE" w:rsidRDefault="00DD2BBE" w:rsidP="00980B2D">
      <w:pPr>
        <w:pStyle w:val="a4"/>
        <w:numPr>
          <w:ilvl w:val="0"/>
          <w:numId w:val="6"/>
        </w:numPr>
        <w:spacing w:after="0" w:line="240" w:lineRule="auto"/>
        <w:jc w:val="both"/>
      </w:pPr>
      <w:r>
        <w:t>the entering into of contracts</w:t>
      </w:r>
      <w:r w:rsidR="00E20F8F">
        <w:t>, including service contracts,</w:t>
      </w:r>
      <w:r>
        <w:t xml:space="preserve"> otherwise than in the ordinary course of business; and</w:t>
      </w:r>
    </w:p>
    <w:p w:rsidR="00DD2BBE" w:rsidRDefault="00DD2BBE" w:rsidP="00980B2D">
      <w:pPr>
        <w:pStyle w:val="a4"/>
        <w:spacing w:after="0" w:line="240" w:lineRule="auto"/>
        <w:jc w:val="both"/>
      </w:pPr>
    </w:p>
    <w:p w:rsidR="00DD2BBE" w:rsidRDefault="00DD2BBE" w:rsidP="00980B2D">
      <w:pPr>
        <w:pStyle w:val="a4"/>
        <w:numPr>
          <w:ilvl w:val="0"/>
          <w:numId w:val="6"/>
        </w:numPr>
        <w:spacing w:after="0" w:line="240" w:lineRule="auto"/>
        <w:jc w:val="both"/>
      </w:pPr>
      <w:r>
        <w:t>causing the offeree or its subsidiary or associated company to buy back, purchase or redeem any shares in the offeree or provid</w:t>
      </w:r>
      <w:r w:rsidR="00AE10D5">
        <w:t>ing</w:t>
      </w:r>
      <w:r>
        <w:t xml:space="preserve"> financial assistance for any such buy-back, purchase or redemption.</w:t>
      </w:r>
    </w:p>
    <w:p w:rsidR="00166C60" w:rsidRDefault="00166C60" w:rsidP="00980B2D">
      <w:pPr>
        <w:pStyle w:val="a4"/>
        <w:spacing w:after="0" w:line="240" w:lineRule="auto"/>
        <w:jc w:val="both"/>
      </w:pPr>
    </w:p>
    <w:p w:rsidR="00166C60" w:rsidRPr="00E23181" w:rsidRDefault="00166C60" w:rsidP="00980B2D">
      <w:pPr>
        <w:spacing w:after="0" w:line="240" w:lineRule="auto"/>
        <w:jc w:val="both"/>
        <w:rPr>
          <w:u w:val="single"/>
        </w:rPr>
      </w:pPr>
      <w:r w:rsidRPr="00E23181">
        <w:rPr>
          <w:u w:val="single"/>
        </w:rPr>
        <w:t>Prior contractual obligations</w:t>
      </w:r>
    </w:p>
    <w:p w:rsidR="00166C60" w:rsidRPr="00DD2BBE" w:rsidRDefault="00166C60" w:rsidP="00980B2D">
      <w:pPr>
        <w:spacing w:after="0" w:line="240" w:lineRule="auto"/>
        <w:jc w:val="both"/>
      </w:pPr>
    </w:p>
    <w:p w:rsidR="00F50FA7" w:rsidRDefault="0042557F" w:rsidP="00980B2D">
      <w:pPr>
        <w:spacing w:after="0" w:line="240" w:lineRule="auto"/>
        <w:jc w:val="both"/>
      </w:pPr>
      <w:r w:rsidRPr="0042557F">
        <w:t xml:space="preserve">Rule 4 </w:t>
      </w:r>
      <w:r w:rsidR="00AE10D5">
        <w:t xml:space="preserve">has </w:t>
      </w:r>
      <w:r w:rsidR="00F50FA7">
        <w:t xml:space="preserve">also </w:t>
      </w:r>
      <w:r w:rsidR="00AE10D5">
        <w:t xml:space="preserve">been amended to </w:t>
      </w:r>
      <w:r w:rsidRPr="0042557F">
        <w:t xml:space="preserve">provide that </w:t>
      </w:r>
      <w:r>
        <w:t xml:space="preserve">where the offeree company is under a prior contractual obligation to take </w:t>
      </w:r>
      <w:r w:rsidR="00AE10D5">
        <w:t xml:space="preserve">a particular </w:t>
      </w:r>
      <w:r>
        <w:t xml:space="preserve">action, the requirements of Rule 4 do not normally apply. </w:t>
      </w:r>
      <w:r w:rsidRPr="0042557F">
        <w:t>However, if there are special circumstances, these should be brought to the Executive’s attention as soon as possible to confirm whether Rule 4 applies.</w:t>
      </w:r>
      <w:r w:rsidR="00F50FA7">
        <w:t xml:space="preserve"> The Executive may grant a waiver of the shareholders’ approval requirement in appropriate circumstances. In the Consultation Paper, the SFC gave as an example of “special circumstances” which the Executive would likely consider to be frustrating actions, the situation where obligations are put in place but are not enforceable or triggered until a takeover offer is made for the offeree company, for example a “poison pill”.</w:t>
      </w:r>
    </w:p>
    <w:p w:rsidR="00F50FA7" w:rsidRDefault="00F50FA7" w:rsidP="00980B2D">
      <w:pPr>
        <w:spacing w:after="0" w:line="240" w:lineRule="auto"/>
        <w:jc w:val="both"/>
      </w:pPr>
    </w:p>
    <w:p w:rsidR="00836410" w:rsidRPr="00E23181" w:rsidRDefault="00836410" w:rsidP="00980B2D">
      <w:pPr>
        <w:spacing w:after="0" w:line="240" w:lineRule="auto"/>
        <w:jc w:val="both"/>
        <w:rPr>
          <w:u w:val="single"/>
        </w:rPr>
      </w:pPr>
      <w:r w:rsidRPr="00E23181">
        <w:rPr>
          <w:u w:val="single"/>
        </w:rPr>
        <w:t>Offeror’s consent</w:t>
      </w:r>
    </w:p>
    <w:p w:rsidR="00836410" w:rsidRDefault="00836410" w:rsidP="00980B2D">
      <w:pPr>
        <w:spacing w:after="0" w:line="240" w:lineRule="auto"/>
        <w:jc w:val="both"/>
      </w:pPr>
    </w:p>
    <w:p w:rsidR="00836410" w:rsidRDefault="00833C7C" w:rsidP="00980B2D">
      <w:pPr>
        <w:spacing w:after="0" w:line="240" w:lineRule="auto"/>
        <w:jc w:val="both"/>
      </w:pPr>
      <w:r>
        <w:t xml:space="preserve">Note 1 to Rule 4 </w:t>
      </w:r>
      <w:r w:rsidR="00EA75F8">
        <w:t>has been</w:t>
      </w:r>
      <w:r>
        <w:t xml:space="preserve"> amended </w:t>
      </w:r>
      <w:r w:rsidR="002C3285">
        <w:t xml:space="preserve">so </w:t>
      </w:r>
      <w:r>
        <w:t xml:space="preserve">that </w:t>
      </w:r>
      <w:r w:rsidR="002C3285">
        <w:t xml:space="preserve">a </w:t>
      </w:r>
      <w:r>
        <w:t xml:space="preserve">shareholders’ meeting is not required if the offeror </w:t>
      </w:r>
      <w:r w:rsidR="00BD233A">
        <w:t xml:space="preserve">agrees </w:t>
      </w:r>
      <w:r>
        <w:t>to the corporate action being taken</w:t>
      </w:r>
      <w:r w:rsidR="002C3285">
        <w:t xml:space="preserve"> by the offeree</w:t>
      </w:r>
      <w:r>
        <w:t xml:space="preserve">. </w:t>
      </w:r>
      <w:r w:rsidRPr="00833C7C">
        <w:t>Where an announcement is made, it will be sufficient to include a statement confirming that the offeror’s consent has been obtained. If no announcement will be made (for example, because the relevant corporate action is not a notifiable transaction under the H</w:t>
      </w:r>
      <w:r w:rsidR="00623FC1">
        <w:t>ong Kong</w:t>
      </w:r>
      <w:r w:rsidRPr="00833C7C">
        <w:t xml:space="preserve"> Listing Rules</w:t>
      </w:r>
      <w:r w:rsidR="00C83302">
        <w:t xml:space="preserve">), the offeror’s consent to the </w:t>
      </w:r>
      <w:r w:rsidRPr="00833C7C">
        <w:t>corporate action will need to be lodged with the Executive. If there are competing bids, consents from all named offerors or potential offerors will need to be obtained before the shareholders’ approval requirement can be dispensed with.</w:t>
      </w:r>
    </w:p>
    <w:p w:rsidR="00E23181" w:rsidRDefault="00E23181" w:rsidP="00980B2D">
      <w:pPr>
        <w:spacing w:after="0" w:line="240" w:lineRule="auto"/>
        <w:jc w:val="both"/>
      </w:pPr>
    </w:p>
    <w:p w:rsidR="00E23181" w:rsidRDefault="00E23181" w:rsidP="00980B2D">
      <w:pPr>
        <w:spacing w:after="0" w:line="240" w:lineRule="auto"/>
        <w:jc w:val="both"/>
        <w:rPr>
          <w:b/>
        </w:rPr>
      </w:pPr>
      <w:r w:rsidRPr="00E23181">
        <w:rPr>
          <w:b/>
        </w:rPr>
        <w:t xml:space="preserve">Disclosure of </w:t>
      </w:r>
      <w:r w:rsidR="00B57090">
        <w:rPr>
          <w:b/>
        </w:rPr>
        <w:t>m</w:t>
      </w:r>
      <w:r w:rsidRPr="00E23181">
        <w:rPr>
          <w:b/>
        </w:rPr>
        <w:t xml:space="preserve">arket </w:t>
      </w:r>
      <w:r w:rsidR="00B57090">
        <w:rPr>
          <w:b/>
        </w:rPr>
        <w:t>p</w:t>
      </w:r>
      <w:r w:rsidRPr="00E23181">
        <w:rPr>
          <w:b/>
        </w:rPr>
        <w:t xml:space="preserve">rices of </w:t>
      </w:r>
      <w:r w:rsidR="00B57090">
        <w:rPr>
          <w:b/>
        </w:rPr>
        <w:t>o</w:t>
      </w:r>
      <w:r w:rsidRPr="00E23181">
        <w:rPr>
          <w:b/>
        </w:rPr>
        <w:t xml:space="preserve">fferee </w:t>
      </w:r>
      <w:r w:rsidR="00B57090">
        <w:rPr>
          <w:b/>
        </w:rPr>
        <w:t>c</w:t>
      </w:r>
      <w:r w:rsidRPr="00E23181">
        <w:rPr>
          <w:b/>
        </w:rPr>
        <w:t xml:space="preserve">ompany’s and </w:t>
      </w:r>
      <w:r w:rsidR="00B57090">
        <w:rPr>
          <w:b/>
        </w:rPr>
        <w:t>o</w:t>
      </w:r>
      <w:r w:rsidRPr="00E23181">
        <w:rPr>
          <w:b/>
        </w:rPr>
        <w:t xml:space="preserve">fferor’s </w:t>
      </w:r>
      <w:r w:rsidR="00B57090">
        <w:rPr>
          <w:b/>
        </w:rPr>
        <w:t>s</w:t>
      </w:r>
      <w:r w:rsidRPr="00E23181">
        <w:rPr>
          <w:b/>
        </w:rPr>
        <w:t>ecurities</w:t>
      </w:r>
    </w:p>
    <w:p w:rsidR="00E23181" w:rsidRDefault="00E23181" w:rsidP="00980B2D">
      <w:pPr>
        <w:spacing w:after="0" w:line="240" w:lineRule="auto"/>
        <w:jc w:val="both"/>
        <w:rPr>
          <w:b/>
        </w:rPr>
      </w:pPr>
    </w:p>
    <w:p w:rsidR="00E23181" w:rsidRDefault="002C3285" w:rsidP="00980B2D">
      <w:pPr>
        <w:spacing w:after="0" w:line="240" w:lineRule="auto"/>
        <w:jc w:val="both"/>
      </w:pPr>
      <w:r w:rsidRPr="006A4043">
        <w:rPr>
          <w:rFonts w:ascii="Calibri" w:hAnsi="Calibri" w:cs="Calibri"/>
          <w:color w:val="2B2B2B"/>
          <w:shd w:val="clear" w:color="auto" w:fill="FFFFFF"/>
        </w:rPr>
        <w:t>Paragraph 10 of Schedule I to the Hong Kong Takeovers Code sets out certain disclosure requirements relating to the closing price of the securities of the offeree company and the securities of the offeror (if the consideration for the offer involves the offeror’s securities).</w:t>
      </w:r>
      <w:r>
        <w:rPr>
          <w:rFonts w:ascii="Inter" w:hAnsi="Inter"/>
          <w:color w:val="2B2B2B"/>
          <w:sz w:val="21"/>
          <w:szCs w:val="21"/>
          <w:shd w:val="clear" w:color="auto" w:fill="FFFFFF"/>
        </w:rPr>
        <w:t xml:space="preserve"> </w:t>
      </w:r>
      <w:r w:rsidR="001E3169">
        <w:t xml:space="preserve">To codify the </w:t>
      </w:r>
      <w:r>
        <w:t>Executive’s existing disclosure requirements</w:t>
      </w:r>
      <w:r w:rsidR="001E3169">
        <w:t>, a</w:t>
      </w:r>
      <w:r w:rsidR="00AD0850">
        <w:t xml:space="preserve"> new note to paragraph 10 </w:t>
      </w:r>
      <w:r w:rsidR="00AD0850" w:rsidRPr="00AD0850">
        <w:t>of Schedule I</w:t>
      </w:r>
      <w:r w:rsidR="00AD0850">
        <w:t xml:space="preserve"> </w:t>
      </w:r>
      <w:r w:rsidR="00EA75F8">
        <w:t>has been</w:t>
      </w:r>
      <w:r w:rsidR="00AD0850">
        <w:t xml:space="preserve"> added </w:t>
      </w:r>
      <w:r w:rsidR="00AD0850" w:rsidRPr="00AD0850">
        <w:t>stating that</w:t>
      </w:r>
      <w:r w:rsidR="00AD0850">
        <w:t xml:space="preserve"> where trading of securities is halted or suspended during a trading day, the closing price on the last full trading day and the trading price immediately before the halt or suspension should be disclosed.</w:t>
      </w:r>
    </w:p>
    <w:p w:rsidR="008F4863" w:rsidRDefault="008F4863" w:rsidP="00980B2D">
      <w:pPr>
        <w:spacing w:after="0" w:line="240" w:lineRule="auto"/>
        <w:jc w:val="both"/>
      </w:pPr>
    </w:p>
    <w:p w:rsidR="008F4863" w:rsidRDefault="008F4863" w:rsidP="00980B2D">
      <w:pPr>
        <w:spacing w:after="0" w:line="240" w:lineRule="auto"/>
        <w:jc w:val="both"/>
        <w:rPr>
          <w:b/>
        </w:rPr>
      </w:pPr>
      <w:r w:rsidRPr="008F4863">
        <w:rPr>
          <w:b/>
        </w:rPr>
        <w:t xml:space="preserve">Application of Rule 31.1 in </w:t>
      </w:r>
      <w:r w:rsidR="00B57090">
        <w:rPr>
          <w:b/>
        </w:rPr>
        <w:t>w</w:t>
      </w:r>
      <w:r w:rsidRPr="008F4863">
        <w:rPr>
          <w:b/>
        </w:rPr>
        <w:t xml:space="preserve">hitewash </w:t>
      </w:r>
      <w:r w:rsidR="00B57090">
        <w:rPr>
          <w:b/>
        </w:rPr>
        <w:t>t</w:t>
      </w:r>
      <w:r w:rsidRPr="008F4863">
        <w:rPr>
          <w:b/>
        </w:rPr>
        <w:t>ransactions</w:t>
      </w:r>
    </w:p>
    <w:p w:rsidR="008F4863" w:rsidRDefault="008F4863" w:rsidP="00980B2D">
      <w:pPr>
        <w:spacing w:after="0" w:line="240" w:lineRule="auto"/>
        <w:jc w:val="both"/>
        <w:rPr>
          <w:b/>
        </w:rPr>
      </w:pPr>
    </w:p>
    <w:p w:rsidR="0084718A" w:rsidRDefault="004C16C7" w:rsidP="006A4043">
      <w:pPr>
        <w:spacing w:line="260" w:lineRule="exact"/>
        <w:contextualSpacing/>
        <w:jc w:val="both"/>
      </w:pPr>
      <w:r w:rsidRPr="004C16C7">
        <w:t xml:space="preserve">Rule 31.1 </w:t>
      </w:r>
      <w:r w:rsidR="008B5A8B">
        <w:t>has been</w:t>
      </w:r>
      <w:r w:rsidRPr="004C16C7">
        <w:t xml:space="preserve"> included in the list of </w:t>
      </w:r>
      <w:r>
        <w:t xml:space="preserve">Hong Kong </w:t>
      </w:r>
      <w:r w:rsidRPr="004C16C7">
        <w:t>Takeovers Code requirements</w:t>
      </w:r>
      <w:r w:rsidR="005A1F2B">
        <w:t xml:space="preserve"> </w:t>
      </w:r>
      <w:r w:rsidRPr="004C16C7">
        <w:t xml:space="preserve">applicable to whitewash transactions in </w:t>
      </w:r>
      <w:r>
        <w:t xml:space="preserve">amended </w:t>
      </w:r>
      <w:r w:rsidRPr="004C16C7">
        <w:t>paragraph 2(d) of Schedule VI.</w:t>
      </w:r>
      <w:r w:rsidR="00A43DF4">
        <w:t xml:space="preserve"> </w:t>
      </w:r>
      <w:r w:rsidR="0084718A">
        <w:t>Rule 31.1 of the Takeovers Code provides that w</w:t>
      </w:r>
      <w:r w:rsidR="0084718A" w:rsidRPr="0076150C">
        <w:t xml:space="preserve">here an offer has been withdrawn or has lapsed, </w:t>
      </w:r>
      <w:r w:rsidR="0084718A">
        <w:t>the o</w:t>
      </w:r>
      <w:r w:rsidR="0084718A" w:rsidRPr="0076150C">
        <w:t xml:space="preserve">fferor </w:t>
      </w:r>
      <w:r w:rsidR="00A43DFE">
        <w:t xml:space="preserve">and </w:t>
      </w:r>
      <w:r w:rsidR="0084718A" w:rsidRPr="0076150C">
        <w:t xml:space="preserve">any person who acted in concert with </w:t>
      </w:r>
      <w:r w:rsidR="00A43DFE">
        <w:t xml:space="preserve">it in relation to that offer (and </w:t>
      </w:r>
      <w:r w:rsidR="0084718A" w:rsidRPr="0076150C">
        <w:t>any person who subsequently acts in concert with any of them</w:t>
      </w:r>
      <w:r w:rsidR="00A43DFE">
        <w:t xml:space="preserve">) </w:t>
      </w:r>
      <w:r w:rsidR="00A43DFE">
        <w:lastRenderedPageBreak/>
        <w:t xml:space="preserve">are prohibited for </w:t>
      </w:r>
      <w:r w:rsidR="00A43DFE" w:rsidRPr="0076150C">
        <w:t>12 months from the date</w:t>
      </w:r>
      <w:r w:rsidR="00A43DFE">
        <w:t xml:space="preserve"> of withdrawal or lapse of that </w:t>
      </w:r>
      <w:r w:rsidR="00A43DFE" w:rsidRPr="0076150C">
        <w:t xml:space="preserve">offer </w:t>
      </w:r>
      <w:r w:rsidR="00A43DFE">
        <w:t>from: (</w:t>
      </w:r>
      <w:proofErr w:type="spellStart"/>
      <w:r w:rsidR="00A43DFE">
        <w:t>i</w:t>
      </w:r>
      <w:proofErr w:type="spellEnd"/>
      <w:r w:rsidR="00A43DFE">
        <w:t xml:space="preserve">) </w:t>
      </w:r>
      <w:r w:rsidR="005A1F2B">
        <w:t xml:space="preserve">announcing </w:t>
      </w:r>
      <w:r w:rsidR="00A43DFE">
        <w:t xml:space="preserve">another offer </w:t>
      </w:r>
      <w:r w:rsidR="005A1F2B">
        <w:t xml:space="preserve">or a possible offer </w:t>
      </w:r>
      <w:r w:rsidR="00A43DFE">
        <w:t xml:space="preserve">for the offeree company; or (ii) </w:t>
      </w:r>
      <w:r w:rsidR="00A43DFE" w:rsidRPr="0076150C">
        <w:t>ac</w:t>
      </w:r>
      <w:r w:rsidR="00A43DFE">
        <w:t>quiring any o</w:t>
      </w:r>
      <w:r w:rsidR="00A43DFE" w:rsidRPr="0076150C">
        <w:t xml:space="preserve">fferee </w:t>
      </w:r>
      <w:r w:rsidR="00A43DFE">
        <w:t>company shares which would result</w:t>
      </w:r>
      <w:r w:rsidR="00A43DFE" w:rsidRPr="0076150C">
        <w:t xml:space="preserve"> in an obligation to make a mandatory </w:t>
      </w:r>
      <w:r w:rsidR="00A43DFE">
        <w:t xml:space="preserve">general </w:t>
      </w:r>
      <w:r w:rsidR="00A43DFE" w:rsidRPr="0076150C">
        <w:t>offer under Rule 26</w:t>
      </w:r>
      <w:r w:rsidR="00A43DFE">
        <w:t>, except with</w:t>
      </w:r>
      <w:r w:rsidR="0084718A" w:rsidRPr="0076150C">
        <w:t xml:space="preserve"> the consent </w:t>
      </w:r>
      <w:r w:rsidR="00A43DFE">
        <w:t>of the Executive (Rule 31.1(a)).</w:t>
      </w:r>
      <w:r w:rsidR="000D1ACF">
        <w:t xml:space="preserve"> However, the amendments do not prevent a person from entering into repeated non-waivable whitewash transactions since subsequent offers will not be made if the whitewash condition is not approved by shareholders. </w:t>
      </w:r>
    </w:p>
    <w:p w:rsidR="005A1F2B" w:rsidRDefault="005A1F2B" w:rsidP="006A4043">
      <w:pPr>
        <w:spacing w:line="260" w:lineRule="exact"/>
        <w:contextualSpacing/>
        <w:jc w:val="both"/>
      </w:pPr>
    </w:p>
    <w:p w:rsidR="004C16C7" w:rsidRDefault="00CA4E26" w:rsidP="00980B2D">
      <w:pPr>
        <w:spacing w:after="0" w:line="240" w:lineRule="auto"/>
        <w:jc w:val="both"/>
        <w:rPr>
          <w:b/>
        </w:rPr>
      </w:pPr>
      <w:r w:rsidRPr="00CA4E26">
        <w:rPr>
          <w:b/>
        </w:rPr>
        <w:t xml:space="preserve">Application of Rule 3.8 to </w:t>
      </w:r>
      <w:r w:rsidR="00B57090">
        <w:rPr>
          <w:b/>
        </w:rPr>
        <w:t>s</w:t>
      </w:r>
      <w:r w:rsidRPr="00CA4E26">
        <w:rPr>
          <w:b/>
        </w:rPr>
        <w:t xml:space="preserve">hare </w:t>
      </w:r>
      <w:r w:rsidR="00B57090">
        <w:rPr>
          <w:b/>
        </w:rPr>
        <w:t>b</w:t>
      </w:r>
      <w:r w:rsidRPr="00CA4E26">
        <w:rPr>
          <w:b/>
        </w:rPr>
        <w:t xml:space="preserve">uy-backs by way of </w:t>
      </w:r>
      <w:r w:rsidR="00B57090">
        <w:rPr>
          <w:b/>
        </w:rPr>
        <w:t>g</w:t>
      </w:r>
      <w:r w:rsidRPr="00CA4E26">
        <w:rPr>
          <w:b/>
        </w:rPr>
        <w:t xml:space="preserve">eneral </w:t>
      </w:r>
      <w:r w:rsidR="00B57090">
        <w:rPr>
          <w:b/>
        </w:rPr>
        <w:t>o</w:t>
      </w:r>
      <w:r w:rsidRPr="00CA4E26">
        <w:rPr>
          <w:b/>
        </w:rPr>
        <w:t>ffer</w:t>
      </w:r>
    </w:p>
    <w:p w:rsidR="005A5098" w:rsidRDefault="005A5098" w:rsidP="00980B2D">
      <w:pPr>
        <w:spacing w:after="0" w:line="240" w:lineRule="auto"/>
        <w:jc w:val="both"/>
        <w:rPr>
          <w:b/>
        </w:rPr>
      </w:pPr>
    </w:p>
    <w:p w:rsidR="00D6396E" w:rsidRDefault="00D6396E" w:rsidP="00980B2D">
      <w:pPr>
        <w:spacing w:after="0" w:line="240" w:lineRule="auto"/>
        <w:jc w:val="both"/>
      </w:pPr>
      <w:r>
        <w:t xml:space="preserve">Rule </w:t>
      </w:r>
      <w:r w:rsidRPr="005A5098">
        <w:t xml:space="preserve">5.1(c) of the </w:t>
      </w:r>
      <w:r>
        <w:t xml:space="preserve">Code on Share Buy-backs has been amended to include Rule 3.8 </w:t>
      </w:r>
      <w:r w:rsidR="006C40FC">
        <w:t xml:space="preserve">(the obligation on offeror and offeree companies to announce details of relevant securities) </w:t>
      </w:r>
      <w:r w:rsidR="008E5368">
        <w:t xml:space="preserve">as </w:t>
      </w:r>
      <w:r w:rsidR="006C40FC">
        <w:t xml:space="preserve">one of the </w:t>
      </w:r>
      <w:r w:rsidR="008E5368">
        <w:t>Takeovers Code rules that apply to share buy-backs</w:t>
      </w:r>
      <w:r w:rsidR="003D7A3C">
        <w:t xml:space="preserve"> by way of general offer</w:t>
      </w:r>
      <w:r w:rsidR="008E5368">
        <w:t xml:space="preserve">. </w:t>
      </w:r>
      <w:r w:rsidR="006C40FC">
        <w:t xml:space="preserve">The aim is </w:t>
      </w:r>
      <w:r w:rsidRPr="00D6396E">
        <w:t>to assist investors in compl</w:t>
      </w:r>
      <w:r w:rsidR="006C40FC">
        <w:t>ying</w:t>
      </w:r>
      <w:r w:rsidRPr="00D6396E">
        <w:t xml:space="preserve"> with </w:t>
      </w:r>
      <w:r>
        <w:t>Hong Kong Takeover</w:t>
      </w:r>
      <w:r w:rsidR="002718EA">
        <w:t>s</w:t>
      </w:r>
      <w:r>
        <w:t xml:space="preserve"> </w:t>
      </w:r>
      <w:r w:rsidRPr="00D6396E">
        <w:t>Code requirements</w:t>
      </w:r>
      <w:r w:rsidR="006C40FC">
        <w:t xml:space="preserve"> and, in particular, in determining whether they are class (6) associates who need to disclose their dealings under Rule 22</w:t>
      </w:r>
      <w:r>
        <w:t>.</w:t>
      </w:r>
      <w:r w:rsidR="006C40FC">
        <w:t xml:space="preserve"> New Rule 3.9 on put up or shut up orders has also been included in the list of applicable Takeovers Code provisions under Rule 5.1(c).</w:t>
      </w:r>
    </w:p>
    <w:p w:rsidR="003F6F1E" w:rsidRDefault="003F6F1E" w:rsidP="00980B2D">
      <w:pPr>
        <w:spacing w:after="0" w:line="240" w:lineRule="auto"/>
        <w:jc w:val="both"/>
      </w:pPr>
    </w:p>
    <w:p w:rsidR="003F6F1E" w:rsidRPr="00241231" w:rsidRDefault="003F6F1E" w:rsidP="00980B2D">
      <w:pPr>
        <w:spacing w:after="0" w:line="240" w:lineRule="auto"/>
        <w:jc w:val="both"/>
        <w:rPr>
          <w:b/>
          <w:color w:val="FF0000"/>
        </w:rPr>
      </w:pPr>
      <w:r w:rsidRPr="00241231">
        <w:rPr>
          <w:b/>
          <w:color w:val="FF0000"/>
        </w:rPr>
        <w:t>8. Housekeeping Amendments</w:t>
      </w:r>
    </w:p>
    <w:p w:rsidR="001D31CC" w:rsidRDefault="001D31CC" w:rsidP="00980B2D">
      <w:pPr>
        <w:spacing w:after="0" w:line="240" w:lineRule="auto"/>
        <w:jc w:val="both"/>
        <w:rPr>
          <w:b/>
          <w:color w:val="C00000"/>
        </w:rPr>
      </w:pPr>
    </w:p>
    <w:p w:rsidR="003F6F1E" w:rsidRDefault="001D31CC" w:rsidP="00980B2D">
      <w:pPr>
        <w:spacing w:after="0" w:line="240" w:lineRule="auto"/>
        <w:jc w:val="both"/>
      </w:pPr>
      <w:r>
        <w:t>P</w:t>
      </w:r>
      <w:r w:rsidRPr="001D31CC">
        <w:t xml:space="preserve">aragraph 2(a) </w:t>
      </w:r>
      <w:r w:rsidRPr="00980B2D">
        <w:t>of Schedule VI</w:t>
      </w:r>
      <w:r>
        <w:t xml:space="preserve"> </w:t>
      </w:r>
      <w:r w:rsidR="00CE19B4">
        <w:t>has been</w:t>
      </w:r>
      <w:r>
        <w:t xml:space="preserve"> amended to align with paragraph</w:t>
      </w:r>
      <w:r w:rsidR="00FE1D60">
        <w:t xml:space="preserve"> 3 of Schedule VI </w:t>
      </w:r>
      <w:r w:rsidR="00980B2D" w:rsidRPr="00980B2D">
        <w:t xml:space="preserve">which states that there should be no disqualifying transactions from 6 months prior to the announcement of the </w:t>
      </w:r>
      <w:r w:rsidR="002B4E2E">
        <w:t xml:space="preserve">whitewash </w:t>
      </w:r>
      <w:r w:rsidR="00980B2D" w:rsidRPr="00980B2D">
        <w:t xml:space="preserve">proposals and up to the completion of the subscription. </w:t>
      </w:r>
    </w:p>
    <w:p w:rsidR="001A1835" w:rsidRDefault="001A1835" w:rsidP="00980B2D">
      <w:pPr>
        <w:spacing w:after="0" w:line="240" w:lineRule="auto"/>
        <w:jc w:val="both"/>
      </w:pPr>
    </w:p>
    <w:p w:rsidR="001A1835" w:rsidRPr="004B18B2" w:rsidRDefault="001A1835" w:rsidP="001A1835">
      <w:pPr>
        <w:pStyle w:val="DisclaimerBold"/>
        <w:numPr>
          <w:ilvl w:val="0"/>
          <w:numId w:val="12"/>
        </w:numPr>
        <w:rPr>
          <w:rFonts w:ascii="Arial" w:hAnsi="Arial" w:cs="Arial"/>
          <w:sz w:val="22"/>
          <w:szCs w:val="22"/>
        </w:rPr>
      </w:pPr>
      <w:r w:rsidRPr="004B18B2">
        <w:rPr>
          <w:rFonts w:ascii="Arial" w:hAnsi="Arial" w:cs="Arial"/>
          <w:sz w:val="22"/>
          <w:szCs w:val="22"/>
        </w:rPr>
        <w:t>This newsletter is for information purposes only.</w:t>
      </w:r>
    </w:p>
    <w:p w:rsidR="001A1835" w:rsidRPr="004B18B2" w:rsidRDefault="001A1835" w:rsidP="001A1835">
      <w:pPr>
        <w:pStyle w:val="Disclaimer"/>
        <w:numPr>
          <w:ilvl w:val="0"/>
          <w:numId w:val="12"/>
        </w:numPr>
        <w:rPr>
          <w:rFonts w:ascii="Arial" w:hAnsi="Arial" w:cs="Arial"/>
          <w:sz w:val="22"/>
          <w:szCs w:val="22"/>
        </w:rPr>
      </w:pPr>
      <w:r w:rsidRPr="004B18B2">
        <w:rPr>
          <w:rFonts w:ascii="Arial" w:hAnsi="Arial" w:cs="Arial"/>
          <w:sz w:val="22"/>
          <w:szCs w:val="22"/>
        </w:rPr>
        <w:t>Its contents do not constitute legal advice and it should not be regarded as a substitute for detailed advice in individual cases.</w:t>
      </w:r>
    </w:p>
    <w:p w:rsidR="001A1835" w:rsidRPr="004B18B2" w:rsidRDefault="001A1835" w:rsidP="001A1835">
      <w:pPr>
        <w:pStyle w:val="Disclaimer"/>
        <w:numPr>
          <w:ilvl w:val="0"/>
          <w:numId w:val="12"/>
        </w:numPr>
        <w:rPr>
          <w:rFonts w:ascii="Arial" w:hAnsi="Arial" w:cs="Arial"/>
          <w:sz w:val="22"/>
          <w:szCs w:val="22"/>
        </w:rPr>
      </w:pPr>
      <w:r w:rsidRPr="004B18B2">
        <w:rPr>
          <w:rFonts w:ascii="Arial" w:hAnsi="Arial" w:cs="Arial"/>
          <w:sz w:val="22"/>
          <w:szCs w:val="22"/>
        </w:rPr>
        <w:t xml:space="preserve">Transmission of this information is not intended to create and receipt does not constitute a lawyer-client relationship between </w:t>
      </w:r>
      <w:proofErr w:type="spellStart"/>
      <w:r w:rsidRPr="004B18B2">
        <w:rPr>
          <w:rFonts w:ascii="Arial" w:hAnsi="Arial" w:cs="Arial"/>
          <w:sz w:val="22"/>
          <w:szCs w:val="22"/>
        </w:rPr>
        <w:t>Charltons</w:t>
      </w:r>
      <w:proofErr w:type="spellEnd"/>
      <w:r w:rsidRPr="004B18B2">
        <w:rPr>
          <w:rFonts w:ascii="Arial" w:hAnsi="Arial" w:cs="Arial"/>
          <w:sz w:val="22"/>
          <w:szCs w:val="22"/>
        </w:rPr>
        <w:t xml:space="preserve"> and the user or browser.</w:t>
      </w:r>
    </w:p>
    <w:p w:rsidR="001A1835" w:rsidRPr="004B18B2" w:rsidRDefault="001A1835" w:rsidP="001A1835">
      <w:pPr>
        <w:pStyle w:val="Disclaimer"/>
        <w:numPr>
          <w:ilvl w:val="0"/>
          <w:numId w:val="12"/>
        </w:numPr>
        <w:rPr>
          <w:rFonts w:ascii="Arial" w:hAnsi="Arial" w:cs="Arial"/>
          <w:sz w:val="22"/>
          <w:szCs w:val="22"/>
        </w:rPr>
      </w:pPr>
      <w:proofErr w:type="spellStart"/>
      <w:r w:rsidRPr="004B18B2">
        <w:rPr>
          <w:rFonts w:ascii="Arial" w:hAnsi="Arial" w:cs="Arial"/>
          <w:sz w:val="22"/>
          <w:szCs w:val="22"/>
        </w:rPr>
        <w:t>Charltons</w:t>
      </w:r>
      <w:proofErr w:type="spellEnd"/>
      <w:r w:rsidRPr="004B18B2">
        <w:rPr>
          <w:rFonts w:ascii="Arial" w:hAnsi="Arial" w:cs="Arial"/>
          <w:sz w:val="22"/>
          <w:szCs w:val="22"/>
        </w:rPr>
        <w:t xml:space="preserve"> is not responsible for any </w:t>
      </w:r>
      <w:proofErr w:type="gramStart"/>
      <w:r w:rsidRPr="004B18B2">
        <w:rPr>
          <w:rFonts w:ascii="Arial" w:hAnsi="Arial" w:cs="Arial"/>
          <w:sz w:val="22"/>
          <w:szCs w:val="22"/>
        </w:rPr>
        <w:t>third party</w:t>
      </w:r>
      <w:proofErr w:type="gramEnd"/>
      <w:r w:rsidRPr="004B18B2">
        <w:rPr>
          <w:rFonts w:ascii="Arial" w:hAnsi="Arial" w:cs="Arial"/>
          <w:sz w:val="22"/>
          <w:szCs w:val="22"/>
        </w:rPr>
        <w:t xml:space="preserve"> content which can be accessed through the website.</w:t>
      </w:r>
    </w:p>
    <w:p w:rsidR="001A1835" w:rsidRPr="004B18B2" w:rsidRDefault="001A1835" w:rsidP="001A1835">
      <w:pPr>
        <w:pStyle w:val="Disclaimer"/>
        <w:numPr>
          <w:ilvl w:val="0"/>
          <w:numId w:val="12"/>
        </w:numPr>
        <w:rPr>
          <w:rFonts w:ascii="Arial" w:hAnsi="Arial" w:cs="Arial"/>
          <w:sz w:val="22"/>
          <w:szCs w:val="22"/>
        </w:rPr>
      </w:pPr>
      <w:r w:rsidRPr="004B18B2">
        <w:rPr>
          <w:rFonts w:ascii="Arial" w:hAnsi="Arial" w:cs="Arial"/>
          <w:sz w:val="22"/>
          <w:szCs w:val="22"/>
        </w:rPr>
        <w:t xml:space="preserve">If you do not wish to receive this </w:t>
      </w:r>
      <w:proofErr w:type="gramStart"/>
      <w:r w:rsidRPr="004B18B2">
        <w:rPr>
          <w:rFonts w:ascii="Arial" w:hAnsi="Arial" w:cs="Arial"/>
          <w:sz w:val="22"/>
          <w:szCs w:val="22"/>
        </w:rPr>
        <w:t>newsletter</w:t>
      </w:r>
      <w:proofErr w:type="gramEnd"/>
      <w:r w:rsidRPr="004B18B2">
        <w:rPr>
          <w:rFonts w:ascii="Arial" w:hAnsi="Arial" w:cs="Arial"/>
          <w:sz w:val="22"/>
          <w:szCs w:val="22"/>
        </w:rPr>
        <w:t xml:space="preserve"> please let us know by emailing us at  </w:t>
      </w:r>
      <w:hyperlink r:id="rId20">
        <w:r w:rsidRPr="004B18B2">
          <w:rPr>
            <w:rFonts w:ascii="Arial" w:hAnsi="Arial" w:cs="Arial"/>
            <w:sz w:val="22"/>
            <w:szCs w:val="22"/>
          </w:rPr>
          <w:t>unsubscribe@charltonslaw.com</w:t>
        </w:r>
      </w:hyperlink>
    </w:p>
    <w:p w:rsidR="001A1835" w:rsidRPr="004B18B2" w:rsidRDefault="001A1835" w:rsidP="001A1835">
      <w:pPr>
        <w:pStyle w:val="BlackStrips"/>
        <w:numPr>
          <w:ilvl w:val="0"/>
          <w:numId w:val="12"/>
        </w:numPr>
        <w:rPr>
          <w:rFonts w:ascii="Arial" w:hAnsi="Arial" w:cs="Arial"/>
        </w:rPr>
      </w:pPr>
      <w:proofErr w:type="spellStart"/>
      <w:r w:rsidRPr="004B18B2">
        <w:rPr>
          <w:rFonts w:ascii="Arial" w:hAnsi="Arial" w:cs="Arial"/>
        </w:rPr>
        <w:t>Charltons</w:t>
      </w:r>
      <w:proofErr w:type="spellEnd"/>
      <w:r w:rsidRPr="004B18B2">
        <w:rPr>
          <w:rFonts w:ascii="Arial" w:hAnsi="Arial" w:cs="Arial"/>
        </w:rPr>
        <w:t xml:space="preserve"> - Hong Kong Law - </w:t>
      </w:r>
      <w:r>
        <w:rPr>
          <w:rFonts w:ascii="Arial" w:hAnsi="Arial" w:cs="Arial"/>
        </w:rPr>
        <w:t>18</w:t>
      </w:r>
      <w:r w:rsidRPr="004B18B2">
        <w:rPr>
          <w:rFonts w:ascii="Arial" w:hAnsi="Arial" w:cs="Arial"/>
        </w:rPr>
        <w:t xml:space="preserve"> </w:t>
      </w:r>
      <w:r>
        <w:rPr>
          <w:rFonts w:ascii="Arial" w:hAnsi="Arial" w:cs="Arial"/>
        </w:rPr>
        <w:t>November</w:t>
      </w:r>
      <w:r w:rsidRPr="004B18B2">
        <w:rPr>
          <w:rFonts w:ascii="Arial" w:hAnsi="Arial" w:cs="Arial"/>
        </w:rPr>
        <w:t xml:space="preserve"> 2023</w:t>
      </w:r>
    </w:p>
    <w:p w:rsidR="001A1835" w:rsidRPr="00980B2D" w:rsidRDefault="001A1835" w:rsidP="00980B2D">
      <w:pPr>
        <w:spacing w:after="0" w:line="240" w:lineRule="auto"/>
        <w:jc w:val="both"/>
      </w:pPr>
    </w:p>
    <w:sectPr w:rsidR="001A1835" w:rsidRPr="00980B2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B40" w:rsidRDefault="00A76B40" w:rsidP="00D4602D">
      <w:pPr>
        <w:spacing w:after="0" w:line="240" w:lineRule="auto"/>
      </w:pPr>
      <w:r>
        <w:separator/>
      </w:r>
    </w:p>
  </w:endnote>
  <w:endnote w:type="continuationSeparator" w:id="0">
    <w:p w:rsidR="00A76B40" w:rsidRDefault="00A76B40" w:rsidP="00D4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nter">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62791"/>
      <w:docPartObj>
        <w:docPartGallery w:val="Page Numbers (Bottom of Page)"/>
        <w:docPartUnique/>
      </w:docPartObj>
    </w:sdtPr>
    <w:sdtEndPr>
      <w:rPr>
        <w:noProof/>
      </w:rPr>
    </w:sdtEndPr>
    <w:sdtContent>
      <w:p w:rsidR="00DD19B9" w:rsidRDefault="00DD19B9">
        <w:pPr>
          <w:pStyle w:val="a7"/>
          <w:jc w:val="center"/>
        </w:pPr>
        <w:r>
          <w:fldChar w:fldCharType="begin"/>
        </w:r>
        <w:r>
          <w:instrText xml:space="preserve"> PAGE   \* MERGEFORMAT </w:instrText>
        </w:r>
        <w:r>
          <w:fldChar w:fldCharType="separate"/>
        </w:r>
        <w:r w:rsidR="009F2D5E">
          <w:rPr>
            <w:noProof/>
          </w:rPr>
          <w:t>12</w:t>
        </w:r>
        <w:r>
          <w:rPr>
            <w:noProof/>
          </w:rPr>
          <w:fldChar w:fldCharType="end"/>
        </w:r>
      </w:p>
    </w:sdtContent>
  </w:sdt>
  <w:p w:rsidR="00DD19B9" w:rsidRDefault="00DD19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B40" w:rsidRDefault="00A76B40" w:rsidP="00D4602D">
      <w:pPr>
        <w:spacing w:after="0" w:line="240" w:lineRule="auto"/>
      </w:pPr>
      <w:r>
        <w:separator/>
      </w:r>
    </w:p>
  </w:footnote>
  <w:footnote w:type="continuationSeparator" w:id="0">
    <w:p w:rsidR="00A76B40" w:rsidRDefault="00A76B40" w:rsidP="00D4602D">
      <w:pPr>
        <w:spacing w:after="0" w:line="240" w:lineRule="auto"/>
      </w:pPr>
      <w:r>
        <w:continuationSeparator/>
      </w:r>
    </w:p>
  </w:footnote>
  <w:footnote w:id="1">
    <w:p w:rsidR="00DD19B9" w:rsidRPr="00A0360D" w:rsidRDefault="00DD19B9">
      <w:pPr>
        <w:pStyle w:val="a9"/>
        <w:rPr>
          <w:lang w:val="en-GB"/>
        </w:rPr>
      </w:pPr>
      <w:r>
        <w:rPr>
          <w:rStyle w:val="ab"/>
        </w:rPr>
        <w:footnoteRef/>
      </w:r>
      <w:r>
        <w:t xml:space="preserve"> </w:t>
      </w:r>
      <w:r w:rsidRPr="00241231">
        <w:rPr>
          <w:rFonts w:ascii="Calibri" w:hAnsi="Calibri" w:cs="Calibri"/>
          <w:color w:val="2B2B2B"/>
          <w:sz w:val="18"/>
          <w:szCs w:val="18"/>
          <w:shd w:val="clear" w:color="auto" w:fill="FFFFFF"/>
        </w:rPr>
        <w:t>SFC. (2023). ‘Consultation paper on proposed amendments to the Codes on Takeovers and Mergers and Share Buy-backs’. P. 9 at paragraph 6</w:t>
      </w:r>
    </w:p>
  </w:footnote>
  <w:footnote w:id="2">
    <w:p w:rsidR="00DD19B9" w:rsidRPr="00A0360D" w:rsidRDefault="00DD19B9" w:rsidP="009E4484">
      <w:pPr>
        <w:pStyle w:val="a9"/>
        <w:jc w:val="both"/>
        <w:rPr>
          <w:lang w:val="en-GB"/>
        </w:rPr>
      </w:pPr>
      <w:r>
        <w:rPr>
          <w:rStyle w:val="ab"/>
        </w:rPr>
        <w:footnoteRef/>
      </w:r>
      <w:r>
        <w:t xml:space="preserve"> </w:t>
      </w:r>
      <w:r w:rsidRPr="00241231">
        <w:rPr>
          <w:rFonts w:ascii="Calibri" w:hAnsi="Calibri" w:cs="Calibri"/>
          <w:color w:val="2B2B2B"/>
          <w:sz w:val="18"/>
          <w:szCs w:val="18"/>
          <w:shd w:val="clear" w:color="auto" w:fill="FFFFFF"/>
        </w:rPr>
        <w:t>The Takeovers Code also applies to companies determined to be “public companies” according to the factors set out in 4.2 of the Introduction to the Code</w:t>
      </w:r>
    </w:p>
  </w:footnote>
  <w:footnote w:id="3">
    <w:p w:rsidR="00DD19B9" w:rsidRDefault="00DD19B9">
      <w:pPr>
        <w:pStyle w:val="a9"/>
      </w:pPr>
      <w:r>
        <w:rPr>
          <w:rStyle w:val="ab"/>
        </w:rPr>
        <w:footnoteRef/>
      </w:r>
      <w:r>
        <w:t xml:space="preserve"> </w:t>
      </w:r>
      <w:r w:rsidRPr="00241231">
        <w:rPr>
          <w:sz w:val="18"/>
          <w:szCs w:val="18"/>
        </w:rPr>
        <w:t>The “Takeovers Executive” is the Executive Director of the SFC’s Corporate Finance Division or his/her delegate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D7D"/>
    <w:multiLevelType w:val="hybridMultilevel"/>
    <w:tmpl w:val="956E2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649B7"/>
    <w:multiLevelType w:val="multilevel"/>
    <w:tmpl w:val="684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E6BD2"/>
    <w:multiLevelType w:val="hybridMultilevel"/>
    <w:tmpl w:val="22B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C512C"/>
    <w:multiLevelType w:val="hybridMultilevel"/>
    <w:tmpl w:val="8364F6AE"/>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D668B"/>
    <w:multiLevelType w:val="hybridMultilevel"/>
    <w:tmpl w:val="3E94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05F1A"/>
    <w:multiLevelType w:val="hybridMultilevel"/>
    <w:tmpl w:val="6270E4BE"/>
    <w:lvl w:ilvl="0" w:tplc="009CD18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6C97CAA"/>
    <w:multiLevelType w:val="hybridMultilevel"/>
    <w:tmpl w:val="956481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4C562D"/>
    <w:multiLevelType w:val="hybridMultilevel"/>
    <w:tmpl w:val="A90E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8211B"/>
    <w:multiLevelType w:val="hybridMultilevel"/>
    <w:tmpl w:val="82FA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01192"/>
    <w:multiLevelType w:val="hybridMultilevel"/>
    <w:tmpl w:val="6458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D6E44"/>
    <w:multiLevelType w:val="multilevel"/>
    <w:tmpl w:val="FFF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4304341">
    <w:abstractNumId w:val="4"/>
  </w:num>
  <w:num w:numId="2" w16cid:durableId="1626890928">
    <w:abstractNumId w:val="2"/>
  </w:num>
  <w:num w:numId="3" w16cid:durableId="770853977">
    <w:abstractNumId w:val="8"/>
  </w:num>
  <w:num w:numId="4" w16cid:durableId="848061253">
    <w:abstractNumId w:val="7"/>
  </w:num>
  <w:num w:numId="5" w16cid:durableId="1749115533">
    <w:abstractNumId w:val="9"/>
  </w:num>
  <w:num w:numId="6" w16cid:durableId="1072659626">
    <w:abstractNumId w:val="0"/>
  </w:num>
  <w:num w:numId="7" w16cid:durableId="1710951078">
    <w:abstractNumId w:val="6"/>
  </w:num>
  <w:num w:numId="8" w16cid:durableId="1408267633">
    <w:abstractNumId w:val="10"/>
  </w:num>
  <w:num w:numId="9" w16cid:durableId="540440188">
    <w:abstractNumId w:val="1"/>
  </w:num>
  <w:num w:numId="10" w16cid:durableId="2000843054">
    <w:abstractNumId w:val="3"/>
  </w:num>
  <w:num w:numId="11" w16cid:durableId="536046494">
    <w:abstractNumId w:val="5"/>
  </w:num>
  <w:num w:numId="12" w16cid:durableId="1237939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EE"/>
    <w:rsid w:val="00006CA3"/>
    <w:rsid w:val="00012BE7"/>
    <w:rsid w:val="00016817"/>
    <w:rsid w:val="00041CB4"/>
    <w:rsid w:val="0007338F"/>
    <w:rsid w:val="000756A8"/>
    <w:rsid w:val="000801B4"/>
    <w:rsid w:val="00082FD9"/>
    <w:rsid w:val="000978DD"/>
    <w:rsid w:val="000B468B"/>
    <w:rsid w:val="000B741E"/>
    <w:rsid w:val="000D182D"/>
    <w:rsid w:val="000D1ACF"/>
    <w:rsid w:val="000E32FA"/>
    <w:rsid w:val="000F107B"/>
    <w:rsid w:val="0010041E"/>
    <w:rsid w:val="00105619"/>
    <w:rsid w:val="00113105"/>
    <w:rsid w:val="00114290"/>
    <w:rsid w:val="00137242"/>
    <w:rsid w:val="001567F4"/>
    <w:rsid w:val="00157B66"/>
    <w:rsid w:val="00161153"/>
    <w:rsid w:val="00166C60"/>
    <w:rsid w:val="00172EEE"/>
    <w:rsid w:val="00177DE9"/>
    <w:rsid w:val="00181E1C"/>
    <w:rsid w:val="00191777"/>
    <w:rsid w:val="001A1835"/>
    <w:rsid w:val="001A49D4"/>
    <w:rsid w:val="001C02C0"/>
    <w:rsid w:val="001C2E3C"/>
    <w:rsid w:val="001D31CC"/>
    <w:rsid w:val="001D4CEC"/>
    <w:rsid w:val="001E3169"/>
    <w:rsid w:val="001F384D"/>
    <w:rsid w:val="001F7359"/>
    <w:rsid w:val="00201232"/>
    <w:rsid w:val="00202009"/>
    <w:rsid w:val="002029F9"/>
    <w:rsid w:val="002079B0"/>
    <w:rsid w:val="00207AFC"/>
    <w:rsid w:val="00214891"/>
    <w:rsid w:val="002206D6"/>
    <w:rsid w:val="0022510E"/>
    <w:rsid w:val="00227E91"/>
    <w:rsid w:val="0023533B"/>
    <w:rsid w:val="00241231"/>
    <w:rsid w:val="00245B4F"/>
    <w:rsid w:val="0024772C"/>
    <w:rsid w:val="002718EA"/>
    <w:rsid w:val="00275744"/>
    <w:rsid w:val="00276816"/>
    <w:rsid w:val="002B4E2E"/>
    <w:rsid w:val="002C092C"/>
    <w:rsid w:val="002C3285"/>
    <w:rsid w:val="002E456E"/>
    <w:rsid w:val="002F773A"/>
    <w:rsid w:val="00300092"/>
    <w:rsid w:val="003141F6"/>
    <w:rsid w:val="0031610A"/>
    <w:rsid w:val="00330887"/>
    <w:rsid w:val="00333B58"/>
    <w:rsid w:val="003529C2"/>
    <w:rsid w:val="00373691"/>
    <w:rsid w:val="00374221"/>
    <w:rsid w:val="0038403C"/>
    <w:rsid w:val="003845A7"/>
    <w:rsid w:val="00397115"/>
    <w:rsid w:val="003B1D58"/>
    <w:rsid w:val="003C627C"/>
    <w:rsid w:val="003D4B15"/>
    <w:rsid w:val="003D7A3C"/>
    <w:rsid w:val="003E3D06"/>
    <w:rsid w:val="003F5E7B"/>
    <w:rsid w:val="003F6F1E"/>
    <w:rsid w:val="00421A85"/>
    <w:rsid w:val="0042456B"/>
    <w:rsid w:val="0042557F"/>
    <w:rsid w:val="00437C5B"/>
    <w:rsid w:val="0044433A"/>
    <w:rsid w:val="00444BFF"/>
    <w:rsid w:val="00467BEB"/>
    <w:rsid w:val="00470FAF"/>
    <w:rsid w:val="004832C6"/>
    <w:rsid w:val="00497412"/>
    <w:rsid w:val="004A4151"/>
    <w:rsid w:val="004B1018"/>
    <w:rsid w:val="004C16C7"/>
    <w:rsid w:val="004C2F9F"/>
    <w:rsid w:val="004D15EE"/>
    <w:rsid w:val="004D3506"/>
    <w:rsid w:val="004D7E5D"/>
    <w:rsid w:val="004E6EF3"/>
    <w:rsid w:val="005201E6"/>
    <w:rsid w:val="0052292B"/>
    <w:rsid w:val="005234C8"/>
    <w:rsid w:val="0053293B"/>
    <w:rsid w:val="00541C1A"/>
    <w:rsid w:val="00564081"/>
    <w:rsid w:val="00565009"/>
    <w:rsid w:val="00565ACA"/>
    <w:rsid w:val="00570DB2"/>
    <w:rsid w:val="00586C3A"/>
    <w:rsid w:val="00592843"/>
    <w:rsid w:val="005A0CD3"/>
    <w:rsid w:val="005A1F2B"/>
    <w:rsid w:val="005A5098"/>
    <w:rsid w:val="005A5CA3"/>
    <w:rsid w:val="005A5DB5"/>
    <w:rsid w:val="005B3725"/>
    <w:rsid w:val="005C472C"/>
    <w:rsid w:val="005D5517"/>
    <w:rsid w:val="006046A8"/>
    <w:rsid w:val="0061076D"/>
    <w:rsid w:val="00610B52"/>
    <w:rsid w:val="00611338"/>
    <w:rsid w:val="00623FC1"/>
    <w:rsid w:val="00633202"/>
    <w:rsid w:val="00644F7E"/>
    <w:rsid w:val="00647921"/>
    <w:rsid w:val="0065008F"/>
    <w:rsid w:val="0065659F"/>
    <w:rsid w:val="00660281"/>
    <w:rsid w:val="006668C5"/>
    <w:rsid w:val="00675257"/>
    <w:rsid w:val="00683F20"/>
    <w:rsid w:val="006A4043"/>
    <w:rsid w:val="006A6A0D"/>
    <w:rsid w:val="006A7150"/>
    <w:rsid w:val="006B720A"/>
    <w:rsid w:val="006C327F"/>
    <w:rsid w:val="006C40FC"/>
    <w:rsid w:val="006D5224"/>
    <w:rsid w:val="006D753F"/>
    <w:rsid w:val="006E4CA0"/>
    <w:rsid w:val="00702FEB"/>
    <w:rsid w:val="007126F2"/>
    <w:rsid w:val="007140E2"/>
    <w:rsid w:val="00731362"/>
    <w:rsid w:val="00737B4A"/>
    <w:rsid w:val="00753FCB"/>
    <w:rsid w:val="00771FBD"/>
    <w:rsid w:val="007823A1"/>
    <w:rsid w:val="00786121"/>
    <w:rsid w:val="007912BC"/>
    <w:rsid w:val="00795833"/>
    <w:rsid w:val="007C39A4"/>
    <w:rsid w:val="007C493E"/>
    <w:rsid w:val="007D1F07"/>
    <w:rsid w:val="007D7439"/>
    <w:rsid w:val="007F5F4F"/>
    <w:rsid w:val="007F6AA5"/>
    <w:rsid w:val="007F6D7F"/>
    <w:rsid w:val="007F7E10"/>
    <w:rsid w:val="0081748C"/>
    <w:rsid w:val="00823129"/>
    <w:rsid w:val="00826699"/>
    <w:rsid w:val="00833C7C"/>
    <w:rsid w:val="00835FB6"/>
    <w:rsid w:val="00836410"/>
    <w:rsid w:val="0084718A"/>
    <w:rsid w:val="008479A5"/>
    <w:rsid w:val="00865BC9"/>
    <w:rsid w:val="0087755E"/>
    <w:rsid w:val="00886FD3"/>
    <w:rsid w:val="008A4F8F"/>
    <w:rsid w:val="008B28E5"/>
    <w:rsid w:val="008B5A8B"/>
    <w:rsid w:val="008D2DC5"/>
    <w:rsid w:val="008E5368"/>
    <w:rsid w:val="008F4863"/>
    <w:rsid w:val="009163F2"/>
    <w:rsid w:val="00927BC7"/>
    <w:rsid w:val="00944CFB"/>
    <w:rsid w:val="0095674A"/>
    <w:rsid w:val="009805E3"/>
    <w:rsid w:val="00980AB4"/>
    <w:rsid w:val="00980B2D"/>
    <w:rsid w:val="0098427F"/>
    <w:rsid w:val="009972B5"/>
    <w:rsid w:val="009B34A2"/>
    <w:rsid w:val="009B52D5"/>
    <w:rsid w:val="009B7D6F"/>
    <w:rsid w:val="009D06DD"/>
    <w:rsid w:val="009E4484"/>
    <w:rsid w:val="009F2A86"/>
    <w:rsid w:val="009F2D5E"/>
    <w:rsid w:val="00A030C2"/>
    <w:rsid w:val="00A0360D"/>
    <w:rsid w:val="00A11A27"/>
    <w:rsid w:val="00A21718"/>
    <w:rsid w:val="00A24D78"/>
    <w:rsid w:val="00A3193C"/>
    <w:rsid w:val="00A43DF4"/>
    <w:rsid w:val="00A43DFE"/>
    <w:rsid w:val="00A55F41"/>
    <w:rsid w:val="00A62B2B"/>
    <w:rsid w:val="00A67982"/>
    <w:rsid w:val="00A76B40"/>
    <w:rsid w:val="00A81C59"/>
    <w:rsid w:val="00A862F8"/>
    <w:rsid w:val="00A8718A"/>
    <w:rsid w:val="00A9189B"/>
    <w:rsid w:val="00AA27DA"/>
    <w:rsid w:val="00AA5B36"/>
    <w:rsid w:val="00AB3C6A"/>
    <w:rsid w:val="00AC4C33"/>
    <w:rsid w:val="00AD0850"/>
    <w:rsid w:val="00AD7C43"/>
    <w:rsid w:val="00AE10D5"/>
    <w:rsid w:val="00AF0FDE"/>
    <w:rsid w:val="00B04F94"/>
    <w:rsid w:val="00B16BA7"/>
    <w:rsid w:val="00B20ACA"/>
    <w:rsid w:val="00B438C3"/>
    <w:rsid w:val="00B566DA"/>
    <w:rsid w:val="00B57090"/>
    <w:rsid w:val="00B6679F"/>
    <w:rsid w:val="00B9798B"/>
    <w:rsid w:val="00BA5CB4"/>
    <w:rsid w:val="00BB2426"/>
    <w:rsid w:val="00BC46CD"/>
    <w:rsid w:val="00BC57B1"/>
    <w:rsid w:val="00BD233A"/>
    <w:rsid w:val="00BD6084"/>
    <w:rsid w:val="00BE0950"/>
    <w:rsid w:val="00BE4A74"/>
    <w:rsid w:val="00BF2ED1"/>
    <w:rsid w:val="00C113F7"/>
    <w:rsid w:val="00C12E2D"/>
    <w:rsid w:val="00C43BAB"/>
    <w:rsid w:val="00C60DF9"/>
    <w:rsid w:val="00C756D2"/>
    <w:rsid w:val="00C814AF"/>
    <w:rsid w:val="00C8247C"/>
    <w:rsid w:val="00C83302"/>
    <w:rsid w:val="00C86E06"/>
    <w:rsid w:val="00CA4E26"/>
    <w:rsid w:val="00CB4DA7"/>
    <w:rsid w:val="00CD732B"/>
    <w:rsid w:val="00CE19B4"/>
    <w:rsid w:val="00CE1F8A"/>
    <w:rsid w:val="00CE2E30"/>
    <w:rsid w:val="00CF08D5"/>
    <w:rsid w:val="00D026ED"/>
    <w:rsid w:val="00D0499B"/>
    <w:rsid w:val="00D4602D"/>
    <w:rsid w:val="00D6273B"/>
    <w:rsid w:val="00D630AB"/>
    <w:rsid w:val="00D6396E"/>
    <w:rsid w:val="00D7384F"/>
    <w:rsid w:val="00D968BB"/>
    <w:rsid w:val="00DA6597"/>
    <w:rsid w:val="00DB6036"/>
    <w:rsid w:val="00DB62E6"/>
    <w:rsid w:val="00DD19B9"/>
    <w:rsid w:val="00DD2BBE"/>
    <w:rsid w:val="00DE5923"/>
    <w:rsid w:val="00DE5E19"/>
    <w:rsid w:val="00DE72D1"/>
    <w:rsid w:val="00DF4A23"/>
    <w:rsid w:val="00E003FC"/>
    <w:rsid w:val="00E04113"/>
    <w:rsid w:val="00E13133"/>
    <w:rsid w:val="00E20F8F"/>
    <w:rsid w:val="00E23181"/>
    <w:rsid w:val="00E319E8"/>
    <w:rsid w:val="00E52933"/>
    <w:rsid w:val="00E60482"/>
    <w:rsid w:val="00E749F1"/>
    <w:rsid w:val="00E74B05"/>
    <w:rsid w:val="00E769F6"/>
    <w:rsid w:val="00E85092"/>
    <w:rsid w:val="00E859B5"/>
    <w:rsid w:val="00E93B18"/>
    <w:rsid w:val="00E94A51"/>
    <w:rsid w:val="00EA75F8"/>
    <w:rsid w:val="00EB746E"/>
    <w:rsid w:val="00EC54C6"/>
    <w:rsid w:val="00EE3A3F"/>
    <w:rsid w:val="00EE52C6"/>
    <w:rsid w:val="00EF37D5"/>
    <w:rsid w:val="00EF6D4A"/>
    <w:rsid w:val="00F1408A"/>
    <w:rsid w:val="00F227C5"/>
    <w:rsid w:val="00F32B64"/>
    <w:rsid w:val="00F3792B"/>
    <w:rsid w:val="00F43A89"/>
    <w:rsid w:val="00F44B4F"/>
    <w:rsid w:val="00F50FA7"/>
    <w:rsid w:val="00F633E2"/>
    <w:rsid w:val="00F81802"/>
    <w:rsid w:val="00F81E1D"/>
    <w:rsid w:val="00F82591"/>
    <w:rsid w:val="00F94BFB"/>
    <w:rsid w:val="00FB7A01"/>
    <w:rsid w:val="00FC0775"/>
    <w:rsid w:val="00FD3988"/>
    <w:rsid w:val="00FD4623"/>
    <w:rsid w:val="00FD7F4C"/>
    <w:rsid w:val="00FE1D60"/>
    <w:rsid w:val="00FF0736"/>
    <w:rsid w:val="00FF5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0B53D-4FC9-4B86-A99B-EB934D30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242"/>
    <w:rPr>
      <w:color w:val="0563C1" w:themeColor="hyperlink"/>
      <w:u w:val="single"/>
    </w:rPr>
  </w:style>
  <w:style w:type="paragraph" w:styleId="a4">
    <w:name w:val="List Paragraph"/>
    <w:basedOn w:val="a"/>
    <w:uiPriority w:val="34"/>
    <w:qFormat/>
    <w:rsid w:val="005B3725"/>
    <w:pPr>
      <w:ind w:left="720"/>
      <w:contextualSpacing/>
    </w:pPr>
  </w:style>
  <w:style w:type="paragraph" w:styleId="a5">
    <w:name w:val="header"/>
    <w:basedOn w:val="a"/>
    <w:link w:val="a6"/>
    <w:uiPriority w:val="99"/>
    <w:unhideWhenUsed/>
    <w:rsid w:val="00D4602D"/>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D4602D"/>
  </w:style>
  <w:style w:type="paragraph" w:styleId="a7">
    <w:name w:val="footer"/>
    <w:basedOn w:val="a"/>
    <w:link w:val="a8"/>
    <w:uiPriority w:val="99"/>
    <w:unhideWhenUsed/>
    <w:rsid w:val="00D4602D"/>
    <w:pPr>
      <w:tabs>
        <w:tab w:val="center" w:pos="4680"/>
        <w:tab w:val="right" w:pos="9360"/>
      </w:tabs>
      <w:spacing w:after="0" w:line="240" w:lineRule="auto"/>
    </w:pPr>
  </w:style>
  <w:style w:type="character" w:customStyle="1" w:styleId="a8">
    <w:name w:val="Нижний колонтитул Знак"/>
    <w:basedOn w:val="a0"/>
    <w:link w:val="a7"/>
    <w:uiPriority w:val="99"/>
    <w:rsid w:val="00D4602D"/>
  </w:style>
  <w:style w:type="paragraph" w:styleId="a9">
    <w:name w:val="footnote text"/>
    <w:basedOn w:val="a"/>
    <w:link w:val="aa"/>
    <w:uiPriority w:val="99"/>
    <w:semiHidden/>
    <w:unhideWhenUsed/>
    <w:rsid w:val="00771FBD"/>
    <w:pPr>
      <w:spacing w:after="0" w:line="240" w:lineRule="auto"/>
    </w:pPr>
    <w:rPr>
      <w:sz w:val="20"/>
      <w:szCs w:val="20"/>
    </w:rPr>
  </w:style>
  <w:style w:type="character" w:customStyle="1" w:styleId="aa">
    <w:name w:val="Текст сноски Знак"/>
    <w:basedOn w:val="a0"/>
    <w:link w:val="a9"/>
    <w:uiPriority w:val="99"/>
    <w:semiHidden/>
    <w:rsid w:val="00771FBD"/>
    <w:rPr>
      <w:sz w:val="20"/>
      <w:szCs w:val="20"/>
    </w:rPr>
  </w:style>
  <w:style w:type="character" w:styleId="ab">
    <w:name w:val="footnote reference"/>
    <w:basedOn w:val="a0"/>
    <w:uiPriority w:val="99"/>
    <w:semiHidden/>
    <w:unhideWhenUsed/>
    <w:rsid w:val="00771FBD"/>
    <w:rPr>
      <w:vertAlign w:val="superscript"/>
    </w:rPr>
  </w:style>
  <w:style w:type="character" w:styleId="ac">
    <w:name w:val="FollowedHyperlink"/>
    <w:basedOn w:val="a0"/>
    <w:uiPriority w:val="99"/>
    <w:semiHidden/>
    <w:unhideWhenUsed/>
    <w:rsid w:val="0042456B"/>
    <w:rPr>
      <w:color w:val="954F72" w:themeColor="followedHyperlink"/>
      <w:u w:val="single"/>
    </w:rPr>
  </w:style>
  <w:style w:type="character" w:styleId="ad">
    <w:name w:val="Strong"/>
    <w:basedOn w:val="a0"/>
    <w:uiPriority w:val="22"/>
    <w:qFormat/>
    <w:rsid w:val="00A0360D"/>
    <w:rPr>
      <w:b/>
      <w:bCs/>
    </w:rPr>
  </w:style>
  <w:style w:type="character" w:styleId="ae">
    <w:name w:val="Emphasis"/>
    <w:basedOn w:val="a0"/>
    <w:uiPriority w:val="20"/>
    <w:qFormat/>
    <w:rsid w:val="009E4484"/>
    <w:rPr>
      <w:i/>
      <w:iCs/>
    </w:rPr>
  </w:style>
  <w:style w:type="paragraph" w:styleId="af">
    <w:name w:val="Balloon Text"/>
    <w:basedOn w:val="a"/>
    <w:link w:val="af0"/>
    <w:uiPriority w:val="99"/>
    <w:semiHidden/>
    <w:unhideWhenUsed/>
    <w:rsid w:val="00E003F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003FC"/>
    <w:rPr>
      <w:rFonts w:ascii="Segoe UI" w:hAnsi="Segoe UI" w:cs="Segoe UI"/>
      <w:sz w:val="18"/>
      <w:szCs w:val="18"/>
    </w:rPr>
  </w:style>
  <w:style w:type="paragraph" w:styleId="af1">
    <w:name w:val="Normal (Web)"/>
    <w:basedOn w:val="a"/>
    <w:uiPriority w:val="99"/>
    <w:unhideWhenUsed/>
    <w:rsid w:val="0020123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f2">
    <w:name w:val="Body Text"/>
    <w:basedOn w:val="a"/>
    <w:link w:val="af3"/>
    <w:semiHidden/>
    <w:rsid w:val="0084718A"/>
    <w:pPr>
      <w:overflowPunct w:val="0"/>
      <w:autoSpaceDE w:val="0"/>
      <w:autoSpaceDN w:val="0"/>
      <w:adjustRightInd w:val="0"/>
      <w:spacing w:after="0" w:line="240" w:lineRule="auto"/>
      <w:jc w:val="both"/>
      <w:textAlignment w:val="baseline"/>
    </w:pPr>
    <w:rPr>
      <w:rFonts w:ascii="Times New Roman" w:eastAsia="PMingLiU" w:hAnsi="Times New Roman" w:cs="Times New Roman"/>
      <w:sz w:val="24"/>
      <w:szCs w:val="20"/>
    </w:rPr>
  </w:style>
  <w:style w:type="character" w:customStyle="1" w:styleId="af3">
    <w:name w:val="Основной текст Знак"/>
    <w:basedOn w:val="a0"/>
    <w:link w:val="af2"/>
    <w:semiHidden/>
    <w:rsid w:val="0084718A"/>
    <w:rPr>
      <w:rFonts w:ascii="Times New Roman" w:eastAsia="PMingLiU" w:hAnsi="Times New Roman" w:cs="Times New Roman"/>
      <w:sz w:val="24"/>
      <w:szCs w:val="20"/>
    </w:rPr>
  </w:style>
  <w:style w:type="paragraph" w:styleId="af4">
    <w:name w:val="Revision"/>
    <w:hidden/>
    <w:uiPriority w:val="99"/>
    <w:semiHidden/>
    <w:rsid w:val="001A1835"/>
    <w:pPr>
      <w:spacing w:after="0" w:line="240" w:lineRule="auto"/>
    </w:pPr>
  </w:style>
  <w:style w:type="paragraph" w:customStyle="1" w:styleId="Disclaimer">
    <w:name w:val="Disclaimer"/>
    <w:basedOn w:val="a"/>
    <w:qFormat/>
    <w:rsid w:val="001A1835"/>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1A1835"/>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1A1835"/>
    <w:pPr>
      <w:jc w:val="left"/>
    </w:pPr>
    <w:rPr>
      <w:b/>
    </w:rPr>
  </w:style>
  <w:style w:type="character" w:styleId="af5">
    <w:name w:val="Unresolved Mention"/>
    <w:basedOn w:val="a0"/>
    <w:uiPriority w:val="99"/>
    <w:semiHidden/>
    <w:unhideWhenUsed/>
    <w:rsid w:val="00016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15685">
      <w:bodyDiv w:val="1"/>
      <w:marLeft w:val="0"/>
      <w:marRight w:val="0"/>
      <w:marTop w:val="0"/>
      <w:marBottom w:val="0"/>
      <w:divBdr>
        <w:top w:val="none" w:sz="0" w:space="0" w:color="auto"/>
        <w:left w:val="none" w:sz="0" w:space="0" w:color="auto"/>
        <w:bottom w:val="none" w:sz="0" w:space="0" w:color="auto"/>
        <w:right w:val="none" w:sz="0" w:space="0" w:color="auto"/>
      </w:divBdr>
    </w:div>
    <w:div w:id="920019741">
      <w:bodyDiv w:val="1"/>
      <w:marLeft w:val="0"/>
      <w:marRight w:val="0"/>
      <w:marTop w:val="0"/>
      <w:marBottom w:val="0"/>
      <w:divBdr>
        <w:top w:val="none" w:sz="0" w:space="0" w:color="auto"/>
        <w:left w:val="none" w:sz="0" w:space="0" w:color="auto"/>
        <w:bottom w:val="none" w:sz="0" w:space="0" w:color="auto"/>
        <w:right w:val="none" w:sz="0" w:space="0" w:color="auto"/>
      </w:divBdr>
    </w:div>
    <w:div w:id="1093625648">
      <w:bodyDiv w:val="1"/>
      <w:marLeft w:val="0"/>
      <w:marRight w:val="0"/>
      <w:marTop w:val="0"/>
      <w:marBottom w:val="0"/>
      <w:divBdr>
        <w:top w:val="none" w:sz="0" w:space="0" w:color="auto"/>
        <w:left w:val="none" w:sz="0" w:space="0" w:color="auto"/>
        <w:bottom w:val="none" w:sz="0" w:space="0" w:color="auto"/>
        <w:right w:val="none" w:sz="0" w:space="0" w:color="auto"/>
      </w:divBdr>
    </w:div>
    <w:div w:id="20733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takeovers-share-buy-backs-codes-amended-29-september-2023/" TargetMode="External"/><Relationship Id="rId13" Type="http://schemas.openxmlformats.org/officeDocument/2006/relationships/hyperlink" Target="https://www.sfc.hk/-/media/EN/files/CF/pdf/Practice_Notes/PN12EN20230905KC-vs-PN12EN_Final_20170928.pdf?rev=4b369ef4095b43c4a92ff5d5eaeb72de&amp;hash=4F5BF7F0A18CD20544C7B590F8115C63" TargetMode="External"/><Relationship Id="rId18" Type="http://schemas.openxmlformats.org/officeDocument/2006/relationships/hyperlink" Target="https://www.sfc.hk/-/media/EN/files/CF/pdf/Takeovers-Bulletin/Takeovers-Bulletin_20170331.pdf?rev=9faf327a04864805b40a6b52623f80d4&amp;hash=9982B9F283FD3F6CD8E13F23A8F2594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fc.hk/-/media/EN/files/CF/pdf/Practice_Notes/PN12EN20230905KC-vs-PN12EN_Final_20170928.pdf?rev=4b369ef4095b43c4a92ff5d5eaeb72de&amp;hash=4F5BF7F0A18CD20544C7B590F8115C63" TargetMode="External"/><Relationship Id="rId17" Type="http://schemas.openxmlformats.org/officeDocument/2006/relationships/hyperlink" Target="https://www.sfc.hk/-/media/EN/files/CF/pdf/Takeovers-Bulletin/Takeovers-Bulletin-Issue-No--37-Eng.pdf?rev=a7c9712c410649f599de6ec31177ae19&amp;hash=834019F75400F9A1605A9324C42A5D65" TargetMode="External"/><Relationship Id="rId2" Type="http://schemas.openxmlformats.org/officeDocument/2006/relationships/numbering" Target="numbering.xml"/><Relationship Id="rId16" Type="http://schemas.openxmlformats.org/officeDocument/2006/relationships/hyperlink" Target="https://www.sfc.hk/-/media/EN/files/CF/pdf/Practice_Notes/Practice-Note-24_EN_20221118.pdf?rev=0237b606a5154c7086713aac1869148a&amp;hash=77B9C064D325F7988E81C89BE2D59BFF"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sfc-consults-on-amending-the-codes-on-takeovers-and-mergers-and-share-buy-backs/" TargetMode="External"/><Relationship Id="rId5" Type="http://schemas.openxmlformats.org/officeDocument/2006/relationships/webSettings" Target="webSettings.xml"/><Relationship Id="rId15" Type="http://schemas.openxmlformats.org/officeDocument/2006/relationships/hyperlink" Target="https://www.sfc.hk/-/media/EN/files/CF/pdf/Practice_Notes/PN19EN20230925OK-vs-PN19EN_Final_20190930.pdf?rev=00322f42dfa04cc183a5b6e868d44cce&amp;hash=57586A2B15CBE7226D2BEB5CCC9294FC" TargetMode="External"/><Relationship Id="rId23" Type="http://schemas.openxmlformats.org/officeDocument/2006/relationships/theme" Target="theme/theme1.xml"/><Relationship Id="rId10" Type="http://schemas.openxmlformats.org/officeDocument/2006/relationships/hyperlink" Target="https://apps.sfc.hk/edistributionWeb/api/consultation/openFile?lang=EN&amp;refNo=23CP5" TargetMode="External"/><Relationship Id="rId19" Type="http://schemas.openxmlformats.org/officeDocument/2006/relationships/hyperlink" Target="https://www.sfc.hk/-/media/EN/files/CF/pdf/Takeovers-Bulletin/20200630SFC-Takeover-Bulletine.pdf?rev=5656fc89e1b1490bb9cbca781aea007f&amp;hash=C509A78FE9B50A1D59A9C1E296095F2E" TargetMode="External"/><Relationship Id="rId4" Type="http://schemas.openxmlformats.org/officeDocument/2006/relationships/settings" Target="settings.xml"/><Relationship Id="rId9" Type="http://schemas.openxmlformats.org/officeDocument/2006/relationships/hyperlink" Target="https://apps.sfc.hk/edistributionWeb/api/consultation/conclusion?lang=EN&amp;refNo=23CP5" TargetMode="External"/><Relationship Id="rId14" Type="http://schemas.openxmlformats.org/officeDocument/2006/relationships/hyperlink" Target="https://www.sfc.hk/-/media/EN/files/CF/pdf/Practice_Notes/PN19EN20230925OK-vs-PN19EN_Final_20190930.pdf?rev=00322f42dfa04cc183a5b6e868d44cce&amp;hash=57586A2B15CBE7226D2BEB5CCC9294F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A176-14DA-4A70-9E4F-55BD5160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Александр Пирогов</cp:lastModifiedBy>
  <cp:revision>6</cp:revision>
  <dcterms:created xsi:type="dcterms:W3CDTF">2023-11-17T10:49:00Z</dcterms:created>
  <dcterms:modified xsi:type="dcterms:W3CDTF">2023-11-20T09:10:00Z</dcterms:modified>
</cp:coreProperties>
</file>