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Charltons</w:t>
      </w:r>
      <w:r>
        <w:t xml:space="preserve"> </w:t>
      </w:r>
      <w:r>
        <w:t xml:space="preserve">-</w:t>
      </w:r>
      <w:r>
        <w:t xml:space="preserve"> </w:t>
      </w:r>
      <w:r>
        <w:t xml:space="preserve">Hong</w:t>
      </w:r>
      <w:r>
        <w:t xml:space="preserve"> </w:t>
      </w:r>
      <w:r>
        <w:t xml:space="preserve">Kong</w:t>
      </w:r>
      <w:r>
        <w:t xml:space="preserve"> </w:t>
      </w:r>
      <w:r>
        <w:t xml:space="preserve">Law</w:t>
      </w:r>
      <w:r>
        <w:t xml:space="preserve"> </w:t>
      </w:r>
      <w:r>
        <w:t xml:space="preserve">Newsletter</w:t>
      </w:r>
      <w:r>
        <w:t xml:space="preserve"> </w:t>
      </w:r>
      <w:r>
        <w:t xml:space="preserve">-</w:t>
      </w:r>
      <w:r>
        <w:t xml:space="preserve"> </w:t>
      </w:r>
      <w:r>
        <w:t xml:space="preserve">23</w:t>
      </w:r>
      <w:r>
        <w:t xml:space="preserve"> </w:t>
      </w:r>
      <w:r>
        <w:t xml:space="preserve">April</w:t>
      </w:r>
      <w:r>
        <w:t xml:space="preserve"> </w:t>
      </w:r>
      <w:r>
        <w:t xml:space="preserve">2014</w:t>
      </w:r>
    </w:p>
    <w:p>
      <w:hyperlink r:id="rId21">
        <w:r>
          <w:rPr>
            <w:rStyle w:val="Link"/>
          </w:rPr>
          <w:t xml:space="preserve">online version</w:t>
        </w:r>
      </w:hyperlink>
    </w:p>
    <w:p>
      <w:pPr>
        <w:pStyle w:val="Heading1"/>
      </w:pPr>
      <w:bookmarkStart w:id="22" w:name="hkex-to-launch-its-first-asia-commodities-contracts"/>
      <w:bookmarkEnd w:id="22"/>
      <w:r>
        <w:t xml:space="preserve">HKEx to Launch its First Asia Commodities Contracts</w:t>
      </w:r>
    </w:p>
    <w:p>
      <w:r>
        <w:t xml:space="preserve">Hong Kong Exchanges and Clearing Limited (</w:t>
      </w:r>
      <w:r>
        <w:rPr>
          <w:b/>
        </w:rPr>
        <w:t xml:space="preserve">HKEx</w:t>
      </w:r>
      <w:r>
        <w:t xml:space="preserve">) announced yesterday, 22 April 2014, that it plans to launch its commodities business with four futures contracts that will be traded in its derivatives market. The four futures contracts are:</w:t>
      </w:r>
    </w:p>
    <w:p>
      <w:pPr>
        <w:numPr>
          <w:numId w:val="1001"/>
          <w:ilvl w:val="0"/>
        </w:numPr>
      </w:pPr>
      <w:r>
        <w:t xml:space="preserve">London Aluminium Mini Futures;</w:t>
      </w:r>
    </w:p>
    <w:p>
      <w:pPr>
        <w:numPr>
          <w:numId w:val="1001"/>
          <w:ilvl w:val="0"/>
        </w:numPr>
      </w:pPr>
      <w:r>
        <w:t xml:space="preserve">London Zinc Mini Futures;</w:t>
      </w:r>
    </w:p>
    <w:p>
      <w:pPr>
        <w:numPr>
          <w:numId w:val="1001"/>
          <w:ilvl w:val="0"/>
        </w:numPr>
      </w:pPr>
      <w:r>
        <w:t xml:space="preserve">London Copper Mini Futures; and</w:t>
      </w:r>
    </w:p>
    <w:p>
      <w:pPr>
        <w:numPr>
          <w:numId w:val="1001"/>
          <w:ilvl w:val="0"/>
        </w:numPr>
      </w:pPr>
      <w:r>
        <w:t xml:space="preserve">API 8 Thermal Coal Futures</w:t>
      </w:r>
    </w:p>
    <w:p>
      <w:r>
        <w:t xml:space="preserve">HKEx aims to introduce the contracts later this year, pending regulatory approval and market readiness.</w:t>
      </w:r>
    </w:p>
    <w:p>
      <w:r>
        <w:t xml:space="preserve">HKEx stated that the rationale behind the new business is to meet the needs of the industry in Asia and to provide currency convenience through contracts in RMB.</w:t>
      </w:r>
    </w:p>
    <w:p>
      <w:r>
        <w:t xml:space="preserve">The new business is a further step to expand HKEx’s commodities business following its acquisition of the London Metal Exchange (</w:t>
      </w:r>
      <w:r>
        <w:rPr>
          <w:b/>
        </w:rPr>
        <w:t xml:space="preserve">LME</w:t>
      </w:r>
      <w:r>
        <w:t xml:space="preserve">) in 2012.</w:t>
      </w:r>
    </w:p>
    <w:p>
      <w:pPr>
        <w:pStyle w:val="Heading2"/>
      </w:pPr>
      <w:bookmarkStart w:id="23" w:name="basic-market-information"/>
      <w:bookmarkEnd w:id="23"/>
      <w:r>
        <w:t xml:space="preserve">Basic market information</w:t>
      </w:r>
    </w:p>
    <w:p>
      <w:r>
        <w:t xml:space="preserve">The following table contains the basic market information provided by HKEx in relation to the commodities covered by the proposed futures contracts: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rPr>
          <w:b/>
        </w:rPr>
        <w:t xml:space="preserve">Aluminium</w:t>
      </w:r>
    </w:p>
    <w:p>
      <w:pPr>
        <w:pStyle w:val="Compact"/>
      </w:pPr>
      <w:r>
        <w:rPr>
          <w:b/>
        </w:rPr>
        <w:t xml:space="preserve">Copper</w:t>
      </w:r>
    </w:p>
    <w:p>
      <w:pPr>
        <w:pStyle w:val="Compact"/>
      </w:pPr>
      <w:r>
        <w:rPr>
          <w:b/>
        </w:rPr>
        <w:t xml:space="preserve">Zinc</w:t>
      </w:r>
    </w:p>
    <w:p>
      <w:pPr>
        <w:pStyle w:val="Compact"/>
      </w:pPr>
      <w:r>
        <w:rPr>
          <w:b/>
        </w:rPr>
        <w:t xml:space="preserve">Thermal Coal</w:t>
      </w:r>
    </w:p>
    <w:p>
      <w:pPr>
        <w:pStyle w:val="Compact"/>
      </w:pPr>
      <w:r>
        <w:rPr>
          <w:b/>
        </w:rPr>
        <w:t xml:space="preserve">Major Users</w:t>
      </w:r>
    </w:p>
    <w:p>
      <w:pPr>
        <w:pStyle w:val="Compact"/>
      </w:pPr>
      <w:r>
        <w:t xml:space="preserve">Construction</w:t>
      </w:r>
    </w:p>
    <w:p>
      <w:pPr>
        <w:pStyle w:val="Compact"/>
      </w:pPr>
      <w:r>
        <w:t xml:space="preserve">Packaging</w:t>
      </w:r>
    </w:p>
    <w:p>
      <w:pPr>
        <w:pStyle w:val="Compact"/>
      </w:pPr>
      <w:r>
        <w:t xml:space="preserve">Transportation</w:t>
      </w:r>
    </w:p>
    <w:p>
      <w:pPr>
        <w:pStyle w:val="Compact"/>
      </w:pPr>
      <w:r>
        <w:t xml:space="preserve">Automotive</w:t>
      </w:r>
    </w:p>
    <w:p>
      <w:pPr>
        <w:pStyle w:val="Compact"/>
      </w:pPr>
      <w:r>
        <w:t xml:space="preserve">Construction</w:t>
      </w:r>
    </w:p>
    <w:p>
      <w:pPr>
        <w:pStyle w:val="Compact"/>
      </w:pPr>
      <w:r>
        <w:t xml:space="preserve">Electronics</w:t>
      </w:r>
    </w:p>
    <w:p>
      <w:pPr>
        <w:pStyle w:val="Compact"/>
      </w:pPr>
      <w:r>
        <w:t xml:space="preserve">Automotive</w:t>
      </w:r>
    </w:p>
    <w:p>
      <w:pPr>
        <w:pStyle w:val="Compact"/>
      </w:pPr>
      <w:r>
        <w:t xml:space="preserve">Construction</w:t>
      </w:r>
    </w:p>
    <w:p>
      <w:pPr>
        <w:pStyle w:val="Compact"/>
      </w:pPr>
      <w:r>
        <w:t xml:space="preserve">Automotive</w:t>
      </w:r>
    </w:p>
    <w:p>
      <w:pPr>
        <w:pStyle w:val="Compact"/>
      </w:pPr>
      <w:r>
        <w:t xml:space="preserve">Batteries</w:t>
      </w:r>
    </w:p>
    <w:p>
      <w:pPr>
        <w:pStyle w:val="Compact"/>
      </w:pPr>
      <w:r>
        <w:t xml:space="preserve">Electricity</w:t>
      </w:r>
    </w:p>
    <w:p>
      <w:pPr>
        <w:pStyle w:val="Compact"/>
      </w:pPr>
      <w:r>
        <w:rPr>
          <w:b/>
        </w:rPr>
        <w:t xml:space="preserve">Consumption in China as a Percentage of World consumption</w:t>
      </w:r>
    </w:p>
    <w:p>
      <w:pPr>
        <w:pStyle w:val="Compact"/>
      </w:pPr>
      <w:r>
        <w:t xml:space="preserve">45%</w:t>
      </w:r>
    </w:p>
    <w:p>
      <w:pPr>
        <w:pStyle w:val="Compact"/>
      </w:pPr>
      <w:r>
        <w:t xml:space="preserve">44%</w:t>
      </w:r>
    </w:p>
    <w:p>
      <w:pPr>
        <w:pStyle w:val="Compact"/>
      </w:pPr>
      <w:r>
        <w:t xml:space="preserve">44%</w:t>
      </w:r>
    </w:p>
    <w:p>
      <w:pPr>
        <w:pStyle w:val="Compact"/>
      </w:pPr>
      <w:r>
        <w:t xml:space="preserve">45%</w:t>
      </w:r>
    </w:p>
    <w:p>
      <w:pPr>
        <w:pStyle w:val="Compact"/>
      </w:pPr>
      <w:r>
        <w:rPr>
          <w:b/>
        </w:rPr>
        <w:t xml:space="preserve">Year-on-year Growth in 2013</w:t>
      </w:r>
    </w:p>
    <w:p>
      <w:pPr>
        <w:pStyle w:val="Compact"/>
      </w:pPr>
      <w:r>
        <w:t xml:space="preserve">8%</w:t>
      </w:r>
    </w:p>
    <w:p>
      <w:pPr>
        <w:pStyle w:val="Compact"/>
      </w:pPr>
      <w:r>
        <w:t xml:space="preserve">11%</w:t>
      </w:r>
    </w:p>
    <w:p>
      <w:pPr>
        <w:pStyle w:val="Compact"/>
      </w:pPr>
      <w:r>
        <w:t xml:space="preserve">11%</w:t>
      </w:r>
    </w:p>
    <w:p>
      <w:pPr>
        <w:pStyle w:val="Compact"/>
      </w:pPr>
      <w:r>
        <w:t xml:space="preserve">5%</w:t>
      </w:r>
    </w:p>
    <w:p>
      <w:r>
        <w:br w:type="textWrapping"/>
      </w:r>
    </w:p>
    <w:p>
      <w:pPr>
        <w:pStyle w:val="Heading2"/>
      </w:pPr>
      <w:bookmarkStart w:id="24" w:name="key-contract-specifications"/>
      <w:bookmarkEnd w:id="24"/>
      <w:r>
        <w:t xml:space="preserve">Key contract specifications</w:t>
      </w:r>
    </w:p>
    <w:p>
      <w:r>
        <w:t xml:space="preserve">All four contracts will be traded on the Hong Kong Futures Exchange Limited (</w:t>
      </w:r>
      <w:r>
        <w:rPr>
          <w:b/>
        </w:rPr>
        <w:t xml:space="preserve">HKFE</w:t>
      </w:r>
      <w:r>
        <w:t xml:space="preserve">) and cleared through HKFE Clearing Corporation Limited. They will all be monthly cash-settled futures contracts. The key contract specifications which are subject to regulatory approval are summarised in the table below.</w:t>
      </w:r>
    </w:p>
    <w:p>
      <w:pPr>
        <w:pStyle w:val="Compact"/>
      </w:pPr>
      <w:r>
        <w:t xml:space="preserve"> </w:t>
      </w:r>
    </w:p>
    <w:p>
      <w:pPr>
        <w:pStyle w:val="Compact"/>
      </w:pPr>
      <w:r>
        <w:rPr>
          <w:b/>
        </w:rPr>
        <w:t xml:space="preserve">London Aluminium Mini Futures</w:t>
      </w:r>
    </w:p>
    <w:p>
      <w:pPr>
        <w:pStyle w:val="Compact"/>
      </w:pPr>
      <w:r>
        <w:rPr>
          <w:b/>
        </w:rPr>
        <w:t xml:space="preserve">London Zinc Mini Futures</w:t>
      </w:r>
    </w:p>
    <w:p>
      <w:pPr>
        <w:pStyle w:val="Compact"/>
      </w:pPr>
      <w:r>
        <w:rPr>
          <w:b/>
        </w:rPr>
        <w:t xml:space="preserve">London Copper Mini Futures</w:t>
      </w:r>
    </w:p>
    <w:p>
      <w:pPr>
        <w:pStyle w:val="Compact"/>
      </w:pPr>
      <w:r>
        <w:rPr>
          <w:b/>
        </w:rPr>
        <w:t xml:space="preserve">API 8 Thermal Coal Futures</w:t>
      </w:r>
    </w:p>
    <w:p>
      <w:pPr>
        <w:pStyle w:val="Compact"/>
      </w:pPr>
      <w:r>
        <w:rPr>
          <w:b/>
        </w:rPr>
        <w:t xml:space="preserve">Underlying Commodity</w:t>
      </w:r>
    </w:p>
    <w:p>
      <w:pPr>
        <w:pStyle w:val="Compact"/>
      </w:pPr>
      <w:r>
        <w:t xml:space="preserve">High Grade Primary Aluminium as defined in the LME Rules</w:t>
      </w:r>
    </w:p>
    <w:p>
      <w:pPr>
        <w:pStyle w:val="Compact"/>
      </w:pPr>
      <w:r>
        <w:t xml:space="preserve">Special High Grade Zinc as defined in the LME Rules</w:t>
      </w:r>
    </w:p>
    <w:p>
      <w:pPr>
        <w:pStyle w:val="Compact"/>
      </w:pPr>
      <w:r>
        <w:t xml:space="preserve">Copper – Grade A as defined in the LME Rules</w:t>
      </w:r>
    </w:p>
    <w:p>
      <w:pPr>
        <w:pStyle w:val="Compact"/>
      </w:pPr>
      <w:r>
        <w:t xml:space="preserve">API 8 Thermal Coal Index</w:t>
      </w:r>
    </w:p>
    <w:p>
      <w:pPr>
        <w:pStyle w:val="Compact"/>
      </w:pPr>
      <w:r>
        <w:rPr>
          <w:b/>
        </w:rPr>
        <w:t xml:space="preserve">Contract Size</w:t>
      </w:r>
    </w:p>
    <w:p>
      <w:pPr>
        <w:pStyle w:val="Compact"/>
      </w:pPr>
      <w:r>
        <w:t xml:space="preserve">5 tonnes</w:t>
      </w:r>
    </w:p>
    <w:p>
      <w:pPr>
        <w:pStyle w:val="Compact"/>
      </w:pPr>
      <w:r>
        <w:t xml:space="preserve">200 tonnes</w:t>
      </w:r>
    </w:p>
    <w:p>
      <w:pPr>
        <w:pStyle w:val="Compact"/>
      </w:pPr>
      <w:r>
        <w:rPr>
          <w:b/>
        </w:rPr>
        <w:t xml:space="preserve">Trading and Settlement Currency</w:t>
      </w:r>
    </w:p>
    <w:p>
      <w:pPr>
        <w:pStyle w:val="Compact"/>
      </w:pPr>
      <w:r>
        <w:t xml:space="preserve">RMB</w:t>
      </w:r>
    </w:p>
    <w:p>
      <w:pPr>
        <w:pStyle w:val="Compact"/>
      </w:pPr>
      <w:r>
        <w:t xml:space="preserve">US dollar</w:t>
      </w:r>
    </w:p>
    <w:p>
      <w:pPr>
        <w:pStyle w:val="Compact"/>
      </w:pPr>
      <w:r>
        <w:rPr>
          <w:b/>
        </w:rPr>
        <w:t xml:space="preserve">Contract Months</w:t>
      </w:r>
    </w:p>
    <w:p>
      <w:pPr>
        <w:pStyle w:val="Compact"/>
      </w:pPr>
      <w:r>
        <w:t xml:space="preserve">Spot Month and the next eleven calendar months (monthly contracts)</w:t>
      </w:r>
    </w:p>
    <w:p>
      <w:pPr>
        <w:pStyle w:val="Compact"/>
      </w:pPr>
      <w:r>
        <w:t xml:space="preserve">Spot Month and the next twenty-three calendar months (monthly contracts)</w:t>
      </w:r>
    </w:p>
    <w:p>
      <w:pPr>
        <w:pStyle w:val="Compact"/>
      </w:pPr>
      <w:r>
        <w:rPr>
          <w:b/>
        </w:rPr>
        <w:t xml:space="preserve">Trading Hours</w:t>
      </w:r>
    </w:p>
    <w:p>
      <w:pPr>
        <w:pStyle w:val="Compact"/>
      </w:pPr>
      <w:r>
        <w:t xml:space="preserve">9:00 am to 4:15 pm (day trading session) and 5:00 pm to 1:00 am</w:t>
      </w:r>
      <w:r>
        <w:t xml:space="preserve"> </w:t>
      </w:r>
      <w:r>
        <w:t xml:space="preserve"> </w:t>
      </w:r>
      <w:r>
        <w:t xml:space="preserve">(after-hours trading session)</w:t>
      </w:r>
    </w:p>
    <w:p>
      <w:pPr>
        <w:pStyle w:val="Compact"/>
      </w:pPr>
      <w:r>
        <w:t xml:space="preserve">8:00 am to 4:15 pm (day trading session) and 5:00 pm to 1:00 am</w:t>
      </w:r>
      <w:r>
        <w:t xml:space="preserve"> </w:t>
      </w:r>
      <w:r>
        <w:t xml:space="preserve">(after-hours trading session)</w:t>
      </w:r>
    </w:p>
    <w:p>
      <w:pPr>
        <w:pStyle w:val="Compact"/>
      </w:pPr>
      <w:r>
        <w:rPr>
          <w:b/>
        </w:rPr>
        <w:t xml:space="preserve">Trading Platform</w:t>
      </w:r>
    </w:p>
    <w:p>
      <w:pPr>
        <w:pStyle w:val="Compact"/>
      </w:pPr>
      <w:r>
        <w:t xml:space="preserve">Hong Kong Futures Automated Trading System (HKATS)</w:t>
      </w:r>
    </w:p>
    <w:p>
      <w:pPr>
        <w:pStyle w:val="Compact"/>
      </w:pPr>
      <w:r>
        <w:rPr>
          <w:b/>
        </w:rPr>
        <w:t xml:space="preserve">Tick Size</w:t>
      </w:r>
    </w:p>
    <w:p>
      <w:pPr>
        <w:pStyle w:val="Compact"/>
      </w:pPr>
      <w:r>
        <w:t xml:space="preserve">RMB 5 / tonne</w:t>
      </w:r>
    </w:p>
    <w:p>
      <w:pPr>
        <w:pStyle w:val="Compact"/>
      </w:pPr>
      <w:r>
        <w:t xml:space="preserve">RMB 10 / tonne</w:t>
      </w:r>
    </w:p>
    <w:p>
      <w:pPr>
        <w:pStyle w:val="Compact"/>
      </w:pPr>
      <w:r>
        <w:t xml:space="preserve">USD 0.01 / tonne</w:t>
      </w:r>
    </w:p>
    <w:p>
      <w:pPr>
        <w:pStyle w:val="Compact"/>
      </w:pPr>
      <w:r>
        <w:rPr>
          <w:b/>
        </w:rPr>
        <w:t xml:space="preserve">Last Trading Day</w:t>
      </w:r>
    </w:p>
    <w:p>
      <w:pPr>
        <w:pStyle w:val="Compact"/>
      </w:pPr>
      <w:r>
        <w:t xml:space="preserve">Two business days before the 3rd Wednesday of the spot month</w:t>
      </w:r>
    </w:p>
    <w:p>
      <w:pPr>
        <w:pStyle w:val="Compact"/>
      </w:pPr>
      <w:r>
        <w:t xml:space="preserve">The last Friday of the Contract Month</w:t>
      </w:r>
    </w:p>
    <w:p>
      <w:pPr>
        <w:pStyle w:val="Compact"/>
      </w:pPr>
      <w:r>
        <w:rPr>
          <w:b/>
        </w:rPr>
        <w:t xml:space="preserve">Final Settlement Price</w:t>
      </w:r>
    </w:p>
    <w:p>
      <w:pPr>
        <w:pStyle w:val="Compact"/>
      </w:pPr>
      <w:r>
        <w:t xml:space="preserve">Official Settlement Price determined and published by the LME on the Last Trading Day</w:t>
      </w:r>
    </w:p>
    <w:p>
      <w:pPr>
        <w:pStyle w:val="Compact"/>
      </w:pPr>
      <w:r>
        <w:t xml:space="preserve">The monthly average API 8 Index published in the</w:t>
      </w:r>
      <w:r>
        <w:t xml:space="preserve"> </w:t>
      </w:r>
      <w:r>
        <w:t xml:space="preserve">Argus/McCloskey's Coal Price Index Report</w:t>
      </w:r>
      <w:r>
        <w:t xml:space="preserve"> </w:t>
      </w:r>
      <w:r>
        <w:t xml:space="preserve">on the last Friday of the expiring Contract Month</w:t>
      </w:r>
    </w:p>
    <w:p>
      <w:pPr>
        <w:pStyle w:val="Compact"/>
      </w:pPr>
      <w:r>
        <w:rPr>
          <w:b/>
        </w:rPr>
        <w:t xml:space="preserve">Settlement Method</w:t>
      </w:r>
    </w:p>
    <w:p>
      <w:pPr>
        <w:pStyle w:val="Compact"/>
      </w:pPr>
      <w:r>
        <w:t xml:space="preserve">Cash-settled</w:t>
      </w:r>
    </w:p>
    <w:p>
      <w:pPr>
        <w:pStyle w:val="Compact"/>
      </w:pPr>
      <w:r>
        <w:rPr>
          <w:b/>
        </w:rPr>
        <w:t xml:space="preserve">Holiday Schedule</w:t>
      </w:r>
    </w:p>
    <w:p>
      <w:pPr>
        <w:pStyle w:val="Compact"/>
      </w:pPr>
      <w:r>
        <w:t xml:space="preserve">Follow HKEx holiday schedule</w:t>
      </w:r>
    </w:p>
    <w:p>
      <w:r>
        <w:br w:type="textWrapping"/>
      </w:r>
    </w:p>
    <w:p>
      <w:pPr>
        <w:pStyle w:val="BlockQuote"/>
      </w:pPr>
      <w:r>
        <w:rPr>
          <w:b/>
        </w:rPr>
        <w:t xml:space="preserve">This newsletter is for information purposes only.</w:t>
      </w:r>
    </w:p>
    <w:p>
      <w:pPr>
        <w:pStyle w:val="BlockQuote"/>
      </w:pPr>
      <w:r>
        <w:t xml:space="preserve">Its contents do not constitute legal advice and it should not be regarded as a substitute for detailed advice in individual cases.</w:t>
      </w:r>
    </w:p>
    <w:p>
      <w:pPr>
        <w:pStyle w:val="BlockQuote"/>
      </w:pPr>
      <w:r>
        <w:t xml:space="preserve">Transmission of this information is not intended to create and receipt does not constitute a lawyer-client relationship between Charltons and the user or browser.</w:t>
      </w:r>
    </w:p>
    <w:p>
      <w:pPr>
        <w:pStyle w:val="BlockQuote"/>
      </w:pPr>
      <w:r>
        <w:t xml:space="preserve">Charltons is not responsible for any third party content which can be accessed through the website.</w:t>
      </w:r>
    </w:p>
    <w:p>
      <w:pPr>
        <w:pStyle w:val="BlockQuote"/>
      </w:pPr>
      <w:r>
        <w:t xml:space="preserve">If you do not wish to receive this newsletter please let us know by emailing us at</w:t>
      </w:r>
      <w:r>
        <w:t xml:space="preserve"> </w:t>
      </w:r>
      <w:hyperlink r:id="rId25">
        <w:r>
          <w:rPr>
            <w:rStyle w:val="Link"/>
          </w:rPr>
          <w:t xml:space="preserve">unsubscribe@charltonslaw.com</w:t>
        </w:r>
      </w:hyperlink>
    </w:p>
    <w:p>
      <w:r>
        <w:rPr>
          <w:b/>
        </w:rPr>
        <w:t xml:space="preserve">Charltons - Hong Kong Law Newsletter - Issue 238 - 23 April 2014</w:t>
      </w:r>
    </w:p>
    <w:sectPr w:rsidR="005F6FFF" w:rsidRPr="00761A09" w:rsidSect="00595BD0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90">
    <w:nsid w:val="9f8b25c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61e75937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761A09"/>
    <w:pPr>
      <w:jc w:val="both"/>
    </w:pPr>
  </w:style>
  <w:style w:type="paragraph" w:styleId="Heading1">
    <w:name w:val="heading 1"/>
    <w:basedOn w:val="Normal"/>
    <w:next w:val="Normal"/>
    <w:uiPriority w:val="9"/>
    <w:qFormat/>
    <w:rsid w:val="00010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0143C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0143C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u w:val="single"/>
    </w:rPr>
  </w:style>
  <w:style w:type="paragraph" w:styleId="Heading5">
    <w:name w:val="heading 5"/>
    <w:basedOn w:val="Normal"/>
    <w:next w:val="Normal"/>
    <w:uiPriority w:val="9"/>
    <w:unhideWhenUsed/>
    <w:qFormat/>
    <w:rsid w:val="00010E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qFormat/>
    <w:rsid w:val="00B63F58"/>
    <w:pPr>
      <w:shd w:val="clear" w:color="auto" w:fill="000000"/>
      <w:spacing w:before="0" w:line="360" w:lineRule="exact"/>
      <w:jc w:val="center"/>
    </w:pPr>
    <w:rPr>
      <w:rFonts w:asciiTheme="minorHAnsi" w:hAnsiTheme="minorHAnsi"/>
      <w:color w:val="FFFFFF" w:themeColor="background1"/>
      <w:sz w:val="24"/>
      <w:szCs w:val="24"/>
    </w:rPr>
  </w:style>
  <w:style w:type="paragraph" w:customStyle="1" w:styleId="Authors">
    <w:name w:val="Authors"/>
    <w:basedOn w:val="Normal"/>
    <w:next w:val="Normal"/>
    <w:qFormat/>
    <w:rsid w:val="00B104BB"/>
    <w:pPr>
      <w:jc w:val="center"/>
    </w:pPr>
    <w:rPr>
      <w:rFonts w:asciiTheme="majorHAnsi" w:hAnsiTheme="majorHAnsi"/>
      <w:b/>
      <w:sz w:val="20"/>
      <w:szCs w:val="20"/>
    </w:rPr>
  </w:style>
  <w:style w:type="paragraph" w:styleId="Date">
    <w:name w:val="Date"/>
    <w:next w:val="Normal"/>
    <w:qFormat/>
    <w:rsid w:val="00B832C2"/>
    <w:pPr>
      <w:keepNext/>
      <w:keepLines/>
      <w:jc w:val="center"/>
    </w:pPr>
  </w:style>
  <w:style w:type="paragraph" w:customStyle="1" w:styleId="BlockQuote">
    <w:name w:val="Block Quote"/>
    <w:basedOn w:val="Normal"/>
    <w:next w:val="Normal"/>
    <w:uiPriority w:val="9"/>
    <w:unhideWhenUsed/>
    <w:qFormat/>
    <w:rsid w:val="00C7545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100" w:after="100"/>
    </w:pPr>
    <w:rPr>
      <w:rFonts w:eastAsiaTheme="majorEastAsia" w:cstheme="majorBidi"/>
      <w:bCs/>
    </w:rPr>
  </w:style>
  <w:style w:type="paragraph" w:customStyle="1" w:styleId="DefinitionTerm">
    <w:name w:val="Definition Term"/>
    <w:basedOn w:val="Normal"/>
    <w:next w:val="Definition"/>
    <w:rsid w:val="00B832C2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832C2"/>
  </w:style>
  <w:style w:type="paragraph" w:styleId="BodyText">
    <w:name w:val="Body Text"/>
    <w:basedOn w:val="Normal"/>
    <w:rsid w:val="00B832C2"/>
    <w:pPr>
      <w:spacing w:after="120"/>
    </w:pPr>
  </w:style>
  <w:style w:type="paragraph" w:customStyle="1" w:styleId="TableCaption">
    <w:name w:val="Table Caption"/>
    <w:basedOn w:val="Normal"/>
    <w:rsid w:val="00B832C2"/>
    <w:pPr>
      <w:spacing w:after="120"/>
    </w:pPr>
    <w:rPr>
      <w:i/>
    </w:rPr>
  </w:style>
  <w:style w:type="paragraph" w:customStyle="1" w:styleId="ImageCaption">
    <w:name w:val="Image Caption"/>
    <w:basedOn w:val="Normal"/>
    <w:link w:val="BodyTextChar"/>
    <w:rsid w:val="00B832C2"/>
    <w:pPr>
      <w:spacing w:after="120"/>
    </w:pPr>
    <w:rPr>
      <w:i/>
    </w:rPr>
  </w:style>
  <w:style w:type="character" w:customStyle="1" w:styleId="BodyTextChar">
    <w:name w:val="Body Text Char"/>
    <w:basedOn w:val="DefaultParagraphFont"/>
    <w:link w:val="ImageCaption"/>
    <w:rsid w:val="00B832C2"/>
  </w:style>
  <w:style w:type="character" w:customStyle="1" w:styleId="VerbatimChar">
    <w:name w:val="Verbatim Char"/>
    <w:basedOn w:val="BodyTextChar"/>
    <w:rsid w:val="00B832C2"/>
    <w:rPr>
      <w:rFonts w:ascii="Consolas" w:hAnsi="Consolas"/>
      <w:sz w:val="22"/>
    </w:rPr>
  </w:style>
  <w:style w:type="character" w:customStyle="1" w:styleId="FootnoteRef">
    <w:name w:val="Footnote Ref"/>
    <w:basedOn w:val="BodyTextChar"/>
    <w:rsid w:val="00B832C2"/>
    <w:rPr>
      <w:vertAlign w:val="superscript"/>
    </w:rPr>
  </w:style>
  <w:style w:type="character" w:customStyle="1" w:styleId="Link">
    <w:name w:val="Link"/>
    <w:basedOn w:val="BodyTextChar"/>
    <w:rsid w:val="00B832C2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http://www.charltonslaw.com/hkex-to-launch-its-first-asia-commodities-contracts/" TargetMode="External" /><Relationship Type="http://schemas.openxmlformats.org/officeDocument/2006/relationships/hyperlink" Id="rId25" Target="mailto:unsubscribe@charltonslaw.com?subject=unsubscribe%20-Hong%20Kong%20Law-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://www.charltonslaw.com/hkex-to-launch-its-first-asia-commodities-contracts/" TargetMode="External" /><Relationship Type="http://schemas.openxmlformats.org/officeDocument/2006/relationships/hyperlink" Id="rId25" Target="mailto:unsubscribe@charltonslaw.com?subject=unsubscribe%20-Hong%20Kong%20Law-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1164</Characters>
  <Application>Microsoft Office Word</Application>
  <DocSecurity>0</DocSecurity>
  <Lines>9</Lines>
  <Paragraphs>2</Paragraphs>
  <ScaleCrop>false</ScaleCrop>
  <Company>Forscientia Limited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Charltons - Hong Kong Law Newsletter - 23 April 2014</dc:title>
  <dc:creator/>
</cp:coreProperties>
</file>