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Charltons</w:t>
      </w:r>
      <w:r>
        <w:t xml:space="preserve"> </w:t>
      </w:r>
      <w:r>
        <w:t xml:space="preserve">-</w:t>
      </w:r>
      <w:r>
        <w:t xml:space="preserve"> </w:t>
      </w:r>
      <w:r>
        <w:t xml:space="preserve">Hong</w:t>
      </w:r>
      <w:r>
        <w:t xml:space="preserve"> </w:t>
      </w:r>
      <w:r>
        <w:t xml:space="preserve">Kong</w:t>
      </w:r>
      <w:r>
        <w:t xml:space="preserve"> </w:t>
      </w:r>
      <w:r>
        <w:t xml:space="preserve">Law</w:t>
      </w:r>
      <w:r>
        <w:t xml:space="preserve"> </w:t>
      </w:r>
      <w:r>
        <w:t xml:space="preserve">Newsletter</w:t>
      </w:r>
      <w:r>
        <w:t xml:space="preserve"> </w:t>
      </w:r>
      <w:r>
        <w:t xml:space="preserve">-</w:t>
      </w:r>
      <w:r>
        <w:t xml:space="preserve"> </w:t>
      </w:r>
      <w:r>
        <w:t xml:space="preserve">21</w:t>
      </w:r>
      <w:r>
        <w:t xml:space="preserve"> </w:t>
      </w:r>
      <w:r>
        <w:t xml:space="preserve">August</w:t>
      </w:r>
      <w:r>
        <w:t xml:space="preserve"> </w:t>
      </w:r>
      <w:r>
        <w:t xml:space="preserve">2006</w:t>
      </w:r>
    </w:p>
    <w:p>
      <w:hyperlink r:id="rId21">
        <w:r>
          <w:rPr>
            <w:rStyle w:val="Link"/>
          </w:rPr>
          <w:t xml:space="preserve">online version</w:t>
        </w:r>
      </w:hyperlink>
    </w:p>
    <w:p>
      <w:pPr>
        <w:pStyle w:val="Heading1"/>
      </w:pPr>
      <w:bookmarkStart w:id="22" w:name="hkex-publishes-guide-on-pre-vetting-requirements-for-announcements"/>
      <w:bookmarkEnd w:id="22"/>
      <w:r>
        <w:t xml:space="preserve">HKEx Publishes Guide On Pre-Vetting Requirements For Announcements</w:t>
      </w:r>
    </w:p>
    <w:p>
      <w:r>
        <w:t xml:space="preserve">The Hong Kong Stock Exchange (</w:t>
      </w:r>
      <w:r>
        <w:rPr>
          <w:b/>
        </w:rPr>
        <w:t xml:space="preserve">HKEx</w:t>
      </w:r>
      <w:r>
        <w:t xml:space="preserve">) has recently published its Guide on pre-vetting requirements for announcements (</w:t>
      </w:r>
      <w:r>
        <w:rPr>
          <w:b/>
        </w:rPr>
        <w:t xml:space="preserve">Guide</w:t>
      </w:r>
      <w:r>
        <w:t xml:space="preserve">) to assist listed issuers in meeting certain continuing obligations under the Listing Rules.</w:t>
      </w:r>
    </w:p>
    <w:p>
      <w:r>
        <w:t xml:space="preserve">Conveniently set out in a table, the Guide lists matters and transactions which require the making of announcements and identifies whether they require pre-vetting under the Listing Rules. It also provides cross-references to the relevant listing rule requirements where appropriate.</w:t>
      </w:r>
    </w:p>
    <w:p>
      <w:r>
        <w:t xml:space="preserve">The Guide can be viewed by clicking</w:t>
      </w:r>
      <w:r>
        <w:t xml:space="preserve"> </w:t>
      </w:r>
      <w:hyperlink r:id="rId23">
        <w:r>
          <w:rPr>
            <w:rStyle w:val="Link"/>
          </w:rPr>
          <w:t xml:space="preserve">here</w:t>
        </w:r>
      </w:hyperlink>
      <w:r>
        <w:t xml:space="preserve">.</w:t>
      </w:r>
    </w:p>
    <w:p>
      <w:r>
        <w:t xml:space="preserve">For announcements of matters and/or transactions that are not strictly subject to pre-vetting requirements under the Listing Rules, the Listing Division may still request to review and comment on the relevant announcements. HKEx has specified three typical scenarios where this may occur:</w:t>
      </w:r>
    </w:p>
    <w:p>
      <w:pPr>
        <w:numPr>
          <w:numId w:val="1001"/>
          <w:ilvl w:val="0"/>
        </w:numPr>
      </w:pPr>
      <w:r>
        <w:t xml:space="preserve">the announcement is made in relation to enquiries and concerns about compliance with applicable laws and regulations or the Listing Rules; or</w:t>
      </w:r>
    </w:p>
    <w:p>
      <w:pPr>
        <w:numPr>
          <w:numId w:val="1001"/>
          <w:ilvl w:val="0"/>
        </w:numPr>
      </w:pPr>
      <w:r>
        <w:t xml:space="preserve">the announcement involves unusual or novel issues; or</w:t>
      </w:r>
    </w:p>
    <w:p>
      <w:pPr>
        <w:numPr>
          <w:numId w:val="1001"/>
          <w:ilvl w:val="0"/>
        </w:numPr>
      </w:pPr>
      <w:r>
        <w:t xml:space="preserve">listed issuer is seeking guidance from the Exchange on, or making a request for modification or dispensation with, certain Listing Rules.</w:t>
      </w:r>
    </w:p>
    <w:p>
      <w:r>
        <w:t xml:space="preserve">Where the Listing Division decides to review a listed issuer's announcement, it will communicate such intentions to the issuer and state reasons for its decision.</w:t>
      </w:r>
    </w:p>
    <w:p>
      <w:r>
        <w:t xml:space="preserve">In the event of any discrepancies between the contents of the Guide and the Listing Rules, as amended or interpreted from time to time, the provisions of the Listing Rules prevail.</w:t>
      </w:r>
    </w:p>
    <w:p>
      <w:r>
        <w:t xml:space="preserve">This note contains a summary only of recent regulatory developments in Hong Kong. Specific advice should be sought in relation to any particular situation.</w:t>
      </w:r>
    </w:p>
    <w:p>
      <w:pPr>
        <w:pStyle w:val="BlockQuote"/>
      </w:pPr>
      <w:r>
        <w:rPr>
          <w:b/>
        </w:rPr>
        <w:t xml:space="preserve">This newsletter is for information purposes only.</w:t>
      </w:r>
    </w:p>
    <w:p>
      <w:pPr>
        <w:pStyle w:val="BlockQuote"/>
      </w:pPr>
      <w:r>
        <w:t xml:space="preserve">Its contents do not constitute legal advice and it should not be regarded as a substitute for detailed advice in individual cases.</w:t>
      </w:r>
    </w:p>
    <w:p>
      <w:pPr>
        <w:pStyle w:val="BlockQuote"/>
      </w:pPr>
      <w:r>
        <w:t xml:space="preserve">Transmission of this information is not intended to create and receipt does not constitute a lawyer-client relationship between Charltons and the user or browser.</w:t>
      </w:r>
    </w:p>
    <w:p>
      <w:pPr>
        <w:pStyle w:val="BlockQuote"/>
      </w:pPr>
      <w:r>
        <w:t xml:space="preserve">Charltons is not responsible for any third party content which can be accessed through the website.</w:t>
      </w:r>
    </w:p>
    <w:p>
      <w:pPr>
        <w:pStyle w:val="BlockQuote"/>
      </w:pPr>
      <w:r>
        <w:t xml:space="preserve">If you do not wish to receive this newsletter please let us know by emailing us at</w:t>
      </w:r>
      <w:r>
        <w:t xml:space="preserve"> </w:t>
      </w:r>
      <w:hyperlink r:id="rId24">
        <w:r>
          <w:rPr>
            <w:rStyle w:val="Link"/>
          </w:rPr>
          <w:t xml:space="preserve">unsubscribe@charltonslaw.com</w:t>
        </w:r>
      </w:hyperlink>
    </w:p>
    <w:p>
      <w:r>
        <w:rPr>
          <w:b/>
        </w:rPr>
        <w:t xml:space="preserve">Charltons - Hong Kong Law Newsletter - Issue 38 - 21 August 2006</w:t>
      </w:r>
    </w:p>
    <w:sectPr w:rsidR="005F6FFF" w:rsidRPr="00761A09" w:rsidSect="00595BD0"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90">
    <w:nsid w:val="de3f55c6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511">
    <w:nsid w:val="57a23e88"/>
    <w:multiLevelType w:val="multilevel"/>
    <w:lvl w:ilvl="0">
      <w:start w:val="1"/>
      <w:numFmt w:val="lowerRoman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Roman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Roman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Roman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Roman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0">
    <w:abstractNumId w:val="990"/>
  </w:num>
  <w:num w:numId="1001">
    <w:abstractNumId w:val="995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761A09"/>
    <w:pPr>
      <w:jc w:val="both"/>
    </w:pPr>
  </w:style>
  <w:style w:type="paragraph" w:styleId="Heading1">
    <w:name w:val="heading 1"/>
    <w:basedOn w:val="Normal"/>
    <w:next w:val="Normal"/>
    <w:uiPriority w:val="9"/>
    <w:qFormat/>
    <w:rsid w:val="00010E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C0143C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rsid w:val="00010E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0143C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010E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rsid w:val="00010E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u w:val="single"/>
    </w:rPr>
  </w:style>
  <w:style w:type="paragraph" w:styleId="Heading5">
    <w:name w:val="heading 5"/>
    <w:basedOn w:val="Normal"/>
    <w:next w:val="Normal"/>
    <w:uiPriority w:val="9"/>
    <w:unhideWhenUsed/>
    <w:qFormat/>
    <w:rsid w:val="00010E4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ing1"/>
    <w:next w:val="Normal"/>
    <w:qFormat/>
    <w:rsid w:val="00B63F58"/>
    <w:pPr>
      <w:shd w:val="clear" w:color="auto" w:fill="000000"/>
      <w:spacing w:before="0" w:line="360" w:lineRule="exact"/>
      <w:jc w:val="center"/>
    </w:pPr>
    <w:rPr>
      <w:rFonts w:asciiTheme="minorHAnsi" w:hAnsiTheme="minorHAnsi"/>
      <w:color w:val="FFFFFF" w:themeColor="background1"/>
      <w:sz w:val="24"/>
      <w:szCs w:val="24"/>
    </w:rPr>
  </w:style>
  <w:style w:type="paragraph" w:customStyle="1" w:styleId="Authors">
    <w:name w:val="Authors"/>
    <w:basedOn w:val="Normal"/>
    <w:next w:val="Normal"/>
    <w:qFormat/>
    <w:rsid w:val="00B104BB"/>
    <w:pPr>
      <w:jc w:val="center"/>
    </w:pPr>
    <w:rPr>
      <w:rFonts w:asciiTheme="majorHAnsi" w:hAnsiTheme="majorHAnsi"/>
      <w:b/>
      <w:sz w:val="20"/>
      <w:szCs w:val="20"/>
    </w:rPr>
  </w:style>
  <w:style w:type="paragraph" w:styleId="Date">
    <w:name w:val="Date"/>
    <w:next w:val="Normal"/>
    <w:qFormat/>
    <w:rsid w:val="00B832C2"/>
    <w:pPr>
      <w:keepNext/>
      <w:keepLines/>
      <w:jc w:val="center"/>
    </w:pPr>
  </w:style>
  <w:style w:type="paragraph" w:customStyle="1" w:styleId="BlockQuote">
    <w:name w:val="Block Quote"/>
    <w:basedOn w:val="Normal"/>
    <w:next w:val="Normal"/>
    <w:uiPriority w:val="9"/>
    <w:unhideWhenUsed/>
    <w:qFormat/>
    <w:rsid w:val="00C7545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="100" w:after="100"/>
    </w:pPr>
    <w:rPr>
      <w:rFonts w:eastAsiaTheme="majorEastAsia" w:cstheme="majorBidi"/>
      <w:bCs/>
    </w:rPr>
  </w:style>
  <w:style w:type="paragraph" w:customStyle="1" w:styleId="DefinitionTerm">
    <w:name w:val="Definition Term"/>
    <w:basedOn w:val="Normal"/>
    <w:next w:val="Definition"/>
    <w:rsid w:val="00B832C2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rsid w:val="00B832C2"/>
  </w:style>
  <w:style w:type="paragraph" w:styleId="BodyText">
    <w:name w:val="Body Text"/>
    <w:basedOn w:val="Normal"/>
    <w:rsid w:val="00B832C2"/>
    <w:pPr>
      <w:spacing w:after="120"/>
    </w:pPr>
  </w:style>
  <w:style w:type="paragraph" w:customStyle="1" w:styleId="TableCaption">
    <w:name w:val="Table Caption"/>
    <w:basedOn w:val="Normal"/>
    <w:rsid w:val="00B832C2"/>
    <w:pPr>
      <w:spacing w:after="120"/>
    </w:pPr>
    <w:rPr>
      <w:i/>
    </w:rPr>
  </w:style>
  <w:style w:type="paragraph" w:customStyle="1" w:styleId="ImageCaption">
    <w:name w:val="Image Caption"/>
    <w:basedOn w:val="Normal"/>
    <w:link w:val="BodyTextChar"/>
    <w:rsid w:val="00B832C2"/>
    <w:pPr>
      <w:spacing w:after="120"/>
    </w:pPr>
    <w:rPr>
      <w:i/>
    </w:rPr>
  </w:style>
  <w:style w:type="character" w:customStyle="1" w:styleId="BodyTextChar">
    <w:name w:val="Body Text Char"/>
    <w:basedOn w:val="DefaultParagraphFont"/>
    <w:link w:val="ImageCaption"/>
    <w:rsid w:val="00B832C2"/>
  </w:style>
  <w:style w:type="character" w:customStyle="1" w:styleId="VerbatimChar">
    <w:name w:val="Verbatim Char"/>
    <w:basedOn w:val="BodyTextChar"/>
    <w:rsid w:val="00B832C2"/>
    <w:rPr>
      <w:rFonts w:ascii="Consolas" w:hAnsi="Consolas"/>
      <w:sz w:val="22"/>
    </w:rPr>
  </w:style>
  <w:style w:type="character" w:customStyle="1" w:styleId="FootnoteRef">
    <w:name w:val="Footnote Ref"/>
    <w:basedOn w:val="BodyTextChar"/>
    <w:rsid w:val="00B832C2"/>
    <w:rPr>
      <w:vertAlign w:val="superscript"/>
    </w:rPr>
  </w:style>
  <w:style w:type="character" w:customStyle="1" w:styleId="Link">
    <w:name w:val="Link"/>
    <w:basedOn w:val="BodyTextChar"/>
    <w:rsid w:val="00B832C2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3" Target="GuideAugust2006.xls" TargetMode="External" /><Relationship Type="http://schemas.openxmlformats.org/officeDocument/2006/relationships/hyperlink" Id="rId21" Target="http://www.charltonslaw.com/hkex-publishes-guide-on-pre-vetting-requirements-for-announcements/" TargetMode="External" /><Relationship Type="http://schemas.openxmlformats.org/officeDocument/2006/relationships/hyperlink" Id="rId24" Target="mailto:unsubscribe@charltonslaw.com?subject=unsubscribe%20-Hong%20Kong%20Law-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GuideAugust2006.xls" TargetMode="External" /><Relationship Type="http://schemas.openxmlformats.org/officeDocument/2006/relationships/hyperlink" Id="rId21" Target="http://www.charltonslaw.com/hkex-publishes-guide-on-pre-vetting-requirements-for-announcements/" TargetMode="External" /><Relationship Type="http://schemas.openxmlformats.org/officeDocument/2006/relationships/hyperlink" Id="rId24" Target="mailto:unsubscribe@charltonslaw.com?subject=unsubscribe%20-Hong%20Kong%20Law-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204</Words>
  <Characters>1164</Characters>
  <Application>Microsoft Office Word</Application>
  <DocSecurity>0</DocSecurity>
  <Lines>9</Lines>
  <Paragraphs>2</Paragraphs>
  <ScaleCrop>false</ScaleCrop>
  <Company>Forscientia Limited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Charltons - Hong Kong Law Newsletter - 21 August 2006</dc:title>
  <dc:creator/>
</cp:coreProperties>
</file>