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C8D" w:rsidRDefault="00421E4F">
      <w:pPr>
        <w:pStyle w:val="BlackStrips"/>
      </w:pPr>
      <w:r>
        <w:t>Charltons - Hong Kong Law - 16 June 2026</w:t>
      </w:r>
    </w:p>
    <w:p w:rsidR="00311C8D" w:rsidRDefault="00421E4F">
      <w:pPr>
        <w:pStyle w:val="ReadOnline"/>
      </w:pPr>
      <w:hyperlink r:id="rId7">
        <w:r>
          <w:t>online version</w:t>
        </w:r>
      </w:hyperlink>
    </w:p>
    <w:p w:rsidR="00311C8D" w:rsidRDefault="00421E4F">
      <w:pPr>
        <w:pStyle w:val="Title"/>
      </w:pPr>
      <w:r>
        <w:t>China’s 2026 Outbound Investment</w:t>
      </w:r>
      <w:r>
        <w:t xml:space="preserve"> Regulations: State Council Order No. 837 and the Evolving Geopolitics of Chinese Capital</w:t>
      </w:r>
      <w:bookmarkStart w:id="0" w:name="_GoBack"/>
      <w:bookmarkEnd w:id="0"/>
    </w:p>
    <w:p w:rsidR="00311C8D" w:rsidRDefault="00421E4F">
      <w:pPr>
        <w:pStyle w:val="FirstParagraph"/>
      </w:pPr>
      <w:r>
        <w:t>On 1 June 2026, the State Council of the People’s Republic of China (the “</w:t>
      </w:r>
      <w:r>
        <w:rPr>
          <w:b/>
        </w:rPr>
        <w:t>PRC</w:t>
      </w:r>
      <w:r>
        <w:t xml:space="preserve">”) published the </w:t>
      </w:r>
      <w:hyperlink r:id="rId8">
        <w:r w:rsidRPr="00B16FC7">
          <w:rPr>
            <w:color w:val="FF0000"/>
            <w:u w:val="single"/>
          </w:rPr>
          <w:t>Regulations on Outbound Investment (State Council Order No. 837)</w:t>
        </w:r>
      </w:hyperlink>
      <w:r w:rsidRPr="00B16FC7">
        <w:rPr>
          <w:color w:val="FF0000"/>
          <w:u w:val="single"/>
        </w:rPr>
        <w:t xml:space="preserve"> </w:t>
      </w:r>
      <w:r>
        <w:t>（《国务院关于对外投资的规定》（国令第</w:t>
      </w:r>
      <w:r>
        <w:t>837</w:t>
      </w:r>
      <w:r>
        <w:t>号）</w:t>
      </w:r>
      <w:r>
        <w:t>) (the “</w:t>
      </w:r>
      <w:r>
        <w:rPr>
          <w:b/>
        </w:rPr>
        <w:t>2026 Regulations</w:t>
      </w:r>
      <w:r>
        <w:t>”)</w:t>
      </w:r>
      <w:hyperlink w:anchor="footnote-643-1">
        <w:r>
          <w:rPr>
            <w:vertAlign w:val="superscript"/>
          </w:rPr>
          <w:t>1</w:t>
        </w:r>
      </w:hyperlink>
      <w:r>
        <w:t xml:space="preserve"> effective from </w:t>
      </w:r>
      <w:r>
        <w:rPr>
          <w:b/>
        </w:rPr>
        <w:t>1 July 2026</w:t>
      </w:r>
      <w:r>
        <w:t>. The 2026 Regulations are the first PRC State Council-level admini</w:t>
      </w:r>
      <w:r>
        <w:t>strative regulations to comprehensively govern outbound investment, sitting above and operating alongside the existing departmental rules of MOFCOM, the NDRC and SAFE that have framed Chinese outbound direct investment (“</w:t>
      </w:r>
      <w:r>
        <w:rPr>
          <w:b/>
        </w:rPr>
        <w:t>ODI</w:t>
      </w:r>
      <w:r>
        <w:t>”) for more than a decade.</w:t>
      </w:r>
    </w:p>
    <w:p w:rsidR="00311C8D" w:rsidRDefault="00421E4F">
      <w:pPr>
        <w:pStyle w:val="BodyText"/>
      </w:pPr>
      <w:r>
        <w:t>The 2</w:t>
      </w:r>
      <w:r>
        <w:t>026 Regulations are more than an administrative consolidation. Enacted under the PRC Foreign Relations Law (</w:t>
      </w:r>
      <w:r>
        <w:t>《中华人民共和国对外关系法》</w:t>
      </w:r>
      <w:r>
        <w:t>) and the PRC Foreign Trade Law (</w:t>
      </w:r>
      <w:r>
        <w:t>《中华人民共和国对外贸易法》</w:t>
      </w:r>
      <w:r>
        <w:t xml:space="preserve">), they reflect a marked shift towards a more security-driven and coordinated approach </w:t>
      </w:r>
      <w:r>
        <w:t>to outbound capital under which (i) export controls are embedded directly into outbound investment activity; (ii) a strengthened national security review applies across the full life of an investment, including exits; and (iii) the PRC State Council is giv</w:t>
      </w:r>
      <w:r>
        <w:t>en an express statutory platform to investigate foreign investment barriers and to adopt countermeasures against foreign states, organisations and individuals that discriminate against Chinese investors. The framework is supported by robust enforcement too</w:t>
      </w:r>
      <w:r>
        <w:t>ls, including orders to unwind investments, monetary penalties and multi-year bans on outbound investment activity.</w:t>
      </w:r>
    </w:p>
    <w:p w:rsidR="00311C8D" w:rsidRDefault="00421E4F">
      <w:pPr>
        <w:pStyle w:val="BodyText"/>
      </w:pPr>
      <w:r>
        <w:t>This Newsletter reviews the PRC outbound investment legal landscape, analyses the key provisions of the 2026 Regulations from the twin persp</w:t>
      </w:r>
      <w:r>
        <w:t>ectives of (i) the supervisory powers of the PRC authorities and (ii) the obligations of investors making outbound investments from within the territory of China</w:t>
      </w:r>
      <w:hyperlink w:anchor="footnote-643-2">
        <w:r>
          <w:rPr>
            <w:vertAlign w:val="superscript"/>
          </w:rPr>
          <w:t>2</w:t>
        </w:r>
      </w:hyperlink>
      <w:r>
        <w:t>. It is important to note that both domestic Chinese enti</w:t>
      </w:r>
      <w:r>
        <w:t>ties and foreign invested entities established in China are treated as “Chinese investors” under the 2026 Regulations. This Newsletter also assesses the geopolitical and practical implications for international businesses, joint venture partners and financ</w:t>
      </w:r>
      <w:r>
        <w:t xml:space="preserve">iers transacting with Chinese </w:t>
      </w:r>
      <w:r>
        <w:t>c</w:t>
      </w:r>
      <w:r>
        <w:t>ounterparties.</w:t>
      </w:r>
    </w:p>
    <w:p w:rsidR="00311C8D" w:rsidRPr="00B16FC7" w:rsidRDefault="00421E4F">
      <w:pPr>
        <w:pStyle w:val="Heading3"/>
        <w:rPr>
          <w:color w:val="auto"/>
          <w:shd w:val="pct15" w:color="auto" w:fill="FFFFFF"/>
        </w:rPr>
      </w:pPr>
      <w:bookmarkStart w:id="1" w:name="chinas-2026-regulations-key-features"/>
      <w:r w:rsidRPr="00B16FC7">
        <w:rPr>
          <w:color w:val="auto"/>
          <w:shd w:val="pct15" w:color="auto" w:fill="FFFFFF"/>
        </w:rPr>
        <w:t>China’s 2026 Regulations Key Features</w:t>
      </w:r>
      <w:bookmarkEnd w:id="1"/>
    </w:p>
    <w:p w:rsidR="00311C8D" w:rsidRDefault="00421E4F">
      <w:pPr>
        <w:pStyle w:val="Compact"/>
        <w:numPr>
          <w:ilvl w:val="0"/>
          <w:numId w:val="3"/>
        </w:numPr>
      </w:pPr>
      <w:r>
        <w:rPr>
          <w:b/>
        </w:rPr>
        <w:t>A unified, security-anchored framework</w:t>
      </w:r>
      <w:r>
        <w:t>. The 2026 Regulations establish full life-cycle supervision of outbound investment by Chinese investors, including Chinese enterprise</w:t>
      </w:r>
      <w:r>
        <w:t>s, other organisations and, for the first time at this level, resident individuals, expressly anchored in the PRC’s holistic approach to national security and the coordination of development and national security (Article 3</w:t>
      </w:r>
      <w:hyperlink w:anchor="footnote-643-3">
        <w:r>
          <w:rPr>
            <w:vertAlign w:val="superscript"/>
          </w:rPr>
          <w:t>3</w:t>
        </w:r>
      </w:hyperlink>
      <w:r>
        <w:t>).</w:t>
      </w:r>
    </w:p>
    <w:p w:rsidR="00311C8D" w:rsidRDefault="00421E4F">
      <w:pPr>
        <w:pStyle w:val="Compact"/>
        <w:numPr>
          <w:ilvl w:val="0"/>
          <w:numId w:val="3"/>
        </w:numPr>
      </w:pPr>
      <w:r>
        <w:rPr>
          <w:b/>
        </w:rPr>
        <w:t>Export controls embedded in outbound investment</w:t>
      </w:r>
      <w:r>
        <w:t>. Chinese investors must not export or use goods, technologies, services or related data subject to PRC export prohibitions in connection with outbound investment, and require authorisation for restric</w:t>
      </w:r>
      <w:r>
        <w:t>ted items, the application of which extends to cross-border secondment of technical personnel, technical guidance and training (Article 13).</w:t>
      </w:r>
    </w:p>
    <w:p w:rsidR="00311C8D" w:rsidRDefault="00421E4F">
      <w:pPr>
        <w:pStyle w:val="Compact"/>
        <w:numPr>
          <w:ilvl w:val="0"/>
          <w:numId w:val="3"/>
        </w:numPr>
      </w:pPr>
      <w:r>
        <w:rPr>
          <w:b/>
        </w:rPr>
        <w:t>National security review across the investment life-cycle</w:t>
      </w:r>
      <w:r>
        <w:t>. A strengthened outbound investment security review appli</w:t>
      </w:r>
      <w:r>
        <w:t>es to investments as well as to subsequent transfers and disposals of related assets, rights and equity which affect or may affect national security, with mandatory duties of cooperation (Article 15).</w:t>
      </w:r>
    </w:p>
    <w:p w:rsidR="00311C8D" w:rsidRDefault="00421E4F">
      <w:pPr>
        <w:pStyle w:val="Compact"/>
        <w:numPr>
          <w:ilvl w:val="0"/>
          <w:numId w:val="3"/>
        </w:numPr>
      </w:pPr>
      <w:r>
        <w:rPr>
          <w:b/>
        </w:rPr>
        <w:t>Investigation and countermeasure powers</w:t>
      </w:r>
      <w:r>
        <w:t>. MOFCOM may inv</w:t>
      </w:r>
      <w:r>
        <w:t>estigate foreign investment barriers, and the PRC State Council may adopt countermeasures, including counter-sanction listings, trade and investment restrictions and entry bans, against foreign states, organisations and individuals whose measures harm Chin</w:t>
      </w:r>
      <w:r>
        <w:t>ese investors (Articles 23–25).</w:t>
      </w:r>
    </w:p>
    <w:p w:rsidR="00311C8D" w:rsidRDefault="00421E4F">
      <w:pPr>
        <w:pStyle w:val="Compact"/>
        <w:numPr>
          <w:ilvl w:val="0"/>
          <w:numId w:val="3"/>
        </w:numPr>
      </w:pPr>
      <w:r>
        <w:rPr>
          <w:b/>
        </w:rPr>
        <w:lastRenderedPageBreak/>
        <w:t>Enforcement with real teeth</w:t>
      </w:r>
      <w:r>
        <w:t xml:space="preserve">. Sanctions include orders to cease and unwind investments, confiscation of unlawful gains, fines of up to 10‰ of the investment amount, personal fines on responsible officers and bans on outbound </w:t>
      </w:r>
      <w:r>
        <w:t>investment activity of one to three years (Articles 27–29).</w:t>
      </w:r>
    </w:p>
    <w:p w:rsidR="00311C8D" w:rsidRDefault="00421E4F">
      <w:pPr>
        <w:pStyle w:val="Compact"/>
        <w:numPr>
          <w:ilvl w:val="0"/>
          <w:numId w:val="3"/>
        </w:numPr>
      </w:pPr>
      <w:r>
        <w:rPr>
          <w:b/>
        </w:rPr>
        <w:t>A coordinated legal architecture</w:t>
      </w:r>
      <w:r>
        <w:t>. The 2026 Regulations should be read alongside State Council Order No. 835 on Provisions of Anti-undue Extraterritorial Jurisdiction (April 2026). Together they si</w:t>
      </w:r>
      <w:r>
        <w:t>gnal that compliance with foreign regulatory requirements may itself become a source of legal risk in China, sharpening conflict-of-laws exposure for multinational groups.</w:t>
      </w:r>
    </w:p>
    <w:p w:rsidR="00311C8D" w:rsidRDefault="00421E4F">
      <w:pPr>
        <w:pStyle w:val="Heading2"/>
      </w:pPr>
      <w:bookmarkStart w:id="2" w:name="X2f36d6f6ef7a1068f7da0f28cfc7afa10ab1c83"/>
      <w:r>
        <w:t>PRC Outbound Investment Regulatory Framework: the NDRC, MOFCOM and SAFE Rules</w:t>
      </w:r>
      <w:bookmarkEnd w:id="2"/>
    </w:p>
    <w:p w:rsidR="00311C8D" w:rsidRDefault="00421E4F">
      <w:pPr>
        <w:pStyle w:val="FirstParagraph"/>
      </w:pPr>
      <w:r>
        <w:t>For mo</w:t>
      </w:r>
      <w:r>
        <w:t>re than a decade, outbound investment from Mainland China has been administered principally by three PRC authorities: the Ministry of Commerce (“</w:t>
      </w:r>
      <w:r>
        <w:rPr>
          <w:b/>
        </w:rPr>
        <w:t>MOFCOM</w:t>
      </w:r>
      <w:r>
        <w:t>”), the National Development and Reform Commission (“</w:t>
      </w:r>
      <w:r>
        <w:rPr>
          <w:b/>
        </w:rPr>
        <w:t>NDRC</w:t>
      </w:r>
      <w:r>
        <w:t>”) and the State Administration of Foreign Excha</w:t>
      </w:r>
      <w:r>
        <w:t>nge (“</w:t>
      </w:r>
      <w:r>
        <w:rPr>
          <w:b/>
        </w:rPr>
        <w:t>SAFE</w:t>
      </w:r>
      <w:r>
        <w:t>”). The principal rules have been departmental measures/provisions:</w:t>
      </w:r>
    </w:p>
    <w:p w:rsidR="00311C8D" w:rsidRDefault="00421E4F">
      <w:pPr>
        <w:pStyle w:val="Compact"/>
        <w:numPr>
          <w:ilvl w:val="0"/>
          <w:numId w:val="4"/>
        </w:numPr>
      </w:pPr>
      <w:r>
        <w:t xml:space="preserve">the </w:t>
      </w:r>
      <w:r>
        <w:rPr>
          <w:i/>
        </w:rPr>
        <w:t>Administrative Measures on Overseas Investments</w:t>
      </w:r>
      <w:r>
        <w:t xml:space="preserve"> (</w:t>
      </w:r>
      <w:r>
        <w:t>《境外投资管理办法》</w:t>
      </w:r>
      <w:r>
        <w:t>), issued by MOFCOM and effective from 6 October 2014 (the “</w:t>
      </w:r>
      <w:r>
        <w:rPr>
          <w:b/>
        </w:rPr>
        <w:t>MOFCOM Measures</w:t>
      </w:r>
      <w:r>
        <w:t>”);</w:t>
      </w:r>
    </w:p>
    <w:p w:rsidR="00311C8D" w:rsidRDefault="00421E4F">
      <w:pPr>
        <w:pStyle w:val="Compact"/>
        <w:numPr>
          <w:ilvl w:val="0"/>
          <w:numId w:val="4"/>
        </w:numPr>
      </w:pPr>
      <w:r>
        <w:t xml:space="preserve">the </w:t>
      </w:r>
      <w:r>
        <w:rPr>
          <w:i/>
        </w:rPr>
        <w:t xml:space="preserve">Administrative Measures for the </w:t>
      </w:r>
      <w:r>
        <w:rPr>
          <w:i/>
        </w:rPr>
        <w:t>Outbound Investment of Enterprises</w:t>
      </w:r>
      <w:r>
        <w:t xml:space="preserve"> (</w:t>
      </w:r>
      <w:r>
        <w:t>《企业境外投资管理办法》</w:t>
      </w:r>
      <w:r>
        <w:t>), issued by the NDRC and effective from 1 March 2018 (the “</w:t>
      </w:r>
      <w:r>
        <w:rPr>
          <w:b/>
        </w:rPr>
        <w:t>NDRC Measures</w:t>
      </w:r>
      <w:r>
        <w:t>”), supplemented by Q&amp;As published on the NDRC’s website from time to time; and</w:t>
      </w:r>
    </w:p>
    <w:p w:rsidR="00311C8D" w:rsidRDefault="00421E4F">
      <w:pPr>
        <w:pStyle w:val="Compact"/>
        <w:numPr>
          <w:ilvl w:val="0"/>
          <w:numId w:val="4"/>
        </w:numPr>
      </w:pPr>
      <w:r>
        <w:t xml:space="preserve">the </w:t>
      </w:r>
      <w:r>
        <w:rPr>
          <w:i/>
        </w:rPr>
        <w:t>Provisions on Foreign Exchange Administration of th</w:t>
      </w:r>
      <w:r>
        <w:rPr>
          <w:i/>
        </w:rPr>
        <w:t>e Overseas Direct Investment of Domestic Institutions</w:t>
      </w:r>
      <w:r>
        <w:t xml:space="preserve"> (</w:t>
      </w:r>
      <w:r>
        <w:t>《境内机构境外直接投资外汇管理规定》</w:t>
      </w:r>
      <w:r>
        <w:t>), issued by SAFE and effective from 1 August 2009, together with subsequent SAFE rules and circulars.</w:t>
      </w:r>
    </w:p>
    <w:p w:rsidR="00311C8D" w:rsidRDefault="00421E4F">
      <w:pPr>
        <w:pStyle w:val="FirstParagraph"/>
      </w:pPr>
      <w:r>
        <w:t>As administrative regulations promulgated by the PRC State Council, the 2026 Reg</w:t>
      </w:r>
      <w:r>
        <w:t>ulations rank above these departmental rules in the PRC legislative hierarchy and will prevail in the event of inconsistency once in force. Significantly, the 2026 Regulations do not repeal the MOFCOM Measures, the NDRC Measures or the SAFE rules: the exis</w:t>
      </w:r>
      <w:r>
        <w:t>ting approval, filing and foreign exchange registration machinery continues to apply, now under an overarching State Council framework. It is possible MOFCOM, the NDRC and SAFE may revise or supplement their departmental rules in due course to align with t</w:t>
      </w:r>
      <w:r>
        <w:t>he 2026 Regulations.</w:t>
      </w:r>
    </w:p>
    <w:p w:rsidR="00421E4F" w:rsidRDefault="00421E4F">
      <w:pPr>
        <w:pStyle w:val="FirstParagrap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31.5pt;height:220.85pt">
            <v:imagedata r:id="rId9" o:title="1"/>
          </v:shape>
        </w:pict>
      </w:r>
    </w:p>
    <w:p w:rsidR="00311C8D" w:rsidRDefault="00421E4F">
      <w:pPr>
        <w:pStyle w:val="BodyText"/>
      </w:pPr>
      <w:r>
        <w:rPr>
          <w:i/>
        </w:rPr>
        <w:t>Figure 1: Evolution of the PRC outbound investment regulatory framework, 2009–2026</w:t>
      </w:r>
    </w:p>
    <w:p w:rsidR="00311C8D" w:rsidRPr="00421E4F" w:rsidRDefault="00421E4F">
      <w:pPr>
        <w:pStyle w:val="Heading3"/>
        <w:rPr>
          <w:color w:val="auto"/>
        </w:rPr>
      </w:pPr>
      <w:bookmarkStart w:id="3" w:name="Xaaf315e1a2049e67bc0d9c38dcd0b965b490e61"/>
      <w:r w:rsidRPr="00421E4F">
        <w:rPr>
          <w:color w:val="auto"/>
        </w:rPr>
        <w:lastRenderedPageBreak/>
        <w:t>Application to Hong Kong, Macau and Taiwan Investment</w:t>
      </w:r>
      <w:bookmarkEnd w:id="3"/>
    </w:p>
    <w:p w:rsidR="00311C8D" w:rsidRDefault="00421E4F">
      <w:pPr>
        <w:pStyle w:val="FirstParagraph"/>
      </w:pPr>
      <w:r>
        <w:t>Of particular relevance to Hong Kong: Article 32 provides that the administration of investment b</w:t>
      </w:r>
      <w:r>
        <w:t xml:space="preserve">y Chinese investors into the Hong Kong Special Administrative Region, the Macau Special Administrative Region and Taiwan is to be conducted </w:t>
      </w:r>
      <w:r>
        <w:rPr>
          <w:i/>
        </w:rPr>
        <w:t>by reference</w:t>
      </w:r>
      <w:r>
        <w:t xml:space="preserve"> </w:t>
      </w:r>
      <w:r>
        <w:t xml:space="preserve">to the 2026 Regulations as outbound investment. This regulatory position is consistent with the MOFCOM Measures and the NDRC Measures. Hong Kong remains the leading conduit for Mainland ODI, and structures routed through Hong Kong holding companies should </w:t>
      </w:r>
      <w:r>
        <w:t>be reviewed in the context including the security review and export control provisions discussed below rather than assumed to fall outside it.</w:t>
      </w:r>
    </w:p>
    <w:p w:rsidR="00311C8D" w:rsidRDefault="00421E4F">
      <w:pPr>
        <w:pStyle w:val="Heading2"/>
      </w:pPr>
      <w:bookmarkStart w:id="4" w:name="Xfdaeeb5c18377dd3b0aa54e5a54a7773111d6de"/>
      <w:r>
        <w:t>Scope of the 2026 Regulations: Definitions of Investment and Investor</w:t>
      </w:r>
      <w:bookmarkEnd w:id="4"/>
    </w:p>
    <w:p w:rsidR="00311C8D" w:rsidRDefault="00421E4F">
      <w:pPr>
        <w:pStyle w:val="FirstParagraph"/>
      </w:pPr>
      <w:r>
        <w:t>Article 2 applies the 2026 Regulations to o</w:t>
      </w:r>
      <w:r>
        <w:t>utbound investment by investors within the territory of China. “Outbound investment” under the 2026 Regulations is defined broadly as activities by which investors, directly or indirectly, acquire ownership, control, operational and management rights or ot</w:t>
      </w:r>
      <w:r>
        <w:t>her related rights and interests in enterprises, assets or otherwise in other countries or regions, whether by contributing assets or equity or by providing financing or guarantees. The express capture of indirect acquisitions and of financing and guarante</w:t>
      </w:r>
      <w:r>
        <w:t>e structures is consistent with the NDRC Measures and confirms that offshore-intermediated structures fall within the regime.</w:t>
      </w:r>
    </w:p>
    <w:p w:rsidR="00311C8D" w:rsidRPr="00421E4F" w:rsidRDefault="00421E4F">
      <w:pPr>
        <w:pStyle w:val="Heading3"/>
        <w:rPr>
          <w:color w:val="auto"/>
        </w:rPr>
      </w:pPr>
      <w:bookmarkStart w:id="5" w:name="Xe7c83d94aa0c666d9b55e3641fcfc779472156e"/>
      <w:r w:rsidRPr="00421E4F">
        <w:rPr>
          <w:color w:val="auto"/>
        </w:rPr>
        <w:t>Outbound Investment by PRC Resident Individuals</w:t>
      </w:r>
      <w:bookmarkEnd w:id="5"/>
    </w:p>
    <w:p w:rsidR="00311C8D" w:rsidRDefault="00421E4F">
      <w:pPr>
        <w:pStyle w:val="FirstParagraph"/>
      </w:pPr>
      <w:r>
        <w:t>In practice, Chinese individuals have generally been unable to make direct outbound investments,</w:t>
      </w:r>
      <w:hyperlink w:anchor="footnote-643-4">
        <w:r>
          <w:rPr>
            <w:vertAlign w:val="superscript"/>
          </w:rPr>
          <w:t>4</w:t>
        </w:r>
      </w:hyperlink>
      <w:r>
        <w:t xml:space="preserve"> because the MOFCOM Measures and the NDRC Measures define “outbound investment” by reference to investment by an enterpris</w:t>
      </w:r>
      <w:r>
        <w:t>e located within China.</w:t>
      </w:r>
      <w:hyperlink w:anchor="footnote-643-5">
        <w:r>
          <w:rPr>
            <w:vertAlign w:val="superscript"/>
          </w:rPr>
          <w:t>5</w:t>
        </w:r>
      </w:hyperlink>
      <w:r>
        <w:t xml:space="preserve"> Article 2 of the 2026 Regulations breaks new ground: “investors” expressly include enterprises, other organisations </w:t>
      </w:r>
      <w:r>
        <w:rPr>
          <w:b/>
        </w:rPr>
        <w:t>and resident individuals</w:t>
      </w:r>
      <w:r>
        <w:t xml:space="preserve"> within China (which include foreign invested entities</w:t>
      </w:r>
      <w:r>
        <w:t xml:space="preserve"> established in China). Article 33 provides that specific administrative measures for outbound investment by resident individuals will be formulated by the investment and commerce departments of the State Council. Detailed implementing rules opening (and r</w:t>
      </w:r>
      <w:r>
        <w:t>egulating) direct outbound investment channels for PRC individuals are therefore likely to follow – a development of obvious significance for private wealth, family office and fund structuring through Hong Kong.</w:t>
      </w:r>
    </w:p>
    <w:p w:rsidR="00311C8D" w:rsidRPr="00421E4F" w:rsidRDefault="00421E4F">
      <w:pPr>
        <w:pStyle w:val="Heading3"/>
        <w:rPr>
          <w:color w:val="auto"/>
        </w:rPr>
      </w:pPr>
      <w:bookmarkStart w:id="6" w:name="X830613f200cb5e23662eba77b0b6d845efa949f"/>
      <w:r w:rsidRPr="00421E4F">
        <w:rPr>
          <w:color w:val="auto"/>
        </w:rPr>
        <w:t>Investment in Overseas Financial Markets and</w:t>
      </w:r>
      <w:r w:rsidRPr="00421E4F">
        <w:rPr>
          <w:color w:val="auto"/>
        </w:rPr>
        <w:t xml:space="preserve"> Re-investment of Proceeds</w:t>
      </w:r>
      <w:bookmarkEnd w:id="6"/>
    </w:p>
    <w:p w:rsidR="00311C8D" w:rsidRDefault="00421E4F">
      <w:pPr>
        <w:pStyle w:val="FirstParagraph"/>
      </w:pPr>
      <w:r>
        <w:t>Article 33 also expressly extends the framework to investment by Chinese investors in financial markets outside China (whether using their own funds, funds raised from third parties or entrusted funds) and to the re-investment ou</w:t>
      </w:r>
      <w:r>
        <w:t xml:space="preserve">tside China of assets, rights and interests derived from outbound investments. Portfolio investment and the redeployment of offshore proceeds are thereby brought within the same overarching regulatory perimeter as real-economy ODI, closing a perceived gap </w:t>
      </w:r>
      <w:r>
        <w:t>in the existing departmental rules.</w:t>
      </w:r>
    </w:p>
    <w:p w:rsidR="00311C8D" w:rsidRDefault="00421E4F">
      <w:pPr>
        <w:pStyle w:val="Heading2"/>
      </w:pPr>
      <w:bookmarkStart w:id="7" w:name="Xc60d0b54ec10c26a7dd2cb2591adef8fef5b055"/>
      <w:r>
        <w:t>Encouraged, Restricted and Prohibited Outbound Investments under PRC Law</w:t>
      </w:r>
      <w:bookmarkEnd w:id="7"/>
    </w:p>
    <w:p w:rsidR="00311C8D" w:rsidRDefault="00421E4F">
      <w:pPr>
        <w:pStyle w:val="FirstParagraph"/>
      </w:pPr>
      <w:r>
        <w:t>Article 11 provides that the investment and commerce departments of the State Council, together with other relevant departments, will formulate, ad</w:t>
      </w:r>
      <w:r>
        <w:t>just and implement outbound investment policies, during which they will specify encouraged, restricted and prohibited categories of outbound investment by reference to national economic and social development needs and the investment environment and risk p</w:t>
      </w:r>
      <w:r>
        <w:t>rofile of host countries and regions.</w:t>
      </w:r>
    </w:p>
    <w:p w:rsidR="00311C8D" w:rsidRDefault="00421E4F">
      <w:pPr>
        <w:pStyle w:val="BodyText"/>
      </w:pPr>
      <w:r>
        <w:t xml:space="preserve">The existing three-tier classification is retained. It originates in the </w:t>
      </w:r>
      <w:hyperlink r:id="rId10">
        <w:r w:rsidRPr="00421E4F">
          <w:rPr>
            <w:color w:val="FF0000"/>
            <w:u w:val="single"/>
          </w:rPr>
          <w:t xml:space="preserve">Guiding Opinions on Further Guiding and Regulating Outbound </w:t>
        </w:r>
        <w:r w:rsidRPr="00421E4F">
          <w:rPr>
            <w:color w:val="FF0000"/>
            <w:u w:val="single"/>
          </w:rPr>
          <w:t>Investment Orientation</w:t>
        </w:r>
      </w:hyperlink>
      <w:r>
        <w:t xml:space="preserve"> jointly issued in August 2017 by the NDRC, MOFCOM, the People’s Bank of China and the Ministry of Foreign Affairs, which remain effective. In outline:</w:t>
      </w:r>
    </w:p>
    <w:p w:rsidR="00311C8D" w:rsidRDefault="00421E4F">
      <w:pPr>
        <w:pStyle w:val="Compact"/>
        <w:numPr>
          <w:ilvl w:val="0"/>
          <w:numId w:val="5"/>
        </w:numPr>
      </w:pPr>
      <w:r>
        <w:rPr>
          <w:b/>
        </w:rPr>
        <w:t>Encouraged</w:t>
      </w:r>
      <w:r>
        <w:t xml:space="preserve"> investments include Belt and Road infrastructure and connectivity proje</w:t>
      </w:r>
      <w:r>
        <w:t xml:space="preserve">cts; investments exporting quality production capacity, equipment and technical standards; </w:t>
      </w:r>
      <w:r>
        <w:lastRenderedPageBreak/>
        <w:t>cooperation with high-technology and advanced manufacturing enterprises and offshore R&amp;D centres; prudent participation in oil, gas and mineral resources exploration</w:t>
      </w:r>
      <w:r>
        <w:t xml:space="preserve"> and development; agricultural cooperation; and services sectors such as commerce, culture and logistics, including the establishment of offshore branches by qualified financial institutions.</w:t>
      </w:r>
    </w:p>
    <w:p w:rsidR="00311C8D" w:rsidRDefault="00421E4F">
      <w:pPr>
        <w:pStyle w:val="Compact"/>
        <w:numPr>
          <w:ilvl w:val="0"/>
          <w:numId w:val="5"/>
        </w:numPr>
      </w:pPr>
      <w:r>
        <w:rPr>
          <w:b/>
        </w:rPr>
        <w:t>Restricted</w:t>
      </w:r>
      <w:r>
        <w:t xml:space="preserve"> investments include those in sensitive countries and </w:t>
      </w:r>
      <w:r>
        <w:t>regions (no diplomatic relations, in conflict, or restricted under treaties to which China is party); real estate, hotels, cinemas, entertainment and sports clubs; offshore equity investment funds or platforms without specific underlying industrial project</w:t>
      </w:r>
      <w:r>
        <w:t>s; investments using outdated equipment failing host-country technical standards; and investments failing host-country environmental, energy consumption or safety standards.</w:t>
      </w:r>
      <w:hyperlink w:anchor="footnote-643-6">
        <w:r>
          <w:rPr>
            <w:vertAlign w:val="superscript"/>
          </w:rPr>
          <w:t>6</w:t>
        </w:r>
      </w:hyperlink>
    </w:p>
    <w:p w:rsidR="00311C8D" w:rsidRDefault="00421E4F">
      <w:pPr>
        <w:pStyle w:val="Compact"/>
        <w:numPr>
          <w:ilvl w:val="0"/>
          <w:numId w:val="5"/>
        </w:numPr>
      </w:pPr>
      <w:r>
        <w:rPr>
          <w:b/>
        </w:rPr>
        <w:t>Prohibited</w:t>
      </w:r>
      <w:r>
        <w:t xml:space="preserve"> investments include those involvi</w:t>
      </w:r>
      <w:r>
        <w:t>ng the unauthorised export of core military technologies and products; the use of technologies, processes or products whose export from China is prohibited; gambling and pornography; investments prohibited under international treaties to which China is par</w:t>
      </w:r>
      <w:r>
        <w:t>ty; and investments that endanger or may endanger China’s national interests or national security.</w:t>
      </w:r>
    </w:p>
    <w:p w:rsidR="00311C8D" w:rsidRDefault="00421E4F">
      <w:pPr>
        <w:pStyle w:val="FirstParagraph"/>
      </w:pPr>
      <w:r>
        <w:t>Where a Chinese investor makes a prohibited investment, the PRC authorities may order cessation of the investment, disposal of shares and assets within a pre</w:t>
      </w:r>
      <w:r>
        <w:t>scribed period and confiscation of unlawful gains. Refusal to comply may lead to fines of 5‰ to 10‰ of the investment amount, with personal fines of RMB 50,000 to RMB 100,000 on persons directly in charge and other directly responsible persons (Article 27,</w:t>
      </w:r>
      <w:r>
        <w:t xml:space="preserve"> paragraph 1).</w:t>
      </w:r>
    </w:p>
    <w:p w:rsidR="00311C8D" w:rsidRDefault="00421E4F">
      <w:pPr>
        <w:pStyle w:val="Heading2"/>
      </w:pPr>
      <w:bookmarkStart w:id="8" w:name="X3a9bdf74469677cc53ac652ff09dc1433dab7c3"/>
      <w:r>
        <w:t>National Security Review of China Outbound Investment (Article 15)</w:t>
      </w:r>
      <w:bookmarkEnd w:id="8"/>
    </w:p>
    <w:p w:rsidR="00311C8D" w:rsidRDefault="00421E4F">
      <w:pPr>
        <w:pStyle w:val="FirstParagraph"/>
      </w:pPr>
      <w:r>
        <w:t>Article 15 directs the Chinese government to improve the outbound investment security review system: the investment and commerce departments of the PRC State Council, with ot</w:t>
      </w:r>
      <w:r>
        <w:t xml:space="preserve">her relevant departments, will conduct security reviews of outbound investments, </w:t>
      </w:r>
      <w:r>
        <w:rPr>
          <w:b/>
        </w:rPr>
        <w:t>as well as transfers and disposals of related assets, rights and equity</w:t>
      </w:r>
      <w:r>
        <w:t>, that affect or may affect China’s national security. Organisations and individuals must assist and coo</w:t>
      </w:r>
      <w:r>
        <w:t>perate, may not refuse or obstruct review, and must comply with review decisions.</w:t>
      </w:r>
    </w:p>
    <w:p w:rsidR="00311C8D" w:rsidRDefault="00421E4F">
      <w:pPr>
        <w:pStyle w:val="BodyText"/>
      </w:pPr>
      <w:r>
        <w:t>National security analysis is already built into the NDRC Measures: an application for approval of a sensitive project must analyse the project’s impact on China’s national i</w:t>
      </w:r>
      <w:r>
        <w:t>nterests and national security, and approval from the NDRC is conditional on the absence of threat or damage to them. The 2026 Regulations go materially further in two respects. First, review is framed as a standing system applicable to any outbound invest</w:t>
      </w:r>
      <w:r>
        <w:t>ment affecting or potentially affecting national security, not merely as an element of sensitive-project approval. Secondly, review expressly extends beyond the initial investment to subsequent transfers and disposals so that the sale or restructuring of a</w:t>
      </w:r>
      <w:r>
        <w:t xml:space="preserve">n offshore subsidiary, or a transfer of control over an offshore asset originally acquired as a PRC outbound investment, may itself attract security review. Exit planning, secondary sales and intra-group reorganisations involving Chinese-invested offshore </w:t>
      </w:r>
      <w:r>
        <w:t>vehicles should be diligenced accordingly.</w:t>
      </w:r>
    </w:p>
    <w:p w:rsidR="00311C8D" w:rsidRDefault="00421E4F">
      <w:pPr>
        <w:pStyle w:val="BodyText"/>
      </w:pPr>
      <w:r>
        <w:t>Where Chinese investors refuse to cooperate with security review under the 2026 Regulations, submit false materials or conceal information, or fail to comply with review decisions, the PRC authorities may order re</w:t>
      </w:r>
      <w:r>
        <w:t>ctification, confiscate unlawful gains and impose fines. Where national security is endangered, the PRC authorities may order measures to eliminate the impact, ban the investor from outbound investment for one to three years and, where the investment has b</w:t>
      </w:r>
      <w:r>
        <w:t>een made, order its cessation and the disposal of shares and assets within a prescribed period (Article 28).</w:t>
      </w:r>
    </w:p>
    <w:p w:rsidR="00311C8D" w:rsidRPr="00421E4F" w:rsidRDefault="00421E4F">
      <w:pPr>
        <w:pStyle w:val="Heading3"/>
        <w:rPr>
          <w:color w:val="auto"/>
        </w:rPr>
      </w:pPr>
      <w:bookmarkStart w:id="9" w:name="X6d24c1843250a08c0446dabb66a5c1c36e22d25"/>
      <w:r w:rsidRPr="00421E4F">
        <w:rPr>
          <w:color w:val="auto"/>
        </w:rPr>
        <w:t>Convergence with Foreign Outbound Investment Screening Regimes</w:t>
      </w:r>
      <w:bookmarkEnd w:id="9"/>
    </w:p>
    <w:p w:rsidR="00311C8D" w:rsidRDefault="00421E4F">
      <w:pPr>
        <w:pStyle w:val="FirstParagraph"/>
      </w:pPr>
      <w:r>
        <w:t>Article 15 is broadly comparable in structure to the United States’ outbound investm</w:t>
      </w:r>
      <w:r>
        <w:t xml:space="preserve">ent security programme established by Executive Order 14105 (commonly known as “Reverse CIFUS”) and implemented by US Treasury regulations in effect since January 2025, and to the outbound screening mechanisms under consideration in the European Union and </w:t>
      </w:r>
      <w:r>
        <w:t xml:space="preserve">elsewhere. Each regime proceeds from a common policy judgment – now shared by the world’s two largest economies – that outbound capital </w:t>
      </w:r>
      <w:r>
        <w:lastRenderedPageBreak/>
        <w:t>flows can themselves present national security considerations. For cross-border transactions with participants on both s</w:t>
      </w:r>
      <w:r>
        <w:t xml:space="preserve">ides of the US–China relationship, the practical consequence is the prospect of parallel review processes, each assessing the same transaction against the national security interests of a different government, with timetable, conditionality and disclosure </w:t>
      </w:r>
      <w:r>
        <w:t>implications that deal teams should anticipate at term sheet stage.</w:t>
      </w:r>
    </w:p>
    <w:p w:rsidR="00311C8D" w:rsidRDefault="00421E4F">
      <w:pPr>
        <w:pStyle w:val="Heading2"/>
      </w:pPr>
      <w:bookmarkStart w:id="10" w:name="Xa15a9b0f9ea9ba5dc529b6dc87a6f2a73b6f4f3"/>
      <w:r>
        <w:t>Export Controls Embedded in Outbound Investment (Article 13)</w:t>
      </w:r>
      <w:bookmarkEnd w:id="10"/>
    </w:p>
    <w:p w:rsidR="00311C8D" w:rsidRDefault="00421E4F">
      <w:pPr>
        <w:pStyle w:val="FirstParagraph"/>
      </w:pPr>
      <w:r>
        <w:t>Article 13 integrates the PRC export control regime directly into outbound investment activity. In carrying out outbound invest</w:t>
      </w:r>
      <w:r>
        <w:t>ment, Chinese investors must not export or use goods, technologies, services or related data whose export is prohibited by China, and may not export or use export-restricted items without authorisation. Critically, the prohibition extends beyond physical e</w:t>
      </w:r>
      <w:r>
        <w:t>xports to the transfer of such items to other countries or regions by means of the cross-border secondment of technical personnel, organising personnel to work abroad, the cross-border provision of technical guidance or the arrangement of cross-border trai</w:t>
      </w:r>
      <w:r>
        <w:t>ning.</w:t>
      </w:r>
    </w:p>
    <w:p w:rsidR="00311C8D" w:rsidRDefault="00421E4F">
      <w:pPr>
        <w:pStyle w:val="BodyText"/>
      </w:pPr>
      <w:r>
        <w:t xml:space="preserve">The operative control lists include the </w:t>
      </w:r>
      <w:hyperlink r:id="rId11">
        <w:r w:rsidRPr="00421E4F">
          <w:rPr>
            <w:color w:val="FF0000"/>
            <w:u w:val="single"/>
          </w:rPr>
          <w:t>Catalogue of Technologies Prohibited or Restricted from Export by China</w:t>
        </w:r>
      </w:hyperlink>
      <w:hyperlink w:anchor="footnote-643-7">
        <w:r>
          <w:rPr>
            <w:vertAlign w:val="superscript"/>
          </w:rPr>
          <w:t>7</w:t>
        </w:r>
      </w:hyperlink>
      <w:r>
        <w:t xml:space="preserve"> and, for goods, the catalogues issued in batches by MOFCOM, the General Administration of Customs and the Ministry of Ecology and Environment, most recently the </w:t>
      </w:r>
      <w:hyperlink r:id="rId12">
        <w:r w:rsidRPr="00421E4F">
          <w:rPr>
            <w:color w:val="FF0000"/>
            <w:u w:val="single"/>
          </w:rPr>
          <w:t>Catalogue of Goods Prohibited for Export (Eighth Batch)</w:t>
        </w:r>
      </w:hyperlink>
      <w:r w:rsidRPr="00421E4F">
        <w:rPr>
          <w:color w:val="FF0000"/>
          <w:u w:val="single"/>
        </w:rPr>
        <w:t xml:space="preserve"> </w:t>
      </w:r>
      <w:r>
        <w:t>effective from 1 January 2024. We are not aware of a standalone catalogue of prohibited services, however, the Export Control Law of the PRC subjects services relating to dual-</w:t>
      </w:r>
      <w:r>
        <w:t>use items, military products and nuclear items to export control. In addition, Article 14 of the 2026 Regulations confirms that export control, cross-border data flow, customs, anti-monopoly, cyber-security and related regimes apply in parallel.</w:t>
      </w:r>
    </w:p>
    <w:p w:rsidR="00311C8D" w:rsidRDefault="00421E4F">
      <w:pPr>
        <w:pStyle w:val="BodyText"/>
      </w:pPr>
      <w:r>
        <w:t>For techno</w:t>
      </w:r>
      <w:r>
        <w:t>logy-intensive transactions (such as batteries and battery materials, critical minerals processing, rare earths, advanced manufacturing, artificial intelligence and biotechnology), Article 13 means that the key technical contribution of a Chinese partner m</w:t>
      </w:r>
      <w:r>
        <w:t xml:space="preserve">ay itself require export authorisation or may not be transferable at all. Joint venture technology licences, secondment arrangements, technical services agreements and training programmes should be screened against the PRC control catalogues as a discrete </w:t>
      </w:r>
      <w:r>
        <w:t>due diligence workstream, in the same way that transactions are screened against US, EU and UK export controls.</w:t>
      </w:r>
    </w:p>
    <w:p w:rsidR="00311C8D" w:rsidRDefault="00421E4F">
      <w:pPr>
        <w:pStyle w:val="Heading2"/>
      </w:pPr>
      <w:bookmarkStart w:id="11" w:name="Xf8a0d21cfc4aec46ed97a0f09cdec9a3580f417"/>
      <w:r>
        <w:t>Investment Barriers, Countermeasures and Counter-Sanction Lists (Articles 23–25)</w:t>
      </w:r>
      <w:bookmarkEnd w:id="11"/>
    </w:p>
    <w:p w:rsidR="00311C8D" w:rsidRDefault="00421E4F">
      <w:pPr>
        <w:pStyle w:val="FirstParagraph"/>
      </w:pPr>
      <w:r>
        <w:t>Articles 23 to 25 give MOFCOM and other PRC State Council depar</w:t>
      </w:r>
      <w:r>
        <w:t>tments an express statutory basis to respond to foreign measures affecting Chinese investors, responding to the proliferation of inbound investment screening, export controls and sanctions affecting Chinese capital in a number of jurisdictions. The trigger</w:t>
      </w:r>
      <w:r>
        <w:t>s, measures and targets are summarised below.</w:t>
      </w:r>
    </w:p>
    <w:tbl>
      <w:tblPr>
        <w:tblW w:w="0" w:type="auto"/>
        <w:tblInd w:w="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366"/>
        <w:gridCol w:w="4604"/>
        <w:gridCol w:w="2476"/>
      </w:tblGrid>
      <w:tr w:rsidR="00421E4F" w:rsidTr="002C26BC">
        <w:trPr>
          <w:trHeight w:val="293"/>
        </w:trPr>
        <w:tc>
          <w:tcPr>
            <w:tcW w:w="10446" w:type="dxa"/>
            <w:gridSpan w:val="3"/>
          </w:tcPr>
          <w:p w:rsidR="00421E4F" w:rsidRDefault="00421E4F" w:rsidP="002C26BC">
            <w:pPr>
              <w:pStyle w:val="TableParagraph"/>
              <w:spacing w:line="270" w:lineRule="exact"/>
              <w:ind w:left="735"/>
              <w:jc w:val="left"/>
              <w:rPr>
                <w:rFonts w:ascii="Arial Black"/>
                <w:sz w:val="20"/>
              </w:rPr>
            </w:pPr>
            <w:r>
              <w:rPr>
                <w:rFonts w:ascii="Arial Black"/>
                <w:w w:val="90"/>
                <w:sz w:val="20"/>
              </w:rPr>
              <w:t>Protective</w:t>
            </w:r>
            <w:r>
              <w:rPr>
                <w:rFonts w:ascii="Arial Black"/>
                <w:spacing w:val="-7"/>
                <w:sz w:val="20"/>
              </w:rPr>
              <w:t xml:space="preserve"> </w:t>
            </w:r>
            <w:r>
              <w:rPr>
                <w:rFonts w:ascii="Arial Black"/>
                <w:w w:val="90"/>
                <w:sz w:val="20"/>
              </w:rPr>
              <w:t>and</w:t>
            </w:r>
            <w:r>
              <w:rPr>
                <w:rFonts w:ascii="Arial Black"/>
                <w:spacing w:val="-6"/>
                <w:sz w:val="20"/>
              </w:rPr>
              <w:t xml:space="preserve"> </w:t>
            </w:r>
            <w:r>
              <w:rPr>
                <w:rFonts w:ascii="Arial Black"/>
                <w:w w:val="90"/>
                <w:sz w:val="20"/>
              </w:rPr>
              <w:t>countermeasure</w:t>
            </w:r>
            <w:r>
              <w:rPr>
                <w:rFonts w:ascii="Arial Black"/>
                <w:spacing w:val="-6"/>
                <w:sz w:val="20"/>
              </w:rPr>
              <w:t xml:space="preserve"> </w:t>
            </w:r>
            <w:r>
              <w:rPr>
                <w:rFonts w:ascii="Arial Black"/>
                <w:w w:val="90"/>
                <w:sz w:val="20"/>
              </w:rPr>
              <w:t>powers</w:t>
            </w:r>
            <w:r>
              <w:rPr>
                <w:rFonts w:ascii="Arial Black"/>
                <w:spacing w:val="-7"/>
                <w:sz w:val="20"/>
              </w:rPr>
              <w:t xml:space="preserve"> </w:t>
            </w:r>
            <w:r>
              <w:rPr>
                <w:rFonts w:ascii="Arial Black"/>
                <w:w w:val="90"/>
                <w:sz w:val="20"/>
              </w:rPr>
              <w:t>of</w:t>
            </w:r>
            <w:r>
              <w:rPr>
                <w:rFonts w:ascii="Arial Black"/>
                <w:spacing w:val="-6"/>
                <w:sz w:val="20"/>
              </w:rPr>
              <w:t xml:space="preserve"> </w:t>
            </w:r>
            <w:r>
              <w:rPr>
                <w:rFonts w:ascii="Arial Black"/>
                <w:w w:val="90"/>
                <w:sz w:val="20"/>
              </w:rPr>
              <w:t>the</w:t>
            </w:r>
            <w:r>
              <w:rPr>
                <w:rFonts w:ascii="Arial Black"/>
                <w:spacing w:val="-6"/>
                <w:sz w:val="20"/>
              </w:rPr>
              <w:t xml:space="preserve"> </w:t>
            </w:r>
            <w:r>
              <w:rPr>
                <w:rFonts w:ascii="Arial Black"/>
                <w:w w:val="90"/>
                <w:sz w:val="20"/>
              </w:rPr>
              <w:t>PRC</w:t>
            </w:r>
            <w:r>
              <w:rPr>
                <w:rFonts w:ascii="Arial Black"/>
                <w:spacing w:val="-7"/>
                <w:sz w:val="20"/>
              </w:rPr>
              <w:t xml:space="preserve"> </w:t>
            </w:r>
            <w:r>
              <w:rPr>
                <w:rFonts w:ascii="Arial Black"/>
                <w:w w:val="90"/>
                <w:sz w:val="20"/>
              </w:rPr>
              <w:t>authorities</w:t>
            </w:r>
            <w:r>
              <w:rPr>
                <w:rFonts w:ascii="Arial Black"/>
                <w:spacing w:val="-6"/>
                <w:sz w:val="20"/>
              </w:rPr>
              <w:t xml:space="preserve"> </w:t>
            </w:r>
            <w:r>
              <w:rPr>
                <w:rFonts w:ascii="Arial Black"/>
                <w:w w:val="90"/>
                <w:sz w:val="20"/>
              </w:rPr>
              <w:t>under</w:t>
            </w:r>
            <w:r>
              <w:rPr>
                <w:rFonts w:ascii="Arial Black"/>
                <w:spacing w:val="-6"/>
                <w:sz w:val="20"/>
              </w:rPr>
              <w:t xml:space="preserve"> </w:t>
            </w:r>
            <w:r>
              <w:rPr>
                <w:rFonts w:ascii="Arial Black"/>
                <w:w w:val="90"/>
                <w:sz w:val="20"/>
              </w:rPr>
              <w:t>the</w:t>
            </w:r>
            <w:r>
              <w:rPr>
                <w:rFonts w:ascii="Arial Black"/>
                <w:spacing w:val="-6"/>
                <w:sz w:val="20"/>
              </w:rPr>
              <w:t xml:space="preserve"> </w:t>
            </w:r>
            <w:r>
              <w:rPr>
                <w:rFonts w:ascii="Arial Black"/>
                <w:w w:val="90"/>
                <w:sz w:val="20"/>
              </w:rPr>
              <w:t>2026</w:t>
            </w:r>
            <w:r>
              <w:rPr>
                <w:rFonts w:ascii="Arial Black"/>
                <w:spacing w:val="-7"/>
                <w:sz w:val="20"/>
              </w:rPr>
              <w:t xml:space="preserve"> </w:t>
            </w:r>
            <w:r>
              <w:rPr>
                <w:rFonts w:ascii="Arial Black"/>
                <w:spacing w:val="-2"/>
                <w:w w:val="90"/>
                <w:sz w:val="20"/>
              </w:rPr>
              <w:t>Regulations</w:t>
            </w:r>
          </w:p>
        </w:tc>
      </w:tr>
      <w:tr w:rsidR="00421E4F" w:rsidTr="002C26BC">
        <w:trPr>
          <w:trHeight w:val="293"/>
        </w:trPr>
        <w:tc>
          <w:tcPr>
            <w:tcW w:w="3366" w:type="dxa"/>
          </w:tcPr>
          <w:p w:rsidR="00421E4F" w:rsidRDefault="00421E4F" w:rsidP="002C26BC">
            <w:pPr>
              <w:pStyle w:val="TableParagraph"/>
              <w:spacing w:line="270" w:lineRule="exact"/>
              <w:jc w:val="left"/>
              <w:rPr>
                <w:rFonts w:ascii="Arial Black"/>
                <w:sz w:val="20"/>
              </w:rPr>
            </w:pPr>
            <w:r>
              <w:rPr>
                <w:rFonts w:ascii="Arial Black"/>
                <w:spacing w:val="-2"/>
                <w:sz w:val="20"/>
              </w:rPr>
              <w:t>Trigger</w:t>
            </w:r>
          </w:p>
        </w:tc>
        <w:tc>
          <w:tcPr>
            <w:tcW w:w="4604" w:type="dxa"/>
          </w:tcPr>
          <w:p w:rsidR="00421E4F" w:rsidRDefault="00421E4F" w:rsidP="002C26BC">
            <w:pPr>
              <w:pStyle w:val="TableParagraph"/>
              <w:spacing w:line="270" w:lineRule="exact"/>
              <w:jc w:val="left"/>
              <w:rPr>
                <w:rFonts w:ascii="Arial Black"/>
                <w:sz w:val="20"/>
              </w:rPr>
            </w:pPr>
            <w:r>
              <w:rPr>
                <w:rFonts w:ascii="Arial Black"/>
                <w:w w:val="90"/>
                <w:sz w:val="20"/>
              </w:rPr>
              <w:t>Available</w:t>
            </w:r>
            <w:r>
              <w:rPr>
                <w:rFonts w:ascii="Arial Black"/>
                <w:spacing w:val="-5"/>
                <w:sz w:val="20"/>
              </w:rPr>
              <w:t xml:space="preserve"> </w:t>
            </w:r>
            <w:r>
              <w:rPr>
                <w:rFonts w:ascii="Arial Black"/>
                <w:spacing w:val="-2"/>
                <w:sz w:val="20"/>
              </w:rPr>
              <w:t>measures</w:t>
            </w:r>
          </w:p>
        </w:tc>
        <w:tc>
          <w:tcPr>
            <w:tcW w:w="2476" w:type="dxa"/>
          </w:tcPr>
          <w:p w:rsidR="00421E4F" w:rsidRDefault="00421E4F" w:rsidP="002C26BC">
            <w:pPr>
              <w:pStyle w:val="TableParagraph"/>
              <w:spacing w:line="270" w:lineRule="exact"/>
              <w:jc w:val="left"/>
              <w:rPr>
                <w:rFonts w:ascii="Arial Black"/>
                <w:sz w:val="20"/>
              </w:rPr>
            </w:pPr>
            <w:r>
              <w:rPr>
                <w:rFonts w:ascii="Arial Black"/>
                <w:spacing w:val="-2"/>
                <w:sz w:val="20"/>
              </w:rPr>
              <w:t>Targets</w:t>
            </w:r>
          </w:p>
        </w:tc>
      </w:tr>
      <w:tr w:rsidR="00421E4F" w:rsidTr="002C26BC">
        <w:trPr>
          <w:trHeight w:val="293"/>
        </w:trPr>
        <w:tc>
          <w:tcPr>
            <w:tcW w:w="10446" w:type="dxa"/>
            <w:gridSpan w:val="3"/>
          </w:tcPr>
          <w:p w:rsidR="00421E4F" w:rsidRDefault="00421E4F" w:rsidP="002C26BC">
            <w:pPr>
              <w:pStyle w:val="TableParagraph"/>
              <w:spacing w:line="270" w:lineRule="exact"/>
              <w:jc w:val="left"/>
              <w:rPr>
                <w:rFonts w:ascii="Arial Black" w:hAnsi="Arial Black"/>
                <w:i/>
                <w:sz w:val="20"/>
              </w:rPr>
            </w:pPr>
            <w:r>
              <w:rPr>
                <w:rFonts w:ascii="Arial Black" w:hAnsi="Arial Black"/>
                <w:i/>
                <w:w w:val="90"/>
                <w:sz w:val="20"/>
              </w:rPr>
              <w:t>Article</w:t>
            </w:r>
            <w:r>
              <w:rPr>
                <w:rFonts w:ascii="Arial Black" w:hAnsi="Arial Black"/>
                <w:i/>
                <w:spacing w:val="-6"/>
                <w:sz w:val="20"/>
              </w:rPr>
              <w:t xml:space="preserve"> </w:t>
            </w:r>
            <w:r>
              <w:rPr>
                <w:rFonts w:ascii="Arial Black" w:hAnsi="Arial Black"/>
                <w:i/>
                <w:w w:val="90"/>
                <w:sz w:val="20"/>
              </w:rPr>
              <w:t>23</w:t>
            </w:r>
            <w:r>
              <w:rPr>
                <w:rFonts w:ascii="Arial Black" w:hAnsi="Arial Black"/>
                <w:i/>
                <w:spacing w:val="-5"/>
                <w:sz w:val="20"/>
              </w:rPr>
              <w:t xml:space="preserve"> </w:t>
            </w:r>
            <w:r>
              <w:rPr>
                <w:rFonts w:ascii="Arial Black" w:hAnsi="Arial Black"/>
                <w:i/>
                <w:w w:val="90"/>
                <w:sz w:val="20"/>
              </w:rPr>
              <w:t>–</w:t>
            </w:r>
            <w:r>
              <w:rPr>
                <w:rFonts w:ascii="Arial Black" w:hAnsi="Arial Black"/>
                <w:i/>
                <w:spacing w:val="-6"/>
                <w:sz w:val="20"/>
              </w:rPr>
              <w:t xml:space="preserve"> </w:t>
            </w:r>
            <w:r>
              <w:rPr>
                <w:rFonts w:ascii="Arial Black" w:hAnsi="Arial Black"/>
                <w:i/>
                <w:w w:val="90"/>
                <w:sz w:val="20"/>
              </w:rPr>
              <w:t>Investment</w:t>
            </w:r>
            <w:r>
              <w:rPr>
                <w:rFonts w:ascii="Arial Black" w:hAnsi="Arial Black"/>
                <w:i/>
                <w:spacing w:val="-5"/>
                <w:sz w:val="20"/>
              </w:rPr>
              <w:t xml:space="preserve"> </w:t>
            </w:r>
            <w:r>
              <w:rPr>
                <w:rFonts w:ascii="Arial Black" w:hAnsi="Arial Black"/>
                <w:i/>
                <w:w w:val="90"/>
                <w:sz w:val="20"/>
              </w:rPr>
              <w:t>barrier</w:t>
            </w:r>
            <w:r>
              <w:rPr>
                <w:rFonts w:ascii="Arial Black" w:hAnsi="Arial Black"/>
                <w:i/>
                <w:spacing w:val="-6"/>
                <w:sz w:val="20"/>
              </w:rPr>
              <w:t xml:space="preserve"> </w:t>
            </w:r>
            <w:r>
              <w:rPr>
                <w:rFonts w:ascii="Arial Black" w:hAnsi="Arial Black"/>
                <w:i/>
                <w:spacing w:val="-2"/>
                <w:w w:val="90"/>
                <w:sz w:val="20"/>
              </w:rPr>
              <w:t>investigations</w:t>
            </w:r>
          </w:p>
        </w:tc>
      </w:tr>
      <w:tr w:rsidR="00421E4F" w:rsidTr="002C26BC">
        <w:trPr>
          <w:trHeight w:val="1493"/>
        </w:trPr>
        <w:tc>
          <w:tcPr>
            <w:tcW w:w="3366" w:type="dxa"/>
          </w:tcPr>
          <w:p w:rsidR="00421E4F" w:rsidRDefault="00421E4F" w:rsidP="002C26BC">
            <w:pPr>
              <w:pStyle w:val="TableParagraph"/>
              <w:spacing w:before="23"/>
              <w:ind w:left="80" w:right="57"/>
              <w:rPr>
                <w:sz w:val="20"/>
              </w:rPr>
            </w:pPr>
            <w:r>
              <w:rPr>
                <w:w w:val="110"/>
                <w:sz w:val="20"/>
              </w:rPr>
              <w:t>Chinese investors encounter trade-related</w:t>
            </w:r>
            <w:r>
              <w:rPr>
                <w:spacing w:val="-17"/>
                <w:w w:val="110"/>
                <w:sz w:val="20"/>
              </w:rPr>
              <w:t xml:space="preserve"> </w:t>
            </w:r>
            <w:r>
              <w:rPr>
                <w:w w:val="110"/>
                <w:sz w:val="20"/>
              </w:rPr>
              <w:t>investment</w:t>
            </w:r>
            <w:r>
              <w:rPr>
                <w:spacing w:val="-17"/>
                <w:w w:val="110"/>
                <w:sz w:val="20"/>
              </w:rPr>
              <w:t xml:space="preserve"> </w:t>
            </w:r>
            <w:r>
              <w:rPr>
                <w:w w:val="110"/>
                <w:sz w:val="20"/>
              </w:rPr>
              <w:t>barriers or other obstacles to investment and</w:t>
            </w:r>
            <w:r>
              <w:rPr>
                <w:spacing w:val="-17"/>
                <w:w w:val="110"/>
                <w:sz w:val="20"/>
              </w:rPr>
              <w:t xml:space="preserve"> </w:t>
            </w:r>
            <w:r>
              <w:rPr>
                <w:w w:val="110"/>
                <w:sz w:val="20"/>
              </w:rPr>
              <w:t>business</w:t>
            </w:r>
            <w:r>
              <w:rPr>
                <w:spacing w:val="-17"/>
                <w:w w:val="110"/>
                <w:sz w:val="20"/>
              </w:rPr>
              <w:t xml:space="preserve"> </w:t>
            </w:r>
            <w:r>
              <w:rPr>
                <w:w w:val="110"/>
                <w:sz w:val="20"/>
              </w:rPr>
              <w:t>operations</w:t>
            </w:r>
            <w:r>
              <w:rPr>
                <w:spacing w:val="-17"/>
                <w:w w:val="110"/>
                <w:sz w:val="20"/>
              </w:rPr>
              <w:t xml:space="preserve"> </w:t>
            </w:r>
            <w:r>
              <w:rPr>
                <w:w w:val="110"/>
                <w:sz w:val="20"/>
              </w:rPr>
              <w:t>in</w:t>
            </w:r>
            <w:r>
              <w:rPr>
                <w:spacing w:val="-17"/>
                <w:w w:val="110"/>
                <w:sz w:val="20"/>
              </w:rPr>
              <w:t xml:space="preserve"> </w:t>
            </w:r>
            <w:r>
              <w:rPr>
                <w:w w:val="110"/>
                <w:sz w:val="20"/>
              </w:rPr>
              <w:t>a</w:t>
            </w:r>
            <w:r>
              <w:rPr>
                <w:spacing w:val="-17"/>
                <w:w w:val="110"/>
                <w:sz w:val="20"/>
              </w:rPr>
              <w:t xml:space="preserve"> </w:t>
            </w:r>
            <w:r>
              <w:rPr>
                <w:w w:val="110"/>
                <w:sz w:val="20"/>
              </w:rPr>
              <w:t>host country or region.</w:t>
            </w:r>
          </w:p>
        </w:tc>
        <w:tc>
          <w:tcPr>
            <w:tcW w:w="4604" w:type="dxa"/>
          </w:tcPr>
          <w:p w:rsidR="00421E4F" w:rsidRDefault="00421E4F" w:rsidP="002C26BC">
            <w:pPr>
              <w:pStyle w:val="TableParagraph"/>
              <w:spacing w:before="23"/>
              <w:ind w:right="58"/>
              <w:rPr>
                <w:sz w:val="20"/>
              </w:rPr>
            </w:pPr>
            <w:r>
              <w:rPr>
                <w:spacing w:val="-2"/>
                <w:w w:val="110"/>
                <w:sz w:val="20"/>
              </w:rPr>
              <w:t>MOFCOM</w:t>
            </w:r>
            <w:r>
              <w:rPr>
                <w:spacing w:val="-12"/>
                <w:w w:val="110"/>
                <w:sz w:val="20"/>
              </w:rPr>
              <w:t xml:space="preserve"> </w:t>
            </w:r>
            <w:r>
              <w:rPr>
                <w:spacing w:val="-2"/>
                <w:w w:val="110"/>
                <w:sz w:val="20"/>
              </w:rPr>
              <w:t>may</w:t>
            </w:r>
            <w:r>
              <w:rPr>
                <w:spacing w:val="-12"/>
                <w:w w:val="110"/>
                <w:sz w:val="20"/>
              </w:rPr>
              <w:t xml:space="preserve"> </w:t>
            </w:r>
            <w:r>
              <w:rPr>
                <w:spacing w:val="-2"/>
                <w:w w:val="110"/>
                <w:sz w:val="20"/>
              </w:rPr>
              <w:t>investigate,</w:t>
            </w:r>
            <w:r>
              <w:rPr>
                <w:spacing w:val="-12"/>
                <w:w w:val="110"/>
                <w:sz w:val="20"/>
              </w:rPr>
              <w:t xml:space="preserve"> </w:t>
            </w:r>
            <w:r>
              <w:rPr>
                <w:spacing w:val="-2"/>
                <w:w w:val="110"/>
                <w:sz w:val="20"/>
              </w:rPr>
              <w:t>alone</w:t>
            </w:r>
            <w:r>
              <w:rPr>
                <w:spacing w:val="-12"/>
                <w:w w:val="110"/>
                <w:sz w:val="20"/>
              </w:rPr>
              <w:t xml:space="preserve"> </w:t>
            </w:r>
            <w:r>
              <w:rPr>
                <w:spacing w:val="-2"/>
                <w:w w:val="110"/>
                <w:sz w:val="20"/>
              </w:rPr>
              <w:t>or</w:t>
            </w:r>
            <w:r>
              <w:rPr>
                <w:spacing w:val="-12"/>
                <w:w w:val="110"/>
                <w:sz w:val="20"/>
              </w:rPr>
              <w:t xml:space="preserve"> </w:t>
            </w:r>
            <w:r>
              <w:rPr>
                <w:spacing w:val="-2"/>
                <w:w w:val="110"/>
                <w:sz w:val="20"/>
              </w:rPr>
              <w:t>jointly</w:t>
            </w:r>
            <w:r>
              <w:rPr>
                <w:spacing w:val="-12"/>
                <w:w w:val="110"/>
                <w:sz w:val="20"/>
              </w:rPr>
              <w:t xml:space="preserve"> </w:t>
            </w:r>
            <w:r>
              <w:rPr>
                <w:spacing w:val="-2"/>
                <w:w w:val="110"/>
                <w:sz w:val="20"/>
              </w:rPr>
              <w:t>with other</w:t>
            </w:r>
            <w:r>
              <w:rPr>
                <w:spacing w:val="-11"/>
                <w:w w:val="110"/>
                <w:sz w:val="20"/>
              </w:rPr>
              <w:t xml:space="preserve"> </w:t>
            </w:r>
            <w:r>
              <w:rPr>
                <w:spacing w:val="-2"/>
                <w:w w:val="110"/>
                <w:sz w:val="20"/>
              </w:rPr>
              <w:t>State</w:t>
            </w:r>
            <w:r>
              <w:rPr>
                <w:spacing w:val="-11"/>
                <w:w w:val="110"/>
                <w:sz w:val="20"/>
              </w:rPr>
              <w:t xml:space="preserve"> </w:t>
            </w:r>
            <w:r>
              <w:rPr>
                <w:spacing w:val="-2"/>
                <w:w w:val="110"/>
                <w:sz w:val="20"/>
              </w:rPr>
              <w:t>Council</w:t>
            </w:r>
            <w:r>
              <w:rPr>
                <w:spacing w:val="-11"/>
                <w:w w:val="110"/>
                <w:sz w:val="20"/>
              </w:rPr>
              <w:t xml:space="preserve"> </w:t>
            </w:r>
            <w:r>
              <w:rPr>
                <w:spacing w:val="-2"/>
                <w:w w:val="110"/>
                <w:sz w:val="20"/>
              </w:rPr>
              <w:t>departments.</w:t>
            </w:r>
            <w:r>
              <w:rPr>
                <w:spacing w:val="-11"/>
                <w:w w:val="110"/>
                <w:sz w:val="20"/>
              </w:rPr>
              <w:t xml:space="preserve"> </w:t>
            </w:r>
            <w:r>
              <w:rPr>
                <w:spacing w:val="-2"/>
                <w:w w:val="110"/>
                <w:sz w:val="20"/>
              </w:rPr>
              <w:t>Based</w:t>
            </w:r>
            <w:r>
              <w:rPr>
                <w:spacing w:val="-11"/>
                <w:w w:val="110"/>
                <w:sz w:val="20"/>
              </w:rPr>
              <w:t xml:space="preserve"> </w:t>
            </w:r>
            <w:r>
              <w:rPr>
                <w:spacing w:val="-2"/>
                <w:w w:val="110"/>
                <w:sz w:val="20"/>
              </w:rPr>
              <w:t>on</w:t>
            </w:r>
            <w:r>
              <w:rPr>
                <w:spacing w:val="-11"/>
                <w:w w:val="110"/>
                <w:sz w:val="20"/>
              </w:rPr>
              <w:t xml:space="preserve"> </w:t>
            </w:r>
            <w:r>
              <w:rPr>
                <w:spacing w:val="-2"/>
                <w:w w:val="110"/>
                <w:sz w:val="20"/>
              </w:rPr>
              <w:t xml:space="preserve">the </w:t>
            </w:r>
            <w:r>
              <w:rPr>
                <w:w w:val="110"/>
                <w:sz w:val="20"/>
              </w:rPr>
              <w:t>findings, the authorities may adjust country-</w:t>
            </w:r>
            <w:r>
              <w:rPr>
                <w:sz w:val="20"/>
              </w:rPr>
              <w:t xml:space="preserve">specific investment policy and prohibit or restrict </w:t>
            </w:r>
            <w:r>
              <w:rPr>
                <w:w w:val="110"/>
                <w:sz w:val="20"/>
              </w:rPr>
              <w:t>the import or export of relevant goods and technologies</w:t>
            </w:r>
            <w:r>
              <w:rPr>
                <w:spacing w:val="-15"/>
                <w:w w:val="110"/>
                <w:sz w:val="20"/>
              </w:rPr>
              <w:t xml:space="preserve"> </w:t>
            </w:r>
            <w:r>
              <w:rPr>
                <w:w w:val="110"/>
                <w:sz w:val="20"/>
              </w:rPr>
              <w:t>or</w:t>
            </w:r>
            <w:r>
              <w:rPr>
                <w:spacing w:val="-15"/>
                <w:w w:val="110"/>
                <w:sz w:val="20"/>
              </w:rPr>
              <w:t xml:space="preserve"> </w:t>
            </w:r>
            <w:r>
              <w:rPr>
                <w:w w:val="110"/>
                <w:sz w:val="20"/>
              </w:rPr>
              <w:t>international</w:t>
            </w:r>
            <w:r>
              <w:rPr>
                <w:spacing w:val="-15"/>
                <w:w w:val="110"/>
                <w:sz w:val="20"/>
              </w:rPr>
              <w:t xml:space="preserve"> </w:t>
            </w:r>
            <w:r>
              <w:rPr>
                <w:w w:val="110"/>
                <w:sz w:val="20"/>
              </w:rPr>
              <w:t>trade</w:t>
            </w:r>
            <w:r>
              <w:rPr>
                <w:spacing w:val="-15"/>
                <w:w w:val="110"/>
                <w:sz w:val="20"/>
              </w:rPr>
              <w:t xml:space="preserve"> </w:t>
            </w:r>
            <w:r>
              <w:rPr>
                <w:w w:val="110"/>
                <w:sz w:val="20"/>
              </w:rPr>
              <w:t>in</w:t>
            </w:r>
            <w:r>
              <w:rPr>
                <w:spacing w:val="-15"/>
                <w:w w:val="110"/>
                <w:sz w:val="20"/>
              </w:rPr>
              <w:t xml:space="preserve"> </w:t>
            </w:r>
            <w:r>
              <w:rPr>
                <w:w w:val="110"/>
                <w:sz w:val="20"/>
              </w:rPr>
              <w:t>services.</w:t>
            </w:r>
          </w:p>
        </w:tc>
        <w:tc>
          <w:tcPr>
            <w:tcW w:w="2476" w:type="dxa"/>
          </w:tcPr>
          <w:p w:rsidR="00421E4F" w:rsidRDefault="00421E4F" w:rsidP="002C26BC">
            <w:pPr>
              <w:pStyle w:val="TableParagraph"/>
              <w:spacing w:before="23"/>
              <w:ind w:right="58"/>
              <w:rPr>
                <w:sz w:val="20"/>
              </w:rPr>
            </w:pPr>
            <w:r>
              <w:rPr>
                <w:w w:val="105"/>
                <w:sz w:val="20"/>
              </w:rPr>
              <w:t>Host countries and regions</w:t>
            </w:r>
            <w:r>
              <w:rPr>
                <w:spacing w:val="-10"/>
                <w:w w:val="105"/>
                <w:sz w:val="20"/>
              </w:rPr>
              <w:t xml:space="preserve"> </w:t>
            </w:r>
            <w:r>
              <w:rPr>
                <w:w w:val="105"/>
                <w:sz w:val="20"/>
              </w:rPr>
              <w:t>of</w:t>
            </w:r>
            <w:r>
              <w:rPr>
                <w:spacing w:val="-10"/>
                <w:w w:val="105"/>
                <w:sz w:val="20"/>
              </w:rPr>
              <w:t xml:space="preserve"> </w:t>
            </w:r>
            <w:r>
              <w:rPr>
                <w:w w:val="105"/>
                <w:sz w:val="20"/>
              </w:rPr>
              <w:t>PRC</w:t>
            </w:r>
            <w:r>
              <w:rPr>
                <w:spacing w:val="-10"/>
                <w:w w:val="105"/>
                <w:sz w:val="20"/>
              </w:rPr>
              <w:t xml:space="preserve"> </w:t>
            </w:r>
            <w:r>
              <w:rPr>
                <w:w w:val="105"/>
                <w:sz w:val="20"/>
              </w:rPr>
              <w:t xml:space="preserve">outbound </w:t>
            </w:r>
            <w:r>
              <w:rPr>
                <w:spacing w:val="-2"/>
                <w:w w:val="105"/>
                <w:sz w:val="20"/>
              </w:rPr>
              <w:t>investments.</w:t>
            </w:r>
          </w:p>
        </w:tc>
      </w:tr>
    </w:tbl>
    <w:p w:rsidR="00421E4F" w:rsidRDefault="00421E4F" w:rsidP="00421E4F">
      <w:pPr>
        <w:pStyle w:val="ListParagraph"/>
        <w:numPr>
          <w:ilvl w:val="0"/>
          <w:numId w:val="8"/>
        </w:numPr>
        <w:tabs>
          <w:tab w:val="left" w:pos="465"/>
        </w:tabs>
        <w:spacing w:before="76" w:line="189" w:lineRule="auto"/>
        <w:ind w:left="465"/>
        <w:rPr>
          <w:sz w:val="16"/>
        </w:rPr>
      </w:pPr>
      <w:r>
        <w:rPr>
          <w:w w:val="105"/>
          <w:sz w:val="16"/>
        </w:rPr>
        <w:t>The Catalogue of Technologies Prohibited or Restricted from Export by China (</w:t>
      </w:r>
      <w:r>
        <w:rPr>
          <w:rFonts w:ascii="Microsoft YaHei" w:eastAsia="Microsoft YaHei"/>
          <w:b/>
          <w:w w:val="105"/>
          <w:sz w:val="16"/>
        </w:rPr>
        <w:t>《中国禁止出口限制出口技术目录》</w:t>
      </w:r>
      <w:r>
        <w:rPr>
          <w:w w:val="105"/>
          <w:sz w:val="16"/>
        </w:rPr>
        <w:t>), jointly issued by MOFCOM and the Ministry of Science and Technology in December 2023 and revised in 2025, listing 23 prohibited technologies across</w:t>
      </w:r>
    </w:p>
    <w:p w:rsidR="00421E4F" w:rsidRDefault="00421E4F" w:rsidP="00421E4F">
      <w:pPr>
        <w:spacing w:before="5"/>
        <w:ind w:left="465"/>
        <w:rPr>
          <w:sz w:val="16"/>
        </w:rPr>
      </w:pPr>
      <w:r>
        <w:rPr>
          <w:w w:val="105"/>
          <w:sz w:val="16"/>
        </w:rPr>
        <w:t>14</w:t>
      </w:r>
      <w:r>
        <w:rPr>
          <w:spacing w:val="-1"/>
          <w:w w:val="105"/>
          <w:sz w:val="16"/>
        </w:rPr>
        <w:t xml:space="preserve"> </w:t>
      </w:r>
      <w:r>
        <w:rPr>
          <w:w w:val="105"/>
          <w:sz w:val="16"/>
        </w:rPr>
        <w:t>industrial sectors and</w:t>
      </w:r>
      <w:r>
        <w:rPr>
          <w:spacing w:val="-1"/>
          <w:w w:val="105"/>
          <w:sz w:val="16"/>
        </w:rPr>
        <w:t xml:space="preserve"> </w:t>
      </w:r>
      <w:r>
        <w:rPr>
          <w:w w:val="105"/>
          <w:sz w:val="16"/>
        </w:rPr>
        <w:t>109 restricted technologies across</w:t>
      </w:r>
      <w:r>
        <w:rPr>
          <w:spacing w:val="-1"/>
          <w:w w:val="105"/>
          <w:sz w:val="16"/>
        </w:rPr>
        <w:t xml:space="preserve"> </w:t>
      </w:r>
      <w:r>
        <w:rPr>
          <w:w w:val="105"/>
          <w:sz w:val="16"/>
        </w:rPr>
        <w:t xml:space="preserve">20 industrial </w:t>
      </w:r>
      <w:r>
        <w:rPr>
          <w:spacing w:val="-2"/>
          <w:w w:val="105"/>
          <w:sz w:val="16"/>
        </w:rPr>
        <w:t>sectors.</w:t>
      </w:r>
    </w:p>
    <w:p w:rsidR="00421E4F" w:rsidRDefault="00421E4F" w:rsidP="00421E4F">
      <w:pPr>
        <w:rPr>
          <w:sz w:val="16"/>
        </w:rPr>
        <w:sectPr w:rsidR="00421E4F">
          <w:pgSz w:w="11910" w:h="16840"/>
          <w:pgMar w:top="200" w:right="566" w:bottom="1260" w:left="708" w:header="0" w:footer="1076" w:gutter="0"/>
          <w:cols w:space="720"/>
        </w:sectPr>
      </w:pPr>
    </w:p>
    <w:tbl>
      <w:tblPr>
        <w:tblW w:w="0" w:type="auto"/>
        <w:tblInd w:w="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366"/>
        <w:gridCol w:w="4604"/>
        <w:gridCol w:w="2476"/>
      </w:tblGrid>
      <w:tr w:rsidR="00421E4F" w:rsidTr="002C26BC">
        <w:trPr>
          <w:trHeight w:val="293"/>
        </w:trPr>
        <w:tc>
          <w:tcPr>
            <w:tcW w:w="10446" w:type="dxa"/>
            <w:gridSpan w:val="3"/>
          </w:tcPr>
          <w:p w:rsidR="00421E4F" w:rsidRDefault="00421E4F" w:rsidP="002C26BC">
            <w:pPr>
              <w:pStyle w:val="TableParagraph"/>
              <w:spacing w:line="270" w:lineRule="exact"/>
              <w:jc w:val="left"/>
              <w:rPr>
                <w:rFonts w:ascii="Arial Black" w:hAnsi="Arial Black"/>
                <w:i/>
                <w:sz w:val="20"/>
              </w:rPr>
            </w:pPr>
            <w:r>
              <w:rPr>
                <w:rFonts w:ascii="Arial Black" w:hAnsi="Arial Black"/>
                <w:i/>
                <w:w w:val="90"/>
                <w:sz w:val="20"/>
              </w:rPr>
              <w:lastRenderedPageBreak/>
              <w:t>Article</w:t>
            </w:r>
            <w:r>
              <w:rPr>
                <w:rFonts w:ascii="Arial Black" w:hAnsi="Arial Black"/>
                <w:i/>
                <w:spacing w:val="-2"/>
                <w:w w:val="90"/>
                <w:sz w:val="20"/>
              </w:rPr>
              <w:t xml:space="preserve"> </w:t>
            </w:r>
            <w:r>
              <w:rPr>
                <w:rFonts w:ascii="Arial Black" w:hAnsi="Arial Black"/>
                <w:i/>
                <w:w w:val="90"/>
                <w:sz w:val="20"/>
              </w:rPr>
              <w:t>24</w:t>
            </w:r>
            <w:r>
              <w:rPr>
                <w:rFonts w:ascii="Arial Black" w:hAnsi="Arial Black"/>
                <w:i/>
                <w:spacing w:val="-2"/>
                <w:w w:val="90"/>
                <w:sz w:val="20"/>
              </w:rPr>
              <w:t xml:space="preserve"> </w:t>
            </w:r>
            <w:r>
              <w:rPr>
                <w:rFonts w:ascii="Arial Black" w:hAnsi="Arial Black"/>
                <w:i/>
                <w:w w:val="90"/>
                <w:sz w:val="20"/>
              </w:rPr>
              <w:t>–</w:t>
            </w:r>
            <w:r>
              <w:rPr>
                <w:rFonts w:ascii="Arial Black" w:hAnsi="Arial Black"/>
                <w:i/>
                <w:spacing w:val="-2"/>
                <w:w w:val="90"/>
                <w:sz w:val="20"/>
              </w:rPr>
              <w:t xml:space="preserve"> </w:t>
            </w:r>
            <w:r>
              <w:rPr>
                <w:rFonts w:ascii="Arial Black" w:hAnsi="Arial Black"/>
                <w:i/>
                <w:w w:val="90"/>
                <w:sz w:val="20"/>
              </w:rPr>
              <w:t>Countermeasures</w:t>
            </w:r>
            <w:r>
              <w:rPr>
                <w:rFonts w:ascii="Arial Black" w:hAnsi="Arial Black"/>
                <w:i/>
                <w:spacing w:val="-1"/>
                <w:w w:val="90"/>
                <w:sz w:val="20"/>
              </w:rPr>
              <w:t xml:space="preserve"> </w:t>
            </w:r>
            <w:r>
              <w:rPr>
                <w:rFonts w:ascii="Arial Black" w:hAnsi="Arial Black"/>
                <w:i/>
                <w:w w:val="90"/>
                <w:sz w:val="20"/>
              </w:rPr>
              <w:t>against</w:t>
            </w:r>
            <w:r>
              <w:rPr>
                <w:rFonts w:ascii="Arial Black" w:hAnsi="Arial Black"/>
                <w:i/>
                <w:spacing w:val="-2"/>
                <w:w w:val="90"/>
                <w:sz w:val="20"/>
              </w:rPr>
              <w:t xml:space="preserve"> </w:t>
            </w:r>
            <w:r>
              <w:rPr>
                <w:rFonts w:ascii="Arial Black" w:hAnsi="Arial Black"/>
                <w:i/>
                <w:w w:val="90"/>
                <w:sz w:val="20"/>
              </w:rPr>
              <w:t>discriminatory</w:t>
            </w:r>
            <w:r>
              <w:rPr>
                <w:rFonts w:ascii="Arial Black" w:hAnsi="Arial Black"/>
                <w:i/>
                <w:spacing w:val="-2"/>
                <w:w w:val="90"/>
                <w:sz w:val="20"/>
              </w:rPr>
              <w:t xml:space="preserve"> measures</w:t>
            </w:r>
          </w:p>
        </w:tc>
      </w:tr>
      <w:tr w:rsidR="00421E4F" w:rsidTr="002C26BC">
        <w:trPr>
          <w:trHeight w:val="2213"/>
        </w:trPr>
        <w:tc>
          <w:tcPr>
            <w:tcW w:w="3366" w:type="dxa"/>
          </w:tcPr>
          <w:p w:rsidR="00421E4F" w:rsidRDefault="00421E4F" w:rsidP="002C26BC">
            <w:pPr>
              <w:pStyle w:val="TableParagraph"/>
              <w:spacing w:before="20"/>
              <w:ind w:left="80" w:right="57"/>
              <w:rPr>
                <w:sz w:val="20"/>
              </w:rPr>
            </w:pPr>
            <w:r>
              <w:rPr>
                <w:w w:val="110"/>
                <w:sz w:val="20"/>
              </w:rPr>
              <w:t>A</w:t>
            </w:r>
            <w:r>
              <w:rPr>
                <w:spacing w:val="-14"/>
                <w:w w:val="110"/>
                <w:sz w:val="20"/>
              </w:rPr>
              <w:t xml:space="preserve"> </w:t>
            </w:r>
            <w:r>
              <w:rPr>
                <w:w w:val="110"/>
                <w:sz w:val="20"/>
              </w:rPr>
              <w:t>country,</w:t>
            </w:r>
            <w:r>
              <w:rPr>
                <w:spacing w:val="-14"/>
                <w:w w:val="110"/>
                <w:sz w:val="20"/>
              </w:rPr>
              <w:t xml:space="preserve"> </w:t>
            </w:r>
            <w:r>
              <w:rPr>
                <w:w w:val="110"/>
                <w:sz w:val="20"/>
              </w:rPr>
              <w:t>region</w:t>
            </w:r>
            <w:r>
              <w:rPr>
                <w:spacing w:val="-14"/>
                <w:w w:val="110"/>
                <w:sz w:val="20"/>
              </w:rPr>
              <w:t xml:space="preserve"> </w:t>
            </w:r>
            <w:r>
              <w:rPr>
                <w:w w:val="110"/>
                <w:sz w:val="20"/>
              </w:rPr>
              <w:t>or</w:t>
            </w:r>
            <w:r>
              <w:rPr>
                <w:spacing w:val="-14"/>
                <w:w w:val="110"/>
                <w:sz w:val="20"/>
              </w:rPr>
              <w:t xml:space="preserve"> </w:t>
            </w:r>
            <w:r>
              <w:rPr>
                <w:w w:val="110"/>
                <w:sz w:val="20"/>
              </w:rPr>
              <w:t>international organisation, in breach of international</w:t>
            </w:r>
            <w:r>
              <w:rPr>
                <w:spacing w:val="80"/>
                <w:w w:val="110"/>
                <w:sz w:val="20"/>
              </w:rPr>
              <w:t xml:space="preserve"> </w:t>
            </w:r>
            <w:r>
              <w:rPr>
                <w:w w:val="110"/>
                <w:sz w:val="20"/>
              </w:rPr>
              <w:t>law</w:t>
            </w:r>
            <w:r>
              <w:rPr>
                <w:spacing w:val="80"/>
                <w:w w:val="110"/>
                <w:sz w:val="20"/>
              </w:rPr>
              <w:t xml:space="preserve"> </w:t>
            </w:r>
            <w:r>
              <w:rPr>
                <w:w w:val="110"/>
                <w:sz w:val="20"/>
              </w:rPr>
              <w:t>and</w:t>
            </w:r>
            <w:r>
              <w:rPr>
                <w:spacing w:val="80"/>
                <w:w w:val="110"/>
                <w:sz w:val="20"/>
              </w:rPr>
              <w:t xml:space="preserve"> </w:t>
            </w:r>
            <w:r>
              <w:rPr>
                <w:w w:val="110"/>
                <w:sz w:val="20"/>
              </w:rPr>
              <w:t>the</w:t>
            </w:r>
            <w:r>
              <w:rPr>
                <w:spacing w:val="40"/>
                <w:w w:val="110"/>
                <w:sz w:val="20"/>
              </w:rPr>
              <w:t xml:space="preserve"> </w:t>
            </w:r>
            <w:r>
              <w:rPr>
                <w:w w:val="110"/>
                <w:sz w:val="20"/>
              </w:rPr>
              <w:t>basic norms of international relations, adopts discriminatory prohibitions,</w:t>
            </w:r>
            <w:r>
              <w:rPr>
                <w:spacing w:val="-2"/>
                <w:w w:val="110"/>
                <w:sz w:val="20"/>
              </w:rPr>
              <w:t xml:space="preserve"> </w:t>
            </w:r>
            <w:r>
              <w:rPr>
                <w:w w:val="110"/>
                <w:sz w:val="20"/>
              </w:rPr>
              <w:t>restrictions</w:t>
            </w:r>
            <w:r>
              <w:rPr>
                <w:spacing w:val="-2"/>
                <w:w w:val="110"/>
                <w:sz w:val="20"/>
              </w:rPr>
              <w:t xml:space="preserve"> </w:t>
            </w:r>
            <w:r>
              <w:rPr>
                <w:w w:val="110"/>
                <w:sz w:val="20"/>
              </w:rPr>
              <w:t>or</w:t>
            </w:r>
            <w:r>
              <w:rPr>
                <w:spacing w:val="-2"/>
                <w:w w:val="110"/>
                <w:sz w:val="20"/>
              </w:rPr>
              <w:t xml:space="preserve"> </w:t>
            </w:r>
            <w:r>
              <w:rPr>
                <w:w w:val="110"/>
                <w:sz w:val="20"/>
              </w:rPr>
              <w:t>other similar measures against China</w:t>
            </w:r>
            <w:r>
              <w:rPr>
                <w:spacing w:val="40"/>
                <w:w w:val="110"/>
                <w:sz w:val="20"/>
              </w:rPr>
              <w:t xml:space="preserve"> </w:t>
            </w:r>
            <w:r>
              <w:rPr>
                <w:w w:val="110"/>
                <w:sz w:val="20"/>
              </w:rPr>
              <w:t xml:space="preserve">in investment and business </w:t>
            </w:r>
            <w:r>
              <w:rPr>
                <w:spacing w:val="-2"/>
                <w:w w:val="110"/>
                <w:sz w:val="20"/>
              </w:rPr>
              <w:t>operations.</w:t>
            </w:r>
          </w:p>
        </w:tc>
        <w:tc>
          <w:tcPr>
            <w:tcW w:w="4604" w:type="dxa"/>
          </w:tcPr>
          <w:p w:rsidR="00421E4F" w:rsidRDefault="00421E4F" w:rsidP="002C26BC">
            <w:pPr>
              <w:pStyle w:val="TableParagraph"/>
              <w:spacing w:before="23"/>
              <w:ind w:right="58"/>
              <w:rPr>
                <w:position w:val="7"/>
                <w:sz w:val="11"/>
              </w:rPr>
            </w:pPr>
            <w:r>
              <w:rPr>
                <w:w w:val="105"/>
                <w:sz w:val="20"/>
              </w:rPr>
              <w:t>The Chinese government and its departments may take corresponding countermeasures. Pursuant</w:t>
            </w:r>
            <w:r>
              <w:rPr>
                <w:spacing w:val="-3"/>
                <w:w w:val="105"/>
                <w:sz w:val="20"/>
              </w:rPr>
              <w:t xml:space="preserve"> </w:t>
            </w:r>
            <w:r>
              <w:rPr>
                <w:w w:val="105"/>
                <w:sz w:val="20"/>
              </w:rPr>
              <w:t>to</w:t>
            </w:r>
            <w:r>
              <w:rPr>
                <w:spacing w:val="-3"/>
                <w:w w:val="105"/>
                <w:sz w:val="20"/>
              </w:rPr>
              <w:t xml:space="preserve"> </w:t>
            </w:r>
            <w:r>
              <w:rPr>
                <w:w w:val="105"/>
                <w:sz w:val="20"/>
              </w:rPr>
              <w:t>the</w:t>
            </w:r>
            <w:r>
              <w:rPr>
                <w:spacing w:val="-3"/>
                <w:w w:val="105"/>
                <w:sz w:val="20"/>
              </w:rPr>
              <w:t xml:space="preserve"> </w:t>
            </w:r>
            <w:r>
              <w:rPr>
                <w:w w:val="105"/>
                <w:sz w:val="20"/>
              </w:rPr>
              <w:t>Anti-Foreign</w:t>
            </w:r>
            <w:r>
              <w:rPr>
                <w:spacing w:val="-3"/>
                <w:w w:val="105"/>
                <w:sz w:val="20"/>
              </w:rPr>
              <w:t xml:space="preserve"> </w:t>
            </w:r>
            <w:r>
              <w:rPr>
                <w:w w:val="105"/>
                <w:sz w:val="20"/>
              </w:rPr>
              <w:t>Sanctions</w:t>
            </w:r>
            <w:r>
              <w:rPr>
                <w:spacing w:val="-3"/>
                <w:w w:val="105"/>
                <w:sz w:val="20"/>
              </w:rPr>
              <w:t xml:space="preserve"> </w:t>
            </w:r>
            <w:r>
              <w:rPr>
                <w:w w:val="105"/>
                <w:sz w:val="20"/>
              </w:rPr>
              <w:t>Law</w:t>
            </w:r>
            <w:r>
              <w:rPr>
                <w:spacing w:val="-3"/>
                <w:w w:val="105"/>
                <w:sz w:val="20"/>
              </w:rPr>
              <w:t xml:space="preserve"> </w:t>
            </w:r>
            <w:r>
              <w:rPr>
                <w:w w:val="105"/>
                <w:sz w:val="20"/>
              </w:rPr>
              <w:t>and its implementing provisions, organisations and individuals that directly or indirectly participate in formulating, deciding upon or implementing such measures may be added to China’s counter-sanction</w:t>
            </w:r>
            <w:r>
              <w:rPr>
                <w:spacing w:val="-3"/>
                <w:w w:val="105"/>
                <w:sz w:val="20"/>
              </w:rPr>
              <w:t xml:space="preserve"> </w:t>
            </w:r>
            <w:r>
              <w:rPr>
                <w:w w:val="105"/>
                <w:sz w:val="20"/>
              </w:rPr>
              <w:t>lists.</w:t>
            </w:r>
            <w:r>
              <w:rPr>
                <w:w w:val="105"/>
                <w:position w:val="7"/>
                <w:sz w:val="11"/>
              </w:rPr>
              <w:t>8</w:t>
            </w:r>
          </w:p>
        </w:tc>
        <w:tc>
          <w:tcPr>
            <w:tcW w:w="2476" w:type="dxa"/>
          </w:tcPr>
          <w:p w:rsidR="00421E4F" w:rsidRDefault="00421E4F" w:rsidP="002C26BC">
            <w:pPr>
              <w:pStyle w:val="TableParagraph"/>
              <w:tabs>
                <w:tab w:val="left" w:pos="2192"/>
              </w:tabs>
              <w:spacing w:before="23" w:line="241" w:lineRule="exact"/>
              <w:rPr>
                <w:sz w:val="20"/>
              </w:rPr>
            </w:pPr>
            <w:r>
              <w:rPr>
                <w:spacing w:val="-2"/>
                <w:w w:val="110"/>
                <w:sz w:val="20"/>
              </w:rPr>
              <w:t>Countries</w:t>
            </w:r>
            <w:r>
              <w:rPr>
                <w:sz w:val="20"/>
              </w:rPr>
              <w:tab/>
            </w:r>
            <w:r>
              <w:rPr>
                <w:spacing w:val="-5"/>
                <w:w w:val="110"/>
                <w:sz w:val="20"/>
              </w:rPr>
              <w:t>or</w:t>
            </w:r>
          </w:p>
          <w:p w:rsidR="00421E4F" w:rsidRDefault="00421E4F" w:rsidP="002C26BC">
            <w:pPr>
              <w:pStyle w:val="TableParagraph"/>
              <w:tabs>
                <w:tab w:val="left" w:pos="1054"/>
                <w:tab w:val="left" w:pos="1395"/>
                <w:tab w:val="left" w:pos="1564"/>
              </w:tabs>
              <w:spacing w:before="0"/>
              <w:ind w:right="58"/>
              <w:rPr>
                <w:sz w:val="20"/>
              </w:rPr>
            </w:pPr>
            <w:r>
              <w:rPr>
                <w:spacing w:val="-2"/>
                <w:w w:val="110"/>
                <w:sz w:val="20"/>
              </w:rPr>
              <w:t>regions</w:t>
            </w:r>
            <w:r>
              <w:rPr>
                <w:sz w:val="20"/>
              </w:rPr>
              <w:tab/>
            </w:r>
            <w:r>
              <w:rPr>
                <w:sz w:val="20"/>
              </w:rPr>
              <w:tab/>
            </w:r>
            <w:r>
              <w:rPr>
                <w:sz w:val="20"/>
              </w:rPr>
              <w:tab/>
            </w:r>
            <w:r>
              <w:rPr>
                <w:spacing w:val="-4"/>
                <w:w w:val="110"/>
                <w:sz w:val="20"/>
              </w:rPr>
              <w:t>adopting the</w:t>
            </w:r>
            <w:r>
              <w:rPr>
                <w:sz w:val="20"/>
              </w:rPr>
              <w:tab/>
            </w:r>
            <w:r>
              <w:rPr>
                <w:spacing w:val="-2"/>
                <w:w w:val="110"/>
                <w:sz w:val="20"/>
              </w:rPr>
              <w:t xml:space="preserve">discriminatory </w:t>
            </w:r>
            <w:r>
              <w:rPr>
                <w:sz w:val="20"/>
              </w:rPr>
              <w:t xml:space="preserve">measures; organisations </w:t>
            </w:r>
            <w:r>
              <w:rPr>
                <w:spacing w:val="-4"/>
                <w:w w:val="110"/>
                <w:sz w:val="20"/>
              </w:rPr>
              <w:t>and</w:t>
            </w:r>
            <w:r>
              <w:rPr>
                <w:sz w:val="20"/>
              </w:rPr>
              <w:tab/>
            </w:r>
            <w:r>
              <w:rPr>
                <w:sz w:val="20"/>
              </w:rPr>
              <w:tab/>
            </w:r>
            <w:r>
              <w:rPr>
                <w:spacing w:val="-2"/>
                <w:w w:val="110"/>
                <w:sz w:val="20"/>
              </w:rPr>
              <w:t xml:space="preserve">individuals </w:t>
            </w:r>
            <w:r>
              <w:rPr>
                <w:w w:val="110"/>
                <w:sz w:val="20"/>
              </w:rPr>
              <w:t>participating in their formulation,</w:t>
            </w:r>
            <w:r>
              <w:rPr>
                <w:spacing w:val="-6"/>
                <w:w w:val="110"/>
                <w:sz w:val="20"/>
              </w:rPr>
              <w:t xml:space="preserve"> </w:t>
            </w:r>
            <w:r>
              <w:rPr>
                <w:w w:val="110"/>
                <w:sz w:val="20"/>
              </w:rPr>
              <w:t>decision</w:t>
            </w:r>
            <w:r>
              <w:rPr>
                <w:spacing w:val="-6"/>
                <w:w w:val="110"/>
                <w:sz w:val="20"/>
              </w:rPr>
              <w:t xml:space="preserve"> </w:t>
            </w:r>
            <w:r>
              <w:rPr>
                <w:w w:val="110"/>
                <w:sz w:val="20"/>
              </w:rPr>
              <w:t xml:space="preserve">or </w:t>
            </w:r>
            <w:r>
              <w:rPr>
                <w:spacing w:val="-2"/>
                <w:w w:val="110"/>
                <w:sz w:val="20"/>
              </w:rPr>
              <w:t>implementation.</w:t>
            </w:r>
          </w:p>
        </w:tc>
      </w:tr>
      <w:tr w:rsidR="00421E4F" w:rsidTr="002C26BC">
        <w:trPr>
          <w:trHeight w:val="293"/>
        </w:trPr>
        <w:tc>
          <w:tcPr>
            <w:tcW w:w="10446" w:type="dxa"/>
            <w:gridSpan w:val="3"/>
          </w:tcPr>
          <w:p w:rsidR="00421E4F" w:rsidRDefault="00421E4F" w:rsidP="002C26BC">
            <w:pPr>
              <w:pStyle w:val="TableParagraph"/>
              <w:spacing w:line="270" w:lineRule="exact"/>
              <w:jc w:val="left"/>
              <w:rPr>
                <w:rFonts w:ascii="Arial Black" w:hAnsi="Arial Black"/>
                <w:i/>
                <w:sz w:val="20"/>
              </w:rPr>
            </w:pPr>
            <w:r>
              <w:rPr>
                <w:rFonts w:ascii="Arial Black" w:hAnsi="Arial Black"/>
                <w:i/>
                <w:w w:val="90"/>
                <w:sz w:val="20"/>
              </w:rPr>
              <w:t>Article</w:t>
            </w:r>
            <w:r>
              <w:rPr>
                <w:rFonts w:ascii="Arial Black" w:hAnsi="Arial Black"/>
                <w:i/>
                <w:spacing w:val="-1"/>
                <w:w w:val="90"/>
                <w:sz w:val="20"/>
              </w:rPr>
              <w:t xml:space="preserve"> </w:t>
            </w:r>
            <w:r>
              <w:rPr>
                <w:rFonts w:ascii="Arial Black" w:hAnsi="Arial Black"/>
                <w:i/>
                <w:w w:val="90"/>
                <w:sz w:val="20"/>
              </w:rPr>
              <w:t>25</w:t>
            </w:r>
            <w:r>
              <w:rPr>
                <w:rFonts w:ascii="Arial Black" w:hAnsi="Arial Black"/>
                <w:i/>
                <w:spacing w:val="-7"/>
                <w:sz w:val="20"/>
              </w:rPr>
              <w:t xml:space="preserve"> </w:t>
            </w:r>
            <w:r>
              <w:rPr>
                <w:rFonts w:ascii="Arial Black" w:hAnsi="Arial Black"/>
                <w:i/>
                <w:w w:val="90"/>
                <w:sz w:val="20"/>
              </w:rPr>
              <w:t>–</w:t>
            </w:r>
            <w:r>
              <w:rPr>
                <w:rFonts w:ascii="Arial Black" w:hAnsi="Arial Black"/>
                <w:i/>
                <w:spacing w:val="-7"/>
                <w:sz w:val="20"/>
              </w:rPr>
              <w:t xml:space="preserve"> </w:t>
            </w:r>
            <w:r>
              <w:rPr>
                <w:rFonts w:ascii="Arial Black" w:hAnsi="Arial Black"/>
                <w:i/>
                <w:w w:val="90"/>
                <w:sz w:val="20"/>
              </w:rPr>
              <w:t>Measures</w:t>
            </w:r>
            <w:r>
              <w:rPr>
                <w:rFonts w:ascii="Arial Black" w:hAnsi="Arial Black"/>
                <w:i/>
                <w:spacing w:val="-7"/>
                <w:sz w:val="20"/>
              </w:rPr>
              <w:t xml:space="preserve"> </w:t>
            </w:r>
            <w:r>
              <w:rPr>
                <w:rFonts w:ascii="Arial Black" w:hAnsi="Arial Black"/>
                <w:i/>
                <w:w w:val="90"/>
                <w:sz w:val="20"/>
              </w:rPr>
              <w:t>against</w:t>
            </w:r>
            <w:r>
              <w:rPr>
                <w:rFonts w:ascii="Arial Black" w:hAnsi="Arial Black"/>
                <w:i/>
                <w:spacing w:val="-7"/>
                <w:sz w:val="20"/>
              </w:rPr>
              <w:t xml:space="preserve"> </w:t>
            </w:r>
            <w:r>
              <w:rPr>
                <w:rFonts w:ascii="Arial Black" w:hAnsi="Arial Black"/>
                <w:i/>
                <w:w w:val="90"/>
                <w:sz w:val="20"/>
              </w:rPr>
              <w:t>harmful</w:t>
            </w:r>
            <w:r>
              <w:rPr>
                <w:rFonts w:ascii="Arial Black" w:hAnsi="Arial Black"/>
                <w:i/>
                <w:spacing w:val="-7"/>
                <w:sz w:val="20"/>
              </w:rPr>
              <w:t xml:space="preserve"> </w:t>
            </w:r>
            <w:r>
              <w:rPr>
                <w:rFonts w:ascii="Arial Black" w:hAnsi="Arial Black"/>
                <w:i/>
                <w:w w:val="90"/>
                <w:sz w:val="20"/>
              </w:rPr>
              <w:t>foreign</w:t>
            </w:r>
            <w:r>
              <w:rPr>
                <w:rFonts w:ascii="Arial Black" w:hAnsi="Arial Black"/>
                <w:i/>
                <w:spacing w:val="-7"/>
                <w:sz w:val="20"/>
              </w:rPr>
              <w:t xml:space="preserve"> </w:t>
            </w:r>
            <w:r>
              <w:rPr>
                <w:rFonts w:ascii="Arial Black" w:hAnsi="Arial Black"/>
                <w:i/>
                <w:spacing w:val="-2"/>
                <w:w w:val="90"/>
                <w:sz w:val="20"/>
              </w:rPr>
              <w:t>conduct</w:t>
            </w:r>
          </w:p>
        </w:tc>
      </w:tr>
      <w:tr w:rsidR="00421E4F" w:rsidTr="002C26BC">
        <w:trPr>
          <w:trHeight w:val="3653"/>
        </w:trPr>
        <w:tc>
          <w:tcPr>
            <w:tcW w:w="3366" w:type="dxa"/>
          </w:tcPr>
          <w:p w:rsidR="00421E4F" w:rsidRDefault="00421E4F" w:rsidP="002C26BC">
            <w:pPr>
              <w:pStyle w:val="TableParagraph"/>
              <w:spacing w:before="12"/>
              <w:ind w:left="80" w:right="57"/>
              <w:rPr>
                <w:sz w:val="20"/>
              </w:rPr>
            </w:pPr>
            <w:r>
              <w:rPr>
                <w:w w:val="110"/>
                <w:sz w:val="20"/>
              </w:rPr>
              <w:t>Foreign organisations or individuals:</w:t>
            </w:r>
            <w:r>
              <w:rPr>
                <w:spacing w:val="40"/>
                <w:w w:val="110"/>
                <w:sz w:val="20"/>
              </w:rPr>
              <w:t xml:space="preserve"> </w:t>
            </w:r>
            <w:r>
              <w:rPr>
                <w:w w:val="110"/>
                <w:sz w:val="20"/>
              </w:rPr>
              <w:t>(i)</w:t>
            </w:r>
            <w:r>
              <w:rPr>
                <w:spacing w:val="40"/>
                <w:w w:val="110"/>
                <w:sz w:val="20"/>
              </w:rPr>
              <w:t xml:space="preserve"> </w:t>
            </w:r>
            <w:r>
              <w:rPr>
                <w:w w:val="110"/>
                <w:sz w:val="20"/>
              </w:rPr>
              <w:t>endanger</w:t>
            </w:r>
            <w:r>
              <w:rPr>
                <w:spacing w:val="80"/>
                <w:w w:val="110"/>
                <w:sz w:val="20"/>
              </w:rPr>
              <w:t xml:space="preserve"> </w:t>
            </w:r>
            <w:r>
              <w:rPr>
                <w:w w:val="110"/>
                <w:sz w:val="20"/>
              </w:rPr>
              <w:t>China’s</w:t>
            </w:r>
            <w:r>
              <w:rPr>
                <w:spacing w:val="80"/>
                <w:w w:val="110"/>
                <w:sz w:val="20"/>
              </w:rPr>
              <w:t xml:space="preserve"> </w:t>
            </w:r>
            <w:r>
              <w:rPr>
                <w:w w:val="110"/>
                <w:sz w:val="20"/>
              </w:rPr>
              <w:t>sovereignty,</w:t>
            </w:r>
            <w:r>
              <w:rPr>
                <w:spacing w:val="80"/>
                <w:w w:val="110"/>
                <w:sz w:val="20"/>
              </w:rPr>
              <w:t xml:space="preserve"> </w:t>
            </w:r>
            <w:r>
              <w:rPr>
                <w:w w:val="110"/>
                <w:sz w:val="20"/>
              </w:rPr>
              <w:t>security</w:t>
            </w:r>
            <w:r>
              <w:rPr>
                <w:spacing w:val="80"/>
                <w:w w:val="110"/>
                <w:sz w:val="20"/>
              </w:rPr>
              <w:t xml:space="preserve"> </w:t>
            </w:r>
            <w:r>
              <w:rPr>
                <w:w w:val="110"/>
                <w:sz w:val="20"/>
              </w:rPr>
              <w:t xml:space="preserve">or development interests; (ii) </w:t>
            </w:r>
            <w:r>
              <w:rPr>
                <w:sz w:val="20"/>
              </w:rPr>
              <w:t xml:space="preserve">interrupt normal transactions with Chinese enterprises, organisations </w:t>
            </w:r>
            <w:r>
              <w:rPr>
                <w:w w:val="110"/>
                <w:sz w:val="20"/>
              </w:rPr>
              <w:t>or</w:t>
            </w:r>
            <w:r>
              <w:rPr>
                <w:spacing w:val="40"/>
                <w:w w:val="110"/>
                <w:sz w:val="20"/>
              </w:rPr>
              <w:t xml:space="preserve"> </w:t>
            </w:r>
            <w:r>
              <w:rPr>
                <w:w w:val="110"/>
                <w:sz w:val="20"/>
              </w:rPr>
              <w:t>individuals</w:t>
            </w:r>
            <w:r>
              <w:rPr>
                <w:spacing w:val="40"/>
                <w:w w:val="110"/>
                <w:sz w:val="20"/>
              </w:rPr>
              <w:t xml:space="preserve"> </w:t>
            </w:r>
            <w:r>
              <w:rPr>
                <w:w w:val="110"/>
                <w:sz w:val="20"/>
              </w:rPr>
              <w:t>contrary</w:t>
            </w:r>
            <w:r>
              <w:rPr>
                <w:spacing w:val="40"/>
                <w:w w:val="110"/>
                <w:sz w:val="20"/>
              </w:rPr>
              <w:t xml:space="preserve"> </w:t>
            </w:r>
            <w:r>
              <w:rPr>
                <w:w w:val="110"/>
                <w:sz w:val="20"/>
              </w:rPr>
              <w:t>to normal market principles; (iii) adopt discriminatory measures against</w:t>
            </w:r>
            <w:r>
              <w:rPr>
                <w:spacing w:val="-18"/>
                <w:w w:val="110"/>
                <w:sz w:val="20"/>
              </w:rPr>
              <w:t xml:space="preserve"> </w:t>
            </w:r>
            <w:r>
              <w:rPr>
                <w:w w:val="110"/>
                <w:sz w:val="20"/>
              </w:rPr>
              <w:t>Chinese</w:t>
            </w:r>
            <w:r>
              <w:rPr>
                <w:spacing w:val="-17"/>
                <w:w w:val="110"/>
                <w:sz w:val="20"/>
              </w:rPr>
              <w:t xml:space="preserve"> </w:t>
            </w:r>
            <w:r>
              <w:rPr>
                <w:w w:val="110"/>
                <w:sz w:val="20"/>
              </w:rPr>
              <w:t>investors</w:t>
            </w:r>
            <w:r>
              <w:rPr>
                <w:spacing w:val="-17"/>
                <w:w w:val="110"/>
                <w:sz w:val="20"/>
              </w:rPr>
              <w:t xml:space="preserve"> </w:t>
            </w:r>
            <w:r>
              <w:rPr>
                <w:w w:val="110"/>
                <w:sz w:val="20"/>
              </w:rPr>
              <w:t>or</w:t>
            </w:r>
            <w:r>
              <w:rPr>
                <w:spacing w:val="-17"/>
                <w:w w:val="110"/>
                <w:sz w:val="20"/>
              </w:rPr>
              <w:t xml:space="preserve"> </w:t>
            </w:r>
            <w:r>
              <w:rPr>
                <w:w w:val="110"/>
                <w:sz w:val="20"/>
              </w:rPr>
              <w:t xml:space="preserve">their outbound investments; or (iv) unreasonably deprive or restrict </w:t>
            </w:r>
            <w:r>
              <w:rPr>
                <w:spacing w:val="-2"/>
                <w:w w:val="110"/>
                <w:sz w:val="20"/>
              </w:rPr>
              <w:t>the</w:t>
            </w:r>
            <w:r>
              <w:rPr>
                <w:spacing w:val="-11"/>
                <w:w w:val="110"/>
                <w:sz w:val="20"/>
              </w:rPr>
              <w:t xml:space="preserve"> </w:t>
            </w:r>
            <w:r>
              <w:rPr>
                <w:spacing w:val="-2"/>
                <w:w w:val="110"/>
                <w:sz w:val="20"/>
              </w:rPr>
              <w:t>legitimate</w:t>
            </w:r>
            <w:r>
              <w:rPr>
                <w:spacing w:val="-11"/>
                <w:w w:val="110"/>
                <w:sz w:val="20"/>
              </w:rPr>
              <w:t xml:space="preserve"> </w:t>
            </w:r>
            <w:r>
              <w:rPr>
                <w:spacing w:val="-2"/>
                <w:w w:val="110"/>
                <w:sz w:val="20"/>
              </w:rPr>
              <w:t>rights</w:t>
            </w:r>
            <w:r>
              <w:rPr>
                <w:spacing w:val="-11"/>
                <w:w w:val="110"/>
                <w:sz w:val="20"/>
              </w:rPr>
              <w:t xml:space="preserve"> </w:t>
            </w:r>
            <w:r>
              <w:rPr>
                <w:spacing w:val="-2"/>
                <w:w w:val="110"/>
                <w:sz w:val="20"/>
              </w:rPr>
              <w:t>and</w:t>
            </w:r>
            <w:r>
              <w:rPr>
                <w:spacing w:val="-11"/>
                <w:w w:val="110"/>
                <w:sz w:val="20"/>
              </w:rPr>
              <w:t xml:space="preserve"> </w:t>
            </w:r>
            <w:r>
              <w:rPr>
                <w:spacing w:val="-2"/>
                <w:w w:val="110"/>
                <w:sz w:val="20"/>
              </w:rPr>
              <w:t xml:space="preserve">interests </w:t>
            </w:r>
            <w:r>
              <w:rPr>
                <w:w w:val="110"/>
                <w:sz w:val="20"/>
              </w:rPr>
              <w:t>of Chinese investors in their outbound</w:t>
            </w:r>
            <w:r>
              <w:rPr>
                <w:spacing w:val="-6"/>
                <w:w w:val="110"/>
                <w:sz w:val="20"/>
              </w:rPr>
              <w:t xml:space="preserve"> </w:t>
            </w:r>
            <w:r>
              <w:rPr>
                <w:w w:val="110"/>
                <w:sz w:val="20"/>
              </w:rPr>
              <w:t>investments.</w:t>
            </w:r>
          </w:p>
        </w:tc>
        <w:tc>
          <w:tcPr>
            <w:tcW w:w="4604" w:type="dxa"/>
          </w:tcPr>
          <w:p w:rsidR="00421E4F" w:rsidRDefault="00421E4F" w:rsidP="002C26BC">
            <w:pPr>
              <w:pStyle w:val="TableParagraph"/>
              <w:spacing w:before="23"/>
              <w:ind w:right="57"/>
              <w:rPr>
                <w:sz w:val="20"/>
              </w:rPr>
            </w:pPr>
            <w:r>
              <w:rPr>
                <w:w w:val="110"/>
                <w:sz w:val="20"/>
              </w:rPr>
              <w:t>Prohibitions or restrictions on: China-related import</w:t>
            </w:r>
            <w:r>
              <w:rPr>
                <w:spacing w:val="-18"/>
                <w:w w:val="110"/>
                <w:sz w:val="20"/>
              </w:rPr>
              <w:t xml:space="preserve"> </w:t>
            </w:r>
            <w:r>
              <w:rPr>
                <w:w w:val="110"/>
                <w:sz w:val="20"/>
              </w:rPr>
              <w:t>and</w:t>
            </w:r>
            <w:r>
              <w:rPr>
                <w:spacing w:val="-17"/>
                <w:w w:val="110"/>
                <w:sz w:val="20"/>
              </w:rPr>
              <w:t xml:space="preserve"> </w:t>
            </w:r>
            <w:r>
              <w:rPr>
                <w:w w:val="110"/>
                <w:sz w:val="20"/>
              </w:rPr>
              <w:t>export</w:t>
            </w:r>
            <w:r>
              <w:rPr>
                <w:spacing w:val="-17"/>
                <w:w w:val="110"/>
                <w:sz w:val="20"/>
              </w:rPr>
              <w:t xml:space="preserve"> </w:t>
            </w:r>
            <w:r>
              <w:rPr>
                <w:w w:val="110"/>
                <w:sz w:val="20"/>
              </w:rPr>
              <w:t>activities;</w:t>
            </w:r>
            <w:r>
              <w:rPr>
                <w:spacing w:val="-17"/>
                <w:w w:val="110"/>
                <w:sz w:val="20"/>
              </w:rPr>
              <w:t xml:space="preserve"> </w:t>
            </w:r>
            <w:r>
              <w:rPr>
                <w:w w:val="110"/>
                <w:sz w:val="20"/>
              </w:rPr>
              <w:t>investment</w:t>
            </w:r>
            <w:r>
              <w:rPr>
                <w:spacing w:val="-17"/>
                <w:w w:val="110"/>
                <w:sz w:val="20"/>
              </w:rPr>
              <w:t xml:space="preserve"> </w:t>
            </w:r>
            <w:r>
              <w:rPr>
                <w:w w:val="110"/>
                <w:sz w:val="20"/>
              </w:rPr>
              <w:t>within China; transactions and cooperation with organisations and individuals within China; and entry into China of relevant personnel, products</w:t>
            </w:r>
            <w:r>
              <w:rPr>
                <w:spacing w:val="-16"/>
                <w:w w:val="110"/>
                <w:sz w:val="20"/>
              </w:rPr>
              <w:t xml:space="preserve"> </w:t>
            </w:r>
            <w:r>
              <w:rPr>
                <w:w w:val="110"/>
                <w:sz w:val="20"/>
              </w:rPr>
              <w:t>and</w:t>
            </w:r>
            <w:r>
              <w:rPr>
                <w:spacing w:val="-16"/>
                <w:w w:val="110"/>
                <w:sz w:val="20"/>
              </w:rPr>
              <w:t xml:space="preserve"> </w:t>
            </w:r>
            <w:r>
              <w:rPr>
                <w:w w:val="110"/>
                <w:sz w:val="20"/>
              </w:rPr>
              <w:t>means</w:t>
            </w:r>
            <w:r>
              <w:rPr>
                <w:spacing w:val="-16"/>
                <w:w w:val="110"/>
                <w:sz w:val="20"/>
              </w:rPr>
              <w:t xml:space="preserve"> </w:t>
            </w:r>
            <w:r>
              <w:rPr>
                <w:w w:val="110"/>
                <w:sz w:val="20"/>
              </w:rPr>
              <w:t>of</w:t>
            </w:r>
            <w:r>
              <w:rPr>
                <w:spacing w:val="-16"/>
                <w:w w:val="110"/>
                <w:sz w:val="20"/>
              </w:rPr>
              <w:t xml:space="preserve"> </w:t>
            </w:r>
            <w:r>
              <w:rPr>
                <w:w w:val="110"/>
                <w:sz w:val="20"/>
              </w:rPr>
              <w:t>transport.</w:t>
            </w:r>
            <w:r>
              <w:rPr>
                <w:spacing w:val="-16"/>
                <w:w w:val="110"/>
                <w:sz w:val="20"/>
              </w:rPr>
              <w:t xml:space="preserve"> </w:t>
            </w:r>
            <w:r>
              <w:rPr>
                <w:w w:val="110"/>
                <w:sz w:val="20"/>
              </w:rPr>
              <w:t>Cancellation or restriction of work, stay or residence qualifications</w:t>
            </w:r>
            <w:r>
              <w:rPr>
                <w:spacing w:val="-3"/>
                <w:w w:val="110"/>
                <w:sz w:val="20"/>
              </w:rPr>
              <w:t xml:space="preserve"> </w:t>
            </w:r>
            <w:r>
              <w:rPr>
                <w:w w:val="110"/>
                <w:sz w:val="20"/>
              </w:rPr>
              <w:t>of</w:t>
            </w:r>
            <w:r>
              <w:rPr>
                <w:spacing w:val="-3"/>
                <w:w w:val="110"/>
                <w:sz w:val="20"/>
              </w:rPr>
              <w:t xml:space="preserve"> </w:t>
            </w:r>
            <w:r>
              <w:rPr>
                <w:w w:val="110"/>
                <w:sz w:val="20"/>
              </w:rPr>
              <w:t>relevant</w:t>
            </w:r>
            <w:r>
              <w:rPr>
                <w:spacing w:val="-3"/>
                <w:w w:val="110"/>
                <w:sz w:val="20"/>
              </w:rPr>
              <w:t xml:space="preserve"> </w:t>
            </w:r>
            <w:r>
              <w:rPr>
                <w:w w:val="110"/>
                <w:sz w:val="20"/>
              </w:rPr>
              <w:t>personnel</w:t>
            </w:r>
            <w:r>
              <w:rPr>
                <w:spacing w:val="-3"/>
                <w:w w:val="110"/>
                <w:sz w:val="20"/>
              </w:rPr>
              <w:t xml:space="preserve"> </w:t>
            </w:r>
            <w:r>
              <w:rPr>
                <w:w w:val="110"/>
                <w:sz w:val="20"/>
              </w:rPr>
              <w:t>in</w:t>
            </w:r>
            <w:r>
              <w:rPr>
                <w:spacing w:val="-3"/>
                <w:w w:val="110"/>
                <w:sz w:val="20"/>
              </w:rPr>
              <w:t xml:space="preserve"> </w:t>
            </w:r>
            <w:r>
              <w:rPr>
                <w:w w:val="110"/>
                <w:sz w:val="20"/>
              </w:rPr>
              <w:t>China.</w:t>
            </w:r>
          </w:p>
        </w:tc>
        <w:tc>
          <w:tcPr>
            <w:tcW w:w="2476" w:type="dxa"/>
          </w:tcPr>
          <w:p w:rsidR="00421E4F" w:rsidRDefault="00421E4F" w:rsidP="002C26BC">
            <w:pPr>
              <w:pStyle w:val="TableParagraph"/>
              <w:tabs>
                <w:tab w:val="left" w:pos="2192"/>
              </w:tabs>
              <w:spacing w:before="23"/>
              <w:ind w:right="58" w:hanging="1"/>
              <w:rPr>
                <w:sz w:val="20"/>
              </w:rPr>
            </w:pPr>
            <w:r>
              <w:rPr>
                <w:w w:val="110"/>
                <w:sz w:val="20"/>
              </w:rPr>
              <w:t xml:space="preserve">The relevant foreign </w:t>
            </w:r>
            <w:r>
              <w:rPr>
                <w:spacing w:val="-2"/>
                <w:w w:val="110"/>
                <w:sz w:val="20"/>
              </w:rPr>
              <w:t>organisations</w:t>
            </w:r>
            <w:r>
              <w:rPr>
                <w:sz w:val="20"/>
              </w:rPr>
              <w:tab/>
            </w:r>
            <w:r>
              <w:rPr>
                <w:spacing w:val="-6"/>
                <w:w w:val="110"/>
                <w:sz w:val="20"/>
              </w:rPr>
              <w:t xml:space="preserve">or </w:t>
            </w:r>
            <w:r>
              <w:rPr>
                <w:w w:val="110"/>
                <w:sz w:val="20"/>
              </w:rPr>
              <w:t>individuals, extending</w:t>
            </w:r>
            <w:r>
              <w:rPr>
                <w:spacing w:val="40"/>
                <w:w w:val="110"/>
                <w:sz w:val="20"/>
              </w:rPr>
              <w:t xml:space="preserve"> </w:t>
            </w:r>
            <w:r>
              <w:rPr>
                <w:spacing w:val="-2"/>
                <w:w w:val="110"/>
                <w:sz w:val="20"/>
              </w:rPr>
              <w:t>to</w:t>
            </w:r>
            <w:r>
              <w:rPr>
                <w:spacing w:val="-16"/>
                <w:w w:val="110"/>
                <w:sz w:val="20"/>
              </w:rPr>
              <w:t xml:space="preserve"> </w:t>
            </w:r>
            <w:r>
              <w:rPr>
                <w:spacing w:val="-2"/>
                <w:w w:val="110"/>
                <w:sz w:val="20"/>
              </w:rPr>
              <w:t>organisations</w:t>
            </w:r>
            <w:r>
              <w:rPr>
                <w:spacing w:val="-15"/>
                <w:w w:val="110"/>
                <w:sz w:val="20"/>
              </w:rPr>
              <w:t xml:space="preserve"> </w:t>
            </w:r>
            <w:r>
              <w:rPr>
                <w:spacing w:val="-2"/>
                <w:w w:val="110"/>
                <w:sz w:val="20"/>
              </w:rPr>
              <w:t xml:space="preserve">actually </w:t>
            </w:r>
            <w:r>
              <w:rPr>
                <w:w w:val="110"/>
                <w:sz w:val="20"/>
              </w:rPr>
              <w:t>controlled by them or</w:t>
            </w:r>
            <w:r>
              <w:rPr>
                <w:spacing w:val="40"/>
                <w:w w:val="110"/>
                <w:sz w:val="20"/>
              </w:rPr>
              <w:t xml:space="preserve"> </w:t>
            </w:r>
            <w:r>
              <w:rPr>
                <w:w w:val="110"/>
                <w:sz w:val="20"/>
              </w:rPr>
              <w:t xml:space="preserve">in whose establishment or operation they </w:t>
            </w:r>
            <w:r>
              <w:rPr>
                <w:spacing w:val="-2"/>
                <w:w w:val="110"/>
                <w:sz w:val="20"/>
              </w:rPr>
              <w:t>participate.</w:t>
            </w:r>
          </w:p>
        </w:tc>
      </w:tr>
    </w:tbl>
    <w:p w:rsidR="00311C8D" w:rsidRDefault="00421E4F">
      <w:pPr>
        <w:pStyle w:val="BodyText"/>
      </w:pPr>
      <w:r>
        <w:t xml:space="preserve">Two features merit emphasis. First, Article 24 dovetails expressly with the Anti-Foreign </w:t>
      </w:r>
      <w:r>
        <w:t xml:space="preserve">Sanctions Law and its 2025 implementing provisions: participation in the formulation, decision or implementation of discriminatory foreign measures – including, potentially, by private organisations and individuals – can ground a counter-sanction listing. </w:t>
      </w:r>
      <w:r>
        <w:t xml:space="preserve">Secondly, Article 25 measures can extend to organisations </w:t>
      </w:r>
      <w:r>
        <w:rPr>
          <w:i/>
        </w:rPr>
        <w:t>actually controlled by, or established or operated with the participation of</w:t>
      </w:r>
      <w:r>
        <w:t>, the targeted foreign persons, creating potential exposure across corporate structures, including joint ventures and port</w:t>
      </w:r>
      <w:r>
        <w:t>folio companies.</w:t>
      </w:r>
    </w:p>
    <w:p w:rsidR="00311C8D" w:rsidRDefault="00421E4F">
      <w:pPr>
        <w:pStyle w:val="Heading2"/>
      </w:pPr>
      <w:bookmarkStart w:id="12" w:name="Xd71521b3a9b5a6ffa93c7e14c42863ed625c1ac"/>
      <w:r>
        <w:t>Cross-Border Data, State Secrets and Foreign Proceedings (Articles 21–22)</w:t>
      </w:r>
      <w:bookmarkEnd w:id="12"/>
    </w:p>
    <w:p w:rsidR="00311C8D" w:rsidRDefault="00421E4F">
      <w:pPr>
        <w:pStyle w:val="FirstParagraph"/>
      </w:pPr>
      <w:r>
        <w:t>Article 21 encourages Chinese investors to resolve outbound investment disputes through consultation, mediation, arbitration and litigation. Article 22 then addresse</w:t>
      </w:r>
      <w:r>
        <w:t>s a question of growing practical importance: organisations and individuals within China that participate in outbound investment-related arbitration or litigation administered outside China, or that are subject to investigation or examination by foreign ju</w:t>
      </w:r>
      <w:r>
        <w:t>dicial or law enforcement authorities, must comply with PRC laws and regulations in relation to the protection of state secrets, data security, personal information protection, technology export administration, export control and judicial assistance before</w:t>
      </w:r>
      <w:r>
        <w:t xml:space="preserve"> providing evidence or materials abroad, and must complete the required legal procedures where approval of a competent authority is needed.</w:t>
      </w:r>
    </w:p>
    <w:p w:rsidR="00311C8D" w:rsidRDefault="00421E4F">
      <w:pPr>
        <w:pStyle w:val="BodyText"/>
      </w:pPr>
      <w:r>
        <w:t>As Article 22 applies on a territorial rather than a nationality basis, the obligation extends to foreign-invested e</w:t>
      </w:r>
      <w:r>
        <w:t>nterprises and foreign individuals operating within China, including China-incorporated subsidiaries of international groups. It sharpens an existing conflict-of-laws tension for parties simultaneously subject to foreign discovery, disclosure or regulatory</w:t>
      </w:r>
      <w:r>
        <w:t xml:space="preserve"> production obligations and to PRC restrictions on outbound data transfer – including security assessment of outbound transfers of important data under the Cyberspace Administration of China’s </w:t>
      </w:r>
      <w:r>
        <w:rPr>
          <w:i/>
        </w:rPr>
        <w:t>Security Assessment Measures for Outbound Data Transfer</w:t>
      </w:r>
      <w:r>
        <w:t xml:space="preserve"> (</w:t>
      </w:r>
      <w:r>
        <w:t>《数据出境安</w:t>
      </w:r>
      <w:r>
        <w:t>全评估办法》</w:t>
      </w:r>
      <w:r>
        <w:t>). Disclosure protocols in cross-border disputes and investigations involving China-located evidence should be designed with these regimes squarely in mind.</w:t>
      </w:r>
    </w:p>
    <w:p w:rsidR="00311C8D" w:rsidRDefault="00421E4F">
      <w:pPr>
        <w:pStyle w:val="Heading2"/>
      </w:pPr>
      <w:bookmarkStart w:id="13" w:name="X22de774c9d7b55b9997b26cc9fd157f80db4582"/>
      <w:r>
        <w:lastRenderedPageBreak/>
        <w:t>Duties of Chinese Investors: Approvals, Filings and Full Life-Cycle Compliance</w:t>
      </w:r>
      <w:bookmarkEnd w:id="13"/>
    </w:p>
    <w:p w:rsidR="00311C8D" w:rsidRPr="00421E4F" w:rsidRDefault="00421E4F">
      <w:pPr>
        <w:pStyle w:val="Heading3"/>
        <w:rPr>
          <w:color w:val="auto"/>
        </w:rPr>
      </w:pPr>
      <w:bookmarkStart w:id="14" w:name="X8780c9f48f257d5419c182bbab9ea02fbe11832"/>
      <w:r w:rsidRPr="00421E4F">
        <w:rPr>
          <w:color w:val="auto"/>
        </w:rPr>
        <w:t>Approval, Fili</w:t>
      </w:r>
      <w:r w:rsidRPr="00421E4F">
        <w:rPr>
          <w:color w:val="auto"/>
        </w:rPr>
        <w:t>ng and Registration Obligations (Article 12)</w:t>
      </w:r>
      <w:bookmarkEnd w:id="14"/>
    </w:p>
    <w:p w:rsidR="00311C8D" w:rsidRDefault="00421E4F">
      <w:pPr>
        <w:pStyle w:val="FirstParagraph"/>
      </w:pPr>
      <w:r>
        <w:t>Article 12 requires Chinese investors that are obliged by law to complete approval or filing, information reporting and cross-border funds registration procedures to do so in accordance with national provisions,</w:t>
      </w:r>
      <w:r>
        <w:t xml:space="preserve"> to submit materials truthfully and to cooperate with supervision and inspection. The operative machinery remains that of the MOFCOM Measures and the NDRC Measures: in broad terms, outbound investments constituting sensitive projects require the NDRC and M</w:t>
      </w:r>
      <w:r>
        <w:t>OFCOM approvals, while non-sensitive projects are subject to filings, with SAFE-supervised foreign exchange registration effected through banks.</w:t>
      </w:r>
    </w:p>
    <w:p w:rsidR="00311C8D" w:rsidRDefault="00421E4F">
      <w:pPr>
        <w:pStyle w:val="BodyText"/>
      </w:pPr>
      <w:r>
        <w:t>Importantly, approval or filing obligations are not confined to the point of initial investment. Material chang</w:t>
      </w:r>
      <w:r>
        <w:t>es, further investment (including re-investment of proceeds), and transfers or disposals during the life of a project can trigger fresh filings or approvals under the MOFCOM Measures, the NDRC Measures and the 2026 Regulations, and may attract security rev</w:t>
      </w:r>
      <w:r>
        <w:t>iew as noted above. The 2026 Regulations thus confirm a full life-cycle model of supervision.</w:t>
      </w:r>
    </w:p>
    <w:p w:rsidR="00311C8D" w:rsidRDefault="00421E4F">
      <w:pPr>
        <w:pStyle w:val="BodyText"/>
      </w:pPr>
      <w:r>
        <w:pict>
          <v:shape id="_x0000_i1029" type="#_x0000_t75" style="width:508.4pt;height:185.85pt">
            <v:imagedata r:id="rId13" o:title="2"/>
          </v:shape>
        </w:pict>
      </w:r>
      <w:r>
        <w:rPr>
          <w:i/>
        </w:rPr>
        <w:t>Figure 2: Full life-cycle supervision of PRC outbound investment under Order No. 837</w:t>
      </w:r>
    </w:p>
    <w:p w:rsidR="00311C8D" w:rsidRPr="00421E4F" w:rsidRDefault="00421E4F">
      <w:pPr>
        <w:pStyle w:val="Heading3"/>
        <w:rPr>
          <w:color w:val="auto"/>
        </w:rPr>
      </w:pPr>
      <w:bookmarkStart w:id="15" w:name="Xe9bceaad374d74af61ff6d29e8c7f7747c51ac7"/>
      <w:r w:rsidRPr="00421E4F">
        <w:rPr>
          <w:color w:val="auto"/>
        </w:rPr>
        <w:t>Compliance with Host Country Laws and International Norms (Article 5)</w:t>
      </w:r>
      <w:bookmarkEnd w:id="15"/>
    </w:p>
    <w:p w:rsidR="00311C8D" w:rsidRDefault="00421E4F">
      <w:pPr>
        <w:pStyle w:val="FirstParagraph"/>
      </w:pPr>
      <w:r>
        <w:t>Articl</w:t>
      </w:r>
      <w:r>
        <w:t>e 5 affirms Chinese investors’ autonomy to invest on market principles – making their own decisions and bearing their own risks – while requiring compliance with host country laws and regulations and international customary practice, respect for local cust</w:t>
      </w:r>
      <w:r>
        <w:t>oms and cultural traditions, adherence to commercial ethics, good faith and fair competition, the performance of social responsibilities and the safeguarding of China’s national image. Investors must not impair market competition, damage the environment or</w:t>
      </w:r>
      <w:r>
        <w:t xml:space="preserve"> harm workers’ lawful rights and interests, and must not endanger China’s national security or harm national and public interests. The provision underscores the premium the PRC authorities place on responsible, locally adapted conduct as a condition of dur</w:t>
      </w:r>
      <w:r>
        <w:t>able outbound investment.</w:t>
      </w:r>
    </w:p>
    <w:p w:rsidR="00311C8D" w:rsidRPr="00421E4F" w:rsidRDefault="00421E4F">
      <w:pPr>
        <w:pStyle w:val="Heading3"/>
        <w:rPr>
          <w:color w:val="auto"/>
        </w:rPr>
      </w:pPr>
      <w:bookmarkStart w:id="16" w:name="Xba720323627b4a3b2120a4c4a243eca418913e6"/>
      <w:r w:rsidRPr="00421E4F">
        <w:rPr>
          <w:color w:val="auto"/>
        </w:rPr>
        <w:t>Corporate Governance, ESG and Conduct Standards (Articles 16–17)</w:t>
      </w:r>
      <w:bookmarkEnd w:id="16"/>
    </w:p>
    <w:p w:rsidR="00311C8D" w:rsidRDefault="00421E4F">
      <w:pPr>
        <w:pStyle w:val="FirstParagraph"/>
      </w:pPr>
      <w:r>
        <w:t xml:space="preserve">Article 16 requires Chinese investors and their invested enterprises abroad to improve governance structures and to establish sound systems for compliant operation, </w:t>
      </w:r>
      <w:r>
        <w:t>internal control, work safety and emergency response, supported by adequate personnel, funding and equipment to protect employees and assets. Article 17 prohibits conduct that disrupts the order of the outbound investment market: damaging the commercial re</w:t>
      </w:r>
      <w:r>
        <w:t xml:space="preserve">putation of other investors or the reputation of their goods, infringing trade secrets, dumping at unjustifiably low prices, and obtaining improper </w:t>
      </w:r>
      <w:r>
        <w:lastRenderedPageBreak/>
        <w:t xml:space="preserve">benefits through bribery or fraud. Breach of Article 17 may attract rectification orders and, where harmful </w:t>
      </w:r>
      <w:r>
        <w:t>consequences ensue, a ban on outbound investment of one to three years (Article 29).</w:t>
      </w:r>
    </w:p>
    <w:p w:rsidR="00311C8D" w:rsidRPr="00421E4F" w:rsidRDefault="00421E4F">
      <w:pPr>
        <w:pStyle w:val="Heading3"/>
        <w:rPr>
          <w:color w:val="auto"/>
        </w:rPr>
      </w:pPr>
      <w:bookmarkStart w:id="17" w:name="X8cfd5e0c773f01b284395613237dbfe90375aae"/>
      <w:r w:rsidRPr="00421E4F">
        <w:rPr>
          <w:color w:val="auto"/>
        </w:rPr>
        <w:t>Duties to Assist and Cooperate with the PRC Authorities</w:t>
      </w:r>
      <w:bookmarkEnd w:id="17"/>
    </w:p>
    <w:p w:rsidR="00311C8D" w:rsidRDefault="00421E4F">
      <w:pPr>
        <w:pStyle w:val="FirstParagraph"/>
      </w:pPr>
      <w:r>
        <w:t>Across the 2026 Regulations, Chinese investors and other relevant organisations and individuals owe duties to assis</w:t>
      </w:r>
      <w:r>
        <w:t>t and cooperate with the authorities – in national security review (Article 15), in investment barrier investigations (Article 23) and in government risk-avoidance arrangements where major emergencies such as war, civil unrest, natural disasters or epidemi</w:t>
      </w:r>
      <w:r>
        <w:t>cs occur in a host country (Article 20). The consular protection provisions of Articles 18 to 20, under which the State monitors country risk, issues alerts and assists investors and Chinese-national employees abroad, are the service-oriented counterpart o</w:t>
      </w:r>
      <w:r>
        <w:t>f these obligations.</w:t>
      </w:r>
    </w:p>
    <w:p w:rsidR="00311C8D" w:rsidRPr="00421E4F" w:rsidRDefault="00421E4F">
      <w:pPr>
        <w:pStyle w:val="Heading3"/>
        <w:rPr>
          <w:color w:val="auto"/>
        </w:rPr>
      </w:pPr>
      <w:bookmarkStart w:id="18" w:name="Xffb70b42b78c0eb1863a9cc4ed961d9d0cd3d85"/>
      <w:r w:rsidRPr="00421E4F">
        <w:rPr>
          <w:color w:val="auto"/>
        </w:rPr>
        <w:t>Enforcement and Penalties under the 2026 Regulations (Articles 27–30)</w:t>
      </w:r>
      <w:bookmarkEnd w:id="18"/>
    </w:p>
    <w:p w:rsidR="00311C8D" w:rsidRDefault="00421E4F">
      <w:pPr>
        <w:pStyle w:val="FirstParagraph"/>
      </w:pPr>
      <w:r>
        <w:t>Article 27 sets the principal monetary sanctions. Failure to complete approval or filing procedures, or applying through false materials or concealment, attracts rec</w:t>
      </w:r>
      <w:r>
        <w:t>tification orders, confiscation of unlawful gains and fines of 1‰ to 5‰ of the investment amount; refusal to rectify escalates to orders to cease the investment and dispose of shares and assets, fines of 5‰ to 10‰, and personal fines of RMB 20,000 to RMB 5</w:t>
      </w:r>
      <w:r>
        <w:t>0,000 on responsible persons. Approvals or filings obtained by bribery, deception or other improper means are revoked, with the same fine bands and, where the investment has been made, cessation and disposal orders. From the date a penalty decision takes e</w:t>
      </w:r>
      <w:r>
        <w:t>ffect, the Chinese authorities may refuse to accept new approval or filing applications from the violator for up to three years, or ban it from outbound investment activity for one to three years. Article 30 preserves the Chinese investors’ civil, public s</w:t>
      </w:r>
      <w:r>
        <w:t>ecurity and criminal liability arising from breach of the 2026 Regulations.</w:t>
      </w:r>
    </w:p>
    <w:p w:rsidR="00421E4F" w:rsidRDefault="00421E4F">
      <w:pPr>
        <w:pStyle w:val="FirstParagraph"/>
      </w:pPr>
      <w:r>
        <w:pict>
          <v:shape id="_x0000_i1030" type="#_x0000_t75" style="width:508.4pt;height:183.9pt">
            <v:imagedata r:id="rId14" o:title="3"/>
          </v:shape>
        </w:pict>
      </w:r>
    </w:p>
    <w:p w:rsidR="00311C8D" w:rsidRDefault="00421E4F">
      <w:pPr>
        <w:pStyle w:val="BodyText"/>
      </w:pPr>
      <w:r>
        <w:rPr>
          <w:i/>
        </w:rPr>
        <w:t>Figure 3: Monetary penalty bands under Article 27 of the 2026 Regulations (‰ of investment amount)</w:t>
      </w:r>
    </w:p>
    <w:p w:rsidR="00311C8D" w:rsidRDefault="00421E4F">
      <w:pPr>
        <w:pStyle w:val="Heading2"/>
      </w:pPr>
      <w:bookmarkStart w:id="19" w:name="Xa23d4596a241784d922cbfc7a85ce59dd220740"/>
      <w:r>
        <w:t>The 2026 Regulations and Provisions of Anti-undue Extraterritorial Jurisdiction: A Coordinated PRC Legal Architecture for Geoeconomic Risk</w:t>
      </w:r>
      <w:bookmarkEnd w:id="19"/>
    </w:p>
    <w:p w:rsidR="00311C8D" w:rsidRDefault="00421E4F">
      <w:pPr>
        <w:pStyle w:val="FirstParagraph"/>
      </w:pPr>
      <w:r>
        <w:t xml:space="preserve">The 2026 Regulations should be read alongside State Council Order No. 835, i.e., the </w:t>
      </w:r>
      <w:hyperlink r:id="rId15">
        <w:r w:rsidRPr="00421E4F">
          <w:rPr>
            <w:color w:val="FF0000"/>
            <w:u w:val="single"/>
          </w:rPr>
          <w:t>Provisions on Anti-Undue Extraterritorial Jurisdiction by Foreign Countries</w:t>
        </w:r>
      </w:hyperlink>
      <w:r>
        <w:t xml:space="preserve">, issued on 7 April 2026 and effective the same day. Order No. 835 elevates China’s blocking regime from ministerial rules to State </w:t>
      </w:r>
      <w:r>
        <w:t>Council level. Once a foreign measure is designated as undue extraterritorial jurisdiction, organisations and individuals are generally prohibited from implementing or assisting in implementing it absent approval; foreign organisations and individuals part</w:t>
      </w:r>
      <w:r>
        <w:t>icipating in such measures may be listed on a malicious entity list (with exposure extending to affiliated entities); and Chinese parties harmed by designated measures may sue implementers in the PRC courts.</w:t>
      </w:r>
    </w:p>
    <w:p w:rsidR="00311C8D" w:rsidRDefault="00421E4F">
      <w:pPr>
        <w:pStyle w:val="BodyText"/>
      </w:pPr>
      <w:r>
        <w:lastRenderedPageBreak/>
        <w:t>The two orders are complementary and reinforce a</w:t>
      </w:r>
      <w:r>
        <w:t xml:space="preserve"> common theme: compliance with foreign regulatory requirements may itself become a source of legal risk in China. Order No. 835 addresses inbound legal pressure – prohibiting compliance with designated foreign measures such as certain export controls or in</w:t>
      </w:r>
      <w:r>
        <w:t>vestment restrictions – while the 2026 Regulations frame the outbound dimension, equipping the PRC State Council to respond where foreign governments or entities restrict or discriminate against Chinese investors abroad. For multinational groups, the pract</w:t>
      </w:r>
      <w:r>
        <w:t>ical consequence is a deepening tension between competing legal obligations: conduct mandated in one jurisdiction may be prohibited in another, and the implementing parties risk designation under either framework. As at the date of this Newsletter, no fore</w:t>
      </w:r>
      <w:r>
        <w:t>ign measures have been designated and no entities listed under Order No. 835.</w:t>
      </w:r>
    </w:p>
    <w:p w:rsidR="00311C8D" w:rsidRDefault="00421E4F">
      <w:pPr>
        <w:pStyle w:val="Heading2"/>
      </w:pPr>
      <w:bookmarkStart w:id="20" w:name="X9f38401fb6c923bd793c44def0bcbec8945002d"/>
      <w:r>
        <w:t>Implications for International Investors, Joint Venture Partners and Companies Operating in Critical Sectors</w:t>
      </w:r>
      <w:bookmarkEnd w:id="20"/>
    </w:p>
    <w:p w:rsidR="00311C8D" w:rsidRDefault="00421E4F">
      <w:pPr>
        <w:pStyle w:val="FirstParagraph"/>
      </w:pPr>
      <w:r>
        <w:t>The 2026 Regulations provide the Chinese government with a comprehens</w:t>
      </w:r>
      <w:r>
        <w:t xml:space="preserve">ive legal framework regulating the full life-cycle of Chinese outbound investment, from pre-investment approval, filing and ongoing compliance to exit. Even companies headquartered outside China may face indirect exposure through counterparties, financing </w:t>
      </w:r>
      <w:r>
        <w:t>sources and supply chain relationships. Sectors of pronounced strategic importance (such as critical minerals, lithium and the broader battery materials chain, rare earths, semiconductors and advanced manufacturing) sit squarely within the regulatory focus</w:t>
      </w:r>
      <w:r>
        <w:t xml:space="preserve"> of both the PRC authorities and foreign investment screening regimes: projects in these sectors frequently involve Chinese joint venture partners, access to Chinese processing capacity or reliance on Chinese technical expertise, each of which now carries </w:t>
      </w:r>
      <w:r>
        <w:t>an additional layer of PRC regulatory and geopolitical risk.</w:t>
      </w:r>
    </w:p>
    <w:p w:rsidR="00311C8D" w:rsidRDefault="00421E4F">
      <w:pPr>
        <w:pStyle w:val="BodyText"/>
      </w:pPr>
      <w:r>
        <w:t>International businesses with Chinese partners, investors or financing relationships should consider, in particular:</w:t>
      </w:r>
    </w:p>
    <w:p w:rsidR="00311C8D" w:rsidRDefault="00421E4F">
      <w:pPr>
        <w:pStyle w:val="Compact"/>
        <w:numPr>
          <w:ilvl w:val="0"/>
          <w:numId w:val="6"/>
        </w:numPr>
      </w:pPr>
      <w:r>
        <w:rPr>
          <w:b/>
        </w:rPr>
        <w:t>Export control diligence (Article 13)</w:t>
      </w:r>
      <w:r>
        <w:t>: whether proposed or existing arrangemen</w:t>
      </w:r>
      <w:r>
        <w:t>ts involve goods, technologies, services or data subject to PRC export prohibitions or restrictions, with particular attention to processing technologies, secondment of technical personnel, technical services and training, and cross-border data flows.</w:t>
      </w:r>
    </w:p>
    <w:p w:rsidR="00311C8D" w:rsidRDefault="00421E4F">
      <w:pPr>
        <w:pStyle w:val="Compact"/>
        <w:numPr>
          <w:ilvl w:val="0"/>
          <w:numId w:val="6"/>
        </w:numPr>
      </w:pPr>
      <w:r>
        <w:rPr>
          <w:b/>
        </w:rPr>
        <w:t>Coun</w:t>
      </w:r>
      <w:r>
        <w:rPr>
          <w:b/>
        </w:rPr>
        <w:t>terparty and countermeasure exposure (Articles 24–25)</w:t>
      </w:r>
      <w:r>
        <w:t xml:space="preserve">: mapping exposure to Chinese partners and financing sources in joint ventures, offtake and licensing arrangements against the countermeasure framework, including the extension of measures to controlled </w:t>
      </w:r>
      <w:r>
        <w:t>and affiliated entities.</w:t>
      </w:r>
    </w:p>
    <w:p w:rsidR="00311C8D" w:rsidRDefault="00421E4F">
      <w:pPr>
        <w:pStyle w:val="Compact"/>
        <w:numPr>
          <w:ilvl w:val="0"/>
          <w:numId w:val="6"/>
        </w:numPr>
      </w:pPr>
      <w:r>
        <w:rPr>
          <w:b/>
        </w:rPr>
        <w:t>Transaction documentation</w:t>
      </w:r>
      <w:r>
        <w:t>: allocating regulatory change, countermeasure and forced-divestment risk through conditions precedent, termination rights, force majeure and material adverse change provisions, and specific compliance undertakings; and anticipating parallel PRC and foreig</w:t>
      </w:r>
      <w:r>
        <w:t>n security reviews in transaction timetables and long-stop dates.</w:t>
      </w:r>
    </w:p>
    <w:p w:rsidR="00311C8D" w:rsidRDefault="00421E4F">
      <w:pPr>
        <w:pStyle w:val="Compact"/>
        <w:numPr>
          <w:ilvl w:val="0"/>
          <w:numId w:val="6"/>
        </w:numPr>
      </w:pPr>
      <w:r>
        <w:rPr>
          <w:b/>
        </w:rPr>
        <w:t>Exit and restructuring planning (Article 15)</w:t>
      </w:r>
      <w:r>
        <w:t>: recognising that transfers and disposals of Chinese-invested offshore assets may themselves require China’s security review (and approval), with</w:t>
      </w:r>
      <w:r>
        <w:t xml:space="preserve"> consequences for secondary sales, refinancings and intra-group reorganisations.</w:t>
      </w:r>
    </w:p>
    <w:p w:rsidR="00311C8D" w:rsidRDefault="00421E4F">
      <w:pPr>
        <w:pStyle w:val="Compact"/>
        <w:numPr>
          <w:ilvl w:val="0"/>
          <w:numId w:val="6"/>
        </w:numPr>
      </w:pPr>
      <w:r>
        <w:rPr>
          <w:b/>
        </w:rPr>
        <w:t>Conflict-of-laws management (Article 22 and Order No. 835)</w:t>
      </w:r>
      <w:r>
        <w:t>: designing disclosure and discovery protocols for China-located evidence, and stress-testing group compliance polici</w:t>
      </w:r>
      <w:r>
        <w:t>es against the possibility that foreign regulatory obligations are designated under the anti-extraterritoriality regime.</w:t>
      </w:r>
    </w:p>
    <w:p w:rsidR="00311C8D" w:rsidRDefault="00421E4F">
      <w:pPr>
        <w:pStyle w:val="Compact"/>
        <w:numPr>
          <w:ilvl w:val="0"/>
          <w:numId w:val="6"/>
        </w:numPr>
      </w:pPr>
      <w:r>
        <w:rPr>
          <w:b/>
        </w:rPr>
        <w:t>Ongoing monitoring</w:t>
      </w:r>
      <w:r>
        <w:t>: establishing governance processes to track implementing rules – including the anticipated measures for outbound inv</w:t>
      </w:r>
      <w:r>
        <w:t>estment by PRC resident individuals – and any designations, listings or countermeasures activated under the new framework.</w:t>
      </w:r>
    </w:p>
    <w:p w:rsidR="00311C8D" w:rsidRDefault="00421E4F">
      <w:pPr>
        <w:pStyle w:val="Heading2"/>
      </w:pPr>
      <w:bookmarkStart w:id="21" w:name="impact-of-chinas-2026-regulations"/>
      <w:r>
        <w:lastRenderedPageBreak/>
        <w:t>Impact of China’s 2026 Regulations</w:t>
      </w:r>
      <w:bookmarkEnd w:id="21"/>
    </w:p>
    <w:p w:rsidR="00311C8D" w:rsidRDefault="00421E4F">
      <w:pPr>
        <w:pStyle w:val="FirstParagraph"/>
      </w:pPr>
      <w:r>
        <w:t>The 2026 Regulations create a more unified and authoritative legal framework for PRC outbound inve</w:t>
      </w:r>
      <w:r>
        <w:t>stment without displacing the familiar MOFCOM, the NDRC and SAFE machinery. Their significance is as much geopolitical as administrative: outbound capital is now expressly governed within China’s holistic approach to national security, export controls trav</w:t>
      </w:r>
      <w:r>
        <w:t>el with the investment, and the PRC State Council holds a statutory toolkit of investigations and countermeasures calibrated to the external environment. For Chinese investors, the compliance perimeter now runs from first approval to final exit. For intern</w:t>
      </w:r>
      <w:r>
        <w:t>ational counterparties, the message is equally clear: understanding the PRC regulatory position of a Chinese partner is no longer a matter of deal due diligence alone, but a core element of geopolitical risk management. Charltons will continue to monitor i</w:t>
      </w:r>
      <w:r>
        <w:t>mplementing rules and enforcement practice as the 2026 Regulations take effect on 1 July 2026.</w:t>
      </w:r>
    </w:p>
    <w:p w:rsidR="00421E4F" w:rsidRDefault="00421E4F">
      <w:pPr>
        <w:pStyle w:val="FirstParagraph"/>
      </w:pPr>
    </w:p>
    <w:p w:rsidR="00421E4F" w:rsidRDefault="00421E4F">
      <w:pPr>
        <w:pStyle w:val="FirstParagraph"/>
      </w:pPr>
    </w:p>
    <w:p w:rsidR="00311C8D" w:rsidRDefault="00421E4F">
      <w:pPr>
        <w:pStyle w:val="Compact"/>
        <w:numPr>
          <w:ilvl w:val="0"/>
          <w:numId w:val="7"/>
        </w:numPr>
      </w:pPr>
      <w:r>
        <w:t>As at the date of this Newsletter, no official English translation of the 2026 Regulations or of the other PRC laws and regulations cited has been published. All</w:t>
      </w:r>
      <w:r>
        <w:t xml:space="preserve"> English titles and quotations of provisions are accordingly unofficial translations prepared for convenience only.</w:t>
      </w:r>
    </w:p>
    <w:p w:rsidR="00311C8D" w:rsidRDefault="00421E4F">
      <w:pPr>
        <w:pStyle w:val="Compact"/>
        <w:numPr>
          <w:ilvl w:val="0"/>
          <w:numId w:val="7"/>
        </w:numPr>
      </w:pPr>
      <w:r>
        <w:t>In this Newsletter, “China” and the “PRC” refer to the People’s Republic of China excluding, for these purposes, the Hong Kong Special Admin</w:t>
      </w:r>
      <w:r>
        <w:t>istrative Region, the Macau Special Administrative Region and Taiwan, and “Chinese” is construed accordingly. Note, however, Article 32 of the 2026 Regulations discussed below, under which investment by Mainland investors into Hong Kong, Macau and Taiwan i</w:t>
      </w:r>
      <w:r>
        <w:t>s administered by reference to the 2026 Regulations.</w:t>
      </w:r>
    </w:p>
    <w:p w:rsidR="00311C8D" w:rsidRDefault="00421E4F">
      <w:pPr>
        <w:pStyle w:val="Compact"/>
        <w:numPr>
          <w:ilvl w:val="0"/>
          <w:numId w:val="7"/>
        </w:numPr>
      </w:pPr>
      <w:r>
        <w:t>An “Article” in this Newsletter refers to the relevant article of the 2026 Regulations, unless otherwise stated.</w:t>
      </w:r>
    </w:p>
    <w:p w:rsidR="00311C8D" w:rsidRDefault="00421E4F">
      <w:pPr>
        <w:pStyle w:val="Compact"/>
        <w:numPr>
          <w:ilvl w:val="0"/>
          <w:numId w:val="7"/>
        </w:numPr>
      </w:pPr>
      <w:r>
        <w:t>A PRC resident individual may register with SAFE under the Circular on Foreign Exchange Ad</w:t>
      </w:r>
      <w:r>
        <w:t>ministration of Offshore Investment, Financing and Round-trip Investment by Domestic Residents through Special Purpose Vehicles (</w:t>
      </w:r>
      <w:hyperlink r:id="rId16">
        <w:r w:rsidRPr="00421E4F">
          <w:rPr>
            <w:color w:val="FF0000"/>
            <w:u w:val="single"/>
          </w:rPr>
          <w:t>SAFE Circular No. 37 of 2014</w:t>
        </w:r>
      </w:hyperlink>
      <w:r>
        <w:t>) in order to establish or acqu</w:t>
      </w:r>
      <w:r>
        <w:t>ire an offshore special purpose vehicle for outbound investment and fund-raising with round-trip investment into China. PRC individuals may also access offshore markets through QDII, QDLP/QDIE, employee share ownership plans, Stock Connect and other lawful</w:t>
      </w:r>
      <w:r>
        <w:t xml:space="preserve"> channels, in each case subject to qualifying conditions.</w:t>
      </w:r>
    </w:p>
    <w:p w:rsidR="00311C8D" w:rsidRDefault="00421E4F">
      <w:pPr>
        <w:pStyle w:val="Compact"/>
        <w:numPr>
          <w:ilvl w:val="0"/>
          <w:numId w:val="7"/>
        </w:numPr>
      </w:pPr>
      <w:r>
        <w:t xml:space="preserve">Article 2 of the MOFCOM Measures defines “outbound investment” as activities by enterprises established in the PRC acquiring non-financial enterprises overseas, or the ownership, control, operation </w:t>
      </w:r>
      <w:r>
        <w:t>and management rights of, and other rights and interests in, existing overseas non-financial enterprises, through greenfield establishment, merger and acquisition or otherwise. Article 2 of the NDRC Measures defines “outbound investment” as investment acti</w:t>
      </w:r>
      <w:r>
        <w:t>vities by an enterprise within the territory of the PRC, directly or through an overseas enterprise under its control, to obtain overseas ownership, control, business management rights and other related rights and interests, by contributing assets or equit</w:t>
      </w:r>
      <w:r>
        <w:t>y or providing financing or guarantees.</w:t>
      </w:r>
    </w:p>
    <w:p w:rsidR="00311C8D" w:rsidRDefault="00421E4F">
      <w:pPr>
        <w:pStyle w:val="Compact"/>
        <w:numPr>
          <w:ilvl w:val="0"/>
          <w:numId w:val="7"/>
        </w:numPr>
      </w:pPr>
      <w:r>
        <w:t>Restricted outbound investments are generally classified as “sensitive projects” under the NDRC Measures and are therefore subject to the NDRC approval (rather than mere filing).</w:t>
      </w:r>
    </w:p>
    <w:p w:rsidR="00311C8D" w:rsidRDefault="00421E4F">
      <w:pPr>
        <w:pStyle w:val="Compact"/>
        <w:numPr>
          <w:ilvl w:val="0"/>
          <w:numId w:val="7"/>
        </w:numPr>
      </w:pPr>
      <w:r>
        <w:t>The Catalogue of Technologies Prohibi</w:t>
      </w:r>
      <w:r>
        <w:t>ted or Restricted from Export by China (</w:t>
      </w:r>
      <w:r>
        <w:t>《中国禁止出口限制出口技术目录》</w:t>
      </w:r>
      <w:r>
        <w:t>), jointly issued by MOFCOM and the Ministry of Science and Technology in December 2023 and revised in 2025, listing 23 prohibited technologies across 14 industrial sectors and 109 restricted technolo</w:t>
      </w:r>
      <w:r>
        <w:t>gies across 20 industrial sectors.</w:t>
      </w:r>
    </w:p>
    <w:p w:rsidR="00311C8D" w:rsidRDefault="00421E4F">
      <w:pPr>
        <w:pStyle w:val="Compact"/>
        <w:numPr>
          <w:ilvl w:val="0"/>
          <w:numId w:val="7"/>
        </w:numPr>
      </w:pPr>
      <w:r>
        <w:t xml:space="preserve">China’s counter-sanction (countermeasure) lists are published by the PRC Ministry of Foreign Affairs and the Ministry of Commerce pursuant to the Anti-Foreign Sanctions Law of the PRC </w:t>
      </w:r>
      <w:r>
        <w:lastRenderedPageBreak/>
        <w:t>(2021) and the Provisions on Implemen</w:t>
      </w:r>
      <w:r>
        <w:t>ting the Anti-Foreign Sanctions Law (State Council Order No. 803, March 2025).</w:t>
      </w:r>
    </w:p>
    <w:p w:rsidR="00311C8D" w:rsidRDefault="00421E4F">
      <w:pPr>
        <w:pStyle w:val="DisclaimerBold"/>
      </w:pPr>
      <w:r>
        <w:t>This newsletter is for information purposes only.</w:t>
      </w:r>
    </w:p>
    <w:p w:rsidR="00311C8D" w:rsidRDefault="00421E4F">
      <w:pPr>
        <w:pStyle w:val="Disclaimer"/>
      </w:pPr>
      <w:r>
        <w:t>Its contents do not constitute legal advice and it should  not be regarded as a substitute for detailed advice  in individual c</w:t>
      </w:r>
      <w:r>
        <w:t>ases.</w:t>
      </w:r>
    </w:p>
    <w:p w:rsidR="00311C8D" w:rsidRDefault="00421E4F">
      <w:pPr>
        <w:pStyle w:val="Disclaimer"/>
      </w:pPr>
      <w:r>
        <w:t>Transmission of this information is not intended to create and receipt does not constitute a lawyer-client relationship between Charltons and the user or browser.</w:t>
      </w:r>
    </w:p>
    <w:p w:rsidR="00311C8D" w:rsidRDefault="00421E4F">
      <w:pPr>
        <w:pStyle w:val="Disclaimer"/>
      </w:pPr>
      <w:r>
        <w:t xml:space="preserve">Charltons is not responsible for any third party content which can be accessed through </w:t>
      </w:r>
      <w:r>
        <w:t>the website.</w:t>
      </w:r>
    </w:p>
    <w:p w:rsidR="00311C8D" w:rsidRDefault="00421E4F">
      <w:pPr>
        <w:pStyle w:val="Disclaimer"/>
      </w:pPr>
      <w:r>
        <w:t xml:space="preserve">If you do not wish to receive this newsletter please let us know by emailing us at  </w:t>
      </w:r>
      <w:hyperlink r:id="rId17">
        <w:r>
          <w:t>unsubscribe@charltonslaw.com</w:t>
        </w:r>
      </w:hyperlink>
    </w:p>
    <w:p w:rsidR="00311C8D" w:rsidRDefault="00421E4F">
      <w:pPr>
        <w:pStyle w:val="BlackStrips"/>
      </w:pPr>
      <w:r>
        <w:t>Charltons - Hong Kong Law - 16 June 202</w:t>
      </w:r>
      <w:r>
        <w:t>6</w:t>
      </w:r>
    </w:p>
    <w:sectPr w:rsidR="00311C8D">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21E4F">
      <w:pPr>
        <w:spacing w:after="0"/>
      </w:pPr>
      <w:r>
        <w:separator/>
      </w:r>
    </w:p>
  </w:endnote>
  <w:endnote w:type="continuationSeparator" w:id="0">
    <w:p w:rsidR="00000000" w:rsidRDefault="00421E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1C8D" w:rsidRDefault="00421E4F">
      <w:r>
        <w:separator/>
      </w:r>
    </w:p>
  </w:footnote>
  <w:footnote w:type="continuationSeparator" w:id="0">
    <w:p w:rsidR="00311C8D" w:rsidRDefault="00421E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5A62E260"/>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170CD2DE"/>
    <w:multiLevelType w:val="multilevel"/>
    <w:tmpl w:val="411425A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170C995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3" w15:restartNumberingAfterBreak="0">
    <w:nsid w:val="47486AA0"/>
    <w:multiLevelType w:val="hybridMultilevel"/>
    <w:tmpl w:val="A5C2897E"/>
    <w:lvl w:ilvl="0" w:tplc="3924732C">
      <w:start w:val="1"/>
      <w:numFmt w:val="decimal"/>
      <w:lvlText w:val="%1"/>
      <w:lvlJc w:val="left"/>
      <w:pPr>
        <w:ind w:left="474" w:hanging="454"/>
      </w:pPr>
      <w:rPr>
        <w:rFonts w:ascii="Tahoma" w:eastAsia="Tahoma" w:hAnsi="Tahoma" w:cs="Tahoma" w:hint="default"/>
        <w:b w:val="0"/>
        <w:bCs w:val="0"/>
        <w:i w:val="0"/>
        <w:iCs w:val="0"/>
        <w:spacing w:val="0"/>
        <w:w w:val="104"/>
        <w:sz w:val="16"/>
        <w:szCs w:val="16"/>
        <w:lang w:val="en-US" w:eastAsia="en-US" w:bidi="ar-SA"/>
      </w:rPr>
    </w:lvl>
    <w:lvl w:ilvl="1" w:tplc="E73EB12C">
      <w:numFmt w:val="bullet"/>
      <w:lvlText w:val="•"/>
      <w:lvlJc w:val="left"/>
      <w:pPr>
        <w:ind w:left="919" w:hanging="454"/>
      </w:pPr>
      <w:rPr>
        <w:rFonts w:ascii="Tahoma" w:eastAsia="Tahoma" w:hAnsi="Tahoma" w:cs="Tahoma" w:hint="default"/>
        <w:b w:val="0"/>
        <w:bCs w:val="0"/>
        <w:i w:val="0"/>
        <w:iCs w:val="0"/>
        <w:spacing w:val="0"/>
        <w:w w:val="82"/>
        <w:sz w:val="20"/>
        <w:szCs w:val="20"/>
        <w:lang w:val="en-US" w:eastAsia="en-US" w:bidi="ar-SA"/>
      </w:rPr>
    </w:lvl>
    <w:lvl w:ilvl="2" w:tplc="8CBECDF8">
      <w:numFmt w:val="bullet"/>
      <w:lvlText w:val="•"/>
      <w:lvlJc w:val="left"/>
      <w:pPr>
        <w:ind w:left="1999" w:hanging="454"/>
      </w:pPr>
      <w:rPr>
        <w:rFonts w:hint="default"/>
        <w:lang w:val="en-US" w:eastAsia="en-US" w:bidi="ar-SA"/>
      </w:rPr>
    </w:lvl>
    <w:lvl w:ilvl="3" w:tplc="18D04EA8">
      <w:numFmt w:val="bullet"/>
      <w:lvlText w:val="•"/>
      <w:lvlJc w:val="left"/>
      <w:pPr>
        <w:ind w:left="3078" w:hanging="454"/>
      </w:pPr>
      <w:rPr>
        <w:rFonts w:hint="default"/>
        <w:lang w:val="en-US" w:eastAsia="en-US" w:bidi="ar-SA"/>
      </w:rPr>
    </w:lvl>
    <w:lvl w:ilvl="4" w:tplc="FD788FA2">
      <w:numFmt w:val="bullet"/>
      <w:lvlText w:val="•"/>
      <w:lvlJc w:val="left"/>
      <w:pPr>
        <w:ind w:left="4157" w:hanging="454"/>
      </w:pPr>
      <w:rPr>
        <w:rFonts w:hint="default"/>
        <w:lang w:val="en-US" w:eastAsia="en-US" w:bidi="ar-SA"/>
      </w:rPr>
    </w:lvl>
    <w:lvl w:ilvl="5" w:tplc="A5BE0632">
      <w:numFmt w:val="bullet"/>
      <w:lvlText w:val="•"/>
      <w:lvlJc w:val="left"/>
      <w:pPr>
        <w:ind w:left="5236" w:hanging="454"/>
      </w:pPr>
      <w:rPr>
        <w:rFonts w:hint="default"/>
        <w:lang w:val="en-US" w:eastAsia="en-US" w:bidi="ar-SA"/>
      </w:rPr>
    </w:lvl>
    <w:lvl w:ilvl="6" w:tplc="FC44415E">
      <w:numFmt w:val="bullet"/>
      <w:lvlText w:val="•"/>
      <w:lvlJc w:val="left"/>
      <w:pPr>
        <w:ind w:left="6315" w:hanging="454"/>
      </w:pPr>
      <w:rPr>
        <w:rFonts w:hint="default"/>
        <w:lang w:val="en-US" w:eastAsia="en-US" w:bidi="ar-SA"/>
      </w:rPr>
    </w:lvl>
    <w:lvl w:ilvl="7" w:tplc="34ACF57A">
      <w:numFmt w:val="bullet"/>
      <w:lvlText w:val="•"/>
      <w:lvlJc w:val="left"/>
      <w:pPr>
        <w:ind w:left="7394" w:hanging="454"/>
      </w:pPr>
      <w:rPr>
        <w:rFonts w:hint="default"/>
        <w:lang w:val="en-US" w:eastAsia="en-US" w:bidi="ar-SA"/>
      </w:rPr>
    </w:lvl>
    <w:lvl w:ilvl="8" w:tplc="0FF693E2">
      <w:numFmt w:val="bullet"/>
      <w:lvlText w:val="•"/>
      <w:lvlJc w:val="left"/>
      <w:pPr>
        <w:ind w:left="8473" w:hanging="454"/>
      </w:pPr>
      <w:rPr>
        <w:rFonts w:hint="default"/>
        <w:lang w:val="en-US" w:eastAsia="en-US" w:bidi="ar-SA"/>
      </w:rPr>
    </w:lvl>
  </w:abstractNum>
  <w:abstractNum w:abstractNumId="4" w15:restartNumberingAfterBreak="0">
    <w:nsid w:val="71315DCA"/>
    <w:multiLevelType w:val="multilevel"/>
    <w:tmpl w:val="18FCD860"/>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num w:numId="1">
    <w:abstractNumId w:val="1"/>
  </w:num>
  <w:num w:numId="2">
    <w:abstractNumId w:val="1"/>
  </w:num>
  <w:num w:numId="3">
    <w:abstractNumId w:val="0"/>
  </w:num>
  <w:num w:numId="4">
    <w:abstractNumId w:val="0"/>
  </w:num>
  <w:num w:numId="5">
    <w:abstractNumId w:val="0"/>
  </w:num>
  <w:num w:numId="6">
    <w:abstractNumId w:val="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311C8D"/>
    <w:rsid w:val="00421E4F"/>
    <w:rsid w:val="004E29B3"/>
    <w:rsid w:val="00590D07"/>
    <w:rsid w:val="00784D58"/>
    <w:rsid w:val="008D6863"/>
    <w:rsid w:val="00B16FC7"/>
    <w:rsid w:val="00B86B75"/>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2978E"/>
  <w15:docId w15:val="{C701F1D4-0A39-4A78-9551-08DEE27FD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ListParagraph">
    <w:name w:val="List Paragraph"/>
    <w:basedOn w:val="Normal"/>
    <w:uiPriority w:val="1"/>
    <w:qFormat/>
    <w:rsid w:val="00421E4F"/>
    <w:pPr>
      <w:widowControl w:val="0"/>
      <w:autoSpaceDE w:val="0"/>
      <w:autoSpaceDN w:val="0"/>
      <w:spacing w:after="0"/>
      <w:ind w:left="919" w:right="151" w:hanging="454"/>
      <w:jc w:val="both"/>
    </w:pPr>
    <w:rPr>
      <w:rFonts w:ascii="Tahoma" w:eastAsia="Tahoma" w:hAnsi="Tahoma" w:cs="Tahoma"/>
      <w:color w:val="auto"/>
      <w:sz w:val="22"/>
      <w:szCs w:val="22"/>
    </w:rPr>
  </w:style>
  <w:style w:type="paragraph" w:customStyle="1" w:styleId="TableParagraph">
    <w:name w:val="Table Paragraph"/>
    <w:basedOn w:val="Normal"/>
    <w:uiPriority w:val="1"/>
    <w:qFormat/>
    <w:rsid w:val="00421E4F"/>
    <w:pPr>
      <w:widowControl w:val="0"/>
      <w:autoSpaceDE w:val="0"/>
      <w:autoSpaceDN w:val="0"/>
      <w:spacing w:before="3" w:after="0"/>
      <w:ind w:left="79"/>
      <w:jc w:val="both"/>
    </w:pPr>
    <w:rPr>
      <w:rFonts w:ascii="Tahoma" w:eastAsia="Tahoma" w:hAnsi="Tahoma" w:cs="Tahoma"/>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cn/zhengce/content/202606/content_7070755.ht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harltonslaw.com/chinas-2026-outbound-investment-regulations-state-council-order-no-837-and-the-evolving-geopolitics-of-chinese-capital" TargetMode="External"/><Relationship Id="rId12" Type="http://schemas.openxmlformats.org/officeDocument/2006/relationships/hyperlink" Target="https://www.mofcom.gov.cn/zcfb/dwmygl/art/2023/art_07c75ecad2a648fbad6179dc9e2bf763.html" TargetMode="External"/><Relationship Id="rId17" Type="http://schemas.openxmlformats.org/officeDocument/2006/relationships/hyperlink" Target="mailto:unsubscribe@charltonslaw.com?subject=unsubscribe%20-Hong%20Kong%20Law-" TargetMode="External"/><Relationship Id="rId2" Type="http://schemas.openxmlformats.org/officeDocument/2006/relationships/styles" Target="styles.xml"/><Relationship Id="rId16" Type="http://schemas.openxmlformats.org/officeDocument/2006/relationships/hyperlink" Target="https://www.safe.gov.cn/safe/2014/0714/5546.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ms.mofcom.gov.cn/zcfg/jsjckzcfg/art/2023/art_97622195446740f897a578c784579bd8.html" TargetMode="External"/><Relationship Id="rId5" Type="http://schemas.openxmlformats.org/officeDocument/2006/relationships/footnotes" Target="footnotes.xml"/><Relationship Id="rId15" Type="http://schemas.openxmlformats.org/officeDocument/2006/relationships/hyperlink" Target="https://www.gov.cn/zhengce/content/202604/content_7065398.htm" TargetMode="External"/><Relationship Id="rId10" Type="http://schemas.openxmlformats.org/officeDocument/2006/relationships/hyperlink" Target="https://www.gov.cn/zhengce/content/2017-08/18/content_5218665.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11</Pages>
  <Words>5646</Words>
  <Characters>32186</Characters>
  <Application>Microsoft Office Word</Application>
  <DocSecurity>0</DocSecurity>
  <Lines>268</Lines>
  <Paragraphs>75</Paragraphs>
  <ScaleCrop>false</ScaleCrop>
  <Company>Charltons</Company>
  <LinksUpToDate>false</LinksUpToDate>
  <CharactersWithSpaces>37757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Tails Kun Yin Xiang</cp:lastModifiedBy>
  <cp:revision>3</cp:revision>
  <dcterms:created xsi:type="dcterms:W3CDTF">2026-06-16T07:32:00Z</dcterms:created>
  <dcterms:modified xsi:type="dcterms:W3CDTF">2026-06-16T07:41:00Z</dcterms:modified>
</cp:coreProperties>
</file>