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985D" w14:textId="55E1E6E5" w:rsidR="00322D45" w:rsidRPr="00BE24DA" w:rsidRDefault="00322D45" w:rsidP="00322D45">
      <w:pPr>
        <w:pStyle w:val="BlackStrips"/>
        <w:rPr>
          <w:rFonts w:ascii="Calibri" w:hAnsi="Calibri" w:cs="Calibri"/>
        </w:rPr>
      </w:pPr>
      <w:r w:rsidRPr="00BE24DA">
        <w:rPr>
          <w:rFonts w:ascii="Calibri" w:hAnsi="Calibri" w:cs="Calibri"/>
        </w:rPr>
        <w:t xml:space="preserve">Charltons - Hong Kong Law - </w:t>
      </w:r>
      <w:r w:rsidR="00691E28">
        <w:rPr>
          <w:rFonts w:ascii="Calibri" w:hAnsi="Calibri" w:cs="Calibri"/>
          <w:lang w:val="ru-RU"/>
        </w:rPr>
        <w:t>23</w:t>
      </w:r>
      <w:r w:rsidRPr="00BE24DA">
        <w:rPr>
          <w:rFonts w:ascii="Calibri" w:hAnsi="Calibri" w:cs="Calibri"/>
        </w:rPr>
        <w:t xml:space="preserve"> </w:t>
      </w:r>
      <w:r>
        <w:rPr>
          <w:rFonts w:ascii="Calibri" w:hAnsi="Calibri" w:cs="Calibri"/>
        </w:rPr>
        <w:t>April</w:t>
      </w:r>
      <w:r w:rsidRPr="00BE24DA">
        <w:rPr>
          <w:rFonts w:ascii="Calibri" w:hAnsi="Calibri" w:cs="Calibri"/>
        </w:rPr>
        <w:t xml:space="preserve"> 2026</w:t>
      </w:r>
    </w:p>
    <w:p w14:paraId="6BE00931" w14:textId="24650ED4" w:rsidR="00322D45" w:rsidRPr="00322D45" w:rsidRDefault="00322D45" w:rsidP="00322D45">
      <w:pPr>
        <w:pStyle w:val="ReadOnline"/>
        <w:rPr>
          <w:rFonts w:ascii="Calibri" w:hAnsi="Calibri" w:cs="Calibri"/>
        </w:rPr>
      </w:pPr>
      <w:hyperlink r:id="rId8">
        <w:r w:rsidRPr="00BE24DA">
          <w:rPr>
            <w:rFonts w:ascii="Calibri" w:hAnsi="Calibri" w:cs="Calibri"/>
          </w:rPr>
          <w:t>online version</w:t>
        </w:r>
      </w:hyperlink>
    </w:p>
    <w:p w14:paraId="0CCD7BBD" w14:textId="77777777" w:rsidR="00D33251" w:rsidRPr="00563080" w:rsidRDefault="00D33251" w:rsidP="00563080">
      <w:pPr>
        <w:spacing w:before="100" w:beforeAutospacing="1" w:after="100" w:afterAutospacing="1"/>
        <w:jc w:val="center"/>
        <w:rPr>
          <w:rFonts w:ascii="Arial" w:hAnsi="Arial" w:cs="Times New Roman"/>
          <w:b/>
          <w:sz w:val="24"/>
          <w:szCs w:val="24"/>
        </w:rPr>
      </w:pPr>
      <w:r w:rsidRPr="00563080">
        <w:rPr>
          <w:rFonts w:ascii="Arial" w:hAnsi="Arial" w:cs="Times New Roman"/>
          <w:b/>
          <w:sz w:val="24"/>
          <w:szCs w:val="24"/>
        </w:rPr>
        <w:t>HKMA I</w:t>
      </w:r>
      <w:r w:rsidR="00563080" w:rsidRPr="00563080">
        <w:rPr>
          <w:rFonts w:ascii="Arial" w:hAnsi="Arial" w:cs="Times New Roman"/>
          <w:b/>
          <w:sz w:val="24"/>
          <w:szCs w:val="24"/>
        </w:rPr>
        <w:t>ssues First</w:t>
      </w:r>
      <w:r w:rsidRPr="00563080">
        <w:rPr>
          <w:rFonts w:ascii="Arial" w:hAnsi="Arial" w:cs="Times New Roman"/>
          <w:b/>
          <w:sz w:val="24"/>
          <w:szCs w:val="24"/>
        </w:rPr>
        <w:t xml:space="preserve"> S</w:t>
      </w:r>
      <w:r w:rsidR="00563080" w:rsidRPr="00563080">
        <w:rPr>
          <w:rFonts w:ascii="Arial" w:hAnsi="Arial" w:cs="Times New Roman"/>
          <w:b/>
          <w:sz w:val="24"/>
          <w:szCs w:val="24"/>
        </w:rPr>
        <w:t>tablecoin Issuer</w:t>
      </w:r>
      <w:r w:rsidRPr="00563080">
        <w:rPr>
          <w:rFonts w:ascii="Arial" w:hAnsi="Arial" w:cs="Times New Roman"/>
          <w:b/>
          <w:sz w:val="24"/>
          <w:szCs w:val="24"/>
        </w:rPr>
        <w:t xml:space="preserve"> L</w:t>
      </w:r>
      <w:r w:rsidR="00563080" w:rsidRPr="00563080">
        <w:rPr>
          <w:rFonts w:ascii="Arial" w:hAnsi="Arial" w:cs="Times New Roman"/>
          <w:b/>
          <w:sz w:val="24"/>
          <w:szCs w:val="24"/>
        </w:rPr>
        <w:t>icences</w:t>
      </w:r>
    </w:p>
    <w:p w14:paraId="4210BA88" w14:textId="77777777" w:rsidR="00563080" w:rsidRDefault="00D33251" w:rsidP="00563080">
      <w:pPr>
        <w:spacing w:before="100" w:beforeAutospacing="1" w:after="100" w:afterAutospacing="1"/>
        <w:jc w:val="both"/>
        <w:rPr>
          <w:rFonts w:ascii="Arial" w:hAnsi="Arial" w:cs="Arial"/>
          <w:sz w:val="24"/>
          <w:szCs w:val="24"/>
        </w:rPr>
      </w:pPr>
      <w:r w:rsidRPr="00563080">
        <w:rPr>
          <w:rFonts w:ascii="Arial" w:hAnsi="Arial" w:cs="Arial"/>
          <w:sz w:val="24"/>
          <w:szCs w:val="24"/>
        </w:rPr>
        <w:t xml:space="preserve">On 10 April 2026, the Hong Kong Monetary Authority (the </w:t>
      </w:r>
      <w:r w:rsidRPr="00563080">
        <w:rPr>
          <w:rFonts w:ascii="Arial" w:hAnsi="Arial" w:cs="Arial"/>
          <w:b/>
          <w:bCs/>
          <w:sz w:val="24"/>
          <w:szCs w:val="24"/>
        </w:rPr>
        <w:t>HKMA</w:t>
      </w:r>
      <w:r w:rsidRPr="00563080">
        <w:rPr>
          <w:rFonts w:ascii="Arial" w:hAnsi="Arial" w:cs="Arial"/>
          <w:sz w:val="24"/>
          <w:szCs w:val="24"/>
        </w:rPr>
        <w:t xml:space="preserve">) </w:t>
      </w:r>
      <w:hyperlink r:id="rId9" w:history="1">
        <w:r w:rsidR="00563080" w:rsidRPr="00322D45">
          <w:rPr>
            <w:rStyle w:val="Hyperlink"/>
            <w:rFonts w:ascii="Arial" w:hAnsi="Arial" w:cs="Arial"/>
            <w:color w:val="467886"/>
            <w:sz w:val="24"/>
            <w:szCs w:val="24"/>
          </w:rPr>
          <w:t>confirm</w:t>
        </w:r>
        <w:r w:rsidRPr="00322D45">
          <w:rPr>
            <w:rStyle w:val="Hyperlink"/>
            <w:rFonts w:ascii="Arial" w:hAnsi="Arial" w:cs="Arial"/>
            <w:color w:val="467886"/>
            <w:sz w:val="24"/>
            <w:szCs w:val="24"/>
          </w:rPr>
          <w:t>ed that it has granted</w:t>
        </w:r>
      </w:hyperlink>
      <w:r w:rsidRPr="00563080">
        <w:rPr>
          <w:rFonts w:ascii="Arial" w:hAnsi="Arial" w:cs="Arial"/>
          <w:sz w:val="24"/>
          <w:szCs w:val="24"/>
        </w:rPr>
        <w:t xml:space="preserve"> the first two stablecoin issuer licences under the </w:t>
      </w:r>
      <w:r w:rsidR="00563080">
        <w:rPr>
          <w:rFonts w:ascii="Arial" w:hAnsi="Arial" w:cs="Arial"/>
          <w:sz w:val="24"/>
          <w:szCs w:val="24"/>
        </w:rPr>
        <w:t xml:space="preserve">Hong Kong </w:t>
      </w:r>
      <w:r w:rsidRPr="00563080">
        <w:rPr>
          <w:rFonts w:ascii="Arial" w:hAnsi="Arial" w:cs="Arial"/>
          <w:sz w:val="24"/>
          <w:szCs w:val="24"/>
        </w:rPr>
        <w:t xml:space="preserve">Stablecoins </w:t>
      </w:r>
      <w:r w:rsidR="00EA1BA5">
        <w:rPr>
          <w:rFonts w:ascii="Arial" w:hAnsi="Arial" w:cs="Arial"/>
          <w:sz w:val="24"/>
          <w:szCs w:val="24"/>
        </w:rPr>
        <w:t>Ordinance (Cap. 566)</w:t>
      </w:r>
      <w:r w:rsidRPr="00563080">
        <w:rPr>
          <w:rFonts w:ascii="Arial" w:hAnsi="Arial" w:cs="Arial"/>
          <w:sz w:val="24"/>
          <w:szCs w:val="24"/>
        </w:rPr>
        <w:t xml:space="preserve"> to Anchorpoint Financial Limited</w:t>
      </w:r>
      <w:r w:rsidR="00D522DB">
        <w:rPr>
          <w:rFonts w:ascii="Arial" w:hAnsi="Arial" w:cs="Arial"/>
          <w:sz w:val="24"/>
          <w:szCs w:val="24"/>
        </w:rPr>
        <w:t xml:space="preserve">, </w:t>
      </w:r>
      <w:r w:rsidR="00D522DB" w:rsidRPr="00D522DB">
        <w:rPr>
          <w:rFonts w:ascii="Arial" w:hAnsi="Arial" w:cs="Arial"/>
          <w:sz w:val="24"/>
          <w:szCs w:val="24"/>
        </w:rPr>
        <w:t xml:space="preserve">a joint venture established by </w:t>
      </w:r>
      <w:r w:rsidR="00D522DB" w:rsidRPr="00D522DB">
        <w:rPr>
          <w:rFonts w:ascii="Arial" w:hAnsi="Arial" w:cs="Arial"/>
          <w:bCs/>
          <w:sz w:val="24"/>
          <w:szCs w:val="24"/>
        </w:rPr>
        <w:t>Standard Chartered Bank (Hong Kong) Limited</w:t>
      </w:r>
      <w:r w:rsidR="00D522DB">
        <w:rPr>
          <w:rFonts w:ascii="Arial" w:hAnsi="Arial" w:cs="Arial"/>
          <w:sz w:val="24"/>
          <w:szCs w:val="24"/>
        </w:rPr>
        <w:t xml:space="preserve"> (</w:t>
      </w:r>
      <w:r w:rsidR="00EA1BA5" w:rsidRPr="00D522DB">
        <w:rPr>
          <w:rFonts w:ascii="Arial" w:hAnsi="Arial" w:cs="Arial"/>
          <w:bCs/>
          <w:sz w:val="24"/>
          <w:szCs w:val="24"/>
        </w:rPr>
        <w:t>Standard Chartered</w:t>
      </w:r>
      <w:r w:rsidR="00D522DB" w:rsidRPr="00D522DB">
        <w:rPr>
          <w:rFonts w:ascii="Arial" w:hAnsi="Arial" w:cs="Arial"/>
          <w:sz w:val="24"/>
          <w:szCs w:val="24"/>
        </w:rPr>
        <w:t>), HKT and Animoca Brands</w:t>
      </w:r>
      <w:r w:rsidRPr="00563080">
        <w:rPr>
          <w:rFonts w:ascii="Arial" w:hAnsi="Arial" w:cs="Arial"/>
          <w:sz w:val="24"/>
          <w:szCs w:val="24"/>
        </w:rPr>
        <w:t xml:space="preserve"> </w:t>
      </w:r>
      <w:r w:rsidR="00D522DB">
        <w:rPr>
          <w:rFonts w:ascii="Arial" w:hAnsi="Arial" w:cs="Arial"/>
          <w:sz w:val="24"/>
          <w:szCs w:val="24"/>
        </w:rPr>
        <w:t>(</w:t>
      </w:r>
      <w:r w:rsidR="00D522DB" w:rsidRPr="00D522DB">
        <w:rPr>
          <w:rFonts w:ascii="Arial" w:hAnsi="Arial" w:cs="Arial"/>
          <w:b/>
          <w:sz w:val="24"/>
          <w:szCs w:val="24"/>
        </w:rPr>
        <w:t>Anchorpoint</w:t>
      </w:r>
      <w:r w:rsidR="00D522DB">
        <w:rPr>
          <w:rFonts w:ascii="Arial" w:hAnsi="Arial" w:cs="Arial"/>
          <w:sz w:val="24"/>
          <w:szCs w:val="24"/>
        </w:rPr>
        <w:t>)</w:t>
      </w:r>
      <w:r w:rsidR="00D522DB">
        <w:rPr>
          <w:rStyle w:val="FootnoteReference"/>
          <w:rFonts w:ascii="Arial" w:hAnsi="Arial" w:cs="Arial"/>
          <w:sz w:val="24"/>
          <w:szCs w:val="24"/>
        </w:rPr>
        <w:footnoteReference w:id="1"/>
      </w:r>
      <w:r w:rsidR="00D522DB">
        <w:rPr>
          <w:rFonts w:ascii="Arial" w:hAnsi="Arial" w:cs="Arial"/>
          <w:sz w:val="24"/>
          <w:szCs w:val="24"/>
        </w:rPr>
        <w:t xml:space="preserve"> </w:t>
      </w:r>
      <w:r w:rsidRPr="00563080">
        <w:rPr>
          <w:rFonts w:ascii="Arial" w:hAnsi="Arial" w:cs="Arial"/>
          <w:sz w:val="24"/>
          <w:szCs w:val="24"/>
        </w:rPr>
        <w:t xml:space="preserve">and The Hongkong and Shanghai Banking Corporation Limited </w:t>
      </w:r>
      <w:r w:rsidR="00563080">
        <w:rPr>
          <w:rFonts w:ascii="Arial" w:hAnsi="Arial" w:cs="Arial"/>
          <w:sz w:val="24"/>
          <w:szCs w:val="24"/>
        </w:rPr>
        <w:t>(</w:t>
      </w:r>
      <w:r w:rsidRPr="00563080">
        <w:rPr>
          <w:rFonts w:ascii="Arial" w:hAnsi="Arial" w:cs="Arial"/>
          <w:b/>
          <w:sz w:val="24"/>
          <w:szCs w:val="24"/>
        </w:rPr>
        <w:t>HSBC</w:t>
      </w:r>
      <w:r w:rsidR="00563080">
        <w:rPr>
          <w:rFonts w:ascii="Arial" w:hAnsi="Arial" w:cs="Arial"/>
          <w:sz w:val="24"/>
          <w:szCs w:val="24"/>
        </w:rPr>
        <w:t>)</w:t>
      </w:r>
      <w:r w:rsidRPr="00563080">
        <w:rPr>
          <w:rFonts w:ascii="Arial" w:hAnsi="Arial" w:cs="Arial"/>
          <w:sz w:val="24"/>
          <w:szCs w:val="24"/>
        </w:rPr>
        <w:t>. The licences to</w:t>
      </w:r>
      <w:r w:rsidR="00563080">
        <w:rPr>
          <w:rFonts w:ascii="Arial" w:hAnsi="Arial" w:cs="Arial"/>
          <w:sz w:val="24"/>
          <w:szCs w:val="24"/>
        </w:rPr>
        <w:t>ok effect immediately</w:t>
      </w:r>
      <w:r w:rsidR="00D522DB">
        <w:rPr>
          <w:rFonts w:ascii="Arial" w:hAnsi="Arial" w:cs="Arial"/>
          <w:sz w:val="24"/>
          <w:szCs w:val="24"/>
        </w:rPr>
        <w:t xml:space="preserve"> and t</w:t>
      </w:r>
      <w:r w:rsidR="00563080">
        <w:rPr>
          <w:rFonts w:ascii="Arial" w:hAnsi="Arial" w:cs="Arial"/>
          <w:sz w:val="24"/>
          <w:szCs w:val="24"/>
        </w:rPr>
        <w:t>he HKMA’</w:t>
      </w:r>
      <w:r w:rsidRPr="00563080">
        <w:rPr>
          <w:rFonts w:ascii="Arial" w:hAnsi="Arial" w:cs="Arial"/>
          <w:sz w:val="24"/>
          <w:szCs w:val="24"/>
        </w:rPr>
        <w:t xml:space="preserve">s </w:t>
      </w:r>
      <w:hyperlink r:id="rId10" w:history="1">
        <w:r w:rsidRPr="00322D45">
          <w:rPr>
            <w:rStyle w:val="Hyperlink"/>
            <w:rFonts w:ascii="Arial" w:hAnsi="Arial" w:cs="Arial"/>
            <w:color w:val="467886"/>
            <w:sz w:val="24"/>
            <w:szCs w:val="24"/>
          </w:rPr>
          <w:t>Register of Licensed Stablecoin Issuers</w:t>
        </w:r>
      </w:hyperlink>
      <w:r w:rsidR="00563080">
        <w:rPr>
          <w:rFonts w:ascii="Arial" w:hAnsi="Arial" w:cs="Arial"/>
          <w:sz w:val="24"/>
          <w:szCs w:val="24"/>
        </w:rPr>
        <w:t xml:space="preserve"> now lists these two Hong Kong-licensed stablecoin issuers</w:t>
      </w:r>
      <w:r w:rsidRPr="00563080">
        <w:rPr>
          <w:rFonts w:ascii="Arial" w:hAnsi="Arial" w:cs="Arial"/>
          <w:sz w:val="24"/>
          <w:szCs w:val="24"/>
        </w:rPr>
        <w:t xml:space="preserve">. </w:t>
      </w:r>
    </w:p>
    <w:p w14:paraId="16D0C814" w14:textId="77777777" w:rsidR="00D33251" w:rsidRPr="00563080" w:rsidRDefault="00D33251" w:rsidP="00563080">
      <w:pPr>
        <w:spacing w:before="100" w:beforeAutospacing="1" w:after="100" w:afterAutospacing="1"/>
        <w:jc w:val="both"/>
        <w:rPr>
          <w:rFonts w:ascii="Arial" w:hAnsi="Arial" w:cs="Arial"/>
          <w:color w:val="FF0000"/>
          <w:sz w:val="24"/>
          <w:szCs w:val="24"/>
        </w:rPr>
      </w:pPr>
      <w:r w:rsidRPr="00563080">
        <w:rPr>
          <w:rFonts w:ascii="Arial" w:hAnsi="Arial" w:cs="Arial"/>
          <w:b/>
          <w:bCs/>
          <w:color w:val="FF0000"/>
          <w:sz w:val="24"/>
          <w:szCs w:val="24"/>
        </w:rPr>
        <w:t xml:space="preserve">The Legal Framework: Hong Kong’s Stablecoins Ordinance </w:t>
      </w:r>
    </w:p>
    <w:p w14:paraId="6298647B" w14:textId="77777777" w:rsidR="00D33251" w:rsidRPr="00563080" w:rsidRDefault="00D33251" w:rsidP="00563080">
      <w:pPr>
        <w:spacing w:before="100" w:beforeAutospacing="1" w:after="100" w:afterAutospacing="1"/>
        <w:jc w:val="both"/>
        <w:rPr>
          <w:rFonts w:ascii="Arial" w:hAnsi="Arial" w:cs="Arial"/>
          <w:sz w:val="24"/>
          <w:szCs w:val="24"/>
        </w:rPr>
      </w:pPr>
      <w:r w:rsidRPr="00563080">
        <w:rPr>
          <w:rFonts w:ascii="Arial" w:hAnsi="Arial" w:cs="Arial"/>
          <w:sz w:val="24"/>
          <w:szCs w:val="24"/>
        </w:rPr>
        <w:t xml:space="preserve">The </w:t>
      </w:r>
      <w:r w:rsidR="00EA1BA5">
        <w:rPr>
          <w:rFonts w:ascii="Arial" w:hAnsi="Arial" w:cs="Arial"/>
          <w:sz w:val="24"/>
          <w:szCs w:val="24"/>
        </w:rPr>
        <w:t xml:space="preserve">Hong Kong </w:t>
      </w:r>
      <w:r w:rsidRPr="00563080">
        <w:rPr>
          <w:rFonts w:ascii="Arial" w:hAnsi="Arial" w:cs="Arial"/>
          <w:sz w:val="24"/>
          <w:szCs w:val="24"/>
        </w:rPr>
        <w:t>Stablecoins Ordinance</w:t>
      </w:r>
      <w:r w:rsidR="00EA1BA5">
        <w:rPr>
          <w:rFonts w:ascii="Arial" w:hAnsi="Arial" w:cs="Arial"/>
          <w:sz w:val="24"/>
          <w:szCs w:val="24"/>
        </w:rPr>
        <w:t>, effective since July 2025,</w:t>
      </w:r>
      <w:r w:rsidRPr="00563080">
        <w:rPr>
          <w:rFonts w:ascii="Arial" w:hAnsi="Arial" w:cs="Arial"/>
          <w:sz w:val="24"/>
          <w:szCs w:val="24"/>
        </w:rPr>
        <w:t xml:space="preserve"> establishes a mandatory licensing regime for any entity wishing to issue fiat-referenced stablecoins in Hong Kong. If you propose to issue a stablecoin that purports to maintain a stable value by reference to one or more fiat currencies, and you wish to do so </w:t>
      </w:r>
      <w:r w:rsidRPr="00563080">
        <w:rPr>
          <w:rFonts w:ascii="Arial" w:hAnsi="Arial" w:cs="Arial"/>
          <w:i/>
          <w:iCs/>
          <w:sz w:val="24"/>
          <w:szCs w:val="24"/>
        </w:rPr>
        <w:t>in Hong Kong</w:t>
      </w:r>
      <w:r w:rsidRPr="00563080">
        <w:rPr>
          <w:rFonts w:ascii="Arial" w:hAnsi="Arial" w:cs="Arial"/>
          <w:sz w:val="24"/>
          <w:szCs w:val="24"/>
        </w:rPr>
        <w:t>, you require a licence from the</w:t>
      </w:r>
      <w:r w:rsidR="00563080">
        <w:rPr>
          <w:rFonts w:ascii="Arial" w:hAnsi="Arial" w:cs="Arial"/>
          <w:sz w:val="24"/>
          <w:szCs w:val="24"/>
        </w:rPr>
        <w:t xml:space="preserve"> HKMA</w:t>
      </w:r>
      <w:r w:rsidRPr="00563080">
        <w:rPr>
          <w:rFonts w:ascii="Arial" w:hAnsi="Arial" w:cs="Arial"/>
          <w:sz w:val="24"/>
          <w:szCs w:val="24"/>
        </w:rPr>
        <w:t>. A licence is also required to issue stablecoins referencing the Hong Kong dollar</w:t>
      </w:r>
      <w:r w:rsidR="00563080">
        <w:rPr>
          <w:rFonts w:ascii="Arial" w:hAnsi="Arial" w:cs="Arial"/>
          <w:sz w:val="24"/>
          <w:szCs w:val="24"/>
        </w:rPr>
        <w:t xml:space="preserve"> (in whole or part)</w:t>
      </w:r>
      <w:r w:rsidRPr="00563080">
        <w:rPr>
          <w:rFonts w:ascii="Arial" w:hAnsi="Arial" w:cs="Arial"/>
          <w:sz w:val="24"/>
          <w:szCs w:val="24"/>
        </w:rPr>
        <w:t xml:space="preserve"> </w:t>
      </w:r>
      <w:r w:rsidRPr="00563080">
        <w:rPr>
          <w:rFonts w:ascii="Arial" w:hAnsi="Arial" w:cs="Arial"/>
          <w:i/>
          <w:iCs/>
          <w:sz w:val="24"/>
          <w:szCs w:val="24"/>
        </w:rPr>
        <w:t>outside</w:t>
      </w:r>
      <w:r w:rsidRPr="00563080">
        <w:rPr>
          <w:rFonts w:ascii="Arial" w:hAnsi="Arial" w:cs="Arial"/>
          <w:sz w:val="24"/>
          <w:szCs w:val="24"/>
        </w:rPr>
        <w:t xml:space="preserve"> Hong Kong.</w:t>
      </w:r>
    </w:p>
    <w:p w14:paraId="0B53ABE3" w14:textId="77777777" w:rsidR="00D33251" w:rsidRPr="00563080" w:rsidRDefault="00D33251" w:rsidP="00563080">
      <w:pPr>
        <w:spacing w:before="100" w:beforeAutospacing="1" w:after="100" w:afterAutospacing="1"/>
        <w:jc w:val="both"/>
        <w:rPr>
          <w:rFonts w:ascii="Arial" w:hAnsi="Arial" w:cs="Arial"/>
          <w:sz w:val="24"/>
          <w:szCs w:val="24"/>
        </w:rPr>
      </w:pPr>
      <w:r w:rsidRPr="00563080">
        <w:rPr>
          <w:rFonts w:ascii="Arial" w:hAnsi="Arial" w:cs="Arial"/>
          <w:sz w:val="24"/>
          <w:szCs w:val="24"/>
        </w:rPr>
        <w:t>The licensing conditions are substantive. Applicants must demonstrate robust reserve management — stablecoins must be fully backed at all times by high-quality, liquid assets which ar</w:t>
      </w:r>
      <w:r w:rsidR="00F94C10">
        <w:rPr>
          <w:rFonts w:ascii="Arial" w:hAnsi="Arial" w:cs="Arial"/>
          <w:sz w:val="24"/>
          <w:szCs w:val="24"/>
        </w:rPr>
        <w:t>e subject to independent audit,</w:t>
      </w:r>
      <w:r w:rsidRPr="00563080">
        <w:rPr>
          <w:rFonts w:ascii="Arial" w:hAnsi="Arial" w:cs="Arial"/>
          <w:sz w:val="24"/>
          <w:szCs w:val="24"/>
        </w:rPr>
        <w:t xml:space="preserve"> adequate governance arrangements, redemption</w:t>
      </w:r>
      <w:r w:rsidR="00F94C10">
        <w:rPr>
          <w:rFonts w:ascii="Arial" w:hAnsi="Arial" w:cs="Arial"/>
          <w:sz w:val="24"/>
          <w:szCs w:val="24"/>
        </w:rPr>
        <w:t xml:space="preserve"> within one business day</w:t>
      </w:r>
      <w:r w:rsidRPr="00563080">
        <w:rPr>
          <w:rFonts w:ascii="Arial" w:hAnsi="Arial" w:cs="Arial"/>
          <w:sz w:val="24"/>
          <w:szCs w:val="24"/>
        </w:rPr>
        <w:t xml:space="preserve">, and credible risk management frameworks. The </w:t>
      </w:r>
      <w:r w:rsidR="00F94C10">
        <w:rPr>
          <w:rFonts w:ascii="Arial" w:hAnsi="Arial" w:cs="Arial"/>
          <w:sz w:val="24"/>
          <w:szCs w:val="24"/>
        </w:rPr>
        <w:t xml:space="preserve">Hong Kong Stablecoins </w:t>
      </w:r>
      <w:r w:rsidRPr="00563080">
        <w:rPr>
          <w:rFonts w:ascii="Arial" w:hAnsi="Arial" w:cs="Arial"/>
          <w:sz w:val="24"/>
          <w:szCs w:val="24"/>
        </w:rPr>
        <w:t>Ordinance also imposes ongoing obligations relating to disclosure, capital adequacy and the segregation of reserve assets from the issuer’s own proprietary holdings.</w:t>
      </w:r>
    </w:p>
    <w:p w14:paraId="23F5D7D7" w14:textId="77777777" w:rsidR="00EA1BA5" w:rsidRPr="00527F83" w:rsidRDefault="00EA1BA5" w:rsidP="00563080">
      <w:pPr>
        <w:spacing w:before="100" w:beforeAutospacing="1" w:after="100" w:afterAutospacing="1"/>
        <w:jc w:val="both"/>
        <w:rPr>
          <w:rFonts w:ascii="Arial" w:hAnsi="Arial" w:cs="Arial"/>
          <w:b/>
          <w:bCs/>
          <w:color w:val="FF0000"/>
          <w:sz w:val="24"/>
          <w:szCs w:val="24"/>
        </w:rPr>
      </w:pPr>
      <w:r w:rsidRPr="00527F83">
        <w:rPr>
          <w:rFonts w:ascii="Arial" w:hAnsi="Arial" w:cs="Arial"/>
          <w:b/>
          <w:bCs/>
          <w:color w:val="FF0000"/>
          <w:sz w:val="24"/>
          <w:szCs w:val="24"/>
        </w:rPr>
        <w:t xml:space="preserve">Anchorpoint’s </w:t>
      </w:r>
      <w:r w:rsidR="00527F83" w:rsidRPr="00527F83">
        <w:rPr>
          <w:rFonts w:ascii="Arial" w:hAnsi="Arial" w:cs="Arial"/>
          <w:b/>
          <w:bCs/>
          <w:color w:val="FF0000"/>
          <w:sz w:val="24"/>
          <w:szCs w:val="24"/>
        </w:rPr>
        <w:t xml:space="preserve">Hong Kong Dollar </w:t>
      </w:r>
      <w:r w:rsidRPr="00527F83">
        <w:rPr>
          <w:rFonts w:ascii="Arial" w:hAnsi="Arial" w:cs="Arial"/>
          <w:b/>
          <w:bCs/>
          <w:color w:val="FF0000"/>
          <w:sz w:val="24"/>
          <w:szCs w:val="24"/>
        </w:rPr>
        <w:t xml:space="preserve">Stablecoin </w:t>
      </w:r>
      <w:r w:rsidR="005A6C8A" w:rsidRPr="00527F83">
        <w:rPr>
          <w:rFonts w:ascii="Arial" w:hAnsi="Arial" w:cs="Arial"/>
          <w:b/>
          <w:bCs/>
          <w:color w:val="FF0000"/>
          <w:sz w:val="24"/>
          <w:szCs w:val="24"/>
        </w:rPr>
        <w:t>Plans</w:t>
      </w:r>
    </w:p>
    <w:p w14:paraId="29662BAC" w14:textId="45824291" w:rsidR="00EA1BA5" w:rsidRPr="00EA1BA5" w:rsidRDefault="00EA1BA5" w:rsidP="00EA1BA5">
      <w:pPr>
        <w:pStyle w:val="wp-block-paragraph"/>
        <w:jc w:val="both"/>
        <w:rPr>
          <w:rFonts w:ascii="Arial" w:hAnsi="Arial" w:cs="Arial"/>
        </w:rPr>
      </w:pPr>
      <w:r w:rsidRPr="00EA1BA5">
        <w:rPr>
          <w:rFonts w:ascii="Arial" w:hAnsi="Arial" w:cs="Arial"/>
        </w:rPr>
        <w:t xml:space="preserve">According to Standard Chartered’s </w:t>
      </w:r>
      <w:hyperlink r:id="rId11" w:history="1">
        <w:r w:rsidRPr="00322D45">
          <w:rPr>
            <w:rStyle w:val="Hyperlink"/>
            <w:rFonts w:ascii="Arial" w:hAnsi="Arial" w:cs="Arial"/>
            <w:color w:val="467886"/>
          </w:rPr>
          <w:t>press release</w:t>
        </w:r>
      </w:hyperlink>
      <w:r w:rsidRPr="00EA1BA5">
        <w:rPr>
          <w:rFonts w:ascii="Arial" w:hAnsi="Arial" w:cs="Arial"/>
        </w:rPr>
        <w:t>, Anchorpoint intends to issue regulated Hong Kong Dollar-backed stablecoins under a phased approach from the second quarter of this year.</w:t>
      </w:r>
      <w:r>
        <w:rPr>
          <w:rFonts w:ascii="Arial" w:hAnsi="Arial" w:cs="Arial"/>
        </w:rPr>
        <w:t xml:space="preserve"> It is planning </w:t>
      </w:r>
      <w:r w:rsidRPr="00EA1BA5">
        <w:rPr>
          <w:rFonts w:ascii="Arial" w:hAnsi="Arial" w:cs="Arial"/>
        </w:rPr>
        <w:t>to adopt a business-to-business-to-consumer (“B2B2C”) model</w:t>
      </w:r>
      <w:r>
        <w:rPr>
          <w:rFonts w:ascii="Arial" w:hAnsi="Arial" w:cs="Arial"/>
        </w:rPr>
        <w:t xml:space="preserve"> which will</w:t>
      </w:r>
      <w:r w:rsidRPr="00EA1BA5">
        <w:rPr>
          <w:rFonts w:ascii="Arial" w:hAnsi="Arial" w:cs="Arial"/>
        </w:rPr>
        <w:t xml:space="preserve"> allow the company to leverage the extensive client bases of selected authorised distributors to enable HKDAP </w:t>
      </w:r>
      <w:r>
        <w:rPr>
          <w:rFonts w:ascii="Arial" w:hAnsi="Arial" w:cs="Arial"/>
        </w:rPr>
        <w:t xml:space="preserve">to be distributed to </w:t>
      </w:r>
      <w:r w:rsidR="00F846E2">
        <w:rPr>
          <w:rFonts w:ascii="Arial" w:hAnsi="Arial" w:cs="Arial"/>
          <w:color w:val="000000"/>
          <w:shd w:val="clear" w:color="auto" w:fill="FFFFFF"/>
        </w:rPr>
        <w:t>retail investors</w:t>
      </w:r>
      <w:r w:rsidRPr="00EA1BA5">
        <w:rPr>
          <w:rFonts w:ascii="Arial" w:hAnsi="Arial" w:cs="Arial"/>
        </w:rPr>
        <w:t xml:space="preserve">. In addition, Anchorpoint will offer incentives to early adoption partners who are developing real-world use cases that provide tangible benefits to the broader </w:t>
      </w:r>
      <w:r>
        <w:rPr>
          <w:rFonts w:ascii="Arial" w:hAnsi="Arial" w:cs="Arial"/>
        </w:rPr>
        <w:t xml:space="preserve">regional </w:t>
      </w:r>
      <w:r w:rsidRPr="00EA1BA5">
        <w:rPr>
          <w:rFonts w:ascii="Arial" w:hAnsi="Arial" w:cs="Arial"/>
        </w:rPr>
        <w:t>economy and promote the accessibility and acceptance of HKDAP.</w:t>
      </w:r>
    </w:p>
    <w:p w14:paraId="4FA633C9" w14:textId="77777777" w:rsidR="008559ED" w:rsidRPr="00EA1BA5" w:rsidRDefault="008559ED" w:rsidP="008559ED">
      <w:pPr>
        <w:pStyle w:val="wp-block-paragraph"/>
        <w:jc w:val="both"/>
        <w:rPr>
          <w:rFonts w:ascii="Arial" w:hAnsi="Arial" w:cs="Arial"/>
        </w:rPr>
      </w:pPr>
      <w:r w:rsidRPr="00EA1BA5">
        <w:rPr>
          <w:rFonts w:ascii="Arial" w:hAnsi="Arial" w:cs="Arial"/>
        </w:rPr>
        <w:lastRenderedPageBreak/>
        <w:t xml:space="preserve">Anchorpoint is </w:t>
      </w:r>
      <w:r>
        <w:rPr>
          <w:rFonts w:ascii="Arial" w:hAnsi="Arial" w:cs="Arial"/>
        </w:rPr>
        <w:t xml:space="preserve">additionally </w:t>
      </w:r>
      <w:r w:rsidRPr="00EA1BA5">
        <w:rPr>
          <w:rFonts w:ascii="Arial" w:hAnsi="Arial" w:cs="Arial"/>
        </w:rPr>
        <w:t xml:space="preserve">keen </w:t>
      </w:r>
      <w:r>
        <w:rPr>
          <w:rFonts w:ascii="Arial" w:hAnsi="Arial" w:cs="Arial"/>
        </w:rPr>
        <w:t>to co-develop</w:t>
      </w:r>
      <w:r w:rsidRPr="00EA1BA5">
        <w:rPr>
          <w:rFonts w:ascii="Arial" w:hAnsi="Arial" w:cs="Arial"/>
        </w:rPr>
        <w:t xml:space="preserve"> innovative use cases that facilitate the settlement and distribution of tokenised real-world assets. The company is also focused </w:t>
      </w:r>
      <w:r>
        <w:rPr>
          <w:rFonts w:ascii="Arial" w:hAnsi="Arial" w:cs="Arial"/>
        </w:rPr>
        <w:t xml:space="preserve">on </w:t>
      </w:r>
      <w:r w:rsidRPr="00D74223">
        <w:rPr>
          <w:rFonts w:ascii="Arial" w:hAnsi="Arial" w:cs="Arial"/>
        </w:rPr>
        <w:t>solutions that allow cross-border payments to be made using stablecoins</w:t>
      </w:r>
      <w:r>
        <w:rPr>
          <w:rFonts w:ascii="Arial" w:hAnsi="Arial" w:cs="Arial"/>
        </w:rPr>
        <w:t>.</w:t>
      </w:r>
    </w:p>
    <w:p w14:paraId="361D78BE" w14:textId="77777777" w:rsidR="005A6C8A" w:rsidRPr="00527F83" w:rsidRDefault="00D33251" w:rsidP="00EA1BA5">
      <w:pPr>
        <w:spacing w:before="100" w:beforeAutospacing="1" w:after="100" w:afterAutospacing="1"/>
        <w:jc w:val="both"/>
        <w:rPr>
          <w:rFonts w:ascii="Arial" w:hAnsi="Arial" w:cs="Arial"/>
          <w:color w:val="FF0000"/>
          <w:sz w:val="24"/>
          <w:szCs w:val="24"/>
        </w:rPr>
      </w:pPr>
      <w:r w:rsidRPr="00527F83">
        <w:rPr>
          <w:rFonts w:ascii="Arial" w:hAnsi="Arial" w:cs="Arial"/>
          <w:b/>
          <w:bCs/>
          <w:color w:val="FF0000"/>
          <w:sz w:val="24"/>
          <w:szCs w:val="24"/>
        </w:rPr>
        <w:t>HSBC</w:t>
      </w:r>
      <w:r w:rsidR="005A6C8A" w:rsidRPr="00527F83">
        <w:rPr>
          <w:rFonts w:ascii="Arial" w:hAnsi="Arial" w:cs="Arial"/>
          <w:b/>
          <w:bCs/>
          <w:color w:val="FF0000"/>
          <w:sz w:val="24"/>
          <w:szCs w:val="24"/>
        </w:rPr>
        <w:t xml:space="preserve">’s </w:t>
      </w:r>
      <w:r w:rsidR="00527F83" w:rsidRPr="00527F83">
        <w:rPr>
          <w:rFonts w:ascii="Arial" w:hAnsi="Arial" w:cs="Arial"/>
          <w:b/>
          <w:bCs/>
          <w:color w:val="FF0000"/>
          <w:sz w:val="24"/>
          <w:szCs w:val="24"/>
        </w:rPr>
        <w:t xml:space="preserve">Hong Kong Dollar </w:t>
      </w:r>
      <w:r w:rsidR="005A6C8A" w:rsidRPr="00527F83">
        <w:rPr>
          <w:rFonts w:ascii="Arial" w:hAnsi="Arial" w:cs="Arial"/>
          <w:b/>
          <w:bCs/>
          <w:color w:val="FF0000"/>
          <w:sz w:val="24"/>
          <w:szCs w:val="24"/>
        </w:rPr>
        <w:t>Stablecoin Initiative</w:t>
      </w:r>
      <w:r w:rsidRPr="00527F83">
        <w:rPr>
          <w:rFonts w:ascii="Arial" w:hAnsi="Arial" w:cs="Arial"/>
          <w:color w:val="FF0000"/>
          <w:sz w:val="24"/>
          <w:szCs w:val="24"/>
        </w:rPr>
        <w:t xml:space="preserve"> </w:t>
      </w:r>
    </w:p>
    <w:p w14:paraId="23ADD8E2" w14:textId="77777777" w:rsidR="005A6C8A" w:rsidRPr="005A6C8A" w:rsidRDefault="005A6C8A" w:rsidP="005A6C8A">
      <w:pPr>
        <w:pStyle w:val="NormalWeb"/>
        <w:jc w:val="both"/>
        <w:rPr>
          <w:rFonts w:ascii="Arial" w:hAnsi="Arial" w:cs="Arial"/>
        </w:rPr>
      </w:pPr>
      <w:r w:rsidRPr="005A6C8A">
        <w:rPr>
          <w:rFonts w:ascii="Arial" w:hAnsi="Arial" w:cs="Arial"/>
        </w:rPr>
        <w:t xml:space="preserve">HSBC has similarly </w:t>
      </w:r>
      <w:hyperlink r:id="rId12" w:history="1">
        <w:r w:rsidRPr="00322D45">
          <w:rPr>
            <w:rStyle w:val="Hyperlink"/>
            <w:rFonts w:ascii="Arial" w:hAnsi="Arial" w:cs="Arial"/>
            <w:color w:val="467886"/>
          </w:rPr>
          <w:t>confirmed</w:t>
        </w:r>
      </w:hyperlink>
      <w:r w:rsidR="00343E9D">
        <w:rPr>
          <w:rStyle w:val="FootnoteReference"/>
          <w:rFonts w:ascii="Arial" w:hAnsi="Arial" w:cs="Arial"/>
        </w:rPr>
        <w:footnoteReference w:id="2"/>
      </w:r>
      <w:r w:rsidRPr="005A6C8A">
        <w:rPr>
          <w:rFonts w:ascii="Arial" w:hAnsi="Arial" w:cs="Arial"/>
        </w:rPr>
        <w:t xml:space="preserve"> its planned launch of a Hong Kong dollar stablecoin in the second half of 2026. </w:t>
      </w:r>
      <w:r w:rsidR="00527F83">
        <w:rPr>
          <w:rFonts w:ascii="Arial" w:hAnsi="Arial" w:cs="Arial"/>
        </w:rPr>
        <w:t>Significant</w:t>
      </w:r>
      <w:r>
        <w:rPr>
          <w:rFonts w:ascii="Arial" w:hAnsi="Arial" w:cs="Arial"/>
        </w:rPr>
        <w:t xml:space="preserve">ly, </w:t>
      </w:r>
      <w:r w:rsidR="00527F83">
        <w:rPr>
          <w:rFonts w:ascii="Arial" w:hAnsi="Arial" w:cs="Arial"/>
        </w:rPr>
        <w:t>HSBC intends</w:t>
      </w:r>
      <w:r>
        <w:rPr>
          <w:rFonts w:ascii="Arial" w:hAnsi="Arial" w:cs="Arial"/>
        </w:rPr>
        <w:t xml:space="preserve"> to integrate the stablecoin</w:t>
      </w:r>
      <w:r w:rsidRPr="005A6C8A">
        <w:rPr>
          <w:rFonts w:ascii="Arial" w:hAnsi="Arial" w:cs="Arial"/>
        </w:rPr>
        <w:t xml:space="preserve"> into two of Hong Kong’s most widely used digital platforms: PayMe and the HSBC HK Mobile Banking App</w:t>
      </w:r>
      <w:r>
        <w:rPr>
          <w:rFonts w:ascii="Arial" w:hAnsi="Arial" w:cs="Arial"/>
        </w:rPr>
        <w:t xml:space="preserve"> (</w:t>
      </w:r>
      <w:r w:rsidRPr="00343E9D">
        <w:rPr>
          <w:rFonts w:ascii="Arial" w:hAnsi="Arial" w:cs="Arial"/>
          <w:b/>
        </w:rPr>
        <w:t>HSBC HK App</w:t>
      </w:r>
      <w:r w:rsidRPr="005A6C8A">
        <w:rPr>
          <w:rFonts w:ascii="Arial" w:hAnsi="Arial" w:cs="Arial"/>
        </w:rPr>
        <w:t xml:space="preserve">). </w:t>
      </w:r>
    </w:p>
    <w:p w14:paraId="5F6610FE" w14:textId="77777777" w:rsidR="005A6C8A" w:rsidRPr="00343E9D" w:rsidRDefault="005A6C8A" w:rsidP="00343E9D">
      <w:pPr>
        <w:pStyle w:val="NormalWeb"/>
        <w:jc w:val="both"/>
        <w:rPr>
          <w:rFonts w:ascii="Arial" w:hAnsi="Arial" w:cs="Arial"/>
        </w:rPr>
      </w:pPr>
      <w:r w:rsidRPr="00343E9D">
        <w:rPr>
          <w:rFonts w:ascii="Arial" w:hAnsi="Arial" w:cs="Arial"/>
        </w:rPr>
        <w:t xml:space="preserve">In the initial phase, HSBC will offer retail customers and merchants the ability to: </w:t>
      </w:r>
    </w:p>
    <w:p w14:paraId="69A6D7A2" w14:textId="77777777" w:rsidR="005A6C8A" w:rsidRDefault="005A6C8A" w:rsidP="00343E9D">
      <w:pPr>
        <w:numPr>
          <w:ilvl w:val="0"/>
          <w:numId w:val="1"/>
        </w:numPr>
        <w:spacing w:before="100" w:beforeAutospacing="1" w:after="100" w:afterAutospacing="1"/>
        <w:contextualSpacing/>
        <w:jc w:val="both"/>
        <w:rPr>
          <w:rFonts w:ascii="Arial" w:hAnsi="Arial" w:cs="Arial"/>
          <w:sz w:val="24"/>
          <w:szCs w:val="24"/>
        </w:rPr>
      </w:pPr>
      <w:r w:rsidRPr="00343E9D">
        <w:rPr>
          <w:rStyle w:val="Strong"/>
          <w:rFonts w:ascii="Arial" w:hAnsi="Arial" w:cs="Arial"/>
          <w:sz w:val="24"/>
          <w:szCs w:val="24"/>
        </w:rPr>
        <w:t>Make Peer-to-Peer (P2P) payments</w:t>
      </w:r>
      <w:r w:rsidRPr="00343E9D">
        <w:rPr>
          <w:rFonts w:ascii="Arial" w:hAnsi="Arial" w:cs="Arial"/>
          <w:sz w:val="24"/>
          <w:szCs w:val="24"/>
        </w:rPr>
        <w:t xml:space="preserve"> using stablecoins via P</w:t>
      </w:r>
      <w:r w:rsidR="00343E9D">
        <w:rPr>
          <w:rFonts w:ascii="Arial" w:hAnsi="Arial" w:cs="Arial"/>
          <w:sz w:val="24"/>
          <w:szCs w:val="24"/>
        </w:rPr>
        <w:t>ayMe and HSBC HK App;</w:t>
      </w:r>
    </w:p>
    <w:p w14:paraId="40AB4941" w14:textId="77777777" w:rsidR="00343E9D" w:rsidRPr="00343E9D" w:rsidRDefault="00343E9D" w:rsidP="00343E9D">
      <w:pPr>
        <w:spacing w:before="100" w:beforeAutospacing="1" w:after="100" w:afterAutospacing="1"/>
        <w:contextualSpacing/>
        <w:jc w:val="both"/>
        <w:rPr>
          <w:rFonts w:ascii="Arial" w:hAnsi="Arial" w:cs="Arial"/>
          <w:sz w:val="24"/>
          <w:szCs w:val="24"/>
        </w:rPr>
      </w:pPr>
    </w:p>
    <w:p w14:paraId="06260F92" w14:textId="77777777" w:rsidR="005A6C8A" w:rsidRDefault="00343E9D" w:rsidP="00343E9D">
      <w:pPr>
        <w:numPr>
          <w:ilvl w:val="0"/>
          <w:numId w:val="1"/>
        </w:numPr>
        <w:spacing w:before="100" w:beforeAutospacing="1" w:after="100" w:afterAutospacing="1"/>
        <w:contextualSpacing/>
        <w:jc w:val="both"/>
        <w:rPr>
          <w:rFonts w:ascii="Arial" w:hAnsi="Arial" w:cs="Arial"/>
          <w:sz w:val="24"/>
          <w:szCs w:val="24"/>
        </w:rPr>
      </w:pPr>
      <w:r w:rsidRPr="00343E9D">
        <w:rPr>
          <w:rStyle w:val="Strong"/>
          <w:rFonts w:ascii="Arial" w:hAnsi="Arial" w:cs="Arial"/>
          <w:sz w:val="24"/>
          <w:szCs w:val="24"/>
        </w:rPr>
        <w:t xml:space="preserve">Make </w:t>
      </w:r>
      <w:r>
        <w:rPr>
          <w:rStyle w:val="Strong"/>
          <w:rFonts w:ascii="Arial" w:hAnsi="Arial" w:cs="Arial"/>
          <w:sz w:val="24"/>
          <w:szCs w:val="24"/>
        </w:rPr>
        <w:t>Peer-to-Merchant (P2M) Payments</w:t>
      </w:r>
      <w:r w:rsidR="005A6C8A" w:rsidRPr="00343E9D">
        <w:rPr>
          <w:rFonts w:ascii="Arial" w:hAnsi="Arial" w:cs="Arial"/>
          <w:sz w:val="24"/>
          <w:szCs w:val="24"/>
        </w:rPr>
        <w:t xml:space="preserve"> </w:t>
      </w:r>
      <w:r>
        <w:rPr>
          <w:rFonts w:ascii="Arial" w:hAnsi="Arial" w:cs="Arial"/>
          <w:sz w:val="24"/>
          <w:szCs w:val="24"/>
        </w:rPr>
        <w:t>to p</w:t>
      </w:r>
      <w:r w:rsidR="005A6C8A" w:rsidRPr="00343E9D">
        <w:rPr>
          <w:rFonts w:ascii="Arial" w:hAnsi="Arial" w:cs="Arial"/>
          <w:sz w:val="24"/>
          <w:szCs w:val="24"/>
        </w:rPr>
        <w:t>ay participating merchants dire</w:t>
      </w:r>
      <w:r>
        <w:rPr>
          <w:rFonts w:ascii="Arial" w:hAnsi="Arial" w:cs="Arial"/>
          <w:sz w:val="24"/>
          <w:szCs w:val="24"/>
        </w:rPr>
        <w:t>ctly with stablecoins via PayMe; and</w:t>
      </w:r>
    </w:p>
    <w:p w14:paraId="7D2FF60E" w14:textId="77777777" w:rsidR="00343E9D" w:rsidRPr="00343E9D" w:rsidRDefault="00343E9D" w:rsidP="00343E9D">
      <w:pPr>
        <w:spacing w:before="100" w:beforeAutospacing="1" w:after="100" w:afterAutospacing="1"/>
        <w:contextualSpacing/>
        <w:jc w:val="both"/>
        <w:rPr>
          <w:rFonts w:ascii="Arial" w:hAnsi="Arial" w:cs="Arial"/>
          <w:sz w:val="24"/>
          <w:szCs w:val="24"/>
        </w:rPr>
      </w:pPr>
    </w:p>
    <w:p w14:paraId="33FF62C2" w14:textId="77777777" w:rsidR="005A6C8A" w:rsidRPr="00343E9D" w:rsidRDefault="00343E9D" w:rsidP="00343E9D">
      <w:pPr>
        <w:numPr>
          <w:ilvl w:val="0"/>
          <w:numId w:val="1"/>
        </w:numPr>
        <w:spacing w:before="100" w:beforeAutospacing="1" w:after="100" w:afterAutospacing="1"/>
        <w:contextualSpacing/>
        <w:jc w:val="both"/>
        <w:rPr>
          <w:rFonts w:ascii="Arial" w:hAnsi="Arial" w:cs="Arial"/>
          <w:sz w:val="24"/>
          <w:szCs w:val="24"/>
        </w:rPr>
      </w:pPr>
      <w:r w:rsidRPr="00343E9D">
        <w:rPr>
          <w:rFonts w:ascii="Arial" w:hAnsi="Arial" w:cs="Arial"/>
          <w:b/>
          <w:sz w:val="24"/>
          <w:szCs w:val="24"/>
        </w:rPr>
        <w:t>Subscribe to</w:t>
      </w:r>
      <w:r w:rsidRPr="00343E9D">
        <w:rPr>
          <w:rFonts w:ascii="Arial" w:hAnsi="Arial" w:cs="Arial"/>
          <w:sz w:val="24"/>
          <w:szCs w:val="24"/>
        </w:rPr>
        <w:t xml:space="preserve"> </w:t>
      </w:r>
      <w:r w:rsidR="005A6C8A" w:rsidRPr="00343E9D">
        <w:rPr>
          <w:rStyle w:val="Strong"/>
          <w:rFonts w:ascii="Arial" w:hAnsi="Arial" w:cs="Arial"/>
          <w:sz w:val="24"/>
          <w:szCs w:val="24"/>
        </w:rPr>
        <w:t>Tokenised Investments</w:t>
      </w:r>
      <w:r w:rsidR="005A6C8A" w:rsidRPr="00343E9D">
        <w:rPr>
          <w:rFonts w:ascii="Arial" w:hAnsi="Arial" w:cs="Arial"/>
          <w:sz w:val="24"/>
          <w:szCs w:val="24"/>
        </w:rPr>
        <w:t xml:space="preserve"> using stablecoins via HSBC HK App.</w:t>
      </w:r>
    </w:p>
    <w:p w14:paraId="677C8710" w14:textId="77777777" w:rsidR="005A6C8A" w:rsidRPr="00343E9D" w:rsidRDefault="005A6C8A" w:rsidP="00343E9D">
      <w:pPr>
        <w:pStyle w:val="NormalWeb"/>
        <w:jc w:val="both"/>
        <w:rPr>
          <w:rFonts w:ascii="Arial" w:hAnsi="Arial" w:cs="Arial"/>
        </w:rPr>
      </w:pPr>
      <w:r w:rsidRPr="00343E9D">
        <w:rPr>
          <w:rFonts w:ascii="Arial" w:hAnsi="Arial" w:cs="Arial"/>
        </w:rPr>
        <w:t xml:space="preserve">PayMe currently serves over 3.3 million users, while the HSBC HK App </w:t>
      </w:r>
      <w:r w:rsidR="00343E9D">
        <w:rPr>
          <w:rFonts w:ascii="Arial" w:hAnsi="Arial" w:cs="Arial"/>
        </w:rPr>
        <w:t xml:space="preserve">apparently recorded a 20% </w:t>
      </w:r>
      <w:r w:rsidRPr="00343E9D">
        <w:rPr>
          <w:rFonts w:ascii="Arial" w:hAnsi="Arial" w:cs="Arial"/>
        </w:rPr>
        <w:t xml:space="preserve">increase in active users year-on-year. Building on an established critical mass of users, </w:t>
      </w:r>
      <w:r w:rsidR="00343E9D">
        <w:rPr>
          <w:rFonts w:ascii="Arial" w:hAnsi="Arial" w:cs="Arial"/>
        </w:rPr>
        <w:t xml:space="preserve">HSBC intends that </w:t>
      </w:r>
      <w:r w:rsidRPr="00343E9D">
        <w:rPr>
          <w:rFonts w:ascii="Arial" w:hAnsi="Arial" w:cs="Arial"/>
        </w:rPr>
        <w:t xml:space="preserve">these platforms </w:t>
      </w:r>
      <w:r w:rsidR="00343E9D">
        <w:rPr>
          <w:rFonts w:ascii="Arial" w:hAnsi="Arial" w:cs="Arial"/>
        </w:rPr>
        <w:t xml:space="preserve">will act as a </w:t>
      </w:r>
      <w:r w:rsidRPr="00343E9D">
        <w:rPr>
          <w:rFonts w:ascii="Arial" w:hAnsi="Arial" w:cs="Arial"/>
        </w:rPr>
        <w:t xml:space="preserve">springboard for HSBC’s financial innovation agenda and support the development of new financial applications and services powered by digital assets in Hong Kong. </w:t>
      </w:r>
    </w:p>
    <w:p w14:paraId="2F5661CE" w14:textId="77777777" w:rsidR="005A6C8A" w:rsidRPr="00343E9D" w:rsidRDefault="005A6C8A" w:rsidP="00343E9D">
      <w:pPr>
        <w:pStyle w:val="NormalWeb"/>
        <w:jc w:val="both"/>
        <w:rPr>
          <w:rFonts w:ascii="Arial" w:hAnsi="Arial" w:cs="Arial"/>
        </w:rPr>
      </w:pPr>
      <w:r w:rsidRPr="00343E9D">
        <w:rPr>
          <w:rFonts w:ascii="Arial" w:hAnsi="Arial" w:cs="Arial"/>
        </w:rPr>
        <w:t>HSBC has participated in many of the HKMA’s key digital asset and currenc</w:t>
      </w:r>
      <w:r w:rsidR="00343E9D" w:rsidRPr="00343E9D">
        <w:rPr>
          <w:rFonts w:ascii="Arial" w:hAnsi="Arial" w:cs="Arial"/>
        </w:rPr>
        <w:t>y</w:t>
      </w:r>
      <w:r w:rsidRPr="00343E9D">
        <w:rPr>
          <w:rFonts w:ascii="Arial" w:hAnsi="Arial" w:cs="Arial"/>
        </w:rPr>
        <w:t xml:space="preserve"> projects, including the e-HKD+ Pilot Programme and Project Ensemble. </w:t>
      </w:r>
    </w:p>
    <w:p w14:paraId="1FF2F261" w14:textId="77777777" w:rsidR="00D33251" w:rsidRPr="00F94C10" w:rsidRDefault="00D33251" w:rsidP="00563080">
      <w:pPr>
        <w:spacing w:before="100" w:beforeAutospacing="1" w:after="100" w:afterAutospacing="1"/>
        <w:jc w:val="both"/>
        <w:rPr>
          <w:rFonts w:ascii="Arial" w:hAnsi="Arial" w:cs="Arial"/>
          <w:b/>
          <w:bCs/>
          <w:color w:val="FF0000"/>
          <w:sz w:val="24"/>
          <w:szCs w:val="24"/>
        </w:rPr>
      </w:pPr>
      <w:r w:rsidRPr="00F94C10">
        <w:rPr>
          <w:rFonts w:ascii="Arial" w:hAnsi="Arial" w:cs="Arial"/>
          <w:b/>
          <w:bCs/>
          <w:color w:val="FF0000"/>
          <w:sz w:val="24"/>
          <w:szCs w:val="24"/>
        </w:rPr>
        <w:t xml:space="preserve">Practical Implications for </w:t>
      </w:r>
      <w:r w:rsidR="00343E9D">
        <w:rPr>
          <w:rFonts w:ascii="Arial" w:hAnsi="Arial" w:cs="Arial"/>
          <w:b/>
          <w:bCs/>
          <w:color w:val="FF0000"/>
          <w:sz w:val="24"/>
          <w:szCs w:val="24"/>
        </w:rPr>
        <w:t xml:space="preserve">Hong Kong </w:t>
      </w:r>
      <w:r w:rsidRPr="00F94C10">
        <w:rPr>
          <w:rFonts w:ascii="Arial" w:hAnsi="Arial" w:cs="Arial"/>
          <w:b/>
          <w:bCs/>
          <w:color w:val="FF0000"/>
          <w:sz w:val="24"/>
          <w:szCs w:val="24"/>
        </w:rPr>
        <w:t>Market Participants</w:t>
      </w:r>
    </w:p>
    <w:p w14:paraId="46494536" w14:textId="77777777" w:rsidR="00D33251" w:rsidRPr="00563080" w:rsidRDefault="00D33251" w:rsidP="00563080">
      <w:pPr>
        <w:spacing w:before="100" w:beforeAutospacing="1" w:after="100" w:afterAutospacing="1"/>
        <w:jc w:val="both"/>
        <w:rPr>
          <w:rFonts w:ascii="Arial" w:hAnsi="Arial" w:cs="Arial"/>
          <w:sz w:val="24"/>
          <w:szCs w:val="24"/>
        </w:rPr>
      </w:pPr>
      <w:r w:rsidRPr="00563080">
        <w:rPr>
          <w:rFonts w:ascii="Arial" w:hAnsi="Arial" w:cs="Arial"/>
          <w:sz w:val="24"/>
          <w:szCs w:val="24"/>
        </w:rPr>
        <w:t>For those advising clients ope</w:t>
      </w:r>
      <w:r w:rsidR="00F94C10">
        <w:rPr>
          <w:rFonts w:ascii="Arial" w:hAnsi="Arial" w:cs="Arial"/>
          <w:sz w:val="24"/>
          <w:szCs w:val="24"/>
        </w:rPr>
        <w:t>rating in or entering Hong Kong’</w:t>
      </w:r>
      <w:r w:rsidRPr="00563080">
        <w:rPr>
          <w:rFonts w:ascii="Arial" w:hAnsi="Arial" w:cs="Arial"/>
          <w:sz w:val="24"/>
          <w:szCs w:val="24"/>
        </w:rPr>
        <w:t>s digital asset market, the following observations are worth bearing in mind.</w:t>
      </w:r>
    </w:p>
    <w:p w14:paraId="03F0F785" w14:textId="77777777" w:rsidR="00D33251" w:rsidRPr="00563080" w:rsidRDefault="00D33251" w:rsidP="00563080">
      <w:pPr>
        <w:spacing w:before="100" w:beforeAutospacing="1" w:after="100" w:afterAutospacing="1"/>
        <w:jc w:val="both"/>
        <w:rPr>
          <w:rFonts w:ascii="Arial" w:hAnsi="Arial" w:cs="Arial"/>
          <w:sz w:val="24"/>
          <w:szCs w:val="24"/>
        </w:rPr>
      </w:pPr>
      <w:r w:rsidRPr="00563080">
        <w:rPr>
          <w:rFonts w:ascii="Arial" w:hAnsi="Arial" w:cs="Arial"/>
          <w:b/>
          <w:bCs/>
          <w:sz w:val="24"/>
          <w:szCs w:val="24"/>
        </w:rPr>
        <w:t>The register is authoritative.</w:t>
      </w:r>
      <w:r w:rsidRPr="00563080">
        <w:rPr>
          <w:rFonts w:ascii="Arial" w:hAnsi="Arial" w:cs="Arial"/>
          <w:sz w:val="24"/>
          <w:szCs w:val="24"/>
        </w:rPr>
        <w:t xml:space="preserve"> The HKMA has been explicit: members of the public and market participants should verify the status of any purported stablecoin issuer against the </w:t>
      </w:r>
      <w:hyperlink r:id="rId13" w:history="1">
        <w:r w:rsidRPr="00322D45">
          <w:rPr>
            <w:rStyle w:val="Hyperlink"/>
            <w:rFonts w:ascii="Arial" w:hAnsi="Arial" w:cs="Arial"/>
            <w:color w:val="467886"/>
            <w:sz w:val="24"/>
            <w:szCs w:val="24"/>
          </w:rPr>
          <w:t>Register of Licensed Stablecoin Issuers</w:t>
        </w:r>
      </w:hyperlink>
      <w:r w:rsidRPr="00563080">
        <w:rPr>
          <w:rFonts w:ascii="Arial" w:hAnsi="Arial" w:cs="Arial"/>
          <w:sz w:val="24"/>
          <w:szCs w:val="24"/>
        </w:rPr>
        <w:t>. Any entity claiming to issue stablecoins in Hong Kong without appearing on that register is operating unlawfully. Given the HKMA’s track record in pursuing unlicensed financial activity, this is not a theoretical risk.</w:t>
      </w:r>
    </w:p>
    <w:p w14:paraId="4E54670F" w14:textId="77777777" w:rsidR="00D33251" w:rsidRPr="00563080" w:rsidRDefault="00D33251" w:rsidP="00563080">
      <w:pPr>
        <w:spacing w:before="100" w:beforeAutospacing="1" w:after="100" w:afterAutospacing="1"/>
        <w:jc w:val="both"/>
        <w:rPr>
          <w:rFonts w:ascii="Arial" w:hAnsi="Arial" w:cs="Arial"/>
          <w:sz w:val="24"/>
          <w:szCs w:val="24"/>
        </w:rPr>
      </w:pPr>
      <w:r w:rsidRPr="00563080">
        <w:rPr>
          <w:rFonts w:ascii="Arial" w:hAnsi="Arial" w:cs="Arial"/>
          <w:b/>
          <w:bCs/>
          <w:sz w:val="24"/>
          <w:szCs w:val="24"/>
        </w:rPr>
        <w:lastRenderedPageBreak/>
        <w:t>Fraud risk is already being flagged.</w:t>
      </w:r>
      <w:r w:rsidRPr="00563080">
        <w:rPr>
          <w:rFonts w:ascii="Arial" w:hAnsi="Arial" w:cs="Arial"/>
          <w:sz w:val="24"/>
          <w:szCs w:val="24"/>
        </w:rPr>
        <w:t xml:space="preserve"> It is notable that the HKMA’s announcement, on the very day of the first licence grants, included a specific public warning about </w:t>
      </w:r>
      <w:r w:rsidRPr="00563080">
        <w:rPr>
          <w:rFonts w:ascii="Arial" w:hAnsi="Arial" w:cs="Arial"/>
          <w:i/>
          <w:iCs/>
          <w:sz w:val="24"/>
          <w:szCs w:val="24"/>
        </w:rPr>
        <w:t>“fraudulent activities or scams that are purported to be associated with the licensees or their stablecoin issuance”.</w:t>
      </w:r>
      <w:r w:rsidRPr="00563080">
        <w:rPr>
          <w:rFonts w:ascii="Arial" w:hAnsi="Arial" w:cs="Arial"/>
          <w:sz w:val="24"/>
          <w:szCs w:val="24"/>
        </w:rPr>
        <w:t xml:space="preserve"> Those advising retail platforms, exchanges, or payment service providers should ensure that their clients have adequate procedures for verifying the provenance of any stablecoin instrument they</w:t>
      </w:r>
      <w:r w:rsidR="00F94C10">
        <w:rPr>
          <w:rFonts w:ascii="Arial" w:hAnsi="Arial" w:cs="Arial"/>
          <w:sz w:val="24"/>
          <w:szCs w:val="24"/>
        </w:rPr>
        <w:t xml:space="preserve"> propose to list, distribute</w:t>
      </w:r>
      <w:r w:rsidRPr="00563080">
        <w:rPr>
          <w:rFonts w:ascii="Arial" w:hAnsi="Arial" w:cs="Arial"/>
          <w:sz w:val="24"/>
          <w:szCs w:val="24"/>
        </w:rPr>
        <w:t xml:space="preserve"> or facilitate.</w:t>
      </w:r>
    </w:p>
    <w:p w14:paraId="170277B4" w14:textId="3FACD259" w:rsidR="00F94C10" w:rsidRDefault="00F846E2" w:rsidP="00563080">
      <w:pPr>
        <w:spacing w:before="100" w:beforeAutospacing="1" w:after="100" w:afterAutospacing="1"/>
        <w:jc w:val="both"/>
        <w:rPr>
          <w:rFonts w:ascii="Arial" w:hAnsi="Arial" w:cs="Arial"/>
          <w:sz w:val="24"/>
          <w:szCs w:val="24"/>
        </w:rPr>
      </w:pPr>
      <w:r w:rsidRPr="00F846E2">
        <w:rPr>
          <w:rFonts w:ascii="Arial" w:hAnsi="Arial" w:cs="Arial"/>
          <w:b/>
          <w:bCs/>
          <w:sz w:val="24"/>
          <w:szCs w:val="24"/>
        </w:rPr>
        <w:t>HKD Stablecoin launches are imminent but not immediate.</w:t>
      </w:r>
      <w:r w:rsidR="00D33251" w:rsidRPr="00563080">
        <w:rPr>
          <w:rFonts w:ascii="Arial" w:hAnsi="Arial" w:cs="Arial"/>
          <w:sz w:val="24"/>
          <w:szCs w:val="24"/>
        </w:rPr>
        <w:t xml:space="preserve"> </w:t>
      </w:r>
      <w:r w:rsidRPr="00F846E2">
        <w:rPr>
          <w:rFonts w:ascii="Arial" w:hAnsi="Arial" w:cs="Arial"/>
          <w:sz w:val="24"/>
          <w:szCs w:val="24"/>
        </w:rPr>
        <w:t>Both licensees have indicated that they intend to launch their HKD-referenced stablecoins in the second half of 2026.</w:t>
      </w:r>
      <w:r w:rsidR="00D33251" w:rsidRPr="00563080">
        <w:rPr>
          <w:rFonts w:ascii="Arial" w:hAnsi="Arial" w:cs="Arial"/>
          <w:sz w:val="24"/>
          <w:szCs w:val="24"/>
        </w:rPr>
        <w:t xml:space="preserve"> </w:t>
      </w:r>
    </w:p>
    <w:p w14:paraId="54B6F248" w14:textId="77777777" w:rsidR="00F94C10" w:rsidRDefault="00D33251" w:rsidP="00563080">
      <w:pPr>
        <w:spacing w:before="100" w:beforeAutospacing="1" w:after="100" w:afterAutospacing="1"/>
        <w:jc w:val="both"/>
        <w:rPr>
          <w:rFonts w:ascii="Arial" w:hAnsi="Arial" w:cs="Arial"/>
          <w:sz w:val="24"/>
          <w:szCs w:val="24"/>
        </w:rPr>
      </w:pPr>
      <w:r w:rsidRPr="00563080">
        <w:rPr>
          <w:rFonts w:ascii="Arial" w:hAnsi="Arial" w:cs="Arial"/>
          <w:b/>
          <w:bCs/>
          <w:sz w:val="24"/>
          <w:szCs w:val="24"/>
        </w:rPr>
        <w:t>The licensing pipeline will grow.</w:t>
      </w:r>
      <w:r w:rsidRPr="00563080">
        <w:rPr>
          <w:rFonts w:ascii="Arial" w:hAnsi="Arial" w:cs="Arial"/>
          <w:sz w:val="24"/>
          <w:szCs w:val="24"/>
        </w:rPr>
        <w:t xml:space="preserve"> The HKMA is unlikely to have processed only two applications in the period since the </w:t>
      </w:r>
      <w:r w:rsidR="00F94C10">
        <w:rPr>
          <w:rFonts w:ascii="Arial" w:hAnsi="Arial" w:cs="Arial"/>
          <w:sz w:val="24"/>
          <w:szCs w:val="24"/>
        </w:rPr>
        <w:t xml:space="preserve">Stablecoins </w:t>
      </w:r>
      <w:r w:rsidRPr="00563080">
        <w:rPr>
          <w:rFonts w:ascii="Arial" w:hAnsi="Arial" w:cs="Arial"/>
          <w:sz w:val="24"/>
          <w:szCs w:val="24"/>
        </w:rPr>
        <w:t xml:space="preserve">Ordinance came into force. It is reasonable to expect that further licence grants will follow as remaining applications are assessed. </w:t>
      </w:r>
    </w:p>
    <w:p w14:paraId="09798F59" w14:textId="77777777" w:rsidR="00343E9D" w:rsidRDefault="00D33251" w:rsidP="00563080">
      <w:pPr>
        <w:spacing w:before="100" w:beforeAutospacing="1" w:after="100" w:afterAutospacing="1"/>
        <w:jc w:val="both"/>
        <w:rPr>
          <w:rFonts w:ascii="Arial" w:hAnsi="Arial" w:cs="Arial"/>
          <w:sz w:val="24"/>
          <w:szCs w:val="24"/>
        </w:rPr>
      </w:pPr>
      <w:r w:rsidRPr="00563080">
        <w:rPr>
          <w:rFonts w:ascii="Arial" w:hAnsi="Arial" w:cs="Arial"/>
          <w:b/>
          <w:bCs/>
          <w:sz w:val="24"/>
          <w:szCs w:val="24"/>
        </w:rPr>
        <w:t>Intersection with existing regulatory frameworks.</w:t>
      </w:r>
      <w:r w:rsidRPr="00563080">
        <w:rPr>
          <w:rFonts w:ascii="Arial" w:hAnsi="Arial" w:cs="Arial"/>
          <w:sz w:val="24"/>
          <w:szCs w:val="24"/>
        </w:rPr>
        <w:t xml:space="preserve"> Practitioners should be attentive to the interaction between the </w:t>
      </w:r>
      <w:r w:rsidRPr="00563080">
        <w:rPr>
          <w:rFonts w:ascii="Arial" w:hAnsi="Arial" w:cs="Arial"/>
          <w:i/>
          <w:iCs/>
          <w:sz w:val="24"/>
          <w:szCs w:val="24"/>
        </w:rPr>
        <w:t>Stablecoins Ordinance</w:t>
      </w:r>
      <w:r w:rsidR="00F94C10">
        <w:rPr>
          <w:rFonts w:ascii="Arial" w:hAnsi="Arial" w:cs="Arial"/>
          <w:sz w:val="24"/>
          <w:szCs w:val="24"/>
        </w:rPr>
        <w:t xml:space="preserve"> regime and Hong Kong’</w:t>
      </w:r>
      <w:r w:rsidRPr="00563080">
        <w:rPr>
          <w:rFonts w:ascii="Arial" w:hAnsi="Arial" w:cs="Arial"/>
          <w:sz w:val="24"/>
          <w:szCs w:val="24"/>
        </w:rPr>
        <w:t xml:space="preserve">s existing financial services regulatory architecture — including the licensing requirements under the </w:t>
      </w:r>
      <w:r w:rsidRPr="00563080">
        <w:rPr>
          <w:rFonts w:ascii="Arial" w:hAnsi="Arial" w:cs="Arial"/>
          <w:i/>
          <w:iCs/>
          <w:sz w:val="24"/>
          <w:szCs w:val="24"/>
        </w:rPr>
        <w:t>Securities and Futures Ordinance</w:t>
      </w:r>
      <w:r w:rsidRPr="00563080">
        <w:rPr>
          <w:rFonts w:ascii="Arial" w:hAnsi="Arial" w:cs="Arial"/>
          <w:sz w:val="24"/>
          <w:szCs w:val="24"/>
        </w:rPr>
        <w:t xml:space="preserve"> for dealing in or advising on securities, the </w:t>
      </w:r>
      <w:r w:rsidRPr="00563080">
        <w:rPr>
          <w:rFonts w:ascii="Arial" w:hAnsi="Arial" w:cs="Arial"/>
          <w:i/>
          <w:iCs/>
          <w:sz w:val="24"/>
          <w:szCs w:val="24"/>
        </w:rPr>
        <w:t>Payment Systems and Stored Value Facilities Ordinance</w:t>
      </w:r>
      <w:r w:rsidRPr="00563080">
        <w:rPr>
          <w:rFonts w:ascii="Arial" w:hAnsi="Arial" w:cs="Arial"/>
          <w:sz w:val="24"/>
          <w:szCs w:val="24"/>
        </w:rPr>
        <w:t xml:space="preserve">, and the anti-money laundering obligations arising under the </w:t>
      </w:r>
      <w:r w:rsidRPr="00563080">
        <w:rPr>
          <w:rFonts w:ascii="Arial" w:hAnsi="Arial" w:cs="Arial"/>
          <w:i/>
          <w:iCs/>
          <w:sz w:val="24"/>
          <w:szCs w:val="24"/>
        </w:rPr>
        <w:t>Anti-Money Laundering and Counter-Terrorist Financing Ordinance</w:t>
      </w:r>
      <w:r w:rsidRPr="00563080">
        <w:rPr>
          <w:rFonts w:ascii="Arial" w:hAnsi="Arial" w:cs="Arial"/>
          <w:sz w:val="24"/>
          <w:szCs w:val="24"/>
        </w:rPr>
        <w:t>. Stablecoin issuance does not exist in a regulatory vacuum; depending on the design of the instrume</w:t>
      </w:r>
      <w:r w:rsidR="00F94C10">
        <w:rPr>
          <w:rFonts w:ascii="Arial" w:hAnsi="Arial" w:cs="Arial"/>
          <w:sz w:val="24"/>
          <w:szCs w:val="24"/>
        </w:rPr>
        <w:t>nt and the nature of the issuer’</w:t>
      </w:r>
      <w:r w:rsidRPr="00563080">
        <w:rPr>
          <w:rFonts w:ascii="Arial" w:hAnsi="Arial" w:cs="Arial"/>
          <w:sz w:val="24"/>
          <w:szCs w:val="24"/>
        </w:rPr>
        <w:t>s broader activities, multiple regulatory touchpoints may be engaged simultaneously.</w:t>
      </w:r>
    </w:p>
    <w:p w14:paraId="177CFEFC" w14:textId="77777777" w:rsidR="00D33251" w:rsidRPr="00343E9D" w:rsidRDefault="00F94C10" w:rsidP="00563080">
      <w:pPr>
        <w:spacing w:before="100" w:beforeAutospacing="1" w:after="100" w:afterAutospacing="1"/>
        <w:jc w:val="both"/>
        <w:rPr>
          <w:rFonts w:ascii="Arial" w:hAnsi="Arial" w:cs="Arial"/>
          <w:sz w:val="24"/>
          <w:szCs w:val="24"/>
        </w:rPr>
      </w:pPr>
      <w:r w:rsidRPr="00343E9D">
        <w:rPr>
          <w:rFonts w:ascii="Arial" w:hAnsi="Arial" w:cs="Arial"/>
          <w:b/>
          <w:bCs/>
          <w:color w:val="FF0000"/>
          <w:sz w:val="24"/>
          <w:szCs w:val="24"/>
        </w:rPr>
        <w:t>The Broader Picture: Hong Kong’</w:t>
      </w:r>
      <w:r w:rsidR="00D33251" w:rsidRPr="00343E9D">
        <w:rPr>
          <w:rFonts w:ascii="Arial" w:hAnsi="Arial" w:cs="Arial"/>
          <w:b/>
          <w:bCs/>
          <w:color w:val="FF0000"/>
          <w:sz w:val="24"/>
          <w:szCs w:val="24"/>
        </w:rPr>
        <w:t>s Strategic Wager</w:t>
      </w:r>
    </w:p>
    <w:p w14:paraId="314EBF1F" w14:textId="77777777" w:rsidR="00D33251" w:rsidRPr="00563080" w:rsidRDefault="00D33251" w:rsidP="00563080">
      <w:pPr>
        <w:spacing w:before="100" w:beforeAutospacing="1" w:after="100" w:afterAutospacing="1"/>
        <w:jc w:val="both"/>
        <w:rPr>
          <w:rFonts w:ascii="Arial" w:hAnsi="Arial" w:cs="Arial"/>
          <w:sz w:val="24"/>
          <w:szCs w:val="24"/>
        </w:rPr>
      </w:pPr>
      <w:r w:rsidRPr="00563080">
        <w:rPr>
          <w:rFonts w:ascii="Arial" w:hAnsi="Arial" w:cs="Arial"/>
          <w:sz w:val="24"/>
          <w:szCs w:val="24"/>
        </w:rPr>
        <w:t xml:space="preserve">Stepping back from the immediate legal technicalities, </w:t>
      </w:r>
      <w:r w:rsidR="00343E9D">
        <w:rPr>
          <w:rFonts w:ascii="Arial" w:hAnsi="Arial" w:cs="Arial"/>
          <w:sz w:val="24"/>
          <w:szCs w:val="24"/>
        </w:rPr>
        <w:t>the HKMA’s</w:t>
      </w:r>
      <w:r w:rsidRPr="00563080">
        <w:rPr>
          <w:rFonts w:ascii="Arial" w:hAnsi="Arial" w:cs="Arial"/>
          <w:sz w:val="24"/>
          <w:szCs w:val="24"/>
        </w:rPr>
        <w:t xml:space="preserve"> announcement is </w:t>
      </w:r>
      <w:r w:rsidR="00527F83">
        <w:rPr>
          <w:rFonts w:ascii="Arial" w:hAnsi="Arial" w:cs="Arial"/>
          <w:sz w:val="24"/>
          <w:szCs w:val="24"/>
        </w:rPr>
        <w:t xml:space="preserve">both </w:t>
      </w:r>
      <w:r w:rsidRPr="00563080">
        <w:rPr>
          <w:rFonts w:ascii="Arial" w:hAnsi="Arial" w:cs="Arial"/>
          <w:sz w:val="24"/>
          <w:szCs w:val="24"/>
        </w:rPr>
        <w:t>a</w:t>
      </w:r>
      <w:r w:rsidR="00343E9D">
        <w:rPr>
          <w:rFonts w:ascii="Arial" w:hAnsi="Arial" w:cs="Arial"/>
          <w:sz w:val="24"/>
          <w:szCs w:val="24"/>
        </w:rPr>
        <w:t>n important</w:t>
      </w:r>
      <w:r w:rsidRPr="00563080">
        <w:rPr>
          <w:rFonts w:ascii="Arial" w:hAnsi="Arial" w:cs="Arial"/>
          <w:sz w:val="24"/>
          <w:szCs w:val="24"/>
        </w:rPr>
        <w:t xml:space="preserve"> statement of economic strategy </w:t>
      </w:r>
      <w:r w:rsidR="00527F83">
        <w:rPr>
          <w:rFonts w:ascii="Arial" w:hAnsi="Arial" w:cs="Arial"/>
          <w:sz w:val="24"/>
          <w:szCs w:val="24"/>
        </w:rPr>
        <w:t xml:space="preserve">and </w:t>
      </w:r>
      <w:r w:rsidRPr="00563080">
        <w:rPr>
          <w:rFonts w:ascii="Arial" w:hAnsi="Arial" w:cs="Arial"/>
          <w:sz w:val="24"/>
          <w:szCs w:val="24"/>
        </w:rPr>
        <w:t>a regulatory event.</w:t>
      </w:r>
    </w:p>
    <w:p w14:paraId="3506DD3B" w14:textId="77777777" w:rsidR="00D33251" w:rsidRPr="00563080" w:rsidRDefault="00D33251" w:rsidP="00563080">
      <w:pPr>
        <w:spacing w:before="100" w:beforeAutospacing="1" w:after="100" w:afterAutospacing="1"/>
        <w:jc w:val="both"/>
        <w:rPr>
          <w:rFonts w:ascii="Arial" w:hAnsi="Arial" w:cs="Arial"/>
          <w:sz w:val="24"/>
          <w:szCs w:val="24"/>
        </w:rPr>
      </w:pPr>
      <w:r w:rsidRPr="00563080">
        <w:rPr>
          <w:rFonts w:ascii="Arial" w:hAnsi="Arial" w:cs="Arial"/>
          <w:sz w:val="24"/>
          <w:szCs w:val="24"/>
        </w:rPr>
        <w:t xml:space="preserve">Hong Kong has spent the past several years making a deliberate and, at times, contrarian bet on digital assets. At a moment when other major financial centres have oscillated between enthusiasm and alarm, the SAR has chosen to build infrastructure — legal, regulatory, and institutional — for a digital asset market it expects to matter. The Virtual Asset Service Provider licensing regime, the regulatory framework for tokenisation, and now the </w:t>
      </w:r>
      <w:r w:rsidRPr="00F94C10">
        <w:rPr>
          <w:rFonts w:ascii="Arial" w:hAnsi="Arial" w:cs="Arial"/>
          <w:iCs/>
          <w:sz w:val="24"/>
          <w:szCs w:val="24"/>
        </w:rPr>
        <w:t>Stablecoins Ordinance</w:t>
      </w:r>
      <w:r w:rsidRPr="00563080">
        <w:rPr>
          <w:rFonts w:ascii="Arial" w:hAnsi="Arial" w:cs="Arial"/>
          <w:sz w:val="24"/>
          <w:szCs w:val="24"/>
        </w:rPr>
        <w:t xml:space="preserve"> form a coherent, if still incomplete, architecture.</w:t>
      </w:r>
    </w:p>
    <w:p w14:paraId="6361F986" w14:textId="77777777" w:rsidR="00D33251" w:rsidRPr="00563080" w:rsidRDefault="00D33251" w:rsidP="00563080">
      <w:pPr>
        <w:spacing w:before="100" w:beforeAutospacing="1" w:after="100" w:afterAutospacing="1"/>
        <w:jc w:val="both"/>
        <w:rPr>
          <w:rFonts w:ascii="Arial" w:hAnsi="Arial" w:cs="Arial"/>
          <w:sz w:val="24"/>
          <w:szCs w:val="24"/>
        </w:rPr>
      </w:pPr>
      <w:r w:rsidRPr="00563080">
        <w:rPr>
          <w:rFonts w:ascii="Arial" w:hAnsi="Arial" w:cs="Arial"/>
          <w:sz w:val="24"/>
          <w:szCs w:val="24"/>
        </w:rPr>
        <w:t xml:space="preserve">The presence of HSBC </w:t>
      </w:r>
      <w:r w:rsidR="007270A5">
        <w:rPr>
          <w:rFonts w:ascii="Arial" w:hAnsi="Arial" w:cs="Arial"/>
          <w:sz w:val="24"/>
          <w:szCs w:val="24"/>
        </w:rPr>
        <w:t xml:space="preserve">and Standard Chartered’s joint venture </w:t>
      </w:r>
      <w:r w:rsidRPr="00563080">
        <w:rPr>
          <w:rFonts w:ascii="Arial" w:hAnsi="Arial" w:cs="Arial"/>
          <w:sz w:val="24"/>
          <w:szCs w:val="24"/>
        </w:rPr>
        <w:t>on the inaugural register is particularly significant. It is not merely that large bank</w:t>
      </w:r>
      <w:r w:rsidR="007270A5">
        <w:rPr>
          <w:rFonts w:ascii="Arial" w:hAnsi="Arial" w:cs="Arial"/>
          <w:sz w:val="24"/>
          <w:szCs w:val="24"/>
        </w:rPr>
        <w:t>s have</w:t>
      </w:r>
      <w:r w:rsidRPr="00563080">
        <w:rPr>
          <w:rFonts w:ascii="Arial" w:hAnsi="Arial" w:cs="Arial"/>
          <w:sz w:val="24"/>
          <w:szCs w:val="24"/>
        </w:rPr>
        <w:t xml:space="preserve"> </w:t>
      </w:r>
      <w:r w:rsidR="007270A5">
        <w:rPr>
          <w:rFonts w:ascii="Arial" w:hAnsi="Arial" w:cs="Arial"/>
          <w:sz w:val="24"/>
          <w:szCs w:val="24"/>
        </w:rPr>
        <w:t xml:space="preserve">opted </w:t>
      </w:r>
      <w:r w:rsidRPr="00563080">
        <w:rPr>
          <w:rFonts w:ascii="Arial" w:hAnsi="Arial" w:cs="Arial"/>
          <w:sz w:val="24"/>
          <w:szCs w:val="24"/>
        </w:rPr>
        <w:t>to enter a new product catego</w:t>
      </w:r>
      <w:r w:rsidR="00F94C10">
        <w:rPr>
          <w:rFonts w:ascii="Arial" w:hAnsi="Arial" w:cs="Arial"/>
          <w:sz w:val="24"/>
          <w:szCs w:val="24"/>
        </w:rPr>
        <w:t xml:space="preserve">ry. It is that </w:t>
      </w:r>
      <w:r w:rsidR="007270A5">
        <w:rPr>
          <w:rFonts w:ascii="Arial" w:hAnsi="Arial" w:cs="Arial"/>
          <w:sz w:val="24"/>
          <w:szCs w:val="24"/>
        </w:rPr>
        <w:t xml:space="preserve">two </w:t>
      </w:r>
      <w:r w:rsidR="00F94C10">
        <w:rPr>
          <w:rFonts w:ascii="Arial" w:hAnsi="Arial" w:cs="Arial"/>
          <w:sz w:val="24"/>
          <w:szCs w:val="24"/>
        </w:rPr>
        <w:t>of the world’</w:t>
      </w:r>
      <w:r w:rsidRPr="00563080">
        <w:rPr>
          <w:rFonts w:ascii="Arial" w:hAnsi="Arial" w:cs="Arial"/>
          <w:sz w:val="24"/>
          <w:szCs w:val="24"/>
        </w:rPr>
        <w:t>s most internationally recognised financial institutio</w:t>
      </w:r>
      <w:r w:rsidR="007270A5">
        <w:rPr>
          <w:rFonts w:ascii="Arial" w:hAnsi="Arial" w:cs="Arial"/>
          <w:sz w:val="24"/>
          <w:szCs w:val="24"/>
        </w:rPr>
        <w:t>ns have</w:t>
      </w:r>
      <w:r w:rsidR="00F94C10">
        <w:rPr>
          <w:rFonts w:ascii="Arial" w:hAnsi="Arial" w:cs="Arial"/>
          <w:sz w:val="24"/>
          <w:szCs w:val="24"/>
        </w:rPr>
        <w:t xml:space="preserve"> concluded that Hong Kong’</w:t>
      </w:r>
      <w:r w:rsidRPr="00563080">
        <w:rPr>
          <w:rFonts w:ascii="Arial" w:hAnsi="Arial" w:cs="Arial"/>
          <w:sz w:val="24"/>
          <w:szCs w:val="24"/>
        </w:rPr>
        <w:t>s stablecoin regulatory framework is sufficiently credible</w:t>
      </w:r>
      <w:r w:rsidR="00F94C10">
        <w:rPr>
          <w:rFonts w:ascii="Arial" w:hAnsi="Arial" w:cs="Arial"/>
          <w:sz w:val="24"/>
          <w:szCs w:val="24"/>
        </w:rPr>
        <w:t xml:space="preserve"> and</w:t>
      </w:r>
      <w:r w:rsidRPr="00563080">
        <w:rPr>
          <w:rFonts w:ascii="Arial" w:hAnsi="Arial" w:cs="Arial"/>
          <w:sz w:val="24"/>
          <w:szCs w:val="24"/>
        </w:rPr>
        <w:t xml:space="preserve"> robust</w:t>
      </w:r>
      <w:r w:rsidR="00F94C10">
        <w:rPr>
          <w:rFonts w:ascii="Arial" w:hAnsi="Arial" w:cs="Arial"/>
          <w:sz w:val="24"/>
          <w:szCs w:val="24"/>
        </w:rPr>
        <w:t xml:space="preserve"> to pursue a new business line</w:t>
      </w:r>
      <w:r w:rsidRPr="00563080">
        <w:rPr>
          <w:rFonts w:ascii="Arial" w:hAnsi="Arial" w:cs="Arial"/>
          <w:sz w:val="24"/>
          <w:szCs w:val="24"/>
        </w:rPr>
        <w:t>.</w:t>
      </w:r>
    </w:p>
    <w:p w14:paraId="40AE6265" w14:textId="77777777" w:rsidR="00A57542" w:rsidRDefault="00F94C10" w:rsidP="00563080">
      <w:pPr>
        <w:jc w:val="both"/>
        <w:rPr>
          <w:rFonts w:ascii="Arial" w:hAnsi="Arial" w:cs="Arial"/>
          <w:bCs/>
          <w:sz w:val="24"/>
          <w:szCs w:val="24"/>
        </w:rPr>
      </w:pPr>
      <w:r>
        <w:rPr>
          <w:rFonts w:ascii="Arial" w:hAnsi="Arial" w:cs="Arial"/>
          <w:b/>
          <w:bCs/>
          <w:sz w:val="24"/>
          <w:szCs w:val="24"/>
        </w:rPr>
        <w:t>Hong Kong Positions itself as International Crypto Hub</w:t>
      </w:r>
    </w:p>
    <w:p w14:paraId="7D0198ED" w14:textId="77777777" w:rsidR="00F94C10" w:rsidRDefault="00F94C10" w:rsidP="00563080">
      <w:pPr>
        <w:jc w:val="both"/>
        <w:rPr>
          <w:rFonts w:ascii="Arial" w:hAnsi="Arial" w:cs="Arial"/>
          <w:bCs/>
          <w:sz w:val="24"/>
          <w:szCs w:val="24"/>
        </w:rPr>
      </w:pPr>
    </w:p>
    <w:p w14:paraId="4154ACF1" w14:textId="77777777" w:rsidR="00F94C10" w:rsidRDefault="00F94C10" w:rsidP="00563080">
      <w:pPr>
        <w:jc w:val="both"/>
        <w:rPr>
          <w:rFonts w:ascii="Arial" w:hAnsi="Arial" w:cs="Arial"/>
          <w:bCs/>
          <w:sz w:val="24"/>
          <w:szCs w:val="24"/>
        </w:rPr>
      </w:pPr>
      <w:r>
        <w:rPr>
          <w:rFonts w:ascii="Arial" w:hAnsi="Arial" w:cs="Arial"/>
          <w:bCs/>
          <w:sz w:val="24"/>
          <w:szCs w:val="24"/>
        </w:rPr>
        <w:lastRenderedPageBreak/>
        <w:t xml:space="preserve">Following the launch of public consultations earlier this year, Hong Kong’s Securities and Futures Commission </w:t>
      </w:r>
      <w:r w:rsidR="00B319AC">
        <w:rPr>
          <w:rFonts w:ascii="Arial" w:hAnsi="Arial" w:cs="Arial"/>
          <w:bCs/>
          <w:sz w:val="24"/>
          <w:szCs w:val="24"/>
        </w:rPr>
        <w:t xml:space="preserve">(the </w:t>
      </w:r>
      <w:r w:rsidR="00B319AC" w:rsidRPr="00B319AC">
        <w:rPr>
          <w:rFonts w:ascii="Arial" w:hAnsi="Arial" w:cs="Arial"/>
          <w:b/>
          <w:bCs/>
          <w:sz w:val="24"/>
          <w:szCs w:val="24"/>
        </w:rPr>
        <w:t>SFC</w:t>
      </w:r>
      <w:r w:rsidR="00B319AC">
        <w:rPr>
          <w:rFonts w:ascii="Arial" w:hAnsi="Arial" w:cs="Arial"/>
          <w:bCs/>
          <w:sz w:val="24"/>
          <w:szCs w:val="24"/>
        </w:rPr>
        <w:t xml:space="preserve">) </w:t>
      </w:r>
      <w:r>
        <w:rPr>
          <w:rFonts w:ascii="Arial" w:hAnsi="Arial" w:cs="Arial"/>
          <w:bCs/>
          <w:sz w:val="24"/>
          <w:szCs w:val="24"/>
        </w:rPr>
        <w:t xml:space="preserve">is proposing to bring virtual asset dealing, </w:t>
      </w:r>
      <w:r w:rsidR="00B319AC">
        <w:rPr>
          <w:rFonts w:ascii="Arial" w:hAnsi="Arial" w:cs="Arial"/>
          <w:bCs/>
          <w:sz w:val="24"/>
          <w:szCs w:val="24"/>
        </w:rPr>
        <w:t xml:space="preserve">advising, </w:t>
      </w:r>
      <w:r>
        <w:rPr>
          <w:rFonts w:ascii="Arial" w:hAnsi="Arial" w:cs="Arial"/>
          <w:bCs/>
          <w:sz w:val="24"/>
          <w:szCs w:val="24"/>
        </w:rPr>
        <w:t>custodian</w:t>
      </w:r>
      <w:r w:rsidR="00B319AC">
        <w:rPr>
          <w:rFonts w:ascii="Arial" w:hAnsi="Arial" w:cs="Arial"/>
          <w:bCs/>
          <w:sz w:val="24"/>
          <w:szCs w:val="24"/>
        </w:rPr>
        <w:t xml:space="preserve">ship and management within the regulatory perimeter later this year. With the exception of custodianship, these virtual </w:t>
      </w:r>
      <w:r w:rsidR="007270A5">
        <w:rPr>
          <w:rFonts w:ascii="Arial" w:hAnsi="Arial" w:cs="Arial"/>
          <w:bCs/>
          <w:sz w:val="24"/>
          <w:szCs w:val="24"/>
        </w:rPr>
        <w:t xml:space="preserve">asset </w:t>
      </w:r>
      <w:r w:rsidR="00B319AC">
        <w:rPr>
          <w:rFonts w:ascii="Arial" w:hAnsi="Arial" w:cs="Arial"/>
          <w:bCs/>
          <w:sz w:val="24"/>
          <w:szCs w:val="24"/>
        </w:rPr>
        <w:t>activities are already regulated to the extent they are provided by SFC-licensed entities. The amending legislation will formalise the existing obligations and extend licensing to virtual asset custodians. Together, the virtual asset legislation introduced in Hong Kong over the past few years implement a comprehensive virtual asset regulatory framework subjecting virtual asset activities to the same money laundering, counter-terrorist financing and sanctions checks as equivalent securities-related activities in compliance with FIFA recommendations.</w:t>
      </w:r>
    </w:p>
    <w:p w14:paraId="687B6227" w14:textId="77777777" w:rsidR="00322D45" w:rsidRPr="007B7FA3" w:rsidRDefault="00322D45" w:rsidP="00322D45">
      <w:pPr>
        <w:jc w:val="both"/>
        <w:rPr>
          <w:rFonts w:ascii="Arial" w:hAnsi="Arial" w:cs="Arial"/>
          <w:bCs/>
          <w:sz w:val="24"/>
          <w:szCs w:val="24"/>
        </w:rPr>
      </w:pPr>
    </w:p>
    <w:p w14:paraId="607172BE" w14:textId="77777777" w:rsidR="00322D45" w:rsidRPr="00BE24DA" w:rsidRDefault="00322D45" w:rsidP="00322D45">
      <w:pPr>
        <w:pStyle w:val="DisclaimerBold"/>
        <w:rPr>
          <w:rFonts w:ascii="Calibri" w:hAnsi="Calibri" w:cs="Calibri"/>
        </w:rPr>
      </w:pPr>
      <w:r w:rsidRPr="00BE24DA">
        <w:rPr>
          <w:rFonts w:ascii="Calibri" w:hAnsi="Calibri" w:cs="Calibri"/>
        </w:rPr>
        <w:t>This newsletter is for information purposes only.</w:t>
      </w:r>
    </w:p>
    <w:p w14:paraId="7B4BD789" w14:textId="77777777" w:rsidR="00322D45" w:rsidRPr="00BE24DA" w:rsidRDefault="00322D45" w:rsidP="00322D45">
      <w:pPr>
        <w:pStyle w:val="Disclaimer"/>
        <w:rPr>
          <w:rFonts w:ascii="Calibri" w:hAnsi="Calibri" w:cs="Calibri"/>
        </w:rPr>
      </w:pPr>
      <w:r w:rsidRPr="00BE24DA">
        <w:rPr>
          <w:rFonts w:ascii="Calibri" w:hAnsi="Calibri" w:cs="Calibri"/>
        </w:rPr>
        <w:t>Its contents do not constitute legal advice and it should  not be regarded as a substitute for detailed advice  in individual cases.</w:t>
      </w:r>
    </w:p>
    <w:p w14:paraId="27988DEB" w14:textId="77777777" w:rsidR="00322D45" w:rsidRPr="00BE24DA" w:rsidRDefault="00322D45" w:rsidP="00322D45">
      <w:pPr>
        <w:pStyle w:val="Disclaimer"/>
        <w:rPr>
          <w:rFonts w:ascii="Calibri" w:hAnsi="Calibri" w:cs="Calibri"/>
        </w:rPr>
      </w:pPr>
      <w:r w:rsidRPr="00BE24DA">
        <w:rPr>
          <w:rFonts w:ascii="Calibri" w:hAnsi="Calibri" w:cs="Calibri"/>
        </w:rPr>
        <w:t>Transmission of this information is not intended to create and receipt does not constitute a lawyer-client relationship between Charltons and the user or browser.</w:t>
      </w:r>
    </w:p>
    <w:p w14:paraId="22894079" w14:textId="77777777" w:rsidR="00322D45" w:rsidRPr="00BE24DA" w:rsidRDefault="00322D45" w:rsidP="00322D45">
      <w:pPr>
        <w:pStyle w:val="Disclaimer"/>
        <w:rPr>
          <w:rFonts w:ascii="Calibri" w:hAnsi="Calibri" w:cs="Calibri"/>
        </w:rPr>
      </w:pPr>
      <w:r w:rsidRPr="00BE24DA">
        <w:rPr>
          <w:rFonts w:ascii="Calibri" w:hAnsi="Calibri" w:cs="Calibri"/>
        </w:rPr>
        <w:t>Charltons is not responsible for any third party content which can be accessed through the website.</w:t>
      </w:r>
    </w:p>
    <w:p w14:paraId="067B1C1B" w14:textId="77777777" w:rsidR="00322D45" w:rsidRPr="00BE24DA" w:rsidRDefault="00322D45" w:rsidP="00322D45">
      <w:pPr>
        <w:pStyle w:val="Disclaimer"/>
        <w:rPr>
          <w:rFonts w:ascii="Calibri" w:hAnsi="Calibri" w:cs="Calibri"/>
        </w:rPr>
      </w:pPr>
      <w:r w:rsidRPr="00BE24DA">
        <w:rPr>
          <w:rFonts w:ascii="Calibri" w:hAnsi="Calibri" w:cs="Calibri"/>
        </w:rPr>
        <w:t xml:space="preserve">If you do not wish to receive this newsletter please let us know by emailing us at  </w:t>
      </w:r>
      <w:hyperlink r:id="rId14">
        <w:r w:rsidRPr="00BE24DA">
          <w:rPr>
            <w:rFonts w:ascii="Calibri" w:hAnsi="Calibri" w:cs="Calibri"/>
          </w:rPr>
          <w:t>unsubscribe@charltonslaw.com</w:t>
        </w:r>
      </w:hyperlink>
    </w:p>
    <w:p w14:paraId="3BF1E97D" w14:textId="77777777" w:rsidR="00322D45" w:rsidRPr="00322D45" w:rsidRDefault="00322D45" w:rsidP="00322D45">
      <w:pPr>
        <w:pStyle w:val="BlackStrips"/>
        <w:rPr>
          <w:rFonts w:ascii="Calibri" w:hAnsi="Calibri" w:cs="Calibri"/>
        </w:rPr>
      </w:pPr>
      <w:r w:rsidRPr="00BE24DA">
        <w:rPr>
          <w:rFonts w:ascii="Calibri" w:hAnsi="Calibri" w:cs="Calibri"/>
        </w:rPr>
        <w:t xml:space="preserve">Charltons - Hong Kong Law </w:t>
      </w:r>
      <w:r>
        <w:rPr>
          <w:rFonts w:ascii="Calibri" w:hAnsi="Calibri" w:cs="Calibri"/>
        </w:rPr>
        <w:t>–</w:t>
      </w:r>
      <w:r w:rsidRPr="00BE24DA">
        <w:rPr>
          <w:rFonts w:ascii="Calibri" w:hAnsi="Calibri" w:cs="Calibri"/>
        </w:rPr>
        <w:t xml:space="preserve"> </w:t>
      </w:r>
      <w:r>
        <w:rPr>
          <w:rFonts w:ascii="Calibri" w:hAnsi="Calibri" w:cs="Calibri"/>
        </w:rPr>
        <w:t>19 April</w:t>
      </w:r>
      <w:r w:rsidRPr="00BE24DA">
        <w:rPr>
          <w:rFonts w:ascii="Calibri" w:hAnsi="Calibri" w:cs="Calibri"/>
        </w:rPr>
        <w:t xml:space="preserve"> 2026</w:t>
      </w:r>
    </w:p>
    <w:sectPr w:rsidR="00322D45" w:rsidRPr="00322D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6E4A" w14:textId="77777777" w:rsidR="000D034D" w:rsidRDefault="000D034D" w:rsidP="00D522DB">
      <w:r>
        <w:separator/>
      </w:r>
    </w:p>
  </w:endnote>
  <w:endnote w:type="continuationSeparator" w:id="0">
    <w:p w14:paraId="22821C2C" w14:textId="77777777" w:rsidR="000D034D" w:rsidRDefault="000D034D" w:rsidP="00D5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A2AF" w14:textId="77777777" w:rsidR="000D034D" w:rsidRDefault="000D034D" w:rsidP="00D522DB">
      <w:r>
        <w:separator/>
      </w:r>
    </w:p>
  </w:footnote>
  <w:footnote w:type="continuationSeparator" w:id="0">
    <w:p w14:paraId="1F4FA0C4" w14:textId="77777777" w:rsidR="000D034D" w:rsidRDefault="000D034D" w:rsidP="00D522DB">
      <w:r>
        <w:continuationSeparator/>
      </w:r>
    </w:p>
  </w:footnote>
  <w:footnote w:id="1">
    <w:p w14:paraId="79301049" w14:textId="77777777" w:rsidR="00D522DB" w:rsidRPr="00D522DB" w:rsidRDefault="00D522DB" w:rsidP="00D522DB">
      <w:pPr>
        <w:pStyle w:val="Heading1"/>
        <w:rPr>
          <w:rFonts w:ascii="Arial" w:hAnsi="Arial" w:cs="Arial"/>
          <w:b w:val="0"/>
          <w:sz w:val="22"/>
          <w:szCs w:val="22"/>
        </w:rPr>
      </w:pPr>
      <w:r w:rsidRPr="00D522DB">
        <w:rPr>
          <w:rStyle w:val="FootnoteReference"/>
          <w:rFonts w:ascii="Arial" w:hAnsi="Arial" w:cs="Arial"/>
          <w:b w:val="0"/>
          <w:sz w:val="22"/>
          <w:szCs w:val="22"/>
        </w:rPr>
        <w:footnoteRef/>
      </w:r>
      <w:r w:rsidRPr="00D522DB">
        <w:rPr>
          <w:rFonts w:ascii="Arial" w:hAnsi="Arial" w:cs="Arial"/>
          <w:b w:val="0"/>
          <w:sz w:val="22"/>
          <w:szCs w:val="22"/>
        </w:rPr>
        <w:t xml:space="preserve"> </w:t>
      </w:r>
      <w:hyperlink r:id="rId1" w:history="1">
        <w:r w:rsidRPr="00322D45">
          <w:rPr>
            <w:rStyle w:val="Hyperlink"/>
            <w:rFonts w:ascii="Arial" w:hAnsi="Arial" w:cs="Arial"/>
            <w:b w:val="0"/>
            <w:color w:val="467886"/>
            <w:sz w:val="22"/>
            <w:szCs w:val="22"/>
          </w:rPr>
          <w:t>Standard Chartered-backed Anchorpoint granted Stablecoin Issuer Licence by the Hong Kong Monetary Authority</w:t>
        </w:r>
      </w:hyperlink>
      <w:r w:rsidRPr="00D522DB">
        <w:rPr>
          <w:rFonts w:ascii="Arial" w:hAnsi="Arial" w:cs="Arial"/>
          <w:b w:val="0"/>
          <w:sz w:val="22"/>
          <w:szCs w:val="22"/>
        </w:rPr>
        <w:t xml:space="preserve"> </w:t>
      </w:r>
    </w:p>
    <w:p w14:paraId="43EDACA4" w14:textId="77777777" w:rsidR="00D522DB" w:rsidRDefault="00D522DB">
      <w:pPr>
        <w:pStyle w:val="FootnoteText"/>
      </w:pPr>
    </w:p>
  </w:footnote>
  <w:footnote w:id="2">
    <w:p w14:paraId="1004ED9E" w14:textId="77777777" w:rsidR="00343E9D" w:rsidRPr="00343E9D" w:rsidRDefault="00343E9D" w:rsidP="00343E9D">
      <w:pPr>
        <w:pStyle w:val="NormalWeb"/>
        <w:rPr>
          <w:rFonts w:ascii="Arial" w:hAnsi="Arial" w:cs="Arial"/>
          <w:sz w:val="20"/>
          <w:szCs w:val="20"/>
        </w:rPr>
      </w:pPr>
      <w:r>
        <w:rPr>
          <w:rStyle w:val="FootnoteReference"/>
        </w:rPr>
        <w:footnoteRef/>
      </w:r>
      <w:r>
        <w:t xml:space="preserve"> </w:t>
      </w:r>
      <w:hyperlink r:id="rId2" w:tgtFrame="_self" w:history="1">
        <w:r w:rsidRPr="00322D45">
          <w:rPr>
            <w:rStyle w:val="Hyperlink"/>
            <w:rFonts w:ascii="Arial" w:hAnsi="Arial" w:cs="Arial"/>
            <w:color w:val="467886"/>
            <w:sz w:val="20"/>
            <w:szCs w:val="20"/>
          </w:rPr>
          <w:t>HSBC welcomes HKMA’s grant of a Hong Kong stablecoin issuer licence (2-page PDF 33KB)</w:t>
        </w:r>
      </w:hyperlink>
    </w:p>
    <w:p w14:paraId="281C784D" w14:textId="77777777" w:rsidR="00343E9D" w:rsidRDefault="00343E9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524F1"/>
    <w:multiLevelType w:val="multilevel"/>
    <w:tmpl w:val="B2DE7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D32021"/>
    <w:multiLevelType w:val="multilevel"/>
    <w:tmpl w:val="AB52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350404">
    <w:abstractNumId w:val="1"/>
  </w:num>
  <w:num w:numId="2" w16cid:durableId="186590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251"/>
    <w:rsid w:val="00063262"/>
    <w:rsid w:val="000B2EF0"/>
    <w:rsid w:val="000D034D"/>
    <w:rsid w:val="00322D45"/>
    <w:rsid w:val="00343E9D"/>
    <w:rsid w:val="00527F83"/>
    <w:rsid w:val="00563080"/>
    <w:rsid w:val="00581512"/>
    <w:rsid w:val="005A6C8A"/>
    <w:rsid w:val="00691E28"/>
    <w:rsid w:val="006D4C8B"/>
    <w:rsid w:val="007270A5"/>
    <w:rsid w:val="007B6049"/>
    <w:rsid w:val="008559ED"/>
    <w:rsid w:val="008A6FFF"/>
    <w:rsid w:val="00917AC9"/>
    <w:rsid w:val="00933383"/>
    <w:rsid w:val="00A037C9"/>
    <w:rsid w:val="00A57542"/>
    <w:rsid w:val="00AF0B0A"/>
    <w:rsid w:val="00B319AC"/>
    <w:rsid w:val="00B51DCB"/>
    <w:rsid w:val="00BF0C8F"/>
    <w:rsid w:val="00BF3FDA"/>
    <w:rsid w:val="00C705B5"/>
    <w:rsid w:val="00D33251"/>
    <w:rsid w:val="00D522DB"/>
    <w:rsid w:val="00E313F1"/>
    <w:rsid w:val="00EA1BA5"/>
    <w:rsid w:val="00F846E2"/>
    <w:rsid w:val="00F94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08B8"/>
  <w15:chartTrackingRefBased/>
  <w15:docId w15:val="{B2B6D99E-B3D5-4129-A325-889844CB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51"/>
    <w:pPr>
      <w:spacing w:after="0" w:line="240" w:lineRule="auto"/>
    </w:pPr>
    <w:rPr>
      <w:rFonts w:ascii="Calibri" w:hAnsi="Calibri" w:cs="Calibri"/>
    </w:rPr>
  </w:style>
  <w:style w:type="paragraph" w:styleId="Heading1">
    <w:name w:val="heading 1"/>
    <w:basedOn w:val="Normal"/>
    <w:link w:val="Heading1Char"/>
    <w:uiPriority w:val="9"/>
    <w:qFormat/>
    <w:rsid w:val="00D522D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251"/>
    <w:rPr>
      <w:color w:val="0563C1"/>
      <w:u w:val="single"/>
    </w:rPr>
  </w:style>
  <w:style w:type="character" w:styleId="Strong">
    <w:name w:val="Strong"/>
    <w:basedOn w:val="DefaultParagraphFont"/>
    <w:uiPriority w:val="22"/>
    <w:qFormat/>
    <w:rsid w:val="00D522DB"/>
    <w:rPr>
      <w:b/>
      <w:bCs/>
    </w:rPr>
  </w:style>
  <w:style w:type="paragraph" w:styleId="FootnoteText">
    <w:name w:val="footnote text"/>
    <w:basedOn w:val="Normal"/>
    <w:link w:val="FootnoteTextChar"/>
    <w:uiPriority w:val="99"/>
    <w:semiHidden/>
    <w:unhideWhenUsed/>
    <w:rsid w:val="00D522DB"/>
    <w:rPr>
      <w:sz w:val="20"/>
      <w:szCs w:val="20"/>
    </w:rPr>
  </w:style>
  <w:style w:type="character" w:customStyle="1" w:styleId="FootnoteTextChar">
    <w:name w:val="Footnote Text Char"/>
    <w:basedOn w:val="DefaultParagraphFont"/>
    <w:link w:val="FootnoteText"/>
    <w:uiPriority w:val="99"/>
    <w:semiHidden/>
    <w:rsid w:val="00D522DB"/>
    <w:rPr>
      <w:rFonts w:ascii="Calibri" w:hAnsi="Calibri" w:cs="Calibri"/>
      <w:sz w:val="20"/>
      <w:szCs w:val="20"/>
    </w:rPr>
  </w:style>
  <w:style w:type="character" w:styleId="FootnoteReference">
    <w:name w:val="footnote reference"/>
    <w:basedOn w:val="DefaultParagraphFont"/>
    <w:uiPriority w:val="99"/>
    <w:semiHidden/>
    <w:unhideWhenUsed/>
    <w:rsid w:val="00D522DB"/>
    <w:rPr>
      <w:vertAlign w:val="superscript"/>
    </w:rPr>
  </w:style>
  <w:style w:type="character" w:customStyle="1" w:styleId="Heading1Char">
    <w:name w:val="Heading 1 Char"/>
    <w:basedOn w:val="DefaultParagraphFont"/>
    <w:link w:val="Heading1"/>
    <w:uiPriority w:val="9"/>
    <w:rsid w:val="00D522DB"/>
    <w:rPr>
      <w:rFonts w:ascii="Times New Roman" w:eastAsia="Times New Roman" w:hAnsi="Times New Roman" w:cs="Times New Roman"/>
      <w:b/>
      <w:bCs/>
      <w:kern w:val="36"/>
      <w:sz w:val="48"/>
      <w:szCs w:val="48"/>
    </w:rPr>
  </w:style>
  <w:style w:type="paragraph" w:customStyle="1" w:styleId="wp-block-paragraph">
    <w:name w:val="wp-block-paragraph"/>
    <w:basedOn w:val="Normal"/>
    <w:rsid w:val="00EA1BA5"/>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5A6C8A"/>
    <w:pPr>
      <w:spacing w:before="100" w:beforeAutospacing="1" w:after="100" w:afterAutospacing="1"/>
    </w:pPr>
    <w:rPr>
      <w:rFonts w:ascii="Times New Roman" w:eastAsia="Times New Roman" w:hAnsi="Times New Roman" w:cs="Times New Roman"/>
      <w:sz w:val="24"/>
      <w:szCs w:val="24"/>
    </w:rPr>
  </w:style>
  <w:style w:type="character" w:customStyle="1" w:styleId="a11y">
    <w:name w:val="a11y"/>
    <w:basedOn w:val="DefaultParagraphFont"/>
    <w:rsid w:val="005A6C8A"/>
  </w:style>
  <w:style w:type="paragraph" w:styleId="ListParagraph">
    <w:name w:val="List Paragraph"/>
    <w:basedOn w:val="Normal"/>
    <w:uiPriority w:val="34"/>
    <w:qFormat/>
    <w:rsid w:val="00343E9D"/>
    <w:pPr>
      <w:ind w:left="720"/>
      <w:contextualSpacing/>
    </w:pPr>
  </w:style>
  <w:style w:type="paragraph" w:customStyle="1" w:styleId="BlackStrips">
    <w:name w:val="Black Strips"/>
    <w:basedOn w:val="Normal"/>
    <w:qFormat/>
    <w:rsid w:val="00322D45"/>
    <w:pPr>
      <w:shd w:val="clear" w:color="auto" w:fill="000000"/>
      <w:spacing w:after="200"/>
      <w:jc w:val="center"/>
    </w:pPr>
    <w:rPr>
      <w:rFonts w:asciiTheme="minorHAnsi" w:hAnsiTheme="minorHAnsi" w:cstheme="minorBidi"/>
      <w:color w:val="FFFFFF"/>
      <w:sz w:val="24"/>
      <w:szCs w:val="24"/>
    </w:rPr>
  </w:style>
  <w:style w:type="paragraph" w:customStyle="1" w:styleId="ReadOnline">
    <w:name w:val="Read Online"/>
    <w:basedOn w:val="Normal"/>
    <w:qFormat/>
    <w:rsid w:val="00322D45"/>
    <w:pPr>
      <w:spacing w:after="200"/>
      <w:jc w:val="center"/>
    </w:pPr>
    <w:rPr>
      <w:rFonts w:asciiTheme="minorHAnsi" w:hAnsiTheme="minorHAnsi" w:cstheme="minorBidi"/>
      <w:color w:val="00000A"/>
      <w:sz w:val="28"/>
      <w:szCs w:val="24"/>
      <w:u w:val="single"/>
    </w:rPr>
  </w:style>
  <w:style w:type="paragraph" w:customStyle="1" w:styleId="Disclaimer">
    <w:name w:val="Disclaimer"/>
    <w:basedOn w:val="Normal"/>
    <w:qFormat/>
    <w:rsid w:val="00322D45"/>
    <w:pPr>
      <w:pBdr>
        <w:top w:val="single" w:sz="2" w:space="1" w:color="000001"/>
        <w:left w:val="single" w:sz="2" w:space="1" w:color="000001"/>
        <w:bottom w:val="single" w:sz="2" w:space="1" w:color="000001"/>
        <w:right w:val="single" w:sz="2" w:space="1" w:color="000001"/>
      </w:pBdr>
      <w:shd w:val="clear" w:color="auto" w:fill="DDDDDD"/>
      <w:spacing w:before="101" w:after="101"/>
      <w:jc w:val="both"/>
    </w:pPr>
    <w:rPr>
      <w:rFonts w:asciiTheme="minorHAnsi" w:hAnsiTheme="minorHAnsi" w:cstheme="minorBidi"/>
      <w:color w:val="00000A"/>
      <w:sz w:val="24"/>
      <w:szCs w:val="24"/>
    </w:rPr>
  </w:style>
  <w:style w:type="paragraph" w:customStyle="1" w:styleId="DisclaimerBold">
    <w:name w:val="Disclaimer Bold"/>
    <w:basedOn w:val="Disclaimer"/>
    <w:qFormat/>
    <w:rsid w:val="00322D45"/>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1849">
      <w:bodyDiv w:val="1"/>
      <w:marLeft w:val="0"/>
      <w:marRight w:val="0"/>
      <w:marTop w:val="0"/>
      <w:marBottom w:val="0"/>
      <w:divBdr>
        <w:top w:val="none" w:sz="0" w:space="0" w:color="auto"/>
        <w:left w:val="none" w:sz="0" w:space="0" w:color="auto"/>
        <w:bottom w:val="none" w:sz="0" w:space="0" w:color="auto"/>
        <w:right w:val="none" w:sz="0" w:space="0" w:color="auto"/>
      </w:divBdr>
    </w:div>
    <w:div w:id="485900512">
      <w:bodyDiv w:val="1"/>
      <w:marLeft w:val="0"/>
      <w:marRight w:val="0"/>
      <w:marTop w:val="0"/>
      <w:marBottom w:val="0"/>
      <w:divBdr>
        <w:top w:val="none" w:sz="0" w:space="0" w:color="auto"/>
        <w:left w:val="none" w:sz="0" w:space="0" w:color="auto"/>
        <w:bottom w:val="none" w:sz="0" w:space="0" w:color="auto"/>
        <w:right w:val="none" w:sz="0" w:space="0" w:color="auto"/>
      </w:divBdr>
    </w:div>
    <w:div w:id="777675808">
      <w:bodyDiv w:val="1"/>
      <w:marLeft w:val="0"/>
      <w:marRight w:val="0"/>
      <w:marTop w:val="0"/>
      <w:marBottom w:val="0"/>
      <w:divBdr>
        <w:top w:val="none" w:sz="0" w:space="0" w:color="auto"/>
        <w:left w:val="none" w:sz="0" w:space="0" w:color="auto"/>
        <w:bottom w:val="none" w:sz="0" w:space="0" w:color="auto"/>
        <w:right w:val="none" w:sz="0" w:space="0" w:color="auto"/>
      </w:divBdr>
      <w:divsChild>
        <w:div w:id="1111974586">
          <w:marLeft w:val="0"/>
          <w:marRight w:val="0"/>
          <w:marTop w:val="0"/>
          <w:marBottom w:val="0"/>
          <w:divBdr>
            <w:top w:val="none" w:sz="0" w:space="0" w:color="auto"/>
            <w:left w:val="none" w:sz="0" w:space="0" w:color="auto"/>
            <w:bottom w:val="none" w:sz="0" w:space="0" w:color="auto"/>
            <w:right w:val="none" w:sz="0" w:space="0" w:color="auto"/>
          </w:divBdr>
          <w:divsChild>
            <w:div w:id="110515604">
              <w:marLeft w:val="0"/>
              <w:marRight w:val="0"/>
              <w:marTop w:val="0"/>
              <w:marBottom w:val="0"/>
              <w:divBdr>
                <w:top w:val="none" w:sz="0" w:space="0" w:color="auto"/>
                <w:left w:val="none" w:sz="0" w:space="0" w:color="auto"/>
                <w:bottom w:val="none" w:sz="0" w:space="0" w:color="auto"/>
                <w:right w:val="none" w:sz="0" w:space="0" w:color="auto"/>
              </w:divBdr>
              <w:divsChild>
                <w:div w:id="526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04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kma-issues-first-stablecoin-issuer-licences/" TargetMode="External"/><Relationship Id="rId13" Type="http://schemas.openxmlformats.org/officeDocument/2006/relationships/hyperlink" Target="https://www.hkma.gov.hk/eng/regulatory-resources/registers/register-of-licensed-stablecoin-issu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bout.hsbc.com.hk/news-and-media/hsbc-welcomes-hkmas-grant-of-a-hong-kong-stablecoin-issuer-lice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com/en/press-release/standard-chartered-backed-anchorpoint-granted-stablecoin-issuer-licence-by-the-hong-kong-monetary-author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kma.gov.hk/eng/regulatory-resources/registers/register-of-licensed-stablecoin-issuers" TargetMode="External"/><Relationship Id="rId4" Type="http://schemas.openxmlformats.org/officeDocument/2006/relationships/settings" Target="settings.xml"/><Relationship Id="rId9" Type="http://schemas.openxmlformats.org/officeDocument/2006/relationships/hyperlink" Target="https://www.hkma.gov.hk/eng/news-and-media/press-releases/2026/04/20260410-4/" TargetMode="External"/><Relationship Id="rId14" Type="http://schemas.openxmlformats.org/officeDocument/2006/relationships/hyperlink" Target="mailto:unsubscribe@charltonslaw.com?subject=unsubscribe%20-Hong%20Kong%20La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bout.hsbc.com.hk/-/media/hong-kong/en/news-and-media/260410-hsbc-welcomes-hkmas-grant-of-a-hong-kong-stablecoin-issuer-licence-en.pdf?sc_lang=en-GB&amp;hash=AD829CCA78A9B1FDB3D27F11F57EF72D" TargetMode="External"/><Relationship Id="rId1" Type="http://schemas.openxmlformats.org/officeDocument/2006/relationships/hyperlink" Target="https://www.sc.com/en/press-release/standard-chartered-backed-anchorpoint-granted-stablecoin-issuer-licence-by-the-hong-kong-monetary-autho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084D0-B2B3-4513-A5AF-EEFC4EBD8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Larkin</dc:creator>
  <cp:keywords/>
  <dc:description/>
  <cp:lastModifiedBy>Mikhail Zavalko</cp:lastModifiedBy>
  <cp:revision>7</cp:revision>
  <dcterms:created xsi:type="dcterms:W3CDTF">2026-04-20T22:24:00Z</dcterms:created>
  <dcterms:modified xsi:type="dcterms:W3CDTF">2026-04-23T11:17:00Z</dcterms:modified>
</cp:coreProperties>
</file>