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5425" w14:textId="603B1062" w:rsidR="00025E72" w:rsidRPr="00BE24DA" w:rsidRDefault="00025E72" w:rsidP="00025E72">
      <w:pPr>
        <w:pStyle w:val="BlackStrips"/>
        <w:rPr>
          <w:rFonts w:ascii="Calibri" w:hAnsi="Calibri" w:cs="Calibri"/>
        </w:rPr>
      </w:pPr>
      <w:proofErr w:type="spellStart"/>
      <w:r w:rsidRPr="00BE24DA">
        <w:rPr>
          <w:rFonts w:ascii="Calibri" w:hAnsi="Calibri" w:cs="Calibri"/>
        </w:rPr>
        <w:t>Charltons</w:t>
      </w:r>
      <w:proofErr w:type="spellEnd"/>
      <w:r w:rsidRPr="00BE24DA">
        <w:rPr>
          <w:rFonts w:ascii="Calibri" w:hAnsi="Calibri" w:cs="Calibri"/>
        </w:rPr>
        <w:t xml:space="preserve"> - Hong Kong Law - </w:t>
      </w:r>
      <w:r w:rsidR="00F8654C">
        <w:rPr>
          <w:rFonts w:ascii="Calibri" w:hAnsi="Calibri" w:cs="Calibri"/>
        </w:rPr>
        <w:t>5</w:t>
      </w:r>
      <w:r w:rsidRPr="00BE24DA">
        <w:rPr>
          <w:rFonts w:ascii="Calibri" w:hAnsi="Calibri" w:cs="Calibri"/>
        </w:rPr>
        <w:t xml:space="preserve"> </w:t>
      </w:r>
      <w:r w:rsidR="00365175">
        <w:rPr>
          <w:rFonts w:ascii="Calibri" w:hAnsi="Calibri" w:cs="Calibri"/>
        </w:rPr>
        <w:t>March</w:t>
      </w:r>
      <w:r w:rsidR="00365175" w:rsidRPr="00BE24DA">
        <w:rPr>
          <w:rFonts w:ascii="Calibri" w:hAnsi="Calibri" w:cs="Calibri"/>
        </w:rPr>
        <w:t xml:space="preserve"> </w:t>
      </w:r>
      <w:r w:rsidRPr="00BE24DA">
        <w:rPr>
          <w:rFonts w:ascii="Calibri" w:hAnsi="Calibri" w:cs="Calibri"/>
        </w:rPr>
        <w:t>2026</w:t>
      </w:r>
    </w:p>
    <w:p w14:paraId="6A13B654" w14:textId="5FE788FA" w:rsidR="00025E72" w:rsidRPr="00025E72" w:rsidRDefault="00025E72" w:rsidP="00025E72">
      <w:pPr>
        <w:pStyle w:val="ReadOnline"/>
        <w:rPr>
          <w:rFonts w:ascii="Calibri" w:hAnsi="Calibri" w:cs="Calibri"/>
        </w:rPr>
      </w:pPr>
      <w:hyperlink r:id="rId7">
        <w:r w:rsidRPr="00BE24DA">
          <w:rPr>
            <w:rFonts w:ascii="Calibri" w:hAnsi="Calibri" w:cs="Calibri"/>
          </w:rPr>
          <w:t>online version</w:t>
        </w:r>
      </w:hyperlink>
    </w:p>
    <w:p w14:paraId="2FFF4D72" w14:textId="66B9342E" w:rsidR="00FA38D5" w:rsidRPr="00365175" w:rsidRDefault="00FA38D5" w:rsidP="00FA38D5">
      <w:pPr>
        <w:spacing w:before="100" w:beforeAutospacing="1" w:after="100" w:afterAutospacing="1" w:line="240" w:lineRule="auto"/>
        <w:jc w:val="both"/>
        <w:outlineLvl w:val="0"/>
        <w:rPr>
          <w:rFonts w:ascii="Calibri" w:eastAsia="Times New Roman" w:hAnsi="Calibri" w:cs="Calibri"/>
          <w:b/>
          <w:bCs/>
          <w:color w:val="EE0000"/>
          <w:kern w:val="36"/>
          <w:sz w:val="22"/>
          <w:szCs w:val="22"/>
          <w:lang w:eastAsia="en-GB"/>
          <w14:ligatures w14:val="none"/>
        </w:rPr>
      </w:pPr>
      <w:r w:rsidRPr="00365175">
        <w:rPr>
          <w:rFonts w:ascii="Calibri" w:eastAsia="Times New Roman" w:hAnsi="Calibri" w:cs="Calibri"/>
          <w:b/>
          <w:bCs/>
          <w:color w:val="EE0000"/>
          <w:kern w:val="36"/>
          <w:sz w:val="22"/>
          <w:szCs w:val="22"/>
          <w:lang w:eastAsia="en-GB"/>
          <w14:ligatures w14:val="none"/>
        </w:rPr>
        <w:t>Hong Kong SFC Fines Saxo Capital Markets HK Limited HK$4 Million for Virtual Asset Product Distribution Breaches</w:t>
      </w:r>
    </w:p>
    <w:p w14:paraId="04697B0A" w14:textId="1B23331E"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On 6 January 2026, the Hong Kong Securities and Futures Commission (SFC) of Hong Kong </w:t>
      </w:r>
      <w:r w:rsidR="00D86FAA" w:rsidRPr="00365175">
        <w:rPr>
          <w:rFonts w:ascii="Calibri" w:eastAsia="Times New Roman" w:hAnsi="Calibri" w:cs="Calibri"/>
          <w:kern w:val="0"/>
          <w:sz w:val="22"/>
          <w:szCs w:val="22"/>
          <w:lang w:eastAsia="en-GB"/>
          <w14:ligatures w14:val="none"/>
        </w:rPr>
        <w:t xml:space="preserve">published a </w:t>
      </w:r>
      <w:hyperlink r:id="rId8" w:history="1">
        <w:r w:rsidR="00D86FAA" w:rsidRPr="00365175">
          <w:rPr>
            <w:rStyle w:val="af"/>
            <w:rFonts w:ascii="Calibri" w:eastAsia="Times New Roman" w:hAnsi="Calibri" w:cs="Calibri"/>
            <w:kern w:val="0"/>
            <w:sz w:val="22"/>
            <w:szCs w:val="22"/>
            <w:lang w:eastAsia="en-GB"/>
            <w14:ligatures w14:val="none"/>
          </w:rPr>
          <w:t>statement of Disciplinary Action</w:t>
        </w:r>
      </w:hyperlink>
      <w:r w:rsidR="00D86FAA" w:rsidRPr="00365175">
        <w:rPr>
          <w:rFonts w:ascii="Calibri" w:eastAsia="Times New Roman" w:hAnsi="Calibri" w:cs="Calibri"/>
          <w:kern w:val="0"/>
          <w:sz w:val="22"/>
          <w:szCs w:val="22"/>
          <w:lang w:eastAsia="en-GB"/>
          <w14:ligatures w14:val="none"/>
        </w:rPr>
        <w:t xml:space="preserve"> and </w:t>
      </w:r>
      <w:r w:rsidRPr="00365175">
        <w:rPr>
          <w:rFonts w:ascii="Calibri" w:eastAsia="Times New Roman" w:hAnsi="Calibri" w:cs="Calibri"/>
          <w:kern w:val="0"/>
          <w:sz w:val="22"/>
          <w:szCs w:val="22"/>
          <w:lang w:eastAsia="en-GB"/>
          <w14:ligatures w14:val="none"/>
        </w:rPr>
        <w:t xml:space="preserve">reprimanded and fined </w:t>
      </w:r>
      <w:hyperlink r:id="rId9" w:history="1">
        <w:r w:rsidRPr="00365175">
          <w:rPr>
            <w:rStyle w:val="af"/>
            <w:rFonts w:ascii="Calibri" w:eastAsia="Times New Roman" w:hAnsi="Calibri" w:cs="Calibri"/>
            <w:kern w:val="0"/>
            <w:sz w:val="22"/>
            <w:szCs w:val="22"/>
            <w:lang w:eastAsia="en-GB"/>
            <w14:ligatures w14:val="none"/>
          </w:rPr>
          <w:t>Saxo Capital Markets HK Limited</w:t>
        </w:r>
      </w:hyperlink>
      <w:r w:rsidRPr="00365175">
        <w:rPr>
          <w:rFonts w:ascii="Calibri" w:eastAsia="Times New Roman" w:hAnsi="Calibri" w:cs="Calibri"/>
          <w:kern w:val="0"/>
          <w:sz w:val="22"/>
          <w:szCs w:val="22"/>
          <w:lang w:eastAsia="en-GB"/>
          <w14:ligatures w14:val="none"/>
        </w:rPr>
        <w:t xml:space="preserve"> (SCMHK) HK$4 million. The action was taken pursuant to section 194 of the </w:t>
      </w:r>
      <w:hyperlink r:id="rId10" w:history="1">
        <w:r w:rsidR="00D86FAA" w:rsidRPr="00365175">
          <w:rPr>
            <w:rStyle w:val="af"/>
            <w:rFonts w:ascii="Calibri" w:eastAsia="Times New Roman" w:hAnsi="Calibri" w:cs="Calibri"/>
            <w:kern w:val="0"/>
            <w:sz w:val="22"/>
            <w:szCs w:val="22"/>
            <w:lang w:eastAsia="en-GB"/>
            <w14:ligatures w14:val="none"/>
          </w:rPr>
          <w:t xml:space="preserve">Hong Kong </w:t>
        </w:r>
        <w:r w:rsidRPr="00365175">
          <w:rPr>
            <w:rStyle w:val="af"/>
            <w:rFonts w:ascii="Calibri" w:eastAsia="Times New Roman" w:hAnsi="Calibri" w:cs="Calibri"/>
            <w:kern w:val="0"/>
            <w:sz w:val="22"/>
            <w:szCs w:val="22"/>
            <w:lang w:eastAsia="en-GB"/>
            <w14:ligatures w14:val="none"/>
          </w:rPr>
          <w:t>Securities and Futures Ordinance</w:t>
        </w:r>
      </w:hyperlink>
      <w:r w:rsidRPr="00365175">
        <w:rPr>
          <w:rFonts w:ascii="Calibri" w:eastAsia="Times New Roman" w:hAnsi="Calibri" w:cs="Calibri"/>
          <w:kern w:val="0"/>
          <w:sz w:val="22"/>
          <w:szCs w:val="22"/>
          <w:lang w:eastAsia="en-GB"/>
          <w14:ligatures w14:val="none"/>
        </w:rPr>
        <w:t xml:space="preserve"> (SFO). SCMHK distributed virtual asset (VA) funds </w:t>
      </w:r>
      <w:r w:rsidR="00EF1BA0" w:rsidRPr="00365175">
        <w:rPr>
          <w:rFonts w:ascii="Calibri" w:eastAsia="Times New Roman" w:hAnsi="Calibri" w:cs="Calibri"/>
          <w:kern w:val="0"/>
          <w:sz w:val="22"/>
          <w:szCs w:val="22"/>
          <w:lang w:eastAsia="en-GB"/>
          <w14:ligatures w14:val="none"/>
        </w:rPr>
        <w:t xml:space="preserve">not authorised by the SFC </w:t>
      </w:r>
      <w:r w:rsidRPr="00365175">
        <w:rPr>
          <w:rFonts w:ascii="Calibri" w:eastAsia="Times New Roman" w:hAnsi="Calibri" w:cs="Calibri"/>
          <w:kern w:val="0"/>
          <w:sz w:val="22"/>
          <w:szCs w:val="22"/>
          <w:lang w:eastAsia="en-GB"/>
          <w14:ligatures w14:val="none"/>
        </w:rPr>
        <w:t>and VA</w:t>
      </w:r>
      <w:r w:rsidR="00BA1FFF" w:rsidRPr="00365175">
        <w:rPr>
          <w:rFonts w:ascii="Calibri" w:eastAsia="Times New Roman" w:hAnsi="Calibri" w:cs="Calibri"/>
          <w:kern w:val="0"/>
          <w:sz w:val="22"/>
          <w:szCs w:val="22"/>
          <w:lang w:eastAsia="en-GB"/>
          <w14:ligatures w14:val="none"/>
        </w:rPr>
        <w:t>-</w:t>
      </w:r>
      <w:r w:rsidRPr="00365175">
        <w:rPr>
          <w:rFonts w:ascii="Calibri" w:eastAsia="Times New Roman" w:hAnsi="Calibri" w:cs="Calibri"/>
          <w:kern w:val="0"/>
          <w:sz w:val="22"/>
          <w:szCs w:val="22"/>
          <w:lang w:eastAsia="en-GB"/>
          <w14:ligatures w14:val="none"/>
        </w:rPr>
        <w:t xml:space="preserve">related products without complying with applicable regulatory requirements. The breaches spanned from 1 November 2018 to 25 November 2022. SCMHK executed 1,446 transactions in 32 VA products for 136 clients. These comprised 6 individual professional investors and 130 retail clients. All 32 products were classified as complex products. SCMHK failed to conduct VA knowledge assessments on clients. It did not provide </w:t>
      </w:r>
      <w:r w:rsidR="00BA1FFF" w:rsidRPr="00365175">
        <w:rPr>
          <w:rFonts w:ascii="Calibri" w:eastAsia="Times New Roman" w:hAnsi="Calibri" w:cs="Calibri"/>
          <w:kern w:val="0"/>
          <w:sz w:val="22"/>
          <w:szCs w:val="22"/>
          <w:lang w:eastAsia="en-GB"/>
          <w14:ligatures w14:val="none"/>
        </w:rPr>
        <w:t>VA-specific</w:t>
      </w:r>
      <w:r w:rsidRPr="00365175">
        <w:rPr>
          <w:rFonts w:ascii="Calibri" w:eastAsia="Times New Roman" w:hAnsi="Calibri" w:cs="Calibri"/>
          <w:kern w:val="0"/>
          <w:sz w:val="22"/>
          <w:szCs w:val="22"/>
          <w:lang w:eastAsia="en-GB"/>
          <w14:ligatures w14:val="none"/>
        </w:rPr>
        <w:t xml:space="preserve"> warning statements. Product due diligence was inadequate. The firm has ceased all regulated activities since 28 February 2025. The SFC </w:t>
      </w:r>
      <w:r w:rsidR="006062DF" w:rsidRPr="00365175">
        <w:rPr>
          <w:rFonts w:ascii="Calibri" w:eastAsia="Times New Roman" w:hAnsi="Calibri" w:cs="Calibri"/>
          <w:kern w:val="0"/>
          <w:sz w:val="22"/>
          <w:szCs w:val="22"/>
          <w:lang w:eastAsia="en-GB"/>
          <w14:ligatures w14:val="none"/>
        </w:rPr>
        <w:t>initiated the Disciplinary action for</w:t>
      </w:r>
      <w:r w:rsidRPr="00365175">
        <w:rPr>
          <w:rFonts w:ascii="Calibri" w:eastAsia="Times New Roman" w:hAnsi="Calibri" w:cs="Calibri"/>
          <w:kern w:val="0"/>
          <w:sz w:val="22"/>
          <w:szCs w:val="22"/>
          <w:lang w:eastAsia="en-GB"/>
          <w14:ligatures w14:val="none"/>
        </w:rPr>
        <w:t xml:space="preserve"> breaches of the </w:t>
      </w:r>
      <w:hyperlink r:id="rId11" w:history="1">
        <w:r w:rsidRPr="00365175">
          <w:rPr>
            <w:rStyle w:val="af"/>
            <w:rFonts w:ascii="Calibri" w:eastAsia="Times New Roman" w:hAnsi="Calibri" w:cs="Calibri"/>
            <w:kern w:val="0"/>
            <w:sz w:val="22"/>
            <w:szCs w:val="22"/>
            <w:lang w:eastAsia="en-GB"/>
            <w14:ligatures w14:val="none"/>
          </w:rPr>
          <w:t>Code of Conduct and the Guidelines on Online Distribution and Advisory Platforms</w:t>
        </w:r>
      </w:hyperlink>
      <w:r w:rsidRPr="00365175">
        <w:rPr>
          <w:rFonts w:ascii="Calibri" w:eastAsia="Times New Roman" w:hAnsi="Calibri" w:cs="Calibri"/>
          <w:kern w:val="0"/>
          <w:sz w:val="22"/>
          <w:szCs w:val="22"/>
          <w:lang w:eastAsia="en-GB"/>
          <w14:ligatures w14:val="none"/>
        </w:rPr>
        <w:t>.</w:t>
      </w:r>
    </w:p>
    <w:p w14:paraId="5DA1E627" w14:textId="7A34B82B" w:rsidR="00FA38D5" w:rsidRPr="00365175" w:rsidRDefault="00FA38D5" w:rsidP="00FA38D5">
      <w:pPr>
        <w:spacing w:before="100" w:beforeAutospacing="1" w:after="100" w:afterAutospacing="1" w:line="240" w:lineRule="auto"/>
        <w:jc w:val="both"/>
        <w:outlineLvl w:val="1"/>
        <w:rPr>
          <w:rFonts w:ascii="Calibri" w:eastAsia="Times New Roman" w:hAnsi="Calibri" w:cs="Calibri"/>
          <w:b/>
          <w:bCs/>
          <w:kern w:val="0"/>
          <w:sz w:val="22"/>
          <w:szCs w:val="22"/>
          <w:lang w:eastAsia="en-GB"/>
          <w14:ligatures w14:val="none"/>
        </w:rPr>
      </w:pPr>
      <w:r w:rsidRPr="00365175">
        <w:rPr>
          <w:rFonts w:ascii="Calibri" w:eastAsia="Times New Roman" w:hAnsi="Calibri" w:cs="Calibri"/>
          <w:b/>
          <w:bCs/>
          <w:kern w:val="0"/>
          <w:sz w:val="22"/>
          <w:szCs w:val="22"/>
          <w:lang w:eastAsia="en-GB"/>
          <w14:ligatures w14:val="none"/>
        </w:rPr>
        <w:t xml:space="preserve">Saxo Capital Markets HK </w:t>
      </w:r>
      <w:r w:rsidR="0027184E" w:rsidRPr="00365175">
        <w:rPr>
          <w:rFonts w:ascii="Calibri" w:eastAsia="Times New Roman" w:hAnsi="Calibri" w:cs="Calibri"/>
          <w:b/>
          <w:bCs/>
          <w:kern w:val="0"/>
          <w:sz w:val="22"/>
          <w:szCs w:val="22"/>
          <w:lang w:eastAsia="en-GB"/>
          <w14:ligatures w14:val="none"/>
        </w:rPr>
        <w:t>L</w:t>
      </w:r>
      <w:r w:rsidRPr="00365175">
        <w:rPr>
          <w:rFonts w:ascii="Calibri" w:eastAsia="Times New Roman" w:hAnsi="Calibri" w:cs="Calibri"/>
          <w:b/>
          <w:bCs/>
          <w:kern w:val="0"/>
          <w:sz w:val="22"/>
          <w:szCs w:val="22"/>
          <w:lang w:eastAsia="en-GB"/>
          <w14:ligatures w14:val="none"/>
        </w:rPr>
        <w:t>td: A HK Licensed entity dealing in Virtual Assets</w:t>
      </w:r>
    </w:p>
    <w:p w14:paraId="270756DD" w14:textId="77777777"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SCMHK, a subsidiary of Saxo Bank A/S (Saxo Bank), operated an online trading platform (Online Platform) offering a range of financial products to clients in Hong Kong. The firm held licences under the SFO for Type 1 (dealing in securities), Type 2 (dealing in futures contracts), Type 3 (leveraged foreign exchange trading), Type 4 (advising on securities), and Type 9 (asset management) regulated activities.</w:t>
      </w:r>
    </w:p>
    <w:p w14:paraId="5F9C16F4" w14:textId="28D7748A"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The SFC's enforcement action </w:t>
      </w:r>
      <w:r w:rsidR="00CE62FE" w:rsidRPr="00365175">
        <w:rPr>
          <w:rFonts w:ascii="Calibri" w:eastAsia="Times New Roman" w:hAnsi="Calibri" w:cs="Calibri"/>
          <w:kern w:val="0"/>
          <w:sz w:val="22"/>
          <w:szCs w:val="22"/>
          <w:lang w:eastAsia="en-GB"/>
          <w14:ligatures w14:val="none"/>
        </w:rPr>
        <w:t xml:space="preserve">against </w:t>
      </w:r>
      <w:r w:rsidRPr="00365175">
        <w:rPr>
          <w:rFonts w:ascii="Calibri" w:eastAsia="Times New Roman" w:hAnsi="Calibri" w:cs="Calibri"/>
          <w:kern w:val="0"/>
          <w:sz w:val="22"/>
          <w:szCs w:val="22"/>
          <w:lang w:eastAsia="en-GB"/>
          <w14:ligatures w14:val="none"/>
        </w:rPr>
        <w:t>SCMHK's distribution of VA products on the Online Platform during a four</w:t>
      </w:r>
      <w:r w:rsidR="00BA1FFF" w:rsidRPr="00365175">
        <w:rPr>
          <w:rFonts w:ascii="Calibri" w:eastAsia="Times New Roman" w:hAnsi="Calibri" w:cs="Calibri"/>
          <w:kern w:val="0"/>
          <w:sz w:val="22"/>
          <w:szCs w:val="22"/>
          <w:lang w:eastAsia="en-GB"/>
          <w14:ligatures w14:val="none"/>
        </w:rPr>
        <w:t>-</w:t>
      </w:r>
      <w:r w:rsidRPr="00365175">
        <w:rPr>
          <w:rFonts w:ascii="Calibri" w:eastAsia="Times New Roman" w:hAnsi="Calibri" w:cs="Calibri"/>
          <w:kern w:val="0"/>
          <w:sz w:val="22"/>
          <w:szCs w:val="22"/>
          <w:lang w:eastAsia="en-GB"/>
          <w14:ligatures w14:val="none"/>
        </w:rPr>
        <w:t xml:space="preserve">year period. The regulatory framework </w:t>
      </w:r>
      <w:r w:rsidR="006062DF" w:rsidRPr="00365175">
        <w:rPr>
          <w:rFonts w:ascii="Calibri" w:eastAsia="Times New Roman" w:hAnsi="Calibri" w:cs="Calibri"/>
          <w:kern w:val="0"/>
          <w:sz w:val="22"/>
          <w:szCs w:val="22"/>
          <w:lang w:eastAsia="en-GB"/>
          <w14:ligatures w14:val="none"/>
        </w:rPr>
        <w:t>in</w:t>
      </w:r>
      <w:r w:rsidR="002F2CF1" w:rsidRPr="00365175">
        <w:rPr>
          <w:rFonts w:ascii="Calibri" w:eastAsia="Times New Roman" w:hAnsi="Calibri" w:cs="Calibri"/>
          <w:kern w:val="0"/>
          <w:sz w:val="22"/>
          <w:szCs w:val="22"/>
          <w:lang w:eastAsia="en-GB"/>
          <w14:ligatures w14:val="none"/>
        </w:rPr>
        <w:t xml:space="preserve"> the</w:t>
      </w:r>
      <w:r w:rsidR="006062DF" w:rsidRPr="00365175">
        <w:rPr>
          <w:rFonts w:ascii="Calibri" w:eastAsia="Times New Roman" w:hAnsi="Calibri" w:cs="Calibri"/>
          <w:kern w:val="0"/>
          <w:sz w:val="22"/>
          <w:szCs w:val="22"/>
          <w:lang w:eastAsia="en-GB"/>
          <w14:ligatures w14:val="none"/>
        </w:rPr>
        <w:t xml:space="preserve"> </w:t>
      </w:r>
      <w:r w:rsidRPr="00365175">
        <w:rPr>
          <w:rFonts w:ascii="Calibri" w:eastAsia="Times New Roman" w:hAnsi="Calibri" w:cs="Calibri"/>
          <w:kern w:val="0"/>
          <w:sz w:val="22"/>
          <w:szCs w:val="22"/>
          <w:lang w:eastAsia="en-GB"/>
          <w14:ligatures w14:val="none"/>
        </w:rPr>
        <w:t>"</w:t>
      </w:r>
      <w:hyperlink r:id="rId12" w:history="1">
        <w:r w:rsidR="006062DF" w:rsidRPr="00365175">
          <w:rPr>
            <w:rStyle w:val="af"/>
            <w:rFonts w:ascii="Calibri" w:eastAsia="Times New Roman" w:hAnsi="Calibri" w:cs="Calibri"/>
            <w:kern w:val="0"/>
            <w:sz w:val="22"/>
            <w:szCs w:val="22"/>
            <w:lang w:eastAsia="en-GB"/>
            <w14:ligatures w14:val="none"/>
          </w:rPr>
          <w:t>Statement on regulatory framework for virtual asset portfolios managers, fund distributors and trading platform operators</w:t>
        </w:r>
      </w:hyperlink>
      <w:r w:rsidRPr="00365175">
        <w:rPr>
          <w:rFonts w:ascii="Calibri" w:eastAsia="Times New Roman" w:hAnsi="Calibri" w:cs="Calibri"/>
          <w:kern w:val="0"/>
          <w:sz w:val="22"/>
          <w:szCs w:val="22"/>
          <w:lang w:eastAsia="en-GB"/>
          <w14:ligatures w14:val="none"/>
        </w:rPr>
        <w:t>" circular issued by the SFC on 1 November 2018 (2018 Circular)</w:t>
      </w:r>
      <w:r w:rsidR="00291935" w:rsidRPr="00365175">
        <w:rPr>
          <w:rFonts w:ascii="Calibri" w:eastAsia="Times New Roman" w:hAnsi="Calibri" w:cs="Calibri"/>
          <w:kern w:val="0"/>
          <w:sz w:val="22"/>
          <w:szCs w:val="22"/>
          <w:lang w:eastAsia="en-GB"/>
          <w14:ligatures w14:val="none"/>
        </w:rPr>
        <w:t xml:space="preserve"> and </w:t>
      </w:r>
      <w:r w:rsidRPr="00365175">
        <w:rPr>
          <w:rFonts w:ascii="Calibri" w:eastAsia="Times New Roman" w:hAnsi="Calibri" w:cs="Calibri"/>
          <w:kern w:val="0"/>
          <w:sz w:val="22"/>
          <w:szCs w:val="22"/>
          <w:lang w:eastAsia="en-GB"/>
          <w14:ligatures w14:val="none"/>
        </w:rPr>
        <w:t>the "</w:t>
      </w:r>
      <w:hyperlink r:id="rId13" w:history="1">
        <w:r w:rsidRPr="00365175">
          <w:rPr>
            <w:rStyle w:val="af"/>
            <w:rFonts w:ascii="Calibri" w:eastAsia="Times New Roman" w:hAnsi="Calibri" w:cs="Calibri"/>
            <w:kern w:val="0"/>
            <w:sz w:val="22"/>
            <w:szCs w:val="22"/>
            <w:lang w:eastAsia="en-GB"/>
            <w14:ligatures w14:val="none"/>
          </w:rPr>
          <w:t>Joint circular on intermediaries' virtual asset-related activities</w:t>
        </w:r>
      </w:hyperlink>
      <w:r w:rsidRPr="00365175">
        <w:rPr>
          <w:rFonts w:ascii="Calibri" w:eastAsia="Times New Roman" w:hAnsi="Calibri" w:cs="Calibri"/>
          <w:kern w:val="0"/>
          <w:sz w:val="22"/>
          <w:szCs w:val="22"/>
          <w:lang w:eastAsia="en-GB"/>
          <w14:ligatures w14:val="none"/>
        </w:rPr>
        <w:t>" jointly issued by the Hong Kong Monetary Authority (HKMA) and the SFC on 28 January 2022 (2022 Circular), which took effect on 28 July 2022</w:t>
      </w:r>
      <w:r w:rsidR="0027184E" w:rsidRPr="00365175">
        <w:rPr>
          <w:rFonts w:ascii="Calibri" w:eastAsia="Times New Roman" w:hAnsi="Calibri" w:cs="Calibri"/>
          <w:kern w:val="0"/>
          <w:sz w:val="22"/>
          <w:szCs w:val="22"/>
          <w:lang w:eastAsia="en-GB"/>
          <w14:ligatures w14:val="none"/>
        </w:rPr>
        <w:t>.This Joint Circular was subsequently superseded by “</w:t>
      </w:r>
      <w:hyperlink r:id="rId14" w:history="1">
        <w:r w:rsidR="0027184E" w:rsidRPr="00365175">
          <w:rPr>
            <w:rStyle w:val="af"/>
            <w:rFonts w:ascii="Calibri" w:eastAsia="Times New Roman" w:hAnsi="Calibri" w:cs="Calibri"/>
            <w:kern w:val="0"/>
            <w:sz w:val="22"/>
            <w:szCs w:val="22"/>
            <w:lang w:eastAsia="en-GB"/>
            <w14:ligatures w14:val="none"/>
          </w:rPr>
          <w:t>Joint circular on intermediaries’ virtual asset-related activities</w:t>
        </w:r>
      </w:hyperlink>
      <w:r w:rsidR="0027184E" w:rsidRPr="00365175">
        <w:rPr>
          <w:rFonts w:ascii="Calibri" w:eastAsia="Times New Roman" w:hAnsi="Calibri" w:cs="Calibri"/>
          <w:kern w:val="0"/>
          <w:sz w:val="22"/>
          <w:szCs w:val="22"/>
          <w:lang w:eastAsia="en-GB"/>
          <w14:ligatures w14:val="none"/>
        </w:rPr>
        <w:t>” dated 22 December 2023</w:t>
      </w:r>
      <w:r w:rsidR="00E95127" w:rsidRPr="00365175">
        <w:rPr>
          <w:rFonts w:ascii="Calibri" w:eastAsia="Times New Roman" w:hAnsi="Calibri" w:cs="Calibri"/>
          <w:kern w:val="0"/>
          <w:sz w:val="22"/>
          <w:szCs w:val="22"/>
          <w:lang w:eastAsia="en-GB"/>
          <w14:ligatures w14:val="none"/>
        </w:rPr>
        <w:t xml:space="preserve"> (collectively, the </w:t>
      </w:r>
      <w:r w:rsidR="00EF1BA0" w:rsidRPr="00365175">
        <w:rPr>
          <w:rFonts w:ascii="Calibri" w:eastAsia="Times New Roman" w:hAnsi="Calibri" w:cs="Calibri"/>
          <w:kern w:val="0"/>
          <w:sz w:val="22"/>
          <w:szCs w:val="22"/>
          <w:lang w:eastAsia="en-GB"/>
          <w14:ligatures w14:val="none"/>
        </w:rPr>
        <w:t>Circulars</w:t>
      </w:r>
      <w:r w:rsidR="00E95127" w:rsidRPr="00365175">
        <w:rPr>
          <w:rFonts w:ascii="Calibri" w:eastAsia="Times New Roman" w:hAnsi="Calibri" w:cs="Calibri"/>
          <w:kern w:val="0"/>
          <w:sz w:val="22"/>
          <w:szCs w:val="22"/>
          <w:lang w:eastAsia="en-GB"/>
          <w14:ligatures w14:val="none"/>
        </w:rPr>
        <w:t>)</w:t>
      </w:r>
      <w:r w:rsidRPr="00365175">
        <w:rPr>
          <w:rFonts w:ascii="Calibri" w:eastAsia="Times New Roman" w:hAnsi="Calibri" w:cs="Calibri"/>
          <w:kern w:val="0"/>
          <w:sz w:val="22"/>
          <w:szCs w:val="22"/>
          <w:lang w:eastAsia="en-GB"/>
          <w14:ligatures w14:val="none"/>
        </w:rPr>
        <w:t>.</w:t>
      </w:r>
    </w:p>
    <w:p w14:paraId="0229711A" w14:textId="222D14CC"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The 2018 Circular provided guidance on expected standards and practices for distributing VA funds not authorised by the SFC. It required intermediaries to target only professional investors (PIs), assess client knowledge of VAs, conduct proper due diligence, and provide prominent warning statements covering </w:t>
      </w:r>
      <w:r w:rsidR="00BA1FFF" w:rsidRPr="00365175">
        <w:rPr>
          <w:rFonts w:ascii="Calibri" w:eastAsia="Times New Roman" w:hAnsi="Calibri" w:cs="Calibri"/>
          <w:kern w:val="0"/>
          <w:sz w:val="22"/>
          <w:szCs w:val="22"/>
          <w:lang w:eastAsia="en-GB"/>
          <w14:ligatures w14:val="none"/>
        </w:rPr>
        <w:t>VA-specific</w:t>
      </w:r>
      <w:r w:rsidRPr="00365175">
        <w:rPr>
          <w:rFonts w:ascii="Calibri" w:eastAsia="Times New Roman" w:hAnsi="Calibri" w:cs="Calibri"/>
          <w:kern w:val="0"/>
          <w:sz w:val="22"/>
          <w:szCs w:val="22"/>
          <w:lang w:eastAsia="en-GB"/>
          <w14:ligatures w14:val="none"/>
        </w:rPr>
        <w:t xml:space="preserve"> risk factors. The 2022 Circular superseded the 2018 Circular and broadened the scope to all VA</w:t>
      </w:r>
      <w:r w:rsidR="00BA1FFF" w:rsidRPr="00365175">
        <w:rPr>
          <w:rFonts w:ascii="Calibri" w:eastAsia="Times New Roman" w:hAnsi="Calibri" w:cs="Calibri"/>
          <w:kern w:val="0"/>
          <w:sz w:val="22"/>
          <w:szCs w:val="22"/>
          <w:lang w:eastAsia="en-GB"/>
          <w14:ligatures w14:val="none"/>
        </w:rPr>
        <w:t>-</w:t>
      </w:r>
      <w:r w:rsidRPr="00365175">
        <w:rPr>
          <w:rFonts w:ascii="Calibri" w:eastAsia="Times New Roman" w:hAnsi="Calibri" w:cs="Calibri"/>
          <w:kern w:val="0"/>
          <w:sz w:val="22"/>
          <w:szCs w:val="22"/>
          <w:lang w:eastAsia="en-GB"/>
          <w14:ligatures w14:val="none"/>
        </w:rPr>
        <w:t>related products</w:t>
      </w:r>
      <w:r w:rsidR="00291935" w:rsidRPr="00365175">
        <w:rPr>
          <w:rFonts w:ascii="Calibri" w:eastAsia="Times New Roman" w:hAnsi="Calibri" w:cs="Calibri"/>
          <w:kern w:val="0"/>
          <w:sz w:val="22"/>
          <w:szCs w:val="22"/>
          <w:lang w:eastAsia="en-GB"/>
          <w14:ligatures w14:val="none"/>
        </w:rPr>
        <w:t>,</w:t>
      </w:r>
      <w:r w:rsidRPr="00365175">
        <w:rPr>
          <w:rFonts w:ascii="Calibri" w:eastAsia="Times New Roman" w:hAnsi="Calibri" w:cs="Calibri"/>
          <w:kern w:val="0"/>
          <w:sz w:val="22"/>
          <w:szCs w:val="22"/>
          <w:lang w:eastAsia="en-GB"/>
          <w14:ligatures w14:val="none"/>
        </w:rPr>
        <w:t xml:space="preserve"> introduc</w:t>
      </w:r>
      <w:r w:rsidR="00291935" w:rsidRPr="00365175">
        <w:rPr>
          <w:rFonts w:ascii="Calibri" w:eastAsia="Times New Roman" w:hAnsi="Calibri" w:cs="Calibri"/>
          <w:kern w:val="0"/>
          <w:sz w:val="22"/>
          <w:szCs w:val="22"/>
          <w:lang w:eastAsia="en-GB"/>
          <w14:ligatures w14:val="none"/>
        </w:rPr>
        <w:t>ing</w:t>
      </w:r>
      <w:r w:rsidRPr="00365175">
        <w:rPr>
          <w:rFonts w:ascii="Calibri" w:eastAsia="Times New Roman" w:hAnsi="Calibri" w:cs="Calibri"/>
          <w:kern w:val="0"/>
          <w:sz w:val="22"/>
          <w:szCs w:val="22"/>
          <w:lang w:eastAsia="en-GB"/>
          <w14:ligatures w14:val="none"/>
        </w:rPr>
        <w:t xml:space="preserve"> additional investor protection measures, including the requirement that complex VA</w:t>
      </w:r>
      <w:r w:rsidR="00BA1FFF" w:rsidRPr="00365175">
        <w:rPr>
          <w:rFonts w:ascii="Calibri" w:eastAsia="Times New Roman" w:hAnsi="Calibri" w:cs="Calibri"/>
          <w:kern w:val="0"/>
          <w:sz w:val="22"/>
          <w:szCs w:val="22"/>
          <w:lang w:eastAsia="en-GB"/>
          <w14:ligatures w14:val="none"/>
        </w:rPr>
        <w:t>-</w:t>
      </w:r>
      <w:r w:rsidRPr="00365175">
        <w:rPr>
          <w:rFonts w:ascii="Calibri" w:eastAsia="Times New Roman" w:hAnsi="Calibri" w:cs="Calibri"/>
          <w:kern w:val="0"/>
          <w:sz w:val="22"/>
          <w:szCs w:val="22"/>
          <w:lang w:eastAsia="en-GB"/>
          <w14:ligatures w14:val="none"/>
        </w:rPr>
        <w:t xml:space="preserve">related products be offered to PIs only, and mandated </w:t>
      </w:r>
      <w:r w:rsidR="00E95127" w:rsidRPr="00365175">
        <w:rPr>
          <w:rFonts w:ascii="Calibri" w:eastAsia="Times New Roman" w:hAnsi="Calibri" w:cs="Calibri"/>
          <w:kern w:val="0"/>
          <w:sz w:val="22"/>
          <w:szCs w:val="22"/>
          <w:lang w:eastAsia="en-GB"/>
          <w14:ligatures w14:val="none"/>
        </w:rPr>
        <w:t xml:space="preserve">suitability requirements and a </w:t>
      </w:r>
      <w:r w:rsidRPr="00365175">
        <w:rPr>
          <w:rFonts w:ascii="Calibri" w:eastAsia="Times New Roman" w:hAnsi="Calibri" w:cs="Calibri"/>
          <w:kern w:val="0"/>
          <w:sz w:val="22"/>
          <w:szCs w:val="22"/>
          <w:lang w:eastAsia="en-GB"/>
          <w14:ligatures w14:val="none"/>
        </w:rPr>
        <w:t>VA knowledge test as additional safeguard</w:t>
      </w:r>
      <w:r w:rsidR="00E95127" w:rsidRPr="00365175">
        <w:rPr>
          <w:rFonts w:ascii="Calibri" w:eastAsia="Times New Roman" w:hAnsi="Calibri" w:cs="Calibri"/>
          <w:kern w:val="0"/>
          <w:sz w:val="22"/>
          <w:szCs w:val="22"/>
          <w:lang w:eastAsia="en-GB"/>
          <w14:ligatures w14:val="none"/>
        </w:rPr>
        <w:t>s</w:t>
      </w:r>
      <w:r w:rsidRPr="00365175">
        <w:rPr>
          <w:rFonts w:ascii="Calibri" w:eastAsia="Times New Roman" w:hAnsi="Calibri" w:cs="Calibri"/>
          <w:kern w:val="0"/>
          <w:sz w:val="22"/>
          <w:szCs w:val="22"/>
          <w:lang w:eastAsia="en-GB"/>
          <w14:ligatures w14:val="none"/>
        </w:rPr>
        <w:t>.</w:t>
      </w:r>
    </w:p>
    <w:p w14:paraId="0AE4997D" w14:textId="2B24AEE4"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SCMHK relied on protocols maintained by Saxo Bank at the group level to identify instruments with VA exposure. Deficiencies in these protocols </w:t>
      </w:r>
      <w:r w:rsidR="00E95127" w:rsidRPr="00365175">
        <w:rPr>
          <w:rFonts w:ascii="Calibri" w:eastAsia="Times New Roman" w:hAnsi="Calibri" w:cs="Calibri"/>
          <w:kern w:val="0"/>
          <w:sz w:val="22"/>
          <w:szCs w:val="22"/>
          <w:lang w:eastAsia="en-GB"/>
          <w14:ligatures w14:val="none"/>
        </w:rPr>
        <w:t xml:space="preserve">led to </w:t>
      </w:r>
      <w:r w:rsidRPr="00365175">
        <w:rPr>
          <w:rFonts w:ascii="Calibri" w:eastAsia="Times New Roman" w:hAnsi="Calibri" w:cs="Calibri"/>
          <w:kern w:val="0"/>
          <w:sz w:val="22"/>
          <w:szCs w:val="22"/>
          <w:lang w:eastAsia="en-GB"/>
          <w14:ligatures w14:val="none"/>
        </w:rPr>
        <w:t xml:space="preserve">32 VA products </w:t>
      </w:r>
      <w:r w:rsidR="00E95127" w:rsidRPr="00365175">
        <w:rPr>
          <w:rFonts w:ascii="Calibri" w:eastAsia="Times New Roman" w:hAnsi="Calibri" w:cs="Calibri"/>
          <w:kern w:val="0"/>
          <w:sz w:val="22"/>
          <w:szCs w:val="22"/>
          <w:lang w:eastAsia="en-GB"/>
          <w14:ligatures w14:val="none"/>
        </w:rPr>
        <w:t>not being</w:t>
      </w:r>
      <w:r w:rsidRPr="00365175">
        <w:rPr>
          <w:rFonts w:ascii="Calibri" w:eastAsia="Times New Roman" w:hAnsi="Calibri" w:cs="Calibri"/>
          <w:kern w:val="0"/>
          <w:sz w:val="22"/>
          <w:szCs w:val="22"/>
          <w:lang w:eastAsia="en-GB"/>
          <w14:ligatures w14:val="none"/>
        </w:rPr>
        <w:t xml:space="preserve"> identified as VA</w:t>
      </w:r>
      <w:r w:rsidR="00BA1FFF" w:rsidRPr="00365175">
        <w:rPr>
          <w:rFonts w:ascii="Calibri" w:eastAsia="Times New Roman" w:hAnsi="Calibri" w:cs="Calibri"/>
          <w:kern w:val="0"/>
          <w:sz w:val="22"/>
          <w:szCs w:val="22"/>
          <w:lang w:eastAsia="en-GB"/>
          <w14:ligatures w14:val="none"/>
        </w:rPr>
        <w:t>-</w:t>
      </w:r>
      <w:r w:rsidRPr="00365175">
        <w:rPr>
          <w:rFonts w:ascii="Calibri" w:eastAsia="Times New Roman" w:hAnsi="Calibri" w:cs="Calibri"/>
          <w:kern w:val="0"/>
          <w:sz w:val="22"/>
          <w:szCs w:val="22"/>
          <w:lang w:eastAsia="en-GB"/>
          <w14:ligatures w14:val="none"/>
        </w:rPr>
        <w:t xml:space="preserve">related. They were consequently made available to all clients, including retail clients, on the Online Platform. SCMHK discovered the issue on 25 November 2022 after notification from Saxo Bank following an enquiry from its London office. SCMHK promptly </w:t>
      </w:r>
      <w:r w:rsidR="00E95127" w:rsidRPr="00365175">
        <w:rPr>
          <w:rFonts w:ascii="Calibri" w:eastAsia="Times New Roman" w:hAnsi="Calibri" w:cs="Calibri"/>
          <w:kern w:val="0"/>
          <w:sz w:val="22"/>
          <w:szCs w:val="22"/>
          <w:lang w:eastAsia="en-GB"/>
          <w14:ligatures w14:val="none"/>
        </w:rPr>
        <w:t>self-reported</w:t>
      </w:r>
      <w:r w:rsidRPr="00365175">
        <w:rPr>
          <w:rFonts w:ascii="Calibri" w:eastAsia="Times New Roman" w:hAnsi="Calibri" w:cs="Calibri"/>
          <w:kern w:val="0"/>
          <w:sz w:val="22"/>
          <w:szCs w:val="22"/>
          <w:lang w:eastAsia="en-GB"/>
          <w14:ligatures w14:val="none"/>
        </w:rPr>
        <w:t xml:space="preserve"> the </w:t>
      </w:r>
      <w:r w:rsidR="00E95127" w:rsidRPr="00365175">
        <w:rPr>
          <w:rFonts w:ascii="Calibri" w:eastAsia="Times New Roman" w:hAnsi="Calibri" w:cs="Calibri"/>
          <w:kern w:val="0"/>
          <w:sz w:val="22"/>
          <w:szCs w:val="22"/>
          <w:lang w:eastAsia="en-GB"/>
          <w14:ligatures w14:val="none"/>
        </w:rPr>
        <w:t xml:space="preserve">misconduct </w:t>
      </w:r>
      <w:r w:rsidRPr="00365175">
        <w:rPr>
          <w:rFonts w:ascii="Calibri" w:eastAsia="Times New Roman" w:hAnsi="Calibri" w:cs="Calibri"/>
          <w:kern w:val="0"/>
          <w:sz w:val="22"/>
          <w:szCs w:val="22"/>
          <w:lang w:eastAsia="en-GB"/>
          <w14:ligatures w14:val="none"/>
        </w:rPr>
        <w:t xml:space="preserve">to the SFC pursuant to </w:t>
      </w:r>
      <w:r w:rsidRPr="00365175">
        <w:rPr>
          <w:rFonts w:ascii="Calibri" w:eastAsia="Times New Roman" w:hAnsi="Calibri" w:cs="Calibri"/>
          <w:kern w:val="0"/>
          <w:sz w:val="22"/>
          <w:szCs w:val="22"/>
          <w:lang w:eastAsia="en-GB"/>
          <w14:ligatures w14:val="none"/>
        </w:rPr>
        <w:lastRenderedPageBreak/>
        <w:t>paragraph 12.5 of the Code of Conduct. The SFC then conducted an investigation into SCMHK's conduct during the relevant period.</w:t>
      </w:r>
    </w:p>
    <w:p w14:paraId="7EE0F5E0" w14:textId="52A9E3DD" w:rsidR="00FA38D5" w:rsidRPr="00365175" w:rsidRDefault="00FA38D5" w:rsidP="00FA38D5">
      <w:pPr>
        <w:spacing w:before="100" w:beforeAutospacing="1" w:after="100" w:afterAutospacing="1" w:line="240" w:lineRule="auto"/>
        <w:jc w:val="both"/>
        <w:outlineLvl w:val="1"/>
        <w:rPr>
          <w:rFonts w:ascii="Calibri" w:eastAsia="Times New Roman" w:hAnsi="Calibri" w:cs="Calibri"/>
          <w:b/>
          <w:bCs/>
          <w:kern w:val="0"/>
          <w:sz w:val="22"/>
          <w:szCs w:val="22"/>
          <w:lang w:eastAsia="en-GB"/>
          <w14:ligatures w14:val="none"/>
        </w:rPr>
      </w:pPr>
      <w:r w:rsidRPr="00365175">
        <w:rPr>
          <w:rFonts w:ascii="Calibri" w:eastAsia="Times New Roman" w:hAnsi="Calibri" w:cs="Calibri"/>
          <w:b/>
          <w:bCs/>
          <w:kern w:val="0"/>
          <w:sz w:val="22"/>
          <w:szCs w:val="22"/>
          <w:lang w:eastAsia="en-GB"/>
          <w14:ligatures w14:val="none"/>
        </w:rPr>
        <w:t xml:space="preserve">Disciplinary Action </w:t>
      </w:r>
      <w:r w:rsidR="004D1529" w:rsidRPr="00365175">
        <w:rPr>
          <w:rFonts w:ascii="Calibri" w:eastAsia="Times New Roman" w:hAnsi="Calibri" w:cs="Calibri"/>
          <w:b/>
          <w:bCs/>
          <w:kern w:val="0"/>
          <w:sz w:val="22"/>
          <w:szCs w:val="22"/>
          <w:lang w:eastAsia="en-GB"/>
          <w14:ligatures w14:val="none"/>
        </w:rPr>
        <w:t>against Virtual Asset entity</w:t>
      </w:r>
      <w:r w:rsidRPr="00365175">
        <w:rPr>
          <w:rFonts w:ascii="Calibri" w:eastAsia="Times New Roman" w:hAnsi="Calibri" w:cs="Calibri"/>
          <w:b/>
          <w:bCs/>
          <w:kern w:val="0"/>
          <w:sz w:val="22"/>
          <w:szCs w:val="22"/>
          <w:lang w:eastAsia="en-GB"/>
          <w14:ligatures w14:val="none"/>
        </w:rPr>
        <w:t xml:space="preserve"> under Hong Kong Regulations</w:t>
      </w:r>
    </w:p>
    <w:p w14:paraId="58BA39E5" w14:textId="77777777" w:rsidR="00574D77" w:rsidRPr="00365175" w:rsidRDefault="00574D77" w:rsidP="00574D77">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regulatory and enforcement timeline is as follows:</w:t>
      </w:r>
    </w:p>
    <w:p w14:paraId="7B4BEA71" w14:textId="41E0D7D6" w:rsidR="00574D77" w:rsidRPr="00365175" w:rsidRDefault="00574D77" w:rsidP="00574D77">
      <w:pPr>
        <w:pStyle w:val="a7"/>
        <w:numPr>
          <w:ilvl w:val="0"/>
          <w:numId w:val="6"/>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1 November 2018: The SFC issued the 2018 Circular, establishing standards for distribution of VA funds. This date also marks the commencement of the relevant period.</w:t>
      </w:r>
    </w:p>
    <w:p w14:paraId="5700DA08" w14:textId="5DDFED34" w:rsidR="00574D77" w:rsidRPr="00365175" w:rsidRDefault="00574D77" w:rsidP="00574D77">
      <w:pPr>
        <w:pStyle w:val="a7"/>
        <w:numPr>
          <w:ilvl w:val="0"/>
          <w:numId w:val="6"/>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25 November 2022: SCMHK discovered the potential breach and submitted a self-report to the SFC. </w:t>
      </w:r>
    </w:p>
    <w:p w14:paraId="56B947CF" w14:textId="77777777" w:rsidR="00574D77" w:rsidRPr="00365175" w:rsidRDefault="00574D77" w:rsidP="00574D77">
      <w:pPr>
        <w:pStyle w:val="a7"/>
        <w:numPr>
          <w:ilvl w:val="0"/>
          <w:numId w:val="6"/>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28 February 2025: SCMHK ceased carrying on all regulated activities.</w:t>
      </w:r>
    </w:p>
    <w:p w14:paraId="1D04C76A" w14:textId="6DB2813F" w:rsidR="00574D77" w:rsidRPr="00365175" w:rsidRDefault="007151A0" w:rsidP="00574D77">
      <w:pPr>
        <w:pStyle w:val="a7"/>
        <w:numPr>
          <w:ilvl w:val="0"/>
          <w:numId w:val="6"/>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7151A0">
        <w:rPr>
          <w:rFonts w:ascii="Calibri" w:eastAsia="Times New Roman" w:hAnsi="Calibri" w:cs="Calibri"/>
          <w:kern w:val="0"/>
          <w:sz w:val="22"/>
          <w:szCs w:val="22"/>
          <w:lang w:eastAsia="en-GB"/>
          <w14:ligatures w14:val="none"/>
        </w:rPr>
        <w:t>6 January 2026</w:t>
      </w:r>
      <w:r w:rsidR="00574D77" w:rsidRPr="00365175">
        <w:rPr>
          <w:rFonts w:ascii="Calibri" w:eastAsia="Times New Roman" w:hAnsi="Calibri" w:cs="Calibri"/>
          <w:kern w:val="0"/>
          <w:sz w:val="22"/>
          <w:szCs w:val="22"/>
          <w:lang w:eastAsia="en-GB"/>
          <w14:ligatures w14:val="none"/>
        </w:rPr>
        <w:t>: The SFC published its disciplinary action, imposing a public reprimand and HK$4 million fine.</w:t>
      </w:r>
    </w:p>
    <w:p w14:paraId="17457C51" w14:textId="22A3D8A4"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imposed a public reprimand and a fine of HK$4 million on SCMHK</w:t>
      </w:r>
      <w:r w:rsidR="00291935" w:rsidRPr="00365175">
        <w:rPr>
          <w:rFonts w:ascii="Calibri" w:eastAsia="Times New Roman" w:hAnsi="Calibri" w:cs="Calibri"/>
          <w:kern w:val="0"/>
          <w:sz w:val="22"/>
          <w:szCs w:val="22"/>
          <w:lang w:eastAsia="en-GB"/>
          <w14:ligatures w14:val="none"/>
        </w:rPr>
        <w:t>, and</w:t>
      </w:r>
      <w:r w:rsidRPr="00365175">
        <w:rPr>
          <w:rFonts w:ascii="Calibri" w:eastAsia="Times New Roman" w:hAnsi="Calibri" w:cs="Calibri"/>
          <w:kern w:val="0"/>
          <w:sz w:val="22"/>
          <w:szCs w:val="22"/>
          <w:lang w:eastAsia="en-GB"/>
          <w14:ligatures w14:val="none"/>
        </w:rPr>
        <w:t xml:space="preserve"> found </w:t>
      </w:r>
      <w:r w:rsidR="00BA1FFF" w:rsidRPr="00365175">
        <w:rPr>
          <w:rFonts w:ascii="Calibri" w:eastAsia="Times New Roman" w:hAnsi="Calibri" w:cs="Calibri"/>
          <w:kern w:val="0"/>
          <w:sz w:val="22"/>
          <w:szCs w:val="22"/>
          <w:lang w:eastAsia="en-GB"/>
          <w14:ligatures w14:val="none"/>
        </w:rPr>
        <w:t xml:space="preserve">it </w:t>
      </w:r>
      <w:r w:rsidRPr="00365175">
        <w:rPr>
          <w:rFonts w:ascii="Calibri" w:eastAsia="Times New Roman" w:hAnsi="Calibri" w:cs="Calibri"/>
          <w:kern w:val="0"/>
          <w:sz w:val="22"/>
          <w:szCs w:val="22"/>
          <w:lang w:eastAsia="en-GB"/>
          <w14:ligatures w14:val="none"/>
        </w:rPr>
        <w:t xml:space="preserve">guilty of misconduct arising from multiple breaches of the </w:t>
      </w:r>
      <w:hyperlink r:id="rId15" w:history="1">
        <w:r w:rsidRPr="00365175">
          <w:rPr>
            <w:rStyle w:val="af"/>
            <w:rFonts w:ascii="Calibri" w:eastAsia="Times New Roman" w:hAnsi="Calibri" w:cs="Calibri"/>
            <w:kern w:val="0"/>
            <w:sz w:val="22"/>
            <w:szCs w:val="22"/>
            <w:lang w:eastAsia="en-GB"/>
            <w14:ligatures w14:val="none"/>
          </w:rPr>
          <w:t>Code of Conduct for Persons Licensed by or Registered with the Securities and Futures Commission</w:t>
        </w:r>
      </w:hyperlink>
      <w:r w:rsidRPr="00365175">
        <w:rPr>
          <w:rFonts w:ascii="Calibri" w:eastAsia="Times New Roman" w:hAnsi="Calibri" w:cs="Calibri"/>
          <w:kern w:val="0"/>
          <w:sz w:val="22"/>
          <w:szCs w:val="22"/>
          <w:lang w:eastAsia="en-GB"/>
          <w14:ligatures w14:val="none"/>
        </w:rPr>
        <w:t xml:space="preserve"> (Code of Conduct) and the </w:t>
      </w:r>
      <w:hyperlink r:id="rId16" w:history="1">
        <w:r w:rsidRPr="00365175">
          <w:rPr>
            <w:rStyle w:val="af"/>
            <w:rFonts w:ascii="Calibri" w:eastAsia="Times New Roman" w:hAnsi="Calibri" w:cs="Calibri"/>
            <w:kern w:val="0"/>
            <w:sz w:val="22"/>
            <w:szCs w:val="22"/>
            <w:lang w:eastAsia="en-GB"/>
            <w14:ligatures w14:val="none"/>
          </w:rPr>
          <w:t>Guidelines on Online Distribution and Advisory Platforms</w:t>
        </w:r>
      </w:hyperlink>
      <w:r w:rsidRPr="00365175">
        <w:rPr>
          <w:rFonts w:ascii="Calibri" w:eastAsia="Times New Roman" w:hAnsi="Calibri" w:cs="Calibri"/>
          <w:kern w:val="0"/>
          <w:sz w:val="22"/>
          <w:szCs w:val="22"/>
          <w:lang w:eastAsia="en-GB"/>
          <w14:ligatures w14:val="none"/>
        </w:rPr>
        <w:t xml:space="preserve"> (Guidelines)</w:t>
      </w:r>
      <w:r w:rsidR="00E95127" w:rsidRPr="00365175">
        <w:rPr>
          <w:rFonts w:ascii="Calibri" w:eastAsia="Times New Roman" w:hAnsi="Calibri" w:cs="Calibri"/>
          <w:kern w:val="0"/>
          <w:sz w:val="22"/>
          <w:szCs w:val="22"/>
          <w:lang w:eastAsia="en-GB"/>
          <w14:ligatures w14:val="none"/>
        </w:rPr>
        <w:t xml:space="preserve"> as well as failure to observe requirements </w:t>
      </w:r>
      <w:r w:rsidR="00EF1BA0" w:rsidRPr="00365175">
        <w:rPr>
          <w:rFonts w:ascii="Calibri" w:eastAsia="Times New Roman" w:hAnsi="Calibri" w:cs="Calibri"/>
          <w:kern w:val="0"/>
          <w:sz w:val="22"/>
          <w:szCs w:val="22"/>
          <w:lang w:eastAsia="en-GB"/>
          <w14:ligatures w14:val="none"/>
        </w:rPr>
        <w:t>in the Circulars</w:t>
      </w:r>
      <w:r w:rsidRPr="00365175">
        <w:rPr>
          <w:rFonts w:ascii="Calibri" w:eastAsia="Times New Roman" w:hAnsi="Calibri" w:cs="Calibri"/>
          <w:kern w:val="0"/>
          <w:sz w:val="22"/>
          <w:szCs w:val="22"/>
          <w:lang w:eastAsia="en-GB"/>
          <w14:ligatures w14:val="none"/>
        </w:rPr>
        <w:t>.</w:t>
      </w:r>
    </w:p>
    <w:p w14:paraId="15C20A04" w14:textId="5C72FA51" w:rsidR="00EF1BA0" w:rsidRPr="00365175" w:rsidRDefault="00EF1BA0" w:rsidP="00FA38D5">
      <w:pPr>
        <w:spacing w:before="100" w:beforeAutospacing="1" w:after="100" w:afterAutospacing="1" w:line="240" w:lineRule="auto"/>
        <w:jc w:val="both"/>
        <w:rPr>
          <w:rFonts w:ascii="Calibri" w:eastAsia="Times New Roman" w:hAnsi="Calibri" w:cs="Calibri"/>
          <w:b/>
          <w:bCs/>
          <w:color w:val="EE0000"/>
          <w:kern w:val="0"/>
          <w:sz w:val="22"/>
          <w:szCs w:val="22"/>
          <w:lang w:eastAsia="en-GB"/>
          <w14:ligatures w14:val="none"/>
        </w:rPr>
      </w:pPr>
      <w:r w:rsidRPr="00365175">
        <w:rPr>
          <w:rFonts w:ascii="Calibri" w:eastAsia="Times New Roman" w:hAnsi="Calibri" w:cs="Calibri"/>
          <w:b/>
          <w:bCs/>
          <w:color w:val="EE0000"/>
          <w:kern w:val="0"/>
          <w:sz w:val="22"/>
          <w:szCs w:val="22"/>
          <w:lang w:eastAsia="en-GB"/>
          <w14:ligatures w14:val="none"/>
        </w:rPr>
        <w:t>Non-compliances with the Circulars</w:t>
      </w:r>
    </w:p>
    <w:p w14:paraId="32F32FE4" w14:textId="5C8D7CE1" w:rsidR="00EF1BA0" w:rsidRPr="00365175" w:rsidRDefault="00EF1BA0" w:rsidP="00EF1BA0">
      <w:pPr>
        <w:spacing w:before="100" w:beforeAutospacing="1" w:after="100" w:afterAutospacing="1" w:line="240" w:lineRule="auto"/>
        <w:jc w:val="both"/>
        <w:outlineLvl w:val="1"/>
        <w:rPr>
          <w:rFonts w:ascii="Calibri" w:hAnsi="Calibri" w:cs="Calibri"/>
          <w:b/>
          <w:kern w:val="0"/>
          <w:sz w:val="22"/>
          <w:szCs w:val="22"/>
          <w14:ligatures w14:val="none"/>
        </w:rPr>
      </w:pPr>
      <w:r w:rsidRPr="00365175">
        <w:rPr>
          <w:rFonts w:ascii="Calibri" w:hAnsi="Calibri" w:cs="Calibri"/>
          <w:b/>
          <w:kern w:val="0"/>
          <w:sz w:val="22"/>
          <w:szCs w:val="22"/>
          <w14:ligatures w14:val="none"/>
        </w:rPr>
        <w:t>Distribution of VA Products to Retail Clients</w:t>
      </w:r>
    </w:p>
    <w:p w14:paraId="2BC087B7" w14:textId="06999DF0" w:rsidR="005B070F" w:rsidRPr="00365175" w:rsidRDefault="00EF1BA0" w:rsidP="002F2CF1">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found that retail clients were given access to products reserved exclusively for professional investors under both the 2018 Circular and the 2022 Circular. SCMHK relied on protocols maintained by Saxo Bank to identify VA exposure in instruments listed on the Online Platform</w:t>
      </w:r>
      <w:r w:rsidR="002F2CF1" w:rsidRPr="00365175">
        <w:rPr>
          <w:rFonts w:ascii="Calibri" w:eastAsia="Times New Roman" w:hAnsi="Calibri" w:cs="Calibri"/>
          <w:kern w:val="0"/>
          <w:sz w:val="22"/>
          <w:szCs w:val="22"/>
          <w:lang w:eastAsia="en-GB"/>
          <w14:ligatures w14:val="none"/>
        </w:rPr>
        <w:t xml:space="preserve"> (the Protocols)</w:t>
      </w:r>
      <w:r w:rsidRPr="00365175">
        <w:rPr>
          <w:rFonts w:ascii="Calibri" w:eastAsia="Times New Roman" w:hAnsi="Calibri" w:cs="Calibri"/>
          <w:kern w:val="0"/>
          <w:sz w:val="22"/>
          <w:szCs w:val="22"/>
          <w:lang w:eastAsia="en-GB"/>
          <w14:ligatures w14:val="none"/>
        </w:rPr>
        <w:t xml:space="preserve">. </w:t>
      </w:r>
      <w:r w:rsidR="005B070F" w:rsidRPr="00365175">
        <w:rPr>
          <w:rFonts w:ascii="Calibri" w:eastAsia="Times New Roman" w:hAnsi="Calibri" w:cs="Calibri"/>
          <w:kern w:val="0"/>
          <w:sz w:val="22"/>
          <w:szCs w:val="22"/>
          <w:lang w:eastAsia="en-GB"/>
          <w14:ligatures w14:val="none"/>
        </w:rPr>
        <w:t>Before the end of 2020, the group-level due diligence performed by Saxo Group did not include an assessment of whether an instrument qualified as a VA Product. Around early 2021, analysts at Saxo Bank began manually identifying and flagging instruments with virtual asset exposure. In early 2022, an automatic screening tool designed at the Saxo Group level was introduced to enhance the Protocols.</w:t>
      </w:r>
    </w:p>
    <w:p w14:paraId="2A38855C" w14:textId="7A20CCA4" w:rsidR="005B070F" w:rsidRPr="00365175" w:rsidRDefault="005B070F" w:rsidP="00025E72">
      <w:pPr>
        <w:spacing w:before="100" w:beforeAutospacing="1" w:after="100" w:afterAutospacing="1" w:line="240" w:lineRule="auto"/>
        <w:jc w:val="both"/>
        <w:outlineLvl w:val="1"/>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Several deficiencies in these Protocols were identified. These included the absence of clearly defined criteria for analysts to consistently determine whether an instrument was VA-related, issues with the logic of the automatic screening tool, and insufficient testing prior to its implementation.</w:t>
      </w:r>
    </w:p>
    <w:p w14:paraId="00236713" w14:textId="777079F7" w:rsidR="005B070F" w:rsidRPr="00365175" w:rsidRDefault="005B070F" w:rsidP="00025E72">
      <w:pPr>
        <w:spacing w:before="100" w:beforeAutospacing="1" w:after="100" w:afterAutospacing="1" w:line="240" w:lineRule="auto"/>
        <w:jc w:val="both"/>
        <w:outlineLvl w:val="1"/>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also found that SCMHK did not request local customisation of the Protocols and was unaware of how the screening tool assessed underlying assets for VA elements. It failed to evaluate whether gaps existed between the Protocols and the requirements of the 2018 and 2022 Circulars. Additionally, SCMHK was not involved in configuring, testing, or maintaining the screening tool, nor did it review the list of available instruments on the Online Platform as part of its local product governance obligations.</w:t>
      </w:r>
    </w:p>
    <w:p w14:paraId="4A65CA51" w14:textId="260BD571" w:rsidR="005B070F" w:rsidRPr="00365175" w:rsidRDefault="005B070F" w:rsidP="00025E72">
      <w:pPr>
        <w:spacing w:before="100" w:beforeAutospacing="1" w:after="100" w:afterAutospacing="1" w:line="240" w:lineRule="auto"/>
        <w:jc w:val="both"/>
        <w:outlineLvl w:val="1"/>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Ultimately, passive reliance on a parent company's screening mechanisms without local customisation, independent testing, or regular review against local regulatory developments amounts to a failure of management and supervision under the Code of Conduct.</w:t>
      </w:r>
    </w:p>
    <w:p w14:paraId="7FB7CD33" w14:textId="4D51DA4C" w:rsidR="004C27BF" w:rsidRPr="00365175" w:rsidRDefault="004C27BF" w:rsidP="005B070F">
      <w:pPr>
        <w:spacing w:before="100" w:beforeAutospacing="1" w:after="100" w:afterAutospacing="1" w:line="240" w:lineRule="auto"/>
        <w:jc w:val="both"/>
        <w:outlineLvl w:val="1"/>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lastRenderedPageBreak/>
        <w:t>Upon discovering the issue, SCMHK blocked all clients from trading VA Products, enhanced its screening Protocols, and voluntarily reimbursed affected clients for all related commissions, fees, interest and losses.</w:t>
      </w:r>
    </w:p>
    <w:p w14:paraId="22019D13" w14:textId="76B9A116" w:rsidR="00EF1BA0" w:rsidRPr="00365175" w:rsidRDefault="00EF1BA0" w:rsidP="005B070F">
      <w:pPr>
        <w:spacing w:before="100" w:beforeAutospacing="1" w:after="100" w:afterAutospacing="1" w:line="240" w:lineRule="auto"/>
        <w:jc w:val="both"/>
        <w:outlineLvl w:val="1"/>
        <w:rPr>
          <w:rFonts w:ascii="Calibri" w:hAnsi="Calibri" w:cs="Calibri"/>
          <w:b/>
          <w:kern w:val="0"/>
          <w:sz w:val="22"/>
          <w:szCs w:val="22"/>
          <w14:ligatures w14:val="none"/>
        </w:rPr>
      </w:pPr>
      <w:r w:rsidRPr="00365175">
        <w:rPr>
          <w:rFonts w:ascii="Calibri" w:hAnsi="Calibri" w:cs="Calibri"/>
          <w:b/>
          <w:kern w:val="0"/>
          <w:sz w:val="22"/>
          <w:szCs w:val="22"/>
          <w14:ligatures w14:val="none"/>
        </w:rPr>
        <w:t>Absence of VA Knowledge Assessment and Warning Statements</w:t>
      </w:r>
    </w:p>
    <w:p w14:paraId="4F00C2C7" w14:textId="2F081A4E" w:rsidR="005B070F" w:rsidRPr="00365175" w:rsidRDefault="00EF1BA0" w:rsidP="005B070F">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The SFC found that SCMHK did not implement any VA knowledge test during the entire relevant period. </w:t>
      </w:r>
      <w:r w:rsidR="005B070F" w:rsidRPr="00365175">
        <w:rPr>
          <w:rFonts w:ascii="Calibri" w:eastAsia="Times New Roman" w:hAnsi="Calibri" w:cs="Calibri"/>
          <w:kern w:val="0"/>
          <w:sz w:val="22"/>
          <w:szCs w:val="22"/>
          <w:lang w:eastAsia="en-GB"/>
          <w14:ligatures w14:val="none"/>
        </w:rPr>
        <w:t>SCMHK provided two explanations for this omission. First, it stated that the 32 VA Products had been made available to retail clients on the Online Platform unintentionally. Second, it h</w:t>
      </w:r>
      <w:r w:rsidR="00BA1FFF" w:rsidRPr="00365175">
        <w:rPr>
          <w:rFonts w:ascii="Calibri" w:eastAsia="Times New Roman" w:hAnsi="Calibri" w:cs="Calibri"/>
          <w:kern w:val="0"/>
          <w:sz w:val="22"/>
          <w:szCs w:val="22"/>
          <w:lang w:eastAsia="en-GB"/>
          <w14:ligatures w14:val="none"/>
        </w:rPr>
        <w:t>ad mistakenly assumed that all professional i</w:t>
      </w:r>
      <w:r w:rsidR="005B070F" w:rsidRPr="00365175">
        <w:rPr>
          <w:rFonts w:ascii="Calibri" w:eastAsia="Times New Roman" w:hAnsi="Calibri" w:cs="Calibri"/>
          <w:kern w:val="0"/>
          <w:sz w:val="22"/>
          <w:szCs w:val="22"/>
          <w:lang w:eastAsia="en-GB"/>
          <w14:ligatures w14:val="none"/>
        </w:rPr>
        <w:t>nvestors were exempt from the VA-knowledge test requirement.</w:t>
      </w:r>
    </w:p>
    <w:p w14:paraId="321A89DF" w14:textId="6AF5C3C9" w:rsidR="005B070F" w:rsidRPr="00365175" w:rsidRDefault="005B070F" w:rsidP="005B070F">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Regarding warning statements, the SFC observed that while SCMHK did issue warnings for complex products and derivative products, these statements did not refer to the VA exposure of the investments, nor did they adequately address the specific risk factors associated with VA Products.</w:t>
      </w:r>
    </w:p>
    <w:p w14:paraId="0429BB2B" w14:textId="3199E3D5" w:rsidR="00EF1BA0" w:rsidRPr="00365175" w:rsidRDefault="005B070F" w:rsidP="005B070F">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Under Hong Kong regulatory requirements, g</w:t>
      </w:r>
      <w:r w:rsidR="00EF1BA0" w:rsidRPr="00365175">
        <w:rPr>
          <w:rFonts w:ascii="Calibri" w:eastAsia="Times New Roman" w:hAnsi="Calibri" w:cs="Calibri"/>
          <w:kern w:val="0"/>
          <w:sz w:val="22"/>
          <w:szCs w:val="22"/>
          <w:lang w:eastAsia="en-GB"/>
          <w14:ligatures w14:val="none"/>
        </w:rPr>
        <w:t xml:space="preserve">eneric complex product warnings </w:t>
      </w:r>
      <w:r w:rsidRPr="00365175">
        <w:rPr>
          <w:rFonts w:ascii="Calibri" w:eastAsia="Times New Roman" w:hAnsi="Calibri" w:cs="Calibri"/>
          <w:kern w:val="0"/>
          <w:sz w:val="22"/>
          <w:szCs w:val="22"/>
          <w:lang w:eastAsia="en-GB"/>
          <w14:ligatures w14:val="none"/>
        </w:rPr>
        <w:t>would</w:t>
      </w:r>
      <w:r w:rsidR="00EF1BA0" w:rsidRPr="00365175">
        <w:rPr>
          <w:rFonts w:ascii="Calibri" w:eastAsia="Times New Roman" w:hAnsi="Calibri" w:cs="Calibri"/>
          <w:kern w:val="0"/>
          <w:sz w:val="22"/>
          <w:szCs w:val="22"/>
          <w:lang w:eastAsia="en-GB"/>
          <w14:ligatures w14:val="none"/>
        </w:rPr>
        <w:t xml:space="preserve"> not satisfy the requirements for </w:t>
      </w:r>
      <w:r w:rsidR="00BA1FFF" w:rsidRPr="00365175">
        <w:rPr>
          <w:rFonts w:ascii="Calibri" w:eastAsia="Times New Roman" w:hAnsi="Calibri" w:cs="Calibri"/>
          <w:kern w:val="0"/>
          <w:sz w:val="22"/>
          <w:szCs w:val="22"/>
          <w:lang w:eastAsia="en-GB"/>
          <w14:ligatures w14:val="none"/>
        </w:rPr>
        <w:t>VA-specific</w:t>
      </w:r>
      <w:r w:rsidR="00EF1BA0" w:rsidRPr="00365175">
        <w:rPr>
          <w:rFonts w:ascii="Calibri" w:eastAsia="Times New Roman" w:hAnsi="Calibri" w:cs="Calibri"/>
          <w:kern w:val="0"/>
          <w:sz w:val="22"/>
          <w:szCs w:val="22"/>
          <w:lang w:eastAsia="en-GB"/>
          <w14:ligatures w14:val="none"/>
        </w:rPr>
        <w:t xml:space="preserve"> disclosures. Both the 2018 Circular and the 2022 Circular mandate tailored warning statements addressing risks unique to virtual assets, including price volatility, potential price manipulation, cybersecurity risks, and the unregulated nature of many VA exchanges, trading platforms, and custodians.</w:t>
      </w:r>
    </w:p>
    <w:p w14:paraId="4FFE1419" w14:textId="77777777" w:rsidR="00EF1BA0" w:rsidRPr="00365175" w:rsidRDefault="00EF1BA0" w:rsidP="00EF1BA0">
      <w:pPr>
        <w:spacing w:before="100" w:beforeAutospacing="1" w:after="100" w:afterAutospacing="1" w:line="240" w:lineRule="auto"/>
        <w:jc w:val="both"/>
        <w:outlineLvl w:val="1"/>
        <w:rPr>
          <w:rFonts w:ascii="Calibri" w:hAnsi="Calibri" w:cs="Calibri"/>
          <w:b/>
          <w:kern w:val="0"/>
          <w:sz w:val="22"/>
          <w:szCs w:val="22"/>
          <w14:ligatures w14:val="none"/>
        </w:rPr>
      </w:pPr>
      <w:r w:rsidRPr="00365175">
        <w:rPr>
          <w:rFonts w:ascii="Calibri" w:hAnsi="Calibri" w:cs="Calibri"/>
          <w:b/>
          <w:kern w:val="0"/>
          <w:sz w:val="22"/>
          <w:szCs w:val="22"/>
          <w14:ligatures w14:val="none"/>
        </w:rPr>
        <w:t>Inadequate Product Due Diligence on VA Products</w:t>
      </w:r>
    </w:p>
    <w:p w14:paraId="0A4A0A49" w14:textId="77C62536" w:rsidR="005B070F" w:rsidRPr="00365175" w:rsidRDefault="005B070F" w:rsidP="005B070F">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SCMHK failed to maintain any specific procedures for conducting product due diligence on VA products during the relevant period. The firm instead represented that due diligence was conducted at the Saxo Group level.</w:t>
      </w:r>
    </w:p>
    <w:p w14:paraId="55715EAC" w14:textId="30D206CF" w:rsidR="005B070F" w:rsidRPr="00365175" w:rsidRDefault="005B070F" w:rsidP="005B070F">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identified three material shortcomings in this approach. First, despite the due diligence allegedly performed by Saxo Group, SCMHK failed to identify the VA exposure associated with the 32 VA Products. Second, out of the 32 VA Products, the key information documents or key fact sheets for 11 of them were not made available on the Online Platform. SCMHK explained that this was because the relevant documents were not provided to Saxo Group by the vendors. Third, with respect to VA Funds, Saxo Group's due diligence did not cover the fund managers or the parties providing trading and custodian services to those funds.</w:t>
      </w:r>
    </w:p>
    <w:p w14:paraId="31ED13BD" w14:textId="045C01CE" w:rsidR="00EF1BA0" w:rsidRPr="00365175" w:rsidRDefault="005B070F"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To comply with the regulatory requirements,</w:t>
      </w:r>
      <w:r w:rsidR="00EF1BA0" w:rsidRPr="00365175">
        <w:rPr>
          <w:rFonts w:ascii="Calibri" w:eastAsia="Times New Roman" w:hAnsi="Calibri" w:cs="Calibri"/>
          <w:kern w:val="0"/>
          <w:sz w:val="22"/>
          <w:szCs w:val="22"/>
          <w:lang w:eastAsia="en-GB"/>
          <w14:ligatures w14:val="none"/>
        </w:rPr>
        <w:t xml:space="preserve"> product due diligence must be comprehensive and locally accountable. The absence of key information documents for 11 out of 32 products, and the failure to assess VA fund managers and custodians, represent material gaps. The SFC's FAQs on Compliance with Suitability Obligations expressly state: "Licensed or registered persons should conduct their own product due diligence and arrive at their own assessment of the products by taking into account all relevant information that is appropriate and reasonably available for a fair </w:t>
      </w:r>
      <w:r w:rsidRPr="00365175">
        <w:rPr>
          <w:rFonts w:ascii="Calibri" w:eastAsia="Times New Roman" w:hAnsi="Calibri" w:cs="Calibri"/>
          <w:kern w:val="0"/>
          <w:sz w:val="22"/>
          <w:szCs w:val="22"/>
          <w:lang w:eastAsia="en-GB"/>
          <w14:ligatures w14:val="none"/>
        </w:rPr>
        <w:t>and balanced assessment."</w:t>
      </w:r>
    </w:p>
    <w:p w14:paraId="7348DA92" w14:textId="126B1DD0" w:rsidR="005B070F" w:rsidRPr="00365175" w:rsidRDefault="005B070F" w:rsidP="00FA38D5">
      <w:pPr>
        <w:spacing w:before="100" w:beforeAutospacing="1" w:after="100" w:afterAutospacing="1" w:line="240" w:lineRule="auto"/>
        <w:jc w:val="both"/>
        <w:rPr>
          <w:rFonts w:ascii="Calibri" w:eastAsia="Times New Roman" w:hAnsi="Calibri" w:cs="Calibri"/>
          <w:b/>
          <w:bCs/>
          <w:color w:val="EE0000"/>
          <w:kern w:val="0"/>
          <w:sz w:val="22"/>
          <w:szCs w:val="22"/>
          <w:lang w:eastAsia="en-GB"/>
          <w14:ligatures w14:val="none"/>
        </w:rPr>
      </w:pPr>
      <w:r w:rsidRPr="00365175">
        <w:rPr>
          <w:rFonts w:ascii="Calibri" w:eastAsia="Times New Roman" w:hAnsi="Calibri" w:cs="Calibri"/>
          <w:b/>
          <w:bCs/>
          <w:color w:val="EE0000"/>
          <w:kern w:val="0"/>
          <w:sz w:val="22"/>
          <w:szCs w:val="22"/>
          <w:lang w:eastAsia="en-GB"/>
          <w14:ligatures w14:val="none"/>
        </w:rPr>
        <w:t>The SFC’s findings of misconduct by SCMHK</w:t>
      </w:r>
    </w:p>
    <w:p w14:paraId="4094B2BC" w14:textId="39028D22" w:rsidR="0029193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breaches encompassed three categories</w:t>
      </w:r>
      <w:r w:rsidR="00291935" w:rsidRPr="00365175">
        <w:rPr>
          <w:rFonts w:ascii="Calibri" w:eastAsia="Times New Roman" w:hAnsi="Calibri" w:cs="Calibri"/>
          <w:kern w:val="0"/>
          <w:sz w:val="22"/>
          <w:szCs w:val="22"/>
          <w:lang w:eastAsia="en-GB"/>
          <w14:ligatures w14:val="none"/>
        </w:rPr>
        <w:t xml:space="preserve"> of misconduct arising from multiple breaches</w:t>
      </w:r>
      <w:r w:rsidRPr="00365175">
        <w:rPr>
          <w:rFonts w:ascii="Calibri" w:eastAsia="Times New Roman" w:hAnsi="Calibri" w:cs="Calibri"/>
          <w:kern w:val="0"/>
          <w:sz w:val="22"/>
          <w:szCs w:val="22"/>
          <w:lang w:eastAsia="en-GB"/>
          <w14:ligatures w14:val="none"/>
        </w:rPr>
        <w:t xml:space="preserve">. </w:t>
      </w:r>
    </w:p>
    <w:p w14:paraId="06101368" w14:textId="729BC7B1" w:rsidR="00291935" w:rsidRPr="00365175" w:rsidRDefault="00FA38D5" w:rsidP="00291935">
      <w:pPr>
        <w:pStyle w:val="a7"/>
        <w:numPr>
          <w:ilvl w:val="0"/>
          <w:numId w:val="1"/>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fail</w:t>
      </w:r>
      <w:r w:rsidR="00291935" w:rsidRPr="00365175">
        <w:rPr>
          <w:rFonts w:ascii="Calibri" w:eastAsia="Times New Roman" w:hAnsi="Calibri" w:cs="Calibri"/>
          <w:kern w:val="0"/>
          <w:sz w:val="22"/>
          <w:szCs w:val="22"/>
          <w:lang w:eastAsia="en-GB"/>
          <w14:ligatures w14:val="none"/>
        </w:rPr>
        <w:t>ure</w:t>
      </w:r>
      <w:r w:rsidRPr="00365175">
        <w:rPr>
          <w:rFonts w:ascii="Calibri" w:eastAsia="Times New Roman" w:hAnsi="Calibri" w:cs="Calibri"/>
          <w:kern w:val="0"/>
          <w:sz w:val="22"/>
          <w:szCs w:val="22"/>
          <w:lang w:eastAsia="en-GB"/>
          <w14:ligatures w14:val="none"/>
        </w:rPr>
        <w:t xml:space="preserve"> to manage and supervise the Online Platform adequately to ensure compliance with regulatory requirements for distributing VA products</w:t>
      </w:r>
      <w:r w:rsidR="00037EA9" w:rsidRPr="00365175">
        <w:rPr>
          <w:rFonts w:ascii="Calibri" w:eastAsia="Times New Roman" w:hAnsi="Calibri" w:cs="Calibri"/>
          <w:kern w:val="0"/>
          <w:sz w:val="22"/>
          <w:szCs w:val="22"/>
          <w:lang w:eastAsia="en-GB"/>
          <w14:ligatures w14:val="none"/>
        </w:rPr>
        <w:t xml:space="preserve">; </w:t>
      </w:r>
    </w:p>
    <w:p w14:paraId="4035D8AD" w14:textId="5D48CF67" w:rsidR="00291935" w:rsidRPr="00365175" w:rsidRDefault="00291935" w:rsidP="00291935">
      <w:pPr>
        <w:pStyle w:val="a7"/>
        <w:numPr>
          <w:ilvl w:val="0"/>
          <w:numId w:val="1"/>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lastRenderedPageBreak/>
        <w:t xml:space="preserve">failure </w:t>
      </w:r>
      <w:r w:rsidR="00FA38D5" w:rsidRPr="00365175">
        <w:rPr>
          <w:rFonts w:ascii="Calibri" w:eastAsia="Times New Roman" w:hAnsi="Calibri" w:cs="Calibri"/>
          <w:kern w:val="0"/>
          <w:sz w:val="22"/>
          <w:szCs w:val="22"/>
          <w:lang w:eastAsia="en-GB"/>
          <w14:ligatures w14:val="none"/>
        </w:rPr>
        <w:t>to ensure suitability</w:t>
      </w:r>
      <w:r w:rsidR="00037EA9" w:rsidRPr="00365175">
        <w:rPr>
          <w:rFonts w:ascii="Calibri" w:eastAsia="Times New Roman" w:hAnsi="Calibri" w:cs="Calibri"/>
          <w:kern w:val="0"/>
          <w:sz w:val="22"/>
          <w:szCs w:val="22"/>
          <w:lang w:eastAsia="en-GB"/>
          <w14:ligatures w14:val="none"/>
        </w:rPr>
        <w:t xml:space="preserve"> of the VA products with the clients’ risk profiles</w:t>
      </w:r>
      <w:r w:rsidR="00FA38D5" w:rsidRPr="00365175">
        <w:rPr>
          <w:rFonts w:ascii="Calibri" w:eastAsia="Times New Roman" w:hAnsi="Calibri" w:cs="Calibri"/>
          <w:kern w:val="0"/>
          <w:sz w:val="22"/>
          <w:szCs w:val="22"/>
          <w:lang w:eastAsia="en-GB"/>
          <w14:ligatures w14:val="none"/>
        </w:rPr>
        <w:t xml:space="preserve"> and provide sufficient information</w:t>
      </w:r>
      <w:r w:rsidR="00037EA9" w:rsidRPr="00365175">
        <w:rPr>
          <w:rFonts w:ascii="Calibri" w:eastAsia="Times New Roman" w:hAnsi="Calibri" w:cs="Calibri"/>
          <w:kern w:val="0"/>
          <w:sz w:val="22"/>
          <w:szCs w:val="22"/>
          <w:lang w:eastAsia="en-GB"/>
          <w14:ligatures w14:val="none"/>
        </w:rPr>
        <w:t xml:space="preserve"> such as warning statements</w:t>
      </w:r>
      <w:r w:rsidR="00FA38D5" w:rsidRPr="00365175">
        <w:rPr>
          <w:rFonts w:ascii="Calibri" w:eastAsia="Times New Roman" w:hAnsi="Calibri" w:cs="Calibri"/>
          <w:kern w:val="0"/>
          <w:sz w:val="22"/>
          <w:szCs w:val="22"/>
          <w:lang w:eastAsia="en-GB"/>
          <w14:ligatures w14:val="none"/>
        </w:rPr>
        <w:t xml:space="preserve"> for complex VA products</w:t>
      </w:r>
      <w:r w:rsidR="00037EA9" w:rsidRPr="00365175">
        <w:rPr>
          <w:rFonts w:ascii="Calibri" w:eastAsia="Times New Roman" w:hAnsi="Calibri" w:cs="Calibri"/>
          <w:kern w:val="0"/>
          <w:sz w:val="22"/>
          <w:szCs w:val="22"/>
          <w:lang w:eastAsia="en-GB"/>
          <w14:ligatures w14:val="none"/>
        </w:rPr>
        <w:t xml:space="preserve"> and VA Products which were not derivative products;</w:t>
      </w:r>
    </w:p>
    <w:p w14:paraId="5FBEF3D5" w14:textId="4D49973B" w:rsidR="00FA38D5" w:rsidRPr="00365175" w:rsidRDefault="00291935" w:rsidP="00291935">
      <w:pPr>
        <w:pStyle w:val="a7"/>
        <w:numPr>
          <w:ilvl w:val="0"/>
          <w:numId w:val="1"/>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failure to </w:t>
      </w:r>
      <w:r w:rsidR="00FA38D5" w:rsidRPr="00365175">
        <w:rPr>
          <w:rFonts w:ascii="Calibri" w:eastAsia="Times New Roman" w:hAnsi="Calibri" w:cs="Calibri"/>
          <w:kern w:val="0"/>
          <w:sz w:val="22"/>
          <w:szCs w:val="22"/>
          <w:lang w:eastAsia="en-GB"/>
          <w14:ligatures w14:val="none"/>
        </w:rPr>
        <w:t xml:space="preserve">properly assess clients' knowledge </w:t>
      </w:r>
      <w:r w:rsidR="007D6F1C" w:rsidRPr="00365175">
        <w:rPr>
          <w:rFonts w:ascii="Calibri" w:eastAsia="Times New Roman" w:hAnsi="Calibri" w:cs="Calibri"/>
          <w:kern w:val="0"/>
          <w:sz w:val="22"/>
          <w:szCs w:val="22"/>
          <w:lang w:eastAsia="en-GB"/>
          <w14:ligatures w14:val="none"/>
        </w:rPr>
        <w:t xml:space="preserve">and experience in trading </w:t>
      </w:r>
      <w:r w:rsidR="00FA38D5" w:rsidRPr="00365175">
        <w:rPr>
          <w:rFonts w:ascii="Calibri" w:eastAsia="Times New Roman" w:hAnsi="Calibri" w:cs="Calibri"/>
          <w:kern w:val="0"/>
          <w:sz w:val="22"/>
          <w:szCs w:val="22"/>
          <w:lang w:eastAsia="en-GB"/>
          <w14:ligatures w14:val="none"/>
        </w:rPr>
        <w:t xml:space="preserve"> derivatives and characterise them accordingly.</w:t>
      </w:r>
    </w:p>
    <w:p w14:paraId="378A34CE" w14:textId="1853054C" w:rsidR="00FA38D5" w:rsidRPr="00365175" w:rsidRDefault="008D154F"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Compliance with regulatory obligations under the Securities and Futures Ordinance and the Code of Conduct is imposed upon the locally licensed entity as a non-delegable statutory responsibility. Such obligations cannot be outsourced, diluted, or constructively transferred to an unregulated parent or affiliate</w:t>
      </w:r>
      <w:r w:rsidR="00574D77" w:rsidRPr="00365175">
        <w:rPr>
          <w:rFonts w:ascii="Calibri" w:eastAsia="Times New Roman" w:hAnsi="Calibri" w:cs="Calibri"/>
          <w:kern w:val="0"/>
          <w:sz w:val="22"/>
          <w:szCs w:val="22"/>
          <w:lang w:eastAsia="en-GB"/>
          <w14:ligatures w14:val="none"/>
        </w:rPr>
        <w:t>. The l</w:t>
      </w:r>
      <w:r w:rsidRPr="00365175">
        <w:rPr>
          <w:rFonts w:ascii="Calibri" w:eastAsia="Times New Roman" w:hAnsi="Calibri" w:cs="Calibri"/>
          <w:kern w:val="0"/>
          <w:sz w:val="22"/>
          <w:szCs w:val="22"/>
          <w:lang w:eastAsia="en-GB"/>
          <w14:ligatures w14:val="none"/>
        </w:rPr>
        <w:t xml:space="preserve">icensed entity </w:t>
      </w:r>
      <w:r w:rsidR="00574D77" w:rsidRPr="00365175">
        <w:rPr>
          <w:rFonts w:ascii="Calibri" w:eastAsia="Times New Roman" w:hAnsi="Calibri" w:cs="Calibri"/>
          <w:kern w:val="0"/>
          <w:sz w:val="22"/>
          <w:szCs w:val="22"/>
          <w:lang w:eastAsia="en-GB"/>
          <w14:ligatures w14:val="none"/>
        </w:rPr>
        <w:t>must conduct</w:t>
      </w:r>
      <w:r w:rsidRPr="00365175">
        <w:rPr>
          <w:rFonts w:ascii="Calibri" w:eastAsia="Times New Roman" w:hAnsi="Calibri" w:cs="Calibri"/>
          <w:kern w:val="0"/>
          <w:sz w:val="22"/>
          <w:szCs w:val="22"/>
          <w:lang w:eastAsia="en-GB"/>
          <w14:ligatures w14:val="none"/>
        </w:rPr>
        <w:t xml:space="preserve"> independent verification, effective supervisory control, and substantive local oversight</w:t>
      </w:r>
      <w:r w:rsidR="00574D77" w:rsidRPr="00365175">
        <w:rPr>
          <w:rFonts w:ascii="Calibri" w:eastAsia="Times New Roman" w:hAnsi="Calibri" w:cs="Calibri"/>
          <w:kern w:val="0"/>
          <w:sz w:val="22"/>
          <w:szCs w:val="22"/>
          <w:lang w:eastAsia="en-GB"/>
          <w14:ligatures w14:val="none"/>
        </w:rPr>
        <w:t xml:space="preserve"> over all operational measures to ensure compliance with applicable requirements</w:t>
      </w:r>
      <w:r w:rsidRPr="00365175">
        <w:rPr>
          <w:rFonts w:ascii="Calibri" w:eastAsia="Times New Roman" w:hAnsi="Calibri" w:cs="Calibri"/>
          <w:kern w:val="0"/>
          <w:sz w:val="22"/>
          <w:szCs w:val="22"/>
          <w:lang w:eastAsia="en-GB"/>
          <w14:ligatures w14:val="none"/>
        </w:rPr>
        <w:t>.</w:t>
      </w:r>
    </w:p>
    <w:p w14:paraId="6C64E44E" w14:textId="2B25D899" w:rsidR="00FE5BBD" w:rsidRPr="00365175" w:rsidRDefault="00FE5BBD" w:rsidP="00FA38D5">
      <w:pPr>
        <w:spacing w:before="100" w:beforeAutospacing="1" w:after="100" w:afterAutospacing="1" w:line="240" w:lineRule="auto"/>
        <w:jc w:val="both"/>
        <w:rPr>
          <w:rFonts w:ascii="Calibri" w:eastAsia="Times New Roman" w:hAnsi="Calibri" w:cs="Calibri"/>
          <w:b/>
          <w:bCs/>
          <w:color w:val="EE0000"/>
          <w:kern w:val="0"/>
          <w:sz w:val="22"/>
          <w:szCs w:val="22"/>
          <w:lang w:eastAsia="en-GB"/>
          <w14:ligatures w14:val="none"/>
        </w:rPr>
      </w:pPr>
      <w:r w:rsidRPr="00365175">
        <w:rPr>
          <w:rFonts w:ascii="Calibri" w:eastAsia="Times New Roman" w:hAnsi="Calibri" w:cs="Calibri"/>
          <w:b/>
          <w:bCs/>
          <w:color w:val="EE0000"/>
          <w:kern w:val="0"/>
          <w:sz w:val="22"/>
          <w:szCs w:val="22"/>
          <w:lang w:eastAsia="en-GB"/>
          <w14:ligatures w14:val="none"/>
        </w:rPr>
        <w:t>Inadequate management and supervision of the Online Platform</w:t>
      </w:r>
    </w:p>
    <w:p w14:paraId="76E60BE8" w14:textId="285A673A" w:rsidR="00A37769" w:rsidRPr="00365175" w:rsidRDefault="00A37769" w:rsidP="00A37769">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All 32 VA products were classified as complex products but none of them were adequately identified as VA-related </w:t>
      </w:r>
      <w:r w:rsidR="00FE5BBD" w:rsidRPr="00365175">
        <w:rPr>
          <w:rFonts w:ascii="Calibri" w:eastAsia="Times New Roman" w:hAnsi="Calibri" w:cs="Calibri"/>
          <w:kern w:val="0"/>
          <w:sz w:val="22"/>
          <w:szCs w:val="22"/>
          <w:lang w:eastAsia="en-GB"/>
          <w14:ligatures w14:val="none"/>
        </w:rPr>
        <w:t>due to the deficiencies in the P</w:t>
      </w:r>
      <w:r w:rsidRPr="00365175">
        <w:rPr>
          <w:rFonts w:ascii="Calibri" w:eastAsia="Times New Roman" w:hAnsi="Calibri" w:cs="Calibri"/>
          <w:kern w:val="0"/>
          <w:sz w:val="22"/>
          <w:szCs w:val="22"/>
          <w:lang w:eastAsia="en-GB"/>
          <w14:ligatures w14:val="none"/>
        </w:rPr>
        <w:t xml:space="preserve">rotocols as set out above. </w:t>
      </w:r>
    </w:p>
    <w:p w14:paraId="4AB6DCAF" w14:textId="28AC6757" w:rsidR="00FE5BBD" w:rsidRPr="00365175" w:rsidRDefault="00FE5BBD" w:rsidP="00FE5BBD">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The SFC found that, during the relevant period, SCMHK breached General Principles 2, 3, and 7, as well as paragraph 18.4 and paragraphs 1.1.3 and 1.1.4 of Schedule 7 to the Code of Conduct. These breaches arose from a series of interconnected failures in the governance and oversight of its Online Platform in relation to </w:t>
      </w:r>
      <w:r w:rsidR="000A5736" w:rsidRPr="00365175">
        <w:rPr>
          <w:rFonts w:ascii="Calibri" w:eastAsia="Times New Roman" w:hAnsi="Calibri" w:cs="Calibri"/>
          <w:kern w:val="0"/>
          <w:sz w:val="22"/>
          <w:szCs w:val="22"/>
          <w:lang w:eastAsia="en-GB"/>
          <w14:ligatures w14:val="none"/>
        </w:rPr>
        <w:t>VA</w:t>
      </w:r>
      <w:r w:rsidRPr="00365175">
        <w:rPr>
          <w:rFonts w:ascii="Calibri" w:eastAsia="Times New Roman" w:hAnsi="Calibri" w:cs="Calibri"/>
          <w:kern w:val="0"/>
          <w:sz w:val="22"/>
          <w:szCs w:val="22"/>
          <w:lang w:eastAsia="en-GB"/>
          <w14:ligatures w14:val="none"/>
        </w:rPr>
        <w:t xml:space="preserve"> Products.</w:t>
      </w:r>
    </w:p>
    <w:p w14:paraId="22B4FCD9" w14:textId="3475D9CC" w:rsidR="00FE5BBD" w:rsidRPr="00365175" w:rsidRDefault="00FE5BBD" w:rsidP="00FE5BBD">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Specifically, SCMHK failed to exercise due skill, care, and diligence in identifying instruments on the Online Platform with VA exposure. It did not employ effective resources or procedures to ensure the proper performance of its business activities, nor did it comply with regulatory requirements applicable to the distribution of VA Products. Furthermore, </w:t>
      </w:r>
      <w:r w:rsidR="000A5736" w:rsidRPr="00365175">
        <w:rPr>
          <w:rFonts w:ascii="Calibri" w:eastAsia="Times New Roman" w:hAnsi="Calibri" w:cs="Calibri"/>
          <w:kern w:val="0"/>
          <w:sz w:val="22"/>
          <w:szCs w:val="22"/>
          <w:lang w:eastAsia="en-GB"/>
          <w14:ligatures w14:val="none"/>
        </w:rPr>
        <w:t>SCMHK</w:t>
      </w:r>
      <w:r w:rsidRPr="00365175">
        <w:rPr>
          <w:rFonts w:ascii="Calibri" w:eastAsia="Times New Roman" w:hAnsi="Calibri" w:cs="Calibri"/>
          <w:kern w:val="0"/>
          <w:sz w:val="22"/>
          <w:szCs w:val="22"/>
          <w:lang w:eastAsia="en-GB"/>
          <w14:ligatures w14:val="none"/>
        </w:rPr>
        <w:t xml:space="preserve"> failed to adequately manage and supervise the design, development, deployment, and operation of the Online Platform. It neglected to conduct regular reviews to ensure its internal policies and procedures kept pace with regulatory developments, and consequently, did not promptly remedy identified deficiencies. Finally, SCMHK did not assign adequately qualified staff, expertise, technology, or financial resources to the oversight and operation of the platform.</w:t>
      </w:r>
    </w:p>
    <w:p w14:paraId="6C51ACF6" w14:textId="77777777" w:rsidR="00FA38D5" w:rsidRPr="00365175" w:rsidRDefault="00FA38D5" w:rsidP="00FA38D5">
      <w:pPr>
        <w:spacing w:before="100" w:beforeAutospacing="1" w:after="100" w:afterAutospacing="1" w:line="240" w:lineRule="auto"/>
        <w:jc w:val="both"/>
        <w:outlineLvl w:val="1"/>
        <w:rPr>
          <w:rFonts w:ascii="Calibri" w:hAnsi="Calibri" w:cs="Calibri"/>
          <w:b/>
          <w:kern w:val="0"/>
          <w:sz w:val="22"/>
          <w:szCs w:val="22"/>
          <w14:ligatures w14:val="none"/>
        </w:rPr>
      </w:pPr>
      <w:r w:rsidRPr="00365175">
        <w:rPr>
          <w:rFonts w:ascii="Calibri" w:hAnsi="Calibri" w:cs="Calibri"/>
          <w:b/>
          <w:kern w:val="0"/>
          <w:sz w:val="22"/>
          <w:szCs w:val="22"/>
          <w14:ligatures w14:val="none"/>
        </w:rPr>
        <w:t>Failure to Ensure Suitability of Complex VA Products</w:t>
      </w:r>
    </w:p>
    <w:p w14:paraId="0F386711" w14:textId="73393D23"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SCMHK required clients to complete an online suitability test before trading complex products. Clients were categorised into four risk profiles: "Conservative", "Balanced", "Aggressive", or "Speculative". However, </w:t>
      </w:r>
      <w:r w:rsidR="000A5736" w:rsidRPr="00365175">
        <w:rPr>
          <w:rFonts w:ascii="Calibri" w:eastAsia="Times New Roman" w:hAnsi="Calibri" w:cs="Calibri"/>
          <w:kern w:val="0"/>
          <w:sz w:val="22"/>
          <w:szCs w:val="22"/>
          <w:lang w:eastAsia="en-GB"/>
          <w14:ligatures w14:val="none"/>
        </w:rPr>
        <w:t xml:space="preserve">SCMHK was unaware that complex products with VA exposure had been made available on the Online Platform and </w:t>
      </w:r>
      <w:r w:rsidRPr="00365175">
        <w:rPr>
          <w:rFonts w:ascii="Calibri" w:eastAsia="Times New Roman" w:hAnsi="Calibri" w:cs="Calibri"/>
          <w:kern w:val="0"/>
          <w:sz w:val="22"/>
          <w:szCs w:val="22"/>
          <w:lang w:eastAsia="en-GB"/>
          <w14:ligatures w14:val="none"/>
        </w:rPr>
        <w:t xml:space="preserve">the SFC found that this test did not include any questions to assess client knowledge of </w:t>
      </w:r>
      <w:r w:rsidR="000A5736" w:rsidRPr="00365175">
        <w:rPr>
          <w:rFonts w:ascii="Calibri" w:eastAsia="Times New Roman" w:hAnsi="Calibri" w:cs="Calibri"/>
          <w:kern w:val="0"/>
          <w:sz w:val="22"/>
          <w:szCs w:val="22"/>
          <w:lang w:eastAsia="en-GB"/>
          <w14:ligatures w14:val="none"/>
        </w:rPr>
        <w:t xml:space="preserve">investing in </w:t>
      </w:r>
      <w:r w:rsidRPr="00365175">
        <w:rPr>
          <w:rFonts w:ascii="Calibri" w:eastAsia="Times New Roman" w:hAnsi="Calibri" w:cs="Calibri"/>
          <w:kern w:val="0"/>
          <w:sz w:val="22"/>
          <w:szCs w:val="22"/>
          <w:lang w:eastAsia="en-GB"/>
          <w14:ligatures w14:val="none"/>
        </w:rPr>
        <w:t>V</w:t>
      </w:r>
      <w:r w:rsidR="00BA1FFF" w:rsidRPr="00365175">
        <w:rPr>
          <w:rFonts w:ascii="Calibri" w:eastAsia="Times New Roman" w:hAnsi="Calibri" w:cs="Calibri"/>
          <w:kern w:val="0"/>
          <w:sz w:val="22"/>
          <w:szCs w:val="22"/>
          <w:lang w:eastAsia="en-GB"/>
          <w14:ligatures w14:val="none"/>
        </w:rPr>
        <w:t>A</w:t>
      </w:r>
      <w:r w:rsidRPr="00365175">
        <w:rPr>
          <w:rFonts w:ascii="Calibri" w:eastAsia="Times New Roman" w:hAnsi="Calibri" w:cs="Calibri"/>
          <w:kern w:val="0"/>
          <w:sz w:val="22"/>
          <w:szCs w:val="22"/>
          <w:lang w:eastAsia="en-GB"/>
          <w14:ligatures w14:val="none"/>
        </w:rPr>
        <w:t>s</w:t>
      </w:r>
      <w:r w:rsidR="000A5736" w:rsidRPr="00365175">
        <w:rPr>
          <w:rFonts w:ascii="Calibri" w:eastAsia="Times New Roman" w:hAnsi="Calibri" w:cs="Calibri"/>
          <w:kern w:val="0"/>
          <w:sz w:val="22"/>
          <w:szCs w:val="22"/>
          <w:lang w:eastAsia="en-GB"/>
          <w14:ligatures w14:val="none"/>
        </w:rPr>
        <w:t xml:space="preserve"> or VA-related products</w:t>
      </w:r>
      <w:r w:rsidRPr="00365175">
        <w:rPr>
          <w:rFonts w:ascii="Calibri" w:eastAsia="Times New Roman" w:hAnsi="Calibri" w:cs="Calibri"/>
          <w:kern w:val="0"/>
          <w:sz w:val="22"/>
          <w:szCs w:val="22"/>
          <w:lang w:eastAsia="en-GB"/>
          <w14:ligatures w14:val="none"/>
        </w:rPr>
        <w:t xml:space="preserve">. The warning statements provided did not reference VA exposure or </w:t>
      </w:r>
      <w:r w:rsidR="00BA1FFF" w:rsidRPr="00365175">
        <w:rPr>
          <w:rFonts w:ascii="Calibri" w:eastAsia="Times New Roman" w:hAnsi="Calibri" w:cs="Calibri"/>
          <w:kern w:val="0"/>
          <w:sz w:val="22"/>
          <w:szCs w:val="22"/>
          <w:lang w:eastAsia="en-GB"/>
          <w14:ligatures w14:val="none"/>
        </w:rPr>
        <w:t>VA-specific</w:t>
      </w:r>
      <w:r w:rsidRPr="00365175">
        <w:rPr>
          <w:rFonts w:ascii="Calibri" w:eastAsia="Times New Roman" w:hAnsi="Calibri" w:cs="Calibri"/>
          <w:kern w:val="0"/>
          <w:sz w:val="22"/>
          <w:szCs w:val="22"/>
          <w:lang w:eastAsia="en-GB"/>
          <w14:ligatures w14:val="none"/>
        </w:rPr>
        <w:t xml:space="preserve"> risk factors.</w:t>
      </w:r>
    </w:p>
    <w:p w14:paraId="69CD2DB9" w14:textId="75EB4B37" w:rsidR="000A5736" w:rsidRPr="00365175" w:rsidRDefault="000A5736"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also found that, with respect to the non-derivative VA Products, SCMHK failed to exercise due skill, care, and diligence in several key areas. It did not ensure that transactions in these complex products were suitable for the clients. It did not provide sufficient information on the key nature, features, and risks of these products to enable clients to understand them before making investment decisions. Finally, it did not ensure that appropriate warning statements in relation to these complex products were provided to clients.</w:t>
      </w:r>
    </w:p>
    <w:p w14:paraId="01D6BBF7" w14:textId="73A4955C" w:rsidR="00FA38D5" w:rsidRPr="00365175" w:rsidRDefault="000A5736"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These failures constituted a </w:t>
      </w:r>
      <w:r w:rsidR="00FA38D5" w:rsidRPr="00365175">
        <w:rPr>
          <w:rFonts w:ascii="Calibri" w:eastAsia="Times New Roman" w:hAnsi="Calibri" w:cs="Calibri"/>
          <w:kern w:val="0"/>
          <w:sz w:val="22"/>
          <w:szCs w:val="22"/>
          <w:lang w:eastAsia="en-GB"/>
          <w14:ligatures w14:val="none"/>
        </w:rPr>
        <w:t xml:space="preserve">breach of </w:t>
      </w:r>
      <w:hyperlink r:id="rId17" w:history="1">
        <w:r w:rsidR="00FA38D5" w:rsidRPr="00365175">
          <w:rPr>
            <w:rStyle w:val="af"/>
            <w:rFonts w:ascii="Calibri" w:eastAsia="Times New Roman" w:hAnsi="Calibri" w:cs="Calibri"/>
            <w:kern w:val="0"/>
            <w:sz w:val="22"/>
            <w:szCs w:val="22"/>
            <w:lang w:eastAsia="en-GB"/>
            <w14:ligatures w14:val="none"/>
          </w:rPr>
          <w:t>General Principle 2</w:t>
        </w:r>
      </w:hyperlink>
      <w:r w:rsidR="00FA38D5" w:rsidRPr="00365175">
        <w:rPr>
          <w:rFonts w:ascii="Calibri" w:eastAsia="Times New Roman" w:hAnsi="Calibri" w:cs="Calibri"/>
          <w:kern w:val="0"/>
          <w:sz w:val="22"/>
          <w:szCs w:val="22"/>
          <w:lang w:eastAsia="en-GB"/>
          <w14:ligatures w14:val="none"/>
        </w:rPr>
        <w:t xml:space="preserve"> </w:t>
      </w:r>
      <w:r w:rsidR="004D1529" w:rsidRPr="00365175">
        <w:rPr>
          <w:rFonts w:ascii="Calibri" w:eastAsia="Times New Roman" w:hAnsi="Calibri" w:cs="Calibri"/>
          <w:kern w:val="0"/>
          <w:sz w:val="22"/>
          <w:szCs w:val="22"/>
          <w:lang w:eastAsia="en-GB"/>
          <w14:ligatures w14:val="none"/>
        </w:rPr>
        <w:t xml:space="preserve">of Diligence </w:t>
      </w:r>
      <w:r w:rsidR="00FA38D5" w:rsidRPr="00365175">
        <w:rPr>
          <w:rFonts w:ascii="Calibri" w:eastAsia="Times New Roman" w:hAnsi="Calibri" w:cs="Calibri"/>
          <w:kern w:val="0"/>
          <w:sz w:val="22"/>
          <w:szCs w:val="22"/>
          <w:lang w:eastAsia="en-GB"/>
          <w14:ligatures w14:val="none"/>
        </w:rPr>
        <w:t>and paragraph 5.5(a) of the Code of Conduct, and paragraphs 6.3, 6.7, and 6.8 of the Guidelines.</w:t>
      </w:r>
    </w:p>
    <w:p w14:paraId="25F59C78" w14:textId="77777777" w:rsidR="00FA38D5" w:rsidRPr="00365175" w:rsidRDefault="00FA38D5" w:rsidP="00FA38D5">
      <w:pPr>
        <w:spacing w:before="100" w:beforeAutospacing="1" w:after="100" w:afterAutospacing="1" w:line="240" w:lineRule="auto"/>
        <w:jc w:val="both"/>
        <w:outlineLvl w:val="1"/>
        <w:rPr>
          <w:rFonts w:ascii="Calibri" w:hAnsi="Calibri" w:cs="Calibri"/>
          <w:b/>
          <w:kern w:val="0"/>
          <w:sz w:val="22"/>
          <w:szCs w:val="22"/>
          <w14:ligatures w14:val="none"/>
        </w:rPr>
      </w:pPr>
      <w:r w:rsidRPr="00365175">
        <w:rPr>
          <w:rFonts w:ascii="Calibri" w:hAnsi="Calibri" w:cs="Calibri"/>
          <w:b/>
          <w:kern w:val="0"/>
          <w:sz w:val="22"/>
          <w:szCs w:val="22"/>
          <w14:ligatures w14:val="none"/>
        </w:rPr>
        <w:lastRenderedPageBreak/>
        <w:t>Failure to Assess Client Knowledge of Derivatives</w:t>
      </w:r>
    </w:p>
    <w:p w14:paraId="5A8061BD" w14:textId="77777777"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Among the 32 VA products, 21 were complex exchange traded derivative products. The SFC found that 82 retail clients and 5 PIs conducted 979 transactions in these products during the relevant period.</w:t>
      </w:r>
    </w:p>
    <w:p w14:paraId="4E33A092" w14:textId="17EB7A69" w:rsidR="00FA38D5" w:rsidRPr="00365175" w:rsidRDefault="00FA38D5" w:rsidP="000A5736">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SCMHK relied on its risk profile questionnaire to assess derivatives knowledge. The </w:t>
      </w:r>
      <w:r w:rsidR="000A5736" w:rsidRPr="00365175">
        <w:rPr>
          <w:rFonts w:ascii="Calibri" w:eastAsia="Times New Roman" w:hAnsi="Calibri" w:cs="Calibri"/>
          <w:kern w:val="0"/>
          <w:sz w:val="22"/>
          <w:szCs w:val="22"/>
          <w:lang w:eastAsia="en-GB"/>
          <w14:ligatures w14:val="none"/>
        </w:rPr>
        <w:t>risk profile questionnaire</w:t>
      </w:r>
      <w:r w:rsidRPr="00365175">
        <w:rPr>
          <w:rFonts w:ascii="Calibri" w:eastAsia="Times New Roman" w:hAnsi="Calibri" w:cs="Calibri"/>
          <w:kern w:val="0"/>
          <w:sz w:val="22"/>
          <w:szCs w:val="22"/>
          <w:lang w:eastAsia="en-GB"/>
          <w14:ligatures w14:val="none"/>
        </w:rPr>
        <w:t xml:space="preserve"> required clients to select one of four options regarding their knowledge and experience with derivative products</w:t>
      </w:r>
      <w:r w:rsidR="004C27BF" w:rsidRPr="00365175">
        <w:rPr>
          <w:rFonts w:ascii="Calibri" w:eastAsia="Times New Roman" w:hAnsi="Calibri" w:cs="Calibri"/>
          <w:kern w:val="0"/>
          <w:sz w:val="22"/>
          <w:szCs w:val="22"/>
          <w:lang w:eastAsia="en-GB"/>
          <w14:ligatures w14:val="none"/>
        </w:rPr>
        <w:t xml:space="preserve"> with information</w:t>
      </w:r>
      <w:r w:rsidR="00BA1FFF" w:rsidRPr="00365175">
        <w:rPr>
          <w:rFonts w:ascii="Calibri" w:eastAsia="Times New Roman" w:hAnsi="Calibri" w:cs="Calibri"/>
          <w:kern w:val="0"/>
          <w:sz w:val="22"/>
          <w:szCs w:val="22"/>
          <w:lang w:eastAsia="en-GB"/>
          <w14:ligatures w14:val="none"/>
        </w:rPr>
        <w:t xml:space="preserve"> about</w:t>
      </w:r>
      <w:r w:rsidR="004C27BF" w:rsidRPr="00365175">
        <w:rPr>
          <w:rFonts w:ascii="Calibri" w:eastAsia="Times New Roman" w:hAnsi="Calibri" w:cs="Calibri"/>
          <w:kern w:val="0"/>
          <w:sz w:val="22"/>
          <w:szCs w:val="22"/>
          <w:lang w:eastAsia="en-GB"/>
          <w14:ligatures w14:val="none"/>
        </w:rPr>
        <w:t xml:space="preserve"> their </w:t>
      </w:r>
      <w:r w:rsidR="000A5736" w:rsidRPr="00365175">
        <w:rPr>
          <w:rFonts w:ascii="Calibri" w:eastAsia="Times New Roman" w:hAnsi="Calibri" w:cs="Calibri"/>
          <w:kern w:val="0"/>
          <w:sz w:val="22"/>
          <w:szCs w:val="22"/>
          <w:lang w:eastAsia="en-GB"/>
          <w14:ligatures w14:val="none"/>
        </w:rPr>
        <w:t>education background, financial position, risk appetite, investment objective, knowledge, and experience. Clients were categorised into one of five risk tolerance levels based on the aggregate scores of their answers. The risk tolerance level from the questionnaire was then used by SCMHK to set the margin ceiling limit for each client account.</w:t>
      </w:r>
      <w:r w:rsidRPr="00365175">
        <w:rPr>
          <w:rFonts w:ascii="Calibri" w:eastAsia="Times New Roman" w:hAnsi="Calibri" w:cs="Calibri"/>
          <w:kern w:val="0"/>
          <w:sz w:val="22"/>
          <w:szCs w:val="22"/>
          <w:lang w:eastAsia="en-GB"/>
          <w14:ligatures w14:val="none"/>
        </w:rPr>
        <w:t xml:space="preserve"> </w:t>
      </w:r>
      <w:r w:rsidR="000A5736" w:rsidRPr="00365175">
        <w:rPr>
          <w:rFonts w:ascii="Calibri" w:eastAsia="Times New Roman" w:hAnsi="Calibri" w:cs="Calibri"/>
          <w:kern w:val="0"/>
          <w:sz w:val="22"/>
          <w:szCs w:val="22"/>
          <w:lang w:eastAsia="en-GB"/>
          <w14:ligatures w14:val="none"/>
        </w:rPr>
        <w:t xml:space="preserve">However, </w:t>
      </w:r>
      <w:r w:rsidRPr="00365175">
        <w:rPr>
          <w:rFonts w:ascii="Calibri" w:eastAsia="Times New Roman" w:hAnsi="Calibri" w:cs="Calibri"/>
          <w:kern w:val="0"/>
          <w:sz w:val="22"/>
          <w:szCs w:val="22"/>
          <w:lang w:eastAsia="en-GB"/>
          <w14:ligatures w14:val="none"/>
        </w:rPr>
        <w:t xml:space="preserve">the </w:t>
      </w:r>
      <w:r w:rsidR="000A5736" w:rsidRPr="00365175">
        <w:rPr>
          <w:rFonts w:ascii="Calibri" w:eastAsia="Times New Roman" w:hAnsi="Calibri" w:cs="Calibri"/>
          <w:kern w:val="0"/>
          <w:sz w:val="22"/>
          <w:szCs w:val="22"/>
          <w:lang w:eastAsia="en-GB"/>
          <w14:ligatures w14:val="none"/>
        </w:rPr>
        <w:t>risk profile questionnaire</w:t>
      </w:r>
      <w:r w:rsidRPr="00365175">
        <w:rPr>
          <w:rFonts w:ascii="Calibri" w:eastAsia="Times New Roman" w:hAnsi="Calibri" w:cs="Calibri"/>
          <w:kern w:val="0"/>
          <w:sz w:val="22"/>
          <w:szCs w:val="22"/>
          <w:lang w:eastAsia="en-GB"/>
          <w14:ligatures w14:val="none"/>
        </w:rPr>
        <w:t xml:space="preserve"> did not contain any other questions about the client's knowledge and experience in trading derivative products, such as the number of transactions that the client conducted in the past three years.</w:t>
      </w:r>
    </w:p>
    <w:p w14:paraId="0571F47D" w14:textId="10DBFAEA"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found</w:t>
      </w:r>
      <w:r w:rsidR="004C27BF" w:rsidRPr="00365175">
        <w:rPr>
          <w:rFonts w:ascii="Calibri" w:eastAsia="Times New Roman" w:hAnsi="Calibri" w:cs="Calibri"/>
          <w:kern w:val="0"/>
          <w:sz w:val="22"/>
          <w:szCs w:val="22"/>
          <w:lang w:eastAsia="en-GB"/>
          <w14:ligatures w14:val="none"/>
        </w:rPr>
        <w:t xml:space="preserve"> that </w:t>
      </w:r>
      <w:r w:rsidRPr="00365175">
        <w:rPr>
          <w:rFonts w:ascii="Calibri" w:eastAsia="Times New Roman" w:hAnsi="Calibri" w:cs="Calibri"/>
          <w:kern w:val="0"/>
          <w:sz w:val="22"/>
          <w:szCs w:val="22"/>
          <w:lang w:eastAsia="en-GB"/>
          <w14:ligatures w14:val="none"/>
        </w:rPr>
        <w:t>SCMHK did not make adequate enquiries or gather sufficient information which would enable it to properly assess whether a client had knowledge of derivatives</w:t>
      </w:r>
      <w:r w:rsidR="004C27BF" w:rsidRPr="00365175">
        <w:rPr>
          <w:rFonts w:ascii="Calibri" w:eastAsia="Times New Roman" w:hAnsi="Calibri" w:cs="Calibri"/>
          <w:kern w:val="0"/>
          <w:sz w:val="22"/>
          <w:szCs w:val="22"/>
          <w:lang w:eastAsia="en-GB"/>
          <w14:ligatures w14:val="none"/>
        </w:rPr>
        <w:t xml:space="preserve">. Instead, it relied merely on the client's self-declaration. </w:t>
      </w:r>
      <w:r w:rsidRPr="00365175">
        <w:rPr>
          <w:rFonts w:ascii="Calibri" w:eastAsia="Times New Roman" w:hAnsi="Calibri" w:cs="Calibri"/>
          <w:kern w:val="0"/>
          <w:sz w:val="22"/>
          <w:szCs w:val="22"/>
          <w:lang w:eastAsia="en-GB"/>
          <w14:ligatures w14:val="none"/>
        </w:rPr>
        <w:t>Furthermore, while SCMHK categori</w:t>
      </w:r>
      <w:r w:rsidR="004C27BF" w:rsidRPr="00365175">
        <w:rPr>
          <w:rFonts w:ascii="Calibri" w:eastAsia="Times New Roman" w:hAnsi="Calibri" w:cs="Calibri"/>
          <w:kern w:val="0"/>
          <w:sz w:val="22"/>
          <w:szCs w:val="22"/>
          <w:lang w:eastAsia="en-GB"/>
          <w14:ligatures w14:val="none"/>
        </w:rPr>
        <w:t>s</w:t>
      </w:r>
      <w:r w:rsidRPr="00365175">
        <w:rPr>
          <w:rFonts w:ascii="Calibri" w:eastAsia="Times New Roman" w:hAnsi="Calibri" w:cs="Calibri"/>
          <w:kern w:val="0"/>
          <w:sz w:val="22"/>
          <w:szCs w:val="22"/>
          <w:lang w:eastAsia="en-GB"/>
          <w14:ligatures w14:val="none"/>
        </w:rPr>
        <w:t>ed clients into five different risk tolerant levels based on their answers, it did not characteri</w:t>
      </w:r>
      <w:r w:rsidR="004C27BF" w:rsidRPr="00365175">
        <w:rPr>
          <w:rFonts w:ascii="Calibri" w:eastAsia="Times New Roman" w:hAnsi="Calibri" w:cs="Calibri"/>
          <w:kern w:val="0"/>
          <w:sz w:val="22"/>
          <w:szCs w:val="22"/>
          <w:lang w:eastAsia="en-GB"/>
          <w14:ligatures w14:val="none"/>
        </w:rPr>
        <w:t>s</w:t>
      </w:r>
      <w:r w:rsidRPr="00365175">
        <w:rPr>
          <w:rFonts w:ascii="Calibri" w:eastAsia="Times New Roman" w:hAnsi="Calibri" w:cs="Calibri"/>
          <w:kern w:val="0"/>
          <w:sz w:val="22"/>
          <w:szCs w:val="22"/>
          <w:lang w:eastAsia="en-GB"/>
          <w14:ligatures w14:val="none"/>
        </w:rPr>
        <w:t>e clients based on their knowledge of derivatives.</w:t>
      </w:r>
    </w:p>
    <w:p w14:paraId="7FBD059F" w14:textId="63A92A0C" w:rsidR="00FA38D5" w:rsidRPr="00365175" w:rsidRDefault="004C27BF"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w:t>
      </w:r>
      <w:r w:rsidR="00FA38D5" w:rsidRPr="00365175">
        <w:rPr>
          <w:rFonts w:ascii="Calibri" w:eastAsia="Times New Roman" w:hAnsi="Calibri" w:cs="Calibri"/>
          <w:kern w:val="0"/>
          <w:sz w:val="22"/>
          <w:szCs w:val="22"/>
          <w:lang w:eastAsia="en-GB"/>
          <w14:ligatures w14:val="none"/>
        </w:rPr>
        <w:t xml:space="preserve"> standard from </w:t>
      </w:r>
      <w:r w:rsidRPr="00365175">
        <w:rPr>
          <w:rFonts w:ascii="Calibri" w:eastAsia="Times New Roman" w:hAnsi="Calibri" w:cs="Calibri"/>
          <w:kern w:val="0"/>
          <w:sz w:val="22"/>
          <w:szCs w:val="22"/>
          <w:lang w:eastAsia="en-GB"/>
          <w14:ligatures w14:val="none"/>
        </w:rPr>
        <w:t>SFC’s</w:t>
      </w:r>
      <w:r w:rsidR="00FA38D5" w:rsidRPr="00365175">
        <w:rPr>
          <w:rFonts w:ascii="Calibri" w:eastAsia="Times New Roman" w:hAnsi="Calibri" w:cs="Calibri"/>
          <w:kern w:val="0"/>
          <w:sz w:val="22"/>
          <w:szCs w:val="22"/>
          <w:lang w:eastAsia="en-GB"/>
          <w14:ligatures w14:val="none"/>
        </w:rPr>
        <w:t xml:space="preserve"> </w:t>
      </w:r>
      <w:hyperlink r:id="rId18" w:anchor="445812F1BCCF4604B1CEC7FD0D478A1D" w:history="1">
        <w:r w:rsidR="00FA38D5" w:rsidRPr="00365175">
          <w:rPr>
            <w:rStyle w:val="af"/>
            <w:rFonts w:ascii="Calibri" w:eastAsia="Times New Roman" w:hAnsi="Calibri" w:cs="Calibri"/>
            <w:kern w:val="0"/>
            <w:sz w:val="22"/>
            <w:szCs w:val="22"/>
            <w:lang w:eastAsia="en-GB"/>
            <w14:ligatures w14:val="none"/>
          </w:rPr>
          <w:t>FAQs on Investor Characterisation Requirements</w:t>
        </w:r>
      </w:hyperlink>
      <w:r w:rsidRPr="00365175">
        <w:rPr>
          <w:rFonts w:ascii="Calibri" w:eastAsia="Times New Roman" w:hAnsi="Calibri" w:cs="Calibri"/>
          <w:kern w:val="0"/>
          <w:sz w:val="22"/>
          <w:szCs w:val="22"/>
          <w:lang w:eastAsia="en-GB"/>
          <w14:ligatures w14:val="none"/>
        </w:rPr>
        <w:t xml:space="preserve"> is also applicable, </w:t>
      </w:r>
      <w:r w:rsidR="00FA38D5" w:rsidRPr="00365175">
        <w:rPr>
          <w:rFonts w:ascii="Calibri" w:eastAsia="Times New Roman" w:hAnsi="Calibri" w:cs="Calibri"/>
          <w:kern w:val="0"/>
          <w:sz w:val="22"/>
          <w:szCs w:val="22"/>
          <w:lang w:eastAsia="en-GB"/>
          <w14:ligatures w14:val="none"/>
        </w:rPr>
        <w:t xml:space="preserve">which states: "In assessing whether a client has knowledge of derivatives, intermediaries should make appropriate enquiries of or gather relevant information about the client during the know your client ('KYC') process so as to enable them to make the assessment instead of relying merely on the client's declaration that he/she has knowledge of derivatives." The </w:t>
      </w:r>
      <w:hyperlink r:id="rId19" w:history="1">
        <w:r w:rsidR="00FA38D5" w:rsidRPr="00365175">
          <w:rPr>
            <w:rStyle w:val="af"/>
            <w:rFonts w:ascii="Calibri" w:eastAsia="Times New Roman" w:hAnsi="Calibri" w:cs="Calibri"/>
            <w:kern w:val="0"/>
            <w:sz w:val="22"/>
            <w:szCs w:val="22"/>
            <w:lang w:eastAsia="en-GB"/>
            <w14:ligatures w14:val="none"/>
          </w:rPr>
          <w:t>SFC's 2010 circular</w:t>
        </w:r>
      </w:hyperlink>
      <w:r w:rsidR="00FA38D5" w:rsidRPr="00365175">
        <w:rPr>
          <w:rFonts w:ascii="Calibri" w:eastAsia="Times New Roman" w:hAnsi="Calibri" w:cs="Calibri"/>
          <w:kern w:val="0"/>
          <w:sz w:val="22"/>
          <w:szCs w:val="22"/>
          <w:lang w:eastAsia="en-GB"/>
          <w14:ligatures w14:val="none"/>
        </w:rPr>
        <w:t xml:space="preserve"> specifies that a client is considered as having knowledge of derivatives if they have executed five or more transactions in any derivative product within the past three years. SCMHK's </w:t>
      </w:r>
      <w:r w:rsidRPr="00365175">
        <w:rPr>
          <w:rFonts w:ascii="Calibri" w:eastAsia="Times New Roman" w:hAnsi="Calibri" w:cs="Calibri"/>
          <w:kern w:val="0"/>
          <w:sz w:val="22"/>
          <w:szCs w:val="22"/>
          <w:lang w:eastAsia="en-GB"/>
          <w14:ligatures w14:val="none"/>
        </w:rPr>
        <w:t xml:space="preserve">risk profile questionnaire </w:t>
      </w:r>
      <w:r w:rsidR="00FA38D5" w:rsidRPr="00365175">
        <w:rPr>
          <w:rFonts w:ascii="Calibri" w:eastAsia="Times New Roman" w:hAnsi="Calibri" w:cs="Calibri"/>
          <w:kern w:val="0"/>
          <w:sz w:val="22"/>
          <w:szCs w:val="22"/>
          <w:lang w:eastAsia="en-GB"/>
          <w14:ligatures w14:val="none"/>
        </w:rPr>
        <w:t>failed to capture this threshold.</w:t>
      </w:r>
    </w:p>
    <w:p w14:paraId="118D9708" w14:textId="77777777"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found SCMHK in breach of General Principle 2 and paragraphs 5.1A(a), 5.3, and 5.5(b) of the Code of Conduct.</w:t>
      </w:r>
    </w:p>
    <w:p w14:paraId="7FE7C187" w14:textId="77777777" w:rsidR="00FA38D5" w:rsidRPr="00365175" w:rsidRDefault="00FA38D5" w:rsidP="00FA38D5">
      <w:pPr>
        <w:spacing w:before="100" w:beforeAutospacing="1" w:after="100" w:afterAutospacing="1" w:line="240" w:lineRule="auto"/>
        <w:jc w:val="both"/>
        <w:outlineLvl w:val="1"/>
        <w:rPr>
          <w:rFonts w:ascii="Calibri" w:eastAsia="Times New Roman" w:hAnsi="Calibri" w:cs="Calibri"/>
          <w:b/>
          <w:bCs/>
          <w:kern w:val="0"/>
          <w:sz w:val="22"/>
          <w:szCs w:val="22"/>
          <w:lang w:eastAsia="en-GB"/>
          <w14:ligatures w14:val="none"/>
        </w:rPr>
      </w:pPr>
      <w:r w:rsidRPr="00365175">
        <w:rPr>
          <w:rFonts w:ascii="Calibri" w:eastAsia="Times New Roman" w:hAnsi="Calibri" w:cs="Calibri"/>
          <w:b/>
          <w:bCs/>
          <w:kern w:val="0"/>
          <w:sz w:val="22"/>
          <w:szCs w:val="22"/>
          <w:lang w:eastAsia="en-GB"/>
          <w14:ligatures w14:val="none"/>
        </w:rPr>
        <w:t>Management and Supervision Findings</w:t>
      </w:r>
    </w:p>
    <w:p w14:paraId="78F85E03" w14:textId="77777777"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concluded that SCMHK failed across multiple dimensions of platform management and supervision. The Statement records that SCMHK failed to:</w:t>
      </w:r>
    </w:p>
    <w:p w14:paraId="6B3B9099" w14:textId="77777777"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"(a) exercise due skill, care and diligence in identifying instruments on the Online Platform with VA exposure; (b) employ effectively the resources and procedures needed for the proper performance of its business activities; (c) comply with all regulatory requirements applicable to the distribution of VA Products; (d) effectively manage and adequately supervise the design, development, deployment and operation of the Online Platform; (e) conduct regular reviews to ensure that its internal policies and procedures on the operation of the Online Platform were in line with regulatory developments, and promptly remedy any deficiencies identified; and (f) assign adequately qualified staff, expertise, technology and financial resources to the design, development, deployment and operation of the Online Platform."</w:t>
      </w:r>
    </w:p>
    <w:p w14:paraId="672732FE" w14:textId="4A40B07D"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found these failures constituted breaches of General Principle 2 (Diligence), General Principle 3 (Capabilities), General Principle 7 (Compliance), paragraph 18.4 of the Code of Conduct, and paragraphs 1.1.3 and 1.1.4 of Schedule 7 to the Code of Conduct.</w:t>
      </w:r>
    </w:p>
    <w:p w14:paraId="2EBF83C1" w14:textId="4966698C" w:rsidR="004C27BF" w:rsidRPr="00365175" w:rsidRDefault="004C27BF"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lastRenderedPageBreak/>
        <w:t>SCMHK's failure to properly assess clients' knowledge of derivatives and characterise clients based on such knowledge, coupled with its failures to conduct a VA-knowledge test, provide VA-specific warning statements, conduct adequate product due diligence, and provide sufficient information on VA Products, suggests that SCMHK also failed to exercise due skill, care and diligence. Specifically, it failed to assure itself that clients understood the nature and risks of the Exchange-traded derivative VA Products before executing transactions in such derivative products on behalf of the clients.</w:t>
      </w:r>
    </w:p>
    <w:p w14:paraId="65DC2C63" w14:textId="77777777" w:rsidR="00FA38D5" w:rsidRPr="00365175" w:rsidRDefault="00FA38D5" w:rsidP="00FA38D5">
      <w:pPr>
        <w:spacing w:before="100" w:beforeAutospacing="1" w:after="100" w:afterAutospacing="1" w:line="240" w:lineRule="auto"/>
        <w:jc w:val="both"/>
        <w:outlineLvl w:val="1"/>
        <w:rPr>
          <w:rFonts w:ascii="Calibri" w:eastAsia="Times New Roman" w:hAnsi="Calibri" w:cs="Calibri"/>
          <w:b/>
          <w:bCs/>
          <w:kern w:val="0"/>
          <w:sz w:val="22"/>
          <w:szCs w:val="22"/>
          <w:lang w:eastAsia="en-GB"/>
          <w14:ligatures w14:val="none"/>
        </w:rPr>
      </w:pPr>
      <w:r w:rsidRPr="00365175">
        <w:rPr>
          <w:rFonts w:ascii="Calibri" w:eastAsia="Times New Roman" w:hAnsi="Calibri" w:cs="Calibri"/>
          <w:b/>
          <w:bCs/>
          <w:kern w:val="0"/>
          <w:sz w:val="22"/>
          <w:szCs w:val="22"/>
          <w:lang w:eastAsia="en-GB"/>
          <w14:ligatures w14:val="none"/>
        </w:rPr>
        <w:t>Mitigating Factors and Determination of Sanctions</w:t>
      </w:r>
    </w:p>
    <w:p w14:paraId="6E3AC537" w14:textId="34394970"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 xml:space="preserve">In arriving at the disciplinary sanction, the SFC </w:t>
      </w:r>
      <w:r w:rsidR="004C27BF" w:rsidRPr="00365175">
        <w:rPr>
          <w:rFonts w:ascii="Calibri" w:eastAsia="Times New Roman" w:hAnsi="Calibri" w:cs="Calibri"/>
          <w:kern w:val="0"/>
          <w:sz w:val="22"/>
          <w:szCs w:val="22"/>
          <w:lang w:eastAsia="en-GB"/>
          <w14:ligatures w14:val="none"/>
        </w:rPr>
        <w:t xml:space="preserve">has </w:t>
      </w:r>
      <w:r w:rsidRPr="00365175">
        <w:rPr>
          <w:rFonts w:ascii="Calibri" w:eastAsia="Times New Roman" w:hAnsi="Calibri" w:cs="Calibri"/>
          <w:kern w:val="0"/>
          <w:sz w:val="22"/>
          <w:szCs w:val="22"/>
          <w:lang w:eastAsia="en-GB"/>
          <w14:ligatures w14:val="none"/>
        </w:rPr>
        <w:t xml:space="preserve">had regard to its Disciplinary Fining Guidelines. </w:t>
      </w:r>
      <w:r w:rsidR="004C27BF" w:rsidRPr="00365175">
        <w:rPr>
          <w:rFonts w:ascii="Calibri" w:eastAsia="Times New Roman" w:hAnsi="Calibri" w:cs="Calibri"/>
          <w:kern w:val="0"/>
          <w:sz w:val="22"/>
          <w:szCs w:val="22"/>
          <w:lang w:eastAsia="en-GB"/>
          <w14:ligatures w14:val="none"/>
        </w:rPr>
        <w:t xml:space="preserve">The SFC noted that  </w:t>
      </w:r>
      <w:r w:rsidRPr="00365175">
        <w:rPr>
          <w:rFonts w:ascii="Calibri" w:eastAsia="Times New Roman" w:hAnsi="Calibri" w:cs="Calibri"/>
          <w:kern w:val="0"/>
          <w:sz w:val="22"/>
          <w:szCs w:val="22"/>
          <w:lang w:eastAsia="en-GB"/>
          <w14:ligatures w14:val="none"/>
        </w:rPr>
        <w:t>SCMHK's failures persisted for over four years</w:t>
      </w:r>
      <w:r w:rsidR="004C27BF" w:rsidRPr="00365175">
        <w:rPr>
          <w:rFonts w:ascii="Calibri" w:eastAsia="Times New Roman" w:hAnsi="Calibri" w:cs="Calibri"/>
          <w:kern w:val="0"/>
          <w:sz w:val="22"/>
          <w:szCs w:val="22"/>
          <w:lang w:eastAsia="en-GB"/>
          <w14:ligatures w14:val="none"/>
        </w:rPr>
        <w:t xml:space="preserve">, on the other hand, </w:t>
      </w:r>
      <w:r w:rsidRPr="00365175">
        <w:rPr>
          <w:rFonts w:ascii="Calibri" w:eastAsia="Times New Roman" w:hAnsi="Calibri" w:cs="Calibri"/>
          <w:kern w:val="0"/>
          <w:sz w:val="22"/>
          <w:szCs w:val="22"/>
          <w:lang w:eastAsia="en-GB"/>
          <w14:ligatures w14:val="none"/>
        </w:rPr>
        <w:t>SCMHK self-reported its misconduct to the SFC</w:t>
      </w:r>
      <w:r w:rsidR="004C27BF" w:rsidRPr="00365175">
        <w:rPr>
          <w:rFonts w:ascii="Calibri" w:eastAsia="Times New Roman" w:hAnsi="Calibri" w:cs="Calibri"/>
          <w:kern w:val="0"/>
          <w:sz w:val="22"/>
          <w:szCs w:val="22"/>
          <w:lang w:eastAsia="en-GB"/>
          <w14:ligatures w14:val="none"/>
        </w:rPr>
        <w:t xml:space="preserve"> and </w:t>
      </w:r>
      <w:r w:rsidRPr="00365175">
        <w:rPr>
          <w:rFonts w:ascii="Calibri" w:eastAsia="Times New Roman" w:hAnsi="Calibri" w:cs="Calibri"/>
          <w:kern w:val="0"/>
          <w:sz w:val="22"/>
          <w:szCs w:val="22"/>
          <w:lang w:eastAsia="en-GB"/>
          <w14:ligatures w14:val="none"/>
        </w:rPr>
        <w:t xml:space="preserve">has taken remedial actions including voluntarily compensating clients for losses incurred from trading VA Products during the </w:t>
      </w:r>
      <w:r w:rsidR="004C27BF" w:rsidRPr="00365175">
        <w:rPr>
          <w:rFonts w:ascii="Calibri" w:eastAsia="Times New Roman" w:hAnsi="Calibri" w:cs="Calibri"/>
          <w:kern w:val="0"/>
          <w:sz w:val="22"/>
          <w:szCs w:val="22"/>
          <w:lang w:eastAsia="en-GB"/>
          <w14:ligatures w14:val="none"/>
        </w:rPr>
        <w:t>r</w:t>
      </w:r>
      <w:r w:rsidRPr="00365175">
        <w:rPr>
          <w:rFonts w:ascii="Calibri" w:eastAsia="Times New Roman" w:hAnsi="Calibri" w:cs="Calibri"/>
          <w:kern w:val="0"/>
          <w:sz w:val="22"/>
          <w:szCs w:val="22"/>
          <w:lang w:eastAsia="en-GB"/>
          <w14:ligatures w14:val="none"/>
        </w:rPr>
        <w:t xml:space="preserve">elevant </w:t>
      </w:r>
      <w:r w:rsidR="004C27BF" w:rsidRPr="00365175">
        <w:rPr>
          <w:rFonts w:ascii="Calibri" w:eastAsia="Times New Roman" w:hAnsi="Calibri" w:cs="Calibri"/>
          <w:kern w:val="0"/>
          <w:sz w:val="22"/>
          <w:szCs w:val="22"/>
          <w:lang w:eastAsia="en-GB"/>
          <w14:ligatures w14:val="none"/>
        </w:rPr>
        <w:t>p</w:t>
      </w:r>
      <w:r w:rsidRPr="00365175">
        <w:rPr>
          <w:rFonts w:ascii="Calibri" w:eastAsia="Times New Roman" w:hAnsi="Calibri" w:cs="Calibri"/>
          <w:kern w:val="0"/>
          <w:sz w:val="22"/>
          <w:szCs w:val="22"/>
          <w:lang w:eastAsia="en-GB"/>
          <w14:ligatures w14:val="none"/>
        </w:rPr>
        <w:t>eriod</w:t>
      </w:r>
      <w:r w:rsidR="004C27BF" w:rsidRPr="00365175">
        <w:rPr>
          <w:rFonts w:ascii="Calibri" w:eastAsia="Times New Roman" w:hAnsi="Calibri" w:cs="Calibri"/>
          <w:kern w:val="0"/>
          <w:sz w:val="22"/>
          <w:szCs w:val="22"/>
          <w:lang w:eastAsia="en-GB"/>
          <w14:ligatures w14:val="none"/>
        </w:rPr>
        <w:t xml:space="preserve">. Additionally, </w:t>
      </w:r>
      <w:r w:rsidRPr="00365175">
        <w:rPr>
          <w:rFonts w:ascii="Calibri" w:eastAsia="Times New Roman" w:hAnsi="Calibri" w:cs="Calibri"/>
          <w:kern w:val="0"/>
          <w:sz w:val="22"/>
          <w:szCs w:val="22"/>
          <w:lang w:eastAsia="en-GB"/>
          <w14:ligatures w14:val="none"/>
        </w:rPr>
        <w:t>SCMHK has ceased carrying on regulated activities</w:t>
      </w:r>
      <w:r w:rsidR="004C27BF" w:rsidRPr="00365175">
        <w:rPr>
          <w:rFonts w:ascii="Calibri" w:eastAsia="Times New Roman" w:hAnsi="Calibri" w:cs="Calibri"/>
          <w:kern w:val="0"/>
          <w:sz w:val="22"/>
          <w:szCs w:val="22"/>
          <w:lang w:eastAsia="en-GB"/>
          <w14:ligatures w14:val="none"/>
        </w:rPr>
        <w:t>, cooperated</w:t>
      </w:r>
      <w:r w:rsidRPr="00365175">
        <w:rPr>
          <w:rFonts w:ascii="Calibri" w:eastAsia="Times New Roman" w:hAnsi="Calibri" w:cs="Calibri"/>
          <w:kern w:val="0"/>
          <w:sz w:val="22"/>
          <w:szCs w:val="22"/>
          <w:lang w:eastAsia="en-GB"/>
          <w14:ligatures w14:val="none"/>
        </w:rPr>
        <w:t xml:space="preserve"> with the SFC and </w:t>
      </w:r>
      <w:r w:rsidR="004C27BF" w:rsidRPr="00365175">
        <w:rPr>
          <w:rFonts w:ascii="Calibri" w:eastAsia="Times New Roman" w:hAnsi="Calibri" w:cs="Calibri"/>
          <w:kern w:val="0"/>
          <w:sz w:val="22"/>
          <w:szCs w:val="22"/>
          <w:lang w:eastAsia="en-GB"/>
          <w14:ligatures w14:val="none"/>
        </w:rPr>
        <w:t xml:space="preserve">accepted </w:t>
      </w:r>
      <w:r w:rsidRPr="00365175">
        <w:rPr>
          <w:rFonts w:ascii="Calibri" w:eastAsia="Times New Roman" w:hAnsi="Calibri" w:cs="Calibri"/>
          <w:kern w:val="0"/>
          <w:sz w:val="22"/>
          <w:szCs w:val="22"/>
          <w:lang w:eastAsia="en-GB"/>
          <w14:ligatures w14:val="none"/>
        </w:rPr>
        <w:t>the SFC's findings and disciplinary action</w:t>
      </w:r>
      <w:r w:rsidR="004C27BF" w:rsidRPr="00365175">
        <w:rPr>
          <w:rFonts w:ascii="Calibri" w:eastAsia="Times New Roman" w:hAnsi="Calibri" w:cs="Calibri"/>
          <w:kern w:val="0"/>
          <w:sz w:val="22"/>
          <w:szCs w:val="22"/>
          <w:lang w:eastAsia="en-GB"/>
          <w14:ligatures w14:val="none"/>
        </w:rPr>
        <w:t xml:space="preserve">, which </w:t>
      </w:r>
      <w:r w:rsidRPr="00365175">
        <w:rPr>
          <w:rFonts w:ascii="Calibri" w:eastAsia="Times New Roman" w:hAnsi="Calibri" w:cs="Calibri"/>
          <w:kern w:val="0"/>
          <w:sz w:val="22"/>
          <w:szCs w:val="22"/>
          <w:lang w:eastAsia="en-GB"/>
          <w14:ligatures w14:val="none"/>
        </w:rPr>
        <w:t>facilitated an early resolution of the matter</w:t>
      </w:r>
      <w:r w:rsidR="004C27BF" w:rsidRPr="00365175">
        <w:rPr>
          <w:rFonts w:ascii="Calibri" w:eastAsia="Times New Roman" w:hAnsi="Calibri" w:cs="Calibri"/>
          <w:kern w:val="0"/>
          <w:sz w:val="22"/>
          <w:szCs w:val="22"/>
          <w:lang w:eastAsia="en-GB"/>
          <w14:ligatures w14:val="none"/>
        </w:rPr>
        <w:t xml:space="preserve">. Finally, the SFC took into account that </w:t>
      </w:r>
      <w:r w:rsidRPr="00365175">
        <w:rPr>
          <w:rFonts w:ascii="Calibri" w:eastAsia="Times New Roman" w:hAnsi="Calibri" w:cs="Calibri"/>
          <w:kern w:val="0"/>
          <w:sz w:val="22"/>
          <w:szCs w:val="22"/>
          <w:lang w:eastAsia="en-GB"/>
          <w14:ligatures w14:val="none"/>
        </w:rPr>
        <w:t>SCMHK has no previous disciplinary record.</w:t>
      </w:r>
    </w:p>
    <w:p w14:paraId="5FACC9DC" w14:textId="1C044C69" w:rsidR="00FA38D5" w:rsidRPr="00365175" w:rsidRDefault="00FA38D5" w:rsidP="00FA38D5">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365175">
        <w:rPr>
          <w:rFonts w:ascii="Calibri" w:eastAsia="Times New Roman" w:hAnsi="Calibri" w:cs="Calibri"/>
          <w:kern w:val="0"/>
          <w:sz w:val="22"/>
          <w:szCs w:val="22"/>
          <w:lang w:eastAsia="en-GB"/>
          <w14:ligatures w14:val="none"/>
        </w:rPr>
        <w:t>The SFC in the above weighs both aggravating and mitigating factors. The four</w:t>
      </w:r>
      <w:r w:rsidR="00BA1FFF" w:rsidRPr="00365175">
        <w:rPr>
          <w:rFonts w:ascii="Calibri" w:eastAsia="Times New Roman" w:hAnsi="Calibri" w:cs="Calibri"/>
          <w:kern w:val="0"/>
          <w:sz w:val="22"/>
          <w:szCs w:val="22"/>
          <w:lang w:eastAsia="en-GB"/>
          <w14:ligatures w14:val="none"/>
        </w:rPr>
        <w:t>-</w:t>
      </w:r>
      <w:r w:rsidRPr="00365175">
        <w:rPr>
          <w:rFonts w:ascii="Calibri" w:eastAsia="Times New Roman" w:hAnsi="Calibri" w:cs="Calibri"/>
          <w:kern w:val="0"/>
          <w:sz w:val="22"/>
          <w:szCs w:val="22"/>
          <w:lang w:eastAsia="en-GB"/>
          <w14:ligatures w14:val="none"/>
        </w:rPr>
        <w:t xml:space="preserve">year duration of the breach </w:t>
      </w:r>
      <w:r w:rsidR="004C27BF" w:rsidRPr="00365175">
        <w:rPr>
          <w:rFonts w:ascii="Calibri" w:eastAsia="Times New Roman" w:hAnsi="Calibri" w:cs="Calibri"/>
          <w:kern w:val="0"/>
          <w:sz w:val="22"/>
          <w:szCs w:val="22"/>
          <w:lang w:eastAsia="en-GB"/>
          <w14:ligatures w14:val="none"/>
        </w:rPr>
        <w:t xml:space="preserve">appears to be </w:t>
      </w:r>
      <w:r w:rsidRPr="00365175">
        <w:rPr>
          <w:rFonts w:ascii="Calibri" w:eastAsia="Times New Roman" w:hAnsi="Calibri" w:cs="Calibri"/>
          <w:kern w:val="0"/>
          <w:sz w:val="22"/>
          <w:szCs w:val="22"/>
          <w:lang w:eastAsia="en-GB"/>
          <w14:ligatures w14:val="none"/>
        </w:rPr>
        <w:t>a</w:t>
      </w:r>
      <w:r w:rsidR="004C27BF" w:rsidRPr="00365175">
        <w:rPr>
          <w:rFonts w:ascii="Calibri" w:eastAsia="Times New Roman" w:hAnsi="Calibri" w:cs="Calibri"/>
          <w:kern w:val="0"/>
          <w:sz w:val="22"/>
          <w:szCs w:val="22"/>
          <w:lang w:eastAsia="en-GB"/>
          <w14:ligatures w14:val="none"/>
        </w:rPr>
        <w:t xml:space="preserve">n </w:t>
      </w:r>
      <w:r w:rsidRPr="00365175">
        <w:rPr>
          <w:rFonts w:ascii="Calibri" w:eastAsia="Times New Roman" w:hAnsi="Calibri" w:cs="Calibri"/>
          <w:kern w:val="0"/>
          <w:sz w:val="22"/>
          <w:szCs w:val="22"/>
          <w:lang w:eastAsia="en-GB"/>
          <w14:ligatures w14:val="none"/>
        </w:rPr>
        <w:t xml:space="preserve">aggravating consideration. </w:t>
      </w:r>
      <w:r w:rsidR="004C27BF" w:rsidRPr="00365175">
        <w:rPr>
          <w:rFonts w:ascii="Calibri" w:eastAsia="Times New Roman" w:hAnsi="Calibri" w:cs="Calibri"/>
          <w:kern w:val="0"/>
          <w:sz w:val="22"/>
          <w:szCs w:val="22"/>
          <w:lang w:eastAsia="en-GB"/>
          <w14:ligatures w14:val="none"/>
        </w:rPr>
        <w:t xml:space="preserve">However, </w:t>
      </w:r>
      <w:r w:rsidRPr="00365175">
        <w:rPr>
          <w:rFonts w:ascii="Calibri" w:eastAsia="Times New Roman" w:hAnsi="Calibri" w:cs="Calibri"/>
          <w:kern w:val="0"/>
          <w:sz w:val="22"/>
          <w:szCs w:val="22"/>
          <w:lang w:eastAsia="en-GB"/>
          <w14:ligatures w14:val="none"/>
        </w:rPr>
        <w:t xml:space="preserve">The </w:t>
      </w:r>
      <w:proofErr w:type="spellStart"/>
      <w:r w:rsidRPr="00365175">
        <w:rPr>
          <w:rFonts w:ascii="Calibri" w:eastAsia="Times New Roman" w:hAnsi="Calibri" w:cs="Calibri"/>
          <w:kern w:val="0"/>
          <w:sz w:val="22"/>
          <w:szCs w:val="22"/>
          <w:lang w:eastAsia="en-GB"/>
          <w14:ligatures w14:val="none"/>
        </w:rPr>
        <w:t>self reporting</w:t>
      </w:r>
      <w:proofErr w:type="spellEnd"/>
      <w:r w:rsidRPr="00365175">
        <w:rPr>
          <w:rFonts w:ascii="Calibri" w:eastAsia="Times New Roman" w:hAnsi="Calibri" w:cs="Calibri"/>
          <w:kern w:val="0"/>
          <w:sz w:val="22"/>
          <w:szCs w:val="22"/>
          <w:lang w:eastAsia="en-GB"/>
          <w14:ligatures w14:val="none"/>
        </w:rPr>
        <w:t xml:space="preserve">, voluntary client compensation, cooperation, and clean disciplinary record </w:t>
      </w:r>
      <w:r w:rsidR="004C27BF" w:rsidRPr="00365175">
        <w:rPr>
          <w:rFonts w:ascii="Calibri" w:eastAsia="Times New Roman" w:hAnsi="Calibri" w:cs="Calibri"/>
          <w:kern w:val="0"/>
          <w:sz w:val="22"/>
          <w:szCs w:val="22"/>
          <w:lang w:eastAsia="en-GB"/>
          <w14:ligatures w14:val="none"/>
        </w:rPr>
        <w:t xml:space="preserve">may </w:t>
      </w:r>
      <w:r w:rsidRPr="00365175">
        <w:rPr>
          <w:rFonts w:ascii="Calibri" w:eastAsia="Times New Roman" w:hAnsi="Calibri" w:cs="Calibri"/>
          <w:kern w:val="0"/>
          <w:sz w:val="22"/>
          <w:szCs w:val="22"/>
          <w:lang w:eastAsia="en-GB"/>
          <w14:ligatures w14:val="none"/>
        </w:rPr>
        <w:t>serve as mitigating factors. The cessation of regulated activities is noted as a relevant circumstance that may have influenced the quantum of the fine.</w:t>
      </w:r>
    </w:p>
    <w:p w14:paraId="1F316381" w14:textId="77777777" w:rsidR="00025E72" w:rsidRPr="00BE24DA" w:rsidRDefault="00025E72" w:rsidP="00025E72">
      <w:pPr>
        <w:pStyle w:val="DisclaimerBold"/>
        <w:rPr>
          <w:rFonts w:ascii="Calibri" w:hAnsi="Calibri" w:cs="Calibri"/>
        </w:rPr>
      </w:pPr>
      <w:r w:rsidRPr="00BE24DA">
        <w:rPr>
          <w:rFonts w:ascii="Calibri" w:hAnsi="Calibri" w:cs="Calibri"/>
        </w:rPr>
        <w:t>This newsletter is for information purposes only.</w:t>
      </w:r>
    </w:p>
    <w:p w14:paraId="44C30795" w14:textId="77777777" w:rsidR="00025E72" w:rsidRPr="00BE24DA" w:rsidRDefault="00025E72" w:rsidP="00025E72">
      <w:pPr>
        <w:pStyle w:val="Disclaimer"/>
        <w:rPr>
          <w:rFonts w:ascii="Calibri" w:hAnsi="Calibri" w:cs="Calibri"/>
        </w:rPr>
      </w:pPr>
      <w:r w:rsidRPr="00BE24DA">
        <w:rPr>
          <w:rFonts w:ascii="Calibri" w:hAnsi="Calibri" w:cs="Calibri"/>
        </w:rPr>
        <w:t xml:space="preserve">Its contents do not constitute legal advice and it </w:t>
      </w:r>
      <w:proofErr w:type="gramStart"/>
      <w:r w:rsidRPr="00BE24DA">
        <w:rPr>
          <w:rFonts w:ascii="Calibri" w:hAnsi="Calibri" w:cs="Calibri"/>
        </w:rPr>
        <w:t>should  not</w:t>
      </w:r>
      <w:proofErr w:type="gramEnd"/>
      <w:r w:rsidRPr="00BE24DA">
        <w:rPr>
          <w:rFonts w:ascii="Calibri" w:hAnsi="Calibri" w:cs="Calibri"/>
        </w:rPr>
        <w:t xml:space="preserve"> be regarded as a substitute for detailed </w:t>
      </w:r>
      <w:proofErr w:type="gramStart"/>
      <w:r w:rsidRPr="00BE24DA">
        <w:rPr>
          <w:rFonts w:ascii="Calibri" w:hAnsi="Calibri" w:cs="Calibri"/>
        </w:rPr>
        <w:t>advice  in</w:t>
      </w:r>
      <w:proofErr w:type="gramEnd"/>
      <w:r w:rsidRPr="00BE24DA">
        <w:rPr>
          <w:rFonts w:ascii="Calibri" w:hAnsi="Calibri" w:cs="Calibri"/>
        </w:rPr>
        <w:t xml:space="preserve"> individual cases.</w:t>
      </w:r>
    </w:p>
    <w:p w14:paraId="0906B00E" w14:textId="77777777" w:rsidR="00025E72" w:rsidRPr="00BE24DA" w:rsidRDefault="00025E72" w:rsidP="00025E72">
      <w:pPr>
        <w:pStyle w:val="Disclaimer"/>
        <w:rPr>
          <w:rFonts w:ascii="Calibri" w:hAnsi="Calibri" w:cs="Calibri"/>
        </w:rPr>
      </w:pPr>
      <w:r w:rsidRPr="00BE24DA">
        <w:rPr>
          <w:rFonts w:ascii="Calibri" w:hAnsi="Calibri" w:cs="Calibri"/>
        </w:rPr>
        <w:t xml:space="preserve">Transmission of this information is not intended to create and receipt does not constitute a lawyer-client relationship between </w:t>
      </w:r>
      <w:proofErr w:type="spellStart"/>
      <w:r w:rsidRPr="00BE24DA">
        <w:rPr>
          <w:rFonts w:ascii="Calibri" w:hAnsi="Calibri" w:cs="Calibri"/>
        </w:rPr>
        <w:t>Charltons</w:t>
      </w:r>
      <w:proofErr w:type="spellEnd"/>
      <w:r w:rsidRPr="00BE24DA">
        <w:rPr>
          <w:rFonts w:ascii="Calibri" w:hAnsi="Calibri" w:cs="Calibri"/>
        </w:rPr>
        <w:t xml:space="preserve"> and the user or browser.</w:t>
      </w:r>
    </w:p>
    <w:p w14:paraId="609CC327" w14:textId="77777777" w:rsidR="00025E72" w:rsidRPr="00BE24DA" w:rsidRDefault="00025E72" w:rsidP="00025E72">
      <w:pPr>
        <w:pStyle w:val="Disclaimer"/>
        <w:rPr>
          <w:rFonts w:ascii="Calibri" w:hAnsi="Calibri" w:cs="Calibri"/>
        </w:rPr>
      </w:pPr>
      <w:proofErr w:type="spellStart"/>
      <w:r w:rsidRPr="00BE24DA">
        <w:rPr>
          <w:rFonts w:ascii="Calibri" w:hAnsi="Calibri" w:cs="Calibri"/>
        </w:rPr>
        <w:t>Charltons</w:t>
      </w:r>
      <w:proofErr w:type="spellEnd"/>
      <w:r w:rsidRPr="00BE24DA">
        <w:rPr>
          <w:rFonts w:ascii="Calibri" w:hAnsi="Calibri" w:cs="Calibri"/>
        </w:rPr>
        <w:t xml:space="preserve"> is not responsible for any third party content which can be accessed through the website.</w:t>
      </w:r>
    </w:p>
    <w:p w14:paraId="78F7A69A" w14:textId="77777777" w:rsidR="00025E72" w:rsidRPr="00BE24DA" w:rsidRDefault="00025E72" w:rsidP="00025E72">
      <w:pPr>
        <w:pStyle w:val="Disclaimer"/>
        <w:rPr>
          <w:rFonts w:ascii="Calibri" w:hAnsi="Calibri" w:cs="Calibri"/>
        </w:rPr>
      </w:pPr>
      <w:r w:rsidRPr="00BE24DA">
        <w:rPr>
          <w:rFonts w:ascii="Calibri" w:hAnsi="Calibri" w:cs="Calibri"/>
        </w:rPr>
        <w:t xml:space="preserve">If you do not wish to receive this newsletter please let us know by emailing us at  </w:t>
      </w:r>
      <w:hyperlink r:id="rId20">
        <w:r w:rsidRPr="00BE24DA">
          <w:rPr>
            <w:rFonts w:ascii="Calibri" w:hAnsi="Calibri" w:cs="Calibri"/>
          </w:rPr>
          <w:t>unsubscribe@charltonslaw.com</w:t>
        </w:r>
      </w:hyperlink>
    </w:p>
    <w:p w14:paraId="63B30C2B" w14:textId="54F06F9E" w:rsidR="00025E72" w:rsidRPr="00025E72" w:rsidRDefault="00025E72" w:rsidP="00025E72">
      <w:pPr>
        <w:pStyle w:val="BlackStrips"/>
        <w:rPr>
          <w:rFonts w:ascii="Calibri" w:hAnsi="Calibri" w:cs="Calibri"/>
        </w:rPr>
      </w:pPr>
      <w:proofErr w:type="spellStart"/>
      <w:r w:rsidRPr="00BE24DA">
        <w:rPr>
          <w:rFonts w:ascii="Calibri" w:hAnsi="Calibri" w:cs="Calibri"/>
        </w:rPr>
        <w:t>Charltons</w:t>
      </w:r>
      <w:proofErr w:type="spellEnd"/>
      <w:r w:rsidRPr="00BE24DA">
        <w:rPr>
          <w:rFonts w:ascii="Calibri" w:hAnsi="Calibri" w:cs="Calibri"/>
        </w:rPr>
        <w:t xml:space="preserve"> - Hong Kong Law - </w:t>
      </w:r>
      <w:r w:rsidR="00F8654C">
        <w:rPr>
          <w:rFonts w:ascii="Calibri" w:hAnsi="Calibri" w:cs="Calibri"/>
        </w:rPr>
        <w:t>5</w:t>
      </w:r>
      <w:r w:rsidR="00365175" w:rsidRPr="00BE24DA">
        <w:rPr>
          <w:rFonts w:ascii="Calibri" w:hAnsi="Calibri" w:cs="Calibri"/>
        </w:rPr>
        <w:t xml:space="preserve"> </w:t>
      </w:r>
      <w:r w:rsidR="00365175">
        <w:rPr>
          <w:rFonts w:ascii="Calibri" w:hAnsi="Calibri" w:cs="Calibri"/>
        </w:rPr>
        <w:t>March</w:t>
      </w:r>
      <w:r w:rsidR="00365175" w:rsidRPr="00BE24DA">
        <w:rPr>
          <w:rFonts w:ascii="Calibri" w:hAnsi="Calibri" w:cs="Calibri"/>
        </w:rPr>
        <w:t xml:space="preserve"> </w:t>
      </w:r>
      <w:r w:rsidRPr="00BE24DA">
        <w:rPr>
          <w:rFonts w:ascii="Calibri" w:hAnsi="Calibri" w:cs="Calibri"/>
        </w:rPr>
        <w:t>2026</w:t>
      </w:r>
    </w:p>
    <w:p w14:paraId="6D2DCD21" w14:textId="77777777" w:rsidR="00830768" w:rsidRPr="00872DB2" w:rsidRDefault="00830768" w:rsidP="00FA38D5">
      <w:pPr>
        <w:jc w:val="both"/>
        <w:rPr>
          <w:rFonts w:ascii="Book Antiqua" w:hAnsi="Book Antiqua"/>
        </w:rPr>
      </w:pPr>
    </w:p>
    <w:sectPr w:rsidR="00830768" w:rsidRPr="00872DB2">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305F" w14:textId="77777777" w:rsidR="00ED16B2" w:rsidRDefault="00ED16B2" w:rsidP="00872DB2">
      <w:pPr>
        <w:spacing w:after="0" w:line="240" w:lineRule="auto"/>
      </w:pPr>
      <w:r>
        <w:separator/>
      </w:r>
    </w:p>
  </w:endnote>
  <w:endnote w:type="continuationSeparator" w:id="0">
    <w:p w14:paraId="78AD524B" w14:textId="77777777" w:rsidR="00ED16B2" w:rsidRDefault="00ED16B2" w:rsidP="00872DB2">
      <w:pPr>
        <w:spacing w:after="0" w:line="240" w:lineRule="auto"/>
      </w:pPr>
      <w:r>
        <w:continuationSeparator/>
      </w:r>
    </w:p>
  </w:endnote>
  <w:endnote w:type="continuationNotice" w:id="1">
    <w:p w14:paraId="7013C2FD" w14:textId="77777777" w:rsidR="00ED16B2" w:rsidRDefault="00ED1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421805595"/>
      <w:docPartObj>
        <w:docPartGallery w:val="Page Numbers (Bottom of Page)"/>
        <w:docPartUnique/>
      </w:docPartObj>
    </w:sdtPr>
    <w:sdtContent>
      <w:p w14:paraId="7B01A11E" w14:textId="5BE9D59B" w:rsidR="005B070F" w:rsidRDefault="005B070F" w:rsidP="00C866B3">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3B42569D" w14:textId="77777777" w:rsidR="005B070F" w:rsidRDefault="005B070F" w:rsidP="001B36CF">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1404096329"/>
      <w:docPartObj>
        <w:docPartGallery w:val="Page Numbers (Bottom of Page)"/>
        <w:docPartUnique/>
      </w:docPartObj>
    </w:sdtPr>
    <w:sdtContent>
      <w:p w14:paraId="2E67BDB0" w14:textId="2D10C4CD" w:rsidR="005B070F" w:rsidRDefault="005B070F" w:rsidP="00C866B3">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sidR="00BA1FFF">
          <w:rPr>
            <w:rStyle w:val="af5"/>
            <w:noProof/>
          </w:rPr>
          <w:t>3</w:t>
        </w:r>
        <w:r>
          <w:rPr>
            <w:rStyle w:val="af5"/>
          </w:rPr>
          <w:fldChar w:fldCharType="end"/>
        </w:r>
      </w:p>
    </w:sdtContent>
  </w:sdt>
  <w:p w14:paraId="5626ED3A" w14:textId="77777777" w:rsidR="005B070F" w:rsidRDefault="005B070F" w:rsidP="001B36CF">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CFE7" w14:textId="77777777" w:rsidR="00ED16B2" w:rsidRDefault="00ED16B2" w:rsidP="00872DB2">
      <w:pPr>
        <w:spacing w:after="0" w:line="240" w:lineRule="auto"/>
      </w:pPr>
      <w:r>
        <w:separator/>
      </w:r>
    </w:p>
  </w:footnote>
  <w:footnote w:type="continuationSeparator" w:id="0">
    <w:p w14:paraId="2426FC40" w14:textId="77777777" w:rsidR="00ED16B2" w:rsidRDefault="00ED16B2" w:rsidP="00872DB2">
      <w:pPr>
        <w:spacing w:after="0" w:line="240" w:lineRule="auto"/>
      </w:pPr>
      <w:r>
        <w:continuationSeparator/>
      </w:r>
    </w:p>
  </w:footnote>
  <w:footnote w:type="continuationNotice" w:id="1">
    <w:p w14:paraId="70F3A315" w14:textId="77777777" w:rsidR="00ED16B2" w:rsidRDefault="00ED1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7CAF" w14:textId="19BA3723" w:rsidR="005B070F" w:rsidRPr="00872DB2" w:rsidRDefault="005B070F" w:rsidP="00025E72">
    <w:pPr>
      <w:pStyle w:val="af1"/>
      <w:jc w:val="center"/>
      <w:rPr>
        <w:rFonts w:ascii="Book Antiqua" w:hAnsi="Book Antiqua" w:cs="Tahoma"/>
        <w:i/>
        <w:iCs/>
        <w:color w:val="EE0000"/>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A9C"/>
    <w:multiLevelType w:val="hybridMultilevel"/>
    <w:tmpl w:val="DE283C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363CC5"/>
    <w:multiLevelType w:val="hybridMultilevel"/>
    <w:tmpl w:val="316697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D9300F"/>
    <w:multiLevelType w:val="hybridMultilevel"/>
    <w:tmpl w:val="B740C6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A1FE0"/>
    <w:multiLevelType w:val="hybridMultilevel"/>
    <w:tmpl w:val="0AE083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92EF6"/>
    <w:multiLevelType w:val="hybridMultilevel"/>
    <w:tmpl w:val="AC98C1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52C9D"/>
    <w:multiLevelType w:val="hybridMultilevel"/>
    <w:tmpl w:val="9D1A59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6957B2"/>
    <w:multiLevelType w:val="hybridMultilevel"/>
    <w:tmpl w:val="00FAD2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8F5C40"/>
    <w:multiLevelType w:val="hybridMultilevel"/>
    <w:tmpl w:val="A2F628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E14891"/>
    <w:multiLevelType w:val="hybridMultilevel"/>
    <w:tmpl w:val="3F6C99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186408"/>
    <w:multiLevelType w:val="hybridMultilevel"/>
    <w:tmpl w:val="AE9073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2245637">
    <w:abstractNumId w:val="9"/>
  </w:num>
  <w:num w:numId="2" w16cid:durableId="1454716483">
    <w:abstractNumId w:val="8"/>
  </w:num>
  <w:num w:numId="3" w16cid:durableId="956373139">
    <w:abstractNumId w:val="5"/>
  </w:num>
  <w:num w:numId="4" w16cid:durableId="420562859">
    <w:abstractNumId w:val="1"/>
  </w:num>
  <w:num w:numId="5" w16cid:durableId="1634367288">
    <w:abstractNumId w:val="3"/>
  </w:num>
  <w:num w:numId="6" w16cid:durableId="1371494240">
    <w:abstractNumId w:val="4"/>
  </w:num>
  <w:num w:numId="7" w16cid:durableId="236331201">
    <w:abstractNumId w:val="2"/>
  </w:num>
  <w:num w:numId="8" w16cid:durableId="663361662">
    <w:abstractNumId w:val="6"/>
  </w:num>
  <w:num w:numId="9" w16cid:durableId="1798522025">
    <w:abstractNumId w:val="7"/>
  </w:num>
  <w:num w:numId="10" w16cid:durableId="50602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D5"/>
    <w:rsid w:val="00025E72"/>
    <w:rsid w:val="00037EA9"/>
    <w:rsid w:val="000A5736"/>
    <w:rsid w:val="000B027C"/>
    <w:rsid w:val="0012325C"/>
    <w:rsid w:val="001B36CF"/>
    <w:rsid w:val="001C422E"/>
    <w:rsid w:val="0027184E"/>
    <w:rsid w:val="00291935"/>
    <w:rsid w:val="002F2CF1"/>
    <w:rsid w:val="00365175"/>
    <w:rsid w:val="00456C51"/>
    <w:rsid w:val="004750C0"/>
    <w:rsid w:val="004C27BF"/>
    <w:rsid w:val="004D1529"/>
    <w:rsid w:val="00574D77"/>
    <w:rsid w:val="005927FB"/>
    <w:rsid w:val="005B070F"/>
    <w:rsid w:val="005B5C16"/>
    <w:rsid w:val="005C533C"/>
    <w:rsid w:val="006062DF"/>
    <w:rsid w:val="007151A0"/>
    <w:rsid w:val="007D6F1C"/>
    <w:rsid w:val="00830768"/>
    <w:rsid w:val="008529A7"/>
    <w:rsid w:val="00872DB2"/>
    <w:rsid w:val="0088474C"/>
    <w:rsid w:val="008B339A"/>
    <w:rsid w:val="008C4EFD"/>
    <w:rsid w:val="008D154F"/>
    <w:rsid w:val="008E3D18"/>
    <w:rsid w:val="008E5D12"/>
    <w:rsid w:val="00967861"/>
    <w:rsid w:val="00A37769"/>
    <w:rsid w:val="00B67BBA"/>
    <w:rsid w:val="00BA1FFF"/>
    <w:rsid w:val="00C66221"/>
    <w:rsid w:val="00C866B3"/>
    <w:rsid w:val="00C94A80"/>
    <w:rsid w:val="00CE62FE"/>
    <w:rsid w:val="00D04B22"/>
    <w:rsid w:val="00D7376E"/>
    <w:rsid w:val="00D86FAA"/>
    <w:rsid w:val="00DF1064"/>
    <w:rsid w:val="00E95127"/>
    <w:rsid w:val="00ED16B2"/>
    <w:rsid w:val="00EE2BC9"/>
    <w:rsid w:val="00EF1BA0"/>
    <w:rsid w:val="00F8654C"/>
    <w:rsid w:val="00F911C4"/>
    <w:rsid w:val="00FA38D5"/>
    <w:rsid w:val="00FB356D"/>
    <w:rsid w:val="00FD6D4D"/>
    <w:rsid w:val="00FE5BB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E9D6"/>
  <w15:chartTrackingRefBased/>
  <w15:docId w15:val="{26645B5F-0595-664F-AC6A-1D411139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3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A3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FA38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38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38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38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38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38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38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8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FA38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FA38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38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38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38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38D5"/>
    <w:rPr>
      <w:rFonts w:eastAsiaTheme="majorEastAsia" w:cstheme="majorBidi"/>
      <w:color w:val="595959" w:themeColor="text1" w:themeTint="A6"/>
    </w:rPr>
  </w:style>
  <w:style w:type="character" w:customStyle="1" w:styleId="80">
    <w:name w:val="Заголовок 8 Знак"/>
    <w:basedOn w:val="a0"/>
    <w:link w:val="8"/>
    <w:uiPriority w:val="9"/>
    <w:semiHidden/>
    <w:rsid w:val="00FA38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38D5"/>
    <w:rPr>
      <w:rFonts w:eastAsiaTheme="majorEastAsia" w:cstheme="majorBidi"/>
      <w:color w:val="272727" w:themeColor="text1" w:themeTint="D8"/>
    </w:rPr>
  </w:style>
  <w:style w:type="paragraph" w:styleId="a3">
    <w:name w:val="Title"/>
    <w:basedOn w:val="a"/>
    <w:next w:val="a"/>
    <w:link w:val="a4"/>
    <w:uiPriority w:val="10"/>
    <w:qFormat/>
    <w:rsid w:val="00FA3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3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8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38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38D5"/>
    <w:pPr>
      <w:spacing w:before="160"/>
      <w:jc w:val="center"/>
    </w:pPr>
    <w:rPr>
      <w:i/>
      <w:iCs/>
      <w:color w:val="404040" w:themeColor="text1" w:themeTint="BF"/>
    </w:rPr>
  </w:style>
  <w:style w:type="character" w:customStyle="1" w:styleId="22">
    <w:name w:val="Цитата 2 Знак"/>
    <w:basedOn w:val="a0"/>
    <w:link w:val="21"/>
    <w:uiPriority w:val="29"/>
    <w:rsid w:val="00FA38D5"/>
    <w:rPr>
      <w:i/>
      <w:iCs/>
      <w:color w:val="404040" w:themeColor="text1" w:themeTint="BF"/>
    </w:rPr>
  </w:style>
  <w:style w:type="paragraph" w:styleId="a7">
    <w:name w:val="List Paragraph"/>
    <w:basedOn w:val="a"/>
    <w:uiPriority w:val="34"/>
    <w:qFormat/>
    <w:rsid w:val="00FA38D5"/>
    <w:pPr>
      <w:ind w:left="720"/>
      <w:contextualSpacing/>
    </w:pPr>
  </w:style>
  <w:style w:type="character" w:styleId="a8">
    <w:name w:val="Intense Emphasis"/>
    <w:basedOn w:val="a0"/>
    <w:uiPriority w:val="21"/>
    <w:qFormat/>
    <w:rsid w:val="00FA38D5"/>
    <w:rPr>
      <w:i/>
      <w:iCs/>
      <w:color w:val="0F4761" w:themeColor="accent1" w:themeShade="BF"/>
    </w:rPr>
  </w:style>
  <w:style w:type="paragraph" w:styleId="a9">
    <w:name w:val="Intense Quote"/>
    <w:basedOn w:val="a"/>
    <w:next w:val="a"/>
    <w:link w:val="aa"/>
    <w:uiPriority w:val="30"/>
    <w:qFormat/>
    <w:rsid w:val="00FA3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38D5"/>
    <w:rPr>
      <w:i/>
      <w:iCs/>
      <w:color w:val="0F4761" w:themeColor="accent1" w:themeShade="BF"/>
    </w:rPr>
  </w:style>
  <w:style w:type="character" w:styleId="ab">
    <w:name w:val="Intense Reference"/>
    <w:basedOn w:val="a0"/>
    <w:uiPriority w:val="32"/>
    <w:qFormat/>
    <w:rsid w:val="00FA38D5"/>
    <w:rPr>
      <w:b/>
      <w:bCs/>
      <w:smallCaps/>
      <w:color w:val="0F4761" w:themeColor="accent1" w:themeShade="BF"/>
      <w:spacing w:val="5"/>
    </w:rPr>
  </w:style>
  <w:style w:type="paragraph" w:styleId="ac">
    <w:name w:val="Normal (Web)"/>
    <w:basedOn w:val="a"/>
    <w:uiPriority w:val="99"/>
    <w:semiHidden/>
    <w:unhideWhenUsed/>
    <w:rsid w:val="00FA38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d">
    <w:name w:val="Strong"/>
    <w:basedOn w:val="a0"/>
    <w:uiPriority w:val="22"/>
    <w:qFormat/>
    <w:rsid w:val="00FA38D5"/>
    <w:rPr>
      <w:b/>
      <w:bCs/>
    </w:rPr>
  </w:style>
  <w:style w:type="character" w:styleId="ae">
    <w:name w:val="Emphasis"/>
    <w:basedOn w:val="a0"/>
    <w:uiPriority w:val="20"/>
    <w:qFormat/>
    <w:rsid w:val="00FA38D5"/>
    <w:rPr>
      <w:i/>
      <w:iCs/>
    </w:rPr>
  </w:style>
  <w:style w:type="character" w:styleId="af">
    <w:name w:val="Hyperlink"/>
    <w:basedOn w:val="a0"/>
    <w:uiPriority w:val="99"/>
    <w:unhideWhenUsed/>
    <w:rsid w:val="00D86FAA"/>
    <w:rPr>
      <w:color w:val="467886" w:themeColor="hyperlink"/>
      <w:u w:val="single"/>
    </w:rPr>
  </w:style>
  <w:style w:type="character" w:customStyle="1" w:styleId="11">
    <w:name w:val="Неразрешенное упоминание1"/>
    <w:basedOn w:val="a0"/>
    <w:uiPriority w:val="99"/>
    <w:semiHidden/>
    <w:unhideWhenUsed/>
    <w:rsid w:val="00D86FAA"/>
    <w:rPr>
      <w:color w:val="605E5C"/>
      <w:shd w:val="clear" w:color="auto" w:fill="E1DFDD"/>
    </w:rPr>
  </w:style>
  <w:style w:type="character" w:styleId="af0">
    <w:name w:val="FollowedHyperlink"/>
    <w:basedOn w:val="a0"/>
    <w:uiPriority w:val="99"/>
    <w:semiHidden/>
    <w:unhideWhenUsed/>
    <w:rsid w:val="004D1529"/>
    <w:rPr>
      <w:color w:val="96607D" w:themeColor="followedHyperlink"/>
      <w:u w:val="single"/>
    </w:rPr>
  </w:style>
  <w:style w:type="paragraph" w:styleId="af1">
    <w:name w:val="header"/>
    <w:basedOn w:val="a"/>
    <w:link w:val="af2"/>
    <w:uiPriority w:val="99"/>
    <w:unhideWhenUsed/>
    <w:rsid w:val="00872DB2"/>
    <w:pPr>
      <w:tabs>
        <w:tab w:val="center" w:pos="4513"/>
        <w:tab w:val="right" w:pos="9026"/>
      </w:tabs>
      <w:spacing w:after="0" w:line="240" w:lineRule="auto"/>
    </w:pPr>
  </w:style>
  <w:style w:type="character" w:customStyle="1" w:styleId="af2">
    <w:name w:val="Верхний колонтитул Знак"/>
    <w:basedOn w:val="a0"/>
    <w:link w:val="af1"/>
    <w:uiPriority w:val="99"/>
    <w:rsid w:val="00872DB2"/>
  </w:style>
  <w:style w:type="paragraph" w:styleId="af3">
    <w:name w:val="footer"/>
    <w:basedOn w:val="a"/>
    <w:link w:val="af4"/>
    <w:uiPriority w:val="99"/>
    <w:unhideWhenUsed/>
    <w:rsid w:val="00872DB2"/>
    <w:pPr>
      <w:tabs>
        <w:tab w:val="center" w:pos="4513"/>
        <w:tab w:val="right" w:pos="9026"/>
      </w:tabs>
      <w:spacing w:after="0" w:line="240" w:lineRule="auto"/>
    </w:pPr>
  </w:style>
  <w:style w:type="character" w:customStyle="1" w:styleId="af4">
    <w:name w:val="Нижний колонтитул Знак"/>
    <w:basedOn w:val="a0"/>
    <w:link w:val="af3"/>
    <w:uiPriority w:val="99"/>
    <w:rsid w:val="00872DB2"/>
  </w:style>
  <w:style w:type="character" w:styleId="af5">
    <w:name w:val="page number"/>
    <w:basedOn w:val="a0"/>
    <w:uiPriority w:val="99"/>
    <w:semiHidden/>
    <w:unhideWhenUsed/>
    <w:rsid w:val="001B36CF"/>
  </w:style>
  <w:style w:type="paragraph" w:styleId="af6">
    <w:name w:val="Balloon Text"/>
    <w:basedOn w:val="a"/>
    <w:link w:val="af7"/>
    <w:uiPriority w:val="99"/>
    <w:semiHidden/>
    <w:unhideWhenUsed/>
    <w:rsid w:val="00E9512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E95127"/>
    <w:rPr>
      <w:rFonts w:ascii="Segoe UI" w:hAnsi="Segoe UI" w:cs="Segoe UI"/>
      <w:sz w:val="18"/>
      <w:szCs w:val="18"/>
    </w:rPr>
  </w:style>
  <w:style w:type="paragraph" w:styleId="af8">
    <w:name w:val="Revision"/>
    <w:hidden/>
    <w:uiPriority w:val="99"/>
    <w:semiHidden/>
    <w:rsid w:val="00BA1FFF"/>
    <w:pPr>
      <w:spacing w:after="0" w:line="240" w:lineRule="auto"/>
    </w:pPr>
  </w:style>
  <w:style w:type="paragraph" w:customStyle="1" w:styleId="BlackStrips">
    <w:name w:val="Black Strips"/>
    <w:basedOn w:val="a"/>
    <w:qFormat/>
    <w:rsid w:val="00025E72"/>
    <w:pPr>
      <w:shd w:val="clear" w:color="auto" w:fill="000000"/>
      <w:spacing w:after="200" w:line="240" w:lineRule="auto"/>
      <w:jc w:val="center"/>
    </w:pPr>
    <w:rPr>
      <w:color w:val="FFFFFF"/>
      <w:kern w:val="0"/>
      <w:lang w:val="en-US"/>
      <w14:ligatures w14:val="none"/>
    </w:rPr>
  </w:style>
  <w:style w:type="paragraph" w:customStyle="1" w:styleId="Disclaimer">
    <w:name w:val="Disclaimer"/>
    <w:basedOn w:val="a"/>
    <w:qFormat/>
    <w:rsid w:val="00025E72"/>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color w:val="00000A"/>
      <w:kern w:val="0"/>
      <w:lang w:val="en-US"/>
      <w14:ligatures w14:val="none"/>
    </w:rPr>
  </w:style>
  <w:style w:type="paragraph" w:customStyle="1" w:styleId="DisclaimerBold">
    <w:name w:val="Disclaimer Bold"/>
    <w:basedOn w:val="Disclaimer"/>
    <w:qFormat/>
    <w:rsid w:val="00025E72"/>
    <w:pPr>
      <w:jc w:val="left"/>
    </w:pPr>
    <w:rPr>
      <w:b/>
    </w:rPr>
  </w:style>
  <w:style w:type="paragraph" w:customStyle="1" w:styleId="ReadOnline">
    <w:name w:val="Read Online"/>
    <w:basedOn w:val="a"/>
    <w:qFormat/>
    <w:rsid w:val="00025E72"/>
    <w:pPr>
      <w:spacing w:after="200" w:line="240" w:lineRule="auto"/>
      <w:jc w:val="center"/>
    </w:pPr>
    <w:rPr>
      <w:color w:val="00000A"/>
      <w:kern w:val="0"/>
      <w:sz w:val="28"/>
      <w:u w:val="single"/>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09207">
      <w:bodyDiv w:val="1"/>
      <w:marLeft w:val="0"/>
      <w:marRight w:val="0"/>
      <w:marTop w:val="0"/>
      <w:marBottom w:val="0"/>
      <w:divBdr>
        <w:top w:val="none" w:sz="0" w:space="0" w:color="auto"/>
        <w:left w:val="none" w:sz="0" w:space="0" w:color="auto"/>
        <w:bottom w:val="none" w:sz="0" w:space="0" w:color="auto"/>
        <w:right w:val="none" w:sz="0" w:space="0" w:color="auto"/>
      </w:divBdr>
    </w:div>
    <w:div w:id="610092688">
      <w:bodyDiv w:val="1"/>
      <w:marLeft w:val="0"/>
      <w:marRight w:val="0"/>
      <w:marTop w:val="0"/>
      <w:marBottom w:val="0"/>
      <w:divBdr>
        <w:top w:val="none" w:sz="0" w:space="0" w:color="auto"/>
        <w:left w:val="none" w:sz="0" w:space="0" w:color="auto"/>
        <w:bottom w:val="none" w:sz="0" w:space="0" w:color="auto"/>
        <w:right w:val="none" w:sz="0" w:space="0" w:color="auto"/>
      </w:divBdr>
    </w:div>
    <w:div w:id="1128817681">
      <w:bodyDiv w:val="1"/>
      <w:marLeft w:val="0"/>
      <w:marRight w:val="0"/>
      <w:marTop w:val="0"/>
      <w:marBottom w:val="0"/>
      <w:divBdr>
        <w:top w:val="none" w:sz="0" w:space="0" w:color="auto"/>
        <w:left w:val="none" w:sz="0" w:space="0" w:color="auto"/>
        <w:bottom w:val="none" w:sz="0" w:space="0" w:color="auto"/>
        <w:right w:val="none" w:sz="0" w:space="0" w:color="auto"/>
      </w:divBdr>
    </w:div>
    <w:div w:id="1719429875">
      <w:bodyDiv w:val="1"/>
      <w:marLeft w:val="0"/>
      <w:marRight w:val="0"/>
      <w:marTop w:val="0"/>
      <w:marBottom w:val="0"/>
      <w:divBdr>
        <w:top w:val="none" w:sz="0" w:space="0" w:color="auto"/>
        <w:left w:val="none" w:sz="0" w:space="0" w:color="auto"/>
        <w:bottom w:val="none" w:sz="0" w:space="0" w:color="auto"/>
        <w:right w:val="none" w:sz="0" w:space="0" w:color="auto"/>
      </w:divBdr>
    </w:div>
    <w:div w:id="20048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news/openAppendix?lang=EN&amp;refNo=26PR1&amp;appendix=0" TargetMode="External"/><Relationship Id="rId13" Type="http://schemas.openxmlformats.org/officeDocument/2006/relationships/hyperlink" Target="https://apps.sfc.hk/edistributionWeb/api/circular/openFile?lang=EN&amp;refNo=22EC9" TargetMode="External"/><Relationship Id="rId18" Type="http://schemas.openxmlformats.org/officeDocument/2006/relationships/hyperlink" Target="https://www.sfc.hk/en/faqs/intermediaries/supervision/Code-of-Conduct/3-Jun-2011---Code-of-Conduc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charltonslaw.com/hong-kong-sfc-fines-saxo-capital-markets-hk-limited-hk4-million-for-virtual-asset-product-distribution-breaches/" TargetMode="External"/><Relationship Id="rId12" Type="http://schemas.openxmlformats.org/officeDocument/2006/relationships/hyperlink" Target="https://www.sfc.hk/en/News-and-announcements/Policy-statements-and-announcements/Statement-on-regulatory-framework-for-virtual-asset-portfolios-managers" TargetMode="External"/><Relationship Id="rId17"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fc.hk/-/media/EN/assets/components/codes/files-current/web/guidelines/guidelines-on-online-distribution-and-advisory-platforms/guidelines-on-online-distribution-and-advisory-platforms.pdf?rev=689af636b3ad4077929d46a94631e458"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assets/components/codes/files-current/web/codes/code-of-conduct-for-persons-licensed-by-or-registered-with-the-securities-and-futures-commission/Code_of_conduct-Oct-2024_Eng-with-Bookmark-Final.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23" Type="http://schemas.openxmlformats.org/officeDocument/2006/relationships/footer" Target="footer2.xml"/><Relationship Id="rId10" Type="http://schemas.openxmlformats.org/officeDocument/2006/relationships/hyperlink" Target="https://www.elegislation.gov.hk/hk/cap571" TargetMode="External"/><Relationship Id="rId19" Type="http://schemas.openxmlformats.org/officeDocument/2006/relationships/hyperlink" Target="https://brdr.hkma.gov.hk/eng/doc-ldg/docId/getPdf/20101006-2-EN/20101006-2-EN.pdf" TargetMode="External"/><Relationship Id="rId4" Type="http://schemas.openxmlformats.org/officeDocument/2006/relationships/webSettings" Target="webSettings.xml"/><Relationship Id="rId9" Type="http://schemas.openxmlformats.org/officeDocument/2006/relationships/hyperlink" Target="https://www.home.saxo/en-hk" TargetMode="External"/><Relationship Id="rId14" Type="http://schemas.openxmlformats.org/officeDocument/2006/relationships/hyperlink" Target="https://apps.sfc.hk/edistributionWeb/api/circular/openFile?lang=EN&amp;refNo=23EC6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3167</Words>
  <Characters>18057</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Kumar Ishwar</dc:creator>
  <cp:keywords/>
  <dc:description/>
  <cp:lastModifiedBy>Microsoft Office User</cp:lastModifiedBy>
  <cp:revision>7</cp:revision>
  <dcterms:created xsi:type="dcterms:W3CDTF">2026-03-03T05:17:00Z</dcterms:created>
  <dcterms:modified xsi:type="dcterms:W3CDTF">2026-03-05T07:10:00Z</dcterms:modified>
</cp:coreProperties>
</file>