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97CE" w14:textId="55F02B39" w:rsidR="001820D8" w:rsidRDefault="001820D8" w:rsidP="001820D8">
      <w:pPr>
        <w:pStyle w:val="BlackStrips"/>
      </w:pPr>
      <w:proofErr w:type="spellStart"/>
      <w:r>
        <w:t>Charltons</w:t>
      </w:r>
      <w:proofErr w:type="spellEnd"/>
      <w:r>
        <w:t xml:space="preserve"> - Hong Kong Law - 16 February 2026</w:t>
      </w:r>
    </w:p>
    <w:p w14:paraId="0808CA4D" w14:textId="115415AA" w:rsidR="001820D8" w:rsidRPr="001820D8" w:rsidRDefault="001820D8" w:rsidP="001820D8">
      <w:pPr>
        <w:pStyle w:val="ReadOnline"/>
      </w:pPr>
      <w:hyperlink r:id="rId5">
        <w:r>
          <w:t>online version</w:t>
        </w:r>
      </w:hyperlink>
    </w:p>
    <w:p w14:paraId="1CBED045" w14:textId="07ACB783" w:rsidR="008F11F7" w:rsidRPr="005C1B88" w:rsidRDefault="008F11F7" w:rsidP="005C1B88">
      <w:pPr>
        <w:spacing w:before="100" w:beforeAutospacing="1" w:after="100" w:afterAutospacing="1" w:line="240" w:lineRule="auto"/>
        <w:jc w:val="both"/>
        <w:rPr>
          <w:rFonts w:eastAsia="Times New Roman" w:cstheme="minorHAnsi"/>
          <w:b/>
          <w:color w:val="FF0000"/>
        </w:rPr>
      </w:pPr>
      <w:r w:rsidRPr="005C1B88">
        <w:rPr>
          <w:rFonts w:eastAsia="Times New Roman" w:cstheme="minorHAnsi"/>
          <w:b/>
          <w:color w:val="FF0000"/>
        </w:rPr>
        <w:t>SFC Virtual Asset Update: New Guidance on VA Margin Financing, Perpetual Contracts and Affiliated Market Makers</w:t>
      </w:r>
    </w:p>
    <w:p w14:paraId="5F48B1EC" w14:textId="77777777" w:rsidR="00B203D4" w:rsidRPr="00B203D4" w:rsidRDefault="00B203D4" w:rsidP="00B203D4">
      <w:pPr>
        <w:spacing w:before="100" w:beforeAutospacing="1" w:after="100" w:afterAutospacing="1" w:line="240" w:lineRule="auto"/>
        <w:jc w:val="both"/>
        <w:rPr>
          <w:rFonts w:eastAsia="Times New Roman" w:cstheme="minorHAnsi"/>
        </w:rPr>
      </w:pPr>
      <w:r w:rsidRPr="00B203D4">
        <w:rPr>
          <w:rFonts w:eastAsia="Times New Roman" w:cstheme="minorHAnsi"/>
        </w:rPr>
        <w:t>On 11 February 2026, the Securiti</w:t>
      </w:r>
      <w:r w:rsidRPr="005C1B88">
        <w:rPr>
          <w:rFonts w:eastAsia="Times New Roman" w:cstheme="minorHAnsi"/>
        </w:rPr>
        <w:t xml:space="preserve">es and Futures Commission (the </w:t>
      </w:r>
      <w:r w:rsidRPr="005C1B88">
        <w:rPr>
          <w:rFonts w:eastAsia="Times New Roman" w:cstheme="minorHAnsi"/>
          <w:b/>
          <w:bCs/>
        </w:rPr>
        <w:t>SFC</w:t>
      </w:r>
      <w:r w:rsidRPr="00B203D4">
        <w:rPr>
          <w:rFonts w:eastAsia="Times New Roman" w:cstheme="minorHAnsi"/>
        </w:rPr>
        <w:t>) announced a package of measures aimed at enhancing liquidity and expanding the range</w:t>
      </w:r>
      <w:r w:rsidRPr="005C1B88">
        <w:rPr>
          <w:rFonts w:eastAsia="Times New Roman" w:cstheme="minorHAnsi"/>
        </w:rPr>
        <w:t xml:space="preserve"> of permissible virtual asset (</w:t>
      </w:r>
      <w:r w:rsidRPr="005C1B88">
        <w:rPr>
          <w:rFonts w:eastAsia="Times New Roman" w:cstheme="minorHAnsi"/>
          <w:b/>
          <w:bCs/>
        </w:rPr>
        <w:t>VA</w:t>
      </w:r>
      <w:r w:rsidRPr="00B203D4">
        <w:rPr>
          <w:rFonts w:eastAsia="Times New Roman" w:cstheme="minorHAnsi"/>
        </w:rPr>
        <w:t xml:space="preserve">) </w:t>
      </w:r>
      <w:r w:rsidRPr="005C1B88">
        <w:rPr>
          <w:rFonts w:eastAsia="Times New Roman" w:cstheme="minorHAnsi"/>
        </w:rPr>
        <w:t xml:space="preserve">products and </w:t>
      </w:r>
      <w:r w:rsidRPr="00B203D4">
        <w:rPr>
          <w:rFonts w:eastAsia="Times New Roman" w:cstheme="minorHAnsi"/>
        </w:rPr>
        <w:t>services in Hong Kong. These measures repres</w:t>
      </w:r>
      <w:r w:rsidRPr="005C1B88">
        <w:rPr>
          <w:rFonts w:eastAsia="Times New Roman" w:cstheme="minorHAnsi"/>
        </w:rPr>
        <w:t>ent the latest phase of the SFC’</w:t>
      </w:r>
      <w:r w:rsidRPr="00B203D4">
        <w:rPr>
          <w:rFonts w:eastAsia="Times New Roman" w:cstheme="minorHAnsi"/>
        </w:rPr>
        <w:t xml:space="preserve">s structured development approach under the ASPIRe Roadmap, published on 19 February 2025, and collectively signal a broadening of the regulatory perimeter for both </w:t>
      </w:r>
      <w:r w:rsidRPr="005C1B88">
        <w:rPr>
          <w:rFonts w:eastAsia="Times New Roman" w:cstheme="minorHAnsi"/>
        </w:rPr>
        <w:t>SFC-</w:t>
      </w:r>
      <w:r w:rsidRPr="00B203D4">
        <w:rPr>
          <w:rFonts w:eastAsia="Times New Roman" w:cstheme="minorHAnsi"/>
        </w:rPr>
        <w:t xml:space="preserve">licensed brokers </w:t>
      </w:r>
      <w:r w:rsidRPr="005C1B88">
        <w:rPr>
          <w:rFonts w:eastAsia="Times New Roman" w:cstheme="minorHAnsi"/>
        </w:rPr>
        <w:t>providing VA dealing services</w:t>
      </w:r>
      <w:r w:rsidR="00EB7A15">
        <w:rPr>
          <w:rFonts w:eastAsia="Times New Roman" w:cstheme="minorHAnsi"/>
        </w:rPr>
        <w:t xml:space="preserve"> </w:t>
      </w:r>
      <w:r w:rsidR="00EB7A15">
        <w:t xml:space="preserve">through an omnibus account arrangement </w:t>
      </w:r>
      <w:r w:rsidR="00EB7A15">
        <w:rPr>
          <w:rFonts w:eastAsia="Times New Roman" w:cstheme="minorHAnsi"/>
        </w:rPr>
        <w:t>(</w:t>
      </w:r>
      <w:r w:rsidR="00EB7A15" w:rsidRPr="003B2F3F">
        <w:rPr>
          <w:rFonts w:eastAsia="Times New Roman" w:cstheme="minorHAnsi"/>
          <w:b/>
        </w:rPr>
        <w:t xml:space="preserve">SFC-licensed </w:t>
      </w:r>
      <w:r w:rsidR="00EB7A15">
        <w:rPr>
          <w:rFonts w:eastAsia="Times New Roman" w:cstheme="minorHAnsi"/>
          <w:b/>
        </w:rPr>
        <w:t>VA B</w:t>
      </w:r>
      <w:r w:rsidR="00EB7A15" w:rsidRPr="003B2F3F">
        <w:rPr>
          <w:rFonts w:eastAsia="Times New Roman" w:cstheme="minorHAnsi"/>
          <w:b/>
        </w:rPr>
        <w:t>rokers</w:t>
      </w:r>
      <w:r w:rsidR="00EB7A15">
        <w:rPr>
          <w:rFonts w:eastAsia="Times New Roman" w:cstheme="minorHAnsi"/>
        </w:rPr>
        <w:t xml:space="preserve">) </w:t>
      </w:r>
      <w:r w:rsidR="00EB7A15">
        <w:t>with SFC-licensed VATP operators</w:t>
      </w:r>
      <w:r w:rsidRPr="005C1B88">
        <w:rPr>
          <w:rFonts w:eastAsia="Times New Roman" w:cstheme="minorHAnsi"/>
        </w:rPr>
        <w:t xml:space="preserve"> </w:t>
      </w:r>
      <w:r w:rsidRPr="00B203D4">
        <w:rPr>
          <w:rFonts w:eastAsia="Times New Roman" w:cstheme="minorHAnsi"/>
        </w:rPr>
        <w:t xml:space="preserve"> and </w:t>
      </w:r>
      <w:r w:rsidRPr="005C1B88">
        <w:rPr>
          <w:rFonts w:eastAsia="Times New Roman" w:cstheme="minorHAnsi"/>
        </w:rPr>
        <w:t>SFC-</w:t>
      </w:r>
      <w:r w:rsidRPr="00B203D4">
        <w:rPr>
          <w:rFonts w:eastAsia="Times New Roman" w:cstheme="minorHAnsi"/>
        </w:rPr>
        <w:t>licensed vi</w:t>
      </w:r>
      <w:r w:rsidRPr="005C1B88">
        <w:rPr>
          <w:rFonts w:eastAsia="Times New Roman" w:cstheme="minorHAnsi"/>
        </w:rPr>
        <w:t>rtual asset trading platforms (</w:t>
      </w:r>
      <w:r w:rsidR="003B2F3F" w:rsidRPr="003B2F3F">
        <w:rPr>
          <w:rFonts w:eastAsia="Times New Roman" w:cstheme="minorHAnsi"/>
          <w:b/>
        </w:rPr>
        <w:t>SFC-licensed</w:t>
      </w:r>
      <w:r w:rsidR="003B2F3F">
        <w:rPr>
          <w:rFonts w:eastAsia="Times New Roman" w:cstheme="minorHAnsi"/>
        </w:rPr>
        <w:t xml:space="preserve"> </w:t>
      </w:r>
      <w:r w:rsidRPr="005C1B88">
        <w:rPr>
          <w:rFonts w:eastAsia="Times New Roman" w:cstheme="minorHAnsi"/>
          <w:b/>
          <w:bCs/>
        </w:rPr>
        <w:t>VATPs</w:t>
      </w:r>
      <w:r w:rsidRPr="00B203D4">
        <w:rPr>
          <w:rFonts w:eastAsia="Times New Roman" w:cstheme="minorHAnsi"/>
        </w:rPr>
        <w:t>).</w:t>
      </w:r>
    </w:p>
    <w:p w14:paraId="02DE86D3" w14:textId="77777777" w:rsidR="00B203D4" w:rsidRPr="00B203D4" w:rsidRDefault="00B203D4" w:rsidP="005C1B88">
      <w:pPr>
        <w:spacing w:before="100" w:beforeAutospacing="1" w:after="100" w:afterAutospacing="1" w:line="240" w:lineRule="auto"/>
        <w:jc w:val="both"/>
        <w:rPr>
          <w:rFonts w:eastAsia="Times New Roman" w:cstheme="minorHAnsi"/>
        </w:rPr>
      </w:pPr>
      <w:r w:rsidRPr="005C1B88">
        <w:rPr>
          <w:rFonts w:eastAsia="Times New Roman" w:cstheme="minorHAnsi"/>
        </w:rPr>
        <w:t>The SFC’</w:t>
      </w:r>
      <w:r w:rsidRPr="00B203D4">
        <w:rPr>
          <w:rFonts w:eastAsia="Times New Roman" w:cstheme="minorHAnsi"/>
        </w:rPr>
        <w:t xml:space="preserve">s initiatives are implemented through three separate </w:t>
      </w:r>
      <w:r w:rsidR="003B2F3F">
        <w:rPr>
          <w:rFonts w:eastAsia="Times New Roman" w:cstheme="minorHAnsi"/>
        </w:rPr>
        <w:t xml:space="preserve">circulars </w:t>
      </w:r>
      <w:r w:rsidRPr="00B203D4">
        <w:rPr>
          <w:rFonts w:eastAsia="Times New Roman" w:cstheme="minorHAnsi"/>
        </w:rPr>
        <w:t xml:space="preserve">issued on the same date. </w:t>
      </w:r>
      <w:r w:rsidR="00AD7069">
        <w:rPr>
          <w:rFonts w:eastAsia="Times New Roman" w:cstheme="minorHAnsi"/>
        </w:rPr>
        <w:t>The first</w:t>
      </w:r>
      <w:r w:rsidRPr="00B203D4">
        <w:rPr>
          <w:rFonts w:eastAsia="Times New Roman" w:cstheme="minorHAnsi"/>
        </w:rPr>
        <w:t xml:space="preserve"> </w:t>
      </w:r>
      <w:r w:rsidR="00AD7069" w:rsidRPr="00B203D4">
        <w:rPr>
          <w:rFonts w:eastAsia="Times New Roman" w:cstheme="minorHAnsi"/>
        </w:rPr>
        <w:t>permits</w:t>
      </w:r>
      <w:r w:rsidR="00AD7069">
        <w:rPr>
          <w:rFonts w:eastAsia="Times New Roman" w:cstheme="minorHAnsi"/>
        </w:rPr>
        <w:t xml:space="preserve"> </w:t>
      </w:r>
      <w:r w:rsidR="003B2F3F">
        <w:rPr>
          <w:rFonts w:eastAsia="Times New Roman" w:cstheme="minorHAnsi"/>
        </w:rPr>
        <w:t xml:space="preserve">SFC-licensed VA Brokers </w:t>
      </w:r>
      <w:r w:rsidRPr="00B203D4">
        <w:rPr>
          <w:rFonts w:eastAsia="Times New Roman" w:cstheme="minorHAnsi"/>
        </w:rPr>
        <w:t>to offer margin financing for VA dealing to their securities margin clients</w:t>
      </w:r>
      <w:r w:rsidR="008F61B5">
        <w:rPr>
          <w:rFonts w:eastAsia="Times New Roman" w:cstheme="minorHAnsi"/>
        </w:rPr>
        <w:t>,</w:t>
      </w:r>
      <w:r w:rsidRPr="00B203D4">
        <w:rPr>
          <w:rFonts w:eastAsia="Times New Roman" w:cstheme="minorHAnsi"/>
        </w:rPr>
        <w:t xml:space="preserve"> </w:t>
      </w:r>
      <w:r w:rsidR="00B91883">
        <w:rPr>
          <w:rFonts w:eastAsia="Times New Roman" w:cstheme="minorHAnsi"/>
        </w:rPr>
        <w:t>subject to meeting collateral and investor protection requirements. It also</w:t>
      </w:r>
      <w:r w:rsidRPr="00B203D4">
        <w:rPr>
          <w:rFonts w:eastAsia="Times New Roman" w:cstheme="minorHAnsi"/>
        </w:rPr>
        <w:t xml:space="preserve"> </w:t>
      </w:r>
      <w:r w:rsidR="002C1FF5">
        <w:rPr>
          <w:rFonts w:eastAsia="Times New Roman" w:cstheme="minorHAnsi"/>
        </w:rPr>
        <w:t xml:space="preserve">allows </w:t>
      </w:r>
      <w:r w:rsidR="002C1FF5">
        <w:rPr>
          <w:rFonts w:ascii="Calibri" w:eastAsia="Times New Roman" w:hAnsi="Calibri" w:cs="Calibri"/>
        </w:rPr>
        <w:t xml:space="preserve">SFC-licensed VA Brokers to </w:t>
      </w:r>
      <w:r w:rsidR="002C1FF5" w:rsidRPr="008D44AC">
        <w:rPr>
          <w:rFonts w:ascii="Calibri" w:eastAsia="Times New Roman" w:hAnsi="Calibri" w:cs="Calibri"/>
        </w:rPr>
        <w:t xml:space="preserve">route client orders to shared order books operated by SFC-licensed </w:t>
      </w:r>
      <w:r w:rsidR="002C1FF5">
        <w:rPr>
          <w:rFonts w:ascii="Calibri" w:eastAsia="Times New Roman" w:hAnsi="Calibri" w:cs="Calibri"/>
        </w:rPr>
        <w:t xml:space="preserve">VATP </w:t>
      </w:r>
      <w:r w:rsidR="002C1FF5" w:rsidRPr="008D44AC">
        <w:rPr>
          <w:rFonts w:ascii="Calibri" w:eastAsia="Times New Roman" w:hAnsi="Calibri" w:cs="Calibri"/>
        </w:rPr>
        <w:t xml:space="preserve">operators and their </w:t>
      </w:r>
      <w:r w:rsidR="002C1FF5">
        <w:rPr>
          <w:rFonts w:ascii="Calibri" w:eastAsia="Times New Roman" w:hAnsi="Calibri" w:cs="Calibri"/>
        </w:rPr>
        <w:t xml:space="preserve">overseas </w:t>
      </w:r>
      <w:r w:rsidR="002C1FF5" w:rsidRPr="008D44AC">
        <w:rPr>
          <w:rFonts w:ascii="Calibri" w:eastAsia="Times New Roman" w:hAnsi="Calibri" w:cs="Calibri"/>
        </w:rPr>
        <w:t>affiliates</w:t>
      </w:r>
      <w:r w:rsidR="009C48BD">
        <w:rPr>
          <w:rFonts w:ascii="Calibri" w:eastAsia="Times New Roman" w:hAnsi="Calibri" w:cs="Calibri"/>
        </w:rPr>
        <w:t>,</w:t>
      </w:r>
      <w:r w:rsidR="002C1FF5">
        <w:rPr>
          <w:rFonts w:eastAsia="Times New Roman" w:cstheme="minorHAnsi"/>
        </w:rPr>
        <w:t xml:space="preserve"> sets out the conditions to which this is subject</w:t>
      </w:r>
      <w:r w:rsidR="009C48BD">
        <w:rPr>
          <w:rFonts w:eastAsia="Times New Roman" w:cstheme="minorHAnsi"/>
        </w:rPr>
        <w:t>,</w:t>
      </w:r>
      <w:r w:rsidR="002C1FF5">
        <w:rPr>
          <w:rFonts w:eastAsia="Times New Roman" w:cstheme="minorHAnsi"/>
        </w:rPr>
        <w:t xml:space="preserve"> and </w:t>
      </w:r>
      <w:r w:rsidR="00B3720A">
        <w:rPr>
          <w:rFonts w:eastAsia="Times New Roman" w:cstheme="minorHAnsi"/>
        </w:rPr>
        <w:t xml:space="preserve">imposes obligations on </w:t>
      </w:r>
      <w:r w:rsidR="00B3720A">
        <w:rPr>
          <w:rFonts w:ascii="Calibri" w:eastAsia="Times New Roman" w:hAnsi="Calibri" w:cs="Calibri"/>
        </w:rPr>
        <w:t xml:space="preserve">SFC-licensed VA Brokers that allow </w:t>
      </w:r>
      <w:r w:rsidRPr="00B203D4">
        <w:rPr>
          <w:rFonts w:eastAsia="Times New Roman" w:cstheme="minorHAnsi"/>
        </w:rPr>
        <w:t xml:space="preserve">client VA withdrawals. </w:t>
      </w:r>
      <w:r w:rsidR="002C1FF5">
        <w:rPr>
          <w:rFonts w:eastAsia="Times New Roman" w:cstheme="minorHAnsi"/>
        </w:rPr>
        <w:t>The s</w:t>
      </w:r>
      <w:r w:rsidR="002C1FF5" w:rsidRPr="00B203D4">
        <w:rPr>
          <w:rFonts w:eastAsia="Times New Roman" w:cstheme="minorHAnsi"/>
        </w:rPr>
        <w:t>econd</w:t>
      </w:r>
      <w:r w:rsidR="002C1FF5">
        <w:rPr>
          <w:rFonts w:eastAsia="Times New Roman" w:cstheme="minorHAnsi"/>
        </w:rPr>
        <w:t xml:space="preserve"> </w:t>
      </w:r>
      <w:r w:rsidR="002C1FF5" w:rsidRPr="00B203D4">
        <w:rPr>
          <w:rFonts w:eastAsia="Times New Roman" w:cstheme="minorHAnsi"/>
        </w:rPr>
        <w:t xml:space="preserve">circular </w:t>
      </w:r>
      <w:r w:rsidR="002C1FF5">
        <w:rPr>
          <w:rFonts w:eastAsia="Times New Roman" w:cstheme="minorHAnsi"/>
        </w:rPr>
        <w:t>allow</w:t>
      </w:r>
      <w:r w:rsidR="002C1FF5" w:rsidRPr="00B203D4">
        <w:rPr>
          <w:rFonts w:eastAsia="Times New Roman" w:cstheme="minorHAnsi"/>
        </w:rPr>
        <w:t>s affiliates</w:t>
      </w:r>
      <w:r w:rsidR="002C1FF5" w:rsidRPr="005C1B88">
        <w:rPr>
          <w:rFonts w:eastAsia="Times New Roman" w:cstheme="minorHAnsi"/>
        </w:rPr>
        <w:t xml:space="preserve"> of SFC-</w:t>
      </w:r>
      <w:r w:rsidR="002C1FF5" w:rsidRPr="00B203D4">
        <w:rPr>
          <w:rFonts w:eastAsia="Times New Roman" w:cstheme="minorHAnsi"/>
        </w:rPr>
        <w:t xml:space="preserve">licensed VATPs to </w:t>
      </w:r>
      <w:r w:rsidR="002C1FF5" w:rsidRPr="005C1B88">
        <w:rPr>
          <w:rFonts w:eastAsia="Times New Roman" w:cstheme="minorHAnsi"/>
        </w:rPr>
        <w:t xml:space="preserve">act </w:t>
      </w:r>
      <w:r w:rsidR="002C1FF5" w:rsidRPr="00B203D4">
        <w:rPr>
          <w:rFonts w:eastAsia="Times New Roman" w:cstheme="minorHAnsi"/>
        </w:rPr>
        <w:t>as market makers on their platforms, subject to robust conflict-of-interest safeguards.</w:t>
      </w:r>
      <w:r w:rsidR="002C1FF5">
        <w:rPr>
          <w:rFonts w:eastAsia="Times New Roman" w:cstheme="minorHAnsi"/>
        </w:rPr>
        <w:t xml:space="preserve"> </w:t>
      </w:r>
      <w:r w:rsidR="00AD7069">
        <w:rPr>
          <w:rFonts w:eastAsia="Times New Roman" w:cstheme="minorHAnsi"/>
        </w:rPr>
        <w:t xml:space="preserve">The </w:t>
      </w:r>
      <w:r w:rsidR="0030340F">
        <w:rPr>
          <w:rFonts w:eastAsia="Times New Roman" w:cstheme="minorHAnsi"/>
        </w:rPr>
        <w:t>t</w:t>
      </w:r>
      <w:r w:rsidR="0030340F" w:rsidRPr="00B203D4">
        <w:rPr>
          <w:rFonts w:eastAsia="Times New Roman" w:cstheme="minorHAnsi"/>
        </w:rPr>
        <w:t>hir</w:t>
      </w:r>
      <w:r w:rsidR="0030340F">
        <w:rPr>
          <w:rFonts w:eastAsia="Times New Roman" w:cstheme="minorHAnsi"/>
        </w:rPr>
        <w:t>d</w:t>
      </w:r>
      <w:r w:rsidR="0030340F" w:rsidRPr="00B203D4">
        <w:rPr>
          <w:rFonts w:eastAsia="Times New Roman" w:cstheme="minorHAnsi"/>
        </w:rPr>
        <w:t xml:space="preserve"> </w:t>
      </w:r>
      <w:r w:rsidR="00AD7069">
        <w:rPr>
          <w:rFonts w:eastAsia="Times New Roman" w:cstheme="minorHAnsi"/>
        </w:rPr>
        <w:t>circular sets out</w:t>
      </w:r>
      <w:r w:rsidRPr="00B203D4">
        <w:rPr>
          <w:rFonts w:eastAsia="Times New Roman" w:cstheme="minorHAnsi"/>
        </w:rPr>
        <w:t xml:space="preserve"> a high-level framework to guide </w:t>
      </w:r>
      <w:r w:rsidR="003B2F3F">
        <w:rPr>
          <w:rFonts w:eastAsia="Times New Roman" w:cstheme="minorHAnsi"/>
        </w:rPr>
        <w:t>SFC-</w:t>
      </w:r>
      <w:r w:rsidRPr="00B203D4">
        <w:rPr>
          <w:rFonts w:eastAsia="Times New Roman" w:cstheme="minorHAnsi"/>
        </w:rPr>
        <w:t xml:space="preserve">licensed VATPs in developing proposals for VA perpetual contracts — a form of leveraged derivative instrument — for offering exclusively to professional investors. </w:t>
      </w:r>
    </w:p>
    <w:p w14:paraId="2DE70932" w14:textId="77777777" w:rsidR="00B203D4" w:rsidRPr="005C1B88" w:rsidRDefault="00B203D4" w:rsidP="005C1B88">
      <w:pPr>
        <w:spacing w:before="100" w:beforeAutospacing="1" w:after="100" w:afterAutospacing="1" w:line="240" w:lineRule="auto"/>
        <w:jc w:val="both"/>
        <w:rPr>
          <w:rFonts w:eastAsia="Times New Roman" w:cstheme="minorHAnsi"/>
          <w:b/>
        </w:rPr>
      </w:pPr>
      <w:r w:rsidRPr="005C1B88">
        <w:rPr>
          <w:rFonts w:cstheme="minorHAnsi"/>
        </w:rPr>
        <w:t xml:space="preserve">This </w:t>
      </w:r>
      <w:r w:rsidR="003B2F3F">
        <w:rPr>
          <w:rFonts w:cstheme="minorHAnsi"/>
        </w:rPr>
        <w:t xml:space="preserve">newsletter </w:t>
      </w:r>
      <w:r w:rsidRPr="005C1B88">
        <w:rPr>
          <w:rFonts w:cstheme="minorHAnsi"/>
        </w:rPr>
        <w:t>examines each of the three</w:t>
      </w:r>
      <w:r w:rsidR="005C1B88" w:rsidRPr="005C1B88">
        <w:rPr>
          <w:rFonts w:cstheme="minorHAnsi"/>
        </w:rPr>
        <w:t xml:space="preserve"> circulars</w:t>
      </w:r>
      <w:r w:rsidR="009C48BD">
        <w:rPr>
          <w:rFonts w:cstheme="minorHAnsi"/>
        </w:rPr>
        <w:t xml:space="preserve"> and sets</w:t>
      </w:r>
      <w:r w:rsidRPr="005C1B88">
        <w:rPr>
          <w:rFonts w:cstheme="minorHAnsi"/>
        </w:rPr>
        <w:t xml:space="preserve"> out their key requirements.</w:t>
      </w:r>
    </w:p>
    <w:p w14:paraId="13589404" w14:textId="77777777" w:rsidR="005C1B88" w:rsidRDefault="005C1B88" w:rsidP="005C1B88">
      <w:pPr>
        <w:spacing w:before="100" w:beforeAutospacing="1" w:after="100" w:afterAutospacing="1" w:line="240" w:lineRule="auto"/>
        <w:jc w:val="both"/>
        <w:rPr>
          <w:rFonts w:ascii="Calibri" w:eastAsia="Times New Roman" w:hAnsi="Calibri" w:cs="Calibri"/>
          <w:b/>
        </w:rPr>
      </w:pPr>
      <w:r w:rsidRPr="005C1B88">
        <w:rPr>
          <w:rFonts w:ascii="Calibri" w:eastAsia="Times New Roman" w:hAnsi="Calibri" w:cs="Calibri"/>
          <w:b/>
          <w:color w:val="FF0000"/>
        </w:rPr>
        <w:t xml:space="preserve">SFC Circular on </w:t>
      </w:r>
      <w:r w:rsidR="00E80F71">
        <w:rPr>
          <w:rFonts w:ascii="Calibri" w:eastAsia="Times New Roman" w:hAnsi="Calibri" w:cs="Calibri"/>
          <w:b/>
          <w:color w:val="FF0000"/>
        </w:rPr>
        <w:t>Virtual A</w:t>
      </w:r>
      <w:r w:rsidRPr="005C1B88">
        <w:rPr>
          <w:rFonts w:ascii="Calibri" w:eastAsia="Times New Roman" w:hAnsi="Calibri" w:cs="Calibri"/>
          <w:b/>
          <w:color w:val="FF0000"/>
        </w:rPr>
        <w:t xml:space="preserve">sset </w:t>
      </w:r>
      <w:r w:rsidR="00E80F71">
        <w:rPr>
          <w:rFonts w:ascii="Calibri" w:eastAsia="Times New Roman" w:hAnsi="Calibri" w:cs="Calibri"/>
          <w:b/>
          <w:color w:val="FF0000"/>
        </w:rPr>
        <w:t>F</w:t>
      </w:r>
      <w:r w:rsidRPr="005C1B88">
        <w:rPr>
          <w:rFonts w:ascii="Calibri" w:eastAsia="Times New Roman" w:hAnsi="Calibri" w:cs="Calibri"/>
          <w:b/>
          <w:color w:val="FF0000"/>
        </w:rPr>
        <w:t>inancing</w:t>
      </w:r>
      <w:r w:rsidR="00E80F71">
        <w:rPr>
          <w:rFonts w:ascii="Calibri" w:eastAsia="Times New Roman" w:hAnsi="Calibri" w:cs="Calibri"/>
          <w:b/>
          <w:color w:val="FF0000"/>
        </w:rPr>
        <w:t>, Shared Order Book Access and S</w:t>
      </w:r>
      <w:r w:rsidRPr="005C1B88">
        <w:rPr>
          <w:rFonts w:ascii="Calibri" w:eastAsia="Times New Roman" w:hAnsi="Calibri" w:cs="Calibri"/>
          <w:b/>
          <w:color w:val="FF0000"/>
        </w:rPr>
        <w:t>afeguard</w:t>
      </w:r>
      <w:r w:rsidR="00E80F71">
        <w:rPr>
          <w:rFonts w:ascii="Calibri" w:eastAsia="Times New Roman" w:hAnsi="Calibri" w:cs="Calibri"/>
          <w:b/>
          <w:color w:val="FF0000"/>
        </w:rPr>
        <w:t>s for Client Virtual Assets relating to W</w:t>
      </w:r>
      <w:r w:rsidRPr="005C1B88">
        <w:rPr>
          <w:rFonts w:ascii="Calibri" w:eastAsia="Times New Roman" w:hAnsi="Calibri" w:cs="Calibri"/>
          <w:b/>
          <w:color w:val="FF0000"/>
        </w:rPr>
        <w:t>ithdrawals</w:t>
      </w:r>
      <w:r w:rsidRPr="005C1B88">
        <w:rPr>
          <w:rFonts w:ascii="Calibri" w:eastAsia="Times New Roman" w:hAnsi="Calibri" w:cs="Calibri"/>
          <w:b/>
        </w:rPr>
        <w:t xml:space="preserve"> </w:t>
      </w:r>
    </w:p>
    <w:p w14:paraId="4833278F" w14:textId="77777777" w:rsidR="00E80F71" w:rsidRDefault="00E80F71" w:rsidP="005C1B88">
      <w:pPr>
        <w:spacing w:before="100" w:beforeAutospacing="1" w:after="100" w:afterAutospacing="1" w:line="240" w:lineRule="auto"/>
        <w:jc w:val="both"/>
      </w:pPr>
      <w:r>
        <w:rPr>
          <w:rFonts w:ascii="Calibri" w:eastAsia="Times New Roman" w:hAnsi="Calibri" w:cs="Calibri"/>
        </w:rPr>
        <w:t xml:space="preserve">The </w:t>
      </w:r>
      <w:r w:rsidR="00CB466E">
        <w:t>SFC’s “</w:t>
      </w:r>
      <w:hyperlink r:id="rId6" w:history="1">
        <w:r w:rsidR="00CB466E" w:rsidRPr="00CB466E">
          <w:rPr>
            <w:rStyle w:val="a5"/>
          </w:rPr>
          <w:t>Circular on licensed corporations providing virtual asset dealing services (1) to offer financing for virtual asset dealing and access to shared order book, and (2) to safeguard client virtual assets relating to withdrawals</w:t>
        </w:r>
      </w:hyperlink>
      <w:r w:rsidR="00D0364E">
        <w:t>” (</w:t>
      </w:r>
      <w:r w:rsidR="00CB466E" w:rsidRPr="00CB466E">
        <w:rPr>
          <w:b/>
        </w:rPr>
        <w:t>SFC</w:t>
      </w:r>
      <w:r w:rsidR="00CB466E">
        <w:t xml:space="preserve"> </w:t>
      </w:r>
      <w:r w:rsidR="00CB466E">
        <w:rPr>
          <w:rStyle w:val="a4"/>
        </w:rPr>
        <w:t>VA Broker Circular</w:t>
      </w:r>
      <w:r w:rsidR="00CB466E">
        <w:t xml:space="preserve">) is </w:t>
      </w:r>
      <w:r w:rsidR="00775059">
        <w:t xml:space="preserve">directed at </w:t>
      </w:r>
      <w:r w:rsidR="00CB466E">
        <w:t xml:space="preserve">SFC-licensed VA </w:t>
      </w:r>
      <w:r w:rsidR="00775059" w:rsidRPr="00EB7A15">
        <w:t>Brokers</w:t>
      </w:r>
      <w:r w:rsidR="00EB7A15">
        <w:t xml:space="preserve"> that </w:t>
      </w:r>
      <w:r w:rsidR="0028208B">
        <w:t xml:space="preserve">offer </w:t>
      </w:r>
      <w:r w:rsidR="00EB7A15">
        <w:t>VA</w:t>
      </w:r>
      <w:r w:rsidR="0028208B">
        <w:t xml:space="preserve"> dealing</w:t>
      </w:r>
      <w:r w:rsidR="00EB7A15">
        <w:t xml:space="preserve"> </w:t>
      </w:r>
      <w:r w:rsidR="00775059">
        <w:t xml:space="preserve"> through </w:t>
      </w:r>
      <w:r w:rsidR="00CB466E">
        <w:t xml:space="preserve">an omnibus account arrangement with </w:t>
      </w:r>
      <w:r w:rsidR="0028208B">
        <w:t>an SFC-licensed VATP operator</w:t>
      </w:r>
      <w:r w:rsidR="00CB466E">
        <w:t xml:space="preserve">. The SFC VA Broker Circular addresses </w:t>
      </w:r>
      <w:r w:rsidR="00B43B96">
        <w:t xml:space="preserve">three distinct topics: the introduction of a framework under which </w:t>
      </w:r>
      <w:r w:rsidR="00775059">
        <w:t>SFC-licensed VA B</w:t>
      </w:r>
      <w:r w:rsidR="00B43B96">
        <w:t xml:space="preserve">rokers may, for the first time, extend credit to clients for the purpose of VA dealing; the regulatory expectations that apply when SFC-licensed </w:t>
      </w:r>
      <w:r w:rsidR="00775059">
        <w:t>VA B</w:t>
      </w:r>
      <w:r w:rsidR="00B43B96">
        <w:t xml:space="preserve">rokers route client orders through shared order books operated by SFC-licensed VATPs and their global affiliates; and enhanced safeguards that SFC-licensed </w:t>
      </w:r>
      <w:r w:rsidR="00775059">
        <w:t>VA B</w:t>
      </w:r>
      <w:r w:rsidR="00B43B96">
        <w:t>rokers must put in place where they offer clients the ability to withdraw VAs to external wallets.</w:t>
      </w:r>
    </w:p>
    <w:p w14:paraId="6D816513" w14:textId="77777777" w:rsidR="00BF7456" w:rsidRPr="008B4B53" w:rsidRDefault="00BF7456" w:rsidP="00947206">
      <w:pPr>
        <w:spacing w:before="100" w:beforeAutospacing="1" w:after="100" w:afterAutospacing="1" w:line="240" w:lineRule="auto"/>
        <w:jc w:val="both"/>
        <w:rPr>
          <w:rFonts w:ascii="Calibri" w:eastAsia="Times New Roman" w:hAnsi="Calibri" w:cs="Calibri"/>
          <w:color w:val="000000" w:themeColor="text1"/>
        </w:rPr>
      </w:pPr>
      <w:r w:rsidRPr="008B4B53">
        <w:rPr>
          <w:rStyle w:val="a4"/>
          <w:color w:val="000000" w:themeColor="text1"/>
        </w:rPr>
        <w:t>SFC Lifts Prohibition on Margin Financing for Virtual Asset Dealing</w:t>
      </w:r>
    </w:p>
    <w:p w14:paraId="180F78B9" w14:textId="77777777" w:rsidR="006208EF" w:rsidRDefault="00BF7456" w:rsidP="00947206">
      <w:pPr>
        <w:spacing w:before="100" w:beforeAutospacing="1" w:after="100" w:afterAutospacing="1" w:line="240" w:lineRule="auto"/>
        <w:jc w:val="both"/>
      </w:pPr>
      <w:r>
        <w:t xml:space="preserve">Until now, paragraph 4.4 of the </w:t>
      </w:r>
      <w:hyperlink r:id="rId7" w:history="1">
        <w:r w:rsidRPr="00947206">
          <w:rPr>
            <w:rStyle w:val="a5"/>
          </w:rPr>
          <w:t>Terms and Conditions for Licensed Corporations or Registered Institutions Providing Virtual Asset Dealing Services under an Omnibus Account Arrangement</w:t>
        </w:r>
      </w:hyperlink>
      <w:r>
        <w:t xml:space="preserve"> (</w:t>
      </w:r>
      <w:r w:rsidRPr="006208EF">
        <w:rPr>
          <w:b/>
        </w:rPr>
        <w:t>Terms and Conditions</w:t>
      </w:r>
      <w:r>
        <w:t xml:space="preserve">) prohibited the provision of any financial accommodation by </w:t>
      </w:r>
      <w:r w:rsidR="00947206">
        <w:t>SFC-</w:t>
      </w:r>
      <w:r>
        <w:t xml:space="preserve">licensed corporations and registered institutions to clients for VA acquisition. </w:t>
      </w:r>
      <w:r w:rsidR="008D44AC" w:rsidRPr="008D44AC">
        <w:rPr>
          <w:rFonts w:ascii="Calibri" w:eastAsia="Times New Roman" w:hAnsi="Calibri" w:cs="Calibri"/>
        </w:rPr>
        <w:t xml:space="preserve">Under </w:t>
      </w:r>
      <w:r w:rsidR="006208EF">
        <w:t xml:space="preserve">Pillar P (Product) of the ASPIRe Roadmap, the SFC has now relaxed this prohibition to permit SFC-licensed VA Brokers that </w:t>
      </w:r>
      <w:r w:rsidR="008C1F88">
        <w:t>engage</w:t>
      </w:r>
      <w:r w:rsidR="006208EF">
        <w:t xml:space="preserve"> in securities margin financing to </w:t>
      </w:r>
      <w:r w:rsidR="006208EF">
        <w:lastRenderedPageBreak/>
        <w:t>extend credit to their margin clients for VA dealing (</w:t>
      </w:r>
      <w:r w:rsidR="00E518F3">
        <w:rPr>
          <w:rStyle w:val="a4"/>
        </w:rPr>
        <w:t>VA Margin F</w:t>
      </w:r>
      <w:r w:rsidR="006208EF">
        <w:rPr>
          <w:rStyle w:val="a4"/>
        </w:rPr>
        <w:t>inancing</w:t>
      </w:r>
      <w:r w:rsidR="006208EF">
        <w:t>), provided that such financing is supported by sufficient collateral and subject to the safeguards set out in the SFC VA Broker Circular. The SFC has indicated that the Terms and Conditions will be revised to reflect this relaxation.</w:t>
      </w:r>
    </w:p>
    <w:p w14:paraId="24971D90" w14:textId="77777777" w:rsidR="006208EF" w:rsidRPr="006208EF" w:rsidRDefault="006208EF" w:rsidP="00947206">
      <w:pPr>
        <w:spacing w:before="100" w:beforeAutospacing="1" w:after="100" w:afterAutospacing="1" w:line="240" w:lineRule="auto"/>
        <w:jc w:val="both"/>
      </w:pPr>
      <w:r>
        <w:rPr>
          <w:rStyle w:val="a4"/>
        </w:rPr>
        <w:t>Who Is Eligible for VA Margin Financing in Hong Kong?</w:t>
      </w:r>
    </w:p>
    <w:p w14:paraId="5455D44F" w14:textId="77777777" w:rsidR="008A6B9B" w:rsidRDefault="00E518F3" w:rsidP="00E518F3">
      <w:pPr>
        <w:pStyle w:val="a3"/>
        <w:jc w:val="both"/>
        <w:rPr>
          <w:rFonts w:asciiTheme="minorHAnsi" w:eastAsiaTheme="minorHAnsi" w:hAnsiTheme="minorHAnsi" w:cstheme="minorBidi"/>
          <w:sz w:val="22"/>
          <w:szCs w:val="22"/>
        </w:rPr>
      </w:pPr>
      <w:r w:rsidRPr="00E518F3">
        <w:rPr>
          <w:rFonts w:asciiTheme="minorHAnsi" w:eastAsiaTheme="minorHAnsi" w:hAnsiTheme="minorHAnsi" w:cstheme="minorBidi"/>
          <w:sz w:val="22"/>
          <w:szCs w:val="22"/>
        </w:rPr>
        <w:t xml:space="preserve">SFC-licensed VA Brokers </w:t>
      </w:r>
      <w:r>
        <w:rPr>
          <w:rFonts w:asciiTheme="minorHAnsi" w:eastAsiaTheme="minorHAnsi" w:hAnsiTheme="minorHAnsi" w:cstheme="minorBidi"/>
          <w:sz w:val="22"/>
          <w:szCs w:val="22"/>
        </w:rPr>
        <w:t xml:space="preserve">can </w:t>
      </w:r>
      <w:r w:rsidRPr="00E518F3">
        <w:rPr>
          <w:rFonts w:asciiTheme="minorHAnsi" w:eastAsiaTheme="minorHAnsi" w:hAnsiTheme="minorHAnsi" w:cstheme="minorBidi"/>
          <w:sz w:val="22"/>
          <w:szCs w:val="22"/>
        </w:rPr>
        <w:t>only make VA Margin Financing available to their existing securities margin financing clients. The extension of credit must be asse</w:t>
      </w:r>
      <w:r>
        <w:rPr>
          <w:rFonts w:asciiTheme="minorHAnsi" w:eastAsiaTheme="minorHAnsi" w:hAnsiTheme="minorHAnsi" w:cstheme="minorBidi"/>
          <w:sz w:val="22"/>
          <w:szCs w:val="22"/>
        </w:rPr>
        <w:t>ssed on the basis of the client’</w:t>
      </w:r>
      <w:r w:rsidRPr="00E518F3">
        <w:rPr>
          <w:rFonts w:asciiTheme="minorHAnsi" w:eastAsiaTheme="minorHAnsi" w:hAnsiTheme="minorHAnsi" w:cstheme="minorBidi"/>
          <w:sz w:val="22"/>
          <w:szCs w:val="22"/>
        </w:rPr>
        <w:t xml:space="preserve">s financial capability and the </w:t>
      </w:r>
      <w:r w:rsidR="0082772D">
        <w:rPr>
          <w:rFonts w:asciiTheme="minorHAnsi" w:eastAsiaTheme="minorHAnsi" w:hAnsiTheme="minorHAnsi" w:cstheme="minorBidi"/>
          <w:sz w:val="22"/>
          <w:szCs w:val="22"/>
        </w:rPr>
        <w:t xml:space="preserve">quality of the </w:t>
      </w:r>
      <w:r w:rsidRPr="00E518F3">
        <w:rPr>
          <w:rFonts w:asciiTheme="minorHAnsi" w:eastAsiaTheme="minorHAnsi" w:hAnsiTheme="minorHAnsi" w:cstheme="minorBidi"/>
          <w:sz w:val="22"/>
          <w:szCs w:val="22"/>
        </w:rPr>
        <w:t xml:space="preserve">securities and VA collateral posted by the client. Importantly, the SFC cautions against treating the availability of VA financing as a reason, in and of itself, to increase the credit limit of a margin client. </w:t>
      </w:r>
    </w:p>
    <w:p w14:paraId="7BBEC0F9" w14:textId="77777777" w:rsidR="00C10A5D" w:rsidRDefault="008A6B9B" w:rsidP="00C10A5D">
      <w:pPr>
        <w:pStyle w:val="a3"/>
        <w:contextualSpacing/>
        <w:jc w:val="both"/>
        <w:rPr>
          <w:rFonts w:asciiTheme="minorHAnsi" w:eastAsiaTheme="minorHAnsi" w:hAnsiTheme="minorHAnsi" w:cstheme="minorBidi"/>
          <w:sz w:val="22"/>
          <w:szCs w:val="22"/>
        </w:rPr>
      </w:pPr>
      <w:r w:rsidRPr="008A6B9B">
        <w:rPr>
          <w:rFonts w:asciiTheme="minorHAnsi" w:eastAsiaTheme="minorHAnsi" w:hAnsiTheme="minorHAnsi" w:cstheme="minorBidi"/>
          <w:sz w:val="22"/>
          <w:szCs w:val="22"/>
        </w:rPr>
        <w:t>Where a</w:t>
      </w:r>
      <w:r>
        <w:rPr>
          <w:rFonts w:asciiTheme="minorHAnsi" w:eastAsiaTheme="minorHAnsi" w:hAnsiTheme="minorHAnsi" w:cstheme="minorBidi"/>
          <w:sz w:val="22"/>
          <w:szCs w:val="22"/>
        </w:rPr>
        <w:t>n SFC-licensed</w:t>
      </w:r>
      <w:r w:rsidR="00EF46D5">
        <w:rPr>
          <w:rFonts w:asciiTheme="minorHAnsi" w:eastAsiaTheme="minorHAnsi" w:hAnsiTheme="minorHAnsi" w:cstheme="minorBidi"/>
          <w:sz w:val="22"/>
          <w:szCs w:val="22"/>
        </w:rPr>
        <w:t xml:space="preserve"> VA B</w:t>
      </w:r>
      <w:r w:rsidRPr="008A6B9B">
        <w:rPr>
          <w:rFonts w:asciiTheme="minorHAnsi" w:eastAsiaTheme="minorHAnsi" w:hAnsiTheme="minorHAnsi" w:cstheme="minorBidi"/>
          <w:sz w:val="22"/>
          <w:szCs w:val="22"/>
        </w:rPr>
        <w:t>ro</w:t>
      </w:r>
      <w:r>
        <w:rPr>
          <w:rFonts w:asciiTheme="minorHAnsi" w:eastAsiaTheme="minorHAnsi" w:hAnsiTheme="minorHAnsi" w:cstheme="minorBidi"/>
          <w:sz w:val="22"/>
          <w:szCs w:val="22"/>
        </w:rPr>
        <w:t>ker takes into account a client’</w:t>
      </w:r>
      <w:r w:rsidRPr="008A6B9B">
        <w:rPr>
          <w:rFonts w:asciiTheme="minorHAnsi" w:eastAsiaTheme="minorHAnsi" w:hAnsiTheme="minorHAnsi" w:cstheme="minorBidi"/>
          <w:sz w:val="22"/>
          <w:szCs w:val="22"/>
        </w:rPr>
        <w:t xml:space="preserve">s VA holdings in assessing financial capability, </w:t>
      </w:r>
      <w:r>
        <w:rPr>
          <w:rFonts w:asciiTheme="minorHAnsi" w:eastAsiaTheme="minorHAnsi" w:hAnsiTheme="minorHAnsi" w:cstheme="minorBidi"/>
          <w:sz w:val="22"/>
          <w:szCs w:val="22"/>
        </w:rPr>
        <w:t xml:space="preserve">it </w:t>
      </w:r>
      <w:r w:rsidRPr="008A6B9B">
        <w:rPr>
          <w:rFonts w:asciiTheme="minorHAnsi" w:eastAsiaTheme="minorHAnsi" w:hAnsiTheme="minorHAnsi" w:cstheme="minorBidi"/>
          <w:sz w:val="22"/>
          <w:szCs w:val="22"/>
        </w:rPr>
        <w:t>must give due consideration to a range of VA-specific risk factors, including</w:t>
      </w:r>
      <w:r w:rsidR="00C10A5D">
        <w:rPr>
          <w:rFonts w:asciiTheme="minorHAnsi" w:eastAsiaTheme="minorHAnsi" w:hAnsiTheme="minorHAnsi" w:cstheme="minorBidi"/>
          <w:sz w:val="22"/>
          <w:szCs w:val="22"/>
        </w:rPr>
        <w:t>:</w:t>
      </w:r>
    </w:p>
    <w:p w14:paraId="5FFE0E56" w14:textId="77777777" w:rsidR="00C10A5D" w:rsidRDefault="00C10A5D" w:rsidP="00606BC0">
      <w:pPr>
        <w:numPr>
          <w:ilvl w:val="0"/>
          <w:numId w:val="7"/>
        </w:numPr>
        <w:spacing w:before="100" w:beforeAutospacing="1" w:after="100" w:afterAutospacing="1" w:line="240" w:lineRule="auto"/>
        <w:contextualSpacing/>
        <w:jc w:val="both"/>
      </w:pPr>
      <w:r>
        <w:rPr>
          <w:rStyle w:val="a4"/>
        </w:rPr>
        <w:t>asset-level risks:</w:t>
      </w:r>
      <w:r>
        <w:t xml:space="preserve"> the quality, historical price volatility and price gap risk of the relevant VA, the sustainability of its valuation, and the depth of its market liquidity;</w:t>
      </w:r>
    </w:p>
    <w:p w14:paraId="3078D914" w14:textId="77777777" w:rsidR="00C10A5D" w:rsidRDefault="00C10A5D" w:rsidP="00606BC0">
      <w:pPr>
        <w:spacing w:before="100" w:beforeAutospacing="1" w:after="100" w:afterAutospacing="1" w:line="240" w:lineRule="auto"/>
        <w:ind w:left="720"/>
        <w:contextualSpacing/>
        <w:jc w:val="both"/>
      </w:pPr>
    </w:p>
    <w:p w14:paraId="272C93F5" w14:textId="77777777" w:rsidR="00C10A5D" w:rsidRDefault="00C10A5D" w:rsidP="00C02680">
      <w:pPr>
        <w:numPr>
          <w:ilvl w:val="0"/>
          <w:numId w:val="7"/>
        </w:numPr>
        <w:spacing w:before="100" w:beforeAutospacing="1" w:after="100" w:afterAutospacing="1" w:line="240" w:lineRule="auto"/>
        <w:ind w:left="714" w:hanging="357"/>
        <w:contextualSpacing/>
        <w:jc w:val="both"/>
      </w:pPr>
      <w:r>
        <w:rPr>
          <w:rStyle w:val="a4"/>
        </w:rPr>
        <w:t>idiosyncratic risks:</w:t>
      </w:r>
      <w:r>
        <w:t xml:space="preserve"> events such as infrastructure failures or other disruptions specific to a particular VA;</w:t>
      </w:r>
    </w:p>
    <w:p w14:paraId="7434E09D" w14:textId="77777777" w:rsidR="00C10A5D" w:rsidRPr="00C10A5D" w:rsidRDefault="00C10A5D" w:rsidP="00C10A5D">
      <w:pPr>
        <w:spacing w:before="100" w:beforeAutospacing="1" w:after="100" w:afterAutospacing="1" w:line="240" w:lineRule="auto"/>
        <w:ind w:left="714"/>
        <w:contextualSpacing/>
        <w:rPr>
          <w:rStyle w:val="a4"/>
          <w:b w:val="0"/>
          <w:bCs w:val="0"/>
        </w:rPr>
      </w:pPr>
    </w:p>
    <w:p w14:paraId="2B99D33C" w14:textId="77777777" w:rsidR="00C02680" w:rsidRDefault="00C02680" w:rsidP="00C02680">
      <w:pPr>
        <w:numPr>
          <w:ilvl w:val="0"/>
          <w:numId w:val="7"/>
        </w:numPr>
        <w:spacing w:before="100" w:beforeAutospacing="1" w:after="100" w:afterAutospacing="1" w:line="240" w:lineRule="auto"/>
        <w:ind w:left="714" w:hanging="357"/>
        <w:contextualSpacing/>
        <w:jc w:val="both"/>
      </w:pPr>
      <w:r>
        <w:rPr>
          <w:rStyle w:val="a4"/>
        </w:rPr>
        <w:t>d</w:t>
      </w:r>
      <w:r w:rsidR="00C10A5D">
        <w:rPr>
          <w:rStyle w:val="a4"/>
        </w:rPr>
        <w:t>igital asset sector concentration:</w:t>
      </w:r>
      <w:r w:rsidR="00C10A5D">
        <w:t xml:space="preserve"> overexposure to the digital </w:t>
      </w:r>
      <w:r>
        <w:t>asset sector across the client’</w:t>
      </w:r>
      <w:r w:rsidR="00C10A5D">
        <w:t xml:space="preserve">s portfolio as a whole, taking into account not only direct VA holdings but also </w:t>
      </w:r>
      <w:r>
        <w:t xml:space="preserve">holdings of </w:t>
      </w:r>
      <w:r w:rsidR="00C10A5D">
        <w:t>VA-related products and securities of digital asset operators and d</w:t>
      </w:r>
      <w:r>
        <w:t>igital asset treasury companies;</w:t>
      </w:r>
    </w:p>
    <w:p w14:paraId="4749635D" w14:textId="77777777" w:rsidR="00C02680" w:rsidRDefault="00C02680" w:rsidP="00C02680">
      <w:pPr>
        <w:spacing w:before="100" w:beforeAutospacing="1" w:after="100" w:afterAutospacing="1" w:line="240" w:lineRule="auto"/>
        <w:ind w:left="714"/>
        <w:contextualSpacing/>
        <w:jc w:val="both"/>
      </w:pPr>
    </w:p>
    <w:p w14:paraId="6575B3F6" w14:textId="77777777" w:rsidR="00C10A5D" w:rsidRDefault="00C02680" w:rsidP="00C02680">
      <w:pPr>
        <w:numPr>
          <w:ilvl w:val="0"/>
          <w:numId w:val="7"/>
        </w:numPr>
        <w:spacing w:before="100" w:beforeAutospacing="1" w:after="100" w:afterAutospacing="1" w:line="240" w:lineRule="auto"/>
        <w:ind w:left="714" w:hanging="357"/>
        <w:contextualSpacing/>
        <w:jc w:val="both"/>
      </w:pPr>
      <w:r>
        <w:rPr>
          <w:rStyle w:val="a4"/>
        </w:rPr>
        <w:t>c</w:t>
      </w:r>
      <w:r w:rsidR="00C10A5D">
        <w:rPr>
          <w:rStyle w:val="a4"/>
        </w:rPr>
        <w:t>orrelation risk in stress scenarios:</w:t>
      </w:r>
      <w:r w:rsidR="00C10A5D">
        <w:t xml:space="preserve"> the </w:t>
      </w:r>
      <w:r>
        <w:t xml:space="preserve">potential </w:t>
      </w:r>
      <w:r w:rsidR="00C10A5D">
        <w:t>for returns on digital assets and equities to become more closely correlated during periods of market stress</w:t>
      </w:r>
      <w:r>
        <w:t>;</w:t>
      </w:r>
    </w:p>
    <w:p w14:paraId="6F85C1A6" w14:textId="77777777" w:rsidR="00C02680" w:rsidRDefault="00C02680" w:rsidP="00C02680">
      <w:pPr>
        <w:spacing w:before="100" w:beforeAutospacing="1" w:after="100" w:afterAutospacing="1" w:line="240" w:lineRule="auto"/>
        <w:ind w:left="714"/>
        <w:contextualSpacing/>
        <w:jc w:val="both"/>
      </w:pPr>
    </w:p>
    <w:p w14:paraId="796302F9" w14:textId="77777777" w:rsidR="00C10A5D" w:rsidRDefault="00C02680" w:rsidP="00C02680">
      <w:pPr>
        <w:numPr>
          <w:ilvl w:val="0"/>
          <w:numId w:val="7"/>
        </w:numPr>
        <w:spacing w:before="100" w:beforeAutospacing="1" w:after="100" w:afterAutospacing="1" w:line="240" w:lineRule="auto"/>
        <w:ind w:left="714" w:hanging="357"/>
        <w:contextualSpacing/>
        <w:jc w:val="both"/>
      </w:pPr>
      <w:r>
        <w:rPr>
          <w:rStyle w:val="a4"/>
        </w:rPr>
        <w:t>r</w:t>
      </w:r>
      <w:r w:rsidR="00C10A5D">
        <w:rPr>
          <w:rStyle w:val="a4"/>
        </w:rPr>
        <w:t>epayment capacity:</w:t>
      </w:r>
      <w:r w:rsidR="00C10A5D">
        <w:t xml:space="preserve"> the potential for a downturn in</w:t>
      </w:r>
      <w:r>
        <w:t xml:space="preserve"> VA markets to erode the client’</w:t>
      </w:r>
      <w:r w:rsidR="00C10A5D">
        <w:t>s abi</w:t>
      </w:r>
      <w:r>
        <w:t>lity to service its repayment obligations; and</w:t>
      </w:r>
    </w:p>
    <w:p w14:paraId="66760C75" w14:textId="77777777" w:rsidR="00C02680" w:rsidRDefault="00C02680" w:rsidP="00C02680">
      <w:pPr>
        <w:spacing w:before="100" w:beforeAutospacing="1" w:after="100" w:afterAutospacing="1" w:line="240" w:lineRule="auto"/>
        <w:ind w:left="714"/>
        <w:contextualSpacing/>
        <w:jc w:val="both"/>
      </w:pPr>
    </w:p>
    <w:p w14:paraId="59C8C409" w14:textId="77777777" w:rsidR="00C10A5D" w:rsidRDefault="00C02680" w:rsidP="00C02680">
      <w:pPr>
        <w:numPr>
          <w:ilvl w:val="0"/>
          <w:numId w:val="7"/>
        </w:numPr>
        <w:spacing w:before="100" w:beforeAutospacing="1" w:after="100" w:afterAutospacing="1" w:line="240" w:lineRule="auto"/>
        <w:ind w:left="714" w:hanging="357"/>
        <w:contextualSpacing/>
        <w:jc w:val="both"/>
      </w:pPr>
      <w:r>
        <w:rPr>
          <w:rStyle w:val="a4"/>
        </w:rPr>
        <w:t>c</w:t>
      </w:r>
      <w:r w:rsidR="00C10A5D">
        <w:rPr>
          <w:rStyle w:val="a4"/>
        </w:rPr>
        <w:t>orporate group exposure (corporate clients only):</w:t>
      </w:r>
      <w:r w:rsidR="000020BC">
        <w:t xml:space="preserve"> where the client’</w:t>
      </w:r>
      <w:r w:rsidR="00C10A5D">
        <w:t>s financial capability is dependent on or referable to the financial soundness of group companies or related parties, the VA exposure of those entities must also be assessed.</w:t>
      </w:r>
    </w:p>
    <w:p w14:paraId="06157DD1" w14:textId="77777777" w:rsidR="00E518F3" w:rsidRPr="00E518F3" w:rsidRDefault="00E518F3" w:rsidP="00842CD7">
      <w:pPr>
        <w:pStyle w:val="a3"/>
        <w:jc w:val="both"/>
        <w:rPr>
          <w:rFonts w:asciiTheme="minorHAnsi" w:eastAsiaTheme="minorHAnsi" w:hAnsiTheme="minorHAnsi" w:cstheme="minorBidi"/>
          <w:sz w:val="22"/>
          <w:szCs w:val="22"/>
        </w:rPr>
      </w:pPr>
      <w:r w:rsidRPr="00E518F3">
        <w:rPr>
          <w:rFonts w:asciiTheme="minorHAnsi" w:eastAsiaTheme="minorHAnsi" w:hAnsiTheme="minorHAnsi" w:cstheme="minorBidi"/>
          <w:sz w:val="22"/>
          <w:szCs w:val="22"/>
        </w:rPr>
        <w:t xml:space="preserve">The </w:t>
      </w:r>
      <w:r w:rsidR="008A6B9B">
        <w:rPr>
          <w:rFonts w:asciiTheme="minorHAnsi" w:eastAsiaTheme="minorHAnsi" w:hAnsiTheme="minorHAnsi" w:cstheme="minorBidi"/>
          <w:sz w:val="22"/>
          <w:szCs w:val="22"/>
        </w:rPr>
        <w:t xml:space="preserve">SFC </w:t>
      </w:r>
      <w:r w:rsidRPr="00E518F3">
        <w:rPr>
          <w:rFonts w:asciiTheme="minorHAnsi" w:eastAsiaTheme="minorHAnsi" w:hAnsiTheme="minorHAnsi" w:cstheme="minorBidi"/>
          <w:sz w:val="22"/>
          <w:szCs w:val="22"/>
        </w:rPr>
        <w:t xml:space="preserve">VA Broker Circular </w:t>
      </w:r>
      <w:r w:rsidR="000020BC">
        <w:rPr>
          <w:rFonts w:asciiTheme="minorHAnsi" w:eastAsiaTheme="minorHAnsi" w:hAnsiTheme="minorHAnsi" w:cstheme="minorBidi"/>
          <w:sz w:val="22"/>
          <w:szCs w:val="22"/>
        </w:rPr>
        <w:t xml:space="preserve">also notes </w:t>
      </w:r>
      <w:r w:rsidRPr="00E518F3">
        <w:rPr>
          <w:rFonts w:asciiTheme="minorHAnsi" w:eastAsiaTheme="minorHAnsi" w:hAnsiTheme="minorHAnsi" w:cstheme="minorBidi"/>
          <w:sz w:val="22"/>
          <w:szCs w:val="22"/>
        </w:rPr>
        <w:t>that VAs as an asset class have limited performance records during major systemic shocks, that even the most actively traded VA</w:t>
      </w:r>
      <w:r w:rsidR="00842CD7">
        <w:rPr>
          <w:rFonts w:asciiTheme="minorHAnsi" w:eastAsiaTheme="minorHAnsi" w:hAnsiTheme="minorHAnsi" w:cstheme="minorBidi"/>
          <w:sz w:val="22"/>
          <w:szCs w:val="22"/>
        </w:rPr>
        <w:t>s have</w:t>
      </w:r>
      <w:r w:rsidRPr="00E518F3">
        <w:rPr>
          <w:rFonts w:asciiTheme="minorHAnsi" w:eastAsiaTheme="minorHAnsi" w:hAnsiTheme="minorHAnsi" w:cstheme="minorBidi"/>
          <w:sz w:val="22"/>
          <w:szCs w:val="22"/>
        </w:rPr>
        <w:t xml:space="preserve"> experienced siz</w:t>
      </w:r>
      <w:r w:rsidR="000020BC">
        <w:rPr>
          <w:rFonts w:asciiTheme="minorHAnsi" w:eastAsiaTheme="minorHAnsi" w:hAnsiTheme="minorHAnsi" w:cstheme="minorBidi"/>
          <w:sz w:val="22"/>
          <w:szCs w:val="22"/>
        </w:rPr>
        <w:t>e</w:t>
      </w:r>
      <w:r w:rsidRPr="00E518F3">
        <w:rPr>
          <w:rFonts w:asciiTheme="minorHAnsi" w:eastAsiaTheme="minorHAnsi" w:hAnsiTheme="minorHAnsi" w:cstheme="minorBidi"/>
          <w:sz w:val="22"/>
          <w:szCs w:val="22"/>
        </w:rPr>
        <w:t>able price declines over both intraday and multi-day periods, and that increased leverage through derivatives and margin lending may amplify downside risk.</w:t>
      </w:r>
    </w:p>
    <w:p w14:paraId="018867AA" w14:textId="77777777" w:rsidR="00842CD7" w:rsidRDefault="00842CD7" w:rsidP="00E518F3">
      <w:pPr>
        <w:pStyle w:val="a3"/>
        <w:rPr>
          <w:rFonts w:asciiTheme="minorHAnsi" w:eastAsiaTheme="minorHAnsi" w:hAnsiTheme="minorHAnsi" w:cstheme="minorBidi"/>
          <w:sz w:val="22"/>
          <w:szCs w:val="22"/>
        </w:rPr>
      </w:pPr>
      <w:r>
        <w:rPr>
          <w:rFonts w:asciiTheme="minorHAnsi" w:eastAsiaTheme="minorHAnsi" w:hAnsiTheme="minorHAnsi" w:cstheme="minorBidi"/>
          <w:b/>
          <w:bCs/>
          <w:sz w:val="22"/>
          <w:szCs w:val="22"/>
        </w:rPr>
        <w:t>VA Collateral: Eligibility and Haircuts</w:t>
      </w:r>
      <w:r w:rsidR="00E518F3" w:rsidRPr="00E518F3">
        <w:rPr>
          <w:rFonts w:asciiTheme="minorHAnsi" w:eastAsiaTheme="minorHAnsi" w:hAnsiTheme="minorHAnsi" w:cstheme="minorBidi"/>
          <w:sz w:val="22"/>
          <w:szCs w:val="22"/>
        </w:rPr>
        <w:t xml:space="preserve"> </w:t>
      </w:r>
    </w:p>
    <w:p w14:paraId="68FD82BA" w14:textId="77777777" w:rsidR="00842CD7" w:rsidRDefault="00E518F3" w:rsidP="00AA1D06">
      <w:pPr>
        <w:pStyle w:val="a3"/>
        <w:contextualSpacing/>
        <w:jc w:val="both"/>
        <w:rPr>
          <w:rFonts w:asciiTheme="minorHAnsi" w:eastAsiaTheme="minorHAnsi" w:hAnsiTheme="minorHAnsi" w:cstheme="minorBidi"/>
          <w:sz w:val="22"/>
          <w:szCs w:val="22"/>
        </w:rPr>
      </w:pPr>
      <w:r w:rsidRPr="00E518F3">
        <w:rPr>
          <w:rFonts w:asciiTheme="minorHAnsi" w:eastAsiaTheme="minorHAnsi" w:hAnsiTheme="minorHAnsi" w:cstheme="minorBidi"/>
          <w:sz w:val="22"/>
          <w:szCs w:val="22"/>
        </w:rPr>
        <w:t>T</w:t>
      </w:r>
      <w:r w:rsidR="00842CD7" w:rsidRPr="00842CD7">
        <w:rPr>
          <w:rFonts w:asciiTheme="minorHAnsi" w:eastAsiaTheme="minorHAnsi" w:hAnsiTheme="minorHAnsi" w:cstheme="minorBidi"/>
          <w:sz w:val="22"/>
          <w:szCs w:val="22"/>
        </w:rPr>
        <w:t xml:space="preserve">he </w:t>
      </w:r>
      <w:r w:rsidR="00842CD7">
        <w:rPr>
          <w:rFonts w:asciiTheme="minorHAnsi" w:eastAsiaTheme="minorHAnsi" w:hAnsiTheme="minorHAnsi" w:cstheme="minorBidi"/>
          <w:sz w:val="22"/>
          <w:szCs w:val="22"/>
        </w:rPr>
        <w:t xml:space="preserve">SFC </w:t>
      </w:r>
      <w:r w:rsidR="00842CD7" w:rsidRPr="00842CD7">
        <w:rPr>
          <w:rFonts w:asciiTheme="minorHAnsi" w:eastAsiaTheme="minorHAnsi" w:hAnsiTheme="minorHAnsi" w:cstheme="minorBidi"/>
          <w:sz w:val="22"/>
          <w:szCs w:val="22"/>
        </w:rPr>
        <w:t>VA Broker Circular strikes a cautious tone on the use o</w:t>
      </w:r>
      <w:r w:rsidR="00842CD7">
        <w:rPr>
          <w:rFonts w:asciiTheme="minorHAnsi" w:eastAsiaTheme="minorHAnsi" w:hAnsiTheme="minorHAnsi" w:cstheme="minorBidi"/>
          <w:sz w:val="22"/>
          <w:szCs w:val="22"/>
        </w:rPr>
        <w:t>f VA collateral. It urges SFC-licensed</w:t>
      </w:r>
      <w:r w:rsidR="00842CD7" w:rsidRPr="00842CD7">
        <w:rPr>
          <w:rFonts w:asciiTheme="minorHAnsi" w:eastAsiaTheme="minorHAnsi" w:hAnsiTheme="minorHAnsi" w:cstheme="minorBidi"/>
          <w:sz w:val="22"/>
          <w:szCs w:val="22"/>
        </w:rPr>
        <w:t xml:space="preserve"> </w:t>
      </w:r>
      <w:r w:rsidR="00EF46D5">
        <w:rPr>
          <w:rFonts w:asciiTheme="minorHAnsi" w:eastAsiaTheme="minorHAnsi" w:hAnsiTheme="minorHAnsi" w:cstheme="minorBidi"/>
          <w:sz w:val="22"/>
          <w:szCs w:val="22"/>
        </w:rPr>
        <w:t>VA B</w:t>
      </w:r>
      <w:r w:rsidR="00842CD7">
        <w:rPr>
          <w:rFonts w:asciiTheme="minorHAnsi" w:eastAsiaTheme="minorHAnsi" w:hAnsiTheme="minorHAnsi" w:cstheme="minorBidi"/>
          <w:sz w:val="22"/>
          <w:szCs w:val="22"/>
        </w:rPr>
        <w:t xml:space="preserve">rokers </w:t>
      </w:r>
      <w:r w:rsidR="00842CD7" w:rsidRPr="00842CD7">
        <w:rPr>
          <w:rFonts w:asciiTheme="minorHAnsi" w:eastAsiaTheme="minorHAnsi" w:hAnsiTheme="minorHAnsi" w:cstheme="minorBidi"/>
          <w:sz w:val="22"/>
          <w:szCs w:val="22"/>
        </w:rPr>
        <w:t>to think carefully about whether reliance on such collateral is prudent at all, given the risk characteristics of the asset class.</w:t>
      </w:r>
      <w:r w:rsidR="00842CD7">
        <w:t xml:space="preserve"> </w:t>
      </w:r>
      <w:r w:rsidR="00842CD7" w:rsidRPr="00842CD7">
        <w:rPr>
          <w:rFonts w:ascii="Calibri" w:hAnsi="Calibri" w:cs="Calibri"/>
          <w:sz w:val="22"/>
          <w:szCs w:val="22"/>
        </w:rPr>
        <w:t xml:space="preserve">Those </w:t>
      </w:r>
      <w:r w:rsidR="00842CD7">
        <w:rPr>
          <w:rFonts w:asciiTheme="minorHAnsi" w:eastAsiaTheme="minorHAnsi" w:hAnsiTheme="minorHAnsi" w:cstheme="minorBidi"/>
          <w:sz w:val="22"/>
          <w:szCs w:val="22"/>
        </w:rPr>
        <w:t xml:space="preserve">that do choose to accept it face two </w:t>
      </w:r>
      <w:r w:rsidR="00606BC0">
        <w:rPr>
          <w:rFonts w:asciiTheme="minorHAnsi" w:eastAsiaTheme="minorHAnsi" w:hAnsiTheme="minorHAnsi" w:cstheme="minorBidi"/>
          <w:sz w:val="22"/>
          <w:szCs w:val="22"/>
        </w:rPr>
        <w:t xml:space="preserve">major </w:t>
      </w:r>
      <w:r w:rsidR="00842CD7">
        <w:rPr>
          <w:rFonts w:asciiTheme="minorHAnsi" w:eastAsiaTheme="minorHAnsi" w:hAnsiTheme="minorHAnsi" w:cstheme="minorBidi"/>
          <w:sz w:val="22"/>
          <w:szCs w:val="22"/>
        </w:rPr>
        <w:t xml:space="preserve">constraints: </w:t>
      </w:r>
    </w:p>
    <w:p w14:paraId="608D0C96" w14:textId="77777777" w:rsidR="00AA1D06" w:rsidRDefault="00AA1D06" w:rsidP="00AA1D06">
      <w:pPr>
        <w:pStyle w:val="a3"/>
        <w:contextualSpacing/>
        <w:jc w:val="both"/>
        <w:rPr>
          <w:rFonts w:asciiTheme="minorHAnsi" w:eastAsiaTheme="minorHAnsi" w:hAnsiTheme="minorHAnsi" w:cstheme="minorBidi"/>
          <w:sz w:val="22"/>
          <w:szCs w:val="22"/>
        </w:rPr>
      </w:pPr>
    </w:p>
    <w:p w14:paraId="1E28B4D4" w14:textId="77777777" w:rsidR="00842CD7" w:rsidRDefault="00842CD7" w:rsidP="00AA1D06">
      <w:pPr>
        <w:pStyle w:val="a3"/>
        <w:numPr>
          <w:ilvl w:val="0"/>
          <w:numId w:val="6"/>
        </w:numPr>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only </w:t>
      </w:r>
      <w:r w:rsidRPr="00E518F3">
        <w:rPr>
          <w:rFonts w:asciiTheme="minorHAnsi" w:eastAsiaTheme="minorHAnsi" w:hAnsiTheme="minorHAnsi" w:cstheme="minorBidi"/>
          <w:sz w:val="22"/>
          <w:szCs w:val="22"/>
        </w:rPr>
        <w:t xml:space="preserve">bitcoin and ether </w:t>
      </w:r>
      <w:r>
        <w:rPr>
          <w:rFonts w:asciiTheme="minorHAnsi" w:eastAsiaTheme="minorHAnsi" w:hAnsiTheme="minorHAnsi" w:cstheme="minorBidi"/>
          <w:sz w:val="22"/>
          <w:szCs w:val="22"/>
        </w:rPr>
        <w:t xml:space="preserve">qualify as </w:t>
      </w:r>
      <w:r w:rsidR="00E518F3" w:rsidRPr="00E518F3">
        <w:rPr>
          <w:rFonts w:asciiTheme="minorHAnsi" w:eastAsiaTheme="minorHAnsi" w:hAnsiTheme="minorHAnsi" w:cstheme="minorBidi"/>
          <w:sz w:val="22"/>
          <w:szCs w:val="22"/>
        </w:rPr>
        <w:t>eligible VA collateral</w:t>
      </w:r>
      <w:r>
        <w:rPr>
          <w:rFonts w:asciiTheme="minorHAnsi" w:eastAsiaTheme="minorHAnsi" w:hAnsiTheme="minorHAnsi" w:cstheme="minorBidi"/>
          <w:sz w:val="22"/>
          <w:szCs w:val="22"/>
        </w:rPr>
        <w:t>; and</w:t>
      </w:r>
    </w:p>
    <w:p w14:paraId="1AADF6CB" w14:textId="77777777" w:rsidR="00AA1D06" w:rsidRDefault="00AA1D06" w:rsidP="00AA1D06">
      <w:pPr>
        <w:pStyle w:val="a3"/>
        <w:ind w:left="720"/>
        <w:contextualSpacing/>
        <w:rPr>
          <w:rFonts w:asciiTheme="minorHAnsi" w:eastAsiaTheme="minorHAnsi" w:hAnsiTheme="minorHAnsi" w:cstheme="minorBidi"/>
          <w:sz w:val="22"/>
          <w:szCs w:val="22"/>
        </w:rPr>
      </w:pPr>
    </w:p>
    <w:p w14:paraId="1EE1920E" w14:textId="77777777" w:rsidR="00AA1D06" w:rsidRDefault="00842CD7" w:rsidP="000020BC">
      <w:pPr>
        <w:pStyle w:val="a3"/>
        <w:numPr>
          <w:ilvl w:val="0"/>
          <w:numId w:val="6"/>
        </w:numPr>
        <w:contextualSpacing/>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SFC-licensed</w:t>
      </w:r>
      <w:r w:rsidRPr="00842CD7">
        <w:rPr>
          <w:rFonts w:asciiTheme="minorHAnsi" w:eastAsiaTheme="minorHAnsi" w:hAnsiTheme="minorHAnsi" w:cstheme="minorBidi"/>
          <w:sz w:val="22"/>
          <w:szCs w:val="22"/>
        </w:rPr>
        <w:t xml:space="preserve"> </w:t>
      </w:r>
      <w:r w:rsidR="00EF46D5">
        <w:rPr>
          <w:rFonts w:asciiTheme="minorHAnsi" w:eastAsiaTheme="minorHAnsi" w:hAnsiTheme="minorHAnsi" w:cstheme="minorBidi"/>
          <w:sz w:val="22"/>
          <w:szCs w:val="22"/>
        </w:rPr>
        <w:t>VA B</w:t>
      </w:r>
      <w:r>
        <w:rPr>
          <w:rFonts w:asciiTheme="minorHAnsi" w:eastAsiaTheme="minorHAnsi" w:hAnsiTheme="minorHAnsi" w:cstheme="minorBidi"/>
          <w:sz w:val="22"/>
          <w:szCs w:val="22"/>
        </w:rPr>
        <w:t>roker</w:t>
      </w:r>
      <w:r w:rsidR="000020BC">
        <w:rPr>
          <w:rFonts w:asciiTheme="minorHAnsi" w:eastAsiaTheme="minorHAnsi" w:hAnsiTheme="minorHAnsi" w:cstheme="minorBidi"/>
          <w:sz w:val="22"/>
          <w:szCs w:val="22"/>
        </w:rPr>
        <w:t>s</w:t>
      </w:r>
      <w:r>
        <w:rPr>
          <w:rFonts w:asciiTheme="minorHAnsi" w:eastAsiaTheme="minorHAnsi" w:hAnsiTheme="minorHAnsi" w:cstheme="minorBidi"/>
          <w:sz w:val="22"/>
          <w:szCs w:val="22"/>
        </w:rPr>
        <w:t xml:space="preserve"> must apply </w:t>
      </w:r>
      <w:r w:rsidR="00E518F3" w:rsidRPr="00E518F3">
        <w:rPr>
          <w:rFonts w:asciiTheme="minorHAnsi" w:eastAsiaTheme="minorHAnsi" w:hAnsiTheme="minorHAnsi" w:cstheme="minorBidi"/>
          <w:sz w:val="22"/>
          <w:szCs w:val="22"/>
        </w:rPr>
        <w:t xml:space="preserve">a haircut of </w:t>
      </w:r>
      <w:r>
        <w:rPr>
          <w:rFonts w:asciiTheme="minorHAnsi" w:eastAsiaTheme="minorHAnsi" w:hAnsiTheme="minorHAnsi" w:cstheme="minorBidi"/>
          <w:sz w:val="22"/>
          <w:szCs w:val="22"/>
        </w:rPr>
        <w:t xml:space="preserve">at least </w:t>
      </w:r>
      <w:r w:rsidR="00E518F3" w:rsidRPr="00E518F3">
        <w:rPr>
          <w:rFonts w:asciiTheme="minorHAnsi" w:eastAsiaTheme="minorHAnsi" w:hAnsiTheme="minorHAnsi" w:cstheme="minorBidi"/>
          <w:sz w:val="22"/>
          <w:szCs w:val="22"/>
        </w:rPr>
        <w:t xml:space="preserve">60% to the market value of </w:t>
      </w:r>
      <w:r w:rsidR="00AA1D06">
        <w:rPr>
          <w:rFonts w:asciiTheme="minorHAnsi" w:eastAsiaTheme="minorHAnsi" w:hAnsiTheme="minorHAnsi" w:cstheme="minorBidi"/>
          <w:sz w:val="22"/>
          <w:szCs w:val="22"/>
        </w:rPr>
        <w:t xml:space="preserve">VA </w:t>
      </w:r>
      <w:r w:rsidR="00E518F3" w:rsidRPr="00E518F3">
        <w:rPr>
          <w:rFonts w:asciiTheme="minorHAnsi" w:eastAsiaTheme="minorHAnsi" w:hAnsiTheme="minorHAnsi" w:cstheme="minorBidi"/>
          <w:sz w:val="22"/>
          <w:szCs w:val="22"/>
        </w:rPr>
        <w:t xml:space="preserve">collateral. </w:t>
      </w:r>
    </w:p>
    <w:p w14:paraId="4EACE16D" w14:textId="77777777" w:rsidR="00AA1D06" w:rsidRDefault="00AA1D06" w:rsidP="00AA1D06">
      <w:pPr>
        <w:pStyle w:val="a3"/>
        <w:contextualSpacing/>
        <w:rPr>
          <w:rFonts w:asciiTheme="minorHAnsi" w:eastAsiaTheme="minorHAnsi" w:hAnsiTheme="minorHAnsi" w:cstheme="minorBidi"/>
          <w:sz w:val="22"/>
          <w:szCs w:val="22"/>
        </w:rPr>
      </w:pPr>
    </w:p>
    <w:p w14:paraId="5950F13B" w14:textId="77777777" w:rsidR="000020BC" w:rsidRPr="00DB71E1" w:rsidRDefault="00E518F3" w:rsidP="00AA1D06">
      <w:pPr>
        <w:pStyle w:val="a3"/>
        <w:contextualSpacing/>
        <w:jc w:val="both"/>
        <w:rPr>
          <w:rFonts w:asciiTheme="minorHAnsi" w:eastAsiaTheme="minorHAnsi" w:hAnsiTheme="minorHAnsi" w:cstheme="minorBidi"/>
          <w:sz w:val="22"/>
          <w:szCs w:val="22"/>
        </w:rPr>
      </w:pPr>
      <w:r w:rsidRPr="00E518F3">
        <w:rPr>
          <w:rFonts w:asciiTheme="minorHAnsi" w:eastAsiaTheme="minorHAnsi" w:hAnsiTheme="minorHAnsi" w:cstheme="minorBidi"/>
          <w:sz w:val="22"/>
          <w:szCs w:val="22"/>
        </w:rPr>
        <w:t xml:space="preserve">The SFC has reserved the right to revise this haircut as the VA market and VA financing develop, </w:t>
      </w:r>
      <w:r w:rsidR="000020BC">
        <w:rPr>
          <w:rFonts w:asciiTheme="minorHAnsi" w:eastAsiaTheme="minorHAnsi" w:hAnsiTheme="minorHAnsi" w:cstheme="minorBidi"/>
          <w:sz w:val="22"/>
          <w:szCs w:val="22"/>
        </w:rPr>
        <w:t xml:space="preserve">and will provide </w:t>
      </w:r>
      <w:r w:rsidRPr="00E518F3">
        <w:rPr>
          <w:rFonts w:asciiTheme="minorHAnsi" w:eastAsiaTheme="minorHAnsi" w:hAnsiTheme="minorHAnsi" w:cstheme="minorBidi"/>
          <w:sz w:val="22"/>
          <w:szCs w:val="22"/>
        </w:rPr>
        <w:t xml:space="preserve">prior notice </w:t>
      </w:r>
      <w:r w:rsidR="000020BC">
        <w:rPr>
          <w:rFonts w:asciiTheme="minorHAnsi" w:eastAsiaTheme="minorHAnsi" w:hAnsiTheme="minorHAnsi" w:cstheme="minorBidi"/>
          <w:sz w:val="22"/>
          <w:szCs w:val="22"/>
        </w:rPr>
        <w:t>to the industry</w:t>
      </w:r>
      <w:r w:rsidRPr="00E518F3">
        <w:rPr>
          <w:rFonts w:asciiTheme="minorHAnsi" w:eastAsiaTheme="minorHAnsi" w:hAnsiTheme="minorHAnsi" w:cstheme="minorBidi"/>
          <w:sz w:val="22"/>
          <w:szCs w:val="22"/>
        </w:rPr>
        <w:t xml:space="preserve">. </w:t>
      </w:r>
    </w:p>
    <w:p w14:paraId="2FAF447A" w14:textId="77777777" w:rsidR="00DB71E1" w:rsidRPr="00DB71E1" w:rsidRDefault="00DB71E1" w:rsidP="00AA1D06">
      <w:pPr>
        <w:pStyle w:val="a3"/>
        <w:contextualSpacing/>
        <w:jc w:val="both"/>
        <w:rPr>
          <w:rFonts w:asciiTheme="minorHAnsi" w:eastAsiaTheme="minorHAnsi" w:hAnsiTheme="minorHAnsi" w:cstheme="minorBidi"/>
          <w:sz w:val="22"/>
          <w:szCs w:val="22"/>
        </w:rPr>
      </w:pPr>
    </w:p>
    <w:p w14:paraId="11434E16" w14:textId="77777777" w:rsidR="00E518F3" w:rsidRDefault="00E518F3" w:rsidP="00AA1D06">
      <w:pPr>
        <w:pStyle w:val="a3"/>
        <w:contextualSpacing/>
        <w:jc w:val="both"/>
        <w:rPr>
          <w:rFonts w:asciiTheme="minorHAnsi" w:eastAsiaTheme="minorHAnsi" w:hAnsiTheme="minorHAnsi" w:cstheme="minorBidi"/>
          <w:sz w:val="22"/>
          <w:szCs w:val="22"/>
        </w:rPr>
      </w:pPr>
      <w:r w:rsidRPr="00E518F3">
        <w:rPr>
          <w:rFonts w:asciiTheme="minorHAnsi" w:eastAsiaTheme="minorHAnsi" w:hAnsiTheme="minorHAnsi" w:cstheme="minorBidi"/>
          <w:sz w:val="22"/>
          <w:szCs w:val="22"/>
        </w:rPr>
        <w:t xml:space="preserve">VA collateral should generally be valued on the basis of prices at the </w:t>
      </w:r>
      <w:r w:rsidR="00AA1D06">
        <w:rPr>
          <w:rFonts w:asciiTheme="minorHAnsi" w:eastAsiaTheme="minorHAnsi" w:hAnsiTheme="minorHAnsi" w:cstheme="minorBidi"/>
          <w:sz w:val="22"/>
          <w:szCs w:val="22"/>
        </w:rPr>
        <w:t>SFC-licensed VATP at which the client’</w:t>
      </w:r>
      <w:r w:rsidRPr="00E518F3">
        <w:rPr>
          <w:rFonts w:asciiTheme="minorHAnsi" w:eastAsiaTheme="minorHAnsi" w:hAnsiTheme="minorHAnsi" w:cstheme="minorBidi"/>
          <w:sz w:val="22"/>
          <w:szCs w:val="22"/>
        </w:rPr>
        <w:t xml:space="preserve">s VA orders are executed, and </w:t>
      </w:r>
      <w:r w:rsidR="000020BC">
        <w:rPr>
          <w:rFonts w:asciiTheme="minorHAnsi" w:eastAsiaTheme="minorHAnsi" w:hAnsiTheme="minorHAnsi" w:cstheme="minorBidi"/>
          <w:sz w:val="22"/>
          <w:szCs w:val="22"/>
        </w:rPr>
        <w:t>SFC-licensed VA B</w:t>
      </w:r>
      <w:r w:rsidRPr="00E518F3">
        <w:rPr>
          <w:rFonts w:asciiTheme="minorHAnsi" w:eastAsiaTheme="minorHAnsi" w:hAnsiTheme="minorHAnsi" w:cstheme="minorBidi"/>
          <w:sz w:val="22"/>
          <w:szCs w:val="22"/>
        </w:rPr>
        <w:t>rokers must maintain a contingency plan to address potential operational disruption (such as a system outage) at the VATP.</w:t>
      </w:r>
    </w:p>
    <w:p w14:paraId="5E1759D0" w14:textId="77777777" w:rsidR="00AA1D06" w:rsidRPr="00E518F3" w:rsidRDefault="00AA1D06" w:rsidP="00AA1D06">
      <w:pPr>
        <w:pStyle w:val="a3"/>
        <w:contextualSpacing/>
        <w:jc w:val="both"/>
        <w:rPr>
          <w:rFonts w:asciiTheme="minorHAnsi" w:eastAsiaTheme="minorHAnsi" w:hAnsiTheme="minorHAnsi" w:cstheme="minorBidi"/>
          <w:sz w:val="22"/>
          <w:szCs w:val="22"/>
        </w:rPr>
      </w:pPr>
    </w:p>
    <w:p w14:paraId="40DD66C4" w14:textId="77777777" w:rsidR="00E518F3" w:rsidRPr="00E518F3" w:rsidRDefault="000C47B8" w:rsidP="00606BC0">
      <w:pPr>
        <w:pStyle w:val="a3"/>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An </w:t>
      </w:r>
      <w:r w:rsidR="000020BC">
        <w:rPr>
          <w:rFonts w:asciiTheme="minorHAnsi" w:eastAsiaTheme="minorHAnsi" w:hAnsiTheme="minorHAnsi" w:cstheme="minorBidi"/>
          <w:sz w:val="22"/>
          <w:szCs w:val="22"/>
        </w:rPr>
        <w:t>SFC-licensed</w:t>
      </w:r>
      <w:r>
        <w:rPr>
          <w:rFonts w:asciiTheme="minorHAnsi" w:eastAsiaTheme="minorHAnsi" w:hAnsiTheme="minorHAnsi" w:cstheme="minorBidi"/>
          <w:sz w:val="22"/>
          <w:szCs w:val="22"/>
        </w:rPr>
        <w:t xml:space="preserve"> VA B</w:t>
      </w:r>
      <w:r w:rsidR="00E518F3" w:rsidRPr="00E518F3">
        <w:rPr>
          <w:rFonts w:asciiTheme="minorHAnsi" w:eastAsiaTheme="minorHAnsi" w:hAnsiTheme="minorHAnsi" w:cstheme="minorBidi"/>
          <w:sz w:val="22"/>
          <w:szCs w:val="22"/>
        </w:rPr>
        <w:t xml:space="preserve">roker that </w:t>
      </w:r>
      <w:r w:rsidR="000020BC">
        <w:rPr>
          <w:rFonts w:asciiTheme="minorHAnsi" w:eastAsiaTheme="minorHAnsi" w:hAnsiTheme="minorHAnsi" w:cstheme="minorBidi"/>
          <w:sz w:val="22"/>
          <w:szCs w:val="22"/>
        </w:rPr>
        <w:t>accept</w:t>
      </w:r>
      <w:r>
        <w:rPr>
          <w:rFonts w:asciiTheme="minorHAnsi" w:eastAsiaTheme="minorHAnsi" w:hAnsiTheme="minorHAnsi" w:cstheme="minorBidi"/>
          <w:sz w:val="22"/>
          <w:szCs w:val="22"/>
        </w:rPr>
        <w:t>s</w:t>
      </w:r>
      <w:r w:rsidR="000020BC">
        <w:rPr>
          <w:rFonts w:asciiTheme="minorHAnsi" w:eastAsiaTheme="minorHAnsi" w:hAnsiTheme="minorHAnsi" w:cstheme="minorBidi"/>
          <w:sz w:val="22"/>
          <w:szCs w:val="22"/>
        </w:rPr>
        <w:t xml:space="preserve"> </w:t>
      </w:r>
      <w:r w:rsidR="00E518F3" w:rsidRPr="00E518F3">
        <w:rPr>
          <w:rFonts w:asciiTheme="minorHAnsi" w:eastAsiaTheme="minorHAnsi" w:hAnsiTheme="minorHAnsi" w:cstheme="minorBidi"/>
          <w:sz w:val="22"/>
          <w:szCs w:val="22"/>
        </w:rPr>
        <w:t xml:space="preserve">VA collateral </w:t>
      </w:r>
      <w:r>
        <w:rPr>
          <w:rFonts w:asciiTheme="minorHAnsi" w:eastAsiaTheme="minorHAnsi" w:hAnsiTheme="minorHAnsi" w:cstheme="minorBidi"/>
          <w:sz w:val="22"/>
          <w:szCs w:val="22"/>
        </w:rPr>
        <w:t xml:space="preserve">is </w:t>
      </w:r>
      <w:r w:rsidR="00E518F3" w:rsidRPr="00E518F3">
        <w:rPr>
          <w:rFonts w:asciiTheme="minorHAnsi" w:eastAsiaTheme="minorHAnsi" w:hAnsiTheme="minorHAnsi" w:cstheme="minorBidi"/>
          <w:sz w:val="22"/>
          <w:szCs w:val="22"/>
        </w:rPr>
        <w:t xml:space="preserve">required to clearly document in </w:t>
      </w:r>
      <w:r>
        <w:rPr>
          <w:rFonts w:asciiTheme="minorHAnsi" w:eastAsiaTheme="minorHAnsi" w:hAnsiTheme="minorHAnsi" w:cstheme="minorBidi"/>
          <w:sz w:val="22"/>
          <w:szCs w:val="22"/>
        </w:rPr>
        <w:t xml:space="preserve">its </w:t>
      </w:r>
      <w:r w:rsidR="00E518F3" w:rsidRPr="00E518F3">
        <w:rPr>
          <w:rFonts w:asciiTheme="minorHAnsi" w:eastAsiaTheme="minorHAnsi" w:hAnsiTheme="minorHAnsi" w:cstheme="minorBidi"/>
          <w:sz w:val="22"/>
          <w:szCs w:val="22"/>
        </w:rPr>
        <w:t>margin lending policy the methodologies adopted</w:t>
      </w:r>
      <w:r>
        <w:rPr>
          <w:rFonts w:asciiTheme="minorHAnsi" w:eastAsiaTheme="minorHAnsi" w:hAnsiTheme="minorHAnsi" w:cstheme="minorBidi"/>
          <w:sz w:val="22"/>
          <w:szCs w:val="22"/>
        </w:rPr>
        <w:t xml:space="preserve"> </w:t>
      </w:r>
      <w:r w:rsidR="00E518F3" w:rsidRPr="00E518F3">
        <w:rPr>
          <w:rFonts w:asciiTheme="minorHAnsi" w:eastAsiaTheme="minorHAnsi" w:hAnsiTheme="minorHAnsi" w:cstheme="minorBidi"/>
          <w:sz w:val="22"/>
          <w:szCs w:val="22"/>
        </w:rPr>
        <w:t xml:space="preserve">to assess the </w:t>
      </w:r>
      <w:r w:rsidR="00606BC0">
        <w:rPr>
          <w:rFonts w:asciiTheme="minorHAnsi" w:eastAsiaTheme="minorHAnsi" w:hAnsiTheme="minorHAnsi" w:cstheme="minorBidi"/>
          <w:sz w:val="22"/>
          <w:szCs w:val="22"/>
        </w:rPr>
        <w:t>VA risk factors described above</w:t>
      </w:r>
      <w:r>
        <w:rPr>
          <w:rFonts w:asciiTheme="minorHAnsi" w:eastAsiaTheme="minorHAnsi" w:hAnsiTheme="minorHAnsi" w:cstheme="minorBidi"/>
          <w:sz w:val="22"/>
          <w:szCs w:val="22"/>
        </w:rPr>
        <w:t>, the process for translating assessment outcomes into</w:t>
      </w:r>
      <w:r w:rsidR="00E518F3" w:rsidRPr="00E518F3">
        <w:rPr>
          <w:rFonts w:asciiTheme="minorHAnsi" w:eastAsiaTheme="minorHAnsi" w:hAnsiTheme="minorHAnsi" w:cstheme="minorBidi"/>
          <w:sz w:val="22"/>
          <w:szCs w:val="22"/>
        </w:rPr>
        <w:t xml:space="preserve"> acceptable credit exposure</w:t>
      </w:r>
      <w:r>
        <w:rPr>
          <w:rFonts w:asciiTheme="minorHAnsi" w:eastAsiaTheme="minorHAnsi" w:hAnsiTheme="minorHAnsi" w:cstheme="minorBidi"/>
          <w:sz w:val="22"/>
          <w:szCs w:val="22"/>
        </w:rPr>
        <w:t xml:space="preserve"> limits</w:t>
      </w:r>
      <w:r w:rsidR="00E518F3" w:rsidRPr="00E518F3">
        <w:rPr>
          <w:rFonts w:asciiTheme="minorHAnsi" w:eastAsiaTheme="minorHAnsi" w:hAnsiTheme="minorHAnsi" w:cstheme="minorBidi"/>
          <w:sz w:val="22"/>
          <w:szCs w:val="22"/>
        </w:rPr>
        <w:t xml:space="preserve">, and </w:t>
      </w:r>
      <w:r>
        <w:rPr>
          <w:rFonts w:asciiTheme="minorHAnsi" w:eastAsiaTheme="minorHAnsi" w:hAnsiTheme="minorHAnsi" w:cstheme="minorBidi"/>
          <w:sz w:val="22"/>
          <w:szCs w:val="22"/>
        </w:rPr>
        <w:t>the procedures f</w:t>
      </w:r>
      <w:r w:rsidRPr="000C47B8">
        <w:rPr>
          <w:rFonts w:asciiTheme="minorHAnsi" w:eastAsiaTheme="minorHAnsi" w:hAnsiTheme="minorHAnsi" w:cstheme="minorBidi"/>
          <w:sz w:val="22"/>
          <w:szCs w:val="22"/>
        </w:rPr>
        <w:t>or ongoing identification</w:t>
      </w:r>
      <w:r>
        <w:t xml:space="preserve"> </w:t>
      </w:r>
      <w:r w:rsidR="00E518F3" w:rsidRPr="00E518F3">
        <w:rPr>
          <w:rFonts w:asciiTheme="minorHAnsi" w:eastAsiaTheme="minorHAnsi" w:hAnsiTheme="minorHAnsi" w:cstheme="minorBidi"/>
          <w:sz w:val="22"/>
          <w:szCs w:val="22"/>
        </w:rPr>
        <w:t>and monitor</w:t>
      </w:r>
      <w:r>
        <w:rPr>
          <w:rFonts w:asciiTheme="minorHAnsi" w:eastAsiaTheme="minorHAnsi" w:hAnsiTheme="minorHAnsi" w:cstheme="minorBidi"/>
          <w:sz w:val="22"/>
          <w:szCs w:val="22"/>
        </w:rPr>
        <w:t>ing</w:t>
      </w:r>
      <w:r w:rsidR="00E518F3" w:rsidRPr="00E518F3">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of </w:t>
      </w:r>
      <w:r w:rsidR="00E518F3" w:rsidRPr="00E518F3">
        <w:rPr>
          <w:rFonts w:asciiTheme="minorHAnsi" w:eastAsiaTheme="minorHAnsi" w:hAnsiTheme="minorHAnsi" w:cstheme="minorBidi"/>
          <w:sz w:val="22"/>
          <w:szCs w:val="22"/>
        </w:rPr>
        <w:t xml:space="preserve">vulnerable VA exposures in its margin loan portfolio. </w:t>
      </w:r>
      <w:r>
        <w:rPr>
          <w:rFonts w:asciiTheme="minorHAnsi" w:eastAsiaTheme="minorHAnsi" w:hAnsiTheme="minorHAnsi" w:cstheme="minorBidi"/>
          <w:sz w:val="22"/>
          <w:szCs w:val="22"/>
        </w:rPr>
        <w:t>An SFC-licensed VA B</w:t>
      </w:r>
      <w:r w:rsidRPr="00E518F3">
        <w:rPr>
          <w:rFonts w:asciiTheme="minorHAnsi" w:eastAsiaTheme="minorHAnsi" w:hAnsiTheme="minorHAnsi" w:cstheme="minorBidi"/>
          <w:sz w:val="22"/>
          <w:szCs w:val="22"/>
        </w:rPr>
        <w:t>roker</w:t>
      </w:r>
      <w:r w:rsidR="00E518F3" w:rsidRPr="00E518F3">
        <w:rPr>
          <w:rFonts w:asciiTheme="minorHAnsi" w:eastAsiaTheme="minorHAnsi" w:hAnsiTheme="minorHAnsi" w:cstheme="minorBidi"/>
          <w:sz w:val="22"/>
          <w:szCs w:val="22"/>
        </w:rPr>
        <w:t xml:space="preserve"> must </w:t>
      </w:r>
      <w:r>
        <w:rPr>
          <w:rFonts w:asciiTheme="minorHAnsi" w:eastAsiaTheme="minorHAnsi" w:hAnsiTheme="minorHAnsi" w:cstheme="minorBidi"/>
          <w:sz w:val="22"/>
          <w:szCs w:val="22"/>
        </w:rPr>
        <w:t xml:space="preserve">additionally </w:t>
      </w:r>
      <w:r w:rsidR="00E518F3" w:rsidRPr="00E518F3">
        <w:rPr>
          <w:rFonts w:asciiTheme="minorHAnsi" w:eastAsiaTheme="minorHAnsi" w:hAnsiTheme="minorHAnsi" w:cstheme="minorBidi"/>
          <w:sz w:val="22"/>
          <w:szCs w:val="22"/>
        </w:rPr>
        <w:t>monitor the volatility of VA collateral in r</w:t>
      </w:r>
      <w:r w:rsidR="00D11734">
        <w:rPr>
          <w:rFonts w:asciiTheme="minorHAnsi" w:eastAsiaTheme="minorHAnsi" w:hAnsiTheme="minorHAnsi" w:cstheme="minorBidi"/>
          <w:sz w:val="22"/>
          <w:szCs w:val="22"/>
        </w:rPr>
        <w:t>eal time and take timely action</w:t>
      </w:r>
      <w:r w:rsidR="00E518F3" w:rsidRPr="00E518F3">
        <w:rPr>
          <w:rFonts w:asciiTheme="minorHAnsi" w:eastAsiaTheme="minorHAnsi" w:hAnsiTheme="minorHAnsi" w:cstheme="minorBidi"/>
          <w:sz w:val="22"/>
          <w:szCs w:val="22"/>
        </w:rPr>
        <w:t xml:space="preserve"> to manage its credit exposure.</w:t>
      </w:r>
    </w:p>
    <w:p w14:paraId="08BC3DC1" w14:textId="77777777" w:rsidR="00D11734" w:rsidRPr="00D11734" w:rsidRDefault="00D11734" w:rsidP="00E518F3">
      <w:pPr>
        <w:pStyle w:val="a3"/>
        <w:rPr>
          <w:rFonts w:asciiTheme="minorHAnsi" w:eastAsiaTheme="minorHAnsi" w:hAnsiTheme="minorHAnsi" w:cstheme="minorBidi"/>
          <w:b/>
          <w:sz w:val="22"/>
          <w:szCs w:val="22"/>
        </w:rPr>
      </w:pPr>
      <w:r w:rsidRPr="00D11734">
        <w:rPr>
          <w:rFonts w:asciiTheme="minorHAnsi" w:eastAsiaTheme="minorHAnsi" w:hAnsiTheme="minorHAnsi" w:cstheme="minorBidi"/>
          <w:b/>
          <w:sz w:val="22"/>
          <w:szCs w:val="22"/>
        </w:rPr>
        <w:t xml:space="preserve">VA Margin Financing Integration with Hong Kong’s Securities Margin Financing Framework </w:t>
      </w:r>
    </w:p>
    <w:p w14:paraId="3899D2B5" w14:textId="77777777" w:rsidR="00D11734" w:rsidRPr="00D11734" w:rsidRDefault="00D11734" w:rsidP="00F54B4E">
      <w:pPr>
        <w:spacing w:before="100" w:beforeAutospacing="1" w:after="100" w:afterAutospacing="1" w:line="240" w:lineRule="auto"/>
        <w:jc w:val="both"/>
        <w:rPr>
          <w:rFonts w:ascii="Calibri" w:eastAsia="Times New Roman" w:hAnsi="Calibri" w:cs="Calibri"/>
        </w:rPr>
      </w:pPr>
      <w:r w:rsidRPr="00F54B4E">
        <w:rPr>
          <w:rFonts w:ascii="Calibri" w:eastAsia="Times New Roman" w:hAnsi="Calibri" w:cs="Calibri"/>
        </w:rPr>
        <w:t>Rather than create</w:t>
      </w:r>
      <w:r w:rsidRPr="00D11734">
        <w:rPr>
          <w:rFonts w:ascii="Calibri" w:eastAsia="Times New Roman" w:hAnsi="Calibri" w:cs="Calibri"/>
        </w:rPr>
        <w:t xml:space="preserve"> a standalone regime, the SFC has chosen to layer VA </w:t>
      </w:r>
      <w:r w:rsidRPr="00F54B4E">
        <w:rPr>
          <w:rFonts w:ascii="Calibri" w:eastAsia="Times New Roman" w:hAnsi="Calibri" w:cs="Calibri"/>
        </w:rPr>
        <w:t>Margin F</w:t>
      </w:r>
      <w:r w:rsidRPr="00D11734">
        <w:rPr>
          <w:rFonts w:ascii="Calibri" w:eastAsia="Times New Roman" w:hAnsi="Calibri" w:cs="Calibri"/>
        </w:rPr>
        <w:t xml:space="preserve">inancing onto the existing regulatory architecture for securities margin financing. The </w:t>
      </w:r>
      <w:r w:rsidR="0082772D">
        <w:rPr>
          <w:rFonts w:ascii="Calibri" w:eastAsia="Times New Roman" w:hAnsi="Calibri" w:cs="Calibri"/>
        </w:rPr>
        <w:t xml:space="preserve">SFC </w:t>
      </w:r>
      <w:r w:rsidRPr="00D11734">
        <w:rPr>
          <w:rFonts w:ascii="Calibri" w:eastAsia="Times New Roman" w:hAnsi="Calibri" w:cs="Calibri"/>
        </w:rPr>
        <w:t>Guidelines for Securities Margin Financing Activities (</w:t>
      </w:r>
      <w:r w:rsidRPr="00D11734">
        <w:rPr>
          <w:rFonts w:ascii="Calibri" w:eastAsia="Times New Roman" w:hAnsi="Calibri" w:cs="Calibri"/>
          <w:b/>
        </w:rPr>
        <w:t>SMF Guidelines</w:t>
      </w:r>
      <w:r w:rsidRPr="00D11734">
        <w:rPr>
          <w:rFonts w:ascii="Calibri" w:eastAsia="Times New Roman" w:hAnsi="Calibri" w:cs="Calibri"/>
        </w:rPr>
        <w:t xml:space="preserve">) and all </w:t>
      </w:r>
      <w:r w:rsidRPr="00F54B4E">
        <w:rPr>
          <w:rFonts w:ascii="Calibri" w:eastAsia="Times New Roman" w:hAnsi="Calibri" w:cs="Calibri"/>
        </w:rPr>
        <w:t xml:space="preserve">other requirements relating to securities margin financing </w:t>
      </w:r>
      <w:r w:rsidRPr="00D11734">
        <w:rPr>
          <w:rFonts w:ascii="Calibri" w:eastAsia="Times New Roman" w:hAnsi="Calibri" w:cs="Calibri"/>
        </w:rPr>
        <w:t xml:space="preserve">continue to apply, </w:t>
      </w:r>
      <w:r w:rsidRPr="00F54B4E">
        <w:rPr>
          <w:rFonts w:ascii="Calibri" w:hAnsi="Calibri" w:cs="Calibri"/>
        </w:rPr>
        <w:t>with the principles applicable to securities margin financing under the SFC’s codes and guidelines being extended to VA financing and VA collateral</w:t>
      </w:r>
      <w:r w:rsidR="008D544C">
        <w:rPr>
          <w:rFonts w:ascii="Calibri" w:hAnsi="Calibri" w:cs="Calibri"/>
        </w:rPr>
        <w:t>,</w:t>
      </w:r>
      <w:r w:rsidRPr="00D11734">
        <w:rPr>
          <w:rFonts w:ascii="Calibri" w:eastAsia="Times New Roman" w:hAnsi="Calibri" w:cs="Calibri"/>
        </w:rPr>
        <w:t xml:space="preserve"> as supplemented by the </w:t>
      </w:r>
      <w:r w:rsidRPr="00F54B4E">
        <w:rPr>
          <w:rFonts w:ascii="Calibri" w:eastAsia="Times New Roman" w:hAnsi="Calibri" w:cs="Calibri"/>
        </w:rPr>
        <w:t xml:space="preserve">SFC </w:t>
      </w:r>
      <w:r w:rsidRPr="00D11734">
        <w:rPr>
          <w:rFonts w:ascii="Calibri" w:eastAsia="Times New Roman" w:hAnsi="Calibri" w:cs="Calibri"/>
        </w:rPr>
        <w:t xml:space="preserve">VA Broker Circular. In practical terms, this means that any credit advanced for VA dealing forms part of the </w:t>
      </w:r>
      <w:r w:rsidR="00F54B4E">
        <w:t>SFC-licensed VA B</w:t>
      </w:r>
      <w:r w:rsidR="00F54B4E" w:rsidRPr="00E518F3">
        <w:t>roker</w:t>
      </w:r>
      <w:r w:rsidR="00F54B4E">
        <w:t>’s</w:t>
      </w:r>
      <w:r w:rsidRPr="00D11734">
        <w:rPr>
          <w:rFonts w:ascii="Calibri" w:eastAsia="Times New Roman" w:hAnsi="Calibri" w:cs="Calibri"/>
        </w:rPr>
        <w:t xml:space="preserve"> aggregate margin loan</w:t>
      </w:r>
      <w:r w:rsidR="00F54B4E">
        <w:rPr>
          <w:rFonts w:ascii="Calibri" w:eastAsia="Times New Roman" w:hAnsi="Calibri" w:cs="Calibri"/>
        </w:rPr>
        <w:t>s</w:t>
      </w:r>
      <w:r w:rsidRPr="00D11734">
        <w:rPr>
          <w:rFonts w:ascii="Calibri" w:eastAsia="Times New Roman" w:hAnsi="Calibri" w:cs="Calibri"/>
        </w:rPr>
        <w:t xml:space="preserve"> for SMF Guidelines purposes, that </w:t>
      </w:r>
      <w:r w:rsidR="00F54B4E">
        <w:rPr>
          <w:rFonts w:ascii="Calibri" w:eastAsia="Times New Roman" w:hAnsi="Calibri" w:cs="Calibri"/>
        </w:rPr>
        <w:t xml:space="preserve">collateral </w:t>
      </w:r>
      <w:r w:rsidRPr="00D11734">
        <w:rPr>
          <w:rFonts w:ascii="Calibri" w:eastAsia="Times New Roman" w:hAnsi="Calibri" w:cs="Calibri"/>
        </w:rPr>
        <w:t xml:space="preserve">concentration limits must </w:t>
      </w:r>
      <w:r w:rsidR="00F54B4E">
        <w:rPr>
          <w:rFonts w:ascii="Calibri" w:eastAsia="Times New Roman" w:hAnsi="Calibri" w:cs="Calibri"/>
        </w:rPr>
        <w:t xml:space="preserve">apply to </w:t>
      </w:r>
      <w:r w:rsidRPr="00D11734">
        <w:rPr>
          <w:rFonts w:ascii="Calibri" w:eastAsia="Times New Roman" w:hAnsi="Calibri" w:cs="Calibri"/>
        </w:rPr>
        <w:t>both traditional securities collateral and VA collateral (with specific attention to digital asset sector concentration), and that VA collateral is ring-fenced from rehypothecation — brokers may not repledge, reuse or otherwise encumber it, except to enforce the</w:t>
      </w:r>
      <w:r w:rsidR="005B4129">
        <w:rPr>
          <w:rFonts w:ascii="Calibri" w:eastAsia="Times New Roman" w:hAnsi="Calibri" w:cs="Calibri"/>
        </w:rPr>
        <w:t xml:space="preserve"> collateral </w:t>
      </w:r>
      <w:r w:rsidRPr="00D11734">
        <w:rPr>
          <w:rFonts w:ascii="Calibri" w:eastAsia="Times New Roman" w:hAnsi="Calibri" w:cs="Calibri"/>
        </w:rPr>
        <w:t>following a client default.</w:t>
      </w:r>
    </w:p>
    <w:p w14:paraId="00352913" w14:textId="77777777" w:rsidR="00D11734" w:rsidRPr="00D11734" w:rsidRDefault="00D11734" w:rsidP="008D544C">
      <w:pPr>
        <w:spacing w:before="100" w:beforeAutospacing="1" w:after="100" w:afterAutospacing="1" w:line="240" w:lineRule="auto"/>
        <w:jc w:val="both"/>
        <w:rPr>
          <w:rFonts w:eastAsia="Times New Roman" w:cstheme="minorHAnsi"/>
        </w:rPr>
      </w:pPr>
      <w:r w:rsidRPr="00D11734">
        <w:rPr>
          <w:rFonts w:eastAsia="Times New Roman" w:cstheme="minorHAnsi"/>
        </w:rPr>
        <w:t xml:space="preserve">The SFC also </w:t>
      </w:r>
      <w:r w:rsidR="005B4129" w:rsidRPr="008D544C">
        <w:rPr>
          <w:rFonts w:eastAsia="Times New Roman" w:cstheme="minorHAnsi"/>
        </w:rPr>
        <w:t xml:space="preserve">reminds </w:t>
      </w:r>
      <w:r w:rsidR="005B4129" w:rsidRPr="008D544C">
        <w:rPr>
          <w:rFonts w:cstheme="minorHAnsi"/>
        </w:rPr>
        <w:t xml:space="preserve">SFC-licensed VA Brokers of </w:t>
      </w:r>
      <w:r w:rsidRPr="00D11734">
        <w:rPr>
          <w:rFonts w:eastAsia="Times New Roman" w:cstheme="minorHAnsi"/>
        </w:rPr>
        <w:t xml:space="preserve">the </w:t>
      </w:r>
      <w:r w:rsidR="005B4129" w:rsidRPr="008D544C">
        <w:rPr>
          <w:rFonts w:eastAsia="Times New Roman" w:cstheme="minorHAnsi"/>
        </w:rPr>
        <w:t xml:space="preserve">need to set </w:t>
      </w:r>
      <w:r w:rsidRPr="00D11734">
        <w:rPr>
          <w:rFonts w:eastAsia="Times New Roman" w:cstheme="minorHAnsi"/>
        </w:rPr>
        <w:t>conservative margin call and lending susp</w:t>
      </w:r>
      <w:r w:rsidR="005B4129" w:rsidRPr="008D544C">
        <w:rPr>
          <w:rFonts w:eastAsia="Times New Roman" w:cstheme="minorHAnsi"/>
        </w:rPr>
        <w:t>ension triggers under the SMF Guidelines. Where a client’</w:t>
      </w:r>
      <w:r w:rsidRPr="00D11734">
        <w:rPr>
          <w:rFonts w:eastAsia="Times New Roman" w:cstheme="minorHAnsi"/>
        </w:rPr>
        <w:t xml:space="preserve">s outstanding </w:t>
      </w:r>
      <w:r w:rsidR="005B4129" w:rsidRPr="008D544C">
        <w:rPr>
          <w:rFonts w:eastAsia="Times New Roman" w:cstheme="minorHAnsi"/>
        </w:rPr>
        <w:t xml:space="preserve">margin </w:t>
      </w:r>
      <w:r w:rsidRPr="00D11734">
        <w:rPr>
          <w:rFonts w:eastAsia="Times New Roman" w:cstheme="minorHAnsi"/>
        </w:rPr>
        <w:t xml:space="preserve">loan balance exceeds the market value of the collateral in their account, or where </w:t>
      </w:r>
      <w:r w:rsidR="005B4129" w:rsidRPr="008D544C">
        <w:rPr>
          <w:rFonts w:eastAsia="Times New Roman" w:cstheme="minorHAnsi"/>
        </w:rPr>
        <w:t xml:space="preserve">a margin </w:t>
      </w:r>
      <w:r w:rsidRPr="00D11734">
        <w:rPr>
          <w:rFonts w:eastAsia="Times New Roman" w:cstheme="minorHAnsi"/>
        </w:rPr>
        <w:t xml:space="preserve">client </w:t>
      </w:r>
      <w:r w:rsidR="005B4129" w:rsidRPr="008D544C">
        <w:rPr>
          <w:rFonts w:eastAsia="Times New Roman" w:cstheme="minorHAnsi"/>
        </w:rPr>
        <w:t>has an unmet margin call</w:t>
      </w:r>
      <w:r w:rsidRPr="00D11734">
        <w:rPr>
          <w:rFonts w:eastAsia="Times New Roman" w:cstheme="minorHAnsi"/>
        </w:rPr>
        <w:t xml:space="preserve"> and a track record of failing to </w:t>
      </w:r>
      <w:r w:rsidR="005B4129" w:rsidRPr="008D544C">
        <w:rPr>
          <w:rFonts w:eastAsia="Times New Roman" w:cstheme="minorHAnsi"/>
        </w:rPr>
        <w:t xml:space="preserve">settle margin calls </w:t>
      </w:r>
      <w:r w:rsidRPr="00D11734">
        <w:rPr>
          <w:rFonts w:eastAsia="Times New Roman" w:cstheme="minorHAnsi"/>
        </w:rPr>
        <w:t xml:space="preserve">promptly, the </w:t>
      </w:r>
      <w:r w:rsidR="005B4129" w:rsidRPr="008D544C">
        <w:rPr>
          <w:rFonts w:cstheme="minorHAnsi"/>
        </w:rPr>
        <w:t xml:space="preserve">SFC-licensed VA Broker </w:t>
      </w:r>
      <w:r w:rsidRPr="00D11734">
        <w:rPr>
          <w:rFonts w:eastAsia="Times New Roman" w:cstheme="minorHAnsi"/>
        </w:rPr>
        <w:t xml:space="preserve">is expected to halt further lending and additional VA purchases under the margin facility, and to undertake an </w:t>
      </w:r>
      <w:r w:rsidR="008D544C">
        <w:rPr>
          <w:rFonts w:eastAsia="Times New Roman" w:cstheme="minorHAnsi"/>
        </w:rPr>
        <w:t xml:space="preserve">ad hoc </w:t>
      </w:r>
      <w:r w:rsidRPr="00D11734">
        <w:rPr>
          <w:rFonts w:eastAsia="Times New Roman" w:cstheme="minorHAnsi"/>
        </w:rPr>
        <w:t>r</w:t>
      </w:r>
      <w:r w:rsidR="008D544C" w:rsidRPr="008D544C">
        <w:rPr>
          <w:rFonts w:eastAsia="Times New Roman" w:cstheme="minorHAnsi"/>
        </w:rPr>
        <w:t>eview of the client’</w:t>
      </w:r>
      <w:r w:rsidRPr="00D11734">
        <w:rPr>
          <w:rFonts w:eastAsia="Times New Roman" w:cstheme="minorHAnsi"/>
        </w:rPr>
        <w:t>s credit and trading limits.</w:t>
      </w:r>
    </w:p>
    <w:p w14:paraId="12755DAD" w14:textId="77777777" w:rsidR="00391E96" w:rsidRPr="00391E96" w:rsidRDefault="00391E96" w:rsidP="00E518F3">
      <w:pPr>
        <w:pStyle w:val="a3"/>
        <w:rPr>
          <w:rFonts w:ascii="Calibri" w:eastAsiaTheme="minorHAnsi" w:hAnsi="Calibri" w:cs="Calibri"/>
          <w:sz w:val="22"/>
          <w:szCs w:val="22"/>
        </w:rPr>
      </w:pPr>
      <w:r w:rsidRPr="00391E96">
        <w:rPr>
          <w:rStyle w:val="a4"/>
          <w:rFonts w:ascii="Calibri" w:hAnsi="Calibri" w:cs="Calibri"/>
          <w:sz w:val="22"/>
          <w:szCs w:val="22"/>
        </w:rPr>
        <w:t>SFC Governance Requirements for VA Margin Financing</w:t>
      </w:r>
    </w:p>
    <w:p w14:paraId="3B9769ED" w14:textId="77777777" w:rsidR="00391E96" w:rsidRDefault="00E518F3" w:rsidP="00391E96">
      <w:pPr>
        <w:pStyle w:val="a3"/>
        <w:jc w:val="both"/>
        <w:rPr>
          <w:rFonts w:asciiTheme="minorHAnsi" w:eastAsiaTheme="minorHAnsi" w:hAnsiTheme="minorHAnsi" w:cstheme="minorBidi"/>
          <w:sz w:val="22"/>
          <w:szCs w:val="22"/>
        </w:rPr>
      </w:pPr>
      <w:r w:rsidRPr="00E518F3">
        <w:rPr>
          <w:rFonts w:asciiTheme="minorHAnsi" w:eastAsiaTheme="minorHAnsi" w:hAnsiTheme="minorHAnsi" w:cstheme="minorBidi"/>
          <w:sz w:val="22"/>
          <w:szCs w:val="22"/>
        </w:rPr>
        <w:t xml:space="preserve">The </w:t>
      </w:r>
      <w:r w:rsidR="008D544C">
        <w:rPr>
          <w:rFonts w:asciiTheme="minorHAnsi" w:eastAsiaTheme="minorHAnsi" w:hAnsiTheme="minorHAnsi" w:cstheme="minorBidi"/>
          <w:sz w:val="22"/>
          <w:szCs w:val="22"/>
        </w:rPr>
        <w:t xml:space="preserve">SFC </w:t>
      </w:r>
      <w:r w:rsidRPr="00E518F3">
        <w:rPr>
          <w:rFonts w:asciiTheme="minorHAnsi" w:eastAsiaTheme="minorHAnsi" w:hAnsiTheme="minorHAnsi" w:cstheme="minorBidi"/>
          <w:sz w:val="22"/>
          <w:szCs w:val="22"/>
        </w:rPr>
        <w:t xml:space="preserve">VA Broker Circular </w:t>
      </w:r>
      <w:r w:rsidR="00391E96" w:rsidRPr="00391E96">
        <w:rPr>
          <w:rFonts w:asciiTheme="minorHAnsi" w:eastAsiaTheme="minorHAnsi" w:hAnsiTheme="minorHAnsi" w:cstheme="minorBidi"/>
          <w:sz w:val="22"/>
          <w:szCs w:val="22"/>
        </w:rPr>
        <w:t xml:space="preserve">places explicit accountability on </w:t>
      </w:r>
      <w:r w:rsidR="00391E96">
        <w:rPr>
          <w:rFonts w:asciiTheme="minorHAnsi" w:eastAsiaTheme="minorHAnsi" w:hAnsiTheme="minorHAnsi" w:cstheme="minorBidi"/>
          <w:sz w:val="22"/>
          <w:szCs w:val="22"/>
        </w:rPr>
        <w:t>an SFC-licensed VA Broker’</w:t>
      </w:r>
      <w:r w:rsidR="00391E96" w:rsidRPr="00391E96">
        <w:rPr>
          <w:rFonts w:asciiTheme="minorHAnsi" w:eastAsiaTheme="minorHAnsi" w:hAnsiTheme="minorHAnsi" w:cstheme="minorBidi"/>
          <w:sz w:val="22"/>
          <w:szCs w:val="22"/>
        </w:rPr>
        <w:t xml:space="preserve">s senior </w:t>
      </w:r>
      <w:r w:rsidR="00391E96">
        <w:rPr>
          <w:rFonts w:asciiTheme="minorHAnsi" w:eastAsiaTheme="minorHAnsi" w:hAnsiTheme="minorHAnsi" w:cstheme="minorBidi"/>
          <w:sz w:val="22"/>
          <w:szCs w:val="22"/>
        </w:rPr>
        <w:t xml:space="preserve">management </w:t>
      </w:r>
      <w:r w:rsidR="00391E96" w:rsidRPr="00391E96">
        <w:rPr>
          <w:rFonts w:asciiTheme="minorHAnsi" w:eastAsiaTheme="minorHAnsi" w:hAnsiTheme="minorHAnsi" w:cstheme="minorBidi"/>
          <w:sz w:val="22"/>
          <w:szCs w:val="22"/>
        </w:rPr>
        <w:t>— specifically its responsible of</w:t>
      </w:r>
      <w:r w:rsidR="00391E96">
        <w:rPr>
          <w:rFonts w:asciiTheme="minorHAnsi" w:eastAsiaTheme="minorHAnsi" w:hAnsiTheme="minorHAnsi" w:cstheme="minorBidi"/>
          <w:sz w:val="22"/>
          <w:szCs w:val="22"/>
        </w:rPr>
        <w:t>ficers, the manager-in-charge (</w:t>
      </w:r>
      <w:r w:rsidR="00391E96" w:rsidRPr="00391E96">
        <w:rPr>
          <w:rFonts w:asciiTheme="minorHAnsi" w:eastAsiaTheme="minorHAnsi" w:hAnsiTheme="minorHAnsi" w:cstheme="minorBidi"/>
          <w:b/>
          <w:sz w:val="22"/>
          <w:szCs w:val="22"/>
        </w:rPr>
        <w:t>MIC</w:t>
      </w:r>
      <w:r w:rsidR="00391E96" w:rsidRPr="00391E96">
        <w:rPr>
          <w:rFonts w:asciiTheme="minorHAnsi" w:eastAsiaTheme="minorHAnsi" w:hAnsiTheme="minorHAnsi" w:cstheme="minorBidi"/>
          <w:sz w:val="22"/>
          <w:szCs w:val="22"/>
        </w:rPr>
        <w:t>) for overall management oversight and the MIC for risk management — to ensure t</w:t>
      </w:r>
      <w:r w:rsidR="00391E96">
        <w:rPr>
          <w:rFonts w:asciiTheme="minorHAnsi" w:eastAsiaTheme="minorHAnsi" w:hAnsiTheme="minorHAnsi" w:cstheme="minorBidi"/>
          <w:sz w:val="22"/>
          <w:szCs w:val="22"/>
        </w:rPr>
        <w:t>hat the firm’</w:t>
      </w:r>
      <w:r w:rsidR="00391E96" w:rsidRPr="00391E96">
        <w:rPr>
          <w:rFonts w:asciiTheme="minorHAnsi" w:eastAsiaTheme="minorHAnsi" w:hAnsiTheme="minorHAnsi" w:cstheme="minorBidi"/>
          <w:sz w:val="22"/>
          <w:szCs w:val="22"/>
        </w:rPr>
        <w:t>s policies, procedures and controls are fit to manage the risks that VA financing introduces</w:t>
      </w:r>
      <w:r w:rsidR="00391E96">
        <w:rPr>
          <w:rFonts w:asciiTheme="minorHAnsi" w:eastAsiaTheme="minorHAnsi" w:hAnsiTheme="minorHAnsi" w:cstheme="minorBidi"/>
          <w:sz w:val="22"/>
          <w:szCs w:val="22"/>
        </w:rPr>
        <w:t>.</w:t>
      </w:r>
    </w:p>
    <w:p w14:paraId="3AC77428" w14:textId="77777777" w:rsidR="00391E96" w:rsidRDefault="00391E96" w:rsidP="00E518F3">
      <w:pPr>
        <w:pStyle w:val="a3"/>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Capital Treatment of VA Collateral under the Financial Resources Rules</w:t>
      </w:r>
    </w:p>
    <w:p w14:paraId="31752C59" w14:textId="260DD6C4" w:rsidR="006208EF" w:rsidRPr="00DB71E1" w:rsidRDefault="00E518F3" w:rsidP="00DB71E1">
      <w:pPr>
        <w:pStyle w:val="a3"/>
        <w:jc w:val="both"/>
        <w:rPr>
          <w:rFonts w:asciiTheme="minorHAnsi" w:eastAsiaTheme="minorHAnsi" w:hAnsiTheme="minorHAnsi" w:cstheme="minorBidi"/>
          <w:sz w:val="22"/>
          <w:szCs w:val="22"/>
          <w:lang w:val="ru-RU"/>
        </w:rPr>
      </w:pPr>
      <w:r w:rsidRPr="00E518F3">
        <w:rPr>
          <w:rFonts w:asciiTheme="minorHAnsi" w:eastAsiaTheme="minorHAnsi" w:hAnsiTheme="minorHAnsi" w:cstheme="minorBidi"/>
          <w:sz w:val="22"/>
          <w:szCs w:val="22"/>
        </w:rPr>
        <w:lastRenderedPageBreak/>
        <w:t xml:space="preserve">The SFC has flagged that a consultation on </w:t>
      </w:r>
      <w:r w:rsidR="00391E96">
        <w:rPr>
          <w:rFonts w:asciiTheme="minorHAnsi" w:eastAsiaTheme="minorHAnsi" w:hAnsiTheme="minorHAnsi" w:cstheme="minorBidi"/>
          <w:sz w:val="22"/>
          <w:szCs w:val="22"/>
        </w:rPr>
        <w:t xml:space="preserve">the </w:t>
      </w:r>
      <w:r w:rsidRPr="00E518F3">
        <w:rPr>
          <w:rFonts w:asciiTheme="minorHAnsi" w:eastAsiaTheme="minorHAnsi" w:hAnsiTheme="minorHAnsi" w:cstheme="minorBidi"/>
          <w:sz w:val="22"/>
          <w:szCs w:val="22"/>
        </w:rPr>
        <w:t>capital requirements for various VA-related activities, including VA financing, will be launched in due course.</w:t>
      </w:r>
      <w:r w:rsidR="008B4B53">
        <w:rPr>
          <w:rFonts w:asciiTheme="minorHAnsi" w:eastAsiaTheme="minorHAnsi" w:hAnsiTheme="minorHAnsi" w:cstheme="minorBidi"/>
          <w:sz w:val="22"/>
          <w:szCs w:val="22"/>
        </w:rPr>
        <w:t xml:space="preserve"> Until the capital requirements are revised</w:t>
      </w:r>
      <w:r w:rsidRPr="00E518F3">
        <w:rPr>
          <w:rFonts w:asciiTheme="minorHAnsi" w:eastAsiaTheme="minorHAnsi" w:hAnsiTheme="minorHAnsi" w:cstheme="minorBidi"/>
          <w:sz w:val="22"/>
          <w:szCs w:val="22"/>
        </w:rPr>
        <w:t xml:space="preserve">, VA collateral will be subject to a 100% haircut under the Securities and Futures (Financial Resources) Rules. </w:t>
      </w:r>
    </w:p>
    <w:p w14:paraId="773318C3" w14:textId="77777777" w:rsidR="008D44AC" w:rsidRDefault="00385E40" w:rsidP="00EF46D5">
      <w:pPr>
        <w:spacing w:before="100" w:beforeAutospacing="1" w:after="100" w:afterAutospacing="1" w:line="240" w:lineRule="auto"/>
        <w:contextualSpacing/>
        <w:jc w:val="both"/>
        <w:outlineLvl w:val="2"/>
        <w:rPr>
          <w:rFonts w:ascii="Calibri" w:eastAsia="Times New Roman" w:hAnsi="Calibri" w:cs="Calibri"/>
          <w:b/>
          <w:bCs/>
        </w:rPr>
      </w:pPr>
      <w:r>
        <w:rPr>
          <w:rFonts w:ascii="Calibri" w:eastAsia="Times New Roman" w:hAnsi="Calibri" w:cs="Calibri"/>
          <w:b/>
          <w:bCs/>
        </w:rPr>
        <w:t xml:space="preserve">Requirements for SFC-licensed VA Brokers Routing Client Orders through SFC-licensed VATP Shared Order Books </w:t>
      </w:r>
    </w:p>
    <w:p w14:paraId="7E49E726" w14:textId="77777777" w:rsidR="00450480" w:rsidRPr="008D44AC" w:rsidRDefault="00450480" w:rsidP="00450480">
      <w:pPr>
        <w:spacing w:before="100" w:beforeAutospacing="1" w:after="100" w:afterAutospacing="1" w:line="240" w:lineRule="auto"/>
        <w:contextualSpacing/>
        <w:outlineLvl w:val="2"/>
        <w:rPr>
          <w:rFonts w:ascii="Calibri" w:eastAsia="Times New Roman" w:hAnsi="Calibri" w:cs="Calibri"/>
          <w:b/>
          <w:bCs/>
        </w:rPr>
      </w:pPr>
    </w:p>
    <w:p w14:paraId="743595D0" w14:textId="77777777" w:rsidR="008D44AC" w:rsidRDefault="00385E40" w:rsidP="00450480">
      <w:pPr>
        <w:spacing w:before="100" w:beforeAutospacing="1" w:after="100" w:afterAutospacing="1" w:line="240" w:lineRule="auto"/>
        <w:contextualSpacing/>
        <w:jc w:val="both"/>
      </w:pPr>
      <w:r>
        <w:rPr>
          <w:rFonts w:ascii="Calibri" w:eastAsia="Times New Roman" w:hAnsi="Calibri" w:cs="Calibri"/>
        </w:rPr>
        <w:t xml:space="preserve">The SFC </w:t>
      </w:r>
      <w:r w:rsidR="008D44AC" w:rsidRPr="008D44AC">
        <w:rPr>
          <w:rFonts w:ascii="Calibri" w:eastAsia="Times New Roman" w:hAnsi="Calibri" w:cs="Calibri"/>
        </w:rPr>
        <w:t xml:space="preserve">VA </w:t>
      </w:r>
      <w:r>
        <w:rPr>
          <w:rFonts w:ascii="Calibri" w:eastAsia="Times New Roman" w:hAnsi="Calibri" w:cs="Calibri"/>
        </w:rPr>
        <w:t xml:space="preserve">Broker Circular also allows SFC-licensed VA Brokers to </w:t>
      </w:r>
      <w:r w:rsidR="008D44AC" w:rsidRPr="008D44AC">
        <w:rPr>
          <w:rFonts w:ascii="Calibri" w:eastAsia="Times New Roman" w:hAnsi="Calibri" w:cs="Calibri"/>
        </w:rPr>
        <w:t xml:space="preserve">route client orders to shared order books operated by SFC-licensed </w:t>
      </w:r>
      <w:r>
        <w:rPr>
          <w:rFonts w:ascii="Calibri" w:eastAsia="Times New Roman" w:hAnsi="Calibri" w:cs="Calibri"/>
        </w:rPr>
        <w:t xml:space="preserve">VATP </w:t>
      </w:r>
      <w:r w:rsidR="008D44AC" w:rsidRPr="008D44AC">
        <w:rPr>
          <w:rFonts w:ascii="Calibri" w:eastAsia="Times New Roman" w:hAnsi="Calibri" w:cs="Calibri"/>
        </w:rPr>
        <w:t>operators and their global affiliates</w:t>
      </w:r>
      <w:r>
        <w:rPr>
          <w:rFonts w:ascii="Calibri" w:eastAsia="Times New Roman" w:hAnsi="Calibri" w:cs="Calibri"/>
        </w:rPr>
        <w:t xml:space="preserve">. </w:t>
      </w:r>
      <w:r>
        <w:t xml:space="preserve">By way of background, </w:t>
      </w:r>
      <w:r w:rsidRPr="008D44AC">
        <w:rPr>
          <w:rFonts w:ascii="Calibri" w:eastAsia="Times New Roman" w:hAnsi="Calibri" w:cs="Calibri"/>
        </w:rPr>
        <w:t xml:space="preserve">SFC-licensed </w:t>
      </w:r>
      <w:r>
        <w:rPr>
          <w:rFonts w:ascii="Calibri" w:eastAsia="Times New Roman" w:hAnsi="Calibri" w:cs="Calibri"/>
        </w:rPr>
        <w:t xml:space="preserve">VATP </w:t>
      </w:r>
      <w:r w:rsidRPr="008D44AC">
        <w:rPr>
          <w:rFonts w:ascii="Calibri" w:eastAsia="Times New Roman" w:hAnsi="Calibri" w:cs="Calibri"/>
        </w:rPr>
        <w:t xml:space="preserve">operators </w:t>
      </w:r>
      <w:r>
        <w:t xml:space="preserve">are permitted, under a separate </w:t>
      </w:r>
      <w:hyperlink r:id="rId8" w:history="1">
        <w:r w:rsidRPr="002E11F5">
          <w:rPr>
            <w:rStyle w:val="a5"/>
          </w:rPr>
          <w:t>SFC circular on shared liquidity</w:t>
        </w:r>
      </w:hyperlink>
      <w:r>
        <w:t xml:space="preserve">, to merge their order books with those of affiliated overseas platform operators, creating a pooled trading environment (a </w:t>
      </w:r>
      <w:r w:rsidRPr="00385E40">
        <w:rPr>
          <w:b/>
        </w:rPr>
        <w:t>Shared Order Book</w:t>
      </w:r>
      <w:r>
        <w:t>) in which orders can be matched and executed across multiple venues.</w:t>
      </w:r>
    </w:p>
    <w:p w14:paraId="46C133E3" w14:textId="77777777" w:rsidR="0030340F" w:rsidRPr="008D44AC" w:rsidRDefault="0030340F" w:rsidP="00450480">
      <w:pPr>
        <w:spacing w:before="100" w:beforeAutospacing="1" w:after="100" w:afterAutospacing="1" w:line="240" w:lineRule="auto"/>
        <w:contextualSpacing/>
        <w:jc w:val="both"/>
        <w:rPr>
          <w:rFonts w:ascii="Calibri" w:eastAsia="Times New Roman" w:hAnsi="Calibri" w:cs="Calibri"/>
        </w:rPr>
      </w:pPr>
    </w:p>
    <w:p w14:paraId="7CF077E2" w14:textId="77777777" w:rsidR="00FE5F36" w:rsidRPr="00FE5F36" w:rsidRDefault="00FE5F36" w:rsidP="000B2CB7">
      <w:pPr>
        <w:spacing w:before="100" w:beforeAutospacing="1" w:after="100" w:afterAutospacing="1" w:line="240" w:lineRule="auto"/>
        <w:jc w:val="both"/>
        <w:rPr>
          <w:rFonts w:eastAsia="Times New Roman" w:cstheme="minorHAnsi"/>
        </w:rPr>
      </w:pPr>
      <w:r w:rsidRPr="002E11F5">
        <w:rPr>
          <w:rFonts w:eastAsia="Times New Roman" w:cstheme="minorHAnsi"/>
        </w:rPr>
        <w:t>SFC-licensed VA Brokers can now</w:t>
      </w:r>
      <w:r w:rsidRPr="00FE5F36">
        <w:rPr>
          <w:rFonts w:eastAsia="Times New Roman" w:cstheme="minorHAnsi"/>
        </w:rPr>
        <w:t xml:space="preserve"> route client orders to a Shared Order Book on an agency basis, consistent with their best execution obligations, but only after conducting a thorough risk assessment. The areas the SFC expects to be covered </w:t>
      </w:r>
      <w:r w:rsidRPr="002E11F5">
        <w:rPr>
          <w:rFonts w:eastAsia="Times New Roman" w:cstheme="minorHAnsi"/>
        </w:rPr>
        <w:t xml:space="preserve">by the risk assessment </w:t>
      </w:r>
      <w:r w:rsidRPr="00FE5F36">
        <w:rPr>
          <w:rFonts w:eastAsia="Times New Roman" w:cstheme="minorHAnsi"/>
        </w:rPr>
        <w:t xml:space="preserve">include any </w:t>
      </w:r>
      <w:r w:rsidRPr="002E11F5">
        <w:rPr>
          <w:rFonts w:eastAsia="Times New Roman" w:cstheme="minorHAnsi"/>
        </w:rPr>
        <w:t xml:space="preserve">potential </w:t>
      </w:r>
      <w:r w:rsidRPr="00FE5F36">
        <w:rPr>
          <w:rFonts w:eastAsia="Times New Roman" w:cstheme="minorHAnsi"/>
        </w:rPr>
        <w:t xml:space="preserve">conflicts of interest on the part of the entities operating the Shared Order Book, a detailed understanding of how settlement works </w:t>
      </w:r>
      <w:r w:rsidRPr="002E11F5">
        <w:rPr>
          <w:rFonts w:eastAsia="Times New Roman" w:cstheme="minorHAnsi"/>
        </w:rPr>
        <w:t>(</w:t>
      </w:r>
      <w:r w:rsidRPr="00FE5F36">
        <w:rPr>
          <w:rFonts w:eastAsia="Times New Roman" w:cstheme="minorHAnsi"/>
        </w:rPr>
        <w:t xml:space="preserve">including the allocation of responsibilities among the parties, </w:t>
      </w:r>
      <w:r w:rsidRPr="002E11F5">
        <w:rPr>
          <w:rFonts w:eastAsia="Times New Roman" w:cstheme="minorHAnsi"/>
        </w:rPr>
        <w:t>the expected timeline</w:t>
      </w:r>
      <w:r w:rsidRPr="00FE5F36">
        <w:rPr>
          <w:rFonts w:eastAsia="Times New Roman" w:cstheme="minorHAnsi"/>
        </w:rPr>
        <w:t xml:space="preserve"> and the risk of settlement delays or failures</w:t>
      </w:r>
      <w:r w:rsidRPr="002E11F5">
        <w:rPr>
          <w:rFonts w:eastAsia="Times New Roman" w:cstheme="minorHAnsi"/>
        </w:rPr>
        <w:t>),</w:t>
      </w:r>
      <w:r w:rsidRPr="00FE5F36">
        <w:rPr>
          <w:rFonts w:eastAsia="Times New Roman" w:cstheme="minorHAnsi"/>
        </w:rPr>
        <w:t xml:space="preserve"> the circumstances </w:t>
      </w:r>
      <w:r w:rsidRPr="002E11F5">
        <w:rPr>
          <w:rFonts w:eastAsia="Times New Roman" w:cstheme="minorHAnsi"/>
        </w:rPr>
        <w:t xml:space="preserve">in </w:t>
      </w:r>
      <w:r w:rsidRPr="00FE5F36">
        <w:rPr>
          <w:rFonts w:eastAsia="Times New Roman" w:cstheme="minorHAnsi"/>
        </w:rPr>
        <w:t xml:space="preserve">which trades might fail to settle and the resulting default management or </w:t>
      </w:r>
      <w:r w:rsidRPr="002E11F5">
        <w:rPr>
          <w:rFonts w:eastAsia="Times New Roman" w:cstheme="minorHAnsi"/>
        </w:rPr>
        <w:t xml:space="preserve">trade </w:t>
      </w:r>
      <w:r w:rsidRPr="00FE5F36">
        <w:rPr>
          <w:rFonts w:eastAsia="Times New Roman" w:cstheme="minorHAnsi"/>
        </w:rPr>
        <w:t xml:space="preserve">cancellation procedures, the adequacy of </w:t>
      </w:r>
      <w:r w:rsidRPr="002E11F5">
        <w:rPr>
          <w:rFonts w:eastAsia="Times New Roman" w:cstheme="minorHAnsi"/>
        </w:rPr>
        <w:t xml:space="preserve">risk mitigation measures, </w:t>
      </w:r>
      <w:r w:rsidRPr="00FE5F36">
        <w:rPr>
          <w:rFonts w:eastAsia="Times New Roman" w:cstheme="minorHAnsi"/>
        </w:rPr>
        <w:t xml:space="preserve">such as reserve funds and insurance, and the </w:t>
      </w:r>
      <w:r w:rsidRPr="002E11F5">
        <w:rPr>
          <w:rFonts w:eastAsia="Times New Roman" w:cstheme="minorHAnsi"/>
        </w:rPr>
        <w:t>extent of client protection, client</w:t>
      </w:r>
      <w:r w:rsidR="00EF46D5">
        <w:rPr>
          <w:rFonts w:eastAsia="Times New Roman" w:cstheme="minorHAnsi"/>
        </w:rPr>
        <w:t>s</w:t>
      </w:r>
      <w:r w:rsidRPr="002E11F5">
        <w:rPr>
          <w:rFonts w:eastAsia="Times New Roman" w:cstheme="minorHAnsi"/>
        </w:rPr>
        <w:t>’ right</w:t>
      </w:r>
      <w:r w:rsidRPr="00FE5F36">
        <w:rPr>
          <w:rFonts w:eastAsia="Times New Roman" w:cstheme="minorHAnsi"/>
        </w:rPr>
        <w:t>s</w:t>
      </w:r>
      <w:r w:rsidRPr="002E11F5">
        <w:rPr>
          <w:rFonts w:eastAsia="Times New Roman" w:cstheme="minorHAnsi"/>
        </w:rPr>
        <w:t xml:space="preserve"> and </w:t>
      </w:r>
      <w:r w:rsidRPr="00FE5F36">
        <w:rPr>
          <w:rFonts w:eastAsia="Times New Roman" w:cstheme="minorHAnsi"/>
        </w:rPr>
        <w:t xml:space="preserve">recourse. </w:t>
      </w:r>
      <w:r w:rsidRPr="002E11F5">
        <w:rPr>
          <w:rFonts w:eastAsia="Times New Roman" w:cstheme="minorHAnsi"/>
        </w:rPr>
        <w:t xml:space="preserve">SFC-licensed VA Brokers </w:t>
      </w:r>
      <w:r w:rsidRPr="00FE5F36">
        <w:rPr>
          <w:rFonts w:eastAsia="Times New Roman" w:cstheme="minorHAnsi"/>
        </w:rPr>
        <w:t>must also provide sufficiently clear and comprehensive disclosure to allow clients to reach an informed view on whether they wish to trade through the Shared Order Book.</w:t>
      </w:r>
    </w:p>
    <w:p w14:paraId="303412F0" w14:textId="77777777" w:rsidR="000B2CB7" w:rsidRDefault="000B2CB7" w:rsidP="00771B3F">
      <w:pPr>
        <w:spacing w:before="100" w:beforeAutospacing="1" w:after="100" w:afterAutospacing="1" w:line="240" w:lineRule="auto"/>
        <w:jc w:val="both"/>
      </w:pPr>
      <w:r>
        <w:t xml:space="preserve">Retail client access to the Shared Order Book is subject to additional conditions. An </w:t>
      </w:r>
      <w:r w:rsidRPr="000B2CB7">
        <w:rPr>
          <w:rFonts w:ascii="Calibri" w:eastAsia="Times New Roman" w:hAnsi="Calibri" w:cs="Calibri"/>
        </w:rPr>
        <w:t>SFC-licensed VA Broker</w:t>
      </w:r>
      <w:r>
        <w:t xml:space="preserve"> may offer retail clients access only if: </w:t>
      </w:r>
    </w:p>
    <w:p w14:paraId="58C74200" w14:textId="77777777" w:rsidR="000B2CB7" w:rsidRPr="000B2CB7" w:rsidRDefault="000B2CB7" w:rsidP="000B2CB7">
      <w:pPr>
        <w:pStyle w:val="a6"/>
        <w:numPr>
          <w:ilvl w:val="0"/>
          <w:numId w:val="9"/>
        </w:numPr>
        <w:spacing w:before="100" w:beforeAutospacing="1" w:after="100" w:afterAutospacing="1" w:line="240" w:lineRule="auto"/>
        <w:jc w:val="both"/>
        <w:rPr>
          <w:rFonts w:ascii="Calibri" w:eastAsia="Times New Roman" w:hAnsi="Calibri" w:cs="Calibri"/>
        </w:rPr>
      </w:pPr>
      <w:r>
        <w:t>it has explained the additional risks associated with order matching and settlement involving overseas jurisdictions, including the risk that client protection in those jurisdictions may be lower than in Hong Kong; and</w:t>
      </w:r>
    </w:p>
    <w:p w14:paraId="6F3BD868" w14:textId="77777777" w:rsidR="000B2CB7" w:rsidRPr="000B2CB7" w:rsidRDefault="000B2CB7" w:rsidP="000B2CB7">
      <w:pPr>
        <w:pStyle w:val="a6"/>
        <w:spacing w:before="100" w:beforeAutospacing="1" w:after="100" w:afterAutospacing="1" w:line="240" w:lineRule="auto"/>
        <w:jc w:val="both"/>
        <w:rPr>
          <w:rFonts w:ascii="Calibri" w:eastAsia="Times New Roman" w:hAnsi="Calibri" w:cs="Calibri"/>
        </w:rPr>
      </w:pPr>
    </w:p>
    <w:p w14:paraId="65EA08E3" w14:textId="77777777" w:rsidR="000B2CB7" w:rsidRPr="000B2CB7" w:rsidRDefault="000B2CB7" w:rsidP="000B2CB7">
      <w:pPr>
        <w:pStyle w:val="a6"/>
        <w:numPr>
          <w:ilvl w:val="0"/>
          <w:numId w:val="9"/>
        </w:numPr>
        <w:spacing w:before="100" w:beforeAutospacing="1" w:after="100" w:afterAutospacing="1" w:line="240" w:lineRule="auto"/>
        <w:jc w:val="both"/>
        <w:rPr>
          <w:rFonts w:ascii="Calibri" w:eastAsia="Times New Roman" w:hAnsi="Calibri" w:cs="Calibri"/>
        </w:rPr>
      </w:pPr>
      <w:r>
        <w:t xml:space="preserve">the clients have expressly elected to participate in the Shared Order Book. </w:t>
      </w:r>
    </w:p>
    <w:p w14:paraId="5E63D716" w14:textId="77777777" w:rsidR="000B2CB7" w:rsidRPr="000B2CB7" w:rsidRDefault="000B2CB7" w:rsidP="002E11F5">
      <w:pPr>
        <w:spacing w:before="100" w:beforeAutospacing="1" w:after="100" w:afterAutospacing="1" w:line="240" w:lineRule="auto"/>
        <w:jc w:val="both"/>
        <w:rPr>
          <w:rFonts w:ascii="Calibri" w:eastAsia="Times New Roman" w:hAnsi="Calibri" w:cs="Calibri"/>
        </w:rPr>
      </w:pPr>
      <w:r>
        <w:t xml:space="preserve">The explanation of risks should be prominently communicated to </w:t>
      </w:r>
      <w:r w:rsidR="002E11F5">
        <w:t xml:space="preserve">retail </w:t>
      </w:r>
      <w:r>
        <w:t xml:space="preserve">clients to facilitate their understanding </w:t>
      </w:r>
      <w:r w:rsidR="002E11F5">
        <w:t xml:space="preserve">of the additional risks </w:t>
      </w:r>
      <w:r>
        <w:t>before they make a decision.</w:t>
      </w:r>
      <w:r w:rsidRPr="000B2CB7">
        <w:rPr>
          <w:rFonts w:ascii="Calibri" w:eastAsia="Times New Roman" w:hAnsi="Calibri" w:cs="Calibri"/>
        </w:rPr>
        <w:t xml:space="preserve"> </w:t>
      </w:r>
    </w:p>
    <w:p w14:paraId="373F530A" w14:textId="77777777" w:rsidR="008D44AC" w:rsidRDefault="002E11F5" w:rsidP="008D44AC">
      <w:pPr>
        <w:spacing w:before="100" w:beforeAutospacing="1" w:after="100" w:afterAutospacing="1" w:line="240" w:lineRule="auto"/>
        <w:outlineLvl w:val="2"/>
        <w:rPr>
          <w:rFonts w:ascii="Calibri" w:eastAsia="Times New Roman" w:hAnsi="Calibri" w:cs="Calibri"/>
          <w:b/>
          <w:bCs/>
        </w:rPr>
      </w:pPr>
      <w:r>
        <w:rPr>
          <w:rFonts w:ascii="Calibri" w:eastAsia="Times New Roman" w:hAnsi="Calibri" w:cs="Calibri"/>
          <w:b/>
          <w:bCs/>
        </w:rPr>
        <w:t>Safeguarding Client VAs on W</w:t>
      </w:r>
      <w:r w:rsidR="008D44AC" w:rsidRPr="008D44AC">
        <w:rPr>
          <w:rFonts w:ascii="Calibri" w:eastAsia="Times New Roman" w:hAnsi="Calibri" w:cs="Calibri"/>
          <w:b/>
          <w:bCs/>
        </w:rPr>
        <w:t>ithdrawal</w:t>
      </w:r>
    </w:p>
    <w:p w14:paraId="13617DA1" w14:textId="77777777" w:rsidR="002E11F5" w:rsidRPr="002E11F5" w:rsidRDefault="002E11F5" w:rsidP="002E11F5">
      <w:pPr>
        <w:spacing w:before="100" w:beforeAutospacing="1" w:after="100" w:afterAutospacing="1" w:line="240" w:lineRule="auto"/>
        <w:jc w:val="both"/>
        <w:rPr>
          <w:rFonts w:ascii="Calibri" w:eastAsia="Times New Roman" w:hAnsi="Calibri" w:cs="Calibri"/>
        </w:rPr>
      </w:pPr>
      <w:r w:rsidRPr="002E11F5">
        <w:rPr>
          <w:rFonts w:ascii="Calibri" w:eastAsia="Times New Roman" w:hAnsi="Calibri" w:cs="Calibri"/>
        </w:rPr>
        <w:t xml:space="preserve">The final section of the </w:t>
      </w:r>
      <w:r>
        <w:rPr>
          <w:rFonts w:ascii="Calibri" w:eastAsia="Times New Roman" w:hAnsi="Calibri" w:cs="Calibri"/>
        </w:rPr>
        <w:t xml:space="preserve">SFC </w:t>
      </w:r>
      <w:r w:rsidRPr="002E11F5">
        <w:rPr>
          <w:rFonts w:ascii="Calibri" w:eastAsia="Times New Roman" w:hAnsi="Calibri" w:cs="Calibri"/>
        </w:rPr>
        <w:t>VA Broker Circular addresses the safeguarding of client VAs in the context of VA withdrawal</w:t>
      </w:r>
      <w:r w:rsidR="00B3720A">
        <w:rPr>
          <w:rFonts w:ascii="Calibri" w:eastAsia="Times New Roman" w:hAnsi="Calibri" w:cs="Calibri"/>
        </w:rPr>
        <w:t>s</w:t>
      </w:r>
      <w:r w:rsidRPr="002E11F5">
        <w:rPr>
          <w:rFonts w:ascii="Calibri" w:eastAsia="Times New Roman" w:hAnsi="Calibri" w:cs="Calibri"/>
        </w:rPr>
        <w:t xml:space="preserve">. Under paragraph 7.1 of the Terms and Conditions, </w:t>
      </w:r>
      <w:r>
        <w:rPr>
          <w:rFonts w:ascii="Calibri" w:eastAsia="Times New Roman" w:hAnsi="Calibri" w:cs="Calibri"/>
        </w:rPr>
        <w:t xml:space="preserve">SFC-licensed </w:t>
      </w:r>
      <w:r w:rsidRPr="002E11F5">
        <w:rPr>
          <w:rFonts w:ascii="Calibri" w:eastAsia="Times New Roman" w:hAnsi="Calibri" w:cs="Calibri"/>
        </w:rPr>
        <w:t>VA brokers are already required to properly handle and safeguard client VAs and to guard against loss arising from theft, fraud or other dishonest acts, professional misconduct or omissions. The SFC notes, however, that while custody of client VAs is maintained with a</w:t>
      </w:r>
      <w:r w:rsidR="00E22894">
        <w:rPr>
          <w:rFonts w:ascii="Calibri" w:eastAsia="Times New Roman" w:hAnsi="Calibri" w:cs="Calibri"/>
        </w:rPr>
        <w:t>n SFC-licensed</w:t>
      </w:r>
      <w:r w:rsidRPr="002E11F5">
        <w:rPr>
          <w:rFonts w:ascii="Calibri" w:eastAsia="Times New Roman" w:hAnsi="Calibri" w:cs="Calibri"/>
        </w:rPr>
        <w:t xml:space="preserve"> VATP operator, the withdrawal functionality offered by the </w:t>
      </w:r>
      <w:r>
        <w:rPr>
          <w:rFonts w:ascii="Calibri" w:eastAsia="Times New Roman" w:hAnsi="Calibri" w:cs="Calibri"/>
        </w:rPr>
        <w:t xml:space="preserve">SFC-licensed </w:t>
      </w:r>
      <w:r w:rsidR="00771B3F">
        <w:rPr>
          <w:rFonts w:ascii="Calibri" w:eastAsia="Times New Roman" w:hAnsi="Calibri" w:cs="Calibri"/>
        </w:rPr>
        <w:t>VA B</w:t>
      </w:r>
      <w:r w:rsidRPr="002E11F5">
        <w:rPr>
          <w:rFonts w:ascii="Calibri" w:eastAsia="Times New Roman" w:hAnsi="Calibri" w:cs="Calibri"/>
        </w:rPr>
        <w:t xml:space="preserve">roker introduces an additional layer of cyber and operational risk, in that a compromise of the </w:t>
      </w:r>
      <w:r w:rsidR="00771B3F">
        <w:rPr>
          <w:rFonts w:ascii="Calibri" w:eastAsia="Times New Roman" w:hAnsi="Calibri" w:cs="Calibri"/>
        </w:rPr>
        <w:t>SFC-licensed VA B</w:t>
      </w:r>
      <w:r>
        <w:rPr>
          <w:rFonts w:ascii="Calibri" w:eastAsia="Times New Roman" w:hAnsi="Calibri" w:cs="Calibri"/>
        </w:rPr>
        <w:t>roker’</w:t>
      </w:r>
      <w:r w:rsidRPr="002E11F5">
        <w:rPr>
          <w:rFonts w:ascii="Calibri" w:eastAsia="Times New Roman" w:hAnsi="Calibri" w:cs="Calibri"/>
        </w:rPr>
        <w:t xml:space="preserve">s own systems could enable a malicious actor to impersonate a client and issue fraudulent withdrawal instructions to the </w:t>
      </w:r>
      <w:r w:rsidR="00E22894">
        <w:rPr>
          <w:rFonts w:ascii="Calibri" w:eastAsia="Times New Roman" w:hAnsi="Calibri" w:cs="Calibri"/>
        </w:rPr>
        <w:t>SFC-licensed</w:t>
      </w:r>
      <w:r w:rsidR="00E22894" w:rsidRPr="002E11F5">
        <w:rPr>
          <w:rFonts w:ascii="Calibri" w:eastAsia="Times New Roman" w:hAnsi="Calibri" w:cs="Calibri"/>
        </w:rPr>
        <w:t xml:space="preserve"> </w:t>
      </w:r>
      <w:r w:rsidRPr="002E11F5">
        <w:rPr>
          <w:rFonts w:ascii="Calibri" w:eastAsia="Times New Roman" w:hAnsi="Calibri" w:cs="Calibri"/>
        </w:rPr>
        <w:t>VATP operator, resulting in a loss of client assets.</w:t>
      </w:r>
    </w:p>
    <w:p w14:paraId="1E1D388C" w14:textId="77777777" w:rsidR="00D41172" w:rsidRDefault="00E22894" w:rsidP="002E11F5">
      <w:pPr>
        <w:spacing w:before="100" w:beforeAutospacing="1" w:after="100" w:afterAutospacing="1" w:line="240" w:lineRule="auto"/>
        <w:jc w:val="both"/>
        <w:rPr>
          <w:rFonts w:ascii="Calibri" w:eastAsia="Times New Roman" w:hAnsi="Calibri" w:cs="Calibri"/>
        </w:rPr>
      </w:pPr>
      <w:r>
        <w:rPr>
          <w:rFonts w:ascii="Calibri" w:eastAsia="Times New Roman" w:hAnsi="Calibri" w:cs="Calibri"/>
        </w:rPr>
        <w:lastRenderedPageBreak/>
        <w:t xml:space="preserve">To address this, SFC-licensed </w:t>
      </w:r>
      <w:r w:rsidR="00771B3F">
        <w:rPr>
          <w:rFonts w:ascii="Calibri" w:eastAsia="Times New Roman" w:hAnsi="Calibri" w:cs="Calibri"/>
        </w:rPr>
        <w:t>VA B</w:t>
      </w:r>
      <w:r w:rsidR="002E11F5" w:rsidRPr="002E11F5">
        <w:rPr>
          <w:rFonts w:ascii="Calibri" w:eastAsia="Times New Roman" w:hAnsi="Calibri" w:cs="Calibri"/>
        </w:rPr>
        <w:t xml:space="preserve">rokers that permit client VA withdrawals are </w:t>
      </w:r>
      <w:r>
        <w:rPr>
          <w:rFonts w:ascii="Calibri" w:eastAsia="Times New Roman" w:hAnsi="Calibri" w:cs="Calibri"/>
        </w:rPr>
        <w:t xml:space="preserve">now </w:t>
      </w:r>
      <w:r w:rsidR="002E11F5" w:rsidRPr="002E11F5">
        <w:rPr>
          <w:rFonts w:ascii="Calibri" w:eastAsia="Times New Roman" w:hAnsi="Calibri" w:cs="Calibri"/>
        </w:rPr>
        <w:t xml:space="preserve">expected to </w:t>
      </w:r>
      <w:r>
        <w:rPr>
          <w:rFonts w:ascii="Calibri" w:eastAsia="Times New Roman" w:hAnsi="Calibri" w:cs="Calibri"/>
        </w:rPr>
        <w:t xml:space="preserve">implement controls </w:t>
      </w:r>
      <w:r w:rsidR="002E11F5" w:rsidRPr="002E11F5">
        <w:rPr>
          <w:rFonts w:ascii="Calibri" w:eastAsia="Times New Roman" w:hAnsi="Calibri" w:cs="Calibri"/>
        </w:rPr>
        <w:t xml:space="preserve">proportionate </w:t>
      </w:r>
      <w:r>
        <w:rPr>
          <w:rFonts w:ascii="Calibri" w:eastAsia="Times New Roman" w:hAnsi="Calibri" w:cs="Calibri"/>
        </w:rPr>
        <w:t xml:space="preserve">to </w:t>
      </w:r>
      <w:r w:rsidR="002E11F5" w:rsidRPr="002E11F5">
        <w:rPr>
          <w:rFonts w:ascii="Calibri" w:eastAsia="Times New Roman" w:hAnsi="Calibri" w:cs="Calibri"/>
        </w:rPr>
        <w:t xml:space="preserve">this heightened risk exposure. </w:t>
      </w:r>
      <w:r>
        <w:t xml:space="preserve">At the system level, </w:t>
      </w:r>
      <w:r w:rsidR="00D41172">
        <w:t xml:space="preserve">this means </w:t>
      </w:r>
      <w:r w:rsidR="00D41172" w:rsidRPr="002E11F5">
        <w:rPr>
          <w:rFonts w:ascii="Calibri" w:eastAsia="Times New Roman" w:hAnsi="Calibri" w:cs="Calibri"/>
        </w:rPr>
        <w:t>ensuring that their systems, authentication processes, access controls and security arrangements are sufficiently robust to prevent, detect and respond to unauthorised attempts to initiate client withdrawals</w:t>
      </w:r>
      <w:r w:rsidR="00D41172">
        <w:rPr>
          <w:rFonts w:ascii="Calibri" w:eastAsia="Times New Roman" w:hAnsi="Calibri" w:cs="Calibri"/>
        </w:rPr>
        <w:t xml:space="preserve">. </w:t>
      </w:r>
      <w:r>
        <w:t xml:space="preserve">From an operational standpoint, the SFC-licensed VA Broker must run continuous monitoring with effective incident escalation and suspension mechanisms around the clock — not only during business hours — irrespective of whether </w:t>
      </w:r>
      <w:r w:rsidR="00771B3F">
        <w:t>the SFC-licensed VA Broker processes withdrawal</w:t>
      </w:r>
      <w:r>
        <w:t xml:space="preserve">s on a 24/7 basis. Finally, the SFC </w:t>
      </w:r>
      <w:r w:rsidR="00771B3F">
        <w:t xml:space="preserve">requires </w:t>
      </w:r>
      <w:r>
        <w:t>SFC-licensed VA Broker</w:t>
      </w:r>
      <w:r w:rsidR="00D41172">
        <w:t>s</w:t>
      </w:r>
      <w:r>
        <w:t xml:space="preserve"> </w:t>
      </w:r>
      <w:r w:rsidR="00771B3F">
        <w:t xml:space="preserve">to </w:t>
      </w:r>
      <w:r>
        <w:t xml:space="preserve">work with their VATP operators to bolster detection of anomalous withdrawal activity, for example by agreeing on appropriate withdrawal thresholds at the omnibus account level or for recently whitelisted </w:t>
      </w:r>
      <w:r w:rsidR="00771B3F">
        <w:t xml:space="preserve">client </w:t>
      </w:r>
      <w:r>
        <w:t>wallets, block</w:t>
      </w:r>
      <w:r w:rsidR="00D41172">
        <w:t>ing</w:t>
      </w:r>
      <w:r>
        <w:t xml:space="preserve"> suspicious </w:t>
      </w:r>
      <w:r w:rsidR="00D41172">
        <w:t>withdrawal attempt</w:t>
      </w:r>
      <w:r>
        <w:t xml:space="preserve">s, and ensuring that alerts are escalated to the </w:t>
      </w:r>
      <w:r w:rsidR="00D41172">
        <w:t xml:space="preserve">SFC-licensed </w:t>
      </w:r>
      <w:r w:rsidR="00771B3F">
        <w:t>VA B</w:t>
      </w:r>
      <w:r>
        <w:t>roker without delay.</w:t>
      </w:r>
      <w:r w:rsidRPr="002E11F5">
        <w:rPr>
          <w:rFonts w:ascii="Calibri" w:eastAsia="Times New Roman" w:hAnsi="Calibri" w:cs="Calibri"/>
        </w:rPr>
        <w:t xml:space="preserve"> </w:t>
      </w:r>
    </w:p>
    <w:p w14:paraId="620F0908" w14:textId="77777777" w:rsidR="0030340F" w:rsidRDefault="0030340F" w:rsidP="002E11F5">
      <w:pPr>
        <w:spacing w:before="100" w:beforeAutospacing="1" w:after="100" w:afterAutospacing="1" w:line="240" w:lineRule="auto"/>
        <w:jc w:val="both"/>
        <w:rPr>
          <w:rFonts w:ascii="Calibri" w:eastAsia="Times New Roman" w:hAnsi="Calibri" w:cs="Calibri"/>
          <w:b/>
          <w:color w:val="FF0000"/>
        </w:rPr>
      </w:pPr>
      <w:r w:rsidRPr="0030340F">
        <w:rPr>
          <w:rFonts w:ascii="Calibri" w:eastAsia="Times New Roman" w:hAnsi="Calibri" w:cs="Calibri"/>
          <w:b/>
          <w:color w:val="FF0000"/>
        </w:rPr>
        <w:t>SFC Circular Permitting SFC-licensed VATP Operators to Accept Affiliated Market Makers</w:t>
      </w:r>
    </w:p>
    <w:p w14:paraId="75DA5E41" w14:textId="77777777" w:rsidR="00B3720A" w:rsidRDefault="00B3720A" w:rsidP="002E11F5">
      <w:pPr>
        <w:spacing w:before="100" w:beforeAutospacing="1" w:after="100" w:afterAutospacing="1" w:line="240" w:lineRule="auto"/>
        <w:jc w:val="both"/>
      </w:pPr>
      <w:r w:rsidRPr="00B3720A">
        <w:rPr>
          <w:rFonts w:ascii="Calibri" w:eastAsia="Times New Roman" w:hAnsi="Calibri" w:cs="Calibri"/>
        </w:rPr>
        <w:t>T</w:t>
      </w:r>
      <w:r>
        <w:rPr>
          <w:rFonts w:ascii="Calibri" w:eastAsia="Times New Roman" w:hAnsi="Calibri" w:cs="Calibri"/>
        </w:rPr>
        <w:t>he SFC’s “</w:t>
      </w:r>
      <w:hyperlink r:id="rId9" w:history="1">
        <w:r w:rsidRPr="00B3720A">
          <w:rPr>
            <w:rStyle w:val="a5"/>
            <w:rFonts w:ascii="Calibri" w:eastAsia="Times New Roman" w:hAnsi="Calibri" w:cs="Calibri"/>
          </w:rPr>
          <w:t>Circular on permitting virtual asset trading platform operators to accept affiliated market makers</w:t>
        </w:r>
      </w:hyperlink>
      <w:r>
        <w:rPr>
          <w:rFonts w:ascii="Calibri" w:eastAsia="Times New Roman" w:hAnsi="Calibri" w:cs="Calibri"/>
        </w:rPr>
        <w:t xml:space="preserve">” </w:t>
      </w:r>
      <w:r w:rsidR="00F213E3">
        <w:rPr>
          <w:rFonts w:ascii="Calibri" w:eastAsia="Times New Roman" w:hAnsi="Calibri" w:cs="Calibri"/>
        </w:rPr>
        <w:t xml:space="preserve">sets out the requirements for </w:t>
      </w:r>
      <w:r>
        <w:t xml:space="preserve">SFC-licensed VATP operators wanting to permit an affiliated company </w:t>
      </w:r>
      <w:r w:rsidR="00F213E3">
        <w:t>(</w:t>
      </w:r>
      <w:r w:rsidR="00F213E3" w:rsidRPr="00F213E3">
        <w:rPr>
          <w:b/>
        </w:rPr>
        <w:t>AFMM</w:t>
      </w:r>
      <w:r w:rsidR="00F213E3">
        <w:t xml:space="preserve">) </w:t>
      </w:r>
      <w:r>
        <w:t xml:space="preserve">to engage in market making activities on their </w:t>
      </w:r>
      <w:r w:rsidR="0038437E">
        <w:t>VATPs</w:t>
      </w:r>
      <w:r w:rsidR="00F213E3">
        <w:t xml:space="preserve"> to improve liquidity</w:t>
      </w:r>
      <w:r>
        <w:t xml:space="preserve">. </w:t>
      </w:r>
    </w:p>
    <w:p w14:paraId="555EE876" w14:textId="77777777" w:rsidR="00F213E3" w:rsidRPr="00F213E3" w:rsidRDefault="00F213E3" w:rsidP="00F213E3">
      <w:pPr>
        <w:spacing w:before="100" w:beforeAutospacing="1" w:after="100" w:afterAutospacing="1" w:line="240" w:lineRule="auto"/>
        <w:jc w:val="both"/>
      </w:pPr>
      <w:r w:rsidRPr="00F213E3">
        <w:t xml:space="preserve">Under the existing VATP Guidelines, and in particular paragraph 13.3 thereof, a group company of an SFC-licensed VATP operator is not permitted to conduct proprietary trading in </w:t>
      </w:r>
      <w:r>
        <w:t>VAs through the operator’</w:t>
      </w:r>
      <w:r w:rsidRPr="00F213E3">
        <w:t xml:space="preserve">s platform, except where permitted by the SFC on a case-by-case basis. The circular </w:t>
      </w:r>
      <w:r>
        <w:t xml:space="preserve">creates </w:t>
      </w:r>
      <w:r w:rsidRPr="00F213E3">
        <w:t>a</w:t>
      </w:r>
      <w:r>
        <w:t xml:space="preserve">n </w:t>
      </w:r>
      <w:r w:rsidRPr="00F213E3">
        <w:t xml:space="preserve">exception to this prohibition for the specific purpose of affiliated market making, provided that the </w:t>
      </w:r>
      <w:r>
        <w:t xml:space="preserve">specified </w:t>
      </w:r>
      <w:r w:rsidRPr="00F213E3">
        <w:t>conditions and safeguards are satisfied.</w:t>
      </w:r>
    </w:p>
    <w:p w14:paraId="3508D2A8" w14:textId="77777777" w:rsidR="00F213E3" w:rsidRPr="00F213E3" w:rsidRDefault="00F213E3" w:rsidP="00F213E3">
      <w:pPr>
        <w:spacing w:before="100" w:beforeAutospacing="1" w:after="100" w:afterAutospacing="1" w:line="240" w:lineRule="auto"/>
        <w:jc w:val="both"/>
      </w:pPr>
      <w:r w:rsidRPr="00F213E3">
        <w:t>The SFC recognises that permitting AFMMs to engage in market making on a VATP introduces heightened risks of conflicts of interest, given that AFMM orders may interact with client orders. Accordingly, SFC-licensed VATP operators are reminded of the need to exercise effective conflict of interest controls to address these risks.</w:t>
      </w:r>
    </w:p>
    <w:p w14:paraId="2E863E11" w14:textId="77777777" w:rsidR="00F213E3" w:rsidRDefault="0050535B" w:rsidP="002E11F5">
      <w:pPr>
        <w:spacing w:before="100" w:beforeAutospacing="1" w:after="100" w:afterAutospacing="1" w:line="240" w:lineRule="auto"/>
        <w:jc w:val="both"/>
        <w:rPr>
          <w:b/>
        </w:rPr>
      </w:pPr>
      <w:r>
        <w:rPr>
          <w:b/>
        </w:rPr>
        <w:t>Terms and Conditions  for SFC-licensed VATPs to Allow AFMM Participation</w:t>
      </w:r>
    </w:p>
    <w:p w14:paraId="6F07CD24" w14:textId="77777777" w:rsidR="0050535B" w:rsidRDefault="0050535B" w:rsidP="002E11F5">
      <w:pPr>
        <w:spacing w:before="100" w:beforeAutospacing="1" w:after="100" w:afterAutospacing="1" w:line="240" w:lineRule="auto"/>
        <w:jc w:val="both"/>
      </w:pPr>
      <w:r>
        <w:t xml:space="preserve">An SFC-licensed VATP operator that allows an AFMM to conduct market making on its platform will be subject to the terms and conditions set out in the </w:t>
      </w:r>
      <w:hyperlink r:id="rId10" w:history="1">
        <w:r w:rsidRPr="0050535B">
          <w:rPr>
            <w:rStyle w:val="a5"/>
          </w:rPr>
          <w:t>Appendix</w:t>
        </w:r>
      </w:hyperlink>
      <w:r>
        <w:t xml:space="preserve"> to the circular</w:t>
      </w:r>
      <w:r w:rsidR="001C589E">
        <w:t xml:space="preserve"> (</w:t>
      </w:r>
      <w:r w:rsidR="001C589E" w:rsidRPr="001C589E">
        <w:rPr>
          <w:b/>
        </w:rPr>
        <w:t>Terms and Conditions for AFMM</w:t>
      </w:r>
      <w:r w:rsidR="001C589E">
        <w:t>)</w:t>
      </w:r>
      <w:r w:rsidR="000F2CDA">
        <w:t>, which will be imposed on its licence.</w:t>
      </w:r>
    </w:p>
    <w:p w14:paraId="1955DC69" w14:textId="77777777" w:rsidR="001C589E" w:rsidRDefault="001C589E" w:rsidP="002E11F5">
      <w:pPr>
        <w:spacing w:before="100" w:beforeAutospacing="1" w:after="100" w:afterAutospacing="1" w:line="240" w:lineRule="auto"/>
        <w:jc w:val="both"/>
      </w:pPr>
      <w:r>
        <w:t>Condition 1 of the Terms and Conditions for AFMM provides that an SFC-licensed VATP operator may permit an AFMM to engage in market making on its VATP provided that effective conflicts of interest controls are implemented. The required controls are set out under three headings: functional independence, order handling and disclosure. The specific requirements are set out in the table below.</w:t>
      </w:r>
    </w:p>
    <w:tbl>
      <w:tblPr>
        <w:tblStyle w:val="a7"/>
        <w:tblW w:w="0" w:type="auto"/>
        <w:tblLook w:val="04A0" w:firstRow="1" w:lastRow="0" w:firstColumn="1" w:lastColumn="0" w:noHBand="0" w:noVBand="1"/>
      </w:tblPr>
      <w:tblGrid>
        <w:gridCol w:w="1178"/>
        <w:gridCol w:w="8172"/>
      </w:tblGrid>
      <w:tr w:rsidR="008B0A4D" w14:paraId="2D66FDF0" w14:textId="77777777" w:rsidTr="001C589E">
        <w:tc>
          <w:tcPr>
            <w:tcW w:w="0" w:type="auto"/>
          </w:tcPr>
          <w:p w14:paraId="0DF56511" w14:textId="77777777" w:rsidR="001C589E" w:rsidRPr="008B0A4D" w:rsidRDefault="001C589E" w:rsidP="002E11F5">
            <w:pPr>
              <w:spacing w:before="100" w:beforeAutospacing="1" w:after="100" w:afterAutospacing="1"/>
              <w:jc w:val="both"/>
              <w:rPr>
                <w:b/>
              </w:rPr>
            </w:pPr>
            <w:r w:rsidRPr="008B0A4D">
              <w:rPr>
                <w:b/>
              </w:rPr>
              <w:t xml:space="preserve">Condition no. </w:t>
            </w:r>
          </w:p>
        </w:tc>
        <w:tc>
          <w:tcPr>
            <w:tcW w:w="0" w:type="auto"/>
          </w:tcPr>
          <w:p w14:paraId="1A32E424" w14:textId="77777777" w:rsidR="001C589E" w:rsidRPr="008B0A4D" w:rsidRDefault="001C589E" w:rsidP="002E11F5">
            <w:pPr>
              <w:spacing w:before="100" w:beforeAutospacing="1" w:after="100" w:afterAutospacing="1"/>
              <w:jc w:val="both"/>
              <w:rPr>
                <w:b/>
              </w:rPr>
            </w:pPr>
            <w:r w:rsidRPr="008B0A4D">
              <w:rPr>
                <w:b/>
              </w:rPr>
              <w:t>Condition</w:t>
            </w:r>
          </w:p>
        </w:tc>
      </w:tr>
      <w:tr w:rsidR="001C589E" w14:paraId="2C0B1500" w14:textId="77777777" w:rsidTr="006441AA">
        <w:tc>
          <w:tcPr>
            <w:tcW w:w="0" w:type="auto"/>
            <w:gridSpan w:val="2"/>
          </w:tcPr>
          <w:p w14:paraId="6328B741" w14:textId="77777777" w:rsidR="001C589E" w:rsidRPr="001C589E" w:rsidRDefault="008F61B5" w:rsidP="002E11F5">
            <w:pPr>
              <w:spacing w:before="100" w:beforeAutospacing="1" w:after="100" w:afterAutospacing="1"/>
              <w:jc w:val="both"/>
              <w:rPr>
                <w:b/>
              </w:rPr>
            </w:pPr>
            <w:r>
              <w:rPr>
                <w:b/>
              </w:rPr>
              <w:t>Functional</w:t>
            </w:r>
            <w:r w:rsidR="00175859">
              <w:rPr>
                <w:b/>
              </w:rPr>
              <w:t xml:space="preserve"> i</w:t>
            </w:r>
            <w:r w:rsidR="001C589E" w:rsidRPr="001C589E">
              <w:rPr>
                <w:b/>
              </w:rPr>
              <w:t>ndependence</w:t>
            </w:r>
          </w:p>
        </w:tc>
      </w:tr>
      <w:tr w:rsidR="008B0A4D" w14:paraId="15E5DE33" w14:textId="77777777" w:rsidTr="001C589E">
        <w:tc>
          <w:tcPr>
            <w:tcW w:w="0" w:type="auto"/>
          </w:tcPr>
          <w:p w14:paraId="4031796A" w14:textId="77777777" w:rsidR="001C589E" w:rsidRDefault="001C589E" w:rsidP="002E11F5">
            <w:pPr>
              <w:spacing w:before="100" w:beforeAutospacing="1" w:after="100" w:afterAutospacing="1"/>
              <w:jc w:val="both"/>
            </w:pPr>
            <w:r>
              <w:t>1(a)</w:t>
            </w: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7875"/>
            </w:tblGrid>
            <w:tr w:rsidR="001C589E" w:rsidRPr="001C589E" w14:paraId="61961D4A" w14:textId="77777777" w:rsidTr="001C589E">
              <w:trPr>
                <w:tblCellSpacing w:w="15" w:type="dxa"/>
              </w:trPr>
              <w:tc>
                <w:tcPr>
                  <w:tcW w:w="0" w:type="auto"/>
                  <w:vAlign w:val="center"/>
                  <w:hideMark/>
                </w:tcPr>
                <w:p w14:paraId="450BBE3C" w14:textId="77777777" w:rsidR="001C589E" w:rsidRPr="001C589E" w:rsidRDefault="001C589E" w:rsidP="001C589E">
                  <w:pPr>
                    <w:spacing w:after="0" w:line="240" w:lineRule="auto"/>
                    <w:rPr>
                      <w:rFonts w:ascii="Times New Roman" w:eastAsia="Times New Roman" w:hAnsi="Times New Roman" w:cs="Times New Roman"/>
                      <w:sz w:val="24"/>
                      <w:szCs w:val="24"/>
                    </w:rPr>
                  </w:pPr>
                </w:p>
              </w:tc>
              <w:tc>
                <w:tcPr>
                  <w:tcW w:w="0" w:type="auto"/>
                  <w:vAlign w:val="center"/>
                  <w:hideMark/>
                </w:tcPr>
                <w:p w14:paraId="6E8DDEC2" w14:textId="77777777" w:rsidR="001C589E" w:rsidRDefault="001C589E" w:rsidP="001C589E">
                  <w:pPr>
                    <w:spacing w:after="0" w:line="240" w:lineRule="auto"/>
                    <w:jc w:val="both"/>
                    <w:rPr>
                      <w:rFonts w:eastAsia="Times New Roman" w:cstheme="minorHAnsi"/>
                    </w:rPr>
                  </w:pPr>
                  <w:r w:rsidRPr="001C589E">
                    <w:rPr>
                      <w:rFonts w:eastAsia="Times New Roman" w:cstheme="minorHAnsi"/>
                    </w:rPr>
                    <w:t xml:space="preserve">The AFMM </w:t>
                  </w:r>
                  <w:r>
                    <w:rPr>
                      <w:rFonts w:eastAsia="Times New Roman" w:cstheme="minorHAnsi"/>
                    </w:rPr>
                    <w:t xml:space="preserve">must </w:t>
                  </w:r>
                  <w:r w:rsidRPr="001C589E">
                    <w:rPr>
                      <w:rFonts w:eastAsia="Times New Roman" w:cstheme="minorHAnsi"/>
                    </w:rPr>
                    <w:t xml:space="preserve">be functionally independent from the </w:t>
                  </w:r>
                  <w:r>
                    <w:rPr>
                      <w:rFonts w:eastAsia="Times New Roman" w:cstheme="minorHAnsi"/>
                    </w:rPr>
                    <w:t>SFC-licensed VATP o</w:t>
                  </w:r>
                  <w:r w:rsidRPr="001C589E">
                    <w:rPr>
                      <w:rFonts w:eastAsia="Times New Roman" w:cstheme="minorHAnsi"/>
                    </w:rPr>
                    <w:t xml:space="preserve">perator, with organisational and administrative segregation from the </w:t>
                  </w:r>
                  <w:r>
                    <w:rPr>
                      <w:rFonts w:eastAsia="Times New Roman" w:cstheme="minorHAnsi"/>
                    </w:rPr>
                    <w:t>operator’</w:t>
                  </w:r>
                  <w:r w:rsidRPr="001C589E">
                    <w:rPr>
                      <w:rFonts w:eastAsia="Times New Roman" w:cstheme="minorHAnsi"/>
                    </w:rPr>
                    <w:t>s operating environment (per paragraph 11.5 of the VATP Guidelines).</w:t>
                  </w:r>
                </w:p>
                <w:p w14:paraId="53A7A5F2" w14:textId="77777777" w:rsidR="001C589E" w:rsidRPr="001C589E" w:rsidRDefault="001C589E" w:rsidP="001C589E">
                  <w:pPr>
                    <w:spacing w:after="0" w:line="240" w:lineRule="auto"/>
                    <w:jc w:val="both"/>
                    <w:rPr>
                      <w:rFonts w:eastAsia="Times New Roman" w:cstheme="minorHAnsi"/>
                    </w:rPr>
                  </w:pPr>
                </w:p>
              </w:tc>
            </w:tr>
          </w:tbl>
          <w:p w14:paraId="56EE7AB2" w14:textId="77777777" w:rsidR="001C589E" w:rsidRDefault="001C589E" w:rsidP="002E11F5">
            <w:pPr>
              <w:spacing w:before="100" w:beforeAutospacing="1" w:after="100" w:afterAutospacing="1"/>
              <w:jc w:val="both"/>
            </w:pPr>
          </w:p>
        </w:tc>
      </w:tr>
      <w:tr w:rsidR="008B0A4D" w14:paraId="5B75E70F" w14:textId="77777777" w:rsidTr="001C589E">
        <w:tc>
          <w:tcPr>
            <w:tcW w:w="0" w:type="auto"/>
          </w:tcPr>
          <w:p w14:paraId="2E8A14B5" w14:textId="77777777" w:rsidR="001C589E" w:rsidRDefault="001C589E" w:rsidP="002E11F5">
            <w:pPr>
              <w:spacing w:before="100" w:beforeAutospacing="1" w:after="100" w:afterAutospacing="1"/>
              <w:jc w:val="both"/>
            </w:pPr>
            <w:r>
              <w:lastRenderedPageBreak/>
              <w:t>1(b)</w:t>
            </w:r>
          </w:p>
        </w:tc>
        <w:tc>
          <w:tcPr>
            <w:tcW w:w="0" w:type="auto"/>
          </w:tcPr>
          <w:p w14:paraId="024936DA" w14:textId="77777777" w:rsidR="001C589E" w:rsidRDefault="001C589E" w:rsidP="001C589E">
            <w:pPr>
              <w:spacing w:before="100" w:beforeAutospacing="1" w:after="100" w:afterAutospacing="1"/>
              <w:contextualSpacing/>
              <w:jc w:val="both"/>
            </w:pPr>
            <w:r>
              <w:t>Robust conflicts of interest policies and procedures must be implemented regarding the AFMM to prevent, manage and monitor any actual or potential conflicts of interest, and at least one Responsible Officer (RO) or Manager-in-Charge (MIC) must be responsible for conflicts of interest management regarding the AFMM.</w:t>
            </w:r>
          </w:p>
          <w:p w14:paraId="4DCA0D88" w14:textId="77777777" w:rsidR="001C589E" w:rsidRDefault="001C589E" w:rsidP="001C589E">
            <w:pPr>
              <w:spacing w:before="100" w:beforeAutospacing="1" w:after="100" w:afterAutospacing="1"/>
              <w:contextualSpacing/>
              <w:jc w:val="both"/>
            </w:pPr>
          </w:p>
        </w:tc>
      </w:tr>
      <w:tr w:rsidR="008B0A4D" w14:paraId="36362C70" w14:textId="77777777" w:rsidTr="001C589E">
        <w:tc>
          <w:tcPr>
            <w:tcW w:w="0" w:type="auto"/>
          </w:tcPr>
          <w:p w14:paraId="552E1452" w14:textId="77777777" w:rsidR="001C589E" w:rsidRDefault="001C589E" w:rsidP="002E11F5">
            <w:pPr>
              <w:spacing w:before="100" w:beforeAutospacing="1" w:after="100" w:afterAutospacing="1"/>
              <w:jc w:val="both"/>
            </w:pPr>
            <w:r>
              <w:t>1(c)</w:t>
            </w:r>
          </w:p>
        </w:tc>
        <w:tc>
          <w:tcPr>
            <w:tcW w:w="0" w:type="auto"/>
          </w:tcPr>
          <w:p w14:paraId="63CE80E1" w14:textId="77777777" w:rsidR="001C589E" w:rsidRDefault="001C589E" w:rsidP="001C589E">
            <w:pPr>
              <w:spacing w:before="100" w:beforeAutospacing="1" w:after="100" w:afterAutospacing="1"/>
              <w:contextualSpacing/>
              <w:jc w:val="both"/>
            </w:pPr>
            <w:r>
              <w:t xml:space="preserve">Effective data security policies and procedures as well as information barriers must be implemented (i) to prevent the AFMM from accessing the </w:t>
            </w:r>
            <w:r w:rsidR="00175859">
              <w:t>VATP operator’</w:t>
            </w:r>
            <w:r>
              <w:t>s confidential data, including client data, system data and client pre-trade information, and (ii) to prevent information leakage to the AFMM (per Section IV of the Management, Supervision and Internal Control Guidelines).</w:t>
            </w:r>
          </w:p>
          <w:p w14:paraId="04331195" w14:textId="77777777" w:rsidR="001C589E" w:rsidRDefault="001C589E" w:rsidP="001C589E">
            <w:pPr>
              <w:spacing w:before="100" w:beforeAutospacing="1" w:after="100" w:afterAutospacing="1"/>
              <w:contextualSpacing/>
              <w:jc w:val="both"/>
            </w:pPr>
          </w:p>
        </w:tc>
      </w:tr>
      <w:tr w:rsidR="008B0A4D" w14:paraId="4823EB05" w14:textId="77777777" w:rsidTr="001C589E">
        <w:tc>
          <w:tcPr>
            <w:tcW w:w="0" w:type="auto"/>
          </w:tcPr>
          <w:p w14:paraId="57539E13" w14:textId="77777777" w:rsidR="001C589E" w:rsidRDefault="00175859" w:rsidP="002E11F5">
            <w:pPr>
              <w:spacing w:before="100" w:beforeAutospacing="1" w:after="100" w:afterAutospacing="1"/>
              <w:jc w:val="both"/>
            </w:pPr>
            <w:r>
              <w:t>1(d)</w:t>
            </w:r>
          </w:p>
        </w:tc>
        <w:tc>
          <w:tcPr>
            <w:tcW w:w="0" w:type="auto"/>
          </w:tcPr>
          <w:p w14:paraId="3DE4337E" w14:textId="77777777" w:rsidR="001C589E" w:rsidRDefault="00175859" w:rsidP="00175859">
            <w:pPr>
              <w:spacing w:before="100" w:beforeAutospacing="1" w:after="100" w:afterAutospacing="1"/>
              <w:contextualSpacing/>
              <w:jc w:val="both"/>
            </w:pPr>
            <w:r>
              <w:t>Periodic reviews of access logs must be conducted to ensure the continued effectiveness of the information barriers implemented.</w:t>
            </w:r>
          </w:p>
          <w:p w14:paraId="76983486" w14:textId="77777777" w:rsidR="00175859" w:rsidRDefault="00175859" w:rsidP="00175859">
            <w:pPr>
              <w:spacing w:before="100" w:beforeAutospacing="1" w:after="100" w:afterAutospacing="1"/>
              <w:contextualSpacing/>
              <w:jc w:val="both"/>
            </w:pPr>
          </w:p>
        </w:tc>
      </w:tr>
      <w:tr w:rsidR="00175859" w14:paraId="728D4A8B" w14:textId="77777777" w:rsidTr="003070C8">
        <w:tc>
          <w:tcPr>
            <w:tcW w:w="0" w:type="auto"/>
            <w:gridSpan w:val="2"/>
          </w:tcPr>
          <w:p w14:paraId="24FBFFB3" w14:textId="77777777" w:rsidR="00175859" w:rsidRPr="00175859" w:rsidRDefault="00175859" w:rsidP="002E11F5">
            <w:pPr>
              <w:spacing w:before="100" w:beforeAutospacing="1" w:after="100" w:afterAutospacing="1"/>
              <w:jc w:val="both"/>
              <w:rPr>
                <w:b/>
              </w:rPr>
            </w:pPr>
            <w:r>
              <w:rPr>
                <w:b/>
              </w:rPr>
              <w:t>Order handling</w:t>
            </w:r>
          </w:p>
        </w:tc>
      </w:tr>
      <w:tr w:rsidR="008B0A4D" w14:paraId="533F83A2" w14:textId="77777777" w:rsidTr="001C589E">
        <w:tc>
          <w:tcPr>
            <w:tcW w:w="0" w:type="auto"/>
          </w:tcPr>
          <w:p w14:paraId="3171B281" w14:textId="77777777" w:rsidR="001C589E" w:rsidRDefault="00175859" w:rsidP="00175859">
            <w:pPr>
              <w:spacing w:before="100" w:beforeAutospacing="1" w:after="100" w:afterAutospacing="1"/>
              <w:jc w:val="both"/>
            </w:pPr>
            <w:r>
              <w:t>1(e)</w:t>
            </w:r>
          </w:p>
        </w:tc>
        <w:tc>
          <w:tcPr>
            <w:tcW w:w="0" w:type="auto"/>
          </w:tcPr>
          <w:p w14:paraId="71D9CA03" w14:textId="77777777" w:rsidR="001C589E" w:rsidRDefault="00175859" w:rsidP="00175859">
            <w:pPr>
              <w:spacing w:before="100" w:beforeAutospacing="1" w:after="100" w:afterAutospacing="1"/>
              <w:contextualSpacing/>
              <w:jc w:val="both"/>
            </w:pPr>
            <w:r>
              <w:t>Client orders must always have priority over the AFMM’s orders when being transacted at the same price level.</w:t>
            </w:r>
          </w:p>
          <w:p w14:paraId="4B27DC69" w14:textId="77777777" w:rsidR="00175859" w:rsidRDefault="00175859" w:rsidP="00175859">
            <w:pPr>
              <w:spacing w:before="100" w:beforeAutospacing="1" w:after="100" w:afterAutospacing="1"/>
              <w:contextualSpacing/>
              <w:jc w:val="both"/>
            </w:pPr>
          </w:p>
        </w:tc>
      </w:tr>
      <w:tr w:rsidR="008B0A4D" w14:paraId="13CC538E" w14:textId="77777777" w:rsidTr="001C589E">
        <w:tc>
          <w:tcPr>
            <w:tcW w:w="0" w:type="auto"/>
          </w:tcPr>
          <w:p w14:paraId="46A9AF60" w14:textId="77777777" w:rsidR="001C589E" w:rsidRDefault="00175859" w:rsidP="002E11F5">
            <w:pPr>
              <w:spacing w:before="100" w:beforeAutospacing="1" w:after="100" w:afterAutospacing="1"/>
              <w:jc w:val="both"/>
            </w:pPr>
            <w:r>
              <w:t>1(f)</w:t>
            </w:r>
          </w:p>
        </w:tc>
        <w:tc>
          <w:tcPr>
            <w:tcW w:w="0" w:type="auto"/>
          </w:tcPr>
          <w:p w14:paraId="76B9C153" w14:textId="77777777" w:rsidR="00175859" w:rsidRDefault="00175859" w:rsidP="00175859">
            <w:pPr>
              <w:spacing w:before="100" w:beforeAutospacing="1" w:after="100" w:afterAutospacing="1"/>
              <w:contextualSpacing/>
              <w:jc w:val="both"/>
            </w:pPr>
            <w:r>
              <w:t xml:space="preserve">When providing post-trade data to clients, the </w:t>
            </w:r>
            <w:r>
              <w:rPr>
                <w:rFonts w:eastAsia="Times New Roman" w:cstheme="minorHAnsi"/>
              </w:rPr>
              <w:t xml:space="preserve">SFC-licensed </w:t>
            </w:r>
            <w:r>
              <w:t>VATP operator should indicate, on a trade-by-trade basis, which trades were executed by the AFMM.</w:t>
            </w:r>
          </w:p>
          <w:p w14:paraId="4F3A89FB" w14:textId="77777777" w:rsidR="00175859" w:rsidRDefault="00175859" w:rsidP="00175859">
            <w:pPr>
              <w:spacing w:before="100" w:beforeAutospacing="1" w:after="100" w:afterAutospacing="1"/>
              <w:contextualSpacing/>
              <w:jc w:val="both"/>
            </w:pPr>
          </w:p>
        </w:tc>
      </w:tr>
      <w:tr w:rsidR="008B0A4D" w14:paraId="2B3FE376" w14:textId="77777777" w:rsidTr="001C589E">
        <w:tc>
          <w:tcPr>
            <w:tcW w:w="0" w:type="auto"/>
          </w:tcPr>
          <w:p w14:paraId="20AE1B3F" w14:textId="77777777" w:rsidR="001C589E" w:rsidRDefault="00175859" w:rsidP="002E11F5">
            <w:pPr>
              <w:spacing w:before="100" w:beforeAutospacing="1" w:after="100" w:afterAutospacing="1"/>
              <w:jc w:val="both"/>
            </w:pPr>
            <w:r>
              <w:t>1(g)</w:t>
            </w:r>
          </w:p>
        </w:tc>
        <w:tc>
          <w:tcPr>
            <w:tcW w:w="0" w:type="auto"/>
          </w:tcPr>
          <w:p w14:paraId="5257FD41" w14:textId="77777777" w:rsidR="001C589E" w:rsidRDefault="00175859" w:rsidP="00175859">
            <w:pPr>
              <w:spacing w:before="100" w:beforeAutospacing="1" w:after="100" w:afterAutospacing="1"/>
              <w:contextualSpacing/>
              <w:jc w:val="both"/>
            </w:pPr>
            <w:r>
              <w:t>Technical access available to the AFMM and other market makers (if any), including market data feeds, connectivity and order type availability, must be identical.</w:t>
            </w:r>
          </w:p>
          <w:p w14:paraId="149B7764" w14:textId="77777777" w:rsidR="00175859" w:rsidRDefault="00175859" w:rsidP="00175859">
            <w:pPr>
              <w:spacing w:before="100" w:beforeAutospacing="1" w:after="100" w:afterAutospacing="1"/>
              <w:contextualSpacing/>
              <w:jc w:val="both"/>
            </w:pPr>
          </w:p>
        </w:tc>
      </w:tr>
      <w:tr w:rsidR="00175859" w14:paraId="7A1B7554" w14:textId="77777777" w:rsidTr="000D6730">
        <w:tc>
          <w:tcPr>
            <w:tcW w:w="0" w:type="auto"/>
            <w:gridSpan w:val="2"/>
          </w:tcPr>
          <w:p w14:paraId="4D05FF2E" w14:textId="77777777" w:rsidR="00175859" w:rsidRDefault="00175859" w:rsidP="00175859">
            <w:pPr>
              <w:spacing w:before="100" w:beforeAutospacing="1" w:after="100" w:afterAutospacing="1"/>
              <w:contextualSpacing/>
              <w:jc w:val="both"/>
            </w:pPr>
            <w:r>
              <w:rPr>
                <w:rStyle w:val="a4"/>
              </w:rPr>
              <w:t>Disclosure</w:t>
            </w:r>
          </w:p>
        </w:tc>
      </w:tr>
      <w:tr w:rsidR="008B0A4D" w14:paraId="4F6947CB" w14:textId="77777777" w:rsidTr="001C589E">
        <w:tc>
          <w:tcPr>
            <w:tcW w:w="0" w:type="auto"/>
          </w:tcPr>
          <w:p w14:paraId="0A710DC2" w14:textId="77777777" w:rsidR="001C589E" w:rsidRDefault="00175859" w:rsidP="002E11F5">
            <w:pPr>
              <w:spacing w:before="100" w:beforeAutospacing="1" w:after="100" w:afterAutospacing="1"/>
              <w:jc w:val="both"/>
            </w:pPr>
            <w:r>
              <w:t>1(h)</w:t>
            </w:r>
          </w:p>
        </w:tc>
        <w:tc>
          <w:tcPr>
            <w:tcW w:w="0" w:type="auto"/>
          </w:tcPr>
          <w:p w14:paraId="2E2970B8" w14:textId="77777777" w:rsidR="00175859" w:rsidRDefault="00175859" w:rsidP="00175859">
            <w:pPr>
              <w:spacing w:before="100" w:beforeAutospacing="1" w:after="100" w:afterAutospacing="1"/>
              <w:contextualSpacing/>
              <w:jc w:val="both"/>
            </w:pPr>
            <w:r>
              <w:t xml:space="preserve">The </w:t>
            </w:r>
            <w:r>
              <w:rPr>
                <w:rFonts w:eastAsia="Times New Roman" w:cstheme="minorHAnsi"/>
              </w:rPr>
              <w:t xml:space="preserve">SFC-licensed </w:t>
            </w:r>
            <w:r>
              <w:t xml:space="preserve">operator must clearly disclose to clients the AFMM’s presence and role on the VATP and the associated risks to clients, including: </w:t>
            </w:r>
          </w:p>
          <w:p w14:paraId="06D600E3" w14:textId="77777777" w:rsidR="00175859" w:rsidRDefault="00175859" w:rsidP="00175859">
            <w:pPr>
              <w:pStyle w:val="a6"/>
              <w:numPr>
                <w:ilvl w:val="0"/>
                <w:numId w:val="14"/>
              </w:numPr>
              <w:spacing w:before="100" w:beforeAutospacing="1" w:after="100" w:afterAutospacing="1"/>
              <w:jc w:val="both"/>
            </w:pPr>
            <w:r>
              <w:t xml:space="preserve">all formal and informal arrangements with, or preferential treatment to, the AFMM in relation to pre-trade transparency, order placing and execution; </w:t>
            </w:r>
          </w:p>
          <w:p w14:paraId="5AECC73A" w14:textId="77777777" w:rsidR="00175859" w:rsidRDefault="00175859" w:rsidP="00175859">
            <w:pPr>
              <w:pStyle w:val="a6"/>
              <w:numPr>
                <w:ilvl w:val="0"/>
                <w:numId w:val="14"/>
              </w:numPr>
              <w:spacing w:before="100" w:beforeAutospacing="1" w:after="100" w:afterAutospacing="1"/>
              <w:jc w:val="both"/>
            </w:pPr>
            <w:r>
              <w:t xml:space="preserve">whether there is any difference in the AFMM’s access to the order book compared to client access; and </w:t>
            </w:r>
          </w:p>
          <w:p w14:paraId="48A3CFD7" w14:textId="77777777" w:rsidR="001C589E" w:rsidRDefault="00175859" w:rsidP="00175859">
            <w:pPr>
              <w:pStyle w:val="a6"/>
              <w:numPr>
                <w:ilvl w:val="0"/>
                <w:numId w:val="14"/>
              </w:numPr>
              <w:spacing w:before="100" w:beforeAutospacing="1" w:after="100" w:afterAutospacing="1"/>
              <w:jc w:val="both"/>
            </w:pPr>
            <w:r>
              <w:t xml:space="preserve">whether the </w:t>
            </w:r>
            <w:r>
              <w:rPr>
                <w:rFonts w:eastAsia="Times New Roman" w:cstheme="minorHAnsi"/>
              </w:rPr>
              <w:t xml:space="preserve">SFC-licensed VATP </w:t>
            </w:r>
            <w:r>
              <w:t>operator provides any extra services to the AFMM, or vice versa.</w:t>
            </w:r>
          </w:p>
        </w:tc>
      </w:tr>
    </w:tbl>
    <w:p w14:paraId="14F404AD" w14:textId="77777777" w:rsidR="008B0A4D" w:rsidRDefault="008B0A4D" w:rsidP="008B0A4D">
      <w:pPr>
        <w:pStyle w:val="4"/>
        <w:rPr>
          <w:rFonts w:asciiTheme="minorHAnsi" w:eastAsiaTheme="minorHAnsi" w:hAnsiTheme="minorHAnsi" w:cstheme="minorBidi"/>
          <w:b/>
          <w:i w:val="0"/>
          <w:iCs w:val="0"/>
          <w:color w:val="auto"/>
        </w:rPr>
      </w:pPr>
    </w:p>
    <w:p w14:paraId="706410B9" w14:textId="77777777" w:rsidR="008B0A4D" w:rsidRPr="008B0A4D" w:rsidRDefault="008B0A4D" w:rsidP="008B0A4D">
      <w:pPr>
        <w:pStyle w:val="4"/>
        <w:rPr>
          <w:rFonts w:asciiTheme="minorHAnsi" w:eastAsiaTheme="minorHAnsi" w:hAnsiTheme="minorHAnsi" w:cstheme="minorBidi"/>
          <w:b/>
          <w:i w:val="0"/>
          <w:iCs w:val="0"/>
          <w:color w:val="auto"/>
        </w:rPr>
      </w:pPr>
      <w:r w:rsidRPr="008B0A4D">
        <w:rPr>
          <w:rFonts w:asciiTheme="minorHAnsi" w:eastAsiaTheme="minorHAnsi" w:hAnsiTheme="minorHAnsi" w:cstheme="minorBidi"/>
          <w:b/>
          <w:i w:val="0"/>
          <w:iCs w:val="0"/>
          <w:color w:val="auto"/>
        </w:rPr>
        <w:t>Other Ongoing Obligations under the Terms and Conditions</w:t>
      </w:r>
      <w:r w:rsidR="000F2CDA">
        <w:rPr>
          <w:rFonts w:asciiTheme="minorHAnsi" w:eastAsiaTheme="minorHAnsi" w:hAnsiTheme="minorHAnsi" w:cstheme="minorBidi"/>
          <w:b/>
          <w:i w:val="0"/>
          <w:iCs w:val="0"/>
          <w:color w:val="auto"/>
        </w:rPr>
        <w:t xml:space="preserve"> for AFMM</w:t>
      </w:r>
    </w:p>
    <w:p w14:paraId="49E28C08" w14:textId="77777777" w:rsidR="001C589E" w:rsidRDefault="008B0A4D" w:rsidP="002E11F5">
      <w:pPr>
        <w:spacing w:before="100" w:beforeAutospacing="1" w:after="100" w:afterAutospacing="1" w:line="240" w:lineRule="auto"/>
        <w:jc w:val="both"/>
      </w:pPr>
      <w:r>
        <w:t>In addition to the conflicts of interest controls set out in condition 1, the Terms and Conditions</w:t>
      </w:r>
      <w:r w:rsidR="000F2CDA">
        <w:t xml:space="preserve"> for AFMM</w:t>
      </w:r>
      <w:r>
        <w:t xml:space="preserve"> impose three further ongoing obligations on the SFC-licensed VATP operator.</w:t>
      </w:r>
    </w:p>
    <w:tbl>
      <w:tblPr>
        <w:tblStyle w:val="a7"/>
        <w:tblW w:w="0" w:type="auto"/>
        <w:tblLook w:val="04A0" w:firstRow="1" w:lastRow="0" w:firstColumn="1" w:lastColumn="0" w:noHBand="0" w:noVBand="1"/>
      </w:tblPr>
      <w:tblGrid>
        <w:gridCol w:w="1108"/>
        <w:gridCol w:w="8242"/>
      </w:tblGrid>
      <w:tr w:rsidR="008B0A4D" w14:paraId="392D2E56" w14:textId="77777777" w:rsidTr="008B0A4D">
        <w:tc>
          <w:tcPr>
            <w:tcW w:w="0" w:type="auto"/>
          </w:tcPr>
          <w:p w14:paraId="1322EE4B" w14:textId="77777777" w:rsidR="008B0A4D" w:rsidRPr="008B0A4D" w:rsidRDefault="008B0A4D" w:rsidP="008B0A4D">
            <w:pPr>
              <w:spacing w:before="100" w:beforeAutospacing="1" w:after="100" w:afterAutospacing="1"/>
              <w:contextualSpacing/>
              <w:jc w:val="both"/>
              <w:rPr>
                <w:b/>
              </w:rPr>
            </w:pPr>
            <w:r w:rsidRPr="008B0A4D">
              <w:rPr>
                <w:b/>
              </w:rPr>
              <w:t xml:space="preserve">Condition </w:t>
            </w:r>
          </w:p>
          <w:p w14:paraId="3E1C6F7D" w14:textId="77777777" w:rsidR="008B0A4D" w:rsidRPr="008B0A4D" w:rsidRDefault="008B0A4D" w:rsidP="008B0A4D">
            <w:pPr>
              <w:spacing w:before="100" w:beforeAutospacing="1" w:after="100" w:afterAutospacing="1"/>
              <w:contextualSpacing/>
              <w:jc w:val="both"/>
              <w:rPr>
                <w:b/>
              </w:rPr>
            </w:pPr>
            <w:r w:rsidRPr="008B0A4D">
              <w:rPr>
                <w:b/>
              </w:rPr>
              <w:t>no.</w:t>
            </w:r>
          </w:p>
        </w:tc>
        <w:tc>
          <w:tcPr>
            <w:tcW w:w="0" w:type="auto"/>
          </w:tcPr>
          <w:p w14:paraId="63EDE9BF" w14:textId="77777777" w:rsidR="008B0A4D" w:rsidRPr="008B0A4D" w:rsidRDefault="008B0A4D" w:rsidP="008B0A4D">
            <w:pPr>
              <w:spacing w:before="100" w:beforeAutospacing="1" w:after="100" w:afterAutospacing="1"/>
              <w:contextualSpacing/>
              <w:jc w:val="both"/>
              <w:rPr>
                <w:b/>
              </w:rPr>
            </w:pPr>
            <w:r w:rsidRPr="008B0A4D">
              <w:rPr>
                <w:b/>
              </w:rPr>
              <w:t>Condition</w:t>
            </w:r>
          </w:p>
        </w:tc>
      </w:tr>
      <w:tr w:rsidR="008B0A4D" w14:paraId="5AA83262" w14:textId="77777777" w:rsidTr="008B0A4D">
        <w:tc>
          <w:tcPr>
            <w:tcW w:w="0" w:type="auto"/>
          </w:tcPr>
          <w:p w14:paraId="15576CF1" w14:textId="77777777" w:rsidR="008B0A4D" w:rsidRDefault="008B0A4D" w:rsidP="008B0A4D">
            <w:pPr>
              <w:spacing w:before="100" w:beforeAutospacing="1" w:after="100" w:afterAutospacing="1"/>
              <w:contextualSpacing/>
              <w:jc w:val="both"/>
            </w:pPr>
            <w:r>
              <w:t>2</w:t>
            </w:r>
          </w:p>
        </w:tc>
        <w:tc>
          <w:tcPr>
            <w:tcW w:w="0" w:type="auto"/>
          </w:tcPr>
          <w:p w14:paraId="55FB08E8" w14:textId="77777777" w:rsidR="008B0A4D" w:rsidRDefault="008B0A4D" w:rsidP="008B0A4D">
            <w:pPr>
              <w:spacing w:before="100" w:beforeAutospacing="1" w:after="100" w:afterAutospacing="1"/>
              <w:contextualSpacing/>
              <w:jc w:val="both"/>
            </w:pPr>
            <w:r>
              <w:t xml:space="preserve">The orders and trades of an AFMM must be captured in the VATP operator’s market surveillance systems. The focus should be on reinforcing independence and governance to ensure that existing surveillance obligations are applied effectively to AFMM activity. </w:t>
            </w:r>
          </w:p>
          <w:p w14:paraId="1A917E55" w14:textId="77777777" w:rsidR="000F2CDA" w:rsidRDefault="000F2CDA" w:rsidP="008B0A4D">
            <w:pPr>
              <w:spacing w:before="100" w:beforeAutospacing="1" w:after="100" w:afterAutospacing="1"/>
              <w:contextualSpacing/>
              <w:jc w:val="both"/>
            </w:pPr>
          </w:p>
        </w:tc>
      </w:tr>
      <w:tr w:rsidR="008B0A4D" w14:paraId="731AC0EF" w14:textId="77777777" w:rsidTr="008B0A4D">
        <w:tc>
          <w:tcPr>
            <w:tcW w:w="0" w:type="auto"/>
          </w:tcPr>
          <w:p w14:paraId="01A1B997" w14:textId="77777777" w:rsidR="008B0A4D" w:rsidRDefault="008B0A4D" w:rsidP="008B0A4D">
            <w:pPr>
              <w:spacing w:before="100" w:beforeAutospacing="1" w:after="100" w:afterAutospacing="1"/>
              <w:contextualSpacing/>
              <w:jc w:val="both"/>
            </w:pPr>
            <w:r>
              <w:lastRenderedPageBreak/>
              <w:t>3</w:t>
            </w:r>
          </w:p>
        </w:tc>
        <w:tc>
          <w:tcPr>
            <w:tcW w:w="0" w:type="auto"/>
          </w:tcPr>
          <w:p w14:paraId="34597D1E" w14:textId="77777777" w:rsidR="008B0A4D" w:rsidRDefault="008B0A4D" w:rsidP="008B0A4D">
            <w:pPr>
              <w:spacing w:before="100" w:beforeAutospacing="1" w:after="100" w:afterAutospacing="1"/>
              <w:contextualSpacing/>
              <w:jc w:val="both"/>
            </w:pPr>
            <w:r>
              <w:t xml:space="preserve">An SFC-licensed VATP operator is required to report </w:t>
            </w:r>
            <w:r w:rsidR="00EF46D5">
              <w:t xml:space="preserve">immediately </w:t>
            </w:r>
            <w:r>
              <w:t>to the SFC (a) any actual or potential material breach or infringement of, or non-compliance with, the Terms and Conditions</w:t>
            </w:r>
            <w:r w:rsidR="000F2CDA">
              <w:t xml:space="preserve"> for AFMM</w:t>
            </w:r>
            <w:r>
              <w:t xml:space="preserve">, or (b) any regulatory action taken by any regulatory or law enforcement authorities in respect of the AFMM. </w:t>
            </w:r>
          </w:p>
          <w:p w14:paraId="6821C8A1" w14:textId="77777777" w:rsidR="000F2CDA" w:rsidRDefault="000F2CDA" w:rsidP="008B0A4D">
            <w:pPr>
              <w:spacing w:before="100" w:beforeAutospacing="1" w:after="100" w:afterAutospacing="1"/>
              <w:contextualSpacing/>
              <w:jc w:val="both"/>
            </w:pPr>
          </w:p>
        </w:tc>
      </w:tr>
      <w:tr w:rsidR="008B0A4D" w14:paraId="5A2C16E3" w14:textId="77777777" w:rsidTr="008B0A4D">
        <w:tc>
          <w:tcPr>
            <w:tcW w:w="0" w:type="auto"/>
          </w:tcPr>
          <w:p w14:paraId="64687D65" w14:textId="77777777" w:rsidR="008B0A4D" w:rsidRDefault="000F2CDA" w:rsidP="008B0A4D">
            <w:pPr>
              <w:spacing w:before="100" w:beforeAutospacing="1" w:after="100" w:afterAutospacing="1"/>
              <w:contextualSpacing/>
              <w:jc w:val="both"/>
            </w:pPr>
            <w:r>
              <w:t>4</w:t>
            </w:r>
          </w:p>
        </w:tc>
        <w:tc>
          <w:tcPr>
            <w:tcW w:w="0" w:type="auto"/>
          </w:tcPr>
          <w:p w14:paraId="179F6D2D" w14:textId="77777777" w:rsidR="008B0A4D" w:rsidRDefault="000F2CDA" w:rsidP="000F2CDA">
            <w:pPr>
              <w:spacing w:before="100" w:beforeAutospacing="1" w:after="100" w:afterAutospacing="1"/>
              <w:contextualSpacing/>
              <w:jc w:val="both"/>
            </w:pPr>
            <w:r>
              <w:t>Compliance with the Terms and Conditions for AFMM must be covered in an annual review by an independent professional firm of the SFC-licensed VATP operator’s activities and operations, and reported to the SFC.</w:t>
            </w:r>
          </w:p>
        </w:tc>
      </w:tr>
    </w:tbl>
    <w:p w14:paraId="6876DD80" w14:textId="77777777" w:rsidR="000F2CDA" w:rsidRPr="000F2CDA" w:rsidRDefault="000F2CDA" w:rsidP="000F2CDA">
      <w:pPr>
        <w:pStyle w:val="3"/>
        <w:rPr>
          <w:rFonts w:asciiTheme="minorHAnsi" w:hAnsiTheme="minorHAnsi" w:cstheme="minorHAnsi"/>
          <w:sz w:val="22"/>
          <w:szCs w:val="22"/>
        </w:rPr>
      </w:pPr>
      <w:r w:rsidRPr="000F2CDA">
        <w:rPr>
          <w:rFonts w:asciiTheme="minorHAnsi" w:hAnsiTheme="minorHAnsi" w:cstheme="minorHAnsi"/>
          <w:sz w:val="22"/>
          <w:szCs w:val="22"/>
        </w:rPr>
        <w:t>Notification and Pre-Commencement Requirements</w:t>
      </w:r>
    </w:p>
    <w:p w14:paraId="331C6BF1" w14:textId="77777777" w:rsidR="000F2CDA" w:rsidRPr="000F2CDA" w:rsidRDefault="000F2CDA" w:rsidP="000F2CDA">
      <w:pPr>
        <w:pStyle w:val="4"/>
        <w:rPr>
          <w:rFonts w:asciiTheme="minorHAnsi" w:hAnsiTheme="minorHAnsi" w:cstheme="minorHAnsi"/>
          <w:b/>
          <w:color w:val="auto"/>
        </w:rPr>
      </w:pPr>
      <w:r w:rsidRPr="000F2CDA">
        <w:rPr>
          <w:rFonts w:asciiTheme="minorHAnsi" w:hAnsiTheme="minorHAnsi" w:cstheme="minorHAnsi"/>
          <w:b/>
          <w:color w:val="auto"/>
        </w:rPr>
        <w:t>Mandatory Pre-Notification to the SFC</w:t>
      </w:r>
    </w:p>
    <w:p w14:paraId="6465BA5D" w14:textId="77777777" w:rsidR="0041174E" w:rsidRDefault="000F2CDA" w:rsidP="00570641">
      <w:pPr>
        <w:pStyle w:val="a3"/>
        <w:contextualSpacing/>
        <w:jc w:val="both"/>
        <w:rPr>
          <w:rFonts w:asciiTheme="minorHAnsi" w:hAnsiTheme="minorHAnsi" w:cstheme="minorHAnsi"/>
          <w:sz w:val="22"/>
          <w:szCs w:val="22"/>
        </w:rPr>
      </w:pPr>
      <w:r w:rsidRPr="000F2CDA">
        <w:rPr>
          <w:rFonts w:asciiTheme="minorHAnsi" w:hAnsiTheme="minorHAnsi" w:cstheme="minorHAnsi"/>
          <w:sz w:val="22"/>
          <w:szCs w:val="22"/>
        </w:rPr>
        <w:t>Before permitting its AFMM to commence market making activities on its VATP, an SFC-licensed VATP operator must</w:t>
      </w:r>
      <w:r w:rsidR="0041174E">
        <w:rPr>
          <w:rFonts w:asciiTheme="minorHAnsi" w:hAnsiTheme="minorHAnsi" w:cstheme="minorHAnsi"/>
          <w:sz w:val="22"/>
          <w:szCs w:val="22"/>
        </w:rPr>
        <w:t>:</w:t>
      </w:r>
    </w:p>
    <w:p w14:paraId="2DAB7C5F" w14:textId="77777777" w:rsidR="00570641" w:rsidRDefault="00570641" w:rsidP="00570641">
      <w:pPr>
        <w:pStyle w:val="a3"/>
        <w:contextualSpacing/>
        <w:jc w:val="both"/>
        <w:rPr>
          <w:rFonts w:asciiTheme="minorHAnsi" w:hAnsiTheme="minorHAnsi" w:cstheme="minorHAnsi"/>
          <w:sz w:val="22"/>
          <w:szCs w:val="22"/>
        </w:rPr>
      </w:pPr>
    </w:p>
    <w:p w14:paraId="26CF0249" w14:textId="77777777" w:rsidR="00570641" w:rsidRDefault="000F2CDA" w:rsidP="00570641">
      <w:pPr>
        <w:pStyle w:val="a3"/>
        <w:numPr>
          <w:ilvl w:val="0"/>
          <w:numId w:val="15"/>
        </w:numPr>
        <w:contextualSpacing/>
        <w:jc w:val="both"/>
        <w:rPr>
          <w:rFonts w:asciiTheme="minorHAnsi" w:hAnsiTheme="minorHAnsi" w:cstheme="minorHAnsi"/>
          <w:sz w:val="22"/>
          <w:szCs w:val="22"/>
        </w:rPr>
      </w:pPr>
      <w:r w:rsidRPr="000F2CDA">
        <w:rPr>
          <w:rFonts w:asciiTheme="minorHAnsi" w:hAnsiTheme="minorHAnsi" w:cstheme="minorHAnsi"/>
          <w:sz w:val="22"/>
          <w:szCs w:val="22"/>
        </w:rPr>
        <w:t xml:space="preserve">notify the SFC in writing of its intention to </w:t>
      </w:r>
      <w:r w:rsidR="00570641">
        <w:rPr>
          <w:rFonts w:asciiTheme="minorHAnsi" w:hAnsiTheme="minorHAnsi" w:cstheme="minorHAnsi"/>
          <w:sz w:val="22"/>
          <w:szCs w:val="22"/>
        </w:rPr>
        <w:t xml:space="preserve">do so; </w:t>
      </w:r>
      <w:r w:rsidR="00C54B70">
        <w:rPr>
          <w:rFonts w:asciiTheme="minorHAnsi" w:hAnsiTheme="minorHAnsi" w:cstheme="minorHAnsi"/>
          <w:sz w:val="22"/>
          <w:szCs w:val="22"/>
        </w:rPr>
        <w:t>and</w:t>
      </w:r>
      <w:r w:rsidRPr="000F2CDA">
        <w:rPr>
          <w:rFonts w:asciiTheme="minorHAnsi" w:hAnsiTheme="minorHAnsi" w:cstheme="minorHAnsi"/>
          <w:sz w:val="22"/>
          <w:szCs w:val="22"/>
        </w:rPr>
        <w:t xml:space="preserve"> </w:t>
      </w:r>
    </w:p>
    <w:p w14:paraId="6E975FB7" w14:textId="77777777" w:rsidR="00570641" w:rsidRDefault="00570641" w:rsidP="00570641">
      <w:pPr>
        <w:pStyle w:val="a3"/>
        <w:ind w:left="769"/>
        <w:contextualSpacing/>
        <w:jc w:val="both"/>
        <w:rPr>
          <w:rFonts w:asciiTheme="minorHAnsi" w:hAnsiTheme="minorHAnsi" w:cstheme="minorHAnsi"/>
          <w:sz w:val="22"/>
          <w:szCs w:val="22"/>
        </w:rPr>
      </w:pPr>
    </w:p>
    <w:p w14:paraId="403FEE56" w14:textId="77777777" w:rsidR="000F2CDA" w:rsidRPr="000F2CDA" w:rsidRDefault="000F2CDA" w:rsidP="00570641">
      <w:pPr>
        <w:pStyle w:val="a3"/>
        <w:numPr>
          <w:ilvl w:val="0"/>
          <w:numId w:val="15"/>
        </w:numPr>
        <w:contextualSpacing/>
        <w:jc w:val="both"/>
        <w:rPr>
          <w:rFonts w:asciiTheme="minorHAnsi" w:hAnsiTheme="minorHAnsi" w:cstheme="minorHAnsi"/>
          <w:sz w:val="22"/>
          <w:szCs w:val="22"/>
        </w:rPr>
      </w:pPr>
      <w:r w:rsidRPr="000F2CDA">
        <w:rPr>
          <w:rFonts w:asciiTheme="minorHAnsi" w:hAnsiTheme="minorHAnsi" w:cstheme="minorHAnsi"/>
          <w:sz w:val="22"/>
          <w:szCs w:val="22"/>
        </w:rPr>
        <w:t>submit to</w:t>
      </w:r>
      <w:r w:rsidR="0041174E">
        <w:rPr>
          <w:rFonts w:asciiTheme="minorHAnsi" w:hAnsiTheme="minorHAnsi" w:cstheme="minorHAnsi"/>
          <w:sz w:val="22"/>
          <w:szCs w:val="22"/>
        </w:rPr>
        <w:t xml:space="preserve"> the SFC a report prepared by a qualified</w:t>
      </w:r>
      <w:r w:rsidRPr="000F2CDA">
        <w:rPr>
          <w:rFonts w:asciiTheme="minorHAnsi" w:hAnsiTheme="minorHAnsi" w:cstheme="minorHAnsi"/>
          <w:sz w:val="22"/>
          <w:szCs w:val="22"/>
        </w:rPr>
        <w:t xml:space="preserve"> independent professional firm </w:t>
      </w:r>
      <w:r w:rsidR="00C54B70">
        <w:rPr>
          <w:rFonts w:asciiTheme="minorHAnsi" w:hAnsiTheme="minorHAnsi" w:cstheme="minorHAnsi"/>
          <w:sz w:val="22"/>
          <w:szCs w:val="22"/>
        </w:rPr>
        <w:t>contain</w:t>
      </w:r>
      <w:r w:rsidR="0041174E">
        <w:rPr>
          <w:rFonts w:asciiTheme="minorHAnsi" w:hAnsiTheme="minorHAnsi" w:cstheme="minorHAnsi"/>
          <w:sz w:val="22"/>
          <w:szCs w:val="22"/>
        </w:rPr>
        <w:t>ing a</w:t>
      </w:r>
      <w:r w:rsidR="00C54B70">
        <w:rPr>
          <w:rFonts w:asciiTheme="minorHAnsi" w:hAnsiTheme="minorHAnsi" w:cstheme="minorHAnsi"/>
          <w:sz w:val="22"/>
          <w:szCs w:val="22"/>
        </w:rPr>
        <w:t xml:space="preserve"> </w:t>
      </w:r>
      <w:r w:rsidRPr="000F2CDA">
        <w:rPr>
          <w:rFonts w:asciiTheme="minorHAnsi" w:hAnsiTheme="minorHAnsi" w:cstheme="minorHAnsi"/>
          <w:sz w:val="22"/>
          <w:szCs w:val="22"/>
        </w:rPr>
        <w:t>detail</w:t>
      </w:r>
      <w:r w:rsidR="00C54B70">
        <w:rPr>
          <w:rFonts w:asciiTheme="minorHAnsi" w:hAnsiTheme="minorHAnsi" w:cstheme="minorHAnsi"/>
          <w:sz w:val="22"/>
          <w:szCs w:val="22"/>
        </w:rPr>
        <w:t xml:space="preserve">ed </w:t>
      </w:r>
      <w:r w:rsidRPr="000F2CDA">
        <w:rPr>
          <w:rFonts w:asciiTheme="minorHAnsi" w:hAnsiTheme="minorHAnsi" w:cstheme="minorHAnsi"/>
          <w:sz w:val="22"/>
          <w:szCs w:val="22"/>
        </w:rPr>
        <w:t xml:space="preserve">review </w:t>
      </w:r>
      <w:r w:rsidR="00C54B70">
        <w:rPr>
          <w:rFonts w:asciiTheme="minorHAnsi" w:hAnsiTheme="minorHAnsi" w:cstheme="minorHAnsi"/>
          <w:sz w:val="22"/>
          <w:szCs w:val="22"/>
        </w:rPr>
        <w:t xml:space="preserve">of </w:t>
      </w:r>
      <w:r w:rsidRPr="000F2CDA">
        <w:rPr>
          <w:rFonts w:asciiTheme="minorHAnsi" w:hAnsiTheme="minorHAnsi" w:cstheme="minorHAnsi"/>
          <w:sz w:val="22"/>
          <w:szCs w:val="22"/>
        </w:rPr>
        <w:t xml:space="preserve">the </w:t>
      </w:r>
      <w:r w:rsidR="00570641">
        <w:rPr>
          <w:rFonts w:asciiTheme="minorHAnsi" w:hAnsiTheme="minorHAnsi" w:cstheme="minorHAnsi"/>
          <w:sz w:val="22"/>
          <w:szCs w:val="22"/>
        </w:rPr>
        <w:t>compliance</w:t>
      </w:r>
      <w:r w:rsidR="00570641" w:rsidRPr="000F2CDA">
        <w:rPr>
          <w:rFonts w:asciiTheme="minorHAnsi" w:hAnsiTheme="minorHAnsi" w:cstheme="minorHAnsi"/>
          <w:sz w:val="22"/>
          <w:szCs w:val="22"/>
        </w:rPr>
        <w:t xml:space="preserve"> </w:t>
      </w:r>
      <w:r w:rsidR="00570641">
        <w:rPr>
          <w:rFonts w:asciiTheme="minorHAnsi" w:hAnsiTheme="minorHAnsi" w:cstheme="minorHAnsi"/>
          <w:sz w:val="22"/>
          <w:szCs w:val="22"/>
        </w:rPr>
        <w:t xml:space="preserve">of the </w:t>
      </w:r>
      <w:r w:rsidR="00C54B70">
        <w:rPr>
          <w:rFonts w:asciiTheme="minorHAnsi" w:hAnsiTheme="minorHAnsi" w:cstheme="minorHAnsi"/>
          <w:sz w:val="22"/>
          <w:szCs w:val="22"/>
        </w:rPr>
        <w:t>operator’</w:t>
      </w:r>
      <w:r w:rsidRPr="000F2CDA">
        <w:rPr>
          <w:rFonts w:asciiTheme="minorHAnsi" w:hAnsiTheme="minorHAnsi" w:cstheme="minorHAnsi"/>
          <w:sz w:val="22"/>
          <w:szCs w:val="22"/>
        </w:rPr>
        <w:t>s policies and controls</w:t>
      </w:r>
      <w:r w:rsidR="0041174E">
        <w:rPr>
          <w:rFonts w:asciiTheme="minorHAnsi" w:hAnsiTheme="minorHAnsi" w:cstheme="minorHAnsi"/>
          <w:sz w:val="22"/>
          <w:szCs w:val="22"/>
        </w:rPr>
        <w:t xml:space="preserve"> </w:t>
      </w:r>
      <w:r w:rsidR="00C54B70">
        <w:rPr>
          <w:rFonts w:asciiTheme="minorHAnsi" w:hAnsiTheme="minorHAnsi" w:cstheme="minorHAnsi"/>
          <w:sz w:val="22"/>
          <w:szCs w:val="22"/>
        </w:rPr>
        <w:t>with the Terms and Conditions for AFMM</w:t>
      </w:r>
      <w:r w:rsidR="00570641">
        <w:rPr>
          <w:rFonts w:asciiTheme="minorHAnsi" w:hAnsiTheme="minorHAnsi" w:cstheme="minorHAnsi"/>
          <w:sz w:val="22"/>
          <w:szCs w:val="22"/>
        </w:rPr>
        <w:t>,</w:t>
      </w:r>
      <w:r w:rsidR="0041174E">
        <w:rPr>
          <w:rFonts w:asciiTheme="minorHAnsi" w:hAnsiTheme="minorHAnsi" w:cstheme="minorHAnsi"/>
          <w:sz w:val="22"/>
          <w:szCs w:val="22"/>
        </w:rPr>
        <w:t xml:space="preserve"> and </w:t>
      </w:r>
      <w:r w:rsidR="00570641">
        <w:rPr>
          <w:rFonts w:asciiTheme="minorHAnsi" w:hAnsiTheme="minorHAnsi" w:cstheme="minorHAnsi"/>
          <w:sz w:val="22"/>
          <w:szCs w:val="22"/>
        </w:rPr>
        <w:t xml:space="preserve">confirming </w:t>
      </w:r>
      <w:r w:rsidR="0041174E">
        <w:rPr>
          <w:rFonts w:asciiTheme="minorHAnsi" w:hAnsiTheme="minorHAnsi" w:cstheme="minorHAnsi"/>
          <w:sz w:val="22"/>
          <w:szCs w:val="22"/>
        </w:rPr>
        <w:t>their</w:t>
      </w:r>
      <w:r w:rsidR="00C54B70">
        <w:rPr>
          <w:rFonts w:asciiTheme="minorHAnsi" w:hAnsiTheme="minorHAnsi" w:cstheme="minorHAnsi"/>
          <w:sz w:val="22"/>
          <w:szCs w:val="22"/>
        </w:rPr>
        <w:t xml:space="preserve"> </w:t>
      </w:r>
      <w:r w:rsidRPr="000F2CDA">
        <w:rPr>
          <w:rFonts w:asciiTheme="minorHAnsi" w:hAnsiTheme="minorHAnsi" w:cstheme="minorHAnsi"/>
          <w:sz w:val="22"/>
          <w:szCs w:val="22"/>
        </w:rPr>
        <w:t xml:space="preserve">effectiveness. </w:t>
      </w:r>
    </w:p>
    <w:p w14:paraId="6FA720A5" w14:textId="77777777" w:rsidR="00570641" w:rsidRDefault="00570641" w:rsidP="00570641">
      <w:pPr>
        <w:pStyle w:val="a3"/>
        <w:contextualSpacing/>
        <w:rPr>
          <w:rFonts w:asciiTheme="minorHAnsi" w:hAnsiTheme="minorHAnsi" w:cstheme="minorHAnsi"/>
          <w:sz w:val="22"/>
          <w:szCs w:val="22"/>
        </w:rPr>
      </w:pPr>
    </w:p>
    <w:p w14:paraId="799C5E1D" w14:textId="77777777" w:rsidR="00570641" w:rsidRDefault="000F2CDA" w:rsidP="00570641">
      <w:pPr>
        <w:pStyle w:val="a3"/>
        <w:contextualSpacing/>
        <w:jc w:val="both"/>
        <w:rPr>
          <w:rFonts w:asciiTheme="minorHAnsi" w:hAnsiTheme="minorHAnsi" w:cstheme="minorHAnsi"/>
          <w:sz w:val="22"/>
          <w:szCs w:val="22"/>
        </w:rPr>
      </w:pPr>
      <w:r w:rsidRPr="000F2CDA">
        <w:rPr>
          <w:rFonts w:asciiTheme="minorHAnsi" w:hAnsiTheme="minorHAnsi" w:cstheme="minorHAnsi"/>
          <w:sz w:val="22"/>
          <w:szCs w:val="22"/>
        </w:rPr>
        <w:t>The written notification to the SFC must be signed by</w:t>
      </w:r>
      <w:r w:rsidR="00570641">
        <w:rPr>
          <w:rFonts w:asciiTheme="minorHAnsi" w:hAnsiTheme="minorHAnsi" w:cstheme="minorHAnsi"/>
          <w:sz w:val="22"/>
          <w:szCs w:val="22"/>
        </w:rPr>
        <w:t xml:space="preserve"> the SFC-licensed VATP operator’</w:t>
      </w:r>
      <w:r w:rsidRPr="000F2CDA">
        <w:rPr>
          <w:rFonts w:asciiTheme="minorHAnsi" w:hAnsiTheme="minorHAnsi" w:cstheme="minorHAnsi"/>
          <w:sz w:val="22"/>
          <w:szCs w:val="22"/>
        </w:rPr>
        <w:t>s MIC of Overall Management Oversight (</w:t>
      </w:r>
      <w:r w:rsidRPr="00570641">
        <w:rPr>
          <w:rFonts w:asciiTheme="minorHAnsi" w:hAnsiTheme="minorHAnsi" w:cstheme="minorHAnsi"/>
          <w:b/>
          <w:sz w:val="22"/>
          <w:szCs w:val="22"/>
        </w:rPr>
        <w:t>MIC OMO</w:t>
      </w:r>
      <w:r w:rsidRPr="000F2CDA">
        <w:rPr>
          <w:rFonts w:asciiTheme="minorHAnsi" w:hAnsiTheme="minorHAnsi" w:cstheme="minorHAnsi"/>
          <w:sz w:val="22"/>
          <w:szCs w:val="22"/>
        </w:rPr>
        <w:t>)</w:t>
      </w:r>
      <w:r w:rsidR="00570641">
        <w:rPr>
          <w:rFonts w:asciiTheme="minorHAnsi" w:hAnsiTheme="minorHAnsi" w:cstheme="minorHAnsi"/>
          <w:sz w:val="22"/>
          <w:szCs w:val="22"/>
        </w:rPr>
        <w:t xml:space="preserve"> and must be submitted with: </w:t>
      </w:r>
    </w:p>
    <w:p w14:paraId="7ED36841" w14:textId="77777777" w:rsidR="00570641" w:rsidRDefault="00570641" w:rsidP="00570641">
      <w:pPr>
        <w:pStyle w:val="a3"/>
        <w:contextualSpacing/>
        <w:jc w:val="both"/>
        <w:rPr>
          <w:rFonts w:asciiTheme="minorHAnsi" w:hAnsiTheme="minorHAnsi" w:cstheme="minorHAnsi"/>
          <w:sz w:val="22"/>
          <w:szCs w:val="22"/>
        </w:rPr>
      </w:pPr>
    </w:p>
    <w:p w14:paraId="0F539135" w14:textId="77777777" w:rsidR="00570641" w:rsidRDefault="000F2CDA" w:rsidP="00570641">
      <w:pPr>
        <w:pStyle w:val="a3"/>
        <w:numPr>
          <w:ilvl w:val="0"/>
          <w:numId w:val="16"/>
        </w:numPr>
        <w:contextualSpacing/>
        <w:jc w:val="both"/>
        <w:rPr>
          <w:rFonts w:asciiTheme="minorHAnsi" w:hAnsiTheme="minorHAnsi" w:cstheme="minorHAnsi"/>
          <w:sz w:val="22"/>
          <w:szCs w:val="22"/>
        </w:rPr>
      </w:pPr>
      <w:r w:rsidRPr="000F2CDA">
        <w:rPr>
          <w:rFonts w:asciiTheme="minorHAnsi" w:hAnsiTheme="minorHAnsi" w:cstheme="minorHAnsi"/>
          <w:sz w:val="22"/>
          <w:szCs w:val="22"/>
        </w:rPr>
        <w:t xml:space="preserve">a declaration by the MIC OMO confirming that the </w:t>
      </w:r>
      <w:r w:rsidR="00570641">
        <w:rPr>
          <w:rFonts w:asciiTheme="minorHAnsi" w:hAnsiTheme="minorHAnsi" w:cstheme="minorHAnsi"/>
          <w:sz w:val="22"/>
          <w:szCs w:val="22"/>
        </w:rPr>
        <w:t xml:space="preserve">SFC-licensed VATP </w:t>
      </w:r>
      <w:r w:rsidRPr="000F2CDA">
        <w:rPr>
          <w:rFonts w:asciiTheme="minorHAnsi" w:hAnsiTheme="minorHAnsi" w:cstheme="minorHAnsi"/>
          <w:sz w:val="22"/>
          <w:szCs w:val="22"/>
        </w:rPr>
        <w:t>operator has established, and continues to maintain, effective policies and controls that fully comply with the Terms and Conditions</w:t>
      </w:r>
      <w:r w:rsidR="00570641">
        <w:rPr>
          <w:rFonts w:asciiTheme="minorHAnsi" w:hAnsiTheme="minorHAnsi" w:cstheme="minorHAnsi"/>
          <w:sz w:val="22"/>
          <w:szCs w:val="22"/>
        </w:rPr>
        <w:t xml:space="preserve"> for AFMM; and</w:t>
      </w:r>
    </w:p>
    <w:p w14:paraId="13F66105" w14:textId="77777777" w:rsidR="00570641" w:rsidRDefault="00570641" w:rsidP="00570641">
      <w:pPr>
        <w:pStyle w:val="a3"/>
        <w:ind w:left="720"/>
        <w:contextualSpacing/>
        <w:jc w:val="both"/>
        <w:rPr>
          <w:rFonts w:asciiTheme="minorHAnsi" w:hAnsiTheme="minorHAnsi" w:cstheme="minorHAnsi"/>
          <w:sz w:val="22"/>
          <w:szCs w:val="22"/>
        </w:rPr>
      </w:pPr>
    </w:p>
    <w:p w14:paraId="6DF4AA38" w14:textId="77777777" w:rsidR="00570641" w:rsidRDefault="000F2CDA" w:rsidP="002853FA">
      <w:pPr>
        <w:pStyle w:val="a3"/>
        <w:numPr>
          <w:ilvl w:val="0"/>
          <w:numId w:val="16"/>
        </w:numPr>
        <w:contextualSpacing/>
        <w:jc w:val="both"/>
        <w:rPr>
          <w:rFonts w:asciiTheme="minorHAnsi" w:hAnsiTheme="minorHAnsi" w:cstheme="minorHAnsi"/>
          <w:sz w:val="22"/>
          <w:szCs w:val="22"/>
        </w:rPr>
      </w:pPr>
      <w:r w:rsidRPr="00570641">
        <w:rPr>
          <w:rFonts w:asciiTheme="minorHAnsi" w:hAnsiTheme="minorHAnsi" w:cstheme="minorHAnsi"/>
          <w:sz w:val="22"/>
          <w:szCs w:val="22"/>
        </w:rPr>
        <w:t>an undertaking by the MIC OMO, given on behalf of the operator, that the operator wi</w:t>
      </w:r>
      <w:r w:rsidR="00570641" w:rsidRPr="00570641">
        <w:rPr>
          <w:rFonts w:asciiTheme="minorHAnsi" w:hAnsiTheme="minorHAnsi" w:cstheme="minorHAnsi"/>
          <w:sz w:val="22"/>
          <w:szCs w:val="22"/>
        </w:rPr>
        <w:t>ll immediately suspend the AFMM’</w:t>
      </w:r>
      <w:r w:rsidRPr="00570641">
        <w:rPr>
          <w:rFonts w:asciiTheme="minorHAnsi" w:hAnsiTheme="minorHAnsi" w:cstheme="minorHAnsi"/>
          <w:sz w:val="22"/>
          <w:szCs w:val="22"/>
        </w:rPr>
        <w:t xml:space="preserve">s market making activities on the VATP should there be any breaches of the Terms and Conditions </w:t>
      </w:r>
      <w:r w:rsidR="00570641" w:rsidRPr="00570641">
        <w:rPr>
          <w:rFonts w:asciiTheme="minorHAnsi" w:hAnsiTheme="minorHAnsi" w:cstheme="minorHAnsi"/>
          <w:sz w:val="22"/>
          <w:szCs w:val="22"/>
        </w:rPr>
        <w:t xml:space="preserve">for AFMM having a </w:t>
      </w:r>
      <w:r w:rsidRPr="00570641">
        <w:rPr>
          <w:rFonts w:asciiTheme="minorHAnsi" w:hAnsiTheme="minorHAnsi" w:cstheme="minorHAnsi"/>
          <w:sz w:val="22"/>
          <w:szCs w:val="22"/>
        </w:rPr>
        <w:t xml:space="preserve">significant client impact, as determined by the SFC. </w:t>
      </w:r>
    </w:p>
    <w:p w14:paraId="5E332964" w14:textId="77777777" w:rsidR="00570641" w:rsidRDefault="00570641" w:rsidP="00570641">
      <w:pPr>
        <w:pStyle w:val="a3"/>
        <w:contextualSpacing/>
        <w:jc w:val="both"/>
        <w:rPr>
          <w:rFonts w:asciiTheme="minorHAnsi" w:hAnsiTheme="minorHAnsi" w:cstheme="minorHAnsi"/>
          <w:sz w:val="22"/>
          <w:szCs w:val="22"/>
        </w:rPr>
      </w:pPr>
    </w:p>
    <w:p w14:paraId="6BC7D5B0" w14:textId="77777777" w:rsidR="000F2CDA" w:rsidRPr="00570641" w:rsidRDefault="002801FC" w:rsidP="00570641">
      <w:pPr>
        <w:pStyle w:val="a3"/>
        <w:contextualSpacing/>
        <w:jc w:val="both"/>
        <w:rPr>
          <w:rFonts w:asciiTheme="minorHAnsi" w:hAnsiTheme="minorHAnsi" w:cstheme="minorHAnsi"/>
          <w:b/>
          <w:sz w:val="22"/>
          <w:szCs w:val="22"/>
        </w:rPr>
      </w:pPr>
      <w:r>
        <w:rPr>
          <w:rFonts w:asciiTheme="minorHAnsi" w:hAnsiTheme="minorHAnsi" w:cstheme="minorHAnsi"/>
          <w:b/>
          <w:sz w:val="22"/>
          <w:szCs w:val="22"/>
        </w:rPr>
        <w:t>SFC-licensed VATP O</w:t>
      </w:r>
      <w:r w:rsidRPr="002801FC">
        <w:rPr>
          <w:rFonts w:asciiTheme="minorHAnsi" w:hAnsiTheme="minorHAnsi" w:cstheme="minorHAnsi"/>
          <w:b/>
          <w:sz w:val="22"/>
          <w:szCs w:val="22"/>
        </w:rPr>
        <w:t>perator</w:t>
      </w:r>
      <w:r>
        <w:rPr>
          <w:rFonts w:asciiTheme="minorHAnsi" w:hAnsiTheme="minorHAnsi" w:cstheme="minorHAnsi"/>
          <w:b/>
          <w:sz w:val="22"/>
          <w:szCs w:val="22"/>
        </w:rPr>
        <w:t>s:</w:t>
      </w:r>
      <w:r w:rsidRPr="00570641">
        <w:rPr>
          <w:rFonts w:asciiTheme="minorHAnsi" w:hAnsiTheme="minorHAnsi" w:cstheme="minorHAnsi"/>
          <w:b/>
          <w:sz w:val="22"/>
          <w:szCs w:val="22"/>
        </w:rPr>
        <w:t xml:space="preserve"> </w:t>
      </w:r>
      <w:r w:rsidR="000F2CDA" w:rsidRPr="00570641">
        <w:rPr>
          <w:rFonts w:asciiTheme="minorHAnsi" w:hAnsiTheme="minorHAnsi" w:cstheme="minorHAnsi"/>
          <w:b/>
          <w:sz w:val="22"/>
          <w:szCs w:val="22"/>
        </w:rPr>
        <w:t>Senior Management Responsibilities</w:t>
      </w:r>
    </w:p>
    <w:p w14:paraId="6C5DC482" w14:textId="77777777" w:rsidR="00570641" w:rsidRDefault="00570641" w:rsidP="00570641">
      <w:pPr>
        <w:pStyle w:val="a3"/>
        <w:contextualSpacing/>
        <w:rPr>
          <w:rFonts w:asciiTheme="minorHAnsi" w:hAnsiTheme="minorHAnsi" w:cstheme="minorHAnsi"/>
          <w:sz w:val="22"/>
          <w:szCs w:val="22"/>
        </w:rPr>
      </w:pPr>
    </w:p>
    <w:p w14:paraId="6448ADEE" w14:textId="77777777" w:rsidR="000F2CDA" w:rsidRPr="000F2CDA" w:rsidRDefault="000F2CDA" w:rsidP="008F61B5">
      <w:pPr>
        <w:pStyle w:val="a3"/>
        <w:contextualSpacing/>
        <w:jc w:val="both"/>
        <w:rPr>
          <w:rFonts w:asciiTheme="minorHAnsi" w:hAnsiTheme="minorHAnsi" w:cstheme="minorHAnsi"/>
          <w:sz w:val="22"/>
          <w:szCs w:val="22"/>
        </w:rPr>
      </w:pPr>
      <w:r w:rsidRPr="000F2CDA">
        <w:rPr>
          <w:rFonts w:asciiTheme="minorHAnsi" w:hAnsiTheme="minorHAnsi" w:cstheme="minorHAnsi"/>
          <w:sz w:val="22"/>
          <w:szCs w:val="22"/>
        </w:rPr>
        <w:t>The circular emphasis</w:t>
      </w:r>
      <w:r w:rsidR="008F61B5">
        <w:rPr>
          <w:rFonts w:asciiTheme="minorHAnsi" w:hAnsiTheme="minorHAnsi" w:cstheme="minorHAnsi"/>
          <w:sz w:val="22"/>
          <w:szCs w:val="22"/>
        </w:rPr>
        <w:t xml:space="preserve">es </w:t>
      </w:r>
      <w:r w:rsidRPr="000F2CDA">
        <w:rPr>
          <w:rFonts w:asciiTheme="minorHAnsi" w:hAnsiTheme="minorHAnsi" w:cstheme="minorHAnsi"/>
          <w:sz w:val="22"/>
          <w:szCs w:val="22"/>
        </w:rPr>
        <w:t>the role of senior management in ensuring ongoing compliance. The senior management of an SFC-licensed VATP operator, in particular its ROs, MIC OMO, MIC of compliance and the board of directors, are expected to be vigilant in fulfilling their responsibilities to implement policies, procedures and controls that effectively manage conflicts of interest and ensure compliance with the Terms and Conditions</w:t>
      </w:r>
      <w:r w:rsidR="008F61B5">
        <w:rPr>
          <w:rFonts w:asciiTheme="minorHAnsi" w:hAnsiTheme="minorHAnsi" w:cstheme="minorHAnsi"/>
          <w:sz w:val="22"/>
          <w:szCs w:val="22"/>
        </w:rPr>
        <w:t xml:space="preserve"> for AFMM</w:t>
      </w:r>
      <w:r w:rsidRPr="000F2CDA">
        <w:rPr>
          <w:rFonts w:asciiTheme="minorHAnsi" w:hAnsiTheme="minorHAnsi" w:cstheme="minorHAnsi"/>
          <w:sz w:val="22"/>
          <w:szCs w:val="22"/>
        </w:rPr>
        <w:t>. The SFC makes clear that ongoing compliance with the Terms and Conditions</w:t>
      </w:r>
      <w:r w:rsidR="008F61B5">
        <w:rPr>
          <w:rFonts w:asciiTheme="minorHAnsi" w:hAnsiTheme="minorHAnsi" w:cstheme="minorHAnsi"/>
          <w:sz w:val="22"/>
          <w:szCs w:val="22"/>
        </w:rPr>
        <w:t xml:space="preserve"> for AFMM</w:t>
      </w:r>
      <w:r w:rsidRPr="000F2CDA">
        <w:rPr>
          <w:rFonts w:asciiTheme="minorHAnsi" w:hAnsiTheme="minorHAnsi" w:cstheme="minorHAnsi"/>
          <w:sz w:val="22"/>
          <w:szCs w:val="22"/>
        </w:rPr>
        <w:t xml:space="preserve"> is a prerequisite for permitting an AFMM to continue parti</w:t>
      </w:r>
      <w:r w:rsidR="00EF46D5">
        <w:rPr>
          <w:rFonts w:asciiTheme="minorHAnsi" w:hAnsiTheme="minorHAnsi" w:cstheme="minorHAnsi"/>
          <w:sz w:val="22"/>
          <w:szCs w:val="22"/>
        </w:rPr>
        <w:t>cipating on the operator’</w:t>
      </w:r>
      <w:r w:rsidR="008F61B5">
        <w:rPr>
          <w:rFonts w:asciiTheme="minorHAnsi" w:hAnsiTheme="minorHAnsi" w:cstheme="minorHAnsi"/>
          <w:sz w:val="22"/>
          <w:szCs w:val="22"/>
        </w:rPr>
        <w:t>s VATP</w:t>
      </w:r>
      <w:r w:rsidRPr="000F2CDA">
        <w:rPr>
          <w:rFonts w:asciiTheme="minorHAnsi" w:hAnsiTheme="minorHAnsi" w:cstheme="minorHAnsi"/>
          <w:sz w:val="22"/>
          <w:szCs w:val="22"/>
        </w:rPr>
        <w:t>.</w:t>
      </w:r>
    </w:p>
    <w:p w14:paraId="5345634B" w14:textId="77777777" w:rsidR="00D0364E" w:rsidRPr="005261BF" w:rsidRDefault="00D0364E" w:rsidP="005261BF">
      <w:pPr>
        <w:pStyle w:val="2"/>
        <w:spacing w:before="0" w:line="240" w:lineRule="auto"/>
        <w:contextualSpacing/>
        <w:rPr>
          <w:rFonts w:asciiTheme="minorHAnsi" w:hAnsiTheme="minorHAnsi" w:cstheme="minorHAnsi"/>
          <w:color w:val="FF0000"/>
          <w:sz w:val="22"/>
          <w:szCs w:val="22"/>
        </w:rPr>
      </w:pPr>
      <w:r w:rsidRPr="005261BF">
        <w:rPr>
          <w:rFonts w:asciiTheme="minorHAnsi" w:hAnsiTheme="minorHAnsi" w:cstheme="minorHAnsi"/>
          <w:b/>
          <w:color w:val="FF0000"/>
          <w:sz w:val="22"/>
          <w:szCs w:val="22"/>
        </w:rPr>
        <w:t>SFC C</w:t>
      </w:r>
      <w:r w:rsidR="005261BF">
        <w:rPr>
          <w:rFonts w:asciiTheme="minorHAnsi" w:hAnsiTheme="minorHAnsi" w:cstheme="minorHAnsi"/>
          <w:b/>
          <w:color w:val="FF0000"/>
          <w:sz w:val="22"/>
          <w:szCs w:val="22"/>
        </w:rPr>
        <w:t>ircular: A High-l</w:t>
      </w:r>
      <w:r w:rsidRPr="005261BF">
        <w:rPr>
          <w:rFonts w:asciiTheme="minorHAnsi" w:hAnsiTheme="minorHAnsi" w:cstheme="minorHAnsi"/>
          <w:b/>
          <w:color w:val="FF0000"/>
          <w:sz w:val="22"/>
          <w:szCs w:val="22"/>
        </w:rPr>
        <w:t xml:space="preserve">evel Framework for Virtual Asset Perpetual Contracts </w:t>
      </w:r>
      <w:r w:rsidR="005261BF">
        <w:rPr>
          <w:rFonts w:asciiTheme="minorHAnsi" w:hAnsiTheme="minorHAnsi" w:cstheme="minorHAnsi"/>
          <w:b/>
          <w:color w:val="FF0000"/>
          <w:sz w:val="22"/>
          <w:szCs w:val="22"/>
        </w:rPr>
        <w:t>Offering by SFC-licensed VATPs</w:t>
      </w:r>
    </w:p>
    <w:p w14:paraId="27FF1A4D" w14:textId="77777777" w:rsidR="005261BF" w:rsidRDefault="005261BF" w:rsidP="005261BF">
      <w:pPr>
        <w:spacing w:after="0" w:line="240" w:lineRule="auto"/>
        <w:contextualSpacing/>
      </w:pPr>
    </w:p>
    <w:p w14:paraId="00A0BE97" w14:textId="77777777" w:rsidR="005261BF" w:rsidRPr="005261BF" w:rsidRDefault="005261BF" w:rsidP="005261BF">
      <w:pPr>
        <w:spacing w:after="0" w:line="240" w:lineRule="auto"/>
        <w:contextualSpacing/>
        <w:jc w:val="both"/>
      </w:pPr>
      <w:r>
        <w:lastRenderedPageBreak/>
        <w:t xml:space="preserve">The SFC’s </w:t>
      </w:r>
      <w:r w:rsidR="0030340F">
        <w:t>thir</w:t>
      </w:r>
      <w:r>
        <w:t xml:space="preserve">d </w:t>
      </w:r>
      <w:hyperlink r:id="rId11" w:history="1">
        <w:r w:rsidRPr="005261BF">
          <w:rPr>
            <w:rStyle w:val="a5"/>
          </w:rPr>
          <w:t>circular</w:t>
        </w:r>
      </w:hyperlink>
      <w:r>
        <w:t xml:space="preserve"> published on 11 February 2026 </w:t>
      </w:r>
      <w:r w:rsidR="007311A7">
        <w:t xml:space="preserve">sets </w:t>
      </w:r>
      <w:r>
        <w:t>out its approach to permitting SFC-licensed VATP operators to offer virtual asset perpetual contracts (</w:t>
      </w:r>
      <w:r w:rsidRPr="005261BF">
        <w:rPr>
          <w:b/>
        </w:rPr>
        <w:t>VA Perps</w:t>
      </w:r>
      <w:r>
        <w:t>) to clients. The framework forms part of the SFC’s broader ASPIRe roadmap, specifically Pillar P, which is directed at expanding the range of VA products available in Hong Kong with the aim of deepening market liquidity, broadening investors’ risk management tools, and reinforcing Hong Kong’s standing as a global virtual asset hub. The SFC invites interested SFC-licensed VATP operators to submit proposed VA Perp structures to the SFC for discussion, provided the proposals incorporate the safeguards and investor protection measures outlined in the circular and explain how the product can be accommodated within Hong Kong’s existing regulatory and legal framework.</w:t>
      </w:r>
    </w:p>
    <w:p w14:paraId="31BC4654" w14:textId="77777777" w:rsidR="005A7744" w:rsidRPr="005A7744" w:rsidRDefault="005A7744" w:rsidP="005A7744">
      <w:pPr>
        <w:pStyle w:val="3"/>
        <w:rPr>
          <w:rFonts w:ascii="Calibri" w:hAnsi="Calibri" w:cs="Calibri"/>
          <w:sz w:val="22"/>
          <w:szCs w:val="22"/>
        </w:rPr>
      </w:pPr>
      <w:r w:rsidRPr="005A7744">
        <w:rPr>
          <w:rFonts w:ascii="Calibri" w:hAnsi="Calibri" w:cs="Calibri"/>
          <w:sz w:val="22"/>
          <w:szCs w:val="22"/>
        </w:rPr>
        <w:t>What are VA Perps under the SFC framework?</w:t>
      </w:r>
    </w:p>
    <w:p w14:paraId="1EE2C316" w14:textId="77777777" w:rsidR="005261BF" w:rsidRPr="005261BF" w:rsidRDefault="005261BF" w:rsidP="007311A7">
      <w:pPr>
        <w:spacing w:before="100" w:beforeAutospacing="1" w:after="100" w:afterAutospacing="1" w:line="240" w:lineRule="auto"/>
        <w:jc w:val="both"/>
        <w:rPr>
          <w:rFonts w:ascii="Calibri" w:eastAsia="Times New Roman" w:hAnsi="Calibri" w:cs="Calibri"/>
        </w:rPr>
      </w:pPr>
      <w:r w:rsidRPr="005261BF">
        <w:rPr>
          <w:rFonts w:ascii="Calibri" w:eastAsia="Times New Roman" w:hAnsi="Calibri" w:cs="Calibri"/>
        </w:rPr>
        <w:t xml:space="preserve">For the purposes of the framework, VA Perps are instruments </w:t>
      </w:r>
      <w:r w:rsidR="005A7744">
        <w:rPr>
          <w:rFonts w:ascii="Calibri" w:eastAsia="Times New Roman" w:hAnsi="Calibri" w:cs="Calibri"/>
        </w:rPr>
        <w:t xml:space="preserve">offered by an SFC-licensed VATP operator </w:t>
      </w:r>
      <w:r w:rsidRPr="005261BF">
        <w:rPr>
          <w:rFonts w:ascii="Calibri" w:eastAsia="Times New Roman" w:hAnsi="Calibri" w:cs="Calibri"/>
        </w:rPr>
        <w:t>with the following characteristics:</w:t>
      </w:r>
    </w:p>
    <w:p w14:paraId="7C62D54E" w14:textId="77777777" w:rsidR="005261BF" w:rsidRDefault="005A7744" w:rsidP="00E55330">
      <w:pPr>
        <w:numPr>
          <w:ilvl w:val="0"/>
          <w:numId w:val="10"/>
        </w:numPr>
        <w:spacing w:before="100" w:beforeAutospacing="1" w:after="100" w:afterAutospacing="1" w:line="240" w:lineRule="auto"/>
        <w:contextualSpacing/>
        <w:jc w:val="both"/>
        <w:rPr>
          <w:rFonts w:ascii="Calibri" w:eastAsia="Times New Roman" w:hAnsi="Calibri" w:cs="Calibri"/>
        </w:rPr>
      </w:pPr>
      <w:r>
        <w:rPr>
          <w:rFonts w:ascii="Calibri" w:eastAsia="Times New Roman" w:hAnsi="Calibri" w:cs="Calibri"/>
        </w:rPr>
        <w:t>t</w:t>
      </w:r>
      <w:r w:rsidR="005261BF" w:rsidRPr="005261BF">
        <w:rPr>
          <w:rFonts w:ascii="Calibri" w:eastAsia="Times New Roman" w:hAnsi="Calibri" w:cs="Calibri"/>
        </w:rPr>
        <w:t>hey are traded on-platform, seek to track the price of an underlying asset or index, and have no expiry date (or are spot con</w:t>
      </w:r>
      <w:r>
        <w:rPr>
          <w:rFonts w:ascii="Calibri" w:eastAsia="Times New Roman" w:hAnsi="Calibri" w:cs="Calibri"/>
        </w:rPr>
        <w:t>tracts with automatic rollover);</w:t>
      </w:r>
    </w:p>
    <w:p w14:paraId="769DFD44" w14:textId="77777777" w:rsidR="005A7744" w:rsidRDefault="005A7744" w:rsidP="00E55330">
      <w:pPr>
        <w:spacing w:before="100" w:beforeAutospacing="1" w:after="100" w:afterAutospacing="1" w:line="240" w:lineRule="auto"/>
        <w:ind w:left="720"/>
        <w:contextualSpacing/>
        <w:jc w:val="both"/>
        <w:rPr>
          <w:rFonts w:ascii="Calibri" w:eastAsia="Times New Roman" w:hAnsi="Calibri" w:cs="Calibri"/>
        </w:rPr>
      </w:pPr>
    </w:p>
    <w:p w14:paraId="260A1FC0" w14:textId="77777777" w:rsidR="005261BF" w:rsidRDefault="005A7744" w:rsidP="00E55330">
      <w:pPr>
        <w:numPr>
          <w:ilvl w:val="0"/>
          <w:numId w:val="10"/>
        </w:numPr>
        <w:spacing w:before="100" w:beforeAutospacing="1" w:after="100" w:afterAutospacing="1" w:line="240" w:lineRule="auto"/>
        <w:contextualSpacing/>
        <w:jc w:val="both"/>
        <w:rPr>
          <w:rFonts w:ascii="Calibri" w:eastAsia="Times New Roman" w:hAnsi="Calibri" w:cs="Calibri"/>
        </w:rPr>
      </w:pPr>
      <w:r>
        <w:rPr>
          <w:rFonts w:ascii="Calibri" w:eastAsia="Times New Roman" w:hAnsi="Calibri" w:cs="Calibri"/>
        </w:rPr>
        <w:t>t</w:t>
      </w:r>
      <w:r w:rsidR="005261BF" w:rsidRPr="005261BF">
        <w:rPr>
          <w:rFonts w:ascii="Calibri" w:eastAsia="Times New Roman" w:hAnsi="Calibri" w:cs="Calibri"/>
        </w:rPr>
        <w:t xml:space="preserve">hey incorporate an intra-day </w:t>
      </w:r>
      <w:r>
        <w:rPr>
          <w:rFonts w:ascii="Calibri" w:eastAsia="Times New Roman" w:hAnsi="Calibri" w:cs="Calibri"/>
        </w:rPr>
        <w:t>and/</w:t>
      </w:r>
      <w:r w:rsidR="005261BF" w:rsidRPr="005261BF">
        <w:rPr>
          <w:rFonts w:ascii="Calibri" w:eastAsia="Times New Roman" w:hAnsi="Calibri" w:cs="Calibri"/>
        </w:rPr>
        <w:t>or daily price convergence mechanism whereby periodic funding rate payments are exchanged between long and short position holders to keep the contract price ali</w:t>
      </w:r>
      <w:r>
        <w:rPr>
          <w:rFonts w:ascii="Calibri" w:eastAsia="Times New Roman" w:hAnsi="Calibri" w:cs="Calibri"/>
        </w:rPr>
        <w:t>gned with the spot market price;</w:t>
      </w:r>
      <w:r w:rsidR="00E55330">
        <w:rPr>
          <w:rFonts w:ascii="Calibri" w:eastAsia="Times New Roman" w:hAnsi="Calibri" w:cs="Calibri"/>
        </w:rPr>
        <w:t xml:space="preserve"> </w:t>
      </w:r>
    </w:p>
    <w:p w14:paraId="6D70E0F0" w14:textId="77777777" w:rsidR="005A7744" w:rsidRPr="005261BF" w:rsidRDefault="005A7744" w:rsidP="00E55330">
      <w:pPr>
        <w:spacing w:before="100" w:beforeAutospacing="1" w:after="100" w:afterAutospacing="1" w:line="240" w:lineRule="auto"/>
        <w:ind w:left="720"/>
        <w:contextualSpacing/>
        <w:jc w:val="both"/>
        <w:rPr>
          <w:rFonts w:ascii="Calibri" w:eastAsia="Times New Roman" w:hAnsi="Calibri" w:cs="Calibri"/>
        </w:rPr>
      </w:pPr>
    </w:p>
    <w:p w14:paraId="1E724F60" w14:textId="77777777" w:rsidR="005261BF" w:rsidRDefault="00E55330" w:rsidP="00E55330">
      <w:pPr>
        <w:numPr>
          <w:ilvl w:val="0"/>
          <w:numId w:val="10"/>
        </w:numPr>
        <w:spacing w:before="100" w:beforeAutospacing="1" w:after="100" w:afterAutospacing="1" w:line="240" w:lineRule="auto"/>
        <w:contextualSpacing/>
        <w:jc w:val="both"/>
        <w:rPr>
          <w:rFonts w:ascii="Calibri" w:eastAsia="Times New Roman" w:hAnsi="Calibri" w:cs="Calibri"/>
        </w:rPr>
      </w:pPr>
      <w:r>
        <w:rPr>
          <w:rFonts w:ascii="Calibri" w:eastAsia="Times New Roman" w:hAnsi="Calibri" w:cs="Calibri"/>
        </w:rPr>
        <w:t>they are leveraged, but a client’</w:t>
      </w:r>
      <w:r w:rsidR="005261BF" w:rsidRPr="005261BF">
        <w:rPr>
          <w:rFonts w:ascii="Calibri" w:eastAsia="Times New Roman" w:hAnsi="Calibri" w:cs="Calibri"/>
        </w:rPr>
        <w:t xml:space="preserve">s potential loss </w:t>
      </w:r>
      <w:r w:rsidR="005A7744">
        <w:rPr>
          <w:rFonts w:ascii="Calibri" w:eastAsia="Times New Roman" w:hAnsi="Calibri" w:cs="Calibri"/>
        </w:rPr>
        <w:t>is limited to the margin posted;</w:t>
      </w:r>
      <w:r>
        <w:rPr>
          <w:rFonts w:ascii="Calibri" w:eastAsia="Times New Roman" w:hAnsi="Calibri" w:cs="Calibri"/>
        </w:rPr>
        <w:t xml:space="preserve"> and</w:t>
      </w:r>
    </w:p>
    <w:p w14:paraId="225BD6D7" w14:textId="77777777" w:rsidR="005A7744" w:rsidRDefault="005A7744" w:rsidP="00E55330">
      <w:pPr>
        <w:spacing w:before="100" w:beforeAutospacing="1" w:after="100" w:afterAutospacing="1" w:line="240" w:lineRule="auto"/>
        <w:ind w:left="720"/>
        <w:contextualSpacing/>
        <w:jc w:val="both"/>
        <w:rPr>
          <w:rFonts w:ascii="Calibri" w:eastAsia="Times New Roman" w:hAnsi="Calibri" w:cs="Calibri"/>
        </w:rPr>
      </w:pPr>
    </w:p>
    <w:p w14:paraId="384DBC17" w14:textId="77777777" w:rsidR="005261BF" w:rsidRPr="005261BF" w:rsidRDefault="00E55330" w:rsidP="00E55330">
      <w:pPr>
        <w:numPr>
          <w:ilvl w:val="0"/>
          <w:numId w:val="10"/>
        </w:numPr>
        <w:spacing w:before="100" w:beforeAutospacing="1" w:after="100" w:afterAutospacing="1" w:line="240" w:lineRule="auto"/>
        <w:contextualSpacing/>
        <w:jc w:val="both"/>
        <w:rPr>
          <w:rFonts w:ascii="Calibri" w:eastAsia="Times New Roman" w:hAnsi="Calibri" w:cs="Calibri"/>
        </w:rPr>
      </w:pPr>
      <w:r>
        <w:rPr>
          <w:rFonts w:ascii="Calibri" w:eastAsia="Times New Roman" w:hAnsi="Calibri" w:cs="Calibri"/>
        </w:rPr>
        <w:t>t</w:t>
      </w:r>
      <w:r w:rsidR="005261BF" w:rsidRPr="005261BF">
        <w:rPr>
          <w:rFonts w:ascii="Calibri" w:eastAsia="Times New Roman" w:hAnsi="Calibri" w:cs="Calibri"/>
        </w:rPr>
        <w:t xml:space="preserve">he trading, margining, </w:t>
      </w:r>
      <w:r>
        <w:rPr>
          <w:rFonts w:ascii="Calibri" w:eastAsia="Times New Roman" w:hAnsi="Calibri" w:cs="Calibri"/>
        </w:rPr>
        <w:t xml:space="preserve">position </w:t>
      </w:r>
      <w:r w:rsidR="005261BF" w:rsidRPr="005261BF">
        <w:rPr>
          <w:rFonts w:ascii="Calibri" w:eastAsia="Times New Roman" w:hAnsi="Calibri" w:cs="Calibri"/>
        </w:rPr>
        <w:t xml:space="preserve">liquidation and settlement processes are designed to ensure that the SFC-licensed VATP operator has no credit exposure to any participant. Where margin is insufficient, </w:t>
      </w:r>
      <w:r>
        <w:rPr>
          <w:rFonts w:ascii="Calibri" w:eastAsia="Times New Roman" w:hAnsi="Calibri" w:cs="Calibri"/>
        </w:rPr>
        <w:t xml:space="preserve">positions are liquidated </w:t>
      </w:r>
      <w:r w:rsidR="005261BF" w:rsidRPr="005261BF">
        <w:rPr>
          <w:rFonts w:ascii="Calibri" w:eastAsia="Times New Roman" w:hAnsi="Calibri" w:cs="Calibri"/>
        </w:rPr>
        <w:t xml:space="preserve">through pre-specified </w:t>
      </w:r>
      <w:r>
        <w:rPr>
          <w:rFonts w:ascii="Calibri" w:eastAsia="Times New Roman" w:hAnsi="Calibri" w:cs="Calibri"/>
        </w:rPr>
        <w:t xml:space="preserve">loss allocation </w:t>
      </w:r>
      <w:r w:rsidR="005261BF" w:rsidRPr="005261BF">
        <w:rPr>
          <w:rFonts w:ascii="Calibri" w:eastAsia="Times New Roman" w:hAnsi="Calibri" w:cs="Calibri"/>
        </w:rPr>
        <w:t>mechanisms</w:t>
      </w:r>
      <w:r>
        <w:rPr>
          <w:rFonts w:ascii="Calibri" w:eastAsia="Times New Roman" w:hAnsi="Calibri" w:cs="Calibri"/>
        </w:rPr>
        <w:t>,</w:t>
      </w:r>
      <w:r w:rsidR="005261BF" w:rsidRPr="005261BF">
        <w:rPr>
          <w:rFonts w:ascii="Calibri" w:eastAsia="Times New Roman" w:hAnsi="Calibri" w:cs="Calibri"/>
        </w:rPr>
        <w:t xml:space="preserve"> such as backstop liquidity</w:t>
      </w:r>
      <w:r>
        <w:rPr>
          <w:rFonts w:ascii="Calibri" w:eastAsia="Times New Roman" w:hAnsi="Calibri" w:cs="Calibri"/>
        </w:rPr>
        <w:t xml:space="preserve"> sources</w:t>
      </w:r>
      <w:r w:rsidR="005261BF" w:rsidRPr="005261BF">
        <w:rPr>
          <w:rFonts w:ascii="Calibri" w:eastAsia="Times New Roman" w:hAnsi="Calibri" w:cs="Calibri"/>
        </w:rPr>
        <w:t>, a reserve or insurance fund</w:t>
      </w:r>
      <w:r>
        <w:rPr>
          <w:rFonts w:ascii="Calibri" w:eastAsia="Times New Roman" w:hAnsi="Calibri" w:cs="Calibri"/>
        </w:rPr>
        <w:t xml:space="preserve"> established by the </w:t>
      </w:r>
      <w:r w:rsidRPr="005261BF">
        <w:rPr>
          <w:rFonts w:ascii="Calibri" w:eastAsia="Times New Roman" w:hAnsi="Calibri" w:cs="Calibri"/>
        </w:rPr>
        <w:t>SFC-licensed VATP operator</w:t>
      </w:r>
      <w:r w:rsidR="005261BF" w:rsidRPr="005261BF">
        <w:rPr>
          <w:rFonts w:ascii="Calibri" w:eastAsia="Times New Roman" w:hAnsi="Calibri" w:cs="Calibri"/>
        </w:rPr>
        <w:t xml:space="preserve"> and</w:t>
      </w:r>
      <w:r w:rsidR="00EA490B">
        <w:rPr>
          <w:rFonts w:ascii="Calibri" w:eastAsia="Times New Roman" w:hAnsi="Calibri" w:cs="Calibri"/>
        </w:rPr>
        <w:t>,</w:t>
      </w:r>
      <w:r w:rsidR="005261BF" w:rsidRPr="005261BF">
        <w:rPr>
          <w:rFonts w:ascii="Calibri" w:eastAsia="Times New Roman" w:hAnsi="Calibri" w:cs="Calibri"/>
        </w:rPr>
        <w:t xml:space="preserve"> where applicable</w:t>
      </w:r>
      <w:r w:rsidR="00EA490B">
        <w:rPr>
          <w:rFonts w:ascii="Calibri" w:eastAsia="Times New Roman" w:hAnsi="Calibri" w:cs="Calibri"/>
        </w:rPr>
        <w:t xml:space="preserve">, </w:t>
      </w:r>
      <w:r w:rsidR="005261BF" w:rsidRPr="005261BF">
        <w:rPr>
          <w:rFonts w:ascii="Calibri" w:eastAsia="Times New Roman" w:hAnsi="Calibri" w:cs="Calibri"/>
        </w:rPr>
        <w:t>the closing out of opposite positions.</w:t>
      </w:r>
    </w:p>
    <w:p w14:paraId="19358ADC" w14:textId="77777777" w:rsidR="00EA490B" w:rsidRPr="00EA490B" w:rsidRDefault="00EA490B" w:rsidP="00EA490B">
      <w:pPr>
        <w:pStyle w:val="3"/>
        <w:rPr>
          <w:rFonts w:ascii="Calibri" w:hAnsi="Calibri" w:cs="Calibri"/>
          <w:sz w:val="22"/>
          <w:szCs w:val="22"/>
        </w:rPr>
      </w:pPr>
      <w:r>
        <w:rPr>
          <w:rFonts w:ascii="Calibri" w:hAnsi="Calibri" w:cs="Calibri"/>
          <w:sz w:val="22"/>
          <w:szCs w:val="22"/>
        </w:rPr>
        <w:t>Who can T</w:t>
      </w:r>
      <w:r w:rsidRPr="00EA490B">
        <w:rPr>
          <w:rFonts w:ascii="Calibri" w:hAnsi="Calibri" w:cs="Calibri"/>
          <w:sz w:val="22"/>
          <w:szCs w:val="22"/>
        </w:rPr>
        <w:t>rade VA Perps</w:t>
      </w:r>
      <w:r>
        <w:rPr>
          <w:rFonts w:ascii="Calibri" w:hAnsi="Calibri" w:cs="Calibri"/>
          <w:sz w:val="22"/>
          <w:szCs w:val="22"/>
        </w:rPr>
        <w:t xml:space="preserve"> in Hong Kong and what are the Eligible Reference A</w:t>
      </w:r>
      <w:r w:rsidRPr="00EA490B">
        <w:rPr>
          <w:rFonts w:ascii="Calibri" w:hAnsi="Calibri" w:cs="Calibri"/>
          <w:sz w:val="22"/>
          <w:szCs w:val="22"/>
        </w:rPr>
        <w:t>ssets?</w:t>
      </w:r>
    </w:p>
    <w:p w14:paraId="361CDEDB" w14:textId="77777777" w:rsidR="00EA490B" w:rsidRPr="00EA490B" w:rsidRDefault="00EA490B" w:rsidP="00EA490B">
      <w:pPr>
        <w:spacing w:before="100" w:beforeAutospacing="1" w:after="100" w:afterAutospacing="1" w:line="240" w:lineRule="auto"/>
        <w:jc w:val="both"/>
        <w:rPr>
          <w:rFonts w:ascii="Calibri" w:eastAsia="Times New Roman" w:hAnsi="Calibri" w:cs="Calibri"/>
        </w:rPr>
      </w:pPr>
      <w:r w:rsidRPr="00EA490B">
        <w:rPr>
          <w:rFonts w:ascii="Calibri" w:eastAsia="Times New Roman" w:hAnsi="Calibri" w:cs="Calibri"/>
        </w:rPr>
        <w:t>Given the relative novelty and distinct risk profile of VA Perps, the SFC requires that they be offered only to professional investors as defined under the Securities</w:t>
      </w:r>
      <w:r>
        <w:rPr>
          <w:rFonts w:ascii="Calibri" w:eastAsia="Times New Roman" w:hAnsi="Calibri" w:cs="Calibri"/>
        </w:rPr>
        <w:t xml:space="preserve"> and Futures Ordinance. </w:t>
      </w:r>
      <w:r w:rsidR="00D423DF">
        <w:t xml:space="preserve">Since </w:t>
      </w:r>
      <w:r w:rsidR="009C48BD">
        <w:t xml:space="preserve">VA </w:t>
      </w:r>
      <w:r w:rsidR="00D423DF">
        <w:t xml:space="preserve">Perps are leveraged contracts traded with margining and are subject to forced liquidation, </w:t>
      </w:r>
      <w:r w:rsidRPr="00EA490B">
        <w:rPr>
          <w:rFonts w:ascii="Calibri" w:eastAsia="Times New Roman" w:hAnsi="Calibri" w:cs="Calibri"/>
        </w:rPr>
        <w:t xml:space="preserve">an SFC-licensed VATP operator must assess </w:t>
      </w:r>
      <w:r>
        <w:rPr>
          <w:rFonts w:ascii="Calibri" w:eastAsia="Times New Roman" w:hAnsi="Calibri" w:cs="Calibri"/>
        </w:rPr>
        <w:t>the client’</w:t>
      </w:r>
      <w:r w:rsidRPr="00EA490B">
        <w:rPr>
          <w:rFonts w:ascii="Calibri" w:eastAsia="Times New Roman" w:hAnsi="Calibri" w:cs="Calibri"/>
        </w:rPr>
        <w:t xml:space="preserve">s knowledge of derivatives in accordance with paragraphs 5.1A and 5.3 of the </w:t>
      </w:r>
      <w:r>
        <w:rPr>
          <w:rFonts w:ascii="Calibri" w:eastAsia="Times New Roman" w:hAnsi="Calibri" w:cs="Calibri"/>
        </w:rPr>
        <w:t xml:space="preserve">SFC </w:t>
      </w:r>
      <w:r w:rsidRPr="00EA490B">
        <w:rPr>
          <w:rFonts w:ascii="Calibri" w:eastAsia="Times New Roman" w:hAnsi="Calibri" w:cs="Calibri"/>
        </w:rPr>
        <w:t>Code of Conduct</w:t>
      </w:r>
      <w:r w:rsidR="00D423DF">
        <w:rPr>
          <w:rFonts w:ascii="Calibri" w:eastAsia="Times New Roman" w:hAnsi="Calibri" w:cs="Calibri"/>
        </w:rPr>
        <w:t xml:space="preserve"> before providing </w:t>
      </w:r>
      <w:r w:rsidR="00D423DF" w:rsidRPr="00EA490B">
        <w:rPr>
          <w:rFonts w:ascii="Calibri" w:eastAsia="Times New Roman" w:hAnsi="Calibri" w:cs="Calibri"/>
        </w:rPr>
        <w:t>VA Perps trading services</w:t>
      </w:r>
      <w:r w:rsidR="00D423DF">
        <w:rPr>
          <w:rFonts w:ascii="Calibri" w:eastAsia="Times New Roman" w:hAnsi="Calibri" w:cs="Calibri"/>
        </w:rPr>
        <w:t xml:space="preserve"> to the client</w:t>
      </w:r>
      <w:r w:rsidRPr="00EA490B">
        <w:rPr>
          <w:rFonts w:ascii="Calibri" w:eastAsia="Times New Roman" w:hAnsi="Calibri" w:cs="Calibri"/>
        </w:rPr>
        <w:t>.</w:t>
      </w:r>
    </w:p>
    <w:p w14:paraId="0C9E5599" w14:textId="77777777" w:rsidR="00EA490B" w:rsidRPr="00EA490B" w:rsidRDefault="00EA490B" w:rsidP="00EA490B">
      <w:pPr>
        <w:spacing w:before="100" w:beforeAutospacing="1" w:after="100" w:afterAutospacing="1" w:line="240" w:lineRule="auto"/>
        <w:jc w:val="both"/>
        <w:rPr>
          <w:rFonts w:ascii="Calibri" w:eastAsia="Times New Roman" w:hAnsi="Calibri" w:cs="Calibri"/>
        </w:rPr>
      </w:pPr>
      <w:r w:rsidRPr="00EA490B">
        <w:rPr>
          <w:rFonts w:ascii="Calibri" w:eastAsia="Times New Roman" w:hAnsi="Calibri" w:cs="Calibri"/>
        </w:rPr>
        <w:t xml:space="preserve">The reference asset of a VA Perp </w:t>
      </w:r>
      <w:r w:rsidR="001A0266">
        <w:rPr>
          <w:rFonts w:ascii="Calibri" w:eastAsia="Times New Roman" w:hAnsi="Calibri" w:cs="Calibri"/>
        </w:rPr>
        <w:t xml:space="preserve">can </w:t>
      </w:r>
      <w:r w:rsidRPr="00EA490B">
        <w:rPr>
          <w:rFonts w:ascii="Calibri" w:eastAsia="Times New Roman" w:hAnsi="Calibri" w:cs="Calibri"/>
        </w:rPr>
        <w:t>be either:</w:t>
      </w:r>
    </w:p>
    <w:p w14:paraId="3146807C" w14:textId="77777777" w:rsidR="00EA490B" w:rsidRDefault="001A0266" w:rsidP="001A0266">
      <w:pPr>
        <w:numPr>
          <w:ilvl w:val="0"/>
          <w:numId w:val="11"/>
        </w:numPr>
        <w:spacing w:before="100" w:beforeAutospacing="1" w:after="100" w:afterAutospacing="1" w:line="240" w:lineRule="auto"/>
        <w:contextualSpacing/>
        <w:jc w:val="both"/>
        <w:rPr>
          <w:rFonts w:ascii="Calibri" w:eastAsia="Times New Roman" w:hAnsi="Calibri" w:cs="Calibri"/>
        </w:rPr>
      </w:pPr>
      <w:r>
        <w:rPr>
          <w:rFonts w:ascii="Calibri" w:eastAsia="Times New Roman" w:hAnsi="Calibri" w:cs="Calibri"/>
        </w:rPr>
        <w:t>a</w:t>
      </w:r>
      <w:r w:rsidR="00EA490B" w:rsidRPr="00EA490B">
        <w:rPr>
          <w:rFonts w:ascii="Calibri" w:eastAsia="Times New Roman" w:hAnsi="Calibri" w:cs="Calibri"/>
        </w:rPr>
        <w:t xml:space="preserve"> virtual asset that is already available for spot trading by retail clients on</w:t>
      </w:r>
      <w:r>
        <w:rPr>
          <w:rFonts w:ascii="Calibri" w:eastAsia="Times New Roman" w:hAnsi="Calibri" w:cs="Calibri"/>
        </w:rPr>
        <w:t xml:space="preserve"> the SFC-licensed VATP operator’</w:t>
      </w:r>
      <w:r w:rsidR="00EA490B" w:rsidRPr="00EA490B">
        <w:rPr>
          <w:rFonts w:ascii="Calibri" w:eastAsia="Times New Roman" w:hAnsi="Calibri" w:cs="Calibri"/>
        </w:rPr>
        <w:t>s platform; or</w:t>
      </w:r>
    </w:p>
    <w:p w14:paraId="78BBEDD5" w14:textId="77777777" w:rsidR="001A0266" w:rsidRPr="00EA490B" w:rsidRDefault="001A0266" w:rsidP="001A0266">
      <w:pPr>
        <w:spacing w:before="100" w:beforeAutospacing="1" w:after="100" w:afterAutospacing="1" w:line="240" w:lineRule="auto"/>
        <w:ind w:left="720"/>
        <w:contextualSpacing/>
        <w:jc w:val="both"/>
        <w:rPr>
          <w:rFonts w:ascii="Calibri" w:eastAsia="Times New Roman" w:hAnsi="Calibri" w:cs="Calibri"/>
        </w:rPr>
      </w:pPr>
    </w:p>
    <w:p w14:paraId="5CA00DF2" w14:textId="77777777" w:rsidR="00EA490B" w:rsidRPr="00EA490B" w:rsidRDefault="001A0266" w:rsidP="001A0266">
      <w:pPr>
        <w:numPr>
          <w:ilvl w:val="0"/>
          <w:numId w:val="11"/>
        </w:numPr>
        <w:spacing w:before="100" w:beforeAutospacing="1" w:after="100" w:afterAutospacing="1" w:line="240" w:lineRule="auto"/>
        <w:contextualSpacing/>
        <w:jc w:val="both"/>
        <w:rPr>
          <w:rFonts w:ascii="Calibri" w:eastAsia="Times New Roman" w:hAnsi="Calibri" w:cs="Calibri"/>
        </w:rPr>
      </w:pPr>
      <w:r>
        <w:rPr>
          <w:rFonts w:ascii="Calibri" w:eastAsia="Times New Roman" w:hAnsi="Calibri" w:cs="Calibri"/>
        </w:rPr>
        <w:t>a</w:t>
      </w:r>
      <w:r w:rsidR="00EA490B" w:rsidRPr="00EA490B">
        <w:rPr>
          <w:rFonts w:ascii="Calibri" w:eastAsia="Times New Roman" w:hAnsi="Calibri" w:cs="Calibri"/>
        </w:rPr>
        <w:t>n index of such virtual assets administered by a benchmark administrator that complies with the IOSCO Principles for Financial Benchmarks.</w:t>
      </w:r>
    </w:p>
    <w:p w14:paraId="0343E9A4" w14:textId="77777777" w:rsidR="001A0266" w:rsidRDefault="001A0266" w:rsidP="001A0266">
      <w:pPr>
        <w:spacing w:before="100" w:beforeAutospacing="1" w:after="100" w:afterAutospacing="1" w:line="240" w:lineRule="auto"/>
        <w:contextualSpacing/>
        <w:jc w:val="both"/>
        <w:rPr>
          <w:rFonts w:ascii="Calibri" w:eastAsia="Times New Roman" w:hAnsi="Calibri" w:cs="Calibri"/>
        </w:rPr>
      </w:pPr>
    </w:p>
    <w:p w14:paraId="5F66DB32" w14:textId="77777777" w:rsidR="00EA490B" w:rsidRPr="00EA490B" w:rsidRDefault="00EA490B" w:rsidP="001A0266">
      <w:pPr>
        <w:spacing w:before="100" w:beforeAutospacing="1" w:after="100" w:afterAutospacing="1" w:line="240" w:lineRule="auto"/>
        <w:contextualSpacing/>
        <w:jc w:val="both"/>
        <w:rPr>
          <w:rFonts w:ascii="Calibri" w:eastAsia="Times New Roman" w:hAnsi="Calibri" w:cs="Calibri"/>
        </w:rPr>
      </w:pPr>
      <w:r w:rsidRPr="00EA490B">
        <w:rPr>
          <w:rFonts w:ascii="Calibri" w:eastAsia="Times New Roman" w:hAnsi="Calibri" w:cs="Calibri"/>
        </w:rPr>
        <w:lastRenderedPageBreak/>
        <w:t>If the SFC-licensed VATP operator sus</w:t>
      </w:r>
      <w:r w:rsidR="001A0266">
        <w:rPr>
          <w:rFonts w:ascii="Calibri" w:eastAsia="Times New Roman" w:hAnsi="Calibri" w:cs="Calibri"/>
        </w:rPr>
        <w:t>pends spot trading in a VA Perp’</w:t>
      </w:r>
      <w:r w:rsidRPr="00EA490B">
        <w:rPr>
          <w:rFonts w:ascii="Calibri" w:eastAsia="Times New Roman" w:hAnsi="Calibri" w:cs="Calibri"/>
        </w:rPr>
        <w:t>s reference asset, trading of the corresponding VA Perp is generally expected to be suspended as well.</w:t>
      </w:r>
    </w:p>
    <w:p w14:paraId="07F3E3DD" w14:textId="77777777" w:rsidR="001A0266" w:rsidRDefault="001A0266" w:rsidP="001A0266">
      <w:pPr>
        <w:spacing w:before="100" w:beforeAutospacing="1" w:after="100" w:afterAutospacing="1" w:line="240" w:lineRule="auto"/>
        <w:contextualSpacing/>
        <w:outlineLvl w:val="2"/>
        <w:rPr>
          <w:rFonts w:ascii="Calibri" w:eastAsia="Times New Roman" w:hAnsi="Calibri" w:cs="Calibri"/>
          <w:b/>
          <w:bCs/>
        </w:rPr>
      </w:pPr>
    </w:p>
    <w:p w14:paraId="32793F79" w14:textId="77777777" w:rsidR="001A0266" w:rsidRPr="001A0266" w:rsidRDefault="001A0266" w:rsidP="001A0266">
      <w:pPr>
        <w:spacing w:before="100" w:beforeAutospacing="1" w:after="100" w:afterAutospacing="1" w:line="240" w:lineRule="auto"/>
        <w:contextualSpacing/>
        <w:outlineLvl w:val="2"/>
        <w:rPr>
          <w:rFonts w:ascii="Calibri" w:eastAsia="Times New Roman" w:hAnsi="Calibri" w:cs="Calibri"/>
          <w:b/>
          <w:bCs/>
        </w:rPr>
      </w:pPr>
      <w:r>
        <w:rPr>
          <w:rFonts w:ascii="Calibri" w:eastAsia="Times New Roman" w:hAnsi="Calibri" w:cs="Calibri"/>
          <w:b/>
          <w:bCs/>
        </w:rPr>
        <w:t>SFC Requirements for VA Perps Trading and S</w:t>
      </w:r>
      <w:r w:rsidRPr="001A0266">
        <w:rPr>
          <w:rFonts w:ascii="Calibri" w:eastAsia="Times New Roman" w:hAnsi="Calibri" w:cs="Calibri"/>
          <w:b/>
          <w:bCs/>
        </w:rPr>
        <w:t>ettlement</w:t>
      </w:r>
    </w:p>
    <w:p w14:paraId="7084C28C" w14:textId="77777777" w:rsidR="001A0266" w:rsidRDefault="001A0266" w:rsidP="001A0266">
      <w:pPr>
        <w:spacing w:before="100" w:beforeAutospacing="1" w:after="100" w:afterAutospacing="1" w:line="240" w:lineRule="auto"/>
        <w:contextualSpacing/>
        <w:rPr>
          <w:rFonts w:ascii="Calibri" w:eastAsia="Times New Roman" w:hAnsi="Calibri" w:cs="Calibri"/>
        </w:rPr>
      </w:pPr>
    </w:p>
    <w:p w14:paraId="30285A8A" w14:textId="77777777" w:rsidR="001A0266" w:rsidRDefault="001A0266" w:rsidP="00F1472B">
      <w:pPr>
        <w:spacing w:before="100" w:beforeAutospacing="1" w:after="100" w:afterAutospacing="1" w:line="240" w:lineRule="auto"/>
        <w:contextualSpacing/>
        <w:jc w:val="both"/>
        <w:rPr>
          <w:rFonts w:ascii="Calibri" w:eastAsia="Times New Roman" w:hAnsi="Calibri" w:cs="Calibri"/>
        </w:rPr>
      </w:pPr>
      <w:r w:rsidRPr="001A0266">
        <w:rPr>
          <w:rFonts w:ascii="Calibri" w:eastAsia="Times New Roman" w:hAnsi="Calibri" w:cs="Calibri"/>
        </w:rPr>
        <w:t xml:space="preserve">The SFC emphasises that the design and operation of VA Perps introduce financial risks that are distinct from those associated with traditional futures or spot trading. SFC-licensed VATP operators are </w:t>
      </w:r>
      <w:r>
        <w:rPr>
          <w:rFonts w:ascii="Calibri" w:eastAsia="Times New Roman" w:hAnsi="Calibri" w:cs="Calibri"/>
        </w:rPr>
        <w:t xml:space="preserve">therefore </w:t>
      </w:r>
      <w:r w:rsidRPr="001A0266">
        <w:rPr>
          <w:rFonts w:ascii="Calibri" w:eastAsia="Times New Roman" w:hAnsi="Calibri" w:cs="Calibri"/>
        </w:rPr>
        <w:t>required to:</w:t>
      </w:r>
    </w:p>
    <w:p w14:paraId="17262658" w14:textId="77777777" w:rsidR="001A0266" w:rsidRPr="001A0266" w:rsidRDefault="001A0266" w:rsidP="00F1472B">
      <w:pPr>
        <w:spacing w:before="100" w:beforeAutospacing="1" w:after="100" w:afterAutospacing="1" w:line="240" w:lineRule="auto"/>
        <w:contextualSpacing/>
        <w:jc w:val="both"/>
        <w:rPr>
          <w:rFonts w:ascii="Calibri" w:eastAsia="Times New Roman" w:hAnsi="Calibri" w:cs="Calibri"/>
        </w:rPr>
      </w:pPr>
    </w:p>
    <w:p w14:paraId="2D99B904" w14:textId="77777777" w:rsidR="001A0266" w:rsidRDefault="001A0266" w:rsidP="00D423DF">
      <w:pPr>
        <w:numPr>
          <w:ilvl w:val="0"/>
          <w:numId w:val="12"/>
        </w:numPr>
        <w:spacing w:before="100" w:beforeAutospacing="1" w:after="100" w:afterAutospacing="1" w:line="240" w:lineRule="auto"/>
        <w:contextualSpacing/>
        <w:jc w:val="both"/>
        <w:rPr>
          <w:rFonts w:ascii="Calibri" w:eastAsia="Times New Roman" w:hAnsi="Calibri" w:cs="Calibri"/>
        </w:rPr>
      </w:pPr>
      <w:r>
        <w:rPr>
          <w:rFonts w:ascii="Calibri" w:eastAsia="Times New Roman" w:hAnsi="Calibri" w:cs="Calibri"/>
        </w:rPr>
        <w:t>e</w:t>
      </w:r>
      <w:r w:rsidRPr="001A0266">
        <w:rPr>
          <w:rFonts w:ascii="Calibri" w:eastAsia="Times New Roman" w:hAnsi="Calibri" w:cs="Calibri"/>
        </w:rPr>
        <w:t xml:space="preserve">stablish, maintain and effectively enforce transparent and comprehensive rules governing fair trading, </w:t>
      </w:r>
      <w:r>
        <w:rPr>
          <w:rFonts w:ascii="Calibri" w:eastAsia="Times New Roman" w:hAnsi="Calibri" w:cs="Calibri"/>
        </w:rPr>
        <w:t xml:space="preserve">position </w:t>
      </w:r>
      <w:r w:rsidRPr="001A0266">
        <w:rPr>
          <w:rFonts w:ascii="Calibri" w:eastAsia="Times New Roman" w:hAnsi="Calibri" w:cs="Calibri"/>
        </w:rPr>
        <w:t xml:space="preserve">margining, default management, position </w:t>
      </w:r>
      <w:r>
        <w:rPr>
          <w:rFonts w:ascii="Calibri" w:eastAsia="Times New Roman" w:hAnsi="Calibri" w:cs="Calibri"/>
        </w:rPr>
        <w:t>liquidation and loss allocation;</w:t>
      </w:r>
    </w:p>
    <w:p w14:paraId="7D5B8705" w14:textId="77777777" w:rsidR="001A0266" w:rsidRPr="001A0266" w:rsidRDefault="001A0266" w:rsidP="00D423DF">
      <w:pPr>
        <w:spacing w:before="100" w:beforeAutospacing="1" w:after="100" w:afterAutospacing="1" w:line="240" w:lineRule="auto"/>
        <w:ind w:left="720"/>
        <w:contextualSpacing/>
        <w:jc w:val="both"/>
        <w:rPr>
          <w:rFonts w:ascii="Calibri" w:eastAsia="Times New Roman" w:hAnsi="Calibri" w:cs="Calibri"/>
        </w:rPr>
      </w:pPr>
    </w:p>
    <w:p w14:paraId="3B57D057" w14:textId="77777777" w:rsidR="001A0266" w:rsidRDefault="00F1472B" w:rsidP="00D423DF">
      <w:pPr>
        <w:numPr>
          <w:ilvl w:val="0"/>
          <w:numId w:val="12"/>
        </w:numPr>
        <w:spacing w:before="100" w:beforeAutospacing="1" w:after="100" w:afterAutospacing="1" w:line="240" w:lineRule="auto"/>
        <w:contextualSpacing/>
        <w:jc w:val="both"/>
        <w:rPr>
          <w:rFonts w:ascii="Calibri" w:eastAsia="Times New Roman" w:hAnsi="Calibri" w:cs="Calibri"/>
        </w:rPr>
      </w:pPr>
      <w:r>
        <w:rPr>
          <w:rFonts w:ascii="Calibri" w:eastAsia="Times New Roman" w:hAnsi="Calibri" w:cs="Calibri"/>
        </w:rPr>
        <w:t>e</w:t>
      </w:r>
      <w:r w:rsidR="001A0266" w:rsidRPr="001A0266">
        <w:rPr>
          <w:rFonts w:ascii="Calibri" w:eastAsia="Times New Roman" w:hAnsi="Calibri" w:cs="Calibri"/>
        </w:rPr>
        <w:t xml:space="preserve">nsure all aspects of their VA Perps activities </w:t>
      </w:r>
      <w:r>
        <w:rPr>
          <w:rFonts w:ascii="Calibri" w:eastAsia="Times New Roman" w:hAnsi="Calibri" w:cs="Calibri"/>
        </w:rPr>
        <w:t xml:space="preserve">have </w:t>
      </w:r>
      <w:r w:rsidR="001A0266" w:rsidRPr="001A0266">
        <w:rPr>
          <w:rFonts w:ascii="Calibri" w:eastAsia="Times New Roman" w:hAnsi="Calibri" w:cs="Calibri"/>
        </w:rPr>
        <w:t>a well-founded, clear, transpar</w:t>
      </w:r>
      <w:r>
        <w:rPr>
          <w:rFonts w:ascii="Calibri" w:eastAsia="Times New Roman" w:hAnsi="Calibri" w:cs="Calibri"/>
        </w:rPr>
        <w:t>ent and enforceable legal basis;</w:t>
      </w:r>
    </w:p>
    <w:p w14:paraId="32E0674F" w14:textId="77777777" w:rsidR="00F1472B" w:rsidRPr="001A0266" w:rsidRDefault="00F1472B" w:rsidP="00D423DF">
      <w:pPr>
        <w:spacing w:before="100" w:beforeAutospacing="1" w:after="100" w:afterAutospacing="1" w:line="240" w:lineRule="auto"/>
        <w:ind w:left="720"/>
        <w:contextualSpacing/>
        <w:jc w:val="both"/>
        <w:rPr>
          <w:rFonts w:ascii="Calibri" w:eastAsia="Times New Roman" w:hAnsi="Calibri" w:cs="Calibri"/>
        </w:rPr>
      </w:pPr>
    </w:p>
    <w:p w14:paraId="65E80309" w14:textId="77777777" w:rsidR="001A0266" w:rsidRDefault="00F1472B" w:rsidP="00D423DF">
      <w:pPr>
        <w:numPr>
          <w:ilvl w:val="0"/>
          <w:numId w:val="12"/>
        </w:numPr>
        <w:spacing w:before="100" w:beforeAutospacing="1" w:after="100" w:afterAutospacing="1" w:line="240" w:lineRule="auto"/>
        <w:contextualSpacing/>
        <w:jc w:val="both"/>
        <w:rPr>
          <w:rFonts w:ascii="Calibri" w:eastAsia="Times New Roman" w:hAnsi="Calibri" w:cs="Calibri"/>
        </w:rPr>
      </w:pPr>
      <w:r>
        <w:rPr>
          <w:rFonts w:ascii="Calibri" w:eastAsia="Times New Roman" w:hAnsi="Calibri" w:cs="Calibri"/>
        </w:rPr>
        <w:t>e</w:t>
      </w:r>
      <w:r w:rsidR="001A0266" w:rsidRPr="001A0266">
        <w:rPr>
          <w:rFonts w:ascii="Calibri" w:eastAsia="Times New Roman" w:hAnsi="Calibri" w:cs="Calibri"/>
        </w:rPr>
        <w:t xml:space="preserve">nsure orderly trading, settlement and </w:t>
      </w:r>
      <w:r>
        <w:rPr>
          <w:rFonts w:ascii="Calibri" w:eastAsia="Times New Roman" w:hAnsi="Calibri" w:cs="Calibri"/>
        </w:rPr>
        <w:t xml:space="preserve">position </w:t>
      </w:r>
      <w:r w:rsidR="001A0266" w:rsidRPr="001A0266">
        <w:rPr>
          <w:rFonts w:ascii="Calibri" w:eastAsia="Times New Roman" w:hAnsi="Calibri" w:cs="Calibri"/>
        </w:rPr>
        <w:t>liquidation even under extreme but plaus</w:t>
      </w:r>
      <w:r>
        <w:rPr>
          <w:rFonts w:ascii="Calibri" w:eastAsia="Times New Roman" w:hAnsi="Calibri" w:cs="Calibri"/>
        </w:rPr>
        <w:t>ible stressed market conditions; and</w:t>
      </w:r>
    </w:p>
    <w:p w14:paraId="10C95919" w14:textId="77777777" w:rsidR="00F1472B" w:rsidRPr="001A0266" w:rsidRDefault="00F1472B" w:rsidP="00D423DF">
      <w:pPr>
        <w:spacing w:before="100" w:beforeAutospacing="1" w:after="100" w:afterAutospacing="1" w:line="240" w:lineRule="auto"/>
        <w:ind w:left="720"/>
        <w:contextualSpacing/>
        <w:jc w:val="both"/>
        <w:rPr>
          <w:rFonts w:ascii="Calibri" w:eastAsia="Times New Roman" w:hAnsi="Calibri" w:cs="Calibri"/>
        </w:rPr>
      </w:pPr>
    </w:p>
    <w:p w14:paraId="176BCBFB" w14:textId="77777777" w:rsidR="001A0266" w:rsidRDefault="00F1472B" w:rsidP="00D423DF">
      <w:pPr>
        <w:numPr>
          <w:ilvl w:val="0"/>
          <w:numId w:val="12"/>
        </w:numPr>
        <w:spacing w:before="100" w:beforeAutospacing="1" w:after="100" w:afterAutospacing="1" w:line="240" w:lineRule="auto"/>
        <w:contextualSpacing/>
        <w:jc w:val="both"/>
        <w:rPr>
          <w:rFonts w:ascii="Calibri" w:eastAsia="Times New Roman" w:hAnsi="Calibri" w:cs="Calibri"/>
        </w:rPr>
      </w:pPr>
      <w:r>
        <w:rPr>
          <w:rFonts w:ascii="Calibri" w:eastAsia="Times New Roman" w:hAnsi="Calibri" w:cs="Calibri"/>
        </w:rPr>
        <w:t>c</w:t>
      </w:r>
      <w:r w:rsidR="001A0266" w:rsidRPr="001A0266">
        <w:rPr>
          <w:rFonts w:ascii="Calibri" w:eastAsia="Times New Roman" w:hAnsi="Calibri" w:cs="Calibri"/>
        </w:rPr>
        <w:t>onduct regular stress testing of their trading systems to ensure operational resilience.</w:t>
      </w:r>
    </w:p>
    <w:p w14:paraId="1D7D22FE" w14:textId="77777777" w:rsidR="00F1472B" w:rsidRPr="001A0266" w:rsidRDefault="00F1472B" w:rsidP="00D423DF">
      <w:pPr>
        <w:spacing w:before="100" w:beforeAutospacing="1" w:after="100" w:afterAutospacing="1" w:line="240" w:lineRule="auto"/>
        <w:ind w:left="720"/>
        <w:contextualSpacing/>
        <w:jc w:val="both"/>
        <w:rPr>
          <w:rFonts w:ascii="Calibri" w:eastAsia="Times New Roman" w:hAnsi="Calibri" w:cs="Calibri"/>
        </w:rPr>
      </w:pPr>
    </w:p>
    <w:p w14:paraId="64B436B3" w14:textId="77777777" w:rsidR="001A0266" w:rsidRPr="001A0266" w:rsidRDefault="001A0266" w:rsidP="00F1472B">
      <w:pPr>
        <w:spacing w:before="100" w:beforeAutospacing="1" w:after="100" w:afterAutospacing="1" w:line="240" w:lineRule="auto"/>
        <w:contextualSpacing/>
        <w:jc w:val="both"/>
        <w:rPr>
          <w:rFonts w:ascii="Calibri" w:eastAsia="Times New Roman" w:hAnsi="Calibri" w:cs="Calibri"/>
        </w:rPr>
      </w:pPr>
      <w:r w:rsidRPr="001A0266">
        <w:rPr>
          <w:rFonts w:ascii="Calibri" w:eastAsia="Times New Roman" w:hAnsi="Calibri" w:cs="Calibri"/>
        </w:rPr>
        <w:t xml:space="preserve">SFC-licensed VATP operators </w:t>
      </w:r>
      <w:r w:rsidR="00F1472B">
        <w:rPr>
          <w:rFonts w:ascii="Calibri" w:eastAsia="Times New Roman" w:hAnsi="Calibri" w:cs="Calibri"/>
        </w:rPr>
        <w:t>are responsible</w:t>
      </w:r>
      <w:r w:rsidRPr="001A0266">
        <w:rPr>
          <w:rFonts w:ascii="Calibri" w:eastAsia="Times New Roman" w:hAnsi="Calibri" w:cs="Calibri"/>
        </w:rPr>
        <w:t xml:space="preserve"> for settling all trades on their platforms, regardless of whether they</w:t>
      </w:r>
      <w:r w:rsidR="00F1472B">
        <w:rPr>
          <w:rFonts w:ascii="Calibri" w:eastAsia="Times New Roman" w:hAnsi="Calibri" w:cs="Calibri"/>
        </w:rPr>
        <w:t xml:space="preserve"> are a contracting party to th</w:t>
      </w:r>
      <w:r w:rsidRPr="001A0266">
        <w:rPr>
          <w:rFonts w:ascii="Calibri" w:eastAsia="Times New Roman" w:hAnsi="Calibri" w:cs="Calibri"/>
        </w:rPr>
        <w:t>e trades.</w:t>
      </w:r>
    </w:p>
    <w:p w14:paraId="70A3555B" w14:textId="77777777" w:rsidR="00F1472B" w:rsidRDefault="00F1472B" w:rsidP="00F1472B">
      <w:pPr>
        <w:spacing w:before="100" w:beforeAutospacing="1" w:after="100" w:afterAutospacing="1" w:line="240" w:lineRule="auto"/>
        <w:contextualSpacing/>
        <w:jc w:val="both"/>
        <w:rPr>
          <w:rFonts w:ascii="Calibri" w:eastAsia="Times New Roman" w:hAnsi="Calibri" w:cs="Calibri"/>
        </w:rPr>
      </w:pPr>
    </w:p>
    <w:p w14:paraId="450E6637" w14:textId="77777777" w:rsidR="001A0266" w:rsidRDefault="00F1472B" w:rsidP="00F1472B">
      <w:pPr>
        <w:spacing w:before="100" w:beforeAutospacing="1" w:after="100" w:afterAutospacing="1" w:line="240" w:lineRule="auto"/>
        <w:contextualSpacing/>
        <w:jc w:val="both"/>
        <w:rPr>
          <w:rFonts w:ascii="Calibri" w:eastAsia="Times New Roman" w:hAnsi="Calibri" w:cs="Calibri"/>
        </w:rPr>
      </w:pPr>
      <w:r>
        <w:rPr>
          <w:rFonts w:ascii="Calibri" w:eastAsia="Times New Roman" w:hAnsi="Calibri" w:cs="Calibri"/>
        </w:rPr>
        <w:t>T</w:t>
      </w:r>
      <w:r w:rsidR="001A0266" w:rsidRPr="001A0266">
        <w:rPr>
          <w:rFonts w:ascii="Calibri" w:eastAsia="Times New Roman" w:hAnsi="Calibri" w:cs="Calibri"/>
        </w:rPr>
        <w:t>he product price</w:t>
      </w:r>
      <w:r w:rsidR="00D423DF">
        <w:rPr>
          <w:rFonts w:ascii="Calibri" w:eastAsia="Times New Roman" w:hAnsi="Calibri" w:cs="Calibri"/>
        </w:rPr>
        <w:t xml:space="preserve"> or mark price (i.e., </w:t>
      </w:r>
      <w:r w:rsidR="00D423DF">
        <w:t>the reference price used to calculate mark-to-market profit and loss, and to trigger liquidations</w:t>
      </w:r>
      <w:r w:rsidR="00D423DF" w:rsidRPr="001A0266">
        <w:rPr>
          <w:rFonts w:ascii="Calibri" w:eastAsia="Times New Roman" w:hAnsi="Calibri" w:cs="Calibri"/>
        </w:rPr>
        <w:t>)</w:t>
      </w:r>
      <w:r w:rsidR="001A0266" w:rsidRPr="001A0266">
        <w:rPr>
          <w:rFonts w:ascii="Calibri" w:eastAsia="Times New Roman" w:hAnsi="Calibri" w:cs="Calibri"/>
        </w:rPr>
        <w:t xml:space="preserve">, reference asset price, funding rate and position valuation </w:t>
      </w:r>
      <w:r>
        <w:rPr>
          <w:rFonts w:ascii="Calibri" w:eastAsia="Times New Roman" w:hAnsi="Calibri" w:cs="Calibri"/>
        </w:rPr>
        <w:t xml:space="preserve">(each a </w:t>
      </w:r>
      <w:r>
        <w:rPr>
          <w:rFonts w:ascii="Calibri" w:eastAsia="Times New Roman" w:hAnsi="Calibri" w:cs="Calibri"/>
          <w:b/>
        </w:rPr>
        <w:t>Key Parameter</w:t>
      </w:r>
      <w:r>
        <w:rPr>
          <w:rFonts w:ascii="Calibri" w:eastAsia="Times New Roman" w:hAnsi="Calibri" w:cs="Calibri"/>
        </w:rPr>
        <w:t>)</w:t>
      </w:r>
      <w:r w:rsidR="001A0266" w:rsidRPr="001A0266">
        <w:rPr>
          <w:rFonts w:ascii="Calibri" w:eastAsia="Times New Roman" w:hAnsi="Calibri" w:cs="Calibri"/>
        </w:rPr>
        <w:t xml:space="preserve"> must be:</w:t>
      </w:r>
    </w:p>
    <w:p w14:paraId="547423DF" w14:textId="77777777" w:rsidR="00F1472B" w:rsidRPr="001A0266" w:rsidRDefault="00F1472B" w:rsidP="00F1472B">
      <w:pPr>
        <w:spacing w:before="100" w:beforeAutospacing="1" w:after="100" w:afterAutospacing="1" w:line="240" w:lineRule="auto"/>
        <w:contextualSpacing/>
        <w:jc w:val="both"/>
        <w:rPr>
          <w:rFonts w:ascii="Calibri" w:eastAsia="Times New Roman" w:hAnsi="Calibri" w:cs="Calibri"/>
        </w:rPr>
      </w:pPr>
    </w:p>
    <w:p w14:paraId="0690FE54" w14:textId="77777777" w:rsidR="001A0266" w:rsidRDefault="00CB1558" w:rsidP="00CB1558">
      <w:pPr>
        <w:numPr>
          <w:ilvl w:val="0"/>
          <w:numId w:val="13"/>
        </w:numPr>
        <w:spacing w:before="100" w:beforeAutospacing="1" w:after="100" w:afterAutospacing="1" w:line="240" w:lineRule="auto"/>
        <w:ind w:left="714" w:hanging="357"/>
        <w:contextualSpacing/>
        <w:jc w:val="both"/>
        <w:rPr>
          <w:rFonts w:ascii="Calibri" w:eastAsia="Times New Roman" w:hAnsi="Calibri" w:cs="Calibri"/>
        </w:rPr>
      </w:pPr>
      <w:r>
        <w:rPr>
          <w:rFonts w:ascii="Calibri" w:eastAsia="Times New Roman" w:hAnsi="Calibri" w:cs="Calibri"/>
        </w:rPr>
        <w:t>d</w:t>
      </w:r>
      <w:r w:rsidR="001A0266" w:rsidRPr="001A0266">
        <w:rPr>
          <w:rFonts w:ascii="Calibri" w:eastAsia="Times New Roman" w:hAnsi="Calibri" w:cs="Calibri"/>
        </w:rPr>
        <w:t>etermined on the basis of transparent and consistently appli</w:t>
      </w:r>
      <w:r>
        <w:rPr>
          <w:rFonts w:ascii="Calibri" w:eastAsia="Times New Roman" w:hAnsi="Calibri" w:cs="Calibri"/>
        </w:rPr>
        <w:t>ed methodologies and procedures;</w:t>
      </w:r>
    </w:p>
    <w:p w14:paraId="0379879A" w14:textId="77777777" w:rsidR="00CB1558" w:rsidRDefault="00CB1558" w:rsidP="00CB1558">
      <w:pPr>
        <w:spacing w:before="100" w:beforeAutospacing="1" w:after="100" w:afterAutospacing="1" w:line="240" w:lineRule="auto"/>
        <w:ind w:left="714"/>
        <w:contextualSpacing/>
        <w:jc w:val="both"/>
        <w:rPr>
          <w:rFonts w:ascii="Calibri" w:eastAsia="Times New Roman" w:hAnsi="Calibri" w:cs="Calibri"/>
        </w:rPr>
      </w:pPr>
    </w:p>
    <w:p w14:paraId="6853E36D" w14:textId="77777777" w:rsidR="001A0266" w:rsidRDefault="00CB1558" w:rsidP="00CB1558">
      <w:pPr>
        <w:numPr>
          <w:ilvl w:val="0"/>
          <w:numId w:val="13"/>
        </w:numPr>
        <w:spacing w:before="100" w:beforeAutospacing="1" w:after="100" w:afterAutospacing="1" w:line="240" w:lineRule="auto"/>
        <w:ind w:left="714" w:hanging="357"/>
        <w:contextualSpacing/>
        <w:jc w:val="both"/>
        <w:rPr>
          <w:rFonts w:ascii="Calibri" w:eastAsia="Times New Roman" w:hAnsi="Calibri" w:cs="Calibri"/>
        </w:rPr>
      </w:pPr>
      <w:r>
        <w:rPr>
          <w:rFonts w:ascii="Calibri" w:eastAsia="Times New Roman" w:hAnsi="Calibri" w:cs="Calibri"/>
        </w:rPr>
        <w:t>d</w:t>
      </w:r>
      <w:r w:rsidR="001A0266" w:rsidRPr="001A0266">
        <w:rPr>
          <w:rFonts w:ascii="Calibri" w:eastAsia="Times New Roman" w:hAnsi="Calibri" w:cs="Calibri"/>
        </w:rPr>
        <w:t>erived from timely and reliable data sourced from active markets with stable transaction volumes, and anchored by bo</w:t>
      </w:r>
      <w:r>
        <w:rPr>
          <w:rFonts w:ascii="Calibri" w:eastAsia="Times New Roman" w:hAnsi="Calibri" w:cs="Calibri"/>
        </w:rPr>
        <w:t>na fide observable transactions;</w:t>
      </w:r>
    </w:p>
    <w:p w14:paraId="7548CD8C" w14:textId="77777777" w:rsidR="00CB1558" w:rsidRPr="001A0266" w:rsidRDefault="00CB1558" w:rsidP="00CB1558">
      <w:pPr>
        <w:spacing w:before="100" w:beforeAutospacing="1" w:after="100" w:afterAutospacing="1" w:line="240" w:lineRule="auto"/>
        <w:ind w:left="714"/>
        <w:contextualSpacing/>
        <w:jc w:val="both"/>
        <w:rPr>
          <w:rFonts w:ascii="Calibri" w:eastAsia="Times New Roman" w:hAnsi="Calibri" w:cs="Calibri"/>
        </w:rPr>
      </w:pPr>
    </w:p>
    <w:p w14:paraId="050264DB" w14:textId="77777777" w:rsidR="001A0266" w:rsidRDefault="00CB1558" w:rsidP="00CB1558">
      <w:pPr>
        <w:numPr>
          <w:ilvl w:val="0"/>
          <w:numId w:val="13"/>
        </w:numPr>
        <w:spacing w:before="100" w:beforeAutospacing="1" w:after="100" w:afterAutospacing="1" w:line="240" w:lineRule="auto"/>
        <w:ind w:left="714" w:hanging="357"/>
        <w:contextualSpacing/>
        <w:jc w:val="both"/>
        <w:rPr>
          <w:rFonts w:ascii="Calibri" w:eastAsia="Times New Roman" w:hAnsi="Calibri" w:cs="Calibri"/>
        </w:rPr>
      </w:pPr>
      <w:r>
        <w:rPr>
          <w:rFonts w:ascii="Calibri" w:eastAsia="Times New Roman" w:hAnsi="Calibri" w:cs="Calibri"/>
        </w:rPr>
        <w:t>c</w:t>
      </w:r>
      <w:r w:rsidR="001A0266" w:rsidRPr="001A0266">
        <w:rPr>
          <w:rFonts w:ascii="Calibri" w:eastAsia="Times New Roman" w:hAnsi="Calibri" w:cs="Calibri"/>
        </w:rPr>
        <w:t>apable of objective verification, and made available to clients in real time and free of charge.</w:t>
      </w:r>
    </w:p>
    <w:p w14:paraId="47E3D5BD" w14:textId="77777777" w:rsidR="00CB1558" w:rsidRPr="001A0266" w:rsidRDefault="00CB1558" w:rsidP="00CB1558">
      <w:pPr>
        <w:spacing w:before="100" w:beforeAutospacing="1" w:after="100" w:afterAutospacing="1" w:line="240" w:lineRule="auto"/>
        <w:ind w:left="714"/>
        <w:contextualSpacing/>
        <w:jc w:val="both"/>
        <w:rPr>
          <w:rFonts w:ascii="Calibri" w:eastAsia="Times New Roman" w:hAnsi="Calibri" w:cs="Calibri"/>
        </w:rPr>
      </w:pPr>
    </w:p>
    <w:p w14:paraId="0A8B85A3" w14:textId="77777777" w:rsidR="001A0266" w:rsidRPr="001A0266" w:rsidRDefault="001A0266" w:rsidP="00F1472B">
      <w:pPr>
        <w:spacing w:before="100" w:beforeAutospacing="1" w:after="100" w:afterAutospacing="1" w:line="240" w:lineRule="auto"/>
        <w:jc w:val="both"/>
        <w:rPr>
          <w:rFonts w:ascii="Calibri" w:eastAsia="Times New Roman" w:hAnsi="Calibri" w:cs="Calibri"/>
        </w:rPr>
      </w:pPr>
      <w:r w:rsidRPr="001A0266">
        <w:rPr>
          <w:rFonts w:ascii="Calibri" w:eastAsia="Times New Roman" w:hAnsi="Calibri" w:cs="Calibri"/>
        </w:rPr>
        <w:t>Funding rate inputs, calculation windows and settlement frequency must be clearly disclosed, with funding rate payments settled at least once every 24 hours.</w:t>
      </w:r>
    </w:p>
    <w:p w14:paraId="259266C1" w14:textId="77777777" w:rsidR="001A0266" w:rsidRPr="001A0266" w:rsidRDefault="001A0266" w:rsidP="00B143B4">
      <w:pPr>
        <w:spacing w:before="100" w:beforeAutospacing="1" w:after="100" w:afterAutospacing="1" w:line="240" w:lineRule="auto"/>
        <w:jc w:val="both"/>
        <w:rPr>
          <w:rFonts w:ascii="Calibri" w:eastAsia="Times New Roman" w:hAnsi="Calibri" w:cs="Calibri"/>
        </w:rPr>
      </w:pPr>
      <w:r w:rsidRPr="001A0266">
        <w:rPr>
          <w:rFonts w:ascii="Calibri" w:eastAsia="Times New Roman" w:hAnsi="Calibri" w:cs="Calibri"/>
        </w:rPr>
        <w:t xml:space="preserve">References used for margining, mark-to-market valuation and liquidation must be based on multiple independent sources to mitigate the risk of manipulation or undue influence by a single entity. Where an index is used, the SFC-licensed VATP operator must disclose its compilation methodology, computation, update frequency and the circumstances in which it may be modified or discontinued. </w:t>
      </w:r>
      <w:r w:rsidR="006C1AC9">
        <w:t>Appropriate contingency arrangements must be put in place to provide for alternative determination methodologies where market disruption, insufficient data or other factors render the determination of fair prices, rates or values unreliable. Automated failover mechanisms are also required to mitigate the risk of stale or manipulated pricing data giving rise to unfair liquidations. Real-time mark-to-market adjustments must be applied automatically and accurately reflected in client accounts to ensure that position valuations remain consistent with prevailing market prices at all times.</w:t>
      </w:r>
    </w:p>
    <w:p w14:paraId="7C7CB7DA" w14:textId="77777777" w:rsidR="00F843BD" w:rsidRDefault="00B143B4" w:rsidP="00450480">
      <w:pPr>
        <w:pStyle w:val="2"/>
        <w:spacing w:before="0"/>
        <w:contextualSpacing/>
        <w:jc w:val="both"/>
        <w:rPr>
          <w:rFonts w:ascii="Calibri" w:eastAsia="Times New Roman" w:hAnsi="Calibri" w:cs="Calibri"/>
          <w:b/>
          <w:bCs/>
          <w:color w:val="auto"/>
          <w:sz w:val="22"/>
          <w:szCs w:val="22"/>
        </w:rPr>
      </w:pPr>
      <w:r>
        <w:rPr>
          <w:rFonts w:ascii="Calibri" w:eastAsia="Times New Roman" w:hAnsi="Calibri" w:cs="Calibri"/>
          <w:b/>
          <w:bCs/>
          <w:color w:val="auto"/>
          <w:sz w:val="22"/>
          <w:szCs w:val="22"/>
        </w:rPr>
        <w:lastRenderedPageBreak/>
        <w:t xml:space="preserve">SFC Requirements for </w:t>
      </w:r>
      <w:r w:rsidR="00F843BD" w:rsidRPr="00B143B4">
        <w:rPr>
          <w:rFonts w:ascii="Calibri" w:eastAsia="Times New Roman" w:hAnsi="Calibri" w:cs="Calibri"/>
          <w:b/>
          <w:bCs/>
          <w:color w:val="auto"/>
          <w:sz w:val="22"/>
          <w:szCs w:val="22"/>
        </w:rPr>
        <w:t>Margin Arrangements and Loss Allocation Management</w:t>
      </w:r>
    </w:p>
    <w:p w14:paraId="57A619CF" w14:textId="77777777" w:rsidR="00B143B4" w:rsidRDefault="00B143B4" w:rsidP="00450480">
      <w:pPr>
        <w:pStyle w:val="a3"/>
        <w:spacing w:before="0" w:beforeAutospacing="0" w:after="0" w:afterAutospacing="0"/>
        <w:contextualSpacing/>
        <w:jc w:val="both"/>
        <w:rPr>
          <w:rFonts w:ascii="Calibri" w:hAnsi="Calibri" w:cs="Calibri"/>
          <w:sz w:val="22"/>
          <w:szCs w:val="22"/>
        </w:rPr>
      </w:pPr>
    </w:p>
    <w:p w14:paraId="1A38FE88" w14:textId="77777777" w:rsidR="00F843BD" w:rsidRDefault="00F843BD" w:rsidP="00450480">
      <w:pPr>
        <w:pStyle w:val="a3"/>
        <w:spacing w:before="0" w:beforeAutospacing="0" w:after="0" w:afterAutospacing="0"/>
        <w:contextualSpacing/>
        <w:jc w:val="both"/>
        <w:rPr>
          <w:rFonts w:ascii="Calibri" w:hAnsi="Calibri" w:cs="Calibri"/>
          <w:sz w:val="22"/>
          <w:szCs w:val="22"/>
        </w:rPr>
      </w:pPr>
      <w:r w:rsidRPr="00F843BD">
        <w:rPr>
          <w:rFonts w:ascii="Calibri" w:hAnsi="Calibri" w:cs="Calibri"/>
          <w:sz w:val="22"/>
          <w:szCs w:val="22"/>
        </w:rPr>
        <w:t>An SFC-licensed VATP operator is required to ensure, by means of automated pre-</w:t>
      </w:r>
      <w:r w:rsidR="00B143B4">
        <w:rPr>
          <w:rFonts w:ascii="Calibri" w:hAnsi="Calibri" w:cs="Calibri"/>
          <w:sz w:val="22"/>
          <w:szCs w:val="22"/>
        </w:rPr>
        <w:t>trade checks, that the required</w:t>
      </w:r>
      <w:r w:rsidRPr="00F843BD">
        <w:rPr>
          <w:rFonts w:ascii="Calibri" w:hAnsi="Calibri" w:cs="Calibri"/>
          <w:sz w:val="22"/>
          <w:szCs w:val="22"/>
        </w:rPr>
        <w:t xml:space="preserve"> margin has been received in full prior to accepting any order. The extension of credit for margin purposes is not permitted. Acceptable forms of margin collateral are limited to fiat currency, or stablecoins and tokenised deposits that are regulated by the Hong Kong Monetary Authority. Margin requirements should be </w:t>
      </w:r>
      <w:r w:rsidR="00B143B4">
        <w:rPr>
          <w:rFonts w:ascii="Calibri" w:hAnsi="Calibri" w:cs="Calibri"/>
          <w:sz w:val="22"/>
          <w:szCs w:val="22"/>
        </w:rPr>
        <w:t xml:space="preserve">set </w:t>
      </w:r>
      <w:r w:rsidRPr="00F843BD">
        <w:rPr>
          <w:rFonts w:ascii="Calibri" w:hAnsi="Calibri" w:cs="Calibri"/>
          <w:sz w:val="22"/>
          <w:szCs w:val="22"/>
        </w:rPr>
        <w:t>with appropriate regard to position concentration risk, so as to facilitate the orderly liquidation of positions where margin requirements are not maintained.</w:t>
      </w:r>
    </w:p>
    <w:p w14:paraId="17896334" w14:textId="77777777" w:rsidR="00B143B4" w:rsidRPr="00F843BD" w:rsidRDefault="00B143B4" w:rsidP="00B143B4">
      <w:pPr>
        <w:pStyle w:val="a3"/>
        <w:spacing w:before="0" w:beforeAutospacing="0" w:after="0" w:afterAutospacing="0"/>
        <w:jc w:val="both"/>
        <w:rPr>
          <w:rFonts w:ascii="Calibri" w:hAnsi="Calibri" w:cs="Calibri"/>
          <w:sz w:val="22"/>
          <w:szCs w:val="22"/>
        </w:rPr>
      </w:pPr>
    </w:p>
    <w:p w14:paraId="0CAF736C" w14:textId="77777777" w:rsidR="00F843BD" w:rsidRDefault="00F843BD" w:rsidP="00B143B4">
      <w:pPr>
        <w:pStyle w:val="a3"/>
        <w:spacing w:before="0" w:beforeAutospacing="0" w:after="0" w:afterAutospacing="0"/>
        <w:jc w:val="both"/>
        <w:rPr>
          <w:rFonts w:ascii="Calibri" w:hAnsi="Calibri" w:cs="Calibri"/>
          <w:sz w:val="22"/>
          <w:szCs w:val="22"/>
        </w:rPr>
      </w:pPr>
      <w:r w:rsidRPr="00F843BD">
        <w:rPr>
          <w:rFonts w:ascii="Calibri" w:hAnsi="Calibri" w:cs="Calibri"/>
          <w:sz w:val="22"/>
          <w:szCs w:val="22"/>
        </w:rPr>
        <w:t>An SFC-licensed VATP operator must adopt a clearly defined and pre-determined order of priority for default management, position liquidation and loss allocation. This hierarchy should typically comprise order-book liquidation, backstop liquidity providers, a reserve or insurance fund, auto-deleveraging (</w:t>
      </w:r>
      <w:r w:rsidRPr="00450480">
        <w:rPr>
          <w:rFonts w:ascii="Calibri" w:hAnsi="Calibri" w:cs="Calibri"/>
          <w:b/>
          <w:sz w:val="22"/>
          <w:szCs w:val="22"/>
        </w:rPr>
        <w:t>ADL</w:t>
      </w:r>
      <w:r w:rsidRPr="00F843BD">
        <w:rPr>
          <w:rFonts w:ascii="Calibri" w:hAnsi="Calibri" w:cs="Calibri"/>
          <w:sz w:val="22"/>
          <w:szCs w:val="22"/>
        </w:rPr>
        <w:t>), and any other last-resort loss allocation mechanisms. The specific circumstances that trigger each mechanism, together with the applicable parameters, must be clearly disclosed to clients. The default management procedures should be designed to facilitate the timely containment of client losses and must be applied consistently.</w:t>
      </w:r>
    </w:p>
    <w:p w14:paraId="41EBAC2F" w14:textId="77777777" w:rsidR="00B143B4" w:rsidRPr="00F843BD" w:rsidRDefault="00B143B4" w:rsidP="00B143B4">
      <w:pPr>
        <w:pStyle w:val="a3"/>
        <w:spacing w:before="0" w:beforeAutospacing="0" w:after="0" w:afterAutospacing="0"/>
        <w:jc w:val="both"/>
        <w:rPr>
          <w:rFonts w:ascii="Calibri" w:hAnsi="Calibri" w:cs="Calibri"/>
          <w:sz w:val="22"/>
          <w:szCs w:val="22"/>
        </w:rPr>
      </w:pPr>
    </w:p>
    <w:p w14:paraId="09395886" w14:textId="77777777" w:rsidR="00F843BD" w:rsidRDefault="00F843BD" w:rsidP="00B143B4">
      <w:pPr>
        <w:pStyle w:val="a3"/>
        <w:spacing w:before="0" w:beforeAutospacing="0" w:after="0" w:afterAutospacing="0"/>
        <w:jc w:val="both"/>
        <w:rPr>
          <w:rFonts w:ascii="Calibri" w:hAnsi="Calibri" w:cs="Calibri"/>
          <w:sz w:val="22"/>
          <w:szCs w:val="22"/>
        </w:rPr>
      </w:pPr>
      <w:r w:rsidRPr="00F843BD">
        <w:rPr>
          <w:rFonts w:ascii="Calibri" w:hAnsi="Calibri" w:cs="Calibri"/>
          <w:sz w:val="22"/>
          <w:szCs w:val="22"/>
        </w:rPr>
        <w:t xml:space="preserve">Automated liquidation must occur at pre-defined thresholds, such as where the maintenance margin requirement ceases to be met. An SFC-licensed VATP operator is expected to regularly review and test its margining and liquidation mechanisms to </w:t>
      </w:r>
      <w:r w:rsidR="00B143B4">
        <w:rPr>
          <w:rFonts w:ascii="Calibri" w:hAnsi="Calibri" w:cs="Calibri"/>
          <w:sz w:val="22"/>
          <w:szCs w:val="22"/>
        </w:rPr>
        <w:t xml:space="preserve">ensure </w:t>
      </w:r>
      <w:r w:rsidRPr="00F843BD">
        <w:rPr>
          <w:rFonts w:ascii="Calibri" w:hAnsi="Calibri" w:cs="Calibri"/>
          <w:sz w:val="22"/>
          <w:szCs w:val="22"/>
        </w:rPr>
        <w:t>their effectiveness, with particular attention to periods of heightened market volatility.</w:t>
      </w:r>
    </w:p>
    <w:p w14:paraId="7805D129" w14:textId="77777777" w:rsidR="00B143B4" w:rsidRPr="00F843BD" w:rsidRDefault="00B143B4" w:rsidP="00B143B4">
      <w:pPr>
        <w:pStyle w:val="a3"/>
        <w:spacing w:before="0" w:beforeAutospacing="0" w:after="0" w:afterAutospacing="0"/>
        <w:jc w:val="both"/>
        <w:rPr>
          <w:rFonts w:ascii="Calibri" w:hAnsi="Calibri" w:cs="Calibri"/>
          <w:sz w:val="22"/>
          <w:szCs w:val="22"/>
        </w:rPr>
      </w:pPr>
    </w:p>
    <w:p w14:paraId="123612D9" w14:textId="77777777" w:rsidR="00F843BD" w:rsidRDefault="00F843BD" w:rsidP="00B143B4">
      <w:pPr>
        <w:pStyle w:val="a3"/>
        <w:spacing w:before="0" w:beforeAutospacing="0" w:after="0" w:afterAutospacing="0"/>
        <w:jc w:val="both"/>
        <w:rPr>
          <w:rFonts w:ascii="Calibri" w:hAnsi="Calibri" w:cs="Calibri"/>
          <w:sz w:val="22"/>
          <w:szCs w:val="22"/>
        </w:rPr>
      </w:pPr>
      <w:r w:rsidRPr="00F843BD">
        <w:rPr>
          <w:rFonts w:ascii="Calibri" w:hAnsi="Calibri" w:cs="Calibri"/>
          <w:sz w:val="22"/>
          <w:szCs w:val="22"/>
        </w:rPr>
        <w:t>With respect to insurance fund transparency, an SFC-licensed VATP operator must disclose to clients, on a real-time basis and in a clear, accurate and non-misleading manner, the insurance fund levels available for loss absorption. In the event that the insurance fund becomes fully depleted or otherwise unavailable, the operator must promptly notify all clients holding open positions and issue a clear warning that such positions may become subject to ADL. The operator must also disclose the arrangements for funding the insurance fund and the treatment of any surplus. Furthermore, an SFC-licensed VATP operator must provide real-time information regarding the likelihood of open positions being auto-deleveraged and must issue a post-event report to all affected clients within 24 hours of the activation of ADL or any other last-resort tools.</w:t>
      </w:r>
    </w:p>
    <w:p w14:paraId="3F7DD989" w14:textId="77777777" w:rsidR="00F843BD" w:rsidRDefault="00450480" w:rsidP="00450480">
      <w:pPr>
        <w:pStyle w:val="2"/>
        <w:spacing w:before="100" w:beforeAutospacing="1" w:after="100" w:afterAutospacing="1"/>
        <w:contextualSpacing/>
        <w:rPr>
          <w:rFonts w:ascii="Calibri" w:eastAsia="Times New Roman" w:hAnsi="Calibri" w:cs="Calibri"/>
          <w:b/>
          <w:bCs/>
          <w:color w:val="auto"/>
          <w:sz w:val="22"/>
          <w:szCs w:val="22"/>
        </w:rPr>
      </w:pPr>
      <w:r>
        <w:rPr>
          <w:rFonts w:ascii="Calibri" w:eastAsia="Times New Roman" w:hAnsi="Calibri" w:cs="Calibri"/>
          <w:b/>
          <w:bCs/>
          <w:color w:val="auto"/>
          <w:sz w:val="22"/>
          <w:szCs w:val="22"/>
        </w:rPr>
        <w:t xml:space="preserve">SFC-licensed VATP Operators’ </w:t>
      </w:r>
      <w:r w:rsidR="00F843BD" w:rsidRPr="00450480">
        <w:rPr>
          <w:rFonts w:ascii="Calibri" w:eastAsia="Times New Roman" w:hAnsi="Calibri" w:cs="Calibri"/>
          <w:b/>
          <w:bCs/>
          <w:color w:val="auto"/>
          <w:sz w:val="22"/>
          <w:szCs w:val="22"/>
        </w:rPr>
        <w:t>Market Surveillance</w:t>
      </w:r>
      <w:r>
        <w:rPr>
          <w:rFonts w:ascii="Calibri" w:eastAsia="Times New Roman" w:hAnsi="Calibri" w:cs="Calibri"/>
          <w:b/>
          <w:bCs/>
          <w:color w:val="auto"/>
          <w:sz w:val="22"/>
          <w:szCs w:val="22"/>
        </w:rPr>
        <w:t xml:space="preserve"> Obligations</w:t>
      </w:r>
    </w:p>
    <w:p w14:paraId="5A0F3A47" w14:textId="77777777" w:rsidR="00F843BD" w:rsidRPr="00450480" w:rsidRDefault="00F843BD" w:rsidP="00450480">
      <w:pPr>
        <w:pStyle w:val="a3"/>
        <w:contextualSpacing/>
        <w:jc w:val="both"/>
        <w:rPr>
          <w:rFonts w:ascii="Calibri" w:hAnsi="Calibri" w:cs="Calibri"/>
          <w:sz w:val="22"/>
          <w:szCs w:val="22"/>
        </w:rPr>
      </w:pPr>
      <w:r w:rsidRPr="00450480">
        <w:rPr>
          <w:rFonts w:ascii="Calibri" w:hAnsi="Calibri" w:cs="Calibri"/>
          <w:sz w:val="22"/>
          <w:szCs w:val="22"/>
        </w:rPr>
        <w:t xml:space="preserve">An SFC-licensed VATP operator must implement surveillance systems capable of detecting trading patterns specific to </w:t>
      </w:r>
      <w:r w:rsidR="00450480">
        <w:rPr>
          <w:rFonts w:ascii="Calibri" w:hAnsi="Calibri" w:cs="Calibri"/>
          <w:sz w:val="22"/>
          <w:szCs w:val="22"/>
        </w:rPr>
        <w:t>VA P</w:t>
      </w:r>
      <w:r w:rsidRPr="00450480">
        <w:rPr>
          <w:rFonts w:ascii="Calibri" w:hAnsi="Calibri" w:cs="Calibri"/>
          <w:sz w:val="22"/>
          <w:szCs w:val="22"/>
        </w:rPr>
        <w:t>e</w:t>
      </w:r>
      <w:r w:rsidR="00450480">
        <w:rPr>
          <w:rFonts w:ascii="Calibri" w:hAnsi="Calibri" w:cs="Calibri"/>
          <w:sz w:val="22"/>
          <w:szCs w:val="22"/>
        </w:rPr>
        <w:t>rp</w:t>
      </w:r>
      <w:r w:rsidRPr="00450480">
        <w:rPr>
          <w:rFonts w:ascii="Calibri" w:hAnsi="Calibri" w:cs="Calibri"/>
          <w:sz w:val="22"/>
          <w:szCs w:val="22"/>
        </w:rPr>
        <w:t xml:space="preserve">s, including material deviations between index and mark prices, abnormal funding rate patterns, and clusters of forced liquidations. Real-time cross-market surveillance should be conducted across both spot and </w:t>
      </w:r>
      <w:r w:rsidR="00450480">
        <w:rPr>
          <w:rFonts w:ascii="Calibri" w:hAnsi="Calibri" w:cs="Calibri"/>
          <w:sz w:val="22"/>
          <w:szCs w:val="22"/>
        </w:rPr>
        <w:t xml:space="preserve">VA </w:t>
      </w:r>
      <w:r w:rsidRPr="00450480">
        <w:rPr>
          <w:rFonts w:ascii="Calibri" w:hAnsi="Calibri" w:cs="Calibri"/>
          <w:sz w:val="22"/>
          <w:szCs w:val="22"/>
        </w:rPr>
        <w:t>Perps trading. The operator is further required to implement a comprehensive business continuity and contingency plan to address abrupt or abnormal market con</w:t>
      </w:r>
      <w:r w:rsidR="00450480">
        <w:rPr>
          <w:rFonts w:ascii="Calibri" w:hAnsi="Calibri" w:cs="Calibri"/>
          <w:sz w:val="22"/>
          <w:szCs w:val="22"/>
        </w:rPr>
        <w:t>ditions, and the details of that</w:t>
      </w:r>
      <w:r w:rsidRPr="00450480">
        <w:rPr>
          <w:rFonts w:ascii="Calibri" w:hAnsi="Calibri" w:cs="Calibri"/>
          <w:sz w:val="22"/>
          <w:szCs w:val="22"/>
        </w:rPr>
        <w:t xml:space="preserve"> plan must be clearly disclosed to clients.</w:t>
      </w:r>
    </w:p>
    <w:p w14:paraId="153BAA02" w14:textId="77777777" w:rsidR="00F843BD" w:rsidRPr="00450480" w:rsidRDefault="00F843BD" w:rsidP="00450480">
      <w:pPr>
        <w:pStyle w:val="2"/>
        <w:spacing w:before="100" w:beforeAutospacing="1" w:after="100" w:afterAutospacing="1"/>
        <w:contextualSpacing/>
        <w:rPr>
          <w:rFonts w:ascii="Calibri" w:eastAsia="Times New Roman" w:hAnsi="Calibri" w:cs="Calibri"/>
          <w:b/>
          <w:bCs/>
          <w:color w:val="auto"/>
          <w:sz w:val="22"/>
          <w:szCs w:val="22"/>
        </w:rPr>
      </w:pPr>
      <w:r w:rsidRPr="00450480">
        <w:rPr>
          <w:rFonts w:ascii="Calibri" w:eastAsia="Times New Roman" w:hAnsi="Calibri" w:cs="Calibri"/>
          <w:b/>
          <w:bCs/>
          <w:color w:val="auto"/>
          <w:sz w:val="22"/>
          <w:szCs w:val="22"/>
        </w:rPr>
        <w:t>Disclosure Requirements</w:t>
      </w:r>
    </w:p>
    <w:p w14:paraId="2CF5DE01" w14:textId="77777777" w:rsidR="00F843BD" w:rsidRDefault="00F843BD" w:rsidP="00450480">
      <w:pPr>
        <w:pStyle w:val="a3"/>
        <w:spacing w:before="0" w:beforeAutospacing="0" w:after="0" w:afterAutospacing="0"/>
        <w:jc w:val="both"/>
        <w:rPr>
          <w:rFonts w:ascii="Calibri" w:hAnsi="Calibri" w:cs="Calibri"/>
          <w:sz w:val="22"/>
          <w:szCs w:val="22"/>
        </w:rPr>
      </w:pPr>
      <w:r w:rsidRPr="00450480">
        <w:rPr>
          <w:rFonts w:ascii="Calibri" w:hAnsi="Calibri" w:cs="Calibri"/>
          <w:sz w:val="22"/>
          <w:szCs w:val="22"/>
        </w:rPr>
        <w:t xml:space="preserve">To ensure transparency and support informed decision-making, an SFC-licensed VATP operator must provide clear, comprehensive and timely disclosure on its website of all material risk factors associated with </w:t>
      </w:r>
      <w:r w:rsidR="00450480">
        <w:rPr>
          <w:rFonts w:ascii="Calibri" w:hAnsi="Calibri" w:cs="Calibri"/>
          <w:sz w:val="22"/>
          <w:szCs w:val="22"/>
        </w:rPr>
        <w:t xml:space="preserve">VA </w:t>
      </w:r>
      <w:r w:rsidRPr="00450480">
        <w:rPr>
          <w:rFonts w:ascii="Calibri" w:hAnsi="Calibri" w:cs="Calibri"/>
          <w:sz w:val="22"/>
          <w:szCs w:val="22"/>
        </w:rPr>
        <w:t xml:space="preserve">Perps. </w:t>
      </w:r>
      <w:r w:rsidR="00450480">
        <w:rPr>
          <w:rFonts w:ascii="Calibri" w:hAnsi="Calibri" w:cs="Calibri"/>
          <w:sz w:val="22"/>
          <w:szCs w:val="22"/>
        </w:rPr>
        <w:t xml:space="preserve">The </w:t>
      </w:r>
      <w:r w:rsidRPr="00450480">
        <w:rPr>
          <w:rFonts w:ascii="Calibri" w:hAnsi="Calibri" w:cs="Calibri"/>
          <w:sz w:val="22"/>
          <w:szCs w:val="22"/>
        </w:rPr>
        <w:t xml:space="preserve">disclosure must explain how each risk may affect clients, including its potential impact </w:t>
      </w:r>
      <w:r w:rsidRPr="00450480">
        <w:rPr>
          <w:rFonts w:ascii="Calibri" w:hAnsi="Calibri" w:cs="Calibri"/>
          <w:sz w:val="22"/>
          <w:szCs w:val="22"/>
        </w:rPr>
        <w:lastRenderedPageBreak/>
        <w:t>on position valuation and profit and loss, in sufficient detail to enable clients to make informed investment decisions.</w:t>
      </w:r>
    </w:p>
    <w:p w14:paraId="6F528694" w14:textId="77777777" w:rsidR="00450480" w:rsidRPr="00450480" w:rsidRDefault="00450480" w:rsidP="00450480">
      <w:pPr>
        <w:pStyle w:val="a3"/>
        <w:spacing w:before="0" w:beforeAutospacing="0" w:after="0" w:afterAutospacing="0"/>
        <w:jc w:val="both"/>
        <w:rPr>
          <w:rFonts w:ascii="Calibri" w:hAnsi="Calibri" w:cs="Calibri"/>
          <w:sz w:val="22"/>
          <w:szCs w:val="22"/>
        </w:rPr>
      </w:pPr>
    </w:p>
    <w:p w14:paraId="4C01E123" w14:textId="77777777" w:rsidR="00F843BD" w:rsidRDefault="00F843BD" w:rsidP="00450480">
      <w:pPr>
        <w:pStyle w:val="a3"/>
        <w:spacing w:before="0" w:beforeAutospacing="0" w:after="0" w:afterAutospacing="0"/>
        <w:jc w:val="both"/>
        <w:rPr>
          <w:rFonts w:ascii="Calibri" w:hAnsi="Calibri" w:cs="Calibri"/>
          <w:sz w:val="22"/>
          <w:szCs w:val="22"/>
        </w:rPr>
      </w:pPr>
      <w:r w:rsidRPr="00450480">
        <w:rPr>
          <w:rFonts w:ascii="Calibri" w:hAnsi="Calibri" w:cs="Calibri"/>
          <w:sz w:val="22"/>
          <w:szCs w:val="22"/>
        </w:rPr>
        <w:t xml:space="preserve">At a minimum, the risk disclosure must explain the key characteristics of </w:t>
      </w:r>
      <w:r w:rsidR="00450480">
        <w:rPr>
          <w:rFonts w:ascii="Calibri" w:hAnsi="Calibri" w:cs="Calibri"/>
          <w:sz w:val="22"/>
          <w:szCs w:val="22"/>
        </w:rPr>
        <w:t xml:space="preserve">VA </w:t>
      </w:r>
      <w:r w:rsidRPr="00450480">
        <w:rPr>
          <w:rFonts w:ascii="Calibri" w:hAnsi="Calibri" w:cs="Calibri"/>
          <w:sz w:val="22"/>
          <w:szCs w:val="22"/>
        </w:rPr>
        <w:t xml:space="preserve">Perps and the potential consequences for clients, illustrated with hypothetical transactions and scenarios where practicable. The risks to be addressed include funding rate volatility, losses arising from funding rate payments, difficulty in closing positions owing to the absence of an expiry date and limited liquidity, potential discrepancies between calculated underlying asset prices and actual spot market prices, substantial divergence between </w:t>
      </w:r>
      <w:r w:rsidR="003A66C1">
        <w:rPr>
          <w:rFonts w:ascii="Calibri" w:hAnsi="Calibri" w:cs="Calibri"/>
          <w:sz w:val="22"/>
          <w:szCs w:val="22"/>
        </w:rPr>
        <w:t xml:space="preserve">VA </w:t>
      </w:r>
      <w:r w:rsidRPr="00450480">
        <w:rPr>
          <w:rFonts w:ascii="Calibri" w:hAnsi="Calibri" w:cs="Calibri"/>
          <w:sz w:val="22"/>
          <w:szCs w:val="22"/>
        </w:rPr>
        <w:t xml:space="preserve">Perp prices and underlying asset prices during volatile market conditions, the absence (where applicable) of an expiry date for price convergence, market volatility and price gap risk, cascading liquidations during periods of market stress, the potential unavailability of liquidity providers </w:t>
      </w:r>
      <w:r w:rsidR="003A66C1">
        <w:rPr>
          <w:rFonts w:ascii="Calibri" w:hAnsi="Calibri" w:cs="Calibri"/>
          <w:sz w:val="22"/>
          <w:szCs w:val="22"/>
        </w:rPr>
        <w:t xml:space="preserve">for position close-out </w:t>
      </w:r>
      <w:r w:rsidRPr="00450480">
        <w:rPr>
          <w:rFonts w:ascii="Calibri" w:hAnsi="Calibri" w:cs="Calibri"/>
          <w:sz w:val="22"/>
          <w:szCs w:val="22"/>
        </w:rPr>
        <w:t>during default management, forced close-out of non-de</w:t>
      </w:r>
      <w:r w:rsidR="003A66C1">
        <w:rPr>
          <w:rFonts w:ascii="Calibri" w:hAnsi="Calibri" w:cs="Calibri"/>
          <w:sz w:val="22"/>
          <w:szCs w:val="22"/>
        </w:rPr>
        <w:t>faulting clients’</w:t>
      </w:r>
      <w:r w:rsidRPr="00450480">
        <w:rPr>
          <w:rFonts w:ascii="Calibri" w:hAnsi="Calibri" w:cs="Calibri"/>
          <w:sz w:val="22"/>
          <w:szCs w:val="22"/>
        </w:rPr>
        <w:t xml:space="preserve"> positions under pre-specified loss allocation mechanisms, and the possibility of total loss of investment.</w:t>
      </w:r>
    </w:p>
    <w:p w14:paraId="7F26E1D7" w14:textId="77777777" w:rsidR="003A66C1" w:rsidRPr="00450480" w:rsidRDefault="003A66C1" w:rsidP="00450480">
      <w:pPr>
        <w:pStyle w:val="a3"/>
        <w:spacing w:before="0" w:beforeAutospacing="0" w:after="0" w:afterAutospacing="0"/>
        <w:jc w:val="both"/>
        <w:rPr>
          <w:rFonts w:ascii="Calibri" w:hAnsi="Calibri" w:cs="Calibri"/>
          <w:sz w:val="22"/>
          <w:szCs w:val="22"/>
        </w:rPr>
      </w:pPr>
    </w:p>
    <w:p w14:paraId="11B2E50D" w14:textId="77777777" w:rsidR="00F843BD" w:rsidRDefault="00F843BD" w:rsidP="00450480">
      <w:pPr>
        <w:pStyle w:val="a3"/>
        <w:spacing w:before="0" w:beforeAutospacing="0" w:after="0" w:afterAutospacing="0"/>
        <w:jc w:val="both"/>
        <w:rPr>
          <w:rFonts w:ascii="Calibri" w:hAnsi="Calibri" w:cs="Calibri"/>
          <w:sz w:val="22"/>
          <w:szCs w:val="22"/>
        </w:rPr>
      </w:pPr>
      <w:r w:rsidRPr="00450480">
        <w:rPr>
          <w:rFonts w:ascii="Calibri" w:hAnsi="Calibri" w:cs="Calibri"/>
          <w:sz w:val="22"/>
          <w:szCs w:val="22"/>
        </w:rPr>
        <w:t xml:space="preserve">An SFC-licensed VATP operator must also make available on its website, in a clear and comprehensible manner, detailed information covering trading rules, product specifications, applicable fees and any fee incentives or rebates, the methodologies for determining the underlying asset price, </w:t>
      </w:r>
      <w:r w:rsidR="003A66C1">
        <w:rPr>
          <w:rFonts w:ascii="Calibri" w:hAnsi="Calibri" w:cs="Calibri"/>
          <w:sz w:val="22"/>
          <w:szCs w:val="22"/>
        </w:rPr>
        <w:t xml:space="preserve">VA </w:t>
      </w:r>
      <w:r w:rsidRPr="00450480">
        <w:rPr>
          <w:rFonts w:ascii="Calibri" w:hAnsi="Calibri" w:cs="Calibri"/>
          <w:sz w:val="22"/>
          <w:szCs w:val="22"/>
        </w:rPr>
        <w:t xml:space="preserve">Perp price, funding rate, margining, position and collateral valuation and profit and loss, the </w:t>
      </w:r>
      <w:r w:rsidR="003A66C1">
        <w:rPr>
          <w:rFonts w:ascii="Calibri" w:hAnsi="Calibri" w:cs="Calibri"/>
          <w:sz w:val="22"/>
          <w:szCs w:val="22"/>
        </w:rPr>
        <w:t>client’</w:t>
      </w:r>
      <w:r w:rsidRPr="00450480">
        <w:rPr>
          <w:rFonts w:ascii="Calibri" w:hAnsi="Calibri" w:cs="Calibri"/>
          <w:sz w:val="22"/>
          <w:szCs w:val="22"/>
        </w:rPr>
        <w:t>s ability to select preferred leverage levels o</w:t>
      </w:r>
      <w:r w:rsidR="003A66C1">
        <w:rPr>
          <w:rFonts w:ascii="Calibri" w:hAnsi="Calibri" w:cs="Calibri"/>
          <w:sz w:val="22"/>
          <w:szCs w:val="22"/>
        </w:rPr>
        <w:t>r cross margining, the operator’</w:t>
      </w:r>
      <w:r w:rsidRPr="00450480">
        <w:rPr>
          <w:rFonts w:ascii="Calibri" w:hAnsi="Calibri" w:cs="Calibri"/>
          <w:sz w:val="22"/>
          <w:szCs w:val="22"/>
        </w:rPr>
        <w:t>s payment obligations, settlement arrangements for margin, funding rate and other payments, and default management procedures including liquidation triggers, settlement pricing for liquidated positions, loss allocation methodology, insurance fund utilisation and replenishment, and any risk mutualisation arrangements.</w:t>
      </w:r>
    </w:p>
    <w:p w14:paraId="1709E570" w14:textId="77777777" w:rsidR="003A66C1" w:rsidRPr="00450480" w:rsidRDefault="003A66C1" w:rsidP="00450480">
      <w:pPr>
        <w:pStyle w:val="a3"/>
        <w:spacing w:before="0" w:beforeAutospacing="0" w:after="0" w:afterAutospacing="0"/>
        <w:jc w:val="both"/>
        <w:rPr>
          <w:rFonts w:ascii="Calibri" w:hAnsi="Calibri" w:cs="Calibri"/>
          <w:sz w:val="22"/>
          <w:szCs w:val="22"/>
        </w:rPr>
      </w:pPr>
    </w:p>
    <w:p w14:paraId="71B3B8A0" w14:textId="77777777" w:rsidR="003A66C1" w:rsidRDefault="00F843BD" w:rsidP="00450480">
      <w:pPr>
        <w:pStyle w:val="a3"/>
        <w:spacing w:before="0" w:beforeAutospacing="0" w:after="0" w:afterAutospacing="0"/>
        <w:jc w:val="both"/>
        <w:rPr>
          <w:rFonts w:ascii="Calibri" w:hAnsi="Calibri" w:cs="Calibri"/>
          <w:sz w:val="22"/>
          <w:szCs w:val="22"/>
        </w:rPr>
      </w:pPr>
      <w:r w:rsidRPr="00450480">
        <w:rPr>
          <w:rFonts w:ascii="Calibri" w:hAnsi="Calibri" w:cs="Calibri"/>
          <w:sz w:val="22"/>
          <w:szCs w:val="22"/>
        </w:rPr>
        <w:t xml:space="preserve">Real-time disclosure of all </w:t>
      </w:r>
      <w:r w:rsidR="003A66C1">
        <w:rPr>
          <w:rFonts w:ascii="Calibri" w:hAnsi="Calibri" w:cs="Calibri"/>
          <w:sz w:val="22"/>
          <w:szCs w:val="22"/>
        </w:rPr>
        <w:t xml:space="preserve">VA </w:t>
      </w:r>
      <w:r w:rsidRPr="00450480">
        <w:rPr>
          <w:rFonts w:ascii="Calibri" w:hAnsi="Calibri" w:cs="Calibri"/>
          <w:sz w:val="22"/>
          <w:szCs w:val="22"/>
        </w:rPr>
        <w:t xml:space="preserve">Perp transactions, including those resulting from forced liquidation, must be provided across all standard display channels such as trading feeds, user interfaces and APIs. Each disclosed transaction must specify the execution time, price and size so as to ensure full transparency of trading activity. </w:t>
      </w:r>
    </w:p>
    <w:p w14:paraId="16BEC225" w14:textId="77777777" w:rsidR="003A66C1" w:rsidRDefault="003A66C1" w:rsidP="00450480">
      <w:pPr>
        <w:pStyle w:val="a3"/>
        <w:spacing w:before="0" w:beforeAutospacing="0" w:after="0" w:afterAutospacing="0"/>
        <w:jc w:val="both"/>
        <w:rPr>
          <w:rFonts w:ascii="Calibri" w:hAnsi="Calibri" w:cs="Calibri"/>
          <w:sz w:val="22"/>
          <w:szCs w:val="22"/>
        </w:rPr>
      </w:pPr>
    </w:p>
    <w:p w14:paraId="2F2ACE33" w14:textId="77777777" w:rsidR="00F843BD" w:rsidRPr="00450480" w:rsidRDefault="00F843BD" w:rsidP="00450480">
      <w:pPr>
        <w:pStyle w:val="a3"/>
        <w:spacing w:before="0" w:beforeAutospacing="0" w:after="0" w:afterAutospacing="0"/>
        <w:jc w:val="both"/>
        <w:rPr>
          <w:rFonts w:ascii="Calibri" w:hAnsi="Calibri" w:cs="Calibri"/>
          <w:sz w:val="22"/>
          <w:szCs w:val="22"/>
        </w:rPr>
      </w:pPr>
      <w:r w:rsidRPr="00450480">
        <w:rPr>
          <w:rFonts w:ascii="Calibri" w:hAnsi="Calibri" w:cs="Calibri"/>
          <w:sz w:val="22"/>
          <w:szCs w:val="22"/>
        </w:rPr>
        <w:t xml:space="preserve">Given the innovative and inherently risky characteristics of </w:t>
      </w:r>
      <w:r w:rsidR="003A66C1">
        <w:rPr>
          <w:rFonts w:ascii="Calibri" w:hAnsi="Calibri" w:cs="Calibri"/>
          <w:sz w:val="22"/>
          <w:szCs w:val="22"/>
        </w:rPr>
        <w:t xml:space="preserve">VA </w:t>
      </w:r>
      <w:r w:rsidRPr="00450480">
        <w:rPr>
          <w:rFonts w:ascii="Calibri" w:hAnsi="Calibri" w:cs="Calibri"/>
          <w:sz w:val="22"/>
          <w:szCs w:val="22"/>
        </w:rPr>
        <w:t>Perps, an SFC-licensed VATP operator is expected to allocate adequate resources to client education, the handling of client enquiries and the effective management of client complaints.</w:t>
      </w:r>
    </w:p>
    <w:p w14:paraId="18353C51" w14:textId="77777777" w:rsidR="00F843BD" w:rsidRDefault="00F843BD" w:rsidP="00450480">
      <w:pPr>
        <w:pStyle w:val="2"/>
        <w:spacing w:before="0" w:line="240" w:lineRule="auto"/>
        <w:jc w:val="both"/>
        <w:rPr>
          <w:rFonts w:ascii="Calibri" w:hAnsi="Calibri" w:cs="Calibri"/>
          <w:sz w:val="22"/>
          <w:szCs w:val="22"/>
        </w:rPr>
      </w:pPr>
    </w:p>
    <w:p w14:paraId="4D57B555" w14:textId="77777777" w:rsidR="00F843BD" w:rsidRPr="00450480" w:rsidRDefault="00F843BD" w:rsidP="00450480">
      <w:pPr>
        <w:pStyle w:val="a3"/>
        <w:spacing w:before="0" w:beforeAutospacing="0" w:after="0" w:afterAutospacing="0"/>
        <w:jc w:val="both"/>
        <w:rPr>
          <w:rFonts w:ascii="Calibri" w:hAnsi="Calibri" w:cs="Calibri"/>
          <w:sz w:val="22"/>
          <w:szCs w:val="22"/>
        </w:rPr>
      </w:pPr>
      <w:r w:rsidRPr="00450480">
        <w:rPr>
          <w:rFonts w:ascii="Calibri" w:hAnsi="Calibri" w:cs="Calibri"/>
          <w:sz w:val="22"/>
          <w:szCs w:val="22"/>
        </w:rPr>
        <w:t xml:space="preserve">SFC-licensed VATP operators are encouraged to discuss their proposed </w:t>
      </w:r>
      <w:r w:rsidR="003A66C1">
        <w:rPr>
          <w:rFonts w:ascii="Calibri" w:hAnsi="Calibri" w:cs="Calibri"/>
          <w:sz w:val="22"/>
          <w:szCs w:val="22"/>
        </w:rPr>
        <w:t xml:space="preserve">VA </w:t>
      </w:r>
      <w:r w:rsidRPr="00450480">
        <w:rPr>
          <w:rFonts w:ascii="Calibri" w:hAnsi="Calibri" w:cs="Calibri"/>
          <w:sz w:val="22"/>
          <w:szCs w:val="22"/>
        </w:rPr>
        <w:t xml:space="preserve">Perp structures with the SFC. The principles set out in the </w:t>
      </w:r>
      <w:r w:rsidR="003A66C1">
        <w:rPr>
          <w:rFonts w:ascii="Calibri" w:hAnsi="Calibri" w:cs="Calibri"/>
          <w:sz w:val="22"/>
          <w:szCs w:val="22"/>
        </w:rPr>
        <w:t>circular represent the SFC’</w:t>
      </w:r>
      <w:r w:rsidRPr="00450480">
        <w:rPr>
          <w:rFonts w:ascii="Calibri" w:hAnsi="Calibri" w:cs="Calibri"/>
          <w:sz w:val="22"/>
          <w:szCs w:val="22"/>
        </w:rPr>
        <w:t xml:space="preserve">s initial approach to regulating </w:t>
      </w:r>
      <w:r w:rsidR="003A66C1">
        <w:rPr>
          <w:rFonts w:ascii="Calibri" w:hAnsi="Calibri" w:cs="Calibri"/>
          <w:sz w:val="22"/>
          <w:szCs w:val="22"/>
        </w:rPr>
        <w:t xml:space="preserve">VA </w:t>
      </w:r>
      <w:r w:rsidRPr="00450480">
        <w:rPr>
          <w:rFonts w:ascii="Calibri" w:hAnsi="Calibri" w:cs="Calibri"/>
          <w:sz w:val="22"/>
          <w:szCs w:val="22"/>
        </w:rPr>
        <w:t xml:space="preserve">Perp offerings and may be refined or expanded as products evolve and market conditions change. The SFC may issue further guidance to the industry following its consideration of proposals received from </w:t>
      </w:r>
      <w:r w:rsidR="00CA2FA5" w:rsidRPr="00450480">
        <w:rPr>
          <w:rFonts w:ascii="Calibri" w:hAnsi="Calibri" w:cs="Calibri"/>
          <w:sz w:val="22"/>
          <w:szCs w:val="22"/>
        </w:rPr>
        <w:t xml:space="preserve">SFC-licensed VATP </w:t>
      </w:r>
      <w:r w:rsidRPr="00450480">
        <w:rPr>
          <w:rFonts w:ascii="Calibri" w:hAnsi="Calibri" w:cs="Calibri"/>
          <w:sz w:val="22"/>
          <w:szCs w:val="22"/>
        </w:rPr>
        <w:t>operators.</w:t>
      </w:r>
    </w:p>
    <w:p w14:paraId="38D469C7" w14:textId="77777777" w:rsidR="001A0266" w:rsidRDefault="001A0266" w:rsidP="00450480">
      <w:pPr>
        <w:spacing w:after="0" w:line="240" w:lineRule="auto"/>
        <w:jc w:val="both"/>
        <w:rPr>
          <w:rFonts w:ascii="Calibri" w:eastAsia="Times New Roman" w:hAnsi="Calibri" w:cs="Calibri"/>
        </w:rPr>
      </w:pPr>
    </w:p>
    <w:p w14:paraId="75700D4C" w14:textId="77777777" w:rsidR="00DD7655" w:rsidRDefault="00DD7655" w:rsidP="00450480">
      <w:pPr>
        <w:spacing w:after="0" w:line="240" w:lineRule="auto"/>
        <w:jc w:val="both"/>
        <w:rPr>
          <w:rFonts w:ascii="Calibri" w:eastAsia="Times New Roman" w:hAnsi="Calibri" w:cs="Calibri"/>
          <w:lang w:val="ru-RU"/>
        </w:rPr>
      </w:pPr>
    </w:p>
    <w:p w14:paraId="7EA7FED2" w14:textId="77777777" w:rsidR="00DB71E1" w:rsidRDefault="00DB71E1" w:rsidP="00450480">
      <w:pPr>
        <w:spacing w:after="0" w:line="240" w:lineRule="auto"/>
        <w:jc w:val="both"/>
        <w:rPr>
          <w:rFonts w:ascii="Calibri" w:eastAsia="Times New Roman" w:hAnsi="Calibri" w:cs="Calibri"/>
          <w:lang w:val="ru-RU"/>
        </w:rPr>
      </w:pPr>
    </w:p>
    <w:p w14:paraId="0F0233D5" w14:textId="77777777" w:rsidR="00DB71E1" w:rsidRDefault="00DB71E1" w:rsidP="00450480">
      <w:pPr>
        <w:spacing w:after="0" w:line="240" w:lineRule="auto"/>
        <w:jc w:val="both"/>
        <w:rPr>
          <w:rFonts w:ascii="Calibri" w:eastAsia="Times New Roman" w:hAnsi="Calibri" w:cs="Calibri"/>
          <w:lang w:val="ru-RU"/>
        </w:rPr>
      </w:pPr>
    </w:p>
    <w:p w14:paraId="11C496E0" w14:textId="77777777" w:rsidR="00DB71E1" w:rsidRDefault="00DB71E1" w:rsidP="00450480">
      <w:pPr>
        <w:spacing w:after="0" w:line="240" w:lineRule="auto"/>
        <w:jc w:val="both"/>
        <w:rPr>
          <w:rFonts w:ascii="Calibri" w:eastAsia="Times New Roman" w:hAnsi="Calibri" w:cs="Calibri"/>
          <w:lang w:val="ru-RU"/>
        </w:rPr>
      </w:pPr>
    </w:p>
    <w:p w14:paraId="5CA42EE7" w14:textId="77777777" w:rsidR="00DB71E1" w:rsidRDefault="00DB71E1" w:rsidP="00450480">
      <w:pPr>
        <w:spacing w:after="0" w:line="240" w:lineRule="auto"/>
        <w:jc w:val="both"/>
        <w:rPr>
          <w:rFonts w:ascii="Calibri" w:eastAsia="Times New Roman" w:hAnsi="Calibri" w:cs="Calibri"/>
          <w:lang w:val="ru-RU"/>
        </w:rPr>
      </w:pPr>
    </w:p>
    <w:p w14:paraId="50822883" w14:textId="77777777" w:rsidR="00DB71E1" w:rsidRPr="00DB71E1" w:rsidRDefault="00DB71E1" w:rsidP="00450480">
      <w:pPr>
        <w:spacing w:after="0" w:line="240" w:lineRule="auto"/>
        <w:jc w:val="both"/>
        <w:rPr>
          <w:rFonts w:ascii="Calibri" w:eastAsia="Times New Roman" w:hAnsi="Calibri" w:cs="Calibri"/>
          <w:lang w:val="ru-RU"/>
        </w:rPr>
      </w:pPr>
    </w:p>
    <w:p w14:paraId="30E0453F" w14:textId="77777777" w:rsidR="00DD7655" w:rsidRDefault="00DD7655" w:rsidP="00450480">
      <w:pPr>
        <w:spacing w:after="0" w:line="240" w:lineRule="auto"/>
        <w:jc w:val="both"/>
        <w:rPr>
          <w:rFonts w:ascii="Calibri" w:eastAsia="Times New Roman" w:hAnsi="Calibri" w:cs="Calibri"/>
        </w:rPr>
      </w:pPr>
    </w:p>
    <w:p w14:paraId="2BAA09C2" w14:textId="77777777" w:rsidR="00DD7655" w:rsidRDefault="00DD7655" w:rsidP="00450480">
      <w:pPr>
        <w:spacing w:after="0" w:line="240" w:lineRule="auto"/>
        <w:jc w:val="both"/>
        <w:rPr>
          <w:rFonts w:ascii="Calibri" w:eastAsia="Times New Roman" w:hAnsi="Calibri" w:cs="Calibri"/>
        </w:rPr>
      </w:pPr>
    </w:p>
    <w:p w14:paraId="3776C525" w14:textId="77777777" w:rsidR="00DD7655" w:rsidRDefault="00DD7655" w:rsidP="00450480">
      <w:pPr>
        <w:spacing w:after="0" w:line="240" w:lineRule="auto"/>
        <w:jc w:val="both"/>
        <w:rPr>
          <w:rFonts w:ascii="Calibri" w:eastAsia="Times New Roman" w:hAnsi="Calibri" w:cs="Calibri"/>
        </w:rPr>
      </w:pPr>
    </w:p>
    <w:p w14:paraId="436C73A3" w14:textId="77777777" w:rsidR="00DD7655" w:rsidRDefault="00DD7655" w:rsidP="00DD7655">
      <w:pPr>
        <w:pStyle w:val="DisclaimerBold"/>
      </w:pPr>
      <w:r>
        <w:lastRenderedPageBreak/>
        <w:t>This newsletter is for information purposes only.</w:t>
      </w:r>
    </w:p>
    <w:p w14:paraId="329D19D2" w14:textId="77777777" w:rsidR="00DD7655" w:rsidRDefault="00DD7655" w:rsidP="00DD7655">
      <w:pPr>
        <w:pStyle w:val="Disclaimer"/>
      </w:pPr>
      <w:r>
        <w:t xml:space="preserve">Its contents do not constitute legal advice and it </w:t>
      </w:r>
      <w:proofErr w:type="gramStart"/>
      <w:r>
        <w:t>should  not</w:t>
      </w:r>
      <w:proofErr w:type="gramEnd"/>
      <w:r>
        <w:t xml:space="preserve"> be regarded as a substitute for detailed </w:t>
      </w:r>
      <w:proofErr w:type="gramStart"/>
      <w:r>
        <w:t>advice  in</w:t>
      </w:r>
      <w:proofErr w:type="gramEnd"/>
      <w:r>
        <w:t xml:space="preserve"> individual cases.</w:t>
      </w:r>
    </w:p>
    <w:p w14:paraId="4FF44C74" w14:textId="77777777" w:rsidR="00DD7655" w:rsidRDefault="00DD7655" w:rsidP="00DD7655">
      <w:pPr>
        <w:pStyle w:val="Disclaimer"/>
      </w:pPr>
      <w:r>
        <w:t xml:space="preserve">Transmission of this information is not intended to create and receipt does not constitute a lawyer-client relationship between </w:t>
      </w:r>
      <w:proofErr w:type="spellStart"/>
      <w:r>
        <w:t>Charltons</w:t>
      </w:r>
      <w:proofErr w:type="spellEnd"/>
      <w:r>
        <w:t xml:space="preserve"> and the user or browser.</w:t>
      </w:r>
    </w:p>
    <w:p w14:paraId="6A25DCB3" w14:textId="77777777" w:rsidR="00DD7655" w:rsidRDefault="00DD7655" w:rsidP="00DD7655">
      <w:pPr>
        <w:pStyle w:val="Disclaimer"/>
      </w:pPr>
      <w:proofErr w:type="spellStart"/>
      <w:r>
        <w:t>Charltons</w:t>
      </w:r>
      <w:proofErr w:type="spellEnd"/>
      <w:r>
        <w:t xml:space="preserve"> is not responsible for any third party content which can be accessed through the website.</w:t>
      </w:r>
    </w:p>
    <w:p w14:paraId="4990A1B5" w14:textId="77777777" w:rsidR="00DD7655" w:rsidRDefault="00DD7655" w:rsidP="00DD7655">
      <w:pPr>
        <w:pStyle w:val="Disclaimer"/>
      </w:pPr>
      <w:r>
        <w:t xml:space="preserve">If you do not wish to receive this newsletter please let us know by emailing us at  </w:t>
      </w:r>
      <w:hyperlink r:id="rId12">
        <w:r>
          <w:t>unsubscribe@charltonslaw.com</w:t>
        </w:r>
      </w:hyperlink>
    </w:p>
    <w:p w14:paraId="47EAC059" w14:textId="5B052BD4" w:rsidR="00A57542" w:rsidRPr="00DD7655" w:rsidRDefault="00DD7655" w:rsidP="00DD7655">
      <w:pPr>
        <w:pStyle w:val="BlackStrips"/>
      </w:pPr>
      <w:proofErr w:type="spellStart"/>
      <w:r>
        <w:t>Charltons</w:t>
      </w:r>
      <w:proofErr w:type="spellEnd"/>
      <w:r>
        <w:t xml:space="preserve"> - Hong Kong Law - 16 February 2026</w:t>
      </w:r>
    </w:p>
    <w:sectPr w:rsidR="00A57542" w:rsidRPr="00DD76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6555"/>
    <w:multiLevelType w:val="hybridMultilevel"/>
    <w:tmpl w:val="7EF862C8"/>
    <w:lvl w:ilvl="0" w:tplc="95BA7B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D0141"/>
    <w:multiLevelType w:val="hybridMultilevel"/>
    <w:tmpl w:val="A0149102"/>
    <w:lvl w:ilvl="0" w:tplc="95BA7BB2">
      <w:start w:val="1"/>
      <w:numFmt w:val="bullet"/>
      <w:lvlText w:val="•"/>
      <w:lvlJc w:val="left"/>
      <w:pPr>
        <w:ind w:left="769" w:hanging="360"/>
      </w:pPr>
      <w:rPr>
        <w:rFonts w:ascii="Times New Roman" w:hAnsi="Times New Roman" w:cs="Times New Roman"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 w15:restartNumberingAfterBreak="0">
    <w:nsid w:val="0E9A631C"/>
    <w:multiLevelType w:val="multilevel"/>
    <w:tmpl w:val="C3D8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87B99"/>
    <w:multiLevelType w:val="multilevel"/>
    <w:tmpl w:val="F87A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007F9"/>
    <w:multiLevelType w:val="multilevel"/>
    <w:tmpl w:val="0CD4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E576C"/>
    <w:multiLevelType w:val="multilevel"/>
    <w:tmpl w:val="0A18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F03F94"/>
    <w:multiLevelType w:val="multilevel"/>
    <w:tmpl w:val="945CF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B103B6"/>
    <w:multiLevelType w:val="multilevel"/>
    <w:tmpl w:val="217C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39055D"/>
    <w:multiLevelType w:val="multilevel"/>
    <w:tmpl w:val="C378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CE3C2B"/>
    <w:multiLevelType w:val="hybridMultilevel"/>
    <w:tmpl w:val="19AAECD6"/>
    <w:lvl w:ilvl="0" w:tplc="6D3885DC">
      <w:start w:val="1"/>
      <w:numFmt w:val="lowerRoman"/>
      <w:lvlText w:val="(%1)"/>
      <w:lvlJc w:val="left"/>
      <w:pPr>
        <w:ind w:left="72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DF155F"/>
    <w:multiLevelType w:val="multilevel"/>
    <w:tmpl w:val="4956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E049FB"/>
    <w:multiLevelType w:val="multilevel"/>
    <w:tmpl w:val="EC94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0169FD"/>
    <w:multiLevelType w:val="multilevel"/>
    <w:tmpl w:val="CB3E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576459"/>
    <w:multiLevelType w:val="hybridMultilevel"/>
    <w:tmpl w:val="6AAE10E8"/>
    <w:lvl w:ilvl="0" w:tplc="95BA7BB2">
      <w:start w:val="1"/>
      <w:numFmt w:val="bullet"/>
      <w:lvlText w:val="•"/>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8A79A5"/>
    <w:multiLevelType w:val="hybridMultilevel"/>
    <w:tmpl w:val="171004CA"/>
    <w:lvl w:ilvl="0" w:tplc="95BA7B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C54FEA"/>
    <w:multiLevelType w:val="hybridMultilevel"/>
    <w:tmpl w:val="8D2AF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680691">
    <w:abstractNumId w:val="6"/>
  </w:num>
  <w:num w:numId="2" w16cid:durableId="2132477923">
    <w:abstractNumId w:val="10"/>
  </w:num>
  <w:num w:numId="3" w16cid:durableId="1924948893">
    <w:abstractNumId w:val="3"/>
  </w:num>
  <w:num w:numId="4" w16cid:durableId="1515993984">
    <w:abstractNumId w:val="11"/>
  </w:num>
  <w:num w:numId="5" w16cid:durableId="331303901">
    <w:abstractNumId w:val="8"/>
  </w:num>
  <w:num w:numId="6" w16cid:durableId="312028067">
    <w:abstractNumId w:val="13"/>
  </w:num>
  <w:num w:numId="7" w16cid:durableId="1412969497">
    <w:abstractNumId w:val="7"/>
  </w:num>
  <w:num w:numId="8" w16cid:durableId="204295730">
    <w:abstractNumId w:val="15"/>
  </w:num>
  <w:num w:numId="9" w16cid:durableId="182935266">
    <w:abstractNumId w:val="9"/>
  </w:num>
  <w:num w:numId="10" w16cid:durableId="172647396">
    <w:abstractNumId w:val="5"/>
  </w:num>
  <w:num w:numId="11" w16cid:durableId="1000543460">
    <w:abstractNumId w:val="2"/>
  </w:num>
  <w:num w:numId="12" w16cid:durableId="710619938">
    <w:abstractNumId w:val="4"/>
  </w:num>
  <w:num w:numId="13" w16cid:durableId="536116931">
    <w:abstractNumId w:val="12"/>
  </w:num>
  <w:num w:numId="14" w16cid:durableId="761560619">
    <w:abstractNumId w:val="14"/>
  </w:num>
  <w:num w:numId="15" w16cid:durableId="128254675">
    <w:abstractNumId w:val="1"/>
  </w:num>
  <w:num w:numId="16" w16cid:durableId="549995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2B3"/>
    <w:rsid w:val="000020BC"/>
    <w:rsid w:val="000B2CB7"/>
    <w:rsid w:val="000C47B8"/>
    <w:rsid w:val="000F2CDA"/>
    <w:rsid w:val="00175859"/>
    <w:rsid w:val="001820D8"/>
    <w:rsid w:val="001A0266"/>
    <w:rsid w:val="001C589E"/>
    <w:rsid w:val="002801FC"/>
    <w:rsid w:val="0028208B"/>
    <w:rsid w:val="002C1FF5"/>
    <w:rsid w:val="002E11F5"/>
    <w:rsid w:val="0030340F"/>
    <w:rsid w:val="003473A3"/>
    <w:rsid w:val="0038437E"/>
    <w:rsid w:val="00385E40"/>
    <w:rsid w:val="003872B3"/>
    <w:rsid w:val="00391E96"/>
    <w:rsid w:val="003A66C1"/>
    <w:rsid w:val="003B2F3F"/>
    <w:rsid w:val="0041174E"/>
    <w:rsid w:val="00450480"/>
    <w:rsid w:val="0050535B"/>
    <w:rsid w:val="005261BF"/>
    <w:rsid w:val="00570641"/>
    <w:rsid w:val="005A7744"/>
    <w:rsid w:val="005B4129"/>
    <w:rsid w:val="005C1B88"/>
    <w:rsid w:val="00606BC0"/>
    <w:rsid w:val="006208EF"/>
    <w:rsid w:val="006C1AC9"/>
    <w:rsid w:val="006D4C8B"/>
    <w:rsid w:val="007311A7"/>
    <w:rsid w:val="00771B3F"/>
    <w:rsid w:val="00775059"/>
    <w:rsid w:val="007A42B9"/>
    <w:rsid w:val="0082772D"/>
    <w:rsid w:val="00842CD7"/>
    <w:rsid w:val="008A6B9B"/>
    <w:rsid w:val="008B0A4D"/>
    <w:rsid w:val="008B4B53"/>
    <w:rsid w:val="008C1F88"/>
    <w:rsid w:val="008D44AC"/>
    <w:rsid w:val="008D544C"/>
    <w:rsid w:val="008F11F7"/>
    <w:rsid w:val="008F61B5"/>
    <w:rsid w:val="00947206"/>
    <w:rsid w:val="009C48BD"/>
    <w:rsid w:val="00A57542"/>
    <w:rsid w:val="00A76923"/>
    <w:rsid w:val="00A96FF3"/>
    <w:rsid w:val="00AA1D06"/>
    <w:rsid w:val="00AD7069"/>
    <w:rsid w:val="00AE7F8C"/>
    <w:rsid w:val="00B143B4"/>
    <w:rsid w:val="00B203D4"/>
    <w:rsid w:val="00B3720A"/>
    <w:rsid w:val="00B43B96"/>
    <w:rsid w:val="00B91883"/>
    <w:rsid w:val="00BF0C8F"/>
    <w:rsid w:val="00BF7456"/>
    <w:rsid w:val="00C02680"/>
    <w:rsid w:val="00C10A5D"/>
    <w:rsid w:val="00C54B70"/>
    <w:rsid w:val="00C705B5"/>
    <w:rsid w:val="00C863B3"/>
    <w:rsid w:val="00CA2FA5"/>
    <w:rsid w:val="00CB1558"/>
    <w:rsid w:val="00CB466E"/>
    <w:rsid w:val="00D0364E"/>
    <w:rsid w:val="00D11734"/>
    <w:rsid w:val="00D41172"/>
    <w:rsid w:val="00D423DF"/>
    <w:rsid w:val="00DB71E1"/>
    <w:rsid w:val="00DD7655"/>
    <w:rsid w:val="00E22894"/>
    <w:rsid w:val="00E518F3"/>
    <w:rsid w:val="00E55330"/>
    <w:rsid w:val="00E80F71"/>
    <w:rsid w:val="00EA490B"/>
    <w:rsid w:val="00EB7A15"/>
    <w:rsid w:val="00EF46D5"/>
    <w:rsid w:val="00F1472B"/>
    <w:rsid w:val="00F213E3"/>
    <w:rsid w:val="00F54B4E"/>
    <w:rsid w:val="00F75290"/>
    <w:rsid w:val="00F843BD"/>
    <w:rsid w:val="00FE5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146CC"/>
  <w15:chartTrackingRefBased/>
  <w15:docId w15:val="{271C795B-D1F9-4BC8-8F41-15C4883D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D036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8D44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8B0A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D44AC"/>
    <w:rPr>
      <w:rFonts w:ascii="Times New Roman" w:eastAsia="Times New Roman" w:hAnsi="Times New Roman" w:cs="Times New Roman"/>
      <w:b/>
      <w:bCs/>
      <w:sz w:val="27"/>
      <w:szCs w:val="27"/>
    </w:rPr>
  </w:style>
  <w:style w:type="paragraph" w:styleId="a3">
    <w:name w:val="Normal (Web)"/>
    <w:basedOn w:val="a"/>
    <w:uiPriority w:val="99"/>
    <w:unhideWhenUsed/>
    <w:rsid w:val="008D44A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D44AC"/>
    <w:rPr>
      <w:b/>
      <w:bCs/>
    </w:rPr>
  </w:style>
  <w:style w:type="character" w:styleId="a5">
    <w:name w:val="Hyperlink"/>
    <w:basedOn w:val="a0"/>
    <w:uiPriority w:val="99"/>
    <w:unhideWhenUsed/>
    <w:rsid w:val="00CB466E"/>
    <w:rPr>
      <w:color w:val="0563C1" w:themeColor="hyperlink"/>
      <w:u w:val="single"/>
    </w:rPr>
  </w:style>
  <w:style w:type="paragraph" w:styleId="a6">
    <w:name w:val="List Paragraph"/>
    <w:basedOn w:val="a"/>
    <w:uiPriority w:val="34"/>
    <w:qFormat/>
    <w:rsid w:val="00AA1D06"/>
    <w:pPr>
      <w:ind w:left="720"/>
      <w:contextualSpacing/>
    </w:pPr>
  </w:style>
  <w:style w:type="character" w:customStyle="1" w:styleId="20">
    <w:name w:val="Заголовок 2 Знак"/>
    <w:basedOn w:val="a0"/>
    <w:link w:val="2"/>
    <w:uiPriority w:val="9"/>
    <w:semiHidden/>
    <w:rsid w:val="00D0364E"/>
    <w:rPr>
      <w:rFonts w:asciiTheme="majorHAnsi" w:eastAsiaTheme="majorEastAsia" w:hAnsiTheme="majorHAnsi" w:cstheme="majorBidi"/>
      <w:color w:val="2E74B5" w:themeColor="accent1" w:themeShade="BF"/>
      <w:sz w:val="26"/>
      <w:szCs w:val="26"/>
    </w:rPr>
  </w:style>
  <w:style w:type="character" w:customStyle="1" w:styleId="messagemessagemetadatatextfxy5">
    <w:name w:val="message_messagemetadatatext__fxy5_"/>
    <w:basedOn w:val="a0"/>
    <w:rsid w:val="00F843BD"/>
  </w:style>
  <w:style w:type="table" w:styleId="a7">
    <w:name w:val="Table Grid"/>
    <w:basedOn w:val="a1"/>
    <w:uiPriority w:val="39"/>
    <w:rsid w:val="001C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8B0A4D"/>
    <w:rPr>
      <w:rFonts w:asciiTheme="majorHAnsi" w:eastAsiaTheme="majorEastAsia" w:hAnsiTheme="majorHAnsi" w:cstheme="majorBidi"/>
      <w:i/>
      <w:iCs/>
      <w:color w:val="2E74B5" w:themeColor="accent1" w:themeShade="BF"/>
    </w:rPr>
  </w:style>
  <w:style w:type="character" w:styleId="a8">
    <w:name w:val="FollowedHyperlink"/>
    <w:basedOn w:val="a0"/>
    <w:uiPriority w:val="99"/>
    <w:semiHidden/>
    <w:unhideWhenUsed/>
    <w:rsid w:val="0028208B"/>
    <w:rPr>
      <w:color w:val="954F72" w:themeColor="followedHyperlink"/>
      <w:u w:val="single"/>
    </w:rPr>
  </w:style>
  <w:style w:type="paragraph" w:customStyle="1" w:styleId="BlackStrips">
    <w:name w:val="Black Strips"/>
    <w:basedOn w:val="a"/>
    <w:qFormat/>
    <w:rsid w:val="001820D8"/>
    <w:pPr>
      <w:shd w:val="clear" w:color="auto" w:fill="000000"/>
      <w:spacing w:after="200" w:line="240" w:lineRule="auto"/>
      <w:jc w:val="center"/>
    </w:pPr>
    <w:rPr>
      <w:color w:val="FFFFFF"/>
      <w:sz w:val="24"/>
      <w:szCs w:val="24"/>
    </w:rPr>
  </w:style>
  <w:style w:type="paragraph" w:customStyle="1" w:styleId="ReadOnline">
    <w:name w:val="Read Online"/>
    <w:basedOn w:val="a"/>
    <w:qFormat/>
    <w:rsid w:val="001820D8"/>
    <w:pPr>
      <w:spacing w:after="200" w:line="240" w:lineRule="auto"/>
      <w:jc w:val="center"/>
    </w:pPr>
    <w:rPr>
      <w:color w:val="00000A"/>
      <w:sz w:val="28"/>
      <w:szCs w:val="24"/>
      <w:u w:val="single"/>
    </w:rPr>
  </w:style>
  <w:style w:type="paragraph" w:customStyle="1" w:styleId="Disclaimer">
    <w:name w:val="Disclaimer"/>
    <w:basedOn w:val="a"/>
    <w:qFormat/>
    <w:rsid w:val="00DD7655"/>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color w:val="00000A"/>
      <w:sz w:val="24"/>
      <w:szCs w:val="24"/>
    </w:rPr>
  </w:style>
  <w:style w:type="paragraph" w:customStyle="1" w:styleId="DisclaimerBold">
    <w:name w:val="Disclaimer Bold"/>
    <w:basedOn w:val="Disclaimer"/>
    <w:qFormat/>
    <w:rsid w:val="00DD7655"/>
    <w:pPr>
      <w:jc w:val="lef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66244">
      <w:bodyDiv w:val="1"/>
      <w:marLeft w:val="0"/>
      <w:marRight w:val="0"/>
      <w:marTop w:val="0"/>
      <w:marBottom w:val="0"/>
      <w:divBdr>
        <w:top w:val="none" w:sz="0" w:space="0" w:color="auto"/>
        <w:left w:val="none" w:sz="0" w:space="0" w:color="auto"/>
        <w:bottom w:val="none" w:sz="0" w:space="0" w:color="auto"/>
        <w:right w:val="none" w:sz="0" w:space="0" w:color="auto"/>
      </w:divBdr>
    </w:div>
    <w:div w:id="253707529">
      <w:bodyDiv w:val="1"/>
      <w:marLeft w:val="0"/>
      <w:marRight w:val="0"/>
      <w:marTop w:val="0"/>
      <w:marBottom w:val="0"/>
      <w:divBdr>
        <w:top w:val="none" w:sz="0" w:space="0" w:color="auto"/>
        <w:left w:val="none" w:sz="0" w:space="0" w:color="auto"/>
        <w:bottom w:val="none" w:sz="0" w:space="0" w:color="auto"/>
        <w:right w:val="none" w:sz="0" w:space="0" w:color="auto"/>
      </w:divBdr>
    </w:div>
    <w:div w:id="301157530">
      <w:bodyDiv w:val="1"/>
      <w:marLeft w:val="0"/>
      <w:marRight w:val="0"/>
      <w:marTop w:val="0"/>
      <w:marBottom w:val="0"/>
      <w:divBdr>
        <w:top w:val="none" w:sz="0" w:space="0" w:color="auto"/>
        <w:left w:val="none" w:sz="0" w:space="0" w:color="auto"/>
        <w:bottom w:val="none" w:sz="0" w:space="0" w:color="auto"/>
        <w:right w:val="none" w:sz="0" w:space="0" w:color="auto"/>
      </w:divBdr>
    </w:div>
    <w:div w:id="464390098">
      <w:bodyDiv w:val="1"/>
      <w:marLeft w:val="0"/>
      <w:marRight w:val="0"/>
      <w:marTop w:val="0"/>
      <w:marBottom w:val="0"/>
      <w:divBdr>
        <w:top w:val="none" w:sz="0" w:space="0" w:color="auto"/>
        <w:left w:val="none" w:sz="0" w:space="0" w:color="auto"/>
        <w:bottom w:val="none" w:sz="0" w:space="0" w:color="auto"/>
        <w:right w:val="none" w:sz="0" w:space="0" w:color="auto"/>
      </w:divBdr>
    </w:div>
    <w:div w:id="694311253">
      <w:bodyDiv w:val="1"/>
      <w:marLeft w:val="0"/>
      <w:marRight w:val="0"/>
      <w:marTop w:val="0"/>
      <w:marBottom w:val="0"/>
      <w:divBdr>
        <w:top w:val="none" w:sz="0" w:space="0" w:color="auto"/>
        <w:left w:val="none" w:sz="0" w:space="0" w:color="auto"/>
        <w:bottom w:val="none" w:sz="0" w:space="0" w:color="auto"/>
        <w:right w:val="none" w:sz="0" w:space="0" w:color="auto"/>
      </w:divBdr>
    </w:div>
    <w:div w:id="730929089">
      <w:bodyDiv w:val="1"/>
      <w:marLeft w:val="0"/>
      <w:marRight w:val="0"/>
      <w:marTop w:val="0"/>
      <w:marBottom w:val="0"/>
      <w:divBdr>
        <w:top w:val="none" w:sz="0" w:space="0" w:color="auto"/>
        <w:left w:val="none" w:sz="0" w:space="0" w:color="auto"/>
        <w:bottom w:val="none" w:sz="0" w:space="0" w:color="auto"/>
        <w:right w:val="none" w:sz="0" w:space="0" w:color="auto"/>
      </w:divBdr>
    </w:div>
    <w:div w:id="834608951">
      <w:bodyDiv w:val="1"/>
      <w:marLeft w:val="0"/>
      <w:marRight w:val="0"/>
      <w:marTop w:val="0"/>
      <w:marBottom w:val="0"/>
      <w:divBdr>
        <w:top w:val="none" w:sz="0" w:space="0" w:color="auto"/>
        <w:left w:val="none" w:sz="0" w:space="0" w:color="auto"/>
        <w:bottom w:val="none" w:sz="0" w:space="0" w:color="auto"/>
        <w:right w:val="none" w:sz="0" w:space="0" w:color="auto"/>
      </w:divBdr>
    </w:div>
    <w:div w:id="984237586">
      <w:bodyDiv w:val="1"/>
      <w:marLeft w:val="0"/>
      <w:marRight w:val="0"/>
      <w:marTop w:val="0"/>
      <w:marBottom w:val="0"/>
      <w:divBdr>
        <w:top w:val="none" w:sz="0" w:space="0" w:color="auto"/>
        <w:left w:val="none" w:sz="0" w:space="0" w:color="auto"/>
        <w:bottom w:val="none" w:sz="0" w:space="0" w:color="auto"/>
        <w:right w:val="none" w:sz="0" w:space="0" w:color="auto"/>
      </w:divBdr>
    </w:div>
    <w:div w:id="1043792881">
      <w:bodyDiv w:val="1"/>
      <w:marLeft w:val="0"/>
      <w:marRight w:val="0"/>
      <w:marTop w:val="0"/>
      <w:marBottom w:val="0"/>
      <w:divBdr>
        <w:top w:val="none" w:sz="0" w:space="0" w:color="auto"/>
        <w:left w:val="none" w:sz="0" w:space="0" w:color="auto"/>
        <w:bottom w:val="none" w:sz="0" w:space="0" w:color="auto"/>
        <w:right w:val="none" w:sz="0" w:space="0" w:color="auto"/>
      </w:divBdr>
    </w:div>
    <w:div w:id="1059329593">
      <w:bodyDiv w:val="1"/>
      <w:marLeft w:val="0"/>
      <w:marRight w:val="0"/>
      <w:marTop w:val="0"/>
      <w:marBottom w:val="0"/>
      <w:divBdr>
        <w:top w:val="none" w:sz="0" w:space="0" w:color="auto"/>
        <w:left w:val="none" w:sz="0" w:space="0" w:color="auto"/>
        <w:bottom w:val="none" w:sz="0" w:space="0" w:color="auto"/>
        <w:right w:val="none" w:sz="0" w:space="0" w:color="auto"/>
      </w:divBdr>
      <w:divsChild>
        <w:div w:id="1467157903">
          <w:marLeft w:val="0"/>
          <w:marRight w:val="0"/>
          <w:marTop w:val="0"/>
          <w:marBottom w:val="0"/>
          <w:divBdr>
            <w:top w:val="none" w:sz="0" w:space="0" w:color="auto"/>
            <w:left w:val="none" w:sz="0" w:space="0" w:color="auto"/>
            <w:bottom w:val="none" w:sz="0" w:space="0" w:color="auto"/>
            <w:right w:val="none" w:sz="0" w:space="0" w:color="auto"/>
          </w:divBdr>
          <w:divsChild>
            <w:div w:id="165412970">
              <w:marLeft w:val="0"/>
              <w:marRight w:val="0"/>
              <w:marTop w:val="0"/>
              <w:marBottom w:val="0"/>
              <w:divBdr>
                <w:top w:val="none" w:sz="0" w:space="0" w:color="auto"/>
                <w:left w:val="none" w:sz="0" w:space="0" w:color="auto"/>
                <w:bottom w:val="none" w:sz="0" w:space="0" w:color="auto"/>
                <w:right w:val="none" w:sz="0" w:space="0" w:color="auto"/>
              </w:divBdr>
              <w:divsChild>
                <w:div w:id="1904828356">
                  <w:marLeft w:val="0"/>
                  <w:marRight w:val="0"/>
                  <w:marTop w:val="0"/>
                  <w:marBottom w:val="0"/>
                  <w:divBdr>
                    <w:top w:val="none" w:sz="0" w:space="0" w:color="auto"/>
                    <w:left w:val="none" w:sz="0" w:space="0" w:color="auto"/>
                    <w:bottom w:val="none" w:sz="0" w:space="0" w:color="auto"/>
                    <w:right w:val="none" w:sz="0" w:space="0" w:color="auto"/>
                  </w:divBdr>
                  <w:divsChild>
                    <w:div w:id="23288838">
                      <w:marLeft w:val="0"/>
                      <w:marRight w:val="0"/>
                      <w:marTop w:val="0"/>
                      <w:marBottom w:val="0"/>
                      <w:divBdr>
                        <w:top w:val="none" w:sz="0" w:space="0" w:color="auto"/>
                        <w:left w:val="none" w:sz="0" w:space="0" w:color="auto"/>
                        <w:bottom w:val="none" w:sz="0" w:space="0" w:color="auto"/>
                        <w:right w:val="none" w:sz="0" w:space="0" w:color="auto"/>
                      </w:divBdr>
                      <w:divsChild>
                        <w:div w:id="1640263641">
                          <w:marLeft w:val="0"/>
                          <w:marRight w:val="0"/>
                          <w:marTop w:val="0"/>
                          <w:marBottom w:val="0"/>
                          <w:divBdr>
                            <w:top w:val="none" w:sz="0" w:space="0" w:color="auto"/>
                            <w:left w:val="none" w:sz="0" w:space="0" w:color="auto"/>
                            <w:bottom w:val="none" w:sz="0" w:space="0" w:color="auto"/>
                            <w:right w:val="none" w:sz="0" w:space="0" w:color="auto"/>
                          </w:divBdr>
                          <w:divsChild>
                            <w:div w:id="1536116964">
                              <w:marLeft w:val="0"/>
                              <w:marRight w:val="0"/>
                              <w:marTop w:val="0"/>
                              <w:marBottom w:val="0"/>
                              <w:divBdr>
                                <w:top w:val="none" w:sz="0" w:space="0" w:color="auto"/>
                                <w:left w:val="none" w:sz="0" w:space="0" w:color="auto"/>
                                <w:bottom w:val="none" w:sz="0" w:space="0" w:color="auto"/>
                                <w:right w:val="none" w:sz="0" w:space="0" w:color="auto"/>
                              </w:divBdr>
                              <w:divsChild>
                                <w:div w:id="2029795538">
                                  <w:marLeft w:val="0"/>
                                  <w:marRight w:val="0"/>
                                  <w:marTop w:val="0"/>
                                  <w:marBottom w:val="0"/>
                                  <w:divBdr>
                                    <w:top w:val="none" w:sz="0" w:space="0" w:color="auto"/>
                                    <w:left w:val="none" w:sz="0" w:space="0" w:color="auto"/>
                                    <w:bottom w:val="none" w:sz="0" w:space="0" w:color="auto"/>
                                    <w:right w:val="none" w:sz="0" w:space="0" w:color="auto"/>
                                  </w:divBdr>
                                  <w:divsChild>
                                    <w:div w:id="1446845084">
                                      <w:marLeft w:val="0"/>
                                      <w:marRight w:val="0"/>
                                      <w:marTop w:val="0"/>
                                      <w:marBottom w:val="0"/>
                                      <w:divBdr>
                                        <w:top w:val="none" w:sz="0" w:space="0" w:color="auto"/>
                                        <w:left w:val="none" w:sz="0" w:space="0" w:color="auto"/>
                                        <w:bottom w:val="none" w:sz="0" w:space="0" w:color="auto"/>
                                        <w:right w:val="none" w:sz="0" w:space="0" w:color="auto"/>
                                      </w:divBdr>
                                      <w:divsChild>
                                        <w:div w:id="1389452970">
                                          <w:marLeft w:val="0"/>
                                          <w:marRight w:val="0"/>
                                          <w:marTop w:val="0"/>
                                          <w:marBottom w:val="0"/>
                                          <w:divBdr>
                                            <w:top w:val="none" w:sz="0" w:space="0" w:color="auto"/>
                                            <w:left w:val="none" w:sz="0" w:space="0" w:color="auto"/>
                                            <w:bottom w:val="none" w:sz="0" w:space="0" w:color="auto"/>
                                            <w:right w:val="none" w:sz="0" w:space="0" w:color="auto"/>
                                          </w:divBdr>
                                          <w:divsChild>
                                            <w:div w:id="335155880">
                                              <w:marLeft w:val="0"/>
                                              <w:marRight w:val="0"/>
                                              <w:marTop w:val="0"/>
                                              <w:marBottom w:val="0"/>
                                              <w:divBdr>
                                                <w:top w:val="none" w:sz="0" w:space="0" w:color="auto"/>
                                                <w:left w:val="none" w:sz="0" w:space="0" w:color="auto"/>
                                                <w:bottom w:val="none" w:sz="0" w:space="0" w:color="auto"/>
                                                <w:right w:val="none" w:sz="0" w:space="0" w:color="auto"/>
                                              </w:divBdr>
                                              <w:divsChild>
                                                <w:div w:id="147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6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199444">
      <w:bodyDiv w:val="1"/>
      <w:marLeft w:val="0"/>
      <w:marRight w:val="0"/>
      <w:marTop w:val="0"/>
      <w:marBottom w:val="0"/>
      <w:divBdr>
        <w:top w:val="none" w:sz="0" w:space="0" w:color="auto"/>
        <w:left w:val="none" w:sz="0" w:space="0" w:color="auto"/>
        <w:bottom w:val="none" w:sz="0" w:space="0" w:color="auto"/>
        <w:right w:val="none" w:sz="0" w:space="0" w:color="auto"/>
      </w:divBdr>
    </w:div>
    <w:div w:id="1128008405">
      <w:bodyDiv w:val="1"/>
      <w:marLeft w:val="0"/>
      <w:marRight w:val="0"/>
      <w:marTop w:val="0"/>
      <w:marBottom w:val="0"/>
      <w:divBdr>
        <w:top w:val="none" w:sz="0" w:space="0" w:color="auto"/>
        <w:left w:val="none" w:sz="0" w:space="0" w:color="auto"/>
        <w:bottom w:val="none" w:sz="0" w:space="0" w:color="auto"/>
        <w:right w:val="none" w:sz="0" w:space="0" w:color="auto"/>
      </w:divBdr>
    </w:div>
    <w:div w:id="1206601951">
      <w:bodyDiv w:val="1"/>
      <w:marLeft w:val="0"/>
      <w:marRight w:val="0"/>
      <w:marTop w:val="0"/>
      <w:marBottom w:val="0"/>
      <w:divBdr>
        <w:top w:val="none" w:sz="0" w:space="0" w:color="auto"/>
        <w:left w:val="none" w:sz="0" w:space="0" w:color="auto"/>
        <w:bottom w:val="none" w:sz="0" w:space="0" w:color="auto"/>
        <w:right w:val="none" w:sz="0" w:space="0" w:color="auto"/>
      </w:divBdr>
    </w:div>
    <w:div w:id="1276446991">
      <w:bodyDiv w:val="1"/>
      <w:marLeft w:val="0"/>
      <w:marRight w:val="0"/>
      <w:marTop w:val="0"/>
      <w:marBottom w:val="0"/>
      <w:divBdr>
        <w:top w:val="none" w:sz="0" w:space="0" w:color="auto"/>
        <w:left w:val="none" w:sz="0" w:space="0" w:color="auto"/>
        <w:bottom w:val="none" w:sz="0" w:space="0" w:color="auto"/>
        <w:right w:val="none" w:sz="0" w:space="0" w:color="auto"/>
      </w:divBdr>
    </w:div>
    <w:div w:id="1484855221">
      <w:bodyDiv w:val="1"/>
      <w:marLeft w:val="0"/>
      <w:marRight w:val="0"/>
      <w:marTop w:val="0"/>
      <w:marBottom w:val="0"/>
      <w:divBdr>
        <w:top w:val="none" w:sz="0" w:space="0" w:color="auto"/>
        <w:left w:val="none" w:sz="0" w:space="0" w:color="auto"/>
        <w:bottom w:val="none" w:sz="0" w:space="0" w:color="auto"/>
        <w:right w:val="none" w:sz="0" w:space="0" w:color="auto"/>
      </w:divBdr>
    </w:div>
    <w:div w:id="1497190095">
      <w:bodyDiv w:val="1"/>
      <w:marLeft w:val="0"/>
      <w:marRight w:val="0"/>
      <w:marTop w:val="0"/>
      <w:marBottom w:val="0"/>
      <w:divBdr>
        <w:top w:val="none" w:sz="0" w:space="0" w:color="auto"/>
        <w:left w:val="none" w:sz="0" w:space="0" w:color="auto"/>
        <w:bottom w:val="none" w:sz="0" w:space="0" w:color="auto"/>
        <w:right w:val="none" w:sz="0" w:space="0" w:color="auto"/>
      </w:divBdr>
    </w:div>
    <w:div w:id="2030063143">
      <w:bodyDiv w:val="1"/>
      <w:marLeft w:val="0"/>
      <w:marRight w:val="0"/>
      <w:marTop w:val="0"/>
      <w:marBottom w:val="0"/>
      <w:divBdr>
        <w:top w:val="none" w:sz="0" w:space="0" w:color="auto"/>
        <w:left w:val="none" w:sz="0" w:space="0" w:color="auto"/>
        <w:bottom w:val="none" w:sz="0" w:space="0" w:color="auto"/>
        <w:right w:val="none" w:sz="0" w:space="0" w:color="auto"/>
      </w:divBdr>
    </w:div>
    <w:div w:id="212187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fc.hk/edistributionWeb/gateway/EN/circular/intermediaries/supervision/doc?refNo=25EC5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sfc.hk/edistributionWeb/api/circular/openAppendix?lang=EN&amp;refNo=25EC50&amp;appendix=0" TargetMode="External"/><Relationship Id="rId12" Type="http://schemas.openxmlformats.org/officeDocument/2006/relationships/hyperlink" Target="mailto:unsubscribe@charltonslaw.com?subject=unsubscribe%20-Hong%20Kong%20L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s.sfc.hk/edistributionWeb/gateway/EN/circular/intermediaries/supervision/doc?refNo=26EC5" TargetMode="External"/><Relationship Id="rId11" Type="http://schemas.openxmlformats.org/officeDocument/2006/relationships/hyperlink" Target="https://www.sfc.hk/en/News-and-announcements/Policy-statements-and-announcements/A-high-level-framework-for-virtual-asset-perpetual-contracts-offering-by-VATP" TargetMode="External"/><Relationship Id="rId5" Type="http://schemas.openxmlformats.org/officeDocument/2006/relationships/hyperlink" Target="https://www.charltonslaw.com/sfc-virtual-asset-update-new-guidance-on-va-margin-financing-perpetual-contracts-and-affiliated-market-makers/" TargetMode="External"/><Relationship Id="rId10" Type="http://schemas.openxmlformats.org/officeDocument/2006/relationships/hyperlink" Target="https://apps.sfc.hk/edistributionWeb/api/circular/openAppendix?lang=EN&amp;refNo=26EC6&amp;appendix=0" TargetMode="External"/><Relationship Id="rId4" Type="http://schemas.openxmlformats.org/officeDocument/2006/relationships/webSettings" Target="webSettings.xml"/><Relationship Id="rId9" Type="http://schemas.openxmlformats.org/officeDocument/2006/relationships/hyperlink" Target="https://apps.sfc.hk/edistributionWeb/gateway/EN/circular/intermediaries/supervision/doc?refNo=26EC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12</Pages>
  <Words>5209</Words>
  <Characters>29693</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Charltons</Company>
  <LinksUpToDate>false</LinksUpToDate>
  <CharactersWithSpaces>34833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Larkin</dc:creator>
  <cp:keywords/>
  <dc:description/>
  <cp:lastModifiedBy>Microsoft Office User</cp:lastModifiedBy>
  <cp:revision>5</cp:revision>
  <cp:lastPrinted>2026-02-16T07:44:00Z</cp:lastPrinted>
  <dcterms:created xsi:type="dcterms:W3CDTF">2026-02-16T08:44:00Z</dcterms:created>
  <dcterms:modified xsi:type="dcterms:W3CDTF">2026-02-18T13:51:00Z</dcterms:modified>
</cp:coreProperties>
</file>