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62B" w:rsidRDefault="00D22D13">
      <w:pPr>
        <w:pStyle w:val="BlackStrips"/>
      </w:pPr>
      <w:r>
        <w:t>Charltons - Hong Kong Law - 02 January 2026</w:t>
      </w:r>
    </w:p>
    <w:p w:rsidR="009E362B" w:rsidRDefault="00D22D13">
      <w:pPr>
        <w:pStyle w:val="ReadOnline"/>
      </w:pPr>
      <w:hyperlink r:id="rId7">
        <w:r>
          <w:t>online version</w:t>
        </w:r>
      </w:hyperlink>
    </w:p>
    <w:p w:rsidR="009E362B" w:rsidRDefault="00D22D13">
      <w:pPr>
        <w:pStyle w:val="Title"/>
      </w:pPr>
      <w:r>
        <w:t xml:space="preserve">New Ongoing Public Float Requirements for HKEX Listed Companies </w:t>
      </w:r>
      <w:r>
        <w:t>from 1 January 2026</w:t>
      </w:r>
    </w:p>
    <w:p w:rsidR="009E362B" w:rsidRDefault="00D22D13">
      <w:pPr>
        <w:pStyle w:val="FirstParagraph"/>
      </w:pPr>
      <w:r>
        <w:t xml:space="preserve">New ongoing public float requirements for Hong Kong-listed companies took effect on 1 January 2026 following The Hong Kong Stock Exchange’s (the </w:t>
      </w:r>
      <w:r>
        <w:rPr>
          <w:b/>
        </w:rPr>
        <w:t>HKEX</w:t>
      </w:r>
      <w:r>
        <w:t xml:space="preserve">) publication of its </w:t>
      </w:r>
      <w:hyperlink r:id="rId8">
        <w:r w:rsidRPr="00D22D13">
          <w:rPr>
            <w:color w:val="FF0000"/>
            <w:u w:val="single"/>
          </w:rPr>
          <w:t>Consultation Conclusions</w:t>
        </w:r>
      </w:hyperlink>
      <w:r>
        <w:t xml:space="preserve"> on its proposed amendments to the HKEX Listing Rules. The revised Main Board and GEM Listing Rules apply to all HKEX-listed co</w:t>
      </w:r>
      <w:r>
        <w:t>mpanies, including those listed before 1 January 2026.</w:t>
      </w:r>
    </w:p>
    <w:p w:rsidR="009E362B" w:rsidRDefault="00D22D13">
      <w:pPr>
        <w:pStyle w:val="BodyText"/>
      </w:pPr>
      <w:r>
        <w:t>The key changes include:</w:t>
      </w:r>
    </w:p>
    <w:p w:rsidR="009E362B" w:rsidRDefault="00D22D13">
      <w:pPr>
        <w:numPr>
          <w:ilvl w:val="0"/>
          <w:numId w:val="3"/>
        </w:numPr>
      </w:pPr>
      <w:r>
        <w:t>an optional alternative ongoing public float threshold that HKEX-listed companies can adopt once their shares have traded on the HKEX for at least 125 trading days;</w:t>
      </w:r>
    </w:p>
    <w:p w:rsidR="009E362B" w:rsidRDefault="00D22D13">
      <w:pPr>
        <w:numPr>
          <w:ilvl w:val="0"/>
          <w:numId w:val="3"/>
        </w:numPr>
      </w:pPr>
      <w:r>
        <w:t>a bespoke o</w:t>
      </w:r>
      <w:r>
        <w:t>ngoing public float requirement for PRC issuers (being companies incorporated in Mainland China as joint stock limited companies) with other listed shares (e.g. A+H share issuers);</w:t>
      </w:r>
    </w:p>
    <w:p w:rsidR="009E362B" w:rsidRDefault="00D22D13">
      <w:pPr>
        <w:numPr>
          <w:ilvl w:val="0"/>
          <w:numId w:val="3"/>
        </w:numPr>
      </w:pPr>
      <w:r>
        <w:t>new monthly public float disclosure obligations that apply to listed compan</w:t>
      </w:r>
      <w:r>
        <w:t>ies’ monthly returns from the month ending 31 January 2026 onwards;</w:t>
      </w:r>
    </w:p>
    <w:p w:rsidR="009E362B" w:rsidRDefault="00D22D13">
      <w:pPr>
        <w:numPr>
          <w:ilvl w:val="0"/>
          <w:numId w:val="3"/>
        </w:numPr>
      </w:pPr>
      <w:r>
        <w:t>additional annual report disclosure requirements that apply to annual reports for financial years commencing on or after 1 January 2026; and</w:t>
      </w:r>
    </w:p>
    <w:p w:rsidR="009E362B" w:rsidRDefault="00D22D13">
      <w:pPr>
        <w:numPr>
          <w:ilvl w:val="0"/>
          <w:numId w:val="3"/>
        </w:numPr>
      </w:pPr>
      <w:r>
        <w:t>revised obligations for listed companies that f</w:t>
      </w:r>
      <w:r>
        <w:t>ail to maintain the required level of public float.</w:t>
      </w:r>
    </w:p>
    <w:p w:rsidR="009E362B" w:rsidRDefault="00D22D13">
      <w:pPr>
        <w:pStyle w:val="FirstParagraph"/>
      </w:pPr>
      <w:r>
        <w:t xml:space="preserve">The HKEX has issued </w:t>
      </w:r>
      <w:hyperlink r:id="rId9">
        <w:r w:rsidRPr="00D22D13">
          <w:rPr>
            <w:color w:val="FF0000"/>
            <w:u w:val="single"/>
          </w:rPr>
          <w:t>Guidance Letter HKEX-GL121-26</w:t>
        </w:r>
      </w:hyperlink>
      <w:r>
        <w:t xml:space="preserve"> </w:t>
      </w:r>
      <w:r>
        <w:t>to support HKEX-listed companies in complying with the revised Listing Rules.</w:t>
      </w:r>
    </w:p>
    <w:p w:rsidR="009E362B" w:rsidRDefault="00D22D13">
      <w:pPr>
        <w:pStyle w:val="BodyText"/>
      </w:pPr>
      <w:r>
        <w:t>The following provides a summary of the changes to HKEX-listed companies’ obligations.</w:t>
      </w:r>
    </w:p>
    <w:p w:rsidR="009E362B" w:rsidRDefault="00D22D13">
      <w:pPr>
        <w:pStyle w:val="Heading2"/>
      </w:pPr>
      <w:bookmarkStart w:id="0" w:name="Xde9940216366479640f485178b1cf71ad735349"/>
      <w:r>
        <w:t>Ongoing Public Float Thresholds for HKEX-listed Companies</w:t>
      </w:r>
      <w:bookmarkEnd w:id="0"/>
    </w:p>
    <w:p w:rsidR="009E362B" w:rsidRPr="00D22D13" w:rsidRDefault="00D22D13">
      <w:pPr>
        <w:pStyle w:val="Heading3"/>
        <w:rPr>
          <w:color w:val="auto"/>
        </w:rPr>
      </w:pPr>
      <w:bookmarkStart w:id="1" w:name="initial-prescribed-threshold"/>
      <w:r w:rsidRPr="00D22D13">
        <w:rPr>
          <w:color w:val="auto"/>
        </w:rPr>
        <w:t>Initial Prescribed Threshold</w:t>
      </w:r>
      <w:bookmarkEnd w:id="1"/>
    </w:p>
    <w:p w:rsidR="009E362B" w:rsidRPr="00D22D13" w:rsidRDefault="00D22D13">
      <w:pPr>
        <w:pStyle w:val="FirstParagraph"/>
        <w:rPr>
          <w:color w:val="auto"/>
        </w:rPr>
      </w:pPr>
      <w:r w:rsidRPr="00D22D13">
        <w:rPr>
          <w:color w:val="auto"/>
        </w:rPr>
        <w:t>HKEX</w:t>
      </w:r>
      <w:r w:rsidRPr="00D22D13">
        <w:rPr>
          <w:color w:val="auto"/>
        </w:rPr>
        <w:t>-listed companies are required to maintain a public float of at least:</w:t>
      </w:r>
    </w:p>
    <w:p w:rsidR="009E362B" w:rsidRDefault="00D22D13">
      <w:pPr>
        <w:numPr>
          <w:ilvl w:val="0"/>
          <w:numId w:val="4"/>
        </w:numPr>
      </w:pPr>
      <w:r>
        <w:t>25% of the total number of issued shares in the class of shares listed on the HKEX (excluding treasury shares); or</w:t>
      </w:r>
    </w:p>
    <w:p w:rsidR="009E362B" w:rsidRDefault="00D22D13">
      <w:pPr>
        <w:numPr>
          <w:ilvl w:val="0"/>
          <w:numId w:val="4"/>
        </w:numPr>
      </w:pPr>
      <w:r>
        <w:t>any lower public float percentage prescribed at listing under HKEX Lis</w:t>
      </w:r>
      <w:r>
        <w:t xml:space="preserve">ting Rule 8.08(1) (the </w:t>
      </w:r>
      <w:r>
        <w:rPr>
          <w:b/>
        </w:rPr>
        <w:t>Initial Prescribed Threshold</w:t>
      </w:r>
      <w:r>
        <w:t>).</w:t>
      </w:r>
      <w:hyperlink w:anchor="footnote-643-1">
        <w:r>
          <w:rPr>
            <w:vertAlign w:val="superscript"/>
          </w:rPr>
          <w:t>1</w:t>
        </w:r>
      </w:hyperlink>
    </w:p>
    <w:p w:rsidR="009E362B" w:rsidRDefault="00D22D13">
      <w:pPr>
        <w:pStyle w:val="FirstParagraph"/>
      </w:pPr>
      <w:r>
        <w:t xml:space="preserve">The second limb accommodates two categories of HKEX-listed companies: listed companies that obtained waivers from the 25% threshold at listing under the pre-August </w:t>
      </w:r>
      <w:r>
        <w:t>2025 initial public float requirements, and those that listed on or after 4 August 2025 under the tiered initial public float thresholds introduced by HKEX Listing Rule 8.08(1), or otherwise obtained a waiver allowing an initial public float percentage bel</w:t>
      </w:r>
      <w:r>
        <w:t>ow 25%. The revised ongoing public float obligation applies to all HKEX-listed companies and replaces the transitional requirements in force since 4 August 2025.</w:t>
      </w:r>
    </w:p>
    <w:p w:rsidR="009E362B" w:rsidRDefault="00D22D13">
      <w:pPr>
        <w:pStyle w:val="Heading3"/>
      </w:pPr>
      <w:bookmarkStart w:id="2" w:name="Xa2c84098f3b538be9f671f007cd4104f67c4e84"/>
      <w:r>
        <w:lastRenderedPageBreak/>
        <w:t>Alternative Ongoing Public Float Threshold</w:t>
      </w:r>
      <w:bookmarkEnd w:id="2"/>
    </w:p>
    <w:p w:rsidR="009E362B" w:rsidRDefault="00D22D13">
      <w:pPr>
        <w:pStyle w:val="FirstParagraph"/>
      </w:pPr>
      <w:r>
        <w:t>The revised HKEX Listing Rules</w:t>
      </w:r>
      <w:hyperlink w:anchor="footnote-643-2">
        <w:r>
          <w:rPr>
            <w:vertAlign w:val="superscript"/>
          </w:rPr>
          <w:t>2</w:t>
        </w:r>
      </w:hyperlink>
      <w:r>
        <w:t xml:space="preserve"> introduce an optional alternative ongoing public float threshold (</w:t>
      </w:r>
      <w:r>
        <w:rPr>
          <w:b/>
        </w:rPr>
        <w:t>Alternative Threshold</w:t>
      </w:r>
      <w:r>
        <w:t>) which requires the publicly held shares listed on the HKEX:</w:t>
      </w:r>
    </w:p>
    <w:p w:rsidR="009E362B" w:rsidRDefault="00D22D13">
      <w:pPr>
        <w:numPr>
          <w:ilvl w:val="0"/>
          <w:numId w:val="5"/>
        </w:numPr>
      </w:pPr>
      <w:r>
        <w:t>to have a market value of at least HK$1 billion; and</w:t>
      </w:r>
    </w:p>
    <w:p w:rsidR="009E362B" w:rsidRDefault="00D22D13">
      <w:pPr>
        <w:numPr>
          <w:ilvl w:val="0"/>
          <w:numId w:val="5"/>
        </w:numPr>
      </w:pPr>
      <w:r>
        <w:t>represent at least 10% of the listed</w:t>
      </w:r>
      <w:r>
        <w:t xml:space="preserve"> company’s total number of issued shares in the class of shares listed on the HKEX (excluding treasury shares).</w:t>
      </w:r>
    </w:p>
    <w:p w:rsidR="009E362B" w:rsidRDefault="00D22D13">
      <w:pPr>
        <w:pStyle w:val="FirstParagraph"/>
      </w:pPr>
      <w:r>
        <w:t xml:space="preserve">This Alternative Threshold is intended principally for listed companies with a market capitalisation of HK$4 billion or more since 25% of their </w:t>
      </w:r>
      <w:r>
        <w:t>listed shares will have a market value that meets the HK$1 billion requirement.</w:t>
      </w:r>
    </w:p>
    <w:p w:rsidR="009E362B" w:rsidRDefault="00D22D13">
      <w:pPr>
        <w:pStyle w:val="BodyText"/>
      </w:pPr>
      <w:r>
        <w:t>Newly listed companies can only elect to rely on the Alternative Threshold once their shares have traded on the HKEX for at least 125 trading days.</w:t>
      </w:r>
      <w:hyperlink w:anchor="footnote-643-3">
        <w:r>
          <w:rPr>
            <w:vertAlign w:val="superscript"/>
          </w:rPr>
          <w:t>3</w:t>
        </w:r>
      </w:hyperlink>
      <w:r>
        <w:t xml:space="preserve"> This means that HKEX-listed companies cannot reduce the percentage of public float below the Initial Prescribed Percentage in the first 125 trading days after listing. The HKEX also has the discretion to require a listed company to extend the 125</w:t>
      </w:r>
      <w:r>
        <w:t>-trading days for determining its shares’ market value if, during that period, its listed shares have been suspended from trading for more than five consecutive business days.</w:t>
      </w:r>
      <w:hyperlink w:anchor="footnote-643-4">
        <w:r>
          <w:rPr>
            <w:vertAlign w:val="superscript"/>
          </w:rPr>
          <w:t>4</w:t>
        </w:r>
      </w:hyperlink>
    </w:p>
    <w:p w:rsidR="009E362B" w:rsidRDefault="00D22D13">
      <w:pPr>
        <w:pStyle w:val="BodyText"/>
      </w:pPr>
      <w:r>
        <w:rPr>
          <w:u w:val="single"/>
        </w:rPr>
        <w:t>Determination of Market Value</w:t>
      </w:r>
    </w:p>
    <w:p w:rsidR="009E362B" w:rsidRDefault="00D22D13">
      <w:pPr>
        <w:pStyle w:val="BodyText"/>
      </w:pPr>
      <w:r>
        <w:t>The market v</w:t>
      </w:r>
      <w:r>
        <w:t>alue of publicly held shares must be calculated on a rolling basis by multiplying the number of publicly held shares on the date of determination by the volume weighted average price of the shares listed on the HKEX over the preceding 125 trading days.</w:t>
      </w:r>
      <w:hyperlink w:anchor="footnote-643-5">
        <w:r>
          <w:rPr>
            <w:vertAlign w:val="superscript"/>
          </w:rPr>
          <w:t>5</w:t>
        </w:r>
      </w:hyperlink>
      <w:r>
        <w:t xml:space="preserve"> The volume weighted average price of shares is calculated by dividing the listed company’s total turnover (as stated in the HKEX’s daily quotation sheets) by the total number of shares traded (as stated in the HKEX’s dail</w:t>
      </w:r>
      <w:r>
        <w:t>y quotation sheets) for the preceding 125 trading days, as adjusted for any applicable corporate actions.</w:t>
      </w:r>
    </w:p>
    <w:p w:rsidR="009E362B" w:rsidRDefault="00D22D13">
      <w:pPr>
        <w:pStyle w:val="BodyText"/>
      </w:pPr>
      <w:r>
        <w:rPr>
          <w:u w:val="single"/>
        </w:rPr>
        <w:t>Announcement Requirement</w:t>
      </w:r>
    </w:p>
    <w:p w:rsidR="009E362B" w:rsidRDefault="00D22D13">
      <w:pPr>
        <w:pStyle w:val="BodyText"/>
      </w:pPr>
      <w:r>
        <w:t>If an HKEX-listed company opts to rely on the Alternative Threshold instead of the Initial Prescribed Threshold, it must publish an announcement giving reasons for the change and setting out its market value and public float percentage as at the latest pra</w:t>
      </w:r>
      <w:r>
        <w:t>cticable date.</w:t>
      </w:r>
      <w:hyperlink w:anchor="footnote-643-6">
        <w:r>
          <w:rPr>
            <w:vertAlign w:val="superscript"/>
          </w:rPr>
          <w:t>6</w:t>
        </w:r>
      </w:hyperlink>
      <w:r>
        <w:t xml:space="preserve"> </w:t>
      </w:r>
      <w:r>
        <w:t>If it subsequently elects to rely on the Initial Prescribed Threshold, the HKEX-listed company must publish an announcement setting out the reasons for the change and its public float percentage as at the latest practicable date.</w:t>
      </w:r>
    </w:p>
    <w:p w:rsidR="009E362B" w:rsidRDefault="00D22D13">
      <w:pPr>
        <w:pStyle w:val="BodyText"/>
      </w:pPr>
      <w:r>
        <w:rPr>
          <w:b/>
          <w:i/>
        </w:rPr>
        <w:t>Both the Initial Prescribe</w:t>
      </w:r>
      <w:r>
        <w:rPr>
          <w:b/>
          <w:i/>
        </w:rPr>
        <w:t>d Threshold and Alternative Threshold apply to H share issuers with no other listed shares.</w:t>
      </w:r>
    </w:p>
    <w:p w:rsidR="009E362B" w:rsidRPr="00D22D13" w:rsidRDefault="00D22D13">
      <w:pPr>
        <w:pStyle w:val="Heading3"/>
        <w:rPr>
          <w:color w:val="auto"/>
        </w:rPr>
      </w:pPr>
      <w:bookmarkStart w:id="3" w:name="X2033ea1add1226ad24017202b6e7290a59c288a"/>
      <w:r w:rsidRPr="00D22D13">
        <w:rPr>
          <w:color w:val="auto"/>
        </w:rPr>
        <w:t>Ongoing Public Float for PRC Issuers with other Listed Shares (e.g., A+H issuers)</w:t>
      </w:r>
      <w:bookmarkEnd w:id="3"/>
    </w:p>
    <w:p w:rsidR="009E362B" w:rsidRDefault="00D22D13">
      <w:pPr>
        <w:pStyle w:val="FirstParagraph"/>
      </w:pPr>
      <w:r>
        <w:t>A bespoke ongoing public float threshold requirement applies to PRC issuers with o</w:t>
      </w:r>
      <w:r>
        <w:t>ther listed shares. PRC issuers are defined as companies incorporated in Mainland China as joint stock limited companies. The term does not therefore include red-chip companies that are incorporated outside Mainland China.</w:t>
      </w:r>
    </w:p>
    <w:p w:rsidR="009E362B" w:rsidRDefault="00D22D13">
      <w:pPr>
        <w:pStyle w:val="BodyText"/>
      </w:pPr>
      <w:r>
        <w:t>PRC issuers with other listed sha</w:t>
      </w:r>
      <w:r>
        <w:t>res, such as A+H issuers, must at all times have H shares held by the public that:</w:t>
      </w:r>
    </w:p>
    <w:p w:rsidR="009E362B" w:rsidRDefault="00D22D13">
      <w:pPr>
        <w:numPr>
          <w:ilvl w:val="0"/>
          <w:numId w:val="6"/>
        </w:numPr>
      </w:pPr>
      <w:r>
        <w:t xml:space="preserve">have a market value of at least HK$1 billion; </w:t>
      </w:r>
      <w:r>
        <w:rPr>
          <w:b/>
        </w:rPr>
        <w:t>or</w:t>
      </w:r>
    </w:p>
    <w:p w:rsidR="009E362B" w:rsidRDefault="00D22D13">
      <w:pPr>
        <w:numPr>
          <w:ilvl w:val="0"/>
          <w:numId w:val="6"/>
        </w:numPr>
      </w:pPr>
      <w:r>
        <w:t xml:space="preserve">represent at least 5% of the total number of shares in the class to which the H shares belong (including their H shares and </w:t>
      </w:r>
      <w:r>
        <w:t>A shares</w:t>
      </w:r>
      <w:hyperlink w:anchor="footnote-643-7">
        <w:r>
          <w:rPr>
            <w:vertAlign w:val="superscript"/>
          </w:rPr>
          <w:t>7</w:t>
        </w:r>
      </w:hyperlink>
      <w:r>
        <w:t xml:space="preserve"> but excluding any treasury shares).</w:t>
      </w:r>
      <w:hyperlink w:anchor="footnote-643-8">
        <w:r>
          <w:rPr>
            <w:vertAlign w:val="superscript"/>
          </w:rPr>
          <w:t>8</w:t>
        </w:r>
      </w:hyperlink>
    </w:p>
    <w:p w:rsidR="009E362B" w:rsidRDefault="00D22D13">
      <w:pPr>
        <w:pStyle w:val="FirstParagraph"/>
      </w:pPr>
      <w:r>
        <w:lastRenderedPageBreak/>
        <w:t>In the case of a PRC issuer with other listed shares, the market value of its public float is calculated by multiplying the number of p</w:t>
      </w:r>
      <w:r>
        <w:t>ublicly held H shares on the date of determination by the volume weighted average price of the H shares over the preceding 125 trading days or all trading days since listing, if shorter.</w:t>
      </w:r>
      <w:hyperlink w:anchor="footnote-643-9">
        <w:r>
          <w:rPr>
            <w:vertAlign w:val="superscript"/>
          </w:rPr>
          <w:t>9</w:t>
        </w:r>
      </w:hyperlink>
    </w:p>
    <w:p w:rsidR="009E362B" w:rsidRPr="00D22D13" w:rsidRDefault="00D22D13">
      <w:pPr>
        <w:pStyle w:val="Heading3"/>
        <w:rPr>
          <w:color w:val="auto"/>
        </w:rPr>
      </w:pPr>
      <w:bookmarkStart w:id="4" w:name="X9d7b7b7cf2ad62b4968e1e8f490f1cde80faae8"/>
      <w:r w:rsidRPr="00D22D13">
        <w:rPr>
          <w:color w:val="auto"/>
        </w:rPr>
        <w:t>Non-PRC Issuers with Shares Lis</w:t>
      </w:r>
      <w:r w:rsidRPr="00D22D13">
        <w:rPr>
          <w:color w:val="auto"/>
        </w:rPr>
        <w:t>ted on a PRC Stock Exchange (e.g. RMB shares)</w:t>
      </w:r>
      <w:bookmarkEnd w:id="4"/>
    </w:p>
    <w:p w:rsidR="009E362B" w:rsidRDefault="00D22D13">
      <w:pPr>
        <w:pStyle w:val="FirstParagraph"/>
      </w:pPr>
      <w:r>
        <w:t>The ongoing public float thresholds applicable to PRC issuers with other listed shares also applies to non-PRC issuers with shares listed on a PRC stock exchange, if those shares are of the same class as, but a</w:t>
      </w:r>
      <w:r>
        <w:t>re not fungible with, the shares listed on the HKEX.</w:t>
      </w:r>
    </w:p>
    <w:p w:rsidR="009E362B" w:rsidRDefault="00D22D13">
      <w:pPr>
        <w:pStyle w:val="Heading2"/>
      </w:pPr>
      <w:bookmarkStart w:id="5" w:name="X5bdf336525ba4812b8f3891ba40a759ee633867"/>
      <w:r>
        <w:t>Monthly and Annual Public Float Reporting Obligations</w:t>
      </w:r>
      <w:bookmarkEnd w:id="5"/>
    </w:p>
    <w:p w:rsidR="009E362B" w:rsidRDefault="00D22D13">
      <w:pPr>
        <w:pStyle w:val="FirstParagraph"/>
      </w:pPr>
      <w:r>
        <w:t>The table below summarises the revised monthly and annual report public float reporting obligations for different types of listed company.</w:t>
      </w:r>
      <w:hyperlink w:anchor="footnote-643-10">
        <w:r>
          <w:rPr>
            <w:vertAlign w:val="superscript"/>
          </w:rPr>
          <w:t>10</w:t>
        </w:r>
      </w:hyperlink>
    </w:p>
    <w:tbl>
      <w:tblPr>
        <w:tblStyle w:val="TableGrid"/>
        <w:tblW w:w="5000" w:type="pct"/>
        <w:tblLook w:val="07C0" w:firstRow="0" w:lastRow="1" w:firstColumn="1" w:lastColumn="1" w:noHBand="1" w:noVBand="1"/>
      </w:tblPr>
      <w:tblGrid>
        <w:gridCol w:w="2446"/>
        <w:gridCol w:w="3085"/>
        <w:gridCol w:w="4863"/>
      </w:tblGrid>
      <w:tr w:rsidR="009E362B" w:rsidTr="00D22D13">
        <w:tc>
          <w:tcPr>
            <w:tcW w:w="0" w:type="auto"/>
          </w:tcPr>
          <w:p w:rsidR="009E362B" w:rsidRPr="00D22D13" w:rsidRDefault="00D22D13">
            <w:pPr>
              <w:rPr>
                <w:color w:val="C00000"/>
              </w:rPr>
            </w:pPr>
            <w:r w:rsidRPr="00D22D13">
              <w:rPr>
                <w:b/>
                <w:color w:val="C00000"/>
              </w:rPr>
              <w:t>Reporting Obligation</w:t>
            </w:r>
          </w:p>
        </w:tc>
        <w:tc>
          <w:tcPr>
            <w:tcW w:w="0" w:type="auto"/>
          </w:tcPr>
          <w:p w:rsidR="009E362B" w:rsidRPr="00D22D13" w:rsidRDefault="00D22D13">
            <w:pPr>
              <w:rPr>
                <w:color w:val="C00000"/>
              </w:rPr>
            </w:pPr>
            <w:r w:rsidRPr="00D22D13">
              <w:rPr>
                <w:b/>
                <w:color w:val="C00000"/>
              </w:rPr>
              <w:t>Monthly Returns</w:t>
            </w:r>
          </w:p>
        </w:tc>
        <w:tc>
          <w:tcPr>
            <w:tcW w:w="0" w:type="auto"/>
          </w:tcPr>
          <w:p w:rsidR="009E362B" w:rsidRPr="00D22D13" w:rsidRDefault="00D22D13">
            <w:pPr>
              <w:rPr>
                <w:color w:val="C00000"/>
              </w:rPr>
            </w:pPr>
            <w:r w:rsidRPr="00D22D13">
              <w:rPr>
                <w:b/>
                <w:color w:val="C00000"/>
              </w:rPr>
              <w:t>Annual Reports</w:t>
            </w:r>
          </w:p>
        </w:tc>
      </w:tr>
      <w:tr w:rsidR="009E362B" w:rsidTr="00D22D13">
        <w:tc>
          <w:tcPr>
            <w:tcW w:w="0" w:type="auto"/>
          </w:tcPr>
          <w:p w:rsidR="009E362B" w:rsidRDefault="00D22D13">
            <w:r>
              <w:rPr>
                <w:b/>
              </w:rPr>
              <w:t>Confirmation of compliance with applicable ongoing public float percentage</w:t>
            </w:r>
          </w:p>
        </w:tc>
        <w:tc>
          <w:tcPr>
            <w:tcW w:w="0" w:type="auto"/>
          </w:tcPr>
          <w:p w:rsidR="009E362B" w:rsidRDefault="00D22D13">
            <w:r>
              <w:t>All listed companies</w:t>
            </w:r>
          </w:p>
        </w:tc>
        <w:tc>
          <w:tcPr>
            <w:tcW w:w="0" w:type="auto"/>
          </w:tcPr>
          <w:p w:rsidR="009E362B" w:rsidRDefault="00D22D13">
            <w:r>
              <w:t>All listed companies</w:t>
            </w:r>
          </w:p>
        </w:tc>
      </w:tr>
      <w:tr w:rsidR="009E362B" w:rsidTr="00D22D13">
        <w:tc>
          <w:tcPr>
            <w:tcW w:w="0" w:type="auto"/>
          </w:tcPr>
          <w:p w:rsidR="009E362B" w:rsidRDefault="00D22D13">
            <w:r>
              <w:rPr>
                <w:b/>
              </w:rPr>
              <w:t>Minimum public float percentage threshold</w:t>
            </w:r>
          </w:p>
        </w:tc>
        <w:tc>
          <w:tcPr>
            <w:tcW w:w="0" w:type="auto"/>
          </w:tcPr>
          <w:p w:rsidR="009E362B" w:rsidRDefault="00D22D13">
            <w:r>
              <w:t>Listed compan</w:t>
            </w:r>
            <w:r>
              <w:t>ies relying on the Initial Prescribed Threshold</w:t>
            </w:r>
          </w:p>
        </w:tc>
        <w:tc>
          <w:tcPr>
            <w:tcW w:w="0" w:type="auto"/>
          </w:tcPr>
          <w:p w:rsidR="009E362B" w:rsidRDefault="00D22D13">
            <w:r>
              <w:t>Listed companies relying on the Initial Prescribed Threshold</w:t>
            </w:r>
          </w:p>
        </w:tc>
      </w:tr>
      <w:tr w:rsidR="009E362B" w:rsidTr="00D22D13">
        <w:tc>
          <w:tcPr>
            <w:tcW w:w="0" w:type="auto"/>
          </w:tcPr>
          <w:p w:rsidR="009E362B" w:rsidRDefault="00D22D13">
            <w:r>
              <w:rPr>
                <w:b/>
              </w:rPr>
              <w:t>Actual public float percentage</w:t>
            </w:r>
          </w:p>
        </w:tc>
        <w:tc>
          <w:tcPr>
            <w:tcW w:w="0" w:type="auto"/>
          </w:tcPr>
          <w:p w:rsidR="009E362B" w:rsidRDefault="00D22D13">
            <w:r>
              <w:t>Listed companies relying on the market value-based thresholds, i.e.,</w:t>
            </w:r>
          </w:p>
          <w:p w:rsidR="009E362B" w:rsidRDefault="00D22D13">
            <w:pPr>
              <w:numPr>
                <w:ilvl w:val="0"/>
                <w:numId w:val="7"/>
              </w:numPr>
            </w:pPr>
            <w:r>
              <w:t>companies relying on the Alternative Threshold; and</w:t>
            </w:r>
          </w:p>
          <w:p w:rsidR="009E362B" w:rsidRDefault="00D22D13">
            <w:pPr>
              <w:numPr>
                <w:ilvl w:val="0"/>
                <w:numId w:val="7"/>
              </w:numPr>
            </w:pPr>
            <w:r>
              <w:t>PRC issuers with other listed shares (e.g., A+H issuers) relying on the market value limb of the ongoing public float threshold</w:t>
            </w:r>
          </w:p>
        </w:tc>
        <w:tc>
          <w:tcPr>
            <w:tcW w:w="0" w:type="auto"/>
          </w:tcPr>
          <w:p w:rsidR="009E362B" w:rsidRDefault="00D22D13">
            <w:r>
              <w:t>All listed companies</w:t>
            </w:r>
          </w:p>
          <w:p w:rsidR="009E362B" w:rsidRDefault="00D22D13">
            <w:r>
              <w:t>Listed companies (including H share issuers with no oth</w:t>
            </w:r>
            <w:r>
              <w:t>er listed shares) that rely on the Alternative Threshold and PRC issuers with other listed shares that rely on the market value limb of the ongoing public float threshold at any time within the financial year must additionally disclose:</w:t>
            </w:r>
          </w:p>
          <w:p w:rsidR="009E362B" w:rsidRDefault="00D22D13">
            <w:pPr>
              <w:numPr>
                <w:ilvl w:val="0"/>
                <w:numId w:val="8"/>
              </w:numPr>
            </w:pPr>
            <w:r>
              <w:t>the market value an</w:t>
            </w:r>
            <w:r>
              <w:t>d percentage of their public float as at the end of each month in which they relied on that threshold; and</w:t>
            </w:r>
          </w:p>
          <w:p w:rsidR="009E362B" w:rsidRDefault="00D22D13">
            <w:pPr>
              <w:numPr>
                <w:ilvl w:val="0"/>
                <w:numId w:val="8"/>
              </w:numPr>
            </w:pPr>
            <w:r>
              <w:t>a commentary on all material changes to their public float during the financial year</w:t>
            </w:r>
          </w:p>
        </w:tc>
      </w:tr>
      <w:tr w:rsidR="009E362B" w:rsidTr="00D22D13">
        <w:tc>
          <w:tcPr>
            <w:tcW w:w="0" w:type="auto"/>
          </w:tcPr>
          <w:p w:rsidR="009E362B" w:rsidRDefault="00D22D13">
            <w:r>
              <w:rPr>
                <w:b/>
              </w:rPr>
              <w:t>Actual public float market value</w:t>
            </w:r>
          </w:p>
        </w:tc>
        <w:tc>
          <w:tcPr>
            <w:tcW w:w="0" w:type="auto"/>
          </w:tcPr>
          <w:p w:rsidR="009E362B" w:rsidRDefault="00D22D13">
            <w:r>
              <w:t>Listed companies relying on th</w:t>
            </w:r>
            <w:r>
              <w:t>e market value-based thresholds, i.e.,</w:t>
            </w:r>
          </w:p>
          <w:p w:rsidR="009E362B" w:rsidRDefault="00D22D13">
            <w:pPr>
              <w:numPr>
                <w:ilvl w:val="0"/>
                <w:numId w:val="9"/>
              </w:numPr>
            </w:pPr>
            <w:r>
              <w:t>companies relying on the Alternative Threshold; and</w:t>
            </w:r>
          </w:p>
          <w:p w:rsidR="009E362B" w:rsidRDefault="00D22D13">
            <w:pPr>
              <w:numPr>
                <w:ilvl w:val="0"/>
                <w:numId w:val="9"/>
              </w:numPr>
            </w:pPr>
            <w:r>
              <w:t xml:space="preserve">PRC issuers with other </w:t>
            </w:r>
            <w:r>
              <w:lastRenderedPageBreak/>
              <w:t>listed shares (e.g., A+H issuers) relying on the market value limb of the ongoing public float threshold</w:t>
            </w:r>
          </w:p>
        </w:tc>
        <w:tc>
          <w:tcPr>
            <w:tcW w:w="0" w:type="auto"/>
          </w:tcPr>
          <w:p w:rsidR="009E362B" w:rsidRDefault="00D22D13">
            <w:r>
              <w:lastRenderedPageBreak/>
              <w:t>Listed companies relying on the marke</w:t>
            </w:r>
            <w:r>
              <w:t>t value-based thresholds, i.e.,</w:t>
            </w:r>
          </w:p>
          <w:p w:rsidR="009E362B" w:rsidRDefault="00D22D13">
            <w:pPr>
              <w:numPr>
                <w:ilvl w:val="0"/>
                <w:numId w:val="10"/>
              </w:numPr>
            </w:pPr>
            <w:r>
              <w:t>companies relying on the Alternative Threshold; and</w:t>
            </w:r>
          </w:p>
          <w:p w:rsidR="009E362B" w:rsidRDefault="00D22D13">
            <w:pPr>
              <w:numPr>
                <w:ilvl w:val="0"/>
                <w:numId w:val="10"/>
              </w:numPr>
            </w:pPr>
            <w:r>
              <w:t xml:space="preserve">PRC issuers with other listed shares (e.g., A+H issuers) relying on the market value limb of the ongoing public float </w:t>
            </w:r>
            <w:r>
              <w:lastRenderedPageBreak/>
              <w:t>threshold</w:t>
            </w:r>
          </w:p>
        </w:tc>
      </w:tr>
    </w:tbl>
    <w:p w:rsidR="009E362B" w:rsidRDefault="00D22D13">
      <w:pPr>
        <w:pStyle w:val="FirstParagraph"/>
      </w:pPr>
      <w:r>
        <w:lastRenderedPageBreak/>
        <w:t>Public float disclosure must be made based on information that is publicly available to listed companies or is otherwise within the knowledge of their directors or supervisors (in the case of PRC issuers).</w:t>
      </w:r>
      <w:hyperlink w:anchor="footnote-643-11">
        <w:r>
          <w:rPr>
            <w:vertAlign w:val="superscript"/>
          </w:rPr>
          <w:t>11</w:t>
        </w:r>
      </w:hyperlink>
      <w:r>
        <w:t xml:space="preserve"> According </w:t>
      </w:r>
      <w:r>
        <w:t xml:space="preserve">to </w:t>
      </w:r>
      <w:hyperlink r:id="rId10">
        <w:r w:rsidRPr="00D22D13">
          <w:rPr>
            <w:color w:val="FF0000"/>
            <w:u w:val="single"/>
          </w:rPr>
          <w:t>Guidance Letter HKEX-GL121-26</w:t>
        </w:r>
      </w:hyperlink>
      <w:r>
        <w:t>, HKEX-listed companies must make reasonable efforts to determine thei</w:t>
      </w:r>
      <w:r>
        <w:t xml:space="preserve">r public float and are expected to include shareholdings: (i) reported under Part XV of the Securities and Futures Ordinance (the </w:t>
      </w:r>
      <w:r>
        <w:rPr>
          <w:b/>
        </w:rPr>
        <w:t>SFO</w:t>
      </w:r>
      <w:r>
        <w:t>); and (ii) notified to them under internal controls put in place to ensure that their core connected persons (and other sh</w:t>
      </w:r>
      <w:r>
        <w:t>areholders who are not considered to be “public” shareholders) are aware of the requirement, and will notify them of their shareholdings and subsequent changes to them. Listed companies should also take into account other non-public shareholdings that have</w:t>
      </w:r>
      <w:r>
        <w:t xml:space="preserve"> not been disclosed in public filings but are known to the listed company’s directors or supervisors. However, HKEX-listed companies are not expected to exhaust all possible means of ascertaining their underlying shareholders. For example, they are not exp</w:t>
      </w:r>
      <w:r>
        <w:t>ected to conduct an investigation under section 329 of the SFO.</w:t>
      </w:r>
      <w:hyperlink w:anchor="footnote-643-12">
        <w:r>
          <w:rPr>
            <w:vertAlign w:val="superscript"/>
          </w:rPr>
          <w:t>12</w:t>
        </w:r>
      </w:hyperlink>
    </w:p>
    <w:p w:rsidR="009E362B" w:rsidRDefault="00D22D13">
      <w:pPr>
        <w:pStyle w:val="BodyText"/>
      </w:pPr>
      <w:hyperlink r:id="rId11">
        <w:r w:rsidRPr="00D22D13">
          <w:rPr>
            <w:color w:val="FF0000"/>
            <w:u w:val="single"/>
          </w:rPr>
          <w:t>Guidance Letter HKEX-GL121-26</w:t>
        </w:r>
      </w:hyperlink>
      <w:hyperlink w:anchor="footnote-643-13">
        <w:r>
          <w:rPr>
            <w:vertAlign w:val="superscript"/>
          </w:rPr>
          <w:t>13</w:t>
        </w:r>
      </w:hyperlink>
      <w:r>
        <w:t xml:space="preserve"> advises listed companies to clearly state any caveats or assumptions underlying their public float disclosures. For instance, where a disclosure is based on filings made under Part XV </w:t>
      </w:r>
      <w:r>
        <w:t>of the SFO, but the listed company is unable to confirm the actual shareholding of a relevant shareholder as at the disclosure date, it must disclose the relevant limitations. In the case of monthly returns, this information should be included in the “Addi</w:t>
      </w:r>
      <w:r>
        <w:t>tional Information” section.</w:t>
      </w:r>
    </w:p>
    <w:p w:rsidR="009E362B" w:rsidRDefault="00D22D13">
      <w:pPr>
        <w:pStyle w:val="Heading2"/>
      </w:pPr>
      <w:bookmarkStart w:id="6" w:name="X3430df2f7df5032c7ef5ee32918f5c1f2a6d289"/>
      <w:r>
        <w:t>Annual Report Disclosure of Share Ownership Composition by HKEX-listed Companies</w:t>
      </w:r>
      <w:bookmarkEnd w:id="6"/>
    </w:p>
    <w:p w:rsidR="009E362B" w:rsidRDefault="00D22D13">
      <w:pPr>
        <w:pStyle w:val="FirstParagraph"/>
      </w:pPr>
      <w:r>
        <w:t>The revised HKEX Listing Rules</w:t>
      </w:r>
      <w:hyperlink w:anchor="footnote-643-14">
        <w:r>
          <w:rPr>
            <w:vertAlign w:val="superscript"/>
          </w:rPr>
          <w:t>14</w:t>
        </w:r>
      </w:hyperlink>
      <w:r>
        <w:t xml:space="preserve"> require listed companies to include in their annual reports a statement sho</w:t>
      </w:r>
      <w:r>
        <w:t xml:space="preserve">wing the composition of ownership of the class of HKEX-listed shares as at the end of their financial year. According to </w:t>
      </w:r>
      <w:hyperlink r:id="rId12">
        <w:r w:rsidRPr="00D22D13">
          <w:rPr>
            <w:color w:val="FF0000"/>
            <w:u w:val="single"/>
          </w:rPr>
          <w:t>Guidance Letter HKEX-GL121-26</w:t>
        </w:r>
      </w:hyperlink>
      <w:r>
        <w:t>,</w:t>
      </w:r>
      <w:hyperlink w:anchor="footnote-643-15">
        <w:r>
          <w:rPr>
            <w:vertAlign w:val="superscript"/>
          </w:rPr>
          <w:t>15</w:t>
        </w:r>
      </w:hyperlink>
      <w:r>
        <w:t xml:space="preserve"> this requires disclosure of:</w:t>
      </w:r>
    </w:p>
    <w:p w:rsidR="009E362B" w:rsidRDefault="00D22D13">
      <w:pPr>
        <w:pStyle w:val="BodyText"/>
      </w:pPr>
      <w:r>
        <w:t>(1) shares held by the following categories of shareholders who are not members of the public:</w:t>
      </w:r>
    </w:p>
    <w:p w:rsidR="009E362B" w:rsidRDefault="00D22D13">
      <w:pPr>
        <w:numPr>
          <w:ilvl w:val="0"/>
          <w:numId w:val="11"/>
        </w:numPr>
      </w:pPr>
      <w:r>
        <w:t>substantial shareholders of the listed com</w:t>
      </w:r>
      <w:r>
        <w:t>pany and their close associates (identified on an individually named basis and stating the nature of their relationship with the listed company);</w:t>
      </w:r>
    </w:p>
    <w:p w:rsidR="009E362B" w:rsidRDefault="00D22D13">
      <w:pPr>
        <w:numPr>
          <w:ilvl w:val="0"/>
          <w:numId w:val="11"/>
        </w:numPr>
      </w:pPr>
      <w:r>
        <w:t>directors, supervisors and chief executives of the listed company and their close associates (identified on an</w:t>
      </w:r>
      <w:r>
        <w:t xml:space="preserve"> individually named basis and stating the nature of their relationship with the listed company); and</w:t>
      </w:r>
    </w:p>
    <w:p w:rsidR="009E362B" w:rsidRDefault="00D22D13">
      <w:pPr>
        <w:numPr>
          <w:ilvl w:val="0"/>
          <w:numId w:val="11"/>
        </w:numPr>
      </w:pPr>
      <w:r>
        <w:t>the aggregate shareholding of other persons excluded from the definition of the “public” including: (a) directors, chief executives and chief executives of</w:t>
      </w:r>
      <w:r>
        <w:t xml:space="preserve"> the listed issuer’s subsidiaries and their close associates; and (b) persons accustomed to taking instructions from a core connected person of the listed company; and</w:t>
      </w:r>
    </w:p>
    <w:p w:rsidR="009E362B" w:rsidRDefault="00D22D13">
      <w:pPr>
        <w:pStyle w:val="FirstParagraph"/>
      </w:pPr>
      <w:r>
        <w:t xml:space="preserve">(2) shares held by the following categories of </w:t>
      </w:r>
      <w:r>
        <w:rPr>
          <w:u w:val="single"/>
        </w:rPr>
        <w:t>public</w:t>
      </w:r>
      <w:r>
        <w:t xml:space="preserve"> shareholders:</w:t>
      </w:r>
    </w:p>
    <w:p w:rsidR="009E362B" w:rsidRDefault="00D22D13">
      <w:pPr>
        <w:numPr>
          <w:ilvl w:val="0"/>
          <w:numId w:val="12"/>
        </w:numPr>
      </w:pPr>
      <w:r>
        <w:t>persons that are def</w:t>
      </w:r>
      <w:r>
        <w:t>ined as the “public” and have disclosed their interests under Part XV of the SFO (identified on an individually named basis and stating the nature of their relationship with the listed company);</w:t>
      </w:r>
    </w:p>
    <w:p w:rsidR="009E362B" w:rsidRDefault="00D22D13">
      <w:pPr>
        <w:numPr>
          <w:ilvl w:val="0"/>
          <w:numId w:val="12"/>
        </w:numPr>
      </w:pPr>
      <w:r>
        <w:lastRenderedPageBreak/>
        <w:t>an independent trustee holding granted (vested or unvested sh</w:t>
      </w:r>
      <w:r>
        <w:t>ares) of a share scheme of the listed company on behalf of independent scheme participants (identified on an individually named basis and stating the nature of their relationship with the listed company);</w:t>
      </w:r>
      <w:hyperlink w:anchor="footnote-643-16">
        <w:r>
          <w:rPr>
            <w:vertAlign w:val="superscript"/>
          </w:rPr>
          <w:t>16</w:t>
        </w:r>
      </w:hyperlink>
      <w:r>
        <w:t xml:space="preserve"> and</w:t>
      </w:r>
    </w:p>
    <w:p w:rsidR="009E362B" w:rsidRDefault="00D22D13">
      <w:pPr>
        <w:numPr>
          <w:ilvl w:val="0"/>
          <w:numId w:val="12"/>
        </w:numPr>
      </w:pPr>
      <w:r>
        <w:t>the agg</w:t>
      </w:r>
      <w:r>
        <w:t>regate shareholding of other members of the public.</w:t>
      </w:r>
    </w:p>
    <w:p w:rsidR="009E362B" w:rsidRDefault="00D22D13">
      <w:pPr>
        <w:pStyle w:val="Heading2"/>
      </w:pPr>
      <w:bookmarkStart w:id="7" w:name="Xf350259dd08b3318b59a0d8147a0f2bb4563678"/>
      <w:r>
        <w:t>Annual Report Disclosure of Share Capital Structure Information by HKEX-listed Companies</w:t>
      </w:r>
      <w:bookmarkEnd w:id="7"/>
    </w:p>
    <w:p w:rsidR="009E362B" w:rsidRDefault="00D22D13">
      <w:pPr>
        <w:pStyle w:val="FirstParagraph"/>
      </w:pPr>
      <w:r>
        <w:t>All HKEX-listed companies must state, in their annual reports, the structure of their share capital as at the end o</w:t>
      </w:r>
      <w:r>
        <w:t>f the relevant financial year.</w:t>
      </w:r>
      <w:hyperlink w:anchor="footnote-643-17">
        <w:r>
          <w:rPr>
            <w:vertAlign w:val="superscript"/>
          </w:rPr>
          <w:t>17</w:t>
        </w:r>
      </w:hyperlink>
      <w:r>
        <w:t xml:space="preserve"> According to </w:t>
      </w:r>
      <w:hyperlink r:id="rId13">
        <w:r w:rsidRPr="00D22D13">
          <w:rPr>
            <w:color w:val="FF0000"/>
            <w:u w:val="single"/>
          </w:rPr>
          <w:t>Guidance Letter HK</w:t>
        </w:r>
        <w:r w:rsidRPr="00D22D13">
          <w:rPr>
            <w:color w:val="FF0000"/>
            <w:u w:val="single"/>
          </w:rPr>
          <w:t>EX-GL121-26</w:t>
        </w:r>
      </w:hyperlink>
      <w:r>
        <w:t>,</w:t>
      </w:r>
      <w:hyperlink w:anchor="footnote-643-18">
        <w:r>
          <w:rPr>
            <w:vertAlign w:val="superscript"/>
          </w:rPr>
          <w:t>18</w:t>
        </w:r>
      </w:hyperlink>
      <w:r>
        <w:t xml:space="preserve"> this disclosure should provide:</w:t>
      </w:r>
    </w:p>
    <w:p w:rsidR="009E362B" w:rsidRDefault="00D22D13">
      <w:pPr>
        <w:numPr>
          <w:ilvl w:val="0"/>
          <w:numId w:val="13"/>
        </w:numPr>
      </w:pPr>
      <w:r>
        <w:t>details of the different type(s) and class(es) of securities;</w:t>
      </w:r>
    </w:p>
    <w:p w:rsidR="009E362B" w:rsidRDefault="00D22D13">
      <w:pPr>
        <w:numPr>
          <w:ilvl w:val="0"/>
          <w:numId w:val="13"/>
        </w:numPr>
      </w:pPr>
      <w:r>
        <w:t>the percentage of each share type (as a percentage of the total number of shares);</w:t>
      </w:r>
    </w:p>
    <w:p w:rsidR="009E362B" w:rsidRDefault="00D22D13">
      <w:pPr>
        <w:numPr>
          <w:ilvl w:val="0"/>
          <w:numId w:val="13"/>
        </w:numPr>
      </w:pPr>
      <w:r>
        <w:t xml:space="preserve">the ranking of each share </w:t>
      </w:r>
      <w:r>
        <w:t>type; and</w:t>
      </w:r>
    </w:p>
    <w:p w:rsidR="009E362B" w:rsidRDefault="00D22D13">
      <w:pPr>
        <w:numPr>
          <w:ilvl w:val="0"/>
          <w:numId w:val="13"/>
        </w:numPr>
      </w:pPr>
      <w:r>
        <w:t>details of any special voting right structure (if applicable).</w:t>
      </w:r>
    </w:p>
    <w:p w:rsidR="009E362B" w:rsidRDefault="00D22D13">
      <w:pPr>
        <w:pStyle w:val="Heading2"/>
      </w:pPr>
      <w:bookmarkStart w:id="8" w:name="Xdc815b39dd30b128cf9cfb79cf83e00bcda03e5"/>
      <w:r>
        <w:t>HKEX-listed Companies’ Obligations on Breach of the Ongoing Public Float Requirement</w:t>
      </w:r>
      <w:bookmarkEnd w:id="8"/>
    </w:p>
    <w:p w:rsidR="009E362B" w:rsidRDefault="00D22D13">
      <w:pPr>
        <w:pStyle w:val="FirstParagraph"/>
      </w:pPr>
      <w:r>
        <w:t>Under the revised regime, the HKEX will discontinue its previous practice of automatically suspending trading in the shares of a listed company that breaches the ongoing public float requirement. Instead, breach of the applicable public float threshold tri</w:t>
      </w:r>
      <w:r>
        <w:t>ggers the obligations described below.</w:t>
      </w:r>
    </w:p>
    <w:p w:rsidR="009E362B" w:rsidRPr="00D22D13" w:rsidRDefault="00D22D13">
      <w:pPr>
        <w:pStyle w:val="Heading3"/>
        <w:rPr>
          <w:color w:val="auto"/>
        </w:rPr>
      </w:pPr>
      <w:bookmarkStart w:id="9" w:name="public-float-restoration"/>
      <w:r w:rsidRPr="00D22D13">
        <w:rPr>
          <w:color w:val="auto"/>
        </w:rPr>
        <w:t>Public Float Restoration</w:t>
      </w:r>
      <w:bookmarkEnd w:id="9"/>
    </w:p>
    <w:p w:rsidR="009E362B" w:rsidRDefault="00D22D13">
      <w:pPr>
        <w:pStyle w:val="FirstParagraph"/>
      </w:pPr>
      <w:r>
        <w:t>As under the previous HKEX Listing Rules, the listed company must take active steps to restore its public float to the applicable ongoing public float threshold (i.e., its Initial Prescribed T</w:t>
      </w:r>
      <w:r>
        <w:t>hreshold or the Alternative Threshold or, in the case of PRC issuers with other listed shares, the relevant bespoke ongoing public float threshold) as soon as possible.</w:t>
      </w:r>
      <w:hyperlink w:anchor="footnote-643-19">
        <w:r>
          <w:rPr>
            <w:vertAlign w:val="superscript"/>
          </w:rPr>
          <w:t>19</w:t>
        </w:r>
      </w:hyperlink>
      <w:r>
        <w:t xml:space="preserve"> According to </w:t>
      </w:r>
      <w:hyperlink r:id="rId14">
        <w:r w:rsidRPr="00D22D13">
          <w:rPr>
            <w:color w:val="FF0000"/>
            <w:u w:val="single"/>
          </w:rPr>
          <w:t>Guidance Letter HKEX-GL121-26</w:t>
        </w:r>
      </w:hyperlink>
      <w:r>
        <w:t>,</w:t>
      </w:r>
      <w:hyperlink w:anchor="footnote-643-20">
        <w:r>
          <w:rPr>
            <w:vertAlign w:val="superscript"/>
          </w:rPr>
          <w:t>20</w:t>
        </w:r>
      </w:hyperlink>
      <w:r>
        <w:t xml:space="preserve"> the company’s board should promptly formulate and announce a viab</w:t>
      </w:r>
      <w:r>
        <w:t>le restoration plan, setting out a clear timeline for each stage of implementation to demonstrate that the required minimum public float will be restored within a reasonable period.</w:t>
      </w:r>
    </w:p>
    <w:p w:rsidR="009E362B" w:rsidRPr="00D22D13" w:rsidRDefault="00D22D13">
      <w:pPr>
        <w:pStyle w:val="Heading3"/>
        <w:rPr>
          <w:color w:val="auto"/>
        </w:rPr>
      </w:pPr>
      <w:bookmarkStart w:id="10" w:name="initial-announcement"/>
      <w:r w:rsidRPr="00D22D13">
        <w:rPr>
          <w:color w:val="auto"/>
        </w:rPr>
        <w:t>Initial Announcement</w:t>
      </w:r>
      <w:bookmarkEnd w:id="10"/>
    </w:p>
    <w:p w:rsidR="009E362B" w:rsidRDefault="00D22D13">
      <w:pPr>
        <w:pStyle w:val="FirstParagraph"/>
      </w:pPr>
      <w:r>
        <w:t>An HKEX-listed company must publish an announcement o</w:t>
      </w:r>
      <w:r>
        <w:t>f the HKEX Listing Rule breach within one business day of becoming aware of it, setting out:</w:t>
      </w:r>
      <w:hyperlink w:anchor="footnote-643-21">
        <w:r>
          <w:rPr>
            <w:vertAlign w:val="superscript"/>
          </w:rPr>
          <w:t>21</w:t>
        </w:r>
      </w:hyperlink>
    </w:p>
    <w:p w:rsidR="009E362B" w:rsidRDefault="00D22D13">
      <w:pPr>
        <w:numPr>
          <w:ilvl w:val="0"/>
          <w:numId w:val="14"/>
        </w:numPr>
      </w:pPr>
      <w:r>
        <w:t>the percentage of its public float;</w:t>
      </w:r>
    </w:p>
    <w:p w:rsidR="009E362B" w:rsidRDefault="00D22D13">
      <w:pPr>
        <w:numPr>
          <w:ilvl w:val="0"/>
          <w:numId w:val="14"/>
        </w:numPr>
      </w:pPr>
      <w:r>
        <w:t>for a listed company relying on the Alternative Threshold and a PRC issuer with other l</w:t>
      </w:r>
      <w:r>
        <w:t>isted shares relying on the market value threshold of Listing Rule 19A.28B(2)(a), the market value of its public float at the date of the Listing Rule breach;</w:t>
      </w:r>
    </w:p>
    <w:p w:rsidR="009E362B" w:rsidRDefault="00D22D13">
      <w:pPr>
        <w:numPr>
          <w:ilvl w:val="0"/>
          <w:numId w:val="14"/>
        </w:numPr>
      </w:pPr>
      <w:r>
        <w:t>the reasons for the Listing Rule breach;</w:t>
      </w:r>
    </w:p>
    <w:p w:rsidR="009E362B" w:rsidRDefault="00D22D13">
      <w:pPr>
        <w:numPr>
          <w:ilvl w:val="0"/>
          <w:numId w:val="14"/>
        </w:numPr>
      </w:pPr>
      <w:r>
        <w:t xml:space="preserve">its plan and expected timeline for restoring its public </w:t>
      </w:r>
      <w:r>
        <w:t>float; and</w:t>
      </w:r>
    </w:p>
    <w:p w:rsidR="009E362B" w:rsidRDefault="00D22D13">
      <w:pPr>
        <w:numPr>
          <w:ilvl w:val="0"/>
          <w:numId w:val="14"/>
        </w:numPr>
      </w:pPr>
      <w:r>
        <w:t>the composition of ownership of the share class listed on the HKEX.</w:t>
      </w:r>
    </w:p>
    <w:p w:rsidR="009E362B" w:rsidRDefault="00D22D13">
      <w:pPr>
        <w:pStyle w:val="FirstParagraph"/>
      </w:pPr>
      <w:r>
        <w:lastRenderedPageBreak/>
        <w:t>Where a listed company is unable to finalise the details of its restoration plan at the time of the initial announcement, it can set out those details in a subsequent announceme</w:t>
      </w:r>
      <w:r>
        <w:t>nt, which must be published within 15 business days of it becoming aware of its breach of the public float requirement.</w:t>
      </w:r>
    </w:p>
    <w:p w:rsidR="009E362B" w:rsidRPr="00D22D13" w:rsidRDefault="00D22D13">
      <w:pPr>
        <w:pStyle w:val="Heading3"/>
        <w:rPr>
          <w:color w:val="auto"/>
        </w:rPr>
      </w:pPr>
      <w:bookmarkStart w:id="11" w:name="subsequent-monthly-update-announcements"/>
      <w:r w:rsidRPr="00D22D13">
        <w:rPr>
          <w:color w:val="auto"/>
        </w:rPr>
        <w:t>Subsequent Monthly Update Announcements</w:t>
      </w:r>
      <w:bookmarkEnd w:id="11"/>
    </w:p>
    <w:p w:rsidR="009E362B" w:rsidRDefault="00D22D13">
      <w:pPr>
        <w:pStyle w:val="FirstParagraph"/>
      </w:pPr>
      <w:r>
        <w:t>A listed company in breach of the ongoing public float requirement must publish monthly announce</w:t>
      </w:r>
      <w:r>
        <w:t>ments no later than the date of its monthly return</w:t>
      </w:r>
      <w:hyperlink w:anchor="footnote-643-22">
        <w:r>
          <w:rPr>
            <w:vertAlign w:val="superscript"/>
          </w:rPr>
          <w:t>22</w:t>
        </w:r>
      </w:hyperlink>
      <w:r>
        <w:t xml:space="preserve"> setting out:</w:t>
      </w:r>
    </w:p>
    <w:p w:rsidR="009E362B" w:rsidRDefault="00D22D13">
      <w:pPr>
        <w:numPr>
          <w:ilvl w:val="0"/>
          <w:numId w:val="15"/>
        </w:numPr>
      </w:pPr>
      <w:r>
        <w:t>its public float percentage;</w:t>
      </w:r>
    </w:p>
    <w:p w:rsidR="009E362B" w:rsidRDefault="00D22D13">
      <w:pPr>
        <w:numPr>
          <w:ilvl w:val="0"/>
          <w:numId w:val="15"/>
        </w:numPr>
      </w:pPr>
      <w:r>
        <w:t>for a listed company relying on the Alternative Threshold and a PRC issuer with other listed shares relying on the market v</w:t>
      </w:r>
      <w:r>
        <w:t>alue threshold of Listing Rule 19A.28B(2)(a), the market value of its public float at the date of the HKEX Listing Rule breach;</w:t>
      </w:r>
    </w:p>
    <w:p w:rsidR="009E362B" w:rsidRDefault="00D22D13">
      <w:pPr>
        <w:numPr>
          <w:ilvl w:val="0"/>
          <w:numId w:val="15"/>
        </w:numPr>
      </w:pPr>
      <w:r>
        <w:t>the status of its public float restoration plan, including actions taken during the relevant period to restore its public float;</w:t>
      </w:r>
      <w:r>
        <w:t xml:space="preserve"> and</w:t>
      </w:r>
    </w:p>
    <w:p w:rsidR="009E362B" w:rsidRDefault="00D22D13">
      <w:pPr>
        <w:numPr>
          <w:ilvl w:val="0"/>
          <w:numId w:val="15"/>
        </w:numPr>
      </w:pPr>
      <w:r>
        <w:t>the expected timing of its public float restoration.</w:t>
      </w:r>
    </w:p>
    <w:p w:rsidR="009E362B" w:rsidRPr="00D22D13" w:rsidRDefault="00D22D13">
      <w:pPr>
        <w:pStyle w:val="Heading3"/>
        <w:rPr>
          <w:color w:val="auto"/>
        </w:rPr>
      </w:pPr>
      <w:bookmarkStart w:id="12" w:name="X1d1f72ceb927fc40ffaece968632de27f27047e"/>
      <w:r w:rsidRPr="00D22D13">
        <w:rPr>
          <w:color w:val="auto"/>
        </w:rPr>
        <w:t>Restrictions on Actions that may Further Reduce HKEX-listed Companies’ Public Float</w:t>
      </w:r>
      <w:bookmarkEnd w:id="12"/>
    </w:p>
    <w:p w:rsidR="009E362B" w:rsidRDefault="00D22D13">
      <w:pPr>
        <w:pStyle w:val="FirstParagraph"/>
      </w:pPr>
      <w:r>
        <w:t>For so long as an HKEX-listed company is in breach of the ongoing public float threshold, the company and its dire</w:t>
      </w:r>
      <w:r>
        <w:t>ctors (and supervisors in the case of a PRC issuer) must not (and must use their best endeavours to ensure that their close associates do not) take any action that could further reduce the company’s public float percentage, unless the circumstances are exc</w:t>
      </w:r>
      <w:r>
        <w:t>eptional.</w:t>
      </w:r>
      <w:hyperlink w:anchor="footnote-643-23">
        <w:r>
          <w:rPr>
            <w:vertAlign w:val="superscript"/>
          </w:rPr>
          <w:t>23</w:t>
        </w:r>
      </w:hyperlink>
      <w:r>
        <w:t xml:space="preserve"> This prohibition also applies to any action taken in accordance with a pre-existing arrangement entered into before the breach of the ongoing public float obligation.</w:t>
      </w:r>
      <w:hyperlink w:anchor="footnote-643-24">
        <w:r>
          <w:rPr>
            <w:vertAlign w:val="superscript"/>
          </w:rPr>
          <w:t>24</w:t>
        </w:r>
      </w:hyperlink>
      <w:r>
        <w:t xml:space="preserve"> Examples of actions that could reduce the public float include a share repurchase by the HKEX-listed company, or an acquisition of shares by its directors or their close associates.</w:t>
      </w:r>
    </w:p>
    <w:p w:rsidR="009E362B" w:rsidRDefault="00D22D13">
      <w:pPr>
        <w:pStyle w:val="BodyText"/>
      </w:pPr>
      <w:r>
        <w:t xml:space="preserve">According to </w:t>
      </w:r>
      <w:hyperlink r:id="rId15">
        <w:r w:rsidRPr="00D22D13">
          <w:rPr>
            <w:color w:val="FF0000"/>
            <w:u w:val="single"/>
          </w:rPr>
          <w:t>Guidance Letter HKEX-GL121-26</w:t>
        </w:r>
      </w:hyperlink>
      <w:r>
        <w:t>,</w:t>
      </w:r>
      <w:hyperlink w:anchor="footnote-643-25">
        <w:r>
          <w:rPr>
            <w:vertAlign w:val="superscript"/>
          </w:rPr>
          <w:t>25</w:t>
        </w:r>
      </w:hyperlink>
      <w:r>
        <w:t xml:space="preserve"> ‘exceptional circumstances’ will include where a listed company: seeks to privatise and rep</w:t>
      </w:r>
      <w:r>
        <w:t>urchases shares under a general offer; acts in compliance with a court order or regulatory enforcement action; or holds shares temporarily under a pre-existing arrangement and disposes of the shares in a transaction to restore its public float.</w:t>
      </w:r>
    </w:p>
    <w:p w:rsidR="009E362B" w:rsidRDefault="00D22D13">
      <w:pPr>
        <w:pStyle w:val="BodyText"/>
      </w:pPr>
      <w:r>
        <w:t>The Guidanc</w:t>
      </w:r>
      <w:r>
        <w:t>e Letter also provides that the HKEX may sanction any person specified in Main Board Listing Rule 2A.09(1) or GEM Listing Rule 3.10(1), including a listed company’s directors, substantial shareholders and senior management, if they cause, or knowingly part</w:t>
      </w:r>
      <w:r>
        <w:t>icipate in, a listed company’s breach of the HKEX Listing Rules.</w:t>
      </w:r>
      <w:hyperlink w:anchor="footnote-643-26">
        <w:r>
          <w:rPr>
            <w:vertAlign w:val="superscript"/>
          </w:rPr>
          <w:t>26</w:t>
        </w:r>
      </w:hyperlink>
    </w:p>
    <w:p w:rsidR="009E362B" w:rsidRDefault="00D22D13">
      <w:pPr>
        <w:pStyle w:val="Heading2"/>
      </w:pPr>
      <w:bookmarkStart w:id="13" w:name="X69edf4f91e229ac19437ed53416bb631a8ecd6f"/>
      <w:r>
        <w:t>Consequences of Significant Public Float Shortfall</w:t>
      </w:r>
      <w:bookmarkEnd w:id="13"/>
    </w:p>
    <w:p w:rsidR="009E362B" w:rsidRPr="00D22D13" w:rsidRDefault="00D22D13">
      <w:pPr>
        <w:pStyle w:val="Heading3"/>
        <w:rPr>
          <w:color w:val="auto"/>
        </w:rPr>
      </w:pPr>
      <w:bookmarkStart w:id="14" w:name="Xc1f29543bbab489361ea050f4a845773c8e0ab4"/>
      <w:r w:rsidRPr="00D22D13">
        <w:rPr>
          <w:color w:val="auto"/>
        </w:rPr>
        <w:t>Thresholds for Significant Public Float Shortfall</w:t>
      </w:r>
      <w:bookmarkEnd w:id="14"/>
    </w:p>
    <w:p w:rsidR="009E362B" w:rsidRDefault="00D22D13">
      <w:pPr>
        <w:pStyle w:val="FirstParagraph"/>
      </w:pPr>
      <w:r>
        <w:t>Under the revised HKEX Listing Rules,</w:t>
      </w:r>
      <w:hyperlink w:anchor="footnote-643-27">
        <w:r>
          <w:rPr>
            <w:vertAlign w:val="superscript"/>
          </w:rPr>
          <w:t>27</w:t>
        </w:r>
      </w:hyperlink>
      <w:r>
        <w:t xml:space="preserve"> a public float shortfall will constitute a “Significant Public Float Shortfall” unless the listed company’s publicly held HKEX-listed shares:</w:t>
      </w:r>
    </w:p>
    <w:p w:rsidR="009E362B" w:rsidRDefault="00D22D13">
      <w:pPr>
        <w:numPr>
          <w:ilvl w:val="0"/>
          <w:numId w:val="16"/>
        </w:numPr>
      </w:pPr>
      <w:r>
        <w:t>represent at least 15% of the total issued shares in the class (or at least 50% of the Initial Prescribed Threshold for listed companies with a minimum public float percentage below 25% at initial listing); or</w:t>
      </w:r>
    </w:p>
    <w:p w:rsidR="009E362B" w:rsidRDefault="00D22D13">
      <w:pPr>
        <w:numPr>
          <w:ilvl w:val="0"/>
          <w:numId w:val="16"/>
        </w:numPr>
      </w:pPr>
      <w:r>
        <w:t>have a market value of at least HK$500 million</w:t>
      </w:r>
      <w:r>
        <w:t xml:space="preserve"> and constitute at least 5% of the total number of issued shares in the class of listed shares (excluding treasury shares). However, this second limb does not apply if the listed company’s shares have traded for less than 125 trading days since listing.</w:t>
      </w:r>
    </w:p>
    <w:p w:rsidR="009E362B" w:rsidRDefault="00D22D13">
      <w:pPr>
        <w:pStyle w:val="FirstParagraph"/>
      </w:pPr>
      <w:r>
        <w:lastRenderedPageBreak/>
        <w:t>Fo</w:t>
      </w:r>
      <w:r>
        <w:t>r PRC issuers with other listed shares, a public float shortfall will be deemed a Significant Public Float Shortfall unless their publicly held H shares:</w:t>
      </w:r>
    </w:p>
    <w:p w:rsidR="009E362B" w:rsidRDefault="00D22D13">
      <w:pPr>
        <w:numPr>
          <w:ilvl w:val="0"/>
          <w:numId w:val="17"/>
        </w:numPr>
      </w:pPr>
      <w:r>
        <w:t>have a market value of at least HK$500 million; or</w:t>
      </w:r>
    </w:p>
    <w:p w:rsidR="009E362B" w:rsidRDefault="00D22D13">
      <w:pPr>
        <w:numPr>
          <w:ilvl w:val="0"/>
          <w:numId w:val="17"/>
        </w:numPr>
      </w:pPr>
      <w:r>
        <w:t>represent at least 5% of the total number of shares in the same class as the H shares (excluding treasury shares).</w:t>
      </w:r>
      <w:hyperlink w:anchor="footnote-643-28">
        <w:r>
          <w:rPr>
            <w:vertAlign w:val="superscript"/>
          </w:rPr>
          <w:t>28</w:t>
        </w:r>
      </w:hyperlink>
    </w:p>
    <w:p w:rsidR="009E362B" w:rsidRDefault="00D22D13">
      <w:pPr>
        <w:pStyle w:val="FirstParagraph"/>
      </w:pPr>
      <w:r>
        <w:t>The threshold for a Significant Public Float Shortfall applicable to PRC issuers with other listed sh</w:t>
      </w:r>
      <w:r>
        <w:t>ares also applies to non-PRC issuers that have part of their share class listed on a PRC stock exchange (e.g., RMB-denominated shares listed on a PRC exchange by a non-PRC company). This applies when those shares are in the same class as, but are not fungi</w:t>
      </w:r>
      <w:r>
        <w:t>ble with, the shares listed on the HKEX. In this context, references to “H shares” are adjusted to mean the shares listed on the HKEX.</w:t>
      </w:r>
    </w:p>
    <w:p w:rsidR="009E362B" w:rsidRPr="00D22D13" w:rsidRDefault="00D22D13">
      <w:pPr>
        <w:pStyle w:val="Heading3"/>
        <w:rPr>
          <w:color w:val="auto"/>
        </w:rPr>
      </w:pPr>
      <w:bookmarkStart w:id="15" w:name="introduction-of-a-special-stock-marker"/>
      <w:r w:rsidRPr="00D22D13">
        <w:rPr>
          <w:color w:val="auto"/>
        </w:rPr>
        <w:t>Introduction of a Special Stock Marker</w:t>
      </w:r>
      <w:bookmarkEnd w:id="15"/>
    </w:p>
    <w:p w:rsidR="009E362B" w:rsidRDefault="00D22D13">
      <w:pPr>
        <w:pStyle w:val="FirstParagraph"/>
      </w:pPr>
      <w:r>
        <w:t>As mentioned above, the HKEX will no longer automatically suspend trading in a lis</w:t>
      </w:r>
      <w:r>
        <w:t>ted company’s shares if it breaches the ongoing public float requirement. However, listed companies with a Significant Public Float Shortfall will be marked with a special stock identifier in their stock short name.</w:t>
      </w:r>
    </w:p>
    <w:p w:rsidR="009E362B" w:rsidRPr="00D22D13" w:rsidRDefault="00D22D13">
      <w:pPr>
        <w:pStyle w:val="Heading3"/>
        <w:rPr>
          <w:color w:val="auto"/>
        </w:rPr>
      </w:pPr>
      <w:bookmarkStart w:id="16" w:name="Xeeacb378b63df11a0f7b255e5093bc0ac58f7ea"/>
      <w:r w:rsidRPr="00D22D13">
        <w:rPr>
          <w:color w:val="auto"/>
        </w:rPr>
        <w:t>Disclosure obligations for HKEX-listed C</w:t>
      </w:r>
      <w:r w:rsidRPr="00D22D13">
        <w:rPr>
          <w:color w:val="auto"/>
        </w:rPr>
        <w:t>ompanies with Significant Public Float Shortfall</w:t>
      </w:r>
      <w:bookmarkEnd w:id="16"/>
    </w:p>
    <w:p w:rsidR="009E362B" w:rsidRDefault="00D22D13">
      <w:pPr>
        <w:pStyle w:val="FirstParagraph"/>
      </w:pPr>
      <w:r>
        <w:t>HKEX-listed companies with a Significant Public Float Shortfall are subject to the following additional disclosure obligations.</w:t>
      </w:r>
    </w:p>
    <w:p w:rsidR="009E362B" w:rsidRDefault="00D22D13">
      <w:pPr>
        <w:numPr>
          <w:ilvl w:val="0"/>
          <w:numId w:val="18"/>
        </w:numPr>
      </w:pPr>
      <w:r>
        <w:rPr>
          <w:b/>
          <w:i/>
        </w:rPr>
        <w:t>Announcement:</w:t>
      </w:r>
      <w:r>
        <w:t xml:space="preserve"> Listed companies must publish an announcement within one business</w:t>
      </w:r>
      <w:r>
        <w:t xml:space="preserve"> day of becoming aware of a Significant Public Float Shortfall to inform the public that such a shortfall has occurred.</w:t>
      </w:r>
      <w:hyperlink w:anchor="footnote-643-29">
        <w:r>
          <w:rPr>
            <w:vertAlign w:val="superscript"/>
          </w:rPr>
          <w:t>29</w:t>
        </w:r>
      </w:hyperlink>
      <w:r>
        <w:t xml:space="preserve"> This announcement obligation is additional to the listed company’s obligation to publish an init</w:t>
      </w:r>
      <w:r>
        <w:t>ial announcement and ongoing monthly announcements with respect to its breach of the public float requirement; and</w:t>
      </w:r>
    </w:p>
    <w:p w:rsidR="009E362B" w:rsidRDefault="00D22D13">
      <w:pPr>
        <w:numPr>
          <w:ilvl w:val="0"/>
          <w:numId w:val="18"/>
        </w:numPr>
      </w:pPr>
      <w:r>
        <w:rPr>
          <w:b/>
          <w:i/>
        </w:rPr>
        <w:t>Clear Warning Regarding Low Public Float:</w:t>
      </w:r>
      <w:r>
        <w:t xml:space="preserve"> Listed companies must include a prominent warning statement on the front cover or inside front cove</w:t>
      </w:r>
      <w:r>
        <w:t>r or as a heading in all listing documents, circulars, announcements or notices published under the HKEX Listing Rules. This warning statement must be in the form set out in the Listing Rules.</w:t>
      </w:r>
      <w:hyperlink w:anchor="footnote-643-30">
        <w:r>
          <w:rPr>
            <w:vertAlign w:val="superscript"/>
          </w:rPr>
          <w:t>30</w:t>
        </w:r>
      </w:hyperlink>
      <w:r>
        <w:t xml:space="preserve"> It must state that the </w:t>
      </w:r>
      <w:r>
        <w:t>listed company has experienced a Significant Public Float Shortfall and that its shares will be delisted if it does not restore its public float to the required ongoing public float threshold within 18 months for Main Board-listed companies or 12 months fo</w:t>
      </w:r>
      <w:r>
        <w:t>r GEM-listed companies.</w:t>
      </w:r>
    </w:p>
    <w:p w:rsidR="009E362B" w:rsidRPr="00D22D13" w:rsidRDefault="00D22D13">
      <w:pPr>
        <w:pStyle w:val="Heading3"/>
        <w:rPr>
          <w:color w:val="auto"/>
        </w:rPr>
      </w:pPr>
      <w:bookmarkStart w:id="17" w:name="delisting"/>
      <w:r w:rsidRPr="00D22D13">
        <w:rPr>
          <w:color w:val="auto"/>
        </w:rPr>
        <w:t>Delisting</w:t>
      </w:r>
      <w:bookmarkEnd w:id="17"/>
    </w:p>
    <w:p w:rsidR="009E362B" w:rsidRDefault="00D22D13">
      <w:pPr>
        <w:pStyle w:val="FirstParagraph"/>
      </w:pPr>
      <w:r>
        <w:t>The HKEX will cancel the listing of a listed company’s shares if it fails to restore its public float to meet the applicable ongoing public float threshold within 18 months (or 12 months for companies listed on GEM) from t</w:t>
      </w:r>
      <w:r>
        <w:t>he date on which the Significant Public Float Shortfall occurred.</w:t>
      </w:r>
      <w:hyperlink w:anchor="footnote-643-31">
        <w:r>
          <w:rPr>
            <w:vertAlign w:val="superscript"/>
          </w:rPr>
          <w:t>31</w:t>
        </w:r>
      </w:hyperlink>
    </w:p>
    <w:p w:rsidR="009E362B" w:rsidRPr="00D22D13" w:rsidRDefault="00D22D13">
      <w:pPr>
        <w:pStyle w:val="Heading3"/>
        <w:rPr>
          <w:color w:val="auto"/>
        </w:rPr>
      </w:pPr>
      <w:bookmarkStart w:id="18" w:name="removal-of-the-special-stock-marker"/>
      <w:r w:rsidRPr="00D22D13">
        <w:rPr>
          <w:color w:val="auto"/>
        </w:rPr>
        <w:t>Removal of the Special Stock Marker</w:t>
      </w:r>
      <w:bookmarkEnd w:id="18"/>
    </w:p>
    <w:p w:rsidR="009E362B" w:rsidRDefault="00D22D13">
      <w:pPr>
        <w:pStyle w:val="FirstParagraph"/>
      </w:pPr>
      <w:r>
        <w:t>The HKEX will remove the special stock marker only once the listed company has restored its public float to the ap</w:t>
      </w:r>
      <w:r>
        <w:t>plicable ongoing public float threshold and published an announcement confirming such restoration.</w:t>
      </w:r>
    </w:p>
    <w:p w:rsidR="009E362B" w:rsidRPr="00D22D13" w:rsidRDefault="00D22D13">
      <w:pPr>
        <w:pStyle w:val="Heading3"/>
        <w:rPr>
          <w:color w:val="auto"/>
        </w:rPr>
      </w:pPr>
      <w:bookmarkStart w:id="19" w:name="suspension-of-trading"/>
      <w:r w:rsidRPr="00D22D13">
        <w:rPr>
          <w:color w:val="auto"/>
        </w:rPr>
        <w:lastRenderedPageBreak/>
        <w:t>Suspension of Trading</w:t>
      </w:r>
      <w:bookmarkEnd w:id="19"/>
    </w:p>
    <w:p w:rsidR="009E362B" w:rsidRDefault="00D22D13">
      <w:pPr>
        <w:pStyle w:val="FirstParagraph"/>
      </w:pPr>
      <w:r>
        <w:t>Although the HKEX will not halt trading in a listed company’s shares solely because of a public float shortfall, it retains the authori</w:t>
      </w:r>
      <w:r>
        <w:t>ty to order a trading halt or suspend dealings in any listed company’s securities if there are signs of a false market.</w:t>
      </w:r>
      <w:hyperlink w:anchor="footnote-643-32">
        <w:r>
          <w:rPr>
            <w:vertAlign w:val="superscript"/>
          </w:rPr>
          <w:t>32</w:t>
        </w:r>
      </w:hyperlink>
    </w:p>
    <w:p w:rsidR="009E362B" w:rsidRPr="00D22D13" w:rsidRDefault="00D22D13">
      <w:pPr>
        <w:pStyle w:val="Heading3"/>
        <w:rPr>
          <w:color w:val="auto"/>
        </w:rPr>
      </w:pPr>
      <w:bookmarkStart w:id="20" w:name="X6acbbc09cb8958f5813458f43033c0620823dbb"/>
      <w:r w:rsidRPr="00D22D13">
        <w:rPr>
          <w:color w:val="auto"/>
        </w:rPr>
        <w:t>Concentration of Shareholdings of HKEX-listed Company</w:t>
      </w:r>
      <w:bookmarkEnd w:id="20"/>
    </w:p>
    <w:p w:rsidR="009E362B" w:rsidRDefault="00D22D13">
      <w:pPr>
        <w:pStyle w:val="FirstParagraph"/>
      </w:pPr>
      <w:r>
        <w:t>If the HKEX suspects that a listed company</w:t>
      </w:r>
      <w:r>
        <w:t>’s securities may be predominantly held by a small group of shareholders to the detriment or without the knowledge of the investing public, it has the right to require the listed company to:</w:t>
      </w:r>
    </w:p>
    <w:p w:rsidR="009E362B" w:rsidRDefault="00D22D13">
      <w:pPr>
        <w:numPr>
          <w:ilvl w:val="0"/>
          <w:numId w:val="19"/>
        </w:numPr>
      </w:pPr>
      <w:r>
        <w:t>publish an announcement informing investors that shareholding may</w:t>
      </w:r>
      <w:r>
        <w:t xml:space="preserve"> be concentrated among a few shareholders and advising caution when trading in its securities; and</w:t>
      </w:r>
    </w:p>
    <w:p w:rsidR="009E362B" w:rsidRDefault="00D22D13">
      <w:pPr>
        <w:numPr>
          <w:ilvl w:val="0"/>
          <w:numId w:val="19"/>
        </w:numPr>
      </w:pPr>
      <w:r>
        <w:t>conduct an investigation under section 329 of the SFO and publish the results of that investigation.</w:t>
      </w:r>
      <w:hyperlink w:anchor="footnote-643-33">
        <w:r>
          <w:rPr>
            <w:vertAlign w:val="superscript"/>
          </w:rPr>
          <w:t>33</w:t>
        </w:r>
      </w:hyperlink>
    </w:p>
    <w:p w:rsidR="009E362B" w:rsidRDefault="00D22D13">
      <w:pPr>
        <w:pStyle w:val="Heading2"/>
      </w:pPr>
      <w:bookmarkStart w:id="21" w:name="sfc-takeovers-code-offers"/>
      <w:r>
        <w:t>SFC Takeovers Co</w:t>
      </w:r>
      <w:r>
        <w:t>de Offers</w:t>
      </w:r>
      <w:bookmarkEnd w:id="21"/>
    </w:p>
    <w:p w:rsidR="009E362B" w:rsidRDefault="00D22D13">
      <w:pPr>
        <w:pStyle w:val="FirstParagraph"/>
      </w:pPr>
      <w:r>
        <w:t>The HKEX has retained the requirement for Takeovers Code offerors to:</w:t>
      </w:r>
    </w:p>
    <w:p w:rsidR="009E362B" w:rsidRDefault="00D22D13">
      <w:pPr>
        <w:numPr>
          <w:ilvl w:val="0"/>
          <w:numId w:val="20"/>
        </w:numPr>
      </w:pPr>
      <w:r>
        <w:t>undertake to restore any public float shortfall upon completing an offer under the Takeovers Code if they intend the company to remain listed; and</w:t>
      </w:r>
    </w:p>
    <w:p w:rsidR="009E362B" w:rsidRDefault="00D22D13">
      <w:pPr>
        <w:numPr>
          <w:ilvl w:val="0"/>
          <w:numId w:val="20"/>
        </w:numPr>
      </w:pPr>
      <w:r>
        <w:t xml:space="preserve">disclose this undertaking in </w:t>
      </w:r>
      <w:r>
        <w:t>the offer document.</w:t>
      </w:r>
    </w:p>
    <w:p w:rsidR="009E362B" w:rsidRDefault="00D22D13">
      <w:pPr>
        <w:pStyle w:val="FirstParagraph"/>
      </w:pPr>
      <w:r>
        <w:t>The HKEX will also retain the practice of granting listed companies a timing-relief waiver from the ongoing public float requirement for a reasonable period following a general offer, to allow time for restoration of the public float un</w:t>
      </w:r>
      <w:r>
        <w:t>der Main Board Listing Rule 13.33 and GEM Listing Rule 17.38B. However, a timing-relief waiver will not be granted to listed companies with a Significant Public Float Shortfall after completion of the general offer.</w:t>
      </w:r>
    </w:p>
    <w:p w:rsidR="009E362B" w:rsidRDefault="00D22D13">
      <w:pPr>
        <w:pStyle w:val="BodyText"/>
      </w:pPr>
      <w:r>
        <w:t>Companies that are granted a timing-reli</w:t>
      </w:r>
      <w:r>
        <w:t>ef waiver from the ongoing public float requirement must comply with the requirements for listed companies in breach of the public float requirement under Main Board Listing Rule 13.32E and GEM Listing Rule 17.37E.</w:t>
      </w:r>
    </w:p>
    <w:p w:rsidR="009E362B" w:rsidRDefault="00D22D13">
      <w:pPr>
        <w:pStyle w:val="BodyText"/>
      </w:pPr>
      <w:r>
        <w:t>The HKEX Listing Rules have also been ame</w:t>
      </w:r>
      <w:r>
        <w:t>nded to require offer documents to contain a prominent statement in the form set out in Main Board Listing Rule 14.81(3) (GEM Listing Rule 19.81(3)) highlighting that a special stock marker may be imposed if there is a Significant Public Float Shortfall on</w:t>
      </w:r>
      <w:r>
        <w:t xml:space="preserve"> completion of the offer, and that the company could face delisting if it does not restore its public float within 18 months (or 12 months for GEM-listed companies) of the date on which the Significant Public Float Shortfall occurred.</w:t>
      </w:r>
    </w:p>
    <w:p w:rsidR="009E362B" w:rsidRDefault="00D22D13">
      <w:pPr>
        <w:pStyle w:val="BodyText"/>
      </w:pPr>
      <w:hyperlink w:anchor="footnote-643-1-backlink">
        <w:r>
          <w:t>1</w:t>
        </w:r>
      </w:hyperlink>
      <w:r>
        <w:t xml:space="preserve"> MB LRs 13.32B(1) and 19A.28B(1)(a) and GEM LRs 17.37B(1) and 25.21B(1)(a)</w:t>
      </w:r>
    </w:p>
    <w:p w:rsidR="009E362B" w:rsidRDefault="00D22D13">
      <w:pPr>
        <w:pStyle w:val="BodyText"/>
      </w:pPr>
      <w:hyperlink w:anchor="footnote-643-2-backlink">
        <w:r>
          <w:t>2</w:t>
        </w:r>
      </w:hyperlink>
      <w:r>
        <w:t xml:space="preserve"> MB LR 13.32B(2) and 19A.28B(1)(b) and GEM LRs 17.37B(2) and 25.21B(1)(b)</w:t>
      </w:r>
    </w:p>
    <w:p w:rsidR="009E362B" w:rsidRDefault="00D22D13">
      <w:pPr>
        <w:pStyle w:val="BodyText"/>
      </w:pPr>
      <w:hyperlink w:anchor="footnote-643-3-backlink">
        <w:r>
          <w:t>3</w:t>
        </w:r>
      </w:hyperlink>
      <w:r>
        <w:t xml:space="preserve"> MB LR 13.32B(2) and 19A.28B(1)(b) and GEM LRs 17.37B(2) and 25.21B(1)(b)</w:t>
      </w:r>
    </w:p>
    <w:p w:rsidR="009E362B" w:rsidRDefault="00D22D13">
      <w:pPr>
        <w:pStyle w:val="BodyText"/>
      </w:pPr>
      <w:hyperlink w:anchor="footnote-643-4-backlink">
        <w:r>
          <w:t>4</w:t>
        </w:r>
      </w:hyperlink>
      <w:r>
        <w:t xml:space="preserve"> MB LR 13.32B(2) and 19A.28B(1)(b) and GEM LRs 17.37B(2) and 25.21B(1)(b)</w:t>
      </w:r>
    </w:p>
    <w:p w:rsidR="009E362B" w:rsidRDefault="00D22D13">
      <w:pPr>
        <w:pStyle w:val="BodyText"/>
      </w:pPr>
      <w:hyperlink w:anchor="footnote-643-5-backlink">
        <w:r>
          <w:t>5</w:t>
        </w:r>
      </w:hyperlink>
      <w:r>
        <w:t xml:space="preserve"> MB LR 13.32A(3) and 19A.28A(3) / GEM LRs 17.37A(3) and 25.21A(3)</w:t>
      </w:r>
    </w:p>
    <w:p w:rsidR="009E362B" w:rsidRDefault="00D22D13">
      <w:pPr>
        <w:pStyle w:val="BodyText"/>
      </w:pPr>
      <w:hyperlink w:anchor="footnote-643-6-backlink">
        <w:r>
          <w:t>6</w:t>
        </w:r>
      </w:hyperlink>
      <w:r>
        <w:t xml:space="preserve"> MB LR 13.32C and 19A.28C/ GEM LR 17.37C and 25.21C</w:t>
      </w:r>
    </w:p>
    <w:p w:rsidR="009E362B" w:rsidRDefault="00D22D13">
      <w:pPr>
        <w:pStyle w:val="BodyText"/>
      </w:pPr>
      <w:hyperlink w:anchor="footnote-643-7-backlink">
        <w:r>
          <w:t>7</w:t>
        </w:r>
      </w:hyperlink>
      <w:r>
        <w:t xml:space="preserve"> The A shares</w:t>
      </w:r>
      <w:r>
        <w:t xml:space="preserve"> of an A+H issuer will be included in the denominator because A shares and H shares are considered to be the same class of shares under PRC laws and regulations</w:t>
      </w:r>
    </w:p>
    <w:p w:rsidR="009E362B" w:rsidRDefault="00D22D13">
      <w:pPr>
        <w:pStyle w:val="BodyText"/>
      </w:pPr>
      <w:hyperlink w:anchor="footnote-643-8-backlink">
        <w:r>
          <w:t>8</w:t>
        </w:r>
      </w:hyperlink>
      <w:r>
        <w:t xml:space="preserve"> MB LR 19A.28B(2)/ GEM LR 25.21B(2)</w:t>
      </w:r>
    </w:p>
    <w:p w:rsidR="009E362B" w:rsidRDefault="00D22D13">
      <w:pPr>
        <w:pStyle w:val="BodyText"/>
      </w:pPr>
      <w:hyperlink w:anchor="footnote-643-9-backlink">
        <w:r>
          <w:t>9</w:t>
        </w:r>
      </w:hyperlink>
      <w:r>
        <w:t xml:space="preserve"> MBLR 19A/28A(4)/ GEM LR 25.21A(4)</w:t>
      </w:r>
    </w:p>
    <w:p w:rsidR="009E362B" w:rsidRDefault="00D22D13">
      <w:pPr>
        <w:pStyle w:val="BodyText"/>
      </w:pPr>
      <w:hyperlink w:anchor="footnote-643-10-backlink">
        <w:r>
          <w:t>10</w:t>
        </w:r>
      </w:hyperlink>
      <w:r>
        <w:t xml:space="preserve"> MB LRs 13.32D and 19A.28D / GEM LRs 17.37D and 25.21D</w:t>
      </w:r>
    </w:p>
    <w:p w:rsidR="009E362B" w:rsidRDefault="00D22D13">
      <w:pPr>
        <w:pStyle w:val="BodyText"/>
      </w:pPr>
      <w:hyperlink w:anchor="footnote-643-11-backlink">
        <w:r>
          <w:t>11</w:t>
        </w:r>
      </w:hyperlink>
      <w:r>
        <w:t xml:space="preserve"> MB LRs 13.32D(4) and 19A.28D(4) </w:t>
      </w:r>
      <w:r>
        <w:t>/ GEM LRs 17.37D(4) and 25.21D(4)</w:t>
      </w:r>
    </w:p>
    <w:p w:rsidR="009E362B" w:rsidRDefault="00D22D13">
      <w:pPr>
        <w:pStyle w:val="BodyText"/>
      </w:pPr>
      <w:hyperlink w:anchor="footnote-643-12-backlink">
        <w:r>
          <w:t>12</w:t>
        </w:r>
      </w:hyperlink>
      <w:r>
        <w:t xml:space="preserve"> HKEX-GL121-26 at paragraph 10</w:t>
      </w:r>
    </w:p>
    <w:p w:rsidR="009E362B" w:rsidRDefault="00D22D13">
      <w:pPr>
        <w:pStyle w:val="BodyText"/>
      </w:pPr>
      <w:hyperlink w:anchor="footnote-643-13-backlink">
        <w:r>
          <w:t>13</w:t>
        </w:r>
      </w:hyperlink>
      <w:r>
        <w:t xml:space="preserve"> Ibid. at paragraph 11</w:t>
      </w:r>
    </w:p>
    <w:p w:rsidR="009E362B" w:rsidRDefault="00D22D13">
      <w:pPr>
        <w:pStyle w:val="BodyText"/>
      </w:pPr>
      <w:hyperlink w:anchor="footnote-643-14-backlink">
        <w:r>
          <w:t>14</w:t>
        </w:r>
      </w:hyperlink>
      <w:r>
        <w:t xml:space="preserve"> MB LRs 13.32D(2)(c)(</w:t>
      </w:r>
      <w:r>
        <w:t>iii)(1) and 19A.28D(2)(c)(iii)(1)/ GEM LRs 17.37D(2)(c)(iii)(1) and 25.21D(2)(c)(iii)(1)</w:t>
      </w:r>
    </w:p>
    <w:p w:rsidR="009E362B" w:rsidRDefault="00D22D13">
      <w:pPr>
        <w:pStyle w:val="BodyText"/>
      </w:pPr>
      <w:hyperlink w:anchor="footnote-643-15-backlink">
        <w:r>
          <w:t>15</w:t>
        </w:r>
      </w:hyperlink>
      <w:r>
        <w:t xml:space="preserve"> HKEX-GL121-26 at paragraph 12</w:t>
      </w:r>
    </w:p>
    <w:p w:rsidR="009E362B" w:rsidRDefault="00D22D13">
      <w:pPr>
        <w:pStyle w:val="BodyText"/>
      </w:pPr>
      <w:hyperlink w:anchor="footnote-643-16-backlink">
        <w:r>
          <w:t>16</w:t>
        </w:r>
      </w:hyperlink>
      <w:r>
        <w:t xml:space="preserve"> These shares are regarded as being he</w:t>
      </w:r>
      <w:r>
        <w:t>ld “by the public” under the Note to MB LR 8.24/ Note 3 to GEM LR 11.23</w:t>
      </w:r>
    </w:p>
    <w:p w:rsidR="009E362B" w:rsidRDefault="00D22D13">
      <w:pPr>
        <w:pStyle w:val="BodyText"/>
      </w:pPr>
      <w:hyperlink w:anchor="footnote-643-17-backlink">
        <w:r>
          <w:t>17</w:t>
        </w:r>
      </w:hyperlink>
      <w:r>
        <w:t xml:space="preserve"> MB LRs 13.32D(2)(c)(iii)(2) and 19A.28D(2)(c)(iii)(2)/ GEM LRs 17.37D(2)(c)(iii)(2) and 25.21D(2)(c)(iii)(2)</w:t>
      </w:r>
    </w:p>
    <w:p w:rsidR="009E362B" w:rsidRDefault="00D22D13">
      <w:pPr>
        <w:pStyle w:val="BodyText"/>
      </w:pPr>
      <w:hyperlink w:anchor="footnote-643-18-backlink">
        <w:r>
          <w:t>18</w:t>
        </w:r>
      </w:hyperlink>
      <w:r>
        <w:t xml:space="preserve"> HKEX-GL121-26 at paragraph 13</w:t>
      </w:r>
    </w:p>
    <w:p w:rsidR="009E362B" w:rsidRDefault="00D22D13">
      <w:pPr>
        <w:pStyle w:val="BodyText"/>
      </w:pPr>
      <w:hyperlink w:anchor="footnote-643-19-backlink">
        <w:r>
          <w:t>19</w:t>
        </w:r>
      </w:hyperlink>
      <w:r>
        <w:t xml:space="preserve"> MB LRs 13.32E(1) and 19A.28E(1)/ GEM LRs 17.37E(1) and 25.21E(1)</w:t>
      </w:r>
    </w:p>
    <w:p w:rsidR="009E362B" w:rsidRDefault="00D22D13">
      <w:pPr>
        <w:pStyle w:val="BodyText"/>
      </w:pPr>
      <w:hyperlink w:anchor="footnote-643-20-backlink">
        <w:r>
          <w:t>20</w:t>
        </w:r>
      </w:hyperlink>
      <w:r>
        <w:t xml:space="preserve"> HKEX-GL121-26 at paragraph 17</w:t>
      </w:r>
    </w:p>
    <w:p w:rsidR="009E362B" w:rsidRDefault="00D22D13">
      <w:pPr>
        <w:pStyle w:val="BodyText"/>
      </w:pPr>
      <w:hyperlink w:anchor="footnote-643-21-backlink">
        <w:r>
          <w:t>21</w:t>
        </w:r>
      </w:hyperlink>
      <w:r>
        <w:t xml:space="preserve"> MB LRs 13.32E(1)(b) and 19A.28E(1)(b)/ GEM LRs 17.37E(1)(b) and 25.21E(1)(b)</w:t>
      </w:r>
    </w:p>
    <w:p w:rsidR="009E362B" w:rsidRDefault="00D22D13">
      <w:pPr>
        <w:pStyle w:val="BodyText"/>
      </w:pPr>
      <w:hyperlink w:anchor="footnote-643-22-backlink">
        <w:r>
          <w:t>22</w:t>
        </w:r>
      </w:hyperlink>
      <w:r>
        <w:t xml:space="preserve"> MB LRs 13.32E(2)(a) and 19A.28E(2)(a)/ GEM LRs 17.37E(2)(a) and 25.21E(2)(a)</w:t>
      </w:r>
    </w:p>
    <w:p w:rsidR="009E362B" w:rsidRDefault="00D22D13">
      <w:pPr>
        <w:pStyle w:val="BodyText"/>
      </w:pPr>
      <w:hyperlink w:anchor="footnote-643-23-backlink">
        <w:r>
          <w:t>23</w:t>
        </w:r>
      </w:hyperlink>
      <w:r>
        <w:t xml:space="preserve"> MB LRs 13.32E(2)(b), 13.32E(3),19A.28E(2)(b) and 19A.28E(3)/ GEM LRs 17.37E(2)(b), 17.37E(3), 25.21E(2)(b) and 25.21E(3)</w:t>
      </w:r>
    </w:p>
    <w:p w:rsidR="009E362B" w:rsidRDefault="00D22D13">
      <w:pPr>
        <w:pStyle w:val="BodyText"/>
      </w:pPr>
      <w:hyperlink w:anchor="footnote-643-24-backlink">
        <w:r>
          <w:t>24</w:t>
        </w:r>
      </w:hyperlink>
      <w:r>
        <w:t xml:space="preserve"> HKEX-GL 121-26 at paragraph 25</w:t>
      </w:r>
    </w:p>
    <w:p w:rsidR="009E362B" w:rsidRDefault="00D22D13">
      <w:pPr>
        <w:pStyle w:val="BodyText"/>
      </w:pPr>
      <w:hyperlink w:anchor="footnote-643-25-backlink">
        <w:r>
          <w:t>25</w:t>
        </w:r>
      </w:hyperlink>
      <w:r>
        <w:t xml:space="preserve"> HKEX-GL 121-26 at paragraph 26</w:t>
      </w:r>
    </w:p>
    <w:p w:rsidR="009E362B" w:rsidRDefault="00D22D13">
      <w:pPr>
        <w:pStyle w:val="BodyText"/>
      </w:pPr>
      <w:hyperlink w:anchor="footnote-643-26-backlink">
        <w:r>
          <w:t>26</w:t>
        </w:r>
      </w:hyperlink>
      <w:r>
        <w:t xml:space="preserve"> HKEX-GL 121-26 at paragraph 27</w:t>
      </w:r>
    </w:p>
    <w:p w:rsidR="009E362B" w:rsidRDefault="00D22D13">
      <w:pPr>
        <w:pStyle w:val="BodyText"/>
      </w:pPr>
      <w:hyperlink w:anchor="footnote-643-27-backlink">
        <w:r>
          <w:t>27</w:t>
        </w:r>
      </w:hyperlink>
      <w:r>
        <w:t xml:space="preserve"> MB LRs 13.32F and 19A.28F(1)/ GEM LRs 17.37F and 2</w:t>
      </w:r>
      <w:r>
        <w:t>5.21F(1)</w:t>
      </w:r>
    </w:p>
    <w:p w:rsidR="009E362B" w:rsidRDefault="00D22D13">
      <w:pPr>
        <w:pStyle w:val="BodyText"/>
      </w:pPr>
      <w:hyperlink w:anchor="footnote-643-28-backlink">
        <w:r>
          <w:t>28</w:t>
        </w:r>
      </w:hyperlink>
      <w:r>
        <w:t xml:space="preserve"> MB LR 19A.28F(2)/ GEM LR 25.21F(2)</w:t>
      </w:r>
    </w:p>
    <w:p w:rsidR="009E362B" w:rsidRDefault="00D22D13">
      <w:pPr>
        <w:pStyle w:val="BodyText"/>
      </w:pPr>
      <w:hyperlink w:anchor="footnote-643-29-backlink">
        <w:r>
          <w:t>29</w:t>
        </w:r>
      </w:hyperlink>
      <w:r>
        <w:t xml:space="preserve"> MB LRs 13.32G(1) and 19A.28G(1)/ GEM LR 17.37G(1) and 25.21G(1)</w:t>
      </w:r>
    </w:p>
    <w:p w:rsidR="009E362B" w:rsidRDefault="00D22D13">
      <w:pPr>
        <w:pStyle w:val="BodyText"/>
      </w:pPr>
      <w:hyperlink w:anchor="footnote-643-30-backlink">
        <w:r>
          <w:t>30</w:t>
        </w:r>
      </w:hyperlink>
      <w:r>
        <w:t xml:space="preserve"> MB LRs 13.32G(2) and 19A.28G(2)/ GEM LRs 17.37G(2) and 25.21G(2)</w:t>
      </w:r>
    </w:p>
    <w:p w:rsidR="009E362B" w:rsidRDefault="00D22D13">
      <w:pPr>
        <w:pStyle w:val="BodyText"/>
      </w:pPr>
      <w:hyperlink w:anchor="footnote-643-31-backlink">
        <w:r>
          <w:t>31</w:t>
        </w:r>
      </w:hyperlink>
      <w:r>
        <w:t xml:space="preserve"> MB LRs 13.32G(3) and 19A.28G(3)/ GEM LRs 17.37G(3) and 25.21G(3)</w:t>
      </w:r>
    </w:p>
    <w:p w:rsidR="009E362B" w:rsidRDefault="00D22D13">
      <w:pPr>
        <w:pStyle w:val="BodyText"/>
      </w:pPr>
      <w:hyperlink w:anchor="footnote-643-32-backlink">
        <w:r>
          <w:t>32</w:t>
        </w:r>
      </w:hyperlink>
      <w:r>
        <w:t xml:space="preserve"> MB LR 13.10/ GEM LR 17.</w:t>
      </w:r>
      <w:r>
        <w:t>11</w:t>
      </w:r>
    </w:p>
    <w:p w:rsidR="009E362B" w:rsidRDefault="00D22D13">
      <w:pPr>
        <w:pStyle w:val="BodyText"/>
      </w:pPr>
      <w:hyperlink w:anchor="footnote-643-33-backlink">
        <w:r>
          <w:t>33</w:t>
        </w:r>
      </w:hyperlink>
      <w:r>
        <w:t xml:space="preserve"> MB LR 13.34/ GEM LR 17.38C</w:t>
      </w:r>
    </w:p>
    <w:p w:rsidR="009E362B" w:rsidRDefault="00D22D13">
      <w:pPr>
        <w:pStyle w:val="DisclaimerBold"/>
      </w:pPr>
      <w:r>
        <w:t>This newsletter is for information purposes only.</w:t>
      </w:r>
    </w:p>
    <w:p w:rsidR="009E362B" w:rsidRDefault="00D22D13">
      <w:pPr>
        <w:pStyle w:val="Disclaimer"/>
      </w:pPr>
      <w:r>
        <w:t xml:space="preserve">Its contents do not constitute legal advice and it should  not be regarded as a substitute for detailed advice  in individual </w:t>
      </w:r>
      <w:r>
        <w:t>cases.</w:t>
      </w:r>
    </w:p>
    <w:p w:rsidR="009E362B" w:rsidRDefault="00D22D13">
      <w:pPr>
        <w:pStyle w:val="Disclaimer"/>
      </w:pPr>
      <w:r>
        <w:t>Transmission of this information is not intended to create and receipt does not constitute a lawyer-client relationship between Charltons and the user or browser.</w:t>
      </w:r>
    </w:p>
    <w:p w:rsidR="009E362B" w:rsidRDefault="00D22D13">
      <w:pPr>
        <w:pStyle w:val="Disclaimer"/>
      </w:pPr>
      <w:r>
        <w:lastRenderedPageBreak/>
        <w:t>Charltons is not responsible for any third party content which can be accessed through</w:t>
      </w:r>
      <w:r>
        <w:t xml:space="preserve"> the website.</w:t>
      </w:r>
    </w:p>
    <w:p w:rsidR="009E362B" w:rsidRDefault="00D22D13">
      <w:pPr>
        <w:pStyle w:val="Disclaimer"/>
      </w:pPr>
      <w:r>
        <w:t xml:space="preserve">If you do not wish to receive this newsletter please let us know by emailing us at  </w:t>
      </w:r>
      <w:hyperlink r:id="rId16">
        <w:r>
          <w:t>unsubscribe@charltonslaw.com</w:t>
        </w:r>
      </w:hyperlink>
    </w:p>
    <w:p w:rsidR="009E362B" w:rsidRDefault="00D22D13">
      <w:pPr>
        <w:pStyle w:val="BlackStrips"/>
      </w:pPr>
      <w:bookmarkStart w:id="22" w:name="_GoBack"/>
      <w:bookmarkEnd w:id="22"/>
      <w:r>
        <w:t>Charltons - Hong Kong Law - 02 January</w:t>
      </w:r>
      <w:r>
        <w:t xml:space="preserve"> 2026</w:t>
      </w:r>
    </w:p>
    <w:sectPr w:rsidR="009E362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2D13">
      <w:pPr>
        <w:spacing w:after="0"/>
      </w:pPr>
      <w:r>
        <w:separator/>
      </w:r>
    </w:p>
  </w:endnote>
  <w:endnote w:type="continuationSeparator" w:id="0">
    <w:p w:rsidR="00000000" w:rsidRDefault="00D22D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2B" w:rsidRDefault="00D22D13">
      <w:r>
        <w:separator/>
      </w:r>
    </w:p>
  </w:footnote>
  <w:footnote w:type="continuationSeparator" w:id="0">
    <w:p w:rsidR="009E362B" w:rsidRDefault="00D2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188E44D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1A64CF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61E63A1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9E362B"/>
    <w:rsid w:val="00B86B75"/>
    <w:rsid w:val="00BC48D5"/>
    <w:rsid w:val="00C36279"/>
    <w:rsid w:val="00D22D13"/>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5B474-3D97-43B2-973C-83BFE233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D22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August-2025-Ongoing-Public-Float/Conclusions-Dec-2025/cp202508cc.pdf" TargetMode="External"/><Relationship Id="rId13" Type="http://schemas.openxmlformats.org/officeDocument/2006/relationships/hyperlink" Target="https://www.hkex.com.hk/-/media/HKEX-Market/Listing/Rules-and-Guidance/Interpretation-and-Guidance/Guidance-Letters/gl121_26_pre_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rltonslaw.com/new-ongoing-public-float-requirements-for-hkex-listed-companies-from-1-january-2026" TargetMode="External"/><Relationship Id="rId12" Type="http://schemas.openxmlformats.org/officeDocument/2006/relationships/hyperlink" Target="https://www.hkex.com.hk/-/media/HKEX-Market/Listing/Rules-and-Guidance/Interpretation-and-Guidance/Guidance-Letters/gl121_26_pre_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ex.com.hk/-/media/HKEX-Market/Listing/Rules-and-Guidance/Interpretation-and-Guidance/Guidance-Letters/gl121_26_pre_e.pdf" TargetMode="External"/><Relationship Id="rId5" Type="http://schemas.openxmlformats.org/officeDocument/2006/relationships/footnotes" Target="footnotes.xml"/><Relationship Id="rId15" Type="http://schemas.openxmlformats.org/officeDocument/2006/relationships/hyperlink" Target="https://www.hkex.com.hk/-/media/HKEX-Market/Listing/Rules-and-Guidance/Interpretation-and-Guidance/Guidance-Letters/gl121_26_pre_e.pdf" TargetMode="External"/><Relationship Id="rId10" Type="http://schemas.openxmlformats.org/officeDocument/2006/relationships/hyperlink" Target="https://www.hkex.com.hk/-/media/HKEX-Market/Listing/Rules-and-Guidance/Interpretation-and-Guidance/Guidance-Letters/gl121_26_pre_e.pdf" TargetMode="External"/><Relationship Id="rId4" Type="http://schemas.openxmlformats.org/officeDocument/2006/relationships/webSettings" Target="webSettings.xml"/><Relationship Id="rId9" Type="http://schemas.openxmlformats.org/officeDocument/2006/relationships/hyperlink" Target="https://www.hkex.com.hk/-/media/HKEX-Market/Listing/Rules-and-Guidance/Interpretation-and-Guidance/Guidance-Letters/gl121_26_pre_e.pdf" TargetMode="External"/><Relationship Id="rId14" Type="http://schemas.openxmlformats.org/officeDocument/2006/relationships/hyperlink" Target="https://www.hkex.com.hk/-/media/HKEX-Market/Listing/Rules-and-Guidance/Interpretation-and-Guidance/Guidance-Letters/gl121_26_pre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4406</Words>
  <Characters>25116</Characters>
  <Application>Microsoft Office Word</Application>
  <DocSecurity>0</DocSecurity>
  <Lines>209</Lines>
  <Paragraphs>58</Paragraphs>
  <ScaleCrop>false</ScaleCrop>
  <Company>Charltons</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2026-01-02T09:13:00Z</dcterms:created>
  <dcterms:modified xsi:type="dcterms:W3CDTF">2026-01-02T09:22:00Z</dcterms:modified>
</cp:coreProperties>
</file>