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066" w:rsidRDefault="00F56B21">
      <w:pPr>
        <w:pStyle w:val="BlackStrips"/>
      </w:pPr>
      <w:r>
        <w:t>Charltons - Hong Kong Law - 02 December 2025</w:t>
      </w:r>
    </w:p>
    <w:p w:rsidR="003B0066" w:rsidRDefault="00F56B21">
      <w:pPr>
        <w:pStyle w:val="ReadOnline"/>
      </w:pPr>
      <w:hyperlink r:id="rId7">
        <w:r>
          <w:t>online version</w:t>
        </w:r>
      </w:hyperlink>
    </w:p>
    <w:p w:rsidR="003B0066" w:rsidRDefault="00F56B21">
      <w:pPr>
        <w:pStyle w:val="Title"/>
      </w:pPr>
      <w:r>
        <w:t xml:space="preserve">HKEX Issues Guidance for HKEX Listed Issuers </w:t>
      </w:r>
      <w:r>
        <w:t>Navigating Opportunities in the Digital Asset Landscape</w:t>
      </w:r>
    </w:p>
    <w:p w:rsidR="003B0066" w:rsidRDefault="00F56B21">
      <w:pPr>
        <w:pStyle w:val="FirstParagraph"/>
      </w:pPr>
      <w:r>
        <w:t>In November 2025, the Stock Exchange of Hong Kong Limited (</w:t>
      </w:r>
      <w:r>
        <w:rPr>
          <w:b/>
        </w:rPr>
        <w:t>HKEX</w:t>
      </w:r>
      <w:r>
        <w:t xml:space="preserve">) published </w:t>
      </w:r>
      <w:hyperlink r:id="rId8">
        <w:r w:rsidRPr="00F56B21">
          <w:rPr>
            <w:color w:val="FF0000"/>
            <w:u w:val="single"/>
          </w:rPr>
          <w:t>Issue 13 of its Listing Regulation and Enforcement Newsletter</w:t>
        </w:r>
      </w:hyperlink>
      <w:r>
        <w:t xml:space="preserve"> which includes important guidance for companies listed on the HKEX (</w:t>
      </w:r>
      <w:r>
        <w:rPr>
          <w:b/>
        </w:rPr>
        <w:t>HKEX Listcos</w:t>
      </w:r>
      <w:r>
        <w:t>) engaging in digital assets-related activities. The guidance addresses the incre</w:t>
      </w:r>
      <w:r>
        <w:t>asing trend of HKEX Listcos participating in activities ranging from cryptocurrency investments and stablecoin issuance to tokenisation and the creation of blockchain-based platforms.</w:t>
      </w:r>
    </w:p>
    <w:p w:rsidR="003B0066" w:rsidRDefault="00F56B21">
      <w:pPr>
        <w:pStyle w:val="Heading2"/>
      </w:pPr>
      <w:bookmarkStart w:id="0" w:name="hkex-listcos-digital-assets-transactions"/>
      <w:r>
        <w:t>HKEX Listcos' Digital Assets Transactions</w:t>
      </w:r>
      <w:bookmarkEnd w:id="0"/>
    </w:p>
    <w:p w:rsidR="003B0066" w:rsidRDefault="00F56B21">
      <w:pPr>
        <w:pStyle w:val="FirstParagraph"/>
      </w:pPr>
      <w:r>
        <w:t xml:space="preserve">The HKEX has observed that as </w:t>
      </w:r>
      <w:r>
        <w:t xml:space="preserve">these transactions can involve different transaction structures, it is essential for HKEX Listcos to carefully assess the implications and ensure compliance with the Rules Governing the Listing of Securities on the HKEX (specifically, </w:t>
      </w:r>
      <w:r>
        <w:rPr>
          <w:b/>
        </w:rPr>
        <w:t>Main Board Listing Ru</w:t>
      </w:r>
      <w:r>
        <w:rPr>
          <w:b/>
        </w:rPr>
        <w:t>les</w:t>
      </w:r>
      <w:r>
        <w:t xml:space="preserve"> for HKEX Listcos listed on the Main Board, and </w:t>
      </w:r>
      <w:r>
        <w:rPr>
          <w:b/>
        </w:rPr>
        <w:t>GEM Listing Rules</w:t>
      </w:r>
      <w:r>
        <w:t xml:space="preserve"> for HKEX Listcos listed on GEM) and related regulations. In August 2025, the Securities and Futures Commission (</w:t>
      </w:r>
      <w:r>
        <w:rPr>
          <w:b/>
        </w:rPr>
        <w:t>SFC</w:t>
      </w:r>
      <w:r>
        <w:t>) and the Hong Kong Monetary Authority (</w:t>
      </w:r>
      <w:r>
        <w:rPr>
          <w:b/>
        </w:rPr>
        <w:t>HKMA</w:t>
      </w:r>
      <w:r>
        <w:t xml:space="preserve">) issued a </w:t>
      </w:r>
      <w:hyperlink r:id="rId9" w:anchor=":~:text=The%20Securities%20and%20Futures%20Commission%20%28SFC%29%20and%20the,abrupt%20market%20movements%20linked%20to%20the%20stablecoin%20concept">
        <w:r w:rsidRPr="00F56B21">
          <w:rPr>
            <w:color w:val="FF0000"/>
            <w:u w:val="single"/>
          </w:rPr>
          <w:t>joint statement</w:t>
        </w:r>
      </w:hyperlink>
      <w:r>
        <w:t xml:space="preserve"> reminding investors to exercise caution regarding abrupt market movements linked to the stablecoin concept and reminding market participants to exercise responsibility in public communications.</w:t>
      </w:r>
    </w:p>
    <w:p w:rsidR="003B0066" w:rsidRDefault="00F56B21">
      <w:pPr>
        <w:pStyle w:val="Heading2"/>
      </w:pPr>
      <w:bookmarkStart w:id="1" w:name="Xa54d510e7ba774188bf120fdd9aa49d53c397f2"/>
      <w:r>
        <w:t>Guidance on Recommended Disclosure by</w:t>
      </w:r>
      <w:r>
        <w:t xml:space="preserve"> HKEX Listcos</w:t>
      </w:r>
      <w:bookmarkEnd w:id="1"/>
    </w:p>
    <w:p w:rsidR="003B0066" w:rsidRDefault="00F56B21">
      <w:pPr>
        <w:pStyle w:val="FirstParagraph"/>
      </w:pPr>
      <w:r>
        <w:t xml:space="preserve">Disclosure must be accurate, complete and not misleading at all times as required under </w:t>
      </w:r>
      <w:hyperlink r:id="rId10">
        <w:r w:rsidRPr="00F56B21">
          <w:rPr>
            <w:color w:val="FF0000"/>
            <w:u w:val="single"/>
          </w:rPr>
          <w:t>Main Board Listing Rule 2.13</w:t>
        </w:r>
      </w:hyperlink>
      <w:r>
        <w:t xml:space="preserve"> / </w:t>
      </w:r>
      <w:hyperlink r:id="rId11">
        <w:r w:rsidRPr="00F56B21">
          <w:rPr>
            <w:color w:val="FF0000"/>
            <w:u w:val="single"/>
          </w:rPr>
          <w:t>GEM Listing Rule 17.56</w:t>
        </w:r>
      </w:hyperlink>
      <w:r>
        <w:t>. In describing digital assets-related activities, HKEX Listcos are expected to explain how the activities are in the interests of the HKEX Listco and shareholders by:</w:t>
      </w:r>
    </w:p>
    <w:p w:rsidR="003B0066" w:rsidRDefault="00F56B21">
      <w:pPr>
        <w:pStyle w:val="Compact"/>
        <w:numPr>
          <w:ilvl w:val="0"/>
          <w:numId w:val="3"/>
        </w:numPr>
      </w:pPr>
      <w:r>
        <w:t xml:space="preserve">detailing the structure of the digital asset-related activities </w:t>
      </w:r>
      <w:r>
        <w:t>and how they integrate into business operations with key milestones and expected completion dates;</w:t>
      </w:r>
    </w:p>
    <w:p w:rsidR="003B0066" w:rsidRDefault="00F56B21">
      <w:pPr>
        <w:pStyle w:val="Compact"/>
        <w:numPr>
          <w:ilvl w:val="0"/>
          <w:numId w:val="3"/>
        </w:numPr>
      </w:pPr>
      <w:r>
        <w:t>identifying material risks (regulatory, volatility, liquidity, security) and related mitigation measures; and</w:t>
      </w:r>
    </w:p>
    <w:p w:rsidR="003B0066" w:rsidRDefault="00F56B21">
      <w:pPr>
        <w:pStyle w:val="Compact"/>
        <w:numPr>
          <w:ilvl w:val="0"/>
          <w:numId w:val="3"/>
        </w:numPr>
      </w:pPr>
      <w:r>
        <w:t xml:space="preserve">highlighting the management expertise required </w:t>
      </w:r>
      <w:r>
        <w:t>and necessary internal controls in place, including systems to detect fraud and misconduct together with security or custody arrangements.</w:t>
      </w:r>
    </w:p>
    <w:p w:rsidR="003B0066" w:rsidRDefault="00F56B21">
      <w:pPr>
        <w:pStyle w:val="FirstParagraph"/>
      </w:pPr>
      <w:r>
        <w:t>HKEX Listcos are reminded to make concise disclosures to accurately reflect the structure, use plain language and avo</w:t>
      </w:r>
      <w:r>
        <w:t>id overuse of buzzwords. HKEX Listcos should avoid making voluntary announcements relating to potential plans on digital assets-related activities when transactions are at a preliminary or conceptual stage and lack detail.</w:t>
      </w:r>
    </w:p>
    <w:p w:rsidR="003B0066" w:rsidRDefault="00F56B21">
      <w:pPr>
        <w:pStyle w:val="Heading2"/>
      </w:pPr>
      <w:bookmarkStart w:id="2" w:name="X36065e5e4ce151b13e344871aa6da7a531545e4"/>
      <w:r>
        <w:t>Reminders on HKEX Listcos' Contin</w:t>
      </w:r>
      <w:r>
        <w:t>uing Obligations</w:t>
      </w:r>
      <w:bookmarkEnd w:id="2"/>
    </w:p>
    <w:p w:rsidR="003B0066" w:rsidRDefault="00F56B21">
      <w:pPr>
        <w:pStyle w:val="FirstParagraph"/>
      </w:pPr>
      <w:r>
        <w:t>The HKEX has set out reminders on continuing obligations for various types of digital assets-related activities:</w:t>
      </w:r>
    </w:p>
    <w:p w:rsidR="003B0066" w:rsidRPr="00F56B21" w:rsidRDefault="00F56B21">
      <w:pPr>
        <w:pStyle w:val="Heading3"/>
        <w:rPr>
          <w:color w:val="auto"/>
        </w:rPr>
      </w:pPr>
      <w:bookmarkStart w:id="3" w:name="investments-in-digital-assets"/>
      <w:r w:rsidRPr="00F56B21">
        <w:rPr>
          <w:i/>
          <w:color w:val="auto"/>
        </w:rPr>
        <w:lastRenderedPageBreak/>
        <w:t>Investments in Digital Assets</w:t>
      </w:r>
      <w:bookmarkEnd w:id="3"/>
    </w:p>
    <w:p w:rsidR="003B0066" w:rsidRDefault="00F56B21">
      <w:pPr>
        <w:pStyle w:val="FirstParagraph"/>
      </w:pPr>
      <w:r>
        <w:t>Whether for treasury management or other purposes, HKEX Listcos must comply with requirements un</w:t>
      </w:r>
      <w:r>
        <w:t xml:space="preserve">der </w:t>
      </w:r>
      <w:hyperlink r:id="rId12">
        <w:r w:rsidRPr="00F56B21">
          <w:rPr>
            <w:color w:val="FF0000"/>
            <w:u w:val="single"/>
          </w:rPr>
          <w:t>Chapter 14 of the Main Board Listing Rules</w:t>
        </w:r>
      </w:hyperlink>
      <w:r>
        <w:t xml:space="preserve"> / </w:t>
      </w:r>
      <w:hyperlink r:id="rId13">
        <w:r w:rsidRPr="00F56B21">
          <w:rPr>
            <w:color w:val="FF0000"/>
            <w:u w:val="single"/>
          </w:rPr>
          <w:t>Chapter 19 of the GEM L</w:t>
        </w:r>
        <w:r w:rsidRPr="00F56B21">
          <w:rPr>
            <w:color w:val="FF0000"/>
            <w:u w:val="single"/>
          </w:rPr>
          <w:t>isting Rules</w:t>
        </w:r>
      </w:hyperlink>
      <w:r>
        <w:t xml:space="preserve"> for any material acquisitions or disposals of cryptocurrencies or tokenised assets.</w:t>
      </w:r>
    </w:p>
    <w:p w:rsidR="003B0066" w:rsidRDefault="00F56B21">
      <w:pPr>
        <w:pStyle w:val="Heading3"/>
      </w:pPr>
      <w:bookmarkStart w:id="4" w:name="Xd58b9f55e0f8bd3bb4bb3ab817a646a06faef43"/>
      <w:r>
        <w:rPr>
          <w:i/>
        </w:rPr>
        <w:t>Tokenisation and Distribution by HKEX Listcos</w:t>
      </w:r>
      <w:bookmarkEnd w:id="4"/>
    </w:p>
    <w:p w:rsidR="003B0066" w:rsidRDefault="00F56B21">
      <w:pPr>
        <w:pStyle w:val="FirstParagraph"/>
      </w:pPr>
      <w:r>
        <w:t>Where HKEX Listcos distribute tokenised assets to shareholders, HKEX Listcos must ensure all shareholders are tre</w:t>
      </w:r>
      <w:r>
        <w:t xml:space="preserve">ated fairly and equally under </w:t>
      </w:r>
      <w:hyperlink r:id="rId14">
        <w:r w:rsidRPr="00F56B21">
          <w:rPr>
            <w:color w:val="FF0000"/>
            <w:u w:val="single"/>
          </w:rPr>
          <w:t>Main Board Listing Rule 2.03</w:t>
        </w:r>
      </w:hyperlink>
      <w:r>
        <w:t xml:space="preserve"> / </w:t>
      </w:r>
      <w:hyperlink r:id="rId15">
        <w:r w:rsidRPr="00F56B21">
          <w:rPr>
            <w:color w:val="FF0000"/>
            <w:u w:val="single"/>
          </w:rPr>
          <w:t>GEM Listing Rule 2.06</w:t>
        </w:r>
      </w:hyperlink>
      <w:r>
        <w:t xml:space="preserve"> and offer cash alternatives where appropriate giv</w:t>
      </w:r>
      <w:r>
        <w:t>en potential limitations on accessibility and liquidity.</w:t>
      </w:r>
    </w:p>
    <w:p w:rsidR="003B0066" w:rsidRDefault="00F56B21">
      <w:pPr>
        <w:pStyle w:val="Heading3"/>
      </w:pPr>
      <w:bookmarkStart w:id="5" w:name="X3dea57c1c71d3b6f123c2ab0cc37edc646ce034"/>
      <w:r>
        <w:rPr>
          <w:i/>
        </w:rPr>
        <w:t>Fundraising for Cryptocurrencies Acquisitions by HKEX Listcos</w:t>
      </w:r>
      <w:bookmarkEnd w:id="5"/>
    </w:p>
    <w:p w:rsidR="003B0066" w:rsidRDefault="00F56B21">
      <w:pPr>
        <w:pStyle w:val="FirstParagraph"/>
      </w:pPr>
      <w:r>
        <w:t>Where equity fund-raising is involved for cryptocurrencies acquisition, the objective and intended use should be clearly stated. HKEX Lis</w:t>
      </w:r>
      <w:r>
        <w:t xml:space="preserve">tcos should keep the market informed on use of proceeds and the relevant cryptocurrencies in subsequent annual reports under </w:t>
      </w:r>
      <w:hyperlink r:id="rId16">
        <w:r w:rsidRPr="00F56B21">
          <w:rPr>
            <w:color w:val="FF0000"/>
            <w:u w:val="single"/>
          </w:rPr>
          <w:t>Appendix D2 to the Main Board Listing R</w:t>
        </w:r>
        <w:r w:rsidRPr="00F56B21">
          <w:rPr>
            <w:color w:val="FF0000"/>
            <w:u w:val="single"/>
          </w:rPr>
          <w:t>ules</w:t>
        </w:r>
      </w:hyperlink>
      <w:r>
        <w:t xml:space="preserve"> / </w:t>
      </w:r>
      <w:hyperlink r:id="rId17">
        <w:r w:rsidRPr="00F56B21">
          <w:rPr>
            <w:color w:val="FF0000"/>
            <w:u w:val="single"/>
          </w:rPr>
          <w:t>GEM Listing Rule 18.32</w:t>
        </w:r>
      </w:hyperlink>
      <w:r>
        <w:t>.</w:t>
      </w:r>
      <w:bookmarkStart w:id="6" w:name="_GoBack"/>
      <w:bookmarkEnd w:id="6"/>
    </w:p>
    <w:p w:rsidR="003B0066" w:rsidRDefault="00F56B21">
      <w:pPr>
        <w:pStyle w:val="BodyText"/>
      </w:pPr>
      <w:r>
        <w:t>The HKEX has stated that this guidance reflects common issues identified from recent observations and is not exhaustive. The HKEX will continue to monitor developm</w:t>
      </w:r>
      <w:r>
        <w:t>ents involving digital assets and provide further guidance as appropriate. HKEX Listcos considering related activities are welcome to consult the HKEX for guidance where necessary.</w:t>
      </w:r>
    </w:p>
    <w:p w:rsidR="003B0066" w:rsidRDefault="00F56B21">
      <w:pPr>
        <w:pStyle w:val="DisclaimerBold"/>
      </w:pPr>
      <w:r>
        <w:t>This newsletter is for information purposes only.</w:t>
      </w:r>
    </w:p>
    <w:p w:rsidR="003B0066" w:rsidRDefault="00F56B21">
      <w:pPr>
        <w:pStyle w:val="Disclaimer"/>
      </w:pPr>
      <w:r>
        <w:t xml:space="preserve">Its contents do not </w:t>
      </w:r>
      <w:r>
        <w:t>constitute legal advice and it should  not be regarded as a substitute for detailed advice  in individual cases.</w:t>
      </w:r>
    </w:p>
    <w:p w:rsidR="003B0066" w:rsidRDefault="00F56B21">
      <w:pPr>
        <w:pStyle w:val="Disclaimer"/>
      </w:pPr>
      <w:r>
        <w:t>Transmission of this information is not intended to create and receipt does not constitute a lawyer-client relationship between Charltons and t</w:t>
      </w:r>
      <w:r>
        <w:t>he user or browser.</w:t>
      </w:r>
    </w:p>
    <w:p w:rsidR="003B0066" w:rsidRDefault="00F56B21">
      <w:pPr>
        <w:pStyle w:val="Disclaimer"/>
      </w:pPr>
      <w:r>
        <w:t>Charltons is not responsible for any third party content which can be accessed through the website.</w:t>
      </w:r>
    </w:p>
    <w:p w:rsidR="003B0066" w:rsidRDefault="00F56B21">
      <w:pPr>
        <w:pStyle w:val="Disclaimer"/>
      </w:pPr>
      <w:r>
        <w:t xml:space="preserve">If you do not wish to receive this newsletter please let us know by emailing us at  </w:t>
      </w:r>
      <w:hyperlink r:id="rId18">
        <w:r>
          <w:t>unsubscribe@charltonslaw.com</w:t>
        </w:r>
      </w:hyperlink>
    </w:p>
    <w:p w:rsidR="003B0066" w:rsidRDefault="00F56B21">
      <w:pPr>
        <w:pStyle w:val="BlackStrips"/>
      </w:pPr>
      <w:r>
        <w:t>Charltons - Hong Kong Law - 02 December 2025</w:t>
      </w:r>
    </w:p>
    <w:sectPr w:rsidR="003B006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56B21">
      <w:pPr>
        <w:spacing w:after="0"/>
      </w:pPr>
      <w:r>
        <w:separator/>
      </w:r>
    </w:p>
  </w:endnote>
  <w:endnote w:type="continuationSeparator" w:id="0">
    <w:p w:rsidR="00000000" w:rsidRDefault="00F56B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066" w:rsidRDefault="00F56B21">
      <w:r>
        <w:separator/>
      </w:r>
    </w:p>
  </w:footnote>
  <w:footnote w:type="continuationSeparator" w:id="0">
    <w:p w:rsidR="003B0066" w:rsidRDefault="00F56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AF4A29B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152C80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3214919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B0066"/>
    <w:rsid w:val="004E29B3"/>
    <w:rsid w:val="00590D07"/>
    <w:rsid w:val="00784D58"/>
    <w:rsid w:val="008D6863"/>
    <w:rsid w:val="00B86B75"/>
    <w:rsid w:val="00BC48D5"/>
    <w:rsid w:val="00C36279"/>
    <w:rsid w:val="00E315A3"/>
    <w:rsid w:val="00F56B2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89FB04-7345-496C-9F86-60E2827A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Other-Resources/Listed-Issuers/LIR-Newsletter/newsletter_202511.pdf" TargetMode="External"/><Relationship Id="rId13" Type="http://schemas.openxmlformats.org/officeDocument/2006/relationships/hyperlink" Target="https://en-rules.hkex.com.hk/rulebook/chapter-19-notifiable-transactions" TargetMode="External"/><Relationship Id="rId1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law.com/hkex-issues-guidance-for-hkex-listed-issuers-navigating-opportunities-in-the-digital-asset-landscape" TargetMode="External"/><Relationship Id="rId12" Type="http://schemas.openxmlformats.org/officeDocument/2006/relationships/hyperlink" Target="https://en-rules.hkex.com.hk/rulebook/chapter-14-notifiable-transactions" TargetMode="External"/><Relationship Id="rId17" Type="http://schemas.openxmlformats.org/officeDocument/2006/relationships/hyperlink" Target="https://en-rules.hkex.com.hk/rulebook/1832" TargetMode="External"/><Relationship Id="rId2" Type="http://schemas.openxmlformats.org/officeDocument/2006/relationships/styles" Target="styles.xml"/><Relationship Id="rId16" Type="http://schemas.openxmlformats.org/officeDocument/2006/relationships/hyperlink" Target="https://en-rules.hkex.com.hk/rulebook/disclosure-financial-information-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rules.hkex.com.hk/rulebook/1756" TargetMode="External"/><Relationship Id="rId5" Type="http://schemas.openxmlformats.org/officeDocument/2006/relationships/footnotes" Target="footnotes.xml"/><Relationship Id="rId15" Type="http://schemas.openxmlformats.org/officeDocument/2006/relationships/hyperlink" Target="https://en-rules.hkex.com.hk/rulebook/206" TargetMode="External"/><Relationship Id="rId10" Type="http://schemas.openxmlformats.org/officeDocument/2006/relationships/hyperlink" Target="https://en-rules.hkex.com.hk/rulebook/213-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s.sfc.hk/edistributionWeb/gateway/EN/news-and-announcements/news/corporate-news/doc?refNo=25PR123" TargetMode="External"/><Relationship Id="rId14" Type="http://schemas.openxmlformats.org/officeDocument/2006/relationships/hyperlink" Target="https://en-rules.hkex.com.hk/rulebook/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894</Words>
  <Characters>5100</Characters>
  <Application>Microsoft Office Word</Application>
  <DocSecurity>0</DocSecurity>
  <Lines>42</Lines>
  <Paragraphs>11</Paragraphs>
  <ScaleCrop>false</ScaleCrop>
  <Company>Charltons</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2025-12-02T09:59:00Z</dcterms:created>
  <dcterms:modified xsi:type="dcterms:W3CDTF">2025-12-02T10:13:00Z</dcterms:modified>
</cp:coreProperties>
</file>