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2BB" w:rsidRPr="00E550D6" w:rsidRDefault="00D05DF4" w:rsidP="000318F2">
      <w:pPr>
        <w:shd w:val="clear" w:color="auto" w:fill="000000"/>
        <w:snapToGrid w:val="0"/>
        <w:spacing w:after="0" w:line="240" w:lineRule="auto"/>
        <w:contextualSpacing/>
        <w:jc w:val="center"/>
        <w:rPr>
          <w:rFonts w:ascii="Arial" w:eastAsia="Cambria" w:hAnsi="Arial" w:cs="Arial"/>
          <w:color w:val="FFFFFF"/>
          <w:sz w:val="18"/>
          <w:szCs w:val="18"/>
          <w:lang w:eastAsia="zh-TW"/>
        </w:rPr>
      </w:pPr>
      <w:bookmarkStart w:id="0" w:name="summarize"/>
      <w:proofErr w:type="spellStart"/>
      <w:r w:rsidRPr="00E550D6">
        <w:rPr>
          <w:rFonts w:ascii="Arial" w:eastAsia="Cambria" w:hAnsi="Arial" w:cs="Arial"/>
          <w:color w:val="FFFFFF"/>
          <w:sz w:val="18"/>
          <w:szCs w:val="18"/>
          <w:lang w:eastAsia="zh-TW"/>
        </w:rPr>
        <w:t>Charltons</w:t>
      </w:r>
      <w:proofErr w:type="spellEnd"/>
      <w:r w:rsidRPr="00E550D6">
        <w:rPr>
          <w:rFonts w:ascii="Arial" w:eastAsia="Cambria" w:hAnsi="Arial" w:cs="Arial"/>
          <w:color w:val="FFFFFF"/>
          <w:sz w:val="18"/>
          <w:szCs w:val="18"/>
          <w:lang w:eastAsia="zh-TW"/>
        </w:rPr>
        <w:t xml:space="preserve"> - Hong Kong Law </w:t>
      </w:r>
      <w:proofErr w:type="gramStart"/>
      <w:r w:rsidRPr="00E550D6">
        <w:rPr>
          <w:rFonts w:ascii="Arial" w:eastAsia="Cambria" w:hAnsi="Arial" w:cs="Arial"/>
          <w:color w:val="FFFFFF"/>
          <w:sz w:val="18"/>
          <w:szCs w:val="18"/>
          <w:lang w:eastAsia="zh-TW"/>
        </w:rPr>
        <w:t xml:space="preserve">-  </w:t>
      </w:r>
      <w:r w:rsidR="00D22CA1">
        <w:rPr>
          <w:rFonts w:ascii="Arial" w:eastAsia="Cambria" w:hAnsi="Arial" w:cs="Arial"/>
          <w:color w:val="FFFFFF" w:themeColor="background1"/>
          <w:sz w:val="18"/>
          <w:szCs w:val="18"/>
          <w:lang w:eastAsia="zh-TW"/>
        </w:rPr>
        <w:t>June</w:t>
      </w:r>
      <w:proofErr w:type="gramEnd"/>
      <w:r w:rsidR="00E70DE1" w:rsidRPr="00E70DE1">
        <w:rPr>
          <w:rFonts w:ascii="Arial" w:eastAsia="Cambria" w:hAnsi="Arial" w:cs="Arial"/>
          <w:color w:val="FFFFFF" w:themeColor="background1"/>
          <w:sz w:val="18"/>
          <w:szCs w:val="18"/>
          <w:lang w:eastAsia="zh-TW"/>
        </w:rPr>
        <w:t xml:space="preserve"> </w:t>
      </w:r>
      <w:r w:rsidRPr="00E70DE1">
        <w:rPr>
          <w:rFonts w:ascii="Arial" w:eastAsia="Cambria" w:hAnsi="Arial" w:cs="Arial"/>
          <w:color w:val="FFFFFF" w:themeColor="background1"/>
          <w:sz w:val="18"/>
          <w:szCs w:val="18"/>
          <w:lang w:eastAsia="zh-TW"/>
        </w:rPr>
        <w:t>2025</w:t>
      </w:r>
    </w:p>
    <w:p w:rsidR="00E902BB" w:rsidRPr="00E550D6" w:rsidRDefault="00E902BB" w:rsidP="000318F2">
      <w:pPr>
        <w:snapToGrid w:val="0"/>
        <w:spacing w:after="0" w:line="240" w:lineRule="auto"/>
        <w:contextualSpacing/>
        <w:jc w:val="center"/>
        <w:rPr>
          <w:rFonts w:ascii="Arial" w:eastAsia="Cambria" w:hAnsi="Arial" w:cs="Arial"/>
          <w:color w:val="0563C1"/>
          <w:sz w:val="18"/>
          <w:szCs w:val="18"/>
          <w:u w:val="single"/>
          <w:lang w:eastAsia="zh-TW"/>
        </w:rPr>
      </w:pPr>
    </w:p>
    <w:p w:rsidR="00E902BB" w:rsidRDefault="00D05DF4" w:rsidP="004C6CFC">
      <w:pPr>
        <w:snapToGrid w:val="0"/>
        <w:spacing w:after="0" w:line="240" w:lineRule="auto"/>
        <w:contextualSpacing/>
        <w:jc w:val="center"/>
        <w:rPr>
          <w:rFonts w:ascii="Arial" w:eastAsia="Cambria" w:hAnsi="Arial" w:cs="Arial"/>
          <w:color w:val="0563C1"/>
          <w:sz w:val="18"/>
          <w:szCs w:val="18"/>
          <w:u w:val="single"/>
          <w:lang w:eastAsia="zh-TW"/>
        </w:rPr>
      </w:pPr>
      <w:hyperlink r:id="rId8" w:history="1">
        <w:r w:rsidRPr="00826AA9">
          <w:rPr>
            <w:rStyle w:val="a3"/>
            <w:rFonts w:ascii="Arial" w:eastAsia="Cambria" w:hAnsi="Arial" w:cs="Arial"/>
            <w:sz w:val="18"/>
            <w:szCs w:val="18"/>
            <w:lang w:eastAsia="zh-TW"/>
          </w:rPr>
          <w:t>Online version</w:t>
        </w:r>
      </w:hyperlink>
    </w:p>
    <w:p w:rsidR="0078532F" w:rsidRDefault="0078532F" w:rsidP="004C6CFC">
      <w:pPr>
        <w:snapToGrid w:val="0"/>
        <w:spacing w:after="0" w:line="240" w:lineRule="auto"/>
        <w:contextualSpacing/>
        <w:jc w:val="center"/>
        <w:rPr>
          <w:rFonts w:ascii="Arial" w:eastAsia="Cambria" w:hAnsi="Arial" w:cs="Arial"/>
          <w:color w:val="0563C1"/>
          <w:sz w:val="18"/>
          <w:szCs w:val="18"/>
          <w:u w:val="single"/>
          <w:lang w:eastAsia="zh-TW"/>
        </w:rPr>
      </w:pPr>
    </w:p>
    <w:p w:rsidR="0078532F" w:rsidRPr="0078532F" w:rsidRDefault="0045422E" w:rsidP="0078532F">
      <w:pPr>
        <w:snapToGrid w:val="0"/>
        <w:spacing w:after="0" w:line="240" w:lineRule="auto"/>
        <w:contextualSpacing/>
        <w:jc w:val="center"/>
        <w:rPr>
          <w:rFonts w:ascii="Arial" w:eastAsia="DengXian" w:hAnsi="Arial" w:cs="Arial"/>
          <w:b/>
          <w:bCs/>
          <w:color w:val="FF0000"/>
          <w:sz w:val="18"/>
          <w:szCs w:val="18"/>
          <w:lang w:eastAsia="zh-TW"/>
        </w:rPr>
      </w:pPr>
      <w:r>
        <w:rPr>
          <w:rFonts w:ascii="Arial" w:eastAsia="DengXian" w:hAnsi="Arial" w:cs="Arial"/>
          <w:b/>
          <w:bCs/>
          <w:color w:val="FF0000"/>
          <w:sz w:val="18"/>
          <w:szCs w:val="18"/>
          <w:lang w:eastAsia="zh-TW"/>
        </w:rPr>
        <w:t>Shenzhen</w:t>
      </w:r>
      <w:r w:rsidR="0078532F" w:rsidRPr="0078532F">
        <w:rPr>
          <w:rFonts w:ascii="Arial" w:eastAsia="DengXian" w:hAnsi="Arial" w:cs="Arial"/>
          <w:b/>
          <w:bCs/>
          <w:color w:val="FF0000"/>
          <w:sz w:val="18"/>
          <w:szCs w:val="18"/>
          <w:lang w:eastAsia="zh-TW"/>
        </w:rPr>
        <w:t xml:space="preserve"> Reform</w:t>
      </w:r>
      <w:r w:rsidR="005D78A5">
        <w:rPr>
          <w:rFonts w:ascii="Arial" w:eastAsia="DengXian" w:hAnsi="Arial" w:cs="Arial"/>
          <w:b/>
          <w:bCs/>
          <w:color w:val="FF0000"/>
          <w:sz w:val="18"/>
          <w:szCs w:val="18"/>
          <w:lang w:eastAsia="zh-TW"/>
        </w:rPr>
        <w:t>s</w:t>
      </w:r>
      <w:r w:rsidR="0078532F" w:rsidRPr="0078532F">
        <w:rPr>
          <w:rFonts w:ascii="Arial" w:eastAsia="DengXian" w:hAnsi="Arial" w:cs="Arial"/>
          <w:b/>
          <w:bCs/>
          <w:color w:val="FF0000"/>
          <w:sz w:val="18"/>
          <w:szCs w:val="18"/>
          <w:lang w:eastAsia="zh-TW"/>
        </w:rPr>
        <w:t xml:space="preserve">: New </w:t>
      </w:r>
      <w:r w:rsidR="005D78A5">
        <w:rPr>
          <w:rFonts w:ascii="Arial" w:eastAsia="DengXian" w:hAnsi="Arial" w:cs="Arial"/>
          <w:b/>
          <w:bCs/>
          <w:color w:val="FF0000"/>
          <w:sz w:val="18"/>
          <w:szCs w:val="18"/>
          <w:lang w:eastAsia="zh-TW"/>
        </w:rPr>
        <w:t xml:space="preserve">Hong Kong/Shenzhen </w:t>
      </w:r>
      <w:r w:rsidR="0078532F">
        <w:rPr>
          <w:rFonts w:ascii="Arial" w:eastAsia="DengXian" w:hAnsi="Arial" w:cs="Arial"/>
          <w:b/>
          <w:bCs/>
          <w:color w:val="FF0000"/>
          <w:sz w:val="18"/>
          <w:szCs w:val="18"/>
          <w:lang w:eastAsia="zh-TW"/>
        </w:rPr>
        <w:t>Dual</w:t>
      </w:r>
      <w:r w:rsidR="00B20CC2">
        <w:rPr>
          <w:rFonts w:ascii="Arial" w:eastAsia="DengXian" w:hAnsi="Arial" w:cs="Arial"/>
          <w:b/>
          <w:bCs/>
          <w:color w:val="FF0000"/>
          <w:sz w:val="18"/>
          <w:szCs w:val="18"/>
          <w:lang w:eastAsia="zh-TW"/>
        </w:rPr>
        <w:t>-</w:t>
      </w:r>
      <w:r w:rsidR="0078532F">
        <w:rPr>
          <w:rFonts w:ascii="Arial" w:eastAsia="DengXian" w:hAnsi="Arial" w:cs="Arial"/>
          <w:b/>
          <w:bCs/>
          <w:color w:val="FF0000"/>
          <w:sz w:val="18"/>
          <w:szCs w:val="18"/>
          <w:lang w:eastAsia="zh-TW"/>
        </w:rPr>
        <w:t xml:space="preserve">listing </w:t>
      </w:r>
      <w:r w:rsidR="0078532F" w:rsidRPr="0078532F">
        <w:rPr>
          <w:rFonts w:ascii="Arial" w:eastAsia="DengXian" w:hAnsi="Arial" w:cs="Arial"/>
          <w:b/>
          <w:bCs/>
          <w:color w:val="FF0000"/>
          <w:sz w:val="18"/>
          <w:szCs w:val="18"/>
          <w:lang w:eastAsia="zh-TW"/>
        </w:rPr>
        <w:t xml:space="preserve">Opportunities </w:t>
      </w:r>
    </w:p>
    <w:p w:rsidR="00E902BB" w:rsidRPr="0078532F" w:rsidRDefault="00E902BB" w:rsidP="004C6CFC">
      <w:pPr>
        <w:snapToGrid w:val="0"/>
        <w:spacing w:after="0" w:line="240" w:lineRule="auto"/>
        <w:contextualSpacing/>
        <w:jc w:val="both"/>
        <w:rPr>
          <w:rFonts w:ascii="Arial" w:eastAsiaTheme="minorEastAsia" w:hAnsi="Arial" w:cs="Arial"/>
          <w:b/>
          <w:color w:val="FF0000"/>
          <w:sz w:val="18"/>
          <w:szCs w:val="18"/>
          <w:lang w:eastAsia="zh-TW"/>
        </w:rPr>
      </w:pPr>
    </w:p>
    <w:p w:rsidR="00716028" w:rsidRPr="002D05B5" w:rsidRDefault="00986968" w:rsidP="00716028">
      <w:pPr>
        <w:snapToGrid w:val="0"/>
        <w:spacing w:after="0" w:line="240" w:lineRule="auto"/>
        <w:contextualSpacing/>
        <w:jc w:val="both"/>
        <w:rPr>
          <w:rFonts w:ascii="Arial" w:eastAsiaTheme="minorEastAsia" w:hAnsi="Arial" w:cs="Arial"/>
          <w:color w:val="000000" w:themeColor="text1"/>
          <w:sz w:val="18"/>
          <w:szCs w:val="18"/>
          <w:lang w:eastAsia="zh-TW"/>
        </w:rPr>
      </w:pPr>
      <w:r>
        <w:rPr>
          <w:rFonts w:ascii="Arial" w:hAnsi="Arial" w:cs="Arial"/>
          <w:color w:val="000000" w:themeColor="text1"/>
          <w:sz w:val="18"/>
          <w:szCs w:val="18"/>
          <w:lang w:eastAsia="zh-TW"/>
        </w:rPr>
        <w:t xml:space="preserve">On </w:t>
      </w:r>
      <w:r w:rsidR="00E86660">
        <w:rPr>
          <w:rFonts w:ascii="Arial" w:hAnsi="Arial" w:cs="Arial"/>
          <w:color w:val="000000" w:themeColor="text1"/>
          <w:sz w:val="18"/>
          <w:szCs w:val="18"/>
          <w:lang w:eastAsia="zh-TW"/>
        </w:rPr>
        <w:t xml:space="preserve">10 </w:t>
      </w:r>
      <w:r>
        <w:rPr>
          <w:rFonts w:ascii="Arial" w:hAnsi="Arial" w:cs="Arial"/>
          <w:color w:val="000000" w:themeColor="text1"/>
          <w:sz w:val="18"/>
          <w:szCs w:val="18"/>
          <w:lang w:eastAsia="zh-TW"/>
        </w:rPr>
        <w:t xml:space="preserve">June </w:t>
      </w:r>
      <w:r w:rsidR="003C328F" w:rsidRPr="003C328F">
        <w:rPr>
          <w:rFonts w:ascii="Arial" w:hAnsi="Arial" w:cs="Arial"/>
          <w:color w:val="000000" w:themeColor="text1"/>
          <w:sz w:val="18"/>
          <w:szCs w:val="18"/>
          <w:lang w:eastAsia="zh-TW"/>
        </w:rPr>
        <w:t>2025, the C</w:t>
      </w:r>
      <w:r w:rsidR="00E86660">
        <w:rPr>
          <w:rFonts w:ascii="Arial" w:hAnsi="Arial" w:cs="Arial"/>
          <w:color w:val="000000" w:themeColor="text1"/>
          <w:sz w:val="18"/>
          <w:szCs w:val="18"/>
          <w:lang w:eastAsia="zh-TW"/>
        </w:rPr>
        <w:t xml:space="preserve">ommunist </w:t>
      </w:r>
      <w:r w:rsidR="003C328F" w:rsidRPr="003C328F">
        <w:rPr>
          <w:rFonts w:ascii="Arial" w:hAnsi="Arial" w:cs="Arial"/>
          <w:color w:val="000000" w:themeColor="text1"/>
          <w:sz w:val="18"/>
          <w:szCs w:val="18"/>
          <w:lang w:eastAsia="zh-TW"/>
        </w:rPr>
        <w:t>P</w:t>
      </w:r>
      <w:r w:rsidR="00E86660">
        <w:rPr>
          <w:rFonts w:ascii="Arial" w:hAnsi="Arial" w:cs="Arial"/>
          <w:color w:val="000000" w:themeColor="text1"/>
          <w:sz w:val="18"/>
          <w:szCs w:val="18"/>
          <w:lang w:eastAsia="zh-TW"/>
        </w:rPr>
        <w:t xml:space="preserve">arty of </w:t>
      </w:r>
      <w:r w:rsidR="003C328F" w:rsidRPr="003C328F">
        <w:rPr>
          <w:rFonts w:ascii="Arial" w:hAnsi="Arial" w:cs="Arial"/>
          <w:color w:val="000000" w:themeColor="text1"/>
          <w:sz w:val="18"/>
          <w:szCs w:val="18"/>
          <w:lang w:eastAsia="zh-TW"/>
        </w:rPr>
        <w:t>C</w:t>
      </w:r>
      <w:r w:rsidR="00E86660">
        <w:rPr>
          <w:rFonts w:ascii="Arial" w:hAnsi="Arial" w:cs="Arial"/>
          <w:color w:val="000000" w:themeColor="text1"/>
          <w:sz w:val="18"/>
          <w:szCs w:val="18"/>
          <w:lang w:eastAsia="zh-TW"/>
        </w:rPr>
        <w:t>hina</w:t>
      </w:r>
      <w:r w:rsidR="003C328F" w:rsidRPr="003C328F">
        <w:rPr>
          <w:rFonts w:ascii="Arial" w:hAnsi="Arial" w:cs="Arial"/>
          <w:color w:val="000000" w:themeColor="text1"/>
          <w:sz w:val="18"/>
          <w:szCs w:val="18"/>
          <w:lang w:eastAsia="zh-TW"/>
        </w:rPr>
        <w:t xml:space="preserve"> Central Committee and the State Council issued </w:t>
      </w:r>
      <w:r w:rsidR="00253AD9">
        <w:rPr>
          <w:rFonts w:ascii="Arial" w:hAnsi="Arial" w:cs="Arial"/>
          <w:color w:val="000000" w:themeColor="text1"/>
          <w:sz w:val="18"/>
          <w:szCs w:val="18"/>
          <w:lang w:eastAsia="zh-TW"/>
        </w:rPr>
        <w:t xml:space="preserve">new </w:t>
      </w:r>
      <w:r w:rsidR="003C328F" w:rsidRPr="003C328F">
        <w:rPr>
          <w:rFonts w:ascii="Arial" w:hAnsi="Arial" w:cs="Arial"/>
          <w:color w:val="000000" w:themeColor="text1"/>
          <w:sz w:val="18"/>
          <w:szCs w:val="18"/>
          <w:lang w:eastAsia="zh-TW"/>
        </w:rPr>
        <w:t xml:space="preserve">guidelines </w:t>
      </w:r>
      <w:r w:rsidR="00253AD9">
        <w:rPr>
          <w:rFonts w:ascii="Arial" w:hAnsi="Arial" w:cs="Arial"/>
          <w:color w:val="000000" w:themeColor="text1"/>
          <w:sz w:val="18"/>
          <w:szCs w:val="18"/>
          <w:lang w:eastAsia="zh-TW"/>
        </w:rPr>
        <w:t xml:space="preserve">outlining </w:t>
      </w:r>
      <w:r w:rsidR="00253AD9" w:rsidRPr="003C328F">
        <w:rPr>
          <w:rFonts w:ascii="Arial" w:hAnsi="Arial" w:cs="Arial"/>
          <w:color w:val="000000" w:themeColor="text1"/>
          <w:sz w:val="18"/>
          <w:szCs w:val="18"/>
          <w:lang w:eastAsia="zh-TW"/>
        </w:rPr>
        <w:t xml:space="preserve">comprehensive </w:t>
      </w:r>
      <w:r w:rsidR="00253AD9">
        <w:rPr>
          <w:rFonts w:ascii="Arial" w:hAnsi="Arial" w:cs="Arial"/>
          <w:color w:val="000000" w:themeColor="text1"/>
          <w:sz w:val="18"/>
          <w:szCs w:val="18"/>
          <w:lang w:eastAsia="zh-TW"/>
        </w:rPr>
        <w:t xml:space="preserve">regulatory </w:t>
      </w:r>
      <w:r w:rsidR="00253AD9" w:rsidRPr="003C328F">
        <w:rPr>
          <w:rFonts w:ascii="Arial" w:hAnsi="Arial" w:cs="Arial"/>
          <w:color w:val="000000" w:themeColor="text1"/>
          <w:sz w:val="18"/>
          <w:szCs w:val="18"/>
          <w:lang w:eastAsia="zh-TW"/>
        </w:rPr>
        <w:t>reform</w:t>
      </w:r>
      <w:r w:rsidR="00253AD9">
        <w:rPr>
          <w:rFonts w:ascii="Arial" w:hAnsi="Arial" w:cs="Arial"/>
          <w:color w:val="000000" w:themeColor="text1"/>
          <w:sz w:val="18"/>
          <w:szCs w:val="18"/>
          <w:lang w:eastAsia="zh-TW"/>
        </w:rPr>
        <w:t>s aimed at boosting Shenzhen’s</w:t>
      </w:r>
      <w:r w:rsidR="0045422E">
        <w:rPr>
          <w:rFonts w:ascii="Arial" w:hAnsi="Arial" w:cs="Arial"/>
          <w:color w:val="000000" w:themeColor="text1"/>
          <w:sz w:val="18"/>
          <w:szCs w:val="18"/>
          <w:lang w:eastAsia="zh-TW"/>
        </w:rPr>
        <w:t xml:space="preserve"> status</w:t>
      </w:r>
      <w:r w:rsidR="00253AD9">
        <w:rPr>
          <w:rFonts w:ascii="Arial" w:hAnsi="Arial" w:cs="Arial"/>
          <w:color w:val="000000" w:themeColor="text1"/>
          <w:sz w:val="18"/>
          <w:szCs w:val="18"/>
          <w:lang w:eastAsia="zh-TW"/>
        </w:rPr>
        <w:t xml:space="preserve"> as a global, innovation-driven city and primary hub in the </w:t>
      </w:r>
      <w:r w:rsidR="0045422E" w:rsidRPr="003C328F">
        <w:rPr>
          <w:rFonts w:ascii="Arial" w:hAnsi="Arial" w:cs="Arial"/>
          <w:color w:val="000000" w:themeColor="text1"/>
          <w:sz w:val="18"/>
          <w:szCs w:val="18"/>
          <w:lang w:eastAsia="zh-TW"/>
        </w:rPr>
        <w:t xml:space="preserve">Guangdong-Hong Kong-Macao Greater Bay Area </w:t>
      </w:r>
      <w:r w:rsidR="00253AD9" w:rsidRPr="003C328F">
        <w:rPr>
          <w:rFonts w:ascii="Arial" w:hAnsi="Arial" w:cs="Arial"/>
          <w:color w:val="000000" w:themeColor="text1"/>
          <w:sz w:val="18"/>
          <w:szCs w:val="18"/>
          <w:lang w:eastAsia="zh-TW"/>
        </w:rPr>
        <w:t>(</w:t>
      </w:r>
      <w:r w:rsidR="00253AD9" w:rsidRPr="00E86660">
        <w:rPr>
          <w:rFonts w:ascii="Arial" w:hAnsi="Arial" w:cs="Arial"/>
          <w:b/>
          <w:color w:val="000000" w:themeColor="text1"/>
          <w:sz w:val="18"/>
          <w:szCs w:val="18"/>
          <w:lang w:eastAsia="zh-TW"/>
        </w:rPr>
        <w:t>GBA</w:t>
      </w:r>
      <w:r w:rsidR="00253AD9" w:rsidRPr="003C328F">
        <w:rPr>
          <w:rFonts w:ascii="Arial" w:hAnsi="Arial" w:cs="Arial"/>
          <w:color w:val="000000" w:themeColor="text1"/>
          <w:sz w:val="18"/>
          <w:szCs w:val="18"/>
          <w:lang w:eastAsia="zh-TW"/>
        </w:rPr>
        <w:t xml:space="preserve">) </w:t>
      </w:r>
      <w:r w:rsidR="00253AD9">
        <w:rPr>
          <w:rFonts w:ascii="Arial" w:hAnsi="Arial" w:cs="Arial"/>
          <w:color w:val="000000" w:themeColor="text1"/>
          <w:sz w:val="18"/>
          <w:szCs w:val="18"/>
          <w:lang w:eastAsia="zh-TW"/>
        </w:rPr>
        <w:t xml:space="preserve">and China’s national development strategy. </w:t>
      </w:r>
      <w:r w:rsidR="003C328F" w:rsidRPr="003C328F">
        <w:rPr>
          <w:rFonts w:ascii="Arial" w:hAnsi="Arial" w:cs="Arial"/>
          <w:color w:val="000000" w:themeColor="text1"/>
          <w:sz w:val="18"/>
          <w:szCs w:val="18"/>
          <w:lang w:eastAsia="zh-TW"/>
        </w:rPr>
        <w:t xml:space="preserve">The guidelines </w:t>
      </w:r>
      <w:r w:rsidR="00253AD9">
        <w:rPr>
          <w:rFonts w:ascii="Arial" w:hAnsi="Arial" w:cs="Arial"/>
          <w:color w:val="000000" w:themeColor="text1"/>
          <w:sz w:val="18"/>
          <w:szCs w:val="18"/>
          <w:lang w:eastAsia="zh-TW"/>
        </w:rPr>
        <w:t xml:space="preserve">are </w:t>
      </w:r>
      <w:proofErr w:type="spellStart"/>
      <w:r w:rsidR="00253AD9">
        <w:rPr>
          <w:rFonts w:ascii="Arial" w:hAnsi="Arial" w:cs="Arial"/>
          <w:color w:val="000000" w:themeColor="text1"/>
          <w:sz w:val="18"/>
          <w:szCs w:val="18"/>
          <w:lang w:eastAsia="zh-TW"/>
        </w:rPr>
        <w:t>summarised</w:t>
      </w:r>
      <w:proofErr w:type="spellEnd"/>
      <w:r w:rsidR="00253AD9">
        <w:rPr>
          <w:rFonts w:ascii="Arial" w:hAnsi="Arial" w:cs="Arial"/>
          <w:color w:val="000000" w:themeColor="text1"/>
          <w:sz w:val="18"/>
          <w:szCs w:val="18"/>
          <w:lang w:eastAsia="zh-TW"/>
        </w:rPr>
        <w:t xml:space="preserve"> in the State Council’s </w:t>
      </w:r>
      <w:hyperlink r:id="rId9" w:history="1">
        <w:r w:rsidR="00253AD9" w:rsidRPr="00253AD9">
          <w:rPr>
            <w:rStyle w:val="a3"/>
            <w:rFonts w:ascii="Arial" w:hAnsi="Arial" w:cs="Arial"/>
            <w:sz w:val="18"/>
            <w:szCs w:val="18"/>
            <w:lang w:eastAsia="zh-TW"/>
          </w:rPr>
          <w:t>press release</w:t>
        </w:r>
      </w:hyperlink>
      <w:r w:rsidR="00253AD9" w:rsidRPr="00882CB8">
        <w:rPr>
          <w:rStyle w:val="ab"/>
          <w:rFonts w:ascii="Arial" w:hAnsi="Arial" w:cs="Arial"/>
          <w:color w:val="000000" w:themeColor="text1"/>
          <w:sz w:val="18"/>
          <w:szCs w:val="18"/>
          <w:lang w:eastAsia="zh-TW"/>
        </w:rPr>
        <w:footnoteReference w:id="1"/>
      </w:r>
      <w:r w:rsidR="00253AD9" w:rsidRPr="00882CB8">
        <w:rPr>
          <w:rFonts w:ascii="Arial" w:hAnsi="Arial" w:cs="Arial"/>
          <w:color w:val="000000" w:themeColor="text1"/>
          <w:sz w:val="18"/>
          <w:szCs w:val="18"/>
          <w:lang w:eastAsia="zh-TW"/>
        </w:rPr>
        <w:t xml:space="preserve"> </w:t>
      </w:r>
      <w:r w:rsidR="00253AD9">
        <w:rPr>
          <w:rFonts w:ascii="Arial" w:hAnsi="Arial" w:cs="Arial"/>
          <w:color w:val="000000" w:themeColor="text1"/>
          <w:sz w:val="18"/>
          <w:szCs w:val="18"/>
          <w:lang w:eastAsia="zh-TW"/>
        </w:rPr>
        <w:t xml:space="preserve">of the same date and </w:t>
      </w:r>
      <w:r w:rsidR="003C328F" w:rsidRPr="003C328F">
        <w:rPr>
          <w:rFonts w:ascii="Arial" w:hAnsi="Arial" w:cs="Arial"/>
          <w:color w:val="000000" w:themeColor="text1"/>
          <w:sz w:val="18"/>
          <w:szCs w:val="18"/>
          <w:lang w:eastAsia="zh-TW"/>
        </w:rPr>
        <w:t xml:space="preserve">outline </w:t>
      </w:r>
      <w:r w:rsidR="0045422E">
        <w:rPr>
          <w:rFonts w:ascii="Arial" w:hAnsi="Arial" w:cs="Arial"/>
          <w:color w:val="000000" w:themeColor="text1"/>
          <w:sz w:val="18"/>
          <w:szCs w:val="18"/>
          <w:lang w:eastAsia="zh-TW"/>
        </w:rPr>
        <w:t xml:space="preserve">key </w:t>
      </w:r>
      <w:r w:rsidR="00253AD9">
        <w:rPr>
          <w:rFonts w:ascii="Arial" w:hAnsi="Arial" w:cs="Arial"/>
          <w:color w:val="000000" w:themeColor="text1"/>
          <w:sz w:val="18"/>
          <w:szCs w:val="18"/>
          <w:lang w:eastAsia="zh-TW"/>
        </w:rPr>
        <w:t>reform</w:t>
      </w:r>
      <w:r w:rsidR="003C328F" w:rsidRPr="003C328F">
        <w:rPr>
          <w:rFonts w:ascii="Arial" w:hAnsi="Arial" w:cs="Arial"/>
          <w:color w:val="000000" w:themeColor="text1"/>
          <w:sz w:val="18"/>
          <w:szCs w:val="18"/>
          <w:lang w:eastAsia="zh-TW"/>
        </w:rPr>
        <w:t>s dismantling institutional</w:t>
      </w:r>
      <w:r w:rsidR="00E86660">
        <w:rPr>
          <w:rFonts w:ascii="Arial" w:hAnsi="Arial" w:cs="Arial"/>
          <w:color w:val="000000" w:themeColor="text1"/>
          <w:sz w:val="18"/>
          <w:szCs w:val="18"/>
          <w:lang w:eastAsia="zh-TW"/>
        </w:rPr>
        <w:t xml:space="preserve"> barriers in education, science</w:t>
      </w:r>
      <w:r w:rsidR="003C328F" w:rsidRPr="003C328F">
        <w:rPr>
          <w:rFonts w:ascii="Arial" w:hAnsi="Arial" w:cs="Arial"/>
          <w:color w:val="000000" w:themeColor="text1"/>
          <w:sz w:val="18"/>
          <w:szCs w:val="18"/>
          <w:lang w:eastAsia="zh-TW"/>
        </w:rPr>
        <w:t xml:space="preserve"> and talent </w:t>
      </w:r>
      <w:r w:rsidR="00E86660">
        <w:rPr>
          <w:rFonts w:ascii="Arial" w:hAnsi="Arial" w:cs="Arial"/>
          <w:color w:val="000000" w:themeColor="text1"/>
          <w:sz w:val="18"/>
          <w:szCs w:val="18"/>
          <w:lang w:eastAsia="zh-TW"/>
        </w:rPr>
        <w:t xml:space="preserve">development. They </w:t>
      </w:r>
      <w:r w:rsidR="00253AD9">
        <w:rPr>
          <w:rFonts w:ascii="Arial" w:hAnsi="Arial" w:cs="Arial"/>
          <w:color w:val="000000" w:themeColor="text1"/>
          <w:sz w:val="18"/>
          <w:szCs w:val="18"/>
          <w:lang w:eastAsia="zh-TW"/>
        </w:rPr>
        <w:t xml:space="preserve">also </w:t>
      </w:r>
      <w:proofErr w:type="spellStart"/>
      <w:r w:rsidR="00E86660">
        <w:rPr>
          <w:rFonts w:ascii="Arial" w:hAnsi="Arial" w:cs="Arial"/>
          <w:color w:val="000000" w:themeColor="text1"/>
          <w:sz w:val="18"/>
          <w:szCs w:val="18"/>
          <w:lang w:eastAsia="zh-TW"/>
        </w:rPr>
        <w:t>prioritis</w:t>
      </w:r>
      <w:r w:rsidR="003C328F" w:rsidRPr="003C328F">
        <w:rPr>
          <w:rFonts w:ascii="Arial" w:hAnsi="Arial" w:cs="Arial"/>
          <w:color w:val="000000" w:themeColor="text1"/>
          <w:sz w:val="18"/>
          <w:szCs w:val="18"/>
          <w:lang w:eastAsia="zh-TW"/>
        </w:rPr>
        <w:t>e</w:t>
      </w:r>
      <w:proofErr w:type="spellEnd"/>
      <w:r w:rsidR="003C328F" w:rsidRPr="003C328F">
        <w:rPr>
          <w:rFonts w:ascii="Arial" w:hAnsi="Arial" w:cs="Arial"/>
          <w:color w:val="000000" w:themeColor="text1"/>
          <w:sz w:val="18"/>
          <w:szCs w:val="18"/>
          <w:lang w:eastAsia="zh-TW"/>
        </w:rPr>
        <w:t xml:space="preserve"> deeper integration of </w:t>
      </w:r>
      <w:r w:rsidR="00E86660">
        <w:rPr>
          <w:rFonts w:ascii="Arial" w:hAnsi="Arial" w:cs="Arial"/>
          <w:color w:val="000000" w:themeColor="text1"/>
          <w:sz w:val="18"/>
          <w:szCs w:val="18"/>
          <w:lang w:eastAsia="zh-TW"/>
        </w:rPr>
        <w:t>innovation, industrial, capital</w:t>
      </w:r>
      <w:r w:rsidR="00253AD9">
        <w:rPr>
          <w:rFonts w:ascii="Arial" w:hAnsi="Arial" w:cs="Arial"/>
          <w:color w:val="000000" w:themeColor="text1"/>
          <w:sz w:val="18"/>
          <w:szCs w:val="18"/>
          <w:lang w:eastAsia="zh-TW"/>
        </w:rPr>
        <w:t xml:space="preserve"> and talent chains and</w:t>
      </w:r>
      <w:r w:rsidR="0045422E">
        <w:rPr>
          <w:rFonts w:ascii="Arial" w:hAnsi="Arial" w:cs="Arial"/>
          <w:color w:val="000000" w:themeColor="text1"/>
          <w:sz w:val="18"/>
          <w:szCs w:val="18"/>
          <w:lang w:eastAsia="zh-TW"/>
        </w:rPr>
        <w:t xml:space="preserve"> offer</w:t>
      </w:r>
      <w:r w:rsidR="00253AD9">
        <w:rPr>
          <w:rFonts w:ascii="Arial" w:hAnsi="Arial" w:cs="Arial"/>
          <w:color w:val="000000" w:themeColor="text1"/>
          <w:sz w:val="18"/>
          <w:szCs w:val="18"/>
          <w:lang w:eastAsia="zh-TW"/>
        </w:rPr>
        <w:t xml:space="preserve"> new pathways, scenarios</w:t>
      </w:r>
      <w:r w:rsidR="003C328F" w:rsidRPr="003C328F">
        <w:rPr>
          <w:rFonts w:ascii="Arial" w:hAnsi="Arial" w:cs="Arial"/>
          <w:color w:val="000000" w:themeColor="text1"/>
          <w:sz w:val="18"/>
          <w:szCs w:val="18"/>
          <w:lang w:eastAsia="zh-TW"/>
        </w:rPr>
        <w:t xml:space="preserve"> and platforms for </w:t>
      </w:r>
      <w:r w:rsidR="0045422E">
        <w:rPr>
          <w:rFonts w:ascii="Arial" w:hAnsi="Arial" w:cs="Arial"/>
          <w:color w:val="000000" w:themeColor="text1"/>
          <w:sz w:val="18"/>
          <w:szCs w:val="18"/>
          <w:lang w:eastAsia="zh-TW"/>
        </w:rPr>
        <w:t xml:space="preserve">GBA </w:t>
      </w:r>
      <w:r w:rsidR="003C328F" w:rsidRPr="003C328F">
        <w:rPr>
          <w:rFonts w:ascii="Arial" w:hAnsi="Arial" w:cs="Arial"/>
          <w:color w:val="000000" w:themeColor="text1"/>
          <w:sz w:val="18"/>
          <w:szCs w:val="18"/>
          <w:lang w:eastAsia="zh-TW"/>
        </w:rPr>
        <w:t>cooperation.</w:t>
      </w:r>
      <w:r w:rsidR="00253AD9">
        <w:rPr>
          <w:rFonts w:ascii="Arial" w:hAnsi="Arial" w:cs="Arial"/>
          <w:color w:val="000000" w:themeColor="text1"/>
          <w:sz w:val="18"/>
          <w:szCs w:val="18"/>
          <w:lang w:eastAsia="zh-TW"/>
        </w:rPr>
        <w:t xml:space="preserve"> </w:t>
      </w:r>
      <w:r w:rsidR="00716028">
        <w:rPr>
          <w:rFonts w:ascii="Arial" w:hAnsi="Arial" w:cs="Arial"/>
          <w:color w:val="000000" w:themeColor="text1"/>
          <w:sz w:val="18"/>
          <w:szCs w:val="18"/>
          <w:lang w:eastAsia="zh-TW"/>
        </w:rPr>
        <w:t>The</w:t>
      </w:r>
      <w:r w:rsidR="00716028" w:rsidRPr="003C328F">
        <w:rPr>
          <w:rFonts w:ascii="Arial" w:hAnsi="Arial" w:cs="Arial"/>
          <w:color w:val="000000" w:themeColor="text1"/>
          <w:sz w:val="18"/>
          <w:szCs w:val="18"/>
          <w:lang w:eastAsia="zh-TW"/>
        </w:rPr>
        <w:t xml:space="preserve"> </w:t>
      </w:r>
      <w:r w:rsidR="00716028">
        <w:rPr>
          <w:rFonts w:ascii="Arial" w:hAnsi="Arial" w:cs="Arial"/>
          <w:color w:val="000000" w:themeColor="text1"/>
          <w:sz w:val="18"/>
          <w:szCs w:val="18"/>
          <w:lang w:eastAsia="zh-TW"/>
        </w:rPr>
        <w:t xml:space="preserve">latest </w:t>
      </w:r>
      <w:r w:rsidR="00716028" w:rsidRPr="003C328F">
        <w:rPr>
          <w:rFonts w:ascii="Arial" w:hAnsi="Arial" w:cs="Arial"/>
          <w:color w:val="000000" w:themeColor="text1"/>
          <w:sz w:val="18"/>
          <w:szCs w:val="18"/>
          <w:lang w:eastAsia="zh-TW"/>
        </w:rPr>
        <w:t>guidelines</w:t>
      </w:r>
      <w:r w:rsidR="00716028">
        <w:rPr>
          <w:rFonts w:ascii="Arial" w:hAnsi="Arial" w:cs="Arial"/>
          <w:color w:val="000000" w:themeColor="text1"/>
          <w:sz w:val="18"/>
          <w:szCs w:val="18"/>
          <w:lang w:eastAsia="zh-TW"/>
        </w:rPr>
        <w:t xml:space="preserve"> serve as high-level directions on regulatory reform, the </w:t>
      </w:r>
      <w:r w:rsidR="00716028" w:rsidRPr="003C328F">
        <w:rPr>
          <w:rFonts w:ascii="Arial" w:hAnsi="Arial" w:cs="Arial"/>
          <w:color w:val="000000" w:themeColor="text1"/>
          <w:sz w:val="18"/>
          <w:szCs w:val="18"/>
          <w:lang w:eastAsia="zh-TW"/>
        </w:rPr>
        <w:t xml:space="preserve">detailed </w:t>
      </w:r>
      <w:r w:rsidR="00716028">
        <w:rPr>
          <w:rFonts w:ascii="Arial" w:hAnsi="Arial" w:cs="Arial"/>
          <w:color w:val="000000" w:themeColor="text1"/>
          <w:sz w:val="18"/>
          <w:szCs w:val="18"/>
          <w:lang w:eastAsia="zh-TW"/>
        </w:rPr>
        <w:t>requirements of which are not available at the date of writing.</w:t>
      </w:r>
    </w:p>
    <w:p w:rsidR="003C328F" w:rsidRPr="003C328F" w:rsidRDefault="003C328F" w:rsidP="003C328F">
      <w:pPr>
        <w:snapToGrid w:val="0"/>
        <w:spacing w:after="0" w:line="240" w:lineRule="auto"/>
        <w:contextualSpacing/>
        <w:jc w:val="both"/>
        <w:rPr>
          <w:rFonts w:ascii="Arial" w:hAnsi="Arial" w:cs="Arial"/>
          <w:color w:val="000000" w:themeColor="text1"/>
          <w:sz w:val="18"/>
          <w:szCs w:val="18"/>
          <w:lang w:eastAsia="zh-TW"/>
        </w:rPr>
      </w:pPr>
    </w:p>
    <w:p w:rsidR="00FE64F6" w:rsidRPr="00FE64F6" w:rsidRDefault="00FE64F6" w:rsidP="003C328F">
      <w:pPr>
        <w:snapToGrid w:val="0"/>
        <w:spacing w:after="0" w:line="240" w:lineRule="auto"/>
        <w:contextualSpacing/>
        <w:jc w:val="both"/>
        <w:rPr>
          <w:rFonts w:ascii="Arial" w:hAnsi="Arial" w:cs="Arial"/>
          <w:b/>
          <w:color w:val="000000" w:themeColor="text1"/>
          <w:sz w:val="18"/>
          <w:szCs w:val="18"/>
          <w:lang w:eastAsia="zh-TW"/>
        </w:rPr>
      </w:pPr>
      <w:r>
        <w:rPr>
          <w:rFonts w:ascii="Arial" w:hAnsi="Arial" w:cs="Arial"/>
          <w:b/>
          <w:color w:val="FF0000"/>
          <w:sz w:val="18"/>
          <w:szCs w:val="18"/>
          <w:lang w:eastAsia="zh-TW"/>
        </w:rPr>
        <w:t>HKEX</w:t>
      </w:r>
      <w:r w:rsidRPr="00FE64F6">
        <w:rPr>
          <w:rFonts w:ascii="Arial" w:hAnsi="Arial" w:cs="Arial"/>
          <w:b/>
          <w:color w:val="FF0000"/>
          <w:sz w:val="18"/>
          <w:szCs w:val="18"/>
          <w:lang w:eastAsia="zh-TW"/>
        </w:rPr>
        <w:t>/Shenzhen Dual Listing for GBA Companies</w:t>
      </w:r>
    </w:p>
    <w:p w:rsidR="00FE64F6" w:rsidRDefault="00FE64F6" w:rsidP="003C328F">
      <w:pPr>
        <w:snapToGrid w:val="0"/>
        <w:spacing w:after="0" w:line="240" w:lineRule="auto"/>
        <w:contextualSpacing/>
        <w:jc w:val="both"/>
        <w:rPr>
          <w:rFonts w:ascii="Arial" w:hAnsi="Arial" w:cs="Arial"/>
          <w:color w:val="000000" w:themeColor="text1"/>
          <w:sz w:val="18"/>
          <w:szCs w:val="18"/>
          <w:lang w:eastAsia="zh-TW"/>
        </w:rPr>
      </w:pPr>
    </w:p>
    <w:p w:rsidR="002D6E6C" w:rsidRDefault="00FE26DF" w:rsidP="007E6EEE">
      <w:pPr>
        <w:snapToGrid w:val="0"/>
        <w:spacing w:after="0" w:line="240" w:lineRule="auto"/>
        <w:contextualSpacing/>
        <w:jc w:val="both"/>
        <w:rPr>
          <w:rFonts w:ascii="Arial" w:hAnsi="Arial" w:cs="Arial"/>
          <w:color w:val="000000" w:themeColor="text1"/>
          <w:sz w:val="18"/>
          <w:szCs w:val="18"/>
          <w:lang w:eastAsia="zh-TW"/>
        </w:rPr>
      </w:pPr>
      <w:r>
        <w:rPr>
          <w:rFonts w:ascii="Arial" w:hAnsi="Arial" w:cs="Arial"/>
          <w:color w:val="000000" w:themeColor="text1"/>
          <w:sz w:val="18"/>
          <w:szCs w:val="18"/>
          <w:lang w:eastAsia="zh-TW"/>
        </w:rPr>
        <w:t xml:space="preserve">The new Shenzhen </w:t>
      </w:r>
      <w:r w:rsidR="00FE64F6">
        <w:rPr>
          <w:rFonts w:ascii="Arial" w:hAnsi="Arial" w:cs="Arial"/>
          <w:color w:val="000000" w:themeColor="text1"/>
          <w:sz w:val="18"/>
          <w:szCs w:val="18"/>
          <w:lang w:eastAsia="zh-TW"/>
        </w:rPr>
        <w:t>reform</w:t>
      </w:r>
      <w:r>
        <w:rPr>
          <w:rFonts w:ascii="Arial" w:hAnsi="Arial" w:cs="Arial"/>
          <w:color w:val="000000" w:themeColor="text1"/>
          <w:sz w:val="18"/>
          <w:szCs w:val="18"/>
          <w:lang w:eastAsia="zh-TW"/>
        </w:rPr>
        <w:t>s</w:t>
      </w:r>
      <w:r w:rsidR="00FE64F6">
        <w:rPr>
          <w:rFonts w:ascii="Arial" w:hAnsi="Arial" w:cs="Arial"/>
          <w:color w:val="000000" w:themeColor="text1"/>
          <w:sz w:val="18"/>
          <w:szCs w:val="18"/>
          <w:lang w:eastAsia="zh-TW"/>
        </w:rPr>
        <w:t xml:space="preserve"> will allow </w:t>
      </w:r>
      <w:r>
        <w:rPr>
          <w:rFonts w:ascii="Arial" w:hAnsi="Arial" w:cs="Arial"/>
          <w:color w:val="000000" w:themeColor="text1"/>
          <w:sz w:val="18"/>
          <w:szCs w:val="18"/>
          <w:lang w:eastAsia="zh-TW"/>
        </w:rPr>
        <w:t xml:space="preserve">dual listings of </w:t>
      </w:r>
      <w:r w:rsidR="00FE64F6">
        <w:rPr>
          <w:rFonts w:ascii="Arial" w:hAnsi="Arial" w:cs="Arial"/>
          <w:color w:val="000000" w:themeColor="text1"/>
          <w:sz w:val="18"/>
          <w:szCs w:val="18"/>
          <w:lang w:eastAsia="zh-TW"/>
        </w:rPr>
        <w:t>GBA companies on the Stock Exchange of Hong Kong Limited (</w:t>
      </w:r>
      <w:r w:rsidR="00FE64F6" w:rsidRPr="00FE64F6">
        <w:rPr>
          <w:rFonts w:ascii="Arial" w:hAnsi="Arial" w:cs="Arial"/>
          <w:b/>
          <w:color w:val="000000" w:themeColor="text1"/>
          <w:sz w:val="18"/>
          <w:szCs w:val="18"/>
          <w:lang w:eastAsia="zh-TW"/>
        </w:rPr>
        <w:t>HKEX</w:t>
      </w:r>
      <w:r w:rsidR="00FE64F6">
        <w:rPr>
          <w:rFonts w:ascii="Arial" w:hAnsi="Arial" w:cs="Arial"/>
          <w:color w:val="000000" w:themeColor="text1"/>
          <w:sz w:val="18"/>
          <w:szCs w:val="18"/>
          <w:lang w:eastAsia="zh-TW"/>
        </w:rPr>
        <w:t xml:space="preserve">) </w:t>
      </w:r>
      <w:r>
        <w:rPr>
          <w:rFonts w:ascii="Arial" w:hAnsi="Arial" w:cs="Arial"/>
          <w:color w:val="000000" w:themeColor="text1"/>
          <w:sz w:val="18"/>
          <w:szCs w:val="18"/>
          <w:lang w:eastAsia="zh-TW"/>
        </w:rPr>
        <w:t xml:space="preserve">and </w:t>
      </w:r>
      <w:r w:rsidR="003C328F" w:rsidRPr="003C328F">
        <w:rPr>
          <w:rFonts w:ascii="Arial" w:hAnsi="Arial" w:cs="Arial"/>
          <w:color w:val="000000" w:themeColor="text1"/>
          <w:sz w:val="18"/>
          <w:szCs w:val="18"/>
          <w:lang w:eastAsia="zh-TW"/>
        </w:rPr>
        <w:t>Shenzhen Stock Exchange</w:t>
      </w:r>
      <w:r>
        <w:rPr>
          <w:rFonts w:ascii="Arial" w:hAnsi="Arial" w:cs="Arial"/>
          <w:color w:val="000000" w:themeColor="text1"/>
          <w:sz w:val="18"/>
          <w:szCs w:val="18"/>
          <w:lang w:eastAsia="zh-TW"/>
        </w:rPr>
        <w:t xml:space="preserve">, which </w:t>
      </w:r>
      <w:r w:rsidR="002E3403">
        <w:rPr>
          <w:rFonts w:ascii="Arial" w:hAnsi="Arial" w:cs="Arial"/>
          <w:color w:val="000000" w:themeColor="text1"/>
          <w:sz w:val="18"/>
          <w:szCs w:val="18"/>
          <w:lang w:eastAsia="zh-TW"/>
        </w:rPr>
        <w:t>could help HKEX-listed companies expand in the Mainland and encourage</w:t>
      </w:r>
      <w:r w:rsidR="0027503E">
        <w:rPr>
          <w:rFonts w:ascii="Arial" w:hAnsi="Arial" w:cs="Arial"/>
          <w:color w:val="000000" w:themeColor="text1"/>
          <w:sz w:val="18"/>
          <w:szCs w:val="18"/>
          <w:lang w:eastAsia="zh-TW"/>
        </w:rPr>
        <w:t xml:space="preserve"> more </w:t>
      </w:r>
      <w:r>
        <w:rPr>
          <w:rFonts w:ascii="Arial" w:hAnsi="Arial" w:cs="Arial"/>
          <w:color w:val="000000" w:themeColor="text1"/>
          <w:sz w:val="18"/>
          <w:szCs w:val="18"/>
          <w:lang w:eastAsia="zh-TW"/>
        </w:rPr>
        <w:t xml:space="preserve">HKEX </w:t>
      </w:r>
      <w:r w:rsidR="0027503E">
        <w:rPr>
          <w:rFonts w:ascii="Arial" w:hAnsi="Arial" w:cs="Arial"/>
          <w:color w:val="000000" w:themeColor="text1"/>
          <w:sz w:val="18"/>
          <w:szCs w:val="18"/>
          <w:lang w:eastAsia="zh-TW"/>
        </w:rPr>
        <w:t>share offerings</w:t>
      </w:r>
      <w:r w:rsidR="005E401D">
        <w:rPr>
          <w:rFonts w:ascii="Arial" w:hAnsi="Arial" w:cs="Arial"/>
          <w:color w:val="000000" w:themeColor="text1"/>
          <w:sz w:val="18"/>
          <w:szCs w:val="18"/>
          <w:lang w:eastAsia="zh-TW"/>
        </w:rPr>
        <w:t>, according to sources quoted by the South China Morning Post (</w:t>
      </w:r>
      <w:r w:rsidR="005E401D" w:rsidRPr="00A16D87">
        <w:rPr>
          <w:rFonts w:ascii="Arial" w:hAnsi="Arial" w:cs="Arial"/>
          <w:b/>
          <w:color w:val="000000" w:themeColor="text1"/>
          <w:sz w:val="18"/>
          <w:szCs w:val="18"/>
          <w:lang w:eastAsia="zh-TW"/>
        </w:rPr>
        <w:t>SCMP</w:t>
      </w:r>
      <w:r w:rsidR="005E401D">
        <w:rPr>
          <w:rFonts w:ascii="Arial" w:hAnsi="Arial" w:cs="Arial"/>
          <w:color w:val="000000" w:themeColor="text1"/>
          <w:sz w:val="18"/>
          <w:szCs w:val="18"/>
          <w:lang w:eastAsia="zh-TW"/>
        </w:rPr>
        <w:t>) in its article on the reforms</w:t>
      </w:r>
      <w:r w:rsidR="0027503E">
        <w:rPr>
          <w:rFonts w:ascii="Arial" w:hAnsi="Arial" w:cs="Arial"/>
          <w:color w:val="000000" w:themeColor="text1"/>
          <w:sz w:val="18"/>
          <w:szCs w:val="18"/>
          <w:lang w:eastAsia="zh-TW"/>
        </w:rPr>
        <w:t>.</w:t>
      </w:r>
      <w:r w:rsidR="002E3403" w:rsidRPr="003B562F">
        <w:rPr>
          <w:rStyle w:val="ab"/>
          <w:rFonts w:ascii="Arial" w:hAnsi="Arial" w:cs="Arial"/>
          <w:color w:val="000000" w:themeColor="text1"/>
          <w:sz w:val="20"/>
          <w:szCs w:val="20"/>
          <w:lang w:eastAsia="zh-TW"/>
        </w:rPr>
        <w:footnoteReference w:id="2"/>
      </w:r>
      <w:r w:rsidR="0027503E">
        <w:rPr>
          <w:rFonts w:ascii="Arial" w:hAnsi="Arial" w:cs="Arial"/>
          <w:color w:val="000000" w:themeColor="text1"/>
          <w:sz w:val="18"/>
          <w:szCs w:val="18"/>
          <w:lang w:eastAsia="zh-TW"/>
        </w:rPr>
        <w:t xml:space="preserve"> According to the SCMP article, the reform will allow Chinese companies with H shares listed on the HKEX to </w:t>
      </w:r>
      <w:r w:rsidR="002D6E6C">
        <w:rPr>
          <w:rFonts w:ascii="Arial" w:hAnsi="Arial" w:cs="Arial"/>
          <w:color w:val="000000" w:themeColor="text1"/>
          <w:sz w:val="18"/>
          <w:szCs w:val="18"/>
          <w:lang w:eastAsia="zh-TW"/>
        </w:rPr>
        <w:t xml:space="preserve">list domestic, yuan-denominated A shares on the Shenzhen Stock Exchange. </w:t>
      </w:r>
      <w:proofErr w:type="gramStart"/>
      <w:r w:rsidR="002D6E6C">
        <w:rPr>
          <w:rFonts w:ascii="Arial" w:hAnsi="Arial" w:cs="Arial"/>
          <w:color w:val="000000" w:themeColor="text1"/>
          <w:sz w:val="18"/>
          <w:szCs w:val="18"/>
          <w:lang w:eastAsia="zh-TW"/>
        </w:rPr>
        <w:t>However</w:t>
      </w:r>
      <w:proofErr w:type="gramEnd"/>
      <w:r w:rsidR="002D6E6C">
        <w:rPr>
          <w:rFonts w:ascii="Arial" w:hAnsi="Arial" w:cs="Arial"/>
          <w:color w:val="000000" w:themeColor="text1"/>
          <w:sz w:val="18"/>
          <w:szCs w:val="18"/>
          <w:lang w:eastAsia="zh-TW"/>
        </w:rPr>
        <w:t xml:space="preserve"> the guidelines do not specify which companies will be eligible for dual HKEX/Shenzhen listing nor the </w:t>
      </w:r>
      <w:r w:rsidR="0045422E">
        <w:rPr>
          <w:rFonts w:ascii="Arial" w:hAnsi="Arial" w:cs="Arial"/>
          <w:color w:val="000000" w:themeColor="text1"/>
          <w:sz w:val="18"/>
          <w:szCs w:val="18"/>
          <w:lang w:eastAsia="zh-TW"/>
        </w:rPr>
        <w:t xml:space="preserve">requirements and </w:t>
      </w:r>
      <w:r w:rsidR="002D6E6C">
        <w:rPr>
          <w:rFonts w:ascii="Arial" w:hAnsi="Arial" w:cs="Arial"/>
          <w:color w:val="000000" w:themeColor="text1"/>
          <w:sz w:val="18"/>
          <w:szCs w:val="18"/>
          <w:lang w:eastAsia="zh-TW"/>
        </w:rPr>
        <w:t>procedures</w:t>
      </w:r>
      <w:r w:rsidR="0045422E">
        <w:rPr>
          <w:rFonts w:ascii="Arial" w:hAnsi="Arial" w:cs="Arial"/>
          <w:color w:val="000000" w:themeColor="text1"/>
          <w:sz w:val="18"/>
          <w:szCs w:val="18"/>
          <w:lang w:eastAsia="zh-TW"/>
        </w:rPr>
        <w:t xml:space="preserve"> for dual listing</w:t>
      </w:r>
      <w:r w:rsidR="002D6E6C">
        <w:rPr>
          <w:rFonts w:ascii="Arial" w:hAnsi="Arial" w:cs="Arial"/>
          <w:color w:val="000000" w:themeColor="text1"/>
          <w:sz w:val="18"/>
          <w:szCs w:val="18"/>
          <w:lang w:eastAsia="zh-TW"/>
        </w:rPr>
        <w:t xml:space="preserve">. </w:t>
      </w:r>
      <w:r w:rsidR="0045422E">
        <w:rPr>
          <w:rFonts w:ascii="Arial" w:hAnsi="Arial" w:cs="Arial"/>
          <w:color w:val="000000" w:themeColor="text1"/>
          <w:sz w:val="18"/>
          <w:szCs w:val="18"/>
          <w:lang w:eastAsia="zh-TW"/>
        </w:rPr>
        <w:t xml:space="preserve">The article </w:t>
      </w:r>
      <w:r w:rsidR="002D6E6C">
        <w:rPr>
          <w:rFonts w:ascii="Arial" w:hAnsi="Arial" w:cs="Arial"/>
          <w:color w:val="000000" w:themeColor="text1"/>
          <w:sz w:val="18"/>
          <w:szCs w:val="18"/>
          <w:lang w:eastAsia="zh-TW"/>
        </w:rPr>
        <w:t>also states that the new dual-listing regime may exclude companies with a variable interest entity (</w:t>
      </w:r>
      <w:r w:rsidR="002D6E6C" w:rsidRPr="00C7754B">
        <w:rPr>
          <w:rFonts w:ascii="Arial" w:hAnsi="Arial" w:cs="Arial"/>
          <w:b/>
          <w:color w:val="000000" w:themeColor="text1"/>
          <w:sz w:val="18"/>
          <w:szCs w:val="18"/>
          <w:lang w:eastAsia="zh-TW"/>
        </w:rPr>
        <w:t>VIE</w:t>
      </w:r>
      <w:r w:rsidR="002D6E6C">
        <w:rPr>
          <w:rFonts w:ascii="Arial" w:hAnsi="Arial" w:cs="Arial"/>
          <w:color w:val="000000" w:themeColor="text1"/>
          <w:sz w:val="18"/>
          <w:szCs w:val="18"/>
          <w:lang w:eastAsia="zh-TW"/>
        </w:rPr>
        <w:t>) structure, which is commonly used by tech companies to prevent the application of Chinese regulatory res</w:t>
      </w:r>
      <w:r w:rsidR="00BC7E9A">
        <w:rPr>
          <w:rFonts w:ascii="Arial" w:hAnsi="Arial" w:cs="Arial"/>
          <w:color w:val="000000" w:themeColor="text1"/>
          <w:sz w:val="18"/>
          <w:szCs w:val="18"/>
          <w:lang w:eastAsia="zh-TW"/>
        </w:rPr>
        <w:t>trictions on foreign investment</w:t>
      </w:r>
      <w:r w:rsidR="002D6E6C">
        <w:rPr>
          <w:rFonts w:ascii="Arial" w:hAnsi="Arial" w:cs="Arial"/>
          <w:color w:val="000000" w:themeColor="text1"/>
          <w:sz w:val="18"/>
          <w:szCs w:val="18"/>
          <w:lang w:eastAsia="zh-TW"/>
        </w:rPr>
        <w:t xml:space="preserve"> in specific industri</w:t>
      </w:r>
      <w:r w:rsidR="00C7754B">
        <w:rPr>
          <w:rFonts w:ascii="Arial" w:hAnsi="Arial" w:cs="Arial"/>
          <w:color w:val="000000" w:themeColor="text1"/>
          <w:sz w:val="18"/>
          <w:szCs w:val="18"/>
          <w:lang w:eastAsia="zh-TW"/>
        </w:rPr>
        <w:t>es</w:t>
      </w:r>
      <w:r w:rsidR="00BC7E9A">
        <w:rPr>
          <w:rFonts w:ascii="Arial" w:hAnsi="Arial" w:cs="Arial"/>
          <w:color w:val="000000" w:themeColor="text1"/>
          <w:sz w:val="18"/>
          <w:szCs w:val="18"/>
          <w:lang w:eastAsia="zh-TW"/>
        </w:rPr>
        <w:t>,</w:t>
      </w:r>
      <w:r w:rsidR="002D6E6C">
        <w:rPr>
          <w:rFonts w:ascii="Arial" w:hAnsi="Arial" w:cs="Arial"/>
          <w:color w:val="000000" w:themeColor="text1"/>
          <w:sz w:val="18"/>
          <w:szCs w:val="18"/>
          <w:lang w:eastAsia="zh-TW"/>
        </w:rPr>
        <w:t xml:space="preserve"> such as the internet and telecommunications</w:t>
      </w:r>
      <w:r w:rsidR="00BC7E9A">
        <w:rPr>
          <w:rFonts w:ascii="Arial" w:hAnsi="Arial" w:cs="Arial"/>
          <w:color w:val="000000" w:themeColor="text1"/>
          <w:sz w:val="18"/>
          <w:szCs w:val="18"/>
          <w:lang w:eastAsia="zh-TW"/>
        </w:rPr>
        <w:t>.</w:t>
      </w:r>
    </w:p>
    <w:p w:rsidR="005C2614" w:rsidRDefault="005C2614" w:rsidP="00A16D87">
      <w:pPr>
        <w:pStyle w:val="ds-markdown-paragraph"/>
        <w:contextualSpacing/>
        <w:jc w:val="both"/>
        <w:rPr>
          <w:rFonts w:ascii="Arial" w:eastAsia="SimSun" w:hAnsi="Arial" w:cs="Arial"/>
          <w:color w:val="000000" w:themeColor="text1"/>
          <w:sz w:val="18"/>
          <w:szCs w:val="18"/>
          <w:lang w:eastAsia="zh-TW"/>
        </w:rPr>
      </w:pPr>
      <w:r>
        <w:rPr>
          <w:rFonts w:ascii="Arial" w:hAnsi="Arial" w:cs="Arial"/>
          <w:color w:val="000000" w:themeColor="text1"/>
          <w:sz w:val="18"/>
          <w:szCs w:val="18"/>
          <w:lang w:eastAsia="zh-TW"/>
        </w:rPr>
        <w:t>According to the SCMP,</w:t>
      </w:r>
      <w:r w:rsidR="007E6EEE" w:rsidRPr="00A16D87">
        <w:rPr>
          <w:rStyle w:val="ab"/>
          <w:rFonts w:ascii="Arial" w:hAnsi="Arial" w:cs="Arial"/>
          <w:color w:val="000000" w:themeColor="text1"/>
          <w:sz w:val="18"/>
          <w:szCs w:val="18"/>
          <w:lang w:eastAsia="zh-TW"/>
        </w:rPr>
        <w:footnoteReference w:id="3"/>
      </w:r>
      <w:r w:rsidRPr="007E6EEE">
        <w:rPr>
          <w:rFonts w:ascii="Arial" w:hAnsi="Arial" w:cs="Arial"/>
          <w:color w:val="000000" w:themeColor="text1"/>
          <w:sz w:val="18"/>
          <w:szCs w:val="18"/>
          <w:lang w:eastAsia="zh-TW"/>
        </w:rPr>
        <w:t xml:space="preserve"> </w:t>
      </w:r>
      <w:r>
        <w:rPr>
          <w:rFonts w:ascii="Arial" w:hAnsi="Arial" w:cs="Arial"/>
          <w:color w:val="000000" w:themeColor="text1"/>
          <w:sz w:val="18"/>
          <w:szCs w:val="18"/>
          <w:lang w:eastAsia="zh-TW"/>
        </w:rPr>
        <w:t xml:space="preserve">HSBC </w:t>
      </w:r>
      <w:r w:rsidRPr="00A16D87">
        <w:rPr>
          <w:rFonts w:ascii="Arial" w:eastAsia="SimSun" w:hAnsi="Arial" w:cs="Arial"/>
          <w:color w:val="000000" w:themeColor="text1"/>
          <w:sz w:val="18"/>
          <w:szCs w:val="18"/>
          <w:lang w:eastAsia="zh-TW"/>
        </w:rPr>
        <w:t>analysts have outlined two key categories of companies likely to gain from Shenzhen's latest polic</w:t>
      </w:r>
      <w:r w:rsidR="00924E2F">
        <w:rPr>
          <w:rFonts w:ascii="Arial" w:eastAsia="SimSun" w:hAnsi="Arial" w:cs="Arial"/>
          <w:color w:val="000000" w:themeColor="text1"/>
          <w:sz w:val="18"/>
          <w:szCs w:val="18"/>
          <w:lang w:eastAsia="zh-TW"/>
        </w:rPr>
        <w:t>y reforms. The first comprises “red chip”</w:t>
      </w:r>
      <w:r w:rsidRPr="00A16D87">
        <w:rPr>
          <w:rFonts w:ascii="Arial" w:eastAsia="SimSun" w:hAnsi="Arial" w:cs="Arial"/>
          <w:color w:val="000000" w:themeColor="text1"/>
          <w:sz w:val="18"/>
          <w:szCs w:val="18"/>
          <w:lang w:eastAsia="zh-TW"/>
        </w:rPr>
        <w:t xml:space="preserve"> firms—overseas-incorpor</w:t>
      </w:r>
      <w:r w:rsidR="007E6EEE">
        <w:rPr>
          <w:rFonts w:ascii="Arial" w:eastAsia="SimSun" w:hAnsi="Arial" w:cs="Arial"/>
          <w:color w:val="000000" w:themeColor="text1"/>
          <w:sz w:val="18"/>
          <w:szCs w:val="18"/>
          <w:lang w:eastAsia="zh-TW"/>
        </w:rPr>
        <w:t>ated enterprises controlled by M</w:t>
      </w:r>
      <w:r w:rsidRPr="00A16D87">
        <w:rPr>
          <w:rFonts w:ascii="Arial" w:eastAsia="SimSun" w:hAnsi="Arial" w:cs="Arial"/>
          <w:color w:val="000000" w:themeColor="text1"/>
          <w:sz w:val="18"/>
          <w:szCs w:val="18"/>
          <w:lang w:eastAsia="zh-TW"/>
        </w:rPr>
        <w:t>ainland entities, such as Te</w:t>
      </w:r>
      <w:r w:rsidR="007E6EEE">
        <w:rPr>
          <w:rFonts w:ascii="Arial" w:eastAsia="SimSun" w:hAnsi="Arial" w:cs="Arial"/>
          <w:color w:val="000000" w:themeColor="text1"/>
          <w:sz w:val="18"/>
          <w:szCs w:val="18"/>
          <w:lang w:eastAsia="zh-TW"/>
        </w:rPr>
        <w:t xml:space="preserve">ncent, Alibaba, </w:t>
      </w:r>
      <w:proofErr w:type="spellStart"/>
      <w:r w:rsidR="007E6EEE">
        <w:rPr>
          <w:rFonts w:ascii="Arial" w:eastAsia="SimSun" w:hAnsi="Arial" w:cs="Arial"/>
          <w:color w:val="000000" w:themeColor="text1"/>
          <w:sz w:val="18"/>
          <w:szCs w:val="18"/>
          <w:lang w:eastAsia="zh-TW"/>
        </w:rPr>
        <w:t>Meituan</w:t>
      </w:r>
      <w:proofErr w:type="spellEnd"/>
      <w:r w:rsidR="007E6EEE">
        <w:rPr>
          <w:rFonts w:ascii="Arial" w:eastAsia="SimSun" w:hAnsi="Arial" w:cs="Arial"/>
          <w:color w:val="000000" w:themeColor="text1"/>
          <w:sz w:val="18"/>
          <w:szCs w:val="18"/>
          <w:lang w:eastAsia="zh-TW"/>
        </w:rPr>
        <w:t>, JD.com</w:t>
      </w:r>
      <w:r w:rsidRPr="00A16D87">
        <w:rPr>
          <w:rFonts w:ascii="Arial" w:eastAsia="SimSun" w:hAnsi="Arial" w:cs="Arial"/>
          <w:color w:val="000000" w:themeColor="text1"/>
          <w:sz w:val="18"/>
          <w:szCs w:val="18"/>
          <w:lang w:eastAsia="zh-TW"/>
        </w:rPr>
        <w:t xml:space="preserve"> and NetEase. The second group includes H-share companies headquartered in the </w:t>
      </w:r>
      <w:r w:rsidR="007E6EEE">
        <w:rPr>
          <w:rFonts w:ascii="Arial" w:eastAsia="SimSun" w:hAnsi="Arial" w:cs="Arial"/>
          <w:color w:val="000000" w:themeColor="text1"/>
          <w:sz w:val="18"/>
          <w:szCs w:val="18"/>
          <w:lang w:eastAsia="zh-TW"/>
        </w:rPr>
        <w:t>GBA</w:t>
      </w:r>
      <w:r w:rsidRPr="00A16D87">
        <w:rPr>
          <w:rFonts w:ascii="Arial" w:eastAsia="SimSun" w:hAnsi="Arial" w:cs="Arial"/>
          <w:color w:val="000000" w:themeColor="text1"/>
          <w:sz w:val="18"/>
          <w:szCs w:val="18"/>
          <w:lang w:eastAsia="zh-TW"/>
        </w:rPr>
        <w:t xml:space="preserve"> </w:t>
      </w:r>
      <w:r w:rsidR="007E6EEE">
        <w:rPr>
          <w:rFonts w:ascii="Arial" w:eastAsia="SimSun" w:hAnsi="Arial" w:cs="Arial"/>
          <w:color w:val="000000" w:themeColor="text1"/>
          <w:sz w:val="18"/>
          <w:szCs w:val="18"/>
          <w:lang w:eastAsia="zh-TW"/>
        </w:rPr>
        <w:t xml:space="preserve">with individual market </w:t>
      </w:r>
      <w:proofErr w:type="spellStart"/>
      <w:r w:rsidR="007E6EEE">
        <w:rPr>
          <w:rFonts w:ascii="Arial" w:eastAsia="SimSun" w:hAnsi="Arial" w:cs="Arial"/>
          <w:color w:val="000000" w:themeColor="text1"/>
          <w:sz w:val="18"/>
          <w:szCs w:val="18"/>
          <w:lang w:eastAsia="zh-TW"/>
        </w:rPr>
        <w:t>capitalis</w:t>
      </w:r>
      <w:r w:rsidRPr="00A16D87">
        <w:rPr>
          <w:rFonts w:ascii="Arial" w:eastAsia="SimSun" w:hAnsi="Arial" w:cs="Arial"/>
          <w:color w:val="000000" w:themeColor="text1"/>
          <w:sz w:val="18"/>
          <w:szCs w:val="18"/>
          <w:lang w:eastAsia="zh-TW"/>
        </w:rPr>
        <w:t>ations</w:t>
      </w:r>
      <w:proofErr w:type="spellEnd"/>
      <w:r w:rsidRPr="00A16D87">
        <w:rPr>
          <w:rFonts w:ascii="Arial" w:eastAsia="SimSun" w:hAnsi="Arial" w:cs="Arial"/>
          <w:color w:val="000000" w:themeColor="text1"/>
          <w:sz w:val="18"/>
          <w:szCs w:val="18"/>
          <w:lang w:eastAsia="zh-TW"/>
        </w:rPr>
        <w:t xml:space="preserve"> exceeding RMB 10 billion, potentially benefiting firms like Sunshine Insurance, </w:t>
      </w:r>
      <w:proofErr w:type="spellStart"/>
      <w:r w:rsidRPr="00A16D87">
        <w:rPr>
          <w:rFonts w:ascii="Arial" w:eastAsia="SimSun" w:hAnsi="Arial" w:cs="Arial"/>
          <w:color w:val="000000" w:themeColor="text1"/>
          <w:sz w:val="18"/>
          <w:szCs w:val="18"/>
          <w:lang w:eastAsia="zh-TW"/>
        </w:rPr>
        <w:t>UBTech</w:t>
      </w:r>
      <w:proofErr w:type="spellEnd"/>
      <w:r w:rsidRPr="00A16D87">
        <w:rPr>
          <w:rFonts w:ascii="Arial" w:eastAsia="SimSun" w:hAnsi="Arial" w:cs="Arial"/>
          <w:color w:val="000000" w:themeColor="text1"/>
          <w:sz w:val="18"/>
          <w:szCs w:val="18"/>
          <w:lang w:eastAsia="zh-TW"/>
        </w:rPr>
        <w:t xml:space="preserve"> Robotics, and SF Intra-city.</w:t>
      </w:r>
    </w:p>
    <w:p w:rsidR="007E6EEE" w:rsidRPr="00A16D87" w:rsidRDefault="007E6EEE" w:rsidP="00A16D87">
      <w:pPr>
        <w:pStyle w:val="ds-markdown-paragraph"/>
        <w:contextualSpacing/>
        <w:jc w:val="both"/>
        <w:rPr>
          <w:rFonts w:ascii="Arial" w:eastAsia="SimSun" w:hAnsi="Arial" w:cs="Arial"/>
          <w:color w:val="000000" w:themeColor="text1"/>
          <w:sz w:val="18"/>
          <w:szCs w:val="18"/>
          <w:lang w:eastAsia="zh-TW"/>
        </w:rPr>
      </w:pPr>
    </w:p>
    <w:p w:rsidR="005C2614" w:rsidRPr="00A16D87" w:rsidRDefault="005C2614" w:rsidP="00A16D87">
      <w:pPr>
        <w:pStyle w:val="ds-markdown-paragraph"/>
        <w:contextualSpacing/>
        <w:jc w:val="both"/>
        <w:rPr>
          <w:rFonts w:ascii="Arial" w:eastAsia="SimSun" w:hAnsi="Arial" w:cs="Arial"/>
          <w:color w:val="000000" w:themeColor="text1"/>
          <w:sz w:val="18"/>
          <w:szCs w:val="18"/>
          <w:lang w:eastAsia="zh-TW"/>
        </w:rPr>
      </w:pPr>
      <w:r w:rsidRPr="00A16D87">
        <w:rPr>
          <w:rFonts w:ascii="Arial" w:eastAsia="SimSun" w:hAnsi="Arial" w:cs="Arial"/>
          <w:color w:val="000000" w:themeColor="text1"/>
          <w:sz w:val="18"/>
          <w:szCs w:val="18"/>
          <w:lang w:eastAsia="zh-TW"/>
        </w:rPr>
        <w:t xml:space="preserve">However, HSBC notes that A-share IPO activity may remain subdued as regulators </w:t>
      </w:r>
      <w:r w:rsidR="007E6EEE">
        <w:rPr>
          <w:rFonts w:ascii="Arial" w:eastAsia="SimSun" w:hAnsi="Arial" w:cs="Arial"/>
          <w:color w:val="000000" w:themeColor="text1"/>
          <w:sz w:val="18"/>
          <w:szCs w:val="18"/>
          <w:lang w:eastAsia="zh-TW"/>
        </w:rPr>
        <w:t xml:space="preserve">seek </w:t>
      </w:r>
      <w:r w:rsidRPr="00A16D87">
        <w:rPr>
          <w:rFonts w:ascii="Arial" w:eastAsia="SimSun" w:hAnsi="Arial" w:cs="Arial"/>
          <w:color w:val="000000" w:themeColor="text1"/>
          <w:sz w:val="18"/>
          <w:szCs w:val="18"/>
          <w:lang w:eastAsia="zh-TW"/>
        </w:rPr>
        <w:t>to maintain equilibriu</w:t>
      </w:r>
      <w:r w:rsidR="007E6EEE">
        <w:rPr>
          <w:rFonts w:ascii="Arial" w:eastAsia="SimSun" w:hAnsi="Arial" w:cs="Arial"/>
          <w:color w:val="000000" w:themeColor="text1"/>
          <w:sz w:val="18"/>
          <w:szCs w:val="18"/>
          <w:lang w:eastAsia="zh-TW"/>
        </w:rPr>
        <w:t>m between market supply, demand</w:t>
      </w:r>
      <w:r w:rsidRPr="00A16D87">
        <w:rPr>
          <w:rFonts w:ascii="Arial" w:eastAsia="SimSun" w:hAnsi="Arial" w:cs="Arial"/>
          <w:color w:val="000000" w:themeColor="text1"/>
          <w:sz w:val="18"/>
          <w:szCs w:val="18"/>
          <w:lang w:eastAsia="zh-TW"/>
        </w:rPr>
        <w:t xml:space="preserve"> and liquidity. The analysts further caution that stringent capital controls and the regulatory challenges associated with cross-border operations between Hong K</w:t>
      </w:r>
      <w:r w:rsidR="007E6EEE">
        <w:rPr>
          <w:rFonts w:ascii="Arial" w:eastAsia="SimSun" w:hAnsi="Arial" w:cs="Arial"/>
          <w:color w:val="000000" w:themeColor="text1"/>
          <w:sz w:val="18"/>
          <w:szCs w:val="18"/>
          <w:lang w:eastAsia="zh-TW"/>
        </w:rPr>
        <w:t>ong and M</w:t>
      </w:r>
      <w:r w:rsidRPr="00A16D87">
        <w:rPr>
          <w:rFonts w:ascii="Arial" w:eastAsia="SimSun" w:hAnsi="Arial" w:cs="Arial"/>
          <w:color w:val="000000" w:themeColor="text1"/>
          <w:sz w:val="18"/>
          <w:szCs w:val="18"/>
          <w:lang w:eastAsia="zh-TW"/>
        </w:rPr>
        <w:t>ainland markets could temper corporate interest in pursuing dual listings.</w:t>
      </w:r>
    </w:p>
    <w:p w:rsidR="000954DC" w:rsidRPr="00D3193C" w:rsidRDefault="000954DC" w:rsidP="000954DC">
      <w:pPr>
        <w:snapToGrid w:val="0"/>
        <w:spacing w:after="0" w:line="240" w:lineRule="auto"/>
        <w:contextualSpacing/>
        <w:jc w:val="both"/>
        <w:rPr>
          <w:rFonts w:ascii="Arial" w:hAnsi="Arial" w:cs="Arial"/>
          <w:b/>
          <w:color w:val="FF0000"/>
          <w:sz w:val="18"/>
          <w:szCs w:val="18"/>
          <w:lang w:eastAsia="zh-TW"/>
        </w:rPr>
      </w:pPr>
      <w:r w:rsidRPr="00D3193C">
        <w:rPr>
          <w:rFonts w:ascii="Arial" w:hAnsi="Arial" w:cs="Arial"/>
          <w:b/>
          <w:color w:val="FF0000"/>
          <w:sz w:val="18"/>
          <w:szCs w:val="18"/>
          <w:lang w:eastAsia="zh-TW"/>
        </w:rPr>
        <w:t xml:space="preserve">Other Key </w:t>
      </w:r>
      <w:r>
        <w:rPr>
          <w:rFonts w:ascii="Arial" w:hAnsi="Arial" w:cs="Arial"/>
          <w:b/>
          <w:color w:val="FF0000"/>
          <w:sz w:val="18"/>
          <w:szCs w:val="18"/>
          <w:lang w:eastAsia="zh-TW"/>
        </w:rPr>
        <w:t xml:space="preserve">Shenzhen </w:t>
      </w:r>
      <w:r w:rsidRPr="00D3193C">
        <w:rPr>
          <w:rFonts w:ascii="Arial" w:hAnsi="Arial" w:cs="Arial"/>
          <w:b/>
          <w:color w:val="FF0000"/>
          <w:sz w:val="18"/>
          <w:szCs w:val="18"/>
          <w:lang w:eastAsia="zh-TW"/>
        </w:rPr>
        <w:t>Reforms</w:t>
      </w:r>
    </w:p>
    <w:p w:rsidR="000954DC" w:rsidRDefault="000954DC" w:rsidP="000954DC">
      <w:pPr>
        <w:snapToGrid w:val="0"/>
        <w:spacing w:after="0" w:line="240" w:lineRule="auto"/>
        <w:contextualSpacing/>
        <w:jc w:val="both"/>
        <w:rPr>
          <w:rFonts w:ascii="Arial" w:hAnsi="Arial" w:cs="Arial"/>
          <w:color w:val="000000" w:themeColor="text1"/>
          <w:sz w:val="18"/>
          <w:szCs w:val="18"/>
          <w:lang w:eastAsia="zh-TW"/>
        </w:rPr>
      </w:pPr>
    </w:p>
    <w:p w:rsidR="000954DC" w:rsidRDefault="000954DC" w:rsidP="000954DC">
      <w:pPr>
        <w:snapToGrid w:val="0"/>
        <w:spacing w:after="0" w:line="240" w:lineRule="auto"/>
        <w:contextualSpacing/>
        <w:jc w:val="both"/>
        <w:rPr>
          <w:rFonts w:ascii="Arial" w:hAnsi="Arial" w:cs="Arial"/>
          <w:color w:val="000000" w:themeColor="text1"/>
          <w:sz w:val="18"/>
          <w:szCs w:val="18"/>
          <w:lang w:eastAsia="zh-TW"/>
        </w:rPr>
      </w:pPr>
      <w:r>
        <w:rPr>
          <w:rFonts w:ascii="Arial" w:hAnsi="Arial" w:cs="Arial"/>
          <w:color w:val="000000" w:themeColor="text1"/>
          <w:sz w:val="18"/>
          <w:szCs w:val="18"/>
          <w:lang w:eastAsia="zh-TW"/>
        </w:rPr>
        <w:t>Other significant reforms being introduced under the latest guidelines include:</w:t>
      </w:r>
    </w:p>
    <w:p w:rsidR="000954DC" w:rsidRDefault="000954DC" w:rsidP="000954DC">
      <w:pPr>
        <w:snapToGrid w:val="0"/>
        <w:spacing w:after="0" w:line="240" w:lineRule="auto"/>
        <w:contextualSpacing/>
        <w:jc w:val="both"/>
        <w:rPr>
          <w:rFonts w:ascii="Arial" w:hAnsi="Arial" w:cs="Arial"/>
          <w:color w:val="000000" w:themeColor="text1"/>
          <w:sz w:val="18"/>
          <w:szCs w:val="18"/>
          <w:lang w:eastAsia="zh-TW"/>
        </w:rPr>
      </w:pPr>
    </w:p>
    <w:p w:rsidR="000954DC" w:rsidRDefault="000954DC" w:rsidP="000954DC">
      <w:pPr>
        <w:pStyle w:val="af6"/>
        <w:numPr>
          <w:ilvl w:val="0"/>
          <w:numId w:val="23"/>
        </w:numPr>
        <w:snapToGrid w:val="0"/>
        <w:spacing w:after="0" w:line="240" w:lineRule="auto"/>
        <w:jc w:val="both"/>
        <w:rPr>
          <w:rFonts w:ascii="Arial" w:hAnsi="Arial" w:cs="Arial"/>
          <w:color w:val="000000" w:themeColor="text1"/>
          <w:sz w:val="18"/>
          <w:szCs w:val="18"/>
          <w:lang w:eastAsia="zh-TW"/>
        </w:rPr>
      </w:pPr>
      <w:r>
        <w:rPr>
          <w:rFonts w:ascii="Arial" w:hAnsi="Arial" w:cs="Arial"/>
          <w:color w:val="000000" w:themeColor="text1"/>
          <w:sz w:val="18"/>
          <w:szCs w:val="18"/>
          <w:lang w:eastAsia="zh-TW"/>
        </w:rPr>
        <w:t xml:space="preserve">Support for insurance funds to invest in private equity funds and venture capital funds established in Shenzhen </w:t>
      </w:r>
      <w:r w:rsidR="00FE26DF">
        <w:rPr>
          <w:rFonts w:ascii="Arial" w:hAnsi="Arial" w:cs="Arial"/>
          <w:color w:val="000000" w:themeColor="text1"/>
          <w:sz w:val="18"/>
          <w:szCs w:val="18"/>
          <w:lang w:eastAsia="zh-TW"/>
        </w:rPr>
        <w:t>focu</w:t>
      </w:r>
      <w:r>
        <w:rPr>
          <w:rFonts w:ascii="Arial" w:hAnsi="Arial" w:cs="Arial"/>
          <w:color w:val="000000" w:themeColor="text1"/>
          <w:sz w:val="18"/>
          <w:szCs w:val="18"/>
          <w:lang w:eastAsia="zh-TW"/>
        </w:rPr>
        <w:t xml:space="preserve">sed on </w:t>
      </w:r>
      <w:r w:rsidR="00C7754B">
        <w:rPr>
          <w:rFonts w:ascii="Arial" w:hAnsi="Arial" w:cs="Arial"/>
          <w:color w:val="000000" w:themeColor="text1"/>
          <w:sz w:val="18"/>
          <w:szCs w:val="18"/>
          <w:lang w:eastAsia="zh-TW"/>
        </w:rPr>
        <w:t xml:space="preserve">particular </w:t>
      </w:r>
      <w:r>
        <w:rPr>
          <w:rFonts w:ascii="Arial" w:hAnsi="Arial" w:cs="Arial"/>
          <w:color w:val="000000" w:themeColor="text1"/>
          <w:sz w:val="18"/>
          <w:szCs w:val="18"/>
          <w:lang w:eastAsia="zh-TW"/>
        </w:rPr>
        <w:t xml:space="preserve">sectors. The reform is apparently aimed at supporting the financing of the </w:t>
      </w:r>
      <w:proofErr w:type="gramStart"/>
      <w:r>
        <w:rPr>
          <w:rFonts w:ascii="Arial" w:hAnsi="Arial" w:cs="Arial"/>
          <w:color w:val="000000" w:themeColor="text1"/>
          <w:sz w:val="18"/>
          <w:szCs w:val="18"/>
          <w:lang w:eastAsia="zh-TW"/>
        </w:rPr>
        <w:t>Mainland’s</w:t>
      </w:r>
      <w:proofErr w:type="gramEnd"/>
      <w:r>
        <w:rPr>
          <w:rFonts w:ascii="Arial" w:hAnsi="Arial" w:cs="Arial"/>
          <w:color w:val="000000" w:themeColor="text1"/>
          <w:sz w:val="18"/>
          <w:szCs w:val="18"/>
          <w:lang w:eastAsia="zh-TW"/>
        </w:rPr>
        <w:t xml:space="preserve"> real economy, although the specific sectors for investment have not yet been</w:t>
      </w:r>
      <w:r w:rsidR="00C7754B">
        <w:rPr>
          <w:rFonts w:ascii="Arial" w:hAnsi="Arial" w:cs="Arial"/>
          <w:color w:val="000000" w:themeColor="text1"/>
          <w:sz w:val="18"/>
          <w:szCs w:val="18"/>
          <w:lang w:eastAsia="zh-TW"/>
        </w:rPr>
        <w:t xml:space="preserve"> announced</w:t>
      </w:r>
      <w:r>
        <w:rPr>
          <w:rFonts w:ascii="Arial" w:hAnsi="Arial" w:cs="Arial"/>
          <w:color w:val="000000" w:themeColor="text1"/>
          <w:sz w:val="18"/>
          <w:szCs w:val="18"/>
          <w:lang w:eastAsia="zh-TW"/>
        </w:rPr>
        <w:t>;</w:t>
      </w:r>
    </w:p>
    <w:p w:rsidR="000954DC" w:rsidRDefault="000954DC" w:rsidP="000954DC">
      <w:pPr>
        <w:pStyle w:val="af6"/>
        <w:snapToGrid w:val="0"/>
        <w:spacing w:after="0" w:line="240" w:lineRule="auto"/>
        <w:jc w:val="both"/>
        <w:rPr>
          <w:rFonts w:ascii="Arial" w:hAnsi="Arial" w:cs="Arial"/>
          <w:color w:val="000000" w:themeColor="text1"/>
          <w:sz w:val="18"/>
          <w:szCs w:val="18"/>
          <w:lang w:eastAsia="zh-TW"/>
        </w:rPr>
      </w:pPr>
    </w:p>
    <w:p w:rsidR="000954DC" w:rsidRDefault="000954DC" w:rsidP="000954DC">
      <w:pPr>
        <w:pStyle w:val="af6"/>
        <w:numPr>
          <w:ilvl w:val="0"/>
          <w:numId w:val="23"/>
        </w:numPr>
        <w:snapToGrid w:val="0"/>
        <w:spacing w:after="0" w:line="240" w:lineRule="auto"/>
        <w:jc w:val="both"/>
        <w:rPr>
          <w:rFonts w:ascii="Arial" w:hAnsi="Arial" w:cs="Arial"/>
          <w:color w:val="000000" w:themeColor="text1"/>
          <w:sz w:val="18"/>
          <w:szCs w:val="18"/>
          <w:lang w:eastAsia="zh-TW"/>
        </w:rPr>
      </w:pPr>
      <w:r>
        <w:rPr>
          <w:rFonts w:ascii="Arial" w:hAnsi="Arial" w:cs="Arial"/>
          <w:color w:val="000000" w:themeColor="text1"/>
          <w:sz w:val="18"/>
          <w:szCs w:val="18"/>
          <w:lang w:eastAsia="zh-TW"/>
        </w:rPr>
        <w:t>Encouragement for i</w:t>
      </w:r>
      <w:r w:rsidRPr="00D3193C">
        <w:rPr>
          <w:rFonts w:ascii="Arial" w:hAnsi="Arial" w:cs="Arial"/>
          <w:color w:val="000000" w:themeColor="text1"/>
          <w:sz w:val="18"/>
          <w:szCs w:val="18"/>
          <w:lang w:eastAsia="zh-TW"/>
        </w:rPr>
        <w:t xml:space="preserve">nternational </w:t>
      </w:r>
      <w:r>
        <w:rPr>
          <w:rFonts w:ascii="Arial" w:hAnsi="Arial" w:cs="Arial"/>
          <w:color w:val="000000" w:themeColor="text1"/>
          <w:sz w:val="18"/>
          <w:szCs w:val="18"/>
          <w:lang w:eastAsia="zh-TW"/>
        </w:rPr>
        <w:t xml:space="preserve">investors to </w:t>
      </w:r>
      <w:r w:rsidRPr="00D3193C">
        <w:rPr>
          <w:rFonts w:ascii="Arial" w:hAnsi="Arial" w:cs="Arial"/>
          <w:color w:val="000000" w:themeColor="text1"/>
          <w:sz w:val="18"/>
          <w:szCs w:val="18"/>
          <w:lang w:eastAsia="zh-TW"/>
        </w:rPr>
        <w:t xml:space="preserve">set up vocational training institutions in Shenzhen in </w:t>
      </w:r>
      <w:r>
        <w:rPr>
          <w:rFonts w:ascii="Arial" w:hAnsi="Arial" w:cs="Arial"/>
          <w:color w:val="000000" w:themeColor="text1"/>
          <w:sz w:val="18"/>
          <w:szCs w:val="18"/>
          <w:lang w:eastAsia="zh-TW"/>
        </w:rPr>
        <w:t>complianc</w:t>
      </w:r>
      <w:r w:rsidRPr="00D3193C">
        <w:rPr>
          <w:rFonts w:ascii="Arial" w:hAnsi="Arial" w:cs="Arial"/>
          <w:color w:val="000000" w:themeColor="text1"/>
          <w:sz w:val="18"/>
          <w:szCs w:val="18"/>
          <w:lang w:eastAsia="zh-TW"/>
        </w:rPr>
        <w:t xml:space="preserve">e with </w:t>
      </w:r>
      <w:r>
        <w:rPr>
          <w:rFonts w:ascii="Arial" w:hAnsi="Arial" w:cs="Arial"/>
          <w:color w:val="000000" w:themeColor="text1"/>
          <w:sz w:val="18"/>
          <w:szCs w:val="18"/>
          <w:lang w:eastAsia="zh-TW"/>
        </w:rPr>
        <w:t xml:space="preserve">applicable </w:t>
      </w:r>
      <w:r w:rsidRPr="00D3193C">
        <w:rPr>
          <w:rFonts w:ascii="Arial" w:hAnsi="Arial" w:cs="Arial"/>
          <w:color w:val="000000" w:themeColor="text1"/>
          <w:sz w:val="18"/>
          <w:szCs w:val="18"/>
          <w:lang w:eastAsia="zh-TW"/>
        </w:rPr>
        <w:t xml:space="preserve">regulations, </w:t>
      </w:r>
      <w:r>
        <w:rPr>
          <w:rFonts w:ascii="Arial" w:hAnsi="Arial" w:cs="Arial"/>
          <w:color w:val="000000" w:themeColor="text1"/>
          <w:sz w:val="18"/>
          <w:szCs w:val="18"/>
          <w:lang w:eastAsia="zh-TW"/>
        </w:rPr>
        <w:t xml:space="preserve">and to </w:t>
      </w:r>
      <w:r w:rsidR="00C7754B">
        <w:rPr>
          <w:rFonts w:ascii="Arial" w:hAnsi="Arial" w:cs="Arial"/>
          <w:color w:val="000000" w:themeColor="text1"/>
          <w:sz w:val="18"/>
          <w:szCs w:val="18"/>
          <w:lang w:eastAsia="zh-TW"/>
        </w:rPr>
        <w:t xml:space="preserve">introduce </w:t>
      </w:r>
      <w:r w:rsidRPr="00D3193C">
        <w:rPr>
          <w:rFonts w:ascii="Arial" w:hAnsi="Arial" w:cs="Arial"/>
          <w:color w:val="000000" w:themeColor="text1"/>
          <w:sz w:val="18"/>
          <w:szCs w:val="18"/>
          <w:lang w:eastAsia="zh-TW"/>
        </w:rPr>
        <w:t xml:space="preserve">advanced training </w:t>
      </w:r>
      <w:proofErr w:type="spellStart"/>
      <w:r w:rsidRPr="00D3193C">
        <w:rPr>
          <w:rFonts w:ascii="Arial" w:hAnsi="Arial" w:cs="Arial"/>
          <w:color w:val="000000" w:themeColor="text1"/>
          <w:sz w:val="18"/>
          <w:szCs w:val="18"/>
          <w:lang w:eastAsia="zh-TW"/>
        </w:rPr>
        <w:t>program</w:t>
      </w:r>
      <w:r>
        <w:rPr>
          <w:rFonts w:ascii="Arial" w:hAnsi="Arial" w:cs="Arial"/>
          <w:color w:val="000000" w:themeColor="text1"/>
          <w:sz w:val="18"/>
          <w:szCs w:val="18"/>
          <w:lang w:eastAsia="zh-TW"/>
        </w:rPr>
        <w:t>mes</w:t>
      </w:r>
      <w:proofErr w:type="spellEnd"/>
      <w:r w:rsidRPr="00D3193C">
        <w:rPr>
          <w:rFonts w:ascii="Arial" w:hAnsi="Arial" w:cs="Arial"/>
          <w:color w:val="000000" w:themeColor="text1"/>
          <w:sz w:val="18"/>
          <w:szCs w:val="18"/>
          <w:lang w:eastAsia="zh-TW"/>
        </w:rPr>
        <w:t xml:space="preserve"> </w:t>
      </w:r>
      <w:r>
        <w:rPr>
          <w:rFonts w:ascii="Arial" w:hAnsi="Arial" w:cs="Arial"/>
          <w:color w:val="000000" w:themeColor="text1"/>
          <w:sz w:val="18"/>
          <w:szCs w:val="18"/>
          <w:lang w:eastAsia="zh-TW"/>
        </w:rPr>
        <w:t>and innovative teaching methods; and</w:t>
      </w:r>
    </w:p>
    <w:p w:rsidR="000954DC" w:rsidRPr="00D3193C" w:rsidRDefault="000954DC" w:rsidP="000954DC">
      <w:pPr>
        <w:pStyle w:val="af6"/>
        <w:rPr>
          <w:rFonts w:ascii="Arial" w:hAnsi="Arial" w:cs="Arial"/>
          <w:color w:val="000000" w:themeColor="text1"/>
          <w:sz w:val="18"/>
          <w:szCs w:val="18"/>
          <w:lang w:eastAsia="zh-TW"/>
        </w:rPr>
      </w:pPr>
    </w:p>
    <w:p w:rsidR="00AF128C" w:rsidRDefault="000954DC">
      <w:pPr>
        <w:pStyle w:val="af6"/>
        <w:numPr>
          <w:ilvl w:val="0"/>
          <w:numId w:val="23"/>
        </w:numPr>
        <w:snapToGrid w:val="0"/>
        <w:spacing w:after="0" w:line="240" w:lineRule="auto"/>
        <w:jc w:val="both"/>
        <w:rPr>
          <w:rFonts w:ascii="Arial" w:hAnsi="Arial" w:cs="Arial"/>
          <w:color w:val="000000" w:themeColor="text1"/>
          <w:sz w:val="18"/>
          <w:szCs w:val="18"/>
          <w:lang w:eastAsia="zh-TW"/>
        </w:rPr>
      </w:pPr>
      <w:r>
        <w:rPr>
          <w:rFonts w:ascii="Arial" w:hAnsi="Arial" w:cs="Arial"/>
          <w:color w:val="000000" w:themeColor="text1"/>
          <w:sz w:val="18"/>
          <w:szCs w:val="18"/>
          <w:lang w:eastAsia="zh-TW"/>
        </w:rPr>
        <w:lastRenderedPageBreak/>
        <w:t>G</w:t>
      </w:r>
      <w:r w:rsidRPr="00D3193C">
        <w:rPr>
          <w:rFonts w:ascii="Arial" w:hAnsi="Arial" w:cs="Arial"/>
          <w:color w:val="000000" w:themeColor="text1"/>
          <w:sz w:val="18"/>
          <w:szCs w:val="18"/>
          <w:lang w:eastAsia="zh-TW"/>
        </w:rPr>
        <w:t xml:space="preserve">reater autonomy </w:t>
      </w:r>
      <w:r>
        <w:rPr>
          <w:rFonts w:ascii="Arial" w:hAnsi="Arial" w:cs="Arial"/>
          <w:color w:val="000000" w:themeColor="text1"/>
          <w:sz w:val="18"/>
          <w:szCs w:val="18"/>
          <w:lang w:eastAsia="zh-TW"/>
        </w:rPr>
        <w:t>for employers to</w:t>
      </w:r>
      <w:r w:rsidRPr="00D3193C">
        <w:rPr>
          <w:rFonts w:ascii="Arial" w:hAnsi="Arial" w:cs="Arial"/>
          <w:color w:val="000000" w:themeColor="text1"/>
          <w:sz w:val="18"/>
          <w:szCs w:val="18"/>
          <w:lang w:eastAsia="zh-TW"/>
        </w:rPr>
        <w:t xml:space="preserve"> recruit overseas talent </w:t>
      </w:r>
      <w:r>
        <w:rPr>
          <w:rFonts w:ascii="Arial" w:hAnsi="Arial" w:cs="Arial"/>
          <w:color w:val="000000" w:themeColor="text1"/>
          <w:sz w:val="18"/>
          <w:szCs w:val="18"/>
          <w:lang w:eastAsia="zh-TW"/>
        </w:rPr>
        <w:t xml:space="preserve">in order </w:t>
      </w:r>
      <w:r w:rsidRPr="00D3193C">
        <w:rPr>
          <w:rFonts w:ascii="Arial" w:hAnsi="Arial" w:cs="Arial"/>
          <w:color w:val="000000" w:themeColor="text1"/>
          <w:sz w:val="18"/>
          <w:szCs w:val="18"/>
          <w:lang w:eastAsia="zh-TW"/>
        </w:rPr>
        <w:t xml:space="preserve">to create a dynamic workforce </w:t>
      </w:r>
      <w:r>
        <w:rPr>
          <w:rFonts w:ascii="Arial" w:hAnsi="Arial" w:cs="Arial"/>
          <w:color w:val="000000" w:themeColor="text1"/>
          <w:sz w:val="18"/>
          <w:szCs w:val="18"/>
          <w:lang w:eastAsia="zh-TW"/>
        </w:rPr>
        <w:t xml:space="preserve">in Shenzhen </w:t>
      </w:r>
      <w:r w:rsidRPr="00D3193C">
        <w:rPr>
          <w:rFonts w:ascii="Arial" w:hAnsi="Arial" w:cs="Arial"/>
          <w:color w:val="000000" w:themeColor="text1"/>
          <w:sz w:val="18"/>
          <w:szCs w:val="18"/>
          <w:lang w:eastAsia="zh-TW"/>
        </w:rPr>
        <w:t>that can drive growth and development in various sectors.</w:t>
      </w:r>
    </w:p>
    <w:p w:rsidR="00AF128C" w:rsidRDefault="00AF128C" w:rsidP="00A16D87">
      <w:pPr>
        <w:snapToGrid w:val="0"/>
        <w:spacing w:after="0" w:line="240" w:lineRule="auto"/>
        <w:jc w:val="both"/>
        <w:rPr>
          <w:rFonts w:ascii="Arial" w:hAnsi="Arial" w:cs="Arial"/>
          <w:b/>
          <w:color w:val="FF0000"/>
          <w:sz w:val="18"/>
          <w:szCs w:val="18"/>
        </w:rPr>
      </w:pPr>
    </w:p>
    <w:p w:rsidR="00AF128C" w:rsidRDefault="00AF128C" w:rsidP="00A16D87">
      <w:pPr>
        <w:snapToGrid w:val="0"/>
        <w:spacing w:after="0" w:line="240" w:lineRule="auto"/>
        <w:jc w:val="both"/>
        <w:rPr>
          <w:rFonts w:ascii="Arial" w:hAnsi="Arial" w:cs="Arial"/>
          <w:b/>
          <w:color w:val="FF0000"/>
          <w:sz w:val="18"/>
          <w:szCs w:val="18"/>
        </w:rPr>
      </w:pPr>
      <w:r w:rsidRPr="00A16D87">
        <w:rPr>
          <w:rFonts w:ascii="Arial" w:hAnsi="Arial" w:cs="Arial"/>
          <w:b/>
          <w:color w:val="FF0000"/>
          <w:sz w:val="18"/>
          <w:szCs w:val="18"/>
        </w:rPr>
        <w:t>Other Mainland China Developments</w:t>
      </w:r>
    </w:p>
    <w:p w:rsidR="004F48EB" w:rsidRPr="00A16D87" w:rsidRDefault="004F48EB" w:rsidP="00A16D87">
      <w:pPr>
        <w:pStyle w:val="ds-markdown-paragraph"/>
        <w:jc w:val="both"/>
        <w:rPr>
          <w:rFonts w:ascii="Arial" w:eastAsia="SimSun" w:hAnsi="Arial" w:cs="Arial"/>
          <w:b/>
          <w:sz w:val="18"/>
          <w:szCs w:val="18"/>
          <w:lang w:eastAsia="zh-TW"/>
        </w:rPr>
      </w:pPr>
      <w:proofErr w:type="spellStart"/>
      <w:r>
        <w:rPr>
          <w:rFonts w:ascii="Arial" w:eastAsia="SimSun" w:hAnsi="Arial" w:cs="Arial"/>
          <w:b/>
          <w:sz w:val="18"/>
          <w:szCs w:val="18"/>
          <w:lang w:eastAsia="zh-TW"/>
        </w:rPr>
        <w:t>Shangai</w:t>
      </w:r>
      <w:proofErr w:type="spellEnd"/>
      <w:r>
        <w:rPr>
          <w:rFonts w:ascii="Arial" w:eastAsia="SimSun" w:hAnsi="Arial" w:cs="Arial"/>
          <w:b/>
          <w:sz w:val="18"/>
          <w:szCs w:val="18"/>
          <w:lang w:eastAsia="zh-TW"/>
        </w:rPr>
        <w:t xml:space="preserve"> STAR Market </w:t>
      </w:r>
      <w:r w:rsidR="00E87900">
        <w:rPr>
          <w:rFonts w:ascii="Arial" w:eastAsia="SimSun" w:hAnsi="Arial" w:cs="Arial"/>
          <w:b/>
          <w:sz w:val="18"/>
          <w:szCs w:val="18"/>
          <w:lang w:eastAsia="zh-TW"/>
        </w:rPr>
        <w:t xml:space="preserve">and Shenzhen </w:t>
      </w:r>
      <w:r w:rsidR="00E87900" w:rsidRPr="00A16D87">
        <w:rPr>
          <w:rFonts w:ascii="Arial" w:eastAsia="SimSun" w:hAnsi="Arial" w:cs="Arial"/>
          <w:b/>
          <w:color w:val="000000" w:themeColor="text1"/>
          <w:sz w:val="18"/>
          <w:szCs w:val="18"/>
          <w:lang w:eastAsia="zh-TW"/>
        </w:rPr>
        <w:t>ChiNext</w:t>
      </w:r>
      <w:r w:rsidR="00E87900" w:rsidRPr="00E87900">
        <w:rPr>
          <w:rFonts w:ascii="Arial" w:eastAsia="SimSun" w:hAnsi="Arial" w:cs="Arial"/>
          <w:b/>
          <w:sz w:val="18"/>
          <w:szCs w:val="18"/>
          <w:lang w:eastAsia="zh-TW"/>
        </w:rPr>
        <w:t xml:space="preserve"> </w:t>
      </w:r>
      <w:r>
        <w:rPr>
          <w:rFonts w:ascii="Arial" w:eastAsia="SimSun" w:hAnsi="Arial" w:cs="Arial"/>
          <w:b/>
          <w:sz w:val="18"/>
          <w:szCs w:val="18"/>
          <w:lang w:eastAsia="zh-TW"/>
        </w:rPr>
        <w:t>Reform</w:t>
      </w:r>
      <w:r w:rsidR="00E87900">
        <w:rPr>
          <w:rFonts w:ascii="Arial" w:eastAsia="SimSun" w:hAnsi="Arial" w:cs="Arial"/>
          <w:b/>
          <w:sz w:val="18"/>
          <w:szCs w:val="18"/>
          <w:lang w:eastAsia="zh-TW"/>
        </w:rPr>
        <w:t>s</w:t>
      </w:r>
    </w:p>
    <w:p w:rsidR="00686E34" w:rsidRDefault="00686E34" w:rsidP="00A16D87">
      <w:pPr>
        <w:pStyle w:val="ds-markdown-paragraph"/>
        <w:jc w:val="both"/>
        <w:rPr>
          <w:rFonts w:ascii="Arial" w:eastAsia="SimSun" w:hAnsi="Arial" w:cs="Arial"/>
          <w:color w:val="000000" w:themeColor="text1"/>
          <w:sz w:val="18"/>
          <w:szCs w:val="18"/>
          <w:lang w:eastAsia="zh-TW"/>
        </w:rPr>
      </w:pPr>
      <w:r w:rsidRPr="00A16D87">
        <w:rPr>
          <w:rFonts w:ascii="Arial" w:eastAsia="SimSun" w:hAnsi="Arial" w:cs="Arial"/>
          <w:color w:val="000000" w:themeColor="text1"/>
          <w:sz w:val="18"/>
          <w:szCs w:val="18"/>
          <w:lang w:eastAsia="zh-TW"/>
        </w:rPr>
        <w:t xml:space="preserve">China is also intending to recommence listings for </w:t>
      </w:r>
      <w:r w:rsidR="001F672F">
        <w:rPr>
          <w:rFonts w:ascii="Arial" w:hAnsi="Arial" w:cs="Arial"/>
          <w:color w:val="000000"/>
          <w:sz w:val="20"/>
          <w:szCs w:val="20"/>
          <w:shd w:val="clear" w:color="auto" w:fill="FFFFFF"/>
        </w:rPr>
        <w:t>pre-profit start-ups</w:t>
      </w:r>
      <w:r w:rsidR="001F672F">
        <w:rPr>
          <w:rFonts w:ascii="Arial" w:eastAsia="SimSun" w:hAnsi="Arial" w:cs="Arial"/>
          <w:color w:val="000000" w:themeColor="text1"/>
          <w:sz w:val="18"/>
          <w:szCs w:val="18"/>
          <w:lang w:eastAsia="zh-TW"/>
        </w:rPr>
        <w:t xml:space="preserve"> </w:t>
      </w:r>
      <w:r w:rsidRPr="00A16D87">
        <w:rPr>
          <w:rFonts w:ascii="Arial" w:eastAsia="SimSun" w:hAnsi="Arial" w:cs="Arial"/>
          <w:color w:val="000000" w:themeColor="text1"/>
          <w:sz w:val="18"/>
          <w:szCs w:val="18"/>
          <w:lang w:eastAsia="zh-TW"/>
        </w:rPr>
        <w:t>on its technology-focused stock boards, reversing a two-year hiatus in initial public offerings (</w:t>
      </w:r>
      <w:r w:rsidRPr="00A16D87">
        <w:rPr>
          <w:rFonts w:ascii="Arial" w:eastAsia="SimSun" w:hAnsi="Arial" w:cs="Arial"/>
          <w:b/>
          <w:color w:val="000000" w:themeColor="text1"/>
          <w:sz w:val="18"/>
          <w:szCs w:val="18"/>
          <w:lang w:eastAsia="zh-TW"/>
        </w:rPr>
        <w:t>IPOs</w:t>
      </w:r>
      <w:r w:rsidRPr="00A16D87">
        <w:rPr>
          <w:rFonts w:ascii="Arial" w:eastAsia="SimSun" w:hAnsi="Arial" w:cs="Arial"/>
          <w:color w:val="000000" w:themeColor="text1"/>
          <w:sz w:val="18"/>
          <w:szCs w:val="18"/>
          <w:lang w:eastAsia="zh-TW"/>
        </w:rPr>
        <w:t>), as part of its broader strategy to enhance technolog</w:t>
      </w:r>
      <w:r>
        <w:rPr>
          <w:rFonts w:ascii="Arial" w:eastAsia="SimSun" w:hAnsi="Arial" w:cs="Arial"/>
          <w:color w:val="000000" w:themeColor="text1"/>
          <w:sz w:val="18"/>
          <w:szCs w:val="18"/>
          <w:lang w:eastAsia="zh-TW"/>
        </w:rPr>
        <w:t xml:space="preserve">ical self-reliance and </w:t>
      </w:r>
      <w:proofErr w:type="spellStart"/>
      <w:r>
        <w:rPr>
          <w:rFonts w:ascii="Arial" w:eastAsia="SimSun" w:hAnsi="Arial" w:cs="Arial"/>
          <w:color w:val="000000" w:themeColor="text1"/>
          <w:sz w:val="18"/>
          <w:szCs w:val="18"/>
          <w:lang w:eastAsia="zh-TW"/>
        </w:rPr>
        <w:t>revitalis</w:t>
      </w:r>
      <w:r w:rsidRPr="00A16D87">
        <w:rPr>
          <w:rFonts w:ascii="Arial" w:eastAsia="SimSun" w:hAnsi="Arial" w:cs="Arial"/>
          <w:color w:val="000000" w:themeColor="text1"/>
          <w:sz w:val="18"/>
          <w:szCs w:val="18"/>
          <w:lang w:eastAsia="zh-TW"/>
        </w:rPr>
        <w:t>e</w:t>
      </w:r>
      <w:proofErr w:type="spellEnd"/>
      <w:r w:rsidRPr="00A16D87">
        <w:rPr>
          <w:rFonts w:ascii="Arial" w:eastAsia="SimSun" w:hAnsi="Arial" w:cs="Arial"/>
          <w:color w:val="000000" w:themeColor="text1"/>
          <w:sz w:val="18"/>
          <w:szCs w:val="18"/>
          <w:lang w:eastAsia="zh-TW"/>
        </w:rPr>
        <w:t xml:space="preserve"> capital market activity. This announcement was made by Wu Qing, Chairman of the China Securities Regulatory Commission (</w:t>
      </w:r>
      <w:r w:rsidRPr="00A16D87">
        <w:rPr>
          <w:rFonts w:ascii="Arial" w:eastAsia="SimSun" w:hAnsi="Arial" w:cs="Arial"/>
          <w:b/>
          <w:color w:val="000000" w:themeColor="text1"/>
          <w:sz w:val="18"/>
          <w:szCs w:val="18"/>
          <w:lang w:eastAsia="zh-TW"/>
        </w:rPr>
        <w:t>CSRC</w:t>
      </w:r>
      <w:r w:rsidRPr="00A16D87">
        <w:rPr>
          <w:rFonts w:ascii="Arial" w:eastAsia="SimSun" w:hAnsi="Arial" w:cs="Arial"/>
          <w:color w:val="000000" w:themeColor="text1"/>
          <w:sz w:val="18"/>
          <w:szCs w:val="18"/>
          <w:lang w:eastAsia="zh-TW"/>
        </w:rPr>
        <w:t>), during the annual Lujiazu</w:t>
      </w:r>
      <w:r>
        <w:rPr>
          <w:rFonts w:ascii="Arial" w:eastAsia="SimSun" w:hAnsi="Arial" w:cs="Arial"/>
          <w:color w:val="000000" w:themeColor="text1"/>
          <w:sz w:val="18"/>
          <w:szCs w:val="18"/>
          <w:lang w:eastAsia="zh-TW"/>
        </w:rPr>
        <w:t>i Forum in Shanghai on 18 June 2025</w:t>
      </w:r>
      <w:r w:rsidRPr="00A16D87">
        <w:rPr>
          <w:rFonts w:ascii="Arial" w:eastAsia="SimSun" w:hAnsi="Arial" w:cs="Arial"/>
          <w:color w:val="000000" w:themeColor="text1"/>
          <w:sz w:val="18"/>
          <w:szCs w:val="18"/>
          <w:lang w:eastAsia="zh-TW"/>
        </w:rPr>
        <w:t>.</w:t>
      </w:r>
      <w:r w:rsidRPr="00A16D87">
        <w:rPr>
          <w:rStyle w:val="ab"/>
          <w:rFonts w:ascii="Arial" w:eastAsia="SimSun" w:hAnsi="Arial" w:cs="Arial"/>
          <w:color w:val="000000" w:themeColor="text1"/>
          <w:sz w:val="18"/>
          <w:szCs w:val="18"/>
          <w:lang w:eastAsia="zh-TW"/>
        </w:rPr>
        <w:footnoteReference w:id="4"/>
      </w:r>
      <w:r w:rsidR="00B817A3">
        <w:rPr>
          <w:rFonts w:ascii="Arial" w:eastAsia="SimSun" w:hAnsi="Arial" w:cs="Arial"/>
          <w:color w:val="000000" w:themeColor="text1"/>
          <w:sz w:val="18"/>
          <w:szCs w:val="18"/>
          <w:lang w:eastAsia="zh-TW"/>
        </w:rPr>
        <w:t xml:space="preserve"> </w:t>
      </w:r>
      <w:r w:rsidRPr="00A16D87">
        <w:rPr>
          <w:rFonts w:ascii="Arial" w:eastAsia="SimSun" w:hAnsi="Arial" w:cs="Arial"/>
          <w:color w:val="000000" w:themeColor="text1"/>
          <w:sz w:val="18"/>
          <w:szCs w:val="18"/>
          <w:lang w:eastAsia="zh-TW"/>
        </w:rPr>
        <w:t>Wu stated that pre-profit companies seeking to list on the Shanghai Stock Exchange’s Science and Technology Innovation Board (</w:t>
      </w:r>
      <w:r w:rsidRPr="00A16D87">
        <w:rPr>
          <w:rFonts w:ascii="Arial" w:eastAsia="SimSun" w:hAnsi="Arial" w:cs="Arial"/>
          <w:b/>
          <w:color w:val="000000" w:themeColor="text1"/>
          <w:sz w:val="18"/>
          <w:szCs w:val="18"/>
          <w:lang w:eastAsia="zh-TW"/>
        </w:rPr>
        <w:t>Star Market</w:t>
      </w:r>
      <w:r w:rsidRPr="00A16D87">
        <w:rPr>
          <w:rFonts w:ascii="Arial" w:eastAsia="SimSun" w:hAnsi="Arial" w:cs="Arial"/>
          <w:color w:val="000000" w:themeColor="text1"/>
          <w:sz w:val="18"/>
          <w:szCs w:val="18"/>
          <w:lang w:eastAsia="zh-TW"/>
        </w:rPr>
        <w:t>) would once again be eligible for IPO approval. The CSRC further indicated that similar listing criteria would be extended to Shenzhen’s ChiNext board, which primarily accommodates smaller enterprises.</w:t>
      </w:r>
    </w:p>
    <w:p w:rsidR="00B817A3" w:rsidRPr="00B817A3" w:rsidRDefault="00B817A3" w:rsidP="00A16D87">
      <w:pPr>
        <w:pStyle w:val="ds-markdown-paragraph"/>
        <w:jc w:val="both"/>
        <w:rPr>
          <w:rFonts w:ascii="Arial" w:eastAsia="SimSun" w:hAnsi="Arial" w:cs="Arial"/>
          <w:color w:val="000000" w:themeColor="text1"/>
          <w:sz w:val="18"/>
          <w:szCs w:val="18"/>
          <w:lang w:eastAsia="zh-TW"/>
        </w:rPr>
      </w:pPr>
      <w:r>
        <w:rPr>
          <w:rFonts w:ascii="Arial" w:eastAsia="SimSun" w:hAnsi="Arial" w:cs="Arial"/>
          <w:color w:val="000000" w:themeColor="text1"/>
          <w:sz w:val="18"/>
          <w:szCs w:val="18"/>
          <w:lang w:eastAsia="zh-TW"/>
        </w:rPr>
        <w:t xml:space="preserve">Wu also </w:t>
      </w:r>
      <w:r w:rsidRPr="00A16D87">
        <w:rPr>
          <w:rFonts w:ascii="Arial" w:hAnsi="Arial" w:cs="Arial"/>
          <w:sz w:val="18"/>
          <w:szCs w:val="18"/>
        </w:rPr>
        <w:t xml:space="preserve">highlighted the significant contributions of foreign capital and institutions to the development of </w:t>
      </w:r>
      <w:r w:rsidR="00E87900">
        <w:rPr>
          <w:rFonts w:ascii="Arial" w:hAnsi="Arial" w:cs="Arial"/>
          <w:sz w:val="18"/>
          <w:szCs w:val="18"/>
        </w:rPr>
        <w:t xml:space="preserve">Mainland </w:t>
      </w:r>
      <w:r w:rsidRPr="00A16D87">
        <w:rPr>
          <w:rFonts w:ascii="Arial" w:hAnsi="Arial" w:cs="Arial"/>
          <w:sz w:val="18"/>
          <w:szCs w:val="18"/>
        </w:rPr>
        <w:t xml:space="preserve">capital markets. He advocated for continued efforts to advance comprehensive market </w:t>
      </w:r>
      <w:proofErr w:type="spellStart"/>
      <w:r w:rsidRPr="00A16D87">
        <w:rPr>
          <w:rFonts w:ascii="Arial" w:hAnsi="Arial" w:cs="Arial"/>
          <w:sz w:val="18"/>
          <w:szCs w:val="18"/>
        </w:rPr>
        <w:t>liberalisation</w:t>
      </w:r>
      <w:proofErr w:type="spellEnd"/>
      <w:r w:rsidRPr="00A16D87">
        <w:rPr>
          <w:rFonts w:ascii="Arial" w:hAnsi="Arial" w:cs="Arial"/>
          <w:sz w:val="18"/>
          <w:szCs w:val="18"/>
        </w:rPr>
        <w:t xml:space="preserve"> across three key dimensions: ma</w:t>
      </w:r>
      <w:r w:rsidR="00E87900">
        <w:rPr>
          <w:rFonts w:ascii="Arial" w:hAnsi="Arial" w:cs="Arial"/>
          <w:sz w:val="18"/>
          <w:szCs w:val="18"/>
        </w:rPr>
        <w:t>rket access, financial products</w:t>
      </w:r>
      <w:r w:rsidRPr="00A16D87">
        <w:rPr>
          <w:rFonts w:ascii="Arial" w:hAnsi="Arial" w:cs="Arial"/>
          <w:sz w:val="18"/>
          <w:szCs w:val="18"/>
        </w:rPr>
        <w:t xml:space="preserve"> and institutional participation.</w:t>
      </w:r>
    </w:p>
    <w:p w:rsidR="004F48EB" w:rsidRDefault="004F48EB" w:rsidP="00A16D87">
      <w:pPr>
        <w:pStyle w:val="ds-markdown-paragraph"/>
        <w:contextualSpacing/>
        <w:rPr>
          <w:rFonts w:ascii="Arial" w:eastAsia="SimSun" w:hAnsi="Arial" w:cs="Arial"/>
          <w:color w:val="000000" w:themeColor="text1"/>
          <w:sz w:val="18"/>
          <w:szCs w:val="18"/>
          <w:lang w:eastAsia="zh-TW"/>
        </w:rPr>
      </w:pPr>
      <w:r>
        <w:rPr>
          <w:rFonts w:ascii="Arial" w:eastAsia="SimSun" w:hAnsi="Arial" w:cs="Arial"/>
          <w:b/>
          <w:color w:val="000000" w:themeColor="text1"/>
          <w:sz w:val="18"/>
          <w:szCs w:val="18"/>
          <w:lang w:eastAsia="zh-TW"/>
        </w:rPr>
        <w:t>QFIIs to be Allowed to Trade ETF Options on Approved Mainland Exchanges</w:t>
      </w:r>
      <w:r>
        <w:rPr>
          <w:rFonts w:ascii="Arial" w:eastAsia="SimSun" w:hAnsi="Arial" w:cs="Arial"/>
          <w:b/>
          <w:color w:val="000000" w:themeColor="text1"/>
          <w:sz w:val="18"/>
          <w:szCs w:val="18"/>
          <w:lang w:eastAsia="zh-TW"/>
        </w:rPr>
        <w:br/>
      </w:r>
    </w:p>
    <w:p w:rsidR="00686E34" w:rsidRDefault="00686E34" w:rsidP="00A16D87">
      <w:pPr>
        <w:pStyle w:val="ds-markdown-paragraph"/>
        <w:contextualSpacing/>
        <w:jc w:val="both"/>
        <w:rPr>
          <w:rFonts w:ascii="Arial" w:eastAsia="SimSun" w:hAnsi="Arial" w:cs="Arial"/>
          <w:color w:val="000000" w:themeColor="text1"/>
          <w:sz w:val="18"/>
          <w:szCs w:val="18"/>
          <w:lang w:eastAsia="zh-TW"/>
        </w:rPr>
      </w:pPr>
      <w:r w:rsidRPr="00A16D87">
        <w:rPr>
          <w:rFonts w:ascii="Arial" w:eastAsia="SimSun" w:hAnsi="Arial" w:cs="Arial"/>
          <w:color w:val="000000" w:themeColor="text1"/>
          <w:sz w:val="18"/>
          <w:szCs w:val="18"/>
          <w:lang w:eastAsia="zh-TW"/>
        </w:rPr>
        <w:t xml:space="preserve">In a parallel move to encourage sustained investment in Chinese equities, the CSRC </w:t>
      </w:r>
      <w:r w:rsidR="007F34F7">
        <w:rPr>
          <w:rFonts w:ascii="Arial" w:eastAsia="SimSun" w:hAnsi="Arial" w:cs="Arial"/>
          <w:color w:val="000000" w:themeColor="text1"/>
          <w:sz w:val="18"/>
          <w:szCs w:val="18"/>
          <w:lang w:eastAsia="zh-TW"/>
        </w:rPr>
        <w:t xml:space="preserve">issued </w:t>
      </w:r>
      <w:hyperlink r:id="rId10" w:history="1">
        <w:r w:rsidR="007F34F7" w:rsidRPr="00F31CE1">
          <w:rPr>
            <w:rStyle w:val="a3"/>
            <w:rFonts w:ascii="Arial" w:eastAsia="SimSun" w:hAnsi="Arial" w:cs="Arial"/>
            <w:sz w:val="18"/>
            <w:szCs w:val="18"/>
            <w:lang w:eastAsia="zh-TW"/>
          </w:rPr>
          <w:t>Announcement No. 13: Announcement on the Participation of Qualified Foreign Institutional Investors and RMB Qualified Foreign Institutional Investors in Stock Options and ETF Options Trading</w:t>
        </w:r>
      </w:hyperlink>
      <w:r w:rsidR="003211AC" w:rsidRPr="00826AA9">
        <w:rPr>
          <w:rStyle w:val="ab"/>
          <w:rFonts w:ascii="Arial" w:eastAsia="SimSun" w:hAnsi="Arial" w:cs="Arial"/>
          <w:color w:val="000000" w:themeColor="text1"/>
          <w:sz w:val="18"/>
          <w:szCs w:val="18"/>
          <w:lang w:eastAsia="zh-TW"/>
        </w:rPr>
        <w:footnoteReference w:id="5"/>
      </w:r>
      <w:r w:rsidR="007F34F7">
        <w:rPr>
          <w:rFonts w:ascii="Arial" w:eastAsia="SimSun" w:hAnsi="Arial" w:cs="Arial"/>
          <w:color w:val="000000" w:themeColor="text1"/>
          <w:sz w:val="18"/>
          <w:szCs w:val="18"/>
          <w:lang w:eastAsia="zh-TW"/>
        </w:rPr>
        <w:t xml:space="preserve"> </w:t>
      </w:r>
      <w:r w:rsidRPr="00A16D87">
        <w:rPr>
          <w:rFonts w:ascii="Arial" w:eastAsia="SimSun" w:hAnsi="Arial" w:cs="Arial"/>
          <w:color w:val="000000" w:themeColor="text1"/>
          <w:sz w:val="18"/>
          <w:szCs w:val="18"/>
          <w:lang w:eastAsia="zh-TW"/>
        </w:rPr>
        <w:t xml:space="preserve">that </w:t>
      </w:r>
      <w:r w:rsidR="007F34F7">
        <w:rPr>
          <w:rFonts w:ascii="Arial" w:eastAsia="SimSun" w:hAnsi="Arial" w:cs="Arial"/>
          <w:color w:val="000000" w:themeColor="text1"/>
          <w:sz w:val="18"/>
          <w:szCs w:val="18"/>
          <w:lang w:eastAsia="zh-TW"/>
        </w:rPr>
        <w:t xml:space="preserve">will allow </w:t>
      </w:r>
      <w:r w:rsidRPr="00A16D87">
        <w:rPr>
          <w:rFonts w:ascii="Arial" w:eastAsia="SimSun" w:hAnsi="Arial" w:cs="Arial"/>
          <w:color w:val="000000" w:themeColor="text1"/>
          <w:sz w:val="18"/>
          <w:szCs w:val="18"/>
          <w:lang w:eastAsia="zh-TW"/>
        </w:rPr>
        <w:t xml:space="preserve">qualified foreign institutional investors to </w:t>
      </w:r>
      <w:r w:rsidR="007F34F7">
        <w:rPr>
          <w:rFonts w:ascii="Arial" w:eastAsia="SimSun" w:hAnsi="Arial" w:cs="Arial"/>
          <w:color w:val="000000" w:themeColor="text1"/>
          <w:sz w:val="18"/>
          <w:szCs w:val="18"/>
          <w:lang w:eastAsia="zh-TW"/>
        </w:rPr>
        <w:t xml:space="preserve">trade </w:t>
      </w:r>
      <w:r w:rsidRPr="00A16D87">
        <w:rPr>
          <w:rFonts w:ascii="Arial" w:eastAsia="SimSun" w:hAnsi="Arial" w:cs="Arial"/>
          <w:color w:val="000000" w:themeColor="text1"/>
          <w:sz w:val="18"/>
          <w:szCs w:val="18"/>
          <w:lang w:eastAsia="zh-TW"/>
        </w:rPr>
        <w:t>exchange-traded funds</w:t>
      </w:r>
      <w:r w:rsidR="007F34F7">
        <w:rPr>
          <w:rFonts w:ascii="Arial" w:eastAsia="SimSun" w:hAnsi="Arial" w:cs="Arial"/>
          <w:color w:val="000000" w:themeColor="text1"/>
          <w:sz w:val="18"/>
          <w:szCs w:val="18"/>
          <w:lang w:eastAsia="zh-TW"/>
        </w:rPr>
        <w:t xml:space="preserve"> </w:t>
      </w:r>
      <w:r w:rsidR="007F34F7" w:rsidRPr="00D16733">
        <w:rPr>
          <w:rFonts w:ascii="Arial" w:eastAsia="SimSun" w:hAnsi="Arial" w:cs="Arial"/>
          <w:color w:val="000000" w:themeColor="text1"/>
          <w:sz w:val="18"/>
          <w:szCs w:val="18"/>
          <w:lang w:eastAsia="zh-TW"/>
        </w:rPr>
        <w:t>options</w:t>
      </w:r>
      <w:r w:rsidRPr="00A16D87">
        <w:rPr>
          <w:rFonts w:ascii="Arial" w:eastAsia="SimSun" w:hAnsi="Arial" w:cs="Arial"/>
          <w:color w:val="000000" w:themeColor="text1"/>
          <w:sz w:val="18"/>
          <w:szCs w:val="18"/>
          <w:lang w:eastAsia="zh-TW"/>
        </w:rPr>
        <w:t xml:space="preserve"> (</w:t>
      </w:r>
      <w:r w:rsidR="007F34F7">
        <w:rPr>
          <w:rFonts w:ascii="Arial" w:eastAsia="SimSun" w:hAnsi="Arial" w:cs="Arial"/>
          <w:b/>
          <w:color w:val="000000" w:themeColor="text1"/>
          <w:sz w:val="18"/>
          <w:szCs w:val="18"/>
          <w:lang w:eastAsia="zh-TW"/>
        </w:rPr>
        <w:t>ETF options</w:t>
      </w:r>
      <w:r w:rsidRPr="00A16D87">
        <w:rPr>
          <w:rFonts w:ascii="Arial" w:eastAsia="SimSun" w:hAnsi="Arial" w:cs="Arial"/>
          <w:color w:val="000000" w:themeColor="text1"/>
          <w:sz w:val="18"/>
          <w:szCs w:val="18"/>
          <w:lang w:eastAsia="zh-TW"/>
        </w:rPr>
        <w:t>)</w:t>
      </w:r>
      <w:r w:rsidR="007F34F7">
        <w:rPr>
          <w:rFonts w:ascii="Arial" w:eastAsia="SimSun" w:hAnsi="Arial" w:cs="Arial"/>
          <w:color w:val="000000" w:themeColor="text1"/>
          <w:sz w:val="18"/>
          <w:szCs w:val="18"/>
          <w:lang w:eastAsia="zh-TW"/>
        </w:rPr>
        <w:t xml:space="preserve"> on Mainland exchanges approved by the State Council or CSRC</w:t>
      </w:r>
      <w:r w:rsidRPr="00A16D87">
        <w:rPr>
          <w:rFonts w:ascii="Arial" w:eastAsia="SimSun" w:hAnsi="Arial" w:cs="Arial"/>
          <w:color w:val="000000" w:themeColor="text1"/>
          <w:sz w:val="18"/>
          <w:szCs w:val="18"/>
          <w:lang w:eastAsia="zh-TW"/>
        </w:rPr>
        <w:t xml:space="preserve"> </w:t>
      </w:r>
      <w:r w:rsidR="007F34F7">
        <w:rPr>
          <w:rFonts w:ascii="Arial" w:eastAsia="SimSun" w:hAnsi="Arial" w:cs="Arial"/>
          <w:color w:val="000000" w:themeColor="text1"/>
          <w:sz w:val="18"/>
          <w:szCs w:val="18"/>
          <w:lang w:eastAsia="zh-TW"/>
        </w:rPr>
        <w:t xml:space="preserve">for hedging purposes only from </w:t>
      </w:r>
      <w:r>
        <w:rPr>
          <w:rFonts w:ascii="Arial" w:eastAsia="SimSun" w:hAnsi="Arial" w:cs="Arial"/>
          <w:color w:val="000000" w:themeColor="text1"/>
          <w:sz w:val="18"/>
          <w:szCs w:val="18"/>
          <w:lang w:eastAsia="zh-TW"/>
        </w:rPr>
        <w:t>9 October 2025</w:t>
      </w:r>
      <w:r w:rsidRPr="00A16D87">
        <w:rPr>
          <w:rFonts w:ascii="Arial" w:eastAsia="SimSun" w:hAnsi="Arial" w:cs="Arial"/>
          <w:color w:val="000000" w:themeColor="text1"/>
          <w:sz w:val="18"/>
          <w:szCs w:val="18"/>
          <w:lang w:eastAsia="zh-TW"/>
        </w:rPr>
        <w:t>.</w:t>
      </w:r>
      <w:r w:rsidR="007F34F7">
        <w:rPr>
          <w:rFonts w:ascii="Arial" w:eastAsia="SimSun" w:hAnsi="Arial" w:cs="Arial"/>
          <w:color w:val="000000" w:themeColor="text1"/>
          <w:sz w:val="18"/>
          <w:szCs w:val="18"/>
          <w:lang w:eastAsia="zh-TW"/>
        </w:rPr>
        <w:t xml:space="preserve"> The</w:t>
      </w:r>
      <w:r w:rsidRPr="00A16D87">
        <w:rPr>
          <w:rFonts w:ascii="Arial" w:eastAsia="SimSun" w:hAnsi="Arial" w:cs="Arial"/>
          <w:color w:val="000000" w:themeColor="text1"/>
          <w:sz w:val="18"/>
          <w:szCs w:val="18"/>
          <w:lang w:eastAsia="zh-TW"/>
        </w:rPr>
        <w:t xml:space="preserve"> measure is designed to provide international investors with enhanced risk-hedging capabilities.</w:t>
      </w:r>
    </w:p>
    <w:p w:rsidR="004F48EB" w:rsidRDefault="004F48EB" w:rsidP="00A16D87">
      <w:pPr>
        <w:pStyle w:val="ds-markdown-paragraph"/>
        <w:contextualSpacing/>
        <w:rPr>
          <w:rFonts w:ascii="Arial" w:eastAsia="SimSun" w:hAnsi="Arial" w:cs="Arial"/>
          <w:color w:val="000000" w:themeColor="text1"/>
          <w:sz w:val="18"/>
          <w:szCs w:val="18"/>
          <w:lang w:eastAsia="zh-TW"/>
        </w:rPr>
      </w:pPr>
    </w:p>
    <w:p w:rsidR="004F48EB" w:rsidRDefault="004F48EB" w:rsidP="00A16D87">
      <w:pPr>
        <w:pStyle w:val="ds-markdown-paragraph"/>
        <w:contextualSpacing/>
        <w:rPr>
          <w:rFonts w:ascii="Arial" w:eastAsia="SimSun" w:hAnsi="Arial" w:cs="Arial"/>
          <w:color w:val="000000" w:themeColor="text1"/>
          <w:sz w:val="18"/>
          <w:szCs w:val="18"/>
          <w:lang w:eastAsia="zh-TW"/>
        </w:rPr>
      </w:pPr>
      <w:r w:rsidRPr="00A16D87">
        <w:rPr>
          <w:rFonts w:ascii="Arial" w:eastAsia="SimSun" w:hAnsi="Arial" w:cs="Arial"/>
          <w:b/>
          <w:color w:val="000000" w:themeColor="text1"/>
          <w:sz w:val="18"/>
          <w:szCs w:val="18"/>
          <w:lang w:eastAsia="zh-TW"/>
        </w:rPr>
        <w:t xml:space="preserve">Mainland Plans for Further Financial Opening-Up </w:t>
      </w:r>
    </w:p>
    <w:p w:rsidR="004F48EB" w:rsidRDefault="004F48EB" w:rsidP="00A16D87">
      <w:pPr>
        <w:pStyle w:val="ds-markdown-paragraph"/>
        <w:contextualSpacing/>
        <w:rPr>
          <w:rFonts w:ascii="Arial" w:eastAsia="SimSun" w:hAnsi="Arial" w:cs="Arial"/>
          <w:color w:val="000000" w:themeColor="text1"/>
          <w:sz w:val="18"/>
          <w:szCs w:val="18"/>
          <w:lang w:eastAsia="zh-TW"/>
        </w:rPr>
      </w:pPr>
    </w:p>
    <w:p w:rsidR="007D43A2" w:rsidRDefault="004F48EB" w:rsidP="00A16D87">
      <w:pPr>
        <w:pStyle w:val="ds-markdown-paragraph"/>
        <w:contextualSpacing/>
        <w:jc w:val="both"/>
        <w:rPr>
          <w:rFonts w:ascii="Arial" w:eastAsia="SimSun" w:hAnsi="Arial" w:cs="Arial"/>
          <w:color w:val="000000" w:themeColor="text1"/>
          <w:sz w:val="18"/>
          <w:szCs w:val="18"/>
          <w:lang w:eastAsia="zh-TW"/>
        </w:rPr>
      </w:pPr>
      <w:r>
        <w:rPr>
          <w:rFonts w:ascii="Arial" w:eastAsia="SimSun" w:hAnsi="Arial" w:cs="Arial"/>
          <w:color w:val="000000" w:themeColor="text1"/>
          <w:sz w:val="18"/>
          <w:szCs w:val="18"/>
          <w:lang w:eastAsia="zh-TW"/>
        </w:rPr>
        <w:t xml:space="preserve">At the annual Lujiazui Forum </w:t>
      </w:r>
      <w:r w:rsidR="007D43A2">
        <w:rPr>
          <w:rFonts w:ascii="Arial" w:eastAsia="SimSun" w:hAnsi="Arial" w:cs="Arial"/>
          <w:color w:val="000000" w:themeColor="text1"/>
          <w:sz w:val="18"/>
          <w:szCs w:val="18"/>
          <w:lang w:eastAsia="zh-TW"/>
        </w:rPr>
        <w:t xml:space="preserve">in Shanghai, representatives from a number of government bodies outlined plans to further </w:t>
      </w:r>
      <w:proofErr w:type="spellStart"/>
      <w:r w:rsidR="007D43A2">
        <w:rPr>
          <w:rFonts w:ascii="Arial" w:eastAsia="SimSun" w:hAnsi="Arial" w:cs="Arial"/>
          <w:color w:val="000000" w:themeColor="text1"/>
          <w:sz w:val="18"/>
          <w:szCs w:val="18"/>
          <w:lang w:eastAsia="zh-TW"/>
        </w:rPr>
        <w:t>liberalise</w:t>
      </w:r>
      <w:proofErr w:type="spellEnd"/>
      <w:r w:rsidR="007D43A2">
        <w:rPr>
          <w:rFonts w:ascii="Arial" w:eastAsia="SimSun" w:hAnsi="Arial" w:cs="Arial"/>
          <w:color w:val="000000" w:themeColor="text1"/>
          <w:sz w:val="18"/>
          <w:szCs w:val="18"/>
          <w:lang w:eastAsia="zh-TW"/>
        </w:rPr>
        <w:t xml:space="preserve"> the financial sector, indicating the Mainland’s intention of deepening international market integration.</w:t>
      </w:r>
      <w:r w:rsidR="007D43A2" w:rsidRPr="00A16D87">
        <w:rPr>
          <w:rStyle w:val="ab"/>
          <w:rFonts w:ascii="Arial" w:eastAsia="SimSun" w:hAnsi="Arial" w:cs="Arial"/>
          <w:color w:val="000000" w:themeColor="text1"/>
          <w:sz w:val="18"/>
          <w:szCs w:val="18"/>
          <w:lang w:eastAsia="zh-TW"/>
        </w:rPr>
        <w:footnoteReference w:id="6"/>
      </w:r>
      <w:r w:rsidR="007D43A2">
        <w:rPr>
          <w:rFonts w:ascii="Arial" w:eastAsia="SimSun" w:hAnsi="Arial" w:cs="Arial"/>
          <w:color w:val="000000" w:themeColor="text1"/>
          <w:sz w:val="18"/>
          <w:szCs w:val="18"/>
          <w:lang w:eastAsia="zh-TW"/>
        </w:rPr>
        <w:t xml:space="preserve"> According to the </w:t>
      </w:r>
      <w:hyperlink r:id="rId11" w:history="1">
        <w:r w:rsidR="007D43A2" w:rsidRPr="007D43A2">
          <w:rPr>
            <w:rStyle w:val="a3"/>
            <w:rFonts w:ascii="Arial" w:eastAsia="SimSun" w:hAnsi="Arial" w:cs="Arial"/>
            <w:sz w:val="18"/>
            <w:szCs w:val="18"/>
            <w:lang w:eastAsia="zh-TW"/>
          </w:rPr>
          <w:t>State Council’s press release of 19 June 2025</w:t>
        </w:r>
      </w:hyperlink>
      <w:r w:rsidR="007D43A2">
        <w:rPr>
          <w:rFonts w:ascii="Arial" w:eastAsia="SimSun" w:hAnsi="Arial" w:cs="Arial"/>
          <w:color w:val="000000" w:themeColor="text1"/>
          <w:sz w:val="18"/>
          <w:szCs w:val="18"/>
          <w:lang w:eastAsia="zh-TW"/>
        </w:rPr>
        <w:t xml:space="preserve">, the reform proposals under discussion include </w:t>
      </w:r>
      <w:r w:rsidR="007D43A2" w:rsidRPr="00A16D87">
        <w:rPr>
          <w:rFonts w:ascii="Arial" w:eastAsia="SimSun" w:hAnsi="Arial" w:cs="Arial"/>
          <w:color w:val="000000" w:themeColor="text1"/>
          <w:sz w:val="18"/>
          <w:szCs w:val="18"/>
          <w:lang w:eastAsia="zh-TW"/>
        </w:rPr>
        <w:t>the creation of an international operations hub for the digital yuan (e-CNY), as announced by People’s Bank of China (</w:t>
      </w:r>
      <w:r w:rsidR="007D43A2" w:rsidRPr="00A16D87">
        <w:rPr>
          <w:rFonts w:ascii="Arial" w:eastAsia="SimSun" w:hAnsi="Arial" w:cs="Arial"/>
          <w:b/>
          <w:color w:val="000000" w:themeColor="text1"/>
          <w:sz w:val="18"/>
          <w:szCs w:val="18"/>
          <w:lang w:eastAsia="zh-TW"/>
        </w:rPr>
        <w:t>PBOC</w:t>
      </w:r>
      <w:r w:rsidR="007D43A2" w:rsidRPr="00A16D87">
        <w:rPr>
          <w:rFonts w:ascii="Arial" w:eastAsia="SimSun" w:hAnsi="Arial" w:cs="Arial"/>
          <w:color w:val="000000" w:themeColor="text1"/>
          <w:sz w:val="18"/>
          <w:szCs w:val="18"/>
          <w:lang w:eastAsia="zh-TW"/>
        </w:rPr>
        <w:t xml:space="preserve">) Governor Pan </w:t>
      </w:r>
      <w:proofErr w:type="spellStart"/>
      <w:r w:rsidR="007D43A2" w:rsidRPr="00A16D87">
        <w:rPr>
          <w:rFonts w:ascii="Arial" w:eastAsia="SimSun" w:hAnsi="Arial" w:cs="Arial"/>
          <w:color w:val="000000" w:themeColor="text1"/>
          <w:sz w:val="18"/>
          <w:szCs w:val="18"/>
          <w:lang w:eastAsia="zh-TW"/>
        </w:rPr>
        <w:t>Gongsheng</w:t>
      </w:r>
      <w:proofErr w:type="spellEnd"/>
      <w:r w:rsidR="007D43A2" w:rsidRPr="00A16D87">
        <w:rPr>
          <w:rFonts w:ascii="Arial" w:eastAsia="SimSun" w:hAnsi="Arial" w:cs="Arial"/>
          <w:color w:val="000000" w:themeColor="text1"/>
          <w:sz w:val="18"/>
          <w:szCs w:val="18"/>
          <w:lang w:eastAsia="zh-TW"/>
        </w:rPr>
        <w:t>. This initiative seeks to accelerate the digital currency’s global adoption, enhance financial market services, and drive innovat</w:t>
      </w:r>
      <w:r w:rsidR="007D43A2">
        <w:rPr>
          <w:rFonts w:ascii="Arial" w:eastAsia="SimSun" w:hAnsi="Arial" w:cs="Arial"/>
          <w:color w:val="000000" w:themeColor="text1"/>
          <w:sz w:val="18"/>
          <w:szCs w:val="18"/>
          <w:lang w:eastAsia="zh-TW"/>
        </w:rPr>
        <w:t>ion in digital finance.</w:t>
      </w:r>
    </w:p>
    <w:p w:rsidR="007D43A2" w:rsidRDefault="007D43A2" w:rsidP="00A16D87">
      <w:pPr>
        <w:pStyle w:val="ds-markdown-paragraph"/>
        <w:contextualSpacing/>
        <w:jc w:val="both"/>
        <w:rPr>
          <w:rFonts w:ascii="Arial" w:eastAsia="SimSun" w:hAnsi="Arial" w:cs="Arial"/>
          <w:color w:val="000000" w:themeColor="text1"/>
          <w:sz w:val="18"/>
          <w:szCs w:val="18"/>
          <w:lang w:eastAsia="zh-TW"/>
        </w:rPr>
      </w:pPr>
    </w:p>
    <w:p w:rsidR="007D43A2" w:rsidRPr="00A16D87" w:rsidRDefault="007D43A2" w:rsidP="00A16D87">
      <w:pPr>
        <w:pStyle w:val="ds-markdown-paragraph"/>
        <w:contextualSpacing/>
        <w:jc w:val="both"/>
        <w:rPr>
          <w:rFonts w:ascii="Arial" w:eastAsia="SimSun" w:hAnsi="Arial" w:cs="Arial"/>
          <w:color w:val="000000" w:themeColor="text1"/>
          <w:sz w:val="18"/>
          <w:szCs w:val="18"/>
          <w:lang w:eastAsia="zh-TW"/>
        </w:rPr>
      </w:pPr>
      <w:r w:rsidRPr="00A16D87">
        <w:rPr>
          <w:rFonts w:ascii="Arial" w:eastAsia="SimSun" w:hAnsi="Arial" w:cs="Arial"/>
          <w:color w:val="000000" w:themeColor="text1"/>
          <w:sz w:val="18"/>
          <w:szCs w:val="18"/>
          <w:lang w:eastAsia="zh-TW"/>
        </w:rPr>
        <w:t xml:space="preserve">Governor Pan noted that the </w:t>
      </w:r>
      <w:r>
        <w:rPr>
          <w:rFonts w:ascii="Arial" w:eastAsia="SimSun" w:hAnsi="Arial" w:cs="Arial"/>
          <w:color w:val="000000" w:themeColor="text1"/>
          <w:sz w:val="18"/>
          <w:szCs w:val="18"/>
          <w:lang w:eastAsia="zh-TW"/>
        </w:rPr>
        <w:t xml:space="preserve">hub </w:t>
      </w:r>
      <w:r w:rsidRPr="00A16D87">
        <w:rPr>
          <w:rFonts w:ascii="Arial" w:eastAsia="SimSun" w:hAnsi="Arial" w:cs="Arial"/>
          <w:color w:val="000000" w:themeColor="text1"/>
          <w:sz w:val="18"/>
          <w:szCs w:val="18"/>
          <w:lang w:eastAsia="zh-TW"/>
        </w:rPr>
        <w:t xml:space="preserve">is part of eight new pilot measures slated for Shanghai. Additional reforms include the introduction of offshore bonds within free trade zones to broaden corporate financing options, </w:t>
      </w:r>
      <w:r w:rsidR="00583079">
        <w:rPr>
          <w:rFonts w:ascii="Arial" w:eastAsia="SimSun" w:hAnsi="Arial" w:cs="Arial"/>
          <w:color w:val="000000" w:themeColor="text1"/>
          <w:sz w:val="18"/>
          <w:szCs w:val="18"/>
          <w:lang w:eastAsia="zh-TW"/>
        </w:rPr>
        <w:t xml:space="preserve">and </w:t>
      </w:r>
      <w:r w:rsidRPr="00A16D87">
        <w:rPr>
          <w:rFonts w:ascii="Arial" w:eastAsia="SimSun" w:hAnsi="Arial" w:cs="Arial"/>
          <w:color w:val="000000" w:themeColor="text1"/>
          <w:sz w:val="18"/>
          <w:szCs w:val="18"/>
          <w:lang w:eastAsia="zh-TW"/>
        </w:rPr>
        <w:t>improvements to the free trade account system to streamline cross-border trade and investment for businesses.</w:t>
      </w:r>
    </w:p>
    <w:p w:rsidR="00583079" w:rsidRDefault="00583079" w:rsidP="00A16D87">
      <w:pPr>
        <w:pStyle w:val="ds-markdown-paragraph"/>
        <w:contextualSpacing/>
        <w:jc w:val="both"/>
        <w:rPr>
          <w:rFonts w:ascii="Arial" w:eastAsia="SimSun" w:hAnsi="Arial" w:cs="Arial"/>
          <w:color w:val="000000" w:themeColor="text1"/>
          <w:sz w:val="18"/>
          <w:szCs w:val="18"/>
          <w:lang w:eastAsia="zh-TW"/>
        </w:rPr>
      </w:pPr>
    </w:p>
    <w:p w:rsidR="00583079" w:rsidRDefault="00583079" w:rsidP="00A16D87">
      <w:pPr>
        <w:pStyle w:val="ds-markdown-paragraph"/>
        <w:contextualSpacing/>
        <w:jc w:val="both"/>
        <w:rPr>
          <w:rFonts w:ascii="Arial" w:eastAsia="SimSun" w:hAnsi="Arial" w:cs="Arial"/>
          <w:color w:val="000000" w:themeColor="text1"/>
          <w:sz w:val="18"/>
          <w:szCs w:val="18"/>
          <w:lang w:eastAsia="zh-TW"/>
        </w:rPr>
      </w:pPr>
      <w:r w:rsidRPr="00A16D87">
        <w:rPr>
          <w:rFonts w:ascii="Arial" w:eastAsia="SimSun" w:hAnsi="Arial" w:cs="Arial"/>
          <w:color w:val="000000" w:themeColor="text1"/>
          <w:sz w:val="18"/>
          <w:szCs w:val="18"/>
          <w:lang w:eastAsia="zh-TW"/>
        </w:rPr>
        <w:t xml:space="preserve">Zhu </w:t>
      </w:r>
      <w:proofErr w:type="spellStart"/>
      <w:r w:rsidRPr="00A16D87">
        <w:rPr>
          <w:rFonts w:ascii="Arial" w:eastAsia="SimSun" w:hAnsi="Arial" w:cs="Arial"/>
          <w:color w:val="000000" w:themeColor="text1"/>
          <w:sz w:val="18"/>
          <w:szCs w:val="18"/>
          <w:lang w:eastAsia="zh-TW"/>
        </w:rPr>
        <w:t>Hexin</w:t>
      </w:r>
      <w:proofErr w:type="spellEnd"/>
      <w:r w:rsidRPr="00A16D87">
        <w:rPr>
          <w:rFonts w:ascii="Arial" w:eastAsia="SimSun" w:hAnsi="Arial" w:cs="Arial"/>
          <w:color w:val="000000" w:themeColor="text1"/>
          <w:sz w:val="18"/>
          <w:szCs w:val="18"/>
          <w:lang w:eastAsia="zh-TW"/>
        </w:rPr>
        <w:t>, deputy governor of the PBOC and head of the State Administration of Foreign Exchange (</w:t>
      </w:r>
      <w:r w:rsidRPr="00A16D87">
        <w:rPr>
          <w:rFonts w:ascii="Arial" w:eastAsia="SimSun" w:hAnsi="Arial" w:cs="Arial"/>
          <w:b/>
          <w:color w:val="000000" w:themeColor="text1"/>
          <w:sz w:val="18"/>
          <w:szCs w:val="18"/>
          <w:lang w:eastAsia="zh-TW"/>
        </w:rPr>
        <w:t>SAFE</w:t>
      </w:r>
      <w:r w:rsidRPr="00A16D87">
        <w:rPr>
          <w:rFonts w:ascii="Arial" w:eastAsia="SimSun" w:hAnsi="Arial" w:cs="Arial"/>
          <w:color w:val="000000" w:themeColor="text1"/>
          <w:sz w:val="18"/>
          <w:szCs w:val="18"/>
          <w:lang w:eastAsia="zh-TW"/>
        </w:rPr>
        <w:t>)</w:t>
      </w:r>
      <w:r>
        <w:rPr>
          <w:rFonts w:ascii="Arial" w:eastAsia="SimSun" w:hAnsi="Arial" w:cs="Arial"/>
          <w:color w:val="000000" w:themeColor="text1"/>
          <w:sz w:val="18"/>
          <w:szCs w:val="18"/>
          <w:lang w:eastAsia="zh-TW"/>
        </w:rPr>
        <w:t xml:space="preserve"> announced that a</w:t>
      </w:r>
      <w:r w:rsidRPr="00A16D87">
        <w:rPr>
          <w:rFonts w:ascii="Arial" w:eastAsia="SimSun" w:hAnsi="Arial" w:cs="Arial"/>
          <w:color w:val="000000" w:themeColor="text1"/>
          <w:sz w:val="18"/>
          <w:szCs w:val="18"/>
          <w:lang w:eastAsia="zh-TW"/>
        </w:rPr>
        <w:t xml:space="preserve"> series of innovative foreign exchange measures will be rolled out in </w:t>
      </w:r>
      <w:r>
        <w:rPr>
          <w:rFonts w:ascii="Arial" w:eastAsia="SimSun" w:hAnsi="Arial" w:cs="Arial"/>
          <w:color w:val="000000" w:themeColor="text1"/>
          <w:sz w:val="18"/>
          <w:szCs w:val="18"/>
          <w:lang w:eastAsia="zh-TW"/>
        </w:rPr>
        <w:t xml:space="preserve">the </w:t>
      </w:r>
      <w:proofErr w:type="gramStart"/>
      <w:r>
        <w:rPr>
          <w:rFonts w:ascii="Arial" w:eastAsia="SimSun" w:hAnsi="Arial" w:cs="Arial"/>
          <w:color w:val="000000" w:themeColor="text1"/>
          <w:sz w:val="18"/>
          <w:szCs w:val="18"/>
          <w:lang w:eastAsia="zh-TW"/>
        </w:rPr>
        <w:t>Mainland’</w:t>
      </w:r>
      <w:r w:rsidRPr="00A16D87">
        <w:rPr>
          <w:rFonts w:ascii="Arial" w:eastAsia="SimSun" w:hAnsi="Arial" w:cs="Arial"/>
          <w:color w:val="000000" w:themeColor="text1"/>
          <w:sz w:val="18"/>
          <w:szCs w:val="18"/>
          <w:lang w:eastAsia="zh-TW"/>
        </w:rPr>
        <w:t>s</w:t>
      </w:r>
      <w:proofErr w:type="gramEnd"/>
      <w:r w:rsidRPr="00A16D87">
        <w:rPr>
          <w:rFonts w:ascii="Arial" w:eastAsia="SimSun" w:hAnsi="Arial" w:cs="Arial"/>
          <w:color w:val="000000" w:themeColor="text1"/>
          <w:sz w:val="18"/>
          <w:szCs w:val="18"/>
          <w:lang w:eastAsia="zh-TW"/>
        </w:rPr>
        <w:t xml:space="preserve"> pilot free trade zones, featuring policies designed to streamline cross-border trade settlements and broaden the scope of the Qualified Foreign Limited Partner (</w:t>
      </w:r>
      <w:r w:rsidRPr="00A16D87">
        <w:rPr>
          <w:rFonts w:ascii="Arial" w:eastAsia="SimSun" w:hAnsi="Arial" w:cs="Arial"/>
          <w:b/>
          <w:color w:val="000000" w:themeColor="text1"/>
          <w:sz w:val="18"/>
          <w:szCs w:val="18"/>
          <w:lang w:eastAsia="zh-TW"/>
        </w:rPr>
        <w:t>QFLP</w:t>
      </w:r>
      <w:r w:rsidRPr="00A16D87">
        <w:rPr>
          <w:rFonts w:ascii="Arial" w:eastAsia="SimSun" w:hAnsi="Arial" w:cs="Arial"/>
          <w:color w:val="000000" w:themeColor="text1"/>
          <w:sz w:val="18"/>
          <w:szCs w:val="18"/>
          <w:lang w:eastAsia="zh-TW"/>
        </w:rPr>
        <w:t>) initiative. The</w:t>
      </w:r>
      <w:r>
        <w:rPr>
          <w:rFonts w:ascii="Arial" w:eastAsia="SimSun" w:hAnsi="Arial" w:cs="Arial"/>
          <w:color w:val="000000" w:themeColor="text1"/>
          <w:sz w:val="18"/>
          <w:szCs w:val="18"/>
          <w:lang w:eastAsia="zh-TW"/>
        </w:rPr>
        <w:t xml:space="preserve"> aim of the</w:t>
      </w:r>
      <w:r w:rsidRPr="00A16D87">
        <w:rPr>
          <w:rFonts w:ascii="Arial" w:eastAsia="SimSun" w:hAnsi="Arial" w:cs="Arial"/>
          <w:color w:val="000000" w:themeColor="text1"/>
          <w:sz w:val="18"/>
          <w:szCs w:val="18"/>
          <w:lang w:eastAsia="zh-TW"/>
        </w:rPr>
        <w:t xml:space="preserve">se reforms </w:t>
      </w:r>
      <w:r>
        <w:rPr>
          <w:rFonts w:ascii="Arial" w:eastAsia="SimSun" w:hAnsi="Arial" w:cs="Arial"/>
          <w:color w:val="000000" w:themeColor="text1"/>
          <w:sz w:val="18"/>
          <w:szCs w:val="18"/>
          <w:lang w:eastAsia="zh-TW"/>
        </w:rPr>
        <w:t xml:space="preserve">is </w:t>
      </w:r>
      <w:r w:rsidRPr="00A16D87">
        <w:rPr>
          <w:rFonts w:ascii="Arial" w:eastAsia="SimSun" w:hAnsi="Arial" w:cs="Arial"/>
          <w:color w:val="000000" w:themeColor="text1"/>
          <w:sz w:val="18"/>
          <w:szCs w:val="18"/>
          <w:lang w:eastAsia="zh-TW"/>
        </w:rPr>
        <w:t>to facilitate more efficient international trade transactions while expanding foreign investment channels under the QFLP framework.</w:t>
      </w:r>
    </w:p>
    <w:p w:rsidR="00583079" w:rsidRDefault="00583079" w:rsidP="00A16D87">
      <w:pPr>
        <w:pStyle w:val="ds-markdown-paragraph"/>
        <w:contextualSpacing/>
        <w:jc w:val="both"/>
        <w:rPr>
          <w:rFonts w:ascii="Arial" w:eastAsia="SimSun" w:hAnsi="Arial" w:cs="Arial"/>
          <w:color w:val="000000" w:themeColor="text1"/>
          <w:sz w:val="18"/>
          <w:szCs w:val="18"/>
          <w:lang w:eastAsia="zh-TW"/>
        </w:rPr>
      </w:pPr>
    </w:p>
    <w:p w:rsidR="00583079" w:rsidRDefault="00583079" w:rsidP="00A16D87">
      <w:pPr>
        <w:pStyle w:val="ds-markdown-paragraph"/>
        <w:jc w:val="both"/>
        <w:rPr>
          <w:rFonts w:ascii="Arial" w:eastAsia="SimSun" w:hAnsi="Arial" w:cs="Arial"/>
          <w:color w:val="000000" w:themeColor="text1"/>
          <w:sz w:val="18"/>
          <w:szCs w:val="18"/>
          <w:lang w:eastAsia="zh-TW"/>
        </w:rPr>
      </w:pPr>
      <w:r>
        <w:rPr>
          <w:rFonts w:ascii="Arial" w:eastAsia="SimSun" w:hAnsi="Arial" w:cs="Arial"/>
          <w:color w:val="000000" w:themeColor="text1"/>
          <w:sz w:val="18"/>
          <w:szCs w:val="18"/>
          <w:lang w:eastAsia="zh-TW"/>
        </w:rPr>
        <w:t>On 19 June 2025, SAFE i</w:t>
      </w:r>
      <w:r w:rsidRPr="00A16D87">
        <w:rPr>
          <w:rFonts w:ascii="Arial" w:eastAsia="SimSun" w:hAnsi="Arial" w:cs="Arial"/>
          <w:color w:val="000000" w:themeColor="text1"/>
          <w:sz w:val="18"/>
          <w:szCs w:val="18"/>
          <w:lang w:eastAsia="zh-TW"/>
        </w:rPr>
        <w:t>ssued a public consultation on proposed reforms to streamline foreign exchange management for cross-border investment and financing activities. The init</w:t>
      </w:r>
      <w:r>
        <w:rPr>
          <w:rFonts w:ascii="Arial" w:eastAsia="SimSun" w:hAnsi="Arial" w:cs="Arial"/>
          <w:color w:val="000000" w:themeColor="text1"/>
          <w:sz w:val="18"/>
          <w:szCs w:val="18"/>
          <w:lang w:eastAsia="zh-TW"/>
        </w:rPr>
        <w:t xml:space="preserve">iative aims to further </w:t>
      </w:r>
      <w:proofErr w:type="spellStart"/>
      <w:r>
        <w:rPr>
          <w:rFonts w:ascii="Arial" w:eastAsia="SimSun" w:hAnsi="Arial" w:cs="Arial"/>
          <w:color w:val="000000" w:themeColor="text1"/>
          <w:sz w:val="18"/>
          <w:szCs w:val="18"/>
          <w:lang w:eastAsia="zh-TW"/>
        </w:rPr>
        <w:t>liberalis</w:t>
      </w:r>
      <w:r w:rsidRPr="00A16D87">
        <w:rPr>
          <w:rFonts w:ascii="Arial" w:eastAsia="SimSun" w:hAnsi="Arial" w:cs="Arial"/>
          <w:color w:val="000000" w:themeColor="text1"/>
          <w:sz w:val="18"/>
          <w:szCs w:val="18"/>
          <w:lang w:eastAsia="zh-TW"/>
        </w:rPr>
        <w:t>e</w:t>
      </w:r>
      <w:proofErr w:type="spellEnd"/>
      <w:r w:rsidRPr="00A16D87">
        <w:rPr>
          <w:rFonts w:ascii="Arial" w:eastAsia="SimSun" w:hAnsi="Arial" w:cs="Arial"/>
          <w:color w:val="000000" w:themeColor="text1"/>
          <w:sz w:val="18"/>
          <w:szCs w:val="18"/>
          <w:lang w:eastAsia="zh-TW"/>
        </w:rPr>
        <w:t xml:space="preserve"> and facilitate overseas financing.</w:t>
      </w:r>
      <w:r>
        <w:rPr>
          <w:rFonts w:ascii="Arial" w:eastAsia="SimSun" w:hAnsi="Arial" w:cs="Arial"/>
          <w:color w:val="000000" w:themeColor="text1"/>
          <w:sz w:val="18"/>
          <w:szCs w:val="18"/>
          <w:lang w:eastAsia="zh-TW"/>
        </w:rPr>
        <w:t xml:space="preserve"> </w:t>
      </w:r>
      <w:r w:rsidRPr="00A16D87">
        <w:rPr>
          <w:rFonts w:ascii="Arial" w:eastAsia="SimSun" w:hAnsi="Arial" w:cs="Arial"/>
          <w:color w:val="000000" w:themeColor="text1"/>
          <w:sz w:val="18"/>
          <w:szCs w:val="18"/>
          <w:lang w:eastAsia="zh-TW"/>
        </w:rPr>
        <w:t xml:space="preserve">As part of these reforms, </w:t>
      </w:r>
      <w:r>
        <w:rPr>
          <w:rFonts w:ascii="Arial" w:eastAsia="SimSun" w:hAnsi="Arial" w:cs="Arial"/>
          <w:color w:val="000000" w:themeColor="text1"/>
          <w:sz w:val="18"/>
          <w:szCs w:val="18"/>
          <w:lang w:eastAsia="zh-TW"/>
        </w:rPr>
        <w:t xml:space="preserve">the </w:t>
      </w:r>
      <w:r w:rsidRPr="00A16D87">
        <w:rPr>
          <w:rFonts w:ascii="Arial" w:eastAsia="SimSun" w:hAnsi="Arial" w:cs="Arial"/>
          <w:color w:val="000000" w:themeColor="text1"/>
          <w:sz w:val="18"/>
          <w:szCs w:val="18"/>
          <w:lang w:eastAsia="zh-TW"/>
        </w:rPr>
        <w:t xml:space="preserve">registration requirements for foreign-invested enterprises engaging in domestic </w:t>
      </w:r>
      <w:r w:rsidRPr="00A16D87">
        <w:rPr>
          <w:rFonts w:ascii="Arial" w:eastAsia="SimSun" w:hAnsi="Arial" w:cs="Arial"/>
          <w:color w:val="000000" w:themeColor="text1"/>
          <w:sz w:val="18"/>
          <w:szCs w:val="18"/>
          <w:lang w:eastAsia="zh-TW"/>
        </w:rPr>
        <w:lastRenderedPageBreak/>
        <w:t>reinvestment</w:t>
      </w:r>
      <w:r>
        <w:rPr>
          <w:rFonts w:ascii="Arial" w:eastAsia="SimSun" w:hAnsi="Arial" w:cs="Arial"/>
          <w:color w:val="000000" w:themeColor="text1"/>
          <w:sz w:val="18"/>
          <w:szCs w:val="18"/>
          <w:lang w:eastAsia="zh-TW"/>
        </w:rPr>
        <w:t xml:space="preserve"> will be removed</w:t>
      </w:r>
      <w:r w:rsidRPr="00A16D87">
        <w:rPr>
          <w:rFonts w:ascii="Arial" w:eastAsia="SimSun" w:hAnsi="Arial" w:cs="Arial"/>
          <w:color w:val="000000" w:themeColor="text1"/>
          <w:sz w:val="18"/>
          <w:szCs w:val="18"/>
          <w:lang w:eastAsia="zh-TW"/>
        </w:rPr>
        <w:t>. Currently imp</w:t>
      </w:r>
      <w:r>
        <w:rPr>
          <w:rFonts w:ascii="Arial" w:eastAsia="SimSun" w:hAnsi="Arial" w:cs="Arial"/>
          <w:color w:val="000000" w:themeColor="text1"/>
          <w:sz w:val="18"/>
          <w:szCs w:val="18"/>
          <w:lang w:eastAsia="zh-TW"/>
        </w:rPr>
        <w:t>lemented on a pilot basis</w:t>
      </w:r>
      <w:r w:rsidRPr="00A16D87">
        <w:rPr>
          <w:rFonts w:ascii="Arial" w:eastAsia="SimSun" w:hAnsi="Arial" w:cs="Arial"/>
          <w:color w:val="000000" w:themeColor="text1"/>
          <w:sz w:val="18"/>
          <w:szCs w:val="18"/>
          <w:lang w:eastAsia="zh-TW"/>
        </w:rPr>
        <w:t>, this deregulation will be expanded nationwide to reduce administrative burdens and enhance investment flexibility.</w:t>
      </w:r>
    </w:p>
    <w:p w:rsidR="00E87900" w:rsidRPr="00A16D87" w:rsidRDefault="00E87900" w:rsidP="00A16D87">
      <w:pPr>
        <w:pStyle w:val="ds-markdown-paragraph"/>
        <w:jc w:val="both"/>
        <w:rPr>
          <w:rFonts w:ascii="Arial" w:eastAsia="SimSun" w:hAnsi="Arial" w:cs="Arial"/>
          <w:color w:val="000000" w:themeColor="text1"/>
          <w:sz w:val="18"/>
          <w:szCs w:val="18"/>
          <w:lang w:eastAsia="zh-TW"/>
        </w:rPr>
      </w:pPr>
      <w:r>
        <w:rPr>
          <w:rFonts w:ascii="Arial" w:eastAsia="SimSun" w:hAnsi="Arial" w:cs="Arial"/>
          <w:color w:val="000000" w:themeColor="text1"/>
          <w:sz w:val="18"/>
          <w:szCs w:val="18"/>
          <w:lang w:eastAsia="zh-TW"/>
        </w:rPr>
        <w:t xml:space="preserve">As regards foreign investment, </w:t>
      </w:r>
      <w:r w:rsidRPr="00A16D87">
        <w:rPr>
          <w:rFonts w:ascii="Arial" w:hAnsi="Arial" w:cs="Arial"/>
          <w:sz w:val="18"/>
          <w:szCs w:val="18"/>
        </w:rPr>
        <w:t>Li Yunze, head of the National Financial Regulatory Administration</w:t>
      </w:r>
      <w:r>
        <w:rPr>
          <w:rFonts w:ascii="Arial" w:hAnsi="Arial" w:cs="Arial"/>
          <w:sz w:val="18"/>
          <w:szCs w:val="18"/>
        </w:rPr>
        <w:t xml:space="preserve"> noted the removal of many of the restrictions on foreign investment in the </w:t>
      </w:r>
      <w:proofErr w:type="gramStart"/>
      <w:r>
        <w:rPr>
          <w:rFonts w:ascii="Arial" w:hAnsi="Arial" w:cs="Arial"/>
          <w:sz w:val="18"/>
          <w:szCs w:val="18"/>
        </w:rPr>
        <w:t>Mainland’s</w:t>
      </w:r>
      <w:proofErr w:type="gramEnd"/>
      <w:r>
        <w:rPr>
          <w:rFonts w:ascii="Arial" w:hAnsi="Arial" w:cs="Arial"/>
          <w:sz w:val="18"/>
          <w:szCs w:val="18"/>
        </w:rPr>
        <w:t xml:space="preserve"> banking and insurance sectors and the regulator’s plans for continued improvement in the business environment </w:t>
      </w:r>
      <w:r w:rsidR="00A65BCF">
        <w:rPr>
          <w:rFonts w:ascii="Arial" w:hAnsi="Arial" w:cs="Arial"/>
          <w:sz w:val="18"/>
          <w:szCs w:val="18"/>
        </w:rPr>
        <w:t>for overseas entitie</w:t>
      </w:r>
      <w:r>
        <w:rPr>
          <w:rFonts w:ascii="Arial" w:hAnsi="Arial" w:cs="Arial"/>
          <w:sz w:val="18"/>
          <w:szCs w:val="18"/>
        </w:rPr>
        <w:t>s</w:t>
      </w:r>
      <w:r w:rsidR="00A65BCF">
        <w:rPr>
          <w:rFonts w:ascii="Arial" w:hAnsi="Arial" w:cs="Arial"/>
          <w:sz w:val="18"/>
          <w:szCs w:val="18"/>
        </w:rPr>
        <w:t>.</w:t>
      </w:r>
      <w:r>
        <w:rPr>
          <w:rFonts w:ascii="Arial" w:hAnsi="Arial" w:cs="Arial"/>
          <w:sz w:val="18"/>
          <w:szCs w:val="18"/>
        </w:rPr>
        <w:t xml:space="preserve"> </w:t>
      </w:r>
    </w:p>
    <w:p w:rsidR="00BC7E9A" w:rsidRDefault="00BC7E9A" w:rsidP="003C328F">
      <w:pPr>
        <w:snapToGrid w:val="0"/>
        <w:spacing w:after="0" w:line="240" w:lineRule="auto"/>
        <w:contextualSpacing/>
        <w:jc w:val="both"/>
        <w:rPr>
          <w:rFonts w:ascii="Arial" w:hAnsi="Arial" w:cs="Arial"/>
          <w:b/>
          <w:color w:val="FF0000"/>
          <w:sz w:val="18"/>
          <w:szCs w:val="18"/>
          <w:lang w:eastAsia="zh-TW"/>
        </w:rPr>
      </w:pPr>
      <w:r>
        <w:rPr>
          <w:rFonts w:ascii="Arial" w:hAnsi="Arial" w:cs="Arial"/>
          <w:b/>
          <w:color w:val="FF0000"/>
          <w:sz w:val="18"/>
          <w:szCs w:val="18"/>
          <w:lang w:eastAsia="zh-TW"/>
        </w:rPr>
        <w:t xml:space="preserve">Hong Kong </w:t>
      </w:r>
      <w:r w:rsidR="000954DC">
        <w:rPr>
          <w:rFonts w:ascii="Arial" w:hAnsi="Arial" w:cs="Arial"/>
          <w:b/>
          <w:color w:val="FF0000"/>
          <w:sz w:val="18"/>
          <w:szCs w:val="18"/>
          <w:lang w:eastAsia="zh-TW"/>
        </w:rPr>
        <w:t>Regains Ranking</w:t>
      </w:r>
      <w:r w:rsidR="00A81244">
        <w:rPr>
          <w:rFonts w:ascii="Arial" w:hAnsi="Arial" w:cs="Arial"/>
          <w:b/>
          <w:color w:val="FF0000"/>
          <w:sz w:val="18"/>
          <w:szCs w:val="18"/>
          <w:lang w:eastAsia="zh-TW"/>
        </w:rPr>
        <w:t xml:space="preserve"> as World’s Top </w:t>
      </w:r>
      <w:r>
        <w:rPr>
          <w:rFonts w:ascii="Arial" w:hAnsi="Arial" w:cs="Arial"/>
          <w:b/>
          <w:color w:val="FF0000"/>
          <w:sz w:val="18"/>
          <w:szCs w:val="18"/>
          <w:lang w:eastAsia="zh-TW"/>
        </w:rPr>
        <w:t xml:space="preserve">IPO </w:t>
      </w:r>
      <w:r w:rsidR="00A81244">
        <w:rPr>
          <w:rFonts w:ascii="Arial" w:hAnsi="Arial" w:cs="Arial"/>
          <w:b/>
          <w:color w:val="FF0000"/>
          <w:sz w:val="18"/>
          <w:szCs w:val="18"/>
          <w:lang w:eastAsia="zh-TW"/>
        </w:rPr>
        <w:t xml:space="preserve">Fund-raising </w:t>
      </w:r>
      <w:r>
        <w:rPr>
          <w:rFonts w:ascii="Arial" w:hAnsi="Arial" w:cs="Arial"/>
          <w:b/>
          <w:color w:val="FF0000"/>
          <w:sz w:val="18"/>
          <w:szCs w:val="18"/>
          <w:lang w:eastAsia="zh-TW"/>
        </w:rPr>
        <w:t>Market</w:t>
      </w:r>
      <w:r w:rsidR="00A81244">
        <w:rPr>
          <w:rFonts w:ascii="Arial" w:hAnsi="Arial" w:cs="Arial"/>
          <w:b/>
          <w:color w:val="FF0000"/>
          <w:sz w:val="18"/>
          <w:szCs w:val="18"/>
          <w:lang w:eastAsia="zh-TW"/>
        </w:rPr>
        <w:t xml:space="preserve"> in H1 2025</w:t>
      </w:r>
    </w:p>
    <w:p w:rsidR="00BC7E9A" w:rsidRDefault="00BC7E9A" w:rsidP="003C328F">
      <w:pPr>
        <w:snapToGrid w:val="0"/>
        <w:spacing w:after="0" w:line="240" w:lineRule="auto"/>
        <w:contextualSpacing/>
        <w:jc w:val="both"/>
        <w:rPr>
          <w:rFonts w:ascii="Arial" w:hAnsi="Arial" w:cs="Arial"/>
          <w:b/>
          <w:color w:val="FF0000"/>
          <w:sz w:val="18"/>
          <w:szCs w:val="18"/>
          <w:lang w:eastAsia="zh-TW"/>
        </w:rPr>
      </w:pPr>
    </w:p>
    <w:p w:rsidR="009F37AE" w:rsidRDefault="000954DC" w:rsidP="003C328F">
      <w:pPr>
        <w:snapToGrid w:val="0"/>
        <w:spacing w:after="0" w:line="240" w:lineRule="auto"/>
        <w:contextualSpacing/>
        <w:jc w:val="both"/>
        <w:rPr>
          <w:rFonts w:ascii="Arial" w:hAnsi="Arial"/>
          <w:sz w:val="20"/>
          <w:szCs w:val="20"/>
        </w:rPr>
      </w:pPr>
      <w:r>
        <w:rPr>
          <w:rFonts w:ascii="Arial" w:hAnsi="Arial" w:cs="Arial"/>
          <w:sz w:val="18"/>
          <w:szCs w:val="18"/>
        </w:rPr>
        <w:t xml:space="preserve">Shenzhen’s promised reforms come against a background which saw </w:t>
      </w:r>
      <w:r w:rsidR="00BC7E9A" w:rsidRPr="00BC7E9A">
        <w:rPr>
          <w:rFonts w:ascii="Arial" w:hAnsi="Arial" w:cs="Arial"/>
          <w:sz w:val="18"/>
          <w:szCs w:val="18"/>
        </w:rPr>
        <w:t xml:space="preserve">Hong Kong </w:t>
      </w:r>
      <w:r>
        <w:rPr>
          <w:rFonts w:ascii="Arial" w:hAnsi="Arial" w:cs="Arial"/>
          <w:sz w:val="18"/>
          <w:szCs w:val="18"/>
        </w:rPr>
        <w:t>rank a</w:t>
      </w:r>
      <w:r w:rsidR="003725B9">
        <w:rPr>
          <w:rFonts w:ascii="Arial" w:hAnsi="Arial" w:cs="Arial"/>
          <w:sz w:val="18"/>
          <w:szCs w:val="18"/>
        </w:rPr>
        <w:t xml:space="preserve">s the </w:t>
      </w:r>
      <w:r w:rsidR="003B562F">
        <w:rPr>
          <w:rFonts w:ascii="Arial" w:hAnsi="Arial" w:cs="Arial"/>
          <w:sz w:val="18"/>
          <w:szCs w:val="18"/>
        </w:rPr>
        <w:t xml:space="preserve">world’s </w:t>
      </w:r>
      <w:r w:rsidR="003725B9">
        <w:rPr>
          <w:rFonts w:ascii="Arial" w:hAnsi="Arial" w:cs="Arial"/>
          <w:sz w:val="18"/>
          <w:szCs w:val="18"/>
        </w:rPr>
        <w:t>top IPO fund-raising exchange</w:t>
      </w:r>
      <w:r w:rsidR="00716028">
        <w:rPr>
          <w:rFonts w:ascii="Arial" w:hAnsi="Arial" w:cs="Arial"/>
          <w:sz w:val="18"/>
          <w:szCs w:val="18"/>
        </w:rPr>
        <w:t xml:space="preserve"> ahead of the Nasdaq and New York Stock Exchange</w:t>
      </w:r>
      <w:r w:rsidR="003725B9">
        <w:rPr>
          <w:rFonts w:ascii="Arial" w:hAnsi="Arial" w:cs="Arial"/>
          <w:sz w:val="18"/>
          <w:szCs w:val="18"/>
        </w:rPr>
        <w:t xml:space="preserve"> </w:t>
      </w:r>
      <w:r w:rsidR="00BC7E9A">
        <w:rPr>
          <w:rFonts w:ascii="Arial" w:hAnsi="Arial" w:cs="Arial"/>
          <w:sz w:val="18"/>
          <w:szCs w:val="18"/>
        </w:rPr>
        <w:t>in the first half of 2025</w:t>
      </w:r>
      <w:r w:rsidR="00716028">
        <w:rPr>
          <w:rFonts w:ascii="Arial" w:hAnsi="Arial" w:cs="Arial"/>
          <w:sz w:val="18"/>
          <w:szCs w:val="18"/>
        </w:rPr>
        <w:t>. IPOs on the HKEX raised</w:t>
      </w:r>
      <w:r w:rsidR="003B562F">
        <w:rPr>
          <w:rFonts w:ascii="Arial" w:hAnsi="Arial" w:cs="Arial"/>
          <w:sz w:val="18"/>
          <w:szCs w:val="18"/>
        </w:rPr>
        <w:t xml:space="preserve"> US$14 billion, up 711% compared to the first half of 2024</w:t>
      </w:r>
      <w:r w:rsidR="003725B9">
        <w:rPr>
          <w:rFonts w:ascii="Arial" w:hAnsi="Arial" w:cs="Arial"/>
          <w:sz w:val="18"/>
          <w:szCs w:val="18"/>
        </w:rPr>
        <w:t xml:space="preserve">, </w:t>
      </w:r>
      <w:r w:rsidR="00BC7E9A">
        <w:rPr>
          <w:rFonts w:ascii="Arial" w:hAnsi="Arial" w:cs="Arial"/>
          <w:sz w:val="18"/>
          <w:szCs w:val="18"/>
        </w:rPr>
        <w:t>according to EY’s “</w:t>
      </w:r>
      <w:r w:rsidR="00BC7E9A">
        <w:rPr>
          <w:rFonts w:ascii="Arial" w:hAnsi="Arial" w:cs="Arial"/>
          <w:i/>
          <w:sz w:val="18"/>
          <w:szCs w:val="18"/>
        </w:rPr>
        <w:t>Chinese mainland and Hong Kong IPO report”</w:t>
      </w:r>
      <w:r w:rsidR="003725B9">
        <w:rPr>
          <w:rFonts w:ascii="Arial" w:hAnsi="Arial" w:cs="Arial"/>
          <w:i/>
          <w:sz w:val="18"/>
          <w:szCs w:val="18"/>
        </w:rPr>
        <w:t>.</w:t>
      </w:r>
      <w:r w:rsidR="003725B9" w:rsidRPr="00BE071C">
        <w:rPr>
          <w:rStyle w:val="ab"/>
          <w:rFonts w:ascii="Arial" w:hAnsi="Arial" w:cs="Arial"/>
          <w:sz w:val="18"/>
          <w:szCs w:val="18"/>
        </w:rPr>
        <w:footnoteReference w:id="7"/>
      </w:r>
      <w:r w:rsidR="00BC7E9A">
        <w:rPr>
          <w:rFonts w:ascii="Arial" w:hAnsi="Arial" w:cs="Arial"/>
          <w:i/>
          <w:sz w:val="18"/>
          <w:szCs w:val="18"/>
        </w:rPr>
        <w:t xml:space="preserve"> </w:t>
      </w:r>
      <w:r w:rsidR="009F37AE">
        <w:rPr>
          <w:rFonts w:ascii="Arial" w:hAnsi="Arial" w:cs="Arial"/>
          <w:sz w:val="18"/>
          <w:szCs w:val="18"/>
        </w:rPr>
        <w:t xml:space="preserve">With global IPO activity remaining low, </w:t>
      </w:r>
      <w:r w:rsidR="003B562F">
        <w:rPr>
          <w:rFonts w:ascii="Arial" w:hAnsi="Arial" w:cs="Arial"/>
          <w:sz w:val="18"/>
          <w:szCs w:val="18"/>
        </w:rPr>
        <w:t>HKEX accounted for 24% of global IPO funds raised</w:t>
      </w:r>
      <w:r w:rsidR="00C7754B">
        <w:rPr>
          <w:rFonts w:ascii="Arial" w:hAnsi="Arial" w:cs="Arial"/>
          <w:sz w:val="18"/>
          <w:szCs w:val="18"/>
        </w:rPr>
        <w:t xml:space="preserve"> in the first half of 2025</w:t>
      </w:r>
      <w:r w:rsidR="009F37AE">
        <w:rPr>
          <w:rFonts w:ascii="Arial" w:hAnsi="Arial" w:cs="Arial"/>
          <w:sz w:val="18"/>
          <w:szCs w:val="18"/>
        </w:rPr>
        <w:t xml:space="preserve">, and </w:t>
      </w:r>
      <w:r w:rsidR="00BC7E9A" w:rsidRPr="00BC7E9A">
        <w:rPr>
          <w:rFonts w:ascii="Arial" w:hAnsi="Arial" w:cs="Arial"/>
          <w:sz w:val="18"/>
          <w:szCs w:val="18"/>
        </w:rPr>
        <w:t xml:space="preserve">33% </w:t>
      </w:r>
      <w:r>
        <w:rPr>
          <w:rFonts w:ascii="Arial" w:hAnsi="Arial" w:cs="Arial"/>
          <w:sz w:val="18"/>
          <w:szCs w:val="18"/>
        </w:rPr>
        <w:t xml:space="preserve">of those funds </w:t>
      </w:r>
      <w:r w:rsidR="009F37AE">
        <w:rPr>
          <w:rFonts w:ascii="Arial" w:hAnsi="Arial" w:cs="Arial"/>
          <w:sz w:val="18"/>
          <w:szCs w:val="18"/>
        </w:rPr>
        <w:t>when</w:t>
      </w:r>
      <w:r>
        <w:rPr>
          <w:rFonts w:ascii="Arial" w:hAnsi="Arial" w:cs="Arial"/>
          <w:sz w:val="18"/>
          <w:szCs w:val="18"/>
        </w:rPr>
        <w:t xml:space="preserve"> aggregated</w:t>
      </w:r>
      <w:r w:rsidR="009F37AE">
        <w:rPr>
          <w:rFonts w:ascii="Arial" w:hAnsi="Arial" w:cs="Arial"/>
          <w:sz w:val="18"/>
          <w:szCs w:val="18"/>
        </w:rPr>
        <w:t xml:space="preserve"> with IPO funds raised on the Mainland’s A share market.</w:t>
      </w:r>
      <w:r w:rsidRPr="000954DC">
        <w:rPr>
          <w:rStyle w:val="ab"/>
          <w:rFonts w:ascii="Arial" w:hAnsi="Arial" w:cs="Arial"/>
          <w:sz w:val="20"/>
          <w:szCs w:val="20"/>
        </w:rPr>
        <w:footnoteReference w:id="8"/>
      </w:r>
      <w:r w:rsidR="00822409">
        <w:rPr>
          <w:rFonts w:ascii="Arial" w:hAnsi="Arial"/>
          <w:sz w:val="20"/>
          <w:szCs w:val="20"/>
        </w:rPr>
        <w:t xml:space="preserve"> </w:t>
      </w:r>
    </w:p>
    <w:p w:rsidR="0066035C" w:rsidRPr="00822409" w:rsidRDefault="0066035C" w:rsidP="003C328F">
      <w:pPr>
        <w:snapToGrid w:val="0"/>
        <w:spacing w:after="0" w:line="240" w:lineRule="auto"/>
        <w:contextualSpacing/>
        <w:jc w:val="both"/>
        <w:rPr>
          <w:rFonts w:ascii="Arial" w:hAnsi="Arial" w:cs="Arial"/>
          <w:sz w:val="18"/>
          <w:szCs w:val="18"/>
        </w:rPr>
      </w:pPr>
    </w:p>
    <w:p w:rsidR="00BE071C" w:rsidRDefault="009F37AE" w:rsidP="003C328F">
      <w:pPr>
        <w:snapToGrid w:val="0"/>
        <w:spacing w:after="0" w:line="240" w:lineRule="auto"/>
        <w:contextualSpacing/>
        <w:jc w:val="both"/>
        <w:rPr>
          <w:rFonts w:ascii="Arial" w:hAnsi="Arial" w:cs="Arial"/>
          <w:sz w:val="18"/>
          <w:szCs w:val="18"/>
        </w:rPr>
      </w:pPr>
      <w:r>
        <w:rPr>
          <w:rFonts w:ascii="Arial" w:hAnsi="Arial" w:cs="Arial"/>
          <w:sz w:val="18"/>
          <w:szCs w:val="18"/>
        </w:rPr>
        <w:t xml:space="preserve">Several </w:t>
      </w:r>
      <w:r w:rsidR="00716028">
        <w:rPr>
          <w:rFonts w:ascii="Arial" w:hAnsi="Arial" w:cs="Arial"/>
          <w:sz w:val="18"/>
          <w:szCs w:val="18"/>
        </w:rPr>
        <w:t xml:space="preserve">significant </w:t>
      </w:r>
      <w:r w:rsidR="00A81244">
        <w:rPr>
          <w:rFonts w:ascii="Arial" w:hAnsi="Arial" w:cs="Arial"/>
          <w:sz w:val="18"/>
          <w:szCs w:val="18"/>
        </w:rPr>
        <w:t xml:space="preserve">Mainland </w:t>
      </w:r>
      <w:r w:rsidR="004F2717">
        <w:rPr>
          <w:rFonts w:ascii="Arial" w:hAnsi="Arial" w:cs="Arial"/>
          <w:sz w:val="18"/>
          <w:szCs w:val="18"/>
        </w:rPr>
        <w:t xml:space="preserve">A+H </w:t>
      </w:r>
      <w:r>
        <w:rPr>
          <w:rFonts w:ascii="Arial" w:hAnsi="Arial" w:cs="Arial"/>
          <w:sz w:val="18"/>
          <w:szCs w:val="18"/>
        </w:rPr>
        <w:t xml:space="preserve">IPOs helped secure </w:t>
      </w:r>
      <w:proofErr w:type="spellStart"/>
      <w:r>
        <w:rPr>
          <w:rFonts w:ascii="Arial" w:hAnsi="Arial" w:cs="Arial"/>
          <w:sz w:val="18"/>
          <w:szCs w:val="18"/>
        </w:rPr>
        <w:t>HKEx’s</w:t>
      </w:r>
      <w:proofErr w:type="spellEnd"/>
      <w:r>
        <w:rPr>
          <w:rFonts w:ascii="Arial" w:hAnsi="Arial" w:cs="Arial"/>
          <w:sz w:val="18"/>
          <w:szCs w:val="18"/>
        </w:rPr>
        <w:t xml:space="preserve"> return to the top IPO-fundraising</w:t>
      </w:r>
      <w:r w:rsidR="000954DC">
        <w:rPr>
          <w:rFonts w:ascii="Arial" w:hAnsi="Arial" w:cs="Arial"/>
          <w:sz w:val="18"/>
          <w:szCs w:val="18"/>
        </w:rPr>
        <w:t xml:space="preserve"> spot</w:t>
      </w:r>
      <w:r>
        <w:rPr>
          <w:rFonts w:ascii="Arial" w:hAnsi="Arial" w:cs="Arial"/>
          <w:sz w:val="18"/>
          <w:szCs w:val="18"/>
        </w:rPr>
        <w:t xml:space="preserve">: these included </w:t>
      </w:r>
      <w:r w:rsidR="00A81244">
        <w:rPr>
          <w:rFonts w:ascii="Arial" w:hAnsi="Arial" w:cs="Arial"/>
          <w:sz w:val="18"/>
          <w:szCs w:val="18"/>
        </w:rPr>
        <w:t>the US$5.2 billion</w:t>
      </w:r>
      <w:r w:rsidR="00A81244" w:rsidRPr="00BE071C">
        <w:rPr>
          <w:rStyle w:val="ab"/>
          <w:rFonts w:ascii="Arial" w:hAnsi="Arial" w:cs="Arial"/>
          <w:sz w:val="18"/>
          <w:szCs w:val="18"/>
        </w:rPr>
        <w:footnoteReference w:id="9"/>
      </w:r>
      <w:r w:rsidR="00A81244">
        <w:rPr>
          <w:rFonts w:ascii="Arial" w:hAnsi="Arial" w:cs="Arial"/>
          <w:sz w:val="18"/>
          <w:szCs w:val="18"/>
        </w:rPr>
        <w:t xml:space="preserve"> secondary listing of </w:t>
      </w:r>
      <w:r w:rsidRPr="009F37AE">
        <w:rPr>
          <w:rFonts w:ascii="Arial" w:hAnsi="Arial" w:cs="Arial"/>
          <w:sz w:val="18"/>
          <w:szCs w:val="18"/>
        </w:rPr>
        <w:t>Contemporary Amperex Technology Co., Limited</w:t>
      </w:r>
      <w:r w:rsidR="00A81244">
        <w:rPr>
          <w:rFonts w:ascii="Arial" w:hAnsi="Arial" w:cs="Arial"/>
          <w:sz w:val="18"/>
          <w:szCs w:val="18"/>
        </w:rPr>
        <w:t xml:space="preserve">, </w:t>
      </w:r>
      <w:r w:rsidR="00A81244" w:rsidRPr="009F37AE">
        <w:rPr>
          <w:rFonts w:ascii="Arial" w:hAnsi="Arial" w:cs="Arial"/>
          <w:sz w:val="18"/>
          <w:szCs w:val="18"/>
        </w:rPr>
        <w:t>the world's largest electric vehicle battery manufacturer</w:t>
      </w:r>
      <w:r w:rsidR="00A81244">
        <w:rPr>
          <w:rFonts w:ascii="Arial" w:hAnsi="Arial" w:cs="Arial"/>
          <w:sz w:val="18"/>
          <w:szCs w:val="18"/>
        </w:rPr>
        <w:t>, on 20 May 2025</w:t>
      </w:r>
      <w:r w:rsidR="0045422E">
        <w:rPr>
          <w:rFonts w:ascii="Arial" w:hAnsi="Arial" w:cs="Arial"/>
          <w:sz w:val="18"/>
          <w:szCs w:val="18"/>
        </w:rPr>
        <w:t xml:space="preserve"> in the </w:t>
      </w:r>
      <w:r w:rsidR="00C7754B">
        <w:rPr>
          <w:rFonts w:ascii="Arial" w:hAnsi="Arial" w:cs="Arial"/>
          <w:sz w:val="18"/>
          <w:szCs w:val="18"/>
        </w:rPr>
        <w:t xml:space="preserve">world’s </w:t>
      </w:r>
      <w:r w:rsidR="0045422E">
        <w:rPr>
          <w:rFonts w:ascii="Arial" w:hAnsi="Arial" w:cs="Arial"/>
          <w:sz w:val="18"/>
          <w:szCs w:val="18"/>
        </w:rPr>
        <w:t>largest IPO of the year to date</w:t>
      </w:r>
      <w:r w:rsidR="00271042">
        <w:rPr>
          <w:rFonts w:ascii="Arial" w:hAnsi="Arial" w:cs="Arial"/>
          <w:sz w:val="18"/>
          <w:szCs w:val="18"/>
        </w:rPr>
        <w:t xml:space="preserve">. </w:t>
      </w:r>
      <w:r w:rsidR="00822409" w:rsidRPr="00822409">
        <w:rPr>
          <w:rFonts w:ascii="Arial" w:hAnsi="Arial" w:cs="Arial"/>
          <w:sz w:val="18"/>
          <w:szCs w:val="18"/>
        </w:rPr>
        <w:t>Conversely</w:t>
      </w:r>
      <w:r w:rsidR="00822409">
        <w:rPr>
          <w:rFonts w:ascii="Arial" w:hAnsi="Arial" w:cs="Arial"/>
          <w:sz w:val="18"/>
          <w:szCs w:val="18"/>
        </w:rPr>
        <w:t>, IPO funds raised by Mainland companies listing on the US market dropped in the first half of 2025 to just US$841 million, representing a 62% drop year-on-year</w:t>
      </w:r>
      <w:r w:rsidR="00BE071C">
        <w:rPr>
          <w:rFonts w:ascii="Arial" w:hAnsi="Arial" w:cs="Arial"/>
          <w:sz w:val="18"/>
          <w:szCs w:val="18"/>
        </w:rPr>
        <w:t>. This was in spite of a 44% increase in the number of Mainland IPOs on US exchanges and reflects a decrease in large Mainland IPOs on the US market</w:t>
      </w:r>
      <w:r w:rsidR="00822409">
        <w:rPr>
          <w:rFonts w:ascii="Arial" w:hAnsi="Arial" w:cs="Arial"/>
          <w:sz w:val="18"/>
          <w:szCs w:val="18"/>
        </w:rPr>
        <w:t xml:space="preserve">. </w:t>
      </w:r>
      <w:r w:rsidR="00262D7A">
        <w:rPr>
          <w:rFonts w:ascii="Arial" w:hAnsi="Arial" w:cs="Arial"/>
          <w:sz w:val="18"/>
          <w:szCs w:val="18"/>
        </w:rPr>
        <w:t xml:space="preserve">According </w:t>
      </w:r>
      <w:r w:rsidR="00822409">
        <w:rPr>
          <w:rFonts w:ascii="Arial" w:hAnsi="Arial" w:cs="Arial"/>
          <w:sz w:val="18"/>
          <w:szCs w:val="18"/>
        </w:rPr>
        <w:t xml:space="preserve">to </w:t>
      </w:r>
      <w:r w:rsidR="00262D7A">
        <w:rPr>
          <w:rFonts w:ascii="Arial" w:hAnsi="Arial" w:cs="Arial"/>
          <w:sz w:val="18"/>
          <w:szCs w:val="18"/>
        </w:rPr>
        <w:t xml:space="preserve">EY, </w:t>
      </w:r>
      <w:r w:rsidR="00822409">
        <w:rPr>
          <w:rFonts w:ascii="Arial" w:hAnsi="Arial" w:cs="Arial"/>
          <w:sz w:val="18"/>
          <w:szCs w:val="18"/>
        </w:rPr>
        <w:t xml:space="preserve">the </w:t>
      </w:r>
      <w:r w:rsidR="00262D7A">
        <w:rPr>
          <w:rFonts w:ascii="Arial" w:hAnsi="Arial" w:cs="Arial"/>
          <w:sz w:val="18"/>
          <w:szCs w:val="18"/>
        </w:rPr>
        <w:t xml:space="preserve">April 2025 </w:t>
      </w:r>
      <w:r w:rsidR="00822409">
        <w:rPr>
          <w:rFonts w:ascii="Arial" w:hAnsi="Arial" w:cs="Arial"/>
          <w:sz w:val="18"/>
          <w:szCs w:val="18"/>
        </w:rPr>
        <w:t xml:space="preserve">increase </w:t>
      </w:r>
      <w:r w:rsidR="002E0A66">
        <w:rPr>
          <w:rFonts w:ascii="Arial" w:hAnsi="Arial" w:cs="Arial"/>
          <w:sz w:val="18"/>
          <w:szCs w:val="18"/>
        </w:rPr>
        <w:t xml:space="preserve">in </w:t>
      </w:r>
      <w:r w:rsidR="00262D7A">
        <w:rPr>
          <w:rFonts w:ascii="Arial" w:hAnsi="Arial" w:cs="Arial"/>
          <w:sz w:val="18"/>
          <w:szCs w:val="18"/>
        </w:rPr>
        <w:t xml:space="preserve">the initial listing liquidity requirement for Nasdaq Global Market and Nasdaq Capital Market </w:t>
      </w:r>
      <w:r w:rsidR="00BE071C">
        <w:rPr>
          <w:rFonts w:ascii="Arial" w:hAnsi="Arial" w:cs="Arial"/>
          <w:sz w:val="18"/>
          <w:szCs w:val="18"/>
        </w:rPr>
        <w:t xml:space="preserve">has also proved challenging for SMEs. </w:t>
      </w:r>
    </w:p>
    <w:p w:rsidR="00DF0622" w:rsidRDefault="00DF0622" w:rsidP="003C328F">
      <w:pPr>
        <w:snapToGrid w:val="0"/>
        <w:spacing w:after="0" w:line="240" w:lineRule="auto"/>
        <w:contextualSpacing/>
        <w:jc w:val="both"/>
        <w:rPr>
          <w:rFonts w:ascii="Arial" w:hAnsi="Arial" w:cs="Arial"/>
          <w:sz w:val="18"/>
          <w:szCs w:val="18"/>
        </w:rPr>
      </w:pPr>
    </w:p>
    <w:p w:rsidR="009E192C" w:rsidRPr="00822409" w:rsidRDefault="00BE071C" w:rsidP="003C328F">
      <w:pPr>
        <w:snapToGrid w:val="0"/>
        <w:spacing w:after="0" w:line="240" w:lineRule="auto"/>
        <w:contextualSpacing/>
        <w:jc w:val="both"/>
        <w:rPr>
          <w:rFonts w:ascii="Arial" w:hAnsi="Arial" w:cs="Arial"/>
          <w:sz w:val="18"/>
          <w:szCs w:val="18"/>
        </w:rPr>
      </w:pPr>
      <w:r>
        <w:rPr>
          <w:rFonts w:ascii="Arial" w:hAnsi="Arial" w:cs="Arial"/>
          <w:sz w:val="18"/>
          <w:szCs w:val="18"/>
        </w:rPr>
        <w:t xml:space="preserve">In the Hong Kong IPO market, </w:t>
      </w:r>
      <w:r w:rsidR="00271042">
        <w:rPr>
          <w:rFonts w:ascii="Arial" w:hAnsi="Arial" w:cs="Arial"/>
          <w:sz w:val="18"/>
          <w:szCs w:val="18"/>
        </w:rPr>
        <w:t xml:space="preserve">Mainland companies continue to be </w:t>
      </w:r>
      <w:r w:rsidR="006D4D28">
        <w:rPr>
          <w:rFonts w:ascii="Arial" w:hAnsi="Arial" w:cs="Arial"/>
          <w:sz w:val="18"/>
          <w:szCs w:val="18"/>
        </w:rPr>
        <w:t>the primary play</w:t>
      </w:r>
      <w:r w:rsidR="009E192C">
        <w:rPr>
          <w:rFonts w:ascii="Arial" w:hAnsi="Arial" w:cs="Arial"/>
          <w:sz w:val="18"/>
          <w:szCs w:val="18"/>
        </w:rPr>
        <w:t xml:space="preserve">ers </w:t>
      </w:r>
      <w:r w:rsidR="0045422E">
        <w:rPr>
          <w:rFonts w:ascii="Arial" w:hAnsi="Arial" w:cs="Arial"/>
          <w:sz w:val="18"/>
          <w:szCs w:val="18"/>
        </w:rPr>
        <w:t>and, a</w:t>
      </w:r>
      <w:r w:rsidR="006D4D28">
        <w:rPr>
          <w:rFonts w:ascii="Arial" w:hAnsi="Arial" w:cs="Arial"/>
          <w:sz w:val="18"/>
          <w:szCs w:val="18"/>
        </w:rPr>
        <w:t xml:space="preserve">s noted in the HKEX’s </w:t>
      </w:r>
      <w:hyperlink r:id="rId12" w:history="1">
        <w:r w:rsidR="006D4D28" w:rsidRPr="006D4D28">
          <w:rPr>
            <w:rStyle w:val="a3"/>
            <w:rFonts w:ascii="Arial" w:hAnsi="Arial" w:cs="Arial"/>
            <w:sz w:val="18"/>
            <w:szCs w:val="18"/>
          </w:rPr>
          <w:t>31 March quarterly results</w:t>
        </w:r>
      </w:hyperlink>
      <w:r w:rsidR="006D4D28">
        <w:rPr>
          <w:rFonts w:ascii="Arial" w:hAnsi="Arial" w:cs="Arial"/>
          <w:sz w:val="18"/>
          <w:szCs w:val="18"/>
        </w:rPr>
        <w:t>,</w:t>
      </w:r>
      <w:r w:rsidR="006D4D28" w:rsidRPr="00BE071C">
        <w:rPr>
          <w:rStyle w:val="ab"/>
          <w:rFonts w:ascii="Arial" w:hAnsi="Arial" w:cs="Arial"/>
          <w:sz w:val="18"/>
          <w:szCs w:val="18"/>
        </w:rPr>
        <w:footnoteReference w:id="10"/>
      </w:r>
      <w:r w:rsidR="006D4D28" w:rsidRPr="00BE071C">
        <w:rPr>
          <w:rFonts w:ascii="Arial" w:hAnsi="Arial"/>
          <w:sz w:val="18"/>
          <w:szCs w:val="18"/>
        </w:rPr>
        <w:t xml:space="preserve"> </w:t>
      </w:r>
      <w:r w:rsidR="006D4D28" w:rsidRPr="006D4D28">
        <w:rPr>
          <w:rFonts w:ascii="Arial" w:hAnsi="Arial" w:cs="Arial"/>
          <w:sz w:val="18"/>
          <w:szCs w:val="18"/>
        </w:rPr>
        <w:t>renewed</w:t>
      </w:r>
      <w:r w:rsidR="006D4D28">
        <w:rPr>
          <w:rFonts w:ascii="Arial" w:hAnsi="Arial"/>
          <w:sz w:val="20"/>
          <w:szCs w:val="20"/>
        </w:rPr>
        <w:t xml:space="preserve"> </w:t>
      </w:r>
      <w:r w:rsidR="006D4D28" w:rsidRPr="006D4D28">
        <w:rPr>
          <w:rFonts w:ascii="Arial" w:hAnsi="Arial" w:cs="Arial"/>
          <w:sz w:val="18"/>
          <w:szCs w:val="18"/>
        </w:rPr>
        <w:t xml:space="preserve">investor interest in </w:t>
      </w:r>
      <w:r w:rsidR="000954DC">
        <w:rPr>
          <w:rFonts w:ascii="Arial" w:hAnsi="Arial" w:cs="Arial"/>
          <w:sz w:val="18"/>
          <w:szCs w:val="18"/>
        </w:rPr>
        <w:t xml:space="preserve">the </w:t>
      </w:r>
      <w:r w:rsidR="006D4D28" w:rsidRPr="006D4D28">
        <w:rPr>
          <w:rFonts w:ascii="Arial" w:hAnsi="Arial" w:cs="Arial"/>
          <w:sz w:val="18"/>
          <w:szCs w:val="18"/>
        </w:rPr>
        <w:t xml:space="preserve">tech </w:t>
      </w:r>
      <w:r w:rsidR="000954DC">
        <w:rPr>
          <w:rFonts w:ascii="Arial" w:hAnsi="Arial" w:cs="Arial"/>
          <w:sz w:val="18"/>
          <w:szCs w:val="18"/>
        </w:rPr>
        <w:t xml:space="preserve">sector </w:t>
      </w:r>
      <w:r w:rsidR="006D4D28" w:rsidRPr="006D4D28">
        <w:rPr>
          <w:rFonts w:ascii="Arial" w:hAnsi="Arial" w:cs="Arial"/>
          <w:sz w:val="18"/>
          <w:szCs w:val="18"/>
        </w:rPr>
        <w:t>has boosted</w:t>
      </w:r>
      <w:r w:rsidR="006D4D28">
        <w:rPr>
          <w:rFonts w:ascii="Arial" w:hAnsi="Arial" w:cs="Arial"/>
          <w:sz w:val="18"/>
          <w:szCs w:val="18"/>
        </w:rPr>
        <w:t xml:space="preserve"> the Hong Kong IPO market</w:t>
      </w:r>
      <w:r>
        <w:rPr>
          <w:rFonts w:ascii="Arial" w:hAnsi="Arial" w:cs="Arial"/>
          <w:sz w:val="18"/>
          <w:szCs w:val="18"/>
        </w:rPr>
        <w:t>,</w:t>
      </w:r>
      <w:r w:rsidR="006D4D28">
        <w:rPr>
          <w:rFonts w:ascii="Arial" w:hAnsi="Arial" w:cs="Arial"/>
          <w:sz w:val="18"/>
          <w:szCs w:val="18"/>
        </w:rPr>
        <w:t xml:space="preserve"> which has seen a number of A-share </w:t>
      </w:r>
      <w:r w:rsidR="00155668">
        <w:rPr>
          <w:rFonts w:ascii="Arial" w:hAnsi="Arial" w:cs="Arial"/>
          <w:sz w:val="18"/>
          <w:szCs w:val="18"/>
        </w:rPr>
        <w:t xml:space="preserve">tech </w:t>
      </w:r>
      <w:r w:rsidR="006D4D28">
        <w:rPr>
          <w:rFonts w:ascii="Arial" w:hAnsi="Arial" w:cs="Arial"/>
          <w:sz w:val="18"/>
          <w:szCs w:val="18"/>
        </w:rPr>
        <w:t>companies dual list</w:t>
      </w:r>
      <w:r w:rsidR="0045422E">
        <w:rPr>
          <w:rFonts w:ascii="Arial" w:hAnsi="Arial" w:cs="Arial"/>
          <w:sz w:val="18"/>
          <w:szCs w:val="18"/>
        </w:rPr>
        <w:t xml:space="preserve"> on the HKEX</w:t>
      </w:r>
      <w:r w:rsidR="006D4D28">
        <w:rPr>
          <w:rFonts w:ascii="Arial" w:hAnsi="Arial" w:cs="Arial"/>
          <w:sz w:val="18"/>
          <w:szCs w:val="18"/>
        </w:rPr>
        <w:t xml:space="preserve">. </w:t>
      </w:r>
      <w:r w:rsidR="001E2009">
        <w:rPr>
          <w:rFonts w:ascii="Arial" w:hAnsi="Arial" w:cs="Arial"/>
          <w:sz w:val="18"/>
          <w:szCs w:val="18"/>
        </w:rPr>
        <w:t>Possibly as a result of this, the</w:t>
      </w:r>
      <w:r w:rsidR="000203AB">
        <w:rPr>
          <w:rFonts w:ascii="Arial" w:hAnsi="Arial" w:cs="Arial"/>
          <w:sz w:val="18"/>
          <w:szCs w:val="18"/>
        </w:rPr>
        <w:t xml:space="preserve">re has been a significant </w:t>
      </w:r>
      <w:r w:rsidR="0027618F">
        <w:rPr>
          <w:rFonts w:ascii="Arial" w:hAnsi="Arial" w:cs="Arial"/>
          <w:sz w:val="18"/>
          <w:szCs w:val="18"/>
        </w:rPr>
        <w:t xml:space="preserve">increase in the </w:t>
      </w:r>
      <w:r w:rsidR="000203AB">
        <w:rPr>
          <w:rFonts w:ascii="Arial" w:hAnsi="Arial" w:cs="Arial"/>
          <w:sz w:val="18"/>
          <w:szCs w:val="18"/>
        </w:rPr>
        <w:t xml:space="preserve">number of </w:t>
      </w:r>
      <w:r w:rsidR="0027618F">
        <w:rPr>
          <w:rFonts w:ascii="Arial" w:hAnsi="Arial" w:cs="Arial"/>
          <w:sz w:val="18"/>
          <w:szCs w:val="18"/>
        </w:rPr>
        <w:t>HKEX IPOs hav</w:t>
      </w:r>
      <w:r w:rsidR="00F31CE1">
        <w:rPr>
          <w:rFonts w:ascii="Arial" w:hAnsi="Arial" w:cs="Arial"/>
          <w:sz w:val="18"/>
          <w:szCs w:val="18"/>
        </w:rPr>
        <w:t>ing</w:t>
      </w:r>
      <w:r w:rsidR="0027618F">
        <w:rPr>
          <w:rFonts w:ascii="Arial" w:hAnsi="Arial" w:cs="Arial"/>
          <w:sz w:val="18"/>
          <w:szCs w:val="18"/>
        </w:rPr>
        <w:t xml:space="preserve"> a </w:t>
      </w:r>
      <w:r w:rsidR="000203AB">
        <w:rPr>
          <w:rFonts w:ascii="Arial" w:hAnsi="Arial" w:cs="Arial"/>
          <w:sz w:val="18"/>
          <w:szCs w:val="18"/>
        </w:rPr>
        <w:t>Mainland invest</w:t>
      </w:r>
      <w:r w:rsidR="0027618F">
        <w:rPr>
          <w:rFonts w:ascii="Arial" w:hAnsi="Arial" w:cs="Arial"/>
          <w:sz w:val="18"/>
          <w:szCs w:val="18"/>
        </w:rPr>
        <w:t>ment bank</w:t>
      </w:r>
      <w:r w:rsidR="000203AB">
        <w:rPr>
          <w:rFonts w:ascii="Arial" w:hAnsi="Arial" w:cs="Arial"/>
          <w:sz w:val="18"/>
          <w:szCs w:val="18"/>
        </w:rPr>
        <w:t xml:space="preserve"> as </w:t>
      </w:r>
      <w:r w:rsidR="0027618F">
        <w:rPr>
          <w:rFonts w:ascii="Arial" w:hAnsi="Arial" w:cs="Arial"/>
          <w:sz w:val="18"/>
          <w:szCs w:val="18"/>
        </w:rPr>
        <w:t>the sole sponsor</w:t>
      </w:r>
      <w:r w:rsidR="00924E2F">
        <w:rPr>
          <w:rFonts w:ascii="Arial" w:hAnsi="Arial" w:cs="Arial"/>
          <w:sz w:val="18"/>
          <w:szCs w:val="18"/>
        </w:rPr>
        <w:t xml:space="preserve"> and a corresponding decrease in the number of IPOs sponsored by </w:t>
      </w:r>
      <w:r w:rsidR="000203AB">
        <w:rPr>
          <w:rFonts w:ascii="Arial" w:hAnsi="Arial" w:cs="Arial"/>
          <w:sz w:val="18"/>
          <w:szCs w:val="18"/>
        </w:rPr>
        <w:t>Hong Kong</w:t>
      </w:r>
      <w:r w:rsidR="00924E2F">
        <w:rPr>
          <w:rFonts w:ascii="Arial" w:hAnsi="Arial" w:cs="Arial"/>
          <w:sz w:val="18"/>
          <w:szCs w:val="18"/>
        </w:rPr>
        <w:t xml:space="preserve"> and overseas entities.</w:t>
      </w:r>
      <w:r w:rsidR="000203AB">
        <w:rPr>
          <w:rFonts w:ascii="Arial" w:hAnsi="Arial" w:cs="Arial"/>
          <w:sz w:val="18"/>
          <w:szCs w:val="18"/>
        </w:rPr>
        <w:t xml:space="preserve"> </w:t>
      </w:r>
      <w:r w:rsidR="00924E2F">
        <w:rPr>
          <w:rFonts w:ascii="Arial" w:hAnsi="Arial" w:cs="Arial"/>
          <w:sz w:val="18"/>
          <w:szCs w:val="18"/>
        </w:rPr>
        <w:t>D</w:t>
      </w:r>
      <w:r w:rsidR="004F2717">
        <w:rPr>
          <w:rFonts w:ascii="Arial" w:hAnsi="Arial" w:cs="Arial"/>
          <w:sz w:val="18"/>
          <w:szCs w:val="18"/>
        </w:rPr>
        <w:t xml:space="preserve">ual A+H listings allow Mainland companies to expand their international footholds and increase the number of international investors. </w:t>
      </w:r>
      <w:r w:rsidR="00716028">
        <w:rPr>
          <w:rFonts w:ascii="Arial" w:hAnsi="Arial" w:cs="Arial"/>
          <w:sz w:val="18"/>
          <w:szCs w:val="18"/>
        </w:rPr>
        <w:t>The biotech and healthcare sector and the retail and consumer products sectors</w:t>
      </w:r>
      <w:r>
        <w:rPr>
          <w:rFonts w:ascii="Arial" w:hAnsi="Arial" w:cs="Arial"/>
          <w:sz w:val="18"/>
          <w:szCs w:val="18"/>
        </w:rPr>
        <w:t xml:space="preserve"> also</w:t>
      </w:r>
      <w:r w:rsidR="00716028">
        <w:rPr>
          <w:rFonts w:ascii="Arial" w:hAnsi="Arial" w:cs="Arial"/>
          <w:sz w:val="18"/>
          <w:szCs w:val="18"/>
        </w:rPr>
        <w:t xml:space="preserve"> led jointly in </w:t>
      </w:r>
      <w:r w:rsidR="004F2717">
        <w:rPr>
          <w:rFonts w:ascii="Arial" w:hAnsi="Arial" w:cs="Arial"/>
          <w:sz w:val="18"/>
          <w:szCs w:val="18"/>
        </w:rPr>
        <w:t xml:space="preserve">terms of the number of </w:t>
      </w:r>
      <w:r>
        <w:rPr>
          <w:rFonts w:ascii="Arial" w:hAnsi="Arial" w:cs="Arial"/>
          <w:sz w:val="18"/>
          <w:szCs w:val="18"/>
        </w:rPr>
        <w:t xml:space="preserve">HKEX </w:t>
      </w:r>
      <w:r w:rsidR="00716028">
        <w:rPr>
          <w:rFonts w:ascii="Arial" w:hAnsi="Arial" w:cs="Arial"/>
          <w:sz w:val="18"/>
          <w:szCs w:val="18"/>
        </w:rPr>
        <w:t>IPOs in the first half</w:t>
      </w:r>
      <w:r w:rsidR="004F2717">
        <w:rPr>
          <w:rFonts w:ascii="Arial" w:hAnsi="Arial" w:cs="Arial"/>
          <w:sz w:val="18"/>
          <w:szCs w:val="18"/>
        </w:rPr>
        <w:t>, which came to a total of 40</w:t>
      </w:r>
      <w:r w:rsidR="00716028">
        <w:rPr>
          <w:rFonts w:ascii="Arial" w:hAnsi="Arial" w:cs="Arial"/>
          <w:sz w:val="18"/>
          <w:szCs w:val="18"/>
        </w:rPr>
        <w:t>.</w:t>
      </w:r>
      <w:r w:rsidR="004F2717" w:rsidRPr="0066035C">
        <w:rPr>
          <w:rStyle w:val="ab"/>
          <w:rFonts w:ascii="Arial" w:hAnsi="Arial" w:cs="Arial"/>
          <w:sz w:val="18"/>
          <w:szCs w:val="18"/>
        </w:rPr>
        <w:footnoteReference w:id="11"/>
      </w:r>
      <w:r w:rsidR="00716028" w:rsidRPr="0066035C">
        <w:rPr>
          <w:rStyle w:val="ab"/>
          <w:rFonts w:ascii="Arial" w:hAnsi="Arial"/>
          <w:sz w:val="18"/>
        </w:rPr>
        <w:t xml:space="preserve"> </w:t>
      </w:r>
    </w:p>
    <w:p w:rsidR="009E192C" w:rsidRPr="00822409" w:rsidRDefault="009E192C" w:rsidP="003C328F">
      <w:pPr>
        <w:snapToGrid w:val="0"/>
        <w:spacing w:after="0" w:line="240" w:lineRule="auto"/>
        <w:contextualSpacing/>
        <w:jc w:val="both"/>
        <w:rPr>
          <w:rFonts w:ascii="Arial" w:hAnsi="Arial" w:cs="Arial"/>
          <w:sz w:val="18"/>
          <w:szCs w:val="18"/>
        </w:rPr>
      </w:pPr>
    </w:p>
    <w:p w:rsidR="000954DC" w:rsidRDefault="009E192C" w:rsidP="003C328F">
      <w:pPr>
        <w:snapToGrid w:val="0"/>
        <w:spacing w:after="0" w:line="240" w:lineRule="auto"/>
        <w:contextualSpacing/>
        <w:jc w:val="both"/>
        <w:rPr>
          <w:rFonts w:ascii="Arial" w:hAnsi="Arial" w:cs="Arial"/>
          <w:sz w:val="18"/>
          <w:szCs w:val="18"/>
        </w:rPr>
      </w:pPr>
      <w:r>
        <w:rPr>
          <w:rFonts w:ascii="Arial" w:hAnsi="Arial" w:cs="Arial"/>
          <w:sz w:val="18"/>
          <w:szCs w:val="18"/>
        </w:rPr>
        <w:t>A</w:t>
      </w:r>
      <w:r w:rsidR="0045422E">
        <w:rPr>
          <w:rFonts w:ascii="Arial" w:hAnsi="Arial" w:cs="Arial"/>
          <w:sz w:val="18"/>
          <w:szCs w:val="18"/>
        </w:rPr>
        <w:t>nother</w:t>
      </w:r>
      <w:r>
        <w:rPr>
          <w:rFonts w:ascii="Arial" w:hAnsi="Arial" w:cs="Arial"/>
          <w:sz w:val="18"/>
          <w:szCs w:val="18"/>
        </w:rPr>
        <w:t xml:space="preserve"> key development has been the number of H share listings</w:t>
      </w:r>
      <w:r w:rsidR="00B41F8E">
        <w:rPr>
          <w:rFonts w:ascii="Arial" w:hAnsi="Arial" w:cs="Arial"/>
          <w:sz w:val="18"/>
          <w:szCs w:val="18"/>
        </w:rPr>
        <w:t xml:space="preserve"> which now significantly outnumber red</w:t>
      </w:r>
      <w:r w:rsidR="00924E2F">
        <w:rPr>
          <w:rFonts w:ascii="Arial" w:hAnsi="Arial" w:cs="Arial"/>
          <w:sz w:val="18"/>
          <w:szCs w:val="18"/>
        </w:rPr>
        <w:t xml:space="preserve"> </w:t>
      </w:r>
      <w:r w:rsidR="00B41F8E">
        <w:rPr>
          <w:rFonts w:ascii="Arial" w:hAnsi="Arial" w:cs="Arial"/>
          <w:sz w:val="18"/>
          <w:szCs w:val="18"/>
        </w:rPr>
        <w:t xml:space="preserve">chip listings </w:t>
      </w:r>
      <w:r w:rsidR="0045422E">
        <w:rPr>
          <w:rFonts w:ascii="Arial" w:hAnsi="Arial" w:cs="Arial"/>
          <w:sz w:val="18"/>
          <w:szCs w:val="18"/>
        </w:rPr>
        <w:t xml:space="preserve">on the HKEX </w:t>
      </w:r>
      <w:r w:rsidR="00B41F8E">
        <w:rPr>
          <w:rFonts w:ascii="Arial" w:hAnsi="Arial" w:cs="Arial"/>
          <w:sz w:val="18"/>
          <w:szCs w:val="18"/>
        </w:rPr>
        <w:t xml:space="preserve">following </w:t>
      </w:r>
      <w:hyperlink r:id="rId13" w:history="1">
        <w:r w:rsidR="00B41F8E" w:rsidRPr="00B41F8E">
          <w:rPr>
            <w:rStyle w:val="a3"/>
            <w:rFonts w:ascii="Arial" w:hAnsi="Arial" w:cs="Arial"/>
            <w:sz w:val="18"/>
            <w:szCs w:val="18"/>
          </w:rPr>
          <w:t>changes to the Mainland’s filing requirements for overseas-incorporated companies</w:t>
        </w:r>
      </w:hyperlink>
      <w:r w:rsidR="00B41F8E">
        <w:rPr>
          <w:rFonts w:ascii="Arial" w:hAnsi="Arial" w:cs="Arial"/>
          <w:sz w:val="18"/>
          <w:szCs w:val="18"/>
        </w:rPr>
        <w:t xml:space="preserve"> with their principal operations in the Mainland on 1 August 2023.</w:t>
      </w:r>
      <w:r w:rsidR="00B41F8E" w:rsidRPr="00BE071C">
        <w:rPr>
          <w:rFonts w:ascii="Arial" w:hAnsi="Arial" w:cs="Arial"/>
          <w:sz w:val="18"/>
          <w:szCs w:val="18"/>
          <w:vertAlign w:val="superscript"/>
        </w:rPr>
        <w:footnoteReference w:id="12"/>
      </w:r>
      <w:r w:rsidR="00BE071C">
        <w:rPr>
          <w:rFonts w:ascii="Arial" w:hAnsi="Arial" w:cs="Arial"/>
          <w:sz w:val="18"/>
          <w:szCs w:val="18"/>
        </w:rPr>
        <w:t xml:space="preserve"> </w:t>
      </w:r>
      <w:r w:rsidR="00B41F8E" w:rsidRPr="000954DC">
        <w:rPr>
          <w:rFonts w:ascii="Arial" w:hAnsi="Arial" w:cs="Arial"/>
          <w:sz w:val="18"/>
          <w:szCs w:val="18"/>
        </w:rPr>
        <w:t>These in</w:t>
      </w:r>
      <w:r w:rsidR="0045422E">
        <w:rPr>
          <w:rFonts w:ascii="Arial" w:hAnsi="Arial" w:cs="Arial"/>
          <w:sz w:val="18"/>
          <w:szCs w:val="18"/>
        </w:rPr>
        <w:t>troduc</w:t>
      </w:r>
      <w:r w:rsidR="00B41F8E" w:rsidRPr="000954DC">
        <w:rPr>
          <w:rFonts w:ascii="Arial" w:hAnsi="Arial" w:cs="Arial"/>
          <w:sz w:val="18"/>
          <w:szCs w:val="18"/>
        </w:rPr>
        <w:t>ed a new filing obligation for</w:t>
      </w:r>
      <w:r w:rsidR="000954DC" w:rsidRPr="000954DC">
        <w:rPr>
          <w:rFonts w:ascii="Arial" w:hAnsi="Arial" w:cs="Arial"/>
          <w:sz w:val="18"/>
          <w:szCs w:val="18"/>
        </w:rPr>
        <w:t xml:space="preserve"> both H-share companies and</w:t>
      </w:r>
      <w:r w:rsidR="00B41F8E" w:rsidRPr="000954DC">
        <w:rPr>
          <w:rFonts w:ascii="Arial" w:hAnsi="Arial" w:cs="Arial"/>
          <w:sz w:val="18"/>
          <w:szCs w:val="18"/>
        </w:rPr>
        <w:t xml:space="preserve"> offshore-incorporated companies operating principally in Hong Kong, including red</w:t>
      </w:r>
      <w:r w:rsidR="00924E2F">
        <w:rPr>
          <w:rFonts w:ascii="Arial" w:hAnsi="Arial" w:cs="Arial"/>
          <w:sz w:val="18"/>
          <w:szCs w:val="18"/>
        </w:rPr>
        <w:t xml:space="preserve"> </w:t>
      </w:r>
      <w:r w:rsidR="00B41F8E" w:rsidRPr="000954DC">
        <w:rPr>
          <w:rFonts w:ascii="Arial" w:hAnsi="Arial" w:cs="Arial"/>
          <w:sz w:val="18"/>
          <w:szCs w:val="18"/>
        </w:rPr>
        <w:t xml:space="preserve">chips and companies with </w:t>
      </w:r>
      <w:r w:rsidR="00C7754B">
        <w:rPr>
          <w:rFonts w:ascii="Arial" w:hAnsi="Arial" w:cs="Arial"/>
          <w:sz w:val="18"/>
          <w:szCs w:val="18"/>
        </w:rPr>
        <w:t xml:space="preserve">VIE </w:t>
      </w:r>
      <w:r w:rsidR="00B41F8E" w:rsidRPr="000954DC">
        <w:rPr>
          <w:rFonts w:ascii="Arial" w:hAnsi="Arial" w:cs="Arial"/>
          <w:sz w:val="18"/>
          <w:szCs w:val="18"/>
        </w:rPr>
        <w:t xml:space="preserve">structures, to register their offshore listings </w:t>
      </w:r>
      <w:r w:rsidR="000954DC" w:rsidRPr="000954DC">
        <w:rPr>
          <w:rFonts w:ascii="Arial" w:hAnsi="Arial" w:cs="Arial"/>
          <w:sz w:val="18"/>
          <w:szCs w:val="18"/>
        </w:rPr>
        <w:t>and securities offerings with the CSRC. Previously only H share listing applicants needed CSRC approval to list in Hong Kong.</w:t>
      </w:r>
    </w:p>
    <w:p w:rsidR="004F2717" w:rsidRDefault="004F2717" w:rsidP="003C328F">
      <w:pPr>
        <w:snapToGrid w:val="0"/>
        <w:spacing w:after="0" w:line="240" w:lineRule="auto"/>
        <w:contextualSpacing/>
        <w:jc w:val="both"/>
        <w:rPr>
          <w:rFonts w:ascii="Arial" w:hAnsi="Arial" w:cs="Arial"/>
          <w:sz w:val="18"/>
          <w:szCs w:val="18"/>
        </w:rPr>
      </w:pPr>
    </w:p>
    <w:p w:rsidR="004F2717" w:rsidRPr="004F2717" w:rsidRDefault="004F2717" w:rsidP="003C328F">
      <w:pPr>
        <w:snapToGrid w:val="0"/>
        <w:spacing w:after="0" w:line="240" w:lineRule="auto"/>
        <w:contextualSpacing/>
        <w:jc w:val="both"/>
        <w:rPr>
          <w:rFonts w:ascii="Arial" w:hAnsi="Arial" w:cs="Arial"/>
          <w:b/>
          <w:sz w:val="18"/>
          <w:szCs w:val="18"/>
        </w:rPr>
      </w:pPr>
      <w:r w:rsidRPr="004F2717">
        <w:rPr>
          <w:rFonts w:ascii="Arial" w:hAnsi="Arial" w:cs="Arial"/>
          <w:b/>
          <w:sz w:val="18"/>
          <w:szCs w:val="18"/>
        </w:rPr>
        <w:t xml:space="preserve">HKEX Launch of The Technology Enterprises Channel (TECH) </w:t>
      </w:r>
    </w:p>
    <w:p w:rsidR="004F2717" w:rsidRDefault="004F2717" w:rsidP="003C328F">
      <w:pPr>
        <w:snapToGrid w:val="0"/>
        <w:spacing w:after="0" w:line="240" w:lineRule="auto"/>
        <w:contextualSpacing/>
        <w:jc w:val="both"/>
        <w:rPr>
          <w:rFonts w:ascii="Arial" w:hAnsi="Arial" w:cs="Arial"/>
          <w:sz w:val="18"/>
          <w:szCs w:val="18"/>
        </w:rPr>
      </w:pPr>
    </w:p>
    <w:p w:rsidR="004F2717" w:rsidRPr="004F2717" w:rsidRDefault="004F2717" w:rsidP="004F2717">
      <w:pPr>
        <w:snapToGrid w:val="0"/>
        <w:spacing w:after="0" w:line="240" w:lineRule="auto"/>
        <w:contextualSpacing/>
        <w:jc w:val="both"/>
        <w:rPr>
          <w:rFonts w:ascii="Arial" w:hAnsi="Arial" w:cs="Arial"/>
          <w:sz w:val="18"/>
          <w:szCs w:val="18"/>
        </w:rPr>
      </w:pPr>
      <w:r>
        <w:rPr>
          <w:rFonts w:ascii="Arial" w:hAnsi="Arial" w:cs="Arial"/>
          <w:sz w:val="18"/>
          <w:szCs w:val="18"/>
        </w:rPr>
        <w:t xml:space="preserve">Facilitating the listing of Specialist Technology Companies and Biotech Companies under Chapters 18C and 18A of HKEX’s Main Board Listing Rules, the HKEX launched </w:t>
      </w:r>
      <w:r w:rsidRPr="004F2717">
        <w:rPr>
          <w:rFonts w:ascii="Arial" w:hAnsi="Arial" w:cs="Arial"/>
          <w:sz w:val="18"/>
          <w:szCs w:val="18"/>
        </w:rPr>
        <w:t>the Technology Enterprises Channel (</w:t>
      </w:r>
      <w:r w:rsidRPr="004F2717">
        <w:rPr>
          <w:rFonts w:ascii="Arial" w:hAnsi="Arial" w:cs="Arial"/>
          <w:b/>
          <w:sz w:val="18"/>
          <w:szCs w:val="18"/>
        </w:rPr>
        <w:t>TECH</w:t>
      </w:r>
      <w:r w:rsidRPr="004F2717">
        <w:rPr>
          <w:rFonts w:ascii="Arial" w:hAnsi="Arial" w:cs="Arial"/>
          <w:sz w:val="18"/>
          <w:szCs w:val="18"/>
        </w:rPr>
        <w:t xml:space="preserve">) </w:t>
      </w:r>
      <w:r>
        <w:rPr>
          <w:rFonts w:ascii="Arial" w:hAnsi="Arial" w:cs="Arial"/>
          <w:sz w:val="18"/>
          <w:szCs w:val="18"/>
        </w:rPr>
        <w:t xml:space="preserve">in May 2025 to provide early stage guidance to potential listing applicants </w:t>
      </w:r>
      <w:r w:rsidR="003C704D">
        <w:rPr>
          <w:rFonts w:ascii="Arial" w:hAnsi="Arial" w:cs="Arial"/>
          <w:sz w:val="18"/>
          <w:szCs w:val="18"/>
        </w:rPr>
        <w:t>in these sectors. TECH also introduced a new confidential filing option for these companies and simplified the requirements for those with a weighted voting rights structure. The introduction of TECH demonstrates HKEX’s keen interest in listing these pre-revenue companies with high growth potential. For further information on TECH, please see our newsletter “</w:t>
      </w:r>
      <w:hyperlink r:id="rId14" w:history="1">
        <w:r w:rsidR="003C704D" w:rsidRPr="003C704D">
          <w:rPr>
            <w:rStyle w:val="a3"/>
            <w:rFonts w:ascii="Arial" w:hAnsi="Arial" w:cs="Arial"/>
            <w:sz w:val="18"/>
            <w:szCs w:val="18"/>
          </w:rPr>
          <w:t>Hong Kong Launches Dedicated Technology Enterprises Channel (TECH) for the listing of Specialist Technology Companies and Biotech Companies</w:t>
        </w:r>
      </w:hyperlink>
      <w:r w:rsidR="003C704D">
        <w:rPr>
          <w:rFonts w:ascii="Arial" w:hAnsi="Arial" w:cs="Arial"/>
          <w:sz w:val="18"/>
          <w:szCs w:val="18"/>
        </w:rPr>
        <w:t>”.</w:t>
      </w:r>
      <w:r w:rsidR="003C704D" w:rsidRPr="003C704D">
        <w:rPr>
          <w:rStyle w:val="ab"/>
          <w:rFonts w:ascii="Arial" w:hAnsi="Arial" w:cs="Arial"/>
          <w:sz w:val="18"/>
          <w:szCs w:val="18"/>
        </w:rPr>
        <w:footnoteReference w:id="13"/>
      </w:r>
    </w:p>
    <w:p w:rsidR="009E192C" w:rsidRDefault="000954DC" w:rsidP="003C328F">
      <w:pPr>
        <w:snapToGrid w:val="0"/>
        <w:spacing w:after="0" w:line="240" w:lineRule="auto"/>
        <w:contextualSpacing/>
        <w:jc w:val="both"/>
        <w:rPr>
          <w:rFonts w:ascii="Arial" w:hAnsi="Arial" w:cs="Arial"/>
          <w:sz w:val="18"/>
          <w:szCs w:val="18"/>
        </w:rPr>
      </w:pPr>
      <w:r w:rsidRPr="000954DC">
        <w:rPr>
          <w:rFonts w:ascii="Arial" w:hAnsi="Arial" w:cs="Arial"/>
          <w:sz w:val="18"/>
          <w:szCs w:val="18"/>
        </w:rPr>
        <w:t xml:space="preserve"> </w:t>
      </w:r>
      <w:r w:rsidR="00B41F8E" w:rsidRPr="000954DC">
        <w:rPr>
          <w:rFonts w:ascii="Arial" w:hAnsi="Arial" w:cs="Arial"/>
          <w:sz w:val="18"/>
          <w:szCs w:val="18"/>
        </w:rPr>
        <w:t xml:space="preserve"> </w:t>
      </w:r>
    </w:p>
    <w:p w:rsidR="009F37AE" w:rsidRPr="009E192C" w:rsidRDefault="009E192C" w:rsidP="003C328F">
      <w:pPr>
        <w:snapToGrid w:val="0"/>
        <w:spacing w:after="0" w:line="240" w:lineRule="auto"/>
        <w:contextualSpacing/>
        <w:jc w:val="both"/>
        <w:rPr>
          <w:rFonts w:ascii="Arial" w:hAnsi="Arial" w:cs="Arial"/>
          <w:b/>
          <w:color w:val="FF0000"/>
          <w:sz w:val="18"/>
          <w:szCs w:val="18"/>
          <w:lang w:eastAsia="zh-TW"/>
        </w:rPr>
      </w:pPr>
      <w:r w:rsidRPr="009E192C">
        <w:rPr>
          <w:rFonts w:ascii="Arial" w:hAnsi="Arial" w:cs="Arial"/>
          <w:b/>
          <w:color w:val="FF0000"/>
          <w:sz w:val="18"/>
          <w:szCs w:val="18"/>
        </w:rPr>
        <w:lastRenderedPageBreak/>
        <w:t>Secondary Offerings on HKEX</w:t>
      </w:r>
      <w:r w:rsidR="006D4D28" w:rsidRPr="009E192C">
        <w:rPr>
          <w:rFonts w:ascii="Arial" w:hAnsi="Arial" w:cs="Arial"/>
          <w:b/>
          <w:color w:val="FF0000"/>
          <w:sz w:val="18"/>
          <w:szCs w:val="18"/>
        </w:rPr>
        <w:t xml:space="preserve"> </w:t>
      </w:r>
    </w:p>
    <w:p w:rsidR="009F37AE" w:rsidRDefault="009F37AE" w:rsidP="003C328F">
      <w:pPr>
        <w:snapToGrid w:val="0"/>
        <w:spacing w:after="0" w:line="240" w:lineRule="auto"/>
        <w:contextualSpacing/>
        <w:jc w:val="both"/>
        <w:rPr>
          <w:rFonts w:ascii="Arial" w:hAnsi="Arial" w:cs="Arial"/>
          <w:sz w:val="18"/>
          <w:szCs w:val="18"/>
        </w:rPr>
      </w:pPr>
    </w:p>
    <w:p w:rsidR="00D3193C" w:rsidRDefault="0045422E" w:rsidP="003C328F">
      <w:pPr>
        <w:snapToGrid w:val="0"/>
        <w:spacing w:after="0" w:line="240" w:lineRule="auto"/>
        <w:contextualSpacing/>
        <w:jc w:val="both"/>
        <w:rPr>
          <w:rFonts w:ascii="Arial" w:hAnsi="Arial" w:cs="Arial"/>
          <w:sz w:val="18"/>
          <w:szCs w:val="18"/>
        </w:rPr>
      </w:pPr>
      <w:r>
        <w:rPr>
          <w:rFonts w:ascii="Arial" w:hAnsi="Arial" w:cs="Arial"/>
          <w:sz w:val="18"/>
          <w:szCs w:val="18"/>
        </w:rPr>
        <w:t>T</w:t>
      </w:r>
      <w:r w:rsidR="009E192C" w:rsidRPr="009E192C">
        <w:rPr>
          <w:rFonts w:ascii="Arial" w:hAnsi="Arial" w:cs="Arial"/>
          <w:sz w:val="18"/>
          <w:szCs w:val="18"/>
        </w:rPr>
        <w:t>he first half of 2025</w:t>
      </w:r>
      <w:r>
        <w:rPr>
          <w:rFonts w:ascii="Arial" w:hAnsi="Arial" w:cs="Arial"/>
          <w:sz w:val="18"/>
          <w:szCs w:val="18"/>
        </w:rPr>
        <w:t xml:space="preserve"> </w:t>
      </w:r>
      <w:r w:rsidR="009E192C" w:rsidRPr="009E192C">
        <w:rPr>
          <w:rFonts w:ascii="Arial" w:hAnsi="Arial" w:cs="Arial"/>
          <w:sz w:val="18"/>
          <w:szCs w:val="18"/>
        </w:rPr>
        <w:t>also saw the largest follow-on offerings by H</w:t>
      </w:r>
      <w:r>
        <w:rPr>
          <w:rFonts w:ascii="Arial" w:hAnsi="Arial" w:cs="Arial"/>
          <w:sz w:val="18"/>
          <w:szCs w:val="18"/>
        </w:rPr>
        <w:t>KEX-listed companies since 2021,</w:t>
      </w:r>
      <w:r w:rsidR="009E192C" w:rsidRPr="009E192C">
        <w:rPr>
          <w:rStyle w:val="ab"/>
          <w:rFonts w:ascii="Arial" w:hAnsi="Arial" w:cs="Arial"/>
          <w:sz w:val="20"/>
          <w:szCs w:val="20"/>
        </w:rPr>
        <w:footnoteReference w:id="14"/>
      </w:r>
      <w:r w:rsidR="009E192C" w:rsidRPr="009E192C">
        <w:rPr>
          <w:rStyle w:val="ab"/>
          <w:rFonts w:ascii="Arial" w:hAnsi="Arial"/>
          <w:sz w:val="20"/>
          <w:szCs w:val="20"/>
        </w:rPr>
        <w:t xml:space="preserve"> </w:t>
      </w:r>
      <w:r w:rsidR="009E192C" w:rsidRPr="009E192C">
        <w:rPr>
          <w:rFonts w:ascii="Arial" w:hAnsi="Arial" w:cs="Arial"/>
          <w:sz w:val="18"/>
          <w:szCs w:val="18"/>
        </w:rPr>
        <w:t>inclu</w:t>
      </w:r>
      <w:r>
        <w:rPr>
          <w:rFonts w:ascii="Arial" w:hAnsi="Arial" w:cs="Arial"/>
          <w:sz w:val="18"/>
          <w:szCs w:val="18"/>
        </w:rPr>
        <w:t>ding</w:t>
      </w:r>
      <w:r w:rsidR="009E192C" w:rsidRPr="009E192C">
        <w:rPr>
          <w:rFonts w:ascii="Arial" w:hAnsi="Arial" w:cs="Arial"/>
          <w:sz w:val="18"/>
          <w:szCs w:val="18"/>
        </w:rPr>
        <w:t xml:space="preserve"> placings by BYD Company Limited and Xiaomi Corporation</w:t>
      </w:r>
      <w:r>
        <w:rPr>
          <w:rFonts w:ascii="Arial" w:hAnsi="Arial" w:cs="Arial"/>
          <w:sz w:val="18"/>
          <w:szCs w:val="18"/>
        </w:rPr>
        <w:t>, which</w:t>
      </w:r>
      <w:r w:rsidR="009E192C" w:rsidRPr="009E192C">
        <w:rPr>
          <w:rFonts w:ascii="Arial" w:hAnsi="Arial" w:cs="Arial"/>
          <w:sz w:val="18"/>
          <w:szCs w:val="18"/>
        </w:rPr>
        <w:t xml:space="preserve"> </w:t>
      </w:r>
      <w:r>
        <w:rPr>
          <w:rFonts w:ascii="Arial" w:hAnsi="Arial" w:cs="Arial"/>
          <w:sz w:val="18"/>
          <w:szCs w:val="18"/>
        </w:rPr>
        <w:t>raised</w:t>
      </w:r>
      <w:r w:rsidR="009E192C" w:rsidRPr="009E192C">
        <w:rPr>
          <w:rFonts w:ascii="Arial" w:hAnsi="Arial" w:cs="Arial"/>
          <w:sz w:val="18"/>
          <w:szCs w:val="18"/>
        </w:rPr>
        <w:t xml:space="preserve"> HK$43.5 billion and HK$42.6 billion, respectively</w:t>
      </w:r>
      <w:r w:rsidR="009E192C">
        <w:rPr>
          <w:rFonts w:ascii="Arial" w:hAnsi="Arial" w:cs="Arial"/>
          <w:sz w:val="18"/>
          <w:szCs w:val="18"/>
        </w:rPr>
        <w:t>.</w:t>
      </w:r>
    </w:p>
    <w:p w:rsidR="00DF0622" w:rsidRDefault="00DF0622" w:rsidP="003C328F">
      <w:pPr>
        <w:snapToGrid w:val="0"/>
        <w:spacing w:after="0" w:line="240" w:lineRule="auto"/>
        <w:contextualSpacing/>
        <w:jc w:val="both"/>
        <w:rPr>
          <w:rFonts w:ascii="Arial" w:hAnsi="Arial" w:cs="Arial"/>
          <w:sz w:val="18"/>
          <w:szCs w:val="18"/>
        </w:rPr>
      </w:pPr>
    </w:p>
    <w:p w:rsidR="00DF0622" w:rsidRDefault="00DF0622" w:rsidP="003C328F">
      <w:pPr>
        <w:snapToGrid w:val="0"/>
        <w:spacing w:after="0" w:line="240" w:lineRule="auto"/>
        <w:contextualSpacing/>
        <w:jc w:val="both"/>
        <w:rPr>
          <w:rFonts w:ascii="Arial" w:hAnsi="Arial" w:cs="Arial"/>
          <w:b/>
          <w:color w:val="FF0000"/>
          <w:sz w:val="18"/>
          <w:szCs w:val="18"/>
        </w:rPr>
      </w:pPr>
      <w:r w:rsidRPr="00DF0622">
        <w:rPr>
          <w:rFonts w:ascii="Arial" w:hAnsi="Arial" w:cs="Arial"/>
          <w:b/>
          <w:color w:val="FF0000"/>
          <w:sz w:val="18"/>
          <w:szCs w:val="18"/>
        </w:rPr>
        <w:t>HKEX IPO Forecast for Rest of 2025</w:t>
      </w:r>
    </w:p>
    <w:p w:rsidR="00DF0622" w:rsidRDefault="00DF0622" w:rsidP="003C328F">
      <w:pPr>
        <w:snapToGrid w:val="0"/>
        <w:spacing w:after="0" w:line="240" w:lineRule="auto"/>
        <w:contextualSpacing/>
        <w:jc w:val="both"/>
        <w:rPr>
          <w:rFonts w:ascii="Arial" w:hAnsi="Arial" w:cs="Arial"/>
          <w:b/>
          <w:color w:val="FF0000"/>
          <w:sz w:val="18"/>
          <w:szCs w:val="18"/>
        </w:rPr>
      </w:pPr>
    </w:p>
    <w:p w:rsidR="00826AA9" w:rsidRPr="00CF7D5B" w:rsidRDefault="00DF0622" w:rsidP="00DF0622">
      <w:pPr>
        <w:snapToGrid w:val="0"/>
        <w:spacing w:after="0" w:line="240" w:lineRule="auto"/>
        <w:contextualSpacing/>
        <w:jc w:val="both"/>
        <w:rPr>
          <w:rFonts w:ascii="Arial" w:hAnsi="Arial" w:cs="Arial"/>
          <w:sz w:val="18"/>
          <w:szCs w:val="18"/>
        </w:rPr>
      </w:pPr>
      <w:r>
        <w:rPr>
          <w:rFonts w:ascii="Arial" w:hAnsi="Arial" w:cs="Arial"/>
          <w:sz w:val="18"/>
          <w:szCs w:val="18"/>
        </w:rPr>
        <w:t xml:space="preserve">H-share listings of domestically-listed Mainland companies are expected to continue to drive the Hong Kong IPO market in 2025, according to EY. Other factors suggesting that Mainland IPOs will continue to dominate are the accelerated timetable for listing eligible A share-listed companies under the </w:t>
      </w:r>
      <w:hyperlink r:id="rId15" w:history="1">
        <w:r w:rsidRPr="00DF0622">
          <w:rPr>
            <w:rStyle w:val="a3"/>
            <w:rFonts w:ascii="Arial" w:hAnsi="Arial" w:cs="Arial"/>
            <w:sz w:val="18"/>
            <w:szCs w:val="18"/>
          </w:rPr>
          <w:t>HKEX/SFC Joint Statement on Enhanced Timeframe for New Listing Application Process</w:t>
        </w:r>
      </w:hyperlink>
      <w:r w:rsidRPr="00DF0622">
        <w:rPr>
          <w:rStyle w:val="ab"/>
          <w:rFonts w:ascii="Arial" w:hAnsi="Arial" w:cs="Arial"/>
          <w:sz w:val="18"/>
          <w:szCs w:val="18"/>
        </w:rPr>
        <w:footnoteReference w:id="15"/>
      </w:r>
      <w:r w:rsidRPr="00DF0622">
        <w:rPr>
          <w:rFonts w:ascii="Arial" w:hAnsi="Arial" w:cs="Arial"/>
          <w:sz w:val="18"/>
          <w:szCs w:val="18"/>
        </w:rPr>
        <w:t xml:space="preserve"> </w:t>
      </w:r>
      <w:r>
        <w:rPr>
          <w:rFonts w:ascii="Arial" w:hAnsi="Arial" w:cs="Arial"/>
          <w:sz w:val="18"/>
          <w:szCs w:val="18"/>
        </w:rPr>
        <w:t>issued in October 2024</w:t>
      </w:r>
      <w:r w:rsidR="00E87E70">
        <w:rPr>
          <w:rFonts w:ascii="Arial" w:hAnsi="Arial" w:cs="Arial"/>
          <w:sz w:val="18"/>
          <w:szCs w:val="18"/>
        </w:rPr>
        <w:t>, the launch of TECH as well as renewed investor interest in Mainland concept stocks.</w:t>
      </w:r>
      <w:r w:rsidR="00E87E70" w:rsidRPr="00E87E70">
        <w:rPr>
          <w:rStyle w:val="ab"/>
          <w:rFonts w:ascii="Arial" w:hAnsi="Arial" w:cs="Arial"/>
          <w:sz w:val="18"/>
          <w:szCs w:val="18"/>
        </w:rPr>
        <w:footnoteReference w:id="16"/>
      </w:r>
      <w:r w:rsidRPr="00E87E70">
        <w:rPr>
          <w:rFonts w:ascii="Arial" w:hAnsi="Arial" w:cs="Arial"/>
          <w:sz w:val="18"/>
          <w:szCs w:val="18"/>
        </w:rPr>
        <w:t xml:space="preserve"> </w:t>
      </w:r>
    </w:p>
    <w:p w:rsidR="00826AA9" w:rsidRDefault="00826AA9" w:rsidP="00826AA9">
      <w:pPr>
        <w:snapToGrid w:val="0"/>
        <w:spacing w:after="0" w:line="240" w:lineRule="auto"/>
        <w:contextualSpacing/>
        <w:jc w:val="both"/>
      </w:pPr>
    </w:p>
    <w:p w:rsidR="00826AA9" w:rsidRDefault="00826AA9" w:rsidP="00826AA9">
      <w:pPr>
        <w:pStyle w:val="DisclaimerBold"/>
      </w:pPr>
      <w:r>
        <w:t>This newsletter is for information purposes only.</w:t>
      </w:r>
    </w:p>
    <w:p w:rsidR="00826AA9" w:rsidRDefault="00826AA9" w:rsidP="00826AA9">
      <w:pPr>
        <w:pStyle w:val="Disclaimer"/>
      </w:pPr>
      <w:r>
        <w:t xml:space="preserve">Its contents do not constitute legal advice and it </w:t>
      </w:r>
      <w:proofErr w:type="gramStart"/>
      <w:r>
        <w:t>should  not</w:t>
      </w:r>
      <w:proofErr w:type="gramEnd"/>
      <w:r>
        <w:t xml:space="preserve"> be regarded as a substitute for detailed </w:t>
      </w:r>
      <w:proofErr w:type="gramStart"/>
      <w:r>
        <w:t>advice  in</w:t>
      </w:r>
      <w:proofErr w:type="gramEnd"/>
      <w:r>
        <w:t xml:space="preserve"> individual cases.</w:t>
      </w:r>
    </w:p>
    <w:p w:rsidR="00826AA9" w:rsidRDefault="00826AA9" w:rsidP="00826AA9">
      <w:pPr>
        <w:pStyle w:val="Disclaimer"/>
      </w:pPr>
      <w:r>
        <w:t xml:space="preserve">Transmission of this information is not intended to create and receipt does not constitute a lawyer-client relationship between </w:t>
      </w:r>
      <w:proofErr w:type="spellStart"/>
      <w:r>
        <w:t>Charltons</w:t>
      </w:r>
      <w:proofErr w:type="spellEnd"/>
      <w:r>
        <w:t xml:space="preserve"> and the user or browser.</w:t>
      </w:r>
    </w:p>
    <w:p w:rsidR="00826AA9" w:rsidRDefault="00826AA9" w:rsidP="00826AA9">
      <w:pPr>
        <w:pStyle w:val="Disclaimer"/>
      </w:pPr>
      <w:proofErr w:type="spellStart"/>
      <w:r>
        <w:t>Charltons</w:t>
      </w:r>
      <w:proofErr w:type="spellEnd"/>
      <w:r>
        <w:t xml:space="preserve"> is not responsible for any third party content which can be accessed through the website.</w:t>
      </w:r>
    </w:p>
    <w:p w:rsidR="00F64BEB" w:rsidRPr="00F64BEB" w:rsidRDefault="00826AA9" w:rsidP="00826AA9">
      <w:pPr>
        <w:pStyle w:val="Disclaimer"/>
      </w:pPr>
      <w:r>
        <w:t xml:space="preserve">If you do not wish to receive this newsletter please let us know by emailing us at  </w:t>
      </w:r>
      <w:hyperlink r:id="rId16">
        <w:r>
          <w:t>unsubscribe@charltonslaw.com</w:t>
        </w:r>
      </w:hyperlink>
    </w:p>
    <w:bookmarkEnd w:id="0"/>
    <w:p w:rsidR="00DF0622" w:rsidRPr="00826AA9" w:rsidRDefault="00826AA9" w:rsidP="00826AA9">
      <w:pPr>
        <w:shd w:val="clear" w:color="auto" w:fill="000000"/>
        <w:snapToGrid w:val="0"/>
        <w:spacing w:after="0" w:line="240" w:lineRule="auto"/>
        <w:contextualSpacing/>
        <w:jc w:val="center"/>
        <w:rPr>
          <w:rFonts w:ascii="Arial" w:eastAsia="Cambria" w:hAnsi="Arial" w:cs="Arial"/>
          <w:color w:val="FFFFFF"/>
          <w:sz w:val="18"/>
          <w:szCs w:val="18"/>
          <w:lang w:eastAsia="zh-TW"/>
        </w:rPr>
      </w:pPr>
      <w:proofErr w:type="spellStart"/>
      <w:r w:rsidRPr="00E550D6">
        <w:rPr>
          <w:rFonts w:ascii="Arial" w:eastAsia="Cambria" w:hAnsi="Arial" w:cs="Arial"/>
          <w:color w:val="FFFFFF"/>
          <w:sz w:val="18"/>
          <w:szCs w:val="18"/>
          <w:lang w:eastAsia="zh-TW"/>
        </w:rPr>
        <w:t>Charltons</w:t>
      </w:r>
      <w:proofErr w:type="spellEnd"/>
      <w:r w:rsidRPr="00E550D6">
        <w:rPr>
          <w:rFonts w:ascii="Arial" w:eastAsia="Cambria" w:hAnsi="Arial" w:cs="Arial"/>
          <w:color w:val="FFFFFF"/>
          <w:sz w:val="18"/>
          <w:szCs w:val="18"/>
          <w:lang w:eastAsia="zh-TW"/>
        </w:rPr>
        <w:t xml:space="preserve"> - Hong Kong Law </w:t>
      </w:r>
      <w:proofErr w:type="gramStart"/>
      <w:r w:rsidRPr="00E550D6">
        <w:rPr>
          <w:rFonts w:ascii="Arial" w:eastAsia="Cambria" w:hAnsi="Arial" w:cs="Arial"/>
          <w:color w:val="FFFFFF"/>
          <w:sz w:val="18"/>
          <w:szCs w:val="18"/>
          <w:lang w:eastAsia="zh-TW"/>
        </w:rPr>
        <w:t xml:space="preserve">-  </w:t>
      </w:r>
      <w:r>
        <w:rPr>
          <w:rFonts w:ascii="Arial" w:eastAsia="Cambria" w:hAnsi="Arial" w:cs="Arial"/>
          <w:color w:val="FFFFFF" w:themeColor="background1"/>
          <w:sz w:val="18"/>
          <w:szCs w:val="18"/>
          <w:lang w:eastAsia="zh-TW"/>
        </w:rPr>
        <w:t>June</w:t>
      </w:r>
      <w:proofErr w:type="gramEnd"/>
      <w:r w:rsidRPr="00E70DE1">
        <w:rPr>
          <w:rFonts w:ascii="Arial" w:eastAsia="Cambria" w:hAnsi="Arial" w:cs="Arial"/>
          <w:color w:val="FFFFFF" w:themeColor="background1"/>
          <w:sz w:val="18"/>
          <w:szCs w:val="18"/>
          <w:lang w:eastAsia="zh-TW"/>
        </w:rPr>
        <w:t xml:space="preserve"> 2025</w:t>
      </w:r>
    </w:p>
    <w:sectPr w:rsidR="00DF0622" w:rsidRPr="00826AA9" w:rsidSect="00FB0D37">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632" w:rsidRDefault="00852632">
      <w:pPr>
        <w:spacing w:after="0" w:line="240" w:lineRule="auto"/>
      </w:pPr>
      <w:r>
        <w:separator/>
      </w:r>
    </w:p>
  </w:endnote>
  <w:endnote w:type="continuationSeparator" w:id="0">
    <w:p w:rsidR="00852632" w:rsidRDefault="0085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599338779"/>
      <w:docPartObj>
        <w:docPartGallery w:val="Page Numbers (Bottom of Page)"/>
        <w:docPartUnique/>
      </w:docPartObj>
    </w:sdtPr>
    <w:sdtContent>
      <w:p w:rsidR="005E0A0B" w:rsidRDefault="005E0A0B" w:rsidP="00F60D27">
        <w:pPr>
          <w:pStyle w:val="a7"/>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rsidR="005E0A0B" w:rsidRDefault="005E0A0B" w:rsidP="00F60D2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1865545280"/>
      <w:docPartObj>
        <w:docPartGallery w:val="Page Numbers (Bottom of Page)"/>
        <w:docPartUnique/>
      </w:docPartObj>
    </w:sdtPr>
    <w:sdtContent>
      <w:p w:rsidR="005E0A0B" w:rsidRDefault="005E0A0B" w:rsidP="00F60D27">
        <w:pPr>
          <w:pStyle w:val="a7"/>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sidR="00BE4CBF">
          <w:rPr>
            <w:rStyle w:val="af5"/>
            <w:noProof/>
          </w:rPr>
          <w:t>4</w:t>
        </w:r>
        <w:r>
          <w:rPr>
            <w:rStyle w:val="af5"/>
          </w:rPr>
          <w:fldChar w:fldCharType="end"/>
        </w:r>
      </w:p>
    </w:sdtContent>
  </w:sdt>
  <w:p w:rsidR="005E0A0B" w:rsidRDefault="005E0A0B" w:rsidP="00F60D2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632" w:rsidRDefault="00852632">
      <w:r>
        <w:separator/>
      </w:r>
    </w:p>
  </w:footnote>
  <w:footnote w:type="continuationSeparator" w:id="0">
    <w:p w:rsidR="00852632" w:rsidRDefault="00852632">
      <w:r>
        <w:continuationSeparator/>
      </w:r>
    </w:p>
  </w:footnote>
  <w:footnote w:id="1">
    <w:p w:rsidR="00253AD9" w:rsidRPr="00882CB8" w:rsidRDefault="00253AD9" w:rsidP="00253AD9">
      <w:pPr>
        <w:pStyle w:val="a9"/>
        <w:rPr>
          <w:rFonts w:ascii="Arial" w:hAnsi="Arial" w:cs="Arial"/>
          <w:sz w:val="18"/>
          <w:szCs w:val="18"/>
          <w:lang w:eastAsia="zh-CN"/>
        </w:rPr>
      </w:pPr>
      <w:r w:rsidRPr="00882CB8">
        <w:rPr>
          <w:rStyle w:val="ab"/>
          <w:rFonts w:ascii="Arial" w:hAnsi="Arial" w:cs="Arial"/>
          <w:sz w:val="18"/>
          <w:szCs w:val="18"/>
        </w:rPr>
        <w:footnoteRef/>
      </w:r>
      <w:r w:rsidR="00FE26DF">
        <w:rPr>
          <w:rFonts w:ascii="Arial" w:hAnsi="Arial" w:cs="Arial"/>
          <w:sz w:val="18"/>
          <w:szCs w:val="18"/>
          <w:lang w:eastAsia="zh-CN"/>
        </w:rPr>
        <w:t xml:space="preserve"> The </w:t>
      </w:r>
      <w:r w:rsidR="0066035C">
        <w:rPr>
          <w:rFonts w:ascii="Arial" w:hAnsi="Arial" w:cs="Arial"/>
          <w:sz w:val="18"/>
          <w:szCs w:val="18"/>
          <w:lang w:eastAsia="zh-CN"/>
        </w:rPr>
        <w:t xml:space="preserve">PRC </w:t>
      </w:r>
      <w:r w:rsidR="00FE26DF">
        <w:rPr>
          <w:rFonts w:ascii="Arial" w:hAnsi="Arial" w:cs="Arial"/>
          <w:sz w:val="18"/>
          <w:szCs w:val="18"/>
          <w:lang w:eastAsia="zh-CN"/>
        </w:rPr>
        <w:t>State Council</w:t>
      </w:r>
      <w:r w:rsidR="0066035C">
        <w:rPr>
          <w:rFonts w:ascii="Arial" w:hAnsi="Arial" w:cs="Arial"/>
          <w:sz w:val="18"/>
          <w:szCs w:val="18"/>
          <w:lang w:eastAsia="zh-CN"/>
        </w:rPr>
        <w:t>. 10 June 2025. “</w:t>
      </w:r>
      <w:r w:rsidR="0066035C" w:rsidRPr="0066035C">
        <w:rPr>
          <w:rFonts w:ascii="Arial" w:hAnsi="Arial" w:cs="Arial"/>
          <w:i/>
          <w:sz w:val="18"/>
          <w:szCs w:val="18"/>
          <w:lang w:eastAsia="zh-CN"/>
        </w:rPr>
        <w:t>China Unveils Guidelines to Deepen Reforms in Shenzhen</w:t>
      </w:r>
      <w:r w:rsidR="0066035C">
        <w:rPr>
          <w:rFonts w:ascii="Arial" w:hAnsi="Arial" w:cs="Arial"/>
          <w:sz w:val="18"/>
          <w:szCs w:val="18"/>
          <w:lang w:eastAsia="zh-CN"/>
        </w:rPr>
        <w:t xml:space="preserve">”. Available at: </w:t>
      </w:r>
      <w:r w:rsidR="0066035C" w:rsidRPr="0066035C">
        <w:rPr>
          <w:rFonts w:ascii="Arial" w:hAnsi="Arial" w:cs="Arial"/>
          <w:sz w:val="18"/>
          <w:szCs w:val="18"/>
          <w:lang w:eastAsia="zh-CN"/>
        </w:rPr>
        <w:t>https://english.www.gov.cn/policies/latestreleases/202506/10/content_WS684823b4c6d0868f4e8f33d1.html</w:t>
      </w:r>
      <w:r w:rsidR="0066035C">
        <w:rPr>
          <w:rFonts w:ascii="Arial" w:hAnsi="Arial" w:cs="Arial"/>
          <w:sz w:val="18"/>
          <w:szCs w:val="18"/>
          <w:lang w:eastAsia="zh-CN"/>
        </w:rPr>
        <w:t xml:space="preserve">   </w:t>
      </w:r>
      <w:proofErr w:type="gramStart"/>
      <w:r w:rsidR="0066035C">
        <w:rPr>
          <w:rFonts w:ascii="Arial" w:hAnsi="Arial" w:cs="Arial"/>
          <w:sz w:val="18"/>
          <w:szCs w:val="18"/>
          <w:lang w:eastAsia="zh-CN"/>
        </w:rPr>
        <w:t xml:space="preserve">   “</w:t>
      </w:r>
      <w:proofErr w:type="gramEnd"/>
      <w:r w:rsidR="0066035C">
        <w:rPr>
          <w:rFonts w:ascii="Arial" w:hAnsi="Arial" w:cs="Arial"/>
          <w:sz w:val="18"/>
          <w:szCs w:val="18"/>
          <w:lang w:eastAsia="zh-CN"/>
        </w:rPr>
        <w:t xml:space="preserve"> </w:t>
      </w:r>
      <w:r w:rsidRPr="00882CB8">
        <w:rPr>
          <w:rFonts w:ascii="Arial" w:hAnsi="Arial" w:cs="Arial"/>
          <w:sz w:val="18"/>
          <w:szCs w:val="18"/>
          <w:lang w:eastAsia="zh-CN"/>
        </w:rPr>
        <w:t xml:space="preserve">https://english.www.gov.cn/policies/latestreleases/202506/10/content_WS684823b4c6d0868f4e8f33d1.html </w:t>
      </w:r>
    </w:p>
  </w:footnote>
  <w:footnote w:id="2">
    <w:p w:rsidR="002E3403" w:rsidRPr="002E3403" w:rsidRDefault="002E3403">
      <w:pPr>
        <w:pStyle w:val="a9"/>
        <w:rPr>
          <w:rFonts w:ascii="Arial" w:hAnsi="Arial" w:cs="Arial"/>
          <w:sz w:val="18"/>
          <w:szCs w:val="18"/>
        </w:rPr>
      </w:pPr>
      <w:r w:rsidRPr="002E3403">
        <w:rPr>
          <w:rStyle w:val="ab"/>
          <w:rFonts w:ascii="Arial" w:hAnsi="Arial" w:cs="Arial"/>
          <w:sz w:val="18"/>
          <w:szCs w:val="18"/>
        </w:rPr>
        <w:footnoteRef/>
      </w:r>
      <w:r w:rsidRPr="002E3403">
        <w:rPr>
          <w:rFonts w:ascii="Arial" w:hAnsi="Arial" w:cs="Arial"/>
          <w:sz w:val="18"/>
          <w:szCs w:val="18"/>
        </w:rPr>
        <w:t xml:space="preserve"> SCMP. </w:t>
      </w:r>
      <w:r w:rsidR="007E6EEE">
        <w:rPr>
          <w:rFonts w:ascii="Arial" w:hAnsi="Arial" w:cs="Arial"/>
          <w:sz w:val="18"/>
          <w:szCs w:val="18"/>
        </w:rPr>
        <w:t xml:space="preserve">11 June 2025. </w:t>
      </w:r>
      <w:r w:rsidRPr="002E3403">
        <w:rPr>
          <w:rFonts w:ascii="Arial" w:hAnsi="Arial" w:cs="Arial"/>
          <w:sz w:val="18"/>
          <w:szCs w:val="18"/>
        </w:rPr>
        <w:t>“</w:t>
      </w:r>
      <w:r w:rsidRPr="002E3403">
        <w:rPr>
          <w:rFonts w:ascii="Arial" w:hAnsi="Arial" w:cs="Arial"/>
          <w:i/>
          <w:sz w:val="18"/>
          <w:szCs w:val="18"/>
        </w:rPr>
        <w:t>China</w:t>
      </w:r>
      <w:r w:rsidR="00A81244">
        <w:rPr>
          <w:rFonts w:ascii="Arial" w:hAnsi="Arial" w:cs="Arial"/>
          <w:i/>
          <w:sz w:val="18"/>
          <w:szCs w:val="18"/>
        </w:rPr>
        <w:t xml:space="preserve"> May Let Hong Kong-listed Firms Raise F</w:t>
      </w:r>
      <w:r w:rsidR="0027503E">
        <w:rPr>
          <w:rFonts w:ascii="Arial" w:hAnsi="Arial" w:cs="Arial"/>
          <w:i/>
          <w:sz w:val="18"/>
          <w:szCs w:val="18"/>
        </w:rPr>
        <w:t>unds in Shenzhen via ‘H+A’ IPOs”</w:t>
      </w:r>
      <w:r w:rsidR="0027503E">
        <w:rPr>
          <w:rFonts w:ascii="Arial" w:hAnsi="Arial" w:cs="Arial"/>
          <w:sz w:val="18"/>
          <w:szCs w:val="18"/>
        </w:rPr>
        <w:t xml:space="preserve">. At: </w:t>
      </w:r>
      <w:r w:rsidR="0027503E" w:rsidRPr="0027503E">
        <w:rPr>
          <w:rFonts w:ascii="Arial" w:hAnsi="Arial" w:cs="Arial"/>
          <w:sz w:val="18"/>
          <w:szCs w:val="18"/>
        </w:rPr>
        <w:t>https://www.scmp.com/business/companies/article/3314005/china-may-let-hong-kong-listed-firms-raise-funds-shenzhen-h-ipos</w:t>
      </w:r>
      <w:r w:rsidR="0027503E">
        <w:rPr>
          <w:rFonts w:ascii="Arial" w:hAnsi="Arial" w:cs="Arial"/>
          <w:i/>
          <w:sz w:val="18"/>
          <w:szCs w:val="18"/>
        </w:rPr>
        <w:t xml:space="preserve"> </w:t>
      </w:r>
      <w:r w:rsidRPr="002E3403">
        <w:rPr>
          <w:rFonts w:ascii="Arial" w:hAnsi="Arial" w:cs="Arial"/>
          <w:i/>
          <w:sz w:val="18"/>
          <w:szCs w:val="18"/>
        </w:rPr>
        <w:t xml:space="preserve"> </w:t>
      </w:r>
    </w:p>
  </w:footnote>
  <w:footnote w:id="3">
    <w:p w:rsidR="007E6EEE" w:rsidRPr="00A16D87" w:rsidRDefault="007E6EEE">
      <w:pPr>
        <w:pStyle w:val="a9"/>
        <w:rPr>
          <w:rFonts w:ascii="Arial" w:hAnsi="Arial" w:cs="Arial"/>
          <w:sz w:val="18"/>
          <w:szCs w:val="18"/>
        </w:rPr>
      </w:pPr>
      <w:r w:rsidRPr="00A16D87">
        <w:rPr>
          <w:rStyle w:val="ab"/>
          <w:sz w:val="18"/>
          <w:szCs w:val="18"/>
        </w:rPr>
        <w:footnoteRef/>
      </w:r>
      <w:r w:rsidRPr="00A16D87">
        <w:rPr>
          <w:sz w:val="18"/>
          <w:szCs w:val="18"/>
        </w:rPr>
        <w:t xml:space="preserve"> </w:t>
      </w:r>
      <w:r>
        <w:rPr>
          <w:rFonts w:ascii="Arial" w:hAnsi="Arial" w:cs="Arial"/>
          <w:sz w:val="18"/>
          <w:szCs w:val="18"/>
        </w:rPr>
        <w:t>SCMP. 18 June 2025. “</w:t>
      </w:r>
      <w:r>
        <w:rPr>
          <w:rFonts w:ascii="Arial" w:hAnsi="Arial" w:cs="Arial"/>
          <w:i/>
          <w:sz w:val="18"/>
          <w:szCs w:val="18"/>
        </w:rPr>
        <w:t>Beijing’s Reform Could Bring Hong Kong-listed Alibaba, Tencent to Shenzhen: HSBC”.</w:t>
      </w:r>
      <w:r>
        <w:rPr>
          <w:rFonts w:ascii="Arial" w:hAnsi="Arial" w:cs="Arial"/>
          <w:sz w:val="18"/>
          <w:szCs w:val="18"/>
        </w:rPr>
        <w:t xml:space="preserve"> Available at: </w:t>
      </w:r>
      <w:r w:rsidRPr="007E6EEE">
        <w:rPr>
          <w:rFonts w:ascii="Arial" w:hAnsi="Arial" w:cs="Arial"/>
          <w:sz w:val="18"/>
          <w:szCs w:val="18"/>
        </w:rPr>
        <w:t>https://www.scmp.com/business/banking-finance/article/3314937/beijings-reform-could-bring-hong-kong-listed-alibaba-tencent-shenzhen-hsbc</w:t>
      </w:r>
    </w:p>
  </w:footnote>
  <w:footnote w:id="4">
    <w:p w:rsidR="00686E34" w:rsidRPr="00686E34" w:rsidRDefault="00686E34">
      <w:pPr>
        <w:pStyle w:val="a9"/>
      </w:pPr>
      <w:r w:rsidRPr="00A16D87">
        <w:rPr>
          <w:rStyle w:val="ab"/>
          <w:rFonts w:ascii="Arial" w:hAnsi="Arial" w:cs="Arial"/>
          <w:sz w:val="18"/>
          <w:szCs w:val="18"/>
        </w:rPr>
        <w:footnoteRef/>
      </w:r>
      <w:r w:rsidRPr="00A16D87">
        <w:rPr>
          <w:rStyle w:val="ab"/>
          <w:rFonts w:ascii="Arial" w:hAnsi="Arial" w:cs="Arial"/>
          <w:sz w:val="18"/>
          <w:szCs w:val="18"/>
        </w:rPr>
        <w:t xml:space="preserve"> </w:t>
      </w:r>
      <w:r>
        <w:rPr>
          <w:rFonts w:ascii="Arial" w:hAnsi="Arial" w:cs="Arial"/>
          <w:sz w:val="18"/>
          <w:szCs w:val="18"/>
          <w:lang w:eastAsia="zh-CN"/>
        </w:rPr>
        <w:t>The PRC State Council. 19 June 2025. “</w:t>
      </w:r>
      <w:r>
        <w:rPr>
          <w:rFonts w:ascii="Arial" w:hAnsi="Arial" w:cs="Arial"/>
          <w:i/>
          <w:sz w:val="18"/>
          <w:szCs w:val="18"/>
          <w:lang w:eastAsia="zh-CN"/>
        </w:rPr>
        <w:t>China Unveils New Measures to Deepen Reform of STAR Market</w:t>
      </w:r>
      <w:r>
        <w:rPr>
          <w:rFonts w:ascii="Arial" w:hAnsi="Arial" w:cs="Arial"/>
          <w:sz w:val="18"/>
          <w:szCs w:val="18"/>
          <w:lang w:eastAsia="zh-CN"/>
        </w:rPr>
        <w:t xml:space="preserve">”. Available at: </w:t>
      </w:r>
      <w:r w:rsidRPr="00686E34">
        <w:rPr>
          <w:rFonts w:ascii="Arial" w:hAnsi="Arial" w:cs="Arial"/>
          <w:sz w:val="18"/>
          <w:szCs w:val="18"/>
          <w:lang w:eastAsia="zh-CN"/>
        </w:rPr>
        <w:t>https://english.www.gov.cn/news/202406/19/content_WS66727c79c6d0868f4e8e84f8.html</w:t>
      </w:r>
    </w:p>
  </w:footnote>
  <w:footnote w:id="5">
    <w:p w:rsidR="003211AC" w:rsidRPr="003211AC" w:rsidRDefault="003211AC">
      <w:pPr>
        <w:pStyle w:val="a9"/>
      </w:pPr>
      <w:r w:rsidRPr="00826AA9">
        <w:rPr>
          <w:rStyle w:val="ab"/>
          <w:rFonts w:ascii="Arial" w:hAnsi="Arial" w:cs="Arial"/>
          <w:sz w:val="18"/>
          <w:szCs w:val="18"/>
        </w:rPr>
        <w:footnoteRef/>
      </w:r>
      <w:r w:rsidRPr="00826AA9">
        <w:rPr>
          <w:rStyle w:val="ab"/>
          <w:rFonts w:ascii="Arial" w:hAnsi="Arial" w:cs="Arial"/>
          <w:sz w:val="18"/>
          <w:szCs w:val="18"/>
        </w:rPr>
        <w:t xml:space="preserve"> </w:t>
      </w:r>
      <w:r>
        <w:rPr>
          <w:rFonts w:ascii="Arial" w:hAnsi="Arial" w:cs="Arial"/>
          <w:sz w:val="18"/>
          <w:szCs w:val="18"/>
        </w:rPr>
        <w:t xml:space="preserve"> Shanghai Metal Market. 18 June 2025. “</w:t>
      </w:r>
      <w:r>
        <w:rPr>
          <w:rFonts w:ascii="Arial" w:hAnsi="Arial" w:cs="Arial"/>
          <w:i/>
          <w:sz w:val="18"/>
          <w:szCs w:val="18"/>
        </w:rPr>
        <w:t>CSRC Announcement Allows Qualified Foreign Investors to Participate in ETF Options Trading”</w:t>
      </w:r>
      <w:r>
        <w:rPr>
          <w:rFonts w:ascii="Arial" w:hAnsi="Arial" w:cs="Arial"/>
          <w:sz w:val="18"/>
          <w:szCs w:val="18"/>
        </w:rPr>
        <w:t xml:space="preserve">. Available at: </w:t>
      </w:r>
      <w:r w:rsidRPr="003211AC">
        <w:rPr>
          <w:rFonts w:ascii="Arial" w:hAnsi="Arial" w:cs="Arial"/>
          <w:sz w:val="18"/>
          <w:szCs w:val="18"/>
        </w:rPr>
        <w:t>https://www.metal.com/en/newscontent/103383091</w:t>
      </w:r>
    </w:p>
  </w:footnote>
  <w:footnote w:id="6">
    <w:p w:rsidR="007D43A2" w:rsidRPr="00A16D87" w:rsidRDefault="007D43A2">
      <w:pPr>
        <w:pStyle w:val="a9"/>
        <w:rPr>
          <w:sz w:val="18"/>
          <w:szCs w:val="18"/>
        </w:rPr>
      </w:pPr>
      <w:r w:rsidRPr="00A16D87">
        <w:rPr>
          <w:rStyle w:val="ab"/>
          <w:sz w:val="18"/>
          <w:szCs w:val="18"/>
        </w:rPr>
        <w:footnoteRef/>
      </w:r>
      <w:r w:rsidRPr="00A16D87">
        <w:rPr>
          <w:sz w:val="18"/>
          <w:szCs w:val="18"/>
        </w:rPr>
        <w:t xml:space="preserve"> </w:t>
      </w:r>
      <w:r w:rsidRPr="00A16D87">
        <w:rPr>
          <w:rFonts w:ascii="Arial" w:hAnsi="Arial" w:cs="Arial"/>
          <w:sz w:val="18"/>
          <w:szCs w:val="18"/>
        </w:rPr>
        <w:t>The State Council</w:t>
      </w:r>
      <w:r>
        <w:rPr>
          <w:rFonts w:ascii="Arial" w:hAnsi="Arial" w:cs="Arial"/>
          <w:sz w:val="18"/>
          <w:szCs w:val="18"/>
        </w:rPr>
        <w:t>. 19 June 2025. “</w:t>
      </w:r>
      <w:r>
        <w:rPr>
          <w:rFonts w:ascii="Arial" w:hAnsi="Arial" w:cs="Arial"/>
          <w:i/>
          <w:sz w:val="18"/>
          <w:szCs w:val="18"/>
        </w:rPr>
        <w:t>China’s Vision for Deeper Financial Opening-up Highlighted at Shanghai Lujiazui Forum</w:t>
      </w:r>
      <w:r>
        <w:rPr>
          <w:rFonts w:ascii="Arial" w:hAnsi="Arial" w:cs="Arial"/>
          <w:sz w:val="18"/>
          <w:szCs w:val="18"/>
        </w:rPr>
        <w:t xml:space="preserve">”. Available at: </w:t>
      </w:r>
      <w:r w:rsidRPr="007D43A2">
        <w:rPr>
          <w:rFonts w:ascii="Arial" w:hAnsi="Arial" w:cs="Arial"/>
          <w:sz w:val="18"/>
          <w:szCs w:val="18"/>
        </w:rPr>
        <w:t>https://english.www.gov.cn/news/202506/19/content_WS68534817c6d0868f4e8f3736.html</w:t>
      </w:r>
    </w:p>
  </w:footnote>
  <w:footnote w:id="7">
    <w:p w:rsidR="003725B9" w:rsidRPr="00A81244" w:rsidRDefault="003725B9">
      <w:pPr>
        <w:pStyle w:val="a9"/>
        <w:rPr>
          <w:rFonts w:ascii="Arial" w:hAnsi="Arial" w:cs="Arial"/>
          <w:b/>
          <w:sz w:val="18"/>
          <w:szCs w:val="18"/>
        </w:rPr>
      </w:pPr>
      <w:r w:rsidRPr="00A81244">
        <w:rPr>
          <w:rStyle w:val="ab"/>
          <w:rFonts w:ascii="Arial" w:hAnsi="Arial" w:cs="Arial"/>
          <w:sz w:val="18"/>
          <w:szCs w:val="18"/>
        </w:rPr>
        <w:footnoteRef/>
      </w:r>
      <w:r>
        <w:t xml:space="preserve"> </w:t>
      </w:r>
      <w:r w:rsidRPr="003725B9">
        <w:rPr>
          <w:rFonts w:ascii="Arial" w:hAnsi="Arial" w:cs="Arial"/>
          <w:sz w:val="18"/>
          <w:szCs w:val="18"/>
        </w:rPr>
        <w:t>EY</w:t>
      </w:r>
      <w:r>
        <w:rPr>
          <w:rFonts w:ascii="Arial" w:hAnsi="Arial" w:cs="Arial"/>
          <w:sz w:val="18"/>
          <w:szCs w:val="18"/>
        </w:rPr>
        <w:t>. 12 June 2025. “</w:t>
      </w:r>
      <w:r w:rsidR="00A81244">
        <w:rPr>
          <w:rFonts w:ascii="Arial" w:hAnsi="Arial" w:cs="Arial"/>
          <w:i/>
          <w:sz w:val="18"/>
          <w:szCs w:val="18"/>
        </w:rPr>
        <w:t>A-share IPO Activity Maintains Steady Progress; A+H Listings Support Hong Kong Reclaiming the Top S</w:t>
      </w:r>
      <w:r>
        <w:rPr>
          <w:rFonts w:ascii="Arial" w:hAnsi="Arial" w:cs="Arial"/>
          <w:i/>
          <w:sz w:val="18"/>
          <w:szCs w:val="18"/>
        </w:rPr>
        <w:t xml:space="preserve">pot” </w:t>
      </w:r>
      <w:r w:rsidRPr="003725B9">
        <w:rPr>
          <w:rFonts w:ascii="Arial" w:hAnsi="Arial" w:cs="Arial"/>
          <w:sz w:val="18"/>
          <w:szCs w:val="18"/>
        </w:rPr>
        <w:t>at</w:t>
      </w:r>
      <w:r w:rsidRPr="003725B9">
        <w:rPr>
          <w:rFonts w:ascii="Arial" w:hAnsi="Arial" w:cs="Arial"/>
          <w:b/>
          <w:sz w:val="18"/>
          <w:szCs w:val="18"/>
        </w:rPr>
        <w:t xml:space="preserve">: </w:t>
      </w:r>
      <w:hyperlink r:id="rId1" w:history="1">
        <w:r w:rsidRPr="003725B9">
          <w:rPr>
            <w:rStyle w:val="a3"/>
            <w:rFonts w:ascii="Arial" w:hAnsi="Arial" w:cs="Arial"/>
            <w:b w:val="0"/>
            <w:sz w:val="18"/>
            <w:szCs w:val="18"/>
          </w:rPr>
          <w:t>https://www.ey.com/en_cn/newsroom/2025/06/a-h-listings-support-hk-reclaiming-the-top-spot</w:t>
        </w:r>
      </w:hyperlink>
      <w:r w:rsidRPr="003725B9">
        <w:rPr>
          <w:rFonts w:ascii="Arial" w:hAnsi="Arial" w:cs="Arial"/>
          <w:b/>
          <w:sz w:val="18"/>
          <w:szCs w:val="18"/>
        </w:rPr>
        <w:t xml:space="preserve"> </w:t>
      </w:r>
    </w:p>
  </w:footnote>
  <w:footnote w:id="8">
    <w:p w:rsidR="000954DC" w:rsidRDefault="000954DC">
      <w:pPr>
        <w:pStyle w:val="a9"/>
      </w:pPr>
      <w:r w:rsidRPr="000954DC">
        <w:rPr>
          <w:rStyle w:val="ab"/>
          <w:rFonts w:ascii="Arial" w:hAnsi="Arial" w:cs="Arial"/>
          <w:sz w:val="18"/>
          <w:szCs w:val="18"/>
        </w:rPr>
        <w:footnoteRef/>
      </w:r>
      <w:r>
        <w:rPr>
          <w:rFonts w:ascii="Arial" w:hAnsi="Arial" w:cs="Arial"/>
          <w:sz w:val="18"/>
          <w:szCs w:val="18"/>
        </w:rPr>
        <w:t xml:space="preserve"> Ibid.</w:t>
      </w:r>
    </w:p>
  </w:footnote>
  <w:footnote w:id="9">
    <w:p w:rsidR="00A81244" w:rsidRDefault="00A81244" w:rsidP="00A81244">
      <w:pPr>
        <w:pStyle w:val="a9"/>
      </w:pPr>
      <w:r w:rsidRPr="00A81244">
        <w:rPr>
          <w:rStyle w:val="ab"/>
          <w:rFonts w:ascii="Arial" w:hAnsi="Arial" w:cs="Arial"/>
          <w:sz w:val="18"/>
          <w:szCs w:val="18"/>
        </w:rPr>
        <w:footnoteRef/>
      </w:r>
      <w:r w:rsidRPr="00A81244">
        <w:rPr>
          <w:rStyle w:val="ab"/>
          <w:rFonts w:ascii="Arial" w:hAnsi="Arial" w:cs="Arial"/>
          <w:sz w:val="18"/>
          <w:szCs w:val="18"/>
        </w:rPr>
        <w:t xml:space="preserve"> </w:t>
      </w:r>
      <w:r>
        <w:rPr>
          <w:rFonts w:ascii="Arial" w:hAnsi="Arial" w:cs="Arial"/>
          <w:sz w:val="18"/>
          <w:szCs w:val="18"/>
        </w:rPr>
        <w:t xml:space="preserve"> </w:t>
      </w:r>
      <w:r w:rsidRPr="002E3403">
        <w:rPr>
          <w:rFonts w:ascii="Arial" w:hAnsi="Arial" w:cs="Arial"/>
          <w:sz w:val="18"/>
          <w:szCs w:val="18"/>
        </w:rPr>
        <w:t>SCMP.</w:t>
      </w:r>
      <w:r>
        <w:rPr>
          <w:rFonts w:ascii="Arial" w:hAnsi="Arial" w:cs="Arial"/>
          <w:sz w:val="18"/>
          <w:szCs w:val="18"/>
        </w:rPr>
        <w:t xml:space="preserve"> 20 May 2025. “</w:t>
      </w:r>
      <w:r>
        <w:rPr>
          <w:rFonts w:ascii="Arial" w:hAnsi="Arial" w:cs="Arial"/>
          <w:i/>
          <w:sz w:val="18"/>
          <w:szCs w:val="18"/>
        </w:rPr>
        <w:t>Hong Kong R</w:t>
      </w:r>
      <w:r w:rsidRPr="00A81244">
        <w:rPr>
          <w:rFonts w:ascii="Arial" w:hAnsi="Arial" w:cs="Arial"/>
          <w:i/>
          <w:sz w:val="18"/>
          <w:szCs w:val="18"/>
        </w:rPr>
        <w:t xml:space="preserve">egains </w:t>
      </w:r>
      <w:r>
        <w:rPr>
          <w:rFonts w:ascii="Arial" w:hAnsi="Arial" w:cs="Arial"/>
          <w:i/>
          <w:sz w:val="18"/>
          <w:szCs w:val="18"/>
        </w:rPr>
        <w:t>No 1 Spot in Global F</w:t>
      </w:r>
      <w:r w:rsidRPr="00A81244">
        <w:rPr>
          <w:rFonts w:ascii="Arial" w:hAnsi="Arial" w:cs="Arial"/>
          <w:i/>
          <w:sz w:val="18"/>
          <w:szCs w:val="18"/>
        </w:rPr>
        <w:t>undraising</w:t>
      </w:r>
      <w:r>
        <w:rPr>
          <w:rFonts w:ascii="Arial" w:hAnsi="Arial" w:cs="Arial"/>
          <w:sz w:val="18"/>
          <w:szCs w:val="18"/>
        </w:rPr>
        <w:t>”</w:t>
      </w:r>
    </w:p>
  </w:footnote>
  <w:footnote w:id="10">
    <w:p w:rsidR="006D4D28" w:rsidRPr="006D4D28" w:rsidRDefault="006D4D28">
      <w:pPr>
        <w:pStyle w:val="a9"/>
        <w:rPr>
          <w:i/>
        </w:rPr>
      </w:pPr>
      <w:r w:rsidRPr="006D4D28">
        <w:rPr>
          <w:rStyle w:val="ab"/>
          <w:rFonts w:ascii="Arial" w:hAnsi="Arial" w:cs="Arial"/>
          <w:sz w:val="18"/>
          <w:szCs w:val="18"/>
        </w:rPr>
        <w:footnoteRef/>
      </w:r>
      <w:r w:rsidRPr="006D4D28">
        <w:rPr>
          <w:rStyle w:val="ab"/>
          <w:rFonts w:ascii="Arial" w:hAnsi="Arial" w:cs="Arial"/>
          <w:sz w:val="18"/>
          <w:szCs w:val="18"/>
        </w:rPr>
        <w:t xml:space="preserve"> </w:t>
      </w:r>
      <w:r>
        <w:rPr>
          <w:rFonts w:ascii="Arial" w:hAnsi="Arial" w:cs="Arial"/>
          <w:sz w:val="18"/>
          <w:szCs w:val="18"/>
        </w:rPr>
        <w:t xml:space="preserve"> HKEX. 31 March 2025. “</w:t>
      </w:r>
      <w:r>
        <w:rPr>
          <w:rFonts w:ascii="Arial" w:hAnsi="Arial" w:cs="Arial"/>
          <w:i/>
          <w:sz w:val="18"/>
          <w:szCs w:val="18"/>
        </w:rPr>
        <w:t xml:space="preserve">Quarterly Results for the Three Months Ended 31 March 2025” </w:t>
      </w:r>
    </w:p>
  </w:footnote>
  <w:footnote w:id="11">
    <w:p w:rsidR="004F2717" w:rsidRDefault="004F2717">
      <w:pPr>
        <w:pStyle w:val="a9"/>
      </w:pPr>
      <w:r w:rsidRPr="004F2717">
        <w:rPr>
          <w:rStyle w:val="ab"/>
          <w:rFonts w:ascii="Arial" w:hAnsi="Arial" w:cs="Arial"/>
          <w:sz w:val="18"/>
          <w:szCs w:val="18"/>
        </w:rPr>
        <w:footnoteRef/>
      </w:r>
      <w:r>
        <w:t xml:space="preserve"> </w:t>
      </w:r>
      <w:r w:rsidRPr="004F2717">
        <w:rPr>
          <w:rFonts w:ascii="Arial" w:hAnsi="Arial" w:cs="Arial"/>
          <w:sz w:val="18"/>
          <w:szCs w:val="18"/>
        </w:rPr>
        <w:t>See note 3 above</w:t>
      </w:r>
    </w:p>
  </w:footnote>
  <w:footnote w:id="12">
    <w:p w:rsidR="00B41F8E" w:rsidRDefault="00B41F8E">
      <w:pPr>
        <w:pStyle w:val="a9"/>
      </w:pPr>
      <w:r w:rsidRPr="00B41F8E">
        <w:rPr>
          <w:rStyle w:val="ab"/>
          <w:rFonts w:ascii="Arial" w:hAnsi="Arial" w:cs="Arial"/>
          <w:sz w:val="18"/>
          <w:szCs w:val="18"/>
        </w:rPr>
        <w:footnoteRef/>
      </w:r>
      <w:r w:rsidRPr="00B41F8E">
        <w:rPr>
          <w:rStyle w:val="ab"/>
          <w:rFonts w:ascii="Arial" w:hAnsi="Arial" w:cs="Arial"/>
          <w:sz w:val="18"/>
          <w:szCs w:val="18"/>
        </w:rPr>
        <w:t xml:space="preserve"> </w:t>
      </w:r>
      <w:r>
        <w:rPr>
          <w:rFonts w:ascii="Arial" w:hAnsi="Arial" w:cs="Arial"/>
          <w:sz w:val="18"/>
          <w:szCs w:val="18"/>
        </w:rPr>
        <w:t xml:space="preserve"> See </w:t>
      </w:r>
      <w:proofErr w:type="spellStart"/>
      <w:r>
        <w:rPr>
          <w:rFonts w:ascii="Arial" w:hAnsi="Arial" w:cs="Arial"/>
          <w:sz w:val="18"/>
          <w:szCs w:val="18"/>
        </w:rPr>
        <w:t>Charltons</w:t>
      </w:r>
      <w:proofErr w:type="spellEnd"/>
      <w:r>
        <w:rPr>
          <w:rFonts w:ascii="Arial" w:hAnsi="Arial" w:cs="Arial"/>
          <w:sz w:val="18"/>
          <w:szCs w:val="18"/>
        </w:rPr>
        <w:t>’ newsletter “</w:t>
      </w:r>
      <w:r>
        <w:rPr>
          <w:rFonts w:ascii="Arial" w:hAnsi="Arial" w:cs="Arial"/>
          <w:i/>
          <w:sz w:val="18"/>
          <w:szCs w:val="18"/>
        </w:rPr>
        <w:t>HKEX Listing Rule Changes for PRC Issuers Effective 1 August 2023”</w:t>
      </w:r>
    </w:p>
  </w:footnote>
  <w:footnote w:id="13">
    <w:p w:rsidR="003C704D" w:rsidRPr="003C704D" w:rsidRDefault="003C704D">
      <w:pPr>
        <w:pStyle w:val="a9"/>
        <w:rPr>
          <w:rFonts w:ascii="Arial" w:hAnsi="Arial" w:cs="Arial"/>
          <w:sz w:val="18"/>
          <w:szCs w:val="18"/>
        </w:rPr>
      </w:pPr>
      <w:r w:rsidRPr="003C704D">
        <w:rPr>
          <w:rStyle w:val="ab"/>
          <w:rFonts w:ascii="Arial" w:hAnsi="Arial" w:cs="Arial"/>
          <w:sz w:val="18"/>
          <w:szCs w:val="18"/>
        </w:rPr>
        <w:footnoteRef/>
      </w:r>
      <w:r>
        <w:t xml:space="preserve">  </w:t>
      </w:r>
      <w:r w:rsidRPr="003C704D">
        <w:rPr>
          <w:rFonts w:ascii="Arial" w:hAnsi="Arial" w:cs="Arial"/>
          <w:sz w:val="18"/>
          <w:szCs w:val="18"/>
        </w:rPr>
        <w:t xml:space="preserve">See </w:t>
      </w:r>
      <w:proofErr w:type="spellStart"/>
      <w:r>
        <w:rPr>
          <w:rFonts w:ascii="Arial" w:hAnsi="Arial" w:cs="Arial"/>
          <w:sz w:val="18"/>
          <w:szCs w:val="18"/>
        </w:rPr>
        <w:t>Charltons</w:t>
      </w:r>
      <w:proofErr w:type="spellEnd"/>
      <w:r>
        <w:rPr>
          <w:rFonts w:ascii="Arial" w:hAnsi="Arial" w:cs="Arial"/>
          <w:sz w:val="18"/>
          <w:szCs w:val="18"/>
        </w:rPr>
        <w:t>’ newsletter “</w:t>
      </w:r>
      <w:r w:rsidRPr="003C704D">
        <w:rPr>
          <w:rFonts w:ascii="Arial" w:hAnsi="Arial" w:cs="Arial"/>
          <w:i/>
          <w:sz w:val="18"/>
          <w:szCs w:val="18"/>
        </w:rPr>
        <w:t>Hong Kong Launches Dedicated Technology Enterprises Channel (TECH) for the listing of Specialist Technology Companies and Biotech Companies</w:t>
      </w:r>
      <w:r>
        <w:rPr>
          <w:rFonts w:ascii="Arial" w:hAnsi="Arial" w:cs="Arial"/>
          <w:sz w:val="18"/>
          <w:szCs w:val="18"/>
        </w:rPr>
        <w:t>”</w:t>
      </w:r>
    </w:p>
  </w:footnote>
  <w:footnote w:id="14">
    <w:p w:rsidR="009E192C" w:rsidRDefault="009E192C">
      <w:pPr>
        <w:pStyle w:val="a9"/>
      </w:pPr>
      <w:r w:rsidRPr="009E192C">
        <w:rPr>
          <w:rStyle w:val="ab"/>
          <w:rFonts w:ascii="Arial" w:hAnsi="Arial" w:cs="Arial"/>
          <w:sz w:val="18"/>
          <w:szCs w:val="18"/>
        </w:rPr>
        <w:footnoteRef/>
      </w:r>
      <w:r>
        <w:t xml:space="preserve"> </w:t>
      </w:r>
      <w:r w:rsidR="003C704D" w:rsidRPr="004F2717">
        <w:rPr>
          <w:rFonts w:ascii="Arial" w:hAnsi="Arial" w:cs="Arial"/>
          <w:sz w:val="18"/>
          <w:szCs w:val="18"/>
        </w:rPr>
        <w:t>See note 3 above</w:t>
      </w:r>
    </w:p>
  </w:footnote>
  <w:footnote w:id="15">
    <w:p w:rsidR="00DF0622" w:rsidRPr="00E87E70" w:rsidRDefault="00DF0622">
      <w:pPr>
        <w:pStyle w:val="a9"/>
        <w:rPr>
          <w:i/>
        </w:rPr>
      </w:pPr>
      <w:r w:rsidRPr="00DF0622">
        <w:rPr>
          <w:rStyle w:val="ab"/>
          <w:rFonts w:ascii="Arial" w:hAnsi="Arial" w:cs="Arial"/>
          <w:sz w:val="18"/>
          <w:szCs w:val="18"/>
        </w:rPr>
        <w:footnoteRef/>
      </w:r>
      <w:r w:rsidR="00E87E70">
        <w:rPr>
          <w:rStyle w:val="ab"/>
          <w:rFonts w:ascii="Arial" w:hAnsi="Arial" w:cs="Arial"/>
          <w:sz w:val="18"/>
          <w:szCs w:val="18"/>
        </w:rPr>
        <w:t xml:space="preserve"> </w:t>
      </w:r>
      <w:r w:rsidR="00E87E70" w:rsidRPr="00E87E70">
        <w:rPr>
          <w:rFonts w:ascii="Arial" w:hAnsi="Arial" w:cs="Arial"/>
          <w:sz w:val="18"/>
          <w:szCs w:val="18"/>
        </w:rPr>
        <w:t>HKEX</w:t>
      </w:r>
      <w:r w:rsidR="00E87E70">
        <w:rPr>
          <w:rFonts w:ascii="Arial" w:hAnsi="Arial" w:cs="Arial"/>
          <w:sz w:val="18"/>
          <w:szCs w:val="18"/>
        </w:rPr>
        <w:t xml:space="preserve"> and SFC. 18 October 2024. “</w:t>
      </w:r>
      <w:r w:rsidR="00E87E70" w:rsidRPr="00E87E70">
        <w:rPr>
          <w:rFonts w:ascii="Arial" w:hAnsi="Arial" w:cs="Arial"/>
          <w:i/>
          <w:sz w:val="18"/>
          <w:szCs w:val="18"/>
        </w:rPr>
        <w:t>Joint Statement on</w:t>
      </w:r>
      <w:r w:rsidR="00E87E70">
        <w:rPr>
          <w:rFonts w:ascii="Arial" w:hAnsi="Arial" w:cs="Arial"/>
          <w:i/>
          <w:sz w:val="18"/>
          <w:szCs w:val="18"/>
        </w:rPr>
        <w:t xml:space="preserve"> Enhanced Timeframe for New Listing Application Process”</w:t>
      </w:r>
      <w:r w:rsidR="00E87E70" w:rsidRPr="00E87E70">
        <w:rPr>
          <w:rFonts w:ascii="Arial" w:hAnsi="Arial" w:cs="Arial"/>
          <w:i/>
          <w:sz w:val="18"/>
          <w:szCs w:val="18"/>
        </w:rPr>
        <w:t xml:space="preserve"> </w:t>
      </w:r>
    </w:p>
  </w:footnote>
  <w:footnote w:id="16">
    <w:p w:rsidR="00E87E70" w:rsidRDefault="00E87E70">
      <w:pPr>
        <w:pStyle w:val="a9"/>
      </w:pPr>
      <w:r w:rsidRPr="00E87E70">
        <w:rPr>
          <w:rStyle w:val="ab"/>
          <w:rFonts w:ascii="Arial" w:hAnsi="Arial" w:cs="Arial"/>
          <w:sz w:val="18"/>
          <w:szCs w:val="18"/>
        </w:rPr>
        <w:footnoteRef/>
      </w:r>
      <w:r>
        <w:t xml:space="preserve"> </w:t>
      </w:r>
      <w:r w:rsidRPr="00E87E70">
        <w:rPr>
          <w:rFonts w:ascii="Arial" w:hAnsi="Arial" w:cs="Arial"/>
          <w:sz w:val="18"/>
          <w:szCs w:val="18"/>
        </w:rPr>
        <w:t>See note 3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E4E"/>
    <w:multiLevelType w:val="hybridMultilevel"/>
    <w:tmpl w:val="217038A0"/>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76812"/>
    <w:multiLevelType w:val="multilevel"/>
    <w:tmpl w:val="95C08F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67760C"/>
    <w:multiLevelType w:val="hybridMultilevel"/>
    <w:tmpl w:val="6052B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30B09"/>
    <w:multiLevelType w:val="hybridMultilevel"/>
    <w:tmpl w:val="8D904C12"/>
    <w:lvl w:ilvl="0" w:tplc="EA240B7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2D0BFA"/>
    <w:multiLevelType w:val="hybridMultilevel"/>
    <w:tmpl w:val="FDD43D4C"/>
    <w:lvl w:ilvl="0" w:tplc="04090015">
      <w:start w:val="1"/>
      <w:numFmt w:val="upperLetter"/>
      <w:lvlText w:val="%1."/>
      <w:lvlJc w:val="left"/>
      <w:pPr>
        <w:ind w:left="2345"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 w15:restartNumberingAfterBreak="0">
    <w:nsid w:val="2D316807"/>
    <w:multiLevelType w:val="hybridMultilevel"/>
    <w:tmpl w:val="2A36C08A"/>
    <w:lvl w:ilvl="0" w:tplc="0409000F">
      <w:start w:val="1"/>
      <w:numFmt w:val="decimal"/>
      <w:lvlText w:val="%1."/>
      <w:lvlJc w:val="left"/>
      <w:pPr>
        <w:ind w:left="480" w:hanging="480"/>
      </w:pPr>
    </w:lvl>
    <w:lvl w:ilvl="1" w:tplc="04090017">
      <w:start w:val="1"/>
      <w:numFmt w:val="lowerLetter"/>
      <w:lvlText w:val="%2)"/>
      <w:lvlJc w:val="left"/>
      <w:pPr>
        <w:ind w:left="731"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DF34CA"/>
    <w:multiLevelType w:val="hybridMultilevel"/>
    <w:tmpl w:val="EA16C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F175D"/>
    <w:multiLevelType w:val="hybridMultilevel"/>
    <w:tmpl w:val="FDD43D4C"/>
    <w:lvl w:ilvl="0" w:tplc="04090015">
      <w:start w:val="1"/>
      <w:numFmt w:val="upperLetter"/>
      <w:lvlText w:val="%1."/>
      <w:lvlJc w:val="left"/>
      <w:pPr>
        <w:ind w:left="2345"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 w15:restartNumberingAfterBreak="0">
    <w:nsid w:val="480073D5"/>
    <w:multiLevelType w:val="hybridMultilevel"/>
    <w:tmpl w:val="E340C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7213F"/>
    <w:multiLevelType w:val="hybridMultilevel"/>
    <w:tmpl w:val="6AEC48D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DF3206F"/>
    <w:multiLevelType w:val="hybridMultilevel"/>
    <w:tmpl w:val="8F28692C"/>
    <w:lvl w:ilvl="0" w:tplc="04090011">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D80BB2"/>
    <w:multiLevelType w:val="hybridMultilevel"/>
    <w:tmpl w:val="6B3421C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A7BC9"/>
    <w:multiLevelType w:val="hybridMultilevel"/>
    <w:tmpl w:val="237EF2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162D85"/>
    <w:multiLevelType w:val="hybridMultilevel"/>
    <w:tmpl w:val="EA16C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413C2"/>
    <w:multiLevelType w:val="hybridMultilevel"/>
    <w:tmpl w:val="CAFCAA64"/>
    <w:lvl w:ilvl="0" w:tplc="95BA7BB2">
      <w:start w:val="1"/>
      <w:numFmt w:val="bullet"/>
      <w:lvlText w:val="•"/>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F50D73"/>
    <w:multiLevelType w:val="hybridMultilevel"/>
    <w:tmpl w:val="3AB470BE"/>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A21F6"/>
    <w:multiLevelType w:val="hybridMultilevel"/>
    <w:tmpl w:val="14DEFC78"/>
    <w:lvl w:ilvl="0" w:tplc="95BA7BB2">
      <w:start w:val="1"/>
      <w:numFmt w:val="bullet"/>
      <w:lvlText w:val="•"/>
      <w:lvlJc w:val="left"/>
      <w:pPr>
        <w:ind w:left="772" w:hanging="360"/>
      </w:pPr>
      <w:rPr>
        <w:rFonts w:ascii="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7" w15:restartNumberingAfterBreak="0">
    <w:nsid w:val="7CD83C1B"/>
    <w:multiLevelType w:val="hybridMultilevel"/>
    <w:tmpl w:val="6AEC48D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35635110">
    <w:abstractNumId w:val="4"/>
  </w:num>
  <w:num w:numId="2" w16cid:durableId="659694364">
    <w:abstractNumId w:val="8"/>
  </w:num>
  <w:num w:numId="3" w16cid:durableId="306665560">
    <w:abstractNumId w:val="11"/>
  </w:num>
  <w:num w:numId="4" w16cid:durableId="625429134">
    <w:abstractNumId w:val="5"/>
  </w:num>
  <w:num w:numId="5" w16cid:durableId="670063865">
    <w:abstractNumId w:val="10"/>
  </w:num>
  <w:num w:numId="6" w16cid:durableId="1412972162">
    <w:abstractNumId w:val="14"/>
  </w:num>
  <w:num w:numId="7" w16cid:durableId="1997299041">
    <w:abstractNumId w:val="3"/>
  </w:num>
  <w:num w:numId="8" w16cid:durableId="1204362371">
    <w:abstractNumId w:val="1"/>
  </w:num>
  <w:num w:numId="9" w16cid:durableId="1253054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421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6064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006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7646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9140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189455">
    <w:abstractNumId w:val="16"/>
  </w:num>
  <w:num w:numId="16" w16cid:durableId="627664295">
    <w:abstractNumId w:val="12"/>
  </w:num>
  <w:num w:numId="17" w16cid:durableId="810437609">
    <w:abstractNumId w:val="2"/>
  </w:num>
  <w:num w:numId="18" w16cid:durableId="1339504491">
    <w:abstractNumId w:val="6"/>
  </w:num>
  <w:num w:numId="19" w16cid:durableId="1836722777">
    <w:abstractNumId w:val="9"/>
  </w:num>
  <w:num w:numId="20" w16cid:durableId="592663396">
    <w:abstractNumId w:val="17"/>
  </w:num>
  <w:num w:numId="21" w16cid:durableId="1280600545">
    <w:abstractNumId w:val="7"/>
  </w:num>
  <w:num w:numId="22" w16cid:durableId="1934704355">
    <w:abstractNumId w:val="13"/>
  </w:num>
  <w:num w:numId="23" w16cid:durableId="1883321678">
    <w:abstractNumId w:val="0"/>
  </w:num>
  <w:num w:numId="24" w16cid:durableId="92479963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2E"/>
    <w:rsid w:val="000054A5"/>
    <w:rsid w:val="000203AB"/>
    <w:rsid w:val="00024208"/>
    <w:rsid w:val="000318F2"/>
    <w:rsid w:val="000519CF"/>
    <w:rsid w:val="00057219"/>
    <w:rsid w:val="00070C1D"/>
    <w:rsid w:val="00076473"/>
    <w:rsid w:val="00083BA1"/>
    <w:rsid w:val="000906C0"/>
    <w:rsid w:val="000954DC"/>
    <w:rsid w:val="00097EF4"/>
    <w:rsid w:val="000A6C30"/>
    <w:rsid w:val="000B3145"/>
    <w:rsid w:val="000B6899"/>
    <w:rsid w:val="000B6EF4"/>
    <w:rsid w:val="000B79CB"/>
    <w:rsid w:val="000C3F99"/>
    <w:rsid w:val="000D430F"/>
    <w:rsid w:val="000E0D71"/>
    <w:rsid w:val="000F11DE"/>
    <w:rsid w:val="000F34A5"/>
    <w:rsid w:val="000F600B"/>
    <w:rsid w:val="000F7565"/>
    <w:rsid w:val="001028B5"/>
    <w:rsid w:val="00120EAB"/>
    <w:rsid w:val="00121715"/>
    <w:rsid w:val="00124E09"/>
    <w:rsid w:val="001350E1"/>
    <w:rsid w:val="0014190D"/>
    <w:rsid w:val="00145536"/>
    <w:rsid w:val="0015136F"/>
    <w:rsid w:val="001526C8"/>
    <w:rsid w:val="001531BD"/>
    <w:rsid w:val="00153B48"/>
    <w:rsid w:val="00154428"/>
    <w:rsid w:val="00154620"/>
    <w:rsid w:val="00154E83"/>
    <w:rsid w:val="00155668"/>
    <w:rsid w:val="00167AC4"/>
    <w:rsid w:val="00171E1D"/>
    <w:rsid w:val="0018484E"/>
    <w:rsid w:val="0019192C"/>
    <w:rsid w:val="001A1012"/>
    <w:rsid w:val="001B291C"/>
    <w:rsid w:val="001B4041"/>
    <w:rsid w:val="001B77F7"/>
    <w:rsid w:val="001C1226"/>
    <w:rsid w:val="001C3B6C"/>
    <w:rsid w:val="001C647A"/>
    <w:rsid w:val="001D1004"/>
    <w:rsid w:val="001D7F3D"/>
    <w:rsid w:val="001E2009"/>
    <w:rsid w:val="001F510E"/>
    <w:rsid w:val="001F5A54"/>
    <w:rsid w:val="001F672F"/>
    <w:rsid w:val="00201EB8"/>
    <w:rsid w:val="00204603"/>
    <w:rsid w:val="00226DA5"/>
    <w:rsid w:val="002351C8"/>
    <w:rsid w:val="00235841"/>
    <w:rsid w:val="00242060"/>
    <w:rsid w:val="00253AD9"/>
    <w:rsid w:val="00261CB6"/>
    <w:rsid w:val="00262D7A"/>
    <w:rsid w:val="002662FB"/>
    <w:rsid w:val="00266819"/>
    <w:rsid w:val="00266C8E"/>
    <w:rsid w:val="00267FD9"/>
    <w:rsid w:val="00271042"/>
    <w:rsid w:val="00272CD9"/>
    <w:rsid w:val="0027503E"/>
    <w:rsid w:val="00275050"/>
    <w:rsid w:val="0027618F"/>
    <w:rsid w:val="00277664"/>
    <w:rsid w:val="0029614D"/>
    <w:rsid w:val="002A102D"/>
    <w:rsid w:val="002A10AD"/>
    <w:rsid w:val="002A4198"/>
    <w:rsid w:val="002A5E14"/>
    <w:rsid w:val="002B612F"/>
    <w:rsid w:val="002D05B5"/>
    <w:rsid w:val="002D681F"/>
    <w:rsid w:val="002D6E6C"/>
    <w:rsid w:val="002D7A5C"/>
    <w:rsid w:val="002E0A66"/>
    <w:rsid w:val="002E3403"/>
    <w:rsid w:val="002F4C01"/>
    <w:rsid w:val="002F539B"/>
    <w:rsid w:val="003002C2"/>
    <w:rsid w:val="003211AC"/>
    <w:rsid w:val="00327FE5"/>
    <w:rsid w:val="00341B7A"/>
    <w:rsid w:val="00356502"/>
    <w:rsid w:val="00366FCB"/>
    <w:rsid w:val="003725B9"/>
    <w:rsid w:val="00375311"/>
    <w:rsid w:val="00383282"/>
    <w:rsid w:val="003B562F"/>
    <w:rsid w:val="003C328F"/>
    <w:rsid w:val="003C704D"/>
    <w:rsid w:val="003D29E3"/>
    <w:rsid w:val="003D305A"/>
    <w:rsid w:val="003D42FF"/>
    <w:rsid w:val="004020B1"/>
    <w:rsid w:val="00405286"/>
    <w:rsid w:val="004055E4"/>
    <w:rsid w:val="00410F68"/>
    <w:rsid w:val="0042263B"/>
    <w:rsid w:val="004325E5"/>
    <w:rsid w:val="00440AC3"/>
    <w:rsid w:val="00443806"/>
    <w:rsid w:val="00443A5B"/>
    <w:rsid w:val="00445383"/>
    <w:rsid w:val="0045422E"/>
    <w:rsid w:val="00456969"/>
    <w:rsid w:val="00457594"/>
    <w:rsid w:val="004600BB"/>
    <w:rsid w:val="004617B1"/>
    <w:rsid w:val="004629CA"/>
    <w:rsid w:val="00463E63"/>
    <w:rsid w:val="00470CF3"/>
    <w:rsid w:val="004717E2"/>
    <w:rsid w:val="004A5FC7"/>
    <w:rsid w:val="004B007A"/>
    <w:rsid w:val="004C13BC"/>
    <w:rsid w:val="004C23BD"/>
    <w:rsid w:val="004C6C96"/>
    <w:rsid w:val="004C6CFC"/>
    <w:rsid w:val="004D1AB1"/>
    <w:rsid w:val="004F2709"/>
    <w:rsid w:val="004F2717"/>
    <w:rsid w:val="004F48EB"/>
    <w:rsid w:val="00506927"/>
    <w:rsid w:val="0050724D"/>
    <w:rsid w:val="0051609E"/>
    <w:rsid w:val="0052745E"/>
    <w:rsid w:val="00527C26"/>
    <w:rsid w:val="005373DB"/>
    <w:rsid w:val="005401F0"/>
    <w:rsid w:val="005442D4"/>
    <w:rsid w:val="00555391"/>
    <w:rsid w:val="00557263"/>
    <w:rsid w:val="005628A7"/>
    <w:rsid w:val="0056770C"/>
    <w:rsid w:val="00572976"/>
    <w:rsid w:val="005739A3"/>
    <w:rsid w:val="0058097B"/>
    <w:rsid w:val="00580EDE"/>
    <w:rsid w:val="00583079"/>
    <w:rsid w:val="00590EE8"/>
    <w:rsid w:val="00591404"/>
    <w:rsid w:val="00596C74"/>
    <w:rsid w:val="005A080C"/>
    <w:rsid w:val="005C2614"/>
    <w:rsid w:val="005C41EE"/>
    <w:rsid w:val="005D452D"/>
    <w:rsid w:val="005D78A5"/>
    <w:rsid w:val="005E0A0B"/>
    <w:rsid w:val="005E2D6F"/>
    <w:rsid w:val="005E401D"/>
    <w:rsid w:val="005F1FE6"/>
    <w:rsid w:val="00600EF2"/>
    <w:rsid w:val="00611CCB"/>
    <w:rsid w:val="00612113"/>
    <w:rsid w:val="0061420C"/>
    <w:rsid w:val="00630436"/>
    <w:rsid w:val="00631B7E"/>
    <w:rsid w:val="00640E8B"/>
    <w:rsid w:val="00651355"/>
    <w:rsid w:val="0066035C"/>
    <w:rsid w:val="006635DC"/>
    <w:rsid w:val="00675793"/>
    <w:rsid w:val="0067673C"/>
    <w:rsid w:val="00686E34"/>
    <w:rsid w:val="006936FD"/>
    <w:rsid w:val="00693E19"/>
    <w:rsid w:val="0069571D"/>
    <w:rsid w:val="006A726C"/>
    <w:rsid w:val="006B02D0"/>
    <w:rsid w:val="006B0B65"/>
    <w:rsid w:val="006B6213"/>
    <w:rsid w:val="006C6106"/>
    <w:rsid w:val="006D4D28"/>
    <w:rsid w:val="006F27EE"/>
    <w:rsid w:val="00716028"/>
    <w:rsid w:val="00722047"/>
    <w:rsid w:val="00722296"/>
    <w:rsid w:val="00740B62"/>
    <w:rsid w:val="00742478"/>
    <w:rsid w:val="00744454"/>
    <w:rsid w:val="00753A06"/>
    <w:rsid w:val="00774579"/>
    <w:rsid w:val="0078532F"/>
    <w:rsid w:val="0078625C"/>
    <w:rsid w:val="007A05F0"/>
    <w:rsid w:val="007A6CF8"/>
    <w:rsid w:val="007B077D"/>
    <w:rsid w:val="007C7475"/>
    <w:rsid w:val="007D1EFB"/>
    <w:rsid w:val="007D43A2"/>
    <w:rsid w:val="007E3AA8"/>
    <w:rsid w:val="007E5622"/>
    <w:rsid w:val="007E6EEE"/>
    <w:rsid w:val="007F34F7"/>
    <w:rsid w:val="008065A9"/>
    <w:rsid w:val="00822409"/>
    <w:rsid w:val="00823EBA"/>
    <w:rsid w:val="00826AA9"/>
    <w:rsid w:val="00836D1B"/>
    <w:rsid w:val="00844F07"/>
    <w:rsid w:val="008463FA"/>
    <w:rsid w:val="00852632"/>
    <w:rsid w:val="00881345"/>
    <w:rsid w:val="00882CB8"/>
    <w:rsid w:val="008853C0"/>
    <w:rsid w:val="00885473"/>
    <w:rsid w:val="00894280"/>
    <w:rsid w:val="00896B2D"/>
    <w:rsid w:val="008A2D28"/>
    <w:rsid w:val="008B2738"/>
    <w:rsid w:val="008B482C"/>
    <w:rsid w:val="008B6E9C"/>
    <w:rsid w:val="008C192E"/>
    <w:rsid w:val="008C3DFC"/>
    <w:rsid w:val="008C5C5E"/>
    <w:rsid w:val="008D42F4"/>
    <w:rsid w:val="008E2B9E"/>
    <w:rsid w:val="008F4F5F"/>
    <w:rsid w:val="008F53FD"/>
    <w:rsid w:val="00917C47"/>
    <w:rsid w:val="00924603"/>
    <w:rsid w:val="00924E2F"/>
    <w:rsid w:val="00927D07"/>
    <w:rsid w:val="009534AC"/>
    <w:rsid w:val="00953617"/>
    <w:rsid w:val="009538C5"/>
    <w:rsid w:val="00957B95"/>
    <w:rsid w:val="00967946"/>
    <w:rsid w:val="00971272"/>
    <w:rsid w:val="00971BB6"/>
    <w:rsid w:val="00972D80"/>
    <w:rsid w:val="00972E78"/>
    <w:rsid w:val="00980532"/>
    <w:rsid w:val="00981829"/>
    <w:rsid w:val="0098539E"/>
    <w:rsid w:val="00986968"/>
    <w:rsid w:val="009907B1"/>
    <w:rsid w:val="0099530C"/>
    <w:rsid w:val="00997C2F"/>
    <w:rsid w:val="009A7F7A"/>
    <w:rsid w:val="009B713C"/>
    <w:rsid w:val="009D6167"/>
    <w:rsid w:val="009D7B65"/>
    <w:rsid w:val="009E192C"/>
    <w:rsid w:val="009F37AE"/>
    <w:rsid w:val="009F6437"/>
    <w:rsid w:val="00A01C46"/>
    <w:rsid w:val="00A16D87"/>
    <w:rsid w:val="00A16EF2"/>
    <w:rsid w:val="00A311AA"/>
    <w:rsid w:val="00A3142E"/>
    <w:rsid w:val="00A41197"/>
    <w:rsid w:val="00A41F14"/>
    <w:rsid w:val="00A4310D"/>
    <w:rsid w:val="00A451A1"/>
    <w:rsid w:val="00A46746"/>
    <w:rsid w:val="00A50198"/>
    <w:rsid w:val="00A50775"/>
    <w:rsid w:val="00A56C44"/>
    <w:rsid w:val="00A65BCF"/>
    <w:rsid w:val="00A77B29"/>
    <w:rsid w:val="00A81244"/>
    <w:rsid w:val="00A82D77"/>
    <w:rsid w:val="00AA1200"/>
    <w:rsid w:val="00AA44A3"/>
    <w:rsid w:val="00AB0C8F"/>
    <w:rsid w:val="00AB6914"/>
    <w:rsid w:val="00AD4A20"/>
    <w:rsid w:val="00AD746D"/>
    <w:rsid w:val="00AE68FF"/>
    <w:rsid w:val="00AF128C"/>
    <w:rsid w:val="00AF26F4"/>
    <w:rsid w:val="00B114C3"/>
    <w:rsid w:val="00B17AA1"/>
    <w:rsid w:val="00B20CC2"/>
    <w:rsid w:val="00B259B2"/>
    <w:rsid w:val="00B3253F"/>
    <w:rsid w:val="00B36060"/>
    <w:rsid w:val="00B41F8E"/>
    <w:rsid w:val="00B478C9"/>
    <w:rsid w:val="00B512F4"/>
    <w:rsid w:val="00B6061F"/>
    <w:rsid w:val="00B66ACB"/>
    <w:rsid w:val="00B72316"/>
    <w:rsid w:val="00B801D1"/>
    <w:rsid w:val="00B817A3"/>
    <w:rsid w:val="00B83AB4"/>
    <w:rsid w:val="00BA12CC"/>
    <w:rsid w:val="00BA3C04"/>
    <w:rsid w:val="00BC1544"/>
    <w:rsid w:val="00BC7E9A"/>
    <w:rsid w:val="00BE071C"/>
    <w:rsid w:val="00BE4CBF"/>
    <w:rsid w:val="00BF5489"/>
    <w:rsid w:val="00C04954"/>
    <w:rsid w:val="00C04D61"/>
    <w:rsid w:val="00C06644"/>
    <w:rsid w:val="00C07A2D"/>
    <w:rsid w:val="00C07E13"/>
    <w:rsid w:val="00C118BA"/>
    <w:rsid w:val="00C1413A"/>
    <w:rsid w:val="00C27791"/>
    <w:rsid w:val="00C378CC"/>
    <w:rsid w:val="00C76C2F"/>
    <w:rsid w:val="00C7754B"/>
    <w:rsid w:val="00C8563D"/>
    <w:rsid w:val="00C8706C"/>
    <w:rsid w:val="00C936C8"/>
    <w:rsid w:val="00CA1B87"/>
    <w:rsid w:val="00CA79C3"/>
    <w:rsid w:val="00CB1305"/>
    <w:rsid w:val="00CB2B08"/>
    <w:rsid w:val="00CB3622"/>
    <w:rsid w:val="00CC43CD"/>
    <w:rsid w:val="00CC70D5"/>
    <w:rsid w:val="00CD0E5B"/>
    <w:rsid w:val="00CD245D"/>
    <w:rsid w:val="00CD5EE7"/>
    <w:rsid w:val="00CE39FF"/>
    <w:rsid w:val="00CE74A7"/>
    <w:rsid w:val="00CF5170"/>
    <w:rsid w:val="00CF7D5B"/>
    <w:rsid w:val="00D05DF4"/>
    <w:rsid w:val="00D216F1"/>
    <w:rsid w:val="00D22CA1"/>
    <w:rsid w:val="00D3193C"/>
    <w:rsid w:val="00D359F4"/>
    <w:rsid w:val="00D36C24"/>
    <w:rsid w:val="00D45C4B"/>
    <w:rsid w:val="00D509CF"/>
    <w:rsid w:val="00D63143"/>
    <w:rsid w:val="00D84A38"/>
    <w:rsid w:val="00D87CC0"/>
    <w:rsid w:val="00D903D1"/>
    <w:rsid w:val="00DB18C6"/>
    <w:rsid w:val="00DB4380"/>
    <w:rsid w:val="00DC42F6"/>
    <w:rsid w:val="00DE65B7"/>
    <w:rsid w:val="00DF0622"/>
    <w:rsid w:val="00E12693"/>
    <w:rsid w:val="00E12F4A"/>
    <w:rsid w:val="00E13BFB"/>
    <w:rsid w:val="00E1462D"/>
    <w:rsid w:val="00E27F94"/>
    <w:rsid w:val="00E337B9"/>
    <w:rsid w:val="00E3773B"/>
    <w:rsid w:val="00E41F1D"/>
    <w:rsid w:val="00E531A5"/>
    <w:rsid w:val="00E548DB"/>
    <w:rsid w:val="00E550D6"/>
    <w:rsid w:val="00E57E9A"/>
    <w:rsid w:val="00E606EB"/>
    <w:rsid w:val="00E66849"/>
    <w:rsid w:val="00E70DE1"/>
    <w:rsid w:val="00E736FB"/>
    <w:rsid w:val="00E86660"/>
    <w:rsid w:val="00E87900"/>
    <w:rsid w:val="00E87E70"/>
    <w:rsid w:val="00E902BB"/>
    <w:rsid w:val="00E90B1B"/>
    <w:rsid w:val="00E954B7"/>
    <w:rsid w:val="00EA13D0"/>
    <w:rsid w:val="00EA13DB"/>
    <w:rsid w:val="00EA461D"/>
    <w:rsid w:val="00ED3964"/>
    <w:rsid w:val="00EE0C77"/>
    <w:rsid w:val="00EE209A"/>
    <w:rsid w:val="00F00881"/>
    <w:rsid w:val="00F04969"/>
    <w:rsid w:val="00F10666"/>
    <w:rsid w:val="00F16EE6"/>
    <w:rsid w:val="00F223D0"/>
    <w:rsid w:val="00F312FF"/>
    <w:rsid w:val="00F31CE1"/>
    <w:rsid w:val="00F33C63"/>
    <w:rsid w:val="00F34845"/>
    <w:rsid w:val="00F4554E"/>
    <w:rsid w:val="00F500DC"/>
    <w:rsid w:val="00F600EA"/>
    <w:rsid w:val="00F60D27"/>
    <w:rsid w:val="00F64BEB"/>
    <w:rsid w:val="00F705C3"/>
    <w:rsid w:val="00F705F0"/>
    <w:rsid w:val="00F71E94"/>
    <w:rsid w:val="00F8449A"/>
    <w:rsid w:val="00F87694"/>
    <w:rsid w:val="00F92136"/>
    <w:rsid w:val="00FA2665"/>
    <w:rsid w:val="00FB0D37"/>
    <w:rsid w:val="00FB440B"/>
    <w:rsid w:val="00FB7EA0"/>
    <w:rsid w:val="00FC41F6"/>
    <w:rsid w:val="00FE26DF"/>
    <w:rsid w:val="00FE64F6"/>
    <w:rsid w:val="00FF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CABE"/>
  <w15:docId w15:val="{22F7F859-5CFD-414B-8DB1-2851F41C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717"/>
  </w:style>
  <w:style w:type="paragraph" w:styleId="1">
    <w:name w:val="heading 1"/>
    <w:uiPriority w:val="9"/>
    <w:qFormat/>
    <w:rsid w:val="004423DE"/>
    <w:pPr>
      <w:keepNext/>
      <w:keepLines/>
      <w:spacing w:before="480"/>
      <w:outlineLvl w:val="0"/>
    </w:pPr>
    <w:rPr>
      <w:b/>
      <w:sz w:val="32"/>
      <w:szCs w:val="48"/>
    </w:rPr>
  </w:style>
  <w:style w:type="paragraph" w:styleId="2">
    <w:name w:val="heading 2"/>
    <w:uiPriority w:val="9"/>
    <w:unhideWhenUsed/>
    <w:qFormat/>
    <w:rsid w:val="00D709B2"/>
    <w:pPr>
      <w:keepNext/>
      <w:keepLines/>
      <w:spacing w:before="360" w:after="80"/>
      <w:outlineLvl w:val="1"/>
    </w:pPr>
    <w:rPr>
      <w:b/>
      <w:color w:val="2E74B5"/>
      <w:sz w:val="32"/>
      <w:szCs w:val="36"/>
    </w:rPr>
  </w:style>
  <w:style w:type="paragraph" w:styleId="3">
    <w:name w:val="heading 3"/>
    <w:uiPriority w:val="9"/>
    <w:unhideWhenUsed/>
    <w:qFormat/>
    <w:rsid w:val="00100C16"/>
    <w:pPr>
      <w:keepNext/>
      <w:keepLines/>
      <w:spacing w:before="280" w:after="80"/>
      <w:outlineLvl w:val="2"/>
    </w:pPr>
    <w:rPr>
      <w:b/>
      <w:color w:val="757575"/>
      <w:sz w:val="32"/>
      <w:szCs w:val="28"/>
    </w:rPr>
  </w:style>
  <w:style w:type="paragraph" w:styleId="4">
    <w:name w:val="heading 4"/>
    <w:uiPriority w:val="9"/>
    <w:unhideWhenUsed/>
    <w:qFormat/>
    <w:rsid w:val="00100C16"/>
    <w:pPr>
      <w:keepNext/>
      <w:keepLines/>
      <w:spacing w:before="240" w:after="40"/>
      <w:outlineLvl w:val="3"/>
    </w:pPr>
    <w:rPr>
      <w:color w:val="757575"/>
      <w:sz w:val="32"/>
      <w:szCs w:val="24"/>
    </w:rPr>
  </w:style>
  <w:style w:type="paragraph" w:styleId="5">
    <w:name w:val="heading 5"/>
    <w:uiPriority w:val="9"/>
    <w:unhideWhenUsed/>
    <w:qFormat/>
    <w:pPr>
      <w:keepNext/>
      <w:keepLines/>
      <w:spacing w:before="220" w:after="40"/>
      <w:outlineLvl w:val="4"/>
    </w:pPr>
    <w:rPr>
      <w:b/>
    </w:rPr>
  </w:style>
  <w:style w:type="paragraph" w:styleId="6">
    <w:name w:val="heading 6"/>
    <w:uiPriority w:val="9"/>
    <w:unhideWhenUsed/>
    <w:qFormat/>
    <w:rsid w:val="00100C16"/>
    <w:pPr>
      <w:keepNext/>
      <w:keepLines/>
      <w:spacing w:before="200" w:after="40"/>
      <w:outlineLvl w:val="5"/>
    </w:pPr>
    <w:rPr>
      <w:i/>
      <w:color w:val="757575"/>
      <w:szCs w:val="20"/>
    </w:rPr>
  </w:style>
  <w:style w:type="paragraph" w:styleId="7">
    <w:name w:val="heading 7"/>
    <w:basedOn w:val="a"/>
    <w:next w:val="a"/>
    <w:link w:val="70"/>
    <w:uiPriority w:val="9"/>
    <w:unhideWhenUsed/>
    <w:qFormat/>
    <w:rsid w:val="00100C16"/>
    <w:pPr>
      <w:keepNext/>
      <w:keepLines/>
      <w:spacing w:before="40" w:after="0"/>
      <w:outlineLvl w:val="6"/>
    </w:pPr>
    <w:rPr>
      <w:rFonts w:asciiTheme="majorHAnsi" w:eastAsiaTheme="majorEastAsia" w:hAnsiTheme="majorHAnsi" w:cstheme="majorBidi"/>
      <w:iCs/>
      <w:color w:val="757575"/>
    </w:rPr>
  </w:style>
  <w:style w:type="paragraph" w:styleId="8">
    <w:name w:val="heading 8"/>
    <w:basedOn w:val="a"/>
    <w:next w:val="a"/>
    <w:link w:val="80"/>
    <w:uiPriority w:val="9"/>
    <w:unhideWhenUsed/>
    <w:qFormat/>
    <w:rsid w:val="004423DE"/>
    <w:pPr>
      <w:keepNext/>
      <w:keepLines/>
      <w:spacing w:before="40" w:after="0"/>
      <w:outlineLvl w:val="7"/>
    </w:pPr>
    <w:rPr>
      <w:rFonts w:asciiTheme="majorHAnsi" w:eastAsiaTheme="majorEastAsia" w:hAnsiTheme="majorHAnsi" w:cstheme="majorBidi"/>
      <w:i/>
      <w:color w:val="272727" w:themeColor="text1" w:themeTint="D8"/>
      <w:szCs w:val="21"/>
    </w:rPr>
  </w:style>
  <w:style w:type="paragraph" w:styleId="9">
    <w:name w:val="heading 9"/>
    <w:basedOn w:val="a"/>
    <w:next w:val="a"/>
    <w:link w:val="90"/>
    <w:uiPriority w:val="9"/>
    <w:unhideWhenUsed/>
    <w:qFormat/>
    <w:rsid w:val="004423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709B2"/>
    <w:rPr>
      <w:b/>
      <w:color w:val="2E74B5"/>
      <w:u w:val="single"/>
    </w:rPr>
  </w:style>
  <w:style w:type="table" w:styleId="a4">
    <w:name w:val="Table Grid"/>
    <w:basedOn w:val="a1"/>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3A27"/>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F73A27"/>
    <w:rPr>
      <w:rFonts w:ascii="Times New Roman" w:hAnsi="Times New Roman"/>
      <w:sz w:val="24"/>
    </w:rPr>
  </w:style>
  <w:style w:type="paragraph" w:styleId="a7">
    <w:name w:val="footer"/>
    <w:basedOn w:val="a"/>
    <w:link w:val="a8"/>
    <w:uiPriority w:val="99"/>
    <w:unhideWhenUsed/>
    <w:rsid w:val="00F73A27"/>
    <w:pPr>
      <w:tabs>
        <w:tab w:val="center" w:pos="4680"/>
        <w:tab w:val="right" w:pos="9360"/>
      </w:tabs>
      <w:spacing w:after="0" w:line="240" w:lineRule="auto"/>
    </w:pPr>
  </w:style>
  <w:style w:type="character" w:customStyle="1" w:styleId="a8">
    <w:name w:val="Нижний колонтитул Знак"/>
    <w:basedOn w:val="a0"/>
    <w:link w:val="a7"/>
    <w:uiPriority w:val="99"/>
    <w:rsid w:val="00F73A27"/>
    <w:rPr>
      <w:rFonts w:ascii="Times New Roman" w:hAnsi="Times New Roman"/>
      <w:sz w:val="24"/>
    </w:rPr>
  </w:style>
  <w:style w:type="paragraph" w:styleId="a9">
    <w:name w:val="footnote text"/>
    <w:basedOn w:val="a"/>
    <w:link w:val="aa"/>
    <w:uiPriority w:val="99"/>
    <w:semiHidden/>
    <w:unhideWhenUsed/>
    <w:rsid w:val="00F73A27"/>
    <w:pPr>
      <w:spacing w:after="0" w:line="240" w:lineRule="auto"/>
    </w:pPr>
    <w:rPr>
      <w:sz w:val="20"/>
      <w:szCs w:val="20"/>
    </w:rPr>
  </w:style>
  <w:style w:type="character" w:customStyle="1" w:styleId="aa">
    <w:name w:val="Текст сноски Знак"/>
    <w:basedOn w:val="a0"/>
    <w:link w:val="a9"/>
    <w:uiPriority w:val="99"/>
    <w:semiHidden/>
    <w:rsid w:val="00F73A27"/>
    <w:rPr>
      <w:rFonts w:ascii="Times New Roman" w:hAnsi="Times New Roman"/>
      <w:sz w:val="20"/>
      <w:szCs w:val="20"/>
    </w:rPr>
  </w:style>
  <w:style w:type="character" w:styleId="ab">
    <w:name w:val="footnote reference"/>
    <w:basedOn w:val="a0"/>
    <w:uiPriority w:val="99"/>
    <w:semiHidden/>
    <w:unhideWhenUsed/>
    <w:rsid w:val="00F73A27"/>
    <w:rPr>
      <w:rFonts w:ascii="Times New Roman" w:hAnsi="Times New Roman"/>
      <w:sz w:val="24"/>
      <w:vertAlign w:val="superscript"/>
    </w:rPr>
  </w:style>
  <w:style w:type="paragraph" w:styleId="ac">
    <w:name w:val="Title"/>
    <w:basedOn w:val="a"/>
    <w:next w:val="a"/>
    <w:link w:val="ad"/>
    <w:uiPriority w:val="10"/>
    <w:qFormat/>
    <w:rsid w:val="004423D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4423DE"/>
    <w:rPr>
      <w:rFonts w:asciiTheme="majorHAnsi" w:eastAsiaTheme="majorEastAsia" w:hAnsiTheme="majorHAnsi" w:cstheme="majorBidi"/>
      <w:spacing w:val="-10"/>
      <w:kern w:val="28"/>
      <w:sz w:val="56"/>
      <w:szCs w:val="56"/>
    </w:rPr>
  </w:style>
  <w:style w:type="paragraph" w:styleId="ae">
    <w:name w:val="Subtitle"/>
    <w:basedOn w:val="a"/>
    <w:next w:val="a"/>
    <w:link w:val="af"/>
    <w:uiPriority w:val="11"/>
    <w:qFormat/>
    <w:rsid w:val="004423DE"/>
    <w:pPr>
      <w:numPr>
        <w:ilvl w:val="1"/>
      </w:numPr>
      <w:spacing w:after="160"/>
      <w:jc w:val="center"/>
    </w:pPr>
    <w:rPr>
      <w:rFonts w:asciiTheme="minorHAnsi" w:eastAsiaTheme="minorEastAsia"/>
      <w:color w:val="5A5A5A" w:themeColor="text1" w:themeTint="A5"/>
      <w:spacing w:val="15"/>
      <w:sz w:val="22"/>
    </w:rPr>
  </w:style>
  <w:style w:type="character" w:customStyle="1" w:styleId="af">
    <w:name w:val="Подзаголовок Знак"/>
    <w:basedOn w:val="a0"/>
    <w:link w:val="ae"/>
    <w:uiPriority w:val="11"/>
    <w:rsid w:val="004423DE"/>
    <w:rPr>
      <w:rFonts w:asciiTheme="minorHAnsi" w:eastAsiaTheme="minorEastAsia" w:hAnsi="Times New Roman"/>
      <w:color w:val="5A5A5A" w:themeColor="text1" w:themeTint="A5"/>
      <w:spacing w:val="15"/>
      <w:sz w:val="22"/>
    </w:rPr>
  </w:style>
  <w:style w:type="character" w:customStyle="1" w:styleId="70">
    <w:name w:val="Заголовок 7 Знак"/>
    <w:basedOn w:val="a0"/>
    <w:link w:val="7"/>
    <w:uiPriority w:val="9"/>
    <w:rsid w:val="00100C16"/>
    <w:rPr>
      <w:rFonts w:asciiTheme="majorHAnsi" w:eastAsiaTheme="majorEastAsia" w:hAnsiTheme="majorHAnsi" w:cstheme="majorBidi"/>
      <w:iCs/>
      <w:color w:val="757575"/>
    </w:rPr>
  </w:style>
  <w:style w:type="character" w:customStyle="1" w:styleId="80">
    <w:name w:val="Заголовок 8 Знак"/>
    <w:basedOn w:val="a0"/>
    <w:link w:val="8"/>
    <w:uiPriority w:val="9"/>
    <w:rsid w:val="004423DE"/>
    <w:rPr>
      <w:rFonts w:asciiTheme="majorHAnsi" w:eastAsiaTheme="majorEastAsia" w:hAnsiTheme="majorHAnsi" w:cstheme="majorBidi"/>
      <w:i/>
      <w:color w:val="272727" w:themeColor="text1" w:themeTint="D8"/>
      <w:sz w:val="24"/>
      <w:szCs w:val="21"/>
    </w:rPr>
  </w:style>
  <w:style w:type="character" w:customStyle="1" w:styleId="90">
    <w:name w:val="Заголовок 9 Знак"/>
    <w:basedOn w:val="a0"/>
    <w:link w:val="9"/>
    <w:uiPriority w:val="9"/>
    <w:rsid w:val="004423DE"/>
    <w:rPr>
      <w:rFonts w:asciiTheme="majorHAnsi" w:eastAsiaTheme="majorEastAsia" w:hAnsiTheme="majorHAnsi" w:cstheme="majorBidi"/>
      <w:i/>
      <w:iCs/>
      <w:color w:val="272727" w:themeColor="text1" w:themeTint="D8"/>
      <w:sz w:val="21"/>
      <w:szCs w:val="21"/>
    </w:rPr>
  </w:style>
  <w:style w:type="paragraph" w:styleId="af0">
    <w:name w:val="Body Text"/>
    <w:basedOn w:val="a"/>
    <w:link w:val="af1"/>
    <w:uiPriority w:val="99"/>
    <w:unhideWhenUsed/>
    <w:rsid w:val="004423DE"/>
  </w:style>
  <w:style w:type="character" w:customStyle="1" w:styleId="af1">
    <w:name w:val="Основной текст Знак"/>
    <w:basedOn w:val="a0"/>
    <w:link w:val="af0"/>
    <w:uiPriority w:val="99"/>
    <w:rsid w:val="004423DE"/>
    <w:rPr>
      <w:rFonts w:ascii="Times New Roman" w:hAnsi="Times New Roman"/>
      <w:sz w:val="24"/>
    </w:rPr>
  </w:style>
  <w:style w:type="paragraph" w:customStyle="1" w:styleId="Author">
    <w:name w:val="Author"/>
    <w:basedOn w:val="a"/>
    <w:qFormat/>
    <w:rsid w:val="004423DE"/>
    <w:pPr>
      <w:jc w:val="center"/>
    </w:pPr>
  </w:style>
  <w:style w:type="paragraph" w:styleId="af2">
    <w:name w:val="Date"/>
    <w:basedOn w:val="a"/>
    <w:next w:val="a"/>
    <w:link w:val="af3"/>
    <w:uiPriority w:val="99"/>
    <w:unhideWhenUsed/>
    <w:rsid w:val="004423DE"/>
    <w:pPr>
      <w:jc w:val="center"/>
    </w:pPr>
  </w:style>
  <w:style w:type="character" w:customStyle="1" w:styleId="af3">
    <w:name w:val="Дата Знак"/>
    <w:basedOn w:val="a0"/>
    <w:link w:val="af2"/>
    <w:uiPriority w:val="99"/>
    <w:rsid w:val="004423DE"/>
    <w:rPr>
      <w:rFonts w:ascii="Times New Roman" w:hAnsi="Times New Roman"/>
      <w:sz w:val="24"/>
    </w:rPr>
  </w:style>
  <w:style w:type="paragraph" w:customStyle="1" w:styleId="Abstract">
    <w:name w:val="Abstract"/>
    <w:qFormat/>
    <w:rsid w:val="004423DE"/>
  </w:style>
  <w:style w:type="paragraph" w:customStyle="1" w:styleId="FirstParagraph">
    <w:name w:val="First Paragraph"/>
    <w:basedOn w:val="af0"/>
    <w:next w:val="af0"/>
    <w:qFormat/>
    <w:rsid w:val="004423DE"/>
  </w:style>
  <w:style w:type="paragraph" w:styleId="af4">
    <w:name w:val="Block Text"/>
    <w:basedOn w:val="a"/>
    <w:uiPriority w:val="99"/>
    <w:unhideWhenUsed/>
    <w:rsid w:val="00F36162"/>
    <w:pPr>
      <w:ind w:left="288" w:right="1152"/>
    </w:pPr>
    <w:rPr>
      <w:rFonts w:asciiTheme="minorHAnsi" w:eastAsiaTheme="minorEastAsia"/>
      <w:iCs/>
      <w:color w:val="000000" w:themeColor="text1"/>
    </w:rPr>
  </w:style>
  <w:style w:type="paragraph" w:customStyle="1" w:styleId="Compact">
    <w:name w:val="Compact"/>
    <w:basedOn w:val="af0"/>
    <w:qFormat/>
    <w:rsid w:val="0069216D"/>
    <w:pPr>
      <w:spacing w:before="36" w:after="36" w:line="240" w:lineRule="auto"/>
    </w:pPr>
    <w:rPr>
      <w:rFonts w:hAnsi="Times New Roman"/>
      <w:szCs w:val="24"/>
    </w:rPr>
  </w:style>
  <w:style w:type="table" w:customStyle="1" w:styleId="Table">
    <w:name w:val="Table"/>
    <w:semiHidden/>
    <w:unhideWhenUsed/>
    <w:qFormat/>
    <w:rsid w:val="005F0DC0"/>
    <w:pPr>
      <w:spacing w:after="200" w:line="240" w:lineRule="auto"/>
    </w:pPr>
    <w:rPr>
      <w:rFonts w:asciiTheme="minorHAnsi"/>
      <w:sz w:val="20"/>
      <w:szCs w:val="24"/>
      <w:lang w:val="ru-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20">
    <w:name w:val="Body Text 2"/>
    <w:basedOn w:val="a"/>
    <w:link w:val="21"/>
    <w:uiPriority w:val="99"/>
    <w:unhideWhenUsed/>
    <w:rsid w:val="00E441C9"/>
    <w:pPr>
      <w:spacing w:line="480" w:lineRule="auto"/>
    </w:pPr>
  </w:style>
  <w:style w:type="character" w:customStyle="1" w:styleId="21">
    <w:name w:val="Основной текст 2 Знак"/>
    <w:basedOn w:val="a0"/>
    <w:link w:val="20"/>
    <w:uiPriority w:val="99"/>
    <w:rsid w:val="00E441C9"/>
  </w:style>
  <w:style w:type="character" w:customStyle="1" w:styleId="green-char-style">
    <w:name w:val="green-char-style"/>
    <w:basedOn w:val="a0"/>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af5">
    <w:name w:val="page number"/>
    <w:basedOn w:val="a0"/>
    <w:uiPriority w:val="99"/>
    <w:semiHidden/>
    <w:unhideWhenUsed/>
    <w:rsid w:val="00B363AB"/>
  </w:style>
  <w:style w:type="paragraph" w:customStyle="1" w:styleId="SourceCode">
    <w:name w:val="Source Code"/>
    <w:basedOn w:val="a"/>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af6">
    <w:name w:val="List Paragraph"/>
    <w:basedOn w:val="a"/>
    <w:uiPriority w:val="34"/>
    <w:qFormat/>
    <w:rsid w:val="004C13BC"/>
    <w:pPr>
      <w:ind w:left="720"/>
      <w:contextualSpacing/>
    </w:pPr>
  </w:style>
  <w:style w:type="character" w:styleId="af7">
    <w:name w:val="FollowedHyperlink"/>
    <w:basedOn w:val="a0"/>
    <w:uiPriority w:val="99"/>
    <w:semiHidden/>
    <w:unhideWhenUsed/>
    <w:rsid w:val="009D6167"/>
    <w:rPr>
      <w:color w:val="954F72" w:themeColor="followedHyperlink"/>
      <w:u w:val="single"/>
    </w:rPr>
  </w:style>
  <w:style w:type="paragraph" w:styleId="af8">
    <w:name w:val="Balloon Text"/>
    <w:basedOn w:val="a"/>
    <w:link w:val="af9"/>
    <w:uiPriority w:val="99"/>
    <w:semiHidden/>
    <w:unhideWhenUsed/>
    <w:rsid w:val="004A5FC7"/>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4A5FC7"/>
    <w:rPr>
      <w:rFonts w:ascii="Segoe UI" w:hAnsi="Segoe UI" w:cs="Segoe UI"/>
      <w:sz w:val="18"/>
      <w:szCs w:val="18"/>
    </w:rPr>
  </w:style>
  <w:style w:type="character" w:customStyle="1" w:styleId="10">
    <w:name w:val="Неразрешенное упоминание1"/>
    <w:basedOn w:val="a0"/>
    <w:uiPriority w:val="99"/>
    <w:semiHidden/>
    <w:unhideWhenUsed/>
    <w:rsid w:val="00F312FF"/>
    <w:rPr>
      <w:color w:val="605E5C"/>
      <w:shd w:val="clear" w:color="auto" w:fill="E1DFDD"/>
    </w:rPr>
  </w:style>
  <w:style w:type="character" w:styleId="afa">
    <w:name w:val="annotation reference"/>
    <w:basedOn w:val="a0"/>
    <w:uiPriority w:val="99"/>
    <w:semiHidden/>
    <w:unhideWhenUsed/>
    <w:rsid w:val="00997C2F"/>
    <w:rPr>
      <w:sz w:val="16"/>
      <w:szCs w:val="16"/>
    </w:rPr>
  </w:style>
  <w:style w:type="paragraph" w:styleId="afb">
    <w:name w:val="annotation text"/>
    <w:basedOn w:val="a"/>
    <w:link w:val="afc"/>
    <w:uiPriority w:val="99"/>
    <w:semiHidden/>
    <w:unhideWhenUsed/>
    <w:rsid w:val="00997C2F"/>
    <w:pPr>
      <w:spacing w:line="240" w:lineRule="auto"/>
    </w:pPr>
    <w:rPr>
      <w:sz w:val="20"/>
      <w:szCs w:val="20"/>
    </w:rPr>
  </w:style>
  <w:style w:type="character" w:customStyle="1" w:styleId="afc">
    <w:name w:val="Текст примечания Знак"/>
    <w:basedOn w:val="a0"/>
    <w:link w:val="afb"/>
    <w:uiPriority w:val="99"/>
    <w:semiHidden/>
    <w:rsid w:val="00997C2F"/>
    <w:rPr>
      <w:sz w:val="20"/>
      <w:szCs w:val="20"/>
    </w:rPr>
  </w:style>
  <w:style w:type="paragraph" w:styleId="afd">
    <w:name w:val="annotation subject"/>
    <w:basedOn w:val="afb"/>
    <w:next w:val="afb"/>
    <w:link w:val="afe"/>
    <w:uiPriority w:val="99"/>
    <w:semiHidden/>
    <w:unhideWhenUsed/>
    <w:rsid w:val="00997C2F"/>
    <w:rPr>
      <w:b/>
      <w:bCs/>
    </w:rPr>
  </w:style>
  <w:style w:type="character" w:customStyle="1" w:styleId="afe">
    <w:name w:val="Тема примечания Знак"/>
    <w:basedOn w:val="afc"/>
    <w:link w:val="afd"/>
    <w:uiPriority w:val="99"/>
    <w:semiHidden/>
    <w:rsid w:val="00997C2F"/>
    <w:rPr>
      <w:b/>
      <w:bCs/>
      <w:sz w:val="20"/>
      <w:szCs w:val="20"/>
    </w:rPr>
  </w:style>
  <w:style w:type="paragraph" w:styleId="aff">
    <w:name w:val="Revision"/>
    <w:hidden/>
    <w:uiPriority w:val="99"/>
    <w:semiHidden/>
    <w:rsid w:val="000F34A5"/>
    <w:pPr>
      <w:spacing w:after="0" w:line="240" w:lineRule="auto"/>
    </w:pPr>
  </w:style>
  <w:style w:type="paragraph" w:customStyle="1" w:styleId="ds-markdown-paragraph">
    <w:name w:val="ds-markdown-paragraph"/>
    <w:basedOn w:val="a"/>
    <w:rsid w:val="00686E34"/>
    <w:pPr>
      <w:spacing w:before="100" w:beforeAutospacing="1" w:after="100" w:afterAutospacing="1" w:line="240" w:lineRule="auto"/>
    </w:pPr>
    <w:rPr>
      <w:rFonts w:eastAsia="Times New Roman" w:hAnsi="Times New Roman" w:cs="Times New Roman"/>
      <w:szCs w:val="24"/>
    </w:rPr>
  </w:style>
  <w:style w:type="paragraph" w:customStyle="1" w:styleId="Disclaimer">
    <w:name w:val="Disclaimer"/>
    <w:basedOn w:val="a"/>
    <w:qFormat/>
    <w:rsid w:val="00826AA9"/>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asciiTheme="minorHAnsi" w:eastAsiaTheme="minorHAnsi"/>
      <w:color w:val="00000A"/>
      <w:szCs w:val="24"/>
    </w:rPr>
  </w:style>
  <w:style w:type="paragraph" w:customStyle="1" w:styleId="DisclaimerBold">
    <w:name w:val="Disclaimer Bold"/>
    <w:basedOn w:val="Disclaimer"/>
    <w:qFormat/>
    <w:rsid w:val="00826AA9"/>
    <w:pPr>
      <w:jc w:val="left"/>
    </w:pPr>
    <w:rPr>
      <w:b/>
    </w:rPr>
  </w:style>
  <w:style w:type="character" w:styleId="aff0">
    <w:name w:val="Unresolved Mention"/>
    <w:basedOn w:val="a0"/>
    <w:uiPriority w:val="99"/>
    <w:semiHidden/>
    <w:unhideWhenUsed/>
    <w:rsid w:val="00826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5802">
      <w:bodyDiv w:val="1"/>
      <w:marLeft w:val="0"/>
      <w:marRight w:val="0"/>
      <w:marTop w:val="0"/>
      <w:marBottom w:val="0"/>
      <w:divBdr>
        <w:top w:val="none" w:sz="0" w:space="0" w:color="auto"/>
        <w:left w:val="none" w:sz="0" w:space="0" w:color="auto"/>
        <w:bottom w:val="none" w:sz="0" w:space="0" w:color="auto"/>
        <w:right w:val="none" w:sz="0" w:space="0" w:color="auto"/>
      </w:divBdr>
    </w:div>
    <w:div w:id="190339812">
      <w:bodyDiv w:val="1"/>
      <w:marLeft w:val="0"/>
      <w:marRight w:val="0"/>
      <w:marTop w:val="0"/>
      <w:marBottom w:val="0"/>
      <w:divBdr>
        <w:top w:val="none" w:sz="0" w:space="0" w:color="auto"/>
        <w:left w:val="none" w:sz="0" w:space="0" w:color="auto"/>
        <w:bottom w:val="none" w:sz="0" w:space="0" w:color="auto"/>
        <w:right w:val="none" w:sz="0" w:space="0" w:color="auto"/>
      </w:divBdr>
    </w:div>
    <w:div w:id="215701147">
      <w:bodyDiv w:val="1"/>
      <w:marLeft w:val="0"/>
      <w:marRight w:val="0"/>
      <w:marTop w:val="0"/>
      <w:marBottom w:val="0"/>
      <w:divBdr>
        <w:top w:val="none" w:sz="0" w:space="0" w:color="auto"/>
        <w:left w:val="none" w:sz="0" w:space="0" w:color="auto"/>
        <w:bottom w:val="none" w:sz="0" w:space="0" w:color="auto"/>
        <w:right w:val="none" w:sz="0" w:space="0" w:color="auto"/>
      </w:divBdr>
    </w:div>
    <w:div w:id="256867056">
      <w:bodyDiv w:val="1"/>
      <w:marLeft w:val="0"/>
      <w:marRight w:val="0"/>
      <w:marTop w:val="0"/>
      <w:marBottom w:val="0"/>
      <w:divBdr>
        <w:top w:val="none" w:sz="0" w:space="0" w:color="auto"/>
        <w:left w:val="none" w:sz="0" w:space="0" w:color="auto"/>
        <w:bottom w:val="none" w:sz="0" w:space="0" w:color="auto"/>
        <w:right w:val="none" w:sz="0" w:space="0" w:color="auto"/>
      </w:divBdr>
    </w:div>
    <w:div w:id="406809885">
      <w:bodyDiv w:val="1"/>
      <w:marLeft w:val="0"/>
      <w:marRight w:val="0"/>
      <w:marTop w:val="0"/>
      <w:marBottom w:val="0"/>
      <w:divBdr>
        <w:top w:val="none" w:sz="0" w:space="0" w:color="auto"/>
        <w:left w:val="none" w:sz="0" w:space="0" w:color="auto"/>
        <w:bottom w:val="none" w:sz="0" w:space="0" w:color="auto"/>
        <w:right w:val="none" w:sz="0" w:space="0" w:color="auto"/>
      </w:divBdr>
    </w:div>
    <w:div w:id="474758563">
      <w:bodyDiv w:val="1"/>
      <w:marLeft w:val="0"/>
      <w:marRight w:val="0"/>
      <w:marTop w:val="0"/>
      <w:marBottom w:val="0"/>
      <w:divBdr>
        <w:top w:val="none" w:sz="0" w:space="0" w:color="auto"/>
        <w:left w:val="none" w:sz="0" w:space="0" w:color="auto"/>
        <w:bottom w:val="none" w:sz="0" w:space="0" w:color="auto"/>
        <w:right w:val="none" w:sz="0" w:space="0" w:color="auto"/>
      </w:divBdr>
    </w:div>
    <w:div w:id="520168155">
      <w:bodyDiv w:val="1"/>
      <w:marLeft w:val="0"/>
      <w:marRight w:val="0"/>
      <w:marTop w:val="0"/>
      <w:marBottom w:val="0"/>
      <w:divBdr>
        <w:top w:val="none" w:sz="0" w:space="0" w:color="auto"/>
        <w:left w:val="none" w:sz="0" w:space="0" w:color="auto"/>
        <w:bottom w:val="none" w:sz="0" w:space="0" w:color="auto"/>
        <w:right w:val="none" w:sz="0" w:space="0" w:color="auto"/>
      </w:divBdr>
    </w:div>
    <w:div w:id="915095216">
      <w:bodyDiv w:val="1"/>
      <w:marLeft w:val="0"/>
      <w:marRight w:val="0"/>
      <w:marTop w:val="0"/>
      <w:marBottom w:val="0"/>
      <w:divBdr>
        <w:top w:val="none" w:sz="0" w:space="0" w:color="auto"/>
        <w:left w:val="none" w:sz="0" w:space="0" w:color="auto"/>
        <w:bottom w:val="none" w:sz="0" w:space="0" w:color="auto"/>
        <w:right w:val="none" w:sz="0" w:space="0" w:color="auto"/>
      </w:divBdr>
    </w:div>
    <w:div w:id="1024290631">
      <w:bodyDiv w:val="1"/>
      <w:marLeft w:val="0"/>
      <w:marRight w:val="0"/>
      <w:marTop w:val="0"/>
      <w:marBottom w:val="0"/>
      <w:divBdr>
        <w:top w:val="none" w:sz="0" w:space="0" w:color="auto"/>
        <w:left w:val="none" w:sz="0" w:space="0" w:color="auto"/>
        <w:bottom w:val="none" w:sz="0" w:space="0" w:color="auto"/>
        <w:right w:val="none" w:sz="0" w:space="0" w:color="auto"/>
      </w:divBdr>
    </w:div>
    <w:div w:id="1354572441">
      <w:bodyDiv w:val="1"/>
      <w:marLeft w:val="0"/>
      <w:marRight w:val="0"/>
      <w:marTop w:val="0"/>
      <w:marBottom w:val="0"/>
      <w:divBdr>
        <w:top w:val="none" w:sz="0" w:space="0" w:color="auto"/>
        <w:left w:val="none" w:sz="0" w:space="0" w:color="auto"/>
        <w:bottom w:val="none" w:sz="0" w:space="0" w:color="auto"/>
        <w:right w:val="none" w:sz="0" w:space="0" w:color="auto"/>
      </w:divBdr>
      <w:divsChild>
        <w:div w:id="1465729127">
          <w:marLeft w:val="0"/>
          <w:marRight w:val="0"/>
          <w:marTop w:val="0"/>
          <w:marBottom w:val="0"/>
          <w:divBdr>
            <w:top w:val="none" w:sz="0" w:space="0" w:color="auto"/>
            <w:left w:val="none" w:sz="0" w:space="0" w:color="auto"/>
            <w:bottom w:val="none" w:sz="0" w:space="0" w:color="auto"/>
            <w:right w:val="none" w:sz="0" w:space="0" w:color="auto"/>
          </w:divBdr>
        </w:div>
      </w:divsChild>
    </w:div>
    <w:div w:id="2057391434">
      <w:bodyDiv w:val="1"/>
      <w:marLeft w:val="0"/>
      <w:marRight w:val="0"/>
      <w:marTop w:val="0"/>
      <w:marBottom w:val="0"/>
      <w:divBdr>
        <w:top w:val="none" w:sz="0" w:space="0" w:color="auto"/>
        <w:left w:val="none" w:sz="0" w:space="0" w:color="auto"/>
        <w:bottom w:val="none" w:sz="0" w:space="0" w:color="auto"/>
        <w:right w:val="none" w:sz="0" w:space="0" w:color="auto"/>
      </w:divBdr>
    </w:div>
    <w:div w:id="2059937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shenzhen-reforms-new-hong-kong-shenzhen-dual-listing-opportunities/" TargetMode="External"/><Relationship Id="rId13" Type="http://schemas.openxmlformats.org/officeDocument/2006/relationships/hyperlink" Target="https://www.charltonslaw.com/hkex-listing-rule-changes-for-prc-issuers-effective-1-august-202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kex.com.hk/-/media/HKEX-Market/News/News-Release/2025/250430news/250430news_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nsubscribe@charltonslaw.com?subject=unsubscribe%20-Hong%20Kong%20La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www.gov.cn/news/202506/19/content_WS68534817c6d0868f4e8f3736.html" TargetMode="External"/><Relationship Id="rId5" Type="http://schemas.openxmlformats.org/officeDocument/2006/relationships/webSettings" Target="webSettings.xml"/><Relationship Id="rId15" Type="http://schemas.openxmlformats.org/officeDocument/2006/relationships/hyperlink" Target="https://www.hkex.com.hk/News/Regulatory-Announcements/2024/241018news?sc_lang=en" TargetMode="External"/><Relationship Id="rId10" Type="http://schemas.openxmlformats.org/officeDocument/2006/relationships/hyperlink" Target="https://www.metal.com/en/newscontent/1033830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glish.www.gov.cn/policies/latestreleases/202506/10/content_WS684823b4c6d0868f4e8f33d1.html" TargetMode="External"/><Relationship Id="rId14" Type="http://schemas.openxmlformats.org/officeDocument/2006/relationships/hyperlink" Target="https://www.charltonslaw.com/hong-kong-launches-dedicated-technology-enterprises-channel-for-the-listing-of-specialist-technology-companies-and-biotech-compan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y.com/en_cn/newsroom/2025/06/a-h-listings-support-hk-reclaiming-the-top-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細明體"/>
        <a:cs typeface=""/>
      </a:majorFont>
      <a:minorFont>
        <a:latin typeface="Times New Roman"/>
        <a:ea typeface="新細明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75B4131-46B1-4D21-8198-C3696C43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CoCounsel Skill Results</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lastModifiedBy>Microsoft Office User</cp:lastModifiedBy>
  <cp:revision>6</cp:revision>
  <dcterms:created xsi:type="dcterms:W3CDTF">2025-06-20T05:48:00Z</dcterms:created>
  <dcterms:modified xsi:type="dcterms:W3CDTF">2025-06-23T05:29:00Z</dcterms:modified>
</cp:coreProperties>
</file>