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8" w:rsidRDefault="00616A74">
      <w:pPr>
        <w:pStyle w:val="BlackStrips"/>
      </w:pPr>
      <w:r>
        <w:t>Charltons - Hong Kong Law - 12 May 2025</w:t>
      </w:r>
    </w:p>
    <w:p w:rsidR="000B08D8" w:rsidRDefault="00616A74">
      <w:pPr>
        <w:pStyle w:val="ReadOnline"/>
      </w:pPr>
      <w:hyperlink r:id="rId7">
        <w:r>
          <w:t>online version</w:t>
        </w:r>
      </w:hyperlink>
    </w:p>
    <w:p w:rsidR="000B08D8" w:rsidRDefault="00616A74">
      <w:pPr>
        <w:pStyle w:val="Title"/>
      </w:pPr>
      <w:r>
        <w:t xml:space="preserve">HKMA and Cyberport Launch Second Cohort of GenAI Sandbox to Drive </w:t>
      </w:r>
      <w:r>
        <w:t>Banks’ AI Adoption</w:t>
      </w:r>
    </w:p>
    <w:p w:rsidR="000B08D8" w:rsidRDefault="00616A74">
      <w:pPr>
        <w:pStyle w:val="FirstParagraph"/>
      </w:pPr>
      <w:r>
        <w:t>The Hong Kong Monetary Authority (</w:t>
      </w:r>
      <w:r>
        <w:rPr>
          <w:b/>
        </w:rPr>
        <w:t>HKMA</w:t>
      </w:r>
      <w:r>
        <w:t>) and Hong Kong Cyberport Management Company Limited (</w:t>
      </w:r>
      <w:r>
        <w:rPr>
          <w:b/>
        </w:rPr>
        <w:t>Cyberport</w:t>
      </w:r>
      <w:r>
        <w:t>) have launched the second cohort of the Generative Artificial Intelligence (GenAI) Sandbox initiative to provide a risk-controlled envi</w:t>
      </w:r>
      <w:r>
        <w:t xml:space="preserve">ronment for banks to develop and test AI-powered solutions. In its </w:t>
      </w:r>
      <w:hyperlink r:id="rId8">
        <w:r w:rsidRPr="00616A74">
          <w:rPr>
            <w:color w:val="FF0000"/>
            <w:u w:val="single"/>
          </w:rPr>
          <w:t>press release</w:t>
        </w:r>
      </w:hyperlink>
      <w:r>
        <w:t xml:space="preserve"> of 28 April 2025, the HKMA encourages banks to participate in the second cohor</w:t>
      </w:r>
      <w:r>
        <w:t>t of the GenAI Sandbox to stay ahead in AI-driven risk management and, in particular, to proactively defend themselves and their customers against increasingly prolific deepfake scams.</w:t>
      </w:r>
    </w:p>
    <w:p w:rsidR="000B08D8" w:rsidRPr="00616A74" w:rsidRDefault="00616A74">
      <w:pPr>
        <w:pStyle w:val="Heading2"/>
        <w:rPr>
          <w:color w:val="000000" w:themeColor="text1"/>
        </w:rPr>
      </w:pPr>
      <w:bookmarkStart w:id="0" w:name="key-developments"/>
      <w:r w:rsidRPr="00616A74">
        <w:rPr>
          <w:color w:val="000000" w:themeColor="text1"/>
        </w:rPr>
        <w:t>KEY DEVELOPMENTS</w:t>
      </w:r>
      <w:bookmarkEnd w:id="0"/>
    </w:p>
    <w:p w:rsidR="000B08D8" w:rsidRDefault="00616A74">
      <w:pPr>
        <w:pStyle w:val="Heading2"/>
      </w:pPr>
      <w:bookmarkStart w:id="1" w:name="X3b5fff136884dfd00727616f04d25b02eb6bcb7"/>
      <w:r>
        <w:t>1. Expansion of the GenAI Sandbox Initiative</w:t>
      </w:r>
      <w:bookmarkEnd w:id="1"/>
    </w:p>
    <w:p w:rsidR="000B08D8" w:rsidRDefault="00616A74">
      <w:pPr>
        <w:pStyle w:val="FirstParagraph"/>
      </w:pPr>
      <w:r>
        <w:t xml:space="preserve">Building </w:t>
      </w:r>
      <w:r>
        <w:t>on the success of the first cohort launched in January 2024, the second cohort of the HKMA’s GenAI Sandbox will continue to explore high-impact use cases, focusing in particular on:</w:t>
      </w:r>
    </w:p>
    <w:p w:rsidR="000B08D8" w:rsidRDefault="00616A74">
      <w:pPr>
        <w:pStyle w:val="Compact"/>
        <w:numPr>
          <w:ilvl w:val="0"/>
          <w:numId w:val="3"/>
        </w:numPr>
      </w:pPr>
      <w:r>
        <w:t>Risk management enhancements;</w:t>
      </w:r>
    </w:p>
    <w:p w:rsidR="000B08D8" w:rsidRDefault="00616A74">
      <w:pPr>
        <w:pStyle w:val="Compact"/>
        <w:numPr>
          <w:ilvl w:val="0"/>
          <w:numId w:val="3"/>
        </w:numPr>
      </w:pPr>
      <w:r>
        <w:t>Anti-fraud measures; and</w:t>
      </w:r>
    </w:p>
    <w:p w:rsidR="000B08D8" w:rsidRDefault="00616A74">
      <w:pPr>
        <w:pStyle w:val="Compact"/>
        <w:numPr>
          <w:ilvl w:val="0"/>
          <w:numId w:val="3"/>
        </w:numPr>
      </w:pPr>
      <w:r>
        <w:t>Improvements in cus</w:t>
      </w:r>
      <w:r>
        <w:t>tomer experience.</w:t>
      </w:r>
    </w:p>
    <w:p w:rsidR="000B08D8" w:rsidRDefault="00616A74">
      <w:pPr>
        <w:pStyle w:val="Heading2"/>
      </w:pPr>
      <w:bookmarkStart w:id="2" w:name="X9b641b810f43838e4d2da2d7d317fcac53b71e9"/>
      <w:r>
        <w:t>2. Introduction of the GenAI Sandbox Collaboratory Platform</w:t>
      </w:r>
      <w:bookmarkEnd w:id="2"/>
    </w:p>
    <w:p w:rsidR="000B08D8" w:rsidRDefault="00616A74">
      <w:pPr>
        <w:pStyle w:val="FirstParagraph"/>
      </w:pPr>
      <w:r>
        <w:t>A notable addition to the second cohort is the GenAI Sandbox Collaboratory platform, a structured platform hosting practical workshops designed to:</w:t>
      </w:r>
    </w:p>
    <w:p w:rsidR="000B08D8" w:rsidRDefault="00616A74">
      <w:pPr>
        <w:pStyle w:val="Compact"/>
        <w:numPr>
          <w:ilvl w:val="0"/>
          <w:numId w:val="4"/>
        </w:numPr>
      </w:pPr>
      <w:r>
        <w:t>Facilitate early engagement be</w:t>
      </w:r>
      <w:r>
        <w:t>tween banks and technology providers;</w:t>
      </w:r>
    </w:p>
    <w:p w:rsidR="000B08D8" w:rsidRDefault="00616A74">
      <w:pPr>
        <w:pStyle w:val="Compact"/>
        <w:numPr>
          <w:ilvl w:val="0"/>
          <w:numId w:val="4"/>
        </w:numPr>
      </w:pPr>
      <w:r>
        <w:t>Translate problem statements into actionable AI use cases; and</w:t>
      </w:r>
    </w:p>
    <w:p w:rsidR="000B08D8" w:rsidRDefault="00616A74">
      <w:pPr>
        <w:pStyle w:val="Compact"/>
        <w:numPr>
          <w:ilvl w:val="0"/>
          <w:numId w:val="4"/>
        </w:numPr>
      </w:pPr>
      <w:r>
        <w:t>Accelerate the development of regulation-compliant solutions.</w:t>
      </w:r>
    </w:p>
    <w:p w:rsidR="000B08D8" w:rsidRDefault="00616A74">
      <w:pPr>
        <w:pStyle w:val="FirstParagraph"/>
      </w:pPr>
      <w:r>
        <w:t>A dedicated workshop on combating deepfake scams will also be held in the coming weeks, bring</w:t>
      </w:r>
      <w:r>
        <w:t>ing together tech firms, digital banks and SMEs to share detection tools and mitigation strategies against AI-enabled fraud.</w:t>
      </w:r>
    </w:p>
    <w:p w:rsidR="000B08D8" w:rsidRDefault="00616A74">
      <w:pPr>
        <w:pStyle w:val="Heading2"/>
      </w:pPr>
      <w:bookmarkStart w:id="3" w:name="X95879594c8157379d6439630dcea1f2645552f5"/>
      <w:r>
        <w:t>3. Strategic Focus on “AI vs. AI” and Risk Mitigation</w:t>
      </w:r>
      <w:bookmarkEnd w:id="3"/>
    </w:p>
    <w:p w:rsidR="000B08D8" w:rsidRDefault="00616A74">
      <w:pPr>
        <w:pStyle w:val="FirstParagraph"/>
      </w:pPr>
      <w:r>
        <w:t>According to HKMA Deputy Chief Executive, Mr. Arthur Yuen, this second cohort</w:t>
      </w:r>
      <w:r>
        <w:t xml:space="preserve"> will explore the potential of “AI versus AI”, that is leveraging AI to counter emerging AI-related risks. The HKMA encourages banks to integrate AI into their second and third lines of defence to strengthen risk management frameworks while benefiting from</w:t>
      </w:r>
      <w:r>
        <w:t xml:space="preserve"> AI developments.</w:t>
      </w:r>
    </w:p>
    <w:p w:rsidR="000B08D8" w:rsidRDefault="00616A74">
      <w:pPr>
        <w:pStyle w:val="Heading2"/>
      </w:pPr>
      <w:bookmarkStart w:id="4" w:name="X4523eec4bf2fd539eb2380f5436fd836e444d15"/>
      <w:r>
        <w:t>4. FiNETech5 Event Highlights Industry Collaboration</w:t>
      </w:r>
      <w:bookmarkEnd w:id="4"/>
    </w:p>
    <w:p w:rsidR="000B08D8" w:rsidRDefault="00616A74">
      <w:pPr>
        <w:pStyle w:val="FirstParagraph"/>
      </w:pPr>
      <w:r>
        <w:t>The launch of the second cohort was announced by Carmen Chu, HKMA Executive Director (Banking Supervision) (</w:t>
      </w:r>
      <w:r>
        <w:rPr>
          <w:b/>
        </w:rPr>
        <w:t>Ms Chu</w:t>
      </w:r>
      <w:r>
        <w:t>), during FiNETech5, an event attended by over 150 AI practitioners fro</w:t>
      </w:r>
      <w:r>
        <w:t xml:space="preserve">m the banking and tech sectors. Key takeaways from her </w:t>
      </w:r>
      <w:hyperlink r:id="rId9">
        <w:r>
          <w:t>Opening Remarks at FiNETech5</w:t>
        </w:r>
      </w:hyperlink>
      <w:r>
        <w:t xml:space="preserve"> covered the following areas.</w:t>
      </w:r>
    </w:p>
    <w:p w:rsidR="000B08D8" w:rsidRPr="00616A74" w:rsidRDefault="00616A74">
      <w:pPr>
        <w:pStyle w:val="Heading3"/>
        <w:rPr>
          <w:color w:val="auto"/>
        </w:rPr>
      </w:pPr>
      <w:bookmarkStart w:id="5" w:name="X39ea8342c40b599627a24fe72f9eba45225978c"/>
      <w:r w:rsidRPr="00616A74">
        <w:rPr>
          <w:color w:val="auto"/>
        </w:rPr>
        <w:lastRenderedPageBreak/>
        <w:t>Data Readiness: The Foundation for Effective GenAI D</w:t>
      </w:r>
      <w:r w:rsidRPr="00616A74">
        <w:rPr>
          <w:color w:val="auto"/>
        </w:rPr>
        <w:t>eployment</w:t>
      </w:r>
      <w:bookmarkEnd w:id="5"/>
    </w:p>
    <w:p w:rsidR="000B08D8" w:rsidRDefault="00616A74">
      <w:pPr>
        <w:pStyle w:val="Compact"/>
        <w:numPr>
          <w:ilvl w:val="0"/>
          <w:numId w:val="5"/>
        </w:numPr>
      </w:pPr>
      <w:r>
        <w:t>Ms Chu emphasised the need for financial institutions to invest in scalable data infrastructure and governance frameworks to support their AI adoption;</w:t>
      </w:r>
    </w:p>
    <w:p w:rsidR="000B08D8" w:rsidRDefault="00616A74">
      <w:pPr>
        <w:pStyle w:val="Compact"/>
        <w:numPr>
          <w:ilvl w:val="0"/>
          <w:numId w:val="5"/>
        </w:numPr>
      </w:pPr>
      <w:r>
        <w:t>Commenting that high-quality data is essential for training and testing AI models, and that da</w:t>
      </w:r>
      <w:r>
        <w:t>ta collection and annotation can be time-intensive, particularly for unstructured or novel data formats, she noted the need for banks to establish repeatable pipelines to process unstructured data efficiently (e.g., fraud investigations involving financial</w:t>
      </w:r>
      <w:r>
        <w:t xml:space="preserve"> proofs, application forms and transaction histories); and</w:t>
      </w:r>
    </w:p>
    <w:p w:rsidR="000B08D8" w:rsidRDefault="00616A74">
      <w:pPr>
        <w:pStyle w:val="Compact"/>
        <w:numPr>
          <w:ilvl w:val="0"/>
          <w:numId w:val="5"/>
        </w:numPr>
      </w:pPr>
      <w:r>
        <w:t>Some banks, for example, are leveraging GenAI to synthesise and preprocess data, allowing them to accelerate preparation while ensuring accuracy.</w:t>
      </w:r>
    </w:p>
    <w:p w:rsidR="000B08D8" w:rsidRPr="00616A74" w:rsidRDefault="00616A74">
      <w:pPr>
        <w:pStyle w:val="Heading3"/>
        <w:rPr>
          <w:color w:val="auto"/>
        </w:rPr>
      </w:pPr>
      <w:bookmarkStart w:id="6" w:name="Xf2a9e33106f79df86bbac70ac291da98ff5f443"/>
      <w:r w:rsidRPr="00616A74">
        <w:rPr>
          <w:color w:val="auto"/>
        </w:rPr>
        <w:t>Holistic Model Evaluation: Beyond Conventional Metr</w:t>
      </w:r>
      <w:r w:rsidRPr="00616A74">
        <w:rPr>
          <w:color w:val="auto"/>
        </w:rPr>
        <w:t>ics</w:t>
      </w:r>
      <w:bookmarkEnd w:id="6"/>
    </w:p>
    <w:p w:rsidR="000B08D8" w:rsidRDefault="00616A74">
      <w:pPr>
        <w:pStyle w:val="Compact"/>
        <w:numPr>
          <w:ilvl w:val="0"/>
          <w:numId w:val="6"/>
        </w:numPr>
      </w:pPr>
      <w:r>
        <w:t>Ms Chu noted the need for financial institutions to adopt a holistic approach to evaluating model performance. While public benchmarks can provide a useful reference point, banks need to develop their own custom evaluation metrics tailored to their use</w:t>
      </w:r>
      <w:r>
        <w:t xml:space="preserve"> cases.</w:t>
      </w:r>
    </w:p>
    <w:p w:rsidR="000B08D8" w:rsidRDefault="00616A74">
      <w:pPr>
        <w:pStyle w:val="Compact"/>
        <w:numPr>
          <w:ilvl w:val="0"/>
          <w:numId w:val="6"/>
        </w:numPr>
      </w:pPr>
      <w:r>
        <w:t>For customer-facing applications (e.g., GenAI chatbots), continuous post-deployment monitoring is also critical to ensuring accuracy, professionalism and reliability.</w:t>
      </w:r>
    </w:p>
    <w:p w:rsidR="000B08D8" w:rsidRDefault="00616A74">
      <w:pPr>
        <w:pStyle w:val="Compact"/>
        <w:numPr>
          <w:ilvl w:val="0"/>
          <w:numId w:val="6"/>
        </w:numPr>
      </w:pPr>
      <w:r>
        <w:t>Unlike traditional User Acceptance Testing—which uses binary pass/fail criteria—GenAI solutions require multidimensional metrics (e.g., response completeness, contextual accuracy and consistency over time).</w:t>
      </w:r>
    </w:p>
    <w:p w:rsidR="000B08D8" w:rsidRPr="00616A74" w:rsidRDefault="00616A74">
      <w:pPr>
        <w:pStyle w:val="Heading3"/>
        <w:rPr>
          <w:color w:val="auto"/>
        </w:rPr>
      </w:pPr>
      <w:bookmarkStart w:id="7" w:name="Xaf3e46b763344798e50febfd4c794170975fee0"/>
      <w:r w:rsidRPr="00616A74">
        <w:rPr>
          <w:color w:val="auto"/>
        </w:rPr>
        <w:t>Rethinking Fine-Tuning Strategies for Large Langu</w:t>
      </w:r>
      <w:r w:rsidRPr="00616A74">
        <w:rPr>
          <w:color w:val="auto"/>
        </w:rPr>
        <w:t>age Models (LLMs)</w:t>
      </w:r>
      <w:bookmarkEnd w:id="7"/>
    </w:p>
    <w:p w:rsidR="000B08D8" w:rsidRDefault="00616A74">
      <w:pPr>
        <w:pStyle w:val="Compact"/>
        <w:numPr>
          <w:ilvl w:val="0"/>
          <w:numId w:val="7"/>
        </w:numPr>
      </w:pPr>
      <w:r>
        <w:t>Ms Chu also made the point that banks should critically reassess if legacy fine-tuning approaches are cost-effective or if newer LLMs can achieve comparable results with minimal customisation.</w:t>
      </w:r>
    </w:p>
    <w:p w:rsidR="000B08D8" w:rsidRDefault="00616A74">
      <w:pPr>
        <w:pStyle w:val="Compact"/>
        <w:numPr>
          <w:ilvl w:val="0"/>
          <w:numId w:val="7"/>
        </w:numPr>
      </w:pPr>
      <w:r>
        <w:t xml:space="preserve">Early adopters fine-tuned models extensively </w:t>
      </w:r>
      <w:r>
        <w:t>(e.g., using past samples to structure outputs such as funding proposals).</w:t>
      </w:r>
    </w:p>
    <w:p w:rsidR="000B08D8" w:rsidRDefault="00616A74">
      <w:pPr>
        <w:pStyle w:val="Compact"/>
        <w:numPr>
          <w:ilvl w:val="0"/>
          <w:numId w:val="7"/>
        </w:numPr>
      </w:pPr>
      <w:r>
        <w:t>However, advancements in LLMs—such as improved reasoning and “mixture of experts” capabilities—raise questions as to whether heavy fine-tuning is still necessary.</w:t>
      </w:r>
    </w:p>
    <w:p w:rsidR="000B08D8" w:rsidRPr="00616A74" w:rsidRDefault="00616A74">
      <w:pPr>
        <w:pStyle w:val="Heading3"/>
        <w:rPr>
          <w:color w:val="auto"/>
        </w:rPr>
      </w:pPr>
      <w:bookmarkStart w:id="8" w:name="Xf5b9ff934912a58bd7d421ad7e39e64ee04b768"/>
      <w:r w:rsidRPr="00616A74">
        <w:rPr>
          <w:color w:val="auto"/>
        </w:rPr>
        <w:t>Conclusion: Strate</w:t>
      </w:r>
      <w:r w:rsidRPr="00616A74">
        <w:rPr>
          <w:color w:val="auto"/>
        </w:rPr>
        <w:t>gic Priorities for Banks</w:t>
      </w:r>
      <w:bookmarkEnd w:id="8"/>
    </w:p>
    <w:p w:rsidR="000B08D8" w:rsidRDefault="00616A74">
      <w:pPr>
        <w:pStyle w:val="FirstParagraph"/>
      </w:pPr>
      <w:r>
        <w:t>The key takeaways for banks are that they need to:</w:t>
      </w:r>
      <w:bookmarkStart w:id="9" w:name="_GoBack"/>
      <w:bookmarkEnd w:id="9"/>
    </w:p>
    <w:p w:rsidR="000B08D8" w:rsidRDefault="00616A74">
      <w:pPr>
        <w:pStyle w:val="Compact"/>
        <w:numPr>
          <w:ilvl w:val="0"/>
          <w:numId w:val="8"/>
        </w:numPr>
      </w:pPr>
      <w:r>
        <w:t>Invest in data infrastructure to handle unstructured data at scale;</w:t>
      </w:r>
    </w:p>
    <w:p w:rsidR="000B08D8" w:rsidRDefault="00616A74">
      <w:pPr>
        <w:pStyle w:val="Compact"/>
        <w:numPr>
          <w:ilvl w:val="0"/>
          <w:numId w:val="8"/>
        </w:numPr>
      </w:pPr>
      <w:r>
        <w:t>Develop tailored evaluation frameworks to ensure GenAI solutions meet operational and regulatory standards; and</w:t>
      </w:r>
    </w:p>
    <w:p w:rsidR="000B08D8" w:rsidRDefault="00616A74">
      <w:pPr>
        <w:pStyle w:val="Compact"/>
        <w:numPr>
          <w:ilvl w:val="0"/>
          <w:numId w:val="8"/>
        </w:numPr>
      </w:pPr>
      <w:r>
        <w:t>Re-evaluate fine-tuning practices in light of evolving LLM capabilities to optimise resource allocation.</w:t>
      </w:r>
    </w:p>
    <w:p w:rsidR="000B08D8" w:rsidRDefault="00616A74">
      <w:pPr>
        <w:pStyle w:val="DisclaimerBold"/>
      </w:pPr>
      <w:r>
        <w:t>This newsletter is for information purposes only.</w:t>
      </w:r>
    </w:p>
    <w:p w:rsidR="000B08D8" w:rsidRDefault="00616A74">
      <w:pPr>
        <w:pStyle w:val="Disclaimer"/>
      </w:pPr>
      <w:r>
        <w:t>Its contents do not constitute legal advice and it should  not be regarded as a substitute for detail</w:t>
      </w:r>
      <w:r>
        <w:t>ed advice  in individual cases.</w:t>
      </w:r>
    </w:p>
    <w:p w:rsidR="000B08D8" w:rsidRDefault="00616A74">
      <w:pPr>
        <w:pStyle w:val="Disclaimer"/>
      </w:pPr>
      <w:r>
        <w:t>Transmission of this information is not intended to create and receipt does not constitute a lawyer-client relationship between Charltons and the user or browser.</w:t>
      </w:r>
    </w:p>
    <w:p w:rsidR="000B08D8" w:rsidRDefault="00616A74">
      <w:pPr>
        <w:pStyle w:val="Disclaimer"/>
      </w:pPr>
      <w:r>
        <w:t xml:space="preserve">Charltons is not responsible for any third party content </w:t>
      </w:r>
      <w:r>
        <w:t>which can be accessed through the website.</w:t>
      </w:r>
    </w:p>
    <w:p w:rsidR="000B08D8" w:rsidRDefault="00616A74">
      <w:pPr>
        <w:pStyle w:val="Disclaimer"/>
      </w:pPr>
      <w:r>
        <w:t xml:space="preserve">If you do not wish to receive this newsletter please let us know by emailing us at  </w:t>
      </w:r>
      <w:hyperlink r:id="rId10">
        <w:r>
          <w:t>unsubscribe@charltonslaw.com</w:t>
        </w:r>
      </w:hyperlink>
    </w:p>
    <w:p w:rsidR="000B08D8" w:rsidRDefault="00616A74">
      <w:pPr>
        <w:pStyle w:val="BlackStrips"/>
      </w:pPr>
      <w:r>
        <w:t>Charltons</w:t>
      </w:r>
      <w:r>
        <w:t xml:space="preserve"> - Hong Kong Law - 12 May 2025</w:t>
      </w:r>
    </w:p>
    <w:sectPr w:rsidR="000B08D8">
      <w:pgSz w:w="11906" w:h="16838"/>
      <w:pgMar w:top="864" w:right="864" w:bottom="864" w:left="86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6A74">
      <w:pPr>
        <w:spacing w:after="0"/>
      </w:pPr>
      <w:r>
        <w:separator/>
      </w:r>
    </w:p>
  </w:endnote>
  <w:endnote w:type="continuationSeparator" w:id="0">
    <w:p w:rsidR="00000000" w:rsidRDefault="00616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D8" w:rsidRDefault="00616A74">
      <w:r>
        <w:separator/>
      </w:r>
    </w:p>
  </w:footnote>
  <w:footnote w:type="continuationSeparator" w:id="0">
    <w:p w:rsidR="000B08D8" w:rsidRDefault="0061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BA5E513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0E005D7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664019D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B08D8"/>
    <w:rsid w:val="004E29B3"/>
    <w:rsid w:val="00590D07"/>
    <w:rsid w:val="00616A74"/>
    <w:rsid w:val="00784D58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29678-F157-471E-A04E-12AD2827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color w:val="00000A"/>
      <w:sz w:val="24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143C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143C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143C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C0143C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C0143C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C014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link w:val="Caption"/>
    <w:qFormat/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</w:rPr>
  </w:style>
  <w:style w:type="character" w:customStyle="1" w:styleId="FootnoteAnchor">
    <w:name w:val="Footnote Anchor"/>
    <w:basedOn w:val="CaptionChar"/>
    <w:rPr>
      <w:vertAlign w:val="superscript"/>
    </w:rPr>
  </w:style>
  <w:style w:type="character" w:customStyle="1" w:styleId="InternetLink">
    <w:name w:val="Internet Link"/>
    <w:basedOn w:val="CaptionChar"/>
    <w:rPr>
      <w:color w:val="C0143C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qFormat/>
    <w:pPr>
      <w:spacing w:before="180" w:after="180"/>
      <w:jc w:val="both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FirstParagraph">
    <w:name w:val="First Paragraph"/>
    <w:basedOn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qFormat/>
    <w:pPr>
      <w:keepNext/>
      <w:keepLines/>
      <w:spacing w:before="480" w:after="240"/>
    </w:pPr>
    <w:rPr>
      <w:rFonts w:asciiTheme="majorHAnsi" w:eastAsiaTheme="majorEastAsia" w:hAnsiTheme="majorHAnsi" w:cstheme="majorBidi"/>
      <w:b/>
      <w:bCs/>
      <w:color w:val="C0143C"/>
      <w:sz w:val="36"/>
      <w:szCs w:val="36"/>
    </w:rPr>
  </w:style>
  <w:style w:type="paragraph" w:styleId="Subtitle">
    <w:name w:val="Subtitle"/>
    <w:basedOn w:val="Title"/>
    <w:qFormat/>
    <w:pPr>
      <w:spacing w:before="240"/>
      <w:jc w:val="center"/>
    </w:pPr>
    <w:rPr>
      <w:sz w:val="30"/>
      <w:szCs w:val="30"/>
    </w:rPr>
  </w:style>
  <w:style w:type="paragraph" w:customStyle="1" w:styleId="Author">
    <w:name w:val="Author"/>
    <w:qFormat/>
    <w:pPr>
      <w:keepNext/>
      <w:keepLines/>
      <w:jc w:val="center"/>
    </w:pPr>
    <w:rPr>
      <w:color w:val="00000A"/>
      <w:sz w:val="24"/>
    </w:rPr>
  </w:style>
  <w:style w:type="paragraph" w:styleId="Date">
    <w:name w:val="Date"/>
    <w:qFormat/>
    <w:pPr>
      <w:keepNext/>
      <w:keepLines/>
      <w:jc w:val="center"/>
    </w:pPr>
    <w:rPr>
      <w:color w:val="00000A"/>
      <w:sz w:val="24"/>
    </w:rPr>
  </w:style>
  <w:style w:type="paragraph" w:customStyle="1" w:styleId="Abstract">
    <w:name w:val="Abstract"/>
    <w:basedOn w:val="Normal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Caption"/>
    <w:qFormat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  <w:qFormat/>
  </w:style>
  <w:style w:type="paragraph" w:customStyle="1" w:styleId="FigurewithCaption">
    <w:name w:val="Figure with Caption"/>
    <w:basedOn w:val="Figure"/>
    <w:qFormat/>
    <w:pPr>
      <w:keepNext/>
    </w:pPr>
  </w:style>
  <w:style w:type="paragraph" w:styleId="TOCHeading">
    <w:name w:val="TOC Heading"/>
    <w:basedOn w:val="Heading1"/>
    <w:uiPriority w:val="39"/>
    <w:unhideWhenUsed/>
    <w:qFormat/>
    <w:pPr>
      <w:spacing w:before="240" w:line="259" w:lineRule="auto"/>
    </w:pPr>
    <w:rPr>
      <w:b w:val="0"/>
      <w:bCs w:val="0"/>
    </w:rPr>
  </w:style>
  <w:style w:type="paragraph" w:customStyle="1" w:styleId="Disclaimer">
    <w:name w:val="Disclaimer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shd w:val="clear" w:color="auto" w:fill="DDDDDD"/>
      <w:spacing w:before="101" w:after="101"/>
      <w:jc w:val="both"/>
    </w:pPr>
  </w:style>
  <w:style w:type="paragraph" w:customStyle="1" w:styleId="BlackStrips">
    <w:name w:val="Black Strips"/>
    <w:basedOn w:val="Normal"/>
    <w:qFormat/>
    <w:pPr>
      <w:shd w:val="clear" w:color="auto" w:fill="000000"/>
      <w:jc w:val="center"/>
    </w:pPr>
    <w:rPr>
      <w:color w:val="FFFFFF"/>
    </w:rPr>
  </w:style>
  <w:style w:type="paragraph" w:customStyle="1" w:styleId="DisclaimerBold">
    <w:name w:val="Disclaimer Bold"/>
    <w:basedOn w:val="Disclaimer"/>
    <w:qFormat/>
    <w:pPr>
      <w:jc w:val="left"/>
    </w:pPr>
    <w:rPr>
      <w:b/>
    </w:rPr>
  </w:style>
  <w:style w:type="paragraph" w:customStyle="1" w:styleId="ReadOnline">
    <w:name w:val="Read Online"/>
    <w:basedOn w:val="Normal"/>
    <w:qFormat/>
    <w:pPr>
      <w:jc w:val="center"/>
    </w:pPr>
    <w:rPr>
      <w:sz w:val="28"/>
      <w:u w:val="single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ma.gov.hk/eng/news-and-media/press-releases/2025/04/20250428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arltonslaw.com/hkma-and-cyberport-launch-second-cohort-of-genai-sandbox-to-drive-banks-ai-adop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nsubscribe@charltonslaw.com?subject=unsubscribe%20-Hong%20Kong%20Law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kma.gov.hk/eng/news-and-media/speeches/2025/04/20250428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870</Words>
  <Characters>4961</Characters>
  <Application>Microsoft Office Word</Application>
  <DocSecurity>0</DocSecurity>
  <Lines>41</Lines>
  <Paragraphs>11</Paragraphs>
  <ScaleCrop>false</ScaleCrop>
  <Company>Charltons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Tails Kun Yin Xiang</cp:lastModifiedBy>
  <cp:revision>2</cp:revision>
  <dcterms:created xsi:type="dcterms:W3CDTF">2025-05-12T04:21:00Z</dcterms:created>
  <dcterms:modified xsi:type="dcterms:W3CDTF">2025-05-12T04:23:00Z</dcterms:modified>
</cp:coreProperties>
</file>