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7D86" w:rsidRPr="008524CA" w:rsidRDefault="009D7D86" w:rsidP="009D7D86">
      <w:pPr>
        <w:shd w:val="clear" w:color="auto" w:fill="000000"/>
        <w:spacing w:after="200"/>
        <w:jc w:val="center"/>
        <w:rPr>
          <w:rFonts w:ascii="Cambria" w:eastAsia="Cambria" w:hAnsi="Cambria" w:cs="Times New Roman"/>
          <w:color w:val="FFFFFF"/>
        </w:rPr>
      </w:pPr>
      <w:r>
        <w:rPr>
          <w:rFonts w:ascii="Cambria" w:eastAsia="Cambria" w:hAnsi="Cambria" w:cs="Times New Roman"/>
          <w:color w:val="FFFFFF"/>
        </w:rPr>
        <w:t xml:space="preserve">Charltons - Hong Kong Law – </w:t>
      </w:r>
      <w:r w:rsidR="00237F0D">
        <w:t>5</w:t>
      </w:r>
      <w:r w:rsidR="00046619">
        <w:t xml:space="preserve"> </w:t>
      </w:r>
      <w:r w:rsidR="00237F0D">
        <w:t>February</w:t>
      </w:r>
      <w:r w:rsidR="00046619">
        <w:t xml:space="preserve"> 2025</w:t>
      </w:r>
    </w:p>
    <w:p w:rsidR="009D7D86" w:rsidRPr="00046619" w:rsidRDefault="009D7D86" w:rsidP="009D7D86">
      <w:pPr>
        <w:spacing w:after="200"/>
        <w:jc w:val="center"/>
        <w:rPr>
          <w:rFonts w:ascii="Cambria" w:eastAsia="Cambria" w:hAnsi="Cambria" w:cs="Times New Roman"/>
          <w:color w:val="000000" w:themeColor="text1"/>
          <w:sz w:val="28"/>
          <w:u w:val="single"/>
        </w:rPr>
      </w:pPr>
      <w:hyperlink r:id="rId8" w:history="1">
        <w:r w:rsidRPr="00046619">
          <w:rPr>
            <w:rStyle w:val="a5"/>
            <w:rFonts w:ascii="Cambria" w:eastAsia="Cambria" w:hAnsi="Cambria"/>
            <w:color w:val="000000" w:themeColor="text1"/>
            <w:sz w:val="28"/>
          </w:rPr>
          <w:t>online version</w:t>
        </w:r>
      </w:hyperlink>
    </w:p>
    <w:p w:rsidR="009D7D86" w:rsidRDefault="009D7D86"/>
    <w:p w:rsidR="009D7D86" w:rsidRPr="003E49F3" w:rsidRDefault="00EA3405" w:rsidP="00046619">
      <w:pPr>
        <w:rPr>
          <w:b/>
          <w:color w:val="FF0000"/>
          <w:sz w:val="36"/>
          <w:szCs w:val="36"/>
        </w:rPr>
      </w:pPr>
      <w:r w:rsidRPr="003E49F3">
        <w:rPr>
          <w:b/>
          <w:color w:val="FF0000"/>
          <w:sz w:val="36"/>
          <w:szCs w:val="36"/>
        </w:rPr>
        <w:t xml:space="preserve">HKEX </w:t>
      </w:r>
      <w:r w:rsidR="00080058" w:rsidRPr="00080058">
        <w:rPr>
          <w:rFonts w:cstheme="minorHAnsi"/>
          <w:b/>
          <w:bCs/>
          <w:color w:val="FF0000"/>
          <w:sz w:val="36"/>
          <w:szCs w:val="36"/>
          <w:shd w:val="clear" w:color="auto" w:fill="FFFFFF"/>
        </w:rPr>
        <w:t>Consults on IPO Price Discovery, Open Market Requirements and HK OTC Market</w:t>
      </w:r>
    </w:p>
    <w:p w:rsidR="009D7D86" w:rsidRDefault="009D7D86" w:rsidP="009D7D86">
      <w:pPr>
        <w:rPr>
          <w:b/>
          <w:sz w:val="24"/>
        </w:rPr>
      </w:pPr>
    </w:p>
    <w:p w:rsidR="00B60100" w:rsidRPr="00B16AC2" w:rsidRDefault="009D7D86" w:rsidP="00B60100">
      <w:pPr>
        <w:jc w:val="both"/>
        <w:rPr>
          <w:rFonts w:cstheme="minorHAnsi"/>
          <w:sz w:val="24"/>
          <w:szCs w:val="24"/>
        </w:rPr>
      </w:pPr>
      <w:r>
        <w:rPr>
          <w:sz w:val="24"/>
        </w:rPr>
        <w:t>In December 2024, the Hong Kong Exchanges and Cl</w:t>
      </w:r>
      <w:r w:rsidR="00643743">
        <w:rPr>
          <w:sz w:val="24"/>
        </w:rPr>
        <w:t>earing Limited (</w:t>
      </w:r>
      <w:r w:rsidR="00643743" w:rsidRPr="00DE5733">
        <w:rPr>
          <w:b/>
          <w:sz w:val="24"/>
        </w:rPr>
        <w:t>HKEX</w:t>
      </w:r>
      <w:r w:rsidR="0036276E">
        <w:rPr>
          <w:sz w:val="24"/>
        </w:rPr>
        <w:t xml:space="preserve">) issued its </w:t>
      </w:r>
      <w:hyperlink r:id="rId9" w:history="1">
        <w:r w:rsidR="0036276E" w:rsidRPr="0036276E">
          <w:rPr>
            <w:rStyle w:val="a5"/>
            <w:sz w:val="24"/>
          </w:rPr>
          <w:t>C</w:t>
        </w:r>
        <w:r w:rsidRPr="0036276E">
          <w:rPr>
            <w:rStyle w:val="a5"/>
            <w:sz w:val="24"/>
          </w:rPr>
          <w:t xml:space="preserve">onsultation </w:t>
        </w:r>
        <w:r w:rsidR="0036276E" w:rsidRPr="0036276E">
          <w:rPr>
            <w:rStyle w:val="a5"/>
            <w:sz w:val="24"/>
          </w:rPr>
          <w:t>Paper on Proposals to O</w:t>
        </w:r>
        <w:r w:rsidRPr="0036276E">
          <w:rPr>
            <w:rStyle w:val="a5"/>
            <w:sz w:val="24"/>
          </w:rPr>
          <w:t>ptimise IPO</w:t>
        </w:r>
        <w:r w:rsidR="00257141" w:rsidRPr="0036276E">
          <w:rPr>
            <w:rStyle w:val="a5"/>
            <w:sz w:val="24"/>
          </w:rPr>
          <w:t xml:space="preserve"> </w:t>
        </w:r>
        <w:r w:rsidR="0036276E" w:rsidRPr="0036276E">
          <w:rPr>
            <w:rStyle w:val="a5"/>
            <w:sz w:val="24"/>
          </w:rPr>
          <w:t>Price Discovery and Open Market R</w:t>
        </w:r>
        <w:r w:rsidR="00257141" w:rsidRPr="0036276E">
          <w:rPr>
            <w:rStyle w:val="a5"/>
            <w:sz w:val="24"/>
          </w:rPr>
          <w:t>equirements</w:t>
        </w:r>
      </w:hyperlink>
      <w:r w:rsidR="0036276E">
        <w:rPr>
          <w:sz w:val="24"/>
        </w:rPr>
        <w:t xml:space="preserve"> </w:t>
      </w:r>
      <w:r w:rsidR="00643743">
        <w:rPr>
          <w:sz w:val="24"/>
        </w:rPr>
        <w:t>(</w:t>
      </w:r>
      <w:r w:rsidR="00C814B3" w:rsidRPr="00C814B3">
        <w:rPr>
          <w:b/>
          <w:sz w:val="24"/>
        </w:rPr>
        <w:t>HKEX</w:t>
      </w:r>
      <w:r w:rsidR="00C814B3">
        <w:rPr>
          <w:sz w:val="24"/>
        </w:rPr>
        <w:t xml:space="preserve"> </w:t>
      </w:r>
      <w:r w:rsidR="00643743" w:rsidRPr="0036276E">
        <w:rPr>
          <w:b/>
          <w:sz w:val="24"/>
        </w:rPr>
        <w:t>Consultation Paper</w:t>
      </w:r>
      <w:r w:rsidR="00643743">
        <w:rPr>
          <w:sz w:val="24"/>
        </w:rPr>
        <w:t>)</w:t>
      </w:r>
      <w:r w:rsidR="008370DC">
        <w:rPr>
          <w:sz w:val="24"/>
        </w:rPr>
        <w:t xml:space="preserve"> proposing</w:t>
      </w:r>
      <w:r w:rsidR="0036276E">
        <w:rPr>
          <w:sz w:val="24"/>
        </w:rPr>
        <w:t xml:space="preserve"> </w:t>
      </w:r>
      <w:r w:rsidR="00EA3405">
        <w:rPr>
          <w:sz w:val="24"/>
        </w:rPr>
        <w:t>significant reforms to</w:t>
      </w:r>
      <w:r w:rsidR="00B60100">
        <w:rPr>
          <w:sz w:val="24"/>
        </w:rPr>
        <w:t xml:space="preserve"> </w:t>
      </w:r>
      <w:r w:rsidR="008370DC">
        <w:rPr>
          <w:sz w:val="24"/>
        </w:rPr>
        <w:t xml:space="preserve">the Hong Kong </w:t>
      </w:r>
      <w:r w:rsidR="0045270B">
        <w:rPr>
          <w:sz w:val="24"/>
        </w:rPr>
        <w:t xml:space="preserve">IPO </w:t>
      </w:r>
      <w:r w:rsidR="008370DC">
        <w:rPr>
          <w:sz w:val="24"/>
        </w:rPr>
        <w:t xml:space="preserve">offering process </w:t>
      </w:r>
      <w:r w:rsidR="00B60100">
        <w:rPr>
          <w:sz w:val="24"/>
        </w:rPr>
        <w:t xml:space="preserve">and </w:t>
      </w:r>
      <w:r w:rsidR="0045270B">
        <w:rPr>
          <w:sz w:val="24"/>
        </w:rPr>
        <w:t xml:space="preserve">the </w:t>
      </w:r>
      <w:r w:rsidR="00B60100">
        <w:rPr>
          <w:sz w:val="24"/>
        </w:rPr>
        <w:t>open market requirements.</w:t>
      </w:r>
      <w:r w:rsidR="00B16AC2">
        <w:rPr>
          <w:sz w:val="24"/>
        </w:rPr>
        <w:t xml:space="preserve"> </w:t>
      </w:r>
      <w:r w:rsidR="00B16AC2" w:rsidRPr="00B16AC2">
        <w:rPr>
          <w:rFonts w:cstheme="minorHAnsi"/>
          <w:color w:val="000000"/>
          <w:sz w:val="24"/>
          <w:szCs w:val="24"/>
          <w:shd w:val="clear" w:color="auto" w:fill="FFFFFF"/>
        </w:rPr>
        <w:t>The HKEX Consultation Paper is also seeking feedback on the desirability of a Hong Kong OTC market.</w:t>
      </w:r>
    </w:p>
    <w:p w:rsidR="008F0EB3" w:rsidRDefault="00B60100" w:rsidP="00B60100">
      <w:pPr>
        <w:jc w:val="both"/>
        <w:rPr>
          <w:sz w:val="24"/>
        </w:rPr>
      </w:pPr>
      <w:r>
        <w:rPr>
          <w:sz w:val="24"/>
        </w:rPr>
        <w:t>The HKEX is requesting feedback on the proposal</w:t>
      </w:r>
      <w:r w:rsidR="00DE5733">
        <w:rPr>
          <w:sz w:val="24"/>
        </w:rPr>
        <w:t>s</w:t>
      </w:r>
      <w:r>
        <w:rPr>
          <w:sz w:val="24"/>
        </w:rPr>
        <w:t xml:space="preserve"> and has set a cut-off date for comments of 19 March 2025.</w:t>
      </w:r>
    </w:p>
    <w:p w:rsidR="00A13E1F" w:rsidRDefault="00CE0AC4" w:rsidP="00B60100">
      <w:pPr>
        <w:jc w:val="both"/>
        <w:rPr>
          <w:b/>
          <w:color w:val="FF0000"/>
          <w:sz w:val="24"/>
        </w:rPr>
      </w:pPr>
      <w:r>
        <w:rPr>
          <w:b/>
          <w:color w:val="FF0000"/>
          <w:sz w:val="24"/>
        </w:rPr>
        <w:t xml:space="preserve">Part I: </w:t>
      </w:r>
      <w:r w:rsidR="00C814B3">
        <w:rPr>
          <w:b/>
          <w:color w:val="FF0000"/>
          <w:sz w:val="24"/>
        </w:rPr>
        <w:t xml:space="preserve">HKEX </w:t>
      </w:r>
      <w:r w:rsidR="008F0EB3" w:rsidRPr="003E49F3">
        <w:rPr>
          <w:b/>
          <w:color w:val="FF0000"/>
          <w:sz w:val="24"/>
        </w:rPr>
        <w:t>Proposals</w:t>
      </w:r>
      <w:r w:rsidR="008F0EB3" w:rsidRPr="008F0EB3">
        <w:rPr>
          <w:b/>
          <w:color w:val="FF0000"/>
          <w:sz w:val="24"/>
        </w:rPr>
        <w:t xml:space="preserve"> on Open Market Requirements</w:t>
      </w:r>
    </w:p>
    <w:p w:rsidR="008F0EB3" w:rsidRPr="00EA3405" w:rsidRDefault="008F0EB3" w:rsidP="00B60100">
      <w:pPr>
        <w:jc w:val="both"/>
        <w:rPr>
          <w:b/>
          <w:i/>
          <w:sz w:val="24"/>
        </w:rPr>
      </w:pPr>
      <w:r w:rsidRPr="00EA3405">
        <w:rPr>
          <w:b/>
          <w:i/>
          <w:sz w:val="24"/>
        </w:rPr>
        <w:t>Propose</w:t>
      </w:r>
      <w:r w:rsidR="00DE5733" w:rsidRPr="00EA3405">
        <w:rPr>
          <w:b/>
          <w:i/>
          <w:sz w:val="24"/>
        </w:rPr>
        <w:t>d</w:t>
      </w:r>
      <w:r w:rsidRPr="00EA3405">
        <w:rPr>
          <w:b/>
          <w:i/>
          <w:sz w:val="24"/>
        </w:rPr>
        <w:t xml:space="preserve"> changes to the calculation of public float percentage</w:t>
      </w:r>
    </w:p>
    <w:p w:rsidR="000B038A" w:rsidRDefault="00A37BC5" w:rsidP="00B60100">
      <w:pPr>
        <w:jc w:val="both"/>
        <w:rPr>
          <w:sz w:val="24"/>
        </w:rPr>
      </w:pPr>
      <w:r>
        <w:rPr>
          <w:sz w:val="24"/>
        </w:rPr>
        <w:t xml:space="preserve">The “public float” requirement under the </w:t>
      </w:r>
      <w:r w:rsidR="00DE5733">
        <w:rPr>
          <w:sz w:val="24"/>
        </w:rPr>
        <w:t xml:space="preserve">HKEX </w:t>
      </w:r>
      <w:r>
        <w:rPr>
          <w:sz w:val="24"/>
        </w:rPr>
        <w:t>Listing Rules refers to the portion of an issuer’s listed shares held by the public</w:t>
      </w:r>
      <w:r w:rsidR="00A06D8C">
        <w:rPr>
          <w:sz w:val="24"/>
        </w:rPr>
        <w:t>,</w:t>
      </w:r>
      <w:r>
        <w:rPr>
          <w:sz w:val="24"/>
        </w:rPr>
        <w:t xml:space="preserve"> expressed </w:t>
      </w:r>
      <w:r w:rsidR="00A06D8C">
        <w:rPr>
          <w:sz w:val="24"/>
        </w:rPr>
        <w:t>as a</w:t>
      </w:r>
      <w:r w:rsidR="000B038A">
        <w:rPr>
          <w:sz w:val="24"/>
        </w:rPr>
        <w:t xml:space="preserve"> percentage. </w:t>
      </w:r>
      <w:r w:rsidR="00F839AC">
        <w:rPr>
          <w:sz w:val="24"/>
        </w:rPr>
        <w:t xml:space="preserve">The HKEX requires a minimum public float of </w:t>
      </w:r>
      <w:r w:rsidR="00F839AC" w:rsidRPr="000E74E4">
        <w:rPr>
          <w:sz w:val="24"/>
          <w:szCs w:val="24"/>
        </w:rPr>
        <w:t>25%</w:t>
      </w:r>
      <w:r w:rsidR="00F839AC" w:rsidRPr="000E74E4">
        <w:rPr>
          <w:sz w:val="24"/>
          <w:szCs w:val="24"/>
          <w:lang w:val="en"/>
        </w:rPr>
        <w:t xml:space="preserve"> </w:t>
      </w:r>
      <w:r w:rsidR="00F839AC" w:rsidRPr="000E74E4">
        <w:rPr>
          <w:rStyle w:val="hgkelc"/>
          <w:sz w:val="24"/>
          <w:szCs w:val="24"/>
          <w:lang w:val="en"/>
        </w:rPr>
        <w:t>—</w:t>
      </w:r>
      <w:r w:rsidR="00F839AC" w:rsidRPr="000E74E4">
        <w:rPr>
          <w:sz w:val="24"/>
          <w:szCs w:val="24"/>
        </w:rPr>
        <w:t xml:space="preserve"> i.e., </w:t>
      </w:r>
      <w:r w:rsidR="00F839AC">
        <w:rPr>
          <w:sz w:val="24"/>
        </w:rPr>
        <w:t xml:space="preserve">at least </w:t>
      </w:r>
      <w:r w:rsidR="008F3523">
        <w:rPr>
          <w:sz w:val="24"/>
        </w:rPr>
        <w:t>25% of a listed issuer’s</w:t>
      </w:r>
      <w:r w:rsidR="00B42EE6">
        <w:rPr>
          <w:sz w:val="24"/>
        </w:rPr>
        <w:t xml:space="preserve"> issued share</w:t>
      </w:r>
      <w:r w:rsidR="00A06D8C">
        <w:rPr>
          <w:sz w:val="24"/>
        </w:rPr>
        <w:t xml:space="preserve">s (excluding treasury shares) </w:t>
      </w:r>
      <w:r w:rsidR="008F3523">
        <w:rPr>
          <w:sz w:val="24"/>
        </w:rPr>
        <w:t xml:space="preserve">must be </w:t>
      </w:r>
      <w:r w:rsidR="00A06D8C">
        <w:rPr>
          <w:sz w:val="24"/>
        </w:rPr>
        <w:t>held by the public;</w:t>
      </w:r>
      <w:r w:rsidR="00B42EE6">
        <w:rPr>
          <w:sz w:val="24"/>
        </w:rPr>
        <w:t xml:space="preserve"> </w:t>
      </w:r>
      <w:r w:rsidR="008F3523">
        <w:rPr>
          <w:sz w:val="24"/>
        </w:rPr>
        <w:t xml:space="preserve">although </w:t>
      </w:r>
      <w:r w:rsidR="001D7758">
        <w:rPr>
          <w:sz w:val="24"/>
        </w:rPr>
        <w:t>the HKEX may allow a lower</w:t>
      </w:r>
      <w:r w:rsidR="00B42EE6">
        <w:rPr>
          <w:sz w:val="24"/>
        </w:rPr>
        <w:t xml:space="preserve"> minimum public float </w:t>
      </w:r>
      <w:r w:rsidR="00926A5C">
        <w:rPr>
          <w:sz w:val="24"/>
        </w:rPr>
        <w:t>for companies with a market capitalisation of HK$10 billion</w:t>
      </w:r>
      <w:r w:rsidR="00B55C9A">
        <w:rPr>
          <w:sz w:val="24"/>
        </w:rPr>
        <w:t xml:space="preserve"> or more</w:t>
      </w:r>
      <w:r w:rsidR="00B42EE6">
        <w:rPr>
          <w:sz w:val="24"/>
        </w:rPr>
        <w:t xml:space="preserve">. </w:t>
      </w:r>
      <w:r w:rsidR="007F2446">
        <w:rPr>
          <w:sz w:val="24"/>
        </w:rPr>
        <w:t xml:space="preserve">In calculating </w:t>
      </w:r>
      <w:r w:rsidR="00B55C9A">
        <w:rPr>
          <w:sz w:val="24"/>
        </w:rPr>
        <w:t xml:space="preserve">the </w:t>
      </w:r>
      <w:r w:rsidR="007F2446">
        <w:rPr>
          <w:sz w:val="24"/>
        </w:rPr>
        <w:t>public float, the numerator represents the shares held by the public, while the denominator represents the total number of issued shares of the issuer, excluding treasury shares.</w:t>
      </w:r>
    </w:p>
    <w:p w:rsidR="00E6625D" w:rsidRDefault="008F3523" w:rsidP="00B60100">
      <w:pPr>
        <w:jc w:val="both"/>
        <w:rPr>
          <w:sz w:val="24"/>
        </w:rPr>
      </w:pPr>
      <w:r>
        <w:rPr>
          <w:sz w:val="24"/>
        </w:rPr>
        <w:t>The HKEX has</w:t>
      </w:r>
      <w:r w:rsidR="00B42EE6">
        <w:rPr>
          <w:sz w:val="24"/>
        </w:rPr>
        <w:t xml:space="preserve"> reviewed the existing public float requirement</w:t>
      </w:r>
      <w:r>
        <w:rPr>
          <w:sz w:val="24"/>
        </w:rPr>
        <w:t>s</w:t>
      </w:r>
      <w:r w:rsidR="00B42EE6">
        <w:rPr>
          <w:sz w:val="24"/>
        </w:rPr>
        <w:t xml:space="preserve"> and noted that certain types of shares that are not publicly traded in the Hong Kong market </w:t>
      </w:r>
      <w:r>
        <w:rPr>
          <w:sz w:val="24"/>
        </w:rPr>
        <w:t xml:space="preserve">(such as A </w:t>
      </w:r>
      <w:r w:rsidR="00E362FE">
        <w:rPr>
          <w:sz w:val="24"/>
        </w:rPr>
        <w:t xml:space="preserve">shares </w:t>
      </w:r>
      <w:r>
        <w:rPr>
          <w:sz w:val="24"/>
        </w:rPr>
        <w:t>and</w:t>
      </w:r>
      <w:r w:rsidR="00E6625D">
        <w:rPr>
          <w:sz w:val="24"/>
        </w:rPr>
        <w:t xml:space="preserve"> unlisted shares) </w:t>
      </w:r>
      <w:r w:rsidR="00B42EE6">
        <w:rPr>
          <w:sz w:val="24"/>
        </w:rPr>
        <w:t xml:space="preserve">are included in the calculation of </w:t>
      </w:r>
      <w:r w:rsidR="00A06D8C">
        <w:rPr>
          <w:sz w:val="24"/>
        </w:rPr>
        <w:t xml:space="preserve">the listed issuer’s </w:t>
      </w:r>
      <w:r w:rsidR="00B42EE6">
        <w:rPr>
          <w:sz w:val="24"/>
        </w:rPr>
        <w:t>public float</w:t>
      </w:r>
      <w:r w:rsidR="00E362FE">
        <w:rPr>
          <w:sz w:val="24"/>
        </w:rPr>
        <w:t xml:space="preserve">. Unlisted shares are included </w:t>
      </w:r>
      <w:r w:rsidR="00BA6E32">
        <w:rPr>
          <w:sz w:val="24"/>
        </w:rPr>
        <w:t>in the denomin</w:t>
      </w:r>
      <w:r w:rsidR="00E6625D">
        <w:rPr>
          <w:sz w:val="24"/>
        </w:rPr>
        <w:t>ator portion of the formula</w:t>
      </w:r>
      <w:r w:rsidR="00E362FE">
        <w:rPr>
          <w:sz w:val="24"/>
        </w:rPr>
        <w:t>, while listed A shares are included in both the numerator and denominator of the public float calculation. The HKEX considers that these shares do</w:t>
      </w:r>
      <w:r w:rsidR="00E6625D">
        <w:rPr>
          <w:sz w:val="24"/>
        </w:rPr>
        <w:t xml:space="preserve"> not contribute to the Hong Kong open market and proposes</w:t>
      </w:r>
      <w:r w:rsidR="00C81AE1">
        <w:rPr>
          <w:sz w:val="24"/>
        </w:rPr>
        <w:t xml:space="preserve"> to revise</w:t>
      </w:r>
      <w:r w:rsidR="00E6625D">
        <w:rPr>
          <w:sz w:val="24"/>
        </w:rPr>
        <w:t xml:space="preserve"> the public float requirement.</w:t>
      </w:r>
    </w:p>
    <w:p w:rsidR="00B60100" w:rsidRDefault="00801397" w:rsidP="00774E19">
      <w:pPr>
        <w:tabs>
          <w:tab w:val="left" w:pos="851"/>
        </w:tabs>
        <w:jc w:val="both"/>
        <w:rPr>
          <w:sz w:val="24"/>
        </w:rPr>
      </w:pPr>
      <w:r>
        <w:rPr>
          <w:sz w:val="24"/>
        </w:rPr>
        <w:t xml:space="preserve">It is proposing </w:t>
      </w:r>
      <w:r w:rsidR="00C81AE1">
        <w:rPr>
          <w:sz w:val="24"/>
        </w:rPr>
        <w:t xml:space="preserve">that </w:t>
      </w:r>
      <w:r>
        <w:rPr>
          <w:sz w:val="24"/>
        </w:rPr>
        <w:t>the public float for securities new to listing</w:t>
      </w:r>
      <w:r w:rsidR="00C81AE1">
        <w:rPr>
          <w:sz w:val="24"/>
        </w:rPr>
        <w:t xml:space="preserve"> will generally be calculated</w:t>
      </w:r>
      <w:r>
        <w:rPr>
          <w:sz w:val="24"/>
        </w:rPr>
        <w:t xml:space="preserve"> by reference to the total number of securities of that class only. </w:t>
      </w:r>
      <w:r w:rsidR="00247659">
        <w:rPr>
          <w:sz w:val="24"/>
        </w:rPr>
        <w:t>This</w:t>
      </w:r>
      <w:r w:rsidR="00C67AB4">
        <w:rPr>
          <w:sz w:val="24"/>
        </w:rPr>
        <w:t xml:space="preserve"> proposal will generally </w:t>
      </w:r>
      <w:r w:rsidR="006B5556">
        <w:rPr>
          <w:sz w:val="24"/>
        </w:rPr>
        <w:t xml:space="preserve">only </w:t>
      </w:r>
      <w:r w:rsidR="00C67AB4">
        <w:rPr>
          <w:sz w:val="24"/>
        </w:rPr>
        <w:t xml:space="preserve">impact issuers </w:t>
      </w:r>
      <w:r w:rsidR="00757EA3">
        <w:rPr>
          <w:sz w:val="24"/>
        </w:rPr>
        <w:t>with</w:t>
      </w:r>
      <w:r w:rsidR="00C67AB4">
        <w:rPr>
          <w:sz w:val="24"/>
        </w:rPr>
        <w:t xml:space="preserve"> </w:t>
      </w:r>
      <w:r w:rsidR="006B5556">
        <w:rPr>
          <w:sz w:val="24"/>
        </w:rPr>
        <w:t xml:space="preserve">other </w:t>
      </w:r>
      <w:r w:rsidR="00C67AB4">
        <w:rPr>
          <w:sz w:val="24"/>
        </w:rPr>
        <w:t>class</w:t>
      </w:r>
      <w:r w:rsidR="006B5556">
        <w:rPr>
          <w:sz w:val="24"/>
        </w:rPr>
        <w:t>es</w:t>
      </w:r>
      <w:r w:rsidR="00C67AB4">
        <w:rPr>
          <w:sz w:val="24"/>
        </w:rPr>
        <w:t xml:space="preserve"> of shares</w:t>
      </w:r>
      <w:r w:rsidR="006B5556">
        <w:rPr>
          <w:sz w:val="24"/>
        </w:rPr>
        <w:t xml:space="preserve"> (other than the class being listed)</w:t>
      </w:r>
      <w:r w:rsidR="00C67AB4">
        <w:rPr>
          <w:sz w:val="24"/>
        </w:rPr>
        <w:t xml:space="preserve">. For PRC issuers, </w:t>
      </w:r>
      <w:r w:rsidR="00757EA3">
        <w:rPr>
          <w:sz w:val="24"/>
        </w:rPr>
        <w:t xml:space="preserve">the </w:t>
      </w:r>
      <w:r w:rsidR="00C814B3">
        <w:rPr>
          <w:sz w:val="24"/>
        </w:rPr>
        <w:t xml:space="preserve">HKEX </w:t>
      </w:r>
      <w:r w:rsidR="00757EA3">
        <w:rPr>
          <w:sz w:val="24"/>
        </w:rPr>
        <w:t>Consultation P</w:t>
      </w:r>
      <w:r w:rsidR="001B7185">
        <w:rPr>
          <w:sz w:val="24"/>
        </w:rPr>
        <w:t>aper proposes that the</w:t>
      </w:r>
      <w:r>
        <w:rPr>
          <w:sz w:val="24"/>
        </w:rPr>
        <w:t xml:space="preserve"> numerator would only include </w:t>
      </w:r>
      <w:r w:rsidR="006B5556">
        <w:rPr>
          <w:sz w:val="24"/>
        </w:rPr>
        <w:t xml:space="preserve">its </w:t>
      </w:r>
      <w:r>
        <w:rPr>
          <w:sz w:val="24"/>
        </w:rPr>
        <w:t xml:space="preserve">H </w:t>
      </w:r>
      <w:r w:rsidR="001B7185">
        <w:rPr>
          <w:sz w:val="24"/>
        </w:rPr>
        <w:t xml:space="preserve">shares, while the </w:t>
      </w:r>
      <w:r w:rsidR="001B7185">
        <w:rPr>
          <w:sz w:val="24"/>
        </w:rPr>
        <w:lastRenderedPageBreak/>
        <w:t xml:space="preserve">denominator would include </w:t>
      </w:r>
      <w:r w:rsidR="004D7396">
        <w:rPr>
          <w:sz w:val="24"/>
        </w:rPr>
        <w:t xml:space="preserve">its other issued </w:t>
      </w:r>
      <w:r w:rsidR="001B7185">
        <w:rPr>
          <w:sz w:val="24"/>
        </w:rPr>
        <w:t>shares</w:t>
      </w:r>
      <w:r w:rsidR="004D7396">
        <w:rPr>
          <w:sz w:val="24"/>
        </w:rPr>
        <w:t xml:space="preserve"> that are in the class to which its H shares belong</w:t>
      </w:r>
      <w:r w:rsidR="001B7185">
        <w:rPr>
          <w:sz w:val="24"/>
        </w:rPr>
        <w:t>.</w:t>
      </w:r>
      <w:r w:rsidR="004D7396">
        <w:rPr>
          <w:rStyle w:val="a8"/>
          <w:sz w:val="24"/>
        </w:rPr>
        <w:footnoteReference w:id="1"/>
      </w:r>
      <w:r w:rsidR="001B7185">
        <w:rPr>
          <w:sz w:val="24"/>
        </w:rPr>
        <w:t xml:space="preserve"> For </w:t>
      </w:r>
      <w:r w:rsidR="00D2688C">
        <w:rPr>
          <w:sz w:val="24"/>
        </w:rPr>
        <w:t xml:space="preserve">other </w:t>
      </w:r>
      <w:r w:rsidR="001B7185">
        <w:rPr>
          <w:sz w:val="24"/>
        </w:rPr>
        <w:t>issuers</w:t>
      </w:r>
      <w:r w:rsidR="00D2688C">
        <w:rPr>
          <w:sz w:val="24"/>
        </w:rPr>
        <w:t xml:space="preserve"> with other share classes listed overseas</w:t>
      </w:r>
      <w:r w:rsidR="001B7185">
        <w:rPr>
          <w:sz w:val="24"/>
        </w:rPr>
        <w:t xml:space="preserve">, it is proposed that the numerator would only include </w:t>
      </w:r>
      <w:r w:rsidR="00713B2D">
        <w:rPr>
          <w:sz w:val="24"/>
        </w:rPr>
        <w:t xml:space="preserve">the class of shares </w:t>
      </w:r>
      <w:r w:rsidR="00D2688C">
        <w:rPr>
          <w:sz w:val="24"/>
        </w:rPr>
        <w:t>be</w:t>
      </w:r>
      <w:r w:rsidR="00713B2D">
        <w:rPr>
          <w:sz w:val="24"/>
        </w:rPr>
        <w:t>ing</w:t>
      </w:r>
      <w:r w:rsidR="00D2688C">
        <w:rPr>
          <w:sz w:val="24"/>
        </w:rPr>
        <w:t xml:space="preserve"> listed </w:t>
      </w:r>
      <w:r w:rsidR="001627C3">
        <w:rPr>
          <w:sz w:val="24"/>
        </w:rPr>
        <w:t xml:space="preserve">in Hong Kong, while all classes of </w:t>
      </w:r>
      <w:r w:rsidR="00713B2D">
        <w:rPr>
          <w:sz w:val="24"/>
        </w:rPr>
        <w:t xml:space="preserve">their issued </w:t>
      </w:r>
      <w:r w:rsidR="001627C3">
        <w:rPr>
          <w:sz w:val="24"/>
        </w:rPr>
        <w:t>shares will remain in the deno</w:t>
      </w:r>
      <w:r w:rsidR="00D2688C">
        <w:rPr>
          <w:sz w:val="24"/>
        </w:rPr>
        <w:t>minator for the purposes of the</w:t>
      </w:r>
      <w:r w:rsidR="001627C3">
        <w:rPr>
          <w:sz w:val="24"/>
        </w:rPr>
        <w:t xml:space="preserve"> calculation.</w:t>
      </w:r>
    </w:p>
    <w:p w:rsidR="00906C13" w:rsidRDefault="00AA4D07" w:rsidP="00774E19">
      <w:pPr>
        <w:tabs>
          <w:tab w:val="left" w:pos="851"/>
        </w:tabs>
        <w:jc w:val="both"/>
        <w:rPr>
          <w:sz w:val="24"/>
        </w:rPr>
      </w:pPr>
      <w:r>
        <w:rPr>
          <w:sz w:val="24"/>
        </w:rPr>
        <w:t>The HKEX’s proposals would also remove the requirements for:</w:t>
      </w:r>
    </w:p>
    <w:p w:rsidR="00AA4D07" w:rsidRDefault="00AA4D07" w:rsidP="00774E19">
      <w:pPr>
        <w:pStyle w:val="a4"/>
        <w:numPr>
          <w:ilvl w:val="0"/>
          <w:numId w:val="14"/>
        </w:numPr>
        <w:tabs>
          <w:tab w:val="left" w:pos="851"/>
        </w:tabs>
        <w:jc w:val="both"/>
        <w:rPr>
          <w:sz w:val="24"/>
        </w:rPr>
      </w:pPr>
      <w:r>
        <w:rPr>
          <w:sz w:val="24"/>
        </w:rPr>
        <w:t>Shares carrying weighted voting rights (</w:t>
      </w:r>
      <w:r w:rsidRPr="00AA4D07">
        <w:rPr>
          <w:b/>
          <w:sz w:val="24"/>
        </w:rPr>
        <w:t>WVR</w:t>
      </w:r>
      <w:r>
        <w:rPr>
          <w:sz w:val="24"/>
        </w:rPr>
        <w:t>) (which must be unlisted) to be included in the denominator when calculating the public float of issuers with WVR structures; and</w:t>
      </w:r>
    </w:p>
    <w:p w:rsidR="00AA4D07" w:rsidRDefault="00AA4D07" w:rsidP="00774E19">
      <w:pPr>
        <w:pStyle w:val="a4"/>
        <w:tabs>
          <w:tab w:val="left" w:pos="851"/>
        </w:tabs>
        <w:jc w:val="both"/>
        <w:rPr>
          <w:sz w:val="24"/>
        </w:rPr>
      </w:pPr>
    </w:p>
    <w:p w:rsidR="008D1900" w:rsidRPr="008D1900" w:rsidRDefault="00AA4D07" w:rsidP="00774E19">
      <w:pPr>
        <w:pStyle w:val="a4"/>
        <w:numPr>
          <w:ilvl w:val="0"/>
          <w:numId w:val="14"/>
        </w:numPr>
        <w:tabs>
          <w:tab w:val="left" w:pos="851"/>
        </w:tabs>
        <w:jc w:val="both"/>
        <w:rPr>
          <w:sz w:val="24"/>
        </w:rPr>
      </w:pPr>
      <w:r>
        <w:rPr>
          <w:sz w:val="24"/>
        </w:rPr>
        <w:t>Promoter Shares and Promoter Warrants to be included in the denominator when calculating a SPAC’s public float.</w:t>
      </w:r>
    </w:p>
    <w:p w:rsidR="00D2688C" w:rsidRPr="00122014" w:rsidRDefault="00D2688C" w:rsidP="00774E19">
      <w:pPr>
        <w:tabs>
          <w:tab w:val="left" w:pos="851"/>
        </w:tabs>
        <w:jc w:val="both"/>
        <w:rPr>
          <w:sz w:val="24"/>
        </w:rPr>
      </w:pPr>
      <w:r w:rsidRPr="00D2688C">
        <w:rPr>
          <w:b/>
          <w:i/>
          <w:sz w:val="24"/>
        </w:rPr>
        <w:t>Minimum market value in public hands for HKEX listing applicants</w:t>
      </w:r>
    </w:p>
    <w:p w:rsidR="00122014" w:rsidRDefault="00122014" w:rsidP="00774E19">
      <w:pPr>
        <w:tabs>
          <w:tab w:val="left" w:pos="851"/>
        </w:tabs>
        <w:jc w:val="both"/>
        <w:rPr>
          <w:i/>
          <w:sz w:val="24"/>
        </w:rPr>
      </w:pPr>
      <w:r>
        <w:rPr>
          <w:sz w:val="24"/>
        </w:rPr>
        <w:t xml:space="preserve">The HKEX Listing Rules require that </w:t>
      </w:r>
      <w:r w:rsidRPr="00122014">
        <w:rPr>
          <w:sz w:val="24"/>
        </w:rPr>
        <w:t xml:space="preserve">the securities of a new </w:t>
      </w:r>
      <w:r>
        <w:rPr>
          <w:sz w:val="24"/>
        </w:rPr>
        <w:t xml:space="preserve">listing </w:t>
      </w:r>
      <w:r w:rsidRPr="00122014">
        <w:rPr>
          <w:sz w:val="24"/>
        </w:rPr>
        <w:t>applicant held by the public have an expected market value of at least HK$125 million (or HK$45 million for GEM) at the time of listing.</w:t>
      </w:r>
      <w:r>
        <w:rPr>
          <w:sz w:val="24"/>
        </w:rPr>
        <w:t xml:space="preserve"> The HKEX is proposing to revise</w:t>
      </w:r>
      <w:r w:rsidR="00906C13">
        <w:rPr>
          <w:sz w:val="24"/>
        </w:rPr>
        <w:t xml:space="preserve"> the relevant HKEX Listing Rules (Main Board Listing Rule 8.09(1) and GEM Listing Rule 11.23(2)(a)) to clarify that the minimum market value of the publicly held shares requirement applies to the securities “</w:t>
      </w:r>
      <w:r w:rsidR="00906C13">
        <w:rPr>
          <w:i/>
          <w:sz w:val="24"/>
        </w:rPr>
        <w:t>for which listing is sought”.</w:t>
      </w:r>
    </w:p>
    <w:p w:rsidR="008D1900" w:rsidRDefault="008D1900" w:rsidP="00774E19">
      <w:pPr>
        <w:tabs>
          <w:tab w:val="left" w:pos="851"/>
        </w:tabs>
        <w:jc w:val="both"/>
        <w:rPr>
          <w:b/>
          <w:i/>
          <w:sz w:val="24"/>
        </w:rPr>
      </w:pPr>
      <w:r w:rsidRPr="008D1900">
        <w:rPr>
          <w:b/>
          <w:i/>
          <w:sz w:val="24"/>
        </w:rPr>
        <w:t>Revised definition of “the public”</w:t>
      </w:r>
    </w:p>
    <w:p w:rsidR="00774E19" w:rsidRPr="00774E19" w:rsidRDefault="008D1900" w:rsidP="00774E19">
      <w:pPr>
        <w:tabs>
          <w:tab w:val="left" w:pos="851"/>
        </w:tabs>
        <w:jc w:val="both"/>
        <w:rPr>
          <w:sz w:val="24"/>
        </w:rPr>
      </w:pPr>
      <w:r>
        <w:rPr>
          <w:sz w:val="24"/>
        </w:rPr>
        <w:t>The HKEX is proposing to revise the definition of “the public”</w:t>
      </w:r>
      <w:r>
        <w:rPr>
          <w:rStyle w:val="a8"/>
          <w:sz w:val="24"/>
        </w:rPr>
        <w:footnoteReference w:id="2"/>
      </w:r>
      <w:r w:rsidR="00774E19">
        <w:rPr>
          <w:sz w:val="24"/>
        </w:rPr>
        <w:t xml:space="preserve"> to additionally exclude:</w:t>
      </w:r>
    </w:p>
    <w:p w:rsidR="00774E19" w:rsidRDefault="00774E19" w:rsidP="00774E19">
      <w:pPr>
        <w:pStyle w:val="a4"/>
        <w:numPr>
          <w:ilvl w:val="0"/>
          <w:numId w:val="15"/>
        </w:numPr>
        <w:tabs>
          <w:tab w:val="left" w:pos="851"/>
        </w:tabs>
        <w:jc w:val="both"/>
        <w:rPr>
          <w:sz w:val="24"/>
        </w:rPr>
      </w:pPr>
      <w:r w:rsidRPr="00774E19">
        <w:rPr>
          <w:sz w:val="24"/>
        </w:rPr>
        <w:t>any person whose acquisition of shares has been financed directly or indirectly by</w:t>
      </w:r>
      <w:r>
        <w:rPr>
          <w:sz w:val="24"/>
        </w:rPr>
        <w:t xml:space="preserve"> </w:t>
      </w:r>
      <w:r w:rsidRPr="00774E19">
        <w:rPr>
          <w:sz w:val="24"/>
          <w:u w:val="single"/>
        </w:rPr>
        <w:t>the issuer</w:t>
      </w:r>
      <w:r w:rsidRPr="00774E19">
        <w:rPr>
          <w:sz w:val="24"/>
        </w:rPr>
        <w:t xml:space="preserve"> (or a Core Connected Person of the issuer); and</w:t>
      </w:r>
    </w:p>
    <w:p w:rsidR="00774E19" w:rsidRDefault="00774E19" w:rsidP="00774E19">
      <w:pPr>
        <w:pStyle w:val="a4"/>
        <w:tabs>
          <w:tab w:val="left" w:pos="851"/>
        </w:tabs>
        <w:jc w:val="both"/>
        <w:rPr>
          <w:sz w:val="24"/>
        </w:rPr>
      </w:pPr>
    </w:p>
    <w:p w:rsidR="00774E19" w:rsidRDefault="00774E19" w:rsidP="00774E19">
      <w:pPr>
        <w:pStyle w:val="a4"/>
        <w:numPr>
          <w:ilvl w:val="0"/>
          <w:numId w:val="15"/>
        </w:numPr>
        <w:tabs>
          <w:tab w:val="left" w:pos="851"/>
        </w:tabs>
        <w:jc w:val="both"/>
        <w:rPr>
          <w:sz w:val="24"/>
        </w:rPr>
      </w:pPr>
      <w:r w:rsidRPr="00774E19">
        <w:rPr>
          <w:sz w:val="24"/>
        </w:rPr>
        <w:t xml:space="preserve">any person who is accustomed to take instructions from </w:t>
      </w:r>
      <w:r w:rsidRPr="00774E19">
        <w:rPr>
          <w:sz w:val="24"/>
          <w:u w:val="single"/>
        </w:rPr>
        <w:t>the issuer</w:t>
      </w:r>
      <w:r w:rsidRPr="00774E19">
        <w:rPr>
          <w:sz w:val="24"/>
        </w:rPr>
        <w:t xml:space="preserve"> (or</w:t>
      </w:r>
      <w:r>
        <w:rPr>
          <w:sz w:val="24"/>
        </w:rPr>
        <w:t xml:space="preserve"> </w:t>
      </w:r>
      <w:r w:rsidRPr="00774E19">
        <w:rPr>
          <w:sz w:val="24"/>
        </w:rPr>
        <w:t>a Core Connected Person of the issuer</w:t>
      </w:r>
      <w:r>
        <w:rPr>
          <w:sz w:val="24"/>
        </w:rPr>
        <w:t>).</w:t>
      </w:r>
    </w:p>
    <w:p w:rsidR="00557DEF" w:rsidRPr="00557DEF" w:rsidRDefault="00557DEF" w:rsidP="00557DEF">
      <w:pPr>
        <w:contextualSpacing/>
        <w:jc w:val="both"/>
        <w:rPr>
          <w:sz w:val="24"/>
        </w:rPr>
      </w:pPr>
      <w:r>
        <w:rPr>
          <w:sz w:val="24"/>
        </w:rPr>
        <w:t xml:space="preserve">If adopted, </w:t>
      </w:r>
      <w:r w:rsidRPr="00557DEF">
        <w:rPr>
          <w:sz w:val="24"/>
        </w:rPr>
        <w:t>shares held by a t</w:t>
      </w:r>
      <w:r>
        <w:rPr>
          <w:sz w:val="24"/>
        </w:rPr>
        <w:t xml:space="preserve">rustee on behalf of share scheme </w:t>
      </w:r>
      <w:r w:rsidRPr="00557DEF">
        <w:rPr>
          <w:sz w:val="24"/>
        </w:rPr>
        <w:t>parti</w:t>
      </w:r>
      <w:r>
        <w:rPr>
          <w:sz w:val="24"/>
        </w:rPr>
        <w:t>cipants of a listed issuer will no</w:t>
      </w:r>
      <w:r w:rsidRPr="00557DEF">
        <w:rPr>
          <w:sz w:val="24"/>
        </w:rPr>
        <w:t xml:space="preserve"> </w:t>
      </w:r>
      <w:r>
        <w:rPr>
          <w:sz w:val="24"/>
        </w:rPr>
        <w:t xml:space="preserve">longer be publicly held </w:t>
      </w:r>
      <w:r w:rsidRPr="00557DEF">
        <w:rPr>
          <w:sz w:val="24"/>
        </w:rPr>
        <w:t>shares. However,</w:t>
      </w:r>
      <w:r>
        <w:rPr>
          <w:sz w:val="24"/>
        </w:rPr>
        <w:t xml:space="preserve"> it is proposed that </w:t>
      </w:r>
      <w:r w:rsidRPr="00557DEF">
        <w:rPr>
          <w:sz w:val="24"/>
        </w:rPr>
        <w:t xml:space="preserve">shares held by an independent trustee on behalf of </w:t>
      </w:r>
      <w:r>
        <w:rPr>
          <w:sz w:val="24"/>
        </w:rPr>
        <w:t xml:space="preserve">the </w:t>
      </w:r>
      <w:r w:rsidRPr="00557DEF">
        <w:rPr>
          <w:sz w:val="24"/>
        </w:rPr>
        <w:t xml:space="preserve">participants </w:t>
      </w:r>
      <w:r>
        <w:rPr>
          <w:sz w:val="24"/>
        </w:rPr>
        <w:t xml:space="preserve">of an </w:t>
      </w:r>
      <w:r w:rsidRPr="00557DEF">
        <w:rPr>
          <w:sz w:val="24"/>
        </w:rPr>
        <w:t>independent</w:t>
      </w:r>
      <w:r>
        <w:rPr>
          <w:sz w:val="24"/>
        </w:rPr>
        <w:t xml:space="preserve"> share </w:t>
      </w:r>
      <w:r w:rsidRPr="00557DEF">
        <w:rPr>
          <w:sz w:val="24"/>
        </w:rPr>
        <w:t xml:space="preserve">scheme </w:t>
      </w:r>
      <w:r>
        <w:rPr>
          <w:sz w:val="24"/>
        </w:rPr>
        <w:t xml:space="preserve">(i.e. shares </w:t>
      </w:r>
      <w:r w:rsidRPr="00557DEF">
        <w:rPr>
          <w:sz w:val="24"/>
        </w:rPr>
        <w:t>gr</w:t>
      </w:r>
      <w:r>
        <w:rPr>
          <w:sz w:val="24"/>
        </w:rPr>
        <w:t>anted to an independent grantee that remain unvested under the share scheme)</w:t>
      </w:r>
      <w:r w:rsidRPr="00557DEF">
        <w:rPr>
          <w:sz w:val="24"/>
        </w:rPr>
        <w:t xml:space="preserve"> </w:t>
      </w:r>
      <w:r>
        <w:rPr>
          <w:sz w:val="24"/>
        </w:rPr>
        <w:t xml:space="preserve">would </w:t>
      </w:r>
      <w:r w:rsidRPr="00557DEF">
        <w:rPr>
          <w:sz w:val="24"/>
        </w:rPr>
        <w:t xml:space="preserve">continue to be regarded as </w:t>
      </w:r>
      <w:r>
        <w:rPr>
          <w:sz w:val="24"/>
        </w:rPr>
        <w:t xml:space="preserve">publicly held </w:t>
      </w:r>
      <w:r w:rsidRPr="00557DEF">
        <w:rPr>
          <w:sz w:val="24"/>
        </w:rPr>
        <w:t>shares</w:t>
      </w:r>
      <w:r>
        <w:rPr>
          <w:sz w:val="24"/>
        </w:rPr>
        <w:t>.</w:t>
      </w:r>
    </w:p>
    <w:p w:rsidR="00557DEF" w:rsidRDefault="00557DEF" w:rsidP="00557DEF">
      <w:pPr>
        <w:contextualSpacing/>
        <w:jc w:val="both"/>
        <w:rPr>
          <w:sz w:val="24"/>
        </w:rPr>
      </w:pPr>
    </w:p>
    <w:p w:rsidR="00386D27" w:rsidRDefault="00386D27" w:rsidP="00557DEF">
      <w:pPr>
        <w:contextualSpacing/>
        <w:jc w:val="both"/>
        <w:rPr>
          <w:b/>
          <w:i/>
          <w:sz w:val="24"/>
        </w:rPr>
      </w:pPr>
      <w:r w:rsidRPr="00D2688C">
        <w:rPr>
          <w:b/>
          <w:i/>
          <w:sz w:val="24"/>
        </w:rPr>
        <w:t>I</w:t>
      </w:r>
      <w:r w:rsidR="008F38AA">
        <w:rPr>
          <w:b/>
          <w:i/>
          <w:sz w:val="24"/>
        </w:rPr>
        <w:t xml:space="preserve">ntroduction of </w:t>
      </w:r>
      <w:r w:rsidR="008F38AA" w:rsidRPr="00D2688C">
        <w:rPr>
          <w:b/>
          <w:i/>
          <w:sz w:val="24"/>
        </w:rPr>
        <w:t>tiered</w:t>
      </w:r>
      <w:r w:rsidRPr="00D2688C">
        <w:rPr>
          <w:b/>
          <w:i/>
          <w:sz w:val="24"/>
        </w:rPr>
        <w:t xml:space="preserve"> initial public float </w:t>
      </w:r>
      <w:r w:rsidR="008F38AA">
        <w:rPr>
          <w:b/>
          <w:i/>
          <w:sz w:val="24"/>
        </w:rPr>
        <w:t>thresholds</w:t>
      </w:r>
    </w:p>
    <w:p w:rsidR="00557DEF" w:rsidRPr="00D2688C" w:rsidRDefault="00557DEF" w:rsidP="00557DEF">
      <w:pPr>
        <w:contextualSpacing/>
        <w:jc w:val="both"/>
        <w:rPr>
          <w:b/>
          <w:i/>
          <w:sz w:val="24"/>
        </w:rPr>
      </w:pPr>
    </w:p>
    <w:p w:rsidR="003E7056" w:rsidRPr="00A13E1F" w:rsidRDefault="00BF0439" w:rsidP="00A13E1F">
      <w:pPr>
        <w:jc w:val="both"/>
        <w:rPr>
          <w:sz w:val="24"/>
          <w:szCs w:val="24"/>
        </w:rPr>
      </w:pPr>
      <w:r>
        <w:rPr>
          <w:sz w:val="24"/>
        </w:rPr>
        <w:t xml:space="preserve">The </w:t>
      </w:r>
      <w:r w:rsidR="00C814B3">
        <w:rPr>
          <w:sz w:val="24"/>
        </w:rPr>
        <w:t xml:space="preserve">HKEX </w:t>
      </w:r>
      <w:r w:rsidR="00757EA3">
        <w:rPr>
          <w:sz w:val="24"/>
        </w:rPr>
        <w:t>C</w:t>
      </w:r>
      <w:r>
        <w:rPr>
          <w:sz w:val="24"/>
        </w:rPr>
        <w:t xml:space="preserve">onsultation </w:t>
      </w:r>
      <w:r w:rsidR="00757EA3">
        <w:rPr>
          <w:sz w:val="24"/>
        </w:rPr>
        <w:t>P</w:t>
      </w:r>
      <w:r>
        <w:rPr>
          <w:sz w:val="24"/>
        </w:rPr>
        <w:t>aper</w:t>
      </w:r>
      <w:r w:rsidR="00386D27">
        <w:rPr>
          <w:sz w:val="24"/>
        </w:rPr>
        <w:t xml:space="preserve"> </w:t>
      </w:r>
      <w:r w:rsidR="00557DEF">
        <w:rPr>
          <w:sz w:val="24"/>
        </w:rPr>
        <w:t>propos</w:t>
      </w:r>
      <w:r w:rsidR="00386D27">
        <w:rPr>
          <w:sz w:val="24"/>
        </w:rPr>
        <w:t>e</w:t>
      </w:r>
      <w:r>
        <w:rPr>
          <w:sz w:val="24"/>
        </w:rPr>
        <w:t>s</w:t>
      </w:r>
      <w:r w:rsidR="00386D27">
        <w:rPr>
          <w:sz w:val="24"/>
        </w:rPr>
        <w:t xml:space="preserve"> a new ti</w:t>
      </w:r>
      <w:r w:rsidR="00247659">
        <w:rPr>
          <w:sz w:val="24"/>
        </w:rPr>
        <w:t>e</w:t>
      </w:r>
      <w:r w:rsidR="00557DEF">
        <w:rPr>
          <w:sz w:val="24"/>
        </w:rPr>
        <w:t>red structure</w:t>
      </w:r>
      <w:r w:rsidR="00386D27">
        <w:rPr>
          <w:sz w:val="24"/>
        </w:rPr>
        <w:t xml:space="preserve"> </w:t>
      </w:r>
      <w:r w:rsidR="00757EA3">
        <w:rPr>
          <w:sz w:val="24"/>
        </w:rPr>
        <w:t xml:space="preserve">for the </w:t>
      </w:r>
      <w:r w:rsidR="00386D27">
        <w:rPr>
          <w:sz w:val="24"/>
        </w:rPr>
        <w:t>initial public float threshold</w:t>
      </w:r>
      <w:r w:rsidR="00A13E1F">
        <w:rPr>
          <w:sz w:val="24"/>
          <w:szCs w:val="24"/>
        </w:rPr>
        <w:t xml:space="preserve"> </w:t>
      </w:r>
      <w:r w:rsidR="00A13E1F" w:rsidRPr="00A13E1F">
        <w:rPr>
          <w:sz w:val="24"/>
          <w:szCs w:val="24"/>
        </w:rPr>
        <w:t xml:space="preserve"> </w:t>
      </w:r>
      <w:r w:rsidR="00A13E1F">
        <w:rPr>
          <w:sz w:val="24"/>
          <w:szCs w:val="24"/>
        </w:rPr>
        <w:t xml:space="preserve">based on </w:t>
      </w:r>
      <w:r w:rsidR="00A13E1F" w:rsidRPr="00A13E1F">
        <w:rPr>
          <w:sz w:val="24"/>
          <w:szCs w:val="24"/>
        </w:rPr>
        <w:t>the expected market value of the</w:t>
      </w:r>
      <w:r w:rsidR="00A13E1F">
        <w:rPr>
          <w:sz w:val="24"/>
          <w:szCs w:val="24"/>
        </w:rPr>
        <w:t xml:space="preserve"> </w:t>
      </w:r>
      <w:r w:rsidR="00A13E1F" w:rsidRPr="00A13E1F">
        <w:rPr>
          <w:sz w:val="24"/>
          <w:szCs w:val="24"/>
        </w:rPr>
        <w:t xml:space="preserve">class of securities for which listing is sought at the time </w:t>
      </w:r>
      <w:r w:rsidR="00A13E1F" w:rsidRPr="00A13E1F">
        <w:rPr>
          <w:sz w:val="24"/>
          <w:szCs w:val="24"/>
        </w:rPr>
        <w:lastRenderedPageBreak/>
        <w:t>of listing</w:t>
      </w:r>
      <w:r w:rsidR="000118AD">
        <w:rPr>
          <w:sz w:val="24"/>
        </w:rPr>
        <w:t xml:space="preserve">. </w:t>
      </w:r>
      <w:r w:rsidR="000E74E4">
        <w:rPr>
          <w:sz w:val="24"/>
        </w:rPr>
        <w:t xml:space="preserve">Currently, new listing applicants are required to have a minimum public float of 25%. Large cap issuers </w:t>
      </w:r>
      <w:r w:rsidR="000E74E4" w:rsidRPr="000118AD">
        <w:rPr>
          <w:rStyle w:val="hgkelc"/>
          <w:sz w:val="24"/>
          <w:szCs w:val="24"/>
          <w:lang w:val="en"/>
        </w:rPr>
        <w:t>— i.e.</w:t>
      </w:r>
      <w:r w:rsidR="000E74E4">
        <w:rPr>
          <w:rStyle w:val="hgkelc"/>
          <w:sz w:val="24"/>
          <w:szCs w:val="24"/>
          <w:lang w:val="en"/>
        </w:rPr>
        <w:t>,</w:t>
      </w:r>
      <w:r w:rsidR="000E74E4" w:rsidRPr="000118AD">
        <w:rPr>
          <w:rStyle w:val="hgkelc"/>
          <w:sz w:val="24"/>
          <w:szCs w:val="24"/>
          <w:lang w:val="en"/>
        </w:rPr>
        <w:t xml:space="preserve"> those</w:t>
      </w:r>
      <w:r w:rsidR="000E74E4">
        <w:rPr>
          <w:rStyle w:val="hgkelc"/>
          <w:lang w:val="en"/>
        </w:rPr>
        <w:t xml:space="preserve"> </w:t>
      </w:r>
      <w:r w:rsidR="000E74E4">
        <w:rPr>
          <w:sz w:val="24"/>
        </w:rPr>
        <w:t xml:space="preserve">with an expected market capitalisation at the time of listing of at least HK$10 billion </w:t>
      </w:r>
      <w:r w:rsidR="000E74E4" w:rsidRPr="000118AD">
        <w:rPr>
          <w:rStyle w:val="hgkelc"/>
          <w:sz w:val="24"/>
          <w:szCs w:val="24"/>
          <w:lang w:val="en"/>
        </w:rPr>
        <w:t>—</w:t>
      </w:r>
      <w:r w:rsidR="000E74E4">
        <w:rPr>
          <w:sz w:val="24"/>
        </w:rPr>
        <w:t xml:space="preserve"> can apply for a lower percentage of public float of between 15% and 25%. </w:t>
      </w:r>
      <w:r w:rsidR="000118AD">
        <w:rPr>
          <w:sz w:val="24"/>
        </w:rPr>
        <w:t xml:space="preserve">The HKEX considers that the new </w:t>
      </w:r>
      <w:r w:rsidR="000E74E4">
        <w:rPr>
          <w:sz w:val="24"/>
        </w:rPr>
        <w:t xml:space="preserve">tiered structure </w:t>
      </w:r>
      <w:r w:rsidR="000118AD">
        <w:rPr>
          <w:sz w:val="24"/>
        </w:rPr>
        <w:t>would</w:t>
      </w:r>
      <w:r>
        <w:rPr>
          <w:sz w:val="24"/>
        </w:rPr>
        <w:t xml:space="preserve"> provide greater certainty </w:t>
      </w:r>
      <w:r w:rsidR="000118AD">
        <w:rPr>
          <w:sz w:val="24"/>
        </w:rPr>
        <w:t xml:space="preserve">for large </w:t>
      </w:r>
      <w:r>
        <w:rPr>
          <w:sz w:val="24"/>
        </w:rPr>
        <w:t>cap listing applicants</w:t>
      </w:r>
      <w:r w:rsidR="000118AD">
        <w:rPr>
          <w:sz w:val="24"/>
        </w:rPr>
        <w:t xml:space="preserve"> whose applications </w:t>
      </w:r>
      <w:r w:rsidR="00DE5733">
        <w:rPr>
          <w:sz w:val="24"/>
        </w:rPr>
        <w:t xml:space="preserve">for </w:t>
      </w:r>
      <w:r>
        <w:rPr>
          <w:sz w:val="24"/>
        </w:rPr>
        <w:t xml:space="preserve">a lower minimum public float </w:t>
      </w:r>
      <w:r w:rsidR="000118AD">
        <w:rPr>
          <w:sz w:val="24"/>
        </w:rPr>
        <w:t>are decided on a case-by-case basis.</w:t>
      </w:r>
      <w:r>
        <w:rPr>
          <w:sz w:val="24"/>
        </w:rPr>
        <w:t xml:space="preserve"> </w:t>
      </w:r>
      <w:r w:rsidR="003E7056">
        <w:rPr>
          <w:sz w:val="24"/>
        </w:rPr>
        <w:t>The HKEX also notes that its initial public float requirement is higher than those of other international stock exchanges and that the proposed tiered thresholds would bring its requirement closer to those of its competitors.</w:t>
      </w:r>
    </w:p>
    <w:p w:rsidR="00464FBF" w:rsidRDefault="00A7471F" w:rsidP="00B60100">
      <w:pPr>
        <w:jc w:val="both"/>
        <w:rPr>
          <w:sz w:val="24"/>
        </w:rPr>
      </w:pPr>
      <w:r>
        <w:rPr>
          <w:sz w:val="24"/>
        </w:rPr>
        <w:t xml:space="preserve">The table </w:t>
      </w:r>
      <w:r w:rsidR="00DE5733">
        <w:rPr>
          <w:sz w:val="24"/>
        </w:rPr>
        <w:t xml:space="preserve">below </w:t>
      </w:r>
      <w:r>
        <w:rPr>
          <w:sz w:val="24"/>
        </w:rPr>
        <w:t>sets out the proposed new tiered public float</w:t>
      </w:r>
      <w:r w:rsidR="000E74E4">
        <w:rPr>
          <w:sz w:val="24"/>
        </w:rPr>
        <w:t xml:space="preserve"> thresholds</w:t>
      </w:r>
      <w:r w:rsidR="008B7C4E">
        <w:rPr>
          <w:sz w:val="24"/>
        </w:rPr>
        <w:t xml:space="preserve">, which </w:t>
      </w:r>
      <w:r w:rsidR="00DE5733">
        <w:rPr>
          <w:sz w:val="24"/>
        </w:rPr>
        <w:t xml:space="preserve">would apply </w:t>
      </w:r>
      <w:r w:rsidR="00F34C42">
        <w:rPr>
          <w:sz w:val="24"/>
        </w:rPr>
        <w:t>to both Main Board a</w:t>
      </w:r>
      <w:r w:rsidR="008B7C4E">
        <w:rPr>
          <w:sz w:val="24"/>
        </w:rPr>
        <w:t>nd GEM listing applicants</w:t>
      </w:r>
      <w:r>
        <w:rPr>
          <w:sz w:val="24"/>
        </w:rPr>
        <w:t>:</w:t>
      </w:r>
    </w:p>
    <w:tbl>
      <w:tblPr>
        <w:tblStyle w:val="a3"/>
        <w:tblpPr w:leftFromText="180" w:rightFromText="180" w:vertAnchor="text" w:horzAnchor="margin" w:tblpXSpec="center" w:tblpY="-40"/>
        <w:tblW w:w="0" w:type="auto"/>
        <w:tblLook w:val="04A0" w:firstRow="1" w:lastRow="0" w:firstColumn="1" w:lastColumn="0" w:noHBand="0" w:noVBand="1"/>
      </w:tblPr>
      <w:tblGrid>
        <w:gridCol w:w="1075"/>
        <w:gridCol w:w="3600"/>
        <w:gridCol w:w="4320"/>
      </w:tblGrid>
      <w:tr w:rsidR="00F34C42" w:rsidTr="00F34C42">
        <w:trPr>
          <w:trHeight w:val="1070"/>
        </w:trPr>
        <w:tc>
          <w:tcPr>
            <w:tcW w:w="1075" w:type="dxa"/>
          </w:tcPr>
          <w:p w:rsidR="00F34C42" w:rsidRPr="00F34C42" w:rsidRDefault="00F34C42" w:rsidP="000E74E4">
            <w:pPr>
              <w:jc w:val="center"/>
              <w:rPr>
                <w:b/>
                <w:sz w:val="24"/>
              </w:rPr>
            </w:pPr>
            <w:r w:rsidRPr="00F34C42">
              <w:rPr>
                <w:b/>
                <w:sz w:val="24"/>
              </w:rPr>
              <w:t>Tier</w:t>
            </w:r>
          </w:p>
        </w:tc>
        <w:tc>
          <w:tcPr>
            <w:tcW w:w="3600" w:type="dxa"/>
          </w:tcPr>
          <w:p w:rsidR="00F34C42" w:rsidRPr="00F34C42" w:rsidRDefault="00F34C42" w:rsidP="00F34C42">
            <w:pPr>
              <w:jc w:val="center"/>
              <w:rPr>
                <w:b/>
                <w:sz w:val="24"/>
              </w:rPr>
            </w:pPr>
            <w:r w:rsidRPr="00F34C42">
              <w:rPr>
                <w:b/>
                <w:sz w:val="24"/>
              </w:rPr>
              <w:t>Expected market value at the time of listing</w:t>
            </w:r>
          </w:p>
        </w:tc>
        <w:tc>
          <w:tcPr>
            <w:tcW w:w="4320" w:type="dxa"/>
          </w:tcPr>
          <w:p w:rsidR="00F34C42" w:rsidRPr="00F34C42" w:rsidRDefault="00F34C42" w:rsidP="00F34C42">
            <w:pPr>
              <w:jc w:val="center"/>
              <w:rPr>
                <w:b/>
                <w:sz w:val="24"/>
              </w:rPr>
            </w:pPr>
            <w:r w:rsidRPr="00F34C42">
              <w:rPr>
                <w:b/>
                <w:sz w:val="24"/>
              </w:rPr>
              <w:t>Minimum p</w:t>
            </w:r>
            <w:r w:rsidR="000E74E4">
              <w:rPr>
                <w:b/>
                <w:sz w:val="24"/>
              </w:rPr>
              <w:t>ercentage to be held in public h</w:t>
            </w:r>
            <w:r w:rsidRPr="00F34C42">
              <w:rPr>
                <w:b/>
                <w:sz w:val="24"/>
              </w:rPr>
              <w:t>ands at the time of listing</w:t>
            </w:r>
          </w:p>
        </w:tc>
      </w:tr>
      <w:tr w:rsidR="00F34C42" w:rsidTr="00F34C42">
        <w:trPr>
          <w:trHeight w:val="527"/>
        </w:trPr>
        <w:tc>
          <w:tcPr>
            <w:tcW w:w="1075" w:type="dxa"/>
            <w:vAlign w:val="center"/>
          </w:tcPr>
          <w:p w:rsidR="00F34C42" w:rsidRPr="00F34C42" w:rsidRDefault="00F34C42" w:rsidP="00F34C42">
            <w:pPr>
              <w:jc w:val="center"/>
              <w:rPr>
                <w:b/>
                <w:sz w:val="24"/>
              </w:rPr>
            </w:pPr>
            <w:r w:rsidRPr="00F34C42">
              <w:rPr>
                <w:b/>
                <w:sz w:val="24"/>
              </w:rPr>
              <w:t>A</w:t>
            </w:r>
          </w:p>
        </w:tc>
        <w:tc>
          <w:tcPr>
            <w:tcW w:w="3600" w:type="dxa"/>
            <w:vAlign w:val="center"/>
          </w:tcPr>
          <w:p w:rsidR="00F34C42" w:rsidRDefault="00F34C42" w:rsidP="00F34C42">
            <w:pPr>
              <w:jc w:val="center"/>
              <w:rPr>
                <w:sz w:val="24"/>
              </w:rPr>
            </w:pPr>
            <w:r>
              <w:rPr>
                <w:rFonts w:cstheme="minorHAnsi"/>
                <w:sz w:val="24"/>
              </w:rPr>
              <w:t xml:space="preserve">≤ </w:t>
            </w:r>
            <w:r>
              <w:rPr>
                <w:sz w:val="24"/>
              </w:rPr>
              <w:t>HK$6 billion</w:t>
            </w:r>
          </w:p>
        </w:tc>
        <w:tc>
          <w:tcPr>
            <w:tcW w:w="4320" w:type="dxa"/>
            <w:vAlign w:val="center"/>
          </w:tcPr>
          <w:p w:rsidR="00F34C42" w:rsidRDefault="00F34C42" w:rsidP="00F34C42">
            <w:pPr>
              <w:jc w:val="center"/>
              <w:rPr>
                <w:sz w:val="24"/>
              </w:rPr>
            </w:pPr>
            <w:r>
              <w:rPr>
                <w:sz w:val="24"/>
              </w:rPr>
              <w:t>25%</w:t>
            </w:r>
          </w:p>
        </w:tc>
      </w:tr>
      <w:tr w:rsidR="00F34C42" w:rsidTr="00F34C42">
        <w:trPr>
          <w:trHeight w:val="527"/>
        </w:trPr>
        <w:tc>
          <w:tcPr>
            <w:tcW w:w="1075" w:type="dxa"/>
            <w:vAlign w:val="center"/>
          </w:tcPr>
          <w:p w:rsidR="00F34C42" w:rsidRPr="00F34C42" w:rsidRDefault="00F34C42" w:rsidP="00F34C42">
            <w:pPr>
              <w:jc w:val="center"/>
              <w:rPr>
                <w:b/>
                <w:sz w:val="24"/>
              </w:rPr>
            </w:pPr>
            <w:r w:rsidRPr="00F34C42">
              <w:rPr>
                <w:b/>
                <w:sz w:val="24"/>
              </w:rPr>
              <w:t>B</w:t>
            </w:r>
          </w:p>
        </w:tc>
        <w:tc>
          <w:tcPr>
            <w:tcW w:w="3600" w:type="dxa"/>
            <w:vAlign w:val="center"/>
          </w:tcPr>
          <w:p w:rsidR="00F34C42" w:rsidRDefault="00F34C42" w:rsidP="00F34C42">
            <w:pPr>
              <w:jc w:val="center"/>
              <w:rPr>
                <w:sz w:val="24"/>
              </w:rPr>
            </w:pPr>
            <w:r>
              <w:rPr>
                <w:rFonts w:cstheme="minorHAnsi"/>
                <w:sz w:val="24"/>
              </w:rPr>
              <w:t xml:space="preserve">&gt; </w:t>
            </w:r>
            <w:r>
              <w:rPr>
                <w:sz w:val="24"/>
              </w:rPr>
              <w:t xml:space="preserve">HK$6 billion to </w:t>
            </w:r>
            <w:r>
              <w:rPr>
                <w:rFonts w:cstheme="minorHAnsi"/>
                <w:sz w:val="24"/>
              </w:rPr>
              <w:t xml:space="preserve">≤ </w:t>
            </w:r>
            <w:r>
              <w:rPr>
                <w:sz w:val="24"/>
              </w:rPr>
              <w:t>HK$30 billion</w:t>
            </w:r>
          </w:p>
        </w:tc>
        <w:tc>
          <w:tcPr>
            <w:tcW w:w="4320" w:type="dxa"/>
            <w:vAlign w:val="center"/>
          </w:tcPr>
          <w:p w:rsidR="00F34C42" w:rsidRDefault="00F34C42" w:rsidP="00F34C42">
            <w:pPr>
              <w:rPr>
                <w:sz w:val="24"/>
              </w:rPr>
            </w:pPr>
            <w:r>
              <w:rPr>
                <w:sz w:val="24"/>
              </w:rPr>
              <w:t>Higher of:</w:t>
            </w:r>
          </w:p>
          <w:p w:rsidR="00F34C42" w:rsidRDefault="00BB47EE" w:rsidP="00F34C42">
            <w:pPr>
              <w:pStyle w:val="a4"/>
              <w:numPr>
                <w:ilvl w:val="0"/>
                <w:numId w:val="3"/>
              </w:numPr>
              <w:rPr>
                <w:sz w:val="24"/>
              </w:rPr>
            </w:pPr>
            <w:r>
              <w:rPr>
                <w:sz w:val="24"/>
              </w:rPr>
              <w:t>t</w:t>
            </w:r>
            <w:r w:rsidR="00F34C42">
              <w:rPr>
                <w:sz w:val="24"/>
              </w:rPr>
              <w:t xml:space="preserve">he percentage that </w:t>
            </w:r>
            <w:r w:rsidR="004A0B7A">
              <w:rPr>
                <w:sz w:val="24"/>
              </w:rPr>
              <w:t xml:space="preserve">would result in the </w:t>
            </w:r>
            <w:r>
              <w:rPr>
                <w:sz w:val="24"/>
              </w:rPr>
              <w:t xml:space="preserve">publicly held </w:t>
            </w:r>
            <w:r w:rsidR="004A0B7A">
              <w:rPr>
                <w:sz w:val="24"/>
              </w:rPr>
              <w:t xml:space="preserve">securities </w:t>
            </w:r>
            <w:r>
              <w:rPr>
                <w:sz w:val="24"/>
              </w:rPr>
              <w:t xml:space="preserve">having an </w:t>
            </w:r>
            <w:r w:rsidR="00F34C42">
              <w:rPr>
                <w:sz w:val="24"/>
              </w:rPr>
              <w:t>expect</w:t>
            </w:r>
            <w:r w:rsidR="004A0B7A">
              <w:rPr>
                <w:sz w:val="24"/>
              </w:rPr>
              <w:t>ed</w:t>
            </w:r>
            <w:r w:rsidR="00F34C42">
              <w:rPr>
                <w:sz w:val="24"/>
              </w:rPr>
              <w:t xml:space="preserve"> market value of HK$1.5 bi</w:t>
            </w:r>
            <w:r>
              <w:rPr>
                <w:sz w:val="24"/>
              </w:rPr>
              <w:t>llion at the time of listing; and</w:t>
            </w:r>
          </w:p>
          <w:p w:rsidR="00F34C42" w:rsidRDefault="00F34C42" w:rsidP="00F34C42">
            <w:pPr>
              <w:pStyle w:val="a4"/>
              <w:numPr>
                <w:ilvl w:val="0"/>
                <w:numId w:val="3"/>
              </w:numPr>
              <w:rPr>
                <w:sz w:val="24"/>
              </w:rPr>
            </w:pPr>
            <w:r>
              <w:rPr>
                <w:sz w:val="24"/>
              </w:rPr>
              <w:t>15%</w:t>
            </w:r>
          </w:p>
          <w:p w:rsidR="00F34C42" w:rsidRPr="00370D70" w:rsidRDefault="00F34C42" w:rsidP="00F34C42">
            <w:pPr>
              <w:pStyle w:val="a4"/>
              <w:rPr>
                <w:sz w:val="24"/>
              </w:rPr>
            </w:pPr>
          </w:p>
        </w:tc>
      </w:tr>
      <w:tr w:rsidR="00F34C42" w:rsidTr="00F34C42">
        <w:trPr>
          <w:trHeight w:val="527"/>
        </w:trPr>
        <w:tc>
          <w:tcPr>
            <w:tcW w:w="1075" w:type="dxa"/>
            <w:vAlign w:val="center"/>
          </w:tcPr>
          <w:p w:rsidR="00F34C42" w:rsidRPr="00F34C42" w:rsidRDefault="00F34C42" w:rsidP="00F34C42">
            <w:pPr>
              <w:jc w:val="center"/>
              <w:rPr>
                <w:b/>
                <w:sz w:val="24"/>
              </w:rPr>
            </w:pPr>
            <w:r w:rsidRPr="00F34C42">
              <w:rPr>
                <w:b/>
                <w:sz w:val="24"/>
              </w:rPr>
              <w:t>C</w:t>
            </w:r>
          </w:p>
        </w:tc>
        <w:tc>
          <w:tcPr>
            <w:tcW w:w="3600" w:type="dxa"/>
            <w:vAlign w:val="center"/>
          </w:tcPr>
          <w:p w:rsidR="00F34C42" w:rsidRDefault="00F34C42" w:rsidP="00F34C42">
            <w:pPr>
              <w:jc w:val="center"/>
              <w:rPr>
                <w:sz w:val="24"/>
              </w:rPr>
            </w:pPr>
            <w:r>
              <w:rPr>
                <w:rFonts w:cstheme="minorHAnsi"/>
                <w:sz w:val="24"/>
              </w:rPr>
              <w:t xml:space="preserve">&gt; </w:t>
            </w:r>
            <w:r>
              <w:rPr>
                <w:sz w:val="24"/>
              </w:rPr>
              <w:t>HK$30 billion</w:t>
            </w:r>
            <w:r>
              <w:rPr>
                <w:rFonts w:cstheme="minorHAnsi"/>
                <w:sz w:val="24"/>
              </w:rPr>
              <w:t xml:space="preserve"> ≤ </w:t>
            </w:r>
            <w:r>
              <w:rPr>
                <w:sz w:val="24"/>
              </w:rPr>
              <w:t>HK$70 billion</w:t>
            </w:r>
          </w:p>
        </w:tc>
        <w:tc>
          <w:tcPr>
            <w:tcW w:w="4320" w:type="dxa"/>
            <w:vAlign w:val="center"/>
          </w:tcPr>
          <w:p w:rsidR="00F34C42" w:rsidRDefault="00F34C42" w:rsidP="00F34C42">
            <w:pPr>
              <w:rPr>
                <w:sz w:val="24"/>
              </w:rPr>
            </w:pPr>
            <w:r>
              <w:rPr>
                <w:sz w:val="24"/>
              </w:rPr>
              <w:t>Higher of:</w:t>
            </w:r>
          </w:p>
          <w:p w:rsidR="00F34C42" w:rsidRDefault="00BB47EE" w:rsidP="00F34C42">
            <w:pPr>
              <w:pStyle w:val="a4"/>
              <w:numPr>
                <w:ilvl w:val="0"/>
                <w:numId w:val="4"/>
              </w:numPr>
              <w:rPr>
                <w:sz w:val="24"/>
              </w:rPr>
            </w:pPr>
            <w:r>
              <w:rPr>
                <w:sz w:val="24"/>
              </w:rPr>
              <w:t xml:space="preserve">the percentage that would result in the publicly held securities having an expected market value of </w:t>
            </w:r>
            <w:r w:rsidR="00F34C42">
              <w:rPr>
                <w:sz w:val="24"/>
              </w:rPr>
              <w:t>HK$4.5 bil</w:t>
            </w:r>
            <w:r>
              <w:rPr>
                <w:sz w:val="24"/>
              </w:rPr>
              <w:t>lion at the time of listing; and</w:t>
            </w:r>
          </w:p>
          <w:p w:rsidR="00F34C42" w:rsidRDefault="00F34C42" w:rsidP="00F34C42">
            <w:pPr>
              <w:pStyle w:val="a4"/>
              <w:numPr>
                <w:ilvl w:val="0"/>
                <w:numId w:val="4"/>
              </w:numPr>
              <w:rPr>
                <w:sz w:val="24"/>
              </w:rPr>
            </w:pPr>
            <w:r>
              <w:rPr>
                <w:sz w:val="24"/>
              </w:rPr>
              <w:t>10</w:t>
            </w:r>
            <w:r w:rsidRPr="00370D70">
              <w:rPr>
                <w:sz w:val="24"/>
              </w:rPr>
              <w:t>%</w:t>
            </w:r>
          </w:p>
          <w:p w:rsidR="00F34C42" w:rsidRPr="00370D70" w:rsidRDefault="00F34C42" w:rsidP="00F34C42">
            <w:pPr>
              <w:pStyle w:val="a4"/>
              <w:rPr>
                <w:sz w:val="24"/>
              </w:rPr>
            </w:pPr>
          </w:p>
        </w:tc>
      </w:tr>
      <w:tr w:rsidR="00F34C42" w:rsidTr="00F34C42">
        <w:trPr>
          <w:trHeight w:val="527"/>
        </w:trPr>
        <w:tc>
          <w:tcPr>
            <w:tcW w:w="1075" w:type="dxa"/>
            <w:vAlign w:val="center"/>
          </w:tcPr>
          <w:p w:rsidR="00F34C42" w:rsidRPr="00F34C42" w:rsidRDefault="00F34C42" w:rsidP="00F34C42">
            <w:pPr>
              <w:jc w:val="center"/>
              <w:rPr>
                <w:b/>
                <w:sz w:val="24"/>
              </w:rPr>
            </w:pPr>
            <w:r w:rsidRPr="00F34C42">
              <w:rPr>
                <w:b/>
                <w:sz w:val="24"/>
              </w:rPr>
              <w:t>D</w:t>
            </w:r>
          </w:p>
        </w:tc>
        <w:tc>
          <w:tcPr>
            <w:tcW w:w="3600" w:type="dxa"/>
            <w:vAlign w:val="center"/>
          </w:tcPr>
          <w:p w:rsidR="00F34C42" w:rsidRDefault="00F34C42" w:rsidP="00F34C42">
            <w:pPr>
              <w:jc w:val="center"/>
              <w:rPr>
                <w:sz w:val="24"/>
              </w:rPr>
            </w:pPr>
            <w:r>
              <w:rPr>
                <w:rFonts w:cstheme="minorHAnsi"/>
                <w:sz w:val="24"/>
              </w:rPr>
              <w:t xml:space="preserve">&gt; </w:t>
            </w:r>
            <w:r>
              <w:rPr>
                <w:sz w:val="24"/>
              </w:rPr>
              <w:t>HK$70 billion</w:t>
            </w:r>
          </w:p>
        </w:tc>
        <w:tc>
          <w:tcPr>
            <w:tcW w:w="4320" w:type="dxa"/>
            <w:vAlign w:val="center"/>
          </w:tcPr>
          <w:p w:rsidR="00F34C42" w:rsidRDefault="00F34C42" w:rsidP="00F34C42">
            <w:pPr>
              <w:rPr>
                <w:sz w:val="24"/>
              </w:rPr>
            </w:pPr>
            <w:r>
              <w:rPr>
                <w:sz w:val="24"/>
              </w:rPr>
              <w:t>Higher of:</w:t>
            </w:r>
          </w:p>
          <w:p w:rsidR="00F34C42" w:rsidRDefault="00BB47EE" w:rsidP="00F34C42">
            <w:pPr>
              <w:pStyle w:val="a4"/>
              <w:numPr>
                <w:ilvl w:val="0"/>
                <w:numId w:val="5"/>
              </w:numPr>
              <w:rPr>
                <w:sz w:val="24"/>
              </w:rPr>
            </w:pPr>
            <w:r>
              <w:rPr>
                <w:sz w:val="24"/>
              </w:rPr>
              <w:t>the percentage that would result in the publicly held securities having an expected market value of HK$7 billion at the time of listing; and</w:t>
            </w:r>
          </w:p>
          <w:p w:rsidR="00F34C42" w:rsidRDefault="00F34C42" w:rsidP="00F34C42">
            <w:pPr>
              <w:pStyle w:val="a4"/>
              <w:numPr>
                <w:ilvl w:val="0"/>
                <w:numId w:val="5"/>
              </w:numPr>
              <w:rPr>
                <w:sz w:val="24"/>
              </w:rPr>
            </w:pPr>
            <w:r>
              <w:rPr>
                <w:sz w:val="24"/>
              </w:rPr>
              <w:t>5</w:t>
            </w:r>
            <w:r w:rsidRPr="00370D70">
              <w:rPr>
                <w:sz w:val="24"/>
              </w:rPr>
              <w:t>%</w:t>
            </w:r>
          </w:p>
          <w:p w:rsidR="00F34C42" w:rsidRPr="00370D70" w:rsidRDefault="00F34C42" w:rsidP="00F34C42">
            <w:pPr>
              <w:pStyle w:val="a4"/>
              <w:rPr>
                <w:sz w:val="24"/>
              </w:rPr>
            </w:pPr>
          </w:p>
        </w:tc>
      </w:tr>
    </w:tbl>
    <w:p w:rsidR="003B7A9D" w:rsidRDefault="003B7A9D" w:rsidP="00B60100">
      <w:pPr>
        <w:jc w:val="both"/>
        <w:rPr>
          <w:sz w:val="24"/>
        </w:rPr>
      </w:pPr>
    </w:p>
    <w:p w:rsidR="00826466" w:rsidRPr="004F724C" w:rsidRDefault="00826466" w:rsidP="00B60100">
      <w:pPr>
        <w:jc w:val="both"/>
        <w:rPr>
          <w:sz w:val="24"/>
          <w:szCs w:val="24"/>
        </w:rPr>
      </w:pPr>
      <w:r w:rsidRPr="004F724C">
        <w:rPr>
          <w:sz w:val="24"/>
          <w:szCs w:val="24"/>
        </w:rPr>
        <w:lastRenderedPageBreak/>
        <w:t xml:space="preserve">The HKEX proposes that the new initial public float thresholds apply to any class of equity securities new to listing (including shares, convertible equity securities, options and warrants). However, they will </w:t>
      </w:r>
      <w:r w:rsidRPr="004F724C">
        <w:rPr>
          <w:sz w:val="24"/>
          <w:szCs w:val="24"/>
          <w:u w:val="single"/>
        </w:rPr>
        <w:t>not</w:t>
      </w:r>
      <w:r w:rsidR="00F23A67" w:rsidRPr="004F724C">
        <w:rPr>
          <w:sz w:val="24"/>
          <w:szCs w:val="24"/>
        </w:rPr>
        <w:t xml:space="preserve"> apply to:</w:t>
      </w:r>
    </w:p>
    <w:p w:rsidR="004F724C" w:rsidRPr="004F724C" w:rsidRDefault="00F23A67" w:rsidP="00741571">
      <w:pPr>
        <w:pStyle w:val="a4"/>
        <w:numPr>
          <w:ilvl w:val="0"/>
          <w:numId w:val="16"/>
        </w:numPr>
        <w:jc w:val="both"/>
        <w:rPr>
          <w:sz w:val="24"/>
          <w:szCs w:val="24"/>
        </w:rPr>
      </w:pPr>
      <w:r w:rsidRPr="004F724C">
        <w:rPr>
          <w:sz w:val="24"/>
          <w:szCs w:val="24"/>
        </w:rPr>
        <w:t>the initial listing of A+H issuers (and other prescribed types of issuers), which</w:t>
      </w:r>
      <w:r w:rsidR="004F724C" w:rsidRPr="004F724C">
        <w:rPr>
          <w:sz w:val="24"/>
          <w:szCs w:val="24"/>
        </w:rPr>
        <w:t xml:space="preserve"> </w:t>
      </w:r>
      <w:r w:rsidRPr="004F724C">
        <w:rPr>
          <w:sz w:val="24"/>
          <w:szCs w:val="24"/>
        </w:rPr>
        <w:t xml:space="preserve">would be subject to bespoke initial public </w:t>
      </w:r>
      <w:r w:rsidR="004F724C" w:rsidRPr="004F724C">
        <w:rPr>
          <w:sz w:val="24"/>
          <w:szCs w:val="24"/>
        </w:rPr>
        <w:t>float requirements</w:t>
      </w:r>
      <w:r w:rsidRPr="004F724C">
        <w:rPr>
          <w:sz w:val="24"/>
          <w:szCs w:val="24"/>
        </w:rPr>
        <w:t>; and</w:t>
      </w:r>
    </w:p>
    <w:p w:rsidR="004F724C" w:rsidRPr="004F724C" w:rsidRDefault="004F724C" w:rsidP="00741571">
      <w:pPr>
        <w:pStyle w:val="a4"/>
        <w:jc w:val="both"/>
        <w:rPr>
          <w:sz w:val="24"/>
          <w:szCs w:val="24"/>
        </w:rPr>
      </w:pPr>
    </w:p>
    <w:p w:rsidR="00741571" w:rsidRPr="00741571" w:rsidRDefault="00F23A67" w:rsidP="00741571">
      <w:pPr>
        <w:pStyle w:val="a4"/>
        <w:numPr>
          <w:ilvl w:val="0"/>
          <w:numId w:val="16"/>
        </w:numPr>
        <w:jc w:val="both"/>
        <w:rPr>
          <w:sz w:val="24"/>
          <w:szCs w:val="24"/>
        </w:rPr>
      </w:pPr>
      <w:r w:rsidRPr="004F724C">
        <w:rPr>
          <w:sz w:val="24"/>
          <w:szCs w:val="24"/>
        </w:rPr>
        <w:t>a bonus issue of a new class of securities subject to satisfaction of certain</w:t>
      </w:r>
      <w:r w:rsidR="004F724C" w:rsidRPr="004F724C">
        <w:rPr>
          <w:sz w:val="24"/>
          <w:szCs w:val="24"/>
        </w:rPr>
        <w:t xml:space="preserve"> </w:t>
      </w:r>
      <w:r w:rsidRPr="004F724C">
        <w:rPr>
          <w:sz w:val="24"/>
          <w:szCs w:val="24"/>
        </w:rPr>
        <w:t>conditions</w:t>
      </w:r>
      <w:r w:rsidR="004F724C" w:rsidRPr="004F724C">
        <w:rPr>
          <w:sz w:val="24"/>
          <w:szCs w:val="24"/>
        </w:rPr>
        <w:t>.</w:t>
      </w:r>
    </w:p>
    <w:p w:rsidR="007B40F4" w:rsidRPr="00741571" w:rsidRDefault="007B40F4" w:rsidP="00741571">
      <w:pPr>
        <w:contextualSpacing/>
        <w:jc w:val="both"/>
        <w:rPr>
          <w:sz w:val="24"/>
          <w:szCs w:val="24"/>
        </w:rPr>
      </w:pPr>
      <w:r w:rsidRPr="00741571">
        <w:rPr>
          <w:sz w:val="24"/>
          <w:szCs w:val="24"/>
        </w:rPr>
        <w:t>The public float will be calculated on the basis of the class of securities in issue on listing (excluding treasury shares but including the securities issued on listing). Shares to be issued after listing (e.g. on exercise of an over-allotment option or under a share scheme) will not be included. Issuers will be required to disclose the applicable initial public float threshold in their listing documents.</w:t>
      </w:r>
      <w:r w:rsidR="00A13E1F" w:rsidRPr="00741571">
        <w:rPr>
          <w:sz w:val="24"/>
          <w:szCs w:val="24"/>
        </w:rPr>
        <w:t xml:space="preserve"> </w:t>
      </w:r>
    </w:p>
    <w:p w:rsidR="00741571" w:rsidRDefault="00741571" w:rsidP="00741571">
      <w:pPr>
        <w:contextualSpacing/>
        <w:jc w:val="both"/>
        <w:rPr>
          <w:sz w:val="24"/>
          <w:szCs w:val="24"/>
        </w:rPr>
      </w:pPr>
    </w:p>
    <w:p w:rsidR="008F38AA" w:rsidRPr="008F38AA" w:rsidRDefault="00C27E41" w:rsidP="00A13E1F">
      <w:pPr>
        <w:jc w:val="both"/>
        <w:rPr>
          <w:sz w:val="24"/>
          <w:szCs w:val="24"/>
        </w:rPr>
      </w:pPr>
      <w:r>
        <w:rPr>
          <w:b/>
          <w:i/>
          <w:sz w:val="24"/>
          <w:szCs w:val="24"/>
        </w:rPr>
        <w:t xml:space="preserve">Feedback sought </w:t>
      </w:r>
      <w:r w:rsidR="00B66F76">
        <w:rPr>
          <w:b/>
          <w:i/>
          <w:sz w:val="24"/>
          <w:szCs w:val="24"/>
        </w:rPr>
        <w:t xml:space="preserve">by </w:t>
      </w:r>
      <w:r w:rsidR="003B7A9D">
        <w:rPr>
          <w:b/>
          <w:i/>
          <w:sz w:val="24"/>
          <w:szCs w:val="24"/>
        </w:rPr>
        <w:t xml:space="preserve">the </w:t>
      </w:r>
      <w:r w:rsidR="00B66F76">
        <w:rPr>
          <w:b/>
          <w:i/>
          <w:sz w:val="24"/>
          <w:szCs w:val="24"/>
        </w:rPr>
        <w:t xml:space="preserve">HKEX </w:t>
      </w:r>
      <w:r>
        <w:rPr>
          <w:b/>
          <w:i/>
          <w:sz w:val="24"/>
          <w:szCs w:val="24"/>
        </w:rPr>
        <w:t>on ongoing</w:t>
      </w:r>
      <w:r w:rsidR="008F38AA">
        <w:rPr>
          <w:b/>
          <w:i/>
          <w:sz w:val="24"/>
          <w:szCs w:val="24"/>
        </w:rPr>
        <w:t xml:space="preserve"> public float requirements</w:t>
      </w:r>
    </w:p>
    <w:p w:rsidR="008A2A93" w:rsidRDefault="008A2A93" w:rsidP="008A2A93">
      <w:pPr>
        <w:jc w:val="both"/>
        <w:rPr>
          <w:sz w:val="24"/>
        </w:rPr>
      </w:pPr>
      <w:r>
        <w:rPr>
          <w:sz w:val="24"/>
        </w:rPr>
        <w:t>The HKEX Listing Rules currently require</w:t>
      </w:r>
      <w:r w:rsidRPr="008A2A93">
        <w:rPr>
          <w:sz w:val="24"/>
        </w:rPr>
        <w:t xml:space="preserve"> </w:t>
      </w:r>
      <w:r>
        <w:rPr>
          <w:sz w:val="24"/>
        </w:rPr>
        <w:t xml:space="preserve">issuers </w:t>
      </w:r>
      <w:r w:rsidRPr="008A2A93">
        <w:rPr>
          <w:sz w:val="24"/>
        </w:rPr>
        <w:t xml:space="preserve">to maintain the same public float percentage as at the time of listing, </w:t>
      </w:r>
      <w:r>
        <w:rPr>
          <w:sz w:val="24"/>
        </w:rPr>
        <w:t xml:space="preserve">irrespective </w:t>
      </w:r>
      <w:r w:rsidRPr="008A2A93">
        <w:rPr>
          <w:sz w:val="24"/>
        </w:rPr>
        <w:t>of c</w:t>
      </w:r>
      <w:r>
        <w:rPr>
          <w:sz w:val="24"/>
        </w:rPr>
        <w:t>hanges in their market capitalis</w:t>
      </w:r>
      <w:r w:rsidRPr="008A2A93">
        <w:rPr>
          <w:sz w:val="24"/>
        </w:rPr>
        <w:t xml:space="preserve">ation. </w:t>
      </w:r>
      <w:r>
        <w:rPr>
          <w:sz w:val="24"/>
        </w:rPr>
        <w:t xml:space="preserve">The </w:t>
      </w:r>
      <w:r w:rsidR="00C814B3">
        <w:rPr>
          <w:sz w:val="24"/>
        </w:rPr>
        <w:t xml:space="preserve">HKEX </w:t>
      </w:r>
      <w:r>
        <w:rPr>
          <w:sz w:val="24"/>
        </w:rPr>
        <w:t xml:space="preserve">Consultation Paper notes that some </w:t>
      </w:r>
      <w:r w:rsidRPr="008A2A93">
        <w:rPr>
          <w:sz w:val="24"/>
        </w:rPr>
        <w:t xml:space="preserve">international stock exchanges </w:t>
      </w:r>
      <w:r>
        <w:rPr>
          <w:sz w:val="24"/>
        </w:rPr>
        <w:t xml:space="preserve">have </w:t>
      </w:r>
      <w:r w:rsidRPr="008A2A93">
        <w:rPr>
          <w:sz w:val="24"/>
        </w:rPr>
        <w:t xml:space="preserve">ongoing public float requirements </w:t>
      </w:r>
      <w:r w:rsidR="005C43D4">
        <w:rPr>
          <w:sz w:val="24"/>
        </w:rPr>
        <w:t xml:space="preserve">that are less stringent than </w:t>
      </w:r>
      <w:r w:rsidRPr="008A2A93">
        <w:rPr>
          <w:sz w:val="24"/>
        </w:rPr>
        <w:t xml:space="preserve">those </w:t>
      </w:r>
      <w:r w:rsidR="005C43D4">
        <w:rPr>
          <w:sz w:val="24"/>
        </w:rPr>
        <w:t xml:space="preserve">applicable </w:t>
      </w:r>
      <w:r w:rsidRPr="008A2A93">
        <w:rPr>
          <w:sz w:val="24"/>
        </w:rPr>
        <w:t>at the initial listing stage.</w:t>
      </w:r>
      <w:r w:rsidR="005C43D4">
        <w:rPr>
          <w:sz w:val="24"/>
        </w:rPr>
        <w:t xml:space="preserve"> Other issues include that:</w:t>
      </w:r>
    </w:p>
    <w:p w:rsidR="005C43D4" w:rsidRDefault="005C43D4" w:rsidP="008A2A93">
      <w:pPr>
        <w:pStyle w:val="a4"/>
        <w:numPr>
          <w:ilvl w:val="0"/>
          <w:numId w:val="17"/>
        </w:numPr>
        <w:jc w:val="both"/>
        <w:rPr>
          <w:sz w:val="24"/>
        </w:rPr>
      </w:pPr>
      <w:r>
        <w:rPr>
          <w:sz w:val="24"/>
        </w:rPr>
        <w:t xml:space="preserve">the current requirements may prevent issuers from conducting certain transactions,  </w:t>
      </w:r>
      <w:r w:rsidR="008A2A93" w:rsidRPr="005C43D4">
        <w:rPr>
          <w:sz w:val="24"/>
        </w:rPr>
        <w:t>such as share buy</w:t>
      </w:r>
      <w:r>
        <w:rPr>
          <w:sz w:val="24"/>
        </w:rPr>
        <w:t>-</w:t>
      </w:r>
      <w:r w:rsidR="008A2A93" w:rsidRPr="005C43D4">
        <w:rPr>
          <w:sz w:val="24"/>
        </w:rPr>
        <w:t xml:space="preserve">backs, if they </w:t>
      </w:r>
      <w:r>
        <w:rPr>
          <w:sz w:val="24"/>
        </w:rPr>
        <w:t>would breach the</w:t>
      </w:r>
      <w:r w:rsidR="008A2A93" w:rsidRPr="005C43D4">
        <w:rPr>
          <w:sz w:val="24"/>
        </w:rPr>
        <w:t xml:space="preserve"> </w:t>
      </w:r>
      <w:r>
        <w:rPr>
          <w:sz w:val="24"/>
        </w:rPr>
        <w:t xml:space="preserve">HKEX </w:t>
      </w:r>
      <w:r w:rsidR="008A2A93" w:rsidRPr="005C43D4">
        <w:rPr>
          <w:sz w:val="24"/>
        </w:rPr>
        <w:t>Listing Rules by causing the</w:t>
      </w:r>
      <w:r>
        <w:rPr>
          <w:sz w:val="24"/>
        </w:rPr>
        <w:t xml:space="preserve"> public float to drop below 25%</w:t>
      </w:r>
      <w:r w:rsidR="008A2A93" w:rsidRPr="005C43D4">
        <w:rPr>
          <w:sz w:val="24"/>
        </w:rPr>
        <w:t>, even if the transactions could benefit t</w:t>
      </w:r>
      <w:r>
        <w:rPr>
          <w:sz w:val="24"/>
        </w:rPr>
        <w:t>he issuer and its shareholders;</w:t>
      </w:r>
    </w:p>
    <w:p w:rsidR="001751EB" w:rsidRDefault="001751EB" w:rsidP="001751EB">
      <w:pPr>
        <w:pStyle w:val="a4"/>
        <w:jc w:val="both"/>
        <w:rPr>
          <w:sz w:val="24"/>
        </w:rPr>
      </w:pPr>
    </w:p>
    <w:p w:rsidR="008A2A93" w:rsidRDefault="008A2A93" w:rsidP="008A2A93">
      <w:pPr>
        <w:pStyle w:val="a4"/>
        <w:numPr>
          <w:ilvl w:val="0"/>
          <w:numId w:val="17"/>
        </w:numPr>
        <w:jc w:val="both"/>
        <w:rPr>
          <w:sz w:val="24"/>
        </w:rPr>
      </w:pPr>
      <w:r w:rsidRPr="005C43D4">
        <w:rPr>
          <w:sz w:val="24"/>
        </w:rPr>
        <w:t>a public float shortfall</w:t>
      </w:r>
      <w:r w:rsidR="005C43D4">
        <w:rPr>
          <w:sz w:val="24"/>
        </w:rPr>
        <w:t xml:space="preserve"> can</w:t>
      </w:r>
      <w:r w:rsidRPr="005C43D4">
        <w:rPr>
          <w:sz w:val="24"/>
        </w:rPr>
        <w:t xml:space="preserve"> occur due to an independent third party acquiring securities and becoming a </w:t>
      </w:r>
      <w:r w:rsidR="001751EB">
        <w:rPr>
          <w:sz w:val="24"/>
        </w:rPr>
        <w:t xml:space="preserve">substantial </w:t>
      </w:r>
      <w:r w:rsidRPr="005C43D4">
        <w:rPr>
          <w:sz w:val="24"/>
        </w:rPr>
        <w:t xml:space="preserve">shareholder </w:t>
      </w:r>
      <w:r w:rsidR="001751EB">
        <w:rPr>
          <w:sz w:val="24"/>
        </w:rPr>
        <w:t>who is excluded from the definition of “the public” as a result;</w:t>
      </w:r>
    </w:p>
    <w:p w:rsidR="001751EB" w:rsidRPr="001751EB" w:rsidRDefault="001751EB" w:rsidP="001751EB">
      <w:pPr>
        <w:pStyle w:val="a4"/>
        <w:rPr>
          <w:sz w:val="24"/>
        </w:rPr>
      </w:pPr>
    </w:p>
    <w:p w:rsidR="001751EB" w:rsidRDefault="001751EB" w:rsidP="008A2A93">
      <w:pPr>
        <w:pStyle w:val="a4"/>
        <w:numPr>
          <w:ilvl w:val="0"/>
          <w:numId w:val="17"/>
        </w:numPr>
        <w:jc w:val="both"/>
        <w:rPr>
          <w:sz w:val="24"/>
        </w:rPr>
      </w:pPr>
      <w:r>
        <w:rPr>
          <w:sz w:val="24"/>
        </w:rPr>
        <w:t>issuers that breach the public float requirement are required to take steps to re-comply. However, this can be difficult and expensive. Typically, the options are for issuers to issue new shares to independent third parties or for core connected persons to sell some of their shares.</w:t>
      </w:r>
      <w:r w:rsidR="00AD065A">
        <w:rPr>
          <w:sz w:val="24"/>
        </w:rPr>
        <w:t xml:space="preserve"> However</w:t>
      </w:r>
      <w:r w:rsidR="00C27E41">
        <w:rPr>
          <w:sz w:val="24"/>
        </w:rPr>
        <w:t>,</w:t>
      </w:r>
      <w:r w:rsidR="00AD065A">
        <w:rPr>
          <w:sz w:val="24"/>
        </w:rPr>
        <w:t xml:space="preserve"> this may not be in the best interests of the issuer and its shareholders or the core connected persons, particularly if market conditions are poor as they may </w:t>
      </w:r>
      <w:r w:rsidR="00ED0E73">
        <w:rPr>
          <w:sz w:val="24"/>
        </w:rPr>
        <w:t xml:space="preserve">be </w:t>
      </w:r>
      <w:r w:rsidR="00AD065A">
        <w:rPr>
          <w:sz w:val="24"/>
        </w:rPr>
        <w:t xml:space="preserve">forced to issue or sell at a discounted price; </w:t>
      </w:r>
      <w:r w:rsidR="00ED0E73">
        <w:rPr>
          <w:sz w:val="24"/>
        </w:rPr>
        <w:t>and</w:t>
      </w:r>
    </w:p>
    <w:p w:rsidR="00AD065A" w:rsidRPr="00AD065A" w:rsidRDefault="00AD065A" w:rsidP="00AD065A">
      <w:pPr>
        <w:pStyle w:val="a4"/>
        <w:rPr>
          <w:sz w:val="24"/>
        </w:rPr>
      </w:pPr>
    </w:p>
    <w:p w:rsidR="00AD065A" w:rsidRDefault="00AD065A" w:rsidP="00C27E41">
      <w:pPr>
        <w:pStyle w:val="a4"/>
        <w:numPr>
          <w:ilvl w:val="0"/>
          <w:numId w:val="17"/>
        </w:numPr>
        <w:ind w:hanging="294"/>
        <w:jc w:val="both"/>
        <w:rPr>
          <w:sz w:val="24"/>
        </w:rPr>
      </w:pPr>
      <w:r>
        <w:rPr>
          <w:sz w:val="24"/>
        </w:rPr>
        <w:t>if trading in the issuer’s securities has been suspended,</w:t>
      </w:r>
      <w:r w:rsidRPr="00AD065A">
        <w:rPr>
          <w:sz w:val="24"/>
        </w:rPr>
        <w:t xml:space="preserve"> </w:t>
      </w:r>
      <w:r>
        <w:rPr>
          <w:sz w:val="24"/>
        </w:rPr>
        <w:t>it will be difficult and expensive for core connected</w:t>
      </w:r>
      <w:r w:rsidR="00ED0E73">
        <w:rPr>
          <w:sz w:val="24"/>
        </w:rPr>
        <w:t xml:space="preserve"> persons</w:t>
      </w:r>
      <w:r>
        <w:rPr>
          <w:sz w:val="24"/>
        </w:rPr>
        <w:t xml:space="preserve"> to sell </w:t>
      </w:r>
      <w:r w:rsidRPr="00AD065A">
        <w:rPr>
          <w:sz w:val="24"/>
        </w:rPr>
        <w:t xml:space="preserve">as </w:t>
      </w:r>
      <w:r>
        <w:rPr>
          <w:sz w:val="24"/>
        </w:rPr>
        <w:t>sales would have</w:t>
      </w:r>
      <w:r w:rsidRPr="00AD065A">
        <w:rPr>
          <w:sz w:val="24"/>
        </w:rPr>
        <w:t xml:space="preserve"> to be conducted off market and with</w:t>
      </w:r>
      <w:r w:rsidR="00ED0E73">
        <w:rPr>
          <w:sz w:val="24"/>
        </w:rPr>
        <w:t xml:space="preserve"> </w:t>
      </w:r>
      <w:r w:rsidRPr="00ED0E73">
        <w:rPr>
          <w:sz w:val="24"/>
        </w:rPr>
        <w:t>no benchmark market price</w:t>
      </w:r>
      <w:r w:rsidR="00ED0E73">
        <w:rPr>
          <w:sz w:val="24"/>
        </w:rPr>
        <w:t>.</w:t>
      </w:r>
    </w:p>
    <w:p w:rsidR="00ED0E73" w:rsidRPr="00ED0E73" w:rsidRDefault="00B61485" w:rsidP="00B61485">
      <w:pPr>
        <w:jc w:val="both"/>
        <w:rPr>
          <w:sz w:val="24"/>
        </w:rPr>
      </w:pPr>
      <w:r>
        <w:rPr>
          <w:sz w:val="24"/>
        </w:rPr>
        <w:t xml:space="preserve">Where </w:t>
      </w:r>
      <w:r w:rsidRPr="00B61485">
        <w:rPr>
          <w:sz w:val="24"/>
        </w:rPr>
        <w:t>an issuer fai</w:t>
      </w:r>
      <w:r>
        <w:rPr>
          <w:sz w:val="24"/>
        </w:rPr>
        <w:t xml:space="preserve">ls to maintain sufficient public </w:t>
      </w:r>
      <w:r w:rsidRPr="00B61485">
        <w:rPr>
          <w:sz w:val="24"/>
        </w:rPr>
        <w:t>float</w:t>
      </w:r>
      <w:r>
        <w:rPr>
          <w:sz w:val="24"/>
        </w:rPr>
        <w:t>, the HKEX can suspend or cancel its listing. It can also cancel the listing of any securities that have</w:t>
      </w:r>
      <w:r w:rsidRPr="00B61485">
        <w:rPr>
          <w:sz w:val="24"/>
        </w:rPr>
        <w:t xml:space="preserve"> been suspended from tra</w:t>
      </w:r>
      <w:r>
        <w:rPr>
          <w:sz w:val="24"/>
        </w:rPr>
        <w:t xml:space="preserve">ding for a </w:t>
      </w:r>
      <w:r w:rsidRPr="00B61485">
        <w:rPr>
          <w:sz w:val="24"/>
        </w:rPr>
        <w:t>continuous period of 18 months (GEM: 12 months)</w:t>
      </w:r>
      <w:r>
        <w:rPr>
          <w:sz w:val="24"/>
        </w:rPr>
        <w:t xml:space="preserve">. The </w:t>
      </w:r>
      <w:r w:rsidR="00C814B3">
        <w:rPr>
          <w:sz w:val="24"/>
        </w:rPr>
        <w:t xml:space="preserve">HKEX </w:t>
      </w:r>
      <w:r>
        <w:rPr>
          <w:sz w:val="24"/>
        </w:rPr>
        <w:t xml:space="preserve">Consultation Paper notes that no </w:t>
      </w:r>
      <w:r w:rsidR="00ED0E73" w:rsidRPr="00ED0E73">
        <w:rPr>
          <w:sz w:val="24"/>
        </w:rPr>
        <w:t xml:space="preserve">alternative </w:t>
      </w:r>
      <w:r w:rsidR="00ED0E73" w:rsidRPr="00ED0E73">
        <w:rPr>
          <w:sz w:val="24"/>
        </w:rPr>
        <w:lastRenderedPageBreak/>
        <w:t xml:space="preserve">trading platform </w:t>
      </w:r>
      <w:r>
        <w:rPr>
          <w:sz w:val="24"/>
        </w:rPr>
        <w:t xml:space="preserve">is </w:t>
      </w:r>
      <w:r w:rsidR="00ED0E73" w:rsidRPr="00ED0E73">
        <w:rPr>
          <w:sz w:val="24"/>
        </w:rPr>
        <w:t>available in Hong Kong for delisted securities</w:t>
      </w:r>
      <w:r>
        <w:rPr>
          <w:sz w:val="24"/>
        </w:rPr>
        <w:t xml:space="preserve"> which means that cancellation of listing deprives shareholders of the opportunity to exit </w:t>
      </w:r>
      <w:r w:rsidRPr="00ED0E73">
        <w:rPr>
          <w:sz w:val="24"/>
        </w:rPr>
        <w:t>the delisted issuer</w:t>
      </w:r>
      <w:r>
        <w:rPr>
          <w:sz w:val="24"/>
        </w:rPr>
        <w:t>.</w:t>
      </w:r>
    </w:p>
    <w:p w:rsidR="005A03CF" w:rsidRPr="000E6B1D" w:rsidRDefault="005A03CF" w:rsidP="000E6B1D">
      <w:pPr>
        <w:pStyle w:val="a4"/>
        <w:ind w:left="0"/>
        <w:jc w:val="both"/>
        <w:rPr>
          <w:sz w:val="24"/>
          <w:szCs w:val="24"/>
        </w:rPr>
      </w:pPr>
      <w:r w:rsidRPr="000E6B1D">
        <w:rPr>
          <w:sz w:val="24"/>
          <w:szCs w:val="24"/>
        </w:rPr>
        <w:t xml:space="preserve">The HKEX is </w:t>
      </w:r>
      <w:r w:rsidR="00553B68" w:rsidRPr="000E6B1D">
        <w:rPr>
          <w:sz w:val="24"/>
          <w:szCs w:val="24"/>
        </w:rPr>
        <w:t>seek</w:t>
      </w:r>
      <w:r w:rsidRPr="000E6B1D">
        <w:rPr>
          <w:sz w:val="24"/>
          <w:szCs w:val="24"/>
        </w:rPr>
        <w:t>ing</w:t>
      </w:r>
      <w:r w:rsidR="00553B68" w:rsidRPr="000E6B1D">
        <w:rPr>
          <w:sz w:val="24"/>
          <w:szCs w:val="24"/>
        </w:rPr>
        <w:t xml:space="preserve"> views on</w:t>
      </w:r>
      <w:r w:rsidRPr="000E6B1D">
        <w:rPr>
          <w:sz w:val="24"/>
          <w:szCs w:val="24"/>
        </w:rPr>
        <w:t>:</w:t>
      </w:r>
    </w:p>
    <w:p w:rsidR="005A03CF" w:rsidRPr="000E6B1D" w:rsidRDefault="005A03CF" w:rsidP="000E6B1D">
      <w:pPr>
        <w:pStyle w:val="a4"/>
        <w:ind w:left="0"/>
        <w:jc w:val="both"/>
        <w:rPr>
          <w:sz w:val="24"/>
          <w:szCs w:val="24"/>
        </w:rPr>
      </w:pPr>
    </w:p>
    <w:p w:rsidR="005A03CF" w:rsidRPr="000E6B1D" w:rsidRDefault="00553B68" w:rsidP="000E6B1D">
      <w:pPr>
        <w:pStyle w:val="a4"/>
        <w:numPr>
          <w:ilvl w:val="0"/>
          <w:numId w:val="18"/>
        </w:numPr>
        <w:jc w:val="both"/>
        <w:rPr>
          <w:sz w:val="24"/>
          <w:szCs w:val="24"/>
        </w:rPr>
      </w:pPr>
      <w:r w:rsidRPr="000E6B1D">
        <w:rPr>
          <w:sz w:val="24"/>
          <w:szCs w:val="24"/>
        </w:rPr>
        <w:t>the appropriate ongoing public float requirements for</w:t>
      </w:r>
      <w:r w:rsidR="005A03CF" w:rsidRPr="000E6B1D">
        <w:rPr>
          <w:sz w:val="24"/>
          <w:szCs w:val="24"/>
        </w:rPr>
        <w:t xml:space="preserve"> i</w:t>
      </w:r>
      <w:r w:rsidRPr="000E6B1D">
        <w:rPr>
          <w:sz w:val="24"/>
          <w:szCs w:val="24"/>
        </w:rPr>
        <w:t xml:space="preserve">ssuers subject to the </w:t>
      </w:r>
      <w:r w:rsidR="005A03CF" w:rsidRPr="000E6B1D">
        <w:rPr>
          <w:sz w:val="24"/>
          <w:szCs w:val="24"/>
        </w:rPr>
        <w:t xml:space="preserve">proposed </w:t>
      </w:r>
      <w:r w:rsidRPr="000E6B1D">
        <w:rPr>
          <w:sz w:val="24"/>
          <w:szCs w:val="24"/>
        </w:rPr>
        <w:t>initial public float tiers and A+H issuers (and other prescribed types of issuers)</w:t>
      </w:r>
      <w:r w:rsidR="005A03CF" w:rsidRPr="000E6B1D">
        <w:rPr>
          <w:sz w:val="24"/>
          <w:szCs w:val="24"/>
        </w:rPr>
        <w:t>;</w:t>
      </w:r>
    </w:p>
    <w:p w:rsidR="005A03CF" w:rsidRPr="000E6B1D" w:rsidRDefault="005A03CF" w:rsidP="000E6B1D">
      <w:pPr>
        <w:pStyle w:val="a4"/>
        <w:ind w:left="770"/>
        <w:jc w:val="both"/>
        <w:rPr>
          <w:sz w:val="24"/>
          <w:szCs w:val="24"/>
        </w:rPr>
      </w:pPr>
    </w:p>
    <w:p w:rsidR="005A03CF" w:rsidRPr="000E6B1D" w:rsidRDefault="00553B68" w:rsidP="000E6B1D">
      <w:pPr>
        <w:pStyle w:val="a4"/>
        <w:numPr>
          <w:ilvl w:val="0"/>
          <w:numId w:val="18"/>
        </w:numPr>
        <w:jc w:val="both"/>
        <w:rPr>
          <w:sz w:val="24"/>
          <w:szCs w:val="24"/>
        </w:rPr>
      </w:pPr>
      <w:r w:rsidRPr="000E6B1D">
        <w:rPr>
          <w:sz w:val="24"/>
          <w:szCs w:val="24"/>
        </w:rPr>
        <w:t xml:space="preserve">whether issuers should be allowed to maintain a lower public float level, after listing, than that required at listing; and </w:t>
      </w:r>
    </w:p>
    <w:p w:rsidR="005A03CF" w:rsidRPr="000E6B1D" w:rsidRDefault="005A03CF" w:rsidP="000E6B1D">
      <w:pPr>
        <w:pStyle w:val="a4"/>
        <w:rPr>
          <w:sz w:val="24"/>
          <w:szCs w:val="24"/>
        </w:rPr>
      </w:pPr>
    </w:p>
    <w:p w:rsidR="005A03CF" w:rsidRPr="000E6B1D" w:rsidRDefault="00553B68" w:rsidP="000E6B1D">
      <w:pPr>
        <w:pStyle w:val="a4"/>
        <w:numPr>
          <w:ilvl w:val="0"/>
          <w:numId w:val="18"/>
        </w:numPr>
        <w:jc w:val="both"/>
        <w:rPr>
          <w:sz w:val="24"/>
          <w:szCs w:val="24"/>
        </w:rPr>
      </w:pPr>
      <w:r w:rsidRPr="000E6B1D">
        <w:rPr>
          <w:sz w:val="24"/>
          <w:szCs w:val="24"/>
        </w:rPr>
        <w:t xml:space="preserve">whether the </w:t>
      </w:r>
      <w:r w:rsidR="005A03CF" w:rsidRPr="000E6B1D">
        <w:rPr>
          <w:sz w:val="24"/>
          <w:szCs w:val="24"/>
        </w:rPr>
        <w:t xml:space="preserve">HKEX’s existing </w:t>
      </w:r>
      <w:r w:rsidRPr="000E6B1D">
        <w:rPr>
          <w:sz w:val="24"/>
          <w:szCs w:val="24"/>
        </w:rPr>
        <w:t>approach of suspending trading of issuers with public</w:t>
      </w:r>
      <w:r w:rsidR="00C27E41">
        <w:rPr>
          <w:sz w:val="24"/>
          <w:szCs w:val="24"/>
        </w:rPr>
        <w:t xml:space="preserve"> float below 15% (</w:t>
      </w:r>
      <w:r w:rsidR="00C27E41" w:rsidRPr="00C27E41">
        <w:rPr>
          <w:sz w:val="24"/>
          <w:szCs w:val="24"/>
        </w:rPr>
        <w:t>or 10% in the case of an issuer that has been granted a lower percentage of public float at the time of listing</w:t>
      </w:r>
      <w:r w:rsidR="00C27E41">
        <w:t>)</w:t>
      </w:r>
      <w:r w:rsidR="00C27E41" w:rsidRPr="000E6B1D">
        <w:rPr>
          <w:sz w:val="24"/>
          <w:szCs w:val="24"/>
        </w:rPr>
        <w:t xml:space="preserve"> </w:t>
      </w:r>
      <w:r w:rsidRPr="000E6B1D">
        <w:rPr>
          <w:sz w:val="24"/>
          <w:szCs w:val="24"/>
        </w:rPr>
        <w:t xml:space="preserve">should be </w:t>
      </w:r>
      <w:r w:rsidR="005A03CF" w:rsidRPr="000E6B1D">
        <w:rPr>
          <w:sz w:val="24"/>
          <w:szCs w:val="24"/>
        </w:rPr>
        <w:t>re</w:t>
      </w:r>
      <w:r w:rsidRPr="000E6B1D">
        <w:rPr>
          <w:sz w:val="24"/>
          <w:szCs w:val="24"/>
        </w:rPr>
        <w:t xml:space="preserve">tained. </w:t>
      </w:r>
    </w:p>
    <w:p w:rsidR="00ED0E73" w:rsidRPr="000E6B1D" w:rsidRDefault="005A03CF" w:rsidP="000E6B1D">
      <w:pPr>
        <w:contextualSpacing/>
        <w:jc w:val="both"/>
        <w:rPr>
          <w:sz w:val="24"/>
          <w:szCs w:val="24"/>
        </w:rPr>
      </w:pPr>
      <w:r w:rsidRPr="000E6B1D">
        <w:rPr>
          <w:sz w:val="24"/>
          <w:szCs w:val="24"/>
        </w:rPr>
        <w:t xml:space="preserve">The HKEX would conduct a further consultation </w:t>
      </w:r>
      <w:r w:rsidR="00553B68" w:rsidRPr="000E6B1D">
        <w:rPr>
          <w:sz w:val="24"/>
          <w:szCs w:val="24"/>
        </w:rPr>
        <w:t xml:space="preserve">on </w:t>
      </w:r>
      <w:r w:rsidR="00C27E41">
        <w:rPr>
          <w:sz w:val="24"/>
          <w:szCs w:val="24"/>
        </w:rPr>
        <w:t xml:space="preserve">the </w:t>
      </w:r>
      <w:r w:rsidR="00553B68" w:rsidRPr="000E6B1D">
        <w:rPr>
          <w:sz w:val="24"/>
          <w:szCs w:val="24"/>
        </w:rPr>
        <w:t xml:space="preserve">detailed ongoing public float proposals </w:t>
      </w:r>
      <w:r w:rsidRPr="000E6B1D">
        <w:rPr>
          <w:sz w:val="24"/>
          <w:szCs w:val="24"/>
        </w:rPr>
        <w:t xml:space="preserve">after reviewing the feedback on its proposed changes to the initial public float requirements. </w:t>
      </w:r>
      <w:r w:rsidR="00553B68" w:rsidRPr="000E6B1D">
        <w:rPr>
          <w:sz w:val="24"/>
          <w:szCs w:val="24"/>
        </w:rPr>
        <w:t xml:space="preserve">Changes to both initial and ongoing public float requirements would be implemented together only after </w:t>
      </w:r>
      <w:r w:rsidR="000E6B1D" w:rsidRPr="000E6B1D">
        <w:rPr>
          <w:sz w:val="24"/>
          <w:szCs w:val="24"/>
        </w:rPr>
        <w:t xml:space="preserve">the conclusion of </w:t>
      </w:r>
      <w:r w:rsidR="00553B68" w:rsidRPr="000E6B1D">
        <w:rPr>
          <w:sz w:val="24"/>
          <w:szCs w:val="24"/>
        </w:rPr>
        <w:t>that subsequent consultation.</w:t>
      </w:r>
    </w:p>
    <w:p w:rsidR="00ED0E73" w:rsidRDefault="00ED0E73" w:rsidP="000E6B1D">
      <w:pPr>
        <w:contextualSpacing/>
        <w:jc w:val="both"/>
        <w:rPr>
          <w:sz w:val="24"/>
        </w:rPr>
      </w:pPr>
    </w:p>
    <w:p w:rsidR="008A2A93" w:rsidRDefault="000E6B1D" w:rsidP="000E6B1D">
      <w:pPr>
        <w:contextualSpacing/>
        <w:jc w:val="both"/>
        <w:rPr>
          <w:sz w:val="24"/>
          <w:szCs w:val="24"/>
        </w:rPr>
      </w:pPr>
      <w:r>
        <w:rPr>
          <w:sz w:val="24"/>
          <w:szCs w:val="24"/>
        </w:rPr>
        <w:t>The HKEX</w:t>
      </w:r>
      <w:r w:rsidRPr="000E6B1D">
        <w:rPr>
          <w:sz w:val="24"/>
          <w:szCs w:val="24"/>
        </w:rPr>
        <w:t xml:space="preserve"> propose</w:t>
      </w:r>
      <w:r>
        <w:rPr>
          <w:sz w:val="24"/>
          <w:szCs w:val="24"/>
        </w:rPr>
        <w:t>s</w:t>
      </w:r>
      <w:r w:rsidRPr="000E6B1D">
        <w:rPr>
          <w:sz w:val="24"/>
          <w:szCs w:val="24"/>
        </w:rPr>
        <w:t xml:space="preserve"> to apply ongoing public float requirements </w:t>
      </w:r>
      <w:r>
        <w:rPr>
          <w:sz w:val="24"/>
          <w:szCs w:val="24"/>
        </w:rPr>
        <w:t xml:space="preserve">only </w:t>
      </w:r>
      <w:r w:rsidRPr="000E6B1D">
        <w:rPr>
          <w:sz w:val="24"/>
          <w:szCs w:val="24"/>
        </w:rPr>
        <w:t xml:space="preserve">to listed </w:t>
      </w:r>
      <w:r>
        <w:rPr>
          <w:sz w:val="24"/>
          <w:szCs w:val="24"/>
        </w:rPr>
        <w:t>shares</w:t>
      </w:r>
      <w:r w:rsidRPr="000E6B1D">
        <w:rPr>
          <w:sz w:val="24"/>
          <w:szCs w:val="24"/>
        </w:rPr>
        <w:t>, and not to convertible securities</w:t>
      </w:r>
      <w:r>
        <w:rPr>
          <w:sz w:val="24"/>
          <w:szCs w:val="24"/>
        </w:rPr>
        <w:t xml:space="preserve">, </w:t>
      </w:r>
      <w:r w:rsidRPr="000E6B1D">
        <w:rPr>
          <w:sz w:val="24"/>
          <w:szCs w:val="24"/>
        </w:rPr>
        <w:t>options, warrants or similar rights</w:t>
      </w:r>
      <w:r>
        <w:rPr>
          <w:sz w:val="24"/>
          <w:szCs w:val="24"/>
        </w:rPr>
        <w:t>.</w:t>
      </w:r>
    </w:p>
    <w:p w:rsidR="000E6B1D" w:rsidRPr="000E6B1D" w:rsidRDefault="000E6B1D" w:rsidP="000E6B1D">
      <w:pPr>
        <w:contextualSpacing/>
        <w:jc w:val="both"/>
        <w:rPr>
          <w:sz w:val="24"/>
          <w:szCs w:val="24"/>
        </w:rPr>
      </w:pPr>
    </w:p>
    <w:p w:rsidR="000E6B1D" w:rsidRPr="000E6B1D" w:rsidRDefault="000E6B1D" w:rsidP="000E6B1D">
      <w:pPr>
        <w:contextualSpacing/>
        <w:jc w:val="both"/>
        <w:rPr>
          <w:b/>
          <w:i/>
          <w:sz w:val="24"/>
          <w:szCs w:val="24"/>
        </w:rPr>
      </w:pPr>
      <w:r>
        <w:rPr>
          <w:b/>
          <w:i/>
          <w:sz w:val="24"/>
        </w:rPr>
        <w:t xml:space="preserve">Feedback sought </w:t>
      </w:r>
      <w:r w:rsidR="00B66F76">
        <w:rPr>
          <w:b/>
          <w:i/>
          <w:sz w:val="24"/>
        </w:rPr>
        <w:t xml:space="preserve">by </w:t>
      </w:r>
      <w:r w:rsidR="003B7A9D">
        <w:rPr>
          <w:b/>
          <w:i/>
          <w:sz w:val="24"/>
        </w:rPr>
        <w:t xml:space="preserve">the </w:t>
      </w:r>
      <w:r w:rsidR="00B66F76">
        <w:rPr>
          <w:b/>
          <w:i/>
          <w:sz w:val="24"/>
        </w:rPr>
        <w:t xml:space="preserve">HKEX </w:t>
      </w:r>
      <w:r>
        <w:rPr>
          <w:b/>
          <w:i/>
          <w:sz w:val="24"/>
        </w:rPr>
        <w:t>on potential OTC market</w:t>
      </w:r>
    </w:p>
    <w:p w:rsidR="00C27E41" w:rsidRDefault="00C27E41" w:rsidP="000E6B1D">
      <w:pPr>
        <w:contextualSpacing/>
        <w:jc w:val="both"/>
        <w:rPr>
          <w:sz w:val="24"/>
          <w:szCs w:val="24"/>
        </w:rPr>
      </w:pPr>
    </w:p>
    <w:p w:rsidR="000E6B1D" w:rsidRDefault="00C27E41" w:rsidP="000E6B1D">
      <w:pPr>
        <w:contextualSpacing/>
        <w:jc w:val="both"/>
        <w:rPr>
          <w:sz w:val="24"/>
          <w:szCs w:val="24"/>
        </w:rPr>
      </w:pPr>
      <w:r>
        <w:rPr>
          <w:sz w:val="24"/>
          <w:szCs w:val="24"/>
        </w:rPr>
        <w:t xml:space="preserve">The HKEX is also requesting </w:t>
      </w:r>
      <w:r w:rsidR="000E6B1D" w:rsidRPr="000E6B1D">
        <w:rPr>
          <w:sz w:val="24"/>
          <w:szCs w:val="24"/>
        </w:rPr>
        <w:t xml:space="preserve">views on whether an OTC market should be established in Hong Kong. </w:t>
      </w:r>
      <w:r>
        <w:rPr>
          <w:sz w:val="24"/>
          <w:szCs w:val="24"/>
        </w:rPr>
        <w:t>In particular, it is asking for feedback on</w:t>
      </w:r>
      <w:r w:rsidR="000E6B1D" w:rsidRPr="000E6B1D">
        <w:rPr>
          <w:sz w:val="24"/>
          <w:szCs w:val="24"/>
        </w:rPr>
        <w:t xml:space="preserve">: the potential benefits and risks of establishing an OTC market; </w:t>
      </w:r>
      <w:r>
        <w:rPr>
          <w:sz w:val="24"/>
          <w:szCs w:val="24"/>
        </w:rPr>
        <w:t xml:space="preserve">the </w:t>
      </w:r>
      <w:r w:rsidR="000E6B1D" w:rsidRPr="000E6B1D">
        <w:rPr>
          <w:sz w:val="24"/>
          <w:szCs w:val="24"/>
        </w:rPr>
        <w:t>functions that an OTC mar</w:t>
      </w:r>
      <w:r w:rsidR="003B7A9D">
        <w:rPr>
          <w:sz w:val="24"/>
          <w:szCs w:val="24"/>
        </w:rPr>
        <w:t>ket should serve; and whether an</w:t>
      </w:r>
      <w:r w:rsidR="000E6B1D" w:rsidRPr="000E6B1D">
        <w:rPr>
          <w:sz w:val="24"/>
          <w:szCs w:val="24"/>
        </w:rPr>
        <w:t xml:space="preserve"> OTC market should be open to retail investors.</w:t>
      </w:r>
    </w:p>
    <w:p w:rsidR="00C27E41" w:rsidRPr="000E6B1D" w:rsidRDefault="00C27E41" w:rsidP="000E6B1D">
      <w:pPr>
        <w:contextualSpacing/>
        <w:jc w:val="both"/>
        <w:rPr>
          <w:sz w:val="24"/>
          <w:szCs w:val="24"/>
        </w:rPr>
      </w:pPr>
    </w:p>
    <w:p w:rsidR="009D7D86" w:rsidRPr="00C27E41" w:rsidRDefault="00E302C0" w:rsidP="00B60100">
      <w:pPr>
        <w:jc w:val="both"/>
        <w:rPr>
          <w:b/>
          <w:i/>
          <w:sz w:val="24"/>
        </w:rPr>
      </w:pPr>
      <w:r>
        <w:rPr>
          <w:b/>
          <w:i/>
          <w:sz w:val="24"/>
        </w:rPr>
        <w:t>HKEX’s p</w:t>
      </w:r>
      <w:r w:rsidR="00464FBF" w:rsidRPr="00C27E41">
        <w:rPr>
          <w:b/>
          <w:i/>
          <w:sz w:val="24"/>
        </w:rPr>
        <w:t>ropose</w:t>
      </w:r>
      <w:r w:rsidR="00DE5733" w:rsidRPr="00C27E41">
        <w:rPr>
          <w:b/>
          <w:i/>
          <w:sz w:val="24"/>
        </w:rPr>
        <w:t>d</w:t>
      </w:r>
      <w:r w:rsidR="00E33F3C">
        <w:rPr>
          <w:b/>
          <w:i/>
          <w:sz w:val="24"/>
        </w:rPr>
        <w:t xml:space="preserve"> changes to ongoing </w:t>
      </w:r>
      <w:r w:rsidR="00464FBF" w:rsidRPr="00C27E41">
        <w:rPr>
          <w:b/>
          <w:i/>
          <w:sz w:val="24"/>
        </w:rPr>
        <w:t>public float disclosures</w:t>
      </w:r>
    </w:p>
    <w:p w:rsidR="003B1F21" w:rsidRDefault="0023588F" w:rsidP="00B60100">
      <w:pPr>
        <w:jc w:val="both"/>
        <w:rPr>
          <w:sz w:val="24"/>
        </w:rPr>
      </w:pPr>
      <w:r>
        <w:rPr>
          <w:sz w:val="24"/>
        </w:rPr>
        <w:t xml:space="preserve">Currently, listed issuers </w:t>
      </w:r>
      <w:r w:rsidR="00BB6F15">
        <w:rPr>
          <w:sz w:val="24"/>
        </w:rPr>
        <w:t>are required to</w:t>
      </w:r>
      <w:r>
        <w:rPr>
          <w:sz w:val="24"/>
        </w:rPr>
        <w:t xml:space="preserve"> </w:t>
      </w:r>
      <w:r w:rsidR="00E33F3C">
        <w:rPr>
          <w:sz w:val="24"/>
        </w:rPr>
        <w:t>state in their annual reports that they</w:t>
      </w:r>
      <w:r w:rsidR="00BB6F15">
        <w:rPr>
          <w:sz w:val="24"/>
        </w:rPr>
        <w:t xml:space="preserve"> </w:t>
      </w:r>
      <w:r w:rsidR="00E33F3C">
        <w:rPr>
          <w:sz w:val="24"/>
        </w:rPr>
        <w:t>comply</w:t>
      </w:r>
      <w:r>
        <w:rPr>
          <w:sz w:val="24"/>
        </w:rPr>
        <w:t xml:space="preserve"> </w:t>
      </w:r>
      <w:r w:rsidR="00BB6F15">
        <w:rPr>
          <w:sz w:val="24"/>
        </w:rPr>
        <w:t>with</w:t>
      </w:r>
      <w:r>
        <w:rPr>
          <w:sz w:val="24"/>
        </w:rPr>
        <w:t xml:space="preserve"> the public float requirement. While </w:t>
      </w:r>
      <w:r w:rsidR="00E33F3C">
        <w:rPr>
          <w:sz w:val="24"/>
        </w:rPr>
        <w:t xml:space="preserve">the </w:t>
      </w:r>
      <w:r w:rsidR="00E302C0">
        <w:rPr>
          <w:sz w:val="24"/>
        </w:rPr>
        <w:t xml:space="preserve">HKEX </w:t>
      </w:r>
      <w:r w:rsidR="00E33F3C">
        <w:rPr>
          <w:sz w:val="24"/>
        </w:rPr>
        <w:t>Listing Rules do not require issuers to state</w:t>
      </w:r>
      <w:r>
        <w:rPr>
          <w:sz w:val="24"/>
        </w:rPr>
        <w:t xml:space="preserve"> the actual percentage o</w:t>
      </w:r>
      <w:r w:rsidR="00E33F3C">
        <w:rPr>
          <w:sz w:val="24"/>
        </w:rPr>
        <w:t>f publicly held shares, it is a recommended best practice</w:t>
      </w:r>
      <w:r>
        <w:rPr>
          <w:sz w:val="24"/>
        </w:rPr>
        <w:t xml:space="preserve"> </w:t>
      </w:r>
      <w:r w:rsidR="00E33F3C">
        <w:rPr>
          <w:sz w:val="24"/>
        </w:rPr>
        <w:t xml:space="preserve">under the </w:t>
      </w:r>
      <w:r>
        <w:rPr>
          <w:sz w:val="24"/>
        </w:rPr>
        <w:t xml:space="preserve">Corporate Governance Code </w:t>
      </w:r>
      <w:r w:rsidR="00E33F3C">
        <w:rPr>
          <w:sz w:val="24"/>
        </w:rPr>
        <w:t xml:space="preserve">that </w:t>
      </w:r>
      <w:r w:rsidR="00E25DDD">
        <w:rPr>
          <w:sz w:val="24"/>
        </w:rPr>
        <w:t xml:space="preserve">issuers </w:t>
      </w:r>
      <w:r w:rsidR="00E33F3C">
        <w:rPr>
          <w:sz w:val="24"/>
        </w:rPr>
        <w:t xml:space="preserve">should </w:t>
      </w:r>
      <w:r w:rsidR="00BB6F15">
        <w:rPr>
          <w:sz w:val="24"/>
        </w:rPr>
        <w:t>disclose this</w:t>
      </w:r>
      <w:r>
        <w:rPr>
          <w:sz w:val="24"/>
        </w:rPr>
        <w:t xml:space="preserve"> information in </w:t>
      </w:r>
      <w:r w:rsidR="00E33F3C">
        <w:rPr>
          <w:sz w:val="24"/>
        </w:rPr>
        <w:t>their corporate governance reports</w:t>
      </w:r>
      <w:r w:rsidR="008B3DEE">
        <w:rPr>
          <w:sz w:val="24"/>
        </w:rPr>
        <w:t xml:space="preserve"> which are published as part of their annual reports</w:t>
      </w:r>
      <w:r>
        <w:rPr>
          <w:sz w:val="24"/>
        </w:rPr>
        <w:t xml:space="preserve">. </w:t>
      </w:r>
      <w:r w:rsidR="008B3DEE">
        <w:rPr>
          <w:sz w:val="24"/>
        </w:rPr>
        <w:t xml:space="preserve">According to the </w:t>
      </w:r>
      <w:r w:rsidR="00C814B3">
        <w:rPr>
          <w:sz w:val="24"/>
        </w:rPr>
        <w:t xml:space="preserve">HKEX </w:t>
      </w:r>
      <w:r w:rsidR="008B3DEE">
        <w:rPr>
          <w:sz w:val="24"/>
        </w:rPr>
        <w:t xml:space="preserve">Consultation Paper, most issuers only confirm compliance with the public float requirement and do not disclose the actual number or percentage of publicly held shares. </w:t>
      </w:r>
    </w:p>
    <w:p w:rsidR="00635968" w:rsidRDefault="007C6C14" w:rsidP="00B60100">
      <w:pPr>
        <w:jc w:val="both"/>
        <w:rPr>
          <w:sz w:val="24"/>
        </w:rPr>
      </w:pPr>
      <w:r>
        <w:rPr>
          <w:sz w:val="24"/>
        </w:rPr>
        <w:t xml:space="preserve">The HKEX </w:t>
      </w:r>
      <w:r w:rsidR="008B3DEE">
        <w:rPr>
          <w:sz w:val="24"/>
        </w:rPr>
        <w:t>is proposing to require</w:t>
      </w:r>
      <w:r>
        <w:rPr>
          <w:sz w:val="24"/>
        </w:rPr>
        <w:t xml:space="preserve"> listed </w:t>
      </w:r>
      <w:r w:rsidR="008B3DEE">
        <w:rPr>
          <w:sz w:val="24"/>
        </w:rPr>
        <w:t xml:space="preserve">issuers to </w:t>
      </w:r>
      <w:r w:rsidR="00265C04">
        <w:rPr>
          <w:sz w:val="24"/>
        </w:rPr>
        <w:t>disclose</w:t>
      </w:r>
      <w:r w:rsidR="008B3DEE">
        <w:rPr>
          <w:sz w:val="24"/>
        </w:rPr>
        <w:t xml:space="preserve"> in their annual reports</w:t>
      </w:r>
      <w:r>
        <w:rPr>
          <w:sz w:val="24"/>
        </w:rPr>
        <w:t>:</w:t>
      </w:r>
    </w:p>
    <w:p w:rsidR="007C6C14" w:rsidRDefault="007C6C14" w:rsidP="007C6C14">
      <w:pPr>
        <w:pStyle w:val="a4"/>
        <w:numPr>
          <w:ilvl w:val="0"/>
          <w:numId w:val="7"/>
        </w:numPr>
        <w:jc w:val="both"/>
        <w:rPr>
          <w:sz w:val="24"/>
        </w:rPr>
      </w:pPr>
      <w:r>
        <w:rPr>
          <w:sz w:val="24"/>
        </w:rPr>
        <w:lastRenderedPageBreak/>
        <w:t>the percentage of the class of shares listed on the HKEX</w:t>
      </w:r>
      <w:r w:rsidR="00BE5466">
        <w:rPr>
          <w:rStyle w:val="a8"/>
          <w:sz w:val="24"/>
        </w:rPr>
        <w:footnoteReference w:id="3"/>
      </w:r>
      <w:r>
        <w:rPr>
          <w:sz w:val="24"/>
        </w:rPr>
        <w:t xml:space="preserve"> </w:t>
      </w:r>
      <w:r w:rsidR="008B3DEE">
        <w:rPr>
          <w:sz w:val="24"/>
        </w:rPr>
        <w:t xml:space="preserve">(excluding treasury shares) </w:t>
      </w:r>
      <w:r>
        <w:rPr>
          <w:sz w:val="24"/>
        </w:rPr>
        <w:t xml:space="preserve">that are </w:t>
      </w:r>
      <w:r w:rsidR="008B3DEE">
        <w:rPr>
          <w:sz w:val="24"/>
        </w:rPr>
        <w:t xml:space="preserve">held by the </w:t>
      </w:r>
      <w:r>
        <w:rPr>
          <w:sz w:val="24"/>
        </w:rPr>
        <w:t>public</w:t>
      </w:r>
      <w:r w:rsidR="008B3DEE">
        <w:rPr>
          <w:sz w:val="24"/>
        </w:rPr>
        <w:t xml:space="preserve"> at the </w:t>
      </w:r>
      <w:r w:rsidR="00E918F0">
        <w:rPr>
          <w:sz w:val="24"/>
        </w:rPr>
        <w:t>end of the financial year</w:t>
      </w:r>
      <w:r>
        <w:rPr>
          <w:sz w:val="24"/>
        </w:rPr>
        <w:t>;</w:t>
      </w:r>
    </w:p>
    <w:p w:rsidR="00265C04" w:rsidRDefault="00265C04" w:rsidP="00265C04">
      <w:pPr>
        <w:pStyle w:val="a4"/>
        <w:ind w:left="1080"/>
        <w:jc w:val="both"/>
        <w:rPr>
          <w:sz w:val="24"/>
        </w:rPr>
      </w:pPr>
    </w:p>
    <w:p w:rsidR="00D57C8C" w:rsidRDefault="0063331A" w:rsidP="00D57C8C">
      <w:pPr>
        <w:pStyle w:val="a4"/>
        <w:numPr>
          <w:ilvl w:val="0"/>
          <w:numId w:val="7"/>
        </w:numPr>
        <w:jc w:val="both"/>
        <w:rPr>
          <w:sz w:val="24"/>
        </w:rPr>
      </w:pPr>
      <w:r>
        <w:rPr>
          <w:sz w:val="24"/>
        </w:rPr>
        <w:t>the composition of ownership</w:t>
      </w:r>
      <w:r w:rsidR="00E918F0">
        <w:rPr>
          <w:sz w:val="24"/>
        </w:rPr>
        <w:t xml:space="preserve"> of the relevant class</w:t>
      </w:r>
      <w:r w:rsidR="00D57C8C">
        <w:rPr>
          <w:sz w:val="24"/>
        </w:rPr>
        <w:t xml:space="preserve"> of HKEX-listed shares</w:t>
      </w:r>
      <w:r w:rsidR="003B7A9D">
        <w:rPr>
          <w:sz w:val="24"/>
        </w:rPr>
        <w:t xml:space="preserve"> at the end of the financial year</w:t>
      </w:r>
      <w:r>
        <w:rPr>
          <w:sz w:val="24"/>
        </w:rPr>
        <w:t>, including</w:t>
      </w:r>
      <w:r w:rsidR="00D57C8C">
        <w:rPr>
          <w:sz w:val="24"/>
        </w:rPr>
        <w:t>:</w:t>
      </w:r>
    </w:p>
    <w:p w:rsidR="00D57C8C" w:rsidRPr="00D57C8C" w:rsidRDefault="00D57C8C" w:rsidP="00D57C8C">
      <w:pPr>
        <w:pStyle w:val="a4"/>
        <w:rPr>
          <w:sz w:val="24"/>
        </w:rPr>
      </w:pPr>
    </w:p>
    <w:p w:rsidR="00D57C8C" w:rsidRDefault="00D57C8C" w:rsidP="00D57C8C">
      <w:pPr>
        <w:pStyle w:val="a4"/>
        <w:ind w:left="1080"/>
        <w:jc w:val="both"/>
        <w:rPr>
          <w:sz w:val="24"/>
        </w:rPr>
      </w:pPr>
      <w:r>
        <w:rPr>
          <w:sz w:val="24"/>
        </w:rPr>
        <w:t>(a)</w:t>
      </w:r>
      <w:r w:rsidR="0063331A">
        <w:rPr>
          <w:sz w:val="24"/>
        </w:rPr>
        <w:t xml:space="preserve"> shares held by</w:t>
      </w:r>
      <w:r w:rsidR="003B1F21">
        <w:rPr>
          <w:sz w:val="24"/>
        </w:rPr>
        <w:t xml:space="preserve"> </w:t>
      </w:r>
      <w:r w:rsidR="00106286">
        <w:rPr>
          <w:sz w:val="24"/>
        </w:rPr>
        <w:t xml:space="preserve">the following categories of </w:t>
      </w:r>
      <w:r w:rsidR="003B1F21">
        <w:rPr>
          <w:sz w:val="24"/>
        </w:rPr>
        <w:t>shareholders</w:t>
      </w:r>
      <w:r w:rsidR="00E302C0">
        <w:rPr>
          <w:sz w:val="24"/>
        </w:rPr>
        <w:t xml:space="preserve"> who are </w:t>
      </w:r>
      <w:r w:rsidR="00E302C0">
        <w:rPr>
          <w:sz w:val="24"/>
          <w:u w:val="single"/>
        </w:rPr>
        <w:t>not</w:t>
      </w:r>
      <w:r w:rsidR="00E302C0">
        <w:rPr>
          <w:sz w:val="24"/>
        </w:rPr>
        <w:t xml:space="preserve"> members of the public</w:t>
      </w:r>
      <w:r w:rsidR="00E918F0">
        <w:rPr>
          <w:sz w:val="24"/>
        </w:rPr>
        <w:t>:</w:t>
      </w:r>
      <w:r w:rsidR="0063331A">
        <w:rPr>
          <w:sz w:val="24"/>
        </w:rPr>
        <w:t xml:space="preserve"> </w:t>
      </w:r>
    </w:p>
    <w:p w:rsidR="00D57C8C" w:rsidRDefault="00D57C8C" w:rsidP="00D57C8C">
      <w:pPr>
        <w:pStyle w:val="a4"/>
        <w:ind w:left="1080"/>
        <w:jc w:val="both"/>
        <w:rPr>
          <w:sz w:val="24"/>
        </w:rPr>
      </w:pPr>
    </w:p>
    <w:p w:rsidR="00D57C8C" w:rsidRDefault="0063331A" w:rsidP="00D57C8C">
      <w:pPr>
        <w:pStyle w:val="a4"/>
        <w:numPr>
          <w:ilvl w:val="0"/>
          <w:numId w:val="19"/>
        </w:numPr>
        <w:jc w:val="both"/>
        <w:rPr>
          <w:sz w:val="24"/>
        </w:rPr>
      </w:pPr>
      <w:r>
        <w:rPr>
          <w:sz w:val="24"/>
        </w:rPr>
        <w:t xml:space="preserve">substantial shareholders </w:t>
      </w:r>
      <w:r w:rsidR="00E918F0">
        <w:rPr>
          <w:sz w:val="24"/>
        </w:rPr>
        <w:t xml:space="preserve">of the listed issuer </w:t>
      </w:r>
      <w:r>
        <w:rPr>
          <w:sz w:val="24"/>
        </w:rPr>
        <w:t>and their close associates</w:t>
      </w:r>
      <w:r w:rsidR="00E918F0">
        <w:rPr>
          <w:sz w:val="24"/>
        </w:rPr>
        <w:t xml:space="preserve"> (identified on an individually named basis); </w:t>
      </w:r>
    </w:p>
    <w:p w:rsidR="00D57C8C" w:rsidRDefault="00E918F0" w:rsidP="00D57C8C">
      <w:pPr>
        <w:pStyle w:val="a4"/>
        <w:numPr>
          <w:ilvl w:val="0"/>
          <w:numId w:val="19"/>
        </w:numPr>
        <w:jc w:val="both"/>
        <w:rPr>
          <w:sz w:val="24"/>
        </w:rPr>
      </w:pPr>
      <w:r>
        <w:rPr>
          <w:sz w:val="24"/>
        </w:rPr>
        <w:t>directors, supervisors and</w:t>
      </w:r>
      <w:r w:rsidR="0063331A">
        <w:rPr>
          <w:sz w:val="24"/>
        </w:rPr>
        <w:t xml:space="preserve"> </w:t>
      </w:r>
      <w:r>
        <w:rPr>
          <w:sz w:val="24"/>
        </w:rPr>
        <w:t xml:space="preserve">the </w:t>
      </w:r>
      <w:r w:rsidR="0063331A">
        <w:rPr>
          <w:sz w:val="24"/>
        </w:rPr>
        <w:t>chief executive of the listed issuer and their close associates</w:t>
      </w:r>
      <w:r w:rsidR="00DD5666">
        <w:rPr>
          <w:sz w:val="24"/>
        </w:rPr>
        <w:t xml:space="preserve"> (identified on an individually named basis)</w:t>
      </w:r>
      <w:r w:rsidR="0063331A">
        <w:rPr>
          <w:sz w:val="24"/>
        </w:rPr>
        <w:t xml:space="preserve">; and </w:t>
      </w:r>
    </w:p>
    <w:p w:rsidR="007C6C14" w:rsidRDefault="0063331A" w:rsidP="00D57C8C">
      <w:pPr>
        <w:pStyle w:val="a4"/>
        <w:numPr>
          <w:ilvl w:val="0"/>
          <w:numId w:val="19"/>
        </w:numPr>
        <w:jc w:val="both"/>
        <w:rPr>
          <w:sz w:val="24"/>
        </w:rPr>
      </w:pPr>
      <w:r>
        <w:rPr>
          <w:sz w:val="24"/>
        </w:rPr>
        <w:t xml:space="preserve">other </w:t>
      </w:r>
      <w:r w:rsidR="00DF5E0B">
        <w:rPr>
          <w:sz w:val="24"/>
        </w:rPr>
        <w:t xml:space="preserve">persons </w:t>
      </w:r>
      <w:r>
        <w:rPr>
          <w:sz w:val="24"/>
        </w:rPr>
        <w:t>excluded from the definition of “public”</w:t>
      </w:r>
      <w:r w:rsidR="00106286">
        <w:rPr>
          <w:sz w:val="24"/>
        </w:rPr>
        <w:t xml:space="preserve"> including: (a) directors, chief executives and chief executives of the listed issuer’s subsidiaries and their close associates; and (b) other persons outside the definition of the public, such as persons accustomed to taking instructions from a core connected person</w:t>
      </w:r>
      <w:r w:rsidR="00BE5466">
        <w:rPr>
          <w:sz w:val="24"/>
        </w:rPr>
        <w:t>; and</w:t>
      </w:r>
    </w:p>
    <w:p w:rsidR="00BE5466" w:rsidRDefault="00BE5466" w:rsidP="00BE5466">
      <w:pPr>
        <w:pStyle w:val="a4"/>
        <w:ind w:left="1800"/>
        <w:jc w:val="both"/>
        <w:rPr>
          <w:sz w:val="24"/>
        </w:rPr>
      </w:pPr>
    </w:p>
    <w:p w:rsidR="00BE5466" w:rsidRDefault="00BE5466" w:rsidP="00D57C8C">
      <w:pPr>
        <w:pStyle w:val="a4"/>
        <w:numPr>
          <w:ilvl w:val="0"/>
          <w:numId w:val="21"/>
        </w:numPr>
        <w:ind w:firstLine="414"/>
        <w:jc w:val="both"/>
        <w:rPr>
          <w:sz w:val="24"/>
        </w:rPr>
      </w:pPr>
      <w:r>
        <w:rPr>
          <w:sz w:val="24"/>
        </w:rPr>
        <w:t xml:space="preserve">shares held by the following categories of </w:t>
      </w:r>
      <w:r w:rsidRPr="00D57C8C">
        <w:rPr>
          <w:sz w:val="24"/>
          <w:u w:val="single"/>
        </w:rPr>
        <w:t>public</w:t>
      </w:r>
      <w:r>
        <w:rPr>
          <w:sz w:val="24"/>
        </w:rPr>
        <w:t xml:space="preserve"> shareholders</w:t>
      </w:r>
      <w:r w:rsidRPr="00BE5466">
        <w:rPr>
          <w:sz w:val="24"/>
        </w:rPr>
        <w:t>:</w:t>
      </w:r>
    </w:p>
    <w:p w:rsidR="0063331A" w:rsidRPr="00D57C8C" w:rsidRDefault="00BE5466" w:rsidP="00BE5466">
      <w:pPr>
        <w:pStyle w:val="a4"/>
        <w:ind w:left="1134"/>
        <w:jc w:val="both"/>
        <w:rPr>
          <w:sz w:val="24"/>
        </w:rPr>
      </w:pPr>
      <w:r>
        <w:rPr>
          <w:sz w:val="24"/>
          <w:u w:val="single"/>
        </w:rPr>
        <w:t xml:space="preserve"> </w:t>
      </w:r>
    </w:p>
    <w:p w:rsidR="0063331A" w:rsidRDefault="0063331A" w:rsidP="00BE5466">
      <w:pPr>
        <w:pStyle w:val="a4"/>
        <w:numPr>
          <w:ilvl w:val="0"/>
          <w:numId w:val="22"/>
        </w:numPr>
        <w:jc w:val="both"/>
        <w:rPr>
          <w:sz w:val="24"/>
        </w:rPr>
      </w:pPr>
      <w:r>
        <w:rPr>
          <w:sz w:val="24"/>
        </w:rPr>
        <w:t>any persons that are defined as the “public” and have disclosed their interest</w:t>
      </w:r>
      <w:r w:rsidR="00BE5466">
        <w:rPr>
          <w:sz w:val="24"/>
        </w:rPr>
        <w:t>s</w:t>
      </w:r>
      <w:r>
        <w:rPr>
          <w:sz w:val="24"/>
        </w:rPr>
        <w:t xml:space="preserve"> pursuant to Part XV of the </w:t>
      </w:r>
      <w:r w:rsidR="0008085E">
        <w:rPr>
          <w:sz w:val="24"/>
        </w:rPr>
        <w:t>Securities and Future Ordinance</w:t>
      </w:r>
      <w:r w:rsidR="00BE5466">
        <w:rPr>
          <w:sz w:val="24"/>
        </w:rPr>
        <w:t xml:space="preserve"> (identified on an individually named basis)</w:t>
      </w:r>
      <w:r w:rsidR="0008085E">
        <w:rPr>
          <w:sz w:val="24"/>
        </w:rPr>
        <w:t>;</w:t>
      </w:r>
    </w:p>
    <w:p w:rsidR="0008085E" w:rsidRDefault="0008085E" w:rsidP="00BE5466">
      <w:pPr>
        <w:pStyle w:val="a4"/>
        <w:numPr>
          <w:ilvl w:val="0"/>
          <w:numId w:val="22"/>
        </w:numPr>
        <w:jc w:val="both"/>
        <w:rPr>
          <w:sz w:val="24"/>
        </w:rPr>
      </w:pPr>
      <w:r>
        <w:rPr>
          <w:sz w:val="24"/>
        </w:rPr>
        <w:t>an independent trustee holding grant</w:t>
      </w:r>
      <w:r w:rsidR="00BE5466">
        <w:rPr>
          <w:sz w:val="24"/>
        </w:rPr>
        <w:t>ed but</w:t>
      </w:r>
      <w:r>
        <w:rPr>
          <w:sz w:val="24"/>
        </w:rPr>
        <w:t xml:space="preserve"> unvested shares of a share scheme on behalf of the independent scheme participant</w:t>
      </w:r>
      <w:r w:rsidR="00BE5466">
        <w:rPr>
          <w:sz w:val="24"/>
        </w:rPr>
        <w:t>s</w:t>
      </w:r>
      <w:r>
        <w:rPr>
          <w:sz w:val="24"/>
        </w:rPr>
        <w:t>;</w:t>
      </w:r>
      <w:r w:rsidR="00BE5466">
        <w:rPr>
          <w:sz w:val="24"/>
        </w:rPr>
        <w:t xml:space="preserve"> and</w:t>
      </w:r>
    </w:p>
    <w:p w:rsidR="0008085E" w:rsidRDefault="0008085E" w:rsidP="00BE5466">
      <w:pPr>
        <w:pStyle w:val="a4"/>
        <w:numPr>
          <w:ilvl w:val="0"/>
          <w:numId w:val="23"/>
        </w:numPr>
        <w:jc w:val="both"/>
        <w:rPr>
          <w:sz w:val="24"/>
        </w:rPr>
      </w:pPr>
      <w:r>
        <w:rPr>
          <w:sz w:val="24"/>
        </w:rPr>
        <w:t>other members of the public.</w:t>
      </w:r>
    </w:p>
    <w:p w:rsidR="00D4261B" w:rsidRPr="00D4261B" w:rsidRDefault="00D4261B" w:rsidP="00D4261B">
      <w:pPr>
        <w:jc w:val="both"/>
        <w:rPr>
          <w:sz w:val="24"/>
        </w:rPr>
      </w:pPr>
      <w:r>
        <w:rPr>
          <w:sz w:val="24"/>
        </w:rPr>
        <w:t xml:space="preserve">Listed companies would be required to make this disclosure based on information that is publicly available and within the knowledge of directors in preparing the annual report. </w:t>
      </w:r>
      <w:r w:rsidR="00741571">
        <w:rPr>
          <w:sz w:val="24"/>
        </w:rPr>
        <w:t xml:space="preserve">They will also be required to make reasonable efforts to determine their actual public float for the purpose of making the required disclosure. The HKEX suggests that they could, for example, require their core connected persons and other shareholders they have identified as non-public shareholders, to notify them of their shareholdings and subsequent changes to them. </w:t>
      </w:r>
    </w:p>
    <w:p w:rsidR="00741571" w:rsidRDefault="00BA1F86" w:rsidP="0008085E">
      <w:pPr>
        <w:jc w:val="both"/>
        <w:rPr>
          <w:sz w:val="24"/>
        </w:rPr>
      </w:pPr>
      <w:r>
        <w:rPr>
          <w:sz w:val="24"/>
        </w:rPr>
        <w:t xml:space="preserve">Subject to the outcome of the proposal, the recommended best practice to disclose the </w:t>
      </w:r>
      <w:r w:rsidR="00BE5466">
        <w:rPr>
          <w:sz w:val="24"/>
        </w:rPr>
        <w:t xml:space="preserve">actual </w:t>
      </w:r>
      <w:r>
        <w:rPr>
          <w:sz w:val="24"/>
        </w:rPr>
        <w:t xml:space="preserve">percentage </w:t>
      </w:r>
      <w:r w:rsidR="00BE5466">
        <w:rPr>
          <w:sz w:val="24"/>
        </w:rPr>
        <w:t xml:space="preserve">of publicly held shares </w:t>
      </w:r>
      <w:r>
        <w:rPr>
          <w:sz w:val="24"/>
        </w:rPr>
        <w:t>will be repealed.</w:t>
      </w:r>
    </w:p>
    <w:p w:rsidR="0063331A" w:rsidRPr="00741571" w:rsidRDefault="00CA6F9D" w:rsidP="0063331A">
      <w:pPr>
        <w:jc w:val="both"/>
        <w:rPr>
          <w:b/>
          <w:i/>
          <w:sz w:val="24"/>
        </w:rPr>
      </w:pPr>
      <w:r w:rsidRPr="00741571">
        <w:rPr>
          <w:b/>
          <w:i/>
          <w:sz w:val="24"/>
        </w:rPr>
        <w:t>Propose</w:t>
      </w:r>
      <w:r w:rsidR="00C05796" w:rsidRPr="00741571">
        <w:rPr>
          <w:b/>
          <w:i/>
          <w:sz w:val="24"/>
        </w:rPr>
        <w:t>d</w:t>
      </w:r>
      <w:r w:rsidRPr="00741571">
        <w:rPr>
          <w:b/>
          <w:i/>
          <w:sz w:val="24"/>
        </w:rPr>
        <w:t xml:space="preserve"> initial</w:t>
      </w:r>
      <w:r w:rsidR="008F38AA" w:rsidRPr="00741571">
        <w:rPr>
          <w:b/>
          <w:i/>
          <w:sz w:val="24"/>
        </w:rPr>
        <w:t xml:space="preserve"> free</w:t>
      </w:r>
      <w:r w:rsidRPr="00741571">
        <w:rPr>
          <w:b/>
          <w:i/>
          <w:sz w:val="24"/>
        </w:rPr>
        <w:t xml:space="preserve"> float requirement for </w:t>
      </w:r>
      <w:r w:rsidR="00B66F76">
        <w:rPr>
          <w:b/>
          <w:i/>
          <w:sz w:val="24"/>
        </w:rPr>
        <w:t xml:space="preserve">HKEX </w:t>
      </w:r>
      <w:r w:rsidRPr="00741571">
        <w:rPr>
          <w:b/>
          <w:i/>
          <w:sz w:val="24"/>
        </w:rPr>
        <w:t>listing applicants</w:t>
      </w:r>
    </w:p>
    <w:p w:rsidR="00CA6F9D" w:rsidRDefault="00CA6F9D" w:rsidP="0063331A">
      <w:pPr>
        <w:jc w:val="both"/>
        <w:rPr>
          <w:sz w:val="24"/>
        </w:rPr>
      </w:pPr>
      <w:r>
        <w:rPr>
          <w:sz w:val="24"/>
        </w:rPr>
        <w:lastRenderedPageBreak/>
        <w:t xml:space="preserve">The </w:t>
      </w:r>
      <w:r w:rsidR="00C814B3">
        <w:rPr>
          <w:sz w:val="24"/>
        </w:rPr>
        <w:t xml:space="preserve">HKEX </w:t>
      </w:r>
      <w:r>
        <w:rPr>
          <w:sz w:val="24"/>
        </w:rPr>
        <w:t>Consultation Paper propose</w:t>
      </w:r>
      <w:r w:rsidR="00265C04">
        <w:rPr>
          <w:sz w:val="24"/>
        </w:rPr>
        <w:t>s</w:t>
      </w:r>
      <w:r>
        <w:rPr>
          <w:sz w:val="24"/>
        </w:rPr>
        <w:t xml:space="preserve"> </w:t>
      </w:r>
      <w:r w:rsidR="00265C04">
        <w:rPr>
          <w:sz w:val="24"/>
        </w:rPr>
        <w:t xml:space="preserve">that a portion of </w:t>
      </w:r>
      <w:r w:rsidR="00FD350F">
        <w:rPr>
          <w:sz w:val="24"/>
        </w:rPr>
        <w:t xml:space="preserve">a new listing applicant’s publicly held </w:t>
      </w:r>
      <w:r w:rsidR="00265C04">
        <w:rPr>
          <w:sz w:val="24"/>
        </w:rPr>
        <w:t xml:space="preserve">shares </w:t>
      </w:r>
      <w:r w:rsidR="00FD350F">
        <w:rPr>
          <w:sz w:val="24"/>
        </w:rPr>
        <w:t xml:space="preserve">must </w:t>
      </w:r>
      <w:r w:rsidR="003B7A9D">
        <w:rPr>
          <w:sz w:val="24"/>
        </w:rPr>
        <w:t xml:space="preserve">not be subject to </w:t>
      </w:r>
      <w:r>
        <w:rPr>
          <w:sz w:val="24"/>
        </w:rPr>
        <w:t xml:space="preserve">any </w:t>
      </w:r>
      <w:r w:rsidR="00FD350F">
        <w:rPr>
          <w:sz w:val="24"/>
        </w:rPr>
        <w:t xml:space="preserve">restrictions on </w:t>
      </w:r>
      <w:r>
        <w:rPr>
          <w:sz w:val="24"/>
        </w:rPr>
        <w:t>disposal at the time of listing.</w:t>
      </w:r>
      <w:r w:rsidR="007C41D4">
        <w:rPr>
          <w:sz w:val="24"/>
        </w:rPr>
        <w:t xml:space="preserve"> </w:t>
      </w:r>
      <w:r w:rsidR="00265C04">
        <w:rPr>
          <w:sz w:val="24"/>
        </w:rPr>
        <w:t>This</w:t>
      </w:r>
      <w:r w:rsidR="007C41D4">
        <w:rPr>
          <w:sz w:val="24"/>
        </w:rPr>
        <w:t xml:space="preserve"> </w:t>
      </w:r>
      <w:r w:rsidR="00FD350F">
        <w:rPr>
          <w:sz w:val="24"/>
        </w:rPr>
        <w:t xml:space="preserve">initial free float </w:t>
      </w:r>
      <w:r w:rsidR="001C76C0">
        <w:rPr>
          <w:sz w:val="24"/>
        </w:rPr>
        <w:t xml:space="preserve">(i.e. the publicly held shares with no restrictions on disposal) </w:t>
      </w:r>
      <w:r w:rsidR="00FD350F">
        <w:rPr>
          <w:sz w:val="24"/>
        </w:rPr>
        <w:t>would be required to:</w:t>
      </w:r>
      <w:r w:rsidR="007C41D4">
        <w:rPr>
          <w:sz w:val="24"/>
        </w:rPr>
        <w:t xml:space="preserve"> (i) </w:t>
      </w:r>
      <w:r w:rsidR="001C76C0">
        <w:rPr>
          <w:sz w:val="24"/>
        </w:rPr>
        <w:t xml:space="preserve">represent </w:t>
      </w:r>
      <w:r w:rsidR="007C41D4">
        <w:rPr>
          <w:sz w:val="24"/>
        </w:rPr>
        <w:t xml:space="preserve">at least 10% of the number of shares </w:t>
      </w:r>
      <w:r w:rsidR="00FD350F">
        <w:rPr>
          <w:sz w:val="24"/>
        </w:rPr>
        <w:t>of the class to be listed</w:t>
      </w:r>
      <w:r w:rsidR="007C41D4">
        <w:rPr>
          <w:sz w:val="24"/>
        </w:rPr>
        <w:t xml:space="preserve"> </w:t>
      </w:r>
      <w:r w:rsidR="001C76C0">
        <w:rPr>
          <w:sz w:val="24"/>
        </w:rPr>
        <w:t>and have</w:t>
      </w:r>
      <w:r w:rsidR="00FD350F">
        <w:rPr>
          <w:sz w:val="24"/>
        </w:rPr>
        <w:t xml:space="preserve"> </w:t>
      </w:r>
      <w:r w:rsidR="007C41D4">
        <w:rPr>
          <w:sz w:val="24"/>
        </w:rPr>
        <w:t xml:space="preserve">an expected market value of at least HK$50 million; or (ii) </w:t>
      </w:r>
      <w:r w:rsidR="001C76C0">
        <w:rPr>
          <w:sz w:val="24"/>
        </w:rPr>
        <w:t xml:space="preserve">have an </w:t>
      </w:r>
      <w:r w:rsidR="007C41D4">
        <w:rPr>
          <w:sz w:val="24"/>
        </w:rPr>
        <w:t>expected market value of at least HK$600 million at the time of listing.</w:t>
      </w:r>
    </w:p>
    <w:p w:rsidR="00CF00C9" w:rsidRDefault="00CF00C9" w:rsidP="00CF00C9">
      <w:pPr>
        <w:jc w:val="both"/>
        <w:rPr>
          <w:sz w:val="24"/>
        </w:rPr>
      </w:pPr>
      <w:r>
        <w:rPr>
          <w:sz w:val="24"/>
        </w:rPr>
        <w:t xml:space="preserve">In the case of new applicant PRC issuers that have no other listed shares, the listing applicant’s publicly held H shares that are free from restrictions on disposal </w:t>
      </w:r>
      <w:r w:rsidR="009B7C98">
        <w:rPr>
          <w:sz w:val="24"/>
        </w:rPr>
        <w:t xml:space="preserve">would be required to </w:t>
      </w:r>
      <w:r>
        <w:rPr>
          <w:sz w:val="24"/>
        </w:rPr>
        <w:t xml:space="preserve">meet the requirements under (i) and (ii) above. </w:t>
      </w:r>
    </w:p>
    <w:p w:rsidR="00CF00C9" w:rsidRDefault="00CF00C9" w:rsidP="0063331A">
      <w:pPr>
        <w:jc w:val="both"/>
        <w:rPr>
          <w:sz w:val="24"/>
        </w:rPr>
      </w:pPr>
      <w:r>
        <w:rPr>
          <w:sz w:val="24"/>
        </w:rPr>
        <w:t>New applicant PRC issuers that have other listed sha</w:t>
      </w:r>
      <w:r w:rsidR="009B7C98">
        <w:rPr>
          <w:sz w:val="24"/>
        </w:rPr>
        <w:t>res apart from the H shares would be required to have publicly held H shares free from restrictions on disposal representing at least 10% of the total number of H shares.</w:t>
      </w:r>
    </w:p>
    <w:p w:rsidR="007C41D4" w:rsidRDefault="001C76C0" w:rsidP="00C814B3">
      <w:pPr>
        <w:jc w:val="both"/>
        <w:rPr>
          <w:sz w:val="24"/>
        </w:rPr>
      </w:pPr>
      <w:r>
        <w:rPr>
          <w:sz w:val="24"/>
        </w:rPr>
        <w:t>O</w:t>
      </w:r>
      <w:r w:rsidR="009B12BF">
        <w:rPr>
          <w:sz w:val="24"/>
        </w:rPr>
        <w:t xml:space="preserve">nly shares </w:t>
      </w:r>
      <w:r w:rsidR="00265C04">
        <w:rPr>
          <w:sz w:val="24"/>
        </w:rPr>
        <w:t xml:space="preserve">issued at the time of listing </w:t>
      </w:r>
      <w:r w:rsidR="009B12BF">
        <w:rPr>
          <w:sz w:val="24"/>
        </w:rPr>
        <w:t>(excluding treasury share</w:t>
      </w:r>
      <w:r w:rsidR="00265C04">
        <w:rPr>
          <w:sz w:val="24"/>
        </w:rPr>
        <w:t>s) will be used for the purpose</w:t>
      </w:r>
      <w:r w:rsidR="009B12BF">
        <w:rPr>
          <w:sz w:val="24"/>
        </w:rPr>
        <w:t xml:space="preserve"> of calculating </w:t>
      </w:r>
      <w:r>
        <w:rPr>
          <w:sz w:val="24"/>
        </w:rPr>
        <w:t xml:space="preserve">the </w:t>
      </w:r>
      <w:r w:rsidR="009B12BF">
        <w:rPr>
          <w:sz w:val="24"/>
        </w:rPr>
        <w:t>free float.</w:t>
      </w:r>
      <w:r w:rsidR="007C41D4">
        <w:rPr>
          <w:sz w:val="24"/>
        </w:rPr>
        <w:t xml:space="preserve"> </w:t>
      </w:r>
      <w:r w:rsidR="00C814B3">
        <w:rPr>
          <w:sz w:val="24"/>
        </w:rPr>
        <w:t>Shares that are held by an in</w:t>
      </w:r>
      <w:r w:rsidR="00DF5E0B">
        <w:rPr>
          <w:sz w:val="24"/>
        </w:rPr>
        <w:t>dependent trustee under a share</w:t>
      </w:r>
      <w:r w:rsidR="00C814B3">
        <w:rPr>
          <w:sz w:val="24"/>
        </w:rPr>
        <w:t xml:space="preserve"> scheme will not be counted towards the proposed initial free float requirement</w:t>
      </w:r>
      <w:r w:rsidR="0032135F">
        <w:rPr>
          <w:sz w:val="24"/>
        </w:rPr>
        <w:t>.</w:t>
      </w:r>
    </w:p>
    <w:p w:rsidR="00FF0F18" w:rsidRDefault="009B7C98" w:rsidP="0063331A">
      <w:pPr>
        <w:jc w:val="both"/>
        <w:rPr>
          <w:sz w:val="24"/>
        </w:rPr>
      </w:pPr>
      <w:r>
        <w:rPr>
          <w:sz w:val="24"/>
        </w:rPr>
        <w:t>The proposed free float requirement would only apply to listings of shares. It would not apply to listings of c</w:t>
      </w:r>
      <w:r w:rsidR="00FF0F18">
        <w:rPr>
          <w:sz w:val="24"/>
        </w:rPr>
        <w:t>onvertible</w:t>
      </w:r>
      <w:r w:rsidR="00CE0AC4">
        <w:rPr>
          <w:sz w:val="24"/>
        </w:rPr>
        <w:t xml:space="preserve"> securities, options</w:t>
      </w:r>
      <w:r w:rsidR="00C814B3">
        <w:rPr>
          <w:sz w:val="24"/>
        </w:rPr>
        <w:t xml:space="preserve"> and warrants.</w:t>
      </w:r>
      <w:r w:rsidR="00CE0AC4">
        <w:rPr>
          <w:sz w:val="24"/>
        </w:rPr>
        <w:t xml:space="preserve"> </w:t>
      </w:r>
    </w:p>
    <w:p w:rsidR="00DC3500" w:rsidRDefault="00DC3500" w:rsidP="0063331A">
      <w:pPr>
        <w:jc w:val="both"/>
        <w:rPr>
          <w:b/>
          <w:i/>
          <w:sz w:val="24"/>
        </w:rPr>
      </w:pPr>
      <w:r>
        <w:rPr>
          <w:b/>
          <w:i/>
          <w:sz w:val="24"/>
        </w:rPr>
        <w:t>Requirements for A+H issuers and other prescribed types of issuer</w:t>
      </w:r>
    </w:p>
    <w:p w:rsidR="00F00CF9" w:rsidRDefault="00B7062B" w:rsidP="0063331A">
      <w:pPr>
        <w:jc w:val="both"/>
        <w:rPr>
          <w:sz w:val="24"/>
        </w:rPr>
      </w:pPr>
      <w:r>
        <w:rPr>
          <w:sz w:val="24"/>
        </w:rPr>
        <w:t>Under the current HKEX Listing Rules, listing applicants with other classes of shares listed on overseas exchanges</w:t>
      </w:r>
      <w:r>
        <w:rPr>
          <w:b/>
          <w:i/>
          <w:sz w:val="24"/>
        </w:rPr>
        <w:t xml:space="preserve"> </w:t>
      </w:r>
      <w:r>
        <w:rPr>
          <w:sz w:val="24"/>
        </w:rPr>
        <w:t xml:space="preserve">must list </w:t>
      </w:r>
      <w:r w:rsidRPr="00DC3500">
        <w:rPr>
          <w:sz w:val="24"/>
        </w:rPr>
        <w:t>at least 15% of</w:t>
      </w:r>
      <w:r>
        <w:rPr>
          <w:sz w:val="24"/>
        </w:rPr>
        <w:t xml:space="preserve"> the total number of their issued shares having an expected market capitalisation of at least HK$125 million, or HK$45 million if the listing is on GEM. </w:t>
      </w:r>
      <w:r w:rsidR="00F00CF9">
        <w:rPr>
          <w:sz w:val="24"/>
        </w:rPr>
        <w:t>This requirement is most relevant to PRC listing applicants that have listed A shares at the time they list H shares on the HKEX (</w:t>
      </w:r>
      <w:r w:rsidR="00F00CF9">
        <w:rPr>
          <w:b/>
          <w:sz w:val="24"/>
        </w:rPr>
        <w:t>A+H listing applicants</w:t>
      </w:r>
      <w:r w:rsidR="00F00CF9">
        <w:rPr>
          <w:sz w:val="24"/>
        </w:rPr>
        <w:t>).</w:t>
      </w:r>
    </w:p>
    <w:p w:rsidR="00B7062B" w:rsidRDefault="00F00CF9" w:rsidP="0063331A">
      <w:pPr>
        <w:jc w:val="both"/>
        <w:rPr>
          <w:sz w:val="24"/>
        </w:rPr>
      </w:pPr>
      <w:r>
        <w:rPr>
          <w:sz w:val="24"/>
        </w:rPr>
        <w:t xml:space="preserve">The HKEX has apparently received comments that the 15% </w:t>
      </w:r>
      <w:r w:rsidR="00DF5E0B">
        <w:rPr>
          <w:sz w:val="24"/>
        </w:rPr>
        <w:t xml:space="preserve">threshold </w:t>
      </w:r>
      <w:r>
        <w:rPr>
          <w:sz w:val="24"/>
        </w:rPr>
        <w:t xml:space="preserve">is too high for listing applicants with very high market capitalisations, particularly A+H listing applicants, because it requires them to make extremely large offers. The HKEX </w:t>
      </w:r>
      <w:r w:rsidR="003E1F81">
        <w:rPr>
          <w:sz w:val="24"/>
        </w:rPr>
        <w:t>is therefore proposing to revis</w:t>
      </w:r>
      <w:r>
        <w:rPr>
          <w:sz w:val="24"/>
        </w:rPr>
        <w:t xml:space="preserve">e the current requirement </w:t>
      </w:r>
      <w:r w:rsidR="003E1F81">
        <w:rPr>
          <w:sz w:val="24"/>
        </w:rPr>
        <w:t>so that:</w:t>
      </w:r>
    </w:p>
    <w:p w:rsidR="003E1F81" w:rsidRDefault="003E1F81" w:rsidP="003E1F81">
      <w:pPr>
        <w:pStyle w:val="a4"/>
        <w:numPr>
          <w:ilvl w:val="0"/>
          <w:numId w:val="26"/>
        </w:numPr>
        <w:jc w:val="both"/>
        <w:rPr>
          <w:sz w:val="24"/>
        </w:rPr>
      </w:pPr>
      <w:r w:rsidRPr="003E1F81">
        <w:rPr>
          <w:sz w:val="24"/>
        </w:rPr>
        <w:t>PRC</w:t>
      </w:r>
      <w:r>
        <w:rPr>
          <w:sz w:val="24"/>
        </w:rPr>
        <w:t xml:space="preserve"> listing applicants with other listed shares (such as A+H listing applicants) will need to list H shares that:</w:t>
      </w:r>
    </w:p>
    <w:p w:rsidR="003E1F81" w:rsidRDefault="003E1F81" w:rsidP="003E1F81">
      <w:pPr>
        <w:pStyle w:val="a4"/>
        <w:jc w:val="both"/>
        <w:rPr>
          <w:sz w:val="24"/>
        </w:rPr>
      </w:pPr>
    </w:p>
    <w:p w:rsidR="003E1F81" w:rsidRDefault="00C72ED0" w:rsidP="003E1F81">
      <w:pPr>
        <w:pStyle w:val="a4"/>
        <w:numPr>
          <w:ilvl w:val="0"/>
          <w:numId w:val="23"/>
        </w:numPr>
        <w:ind w:left="1134" w:hanging="425"/>
        <w:jc w:val="both"/>
        <w:rPr>
          <w:sz w:val="24"/>
        </w:rPr>
      </w:pPr>
      <w:r>
        <w:rPr>
          <w:sz w:val="24"/>
        </w:rPr>
        <w:t>r</w:t>
      </w:r>
      <w:r w:rsidR="003E1F81">
        <w:rPr>
          <w:sz w:val="24"/>
        </w:rPr>
        <w:t>epresent at least 10% of the total number of shares in the class to which the H shares belong (excluding treasury shares); or</w:t>
      </w:r>
    </w:p>
    <w:p w:rsidR="00C72ED0" w:rsidRDefault="00C72ED0" w:rsidP="00C72ED0">
      <w:pPr>
        <w:pStyle w:val="a4"/>
        <w:ind w:left="1134"/>
        <w:jc w:val="both"/>
        <w:rPr>
          <w:sz w:val="24"/>
        </w:rPr>
      </w:pPr>
    </w:p>
    <w:p w:rsidR="003E1F81" w:rsidRDefault="00C72ED0" w:rsidP="003E1F81">
      <w:pPr>
        <w:pStyle w:val="a4"/>
        <w:numPr>
          <w:ilvl w:val="0"/>
          <w:numId w:val="23"/>
        </w:numPr>
        <w:ind w:left="1134" w:hanging="425"/>
        <w:jc w:val="both"/>
        <w:rPr>
          <w:sz w:val="24"/>
        </w:rPr>
      </w:pPr>
      <w:r>
        <w:rPr>
          <w:sz w:val="24"/>
        </w:rPr>
        <w:t>h</w:t>
      </w:r>
      <w:r w:rsidR="003E1F81">
        <w:rPr>
          <w:sz w:val="24"/>
        </w:rPr>
        <w:t>ave an expected market value of at least HK$3 billion at listing;</w:t>
      </w:r>
    </w:p>
    <w:p w:rsidR="003E1F81" w:rsidRDefault="003E1F81" w:rsidP="003E1F81">
      <w:pPr>
        <w:pStyle w:val="a4"/>
        <w:ind w:left="1134"/>
        <w:jc w:val="both"/>
        <w:rPr>
          <w:sz w:val="24"/>
        </w:rPr>
      </w:pPr>
    </w:p>
    <w:p w:rsidR="003E1F81" w:rsidRDefault="003E1F81" w:rsidP="003E1F81">
      <w:pPr>
        <w:pStyle w:val="a4"/>
        <w:numPr>
          <w:ilvl w:val="0"/>
          <w:numId w:val="26"/>
        </w:numPr>
        <w:jc w:val="both"/>
        <w:rPr>
          <w:sz w:val="24"/>
        </w:rPr>
      </w:pPr>
      <w:r>
        <w:rPr>
          <w:sz w:val="24"/>
        </w:rPr>
        <w:t>Other listing applicants with other share class(es) listed overseas, must list shares of the class to be listed on the HKEX that:</w:t>
      </w:r>
    </w:p>
    <w:p w:rsidR="003E1F81" w:rsidRDefault="003E1F81" w:rsidP="003E1F81">
      <w:pPr>
        <w:pStyle w:val="a4"/>
        <w:jc w:val="both"/>
        <w:rPr>
          <w:sz w:val="24"/>
        </w:rPr>
      </w:pPr>
    </w:p>
    <w:p w:rsidR="003E1F81" w:rsidRDefault="00C72ED0" w:rsidP="003E1F81">
      <w:pPr>
        <w:pStyle w:val="a4"/>
        <w:numPr>
          <w:ilvl w:val="0"/>
          <w:numId w:val="27"/>
        </w:numPr>
        <w:ind w:left="1134" w:hanging="425"/>
        <w:jc w:val="both"/>
        <w:rPr>
          <w:sz w:val="24"/>
        </w:rPr>
      </w:pPr>
      <w:r>
        <w:rPr>
          <w:sz w:val="24"/>
        </w:rPr>
        <w:t>represent at least 10% of the total number of issued shares (excluding treasury shares); or</w:t>
      </w:r>
    </w:p>
    <w:p w:rsidR="00C72ED0" w:rsidRDefault="00C72ED0" w:rsidP="00C72ED0">
      <w:pPr>
        <w:pStyle w:val="a4"/>
        <w:ind w:left="1134"/>
        <w:jc w:val="both"/>
        <w:rPr>
          <w:sz w:val="24"/>
        </w:rPr>
      </w:pPr>
    </w:p>
    <w:p w:rsidR="00C72ED0" w:rsidRDefault="00C72ED0" w:rsidP="003E1F81">
      <w:pPr>
        <w:pStyle w:val="a4"/>
        <w:numPr>
          <w:ilvl w:val="0"/>
          <w:numId w:val="27"/>
        </w:numPr>
        <w:ind w:left="1134" w:hanging="425"/>
        <w:jc w:val="both"/>
        <w:rPr>
          <w:sz w:val="24"/>
        </w:rPr>
      </w:pPr>
      <w:r>
        <w:rPr>
          <w:sz w:val="24"/>
        </w:rPr>
        <w:t>have an expected market value of at least HK$3 billion at listing.</w:t>
      </w:r>
    </w:p>
    <w:p w:rsidR="00010EC6" w:rsidRPr="00010EC6" w:rsidRDefault="00010EC6" w:rsidP="00010EC6">
      <w:pPr>
        <w:jc w:val="both"/>
        <w:rPr>
          <w:sz w:val="24"/>
        </w:rPr>
      </w:pPr>
      <w:r>
        <w:rPr>
          <w:sz w:val="24"/>
        </w:rPr>
        <w:t>The HKEX is also proposing that the minimum initial public float thresholds for A+H listing applicants and other listing applicants with other classes of shares listed on overseas exchanges will be the same as the thresholds set out above.</w:t>
      </w:r>
      <w:r w:rsidR="003B7E2B" w:rsidRPr="00010EC6">
        <w:rPr>
          <w:sz w:val="24"/>
        </w:rPr>
        <w:t xml:space="preserve"> </w:t>
      </w:r>
    </w:p>
    <w:p w:rsidR="00CE0AC4" w:rsidRDefault="00C814B3" w:rsidP="0063331A">
      <w:pPr>
        <w:jc w:val="both"/>
        <w:rPr>
          <w:b/>
          <w:color w:val="FF0000"/>
          <w:sz w:val="24"/>
        </w:rPr>
      </w:pPr>
      <w:r>
        <w:rPr>
          <w:b/>
          <w:color w:val="FF0000"/>
          <w:sz w:val="24"/>
        </w:rPr>
        <w:t>P</w:t>
      </w:r>
      <w:r w:rsidR="000A6E99">
        <w:rPr>
          <w:b/>
          <w:color w:val="FF0000"/>
          <w:sz w:val="24"/>
        </w:rPr>
        <w:t>art II: Proposed</w:t>
      </w:r>
      <w:r>
        <w:rPr>
          <w:b/>
          <w:color w:val="FF0000"/>
          <w:sz w:val="24"/>
        </w:rPr>
        <w:t xml:space="preserve"> changes to HKEX’s</w:t>
      </w:r>
      <w:r w:rsidR="00CE0AC4" w:rsidRPr="00CE0AC4">
        <w:rPr>
          <w:b/>
          <w:color w:val="FF0000"/>
          <w:sz w:val="24"/>
        </w:rPr>
        <w:t xml:space="preserve"> IPO Offering Mechanism</w:t>
      </w:r>
    </w:p>
    <w:p w:rsidR="00CE0AC4" w:rsidRPr="00C814B3" w:rsidRDefault="00DF5E0B" w:rsidP="00CE0AC4">
      <w:pPr>
        <w:rPr>
          <w:b/>
          <w:i/>
          <w:sz w:val="24"/>
        </w:rPr>
      </w:pPr>
      <w:r>
        <w:rPr>
          <w:b/>
          <w:i/>
          <w:sz w:val="24"/>
        </w:rPr>
        <w:t>Proposed</w:t>
      </w:r>
      <w:r w:rsidR="00E92820" w:rsidRPr="00C814B3">
        <w:rPr>
          <w:b/>
          <w:i/>
          <w:sz w:val="24"/>
        </w:rPr>
        <w:t xml:space="preserve"> new s</w:t>
      </w:r>
      <w:r w:rsidR="00C814B3">
        <w:rPr>
          <w:b/>
          <w:i/>
          <w:sz w:val="24"/>
        </w:rPr>
        <w:t>taggered</w:t>
      </w:r>
      <w:r w:rsidR="00C814B3" w:rsidRPr="00C814B3">
        <w:rPr>
          <w:b/>
          <w:i/>
          <w:sz w:val="24"/>
        </w:rPr>
        <w:t xml:space="preserve"> lock-up requirements f</w:t>
      </w:r>
      <w:r w:rsidR="00E92820" w:rsidRPr="00C814B3">
        <w:rPr>
          <w:b/>
          <w:i/>
          <w:sz w:val="24"/>
        </w:rPr>
        <w:t>o</w:t>
      </w:r>
      <w:r w:rsidR="00C814B3" w:rsidRPr="00C814B3">
        <w:rPr>
          <w:b/>
          <w:i/>
          <w:sz w:val="24"/>
        </w:rPr>
        <w:t>r</w:t>
      </w:r>
      <w:r w:rsidR="00E92820" w:rsidRPr="00C814B3">
        <w:rPr>
          <w:b/>
          <w:i/>
          <w:sz w:val="24"/>
        </w:rPr>
        <w:t xml:space="preserve"> Cornerstone Investors</w:t>
      </w:r>
    </w:p>
    <w:p w:rsidR="003748FB" w:rsidRDefault="00306B28" w:rsidP="00832E1A">
      <w:pPr>
        <w:jc w:val="both"/>
        <w:rPr>
          <w:sz w:val="24"/>
        </w:rPr>
      </w:pPr>
      <w:r>
        <w:rPr>
          <w:sz w:val="24"/>
        </w:rPr>
        <w:t xml:space="preserve">The </w:t>
      </w:r>
      <w:r w:rsidR="00C814B3">
        <w:rPr>
          <w:sz w:val="24"/>
        </w:rPr>
        <w:t xml:space="preserve">HKEX </w:t>
      </w:r>
      <w:r w:rsidR="00832E1A" w:rsidRPr="00832E1A">
        <w:rPr>
          <w:sz w:val="24"/>
        </w:rPr>
        <w:t>Consultation Paper</w:t>
      </w:r>
      <w:r w:rsidR="00C0074A">
        <w:rPr>
          <w:sz w:val="24"/>
        </w:rPr>
        <w:t xml:space="preserve"> </w:t>
      </w:r>
      <w:r>
        <w:rPr>
          <w:sz w:val="24"/>
        </w:rPr>
        <w:t xml:space="preserve">highlighted </w:t>
      </w:r>
      <w:r w:rsidR="00C0074A">
        <w:rPr>
          <w:sz w:val="24"/>
        </w:rPr>
        <w:t>that the existing requirement prohibiting</w:t>
      </w:r>
      <w:r w:rsidR="00832E1A" w:rsidRPr="00832E1A">
        <w:rPr>
          <w:sz w:val="24"/>
        </w:rPr>
        <w:t xml:space="preserve"> cornerstone investors from selling their IPO shares for a</w:t>
      </w:r>
      <w:r>
        <w:rPr>
          <w:sz w:val="24"/>
        </w:rPr>
        <w:t>t least six months post-listing</w:t>
      </w:r>
      <w:r w:rsidR="00832E1A" w:rsidRPr="00832E1A">
        <w:rPr>
          <w:sz w:val="24"/>
        </w:rPr>
        <w:t xml:space="preserve"> may dissuade some potential investors from particip</w:t>
      </w:r>
      <w:r w:rsidR="004A2940">
        <w:rPr>
          <w:sz w:val="24"/>
        </w:rPr>
        <w:t xml:space="preserve">ating as cornerstone investors. This is because some institutional investors </w:t>
      </w:r>
      <w:r w:rsidR="0021553B">
        <w:rPr>
          <w:sz w:val="24"/>
        </w:rPr>
        <w:t>are not permitted to</w:t>
      </w:r>
      <w:r w:rsidR="004A2940">
        <w:rPr>
          <w:sz w:val="24"/>
        </w:rPr>
        <w:t xml:space="preserve"> hold illiquid investments</w:t>
      </w:r>
      <w:r w:rsidR="00C0074A">
        <w:rPr>
          <w:sz w:val="24"/>
        </w:rPr>
        <w:t>,</w:t>
      </w:r>
      <w:r w:rsidR="004A2940">
        <w:rPr>
          <w:sz w:val="24"/>
        </w:rPr>
        <w:t xml:space="preserve"> while others prefers </w:t>
      </w:r>
      <w:r w:rsidR="0021553B">
        <w:rPr>
          <w:sz w:val="24"/>
        </w:rPr>
        <w:t xml:space="preserve">a </w:t>
      </w:r>
      <w:r w:rsidR="004A2940">
        <w:rPr>
          <w:sz w:val="24"/>
        </w:rPr>
        <w:t xml:space="preserve">flexible investment strategy. </w:t>
      </w:r>
      <w:r w:rsidR="007409B3">
        <w:rPr>
          <w:sz w:val="24"/>
        </w:rPr>
        <w:t>Another concern is that t</w:t>
      </w:r>
      <w:r w:rsidR="007409B3" w:rsidRPr="007409B3">
        <w:rPr>
          <w:sz w:val="24"/>
        </w:rPr>
        <w:t>he share price of a company that lists with a significant cornerstone placing tranche can experience volatility once the six-month lock-up period ends, as the market often expects cornerstone investors to sell their shares immediately after the lock-up expires</w:t>
      </w:r>
      <w:r w:rsidR="007409B3">
        <w:rPr>
          <w:sz w:val="24"/>
        </w:rPr>
        <w:t>.</w:t>
      </w:r>
    </w:p>
    <w:p w:rsidR="00ED7431" w:rsidRDefault="003133FA" w:rsidP="00832E1A">
      <w:pPr>
        <w:jc w:val="both"/>
        <w:rPr>
          <w:sz w:val="24"/>
        </w:rPr>
      </w:pPr>
      <w:r>
        <w:rPr>
          <w:sz w:val="24"/>
        </w:rPr>
        <w:t xml:space="preserve">The </w:t>
      </w:r>
      <w:r w:rsidR="004A2940">
        <w:rPr>
          <w:sz w:val="24"/>
        </w:rPr>
        <w:t xml:space="preserve">HKEX </w:t>
      </w:r>
      <w:r>
        <w:rPr>
          <w:sz w:val="24"/>
        </w:rPr>
        <w:t xml:space="preserve">is consulting on </w:t>
      </w:r>
      <w:r w:rsidR="004A2940">
        <w:rPr>
          <w:sz w:val="24"/>
        </w:rPr>
        <w:t>two</w:t>
      </w:r>
      <w:r w:rsidR="006F7FCB">
        <w:rPr>
          <w:sz w:val="24"/>
        </w:rPr>
        <w:t xml:space="preserve"> options: </w:t>
      </w:r>
    </w:p>
    <w:p w:rsidR="004A2940" w:rsidRDefault="00ED7431" w:rsidP="007409B3">
      <w:pPr>
        <w:tabs>
          <w:tab w:val="left" w:pos="1843"/>
        </w:tabs>
        <w:ind w:firstLine="720"/>
        <w:jc w:val="both"/>
        <w:rPr>
          <w:sz w:val="24"/>
        </w:rPr>
      </w:pPr>
      <w:r w:rsidRPr="00C0074A">
        <w:rPr>
          <w:b/>
          <w:sz w:val="24"/>
        </w:rPr>
        <w:t>Option A</w:t>
      </w:r>
      <w:r>
        <w:rPr>
          <w:sz w:val="24"/>
        </w:rPr>
        <w:t xml:space="preserve">: </w:t>
      </w:r>
      <w:r w:rsidR="0021553B">
        <w:rPr>
          <w:sz w:val="24"/>
        </w:rPr>
        <w:tab/>
      </w:r>
      <w:r w:rsidR="00C0074A">
        <w:rPr>
          <w:sz w:val="24"/>
        </w:rPr>
        <w:t>R</w:t>
      </w:r>
      <w:r>
        <w:rPr>
          <w:sz w:val="24"/>
        </w:rPr>
        <w:t>etain</w:t>
      </w:r>
      <w:r w:rsidR="0021553B">
        <w:rPr>
          <w:sz w:val="24"/>
        </w:rPr>
        <w:t>ing</w:t>
      </w:r>
      <w:r w:rsidR="006F7FCB">
        <w:rPr>
          <w:sz w:val="24"/>
        </w:rPr>
        <w:t xml:space="preserve"> the existing </w:t>
      </w:r>
      <w:r w:rsidR="0021553B">
        <w:rPr>
          <w:sz w:val="24"/>
        </w:rPr>
        <w:t xml:space="preserve">six-month </w:t>
      </w:r>
      <w:r w:rsidR="006F7FCB">
        <w:rPr>
          <w:sz w:val="24"/>
        </w:rPr>
        <w:t>lock-up requirement</w:t>
      </w:r>
      <w:r>
        <w:rPr>
          <w:sz w:val="24"/>
        </w:rPr>
        <w:t>; or</w:t>
      </w:r>
    </w:p>
    <w:p w:rsidR="00AD354C" w:rsidRDefault="00F16542" w:rsidP="007409B3">
      <w:pPr>
        <w:ind w:left="1843" w:hanging="1134"/>
        <w:jc w:val="both"/>
        <w:rPr>
          <w:sz w:val="24"/>
        </w:rPr>
      </w:pPr>
      <w:r w:rsidRPr="00C0074A">
        <w:rPr>
          <w:b/>
          <w:sz w:val="24"/>
        </w:rPr>
        <w:t xml:space="preserve">Option </w:t>
      </w:r>
      <w:r w:rsidR="00ED7431" w:rsidRPr="00C0074A">
        <w:rPr>
          <w:b/>
          <w:sz w:val="24"/>
        </w:rPr>
        <w:t>B</w:t>
      </w:r>
      <w:r w:rsidR="00ED7431">
        <w:rPr>
          <w:sz w:val="24"/>
        </w:rPr>
        <w:t xml:space="preserve">: </w:t>
      </w:r>
      <w:r w:rsidR="007409B3">
        <w:rPr>
          <w:sz w:val="24"/>
        </w:rPr>
        <w:tab/>
      </w:r>
      <w:r w:rsidR="00C0074A">
        <w:rPr>
          <w:sz w:val="24"/>
        </w:rPr>
        <w:t>Implement</w:t>
      </w:r>
      <w:r w:rsidR="0021553B">
        <w:rPr>
          <w:sz w:val="24"/>
        </w:rPr>
        <w:t>ing</w:t>
      </w:r>
      <w:r w:rsidR="00C0074A">
        <w:rPr>
          <w:sz w:val="24"/>
        </w:rPr>
        <w:t xml:space="preserve"> a </w:t>
      </w:r>
      <w:r w:rsidR="0021553B">
        <w:rPr>
          <w:sz w:val="24"/>
        </w:rPr>
        <w:t>staggered</w:t>
      </w:r>
      <w:r w:rsidR="00ED7431">
        <w:rPr>
          <w:sz w:val="24"/>
        </w:rPr>
        <w:t xml:space="preserve"> lock-up arrangement</w:t>
      </w:r>
      <w:r w:rsidR="00AD354C">
        <w:rPr>
          <w:sz w:val="24"/>
        </w:rPr>
        <w:t xml:space="preserve"> under which:</w:t>
      </w:r>
    </w:p>
    <w:p w:rsidR="00AD354C" w:rsidRDefault="00AD354C" w:rsidP="00AD354C">
      <w:pPr>
        <w:pStyle w:val="a4"/>
        <w:numPr>
          <w:ilvl w:val="1"/>
          <w:numId w:val="23"/>
        </w:numPr>
        <w:tabs>
          <w:tab w:val="left" w:pos="2268"/>
        </w:tabs>
        <w:ind w:left="2268" w:hanging="425"/>
        <w:jc w:val="both"/>
        <w:rPr>
          <w:sz w:val="24"/>
        </w:rPr>
      </w:pPr>
      <w:r>
        <w:rPr>
          <w:sz w:val="24"/>
        </w:rPr>
        <w:t xml:space="preserve">all </w:t>
      </w:r>
      <w:r w:rsidR="00ED7431" w:rsidRPr="00AD354C">
        <w:rPr>
          <w:sz w:val="24"/>
        </w:rPr>
        <w:t xml:space="preserve">securities placed </w:t>
      </w:r>
      <w:r w:rsidR="00C0074A" w:rsidRPr="00AD354C">
        <w:rPr>
          <w:sz w:val="24"/>
        </w:rPr>
        <w:t>with</w:t>
      </w:r>
      <w:r>
        <w:rPr>
          <w:sz w:val="24"/>
        </w:rPr>
        <w:t xml:space="preserve"> </w:t>
      </w:r>
      <w:r w:rsidR="00ED7431" w:rsidRPr="00AD354C">
        <w:rPr>
          <w:sz w:val="24"/>
        </w:rPr>
        <w:t xml:space="preserve">cornerstone investors </w:t>
      </w:r>
      <w:r w:rsidR="00C0074A" w:rsidRPr="00AD354C">
        <w:rPr>
          <w:sz w:val="24"/>
        </w:rPr>
        <w:t>would be subject</w:t>
      </w:r>
      <w:r w:rsidR="00ED7431" w:rsidRPr="00AD354C">
        <w:rPr>
          <w:sz w:val="24"/>
        </w:rPr>
        <w:t xml:space="preserve"> to a three</w:t>
      </w:r>
      <w:r>
        <w:rPr>
          <w:sz w:val="24"/>
        </w:rPr>
        <w:t>-month</w:t>
      </w:r>
      <w:r w:rsidR="00C0074A" w:rsidRPr="00AD354C">
        <w:rPr>
          <w:sz w:val="24"/>
        </w:rPr>
        <w:t xml:space="preserve"> lock-up period</w:t>
      </w:r>
      <w:r>
        <w:rPr>
          <w:sz w:val="24"/>
        </w:rPr>
        <w:t xml:space="preserve"> from the listing date;</w:t>
      </w:r>
    </w:p>
    <w:p w:rsidR="003B7A9D" w:rsidRDefault="003B7A9D" w:rsidP="003B7A9D">
      <w:pPr>
        <w:pStyle w:val="a4"/>
        <w:tabs>
          <w:tab w:val="left" w:pos="2268"/>
        </w:tabs>
        <w:ind w:left="2268"/>
        <w:jc w:val="both"/>
        <w:rPr>
          <w:sz w:val="24"/>
        </w:rPr>
      </w:pPr>
    </w:p>
    <w:p w:rsidR="00ED7431" w:rsidRPr="00AD354C" w:rsidRDefault="00F16542" w:rsidP="00AD354C">
      <w:pPr>
        <w:pStyle w:val="a4"/>
        <w:numPr>
          <w:ilvl w:val="1"/>
          <w:numId w:val="23"/>
        </w:numPr>
        <w:tabs>
          <w:tab w:val="left" w:pos="2268"/>
        </w:tabs>
        <w:ind w:left="2268" w:hanging="425"/>
        <w:jc w:val="both"/>
        <w:rPr>
          <w:sz w:val="24"/>
        </w:rPr>
      </w:pPr>
      <w:r w:rsidRPr="00AD354C">
        <w:rPr>
          <w:sz w:val="24"/>
        </w:rPr>
        <w:t xml:space="preserve">50% of </w:t>
      </w:r>
      <w:r w:rsidR="00AD354C">
        <w:rPr>
          <w:sz w:val="24"/>
        </w:rPr>
        <w:t xml:space="preserve">IPO </w:t>
      </w:r>
      <w:r w:rsidRPr="00AD354C">
        <w:rPr>
          <w:sz w:val="24"/>
        </w:rPr>
        <w:t xml:space="preserve">securities </w:t>
      </w:r>
      <w:r w:rsidR="00AD354C">
        <w:rPr>
          <w:sz w:val="24"/>
        </w:rPr>
        <w:t xml:space="preserve">placed with cornerstone investors </w:t>
      </w:r>
      <w:r w:rsidR="00C0074A" w:rsidRPr="00AD354C">
        <w:rPr>
          <w:sz w:val="24"/>
        </w:rPr>
        <w:t xml:space="preserve">would </w:t>
      </w:r>
      <w:r w:rsidR="003B7A9D">
        <w:rPr>
          <w:sz w:val="24"/>
        </w:rPr>
        <w:t>be subject</w:t>
      </w:r>
      <w:r w:rsidR="00AD354C">
        <w:rPr>
          <w:sz w:val="24"/>
        </w:rPr>
        <w:t xml:space="preserve"> to a </w:t>
      </w:r>
      <w:r w:rsidR="00EF1A16">
        <w:rPr>
          <w:sz w:val="24"/>
        </w:rPr>
        <w:t xml:space="preserve">second </w:t>
      </w:r>
      <w:r w:rsidR="00AD354C">
        <w:rPr>
          <w:sz w:val="24"/>
        </w:rPr>
        <w:t>th</w:t>
      </w:r>
      <w:r w:rsidR="00EF1A16">
        <w:rPr>
          <w:sz w:val="24"/>
        </w:rPr>
        <w:t xml:space="preserve">ree-month lock-up requirement </w:t>
      </w:r>
      <w:r w:rsidR="003B7A9D">
        <w:rPr>
          <w:sz w:val="24"/>
        </w:rPr>
        <w:t xml:space="preserve">starting on </w:t>
      </w:r>
      <w:r w:rsidR="00EF1A16">
        <w:rPr>
          <w:sz w:val="24"/>
        </w:rPr>
        <w:t>the date the first lock-up period expires</w:t>
      </w:r>
      <w:r w:rsidRPr="00AD354C">
        <w:rPr>
          <w:sz w:val="24"/>
        </w:rPr>
        <w:t xml:space="preserve">. </w:t>
      </w:r>
    </w:p>
    <w:p w:rsidR="00E92820" w:rsidRPr="00EF1A16" w:rsidRDefault="00CC1CFE" w:rsidP="00E92820">
      <w:pPr>
        <w:jc w:val="both"/>
        <w:rPr>
          <w:b/>
          <w:i/>
          <w:sz w:val="24"/>
        </w:rPr>
      </w:pPr>
      <w:r w:rsidRPr="00EF1A16">
        <w:rPr>
          <w:b/>
          <w:i/>
          <w:sz w:val="24"/>
        </w:rPr>
        <w:t>Introducing a “ring-fencing” mecha</w:t>
      </w:r>
      <w:r w:rsidR="00EF1A16" w:rsidRPr="00EF1A16">
        <w:rPr>
          <w:b/>
          <w:i/>
          <w:sz w:val="24"/>
        </w:rPr>
        <w:t>nism f</w:t>
      </w:r>
      <w:r w:rsidRPr="00EF1A16">
        <w:rPr>
          <w:b/>
          <w:i/>
          <w:sz w:val="24"/>
        </w:rPr>
        <w:t>o</w:t>
      </w:r>
      <w:r w:rsidR="00EF1A16" w:rsidRPr="00EF1A16">
        <w:rPr>
          <w:b/>
          <w:i/>
          <w:sz w:val="24"/>
        </w:rPr>
        <w:t>r the</w:t>
      </w:r>
      <w:r w:rsidRPr="00EF1A16">
        <w:rPr>
          <w:b/>
          <w:i/>
          <w:sz w:val="24"/>
        </w:rPr>
        <w:t xml:space="preserve"> bookbuilding placing tranche</w:t>
      </w:r>
      <w:r w:rsidR="00306B28">
        <w:rPr>
          <w:b/>
          <w:i/>
          <w:sz w:val="24"/>
        </w:rPr>
        <w:t xml:space="preserve"> on HKEX IPOs</w:t>
      </w:r>
    </w:p>
    <w:p w:rsidR="008F3577" w:rsidRDefault="00C0074A" w:rsidP="00C70921">
      <w:pPr>
        <w:jc w:val="both"/>
        <w:rPr>
          <w:sz w:val="24"/>
        </w:rPr>
      </w:pPr>
      <w:r>
        <w:rPr>
          <w:sz w:val="24"/>
        </w:rPr>
        <w:t xml:space="preserve">The </w:t>
      </w:r>
      <w:r w:rsidR="008F3577" w:rsidRPr="008F3577">
        <w:rPr>
          <w:sz w:val="24"/>
        </w:rPr>
        <w:t xml:space="preserve">HKEX proposes that at least 50% of the total number of shares initially offered in an IPO be allocated to investors in the bookbuilding placing tranche. This measure </w:t>
      </w:r>
      <w:r w:rsidR="00C70921">
        <w:rPr>
          <w:sz w:val="24"/>
        </w:rPr>
        <w:t>aims to ensure that a significant</w:t>
      </w:r>
      <w:r w:rsidR="008F3577" w:rsidRPr="008F3577">
        <w:rPr>
          <w:sz w:val="24"/>
        </w:rPr>
        <w:t xml:space="preserve"> portion of the IPO shares is allocated to </w:t>
      </w:r>
      <w:r w:rsidR="002511C9">
        <w:rPr>
          <w:sz w:val="24"/>
        </w:rPr>
        <w:t xml:space="preserve">the placing </w:t>
      </w:r>
      <w:r w:rsidR="008F3577" w:rsidRPr="008F3577">
        <w:rPr>
          <w:sz w:val="24"/>
        </w:rPr>
        <w:t>tranche</w:t>
      </w:r>
      <w:r w:rsidR="00C70921">
        <w:rPr>
          <w:sz w:val="24"/>
        </w:rPr>
        <w:t>, which the HKEX believes will enhance the price discovery process</w:t>
      </w:r>
      <w:r w:rsidR="008F3577" w:rsidRPr="008F3577">
        <w:rPr>
          <w:sz w:val="24"/>
        </w:rPr>
        <w:t>.</w:t>
      </w:r>
      <w:r w:rsidR="008F3577">
        <w:rPr>
          <w:sz w:val="24"/>
        </w:rPr>
        <w:t xml:space="preserve"> </w:t>
      </w:r>
      <w:r w:rsidR="00C70921">
        <w:rPr>
          <w:sz w:val="24"/>
        </w:rPr>
        <w:t xml:space="preserve">The HKEX also proposes to remove </w:t>
      </w:r>
      <w:r w:rsidR="00FD4B4B">
        <w:rPr>
          <w:sz w:val="24"/>
        </w:rPr>
        <w:t>the Ma</w:t>
      </w:r>
      <w:r w:rsidR="002511C9">
        <w:rPr>
          <w:sz w:val="24"/>
        </w:rPr>
        <w:t>in Board Listing Rule</w:t>
      </w:r>
      <w:r w:rsidR="00C70921">
        <w:rPr>
          <w:sz w:val="24"/>
        </w:rPr>
        <w:t xml:space="preserve"> requirements for at </w:t>
      </w:r>
      <w:r w:rsidR="002511C9">
        <w:rPr>
          <w:sz w:val="24"/>
        </w:rPr>
        <w:t xml:space="preserve">least </w:t>
      </w:r>
      <w:r w:rsidR="00C70921">
        <w:rPr>
          <w:sz w:val="24"/>
        </w:rPr>
        <w:t xml:space="preserve">three shareholders </w:t>
      </w:r>
      <w:r w:rsidR="00FD4B4B">
        <w:rPr>
          <w:sz w:val="24"/>
        </w:rPr>
        <w:t>for e</w:t>
      </w:r>
      <w:r w:rsidR="00C70921">
        <w:rPr>
          <w:sz w:val="24"/>
        </w:rPr>
        <w:t>ach HK$1 million placed and</w:t>
      </w:r>
      <w:r w:rsidR="00FD4B4B">
        <w:rPr>
          <w:sz w:val="24"/>
        </w:rPr>
        <w:t xml:space="preserve"> a minimum of 100 </w:t>
      </w:r>
      <w:r w:rsidR="00C70921">
        <w:rPr>
          <w:sz w:val="24"/>
        </w:rPr>
        <w:t>share</w:t>
      </w:r>
      <w:r w:rsidR="00FD4B4B">
        <w:rPr>
          <w:sz w:val="24"/>
        </w:rPr>
        <w:t xml:space="preserve">holders </w:t>
      </w:r>
      <w:r w:rsidR="00C70921">
        <w:rPr>
          <w:sz w:val="24"/>
        </w:rPr>
        <w:t>in the</w:t>
      </w:r>
      <w:r w:rsidR="00FD4B4B">
        <w:rPr>
          <w:sz w:val="24"/>
        </w:rPr>
        <w:t xml:space="preserve"> IPO placing tranche.</w:t>
      </w:r>
      <w:r w:rsidR="00EF1A16" w:rsidRPr="00EF1A16">
        <w:t xml:space="preserve"> </w:t>
      </w:r>
    </w:p>
    <w:p w:rsidR="002B07DF" w:rsidRDefault="0089742F" w:rsidP="00E92820">
      <w:pPr>
        <w:jc w:val="both"/>
        <w:rPr>
          <w:sz w:val="24"/>
        </w:rPr>
      </w:pPr>
      <w:r>
        <w:rPr>
          <w:sz w:val="24"/>
        </w:rPr>
        <w:lastRenderedPageBreak/>
        <w:t>This</w:t>
      </w:r>
      <w:r w:rsidR="00FD4B4B">
        <w:rPr>
          <w:sz w:val="24"/>
        </w:rPr>
        <w:t xml:space="preserve"> proposal will not apply to </w:t>
      </w:r>
      <w:r>
        <w:rPr>
          <w:sz w:val="24"/>
        </w:rPr>
        <w:t xml:space="preserve">the </w:t>
      </w:r>
      <w:r w:rsidR="00FD4B4B">
        <w:rPr>
          <w:sz w:val="24"/>
        </w:rPr>
        <w:t>initial listing of Specialist Technology Companies under C</w:t>
      </w:r>
      <w:r w:rsidR="0084501A">
        <w:rPr>
          <w:sz w:val="24"/>
        </w:rPr>
        <w:t>hapter 18C of the Listing Rules</w:t>
      </w:r>
      <w:r>
        <w:rPr>
          <w:sz w:val="24"/>
        </w:rPr>
        <w:t xml:space="preserve">, as </w:t>
      </w:r>
      <w:r w:rsidR="00C70921">
        <w:rPr>
          <w:sz w:val="24"/>
        </w:rPr>
        <w:t xml:space="preserve">the HKEX considers </w:t>
      </w:r>
      <w:r w:rsidR="0084501A">
        <w:rPr>
          <w:sz w:val="24"/>
        </w:rPr>
        <w:t xml:space="preserve">that </w:t>
      </w:r>
      <w:r>
        <w:rPr>
          <w:sz w:val="24"/>
        </w:rPr>
        <w:t xml:space="preserve">reaching a consensus on </w:t>
      </w:r>
      <w:r w:rsidR="0084501A">
        <w:rPr>
          <w:sz w:val="24"/>
        </w:rPr>
        <w:t>the</w:t>
      </w:r>
      <w:r w:rsidR="00C70921">
        <w:rPr>
          <w:sz w:val="24"/>
        </w:rPr>
        <w:t>ir</w:t>
      </w:r>
      <w:r w:rsidR="0084501A">
        <w:rPr>
          <w:sz w:val="24"/>
        </w:rPr>
        <w:t xml:space="preserve"> valuation </w:t>
      </w:r>
      <w:r>
        <w:rPr>
          <w:sz w:val="24"/>
        </w:rPr>
        <w:t>is more challenging than</w:t>
      </w:r>
      <w:r w:rsidR="0084501A">
        <w:rPr>
          <w:sz w:val="24"/>
        </w:rPr>
        <w:t xml:space="preserve"> </w:t>
      </w:r>
      <w:r w:rsidR="0014106D">
        <w:rPr>
          <w:sz w:val="24"/>
        </w:rPr>
        <w:t xml:space="preserve">for companies in </w:t>
      </w:r>
      <w:r w:rsidR="0084501A">
        <w:rPr>
          <w:sz w:val="24"/>
        </w:rPr>
        <w:t>tra</w:t>
      </w:r>
      <w:r w:rsidR="00782E17">
        <w:rPr>
          <w:sz w:val="24"/>
        </w:rPr>
        <w:t xml:space="preserve">ditional industries. </w:t>
      </w:r>
      <w:r w:rsidR="0014106D">
        <w:rPr>
          <w:sz w:val="24"/>
        </w:rPr>
        <w:t>Specialist Technology Companies</w:t>
      </w:r>
      <w:r w:rsidR="00782E17">
        <w:rPr>
          <w:sz w:val="24"/>
        </w:rPr>
        <w:t xml:space="preserve"> </w:t>
      </w:r>
      <w:r w:rsidR="0014106D">
        <w:rPr>
          <w:sz w:val="24"/>
        </w:rPr>
        <w:t>will therefore remain subject to the more stringent requirement of Listing Rule</w:t>
      </w:r>
      <w:r w:rsidR="00782E17">
        <w:rPr>
          <w:sz w:val="24"/>
        </w:rPr>
        <w:t xml:space="preserve"> 18C.08</w:t>
      </w:r>
      <w:r w:rsidR="00DF5E0B">
        <w:rPr>
          <w:sz w:val="24"/>
        </w:rPr>
        <w:t>,</w:t>
      </w:r>
      <w:r w:rsidR="0014106D">
        <w:rPr>
          <w:sz w:val="24"/>
        </w:rPr>
        <w:t xml:space="preserve"> which requires </w:t>
      </w:r>
      <w:r w:rsidR="00782E17">
        <w:rPr>
          <w:sz w:val="24"/>
        </w:rPr>
        <w:t>at least 50% of the total number of shares offered in the</w:t>
      </w:r>
      <w:r w:rsidR="0014106D">
        <w:rPr>
          <w:sz w:val="24"/>
        </w:rPr>
        <w:t>ir</w:t>
      </w:r>
      <w:r w:rsidR="00782E17">
        <w:rPr>
          <w:sz w:val="24"/>
        </w:rPr>
        <w:t xml:space="preserve"> IPO to be taken up by independent price setting investors in the placing tranche.</w:t>
      </w:r>
    </w:p>
    <w:p w:rsidR="002B07DF" w:rsidRPr="00306B28" w:rsidRDefault="00CF0C98" w:rsidP="00E92820">
      <w:pPr>
        <w:jc w:val="both"/>
        <w:rPr>
          <w:b/>
          <w:i/>
          <w:sz w:val="24"/>
        </w:rPr>
      </w:pPr>
      <w:r>
        <w:rPr>
          <w:b/>
          <w:i/>
          <w:sz w:val="24"/>
        </w:rPr>
        <w:t>HKEX’s p</w:t>
      </w:r>
      <w:r w:rsidR="002B07DF" w:rsidRPr="00306B28">
        <w:rPr>
          <w:b/>
          <w:i/>
          <w:sz w:val="24"/>
        </w:rPr>
        <w:t>ropose</w:t>
      </w:r>
      <w:r w:rsidR="00C05796" w:rsidRPr="00306B28">
        <w:rPr>
          <w:b/>
          <w:i/>
          <w:sz w:val="24"/>
        </w:rPr>
        <w:t>d</w:t>
      </w:r>
      <w:r w:rsidR="002B07DF" w:rsidRPr="00306B28">
        <w:rPr>
          <w:b/>
          <w:i/>
          <w:sz w:val="24"/>
        </w:rPr>
        <w:t xml:space="preserve"> changes to the allocation of the public subscription tranche</w:t>
      </w:r>
    </w:p>
    <w:p w:rsidR="00152243" w:rsidRDefault="00756395" w:rsidP="00E92820">
      <w:pPr>
        <w:jc w:val="both"/>
        <w:rPr>
          <w:sz w:val="24"/>
        </w:rPr>
      </w:pPr>
      <w:r>
        <w:rPr>
          <w:sz w:val="24"/>
        </w:rPr>
        <w:t xml:space="preserve">The HKEX </w:t>
      </w:r>
      <w:r w:rsidR="00306B28">
        <w:rPr>
          <w:sz w:val="24"/>
        </w:rPr>
        <w:t>is proposing</w:t>
      </w:r>
      <w:r>
        <w:rPr>
          <w:sz w:val="24"/>
        </w:rPr>
        <w:t xml:space="preserve"> </w:t>
      </w:r>
      <w:r w:rsidR="00CF0C98">
        <w:rPr>
          <w:sz w:val="24"/>
        </w:rPr>
        <w:t xml:space="preserve">to replace the existing requirement </w:t>
      </w:r>
      <w:r w:rsidR="00FF4CA9">
        <w:rPr>
          <w:sz w:val="24"/>
        </w:rPr>
        <w:t xml:space="preserve">for </w:t>
      </w:r>
      <w:r w:rsidR="00152243">
        <w:rPr>
          <w:sz w:val="24"/>
        </w:rPr>
        <w:t xml:space="preserve">the allocation of </w:t>
      </w:r>
      <w:r w:rsidR="00DF5E0B">
        <w:rPr>
          <w:sz w:val="24"/>
        </w:rPr>
        <w:t>offer</w:t>
      </w:r>
      <w:r w:rsidR="00063373">
        <w:rPr>
          <w:sz w:val="24"/>
        </w:rPr>
        <w:t xml:space="preserve"> shares to </w:t>
      </w:r>
      <w:r w:rsidR="00FF4CA9">
        <w:rPr>
          <w:sz w:val="24"/>
        </w:rPr>
        <w:t xml:space="preserve">the </w:t>
      </w:r>
      <w:r w:rsidR="00152243">
        <w:rPr>
          <w:sz w:val="24"/>
        </w:rPr>
        <w:t>public subscription tranche</w:t>
      </w:r>
      <w:r w:rsidR="00063373">
        <w:rPr>
          <w:sz w:val="24"/>
        </w:rPr>
        <w:t xml:space="preserve"> with a requirement for listing applicants to either</w:t>
      </w:r>
      <w:r w:rsidR="00152243">
        <w:rPr>
          <w:sz w:val="24"/>
        </w:rPr>
        <w:t>:</w:t>
      </w:r>
    </w:p>
    <w:p w:rsidR="00063373" w:rsidRDefault="002511C9" w:rsidP="006C2653">
      <w:pPr>
        <w:pStyle w:val="a4"/>
        <w:numPr>
          <w:ilvl w:val="0"/>
          <w:numId w:val="23"/>
        </w:numPr>
        <w:ind w:left="851" w:hanging="284"/>
        <w:jc w:val="both"/>
        <w:rPr>
          <w:sz w:val="24"/>
        </w:rPr>
      </w:pPr>
      <w:r>
        <w:rPr>
          <w:sz w:val="24"/>
        </w:rPr>
        <w:t>initially allocate 5% of their</w:t>
      </w:r>
      <w:r w:rsidR="00063373" w:rsidRPr="00063373">
        <w:rPr>
          <w:sz w:val="24"/>
        </w:rPr>
        <w:t xml:space="preserve"> offer shares to the public subscription tranche, subject to a clawback mechanism of </w:t>
      </w:r>
      <w:r w:rsidR="006C2653">
        <w:rPr>
          <w:sz w:val="24"/>
        </w:rPr>
        <w:t>either 10% or</w:t>
      </w:r>
      <w:r w:rsidR="00063373" w:rsidRPr="00063373">
        <w:rPr>
          <w:sz w:val="24"/>
        </w:rPr>
        <w:t xml:space="preserve"> 20%</w:t>
      </w:r>
      <w:r w:rsidR="006C2653">
        <w:rPr>
          <w:sz w:val="24"/>
        </w:rPr>
        <w:t xml:space="preserve"> depending on demand</w:t>
      </w:r>
      <w:r w:rsidR="00063373" w:rsidRPr="00063373">
        <w:rPr>
          <w:sz w:val="24"/>
        </w:rPr>
        <w:t xml:space="preserve"> (as compare</w:t>
      </w:r>
      <w:r w:rsidR="00D417F6">
        <w:rPr>
          <w:sz w:val="24"/>
        </w:rPr>
        <w:t xml:space="preserve">d to the current requirement for </w:t>
      </w:r>
      <w:r w:rsidR="00063373" w:rsidRPr="00063373">
        <w:rPr>
          <w:sz w:val="24"/>
        </w:rPr>
        <w:t>a clawback of up to 50%)</w:t>
      </w:r>
      <w:r w:rsidR="00063373">
        <w:rPr>
          <w:sz w:val="24"/>
        </w:rPr>
        <w:t xml:space="preserve"> (</w:t>
      </w:r>
      <w:r w:rsidR="00063373">
        <w:rPr>
          <w:b/>
          <w:sz w:val="24"/>
        </w:rPr>
        <w:t>Mechanism A</w:t>
      </w:r>
      <w:r w:rsidR="00063373">
        <w:rPr>
          <w:sz w:val="24"/>
        </w:rPr>
        <w:t>); or</w:t>
      </w:r>
    </w:p>
    <w:p w:rsidR="00063373" w:rsidRDefault="00063373" w:rsidP="00063373">
      <w:pPr>
        <w:pStyle w:val="a4"/>
        <w:ind w:left="851" w:hanging="425"/>
        <w:jc w:val="both"/>
        <w:rPr>
          <w:sz w:val="24"/>
        </w:rPr>
      </w:pPr>
    </w:p>
    <w:p w:rsidR="006C2653" w:rsidRPr="006C2653" w:rsidRDefault="00063373" w:rsidP="006C2653">
      <w:pPr>
        <w:pStyle w:val="a4"/>
        <w:numPr>
          <w:ilvl w:val="0"/>
          <w:numId w:val="23"/>
        </w:numPr>
        <w:ind w:left="851" w:hanging="284"/>
        <w:jc w:val="both"/>
        <w:rPr>
          <w:sz w:val="24"/>
        </w:rPr>
      </w:pPr>
      <w:r w:rsidRPr="006C2653">
        <w:rPr>
          <w:sz w:val="24"/>
        </w:rPr>
        <w:t xml:space="preserve">initially allocate </w:t>
      </w:r>
      <w:r w:rsidR="006C2653">
        <w:rPr>
          <w:sz w:val="24"/>
        </w:rPr>
        <w:t xml:space="preserve">between </w:t>
      </w:r>
      <w:r w:rsidRPr="006C2653">
        <w:rPr>
          <w:sz w:val="24"/>
        </w:rPr>
        <w:t xml:space="preserve">10% </w:t>
      </w:r>
      <w:r w:rsidR="006C2653">
        <w:rPr>
          <w:sz w:val="24"/>
        </w:rPr>
        <w:t xml:space="preserve">and 50% </w:t>
      </w:r>
      <w:r w:rsidRPr="006C2653">
        <w:rPr>
          <w:sz w:val="24"/>
        </w:rPr>
        <w:t>of the offer shares to the public subscription tranche, with no clawback mechanism</w:t>
      </w:r>
      <w:r w:rsidR="006C2653">
        <w:rPr>
          <w:sz w:val="24"/>
        </w:rPr>
        <w:t xml:space="preserve"> (</w:t>
      </w:r>
      <w:r w:rsidR="006C2653">
        <w:rPr>
          <w:b/>
          <w:sz w:val="24"/>
        </w:rPr>
        <w:t>Mechanism B</w:t>
      </w:r>
      <w:r w:rsidR="006C2653" w:rsidRPr="006C2653">
        <w:rPr>
          <w:sz w:val="24"/>
        </w:rPr>
        <w:t>)</w:t>
      </w:r>
      <w:r w:rsidRPr="006C2653">
        <w:rPr>
          <w:sz w:val="24"/>
        </w:rPr>
        <w:t xml:space="preserve">. </w:t>
      </w:r>
    </w:p>
    <w:p w:rsidR="00644643" w:rsidRDefault="000714C9" w:rsidP="00D417F6">
      <w:pPr>
        <w:jc w:val="both"/>
        <w:rPr>
          <w:sz w:val="24"/>
        </w:rPr>
      </w:pPr>
      <w:r w:rsidRPr="006C2653">
        <w:rPr>
          <w:sz w:val="24"/>
        </w:rPr>
        <w:t>Applicants using Mechanism A</w:t>
      </w:r>
      <w:r w:rsidR="00D417F6">
        <w:rPr>
          <w:sz w:val="24"/>
        </w:rPr>
        <w:t xml:space="preserve"> would</w:t>
      </w:r>
      <w:r w:rsidR="006A1451" w:rsidRPr="006C2653">
        <w:rPr>
          <w:sz w:val="24"/>
        </w:rPr>
        <w:t xml:space="preserve"> not be allowed to adopt an offering mechanism that deviates from the prescribed percentage </w:t>
      </w:r>
      <w:r w:rsidR="00D417F6">
        <w:rPr>
          <w:sz w:val="24"/>
        </w:rPr>
        <w:t xml:space="preserve">initial allocation </w:t>
      </w:r>
      <w:r w:rsidR="006A1451" w:rsidRPr="006C2653">
        <w:rPr>
          <w:sz w:val="24"/>
        </w:rPr>
        <w:t>and the minim</w:t>
      </w:r>
      <w:r w:rsidR="00492D7C" w:rsidRPr="006C2653">
        <w:rPr>
          <w:sz w:val="24"/>
        </w:rPr>
        <w:t>um thresholds</w:t>
      </w:r>
      <w:r w:rsidR="00D417F6">
        <w:rPr>
          <w:sz w:val="24"/>
        </w:rPr>
        <w:t xml:space="preserve"> </w:t>
      </w:r>
      <w:r w:rsidR="00D417F6" w:rsidRPr="006C2653">
        <w:rPr>
          <w:sz w:val="24"/>
        </w:rPr>
        <w:t>triggering</w:t>
      </w:r>
      <w:r w:rsidR="00D417F6">
        <w:rPr>
          <w:sz w:val="24"/>
        </w:rPr>
        <w:t xml:space="preserve"> the clawback, unless the HKEX grants a waiver</w:t>
      </w:r>
      <w:r w:rsidR="00492D7C" w:rsidRPr="006C2653">
        <w:rPr>
          <w:sz w:val="24"/>
        </w:rPr>
        <w:t>.</w:t>
      </w:r>
      <w:r w:rsidR="00D417F6">
        <w:rPr>
          <w:sz w:val="24"/>
        </w:rPr>
        <w:t xml:space="preserve"> Specialist Technology Company listing applicants would only be able to adopt Mechanism A.</w:t>
      </w:r>
      <w:r w:rsidR="00152243">
        <w:rPr>
          <w:sz w:val="24"/>
        </w:rPr>
        <w:t xml:space="preserve"> </w:t>
      </w:r>
    </w:p>
    <w:p w:rsidR="000714C9" w:rsidRPr="00D417F6" w:rsidRDefault="005F17B4" w:rsidP="002C391A">
      <w:pPr>
        <w:jc w:val="both"/>
        <w:rPr>
          <w:b/>
          <w:i/>
          <w:sz w:val="24"/>
        </w:rPr>
      </w:pPr>
      <w:r>
        <w:rPr>
          <w:b/>
          <w:i/>
          <w:sz w:val="24"/>
        </w:rPr>
        <w:t>HKEX’s p</w:t>
      </w:r>
      <w:r w:rsidR="00AD1093" w:rsidRPr="00D417F6">
        <w:rPr>
          <w:b/>
          <w:i/>
          <w:sz w:val="24"/>
        </w:rPr>
        <w:t>ropose</w:t>
      </w:r>
      <w:r w:rsidR="00D417F6" w:rsidRPr="00D417F6">
        <w:rPr>
          <w:b/>
          <w:i/>
          <w:sz w:val="24"/>
        </w:rPr>
        <w:t>d</w:t>
      </w:r>
      <w:r w:rsidR="00AD1093" w:rsidRPr="00D417F6">
        <w:rPr>
          <w:b/>
          <w:i/>
          <w:sz w:val="24"/>
        </w:rPr>
        <w:t xml:space="preserve"> changes to the restrictions on reallocation and PO over-allocation</w:t>
      </w:r>
    </w:p>
    <w:p w:rsidR="00AD1093" w:rsidRDefault="00AD1093" w:rsidP="002C391A">
      <w:pPr>
        <w:jc w:val="both"/>
        <w:rPr>
          <w:sz w:val="24"/>
        </w:rPr>
      </w:pPr>
      <w:r>
        <w:rPr>
          <w:sz w:val="24"/>
        </w:rPr>
        <w:t xml:space="preserve">The table below sets out the current restrictions on </w:t>
      </w:r>
      <w:r w:rsidR="00341930">
        <w:rPr>
          <w:sz w:val="24"/>
        </w:rPr>
        <w:t xml:space="preserve">the </w:t>
      </w:r>
      <w:r>
        <w:rPr>
          <w:sz w:val="24"/>
        </w:rPr>
        <w:t xml:space="preserve">reallocation </w:t>
      </w:r>
      <w:r w:rsidR="00341930">
        <w:rPr>
          <w:sz w:val="24"/>
        </w:rPr>
        <w:t xml:space="preserve">of offer shares from the placing tranche to the public subscription tranche </w:t>
      </w:r>
      <w:r w:rsidR="00861225">
        <w:rPr>
          <w:sz w:val="24"/>
        </w:rPr>
        <w:t>(</w:t>
      </w:r>
      <w:r w:rsidR="00861225" w:rsidRPr="00861225">
        <w:rPr>
          <w:b/>
          <w:sz w:val="24"/>
        </w:rPr>
        <w:t>Reallocation</w:t>
      </w:r>
      <w:r w:rsidR="00861225">
        <w:rPr>
          <w:sz w:val="24"/>
        </w:rPr>
        <w:t xml:space="preserve">) </w:t>
      </w:r>
      <w:r w:rsidR="00341930" w:rsidRPr="00861225">
        <w:rPr>
          <w:sz w:val="24"/>
        </w:rPr>
        <w:t>and</w:t>
      </w:r>
      <w:r w:rsidR="00861225">
        <w:rPr>
          <w:sz w:val="24"/>
        </w:rPr>
        <w:t xml:space="preserve"> on</w:t>
      </w:r>
      <w:r w:rsidR="00C72016">
        <w:rPr>
          <w:sz w:val="24"/>
        </w:rPr>
        <w:t xml:space="preserve"> the over-allocation of offer shares to the public subscription tranche</w:t>
      </w:r>
      <w:r w:rsidR="00861225">
        <w:rPr>
          <w:sz w:val="24"/>
        </w:rPr>
        <w:t xml:space="preserve"> (</w:t>
      </w:r>
      <w:r w:rsidR="00861225" w:rsidRPr="00861225">
        <w:rPr>
          <w:b/>
          <w:sz w:val="24"/>
        </w:rPr>
        <w:t>PO Over-allocation</w:t>
      </w:r>
      <w:r w:rsidR="00861225">
        <w:rPr>
          <w:sz w:val="24"/>
        </w:rPr>
        <w:t>)</w:t>
      </w:r>
      <w:r w:rsidR="00C72016">
        <w:rPr>
          <w:sz w:val="24"/>
        </w:rPr>
        <w:t>.</w:t>
      </w:r>
      <w:r w:rsidR="003B7E2B">
        <w:rPr>
          <w:sz w:val="24"/>
        </w:rPr>
        <w:t xml:space="preserve"> The aim of these restrictions is to reduce the risk of investors in the public subscription tranche being “stuffed” with shares at a price that is unattractive to </w:t>
      </w:r>
      <w:r w:rsidR="003D497F">
        <w:rPr>
          <w:sz w:val="24"/>
        </w:rPr>
        <w:t>participants in the placing tranche.</w:t>
      </w:r>
      <w:r w:rsidR="003B7E2B">
        <w:rPr>
          <w:sz w:val="24"/>
        </w:rPr>
        <w:t xml:space="preserve"> </w:t>
      </w:r>
    </w:p>
    <w:tbl>
      <w:tblPr>
        <w:tblStyle w:val="a3"/>
        <w:tblW w:w="0" w:type="auto"/>
        <w:tblInd w:w="85" w:type="dxa"/>
        <w:tblLook w:val="04A0" w:firstRow="1" w:lastRow="0" w:firstColumn="1" w:lastColumn="0" w:noHBand="0" w:noVBand="1"/>
      </w:tblPr>
      <w:tblGrid>
        <w:gridCol w:w="1018"/>
        <w:gridCol w:w="1878"/>
        <w:gridCol w:w="2011"/>
        <w:gridCol w:w="2125"/>
        <w:gridCol w:w="2539"/>
      </w:tblGrid>
      <w:tr w:rsidR="00A34B20" w:rsidTr="002C391A">
        <w:tc>
          <w:tcPr>
            <w:tcW w:w="2936" w:type="dxa"/>
            <w:gridSpan w:val="2"/>
            <w:vMerge w:val="restart"/>
          </w:tcPr>
          <w:p w:rsidR="00A34B20" w:rsidRDefault="00A34B20" w:rsidP="00492D7C">
            <w:pPr>
              <w:jc w:val="both"/>
              <w:rPr>
                <w:sz w:val="24"/>
              </w:rPr>
            </w:pPr>
          </w:p>
        </w:tc>
        <w:tc>
          <w:tcPr>
            <w:tcW w:w="6329" w:type="dxa"/>
            <w:gridSpan w:val="3"/>
          </w:tcPr>
          <w:p w:rsidR="00A34B20" w:rsidRPr="00A34B20" w:rsidRDefault="00A34B20" w:rsidP="00A34B20">
            <w:pPr>
              <w:jc w:val="center"/>
              <w:rPr>
                <w:b/>
                <w:sz w:val="24"/>
              </w:rPr>
            </w:pPr>
            <w:r w:rsidRPr="00A34B20">
              <w:rPr>
                <w:b/>
                <w:sz w:val="24"/>
              </w:rPr>
              <w:t>Public Subscription Tranche</w:t>
            </w:r>
          </w:p>
        </w:tc>
      </w:tr>
      <w:tr w:rsidR="00A34B20" w:rsidTr="002C391A">
        <w:tc>
          <w:tcPr>
            <w:tcW w:w="2936" w:type="dxa"/>
            <w:gridSpan w:val="2"/>
            <w:vMerge/>
          </w:tcPr>
          <w:p w:rsidR="00A34B20" w:rsidRDefault="00A34B20" w:rsidP="00492D7C">
            <w:pPr>
              <w:jc w:val="both"/>
              <w:rPr>
                <w:sz w:val="24"/>
              </w:rPr>
            </w:pPr>
          </w:p>
        </w:tc>
        <w:tc>
          <w:tcPr>
            <w:tcW w:w="2104" w:type="dxa"/>
          </w:tcPr>
          <w:p w:rsidR="00A34B20" w:rsidRDefault="00A34B20" w:rsidP="00A34B20">
            <w:pPr>
              <w:jc w:val="both"/>
              <w:rPr>
                <w:sz w:val="24"/>
              </w:rPr>
            </w:pPr>
            <w:r>
              <w:rPr>
                <w:sz w:val="24"/>
              </w:rPr>
              <w:t>Undersubscribed</w:t>
            </w:r>
          </w:p>
          <w:p w:rsidR="00A34B20" w:rsidRDefault="00A34B20" w:rsidP="00492D7C">
            <w:pPr>
              <w:jc w:val="both"/>
              <w:rPr>
                <w:sz w:val="24"/>
              </w:rPr>
            </w:pPr>
          </w:p>
        </w:tc>
        <w:tc>
          <w:tcPr>
            <w:tcW w:w="2416" w:type="dxa"/>
          </w:tcPr>
          <w:p w:rsidR="00A34B20" w:rsidRDefault="00A34B20" w:rsidP="00A34B20">
            <w:pPr>
              <w:rPr>
                <w:sz w:val="24"/>
              </w:rPr>
            </w:pPr>
            <w:r>
              <w:rPr>
                <w:sz w:val="24"/>
              </w:rPr>
              <w:t xml:space="preserve">Fully </w:t>
            </w:r>
            <w:r w:rsidR="002511C9">
              <w:rPr>
                <w:sz w:val="24"/>
              </w:rPr>
              <w:t>subscribed or o</w:t>
            </w:r>
            <w:r>
              <w:rPr>
                <w:sz w:val="24"/>
              </w:rPr>
              <w:t>versubscribed by &lt; 15 times</w:t>
            </w:r>
          </w:p>
        </w:tc>
        <w:tc>
          <w:tcPr>
            <w:tcW w:w="0" w:type="auto"/>
          </w:tcPr>
          <w:p w:rsidR="00A34B20" w:rsidRDefault="00A34B20" w:rsidP="00492D7C">
            <w:pPr>
              <w:jc w:val="both"/>
              <w:rPr>
                <w:sz w:val="24"/>
              </w:rPr>
            </w:pPr>
            <w:r>
              <w:rPr>
                <w:sz w:val="24"/>
              </w:rPr>
              <w:t xml:space="preserve">Oversubscribed by </w:t>
            </w:r>
            <w:r w:rsidRPr="003D497F">
              <w:rPr>
                <w:sz w:val="24"/>
                <w:u w:val="single"/>
              </w:rPr>
              <w:t>&gt;</w:t>
            </w:r>
            <w:r>
              <w:rPr>
                <w:sz w:val="24"/>
              </w:rPr>
              <w:t xml:space="preserve"> 15 times</w:t>
            </w:r>
          </w:p>
        </w:tc>
      </w:tr>
      <w:tr w:rsidR="00A34B20" w:rsidTr="002C391A">
        <w:tc>
          <w:tcPr>
            <w:tcW w:w="0" w:type="auto"/>
            <w:vMerge w:val="restart"/>
          </w:tcPr>
          <w:p w:rsidR="00A34B20" w:rsidRPr="002C391A" w:rsidRDefault="00A34B20" w:rsidP="00492D7C">
            <w:pPr>
              <w:jc w:val="both"/>
              <w:rPr>
                <w:b/>
                <w:sz w:val="24"/>
              </w:rPr>
            </w:pPr>
            <w:r w:rsidRPr="002C391A">
              <w:rPr>
                <w:b/>
                <w:sz w:val="24"/>
              </w:rPr>
              <w:t>Placing Tranche</w:t>
            </w:r>
          </w:p>
        </w:tc>
        <w:tc>
          <w:tcPr>
            <w:tcW w:w="1878" w:type="dxa"/>
          </w:tcPr>
          <w:p w:rsidR="00A34B20" w:rsidRDefault="00A34B20" w:rsidP="00492D7C">
            <w:pPr>
              <w:jc w:val="both"/>
              <w:rPr>
                <w:sz w:val="24"/>
              </w:rPr>
            </w:pPr>
            <w:r>
              <w:rPr>
                <w:sz w:val="24"/>
              </w:rPr>
              <w:t>Undersubscribed</w:t>
            </w:r>
          </w:p>
          <w:p w:rsidR="00A34B20" w:rsidRDefault="00A34B20" w:rsidP="00492D7C">
            <w:pPr>
              <w:jc w:val="both"/>
              <w:rPr>
                <w:sz w:val="24"/>
              </w:rPr>
            </w:pPr>
          </w:p>
        </w:tc>
        <w:tc>
          <w:tcPr>
            <w:tcW w:w="2104" w:type="dxa"/>
          </w:tcPr>
          <w:p w:rsidR="00A34B20" w:rsidRDefault="00A34B20" w:rsidP="002C391A">
            <w:pPr>
              <w:rPr>
                <w:sz w:val="24"/>
              </w:rPr>
            </w:pPr>
            <w:r>
              <w:rPr>
                <w:sz w:val="24"/>
              </w:rPr>
              <w:t xml:space="preserve">Underwriters must take up the shortfall </w:t>
            </w:r>
          </w:p>
          <w:p w:rsidR="002C391A" w:rsidRDefault="002C391A" w:rsidP="002C391A">
            <w:pPr>
              <w:rPr>
                <w:sz w:val="24"/>
              </w:rPr>
            </w:pPr>
          </w:p>
        </w:tc>
        <w:tc>
          <w:tcPr>
            <w:tcW w:w="4225" w:type="dxa"/>
            <w:gridSpan w:val="2"/>
          </w:tcPr>
          <w:p w:rsidR="00A34B20" w:rsidRDefault="00A34B20" w:rsidP="00492D7C">
            <w:pPr>
              <w:jc w:val="both"/>
              <w:rPr>
                <w:sz w:val="24"/>
              </w:rPr>
            </w:pPr>
            <w:r>
              <w:rPr>
                <w:sz w:val="24"/>
              </w:rPr>
              <w:t>Restrictions on Reallocation and/or PO Over-allocation</w:t>
            </w:r>
          </w:p>
        </w:tc>
      </w:tr>
      <w:tr w:rsidR="002C391A" w:rsidTr="002C391A">
        <w:tc>
          <w:tcPr>
            <w:tcW w:w="0" w:type="auto"/>
            <w:vMerge/>
          </w:tcPr>
          <w:p w:rsidR="00A34B20" w:rsidRDefault="00A34B20" w:rsidP="00492D7C">
            <w:pPr>
              <w:jc w:val="both"/>
              <w:rPr>
                <w:sz w:val="24"/>
              </w:rPr>
            </w:pPr>
          </w:p>
        </w:tc>
        <w:tc>
          <w:tcPr>
            <w:tcW w:w="1878" w:type="dxa"/>
          </w:tcPr>
          <w:p w:rsidR="00A34B20" w:rsidRDefault="002511C9" w:rsidP="002511C9">
            <w:pPr>
              <w:rPr>
                <w:sz w:val="24"/>
              </w:rPr>
            </w:pPr>
            <w:r>
              <w:rPr>
                <w:sz w:val="24"/>
              </w:rPr>
              <w:t>Fully or over</w:t>
            </w:r>
            <w:r w:rsidR="00A34B20">
              <w:rPr>
                <w:sz w:val="24"/>
              </w:rPr>
              <w:t>subscribed</w:t>
            </w:r>
          </w:p>
        </w:tc>
        <w:tc>
          <w:tcPr>
            <w:tcW w:w="2104" w:type="dxa"/>
          </w:tcPr>
          <w:p w:rsidR="00A34B20" w:rsidRDefault="00A34B20" w:rsidP="002C391A">
            <w:pPr>
              <w:rPr>
                <w:sz w:val="24"/>
              </w:rPr>
            </w:pPr>
            <w:r>
              <w:rPr>
                <w:sz w:val="24"/>
              </w:rPr>
              <w:t>No Reallocation or PO Over-allocation</w:t>
            </w:r>
            <w:r w:rsidR="002511C9">
              <w:rPr>
                <w:sz w:val="24"/>
              </w:rPr>
              <w:t>*</w:t>
            </w:r>
            <w:r w:rsidR="00D151FA">
              <w:rPr>
                <w:sz w:val="24"/>
              </w:rPr>
              <w:t>*</w:t>
            </w:r>
          </w:p>
        </w:tc>
        <w:tc>
          <w:tcPr>
            <w:tcW w:w="2416" w:type="dxa"/>
          </w:tcPr>
          <w:p w:rsidR="00A34B20" w:rsidRDefault="002C391A" w:rsidP="00492D7C">
            <w:pPr>
              <w:jc w:val="both"/>
              <w:rPr>
                <w:sz w:val="24"/>
              </w:rPr>
            </w:pPr>
            <w:r>
              <w:rPr>
                <w:sz w:val="24"/>
              </w:rPr>
              <w:t>Restrictions on Reallocation and/or PO Over-allocation</w:t>
            </w:r>
          </w:p>
        </w:tc>
        <w:tc>
          <w:tcPr>
            <w:tcW w:w="0" w:type="auto"/>
          </w:tcPr>
          <w:p w:rsidR="00A34B20" w:rsidRDefault="00A34B20" w:rsidP="00492D7C">
            <w:pPr>
              <w:jc w:val="both"/>
              <w:rPr>
                <w:sz w:val="24"/>
              </w:rPr>
            </w:pPr>
            <w:r>
              <w:rPr>
                <w:sz w:val="24"/>
              </w:rPr>
              <w:t>Clawback mechanism</w:t>
            </w:r>
          </w:p>
        </w:tc>
      </w:tr>
    </w:tbl>
    <w:p w:rsidR="00D151FA" w:rsidRDefault="00D151FA" w:rsidP="00D151FA">
      <w:pPr>
        <w:jc w:val="both"/>
        <w:rPr>
          <w:sz w:val="24"/>
        </w:rPr>
      </w:pPr>
    </w:p>
    <w:p w:rsidR="002C391A" w:rsidRPr="00D151FA" w:rsidRDefault="00D151FA" w:rsidP="00D151FA">
      <w:pPr>
        <w:jc w:val="both"/>
        <w:rPr>
          <w:sz w:val="24"/>
        </w:rPr>
      </w:pPr>
      <w:r>
        <w:rPr>
          <w:sz w:val="24"/>
        </w:rPr>
        <w:lastRenderedPageBreak/>
        <w:t>** If there is insufficient demand in the public subscription tranche to take up the initial allocation, offers shares can be reallocated from the public subscription tranche to the placing tranche.</w:t>
      </w:r>
    </w:p>
    <w:p w:rsidR="002C391A" w:rsidRDefault="00605EF1" w:rsidP="002C391A">
      <w:pPr>
        <w:jc w:val="both"/>
        <w:rPr>
          <w:sz w:val="24"/>
        </w:rPr>
      </w:pPr>
      <w:r>
        <w:rPr>
          <w:sz w:val="24"/>
        </w:rPr>
        <w:t>Under</w:t>
      </w:r>
      <w:r w:rsidR="00D151FA">
        <w:rPr>
          <w:sz w:val="24"/>
        </w:rPr>
        <w:t xml:space="preserve"> </w:t>
      </w:r>
      <w:r w:rsidR="002C391A">
        <w:rPr>
          <w:sz w:val="24"/>
        </w:rPr>
        <w:t>Chapter 4</w:t>
      </w:r>
      <w:r w:rsidR="00D151FA">
        <w:rPr>
          <w:sz w:val="24"/>
        </w:rPr>
        <w:t xml:space="preserve">.14 </w:t>
      </w:r>
      <w:r w:rsidR="002C391A">
        <w:rPr>
          <w:sz w:val="24"/>
        </w:rPr>
        <w:t>o</w:t>
      </w:r>
      <w:r w:rsidR="00D151FA">
        <w:rPr>
          <w:sz w:val="24"/>
        </w:rPr>
        <w:t>f</w:t>
      </w:r>
      <w:r w:rsidR="002C391A">
        <w:rPr>
          <w:sz w:val="24"/>
        </w:rPr>
        <w:t xml:space="preserve"> the Guide for New Listing Applicants, the </w:t>
      </w:r>
      <w:r w:rsidR="003D497F">
        <w:rPr>
          <w:sz w:val="24"/>
        </w:rPr>
        <w:t xml:space="preserve">current </w:t>
      </w:r>
      <w:r>
        <w:rPr>
          <w:sz w:val="24"/>
        </w:rPr>
        <w:t>restrictions on R</w:t>
      </w:r>
      <w:r w:rsidR="002C391A">
        <w:rPr>
          <w:sz w:val="24"/>
        </w:rPr>
        <w:t xml:space="preserve">eallocation and PO </w:t>
      </w:r>
      <w:r w:rsidR="002C391A" w:rsidRPr="003D497F">
        <w:rPr>
          <w:sz w:val="24"/>
        </w:rPr>
        <w:t>Over-allocation</w:t>
      </w:r>
      <w:r w:rsidR="003D497F">
        <w:rPr>
          <w:sz w:val="24"/>
        </w:rPr>
        <w:t xml:space="preserve"> are that</w:t>
      </w:r>
      <w:r w:rsidR="002F3FD4">
        <w:rPr>
          <w:sz w:val="24"/>
        </w:rPr>
        <w:t>:</w:t>
      </w:r>
    </w:p>
    <w:p w:rsidR="002F3FD4" w:rsidRDefault="002F3FD4" w:rsidP="002F3FD4">
      <w:pPr>
        <w:pStyle w:val="a4"/>
        <w:numPr>
          <w:ilvl w:val="0"/>
          <w:numId w:val="9"/>
        </w:numPr>
        <w:jc w:val="both"/>
        <w:rPr>
          <w:sz w:val="24"/>
        </w:rPr>
      </w:pPr>
      <w:r>
        <w:rPr>
          <w:sz w:val="24"/>
        </w:rPr>
        <w:t xml:space="preserve">the maximum number of shares </w:t>
      </w:r>
      <w:r w:rsidR="00861225">
        <w:rPr>
          <w:sz w:val="24"/>
        </w:rPr>
        <w:t xml:space="preserve">allowed </w:t>
      </w:r>
      <w:r>
        <w:rPr>
          <w:sz w:val="24"/>
        </w:rPr>
        <w:t xml:space="preserve">under the public subscription tranche after Reallocation and/or PO Over-allocation </w:t>
      </w:r>
      <w:r w:rsidR="00861225">
        <w:rPr>
          <w:sz w:val="24"/>
        </w:rPr>
        <w:t>(the “</w:t>
      </w:r>
      <w:r w:rsidR="00861225" w:rsidRPr="004C746A">
        <w:rPr>
          <w:b/>
          <w:sz w:val="24"/>
        </w:rPr>
        <w:t>Allocation Cap</w:t>
      </w:r>
      <w:r w:rsidR="00861225">
        <w:rPr>
          <w:sz w:val="24"/>
        </w:rPr>
        <w:t xml:space="preserve">”) </w:t>
      </w:r>
      <w:r>
        <w:rPr>
          <w:sz w:val="24"/>
        </w:rPr>
        <w:t>must be the lower of</w:t>
      </w:r>
      <w:r w:rsidR="00861225">
        <w:rPr>
          <w:sz w:val="24"/>
        </w:rPr>
        <w:t>:</w:t>
      </w:r>
      <w:r>
        <w:rPr>
          <w:sz w:val="24"/>
        </w:rPr>
        <w:t xml:space="preserve"> (a) double the initial allocation to </w:t>
      </w:r>
      <w:r w:rsidR="00861225">
        <w:rPr>
          <w:sz w:val="24"/>
        </w:rPr>
        <w:t xml:space="preserve">the </w:t>
      </w:r>
      <w:r>
        <w:rPr>
          <w:sz w:val="24"/>
        </w:rPr>
        <w:t>public subscription tranche; or (b) 30% of the total offering</w:t>
      </w:r>
      <w:r w:rsidR="00861225">
        <w:rPr>
          <w:sz w:val="24"/>
        </w:rPr>
        <w:t xml:space="preserve"> (before the over</w:t>
      </w:r>
      <w:r w:rsidR="0039556E">
        <w:rPr>
          <w:sz w:val="24"/>
        </w:rPr>
        <w:t>-allocation)</w:t>
      </w:r>
      <w:r w:rsidR="009516D7">
        <w:rPr>
          <w:sz w:val="24"/>
        </w:rPr>
        <w:t xml:space="preserve"> (the </w:t>
      </w:r>
      <w:r w:rsidR="009516D7">
        <w:rPr>
          <w:b/>
          <w:sz w:val="24"/>
        </w:rPr>
        <w:t>Maximum Allocation Cap Percentage Threshold</w:t>
      </w:r>
      <w:r w:rsidR="009516D7">
        <w:rPr>
          <w:sz w:val="24"/>
        </w:rPr>
        <w:t>)</w:t>
      </w:r>
      <w:r>
        <w:rPr>
          <w:sz w:val="24"/>
        </w:rPr>
        <w:t xml:space="preserve">; and </w:t>
      </w:r>
    </w:p>
    <w:p w:rsidR="002F3FD4" w:rsidRDefault="002F3FD4" w:rsidP="002F3FD4">
      <w:pPr>
        <w:pStyle w:val="a4"/>
        <w:ind w:left="1080"/>
        <w:jc w:val="both"/>
        <w:rPr>
          <w:sz w:val="24"/>
        </w:rPr>
      </w:pPr>
    </w:p>
    <w:p w:rsidR="002F3FD4" w:rsidRDefault="005F2132" w:rsidP="00142777">
      <w:pPr>
        <w:pStyle w:val="a4"/>
        <w:numPr>
          <w:ilvl w:val="0"/>
          <w:numId w:val="9"/>
        </w:numPr>
        <w:jc w:val="both"/>
        <w:rPr>
          <w:sz w:val="24"/>
        </w:rPr>
      </w:pPr>
      <w:r>
        <w:rPr>
          <w:sz w:val="24"/>
        </w:rPr>
        <w:t>the offer price must be the lower of: (a) the indicative offer price or bottom o</w:t>
      </w:r>
      <w:r w:rsidR="0039556E">
        <w:rPr>
          <w:sz w:val="24"/>
        </w:rPr>
        <w:t>f the offer price range; and (b</w:t>
      </w:r>
      <w:r>
        <w:rPr>
          <w:sz w:val="24"/>
        </w:rPr>
        <w:t xml:space="preserve">) </w:t>
      </w:r>
      <w:r w:rsidR="0039556E">
        <w:rPr>
          <w:sz w:val="24"/>
        </w:rPr>
        <w:t xml:space="preserve">(if adopted) the </w:t>
      </w:r>
      <w:r>
        <w:rPr>
          <w:sz w:val="24"/>
        </w:rPr>
        <w:t>downward adjusted final offer price under the existing pricing flexibility mechanism</w:t>
      </w:r>
      <w:r w:rsidR="0039556E">
        <w:rPr>
          <w:sz w:val="24"/>
        </w:rPr>
        <w:t>, which allows listing applicants to reduce the offer price</w:t>
      </w:r>
      <w:r w:rsidR="00142777">
        <w:rPr>
          <w:sz w:val="24"/>
        </w:rPr>
        <w:t xml:space="preserve"> by not more than 10% below the indicative offer price or offer price range stated in the prospectus</w:t>
      </w:r>
      <w:r w:rsidR="00605EF1">
        <w:rPr>
          <w:sz w:val="24"/>
        </w:rPr>
        <w:t>, if they meet certain conditions</w:t>
      </w:r>
      <w:r w:rsidR="004C746A">
        <w:rPr>
          <w:sz w:val="24"/>
        </w:rPr>
        <w:t>.</w:t>
      </w:r>
    </w:p>
    <w:p w:rsidR="00FA67C5" w:rsidRPr="00560BB1" w:rsidRDefault="004C746A" w:rsidP="00560BB1">
      <w:pPr>
        <w:jc w:val="both"/>
        <w:rPr>
          <w:sz w:val="24"/>
        </w:rPr>
      </w:pPr>
      <w:r>
        <w:rPr>
          <w:sz w:val="24"/>
        </w:rPr>
        <w:t>The HKEX</w:t>
      </w:r>
      <w:r w:rsidR="00605EF1">
        <w:rPr>
          <w:sz w:val="24"/>
        </w:rPr>
        <w:t xml:space="preserve"> propos</w:t>
      </w:r>
      <w:r w:rsidR="007D3FB5">
        <w:rPr>
          <w:sz w:val="24"/>
        </w:rPr>
        <w:t>es</w:t>
      </w:r>
      <w:r w:rsidR="00605EF1">
        <w:rPr>
          <w:sz w:val="24"/>
        </w:rPr>
        <w:t xml:space="preserve"> </w:t>
      </w:r>
      <w:r w:rsidR="007D3FB5">
        <w:rPr>
          <w:sz w:val="24"/>
        </w:rPr>
        <w:t>to retain the Allocation Cap</w:t>
      </w:r>
      <w:r w:rsidR="004F2234">
        <w:rPr>
          <w:sz w:val="24"/>
        </w:rPr>
        <w:t>,</w:t>
      </w:r>
      <w:r w:rsidR="007D3FB5">
        <w:rPr>
          <w:sz w:val="24"/>
        </w:rPr>
        <w:t xml:space="preserve"> but proposes to make changes to</w:t>
      </w:r>
      <w:r w:rsidR="00605EF1">
        <w:rPr>
          <w:sz w:val="24"/>
        </w:rPr>
        <w:t xml:space="preserve"> </w:t>
      </w:r>
      <w:r>
        <w:rPr>
          <w:sz w:val="24"/>
        </w:rPr>
        <w:t xml:space="preserve">the </w:t>
      </w:r>
      <w:r w:rsidR="00874125">
        <w:rPr>
          <w:sz w:val="24"/>
        </w:rPr>
        <w:t>restrictions on R</w:t>
      </w:r>
      <w:r>
        <w:rPr>
          <w:sz w:val="24"/>
        </w:rPr>
        <w:t xml:space="preserve">eallocation and </w:t>
      </w:r>
      <w:r w:rsidR="00874125">
        <w:rPr>
          <w:sz w:val="24"/>
        </w:rPr>
        <w:t>PO O</w:t>
      </w:r>
      <w:r w:rsidR="0095111B">
        <w:rPr>
          <w:sz w:val="24"/>
        </w:rPr>
        <w:t>ver-allocation.</w:t>
      </w:r>
      <w:r w:rsidR="00C42F41">
        <w:rPr>
          <w:sz w:val="24"/>
        </w:rPr>
        <w:t xml:space="preserve"> </w:t>
      </w:r>
      <w:r w:rsidR="002D5A6E">
        <w:rPr>
          <w:sz w:val="24"/>
        </w:rPr>
        <w:t>If the proposals relating to the initial allocation to the public subscription tranche are adopted, the HKEX proposes consequential amendments to the triggering conditions for the application of the restrictions on Reallocation and/or PO Over-allocation. It also proposes t</w:t>
      </w:r>
      <w:r w:rsidR="00F26852">
        <w:rPr>
          <w:sz w:val="24"/>
        </w:rPr>
        <w:t xml:space="preserve">o lower the Maximum Allocation Cap threshold of the Allocation Cap from 30% to 15%. Consequently, </w:t>
      </w:r>
      <w:r w:rsidR="002D5A6E">
        <w:rPr>
          <w:sz w:val="24"/>
        </w:rPr>
        <w:t xml:space="preserve">under </w:t>
      </w:r>
      <w:r w:rsidR="00F26852">
        <w:rPr>
          <w:sz w:val="24"/>
        </w:rPr>
        <w:t>the proposed revised Allocation Cap</w:t>
      </w:r>
      <w:r w:rsidR="002D5A6E">
        <w:rPr>
          <w:sz w:val="24"/>
        </w:rPr>
        <w:t xml:space="preserve">, the maximum number of shares allowed under the public subscription tranche will be </w:t>
      </w:r>
      <w:r w:rsidR="00F26852">
        <w:rPr>
          <w:sz w:val="24"/>
        </w:rPr>
        <w:t>the lesser of</w:t>
      </w:r>
      <w:r w:rsidR="002D5A6E">
        <w:rPr>
          <w:sz w:val="24"/>
        </w:rPr>
        <w:t>:</w:t>
      </w:r>
      <w:r w:rsidR="00F26852">
        <w:rPr>
          <w:sz w:val="24"/>
        </w:rPr>
        <w:t xml:space="preserve"> (a) double the initial allocation to the public subscription tranche; and (b) 15</w:t>
      </w:r>
      <w:r w:rsidR="00560BB1">
        <w:rPr>
          <w:sz w:val="24"/>
        </w:rPr>
        <w:t>%</w:t>
      </w:r>
      <w:r w:rsidR="00F26852">
        <w:rPr>
          <w:sz w:val="24"/>
        </w:rPr>
        <w:t xml:space="preserve"> of the tota</w:t>
      </w:r>
      <w:r w:rsidR="00560BB1">
        <w:rPr>
          <w:sz w:val="24"/>
        </w:rPr>
        <w:t>l offering before over-allocation</w:t>
      </w:r>
      <w:r w:rsidR="00F26852">
        <w:rPr>
          <w:sz w:val="24"/>
        </w:rPr>
        <w:t>.</w:t>
      </w:r>
    </w:p>
    <w:p w:rsidR="00FA67C5" w:rsidRDefault="00FA67C5" w:rsidP="00FA67C5">
      <w:pPr>
        <w:jc w:val="both"/>
        <w:rPr>
          <w:b/>
          <w:color w:val="FF0000"/>
          <w:sz w:val="24"/>
        </w:rPr>
      </w:pPr>
      <w:r w:rsidRPr="00CE0AC4">
        <w:rPr>
          <w:b/>
          <w:color w:val="FF0000"/>
          <w:sz w:val="24"/>
        </w:rPr>
        <w:t>Part I</w:t>
      </w:r>
      <w:r>
        <w:rPr>
          <w:b/>
          <w:color w:val="FF0000"/>
          <w:sz w:val="24"/>
        </w:rPr>
        <w:t>I</w:t>
      </w:r>
      <w:r w:rsidR="004F2234">
        <w:rPr>
          <w:b/>
          <w:color w:val="FF0000"/>
          <w:sz w:val="24"/>
        </w:rPr>
        <w:t>I: HKEX’s proposed</w:t>
      </w:r>
      <w:r w:rsidRPr="00CE0AC4">
        <w:rPr>
          <w:b/>
          <w:color w:val="FF0000"/>
          <w:sz w:val="24"/>
        </w:rPr>
        <w:t xml:space="preserve"> changes to the </w:t>
      </w:r>
      <w:r>
        <w:rPr>
          <w:b/>
          <w:color w:val="FF0000"/>
          <w:sz w:val="24"/>
        </w:rPr>
        <w:t>Pricing Flexibility Mechanism</w:t>
      </w:r>
    </w:p>
    <w:p w:rsidR="00FA67C5" w:rsidRDefault="00560BB1" w:rsidP="00FA67C5">
      <w:pPr>
        <w:jc w:val="both"/>
        <w:rPr>
          <w:sz w:val="24"/>
        </w:rPr>
      </w:pPr>
      <w:r>
        <w:rPr>
          <w:sz w:val="24"/>
        </w:rPr>
        <w:t xml:space="preserve">Listing applicants </w:t>
      </w:r>
      <w:r w:rsidR="00FA67C5">
        <w:rPr>
          <w:sz w:val="24"/>
        </w:rPr>
        <w:t>are allow</w:t>
      </w:r>
      <w:r>
        <w:rPr>
          <w:sz w:val="24"/>
        </w:rPr>
        <w:t>ed</w:t>
      </w:r>
      <w:r w:rsidR="00FA67C5">
        <w:rPr>
          <w:sz w:val="24"/>
        </w:rPr>
        <w:t xml:space="preserve"> to set an offer price </w:t>
      </w:r>
      <w:r w:rsidR="00FA67C5" w:rsidRPr="00632A2E">
        <w:rPr>
          <w:sz w:val="24"/>
          <w:u w:val="single"/>
        </w:rPr>
        <w:t>below</w:t>
      </w:r>
      <w:r w:rsidR="00FA67C5">
        <w:rPr>
          <w:sz w:val="24"/>
        </w:rPr>
        <w:t xml:space="preserve"> the </w:t>
      </w:r>
      <w:r>
        <w:rPr>
          <w:sz w:val="24"/>
        </w:rPr>
        <w:t xml:space="preserve">indicative offer price or offer price </w:t>
      </w:r>
      <w:r w:rsidR="00FA67C5">
        <w:rPr>
          <w:sz w:val="24"/>
        </w:rPr>
        <w:t xml:space="preserve">range </w:t>
      </w:r>
      <w:r>
        <w:rPr>
          <w:sz w:val="24"/>
        </w:rPr>
        <w:t>stated in the prospectus if they meet the following conditions</w:t>
      </w:r>
      <w:r w:rsidR="00FA67C5">
        <w:rPr>
          <w:sz w:val="24"/>
        </w:rPr>
        <w:t>:</w:t>
      </w:r>
    </w:p>
    <w:p w:rsidR="00FA67C5" w:rsidRDefault="00FA67C5" w:rsidP="00FA67C5">
      <w:pPr>
        <w:pStyle w:val="a4"/>
        <w:numPr>
          <w:ilvl w:val="0"/>
          <w:numId w:val="12"/>
        </w:numPr>
        <w:jc w:val="both"/>
        <w:rPr>
          <w:sz w:val="24"/>
        </w:rPr>
      </w:pPr>
      <w:r>
        <w:rPr>
          <w:sz w:val="24"/>
        </w:rPr>
        <w:t>Price reduction limits:</w:t>
      </w:r>
    </w:p>
    <w:p w:rsidR="00FA67C5" w:rsidRDefault="00FA67C5" w:rsidP="00FA67C5">
      <w:pPr>
        <w:pStyle w:val="a4"/>
        <w:numPr>
          <w:ilvl w:val="1"/>
          <w:numId w:val="12"/>
        </w:numPr>
        <w:jc w:val="both"/>
        <w:rPr>
          <w:sz w:val="24"/>
        </w:rPr>
      </w:pPr>
      <w:r>
        <w:rPr>
          <w:sz w:val="24"/>
        </w:rPr>
        <w:t xml:space="preserve">If an indicative offer price is adopted, the final offer price must not be lower than 10% below the indicative offer price; and </w:t>
      </w:r>
    </w:p>
    <w:p w:rsidR="0089742F" w:rsidRDefault="0089742F" w:rsidP="0089742F">
      <w:pPr>
        <w:pStyle w:val="a4"/>
        <w:ind w:left="1440"/>
        <w:jc w:val="both"/>
        <w:rPr>
          <w:sz w:val="24"/>
        </w:rPr>
      </w:pPr>
    </w:p>
    <w:p w:rsidR="0089742F" w:rsidRDefault="00560BB1" w:rsidP="0089742F">
      <w:pPr>
        <w:pStyle w:val="a4"/>
        <w:numPr>
          <w:ilvl w:val="1"/>
          <w:numId w:val="12"/>
        </w:numPr>
        <w:jc w:val="both"/>
        <w:rPr>
          <w:sz w:val="24"/>
        </w:rPr>
      </w:pPr>
      <w:r>
        <w:rPr>
          <w:sz w:val="24"/>
        </w:rPr>
        <w:t>If an</w:t>
      </w:r>
      <w:r w:rsidR="00FA67C5">
        <w:rPr>
          <w:sz w:val="24"/>
        </w:rPr>
        <w:t xml:space="preserve"> offer price range is adopted, the </w:t>
      </w:r>
      <w:r>
        <w:rPr>
          <w:sz w:val="24"/>
        </w:rPr>
        <w:t xml:space="preserve">top of the </w:t>
      </w:r>
      <w:r w:rsidR="00FA67C5">
        <w:rPr>
          <w:sz w:val="24"/>
        </w:rPr>
        <w:t xml:space="preserve">offer price range must not be more than 30% above the bottom of </w:t>
      </w:r>
      <w:r>
        <w:rPr>
          <w:sz w:val="24"/>
        </w:rPr>
        <w:t xml:space="preserve">the </w:t>
      </w:r>
      <w:r w:rsidR="006D1A7A">
        <w:rPr>
          <w:sz w:val="24"/>
        </w:rPr>
        <w:t xml:space="preserve">price </w:t>
      </w:r>
      <w:r w:rsidR="00FA67C5">
        <w:rPr>
          <w:sz w:val="24"/>
        </w:rPr>
        <w:t>range</w:t>
      </w:r>
      <w:r w:rsidR="006D1A7A">
        <w:rPr>
          <w:sz w:val="24"/>
        </w:rPr>
        <w:t>,</w:t>
      </w:r>
      <w:r w:rsidR="00FA67C5">
        <w:rPr>
          <w:sz w:val="24"/>
        </w:rPr>
        <w:t xml:space="preserve"> and the final offer pri</w:t>
      </w:r>
      <w:r w:rsidR="006D1A7A">
        <w:rPr>
          <w:sz w:val="24"/>
        </w:rPr>
        <w:t>ce must not be lower than 10% below</w:t>
      </w:r>
      <w:r w:rsidR="00FA67C5">
        <w:rPr>
          <w:sz w:val="24"/>
        </w:rPr>
        <w:t xml:space="preserve"> the bottom of </w:t>
      </w:r>
      <w:r w:rsidR="006D1A7A">
        <w:rPr>
          <w:sz w:val="24"/>
        </w:rPr>
        <w:t xml:space="preserve">that </w:t>
      </w:r>
      <w:r w:rsidR="00FA67C5">
        <w:rPr>
          <w:sz w:val="24"/>
        </w:rPr>
        <w:t>range.</w:t>
      </w:r>
    </w:p>
    <w:p w:rsidR="0089742F" w:rsidRPr="0089742F" w:rsidRDefault="0089742F" w:rsidP="0089742F">
      <w:pPr>
        <w:pStyle w:val="a4"/>
        <w:rPr>
          <w:sz w:val="24"/>
        </w:rPr>
      </w:pPr>
    </w:p>
    <w:p w:rsidR="003B4C3D" w:rsidRDefault="006D1A7A" w:rsidP="003B4C3D">
      <w:pPr>
        <w:pStyle w:val="a4"/>
        <w:numPr>
          <w:ilvl w:val="0"/>
          <w:numId w:val="12"/>
        </w:numPr>
        <w:jc w:val="both"/>
        <w:rPr>
          <w:sz w:val="24"/>
        </w:rPr>
      </w:pPr>
      <w:r>
        <w:rPr>
          <w:sz w:val="24"/>
        </w:rPr>
        <w:t xml:space="preserve">Prospectus </w:t>
      </w:r>
      <w:r w:rsidR="003B4C3D">
        <w:rPr>
          <w:sz w:val="24"/>
        </w:rPr>
        <w:t>disclosure</w:t>
      </w:r>
      <w:r>
        <w:rPr>
          <w:sz w:val="24"/>
        </w:rPr>
        <w:t xml:space="preserve"> requirements:</w:t>
      </w:r>
    </w:p>
    <w:p w:rsidR="006D1A7A" w:rsidRDefault="006D1A7A" w:rsidP="006D1A7A">
      <w:pPr>
        <w:pStyle w:val="a4"/>
        <w:numPr>
          <w:ilvl w:val="1"/>
          <w:numId w:val="12"/>
        </w:numPr>
        <w:jc w:val="both"/>
        <w:rPr>
          <w:sz w:val="24"/>
        </w:rPr>
      </w:pPr>
      <w:r w:rsidRPr="006D1A7A">
        <w:rPr>
          <w:sz w:val="24"/>
        </w:rPr>
        <w:t>A prominent statement of the possibility</w:t>
      </w:r>
      <w:r>
        <w:rPr>
          <w:sz w:val="24"/>
        </w:rPr>
        <w:t xml:space="preserve"> of downward adjustment must be included in the prospectus; and</w:t>
      </w:r>
    </w:p>
    <w:p w:rsidR="006D1A7A" w:rsidRDefault="006D1A7A" w:rsidP="006D1A7A">
      <w:pPr>
        <w:pStyle w:val="a4"/>
        <w:ind w:left="1440"/>
        <w:jc w:val="both"/>
        <w:rPr>
          <w:sz w:val="24"/>
        </w:rPr>
      </w:pPr>
    </w:p>
    <w:p w:rsidR="006D1A7A" w:rsidRPr="006D1A7A" w:rsidRDefault="006D1A7A" w:rsidP="006D1A7A">
      <w:pPr>
        <w:pStyle w:val="a4"/>
        <w:numPr>
          <w:ilvl w:val="1"/>
          <w:numId w:val="12"/>
        </w:numPr>
        <w:jc w:val="both"/>
        <w:rPr>
          <w:sz w:val="24"/>
        </w:rPr>
      </w:pPr>
      <w:r>
        <w:rPr>
          <w:sz w:val="24"/>
        </w:rPr>
        <w:t>The potential impact of a downward adjustment must be disclosed.</w:t>
      </w:r>
    </w:p>
    <w:p w:rsidR="003B4C3D" w:rsidRPr="003B4C3D" w:rsidRDefault="006D1A7A" w:rsidP="003B4C3D">
      <w:pPr>
        <w:jc w:val="both"/>
        <w:rPr>
          <w:sz w:val="24"/>
        </w:rPr>
      </w:pPr>
      <w:r>
        <w:rPr>
          <w:sz w:val="24"/>
        </w:rPr>
        <w:t>An</w:t>
      </w:r>
      <w:r w:rsidR="003B4C3D">
        <w:rPr>
          <w:sz w:val="24"/>
        </w:rPr>
        <w:t xml:space="preserve"> upward adjustment of the indicative offer price </w:t>
      </w:r>
      <w:r>
        <w:rPr>
          <w:sz w:val="24"/>
        </w:rPr>
        <w:t xml:space="preserve">or </w:t>
      </w:r>
      <w:r w:rsidR="00632A2E">
        <w:rPr>
          <w:sz w:val="24"/>
        </w:rPr>
        <w:t>the top of the offer price range currently</w:t>
      </w:r>
      <w:r w:rsidR="003B4C3D">
        <w:rPr>
          <w:sz w:val="24"/>
        </w:rPr>
        <w:t xml:space="preserve"> require</w:t>
      </w:r>
      <w:r w:rsidR="00632A2E">
        <w:rPr>
          <w:sz w:val="24"/>
        </w:rPr>
        <w:t>s listing applicants to cancel their</w:t>
      </w:r>
      <w:r w:rsidR="003B4C3D">
        <w:rPr>
          <w:sz w:val="24"/>
        </w:rPr>
        <w:t xml:space="preserve"> IPO and relaunch </w:t>
      </w:r>
      <w:r w:rsidR="00632A2E">
        <w:rPr>
          <w:sz w:val="24"/>
        </w:rPr>
        <w:t xml:space="preserve">it </w:t>
      </w:r>
      <w:r w:rsidR="003B4C3D">
        <w:rPr>
          <w:sz w:val="24"/>
        </w:rPr>
        <w:t xml:space="preserve">with revised pricing in a new </w:t>
      </w:r>
      <w:r w:rsidR="00632A2E">
        <w:rPr>
          <w:sz w:val="24"/>
        </w:rPr>
        <w:t xml:space="preserve">or supplemental </w:t>
      </w:r>
      <w:r w:rsidR="003B4C3D">
        <w:rPr>
          <w:sz w:val="24"/>
        </w:rPr>
        <w:t xml:space="preserve">prospectus, </w:t>
      </w:r>
      <w:r w:rsidR="004F2234">
        <w:rPr>
          <w:sz w:val="24"/>
        </w:rPr>
        <w:t>which incurs</w:t>
      </w:r>
      <w:r w:rsidR="00632A2E">
        <w:rPr>
          <w:sz w:val="24"/>
        </w:rPr>
        <w:t xml:space="preserve"> </w:t>
      </w:r>
      <w:r w:rsidR="00A81367">
        <w:rPr>
          <w:sz w:val="24"/>
        </w:rPr>
        <w:t>additional time and cost</w:t>
      </w:r>
      <w:r w:rsidR="004F2234">
        <w:rPr>
          <w:sz w:val="24"/>
        </w:rPr>
        <w:t>s</w:t>
      </w:r>
      <w:r w:rsidR="00A81367">
        <w:rPr>
          <w:sz w:val="24"/>
        </w:rPr>
        <w:t>.</w:t>
      </w:r>
    </w:p>
    <w:p w:rsidR="003B4C3D" w:rsidRDefault="00A81367" w:rsidP="003B4C3D">
      <w:pPr>
        <w:jc w:val="both"/>
        <w:rPr>
          <w:sz w:val="24"/>
        </w:rPr>
      </w:pPr>
      <w:r>
        <w:rPr>
          <w:sz w:val="24"/>
        </w:rPr>
        <w:t xml:space="preserve">The HKEX proposes to expand the above mechanism </w:t>
      </w:r>
      <w:r w:rsidR="00632A2E">
        <w:rPr>
          <w:sz w:val="24"/>
        </w:rPr>
        <w:t xml:space="preserve">to allow listing </w:t>
      </w:r>
      <w:r>
        <w:rPr>
          <w:sz w:val="24"/>
        </w:rPr>
        <w:t>applicant</w:t>
      </w:r>
      <w:r w:rsidR="00632A2E">
        <w:rPr>
          <w:sz w:val="24"/>
        </w:rPr>
        <w:t>s</w:t>
      </w:r>
      <w:r>
        <w:rPr>
          <w:sz w:val="24"/>
        </w:rPr>
        <w:t xml:space="preserve"> to adjust the final offer</w:t>
      </w:r>
      <w:r w:rsidR="00D41486">
        <w:rPr>
          <w:sz w:val="24"/>
        </w:rPr>
        <w:t xml:space="preserve"> price both upward and downward</w:t>
      </w:r>
      <w:r>
        <w:rPr>
          <w:sz w:val="24"/>
        </w:rPr>
        <w:t xml:space="preserve"> </w:t>
      </w:r>
      <w:r w:rsidR="00632A2E">
        <w:rPr>
          <w:sz w:val="24"/>
        </w:rPr>
        <w:t>after</w:t>
      </w:r>
      <w:r>
        <w:rPr>
          <w:sz w:val="24"/>
        </w:rPr>
        <w:t xml:space="preserve"> the prospectus</w:t>
      </w:r>
      <w:r w:rsidR="00632A2E">
        <w:rPr>
          <w:sz w:val="24"/>
        </w:rPr>
        <w:t xml:space="preserve"> has been issued</w:t>
      </w:r>
      <w:r>
        <w:rPr>
          <w:sz w:val="24"/>
        </w:rPr>
        <w:t>. Issuers will be allow</w:t>
      </w:r>
      <w:r w:rsidR="00747374">
        <w:rPr>
          <w:sz w:val="24"/>
        </w:rPr>
        <w:t>ed</w:t>
      </w:r>
      <w:r>
        <w:rPr>
          <w:sz w:val="24"/>
        </w:rPr>
        <w:t xml:space="preserve"> to adjust </w:t>
      </w:r>
      <w:r w:rsidR="00747374">
        <w:rPr>
          <w:sz w:val="24"/>
        </w:rPr>
        <w:t xml:space="preserve">the final offer price by a maximum of </w:t>
      </w:r>
      <w:r>
        <w:rPr>
          <w:sz w:val="24"/>
        </w:rPr>
        <w:t xml:space="preserve">10% </w:t>
      </w:r>
      <w:r w:rsidR="0043217A">
        <w:rPr>
          <w:sz w:val="24"/>
        </w:rPr>
        <w:t>above and below the indicative offer price or the top or bottom of the offer price range, respectively.</w:t>
      </w:r>
      <w:r w:rsidR="005B025C">
        <w:rPr>
          <w:sz w:val="24"/>
        </w:rPr>
        <w:t xml:space="preserve"> </w:t>
      </w:r>
      <w:r w:rsidR="0043217A">
        <w:rPr>
          <w:sz w:val="24"/>
        </w:rPr>
        <w:t xml:space="preserve"> </w:t>
      </w:r>
    </w:p>
    <w:p w:rsidR="00ED3E4B" w:rsidRDefault="00054F52" w:rsidP="00ED3E4B">
      <w:pPr>
        <w:jc w:val="both"/>
        <w:rPr>
          <w:sz w:val="24"/>
        </w:rPr>
      </w:pPr>
      <w:r>
        <w:rPr>
          <w:sz w:val="24"/>
        </w:rPr>
        <w:t xml:space="preserve">The HKEX is also seeking views </w:t>
      </w:r>
      <w:r w:rsidR="00747374">
        <w:rPr>
          <w:sz w:val="24"/>
        </w:rPr>
        <w:t xml:space="preserve">on whether </w:t>
      </w:r>
      <w:r w:rsidR="00CF4575">
        <w:rPr>
          <w:sz w:val="24"/>
        </w:rPr>
        <w:t>to retain the current upper limit on the top of the initial initial offer price range at 30% above the bottom of the range or reduce it to 20% above the bottom of the range</w:t>
      </w:r>
      <w:r w:rsidR="00ED3E4B">
        <w:rPr>
          <w:sz w:val="24"/>
        </w:rPr>
        <w:t>.</w:t>
      </w:r>
    </w:p>
    <w:p w:rsidR="00ED3E4B" w:rsidRDefault="00ED3E4B" w:rsidP="0045598B">
      <w:pPr>
        <w:tabs>
          <w:tab w:val="left" w:pos="2250"/>
          <w:tab w:val="left" w:pos="2340"/>
        </w:tabs>
        <w:jc w:val="both"/>
        <w:rPr>
          <w:sz w:val="24"/>
        </w:rPr>
      </w:pPr>
      <w:r>
        <w:rPr>
          <w:sz w:val="24"/>
        </w:rPr>
        <w:t>Listing applicants that choose to allow the indicative offer price or price range to be adjusted upwards would be subject to similar prospectus disclosure requirements as currently apply to downward adjustment.</w:t>
      </w:r>
    </w:p>
    <w:p w:rsidR="0045598B" w:rsidRPr="0045598B" w:rsidRDefault="0045598B" w:rsidP="0045598B">
      <w:pPr>
        <w:tabs>
          <w:tab w:val="left" w:pos="2250"/>
          <w:tab w:val="left" w:pos="2340"/>
        </w:tabs>
        <w:jc w:val="both"/>
        <w:rPr>
          <w:sz w:val="24"/>
        </w:rPr>
      </w:pPr>
      <w:r>
        <w:rPr>
          <w:sz w:val="24"/>
        </w:rPr>
        <w:t>The proposal</w:t>
      </w:r>
      <w:r w:rsidR="00ED3E4B">
        <w:rPr>
          <w:sz w:val="24"/>
        </w:rPr>
        <w:t>s</w:t>
      </w:r>
      <w:r>
        <w:rPr>
          <w:sz w:val="24"/>
        </w:rPr>
        <w:t xml:space="preserve"> also include an “</w:t>
      </w:r>
      <w:r w:rsidR="00BD7DED">
        <w:rPr>
          <w:sz w:val="24"/>
        </w:rPr>
        <w:t>opt-</w:t>
      </w:r>
      <w:r>
        <w:rPr>
          <w:sz w:val="24"/>
        </w:rPr>
        <w:t xml:space="preserve">in” option for </w:t>
      </w:r>
      <w:r w:rsidR="00ED3E4B">
        <w:rPr>
          <w:sz w:val="24"/>
        </w:rPr>
        <w:t xml:space="preserve">public offer </w:t>
      </w:r>
      <w:r>
        <w:rPr>
          <w:sz w:val="24"/>
        </w:rPr>
        <w:t xml:space="preserve">subscribers </w:t>
      </w:r>
      <w:r w:rsidR="00BD7DED">
        <w:rPr>
          <w:sz w:val="24"/>
        </w:rPr>
        <w:t>in the event that</w:t>
      </w:r>
      <w:r>
        <w:rPr>
          <w:sz w:val="24"/>
        </w:rPr>
        <w:t xml:space="preserve"> the listing applicant </w:t>
      </w:r>
      <w:r w:rsidR="00BD7DED">
        <w:rPr>
          <w:sz w:val="24"/>
        </w:rPr>
        <w:t>implements</w:t>
      </w:r>
      <w:r>
        <w:rPr>
          <w:sz w:val="24"/>
        </w:rPr>
        <w:t xml:space="preserve"> any pricing adjustment. </w:t>
      </w:r>
      <w:r w:rsidR="00ED3E4B">
        <w:rPr>
          <w:sz w:val="24"/>
        </w:rPr>
        <w:t xml:space="preserve">They would be required to indicate in their application forms whether </w:t>
      </w:r>
      <w:r w:rsidR="00FB1492">
        <w:rPr>
          <w:sz w:val="24"/>
        </w:rPr>
        <w:t>they want to subscribe for shares if the final offer price is adjusted upward or downward.</w:t>
      </w:r>
    </w:p>
    <w:p w:rsidR="006657AB" w:rsidRDefault="00BD7DED" w:rsidP="009420EB">
      <w:pPr>
        <w:rPr>
          <w:sz w:val="24"/>
        </w:rPr>
      </w:pPr>
      <w:r w:rsidRPr="00CE0AC4">
        <w:rPr>
          <w:b/>
          <w:color w:val="FF0000"/>
          <w:sz w:val="24"/>
        </w:rPr>
        <w:t>Part I</w:t>
      </w:r>
      <w:r>
        <w:rPr>
          <w:b/>
          <w:color w:val="FF0000"/>
          <w:sz w:val="24"/>
        </w:rPr>
        <w:t>V</w:t>
      </w:r>
      <w:r w:rsidRPr="00CE0AC4">
        <w:rPr>
          <w:b/>
          <w:color w:val="FF0000"/>
          <w:sz w:val="24"/>
        </w:rPr>
        <w:t xml:space="preserve">: </w:t>
      </w:r>
      <w:r w:rsidR="00EC412E">
        <w:rPr>
          <w:b/>
          <w:color w:val="FF0000"/>
          <w:sz w:val="24"/>
        </w:rPr>
        <w:t xml:space="preserve">Other </w:t>
      </w:r>
      <w:r w:rsidR="00FB1492">
        <w:rPr>
          <w:b/>
          <w:color w:val="FF0000"/>
          <w:sz w:val="24"/>
        </w:rPr>
        <w:t xml:space="preserve">HKEX </w:t>
      </w:r>
      <w:r w:rsidR="00EC412E">
        <w:rPr>
          <w:b/>
          <w:color w:val="FF0000"/>
          <w:sz w:val="24"/>
        </w:rPr>
        <w:t xml:space="preserve">Listing Rules Amendments </w:t>
      </w:r>
    </w:p>
    <w:p w:rsidR="009420EB" w:rsidRDefault="009420EB" w:rsidP="00A262C5">
      <w:pPr>
        <w:jc w:val="both"/>
        <w:rPr>
          <w:sz w:val="24"/>
        </w:rPr>
      </w:pPr>
      <w:r>
        <w:rPr>
          <w:sz w:val="24"/>
        </w:rPr>
        <w:t xml:space="preserve">The </w:t>
      </w:r>
      <w:r w:rsidR="00C814B3">
        <w:rPr>
          <w:sz w:val="24"/>
        </w:rPr>
        <w:t xml:space="preserve">HKEX </w:t>
      </w:r>
      <w:r>
        <w:rPr>
          <w:sz w:val="24"/>
        </w:rPr>
        <w:t xml:space="preserve">Consultation Paper also </w:t>
      </w:r>
      <w:r w:rsidR="00950A2D">
        <w:rPr>
          <w:sz w:val="24"/>
        </w:rPr>
        <w:t xml:space="preserve">sets out </w:t>
      </w:r>
      <w:r>
        <w:rPr>
          <w:sz w:val="24"/>
        </w:rPr>
        <w:t xml:space="preserve">various </w:t>
      </w:r>
      <w:r w:rsidR="00950A2D">
        <w:rPr>
          <w:sz w:val="24"/>
        </w:rPr>
        <w:t xml:space="preserve">proposals to make minor HKEX Listing Rule </w:t>
      </w:r>
      <w:r>
        <w:rPr>
          <w:sz w:val="24"/>
        </w:rPr>
        <w:t xml:space="preserve">amendments </w:t>
      </w:r>
      <w:r w:rsidR="00950A2D">
        <w:rPr>
          <w:sz w:val="24"/>
        </w:rPr>
        <w:t>which improve clarity, codify existing practices, represent consequent</w:t>
      </w:r>
      <w:r w:rsidR="009011F0">
        <w:rPr>
          <w:sz w:val="24"/>
        </w:rPr>
        <w:t xml:space="preserve">ial changes required by the changes proposed in the Consultation Paper and update outdated provisions. </w:t>
      </w:r>
    </w:p>
    <w:p w:rsidR="007F54F7" w:rsidRDefault="007F54F7" w:rsidP="00A262C5">
      <w:pPr>
        <w:jc w:val="both"/>
        <w:rPr>
          <w:sz w:val="24"/>
        </w:rPr>
      </w:pPr>
    </w:p>
    <w:p w:rsidR="007F54F7" w:rsidRDefault="007F54F7" w:rsidP="007F54F7">
      <w:pPr>
        <w:pStyle w:val="DisclaimerBold"/>
      </w:pPr>
      <w:r>
        <w:t>This newsletter is for information purposes only.</w:t>
      </w:r>
    </w:p>
    <w:p w:rsidR="007F54F7" w:rsidRDefault="007F54F7" w:rsidP="007F54F7">
      <w:pPr>
        <w:pStyle w:val="Disclaimer"/>
      </w:pPr>
      <w:r>
        <w:t xml:space="preserve">Its contents do not constitute legal advice and it </w:t>
      </w:r>
      <w:proofErr w:type="gramStart"/>
      <w:r>
        <w:t>should  not</w:t>
      </w:r>
      <w:proofErr w:type="gramEnd"/>
      <w:r>
        <w:t xml:space="preserve"> be regarded as a substitute for detailed advice  in individual cases.</w:t>
      </w:r>
    </w:p>
    <w:p w:rsidR="007F54F7" w:rsidRDefault="007F54F7" w:rsidP="007F54F7">
      <w:pPr>
        <w:pStyle w:val="Disclaimer"/>
      </w:pPr>
      <w:r>
        <w:t xml:space="preserve">Transmission of this information is not intended to create and receipt does not constitute a lawyer-client relationship between </w:t>
      </w:r>
      <w:proofErr w:type="spellStart"/>
      <w:r>
        <w:t>Charltons</w:t>
      </w:r>
      <w:proofErr w:type="spellEnd"/>
      <w:r>
        <w:t xml:space="preserve"> and the user or browser.</w:t>
      </w:r>
    </w:p>
    <w:p w:rsidR="007F54F7" w:rsidRDefault="007F54F7" w:rsidP="007F54F7">
      <w:pPr>
        <w:pStyle w:val="Disclaimer"/>
      </w:pPr>
      <w:proofErr w:type="spellStart"/>
      <w:r>
        <w:t>Charltons</w:t>
      </w:r>
      <w:proofErr w:type="spellEnd"/>
      <w:r>
        <w:t xml:space="preserve"> is not responsible for any third party content which can be accessed through the website.</w:t>
      </w:r>
    </w:p>
    <w:p w:rsidR="007F54F7" w:rsidRDefault="007F54F7" w:rsidP="007F54F7">
      <w:pPr>
        <w:pStyle w:val="Disclaimer"/>
      </w:pPr>
      <w:r>
        <w:t xml:space="preserve">If you do not wish to receive this newsletter please let us know by emailing us at  </w:t>
      </w:r>
      <w:hyperlink r:id="rId10">
        <w:r>
          <w:t>unsubscribe@charltonslaw.com</w:t>
        </w:r>
      </w:hyperlink>
    </w:p>
    <w:p w:rsidR="007F54F7" w:rsidRDefault="007F54F7" w:rsidP="007F54F7">
      <w:pPr>
        <w:pStyle w:val="BlackStrips"/>
      </w:pPr>
      <w:proofErr w:type="spellStart"/>
      <w:r>
        <w:t>Charltons</w:t>
      </w:r>
      <w:proofErr w:type="spellEnd"/>
      <w:r>
        <w:t xml:space="preserve"> - Hong Kong Law - </w:t>
      </w:r>
      <w:r w:rsidR="00237F0D">
        <w:t xml:space="preserve">5 February </w:t>
      </w:r>
      <w:r>
        <w:t>2025</w:t>
      </w:r>
    </w:p>
    <w:p w:rsidR="007F54F7" w:rsidRPr="009420EB" w:rsidRDefault="007F54F7" w:rsidP="00A262C5">
      <w:pPr>
        <w:jc w:val="both"/>
        <w:rPr>
          <w:sz w:val="24"/>
        </w:rPr>
      </w:pPr>
    </w:p>
    <w:sectPr w:rsidR="007F54F7" w:rsidRPr="009420EB" w:rsidSect="00063373">
      <w:pgSz w:w="12240" w:h="15840"/>
      <w:pgMar w:top="1440" w:right="1440"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0B1B" w:rsidRDefault="00720B1B" w:rsidP="004D7396">
      <w:pPr>
        <w:spacing w:after="0" w:line="240" w:lineRule="auto"/>
      </w:pPr>
      <w:r>
        <w:separator/>
      </w:r>
    </w:p>
  </w:endnote>
  <w:endnote w:type="continuationSeparator" w:id="0">
    <w:p w:rsidR="00720B1B" w:rsidRDefault="00720B1B" w:rsidP="004D7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0B1B" w:rsidRDefault="00720B1B" w:rsidP="004D7396">
      <w:pPr>
        <w:spacing w:after="0" w:line="240" w:lineRule="auto"/>
      </w:pPr>
      <w:r>
        <w:separator/>
      </w:r>
    </w:p>
  </w:footnote>
  <w:footnote w:type="continuationSeparator" w:id="0">
    <w:p w:rsidR="00720B1B" w:rsidRDefault="00720B1B" w:rsidP="004D7396">
      <w:pPr>
        <w:spacing w:after="0" w:line="240" w:lineRule="auto"/>
      </w:pPr>
      <w:r>
        <w:continuationSeparator/>
      </w:r>
    </w:p>
  </w:footnote>
  <w:footnote w:id="1">
    <w:p w:rsidR="004D7396" w:rsidRPr="004D7396" w:rsidRDefault="004D7396">
      <w:pPr>
        <w:pStyle w:val="a6"/>
        <w:rPr>
          <w:lang w:val="en-HK"/>
        </w:rPr>
      </w:pPr>
      <w:r>
        <w:rPr>
          <w:rStyle w:val="a8"/>
        </w:rPr>
        <w:footnoteRef/>
      </w:r>
      <w:r>
        <w:t xml:space="preserve"> </w:t>
      </w:r>
      <w:r>
        <w:rPr>
          <w:lang w:val="en-HK"/>
        </w:rPr>
        <w:t xml:space="preserve">The share capital of a PRC issuer listed on the HKEX normally comprises H shares and domestic shares (listed or unlisted), that are both ordinary shares and are considered as one class of shares under PRC laws and regulations </w:t>
      </w:r>
    </w:p>
  </w:footnote>
  <w:footnote w:id="2">
    <w:p w:rsidR="008D1900" w:rsidRPr="008D1900" w:rsidRDefault="008D1900">
      <w:pPr>
        <w:pStyle w:val="a6"/>
        <w:rPr>
          <w:lang w:val="en-HK"/>
        </w:rPr>
      </w:pPr>
      <w:r>
        <w:rPr>
          <w:rStyle w:val="a8"/>
        </w:rPr>
        <w:footnoteRef/>
      </w:r>
      <w:r>
        <w:t xml:space="preserve"> </w:t>
      </w:r>
      <w:r>
        <w:rPr>
          <w:lang w:val="en-HK"/>
        </w:rPr>
        <w:t xml:space="preserve">At Main Board Listing Rule 8.24 and </w:t>
      </w:r>
      <w:r w:rsidR="00774E19">
        <w:rPr>
          <w:lang w:val="en-HK"/>
        </w:rPr>
        <w:t xml:space="preserve">Notes 2 and 3 to </w:t>
      </w:r>
      <w:r>
        <w:rPr>
          <w:lang w:val="en-HK"/>
        </w:rPr>
        <w:t xml:space="preserve">GEM Listing Rule </w:t>
      </w:r>
      <w:r w:rsidR="00774E19">
        <w:rPr>
          <w:lang w:val="en-HK"/>
        </w:rPr>
        <w:t>11.23</w:t>
      </w:r>
    </w:p>
  </w:footnote>
  <w:footnote w:id="3">
    <w:p w:rsidR="00BE5466" w:rsidRDefault="00BE5466">
      <w:pPr>
        <w:pStyle w:val="a6"/>
      </w:pPr>
      <w:r>
        <w:rPr>
          <w:rStyle w:val="a8"/>
        </w:rPr>
        <w:footnoteRef/>
      </w:r>
      <w:r>
        <w:t xml:space="preserve"> In the case of PRC issuers, the reference to the class of shares listed on the Exchange will be modified to mean H shares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1282"/>
    <w:multiLevelType w:val="hybridMultilevel"/>
    <w:tmpl w:val="B464F6EC"/>
    <w:lvl w:ilvl="0" w:tplc="DA84A446">
      <w:numFmt w:val="bullet"/>
      <w:lvlText w:val="-"/>
      <w:lvlJc w:val="left"/>
      <w:pPr>
        <w:ind w:left="720" w:hanging="360"/>
      </w:pPr>
      <w:rPr>
        <w:rFonts w:ascii="Calibri" w:eastAsia="PMingLiU"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474E4"/>
    <w:multiLevelType w:val="hybridMultilevel"/>
    <w:tmpl w:val="E6061312"/>
    <w:lvl w:ilvl="0" w:tplc="F98E4A6E">
      <w:numFmt w:val="bullet"/>
      <w:lvlText w:val=""/>
      <w:lvlJc w:val="left"/>
      <w:pPr>
        <w:ind w:left="720" w:hanging="360"/>
      </w:pPr>
      <w:rPr>
        <w:rFonts w:ascii="Symbol" w:eastAsia="PMingLiU"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A1E2A"/>
    <w:multiLevelType w:val="hybridMultilevel"/>
    <w:tmpl w:val="DDEE7C80"/>
    <w:lvl w:ilvl="0" w:tplc="886AEE4A">
      <w:start w:val="1"/>
      <w:numFmt w:val="lowerRoman"/>
      <w:lvlText w:val="(%1)"/>
      <w:lvlJc w:val="left"/>
      <w:pPr>
        <w:ind w:left="1800" w:hanging="360"/>
      </w:pPr>
      <w:rPr>
        <w:rFonts w:ascii="Helvetica" w:hAnsi="Helvetica" w:cs="Helvetica"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B3F30B9"/>
    <w:multiLevelType w:val="hybridMultilevel"/>
    <w:tmpl w:val="D5DE1F44"/>
    <w:lvl w:ilvl="0" w:tplc="0756D140">
      <w:start w:val="1"/>
      <w:numFmt w:val="lowerLetter"/>
      <w:lvlText w:val="(%1)"/>
      <w:lvlJc w:val="left"/>
      <w:pPr>
        <w:ind w:left="1080" w:hanging="720"/>
      </w:pPr>
      <w:rPr>
        <w:rFonts w:hint="default"/>
      </w:rPr>
    </w:lvl>
    <w:lvl w:ilvl="1" w:tplc="886AEE4A">
      <w:start w:val="1"/>
      <w:numFmt w:val="lowerRoman"/>
      <w:lvlText w:val="(%2)"/>
      <w:lvlJc w:val="left"/>
      <w:pPr>
        <w:ind w:left="1440" w:hanging="360"/>
      </w:pPr>
      <w:rPr>
        <w:rFonts w:ascii="Helvetica" w:hAnsi="Helvetica" w:cs="Helvetica"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547FF"/>
    <w:multiLevelType w:val="hybridMultilevel"/>
    <w:tmpl w:val="3B18922C"/>
    <w:lvl w:ilvl="0" w:tplc="F96643B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9D5FC1"/>
    <w:multiLevelType w:val="hybridMultilevel"/>
    <w:tmpl w:val="9A729FDE"/>
    <w:lvl w:ilvl="0" w:tplc="4C9090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0F3AC5"/>
    <w:multiLevelType w:val="hybridMultilevel"/>
    <w:tmpl w:val="7F8ED652"/>
    <w:lvl w:ilvl="0" w:tplc="95BA7BB2">
      <w:start w:val="1"/>
      <w:numFmt w:val="bullet"/>
      <w:lvlText w:val="•"/>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9C70F34"/>
    <w:multiLevelType w:val="hybridMultilevel"/>
    <w:tmpl w:val="C8FC2740"/>
    <w:lvl w:ilvl="0" w:tplc="9194819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2620A2"/>
    <w:multiLevelType w:val="hybridMultilevel"/>
    <w:tmpl w:val="42566D60"/>
    <w:lvl w:ilvl="0" w:tplc="95BA7B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49434D"/>
    <w:multiLevelType w:val="hybridMultilevel"/>
    <w:tmpl w:val="46CEB5B8"/>
    <w:lvl w:ilvl="0" w:tplc="95BA7B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3D19BB"/>
    <w:multiLevelType w:val="hybridMultilevel"/>
    <w:tmpl w:val="05063A3A"/>
    <w:lvl w:ilvl="0" w:tplc="49FA61B0">
      <w:numFmt w:val="bullet"/>
      <w:lvlText w:val=""/>
      <w:lvlJc w:val="left"/>
      <w:pPr>
        <w:ind w:left="720" w:hanging="360"/>
      </w:pPr>
      <w:rPr>
        <w:rFonts w:ascii="Symbol" w:eastAsia="PMingLiU"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A82C5C"/>
    <w:multiLevelType w:val="hybridMultilevel"/>
    <w:tmpl w:val="86B08834"/>
    <w:lvl w:ilvl="0" w:tplc="7E748B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527A99"/>
    <w:multiLevelType w:val="hybridMultilevel"/>
    <w:tmpl w:val="367204A4"/>
    <w:lvl w:ilvl="0" w:tplc="95BA7BB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6F4744D"/>
    <w:multiLevelType w:val="hybridMultilevel"/>
    <w:tmpl w:val="E78437A6"/>
    <w:lvl w:ilvl="0" w:tplc="E22E9FBE">
      <w:start w:val="2"/>
      <w:numFmt w:val="bullet"/>
      <w:lvlText w:val="-"/>
      <w:lvlJc w:val="left"/>
      <w:pPr>
        <w:ind w:left="720" w:hanging="360"/>
      </w:pPr>
      <w:rPr>
        <w:rFonts w:ascii="Calibri" w:eastAsia="PMingLiU"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40114A"/>
    <w:multiLevelType w:val="hybridMultilevel"/>
    <w:tmpl w:val="CD84D936"/>
    <w:lvl w:ilvl="0" w:tplc="95BA7B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9D4EE1"/>
    <w:multiLevelType w:val="hybridMultilevel"/>
    <w:tmpl w:val="9DFC7008"/>
    <w:lvl w:ilvl="0" w:tplc="886AEE4A">
      <w:start w:val="1"/>
      <w:numFmt w:val="lowerRoman"/>
      <w:lvlText w:val="(%1)"/>
      <w:lvlJc w:val="left"/>
      <w:pPr>
        <w:ind w:left="720" w:hanging="360"/>
      </w:pPr>
      <w:rPr>
        <w:rFonts w:ascii="Helvetica" w:hAnsi="Helvetica" w:cs="Helvetica" w:hint="default"/>
        <w:b w:val="0"/>
      </w:rPr>
    </w:lvl>
    <w:lvl w:ilvl="1" w:tplc="8038546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2068F5"/>
    <w:multiLevelType w:val="hybridMultilevel"/>
    <w:tmpl w:val="85F6A8A2"/>
    <w:lvl w:ilvl="0" w:tplc="95BA7BB2">
      <w:start w:val="1"/>
      <w:numFmt w:val="bullet"/>
      <w:lvlText w:val="•"/>
      <w:lvlJc w:val="left"/>
      <w:pPr>
        <w:ind w:left="770" w:hanging="360"/>
      </w:pPr>
      <w:rPr>
        <w:rFonts w:ascii="Times New Roman" w:hAnsi="Times New Roman"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51A90B03"/>
    <w:multiLevelType w:val="hybridMultilevel"/>
    <w:tmpl w:val="3B18922C"/>
    <w:lvl w:ilvl="0" w:tplc="F96643B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4D3D6E"/>
    <w:multiLevelType w:val="hybridMultilevel"/>
    <w:tmpl w:val="3B18922C"/>
    <w:lvl w:ilvl="0" w:tplc="F96643B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A8B5EDD"/>
    <w:multiLevelType w:val="hybridMultilevel"/>
    <w:tmpl w:val="7E8A0D28"/>
    <w:lvl w:ilvl="0" w:tplc="95BA7BB2">
      <w:start w:val="1"/>
      <w:numFmt w:val="bullet"/>
      <w:lvlText w:val="•"/>
      <w:lvlJc w:val="left"/>
      <w:pPr>
        <w:ind w:left="1800" w:hanging="360"/>
      </w:pPr>
      <w:rPr>
        <w:rFonts w:ascii="Times New Roman" w:hAnsi="Times New Roman" w:cs="Times New Roman" w:hint="default"/>
      </w:rPr>
    </w:lvl>
    <w:lvl w:ilvl="1" w:tplc="886AEE4A">
      <w:start w:val="1"/>
      <w:numFmt w:val="lowerRoman"/>
      <w:lvlText w:val="(%2)"/>
      <w:lvlJc w:val="left"/>
      <w:pPr>
        <w:ind w:left="2520" w:hanging="360"/>
      </w:pPr>
      <w:rPr>
        <w:rFonts w:ascii="Helvetica" w:hAnsi="Helvetica" w:cs="Helvetica" w:hint="default"/>
        <w:b w:val="0"/>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1291B75"/>
    <w:multiLevelType w:val="hybridMultilevel"/>
    <w:tmpl w:val="F3AE1CEE"/>
    <w:lvl w:ilvl="0" w:tplc="817610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8127AC"/>
    <w:multiLevelType w:val="hybridMultilevel"/>
    <w:tmpl w:val="5E706B5E"/>
    <w:lvl w:ilvl="0" w:tplc="0756D1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3841D1B"/>
    <w:multiLevelType w:val="hybridMultilevel"/>
    <w:tmpl w:val="85D81430"/>
    <w:lvl w:ilvl="0" w:tplc="95BA7BB2">
      <w:start w:val="1"/>
      <w:numFmt w:val="bullet"/>
      <w:lvlText w:val="•"/>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5EE368F"/>
    <w:multiLevelType w:val="hybridMultilevel"/>
    <w:tmpl w:val="B96C0A5E"/>
    <w:lvl w:ilvl="0" w:tplc="63088C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EA248F"/>
    <w:multiLevelType w:val="hybridMultilevel"/>
    <w:tmpl w:val="97E018DC"/>
    <w:lvl w:ilvl="0" w:tplc="95BA7B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EC6957"/>
    <w:multiLevelType w:val="hybridMultilevel"/>
    <w:tmpl w:val="C90ECE5A"/>
    <w:lvl w:ilvl="0" w:tplc="ACC0D5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9A25C6"/>
    <w:multiLevelType w:val="hybridMultilevel"/>
    <w:tmpl w:val="8A0A25C0"/>
    <w:lvl w:ilvl="0" w:tplc="4E72F6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862C4A"/>
    <w:multiLevelType w:val="hybridMultilevel"/>
    <w:tmpl w:val="90940FFC"/>
    <w:lvl w:ilvl="0" w:tplc="95BA7B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AF3886"/>
    <w:multiLevelType w:val="hybridMultilevel"/>
    <w:tmpl w:val="4508D2D0"/>
    <w:lvl w:ilvl="0" w:tplc="6070FF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3076996">
    <w:abstractNumId w:val="11"/>
  </w:num>
  <w:num w:numId="2" w16cid:durableId="636497954">
    <w:abstractNumId w:val="28"/>
  </w:num>
  <w:num w:numId="3" w16cid:durableId="731513061">
    <w:abstractNumId w:val="18"/>
  </w:num>
  <w:num w:numId="4" w16cid:durableId="795683547">
    <w:abstractNumId w:val="4"/>
  </w:num>
  <w:num w:numId="5" w16cid:durableId="234971671">
    <w:abstractNumId w:val="17"/>
  </w:num>
  <w:num w:numId="6" w16cid:durableId="1852914022">
    <w:abstractNumId w:val="0"/>
  </w:num>
  <w:num w:numId="7" w16cid:durableId="1094202869">
    <w:abstractNumId w:val="23"/>
  </w:num>
  <w:num w:numId="8" w16cid:durableId="313878469">
    <w:abstractNumId w:val="25"/>
  </w:num>
  <w:num w:numId="9" w16cid:durableId="791094184">
    <w:abstractNumId w:val="20"/>
  </w:num>
  <w:num w:numId="10" w16cid:durableId="1106078058">
    <w:abstractNumId w:val="26"/>
  </w:num>
  <w:num w:numId="11" w16cid:durableId="116948705">
    <w:abstractNumId w:val="5"/>
  </w:num>
  <w:num w:numId="12" w16cid:durableId="1793747725">
    <w:abstractNumId w:val="3"/>
  </w:num>
  <w:num w:numId="13" w16cid:durableId="1764182031">
    <w:abstractNumId w:val="13"/>
  </w:num>
  <w:num w:numId="14" w16cid:durableId="792210178">
    <w:abstractNumId w:val="27"/>
  </w:num>
  <w:num w:numId="15" w16cid:durableId="1609388123">
    <w:abstractNumId w:val="9"/>
  </w:num>
  <w:num w:numId="16" w16cid:durableId="1971545163">
    <w:abstractNumId w:val="14"/>
  </w:num>
  <w:num w:numId="17" w16cid:durableId="1483620279">
    <w:abstractNumId w:val="8"/>
  </w:num>
  <w:num w:numId="18" w16cid:durableId="1273826168">
    <w:abstractNumId w:val="16"/>
  </w:num>
  <w:num w:numId="19" w16cid:durableId="1365520867">
    <w:abstractNumId w:val="22"/>
  </w:num>
  <w:num w:numId="20" w16cid:durableId="815032383">
    <w:abstractNumId w:val="21"/>
  </w:num>
  <w:num w:numId="21" w16cid:durableId="1683239320">
    <w:abstractNumId w:val="7"/>
  </w:num>
  <w:num w:numId="22" w16cid:durableId="474764887">
    <w:abstractNumId w:val="6"/>
  </w:num>
  <w:num w:numId="23" w16cid:durableId="1536623682">
    <w:abstractNumId w:val="19"/>
  </w:num>
  <w:num w:numId="24" w16cid:durableId="1176923892">
    <w:abstractNumId w:val="10"/>
  </w:num>
  <w:num w:numId="25" w16cid:durableId="1708949006">
    <w:abstractNumId w:val="1"/>
  </w:num>
  <w:num w:numId="26" w16cid:durableId="1507403666">
    <w:abstractNumId w:val="15"/>
  </w:num>
  <w:num w:numId="27" w16cid:durableId="1852792326">
    <w:abstractNumId w:val="12"/>
  </w:num>
  <w:num w:numId="28" w16cid:durableId="1801072550">
    <w:abstractNumId w:val="2"/>
  </w:num>
  <w:num w:numId="29" w16cid:durableId="101607980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D86"/>
    <w:rsid w:val="00010EC6"/>
    <w:rsid w:val="000118AD"/>
    <w:rsid w:val="00027B91"/>
    <w:rsid w:val="00046619"/>
    <w:rsid w:val="00054F52"/>
    <w:rsid w:val="00063373"/>
    <w:rsid w:val="000714C9"/>
    <w:rsid w:val="00080058"/>
    <w:rsid w:val="0008085E"/>
    <w:rsid w:val="000A6E99"/>
    <w:rsid w:val="000B038A"/>
    <w:rsid w:val="000C7FB6"/>
    <w:rsid w:val="000E6B1D"/>
    <w:rsid w:val="000E74E4"/>
    <w:rsid w:val="00106286"/>
    <w:rsid w:val="00122014"/>
    <w:rsid w:val="0014106D"/>
    <w:rsid w:val="00142777"/>
    <w:rsid w:val="00152113"/>
    <w:rsid w:val="00152243"/>
    <w:rsid w:val="001627C3"/>
    <w:rsid w:val="001751EB"/>
    <w:rsid w:val="00185C67"/>
    <w:rsid w:val="001B7185"/>
    <w:rsid w:val="001C76C0"/>
    <w:rsid w:val="001D7758"/>
    <w:rsid w:val="0021553B"/>
    <w:rsid w:val="0023588F"/>
    <w:rsid w:val="00237F0D"/>
    <w:rsid w:val="00246625"/>
    <w:rsid w:val="00247659"/>
    <w:rsid w:val="002511C9"/>
    <w:rsid w:val="00257141"/>
    <w:rsid w:val="00265C04"/>
    <w:rsid w:val="002930E6"/>
    <w:rsid w:val="002B07DF"/>
    <w:rsid w:val="002C391A"/>
    <w:rsid w:val="002D5A6E"/>
    <w:rsid w:val="002F33EA"/>
    <w:rsid w:val="002F3FD4"/>
    <w:rsid w:val="00306B28"/>
    <w:rsid w:val="003133FA"/>
    <w:rsid w:val="0032135F"/>
    <w:rsid w:val="00341930"/>
    <w:rsid w:val="0036276E"/>
    <w:rsid w:val="00370D70"/>
    <w:rsid w:val="003748FB"/>
    <w:rsid w:val="00386D27"/>
    <w:rsid w:val="00387BEC"/>
    <w:rsid w:val="0039556E"/>
    <w:rsid w:val="003B1F21"/>
    <w:rsid w:val="003B4C3D"/>
    <w:rsid w:val="003B7A9D"/>
    <w:rsid w:val="003B7E2B"/>
    <w:rsid w:val="003D497F"/>
    <w:rsid w:val="003E1F81"/>
    <w:rsid w:val="003E49F3"/>
    <w:rsid w:val="003E7056"/>
    <w:rsid w:val="0043217A"/>
    <w:rsid w:val="00433DB3"/>
    <w:rsid w:val="0045270B"/>
    <w:rsid w:val="0045598B"/>
    <w:rsid w:val="00464FBF"/>
    <w:rsid w:val="00492D7C"/>
    <w:rsid w:val="004A0B7A"/>
    <w:rsid w:val="004A2940"/>
    <w:rsid w:val="004C746A"/>
    <w:rsid w:val="004D087F"/>
    <w:rsid w:val="004D7396"/>
    <w:rsid w:val="004F2234"/>
    <w:rsid w:val="004F724C"/>
    <w:rsid w:val="00504D06"/>
    <w:rsid w:val="00521F2E"/>
    <w:rsid w:val="00553B68"/>
    <w:rsid w:val="00557DEF"/>
    <w:rsid w:val="00560BB1"/>
    <w:rsid w:val="00577941"/>
    <w:rsid w:val="005A03CF"/>
    <w:rsid w:val="005B025C"/>
    <w:rsid w:val="005B3CFE"/>
    <w:rsid w:val="005C2B13"/>
    <w:rsid w:val="005C43D4"/>
    <w:rsid w:val="005E578A"/>
    <w:rsid w:val="005F17B4"/>
    <w:rsid w:val="005F2132"/>
    <w:rsid w:val="00605EF1"/>
    <w:rsid w:val="00632A2E"/>
    <w:rsid w:val="0063331A"/>
    <w:rsid w:val="00635968"/>
    <w:rsid w:val="00643743"/>
    <w:rsid w:val="00644643"/>
    <w:rsid w:val="006657AB"/>
    <w:rsid w:val="006A1451"/>
    <w:rsid w:val="006B5556"/>
    <w:rsid w:val="006C2653"/>
    <w:rsid w:val="006C4A12"/>
    <w:rsid w:val="006D1A7A"/>
    <w:rsid w:val="006F7FCB"/>
    <w:rsid w:val="00713B2D"/>
    <w:rsid w:val="00715665"/>
    <w:rsid w:val="00720B1B"/>
    <w:rsid w:val="007409B3"/>
    <w:rsid w:val="00741571"/>
    <w:rsid w:val="00747374"/>
    <w:rsid w:val="00756395"/>
    <w:rsid w:val="00757EA3"/>
    <w:rsid w:val="00774E19"/>
    <w:rsid w:val="00782E17"/>
    <w:rsid w:val="007B40F4"/>
    <w:rsid w:val="007C0A9C"/>
    <w:rsid w:val="007C1036"/>
    <w:rsid w:val="007C41D4"/>
    <w:rsid w:val="007C5CE1"/>
    <w:rsid w:val="007C6C14"/>
    <w:rsid w:val="007D2E19"/>
    <w:rsid w:val="007D35A5"/>
    <w:rsid w:val="007D3FB5"/>
    <w:rsid w:val="007F2446"/>
    <w:rsid w:val="007F54F7"/>
    <w:rsid w:val="00801397"/>
    <w:rsid w:val="00821B0F"/>
    <w:rsid w:val="00826466"/>
    <w:rsid w:val="00832E1A"/>
    <w:rsid w:val="008370DC"/>
    <w:rsid w:val="0084501A"/>
    <w:rsid w:val="008474A0"/>
    <w:rsid w:val="00854EA4"/>
    <w:rsid w:val="00861225"/>
    <w:rsid w:val="00874125"/>
    <w:rsid w:val="0089742F"/>
    <w:rsid w:val="008A08AF"/>
    <w:rsid w:val="008A2A93"/>
    <w:rsid w:val="008B3DEE"/>
    <w:rsid w:val="008B7C4E"/>
    <w:rsid w:val="008D1900"/>
    <w:rsid w:val="008F0EB3"/>
    <w:rsid w:val="008F3523"/>
    <w:rsid w:val="008F3577"/>
    <w:rsid w:val="008F38AA"/>
    <w:rsid w:val="009011F0"/>
    <w:rsid w:val="00906C13"/>
    <w:rsid w:val="00926A5C"/>
    <w:rsid w:val="009420EB"/>
    <w:rsid w:val="00950A2D"/>
    <w:rsid w:val="0095111B"/>
    <w:rsid w:val="009516D7"/>
    <w:rsid w:val="00952604"/>
    <w:rsid w:val="00987737"/>
    <w:rsid w:val="009B12BF"/>
    <w:rsid w:val="009B7C98"/>
    <w:rsid w:val="009D7D86"/>
    <w:rsid w:val="00A06D8C"/>
    <w:rsid w:val="00A13E1F"/>
    <w:rsid w:val="00A262C5"/>
    <w:rsid w:val="00A34B20"/>
    <w:rsid w:val="00A37BC5"/>
    <w:rsid w:val="00A41A69"/>
    <w:rsid w:val="00A7471F"/>
    <w:rsid w:val="00A80044"/>
    <w:rsid w:val="00A8049A"/>
    <w:rsid w:val="00A81367"/>
    <w:rsid w:val="00AA4D07"/>
    <w:rsid w:val="00AD065A"/>
    <w:rsid w:val="00AD1093"/>
    <w:rsid w:val="00AD1F0E"/>
    <w:rsid w:val="00AD354C"/>
    <w:rsid w:val="00AE6130"/>
    <w:rsid w:val="00B16AC2"/>
    <w:rsid w:val="00B36063"/>
    <w:rsid w:val="00B42EE6"/>
    <w:rsid w:val="00B55C9A"/>
    <w:rsid w:val="00B60100"/>
    <w:rsid w:val="00B61485"/>
    <w:rsid w:val="00B66F76"/>
    <w:rsid w:val="00B7062B"/>
    <w:rsid w:val="00B92B62"/>
    <w:rsid w:val="00BA1F86"/>
    <w:rsid w:val="00BA3ED8"/>
    <w:rsid w:val="00BA62C7"/>
    <w:rsid w:val="00BA6E32"/>
    <w:rsid w:val="00BB47EE"/>
    <w:rsid w:val="00BB6F15"/>
    <w:rsid w:val="00BD7DED"/>
    <w:rsid w:val="00BE5466"/>
    <w:rsid w:val="00BF0439"/>
    <w:rsid w:val="00C0074A"/>
    <w:rsid w:val="00C05796"/>
    <w:rsid w:val="00C27E41"/>
    <w:rsid w:val="00C42F41"/>
    <w:rsid w:val="00C67AB4"/>
    <w:rsid w:val="00C67B11"/>
    <w:rsid w:val="00C70921"/>
    <w:rsid w:val="00C72016"/>
    <w:rsid w:val="00C72ED0"/>
    <w:rsid w:val="00C814B3"/>
    <w:rsid w:val="00C81AE1"/>
    <w:rsid w:val="00CA6D24"/>
    <w:rsid w:val="00CA6F9D"/>
    <w:rsid w:val="00CB54D5"/>
    <w:rsid w:val="00CC1CFE"/>
    <w:rsid w:val="00CE0AC4"/>
    <w:rsid w:val="00CF00C9"/>
    <w:rsid w:val="00CF0C98"/>
    <w:rsid w:val="00CF4575"/>
    <w:rsid w:val="00D151FA"/>
    <w:rsid w:val="00D2688C"/>
    <w:rsid w:val="00D40095"/>
    <w:rsid w:val="00D41486"/>
    <w:rsid w:val="00D417F6"/>
    <w:rsid w:val="00D4261B"/>
    <w:rsid w:val="00D57C8C"/>
    <w:rsid w:val="00DC3500"/>
    <w:rsid w:val="00DD5666"/>
    <w:rsid w:val="00DE5733"/>
    <w:rsid w:val="00DF5E0B"/>
    <w:rsid w:val="00E25DDD"/>
    <w:rsid w:val="00E302C0"/>
    <w:rsid w:val="00E33F3C"/>
    <w:rsid w:val="00E362FE"/>
    <w:rsid w:val="00E40248"/>
    <w:rsid w:val="00E6625D"/>
    <w:rsid w:val="00E918F0"/>
    <w:rsid w:val="00E92820"/>
    <w:rsid w:val="00EA3405"/>
    <w:rsid w:val="00EC412E"/>
    <w:rsid w:val="00ED0E73"/>
    <w:rsid w:val="00ED3E4B"/>
    <w:rsid w:val="00ED7431"/>
    <w:rsid w:val="00EF1A16"/>
    <w:rsid w:val="00F00CF9"/>
    <w:rsid w:val="00F16542"/>
    <w:rsid w:val="00F23A67"/>
    <w:rsid w:val="00F26852"/>
    <w:rsid w:val="00F34C42"/>
    <w:rsid w:val="00F44A6E"/>
    <w:rsid w:val="00F64C2E"/>
    <w:rsid w:val="00F8045B"/>
    <w:rsid w:val="00F839AC"/>
    <w:rsid w:val="00FA67C5"/>
    <w:rsid w:val="00FB1492"/>
    <w:rsid w:val="00FD350F"/>
    <w:rsid w:val="00FD4B4B"/>
    <w:rsid w:val="00FF0F18"/>
    <w:rsid w:val="00FF4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14D62"/>
  <w15:chartTrackingRefBased/>
  <w15:docId w15:val="{5FE87D00-D278-4E5A-8652-55CC80F77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125"/>
    <w:rPr>
      <w:rFonts w:eastAsia="PMingLiU"/>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4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70D70"/>
    <w:pPr>
      <w:ind w:left="720"/>
      <w:contextualSpacing/>
    </w:pPr>
  </w:style>
  <w:style w:type="character" w:styleId="a5">
    <w:name w:val="Hyperlink"/>
    <w:basedOn w:val="a0"/>
    <w:uiPriority w:val="99"/>
    <w:unhideWhenUsed/>
    <w:rsid w:val="0036276E"/>
    <w:rPr>
      <w:color w:val="0563C1" w:themeColor="hyperlink"/>
      <w:u w:val="single"/>
    </w:rPr>
  </w:style>
  <w:style w:type="character" w:customStyle="1" w:styleId="hgkelc">
    <w:name w:val="hgkelc"/>
    <w:basedOn w:val="a0"/>
    <w:rsid w:val="00F839AC"/>
  </w:style>
  <w:style w:type="paragraph" w:styleId="a6">
    <w:name w:val="footnote text"/>
    <w:basedOn w:val="a"/>
    <w:link w:val="a7"/>
    <w:uiPriority w:val="99"/>
    <w:semiHidden/>
    <w:unhideWhenUsed/>
    <w:rsid w:val="004D7396"/>
    <w:pPr>
      <w:spacing w:after="0" w:line="240" w:lineRule="auto"/>
    </w:pPr>
    <w:rPr>
      <w:sz w:val="20"/>
      <w:szCs w:val="20"/>
    </w:rPr>
  </w:style>
  <w:style w:type="character" w:customStyle="1" w:styleId="a7">
    <w:name w:val="Текст сноски Знак"/>
    <w:basedOn w:val="a0"/>
    <w:link w:val="a6"/>
    <w:uiPriority w:val="99"/>
    <w:semiHidden/>
    <w:rsid w:val="004D7396"/>
    <w:rPr>
      <w:rFonts w:eastAsia="PMingLiU"/>
      <w:sz w:val="20"/>
      <w:szCs w:val="20"/>
      <w:lang w:eastAsia="en-US"/>
    </w:rPr>
  </w:style>
  <w:style w:type="character" w:styleId="a8">
    <w:name w:val="footnote reference"/>
    <w:basedOn w:val="a0"/>
    <w:uiPriority w:val="99"/>
    <w:semiHidden/>
    <w:unhideWhenUsed/>
    <w:rsid w:val="004D7396"/>
    <w:rPr>
      <w:vertAlign w:val="superscript"/>
    </w:rPr>
  </w:style>
  <w:style w:type="paragraph" w:customStyle="1" w:styleId="spanheading">
    <w:name w:val="spanheading"/>
    <w:basedOn w:val="a"/>
    <w:rsid w:val="00152113"/>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FollowedHyperlink"/>
    <w:basedOn w:val="a0"/>
    <w:uiPriority w:val="99"/>
    <w:semiHidden/>
    <w:unhideWhenUsed/>
    <w:rsid w:val="00046619"/>
    <w:rPr>
      <w:color w:val="954F72" w:themeColor="followedHyperlink"/>
      <w:u w:val="single"/>
    </w:rPr>
  </w:style>
  <w:style w:type="character" w:styleId="aa">
    <w:name w:val="Unresolved Mention"/>
    <w:basedOn w:val="a0"/>
    <w:uiPriority w:val="99"/>
    <w:semiHidden/>
    <w:unhideWhenUsed/>
    <w:rsid w:val="00046619"/>
    <w:rPr>
      <w:color w:val="605E5C"/>
      <w:shd w:val="clear" w:color="auto" w:fill="E1DFDD"/>
    </w:rPr>
  </w:style>
  <w:style w:type="paragraph" w:customStyle="1" w:styleId="Disclaimer">
    <w:name w:val="Disclaimer"/>
    <w:basedOn w:val="a"/>
    <w:qFormat/>
    <w:rsid w:val="007F54F7"/>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rPr>
  </w:style>
  <w:style w:type="paragraph" w:customStyle="1" w:styleId="BlackStrips">
    <w:name w:val="Black Strips"/>
    <w:basedOn w:val="a"/>
    <w:qFormat/>
    <w:rsid w:val="007F54F7"/>
    <w:pPr>
      <w:shd w:val="clear" w:color="auto" w:fill="000000"/>
      <w:spacing w:after="200" w:line="240" w:lineRule="auto"/>
      <w:jc w:val="center"/>
    </w:pPr>
    <w:rPr>
      <w:rFonts w:eastAsiaTheme="minorHAnsi"/>
      <w:color w:val="FFFFFF"/>
      <w:sz w:val="24"/>
      <w:szCs w:val="24"/>
    </w:rPr>
  </w:style>
  <w:style w:type="paragraph" w:customStyle="1" w:styleId="DisclaimerBold">
    <w:name w:val="Disclaimer Bold"/>
    <w:basedOn w:val="Disclaimer"/>
    <w:qFormat/>
    <w:rsid w:val="007F54F7"/>
    <w:pPr>
      <w:jc w:val="left"/>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29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rltonslaw.com/hkex-consults-on-ipo-price-discovery-open-market-requirements-and-hk-otc-mark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unsubscribe@charltonslaw.com?subject=unsubscribe%20-Hong%20Kong%20Law-" TargetMode="External"/><Relationship Id="rId4" Type="http://schemas.openxmlformats.org/officeDocument/2006/relationships/settings" Target="settings.xml"/><Relationship Id="rId9" Type="http://schemas.openxmlformats.org/officeDocument/2006/relationships/hyperlink" Target="https://www.hkex.com.hk/-/media/HKEX-Market/News/Market-Consultations/2016-Present/December-2024-Optimise-IPO-Price/Consultation-Paper/cp2024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796BA-106C-4827-BD0E-EA64C6051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3932</Words>
  <Characters>22416</Characters>
  <Application>Microsoft Office Word</Application>
  <DocSecurity>0</DocSecurity>
  <Lines>186</Lines>
  <Paragraphs>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Charltons</dc:creator>
  <cp:keywords/>
  <dc:description/>
  <cp:lastModifiedBy>Microsoft Office User</cp:lastModifiedBy>
  <cp:revision>6</cp:revision>
  <dcterms:created xsi:type="dcterms:W3CDTF">2025-01-28T09:38:00Z</dcterms:created>
  <dcterms:modified xsi:type="dcterms:W3CDTF">2025-02-05T09:39:00Z</dcterms:modified>
</cp:coreProperties>
</file>