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55502" w14:textId="4F38681E" w:rsidR="004B3FAB" w:rsidRPr="00132FB7" w:rsidRDefault="00E70254" w:rsidP="0028091A">
      <w:pPr>
        <w:shd w:val="clear" w:color="auto" w:fill="000000"/>
        <w:spacing w:after="0"/>
        <w:jc w:val="center"/>
        <w:rPr>
          <w:rFonts w:ascii="Arial" w:eastAsia="Cambria" w:hAnsi="Arial" w:cs="Arial"/>
          <w:color w:val="FFFFFF"/>
          <w:sz w:val="24"/>
          <w:szCs w:val="20"/>
          <w:lang w:eastAsia="zh-TW"/>
        </w:rPr>
      </w:pPr>
      <w:r w:rsidRPr="00132FB7">
        <w:rPr>
          <w:rFonts w:ascii="Arial" w:eastAsia="Cambria" w:hAnsi="Arial" w:cs="Arial"/>
          <w:color w:val="FFFFFF"/>
          <w:sz w:val="24"/>
          <w:szCs w:val="20"/>
          <w:lang w:eastAsia="zh-TW"/>
        </w:rPr>
        <w:t xml:space="preserve">Charltons - Hong Kong Law - </w:t>
      </w:r>
      <w:r w:rsidR="00F97494">
        <w:rPr>
          <w:rFonts w:ascii="Arial" w:eastAsia="Cambria" w:hAnsi="Arial" w:cs="Arial"/>
          <w:color w:val="FFFFFF"/>
          <w:sz w:val="24"/>
          <w:szCs w:val="20"/>
          <w:lang w:eastAsia="zh-TW"/>
        </w:rPr>
        <w:t>0</w:t>
      </w:r>
      <w:r w:rsidR="00CF2F5C">
        <w:rPr>
          <w:rFonts w:ascii="Arial" w:eastAsia="Cambria" w:hAnsi="Arial" w:cs="Arial"/>
          <w:color w:val="FFFFFF"/>
          <w:sz w:val="24"/>
          <w:szCs w:val="20"/>
          <w:lang w:eastAsia="zh-TW"/>
        </w:rPr>
        <w:t>4</w:t>
      </w:r>
      <w:r w:rsidR="00F97494" w:rsidRPr="00132FB7">
        <w:rPr>
          <w:rFonts w:ascii="Arial" w:eastAsia="Cambria" w:hAnsi="Arial" w:cs="Arial"/>
          <w:color w:val="FFFFFF"/>
          <w:sz w:val="24"/>
          <w:szCs w:val="20"/>
          <w:lang w:eastAsia="zh-TW"/>
        </w:rPr>
        <w:t xml:space="preserve"> </w:t>
      </w:r>
      <w:r w:rsidR="00F97494">
        <w:rPr>
          <w:rFonts w:ascii="Arial" w:eastAsia="Cambria" w:hAnsi="Arial" w:cs="Arial"/>
          <w:color w:val="FFFFFF"/>
          <w:sz w:val="24"/>
          <w:szCs w:val="20"/>
          <w:lang w:eastAsia="zh-TW"/>
        </w:rPr>
        <w:t>June</w:t>
      </w:r>
      <w:r w:rsidR="00F97494" w:rsidRPr="00132FB7">
        <w:rPr>
          <w:rFonts w:ascii="Arial" w:eastAsia="Cambria" w:hAnsi="Arial" w:cs="Arial"/>
          <w:color w:val="FFFFFF"/>
          <w:sz w:val="24"/>
          <w:szCs w:val="20"/>
          <w:lang w:eastAsia="zh-TW"/>
        </w:rPr>
        <w:t xml:space="preserve"> </w:t>
      </w:r>
      <w:r w:rsidRPr="00132FB7">
        <w:rPr>
          <w:rFonts w:ascii="Arial" w:eastAsia="Cambria" w:hAnsi="Arial" w:cs="Arial"/>
          <w:color w:val="FFFFFF"/>
          <w:sz w:val="24"/>
          <w:szCs w:val="20"/>
          <w:lang w:eastAsia="zh-TW"/>
        </w:rPr>
        <w:t>2024</w:t>
      </w:r>
    </w:p>
    <w:p w14:paraId="2FEAF403" w14:textId="77777777" w:rsidR="004B3FAB" w:rsidRPr="00132FB7" w:rsidRDefault="004B3FAB" w:rsidP="0028091A">
      <w:pPr>
        <w:spacing w:after="0"/>
        <w:jc w:val="both"/>
        <w:rPr>
          <w:rFonts w:ascii="Arial" w:eastAsia="Cambria" w:hAnsi="Arial" w:cs="Arial"/>
          <w:color w:val="0563C1" w:themeColor="hyperlink"/>
          <w:sz w:val="24"/>
          <w:szCs w:val="20"/>
          <w:u w:val="single"/>
          <w:lang w:eastAsia="zh-TW"/>
        </w:rPr>
      </w:pPr>
    </w:p>
    <w:p w14:paraId="639FD91A" w14:textId="77777777" w:rsidR="004B3FAB" w:rsidRPr="00132FB7" w:rsidRDefault="00317371" w:rsidP="0028091A">
      <w:pPr>
        <w:spacing w:after="0"/>
        <w:jc w:val="center"/>
        <w:rPr>
          <w:rFonts w:ascii="Arial" w:eastAsia="Cambria" w:hAnsi="Arial" w:cs="Arial"/>
          <w:color w:val="00000A"/>
          <w:sz w:val="28"/>
          <w:szCs w:val="20"/>
          <w:u w:val="single"/>
          <w:lang w:eastAsia="zh-TW"/>
        </w:rPr>
      </w:pPr>
      <w:hyperlink r:id="rId8" w:history="1">
        <w:r w:rsidR="00E70254" w:rsidRPr="000273F2">
          <w:rPr>
            <w:rStyle w:val="Hyperlink"/>
            <w:rFonts w:ascii="Arial" w:eastAsia="Cambria" w:hAnsi="Arial" w:cs="Arial"/>
            <w:sz w:val="28"/>
            <w:szCs w:val="20"/>
            <w:lang w:eastAsia="zh-TW"/>
          </w:rPr>
          <w:t>online version</w:t>
        </w:r>
      </w:hyperlink>
    </w:p>
    <w:p w14:paraId="06589543" w14:textId="77777777" w:rsidR="004B3FAB" w:rsidRPr="00132FB7" w:rsidRDefault="004B3FAB" w:rsidP="0028091A">
      <w:pPr>
        <w:spacing w:after="0"/>
        <w:jc w:val="both"/>
        <w:rPr>
          <w:rFonts w:ascii="Arial" w:hAnsi="Arial" w:cs="Arial"/>
          <w:b/>
          <w:color w:val="FF0000"/>
          <w:sz w:val="20"/>
          <w:szCs w:val="20"/>
          <w:lang w:eastAsia="zh-TW"/>
        </w:rPr>
      </w:pPr>
    </w:p>
    <w:p w14:paraId="0F62E483" w14:textId="77777777" w:rsidR="0045792F" w:rsidRDefault="00306A09" w:rsidP="0028091A">
      <w:pPr>
        <w:spacing w:after="0"/>
        <w:jc w:val="both"/>
        <w:rPr>
          <w:rFonts w:ascii="Arial" w:hAnsi="Arial" w:cs="Arial"/>
          <w:b/>
          <w:color w:val="FF0000"/>
          <w:sz w:val="24"/>
          <w:szCs w:val="20"/>
          <w:lang w:val="en-GB" w:eastAsia="zh-TW"/>
        </w:rPr>
      </w:pPr>
      <w:r>
        <w:rPr>
          <w:rFonts w:ascii="Arial" w:hAnsi="Arial" w:cs="Arial"/>
          <w:b/>
          <w:color w:val="FF0000"/>
          <w:sz w:val="24"/>
          <w:szCs w:val="20"/>
          <w:lang w:val="en-GB" w:eastAsia="zh-TW"/>
        </w:rPr>
        <w:t>Exchange</w:t>
      </w:r>
      <w:r w:rsidR="001154B4" w:rsidRPr="001154B4">
        <w:rPr>
          <w:rFonts w:ascii="Arial" w:hAnsi="Arial" w:cs="Arial"/>
          <w:b/>
          <w:color w:val="FF0000"/>
          <w:sz w:val="24"/>
          <w:szCs w:val="20"/>
          <w:lang w:val="en-GB" w:eastAsia="zh-TW"/>
        </w:rPr>
        <w:t xml:space="preserve"> Publishes Consultation Conclusions on New Climate Disclosure Requirements Effective 1 January 2025</w:t>
      </w:r>
    </w:p>
    <w:p w14:paraId="5FE53FC4" w14:textId="77777777" w:rsidR="001154B4" w:rsidRPr="00132FB7" w:rsidRDefault="001154B4" w:rsidP="0028091A">
      <w:pPr>
        <w:spacing w:after="0"/>
        <w:jc w:val="both"/>
        <w:rPr>
          <w:rFonts w:ascii="Arial" w:hAnsi="Arial" w:cs="Arial"/>
          <w:b/>
          <w:color w:val="FF0000"/>
          <w:sz w:val="20"/>
          <w:szCs w:val="20"/>
          <w:lang w:val="en-GB" w:eastAsia="zh-TW"/>
        </w:rPr>
      </w:pPr>
    </w:p>
    <w:p w14:paraId="78CC3BA9" w14:textId="2D84E99C" w:rsidR="00500DE6" w:rsidRPr="00132FB7" w:rsidRDefault="00E70254" w:rsidP="0028091A">
      <w:pPr>
        <w:spacing w:after="0"/>
        <w:jc w:val="both"/>
        <w:rPr>
          <w:rFonts w:ascii="Arial" w:hAnsi="Arial" w:cs="Arial"/>
          <w:sz w:val="20"/>
          <w:szCs w:val="20"/>
          <w:lang w:val="en-HK" w:eastAsia="zh-TW"/>
        </w:rPr>
      </w:pPr>
      <w:r w:rsidRPr="00132FB7">
        <w:rPr>
          <w:rFonts w:ascii="Arial" w:hAnsi="Arial" w:cs="Arial"/>
          <w:sz w:val="20"/>
          <w:szCs w:val="20"/>
          <w:lang w:eastAsia="zh-TW"/>
        </w:rPr>
        <w:t>On 19 April 2024, The Stock Exchange of Hong Kong Limited (</w:t>
      </w:r>
      <w:r w:rsidR="00153C0C">
        <w:rPr>
          <w:rFonts w:ascii="Arial" w:hAnsi="Arial" w:cs="Arial"/>
          <w:sz w:val="20"/>
          <w:szCs w:val="20"/>
          <w:lang w:eastAsia="zh-TW"/>
        </w:rPr>
        <w:t xml:space="preserve">the </w:t>
      </w:r>
      <w:r w:rsidR="00306A09">
        <w:rPr>
          <w:rFonts w:ascii="Arial" w:hAnsi="Arial" w:cs="Arial"/>
          <w:b/>
          <w:sz w:val="20"/>
          <w:szCs w:val="20"/>
          <w:lang w:eastAsia="zh-TW"/>
        </w:rPr>
        <w:t>Exchange</w:t>
      </w:r>
      <w:r w:rsidRPr="00132FB7">
        <w:rPr>
          <w:rFonts w:ascii="Arial" w:hAnsi="Arial" w:cs="Arial"/>
          <w:sz w:val="20"/>
          <w:szCs w:val="20"/>
          <w:lang w:eastAsia="zh-TW"/>
        </w:rPr>
        <w:t xml:space="preserve">) published the </w:t>
      </w:r>
      <w:hyperlink r:id="rId9" w:history="1">
        <w:r w:rsidRPr="00132FB7">
          <w:rPr>
            <w:rStyle w:val="Hyperlink"/>
            <w:rFonts w:ascii="Arial" w:hAnsi="Arial" w:cs="Arial"/>
            <w:sz w:val="20"/>
            <w:szCs w:val="20"/>
            <w:lang w:eastAsia="zh-TW"/>
          </w:rPr>
          <w:t>Consultation Conclusions</w:t>
        </w:r>
      </w:hyperlink>
      <w:r w:rsidR="00470607">
        <w:rPr>
          <w:rFonts w:ascii="Arial" w:hAnsi="Arial" w:cs="Arial"/>
          <w:sz w:val="20"/>
          <w:szCs w:val="20"/>
          <w:lang w:eastAsia="zh-TW"/>
        </w:rPr>
        <w:t xml:space="preserve"> on enhanced requirements </w:t>
      </w:r>
      <w:r w:rsidRPr="00132FB7">
        <w:rPr>
          <w:rFonts w:ascii="Arial" w:hAnsi="Arial" w:cs="Arial"/>
          <w:sz w:val="20"/>
          <w:szCs w:val="20"/>
          <w:lang w:eastAsia="zh-TW"/>
        </w:rPr>
        <w:t>f</w:t>
      </w:r>
      <w:r w:rsidR="00470607">
        <w:rPr>
          <w:rFonts w:ascii="Arial" w:hAnsi="Arial" w:cs="Arial"/>
          <w:sz w:val="20"/>
          <w:szCs w:val="20"/>
          <w:lang w:eastAsia="zh-TW"/>
        </w:rPr>
        <w:t>or</w:t>
      </w:r>
      <w:r w:rsidRPr="00132FB7">
        <w:rPr>
          <w:rFonts w:ascii="Arial" w:hAnsi="Arial" w:cs="Arial"/>
          <w:sz w:val="20"/>
          <w:szCs w:val="20"/>
          <w:lang w:eastAsia="zh-TW"/>
        </w:rPr>
        <w:t xml:space="preserve"> climate-related disclosures under the Environmental, Social and Governance Framework </w:t>
      </w:r>
      <w:r w:rsidR="00470607">
        <w:rPr>
          <w:rFonts w:ascii="Arial" w:hAnsi="Arial" w:cs="Arial"/>
          <w:sz w:val="20"/>
          <w:szCs w:val="20"/>
          <w:lang w:eastAsia="zh-TW"/>
        </w:rPr>
        <w:t>as proposed in its</w:t>
      </w:r>
      <w:r w:rsidRPr="00132FB7">
        <w:rPr>
          <w:rFonts w:ascii="Arial" w:hAnsi="Arial" w:cs="Arial"/>
          <w:sz w:val="20"/>
          <w:szCs w:val="20"/>
          <w:lang w:eastAsia="zh-TW"/>
        </w:rPr>
        <w:t xml:space="preserve"> </w:t>
      </w:r>
      <w:hyperlink r:id="rId10" w:history="1">
        <w:r w:rsidRPr="00132FB7">
          <w:rPr>
            <w:rStyle w:val="Hyperlink"/>
            <w:rFonts w:ascii="Arial" w:hAnsi="Arial" w:cs="Arial"/>
            <w:sz w:val="20"/>
            <w:szCs w:val="20"/>
            <w:lang w:eastAsia="zh-TW"/>
          </w:rPr>
          <w:t>Consultation</w:t>
        </w:r>
        <w:r w:rsidR="006971C4" w:rsidRPr="00132FB7">
          <w:rPr>
            <w:rStyle w:val="Hyperlink"/>
            <w:rFonts w:ascii="Arial" w:hAnsi="Arial" w:cs="Arial"/>
            <w:sz w:val="20"/>
            <w:szCs w:val="20"/>
            <w:lang w:eastAsia="zh-TW"/>
          </w:rPr>
          <w:t xml:space="preserve"> Paper</w:t>
        </w:r>
      </w:hyperlink>
      <w:r w:rsidR="008475E7">
        <w:rPr>
          <w:rStyle w:val="Hyperlink"/>
          <w:rFonts w:ascii="Arial" w:hAnsi="Arial" w:cs="Arial"/>
          <w:sz w:val="20"/>
          <w:szCs w:val="20"/>
          <w:lang w:eastAsia="zh-TW"/>
        </w:rPr>
        <w:t xml:space="preserve"> wit</w:t>
      </w:r>
      <w:r w:rsidR="00AB179C">
        <w:rPr>
          <w:rStyle w:val="Hyperlink"/>
          <w:rFonts w:ascii="Arial" w:hAnsi="Arial" w:cs="Arial"/>
          <w:sz w:val="20"/>
          <w:szCs w:val="20"/>
          <w:lang w:eastAsia="zh-TW"/>
        </w:rPr>
        <w:t>h a consultation period that had</w:t>
      </w:r>
      <w:r w:rsidR="008475E7">
        <w:rPr>
          <w:rStyle w:val="Hyperlink"/>
          <w:rFonts w:ascii="Arial" w:hAnsi="Arial" w:cs="Arial"/>
          <w:sz w:val="20"/>
          <w:szCs w:val="20"/>
          <w:lang w:eastAsia="zh-TW"/>
        </w:rPr>
        <w:t xml:space="preserve"> ended on</w:t>
      </w:r>
      <w:r w:rsidRPr="00132FB7">
        <w:rPr>
          <w:rFonts w:ascii="Arial" w:hAnsi="Arial" w:cs="Arial"/>
          <w:sz w:val="20"/>
          <w:szCs w:val="20"/>
          <w:lang w:eastAsia="zh-TW"/>
        </w:rPr>
        <w:t xml:space="preserve"> 14 July</w:t>
      </w:r>
      <w:r w:rsidR="008475E7">
        <w:rPr>
          <w:rFonts w:ascii="Arial" w:hAnsi="Arial" w:cs="Arial"/>
          <w:sz w:val="20"/>
          <w:szCs w:val="20"/>
          <w:lang w:eastAsia="zh-TW"/>
        </w:rPr>
        <w:t xml:space="preserve"> </w:t>
      </w:r>
      <w:r w:rsidRPr="00132FB7">
        <w:rPr>
          <w:rFonts w:ascii="Arial" w:hAnsi="Arial" w:cs="Arial"/>
          <w:sz w:val="20"/>
          <w:szCs w:val="20"/>
          <w:lang w:eastAsia="zh-TW"/>
        </w:rPr>
        <w:t>2023.</w:t>
      </w:r>
      <w:r w:rsidR="006971C4" w:rsidRPr="00132FB7">
        <w:rPr>
          <w:rFonts w:ascii="Arial" w:hAnsi="Arial" w:cs="Arial"/>
          <w:sz w:val="20"/>
          <w:szCs w:val="20"/>
          <w:lang w:eastAsia="zh-TW"/>
        </w:rPr>
        <w:t xml:space="preserve"> For a summary of the Consultation </w:t>
      </w:r>
      <w:r w:rsidR="006971C4" w:rsidRPr="00132FB7">
        <w:rPr>
          <w:rFonts w:ascii="Arial" w:hAnsi="Arial" w:cs="Arial"/>
          <w:sz w:val="20"/>
          <w:szCs w:val="20"/>
        </w:rPr>
        <w:t xml:space="preserve">Paper, please see </w:t>
      </w:r>
      <w:hyperlink r:id="rId11" w:history="1">
        <w:r w:rsidR="006971C4" w:rsidRPr="00132FB7">
          <w:rPr>
            <w:rStyle w:val="Hyperlink"/>
            <w:rFonts w:ascii="Arial" w:hAnsi="Arial" w:cs="Arial"/>
            <w:sz w:val="20"/>
            <w:szCs w:val="20"/>
          </w:rPr>
          <w:t>Charltons’ May 2023 newsletter</w:t>
        </w:r>
      </w:hyperlink>
      <w:r w:rsidR="006971C4" w:rsidRPr="00132FB7">
        <w:rPr>
          <w:rFonts w:ascii="Arial" w:hAnsi="Arial" w:cs="Arial"/>
          <w:sz w:val="20"/>
          <w:szCs w:val="20"/>
        </w:rPr>
        <w:t xml:space="preserve">. </w:t>
      </w:r>
    </w:p>
    <w:p w14:paraId="4E19AD18" w14:textId="77777777" w:rsidR="0045792F" w:rsidRPr="00132FB7" w:rsidRDefault="0045792F" w:rsidP="0028091A">
      <w:pPr>
        <w:spacing w:after="0"/>
        <w:jc w:val="both"/>
        <w:rPr>
          <w:rFonts w:ascii="Arial" w:hAnsi="Arial" w:cs="Arial"/>
          <w:color w:val="0C0C0C"/>
          <w:sz w:val="20"/>
          <w:szCs w:val="20"/>
          <w:shd w:val="clear" w:color="auto" w:fill="FFFFFF"/>
        </w:rPr>
      </w:pPr>
    </w:p>
    <w:p w14:paraId="4A123E5F" w14:textId="77777777" w:rsidR="00155F87" w:rsidRPr="00132FB7" w:rsidRDefault="00285E5A" w:rsidP="0028091A">
      <w:pPr>
        <w:spacing w:after="0"/>
        <w:jc w:val="both"/>
        <w:rPr>
          <w:rFonts w:ascii="Arial" w:hAnsi="Arial" w:cs="Arial"/>
          <w:sz w:val="20"/>
          <w:szCs w:val="20"/>
          <w:lang w:eastAsia="zh-TW"/>
        </w:rPr>
      </w:pPr>
      <w:r>
        <w:rPr>
          <w:rFonts w:ascii="Arial" w:hAnsi="Arial" w:cs="Arial"/>
          <w:sz w:val="20"/>
          <w:szCs w:val="20"/>
          <w:lang w:eastAsia="zh-TW"/>
        </w:rPr>
        <w:t>F</w:t>
      </w:r>
      <w:r w:rsidR="00E70254" w:rsidRPr="00132FB7">
        <w:rPr>
          <w:rFonts w:ascii="Arial" w:hAnsi="Arial" w:cs="Arial"/>
          <w:sz w:val="20"/>
          <w:szCs w:val="20"/>
          <w:lang w:eastAsia="zh-TW"/>
        </w:rPr>
        <w:t xml:space="preserve">rom 1 </w:t>
      </w:r>
      <w:r>
        <w:rPr>
          <w:rFonts w:ascii="Arial" w:hAnsi="Arial" w:cs="Arial"/>
          <w:sz w:val="20"/>
          <w:szCs w:val="20"/>
          <w:lang w:eastAsia="zh-TW"/>
        </w:rPr>
        <w:t>January 2025, t</w:t>
      </w:r>
      <w:r w:rsidR="00E70254" w:rsidRPr="00132FB7">
        <w:rPr>
          <w:rFonts w:ascii="Arial" w:hAnsi="Arial" w:cs="Arial"/>
          <w:sz w:val="20"/>
          <w:szCs w:val="20"/>
          <w:lang w:eastAsia="zh-TW"/>
        </w:rPr>
        <w:t xml:space="preserve">he additional requirements will be set out in Appendix C2 to the Main Board </w:t>
      </w:r>
      <w:r w:rsidR="00470607">
        <w:rPr>
          <w:rFonts w:ascii="Arial" w:hAnsi="Arial" w:cs="Arial"/>
          <w:sz w:val="20"/>
          <w:szCs w:val="20"/>
          <w:lang w:eastAsia="zh-TW"/>
        </w:rPr>
        <w:t>and</w:t>
      </w:r>
      <w:r w:rsidR="00470607" w:rsidRPr="00132FB7">
        <w:rPr>
          <w:rFonts w:ascii="Arial" w:hAnsi="Arial" w:cs="Arial"/>
          <w:sz w:val="20"/>
          <w:szCs w:val="20"/>
          <w:lang w:eastAsia="zh-TW"/>
        </w:rPr>
        <w:t xml:space="preserve"> GEM </w:t>
      </w:r>
      <w:r w:rsidR="00E70254" w:rsidRPr="00132FB7">
        <w:rPr>
          <w:rFonts w:ascii="Arial" w:hAnsi="Arial" w:cs="Arial"/>
          <w:sz w:val="20"/>
          <w:szCs w:val="20"/>
          <w:lang w:eastAsia="zh-TW"/>
        </w:rPr>
        <w:t>Listing Rules</w:t>
      </w:r>
      <w:r>
        <w:rPr>
          <w:rFonts w:ascii="Arial" w:hAnsi="Arial" w:cs="Arial"/>
          <w:sz w:val="20"/>
          <w:szCs w:val="20"/>
          <w:lang w:eastAsia="zh-TW"/>
        </w:rPr>
        <w:t>,</w:t>
      </w:r>
      <w:r w:rsidR="00E70254" w:rsidRPr="00132FB7">
        <w:rPr>
          <w:rFonts w:ascii="Arial" w:hAnsi="Arial" w:cs="Arial"/>
          <w:sz w:val="20"/>
          <w:szCs w:val="20"/>
          <w:lang w:eastAsia="zh-TW"/>
        </w:rPr>
        <w:t xml:space="preserve"> </w:t>
      </w:r>
      <w:r w:rsidR="00470607">
        <w:rPr>
          <w:rFonts w:ascii="Arial" w:hAnsi="Arial" w:cs="Arial"/>
          <w:sz w:val="20"/>
          <w:szCs w:val="20"/>
          <w:lang w:eastAsia="zh-TW"/>
        </w:rPr>
        <w:t xml:space="preserve">which will </w:t>
      </w:r>
      <w:r w:rsidR="00E70254" w:rsidRPr="00132FB7">
        <w:rPr>
          <w:rFonts w:ascii="Arial" w:hAnsi="Arial" w:cs="Arial"/>
          <w:sz w:val="20"/>
          <w:szCs w:val="20"/>
          <w:lang w:eastAsia="zh-TW"/>
        </w:rPr>
        <w:t>be renamed the “Environmental, Social and Governance Reporting Code”</w:t>
      </w:r>
      <w:r w:rsidR="007B2074" w:rsidRPr="00132FB7">
        <w:rPr>
          <w:rFonts w:ascii="Arial" w:hAnsi="Arial" w:cs="Arial"/>
          <w:sz w:val="20"/>
          <w:szCs w:val="20"/>
          <w:lang w:eastAsia="zh-TW"/>
        </w:rPr>
        <w:t xml:space="preserve"> (</w:t>
      </w:r>
      <w:r w:rsidR="007B2074" w:rsidRPr="00132FB7">
        <w:rPr>
          <w:rFonts w:ascii="Arial" w:hAnsi="Arial" w:cs="Arial"/>
          <w:b/>
          <w:sz w:val="20"/>
          <w:szCs w:val="20"/>
          <w:lang w:eastAsia="zh-TW"/>
        </w:rPr>
        <w:t>ESG Code</w:t>
      </w:r>
      <w:r w:rsidR="007B2074" w:rsidRPr="00132FB7">
        <w:rPr>
          <w:rFonts w:ascii="Arial" w:hAnsi="Arial" w:cs="Arial"/>
          <w:sz w:val="20"/>
          <w:szCs w:val="20"/>
        </w:rPr>
        <w:t>)</w:t>
      </w:r>
      <w:r w:rsidR="00E70254" w:rsidRPr="00132FB7">
        <w:rPr>
          <w:rFonts w:ascii="Arial" w:hAnsi="Arial" w:cs="Arial"/>
          <w:sz w:val="20"/>
          <w:szCs w:val="20"/>
          <w:lang w:eastAsia="zh-TW"/>
        </w:rPr>
        <w:t xml:space="preserve">. To facilitate implementation and understanding of the new requirements, the </w:t>
      </w:r>
      <w:r w:rsidR="00306A09">
        <w:rPr>
          <w:rFonts w:ascii="Arial" w:hAnsi="Arial" w:cs="Arial"/>
          <w:sz w:val="20"/>
          <w:szCs w:val="20"/>
          <w:lang w:eastAsia="zh-TW"/>
        </w:rPr>
        <w:t>Exchange</w:t>
      </w:r>
      <w:r w:rsidR="00E70254" w:rsidRPr="00132FB7">
        <w:rPr>
          <w:rFonts w:ascii="Arial" w:hAnsi="Arial" w:cs="Arial"/>
          <w:sz w:val="20"/>
          <w:szCs w:val="20"/>
          <w:lang w:eastAsia="zh-TW"/>
        </w:rPr>
        <w:t xml:space="preserve"> has also issued</w:t>
      </w:r>
      <w:r w:rsidR="00306A09">
        <w:rPr>
          <w:rFonts w:ascii="Arial" w:hAnsi="Arial" w:cs="Arial"/>
          <w:sz w:val="20"/>
          <w:szCs w:val="20"/>
          <w:lang w:eastAsia="zh-TW"/>
        </w:rPr>
        <w:t xml:space="preserve"> the</w:t>
      </w:r>
      <w:r w:rsidR="00E70254" w:rsidRPr="00132FB7">
        <w:rPr>
          <w:rFonts w:ascii="Arial" w:hAnsi="Arial" w:cs="Arial"/>
          <w:sz w:val="20"/>
          <w:szCs w:val="20"/>
          <w:lang w:eastAsia="zh-TW"/>
        </w:rPr>
        <w:t xml:space="preserve"> </w:t>
      </w:r>
      <w:hyperlink r:id="rId12" w:history="1">
        <w:r w:rsidR="00E70254" w:rsidRPr="00132FB7">
          <w:rPr>
            <w:rStyle w:val="Hyperlink"/>
            <w:rFonts w:ascii="Arial" w:hAnsi="Arial" w:cs="Arial"/>
            <w:sz w:val="20"/>
            <w:szCs w:val="20"/>
            <w:lang w:eastAsia="zh-TW"/>
          </w:rPr>
          <w:t>Implementation Guidance</w:t>
        </w:r>
      </w:hyperlink>
      <w:r w:rsidR="00E70254" w:rsidRPr="00132FB7">
        <w:rPr>
          <w:rFonts w:ascii="Arial" w:hAnsi="Arial" w:cs="Arial"/>
          <w:sz w:val="20"/>
          <w:szCs w:val="20"/>
          <w:lang w:eastAsia="zh-TW"/>
        </w:rPr>
        <w:t xml:space="preserve"> </w:t>
      </w:r>
      <w:r>
        <w:rPr>
          <w:rFonts w:ascii="Arial" w:hAnsi="Arial" w:cs="Arial"/>
          <w:sz w:val="20"/>
          <w:szCs w:val="20"/>
          <w:lang w:eastAsia="zh-TW"/>
        </w:rPr>
        <w:t>incorporating</w:t>
      </w:r>
      <w:r w:rsidR="00E70254" w:rsidRPr="00132FB7">
        <w:rPr>
          <w:rFonts w:ascii="Arial" w:hAnsi="Arial" w:cs="Arial"/>
          <w:sz w:val="20"/>
          <w:szCs w:val="20"/>
          <w:lang w:eastAsia="zh-TW"/>
        </w:rPr>
        <w:t xml:space="preserve"> the International Sustainability Standards Board</w:t>
      </w:r>
      <w:r>
        <w:rPr>
          <w:rFonts w:ascii="Arial" w:hAnsi="Arial" w:cs="Arial"/>
          <w:sz w:val="20"/>
          <w:szCs w:val="20"/>
          <w:lang w:eastAsia="zh-TW"/>
        </w:rPr>
        <w:t>’s</w:t>
      </w:r>
      <w:r w:rsidR="00E70254" w:rsidRPr="00132FB7">
        <w:rPr>
          <w:rFonts w:ascii="Arial" w:hAnsi="Arial" w:cs="Arial"/>
          <w:sz w:val="20"/>
          <w:szCs w:val="20"/>
          <w:lang w:eastAsia="zh-TW"/>
        </w:rPr>
        <w:t xml:space="preserve"> (</w:t>
      </w:r>
      <w:r>
        <w:rPr>
          <w:rFonts w:ascii="Arial" w:hAnsi="Arial" w:cs="Arial"/>
          <w:b/>
          <w:sz w:val="20"/>
          <w:szCs w:val="20"/>
          <w:lang w:eastAsia="zh-TW"/>
        </w:rPr>
        <w:t>ISSB</w:t>
      </w:r>
      <w:r w:rsidRPr="00285E5A">
        <w:rPr>
          <w:rFonts w:ascii="Arial" w:hAnsi="Arial" w:cs="Arial"/>
          <w:sz w:val="20"/>
          <w:szCs w:val="20"/>
          <w:lang w:eastAsia="zh-TW"/>
        </w:rPr>
        <w:t>)</w:t>
      </w:r>
      <w:r>
        <w:rPr>
          <w:rFonts w:ascii="Arial" w:hAnsi="Arial" w:cs="Arial"/>
          <w:sz w:val="20"/>
          <w:szCs w:val="20"/>
          <w:lang w:eastAsia="zh-TW"/>
        </w:rPr>
        <w:t xml:space="preserve"> </w:t>
      </w:r>
      <w:r w:rsidRPr="00132FB7">
        <w:rPr>
          <w:rFonts w:ascii="Arial" w:hAnsi="Arial" w:cs="Arial"/>
          <w:sz w:val="20"/>
          <w:szCs w:val="20"/>
          <w:lang w:eastAsia="zh-TW"/>
        </w:rPr>
        <w:t xml:space="preserve">reporting principles </w:t>
      </w:r>
      <w:r>
        <w:rPr>
          <w:rFonts w:ascii="Arial" w:hAnsi="Arial" w:cs="Arial"/>
          <w:sz w:val="20"/>
          <w:szCs w:val="20"/>
          <w:lang w:eastAsia="zh-TW"/>
        </w:rPr>
        <w:t xml:space="preserve">and </w:t>
      </w:r>
      <w:r w:rsidR="00E70254" w:rsidRPr="00132FB7">
        <w:rPr>
          <w:rFonts w:ascii="Arial" w:hAnsi="Arial" w:cs="Arial"/>
          <w:sz w:val="20"/>
          <w:szCs w:val="20"/>
          <w:lang w:eastAsia="zh-TW"/>
        </w:rPr>
        <w:t>s</w:t>
      </w:r>
      <w:r>
        <w:rPr>
          <w:rFonts w:ascii="Arial" w:hAnsi="Arial" w:cs="Arial"/>
          <w:sz w:val="20"/>
          <w:szCs w:val="20"/>
          <w:lang w:eastAsia="zh-TW"/>
        </w:rPr>
        <w:t>etting out</w:t>
      </w:r>
      <w:r w:rsidR="00E70254" w:rsidRPr="00132FB7">
        <w:rPr>
          <w:rFonts w:ascii="Arial" w:hAnsi="Arial" w:cs="Arial"/>
          <w:sz w:val="20"/>
          <w:szCs w:val="20"/>
          <w:lang w:eastAsia="zh-TW"/>
        </w:rPr>
        <w:t xml:space="preserve"> illustrative examples and step-by-step workflows for listed companies. </w:t>
      </w:r>
    </w:p>
    <w:p w14:paraId="38EF9562" w14:textId="77777777" w:rsidR="00132FB7" w:rsidRDefault="00132FB7" w:rsidP="0028091A">
      <w:pPr>
        <w:spacing w:after="0"/>
        <w:jc w:val="both"/>
        <w:rPr>
          <w:rFonts w:ascii="Arial" w:hAnsi="Arial" w:cs="Arial"/>
          <w:sz w:val="20"/>
          <w:szCs w:val="20"/>
          <w:lang w:eastAsia="zh-TW"/>
        </w:rPr>
      </w:pPr>
    </w:p>
    <w:p w14:paraId="5A42A665" w14:textId="77777777" w:rsidR="00155F87" w:rsidRPr="00132FB7" w:rsidRDefault="00E70254" w:rsidP="0028091A">
      <w:pPr>
        <w:spacing w:after="0"/>
        <w:jc w:val="both"/>
        <w:rPr>
          <w:rFonts w:ascii="Arial" w:hAnsi="Arial" w:cs="Arial"/>
          <w:b/>
          <w:sz w:val="20"/>
          <w:szCs w:val="20"/>
          <w:lang w:eastAsia="zh-TW"/>
        </w:rPr>
      </w:pPr>
      <w:r w:rsidRPr="00132FB7">
        <w:rPr>
          <w:rFonts w:ascii="Arial" w:hAnsi="Arial" w:cs="Arial"/>
          <w:b/>
          <w:sz w:val="20"/>
          <w:szCs w:val="20"/>
          <w:lang w:eastAsia="zh-TW"/>
        </w:rPr>
        <w:t xml:space="preserve">Adoption of ISSB standards </w:t>
      </w:r>
    </w:p>
    <w:p w14:paraId="49F649B5" w14:textId="77777777" w:rsidR="00155F87" w:rsidRPr="00132FB7" w:rsidRDefault="00155F87" w:rsidP="0028091A">
      <w:pPr>
        <w:spacing w:after="0"/>
        <w:jc w:val="both"/>
        <w:rPr>
          <w:rFonts w:ascii="Arial" w:hAnsi="Arial" w:cs="Arial"/>
          <w:sz w:val="20"/>
          <w:szCs w:val="20"/>
          <w:lang w:eastAsia="zh-TW"/>
        </w:rPr>
      </w:pPr>
    </w:p>
    <w:p w14:paraId="08767681" w14:textId="0C84E2EF" w:rsidR="00500DE6" w:rsidRPr="00132FB7" w:rsidRDefault="00E70254" w:rsidP="0028091A">
      <w:pPr>
        <w:spacing w:after="0"/>
        <w:jc w:val="both"/>
        <w:rPr>
          <w:rFonts w:ascii="Arial" w:hAnsi="Arial" w:cs="Arial"/>
          <w:sz w:val="20"/>
          <w:szCs w:val="20"/>
          <w:lang w:eastAsia="zh-TW"/>
        </w:rPr>
      </w:pPr>
      <w:r w:rsidRPr="00132FB7">
        <w:rPr>
          <w:rFonts w:ascii="Arial" w:hAnsi="Arial" w:cs="Arial"/>
          <w:color w:val="0C0C0C"/>
          <w:sz w:val="20"/>
          <w:szCs w:val="20"/>
          <w:shd w:val="clear" w:color="auto" w:fill="FFFFFF"/>
        </w:rPr>
        <w:t xml:space="preserve">Since the </w:t>
      </w:r>
      <w:r w:rsidR="00255D54">
        <w:rPr>
          <w:rFonts w:ascii="Arial" w:hAnsi="Arial" w:cs="Arial"/>
          <w:color w:val="0C0C0C"/>
          <w:sz w:val="20"/>
          <w:szCs w:val="20"/>
          <w:shd w:val="clear" w:color="auto" w:fill="FFFFFF"/>
        </w:rPr>
        <w:t xml:space="preserve">publication of the </w:t>
      </w:r>
      <w:r w:rsidRPr="00132FB7">
        <w:rPr>
          <w:rFonts w:ascii="Arial" w:hAnsi="Arial" w:cs="Arial"/>
          <w:color w:val="0C0C0C"/>
          <w:sz w:val="20"/>
          <w:szCs w:val="20"/>
          <w:shd w:val="clear" w:color="auto" w:fill="FFFFFF"/>
        </w:rPr>
        <w:t xml:space="preserve">Consultation Paper, significant advancements in </w:t>
      </w:r>
      <w:r w:rsidR="00306A09">
        <w:rPr>
          <w:rFonts w:ascii="Arial" w:hAnsi="Arial" w:cs="Arial"/>
          <w:color w:val="0C0C0C"/>
          <w:sz w:val="20"/>
          <w:szCs w:val="20"/>
          <w:shd w:val="clear" w:color="auto" w:fill="FFFFFF"/>
        </w:rPr>
        <w:t>Environmental, Social and Governance (</w:t>
      </w:r>
      <w:r w:rsidRPr="007C76A8">
        <w:rPr>
          <w:rFonts w:ascii="Arial" w:hAnsi="Arial" w:cs="Arial"/>
          <w:b/>
          <w:color w:val="0C0C0C"/>
          <w:sz w:val="20"/>
          <w:szCs w:val="20"/>
          <w:shd w:val="clear" w:color="auto" w:fill="FFFFFF"/>
        </w:rPr>
        <w:t>ESG</w:t>
      </w:r>
      <w:r w:rsidR="00306A09">
        <w:rPr>
          <w:rFonts w:ascii="Arial" w:hAnsi="Arial" w:cs="Arial"/>
          <w:color w:val="0C0C0C"/>
          <w:sz w:val="20"/>
          <w:szCs w:val="20"/>
          <w:shd w:val="clear" w:color="auto" w:fill="FFFFFF"/>
        </w:rPr>
        <w:t>)</w:t>
      </w:r>
      <w:r w:rsidRPr="00132FB7">
        <w:rPr>
          <w:rFonts w:ascii="Arial" w:hAnsi="Arial" w:cs="Arial"/>
          <w:color w:val="0C0C0C"/>
          <w:sz w:val="20"/>
          <w:szCs w:val="20"/>
          <w:shd w:val="clear" w:color="auto" w:fill="FFFFFF"/>
        </w:rPr>
        <w:t xml:space="preserve"> reporting and climate-related disclosure </w:t>
      </w:r>
      <w:r w:rsidR="00255D54">
        <w:rPr>
          <w:rFonts w:ascii="Arial" w:hAnsi="Arial" w:cs="Arial"/>
          <w:color w:val="0C0C0C"/>
          <w:sz w:val="20"/>
          <w:szCs w:val="20"/>
          <w:shd w:val="clear" w:color="auto" w:fill="FFFFFF"/>
        </w:rPr>
        <w:t>have been made</w:t>
      </w:r>
      <w:r w:rsidRPr="00132FB7">
        <w:rPr>
          <w:rFonts w:ascii="Arial" w:hAnsi="Arial" w:cs="Arial"/>
          <w:color w:val="0C0C0C"/>
          <w:sz w:val="20"/>
          <w:szCs w:val="20"/>
          <w:shd w:val="clear" w:color="auto" w:fill="FFFFFF"/>
        </w:rPr>
        <w:t xml:space="preserve">. In June 2023, the </w:t>
      </w:r>
      <w:r w:rsidR="00155F87" w:rsidRPr="00132FB7">
        <w:rPr>
          <w:rFonts w:ascii="Arial" w:hAnsi="Arial" w:cs="Arial"/>
          <w:sz w:val="20"/>
          <w:szCs w:val="20"/>
          <w:lang w:eastAsia="zh-TW"/>
        </w:rPr>
        <w:t>ISSB</w:t>
      </w:r>
      <w:r w:rsidRPr="00132FB7">
        <w:rPr>
          <w:rFonts w:ascii="Arial" w:hAnsi="Arial" w:cs="Arial"/>
          <w:sz w:val="20"/>
          <w:szCs w:val="20"/>
          <w:lang w:eastAsia="zh-TW"/>
        </w:rPr>
        <w:t xml:space="preserve"> </w:t>
      </w:r>
      <w:proofErr w:type="spellStart"/>
      <w:r w:rsidR="00470607">
        <w:rPr>
          <w:rFonts w:ascii="Arial" w:hAnsi="Arial" w:cs="Arial"/>
          <w:color w:val="0C0C0C"/>
          <w:sz w:val="20"/>
          <w:szCs w:val="20"/>
          <w:shd w:val="clear" w:color="auto" w:fill="FFFFFF"/>
        </w:rPr>
        <w:t>finalis</w:t>
      </w:r>
      <w:r w:rsidRPr="00132FB7">
        <w:rPr>
          <w:rFonts w:ascii="Arial" w:hAnsi="Arial" w:cs="Arial"/>
          <w:color w:val="0C0C0C"/>
          <w:sz w:val="20"/>
          <w:szCs w:val="20"/>
          <w:shd w:val="clear" w:color="auto" w:fill="FFFFFF"/>
        </w:rPr>
        <w:t>ed</w:t>
      </w:r>
      <w:proofErr w:type="spellEnd"/>
      <w:r w:rsidRPr="00132FB7">
        <w:rPr>
          <w:rFonts w:ascii="Arial" w:hAnsi="Arial" w:cs="Arial"/>
          <w:color w:val="0C0C0C"/>
          <w:sz w:val="20"/>
          <w:szCs w:val="20"/>
          <w:shd w:val="clear" w:color="auto" w:fill="FFFFFF"/>
        </w:rPr>
        <w:t xml:space="preserve"> </w:t>
      </w:r>
      <w:r w:rsidR="00875650">
        <w:rPr>
          <w:rFonts w:ascii="Arial" w:hAnsi="Arial" w:cs="Arial" w:hint="eastAsia"/>
          <w:color w:val="0C0C0C"/>
          <w:sz w:val="20"/>
          <w:szCs w:val="20"/>
          <w:shd w:val="clear" w:color="auto" w:fill="FFFFFF"/>
        </w:rPr>
        <w:t>the</w:t>
      </w:r>
      <w:r w:rsidR="00875650">
        <w:rPr>
          <w:rFonts w:ascii="Arial" w:hAnsi="Arial" w:cs="Arial"/>
          <w:color w:val="0C0C0C"/>
          <w:sz w:val="20"/>
          <w:szCs w:val="20"/>
          <w:shd w:val="clear" w:color="auto" w:fill="FFFFFF"/>
        </w:rPr>
        <w:t xml:space="preserve"> </w:t>
      </w:r>
      <w:r w:rsidRPr="00132FB7">
        <w:rPr>
          <w:rFonts w:ascii="Arial" w:hAnsi="Arial" w:cs="Arial"/>
          <w:color w:val="0C0C0C"/>
          <w:sz w:val="20"/>
          <w:szCs w:val="20"/>
          <w:shd w:val="clear" w:color="auto" w:fill="FFFFFF"/>
        </w:rPr>
        <w:t xml:space="preserve">ISSB </w:t>
      </w:r>
      <w:r w:rsidRPr="00132FB7">
        <w:rPr>
          <w:rFonts w:ascii="Arial" w:hAnsi="Arial" w:cs="Arial"/>
          <w:sz w:val="20"/>
          <w:szCs w:val="20"/>
          <w:lang w:eastAsia="zh-TW"/>
        </w:rPr>
        <w:t>Climate Standard and the ISSB General Standard (together with the ISSB Climate Standard</w:t>
      </w:r>
      <w:r w:rsidR="00470607">
        <w:rPr>
          <w:rFonts w:ascii="Arial" w:hAnsi="Arial" w:cs="Arial"/>
          <w:sz w:val="20"/>
          <w:szCs w:val="20"/>
          <w:lang w:eastAsia="zh-TW"/>
        </w:rPr>
        <w:t>,</w:t>
      </w:r>
      <w:r w:rsidRPr="00132FB7">
        <w:rPr>
          <w:rFonts w:ascii="Arial" w:hAnsi="Arial" w:cs="Arial"/>
          <w:sz w:val="20"/>
          <w:szCs w:val="20"/>
          <w:lang w:eastAsia="zh-TW"/>
        </w:rPr>
        <w:t xml:space="preserve"> the </w:t>
      </w:r>
      <w:r w:rsidRPr="00132FB7">
        <w:rPr>
          <w:rFonts w:ascii="Arial" w:hAnsi="Arial" w:cs="Arial"/>
          <w:b/>
          <w:sz w:val="20"/>
          <w:szCs w:val="20"/>
          <w:lang w:eastAsia="zh-TW"/>
        </w:rPr>
        <w:t>ISSB Standards</w:t>
      </w:r>
      <w:r w:rsidRPr="00132FB7">
        <w:rPr>
          <w:rFonts w:ascii="Arial" w:hAnsi="Arial" w:cs="Arial"/>
          <w:sz w:val="20"/>
          <w:szCs w:val="20"/>
          <w:lang w:eastAsia="zh-TW"/>
        </w:rPr>
        <w:t>)</w:t>
      </w:r>
      <w:r w:rsidR="00470607">
        <w:rPr>
          <w:rFonts w:ascii="Arial" w:hAnsi="Arial" w:cs="Arial"/>
          <w:color w:val="0C0C0C"/>
          <w:sz w:val="20"/>
          <w:szCs w:val="20"/>
          <w:shd w:val="clear" w:color="auto" w:fill="FFFFFF"/>
        </w:rPr>
        <w:t>, which were</w:t>
      </w:r>
      <w:r w:rsidRPr="00132FB7">
        <w:rPr>
          <w:rFonts w:ascii="Arial" w:hAnsi="Arial" w:cs="Arial"/>
          <w:color w:val="0C0C0C"/>
          <w:sz w:val="20"/>
          <w:szCs w:val="20"/>
          <w:shd w:val="clear" w:color="auto" w:fill="FFFFFF"/>
        </w:rPr>
        <w:t xml:space="preserve"> endorsed by </w:t>
      </w:r>
      <w:r w:rsidR="00306A09">
        <w:rPr>
          <w:rFonts w:ascii="Arial" w:hAnsi="Arial" w:cs="Arial"/>
          <w:color w:val="0C0C0C"/>
          <w:sz w:val="20"/>
          <w:szCs w:val="20"/>
          <w:shd w:val="clear" w:color="auto" w:fill="FFFFFF"/>
        </w:rPr>
        <w:t>the</w:t>
      </w:r>
      <w:r w:rsidR="00306A09" w:rsidRPr="00306A09">
        <w:rPr>
          <w:rFonts w:ascii="Arial" w:hAnsi="Arial" w:cs="Arial"/>
          <w:color w:val="0C0C0C"/>
          <w:sz w:val="20"/>
          <w:szCs w:val="20"/>
          <w:shd w:val="clear" w:color="auto" w:fill="FFFFFF"/>
        </w:rPr>
        <w:t xml:space="preserve"> International Organisation of Securities Commissions</w:t>
      </w:r>
      <w:r w:rsidRPr="00132FB7">
        <w:rPr>
          <w:rFonts w:ascii="Arial" w:hAnsi="Arial" w:cs="Arial"/>
          <w:color w:val="0C0C0C"/>
          <w:sz w:val="20"/>
          <w:szCs w:val="20"/>
          <w:shd w:val="clear" w:color="auto" w:fill="FFFFFF"/>
        </w:rPr>
        <w:t xml:space="preserve"> in July 2023 </w:t>
      </w:r>
      <w:r w:rsidR="006E4335">
        <w:rPr>
          <w:rFonts w:ascii="Arial" w:hAnsi="Arial" w:cs="Arial"/>
          <w:color w:val="0C0C0C"/>
          <w:sz w:val="20"/>
          <w:szCs w:val="20"/>
          <w:shd w:val="clear" w:color="auto" w:fill="FFFFFF"/>
        </w:rPr>
        <w:t>urging</w:t>
      </w:r>
      <w:r w:rsidRPr="00132FB7">
        <w:rPr>
          <w:rFonts w:ascii="Arial" w:hAnsi="Arial" w:cs="Arial"/>
          <w:color w:val="0C0C0C"/>
          <w:sz w:val="20"/>
          <w:szCs w:val="20"/>
          <w:shd w:val="clear" w:color="auto" w:fill="FFFFFF"/>
        </w:rPr>
        <w:t xml:space="preserve"> its member jurisdictions to consider adopting these standards. Additionally, the </w:t>
      </w:r>
      <w:r w:rsidR="00306A09" w:rsidRPr="00306A09">
        <w:rPr>
          <w:rFonts w:ascii="Arial" w:hAnsi="Arial" w:cs="Arial"/>
          <w:color w:val="0C0C0C"/>
          <w:sz w:val="20"/>
          <w:szCs w:val="20"/>
          <w:shd w:val="clear" w:color="auto" w:fill="FFFFFF"/>
        </w:rPr>
        <w:t xml:space="preserve">International Auditing and Assurance Standards Board </w:t>
      </w:r>
      <w:r w:rsidRPr="00132FB7">
        <w:rPr>
          <w:rFonts w:ascii="Arial" w:hAnsi="Arial" w:cs="Arial"/>
          <w:color w:val="0C0C0C"/>
          <w:sz w:val="20"/>
          <w:szCs w:val="20"/>
          <w:shd w:val="clear" w:color="auto" w:fill="FFFFFF"/>
        </w:rPr>
        <w:t xml:space="preserve">initiated a consultation on </w:t>
      </w:r>
      <w:r w:rsidR="00875650">
        <w:rPr>
          <w:rFonts w:ascii="Arial" w:hAnsi="Arial" w:cs="Arial"/>
          <w:color w:val="0C0C0C"/>
          <w:sz w:val="20"/>
          <w:szCs w:val="20"/>
          <w:shd w:val="clear" w:color="auto" w:fill="FFFFFF"/>
        </w:rPr>
        <w:t>the</w:t>
      </w:r>
      <w:r w:rsidRPr="00132FB7">
        <w:rPr>
          <w:rFonts w:ascii="Arial" w:hAnsi="Arial" w:cs="Arial"/>
          <w:color w:val="0C0C0C"/>
          <w:sz w:val="20"/>
          <w:szCs w:val="20"/>
          <w:shd w:val="clear" w:color="auto" w:fill="FFFFFF"/>
        </w:rPr>
        <w:t xml:space="preserve"> International Standard on Sustainability Assurance 5000 in August 2023</w:t>
      </w:r>
      <w:r w:rsidR="00306A09">
        <w:rPr>
          <w:rFonts w:ascii="Arial" w:hAnsi="Arial" w:cs="Arial"/>
          <w:color w:val="0C0C0C"/>
          <w:sz w:val="20"/>
          <w:szCs w:val="20"/>
          <w:shd w:val="clear" w:color="auto" w:fill="FFFFFF"/>
        </w:rPr>
        <w:t xml:space="preserve">, which is </w:t>
      </w:r>
      <w:r w:rsidR="00470607">
        <w:rPr>
          <w:rFonts w:ascii="Arial" w:hAnsi="Arial" w:cs="Arial"/>
          <w:color w:val="0C0C0C"/>
          <w:sz w:val="20"/>
          <w:szCs w:val="20"/>
          <w:shd w:val="clear" w:color="auto" w:fill="FFFFFF"/>
        </w:rPr>
        <w:t xml:space="preserve">aimed at </w:t>
      </w:r>
      <w:r w:rsidRPr="00132FB7">
        <w:rPr>
          <w:rFonts w:ascii="Arial" w:hAnsi="Arial" w:cs="Arial"/>
          <w:color w:val="0C0C0C"/>
          <w:sz w:val="20"/>
          <w:szCs w:val="20"/>
          <w:shd w:val="clear" w:color="auto" w:fill="FFFFFF"/>
        </w:rPr>
        <w:t>boost</w:t>
      </w:r>
      <w:r w:rsidR="00470607">
        <w:rPr>
          <w:rFonts w:ascii="Arial" w:hAnsi="Arial" w:cs="Arial"/>
          <w:color w:val="0C0C0C"/>
          <w:sz w:val="20"/>
          <w:szCs w:val="20"/>
          <w:shd w:val="clear" w:color="auto" w:fill="FFFFFF"/>
        </w:rPr>
        <w:t>ing</w:t>
      </w:r>
      <w:r w:rsidRPr="00132FB7">
        <w:rPr>
          <w:rFonts w:ascii="Arial" w:hAnsi="Arial" w:cs="Arial"/>
          <w:color w:val="0C0C0C"/>
          <w:sz w:val="20"/>
          <w:szCs w:val="20"/>
          <w:shd w:val="clear" w:color="auto" w:fill="FFFFFF"/>
        </w:rPr>
        <w:t xml:space="preserve"> investors' confidence in sustainability reporting. </w:t>
      </w:r>
      <w:r w:rsidR="00470607">
        <w:rPr>
          <w:rFonts w:ascii="Arial" w:hAnsi="Arial" w:cs="Arial"/>
          <w:color w:val="0C0C0C"/>
          <w:sz w:val="20"/>
          <w:szCs w:val="20"/>
          <w:shd w:val="clear" w:color="auto" w:fill="FFFFFF"/>
        </w:rPr>
        <w:t>I</w:t>
      </w:r>
      <w:r w:rsidRPr="00132FB7">
        <w:rPr>
          <w:rFonts w:ascii="Arial" w:hAnsi="Arial" w:cs="Arial"/>
          <w:color w:val="0C0C0C"/>
          <w:sz w:val="20"/>
          <w:szCs w:val="20"/>
          <w:shd w:val="clear" w:color="auto" w:fill="FFFFFF"/>
        </w:rPr>
        <w:t>n February 2024, the</w:t>
      </w:r>
      <w:r w:rsidR="00517D18">
        <w:rPr>
          <w:rFonts w:ascii="Arial" w:hAnsi="Arial" w:cs="Arial"/>
          <w:color w:val="0C0C0C"/>
          <w:sz w:val="20"/>
          <w:szCs w:val="20"/>
          <w:shd w:val="clear" w:color="auto" w:fill="FFFFFF"/>
        </w:rPr>
        <w:t xml:space="preserve"> International Financial Reporting Standards</w:t>
      </w:r>
      <w:r w:rsidRPr="00132FB7">
        <w:rPr>
          <w:rFonts w:ascii="Arial" w:hAnsi="Arial" w:cs="Arial"/>
          <w:color w:val="0C0C0C"/>
          <w:sz w:val="20"/>
          <w:szCs w:val="20"/>
          <w:shd w:val="clear" w:color="auto" w:fill="FFFFFF"/>
        </w:rPr>
        <w:t xml:space="preserve"> </w:t>
      </w:r>
      <w:r w:rsidR="00517D18">
        <w:rPr>
          <w:rFonts w:ascii="Arial" w:hAnsi="Arial" w:cs="Arial"/>
          <w:color w:val="0C0C0C"/>
          <w:sz w:val="20"/>
          <w:szCs w:val="20"/>
          <w:shd w:val="clear" w:color="auto" w:fill="FFFFFF"/>
        </w:rPr>
        <w:t>(</w:t>
      </w:r>
      <w:r w:rsidRPr="00517D18">
        <w:rPr>
          <w:rFonts w:ascii="Arial" w:hAnsi="Arial" w:cs="Arial"/>
          <w:b/>
          <w:color w:val="0C0C0C"/>
          <w:sz w:val="20"/>
          <w:szCs w:val="20"/>
          <w:shd w:val="clear" w:color="auto" w:fill="FFFFFF"/>
        </w:rPr>
        <w:t>IFRS</w:t>
      </w:r>
      <w:r w:rsidR="00517D18">
        <w:rPr>
          <w:rFonts w:ascii="Arial" w:hAnsi="Arial" w:cs="Arial"/>
          <w:color w:val="0C0C0C"/>
          <w:sz w:val="20"/>
          <w:szCs w:val="20"/>
          <w:shd w:val="clear" w:color="auto" w:fill="FFFFFF"/>
        </w:rPr>
        <w:t>)</w:t>
      </w:r>
      <w:r w:rsidRPr="00132FB7">
        <w:rPr>
          <w:rFonts w:ascii="Arial" w:hAnsi="Arial" w:cs="Arial"/>
          <w:color w:val="0C0C0C"/>
          <w:sz w:val="20"/>
          <w:szCs w:val="20"/>
          <w:shd w:val="clear" w:color="auto" w:fill="FFFFFF"/>
        </w:rPr>
        <w:t xml:space="preserve"> Foundation published an ISSB </w:t>
      </w:r>
      <w:r w:rsidR="00517D18">
        <w:rPr>
          <w:rFonts w:ascii="Arial" w:hAnsi="Arial" w:cs="Arial"/>
          <w:color w:val="0C0C0C"/>
          <w:sz w:val="20"/>
          <w:szCs w:val="20"/>
          <w:shd w:val="clear" w:color="auto" w:fill="FFFFFF"/>
        </w:rPr>
        <w:t>Adoption Guide Preview, suggesting enhanced</w:t>
      </w:r>
      <w:r w:rsidRPr="00132FB7">
        <w:rPr>
          <w:rFonts w:ascii="Arial" w:hAnsi="Arial" w:cs="Arial"/>
          <w:color w:val="0C0C0C"/>
          <w:sz w:val="20"/>
          <w:szCs w:val="20"/>
          <w:shd w:val="clear" w:color="auto" w:fill="FFFFFF"/>
        </w:rPr>
        <w:t xml:space="preserve"> climate disclosures and phased implementation based on market tiers and milestones.</w:t>
      </w:r>
    </w:p>
    <w:p w14:paraId="43ACECDC" w14:textId="77777777" w:rsidR="0045792F" w:rsidRPr="00132FB7" w:rsidRDefault="0045792F" w:rsidP="0028091A">
      <w:pPr>
        <w:spacing w:after="0"/>
        <w:jc w:val="both"/>
        <w:rPr>
          <w:rFonts w:ascii="Arial" w:hAnsi="Arial" w:cs="Arial"/>
          <w:sz w:val="20"/>
          <w:szCs w:val="20"/>
          <w:lang w:eastAsia="zh-TW"/>
        </w:rPr>
      </w:pPr>
    </w:p>
    <w:p w14:paraId="5C077E06" w14:textId="4D5A9C3D" w:rsidR="0045792F" w:rsidRPr="00132FB7" w:rsidRDefault="00470607" w:rsidP="0028091A">
      <w:pPr>
        <w:spacing w:after="0"/>
        <w:jc w:val="both"/>
        <w:rPr>
          <w:rFonts w:ascii="Arial" w:hAnsi="Arial" w:cs="Arial"/>
          <w:sz w:val="20"/>
          <w:szCs w:val="20"/>
          <w:lang w:eastAsia="zh-TW"/>
        </w:rPr>
      </w:pPr>
      <w:r>
        <w:rPr>
          <w:rFonts w:ascii="Arial" w:hAnsi="Arial" w:cs="Arial"/>
          <w:sz w:val="20"/>
          <w:szCs w:val="20"/>
          <w:lang w:eastAsia="zh-TW"/>
        </w:rPr>
        <w:t xml:space="preserve">Since </w:t>
      </w:r>
      <w:r w:rsidR="00E70254" w:rsidRPr="00132FB7">
        <w:rPr>
          <w:rFonts w:ascii="Arial" w:hAnsi="Arial" w:cs="Arial"/>
          <w:sz w:val="20"/>
          <w:szCs w:val="20"/>
          <w:lang w:eastAsia="zh-TW"/>
        </w:rPr>
        <w:t xml:space="preserve">the announcement </w:t>
      </w:r>
      <w:r>
        <w:rPr>
          <w:rFonts w:ascii="Arial" w:hAnsi="Arial" w:cs="Arial"/>
          <w:sz w:val="20"/>
          <w:szCs w:val="20"/>
          <w:lang w:eastAsia="zh-TW"/>
        </w:rPr>
        <w:t xml:space="preserve">of </w:t>
      </w:r>
      <w:r w:rsidR="00E70254" w:rsidRPr="00132FB7">
        <w:rPr>
          <w:rFonts w:ascii="Arial" w:hAnsi="Arial" w:cs="Arial"/>
          <w:sz w:val="20"/>
          <w:szCs w:val="20"/>
          <w:lang w:eastAsia="zh-TW"/>
        </w:rPr>
        <w:t>the Green and Sustainable Finance Cross-Agency Steering Group</w:t>
      </w:r>
      <w:r w:rsidR="00E70254" w:rsidRPr="00132FB7">
        <w:rPr>
          <w:rStyle w:val="FootnoteReference"/>
          <w:rFonts w:ascii="Arial" w:hAnsi="Arial" w:cs="Arial"/>
          <w:sz w:val="20"/>
          <w:szCs w:val="20"/>
          <w:lang w:eastAsia="zh-TW"/>
        </w:rPr>
        <w:footnoteReference w:id="1"/>
      </w:r>
      <w:r w:rsidR="00E70254" w:rsidRPr="00132FB7">
        <w:rPr>
          <w:rFonts w:ascii="Arial" w:hAnsi="Arial" w:cs="Arial"/>
          <w:sz w:val="20"/>
          <w:szCs w:val="20"/>
          <w:lang w:eastAsia="zh-TW"/>
        </w:rPr>
        <w:t xml:space="preserve"> and the Chief Executive’s 2023 Policy Address, Hong Kong </w:t>
      </w:r>
      <w:r>
        <w:rPr>
          <w:rFonts w:ascii="Arial" w:hAnsi="Arial" w:cs="Arial"/>
          <w:sz w:val="20"/>
          <w:szCs w:val="20"/>
          <w:lang w:eastAsia="zh-TW"/>
        </w:rPr>
        <w:t xml:space="preserve">has sought </w:t>
      </w:r>
      <w:r w:rsidR="0002213F" w:rsidRPr="00132FB7">
        <w:rPr>
          <w:rFonts w:ascii="Arial" w:hAnsi="Arial" w:cs="Arial"/>
          <w:sz w:val="20"/>
          <w:szCs w:val="20"/>
          <w:lang w:eastAsia="zh-TW"/>
        </w:rPr>
        <w:t xml:space="preserve">to strengthen its sustainable finance ecosystem by adopting the </w:t>
      </w:r>
      <w:r w:rsidR="00E70254" w:rsidRPr="00132FB7">
        <w:rPr>
          <w:rFonts w:ascii="Arial" w:hAnsi="Arial" w:cs="Arial"/>
          <w:sz w:val="20"/>
          <w:szCs w:val="20"/>
          <w:lang w:eastAsia="zh-TW"/>
        </w:rPr>
        <w:t xml:space="preserve">ISSB Standards </w:t>
      </w:r>
      <w:r w:rsidR="0002213F" w:rsidRPr="00132FB7">
        <w:rPr>
          <w:rFonts w:ascii="Arial" w:hAnsi="Arial" w:cs="Arial"/>
          <w:sz w:val="20"/>
          <w:szCs w:val="20"/>
          <w:lang w:eastAsia="zh-TW"/>
        </w:rPr>
        <w:t>published in June 2023 wit</w:t>
      </w:r>
      <w:r w:rsidR="00A74E49">
        <w:rPr>
          <w:rFonts w:ascii="Arial" w:hAnsi="Arial" w:cs="Arial"/>
          <w:sz w:val="20"/>
          <w:szCs w:val="20"/>
          <w:lang w:eastAsia="zh-TW"/>
        </w:rPr>
        <w:t>h suitable amendments to cater f</w:t>
      </w:r>
      <w:r w:rsidR="0002213F" w:rsidRPr="00132FB7">
        <w:rPr>
          <w:rFonts w:ascii="Arial" w:hAnsi="Arial" w:cs="Arial"/>
          <w:sz w:val="20"/>
          <w:szCs w:val="20"/>
          <w:lang w:eastAsia="zh-TW"/>
        </w:rPr>
        <w:t>o</w:t>
      </w:r>
      <w:r w:rsidR="00A74E49">
        <w:rPr>
          <w:rFonts w:ascii="Arial" w:hAnsi="Arial" w:cs="Arial"/>
          <w:sz w:val="20"/>
          <w:szCs w:val="20"/>
          <w:lang w:eastAsia="zh-TW"/>
        </w:rPr>
        <w:t>r</w:t>
      </w:r>
      <w:r w:rsidR="0002213F" w:rsidRPr="00132FB7">
        <w:rPr>
          <w:rFonts w:ascii="Arial" w:hAnsi="Arial" w:cs="Arial"/>
          <w:sz w:val="20"/>
          <w:szCs w:val="20"/>
          <w:lang w:eastAsia="zh-TW"/>
        </w:rPr>
        <w:t xml:space="preserve"> Hong Kong's green finance landscape. </w:t>
      </w:r>
      <w:r>
        <w:rPr>
          <w:rFonts w:ascii="Arial" w:hAnsi="Arial" w:cs="Arial"/>
          <w:sz w:val="20"/>
          <w:szCs w:val="20"/>
          <w:lang w:eastAsia="zh-TW"/>
        </w:rPr>
        <w:t>I</w:t>
      </w:r>
      <w:r w:rsidR="0002213F" w:rsidRPr="00132FB7">
        <w:rPr>
          <w:rFonts w:ascii="Arial" w:hAnsi="Arial" w:cs="Arial"/>
          <w:sz w:val="20"/>
          <w:szCs w:val="20"/>
          <w:lang w:eastAsia="zh-TW"/>
        </w:rPr>
        <w:t>n March 2024</w:t>
      </w:r>
      <w:r>
        <w:rPr>
          <w:rFonts w:ascii="Arial" w:hAnsi="Arial" w:cs="Arial"/>
          <w:sz w:val="20"/>
          <w:szCs w:val="20"/>
          <w:lang w:eastAsia="zh-TW"/>
        </w:rPr>
        <w:t>,</w:t>
      </w:r>
      <w:r w:rsidR="0002213F" w:rsidRPr="00132FB7">
        <w:rPr>
          <w:rFonts w:ascii="Arial" w:hAnsi="Arial" w:cs="Arial"/>
          <w:sz w:val="20"/>
          <w:szCs w:val="20"/>
          <w:lang w:eastAsia="zh-TW"/>
        </w:rPr>
        <w:t xml:space="preserve"> the Hong Kong Government's Financial Services and the Treasury Bureau published a statement designating the Hong Kong Institute of Certified Public Accountants</w:t>
      </w:r>
      <w:r w:rsidR="006D02E2" w:rsidRPr="00132FB7">
        <w:rPr>
          <w:rFonts w:ascii="Arial" w:hAnsi="Arial" w:cs="Arial"/>
          <w:sz w:val="20"/>
          <w:szCs w:val="20"/>
          <w:lang w:eastAsia="zh-TW"/>
        </w:rPr>
        <w:t xml:space="preserve"> (</w:t>
      </w:r>
      <w:r w:rsidR="006D02E2" w:rsidRPr="00132FB7">
        <w:rPr>
          <w:rFonts w:ascii="Arial" w:hAnsi="Arial" w:cs="Arial"/>
          <w:b/>
          <w:sz w:val="20"/>
          <w:szCs w:val="20"/>
          <w:lang w:eastAsia="zh-TW"/>
        </w:rPr>
        <w:t>HKICPA</w:t>
      </w:r>
      <w:r w:rsidR="006D02E2" w:rsidRPr="00132FB7">
        <w:rPr>
          <w:rFonts w:ascii="Arial" w:hAnsi="Arial" w:cs="Arial"/>
          <w:sz w:val="20"/>
          <w:szCs w:val="20"/>
          <w:lang w:eastAsia="zh-TW"/>
        </w:rPr>
        <w:t>)</w:t>
      </w:r>
      <w:r w:rsidR="0002213F" w:rsidRPr="00132FB7">
        <w:rPr>
          <w:rFonts w:ascii="Arial" w:hAnsi="Arial" w:cs="Arial"/>
          <w:sz w:val="20"/>
          <w:szCs w:val="20"/>
          <w:lang w:eastAsia="zh-TW"/>
        </w:rPr>
        <w:t xml:space="preserve"> as the sustainability reporting standard setter in Hong Kong. Following the ISSB’s recommendations on proportionality</w:t>
      </w:r>
      <w:r w:rsidR="00CE2AC6">
        <w:rPr>
          <w:rFonts w:ascii="Arial" w:hAnsi="Arial" w:cs="Arial"/>
          <w:sz w:val="20"/>
          <w:szCs w:val="20"/>
          <w:lang w:eastAsia="zh-TW"/>
        </w:rPr>
        <w:t>,</w:t>
      </w:r>
      <w:r w:rsidR="0002213F" w:rsidRPr="00132FB7">
        <w:rPr>
          <w:rFonts w:ascii="Arial" w:hAnsi="Arial" w:cs="Arial"/>
          <w:sz w:val="20"/>
          <w:szCs w:val="20"/>
          <w:lang w:eastAsia="zh-TW"/>
        </w:rPr>
        <w:t xml:space="preserve"> </w:t>
      </w:r>
      <w:r w:rsidR="00A74E49">
        <w:rPr>
          <w:rFonts w:ascii="Arial" w:hAnsi="Arial" w:cs="Arial"/>
          <w:sz w:val="20"/>
          <w:szCs w:val="20"/>
          <w:lang w:eastAsia="zh-TW"/>
        </w:rPr>
        <w:t>phasing-in of the ISSB Standard</w:t>
      </w:r>
      <w:r w:rsidR="0002213F" w:rsidRPr="00132FB7">
        <w:rPr>
          <w:rFonts w:ascii="Arial" w:hAnsi="Arial" w:cs="Arial"/>
          <w:sz w:val="20"/>
          <w:szCs w:val="20"/>
          <w:lang w:eastAsia="zh-TW"/>
        </w:rPr>
        <w:t xml:space="preserve"> </w:t>
      </w:r>
      <w:r>
        <w:rPr>
          <w:rFonts w:ascii="Arial" w:hAnsi="Arial" w:cs="Arial"/>
          <w:sz w:val="20"/>
          <w:szCs w:val="20"/>
          <w:lang w:eastAsia="zh-TW"/>
        </w:rPr>
        <w:t xml:space="preserve">and </w:t>
      </w:r>
      <w:r w:rsidR="0002213F" w:rsidRPr="00132FB7">
        <w:rPr>
          <w:rFonts w:ascii="Arial" w:hAnsi="Arial" w:cs="Arial"/>
          <w:sz w:val="20"/>
          <w:szCs w:val="20"/>
          <w:lang w:eastAsia="zh-TW"/>
        </w:rPr>
        <w:t xml:space="preserve">its </w:t>
      </w:r>
      <w:r w:rsidR="00285E5A">
        <w:rPr>
          <w:rFonts w:ascii="Arial" w:hAnsi="Arial" w:cs="Arial"/>
          <w:sz w:val="20"/>
          <w:szCs w:val="20"/>
          <w:lang w:eastAsia="zh-TW"/>
        </w:rPr>
        <w:t>proposed</w:t>
      </w:r>
      <w:r w:rsidR="0002213F" w:rsidRPr="00132FB7">
        <w:rPr>
          <w:rFonts w:ascii="Arial" w:hAnsi="Arial" w:cs="Arial"/>
          <w:sz w:val="20"/>
          <w:szCs w:val="20"/>
          <w:lang w:eastAsia="zh-TW"/>
        </w:rPr>
        <w:t xml:space="preserve"> focus on pub</w:t>
      </w:r>
      <w:r w:rsidR="00285E5A">
        <w:rPr>
          <w:rFonts w:ascii="Arial" w:hAnsi="Arial" w:cs="Arial"/>
          <w:sz w:val="20"/>
          <w:szCs w:val="20"/>
          <w:lang w:eastAsia="zh-TW"/>
        </w:rPr>
        <w:t>licly accountable entities, the</w:t>
      </w:r>
      <w:r w:rsidR="0002213F" w:rsidRPr="00132FB7">
        <w:rPr>
          <w:rFonts w:ascii="Arial" w:hAnsi="Arial" w:cs="Arial"/>
          <w:sz w:val="20"/>
          <w:szCs w:val="20"/>
          <w:lang w:eastAsia="zh-TW"/>
        </w:rPr>
        <w:t xml:space="preserve"> </w:t>
      </w:r>
      <w:r w:rsidR="00306A09">
        <w:rPr>
          <w:rFonts w:ascii="Arial" w:hAnsi="Arial" w:cs="Arial"/>
          <w:sz w:val="20"/>
          <w:szCs w:val="20"/>
          <w:lang w:eastAsia="zh-TW"/>
        </w:rPr>
        <w:t>Exchange</w:t>
      </w:r>
      <w:r w:rsidR="006E4335">
        <w:rPr>
          <w:rFonts w:ascii="Arial" w:hAnsi="Arial" w:cs="Arial"/>
          <w:sz w:val="20"/>
          <w:szCs w:val="20"/>
          <w:lang w:eastAsia="zh-TW"/>
        </w:rPr>
        <w:t>’s</w:t>
      </w:r>
      <w:r w:rsidR="00285E5A" w:rsidRPr="00132FB7">
        <w:rPr>
          <w:rFonts w:ascii="Arial" w:hAnsi="Arial" w:cs="Arial"/>
          <w:sz w:val="20"/>
          <w:szCs w:val="20"/>
          <w:lang w:eastAsia="zh-TW"/>
        </w:rPr>
        <w:t xml:space="preserve"> </w:t>
      </w:r>
      <w:r w:rsidR="0002213F" w:rsidRPr="00132FB7">
        <w:rPr>
          <w:rFonts w:ascii="Arial" w:hAnsi="Arial" w:cs="Arial"/>
          <w:sz w:val="20"/>
          <w:szCs w:val="20"/>
          <w:lang w:eastAsia="zh-TW"/>
        </w:rPr>
        <w:t>Consultation Conclusion</w:t>
      </w:r>
      <w:r w:rsidR="00285E5A">
        <w:rPr>
          <w:rFonts w:ascii="Arial" w:hAnsi="Arial" w:cs="Arial"/>
          <w:sz w:val="20"/>
          <w:szCs w:val="20"/>
          <w:lang w:eastAsia="zh-TW"/>
        </w:rPr>
        <w:t>s</w:t>
      </w:r>
      <w:r w:rsidR="0002213F" w:rsidRPr="00132FB7">
        <w:rPr>
          <w:rFonts w:ascii="Arial" w:hAnsi="Arial" w:cs="Arial"/>
          <w:sz w:val="20"/>
          <w:szCs w:val="20"/>
          <w:lang w:eastAsia="zh-TW"/>
        </w:rPr>
        <w:t xml:space="preserve"> will </w:t>
      </w:r>
      <w:r w:rsidR="00285E5A">
        <w:rPr>
          <w:rFonts w:ascii="Arial" w:hAnsi="Arial" w:cs="Arial"/>
          <w:sz w:val="20"/>
          <w:szCs w:val="20"/>
          <w:lang w:eastAsia="zh-TW"/>
        </w:rPr>
        <w:t xml:space="preserve">be </w:t>
      </w:r>
      <w:r w:rsidR="0002213F" w:rsidRPr="00132FB7">
        <w:rPr>
          <w:rFonts w:ascii="Arial" w:hAnsi="Arial" w:cs="Arial"/>
          <w:sz w:val="20"/>
          <w:szCs w:val="20"/>
          <w:lang w:eastAsia="zh-TW"/>
        </w:rPr>
        <w:t>the</w:t>
      </w:r>
      <w:r w:rsidR="00285E5A">
        <w:rPr>
          <w:rFonts w:ascii="Arial" w:hAnsi="Arial" w:cs="Arial"/>
          <w:sz w:val="20"/>
          <w:szCs w:val="20"/>
          <w:lang w:eastAsia="zh-TW"/>
        </w:rPr>
        <w:t xml:space="preserve"> first step in </w:t>
      </w:r>
      <w:r w:rsidR="00CE2AC6">
        <w:rPr>
          <w:rFonts w:ascii="Arial" w:hAnsi="Arial" w:cs="Arial"/>
          <w:sz w:val="20"/>
          <w:szCs w:val="20"/>
          <w:lang w:eastAsia="zh-TW"/>
        </w:rPr>
        <w:t>enhancing ESG reporting regulations for</w:t>
      </w:r>
      <w:r w:rsidR="00CE2AC6" w:rsidRPr="00132FB7">
        <w:rPr>
          <w:rFonts w:ascii="Arial" w:hAnsi="Arial" w:cs="Arial"/>
          <w:sz w:val="20"/>
          <w:szCs w:val="20"/>
          <w:lang w:eastAsia="zh-TW"/>
        </w:rPr>
        <w:t xml:space="preserve"> </w:t>
      </w:r>
      <w:r w:rsidR="003A0703" w:rsidRPr="00132FB7">
        <w:rPr>
          <w:rFonts w:ascii="Arial" w:hAnsi="Arial" w:cs="Arial"/>
          <w:sz w:val="20"/>
          <w:szCs w:val="20"/>
          <w:lang w:eastAsia="zh-TW"/>
        </w:rPr>
        <w:t xml:space="preserve">listed companies in Hong Kong </w:t>
      </w:r>
      <w:r w:rsidR="006D02E2" w:rsidRPr="00132FB7">
        <w:rPr>
          <w:rFonts w:ascii="Arial" w:hAnsi="Arial" w:cs="Arial"/>
          <w:sz w:val="20"/>
          <w:szCs w:val="20"/>
          <w:lang w:eastAsia="zh-TW"/>
        </w:rPr>
        <w:t xml:space="preserve">pending the </w:t>
      </w:r>
      <w:r w:rsidR="00A74E49" w:rsidRPr="00132FB7">
        <w:rPr>
          <w:rFonts w:ascii="Arial" w:hAnsi="Arial" w:cs="Arial"/>
          <w:sz w:val="20"/>
          <w:szCs w:val="20"/>
          <w:lang w:eastAsia="zh-TW"/>
        </w:rPr>
        <w:t>HKICPA</w:t>
      </w:r>
      <w:r w:rsidR="00A74E49">
        <w:rPr>
          <w:rFonts w:ascii="Arial" w:hAnsi="Arial" w:cs="Arial"/>
          <w:sz w:val="20"/>
          <w:szCs w:val="20"/>
          <w:lang w:eastAsia="zh-TW"/>
        </w:rPr>
        <w:t>’s</w:t>
      </w:r>
      <w:r w:rsidR="00A74E49" w:rsidRPr="00132FB7">
        <w:rPr>
          <w:rFonts w:ascii="Arial" w:hAnsi="Arial" w:cs="Arial"/>
          <w:sz w:val="20"/>
          <w:szCs w:val="20"/>
          <w:lang w:eastAsia="zh-TW"/>
        </w:rPr>
        <w:t xml:space="preserve"> </w:t>
      </w:r>
      <w:r w:rsidR="006D02E2" w:rsidRPr="00132FB7">
        <w:rPr>
          <w:rFonts w:ascii="Arial" w:hAnsi="Arial" w:cs="Arial"/>
          <w:sz w:val="20"/>
          <w:szCs w:val="20"/>
          <w:lang w:eastAsia="zh-TW"/>
        </w:rPr>
        <w:t>development of local sustai</w:t>
      </w:r>
      <w:r w:rsidR="00A74E49">
        <w:rPr>
          <w:rFonts w:ascii="Arial" w:hAnsi="Arial" w:cs="Arial"/>
          <w:sz w:val="20"/>
          <w:szCs w:val="20"/>
          <w:lang w:eastAsia="zh-TW"/>
        </w:rPr>
        <w:t>nability disclosure standards</w:t>
      </w:r>
      <w:r w:rsidR="006D02E2" w:rsidRPr="00132FB7">
        <w:rPr>
          <w:rFonts w:ascii="Arial" w:hAnsi="Arial" w:cs="Arial"/>
          <w:sz w:val="20"/>
          <w:szCs w:val="20"/>
          <w:lang w:eastAsia="zh-TW"/>
        </w:rPr>
        <w:t xml:space="preserve">. </w:t>
      </w:r>
    </w:p>
    <w:p w14:paraId="267A9EAC" w14:textId="77777777" w:rsidR="006971C4" w:rsidRPr="00132FB7" w:rsidRDefault="006971C4" w:rsidP="0028091A">
      <w:pPr>
        <w:spacing w:after="0"/>
        <w:jc w:val="both"/>
        <w:rPr>
          <w:rFonts w:ascii="Arial" w:hAnsi="Arial" w:cs="Arial"/>
          <w:sz w:val="20"/>
          <w:szCs w:val="20"/>
          <w:lang w:eastAsia="zh-TW"/>
        </w:rPr>
      </w:pPr>
    </w:p>
    <w:p w14:paraId="4925F4F1" w14:textId="2D44A0E9" w:rsidR="001D393E"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 xml:space="preserve">The </w:t>
      </w:r>
      <w:r w:rsidR="00306A09">
        <w:rPr>
          <w:rFonts w:ascii="Arial" w:hAnsi="Arial" w:cs="Arial"/>
          <w:sz w:val="20"/>
          <w:szCs w:val="20"/>
          <w:lang w:eastAsia="zh-TW"/>
        </w:rPr>
        <w:t>Exchange</w:t>
      </w:r>
      <w:r w:rsidRPr="00132FB7">
        <w:rPr>
          <w:rFonts w:ascii="Arial" w:hAnsi="Arial" w:cs="Arial"/>
          <w:sz w:val="20"/>
          <w:szCs w:val="20"/>
          <w:lang w:eastAsia="zh-TW"/>
        </w:rPr>
        <w:t xml:space="preserve"> urges listed companies to reference the Implementation Guidance </w:t>
      </w:r>
      <w:r w:rsidR="00CE2AC6">
        <w:rPr>
          <w:rFonts w:ascii="Arial" w:hAnsi="Arial" w:cs="Arial"/>
          <w:sz w:val="20"/>
          <w:szCs w:val="20"/>
          <w:lang w:eastAsia="zh-TW"/>
        </w:rPr>
        <w:t>as well as</w:t>
      </w:r>
      <w:r w:rsidR="00CE2AC6" w:rsidRPr="00132FB7">
        <w:rPr>
          <w:rFonts w:ascii="Arial" w:hAnsi="Arial" w:cs="Arial"/>
          <w:sz w:val="20"/>
          <w:szCs w:val="20"/>
          <w:lang w:eastAsia="zh-TW"/>
        </w:rPr>
        <w:t xml:space="preserve"> </w:t>
      </w:r>
      <w:r w:rsidRPr="00132FB7">
        <w:rPr>
          <w:rFonts w:ascii="Arial" w:hAnsi="Arial" w:cs="Arial"/>
          <w:sz w:val="20"/>
          <w:szCs w:val="20"/>
          <w:lang w:eastAsia="zh-TW"/>
        </w:rPr>
        <w:t xml:space="preserve">the definitions and application guidance set out in Appendices A and B </w:t>
      </w:r>
      <w:r w:rsidR="00A74E49">
        <w:rPr>
          <w:rFonts w:ascii="Arial" w:hAnsi="Arial" w:cs="Arial"/>
          <w:sz w:val="20"/>
          <w:szCs w:val="20"/>
          <w:lang w:eastAsia="zh-TW"/>
        </w:rPr>
        <w:t>to</w:t>
      </w:r>
      <w:r w:rsidRPr="00132FB7">
        <w:rPr>
          <w:rFonts w:ascii="Arial" w:hAnsi="Arial" w:cs="Arial"/>
          <w:sz w:val="20"/>
          <w:szCs w:val="20"/>
          <w:lang w:eastAsia="zh-TW"/>
        </w:rPr>
        <w:t xml:space="preserve"> the ISSB Climate Standard. These guides </w:t>
      </w:r>
      <w:r w:rsidRPr="00132FB7">
        <w:rPr>
          <w:rFonts w:ascii="Arial" w:hAnsi="Arial" w:cs="Arial"/>
          <w:sz w:val="20"/>
          <w:szCs w:val="20"/>
          <w:lang w:eastAsia="zh-TW"/>
        </w:rPr>
        <w:lastRenderedPageBreak/>
        <w:t xml:space="preserve">provide in-depth explanations of the new climate requirements, relevant measurement </w:t>
      </w:r>
      <w:r w:rsidR="00A74E49">
        <w:rPr>
          <w:rFonts w:ascii="Arial" w:hAnsi="Arial" w:cs="Arial"/>
          <w:sz w:val="20"/>
          <w:szCs w:val="20"/>
          <w:lang w:eastAsia="zh-TW"/>
        </w:rPr>
        <w:t>approaches</w:t>
      </w:r>
      <w:r w:rsidRPr="00132FB7">
        <w:rPr>
          <w:rFonts w:ascii="Arial" w:hAnsi="Arial" w:cs="Arial"/>
          <w:sz w:val="20"/>
          <w:szCs w:val="20"/>
          <w:lang w:eastAsia="zh-TW"/>
        </w:rPr>
        <w:t xml:space="preserve"> and a</w:t>
      </w:r>
      <w:r w:rsidR="00A74E49">
        <w:rPr>
          <w:rFonts w:ascii="Arial" w:hAnsi="Arial" w:cs="Arial"/>
          <w:sz w:val="20"/>
          <w:szCs w:val="20"/>
          <w:lang w:eastAsia="zh-TW"/>
        </w:rPr>
        <w:t>pplicable implementation relief</w:t>
      </w:r>
      <w:r w:rsidR="00875650">
        <w:rPr>
          <w:rFonts w:ascii="Arial" w:hAnsi="Arial" w:cs="Arial"/>
          <w:sz w:val="20"/>
          <w:szCs w:val="20"/>
          <w:lang w:eastAsia="zh-TW"/>
        </w:rPr>
        <w:t>s</w:t>
      </w:r>
      <w:r w:rsidRPr="00132FB7">
        <w:rPr>
          <w:rFonts w:ascii="Arial" w:hAnsi="Arial" w:cs="Arial"/>
          <w:sz w:val="20"/>
          <w:szCs w:val="20"/>
          <w:lang w:eastAsia="zh-TW"/>
        </w:rPr>
        <w:t xml:space="preserve">. </w:t>
      </w:r>
      <w:r w:rsidR="00A74E49">
        <w:rPr>
          <w:rFonts w:ascii="Arial" w:hAnsi="Arial" w:cs="Arial"/>
          <w:sz w:val="20"/>
          <w:szCs w:val="20"/>
          <w:lang w:eastAsia="zh-TW"/>
        </w:rPr>
        <w:t xml:space="preserve">In </w:t>
      </w:r>
      <w:r w:rsidR="007B2074" w:rsidRPr="00132FB7">
        <w:rPr>
          <w:rFonts w:ascii="Arial" w:hAnsi="Arial" w:cs="Arial"/>
          <w:sz w:val="20"/>
          <w:szCs w:val="20"/>
          <w:lang w:eastAsia="zh-TW"/>
        </w:rPr>
        <w:t xml:space="preserve">paragraph 8 of the ESG Code, the </w:t>
      </w:r>
      <w:r w:rsidR="00306A09">
        <w:rPr>
          <w:rFonts w:ascii="Arial" w:hAnsi="Arial" w:cs="Arial"/>
          <w:sz w:val="20"/>
          <w:szCs w:val="20"/>
          <w:lang w:eastAsia="zh-TW"/>
        </w:rPr>
        <w:t>Exchange</w:t>
      </w:r>
      <w:r w:rsidR="007B2074" w:rsidRPr="00132FB7">
        <w:rPr>
          <w:rFonts w:ascii="Arial" w:hAnsi="Arial" w:cs="Arial"/>
          <w:sz w:val="20"/>
          <w:szCs w:val="20"/>
          <w:lang w:eastAsia="zh-TW"/>
        </w:rPr>
        <w:t xml:space="preserve"> </w:t>
      </w:r>
      <w:r w:rsidR="00A74E49">
        <w:rPr>
          <w:rFonts w:ascii="Arial" w:hAnsi="Arial" w:cs="Arial"/>
          <w:sz w:val="20"/>
          <w:szCs w:val="20"/>
          <w:lang w:eastAsia="zh-TW"/>
        </w:rPr>
        <w:t>clarifies</w:t>
      </w:r>
      <w:r w:rsidRPr="00132FB7">
        <w:rPr>
          <w:rFonts w:ascii="Arial" w:hAnsi="Arial" w:cs="Arial"/>
          <w:sz w:val="20"/>
          <w:szCs w:val="20"/>
          <w:lang w:eastAsia="zh-TW"/>
        </w:rPr>
        <w:t xml:space="preserve"> that listed companies</w:t>
      </w:r>
      <w:r w:rsidR="00B41A8E">
        <w:rPr>
          <w:rFonts w:ascii="Arial" w:hAnsi="Arial" w:cs="Arial"/>
          <w:sz w:val="20"/>
          <w:szCs w:val="20"/>
          <w:lang w:eastAsia="zh-TW"/>
        </w:rPr>
        <w:t xml:space="preserve"> </w:t>
      </w:r>
      <w:r w:rsidRPr="00132FB7">
        <w:rPr>
          <w:rFonts w:ascii="Arial" w:hAnsi="Arial" w:cs="Arial"/>
          <w:sz w:val="20"/>
          <w:szCs w:val="20"/>
          <w:lang w:eastAsia="zh-TW"/>
        </w:rPr>
        <w:t xml:space="preserve">can also </w:t>
      </w:r>
      <w:r w:rsidR="00A74E49">
        <w:rPr>
          <w:rFonts w:ascii="Arial" w:hAnsi="Arial" w:cs="Arial"/>
          <w:sz w:val="20"/>
          <w:szCs w:val="20"/>
          <w:lang w:eastAsia="zh-TW"/>
        </w:rPr>
        <w:t xml:space="preserve">follow </w:t>
      </w:r>
      <w:r w:rsidRPr="00132FB7">
        <w:rPr>
          <w:rFonts w:ascii="Arial" w:hAnsi="Arial" w:cs="Arial"/>
          <w:sz w:val="20"/>
          <w:szCs w:val="20"/>
          <w:lang w:eastAsia="zh-TW"/>
        </w:rPr>
        <w:t xml:space="preserve">other international ESG reporting guidance </w:t>
      </w:r>
      <w:r w:rsidR="00A74E49">
        <w:rPr>
          <w:rFonts w:ascii="Arial" w:hAnsi="Arial" w:cs="Arial"/>
          <w:sz w:val="20"/>
          <w:szCs w:val="20"/>
          <w:lang w:eastAsia="zh-TW"/>
        </w:rPr>
        <w:t>provided</w:t>
      </w:r>
      <w:r w:rsidR="006E4335">
        <w:rPr>
          <w:rFonts w:ascii="Arial" w:hAnsi="Arial" w:cs="Arial"/>
          <w:sz w:val="20"/>
          <w:szCs w:val="20"/>
          <w:lang w:eastAsia="zh-TW"/>
        </w:rPr>
        <w:t xml:space="preserve"> that</w:t>
      </w:r>
      <w:r w:rsidR="00A74E49">
        <w:rPr>
          <w:rFonts w:ascii="Arial" w:hAnsi="Arial" w:cs="Arial"/>
          <w:sz w:val="20"/>
          <w:szCs w:val="20"/>
          <w:lang w:eastAsia="zh-TW"/>
        </w:rPr>
        <w:t xml:space="preserve"> the </w:t>
      </w:r>
      <w:r w:rsidR="00A74E49" w:rsidRPr="00132FB7">
        <w:rPr>
          <w:rFonts w:ascii="Arial" w:hAnsi="Arial" w:cs="Arial"/>
          <w:sz w:val="20"/>
          <w:szCs w:val="20"/>
          <w:lang w:eastAsia="zh-TW"/>
        </w:rPr>
        <w:t>ESG Code</w:t>
      </w:r>
      <w:r w:rsidR="00A74E49">
        <w:rPr>
          <w:rFonts w:ascii="Arial" w:hAnsi="Arial" w:cs="Arial"/>
          <w:sz w:val="20"/>
          <w:szCs w:val="20"/>
          <w:lang w:eastAsia="zh-TW"/>
        </w:rPr>
        <w:t>’s</w:t>
      </w:r>
      <w:r w:rsidR="007B2074" w:rsidRPr="00132FB7">
        <w:rPr>
          <w:rFonts w:ascii="Arial" w:hAnsi="Arial" w:cs="Arial"/>
          <w:sz w:val="20"/>
          <w:szCs w:val="20"/>
          <w:lang w:eastAsia="zh-TW"/>
        </w:rPr>
        <w:t xml:space="preserve"> mandatory disclosures </w:t>
      </w:r>
      <w:r w:rsidR="00CE2AC6">
        <w:rPr>
          <w:rFonts w:ascii="Arial" w:hAnsi="Arial" w:cs="Arial"/>
          <w:sz w:val="20"/>
          <w:szCs w:val="20"/>
          <w:lang w:eastAsia="zh-TW"/>
        </w:rPr>
        <w:t xml:space="preserve">have been </w:t>
      </w:r>
      <w:r w:rsidR="007B2074" w:rsidRPr="00132FB7">
        <w:rPr>
          <w:rFonts w:ascii="Arial" w:hAnsi="Arial" w:cs="Arial"/>
          <w:sz w:val="20"/>
          <w:szCs w:val="20"/>
          <w:lang w:eastAsia="zh-TW"/>
        </w:rPr>
        <w:t xml:space="preserve">made. ESG reports </w:t>
      </w:r>
      <w:r w:rsidR="00A74E49">
        <w:rPr>
          <w:rFonts w:ascii="Arial" w:hAnsi="Arial" w:cs="Arial"/>
          <w:sz w:val="20"/>
          <w:szCs w:val="20"/>
          <w:lang w:eastAsia="zh-TW"/>
        </w:rPr>
        <w:t xml:space="preserve">following the </w:t>
      </w:r>
      <w:r w:rsidR="007B2074" w:rsidRPr="00132FB7">
        <w:rPr>
          <w:rFonts w:ascii="Arial" w:hAnsi="Arial" w:cs="Arial"/>
          <w:sz w:val="20"/>
          <w:szCs w:val="20"/>
          <w:lang w:eastAsia="zh-TW"/>
        </w:rPr>
        <w:t xml:space="preserve">ISSB Standards will be deemed to </w:t>
      </w:r>
      <w:r w:rsidR="00CE2AC6">
        <w:rPr>
          <w:rFonts w:ascii="Arial" w:hAnsi="Arial" w:cs="Arial"/>
          <w:sz w:val="20"/>
          <w:szCs w:val="20"/>
          <w:lang w:eastAsia="zh-TW"/>
        </w:rPr>
        <w:t xml:space="preserve">be in </w:t>
      </w:r>
      <w:r w:rsidR="00047119">
        <w:rPr>
          <w:rFonts w:ascii="Arial" w:hAnsi="Arial" w:cs="Arial"/>
          <w:sz w:val="20"/>
          <w:szCs w:val="20"/>
          <w:lang w:eastAsia="zh-TW"/>
        </w:rPr>
        <w:t>compliance</w:t>
      </w:r>
      <w:r w:rsidR="007B2074" w:rsidRPr="00132FB7">
        <w:rPr>
          <w:rFonts w:ascii="Arial" w:hAnsi="Arial" w:cs="Arial"/>
          <w:sz w:val="20"/>
          <w:szCs w:val="20"/>
          <w:lang w:eastAsia="zh-TW"/>
        </w:rPr>
        <w:t xml:space="preserve"> with Part D of the ESG Code</w:t>
      </w:r>
      <w:r w:rsidR="00483088" w:rsidRPr="00132FB7">
        <w:rPr>
          <w:rFonts w:ascii="Arial" w:hAnsi="Arial" w:cs="Arial"/>
          <w:sz w:val="20"/>
          <w:szCs w:val="20"/>
          <w:lang w:eastAsia="zh-TW"/>
        </w:rPr>
        <w:t xml:space="preserve">, which </w:t>
      </w:r>
      <w:r w:rsidR="00A74E49">
        <w:rPr>
          <w:rFonts w:ascii="Arial" w:hAnsi="Arial" w:cs="Arial"/>
          <w:sz w:val="20"/>
          <w:szCs w:val="20"/>
          <w:lang w:eastAsia="zh-TW"/>
        </w:rPr>
        <w:t>will contain</w:t>
      </w:r>
      <w:r w:rsidR="00483088" w:rsidRPr="00132FB7">
        <w:rPr>
          <w:rFonts w:ascii="Arial" w:hAnsi="Arial" w:cs="Arial"/>
          <w:sz w:val="20"/>
          <w:szCs w:val="20"/>
          <w:lang w:eastAsia="zh-TW"/>
        </w:rPr>
        <w:t xml:space="preserve"> the new climate-related disclosures</w:t>
      </w:r>
      <w:r w:rsidR="00A74E49">
        <w:rPr>
          <w:rFonts w:ascii="Arial" w:hAnsi="Arial" w:cs="Arial"/>
          <w:sz w:val="20"/>
          <w:szCs w:val="20"/>
          <w:lang w:eastAsia="zh-TW"/>
        </w:rPr>
        <w:t>.</w:t>
      </w:r>
      <w:r w:rsidRPr="00132FB7">
        <w:rPr>
          <w:rStyle w:val="FootnoteReference"/>
          <w:rFonts w:ascii="Arial" w:hAnsi="Arial" w:cs="Arial"/>
          <w:sz w:val="20"/>
          <w:szCs w:val="20"/>
          <w:lang w:eastAsia="zh-TW"/>
        </w:rPr>
        <w:footnoteReference w:id="2"/>
      </w:r>
      <w:r w:rsidR="007B2074" w:rsidRPr="00132FB7">
        <w:rPr>
          <w:rFonts w:ascii="Arial" w:hAnsi="Arial" w:cs="Arial"/>
          <w:sz w:val="20"/>
          <w:szCs w:val="20"/>
          <w:lang w:eastAsia="zh-TW"/>
        </w:rPr>
        <w:t xml:space="preserve"> Listed companies are required to indicate where the ESG Code disclosure requirements </w:t>
      </w:r>
      <w:r w:rsidR="00875650">
        <w:rPr>
          <w:rFonts w:ascii="Arial" w:hAnsi="Arial" w:cs="Arial"/>
          <w:sz w:val="20"/>
          <w:szCs w:val="20"/>
          <w:lang w:eastAsia="zh-TW"/>
        </w:rPr>
        <w:t>have been</w:t>
      </w:r>
      <w:r w:rsidR="007B2074" w:rsidRPr="00132FB7">
        <w:rPr>
          <w:rFonts w:ascii="Arial" w:hAnsi="Arial" w:cs="Arial"/>
          <w:sz w:val="20"/>
          <w:szCs w:val="20"/>
          <w:lang w:eastAsia="zh-TW"/>
        </w:rPr>
        <w:t xml:space="preserve"> incorporated, for instance by way of a reference table. </w:t>
      </w:r>
    </w:p>
    <w:p w14:paraId="50328DD4" w14:textId="77777777" w:rsidR="00D64CED" w:rsidRPr="00132FB7" w:rsidRDefault="00D64CED" w:rsidP="0028091A">
      <w:pPr>
        <w:spacing w:after="0"/>
        <w:jc w:val="both"/>
        <w:rPr>
          <w:rFonts w:ascii="Arial" w:hAnsi="Arial" w:cs="Arial"/>
          <w:sz w:val="20"/>
          <w:szCs w:val="20"/>
          <w:lang w:eastAsia="zh-TW"/>
        </w:rPr>
      </w:pPr>
    </w:p>
    <w:p w14:paraId="3E77D469" w14:textId="77777777" w:rsidR="00D64CED"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 xml:space="preserve">For a direct comparison between the </w:t>
      </w:r>
      <w:r w:rsidR="00CB7D7B" w:rsidRPr="00132FB7">
        <w:rPr>
          <w:rFonts w:ascii="Arial" w:hAnsi="Arial" w:cs="Arial"/>
          <w:sz w:val="20"/>
          <w:szCs w:val="20"/>
          <w:lang w:eastAsia="zh-TW"/>
        </w:rPr>
        <w:t xml:space="preserve">climate-related disclosures under the </w:t>
      </w:r>
      <w:r w:rsidRPr="00132FB7">
        <w:rPr>
          <w:rFonts w:ascii="Arial" w:hAnsi="Arial" w:cs="Arial"/>
          <w:sz w:val="20"/>
          <w:szCs w:val="20"/>
          <w:lang w:eastAsia="zh-TW"/>
        </w:rPr>
        <w:t xml:space="preserve">ISSB Climate Standards and the enhanced disclosure requirements in Part </w:t>
      </w:r>
      <w:r w:rsidR="00CB7D7B" w:rsidRPr="00132FB7">
        <w:rPr>
          <w:rFonts w:ascii="Arial" w:hAnsi="Arial" w:cs="Arial"/>
          <w:sz w:val="20"/>
          <w:szCs w:val="20"/>
          <w:lang w:eastAsia="zh-TW"/>
        </w:rPr>
        <w:t xml:space="preserve">C of the ESG Code, please see Appendix V </w:t>
      </w:r>
      <w:r w:rsidR="00A74E49">
        <w:rPr>
          <w:rFonts w:ascii="Arial" w:hAnsi="Arial" w:cs="Arial"/>
          <w:sz w:val="20"/>
          <w:szCs w:val="20"/>
          <w:lang w:eastAsia="zh-TW"/>
        </w:rPr>
        <w:t>to</w:t>
      </w:r>
      <w:r w:rsidR="00CB7D7B" w:rsidRPr="00132FB7">
        <w:rPr>
          <w:rFonts w:ascii="Arial" w:hAnsi="Arial" w:cs="Arial"/>
          <w:sz w:val="20"/>
          <w:szCs w:val="20"/>
          <w:lang w:eastAsia="zh-TW"/>
        </w:rPr>
        <w:t xml:space="preserve"> the Consultation Conclusions. </w:t>
      </w:r>
    </w:p>
    <w:p w14:paraId="161C842F" w14:textId="77777777" w:rsidR="001D6CA0" w:rsidRPr="00132FB7" w:rsidRDefault="001D6CA0" w:rsidP="0028091A">
      <w:pPr>
        <w:spacing w:after="0"/>
        <w:jc w:val="both"/>
        <w:rPr>
          <w:rFonts w:ascii="Arial" w:hAnsi="Arial" w:cs="Arial"/>
          <w:sz w:val="20"/>
          <w:szCs w:val="20"/>
          <w:lang w:eastAsia="zh-TW"/>
        </w:rPr>
      </w:pPr>
    </w:p>
    <w:p w14:paraId="5F07AFDA" w14:textId="77777777" w:rsidR="003A0703" w:rsidRPr="00132FB7" w:rsidRDefault="00E70254" w:rsidP="0028091A">
      <w:pPr>
        <w:spacing w:after="0"/>
        <w:jc w:val="both"/>
        <w:rPr>
          <w:rFonts w:ascii="Arial" w:hAnsi="Arial" w:cs="Arial"/>
          <w:b/>
          <w:sz w:val="20"/>
          <w:szCs w:val="20"/>
          <w:lang w:eastAsia="zh-TW"/>
        </w:rPr>
      </w:pPr>
      <w:r w:rsidRPr="00132FB7">
        <w:rPr>
          <w:rFonts w:ascii="Arial" w:hAnsi="Arial" w:cs="Arial"/>
          <w:b/>
          <w:sz w:val="20"/>
          <w:szCs w:val="20"/>
          <w:lang w:eastAsia="zh-TW"/>
        </w:rPr>
        <w:t xml:space="preserve">Implementation Timeline </w:t>
      </w:r>
    </w:p>
    <w:p w14:paraId="44F2218D" w14:textId="77777777" w:rsidR="007B7C13" w:rsidRPr="00132FB7" w:rsidRDefault="007B7C13" w:rsidP="0028091A">
      <w:pPr>
        <w:spacing w:after="0"/>
        <w:jc w:val="both"/>
        <w:rPr>
          <w:rFonts w:ascii="Arial" w:hAnsi="Arial" w:cs="Arial"/>
          <w:sz w:val="20"/>
          <w:szCs w:val="20"/>
          <w:lang w:eastAsia="zh-TW"/>
        </w:rPr>
      </w:pPr>
    </w:p>
    <w:p w14:paraId="17FDF285" w14:textId="77777777" w:rsidR="007B7C13"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 xml:space="preserve">Considering the responses received and the ISSB Adoption Guide Preview recommending a phased implementation according to the size, trading volume and liquidity of listed companies, </w:t>
      </w:r>
      <w:r w:rsidR="00102A8F" w:rsidRPr="00132FB7">
        <w:rPr>
          <w:rFonts w:ascii="Arial" w:hAnsi="Arial" w:cs="Arial"/>
          <w:sz w:val="20"/>
          <w:szCs w:val="20"/>
          <w:lang w:eastAsia="zh-TW"/>
        </w:rPr>
        <w:t xml:space="preserve">the </w:t>
      </w:r>
      <w:r w:rsidR="00306A09">
        <w:rPr>
          <w:rFonts w:ascii="Arial" w:hAnsi="Arial" w:cs="Arial"/>
          <w:sz w:val="20"/>
          <w:szCs w:val="20"/>
          <w:lang w:eastAsia="zh-TW"/>
        </w:rPr>
        <w:t>Exchange</w:t>
      </w:r>
      <w:r w:rsidR="00102A8F" w:rsidRPr="00132FB7">
        <w:rPr>
          <w:rFonts w:ascii="Arial" w:hAnsi="Arial" w:cs="Arial"/>
          <w:sz w:val="20"/>
          <w:szCs w:val="20"/>
          <w:lang w:eastAsia="zh-TW"/>
        </w:rPr>
        <w:t xml:space="preserve"> has decided to adopt the following phased approach </w:t>
      </w:r>
      <w:r w:rsidR="00A74E49">
        <w:rPr>
          <w:rFonts w:ascii="Arial" w:hAnsi="Arial" w:cs="Arial"/>
          <w:sz w:val="20"/>
          <w:szCs w:val="20"/>
          <w:lang w:eastAsia="zh-TW"/>
        </w:rPr>
        <w:t xml:space="preserve">to </w:t>
      </w:r>
      <w:r w:rsidR="00CE2AC6">
        <w:rPr>
          <w:rFonts w:ascii="Arial" w:hAnsi="Arial" w:cs="Arial"/>
          <w:sz w:val="20"/>
          <w:szCs w:val="20"/>
          <w:lang w:eastAsia="zh-TW"/>
        </w:rPr>
        <w:t>implement</w:t>
      </w:r>
      <w:r w:rsidR="00102A8F" w:rsidRPr="00132FB7">
        <w:rPr>
          <w:rFonts w:ascii="Arial" w:hAnsi="Arial" w:cs="Arial"/>
          <w:sz w:val="20"/>
          <w:szCs w:val="20"/>
          <w:lang w:eastAsia="zh-TW"/>
        </w:rPr>
        <w:t xml:space="preserve"> the requirements under Part D of</w:t>
      </w:r>
      <w:r w:rsidR="00CA2CEE">
        <w:rPr>
          <w:rFonts w:ascii="Arial" w:hAnsi="Arial" w:cs="Arial"/>
          <w:sz w:val="20"/>
          <w:szCs w:val="20"/>
          <w:lang w:eastAsia="zh-TW"/>
        </w:rPr>
        <w:t xml:space="preserve"> the ESG Code. References to “</w:t>
      </w:r>
      <w:proofErr w:type="spellStart"/>
      <w:r w:rsidR="00CA2CEE">
        <w:rPr>
          <w:rFonts w:ascii="Arial" w:hAnsi="Arial" w:cs="Arial"/>
          <w:sz w:val="20"/>
          <w:szCs w:val="20"/>
          <w:lang w:eastAsia="zh-TW"/>
        </w:rPr>
        <w:t>LargeCap</w:t>
      </w:r>
      <w:proofErr w:type="spellEnd"/>
      <w:r w:rsidR="00CA2CEE">
        <w:rPr>
          <w:rFonts w:ascii="Arial" w:hAnsi="Arial" w:cs="Arial"/>
          <w:sz w:val="20"/>
          <w:szCs w:val="20"/>
          <w:lang w:eastAsia="zh-TW"/>
        </w:rPr>
        <w:t xml:space="preserve"> listed companies” are to </w:t>
      </w:r>
      <w:r w:rsidR="00CA2CEE" w:rsidRPr="00CA2CEE">
        <w:rPr>
          <w:rFonts w:ascii="Arial" w:hAnsi="Arial" w:cs="Arial"/>
          <w:sz w:val="20"/>
          <w:szCs w:val="20"/>
          <w:lang w:eastAsia="zh-TW"/>
        </w:rPr>
        <w:t xml:space="preserve">listed companies that are Hang Seng Composite </w:t>
      </w:r>
      <w:proofErr w:type="spellStart"/>
      <w:r w:rsidR="00CA2CEE" w:rsidRPr="00CA2CEE">
        <w:rPr>
          <w:rFonts w:ascii="Arial" w:hAnsi="Arial" w:cs="Arial"/>
          <w:sz w:val="20"/>
          <w:szCs w:val="20"/>
          <w:lang w:eastAsia="zh-TW"/>
        </w:rPr>
        <w:t>LargCap</w:t>
      </w:r>
      <w:proofErr w:type="spellEnd"/>
      <w:r w:rsidR="00CA2CEE" w:rsidRPr="00CA2CEE">
        <w:rPr>
          <w:rFonts w:ascii="Arial" w:hAnsi="Arial" w:cs="Arial"/>
          <w:sz w:val="20"/>
          <w:szCs w:val="20"/>
          <w:lang w:eastAsia="zh-TW"/>
        </w:rPr>
        <w:t xml:space="preserve"> Index constituents throughout the year immediately prior to the reporting year of the ESG report in question.</w:t>
      </w:r>
    </w:p>
    <w:p w14:paraId="044D990F" w14:textId="77777777" w:rsidR="00102A8F" w:rsidRPr="00132FB7" w:rsidRDefault="00102A8F" w:rsidP="0028091A">
      <w:pPr>
        <w:spacing w:after="0"/>
        <w:jc w:val="both"/>
        <w:rPr>
          <w:rFonts w:ascii="Arial" w:hAnsi="Arial" w:cs="Arial"/>
          <w:sz w:val="20"/>
          <w:szCs w:val="20"/>
          <w:lang w:eastAsia="zh-TW"/>
        </w:rPr>
      </w:pPr>
    </w:p>
    <w:tbl>
      <w:tblPr>
        <w:tblStyle w:val="TableGrid"/>
        <w:tblW w:w="0" w:type="auto"/>
        <w:tblLook w:val="04A0" w:firstRow="1" w:lastRow="0" w:firstColumn="1" w:lastColumn="0" w:noHBand="0" w:noVBand="1"/>
      </w:tblPr>
      <w:tblGrid>
        <w:gridCol w:w="2547"/>
        <w:gridCol w:w="2977"/>
        <w:gridCol w:w="3826"/>
      </w:tblGrid>
      <w:tr w:rsidR="009979C9" w:rsidRPr="00132FB7" w14:paraId="52F704D1" w14:textId="77777777" w:rsidTr="00CD073E">
        <w:trPr>
          <w:trHeight w:val="629"/>
        </w:trPr>
        <w:tc>
          <w:tcPr>
            <w:tcW w:w="2547" w:type="dxa"/>
          </w:tcPr>
          <w:p w14:paraId="2FF58587" w14:textId="77777777" w:rsidR="00C57A9A" w:rsidRPr="00132FB7" w:rsidRDefault="00C57A9A" w:rsidP="0028091A">
            <w:pPr>
              <w:jc w:val="both"/>
              <w:rPr>
                <w:rFonts w:ascii="Arial" w:hAnsi="Arial" w:cs="Arial"/>
                <w:sz w:val="20"/>
                <w:szCs w:val="20"/>
                <w:lang w:eastAsia="zh-TW"/>
              </w:rPr>
            </w:pPr>
          </w:p>
        </w:tc>
        <w:tc>
          <w:tcPr>
            <w:tcW w:w="2977" w:type="dxa"/>
          </w:tcPr>
          <w:p w14:paraId="791064E8" w14:textId="77777777" w:rsidR="00C57A9A" w:rsidRPr="00132FB7" w:rsidRDefault="00E70254" w:rsidP="0028091A">
            <w:pPr>
              <w:jc w:val="both"/>
              <w:rPr>
                <w:rFonts w:ascii="Arial" w:hAnsi="Arial" w:cs="Arial"/>
                <w:b/>
                <w:sz w:val="20"/>
                <w:szCs w:val="20"/>
                <w:lang w:eastAsia="zh-TW"/>
              </w:rPr>
            </w:pPr>
            <w:r w:rsidRPr="00132FB7">
              <w:rPr>
                <w:rFonts w:ascii="Arial" w:hAnsi="Arial" w:cs="Arial"/>
                <w:b/>
                <w:sz w:val="20"/>
                <w:szCs w:val="20"/>
                <w:lang w:eastAsia="zh-TW"/>
              </w:rPr>
              <w:t>Disclosure of scope 1 and scope 2 greenhouse gas emissions</w:t>
            </w:r>
          </w:p>
        </w:tc>
        <w:tc>
          <w:tcPr>
            <w:tcW w:w="3826" w:type="dxa"/>
          </w:tcPr>
          <w:p w14:paraId="04FC0275" w14:textId="77777777" w:rsidR="00C57A9A" w:rsidRPr="00132FB7" w:rsidRDefault="00E70254" w:rsidP="0028091A">
            <w:pPr>
              <w:jc w:val="both"/>
              <w:rPr>
                <w:rFonts w:ascii="Arial" w:hAnsi="Arial" w:cs="Arial"/>
                <w:b/>
                <w:sz w:val="20"/>
                <w:szCs w:val="20"/>
                <w:lang w:eastAsia="zh-TW"/>
              </w:rPr>
            </w:pPr>
            <w:r w:rsidRPr="00132FB7">
              <w:rPr>
                <w:rFonts w:ascii="Arial" w:hAnsi="Arial" w:cs="Arial"/>
                <w:b/>
                <w:sz w:val="20"/>
                <w:szCs w:val="20"/>
                <w:lang w:eastAsia="zh-TW"/>
              </w:rPr>
              <w:t xml:space="preserve">Disclosure </w:t>
            </w:r>
            <w:r w:rsidRPr="00132FB7">
              <w:rPr>
                <w:rFonts w:ascii="Arial" w:hAnsi="Arial" w:cs="Arial"/>
                <w:b/>
                <w:sz w:val="20"/>
                <w:szCs w:val="20"/>
                <w:u w:val="single"/>
                <w:lang w:eastAsia="zh-TW"/>
              </w:rPr>
              <w:t>other than</w:t>
            </w:r>
            <w:r w:rsidRPr="00132FB7">
              <w:rPr>
                <w:rFonts w:ascii="Arial" w:hAnsi="Arial" w:cs="Arial"/>
                <w:b/>
                <w:sz w:val="20"/>
                <w:szCs w:val="20"/>
                <w:lang w:eastAsia="zh-TW"/>
              </w:rPr>
              <w:t xml:space="preserve"> scope 1 and scope 2 greenhouse gas emissions</w:t>
            </w:r>
          </w:p>
        </w:tc>
      </w:tr>
      <w:tr w:rsidR="009979C9" w:rsidRPr="00132FB7" w14:paraId="6F437C35" w14:textId="77777777" w:rsidTr="00CD073E">
        <w:trPr>
          <w:trHeight w:val="1559"/>
        </w:trPr>
        <w:tc>
          <w:tcPr>
            <w:tcW w:w="2547" w:type="dxa"/>
          </w:tcPr>
          <w:p w14:paraId="6980963F" w14:textId="77777777" w:rsidR="00C57A9A" w:rsidRPr="00132FB7" w:rsidRDefault="00E70254" w:rsidP="00CA2CEE">
            <w:pPr>
              <w:jc w:val="both"/>
              <w:rPr>
                <w:rFonts w:ascii="Arial" w:hAnsi="Arial" w:cs="Arial"/>
                <w:sz w:val="20"/>
                <w:szCs w:val="20"/>
                <w:lang w:eastAsia="zh-TW"/>
              </w:rPr>
            </w:pPr>
            <w:proofErr w:type="spellStart"/>
            <w:r w:rsidRPr="00132FB7">
              <w:rPr>
                <w:rFonts w:ascii="Arial" w:hAnsi="Arial" w:cs="Arial"/>
                <w:b/>
                <w:color w:val="FF0000"/>
                <w:sz w:val="20"/>
                <w:szCs w:val="20"/>
                <w:lang w:eastAsia="zh-TW"/>
              </w:rPr>
              <w:t>LargeCap</w:t>
            </w:r>
            <w:proofErr w:type="spellEnd"/>
            <w:r w:rsidRPr="00132FB7">
              <w:rPr>
                <w:rFonts w:ascii="Arial" w:hAnsi="Arial" w:cs="Arial"/>
                <w:b/>
                <w:color w:val="FF0000"/>
                <w:sz w:val="20"/>
                <w:szCs w:val="20"/>
                <w:lang w:eastAsia="zh-TW"/>
              </w:rPr>
              <w:t xml:space="preserve"> Listed Companies</w:t>
            </w:r>
          </w:p>
        </w:tc>
        <w:tc>
          <w:tcPr>
            <w:tcW w:w="2977" w:type="dxa"/>
            <w:vMerge w:val="restart"/>
            <w:vAlign w:val="center"/>
          </w:tcPr>
          <w:p w14:paraId="0510E44E" w14:textId="77777777" w:rsidR="00C57A9A" w:rsidRPr="00E70254" w:rsidRDefault="00E70254" w:rsidP="0028091A">
            <w:pPr>
              <w:jc w:val="both"/>
              <w:rPr>
                <w:rFonts w:ascii="Arial" w:hAnsi="Arial" w:cs="Arial"/>
                <w:b/>
                <w:sz w:val="20"/>
                <w:szCs w:val="20"/>
                <w:lang w:eastAsia="zh-TW"/>
              </w:rPr>
            </w:pPr>
            <w:r w:rsidRPr="00E70254">
              <w:rPr>
                <w:rFonts w:ascii="Arial" w:hAnsi="Arial" w:cs="Arial"/>
                <w:b/>
                <w:sz w:val="20"/>
                <w:szCs w:val="20"/>
                <w:lang w:eastAsia="zh-TW"/>
              </w:rPr>
              <w:t>Mandatory disclosure</w:t>
            </w:r>
          </w:p>
          <w:p w14:paraId="741329A6" w14:textId="77777777" w:rsidR="00C57A9A" w:rsidRPr="00132FB7" w:rsidRDefault="00E70254" w:rsidP="0028091A">
            <w:pPr>
              <w:jc w:val="both"/>
              <w:rPr>
                <w:rFonts w:ascii="Arial" w:hAnsi="Arial" w:cs="Arial"/>
                <w:sz w:val="20"/>
                <w:szCs w:val="20"/>
                <w:lang w:eastAsia="zh-TW"/>
              </w:rPr>
            </w:pPr>
            <w:r w:rsidRPr="00132FB7">
              <w:rPr>
                <w:rFonts w:ascii="Arial" w:hAnsi="Arial" w:cs="Arial"/>
                <w:sz w:val="20"/>
                <w:szCs w:val="20"/>
                <w:lang w:eastAsia="zh-TW"/>
              </w:rPr>
              <w:t>(</w:t>
            </w:r>
            <w:r w:rsidR="00CD073E" w:rsidRPr="00132FB7">
              <w:rPr>
                <w:rFonts w:ascii="Arial" w:hAnsi="Arial" w:cs="Arial"/>
                <w:sz w:val="20"/>
                <w:szCs w:val="20"/>
                <w:lang w:eastAsia="zh-TW"/>
              </w:rPr>
              <w:t>Financial years commencing on or after 1 January 2025</w:t>
            </w:r>
            <w:r w:rsidRPr="00132FB7">
              <w:rPr>
                <w:rFonts w:ascii="Arial" w:hAnsi="Arial" w:cs="Arial"/>
                <w:sz w:val="20"/>
                <w:szCs w:val="20"/>
                <w:lang w:eastAsia="zh-TW"/>
              </w:rPr>
              <w:t>)</w:t>
            </w:r>
          </w:p>
        </w:tc>
        <w:tc>
          <w:tcPr>
            <w:tcW w:w="3826" w:type="dxa"/>
          </w:tcPr>
          <w:p w14:paraId="1E31B0AE" w14:textId="250F57B1" w:rsidR="00C57A9A" w:rsidRPr="00132FB7" w:rsidRDefault="00E70254" w:rsidP="0028091A">
            <w:pPr>
              <w:pStyle w:val="ListParagraph"/>
              <w:numPr>
                <w:ilvl w:val="0"/>
                <w:numId w:val="1"/>
              </w:numPr>
              <w:ind w:left="316"/>
              <w:jc w:val="both"/>
              <w:rPr>
                <w:rFonts w:ascii="Arial" w:hAnsi="Arial" w:cs="Arial"/>
                <w:sz w:val="20"/>
                <w:szCs w:val="20"/>
                <w:lang w:eastAsia="zh-TW"/>
              </w:rPr>
            </w:pPr>
            <w:r w:rsidRPr="00E70254">
              <w:rPr>
                <w:rFonts w:ascii="Arial" w:hAnsi="Arial" w:cs="Arial"/>
                <w:b/>
                <w:sz w:val="20"/>
                <w:szCs w:val="20"/>
                <w:lang w:eastAsia="zh-TW"/>
              </w:rPr>
              <w:t>“Comply or explain”</w:t>
            </w:r>
            <w:r w:rsidRPr="00132FB7">
              <w:rPr>
                <w:rFonts w:ascii="Arial" w:hAnsi="Arial" w:cs="Arial"/>
                <w:sz w:val="20"/>
                <w:szCs w:val="20"/>
                <w:lang w:eastAsia="zh-TW"/>
              </w:rPr>
              <w:t xml:space="preserve">: </w:t>
            </w:r>
            <w:r w:rsidR="00875650">
              <w:rPr>
                <w:rFonts w:ascii="Arial" w:hAnsi="Arial" w:cs="Arial"/>
                <w:sz w:val="20"/>
                <w:szCs w:val="20"/>
                <w:lang w:eastAsia="zh-TW"/>
              </w:rPr>
              <w:t>F</w:t>
            </w:r>
            <w:r w:rsidRPr="00132FB7">
              <w:rPr>
                <w:rFonts w:ascii="Arial" w:hAnsi="Arial" w:cs="Arial"/>
                <w:sz w:val="20"/>
                <w:szCs w:val="20"/>
                <w:lang w:eastAsia="zh-TW"/>
              </w:rPr>
              <w:t>inancial years commencing on or after 1 January 2025</w:t>
            </w:r>
          </w:p>
          <w:p w14:paraId="7353C1EC" w14:textId="2071649B" w:rsidR="00CD073E" w:rsidRPr="00132FB7" w:rsidRDefault="00E70254" w:rsidP="00875650">
            <w:pPr>
              <w:pStyle w:val="ListParagraph"/>
              <w:numPr>
                <w:ilvl w:val="0"/>
                <w:numId w:val="1"/>
              </w:numPr>
              <w:ind w:left="316"/>
              <w:jc w:val="both"/>
              <w:rPr>
                <w:rFonts w:ascii="Arial" w:hAnsi="Arial" w:cs="Arial"/>
                <w:sz w:val="20"/>
                <w:szCs w:val="20"/>
                <w:lang w:eastAsia="zh-TW"/>
              </w:rPr>
            </w:pPr>
            <w:r w:rsidRPr="00E70254">
              <w:rPr>
                <w:rFonts w:ascii="Arial" w:hAnsi="Arial" w:cs="Arial"/>
                <w:b/>
                <w:sz w:val="20"/>
                <w:szCs w:val="20"/>
                <w:lang w:eastAsia="zh-TW"/>
              </w:rPr>
              <w:t>Mandatory disclosure</w:t>
            </w:r>
            <w:r w:rsidRPr="00132FB7">
              <w:rPr>
                <w:rFonts w:ascii="Arial" w:hAnsi="Arial" w:cs="Arial"/>
                <w:sz w:val="20"/>
                <w:szCs w:val="20"/>
                <w:lang w:eastAsia="zh-TW"/>
              </w:rPr>
              <w:t xml:space="preserve">: </w:t>
            </w:r>
            <w:r w:rsidR="00875650">
              <w:rPr>
                <w:rFonts w:ascii="Arial" w:hAnsi="Arial" w:cs="Arial"/>
                <w:sz w:val="20"/>
                <w:szCs w:val="20"/>
                <w:lang w:eastAsia="zh-TW"/>
              </w:rPr>
              <w:t>F</w:t>
            </w:r>
            <w:r w:rsidRPr="00132FB7">
              <w:rPr>
                <w:rFonts w:ascii="Arial" w:hAnsi="Arial" w:cs="Arial"/>
                <w:sz w:val="20"/>
                <w:szCs w:val="20"/>
                <w:lang w:eastAsia="zh-TW"/>
              </w:rPr>
              <w:t>inancial years commencing on or after 1 January 2026</w:t>
            </w:r>
          </w:p>
        </w:tc>
      </w:tr>
      <w:tr w:rsidR="009979C9" w:rsidRPr="00132FB7" w14:paraId="3E53C6CE" w14:textId="77777777" w:rsidTr="00CD073E">
        <w:trPr>
          <w:trHeight w:val="1058"/>
        </w:trPr>
        <w:tc>
          <w:tcPr>
            <w:tcW w:w="2547" w:type="dxa"/>
          </w:tcPr>
          <w:p w14:paraId="0B00F8AA" w14:textId="77777777" w:rsidR="00C57A9A" w:rsidRPr="00132FB7" w:rsidRDefault="00E70254" w:rsidP="0028091A">
            <w:pPr>
              <w:jc w:val="both"/>
              <w:rPr>
                <w:rFonts w:ascii="Arial" w:hAnsi="Arial" w:cs="Arial"/>
                <w:sz w:val="20"/>
                <w:szCs w:val="20"/>
                <w:lang w:eastAsia="zh-TW"/>
              </w:rPr>
            </w:pPr>
            <w:r w:rsidRPr="00132FB7">
              <w:rPr>
                <w:rFonts w:ascii="Arial" w:hAnsi="Arial" w:cs="Arial"/>
                <w:b/>
                <w:color w:val="FF0000"/>
                <w:sz w:val="20"/>
                <w:szCs w:val="20"/>
                <w:lang w:eastAsia="zh-TW"/>
              </w:rPr>
              <w:t>Main Board Listed Companies</w:t>
            </w:r>
            <w:r w:rsidRPr="00132FB7">
              <w:rPr>
                <w:rFonts w:ascii="Arial" w:hAnsi="Arial" w:cs="Arial"/>
                <w:color w:val="FF0000"/>
                <w:sz w:val="20"/>
                <w:szCs w:val="20"/>
                <w:lang w:eastAsia="zh-TW"/>
              </w:rPr>
              <w:t xml:space="preserve"> </w:t>
            </w:r>
            <w:r w:rsidRPr="00132FB7">
              <w:rPr>
                <w:rFonts w:ascii="Arial" w:hAnsi="Arial" w:cs="Arial"/>
                <w:sz w:val="20"/>
                <w:szCs w:val="20"/>
                <w:lang w:eastAsia="zh-TW"/>
              </w:rPr>
              <w:t xml:space="preserve">(other than </w:t>
            </w:r>
            <w:proofErr w:type="spellStart"/>
            <w:r w:rsidRPr="00132FB7">
              <w:rPr>
                <w:rFonts w:ascii="Arial" w:hAnsi="Arial" w:cs="Arial"/>
                <w:sz w:val="20"/>
                <w:szCs w:val="20"/>
                <w:lang w:eastAsia="zh-TW"/>
              </w:rPr>
              <w:t>LargeCap</w:t>
            </w:r>
            <w:proofErr w:type="spellEnd"/>
            <w:r w:rsidRPr="00132FB7">
              <w:rPr>
                <w:rFonts w:ascii="Arial" w:hAnsi="Arial" w:cs="Arial"/>
                <w:sz w:val="20"/>
                <w:szCs w:val="20"/>
                <w:lang w:eastAsia="zh-TW"/>
              </w:rPr>
              <w:t xml:space="preserve"> Listed Companies) </w:t>
            </w:r>
          </w:p>
        </w:tc>
        <w:tc>
          <w:tcPr>
            <w:tcW w:w="2977" w:type="dxa"/>
            <w:vMerge/>
          </w:tcPr>
          <w:p w14:paraId="3F504B87" w14:textId="77777777" w:rsidR="00C57A9A" w:rsidRPr="00132FB7" w:rsidRDefault="00C57A9A" w:rsidP="0028091A">
            <w:pPr>
              <w:jc w:val="both"/>
              <w:rPr>
                <w:rFonts w:ascii="Arial" w:hAnsi="Arial" w:cs="Arial"/>
                <w:sz w:val="20"/>
                <w:szCs w:val="20"/>
                <w:lang w:eastAsia="zh-TW"/>
              </w:rPr>
            </w:pPr>
          </w:p>
        </w:tc>
        <w:tc>
          <w:tcPr>
            <w:tcW w:w="3826" w:type="dxa"/>
          </w:tcPr>
          <w:p w14:paraId="066E559C" w14:textId="77777777" w:rsidR="00C57A9A" w:rsidRPr="00E70254" w:rsidRDefault="00E70254" w:rsidP="0028091A">
            <w:pPr>
              <w:jc w:val="both"/>
              <w:rPr>
                <w:rFonts w:ascii="Arial" w:hAnsi="Arial" w:cs="Arial"/>
                <w:b/>
                <w:sz w:val="20"/>
                <w:szCs w:val="20"/>
                <w:lang w:eastAsia="zh-TW"/>
              </w:rPr>
            </w:pPr>
            <w:r w:rsidRPr="00E70254">
              <w:rPr>
                <w:rFonts w:ascii="Arial" w:hAnsi="Arial" w:cs="Arial"/>
                <w:b/>
                <w:sz w:val="20"/>
                <w:szCs w:val="20"/>
                <w:lang w:eastAsia="zh-TW"/>
              </w:rPr>
              <w:t>“Comply or explain”</w:t>
            </w:r>
          </w:p>
          <w:p w14:paraId="51D6F3CC" w14:textId="77777777" w:rsidR="00CD073E" w:rsidRPr="00132FB7" w:rsidRDefault="00E70254" w:rsidP="0028091A">
            <w:pPr>
              <w:jc w:val="both"/>
              <w:rPr>
                <w:rFonts w:ascii="Arial" w:hAnsi="Arial" w:cs="Arial"/>
                <w:sz w:val="20"/>
                <w:szCs w:val="20"/>
                <w:lang w:eastAsia="zh-TW"/>
              </w:rPr>
            </w:pPr>
            <w:r w:rsidRPr="00132FB7">
              <w:rPr>
                <w:rFonts w:ascii="Arial" w:hAnsi="Arial" w:cs="Arial"/>
                <w:sz w:val="20"/>
                <w:szCs w:val="20"/>
                <w:lang w:eastAsia="zh-TW"/>
              </w:rPr>
              <w:t>(Financial years commencing on or after 1 January 2025)</w:t>
            </w:r>
          </w:p>
        </w:tc>
      </w:tr>
      <w:tr w:rsidR="009979C9" w:rsidRPr="00132FB7" w14:paraId="4E4B360C" w14:textId="77777777" w:rsidTr="00CD073E">
        <w:trPr>
          <w:trHeight w:val="805"/>
        </w:trPr>
        <w:tc>
          <w:tcPr>
            <w:tcW w:w="2547" w:type="dxa"/>
          </w:tcPr>
          <w:p w14:paraId="2EFEA3AE" w14:textId="77777777" w:rsidR="00C57A9A" w:rsidRPr="00132FB7" w:rsidRDefault="00E70254" w:rsidP="0028091A">
            <w:pPr>
              <w:jc w:val="both"/>
              <w:rPr>
                <w:rFonts w:ascii="Arial" w:hAnsi="Arial" w:cs="Arial"/>
                <w:b/>
                <w:sz w:val="20"/>
                <w:szCs w:val="20"/>
                <w:lang w:eastAsia="zh-TW"/>
              </w:rPr>
            </w:pPr>
            <w:r w:rsidRPr="00132FB7">
              <w:rPr>
                <w:rFonts w:ascii="Arial" w:hAnsi="Arial" w:cs="Arial"/>
                <w:b/>
                <w:color w:val="FF0000"/>
                <w:sz w:val="20"/>
                <w:szCs w:val="20"/>
                <w:lang w:eastAsia="zh-TW"/>
              </w:rPr>
              <w:t xml:space="preserve">GEM Listed Companies </w:t>
            </w:r>
          </w:p>
        </w:tc>
        <w:tc>
          <w:tcPr>
            <w:tcW w:w="2977" w:type="dxa"/>
            <w:vMerge/>
          </w:tcPr>
          <w:p w14:paraId="79DA11B0" w14:textId="77777777" w:rsidR="00C57A9A" w:rsidRPr="00132FB7" w:rsidRDefault="00C57A9A" w:rsidP="0028091A">
            <w:pPr>
              <w:jc w:val="both"/>
              <w:rPr>
                <w:rFonts w:ascii="Arial" w:hAnsi="Arial" w:cs="Arial"/>
                <w:sz w:val="20"/>
                <w:szCs w:val="20"/>
                <w:lang w:eastAsia="zh-TW"/>
              </w:rPr>
            </w:pPr>
          </w:p>
        </w:tc>
        <w:tc>
          <w:tcPr>
            <w:tcW w:w="3826" w:type="dxa"/>
          </w:tcPr>
          <w:p w14:paraId="3DE59814" w14:textId="77777777" w:rsidR="00C57A9A" w:rsidRPr="00E70254" w:rsidRDefault="00E70254" w:rsidP="0028091A">
            <w:pPr>
              <w:jc w:val="both"/>
              <w:rPr>
                <w:rFonts w:ascii="Arial" w:hAnsi="Arial" w:cs="Arial"/>
                <w:b/>
                <w:sz w:val="20"/>
                <w:szCs w:val="20"/>
                <w:lang w:eastAsia="zh-TW"/>
              </w:rPr>
            </w:pPr>
            <w:r w:rsidRPr="00E70254">
              <w:rPr>
                <w:rFonts w:ascii="Arial" w:hAnsi="Arial" w:cs="Arial"/>
                <w:b/>
                <w:sz w:val="20"/>
                <w:szCs w:val="20"/>
                <w:lang w:eastAsia="zh-TW"/>
              </w:rPr>
              <w:t>Voluntary disclosure</w:t>
            </w:r>
          </w:p>
          <w:p w14:paraId="2C081CF2" w14:textId="392D4947" w:rsidR="00CD073E" w:rsidRPr="00132FB7" w:rsidRDefault="00E70254" w:rsidP="0028091A">
            <w:pPr>
              <w:jc w:val="both"/>
              <w:rPr>
                <w:rFonts w:ascii="Arial" w:hAnsi="Arial" w:cs="Arial"/>
                <w:sz w:val="20"/>
                <w:szCs w:val="20"/>
                <w:lang w:eastAsia="zh-TW"/>
              </w:rPr>
            </w:pPr>
            <w:r w:rsidRPr="00132FB7">
              <w:rPr>
                <w:rFonts w:ascii="Arial" w:hAnsi="Arial" w:cs="Arial"/>
                <w:sz w:val="20"/>
                <w:szCs w:val="20"/>
                <w:lang w:eastAsia="zh-TW"/>
              </w:rPr>
              <w:t>(Financial year</w:t>
            </w:r>
            <w:r w:rsidR="00875650">
              <w:rPr>
                <w:rFonts w:ascii="Arial" w:hAnsi="Arial" w:cs="Arial"/>
                <w:sz w:val="20"/>
                <w:szCs w:val="20"/>
                <w:lang w:eastAsia="zh-TW"/>
              </w:rPr>
              <w:t>s</w:t>
            </w:r>
            <w:r w:rsidRPr="00132FB7">
              <w:rPr>
                <w:rFonts w:ascii="Arial" w:hAnsi="Arial" w:cs="Arial"/>
                <w:sz w:val="20"/>
                <w:szCs w:val="20"/>
                <w:lang w:eastAsia="zh-TW"/>
              </w:rPr>
              <w:t xml:space="preserve"> commencing on or after 1 January 2025)</w:t>
            </w:r>
          </w:p>
        </w:tc>
      </w:tr>
    </w:tbl>
    <w:p w14:paraId="366544CC" w14:textId="77777777" w:rsidR="00102A8F" w:rsidRPr="00132FB7" w:rsidRDefault="00102A8F" w:rsidP="0028091A">
      <w:pPr>
        <w:spacing w:after="0"/>
        <w:jc w:val="both"/>
        <w:rPr>
          <w:rFonts w:ascii="Arial" w:hAnsi="Arial" w:cs="Arial"/>
          <w:sz w:val="20"/>
          <w:szCs w:val="20"/>
          <w:lang w:eastAsia="zh-TW"/>
        </w:rPr>
      </w:pPr>
    </w:p>
    <w:p w14:paraId="660D292A" w14:textId="2611F5C1" w:rsidR="00CD073E" w:rsidRPr="00132FB7" w:rsidRDefault="001E1B2C" w:rsidP="0028091A">
      <w:pPr>
        <w:spacing w:after="0"/>
        <w:jc w:val="both"/>
        <w:rPr>
          <w:rFonts w:ascii="Arial" w:hAnsi="Arial" w:cs="Arial"/>
          <w:sz w:val="20"/>
          <w:szCs w:val="20"/>
          <w:lang w:eastAsia="zh-TW"/>
        </w:rPr>
      </w:pPr>
      <w:r>
        <w:rPr>
          <w:rFonts w:ascii="Arial" w:hAnsi="Arial" w:cs="Arial"/>
          <w:sz w:val="20"/>
          <w:szCs w:val="20"/>
          <w:lang w:eastAsia="zh-TW"/>
        </w:rPr>
        <w:t xml:space="preserve">Given that </w:t>
      </w:r>
      <w:proofErr w:type="spellStart"/>
      <w:r>
        <w:rPr>
          <w:rFonts w:ascii="Arial" w:hAnsi="Arial" w:cs="Arial"/>
          <w:sz w:val="20"/>
          <w:szCs w:val="20"/>
          <w:lang w:eastAsia="zh-TW"/>
        </w:rPr>
        <w:t>LargeCap</w:t>
      </w:r>
      <w:proofErr w:type="spellEnd"/>
      <w:r>
        <w:rPr>
          <w:rFonts w:ascii="Arial" w:hAnsi="Arial" w:cs="Arial"/>
          <w:sz w:val="20"/>
          <w:szCs w:val="20"/>
          <w:lang w:eastAsia="zh-TW"/>
        </w:rPr>
        <w:t xml:space="preserve"> listed companies (which do not include </w:t>
      </w:r>
      <w:r w:rsidR="00E70254" w:rsidRPr="00132FB7">
        <w:rPr>
          <w:rFonts w:ascii="Arial" w:hAnsi="Arial" w:cs="Arial"/>
          <w:sz w:val="20"/>
          <w:szCs w:val="20"/>
          <w:lang w:eastAsia="zh-TW"/>
        </w:rPr>
        <w:t>seco</w:t>
      </w:r>
      <w:r>
        <w:rPr>
          <w:rFonts w:ascii="Arial" w:hAnsi="Arial" w:cs="Arial"/>
          <w:sz w:val="20"/>
          <w:szCs w:val="20"/>
          <w:lang w:eastAsia="zh-TW"/>
        </w:rPr>
        <w:t xml:space="preserve">ndary listed companies which </w:t>
      </w:r>
      <w:r w:rsidR="006E4335">
        <w:rPr>
          <w:rFonts w:ascii="Arial" w:hAnsi="Arial" w:cs="Arial"/>
          <w:sz w:val="20"/>
          <w:szCs w:val="20"/>
          <w:lang w:eastAsia="zh-TW"/>
        </w:rPr>
        <w:t>are not required</w:t>
      </w:r>
      <w:r>
        <w:rPr>
          <w:rFonts w:ascii="Arial" w:hAnsi="Arial" w:cs="Arial"/>
          <w:sz w:val="20"/>
          <w:szCs w:val="20"/>
          <w:lang w:eastAsia="zh-TW"/>
        </w:rPr>
        <w:t xml:space="preserve"> </w:t>
      </w:r>
      <w:r w:rsidR="00E70254" w:rsidRPr="00132FB7">
        <w:rPr>
          <w:rFonts w:ascii="Arial" w:hAnsi="Arial" w:cs="Arial"/>
          <w:sz w:val="20"/>
          <w:szCs w:val="20"/>
          <w:lang w:eastAsia="zh-TW"/>
        </w:rPr>
        <w:t xml:space="preserve">to publish ESG reports </w:t>
      </w:r>
      <w:r>
        <w:rPr>
          <w:rFonts w:ascii="Arial" w:hAnsi="Arial" w:cs="Arial"/>
          <w:sz w:val="20"/>
          <w:szCs w:val="20"/>
          <w:lang w:eastAsia="zh-TW"/>
        </w:rPr>
        <w:t xml:space="preserve">under </w:t>
      </w:r>
      <w:r w:rsidR="00E70254" w:rsidRPr="00132FB7">
        <w:rPr>
          <w:rFonts w:ascii="Arial" w:hAnsi="Arial" w:cs="Arial"/>
          <w:sz w:val="20"/>
          <w:szCs w:val="20"/>
          <w:lang w:eastAsia="zh-TW"/>
        </w:rPr>
        <w:t>the ESG Code</w:t>
      </w:r>
      <w:r>
        <w:rPr>
          <w:rFonts w:ascii="Arial" w:hAnsi="Arial" w:cs="Arial"/>
          <w:sz w:val="20"/>
          <w:szCs w:val="20"/>
          <w:lang w:eastAsia="zh-TW"/>
        </w:rPr>
        <w:t>)</w:t>
      </w:r>
      <w:r w:rsidR="00E70254" w:rsidRPr="00132FB7">
        <w:rPr>
          <w:rFonts w:ascii="Arial" w:hAnsi="Arial" w:cs="Arial"/>
          <w:sz w:val="20"/>
          <w:szCs w:val="20"/>
          <w:lang w:eastAsia="zh-TW"/>
        </w:rPr>
        <w:t xml:space="preserve">, contributed </w:t>
      </w:r>
      <w:r w:rsidR="00CE2AC6">
        <w:rPr>
          <w:rFonts w:ascii="Arial" w:hAnsi="Arial" w:cs="Arial"/>
          <w:sz w:val="20"/>
          <w:szCs w:val="20"/>
          <w:lang w:eastAsia="zh-TW"/>
        </w:rPr>
        <w:t xml:space="preserve">to </w:t>
      </w:r>
      <w:r w:rsidR="00E70254" w:rsidRPr="00132FB7">
        <w:rPr>
          <w:rFonts w:ascii="Arial" w:hAnsi="Arial" w:cs="Arial"/>
          <w:sz w:val="20"/>
          <w:szCs w:val="20"/>
          <w:lang w:eastAsia="zh-TW"/>
        </w:rPr>
        <w:t xml:space="preserve">around 64.05% of the total market </w:t>
      </w:r>
      <w:proofErr w:type="spellStart"/>
      <w:r w:rsidR="00E70254" w:rsidRPr="00132FB7">
        <w:rPr>
          <w:rFonts w:ascii="Arial" w:hAnsi="Arial" w:cs="Arial"/>
          <w:sz w:val="20"/>
          <w:szCs w:val="20"/>
          <w:lang w:eastAsia="zh-TW"/>
        </w:rPr>
        <w:t>capitalisation</w:t>
      </w:r>
      <w:proofErr w:type="spellEnd"/>
      <w:r>
        <w:rPr>
          <w:rFonts w:ascii="Arial" w:hAnsi="Arial" w:cs="Arial"/>
          <w:sz w:val="20"/>
          <w:szCs w:val="20"/>
          <w:lang w:eastAsia="zh-TW"/>
        </w:rPr>
        <w:t>,</w:t>
      </w:r>
      <w:r w:rsidR="00E70254" w:rsidRPr="00132FB7">
        <w:rPr>
          <w:rFonts w:ascii="Arial" w:hAnsi="Arial" w:cs="Arial"/>
          <w:sz w:val="20"/>
          <w:szCs w:val="20"/>
          <w:lang w:eastAsia="zh-TW"/>
        </w:rPr>
        <w:t xml:space="preserve"> and 46.41% of the total year-to-date average daily trading volume of all listed companies</w:t>
      </w:r>
      <w:r w:rsidR="00CE2AC6">
        <w:rPr>
          <w:rFonts w:ascii="Arial" w:hAnsi="Arial" w:cs="Arial"/>
          <w:sz w:val="20"/>
          <w:szCs w:val="20"/>
          <w:lang w:eastAsia="zh-TW"/>
        </w:rPr>
        <w:t xml:space="preserve"> in Hong Kong</w:t>
      </w:r>
      <w:r w:rsidR="00E70254" w:rsidRPr="00132FB7">
        <w:rPr>
          <w:rFonts w:ascii="Arial" w:hAnsi="Arial" w:cs="Arial"/>
          <w:sz w:val="20"/>
          <w:szCs w:val="20"/>
          <w:lang w:eastAsia="zh-TW"/>
        </w:rPr>
        <w:t xml:space="preserve"> as at 31 December 2023, the </w:t>
      </w:r>
      <w:r w:rsidR="00306A09">
        <w:rPr>
          <w:rFonts w:ascii="Arial" w:hAnsi="Arial" w:cs="Arial"/>
          <w:sz w:val="20"/>
          <w:szCs w:val="20"/>
          <w:lang w:eastAsia="zh-TW"/>
        </w:rPr>
        <w:t>Exchange</w:t>
      </w:r>
      <w:r w:rsidR="00E70254" w:rsidRPr="00132FB7">
        <w:rPr>
          <w:rFonts w:ascii="Arial" w:hAnsi="Arial" w:cs="Arial"/>
          <w:sz w:val="20"/>
          <w:szCs w:val="20"/>
          <w:lang w:eastAsia="zh-TW"/>
        </w:rPr>
        <w:t xml:space="preserve"> believes that </w:t>
      </w:r>
      <w:proofErr w:type="spellStart"/>
      <w:r w:rsidR="00E70254" w:rsidRPr="00132FB7">
        <w:rPr>
          <w:rFonts w:ascii="Arial" w:hAnsi="Arial" w:cs="Arial"/>
          <w:sz w:val="20"/>
          <w:szCs w:val="20"/>
          <w:lang w:eastAsia="zh-TW"/>
        </w:rPr>
        <w:t>Lar</w:t>
      </w:r>
      <w:r>
        <w:rPr>
          <w:rFonts w:ascii="Arial" w:hAnsi="Arial" w:cs="Arial"/>
          <w:sz w:val="20"/>
          <w:szCs w:val="20"/>
          <w:lang w:eastAsia="zh-TW"/>
        </w:rPr>
        <w:t>geCap</w:t>
      </w:r>
      <w:proofErr w:type="spellEnd"/>
      <w:r>
        <w:rPr>
          <w:rFonts w:ascii="Arial" w:hAnsi="Arial" w:cs="Arial"/>
          <w:sz w:val="20"/>
          <w:szCs w:val="20"/>
          <w:lang w:eastAsia="zh-TW"/>
        </w:rPr>
        <w:t xml:space="preserve"> listed companies have </w:t>
      </w:r>
      <w:r w:rsidR="00E70254" w:rsidRPr="00132FB7">
        <w:rPr>
          <w:rFonts w:ascii="Arial" w:hAnsi="Arial" w:cs="Arial"/>
          <w:sz w:val="20"/>
          <w:szCs w:val="20"/>
          <w:lang w:eastAsia="zh-TW"/>
        </w:rPr>
        <w:t xml:space="preserve">sufficient resources to lead compliance with the new disclosure requirements </w:t>
      </w:r>
      <w:r>
        <w:rPr>
          <w:rFonts w:ascii="Arial" w:hAnsi="Arial" w:cs="Arial"/>
          <w:sz w:val="20"/>
          <w:szCs w:val="20"/>
          <w:lang w:eastAsia="zh-TW"/>
        </w:rPr>
        <w:t xml:space="preserve">under </w:t>
      </w:r>
      <w:r w:rsidR="00E70254" w:rsidRPr="00132FB7">
        <w:rPr>
          <w:rFonts w:ascii="Arial" w:hAnsi="Arial" w:cs="Arial"/>
          <w:sz w:val="20"/>
          <w:szCs w:val="20"/>
          <w:lang w:eastAsia="zh-TW"/>
        </w:rPr>
        <w:t xml:space="preserve">the amended ESG Code. </w:t>
      </w:r>
      <w:proofErr w:type="spellStart"/>
      <w:r w:rsidR="00E70254" w:rsidRPr="00132FB7">
        <w:rPr>
          <w:rFonts w:ascii="Arial" w:hAnsi="Arial" w:cs="Arial"/>
          <w:sz w:val="20"/>
          <w:szCs w:val="20"/>
          <w:lang w:eastAsia="zh-TW"/>
        </w:rPr>
        <w:t>LargeCap</w:t>
      </w:r>
      <w:proofErr w:type="spellEnd"/>
      <w:r w:rsidR="00E70254" w:rsidRPr="00132FB7">
        <w:rPr>
          <w:rFonts w:ascii="Arial" w:hAnsi="Arial" w:cs="Arial"/>
          <w:sz w:val="20"/>
          <w:szCs w:val="20"/>
          <w:lang w:eastAsia="zh-TW"/>
        </w:rPr>
        <w:t xml:space="preserve">-listed companies should note that </w:t>
      </w:r>
      <w:r w:rsidR="00716F5E" w:rsidRPr="00132FB7">
        <w:rPr>
          <w:rFonts w:ascii="Arial" w:hAnsi="Arial" w:cs="Arial"/>
          <w:sz w:val="20"/>
          <w:szCs w:val="20"/>
          <w:lang w:eastAsia="zh-TW"/>
        </w:rPr>
        <w:t xml:space="preserve">under paragraph 17(2) and the corresponding note </w:t>
      </w:r>
      <w:r>
        <w:rPr>
          <w:rFonts w:ascii="Arial" w:hAnsi="Arial" w:cs="Arial"/>
          <w:sz w:val="20"/>
          <w:szCs w:val="20"/>
          <w:lang w:eastAsia="zh-TW"/>
        </w:rPr>
        <w:t xml:space="preserve">in </w:t>
      </w:r>
      <w:r w:rsidR="00716F5E" w:rsidRPr="00132FB7">
        <w:rPr>
          <w:rFonts w:ascii="Arial" w:hAnsi="Arial" w:cs="Arial"/>
          <w:sz w:val="20"/>
          <w:szCs w:val="20"/>
          <w:lang w:eastAsia="zh-TW"/>
        </w:rPr>
        <w:t xml:space="preserve">the ESG Code, </w:t>
      </w:r>
      <w:r w:rsidR="00E70254" w:rsidRPr="00132FB7">
        <w:rPr>
          <w:rFonts w:ascii="Arial" w:hAnsi="Arial" w:cs="Arial"/>
          <w:sz w:val="20"/>
          <w:szCs w:val="20"/>
          <w:lang w:eastAsia="zh-TW"/>
        </w:rPr>
        <w:t xml:space="preserve">they are required to comply with the mandatory disclosure requirements </w:t>
      </w:r>
      <w:r w:rsidR="00E70254" w:rsidRPr="001E1B2C">
        <w:rPr>
          <w:rFonts w:ascii="Arial" w:hAnsi="Arial" w:cs="Arial"/>
          <w:i/>
          <w:sz w:val="20"/>
          <w:szCs w:val="20"/>
          <w:lang w:eastAsia="zh-TW"/>
        </w:rPr>
        <w:t>even if</w:t>
      </w:r>
      <w:r w:rsidR="00E70254" w:rsidRPr="00132FB7">
        <w:rPr>
          <w:rFonts w:ascii="Arial" w:hAnsi="Arial" w:cs="Arial"/>
          <w:sz w:val="20"/>
          <w:szCs w:val="20"/>
          <w:lang w:eastAsia="zh-TW"/>
        </w:rPr>
        <w:t xml:space="preserve"> they subsequently cease to qualify as a </w:t>
      </w:r>
      <w:proofErr w:type="spellStart"/>
      <w:r w:rsidR="00E70254" w:rsidRPr="00132FB7">
        <w:rPr>
          <w:rFonts w:ascii="Arial" w:hAnsi="Arial" w:cs="Arial"/>
          <w:sz w:val="20"/>
          <w:szCs w:val="20"/>
          <w:lang w:eastAsia="zh-TW"/>
        </w:rPr>
        <w:t>LargeCap</w:t>
      </w:r>
      <w:proofErr w:type="spellEnd"/>
      <w:r w:rsidR="00E70254" w:rsidRPr="00132FB7">
        <w:rPr>
          <w:rFonts w:ascii="Arial" w:hAnsi="Arial" w:cs="Arial"/>
          <w:sz w:val="20"/>
          <w:szCs w:val="20"/>
          <w:lang w:eastAsia="zh-TW"/>
        </w:rPr>
        <w:t xml:space="preserve">-listed company.  </w:t>
      </w:r>
    </w:p>
    <w:p w14:paraId="21F10F0B" w14:textId="77777777" w:rsidR="00132FB7" w:rsidRDefault="00132FB7" w:rsidP="0028091A">
      <w:pPr>
        <w:spacing w:after="0"/>
        <w:jc w:val="both"/>
        <w:rPr>
          <w:rFonts w:ascii="Arial" w:hAnsi="Arial" w:cs="Arial"/>
          <w:sz w:val="20"/>
          <w:szCs w:val="20"/>
          <w:lang w:eastAsia="zh-TW"/>
        </w:rPr>
      </w:pPr>
    </w:p>
    <w:p w14:paraId="37DAEA38" w14:textId="77777777" w:rsidR="00CE2AC6" w:rsidRDefault="00CE2AC6" w:rsidP="0028091A">
      <w:pPr>
        <w:spacing w:after="0"/>
        <w:jc w:val="both"/>
        <w:rPr>
          <w:rFonts w:ascii="Arial" w:hAnsi="Arial" w:cs="Arial"/>
          <w:sz w:val="20"/>
          <w:szCs w:val="20"/>
          <w:lang w:eastAsia="zh-TW"/>
        </w:rPr>
      </w:pPr>
    </w:p>
    <w:p w14:paraId="64583C49" w14:textId="77777777" w:rsidR="00CE2AC6" w:rsidRDefault="00CE2AC6" w:rsidP="0028091A">
      <w:pPr>
        <w:spacing w:after="0"/>
        <w:jc w:val="both"/>
        <w:rPr>
          <w:rFonts w:ascii="Arial" w:hAnsi="Arial" w:cs="Arial"/>
          <w:sz w:val="20"/>
          <w:szCs w:val="20"/>
          <w:lang w:eastAsia="zh-TW"/>
        </w:rPr>
      </w:pPr>
    </w:p>
    <w:p w14:paraId="280DA379" w14:textId="77777777" w:rsidR="00CE2AC6" w:rsidRPr="00132FB7" w:rsidRDefault="00CE2AC6" w:rsidP="0028091A">
      <w:pPr>
        <w:spacing w:after="0"/>
        <w:jc w:val="both"/>
        <w:rPr>
          <w:rFonts w:ascii="Arial" w:hAnsi="Arial" w:cs="Arial"/>
          <w:sz w:val="20"/>
          <w:szCs w:val="20"/>
          <w:lang w:eastAsia="zh-TW"/>
        </w:rPr>
      </w:pPr>
    </w:p>
    <w:p w14:paraId="2E452277" w14:textId="77777777" w:rsidR="00744662" w:rsidRPr="00132FB7" w:rsidRDefault="00E70254" w:rsidP="0028091A">
      <w:pPr>
        <w:spacing w:after="0"/>
        <w:jc w:val="both"/>
        <w:rPr>
          <w:rFonts w:ascii="Arial" w:hAnsi="Arial" w:cs="Arial"/>
          <w:b/>
          <w:sz w:val="20"/>
          <w:szCs w:val="20"/>
          <w:lang w:eastAsia="zh-TW"/>
        </w:rPr>
      </w:pPr>
      <w:r w:rsidRPr="00132FB7">
        <w:rPr>
          <w:rFonts w:ascii="Arial" w:hAnsi="Arial" w:cs="Arial"/>
          <w:b/>
          <w:sz w:val="20"/>
          <w:szCs w:val="20"/>
          <w:lang w:eastAsia="zh-TW"/>
        </w:rPr>
        <w:t xml:space="preserve">Definition of Materiality </w:t>
      </w:r>
    </w:p>
    <w:p w14:paraId="2D47E9FA" w14:textId="77777777" w:rsidR="00744662" w:rsidRPr="00132FB7" w:rsidRDefault="00744662" w:rsidP="0028091A">
      <w:pPr>
        <w:spacing w:after="0"/>
        <w:jc w:val="both"/>
        <w:rPr>
          <w:rFonts w:ascii="Arial" w:hAnsi="Arial" w:cs="Arial"/>
          <w:sz w:val="20"/>
          <w:szCs w:val="20"/>
          <w:lang w:eastAsia="zh-TW"/>
        </w:rPr>
      </w:pPr>
    </w:p>
    <w:p w14:paraId="3AE7DEE2" w14:textId="4D2D7F9E" w:rsidR="00744662"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 xml:space="preserve">Currently, </w:t>
      </w:r>
      <w:r w:rsidR="0075053F" w:rsidRPr="00132FB7">
        <w:rPr>
          <w:rFonts w:ascii="Arial" w:hAnsi="Arial" w:cs="Arial"/>
          <w:sz w:val="20"/>
          <w:szCs w:val="20"/>
          <w:lang w:eastAsia="zh-TW"/>
        </w:rPr>
        <w:t>mat</w:t>
      </w:r>
      <w:r w:rsidR="00875650">
        <w:rPr>
          <w:rFonts w:ascii="Arial" w:hAnsi="Arial" w:cs="Arial"/>
          <w:sz w:val="20"/>
          <w:szCs w:val="20"/>
          <w:lang w:eastAsia="zh-TW"/>
        </w:rPr>
        <w:t>ters that the board determine</w:t>
      </w:r>
      <w:r w:rsidR="001E1B2C">
        <w:rPr>
          <w:rFonts w:ascii="Arial" w:hAnsi="Arial" w:cs="Arial"/>
          <w:sz w:val="20"/>
          <w:szCs w:val="20"/>
          <w:lang w:eastAsia="zh-TW"/>
        </w:rPr>
        <w:t xml:space="preserve"> to be</w:t>
      </w:r>
      <w:r w:rsidR="0075053F" w:rsidRPr="00132FB7">
        <w:rPr>
          <w:rFonts w:ascii="Arial" w:hAnsi="Arial" w:cs="Arial"/>
          <w:sz w:val="20"/>
          <w:szCs w:val="20"/>
          <w:lang w:eastAsia="zh-TW"/>
        </w:rPr>
        <w:t xml:space="preserve"> important to investors and stakeholders could be regarded as passing the “materiality” threshold. </w:t>
      </w:r>
      <w:r w:rsidR="001E1B2C">
        <w:rPr>
          <w:rFonts w:ascii="Arial" w:hAnsi="Arial" w:cs="Arial"/>
          <w:sz w:val="20"/>
          <w:szCs w:val="20"/>
          <w:lang w:eastAsia="zh-TW"/>
        </w:rPr>
        <w:t>S</w:t>
      </w:r>
      <w:r w:rsidR="0075053F" w:rsidRPr="00132FB7">
        <w:rPr>
          <w:rFonts w:ascii="Arial" w:hAnsi="Arial" w:cs="Arial"/>
          <w:sz w:val="20"/>
          <w:szCs w:val="20"/>
          <w:lang w:eastAsia="zh-TW"/>
        </w:rPr>
        <w:t>ome respondents</w:t>
      </w:r>
      <w:r w:rsidRPr="00132FB7">
        <w:rPr>
          <w:rFonts w:ascii="Arial" w:hAnsi="Arial" w:cs="Arial"/>
          <w:sz w:val="20"/>
          <w:szCs w:val="20"/>
          <w:lang w:eastAsia="zh-TW"/>
        </w:rPr>
        <w:t xml:space="preserve"> </w:t>
      </w:r>
      <w:r w:rsidR="0075053F" w:rsidRPr="00132FB7">
        <w:rPr>
          <w:rFonts w:ascii="Arial" w:hAnsi="Arial" w:cs="Arial"/>
          <w:sz w:val="20"/>
          <w:szCs w:val="20"/>
          <w:lang w:eastAsia="zh-TW"/>
        </w:rPr>
        <w:t>opine</w:t>
      </w:r>
      <w:r w:rsidR="001E1B2C">
        <w:rPr>
          <w:rFonts w:ascii="Arial" w:hAnsi="Arial" w:cs="Arial"/>
          <w:sz w:val="20"/>
          <w:szCs w:val="20"/>
          <w:lang w:eastAsia="zh-TW"/>
        </w:rPr>
        <w:t>d</w:t>
      </w:r>
      <w:r w:rsidR="0075053F" w:rsidRPr="00132FB7">
        <w:rPr>
          <w:rFonts w:ascii="Arial" w:hAnsi="Arial" w:cs="Arial"/>
          <w:sz w:val="20"/>
          <w:szCs w:val="20"/>
          <w:lang w:eastAsia="zh-TW"/>
        </w:rPr>
        <w:t xml:space="preserve"> that the “materiality” threshold should be confined to financial materiality to align with the position under the ISSB Standards, or alternatively </w:t>
      </w:r>
      <w:r w:rsidR="00D24A37">
        <w:rPr>
          <w:rFonts w:ascii="Arial" w:hAnsi="Arial" w:cs="Arial"/>
          <w:sz w:val="20"/>
          <w:szCs w:val="20"/>
          <w:lang w:eastAsia="zh-TW"/>
        </w:rPr>
        <w:t xml:space="preserve">adopt </w:t>
      </w:r>
      <w:r w:rsidR="0075053F" w:rsidRPr="00132FB7">
        <w:rPr>
          <w:rFonts w:ascii="Arial" w:hAnsi="Arial" w:cs="Arial"/>
          <w:sz w:val="20"/>
          <w:szCs w:val="20"/>
          <w:lang w:eastAsia="zh-TW"/>
        </w:rPr>
        <w:t xml:space="preserve">a double materiality approach including </w:t>
      </w:r>
      <w:r w:rsidR="001E1B2C">
        <w:rPr>
          <w:rFonts w:ascii="Arial" w:hAnsi="Arial" w:cs="Arial"/>
          <w:sz w:val="20"/>
          <w:szCs w:val="20"/>
          <w:lang w:eastAsia="zh-TW"/>
        </w:rPr>
        <w:t>the impact on the c</w:t>
      </w:r>
      <w:r w:rsidR="0075053F" w:rsidRPr="00132FB7">
        <w:rPr>
          <w:rFonts w:ascii="Arial" w:hAnsi="Arial" w:cs="Arial"/>
          <w:sz w:val="20"/>
          <w:szCs w:val="20"/>
          <w:lang w:eastAsia="zh-TW"/>
        </w:rPr>
        <w:t xml:space="preserve">ompany’s financial value and operational activities. The </w:t>
      </w:r>
      <w:r w:rsidR="00306A09">
        <w:rPr>
          <w:rFonts w:ascii="Arial" w:hAnsi="Arial" w:cs="Arial"/>
          <w:sz w:val="20"/>
          <w:szCs w:val="20"/>
          <w:lang w:eastAsia="zh-TW"/>
        </w:rPr>
        <w:t>Exchange</w:t>
      </w:r>
      <w:r w:rsidR="00875650">
        <w:rPr>
          <w:rFonts w:ascii="Arial" w:hAnsi="Arial" w:cs="Arial"/>
          <w:sz w:val="20"/>
          <w:szCs w:val="20"/>
          <w:lang w:eastAsia="zh-TW"/>
        </w:rPr>
        <w:t xml:space="preserve"> </w:t>
      </w:r>
      <w:proofErr w:type="spellStart"/>
      <w:r w:rsidR="00875650">
        <w:rPr>
          <w:rFonts w:ascii="Arial" w:hAnsi="Arial" w:cs="Arial"/>
          <w:sz w:val="20"/>
          <w:szCs w:val="20"/>
          <w:lang w:eastAsia="zh-TW"/>
        </w:rPr>
        <w:t>rejectes</w:t>
      </w:r>
      <w:proofErr w:type="spellEnd"/>
      <w:r w:rsidR="0075053F" w:rsidRPr="00132FB7">
        <w:rPr>
          <w:rFonts w:ascii="Arial" w:hAnsi="Arial" w:cs="Arial"/>
          <w:sz w:val="20"/>
          <w:szCs w:val="20"/>
          <w:lang w:eastAsia="zh-TW"/>
        </w:rPr>
        <w:t xml:space="preserve"> suggestions to amend the scope of “materiality” </w:t>
      </w:r>
      <w:r w:rsidR="001E1B2C">
        <w:rPr>
          <w:rFonts w:ascii="Arial" w:hAnsi="Arial" w:cs="Arial"/>
          <w:sz w:val="20"/>
          <w:szCs w:val="20"/>
          <w:lang w:eastAsia="zh-TW"/>
        </w:rPr>
        <w:t>on the basis that it considers t</w:t>
      </w:r>
      <w:r w:rsidR="0075053F" w:rsidRPr="00132FB7">
        <w:rPr>
          <w:rFonts w:ascii="Arial" w:hAnsi="Arial" w:cs="Arial"/>
          <w:sz w:val="20"/>
          <w:szCs w:val="20"/>
          <w:lang w:eastAsia="zh-TW"/>
        </w:rPr>
        <w:t xml:space="preserve">he </w:t>
      </w:r>
      <w:r w:rsidR="001E1B2C">
        <w:rPr>
          <w:rFonts w:ascii="Arial" w:hAnsi="Arial" w:cs="Arial"/>
          <w:sz w:val="20"/>
          <w:szCs w:val="20"/>
          <w:lang w:eastAsia="zh-TW"/>
        </w:rPr>
        <w:t xml:space="preserve">current definition to be </w:t>
      </w:r>
      <w:r w:rsidR="00A31EB1" w:rsidRPr="00132FB7">
        <w:rPr>
          <w:rFonts w:ascii="Arial" w:hAnsi="Arial" w:cs="Arial"/>
          <w:sz w:val="20"/>
          <w:szCs w:val="20"/>
          <w:lang w:eastAsia="zh-TW"/>
        </w:rPr>
        <w:t xml:space="preserve">sufficiently broad to encompass the </w:t>
      </w:r>
      <w:r w:rsidR="00CD4DED">
        <w:rPr>
          <w:rFonts w:ascii="Arial" w:hAnsi="Arial" w:cs="Arial"/>
          <w:sz w:val="20"/>
          <w:szCs w:val="20"/>
          <w:lang w:eastAsia="zh-TW"/>
        </w:rPr>
        <w:t>financial materiality threshold. H</w:t>
      </w:r>
      <w:r w:rsidR="00A31EB1" w:rsidRPr="00132FB7">
        <w:rPr>
          <w:rFonts w:ascii="Arial" w:hAnsi="Arial" w:cs="Arial"/>
          <w:sz w:val="20"/>
          <w:szCs w:val="20"/>
          <w:lang w:eastAsia="zh-TW"/>
        </w:rPr>
        <w:t xml:space="preserve">owever, the </w:t>
      </w:r>
      <w:r w:rsidR="00306A09">
        <w:rPr>
          <w:rFonts w:ascii="Arial" w:hAnsi="Arial" w:cs="Arial"/>
          <w:sz w:val="20"/>
          <w:szCs w:val="20"/>
          <w:lang w:eastAsia="zh-TW"/>
        </w:rPr>
        <w:t>Exchange</w:t>
      </w:r>
      <w:r w:rsidR="00875650">
        <w:rPr>
          <w:rFonts w:ascii="Arial" w:hAnsi="Arial" w:cs="Arial"/>
          <w:sz w:val="20"/>
          <w:szCs w:val="20"/>
          <w:lang w:eastAsia="zh-TW"/>
        </w:rPr>
        <w:t xml:space="preserve"> clarifies</w:t>
      </w:r>
      <w:r w:rsidR="00A31EB1" w:rsidRPr="00132FB7">
        <w:rPr>
          <w:rFonts w:ascii="Arial" w:hAnsi="Arial" w:cs="Arial"/>
          <w:sz w:val="20"/>
          <w:szCs w:val="20"/>
          <w:lang w:eastAsia="zh-TW"/>
        </w:rPr>
        <w:t xml:space="preserve"> that listed companies must disclose information on climate-related risks and opportunities that may reasonably affect the</w:t>
      </w:r>
      <w:r w:rsidR="00CD4DED">
        <w:rPr>
          <w:rFonts w:ascii="Arial" w:hAnsi="Arial" w:cs="Arial"/>
          <w:sz w:val="20"/>
          <w:szCs w:val="20"/>
          <w:lang w:eastAsia="zh-TW"/>
        </w:rPr>
        <w:t>ir</w:t>
      </w:r>
      <w:r w:rsidR="00A31EB1" w:rsidRPr="00132FB7">
        <w:rPr>
          <w:rFonts w:ascii="Arial" w:hAnsi="Arial" w:cs="Arial"/>
          <w:sz w:val="20"/>
          <w:szCs w:val="20"/>
          <w:lang w:eastAsia="zh-TW"/>
        </w:rPr>
        <w:t xml:space="preserve"> cash flows, </w:t>
      </w:r>
      <w:r w:rsidR="00CD4DED">
        <w:rPr>
          <w:rFonts w:ascii="Arial" w:hAnsi="Arial" w:cs="Arial"/>
          <w:sz w:val="20"/>
          <w:szCs w:val="20"/>
          <w:lang w:eastAsia="zh-TW"/>
        </w:rPr>
        <w:t>a</w:t>
      </w:r>
      <w:r w:rsidR="00A31EB1" w:rsidRPr="00132FB7">
        <w:rPr>
          <w:rFonts w:ascii="Arial" w:hAnsi="Arial" w:cs="Arial"/>
          <w:sz w:val="20"/>
          <w:szCs w:val="20"/>
          <w:lang w:eastAsia="zh-TW"/>
        </w:rPr>
        <w:t xml:space="preserve">ccess to finance or cost of capital over the short, medium or long term. The </w:t>
      </w:r>
      <w:r w:rsidR="00306A09">
        <w:rPr>
          <w:rFonts w:ascii="Arial" w:hAnsi="Arial" w:cs="Arial"/>
          <w:sz w:val="20"/>
          <w:szCs w:val="20"/>
          <w:lang w:eastAsia="zh-TW"/>
        </w:rPr>
        <w:t>Exchange</w:t>
      </w:r>
      <w:r w:rsidR="00A31EB1" w:rsidRPr="00132FB7">
        <w:rPr>
          <w:rFonts w:ascii="Arial" w:hAnsi="Arial" w:cs="Arial"/>
          <w:sz w:val="20"/>
          <w:szCs w:val="20"/>
          <w:lang w:eastAsia="zh-TW"/>
        </w:rPr>
        <w:t xml:space="preserve"> also </w:t>
      </w:r>
      <w:r w:rsidR="00CD4DED">
        <w:rPr>
          <w:rFonts w:ascii="Arial" w:hAnsi="Arial" w:cs="Arial"/>
          <w:sz w:val="20"/>
          <w:szCs w:val="20"/>
          <w:lang w:eastAsia="zh-TW"/>
        </w:rPr>
        <w:t>invite</w:t>
      </w:r>
      <w:r w:rsidR="00A31EB1" w:rsidRPr="00132FB7">
        <w:rPr>
          <w:rFonts w:ascii="Arial" w:hAnsi="Arial" w:cs="Arial"/>
          <w:sz w:val="20"/>
          <w:szCs w:val="20"/>
          <w:lang w:eastAsia="zh-TW"/>
        </w:rPr>
        <w:t xml:space="preserve">s listed companies to adopt the double materiality approach to meet the needs of their investors. </w:t>
      </w:r>
      <w:r w:rsidR="0075053F" w:rsidRPr="00132FB7">
        <w:rPr>
          <w:rFonts w:ascii="Arial" w:hAnsi="Arial" w:cs="Arial"/>
          <w:sz w:val="20"/>
          <w:szCs w:val="20"/>
          <w:lang w:eastAsia="zh-TW"/>
        </w:rPr>
        <w:t xml:space="preserve"> </w:t>
      </w:r>
    </w:p>
    <w:p w14:paraId="6C5E4D61" w14:textId="77777777" w:rsidR="00A31EB1" w:rsidRPr="00132FB7" w:rsidRDefault="00A31EB1" w:rsidP="0028091A">
      <w:pPr>
        <w:spacing w:after="0"/>
        <w:jc w:val="both"/>
        <w:rPr>
          <w:rFonts w:ascii="Arial" w:hAnsi="Arial" w:cs="Arial"/>
          <w:sz w:val="20"/>
          <w:szCs w:val="20"/>
          <w:lang w:eastAsia="zh-TW"/>
        </w:rPr>
      </w:pPr>
    </w:p>
    <w:p w14:paraId="78CB74CD" w14:textId="77777777" w:rsidR="00A31EB1" w:rsidRPr="00132FB7" w:rsidRDefault="00E70254" w:rsidP="0028091A">
      <w:pPr>
        <w:spacing w:after="0"/>
        <w:jc w:val="both"/>
        <w:rPr>
          <w:rFonts w:ascii="Arial" w:hAnsi="Arial" w:cs="Arial"/>
          <w:b/>
          <w:color w:val="FF0000"/>
          <w:sz w:val="20"/>
          <w:szCs w:val="20"/>
          <w:lang w:eastAsia="zh-TW"/>
        </w:rPr>
      </w:pPr>
      <w:r w:rsidRPr="00132FB7">
        <w:rPr>
          <w:rFonts w:ascii="Arial" w:hAnsi="Arial" w:cs="Arial"/>
          <w:b/>
          <w:color w:val="FF0000"/>
          <w:sz w:val="20"/>
          <w:szCs w:val="20"/>
          <w:lang w:eastAsia="zh-TW"/>
        </w:rPr>
        <w:t>Consultation proposals and responses</w:t>
      </w:r>
    </w:p>
    <w:p w14:paraId="304CD256" w14:textId="77777777" w:rsidR="00A31EB1" w:rsidRDefault="00A31EB1" w:rsidP="0028091A">
      <w:pPr>
        <w:spacing w:after="0"/>
        <w:jc w:val="both"/>
        <w:rPr>
          <w:rFonts w:ascii="Arial" w:hAnsi="Arial" w:cs="Arial"/>
          <w:sz w:val="20"/>
          <w:szCs w:val="20"/>
          <w:lang w:eastAsia="zh-TW"/>
        </w:rPr>
      </w:pPr>
    </w:p>
    <w:p w14:paraId="0E2DFC72" w14:textId="77777777" w:rsidR="00132FB7" w:rsidRDefault="00132FB7" w:rsidP="0028091A">
      <w:pPr>
        <w:spacing w:after="0"/>
        <w:jc w:val="both"/>
        <w:rPr>
          <w:rFonts w:ascii="Arial" w:hAnsi="Arial" w:cs="Arial"/>
          <w:sz w:val="20"/>
          <w:szCs w:val="20"/>
          <w:lang w:eastAsia="zh-TW"/>
        </w:rPr>
      </w:pPr>
      <w:r>
        <w:rPr>
          <w:rFonts w:ascii="Arial" w:hAnsi="Arial" w:cs="Arial"/>
          <w:sz w:val="20"/>
          <w:szCs w:val="20"/>
          <w:lang w:eastAsia="zh-TW"/>
        </w:rPr>
        <w:t xml:space="preserve">To implement the following proposals, relevant amendments and additions to the ESG Code will be made under the enhanced climate-related disclosures regime. </w:t>
      </w:r>
    </w:p>
    <w:p w14:paraId="153A54AB" w14:textId="77777777" w:rsidR="00132FB7" w:rsidRPr="00132FB7" w:rsidRDefault="00132FB7" w:rsidP="0028091A">
      <w:pPr>
        <w:spacing w:after="0"/>
        <w:jc w:val="both"/>
        <w:rPr>
          <w:rFonts w:ascii="Arial" w:hAnsi="Arial" w:cs="Arial"/>
          <w:sz w:val="20"/>
          <w:szCs w:val="20"/>
          <w:lang w:eastAsia="zh-TW"/>
        </w:rPr>
      </w:pPr>
    </w:p>
    <w:p w14:paraId="79CEE0E2" w14:textId="77777777" w:rsidR="003A0703" w:rsidRPr="00132FB7" w:rsidRDefault="00E70254" w:rsidP="000A0010">
      <w:pPr>
        <w:pStyle w:val="ListParagraph"/>
        <w:numPr>
          <w:ilvl w:val="0"/>
          <w:numId w:val="11"/>
        </w:numPr>
        <w:spacing w:after="0"/>
        <w:ind w:left="284"/>
        <w:jc w:val="both"/>
        <w:rPr>
          <w:rFonts w:ascii="Arial" w:hAnsi="Arial" w:cs="Arial"/>
          <w:b/>
          <w:sz w:val="20"/>
          <w:szCs w:val="20"/>
          <w:lang w:eastAsia="zh-TW"/>
        </w:rPr>
      </w:pPr>
      <w:r w:rsidRPr="00132FB7">
        <w:rPr>
          <w:rFonts w:ascii="Arial" w:hAnsi="Arial" w:cs="Arial"/>
          <w:b/>
          <w:color w:val="FF0000"/>
          <w:sz w:val="20"/>
          <w:szCs w:val="20"/>
          <w:lang w:eastAsia="zh-TW"/>
        </w:rPr>
        <w:t xml:space="preserve">Upgrading climate-related disclosures to mandatory </w:t>
      </w:r>
    </w:p>
    <w:p w14:paraId="10964A38" w14:textId="77777777" w:rsidR="00A31EB1" w:rsidRPr="00132FB7" w:rsidRDefault="00A31EB1" w:rsidP="0028091A">
      <w:pPr>
        <w:spacing w:after="0"/>
        <w:jc w:val="both"/>
        <w:rPr>
          <w:rFonts w:ascii="Arial" w:hAnsi="Arial" w:cs="Arial"/>
          <w:sz w:val="20"/>
          <w:szCs w:val="20"/>
          <w:lang w:eastAsia="zh-TW"/>
        </w:rPr>
      </w:pPr>
    </w:p>
    <w:p w14:paraId="70AA1398" w14:textId="77777777" w:rsidR="00A31EB1"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 xml:space="preserve">The </w:t>
      </w:r>
      <w:r w:rsidR="00306A09">
        <w:rPr>
          <w:rFonts w:ascii="Arial" w:hAnsi="Arial" w:cs="Arial"/>
          <w:sz w:val="20"/>
          <w:szCs w:val="20"/>
          <w:lang w:eastAsia="zh-TW"/>
        </w:rPr>
        <w:t>Exchange</w:t>
      </w:r>
      <w:r w:rsidRPr="00132FB7">
        <w:rPr>
          <w:rFonts w:ascii="Arial" w:hAnsi="Arial" w:cs="Arial"/>
          <w:sz w:val="20"/>
          <w:szCs w:val="20"/>
          <w:lang w:eastAsia="zh-TW"/>
        </w:rPr>
        <w:t xml:space="preserve"> </w:t>
      </w:r>
      <w:r w:rsidR="00D24A37">
        <w:rPr>
          <w:rFonts w:ascii="Arial" w:hAnsi="Arial" w:cs="Arial"/>
          <w:sz w:val="20"/>
          <w:szCs w:val="20"/>
          <w:lang w:eastAsia="zh-TW"/>
        </w:rPr>
        <w:t>received broad</w:t>
      </w:r>
      <w:r w:rsidRPr="00132FB7">
        <w:rPr>
          <w:rFonts w:ascii="Arial" w:hAnsi="Arial" w:cs="Arial"/>
          <w:sz w:val="20"/>
          <w:szCs w:val="20"/>
          <w:lang w:eastAsia="zh-TW"/>
        </w:rPr>
        <w:t xml:space="preserve"> support </w:t>
      </w:r>
      <w:r w:rsidR="00D24A37">
        <w:rPr>
          <w:rFonts w:ascii="Arial" w:hAnsi="Arial" w:cs="Arial"/>
          <w:sz w:val="20"/>
          <w:szCs w:val="20"/>
          <w:lang w:eastAsia="zh-TW"/>
        </w:rPr>
        <w:t xml:space="preserve">for </w:t>
      </w:r>
      <w:r w:rsidRPr="00132FB7">
        <w:rPr>
          <w:rFonts w:ascii="Arial" w:hAnsi="Arial" w:cs="Arial"/>
          <w:sz w:val="20"/>
          <w:szCs w:val="20"/>
          <w:lang w:eastAsia="zh-TW"/>
        </w:rPr>
        <w:t>the proposal to ma</w:t>
      </w:r>
      <w:r w:rsidR="00D24A37">
        <w:rPr>
          <w:rFonts w:ascii="Arial" w:hAnsi="Arial" w:cs="Arial"/>
          <w:sz w:val="20"/>
          <w:szCs w:val="20"/>
          <w:lang w:eastAsia="zh-TW"/>
        </w:rPr>
        <w:t>ke</w:t>
      </w:r>
      <w:r w:rsidRPr="00132FB7">
        <w:rPr>
          <w:rFonts w:ascii="Arial" w:hAnsi="Arial" w:cs="Arial"/>
          <w:sz w:val="20"/>
          <w:szCs w:val="20"/>
          <w:lang w:eastAsia="zh-TW"/>
        </w:rPr>
        <w:t xml:space="preserve"> listed companies</w:t>
      </w:r>
      <w:r w:rsidR="00D24A37">
        <w:rPr>
          <w:rFonts w:ascii="Arial" w:hAnsi="Arial" w:cs="Arial"/>
          <w:sz w:val="20"/>
          <w:szCs w:val="20"/>
          <w:lang w:eastAsia="zh-TW"/>
        </w:rPr>
        <w:t>’</w:t>
      </w:r>
      <w:r w:rsidRPr="00132FB7">
        <w:rPr>
          <w:rFonts w:ascii="Arial" w:hAnsi="Arial" w:cs="Arial"/>
          <w:sz w:val="20"/>
          <w:szCs w:val="20"/>
          <w:lang w:eastAsia="zh-TW"/>
        </w:rPr>
        <w:t xml:space="preserve"> climate-related disclosures </w:t>
      </w:r>
      <w:r w:rsidR="00D24A37">
        <w:rPr>
          <w:rFonts w:ascii="Arial" w:hAnsi="Arial" w:cs="Arial"/>
          <w:sz w:val="20"/>
          <w:szCs w:val="20"/>
          <w:lang w:eastAsia="zh-TW"/>
        </w:rPr>
        <w:t>mandatory, rather than subject to “comply or explain”</w:t>
      </w:r>
      <w:r w:rsidRPr="00132FB7">
        <w:rPr>
          <w:rFonts w:ascii="Arial" w:hAnsi="Arial" w:cs="Arial"/>
          <w:sz w:val="20"/>
          <w:szCs w:val="20"/>
          <w:lang w:eastAsia="zh-TW"/>
        </w:rPr>
        <w:t xml:space="preserve">. As explained above, the </w:t>
      </w:r>
      <w:r w:rsidR="00306A09">
        <w:rPr>
          <w:rFonts w:ascii="Arial" w:hAnsi="Arial" w:cs="Arial"/>
          <w:sz w:val="20"/>
          <w:szCs w:val="20"/>
          <w:lang w:eastAsia="zh-TW"/>
        </w:rPr>
        <w:t>Exchange</w:t>
      </w:r>
      <w:r w:rsidRPr="00132FB7">
        <w:rPr>
          <w:rFonts w:ascii="Arial" w:hAnsi="Arial" w:cs="Arial"/>
          <w:sz w:val="20"/>
          <w:szCs w:val="20"/>
          <w:lang w:eastAsia="zh-TW"/>
        </w:rPr>
        <w:t xml:space="preserve"> will adopt phased </w:t>
      </w:r>
      <w:r w:rsidR="00D24A37">
        <w:rPr>
          <w:rFonts w:ascii="Arial" w:hAnsi="Arial" w:cs="Arial"/>
          <w:sz w:val="20"/>
          <w:szCs w:val="20"/>
          <w:lang w:eastAsia="zh-TW"/>
        </w:rPr>
        <w:t xml:space="preserve">implementation to </w:t>
      </w:r>
      <w:r w:rsidRPr="00132FB7">
        <w:rPr>
          <w:rFonts w:ascii="Arial" w:hAnsi="Arial" w:cs="Arial"/>
          <w:sz w:val="20"/>
          <w:szCs w:val="20"/>
          <w:lang w:eastAsia="zh-TW"/>
        </w:rPr>
        <w:t>facilita</w:t>
      </w:r>
      <w:r w:rsidR="00CD4DED">
        <w:rPr>
          <w:rFonts w:ascii="Arial" w:hAnsi="Arial" w:cs="Arial"/>
          <w:sz w:val="20"/>
          <w:szCs w:val="20"/>
          <w:lang w:eastAsia="zh-TW"/>
        </w:rPr>
        <w:t xml:space="preserve">te a smooth transition </w:t>
      </w:r>
      <w:r w:rsidRPr="00132FB7">
        <w:rPr>
          <w:rFonts w:ascii="Arial" w:hAnsi="Arial" w:cs="Arial"/>
          <w:sz w:val="20"/>
          <w:szCs w:val="20"/>
          <w:lang w:eastAsia="zh-TW"/>
        </w:rPr>
        <w:t xml:space="preserve">to the new requirements and </w:t>
      </w:r>
      <w:r w:rsidR="00CD4DED">
        <w:rPr>
          <w:rFonts w:ascii="Arial" w:hAnsi="Arial" w:cs="Arial"/>
          <w:sz w:val="20"/>
          <w:szCs w:val="20"/>
          <w:lang w:eastAsia="zh-TW"/>
        </w:rPr>
        <w:t xml:space="preserve">any </w:t>
      </w:r>
      <w:r w:rsidRPr="00132FB7">
        <w:rPr>
          <w:rFonts w:ascii="Arial" w:hAnsi="Arial" w:cs="Arial"/>
          <w:sz w:val="20"/>
          <w:szCs w:val="20"/>
          <w:lang w:eastAsia="zh-TW"/>
        </w:rPr>
        <w:t xml:space="preserve">future Hong Kong Standards. This approach may also alleviate concerns about the enhanced climate-related disclosures being too </w:t>
      </w:r>
      <w:r w:rsidR="002E1000" w:rsidRPr="00132FB7">
        <w:rPr>
          <w:rFonts w:ascii="Arial" w:hAnsi="Arial" w:cs="Arial"/>
          <w:sz w:val="20"/>
          <w:szCs w:val="20"/>
          <w:lang w:eastAsia="zh-TW"/>
        </w:rPr>
        <w:t xml:space="preserve">burdensome </w:t>
      </w:r>
      <w:r w:rsidR="00CD4DED">
        <w:rPr>
          <w:rFonts w:ascii="Arial" w:hAnsi="Arial" w:cs="Arial"/>
          <w:sz w:val="20"/>
          <w:szCs w:val="20"/>
          <w:lang w:eastAsia="zh-TW"/>
        </w:rPr>
        <w:t>in terms of time and resources f</w:t>
      </w:r>
      <w:r w:rsidR="002E1000" w:rsidRPr="00132FB7">
        <w:rPr>
          <w:rFonts w:ascii="Arial" w:hAnsi="Arial" w:cs="Arial"/>
          <w:sz w:val="20"/>
          <w:szCs w:val="20"/>
          <w:lang w:eastAsia="zh-TW"/>
        </w:rPr>
        <w:t>o</w:t>
      </w:r>
      <w:r w:rsidR="00CD4DED">
        <w:rPr>
          <w:rFonts w:ascii="Arial" w:hAnsi="Arial" w:cs="Arial"/>
          <w:sz w:val="20"/>
          <w:szCs w:val="20"/>
          <w:lang w:eastAsia="zh-TW"/>
        </w:rPr>
        <w:t>r</w:t>
      </w:r>
      <w:r w:rsidR="002E1000" w:rsidRPr="00132FB7">
        <w:rPr>
          <w:rFonts w:ascii="Arial" w:hAnsi="Arial" w:cs="Arial"/>
          <w:sz w:val="20"/>
          <w:szCs w:val="20"/>
          <w:lang w:eastAsia="zh-TW"/>
        </w:rPr>
        <w:t xml:space="preserve"> small- to medium-sized listed companies. </w:t>
      </w:r>
      <w:r w:rsidR="00E8256E" w:rsidRPr="00132FB7">
        <w:rPr>
          <w:rFonts w:ascii="Arial" w:hAnsi="Arial" w:cs="Arial"/>
          <w:sz w:val="20"/>
          <w:szCs w:val="20"/>
          <w:lang w:eastAsia="zh-TW"/>
        </w:rPr>
        <w:t>The “comply or explain” basis allow</w:t>
      </w:r>
      <w:r w:rsidR="00AD640B">
        <w:rPr>
          <w:rFonts w:ascii="Arial" w:hAnsi="Arial" w:cs="Arial"/>
          <w:sz w:val="20"/>
          <w:szCs w:val="20"/>
          <w:lang w:eastAsia="zh-TW"/>
        </w:rPr>
        <w:t>s</w:t>
      </w:r>
      <w:r w:rsidR="00E8256E" w:rsidRPr="00132FB7">
        <w:rPr>
          <w:rFonts w:ascii="Arial" w:hAnsi="Arial" w:cs="Arial"/>
          <w:sz w:val="20"/>
          <w:szCs w:val="20"/>
          <w:lang w:eastAsia="zh-TW"/>
        </w:rPr>
        <w:t xml:space="preserve"> listed companies more time to prepare for the relevant disclosures. However, the </w:t>
      </w:r>
      <w:r w:rsidR="00306A09">
        <w:rPr>
          <w:rFonts w:ascii="Arial" w:hAnsi="Arial" w:cs="Arial"/>
          <w:sz w:val="20"/>
          <w:szCs w:val="20"/>
          <w:lang w:eastAsia="zh-TW"/>
        </w:rPr>
        <w:t>Exchange</w:t>
      </w:r>
      <w:r w:rsidR="00E8256E" w:rsidRPr="00132FB7">
        <w:rPr>
          <w:rFonts w:ascii="Arial" w:hAnsi="Arial" w:cs="Arial"/>
          <w:sz w:val="20"/>
          <w:szCs w:val="20"/>
          <w:lang w:eastAsia="zh-TW"/>
        </w:rPr>
        <w:t xml:space="preserve"> strongly urges listed companies to provide as much information and disclosures as possible and </w:t>
      </w:r>
      <w:r w:rsidR="00CD4DED">
        <w:rPr>
          <w:rFonts w:ascii="Arial" w:hAnsi="Arial" w:cs="Arial"/>
          <w:sz w:val="20"/>
          <w:szCs w:val="20"/>
          <w:lang w:eastAsia="zh-TW"/>
        </w:rPr>
        <w:t xml:space="preserve">to </w:t>
      </w:r>
      <w:r w:rsidR="00E8256E" w:rsidRPr="00132FB7">
        <w:rPr>
          <w:rFonts w:ascii="Arial" w:hAnsi="Arial" w:cs="Arial"/>
          <w:sz w:val="20"/>
          <w:szCs w:val="20"/>
          <w:lang w:eastAsia="zh-TW"/>
        </w:rPr>
        <w:t>start reviewing their current systems to pr</w:t>
      </w:r>
      <w:r w:rsidR="00CD4DED">
        <w:rPr>
          <w:rFonts w:ascii="Arial" w:hAnsi="Arial" w:cs="Arial"/>
          <w:sz w:val="20"/>
          <w:szCs w:val="20"/>
          <w:lang w:eastAsia="zh-TW"/>
        </w:rPr>
        <w:t>epare for the future Hong Kong s</w:t>
      </w:r>
      <w:r w:rsidR="00E8256E" w:rsidRPr="00132FB7">
        <w:rPr>
          <w:rFonts w:ascii="Arial" w:hAnsi="Arial" w:cs="Arial"/>
          <w:sz w:val="20"/>
          <w:szCs w:val="20"/>
          <w:lang w:eastAsia="zh-TW"/>
        </w:rPr>
        <w:t xml:space="preserve">tandards. </w:t>
      </w:r>
    </w:p>
    <w:p w14:paraId="47BE9279" w14:textId="77777777" w:rsidR="002E1000" w:rsidRPr="00132FB7" w:rsidRDefault="002E1000" w:rsidP="0028091A">
      <w:pPr>
        <w:spacing w:after="0"/>
        <w:jc w:val="both"/>
        <w:rPr>
          <w:rFonts w:ascii="Arial" w:hAnsi="Arial" w:cs="Arial"/>
          <w:sz w:val="20"/>
          <w:szCs w:val="20"/>
          <w:lang w:eastAsia="zh-TW"/>
        </w:rPr>
      </w:pPr>
    </w:p>
    <w:p w14:paraId="7506074B" w14:textId="77777777" w:rsidR="002E1000"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 xml:space="preserve">The </w:t>
      </w:r>
      <w:r w:rsidR="00306A09">
        <w:rPr>
          <w:rFonts w:ascii="Arial" w:hAnsi="Arial" w:cs="Arial"/>
          <w:sz w:val="20"/>
          <w:szCs w:val="20"/>
          <w:lang w:eastAsia="zh-TW"/>
        </w:rPr>
        <w:t>Exchange</w:t>
      </w:r>
      <w:r w:rsidRPr="00132FB7">
        <w:rPr>
          <w:rFonts w:ascii="Arial" w:hAnsi="Arial" w:cs="Arial"/>
          <w:sz w:val="20"/>
          <w:szCs w:val="20"/>
          <w:lang w:eastAsia="zh-TW"/>
        </w:rPr>
        <w:t xml:space="preserve"> will also put in place certain implementation reliefs as summarised in the table below: </w:t>
      </w:r>
    </w:p>
    <w:p w14:paraId="0352B233" w14:textId="77777777" w:rsidR="00E8256E" w:rsidRPr="00132FB7" w:rsidRDefault="00E8256E" w:rsidP="0028091A">
      <w:pPr>
        <w:spacing w:after="0"/>
        <w:jc w:val="both"/>
        <w:rPr>
          <w:rFonts w:ascii="Arial" w:hAnsi="Arial" w:cs="Arial"/>
          <w:sz w:val="20"/>
          <w:szCs w:val="20"/>
          <w:lang w:eastAsia="zh-TW"/>
        </w:rPr>
      </w:pPr>
    </w:p>
    <w:tbl>
      <w:tblPr>
        <w:tblStyle w:val="TableGrid"/>
        <w:tblW w:w="0" w:type="auto"/>
        <w:tblLook w:val="04A0" w:firstRow="1" w:lastRow="0" w:firstColumn="1" w:lastColumn="0" w:noHBand="0" w:noVBand="1"/>
      </w:tblPr>
      <w:tblGrid>
        <w:gridCol w:w="2122"/>
        <w:gridCol w:w="1842"/>
        <w:gridCol w:w="1843"/>
        <w:gridCol w:w="1843"/>
        <w:gridCol w:w="1700"/>
      </w:tblGrid>
      <w:tr w:rsidR="009979C9" w:rsidRPr="00132FB7" w14:paraId="5B62B0BA" w14:textId="77777777" w:rsidTr="00132FB7">
        <w:tc>
          <w:tcPr>
            <w:tcW w:w="2122" w:type="dxa"/>
          </w:tcPr>
          <w:p w14:paraId="168AFC03" w14:textId="77777777" w:rsidR="00E8256E" w:rsidRPr="00132FB7" w:rsidRDefault="00E8256E" w:rsidP="0028091A">
            <w:pPr>
              <w:jc w:val="both"/>
              <w:rPr>
                <w:rFonts w:ascii="Arial" w:hAnsi="Arial" w:cs="Arial"/>
                <w:sz w:val="20"/>
                <w:szCs w:val="20"/>
                <w:lang w:eastAsia="zh-TW"/>
              </w:rPr>
            </w:pPr>
          </w:p>
        </w:tc>
        <w:tc>
          <w:tcPr>
            <w:tcW w:w="1842" w:type="dxa"/>
          </w:tcPr>
          <w:p w14:paraId="6CF2BC62" w14:textId="77777777" w:rsidR="00E8256E" w:rsidRPr="00132FB7" w:rsidRDefault="00E70254" w:rsidP="0028091A">
            <w:pPr>
              <w:pStyle w:val="Default"/>
              <w:jc w:val="both"/>
              <w:rPr>
                <w:sz w:val="20"/>
                <w:szCs w:val="20"/>
              </w:rPr>
            </w:pPr>
            <w:r w:rsidRPr="00132FB7">
              <w:rPr>
                <w:b/>
                <w:bCs/>
                <w:sz w:val="20"/>
                <w:szCs w:val="20"/>
              </w:rPr>
              <w:t xml:space="preserve">Reasonable Information Relief </w:t>
            </w:r>
          </w:p>
          <w:p w14:paraId="3731DC69" w14:textId="77777777" w:rsidR="00E8256E" w:rsidRPr="00132FB7" w:rsidRDefault="00E8256E" w:rsidP="0028091A">
            <w:pPr>
              <w:jc w:val="both"/>
              <w:rPr>
                <w:rFonts w:ascii="Arial" w:hAnsi="Arial" w:cs="Arial"/>
                <w:sz w:val="20"/>
                <w:szCs w:val="20"/>
                <w:lang w:eastAsia="zh-TW"/>
              </w:rPr>
            </w:pPr>
          </w:p>
        </w:tc>
        <w:tc>
          <w:tcPr>
            <w:tcW w:w="1843" w:type="dxa"/>
          </w:tcPr>
          <w:p w14:paraId="0EE175B3" w14:textId="77777777" w:rsidR="00E8256E" w:rsidRPr="00132FB7" w:rsidRDefault="00E70254" w:rsidP="0028091A">
            <w:pPr>
              <w:pStyle w:val="Default"/>
              <w:jc w:val="both"/>
              <w:rPr>
                <w:sz w:val="20"/>
                <w:szCs w:val="20"/>
              </w:rPr>
            </w:pPr>
            <w:r w:rsidRPr="00132FB7">
              <w:rPr>
                <w:b/>
                <w:bCs/>
                <w:sz w:val="20"/>
                <w:szCs w:val="20"/>
              </w:rPr>
              <w:t xml:space="preserve">Capabilities Relief </w:t>
            </w:r>
          </w:p>
          <w:p w14:paraId="7A6D076D" w14:textId="77777777" w:rsidR="00E8256E" w:rsidRPr="00132FB7" w:rsidRDefault="00E8256E" w:rsidP="0028091A">
            <w:pPr>
              <w:jc w:val="both"/>
              <w:rPr>
                <w:rFonts w:ascii="Arial" w:hAnsi="Arial" w:cs="Arial"/>
                <w:sz w:val="20"/>
                <w:szCs w:val="20"/>
                <w:lang w:eastAsia="zh-TW"/>
              </w:rPr>
            </w:pPr>
          </w:p>
        </w:tc>
        <w:tc>
          <w:tcPr>
            <w:tcW w:w="1843" w:type="dxa"/>
          </w:tcPr>
          <w:p w14:paraId="43C2D1AA" w14:textId="77777777" w:rsidR="00E8256E" w:rsidRPr="00132FB7" w:rsidRDefault="00E70254" w:rsidP="0028091A">
            <w:pPr>
              <w:pStyle w:val="Default"/>
              <w:jc w:val="both"/>
              <w:rPr>
                <w:sz w:val="20"/>
                <w:szCs w:val="20"/>
              </w:rPr>
            </w:pPr>
            <w:r w:rsidRPr="00132FB7">
              <w:rPr>
                <w:b/>
                <w:bCs/>
                <w:sz w:val="20"/>
                <w:szCs w:val="20"/>
              </w:rPr>
              <w:t xml:space="preserve">Commercial Sensitivity Relief </w:t>
            </w:r>
          </w:p>
          <w:p w14:paraId="23F24458" w14:textId="77777777" w:rsidR="00E8256E" w:rsidRPr="00132FB7" w:rsidRDefault="00E8256E" w:rsidP="0028091A">
            <w:pPr>
              <w:jc w:val="both"/>
              <w:rPr>
                <w:rFonts w:ascii="Arial" w:hAnsi="Arial" w:cs="Arial"/>
                <w:sz w:val="20"/>
                <w:szCs w:val="20"/>
                <w:lang w:eastAsia="zh-TW"/>
              </w:rPr>
            </w:pPr>
          </w:p>
        </w:tc>
        <w:tc>
          <w:tcPr>
            <w:tcW w:w="1700" w:type="dxa"/>
          </w:tcPr>
          <w:p w14:paraId="2034B8CA" w14:textId="77777777" w:rsidR="00E8256E" w:rsidRPr="00132FB7" w:rsidRDefault="00E70254" w:rsidP="0028091A">
            <w:pPr>
              <w:pStyle w:val="Default"/>
              <w:jc w:val="both"/>
              <w:rPr>
                <w:sz w:val="20"/>
                <w:szCs w:val="20"/>
              </w:rPr>
            </w:pPr>
            <w:r w:rsidRPr="00132FB7">
              <w:rPr>
                <w:b/>
                <w:bCs/>
                <w:sz w:val="20"/>
                <w:szCs w:val="20"/>
              </w:rPr>
              <w:t xml:space="preserve">Financial Effects Relief </w:t>
            </w:r>
          </w:p>
          <w:p w14:paraId="21A1E88A" w14:textId="77777777" w:rsidR="00E8256E" w:rsidRPr="00132FB7" w:rsidRDefault="00E8256E" w:rsidP="0028091A">
            <w:pPr>
              <w:jc w:val="both"/>
              <w:rPr>
                <w:rFonts w:ascii="Arial" w:hAnsi="Arial" w:cs="Arial"/>
                <w:sz w:val="20"/>
                <w:szCs w:val="20"/>
                <w:lang w:eastAsia="zh-TW"/>
              </w:rPr>
            </w:pPr>
          </w:p>
        </w:tc>
      </w:tr>
      <w:tr w:rsidR="009979C9" w:rsidRPr="00132FB7" w14:paraId="737CB719" w14:textId="77777777" w:rsidTr="00132FB7">
        <w:tc>
          <w:tcPr>
            <w:tcW w:w="2122" w:type="dxa"/>
          </w:tcPr>
          <w:p w14:paraId="7422AB0E" w14:textId="77777777" w:rsidR="00E8256E" w:rsidRDefault="00E70254" w:rsidP="00132FB7">
            <w:pPr>
              <w:rPr>
                <w:rFonts w:ascii="Arial" w:hAnsi="Arial" w:cs="Arial"/>
                <w:sz w:val="20"/>
                <w:szCs w:val="20"/>
                <w:lang w:eastAsia="zh-TW"/>
              </w:rPr>
            </w:pPr>
            <w:r w:rsidRPr="00132FB7">
              <w:rPr>
                <w:rFonts w:ascii="Arial" w:hAnsi="Arial" w:cs="Arial"/>
                <w:sz w:val="20"/>
                <w:szCs w:val="20"/>
                <w:lang w:eastAsia="zh-TW"/>
              </w:rPr>
              <w:t>All paragraphs with respect to climate-related opportunities</w:t>
            </w:r>
          </w:p>
          <w:p w14:paraId="71092FF8" w14:textId="77777777" w:rsidR="000A0010" w:rsidRPr="00132FB7" w:rsidRDefault="000A0010" w:rsidP="00132FB7">
            <w:pPr>
              <w:rPr>
                <w:rFonts w:ascii="Arial" w:hAnsi="Arial" w:cs="Arial"/>
                <w:sz w:val="20"/>
                <w:szCs w:val="20"/>
                <w:lang w:eastAsia="zh-TW"/>
              </w:rPr>
            </w:pPr>
          </w:p>
        </w:tc>
        <w:tc>
          <w:tcPr>
            <w:tcW w:w="1842" w:type="dxa"/>
          </w:tcPr>
          <w:p w14:paraId="08822EEA" w14:textId="77777777" w:rsidR="00E8256E" w:rsidRPr="00132FB7" w:rsidRDefault="00E8256E" w:rsidP="0028091A">
            <w:pPr>
              <w:jc w:val="both"/>
              <w:rPr>
                <w:rFonts w:ascii="Arial" w:hAnsi="Arial" w:cs="Arial"/>
                <w:sz w:val="20"/>
                <w:szCs w:val="20"/>
                <w:lang w:eastAsia="zh-TW"/>
              </w:rPr>
            </w:pPr>
          </w:p>
        </w:tc>
        <w:tc>
          <w:tcPr>
            <w:tcW w:w="1843" w:type="dxa"/>
          </w:tcPr>
          <w:p w14:paraId="054E7731" w14:textId="77777777" w:rsidR="00E8256E" w:rsidRPr="00132FB7" w:rsidRDefault="00E8256E" w:rsidP="0028091A">
            <w:pPr>
              <w:jc w:val="both"/>
              <w:rPr>
                <w:rFonts w:ascii="Arial" w:hAnsi="Arial" w:cs="Arial"/>
                <w:sz w:val="20"/>
                <w:szCs w:val="20"/>
                <w:lang w:eastAsia="zh-TW"/>
              </w:rPr>
            </w:pPr>
          </w:p>
        </w:tc>
        <w:tc>
          <w:tcPr>
            <w:tcW w:w="1843" w:type="dxa"/>
          </w:tcPr>
          <w:p w14:paraId="2E3F3E69" w14:textId="77777777" w:rsidR="00E8256E" w:rsidRPr="00132FB7" w:rsidRDefault="00E70254" w:rsidP="0028091A">
            <w:pPr>
              <w:jc w:val="both"/>
              <w:rPr>
                <w:rFonts w:ascii="Arial" w:hAnsi="Arial" w:cs="Arial"/>
                <w:sz w:val="20"/>
                <w:szCs w:val="20"/>
                <w:lang w:eastAsia="zh-TW"/>
              </w:rPr>
            </w:pPr>
            <w:r w:rsidRPr="00132FB7">
              <w:rPr>
                <w:rFonts w:ascii="Arial" w:hAnsi="Arial" w:cs="Arial"/>
                <w:sz w:val="20"/>
                <w:szCs w:val="20"/>
              </w:rPr>
              <w:t xml:space="preserve">note 2 to paragraph 20 of Appendix C2  </w:t>
            </w:r>
          </w:p>
        </w:tc>
        <w:tc>
          <w:tcPr>
            <w:tcW w:w="1700" w:type="dxa"/>
          </w:tcPr>
          <w:p w14:paraId="4B4A110B" w14:textId="77777777" w:rsidR="00E8256E" w:rsidRPr="00132FB7" w:rsidRDefault="00E8256E" w:rsidP="0028091A">
            <w:pPr>
              <w:jc w:val="both"/>
              <w:rPr>
                <w:rFonts w:ascii="Arial" w:hAnsi="Arial" w:cs="Arial"/>
                <w:sz w:val="20"/>
                <w:szCs w:val="20"/>
                <w:lang w:eastAsia="zh-TW"/>
              </w:rPr>
            </w:pPr>
          </w:p>
        </w:tc>
      </w:tr>
      <w:tr w:rsidR="009979C9" w:rsidRPr="00132FB7" w14:paraId="714A3254" w14:textId="77777777" w:rsidTr="00132FB7">
        <w:tc>
          <w:tcPr>
            <w:tcW w:w="2122" w:type="dxa"/>
          </w:tcPr>
          <w:p w14:paraId="12892DB3" w14:textId="77777777" w:rsidR="00E8256E" w:rsidRPr="00132FB7" w:rsidRDefault="00E70254" w:rsidP="00132FB7">
            <w:pPr>
              <w:pStyle w:val="Default"/>
              <w:rPr>
                <w:sz w:val="20"/>
                <w:szCs w:val="20"/>
              </w:rPr>
            </w:pPr>
            <w:r w:rsidRPr="00132FB7">
              <w:rPr>
                <w:sz w:val="20"/>
                <w:szCs w:val="20"/>
              </w:rPr>
              <w:t xml:space="preserve">Identification of climate-related risks and opportunities </w:t>
            </w:r>
          </w:p>
          <w:p w14:paraId="33AAE9FE" w14:textId="77777777" w:rsidR="00E8256E" w:rsidRPr="00132FB7" w:rsidRDefault="00E8256E" w:rsidP="00132FB7">
            <w:pPr>
              <w:rPr>
                <w:rFonts w:ascii="Arial" w:hAnsi="Arial" w:cs="Arial"/>
                <w:sz w:val="20"/>
                <w:szCs w:val="20"/>
                <w:lang w:eastAsia="zh-TW"/>
              </w:rPr>
            </w:pPr>
          </w:p>
        </w:tc>
        <w:tc>
          <w:tcPr>
            <w:tcW w:w="1842" w:type="dxa"/>
          </w:tcPr>
          <w:p w14:paraId="3EDF976E" w14:textId="77777777" w:rsidR="00E8256E" w:rsidRPr="00132FB7" w:rsidRDefault="00E70254" w:rsidP="0028091A">
            <w:pPr>
              <w:jc w:val="both"/>
              <w:rPr>
                <w:rFonts w:ascii="Arial" w:hAnsi="Arial" w:cs="Arial"/>
                <w:sz w:val="20"/>
                <w:szCs w:val="20"/>
                <w:lang w:eastAsia="zh-TW"/>
              </w:rPr>
            </w:pPr>
            <w:r w:rsidRPr="00132FB7">
              <w:rPr>
                <w:rFonts w:ascii="Arial" w:hAnsi="Arial" w:cs="Arial"/>
                <w:sz w:val="20"/>
                <w:szCs w:val="20"/>
              </w:rPr>
              <w:t xml:space="preserve">note 1(a) to paragraph 20 of Appendix C2  </w:t>
            </w:r>
          </w:p>
        </w:tc>
        <w:tc>
          <w:tcPr>
            <w:tcW w:w="1843" w:type="dxa"/>
          </w:tcPr>
          <w:p w14:paraId="22C12EDB" w14:textId="77777777" w:rsidR="00E8256E" w:rsidRPr="00132FB7" w:rsidRDefault="00E8256E" w:rsidP="0028091A">
            <w:pPr>
              <w:jc w:val="both"/>
              <w:rPr>
                <w:rFonts w:ascii="Arial" w:hAnsi="Arial" w:cs="Arial"/>
                <w:sz w:val="20"/>
                <w:szCs w:val="20"/>
                <w:lang w:eastAsia="zh-TW"/>
              </w:rPr>
            </w:pPr>
          </w:p>
        </w:tc>
        <w:tc>
          <w:tcPr>
            <w:tcW w:w="1843" w:type="dxa"/>
          </w:tcPr>
          <w:p w14:paraId="682F3D81" w14:textId="77777777" w:rsidR="00E8256E" w:rsidRPr="00132FB7" w:rsidRDefault="00E8256E" w:rsidP="0028091A">
            <w:pPr>
              <w:jc w:val="both"/>
              <w:rPr>
                <w:rFonts w:ascii="Arial" w:hAnsi="Arial" w:cs="Arial"/>
                <w:sz w:val="20"/>
                <w:szCs w:val="20"/>
                <w:lang w:eastAsia="zh-TW"/>
              </w:rPr>
            </w:pPr>
          </w:p>
        </w:tc>
        <w:tc>
          <w:tcPr>
            <w:tcW w:w="1700" w:type="dxa"/>
          </w:tcPr>
          <w:p w14:paraId="775775AC" w14:textId="77777777" w:rsidR="00E8256E" w:rsidRPr="00132FB7" w:rsidRDefault="00E8256E" w:rsidP="0028091A">
            <w:pPr>
              <w:jc w:val="both"/>
              <w:rPr>
                <w:rFonts w:ascii="Arial" w:hAnsi="Arial" w:cs="Arial"/>
                <w:sz w:val="20"/>
                <w:szCs w:val="20"/>
                <w:lang w:eastAsia="zh-TW"/>
              </w:rPr>
            </w:pPr>
          </w:p>
        </w:tc>
      </w:tr>
      <w:tr w:rsidR="009979C9" w:rsidRPr="00132FB7" w14:paraId="47439EF9" w14:textId="77777777" w:rsidTr="00132FB7">
        <w:tc>
          <w:tcPr>
            <w:tcW w:w="2122" w:type="dxa"/>
          </w:tcPr>
          <w:p w14:paraId="4679C19E" w14:textId="77777777" w:rsidR="00E8256E" w:rsidRPr="00132FB7" w:rsidRDefault="00E70254" w:rsidP="00132FB7">
            <w:pPr>
              <w:pStyle w:val="Default"/>
              <w:rPr>
                <w:sz w:val="20"/>
                <w:szCs w:val="20"/>
              </w:rPr>
            </w:pPr>
            <w:r w:rsidRPr="00132FB7">
              <w:rPr>
                <w:sz w:val="20"/>
                <w:szCs w:val="20"/>
              </w:rPr>
              <w:t xml:space="preserve">Determination of the scope of the value chain </w:t>
            </w:r>
          </w:p>
          <w:p w14:paraId="4805A30A" w14:textId="77777777" w:rsidR="00E8256E" w:rsidRPr="00132FB7" w:rsidRDefault="00E8256E" w:rsidP="00132FB7">
            <w:pPr>
              <w:rPr>
                <w:rFonts w:ascii="Arial" w:hAnsi="Arial" w:cs="Arial"/>
                <w:sz w:val="20"/>
                <w:szCs w:val="20"/>
                <w:lang w:eastAsia="zh-TW"/>
              </w:rPr>
            </w:pPr>
          </w:p>
        </w:tc>
        <w:tc>
          <w:tcPr>
            <w:tcW w:w="1842" w:type="dxa"/>
          </w:tcPr>
          <w:p w14:paraId="1B4C8BE7" w14:textId="77777777" w:rsidR="00E8256E" w:rsidRPr="00132FB7" w:rsidRDefault="00E70254" w:rsidP="0028091A">
            <w:pPr>
              <w:jc w:val="both"/>
              <w:rPr>
                <w:rFonts w:ascii="Arial" w:hAnsi="Arial" w:cs="Arial"/>
                <w:sz w:val="20"/>
                <w:szCs w:val="20"/>
                <w:lang w:eastAsia="zh-TW"/>
              </w:rPr>
            </w:pPr>
            <w:r w:rsidRPr="00132FB7">
              <w:rPr>
                <w:rFonts w:ascii="Arial" w:hAnsi="Arial" w:cs="Arial"/>
                <w:sz w:val="20"/>
                <w:szCs w:val="20"/>
              </w:rPr>
              <w:t xml:space="preserve">note to paragraph 21 of Appendix C2  </w:t>
            </w:r>
          </w:p>
        </w:tc>
        <w:tc>
          <w:tcPr>
            <w:tcW w:w="1843" w:type="dxa"/>
          </w:tcPr>
          <w:p w14:paraId="629FEB84" w14:textId="77777777" w:rsidR="00E8256E" w:rsidRPr="00132FB7" w:rsidRDefault="00E8256E" w:rsidP="0028091A">
            <w:pPr>
              <w:jc w:val="both"/>
              <w:rPr>
                <w:rFonts w:ascii="Arial" w:hAnsi="Arial" w:cs="Arial"/>
                <w:sz w:val="20"/>
                <w:szCs w:val="20"/>
                <w:lang w:eastAsia="zh-TW"/>
              </w:rPr>
            </w:pPr>
          </w:p>
        </w:tc>
        <w:tc>
          <w:tcPr>
            <w:tcW w:w="1843" w:type="dxa"/>
          </w:tcPr>
          <w:p w14:paraId="2C1B158C" w14:textId="77777777" w:rsidR="00E8256E" w:rsidRPr="00132FB7" w:rsidRDefault="00E8256E" w:rsidP="0028091A">
            <w:pPr>
              <w:jc w:val="both"/>
              <w:rPr>
                <w:rFonts w:ascii="Arial" w:hAnsi="Arial" w:cs="Arial"/>
                <w:sz w:val="20"/>
                <w:szCs w:val="20"/>
                <w:lang w:eastAsia="zh-TW"/>
              </w:rPr>
            </w:pPr>
          </w:p>
        </w:tc>
        <w:tc>
          <w:tcPr>
            <w:tcW w:w="1700" w:type="dxa"/>
          </w:tcPr>
          <w:p w14:paraId="26167999" w14:textId="77777777" w:rsidR="00E8256E" w:rsidRPr="00132FB7" w:rsidRDefault="00E8256E" w:rsidP="0028091A">
            <w:pPr>
              <w:jc w:val="both"/>
              <w:rPr>
                <w:rFonts w:ascii="Arial" w:hAnsi="Arial" w:cs="Arial"/>
                <w:sz w:val="20"/>
                <w:szCs w:val="20"/>
                <w:lang w:eastAsia="zh-TW"/>
              </w:rPr>
            </w:pPr>
          </w:p>
        </w:tc>
      </w:tr>
      <w:tr w:rsidR="009979C9" w:rsidRPr="00132FB7" w14:paraId="1C2CFDF3" w14:textId="77777777" w:rsidTr="00132FB7">
        <w:tc>
          <w:tcPr>
            <w:tcW w:w="2122" w:type="dxa"/>
          </w:tcPr>
          <w:p w14:paraId="08369FBC" w14:textId="77777777" w:rsidR="00E8256E" w:rsidRPr="00132FB7" w:rsidRDefault="00E70254" w:rsidP="00132FB7">
            <w:pPr>
              <w:pStyle w:val="Default"/>
              <w:rPr>
                <w:sz w:val="20"/>
                <w:szCs w:val="20"/>
              </w:rPr>
            </w:pPr>
            <w:r w:rsidRPr="00132FB7">
              <w:rPr>
                <w:sz w:val="20"/>
                <w:szCs w:val="20"/>
              </w:rPr>
              <w:t xml:space="preserve">Quantification of current and anticipated financial effects </w:t>
            </w:r>
          </w:p>
          <w:p w14:paraId="329AAAA4" w14:textId="77777777" w:rsidR="00E8256E" w:rsidRPr="00132FB7" w:rsidRDefault="00E8256E" w:rsidP="00132FB7">
            <w:pPr>
              <w:rPr>
                <w:rFonts w:ascii="Arial" w:hAnsi="Arial" w:cs="Arial"/>
                <w:sz w:val="20"/>
                <w:szCs w:val="20"/>
                <w:lang w:eastAsia="zh-TW"/>
              </w:rPr>
            </w:pPr>
          </w:p>
        </w:tc>
        <w:tc>
          <w:tcPr>
            <w:tcW w:w="1842" w:type="dxa"/>
          </w:tcPr>
          <w:p w14:paraId="72912A05" w14:textId="77777777" w:rsidR="00E8256E" w:rsidRPr="00132FB7" w:rsidRDefault="00E8256E" w:rsidP="0028091A">
            <w:pPr>
              <w:jc w:val="both"/>
              <w:rPr>
                <w:rFonts w:ascii="Arial" w:hAnsi="Arial" w:cs="Arial"/>
                <w:sz w:val="20"/>
                <w:szCs w:val="20"/>
                <w:lang w:eastAsia="zh-TW"/>
              </w:rPr>
            </w:pPr>
          </w:p>
        </w:tc>
        <w:tc>
          <w:tcPr>
            <w:tcW w:w="1843" w:type="dxa"/>
          </w:tcPr>
          <w:p w14:paraId="4605F6DB" w14:textId="77777777" w:rsidR="00E8256E" w:rsidRDefault="00E70254" w:rsidP="0028091A">
            <w:pPr>
              <w:jc w:val="both"/>
              <w:rPr>
                <w:rFonts w:ascii="Arial" w:hAnsi="Arial" w:cs="Arial"/>
                <w:sz w:val="20"/>
                <w:szCs w:val="20"/>
              </w:rPr>
            </w:pPr>
            <w:r w:rsidRPr="00132FB7">
              <w:rPr>
                <w:rFonts w:ascii="Arial" w:hAnsi="Arial" w:cs="Arial"/>
                <w:sz w:val="20"/>
                <w:szCs w:val="20"/>
              </w:rPr>
              <w:t>note 4 to paragraph 25 of Appendix C2  (for anticipated financial effects only)</w:t>
            </w:r>
          </w:p>
          <w:p w14:paraId="6DDBFEE8" w14:textId="77777777" w:rsidR="000A0010" w:rsidRPr="00132FB7" w:rsidRDefault="000A0010" w:rsidP="0028091A">
            <w:pPr>
              <w:jc w:val="both"/>
              <w:rPr>
                <w:rFonts w:ascii="Arial" w:hAnsi="Arial" w:cs="Arial"/>
                <w:sz w:val="20"/>
                <w:szCs w:val="20"/>
                <w:lang w:eastAsia="zh-TW"/>
              </w:rPr>
            </w:pPr>
          </w:p>
        </w:tc>
        <w:tc>
          <w:tcPr>
            <w:tcW w:w="1843" w:type="dxa"/>
          </w:tcPr>
          <w:p w14:paraId="2BCEF1D5" w14:textId="77777777" w:rsidR="00E8256E" w:rsidRPr="00132FB7" w:rsidRDefault="00E8256E" w:rsidP="0028091A">
            <w:pPr>
              <w:jc w:val="both"/>
              <w:rPr>
                <w:rFonts w:ascii="Arial" w:hAnsi="Arial" w:cs="Arial"/>
                <w:sz w:val="20"/>
                <w:szCs w:val="20"/>
                <w:lang w:eastAsia="zh-TW"/>
              </w:rPr>
            </w:pPr>
          </w:p>
        </w:tc>
        <w:tc>
          <w:tcPr>
            <w:tcW w:w="1700" w:type="dxa"/>
          </w:tcPr>
          <w:p w14:paraId="3D20536B" w14:textId="77777777" w:rsidR="00E8256E" w:rsidRPr="00132FB7" w:rsidRDefault="00E70254" w:rsidP="0028091A">
            <w:pPr>
              <w:jc w:val="both"/>
              <w:rPr>
                <w:rFonts w:ascii="Arial" w:hAnsi="Arial" w:cs="Arial"/>
                <w:sz w:val="20"/>
                <w:szCs w:val="20"/>
                <w:lang w:eastAsia="zh-TW"/>
              </w:rPr>
            </w:pPr>
            <w:r w:rsidRPr="00132FB7">
              <w:rPr>
                <w:rFonts w:ascii="Arial" w:hAnsi="Arial" w:cs="Arial"/>
                <w:sz w:val="20"/>
                <w:szCs w:val="20"/>
              </w:rPr>
              <w:t xml:space="preserve">notes 3 and 5 to paragraph 25 of Appendix C2  </w:t>
            </w:r>
          </w:p>
        </w:tc>
      </w:tr>
      <w:tr w:rsidR="009979C9" w:rsidRPr="00132FB7" w14:paraId="08041669" w14:textId="77777777" w:rsidTr="00132FB7">
        <w:tc>
          <w:tcPr>
            <w:tcW w:w="2122" w:type="dxa"/>
          </w:tcPr>
          <w:p w14:paraId="05171119" w14:textId="77777777" w:rsidR="00E8256E" w:rsidRPr="00132FB7" w:rsidRDefault="00E70254" w:rsidP="00132FB7">
            <w:pPr>
              <w:pStyle w:val="Default"/>
              <w:rPr>
                <w:sz w:val="20"/>
                <w:szCs w:val="20"/>
              </w:rPr>
            </w:pPr>
            <w:r w:rsidRPr="00132FB7">
              <w:rPr>
                <w:sz w:val="20"/>
                <w:szCs w:val="20"/>
              </w:rPr>
              <w:t xml:space="preserve">Preparation of disclosures on anticipated financial effects </w:t>
            </w:r>
          </w:p>
          <w:p w14:paraId="60F799F0" w14:textId="77777777" w:rsidR="00E8256E" w:rsidRPr="00132FB7" w:rsidRDefault="00E8256E" w:rsidP="00132FB7">
            <w:pPr>
              <w:rPr>
                <w:rFonts w:ascii="Arial" w:hAnsi="Arial" w:cs="Arial"/>
                <w:sz w:val="20"/>
                <w:szCs w:val="20"/>
                <w:lang w:eastAsia="zh-TW"/>
              </w:rPr>
            </w:pPr>
          </w:p>
        </w:tc>
        <w:tc>
          <w:tcPr>
            <w:tcW w:w="1842" w:type="dxa"/>
          </w:tcPr>
          <w:p w14:paraId="15D96C53" w14:textId="77777777" w:rsidR="00E8256E" w:rsidRPr="00132FB7" w:rsidRDefault="00E70254" w:rsidP="0028091A">
            <w:pPr>
              <w:jc w:val="both"/>
              <w:rPr>
                <w:rFonts w:ascii="Arial" w:hAnsi="Arial" w:cs="Arial"/>
                <w:sz w:val="20"/>
                <w:szCs w:val="20"/>
                <w:lang w:eastAsia="zh-TW"/>
              </w:rPr>
            </w:pPr>
            <w:r w:rsidRPr="00132FB7">
              <w:rPr>
                <w:rFonts w:ascii="Arial" w:hAnsi="Arial" w:cs="Arial"/>
                <w:sz w:val="20"/>
                <w:szCs w:val="20"/>
              </w:rPr>
              <w:t xml:space="preserve">note 2 to paragraph 25 of Appendix C2  </w:t>
            </w:r>
          </w:p>
        </w:tc>
        <w:tc>
          <w:tcPr>
            <w:tcW w:w="1843" w:type="dxa"/>
          </w:tcPr>
          <w:p w14:paraId="511D615A" w14:textId="77777777" w:rsidR="00E8256E" w:rsidRPr="00132FB7" w:rsidRDefault="00E70254" w:rsidP="0028091A">
            <w:pPr>
              <w:jc w:val="both"/>
              <w:rPr>
                <w:rFonts w:ascii="Arial" w:hAnsi="Arial" w:cs="Arial"/>
                <w:sz w:val="20"/>
                <w:szCs w:val="20"/>
                <w:lang w:eastAsia="zh-TW"/>
              </w:rPr>
            </w:pPr>
            <w:r w:rsidRPr="00132FB7">
              <w:rPr>
                <w:rFonts w:ascii="Arial" w:hAnsi="Arial" w:cs="Arial"/>
                <w:sz w:val="20"/>
                <w:szCs w:val="20"/>
              </w:rPr>
              <w:t xml:space="preserve">note 2 to paragraph 25 of Appendix C2  </w:t>
            </w:r>
          </w:p>
        </w:tc>
        <w:tc>
          <w:tcPr>
            <w:tcW w:w="1843" w:type="dxa"/>
          </w:tcPr>
          <w:p w14:paraId="6F2C922F" w14:textId="77777777" w:rsidR="00E8256E" w:rsidRPr="00132FB7" w:rsidRDefault="00E8256E" w:rsidP="0028091A">
            <w:pPr>
              <w:jc w:val="both"/>
              <w:rPr>
                <w:rFonts w:ascii="Arial" w:hAnsi="Arial" w:cs="Arial"/>
                <w:sz w:val="20"/>
                <w:szCs w:val="20"/>
                <w:lang w:eastAsia="zh-TW"/>
              </w:rPr>
            </w:pPr>
          </w:p>
        </w:tc>
        <w:tc>
          <w:tcPr>
            <w:tcW w:w="1700" w:type="dxa"/>
          </w:tcPr>
          <w:p w14:paraId="1BF102C6" w14:textId="77777777" w:rsidR="00E8256E" w:rsidRPr="00132FB7" w:rsidRDefault="00E8256E" w:rsidP="0028091A">
            <w:pPr>
              <w:jc w:val="both"/>
              <w:rPr>
                <w:rFonts w:ascii="Arial" w:hAnsi="Arial" w:cs="Arial"/>
                <w:sz w:val="20"/>
                <w:szCs w:val="20"/>
                <w:lang w:eastAsia="zh-TW"/>
              </w:rPr>
            </w:pPr>
          </w:p>
        </w:tc>
      </w:tr>
      <w:tr w:rsidR="009979C9" w:rsidRPr="00132FB7" w14:paraId="55F0BFE7" w14:textId="77777777" w:rsidTr="00132FB7">
        <w:tc>
          <w:tcPr>
            <w:tcW w:w="2122" w:type="dxa"/>
          </w:tcPr>
          <w:p w14:paraId="1FDC81A1" w14:textId="77777777" w:rsidR="00E8256E" w:rsidRPr="00132FB7" w:rsidRDefault="00E70254" w:rsidP="00132FB7">
            <w:pPr>
              <w:pStyle w:val="Default"/>
              <w:rPr>
                <w:sz w:val="20"/>
                <w:szCs w:val="20"/>
              </w:rPr>
            </w:pPr>
            <w:r w:rsidRPr="00132FB7">
              <w:rPr>
                <w:sz w:val="20"/>
                <w:szCs w:val="20"/>
              </w:rPr>
              <w:t xml:space="preserve">Use of climate-related scenario analysis </w:t>
            </w:r>
          </w:p>
          <w:p w14:paraId="6965BBE7" w14:textId="77777777" w:rsidR="00E8256E" w:rsidRPr="00132FB7" w:rsidRDefault="00E8256E" w:rsidP="00132FB7">
            <w:pPr>
              <w:rPr>
                <w:rFonts w:ascii="Arial" w:hAnsi="Arial" w:cs="Arial"/>
                <w:sz w:val="20"/>
                <w:szCs w:val="20"/>
                <w:lang w:eastAsia="zh-TW"/>
              </w:rPr>
            </w:pPr>
          </w:p>
        </w:tc>
        <w:tc>
          <w:tcPr>
            <w:tcW w:w="1842" w:type="dxa"/>
          </w:tcPr>
          <w:p w14:paraId="7EE67284" w14:textId="77777777" w:rsidR="00E8256E" w:rsidRPr="00132FB7" w:rsidRDefault="00E70254" w:rsidP="0028091A">
            <w:pPr>
              <w:jc w:val="both"/>
              <w:rPr>
                <w:rFonts w:ascii="Arial" w:hAnsi="Arial" w:cs="Arial"/>
                <w:sz w:val="20"/>
                <w:szCs w:val="20"/>
                <w:lang w:eastAsia="zh-TW"/>
              </w:rPr>
            </w:pPr>
            <w:r w:rsidRPr="00132FB7">
              <w:rPr>
                <w:rFonts w:ascii="Arial" w:hAnsi="Arial" w:cs="Arial"/>
                <w:sz w:val="20"/>
                <w:szCs w:val="20"/>
              </w:rPr>
              <w:t xml:space="preserve">note to paragraph 26 of Appendix C2  </w:t>
            </w:r>
          </w:p>
        </w:tc>
        <w:tc>
          <w:tcPr>
            <w:tcW w:w="1843" w:type="dxa"/>
          </w:tcPr>
          <w:p w14:paraId="69C43DD8" w14:textId="77777777" w:rsidR="00E8256E" w:rsidRPr="00132FB7" w:rsidRDefault="00E70254" w:rsidP="0028091A">
            <w:pPr>
              <w:jc w:val="both"/>
              <w:rPr>
                <w:rFonts w:ascii="Arial" w:hAnsi="Arial" w:cs="Arial"/>
                <w:sz w:val="20"/>
                <w:szCs w:val="20"/>
                <w:lang w:eastAsia="zh-TW"/>
              </w:rPr>
            </w:pPr>
            <w:r w:rsidRPr="00132FB7">
              <w:rPr>
                <w:rFonts w:ascii="Arial" w:hAnsi="Arial" w:cs="Arial"/>
                <w:sz w:val="20"/>
                <w:szCs w:val="20"/>
              </w:rPr>
              <w:t xml:space="preserve">note to paragraph 26 of Appendix C2  </w:t>
            </w:r>
          </w:p>
        </w:tc>
        <w:tc>
          <w:tcPr>
            <w:tcW w:w="1843" w:type="dxa"/>
          </w:tcPr>
          <w:p w14:paraId="2885661B" w14:textId="77777777" w:rsidR="00E8256E" w:rsidRPr="00132FB7" w:rsidRDefault="00E8256E" w:rsidP="0028091A">
            <w:pPr>
              <w:jc w:val="both"/>
              <w:rPr>
                <w:rFonts w:ascii="Arial" w:hAnsi="Arial" w:cs="Arial"/>
                <w:sz w:val="20"/>
                <w:szCs w:val="20"/>
                <w:lang w:eastAsia="zh-TW"/>
              </w:rPr>
            </w:pPr>
          </w:p>
        </w:tc>
        <w:tc>
          <w:tcPr>
            <w:tcW w:w="1700" w:type="dxa"/>
          </w:tcPr>
          <w:p w14:paraId="20AADD19" w14:textId="77777777" w:rsidR="00E8256E" w:rsidRPr="00132FB7" w:rsidRDefault="00E8256E" w:rsidP="0028091A">
            <w:pPr>
              <w:jc w:val="both"/>
              <w:rPr>
                <w:rFonts w:ascii="Arial" w:hAnsi="Arial" w:cs="Arial"/>
                <w:sz w:val="20"/>
                <w:szCs w:val="20"/>
                <w:lang w:eastAsia="zh-TW"/>
              </w:rPr>
            </w:pPr>
          </w:p>
        </w:tc>
      </w:tr>
      <w:tr w:rsidR="009979C9" w:rsidRPr="00132FB7" w14:paraId="609DDEAD" w14:textId="77777777" w:rsidTr="00132FB7">
        <w:tc>
          <w:tcPr>
            <w:tcW w:w="2122" w:type="dxa"/>
          </w:tcPr>
          <w:p w14:paraId="0FFEE720" w14:textId="6B149C54" w:rsidR="00E8256E" w:rsidRPr="00132FB7" w:rsidRDefault="00E70254" w:rsidP="00132FB7">
            <w:pPr>
              <w:pStyle w:val="Default"/>
              <w:rPr>
                <w:sz w:val="20"/>
                <w:szCs w:val="20"/>
              </w:rPr>
            </w:pPr>
            <w:r w:rsidRPr="00132FB7">
              <w:rPr>
                <w:sz w:val="20"/>
                <w:szCs w:val="20"/>
              </w:rPr>
              <w:t xml:space="preserve">Measurement approach, inputs and assumptions of Scope 3 </w:t>
            </w:r>
            <w:r w:rsidR="00181C88">
              <w:rPr>
                <w:sz w:val="20"/>
                <w:szCs w:val="20"/>
              </w:rPr>
              <w:t>greenhouse gas</w:t>
            </w:r>
            <w:r w:rsidRPr="00132FB7">
              <w:rPr>
                <w:sz w:val="20"/>
                <w:szCs w:val="20"/>
              </w:rPr>
              <w:t xml:space="preserve"> emissions </w:t>
            </w:r>
          </w:p>
          <w:p w14:paraId="40F560CF" w14:textId="77777777" w:rsidR="00E8256E" w:rsidRPr="00132FB7" w:rsidRDefault="00E8256E" w:rsidP="00132FB7">
            <w:pPr>
              <w:rPr>
                <w:rFonts w:ascii="Arial" w:hAnsi="Arial" w:cs="Arial"/>
                <w:sz w:val="20"/>
                <w:szCs w:val="20"/>
                <w:lang w:eastAsia="zh-TW"/>
              </w:rPr>
            </w:pPr>
          </w:p>
        </w:tc>
        <w:tc>
          <w:tcPr>
            <w:tcW w:w="1842" w:type="dxa"/>
          </w:tcPr>
          <w:p w14:paraId="208FC928" w14:textId="77777777" w:rsidR="00E8256E" w:rsidRPr="00132FB7" w:rsidRDefault="00E70254" w:rsidP="0028091A">
            <w:pPr>
              <w:jc w:val="both"/>
              <w:rPr>
                <w:rFonts w:ascii="Arial" w:hAnsi="Arial" w:cs="Arial"/>
                <w:sz w:val="20"/>
                <w:szCs w:val="20"/>
                <w:lang w:eastAsia="zh-TW"/>
              </w:rPr>
            </w:pPr>
            <w:r w:rsidRPr="00132FB7">
              <w:rPr>
                <w:rFonts w:ascii="Arial" w:hAnsi="Arial" w:cs="Arial"/>
                <w:sz w:val="20"/>
                <w:szCs w:val="20"/>
              </w:rPr>
              <w:t xml:space="preserve">note 1 to paragraph 29 of Appendix C2  </w:t>
            </w:r>
          </w:p>
        </w:tc>
        <w:tc>
          <w:tcPr>
            <w:tcW w:w="1843" w:type="dxa"/>
          </w:tcPr>
          <w:p w14:paraId="4724C2D8" w14:textId="77777777" w:rsidR="00E8256E" w:rsidRPr="00132FB7" w:rsidRDefault="00E8256E" w:rsidP="0028091A">
            <w:pPr>
              <w:jc w:val="both"/>
              <w:rPr>
                <w:rFonts w:ascii="Arial" w:hAnsi="Arial" w:cs="Arial"/>
                <w:sz w:val="20"/>
                <w:szCs w:val="20"/>
                <w:lang w:eastAsia="zh-TW"/>
              </w:rPr>
            </w:pPr>
          </w:p>
        </w:tc>
        <w:tc>
          <w:tcPr>
            <w:tcW w:w="1843" w:type="dxa"/>
          </w:tcPr>
          <w:p w14:paraId="6853C4F6" w14:textId="77777777" w:rsidR="00E8256E" w:rsidRPr="00132FB7" w:rsidRDefault="00E8256E" w:rsidP="0028091A">
            <w:pPr>
              <w:jc w:val="both"/>
              <w:rPr>
                <w:rFonts w:ascii="Arial" w:hAnsi="Arial" w:cs="Arial"/>
                <w:sz w:val="20"/>
                <w:szCs w:val="20"/>
                <w:lang w:eastAsia="zh-TW"/>
              </w:rPr>
            </w:pPr>
          </w:p>
        </w:tc>
        <w:tc>
          <w:tcPr>
            <w:tcW w:w="1700" w:type="dxa"/>
          </w:tcPr>
          <w:p w14:paraId="70B8122B" w14:textId="77777777" w:rsidR="00E8256E" w:rsidRPr="00132FB7" w:rsidRDefault="00E8256E" w:rsidP="0028091A">
            <w:pPr>
              <w:jc w:val="both"/>
              <w:rPr>
                <w:rFonts w:ascii="Arial" w:hAnsi="Arial" w:cs="Arial"/>
                <w:sz w:val="20"/>
                <w:szCs w:val="20"/>
                <w:lang w:eastAsia="zh-TW"/>
              </w:rPr>
            </w:pPr>
          </w:p>
        </w:tc>
      </w:tr>
      <w:tr w:rsidR="009979C9" w:rsidRPr="00132FB7" w14:paraId="2373AFF0" w14:textId="77777777" w:rsidTr="00132FB7">
        <w:tc>
          <w:tcPr>
            <w:tcW w:w="2122" w:type="dxa"/>
          </w:tcPr>
          <w:p w14:paraId="237471C9" w14:textId="77777777" w:rsidR="00E8256E" w:rsidRPr="00132FB7" w:rsidRDefault="00E70254" w:rsidP="00132FB7">
            <w:pPr>
              <w:pStyle w:val="Default"/>
              <w:rPr>
                <w:sz w:val="20"/>
                <w:szCs w:val="20"/>
              </w:rPr>
            </w:pPr>
            <w:r w:rsidRPr="00132FB7">
              <w:rPr>
                <w:sz w:val="20"/>
                <w:szCs w:val="20"/>
              </w:rPr>
              <w:t xml:space="preserve">Calculation of metrics in particular cross-industry metric categories with respect to climate-related transition risks, climate-related physical risks and climate-related opportunities  </w:t>
            </w:r>
          </w:p>
          <w:p w14:paraId="453DE4D1" w14:textId="77777777" w:rsidR="00E8256E" w:rsidRPr="00132FB7" w:rsidRDefault="00E8256E" w:rsidP="00132FB7">
            <w:pPr>
              <w:rPr>
                <w:rFonts w:ascii="Arial" w:hAnsi="Arial" w:cs="Arial"/>
                <w:sz w:val="20"/>
                <w:szCs w:val="20"/>
                <w:lang w:eastAsia="zh-TW"/>
              </w:rPr>
            </w:pPr>
          </w:p>
        </w:tc>
        <w:tc>
          <w:tcPr>
            <w:tcW w:w="1842" w:type="dxa"/>
          </w:tcPr>
          <w:p w14:paraId="727FF3A0" w14:textId="77777777" w:rsidR="00E8256E" w:rsidRPr="00132FB7" w:rsidRDefault="00E8256E" w:rsidP="0028091A">
            <w:pPr>
              <w:jc w:val="both"/>
              <w:rPr>
                <w:rFonts w:ascii="Arial" w:hAnsi="Arial" w:cs="Arial"/>
                <w:sz w:val="20"/>
                <w:szCs w:val="20"/>
                <w:lang w:eastAsia="zh-TW"/>
              </w:rPr>
            </w:pPr>
          </w:p>
        </w:tc>
        <w:tc>
          <w:tcPr>
            <w:tcW w:w="1843" w:type="dxa"/>
          </w:tcPr>
          <w:p w14:paraId="31B228D4" w14:textId="77777777" w:rsidR="00E8256E" w:rsidRPr="00132FB7" w:rsidRDefault="00E70254" w:rsidP="0028091A">
            <w:pPr>
              <w:jc w:val="both"/>
              <w:rPr>
                <w:rFonts w:ascii="Arial" w:hAnsi="Arial" w:cs="Arial"/>
                <w:sz w:val="20"/>
                <w:szCs w:val="20"/>
                <w:lang w:eastAsia="zh-TW"/>
              </w:rPr>
            </w:pPr>
            <w:r w:rsidRPr="00132FB7">
              <w:rPr>
                <w:rFonts w:ascii="Arial" w:hAnsi="Arial" w:cs="Arial"/>
                <w:sz w:val="20"/>
                <w:szCs w:val="20"/>
              </w:rPr>
              <w:t>note to paragraph 32 of Appendix C2</w:t>
            </w:r>
          </w:p>
        </w:tc>
        <w:tc>
          <w:tcPr>
            <w:tcW w:w="1843" w:type="dxa"/>
          </w:tcPr>
          <w:p w14:paraId="1AD50F7B" w14:textId="77777777" w:rsidR="00E8256E" w:rsidRPr="00132FB7" w:rsidRDefault="00E8256E" w:rsidP="0028091A">
            <w:pPr>
              <w:jc w:val="both"/>
              <w:rPr>
                <w:rFonts w:ascii="Arial" w:hAnsi="Arial" w:cs="Arial"/>
                <w:sz w:val="20"/>
                <w:szCs w:val="20"/>
                <w:lang w:eastAsia="zh-TW"/>
              </w:rPr>
            </w:pPr>
          </w:p>
        </w:tc>
        <w:tc>
          <w:tcPr>
            <w:tcW w:w="1700" w:type="dxa"/>
          </w:tcPr>
          <w:p w14:paraId="7ABF9994" w14:textId="77777777" w:rsidR="00E8256E" w:rsidRPr="00132FB7" w:rsidRDefault="00E8256E" w:rsidP="0028091A">
            <w:pPr>
              <w:jc w:val="both"/>
              <w:rPr>
                <w:rFonts w:ascii="Arial" w:hAnsi="Arial" w:cs="Arial"/>
                <w:sz w:val="20"/>
                <w:szCs w:val="20"/>
                <w:lang w:eastAsia="zh-TW"/>
              </w:rPr>
            </w:pPr>
          </w:p>
        </w:tc>
      </w:tr>
    </w:tbl>
    <w:p w14:paraId="283156B1" w14:textId="77777777" w:rsidR="00D24A37" w:rsidRPr="00D24A37" w:rsidRDefault="00D24A37" w:rsidP="00D24A37">
      <w:pPr>
        <w:pStyle w:val="ListParagraph"/>
        <w:spacing w:after="0"/>
        <w:jc w:val="both"/>
        <w:rPr>
          <w:rFonts w:ascii="Arial" w:hAnsi="Arial" w:cs="Arial"/>
          <w:sz w:val="20"/>
          <w:szCs w:val="20"/>
          <w:lang w:eastAsia="zh-TW"/>
        </w:rPr>
      </w:pPr>
    </w:p>
    <w:p w14:paraId="07D7893D" w14:textId="77777777" w:rsidR="00E8256E" w:rsidRDefault="00E70254" w:rsidP="0028091A">
      <w:pPr>
        <w:pStyle w:val="ListParagraph"/>
        <w:numPr>
          <w:ilvl w:val="0"/>
          <w:numId w:val="3"/>
        </w:numPr>
        <w:spacing w:after="0"/>
        <w:jc w:val="both"/>
        <w:rPr>
          <w:rFonts w:ascii="Arial" w:hAnsi="Arial" w:cs="Arial"/>
          <w:sz w:val="20"/>
          <w:szCs w:val="20"/>
          <w:lang w:eastAsia="zh-TW"/>
        </w:rPr>
      </w:pPr>
      <w:r w:rsidRPr="000A0010">
        <w:rPr>
          <w:rFonts w:ascii="Arial" w:hAnsi="Arial" w:cs="Arial"/>
          <w:i/>
          <w:color w:val="FF0000"/>
          <w:sz w:val="20"/>
          <w:szCs w:val="20"/>
          <w:lang w:eastAsia="zh-TW"/>
        </w:rPr>
        <w:t>Reasonable Information Relief</w:t>
      </w:r>
      <w:r w:rsidRPr="000A0010">
        <w:rPr>
          <w:rFonts w:ascii="Arial" w:hAnsi="Arial" w:cs="Arial"/>
          <w:color w:val="FF0000"/>
          <w:sz w:val="20"/>
          <w:szCs w:val="20"/>
          <w:lang w:eastAsia="zh-TW"/>
        </w:rPr>
        <w:t xml:space="preserve"> </w:t>
      </w:r>
      <w:r w:rsidRPr="00132FB7">
        <w:rPr>
          <w:rFonts w:ascii="Arial" w:hAnsi="Arial" w:cs="Arial"/>
          <w:sz w:val="20"/>
          <w:szCs w:val="20"/>
          <w:lang w:eastAsia="zh-TW"/>
        </w:rPr>
        <w:t xml:space="preserve">– under this relief, listed companies are only required to make disclosures if the information is reasonably accessible and supportable, and </w:t>
      </w:r>
      <w:r w:rsidR="00D24A37">
        <w:rPr>
          <w:rFonts w:ascii="Arial" w:hAnsi="Arial" w:cs="Arial"/>
          <w:sz w:val="20"/>
          <w:szCs w:val="20"/>
          <w:lang w:eastAsia="zh-TW"/>
        </w:rPr>
        <w:t xml:space="preserve">if </w:t>
      </w:r>
      <w:r w:rsidRPr="00132FB7">
        <w:rPr>
          <w:rFonts w:ascii="Arial" w:hAnsi="Arial" w:cs="Arial"/>
          <w:sz w:val="20"/>
          <w:szCs w:val="20"/>
          <w:lang w:eastAsia="zh-TW"/>
        </w:rPr>
        <w:t>the information is available at the reporting date without undue cost or effort</w:t>
      </w:r>
      <w:r w:rsidR="00AD640B">
        <w:rPr>
          <w:rFonts w:ascii="Arial" w:hAnsi="Arial" w:cs="Arial"/>
          <w:sz w:val="20"/>
          <w:szCs w:val="20"/>
          <w:lang w:eastAsia="zh-TW"/>
        </w:rPr>
        <w:t>.</w:t>
      </w:r>
    </w:p>
    <w:p w14:paraId="72B8A0D4" w14:textId="77777777" w:rsidR="00132FB7" w:rsidRPr="00132FB7" w:rsidRDefault="00132FB7" w:rsidP="00132FB7">
      <w:pPr>
        <w:pStyle w:val="ListParagraph"/>
        <w:spacing w:after="0"/>
        <w:jc w:val="both"/>
        <w:rPr>
          <w:rFonts w:ascii="Arial" w:hAnsi="Arial" w:cs="Arial"/>
          <w:sz w:val="20"/>
          <w:szCs w:val="20"/>
          <w:lang w:eastAsia="zh-TW"/>
        </w:rPr>
      </w:pPr>
    </w:p>
    <w:p w14:paraId="2FFEE3A5" w14:textId="77777777" w:rsidR="00306A5F" w:rsidRDefault="00E70254" w:rsidP="0028091A">
      <w:pPr>
        <w:pStyle w:val="ListParagraph"/>
        <w:numPr>
          <w:ilvl w:val="0"/>
          <w:numId w:val="3"/>
        </w:numPr>
        <w:spacing w:after="0"/>
        <w:jc w:val="both"/>
        <w:rPr>
          <w:rFonts w:ascii="Arial" w:hAnsi="Arial" w:cs="Arial"/>
          <w:sz w:val="20"/>
          <w:szCs w:val="20"/>
          <w:lang w:eastAsia="zh-TW"/>
        </w:rPr>
      </w:pPr>
      <w:r w:rsidRPr="000A0010">
        <w:rPr>
          <w:rFonts w:ascii="Arial" w:hAnsi="Arial" w:cs="Arial"/>
          <w:i/>
          <w:color w:val="FF0000"/>
          <w:sz w:val="20"/>
          <w:szCs w:val="20"/>
          <w:lang w:eastAsia="zh-TW"/>
        </w:rPr>
        <w:t>Capabilities Relief</w:t>
      </w:r>
      <w:r w:rsidRPr="000A0010">
        <w:rPr>
          <w:rFonts w:ascii="Arial" w:hAnsi="Arial" w:cs="Arial"/>
          <w:color w:val="FF0000"/>
          <w:sz w:val="20"/>
          <w:szCs w:val="20"/>
          <w:lang w:eastAsia="zh-TW"/>
        </w:rPr>
        <w:t xml:space="preserve"> </w:t>
      </w:r>
      <w:r w:rsidRPr="00132FB7">
        <w:rPr>
          <w:rFonts w:ascii="Arial" w:hAnsi="Arial" w:cs="Arial"/>
          <w:sz w:val="20"/>
          <w:szCs w:val="20"/>
          <w:lang w:eastAsia="zh-TW"/>
        </w:rPr>
        <w:t>– listed companies are permitted to limit their disclosures based on the available skills, capabilities and resources at a particular point in time in preparing disclosures on</w:t>
      </w:r>
      <w:r w:rsidR="00D24A37">
        <w:rPr>
          <w:rFonts w:ascii="Arial" w:hAnsi="Arial" w:cs="Arial"/>
          <w:sz w:val="20"/>
          <w:szCs w:val="20"/>
          <w:lang w:eastAsia="zh-TW"/>
        </w:rPr>
        <w:t xml:space="preserve"> a</w:t>
      </w:r>
      <w:r w:rsidRPr="00132FB7">
        <w:rPr>
          <w:rFonts w:ascii="Arial" w:hAnsi="Arial" w:cs="Arial"/>
          <w:sz w:val="20"/>
          <w:szCs w:val="20"/>
          <w:lang w:eastAsia="zh-TW"/>
        </w:rPr>
        <w:t xml:space="preserve"> climate-related scenario analysis and anticipated financial effects</w:t>
      </w:r>
      <w:r w:rsidR="00AD640B">
        <w:rPr>
          <w:rFonts w:ascii="Arial" w:hAnsi="Arial" w:cs="Arial"/>
          <w:sz w:val="20"/>
          <w:szCs w:val="20"/>
          <w:lang w:eastAsia="zh-TW"/>
        </w:rPr>
        <w:t>.</w:t>
      </w:r>
    </w:p>
    <w:p w14:paraId="607009E1" w14:textId="77777777" w:rsidR="00132FB7" w:rsidRPr="00132FB7" w:rsidRDefault="00132FB7" w:rsidP="00132FB7">
      <w:pPr>
        <w:spacing w:after="0"/>
        <w:jc w:val="both"/>
        <w:rPr>
          <w:rFonts w:ascii="Arial" w:hAnsi="Arial" w:cs="Arial"/>
          <w:sz w:val="20"/>
          <w:szCs w:val="20"/>
          <w:lang w:eastAsia="zh-TW"/>
        </w:rPr>
      </w:pPr>
    </w:p>
    <w:p w14:paraId="4537EDE1" w14:textId="48242877" w:rsidR="00306A5F" w:rsidRPr="00132FB7" w:rsidRDefault="00E70254" w:rsidP="0028091A">
      <w:pPr>
        <w:pStyle w:val="ListParagraph"/>
        <w:numPr>
          <w:ilvl w:val="0"/>
          <w:numId w:val="3"/>
        </w:numPr>
        <w:spacing w:after="0"/>
        <w:jc w:val="both"/>
        <w:rPr>
          <w:rFonts w:ascii="Arial" w:hAnsi="Arial" w:cs="Arial"/>
          <w:sz w:val="20"/>
          <w:szCs w:val="20"/>
          <w:lang w:val="en-HK" w:eastAsia="zh-TW"/>
        </w:rPr>
      </w:pPr>
      <w:r w:rsidRPr="000A0010">
        <w:rPr>
          <w:rFonts w:ascii="Arial" w:hAnsi="Arial" w:cs="Arial"/>
          <w:i/>
          <w:color w:val="FF0000"/>
          <w:sz w:val="20"/>
          <w:szCs w:val="20"/>
          <w:lang w:eastAsia="zh-TW"/>
        </w:rPr>
        <w:t xml:space="preserve">Commercial Sensitivity </w:t>
      </w:r>
      <w:r w:rsidRPr="000A0010">
        <w:rPr>
          <w:rFonts w:ascii="Arial" w:hAnsi="Arial" w:cs="Arial"/>
          <w:i/>
          <w:color w:val="FF0000"/>
          <w:sz w:val="20"/>
          <w:szCs w:val="20"/>
          <w:lang w:val="en-HK" w:eastAsia="zh-TW"/>
        </w:rPr>
        <w:t>Relief</w:t>
      </w:r>
      <w:r w:rsidRPr="000A0010">
        <w:rPr>
          <w:rFonts w:ascii="Arial" w:hAnsi="Arial" w:cs="Arial"/>
          <w:color w:val="FF0000"/>
          <w:sz w:val="20"/>
          <w:szCs w:val="20"/>
          <w:lang w:val="en-HK" w:eastAsia="zh-TW"/>
        </w:rPr>
        <w:t xml:space="preserve"> </w:t>
      </w:r>
      <w:r w:rsidRPr="00132FB7">
        <w:rPr>
          <w:rFonts w:ascii="Arial" w:hAnsi="Arial" w:cs="Arial"/>
          <w:sz w:val="20"/>
          <w:szCs w:val="20"/>
          <w:lang w:val="en-HK" w:eastAsia="zh-TW"/>
        </w:rPr>
        <w:t>– full compliance with the disclosure requirements is not mandatory if (</w:t>
      </w:r>
      <w:proofErr w:type="spellStart"/>
      <w:r w:rsidRPr="00132FB7">
        <w:rPr>
          <w:rFonts w:ascii="Arial" w:hAnsi="Arial" w:cs="Arial"/>
          <w:sz w:val="20"/>
          <w:szCs w:val="20"/>
          <w:lang w:val="en-HK" w:eastAsia="zh-TW"/>
        </w:rPr>
        <w:t>i</w:t>
      </w:r>
      <w:proofErr w:type="spellEnd"/>
      <w:r w:rsidRPr="00132FB7">
        <w:rPr>
          <w:rFonts w:ascii="Arial" w:hAnsi="Arial" w:cs="Arial"/>
          <w:sz w:val="20"/>
          <w:szCs w:val="20"/>
          <w:lang w:val="en-HK" w:eastAsia="zh-TW"/>
        </w:rPr>
        <w:t xml:space="preserve">) the information about the climate-related opportunity is not already publicly available; (ii) disclosure of such would seriously prejudice the economic benefits </w:t>
      </w:r>
      <w:r w:rsidR="00181C88">
        <w:rPr>
          <w:rFonts w:ascii="Arial" w:hAnsi="Arial" w:cs="Arial"/>
          <w:sz w:val="20"/>
          <w:szCs w:val="20"/>
          <w:lang w:val="en-HK" w:eastAsia="zh-TW"/>
        </w:rPr>
        <w:t>the listed company</w:t>
      </w:r>
      <w:r w:rsidRPr="00132FB7">
        <w:rPr>
          <w:rFonts w:ascii="Arial" w:hAnsi="Arial" w:cs="Arial"/>
          <w:sz w:val="20"/>
          <w:szCs w:val="20"/>
          <w:lang w:val="en-HK" w:eastAsia="zh-TW"/>
        </w:rPr>
        <w:t xml:space="preserve"> would otherwise be able to realise in pursuing the opportunity; and (iii) it is not possible to disclose such information in a manner that would enable the listed company to meet the objectives of the disclosure requirements without seriously prejudicing the abovementioned economic benefits.</w:t>
      </w:r>
      <w:r w:rsidRPr="00132FB7">
        <w:rPr>
          <w:rStyle w:val="FootnoteReference"/>
          <w:rFonts w:ascii="Arial" w:hAnsi="Arial" w:cs="Arial"/>
          <w:sz w:val="20"/>
          <w:szCs w:val="20"/>
          <w:lang w:val="en-HK" w:eastAsia="zh-TW"/>
        </w:rPr>
        <w:footnoteReference w:id="3"/>
      </w:r>
    </w:p>
    <w:p w14:paraId="0DADB538" w14:textId="77777777" w:rsidR="00306A5F" w:rsidRPr="00132FB7" w:rsidRDefault="00306A5F" w:rsidP="0028091A">
      <w:pPr>
        <w:spacing w:after="0"/>
        <w:jc w:val="both"/>
        <w:rPr>
          <w:rFonts w:ascii="Arial" w:hAnsi="Arial" w:cs="Arial"/>
          <w:sz w:val="20"/>
          <w:szCs w:val="20"/>
          <w:lang w:eastAsia="zh-TW"/>
        </w:rPr>
      </w:pPr>
    </w:p>
    <w:p w14:paraId="5C0DEF12" w14:textId="4F1BFDB3" w:rsidR="00E8256E"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 xml:space="preserve">Under paragraph 16 of the ESG Code, </w:t>
      </w:r>
      <w:r w:rsidR="00BB5C45" w:rsidRPr="00132FB7">
        <w:rPr>
          <w:rFonts w:ascii="Arial" w:hAnsi="Arial" w:cs="Arial"/>
          <w:sz w:val="20"/>
          <w:szCs w:val="20"/>
          <w:lang w:eastAsia="zh-TW"/>
        </w:rPr>
        <w:t xml:space="preserve">the </w:t>
      </w:r>
      <w:r w:rsidR="00306A09">
        <w:rPr>
          <w:rFonts w:ascii="Arial" w:hAnsi="Arial" w:cs="Arial"/>
          <w:sz w:val="20"/>
          <w:szCs w:val="20"/>
          <w:lang w:eastAsia="zh-TW"/>
        </w:rPr>
        <w:t>Exchange</w:t>
      </w:r>
      <w:r w:rsidR="00BB5C45" w:rsidRPr="00132FB7">
        <w:rPr>
          <w:rFonts w:ascii="Arial" w:hAnsi="Arial" w:cs="Arial"/>
          <w:sz w:val="20"/>
          <w:szCs w:val="20"/>
          <w:lang w:eastAsia="zh-TW"/>
        </w:rPr>
        <w:t xml:space="preserve"> encourages listed companies who have opted for the “explain” option or one of the implementation reliefs above to also make disclosures on its work plan, including the progress </w:t>
      </w:r>
      <w:r w:rsidR="00181C88">
        <w:rPr>
          <w:rFonts w:ascii="Arial" w:hAnsi="Arial" w:cs="Arial"/>
          <w:sz w:val="20"/>
          <w:szCs w:val="20"/>
          <w:lang w:eastAsia="zh-TW"/>
        </w:rPr>
        <w:t>of</w:t>
      </w:r>
      <w:r w:rsidR="00BB5C45" w:rsidRPr="00132FB7">
        <w:rPr>
          <w:rFonts w:ascii="Arial" w:hAnsi="Arial" w:cs="Arial"/>
          <w:sz w:val="20"/>
          <w:szCs w:val="20"/>
          <w:lang w:eastAsia="zh-TW"/>
        </w:rPr>
        <w:t xml:space="preserve"> preparing relevant information and the timetable. </w:t>
      </w:r>
    </w:p>
    <w:p w14:paraId="1D997B8E" w14:textId="77777777" w:rsidR="00132FB7" w:rsidRDefault="00132FB7" w:rsidP="0028091A">
      <w:pPr>
        <w:spacing w:after="0"/>
        <w:jc w:val="both"/>
        <w:rPr>
          <w:rFonts w:ascii="Arial" w:hAnsi="Arial" w:cs="Arial"/>
          <w:sz w:val="20"/>
          <w:szCs w:val="20"/>
          <w:lang w:eastAsia="zh-TW"/>
        </w:rPr>
      </w:pPr>
    </w:p>
    <w:p w14:paraId="2425AD49" w14:textId="77777777" w:rsidR="00BD4F66" w:rsidRDefault="00BD4F66" w:rsidP="0028091A">
      <w:pPr>
        <w:spacing w:after="0"/>
        <w:jc w:val="both"/>
        <w:rPr>
          <w:rFonts w:ascii="Arial" w:hAnsi="Arial" w:cs="Arial"/>
          <w:sz w:val="20"/>
          <w:szCs w:val="20"/>
          <w:lang w:eastAsia="zh-TW"/>
        </w:rPr>
      </w:pPr>
    </w:p>
    <w:p w14:paraId="547593EC" w14:textId="77777777" w:rsidR="00BD4F66" w:rsidRDefault="00BD4F66" w:rsidP="0028091A">
      <w:pPr>
        <w:spacing w:after="0"/>
        <w:jc w:val="both"/>
        <w:rPr>
          <w:rFonts w:ascii="Arial" w:hAnsi="Arial" w:cs="Arial"/>
          <w:sz w:val="20"/>
          <w:szCs w:val="20"/>
          <w:lang w:eastAsia="zh-TW"/>
        </w:rPr>
      </w:pPr>
    </w:p>
    <w:p w14:paraId="3DB8ACBC" w14:textId="77777777" w:rsidR="00132FB7" w:rsidRPr="00C50B39" w:rsidRDefault="00132FB7" w:rsidP="0028091A">
      <w:pPr>
        <w:spacing w:after="0"/>
        <w:jc w:val="both"/>
        <w:rPr>
          <w:rFonts w:ascii="Arial" w:hAnsi="Arial" w:cs="Arial"/>
          <w:b/>
          <w:sz w:val="20"/>
          <w:szCs w:val="20"/>
          <w:u w:val="single"/>
          <w:lang w:eastAsia="zh-TW"/>
        </w:rPr>
      </w:pPr>
      <w:r w:rsidRPr="00C50B39">
        <w:rPr>
          <w:rFonts w:ascii="Arial" w:hAnsi="Arial" w:cs="Arial"/>
          <w:b/>
          <w:sz w:val="20"/>
          <w:szCs w:val="20"/>
          <w:u w:val="single"/>
          <w:lang w:eastAsia="zh-TW"/>
        </w:rPr>
        <w:t xml:space="preserve">Governance </w:t>
      </w:r>
    </w:p>
    <w:p w14:paraId="70C786A1" w14:textId="77777777" w:rsidR="003A0703" w:rsidRPr="00132FB7" w:rsidRDefault="003A0703" w:rsidP="0028091A">
      <w:pPr>
        <w:spacing w:after="0"/>
        <w:jc w:val="both"/>
        <w:rPr>
          <w:rFonts w:ascii="Arial" w:hAnsi="Arial" w:cs="Arial"/>
          <w:sz w:val="20"/>
          <w:szCs w:val="20"/>
          <w:lang w:eastAsia="zh-TW"/>
        </w:rPr>
      </w:pPr>
    </w:p>
    <w:p w14:paraId="3184C2A1" w14:textId="77777777" w:rsidR="003A0703" w:rsidRPr="00132FB7" w:rsidRDefault="00E70254" w:rsidP="000A0010">
      <w:pPr>
        <w:pStyle w:val="ListParagraph"/>
        <w:numPr>
          <w:ilvl w:val="0"/>
          <w:numId w:val="11"/>
        </w:numPr>
        <w:spacing w:after="0"/>
        <w:ind w:left="284"/>
        <w:jc w:val="both"/>
        <w:rPr>
          <w:rFonts w:ascii="Arial" w:hAnsi="Arial" w:cs="Arial"/>
          <w:b/>
          <w:color w:val="FF0000"/>
          <w:sz w:val="20"/>
          <w:szCs w:val="20"/>
          <w:lang w:eastAsia="zh-TW"/>
        </w:rPr>
      </w:pPr>
      <w:r w:rsidRPr="00132FB7">
        <w:rPr>
          <w:rFonts w:ascii="Arial" w:hAnsi="Arial" w:cs="Arial"/>
          <w:b/>
          <w:color w:val="FF0000"/>
          <w:sz w:val="20"/>
          <w:szCs w:val="20"/>
          <w:lang w:eastAsia="zh-TW"/>
        </w:rPr>
        <w:t xml:space="preserve">Introducing new climate-related governance disclosures </w:t>
      </w:r>
    </w:p>
    <w:p w14:paraId="4D2B62F2" w14:textId="77777777" w:rsidR="00BB5C45" w:rsidRPr="00132FB7" w:rsidRDefault="00BB5C45" w:rsidP="0028091A">
      <w:pPr>
        <w:spacing w:after="0"/>
        <w:jc w:val="both"/>
        <w:rPr>
          <w:rFonts w:ascii="Arial" w:hAnsi="Arial" w:cs="Arial"/>
          <w:sz w:val="20"/>
          <w:szCs w:val="20"/>
          <w:lang w:eastAsia="zh-TW"/>
        </w:rPr>
      </w:pPr>
    </w:p>
    <w:p w14:paraId="147FAA32" w14:textId="2FE88AE8" w:rsidR="00BB5C45" w:rsidRDefault="00E70254" w:rsidP="00132FB7">
      <w:pPr>
        <w:pStyle w:val="Default"/>
        <w:jc w:val="both"/>
        <w:rPr>
          <w:sz w:val="20"/>
          <w:szCs w:val="20"/>
        </w:rPr>
      </w:pPr>
      <w:r w:rsidRPr="00132FB7">
        <w:rPr>
          <w:sz w:val="20"/>
          <w:szCs w:val="20"/>
          <w:lang w:eastAsia="zh-TW"/>
        </w:rPr>
        <w:t xml:space="preserve">A large majority of respondents supported </w:t>
      </w:r>
      <w:r w:rsidR="00BD4F66">
        <w:rPr>
          <w:sz w:val="20"/>
          <w:szCs w:val="20"/>
          <w:lang w:eastAsia="zh-TW"/>
        </w:rPr>
        <w:t xml:space="preserve">the </w:t>
      </w:r>
      <w:r w:rsidR="00306A09">
        <w:rPr>
          <w:sz w:val="20"/>
          <w:szCs w:val="20"/>
          <w:lang w:eastAsia="zh-TW"/>
        </w:rPr>
        <w:t>Exchange</w:t>
      </w:r>
      <w:r w:rsidRPr="00132FB7">
        <w:rPr>
          <w:sz w:val="20"/>
          <w:szCs w:val="20"/>
          <w:lang w:eastAsia="zh-TW"/>
        </w:rPr>
        <w:t xml:space="preserve">’s proposal to add provisions in the ESG Code to address the roles of the board of directors, committees and management. This </w:t>
      </w:r>
      <w:r w:rsidR="00D24A37">
        <w:rPr>
          <w:sz w:val="20"/>
          <w:szCs w:val="20"/>
          <w:lang w:eastAsia="zh-TW"/>
        </w:rPr>
        <w:t xml:space="preserve">aims to </w:t>
      </w:r>
      <w:r w:rsidRPr="00132FB7">
        <w:rPr>
          <w:sz w:val="20"/>
          <w:szCs w:val="20"/>
          <w:lang w:eastAsia="zh-TW"/>
        </w:rPr>
        <w:t xml:space="preserve">help focus the management on climate issues in relation to the listed company and thus allow investors to evaluate whether the listed company has the ability to deal with </w:t>
      </w:r>
      <w:r w:rsidRPr="00132FB7">
        <w:rPr>
          <w:sz w:val="20"/>
          <w:szCs w:val="20"/>
        </w:rPr>
        <w:t xml:space="preserve">significant climate-related risks and opportunities. The </w:t>
      </w:r>
      <w:r w:rsidR="00306A09">
        <w:rPr>
          <w:sz w:val="20"/>
          <w:szCs w:val="20"/>
        </w:rPr>
        <w:t>Exchange</w:t>
      </w:r>
      <w:r w:rsidRPr="00132FB7">
        <w:rPr>
          <w:sz w:val="20"/>
          <w:szCs w:val="20"/>
        </w:rPr>
        <w:t xml:space="preserve"> will implement</w:t>
      </w:r>
      <w:r w:rsidR="00181C88">
        <w:rPr>
          <w:sz w:val="20"/>
          <w:szCs w:val="20"/>
        </w:rPr>
        <w:t>,</w:t>
      </w:r>
      <w:r w:rsidR="00D24A37">
        <w:rPr>
          <w:sz w:val="20"/>
          <w:szCs w:val="20"/>
        </w:rPr>
        <w:t xml:space="preserve"> in</w:t>
      </w:r>
      <w:r w:rsidR="00D24A37" w:rsidRPr="00132FB7">
        <w:rPr>
          <w:sz w:val="20"/>
          <w:szCs w:val="20"/>
        </w:rPr>
        <w:t xml:space="preserve"> the ESG Code</w:t>
      </w:r>
      <w:r w:rsidR="00181C88">
        <w:rPr>
          <w:sz w:val="20"/>
          <w:szCs w:val="20"/>
        </w:rPr>
        <w:t>,</w:t>
      </w:r>
      <w:r w:rsidRPr="00132FB7">
        <w:rPr>
          <w:sz w:val="20"/>
          <w:szCs w:val="20"/>
        </w:rPr>
        <w:t xml:space="preserve"> </w:t>
      </w:r>
      <w:r w:rsidR="00D24A37">
        <w:rPr>
          <w:sz w:val="20"/>
          <w:szCs w:val="20"/>
        </w:rPr>
        <w:t>wording</w:t>
      </w:r>
      <w:r w:rsidR="00BD4F66">
        <w:rPr>
          <w:sz w:val="20"/>
          <w:szCs w:val="20"/>
        </w:rPr>
        <w:t>s</w:t>
      </w:r>
      <w:r w:rsidR="00D24A37" w:rsidRPr="00132FB7">
        <w:rPr>
          <w:sz w:val="20"/>
          <w:szCs w:val="20"/>
        </w:rPr>
        <w:t xml:space="preserve"> </w:t>
      </w:r>
      <w:r w:rsidR="00D24A37">
        <w:rPr>
          <w:sz w:val="20"/>
          <w:szCs w:val="20"/>
        </w:rPr>
        <w:t>similar to that under the</w:t>
      </w:r>
      <w:r w:rsidRPr="00132FB7">
        <w:rPr>
          <w:sz w:val="20"/>
          <w:szCs w:val="20"/>
        </w:rPr>
        <w:t xml:space="preserve"> ISSB Climate Standard, whic</w:t>
      </w:r>
      <w:r w:rsidR="00D24A37">
        <w:rPr>
          <w:sz w:val="20"/>
          <w:szCs w:val="20"/>
        </w:rPr>
        <w:t>h specifies that</w:t>
      </w:r>
      <w:r w:rsidRPr="00132FB7">
        <w:rPr>
          <w:sz w:val="20"/>
          <w:szCs w:val="20"/>
        </w:rPr>
        <w:t xml:space="preserve"> governance bodies and management </w:t>
      </w:r>
      <w:r w:rsidR="00D24A37">
        <w:rPr>
          <w:sz w:val="20"/>
          <w:szCs w:val="20"/>
        </w:rPr>
        <w:t xml:space="preserve">are </w:t>
      </w:r>
      <w:r w:rsidRPr="00132FB7">
        <w:rPr>
          <w:sz w:val="20"/>
          <w:szCs w:val="20"/>
        </w:rPr>
        <w:t xml:space="preserve">responsible for oversight of climate-related risks and opportunities. </w:t>
      </w:r>
      <w:r w:rsidR="00D24A37">
        <w:rPr>
          <w:sz w:val="20"/>
          <w:szCs w:val="20"/>
        </w:rPr>
        <w:t xml:space="preserve">These </w:t>
      </w:r>
      <w:r w:rsidRPr="00132FB7">
        <w:rPr>
          <w:sz w:val="20"/>
          <w:szCs w:val="20"/>
        </w:rPr>
        <w:t>responsibilities should also be set out in the applicable terms of reference, mandates, role descriptions or other related policies</w:t>
      </w:r>
      <w:r w:rsidR="00147BF0">
        <w:rPr>
          <w:sz w:val="20"/>
          <w:szCs w:val="20"/>
        </w:rPr>
        <w:t>.</w:t>
      </w:r>
      <w:r w:rsidRPr="00132FB7">
        <w:rPr>
          <w:rStyle w:val="FootnoteReference"/>
          <w:sz w:val="20"/>
          <w:szCs w:val="20"/>
        </w:rPr>
        <w:footnoteReference w:id="4"/>
      </w:r>
      <w:r w:rsidRPr="00132FB7">
        <w:rPr>
          <w:sz w:val="20"/>
          <w:szCs w:val="20"/>
        </w:rPr>
        <w:t xml:space="preserve"> The </w:t>
      </w:r>
      <w:r w:rsidR="00306A09">
        <w:rPr>
          <w:sz w:val="20"/>
          <w:szCs w:val="20"/>
        </w:rPr>
        <w:t>Exchange</w:t>
      </w:r>
      <w:r w:rsidR="00181C88">
        <w:rPr>
          <w:sz w:val="20"/>
          <w:szCs w:val="20"/>
        </w:rPr>
        <w:t xml:space="preserve"> notes</w:t>
      </w:r>
      <w:r w:rsidRPr="00132FB7">
        <w:rPr>
          <w:sz w:val="20"/>
          <w:szCs w:val="20"/>
        </w:rPr>
        <w:t xml:space="preserve"> that under paragraph 13 of the ESG Code, listed companies are already required to issue a statement from the board in relation to the l</w:t>
      </w:r>
      <w:r w:rsidR="00147BF0">
        <w:rPr>
          <w:sz w:val="20"/>
          <w:szCs w:val="20"/>
        </w:rPr>
        <w:t>isted company’s ESG disclosures</w:t>
      </w:r>
      <w:r w:rsidR="006E4335">
        <w:rPr>
          <w:sz w:val="20"/>
          <w:szCs w:val="20"/>
        </w:rPr>
        <w:t>,</w:t>
      </w:r>
      <w:r w:rsidRPr="00132FB7">
        <w:rPr>
          <w:sz w:val="20"/>
          <w:szCs w:val="20"/>
        </w:rPr>
        <w:t xml:space="preserve"> to avoi</w:t>
      </w:r>
      <w:r w:rsidR="00147BF0">
        <w:rPr>
          <w:sz w:val="20"/>
          <w:szCs w:val="20"/>
        </w:rPr>
        <w:t xml:space="preserve">d duplication, the </w:t>
      </w:r>
      <w:r w:rsidR="00306A09">
        <w:rPr>
          <w:sz w:val="20"/>
          <w:szCs w:val="20"/>
        </w:rPr>
        <w:t>Exchange</w:t>
      </w:r>
      <w:r w:rsidR="00147BF0">
        <w:rPr>
          <w:sz w:val="20"/>
          <w:szCs w:val="20"/>
        </w:rPr>
        <w:t xml:space="preserve"> states</w:t>
      </w:r>
      <w:r w:rsidRPr="00132FB7">
        <w:rPr>
          <w:sz w:val="20"/>
          <w:szCs w:val="20"/>
        </w:rPr>
        <w:t xml:space="preserve"> that only one integrated set of disclosures would be required to comply with paragraphs 13 and 19 of the ESG Code. </w:t>
      </w:r>
    </w:p>
    <w:p w14:paraId="00B0F033" w14:textId="77777777" w:rsidR="00132FB7" w:rsidRDefault="00132FB7" w:rsidP="00132FB7">
      <w:pPr>
        <w:pStyle w:val="Default"/>
        <w:jc w:val="both"/>
        <w:rPr>
          <w:sz w:val="20"/>
          <w:szCs w:val="20"/>
        </w:rPr>
      </w:pPr>
    </w:p>
    <w:p w14:paraId="1EFB7234" w14:textId="77777777" w:rsidR="00132FB7" w:rsidRPr="00C50B39" w:rsidRDefault="00132FB7" w:rsidP="00132FB7">
      <w:pPr>
        <w:pStyle w:val="Default"/>
        <w:jc w:val="both"/>
        <w:rPr>
          <w:b/>
          <w:sz w:val="20"/>
          <w:szCs w:val="20"/>
          <w:u w:val="single"/>
        </w:rPr>
      </w:pPr>
      <w:r w:rsidRPr="00C50B39">
        <w:rPr>
          <w:b/>
          <w:sz w:val="20"/>
          <w:szCs w:val="20"/>
          <w:u w:val="single"/>
        </w:rPr>
        <w:t xml:space="preserve">Strategy </w:t>
      </w:r>
    </w:p>
    <w:p w14:paraId="2F58E5AC" w14:textId="77777777" w:rsidR="00BB5C45" w:rsidRPr="00132FB7" w:rsidRDefault="00BB5C45" w:rsidP="0028091A">
      <w:pPr>
        <w:spacing w:after="0"/>
        <w:jc w:val="both"/>
        <w:rPr>
          <w:rFonts w:ascii="Arial" w:hAnsi="Arial" w:cs="Arial"/>
          <w:sz w:val="20"/>
          <w:szCs w:val="20"/>
          <w:lang w:eastAsia="zh-TW"/>
        </w:rPr>
      </w:pPr>
    </w:p>
    <w:p w14:paraId="006FBFFB" w14:textId="77777777" w:rsidR="003A0703" w:rsidRPr="00132FB7" w:rsidRDefault="00E70254" w:rsidP="000A0010">
      <w:pPr>
        <w:pStyle w:val="ListParagraph"/>
        <w:numPr>
          <w:ilvl w:val="0"/>
          <w:numId w:val="11"/>
        </w:numPr>
        <w:spacing w:after="0"/>
        <w:ind w:left="284"/>
        <w:jc w:val="both"/>
        <w:rPr>
          <w:rFonts w:ascii="Arial" w:hAnsi="Arial" w:cs="Arial"/>
          <w:b/>
          <w:sz w:val="20"/>
          <w:szCs w:val="20"/>
          <w:lang w:eastAsia="zh-TW"/>
        </w:rPr>
      </w:pPr>
      <w:r w:rsidRPr="00132FB7">
        <w:rPr>
          <w:rFonts w:ascii="Arial" w:hAnsi="Arial" w:cs="Arial"/>
          <w:sz w:val="20"/>
          <w:szCs w:val="20"/>
          <w:lang w:eastAsia="zh-TW"/>
        </w:rPr>
        <w:t xml:space="preserve"> </w:t>
      </w:r>
      <w:r w:rsidRPr="00132FB7">
        <w:rPr>
          <w:rFonts w:ascii="Arial" w:hAnsi="Arial" w:cs="Arial"/>
          <w:b/>
          <w:color w:val="FF0000"/>
          <w:sz w:val="20"/>
          <w:szCs w:val="20"/>
          <w:lang w:eastAsia="zh-TW"/>
        </w:rPr>
        <w:t xml:space="preserve">Disclosure of climate-related risks and opportunities </w:t>
      </w:r>
    </w:p>
    <w:p w14:paraId="5A24BCC3" w14:textId="77777777" w:rsidR="00220585" w:rsidRPr="00132FB7" w:rsidRDefault="00220585" w:rsidP="0028091A">
      <w:pPr>
        <w:spacing w:after="0"/>
        <w:jc w:val="both"/>
        <w:rPr>
          <w:rFonts w:ascii="Arial" w:hAnsi="Arial" w:cs="Arial"/>
          <w:sz w:val="20"/>
          <w:szCs w:val="20"/>
          <w:lang w:eastAsia="zh-TW"/>
        </w:rPr>
      </w:pPr>
    </w:p>
    <w:p w14:paraId="4E6A6C5B" w14:textId="77777777" w:rsidR="0010282A" w:rsidRDefault="00E70254" w:rsidP="0028091A">
      <w:pPr>
        <w:spacing w:after="0"/>
        <w:jc w:val="both"/>
        <w:rPr>
          <w:rFonts w:ascii="Arial" w:hAnsi="Arial" w:cs="Arial"/>
          <w:sz w:val="20"/>
          <w:szCs w:val="20"/>
        </w:rPr>
      </w:pPr>
      <w:r w:rsidRPr="00132FB7">
        <w:rPr>
          <w:rFonts w:ascii="Arial" w:hAnsi="Arial" w:cs="Arial"/>
          <w:sz w:val="20"/>
          <w:szCs w:val="20"/>
          <w:lang w:eastAsia="zh-TW"/>
        </w:rPr>
        <w:t xml:space="preserve">The </w:t>
      </w:r>
      <w:r w:rsidR="00306A09">
        <w:rPr>
          <w:rFonts w:ascii="Arial" w:hAnsi="Arial" w:cs="Arial"/>
          <w:sz w:val="20"/>
          <w:szCs w:val="20"/>
          <w:lang w:eastAsia="zh-TW"/>
        </w:rPr>
        <w:t>Exchange</w:t>
      </w:r>
      <w:r w:rsidRPr="00132FB7">
        <w:rPr>
          <w:rFonts w:ascii="Arial" w:hAnsi="Arial" w:cs="Arial"/>
          <w:sz w:val="20"/>
          <w:szCs w:val="20"/>
          <w:lang w:eastAsia="zh-TW"/>
        </w:rPr>
        <w:t xml:space="preserve"> will also include requirements on disclosures of climate-related risks and opportunities as they may have a </w:t>
      </w:r>
      <w:r w:rsidRPr="00132FB7">
        <w:rPr>
          <w:rFonts w:ascii="Arial" w:hAnsi="Arial" w:cs="Arial"/>
          <w:sz w:val="20"/>
          <w:szCs w:val="20"/>
        </w:rPr>
        <w:t>material effect on the listed company’s business model, strategy and cash flows, access to finance and cost of capital, all of which are essential for investors to make investment and voting decisions. T</w:t>
      </w:r>
      <w:r w:rsidR="00147BF0">
        <w:rPr>
          <w:rFonts w:ascii="Arial" w:hAnsi="Arial" w:cs="Arial"/>
          <w:sz w:val="20"/>
          <w:szCs w:val="20"/>
        </w:rPr>
        <w:t xml:space="preserve">he </w:t>
      </w:r>
      <w:r w:rsidR="00306A09">
        <w:rPr>
          <w:rFonts w:ascii="Arial" w:hAnsi="Arial" w:cs="Arial"/>
          <w:sz w:val="20"/>
          <w:szCs w:val="20"/>
        </w:rPr>
        <w:t>Exchange</w:t>
      </w:r>
      <w:r w:rsidR="00147BF0">
        <w:rPr>
          <w:rFonts w:ascii="Arial" w:hAnsi="Arial" w:cs="Arial"/>
          <w:sz w:val="20"/>
          <w:szCs w:val="20"/>
        </w:rPr>
        <w:t xml:space="preserve"> considers that this will</w:t>
      </w:r>
      <w:r w:rsidRPr="00132FB7">
        <w:rPr>
          <w:rFonts w:ascii="Arial" w:hAnsi="Arial" w:cs="Arial"/>
          <w:sz w:val="20"/>
          <w:szCs w:val="20"/>
        </w:rPr>
        <w:t xml:space="preserve"> also enhance the sustainable growth of listed companies and </w:t>
      </w:r>
      <w:r w:rsidR="00147BF0">
        <w:rPr>
          <w:rFonts w:ascii="Arial" w:hAnsi="Arial" w:cs="Arial"/>
          <w:sz w:val="20"/>
          <w:szCs w:val="20"/>
        </w:rPr>
        <w:t>that they will be able to</w:t>
      </w:r>
      <w:r w:rsidRPr="00132FB7">
        <w:rPr>
          <w:rFonts w:ascii="Arial" w:hAnsi="Arial" w:cs="Arial"/>
          <w:sz w:val="20"/>
          <w:szCs w:val="20"/>
        </w:rPr>
        <w:t xml:space="preserve"> amend their business model and development plan </w:t>
      </w:r>
      <w:r w:rsidR="00147BF0">
        <w:rPr>
          <w:rFonts w:ascii="Arial" w:hAnsi="Arial" w:cs="Arial"/>
          <w:sz w:val="20"/>
          <w:szCs w:val="20"/>
        </w:rPr>
        <w:t>according to</w:t>
      </w:r>
      <w:r w:rsidRPr="00132FB7">
        <w:rPr>
          <w:rFonts w:ascii="Arial" w:hAnsi="Arial" w:cs="Arial"/>
          <w:sz w:val="20"/>
          <w:szCs w:val="20"/>
        </w:rPr>
        <w:t xml:space="preserve"> the identified risks and opportunities. </w:t>
      </w:r>
    </w:p>
    <w:p w14:paraId="63CBAEC8" w14:textId="77777777" w:rsidR="00147BF0" w:rsidRPr="00132FB7" w:rsidRDefault="00147BF0" w:rsidP="0028091A">
      <w:pPr>
        <w:spacing w:after="0"/>
        <w:jc w:val="both"/>
        <w:rPr>
          <w:rFonts w:ascii="Arial" w:hAnsi="Arial" w:cs="Arial"/>
          <w:sz w:val="20"/>
          <w:szCs w:val="20"/>
        </w:rPr>
      </w:pPr>
    </w:p>
    <w:p w14:paraId="17FD12B0" w14:textId="77777777" w:rsidR="0010282A" w:rsidRDefault="00E70254" w:rsidP="0028091A">
      <w:pPr>
        <w:pStyle w:val="Default"/>
        <w:jc w:val="both"/>
        <w:rPr>
          <w:sz w:val="20"/>
          <w:szCs w:val="20"/>
        </w:rPr>
      </w:pPr>
      <w:r w:rsidRPr="00132FB7">
        <w:rPr>
          <w:sz w:val="20"/>
          <w:szCs w:val="20"/>
        </w:rPr>
        <w:t xml:space="preserve">Considering the feedback received, the </w:t>
      </w:r>
      <w:r w:rsidR="00306A09">
        <w:rPr>
          <w:sz w:val="20"/>
          <w:szCs w:val="20"/>
        </w:rPr>
        <w:t>Exchange</w:t>
      </w:r>
      <w:r w:rsidRPr="00132FB7">
        <w:rPr>
          <w:sz w:val="20"/>
          <w:szCs w:val="20"/>
        </w:rPr>
        <w:t xml:space="preserve"> will also make certain modifications to the original proposal</w:t>
      </w:r>
      <w:r w:rsidR="00306A5F" w:rsidRPr="00132FB7">
        <w:rPr>
          <w:sz w:val="20"/>
          <w:szCs w:val="20"/>
        </w:rPr>
        <w:t xml:space="preserve"> on climate-related risk disclosure</w:t>
      </w:r>
      <w:r w:rsidRPr="00132FB7">
        <w:rPr>
          <w:sz w:val="20"/>
          <w:szCs w:val="20"/>
        </w:rPr>
        <w:t xml:space="preserve">: </w:t>
      </w:r>
    </w:p>
    <w:p w14:paraId="62C2B038" w14:textId="77777777" w:rsidR="00147BF0" w:rsidRPr="00132FB7" w:rsidRDefault="00147BF0" w:rsidP="0028091A">
      <w:pPr>
        <w:pStyle w:val="Default"/>
        <w:jc w:val="both"/>
        <w:rPr>
          <w:sz w:val="20"/>
          <w:szCs w:val="20"/>
        </w:rPr>
      </w:pPr>
    </w:p>
    <w:p w14:paraId="61EF3CB8" w14:textId="77777777" w:rsidR="0010282A" w:rsidRDefault="00E70254" w:rsidP="0028091A">
      <w:pPr>
        <w:pStyle w:val="Default"/>
        <w:numPr>
          <w:ilvl w:val="0"/>
          <w:numId w:val="2"/>
        </w:numPr>
        <w:jc w:val="both"/>
        <w:rPr>
          <w:sz w:val="20"/>
          <w:szCs w:val="20"/>
        </w:rPr>
      </w:pPr>
      <w:r w:rsidRPr="00132FB7">
        <w:rPr>
          <w:color w:val="FF0000"/>
          <w:sz w:val="20"/>
          <w:szCs w:val="20"/>
        </w:rPr>
        <w:t xml:space="preserve">Paragraph 20(a) of the ESG Code </w:t>
      </w:r>
      <w:r w:rsidRPr="00132FB7">
        <w:rPr>
          <w:sz w:val="20"/>
          <w:szCs w:val="20"/>
        </w:rPr>
        <w:t>–</w:t>
      </w:r>
      <w:r w:rsidR="00132FB7">
        <w:rPr>
          <w:sz w:val="20"/>
          <w:szCs w:val="20"/>
        </w:rPr>
        <w:t xml:space="preserve"> </w:t>
      </w:r>
      <w:r w:rsidRPr="00132FB7">
        <w:rPr>
          <w:sz w:val="20"/>
          <w:szCs w:val="20"/>
        </w:rPr>
        <w:t>risks that could “</w:t>
      </w:r>
      <w:r w:rsidRPr="00147BF0">
        <w:rPr>
          <w:i/>
          <w:sz w:val="20"/>
          <w:szCs w:val="20"/>
        </w:rPr>
        <w:t>reasonably be expected to affect the issuer’s cash flows, its access to finance or cost of capital over the short, medium or long term</w:t>
      </w:r>
      <w:r w:rsidRPr="00132FB7">
        <w:rPr>
          <w:sz w:val="20"/>
          <w:szCs w:val="20"/>
        </w:rPr>
        <w:t>” must be disclosed. The industry-based disclosure topics under IFRS S2 Industry-based Guidance on implementing Climate-related Disclosures should be adopted</w:t>
      </w:r>
      <w:r w:rsidR="00147BF0">
        <w:rPr>
          <w:sz w:val="20"/>
          <w:szCs w:val="20"/>
        </w:rPr>
        <w:t>,</w:t>
      </w:r>
      <w:r w:rsidRPr="00132FB7">
        <w:rPr>
          <w:sz w:val="20"/>
          <w:szCs w:val="20"/>
        </w:rPr>
        <w:t xml:space="preserve"> if applicable. </w:t>
      </w:r>
    </w:p>
    <w:p w14:paraId="31F939A8" w14:textId="77777777" w:rsidR="00132FB7" w:rsidRPr="00132FB7" w:rsidRDefault="00132FB7" w:rsidP="00132FB7">
      <w:pPr>
        <w:pStyle w:val="Default"/>
        <w:ind w:left="720"/>
        <w:jc w:val="both"/>
        <w:rPr>
          <w:sz w:val="20"/>
          <w:szCs w:val="20"/>
        </w:rPr>
      </w:pPr>
    </w:p>
    <w:p w14:paraId="4125C191" w14:textId="0B74401C" w:rsidR="0010282A" w:rsidRDefault="00E70254" w:rsidP="0028091A">
      <w:pPr>
        <w:pStyle w:val="Default"/>
        <w:numPr>
          <w:ilvl w:val="0"/>
          <w:numId w:val="2"/>
        </w:numPr>
        <w:jc w:val="both"/>
        <w:rPr>
          <w:sz w:val="20"/>
          <w:szCs w:val="20"/>
        </w:rPr>
      </w:pPr>
      <w:r w:rsidRPr="00132FB7">
        <w:rPr>
          <w:color w:val="FF0000"/>
          <w:sz w:val="20"/>
          <w:szCs w:val="20"/>
        </w:rPr>
        <w:t xml:space="preserve">Paragraph 21 of the ESG Code </w:t>
      </w:r>
      <w:r w:rsidR="00147BF0">
        <w:rPr>
          <w:sz w:val="20"/>
          <w:szCs w:val="20"/>
        </w:rPr>
        <w:t xml:space="preserve">– </w:t>
      </w:r>
      <w:r w:rsidR="00181C88">
        <w:rPr>
          <w:sz w:val="20"/>
          <w:szCs w:val="20"/>
        </w:rPr>
        <w:t>listed companies</w:t>
      </w:r>
      <w:r w:rsidR="00147BF0">
        <w:rPr>
          <w:sz w:val="20"/>
          <w:szCs w:val="20"/>
        </w:rPr>
        <w:t xml:space="preserve"> must also disclose the impact on the </w:t>
      </w:r>
      <w:r w:rsidR="00181C88">
        <w:rPr>
          <w:sz w:val="20"/>
          <w:szCs w:val="20"/>
        </w:rPr>
        <w:t>listed company’s</w:t>
      </w:r>
      <w:r w:rsidR="00147BF0">
        <w:rPr>
          <w:sz w:val="20"/>
          <w:szCs w:val="20"/>
        </w:rPr>
        <w:t xml:space="preserve"> “business model and value chain”</w:t>
      </w:r>
      <w:r w:rsidRPr="00132FB7">
        <w:rPr>
          <w:sz w:val="20"/>
          <w:szCs w:val="20"/>
        </w:rPr>
        <w:t>, and a des</w:t>
      </w:r>
      <w:r w:rsidR="00147BF0">
        <w:rPr>
          <w:sz w:val="20"/>
          <w:szCs w:val="20"/>
        </w:rPr>
        <w:t xml:space="preserve">cription of where in the </w:t>
      </w:r>
      <w:r w:rsidR="00181C88">
        <w:rPr>
          <w:sz w:val="20"/>
          <w:szCs w:val="20"/>
        </w:rPr>
        <w:t>listed company’s</w:t>
      </w:r>
      <w:r w:rsidRPr="00132FB7">
        <w:rPr>
          <w:sz w:val="20"/>
          <w:szCs w:val="20"/>
        </w:rPr>
        <w:t xml:space="preserve"> business model and value chain such risks and opportunities are concentrated</w:t>
      </w:r>
      <w:r w:rsidR="00F24BEA">
        <w:rPr>
          <w:sz w:val="20"/>
          <w:szCs w:val="20"/>
        </w:rPr>
        <w:t xml:space="preserve"> at</w:t>
      </w:r>
      <w:r w:rsidRPr="00132FB7">
        <w:rPr>
          <w:sz w:val="20"/>
          <w:szCs w:val="20"/>
        </w:rPr>
        <w:t>. According to the implementation guide, value chain generally means the full range of interactions, resources and relationships related to a reporting entity’s business model and the external environment in which it operates.</w:t>
      </w:r>
    </w:p>
    <w:p w14:paraId="607FA1DA" w14:textId="77777777" w:rsidR="00132FB7" w:rsidRPr="00132FB7" w:rsidRDefault="00132FB7" w:rsidP="00132FB7">
      <w:pPr>
        <w:pStyle w:val="Default"/>
        <w:jc w:val="both"/>
        <w:rPr>
          <w:sz w:val="20"/>
          <w:szCs w:val="20"/>
        </w:rPr>
      </w:pPr>
    </w:p>
    <w:p w14:paraId="1B7121A8" w14:textId="44A7BB7E" w:rsidR="0010282A" w:rsidRPr="00132FB7" w:rsidRDefault="00E70254" w:rsidP="0028091A">
      <w:pPr>
        <w:pStyle w:val="Default"/>
        <w:numPr>
          <w:ilvl w:val="0"/>
          <w:numId w:val="2"/>
        </w:numPr>
        <w:jc w:val="both"/>
        <w:rPr>
          <w:sz w:val="20"/>
          <w:szCs w:val="20"/>
        </w:rPr>
      </w:pPr>
      <w:r w:rsidRPr="00132FB7">
        <w:rPr>
          <w:color w:val="FF0000"/>
          <w:sz w:val="20"/>
          <w:szCs w:val="20"/>
        </w:rPr>
        <w:t xml:space="preserve">Note to paragraphs 20 and 21 of the ESG Code </w:t>
      </w:r>
      <w:r w:rsidRPr="00132FB7">
        <w:rPr>
          <w:sz w:val="20"/>
          <w:szCs w:val="20"/>
        </w:rPr>
        <w:t xml:space="preserve">– as mentioned above, the </w:t>
      </w:r>
      <w:r w:rsidR="00306A09">
        <w:rPr>
          <w:sz w:val="20"/>
          <w:szCs w:val="20"/>
        </w:rPr>
        <w:t>Exchange</w:t>
      </w:r>
      <w:r w:rsidRPr="00132FB7">
        <w:rPr>
          <w:sz w:val="20"/>
          <w:szCs w:val="20"/>
        </w:rPr>
        <w:t xml:space="preserve"> will also provide Reasonable Information Relief in relation to disclosures on identifying climate-related risks and determining the scope of the value chain</w:t>
      </w:r>
      <w:r w:rsidR="0075470E">
        <w:rPr>
          <w:sz w:val="20"/>
          <w:szCs w:val="20"/>
        </w:rPr>
        <w:t>.</w:t>
      </w:r>
      <w:r w:rsidRPr="00132FB7">
        <w:rPr>
          <w:sz w:val="20"/>
          <w:szCs w:val="20"/>
        </w:rPr>
        <w:t xml:space="preserve"> </w:t>
      </w:r>
    </w:p>
    <w:p w14:paraId="5E24EE5D" w14:textId="77777777" w:rsidR="00306A5F" w:rsidRPr="00132FB7" w:rsidRDefault="00306A5F" w:rsidP="0028091A">
      <w:pPr>
        <w:pStyle w:val="Default"/>
        <w:jc w:val="both"/>
        <w:rPr>
          <w:sz w:val="20"/>
          <w:szCs w:val="20"/>
        </w:rPr>
      </w:pPr>
    </w:p>
    <w:p w14:paraId="49D958CD" w14:textId="77777777" w:rsidR="00306A5F" w:rsidRDefault="00E70254" w:rsidP="0028091A">
      <w:pPr>
        <w:pStyle w:val="Default"/>
        <w:jc w:val="both"/>
        <w:rPr>
          <w:sz w:val="20"/>
          <w:szCs w:val="20"/>
        </w:rPr>
      </w:pPr>
      <w:r w:rsidRPr="00132FB7">
        <w:rPr>
          <w:sz w:val="20"/>
          <w:szCs w:val="20"/>
        </w:rPr>
        <w:t xml:space="preserve">On the other hand, the </w:t>
      </w:r>
      <w:r w:rsidR="00306A09">
        <w:rPr>
          <w:sz w:val="20"/>
          <w:szCs w:val="20"/>
        </w:rPr>
        <w:t>Exchange</w:t>
      </w:r>
      <w:r w:rsidRPr="00132FB7">
        <w:rPr>
          <w:sz w:val="20"/>
          <w:szCs w:val="20"/>
        </w:rPr>
        <w:t xml:space="preserve"> will also mandate disclosures of the actual and potential effects of climate-related opportunities subject to the following amendments: </w:t>
      </w:r>
    </w:p>
    <w:p w14:paraId="32308358" w14:textId="77777777" w:rsidR="00147BF0" w:rsidRPr="00132FB7" w:rsidRDefault="00147BF0" w:rsidP="0028091A">
      <w:pPr>
        <w:pStyle w:val="Default"/>
        <w:jc w:val="both"/>
        <w:rPr>
          <w:sz w:val="20"/>
          <w:szCs w:val="20"/>
        </w:rPr>
      </w:pPr>
    </w:p>
    <w:p w14:paraId="0A2B9CC4" w14:textId="3AF43F34" w:rsidR="00303C28" w:rsidRDefault="00E70254" w:rsidP="0028091A">
      <w:pPr>
        <w:pStyle w:val="Default"/>
        <w:numPr>
          <w:ilvl w:val="0"/>
          <w:numId w:val="2"/>
        </w:numPr>
        <w:jc w:val="both"/>
        <w:rPr>
          <w:sz w:val="20"/>
          <w:szCs w:val="20"/>
        </w:rPr>
      </w:pPr>
      <w:r w:rsidRPr="00132FB7">
        <w:rPr>
          <w:color w:val="FF0000"/>
          <w:sz w:val="20"/>
          <w:szCs w:val="20"/>
        </w:rPr>
        <w:t xml:space="preserve">Paragraph 20(a) of the ESG Code </w:t>
      </w:r>
      <w:r w:rsidR="00181C88">
        <w:rPr>
          <w:sz w:val="20"/>
          <w:szCs w:val="20"/>
        </w:rPr>
        <w:t>– i</w:t>
      </w:r>
      <w:r w:rsidRPr="00132FB7">
        <w:rPr>
          <w:sz w:val="20"/>
          <w:szCs w:val="20"/>
        </w:rPr>
        <w:t xml:space="preserve">nstead of only requiring disclosure of climate opportunities that correspond to climate risks, </w:t>
      </w:r>
      <w:r w:rsidR="00147BF0">
        <w:rPr>
          <w:sz w:val="20"/>
          <w:szCs w:val="20"/>
        </w:rPr>
        <w:t xml:space="preserve">disclosure must be made of </w:t>
      </w:r>
      <w:r w:rsidRPr="00132FB7">
        <w:rPr>
          <w:sz w:val="20"/>
          <w:szCs w:val="20"/>
        </w:rPr>
        <w:t>potential climate-related opportunities whic</w:t>
      </w:r>
      <w:r w:rsidR="00147BF0">
        <w:rPr>
          <w:sz w:val="20"/>
          <w:szCs w:val="20"/>
        </w:rPr>
        <w:t>h may affect the listed company’</w:t>
      </w:r>
      <w:r w:rsidRPr="00132FB7">
        <w:rPr>
          <w:sz w:val="20"/>
          <w:szCs w:val="20"/>
        </w:rPr>
        <w:t>s cash flows, its access to finance or cost of capital over the short</w:t>
      </w:r>
      <w:r w:rsidR="00F24BEA">
        <w:rPr>
          <w:sz w:val="20"/>
          <w:szCs w:val="20"/>
        </w:rPr>
        <w:t>-</w:t>
      </w:r>
      <w:r w:rsidRPr="00132FB7">
        <w:rPr>
          <w:sz w:val="20"/>
          <w:szCs w:val="20"/>
        </w:rPr>
        <w:t>, medium</w:t>
      </w:r>
      <w:r w:rsidR="00F24BEA">
        <w:rPr>
          <w:sz w:val="20"/>
          <w:szCs w:val="20"/>
        </w:rPr>
        <w:t>-</w:t>
      </w:r>
      <w:r w:rsidRPr="00132FB7">
        <w:rPr>
          <w:sz w:val="20"/>
          <w:szCs w:val="20"/>
        </w:rPr>
        <w:t xml:space="preserve"> or long</w:t>
      </w:r>
      <w:r w:rsidR="00F24BEA">
        <w:rPr>
          <w:sz w:val="20"/>
          <w:szCs w:val="20"/>
        </w:rPr>
        <w:t>-</w:t>
      </w:r>
      <w:r w:rsidRPr="00132FB7">
        <w:rPr>
          <w:sz w:val="20"/>
          <w:szCs w:val="20"/>
        </w:rPr>
        <w:t xml:space="preserve">term. The industry-based disclosure topics under the IFRS S2 Industry-based Guidance on implementing Climate-related Disclosures should be adopted if applicable. </w:t>
      </w:r>
    </w:p>
    <w:p w14:paraId="4629BDDB" w14:textId="77777777" w:rsidR="00132FB7" w:rsidRPr="00132FB7" w:rsidRDefault="00132FB7" w:rsidP="00132FB7">
      <w:pPr>
        <w:pStyle w:val="Default"/>
        <w:ind w:left="720"/>
        <w:jc w:val="both"/>
        <w:rPr>
          <w:sz w:val="20"/>
          <w:szCs w:val="20"/>
        </w:rPr>
      </w:pPr>
    </w:p>
    <w:p w14:paraId="4A654C4E" w14:textId="3681B542" w:rsidR="00306A5F" w:rsidRDefault="00E70254" w:rsidP="0028091A">
      <w:pPr>
        <w:pStyle w:val="Default"/>
        <w:numPr>
          <w:ilvl w:val="0"/>
          <w:numId w:val="4"/>
        </w:numPr>
        <w:jc w:val="both"/>
        <w:rPr>
          <w:sz w:val="20"/>
          <w:szCs w:val="20"/>
        </w:rPr>
      </w:pPr>
      <w:r w:rsidRPr="00132FB7">
        <w:rPr>
          <w:color w:val="FF0000"/>
          <w:sz w:val="20"/>
          <w:szCs w:val="20"/>
        </w:rPr>
        <w:t xml:space="preserve">Paragraph 21(b) of the ESG Code </w:t>
      </w:r>
      <w:r w:rsidRPr="00132FB7">
        <w:rPr>
          <w:sz w:val="20"/>
          <w:szCs w:val="20"/>
        </w:rPr>
        <w:t xml:space="preserve">– a description of where in the </w:t>
      </w:r>
      <w:r w:rsidR="00181C88">
        <w:rPr>
          <w:sz w:val="20"/>
          <w:szCs w:val="20"/>
        </w:rPr>
        <w:t>listed company’s</w:t>
      </w:r>
      <w:r w:rsidRPr="00132FB7">
        <w:rPr>
          <w:sz w:val="20"/>
          <w:szCs w:val="20"/>
        </w:rPr>
        <w:t xml:space="preserve"> business model and value chain climate-related risks and opportunities are concentrated </w:t>
      </w:r>
      <w:r w:rsidR="00F24BEA">
        <w:rPr>
          <w:sz w:val="20"/>
          <w:szCs w:val="20"/>
        </w:rPr>
        <w:t xml:space="preserve">at </w:t>
      </w:r>
      <w:r w:rsidRPr="00132FB7">
        <w:rPr>
          <w:sz w:val="20"/>
          <w:szCs w:val="20"/>
        </w:rPr>
        <w:t>will be required</w:t>
      </w:r>
      <w:r w:rsidR="00F24BEA">
        <w:rPr>
          <w:sz w:val="20"/>
          <w:szCs w:val="20"/>
        </w:rPr>
        <w:t>.</w:t>
      </w:r>
    </w:p>
    <w:p w14:paraId="2B2D2CB2" w14:textId="77777777" w:rsidR="00132FB7" w:rsidRPr="00132FB7" w:rsidRDefault="00132FB7" w:rsidP="00132FB7">
      <w:pPr>
        <w:pStyle w:val="Default"/>
        <w:ind w:left="720"/>
        <w:jc w:val="both"/>
        <w:rPr>
          <w:sz w:val="20"/>
          <w:szCs w:val="20"/>
        </w:rPr>
      </w:pPr>
    </w:p>
    <w:p w14:paraId="7F1872C4" w14:textId="77777777" w:rsidR="00303C28" w:rsidRDefault="00E70254" w:rsidP="0028091A">
      <w:pPr>
        <w:pStyle w:val="Default"/>
        <w:numPr>
          <w:ilvl w:val="0"/>
          <w:numId w:val="4"/>
        </w:numPr>
        <w:jc w:val="both"/>
        <w:rPr>
          <w:sz w:val="20"/>
          <w:szCs w:val="20"/>
        </w:rPr>
      </w:pPr>
      <w:r w:rsidRPr="00132FB7">
        <w:rPr>
          <w:color w:val="FF0000"/>
          <w:sz w:val="20"/>
          <w:szCs w:val="20"/>
        </w:rPr>
        <w:t xml:space="preserve">Note 1 to paragraph 20 of the ESG Code </w:t>
      </w:r>
      <w:r w:rsidRPr="00132FB7">
        <w:rPr>
          <w:sz w:val="20"/>
          <w:szCs w:val="20"/>
        </w:rPr>
        <w:t>– the Reasonable Information Relief will also be available for climate-related opportunities disclosures</w:t>
      </w:r>
      <w:r w:rsidR="00F24BEA">
        <w:rPr>
          <w:sz w:val="20"/>
          <w:szCs w:val="20"/>
        </w:rPr>
        <w:t>.</w:t>
      </w:r>
    </w:p>
    <w:p w14:paraId="67F7BBB1" w14:textId="77777777" w:rsidR="00132FB7" w:rsidRPr="00132FB7" w:rsidRDefault="00132FB7" w:rsidP="00132FB7">
      <w:pPr>
        <w:pStyle w:val="Default"/>
        <w:jc w:val="both"/>
        <w:rPr>
          <w:sz w:val="20"/>
          <w:szCs w:val="20"/>
        </w:rPr>
      </w:pPr>
    </w:p>
    <w:p w14:paraId="25E8641F" w14:textId="77777777" w:rsidR="00303C28" w:rsidRPr="00132FB7" w:rsidRDefault="00E70254" w:rsidP="0028091A">
      <w:pPr>
        <w:pStyle w:val="Default"/>
        <w:numPr>
          <w:ilvl w:val="0"/>
          <w:numId w:val="4"/>
        </w:numPr>
        <w:jc w:val="both"/>
        <w:rPr>
          <w:sz w:val="20"/>
          <w:szCs w:val="20"/>
        </w:rPr>
      </w:pPr>
      <w:r w:rsidRPr="00132FB7">
        <w:rPr>
          <w:color w:val="FF0000"/>
          <w:sz w:val="20"/>
          <w:szCs w:val="20"/>
        </w:rPr>
        <w:t xml:space="preserve">Note 2 to paragraph 20 of the ESG Code </w:t>
      </w:r>
      <w:r w:rsidRPr="00132FB7">
        <w:rPr>
          <w:sz w:val="20"/>
          <w:szCs w:val="20"/>
        </w:rPr>
        <w:t>– the Commercial Sensitivity Relief will also be available to information that is not publicly available and is commercially sensitive</w:t>
      </w:r>
      <w:r w:rsidR="00F24BEA">
        <w:rPr>
          <w:sz w:val="20"/>
          <w:szCs w:val="20"/>
        </w:rPr>
        <w:t>.</w:t>
      </w:r>
    </w:p>
    <w:p w14:paraId="5F55C58A" w14:textId="77777777" w:rsidR="00220585" w:rsidRPr="00132FB7" w:rsidRDefault="00220585" w:rsidP="0028091A">
      <w:pPr>
        <w:spacing w:after="0"/>
        <w:jc w:val="both"/>
        <w:rPr>
          <w:rFonts w:ascii="Arial" w:hAnsi="Arial" w:cs="Arial"/>
          <w:sz w:val="20"/>
          <w:szCs w:val="20"/>
          <w:lang w:eastAsia="zh-TW"/>
        </w:rPr>
      </w:pPr>
    </w:p>
    <w:p w14:paraId="78881586" w14:textId="77777777" w:rsidR="003A0703" w:rsidRPr="00132FB7" w:rsidRDefault="00E70254" w:rsidP="00132FB7">
      <w:pPr>
        <w:pStyle w:val="ListParagraph"/>
        <w:numPr>
          <w:ilvl w:val="0"/>
          <w:numId w:val="11"/>
        </w:numPr>
        <w:spacing w:after="0"/>
        <w:ind w:left="284"/>
        <w:jc w:val="both"/>
        <w:rPr>
          <w:rFonts w:ascii="Arial" w:hAnsi="Arial" w:cs="Arial"/>
          <w:b/>
          <w:color w:val="FF0000"/>
          <w:sz w:val="20"/>
          <w:szCs w:val="20"/>
          <w:lang w:eastAsia="zh-TW"/>
        </w:rPr>
      </w:pPr>
      <w:r w:rsidRPr="00132FB7">
        <w:rPr>
          <w:rFonts w:ascii="Arial" w:hAnsi="Arial" w:cs="Arial"/>
          <w:b/>
          <w:color w:val="FF0000"/>
          <w:sz w:val="20"/>
          <w:szCs w:val="20"/>
          <w:lang w:eastAsia="zh-TW"/>
        </w:rPr>
        <w:t xml:space="preserve">Disclosure of cross-industry metrics and industry-based metrics when disclosing climate-related risks and opportunities </w:t>
      </w:r>
    </w:p>
    <w:p w14:paraId="17AEA015" w14:textId="77777777" w:rsidR="00E90633" w:rsidRPr="00132FB7" w:rsidRDefault="00E90633" w:rsidP="0028091A">
      <w:pPr>
        <w:spacing w:after="0"/>
        <w:jc w:val="both"/>
        <w:rPr>
          <w:rFonts w:ascii="Arial" w:hAnsi="Arial" w:cs="Arial"/>
          <w:sz w:val="20"/>
          <w:szCs w:val="20"/>
          <w:lang w:eastAsia="zh-TW"/>
        </w:rPr>
      </w:pPr>
    </w:p>
    <w:p w14:paraId="213FF669" w14:textId="1AED0EF7" w:rsidR="00E90633" w:rsidRPr="00132FB7" w:rsidRDefault="00E70254" w:rsidP="0028091A">
      <w:pPr>
        <w:pStyle w:val="Default"/>
        <w:jc w:val="both"/>
        <w:rPr>
          <w:sz w:val="20"/>
          <w:szCs w:val="20"/>
        </w:rPr>
      </w:pPr>
      <w:r w:rsidRPr="00132FB7">
        <w:rPr>
          <w:sz w:val="20"/>
          <w:szCs w:val="20"/>
          <w:lang w:eastAsia="zh-TW"/>
        </w:rPr>
        <w:t>As mentioned</w:t>
      </w:r>
      <w:r w:rsidR="006E4335">
        <w:rPr>
          <w:sz w:val="20"/>
          <w:szCs w:val="20"/>
          <w:lang w:eastAsia="zh-TW"/>
        </w:rPr>
        <w:t xml:space="preserve"> </w:t>
      </w:r>
      <w:r w:rsidR="00AE3DBB" w:rsidRPr="00132FB7">
        <w:rPr>
          <w:sz w:val="20"/>
          <w:szCs w:val="20"/>
          <w:lang w:eastAsia="zh-TW"/>
        </w:rPr>
        <w:t xml:space="preserve">under </w:t>
      </w:r>
      <w:r w:rsidR="00132FB7">
        <w:rPr>
          <w:sz w:val="20"/>
          <w:szCs w:val="20"/>
        </w:rPr>
        <w:t>paragraph 41</w:t>
      </w:r>
      <w:r w:rsidR="00AE3DBB" w:rsidRPr="00132FB7">
        <w:rPr>
          <w:sz w:val="20"/>
          <w:szCs w:val="20"/>
        </w:rPr>
        <w:t xml:space="preserve"> of the ESG Code</w:t>
      </w:r>
      <w:r w:rsidRPr="00132FB7">
        <w:rPr>
          <w:sz w:val="20"/>
          <w:szCs w:val="20"/>
          <w:lang w:eastAsia="zh-TW"/>
        </w:rPr>
        <w:t xml:space="preserve">, listed companies </w:t>
      </w:r>
      <w:r w:rsidR="00AE3DBB" w:rsidRPr="00132FB7">
        <w:rPr>
          <w:sz w:val="20"/>
          <w:szCs w:val="20"/>
          <w:lang w:eastAsia="zh-TW"/>
        </w:rPr>
        <w:t xml:space="preserve">are required </w:t>
      </w:r>
      <w:r w:rsidRPr="00132FB7">
        <w:rPr>
          <w:sz w:val="20"/>
          <w:szCs w:val="20"/>
          <w:lang w:eastAsia="zh-TW"/>
        </w:rPr>
        <w:t xml:space="preserve">to consider </w:t>
      </w:r>
      <w:r w:rsidRPr="00132FB7">
        <w:rPr>
          <w:sz w:val="20"/>
          <w:szCs w:val="20"/>
        </w:rPr>
        <w:t>adopting cross-industry metrics and industry-based metrics as they serve as indicator</w:t>
      </w:r>
      <w:r w:rsidR="00147BF0">
        <w:rPr>
          <w:sz w:val="20"/>
          <w:szCs w:val="20"/>
        </w:rPr>
        <w:t>s to reflect the listed company’</w:t>
      </w:r>
      <w:r w:rsidRPr="00132FB7">
        <w:rPr>
          <w:sz w:val="20"/>
          <w:szCs w:val="20"/>
        </w:rPr>
        <w:t xml:space="preserve">s ability to address climate-related risks or opportunities. Disclosures based on these metrics coupled with qualitative information such as the percentage of business activities or assets vulnerable to a climate-related risk when discussing the relevant climate-related risk, would allow better visualisation of the risk or opportunity in question. </w:t>
      </w:r>
      <w:r w:rsidR="00AE3DBB" w:rsidRPr="00132FB7">
        <w:rPr>
          <w:sz w:val="20"/>
          <w:szCs w:val="20"/>
          <w:lang w:eastAsia="zh-TW"/>
        </w:rPr>
        <w:t xml:space="preserve">As set out in </w:t>
      </w:r>
      <w:r w:rsidR="00AE3DBB" w:rsidRPr="00132FB7">
        <w:rPr>
          <w:sz w:val="20"/>
          <w:szCs w:val="20"/>
        </w:rPr>
        <w:t>paragraphs 28 to 35 of the ESG Code</w:t>
      </w:r>
      <w:r w:rsidRPr="00132FB7">
        <w:rPr>
          <w:sz w:val="20"/>
          <w:szCs w:val="20"/>
        </w:rPr>
        <w:t xml:space="preserve">, </w:t>
      </w:r>
      <w:r w:rsidR="00AE3DBB" w:rsidRPr="00132FB7">
        <w:rPr>
          <w:sz w:val="20"/>
          <w:szCs w:val="20"/>
        </w:rPr>
        <w:t>it will be mandatory to report on certain cross-industry metrics such as greenhouse gas emissions and internal carbon prices, while paragraph 36 of the ESG Code states that the applicability of the industry-based metrics associated with disclosure topics defined in the IFRS S2 Industry-based Guidance on implementing Climate-related Disclosures must be considered.</w:t>
      </w:r>
    </w:p>
    <w:p w14:paraId="2DDCD723" w14:textId="77777777" w:rsidR="003A0703" w:rsidRPr="00132FB7" w:rsidRDefault="003A0703" w:rsidP="0028091A">
      <w:pPr>
        <w:spacing w:after="0"/>
        <w:jc w:val="both"/>
        <w:rPr>
          <w:rFonts w:ascii="Arial" w:hAnsi="Arial" w:cs="Arial"/>
          <w:sz w:val="20"/>
          <w:szCs w:val="20"/>
          <w:lang w:eastAsia="zh-TW"/>
        </w:rPr>
      </w:pPr>
    </w:p>
    <w:p w14:paraId="0C362E03" w14:textId="77777777" w:rsidR="003A0703" w:rsidRPr="00132FB7" w:rsidRDefault="00E70254" w:rsidP="000A0010">
      <w:pPr>
        <w:pStyle w:val="ListParagraph"/>
        <w:numPr>
          <w:ilvl w:val="0"/>
          <w:numId w:val="11"/>
        </w:numPr>
        <w:spacing w:after="0"/>
        <w:ind w:left="284"/>
        <w:jc w:val="both"/>
        <w:rPr>
          <w:rFonts w:ascii="Arial" w:hAnsi="Arial" w:cs="Arial"/>
          <w:b/>
          <w:color w:val="FF0000"/>
          <w:sz w:val="20"/>
          <w:szCs w:val="20"/>
          <w:lang w:eastAsia="zh-TW"/>
        </w:rPr>
      </w:pPr>
      <w:r w:rsidRPr="00132FB7">
        <w:rPr>
          <w:rFonts w:ascii="Arial" w:hAnsi="Arial" w:cs="Arial"/>
          <w:b/>
          <w:color w:val="FF0000"/>
          <w:sz w:val="20"/>
          <w:szCs w:val="20"/>
          <w:lang w:eastAsia="zh-TW"/>
        </w:rPr>
        <w:t xml:space="preserve">Transition plans </w:t>
      </w:r>
      <w:r w:rsidR="00132FB7" w:rsidRPr="00132FB7">
        <w:rPr>
          <w:b/>
          <w:color w:val="FF0000"/>
          <w:sz w:val="20"/>
          <w:szCs w:val="20"/>
        </w:rPr>
        <w:t xml:space="preserve">– </w:t>
      </w:r>
      <w:r w:rsidRPr="00132FB7">
        <w:rPr>
          <w:rFonts w:ascii="Arial" w:hAnsi="Arial" w:cs="Arial"/>
          <w:b/>
          <w:color w:val="FF0000"/>
          <w:sz w:val="20"/>
          <w:szCs w:val="20"/>
          <w:lang w:eastAsia="zh-TW"/>
        </w:rPr>
        <w:t xml:space="preserve">climate-related risks and opportunities </w:t>
      </w:r>
    </w:p>
    <w:p w14:paraId="158FE9D5" w14:textId="77777777" w:rsidR="00F23C05" w:rsidRPr="00132FB7" w:rsidRDefault="00F23C05" w:rsidP="0028091A">
      <w:pPr>
        <w:spacing w:after="0"/>
        <w:jc w:val="both"/>
        <w:rPr>
          <w:rFonts w:ascii="Arial" w:hAnsi="Arial" w:cs="Arial"/>
          <w:sz w:val="20"/>
          <w:szCs w:val="20"/>
          <w:lang w:eastAsia="zh-TW"/>
        </w:rPr>
      </w:pPr>
    </w:p>
    <w:p w14:paraId="4D0A4175" w14:textId="77777777" w:rsidR="00147BF0" w:rsidRDefault="00E70254" w:rsidP="0028091A">
      <w:pPr>
        <w:pStyle w:val="Default"/>
        <w:jc w:val="both"/>
        <w:rPr>
          <w:sz w:val="20"/>
          <w:szCs w:val="20"/>
          <w:lang w:eastAsia="zh-TW"/>
        </w:rPr>
      </w:pPr>
      <w:r w:rsidRPr="00132FB7">
        <w:rPr>
          <w:sz w:val="20"/>
          <w:szCs w:val="20"/>
          <w:lang w:eastAsia="zh-TW"/>
        </w:rPr>
        <w:t xml:space="preserve">The ESG Code will require disclosures on the listed company’s </w:t>
      </w:r>
      <w:r w:rsidRPr="00132FB7">
        <w:rPr>
          <w:sz w:val="20"/>
          <w:szCs w:val="20"/>
        </w:rPr>
        <w:t xml:space="preserve">response to </w:t>
      </w:r>
      <w:r w:rsidRPr="00132FB7">
        <w:rPr>
          <w:sz w:val="20"/>
          <w:szCs w:val="20"/>
          <w:lang w:eastAsia="zh-TW"/>
        </w:rPr>
        <w:t>climate-related risks and opportunities including disclosures on the</w:t>
      </w:r>
      <w:r w:rsidR="00147BF0">
        <w:rPr>
          <w:sz w:val="20"/>
          <w:szCs w:val="20"/>
          <w:lang w:eastAsia="zh-TW"/>
        </w:rPr>
        <w:t>:</w:t>
      </w:r>
    </w:p>
    <w:p w14:paraId="1D7DFE5F" w14:textId="77777777" w:rsidR="00147BF0" w:rsidRDefault="00147BF0" w:rsidP="0028091A">
      <w:pPr>
        <w:pStyle w:val="Default"/>
        <w:jc w:val="both"/>
        <w:rPr>
          <w:sz w:val="20"/>
          <w:szCs w:val="20"/>
          <w:lang w:eastAsia="zh-TW"/>
        </w:rPr>
      </w:pPr>
    </w:p>
    <w:p w14:paraId="05944653" w14:textId="23B2D8F5" w:rsidR="00147BF0" w:rsidRDefault="00E70254" w:rsidP="00147BF0">
      <w:pPr>
        <w:pStyle w:val="Default"/>
        <w:numPr>
          <w:ilvl w:val="0"/>
          <w:numId w:val="12"/>
        </w:numPr>
        <w:jc w:val="both"/>
        <w:rPr>
          <w:sz w:val="20"/>
          <w:szCs w:val="20"/>
          <w:lang w:eastAsia="zh-TW"/>
        </w:rPr>
      </w:pPr>
      <w:r w:rsidRPr="00132FB7">
        <w:rPr>
          <w:sz w:val="20"/>
          <w:szCs w:val="20"/>
          <w:lang w:eastAsia="zh-TW"/>
        </w:rPr>
        <w:t xml:space="preserve">current or anticipated changes to the </w:t>
      </w:r>
      <w:r w:rsidR="00181C88">
        <w:rPr>
          <w:sz w:val="20"/>
          <w:szCs w:val="20"/>
          <w:lang w:eastAsia="zh-TW"/>
        </w:rPr>
        <w:t>listed company’s</w:t>
      </w:r>
      <w:r w:rsidRPr="00132FB7">
        <w:rPr>
          <w:sz w:val="20"/>
          <w:szCs w:val="20"/>
          <w:lang w:eastAsia="zh-TW"/>
        </w:rPr>
        <w:t xml:space="preserve"> business model, strategy and resource allocation;</w:t>
      </w:r>
    </w:p>
    <w:p w14:paraId="245AA064" w14:textId="77777777" w:rsidR="00147BF0" w:rsidRDefault="00E70254" w:rsidP="00147BF0">
      <w:pPr>
        <w:pStyle w:val="Default"/>
        <w:ind w:left="1080"/>
        <w:jc w:val="both"/>
        <w:rPr>
          <w:sz w:val="20"/>
          <w:szCs w:val="20"/>
          <w:lang w:eastAsia="zh-TW"/>
        </w:rPr>
      </w:pPr>
      <w:r w:rsidRPr="00132FB7">
        <w:rPr>
          <w:sz w:val="20"/>
          <w:szCs w:val="20"/>
          <w:lang w:eastAsia="zh-TW"/>
        </w:rPr>
        <w:t xml:space="preserve"> </w:t>
      </w:r>
    </w:p>
    <w:p w14:paraId="43C7E5AF" w14:textId="77777777" w:rsidR="00147BF0" w:rsidRPr="00147BF0" w:rsidRDefault="00E70254" w:rsidP="00147BF0">
      <w:pPr>
        <w:pStyle w:val="Default"/>
        <w:numPr>
          <w:ilvl w:val="0"/>
          <w:numId w:val="12"/>
        </w:numPr>
        <w:jc w:val="both"/>
        <w:rPr>
          <w:sz w:val="20"/>
          <w:szCs w:val="20"/>
          <w:lang w:eastAsia="zh-TW"/>
        </w:rPr>
      </w:pPr>
      <w:r w:rsidRPr="00132FB7">
        <w:rPr>
          <w:sz w:val="20"/>
          <w:szCs w:val="20"/>
          <w:lang w:eastAsia="zh-TW"/>
        </w:rPr>
        <w:t xml:space="preserve">adaption and mitigation efforts; and </w:t>
      </w:r>
    </w:p>
    <w:p w14:paraId="66C33DBE" w14:textId="77777777" w:rsidR="00147BF0" w:rsidRDefault="00147BF0" w:rsidP="00147BF0">
      <w:pPr>
        <w:pStyle w:val="Default"/>
        <w:ind w:left="1080"/>
        <w:jc w:val="both"/>
        <w:rPr>
          <w:sz w:val="20"/>
          <w:szCs w:val="20"/>
          <w:lang w:eastAsia="zh-TW"/>
        </w:rPr>
      </w:pPr>
    </w:p>
    <w:p w14:paraId="6B2493B0" w14:textId="77777777" w:rsidR="00147BF0" w:rsidRPr="00147BF0" w:rsidRDefault="00E70254" w:rsidP="00147BF0">
      <w:pPr>
        <w:pStyle w:val="Default"/>
        <w:numPr>
          <w:ilvl w:val="0"/>
          <w:numId w:val="12"/>
        </w:numPr>
        <w:jc w:val="both"/>
        <w:rPr>
          <w:sz w:val="20"/>
          <w:szCs w:val="20"/>
          <w:lang w:eastAsia="zh-TW"/>
        </w:rPr>
      </w:pPr>
      <w:r w:rsidRPr="00132FB7">
        <w:rPr>
          <w:sz w:val="20"/>
          <w:szCs w:val="20"/>
          <w:lang w:eastAsia="zh-TW"/>
        </w:rPr>
        <w:t xml:space="preserve">whether the plan aims to achieve any </w:t>
      </w:r>
      <w:r w:rsidRPr="00132FB7">
        <w:rPr>
          <w:sz w:val="20"/>
          <w:szCs w:val="20"/>
        </w:rPr>
        <w:t>climate-related targets</w:t>
      </w:r>
      <w:r w:rsidRPr="00132FB7">
        <w:rPr>
          <w:sz w:val="20"/>
          <w:szCs w:val="20"/>
          <w:lang w:eastAsia="zh-TW"/>
        </w:rPr>
        <w:t xml:space="preserve">. </w:t>
      </w:r>
    </w:p>
    <w:p w14:paraId="7542B5D4" w14:textId="77777777" w:rsidR="00147BF0" w:rsidRPr="00147BF0" w:rsidRDefault="00147BF0" w:rsidP="00147BF0">
      <w:pPr>
        <w:pStyle w:val="Default"/>
        <w:ind w:left="1080"/>
        <w:jc w:val="both"/>
        <w:rPr>
          <w:sz w:val="20"/>
          <w:szCs w:val="20"/>
          <w:lang w:eastAsia="zh-TW"/>
        </w:rPr>
      </w:pPr>
    </w:p>
    <w:p w14:paraId="1B467FA0" w14:textId="0809BB16" w:rsidR="00F23C05" w:rsidRPr="00132FB7" w:rsidRDefault="00E70254" w:rsidP="00147BF0">
      <w:pPr>
        <w:pStyle w:val="Default"/>
        <w:jc w:val="both"/>
        <w:rPr>
          <w:sz w:val="20"/>
          <w:szCs w:val="20"/>
          <w:lang w:eastAsia="zh-TW"/>
        </w:rPr>
      </w:pPr>
      <w:r w:rsidRPr="00132FB7">
        <w:rPr>
          <w:sz w:val="20"/>
          <w:szCs w:val="20"/>
          <w:lang w:eastAsia="zh-TW"/>
        </w:rPr>
        <w:t xml:space="preserve">The </w:t>
      </w:r>
      <w:r w:rsidR="00306A09">
        <w:rPr>
          <w:sz w:val="20"/>
          <w:szCs w:val="20"/>
          <w:lang w:eastAsia="zh-TW"/>
        </w:rPr>
        <w:t>Exchange</w:t>
      </w:r>
      <w:r w:rsidR="00181C88">
        <w:rPr>
          <w:sz w:val="20"/>
          <w:szCs w:val="20"/>
          <w:lang w:eastAsia="zh-TW"/>
        </w:rPr>
        <w:t xml:space="preserve"> notes</w:t>
      </w:r>
      <w:r w:rsidRPr="00132FB7">
        <w:rPr>
          <w:sz w:val="20"/>
          <w:szCs w:val="20"/>
          <w:lang w:eastAsia="zh-TW"/>
        </w:rPr>
        <w:t xml:space="preserve"> that not all listed companies would have comprehensive plans in place, therefore, only an overall strategic plan laying out its targets, actions or resources is required. </w:t>
      </w:r>
      <w:r w:rsidR="00F24BEA">
        <w:rPr>
          <w:sz w:val="20"/>
          <w:szCs w:val="20"/>
          <w:lang w:eastAsia="zh-TW"/>
        </w:rPr>
        <w:t>This is</w:t>
      </w:r>
      <w:r w:rsidRPr="00132FB7">
        <w:rPr>
          <w:sz w:val="20"/>
          <w:szCs w:val="20"/>
          <w:lang w:eastAsia="zh-TW"/>
        </w:rPr>
        <w:t xml:space="preserve"> crucial to allow investors to evaluate the credibility and feasibility of the listed company’s climate change commitments. </w:t>
      </w:r>
    </w:p>
    <w:p w14:paraId="7A9AEF78" w14:textId="77777777" w:rsidR="00F23C05" w:rsidRPr="00132FB7" w:rsidRDefault="00F23C05" w:rsidP="0028091A">
      <w:pPr>
        <w:pStyle w:val="Default"/>
        <w:jc w:val="both"/>
        <w:rPr>
          <w:sz w:val="20"/>
          <w:szCs w:val="20"/>
          <w:lang w:eastAsia="zh-TW"/>
        </w:rPr>
      </w:pPr>
    </w:p>
    <w:p w14:paraId="24E1C056" w14:textId="77777777" w:rsidR="00132FB7" w:rsidRDefault="00E70254" w:rsidP="0028091A">
      <w:pPr>
        <w:pStyle w:val="Default"/>
        <w:jc w:val="both"/>
        <w:rPr>
          <w:sz w:val="20"/>
          <w:szCs w:val="20"/>
          <w:lang w:eastAsia="zh-TW"/>
        </w:rPr>
      </w:pPr>
      <w:r w:rsidRPr="00132FB7">
        <w:rPr>
          <w:sz w:val="20"/>
          <w:szCs w:val="20"/>
          <w:lang w:eastAsia="zh-TW"/>
        </w:rPr>
        <w:t xml:space="preserve">To further mirror the ISSB Climate Standard, the </w:t>
      </w:r>
      <w:r w:rsidR="00306A09">
        <w:rPr>
          <w:sz w:val="20"/>
          <w:szCs w:val="20"/>
          <w:lang w:eastAsia="zh-TW"/>
        </w:rPr>
        <w:t>Exchange</w:t>
      </w:r>
      <w:r w:rsidRPr="00132FB7">
        <w:rPr>
          <w:sz w:val="20"/>
          <w:szCs w:val="20"/>
          <w:lang w:eastAsia="zh-TW"/>
        </w:rPr>
        <w:t xml:space="preserve"> will amend the section heading in the ESG Code from “Transition plans” to “Strategy and decision-making” as well as implementing the following amendments to the previous proposals: </w:t>
      </w:r>
    </w:p>
    <w:p w14:paraId="039C72E5" w14:textId="77777777" w:rsidR="00147BF0" w:rsidRPr="00132FB7" w:rsidRDefault="00147BF0" w:rsidP="0028091A">
      <w:pPr>
        <w:pStyle w:val="Default"/>
        <w:jc w:val="both"/>
        <w:rPr>
          <w:sz w:val="20"/>
          <w:szCs w:val="20"/>
          <w:lang w:eastAsia="zh-TW"/>
        </w:rPr>
      </w:pPr>
    </w:p>
    <w:p w14:paraId="23F071E4" w14:textId="77777777" w:rsidR="000446B5" w:rsidRDefault="00132FB7" w:rsidP="0028091A">
      <w:pPr>
        <w:pStyle w:val="Default"/>
        <w:numPr>
          <w:ilvl w:val="0"/>
          <w:numId w:val="5"/>
        </w:numPr>
        <w:jc w:val="both"/>
        <w:rPr>
          <w:sz w:val="20"/>
          <w:szCs w:val="20"/>
        </w:rPr>
      </w:pPr>
      <w:r>
        <w:rPr>
          <w:color w:val="FF0000"/>
          <w:sz w:val="20"/>
          <w:szCs w:val="20"/>
        </w:rPr>
        <w:t>P</w:t>
      </w:r>
      <w:r w:rsidR="00E70254" w:rsidRPr="00132FB7">
        <w:rPr>
          <w:color w:val="FF0000"/>
          <w:sz w:val="20"/>
          <w:szCs w:val="20"/>
        </w:rPr>
        <w:t xml:space="preserve">aragraph 22(a) of the ESG Code </w:t>
      </w:r>
      <w:r w:rsidR="00E70254" w:rsidRPr="00132FB7">
        <w:rPr>
          <w:sz w:val="20"/>
          <w:szCs w:val="20"/>
        </w:rPr>
        <w:t>– disclosure of how the listed company has responded to and plans to respond to, any climate-related risks and opportunities in its strategy and decision-making</w:t>
      </w:r>
      <w:r w:rsidR="00147BF0">
        <w:rPr>
          <w:sz w:val="20"/>
          <w:szCs w:val="20"/>
        </w:rPr>
        <w:t>.</w:t>
      </w:r>
    </w:p>
    <w:p w14:paraId="5A4E023B" w14:textId="77777777" w:rsidR="00234D68" w:rsidRPr="00132FB7" w:rsidRDefault="00234D68" w:rsidP="00234D68">
      <w:pPr>
        <w:pStyle w:val="Default"/>
        <w:ind w:left="720"/>
        <w:jc w:val="both"/>
        <w:rPr>
          <w:sz w:val="20"/>
          <w:szCs w:val="20"/>
        </w:rPr>
      </w:pPr>
    </w:p>
    <w:p w14:paraId="7DB8796E" w14:textId="77777777" w:rsidR="000446B5" w:rsidRDefault="00234D68" w:rsidP="0028091A">
      <w:pPr>
        <w:pStyle w:val="Default"/>
        <w:numPr>
          <w:ilvl w:val="0"/>
          <w:numId w:val="5"/>
        </w:numPr>
        <w:jc w:val="both"/>
        <w:rPr>
          <w:sz w:val="20"/>
          <w:szCs w:val="20"/>
        </w:rPr>
      </w:pPr>
      <w:r>
        <w:rPr>
          <w:color w:val="FF0000"/>
          <w:sz w:val="20"/>
          <w:szCs w:val="20"/>
        </w:rPr>
        <w:t>P</w:t>
      </w:r>
      <w:r w:rsidR="00E70254" w:rsidRPr="00234D68">
        <w:rPr>
          <w:color w:val="FF0000"/>
          <w:sz w:val="20"/>
          <w:szCs w:val="20"/>
        </w:rPr>
        <w:t xml:space="preserve">aragraph 22(a)(iii) of the ESG Code </w:t>
      </w:r>
      <w:r w:rsidR="00E70254" w:rsidRPr="00132FB7">
        <w:rPr>
          <w:sz w:val="20"/>
          <w:szCs w:val="20"/>
        </w:rPr>
        <w:t xml:space="preserve">– disclosure of any climate-related transition plan or alternatively a negative statement. The plan should include information about the key assumptions used in developing its transition plan and the dependencies used in formulating the plan. </w:t>
      </w:r>
    </w:p>
    <w:p w14:paraId="291775A9" w14:textId="77777777" w:rsidR="00234D68" w:rsidRPr="00132FB7" w:rsidRDefault="00234D68" w:rsidP="00234D68">
      <w:pPr>
        <w:pStyle w:val="Default"/>
        <w:jc w:val="both"/>
        <w:rPr>
          <w:sz w:val="20"/>
          <w:szCs w:val="20"/>
        </w:rPr>
      </w:pPr>
    </w:p>
    <w:p w14:paraId="0409A240" w14:textId="77777777" w:rsidR="00F23C05" w:rsidRPr="00132FB7" w:rsidRDefault="00234D68" w:rsidP="0028091A">
      <w:pPr>
        <w:pStyle w:val="Default"/>
        <w:numPr>
          <w:ilvl w:val="0"/>
          <w:numId w:val="5"/>
        </w:numPr>
        <w:jc w:val="both"/>
        <w:rPr>
          <w:sz w:val="20"/>
          <w:szCs w:val="20"/>
          <w:lang w:eastAsia="zh-TW"/>
        </w:rPr>
      </w:pPr>
      <w:r>
        <w:rPr>
          <w:color w:val="FF0000"/>
          <w:sz w:val="20"/>
          <w:szCs w:val="20"/>
        </w:rPr>
        <w:t>P</w:t>
      </w:r>
      <w:r w:rsidR="00E70254" w:rsidRPr="00234D68">
        <w:rPr>
          <w:color w:val="FF0000"/>
          <w:sz w:val="20"/>
          <w:szCs w:val="20"/>
        </w:rPr>
        <w:t>aragraph 22(a</w:t>
      </w:r>
      <w:proofErr w:type="gramStart"/>
      <w:r w:rsidR="00E70254" w:rsidRPr="00234D68">
        <w:rPr>
          <w:color w:val="FF0000"/>
          <w:sz w:val="20"/>
          <w:szCs w:val="20"/>
        </w:rPr>
        <w:t>)(</w:t>
      </w:r>
      <w:proofErr w:type="gramEnd"/>
      <w:r w:rsidR="00E70254" w:rsidRPr="00234D68">
        <w:rPr>
          <w:color w:val="FF0000"/>
          <w:sz w:val="20"/>
          <w:szCs w:val="20"/>
        </w:rPr>
        <w:t xml:space="preserve">iv)  of the ESG Code </w:t>
      </w:r>
      <w:r w:rsidR="00E70254" w:rsidRPr="00132FB7">
        <w:rPr>
          <w:sz w:val="20"/>
          <w:szCs w:val="20"/>
        </w:rPr>
        <w:t xml:space="preserve">– disclosure on the plans to achieve any climate-related targets. This is in line with the requirements under paragraph 39 of the ESG Code where listed companies are required to disclose their progress towards targets set in future ESG reports. </w:t>
      </w:r>
    </w:p>
    <w:p w14:paraId="00A21A2A" w14:textId="77777777" w:rsidR="000446B5" w:rsidRPr="00132FB7" w:rsidRDefault="000446B5" w:rsidP="0028091A">
      <w:pPr>
        <w:pStyle w:val="Default"/>
        <w:jc w:val="both"/>
        <w:rPr>
          <w:sz w:val="20"/>
          <w:szCs w:val="20"/>
          <w:lang w:eastAsia="zh-TW"/>
        </w:rPr>
      </w:pPr>
    </w:p>
    <w:p w14:paraId="65D2777A" w14:textId="77777777" w:rsidR="003A0703" w:rsidRPr="00132FB7" w:rsidRDefault="00132FB7" w:rsidP="00147BF0">
      <w:pPr>
        <w:pStyle w:val="Default"/>
        <w:numPr>
          <w:ilvl w:val="0"/>
          <w:numId w:val="11"/>
        </w:numPr>
        <w:ind w:left="284" w:hanging="284"/>
        <w:jc w:val="both"/>
        <w:rPr>
          <w:b/>
          <w:color w:val="FF0000"/>
          <w:sz w:val="20"/>
          <w:szCs w:val="20"/>
          <w:lang w:eastAsia="zh-TW"/>
        </w:rPr>
      </w:pPr>
      <w:r w:rsidRPr="00132FB7">
        <w:rPr>
          <w:b/>
          <w:color w:val="FF0000"/>
          <w:sz w:val="20"/>
          <w:szCs w:val="20"/>
          <w:lang w:eastAsia="zh-TW"/>
        </w:rPr>
        <w:t>C</w:t>
      </w:r>
      <w:r w:rsidR="00E70254" w:rsidRPr="00132FB7">
        <w:rPr>
          <w:b/>
          <w:color w:val="FF0000"/>
          <w:sz w:val="20"/>
          <w:szCs w:val="20"/>
          <w:lang w:eastAsia="zh-TW"/>
        </w:rPr>
        <w:t xml:space="preserve">limate-related targets </w:t>
      </w:r>
    </w:p>
    <w:p w14:paraId="563E6254" w14:textId="77777777" w:rsidR="000446B5" w:rsidRPr="00132FB7" w:rsidRDefault="000446B5" w:rsidP="0028091A">
      <w:pPr>
        <w:pStyle w:val="Default"/>
        <w:jc w:val="both"/>
        <w:rPr>
          <w:sz w:val="20"/>
          <w:szCs w:val="20"/>
          <w:lang w:eastAsia="zh-TW"/>
        </w:rPr>
      </w:pPr>
    </w:p>
    <w:p w14:paraId="324F221C" w14:textId="72CD3A5F" w:rsidR="00593EAE" w:rsidRPr="00132FB7" w:rsidRDefault="00E70254" w:rsidP="0028091A">
      <w:pPr>
        <w:pStyle w:val="Default"/>
        <w:jc w:val="both"/>
        <w:rPr>
          <w:sz w:val="20"/>
          <w:szCs w:val="20"/>
        </w:rPr>
      </w:pPr>
      <w:r w:rsidRPr="00132FB7">
        <w:rPr>
          <w:sz w:val="20"/>
          <w:szCs w:val="20"/>
          <w:lang w:eastAsia="zh-TW"/>
        </w:rPr>
        <w:t>In furtherance of</w:t>
      </w:r>
      <w:r w:rsidR="00DC77D8">
        <w:rPr>
          <w:sz w:val="20"/>
          <w:szCs w:val="20"/>
          <w:lang w:eastAsia="zh-TW"/>
        </w:rPr>
        <w:t xml:space="preserve"> the above, under paragraphs 39</w:t>
      </w:r>
      <w:r w:rsidRPr="00132FB7">
        <w:rPr>
          <w:sz w:val="20"/>
          <w:szCs w:val="20"/>
          <w:lang w:eastAsia="zh-TW"/>
        </w:rPr>
        <w:t xml:space="preserve"> </w:t>
      </w:r>
      <w:r w:rsidR="00DC77D8">
        <w:rPr>
          <w:sz w:val="20"/>
          <w:szCs w:val="20"/>
          <w:lang w:eastAsia="zh-TW"/>
        </w:rPr>
        <w:t xml:space="preserve">and </w:t>
      </w:r>
      <w:r w:rsidRPr="00132FB7">
        <w:rPr>
          <w:sz w:val="20"/>
          <w:szCs w:val="20"/>
          <w:lang w:eastAsia="zh-TW"/>
        </w:rPr>
        <w:t>71 to 76 of the ESG Code</w:t>
      </w:r>
      <w:r w:rsidR="00DC77D8">
        <w:rPr>
          <w:sz w:val="20"/>
          <w:szCs w:val="20"/>
          <w:lang w:eastAsia="zh-TW"/>
        </w:rPr>
        <w:t>,</w:t>
      </w:r>
      <w:r w:rsidRPr="00132FB7">
        <w:rPr>
          <w:sz w:val="20"/>
          <w:szCs w:val="20"/>
          <w:lang w:eastAsia="zh-TW"/>
        </w:rPr>
        <w:t xml:space="preserve"> listed companies will be required to disclose their climate-related targets as well as any mandatory greenhouse gas emission targets in accordance with local legislation. </w:t>
      </w:r>
      <w:r w:rsidRPr="00132FB7">
        <w:rPr>
          <w:sz w:val="20"/>
          <w:szCs w:val="20"/>
        </w:rPr>
        <w:t xml:space="preserve">In particular, if listed companies wish to apply carbon credits, </w:t>
      </w:r>
      <w:r w:rsidR="00F24BEA">
        <w:rPr>
          <w:sz w:val="20"/>
          <w:szCs w:val="20"/>
        </w:rPr>
        <w:t xml:space="preserve">information </w:t>
      </w:r>
      <w:r w:rsidRPr="00132FB7">
        <w:rPr>
          <w:sz w:val="20"/>
          <w:szCs w:val="20"/>
        </w:rPr>
        <w:t>such as</w:t>
      </w:r>
      <w:r w:rsidR="00F24BEA">
        <w:rPr>
          <w:sz w:val="20"/>
          <w:szCs w:val="20"/>
        </w:rPr>
        <w:t xml:space="preserve"> the</w:t>
      </w:r>
      <w:r w:rsidRPr="00132FB7">
        <w:rPr>
          <w:sz w:val="20"/>
          <w:szCs w:val="20"/>
        </w:rPr>
        <w:t xml:space="preserve"> intended use, their gross </w:t>
      </w:r>
      <w:r w:rsidR="00DC77D8">
        <w:rPr>
          <w:sz w:val="20"/>
          <w:szCs w:val="20"/>
        </w:rPr>
        <w:t xml:space="preserve">and </w:t>
      </w:r>
      <w:r w:rsidR="00DC77D8" w:rsidRPr="00132FB7">
        <w:rPr>
          <w:sz w:val="20"/>
          <w:szCs w:val="20"/>
        </w:rPr>
        <w:t xml:space="preserve">net </w:t>
      </w:r>
      <w:r w:rsidR="00181C88">
        <w:rPr>
          <w:sz w:val="20"/>
          <w:szCs w:val="20"/>
        </w:rPr>
        <w:t>greenhouse gas</w:t>
      </w:r>
      <w:r w:rsidRPr="00132FB7">
        <w:rPr>
          <w:sz w:val="20"/>
          <w:szCs w:val="20"/>
        </w:rPr>
        <w:t xml:space="preserve"> emissions targets must be disclosed separate</w:t>
      </w:r>
      <w:r w:rsidR="00DC77D8">
        <w:rPr>
          <w:sz w:val="20"/>
          <w:szCs w:val="20"/>
        </w:rPr>
        <w:t xml:space="preserve">ly. The </w:t>
      </w:r>
      <w:r w:rsidR="00306A09">
        <w:rPr>
          <w:sz w:val="20"/>
          <w:szCs w:val="20"/>
        </w:rPr>
        <w:t>Exchange</w:t>
      </w:r>
      <w:r w:rsidR="00181C88">
        <w:rPr>
          <w:sz w:val="20"/>
          <w:szCs w:val="20"/>
        </w:rPr>
        <w:t xml:space="preserve"> clarifies</w:t>
      </w:r>
      <w:r w:rsidR="00DC77D8">
        <w:rPr>
          <w:sz w:val="20"/>
          <w:szCs w:val="20"/>
        </w:rPr>
        <w:t xml:space="preserve"> that these</w:t>
      </w:r>
      <w:r w:rsidRPr="00132FB7">
        <w:rPr>
          <w:sz w:val="20"/>
          <w:szCs w:val="20"/>
        </w:rPr>
        <w:t xml:space="preserve"> climate-related targ</w:t>
      </w:r>
      <w:r w:rsidR="00DC77D8">
        <w:rPr>
          <w:sz w:val="20"/>
          <w:szCs w:val="20"/>
        </w:rPr>
        <w:t>ets are not confined to</w:t>
      </w:r>
      <w:r w:rsidRPr="00132FB7">
        <w:rPr>
          <w:sz w:val="20"/>
          <w:szCs w:val="20"/>
        </w:rPr>
        <w:t xml:space="preserve"> KPIs A1.5 (emission targets), A1.6 (waste reduction targets), A2.3 (energy use efficiency targets) and A2.4 (water efficiency targets)</w:t>
      </w:r>
      <w:r w:rsidR="00DC77D8">
        <w:rPr>
          <w:sz w:val="20"/>
          <w:szCs w:val="20"/>
        </w:rPr>
        <w:t>,</w:t>
      </w:r>
      <w:r w:rsidRPr="00132FB7">
        <w:rPr>
          <w:sz w:val="20"/>
          <w:szCs w:val="20"/>
        </w:rPr>
        <w:t xml:space="preserve"> as referred to in Part C of the ESG Code. </w:t>
      </w:r>
    </w:p>
    <w:p w14:paraId="20DC4DBD" w14:textId="77777777" w:rsidR="00FA46D2" w:rsidRPr="00132FB7" w:rsidRDefault="00FA46D2" w:rsidP="0028091A">
      <w:pPr>
        <w:pStyle w:val="Default"/>
        <w:jc w:val="both"/>
        <w:rPr>
          <w:sz w:val="20"/>
          <w:szCs w:val="20"/>
        </w:rPr>
      </w:pPr>
    </w:p>
    <w:p w14:paraId="3E9EFCAA" w14:textId="77777777" w:rsidR="00FA46D2" w:rsidRDefault="00E70254" w:rsidP="0028091A">
      <w:pPr>
        <w:pStyle w:val="Default"/>
        <w:jc w:val="both"/>
        <w:rPr>
          <w:sz w:val="20"/>
          <w:szCs w:val="20"/>
        </w:rPr>
      </w:pPr>
      <w:r w:rsidRPr="00132FB7">
        <w:rPr>
          <w:sz w:val="20"/>
          <w:szCs w:val="20"/>
        </w:rPr>
        <w:t xml:space="preserve">Additionally, the </w:t>
      </w:r>
      <w:r w:rsidR="00306A09">
        <w:rPr>
          <w:sz w:val="20"/>
          <w:szCs w:val="20"/>
        </w:rPr>
        <w:t>Exchange</w:t>
      </w:r>
      <w:r w:rsidRPr="00132FB7">
        <w:rPr>
          <w:sz w:val="20"/>
          <w:szCs w:val="20"/>
        </w:rPr>
        <w:t xml:space="preserve"> will amend the ESG Code to explicitly require disclosure of certain particulars</w:t>
      </w:r>
      <w:r w:rsidR="00D475F6" w:rsidRPr="00132FB7">
        <w:rPr>
          <w:sz w:val="20"/>
          <w:szCs w:val="20"/>
        </w:rPr>
        <w:t xml:space="preserve"> essential for investors to evaluate the listed company’s climate-related targets and performance in achieving these targets</w:t>
      </w:r>
      <w:r w:rsidR="00DC77D8">
        <w:rPr>
          <w:sz w:val="20"/>
          <w:szCs w:val="20"/>
        </w:rPr>
        <w:t>. T</w:t>
      </w:r>
      <w:r w:rsidRPr="00132FB7">
        <w:rPr>
          <w:sz w:val="20"/>
          <w:szCs w:val="20"/>
        </w:rPr>
        <w:t>hese include:</w:t>
      </w:r>
    </w:p>
    <w:p w14:paraId="744FD7A7" w14:textId="77777777" w:rsidR="00DC77D8" w:rsidRPr="00132FB7" w:rsidRDefault="00DC77D8" w:rsidP="0028091A">
      <w:pPr>
        <w:pStyle w:val="Default"/>
        <w:jc w:val="both"/>
        <w:rPr>
          <w:sz w:val="20"/>
          <w:szCs w:val="20"/>
        </w:rPr>
      </w:pPr>
    </w:p>
    <w:p w14:paraId="36110FF7" w14:textId="1363DE5E" w:rsidR="00FA46D2" w:rsidRDefault="00E70254" w:rsidP="0028091A">
      <w:pPr>
        <w:pStyle w:val="Default"/>
        <w:numPr>
          <w:ilvl w:val="0"/>
          <w:numId w:val="6"/>
        </w:numPr>
        <w:jc w:val="both"/>
        <w:rPr>
          <w:sz w:val="20"/>
          <w:szCs w:val="20"/>
        </w:rPr>
      </w:pPr>
      <w:r w:rsidRPr="00132FB7">
        <w:rPr>
          <w:color w:val="FF0000"/>
          <w:sz w:val="20"/>
          <w:szCs w:val="20"/>
        </w:rPr>
        <w:t xml:space="preserve">Paragraphs 37(h) and 40(d) of the ESG Code </w:t>
      </w:r>
      <w:r w:rsidRPr="00132FB7">
        <w:rPr>
          <w:sz w:val="20"/>
          <w:szCs w:val="20"/>
        </w:rPr>
        <w:t>– disclosures on whether the climate-related target was</w:t>
      </w:r>
      <w:r w:rsidR="009B46B4">
        <w:rPr>
          <w:sz w:val="20"/>
          <w:szCs w:val="20"/>
        </w:rPr>
        <w:t xml:space="preserve"> </w:t>
      </w:r>
      <w:r w:rsidRPr="00132FB7">
        <w:rPr>
          <w:sz w:val="20"/>
          <w:szCs w:val="20"/>
        </w:rPr>
        <w:t>(</w:t>
      </w:r>
      <w:proofErr w:type="spellStart"/>
      <w:r w:rsidRPr="00132FB7">
        <w:rPr>
          <w:sz w:val="20"/>
          <w:szCs w:val="20"/>
        </w:rPr>
        <w:t>i</w:t>
      </w:r>
      <w:proofErr w:type="spellEnd"/>
      <w:r w:rsidRPr="00132FB7">
        <w:rPr>
          <w:sz w:val="20"/>
          <w:szCs w:val="20"/>
        </w:rPr>
        <w:t xml:space="preserve">) </w:t>
      </w:r>
      <w:r w:rsidR="009B46B4">
        <w:rPr>
          <w:sz w:val="20"/>
          <w:szCs w:val="20"/>
        </w:rPr>
        <w:t>set</w:t>
      </w:r>
      <w:r w:rsidR="009B46B4" w:rsidRPr="00132FB7">
        <w:rPr>
          <w:sz w:val="20"/>
          <w:szCs w:val="20"/>
        </w:rPr>
        <w:t xml:space="preserve"> </w:t>
      </w:r>
      <w:r w:rsidRPr="00132FB7">
        <w:rPr>
          <w:sz w:val="20"/>
          <w:szCs w:val="20"/>
        </w:rPr>
        <w:t>based on the latest international agreement on climate change</w:t>
      </w:r>
      <w:r w:rsidR="00B41A8E">
        <w:rPr>
          <w:sz w:val="20"/>
          <w:szCs w:val="20"/>
        </w:rPr>
        <w:t>;</w:t>
      </w:r>
      <w:r w:rsidRPr="00132FB7">
        <w:rPr>
          <w:sz w:val="20"/>
          <w:szCs w:val="20"/>
        </w:rPr>
        <w:t xml:space="preserve"> or (ii) derived using a sectoral </w:t>
      </w:r>
      <w:proofErr w:type="spellStart"/>
      <w:r w:rsidRPr="00132FB7">
        <w:rPr>
          <w:sz w:val="20"/>
          <w:szCs w:val="20"/>
        </w:rPr>
        <w:t>decarbonisation</w:t>
      </w:r>
      <w:proofErr w:type="spellEnd"/>
      <w:r w:rsidRPr="00132FB7">
        <w:rPr>
          <w:sz w:val="20"/>
          <w:szCs w:val="20"/>
        </w:rPr>
        <w:t xml:space="preserve"> approach</w:t>
      </w:r>
      <w:r w:rsidR="00DC77D8">
        <w:rPr>
          <w:sz w:val="20"/>
          <w:szCs w:val="20"/>
        </w:rPr>
        <w:t>.</w:t>
      </w:r>
    </w:p>
    <w:p w14:paraId="479E3898" w14:textId="77777777" w:rsidR="00DC77D8" w:rsidRPr="00132FB7" w:rsidRDefault="00DC77D8" w:rsidP="00DC77D8">
      <w:pPr>
        <w:pStyle w:val="Default"/>
        <w:ind w:left="720"/>
        <w:jc w:val="both"/>
        <w:rPr>
          <w:sz w:val="20"/>
          <w:szCs w:val="20"/>
        </w:rPr>
      </w:pPr>
    </w:p>
    <w:p w14:paraId="1BEDEC19" w14:textId="7342065A" w:rsidR="00FA46D2" w:rsidRDefault="00E70254" w:rsidP="0028091A">
      <w:pPr>
        <w:pStyle w:val="Default"/>
        <w:numPr>
          <w:ilvl w:val="0"/>
          <w:numId w:val="6"/>
        </w:numPr>
        <w:jc w:val="both"/>
        <w:rPr>
          <w:sz w:val="20"/>
          <w:szCs w:val="20"/>
        </w:rPr>
      </w:pPr>
      <w:r w:rsidRPr="00234D68">
        <w:rPr>
          <w:color w:val="FF0000"/>
          <w:sz w:val="20"/>
          <w:szCs w:val="20"/>
        </w:rPr>
        <w:t xml:space="preserve">Paragraph 38 of the ESG Code </w:t>
      </w:r>
      <w:r w:rsidRPr="00132FB7">
        <w:rPr>
          <w:sz w:val="20"/>
          <w:szCs w:val="20"/>
        </w:rPr>
        <w:t>–</w:t>
      </w:r>
      <w:r w:rsidR="00100549" w:rsidRPr="00132FB7">
        <w:rPr>
          <w:sz w:val="20"/>
          <w:szCs w:val="20"/>
        </w:rPr>
        <w:t xml:space="preserve"> disclosure of</w:t>
      </w:r>
      <w:r w:rsidRPr="00132FB7">
        <w:rPr>
          <w:sz w:val="20"/>
          <w:szCs w:val="20"/>
        </w:rPr>
        <w:t xml:space="preserve"> (</w:t>
      </w:r>
      <w:proofErr w:type="spellStart"/>
      <w:r w:rsidRPr="00132FB7">
        <w:rPr>
          <w:sz w:val="20"/>
          <w:szCs w:val="20"/>
        </w:rPr>
        <w:t>i</w:t>
      </w:r>
      <w:proofErr w:type="spellEnd"/>
      <w:r w:rsidRPr="00132FB7">
        <w:rPr>
          <w:sz w:val="20"/>
          <w:szCs w:val="20"/>
        </w:rPr>
        <w:t>) whether the target and methodology for setting the target has been validated by a third party</w:t>
      </w:r>
      <w:r w:rsidR="00B41A8E">
        <w:rPr>
          <w:sz w:val="20"/>
          <w:szCs w:val="20"/>
        </w:rPr>
        <w:t>;</w:t>
      </w:r>
      <w:r w:rsidRPr="00132FB7">
        <w:rPr>
          <w:sz w:val="20"/>
          <w:szCs w:val="20"/>
        </w:rPr>
        <w:t xml:space="preserve"> (</w:t>
      </w:r>
      <w:r w:rsidR="009B46B4">
        <w:rPr>
          <w:sz w:val="20"/>
          <w:szCs w:val="20"/>
        </w:rPr>
        <w:t>ii</w:t>
      </w:r>
      <w:r w:rsidRPr="00132FB7">
        <w:rPr>
          <w:sz w:val="20"/>
          <w:szCs w:val="20"/>
        </w:rPr>
        <w:t>) the processes used by the</w:t>
      </w:r>
      <w:r w:rsidR="00100549" w:rsidRPr="00132FB7">
        <w:rPr>
          <w:sz w:val="20"/>
          <w:szCs w:val="20"/>
        </w:rPr>
        <w:t xml:space="preserve"> listed company</w:t>
      </w:r>
      <w:r w:rsidRPr="00132FB7">
        <w:rPr>
          <w:sz w:val="20"/>
          <w:szCs w:val="20"/>
        </w:rPr>
        <w:t xml:space="preserve"> for reviewing the target</w:t>
      </w:r>
      <w:r w:rsidR="00B41A8E">
        <w:rPr>
          <w:sz w:val="20"/>
          <w:szCs w:val="20"/>
        </w:rPr>
        <w:t>;</w:t>
      </w:r>
      <w:r w:rsidRPr="00132FB7">
        <w:rPr>
          <w:sz w:val="20"/>
          <w:szCs w:val="20"/>
        </w:rPr>
        <w:t xml:space="preserve"> (</w:t>
      </w:r>
      <w:r w:rsidR="009B46B4">
        <w:rPr>
          <w:sz w:val="20"/>
          <w:szCs w:val="20"/>
        </w:rPr>
        <w:t>iii</w:t>
      </w:r>
      <w:r w:rsidRPr="00132FB7">
        <w:rPr>
          <w:sz w:val="20"/>
          <w:szCs w:val="20"/>
        </w:rPr>
        <w:t xml:space="preserve">) the metrics used to monitor </w:t>
      </w:r>
      <w:r w:rsidR="00181C88">
        <w:rPr>
          <w:sz w:val="20"/>
          <w:szCs w:val="20"/>
        </w:rPr>
        <w:t xml:space="preserve">the </w:t>
      </w:r>
      <w:r w:rsidRPr="00132FB7">
        <w:rPr>
          <w:sz w:val="20"/>
          <w:szCs w:val="20"/>
        </w:rPr>
        <w:t>progress towards reaching the target</w:t>
      </w:r>
      <w:r w:rsidR="00B41A8E">
        <w:rPr>
          <w:sz w:val="20"/>
          <w:szCs w:val="20"/>
        </w:rPr>
        <w:t>;</w:t>
      </w:r>
      <w:r w:rsidRPr="00132FB7">
        <w:rPr>
          <w:sz w:val="20"/>
          <w:szCs w:val="20"/>
        </w:rPr>
        <w:t xml:space="preserve"> and (</w:t>
      </w:r>
      <w:r w:rsidR="009B46B4">
        <w:rPr>
          <w:sz w:val="20"/>
          <w:szCs w:val="20"/>
        </w:rPr>
        <w:t>iv</w:t>
      </w:r>
      <w:r w:rsidRPr="00132FB7">
        <w:rPr>
          <w:sz w:val="20"/>
          <w:szCs w:val="20"/>
        </w:rPr>
        <w:t>) any revisions to the target</w:t>
      </w:r>
      <w:r w:rsidR="00100549" w:rsidRPr="00132FB7">
        <w:rPr>
          <w:sz w:val="20"/>
          <w:szCs w:val="20"/>
        </w:rPr>
        <w:t xml:space="preserve"> with corresponding explanations</w:t>
      </w:r>
      <w:r w:rsidR="00DC77D8">
        <w:rPr>
          <w:sz w:val="20"/>
          <w:szCs w:val="20"/>
        </w:rPr>
        <w:t>.</w:t>
      </w:r>
    </w:p>
    <w:p w14:paraId="11873C7F" w14:textId="77777777" w:rsidR="00234D68" w:rsidRPr="00132FB7" w:rsidRDefault="00234D68" w:rsidP="00234D68">
      <w:pPr>
        <w:pStyle w:val="Default"/>
        <w:ind w:left="720"/>
        <w:jc w:val="both"/>
        <w:rPr>
          <w:sz w:val="20"/>
          <w:szCs w:val="20"/>
        </w:rPr>
      </w:pPr>
    </w:p>
    <w:p w14:paraId="0C289D92" w14:textId="77777777" w:rsidR="00FA46D2" w:rsidRDefault="00E70254" w:rsidP="0028091A">
      <w:pPr>
        <w:pStyle w:val="Default"/>
        <w:numPr>
          <w:ilvl w:val="0"/>
          <w:numId w:val="6"/>
        </w:numPr>
        <w:jc w:val="both"/>
        <w:rPr>
          <w:sz w:val="20"/>
          <w:szCs w:val="20"/>
        </w:rPr>
      </w:pPr>
      <w:r w:rsidRPr="00234D68">
        <w:rPr>
          <w:color w:val="FF0000"/>
          <w:sz w:val="20"/>
          <w:szCs w:val="20"/>
        </w:rPr>
        <w:t xml:space="preserve">Paragraph 39 of the ESG Code </w:t>
      </w:r>
      <w:r w:rsidRPr="00132FB7">
        <w:rPr>
          <w:sz w:val="20"/>
          <w:szCs w:val="20"/>
        </w:rPr>
        <w:t>– disclosure of an analy</w:t>
      </w:r>
      <w:r w:rsidR="005F2A04" w:rsidRPr="00132FB7">
        <w:rPr>
          <w:sz w:val="20"/>
          <w:szCs w:val="20"/>
        </w:rPr>
        <w:t>sis of trends or changes in the listed company's</w:t>
      </w:r>
      <w:r w:rsidRPr="00132FB7">
        <w:rPr>
          <w:sz w:val="20"/>
          <w:szCs w:val="20"/>
        </w:rPr>
        <w:t xml:space="preserve"> performance </w:t>
      </w:r>
      <w:r w:rsidR="005F2A04" w:rsidRPr="00132FB7">
        <w:rPr>
          <w:sz w:val="20"/>
          <w:szCs w:val="20"/>
        </w:rPr>
        <w:t>of</w:t>
      </w:r>
      <w:r w:rsidR="009E22E7" w:rsidRPr="00132FB7">
        <w:rPr>
          <w:sz w:val="20"/>
          <w:szCs w:val="20"/>
        </w:rPr>
        <w:t xml:space="preserve"> each climate-related target</w:t>
      </w:r>
      <w:r w:rsidR="00DC77D8">
        <w:rPr>
          <w:sz w:val="20"/>
          <w:szCs w:val="20"/>
        </w:rPr>
        <w:t>.</w:t>
      </w:r>
    </w:p>
    <w:p w14:paraId="0D319DD1" w14:textId="77777777" w:rsidR="00234D68" w:rsidRPr="00234D68" w:rsidRDefault="00234D68" w:rsidP="00234D68">
      <w:pPr>
        <w:pStyle w:val="Default"/>
        <w:jc w:val="both"/>
        <w:rPr>
          <w:color w:val="FF0000"/>
          <w:sz w:val="20"/>
          <w:szCs w:val="20"/>
        </w:rPr>
      </w:pPr>
    </w:p>
    <w:p w14:paraId="4380221C" w14:textId="158AC5BB" w:rsidR="00FA46D2" w:rsidRPr="00132FB7" w:rsidRDefault="00E70254" w:rsidP="0028091A">
      <w:pPr>
        <w:pStyle w:val="Default"/>
        <w:numPr>
          <w:ilvl w:val="0"/>
          <w:numId w:val="6"/>
        </w:numPr>
        <w:jc w:val="both"/>
        <w:rPr>
          <w:sz w:val="20"/>
          <w:szCs w:val="20"/>
        </w:rPr>
      </w:pPr>
      <w:r w:rsidRPr="00234D68">
        <w:rPr>
          <w:color w:val="FF0000"/>
          <w:sz w:val="20"/>
          <w:szCs w:val="20"/>
        </w:rPr>
        <w:t xml:space="preserve">Paragraph 40(e)(iv)  of the ESG Code </w:t>
      </w:r>
      <w:r w:rsidRPr="00132FB7">
        <w:rPr>
          <w:sz w:val="20"/>
          <w:szCs w:val="20"/>
        </w:rPr>
        <w:t>–</w:t>
      </w:r>
      <w:r w:rsidR="00A0727D" w:rsidRPr="00132FB7">
        <w:rPr>
          <w:sz w:val="20"/>
          <w:szCs w:val="20"/>
        </w:rPr>
        <w:t xml:space="preserve"> if listed companies wish to apply carbon</w:t>
      </w:r>
      <w:r w:rsidR="00DC77D8">
        <w:rPr>
          <w:sz w:val="20"/>
          <w:szCs w:val="20"/>
        </w:rPr>
        <w:t xml:space="preserve"> credits, </w:t>
      </w:r>
      <w:r w:rsidR="007579F4">
        <w:rPr>
          <w:sz w:val="20"/>
          <w:szCs w:val="20"/>
        </w:rPr>
        <w:t xml:space="preserve">information on the </w:t>
      </w:r>
      <w:r w:rsidR="00DC77D8">
        <w:rPr>
          <w:sz w:val="20"/>
          <w:szCs w:val="20"/>
        </w:rPr>
        <w:t>intended use, their</w:t>
      </w:r>
      <w:r w:rsidR="00A0727D" w:rsidRPr="00132FB7">
        <w:rPr>
          <w:sz w:val="20"/>
          <w:szCs w:val="20"/>
        </w:rPr>
        <w:t xml:space="preserve"> gross </w:t>
      </w:r>
      <w:r w:rsidR="00DC77D8">
        <w:rPr>
          <w:sz w:val="20"/>
          <w:szCs w:val="20"/>
        </w:rPr>
        <w:t xml:space="preserve">and </w:t>
      </w:r>
      <w:r w:rsidR="00DC77D8" w:rsidRPr="00132FB7">
        <w:rPr>
          <w:sz w:val="20"/>
          <w:szCs w:val="20"/>
        </w:rPr>
        <w:t xml:space="preserve">net </w:t>
      </w:r>
      <w:r w:rsidR="00181C88">
        <w:rPr>
          <w:sz w:val="20"/>
          <w:szCs w:val="20"/>
        </w:rPr>
        <w:t>greenhouse gas</w:t>
      </w:r>
      <w:r w:rsidR="00A0727D" w:rsidRPr="00132FB7">
        <w:rPr>
          <w:sz w:val="20"/>
          <w:szCs w:val="20"/>
        </w:rPr>
        <w:t xml:space="preserve"> emissions targets must also be disclosed separately </w:t>
      </w:r>
      <w:r w:rsidRPr="00132FB7">
        <w:rPr>
          <w:sz w:val="20"/>
          <w:szCs w:val="20"/>
        </w:rPr>
        <w:t>(for example, assumptions regarding the permanence of the carbon offset)</w:t>
      </w:r>
      <w:r w:rsidR="007579F4">
        <w:rPr>
          <w:sz w:val="20"/>
          <w:szCs w:val="20"/>
        </w:rPr>
        <w:t>.</w:t>
      </w:r>
    </w:p>
    <w:p w14:paraId="25A95514" w14:textId="77777777" w:rsidR="00D475F6" w:rsidRPr="00132FB7" w:rsidRDefault="00D475F6" w:rsidP="0028091A">
      <w:pPr>
        <w:pStyle w:val="Default"/>
        <w:ind w:left="720"/>
        <w:jc w:val="both"/>
        <w:rPr>
          <w:sz w:val="20"/>
          <w:szCs w:val="20"/>
        </w:rPr>
      </w:pPr>
    </w:p>
    <w:p w14:paraId="6C31AFFD" w14:textId="327DEABB" w:rsidR="00D475F6" w:rsidRPr="00132FB7" w:rsidRDefault="00E70254" w:rsidP="0028091A">
      <w:pPr>
        <w:pStyle w:val="Default"/>
        <w:jc w:val="both"/>
        <w:rPr>
          <w:sz w:val="20"/>
          <w:szCs w:val="20"/>
        </w:rPr>
      </w:pPr>
      <w:r w:rsidRPr="00132FB7">
        <w:rPr>
          <w:sz w:val="20"/>
          <w:szCs w:val="20"/>
        </w:rPr>
        <w:t xml:space="preserve">The </w:t>
      </w:r>
      <w:r w:rsidR="00306A09">
        <w:rPr>
          <w:sz w:val="20"/>
          <w:szCs w:val="20"/>
        </w:rPr>
        <w:t>Exchange</w:t>
      </w:r>
      <w:r w:rsidR="00181C88">
        <w:rPr>
          <w:sz w:val="20"/>
          <w:szCs w:val="20"/>
        </w:rPr>
        <w:t xml:space="preserve"> reminds</w:t>
      </w:r>
      <w:r w:rsidRPr="00132FB7">
        <w:rPr>
          <w:sz w:val="20"/>
          <w:szCs w:val="20"/>
        </w:rPr>
        <w:t xml:space="preserve"> listed companies that under the “comply or explain” regime, the reasons for any non-disclosure of the climate-related targets must be disclosed and</w:t>
      </w:r>
      <w:r w:rsidR="002A6AE7" w:rsidRPr="00132FB7">
        <w:rPr>
          <w:sz w:val="20"/>
          <w:szCs w:val="20"/>
        </w:rPr>
        <w:t xml:space="preserve"> a</w:t>
      </w:r>
      <w:r w:rsidRPr="00132FB7">
        <w:rPr>
          <w:sz w:val="20"/>
          <w:szCs w:val="20"/>
        </w:rPr>
        <w:t xml:space="preserve">lternative disclosures in the work plan, progress and timetable would not be sufficient. </w:t>
      </w:r>
    </w:p>
    <w:p w14:paraId="493960F0" w14:textId="77777777" w:rsidR="000446B5" w:rsidRPr="00234D68" w:rsidRDefault="000446B5" w:rsidP="0028091A">
      <w:pPr>
        <w:pStyle w:val="Default"/>
        <w:jc w:val="both"/>
        <w:rPr>
          <w:b/>
          <w:color w:val="FF0000"/>
          <w:sz w:val="20"/>
          <w:szCs w:val="20"/>
          <w:lang w:eastAsia="zh-TW"/>
        </w:rPr>
      </w:pPr>
    </w:p>
    <w:p w14:paraId="3948C3E9" w14:textId="77777777" w:rsidR="003A0703" w:rsidRPr="00234D68" w:rsidRDefault="00234D68" w:rsidP="00DC77D8">
      <w:pPr>
        <w:pStyle w:val="ListParagraph"/>
        <w:numPr>
          <w:ilvl w:val="0"/>
          <w:numId w:val="11"/>
        </w:numPr>
        <w:spacing w:after="0"/>
        <w:ind w:left="284" w:hanging="284"/>
        <w:jc w:val="both"/>
        <w:rPr>
          <w:rFonts w:ascii="Arial" w:hAnsi="Arial" w:cs="Arial"/>
          <w:b/>
          <w:color w:val="FF0000"/>
          <w:sz w:val="20"/>
          <w:szCs w:val="20"/>
          <w:lang w:eastAsia="zh-TW"/>
        </w:rPr>
      </w:pPr>
      <w:r w:rsidRPr="00234D68">
        <w:rPr>
          <w:rFonts w:ascii="Arial" w:hAnsi="Arial" w:cs="Arial"/>
          <w:b/>
          <w:color w:val="FF0000"/>
          <w:sz w:val="20"/>
          <w:szCs w:val="20"/>
          <w:lang w:eastAsia="zh-TW"/>
        </w:rPr>
        <w:t>P</w:t>
      </w:r>
      <w:r w:rsidR="00E70254" w:rsidRPr="00234D68">
        <w:rPr>
          <w:rFonts w:ascii="Arial" w:hAnsi="Arial" w:cs="Arial"/>
          <w:b/>
          <w:color w:val="FF0000"/>
          <w:sz w:val="20"/>
          <w:szCs w:val="20"/>
          <w:lang w:eastAsia="zh-TW"/>
        </w:rPr>
        <w:t xml:space="preserve">rogress of </w:t>
      </w:r>
      <w:r w:rsidRPr="00234D68">
        <w:rPr>
          <w:rFonts w:ascii="Arial" w:hAnsi="Arial" w:cs="Arial"/>
          <w:b/>
          <w:color w:val="FF0000"/>
          <w:sz w:val="20"/>
          <w:szCs w:val="20"/>
          <w:lang w:eastAsia="zh-TW"/>
        </w:rPr>
        <w:t>the transition plans</w:t>
      </w:r>
      <w:r w:rsidR="00E70254" w:rsidRPr="00234D68">
        <w:rPr>
          <w:rFonts w:ascii="Arial" w:hAnsi="Arial" w:cs="Arial"/>
          <w:b/>
          <w:color w:val="FF0000"/>
          <w:sz w:val="20"/>
          <w:szCs w:val="20"/>
          <w:lang w:eastAsia="zh-TW"/>
        </w:rPr>
        <w:t xml:space="preserve"> disclosed </w:t>
      </w:r>
    </w:p>
    <w:p w14:paraId="37908AA0" w14:textId="77777777" w:rsidR="00A40821" w:rsidRPr="00132FB7" w:rsidRDefault="00A40821" w:rsidP="0028091A">
      <w:pPr>
        <w:spacing w:after="0"/>
        <w:jc w:val="both"/>
        <w:rPr>
          <w:rFonts w:ascii="Arial" w:hAnsi="Arial" w:cs="Arial"/>
          <w:sz w:val="20"/>
          <w:szCs w:val="20"/>
          <w:lang w:eastAsia="zh-TW"/>
        </w:rPr>
      </w:pPr>
    </w:p>
    <w:p w14:paraId="3F22F2D1" w14:textId="231A737C" w:rsidR="003422C2" w:rsidRPr="00132FB7" w:rsidRDefault="00181C88" w:rsidP="0028091A">
      <w:pPr>
        <w:spacing w:after="0"/>
        <w:jc w:val="both"/>
        <w:rPr>
          <w:rFonts w:ascii="Arial" w:hAnsi="Arial" w:cs="Arial"/>
          <w:sz w:val="20"/>
          <w:szCs w:val="20"/>
          <w:lang w:eastAsia="zh-TW"/>
        </w:rPr>
      </w:pPr>
      <w:r>
        <w:rPr>
          <w:rFonts w:ascii="Arial" w:hAnsi="Arial" w:cs="Arial"/>
          <w:sz w:val="20"/>
          <w:szCs w:val="20"/>
          <w:lang w:eastAsia="zh-TW"/>
        </w:rPr>
        <w:t>Listed c</w:t>
      </w:r>
      <w:r w:rsidR="00E70254" w:rsidRPr="00132FB7">
        <w:rPr>
          <w:rFonts w:ascii="Arial" w:hAnsi="Arial" w:cs="Arial"/>
          <w:sz w:val="20"/>
          <w:szCs w:val="20"/>
          <w:lang w:eastAsia="zh-TW"/>
        </w:rPr>
        <w:t>ompanies are required to disclose in their ESG reports the</w:t>
      </w:r>
      <w:r w:rsidR="00DC77D8">
        <w:rPr>
          <w:rFonts w:ascii="Arial" w:hAnsi="Arial" w:cs="Arial"/>
          <w:sz w:val="20"/>
          <w:szCs w:val="20"/>
          <w:lang w:eastAsia="zh-TW"/>
        </w:rPr>
        <w:t>ir</w:t>
      </w:r>
      <w:r w:rsidR="00E70254" w:rsidRPr="00132FB7">
        <w:rPr>
          <w:rFonts w:ascii="Arial" w:hAnsi="Arial" w:cs="Arial"/>
          <w:sz w:val="20"/>
          <w:szCs w:val="20"/>
          <w:lang w:eastAsia="zh-TW"/>
        </w:rPr>
        <w:t xml:space="preserve"> progress on reaching the climate-related targets and</w:t>
      </w:r>
      <w:r w:rsidR="00E871C4" w:rsidRPr="00132FB7">
        <w:rPr>
          <w:rFonts w:ascii="Arial" w:hAnsi="Arial" w:cs="Arial"/>
          <w:sz w:val="20"/>
          <w:szCs w:val="20"/>
          <w:lang w:eastAsia="zh-TW"/>
        </w:rPr>
        <w:t xml:space="preserve"> </w:t>
      </w:r>
      <w:r w:rsidR="00E70254" w:rsidRPr="00132FB7">
        <w:rPr>
          <w:rFonts w:ascii="Arial" w:hAnsi="Arial" w:cs="Arial"/>
          <w:sz w:val="20"/>
          <w:szCs w:val="20"/>
          <w:lang w:eastAsia="zh-TW"/>
        </w:rPr>
        <w:t xml:space="preserve">also the implementation status of previously set plans. This </w:t>
      </w:r>
      <w:r w:rsidR="00DC77D8">
        <w:rPr>
          <w:rFonts w:ascii="Arial" w:hAnsi="Arial" w:cs="Arial"/>
          <w:sz w:val="20"/>
          <w:szCs w:val="20"/>
          <w:lang w:eastAsia="zh-TW"/>
        </w:rPr>
        <w:t xml:space="preserve">will </w:t>
      </w:r>
      <w:r w:rsidR="00E70254" w:rsidRPr="00132FB7">
        <w:rPr>
          <w:rFonts w:ascii="Arial" w:hAnsi="Arial" w:cs="Arial"/>
          <w:sz w:val="20"/>
          <w:szCs w:val="20"/>
          <w:lang w:eastAsia="zh-TW"/>
        </w:rPr>
        <w:t>allow investors and management of listed companies to e</w:t>
      </w:r>
      <w:r w:rsidR="00DC77D8">
        <w:rPr>
          <w:rFonts w:ascii="Arial" w:hAnsi="Arial" w:cs="Arial"/>
          <w:sz w:val="20"/>
          <w:szCs w:val="20"/>
          <w:lang w:eastAsia="zh-TW"/>
        </w:rPr>
        <w:t>valuate the effectiveness of their</w:t>
      </w:r>
      <w:r w:rsidR="00E70254" w:rsidRPr="00132FB7">
        <w:rPr>
          <w:rFonts w:ascii="Arial" w:hAnsi="Arial" w:cs="Arial"/>
          <w:sz w:val="20"/>
          <w:szCs w:val="20"/>
          <w:lang w:eastAsia="zh-TW"/>
        </w:rPr>
        <w:t xml:space="preserve"> climate-related measures. Regarding amendments to the proposals, the disclosure of progress requirements will be moved to the "Strategy" section</w:t>
      </w:r>
      <w:r w:rsidR="00DC77D8">
        <w:rPr>
          <w:rFonts w:ascii="Arial" w:hAnsi="Arial" w:cs="Arial"/>
          <w:sz w:val="20"/>
          <w:szCs w:val="20"/>
          <w:lang w:eastAsia="zh-TW"/>
        </w:rPr>
        <w:t>,</w:t>
      </w:r>
      <w:r w:rsidR="00E70254" w:rsidRPr="00132FB7">
        <w:rPr>
          <w:rFonts w:ascii="Arial" w:hAnsi="Arial" w:cs="Arial"/>
          <w:sz w:val="20"/>
          <w:szCs w:val="20"/>
          <w:lang w:eastAsia="zh-TW"/>
        </w:rPr>
        <w:t xml:space="preserve"> while the requirements for disclosure of the performance, and analysis of the trends or changes of the listed company will be set out under t</w:t>
      </w:r>
      <w:r>
        <w:rPr>
          <w:rFonts w:ascii="Arial" w:hAnsi="Arial" w:cs="Arial"/>
          <w:sz w:val="20"/>
          <w:szCs w:val="20"/>
          <w:lang w:eastAsia="zh-TW"/>
        </w:rPr>
        <w:t>he "Metrics and Targets" pillar</w:t>
      </w:r>
      <w:r w:rsidR="00E70254" w:rsidRPr="00132FB7">
        <w:rPr>
          <w:rFonts w:ascii="Arial" w:hAnsi="Arial" w:cs="Arial"/>
          <w:sz w:val="20"/>
          <w:szCs w:val="20"/>
          <w:lang w:eastAsia="zh-TW"/>
        </w:rPr>
        <w:t xml:space="preserve">. </w:t>
      </w:r>
      <w:r w:rsidR="00CD267E" w:rsidRPr="00132FB7">
        <w:rPr>
          <w:rFonts w:ascii="Arial" w:hAnsi="Arial" w:cs="Arial"/>
          <w:sz w:val="20"/>
          <w:szCs w:val="20"/>
        </w:rPr>
        <w:t xml:space="preserve">The </w:t>
      </w:r>
      <w:r w:rsidR="00306A09">
        <w:rPr>
          <w:rFonts w:ascii="Arial" w:hAnsi="Arial" w:cs="Arial"/>
          <w:sz w:val="20"/>
          <w:szCs w:val="20"/>
        </w:rPr>
        <w:t>Exchange</w:t>
      </w:r>
      <w:r w:rsidR="00CD267E" w:rsidRPr="00132FB7">
        <w:rPr>
          <w:rFonts w:ascii="Arial" w:hAnsi="Arial" w:cs="Arial"/>
          <w:sz w:val="20"/>
          <w:szCs w:val="20"/>
        </w:rPr>
        <w:t xml:space="preserve">’s original proposal that listed companies are not required to make such disclosures during the first reporting period will be discarded as well. </w:t>
      </w:r>
    </w:p>
    <w:p w14:paraId="3ACA1BD6" w14:textId="77777777" w:rsidR="003A0703" w:rsidRPr="00132FB7" w:rsidRDefault="00E70254" w:rsidP="0028091A">
      <w:pPr>
        <w:pStyle w:val="Default"/>
        <w:jc w:val="both"/>
        <w:rPr>
          <w:sz w:val="20"/>
          <w:szCs w:val="20"/>
          <w:lang w:eastAsia="zh-TW"/>
        </w:rPr>
      </w:pPr>
      <w:r w:rsidRPr="00132FB7">
        <w:rPr>
          <w:sz w:val="20"/>
          <w:szCs w:val="20"/>
        </w:rPr>
        <w:t xml:space="preserve"> </w:t>
      </w:r>
    </w:p>
    <w:p w14:paraId="769AA766" w14:textId="77777777" w:rsidR="003A0703" w:rsidRPr="00234D68" w:rsidRDefault="00E70254" w:rsidP="00DC77D8">
      <w:pPr>
        <w:pStyle w:val="ListParagraph"/>
        <w:numPr>
          <w:ilvl w:val="0"/>
          <w:numId w:val="11"/>
        </w:numPr>
        <w:spacing w:after="0"/>
        <w:ind w:left="284" w:hanging="284"/>
        <w:jc w:val="both"/>
        <w:rPr>
          <w:rFonts w:ascii="Arial" w:hAnsi="Arial" w:cs="Arial"/>
          <w:b/>
          <w:color w:val="FF0000"/>
          <w:sz w:val="20"/>
          <w:szCs w:val="20"/>
          <w:lang w:eastAsia="zh-TW"/>
        </w:rPr>
      </w:pPr>
      <w:r w:rsidRPr="00234D68">
        <w:rPr>
          <w:rFonts w:ascii="Arial" w:hAnsi="Arial" w:cs="Arial"/>
          <w:b/>
          <w:color w:val="FF0000"/>
          <w:sz w:val="20"/>
          <w:szCs w:val="20"/>
          <w:lang w:eastAsia="zh-TW"/>
        </w:rPr>
        <w:t xml:space="preserve">Climate resilience </w:t>
      </w:r>
      <w:r w:rsidRPr="00234D68">
        <w:rPr>
          <w:rFonts w:ascii="Arial" w:hAnsi="Arial" w:cs="Arial"/>
          <w:color w:val="FF0000"/>
          <w:sz w:val="20"/>
          <w:szCs w:val="20"/>
          <w:lang w:eastAsia="zh-TW"/>
        </w:rPr>
        <w:t xml:space="preserve"> </w:t>
      </w:r>
    </w:p>
    <w:p w14:paraId="2614D8E9" w14:textId="77777777" w:rsidR="00FF3682" w:rsidRPr="00132FB7" w:rsidRDefault="00FF3682" w:rsidP="0028091A">
      <w:pPr>
        <w:spacing w:after="0"/>
        <w:jc w:val="both"/>
        <w:rPr>
          <w:rFonts w:ascii="Arial" w:hAnsi="Arial" w:cs="Arial"/>
          <w:sz w:val="20"/>
          <w:szCs w:val="20"/>
          <w:lang w:eastAsia="zh-TW"/>
        </w:rPr>
      </w:pPr>
    </w:p>
    <w:p w14:paraId="08D22902" w14:textId="66320369" w:rsidR="00FF3682"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Under the revised requ</w:t>
      </w:r>
      <w:r w:rsidR="00DC77D8">
        <w:rPr>
          <w:rFonts w:ascii="Arial" w:hAnsi="Arial" w:cs="Arial"/>
          <w:sz w:val="20"/>
          <w:szCs w:val="20"/>
          <w:lang w:eastAsia="zh-TW"/>
        </w:rPr>
        <w:t>irements, listed companies will</w:t>
      </w:r>
      <w:r w:rsidRPr="00132FB7">
        <w:rPr>
          <w:rFonts w:ascii="Arial" w:hAnsi="Arial" w:cs="Arial"/>
          <w:sz w:val="20"/>
          <w:szCs w:val="20"/>
          <w:lang w:eastAsia="zh-TW"/>
        </w:rPr>
        <w:t xml:space="preserve"> be required to </w:t>
      </w:r>
      <w:r w:rsidR="00234D68">
        <w:rPr>
          <w:rFonts w:ascii="Arial" w:hAnsi="Arial" w:cs="Arial"/>
          <w:sz w:val="20"/>
          <w:szCs w:val="20"/>
          <w:lang w:eastAsia="zh-TW"/>
        </w:rPr>
        <w:t xml:space="preserve">conduct climate-related scenario analysis to </w:t>
      </w:r>
      <w:r w:rsidRPr="00132FB7">
        <w:rPr>
          <w:rFonts w:ascii="Arial" w:hAnsi="Arial" w:cs="Arial"/>
          <w:sz w:val="20"/>
          <w:szCs w:val="20"/>
          <w:lang w:eastAsia="zh-TW"/>
        </w:rPr>
        <w:t>disclose how climate change may affect their business operation</w:t>
      </w:r>
      <w:r w:rsidR="007579F4">
        <w:rPr>
          <w:rFonts w:ascii="Arial" w:hAnsi="Arial" w:cs="Arial"/>
          <w:sz w:val="20"/>
          <w:szCs w:val="20"/>
          <w:lang w:eastAsia="zh-TW"/>
        </w:rPr>
        <w:t>s</w:t>
      </w:r>
      <w:r w:rsidRPr="00132FB7">
        <w:rPr>
          <w:rFonts w:ascii="Arial" w:hAnsi="Arial" w:cs="Arial"/>
          <w:sz w:val="20"/>
          <w:szCs w:val="20"/>
          <w:lang w:eastAsia="zh-TW"/>
        </w:rPr>
        <w:t>, how their strategies and business model</w:t>
      </w:r>
      <w:r w:rsidR="007579F4">
        <w:rPr>
          <w:rFonts w:ascii="Arial" w:hAnsi="Arial" w:cs="Arial"/>
          <w:sz w:val="20"/>
          <w:szCs w:val="20"/>
          <w:lang w:eastAsia="zh-TW"/>
        </w:rPr>
        <w:t>s</w:t>
      </w:r>
      <w:r w:rsidRPr="00132FB7">
        <w:rPr>
          <w:rFonts w:ascii="Arial" w:hAnsi="Arial" w:cs="Arial"/>
          <w:sz w:val="20"/>
          <w:szCs w:val="20"/>
          <w:lang w:eastAsia="zh-TW"/>
        </w:rPr>
        <w:t xml:space="preserve"> are resilient to climate change and clearly identify significant areas of uncertainty. The </w:t>
      </w:r>
      <w:r w:rsidR="00306A09">
        <w:rPr>
          <w:rFonts w:ascii="Arial" w:hAnsi="Arial" w:cs="Arial"/>
          <w:sz w:val="20"/>
          <w:szCs w:val="20"/>
          <w:lang w:eastAsia="zh-TW"/>
        </w:rPr>
        <w:t>Exchange</w:t>
      </w:r>
      <w:r w:rsidRPr="00132FB7">
        <w:rPr>
          <w:rFonts w:ascii="Arial" w:hAnsi="Arial" w:cs="Arial"/>
          <w:sz w:val="20"/>
          <w:szCs w:val="20"/>
          <w:lang w:eastAsia="zh-TW"/>
        </w:rPr>
        <w:t xml:space="preserve"> has revised its proposal to adhere to the ISSB Climate Standard under paragraph 26 of the ESG Code and the </w:t>
      </w:r>
      <w:r w:rsidR="00306A09">
        <w:rPr>
          <w:rFonts w:ascii="Arial" w:hAnsi="Arial" w:cs="Arial"/>
          <w:sz w:val="20"/>
          <w:szCs w:val="20"/>
          <w:lang w:eastAsia="zh-TW"/>
        </w:rPr>
        <w:t>Exchange</w:t>
      </w:r>
      <w:r w:rsidR="00181C88">
        <w:rPr>
          <w:rFonts w:ascii="Arial" w:hAnsi="Arial" w:cs="Arial"/>
          <w:sz w:val="20"/>
          <w:szCs w:val="20"/>
          <w:lang w:eastAsia="zh-TW"/>
        </w:rPr>
        <w:t xml:space="preserve"> clarifies</w:t>
      </w:r>
      <w:r w:rsidRPr="00132FB7">
        <w:rPr>
          <w:rFonts w:ascii="Arial" w:hAnsi="Arial" w:cs="Arial"/>
          <w:sz w:val="20"/>
          <w:szCs w:val="20"/>
          <w:lang w:eastAsia="zh-TW"/>
        </w:rPr>
        <w:t xml:space="preserve"> that disclosure of a single amount or a range are both acceptable for quantitative data. </w:t>
      </w:r>
    </w:p>
    <w:p w14:paraId="017BD459" w14:textId="77777777" w:rsidR="00FF3682" w:rsidRPr="00132FB7" w:rsidRDefault="00FF3682" w:rsidP="0028091A">
      <w:pPr>
        <w:spacing w:after="0"/>
        <w:jc w:val="both"/>
        <w:rPr>
          <w:rFonts w:ascii="Arial" w:hAnsi="Arial" w:cs="Arial"/>
          <w:sz w:val="20"/>
          <w:szCs w:val="20"/>
          <w:lang w:eastAsia="zh-TW"/>
        </w:rPr>
      </w:pPr>
    </w:p>
    <w:p w14:paraId="068E0AAA" w14:textId="77777777" w:rsidR="00E31B4F"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 xml:space="preserve">The </w:t>
      </w:r>
      <w:r w:rsidR="00306A09">
        <w:rPr>
          <w:rFonts w:ascii="Arial" w:hAnsi="Arial" w:cs="Arial"/>
          <w:sz w:val="20"/>
          <w:szCs w:val="20"/>
          <w:lang w:eastAsia="zh-TW"/>
        </w:rPr>
        <w:t>Exchange</w:t>
      </w:r>
      <w:r w:rsidRPr="00132FB7">
        <w:rPr>
          <w:rFonts w:ascii="Arial" w:hAnsi="Arial" w:cs="Arial"/>
          <w:sz w:val="20"/>
          <w:szCs w:val="20"/>
          <w:lang w:eastAsia="zh-TW"/>
        </w:rPr>
        <w:t xml:space="preserve"> will also </w:t>
      </w:r>
      <w:r w:rsidR="00E31B4F" w:rsidRPr="00132FB7">
        <w:rPr>
          <w:rFonts w:ascii="Arial" w:hAnsi="Arial" w:cs="Arial"/>
          <w:sz w:val="20"/>
          <w:szCs w:val="20"/>
          <w:lang w:eastAsia="zh-TW"/>
        </w:rPr>
        <w:t xml:space="preserve">introduce requirements </w:t>
      </w:r>
      <w:r w:rsidR="00DC77D8">
        <w:rPr>
          <w:rFonts w:ascii="Arial" w:hAnsi="Arial" w:cs="Arial"/>
          <w:sz w:val="20"/>
          <w:szCs w:val="20"/>
          <w:lang w:eastAsia="zh-TW"/>
        </w:rPr>
        <w:t>for</w:t>
      </w:r>
      <w:r w:rsidR="00E31B4F" w:rsidRPr="00132FB7">
        <w:rPr>
          <w:rFonts w:ascii="Arial" w:hAnsi="Arial" w:cs="Arial"/>
          <w:sz w:val="20"/>
          <w:szCs w:val="20"/>
          <w:lang w:eastAsia="zh-TW"/>
        </w:rPr>
        <w:t xml:space="preserve"> listed companies to conduct a climate-related scenario analysis with suffici</w:t>
      </w:r>
      <w:r w:rsidR="00DC77D8">
        <w:rPr>
          <w:rFonts w:ascii="Arial" w:hAnsi="Arial" w:cs="Arial"/>
          <w:sz w:val="20"/>
          <w:szCs w:val="20"/>
          <w:lang w:eastAsia="zh-TW"/>
        </w:rPr>
        <w:t xml:space="preserve">ent detail proportionate to their </w:t>
      </w:r>
      <w:r w:rsidR="00E31B4F" w:rsidRPr="00132FB7">
        <w:rPr>
          <w:rFonts w:ascii="Arial" w:hAnsi="Arial" w:cs="Arial"/>
          <w:sz w:val="20"/>
          <w:szCs w:val="20"/>
          <w:lang w:eastAsia="zh-TW"/>
        </w:rPr>
        <w:t xml:space="preserve">circumstances. However, some respondents are concerned that given the lack of a common agreed methodology and the lack of resources, such requirements may be overly burdensome for some listed companies. In response, the </w:t>
      </w:r>
      <w:r w:rsidR="00306A09">
        <w:rPr>
          <w:rFonts w:ascii="Arial" w:hAnsi="Arial" w:cs="Arial"/>
          <w:sz w:val="20"/>
          <w:szCs w:val="20"/>
          <w:lang w:eastAsia="zh-TW"/>
        </w:rPr>
        <w:t>Exchange</w:t>
      </w:r>
      <w:r w:rsidR="00DC77D8">
        <w:rPr>
          <w:rFonts w:ascii="Arial" w:hAnsi="Arial" w:cs="Arial"/>
          <w:sz w:val="20"/>
          <w:szCs w:val="20"/>
          <w:lang w:eastAsia="zh-TW"/>
        </w:rPr>
        <w:t>’s</w:t>
      </w:r>
      <w:r w:rsidR="00E31B4F" w:rsidRPr="00132FB7">
        <w:rPr>
          <w:rFonts w:ascii="Arial" w:hAnsi="Arial" w:cs="Arial"/>
          <w:sz w:val="20"/>
          <w:szCs w:val="20"/>
          <w:lang w:eastAsia="zh-TW"/>
        </w:rPr>
        <w:t xml:space="preserve"> view </w:t>
      </w:r>
      <w:r w:rsidR="00DC77D8">
        <w:rPr>
          <w:rFonts w:ascii="Arial" w:hAnsi="Arial" w:cs="Arial"/>
          <w:sz w:val="20"/>
          <w:szCs w:val="20"/>
          <w:lang w:eastAsia="zh-TW"/>
        </w:rPr>
        <w:t xml:space="preserve">is </w:t>
      </w:r>
      <w:r w:rsidR="00E31B4F" w:rsidRPr="00132FB7">
        <w:rPr>
          <w:rFonts w:ascii="Arial" w:hAnsi="Arial" w:cs="Arial"/>
          <w:sz w:val="20"/>
          <w:szCs w:val="20"/>
          <w:lang w:eastAsia="zh-TW"/>
        </w:rPr>
        <w:t xml:space="preserve">that it is essential for listed companies to start using quantitative information to illustrate potential pathways and outcomes and this would enhance the ability of listed companies to respond efficiently to climate-related risks and opportunities. As such, the </w:t>
      </w:r>
      <w:r w:rsidR="00306A09">
        <w:rPr>
          <w:rFonts w:ascii="Arial" w:hAnsi="Arial" w:cs="Arial"/>
          <w:sz w:val="20"/>
          <w:szCs w:val="20"/>
          <w:lang w:eastAsia="zh-TW"/>
        </w:rPr>
        <w:t>Exchange</w:t>
      </w:r>
      <w:r w:rsidR="00E31B4F" w:rsidRPr="00132FB7">
        <w:rPr>
          <w:rFonts w:ascii="Arial" w:hAnsi="Arial" w:cs="Arial"/>
          <w:sz w:val="20"/>
          <w:szCs w:val="20"/>
          <w:lang w:eastAsia="zh-TW"/>
        </w:rPr>
        <w:t xml:space="preserve"> will make the following amendments allowing for more flexibility while ensuring the adequacy of the disclosure requirements: </w:t>
      </w:r>
    </w:p>
    <w:p w14:paraId="123BD54F" w14:textId="77777777" w:rsidR="00DC77D8" w:rsidRPr="00132FB7" w:rsidRDefault="00DC77D8" w:rsidP="0028091A">
      <w:pPr>
        <w:spacing w:after="0"/>
        <w:jc w:val="both"/>
        <w:rPr>
          <w:rFonts w:ascii="Arial" w:hAnsi="Arial" w:cs="Arial"/>
          <w:sz w:val="20"/>
          <w:szCs w:val="20"/>
          <w:lang w:eastAsia="zh-TW"/>
        </w:rPr>
      </w:pPr>
    </w:p>
    <w:p w14:paraId="1C72E37E" w14:textId="1ADCAC1C" w:rsidR="003A0703" w:rsidRDefault="00E70254" w:rsidP="0028091A">
      <w:pPr>
        <w:pStyle w:val="ListParagraph"/>
        <w:numPr>
          <w:ilvl w:val="0"/>
          <w:numId w:val="7"/>
        </w:numPr>
        <w:spacing w:after="0"/>
        <w:jc w:val="both"/>
        <w:rPr>
          <w:rFonts w:ascii="Arial" w:hAnsi="Arial" w:cs="Arial"/>
          <w:sz w:val="20"/>
          <w:szCs w:val="20"/>
          <w:lang w:eastAsia="zh-TW"/>
        </w:rPr>
      </w:pPr>
      <w:r w:rsidRPr="00234D68">
        <w:rPr>
          <w:rFonts w:ascii="Arial" w:hAnsi="Arial" w:cs="Arial"/>
          <w:color w:val="FF0000"/>
          <w:sz w:val="20"/>
          <w:szCs w:val="20"/>
          <w:lang w:eastAsia="zh-TW"/>
        </w:rPr>
        <w:t xml:space="preserve">Paragraph 26 of </w:t>
      </w:r>
      <w:r w:rsidR="00D0055D" w:rsidRPr="00234D68">
        <w:rPr>
          <w:rFonts w:ascii="Arial" w:hAnsi="Arial" w:cs="Arial"/>
          <w:color w:val="FF0000"/>
          <w:sz w:val="20"/>
          <w:szCs w:val="20"/>
          <w:lang w:eastAsia="zh-TW"/>
        </w:rPr>
        <w:t xml:space="preserve">the </w:t>
      </w:r>
      <w:r w:rsidRPr="00234D68">
        <w:rPr>
          <w:rFonts w:ascii="Arial" w:hAnsi="Arial" w:cs="Arial"/>
          <w:color w:val="FF0000"/>
          <w:sz w:val="20"/>
          <w:szCs w:val="20"/>
          <w:lang w:eastAsia="zh-TW"/>
        </w:rPr>
        <w:t xml:space="preserve">ESG Code </w:t>
      </w:r>
      <w:r w:rsidRPr="00132FB7">
        <w:rPr>
          <w:rFonts w:ascii="Arial" w:hAnsi="Arial" w:cs="Arial"/>
          <w:sz w:val="20"/>
          <w:szCs w:val="20"/>
          <w:lang w:eastAsia="zh-TW"/>
        </w:rPr>
        <w:t xml:space="preserve">– listed companies can opt for the Reasonable Information Relief </w:t>
      </w:r>
      <w:r w:rsidR="00181C88">
        <w:rPr>
          <w:rFonts w:ascii="Arial" w:hAnsi="Arial" w:cs="Arial"/>
          <w:sz w:val="20"/>
          <w:szCs w:val="20"/>
          <w:lang w:eastAsia="zh-TW"/>
        </w:rPr>
        <w:t>and</w:t>
      </w:r>
      <w:r w:rsidRPr="00132FB7">
        <w:rPr>
          <w:rFonts w:ascii="Arial" w:hAnsi="Arial" w:cs="Arial"/>
          <w:sz w:val="20"/>
          <w:szCs w:val="20"/>
          <w:lang w:eastAsia="zh-TW"/>
        </w:rPr>
        <w:t xml:space="preserve"> the Capabilities </w:t>
      </w:r>
      <w:r w:rsidR="00047119" w:rsidRPr="00132FB7">
        <w:rPr>
          <w:rFonts w:ascii="Arial" w:hAnsi="Arial" w:cs="Arial"/>
          <w:sz w:val="20"/>
          <w:szCs w:val="20"/>
          <w:lang w:eastAsia="zh-TW"/>
        </w:rPr>
        <w:t>Relief, which</w:t>
      </w:r>
      <w:r w:rsidRPr="00132FB7">
        <w:rPr>
          <w:rFonts w:ascii="Arial" w:hAnsi="Arial" w:cs="Arial"/>
          <w:sz w:val="20"/>
          <w:szCs w:val="20"/>
          <w:lang w:eastAsia="zh-TW"/>
        </w:rPr>
        <w:t xml:space="preserve"> is determined by </w:t>
      </w:r>
      <w:r w:rsidR="00D90D98">
        <w:rPr>
          <w:rFonts w:ascii="Arial" w:hAnsi="Arial" w:cs="Arial"/>
          <w:sz w:val="20"/>
          <w:szCs w:val="20"/>
        </w:rPr>
        <w:t>assessing</w:t>
      </w:r>
      <w:r w:rsidR="00DC77D8">
        <w:rPr>
          <w:rFonts w:ascii="Arial" w:hAnsi="Arial" w:cs="Arial"/>
          <w:sz w:val="20"/>
          <w:szCs w:val="20"/>
        </w:rPr>
        <w:t xml:space="preserve"> a listed company’s</w:t>
      </w:r>
      <w:r w:rsidRPr="00132FB7">
        <w:rPr>
          <w:rFonts w:ascii="Arial" w:hAnsi="Arial" w:cs="Arial"/>
          <w:sz w:val="20"/>
          <w:szCs w:val="20"/>
        </w:rPr>
        <w:t xml:space="preserve"> exposure to climate-related risks and opportunities, </w:t>
      </w:r>
      <w:r w:rsidR="00DC77D8">
        <w:rPr>
          <w:rFonts w:ascii="Arial" w:hAnsi="Arial" w:cs="Arial"/>
          <w:sz w:val="20"/>
          <w:szCs w:val="20"/>
        </w:rPr>
        <w:t xml:space="preserve">and </w:t>
      </w:r>
      <w:r w:rsidRPr="00132FB7">
        <w:rPr>
          <w:rFonts w:ascii="Arial" w:hAnsi="Arial" w:cs="Arial"/>
          <w:sz w:val="20"/>
          <w:szCs w:val="20"/>
        </w:rPr>
        <w:t>its available skills, capabilities and resources</w:t>
      </w:r>
      <w:r w:rsidR="00DC77D8">
        <w:rPr>
          <w:rFonts w:ascii="Arial" w:hAnsi="Arial" w:cs="Arial"/>
          <w:sz w:val="20"/>
          <w:szCs w:val="20"/>
        </w:rPr>
        <w:t>.</w:t>
      </w:r>
    </w:p>
    <w:p w14:paraId="7E8E1E49" w14:textId="77777777" w:rsidR="00234D68" w:rsidRPr="00132FB7" w:rsidRDefault="00234D68" w:rsidP="00234D68">
      <w:pPr>
        <w:pStyle w:val="ListParagraph"/>
        <w:spacing w:after="0"/>
        <w:jc w:val="both"/>
        <w:rPr>
          <w:rFonts w:ascii="Arial" w:hAnsi="Arial" w:cs="Arial"/>
          <w:sz w:val="20"/>
          <w:szCs w:val="20"/>
          <w:lang w:eastAsia="zh-TW"/>
        </w:rPr>
      </w:pPr>
    </w:p>
    <w:p w14:paraId="2D2CCDCF" w14:textId="77777777" w:rsidR="00F413B7" w:rsidRDefault="00E70254" w:rsidP="0028091A">
      <w:pPr>
        <w:pStyle w:val="ListParagraph"/>
        <w:numPr>
          <w:ilvl w:val="0"/>
          <w:numId w:val="7"/>
        </w:numPr>
        <w:spacing w:after="0"/>
        <w:jc w:val="both"/>
        <w:rPr>
          <w:rFonts w:ascii="Arial" w:hAnsi="Arial" w:cs="Arial"/>
          <w:sz w:val="20"/>
          <w:szCs w:val="20"/>
          <w:lang w:eastAsia="zh-TW"/>
        </w:rPr>
      </w:pPr>
      <w:r w:rsidRPr="00234D68">
        <w:rPr>
          <w:rFonts w:ascii="Arial" w:hAnsi="Arial" w:cs="Arial"/>
          <w:color w:val="FF0000"/>
          <w:sz w:val="20"/>
          <w:szCs w:val="20"/>
          <w:lang w:eastAsia="zh-TW"/>
        </w:rPr>
        <w:t>Paragraph 26(b</w:t>
      </w:r>
      <w:proofErr w:type="gramStart"/>
      <w:r w:rsidRPr="00234D68">
        <w:rPr>
          <w:rFonts w:ascii="Arial" w:hAnsi="Arial" w:cs="Arial"/>
          <w:color w:val="FF0000"/>
          <w:sz w:val="20"/>
          <w:szCs w:val="20"/>
          <w:lang w:eastAsia="zh-TW"/>
        </w:rPr>
        <w:t>)(</w:t>
      </w:r>
      <w:proofErr w:type="spellStart"/>
      <w:proofErr w:type="gramEnd"/>
      <w:r w:rsidRPr="00234D68">
        <w:rPr>
          <w:rFonts w:ascii="Arial" w:hAnsi="Arial" w:cs="Arial"/>
          <w:color w:val="FF0000"/>
          <w:sz w:val="20"/>
          <w:szCs w:val="20"/>
          <w:lang w:eastAsia="zh-TW"/>
        </w:rPr>
        <w:t>i</w:t>
      </w:r>
      <w:proofErr w:type="spellEnd"/>
      <w:r w:rsidRPr="00234D68">
        <w:rPr>
          <w:rFonts w:ascii="Arial" w:hAnsi="Arial" w:cs="Arial"/>
          <w:color w:val="FF0000"/>
          <w:sz w:val="20"/>
          <w:szCs w:val="20"/>
          <w:lang w:eastAsia="zh-TW"/>
        </w:rPr>
        <w:t xml:space="preserve">)(2) of the ESG Code </w:t>
      </w:r>
      <w:r w:rsidRPr="00132FB7">
        <w:rPr>
          <w:rFonts w:ascii="Arial" w:hAnsi="Arial" w:cs="Arial"/>
          <w:sz w:val="20"/>
          <w:szCs w:val="20"/>
          <w:lang w:eastAsia="zh-TW"/>
        </w:rPr>
        <w:t xml:space="preserve">–  disclosure of </w:t>
      </w:r>
      <w:r w:rsidRPr="00132FB7">
        <w:rPr>
          <w:rFonts w:ascii="Arial" w:hAnsi="Arial" w:cs="Arial"/>
          <w:sz w:val="20"/>
          <w:szCs w:val="20"/>
        </w:rPr>
        <w:t>whether the analysis included a diverse range of climate-related scenarios</w:t>
      </w:r>
      <w:r w:rsidR="00DC77D8">
        <w:rPr>
          <w:rFonts w:ascii="Arial" w:hAnsi="Arial" w:cs="Arial"/>
          <w:sz w:val="20"/>
          <w:szCs w:val="20"/>
        </w:rPr>
        <w:t>.</w:t>
      </w:r>
    </w:p>
    <w:p w14:paraId="2AE03845" w14:textId="77777777" w:rsidR="00DC77D8" w:rsidRPr="00DC77D8" w:rsidRDefault="00DC77D8" w:rsidP="00DC77D8">
      <w:pPr>
        <w:spacing w:after="0"/>
        <w:jc w:val="both"/>
        <w:rPr>
          <w:rFonts w:ascii="Arial" w:hAnsi="Arial" w:cs="Arial"/>
          <w:sz w:val="20"/>
          <w:szCs w:val="20"/>
          <w:lang w:eastAsia="zh-TW"/>
        </w:rPr>
      </w:pPr>
    </w:p>
    <w:p w14:paraId="76DB8023" w14:textId="77777777" w:rsidR="00D0055D" w:rsidRDefault="00E70254" w:rsidP="0028091A">
      <w:pPr>
        <w:pStyle w:val="ListParagraph"/>
        <w:numPr>
          <w:ilvl w:val="0"/>
          <w:numId w:val="7"/>
        </w:numPr>
        <w:spacing w:after="0"/>
        <w:jc w:val="both"/>
        <w:rPr>
          <w:rFonts w:ascii="Arial" w:hAnsi="Arial" w:cs="Arial"/>
          <w:sz w:val="20"/>
          <w:szCs w:val="20"/>
          <w:lang w:eastAsia="zh-TW"/>
        </w:rPr>
      </w:pPr>
      <w:r w:rsidRPr="00234D68">
        <w:rPr>
          <w:rFonts w:ascii="Arial" w:hAnsi="Arial" w:cs="Arial"/>
          <w:color w:val="FF0000"/>
          <w:sz w:val="20"/>
          <w:szCs w:val="20"/>
          <w:lang w:eastAsia="zh-TW"/>
        </w:rPr>
        <w:t>Paragraph 26(b</w:t>
      </w:r>
      <w:proofErr w:type="gramStart"/>
      <w:r w:rsidRPr="00234D68">
        <w:rPr>
          <w:rFonts w:ascii="Arial" w:hAnsi="Arial" w:cs="Arial"/>
          <w:color w:val="FF0000"/>
          <w:sz w:val="20"/>
          <w:szCs w:val="20"/>
          <w:lang w:eastAsia="zh-TW"/>
        </w:rPr>
        <w:t>)(</w:t>
      </w:r>
      <w:proofErr w:type="spellStart"/>
      <w:proofErr w:type="gramEnd"/>
      <w:r w:rsidRPr="00234D68">
        <w:rPr>
          <w:rFonts w:ascii="Arial" w:hAnsi="Arial" w:cs="Arial"/>
          <w:color w:val="FF0000"/>
          <w:sz w:val="20"/>
          <w:szCs w:val="20"/>
          <w:lang w:eastAsia="zh-TW"/>
        </w:rPr>
        <w:t>i</w:t>
      </w:r>
      <w:proofErr w:type="spellEnd"/>
      <w:r w:rsidRPr="00234D68">
        <w:rPr>
          <w:rFonts w:ascii="Arial" w:hAnsi="Arial" w:cs="Arial"/>
          <w:color w:val="FF0000"/>
          <w:sz w:val="20"/>
          <w:szCs w:val="20"/>
          <w:lang w:eastAsia="zh-TW"/>
        </w:rPr>
        <w:t xml:space="preserve">)(4) of the ESG Code </w:t>
      </w:r>
      <w:r w:rsidRPr="00132FB7">
        <w:rPr>
          <w:rFonts w:ascii="Arial" w:hAnsi="Arial" w:cs="Arial"/>
          <w:sz w:val="20"/>
          <w:szCs w:val="20"/>
          <w:lang w:eastAsia="zh-TW"/>
        </w:rPr>
        <w:t xml:space="preserve">–  disclosure of </w:t>
      </w:r>
      <w:r w:rsidRPr="00132FB7">
        <w:rPr>
          <w:rFonts w:ascii="Arial" w:hAnsi="Arial" w:cs="Arial"/>
          <w:sz w:val="20"/>
          <w:szCs w:val="20"/>
        </w:rPr>
        <w:t>whether a climate-related scenario aligned with the latest international agreement on climate change was used</w:t>
      </w:r>
      <w:r w:rsidR="00DC77D8">
        <w:rPr>
          <w:rFonts w:ascii="Arial" w:hAnsi="Arial" w:cs="Arial"/>
          <w:sz w:val="20"/>
          <w:szCs w:val="20"/>
        </w:rPr>
        <w:t>.</w:t>
      </w:r>
      <w:r w:rsidRPr="00132FB7">
        <w:rPr>
          <w:rFonts w:ascii="Arial" w:hAnsi="Arial" w:cs="Arial"/>
          <w:sz w:val="20"/>
          <w:szCs w:val="20"/>
        </w:rPr>
        <w:t xml:space="preserve"> </w:t>
      </w:r>
    </w:p>
    <w:p w14:paraId="5DCFAD15" w14:textId="77777777" w:rsidR="00234D68" w:rsidRPr="00132FB7" w:rsidRDefault="00234D68" w:rsidP="00234D68">
      <w:pPr>
        <w:pStyle w:val="ListParagraph"/>
        <w:spacing w:after="0"/>
        <w:jc w:val="both"/>
        <w:rPr>
          <w:rFonts w:ascii="Arial" w:hAnsi="Arial" w:cs="Arial"/>
          <w:sz w:val="20"/>
          <w:szCs w:val="20"/>
          <w:lang w:eastAsia="zh-TW"/>
        </w:rPr>
      </w:pPr>
    </w:p>
    <w:p w14:paraId="032FEDE7" w14:textId="77777777" w:rsidR="00D0055D" w:rsidRDefault="00E70254" w:rsidP="0028091A">
      <w:pPr>
        <w:pStyle w:val="ListParagraph"/>
        <w:numPr>
          <w:ilvl w:val="0"/>
          <w:numId w:val="7"/>
        </w:numPr>
        <w:spacing w:after="0"/>
        <w:jc w:val="both"/>
        <w:rPr>
          <w:rFonts w:ascii="Arial" w:hAnsi="Arial" w:cs="Arial"/>
          <w:sz w:val="20"/>
          <w:szCs w:val="20"/>
          <w:lang w:eastAsia="zh-TW"/>
        </w:rPr>
      </w:pPr>
      <w:r w:rsidRPr="00234D68">
        <w:rPr>
          <w:rFonts w:ascii="Arial" w:hAnsi="Arial" w:cs="Arial"/>
          <w:color w:val="FF0000"/>
          <w:sz w:val="20"/>
          <w:szCs w:val="20"/>
          <w:lang w:eastAsia="zh-TW"/>
        </w:rPr>
        <w:t xml:space="preserve">Paragraph 26(b)(iii) of the ESG Code </w:t>
      </w:r>
      <w:r w:rsidRPr="00132FB7">
        <w:rPr>
          <w:rFonts w:ascii="Arial" w:hAnsi="Arial" w:cs="Arial"/>
          <w:sz w:val="20"/>
          <w:szCs w:val="20"/>
          <w:lang w:eastAsia="zh-TW"/>
        </w:rPr>
        <w:t>– disclosure</w:t>
      </w:r>
      <w:r w:rsidR="00DC77D8">
        <w:rPr>
          <w:rFonts w:ascii="Arial" w:hAnsi="Arial" w:cs="Arial"/>
          <w:sz w:val="20"/>
          <w:szCs w:val="20"/>
          <w:lang w:eastAsia="zh-TW"/>
        </w:rPr>
        <w:t xml:space="preserve"> of</w:t>
      </w:r>
      <w:r w:rsidRPr="00132FB7">
        <w:rPr>
          <w:rFonts w:ascii="Arial" w:hAnsi="Arial" w:cs="Arial"/>
          <w:sz w:val="20"/>
          <w:szCs w:val="20"/>
          <w:lang w:eastAsia="zh-TW"/>
        </w:rPr>
        <w:t xml:space="preserve"> the reporting period in which the climate-related scenario analysis is carried out</w:t>
      </w:r>
      <w:r w:rsidR="00DC77D8">
        <w:rPr>
          <w:rFonts w:ascii="Arial" w:hAnsi="Arial" w:cs="Arial"/>
          <w:sz w:val="20"/>
          <w:szCs w:val="20"/>
          <w:lang w:eastAsia="zh-TW"/>
        </w:rPr>
        <w:t>,</w:t>
      </w:r>
      <w:r w:rsidRPr="00132FB7">
        <w:rPr>
          <w:rFonts w:ascii="Arial" w:hAnsi="Arial" w:cs="Arial"/>
          <w:sz w:val="20"/>
          <w:szCs w:val="20"/>
          <w:lang w:eastAsia="zh-TW"/>
        </w:rPr>
        <w:t xml:space="preserve"> as such analysis is not required every year</w:t>
      </w:r>
      <w:r w:rsidR="007579F4">
        <w:rPr>
          <w:rFonts w:ascii="Arial" w:hAnsi="Arial" w:cs="Arial"/>
          <w:sz w:val="20"/>
          <w:szCs w:val="20"/>
        </w:rPr>
        <w:t>.</w:t>
      </w:r>
    </w:p>
    <w:p w14:paraId="60C66047" w14:textId="77777777" w:rsidR="00234D68" w:rsidRPr="00234D68" w:rsidRDefault="00234D68" w:rsidP="00234D68">
      <w:pPr>
        <w:spacing w:after="0"/>
        <w:jc w:val="both"/>
        <w:rPr>
          <w:rFonts w:ascii="Arial" w:hAnsi="Arial" w:cs="Arial"/>
          <w:sz w:val="20"/>
          <w:szCs w:val="20"/>
          <w:lang w:eastAsia="zh-TW"/>
        </w:rPr>
      </w:pPr>
    </w:p>
    <w:p w14:paraId="356867D3" w14:textId="77777777" w:rsidR="00D0055D" w:rsidRPr="00132FB7" w:rsidRDefault="00E70254" w:rsidP="0028091A">
      <w:pPr>
        <w:pStyle w:val="ListParagraph"/>
        <w:numPr>
          <w:ilvl w:val="0"/>
          <w:numId w:val="7"/>
        </w:numPr>
        <w:spacing w:after="0"/>
        <w:jc w:val="both"/>
        <w:rPr>
          <w:rFonts w:ascii="Arial" w:hAnsi="Arial" w:cs="Arial"/>
          <w:sz w:val="20"/>
          <w:szCs w:val="20"/>
          <w:lang w:eastAsia="zh-TW"/>
        </w:rPr>
      </w:pPr>
      <w:r w:rsidRPr="00234D68">
        <w:rPr>
          <w:rFonts w:ascii="Arial" w:hAnsi="Arial" w:cs="Arial"/>
          <w:color w:val="FF0000"/>
          <w:sz w:val="20"/>
          <w:szCs w:val="20"/>
          <w:lang w:eastAsia="zh-TW"/>
        </w:rPr>
        <w:t>Paragraph 26(b)(</w:t>
      </w:r>
      <w:proofErr w:type="spellStart"/>
      <w:r w:rsidRPr="00234D68">
        <w:rPr>
          <w:rFonts w:ascii="Arial" w:hAnsi="Arial" w:cs="Arial"/>
          <w:color w:val="FF0000"/>
          <w:sz w:val="20"/>
          <w:szCs w:val="20"/>
          <w:lang w:eastAsia="zh-TW"/>
        </w:rPr>
        <w:t>i</w:t>
      </w:r>
      <w:proofErr w:type="spellEnd"/>
      <w:r w:rsidRPr="00234D68">
        <w:rPr>
          <w:rFonts w:ascii="Arial" w:hAnsi="Arial" w:cs="Arial"/>
          <w:color w:val="FF0000"/>
          <w:sz w:val="20"/>
          <w:szCs w:val="20"/>
          <w:lang w:eastAsia="zh-TW"/>
        </w:rPr>
        <w:t xml:space="preserve">)(7) of the ESG Code </w:t>
      </w:r>
      <w:r w:rsidRPr="00132FB7">
        <w:rPr>
          <w:rFonts w:ascii="Arial" w:hAnsi="Arial" w:cs="Arial"/>
          <w:sz w:val="20"/>
          <w:szCs w:val="20"/>
          <w:lang w:eastAsia="zh-TW"/>
        </w:rPr>
        <w:t xml:space="preserve">– disclosure of the scope of operations covered by the analysis, such as the operation locations and business units covered. </w:t>
      </w:r>
    </w:p>
    <w:p w14:paraId="0163E6F1" w14:textId="77777777" w:rsidR="004C1DCF" w:rsidRPr="00132FB7" w:rsidRDefault="004C1DCF" w:rsidP="0028091A">
      <w:pPr>
        <w:spacing w:after="0"/>
        <w:jc w:val="both"/>
        <w:rPr>
          <w:rFonts w:ascii="Arial" w:hAnsi="Arial" w:cs="Arial"/>
          <w:sz w:val="20"/>
          <w:szCs w:val="20"/>
          <w:lang w:eastAsia="zh-TW"/>
        </w:rPr>
      </w:pPr>
    </w:p>
    <w:p w14:paraId="709F647E" w14:textId="79F90D24" w:rsidR="00D0055D"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 xml:space="preserve">To provide further guidance on the standard for climate-related scenario analysis disclosures, the </w:t>
      </w:r>
      <w:r w:rsidR="00306A09">
        <w:rPr>
          <w:rFonts w:ascii="Arial" w:hAnsi="Arial" w:cs="Arial"/>
          <w:sz w:val="20"/>
          <w:szCs w:val="20"/>
          <w:lang w:eastAsia="zh-TW"/>
        </w:rPr>
        <w:t>Exchange</w:t>
      </w:r>
      <w:r w:rsidRPr="00132FB7">
        <w:rPr>
          <w:rFonts w:ascii="Arial" w:hAnsi="Arial" w:cs="Arial"/>
          <w:sz w:val="20"/>
          <w:szCs w:val="20"/>
          <w:lang w:eastAsia="zh-TW"/>
        </w:rPr>
        <w:t xml:space="preserve"> has included detailed information </w:t>
      </w:r>
      <w:r w:rsidR="00D90D98">
        <w:rPr>
          <w:rFonts w:ascii="Arial" w:hAnsi="Arial" w:cs="Arial"/>
          <w:sz w:val="20"/>
          <w:szCs w:val="20"/>
          <w:lang w:eastAsia="zh-TW"/>
        </w:rPr>
        <w:t xml:space="preserve">on the </w:t>
      </w:r>
      <w:r w:rsidRPr="00132FB7">
        <w:rPr>
          <w:rFonts w:ascii="Arial" w:hAnsi="Arial" w:cs="Arial"/>
          <w:sz w:val="20"/>
          <w:szCs w:val="20"/>
          <w:lang w:eastAsia="zh-TW"/>
        </w:rPr>
        <w:t xml:space="preserve">preparation workflow, </w:t>
      </w:r>
      <w:r w:rsidRPr="00132FB7">
        <w:rPr>
          <w:rFonts w:ascii="Arial" w:hAnsi="Arial" w:cs="Arial"/>
          <w:sz w:val="20"/>
          <w:szCs w:val="20"/>
        </w:rPr>
        <w:t xml:space="preserve">certain commonly used publicly available scenarios, recommendations that listed companies should select scenarios </w:t>
      </w:r>
      <w:r w:rsidR="00465670">
        <w:rPr>
          <w:rFonts w:ascii="Arial" w:hAnsi="Arial" w:cs="Arial"/>
          <w:sz w:val="20"/>
          <w:szCs w:val="20"/>
        </w:rPr>
        <w:t>with higher contrast, and ill</w:t>
      </w:r>
      <w:r w:rsidRPr="00132FB7">
        <w:rPr>
          <w:rFonts w:ascii="Arial" w:hAnsi="Arial" w:cs="Arial"/>
          <w:sz w:val="20"/>
          <w:szCs w:val="20"/>
        </w:rPr>
        <w:t>ustrative examples on how a scenario analysis should be performed</w:t>
      </w:r>
      <w:r w:rsidR="00D90D98">
        <w:rPr>
          <w:rFonts w:ascii="Arial" w:hAnsi="Arial" w:cs="Arial"/>
          <w:sz w:val="20"/>
          <w:szCs w:val="20"/>
        </w:rPr>
        <w:t xml:space="preserve"> in the Implementation Guidance</w:t>
      </w:r>
      <w:r w:rsidRPr="00132FB7">
        <w:rPr>
          <w:rFonts w:ascii="Arial" w:hAnsi="Arial" w:cs="Arial"/>
          <w:sz w:val="20"/>
          <w:szCs w:val="20"/>
        </w:rPr>
        <w:t xml:space="preserve">.  </w:t>
      </w:r>
    </w:p>
    <w:p w14:paraId="2DDF37C7" w14:textId="77777777" w:rsidR="003A0703" w:rsidRPr="00132FB7" w:rsidRDefault="003A0703" w:rsidP="0028091A">
      <w:pPr>
        <w:spacing w:after="0"/>
        <w:jc w:val="both"/>
        <w:rPr>
          <w:rFonts w:ascii="Arial" w:hAnsi="Arial" w:cs="Arial"/>
          <w:sz w:val="20"/>
          <w:szCs w:val="20"/>
          <w:lang w:eastAsia="zh-TW"/>
        </w:rPr>
      </w:pPr>
    </w:p>
    <w:p w14:paraId="676B9200" w14:textId="77777777" w:rsidR="003A0703" w:rsidRPr="00234D68" w:rsidRDefault="00E70254" w:rsidP="00234D68">
      <w:pPr>
        <w:pStyle w:val="ListParagraph"/>
        <w:numPr>
          <w:ilvl w:val="0"/>
          <w:numId w:val="11"/>
        </w:numPr>
        <w:spacing w:after="0"/>
        <w:ind w:left="284"/>
        <w:jc w:val="both"/>
        <w:rPr>
          <w:rFonts w:ascii="Arial" w:hAnsi="Arial" w:cs="Arial"/>
          <w:b/>
          <w:color w:val="FF0000"/>
          <w:sz w:val="20"/>
          <w:szCs w:val="20"/>
          <w:lang w:eastAsia="zh-TW"/>
        </w:rPr>
      </w:pPr>
      <w:r w:rsidRPr="00234D68">
        <w:rPr>
          <w:rFonts w:ascii="Arial" w:hAnsi="Arial" w:cs="Arial"/>
          <w:b/>
          <w:color w:val="FF0000"/>
          <w:sz w:val="20"/>
          <w:szCs w:val="20"/>
          <w:lang w:eastAsia="zh-TW"/>
        </w:rPr>
        <w:t xml:space="preserve">Financial effects of climate-related risks and opportunities </w:t>
      </w:r>
    </w:p>
    <w:p w14:paraId="24CCF97F" w14:textId="77777777" w:rsidR="00234D68" w:rsidRDefault="00234D68" w:rsidP="00234D68">
      <w:pPr>
        <w:spacing w:after="0"/>
        <w:ind w:left="720"/>
        <w:jc w:val="both"/>
        <w:rPr>
          <w:rFonts w:ascii="Arial" w:hAnsi="Arial" w:cs="Arial"/>
          <w:sz w:val="20"/>
          <w:szCs w:val="20"/>
          <w:lang w:eastAsia="zh-TW"/>
        </w:rPr>
      </w:pPr>
    </w:p>
    <w:p w14:paraId="668C3B66" w14:textId="77777777" w:rsidR="003A0703" w:rsidRPr="00234D68" w:rsidRDefault="00E70254" w:rsidP="0028091A">
      <w:pPr>
        <w:spacing w:after="0"/>
        <w:jc w:val="both"/>
        <w:rPr>
          <w:rFonts w:ascii="Arial" w:hAnsi="Arial" w:cs="Arial"/>
          <w:i/>
          <w:sz w:val="20"/>
          <w:szCs w:val="20"/>
          <w:lang w:eastAsia="zh-TW"/>
        </w:rPr>
      </w:pPr>
      <w:r w:rsidRPr="00234D68">
        <w:rPr>
          <w:rFonts w:ascii="Arial" w:hAnsi="Arial" w:cs="Arial"/>
          <w:i/>
          <w:sz w:val="20"/>
          <w:szCs w:val="20"/>
          <w:lang w:eastAsia="zh-TW"/>
        </w:rPr>
        <w:t xml:space="preserve">Current financial effects </w:t>
      </w:r>
    </w:p>
    <w:p w14:paraId="2CCFB616" w14:textId="77777777" w:rsidR="004C1DCF" w:rsidRPr="00132FB7" w:rsidRDefault="004C1DCF" w:rsidP="0028091A">
      <w:pPr>
        <w:spacing w:after="0"/>
        <w:jc w:val="both"/>
        <w:rPr>
          <w:rFonts w:ascii="Arial" w:hAnsi="Arial" w:cs="Arial"/>
          <w:sz w:val="20"/>
          <w:szCs w:val="20"/>
          <w:lang w:eastAsia="zh-TW"/>
        </w:rPr>
      </w:pPr>
    </w:p>
    <w:p w14:paraId="37893166" w14:textId="4CCA3DD5" w:rsidR="004C1DCF"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 xml:space="preserve">The </w:t>
      </w:r>
      <w:r w:rsidR="00306A09">
        <w:rPr>
          <w:rFonts w:ascii="Arial" w:hAnsi="Arial" w:cs="Arial"/>
          <w:sz w:val="20"/>
          <w:szCs w:val="20"/>
          <w:lang w:eastAsia="zh-TW"/>
        </w:rPr>
        <w:t>Exchange</w:t>
      </w:r>
      <w:r w:rsidRPr="00132FB7">
        <w:rPr>
          <w:rFonts w:ascii="Arial" w:hAnsi="Arial" w:cs="Arial"/>
          <w:sz w:val="20"/>
          <w:szCs w:val="20"/>
          <w:lang w:eastAsia="zh-TW"/>
        </w:rPr>
        <w:t xml:space="preserve"> will adopt the proposal to require the disclosure of </w:t>
      </w:r>
      <w:r w:rsidR="00D2328C" w:rsidRPr="00132FB7">
        <w:rPr>
          <w:rFonts w:ascii="Arial" w:hAnsi="Arial" w:cs="Arial"/>
          <w:sz w:val="20"/>
          <w:szCs w:val="20"/>
          <w:lang w:eastAsia="zh-TW"/>
        </w:rPr>
        <w:t>the current financial effects of climate-related risks and opportunities while the proposed interim disclosure requirements will be removed. To ensure that the impact of climate-related risks and opportunities on listed companies are more vividly presented to investors and stakeholders, under paragraph 24 of the ESG Code, listed companies must disclose both quantitative and qualitative</w:t>
      </w:r>
      <w:r w:rsidR="0069516A">
        <w:rPr>
          <w:rFonts w:ascii="Arial" w:hAnsi="Arial" w:cs="Arial"/>
          <w:sz w:val="20"/>
          <w:szCs w:val="20"/>
          <w:lang w:eastAsia="zh-TW"/>
        </w:rPr>
        <w:t xml:space="preserve"> </w:t>
      </w:r>
      <w:r w:rsidR="00D2328C" w:rsidRPr="00132FB7">
        <w:rPr>
          <w:rFonts w:ascii="Arial" w:hAnsi="Arial" w:cs="Arial"/>
          <w:sz w:val="20"/>
          <w:szCs w:val="20"/>
          <w:lang w:eastAsia="zh-TW"/>
        </w:rPr>
        <w:t>(expressed in a single amou</w:t>
      </w:r>
      <w:r w:rsidR="0069516A">
        <w:rPr>
          <w:rFonts w:ascii="Arial" w:hAnsi="Arial" w:cs="Arial"/>
          <w:sz w:val="20"/>
          <w:szCs w:val="20"/>
          <w:lang w:eastAsia="zh-TW"/>
        </w:rPr>
        <w:t>nt or range) financial effects.</w:t>
      </w:r>
      <w:r w:rsidR="00E3437A" w:rsidRPr="00132FB7">
        <w:rPr>
          <w:rFonts w:ascii="Arial" w:hAnsi="Arial" w:cs="Arial"/>
          <w:sz w:val="20"/>
          <w:szCs w:val="20"/>
          <w:lang w:eastAsia="zh-TW"/>
        </w:rPr>
        <w:t xml:space="preserve"> Financial Effects Relief will also be available to listed companies who meet certain conditions, such as when the financial effects are not separately identifiable and the uncertainties in compiling such disclosure</w:t>
      </w:r>
      <w:r w:rsidR="00181C88">
        <w:rPr>
          <w:rFonts w:ascii="Arial" w:hAnsi="Arial" w:cs="Arial"/>
          <w:sz w:val="20"/>
          <w:szCs w:val="20"/>
          <w:lang w:eastAsia="zh-TW"/>
        </w:rPr>
        <w:t>s</w:t>
      </w:r>
      <w:r w:rsidR="00E3437A" w:rsidRPr="00132FB7">
        <w:rPr>
          <w:rFonts w:ascii="Arial" w:hAnsi="Arial" w:cs="Arial"/>
          <w:sz w:val="20"/>
          <w:szCs w:val="20"/>
          <w:lang w:eastAsia="zh-TW"/>
        </w:rPr>
        <w:t xml:space="preserve"> are so high that the information disclosed would not be useful</w:t>
      </w:r>
      <w:r w:rsidR="0069516A">
        <w:rPr>
          <w:rFonts w:ascii="Arial" w:hAnsi="Arial" w:cs="Arial"/>
          <w:sz w:val="20"/>
          <w:szCs w:val="20"/>
          <w:lang w:eastAsia="zh-TW"/>
        </w:rPr>
        <w:t>.</w:t>
      </w:r>
      <w:r w:rsidRPr="00132FB7">
        <w:rPr>
          <w:rStyle w:val="FootnoteReference"/>
          <w:rFonts w:ascii="Arial" w:hAnsi="Arial" w:cs="Arial"/>
          <w:sz w:val="20"/>
          <w:szCs w:val="20"/>
          <w:lang w:eastAsia="zh-TW"/>
        </w:rPr>
        <w:footnoteReference w:id="5"/>
      </w:r>
      <w:r w:rsidR="00E3437A" w:rsidRPr="00132FB7">
        <w:rPr>
          <w:rFonts w:ascii="Arial" w:hAnsi="Arial" w:cs="Arial"/>
          <w:sz w:val="20"/>
          <w:szCs w:val="20"/>
          <w:lang w:eastAsia="zh-TW"/>
        </w:rPr>
        <w:t xml:space="preserve"> </w:t>
      </w:r>
      <w:r w:rsidR="00897416" w:rsidRPr="00132FB7">
        <w:rPr>
          <w:rFonts w:ascii="Arial" w:hAnsi="Arial" w:cs="Arial"/>
          <w:sz w:val="20"/>
          <w:szCs w:val="20"/>
          <w:lang w:eastAsia="zh-TW"/>
        </w:rPr>
        <w:t>If such relief is adopted, adequate explanations, qualitative information about the relevant financial effect</w:t>
      </w:r>
      <w:r w:rsidR="00181C88">
        <w:rPr>
          <w:rFonts w:ascii="Arial" w:hAnsi="Arial" w:cs="Arial"/>
          <w:sz w:val="20"/>
          <w:szCs w:val="20"/>
          <w:lang w:eastAsia="zh-TW"/>
        </w:rPr>
        <w:t>s</w:t>
      </w:r>
      <w:r w:rsidR="00897416" w:rsidRPr="00132FB7">
        <w:rPr>
          <w:rFonts w:ascii="Arial" w:hAnsi="Arial" w:cs="Arial"/>
          <w:sz w:val="20"/>
          <w:szCs w:val="20"/>
          <w:lang w:eastAsia="zh-TW"/>
        </w:rPr>
        <w:t xml:space="preserve"> and quantitative information about the combined financial effects as a whole must be disclosed</w:t>
      </w:r>
      <w:r w:rsidR="0069516A">
        <w:rPr>
          <w:rFonts w:ascii="Arial" w:hAnsi="Arial" w:cs="Arial"/>
          <w:sz w:val="20"/>
          <w:szCs w:val="20"/>
          <w:lang w:eastAsia="zh-TW"/>
        </w:rPr>
        <w:t>.</w:t>
      </w:r>
      <w:r w:rsidRPr="00132FB7">
        <w:rPr>
          <w:rStyle w:val="FootnoteReference"/>
          <w:rFonts w:ascii="Arial" w:hAnsi="Arial" w:cs="Arial"/>
          <w:sz w:val="20"/>
          <w:szCs w:val="20"/>
          <w:lang w:eastAsia="zh-TW"/>
        </w:rPr>
        <w:footnoteReference w:id="6"/>
      </w:r>
      <w:r w:rsidR="007A1C9F" w:rsidRPr="00132FB7">
        <w:rPr>
          <w:rFonts w:ascii="Arial" w:hAnsi="Arial" w:cs="Arial"/>
          <w:sz w:val="20"/>
          <w:szCs w:val="20"/>
          <w:lang w:eastAsia="zh-TW"/>
        </w:rPr>
        <w:t xml:space="preserve"> </w:t>
      </w:r>
    </w:p>
    <w:p w14:paraId="2538F3DE" w14:textId="77777777" w:rsidR="007A1C9F" w:rsidRPr="00132FB7" w:rsidRDefault="007A1C9F" w:rsidP="0028091A">
      <w:pPr>
        <w:spacing w:after="0"/>
        <w:jc w:val="both"/>
        <w:rPr>
          <w:rFonts w:ascii="Arial" w:hAnsi="Arial" w:cs="Arial"/>
          <w:sz w:val="20"/>
          <w:szCs w:val="20"/>
          <w:lang w:eastAsia="zh-TW"/>
        </w:rPr>
      </w:pPr>
    </w:p>
    <w:p w14:paraId="14F04F03" w14:textId="77777777" w:rsidR="007A1C9F"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 xml:space="preserve">To clarify, </w:t>
      </w:r>
      <w:r w:rsidR="007579F4">
        <w:rPr>
          <w:rFonts w:ascii="Arial" w:hAnsi="Arial" w:cs="Arial"/>
          <w:sz w:val="20"/>
          <w:szCs w:val="20"/>
          <w:lang w:eastAsia="zh-TW"/>
        </w:rPr>
        <w:t>such</w:t>
      </w:r>
      <w:r w:rsidR="007579F4" w:rsidRPr="00132FB7">
        <w:rPr>
          <w:rFonts w:ascii="Arial" w:hAnsi="Arial" w:cs="Arial"/>
          <w:sz w:val="20"/>
          <w:szCs w:val="20"/>
          <w:lang w:eastAsia="zh-TW"/>
        </w:rPr>
        <w:t xml:space="preserve"> </w:t>
      </w:r>
      <w:r w:rsidRPr="00132FB7">
        <w:rPr>
          <w:rFonts w:ascii="Arial" w:hAnsi="Arial" w:cs="Arial"/>
          <w:sz w:val="20"/>
          <w:szCs w:val="20"/>
          <w:lang w:eastAsia="zh-TW"/>
        </w:rPr>
        <w:t>financial effect</w:t>
      </w:r>
      <w:r w:rsidR="007579F4">
        <w:rPr>
          <w:rFonts w:ascii="Arial" w:hAnsi="Arial" w:cs="Arial"/>
          <w:sz w:val="20"/>
          <w:szCs w:val="20"/>
          <w:lang w:eastAsia="zh-TW"/>
        </w:rPr>
        <w:t>s</w:t>
      </w:r>
      <w:r w:rsidRPr="00132FB7">
        <w:rPr>
          <w:rFonts w:ascii="Arial" w:hAnsi="Arial" w:cs="Arial"/>
          <w:sz w:val="20"/>
          <w:szCs w:val="20"/>
          <w:lang w:eastAsia="zh-TW"/>
        </w:rPr>
        <w:t xml:space="preserve"> should be disclosed in the ESG report, however where the effect of the climate-related risks or opportunities on the listed company’s financials is material, such information should also be addressed in the financial statements prepared according to </w:t>
      </w:r>
      <w:r w:rsidR="0069516A">
        <w:rPr>
          <w:rFonts w:ascii="Arial" w:hAnsi="Arial" w:cs="Arial"/>
          <w:sz w:val="20"/>
          <w:szCs w:val="20"/>
          <w:lang w:eastAsia="zh-TW"/>
        </w:rPr>
        <w:t>applicable accounting standards,</w:t>
      </w:r>
      <w:r w:rsidRPr="00132FB7">
        <w:rPr>
          <w:rStyle w:val="FootnoteReference"/>
          <w:rFonts w:ascii="Arial" w:hAnsi="Arial" w:cs="Arial"/>
          <w:sz w:val="20"/>
          <w:szCs w:val="20"/>
          <w:lang w:eastAsia="zh-TW"/>
        </w:rPr>
        <w:footnoteReference w:id="7"/>
      </w:r>
      <w:r w:rsidRPr="00132FB7">
        <w:rPr>
          <w:rFonts w:ascii="Arial" w:hAnsi="Arial" w:cs="Arial"/>
          <w:sz w:val="20"/>
          <w:szCs w:val="20"/>
          <w:lang w:eastAsia="zh-TW"/>
        </w:rPr>
        <w:t xml:space="preserve"> as well as in the management commentary sections of annual reports </w:t>
      </w:r>
      <w:r w:rsidR="0069516A">
        <w:rPr>
          <w:rFonts w:ascii="Arial" w:hAnsi="Arial" w:cs="Arial"/>
          <w:sz w:val="20"/>
          <w:szCs w:val="20"/>
          <w:lang w:eastAsia="zh-TW"/>
        </w:rPr>
        <w:t xml:space="preserve">and </w:t>
      </w:r>
      <w:r w:rsidRPr="00132FB7">
        <w:rPr>
          <w:rFonts w:ascii="Arial" w:hAnsi="Arial" w:cs="Arial"/>
          <w:sz w:val="20"/>
          <w:szCs w:val="20"/>
          <w:lang w:eastAsia="zh-TW"/>
        </w:rPr>
        <w:t xml:space="preserve">ESG reports. </w:t>
      </w:r>
    </w:p>
    <w:p w14:paraId="6213E4E1" w14:textId="77777777" w:rsidR="003A0703"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ab/>
        <w:t xml:space="preserve"> </w:t>
      </w:r>
    </w:p>
    <w:p w14:paraId="30406DD2" w14:textId="77777777" w:rsidR="003A0703" w:rsidRPr="00234D68" w:rsidRDefault="00E70254" w:rsidP="0028091A">
      <w:pPr>
        <w:spacing w:after="0"/>
        <w:jc w:val="both"/>
        <w:rPr>
          <w:rFonts w:ascii="Arial" w:hAnsi="Arial" w:cs="Arial"/>
          <w:i/>
          <w:sz w:val="20"/>
          <w:szCs w:val="20"/>
          <w:lang w:eastAsia="zh-TW"/>
        </w:rPr>
      </w:pPr>
      <w:r w:rsidRPr="00234D68">
        <w:rPr>
          <w:rFonts w:ascii="Arial" w:hAnsi="Arial" w:cs="Arial"/>
          <w:i/>
          <w:sz w:val="20"/>
          <w:szCs w:val="20"/>
          <w:lang w:eastAsia="zh-TW"/>
        </w:rPr>
        <w:t xml:space="preserve">Anticipated financial effects </w:t>
      </w:r>
    </w:p>
    <w:p w14:paraId="32C1E236" w14:textId="77777777" w:rsidR="00BD7FFE"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ab/>
      </w:r>
    </w:p>
    <w:p w14:paraId="5310120D" w14:textId="4541E821" w:rsidR="00BD7FFE"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 xml:space="preserve">In addition to the original proposal to require qualitative disclosure </w:t>
      </w:r>
      <w:r w:rsidR="00181C88">
        <w:rPr>
          <w:rFonts w:ascii="Arial" w:hAnsi="Arial" w:cs="Arial"/>
          <w:sz w:val="20"/>
          <w:szCs w:val="20"/>
          <w:lang w:eastAsia="zh-TW"/>
        </w:rPr>
        <w:t>of</w:t>
      </w:r>
      <w:r w:rsidRPr="00132FB7">
        <w:rPr>
          <w:rFonts w:ascii="Arial" w:hAnsi="Arial" w:cs="Arial"/>
          <w:sz w:val="20"/>
          <w:szCs w:val="20"/>
          <w:lang w:eastAsia="zh-TW"/>
        </w:rPr>
        <w:t xml:space="preserve"> anticipated financial effects, quantitative disclosure (expressed as a single amount or range) will be required. To address concerns that there may be great uncertainties, challenges and potential commercial sensitivities in disclosing anticipated financial effects, the Reasonable Information Relief, the Capabilities Relief, and the Financial Effects Relief are available for the disclosure of anticipated financial effects</w:t>
      </w:r>
      <w:r w:rsidR="0069516A">
        <w:rPr>
          <w:rFonts w:ascii="Arial" w:hAnsi="Arial" w:cs="Arial"/>
          <w:sz w:val="20"/>
          <w:szCs w:val="20"/>
          <w:lang w:eastAsia="zh-TW"/>
        </w:rPr>
        <w:t>.</w:t>
      </w:r>
      <w:r w:rsidRPr="00132FB7">
        <w:rPr>
          <w:rStyle w:val="FootnoteReference"/>
          <w:rFonts w:ascii="Arial" w:hAnsi="Arial" w:cs="Arial"/>
          <w:sz w:val="20"/>
          <w:szCs w:val="20"/>
          <w:lang w:eastAsia="zh-TW"/>
        </w:rPr>
        <w:footnoteReference w:id="8"/>
      </w:r>
      <w:r w:rsidRPr="00132FB7">
        <w:rPr>
          <w:rFonts w:ascii="Arial" w:hAnsi="Arial" w:cs="Arial"/>
          <w:sz w:val="20"/>
          <w:szCs w:val="20"/>
          <w:lang w:eastAsia="zh-TW"/>
        </w:rPr>
        <w:t xml:space="preserve"> </w:t>
      </w:r>
      <w:r w:rsidR="0068602F" w:rsidRPr="00132FB7">
        <w:rPr>
          <w:rFonts w:ascii="Arial" w:hAnsi="Arial" w:cs="Arial"/>
          <w:sz w:val="20"/>
          <w:szCs w:val="20"/>
          <w:lang w:eastAsia="zh-TW"/>
        </w:rPr>
        <w:t xml:space="preserve">The </w:t>
      </w:r>
      <w:r w:rsidR="00306A09">
        <w:rPr>
          <w:rFonts w:ascii="Arial" w:hAnsi="Arial" w:cs="Arial"/>
          <w:sz w:val="20"/>
          <w:szCs w:val="20"/>
          <w:lang w:eastAsia="zh-TW"/>
        </w:rPr>
        <w:t>Exchange</w:t>
      </w:r>
      <w:r w:rsidR="00181C88">
        <w:rPr>
          <w:rFonts w:ascii="Arial" w:hAnsi="Arial" w:cs="Arial"/>
          <w:sz w:val="20"/>
          <w:szCs w:val="20"/>
          <w:lang w:eastAsia="zh-TW"/>
        </w:rPr>
        <w:t xml:space="preserve"> also clarifies</w:t>
      </w:r>
      <w:r w:rsidR="0068602F" w:rsidRPr="00132FB7">
        <w:rPr>
          <w:rFonts w:ascii="Arial" w:hAnsi="Arial" w:cs="Arial"/>
          <w:sz w:val="20"/>
          <w:szCs w:val="20"/>
          <w:lang w:eastAsia="zh-TW"/>
        </w:rPr>
        <w:t xml:space="preserve"> that a listed company is excused from providing quantitative information if it does not possess sufficient skills, capabilities and resources to provide such information. </w:t>
      </w:r>
      <w:r w:rsidR="002B0E50" w:rsidRPr="00132FB7">
        <w:rPr>
          <w:rFonts w:ascii="Arial" w:hAnsi="Arial" w:cs="Arial"/>
          <w:sz w:val="20"/>
          <w:szCs w:val="20"/>
          <w:lang w:eastAsia="zh-TW"/>
        </w:rPr>
        <w:t xml:space="preserve">The </w:t>
      </w:r>
      <w:r w:rsidR="00306A09">
        <w:rPr>
          <w:rFonts w:ascii="Arial" w:hAnsi="Arial" w:cs="Arial"/>
          <w:sz w:val="20"/>
          <w:szCs w:val="20"/>
          <w:lang w:eastAsia="zh-TW"/>
        </w:rPr>
        <w:t>Exchange</w:t>
      </w:r>
      <w:r w:rsidR="00181C88">
        <w:rPr>
          <w:rFonts w:ascii="Arial" w:hAnsi="Arial" w:cs="Arial"/>
          <w:sz w:val="20"/>
          <w:szCs w:val="20"/>
          <w:lang w:eastAsia="zh-TW"/>
        </w:rPr>
        <w:t xml:space="preserve"> notes</w:t>
      </w:r>
      <w:r w:rsidR="002B0E50" w:rsidRPr="00132FB7">
        <w:rPr>
          <w:rFonts w:ascii="Arial" w:hAnsi="Arial" w:cs="Arial"/>
          <w:sz w:val="20"/>
          <w:szCs w:val="20"/>
          <w:lang w:eastAsia="zh-TW"/>
        </w:rPr>
        <w:t xml:space="preserve"> that since most listed companies will be reporting on a “comply or explain” basis during the first phase</w:t>
      </w:r>
      <w:r w:rsidR="0069516A">
        <w:rPr>
          <w:rFonts w:ascii="Arial" w:hAnsi="Arial" w:cs="Arial"/>
          <w:sz w:val="20"/>
          <w:szCs w:val="20"/>
          <w:lang w:eastAsia="zh-TW"/>
        </w:rPr>
        <w:t>, the above</w:t>
      </w:r>
      <w:r w:rsidR="002B0E50" w:rsidRPr="00132FB7">
        <w:rPr>
          <w:rFonts w:ascii="Arial" w:hAnsi="Arial" w:cs="Arial"/>
          <w:sz w:val="20"/>
          <w:szCs w:val="20"/>
          <w:lang w:eastAsia="zh-TW"/>
        </w:rPr>
        <w:t xml:space="preserve"> requirements would not place unnecessary burdens on less-resourced listed companies. </w:t>
      </w:r>
    </w:p>
    <w:p w14:paraId="2A914DCC" w14:textId="77777777" w:rsidR="00E349A7" w:rsidRPr="00132FB7" w:rsidRDefault="00E349A7" w:rsidP="0028091A">
      <w:pPr>
        <w:spacing w:after="0"/>
        <w:jc w:val="both"/>
        <w:rPr>
          <w:rFonts w:ascii="Arial" w:hAnsi="Arial" w:cs="Arial"/>
          <w:sz w:val="20"/>
          <w:szCs w:val="20"/>
          <w:lang w:eastAsia="zh-TW"/>
        </w:rPr>
      </w:pPr>
    </w:p>
    <w:p w14:paraId="2362531E" w14:textId="77777777" w:rsidR="003A0703" w:rsidRPr="00234D68" w:rsidRDefault="00E70254" w:rsidP="0028091A">
      <w:pPr>
        <w:spacing w:after="0"/>
        <w:jc w:val="both"/>
        <w:rPr>
          <w:rFonts w:ascii="Arial" w:hAnsi="Arial" w:cs="Arial"/>
          <w:b/>
          <w:sz w:val="20"/>
          <w:szCs w:val="20"/>
          <w:u w:val="single"/>
          <w:lang w:eastAsia="zh-TW"/>
        </w:rPr>
      </w:pPr>
      <w:r w:rsidRPr="00234D68">
        <w:rPr>
          <w:rFonts w:ascii="Arial" w:hAnsi="Arial" w:cs="Arial"/>
          <w:b/>
          <w:sz w:val="20"/>
          <w:szCs w:val="20"/>
          <w:u w:val="single"/>
          <w:lang w:eastAsia="zh-TW"/>
        </w:rPr>
        <w:t xml:space="preserve">Risk management </w:t>
      </w:r>
    </w:p>
    <w:p w14:paraId="0E1B6EBB" w14:textId="77777777" w:rsidR="00234D68" w:rsidRDefault="00234D68" w:rsidP="0028091A">
      <w:pPr>
        <w:spacing w:after="0"/>
        <w:jc w:val="both"/>
        <w:rPr>
          <w:rFonts w:ascii="Arial" w:hAnsi="Arial" w:cs="Arial"/>
          <w:sz w:val="20"/>
          <w:szCs w:val="20"/>
          <w:lang w:eastAsia="zh-TW"/>
        </w:rPr>
      </w:pPr>
    </w:p>
    <w:p w14:paraId="4D73C4B0" w14:textId="77777777" w:rsidR="003A0703" w:rsidRPr="00234D68" w:rsidRDefault="00E70254" w:rsidP="00234D68">
      <w:pPr>
        <w:pStyle w:val="ListParagraph"/>
        <w:numPr>
          <w:ilvl w:val="0"/>
          <w:numId w:val="11"/>
        </w:numPr>
        <w:spacing w:after="0"/>
        <w:ind w:left="284"/>
        <w:jc w:val="both"/>
        <w:rPr>
          <w:rFonts w:ascii="Arial" w:hAnsi="Arial" w:cs="Arial"/>
          <w:b/>
          <w:color w:val="FF0000"/>
          <w:sz w:val="20"/>
          <w:szCs w:val="20"/>
          <w:lang w:eastAsia="zh-TW"/>
        </w:rPr>
      </w:pPr>
      <w:r w:rsidRPr="00234D68">
        <w:rPr>
          <w:rFonts w:ascii="Arial" w:hAnsi="Arial" w:cs="Arial"/>
          <w:b/>
          <w:color w:val="FF0000"/>
          <w:sz w:val="20"/>
          <w:szCs w:val="20"/>
          <w:lang w:eastAsia="zh-TW"/>
        </w:rPr>
        <w:t xml:space="preserve">The risk management process for climate-related risks </w:t>
      </w:r>
      <w:r w:rsidR="00E6546C" w:rsidRPr="00234D68">
        <w:rPr>
          <w:rFonts w:ascii="Arial" w:hAnsi="Arial" w:cs="Arial"/>
          <w:b/>
          <w:color w:val="FF0000"/>
          <w:sz w:val="20"/>
          <w:szCs w:val="20"/>
          <w:lang w:eastAsia="zh-TW"/>
        </w:rPr>
        <w:t xml:space="preserve">and opportunities </w:t>
      </w:r>
    </w:p>
    <w:p w14:paraId="6D4D7C16" w14:textId="77777777" w:rsidR="00E349A7" w:rsidRPr="00132FB7" w:rsidRDefault="00E349A7" w:rsidP="0028091A">
      <w:pPr>
        <w:spacing w:after="0"/>
        <w:jc w:val="both"/>
        <w:rPr>
          <w:rFonts w:ascii="Arial" w:hAnsi="Arial" w:cs="Arial"/>
          <w:sz w:val="20"/>
          <w:szCs w:val="20"/>
          <w:lang w:eastAsia="zh-TW"/>
        </w:rPr>
      </w:pPr>
    </w:p>
    <w:p w14:paraId="509E4443" w14:textId="7C6FBB11" w:rsidR="002B0E50"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Concerning climate-related risks, listed companies should disclose in detail the risk management process including measures taken to identify, assess and manage climate-related risks. In particular, paragraph 27 of the ESG Code sets out the list of information that should be disclosed, which include</w:t>
      </w:r>
      <w:r w:rsidR="0069516A">
        <w:rPr>
          <w:rFonts w:ascii="Arial" w:hAnsi="Arial" w:cs="Arial"/>
          <w:sz w:val="20"/>
          <w:szCs w:val="20"/>
          <w:lang w:eastAsia="zh-TW"/>
        </w:rPr>
        <w:t>s</w:t>
      </w:r>
      <w:r w:rsidRPr="00132FB7">
        <w:rPr>
          <w:rFonts w:ascii="Arial" w:hAnsi="Arial" w:cs="Arial"/>
          <w:sz w:val="20"/>
          <w:szCs w:val="20"/>
          <w:lang w:eastAsia="zh-TW"/>
        </w:rPr>
        <w:t xml:space="preserve"> (</w:t>
      </w:r>
      <w:proofErr w:type="spellStart"/>
      <w:r w:rsidRPr="00132FB7">
        <w:rPr>
          <w:rFonts w:ascii="Arial" w:hAnsi="Arial" w:cs="Arial"/>
          <w:sz w:val="20"/>
          <w:szCs w:val="20"/>
          <w:lang w:eastAsia="zh-TW"/>
        </w:rPr>
        <w:t>i</w:t>
      </w:r>
      <w:proofErr w:type="spellEnd"/>
      <w:r w:rsidRPr="00132FB7">
        <w:rPr>
          <w:rFonts w:ascii="Arial" w:hAnsi="Arial" w:cs="Arial"/>
          <w:sz w:val="20"/>
          <w:szCs w:val="20"/>
          <w:lang w:eastAsia="zh-TW"/>
        </w:rPr>
        <w:t>) the inputs and parameters used</w:t>
      </w:r>
      <w:r w:rsidR="00FE685D">
        <w:rPr>
          <w:rFonts w:ascii="Arial" w:hAnsi="Arial" w:cs="Arial"/>
          <w:sz w:val="20"/>
          <w:szCs w:val="20"/>
          <w:lang w:eastAsia="zh-TW"/>
        </w:rPr>
        <w:t>;</w:t>
      </w:r>
      <w:r w:rsidRPr="00132FB7">
        <w:rPr>
          <w:rFonts w:ascii="Arial" w:hAnsi="Arial" w:cs="Arial"/>
          <w:sz w:val="20"/>
          <w:szCs w:val="20"/>
          <w:lang w:eastAsia="zh-TW"/>
        </w:rPr>
        <w:t xml:space="preserve"> (ii) whether and how climate-related scen</w:t>
      </w:r>
      <w:r w:rsidR="0069516A">
        <w:rPr>
          <w:rFonts w:ascii="Arial" w:hAnsi="Arial" w:cs="Arial"/>
          <w:sz w:val="20"/>
          <w:szCs w:val="20"/>
          <w:lang w:eastAsia="zh-TW"/>
        </w:rPr>
        <w:t>ario analysis is utilised in the</w:t>
      </w:r>
      <w:r w:rsidRPr="00132FB7">
        <w:rPr>
          <w:rFonts w:ascii="Arial" w:hAnsi="Arial" w:cs="Arial"/>
          <w:sz w:val="20"/>
          <w:szCs w:val="20"/>
          <w:lang w:eastAsia="zh-TW"/>
        </w:rPr>
        <w:t xml:space="preserve"> risk identification stage</w:t>
      </w:r>
      <w:r w:rsidR="00FE685D">
        <w:rPr>
          <w:rFonts w:ascii="Arial" w:hAnsi="Arial" w:cs="Arial"/>
          <w:sz w:val="20"/>
          <w:szCs w:val="20"/>
          <w:lang w:eastAsia="zh-TW"/>
        </w:rPr>
        <w:t>;</w:t>
      </w:r>
      <w:r w:rsidRPr="00132FB7">
        <w:rPr>
          <w:rFonts w:ascii="Arial" w:hAnsi="Arial" w:cs="Arial"/>
          <w:sz w:val="20"/>
          <w:szCs w:val="20"/>
          <w:lang w:eastAsia="zh-TW"/>
        </w:rPr>
        <w:t xml:space="preserve"> (iii) how the nature, likelihood and magnitude of the effects of those risks are assessed</w:t>
      </w:r>
      <w:r w:rsidR="00FE685D">
        <w:rPr>
          <w:rFonts w:ascii="Arial" w:hAnsi="Arial" w:cs="Arial"/>
          <w:sz w:val="20"/>
          <w:szCs w:val="20"/>
          <w:lang w:eastAsia="zh-TW"/>
        </w:rPr>
        <w:t>;</w:t>
      </w:r>
      <w:r w:rsidRPr="00132FB7">
        <w:rPr>
          <w:rFonts w:ascii="Arial" w:hAnsi="Arial" w:cs="Arial"/>
          <w:sz w:val="20"/>
          <w:szCs w:val="20"/>
          <w:lang w:eastAsia="zh-TW"/>
        </w:rPr>
        <w:t xml:space="preserve"> (</w:t>
      </w:r>
      <w:r w:rsidR="0069516A">
        <w:rPr>
          <w:rFonts w:ascii="Arial" w:hAnsi="Arial" w:cs="Arial"/>
          <w:sz w:val="20"/>
          <w:szCs w:val="20"/>
          <w:lang w:eastAsia="zh-TW"/>
        </w:rPr>
        <w:t>i</w:t>
      </w:r>
      <w:r w:rsidRPr="00132FB7">
        <w:rPr>
          <w:rFonts w:ascii="Arial" w:hAnsi="Arial" w:cs="Arial"/>
          <w:sz w:val="20"/>
          <w:szCs w:val="20"/>
          <w:lang w:eastAsia="zh-TW"/>
        </w:rPr>
        <w:t>v) how climate-rela</w:t>
      </w:r>
      <w:r w:rsidR="0069516A">
        <w:rPr>
          <w:rFonts w:ascii="Arial" w:hAnsi="Arial" w:cs="Arial"/>
          <w:sz w:val="20"/>
          <w:szCs w:val="20"/>
          <w:lang w:eastAsia="zh-TW"/>
        </w:rPr>
        <w:t>ted risks are monitored</w:t>
      </w:r>
      <w:r w:rsidR="00FE685D">
        <w:rPr>
          <w:rFonts w:ascii="Arial" w:hAnsi="Arial" w:cs="Arial"/>
          <w:sz w:val="20"/>
          <w:szCs w:val="20"/>
          <w:lang w:eastAsia="zh-TW"/>
        </w:rPr>
        <w:t>;</w:t>
      </w:r>
      <w:r w:rsidR="0069516A">
        <w:rPr>
          <w:rFonts w:ascii="Arial" w:hAnsi="Arial" w:cs="Arial"/>
          <w:sz w:val="20"/>
          <w:szCs w:val="20"/>
          <w:lang w:eastAsia="zh-TW"/>
        </w:rPr>
        <w:t xml:space="preserve"> and (v</w:t>
      </w:r>
      <w:r w:rsidRPr="00132FB7">
        <w:rPr>
          <w:rFonts w:ascii="Arial" w:hAnsi="Arial" w:cs="Arial"/>
          <w:sz w:val="20"/>
          <w:szCs w:val="20"/>
          <w:lang w:eastAsia="zh-TW"/>
        </w:rPr>
        <w:t xml:space="preserve">) whether the risk management processes </w:t>
      </w:r>
      <w:r w:rsidR="00181C88">
        <w:rPr>
          <w:rFonts w:ascii="Arial" w:hAnsi="Arial" w:cs="Arial"/>
          <w:sz w:val="20"/>
          <w:szCs w:val="20"/>
          <w:lang w:eastAsia="zh-TW"/>
        </w:rPr>
        <w:t>have</w:t>
      </w:r>
      <w:r w:rsidRPr="00132FB7">
        <w:rPr>
          <w:rFonts w:ascii="Arial" w:hAnsi="Arial" w:cs="Arial"/>
          <w:sz w:val="20"/>
          <w:szCs w:val="20"/>
          <w:lang w:eastAsia="zh-TW"/>
        </w:rPr>
        <w:t xml:space="preserve"> been changed compared with the previous reporting period. </w:t>
      </w:r>
      <w:r w:rsidR="009E4E63" w:rsidRPr="00132FB7">
        <w:rPr>
          <w:rFonts w:ascii="Arial" w:hAnsi="Arial" w:cs="Arial"/>
          <w:sz w:val="20"/>
          <w:szCs w:val="20"/>
          <w:lang w:eastAsia="zh-TW"/>
        </w:rPr>
        <w:t xml:space="preserve">Additionally, the </w:t>
      </w:r>
      <w:r w:rsidR="00306A09">
        <w:rPr>
          <w:rFonts w:ascii="Arial" w:hAnsi="Arial" w:cs="Arial"/>
          <w:sz w:val="20"/>
          <w:szCs w:val="20"/>
          <w:lang w:eastAsia="zh-TW"/>
        </w:rPr>
        <w:t>Exchange</w:t>
      </w:r>
      <w:r w:rsidR="009E4E63" w:rsidRPr="00132FB7">
        <w:rPr>
          <w:rFonts w:ascii="Arial" w:hAnsi="Arial" w:cs="Arial"/>
          <w:sz w:val="20"/>
          <w:szCs w:val="20"/>
          <w:lang w:eastAsia="zh-TW"/>
        </w:rPr>
        <w:t xml:space="preserve"> will amend the ESG Code to state that only one set of integrated</w:t>
      </w:r>
      <w:r w:rsidR="00181C88">
        <w:rPr>
          <w:rFonts w:ascii="Arial" w:hAnsi="Arial" w:cs="Arial"/>
          <w:sz w:val="20"/>
          <w:szCs w:val="20"/>
        </w:rPr>
        <w:t xml:space="preserve"> risk management disclosure</w:t>
      </w:r>
      <w:r w:rsidR="009E4E63" w:rsidRPr="00132FB7">
        <w:rPr>
          <w:rFonts w:ascii="Arial" w:hAnsi="Arial" w:cs="Arial"/>
          <w:sz w:val="20"/>
          <w:szCs w:val="20"/>
        </w:rPr>
        <w:t xml:space="preserve"> that comply with the relevant requirements under both Parts B and D of the ESG Code is required. </w:t>
      </w:r>
      <w:r w:rsidR="00181C88">
        <w:rPr>
          <w:rFonts w:ascii="Arial" w:hAnsi="Arial" w:cs="Arial"/>
          <w:sz w:val="20"/>
          <w:szCs w:val="20"/>
          <w:lang w:eastAsia="zh-TW"/>
        </w:rPr>
        <w:t>Listed c</w:t>
      </w:r>
      <w:r w:rsidR="009E4E63" w:rsidRPr="00132FB7">
        <w:rPr>
          <w:rFonts w:ascii="Arial" w:hAnsi="Arial" w:cs="Arial"/>
          <w:sz w:val="20"/>
          <w:szCs w:val="20"/>
          <w:lang w:eastAsia="zh-TW"/>
        </w:rPr>
        <w:t xml:space="preserve">ompanies can reference the Implementation Guidance for a detailed explanation </w:t>
      </w:r>
      <w:r w:rsidR="007579F4">
        <w:rPr>
          <w:rFonts w:ascii="Arial" w:hAnsi="Arial" w:cs="Arial"/>
          <w:sz w:val="20"/>
          <w:szCs w:val="20"/>
          <w:lang w:eastAsia="zh-TW"/>
        </w:rPr>
        <w:t>on</w:t>
      </w:r>
      <w:r w:rsidR="007579F4" w:rsidRPr="00132FB7">
        <w:rPr>
          <w:rFonts w:ascii="Arial" w:hAnsi="Arial" w:cs="Arial"/>
          <w:sz w:val="20"/>
          <w:szCs w:val="20"/>
          <w:lang w:eastAsia="zh-TW"/>
        </w:rPr>
        <w:t xml:space="preserve"> </w:t>
      </w:r>
      <w:r w:rsidR="009E4E63" w:rsidRPr="00132FB7">
        <w:rPr>
          <w:rFonts w:ascii="Arial" w:hAnsi="Arial" w:cs="Arial"/>
          <w:sz w:val="20"/>
          <w:szCs w:val="20"/>
          <w:lang w:eastAsia="zh-TW"/>
        </w:rPr>
        <w:t>a proper risk management process with illustrative disclosure examples.</w:t>
      </w:r>
    </w:p>
    <w:p w14:paraId="62ADAA4F" w14:textId="77777777" w:rsidR="0016187D" w:rsidRPr="00132FB7" w:rsidRDefault="0016187D" w:rsidP="0028091A">
      <w:pPr>
        <w:spacing w:after="0"/>
        <w:jc w:val="both"/>
        <w:rPr>
          <w:rFonts w:ascii="Arial" w:hAnsi="Arial" w:cs="Arial"/>
          <w:sz w:val="20"/>
          <w:szCs w:val="20"/>
          <w:lang w:eastAsia="zh-TW"/>
        </w:rPr>
      </w:pPr>
    </w:p>
    <w:p w14:paraId="3B6B8F16" w14:textId="77777777" w:rsidR="0016187D"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 xml:space="preserve">To align with the disclosure requirements of climate-related opportunities, </w:t>
      </w:r>
      <w:r w:rsidR="00E6546C" w:rsidRPr="00132FB7">
        <w:rPr>
          <w:rFonts w:ascii="Arial" w:hAnsi="Arial" w:cs="Arial"/>
          <w:sz w:val="20"/>
          <w:szCs w:val="20"/>
          <w:lang w:eastAsia="zh-TW"/>
        </w:rPr>
        <w:t xml:space="preserve">under paragraph 27(b) of the ESG Code, </w:t>
      </w:r>
      <w:r w:rsidRPr="00132FB7">
        <w:rPr>
          <w:rFonts w:ascii="Arial" w:hAnsi="Arial" w:cs="Arial"/>
          <w:sz w:val="20"/>
          <w:szCs w:val="20"/>
          <w:lang w:eastAsia="zh-TW"/>
        </w:rPr>
        <w:t>it will be mandatory for all listed companies to disclose the risk management processes mentioned above in respect of climate-related opportunities</w:t>
      </w:r>
      <w:r w:rsidR="00E6546C" w:rsidRPr="00132FB7">
        <w:rPr>
          <w:rFonts w:ascii="Arial" w:hAnsi="Arial" w:cs="Arial"/>
          <w:sz w:val="20"/>
          <w:szCs w:val="20"/>
          <w:lang w:eastAsia="zh-TW"/>
        </w:rPr>
        <w:t xml:space="preserve">. This requirement is </w:t>
      </w:r>
      <w:r w:rsidRPr="00132FB7">
        <w:rPr>
          <w:rFonts w:ascii="Arial" w:hAnsi="Arial" w:cs="Arial"/>
          <w:sz w:val="20"/>
          <w:szCs w:val="20"/>
          <w:lang w:eastAsia="zh-TW"/>
        </w:rPr>
        <w:t xml:space="preserve">subject to the “comply or explain” phase. </w:t>
      </w:r>
    </w:p>
    <w:p w14:paraId="285D1889" w14:textId="77777777" w:rsidR="00E6546C" w:rsidRPr="00132FB7" w:rsidRDefault="00E6546C" w:rsidP="0028091A">
      <w:pPr>
        <w:spacing w:after="0"/>
        <w:jc w:val="both"/>
        <w:rPr>
          <w:rFonts w:ascii="Arial" w:hAnsi="Arial" w:cs="Arial"/>
          <w:sz w:val="20"/>
          <w:szCs w:val="20"/>
          <w:lang w:eastAsia="zh-TW"/>
        </w:rPr>
      </w:pPr>
    </w:p>
    <w:p w14:paraId="1682F592" w14:textId="77777777" w:rsidR="00E6546C" w:rsidRPr="00234D68" w:rsidRDefault="00E70254" w:rsidP="0028091A">
      <w:pPr>
        <w:spacing w:after="0"/>
        <w:jc w:val="both"/>
        <w:rPr>
          <w:rFonts w:ascii="Arial" w:hAnsi="Arial" w:cs="Arial"/>
          <w:b/>
          <w:sz w:val="20"/>
          <w:szCs w:val="20"/>
          <w:u w:val="single"/>
          <w:lang w:eastAsia="zh-TW"/>
        </w:rPr>
      </w:pPr>
      <w:r w:rsidRPr="00234D68">
        <w:rPr>
          <w:rFonts w:ascii="Arial" w:hAnsi="Arial" w:cs="Arial"/>
          <w:b/>
          <w:sz w:val="20"/>
          <w:szCs w:val="20"/>
          <w:u w:val="single"/>
          <w:lang w:eastAsia="zh-TW"/>
        </w:rPr>
        <w:t xml:space="preserve">Metrics and targets </w:t>
      </w:r>
    </w:p>
    <w:p w14:paraId="3913A58D" w14:textId="77777777" w:rsidR="00234D68" w:rsidRDefault="00234D68" w:rsidP="00234D68">
      <w:pPr>
        <w:pStyle w:val="ListParagraph"/>
        <w:spacing w:after="0"/>
        <w:jc w:val="both"/>
        <w:rPr>
          <w:rFonts w:ascii="Arial" w:hAnsi="Arial" w:cs="Arial"/>
          <w:sz w:val="20"/>
          <w:szCs w:val="20"/>
          <w:lang w:eastAsia="zh-TW"/>
        </w:rPr>
      </w:pPr>
    </w:p>
    <w:p w14:paraId="41C2DEF3" w14:textId="77777777" w:rsidR="00E6546C" w:rsidRPr="00234D68" w:rsidRDefault="00E70254" w:rsidP="00234D68">
      <w:pPr>
        <w:pStyle w:val="ListParagraph"/>
        <w:numPr>
          <w:ilvl w:val="0"/>
          <w:numId w:val="11"/>
        </w:numPr>
        <w:spacing w:after="0"/>
        <w:ind w:left="284"/>
        <w:jc w:val="both"/>
        <w:rPr>
          <w:rFonts w:ascii="Arial" w:hAnsi="Arial" w:cs="Arial"/>
          <w:b/>
          <w:color w:val="FF0000"/>
          <w:sz w:val="20"/>
          <w:szCs w:val="20"/>
          <w:lang w:eastAsia="zh-TW"/>
        </w:rPr>
      </w:pPr>
      <w:r w:rsidRPr="00234D68">
        <w:rPr>
          <w:rFonts w:ascii="Arial" w:hAnsi="Arial" w:cs="Arial"/>
          <w:b/>
          <w:color w:val="FF0000"/>
          <w:sz w:val="20"/>
          <w:szCs w:val="20"/>
          <w:lang w:eastAsia="zh-TW"/>
        </w:rPr>
        <w:t xml:space="preserve">Disclosure of </w:t>
      </w:r>
      <w:r w:rsidR="00234D68">
        <w:rPr>
          <w:rFonts w:ascii="Arial" w:hAnsi="Arial" w:cs="Arial" w:hint="eastAsia"/>
          <w:b/>
          <w:color w:val="FF0000"/>
          <w:sz w:val="20"/>
          <w:szCs w:val="20"/>
        </w:rPr>
        <w:t>Greenhou</w:t>
      </w:r>
      <w:r w:rsidR="00234D68">
        <w:rPr>
          <w:rFonts w:ascii="Arial" w:hAnsi="Arial" w:cs="Arial"/>
          <w:b/>
          <w:color w:val="FF0000"/>
          <w:sz w:val="20"/>
          <w:szCs w:val="20"/>
          <w:lang w:eastAsia="zh-TW"/>
        </w:rPr>
        <w:t>se gas</w:t>
      </w:r>
      <w:r w:rsidRPr="00234D68">
        <w:rPr>
          <w:rFonts w:ascii="Arial" w:hAnsi="Arial" w:cs="Arial"/>
          <w:b/>
          <w:color w:val="FF0000"/>
          <w:sz w:val="20"/>
          <w:szCs w:val="20"/>
          <w:lang w:eastAsia="zh-TW"/>
        </w:rPr>
        <w:t xml:space="preserve"> emissions </w:t>
      </w:r>
    </w:p>
    <w:p w14:paraId="6BEFEA1D" w14:textId="77777777" w:rsidR="00E6546C" w:rsidRPr="00132FB7" w:rsidRDefault="00E6546C" w:rsidP="0028091A">
      <w:pPr>
        <w:spacing w:after="0"/>
        <w:jc w:val="both"/>
        <w:rPr>
          <w:rFonts w:ascii="Arial" w:hAnsi="Arial" w:cs="Arial"/>
          <w:sz w:val="20"/>
          <w:szCs w:val="20"/>
          <w:lang w:eastAsia="zh-TW"/>
        </w:rPr>
      </w:pPr>
    </w:p>
    <w:p w14:paraId="6DF55291" w14:textId="77777777" w:rsidR="007A0C75" w:rsidRDefault="00E70254" w:rsidP="0028091A">
      <w:pPr>
        <w:spacing w:after="0"/>
        <w:jc w:val="both"/>
        <w:rPr>
          <w:rFonts w:ascii="Arial" w:hAnsi="Arial" w:cs="Arial"/>
          <w:sz w:val="20"/>
          <w:szCs w:val="20"/>
        </w:rPr>
      </w:pPr>
      <w:r w:rsidRPr="00132FB7">
        <w:rPr>
          <w:rFonts w:ascii="Arial" w:hAnsi="Arial" w:cs="Arial"/>
          <w:sz w:val="20"/>
          <w:szCs w:val="20"/>
        </w:rPr>
        <w:t xml:space="preserve">As explained in the Implementation Guidance, greenhouse gas emissions are divided into 3 scopes: </w:t>
      </w:r>
    </w:p>
    <w:p w14:paraId="776D8493" w14:textId="77777777" w:rsidR="0069516A" w:rsidRPr="00132FB7" w:rsidRDefault="0069516A" w:rsidP="0028091A">
      <w:pPr>
        <w:spacing w:after="0"/>
        <w:jc w:val="both"/>
        <w:rPr>
          <w:rFonts w:ascii="Arial" w:hAnsi="Arial" w:cs="Arial"/>
          <w:sz w:val="20"/>
          <w:szCs w:val="20"/>
        </w:rPr>
      </w:pPr>
    </w:p>
    <w:p w14:paraId="3F83FE01" w14:textId="7B1EC864" w:rsidR="007A0C75" w:rsidRPr="0069516A" w:rsidRDefault="00234D68" w:rsidP="0028091A">
      <w:pPr>
        <w:pStyle w:val="ListParagraph"/>
        <w:numPr>
          <w:ilvl w:val="0"/>
          <w:numId w:val="8"/>
        </w:numPr>
        <w:spacing w:after="0"/>
        <w:jc w:val="both"/>
        <w:rPr>
          <w:rFonts w:ascii="Arial" w:hAnsi="Arial" w:cs="Arial"/>
          <w:sz w:val="20"/>
          <w:szCs w:val="20"/>
        </w:rPr>
      </w:pPr>
      <w:r>
        <w:rPr>
          <w:rFonts w:ascii="Arial" w:hAnsi="Arial" w:cs="Arial"/>
          <w:color w:val="FF0000"/>
          <w:sz w:val="20"/>
          <w:szCs w:val="20"/>
        </w:rPr>
        <w:t>s</w:t>
      </w:r>
      <w:r w:rsidR="00181C88">
        <w:rPr>
          <w:rFonts w:ascii="Arial" w:hAnsi="Arial" w:cs="Arial"/>
          <w:color w:val="FF0000"/>
          <w:sz w:val="20"/>
          <w:szCs w:val="20"/>
        </w:rPr>
        <w:t>cope 1 g</w:t>
      </w:r>
      <w:r w:rsidR="00E70254" w:rsidRPr="00234D68">
        <w:rPr>
          <w:rFonts w:ascii="Arial" w:hAnsi="Arial" w:cs="Arial"/>
          <w:color w:val="FF0000"/>
          <w:sz w:val="20"/>
          <w:szCs w:val="20"/>
        </w:rPr>
        <w:t xml:space="preserve">reenhouse gas emissions </w:t>
      </w:r>
      <w:r w:rsidRPr="00234D68">
        <w:rPr>
          <w:rFonts w:ascii="Arial" w:hAnsi="Arial" w:cs="Arial"/>
          <w:color w:val="FF0000"/>
          <w:sz w:val="20"/>
          <w:szCs w:val="20"/>
          <w:lang w:eastAsia="zh-TW"/>
        </w:rPr>
        <w:t xml:space="preserve"> </w:t>
      </w:r>
      <w:r w:rsidRPr="00132FB7">
        <w:rPr>
          <w:rFonts w:ascii="Arial" w:hAnsi="Arial" w:cs="Arial"/>
          <w:sz w:val="20"/>
          <w:szCs w:val="20"/>
          <w:lang w:eastAsia="zh-TW"/>
        </w:rPr>
        <w:t xml:space="preserve">–  </w:t>
      </w:r>
      <w:r w:rsidR="00E70254" w:rsidRPr="00132FB7">
        <w:rPr>
          <w:rFonts w:ascii="Arial" w:hAnsi="Arial" w:cs="Arial"/>
          <w:sz w:val="20"/>
          <w:szCs w:val="20"/>
        </w:rPr>
        <w:t xml:space="preserve">direct emissions from sources owned or controlled by the listed </w:t>
      </w:r>
      <w:proofErr w:type="spellStart"/>
      <w:r w:rsidR="00E70254" w:rsidRPr="00132FB7">
        <w:rPr>
          <w:rFonts w:ascii="Arial" w:hAnsi="Arial" w:cs="Arial"/>
          <w:sz w:val="20"/>
          <w:szCs w:val="20"/>
        </w:rPr>
        <w:t>compa</w:t>
      </w:r>
      <w:r w:rsidR="00E70254" w:rsidRPr="00132FB7">
        <w:rPr>
          <w:rFonts w:ascii="Arial" w:hAnsi="Arial" w:cs="Arial"/>
          <w:sz w:val="20"/>
          <w:szCs w:val="20"/>
          <w:lang w:val="en-HK"/>
        </w:rPr>
        <w:t>ny</w:t>
      </w:r>
      <w:proofErr w:type="spellEnd"/>
      <w:r w:rsidR="00E70254" w:rsidRPr="00132FB7">
        <w:rPr>
          <w:rFonts w:ascii="Arial" w:hAnsi="Arial" w:cs="Arial"/>
          <w:sz w:val="20"/>
          <w:szCs w:val="20"/>
          <w:lang w:val="en-HK"/>
        </w:rPr>
        <w:t xml:space="preserve">; </w:t>
      </w:r>
    </w:p>
    <w:p w14:paraId="45B436EB" w14:textId="77777777" w:rsidR="0069516A" w:rsidRPr="00132FB7" w:rsidRDefault="0069516A" w:rsidP="0069516A">
      <w:pPr>
        <w:pStyle w:val="ListParagraph"/>
        <w:spacing w:after="0"/>
        <w:jc w:val="both"/>
        <w:rPr>
          <w:rFonts w:ascii="Arial" w:hAnsi="Arial" w:cs="Arial"/>
          <w:sz w:val="20"/>
          <w:szCs w:val="20"/>
        </w:rPr>
      </w:pPr>
    </w:p>
    <w:p w14:paraId="2DABA4F2" w14:textId="77777777" w:rsidR="007A0C75" w:rsidRDefault="00234D68" w:rsidP="0028091A">
      <w:pPr>
        <w:pStyle w:val="ListParagraph"/>
        <w:numPr>
          <w:ilvl w:val="0"/>
          <w:numId w:val="8"/>
        </w:numPr>
        <w:spacing w:after="0"/>
        <w:jc w:val="both"/>
        <w:rPr>
          <w:rFonts w:ascii="Arial" w:hAnsi="Arial" w:cs="Arial"/>
          <w:sz w:val="20"/>
          <w:szCs w:val="20"/>
        </w:rPr>
      </w:pPr>
      <w:r>
        <w:rPr>
          <w:rFonts w:ascii="Arial" w:hAnsi="Arial" w:cs="Arial"/>
          <w:color w:val="FF0000"/>
          <w:sz w:val="20"/>
          <w:szCs w:val="20"/>
        </w:rPr>
        <w:t>s</w:t>
      </w:r>
      <w:r w:rsidR="00E70254" w:rsidRPr="00234D68">
        <w:rPr>
          <w:rFonts w:ascii="Arial" w:hAnsi="Arial" w:cs="Arial"/>
          <w:color w:val="FF0000"/>
          <w:sz w:val="20"/>
          <w:szCs w:val="20"/>
        </w:rPr>
        <w:t>cope 2 greenhouse gas emission</w:t>
      </w:r>
      <w:r w:rsidR="004A7D1E" w:rsidRPr="00234D68">
        <w:rPr>
          <w:rFonts w:ascii="Arial" w:hAnsi="Arial" w:cs="Arial"/>
          <w:color w:val="FF0000"/>
          <w:sz w:val="20"/>
          <w:szCs w:val="20"/>
        </w:rPr>
        <w:t>s</w:t>
      </w:r>
      <w:r w:rsidR="00E70254" w:rsidRPr="00234D68">
        <w:rPr>
          <w:rFonts w:ascii="Arial" w:hAnsi="Arial" w:cs="Arial"/>
          <w:color w:val="FF0000"/>
          <w:sz w:val="20"/>
          <w:szCs w:val="20"/>
        </w:rPr>
        <w:t xml:space="preserve"> </w:t>
      </w:r>
      <w:r w:rsidRPr="00234D68">
        <w:rPr>
          <w:rFonts w:ascii="Arial" w:hAnsi="Arial" w:cs="Arial"/>
          <w:color w:val="FF0000"/>
          <w:sz w:val="20"/>
          <w:szCs w:val="20"/>
          <w:lang w:eastAsia="zh-TW"/>
        </w:rPr>
        <w:t xml:space="preserve"> </w:t>
      </w:r>
      <w:r w:rsidRPr="00132FB7">
        <w:rPr>
          <w:rFonts w:ascii="Arial" w:hAnsi="Arial" w:cs="Arial"/>
          <w:sz w:val="20"/>
          <w:szCs w:val="20"/>
          <w:lang w:eastAsia="zh-TW"/>
        </w:rPr>
        <w:t xml:space="preserve">–  </w:t>
      </w:r>
      <w:r w:rsidR="00E70254" w:rsidRPr="00132FB7">
        <w:rPr>
          <w:rFonts w:ascii="Arial" w:hAnsi="Arial" w:cs="Arial"/>
          <w:sz w:val="20"/>
          <w:szCs w:val="20"/>
        </w:rPr>
        <w:t xml:space="preserve"> emissions resulting from the generation of purchased or acquired electricity, heating, cooling and steam consumed within the listed company; and</w:t>
      </w:r>
    </w:p>
    <w:p w14:paraId="2CE3AE02" w14:textId="77777777" w:rsidR="0069516A" w:rsidRPr="0069516A" w:rsidRDefault="0069516A" w:rsidP="0069516A">
      <w:pPr>
        <w:spacing w:after="0"/>
        <w:jc w:val="both"/>
        <w:rPr>
          <w:rFonts w:ascii="Arial" w:hAnsi="Arial" w:cs="Arial"/>
          <w:sz w:val="20"/>
          <w:szCs w:val="20"/>
        </w:rPr>
      </w:pPr>
    </w:p>
    <w:p w14:paraId="35975141" w14:textId="77777777" w:rsidR="007A0C75" w:rsidRPr="00132FB7" w:rsidRDefault="00234D68" w:rsidP="0028091A">
      <w:pPr>
        <w:pStyle w:val="ListParagraph"/>
        <w:numPr>
          <w:ilvl w:val="0"/>
          <w:numId w:val="8"/>
        </w:numPr>
        <w:spacing w:after="0"/>
        <w:jc w:val="both"/>
        <w:rPr>
          <w:rFonts w:ascii="Arial" w:hAnsi="Arial" w:cs="Arial"/>
          <w:sz w:val="20"/>
          <w:szCs w:val="20"/>
        </w:rPr>
      </w:pPr>
      <w:r>
        <w:rPr>
          <w:rFonts w:ascii="Arial" w:hAnsi="Arial" w:cs="Arial"/>
          <w:color w:val="FF0000"/>
          <w:sz w:val="20"/>
          <w:szCs w:val="20"/>
        </w:rPr>
        <w:t>s</w:t>
      </w:r>
      <w:r w:rsidR="00E70254" w:rsidRPr="00234D68">
        <w:rPr>
          <w:rFonts w:ascii="Arial" w:hAnsi="Arial" w:cs="Arial"/>
          <w:color w:val="FF0000"/>
          <w:sz w:val="20"/>
          <w:szCs w:val="20"/>
        </w:rPr>
        <w:t>cope 3 greenhouse gas emission</w:t>
      </w:r>
      <w:r w:rsidRPr="00234D68">
        <w:rPr>
          <w:rFonts w:ascii="Arial" w:hAnsi="Arial" w:cs="Arial"/>
          <w:color w:val="FF0000"/>
          <w:sz w:val="20"/>
          <w:szCs w:val="20"/>
        </w:rPr>
        <w:t>s</w:t>
      </w:r>
      <w:r w:rsidRPr="00234D68">
        <w:rPr>
          <w:rFonts w:ascii="Arial" w:hAnsi="Arial" w:cs="Arial"/>
          <w:color w:val="FF0000"/>
          <w:sz w:val="20"/>
          <w:szCs w:val="20"/>
          <w:lang w:eastAsia="zh-TW"/>
        </w:rPr>
        <w:t xml:space="preserve"> </w:t>
      </w:r>
      <w:r w:rsidRPr="00132FB7">
        <w:rPr>
          <w:rFonts w:ascii="Arial" w:hAnsi="Arial" w:cs="Arial"/>
          <w:sz w:val="20"/>
          <w:szCs w:val="20"/>
          <w:lang w:eastAsia="zh-TW"/>
        </w:rPr>
        <w:t xml:space="preserve">–  </w:t>
      </w:r>
      <w:r w:rsidR="004A7D1E" w:rsidRPr="00132FB7">
        <w:rPr>
          <w:rFonts w:ascii="Arial" w:hAnsi="Arial" w:cs="Arial"/>
          <w:sz w:val="20"/>
          <w:szCs w:val="20"/>
        </w:rPr>
        <w:t xml:space="preserve"> all other types of indirect emissions consequential to the activities of the listed company but are released from sources not owned or controlled by the listed company. </w:t>
      </w:r>
    </w:p>
    <w:p w14:paraId="0914EBE1" w14:textId="77777777" w:rsidR="004A7D1E" w:rsidRPr="00132FB7" w:rsidRDefault="004A7D1E" w:rsidP="0028091A">
      <w:pPr>
        <w:pStyle w:val="ListParagraph"/>
        <w:spacing w:after="0"/>
        <w:jc w:val="both"/>
        <w:rPr>
          <w:rFonts w:ascii="Arial" w:hAnsi="Arial" w:cs="Arial"/>
          <w:sz w:val="20"/>
          <w:szCs w:val="20"/>
        </w:rPr>
      </w:pPr>
    </w:p>
    <w:p w14:paraId="02A9D23C" w14:textId="0840BFAC" w:rsidR="00E6546C" w:rsidRPr="00132FB7" w:rsidRDefault="00E70254" w:rsidP="0028091A">
      <w:pPr>
        <w:spacing w:after="0"/>
        <w:jc w:val="both"/>
        <w:rPr>
          <w:rFonts w:ascii="Arial" w:hAnsi="Arial" w:cs="Arial"/>
          <w:sz w:val="20"/>
          <w:szCs w:val="20"/>
        </w:rPr>
      </w:pPr>
      <w:r w:rsidRPr="00132FB7">
        <w:rPr>
          <w:rFonts w:ascii="Arial" w:hAnsi="Arial" w:cs="Arial"/>
          <w:sz w:val="20"/>
          <w:szCs w:val="20"/>
        </w:rPr>
        <w:t xml:space="preserve">For scope 1 and scope 2 greenhouse gas emissions, </w:t>
      </w:r>
      <w:r w:rsidR="007A0C75" w:rsidRPr="00132FB7">
        <w:rPr>
          <w:rFonts w:ascii="Arial" w:hAnsi="Arial" w:cs="Arial"/>
          <w:sz w:val="20"/>
          <w:szCs w:val="20"/>
        </w:rPr>
        <w:t xml:space="preserve">it will be mandatory for all Main Board and GEM listed companies to disclose the </w:t>
      </w:r>
      <w:r w:rsidRPr="00132FB7">
        <w:rPr>
          <w:rFonts w:ascii="Arial" w:hAnsi="Arial" w:cs="Arial"/>
          <w:sz w:val="20"/>
          <w:szCs w:val="20"/>
        </w:rPr>
        <w:t xml:space="preserve">absolute gross </w:t>
      </w:r>
      <w:r w:rsidR="007A0C75" w:rsidRPr="00132FB7">
        <w:rPr>
          <w:rFonts w:ascii="Arial" w:hAnsi="Arial" w:cs="Arial"/>
          <w:sz w:val="20"/>
          <w:szCs w:val="20"/>
        </w:rPr>
        <w:t xml:space="preserve">greenhouse gas </w:t>
      </w:r>
      <w:r w:rsidRPr="00132FB7">
        <w:rPr>
          <w:rFonts w:ascii="Arial" w:hAnsi="Arial" w:cs="Arial"/>
          <w:sz w:val="20"/>
          <w:szCs w:val="20"/>
        </w:rPr>
        <w:t>emissions generated</w:t>
      </w:r>
      <w:r w:rsidR="007A0C75" w:rsidRPr="00132FB7">
        <w:rPr>
          <w:rFonts w:ascii="Arial" w:hAnsi="Arial" w:cs="Arial"/>
          <w:sz w:val="20"/>
          <w:szCs w:val="20"/>
        </w:rPr>
        <w:t xml:space="preserve"> </w:t>
      </w:r>
      <w:r w:rsidRPr="00132FB7">
        <w:rPr>
          <w:rFonts w:ascii="Arial" w:hAnsi="Arial" w:cs="Arial"/>
          <w:sz w:val="20"/>
          <w:szCs w:val="20"/>
        </w:rPr>
        <w:t xml:space="preserve">during </w:t>
      </w:r>
      <w:r w:rsidR="007A0C75" w:rsidRPr="00132FB7">
        <w:rPr>
          <w:rFonts w:ascii="Arial" w:hAnsi="Arial" w:cs="Arial"/>
          <w:sz w:val="20"/>
          <w:szCs w:val="20"/>
        </w:rPr>
        <w:t>each financial year commenc</w:t>
      </w:r>
      <w:r w:rsidR="0069516A">
        <w:rPr>
          <w:rFonts w:ascii="Arial" w:hAnsi="Arial" w:cs="Arial"/>
          <w:sz w:val="20"/>
          <w:szCs w:val="20"/>
        </w:rPr>
        <w:t xml:space="preserve">ing from 1 January 2025 under </w:t>
      </w:r>
      <w:r w:rsidR="007A0C75" w:rsidRPr="00132FB7">
        <w:rPr>
          <w:rFonts w:ascii="Arial" w:hAnsi="Arial" w:cs="Arial"/>
          <w:sz w:val="20"/>
          <w:szCs w:val="20"/>
        </w:rPr>
        <w:t>paragraphs</w:t>
      </w:r>
      <w:r w:rsidR="0069516A">
        <w:rPr>
          <w:rFonts w:ascii="Arial" w:hAnsi="Arial" w:cs="Arial"/>
          <w:sz w:val="20"/>
          <w:szCs w:val="20"/>
        </w:rPr>
        <w:t xml:space="preserve"> 16 and 17 of the ESG Code. These</w:t>
      </w:r>
      <w:r w:rsidR="007A0C75" w:rsidRPr="00132FB7">
        <w:rPr>
          <w:rFonts w:ascii="Arial" w:hAnsi="Arial" w:cs="Arial"/>
          <w:sz w:val="20"/>
          <w:szCs w:val="20"/>
        </w:rPr>
        <w:t xml:space="preserve"> disclosures should adhere to the Greenhouse Gas Protocol: A Corporate Accounting and Reporting Standard (2004) unless otherwise required by the </w:t>
      </w:r>
      <w:r w:rsidR="007579F4">
        <w:rPr>
          <w:rFonts w:ascii="Arial" w:hAnsi="Arial" w:cs="Arial"/>
          <w:sz w:val="20"/>
          <w:szCs w:val="20"/>
        </w:rPr>
        <w:t xml:space="preserve">relevant </w:t>
      </w:r>
      <w:r w:rsidR="007A0C75" w:rsidRPr="00132FB7">
        <w:rPr>
          <w:rFonts w:ascii="Arial" w:hAnsi="Arial" w:cs="Arial"/>
          <w:sz w:val="20"/>
          <w:szCs w:val="20"/>
        </w:rPr>
        <w:t>exchange on which the company is listed</w:t>
      </w:r>
      <w:r w:rsidR="0069516A">
        <w:rPr>
          <w:rStyle w:val="FootnoteReference"/>
          <w:vertAlign w:val="baseline"/>
        </w:rPr>
        <w:t>.</w:t>
      </w:r>
      <w:r w:rsidRPr="00132FB7">
        <w:rPr>
          <w:rStyle w:val="FootnoteReference"/>
          <w:rFonts w:ascii="Arial" w:hAnsi="Arial" w:cs="Arial"/>
          <w:sz w:val="20"/>
          <w:szCs w:val="20"/>
        </w:rPr>
        <w:footnoteReference w:id="9"/>
      </w:r>
      <w:r w:rsidR="007A0C75" w:rsidRPr="00132FB7">
        <w:rPr>
          <w:rFonts w:ascii="Arial" w:hAnsi="Arial" w:cs="Arial"/>
          <w:sz w:val="20"/>
          <w:szCs w:val="20"/>
        </w:rPr>
        <w:t xml:space="preserve"> As required under paragraph 29(b) of the ESG Code, the (</w:t>
      </w:r>
      <w:proofErr w:type="spellStart"/>
      <w:r w:rsidR="007A0C75" w:rsidRPr="00132FB7">
        <w:rPr>
          <w:rFonts w:ascii="Arial" w:hAnsi="Arial" w:cs="Arial"/>
          <w:sz w:val="20"/>
          <w:szCs w:val="20"/>
        </w:rPr>
        <w:t>i</w:t>
      </w:r>
      <w:proofErr w:type="spellEnd"/>
      <w:r w:rsidR="007A0C75" w:rsidRPr="00132FB7">
        <w:rPr>
          <w:rFonts w:ascii="Arial" w:hAnsi="Arial" w:cs="Arial"/>
          <w:sz w:val="20"/>
          <w:szCs w:val="20"/>
        </w:rPr>
        <w:t>) measurement approach; (ii) the inputs; and (iii) the assumptions used when measuring greenhouse gas emissions must be disclosed. For scope 2 greenhouse gas in particular, the location-based method</w:t>
      </w:r>
      <w:r w:rsidRPr="00132FB7">
        <w:rPr>
          <w:rStyle w:val="FootnoteReference"/>
          <w:rFonts w:ascii="Arial" w:hAnsi="Arial" w:cs="Arial"/>
          <w:sz w:val="20"/>
          <w:szCs w:val="20"/>
        </w:rPr>
        <w:footnoteReference w:id="10"/>
      </w:r>
      <w:r w:rsidR="007A0C75" w:rsidRPr="00132FB7">
        <w:rPr>
          <w:rFonts w:ascii="Arial" w:hAnsi="Arial" w:cs="Arial"/>
          <w:sz w:val="20"/>
          <w:szCs w:val="20"/>
        </w:rPr>
        <w:t xml:space="preserve"> should be used</w:t>
      </w:r>
      <w:r w:rsidR="00317371">
        <w:rPr>
          <w:rFonts w:ascii="Arial" w:hAnsi="Arial" w:cs="Arial"/>
          <w:sz w:val="20"/>
          <w:szCs w:val="20"/>
        </w:rPr>
        <w:t>,</w:t>
      </w:r>
      <w:r w:rsidR="007A0C75" w:rsidRPr="00132FB7">
        <w:rPr>
          <w:rFonts w:ascii="Arial" w:hAnsi="Arial" w:cs="Arial"/>
          <w:sz w:val="20"/>
          <w:szCs w:val="20"/>
        </w:rPr>
        <w:t xml:space="preserve"> and contractual instruments in relation to the listed company's scope 2 greenhouse gas emissions should be explained as well. </w:t>
      </w:r>
    </w:p>
    <w:p w14:paraId="47F303D0" w14:textId="77777777" w:rsidR="005D09B0" w:rsidRPr="00132FB7" w:rsidRDefault="005D09B0" w:rsidP="0028091A">
      <w:pPr>
        <w:spacing w:after="0"/>
        <w:jc w:val="both"/>
        <w:rPr>
          <w:rFonts w:ascii="Arial" w:hAnsi="Arial" w:cs="Arial"/>
          <w:sz w:val="20"/>
          <w:szCs w:val="20"/>
        </w:rPr>
      </w:pPr>
    </w:p>
    <w:p w14:paraId="50E62F5C" w14:textId="5198AF81" w:rsidR="00543C94" w:rsidRPr="00132FB7" w:rsidRDefault="00E70254" w:rsidP="0028091A">
      <w:pPr>
        <w:spacing w:after="0"/>
        <w:jc w:val="both"/>
        <w:rPr>
          <w:rFonts w:ascii="Arial" w:hAnsi="Arial" w:cs="Arial"/>
          <w:sz w:val="20"/>
          <w:szCs w:val="20"/>
        </w:rPr>
      </w:pPr>
      <w:r w:rsidRPr="00132FB7">
        <w:rPr>
          <w:rFonts w:ascii="Arial" w:hAnsi="Arial" w:cs="Arial"/>
          <w:sz w:val="20"/>
          <w:szCs w:val="20"/>
        </w:rPr>
        <w:t>Detailed disclosure on the absolute gross emission figures of scope 3 greenhouse gases is also required. As further explained in the Implementation Guidance, the Greenhouse Gas Protocol Corporate Value Chain (Scope 3) Accounting and Reporting Standard (2011) sets out 15 s</w:t>
      </w:r>
      <w:r w:rsidR="005466A3" w:rsidRPr="00132FB7">
        <w:rPr>
          <w:rFonts w:ascii="Arial" w:hAnsi="Arial" w:cs="Arial"/>
          <w:sz w:val="20"/>
          <w:szCs w:val="20"/>
        </w:rPr>
        <w:t>c</w:t>
      </w:r>
      <w:r w:rsidRPr="00132FB7">
        <w:rPr>
          <w:rFonts w:ascii="Arial" w:hAnsi="Arial" w:cs="Arial"/>
          <w:sz w:val="20"/>
          <w:szCs w:val="20"/>
        </w:rPr>
        <w:t xml:space="preserve">ope 3 greenhouse gas emission categories and listed companies must disclose the categories </w:t>
      </w:r>
      <w:r w:rsidR="005466A3" w:rsidRPr="00132FB7">
        <w:rPr>
          <w:rFonts w:ascii="Arial" w:hAnsi="Arial" w:cs="Arial"/>
          <w:sz w:val="20"/>
          <w:szCs w:val="20"/>
        </w:rPr>
        <w:t>that are included within its measure</w:t>
      </w:r>
      <w:r w:rsidR="007579F4">
        <w:rPr>
          <w:rFonts w:ascii="Arial" w:hAnsi="Arial" w:cs="Arial"/>
          <w:sz w:val="20"/>
          <w:szCs w:val="20"/>
        </w:rPr>
        <w:t>ment</w:t>
      </w:r>
      <w:r w:rsidR="005466A3" w:rsidRPr="00132FB7">
        <w:rPr>
          <w:rFonts w:ascii="Arial" w:hAnsi="Arial" w:cs="Arial"/>
          <w:sz w:val="20"/>
          <w:szCs w:val="20"/>
        </w:rPr>
        <w:t xml:space="preserve"> of scope 3 greenhouse gas emissions</w:t>
      </w:r>
      <w:r w:rsidR="0069516A">
        <w:rPr>
          <w:rFonts w:ascii="Arial" w:hAnsi="Arial" w:cs="Arial"/>
          <w:sz w:val="20"/>
          <w:szCs w:val="20"/>
        </w:rPr>
        <w:t>,</w:t>
      </w:r>
      <w:r w:rsidRPr="00132FB7">
        <w:rPr>
          <w:rStyle w:val="FootnoteReference"/>
          <w:rFonts w:ascii="Arial" w:hAnsi="Arial" w:cs="Arial"/>
          <w:sz w:val="20"/>
          <w:szCs w:val="20"/>
        </w:rPr>
        <w:footnoteReference w:id="11"/>
      </w:r>
      <w:r w:rsidR="005466A3" w:rsidRPr="00132FB7">
        <w:rPr>
          <w:rFonts w:ascii="Arial" w:hAnsi="Arial" w:cs="Arial"/>
          <w:sz w:val="20"/>
          <w:szCs w:val="20"/>
        </w:rPr>
        <w:t xml:space="preserve"> the</w:t>
      </w:r>
      <w:r w:rsidRPr="00132FB7">
        <w:rPr>
          <w:rFonts w:ascii="Arial" w:hAnsi="Arial" w:cs="Arial"/>
          <w:sz w:val="20"/>
          <w:szCs w:val="20"/>
        </w:rPr>
        <w:t xml:space="preserve"> basis of such selection</w:t>
      </w:r>
      <w:r w:rsidR="005466A3" w:rsidRPr="00132FB7">
        <w:rPr>
          <w:rFonts w:ascii="Arial" w:hAnsi="Arial" w:cs="Arial"/>
          <w:sz w:val="20"/>
          <w:szCs w:val="20"/>
        </w:rPr>
        <w:t xml:space="preserve"> and all </w:t>
      </w:r>
      <w:r w:rsidR="00014278" w:rsidRPr="00132FB7">
        <w:rPr>
          <w:rFonts w:ascii="Arial" w:hAnsi="Arial" w:cs="Arial"/>
          <w:sz w:val="20"/>
          <w:szCs w:val="20"/>
        </w:rPr>
        <w:t>significant</w:t>
      </w:r>
      <w:r w:rsidR="005466A3" w:rsidRPr="00132FB7">
        <w:rPr>
          <w:rFonts w:ascii="Arial" w:hAnsi="Arial" w:cs="Arial"/>
          <w:sz w:val="20"/>
          <w:szCs w:val="20"/>
        </w:rPr>
        <w:t xml:space="preserve"> changes in the value chain which may affect the categories chosen</w:t>
      </w:r>
      <w:r w:rsidRPr="00132FB7">
        <w:rPr>
          <w:rFonts w:ascii="Arial" w:hAnsi="Arial" w:cs="Arial"/>
          <w:sz w:val="20"/>
          <w:szCs w:val="20"/>
        </w:rPr>
        <w:t xml:space="preserve">. </w:t>
      </w:r>
      <w:r w:rsidR="0069516A">
        <w:rPr>
          <w:rFonts w:ascii="Arial" w:hAnsi="Arial" w:cs="Arial"/>
          <w:sz w:val="20"/>
          <w:szCs w:val="20"/>
        </w:rPr>
        <w:t xml:space="preserve">Noting </w:t>
      </w:r>
      <w:r w:rsidR="00D8373C" w:rsidRPr="00132FB7">
        <w:rPr>
          <w:rFonts w:ascii="Arial" w:hAnsi="Arial" w:cs="Arial"/>
          <w:sz w:val="20"/>
          <w:szCs w:val="20"/>
        </w:rPr>
        <w:t>feed</w:t>
      </w:r>
      <w:r w:rsidR="0069516A">
        <w:rPr>
          <w:rFonts w:ascii="Arial" w:hAnsi="Arial" w:cs="Arial"/>
          <w:sz w:val="20"/>
          <w:szCs w:val="20"/>
        </w:rPr>
        <w:t>back from stakeholders that this</w:t>
      </w:r>
      <w:r w:rsidR="00D8373C" w:rsidRPr="00132FB7">
        <w:rPr>
          <w:rFonts w:ascii="Arial" w:hAnsi="Arial" w:cs="Arial"/>
          <w:sz w:val="20"/>
          <w:szCs w:val="20"/>
        </w:rPr>
        <w:t xml:space="preserve"> disclosure may be </w:t>
      </w:r>
      <w:r w:rsidR="005466A3" w:rsidRPr="00132FB7">
        <w:rPr>
          <w:rFonts w:ascii="Arial" w:hAnsi="Arial" w:cs="Arial"/>
          <w:sz w:val="20"/>
          <w:szCs w:val="20"/>
        </w:rPr>
        <w:t>challenging</w:t>
      </w:r>
      <w:r w:rsidR="008D44FC" w:rsidRPr="00132FB7">
        <w:rPr>
          <w:rFonts w:ascii="Arial" w:hAnsi="Arial" w:cs="Arial"/>
          <w:sz w:val="20"/>
          <w:szCs w:val="20"/>
        </w:rPr>
        <w:t xml:space="preserve"> in terms of data collection and verification</w:t>
      </w:r>
      <w:r w:rsidR="00D8373C" w:rsidRPr="00132FB7">
        <w:rPr>
          <w:rFonts w:ascii="Arial" w:hAnsi="Arial" w:cs="Arial"/>
          <w:sz w:val="20"/>
          <w:szCs w:val="20"/>
        </w:rPr>
        <w:t xml:space="preserve">, the </w:t>
      </w:r>
      <w:r w:rsidR="00306A09">
        <w:rPr>
          <w:rFonts w:ascii="Arial" w:hAnsi="Arial" w:cs="Arial"/>
          <w:sz w:val="20"/>
          <w:szCs w:val="20"/>
        </w:rPr>
        <w:t>Exchange</w:t>
      </w:r>
      <w:r w:rsidR="00D8373C" w:rsidRPr="00132FB7">
        <w:rPr>
          <w:rFonts w:ascii="Arial" w:hAnsi="Arial" w:cs="Arial"/>
          <w:sz w:val="20"/>
          <w:szCs w:val="20"/>
        </w:rPr>
        <w:t xml:space="preserve"> will make available</w:t>
      </w:r>
      <w:r w:rsidR="00317371">
        <w:rPr>
          <w:rFonts w:ascii="Arial" w:hAnsi="Arial" w:cs="Arial"/>
          <w:sz w:val="20"/>
          <w:szCs w:val="20"/>
        </w:rPr>
        <w:t xml:space="preserve"> the</w:t>
      </w:r>
      <w:r w:rsidR="00D8373C" w:rsidRPr="00132FB7">
        <w:rPr>
          <w:rFonts w:ascii="Arial" w:hAnsi="Arial" w:cs="Arial"/>
          <w:sz w:val="20"/>
          <w:szCs w:val="20"/>
        </w:rPr>
        <w:t xml:space="preserve"> Reasonable Information Relief </w:t>
      </w:r>
      <w:r w:rsidR="005466A3" w:rsidRPr="00132FB7">
        <w:rPr>
          <w:rFonts w:ascii="Arial" w:hAnsi="Arial" w:cs="Arial"/>
          <w:sz w:val="20"/>
          <w:szCs w:val="20"/>
        </w:rPr>
        <w:t>and allow list</w:t>
      </w:r>
      <w:r w:rsidR="008D44FC" w:rsidRPr="00132FB7">
        <w:rPr>
          <w:rFonts w:ascii="Arial" w:hAnsi="Arial" w:cs="Arial"/>
          <w:sz w:val="20"/>
          <w:szCs w:val="20"/>
        </w:rPr>
        <w:t>ed companies to use information</w:t>
      </w:r>
      <w:r w:rsidR="00D9597A">
        <w:rPr>
          <w:rFonts w:ascii="Arial" w:hAnsi="Arial" w:cs="Arial"/>
          <w:sz w:val="20"/>
          <w:szCs w:val="20"/>
        </w:rPr>
        <w:t xml:space="preserve"> that is available to it without undue cost or effort</w:t>
      </w:r>
      <w:r w:rsidR="0069516A">
        <w:rPr>
          <w:rFonts w:ascii="Arial" w:hAnsi="Arial" w:cs="Arial"/>
          <w:sz w:val="20"/>
          <w:szCs w:val="20"/>
        </w:rPr>
        <w:t>.</w:t>
      </w:r>
      <w:r w:rsidRPr="00132FB7">
        <w:rPr>
          <w:rStyle w:val="FootnoteReference"/>
          <w:rFonts w:ascii="Arial" w:hAnsi="Arial" w:cs="Arial"/>
          <w:sz w:val="20"/>
          <w:szCs w:val="20"/>
        </w:rPr>
        <w:footnoteReference w:id="12"/>
      </w:r>
      <w:r w:rsidR="008D44FC" w:rsidRPr="00132FB7">
        <w:rPr>
          <w:rFonts w:ascii="Arial" w:hAnsi="Arial" w:cs="Arial"/>
          <w:sz w:val="20"/>
          <w:szCs w:val="20"/>
        </w:rPr>
        <w:t xml:space="preserve"> </w:t>
      </w:r>
      <w:r w:rsidR="00E26D20" w:rsidRPr="00132FB7">
        <w:rPr>
          <w:rFonts w:ascii="Arial" w:hAnsi="Arial" w:cs="Arial"/>
          <w:sz w:val="20"/>
          <w:szCs w:val="20"/>
        </w:rPr>
        <w:t>If there are different reporting periods for different value chain entities, data from different reporting periods can be cited if (</w:t>
      </w:r>
      <w:proofErr w:type="spellStart"/>
      <w:r w:rsidR="00E26D20" w:rsidRPr="00132FB7">
        <w:rPr>
          <w:rFonts w:ascii="Arial" w:hAnsi="Arial" w:cs="Arial"/>
          <w:sz w:val="20"/>
          <w:szCs w:val="20"/>
        </w:rPr>
        <w:t>i</w:t>
      </w:r>
      <w:proofErr w:type="spellEnd"/>
      <w:r w:rsidR="00E26D20" w:rsidRPr="00132FB7">
        <w:rPr>
          <w:rFonts w:ascii="Arial" w:hAnsi="Arial" w:cs="Arial"/>
          <w:sz w:val="20"/>
          <w:szCs w:val="20"/>
        </w:rPr>
        <w:t>) the recent data available from those other entities can be used without undue cost or effort to measure and disclose its greenhouse gas emissions; (ii) the reporting periods of the two companies are of the same length; and (iii) significant events and change in circumstances occurred between the reporting dates of the two companies</w:t>
      </w:r>
      <w:r w:rsidR="0069516A">
        <w:rPr>
          <w:rFonts w:ascii="Arial" w:hAnsi="Arial" w:cs="Arial"/>
          <w:sz w:val="20"/>
          <w:szCs w:val="20"/>
        </w:rPr>
        <w:t>.</w:t>
      </w:r>
      <w:r w:rsidRPr="00132FB7">
        <w:rPr>
          <w:rStyle w:val="FootnoteReference"/>
          <w:rFonts w:ascii="Arial" w:hAnsi="Arial" w:cs="Arial"/>
          <w:sz w:val="20"/>
          <w:szCs w:val="20"/>
        </w:rPr>
        <w:footnoteReference w:id="13"/>
      </w:r>
      <w:r w:rsidR="00E26D20" w:rsidRPr="00132FB7">
        <w:rPr>
          <w:rFonts w:ascii="Arial" w:hAnsi="Arial" w:cs="Arial"/>
          <w:sz w:val="20"/>
          <w:szCs w:val="20"/>
        </w:rPr>
        <w:t xml:space="preserve"> </w:t>
      </w:r>
      <w:r w:rsidR="00194A60" w:rsidRPr="00132FB7">
        <w:rPr>
          <w:rFonts w:ascii="Arial" w:hAnsi="Arial" w:cs="Arial"/>
          <w:sz w:val="20"/>
          <w:szCs w:val="20"/>
        </w:rPr>
        <w:t xml:space="preserve">The originally proposed interim provision requiring disclosures to be made during the first and second reporting periods following the effective date of the amendments will be removed given the adoption of the phased approach. </w:t>
      </w:r>
    </w:p>
    <w:p w14:paraId="29B3C360" w14:textId="77777777" w:rsidR="00194A60" w:rsidRPr="00132FB7" w:rsidRDefault="00194A60" w:rsidP="0028091A">
      <w:pPr>
        <w:spacing w:after="0"/>
        <w:jc w:val="both"/>
        <w:rPr>
          <w:rFonts w:ascii="Arial" w:hAnsi="Arial" w:cs="Arial"/>
          <w:sz w:val="20"/>
          <w:szCs w:val="20"/>
        </w:rPr>
      </w:pPr>
    </w:p>
    <w:p w14:paraId="705B0361" w14:textId="4F1E2C7A" w:rsidR="00194A60"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 xml:space="preserve">The </w:t>
      </w:r>
      <w:r w:rsidR="00306A09">
        <w:rPr>
          <w:rFonts w:ascii="Arial" w:hAnsi="Arial" w:cs="Arial"/>
          <w:sz w:val="20"/>
          <w:szCs w:val="20"/>
          <w:lang w:eastAsia="zh-TW"/>
        </w:rPr>
        <w:t>Exchange</w:t>
      </w:r>
      <w:r w:rsidR="00317371">
        <w:rPr>
          <w:rFonts w:ascii="Arial" w:hAnsi="Arial" w:cs="Arial"/>
          <w:sz w:val="20"/>
          <w:szCs w:val="20"/>
          <w:lang w:eastAsia="zh-TW"/>
        </w:rPr>
        <w:t xml:space="preserve"> acknowledges</w:t>
      </w:r>
      <w:r w:rsidRPr="00132FB7">
        <w:rPr>
          <w:rFonts w:ascii="Arial" w:hAnsi="Arial" w:cs="Arial"/>
          <w:sz w:val="20"/>
          <w:szCs w:val="20"/>
          <w:lang w:eastAsia="zh-TW"/>
        </w:rPr>
        <w:t xml:space="preserve"> that scope 3 greenhouse gas emissions account for a significant portion of a company’s carbon footprint. Given that data in relation to scope 1 and scope 2 gree</w:t>
      </w:r>
      <w:r w:rsidR="0069516A">
        <w:rPr>
          <w:rFonts w:ascii="Arial" w:hAnsi="Arial" w:cs="Arial"/>
          <w:sz w:val="20"/>
          <w:szCs w:val="20"/>
          <w:lang w:eastAsia="zh-TW"/>
        </w:rPr>
        <w:t xml:space="preserve">nhouse gases are prerequisites </w:t>
      </w:r>
      <w:r w:rsidRPr="00132FB7">
        <w:rPr>
          <w:rFonts w:ascii="Arial" w:hAnsi="Arial" w:cs="Arial"/>
          <w:sz w:val="20"/>
          <w:szCs w:val="20"/>
          <w:lang w:eastAsia="zh-TW"/>
        </w:rPr>
        <w:t>f</w:t>
      </w:r>
      <w:r w:rsidR="0069516A">
        <w:rPr>
          <w:rFonts w:ascii="Arial" w:hAnsi="Arial" w:cs="Arial"/>
          <w:sz w:val="20"/>
          <w:szCs w:val="20"/>
          <w:lang w:eastAsia="zh-TW"/>
        </w:rPr>
        <w:t>or</w:t>
      </w:r>
      <w:r w:rsidRPr="00132FB7">
        <w:rPr>
          <w:rFonts w:ascii="Arial" w:hAnsi="Arial" w:cs="Arial"/>
          <w:sz w:val="20"/>
          <w:szCs w:val="20"/>
          <w:lang w:eastAsia="zh-TW"/>
        </w:rPr>
        <w:t xml:space="preserve"> scope 3 greenhouse gas emission data, this approach coupled with th</w:t>
      </w:r>
      <w:r w:rsidR="0069516A">
        <w:rPr>
          <w:rFonts w:ascii="Arial" w:hAnsi="Arial" w:cs="Arial"/>
          <w:sz w:val="20"/>
          <w:szCs w:val="20"/>
          <w:lang w:eastAsia="zh-TW"/>
        </w:rPr>
        <w:t>e phased approach should enable</w:t>
      </w:r>
      <w:r w:rsidRPr="00132FB7">
        <w:rPr>
          <w:rFonts w:ascii="Arial" w:hAnsi="Arial" w:cs="Arial"/>
          <w:sz w:val="20"/>
          <w:szCs w:val="20"/>
          <w:lang w:eastAsia="zh-TW"/>
        </w:rPr>
        <w:t xml:space="preserve"> listed companies to </w:t>
      </w:r>
      <w:r w:rsidR="009328B6" w:rsidRPr="00132FB7">
        <w:rPr>
          <w:rFonts w:ascii="Arial" w:hAnsi="Arial" w:cs="Arial"/>
          <w:sz w:val="20"/>
          <w:szCs w:val="20"/>
          <w:lang w:eastAsia="zh-TW"/>
        </w:rPr>
        <w:t xml:space="preserve">acquire a deeper understanding of their carbon emissions and achieve sustainability. </w:t>
      </w:r>
      <w:r w:rsidRPr="00132FB7">
        <w:rPr>
          <w:rFonts w:ascii="Arial" w:hAnsi="Arial" w:cs="Arial"/>
          <w:sz w:val="20"/>
          <w:szCs w:val="20"/>
          <w:lang w:eastAsia="zh-TW"/>
        </w:rPr>
        <w:t xml:space="preserve">The </w:t>
      </w:r>
      <w:r w:rsidR="00306A09">
        <w:rPr>
          <w:rFonts w:ascii="Arial" w:hAnsi="Arial" w:cs="Arial"/>
          <w:sz w:val="20"/>
          <w:szCs w:val="20"/>
          <w:lang w:eastAsia="zh-TW"/>
        </w:rPr>
        <w:t>Exchange</w:t>
      </w:r>
      <w:r w:rsidRPr="00132FB7">
        <w:rPr>
          <w:rFonts w:ascii="Arial" w:hAnsi="Arial" w:cs="Arial"/>
          <w:sz w:val="20"/>
          <w:szCs w:val="20"/>
          <w:lang w:eastAsia="zh-TW"/>
        </w:rPr>
        <w:t xml:space="preserve"> will continue to monitor the disclosures of listed companies and will consider increasing the disclosure obligations especially when the Hong Kong Standards are available. </w:t>
      </w:r>
    </w:p>
    <w:p w14:paraId="6E9D8158" w14:textId="77777777" w:rsidR="00404D41" w:rsidRPr="00132FB7" w:rsidRDefault="00404D41" w:rsidP="0028091A">
      <w:pPr>
        <w:spacing w:after="0"/>
        <w:jc w:val="both"/>
        <w:rPr>
          <w:rFonts w:ascii="Arial" w:hAnsi="Arial" w:cs="Arial"/>
          <w:sz w:val="20"/>
          <w:szCs w:val="20"/>
          <w:lang w:eastAsia="zh-TW"/>
        </w:rPr>
      </w:pPr>
    </w:p>
    <w:p w14:paraId="2B77F665" w14:textId="77777777" w:rsidR="00404D41" w:rsidRPr="000A0010" w:rsidRDefault="00E70254" w:rsidP="00234D68">
      <w:pPr>
        <w:pStyle w:val="ListParagraph"/>
        <w:numPr>
          <w:ilvl w:val="0"/>
          <w:numId w:val="11"/>
        </w:numPr>
        <w:spacing w:after="0"/>
        <w:ind w:left="284"/>
        <w:jc w:val="both"/>
        <w:rPr>
          <w:rFonts w:ascii="Arial" w:hAnsi="Arial" w:cs="Arial"/>
          <w:b/>
          <w:color w:val="FF0000"/>
          <w:sz w:val="20"/>
          <w:szCs w:val="20"/>
          <w:lang w:eastAsia="zh-TW"/>
        </w:rPr>
      </w:pPr>
      <w:r w:rsidRPr="000A0010">
        <w:rPr>
          <w:rFonts w:ascii="Arial" w:hAnsi="Arial" w:cs="Arial"/>
          <w:b/>
          <w:color w:val="FF0000"/>
          <w:sz w:val="20"/>
          <w:szCs w:val="20"/>
          <w:lang w:eastAsia="zh-TW"/>
        </w:rPr>
        <w:t>Cross-industry metrics</w:t>
      </w:r>
    </w:p>
    <w:p w14:paraId="34344A0C" w14:textId="77777777" w:rsidR="008D626D" w:rsidRPr="00132FB7" w:rsidRDefault="008D626D" w:rsidP="0028091A">
      <w:pPr>
        <w:spacing w:after="0"/>
        <w:jc w:val="both"/>
        <w:rPr>
          <w:rFonts w:ascii="Arial" w:hAnsi="Arial" w:cs="Arial"/>
          <w:sz w:val="20"/>
          <w:szCs w:val="20"/>
        </w:rPr>
      </w:pPr>
    </w:p>
    <w:p w14:paraId="55098187" w14:textId="28EF55A6" w:rsidR="008D626D" w:rsidRPr="00132FB7" w:rsidRDefault="00E70254" w:rsidP="0028091A">
      <w:pPr>
        <w:spacing w:after="0"/>
        <w:jc w:val="both"/>
        <w:rPr>
          <w:rFonts w:ascii="Arial" w:hAnsi="Arial" w:cs="Arial"/>
          <w:sz w:val="20"/>
          <w:szCs w:val="20"/>
        </w:rPr>
      </w:pPr>
      <w:r w:rsidRPr="00132FB7">
        <w:rPr>
          <w:rFonts w:ascii="Arial" w:hAnsi="Arial" w:cs="Arial"/>
          <w:sz w:val="20"/>
          <w:szCs w:val="20"/>
        </w:rPr>
        <w:t xml:space="preserve">Cross-industry metrics are metrics relevant to all listed companies regardless of what industry and business section they are in. </w:t>
      </w:r>
      <w:r w:rsidR="00EA3B01" w:rsidRPr="00132FB7">
        <w:rPr>
          <w:rFonts w:ascii="Arial" w:hAnsi="Arial" w:cs="Arial"/>
          <w:sz w:val="20"/>
          <w:szCs w:val="20"/>
        </w:rPr>
        <w:t xml:space="preserve">Stakeholders generally support the implementation of these disclosures as they will allow them to better assess the extent to which the listed company is vulnerable to climate change, enhance transparency around how capital is utilised for climate-related opportunities, and indicate </w:t>
      </w:r>
      <w:r w:rsidR="00FE685D">
        <w:rPr>
          <w:rFonts w:ascii="Arial" w:hAnsi="Arial" w:cs="Arial"/>
          <w:sz w:val="20"/>
          <w:szCs w:val="20"/>
        </w:rPr>
        <w:t xml:space="preserve">the </w:t>
      </w:r>
      <w:r w:rsidR="00EA3B01" w:rsidRPr="00132FB7">
        <w:rPr>
          <w:rFonts w:ascii="Arial" w:hAnsi="Arial" w:cs="Arial"/>
          <w:sz w:val="20"/>
          <w:szCs w:val="20"/>
        </w:rPr>
        <w:t>listed compan</w:t>
      </w:r>
      <w:r w:rsidR="00FE685D">
        <w:rPr>
          <w:rFonts w:ascii="Arial" w:hAnsi="Arial" w:cs="Arial"/>
          <w:sz w:val="20"/>
          <w:szCs w:val="20"/>
        </w:rPr>
        <w:t>y</w:t>
      </w:r>
      <w:r w:rsidR="00EA3B01" w:rsidRPr="00132FB7">
        <w:rPr>
          <w:rFonts w:ascii="Arial" w:hAnsi="Arial" w:cs="Arial"/>
          <w:sz w:val="20"/>
          <w:szCs w:val="20"/>
        </w:rPr>
        <w:t>’</w:t>
      </w:r>
      <w:r w:rsidR="00FE685D">
        <w:rPr>
          <w:rFonts w:ascii="Arial" w:hAnsi="Arial" w:cs="Arial"/>
          <w:sz w:val="20"/>
          <w:szCs w:val="20"/>
        </w:rPr>
        <w:t>s</w:t>
      </w:r>
      <w:r w:rsidR="00EA3B01" w:rsidRPr="00132FB7">
        <w:rPr>
          <w:rFonts w:ascii="Arial" w:hAnsi="Arial" w:cs="Arial"/>
          <w:sz w:val="20"/>
          <w:szCs w:val="20"/>
        </w:rPr>
        <w:t xml:space="preserve"> commitment to execut</w:t>
      </w:r>
      <w:r w:rsidR="00FE685D">
        <w:rPr>
          <w:rFonts w:ascii="Arial" w:hAnsi="Arial" w:cs="Arial"/>
          <w:sz w:val="20"/>
          <w:szCs w:val="20"/>
        </w:rPr>
        <w:t>e</w:t>
      </w:r>
      <w:r w:rsidR="00EA3B01" w:rsidRPr="00132FB7">
        <w:rPr>
          <w:rFonts w:ascii="Arial" w:hAnsi="Arial" w:cs="Arial"/>
          <w:sz w:val="20"/>
          <w:szCs w:val="20"/>
        </w:rPr>
        <w:t xml:space="preserve"> their climate-related transition plan. </w:t>
      </w:r>
      <w:r w:rsidR="00F53F35">
        <w:rPr>
          <w:rFonts w:ascii="Arial" w:hAnsi="Arial" w:cs="Arial"/>
          <w:sz w:val="20"/>
          <w:szCs w:val="20"/>
        </w:rPr>
        <w:t>To address concerns as to</w:t>
      </w:r>
      <w:r w:rsidR="00DC66B7" w:rsidRPr="00132FB7">
        <w:rPr>
          <w:rFonts w:ascii="Arial" w:hAnsi="Arial" w:cs="Arial"/>
          <w:sz w:val="20"/>
          <w:szCs w:val="20"/>
        </w:rPr>
        <w:t xml:space="preserve"> difficulties in measurement, quantification and disclosure</w:t>
      </w:r>
      <w:r w:rsidR="00EA3B01" w:rsidRPr="00132FB7">
        <w:rPr>
          <w:rFonts w:ascii="Arial" w:hAnsi="Arial" w:cs="Arial"/>
          <w:sz w:val="20"/>
          <w:szCs w:val="20"/>
        </w:rPr>
        <w:t>,</w:t>
      </w:r>
      <w:r w:rsidRPr="00132FB7">
        <w:rPr>
          <w:rFonts w:ascii="Arial" w:hAnsi="Arial" w:cs="Arial"/>
          <w:sz w:val="20"/>
          <w:szCs w:val="20"/>
        </w:rPr>
        <w:t xml:space="preserve"> listed companies would be required to disclose the following cross-industry metrics</w:t>
      </w:r>
      <w:r w:rsidR="00DC66B7" w:rsidRPr="00132FB7">
        <w:rPr>
          <w:rFonts w:ascii="Arial" w:hAnsi="Arial" w:cs="Arial"/>
          <w:sz w:val="20"/>
          <w:szCs w:val="20"/>
        </w:rPr>
        <w:t xml:space="preserve"> subject to various reliefs</w:t>
      </w:r>
      <w:r w:rsidRPr="00132FB7">
        <w:rPr>
          <w:rFonts w:ascii="Arial" w:hAnsi="Arial" w:cs="Arial"/>
          <w:sz w:val="20"/>
          <w:szCs w:val="20"/>
        </w:rPr>
        <w:t xml:space="preserve">:  </w:t>
      </w:r>
    </w:p>
    <w:p w14:paraId="68BB09B5" w14:textId="77777777" w:rsidR="00EA3B01" w:rsidRPr="00132FB7" w:rsidRDefault="00EA3B01" w:rsidP="0028091A">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1555"/>
        <w:gridCol w:w="7795"/>
      </w:tblGrid>
      <w:tr w:rsidR="009979C9" w:rsidRPr="00132FB7" w14:paraId="54B8B74B" w14:textId="77777777" w:rsidTr="00EA3B01">
        <w:tc>
          <w:tcPr>
            <w:tcW w:w="1555" w:type="dxa"/>
          </w:tcPr>
          <w:p w14:paraId="6A7053A5" w14:textId="77777777" w:rsidR="0007002B" w:rsidRDefault="00E70254" w:rsidP="000A0010">
            <w:pPr>
              <w:rPr>
                <w:rFonts w:ascii="Arial" w:hAnsi="Arial" w:cs="Arial"/>
                <w:color w:val="FF0000"/>
                <w:sz w:val="20"/>
                <w:szCs w:val="20"/>
              </w:rPr>
            </w:pPr>
            <w:r w:rsidRPr="000A0010">
              <w:rPr>
                <w:rFonts w:ascii="Arial" w:hAnsi="Arial" w:cs="Arial"/>
                <w:color w:val="FF0000"/>
                <w:sz w:val="20"/>
                <w:szCs w:val="20"/>
              </w:rPr>
              <w:t xml:space="preserve">Paragraph 30 of the ESG Code </w:t>
            </w:r>
          </w:p>
          <w:p w14:paraId="7245DA8C" w14:textId="77777777" w:rsidR="000A0010" w:rsidRPr="000A0010" w:rsidRDefault="000A0010" w:rsidP="000A0010">
            <w:pPr>
              <w:rPr>
                <w:rFonts w:ascii="Arial" w:hAnsi="Arial" w:cs="Arial"/>
                <w:color w:val="FF0000"/>
                <w:sz w:val="20"/>
                <w:szCs w:val="20"/>
              </w:rPr>
            </w:pPr>
          </w:p>
        </w:tc>
        <w:tc>
          <w:tcPr>
            <w:tcW w:w="7795" w:type="dxa"/>
          </w:tcPr>
          <w:p w14:paraId="7CDE257E" w14:textId="50C72D6D" w:rsidR="0007002B" w:rsidRPr="00132FB7" w:rsidRDefault="00317371" w:rsidP="0028091A">
            <w:pPr>
              <w:jc w:val="both"/>
              <w:rPr>
                <w:rFonts w:ascii="Arial" w:hAnsi="Arial" w:cs="Arial"/>
                <w:sz w:val="20"/>
                <w:szCs w:val="20"/>
              </w:rPr>
            </w:pPr>
            <w:r>
              <w:rPr>
                <w:rFonts w:ascii="Arial" w:hAnsi="Arial" w:cs="Arial"/>
                <w:sz w:val="20"/>
                <w:szCs w:val="20"/>
              </w:rPr>
              <w:t>A</w:t>
            </w:r>
            <w:r w:rsidR="00E70254" w:rsidRPr="00132FB7">
              <w:rPr>
                <w:rFonts w:ascii="Arial" w:hAnsi="Arial" w:cs="Arial"/>
                <w:sz w:val="20"/>
                <w:szCs w:val="20"/>
              </w:rPr>
              <w:t>mount and percentage of assets or business activities vulnerable to transition risks</w:t>
            </w:r>
          </w:p>
          <w:p w14:paraId="71513DB2" w14:textId="77777777" w:rsidR="00EA3B01" w:rsidRPr="00132FB7" w:rsidRDefault="00E70254" w:rsidP="0028091A">
            <w:pPr>
              <w:pStyle w:val="ListParagraph"/>
              <w:numPr>
                <w:ilvl w:val="0"/>
                <w:numId w:val="9"/>
              </w:numPr>
              <w:jc w:val="both"/>
              <w:rPr>
                <w:rFonts w:ascii="Arial" w:hAnsi="Arial" w:cs="Arial"/>
                <w:sz w:val="20"/>
                <w:szCs w:val="20"/>
              </w:rPr>
            </w:pPr>
            <w:r w:rsidRPr="00132FB7">
              <w:rPr>
                <w:rFonts w:ascii="Arial" w:hAnsi="Arial" w:cs="Arial"/>
                <w:sz w:val="20"/>
                <w:szCs w:val="20"/>
              </w:rPr>
              <w:t>the Reasonable Information Relief will be available</w:t>
            </w:r>
          </w:p>
        </w:tc>
      </w:tr>
      <w:tr w:rsidR="009979C9" w:rsidRPr="00132FB7" w14:paraId="681610F0" w14:textId="77777777" w:rsidTr="00EA3B01">
        <w:tc>
          <w:tcPr>
            <w:tcW w:w="1555" w:type="dxa"/>
          </w:tcPr>
          <w:p w14:paraId="4D5CAC29" w14:textId="77777777" w:rsidR="0007002B" w:rsidRDefault="00E70254" w:rsidP="000A0010">
            <w:pPr>
              <w:rPr>
                <w:rFonts w:ascii="Arial" w:hAnsi="Arial" w:cs="Arial"/>
                <w:color w:val="FF0000"/>
                <w:sz w:val="20"/>
                <w:szCs w:val="20"/>
              </w:rPr>
            </w:pPr>
            <w:r w:rsidRPr="000A0010">
              <w:rPr>
                <w:rFonts w:ascii="Arial" w:hAnsi="Arial" w:cs="Arial"/>
                <w:color w:val="FF0000"/>
                <w:sz w:val="20"/>
                <w:szCs w:val="20"/>
              </w:rPr>
              <w:t>Paragraph 31 of the ESG Code</w:t>
            </w:r>
          </w:p>
          <w:p w14:paraId="77457AA8" w14:textId="77777777" w:rsidR="000A0010" w:rsidRPr="000A0010" w:rsidRDefault="000A0010" w:rsidP="000A0010">
            <w:pPr>
              <w:rPr>
                <w:rFonts w:ascii="Arial" w:hAnsi="Arial" w:cs="Arial"/>
                <w:color w:val="FF0000"/>
                <w:sz w:val="20"/>
                <w:szCs w:val="20"/>
              </w:rPr>
            </w:pPr>
          </w:p>
        </w:tc>
        <w:tc>
          <w:tcPr>
            <w:tcW w:w="7795" w:type="dxa"/>
          </w:tcPr>
          <w:p w14:paraId="3F7F7019" w14:textId="6863A291" w:rsidR="0007002B" w:rsidRPr="00132FB7" w:rsidRDefault="00317371" w:rsidP="0028091A">
            <w:pPr>
              <w:jc w:val="both"/>
              <w:rPr>
                <w:rFonts w:ascii="Arial" w:hAnsi="Arial" w:cs="Arial"/>
                <w:sz w:val="20"/>
                <w:szCs w:val="20"/>
              </w:rPr>
            </w:pPr>
            <w:r>
              <w:rPr>
                <w:rFonts w:ascii="Arial" w:hAnsi="Arial" w:cs="Arial"/>
                <w:sz w:val="20"/>
                <w:szCs w:val="20"/>
              </w:rPr>
              <w:t>A</w:t>
            </w:r>
            <w:r w:rsidR="00E70254" w:rsidRPr="00132FB7">
              <w:rPr>
                <w:rFonts w:ascii="Arial" w:hAnsi="Arial" w:cs="Arial"/>
                <w:sz w:val="20"/>
                <w:szCs w:val="20"/>
              </w:rPr>
              <w:t>mount and percentage of assets or business activities vulnerable to physical risks</w:t>
            </w:r>
          </w:p>
          <w:p w14:paraId="16FC4CAC" w14:textId="77777777" w:rsidR="00EA3B01" w:rsidRPr="00132FB7" w:rsidRDefault="00E70254" w:rsidP="0028091A">
            <w:pPr>
              <w:pStyle w:val="ListParagraph"/>
              <w:numPr>
                <w:ilvl w:val="0"/>
                <w:numId w:val="9"/>
              </w:numPr>
              <w:jc w:val="both"/>
              <w:rPr>
                <w:rFonts w:ascii="Arial" w:hAnsi="Arial" w:cs="Arial"/>
                <w:sz w:val="20"/>
                <w:szCs w:val="20"/>
              </w:rPr>
            </w:pPr>
            <w:r w:rsidRPr="00132FB7">
              <w:rPr>
                <w:rFonts w:ascii="Arial" w:hAnsi="Arial" w:cs="Arial"/>
                <w:sz w:val="20"/>
                <w:szCs w:val="20"/>
              </w:rPr>
              <w:t>the Reasonable Information Relief will be available</w:t>
            </w:r>
          </w:p>
        </w:tc>
      </w:tr>
      <w:tr w:rsidR="009979C9" w:rsidRPr="00132FB7" w14:paraId="625F6F03" w14:textId="77777777" w:rsidTr="00EA3B01">
        <w:tc>
          <w:tcPr>
            <w:tcW w:w="1555" w:type="dxa"/>
          </w:tcPr>
          <w:p w14:paraId="3194B8B4" w14:textId="77777777" w:rsidR="0007002B" w:rsidRPr="000A0010" w:rsidRDefault="00E70254" w:rsidP="000A0010">
            <w:pPr>
              <w:rPr>
                <w:rFonts w:ascii="Arial" w:hAnsi="Arial" w:cs="Arial"/>
                <w:color w:val="FF0000"/>
                <w:sz w:val="20"/>
                <w:szCs w:val="20"/>
              </w:rPr>
            </w:pPr>
            <w:r w:rsidRPr="000A0010">
              <w:rPr>
                <w:rFonts w:ascii="Arial" w:hAnsi="Arial" w:cs="Arial"/>
                <w:color w:val="FF0000"/>
                <w:sz w:val="20"/>
                <w:szCs w:val="20"/>
              </w:rPr>
              <w:t>Paragraph 32 of the ESG Code</w:t>
            </w:r>
          </w:p>
        </w:tc>
        <w:tc>
          <w:tcPr>
            <w:tcW w:w="7795" w:type="dxa"/>
          </w:tcPr>
          <w:p w14:paraId="317EB259" w14:textId="0D393E3E" w:rsidR="0007002B" w:rsidRPr="00132FB7" w:rsidRDefault="00317371" w:rsidP="0028091A">
            <w:pPr>
              <w:jc w:val="both"/>
              <w:rPr>
                <w:rFonts w:ascii="Arial" w:hAnsi="Arial" w:cs="Arial"/>
                <w:sz w:val="20"/>
                <w:szCs w:val="20"/>
              </w:rPr>
            </w:pPr>
            <w:r>
              <w:rPr>
                <w:rFonts w:ascii="Arial" w:hAnsi="Arial" w:cs="Arial"/>
                <w:sz w:val="20"/>
                <w:szCs w:val="20"/>
              </w:rPr>
              <w:t>A</w:t>
            </w:r>
            <w:r w:rsidR="00E70254" w:rsidRPr="00132FB7">
              <w:rPr>
                <w:rFonts w:ascii="Arial" w:hAnsi="Arial" w:cs="Arial"/>
                <w:sz w:val="20"/>
                <w:szCs w:val="20"/>
              </w:rPr>
              <w:t>mount and percentage o</w:t>
            </w:r>
            <w:r w:rsidR="00DC66B7" w:rsidRPr="00132FB7">
              <w:rPr>
                <w:rFonts w:ascii="Arial" w:hAnsi="Arial" w:cs="Arial"/>
                <w:sz w:val="20"/>
                <w:szCs w:val="20"/>
              </w:rPr>
              <w:t xml:space="preserve">f assets or business activities </w:t>
            </w:r>
            <w:r w:rsidR="00E70254" w:rsidRPr="00132FB7">
              <w:rPr>
                <w:rFonts w:ascii="Arial" w:hAnsi="Arial" w:cs="Arial"/>
                <w:sz w:val="20"/>
                <w:szCs w:val="20"/>
              </w:rPr>
              <w:t>aligned with climate-related opportunities</w:t>
            </w:r>
          </w:p>
          <w:p w14:paraId="648CDBD1" w14:textId="77777777" w:rsidR="00DC66B7" w:rsidRPr="00132FB7" w:rsidRDefault="00E70254" w:rsidP="0028091A">
            <w:pPr>
              <w:pStyle w:val="ListParagraph"/>
              <w:numPr>
                <w:ilvl w:val="0"/>
                <w:numId w:val="9"/>
              </w:numPr>
              <w:jc w:val="both"/>
              <w:rPr>
                <w:rFonts w:ascii="Arial" w:hAnsi="Arial" w:cs="Arial"/>
                <w:sz w:val="20"/>
                <w:szCs w:val="20"/>
              </w:rPr>
            </w:pPr>
            <w:r w:rsidRPr="00132FB7">
              <w:rPr>
                <w:rFonts w:ascii="Arial" w:hAnsi="Arial" w:cs="Arial"/>
                <w:sz w:val="20"/>
                <w:szCs w:val="20"/>
              </w:rPr>
              <w:t>the Reasonable Information Relief and Commercial Sensitivity Relief will be available</w:t>
            </w:r>
          </w:p>
          <w:p w14:paraId="0AD9D8D1" w14:textId="77777777" w:rsidR="00DC66B7" w:rsidRPr="00132FB7" w:rsidRDefault="00DC66B7" w:rsidP="0028091A">
            <w:pPr>
              <w:jc w:val="both"/>
              <w:rPr>
                <w:rFonts w:ascii="Arial" w:hAnsi="Arial" w:cs="Arial"/>
                <w:sz w:val="20"/>
                <w:szCs w:val="20"/>
              </w:rPr>
            </w:pPr>
          </w:p>
        </w:tc>
      </w:tr>
      <w:tr w:rsidR="009979C9" w:rsidRPr="00132FB7" w14:paraId="299FDB7E" w14:textId="77777777" w:rsidTr="00EA3B01">
        <w:tc>
          <w:tcPr>
            <w:tcW w:w="1555" w:type="dxa"/>
          </w:tcPr>
          <w:p w14:paraId="0232C2ED" w14:textId="77777777" w:rsidR="0007002B" w:rsidRPr="000A0010" w:rsidRDefault="00E70254" w:rsidP="000A0010">
            <w:pPr>
              <w:rPr>
                <w:rFonts w:ascii="Arial" w:hAnsi="Arial" w:cs="Arial"/>
                <w:color w:val="FF0000"/>
                <w:sz w:val="20"/>
                <w:szCs w:val="20"/>
              </w:rPr>
            </w:pPr>
            <w:r w:rsidRPr="000A0010">
              <w:rPr>
                <w:rFonts w:ascii="Arial" w:hAnsi="Arial" w:cs="Arial"/>
                <w:color w:val="FF0000"/>
                <w:sz w:val="20"/>
                <w:szCs w:val="20"/>
              </w:rPr>
              <w:t>Paragraph 33 of the ESG Code</w:t>
            </w:r>
          </w:p>
        </w:tc>
        <w:tc>
          <w:tcPr>
            <w:tcW w:w="7795" w:type="dxa"/>
          </w:tcPr>
          <w:p w14:paraId="706CA2BC" w14:textId="6525BE73" w:rsidR="0007002B" w:rsidRPr="00132FB7" w:rsidRDefault="00317371" w:rsidP="0028091A">
            <w:pPr>
              <w:jc w:val="both"/>
              <w:rPr>
                <w:rFonts w:ascii="Arial" w:hAnsi="Arial" w:cs="Arial"/>
                <w:sz w:val="20"/>
                <w:szCs w:val="20"/>
              </w:rPr>
            </w:pPr>
            <w:r>
              <w:rPr>
                <w:rFonts w:ascii="Arial" w:hAnsi="Arial" w:cs="Arial"/>
                <w:sz w:val="20"/>
                <w:szCs w:val="20"/>
              </w:rPr>
              <w:t>A</w:t>
            </w:r>
            <w:r w:rsidR="00E70254" w:rsidRPr="00132FB7">
              <w:rPr>
                <w:rFonts w:ascii="Arial" w:hAnsi="Arial" w:cs="Arial"/>
                <w:sz w:val="20"/>
                <w:szCs w:val="20"/>
              </w:rPr>
              <w:t>mount of capital expenditure, financing or investment deployed toward climate-related risks and opportunities</w:t>
            </w:r>
          </w:p>
          <w:p w14:paraId="12ABFFB0" w14:textId="77777777" w:rsidR="00DC66B7" w:rsidRPr="00132FB7" w:rsidRDefault="00E70254" w:rsidP="0028091A">
            <w:pPr>
              <w:pStyle w:val="ListParagraph"/>
              <w:numPr>
                <w:ilvl w:val="0"/>
                <w:numId w:val="9"/>
              </w:numPr>
              <w:jc w:val="both"/>
              <w:rPr>
                <w:rFonts w:ascii="Arial" w:hAnsi="Arial" w:cs="Arial"/>
                <w:sz w:val="20"/>
                <w:szCs w:val="20"/>
              </w:rPr>
            </w:pPr>
            <w:r w:rsidRPr="00132FB7">
              <w:rPr>
                <w:rFonts w:ascii="Arial" w:hAnsi="Arial" w:cs="Arial"/>
                <w:sz w:val="20"/>
                <w:szCs w:val="20"/>
              </w:rPr>
              <w:t>the Commercial Sensitivity Relief will be available</w:t>
            </w:r>
          </w:p>
          <w:p w14:paraId="6B7CB104" w14:textId="77777777" w:rsidR="00DC66B7" w:rsidRPr="00132FB7" w:rsidRDefault="00DC66B7" w:rsidP="0028091A">
            <w:pPr>
              <w:jc w:val="both"/>
              <w:rPr>
                <w:rFonts w:ascii="Arial" w:hAnsi="Arial" w:cs="Arial"/>
                <w:sz w:val="20"/>
                <w:szCs w:val="20"/>
              </w:rPr>
            </w:pPr>
          </w:p>
        </w:tc>
      </w:tr>
    </w:tbl>
    <w:p w14:paraId="74B4401F" w14:textId="77777777" w:rsidR="0007002B" w:rsidRPr="00132FB7" w:rsidRDefault="0007002B" w:rsidP="0028091A">
      <w:pPr>
        <w:spacing w:after="0"/>
        <w:jc w:val="both"/>
        <w:rPr>
          <w:rFonts w:ascii="Arial" w:hAnsi="Arial" w:cs="Arial"/>
          <w:sz w:val="20"/>
          <w:szCs w:val="20"/>
        </w:rPr>
      </w:pPr>
    </w:p>
    <w:p w14:paraId="420CCCD0" w14:textId="77777777" w:rsidR="000A0010" w:rsidRPr="00132FB7" w:rsidRDefault="00E70254" w:rsidP="0028091A">
      <w:pPr>
        <w:spacing w:after="0"/>
        <w:jc w:val="both"/>
        <w:rPr>
          <w:rFonts w:ascii="Arial" w:hAnsi="Arial" w:cs="Arial"/>
          <w:sz w:val="20"/>
          <w:szCs w:val="20"/>
        </w:rPr>
      </w:pPr>
      <w:r w:rsidRPr="00132FB7">
        <w:rPr>
          <w:rFonts w:ascii="Arial" w:hAnsi="Arial" w:cs="Arial"/>
          <w:sz w:val="20"/>
          <w:szCs w:val="20"/>
        </w:rPr>
        <w:t>The original proposal for interim disclosure of cross-industry metrics</w:t>
      </w:r>
      <w:r w:rsidR="00F53F35">
        <w:rPr>
          <w:rFonts w:ascii="Arial" w:hAnsi="Arial" w:cs="Arial"/>
          <w:sz w:val="20"/>
          <w:szCs w:val="20"/>
        </w:rPr>
        <w:t xml:space="preserve"> before the listed company can</w:t>
      </w:r>
      <w:r w:rsidRPr="00132FB7">
        <w:rPr>
          <w:rFonts w:ascii="Arial" w:hAnsi="Arial" w:cs="Arial"/>
          <w:sz w:val="20"/>
          <w:szCs w:val="20"/>
        </w:rPr>
        <w:t xml:space="preserve"> make quantitative disclosures will be removed as well given the current phased approach.  </w:t>
      </w:r>
    </w:p>
    <w:p w14:paraId="001A229B" w14:textId="77777777" w:rsidR="00606C89" w:rsidRPr="00132FB7" w:rsidRDefault="00606C89" w:rsidP="0028091A">
      <w:pPr>
        <w:spacing w:after="0"/>
        <w:jc w:val="both"/>
        <w:rPr>
          <w:rFonts w:ascii="Arial" w:hAnsi="Arial" w:cs="Arial"/>
          <w:sz w:val="20"/>
          <w:szCs w:val="20"/>
        </w:rPr>
      </w:pPr>
    </w:p>
    <w:p w14:paraId="05AE3C06" w14:textId="77777777" w:rsidR="00606C89" w:rsidRPr="000A0010" w:rsidRDefault="00F53F35" w:rsidP="00F53F35">
      <w:pPr>
        <w:pStyle w:val="ListParagraph"/>
        <w:numPr>
          <w:ilvl w:val="0"/>
          <w:numId w:val="11"/>
        </w:numPr>
        <w:tabs>
          <w:tab w:val="left" w:pos="284"/>
        </w:tabs>
        <w:spacing w:after="0"/>
        <w:ind w:left="284" w:hanging="284"/>
        <w:jc w:val="both"/>
        <w:rPr>
          <w:rFonts w:ascii="Arial" w:hAnsi="Arial" w:cs="Arial"/>
          <w:b/>
          <w:sz w:val="20"/>
          <w:szCs w:val="20"/>
        </w:rPr>
      </w:pPr>
      <w:r>
        <w:rPr>
          <w:rFonts w:ascii="Arial" w:hAnsi="Arial" w:cs="Arial"/>
          <w:b/>
          <w:color w:val="FF0000"/>
          <w:sz w:val="20"/>
          <w:szCs w:val="20"/>
        </w:rPr>
        <w:t xml:space="preserve"> </w:t>
      </w:r>
      <w:r w:rsidR="00E70254" w:rsidRPr="000A0010">
        <w:rPr>
          <w:rFonts w:ascii="Arial" w:hAnsi="Arial" w:cs="Arial"/>
          <w:b/>
          <w:color w:val="FF0000"/>
          <w:sz w:val="20"/>
          <w:szCs w:val="20"/>
        </w:rPr>
        <w:t>Internal c</w:t>
      </w:r>
      <w:r w:rsidR="005C1411" w:rsidRPr="000A0010">
        <w:rPr>
          <w:rFonts w:ascii="Arial" w:hAnsi="Arial" w:cs="Arial"/>
          <w:b/>
          <w:color w:val="FF0000"/>
          <w:sz w:val="20"/>
          <w:szCs w:val="20"/>
        </w:rPr>
        <w:t>arbon prices</w:t>
      </w:r>
    </w:p>
    <w:p w14:paraId="08417000" w14:textId="77777777" w:rsidR="005C1411" w:rsidRPr="00132FB7" w:rsidRDefault="005C1411" w:rsidP="0028091A">
      <w:pPr>
        <w:spacing w:after="0"/>
        <w:jc w:val="both"/>
        <w:rPr>
          <w:rFonts w:ascii="Arial" w:hAnsi="Arial" w:cs="Arial"/>
          <w:sz w:val="20"/>
          <w:szCs w:val="20"/>
        </w:rPr>
      </w:pPr>
    </w:p>
    <w:p w14:paraId="51726C3A" w14:textId="671F523B" w:rsidR="00606C89" w:rsidRPr="00132FB7" w:rsidRDefault="00E70254" w:rsidP="0028091A">
      <w:pPr>
        <w:spacing w:after="0"/>
        <w:jc w:val="both"/>
        <w:rPr>
          <w:rFonts w:ascii="Arial" w:hAnsi="Arial" w:cs="Arial"/>
          <w:sz w:val="20"/>
          <w:szCs w:val="20"/>
        </w:rPr>
      </w:pPr>
      <w:r w:rsidRPr="00132FB7">
        <w:rPr>
          <w:rFonts w:ascii="Arial" w:hAnsi="Arial" w:cs="Arial"/>
          <w:sz w:val="20"/>
          <w:szCs w:val="20"/>
        </w:rPr>
        <w:t>Pursuant to paragraph 34 of the ESG Code, listed companies</w:t>
      </w:r>
      <w:r w:rsidR="005C1411" w:rsidRPr="00132FB7">
        <w:rPr>
          <w:rFonts w:ascii="Arial" w:hAnsi="Arial" w:cs="Arial"/>
          <w:sz w:val="20"/>
          <w:szCs w:val="20"/>
        </w:rPr>
        <w:t xml:space="preserve"> </w:t>
      </w:r>
      <w:r w:rsidR="00F53F35">
        <w:rPr>
          <w:rFonts w:ascii="Arial" w:hAnsi="Arial" w:cs="Arial"/>
          <w:sz w:val="20"/>
          <w:szCs w:val="20"/>
        </w:rPr>
        <w:t xml:space="preserve">must </w:t>
      </w:r>
      <w:r w:rsidR="005C1411" w:rsidRPr="00132FB7">
        <w:rPr>
          <w:rFonts w:ascii="Arial" w:hAnsi="Arial" w:cs="Arial"/>
          <w:sz w:val="20"/>
          <w:szCs w:val="20"/>
        </w:rPr>
        <w:t>disclose (</w:t>
      </w:r>
      <w:proofErr w:type="spellStart"/>
      <w:r w:rsidR="005C1411" w:rsidRPr="00132FB7">
        <w:rPr>
          <w:rFonts w:ascii="Arial" w:hAnsi="Arial" w:cs="Arial"/>
          <w:sz w:val="20"/>
          <w:szCs w:val="20"/>
        </w:rPr>
        <w:t>i</w:t>
      </w:r>
      <w:proofErr w:type="spellEnd"/>
      <w:r w:rsidR="005C1411" w:rsidRPr="00132FB7">
        <w:rPr>
          <w:rFonts w:ascii="Arial" w:hAnsi="Arial" w:cs="Arial"/>
          <w:sz w:val="20"/>
          <w:szCs w:val="20"/>
        </w:rPr>
        <w:t xml:space="preserve">) </w:t>
      </w:r>
      <w:r w:rsidRPr="00132FB7">
        <w:rPr>
          <w:rFonts w:ascii="Arial" w:hAnsi="Arial" w:cs="Arial"/>
          <w:sz w:val="20"/>
          <w:szCs w:val="20"/>
        </w:rPr>
        <w:t>the price for each metric</w:t>
      </w:r>
      <w:r w:rsidR="00F53F35">
        <w:rPr>
          <w:rFonts w:ascii="Arial" w:hAnsi="Arial" w:cs="Arial"/>
          <w:sz w:val="20"/>
          <w:szCs w:val="20"/>
        </w:rPr>
        <w:t xml:space="preserve"> </w:t>
      </w:r>
      <w:proofErr w:type="spellStart"/>
      <w:r w:rsidR="00F53F35">
        <w:rPr>
          <w:rFonts w:ascii="Arial" w:hAnsi="Arial" w:cs="Arial"/>
          <w:sz w:val="20"/>
          <w:szCs w:val="20"/>
        </w:rPr>
        <w:t>tonne</w:t>
      </w:r>
      <w:proofErr w:type="spellEnd"/>
      <w:r w:rsidR="00F53F35">
        <w:rPr>
          <w:rFonts w:ascii="Arial" w:hAnsi="Arial" w:cs="Arial"/>
          <w:sz w:val="20"/>
          <w:szCs w:val="20"/>
        </w:rPr>
        <w:t xml:space="preserve"> of </w:t>
      </w:r>
      <w:r w:rsidR="00D9597A">
        <w:rPr>
          <w:rFonts w:ascii="Arial" w:hAnsi="Arial" w:cs="Arial"/>
          <w:sz w:val="20"/>
          <w:szCs w:val="20"/>
        </w:rPr>
        <w:t>greenhouse gas</w:t>
      </w:r>
      <w:r w:rsidR="00F53F35">
        <w:rPr>
          <w:rFonts w:ascii="Arial" w:hAnsi="Arial" w:cs="Arial"/>
          <w:sz w:val="20"/>
          <w:szCs w:val="20"/>
        </w:rPr>
        <w:t xml:space="preserve"> emissions that they use</w:t>
      </w:r>
      <w:r w:rsidRPr="00132FB7">
        <w:rPr>
          <w:rFonts w:ascii="Arial" w:hAnsi="Arial" w:cs="Arial"/>
          <w:sz w:val="20"/>
          <w:szCs w:val="20"/>
        </w:rPr>
        <w:t xml:space="preserve"> to assess th</w:t>
      </w:r>
      <w:r w:rsidR="00F53F35">
        <w:rPr>
          <w:rFonts w:ascii="Arial" w:hAnsi="Arial" w:cs="Arial"/>
          <w:sz w:val="20"/>
          <w:szCs w:val="20"/>
        </w:rPr>
        <w:t>e costs of their</w:t>
      </w:r>
      <w:r w:rsidR="005C1411" w:rsidRPr="00132FB7">
        <w:rPr>
          <w:rFonts w:ascii="Arial" w:hAnsi="Arial" w:cs="Arial"/>
          <w:sz w:val="20"/>
          <w:szCs w:val="20"/>
        </w:rPr>
        <w:t xml:space="preserve"> emissions</w:t>
      </w:r>
      <w:r w:rsidR="00FE685D">
        <w:rPr>
          <w:rFonts w:ascii="Arial" w:hAnsi="Arial" w:cs="Arial"/>
          <w:sz w:val="20"/>
          <w:szCs w:val="20"/>
        </w:rPr>
        <w:t>;</w:t>
      </w:r>
      <w:r w:rsidR="005C1411" w:rsidRPr="00132FB7">
        <w:rPr>
          <w:rFonts w:ascii="Arial" w:hAnsi="Arial" w:cs="Arial"/>
          <w:sz w:val="20"/>
          <w:szCs w:val="20"/>
        </w:rPr>
        <w:t xml:space="preserve"> and (ii</w:t>
      </w:r>
      <w:r w:rsidRPr="00132FB7">
        <w:rPr>
          <w:rFonts w:ascii="Arial" w:hAnsi="Arial" w:cs="Arial"/>
          <w:sz w:val="20"/>
          <w:szCs w:val="20"/>
        </w:rPr>
        <w:t>) an explanation of how the</w:t>
      </w:r>
      <w:r w:rsidR="00FE685D">
        <w:rPr>
          <w:rFonts w:ascii="Arial" w:hAnsi="Arial" w:cs="Arial"/>
          <w:sz w:val="20"/>
          <w:szCs w:val="20"/>
        </w:rPr>
        <w:t xml:space="preserve"> listed company</w:t>
      </w:r>
      <w:r w:rsidRPr="00132FB7">
        <w:rPr>
          <w:rFonts w:ascii="Arial" w:hAnsi="Arial" w:cs="Arial"/>
          <w:sz w:val="20"/>
          <w:szCs w:val="20"/>
        </w:rPr>
        <w:t xml:space="preserve"> is applying the carbon price in decision-making (for </w:t>
      </w:r>
      <w:r w:rsidR="005C1411" w:rsidRPr="00132FB7">
        <w:rPr>
          <w:rFonts w:ascii="Arial" w:hAnsi="Arial" w:cs="Arial"/>
          <w:sz w:val="20"/>
          <w:szCs w:val="20"/>
        </w:rPr>
        <w:t xml:space="preserve">instance capital expenditure decisions, research and development decisions, </w:t>
      </w:r>
      <w:r w:rsidRPr="00132FB7">
        <w:rPr>
          <w:rFonts w:ascii="Arial" w:hAnsi="Arial" w:cs="Arial"/>
          <w:sz w:val="20"/>
          <w:szCs w:val="20"/>
        </w:rPr>
        <w:t>investment decisions, transfer pricing and scenario analysis)</w:t>
      </w:r>
      <w:r w:rsidR="005C1411" w:rsidRPr="00132FB7">
        <w:rPr>
          <w:rFonts w:ascii="Arial" w:hAnsi="Arial" w:cs="Arial"/>
          <w:sz w:val="20"/>
          <w:szCs w:val="20"/>
        </w:rPr>
        <w:t xml:space="preserve">. As the current ESG Code does not mandate all listed companies to maintain an internal carbon price, listed companies who have yet to maintain such a measure will be required to make a negative statement explaining that </w:t>
      </w:r>
      <w:r w:rsidR="00317371">
        <w:rPr>
          <w:rFonts w:ascii="Arial" w:hAnsi="Arial" w:cs="Arial"/>
          <w:sz w:val="20"/>
          <w:szCs w:val="20"/>
        </w:rPr>
        <w:t>an internal carbon prices has</w:t>
      </w:r>
      <w:r w:rsidR="005C1411" w:rsidRPr="00132FB7">
        <w:rPr>
          <w:rFonts w:ascii="Arial" w:hAnsi="Arial" w:cs="Arial"/>
          <w:sz w:val="20"/>
          <w:szCs w:val="20"/>
        </w:rPr>
        <w:t xml:space="preserve"> not </w:t>
      </w:r>
      <w:r w:rsidR="00317371">
        <w:rPr>
          <w:rFonts w:ascii="Arial" w:hAnsi="Arial" w:cs="Arial"/>
          <w:sz w:val="20"/>
          <w:szCs w:val="20"/>
        </w:rPr>
        <w:t xml:space="preserve">been </w:t>
      </w:r>
      <w:r w:rsidR="005C1411" w:rsidRPr="00132FB7">
        <w:rPr>
          <w:rFonts w:ascii="Arial" w:hAnsi="Arial" w:cs="Arial"/>
          <w:sz w:val="20"/>
          <w:szCs w:val="20"/>
        </w:rPr>
        <w:t xml:space="preserve">used </w:t>
      </w:r>
      <w:r w:rsidR="00317371">
        <w:rPr>
          <w:rFonts w:ascii="Arial" w:hAnsi="Arial" w:cs="Arial"/>
          <w:sz w:val="20"/>
          <w:szCs w:val="20"/>
        </w:rPr>
        <w:t>in</w:t>
      </w:r>
      <w:r w:rsidR="005C1411" w:rsidRPr="00132FB7">
        <w:rPr>
          <w:rFonts w:ascii="Arial" w:hAnsi="Arial" w:cs="Arial"/>
          <w:sz w:val="20"/>
          <w:szCs w:val="20"/>
        </w:rPr>
        <w:t xml:space="preserve"> decision-making. Given that internal carbon prices are useful tools to measure the financial implications of the carbon footprint and enhance transparency and accountability, the </w:t>
      </w:r>
      <w:r w:rsidR="00306A09">
        <w:rPr>
          <w:rFonts w:ascii="Arial" w:hAnsi="Arial" w:cs="Arial"/>
          <w:sz w:val="20"/>
          <w:szCs w:val="20"/>
        </w:rPr>
        <w:t>Exchange</w:t>
      </w:r>
      <w:r w:rsidR="005C1411" w:rsidRPr="00132FB7">
        <w:rPr>
          <w:rFonts w:ascii="Arial" w:hAnsi="Arial" w:cs="Arial"/>
          <w:sz w:val="20"/>
          <w:szCs w:val="20"/>
        </w:rPr>
        <w:t xml:space="preserve"> encourages listed companies to consider maintaining an internal carbon price. The Implementation Guidance also explains the 4-step workflow of developing an internal carbon price: (1) business engagement; (2) approach design; (3) rollout; and (4) monitoring and evaluation. </w:t>
      </w:r>
    </w:p>
    <w:p w14:paraId="2DAED7E2" w14:textId="77777777" w:rsidR="00B83CD6" w:rsidRPr="00132FB7" w:rsidRDefault="00B83CD6" w:rsidP="0028091A">
      <w:pPr>
        <w:spacing w:after="0"/>
        <w:jc w:val="both"/>
        <w:rPr>
          <w:rFonts w:ascii="Arial" w:hAnsi="Arial" w:cs="Arial"/>
          <w:sz w:val="20"/>
          <w:szCs w:val="20"/>
        </w:rPr>
      </w:pPr>
    </w:p>
    <w:p w14:paraId="279CBCFD" w14:textId="77777777" w:rsidR="00B83CD6" w:rsidRPr="000A0010" w:rsidRDefault="00F53F35" w:rsidP="00F53F35">
      <w:pPr>
        <w:pStyle w:val="ListParagraph"/>
        <w:numPr>
          <w:ilvl w:val="0"/>
          <w:numId w:val="11"/>
        </w:numPr>
        <w:spacing w:after="0"/>
        <w:ind w:left="284" w:hanging="284"/>
        <w:jc w:val="both"/>
        <w:rPr>
          <w:rFonts w:ascii="Arial" w:hAnsi="Arial" w:cs="Arial"/>
          <w:b/>
          <w:color w:val="FF0000"/>
          <w:sz w:val="20"/>
          <w:szCs w:val="20"/>
        </w:rPr>
      </w:pPr>
      <w:r>
        <w:rPr>
          <w:rFonts w:ascii="Arial" w:hAnsi="Arial" w:cs="Arial"/>
          <w:b/>
          <w:color w:val="FF0000"/>
          <w:sz w:val="20"/>
          <w:szCs w:val="20"/>
        </w:rPr>
        <w:t xml:space="preserve"> </w:t>
      </w:r>
      <w:r w:rsidR="00E70254" w:rsidRPr="000A0010">
        <w:rPr>
          <w:rFonts w:ascii="Arial" w:hAnsi="Arial" w:cs="Arial"/>
          <w:b/>
          <w:color w:val="FF0000"/>
          <w:sz w:val="20"/>
          <w:szCs w:val="20"/>
        </w:rPr>
        <w:t xml:space="preserve">Remuneration </w:t>
      </w:r>
    </w:p>
    <w:p w14:paraId="430AFF1E" w14:textId="77777777" w:rsidR="000A0010" w:rsidRDefault="000A0010" w:rsidP="0028091A">
      <w:pPr>
        <w:spacing w:after="0"/>
        <w:jc w:val="both"/>
        <w:rPr>
          <w:rFonts w:ascii="Arial" w:hAnsi="Arial" w:cs="Arial"/>
          <w:sz w:val="20"/>
          <w:szCs w:val="20"/>
        </w:rPr>
      </w:pPr>
    </w:p>
    <w:p w14:paraId="17E9E723" w14:textId="37A298DF" w:rsidR="00B83CD6" w:rsidRDefault="00E70254" w:rsidP="0028091A">
      <w:pPr>
        <w:spacing w:after="0"/>
        <w:jc w:val="both"/>
        <w:rPr>
          <w:rFonts w:ascii="Arial" w:hAnsi="Arial" w:cs="Arial"/>
          <w:sz w:val="20"/>
          <w:szCs w:val="20"/>
        </w:rPr>
      </w:pPr>
      <w:r w:rsidRPr="00132FB7">
        <w:rPr>
          <w:rFonts w:ascii="Arial" w:hAnsi="Arial" w:cs="Arial"/>
          <w:sz w:val="20"/>
          <w:szCs w:val="20"/>
        </w:rPr>
        <w:t xml:space="preserve">Disclosures on whether and how climate-related considerations are factored into remuneration policy, or otherwise an appropriate negative statement will be required under Paragraph 35 of the ESG Code. The </w:t>
      </w:r>
      <w:r w:rsidR="00306A09">
        <w:rPr>
          <w:rFonts w:ascii="Arial" w:hAnsi="Arial" w:cs="Arial"/>
          <w:sz w:val="20"/>
          <w:szCs w:val="20"/>
        </w:rPr>
        <w:t>Exchange</w:t>
      </w:r>
      <w:r w:rsidRPr="00132FB7">
        <w:rPr>
          <w:rFonts w:ascii="Arial" w:hAnsi="Arial" w:cs="Arial"/>
          <w:sz w:val="20"/>
          <w:szCs w:val="20"/>
        </w:rPr>
        <w:t xml:space="preserve"> clarifies that it is not compulsory for listed companies to consider climate-rela</w:t>
      </w:r>
      <w:r w:rsidR="00F53F35">
        <w:rPr>
          <w:rFonts w:ascii="Arial" w:hAnsi="Arial" w:cs="Arial"/>
          <w:sz w:val="20"/>
          <w:szCs w:val="20"/>
        </w:rPr>
        <w:t>ted factors when formulating their</w:t>
      </w:r>
      <w:r w:rsidRPr="00132FB7">
        <w:rPr>
          <w:rFonts w:ascii="Arial" w:hAnsi="Arial" w:cs="Arial"/>
          <w:sz w:val="20"/>
          <w:szCs w:val="20"/>
        </w:rPr>
        <w:t xml:space="preserve"> remuneration policy and the </w:t>
      </w:r>
      <w:r w:rsidR="00306A09">
        <w:rPr>
          <w:rFonts w:ascii="Arial" w:hAnsi="Arial" w:cs="Arial"/>
          <w:sz w:val="20"/>
          <w:szCs w:val="20"/>
        </w:rPr>
        <w:t>Exchange</w:t>
      </w:r>
      <w:r w:rsidRPr="00132FB7">
        <w:rPr>
          <w:rFonts w:ascii="Arial" w:hAnsi="Arial" w:cs="Arial"/>
          <w:sz w:val="20"/>
          <w:szCs w:val="20"/>
        </w:rPr>
        <w:t xml:space="preserve"> does not intend to interfere with the absolute discretion of the board of directors on whether to include these factors</w:t>
      </w:r>
      <w:r w:rsidR="00317371">
        <w:rPr>
          <w:rFonts w:ascii="Arial" w:hAnsi="Arial" w:cs="Arial"/>
          <w:sz w:val="20"/>
          <w:szCs w:val="20"/>
        </w:rPr>
        <w:t>,</w:t>
      </w:r>
      <w:r w:rsidRPr="00132FB7">
        <w:rPr>
          <w:rFonts w:ascii="Arial" w:hAnsi="Arial" w:cs="Arial"/>
          <w:sz w:val="20"/>
          <w:szCs w:val="20"/>
        </w:rPr>
        <w:t xml:space="preserve"> and the scope of persons covered by this policy. However, the </w:t>
      </w:r>
      <w:r w:rsidR="00306A09">
        <w:rPr>
          <w:rFonts w:ascii="Arial" w:hAnsi="Arial" w:cs="Arial"/>
          <w:sz w:val="20"/>
          <w:szCs w:val="20"/>
        </w:rPr>
        <w:t>Exchange</w:t>
      </w:r>
      <w:r w:rsidRPr="00132FB7">
        <w:rPr>
          <w:rFonts w:ascii="Arial" w:hAnsi="Arial" w:cs="Arial"/>
          <w:sz w:val="20"/>
          <w:szCs w:val="20"/>
        </w:rPr>
        <w:t xml:space="preserve"> encourage</w:t>
      </w:r>
      <w:r w:rsidR="00D9597A">
        <w:rPr>
          <w:rFonts w:ascii="Arial" w:hAnsi="Arial" w:cs="Arial"/>
          <w:sz w:val="20"/>
          <w:szCs w:val="20"/>
        </w:rPr>
        <w:t>s</w:t>
      </w:r>
      <w:r w:rsidRPr="00132FB7">
        <w:rPr>
          <w:rFonts w:ascii="Arial" w:hAnsi="Arial" w:cs="Arial"/>
          <w:sz w:val="20"/>
          <w:szCs w:val="20"/>
        </w:rPr>
        <w:t xml:space="preserve"> listed companies to set climate-related KPIs such as performance, investment, product, rating and climate-related targets to incentivise senior management in achieving climate-related goals. Although not required, quantitative disclosure on the percentage of the remuneration that is tied to climate-related considerations is also encouraged. </w:t>
      </w:r>
    </w:p>
    <w:p w14:paraId="0354D6E7" w14:textId="77777777" w:rsidR="00D9597A" w:rsidRDefault="00D9597A" w:rsidP="0028091A">
      <w:pPr>
        <w:spacing w:after="0"/>
        <w:jc w:val="both"/>
        <w:rPr>
          <w:rFonts w:ascii="Arial" w:hAnsi="Arial" w:cs="Arial"/>
          <w:sz w:val="20"/>
          <w:szCs w:val="20"/>
        </w:rPr>
      </w:pPr>
    </w:p>
    <w:p w14:paraId="68C4FD55" w14:textId="77777777" w:rsidR="00D9597A" w:rsidRPr="00132FB7" w:rsidRDefault="00D9597A" w:rsidP="0028091A">
      <w:pPr>
        <w:spacing w:after="0"/>
        <w:jc w:val="both"/>
        <w:rPr>
          <w:rFonts w:ascii="Arial" w:hAnsi="Arial" w:cs="Arial"/>
          <w:sz w:val="20"/>
          <w:szCs w:val="20"/>
        </w:rPr>
      </w:pPr>
    </w:p>
    <w:p w14:paraId="6837A688" w14:textId="77777777" w:rsidR="00483088" w:rsidRPr="00132FB7" w:rsidRDefault="00483088" w:rsidP="0028091A">
      <w:pPr>
        <w:spacing w:after="0"/>
        <w:jc w:val="both"/>
        <w:rPr>
          <w:rFonts w:ascii="Arial" w:hAnsi="Arial" w:cs="Arial"/>
          <w:sz w:val="20"/>
          <w:szCs w:val="20"/>
        </w:rPr>
      </w:pPr>
    </w:p>
    <w:p w14:paraId="39FC9B87" w14:textId="77777777" w:rsidR="00483088" w:rsidRPr="000A0010" w:rsidRDefault="00E70254" w:rsidP="000A0010">
      <w:pPr>
        <w:pStyle w:val="ListParagraph"/>
        <w:numPr>
          <w:ilvl w:val="0"/>
          <w:numId w:val="11"/>
        </w:numPr>
        <w:spacing w:after="0"/>
        <w:ind w:left="284"/>
        <w:jc w:val="both"/>
        <w:rPr>
          <w:rFonts w:ascii="Arial" w:hAnsi="Arial" w:cs="Arial"/>
          <w:b/>
          <w:color w:val="FF0000"/>
          <w:sz w:val="20"/>
          <w:szCs w:val="20"/>
        </w:rPr>
      </w:pPr>
      <w:r w:rsidRPr="000A0010">
        <w:rPr>
          <w:rFonts w:ascii="Arial" w:hAnsi="Arial" w:cs="Arial"/>
          <w:b/>
          <w:color w:val="FF0000"/>
          <w:sz w:val="20"/>
          <w:szCs w:val="20"/>
        </w:rPr>
        <w:t>Industry-based metrics</w:t>
      </w:r>
    </w:p>
    <w:p w14:paraId="2AE76801" w14:textId="77777777" w:rsidR="000A0010" w:rsidRDefault="000A0010" w:rsidP="0028091A">
      <w:pPr>
        <w:spacing w:after="0"/>
        <w:jc w:val="both"/>
        <w:rPr>
          <w:rFonts w:ascii="Arial" w:hAnsi="Arial" w:cs="Arial"/>
          <w:sz w:val="20"/>
          <w:szCs w:val="20"/>
        </w:rPr>
      </w:pPr>
    </w:p>
    <w:p w14:paraId="0A8DBFAA" w14:textId="77777777" w:rsidR="00483088" w:rsidRPr="00132FB7" w:rsidRDefault="00F53F35" w:rsidP="0028091A">
      <w:pPr>
        <w:spacing w:after="0"/>
        <w:jc w:val="both"/>
        <w:rPr>
          <w:rFonts w:ascii="Arial" w:hAnsi="Arial" w:cs="Arial"/>
          <w:sz w:val="20"/>
          <w:szCs w:val="20"/>
        </w:rPr>
      </w:pPr>
      <w:r>
        <w:rPr>
          <w:rFonts w:ascii="Arial" w:hAnsi="Arial" w:cs="Arial"/>
          <w:sz w:val="20"/>
          <w:szCs w:val="20"/>
        </w:rPr>
        <w:t xml:space="preserve">Although </w:t>
      </w:r>
      <w:r w:rsidR="00E70254" w:rsidRPr="00132FB7">
        <w:rPr>
          <w:rFonts w:ascii="Arial" w:hAnsi="Arial" w:cs="Arial"/>
          <w:sz w:val="20"/>
          <w:szCs w:val="20"/>
        </w:rPr>
        <w:t>optional</w:t>
      </w:r>
      <w:r>
        <w:rPr>
          <w:rFonts w:ascii="Arial" w:hAnsi="Arial" w:cs="Arial"/>
          <w:sz w:val="20"/>
          <w:szCs w:val="20"/>
        </w:rPr>
        <w:t xml:space="preserve">, the </w:t>
      </w:r>
      <w:r w:rsidR="00306A09">
        <w:rPr>
          <w:rFonts w:ascii="Arial" w:hAnsi="Arial" w:cs="Arial"/>
          <w:sz w:val="20"/>
          <w:szCs w:val="20"/>
        </w:rPr>
        <w:t>Exchange</w:t>
      </w:r>
      <w:r w:rsidR="00E70254" w:rsidRPr="00132FB7">
        <w:rPr>
          <w:rFonts w:ascii="Arial" w:hAnsi="Arial" w:cs="Arial"/>
          <w:sz w:val="20"/>
          <w:szCs w:val="20"/>
        </w:rPr>
        <w:t xml:space="preserve"> </w:t>
      </w:r>
      <w:r>
        <w:rPr>
          <w:rFonts w:ascii="Arial" w:hAnsi="Arial" w:cs="Arial"/>
          <w:sz w:val="20"/>
          <w:szCs w:val="20"/>
        </w:rPr>
        <w:t>strongl</w:t>
      </w:r>
      <w:r w:rsidR="00E70254" w:rsidRPr="00132FB7">
        <w:rPr>
          <w:rFonts w:ascii="Arial" w:hAnsi="Arial" w:cs="Arial"/>
          <w:sz w:val="20"/>
          <w:szCs w:val="20"/>
        </w:rPr>
        <w:t>y encour</w:t>
      </w:r>
      <w:r>
        <w:rPr>
          <w:rFonts w:ascii="Arial" w:hAnsi="Arial" w:cs="Arial"/>
          <w:sz w:val="20"/>
          <w:szCs w:val="20"/>
        </w:rPr>
        <w:t xml:space="preserve">ages </w:t>
      </w:r>
      <w:r w:rsidR="00E70254" w:rsidRPr="00132FB7">
        <w:rPr>
          <w:rFonts w:ascii="Arial" w:hAnsi="Arial" w:cs="Arial"/>
          <w:sz w:val="20"/>
          <w:szCs w:val="20"/>
        </w:rPr>
        <w:t>listed companies to disclose industry-based metrics that are relevant to one or more of their business models, activities or other common features that characterise participation in an industry</w:t>
      </w:r>
      <w:r>
        <w:rPr>
          <w:rFonts w:ascii="Arial" w:hAnsi="Arial" w:cs="Arial"/>
          <w:sz w:val="20"/>
          <w:szCs w:val="20"/>
        </w:rPr>
        <w:t>.</w:t>
      </w:r>
      <w:r w:rsidR="00E70254" w:rsidRPr="00132FB7">
        <w:rPr>
          <w:rStyle w:val="FootnoteReference"/>
          <w:rFonts w:ascii="Arial" w:hAnsi="Arial" w:cs="Arial"/>
          <w:sz w:val="20"/>
          <w:szCs w:val="20"/>
        </w:rPr>
        <w:footnoteReference w:id="14"/>
      </w:r>
      <w:r w:rsidR="00E70254" w:rsidRPr="00132FB7">
        <w:rPr>
          <w:rFonts w:ascii="Arial" w:hAnsi="Arial" w:cs="Arial"/>
          <w:sz w:val="20"/>
          <w:szCs w:val="20"/>
        </w:rPr>
        <w:t xml:space="preserve"> The IFRS S2 Industry-based Guidance on implementing Climate-related Disclosures and other industry-based disclosure requirements prescribed under other international E</w:t>
      </w:r>
      <w:r>
        <w:rPr>
          <w:rFonts w:ascii="Arial" w:hAnsi="Arial" w:cs="Arial"/>
          <w:sz w:val="20"/>
          <w:szCs w:val="20"/>
        </w:rPr>
        <w:t>SG reporting frameworks provide</w:t>
      </w:r>
      <w:r w:rsidR="00E70254" w:rsidRPr="00132FB7">
        <w:rPr>
          <w:rFonts w:ascii="Arial" w:hAnsi="Arial" w:cs="Arial"/>
          <w:sz w:val="20"/>
          <w:szCs w:val="20"/>
        </w:rPr>
        <w:t xml:space="preserve"> for various industry-based metrics for consideration.  </w:t>
      </w:r>
    </w:p>
    <w:p w14:paraId="7AFE934D" w14:textId="77777777" w:rsidR="00483088" w:rsidRPr="00132FB7" w:rsidRDefault="00483088" w:rsidP="0028091A">
      <w:pPr>
        <w:spacing w:after="0"/>
        <w:jc w:val="both"/>
        <w:rPr>
          <w:rFonts w:ascii="Arial" w:hAnsi="Arial" w:cs="Arial"/>
          <w:sz w:val="20"/>
          <w:szCs w:val="20"/>
        </w:rPr>
      </w:pPr>
    </w:p>
    <w:p w14:paraId="1365FA2B" w14:textId="77777777" w:rsidR="00034085" w:rsidRPr="000A0010" w:rsidRDefault="000A0010" w:rsidP="0028091A">
      <w:pPr>
        <w:spacing w:after="0"/>
        <w:jc w:val="both"/>
        <w:rPr>
          <w:rFonts w:ascii="Arial" w:hAnsi="Arial" w:cs="Arial"/>
          <w:b/>
          <w:color w:val="FF0000"/>
          <w:sz w:val="20"/>
          <w:szCs w:val="20"/>
        </w:rPr>
      </w:pPr>
      <w:r w:rsidRPr="000A0010">
        <w:rPr>
          <w:rFonts w:ascii="Arial" w:hAnsi="Arial" w:cs="Arial"/>
          <w:b/>
          <w:color w:val="FF0000"/>
          <w:sz w:val="20"/>
          <w:szCs w:val="20"/>
        </w:rPr>
        <w:t xml:space="preserve">Other Matters </w:t>
      </w:r>
    </w:p>
    <w:p w14:paraId="4A3B0D93" w14:textId="77777777" w:rsidR="000A0010" w:rsidRDefault="000A0010" w:rsidP="0028091A">
      <w:pPr>
        <w:spacing w:after="0"/>
        <w:jc w:val="both"/>
        <w:rPr>
          <w:rFonts w:ascii="Arial" w:hAnsi="Arial" w:cs="Arial"/>
          <w:sz w:val="20"/>
          <w:szCs w:val="20"/>
        </w:rPr>
      </w:pPr>
    </w:p>
    <w:p w14:paraId="5684A4F4" w14:textId="77777777" w:rsidR="00483088" w:rsidRPr="000A0010" w:rsidRDefault="00E70254" w:rsidP="0028091A">
      <w:pPr>
        <w:spacing w:after="0"/>
        <w:jc w:val="both"/>
        <w:rPr>
          <w:rFonts w:ascii="Arial" w:hAnsi="Arial" w:cs="Arial"/>
          <w:b/>
          <w:sz w:val="20"/>
          <w:szCs w:val="20"/>
        </w:rPr>
      </w:pPr>
      <w:r w:rsidRPr="000A0010">
        <w:rPr>
          <w:rFonts w:ascii="Arial" w:hAnsi="Arial" w:cs="Arial"/>
          <w:b/>
          <w:sz w:val="20"/>
          <w:szCs w:val="20"/>
        </w:rPr>
        <w:t xml:space="preserve">Implementation Guidance </w:t>
      </w:r>
    </w:p>
    <w:p w14:paraId="39B91BB4" w14:textId="77777777" w:rsidR="000A0010" w:rsidRDefault="000A0010" w:rsidP="0028091A">
      <w:pPr>
        <w:spacing w:after="0"/>
        <w:jc w:val="both"/>
        <w:rPr>
          <w:rFonts w:ascii="Arial" w:hAnsi="Arial" w:cs="Arial"/>
          <w:sz w:val="20"/>
          <w:szCs w:val="20"/>
        </w:rPr>
      </w:pPr>
    </w:p>
    <w:p w14:paraId="0D6893EC" w14:textId="77777777" w:rsidR="00034085" w:rsidRPr="00132FB7" w:rsidRDefault="00E70254" w:rsidP="0028091A">
      <w:pPr>
        <w:spacing w:after="0"/>
        <w:jc w:val="both"/>
        <w:rPr>
          <w:rFonts w:ascii="Arial" w:hAnsi="Arial" w:cs="Arial"/>
          <w:sz w:val="20"/>
          <w:szCs w:val="20"/>
        </w:rPr>
      </w:pPr>
      <w:r w:rsidRPr="00132FB7">
        <w:rPr>
          <w:rFonts w:ascii="Arial" w:hAnsi="Arial" w:cs="Arial"/>
          <w:sz w:val="20"/>
          <w:szCs w:val="20"/>
        </w:rPr>
        <w:t xml:space="preserve">Considering that many respondents voiced requests for practical guidance on the format of the disclosures, how to set and disclose climate-related targets, methods of conducting climate-related scenario analysis, guidance on the quantification of financial effects, calculation of scope 3 greenhouse gas emissions and suggested steps to make the requisite qualitative disclosures, the </w:t>
      </w:r>
      <w:r w:rsidR="00306A09">
        <w:rPr>
          <w:rFonts w:ascii="Arial" w:hAnsi="Arial" w:cs="Arial"/>
          <w:sz w:val="20"/>
          <w:szCs w:val="20"/>
        </w:rPr>
        <w:t>Exchange</w:t>
      </w:r>
      <w:r w:rsidRPr="00132FB7">
        <w:rPr>
          <w:rFonts w:ascii="Arial" w:hAnsi="Arial" w:cs="Arial"/>
          <w:sz w:val="20"/>
          <w:szCs w:val="20"/>
        </w:rPr>
        <w:t xml:space="preserve"> has published the Implementation Guidance alongside the </w:t>
      </w:r>
      <w:r w:rsidR="00D9597A">
        <w:rPr>
          <w:rFonts w:ascii="Arial" w:hAnsi="Arial" w:cs="Arial"/>
          <w:sz w:val="20"/>
          <w:szCs w:val="20"/>
        </w:rPr>
        <w:t>C</w:t>
      </w:r>
      <w:r w:rsidRPr="00132FB7">
        <w:rPr>
          <w:rFonts w:ascii="Arial" w:hAnsi="Arial" w:cs="Arial"/>
          <w:sz w:val="20"/>
          <w:szCs w:val="20"/>
        </w:rPr>
        <w:t xml:space="preserve">onsultation </w:t>
      </w:r>
      <w:r w:rsidR="00D9597A">
        <w:rPr>
          <w:rFonts w:ascii="Arial" w:hAnsi="Arial" w:cs="Arial"/>
          <w:sz w:val="20"/>
          <w:szCs w:val="20"/>
        </w:rPr>
        <w:t>C</w:t>
      </w:r>
      <w:r w:rsidRPr="00132FB7">
        <w:rPr>
          <w:rFonts w:ascii="Arial" w:hAnsi="Arial" w:cs="Arial"/>
          <w:sz w:val="20"/>
          <w:szCs w:val="20"/>
        </w:rPr>
        <w:t xml:space="preserve">onclusions. The Implementation Guidance contains useful details on each new climate-related disclosure and incorporates the ISSB Standards. Listed companies should reference the Implementation Guidance to ensure consistent and accurate disclosures. </w:t>
      </w:r>
    </w:p>
    <w:p w14:paraId="7FFF7BCE" w14:textId="77777777" w:rsidR="00034085" w:rsidRPr="00132FB7" w:rsidRDefault="00034085" w:rsidP="0028091A">
      <w:pPr>
        <w:spacing w:after="0"/>
        <w:jc w:val="both"/>
        <w:rPr>
          <w:rFonts w:ascii="Arial" w:hAnsi="Arial" w:cs="Arial"/>
          <w:sz w:val="20"/>
          <w:szCs w:val="20"/>
        </w:rPr>
      </w:pPr>
    </w:p>
    <w:p w14:paraId="073D7B16" w14:textId="77777777" w:rsidR="00034085" w:rsidRPr="000A0010" w:rsidRDefault="00E70254" w:rsidP="0028091A">
      <w:pPr>
        <w:spacing w:after="0"/>
        <w:jc w:val="both"/>
        <w:rPr>
          <w:rFonts w:ascii="Arial" w:hAnsi="Arial" w:cs="Arial"/>
          <w:b/>
          <w:sz w:val="20"/>
          <w:szCs w:val="20"/>
        </w:rPr>
      </w:pPr>
      <w:r w:rsidRPr="000A0010">
        <w:rPr>
          <w:rFonts w:ascii="Arial" w:hAnsi="Arial" w:cs="Arial"/>
          <w:b/>
          <w:sz w:val="20"/>
          <w:szCs w:val="20"/>
        </w:rPr>
        <w:t xml:space="preserve">Feedback on latest ISSB developments </w:t>
      </w:r>
    </w:p>
    <w:p w14:paraId="5CA7A82C" w14:textId="77777777" w:rsidR="000A0010" w:rsidRDefault="000A0010" w:rsidP="0028091A">
      <w:pPr>
        <w:spacing w:after="0"/>
        <w:jc w:val="both"/>
        <w:rPr>
          <w:rFonts w:ascii="Arial" w:hAnsi="Arial" w:cs="Arial"/>
          <w:sz w:val="20"/>
          <w:szCs w:val="20"/>
        </w:rPr>
      </w:pPr>
    </w:p>
    <w:p w14:paraId="26EB8E21" w14:textId="588452AA" w:rsidR="00217EFB" w:rsidRPr="00132FB7" w:rsidRDefault="00E70254" w:rsidP="0028091A">
      <w:pPr>
        <w:spacing w:after="0"/>
        <w:jc w:val="both"/>
        <w:rPr>
          <w:rFonts w:ascii="Arial" w:hAnsi="Arial" w:cs="Arial"/>
          <w:sz w:val="20"/>
          <w:szCs w:val="20"/>
        </w:rPr>
      </w:pPr>
      <w:r w:rsidRPr="00132FB7">
        <w:rPr>
          <w:rFonts w:ascii="Arial" w:hAnsi="Arial" w:cs="Arial"/>
          <w:sz w:val="20"/>
          <w:szCs w:val="20"/>
        </w:rPr>
        <w:t xml:space="preserve">Regarding the impact of the final ISSB Standards published on 26 June 2023 on the proposals made by the </w:t>
      </w:r>
      <w:r w:rsidR="00306A09">
        <w:rPr>
          <w:rFonts w:ascii="Arial" w:hAnsi="Arial" w:cs="Arial"/>
          <w:sz w:val="20"/>
          <w:szCs w:val="20"/>
        </w:rPr>
        <w:t>Exchange</w:t>
      </w:r>
      <w:r w:rsidRPr="00132FB7">
        <w:rPr>
          <w:rFonts w:ascii="Arial" w:hAnsi="Arial" w:cs="Arial"/>
          <w:sz w:val="20"/>
          <w:szCs w:val="20"/>
        </w:rPr>
        <w:t xml:space="preserve">, a respondent expressed concerns over whether the flexibility for listed companies to determine their own reporting boundary under paragraph 15 of the ESG Code will be applicable as </w:t>
      </w:r>
      <w:r w:rsidR="00F53F35">
        <w:rPr>
          <w:rFonts w:ascii="Arial" w:hAnsi="Arial" w:cs="Arial"/>
          <w:sz w:val="20"/>
          <w:szCs w:val="20"/>
        </w:rPr>
        <w:t xml:space="preserve">this </w:t>
      </w:r>
      <w:r w:rsidRPr="00132FB7">
        <w:rPr>
          <w:rFonts w:ascii="Arial" w:hAnsi="Arial" w:cs="Arial"/>
          <w:sz w:val="20"/>
          <w:szCs w:val="20"/>
        </w:rPr>
        <w:t xml:space="preserve">is not provided </w:t>
      </w:r>
      <w:r w:rsidR="00F53F35">
        <w:rPr>
          <w:rFonts w:ascii="Arial" w:hAnsi="Arial" w:cs="Arial"/>
          <w:sz w:val="20"/>
          <w:szCs w:val="20"/>
        </w:rPr>
        <w:t>for in</w:t>
      </w:r>
      <w:r w:rsidRPr="00132FB7">
        <w:rPr>
          <w:rFonts w:ascii="Arial" w:hAnsi="Arial" w:cs="Arial"/>
          <w:sz w:val="20"/>
          <w:szCs w:val="20"/>
        </w:rPr>
        <w:t xml:space="preserve"> the ISSB Standards. The </w:t>
      </w:r>
      <w:r w:rsidR="00306A09">
        <w:rPr>
          <w:rFonts w:ascii="Arial" w:hAnsi="Arial" w:cs="Arial"/>
          <w:sz w:val="20"/>
          <w:szCs w:val="20"/>
        </w:rPr>
        <w:t>Exchange</w:t>
      </w:r>
      <w:r w:rsidR="00317371">
        <w:rPr>
          <w:rFonts w:ascii="Arial" w:hAnsi="Arial" w:cs="Arial"/>
          <w:sz w:val="20"/>
          <w:szCs w:val="20"/>
        </w:rPr>
        <w:t>’s response is</w:t>
      </w:r>
      <w:r w:rsidR="00F53F35">
        <w:rPr>
          <w:rFonts w:ascii="Arial" w:hAnsi="Arial" w:cs="Arial"/>
          <w:sz w:val="20"/>
          <w:szCs w:val="20"/>
        </w:rPr>
        <w:t xml:space="preserve"> that</w:t>
      </w:r>
      <w:r w:rsidRPr="00132FB7">
        <w:rPr>
          <w:rFonts w:ascii="Arial" w:hAnsi="Arial" w:cs="Arial"/>
          <w:sz w:val="20"/>
          <w:szCs w:val="20"/>
        </w:rPr>
        <w:t xml:space="preserve"> the current requirements under the existing Listing Rules</w:t>
      </w:r>
      <w:r w:rsidR="00F53F35">
        <w:rPr>
          <w:rFonts w:ascii="Arial" w:hAnsi="Arial" w:cs="Arial"/>
          <w:sz w:val="20"/>
          <w:szCs w:val="20"/>
        </w:rPr>
        <w:t xml:space="preserve"> will not be amended, however, </w:t>
      </w:r>
      <w:r w:rsidR="00B41A8E">
        <w:rPr>
          <w:rFonts w:ascii="Arial" w:hAnsi="Arial" w:cs="Arial"/>
          <w:sz w:val="20"/>
          <w:szCs w:val="20"/>
        </w:rPr>
        <w:t>l</w:t>
      </w:r>
      <w:r w:rsidR="00F53F35">
        <w:rPr>
          <w:rFonts w:ascii="Arial" w:hAnsi="Arial" w:cs="Arial"/>
          <w:sz w:val="20"/>
          <w:szCs w:val="20"/>
        </w:rPr>
        <w:t xml:space="preserve">isted </w:t>
      </w:r>
      <w:r w:rsidR="00B41A8E">
        <w:rPr>
          <w:rFonts w:ascii="Arial" w:hAnsi="Arial" w:cs="Arial"/>
          <w:sz w:val="20"/>
          <w:szCs w:val="20"/>
        </w:rPr>
        <w:t>c</w:t>
      </w:r>
      <w:r w:rsidRPr="00132FB7">
        <w:rPr>
          <w:rFonts w:ascii="Arial" w:hAnsi="Arial" w:cs="Arial"/>
          <w:sz w:val="20"/>
          <w:szCs w:val="20"/>
        </w:rPr>
        <w:t xml:space="preserve">ompanies are encouraged to follow international standards to prepare for the future Hong Kong Standards. </w:t>
      </w:r>
    </w:p>
    <w:p w14:paraId="35B86247" w14:textId="77777777" w:rsidR="00DB3499" w:rsidRPr="00132FB7" w:rsidRDefault="00DB3499" w:rsidP="0028091A">
      <w:pPr>
        <w:spacing w:after="0"/>
        <w:jc w:val="both"/>
        <w:rPr>
          <w:rFonts w:ascii="Arial" w:hAnsi="Arial" w:cs="Arial"/>
          <w:sz w:val="20"/>
          <w:szCs w:val="20"/>
        </w:rPr>
      </w:pPr>
    </w:p>
    <w:p w14:paraId="7D9F12E8" w14:textId="77777777" w:rsidR="00DB3499" w:rsidRPr="000A0010" w:rsidRDefault="00E70254" w:rsidP="0028091A">
      <w:pPr>
        <w:spacing w:after="0"/>
        <w:jc w:val="both"/>
        <w:rPr>
          <w:rFonts w:ascii="Arial" w:hAnsi="Arial" w:cs="Arial"/>
          <w:b/>
          <w:sz w:val="20"/>
          <w:szCs w:val="20"/>
        </w:rPr>
      </w:pPr>
      <w:r w:rsidRPr="000A0010">
        <w:rPr>
          <w:rFonts w:ascii="Arial" w:hAnsi="Arial" w:cs="Arial"/>
          <w:b/>
          <w:sz w:val="20"/>
          <w:szCs w:val="20"/>
        </w:rPr>
        <w:t>Additional comments</w:t>
      </w:r>
    </w:p>
    <w:p w14:paraId="5AA55BAB" w14:textId="77777777" w:rsidR="000A0010" w:rsidRDefault="000A0010" w:rsidP="0028091A">
      <w:pPr>
        <w:spacing w:after="0"/>
        <w:jc w:val="both"/>
        <w:rPr>
          <w:rFonts w:ascii="Arial" w:hAnsi="Arial" w:cs="Arial"/>
          <w:sz w:val="20"/>
          <w:szCs w:val="20"/>
        </w:rPr>
      </w:pPr>
    </w:p>
    <w:p w14:paraId="14BAA609" w14:textId="2992A711" w:rsidR="00DB3499" w:rsidRPr="00132FB7" w:rsidRDefault="00E70254" w:rsidP="0028091A">
      <w:pPr>
        <w:spacing w:after="0"/>
        <w:jc w:val="both"/>
        <w:rPr>
          <w:rFonts w:ascii="Arial" w:hAnsi="Arial" w:cs="Arial"/>
          <w:sz w:val="20"/>
          <w:szCs w:val="20"/>
        </w:rPr>
      </w:pPr>
      <w:r w:rsidRPr="00132FB7">
        <w:rPr>
          <w:rFonts w:ascii="Arial" w:hAnsi="Arial" w:cs="Arial"/>
          <w:sz w:val="20"/>
          <w:szCs w:val="20"/>
        </w:rPr>
        <w:t xml:space="preserve">Some respondents suggested the addition of the ESG assurance requirements subject to a limited assurance within the coming two to three years in light of the recent consultation on independent sustainability assurance published by the International Auditing and Assurance Standards Board. The </w:t>
      </w:r>
      <w:r w:rsidR="00306A09">
        <w:rPr>
          <w:rFonts w:ascii="Arial" w:hAnsi="Arial" w:cs="Arial"/>
          <w:sz w:val="20"/>
          <w:szCs w:val="20"/>
        </w:rPr>
        <w:t>Exchange</w:t>
      </w:r>
      <w:r w:rsidR="00317371">
        <w:rPr>
          <w:rFonts w:ascii="Arial" w:hAnsi="Arial" w:cs="Arial"/>
          <w:sz w:val="20"/>
          <w:szCs w:val="20"/>
        </w:rPr>
        <w:t xml:space="preserve"> notes</w:t>
      </w:r>
      <w:r w:rsidRPr="00132FB7">
        <w:rPr>
          <w:rFonts w:ascii="Arial" w:hAnsi="Arial" w:cs="Arial"/>
          <w:sz w:val="20"/>
          <w:szCs w:val="20"/>
        </w:rPr>
        <w:t xml:space="preserve"> that since a globally</w:t>
      </w:r>
      <w:r w:rsidR="00F53F35">
        <w:rPr>
          <w:rFonts w:ascii="Arial" w:hAnsi="Arial" w:cs="Arial"/>
          <w:sz w:val="20"/>
          <w:szCs w:val="20"/>
        </w:rPr>
        <w:t xml:space="preserve"> accepted assurance standard has</w:t>
      </w:r>
      <w:r w:rsidRPr="00132FB7">
        <w:rPr>
          <w:rFonts w:ascii="Arial" w:hAnsi="Arial" w:cs="Arial"/>
          <w:sz w:val="20"/>
          <w:szCs w:val="20"/>
        </w:rPr>
        <w:t xml:space="preserve"> yet to be developed, there is no need for</w:t>
      </w:r>
      <w:r w:rsidR="00B41A8E">
        <w:rPr>
          <w:rFonts w:ascii="Arial" w:hAnsi="Arial" w:cs="Arial"/>
          <w:sz w:val="20"/>
          <w:szCs w:val="20"/>
        </w:rPr>
        <w:t xml:space="preserve"> mandatory</w:t>
      </w:r>
      <w:r w:rsidRPr="00132FB7">
        <w:rPr>
          <w:rFonts w:ascii="Arial" w:hAnsi="Arial" w:cs="Arial"/>
          <w:sz w:val="20"/>
          <w:szCs w:val="20"/>
        </w:rPr>
        <w:t xml:space="preserve"> independent assurance at this stage. However, paragraph 9 of the ESG Code encourages </w:t>
      </w:r>
      <w:r w:rsidR="00D9597A">
        <w:rPr>
          <w:rFonts w:ascii="Arial" w:hAnsi="Arial" w:cs="Arial"/>
          <w:sz w:val="20"/>
          <w:szCs w:val="20"/>
        </w:rPr>
        <w:t>seeking</w:t>
      </w:r>
      <w:r w:rsidRPr="00132FB7">
        <w:rPr>
          <w:rFonts w:ascii="Arial" w:hAnsi="Arial" w:cs="Arial"/>
          <w:sz w:val="20"/>
          <w:szCs w:val="20"/>
        </w:rPr>
        <w:t xml:space="preserve"> independent assurance to strengthen the credibility of the ESG information disclosed. As further explained in question 23 of </w:t>
      </w:r>
      <w:hyperlink r:id="rId13" w:history="1">
        <w:r w:rsidRPr="00132FB7">
          <w:rPr>
            <w:rStyle w:val="Hyperlink"/>
            <w:rFonts w:ascii="Arial" w:hAnsi="Arial" w:cs="Arial"/>
            <w:sz w:val="20"/>
            <w:szCs w:val="20"/>
          </w:rPr>
          <w:t>FAQ Series 18</w:t>
        </w:r>
      </w:hyperlink>
      <w:r w:rsidRPr="00132FB7">
        <w:rPr>
          <w:rFonts w:ascii="Arial" w:hAnsi="Arial" w:cs="Arial"/>
          <w:sz w:val="20"/>
          <w:szCs w:val="20"/>
        </w:rPr>
        <w:t>, listed companies should ensure</w:t>
      </w:r>
      <w:r w:rsidR="00317371">
        <w:rPr>
          <w:rFonts w:ascii="Arial" w:hAnsi="Arial" w:cs="Arial"/>
          <w:sz w:val="20"/>
          <w:szCs w:val="20"/>
        </w:rPr>
        <w:t xml:space="preserve"> that the assurance provider </w:t>
      </w:r>
      <w:r w:rsidRPr="00132FB7">
        <w:rPr>
          <w:rFonts w:ascii="Arial" w:hAnsi="Arial" w:cs="Arial"/>
          <w:sz w:val="20"/>
          <w:szCs w:val="20"/>
        </w:rPr>
        <w:t>(</w:t>
      </w:r>
      <w:proofErr w:type="spellStart"/>
      <w:r w:rsidRPr="00132FB7">
        <w:rPr>
          <w:rFonts w:ascii="Arial" w:hAnsi="Arial" w:cs="Arial"/>
          <w:sz w:val="20"/>
          <w:szCs w:val="20"/>
        </w:rPr>
        <w:t>i</w:t>
      </w:r>
      <w:proofErr w:type="spellEnd"/>
      <w:r w:rsidRPr="00132FB7">
        <w:rPr>
          <w:rFonts w:ascii="Arial" w:hAnsi="Arial" w:cs="Arial"/>
          <w:sz w:val="20"/>
          <w:szCs w:val="20"/>
        </w:rPr>
        <w:t xml:space="preserve">) </w:t>
      </w:r>
      <w:r w:rsidR="00317371">
        <w:rPr>
          <w:rFonts w:ascii="Arial" w:hAnsi="Arial" w:cs="Arial"/>
          <w:sz w:val="20"/>
          <w:szCs w:val="20"/>
        </w:rPr>
        <w:t xml:space="preserve">is </w:t>
      </w:r>
      <w:r w:rsidRPr="00132FB7">
        <w:rPr>
          <w:rFonts w:ascii="Arial" w:hAnsi="Arial" w:cs="Arial"/>
          <w:sz w:val="20"/>
          <w:szCs w:val="20"/>
        </w:rPr>
        <w:t>an independent third party</w:t>
      </w:r>
      <w:r w:rsidR="00B41A8E">
        <w:rPr>
          <w:rFonts w:ascii="Arial" w:hAnsi="Arial" w:cs="Arial"/>
          <w:sz w:val="20"/>
          <w:szCs w:val="20"/>
        </w:rPr>
        <w:t>;</w:t>
      </w:r>
      <w:r w:rsidRPr="00132FB7">
        <w:rPr>
          <w:rFonts w:ascii="Arial" w:hAnsi="Arial" w:cs="Arial"/>
          <w:sz w:val="20"/>
          <w:szCs w:val="20"/>
        </w:rPr>
        <w:t xml:space="preserve"> (ii) </w:t>
      </w:r>
      <w:r w:rsidR="00317371">
        <w:rPr>
          <w:rFonts w:ascii="Arial" w:hAnsi="Arial" w:cs="Arial"/>
          <w:sz w:val="20"/>
          <w:szCs w:val="20"/>
        </w:rPr>
        <w:t xml:space="preserve">is </w:t>
      </w:r>
      <w:r w:rsidRPr="00132FB7">
        <w:rPr>
          <w:rFonts w:ascii="Arial" w:hAnsi="Arial" w:cs="Arial"/>
          <w:sz w:val="20"/>
          <w:szCs w:val="20"/>
        </w:rPr>
        <w:t>competent in the subject matter and assurance practices</w:t>
      </w:r>
      <w:r w:rsidR="00B41A8E">
        <w:rPr>
          <w:rFonts w:ascii="Arial" w:hAnsi="Arial" w:cs="Arial"/>
          <w:sz w:val="20"/>
          <w:szCs w:val="20"/>
        </w:rPr>
        <w:t>;</w:t>
      </w:r>
      <w:r w:rsidRPr="00132FB7">
        <w:rPr>
          <w:rFonts w:ascii="Arial" w:hAnsi="Arial" w:cs="Arial"/>
          <w:sz w:val="20"/>
          <w:szCs w:val="20"/>
        </w:rPr>
        <w:t xml:space="preserve"> </w:t>
      </w:r>
      <w:r w:rsidR="00F53F35">
        <w:rPr>
          <w:rFonts w:ascii="Arial" w:hAnsi="Arial" w:cs="Arial"/>
          <w:sz w:val="20"/>
          <w:szCs w:val="20"/>
        </w:rPr>
        <w:t xml:space="preserve">and </w:t>
      </w:r>
      <w:r w:rsidRPr="00132FB7">
        <w:rPr>
          <w:rFonts w:ascii="Arial" w:hAnsi="Arial" w:cs="Arial"/>
          <w:sz w:val="20"/>
          <w:szCs w:val="20"/>
        </w:rPr>
        <w:t xml:space="preserve">(iii) will issue a thorough written report setting out the items such as their opinion and summary of work performed. </w:t>
      </w:r>
      <w:r w:rsidR="002F2265" w:rsidRPr="00132FB7">
        <w:rPr>
          <w:rFonts w:ascii="Arial" w:hAnsi="Arial" w:cs="Arial"/>
          <w:sz w:val="20"/>
          <w:szCs w:val="20"/>
        </w:rPr>
        <w:t xml:space="preserve">The </w:t>
      </w:r>
      <w:r w:rsidR="00306A09">
        <w:rPr>
          <w:rFonts w:ascii="Arial" w:hAnsi="Arial" w:cs="Arial"/>
          <w:sz w:val="20"/>
          <w:szCs w:val="20"/>
        </w:rPr>
        <w:t>Exchange</w:t>
      </w:r>
      <w:r w:rsidR="00317371">
        <w:rPr>
          <w:rFonts w:ascii="Arial" w:hAnsi="Arial" w:cs="Arial"/>
          <w:sz w:val="20"/>
          <w:szCs w:val="20"/>
        </w:rPr>
        <w:t xml:space="preserve"> also suggests</w:t>
      </w:r>
      <w:r w:rsidR="002F2265" w:rsidRPr="00132FB7">
        <w:rPr>
          <w:rFonts w:ascii="Arial" w:hAnsi="Arial" w:cs="Arial"/>
          <w:sz w:val="20"/>
          <w:szCs w:val="20"/>
        </w:rPr>
        <w:t xml:space="preserve"> referring to the International Standard on Assurance Engagements 3000 standard for assurance over non-financial information. </w:t>
      </w:r>
    </w:p>
    <w:p w14:paraId="578064DC" w14:textId="77777777" w:rsidR="002F2265" w:rsidRPr="00132FB7" w:rsidRDefault="002F2265" w:rsidP="0028091A">
      <w:pPr>
        <w:spacing w:after="0"/>
        <w:jc w:val="both"/>
        <w:rPr>
          <w:rFonts w:ascii="Arial" w:hAnsi="Arial" w:cs="Arial"/>
          <w:sz w:val="20"/>
          <w:szCs w:val="20"/>
        </w:rPr>
      </w:pPr>
    </w:p>
    <w:p w14:paraId="73AA3199" w14:textId="338F1437" w:rsidR="00DB3499" w:rsidRPr="00132FB7" w:rsidRDefault="00E70254" w:rsidP="0028091A">
      <w:pPr>
        <w:spacing w:after="0"/>
        <w:jc w:val="both"/>
        <w:rPr>
          <w:rFonts w:ascii="Arial" w:hAnsi="Arial" w:cs="Arial"/>
          <w:sz w:val="20"/>
          <w:szCs w:val="20"/>
        </w:rPr>
      </w:pPr>
      <w:r w:rsidRPr="00132FB7">
        <w:rPr>
          <w:rFonts w:ascii="Arial" w:hAnsi="Arial" w:cs="Arial"/>
          <w:sz w:val="20"/>
          <w:szCs w:val="20"/>
        </w:rPr>
        <w:t xml:space="preserve">Respondents also suggested that the </w:t>
      </w:r>
      <w:r w:rsidR="00306A09">
        <w:rPr>
          <w:rFonts w:ascii="Arial" w:hAnsi="Arial" w:cs="Arial"/>
          <w:sz w:val="20"/>
          <w:szCs w:val="20"/>
        </w:rPr>
        <w:t>Exchange</w:t>
      </w:r>
      <w:r w:rsidRPr="00132FB7">
        <w:rPr>
          <w:rFonts w:ascii="Arial" w:hAnsi="Arial" w:cs="Arial"/>
          <w:sz w:val="20"/>
          <w:szCs w:val="20"/>
        </w:rPr>
        <w:t xml:space="preserve"> cooperate with the Hong Kong Government and other stakeholders to improve market infrastructure and wider capacity building by compiling a central database, providing training, developing sustainability taxonomy and exploring relevant certification of professionals. The </w:t>
      </w:r>
      <w:r w:rsidR="00306A09">
        <w:rPr>
          <w:rFonts w:ascii="Arial" w:hAnsi="Arial" w:cs="Arial"/>
          <w:sz w:val="20"/>
          <w:szCs w:val="20"/>
        </w:rPr>
        <w:t>Exchange</w:t>
      </w:r>
      <w:r w:rsidR="00317371">
        <w:rPr>
          <w:rFonts w:ascii="Arial" w:hAnsi="Arial" w:cs="Arial"/>
          <w:sz w:val="20"/>
          <w:szCs w:val="20"/>
        </w:rPr>
        <w:t xml:space="preserve"> notes</w:t>
      </w:r>
      <w:r w:rsidRPr="00132FB7">
        <w:rPr>
          <w:rFonts w:ascii="Arial" w:hAnsi="Arial" w:cs="Arial"/>
          <w:sz w:val="20"/>
          <w:szCs w:val="20"/>
        </w:rPr>
        <w:t xml:space="preserve"> that various capacity-building initiatives are in effect in Hong Kong, including the (</w:t>
      </w:r>
      <w:proofErr w:type="spellStart"/>
      <w:r w:rsidRPr="00132FB7">
        <w:rPr>
          <w:rFonts w:ascii="Arial" w:hAnsi="Arial" w:cs="Arial"/>
          <w:sz w:val="20"/>
          <w:szCs w:val="20"/>
        </w:rPr>
        <w:t>i</w:t>
      </w:r>
      <w:proofErr w:type="spellEnd"/>
      <w:r w:rsidRPr="00132FB7">
        <w:rPr>
          <w:rFonts w:ascii="Arial" w:hAnsi="Arial" w:cs="Arial"/>
          <w:sz w:val="20"/>
          <w:szCs w:val="20"/>
        </w:rPr>
        <w:t xml:space="preserve">) </w:t>
      </w:r>
      <w:proofErr w:type="spellStart"/>
      <w:r w:rsidRPr="00132FB7">
        <w:rPr>
          <w:rFonts w:ascii="Arial" w:hAnsi="Arial" w:cs="Arial"/>
          <w:sz w:val="20"/>
          <w:szCs w:val="20"/>
        </w:rPr>
        <w:t>digitalised</w:t>
      </w:r>
      <w:proofErr w:type="spellEnd"/>
      <w:r w:rsidRPr="00132FB7">
        <w:rPr>
          <w:rFonts w:ascii="Arial" w:hAnsi="Arial" w:cs="Arial"/>
          <w:sz w:val="20"/>
          <w:szCs w:val="20"/>
        </w:rPr>
        <w:t xml:space="preserve"> Climate and Environmental Risk Questionnaire for Non-listed companies</w:t>
      </w:r>
      <w:r w:rsidR="00B41A8E">
        <w:rPr>
          <w:rFonts w:ascii="Arial" w:hAnsi="Arial" w:cs="Arial"/>
          <w:sz w:val="20"/>
          <w:szCs w:val="20"/>
        </w:rPr>
        <w:t>;</w:t>
      </w:r>
      <w:r w:rsidRPr="00132FB7">
        <w:rPr>
          <w:rStyle w:val="FootnoteReference"/>
          <w:rFonts w:ascii="Arial" w:hAnsi="Arial" w:cs="Arial"/>
          <w:sz w:val="20"/>
          <w:szCs w:val="20"/>
        </w:rPr>
        <w:footnoteReference w:id="15"/>
      </w:r>
      <w:r w:rsidRPr="00132FB7">
        <w:rPr>
          <w:rFonts w:ascii="Arial" w:hAnsi="Arial" w:cs="Arial"/>
          <w:sz w:val="20"/>
          <w:szCs w:val="20"/>
        </w:rPr>
        <w:t xml:space="preserve"> (ii) </w:t>
      </w:r>
      <w:r w:rsidR="00317371">
        <w:rPr>
          <w:rFonts w:ascii="Arial" w:hAnsi="Arial" w:cs="Arial"/>
          <w:sz w:val="20"/>
          <w:szCs w:val="20"/>
        </w:rPr>
        <w:t>greenhouse gas</w:t>
      </w:r>
      <w:r w:rsidRPr="00132FB7">
        <w:rPr>
          <w:rFonts w:ascii="Arial" w:hAnsi="Arial" w:cs="Arial"/>
          <w:sz w:val="20"/>
          <w:szCs w:val="20"/>
        </w:rPr>
        <w:t xml:space="preserve"> emissions calculation and estimation tools</w:t>
      </w:r>
      <w:r w:rsidR="00B41A8E">
        <w:rPr>
          <w:rFonts w:ascii="Arial" w:hAnsi="Arial" w:cs="Arial"/>
          <w:sz w:val="20"/>
          <w:szCs w:val="20"/>
        </w:rPr>
        <w:t>;</w:t>
      </w:r>
      <w:r w:rsidRPr="00132FB7">
        <w:rPr>
          <w:rStyle w:val="FootnoteReference"/>
          <w:rFonts w:ascii="Arial" w:hAnsi="Arial" w:cs="Arial"/>
          <w:sz w:val="20"/>
          <w:szCs w:val="20"/>
        </w:rPr>
        <w:footnoteReference w:id="16"/>
      </w:r>
      <w:r w:rsidRPr="00132FB7">
        <w:rPr>
          <w:rFonts w:ascii="Arial" w:hAnsi="Arial" w:cs="Arial"/>
          <w:sz w:val="20"/>
          <w:szCs w:val="20"/>
        </w:rPr>
        <w:t xml:space="preserve"> (iii) a cross-sector repository for green and sustainability-related resources</w:t>
      </w:r>
      <w:r w:rsidR="00B41A8E">
        <w:rPr>
          <w:rFonts w:ascii="Arial" w:hAnsi="Arial" w:cs="Arial"/>
          <w:sz w:val="20"/>
          <w:szCs w:val="20"/>
        </w:rPr>
        <w:t>;</w:t>
      </w:r>
      <w:r w:rsidR="00D9597A">
        <w:rPr>
          <w:rFonts w:ascii="Arial" w:hAnsi="Arial" w:cs="Arial"/>
          <w:sz w:val="20"/>
          <w:szCs w:val="20"/>
        </w:rPr>
        <w:t xml:space="preserve"> </w:t>
      </w:r>
      <w:r w:rsidRPr="00132FB7">
        <w:rPr>
          <w:rFonts w:ascii="Arial" w:hAnsi="Arial" w:cs="Arial"/>
          <w:sz w:val="20"/>
          <w:szCs w:val="20"/>
        </w:rPr>
        <w:t>and (iv) a sustainable finance internship program to train ESG talent in Hong Ko</w:t>
      </w:r>
      <w:bookmarkStart w:id="0" w:name="_GoBack"/>
      <w:bookmarkEnd w:id="0"/>
      <w:r w:rsidRPr="00132FB7">
        <w:rPr>
          <w:rFonts w:ascii="Arial" w:hAnsi="Arial" w:cs="Arial"/>
          <w:sz w:val="20"/>
          <w:szCs w:val="20"/>
        </w:rPr>
        <w:t xml:space="preserve">ng. In addition, the Hong Kong Monetary Authority has released a discussion </w:t>
      </w:r>
      <w:r w:rsidR="008752C7" w:rsidRPr="00132FB7">
        <w:rPr>
          <w:rFonts w:ascii="Arial" w:hAnsi="Arial" w:cs="Arial"/>
          <w:sz w:val="20"/>
          <w:szCs w:val="20"/>
        </w:rPr>
        <w:t xml:space="preserve">paper on a </w:t>
      </w:r>
      <w:r w:rsidRPr="00132FB7">
        <w:rPr>
          <w:rFonts w:ascii="Arial" w:hAnsi="Arial" w:cs="Arial"/>
          <w:sz w:val="20"/>
          <w:szCs w:val="20"/>
        </w:rPr>
        <w:t xml:space="preserve">local green classification </w:t>
      </w:r>
      <w:r w:rsidR="008752C7" w:rsidRPr="00132FB7">
        <w:rPr>
          <w:rFonts w:ascii="Arial" w:hAnsi="Arial" w:cs="Arial"/>
          <w:sz w:val="20"/>
          <w:szCs w:val="20"/>
        </w:rPr>
        <w:t>framework to gather feedback from stakeholders on its development and application in Hong Kong</w:t>
      </w:r>
      <w:r w:rsidR="00C036C3">
        <w:rPr>
          <w:rFonts w:ascii="Arial" w:hAnsi="Arial" w:cs="Arial"/>
          <w:sz w:val="20"/>
          <w:szCs w:val="20"/>
        </w:rPr>
        <w:t>.</w:t>
      </w:r>
      <w:r w:rsidRPr="00132FB7">
        <w:rPr>
          <w:rStyle w:val="FootnoteReference"/>
          <w:rFonts w:ascii="Arial" w:hAnsi="Arial" w:cs="Arial"/>
          <w:sz w:val="20"/>
          <w:szCs w:val="20"/>
        </w:rPr>
        <w:footnoteReference w:id="17"/>
      </w:r>
      <w:r w:rsidR="008752C7" w:rsidRPr="00132FB7">
        <w:rPr>
          <w:rFonts w:ascii="Arial" w:hAnsi="Arial" w:cs="Arial"/>
          <w:sz w:val="20"/>
          <w:szCs w:val="20"/>
        </w:rPr>
        <w:t xml:space="preserve"> The </w:t>
      </w:r>
      <w:r w:rsidR="00306A09">
        <w:rPr>
          <w:rFonts w:ascii="Arial" w:hAnsi="Arial" w:cs="Arial"/>
          <w:sz w:val="20"/>
          <w:szCs w:val="20"/>
        </w:rPr>
        <w:t>Exchange</w:t>
      </w:r>
      <w:r w:rsidR="008752C7" w:rsidRPr="00132FB7">
        <w:rPr>
          <w:rFonts w:ascii="Arial" w:hAnsi="Arial" w:cs="Arial"/>
          <w:sz w:val="20"/>
          <w:szCs w:val="20"/>
        </w:rPr>
        <w:t xml:space="preserve"> will continue to work with other stakeholders to further perfect Hong Kong’s sustainability framework, nurture ESG talent and include further requirements on liability protection and mandatory climate training for directors when necessary. </w:t>
      </w:r>
    </w:p>
    <w:p w14:paraId="633DA714" w14:textId="77777777" w:rsidR="00217EFB" w:rsidRPr="00132FB7" w:rsidRDefault="00217EFB" w:rsidP="0028091A">
      <w:pPr>
        <w:spacing w:after="0"/>
        <w:jc w:val="both"/>
        <w:rPr>
          <w:rFonts w:ascii="Arial" w:hAnsi="Arial" w:cs="Arial"/>
          <w:sz w:val="20"/>
          <w:szCs w:val="20"/>
        </w:rPr>
      </w:pPr>
    </w:p>
    <w:p w14:paraId="4F3F84B4" w14:textId="77777777" w:rsidR="00483088" w:rsidRPr="00132FB7" w:rsidRDefault="00483088" w:rsidP="0028091A">
      <w:pPr>
        <w:spacing w:after="0"/>
        <w:jc w:val="both"/>
        <w:rPr>
          <w:rFonts w:ascii="Arial" w:hAnsi="Arial" w:cs="Arial"/>
          <w:sz w:val="20"/>
          <w:szCs w:val="20"/>
        </w:rPr>
      </w:pPr>
    </w:p>
    <w:p w14:paraId="52D2D072" w14:textId="77777777" w:rsidR="000273F2" w:rsidRPr="00C46FF7" w:rsidRDefault="000273F2" w:rsidP="000273F2">
      <w:pPr>
        <w:pStyle w:val="Disclaimer"/>
        <w:numPr>
          <w:ilvl w:val="0"/>
          <w:numId w:val="10"/>
        </w:numPr>
        <w:rPr>
          <w:rFonts w:ascii="Arial" w:hAnsi="Arial" w:cs="Arial"/>
          <w:sz w:val="22"/>
          <w:szCs w:val="22"/>
          <w:lang w:val="en-GB"/>
        </w:rPr>
      </w:pPr>
      <w:r w:rsidRPr="00C46FF7">
        <w:rPr>
          <w:rFonts w:ascii="Arial" w:hAnsi="Arial" w:cs="Arial"/>
          <w:sz w:val="22"/>
          <w:szCs w:val="22"/>
          <w:lang w:val="en-GB"/>
        </w:rPr>
        <w:t>Its contents do not constitute legal advice and it should not be regarded as a substitute for detailed advice in individual cases.</w:t>
      </w:r>
    </w:p>
    <w:p w14:paraId="7C938432" w14:textId="77777777" w:rsidR="000273F2" w:rsidRPr="00C46FF7" w:rsidRDefault="000273F2" w:rsidP="000273F2">
      <w:pPr>
        <w:pStyle w:val="Disclaimer"/>
        <w:numPr>
          <w:ilvl w:val="0"/>
          <w:numId w:val="10"/>
        </w:numPr>
        <w:rPr>
          <w:rFonts w:ascii="Arial" w:hAnsi="Arial" w:cs="Arial"/>
          <w:sz w:val="22"/>
          <w:szCs w:val="22"/>
          <w:lang w:val="en-GB"/>
        </w:rPr>
      </w:pPr>
      <w:r w:rsidRPr="00C46FF7">
        <w:rPr>
          <w:rFonts w:ascii="Arial" w:hAnsi="Arial" w:cs="Arial"/>
          <w:sz w:val="22"/>
          <w:szCs w:val="22"/>
          <w:lang w:val="en-GB"/>
        </w:rPr>
        <w:t>Transmission of this information is not intended to create and receipt does not constitute a lawyer-client relationship between Charltons and the user or browser.</w:t>
      </w:r>
    </w:p>
    <w:p w14:paraId="424369C0" w14:textId="77777777" w:rsidR="000273F2" w:rsidRPr="00C46FF7" w:rsidRDefault="000273F2" w:rsidP="000273F2">
      <w:pPr>
        <w:pStyle w:val="Disclaimer"/>
        <w:numPr>
          <w:ilvl w:val="0"/>
          <w:numId w:val="10"/>
        </w:numPr>
        <w:rPr>
          <w:rFonts w:ascii="Arial" w:hAnsi="Arial" w:cs="Arial"/>
          <w:sz w:val="22"/>
          <w:szCs w:val="22"/>
          <w:lang w:val="en-GB"/>
        </w:rPr>
      </w:pPr>
      <w:r w:rsidRPr="00C46FF7">
        <w:rPr>
          <w:rFonts w:ascii="Arial" w:hAnsi="Arial" w:cs="Arial"/>
          <w:sz w:val="22"/>
          <w:szCs w:val="22"/>
          <w:lang w:val="en-GB"/>
        </w:rPr>
        <w:t>Charltons is not responsible for any third party content which can be accessed through the website.</w:t>
      </w:r>
    </w:p>
    <w:p w14:paraId="2F3CC0B2" w14:textId="77777777" w:rsidR="000273F2" w:rsidRPr="00C46FF7" w:rsidRDefault="000273F2" w:rsidP="000273F2">
      <w:pPr>
        <w:pStyle w:val="Disclaimer"/>
        <w:numPr>
          <w:ilvl w:val="0"/>
          <w:numId w:val="10"/>
        </w:numPr>
        <w:rPr>
          <w:rFonts w:ascii="Arial" w:hAnsi="Arial" w:cs="Arial"/>
          <w:sz w:val="22"/>
          <w:szCs w:val="22"/>
          <w:lang w:val="en-GB"/>
        </w:rPr>
      </w:pPr>
      <w:r w:rsidRPr="00C46FF7">
        <w:rPr>
          <w:rFonts w:ascii="Arial" w:hAnsi="Arial" w:cs="Arial"/>
          <w:sz w:val="22"/>
          <w:szCs w:val="22"/>
          <w:lang w:val="en-GB"/>
        </w:rPr>
        <w:t xml:space="preserve">If you do not wish to receive this newsletter please let us know by emailing us at  </w:t>
      </w:r>
      <w:hyperlink r:id="rId14">
        <w:r w:rsidRPr="00C46FF7">
          <w:rPr>
            <w:rFonts w:ascii="Arial" w:hAnsi="Arial" w:cs="Arial"/>
            <w:sz w:val="22"/>
            <w:szCs w:val="22"/>
            <w:lang w:val="en-GB"/>
          </w:rPr>
          <w:t>unsubscribe@charltonslaw.com</w:t>
        </w:r>
      </w:hyperlink>
    </w:p>
    <w:p w14:paraId="48B92D41" w14:textId="2ACAF4A7" w:rsidR="000273F2" w:rsidRPr="00C46FF7" w:rsidRDefault="000273F2" w:rsidP="000273F2">
      <w:pPr>
        <w:pStyle w:val="BlackStrips"/>
        <w:numPr>
          <w:ilvl w:val="0"/>
          <w:numId w:val="10"/>
        </w:numPr>
        <w:rPr>
          <w:rFonts w:ascii="Arial" w:hAnsi="Arial" w:cs="Arial"/>
          <w:sz w:val="22"/>
          <w:szCs w:val="22"/>
          <w:lang w:val="en-GB"/>
        </w:rPr>
      </w:pPr>
      <w:r w:rsidRPr="00C46FF7">
        <w:rPr>
          <w:rFonts w:ascii="Arial" w:hAnsi="Arial" w:cs="Arial"/>
          <w:sz w:val="22"/>
          <w:szCs w:val="22"/>
          <w:lang w:val="en-GB"/>
        </w:rPr>
        <w:t xml:space="preserve">Charltons - Hong Kong Law – </w:t>
      </w:r>
      <w:r w:rsidR="00F97494">
        <w:rPr>
          <w:rFonts w:ascii="Arial" w:eastAsia="Cambria" w:hAnsi="Arial" w:cs="Arial"/>
        </w:rPr>
        <w:t>0</w:t>
      </w:r>
      <w:r w:rsidR="00CF2F5C">
        <w:rPr>
          <w:rFonts w:ascii="Arial" w:eastAsia="Cambria" w:hAnsi="Arial" w:cs="Arial"/>
        </w:rPr>
        <w:t>4</w:t>
      </w:r>
      <w:r w:rsidR="00F97494">
        <w:rPr>
          <w:rFonts w:ascii="Arial" w:eastAsia="Cambria" w:hAnsi="Arial" w:cs="Arial"/>
          <w:lang w:val="en-GB"/>
        </w:rPr>
        <w:t xml:space="preserve"> June </w:t>
      </w:r>
      <w:r>
        <w:rPr>
          <w:rFonts w:ascii="Arial" w:eastAsia="Cambria" w:hAnsi="Arial" w:cs="Arial"/>
          <w:lang w:val="en-GB"/>
        </w:rPr>
        <w:t>2024</w:t>
      </w:r>
    </w:p>
    <w:p w14:paraId="0309E01F" w14:textId="77777777" w:rsidR="00B83CD6" w:rsidRPr="000273F2" w:rsidRDefault="00B83CD6" w:rsidP="0028091A">
      <w:pPr>
        <w:spacing w:after="0"/>
        <w:jc w:val="both"/>
        <w:rPr>
          <w:rFonts w:ascii="Arial" w:hAnsi="Arial" w:cs="Arial"/>
          <w:sz w:val="20"/>
          <w:szCs w:val="20"/>
          <w:lang w:val="en-GB"/>
        </w:rPr>
      </w:pPr>
    </w:p>
    <w:p w14:paraId="2CE7C002" w14:textId="77777777" w:rsidR="00B83CD6" w:rsidRPr="00132FB7" w:rsidRDefault="00B83CD6" w:rsidP="0028091A">
      <w:pPr>
        <w:spacing w:after="0"/>
        <w:jc w:val="both"/>
        <w:rPr>
          <w:rFonts w:ascii="Arial" w:hAnsi="Arial" w:cs="Arial"/>
          <w:sz w:val="20"/>
          <w:szCs w:val="20"/>
        </w:rPr>
      </w:pPr>
    </w:p>
    <w:p w14:paraId="51BDCFCA" w14:textId="77777777" w:rsidR="00B83CD6" w:rsidRPr="00F97494" w:rsidRDefault="00B83CD6" w:rsidP="0028091A">
      <w:pPr>
        <w:spacing w:after="0"/>
        <w:jc w:val="both"/>
        <w:rPr>
          <w:rFonts w:ascii="Arial" w:hAnsi="Arial" w:cs="Arial"/>
          <w:sz w:val="20"/>
          <w:szCs w:val="20"/>
        </w:rPr>
      </w:pPr>
    </w:p>
    <w:p w14:paraId="79D958AA" w14:textId="77777777" w:rsidR="008D626D" w:rsidRPr="00132FB7" w:rsidRDefault="008D626D" w:rsidP="0028091A">
      <w:pPr>
        <w:spacing w:after="0"/>
        <w:jc w:val="both"/>
        <w:rPr>
          <w:rFonts w:ascii="Arial" w:hAnsi="Arial" w:cs="Arial"/>
          <w:sz w:val="20"/>
          <w:szCs w:val="20"/>
        </w:rPr>
      </w:pPr>
    </w:p>
    <w:p w14:paraId="222B5B42" w14:textId="77777777" w:rsidR="008D626D" w:rsidRPr="00132FB7" w:rsidRDefault="008D626D" w:rsidP="0028091A">
      <w:pPr>
        <w:spacing w:after="0"/>
        <w:jc w:val="both"/>
        <w:rPr>
          <w:rFonts w:ascii="Arial" w:hAnsi="Arial" w:cs="Arial"/>
          <w:sz w:val="20"/>
          <w:szCs w:val="20"/>
        </w:rPr>
      </w:pPr>
    </w:p>
    <w:p w14:paraId="7458C339" w14:textId="77777777" w:rsidR="008D626D" w:rsidRPr="00132FB7" w:rsidRDefault="008D626D" w:rsidP="0028091A">
      <w:pPr>
        <w:spacing w:after="0"/>
        <w:jc w:val="both"/>
        <w:rPr>
          <w:rFonts w:ascii="Arial" w:hAnsi="Arial" w:cs="Arial"/>
          <w:sz w:val="20"/>
          <w:szCs w:val="20"/>
          <w:lang w:eastAsia="zh-TW"/>
        </w:rPr>
      </w:pPr>
    </w:p>
    <w:p w14:paraId="0C465028" w14:textId="77777777" w:rsidR="00404D41"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 xml:space="preserve"> </w:t>
      </w:r>
    </w:p>
    <w:p w14:paraId="007DB81F" w14:textId="77777777" w:rsidR="00404D41" w:rsidRPr="00132FB7" w:rsidRDefault="00404D41" w:rsidP="0028091A">
      <w:pPr>
        <w:spacing w:after="0"/>
        <w:jc w:val="both"/>
        <w:rPr>
          <w:rFonts w:ascii="Arial" w:hAnsi="Arial" w:cs="Arial"/>
          <w:sz w:val="20"/>
          <w:szCs w:val="20"/>
          <w:lang w:eastAsia="zh-TW"/>
        </w:rPr>
      </w:pPr>
    </w:p>
    <w:p w14:paraId="720D2977" w14:textId="77777777" w:rsidR="00A70557" w:rsidRPr="00132FB7" w:rsidRDefault="00A70557" w:rsidP="0028091A">
      <w:pPr>
        <w:spacing w:after="0"/>
        <w:jc w:val="both"/>
        <w:rPr>
          <w:rFonts w:ascii="Arial" w:hAnsi="Arial" w:cs="Arial"/>
          <w:sz w:val="20"/>
          <w:szCs w:val="20"/>
        </w:rPr>
      </w:pPr>
    </w:p>
    <w:p w14:paraId="7DFCC0E0" w14:textId="77777777" w:rsidR="00E349A7" w:rsidRPr="00132FB7" w:rsidRDefault="00E70254" w:rsidP="0028091A">
      <w:pPr>
        <w:spacing w:after="0"/>
        <w:jc w:val="both"/>
        <w:rPr>
          <w:rFonts w:ascii="Arial" w:hAnsi="Arial" w:cs="Arial"/>
          <w:sz w:val="20"/>
          <w:szCs w:val="20"/>
          <w:lang w:eastAsia="zh-TW"/>
        </w:rPr>
      </w:pPr>
      <w:r w:rsidRPr="00132FB7">
        <w:rPr>
          <w:rFonts w:ascii="Arial" w:hAnsi="Arial" w:cs="Arial"/>
          <w:sz w:val="20"/>
          <w:szCs w:val="20"/>
          <w:lang w:eastAsia="zh-TW"/>
        </w:rPr>
        <w:t xml:space="preserve"> </w:t>
      </w:r>
    </w:p>
    <w:p w14:paraId="6480467C" w14:textId="77777777" w:rsidR="00604412" w:rsidRPr="00132FB7" w:rsidRDefault="00604412" w:rsidP="0028091A">
      <w:pPr>
        <w:spacing w:after="0"/>
        <w:jc w:val="both"/>
        <w:rPr>
          <w:rFonts w:ascii="Arial" w:hAnsi="Arial" w:cs="Arial"/>
          <w:sz w:val="20"/>
          <w:szCs w:val="20"/>
          <w:lang w:eastAsia="zh-TW"/>
        </w:rPr>
      </w:pPr>
    </w:p>
    <w:sectPr w:rsidR="00604412" w:rsidRPr="00132FB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131F3" w14:textId="77777777" w:rsidR="00526B76" w:rsidRDefault="00526B76">
      <w:pPr>
        <w:spacing w:after="0" w:line="240" w:lineRule="auto"/>
      </w:pPr>
      <w:r>
        <w:separator/>
      </w:r>
    </w:p>
  </w:endnote>
  <w:endnote w:type="continuationSeparator" w:id="0">
    <w:p w14:paraId="6E6F36FD" w14:textId="77777777" w:rsidR="00526B76" w:rsidRDefault="0052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Microsoft YaHe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B91AD" w14:textId="77777777" w:rsidR="00526B76" w:rsidRDefault="00526B76" w:rsidP="00500DE6">
      <w:pPr>
        <w:spacing w:after="0" w:line="240" w:lineRule="auto"/>
      </w:pPr>
      <w:r>
        <w:separator/>
      </w:r>
    </w:p>
  </w:footnote>
  <w:footnote w:type="continuationSeparator" w:id="0">
    <w:p w14:paraId="3A12D781" w14:textId="77777777" w:rsidR="00526B76" w:rsidRDefault="00526B76" w:rsidP="00500DE6">
      <w:pPr>
        <w:spacing w:after="0" w:line="240" w:lineRule="auto"/>
      </w:pPr>
      <w:r>
        <w:continuationSeparator/>
      </w:r>
    </w:p>
  </w:footnote>
  <w:footnote w:id="1">
    <w:p w14:paraId="064B05CC" w14:textId="77777777" w:rsidR="00BB3A49" w:rsidRPr="000A0010" w:rsidRDefault="00E70254" w:rsidP="00A74E49">
      <w:pPr>
        <w:pStyle w:val="FootnoteText"/>
        <w:jc w:val="both"/>
        <w:rPr>
          <w:rFonts w:cstheme="minorHAnsi"/>
          <w:lang w:val="en-HK"/>
        </w:rPr>
      </w:pPr>
      <w:r w:rsidRPr="000A0010">
        <w:rPr>
          <w:rStyle w:val="FootnoteReference"/>
          <w:rFonts w:cstheme="minorHAnsi"/>
        </w:rPr>
        <w:footnoteRef/>
      </w:r>
      <w:r w:rsidRPr="000A0010">
        <w:rPr>
          <w:rFonts w:cstheme="minorHAnsi"/>
        </w:rPr>
        <w:t xml:space="preserve"> </w:t>
      </w:r>
      <w:r w:rsidRPr="000A0010">
        <w:rPr>
          <w:rFonts w:cstheme="minorHAnsi"/>
          <w:lang w:val="en-HK"/>
        </w:rPr>
        <w:t xml:space="preserve">The Steering Group was established in May 2020 and co-chaired by the Hong Kong Monetary Authority and the SFC, with members including the Environment </w:t>
      </w:r>
      <w:r w:rsidRPr="000A0010">
        <w:rPr>
          <w:rFonts w:cstheme="minorHAnsi"/>
        </w:rPr>
        <w:t xml:space="preserve">Bureau, the Financial Services and the Treasury Bureau, the Accounting and Financial Reporting Council, </w:t>
      </w:r>
      <w:r w:rsidR="00306A09">
        <w:rPr>
          <w:rFonts w:cstheme="minorHAnsi"/>
        </w:rPr>
        <w:t>Exchange</w:t>
      </w:r>
      <w:r w:rsidRPr="000A0010">
        <w:rPr>
          <w:rFonts w:cstheme="minorHAnsi"/>
        </w:rPr>
        <w:t xml:space="preserve">, the Insurance Authority and the Mandatory Provident Fund Schemes Authority. </w:t>
      </w:r>
    </w:p>
  </w:footnote>
  <w:footnote w:id="2">
    <w:p w14:paraId="072A255A" w14:textId="77777777" w:rsidR="00483088" w:rsidRPr="000A0010" w:rsidRDefault="00E70254">
      <w:pPr>
        <w:pStyle w:val="FootnoteText"/>
        <w:rPr>
          <w:rFonts w:cstheme="minorHAnsi"/>
        </w:rPr>
      </w:pPr>
      <w:r w:rsidRPr="000A0010">
        <w:rPr>
          <w:rStyle w:val="FootnoteReference"/>
          <w:rFonts w:cstheme="minorHAnsi"/>
        </w:rPr>
        <w:footnoteRef/>
      </w:r>
      <w:r w:rsidRPr="000A0010">
        <w:rPr>
          <w:rFonts w:cstheme="minorHAnsi"/>
        </w:rPr>
        <w:t xml:space="preserve"> Paragraph 2 of the ESG Code</w:t>
      </w:r>
      <w:r w:rsidR="00A74E49">
        <w:rPr>
          <w:rFonts w:cstheme="minorHAnsi"/>
        </w:rPr>
        <w:t>.</w:t>
      </w:r>
    </w:p>
  </w:footnote>
  <w:footnote w:id="3">
    <w:p w14:paraId="76E790AF" w14:textId="77777777" w:rsidR="00306A5F" w:rsidRPr="000A0010" w:rsidRDefault="00E70254">
      <w:pPr>
        <w:pStyle w:val="FootnoteText"/>
        <w:rPr>
          <w:rFonts w:cstheme="minorHAnsi"/>
        </w:rPr>
      </w:pPr>
      <w:r w:rsidRPr="000A0010">
        <w:rPr>
          <w:rStyle w:val="FootnoteReference"/>
          <w:rFonts w:cstheme="minorHAnsi"/>
        </w:rPr>
        <w:footnoteRef/>
      </w:r>
      <w:r w:rsidRPr="000A0010">
        <w:rPr>
          <w:rFonts w:cstheme="minorHAnsi"/>
        </w:rPr>
        <w:t xml:space="preserve"> Please </w:t>
      </w:r>
      <w:r w:rsidR="000A0010">
        <w:rPr>
          <w:rFonts w:cstheme="minorHAnsi"/>
        </w:rPr>
        <w:t>see</w:t>
      </w:r>
      <w:r w:rsidRPr="000A0010">
        <w:rPr>
          <w:rFonts w:cstheme="minorHAnsi"/>
        </w:rPr>
        <w:t xml:space="preserve"> the Implementation Guidance for more details </w:t>
      </w:r>
    </w:p>
  </w:footnote>
  <w:footnote w:id="4">
    <w:p w14:paraId="2CA6831C" w14:textId="77777777" w:rsidR="00A36B08" w:rsidRPr="000A0010" w:rsidRDefault="00E70254">
      <w:pPr>
        <w:pStyle w:val="FootnoteText"/>
        <w:rPr>
          <w:rFonts w:cstheme="minorHAnsi"/>
        </w:rPr>
      </w:pPr>
      <w:r w:rsidRPr="000A0010">
        <w:rPr>
          <w:rStyle w:val="FootnoteReference"/>
          <w:rFonts w:cstheme="minorHAnsi"/>
        </w:rPr>
        <w:footnoteRef/>
      </w:r>
      <w:r w:rsidRPr="000A0010">
        <w:rPr>
          <w:rFonts w:cstheme="minorHAnsi"/>
        </w:rPr>
        <w:t xml:space="preserve"> note to paragraph 19(a) of the ESG Code  </w:t>
      </w:r>
    </w:p>
  </w:footnote>
  <w:footnote w:id="5">
    <w:p w14:paraId="0B0094A1" w14:textId="77777777" w:rsidR="00E3437A" w:rsidRPr="000A0010" w:rsidRDefault="00E70254">
      <w:pPr>
        <w:pStyle w:val="FootnoteText"/>
        <w:rPr>
          <w:rFonts w:cstheme="minorHAnsi"/>
        </w:rPr>
      </w:pPr>
      <w:r w:rsidRPr="000A0010">
        <w:rPr>
          <w:rStyle w:val="FootnoteReference"/>
          <w:rFonts w:cstheme="minorHAnsi"/>
        </w:rPr>
        <w:footnoteRef/>
      </w:r>
      <w:r w:rsidRPr="000A0010">
        <w:rPr>
          <w:rFonts w:cstheme="minorHAnsi"/>
        </w:rPr>
        <w:t xml:space="preserve"> Note 3 to Paragraph 25 of the ESG Code</w:t>
      </w:r>
    </w:p>
  </w:footnote>
  <w:footnote w:id="6">
    <w:p w14:paraId="30529498" w14:textId="77777777" w:rsidR="007A1C9F" w:rsidRPr="000A0010" w:rsidRDefault="00E70254">
      <w:pPr>
        <w:pStyle w:val="FootnoteText"/>
        <w:rPr>
          <w:rFonts w:cstheme="minorHAnsi"/>
          <w:b/>
        </w:rPr>
      </w:pPr>
      <w:r w:rsidRPr="000A0010">
        <w:rPr>
          <w:rStyle w:val="FootnoteReference"/>
          <w:rFonts w:cstheme="minorHAnsi"/>
        </w:rPr>
        <w:footnoteRef/>
      </w:r>
      <w:r w:rsidRPr="000A0010">
        <w:rPr>
          <w:rFonts w:cstheme="minorHAnsi"/>
        </w:rPr>
        <w:t xml:space="preserve"> Note 5 to Paragraph 25 of the ESG Code</w:t>
      </w:r>
    </w:p>
  </w:footnote>
  <w:footnote w:id="7">
    <w:p w14:paraId="6B1B5638" w14:textId="77777777" w:rsidR="007A1C9F" w:rsidRPr="000A0010" w:rsidRDefault="00E70254" w:rsidP="007A1C9F">
      <w:pPr>
        <w:pStyle w:val="FootnoteText"/>
        <w:rPr>
          <w:rFonts w:cstheme="minorHAnsi"/>
        </w:rPr>
      </w:pPr>
      <w:r w:rsidRPr="000A0010">
        <w:rPr>
          <w:rStyle w:val="FootnoteReference"/>
          <w:rFonts w:cstheme="minorHAnsi"/>
        </w:rPr>
        <w:footnoteRef/>
      </w:r>
      <w:r w:rsidRPr="000A0010">
        <w:rPr>
          <w:rFonts w:cstheme="minorHAnsi"/>
        </w:rPr>
        <w:t xml:space="preserve"> Note 1 to paragraph 24 of Appendix C2</w:t>
      </w:r>
    </w:p>
  </w:footnote>
  <w:footnote w:id="8">
    <w:p w14:paraId="12C79BBB" w14:textId="77777777" w:rsidR="00BD7FFE" w:rsidRPr="000A0010" w:rsidRDefault="00E70254">
      <w:pPr>
        <w:pStyle w:val="FootnoteText"/>
        <w:rPr>
          <w:rFonts w:cstheme="minorHAnsi"/>
        </w:rPr>
      </w:pPr>
      <w:r w:rsidRPr="000A0010">
        <w:rPr>
          <w:rStyle w:val="FootnoteReference"/>
          <w:rFonts w:cstheme="minorHAnsi"/>
        </w:rPr>
        <w:footnoteRef/>
      </w:r>
      <w:r w:rsidRPr="000A0010">
        <w:rPr>
          <w:rFonts w:cstheme="minorHAnsi"/>
        </w:rPr>
        <w:t xml:space="preserve"> Notes 2, 3, and 5 of Paragraph 25 of the ESG Code </w:t>
      </w:r>
    </w:p>
  </w:footnote>
  <w:footnote w:id="9">
    <w:p w14:paraId="0EAE124E" w14:textId="77777777" w:rsidR="007A0C75" w:rsidRPr="000A0010" w:rsidRDefault="00E70254">
      <w:pPr>
        <w:pStyle w:val="FootnoteText"/>
        <w:rPr>
          <w:rFonts w:cstheme="minorHAnsi"/>
        </w:rPr>
      </w:pPr>
      <w:r w:rsidRPr="000A0010">
        <w:rPr>
          <w:rStyle w:val="FootnoteReference"/>
          <w:rFonts w:cstheme="minorHAnsi"/>
        </w:rPr>
        <w:footnoteRef/>
      </w:r>
      <w:r w:rsidRPr="000A0010">
        <w:rPr>
          <w:rFonts w:cstheme="minorHAnsi"/>
        </w:rPr>
        <w:t xml:space="preserve"> Paragraph 29(a) of the ESG Code </w:t>
      </w:r>
    </w:p>
  </w:footnote>
  <w:footnote w:id="10">
    <w:p w14:paraId="4700E4BF" w14:textId="77777777" w:rsidR="004A7D1E" w:rsidRPr="000A0010" w:rsidRDefault="00E70254">
      <w:pPr>
        <w:pStyle w:val="FootnoteText"/>
        <w:rPr>
          <w:rFonts w:cstheme="minorHAnsi"/>
          <w:lang w:val="en-HK"/>
        </w:rPr>
      </w:pPr>
      <w:r w:rsidRPr="000A0010">
        <w:rPr>
          <w:rStyle w:val="FootnoteReference"/>
          <w:rFonts w:cstheme="minorHAnsi"/>
        </w:rPr>
        <w:footnoteRef/>
      </w:r>
      <w:r w:rsidRPr="000A0010">
        <w:rPr>
          <w:rFonts w:cstheme="minorHAnsi"/>
        </w:rPr>
        <w:t xml:space="preserve"> </w:t>
      </w:r>
      <w:r w:rsidRPr="000A0010">
        <w:rPr>
          <w:rFonts w:cstheme="minorHAnsi"/>
          <w:lang w:val="en-HK"/>
        </w:rPr>
        <w:t>See the Implementation Guidance for details on the calculation scope under the location-based method</w:t>
      </w:r>
    </w:p>
  </w:footnote>
  <w:footnote w:id="11">
    <w:p w14:paraId="085445E3" w14:textId="77777777" w:rsidR="00014278" w:rsidRPr="000A0010" w:rsidRDefault="00E70254">
      <w:pPr>
        <w:pStyle w:val="FootnoteText"/>
        <w:rPr>
          <w:rFonts w:cstheme="minorHAnsi"/>
        </w:rPr>
      </w:pPr>
      <w:r w:rsidRPr="000A0010">
        <w:rPr>
          <w:rStyle w:val="FootnoteReference"/>
          <w:rFonts w:cstheme="minorHAnsi"/>
        </w:rPr>
        <w:footnoteRef/>
      </w:r>
      <w:r w:rsidRPr="000A0010">
        <w:rPr>
          <w:rFonts w:cstheme="minorHAnsi"/>
        </w:rPr>
        <w:t xml:space="preserve"> Paragraph 29(d) of the ESG Code</w:t>
      </w:r>
    </w:p>
  </w:footnote>
  <w:footnote w:id="12">
    <w:p w14:paraId="2409C86B" w14:textId="77777777" w:rsidR="008D44FC" w:rsidRPr="000A0010" w:rsidRDefault="00E70254">
      <w:pPr>
        <w:pStyle w:val="FootnoteText"/>
        <w:rPr>
          <w:rFonts w:cstheme="minorHAnsi"/>
          <w:lang w:val="en-HK"/>
        </w:rPr>
      </w:pPr>
      <w:r w:rsidRPr="000A0010">
        <w:rPr>
          <w:rStyle w:val="FootnoteReference"/>
          <w:rFonts w:cstheme="minorHAnsi"/>
        </w:rPr>
        <w:footnoteRef/>
      </w:r>
      <w:r w:rsidRPr="000A0010">
        <w:rPr>
          <w:rFonts w:cstheme="minorHAnsi"/>
        </w:rPr>
        <w:t xml:space="preserve"> </w:t>
      </w:r>
      <w:r w:rsidR="00014278" w:rsidRPr="000A0010">
        <w:rPr>
          <w:rFonts w:cstheme="minorHAnsi"/>
          <w:lang w:val="en-HK"/>
        </w:rPr>
        <w:t xml:space="preserve">Note 1 </w:t>
      </w:r>
      <w:r w:rsidRPr="000A0010">
        <w:rPr>
          <w:rFonts w:cstheme="minorHAnsi"/>
          <w:lang w:val="en-HK"/>
        </w:rPr>
        <w:t>to paragraph 29 of the ESG Code</w:t>
      </w:r>
    </w:p>
  </w:footnote>
  <w:footnote w:id="13">
    <w:p w14:paraId="265A7821" w14:textId="77777777" w:rsidR="00014278" w:rsidRPr="000A0010" w:rsidRDefault="00E70254">
      <w:pPr>
        <w:pStyle w:val="FootnoteText"/>
        <w:rPr>
          <w:rFonts w:cstheme="minorHAnsi"/>
          <w:lang w:val="en-HK"/>
        </w:rPr>
      </w:pPr>
      <w:r w:rsidRPr="000A0010">
        <w:rPr>
          <w:rStyle w:val="FootnoteReference"/>
          <w:rFonts w:cstheme="minorHAnsi"/>
        </w:rPr>
        <w:footnoteRef/>
      </w:r>
      <w:r w:rsidRPr="000A0010">
        <w:rPr>
          <w:rFonts w:cstheme="minorHAnsi"/>
        </w:rPr>
        <w:t xml:space="preserve"> </w:t>
      </w:r>
      <w:r w:rsidRPr="000A0010">
        <w:rPr>
          <w:rFonts w:cstheme="minorHAnsi"/>
          <w:lang w:val="en-HK"/>
        </w:rPr>
        <w:t>Note 2 to paragraph 29 of the ESG Code</w:t>
      </w:r>
    </w:p>
  </w:footnote>
  <w:footnote w:id="14">
    <w:p w14:paraId="77BF59DC" w14:textId="77777777" w:rsidR="00483088" w:rsidRPr="000A0010" w:rsidRDefault="00E70254">
      <w:pPr>
        <w:pStyle w:val="FootnoteText"/>
        <w:rPr>
          <w:rFonts w:cstheme="minorHAnsi"/>
          <w:lang w:val="en-HK"/>
        </w:rPr>
      </w:pPr>
      <w:r w:rsidRPr="000A0010">
        <w:rPr>
          <w:rStyle w:val="FootnoteReference"/>
          <w:rFonts w:cstheme="minorHAnsi"/>
        </w:rPr>
        <w:footnoteRef/>
      </w:r>
      <w:r w:rsidRPr="000A0010">
        <w:rPr>
          <w:rFonts w:cstheme="minorHAnsi"/>
        </w:rPr>
        <w:t xml:space="preserve"> </w:t>
      </w:r>
      <w:r w:rsidRPr="000A0010">
        <w:rPr>
          <w:rFonts w:cstheme="minorHAnsi"/>
          <w:lang w:val="en-HK"/>
        </w:rPr>
        <w:t xml:space="preserve">Paragraph 36 of the ESG Code </w:t>
      </w:r>
    </w:p>
  </w:footnote>
  <w:footnote w:id="15">
    <w:p w14:paraId="02E73EE4" w14:textId="77777777" w:rsidR="002F2265" w:rsidRPr="000A0010" w:rsidRDefault="00E70254">
      <w:pPr>
        <w:pStyle w:val="FootnoteText"/>
        <w:rPr>
          <w:rFonts w:cstheme="minorHAnsi"/>
          <w:lang w:val="en-HK"/>
        </w:rPr>
      </w:pPr>
      <w:r w:rsidRPr="000A0010">
        <w:rPr>
          <w:rStyle w:val="FootnoteReference"/>
          <w:rFonts w:cstheme="minorHAnsi"/>
        </w:rPr>
        <w:footnoteRef/>
      </w:r>
      <w:r w:rsidRPr="000A0010">
        <w:rPr>
          <w:rFonts w:cstheme="minorHAnsi"/>
        </w:rPr>
        <w:t xml:space="preserve"> See the questionnaire at </w:t>
      </w:r>
      <w:hyperlink r:id="rId1" w:history="1">
        <w:r w:rsidRPr="000A0010">
          <w:rPr>
            <w:rStyle w:val="Hyperlink"/>
            <w:rFonts w:cstheme="minorHAnsi"/>
          </w:rPr>
          <w:t>https://sustainablefinance.org.hk/en/data-technology/casg-non-listed-company-questionnaire-on-climate-and-environmental-risk</w:t>
        </w:r>
      </w:hyperlink>
      <w:r w:rsidRPr="000A0010">
        <w:rPr>
          <w:rFonts w:cstheme="minorHAnsi"/>
        </w:rPr>
        <w:t xml:space="preserve"> </w:t>
      </w:r>
    </w:p>
  </w:footnote>
  <w:footnote w:id="16">
    <w:p w14:paraId="7C646EF1" w14:textId="77777777" w:rsidR="002F2265" w:rsidRPr="000A0010" w:rsidRDefault="00E70254">
      <w:pPr>
        <w:pStyle w:val="FootnoteText"/>
        <w:rPr>
          <w:rFonts w:cstheme="minorHAnsi"/>
          <w:lang w:val="en-HK"/>
        </w:rPr>
      </w:pPr>
      <w:r w:rsidRPr="000A0010">
        <w:rPr>
          <w:rStyle w:val="FootnoteReference"/>
          <w:rFonts w:cstheme="minorHAnsi"/>
        </w:rPr>
        <w:footnoteRef/>
      </w:r>
      <w:r w:rsidRPr="000A0010">
        <w:rPr>
          <w:rFonts w:cstheme="minorHAnsi"/>
        </w:rPr>
        <w:t xml:space="preserve"> See the greenhouse gas emission calculator at </w:t>
      </w:r>
      <w:hyperlink r:id="rId2" w:history="1">
        <w:r w:rsidRPr="000A0010">
          <w:rPr>
            <w:rStyle w:val="Hyperlink"/>
            <w:rFonts w:cstheme="minorHAnsi"/>
          </w:rPr>
          <w:t>https://sustainablefinance.org.hk/en/data-technology/calculator-for-scope-1-and-scope-2-greenhouse-gas-emissions-of-a-corporation</w:t>
        </w:r>
      </w:hyperlink>
      <w:r w:rsidRPr="000A0010">
        <w:rPr>
          <w:rFonts w:cstheme="minorHAnsi"/>
        </w:rPr>
        <w:t xml:space="preserve">  and see the greenhouse gas emission estimation tools at </w:t>
      </w:r>
      <w:hyperlink r:id="rId3" w:history="1">
        <w:r w:rsidRPr="000A0010">
          <w:rPr>
            <w:rStyle w:val="Hyperlink"/>
            <w:rFonts w:cstheme="minorHAnsi"/>
          </w:rPr>
          <w:t>https://sustainablefinance.org.hk/en/data-technology/estimator-for-scope-1-and-scope-2-greenhouse-gas-emissions-of-a-corporation</w:t>
        </w:r>
      </w:hyperlink>
      <w:r w:rsidRPr="000A0010">
        <w:rPr>
          <w:rFonts w:cstheme="minorHAnsi"/>
        </w:rPr>
        <w:t xml:space="preserve"> </w:t>
      </w:r>
    </w:p>
  </w:footnote>
  <w:footnote w:id="17">
    <w:p w14:paraId="340103A6" w14:textId="77777777" w:rsidR="008752C7" w:rsidRPr="000A0010" w:rsidRDefault="00E70254">
      <w:pPr>
        <w:pStyle w:val="FootnoteText"/>
        <w:rPr>
          <w:rFonts w:cstheme="minorHAnsi"/>
          <w:lang w:val="en-HK"/>
        </w:rPr>
      </w:pPr>
      <w:r w:rsidRPr="000A0010">
        <w:rPr>
          <w:rStyle w:val="FootnoteReference"/>
          <w:rFonts w:cstheme="minorHAnsi"/>
        </w:rPr>
        <w:footnoteRef/>
      </w:r>
      <w:r w:rsidRPr="000A0010">
        <w:rPr>
          <w:rFonts w:cstheme="minorHAnsi"/>
        </w:rPr>
        <w:t xml:space="preserve"> </w:t>
      </w:r>
      <w:r w:rsidRPr="000A0010">
        <w:rPr>
          <w:rFonts w:cstheme="minorHAnsi"/>
          <w:lang w:val="en-HK"/>
        </w:rPr>
        <w:t xml:space="preserve">See the discussion paper at </w:t>
      </w:r>
      <w:hyperlink r:id="rId4" w:history="1">
        <w:r w:rsidRPr="000A0010">
          <w:rPr>
            <w:rStyle w:val="Hyperlink"/>
            <w:rFonts w:cstheme="minorHAnsi"/>
            <w:lang w:val="en-HK"/>
          </w:rPr>
          <w:t>https://www.hkma.gov.hk/media/eng/doc/key-information/guidelines-and-circular/2023/20230530e1a1.pdf</w:t>
        </w:r>
      </w:hyperlink>
      <w:r w:rsidRPr="000A0010">
        <w:rPr>
          <w:rFonts w:cstheme="minorHAnsi"/>
          <w:lang w:val="en-H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C42"/>
    <w:multiLevelType w:val="hybridMultilevel"/>
    <w:tmpl w:val="A7F601B6"/>
    <w:lvl w:ilvl="0" w:tplc="53185928">
      <w:start w:val="1"/>
      <w:numFmt w:val="bullet"/>
      <w:lvlText w:val=""/>
      <w:lvlJc w:val="left"/>
      <w:pPr>
        <w:ind w:left="720" w:hanging="360"/>
      </w:pPr>
      <w:rPr>
        <w:rFonts w:ascii="Symbol" w:hAnsi="Symbol" w:hint="default"/>
      </w:rPr>
    </w:lvl>
    <w:lvl w:ilvl="1" w:tplc="D3724C6A" w:tentative="1">
      <w:start w:val="1"/>
      <w:numFmt w:val="bullet"/>
      <w:lvlText w:val="o"/>
      <w:lvlJc w:val="left"/>
      <w:pPr>
        <w:ind w:left="1440" w:hanging="360"/>
      </w:pPr>
      <w:rPr>
        <w:rFonts w:ascii="Courier New" w:hAnsi="Courier New" w:cs="Courier New" w:hint="default"/>
      </w:rPr>
    </w:lvl>
    <w:lvl w:ilvl="2" w:tplc="15688C1E" w:tentative="1">
      <w:start w:val="1"/>
      <w:numFmt w:val="bullet"/>
      <w:lvlText w:val=""/>
      <w:lvlJc w:val="left"/>
      <w:pPr>
        <w:ind w:left="2160" w:hanging="360"/>
      </w:pPr>
      <w:rPr>
        <w:rFonts w:ascii="Wingdings" w:hAnsi="Wingdings" w:hint="default"/>
      </w:rPr>
    </w:lvl>
    <w:lvl w:ilvl="3" w:tplc="007CE420" w:tentative="1">
      <w:start w:val="1"/>
      <w:numFmt w:val="bullet"/>
      <w:lvlText w:val=""/>
      <w:lvlJc w:val="left"/>
      <w:pPr>
        <w:ind w:left="2880" w:hanging="360"/>
      </w:pPr>
      <w:rPr>
        <w:rFonts w:ascii="Symbol" w:hAnsi="Symbol" w:hint="default"/>
      </w:rPr>
    </w:lvl>
    <w:lvl w:ilvl="4" w:tplc="46B61580" w:tentative="1">
      <w:start w:val="1"/>
      <w:numFmt w:val="bullet"/>
      <w:lvlText w:val="o"/>
      <w:lvlJc w:val="left"/>
      <w:pPr>
        <w:ind w:left="3600" w:hanging="360"/>
      </w:pPr>
      <w:rPr>
        <w:rFonts w:ascii="Courier New" w:hAnsi="Courier New" w:cs="Courier New" w:hint="default"/>
      </w:rPr>
    </w:lvl>
    <w:lvl w:ilvl="5" w:tplc="2A209286" w:tentative="1">
      <w:start w:val="1"/>
      <w:numFmt w:val="bullet"/>
      <w:lvlText w:val=""/>
      <w:lvlJc w:val="left"/>
      <w:pPr>
        <w:ind w:left="4320" w:hanging="360"/>
      </w:pPr>
      <w:rPr>
        <w:rFonts w:ascii="Wingdings" w:hAnsi="Wingdings" w:hint="default"/>
      </w:rPr>
    </w:lvl>
    <w:lvl w:ilvl="6" w:tplc="897E2C86" w:tentative="1">
      <w:start w:val="1"/>
      <w:numFmt w:val="bullet"/>
      <w:lvlText w:val=""/>
      <w:lvlJc w:val="left"/>
      <w:pPr>
        <w:ind w:left="5040" w:hanging="360"/>
      </w:pPr>
      <w:rPr>
        <w:rFonts w:ascii="Symbol" w:hAnsi="Symbol" w:hint="default"/>
      </w:rPr>
    </w:lvl>
    <w:lvl w:ilvl="7" w:tplc="9F7002B4" w:tentative="1">
      <w:start w:val="1"/>
      <w:numFmt w:val="bullet"/>
      <w:lvlText w:val="o"/>
      <w:lvlJc w:val="left"/>
      <w:pPr>
        <w:ind w:left="5760" w:hanging="360"/>
      </w:pPr>
      <w:rPr>
        <w:rFonts w:ascii="Courier New" w:hAnsi="Courier New" w:cs="Courier New" w:hint="default"/>
      </w:rPr>
    </w:lvl>
    <w:lvl w:ilvl="8" w:tplc="310CDF6C" w:tentative="1">
      <w:start w:val="1"/>
      <w:numFmt w:val="bullet"/>
      <w:lvlText w:val=""/>
      <w:lvlJc w:val="left"/>
      <w:pPr>
        <w:ind w:left="6480" w:hanging="360"/>
      </w:pPr>
      <w:rPr>
        <w:rFonts w:ascii="Wingdings" w:hAnsi="Wingdings" w:hint="default"/>
      </w:rPr>
    </w:lvl>
  </w:abstractNum>
  <w:abstractNum w:abstractNumId="1" w15:restartNumberingAfterBreak="0">
    <w:nsid w:val="1B1C3D8E"/>
    <w:multiLevelType w:val="hybridMultilevel"/>
    <w:tmpl w:val="5D389CB2"/>
    <w:lvl w:ilvl="0" w:tplc="A3B03EB0">
      <w:start w:val="1"/>
      <w:numFmt w:val="bullet"/>
      <w:lvlText w:val=""/>
      <w:lvlJc w:val="left"/>
      <w:pPr>
        <w:ind w:left="720" w:hanging="360"/>
      </w:pPr>
      <w:rPr>
        <w:rFonts w:ascii="Symbol" w:hAnsi="Symbol" w:hint="default"/>
      </w:rPr>
    </w:lvl>
    <w:lvl w:ilvl="1" w:tplc="50925742" w:tentative="1">
      <w:start w:val="1"/>
      <w:numFmt w:val="bullet"/>
      <w:lvlText w:val="o"/>
      <w:lvlJc w:val="left"/>
      <w:pPr>
        <w:ind w:left="1440" w:hanging="360"/>
      </w:pPr>
      <w:rPr>
        <w:rFonts w:ascii="Courier New" w:hAnsi="Courier New" w:cs="Courier New" w:hint="default"/>
      </w:rPr>
    </w:lvl>
    <w:lvl w:ilvl="2" w:tplc="F36E8388" w:tentative="1">
      <w:start w:val="1"/>
      <w:numFmt w:val="bullet"/>
      <w:lvlText w:val=""/>
      <w:lvlJc w:val="left"/>
      <w:pPr>
        <w:ind w:left="2160" w:hanging="360"/>
      </w:pPr>
      <w:rPr>
        <w:rFonts w:ascii="Wingdings" w:hAnsi="Wingdings" w:hint="default"/>
      </w:rPr>
    </w:lvl>
    <w:lvl w:ilvl="3" w:tplc="77B61164" w:tentative="1">
      <w:start w:val="1"/>
      <w:numFmt w:val="bullet"/>
      <w:lvlText w:val=""/>
      <w:lvlJc w:val="left"/>
      <w:pPr>
        <w:ind w:left="2880" w:hanging="360"/>
      </w:pPr>
      <w:rPr>
        <w:rFonts w:ascii="Symbol" w:hAnsi="Symbol" w:hint="default"/>
      </w:rPr>
    </w:lvl>
    <w:lvl w:ilvl="4" w:tplc="733E75F8" w:tentative="1">
      <w:start w:val="1"/>
      <w:numFmt w:val="bullet"/>
      <w:lvlText w:val="o"/>
      <w:lvlJc w:val="left"/>
      <w:pPr>
        <w:ind w:left="3600" w:hanging="360"/>
      </w:pPr>
      <w:rPr>
        <w:rFonts w:ascii="Courier New" w:hAnsi="Courier New" w:cs="Courier New" w:hint="default"/>
      </w:rPr>
    </w:lvl>
    <w:lvl w:ilvl="5" w:tplc="5022B5C0" w:tentative="1">
      <w:start w:val="1"/>
      <w:numFmt w:val="bullet"/>
      <w:lvlText w:val=""/>
      <w:lvlJc w:val="left"/>
      <w:pPr>
        <w:ind w:left="4320" w:hanging="360"/>
      </w:pPr>
      <w:rPr>
        <w:rFonts w:ascii="Wingdings" w:hAnsi="Wingdings" w:hint="default"/>
      </w:rPr>
    </w:lvl>
    <w:lvl w:ilvl="6" w:tplc="1DF0DF1C" w:tentative="1">
      <w:start w:val="1"/>
      <w:numFmt w:val="bullet"/>
      <w:lvlText w:val=""/>
      <w:lvlJc w:val="left"/>
      <w:pPr>
        <w:ind w:left="5040" w:hanging="360"/>
      </w:pPr>
      <w:rPr>
        <w:rFonts w:ascii="Symbol" w:hAnsi="Symbol" w:hint="default"/>
      </w:rPr>
    </w:lvl>
    <w:lvl w:ilvl="7" w:tplc="CB38B9A4" w:tentative="1">
      <w:start w:val="1"/>
      <w:numFmt w:val="bullet"/>
      <w:lvlText w:val="o"/>
      <w:lvlJc w:val="left"/>
      <w:pPr>
        <w:ind w:left="5760" w:hanging="360"/>
      </w:pPr>
      <w:rPr>
        <w:rFonts w:ascii="Courier New" w:hAnsi="Courier New" w:cs="Courier New" w:hint="default"/>
      </w:rPr>
    </w:lvl>
    <w:lvl w:ilvl="8" w:tplc="384402DC" w:tentative="1">
      <w:start w:val="1"/>
      <w:numFmt w:val="bullet"/>
      <w:lvlText w:val=""/>
      <w:lvlJc w:val="left"/>
      <w:pPr>
        <w:ind w:left="6480" w:hanging="360"/>
      </w:pPr>
      <w:rPr>
        <w:rFonts w:ascii="Wingdings" w:hAnsi="Wingdings" w:hint="default"/>
      </w:rPr>
    </w:lvl>
  </w:abstractNum>
  <w:abstractNum w:abstractNumId="2" w15:restartNumberingAfterBreak="0">
    <w:nsid w:val="26FB2105"/>
    <w:multiLevelType w:val="hybridMultilevel"/>
    <w:tmpl w:val="4DBCA8D0"/>
    <w:lvl w:ilvl="0" w:tplc="EF4CF1B2">
      <w:start w:val="1"/>
      <w:numFmt w:val="bullet"/>
      <w:lvlText w:val=""/>
      <w:lvlJc w:val="left"/>
      <w:pPr>
        <w:ind w:left="720" w:hanging="360"/>
      </w:pPr>
      <w:rPr>
        <w:rFonts w:ascii="Symbol" w:hAnsi="Symbol" w:hint="default"/>
      </w:rPr>
    </w:lvl>
    <w:lvl w:ilvl="1" w:tplc="019C1F24" w:tentative="1">
      <w:start w:val="1"/>
      <w:numFmt w:val="bullet"/>
      <w:lvlText w:val="o"/>
      <w:lvlJc w:val="left"/>
      <w:pPr>
        <w:ind w:left="1440" w:hanging="360"/>
      </w:pPr>
      <w:rPr>
        <w:rFonts w:ascii="Courier New" w:hAnsi="Courier New" w:cs="Courier New" w:hint="default"/>
      </w:rPr>
    </w:lvl>
    <w:lvl w:ilvl="2" w:tplc="1840C338" w:tentative="1">
      <w:start w:val="1"/>
      <w:numFmt w:val="bullet"/>
      <w:lvlText w:val=""/>
      <w:lvlJc w:val="left"/>
      <w:pPr>
        <w:ind w:left="2160" w:hanging="360"/>
      </w:pPr>
      <w:rPr>
        <w:rFonts w:ascii="Wingdings" w:hAnsi="Wingdings" w:hint="default"/>
      </w:rPr>
    </w:lvl>
    <w:lvl w:ilvl="3" w:tplc="C35C30B8" w:tentative="1">
      <w:start w:val="1"/>
      <w:numFmt w:val="bullet"/>
      <w:lvlText w:val=""/>
      <w:lvlJc w:val="left"/>
      <w:pPr>
        <w:ind w:left="2880" w:hanging="360"/>
      </w:pPr>
      <w:rPr>
        <w:rFonts w:ascii="Symbol" w:hAnsi="Symbol" w:hint="default"/>
      </w:rPr>
    </w:lvl>
    <w:lvl w:ilvl="4" w:tplc="5C42B260" w:tentative="1">
      <w:start w:val="1"/>
      <w:numFmt w:val="bullet"/>
      <w:lvlText w:val="o"/>
      <w:lvlJc w:val="left"/>
      <w:pPr>
        <w:ind w:left="3600" w:hanging="360"/>
      </w:pPr>
      <w:rPr>
        <w:rFonts w:ascii="Courier New" w:hAnsi="Courier New" w:cs="Courier New" w:hint="default"/>
      </w:rPr>
    </w:lvl>
    <w:lvl w:ilvl="5" w:tplc="BF0E2956" w:tentative="1">
      <w:start w:val="1"/>
      <w:numFmt w:val="bullet"/>
      <w:lvlText w:val=""/>
      <w:lvlJc w:val="left"/>
      <w:pPr>
        <w:ind w:left="4320" w:hanging="360"/>
      </w:pPr>
      <w:rPr>
        <w:rFonts w:ascii="Wingdings" w:hAnsi="Wingdings" w:hint="default"/>
      </w:rPr>
    </w:lvl>
    <w:lvl w:ilvl="6" w:tplc="454CE340" w:tentative="1">
      <w:start w:val="1"/>
      <w:numFmt w:val="bullet"/>
      <w:lvlText w:val=""/>
      <w:lvlJc w:val="left"/>
      <w:pPr>
        <w:ind w:left="5040" w:hanging="360"/>
      </w:pPr>
      <w:rPr>
        <w:rFonts w:ascii="Symbol" w:hAnsi="Symbol" w:hint="default"/>
      </w:rPr>
    </w:lvl>
    <w:lvl w:ilvl="7" w:tplc="D2627D8A" w:tentative="1">
      <w:start w:val="1"/>
      <w:numFmt w:val="bullet"/>
      <w:lvlText w:val="o"/>
      <w:lvlJc w:val="left"/>
      <w:pPr>
        <w:ind w:left="5760" w:hanging="360"/>
      </w:pPr>
      <w:rPr>
        <w:rFonts w:ascii="Courier New" w:hAnsi="Courier New" w:cs="Courier New" w:hint="default"/>
      </w:rPr>
    </w:lvl>
    <w:lvl w:ilvl="8" w:tplc="9B465078" w:tentative="1">
      <w:start w:val="1"/>
      <w:numFmt w:val="bullet"/>
      <w:lvlText w:val=""/>
      <w:lvlJc w:val="left"/>
      <w:pPr>
        <w:ind w:left="6480" w:hanging="360"/>
      </w:pPr>
      <w:rPr>
        <w:rFonts w:ascii="Wingdings" w:hAnsi="Wingdings" w:hint="default"/>
      </w:rPr>
    </w:lvl>
  </w:abstractNum>
  <w:abstractNum w:abstractNumId="3" w15:restartNumberingAfterBreak="0">
    <w:nsid w:val="2DA6660A"/>
    <w:multiLevelType w:val="hybridMultilevel"/>
    <w:tmpl w:val="FA6A7352"/>
    <w:lvl w:ilvl="0" w:tplc="AA42468E">
      <w:start w:val="1"/>
      <w:numFmt w:val="bullet"/>
      <w:lvlText w:val=""/>
      <w:lvlJc w:val="left"/>
      <w:pPr>
        <w:ind w:left="720" w:hanging="360"/>
      </w:pPr>
      <w:rPr>
        <w:rFonts w:ascii="Symbol" w:hAnsi="Symbol" w:hint="default"/>
      </w:rPr>
    </w:lvl>
    <w:lvl w:ilvl="1" w:tplc="1AF20F46" w:tentative="1">
      <w:start w:val="1"/>
      <w:numFmt w:val="bullet"/>
      <w:lvlText w:val="o"/>
      <w:lvlJc w:val="left"/>
      <w:pPr>
        <w:ind w:left="1440" w:hanging="360"/>
      </w:pPr>
      <w:rPr>
        <w:rFonts w:ascii="Courier New" w:hAnsi="Courier New" w:cs="Courier New" w:hint="default"/>
      </w:rPr>
    </w:lvl>
    <w:lvl w:ilvl="2" w:tplc="4524E646" w:tentative="1">
      <w:start w:val="1"/>
      <w:numFmt w:val="bullet"/>
      <w:lvlText w:val=""/>
      <w:lvlJc w:val="left"/>
      <w:pPr>
        <w:ind w:left="2160" w:hanging="360"/>
      </w:pPr>
      <w:rPr>
        <w:rFonts w:ascii="Wingdings" w:hAnsi="Wingdings" w:hint="default"/>
      </w:rPr>
    </w:lvl>
    <w:lvl w:ilvl="3" w:tplc="C658AA4A" w:tentative="1">
      <w:start w:val="1"/>
      <w:numFmt w:val="bullet"/>
      <w:lvlText w:val=""/>
      <w:lvlJc w:val="left"/>
      <w:pPr>
        <w:ind w:left="2880" w:hanging="360"/>
      </w:pPr>
      <w:rPr>
        <w:rFonts w:ascii="Symbol" w:hAnsi="Symbol" w:hint="default"/>
      </w:rPr>
    </w:lvl>
    <w:lvl w:ilvl="4" w:tplc="78BC2C3C" w:tentative="1">
      <w:start w:val="1"/>
      <w:numFmt w:val="bullet"/>
      <w:lvlText w:val="o"/>
      <w:lvlJc w:val="left"/>
      <w:pPr>
        <w:ind w:left="3600" w:hanging="360"/>
      </w:pPr>
      <w:rPr>
        <w:rFonts w:ascii="Courier New" w:hAnsi="Courier New" w:cs="Courier New" w:hint="default"/>
      </w:rPr>
    </w:lvl>
    <w:lvl w:ilvl="5" w:tplc="59A45C06" w:tentative="1">
      <w:start w:val="1"/>
      <w:numFmt w:val="bullet"/>
      <w:lvlText w:val=""/>
      <w:lvlJc w:val="left"/>
      <w:pPr>
        <w:ind w:left="4320" w:hanging="360"/>
      </w:pPr>
      <w:rPr>
        <w:rFonts w:ascii="Wingdings" w:hAnsi="Wingdings" w:hint="default"/>
      </w:rPr>
    </w:lvl>
    <w:lvl w:ilvl="6" w:tplc="DDCEB7FA" w:tentative="1">
      <w:start w:val="1"/>
      <w:numFmt w:val="bullet"/>
      <w:lvlText w:val=""/>
      <w:lvlJc w:val="left"/>
      <w:pPr>
        <w:ind w:left="5040" w:hanging="360"/>
      </w:pPr>
      <w:rPr>
        <w:rFonts w:ascii="Symbol" w:hAnsi="Symbol" w:hint="default"/>
      </w:rPr>
    </w:lvl>
    <w:lvl w:ilvl="7" w:tplc="60D08D66" w:tentative="1">
      <w:start w:val="1"/>
      <w:numFmt w:val="bullet"/>
      <w:lvlText w:val="o"/>
      <w:lvlJc w:val="left"/>
      <w:pPr>
        <w:ind w:left="5760" w:hanging="360"/>
      </w:pPr>
      <w:rPr>
        <w:rFonts w:ascii="Courier New" w:hAnsi="Courier New" w:cs="Courier New" w:hint="default"/>
      </w:rPr>
    </w:lvl>
    <w:lvl w:ilvl="8" w:tplc="2842AEEC" w:tentative="1">
      <w:start w:val="1"/>
      <w:numFmt w:val="bullet"/>
      <w:lvlText w:val=""/>
      <w:lvlJc w:val="left"/>
      <w:pPr>
        <w:ind w:left="6480" w:hanging="360"/>
      </w:pPr>
      <w:rPr>
        <w:rFonts w:ascii="Wingdings" w:hAnsi="Wingdings" w:hint="default"/>
      </w:rPr>
    </w:lvl>
  </w:abstractNum>
  <w:abstractNum w:abstractNumId="4" w15:restartNumberingAfterBreak="0">
    <w:nsid w:val="38567503"/>
    <w:multiLevelType w:val="hybridMultilevel"/>
    <w:tmpl w:val="32925CB8"/>
    <w:lvl w:ilvl="0" w:tplc="81C0254E">
      <w:start w:val="1"/>
      <w:numFmt w:val="decimal"/>
      <w:lvlText w:val="%1."/>
      <w:lvlJc w:val="left"/>
      <w:pPr>
        <w:ind w:left="4897"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330DD"/>
    <w:multiLevelType w:val="hybridMultilevel"/>
    <w:tmpl w:val="734A71D4"/>
    <w:lvl w:ilvl="0" w:tplc="2DAC9DF4">
      <w:start w:val="1"/>
      <w:numFmt w:val="bullet"/>
      <w:lvlText w:val=""/>
      <w:lvlJc w:val="left"/>
      <w:pPr>
        <w:ind w:left="720" w:hanging="360"/>
      </w:pPr>
      <w:rPr>
        <w:rFonts w:ascii="Symbol" w:hAnsi="Symbol" w:hint="default"/>
      </w:rPr>
    </w:lvl>
    <w:lvl w:ilvl="1" w:tplc="30C437FC" w:tentative="1">
      <w:start w:val="1"/>
      <w:numFmt w:val="bullet"/>
      <w:lvlText w:val="o"/>
      <w:lvlJc w:val="left"/>
      <w:pPr>
        <w:ind w:left="1440" w:hanging="360"/>
      </w:pPr>
      <w:rPr>
        <w:rFonts w:ascii="Courier New" w:hAnsi="Courier New" w:cs="Courier New" w:hint="default"/>
      </w:rPr>
    </w:lvl>
    <w:lvl w:ilvl="2" w:tplc="21AC41F4" w:tentative="1">
      <w:start w:val="1"/>
      <w:numFmt w:val="bullet"/>
      <w:lvlText w:val=""/>
      <w:lvlJc w:val="left"/>
      <w:pPr>
        <w:ind w:left="2160" w:hanging="360"/>
      </w:pPr>
      <w:rPr>
        <w:rFonts w:ascii="Wingdings" w:hAnsi="Wingdings" w:hint="default"/>
      </w:rPr>
    </w:lvl>
    <w:lvl w:ilvl="3" w:tplc="B61E4550" w:tentative="1">
      <w:start w:val="1"/>
      <w:numFmt w:val="bullet"/>
      <w:lvlText w:val=""/>
      <w:lvlJc w:val="left"/>
      <w:pPr>
        <w:ind w:left="2880" w:hanging="360"/>
      </w:pPr>
      <w:rPr>
        <w:rFonts w:ascii="Symbol" w:hAnsi="Symbol" w:hint="default"/>
      </w:rPr>
    </w:lvl>
    <w:lvl w:ilvl="4" w:tplc="88F462AC" w:tentative="1">
      <w:start w:val="1"/>
      <w:numFmt w:val="bullet"/>
      <w:lvlText w:val="o"/>
      <w:lvlJc w:val="left"/>
      <w:pPr>
        <w:ind w:left="3600" w:hanging="360"/>
      </w:pPr>
      <w:rPr>
        <w:rFonts w:ascii="Courier New" w:hAnsi="Courier New" w:cs="Courier New" w:hint="default"/>
      </w:rPr>
    </w:lvl>
    <w:lvl w:ilvl="5" w:tplc="C13A579E" w:tentative="1">
      <w:start w:val="1"/>
      <w:numFmt w:val="bullet"/>
      <w:lvlText w:val=""/>
      <w:lvlJc w:val="left"/>
      <w:pPr>
        <w:ind w:left="4320" w:hanging="360"/>
      </w:pPr>
      <w:rPr>
        <w:rFonts w:ascii="Wingdings" w:hAnsi="Wingdings" w:hint="default"/>
      </w:rPr>
    </w:lvl>
    <w:lvl w:ilvl="6" w:tplc="A51A6D78" w:tentative="1">
      <w:start w:val="1"/>
      <w:numFmt w:val="bullet"/>
      <w:lvlText w:val=""/>
      <w:lvlJc w:val="left"/>
      <w:pPr>
        <w:ind w:left="5040" w:hanging="360"/>
      </w:pPr>
      <w:rPr>
        <w:rFonts w:ascii="Symbol" w:hAnsi="Symbol" w:hint="default"/>
      </w:rPr>
    </w:lvl>
    <w:lvl w:ilvl="7" w:tplc="2DA2EE0E" w:tentative="1">
      <w:start w:val="1"/>
      <w:numFmt w:val="bullet"/>
      <w:lvlText w:val="o"/>
      <w:lvlJc w:val="left"/>
      <w:pPr>
        <w:ind w:left="5760" w:hanging="360"/>
      </w:pPr>
      <w:rPr>
        <w:rFonts w:ascii="Courier New" w:hAnsi="Courier New" w:cs="Courier New" w:hint="default"/>
      </w:rPr>
    </w:lvl>
    <w:lvl w:ilvl="8" w:tplc="507E80C0" w:tentative="1">
      <w:start w:val="1"/>
      <w:numFmt w:val="bullet"/>
      <w:lvlText w:val=""/>
      <w:lvlJc w:val="left"/>
      <w:pPr>
        <w:ind w:left="6480" w:hanging="360"/>
      </w:pPr>
      <w:rPr>
        <w:rFonts w:ascii="Wingdings" w:hAnsi="Wingdings" w:hint="default"/>
      </w:rPr>
    </w:lvl>
  </w:abstractNum>
  <w:abstractNum w:abstractNumId="6" w15:restartNumberingAfterBreak="0">
    <w:nsid w:val="5A8741FF"/>
    <w:multiLevelType w:val="hybridMultilevel"/>
    <w:tmpl w:val="105E28B0"/>
    <w:lvl w:ilvl="0" w:tplc="EDF2F838">
      <w:start w:val="1"/>
      <w:numFmt w:val="bullet"/>
      <w:lvlText w:val=""/>
      <w:lvlJc w:val="left"/>
      <w:pPr>
        <w:ind w:left="720" w:hanging="360"/>
      </w:pPr>
      <w:rPr>
        <w:rFonts w:ascii="Symbol" w:hAnsi="Symbol" w:hint="default"/>
      </w:rPr>
    </w:lvl>
    <w:lvl w:ilvl="1" w:tplc="030EA036" w:tentative="1">
      <w:start w:val="1"/>
      <w:numFmt w:val="bullet"/>
      <w:lvlText w:val="o"/>
      <w:lvlJc w:val="left"/>
      <w:pPr>
        <w:ind w:left="1440" w:hanging="360"/>
      </w:pPr>
      <w:rPr>
        <w:rFonts w:ascii="Courier New" w:hAnsi="Courier New" w:cs="Courier New" w:hint="default"/>
      </w:rPr>
    </w:lvl>
    <w:lvl w:ilvl="2" w:tplc="DFE04380" w:tentative="1">
      <w:start w:val="1"/>
      <w:numFmt w:val="bullet"/>
      <w:lvlText w:val=""/>
      <w:lvlJc w:val="left"/>
      <w:pPr>
        <w:ind w:left="2160" w:hanging="360"/>
      </w:pPr>
      <w:rPr>
        <w:rFonts w:ascii="Wingdings" w:hAnsi="Wingdings" w:hint="default"/>
      </w:rPr>
    </w:lvl>
    <w:lvl w:ilvl="3" w:tplc="FA3C9A6A" w:tentative="1">
      <w:start w:val="1"/>
      <w:numFmt w:val="bullet"/>
      <w:lvlText w:val=""/>
      <w:lvlJc w:val="left"/>
      <w:pPr>
        <w:ind w:left="2880" w:hanging="360"/>
      </w:pPr>
      <w:rPr>
        <w:rFonts w:ascii="Symbol" w:hAnsi="Symbol" w:hint="default"/>
      </w:rPr>
    </w:lvl>
    <w:lvl w:ilvl="4" w:tplc="54D49DA2" w:tentative="1">
      <w:start w:val="1"/>
      <w:numFmt w:val="bullet"/>
      <w:lvlText w:val="o"/>
      <w:lvlJc w:val="left"/>
      <w:pPr>
        <w:ind w:left="3600" w:hanging="360"/>
      </w:pPr>
      <w:rPr>
        <w:rFonts w:ascii="Courier New" w:hAnsi="Courier New" w:cs="Courier New" w:hint="default"/>
      </w:rPr>
    </w:lvl>
    <w:lvl w:ilvl="5" w:tplc="F6C8FCE8" w:tentative="1">
      <w:start w:val="1"/>
      <w:numFmt w:val="bullet"/>
      <w:lvlText w:val=""/>
      <w:lvlJc w:val="left"/>
      <w:pPr>
        <w:ind w:left="4320" w:hanging="360"/>
      </w:pPr>
      <w:rPr>
        <w:rFonts w:ascii="Wingdings" w:hAnsi="Wingdings" w:hint="default"/>
      </w:rPr>
    </w:lvl>
    <w:lvl w:ilvl="6" w:tplc="FAA64532" w:tentative="1">
      <w:start w:val="1"/>
      <w:numFmt w:val="bullet"/>
      <w:lvlText w:val=""/>
      <w:lvlJc w:val="left"/>
      <w:pPr>
        <w:ind w:left="5040" w:hanging="360"/>
      </w:pPr>
      <w:rPr>
        <w:rFonts w:ascii="Symbol" w:hAnsi="Symbol" w:hint="default"/>
      </w:rPr>
    </w:lvl>
    <w:lvl w:ilvl="7" w:tplc="2632983A" w:tentative="1">
      <w:start w:val="1"/>
      <w:numFmt w:val="bullet"/>
      <w:lvlText w:val="o"/>
      <w:lvlJc w:val="left"/>
      <w:pPr>
        <w:ind w:left="5760" w:hanging="360"/>
      </w:pPr>
      <w:rPr>
        <w:rFonts w:ascii="Courier New" w:hAnsi="Courier New" w:cs="Courier New" w:hint="default"/>
      </w:rPr>
    </w:lvl>
    <w:lvl w:ilvl="8" w:tplc="547A6388" w:tentative="1">
      <w:start w:val="1"/>
      <w:numFmt w:val="bullet"/>
      <w:lvlText w:val=""/>
      <w:lvlJc w:val="left"/>
      <w:pPr>
        <w:ind w:left="6480" w:hanging="360"/>
      </w:pPr>
      <w:rPr>
        <w:rFonts w:ascii="Wingdings" w:hAnsi="Wingdings" w:hint="default"/>
      </w:rPr>
    </w:lvl>
  </w:abstractNum>
  <w:abstractNum w:abstractNumId="7" w15:restartNumberingAfterBreak="0">
    <w:nsid w:val="60AD10E8"/>
    <w:multiLevelType w:val="hybridMultilevel"/>
    <w:tmpl w:val="7E54C49C"/>
    <w:lvl w:ilvl="0" w:tplc="192E631A">
      <w:start w:val="1"/>
      <w:numFmt w:val="bullet"/>
      <w:lvlText w:val=""/>
      <w:lvlJc w:val="left"/>
      <w:pPr>
        <w:ind w:left="720" w:hanging="360"/>
      </w:pPr>
      <w:rPr>
        <w:rFonts w:ascii="Symbol" w:hAnsi="Symbol" w:hint="default"/>
      </w:rPr>
    </w:lvl>
    <w:lvl w:ilvl="1" w:tplc="3EB4CF34" w:tentative="1">
      <w:start w:val="1"/>
      <w:numFmt w:val="bullet"/>
      <w:lvlText w:val="o"/>
      <w:lvlJc w:val="left"/>
      <w:pPr>
        <w:ind w:left="1440" w:hanging="360"/>
      </w:pPr>
      <w:rPr>
        <w:rFonts w:ascii="Courier New" w:hAnsi="Courier New" w:cs="Courier New" w:hint="default"/>
      </w:rPr>
    </w:lvl>
    <w:lvl w:ilvl="2" w:tplc="B7164CBE" w:tentative="1">
      <w:start w:val="1"/>
      <w:numFmt w:val="bullet"/>
      <w:lvlText w:val=""/>
      <w:lvlJc w:val="left"/>
      <w:pPr>
        <w:ind w:left="2160" w:hanging="360"/>
      </w:pPr>
      <w:rPr>
        <w:rFonts w:ascii="Wingdings" w:hAnsi="Wingdings" w:hint="default"/>
      </w:rPr>
    </w:lvl>
    <w:lvl w:ilvl="3" w:tplc="677C75A2" w:tentative="1">
      <w:start w:val="1"/>
      <w:numFmt w:val="bullet"/>
      <w:lvlText w:val=""/>
      <w:lvlJc w:val="left"/>
      <w:pPr>
        <w:ind w:left="2880" w:hanging="360"/>
      </w:pPr>
      <w:rPr>
        <w:rFonts w:ascii="Symbol" w:hAnsi="Symbol" w:hint="default"/>
      </w:rPr>
    </w:lvl>
    <w:lvl w:ilvl="4" w:tplc="6358AB3E" w:tentative="1">
      <w:start w:val="1"/>
      <w:numFmt w:val="bullet"/>
      <w:lvlText w:val="o"/>
      <w:lvlJc w:val="left"/>
      <w:pPr>
        <w:ind w:left="3600" w:hanging="360"/>
      </w:pPr>
      <w:rPr>
        <w:rFonts w:ascii="Courier New" w:hAnsi="Courier New" w:cs="Courier New" w:hint="default"/>
      </w:rPr>
    </w:lvl>
    <w:lvl w:ilvl="5" w:tplc="F6DA9C9E" w:tentative="1">
      <w:start w:val="1"/>
      <w:numFmt w:val="bullet"/>
      <w:lvlText w:val=""/>
      <w:lvlJc w:val="left"/>
      <w:pPr>
        <w:ind w:left="4320" w:hanging="360"/>
      </w:pPr>
      <w:rPr>
        <w:rFonts w:ascii="Wingdings" w:hAnsi="Wingdings" w:hint="default"/>
      </w:rPr>
    </w:lvl>
    <w:lvl w:ilvl="6" w:tplc="CB04D27C" w:tentative="1">
      <w:start w:val="1"/>
      <w:numFmt w:val="bullet"/>
      <w:lvlText w:val=""/>
      <w:lvlJc w:val="left"/>
      <w:pPr>
        <w:ind w:left="5040" w:hanging="360"/>
      </w:pPr>
      <w:rPr>
        <w:rFonts w:ascii="Symbol" w:hAnsi="Symbol" w:hint="default"/>
      </w:rPr>
    </w:lvl>
    <w:lvl w:ilvl="7" w:tplc="5E369F0E" w:tentative="1">
      <w:start w:val="1"/>
      <w:numFmt w:val="bullet"/>
      <w:lvlText w:val="o"/>
      <w:lvlJc w:val="left"/>
      <w:pPr>
        <w:ind w:left="5760" w:hanging="360"/>
      </w:pPr>
      <w:rPr>
        <w:rFonts w:ascii="Courier New" w:hAnsi="Courier New" w:cs="Courier New" w:hint="default"/>
      </w:rPr>
    </w:lvl>
    <w:lvl w:ilvl="8" w:tplc="7C08C28C" w:tentative="1">
      <w:start w:val="1"/>
      <w:numFmt w:val="bullet"/>
      <w:lvlText w:val=""/>
      <w:lvlJc w:val="left"/>
      <w:pPr>
        <w:ind w:left="6480" w:hanging="360"/>
      </w:pPr>
      <w:rPr>
        <w:rFonts w:ascii="Wingdings" w:hAnsi="Wingdings" w:hint="default"/>
      </w:rPr>
    </w:lvl>
  </w:abstractNum>
  <w:abstractNum w:abstractNumId="8" w15:restartNumberingAfterBreak="0">
    <w:nsid w:val="61097335"/>
    <w:multiLevelType w:val="hybridMultilevel"/>
    <w:tmpl w:val="1D7ED0A4"/>
    <w:lvl w:ilvl="0" w:tplc="FBA0C7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26095C"/>
    <w:multiLevelType w:val="hybridMultilevel"/>
    <w:tmpl w:val="7E448032"/>
    <w:lvl w:ilvl="0" w:tplc="6016BBC4">
      <w:start w:val="1"/>
      <w:numFmt w:val="bullet"/>
      <w:lvlText w:val=""/>
      <w:lvlJc w:val="left"/>
      <w:pPr>
        <w:ind w:left="720" w:hanging="360"/>
      </w:pPr>
      <w:rPr>
        <w:rFonts w:ascii="Symbol" w:hAnsi="Symbol" w:hint="default"/>
      </w:rPr>
    </w:lvl>
    <w:lvl w:ilvl="1" w:tplc="F574F6B2" w:tentative="1">
      <w:start w:val="1"/>
      <w:numFmt w:val="bullet"/>
      <w:lvlText w:val="o"/>
      <w:lvlJc w:val="left"/>
      <w:pPr>
        <w:ind w:left="1440" w:hanging="360"/>
      </w:pPr>
      <w:rPr>
        <w:rFonts w:ascii="Courier New" w:hAnsi="Courier New" w:cs="Courier New" w:hint="default"/>
      </w:rPr>
    </w:lvl>
    <w:lvl w:ilvl="2" w:tplc="9A8C7848" w:tentative="1">
      <w:start w:val="1"/>
      <w:numFmt w:val="bullet"/>
      <w:lvlText w:val=""/>
      <w:lvlJc w:val="left"/>
      <w:pPr>
        <w:ind w:left="2160" w:hanging="360"/>
      </w:pPr>
      <w:rPr>
        <w:rFonts w:ascii="Wingdings" w:hAnsi="Wingdings" w:hint="default"/>
      </w:rPr>
    </w:lvl>
    <w:lvl w:ilvl="3" w:tplc="C2E0B918" w:tentative="1">
      <w:start w:val="1"/>
      <w:numFmt w:val="bullet"/>
      <w:lvlText w:val=""/>
      <w:lvlJc w:val="left"/>
      <w:pPr>
        <w:ind w:left="2880" w:hanging="360"/>
      </w:pPr>
      <w:rPr>
        <w:rFonts w:ascii="Symbol" w:hAnsi="Symbol" w:hint="default"/>
      </w:rPr>
    </w:lvl>
    <w:lvl w:ilvl="4" w:tplc="3CC83D48" w:tentative="1">
      <w:start w:val="1"/>
      <w:numFmt w:val="bullet"/>
      <w:lvlText w:val="o"/>
      <w:lvlJc w:val="left"/>
      <w:pPr>
        <w:ind w:left="3600" w:hanging="360"/>
      </w:pPr>
      <w:rPr>
        <w:rFonts w:ascii="Courier New" w:hAnsi="Courier New" w:cs="Courier New" w:hint="default"/>
      </w:rPr>
    </w:lvl>
    <w:lvl w:ilvl="5" w:tplc="63866474" w:tentative="1">
      <w:start w:val="1"/>
      <w:numFmt w:val="bullet"/>
      <w:lvlText w:val=""/>
      <w:lvlJc w:val="left"/>
      <w:pPr>
        <w:ind w:left="4320" w:hanging="360"/>
      </w:pPr>
      <w:rPr>
        <w:rFonts w:ascii="Wingdings" w:hAnsi="Wingdings" w:hint="default"/>
      </w:rPr>
    </w:lvl>
    <w:lvl w:ilvl="6" w:tplc="37CAABE2" w:tentative="1">
      <w:start w:val="1"/>
      <w:numFmt w:val="bullet"/>
      <w:lvlText w:val=""/>
      <w:lvlJc w:val="left"/>
      <w:pPr>
        <w:ind w:left="5040" w:hanging="360"/>
      </w:pPr>
      <w:rPr>
        <w:rFonts w:ascii="Symbol" w:hAnsi="Symbol" w:hint="default"/>
      </w:rPr>
    </w:lvl>
    <w:lvl w:ilvl="7" w:tplc="9F82E746" w:tentative="1">
      <w:start w:val="1"/>
      <w:numFmt w:val="bullet"/>
      <w:lvlText w:val="o"/>
      <w:lvlJc w:val="left"/>
      <w:pPr>
        <w:ind w:left="5760" w:hanging="360"/>
      </w:pPr>
      <w:rPr>
        <w:rFonts w:ascii="Courier New" w:hAnsi="Courier New" w:cs="Courier New" w:hint="default"/>
      </w:rPr>
    </w:lvl>
    <w:lvl w:ilvl="8" w:tplc="1F567ABC" w:tentative="1">
      <w:start w:val="1"/>
      <w:numFmt w:val="bullet"/>
      <w:lvlText w:val=""/>
      <w:lvlJc w:val="left"/>
      <w:pPr>
        <w:ind w:left="6480" w:hanging="360"/>
      </w:pPr>
      <w:rPr>
        <w:rFonts w:ascii="Wingdings" w:hAnsi="Wingdings" w:hint="default"/>
      </w:rPr>
    </w:lvl>
  </w:abstractNum>
  <w:abstractNum w:abstractNumId="11" w15:restartNumberingAfterBreak="0">
    <w:nsid w:val="78EA7D20"/>
    <w:multiLevelType w:val="hybridMultilevel"/>
    <w:tmpl w:val="F82AF37E"/>
    <w:lvl w:ilvl="0" w:tplc="BED0A61A">
      <w:start w:val="3"/>
      <w:numFmt w:val="bullet"/>
      <w:lvlText w:val="•"/>
      <w:lvlJc w:val="left"/>
      <w:pPr>
        <w:ind w:left="720" w:hanging="360"/>
      </w:pPr>
      <w:rPr>
        <w:rFonts w:ascii="DFKai-SB" w:eastAsia="DFKai-SB" w:hAnsi="DFKai-SB" w:cs="Times New Roman" w:hint="eastAsia"/>
      </w:rPr>
    </w:lvl>
    <w:lvl w:ilvl="1" w:tplc="E63C1A60" w:tentative="1">
      <w:start w:val="1"/>
      <w:numFmt w:val="bullet"/>
      <w:lvlText w:val="o"/>
      <w:lvlJc w:val="left"/>
      <w:pPr>
        <w:ind w:left="1440" w:hanging="360"/>
      </w:pPr>
      <w:rPr>
        <w:rFonts w:ascii="Courier New" w:hAnsi="Courier New" w:cs="Courier New" w:hint="default"/>
      </w:rPr>
    </w:lvl>
    <w:lvl w:ilvl="2" w:tplc="4D201F68" w:tentative="1">
      <w:start w:val="1"/>
      <w:numFmt w:val="bullet"/>
      <w:lvlText w:val=""/>
      <w:lvlJc w:val="left"/>
      <w:pPr>
        <w:ind w:left="2160" w:hanging="360"/>
      </w:pPr>
      <w:rPr>
        <w:rFonts w:ascii="Wingdings" w:hAnsi="Wingdings" w:hint="default"/>
      </w:rPr>
    </w:lvl>
    <w:lvl w:ilvl="3" w:tplc="37F4E950" w:tentative="1">
      <w:start w:val="1"/>
      <w:numFmt w:val="bullet"/>
      <w:lvlText w:val=""/>
      <w:lvlJc w:val="left"/>
      <w:pPr>
        <w:ind w:left="2880" w:hanging="360"/>
      </w:pPr>
      <w:rPr>
        <w:rFonts w:ascii="Symbol" w:hAnsi="Symbol" w:hint="default"/>
      </w:rPr>
    </w:lvl>
    <w:lvl w:ilvl="4" w:tplc="57EA17A4" w:tentative="1">
      <w:start w:val="1"/>
      <w:numFmt w:val="bullet"/>
      <w:lvlText w:val="o"/>
      <w:lvlJc w:val="left"/>
      <w:pPr>
        <w:ind w:left="3600" w:hanging="360"/>
      </w:pPr>
      <w:rPr>
        <w:rFonts w:ascii="Courier New" w:hAnsi="Courier New" w:cs="Courier New" w:hint="default"/>
      </w:rPr>
    </w:lvl>
    <w:lvl w:ilvl="5" w:tplc="32C29AF2" w:tentative="1">
      <w:start w:val="1"/>
      <w:numFmt w:val="bullet"/>
      <w:lvlText w:val=""/>
      <w:lvlJc w:val="left"/>
      <w:pPr>
        <w:ind w:left="4320" w:hanging="360"/>
      </w:pPr>
      <w:rPr>
        <w:rFonts w:ascii="Wingdings" w:hAnsi="Wingdings" w:hint="default"/>
      </w:rPr>
    </w:lvl>
    <w:lvl w:ilvl="6" w:tplc="AC282008" w:tentative="1">
      <w:start w:val="1"/>
      <w:numFmt w:val="bullet"/>
      <w:lvlText w:val=""/>
      <w:lvlJc w:val="left"/>
      <w:pPr>
        <w:ind w:left="5040" w:hanging="360"/>
      </w:pPr>
      <w:rPr>
        <w:rFonts w:ascii="Symbol" w:hAnsi="Symbol" w:hint="default"/>
      </w:rPr>
    </w:lvl>
    <w:lvl w:ilvl="7" w:tplc="472CBF3A" w:tentative="1">
      <w:start w:val="1"/>
      <w:numFmt w:val="bullet"/>
      <w:lvlText w:val="o"/>
      <w:lvlJc w:val="left"/>
      <w:pPr>
        <w:ind w:left="5760" w:hanging="360"/>
      </w:pPr>
      <w:rPr>
        <w:rFonts w:ascii="Courier New" w:hAnsi="Courier New" w:cs="Courier New" w:hint="default"/>
      </w:rPr>
    </w:lvl>
    <w:lvl w:ilvl="8" w:tplc="8E12BA30"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10"/>
  </w:num>
  <w:num w:numId="5">
    <w:abstractNumId w:val="5"/>
  </w:num>
  <w:num w:numId="6">
    <w:abstractNumId w:val="7"/>
  </w:num>
  <w:num w:numId="7">
    <w:abstractNumId w:val="6"/>
  </w:num>
  <w:num w:numId="8">
    <w:abstractNumId w:val="3"/>
  </w:num>
  <w:num w:numId="9">
    <w:abstractNumId w:val="2"/>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AB"/>
    <w:rsid w:val="00011C10"/>
    <w:rsid w:val="00014278"/>
    <w:rsid w:val="0002213F"/>
    <w:rsid w:val="000232B7"/>
    <w:rsid w:val="000273F2"/>
    <w:rsid w:val="00034085"/>
    <w:rsid w:val="000446B5"/>
    <w:rsid w:val="00047119"/>
    <w:rsid w:val="0007002B"/>
    <w:rsid w:val="000A0010"/>
    <w:rsid w:val="000B4AA3"/>
    <w:rsid w:val="00100549"/>
    <w:rsid w:val="0010282A"/>
    <w:rsid w:val="00102A8F"/>
    <w:rsid w:val="001154B4"/>
    <w:rsid w:val="00132D76"/>
    <w:rsid w:val="00132FB7"/>
    <w:rsid w:val="00147BF0"/>
    <w:rsid w:val="00153C0C"/>
    <w:rsid w:val="00155F87"/>
    <w:rsid w:val="0016187D"/>
    <w:rsid w:val="001807AD"/>
    <w:rsid w:val="00181C88"/>
    <w:rsid w:val="00194A60"/>
    <w:rsid w:val="001D393E"/>
    <w:rsid w:val="001D6CA0"/>
    <w:rsid w:val="001E1B2C"/>
    <w:rsid w:val="00217EFB"/>
    <w:rsid w:val="00220585"/>
    <w:rsid w:val="00230B97"/>
    <w:rsid w:val="00234D68"/>
    <w:rsid w:val="00235086"/>
    <w:rsid w:val="0025106E"/>
    <w:rsid w:val="00255D54"/>
    <w:rsid w:val="00271CB4"/>
    <w:rsid w:val="0028091A"/>
    <w:rsid w:val="00285E5A"/>
    <w:rsid w:val="002A6AE7"/>
    <w:rsid w:val="002B0E50"/>
    <w:rsid w:val="002E1000"/>
    <w:rsid w:val="002F2265"/>
    <w:rsid w:val="00303C28"/>
    <w:rsid w:val="00306A09"/>
    <w:rsid w:val="00306A5F"/>
    <w:rsid w:val="00317371"/>
    <w:rsid w:val="00331667"/>
    <w:rsid w:val="003422C2"/>
    <w:rsid w:val="003A0703"/>
    <w:rsid w:val="00400F50"/>
    <w:rsid w:val="00404D41"/>
    <w:rsid w:val="00442A8B"/>
    <w:rsid w:val="0045792F"/>
    <w:rsid w:val="00465670"/>
    <w:rsid w:val="00470607"/>
    <w:rsid w:val="00483088"/>
    <w:rsid w:val="004A7D1E"/>
    <w:rsid w:val="004B3FAB"/>
    <w:rsid w:val="004C13CD"/>
    <w:rsid w:val="004C1DCF"/>
    <w:rsid w:val="004D473E"/>
    <w:rsid w:val="004E10FC"/>
    <w:rsid w:val="004E5789"/>
    <w:rsid w:val="00500DE6"/>
    <w:rsid w:val="00517D18"/>
    <w:rsid w:val="00526B76"/>
    <w:rsid w:val="00543C94"/>
    <w:rsid w:val="005466A3"/>
    <w:rsid w:val="00593EAE"/>
    <w:rsid w:val="005A642A"/>
    <w:rsid w:val="005C1411"/>
    <w:rsid w:val="005D09B0"/>
    <w:rsid w:val="005F2A04"/>
    <w:rsid w:val="005F42B1"/>
    <w:rsid w:val="00604412"/>
    <w:rsid w:val="00606C89"/>
    <w:rsid w:val="00624F37"/>
    <w:rsid w:val="00657830"/>
    <w:rsid w:val="0068602F"/>
    <w:rsid w:val="0069516A"/>
    <w:rsid w:val="006971C4"/>
    <w:rsid w:val="006D02E2"/>
    <w:rsid w:val="006E4335"/>
    <w:rsid w:val="006F43C4"/>
    <w:rsid w:val="00716F5E"/>
    <w:rsid w:val="00744662"/>
    <w:rsid w:val="0075053F"/>
    <w:rsid w:val="0075470E"/>
    <w:rsid w:val="007579F4"/>
    <w:rsid w:val="007713EC"/>
    <w:rsid w:val="007A0C75"/>
    <w:rsid w:val="007A1C9F"/>
    <w:rsid w:val="007B2074"/>
    <w:rsid w:val="007B7C13"/>
    <w:rsid w:val="007C76A8"/>
    <w:rsid w:val="008475E7"/>
    <w:rsid w:val="008752C7"/>
    <w:rsid w:val="00875650"/>
    <w:rsid w:val="00897416"/>
    <w:rsid w:val="008D0B17"/>
    <w:rsid w:val="008D44FC"/>
    <w:rsid w:val="008D626D"/>
    <w:rsid w:val="009328B6"/>
    <w:rsid w:val="009979C9"/>
    <w:rsid w:val="009B46B4"/>
    <w:rsid w:val="009C2360"/>
    <w:rsid w:val="009E22E7"/>
    <w:rsid w:val="009E4E63"/>
    <w:rsid w:val="00A0727D"/>
    <w:rsid w:val="00A31EB1"/>
    <w:rsid w:val="00A36B08"/>
    <w:rsid w:val="00A40821"/>
    <w:rsid w:val="00A70557"/>
    <w:rsid w:val="00A74E49"/>
    <w:rsid w:val="00AA6950"/>
    <w:rsid w:val="00AB179C"/>
    <w:rsid w:val="00AD640B"/>
    <w:rsid w:val="00AE3DBB"/>
    <w:rsid w:val="00B41A8E"/>
    <w:rsid w:val="00B83CD6"/>
    <w:rsid w:val="00B84919"/>
    <w:rsid w:val="00B90503"/>
    <w:rsid w:val="00BB3A49"/>
    <w:rsid w:val="00BB47D6"/>
    <w:rsid w:val="00BB5C45"/>
    <w:rsid w:val="00BC5666"/>
    <w:rsid w:val="00BD4F66"/>
    <w:rsid w:val="00BD7FFE"/>
    <w:rsid w:val="00C036C3"/>
    <w:rsid w:val="00C50B39"/>
    <w:rsid w:val="00C57A9A"/>
    <w:rsid w:val="00C6072D"/>
    <w:rsid w:val="00CA2CEE"/>
    <w:rsid w:val="00CB7D7B"/>
    <w:rsid w:val="00CD073E"/>
    <w:rsid w:val="00CD267E"/>
    <w:rsid w:val="00CD4DED"/>
    <w:rsid w:val="00CE2AC6"/>
    <w:rsid w:val="00CF24B8"/>
    <w:rsid w:val="00CF2F5C"/>
    <w:rsid w:val="00D0055D"/>
    <w:rsid w:val="00D2328C"/>
    <w:rsid w:val="00D24A37"/>
    <w:rsid w:val="00D42365"/>
    <w:rsid w:val="00D475F6"/>
    <w:rsid w:val="00D64CED"/>
    <w:rsid w:val="00D8373C"/>
    <w:rsid w:val="00D90D98"/>
    <w:rsid w:val="00D93C6D"/>
    <w:rsid w:val="00D9597A"/>
    <w:rsid w:val="00DB3499"/>
    <w:rsid w:val="00DC66B7"/>
    <w:rsid w:val="00DC77D8"/>
    <w:rsid w:val="00E26D20"/>
    <w:rsid w:val="00E31B4F"/>
    <w:rsid w:val="00E3437A"/>
    <w:rsid w:val="00E349A7"/>
    <w:rsid w:val="00E6546C"/>
    <w:rsid w:val="00E70254"/>
    <w:rsid w:val="00E8256E"/>
    <w:rsid w:val="00E871C4"/>
    <w:rsid w:val="00E90633"/>
    <w:rsid w:val="00EA3B01"/>
    <w:rsid w:val="00EC4B84"/>
    <w:rsid w:val="00F05ECF"/>
    <w:rsid w:val="00F21F56"/>
    <w:rsid w:val="00F23C05"/>
    <w:rsid w:val="00F24BEA"/>
    <w:rsid w:val="00F32FD3"/>
    <w:rsid w:val="00F413B7"/>
    <w:rsid w:val="00F53F35"/>
    <w:rsid w:val="00F97494"/>
    <w:rsid w:val="00FA46D2"/>
    <w:rsid w:val="00FE685D"/>
    <w:rsid w:val="00FF3682"/>
    <w:rsid w:val="00FF4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7119"/>
  <w15:chartTrackingRefBased/>
  <w15:docId w15:val="{0CA2E89F-FAF6-4EB4-BD07-8338EA53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7D6"/>
    <w:rPr>
      <w:color w:val="0563C1" w:themeColor="hyperlink"/>
      <w:u w:val="single"/>
    </w:rPr>
  </w:style>
  <w:style w:type="paragraph" w:styleId="FootnoteText">
    <w:name w:val="footnote text"/>
    <w:basedOn w:val="Normal"/>
    <w:link w:val="FootnoteTextChar"/>
    <w:uiPriority w:val="99"/>
    <w:semiHidden/>
    <w:unhideWhenUsed/>
    <w:rsid w:val="00500D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0DE6"/>
    <w:rPr>
      <w:sz w:val="20"/>
      <w:szCs w:val="20"/>
    </w:rPr>
  </w:style>
  <w:style w:type="character" w:styleId="FootnoteReference">
    <w:name w:val="footnote reference"/>
    <w:basedOn w:val="DefaultParagraphFont"/>
    <w:uiPriority w:val="99"/>
    <w:semiHidden/>
    <w:unhideWhenUsed/>
    <w:rsid w:val="00500DE6"/>
    <w:rPr>
      <w:vertAlign w:val="superscript"/>
    </w:rPr>
  </w:style>
  <w:style w:type="character" w:styleId="FollowedHyperlink">
    <w:name w:val="FollowedHyperlink"/>
    <w:basedOn w:val="DefaultParagraphFont"/>
    <w:uiPriority w:val="99"/>
    <w:semiHidden/>
    <w:unhideWhenUsed/>
    <w:rsid w:val="00BB3A49"/>
    <w:rPr>
      <w:color w:val="954F72" w:themeColor="followedHyperlink"/>
      <w:u w:val="single"/>
    </w:rPr>
  </w:style>
  <w:style w:type="table" w:styleId="TableGrid">
    <w:name w:val="Table Grid"/>
    <w:basedOn w:val="TableNormal"/>
    <w:uiPriority w:val="39"/>
    <w:rsid w:val="00102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73E"/>
    <w:pPr>
      <w:ind w:left="720"/>
      <w:contextualSpacing/>
    </w:pPr>
  </w:style>
  <w:style w:type="paragraph" w:customStyle="1" w:styleId="Default">
    <w:name w:val="Default"/>
    <w:rsid w:val="00E8256E"/>
    <w:pPr>
      <w:autoSpaceDE w:val="0"/>
      <w:autoSpaceDN w:val="0"/>
      <w:adjustRightInd w:val="0"/>
      <w:spacing w:after="0" w:line="240" w:lineRule="auto"/>
    </w:pPr>
    <w:rPr>
      <w:rFonts w:ascii="Arial" w:hAnsi="Arial" w:cs="Arial"/>
      <w:color w:val="000000"/>
      <w:sz w:val="24"/>
      <w:szCs w:val="24"/>
    </w:rPr>
  </w:style>
  <w:style w:type="character" w:customStyle="1" w:styleId="1">
    <w:name w:val="Неразрешенное упоминание1"/>
    <w:basedOn w:val="DefaultParagraphFont"/>
    <w:uiPriority w:val="99"/>
    <w:semiHidden/>
    <w:unhideWhenUsed/>
    <w:rsid w:val="000273F2"/>
    <w:rPr>
      <w:color w:val="605E5C"/>
      <w:shd w:val="clear" w:color="auto" w:fill="E1DFDD"/>
    </w:rPr>
  </w:style>
  <w:style w:type="paragraph" w:customStyle="1" w:styleId="Disclaimer">
    <w:name w:val="Disclaimer"/>
    <w:basedOn w:val="Normal"/>
    <w:qFormat/>
    <w:rsid w:val="000273F2"/>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0273F2"/>
    <w:pPr>
      <w:shd w:val="clear" w:color="auto" w:fill="000000"/>
      <w:spacing w:after="200" w:line="240" w:lineRule="auto"/>
      <w:jc w:val="center"/>
    </w:pPr>
    <w:rPr>
      <w:rFonts w:eastAsiaTheme="minorHAnsi"/>
      <w:color w:val="FFFFFF"/>
      <w:sz w:val="24"/>
      <w:szCs w:val="24"/>
      <w:lang w:eastAsia="en-US"/>
    </w:rPr>
  </w:style>
  <w:style w:type="paragraph" w:styleId="BalloonText">
    <w:name w:val="Balloon Text"/>
    <w:basedOn w:val="Normal"/>
    <w:link w:val="BalloonTextChar"/>
    <w:uiPriority w:val="99"/>
    <w:semiHidden/>
    <w:unhideWhenUsed/>
    <w:rsid w:val="00306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A09"/>
    <w:rPr>
      <w:rFonts w:ascii="Segoe UI" w:hAnsi="Segoe UI" w:cs="Segoe UI"/>
      <w:sz w:val="18"/>
      <w:szCs w:val="18"/>
    </w:rPr>
  </w:style>
  <w:style w:type="paragraph" w:styleId="Revision">
    <w:name w:val="Revision"/>
    <w:hidden/>
    <w:uiPriority w:val="99"/>
    <w:semiHidden/>
    <w:rsid w:val="007C76A8"/>
    <w:pPr>
      <w:spacing w:after="0" w:line="240" w:lineRule="auto"/>
    </w:pPr>
  </w:style>
  <w:style w:type="character" w:styleId="CommentReference">
    <w:name w:val="annotation reference"/>
    <w:basedOn w:val="DefaultParagraphFont"/>
    <w:uiPriority w:val="99"/>
    <w:semiHidden/>
    <w:unhideWhenUsed/>
    <w:rsid w:val="00047119"/>
    <w:rPr>
      <w:sz w:val="16"/>
      <w:szCs w:val="16"/>
    </w:rPr>
  </w:style>
  <w:style w:type="paragraph" w:styleId="CommentText">
    <w:name w:val="annotation text"/>
    <w:basedOn w:val="Normal"/>
    <w:link w:val="CommentTextChar"/>
    <w:uiPriority w:val="99"/>
    <w:semiHidden/>
    <w:unhideWhenUsed/>
    <w:rsid w:val="00047119"/>
    <w:pPr>
      <w:spacing w:line="240" w:lineRule="auto"/>
    </w:pPr>
    <w:rPr>
      <w:sz w:val="20"/>
      <w:szCs w:val="20"/>
    </w:rPr>
  </w:style>
  <w:style w:type="character" w:customStyle="1" w:styleId="CommentTextChar">
    <w:name w:val="Comment Text Char"/>
    <w:basedOn w:val="DefaultParagraphFont"/>
    <w:link w:val="CommentText"/>
    <w:uiPriority w:val="99"/>
    <w:semiHidden/>
    <w:rsid w:val="00047119"/>
    <w:rPr>
      <w:sz w:val="20"/>
      <w:szCs w:val="20"/>
    </w:rPr>
  </w:style>
  <w:style w:type="paragraph" w:styleId="CommentSubject">
    <w:name w:val="annotation subject"/>
    <w:basedOn w:val="CommentText"/>
    <w:next w:val="CommentText"/>
    <w:link w:val="CommentSubjectChar"/>
    <w:uiPriority w:val="99"/>
    <w:semiHidden/>
    <w:unhideWhenUsed/>
    <w:rsid w:val="00047119"/>
    <w:rPr>
      <w:b/>
      <w:bCs/>
    </w:rPr>
  </w:style>
  <w:style w:type="character" w:customStyle="1" w:styleId="CommentSubjectChar">
    <w:name w:val="Comment Subject Char"/>
    <w:basedOn w:val="CommentTextChar"/>
    <w:link w:val="CommentSubject"/>
    <w:uiPriority w:val="99"/>
    <w:semiHidden/>
    <w:rsid w:val="000471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publishes-consultation-conclusions-on-new-climate-disclosure-requirements-effective-1-january-2025/" TargetMode="External"/><Relationship Id="rId13" Type="http://schemas.openxmlformats.org/officeDocument/2006/relationships/hyperlink" Target="https://en-rules.hkex.com.hk/sites/default/files/net_file_store/HKEX_FAQ_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kex.com.hk/-/media/HKEX-Market/Listing/Rules-and-Guidance/Environmental-Social-and-Governance/Exchanges-guidance-materials-on-ESG/guidance_enhanced_climate_di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ltonslaw.com/hkex-consults-on-mandatory-climate-disclosures-in-esg-repor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kex.com.hk/-/media/HKEX-Market/News/Market-Consultations/2016-Present/April-2023-Climate-related-Disclosures/Consultation-Paper/cp202304.pdf" TargetMode="External"/><Relationship Id="rId4" Type="http://schemas.openxmlformats.org/officeDocument/2006/relationships/settings" Target="settings.xml"/><Relationship Id="rId9" Type="http://schemas.openxmlformats.org/officeDocument/2006/relationships/hyperlink" Target="https://www.hkex.com.hk/-/media/HKEX-Market/News/Market-Consultations/2016-Present/April-2023-Climate-related-Disclosures/Conclusions-Apr-2024/cp202304cc.pdf" TargetMode="External"/><Relationship Id="rId14" Type="http://schemas.openxmlformats.org/officeDocument/2006/relationships/hyperlink" Target="mailto:unsubscribe@charltonslaw.com?subject=unsubscribe%20-Hong%20Kong%20La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ustainablefinance.org.hk/en/data-technology/estimator-for-scope-1-and-scope-2-greenhouse-gas-emissions-of-a-corporation" TargetMode="External"/><Relationship Id="rId2" Type="http://schemas.openxmlformats.org/officeDocument/2006/relationships/hyperlink" Target="https://sustainablefinance.org.hk/en/data-technology/calculator-for-scope-1-and-scope-2-greenhouse-gas-emissions-of-a-corporation" TargetMode="External"/><Relationship Id="rId1" Type="http://schemas.openxmlformats.org/officeDocument/2006/relationships/hyperlink" Target="https://sustainablefinance.org.hk/en/data-technology/casg-non-listed-company-questionnaire-on-climate-and-environmental-risk" TargetMode="External"/><Relationship Id="rId4" Type="http://schemas.openxmlformats.org/officeDocument/2006/relationships/hyperlink" Target="https://www.hkma.gov.hk/media/eng/doc/key-information/guidelines-and-circular/2023/20230530e1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E9441B0-EB22-43F0-9723-929A0138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13</Pages>
  <Words>6105</Words>
  <Characters>34799</Characters>
  <Application>Microsoft Office Word</Application>
  <DocSecurity>0</DocSecurity>
  <Lines>289</Lines>
  <Paragraphs>81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Charltons</Company>
  <LinksUpToDate>false</LinksUpToDate>
  <CharactersWithSpaces>40823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Charltons</dc:creator>
  <cp:lastModifiedBy>Tails Kun Yin Xiang</cp:lastModifiedBy>
  <cp:revision>30</cp:revision>
  <dcterms:created xsi:type="dcterms:W3CDTF">2024-05-07T03:17:00Z</dcterms:created>
  <dcterms:modified xsi:type="dcterms:W3CDTF">2024-06-14T10:06:00Z</dcterms:modified>
</cp:coreProperties>
</file>