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8FA" w:rsidRPr="008524CA" w:rsidRDefault="005E4977" w:rsidP="00F47225">
      <w:pPr>
        <w:snapToGrid w:val="0"/>
        <w:spacing w:after="0" w:line="240" w:lineRule="auto"/>
        <w:jc w:val="both"/>
        <w:rPr>
          <w:rFonts w:ascii="Cambria" w:eastAsia="Cambria" w:hAnsi="Cambria" w:cs="Times New Roman"/>
          <w:color w:val="FFFFFF"/>
        </w:rPr>
      </w:pPr>
      <w:r>
        <w:rPr>
          <w:rFonts w:ascii="Cambria" w:eastAsia="Cambria" w:hAnsi="Cambria" w:cs="Times New Roman"/>
          <w:color w:val="FFFFFF"/>
        </w:rPr>
        <w:t>–</w:t>
      </w:r>
      <w:r w:rsidR="00BD08FA">
        <w:rPr>
          <w:rFonts w:ascii="Cambria" w:eastAsia="Cambria" w:hAnsi="Cambria" w:cs="Times New Roman"/>
          <w:color w:val="FFFFFF"/>
        </w:rPr>
        <w:t xml:space="preserve"> </w:t>
      </w:r>
      <w:r>
        <w:rPr>
          <w:rFonts w:ascii="Cambria" w:eastAsia="Cambria" w:hAnsi="Cambria" w:cs="Times New Roman"/>
          <w:color w:val="FFFFFF"/>
        </w:rPr>
        <w:t>[•]</w:t>
      </w:r>
    </w:p>
    <w:p w:rsidR="00234A1A" w:rsidRPr="00C46FF7" w:rsidRDefault="00234A1A" w:rsidP="00234A1A">
      <w:pPr>
        <w:shd w:val="clear" w:color="auto" w:fill="000000"/>
        <w:spacing w:after="200"/>
        <w:jc w:val="center"/>
        <w:rPr>
          <w:rFonts w:ascii="Arial" w:eastAsia="Cambria" w:hAnsi="Arial" w:cs="Arial"/>
          <w:color w:val="FFFFFF"/>
          <w:sz w:val="24"/>
          <w:szCs w:val="24"/>
          <w:lang w:val="en-GB"/>
        </w:rPr>
      </w:pPr>
      <w:proofErr w:type="spellStart"/>
      <w:r w:rsidRPr="00C46FF7">
        <w:rPr>
          <w:rFonts w:ascii="Arial" w:eastAsia="Cambria" w:hAnsi="Arial" w:cs="Arial"/>
          <w:color w:val="FFFFFF"/>
          <w:sz w:val="24"/>
          <w:szCs w:val="24"/>
          <w:lang w:val="en-GB"/>
        </w:rPr>
        <w:t>Charltons</w:t>
      </w:r>
      <w:proofErr w:type="spellEnd"/>
      <w:r w:rsidRPr="00C46FF7">
        <w:rPr>
          <w:rFonts w:ascii="Arial" w:eastAsia="Cambria" w:hAnsi="Arial" w:cs="Arial"/>
          <w:color w:val="FFFFFF"/>
          <w:sz w:val="24"/>
          <w:szCs w:val="24"/>
          <w:lang w:val="en-GB"/>
        </w:rPr>
        <w:t xml:space="preserve"> - Hong Kong Law – </w:t>
      </w:r>
      <w:r>
        <w:rPr>
          <w:rFonts w:ascii="Arial" w:eastAsia="Cambria" w:hAnsi="Arial" w:cs="Arial"/>
          <w:color w:val="FFFFFF"/>
          <w:sz w:val="24"/>
          <w:szCs w:val="24"/>
          <w:lang w:val="en-GB"/>
        </w:rPr>
        <w:t>24 February 2024</w:t>
      </w:r>
      <w:r w:rsidRPr="00C46FF7">
        <w:rPr>
          <w:rFonts w:ascii="Arial" w:eastAsia="Cambria" w:hAnsi="Arial" w:cs="Arial"/>
          <w:color w:val="FFFFFF"/>
          <w:sz w:val="24"/>
          <w:szCs w:val="24"/>
          <w:lang w:val="en-GB"/>
        </w:rPr>
        <w:t xml:space="preserve"> </w:t>
      </w:r>
    </w:p>
    <w:p w:rsidR="007B0942" w:rsidRPr="00234A1A" w:rsidRDefault="00000000" w:rsidP="00234A1A">
      <w:pPr>
        <w:spacing w:after="200"/>
        <w:jc w:val="center"/>
        <w:rPr>
          <w:rFonts w:ascii="Arial" w:eastAsia="Cambria" w:hAnsi="Arial" w:cs="Arial"/>
          <w:color w:val="00000A"/>
          <w:sz w:val="28"/>
          <w:szCs w:val="24"/>
          <w:u w:val="single"/>
          <w:lang w:val="en-GB"/>
        </w:rPr>
      </w:pPr>
      <w:hyperlink r:id="rId8" w:history="1">
        <w:r w:rsidR="00234A1A" w:rsidRPr="00251DF1">
          <w:rPr>
            <w:rStyle w:val="a3"/>
            <w:rFonts w:ascii="Arial" w:eastAsia="Cambria" w:hAnsi="Arial" w:cs="Arial"/>
            <w:sz w:val="28"/>
            <w:szCs w:val="24"/>
            <w:lang w:val="en-GB"/>
          </w:rPr>
          <w:t>Online version</w:t>
        </w:r>
      </w:hyperlink>
    </w:p>
    <w:p w:rsidR="00234A1A" w:rsidRDefault="00234A1A" w:rsidP="00490707">
      <w:pPr>
        <w:snapToGrid w:val="0"/>
        <w:spacing w:after="0" w:line="240" w:lineRule="auto"/>
        <w:jc w:val="both"/>
        <w:rPr>
          <w:rFonts w:ascii="Arial" w:eastAsia="Cambria" w:hAnsi="Arial" w:cs="Arial"/>
          <w:b/>
          <w:color w:val="FF0000"/>
          <w:sz w:val="24"/>
        </w:rPr>
      </w:pPr>
    </w:p>
    <w:p w:rsidR="00477E31" w:rsidRPr="00035891" w:rsidRDefault="00477E31" w:rsidP="00490707">
      <w:pPr>
        <w:snapToGrid w:val="0"/>
        <w:spacing w:after="0" w:line="240" w:lineRule="auto"/>
        <w:jc w:val="both"/>
        <w:rPr>
          <w:rFonts w:ascii="Arial" w:eastAsia="Cambria" w:hAnsi="Arial" w:cs="Arial"/>
          <w:b/>
          <w:color w:val="FF0000"/>
          <w:sz w:val="24"/>
        </w:rPr>
      </w:pPr>
      <w:r w:rsidRPr="00035891">
        <w:rPr>
          <w:rFonts w:ascii="Arial" w:eastAsia="Cambria" w:hAnsi="Arial" w:cs="Arial"/>
          <w:b/>
          <w:color w:val="FF0000"/>
          <w:sz w:val="24"/>
        </w:rPr>
        <w:t xml:space="preserve">FSTB Consults on </w:t>
      </w:r>
      <w:r w:rsidR="00782871">
        <w:rPr>
          <w:rFonts w:ascii="Arial" w:eastAsia="Cambria" w:hAnsi="Arial" w:cs="Arial"/>
          <w:b/>
          <w:color w:val="FF0000"/>
          <w:sz w:val="24"/>
        </w:rPr>
        <w:t xml:space="preserve">Regulating </w:t>
      </w:r>
      <w:r w:rsidR="00F47225">
        <w:rPr>
          <w:rFonts w:ascii="Arial" w:eastAsia="Cambria" w:hAnsi="Arial" w:cs="Arial"/>
          <w:b/>
          <w:color w:val="FF0000"/>
          <w:sz w:val="24"/>
        </w:rPr>
        <w:t>OTC</w:t>
      </w:r>
      <w:r w:rsidRPr="00035891">
        <w:rPr>
          <w:rFonts w:ascii="Arial" w:eastAsia="Cambria" w:hAnsi="Arial" w:cs="Arial"/>
          <w:b/>
          <w:color w:val="FF0000"/>
          <w:sz w:val="24"/>
        </w:rPr>
        <w:t xml:space="preserve"> </w:t>
      </w:r>
      <w:r w:rsidR="00782871">
        <w:rPr>
          <w:rFonts w:ascii="Arial" w:eastAsia="Cambria" w:hAnsi="Arial" w:cs="Arial"/>
          <w:b/>
          <w:color w:val="FF0000"/>
          <w:sz w:val="24"/>
        </w:rPr>
        <w:t xml:space="preserve">Virtual Asset </w:t>
      </w:r>
      <w:r w:rsidRPr="00035891">
        <w:rPr>
          <w:rFonts w:ascii="Arial" w:eastAsia="Cambria" w:hAnsi="Arial" w:cs="Arial"/>
          <w:b/>
          <w:color w:val="FF0000"/>
          <w:sz w:val="24"/>
        </w:rPr>
        <w:t xml:space="preserve">Trading </w:t>
      </w:r>
    </w:p>
    <w:p w:rsidR="00477E31" w:rsidRPr="00035891" w:rsidRDefault="00477E31" w:rsidP="00490707">
      <w:pPr>
        <w:snapToGrid w:val="0"/>
        <w:spacing w:after="0" w:line="240" w:lineRule="auto"/>
        <w:jc w:val="both"/>
        <w:rPr>
          <w:rFonts w:ascii="Arial" w:eastAsia="Cambria" w:hAnsi="Arial" w:cs="Arial"/>
          <w:sz w:val="28"/>
        </w:rPr>
      </w:pPr>
    </w:p>
    <w:p w:rsidR="00477E31" w:rsidRPr="00035891" w:rsidRDefault="00477E31" w:rsidP="00490707">
      <w:pPr>
        <w:snapToGrid w:val="0"/>
        <w:spacing w:after="0" w:line="240" w:lineRule="auto"/>
        <w:jc w:val="both"/>
        <w:rPr>
          <w:rFonts w:ascii="Arial" w:hAnsi="Arial" w:cs="Arial"/>
          <w:sz w:val="20"/>
          <w:szCs w:val="20"/>
        </w:rPr>
      </w:pPr>
      <w:r w:rsidRPr="00035891">
        <w:rPr>
          <w:rFonts w:ascii="Arial" w:hAnsi="Arial" w:cs="Arial"/>
          <w:sz w:val="20"/>
          <w:szCs w:val="20"/>
        </w:rPr>
        <w:t>On 8 February 2024, the Financial Services and the Treasury Bureau (</w:t>
      </w:r>
      <w:r w:rsidRPr="00782871">
        <w:rPr>
          <w:rFonts w:ascii="Arial" w:hAnsi="Arial" w:cs="Arial"/>
          <w:b/>
          <w:sz w:val="20"/>
          <w:szCs w:val="20"/>
        </w:rPr>
        <w:t>FSTB</w:t>
      </w:r>
      <w:r w:rsidRPr="00035891">
        <w:rPr>
          <w:rFonts w:ascii="Arial" w:hAnsi="Arial" w:cs="Arial"/>
          <w:sz w:val="20"/>
          <w:szCs w:val="20"/>
        </w:rPr>
        <w:t xml:space="preserve">) published a </w:t>
      </w:r>
      <w:hyperlink r:id="rId9" w:history="1">
        <w:r w:rsidRPr="00035891">
          <w:rPr>
            <w:rStyle w:val="a3"/>
            <w:rFonts w:ascii="Arial" w:hAnsi="Arial" w:cs="Arial"/>
            <w:color w:val="FF0000"/>
            <w:sz w:val="20"/>
            <w:szCs w:val="20"/>
          </w:rPr>
          <w:t>Consultation Paper</w:t>
        </w:r>
      </w:hyperlink>
      <w:r w:rsidRPr="00035891">
        <w:rPr>
          <w:rFonts w:ascii="Arial" w:hAnsi="Arial" w:cs="Arial"/>
          <w:sz w:val="20"/>
          <w:szCs w:val="20"/>
        </w:rPr>
        <w:t xml:space="preserve"> seeking views on proposals to regulate over-the-counter (</w:t>
      </w:r>
      <w:r w:rsidRPr="00782871">
        <w:rPr>
          <w:rFonts w:ascii="Arial" w:hAnsi="Arial" w:cs="Arial"/>
          <w:b/>
          <w:sz w:val="20"/>
          <w:szCs w:val="20"/>
        </w:rPr>
        <w:t>OTC</w:t>
      </w:r>
      <w:r w:rsidR="00782871">
        <w:rPr>
          <w:rFonts w:ascii="Arial" w:hAnsi="Arial" w:cs="Arial"/>
          <w:sz w:val="20"/>
          <w:szCs w:val="20"/>
        </w:rPr>
        <w:t>) trading of virtual assets (</w:t>
      </w:r>
      <w:r w:rsidRPr="00782871">
        <w:rPr>
          <w:rFonts w:ascii="Arial" w:hAnsi="Arial" w:cs="Arial"/>
          <w:b/>
          <w:sz w:val="20"/>
          <w:szCs w:val="20"/>
        </w:rPr>
        <w:t>VA</w:t>
      </w:r>
      <w:r w:rsidRPr="00035891">
        <w:rPr>
          <w:rFonts w:ascii="Arial" w:hAnsi="Arial" w:cs="Arial"/>
          <w:sz w:val="20"/>
          <w:szCs w:val="20"/>
        </w:rPr>
        <w:t xml:space="preserve">) </w:t>
      </w:r>
      <w:r w:rsidR="00782871">
        <w:rPr>
          <w:rFonts w:ascii="Arial" w:hAnsi="Arial" w:cs="Arial"/>
          <w:sz w:val="20"/>
          <w:szCs w:val="20"/>
        </w:rPr>
        <w:t xml:space="preserve">under </w:t>
      </w:r>
      <w:r w:rsidRPr="00035891">
        <w:rPr>
          <w:rFonts w:ascii="Arial" w:hAnsi="Arial" w:cs="Arial"/>
          <w:sz w:val="20"/>
          <w:szCs w:val="20"/>
        </w:rPr>
        <w:t>a new licensing regime for providers of VA OTC services under the Anti-Money Laundering and Counter-Terrorist Financing Ordinance (Cap.615)</w:t>
      </w:r>
      <w:r w:rsidR="00782871">
        <w:rPr>
          <w:rFonts w:ascii="Arial" w:hAnsi="Arial" w:cs="Arial"/>
          <w:sz w:val="20"/>
          <w:szCs w:val="20"/>
        </w:rPr>
        <w:t xml:space="preserve">   </w:t>
      </w:r>
      <w:r w:rsidRPr="00035891">
        <w:rPr>
          <w:rFonts w:ascii="Arial" w:hAnsi="Arial" w:cs="Arial"/>
          <w:sz w:val="20"/>
          <w:szCs w:val="20"/>
        </w:rPr>
        <w:t>(</w:t>
      </w:r>
      <w:r w:rsidR="00782871">
        <w:rPr>
          <w:rFonts w:ascii="Arial" w:hAnsi="Arial" w:cs="Arial"/>
          <w:sz w:val="20"/>
          <w:szCs w:val="20"/>
        </w:rPr>
        <w:t xml:space="preserve">the </w:t>
      </w:r>
      <w:r w:rsidRPr="00782871">
        <w:rPr>
          <w:rFonts w:ascii="Arial" w:hAnsi="Arial" w:cs="Arial"/>
          <w:b/>
          <w:sz w:val="20"/>
          <w:szCs w:val="20"/>
        </w:rPr>
        <w:t>AMLO</w:t>
      </w:r>
      <w:r w:rsidRPr="00035891">
        <w:rPr>
          <w:rFonts w:ascii="Arial" w:hAnsi="Arial" w:cs="Arial"/>
          <w:sz w:val="20"/>
          <w:szCs w:val="20"/>
        </w:rPr>
        <w:t>).</w:t>
      </w:r>
    </w:p>
    <w:p w:rsidR="00477E31" w:rsidRPr="00035891" w:rsidRDefault="00477E31" w:rsidP="00490707">
      <w:pPr>
        <w:snapToGrid w:val="0"/>
        <w:spacing w:after="0" w:line="240" w:lineRule="auto"/>
        <w:jc w:val="both"/>
        <w:rPr>
          <w:rFonts w:ascii="Arial" w:hAnsi="Arial" w:cs="Arial"/>
          <w:sz w:val="20"/>
          <w:szCs w:val="20"/>
        </w:rPr>
      </w:pPr>
    </w:p>
    <w:p w:rsidR="00477E31" w:rsidRPr="00035891" w:rsidRDefault="00477E31" w:rsidP="00490707">
      <w:pPr>
        <w:snapToGrid w:val="0"/>
        <w:spacing w:after="0" w:line="240" w:lineRule="auto"/>
        <w:jc w:val="both"/>
        <w:rPr>
          <w:rFonts w:ascii="Arial" w:hAnsi="Arial" w:cs="Arial"/>
          <w:sz w:val="20"/>
          <w:szCs w:val="20"/>
        </w:rPr>
      </w:pPr>
      <w:r w:rsidRPr="00035891">
        <w:rPr>
          <w:rFonts w:ascii="Arial" w:hAnsi="Arial" w:cs="Arial"/>
          <w:sz w:val="20"/>
          <w:szCs w:val="20"/>
        </w:rPr>
        <w:t xml:space="preserve">The FSTB welcomes public feedback on its proposals and the </w:t>
      </w:r>
      <w:r w:rsidR="00FC1750" w:rsidRPr="00035891">
        <w:rPr>
          <w:rFonts w:ascii="Arial" w:hAnsi="Arial" w:cs="Arial"/>
          <w:sz w:val="20"/>
          <w:szCs w:val="20"/>
        </w:rPr>
        <w:t xml:space="preserve">deadline for responding to the Consultation Paper is 12 April 2024. </w:t>
      </w:r>
    </w:p>
    <w:p w:rsidR="0082024B" w:rsidRPr="00035891" w:rsidRDefault="0082024B" w:rsidP="00490707">
      <w:pPr>
        <w:snapToGrid w:val="0"/>
        <w:spacing w:after="0" w:line="240" w:lineRule="auto"/>
        <w:jc w:val="both"/>
        <w:rPr>
          <w:rFonts w:ascii="Arial" w:hAnsi="Arial" w:cs="Arial"/>
          <w:sz w:val="20"/>
          <w:szCs w:val="20"/>
        </w:rPr>
      </w:pPr>
    </w:p>
    <w:p w:rsidR="0082024B" w:rsidRPr="00753A31" w:rsidRDefault="0082024B" w:rsidP="00490707">
      <w:pPr>
        <w:snapToGrid w:val="0"/>
        <w:spacing w:after="0" w:line="240" w:lineRule="auto"/>
        <w:jc w:val="both"/>
        <w:rPr>
          <w:rFonts w:ascii="Arial" w:hAnsi="Arial" w:cs="Arial"/>
          <w:b/>
          <w:color w:val="FF0000"/>
          <w:sz w:val="20"/>
          <w:szCs w:val="20"/>
        </w:rPr>
      </w:pPr>
      <w:r w:rsidRPr="00753A31">
        <w:rPr>
          <w:rFonts w:ascii="Arial" w:hAnsi="Arial" w:cs="Arial"/>
          <w:b/>
          <w:color w:val="FF0000"/>
          <w:sz w:val="20"/>
          <w:szCs w:val="20"/>
        </w:rPr>
        <w:t>Background</w:t>
      </w:r>
    </w:p>
    <w:p w:rsidR="0082024B" w:rsidRPr="00035891" w:rsidRDefault="0082024B" w:rsidP="00490707">
      <w:pPr>
        <w:snapToGrid w:val="0"/>
        <w:spacing w:after="0" w:line="240" w:lineRule="auto"/>
        <w:jc w:val="both"/>
        <w:rPr>
          <w:rFonts w:ascii="Arial" w:hAnsi="Arial" w:cs="Arial"/>
          <w:sz w:val="20"/>
          <w:szCs w:val="20"/>
        </w:rPr>
      </w:pPr>
    </w:p>
    <w:p w:rsidR="0082024B" w:rsidRPr="00035891" w:rsidRDefault="00782871" w:rsidP="00490707">
      <w:pPr>
        <w:snapToGrid w:val="0"/>
        <w:spacing w:after="0" w:line="240" w:lineRule="auto"/>
        <w:jc w:val="both"/>
        <w:rPr>
          <w:rFonts w:ascii="Arial" w:hAnsi="Arial" w:cs="Arial"/>
          <w:sz w:val="20"/>
          <w:szCs w:val="20"/>
        </w:rPr>
      </w:pPr>
      <w:r>
        <w:rPr>
          <w:rFonts w:ascii="Arial" w:hAnsi="Arial" w:cs="Arial"/>
          <w:sz w:val="20"/>
          <w:szCs w:val="20"/>
        </w:rPr>
        <w:t>T</w:t>
      </w:r>
      <w:r w:rsidR="00413BCB" w:rsidRPr="00035891">
        <w:rPr>
          <w:rFonts w:ascii="Arial" w:hAnsi="Arial" w:cs="Arial"/>
          <w:sz w:val="20"/>
          <w:szCs w:val="20"/>
        </w:rPr>
        <w:t xml:space="preserve">he Government </w:t>
      </w:r>
      <w:r w:rsidR="00753A31">
        <w:rPr>
          <w:rFonts w:ascii="Arial" w:hAnsi="Arial" w:cs="Arial"/>
          <w:sz w:val="20"/>
          <w:szCs w:val="20"/>
        </w:rPr>
        <w:t xml:space="preserve">initiated the development </w:t>
      </w:r>
      <w:r w:rsidR="00413BCB" w:rsidRPr="00035891">
        <w:rPr>
          <w:rFonts w:ascii="Arial" w:hAnsi="Arial" w:cs="Arial"/>
          <w:sz w:val="20"/>
          <w:szCs w:val="20"/>
        </w:rPr>
        <w:t xml:space="preserve">of a comprehensive framework to regulate VA in </w:t>
      </w:r>
      <w:r>
        <w:rPr>
          <w:rFonts w:ascii="Arial" w:hAnsi="Arial" w:cs="Arial"/>
          <w:sz w:val="20"/>
          <w:szCs w:val="20"/>
        </w:rPr>
        <w:t xml:space="preserve">its </w:t>
      </w:r>
      <w:r w:rsidR="00413BCB" w:rsidRPr="00035891">
        <w:rPr>
          <w:rFonts w:ascii="Arial" w:hAnsi="Arial" w:cs="Arial"/>
          <w:sz w:val="20"/>
          <w:szCs w:val="20"/>
        </w:rPr>
        <w:t>Policy Statement on Development of VA in Hong Kong back in October 2022.</w:t>
      </w:r>
      <w:r w:rsidR="00935195">
        <w:rPr>
          <w:rStyle w:val="a7"/>
          <w:rFonts w:ascii="Arial" w:hAnsi="Arial" w:cs="Arial"/>
          <w:sz w:val="20"/>
          <w:szCs w:val="20"/>
        </w:rPr>
        <w:footnoteReference w:id="2"/>
      </w:r>
      <w:r>
        <w:rPr>
          <w:rFonts w:ascii="Arial" w:hAnsi="Arial" w:cs="Arial"/>
          <w:sz w:val="20"/>
          <w:szCs w:val="20"/>
        </w:rPr>
        <w:t xml:space="preserve"> In June </w:t>
      </w:r>
      <w:r w:rsidR="001F2FAA">
        <w:rPr>
          <w:rFonts w:ascii="Arial" w:hAnsi="Arial" w:cs="Arial"/>
          <w:sz w:val="20"/>
          <w:szCs w:val="20"/>
        </w:rPr>
        <w:t xml:space="preserve">2023, a licensing regime for </w:t>
      </w:r>
      <w:r w:rsidR="001F2FAA" w:rsidRPr="00035891">
        <w:rPr>
          <w:rFonts w:ascii="Arial" w:hAnsi="Arial" w:cs="Arial"/>
          <w:sz w:val="20"/>
          <w:szCs w:val="20"/>
        </w:rPr>
        <w:t xml:space="preserve">operators </w:t>
      </w:r>
      <w:r w:rsidR="001F2FAA">
        <w:rPr>
          <w:rFonts w:ascii="Arial" w:hAnsi="Arial" w:cs="Arial"/>
          <w:sz w:val="20"/>
          <w:szCs w:val="20"/>
        </w:rPr>
        <w:t xml:space="preserve">of VA trading platforms </w:t>
      </w:r>
      <w:r w:rsidR="001F2FAA" w:rsidRPr="00035891">
        <w:rPr>
          <w:rFonts w:ascii="Arial" w:hAnsi="Arial" w:cs="Arial"/>
          <w:sz w:val="20"/>
          <w:szCs w:val="20"/>
        </w:rPr>
        <w:t>(</w:t>
      </w:r>
      <w:r w:rsidR="001F2FAA" w:rsidRPr="001F2FAA">
        <w:rPr>
          <w:rFonts w:ascii="Arial" w:hAnsi="Arial" w:cs="Arial"/>
          <w:b/>
          <w:sz w:val="20"/>
          <w:szCs w:val="20"/>
        </w:rPr>
        <w:t>VATPs</w:t>
      </w:r>
      <w:r w:rsidR="001F2FAA" w:rsidRPr="00035891">
        <w:rPr>
          <w:rFonts w:ascii="Arial" w:hAnsi="Arial" w:cs="Arial"/>
          <w:sz w:val="20"/>
          <w:szCs w:val="20"/>
        </w:rPr>
        <w:t xml:space="preserve">) </w:t>
      </w:r>
      <w:r w:rsidR="001F2FAA">
        <w:rPr>
          <w:rFonts w:ascii="Arial" w:hAnsi="Arial" w:cs="Arial"/>
          <w:sz w:val="20"/>
          <w:szCs w:val="20"/>
        </w:rPr>
        <w:t xml:space="preserve">came into effect under amendments to </w:t>
      </w:r>
      <w:r w:rsidR="001F2FAA" w:rsidRPr="00962595">
        <w:rPr>
          <w:rFonts w:ascii="Arial" w:hAnsi="Arial" w:cs="Arial"/>
          <w:bCs/>
          <w:sz w:val="20"/>
          <w:szCs w:val="20"/>
        </w:rPr>
        <w:t>AMLO</w:t>
      </w:r>
      <w:r w:rsidR="002C2D7A">
        <w:rPr>
          <w:rFonts w:ascii="Arial" w:hAnsi="Arial" w:cs="Arial"/>
          <w:sz w:val="20"/>
          <w:szCs w:val="20"/>
        </w:rPr>
        <w:t xml:space="preserve"> </w:t>
      </w:r>
      <w:r w:rsidR="001F2FAA">
        <w:rPr>
          <w:rFonts w:ascii="Arial" w:hAnsi="Arial" w:cs="Arial"/>
          <w:sz w:val="20"/>
          <w:szCs w:val="20"/>
        </w:rPr>
        <w:t xml:space="preserve">requiring VATP operators to be </w:t>
      </w:r>
      <w:r w:rsidR="005E5629" w:rsidRPr="00035891">
        <w:rPr>
          <w:rFonts w:ascii="Arial" w:hAnsi="Arial" w:cs="Arial"/>
          <w:sz w:val="20"/>
          <w:szCs w:val="20"/>
        </w:rPr>
        <w:t>licen</w:t>
      </w:r>
      <w:r w:rsidR="001F2FAA">
        <w:rPr>
          <w:rFonts w:ascii="Arial" w:hAnsi="Arial" w:cs="Arial"/>
          <w:sz w:val="20"/>
          <w:szCs w:val="20"/>
        </w:rPr>
        <w:t>s</w:t>
      </w:r>
      <w:r w:rsidR="005E5629" w:rsidRPr="00035891">
        <w:rPr>
          <w:rFonts w:ascii="Arial" w:hAnsi="Arial" w:cs="Arial"/>
          <w:sz w:val="20"/>
          <w:szCs w:val="20"/>
        </w:rPr>
        <w:t>e</w:t>
      </w:r>
      <w:r w:rsidR="001F2FAA">
        <w:rPr>
          <w:rFonts w:ascii="Arial" w:hAnsi="Arial" w:cs="Arial"/>
          <w:sz w:val="20"/>
          <w:szCs w:val="20"/>
        </w:rPr>
        <w:t xml:space="preserve">d by the </w:t>
      </w:r>
      <w:r w:rsidR="001F2FAA" w:rsidRPr="00035891">
        <w:rPr>
          <w:rFonts w:ascii="Arial" w:hAnsi="Arial" w:cs="Arial"/>
          <w:sz w:val="20"/>
          <w:szCs w:val="20"/>
        </w:rPr>
        <w:t>Securitie</w:t>
      </w:r>
      <w:r w:rsidR="001F2FAA">
        <w:rPr>
          <w:rFonts w:ascii="Arial" w:hAnsi="Arial" w:cs="Arial"/>
          <w:sz w:val="20"/>
          <w:szCs w:val="20"/>
        </w:rPr>
        <w:t xml:space="preserve">s and Futures Commissions (the </w:t>
      </w:r>
      <w:r w:rsidR="001F2FAA" w:rsidRPr="001F2FAA">
        <w:rPr>
          <w:rFonts w:ascii="Arial" w:hAnsi="Arial" w:cs="Arial"/>
          <w:b/>
          <w:sz w:val="20"/>
          <w:szCs w:val="20"/>
        </w:rPr>
        <w:t>SFC</w:t>
      </w:r>
      <w:r w:rsidR="001F2FAA" w:rsidRPr="00035891">
        <w:rPr>
          <w:rFonts w:ascii="Arial" w:hAnsi="Arial" w:cs="Arial"/>
          <w:sz w:val="20"/>
          <w:szCs w:val="20"/>
        </w:rPr>
        <w:t>)</w:t>
      </w:r>
      <w:r w:rsidR="00227F8D" w:rsidRPr="00035891">
        <w:rPr>
          <w:rFonts w:ascii="Arial" w:hAnsi="Arial" w:cs="Arial"/>
          <w:sz w:val="20"/>
          <w:szCs w:val="20"/>
        </w:rPr>
        <w:t xml:space="preserve"> and </w:t>
      </w:r>
      <w:r w:rsidR="005E5629" w:rsidRPr="00035891">
        <w:rPr>
          <w:rFonts w:ascii="Arial" w:hAnsi="Arial" w:cs="Arial"/>
          <w:sz w:val="20"/>
          <w:szCs w:val="20"/>
        </w:rPr>
        <w:t>to comply with</w:t>
      </w:r>
      <w:r w:rsidR="00227F8D" w:rsidRPr="00035891">
        <w:rPr>
          <w:rFonts w:ascii="Arial" w:hAnsi="Arial" w:cs="Arial"/>
          <w:sz w:val="20"/>
          <w:szCs w:val="20"/>
        </w:rPr>
        <w:t xml:space="preserve"> </w:t>
      </w:r>
      <w:r w:rsidR="001F2FAA">
        <w:rPr>
          <w:rFonts w:ascii="Arial" w:hAnsi="Arial" w:cs="Arial"/>
          <w:sz w:val="20"/>
          <w:szCs w:val="20"/>
        </w:rPr>
        <w:t xml:space="preserve">the </w:t>
      </w:r>
      <w:r w:rsidR="00227F8D" w:rsidRPr="00035891">
        <w:rPr>
          <w:rFonts w:ascii="Arial" w:hAnsi="Arial" w:cs="Arial"/>
          <w:sz w:val="20"/>
          <w:szCs w:val="20"/>
        </w:rPr>
        <w:t>anti-money laundering and counter-terrorist financing (</w:t>
      </w:r>
      <w:r w:rsidR="001F2FAA" w:rsidRPr="001F2FAA">
        <w:rPr>
          <w:rFonts w:ascii="Arial" w:hAnsi="Arial" w:cs="Arial"/>
          <w:b/>
          <w:sz w:val="20"/>
          <w:szCs w:val="20"/>
        </w:rPr>
        <w:t>AML/CTF</w:t>
      </w:r>
      <w:r w:rsidR="00227F8D" w:rsidRPr="00035891">
        <w:rPr>
          <w:rFonts w:ascii="Arial" w:hAnsi="Arial" w:cs="Arial"/>
          <w:sz w:val="20"/>
          <w:szCs w:val="20"/>
        </w:rPr>
        <w:t xml:space="preserve">) </w:t>
      </w:r>
      <w:r w:rsidR="001F2FAA">
        <w:rPr>
          <w:rFonts w:ascii="Arial" w:hAnsi="Arial" w:cs="Arial"/>
          <w:sz w:val="20"/>
          <w:szCs w:val="20"/>
        </w:rPr>
        <w:t xml:space="preserve">provisions set out in Schedule 2 to the AMLO. </w:t>
      </w:r>
      <w:r w:rsidR="008E2118">
        <w:rPr>
          <w:rFonts w:ascii="Arial" w:hAnsi="Arial" w:cs="Arial"/>
          <w:sz w:val="20"/>
          <w:szCs w:val="20"/>
        </w:rPr>
        <w:t xml:space="preserve">Currently, </w:t>
      </w:r>
      <w:r w:rsidR="00683F70" w:rsidRPr="00035891">
        <w:rPr>
          <w:rFonts w:ascii="Arial" w:hAnsi="Arial" w:cs="Arial"/>
          <w:sz w:val="20"/>
          <w:szCs w:val="20"/>
        </w:rPr>
        <w:t xml:space="preserve">only two VATPs </w:t>
      </w:r>
      <w:r w:rsidR="00523F4C">
        <w:rPr>
          <w:rFonts w:ascii="Arial" w:hAnsi="Arial" w:cs="Arial"/>
          <w:sz w:val="20"/>
          <w:szCs w:val="20"/>
        </w:rPr>
        <w:t xml:space="preserve">have been </w:t>
      </w:r>
      <w:r w:rsidR="00683F70" w:rsidRPr="00035891">
        <w:rPr>
          <w:rFonts w:ascii="Arial" w:hAnsi="Arial" w:cs="Arial"/>
          <w:sz w:val="20"/>
          <w:szCs w:val="20"/>
        </w:rPr>
        <w:t>licen</w:t>
      </w:r>
      <w:r w:rsidR="001F2FAA">
        <w:rPr>
          <w:rFonts w:ascii="Arial" w:hAnsi="Arial" w:cs="Arial"/>
          <w:sz w:val="20"/>
          <w:szCs w:val="20"/>
        </w:rPr>
        <w:t>s</w:t>
      </w:r>
      <w:r w:rsidR="00683F70" w:rsidRPr="00035891">
        <w:rPr>
          <w:rFonts w:ascii="Arial" w:hAnsi="Arial" w:cs="Arial"/>
          <w:sz w:val="20"/>
          <w:szCs w:val="20"/>
        </w:rPr>
        <w:t>ed by the SFC.</w:t>
      </w:r>
      <w:r w:rsidR="008E2118">
        <w:rPr>
          <w:rStyle w:val="a7"/>
          <w:rFonts w:ascii="Arial" w:hAnsi="Arial" w:cs="Arial"/>
          <w:sz w:val="20"/>
          <w:szCs w:val="20"/>
        </w:rPr>
        <w:footnoteReference w:id="3"/>
      </w:r>
    </w:p>
    <w:p w:rsidR="00683F70" w:rsidRPr="00035891" w:rsidRDefault="00683F70" w:rsidP="00490707">
      <w:pPr>
        <w:snapToGrid w:val="0"/>
        <w:spacing w:after="0" w:line="240" w:lineRule="auto"/>
        <w:jc w:val="both"/>
        <w:rPr>
          <w:rFonts w:ascii="Arial" w:hAnsi="Arial" w:cs="Arial"/>
          <w:sz w:val="20"/>
          <w:szCs w:val="20"/>
        </w:rPr>
      </w:pPr>
    </w:p>
    <w:p w:rsidR="00683F70" w:rsidRPr="00035891" w:rsidRDefault="00523F4C" w:rsidP="00490707">
      <w:pPr>
        <w:snapToGrid w:val="0"/>
        <w:spacing w:after="0" w:line="240" w:lineRule="auto"/>
        <w:jc w:val="both"/>
        <w:rPr>
          <w:rFonts w:ascii="Arial" w:hAnsi="Arial" w:cs="Arial"/>
          <w:sz w:val="20"/>
          <w:szCs w:val="20"/>
        </w:rPr>
      </w:pPr>
      <w:r>
        <w:rPr>
          <w:rFonts w:ascii="Arial" w:hAnsi="Arial" w:cs="Arial"/>
          <w:sz w:val="20"/>
          <w:szCs w:val="20"/>
        </w:rPr>
        <w:t>In 2023, several cases emerged</w:t>
      </w:r>
      <w:r w:rsidR="00500861">
        <w:rPr>
          <w:rFonts w:ascii="Arial" w:hAnsi="Arial" w:cs="Arial"/>
          <w:sz w:val="20"/>
          <w:szCs w:val="20"/>
        </w:rPr>
        <w:t xml:space="preserve"> involving shops providing </w:t>
      </w:r>
      <w:r w:rsidR="00500861" w:rsidRPr="00035891">
        <w:rPr>
          <w:rFonts w:ascii="Arial" w:hAnsi="Arial" w:cs="Arial"/>
          <w:sz w:val="20"/>
          <w:szCs w:val="20"/>
        </w:rPr>
        <w:t>OTC</w:t>
      </w:r>
      <w:r w:rsidR="00500861">
        <w:rPr>
          <w:rFonts w:ascii="Arial" w:hAnsi="Arial" w:cs="Arial"/>
          <w:sz w:val="20"/>
          <w:szCs w:val="20"/>
        </w:rPr>
        <w:t xml:space="preserve"> </w:t>
      </w:r>
      <w:r w:rsidR="00500861" w:rsidRPr="00035891">
        <w:rPr>
          <w:rFonts w:ascii="Arial" w:hAnsi="Arial" w:cs="Arial"/>
          <w:sz w:val="20"/>
          <w:szCs w:val="20"/>
        </w:rPr>
        <w:t>VA</w:t>
      </w:r>
      <w:r w:rsidR="00500861">
        <w:rPr>
          <w:rFonts w:ascii="Arial" w:hAnsi="Arial" w:cs="Arial"/>
          <w:sz w:val="20"/>
          <w:szCs w:val="20"/>
        </w:rPr>
        <w:t xml:space="preserve"> trading services to retail investors making false or misleading claims as to their licensed </w:t>
      </w:r>
      <w:r w:rsidR="007C55B0" w:rsidRPr="00035891">
        <w:rPr>
          <w:rFonts w:ascii="Arial" w:hAnsi="Arial" w:cs="Arial"/>
          <w:sz w:val="20"/>
          <w:szCs w:val="20"/>
        </w:rPr>
        <w:t xml:space="preserve">status. </w:t>
      </w:r>
      <w:r w:rsidR="00500861">
        <w:rPr>
          <w:rFonts w:ascii="Arial" w:hAnsi="Arial" w:cs="Arial"/>
          <w:sz w:val="20"/>
          <w:szCs w:val="20"/>
        </w:rPr>
        <w:t>This has</w:t>
      </w:r>
      <w:r w:rsidR="007C55B0" w:rsidRPr="00035891">
        <w:rPr>
          <w:rFonts w:ascii="Arial" w:hAnsi="Arial" w:cs="Arial"/>
          <w:sz w:val="20"/>
          <w:szCs w:val="20"/>
        </w:rPr>
        <w:t xml:space="preserve"> </w:t>
      </w:r>
      <w:r>
        <w:rPr>
          <w:rFonts w:ascii="Arial" w:hAnsi="Arial" w:cs="Arial"/>
          <w:sz w:val="20"/>
          <w:szCs w:val="20"/>
        </w:rPr>
        <w:t>prompted</w:t>
      </w:r>
      <w:r w:rsidR="007C55B0" w:rsidRPr="00035891">
        <w:rPr>
          <w:rFonts w:ascii="Arial" w:hAnsi="Arial" w:cs="Arial"/>
          <w:sz w:val="20"/>
          <w:szCs w:val="20"/>
        </w:rPr>
        <w:t xml:space="preserve"> the Government to regulate VA OTC services. </w:t>
      </w:r>
    </w:p>
    <w:p w:rsidR="007C55B0" w:rsidRDefault="007C55B0" w:rsidP="00490707">
      <w:pPr>
        <w:snapToGrid w:val="0"/>
        <w:spacing w:after="0" w:line="240" w:lineRule="auto"/>
        <w:jc w:val="both"/>
        <w:rPr>
          <w:rFonts w:ascii="Arial" w:hAnsi="Arial" w:cs="Arial"/>
          <w:sz w:val="20"/>
          <w:szCs w:val="20"/>
        </w:rPr>
      </w:pPr>
    </w:p>
    <w:p w:rsidR="0092222A" w:rsidRDefault="0092222A" w:rsidP="00490707">
      <w:pPr>
        <w:snapToGrid w:val="0"/>
        <w:spacing w:after="0" w:line="240" w:lineRule="auto"/>
        <w:jc w:val="both"/>
        <w:rPr>
          <w:rFonts w:ascii="Arial" w:hAnsi="Arial" w:cs="Arial"/>
          <w:sz w:val="20"/>
          <w:szCs w:val="20"/>
        </w:rPr>
      </w:pPr>
      <w:r>
        <w:rPr>
          <w:rFonts w:ascii="Arial" w:hAnsi="Arial" w:cs="Arial"/>
          <w:sz w:val="20"/>
          <w:szCs w:val="20"/>
        </w:rPr>
        <w:t xml:space="preserve">The FSTB estimates that there are approximately 200 physical VA OTC shops </w:t>
      </w:r>
      <w:r w:rsidR="00622AC6">
        <w:rPr>
          <w:rFonts w:ascii="Arial" w:hAnsi="Arial" w:cs="Arial"/>
          <w:sz w:val="20"/>
          <w:szCs w:val="20"/>
        </w:rPr>
        <w:t>(including ATMs) operating in Hong Kong and about 250 digital platforms or active online posts on VA trading services in Hong Kong.</w:t>
      </w:r>
    </w:p>
    <w:p w:rsidR="00622AC6" w:rsidRPr="00035891" w:rsidRDefault="00622AC6" w:rsidP="00490707">
      <w:pPr>
        <w:snapToGrid w:val="0"/>
        <w:spacing w:after="0" w:line="240" w:lineRule="auto"/>
        <w:jc w:val="both"/>
        <w:rPr>
          <w:rFonts w:ascii="Arial" w:hAnsi="Arial" w:cs="Arial"/>
          <w:sz w:val="20"/>
          <w:szCs w:val="20"/>
        </w:rPr>
      </w:pPr>
    </w:p>
    <w:p w:rsidR="007C55B0" w:rsidRPr="00523F4C" w:rsidRDefault="00500861" w:rsidP="00490707">
      <w:pPr>
        <w:snapToGrid w:val="0"/>
        <w:spacing w:after="0" w:line="240" w:lineRule="auto"/>
        <w:jc w:val="both"/>
        <w:rPr>
          <w:rFonts w:ascii="Arial" w:hAnsi="Arial" w:cs="Arial"/>
          <w:b/>
          <w:color w:val="FF0000"/>
          <w:sz w:val="20"/>
          <w:szCs w:val="20"/>
        </w:rPr>
      </w:pPr>
      <w:r>
        <w:rPr>
          <w:rFonts w:ascii="Arial" w:hAnsi="Arial" w:cs="Arial"/>
          <w:b/>
          <w:color w:val="FF0000"/>
          <w:sz w:val="20"/>
          <w:szCs w:val="20"/>
        </w:rPr>
        <w:t>Hong Kong Proposed Regulation</w:t>
      </w:r>
      <w:r w:rsidR="007C55B0" w:rsidRPr="00523F4C">
        <w:rPr>
          <w:rFonts w:ascii="Arial" w:hAnsi="Arial" w:cs="Arial"/>
          <w:b/>
          <w:color w:val="FF0000"/>
          <w:sz w:val="20"/>
          <w:szCs w:val="20"/>
        </w:rPr>
        <w:t xml:space="preserve"> of </w:t>
      </w:r>
      <w:r w:rsidR="0092222A">
        <w:rPr>
          <w:rFonts w:ascii="Arial" w:hAnsi="Arial" w:cs="Arial"/>
          <w:b/>
          <w:color w:val="FF0000"/>
          <w:sz w:val="20"/>
          <w:szCs w:val="20"/>
        </w:rPr>
        <w:t xml:space="preserve">VA OTC </w:t>
      </w:r>
      <w:r>
        <w:rPr>
          <w:rFonts w:ascii="Arial" w:hAnsi="Arial" w:cs="Arial"/>
          <w:b/>
          <w:color w:val="FF0000"/>
          <w:sz w:val="20"/>
          <w:szCs w:val="20"/>
        </w:rPr>
        <w:t xml:space="preserve">Service </w:t>
      </w:r>
      <w:r w:rsidR="0092222A">
        <w:rPr>
          <w:rFonts w:ascii="Arial" w:hAnsi="Arial" w:cs="Arial"/>
          <w:b/>
          <w:color w:val="FF0000"/>
          <w:sz w:val="20"/>
          <w:szCs w:val="20"/>
        </w:rPr>
        <w:t>P</w:t>
      </w:r>
      <w:r w:rsidR="007C55B0" w:rsidRPr="00523F4C">
        <w:rPr>
          <w:rFonts w:ascii="Arial" w:hAnsi="Arial" w:cs="Arial"/>
          <w:b/>
          <w:color w:val="FF0000"/>
          <w:sz w:val="20"/>
          <w:szCs w:val="20"/>
        </w:rPr>
        <w:t xml:space="preserve">roviders </w:t>
      </w:r>
    </w:p>
    <w:p w:rsidR="00134B0F" w:rsidRPr="00035891" w:rsidRDefault="00134B0F" w:rsidP="00490707">
      <w:pPr>
        <w:snapToGrid w:val="0"/>
        <w:spacing w:after="0" w:line="240" w:lineRule="auto"/>
        <w:jc w:val="both"/>
        <w:rPr>
          <w:rFonts w:ascii="Arial" w:hAnsi="Arial" w:cs="Arial"/>
          <w:sz w:val="20"/>
          <w:szCs w:val="20"/>
        </w:rPr>
      </w:pPr>
    </w:p>
    <w:p w:rsidR="00134B0F" w:rsidRPr="0092222A" w:rsidRDefault="0092222A" w:rsidP="0092222A">
      <w:pPr>
        <w:snapToGrid w:val="0"/>
        <w:spacing w:after="0" w:line="240" w:lineRule="auto"/>
        <w:jc w:val="both"/>
        <w:rPr>
          <w:rFonts w:ascii="Arial" w:hAnsi="Arial" w:cs="Arial"/>
          <w:b/>
          <w:sz w:val="20"/>
          <w:szCs w:val="20"/>
        </w:rPr>
      </w:pPr>
      <w:r>
        <w:rPr>
          <w:rFonts w:ascii="Arial" w:hAnsi="Arial" w:cs="Arial"/>
          <w:b/>
          <w:sz w:val="20"/>
          <w:szCs w:val="20"/>
        </w:rPr>
        <w:t>Licensing R</w:t>
      </w:r>
      <w:r w:rsidR="00134B0F" w:rsidRPr="0092222A">
        <w:rPr>
          <w:rFonts w:ascii="Arial" w:hAnsi="Arial" w:cs="Arial"/>
          <w:b/>
          <w:sz w:val="20"/>
          <w:szCs w:val="20"/>
        </w:rPr>
        <w:t xml:space="preserve">equirement </w:t>
      </w:r>
    </w:p>
    <w:p w:rsidR="00134B0F" w:rsidRPr="00035891" w:rsidRDefault="00134B0F" w:rsidP="00134B0F">
      <w:pPr>
        <w:snapToGrid w:val="0"/>
        <w:spacing w:after="0" w:line="240" w:lineRule="auto"/>
        <w:ind w:left="360"/>
        <w:jc w:val="both"/>
        <w:rPr>
          <w:rFonts w:ascii="Arial" w:hAnsi="Arial" w:cs="Arial"/>
          <w:sz w:val="20"/>
          <w:szCs w:val="20"/>
        </w:rPr>
      </w:pPr>
    </w:p>
    <w:p w:rsidR="007C6077" w:rsidRPr="00035891" w:rsidRDefault="00134B0F" w:rsidP="0092222A">
      <w:pPr>
        <w:snapToGrid w:val="0"/>
        <w:spacing w:after="0" w:line="240" w:lineRule="auto"/>
        <w:jc w:val="both"/>
        <w:rPr>
          <w:rFonts w:ascii="Arial" w:hAnsi="Arial" w:cs="Arial"/>
          <w:sz w:val="20"/>
          <w:szCs w:val="20"/>
        </w:rPr>
      </w:pPr>
      <w:r w:rsidRPr="00035891">
        <w:rPr>
          <w:rFonts w:ascii="Arial" w:hAnsi="Arial" w:cs="Arial"/>
          <w:sz w:val="20"/>
          <w:szCs w:val="20"/>
        </w:rPr>
        <w:t xml:space="preserve">The FSTB proposes </w:t>
      </w:r>
      <w:r w:rsidR="0092222A">
        <w:rPr>
          <w:rFonts w:ascii="Arial" w:hAnsi="Arial" w:cs="Arial"/>
          <w:sz w:val="20"/>
          <w:szCs w:val="20"/>
        </w:rPr>
        <w:t xml:space="preserve">that </w:t>
      </w:r>
      <w:r w:rsidRPr="00035891">
        <w:rPr>
          <w:rFonts w:ascii="Arial" w:hAnsi="Arial" w:cs="Arial"/>
          <w:sz w:val="20"/>
          <w:szCs w:val="20"/>
        </w:rPr>
        <w:t>any person operating</w:t>
      </w:r>
      <w:r w:rsidR="00072D9C">
        <w:rPr>
          <w:rFonts w:ascii="Arial" w:hAnsi="Arial" w:cs="Arial"/>
          <w:sz w:val="20"/>
          <w:szCs w:val="20"/>
        </w:rPr>
        <w:t xml:space="preserve"> a</w:t>
      </w:r>
      <w:r w:rsidRPr="00035891">
        <w:rPr>
          <w:rFonts w:ascii="Arial" w:hAnsi="Arial" w:cs="Arial"/>
          <w:sz w:val="20"/>
          <w:szCs w:val="20"/>
        </w:rPr>
        <w:t xml:space="preserve"> VA OTC business in Hong Kong, or actively marketing the </w:t>
      </w:r>
      <w:r w:rsidR="007C6077" w:rsidRPr="00035891">
        <w:rPr>
          <w:rFonts w:ascii="Arial" w:hAnsi="Arial" w:cs="Arial"/>
          <w:sz w:val="20"/>
          <w:szCs w:val="20"/>
        </w:rPr>
        <w:t>provision</w:t>
      </w:r>
      <w:r w:rsidRPr="00035891">
        <w:rPr>
          <w:rFonts w:ascii="Arial" w:hAnsi="Arial" w:cs="Arial"/>
          <w:sz w:val="20"/>
          <w:szCs w:val="20"/>
        </w:rPr>
        <w:t xml:space="preserve"> of VA OTC services to the Hong Kong public, </w:t>
      </w:r>
      <w:r w:rsidR="0092222A">
        <w:rPr>
          <w:rFonts w:ascii="Arial" w:hAnsi="Arial" w:cs="Arial"/>
          <w:sz w:val="20"/>
          <w:szCs w:val="20"/>
        </w:rPr>
        <w:t xml:space="preserve">will have to </w:t>
      </w:r>
      <w:r w:rsidRPr="00035891">
        <w:rPr>
          <w:rFonts w:ascii="Arial" w:hAnsi="Arial" w:cs="Arial"/>
          <w:sz w:val="20"/>
          <w:szCs w:val="20"/>
        </w:rPr>
        <w:t>obtain a licen</w:t>
      </w:r>
      <w:r w:rsidR="008E2118">
        <w:rPr>
          <w:rFonts w:ascii="Arial" w:hAnsi="Arial" w:cs="Arial"/>
          <w:sz w:val="20"/>
          <w:szCs w:val="20"/>
        </w:rPr>
        <w:t>c</w:t>
      </w:r>
      <w:r w:rsidRPr="00035891">
        <w:rPr>
          <w:rFonts w:ascii="Arial" w:hAnsi="Arial" w:cs="Arial"/>
          <w:sz w:val="20"/>
          <w:szCs w:val="20"/>
        </w:rPr>
        <w:t>e issued by the Commissio</w:t>
      </w:r>
      <w:r w:rsidR="0092222A">
        <w:rPr>
          <w:rFonts w:ascii="Arial" w:hAnsi="Arial" w:cs="Arial"/>
          <w:sz w:val="20"/>
          <w:szCs w:val="20"/>
        </w:rPr>
        <w:t xml:space="preserve">ner of Customs and Excise (the </w:t>
      </w:r>
      <w:r w:rsidR="0092222A" w:rsidRPr="0092222A">
        <w:rPr>
          <w:rFonts w:ascii="Arial" w:hAnsi="Arial" w:cs="Arial"/>
          <w:b/>
          <w:sz w:val="20"/>
          <w:szCs w:val="20"/>
        </w:rPr>
        <w:t>CCE</w:t>
      </w:r>
      <w:r w:rsidR="007C6077" w:rsidRPr="00035891">
        <w:rPr>
          <w:rFonts w:ascii="Arial" w:hAnsi="Arial" w:cs="Arial"/>
          <w:sz w:val="20"/>
          <w:szCs w:val="20"/>
        </w:rPr>
        <w:t xml:space="preserve">). </w:t>
      </w:r>
    </w:p>
    <w:p w:rsidR="007C6077" w:rsidRPr="00035891" w:rsidRDefault="007C6077" w:rsidP="007C6077">
      <w:pPr>
        <w:snapToGrid w:val="0"/>
        <w:spacing w:after="0" w:line="240" w:lineRule="auto"/>
        <w:ind w:left="360"/>
        <w:jc w:val="both"/>
        <w:rPr>
          <w:rFonts w:ascii="Arial" w:hAnsi="Arial" w:cs="Arial"/>
          <w:sz w:val="20"/>
          <w:szCs w:val="20"/>
        </w:rPr>
      </w:pPr>
    </w:p>
    <w:p w:rsidR="007C6077" w:rsidRPr="00035891" w:rsidRDefault="00072D9C" w:rsidP="0092222A">
      <w:pPr>
        <w:snapToGrid w:val="0"/>
        <w:spacing w:after="0" w:line="240" w:lineRule="auto"/>
        <w:jc w:val="both"/>
        <w:rPr>
          <w:rFonts w:ascii="Arial" w:hAnsi="Arial" w:cs="Arial"/>
          <w:sz w:val="20"/>
          <w:szCs w:val="20"/>
        </w:rPr>
      </w:pPr>
      <w:r>
        <w:rPr>
          <w:rFonts w:ascii="Arial" w:hAnsi="Arial" w:cs="Arial"/>
          <w:sz w:val="20"/>
          <w:szCs w:val="20"/>
        </w:rPr>
        <w:t xml:space="preserve">A </w:t>
      </w:r>
      <w:r w:rsidR="007C6077" w:rsidRPr="00035891">
        <w:rPr>
          <w:rFonts w:ascii="Arial" w:hAnsi="Arial" w:cs="Arial"/>
          <w:sz w:val="20"/>
          <w:szCs w:val="20"/>
        </w:rPr>
        <w:t>VA OTC business will be defined as: (</w:t>
      </w:r>
      <w:r w:rsidR="002C2D7A">
        <w:rPr>
          <w:rFonts w:ascii="Arial" w:hAnsi="Arial" w:cs="Arial"/>
          <w:sz w:val="20"/>
          <w:szCs w:val="20"/>
        </w:rPr>
        <w:t>a</w:t>
      </w:r>
      <w:r w:rsidR="007C6077" w:rsidRPr="00035891">
        <w:rPr>
          <w:rFonts w:ascii="Arial" w:hAnsi="Arial" w:cs="Arial"/>
          <w:sz w:val="20"/>
          <w:szCs w:val="20"/>
        </w:rPr>
        <w:t>) by way of business, provision of service of spot trade of any VA; (b) irrespective of whether the service is provided through a physical outlet (</w:t>
      </w:r>
      <w:proofErr w:type="gramStart"/>
      <w:r w:rsidR="007C6077" w:rsidRPr="00035891">
        <w:rPr>
          <w:rFonts w:ascii="Arial" w:hAnsi="Arial" w:cs="Arial"/>
          <w:sz w:val="20"/>
          <w:szCs w:val="20"/>
        </w:rPr>
        <w:t>i.e.</w:t>
      </w:r>
      <w:proofErr w:type="gramEnd"/>
      <w:r w:rsidR="007C6077" w:rsidRPr="00035891">
        <w:rPr>
          <w:rFonts w:ascii="Arial" w:hAnsi="Arial" w:cs="Arial"/>
          <w:sz w:val="20"/>
          <w:szCs w:val="20"/>
        </w:rPr>
        <w:t xml:space="preserve"> including ATMs) or other (e.g. digital) platforms; and (c) explicitly excluding the operation of a VATP as already covered under the VATP licensing regime.</w:t>
      </w:r>
    </w:p>
    <w:p w:rsidR="007C6077" w:rsidRPr="00035891" w:rsidRDefault="007C6077" w:rsidP="007C6077">
      <w:pPr>
        <w:snapToGrid w:val="0"/>
        <w:spacing w:after="0" w:line="240" w:lineRule="auto"/>
        <w:ind w:left="360"/>
        <w:jc w:val="both"/>
        <w:rPr>
          <w:rFonts w:ascii="Arial" w:hAnsi="Arial" w:cs="Arial"/>
          <w:sz w:val="20"/>
          <w:szCs w:val="20"/>
        </w:rPr>
      </w:pPr>
    </w:p>
    <w:p w:rsidR="007C6077" w:rsidRPr="00035891" w:rsidRDefault="0092222A" w:rsidP="0092222A">
      <w:pPr>
        <w:snapToGrid w:val="0"/>
        <w:spacing w:after="0" w:line="240" w:lineRule="auto"/>
        <w:jc w:val="both"/>
        <w:rPr>
          <w:rFonts w:ascii="Arial" w:hAnsi="Arial" w:cs="Arial"/>
          <w:sz w:val="20"/>
          <w:szCs w:val="20"/>
        </w:rPr>
      </w:pPr>
      <w:r>
        <w:rPr>
          <w:rFonts w:ascii="Arial" w:hAnsi="Arial" w:cs="Arial"/>
          <w:sz w:val="20"/>
          <w:szCs w:val="20"/>
        </w:rPr>
        <w:t xml:space="preserve">The </w:t>
      </w:r>
      <w:r w:rsidR="007C6077" w:rsidRPr="00035891">
        <w:rPr>
          <w:rFonts w:ascii="Arial" w:hAnsi="Arial" w:cs="Arial"/>
          <w:sz w:val="20"/>
          <w:szCs w:val="20"/>
        </w:rPr>
        <w:t xml:space="preserve">definition will exclude peer-to-peer trading </w:t>
      </w:r>
      <w:r w:rsidR="00622AC6">
        <w:rPr>
          <w:rFonts w:ascii="Arial" w:hAnsi="Arial" w:cs="Arial"/>
          <w:sz w:val="20"/>
          <w:szCs w:val="20"/>
        </w:rPr>
        <w:t xml:space="preserve">between </w:t>
      </w:r>
      <w:r w:rsidR="007C6077" w:rsidRPr="00035891">
        <w:rPr>
          <w:rFonts w:ascii="Arial" w:hAnsi="Arial" w:cs="Arial"/>
          <w:sz w:val="20"/>
          <w:szCs w:val="20"/>
        </w:rPr>
        <w:t>individuals</w:t>
      </w:r>
      <w:r w:rsidR="00072D9C">
        <w:rPr>
          <w:rFonts w:ascii="Arial" w:hAnsi="Arial" w:cs="Arial"/>
          <w:sz w:val="20"/>
          <w:szCs w:val="20"/>
        </w:rPr>
        <w:t>,</w:t>
      </w:r>
      <w:r w:rsidR="007C6077" w:rsidRPr="00035891">
        <w:rPr>
          <w:rFonts w:ascii="Arial" w:hAnsi="Arial" w:cs="Arial"/>
          <w:sz w:val="20"/>
          <w:szCs w:val="20"/>
        </w:rPr>
        <w:t xml:space="preserve"> unless the trade </w:t>
      </w:r>
      <w:r w:rsidR="00452487" w:rsidRPr="00035891">
        <w:rPr>
          <w:rFonts w:ascii="Arial" w:hAnsi="Arial" w:cs="Arial"/>
          <w:sz w:val="20"/>
          <w:szCs w:val="20"/>
        </w:rPr>
        <w:t xml:space="preserve">constitutes </w:t>
      </w:r>
      <w:r w:rsidR="0084499C">
        <w:rPr>
          <w:rFonts w:ascii="Arial" w:hAnsi="Arial" w:cs="Arial"/>
          <w:sz w:val="20"/>
          <w:szCs w:val="20"/>
        </w:rPr>
        <w:t xml:space="preserve">the </w:t>
      </w:r>
      <w:r w:rsidR="007C6077" w:rsidRPr="00035891">
        <w:rPr>
          <w:rFonts w:ascii="Arial" w:hAnsi="Arial" w:cs="Arial"/>
          <w:sz w:val="20"/>
          <w:szCs w:val="20"/>
        </w:rPr>
        <w:t>business activit</w:t>
      </w:r>
      <w:r w:rsidR="0084499C">
        <w:rPr>
          <w:rFonts w:ascii="Arial" w:hAnsi="Arial" w:cs="Arial"/>
          <w:sz w:val="20"/>
          <w:szCs w:val="20"/>
        </w:rPr>
        <w:t>y</w:t>
      </w:r>
      <w:r w:rsidR="007C6077" w:rsidRPr="00035891">
        <w:rPr>
          <w:rFonts w:ascii="Arial" w:hAnsi="Arial" w:cs="Arial"/>
          <w:sz w:val="20"/>
          <w:szCs w:val="20"/>
        </w:rPr>
        <w:t xml:space="preserve"> of </w:t>
      </w:r>
      <w:r w:rsidR="00622AC6">
        <w:rPr>
          <w:rFonts w:ascii="Arial" w:hAnsi="Arial" w:cs="Arial"/>
          <w:sz w:val="20"/>
          <w:szCs w:val="20"/>
        </w:rPr>
        <w:t xml:space="preserve">either </w:t>
      </w:r>
      <w:r w:rsidR="00452487" w:rsidRPr="00035891">
        <w:rPr>
          <w:rFonts w:ascii="Arial" w:hAnsi="Arial" w:cs="Arial"/>
          <w:sz w:val="20"/>
          <w:szCs w:val="20"/>
        </w:rPr>
        <w:t>party</w:t>
      </w:r>
      <w:r w:rsidR="0084499C">
        <w:rPr>
          <w:rFonts w:ascii="Arial" w:hAnsi="Arial" w:cs="Arial"/>
          <w:sz w:val="20"/>
          <w:szCs w:val="20"/>
        </w:rPr>
        <w:t>.</w:t>
      </w:r>
      <w:r w:rsidR="00452487" w:rsidRPr="00035891">
        <w:rPr>
          <w:rFonts w:ascii="Arial" w:hAnsi="Arial" w:cs="Arial"/>
          <w:sz w:val="20"/>
          <w:szCs w:val="20"/>
        </w:rPr>
        <w:t xml:space="preserve"> </w:t>
      </w:r>
    </w:p>
    <w:p w:rsidR="00452487" w:rsidRPr="00035891" w:rsidRDefault="00452487" w:rsidP="00452487">
      <w:pPr>
        <w:snapToGrid w:val="0"/>
        <w:spacing w:after="0" w:line="240" w:lineRule="auto"/>
        <w:ind w:left="360"/>
        <w:jc w:val="both"/>
        <w:rPr>
          <w:rFonts w:ascii="Arial" w:hAnsi="Arial" w:cs="Arial"/>
          <w:sz w:val="20"/>
          <w:szCs w:val="20"/>
        </w:rPr>
      </w:pPr>
    </w:p>
    <w:p w:rsidR="0084499C" w:rsidRDefault="00452487" w:rsidP="0084499C">
      <w:pPr>
        <w:snapToGrid w:val="0"/>
        <w:spacing w:after="0" w:line="240" w:lineRule="auto"/>
        <w:jc w:val="both"/>
        <w:rPr>
          <w:rFonts w:ascii="Arial" w:hAnsi="Arial" w:cs="Arial"/>
          <w:sz w:val="20"/>
          <w:szCs w:val="20"/>
        </w:rPr>
      </w:pPr>
      <w:r w:rsidRPr="00035891">
        <w:rPr>
          <w:rFonts w:ascii="Arial" w:hAnsi="Arial" w:cs="Arial"/>
          <w:sz w:val="20"/>
          <w:szCs w:val="20"/>
        </w:rPr>
        <w:t xml:space="preserve">Applicants </w:t>
      </w:r>
      <w:r w:rsidR="0084499C">
        <w:rPr>
          <w:rFonts w:ascii="Arial" w:hAnsi="Arial" w:cs="Arial"/>
          <w:sz w:val="20"/>
          <w:szCs w:val="20"/>
        </w:rPr>
        <w:t xml:space="preserve">for </w:t>
      </w:r>
      <w:r w:rsidRPr="00035891">
        <w:rPr>
          <w:rFonts w:ascii="Arial" w:hAnsi="Arial" w:cs="Arial"/>
          <w:sz w:val="20"/>
          <w:szCs w:val="20"/>
        </w:rPr>
        <w:t xml:space="preserve">VA OTC licensing </w:t>
      </w:r>
      <w:r w:rsidR="0084499C">
        <w:rPr>
          <w:rFonts w:ascii="Arial" w:hAnsi="Arial" w:cs="Arial"/>
          <w:sz w:val="20"/>
          <w:szCs w:val="20"/>
        </w:rPr>
        <w:t xml:space="preserve">will need to </w:t>
      </w:r>
      <w:r w:rsidRPr="00035891">
        <w:rPr>
          <w:rFonts w:ascii="Arial" w:hAnsi="Arial" w:cs="Arial"/>
          <w:sz w:val="20"/>
          <w:szCs w:val="20"/>
        </w:rPr>
        <w:t>be</w:t>
      </w:r>
      <w:r w:rsidR="0084499C">
        <w:rPr>
          <w:rFonts w:ascii="Arial" w:hAnsi="Arial" w:cs="Arial"/>
          <w:sz w:val="20"/>
          <w:szCs w:val="20"/>
        </w:rPr>
        <w:t>:</w:t>
      </w:r>
      <w:r w:rsidRPr="00035891">
        <w:rPr>
          <w:rFonts w:ascii="Arial" w:hAnsi="Arial" w:cs="Arial"/>
          <w:sz w:val="20"/>
          <w:szCs w:val="20"/>
        </w:rPr>
        <w:t xml:space="preserve"> </w:t>
      </w:r>
    </w:p>
    <w:p w:rsidR="0084499C" w:rsidRDefault="0084499C" w:rsidP="0084499C">
      <w:pPr>
        <w:snapToGrid w:val="0"/>
        <w:spacing w:after="0" w:line="240" w:lineRule="auto"/>
        <w:jc w:val="both"/>
        <w:rPr>
          <w:rFonts w:ascii="Arial" w:hAnsi="Arial" w:cs="Arial"/>
          <w:sz w:val="20"/>
          <w:szCs w:val="20"/>
        </w:rPr>
      </w:pPr>
    </w:p>
    <w:p w:rsidR="0084499C" w:rsidRDefault="00452487" w:rsidP="0084499C">
      <w:pPr>
        <w:pStyle w:val="a4"/>
        <w:numPr>
          <w:ilvl w:val="0"/>
          <w:numId w:val="30"/>
        </w:numPr>
        <w:snapToGrid w:val="0"/>
        <w:spacing w:after="0" w:line="240" w:lineRule="auto"/>
        <w:jc w:val="both"/>
        <w:rPr>
          <w:rFonts w:ascii="Arial" w:hAnsi="Arial" w:cs="Arial"/>
          <w:sz w:val="20"/>
          <w:szCs w:val="20"/>
        </w:rPr>
      </w:pPr>
      <w:r w:rsidRPr="0084499C">
        <w:rPr>
          <w:rFonts w:ascii="Arial" w:hAnsi="Arial" w:cs="Arial"/>
          <w:sz w:val="20"/>
          <w:szCs w:val="20"/>
        </w:rPr>
        <w:t xml:space="preserve">a Hong Kong incorporated company with a permanent place of business in Hong Kong; or </w:t>
      </w:r>
    </w:p>
    <w:p w:rsidR="00452487" w:rsidRPr="0084499C" w:rsidRDefault="00452487" w:rsidP="0084499C">
      <w:pPr>
        <w:pStyle w:val="a4"/>
        <w:numPr>
          <w:ilvl w:val="0"/>
          <w:numId w:val="30"/>
        </w:numPr>
        <w:snapToGrid w:val="0"/>
        <w:spacing w:after="0" w:line="240" w:lineRule="auto"/>
        <w:jc w:val="both"/>
        <w:rPr>
          <w:rFonts w:ascii="Arial" w:hAnsi="Arial" w:cs="Arial"/>
          <w:sz w:val="20"/>
          <w:szCs w:val="20"/>
        </w:rPr>
      </w:pPr>
      <w:r w:rsidRPr="0084499C">
        <w:rPr>
          <w:rFonts w:ascii="Arial" w:hAnsi="Arial" w:cs="Arial"/>
          <w:sz w:val="20"/>
          <w:szCs w:val="20"/>
        </w:rPr>
        <w:t xml:space="preserve">a company </w:t>
      </w:r>
      <w:r w:rsidR="0084499C" w:rsidRPr="0084499C">
        <w:rPr>
          <w:rFonts w:ascii="Arial" w:hAnsi="Arial" w:cs="Arial"/>
          <w:sz w:val="20"/>
          <w:szCs w:val="20"/>
        </w:rPr>
        <w:t xml:space="preserve">incorporated </w:t>
      </w:r>
      <w:r w:rsidR="0084499C">
        <w:rPr>
          <w:rFonts w:ascii="Arial" w:hAnsi="Arial" w:cs="Arial"/>
          <w:sz w:val="20"/>
          <w:szCs w:val="20"/>
        </w:rPr>
        <w:t xml:space="preserve">overseas </w:t>
      </w:r>
      <w:r w:rsidRPr="0084499C">
        <w:rPr>
          <w:rFonts w:ascii="Arial" w:hAnsi="Arial" w:cs="Arial"/>
          <w:sz w:val="20"/>
          <w:szCs w:val="20"/>
        </w:rPr>
        <w:t>but registered in Hong Kong under the Companies Ordinance (Cap.</w:t>
      </w:r>
      <w:r w:rsidR="0084499C">
        <w:rPr>
          <w:rFonts w:ascii="Arial" w:hAnsi="Arial" w:cs="Arial"/>
          <w:sz w:val="20"/>
          <w:szCs w:val="20"/>
        </w:rPr>
        <w:t xml:space="preserve"> </w:t>
      </w:r>
      <w:r w:rsidRPr="0084499C">
        <w:rPr>
          <w:rFonts w:ascii="Arial" w:hAnsi="Arial" w:cs="Arial"/>
          <w:sz w:val="20"/>
          <w:szCs w:val="20"/>
        </w:rPr>
        <w:t>622)</w:t>
      </w:r>
      <w:r w:rsidR="00546535" w:rsidRPr="0084499C">
        <w:rPr>
          <w:rFonts w:ascii="Arial" w:hAnsi="Arial" w:cs="Arial"/>
          <w:sz w:val="20"/>
          <w:szCs w:val="20"/>
        </w:rPr>
        <w:t>.</w:t>
      </w:r>
    </w:p>
    <w:p w:rsidR="00546535" w:rsidRPr="00035891" w:rsidRDefault="00546535" w:rsidP="00452487">
      <w:pPr>
        <w:snapToGrid w:val="0"/>
        <w:spacing w:after="0" w:line="240" w:lineRule="auto"/>
        <w:ind w:left="360"/>
        <w:jc w:val="both"/>
        <w:rPr>
          <w:rFonts w:ascii="Arial" w:hAnsi="Arial" w:cs="Arial"/>
          <w:sz w:val="20"/>
          <w:szCs w:val="20"/>
        </w:rPr>
      </w:pPr>
    </w:p>
    <w:p w:rsidR="00546535" w:rsidRDefault="0084499C" w:rsidP="0084499C">
      <w:pPr>
        <w:snapToGrid w:val="0"/>
        <w:spacing w:after="0" w:line="240" w:lineRule="auto"/>
        <w:jc w:val="both"/>
        <w:rPr>
          <w:rFonts w:ascii="Arial" w:hAnsi="Arial" w:cs="Arial"/>
          <w:b/>
          <w:sz w:val="20"/>
          <w:szCs w:val="20"/>
        </w:rPr>
      </w:pPr>
      <w:r w:rsidRPr="0084499C">
        <w:rPr>
          <w:rFonts w:ascii="Arial" w:hAnsi="Arial" w:cs="Arial"/>
          <w:b/>
          <w:sz w:val="20"/>
          <w:szCs w:val="20"/>
        </w:rPr>
        <w:t>Permitted Activities</w:t>
      </w:r>
    </w:p>
    <w:p w:rsidR="00186C32" w:rsidRPr="0084499C" w:rsidRDefault="00186C32" w:rsidP="0084499C">
      <w:pPr>
        <w:snapToGrid w:val="0"/>
        <w:spacing w:after="0" w:line="240" w:lineRule="auto"/>
        <w:jc w:val="both"/>
        <w:rPr>
          <w:rFonts w:ascii="Arial" w:hAnsi="Arial" w:cs="Arial"/>
          <w:b/>
          <w:sz w:val="20"/>
          <w:szCs w:val="20"/>
        </w:rPr>
      </w:pPr>
    </w:p>
    <w:p w:rsidR="00467007" w:rsidRDefault="00546535" w:rsidP="005B4C7E">
      <w:pPr>
        <w:snapToGrid w:val="0"/>
        <w:spacing w:after="0" w:line="240" w:lineRule="auto"/>
        <w:jc w:val="both"/>
        <w:rPr>
          <w:rFonts w:ascii="Arial" w:hAnsi="Arial" w:cs="Arial"/>
          <w:sz w:val="20"/>
          <w:szCs w:val="20"/>
        </w:rPr>
      </w:pPr>
      <w:r w:rsidRPr="00035891">
        <w:rPr>
          <w:rFonts w:ascii="Arial" w:hAnsi="Arial" w:cs="Arial"/>
          <w:sz w:val="20"/>
          <w:szCs w:val="20"/>
        </w:rPr>
        <w:lastRenderedPageBreak/>
        <w:t>Under the proposed regime</w:t>
      </w:r>
      <w:r w:rsidR="00D55CB3" w:rsidRPr="00035891">
        <w:rPr>
          <w:rFonts w:ascii="Arial" w:hAnsi="Arial" w:cs="Arial"/>
          <w:sz w:val="20"/>
          <w:szCs w:val="20"/>
        </w:rPr>
        <w:t>, licen</w:t>
      </w:r>
      <w:r w:rsidR="0084499C">
        <w:rPr>
          <w:rFonts w:ascii="Arial" w:hAnsi="Arial" w:cs="Arial"/>
          <w:sz w:val="20"/>
          <w:szCs w:val="20"/>
        </w:rPr>
        <w:t>s</w:t>
      </w:r>
      <w:r w:rsidR="00D55CB3" w:rsidRPr="00035891">
        <w:rPr>
          <w:rFonts w:ascii="Arial" w:hAnsi="Arial" w:cs="Arial"/>
          <w:sz w:val="20"/>
          <w:szCs w:val="20"/>
        </w:rPr>
        <w:t xml:space="preserve">ed VA OTC </w:t>
      </w:r>
      <w:r w:rsidR="00072D9C">
        <w:rPr>
          <w:rFonts w:ascii="Arial" w:hAnsi="Arial" w:cs="Arial"/>
          <w:sz w:val="20"/>
          <w:szCs w:val="20"/>
        </w:rPr>
        <w:t xml:space="preserve">operators </w:t>
      </w:r>
      <w:r w:rsidR="0084499C">
        <w:rPr>
          <w:rFonts w:ascii="Arial" w:hAnsi="Arial" w:cs="Arial"/>
          <w:sz w:val="20"/>
          <w:szCs w:val="20"/>
        </w:rPr>
        <w:t>will be allow</w:t>
      </w:r>
      <w:r w:rsidR="00D55CB3" w:rsidRPr="00035891">
        <w:rPr>
          <w:rFonts w:ascii="Arial" w:hAnsi="Arial" w:cs="Arial"/>
          <w:sz w:val="20"/>
          <w:szCs w:val="20"/>
        </w:rPr>
        <w:t xml:space="preserve">ed </w:t>
      </w:r>
      <w:r w:rsidR="004E01C1" w:rsidRPr="00035891">
        <w:rPr>
          <w:rFonts w:ascii="Arial" w:hAnsi="Arial" w:cs="Arial"/>
          <w:sz w:val="20"/>
          <w:szCs w:val="20"/>
        </w:rPr>
        <w:t xml:space="preserve">to engage in </w:t>
      </w:r>
      <w:r w:rsidR="00D55CB3" w:rsidRPr="00035891">
        <w:rPr>
          <w:rFonts w:ascii="Arial" w:hAnsi="Arial" w:cs="Arial"/>
          <w:sz w:val="20"/>
          <w:szCs w:val="20"/>
        </w:rPr>
        <w:t xml:space="preserve">spot trade of any VA for any money, or vice versa. However, </w:t>
      </w:r>
      <w:r w:rsidR="0084499C">
        <w:rPr>
          <w:rFonts w:ascii="Arial" w:hAnsi="Arial" w:cs="Arial"/>
          <w:sz w:val="20"/>
          <w:szCs w:val="20"/>
        </w:rPr>
        <w:t xml:space="preserve">licensees will be prohibited from </w:t>
      </w:r>
      <w:r w:rsidR="00EC3494">
        <w:rPr>
          <w:rFonts w:ascii="Arial" w:hAnsi="Arial" w:cs="Arial"/>
          <w:sz w:val="20"/>
          <w:szCs w:val="20"/>
        </w:rPr>
        <w:t xml:space="preserve">providing </w:t>
      </w:r>
      <w:r w:rsidR="0084499C">
        <w:rPr>
          <w:rFonts w:ascii="Arial" w:hAnsi="Arial" w:cs="Arial"/>
          <w:sz w:val="20"/>
          <w:szCs w:val="20"/>
        </w:rPr>
        <w:t>VA</w:t>
      </w:r>
      <w:r w:rsidR="00EC3494">
        <w:rPr>
          <w:rFonts w:ascii="Arial" w:hAnsi="Arial" w:cs="Arial"/>
          <w:sz w:val="20"/>
          <w:szCs w:val="20"/>
        </w:rPr>
        <w:t xml:space="preserve">-to-VA </w:t>
      </w:r>
      <w:r w:rsidR="00D55CB3" w:rsidRPr="00035891">
        <w:rPr>
          <w:rFonts w:ascii="Arial" w:hAnsi="Arial" w:cs="Arial"/>
          <w:sz w:val="20"/>
          <w:szCs w:val="20"/>
        </w:rPr>
        <w:t>trad</w:t>
      </w:r>
      <w:r w:rsidR="0084499C">
        <w:rPr>
          <w:rFonts w:ascii="Arial" w:hAnsi="Arial" w:cs="Arial"/>
          <w:sz w:val="20"/>
          <w:szCs w:val="20"/>
        </w:rPr>
        <w:t>ing</w:t>
      </w:r>
      <w:r w:rsidR="004E01C1" w:rsidRPr="00035891">
        <w:rPr>
          <w:rFonts w:ascii="Arial" w:hAnsi="Arial" w:cs="Arial"/>
          <w:sz w:val="20"/>
          <w:szCs w:val="20"/>
        </w:rPr>
        <w:t xml:space="preserve"> </w:t>
      </w:r>
      <w:r w:rsidR="00EC3494">
        <w:rPr>
          <w:rFonts w:ascii="Arial" w:hAnsi="Arial" w:cs="Arial"/>
          <w:sz w:val="20"/>
          <w:szCs w:val="20"/>
        </w:rPr>
        <w:t xml:space="preserve">services which require a VATP licence. To </w:t>
      </w:r>
      <w:r w:rsidR="000C3598" w:rsidRPr="00035891">
        <w:rPr>
          <w:rFonts w:ascii="Arial" w:hAnsi="Arial" w:cs="Arial"/>
          <w:sz w:val="20"/>
          <w:szCs w:val="20"/>
        </w:rPr>
        <w:t>remit fiat money to client</w:t>
      </w:r>
      <w:r w:rsidR="00EC3494">
        <w:rPr>
          <w:rFonts w:ascii="Arial" w:hAnsi="Arial" w:cs="Arial"/>
          <w:sz w:val="20"/>
          <w:szCs w:val="20"/>
        </w:rPr>
        <w:t>s</w:t>
      </w:r>
      <w:r w:rsidR="000C3598" w:rsidRPr="00035891">
        <w:rPr>
          <w:rFonts w:ascii="Arial" w:hAnsi="Arial" w:cs="Arial"/>
          <w:sz w:val="20"/>
          <w:szCs w:val="20"/>
        </w:rPr>
        <w:t xml:space="preserve">, </w:t>
      </w:r>
      <w:r w:rsidR="004E01C1" w:rsidRPr="00035891">
        <w:rPr>
          <w:rFonts w:ascii="Arial" w:hAnsi="Arial" w:cs="Arial"/>
          <w:sz w:val="20"/>
          <w:szCs w:val="20"/>
        </w:rPr>
        <w:t>the</w:t>
      </w:r>
      <w:r w:rsidR="000C3598" w:rsidRPr="00035891">
        <w:rPr>
          <w:rFonts w:ascii="Arial" w:hAnsi="Arial" w:cs="Arial"/>
          <w:sz w:val="20"/>
          <w:szCs w:val="20"/>
        </w:rPr>
        <w:t xml:space="preserve"> OTC </w:t>
      </w:r>
      <w:r w:rsidR="00EC3494">
        <w:rPr>
          <w:rFonts w:ascii="Arial" w:hAnsi="Arial" w:cs="Arial"/>
          <w:sz w:val="20"/>
          <w:szCs w:val="20"/>
        </w:rPr>
        <w:t xml:space="preserve">will need </w:t>
      </w:r>
      <w:r w:rsidR="000C3598" w:rsidRPr="00035891">
        <w:rPr>
          <w:rFonts w:ascii="Arial" w:hAnsi="Arial" w:cs="Arial"/>
          <w:sz w:val="20"/>
          <w:szCs w:val="20"/>
        </w:rPr>
        <w:t>to apply for a money service operator licen</w:t>
      </w:r>
      <w:r w:rsidR="008E2118">
        <w:rPr>
          <w:rFonts w:ascii="Arial" w:hAnsi="Arial" w:cs="Arial"/>
          <w:sz w:val="20"/>
          <w:szCs w:val="20"/>
        </w:rPr>
        <w:t>c</w:t>
      </w:r>
      <w:r w:rsidR="000C3598" w:rsidRPr="00035891">
        <w:rPr>
          <w:rFonts w:ascii="Arial" w:hAnsi="Arial" w:cs="Arial"/>
          <w:sz w:val="20"/>
          <w:szCs w:val="20"/>
        </w:rPr>
        <w:t>e</w:t>
      </w:r>
      <w:r w:rsidR="00EC3494">
        <w:rPr>
          <w:rFonts w:ascii="Arial" w:hAnsi="Arial" w:cs="Arial"/>
          <w:sz w:val="20"/>
          <w:szCs w:val="20"/>
        </w:rPr>
        <w:t xml:space="preserve">. If the licensee will </w:t>
      </w:r>
      <w:r w:rsidR="00EC3494" w:rsidRPr="00035891">
        <w:rPr>
          <w:rFonts w:ascii="Arial" w:hAnsi="Arial" w:cs="Arial"/>
          <w:sz w:val="20"/>
          <w:szCs w:val="20"/>
        </w:rPr>
        <w:t xml:space="preserve">transfer VA </w:t>
      </w:r>
      <w:r w:rsidR="00EC3494">
        <w:rPr>
          <w:rFonts w:ascii="Arial" w:hAnsi="Arial" w:cs="Arial"/>
          <w:sz w:val="20"/>
          <w:szCs w:val="20"/>
        </w:rPr>
        <w:t xml:space="preserve">to clients </w:t>
      </w:r>
      <w:r w:rsidR="00EC3494" w:rsidRPr="00035891">
        <w:rPr>
          <w:rFonts w:ascii="Arial" w:hAnsi="Arial" w:cs="Arial"/>
          <w:sz w:val="20"/>
          <w:szCs w:val="20"/>
        </w:rPr>
        <w:t>after sale</w:t>
      </w:r>
      <w:r w:rsidR="00EC3494">
        <w:rPr>
          <w:rFonts w:ascii="Arial" w:hAnsi="Arial" w:cs="Arial"/>
          <w:sz w:val="20"/>
          <w:szCs w:val="20"/>
        </w:rPr>
        <w:t>,</w:t>
      </w:r>
      <w:r w:rsidR="000C3598" w:rsidRPr="00035891">
        <w:rPr>
          <w:rFonts w:ascii="Arial" w:hAnsi="Arial" w:cs="Arial"/>
          <w:sz w:val="20"/>
          <w:szCs w:val="20"/>
        </w:rPr>
        <w:t xml:space="preserve"> </w:t>
      </w:r>
      <w:r w:rsidR="00EC3494">
        <w:rPr>
          <w:rFonts w:ascii="Arial" w:hAnsi="Arial" w:cs="Arial"/>
          <w:sz w:val="20"/>
          <w:szCs w:val="20"/>
        </w:rPr>
        <w:t xml:space="preserve">it must </w:t>
      </w:r>
      <w:r w:rsidR="000C3598" w:rsidRPr="00035891">
        <w:rPr>
          <w:rFonts w:ascii="Arial" w:hAnsi="Arial" w:cs="Arial"/>
          <w:sz w:val="20"/>
          <w:szCs w:val="20"/>
        </w:rPr>
        <w:t>transfer</w:t>
      </w:r>
      <w:r w:rsidR="00EC3494">
        <w:rPr>
          <w:rFonts w:ascii="Arial" w:hAnsi="Arial" w:cs="Arial"/>
          <w:sz w:val="20"/>
          <w:szCs w:val="20"/>
        </w:rPr>
        <w:t xml:space="preserve"> the VA from</w:t>
      </w:r>
      <w:r w:rsidR="004E01C1" w:rsidRPr="00035891">
        <w:rPr>
          <w:rFonts w:ascii="Arial" w:hAnsi="Arial" w:cs="Arial"/>
          <w:sz w:val="20"/>
          <w:szCs w:val="20"/>
        </w:rPr>
        <w:t xml:space="preserve"> </w:t>
      </w:r>
      <w:r w:rsidR="00EC3494">
        <w:rPr>
          <w:rFonts w:ascii="Arial" w:hAnsi="Arial" w:cs="Arial"/>
          <w:sz w:val="20"/>
          <w:szCs w:val="20"/>
        </w:rPr>
        <w:t xml:space="preserve">its </w:t>
      </w:r>
      <w:r w:rsidR="004E01C1" w:rsidRPr="00035891">
        <w:rPr>
          <w:rFonts w:ascii="Arial" w:hAnsi="Arial" w:cs="Arial"/>
          <w:sz w:val="20"/>
          <w:szCs w:val="20"/>
        </w:rPr>
        <w:t xml:space="preserve">wallet </w:t>
      </w:r>
      <w:r w:rsidR="000C3598" w:rsidRPr="00035891">
        <w:rPr>
          <w:rFonts w:ascii="Arial" w:hAnsi="Arial" w:cs="Arial"/>
          <w:sz w:val="20"/>
          <w:szCs w:val="20"/>
        </w:rPr>
        <w:t>registered with the CCE</w:t>
      </w:r>
      <w:r w:rsidR="00EC3494">
        <w:rPr>
          <w:rFonts w:ascii="Arial" w:hAnsi="Arial" w:cs="Arial"/>
          <w:sz w:val="20"/>
          <w:szCs w:val="20"/>
        </w:rPr>
        <w:t xml:space="preserve"> to a wallet for which the client provide</w:t>
      </w:r>
      <w:r w:rsidR="002C2D7A">
        <w:rPr>
          <w:rFonts w:ascii="Arial" w:hAnsi="Arial" w:cs="Arial"/>
          <w:sz w:val="20"/>
          <w:szCs w:val="20"/>
        </w:rPr>
        <w:t>s</w:t>
      </w:r>
      <w:r w:rsidR="00EC3494">
        <w:rPr>
          <w:rFonts w:ascii="Arial" w:hAnsi="Arial" w:cs="Arial"/>
          <w:sz w:val="20"/>
          <w:szCs w:val="20"/>
        </w:rPr>
        <w:t xml:space="preserve"> proof of ownership and/or control</w:t>
      </w:r>
      <w:r w:rsidR="000C3598" w:rsidRPr="00035891">
        <w:rPr>
          <w:rFonts w:ascii="Arial" w:hAnsi="Arial" w:cs="Arial"/>
          <w:sz w:val="20"/>
          <w:szCs w:val="20"/>
        </w:rPr>
        <w:t>.</w:t>
      </w:r>
      <w:r w:rsidR="004E01C1" w:rsidRPr="00035891">
        <w:rPr>
          <w:rFonts w:ascii="Arial" w:hAnsi="Arial" w:cs="Arial"/>
          <w:sz w:val="20"/>
          <w:szCs w:val="20"/>
        </w:rPr>
        <w:t xml:space="preserve"> </w:t>
      </w:r>
      <w:r w:rsidR="00467007" w:rsidRPr="00035891">
        <w:rPr>
          <w:rFonts w:ascii="Arial" w:hAnsi="Arial" w:cs="Arial"/>
          <w:sz w:val="20"/>
          <w:szCs w:val="20"/>
        </w:rPr>
        <w:t xml:space="preserve">Other services such as VA advisory or referral services, </w:t>
      </w:r>
      <w:r w:rsidR="00EF7A5A">
        <w:rPr>
          <w:rFonts w:ascii="Arial" w:hAnsi="Arial" w:cs="Arial"/>
          <w:sz w:val="20"/>
          <w:szCs w:val="20"/>
        </w:rPr>
        <w:t xml:space="preserve">and </w:t>
      </w:r>
      <w:r w:rsidR="00467007" w:rsidRPr="00035891">
        <w:rPr>
          <w:rFonts w:ascii="Arial" w:hAnsi="Arial" w:cs="Arial"/>
          <w:sz w:val="20"/>
          <w:szCs w:val="20"/>
        </w:rPr>
        <w:t>offering VA derivatives or other financial products</w:t>
      </w:r>
      <w:r w:rsidR="00EF7A5A">
        <w:rPr>
          <w:rFonts w:ascii="Arial" w:hAnsi="Arial" w:cs="Arial"/>
          <w:sz w:val="20"/>
          <w:szCs w:val="20"/>
        </w:rPr>
        <w:t xml:space="preserve"> (including staking, lending and margin trading), will</w:t>
      </w:r>
      <w:r w:rsidR="00467007" w:rsidRPr="00035891">
        <w:rPr>
          <w:rFonts w:ascii="Arial" w:hAnsi="Arial" w:cs="Arial"/>
          <w:sz w:val="20"/>
          <w:szCs w:val="20"/>
        </w:rPr>
        <w:t xml:space="preserve"> not </w:t>
      </w:r>
      <w:r w:rsidR="00EF7A5A">
        <w:rPr>
          <w:rFonts w:ascii="Arial" w:hAnsi="Arial" w:cs="Arial"/>
          <w:sz w:val="20"/>
          <w:szCs w:val="20"/>
        </w:rPr>
        <w:t xml:space="preserve">be </w:t>
      </w:r>
      <w:r w:rsidR="00467007" w:rsidRPr="00035891">
        <w:rPr>
          <w:rFonts w:ascii="Arial" w:hAnsi="Arial" w:cs="Arial"/>
          <w:sz w:val="20"/>
          <w:szCs w:val="20"/>
        </w:rPr>
        <w:t>permitted.</w:t>
      </w:r>
    </w:p>
    <w:p w:rsidR="00EF7A5A" w:rsidRDefault="00EF7A5A" w:rsidP="00467007">
      <w:pPr>
        <w:snapToGrid w:val="0"/>
        <w:spacing w:after="0" w:line="240" w:lineRule="auto"/>
        <w:ind w:left="360"/>
        <w:jc w:val="both"/>
        <w:rPr>
          <w:rFonts w:ascii="Arial" w:hAnsi="Arial" w:cs="Arial"/>
          <w:sz w:val="20"/>
          <w:szCs w:val="20"/>
        </w:rPr>
      </w:pPr>
    </w:p>
    <w:p w:rsidR="00EF7A5A" w:rsidRDefault="00EF7A5A" w:rsidP="005B4C7E">
      <w:pPr>
        <w:snapToGrid w:val="0"/>
        <w:spacing w:after="0" w:line="240" w:lineRule="auto"/>
        <w:jc w:val="both"/>
        <w:rPr>
          <w:rFonts w:ascii="Arial" w:hAnsi="Arial" w:cs="Arial"/>
          <w:b/>
          <w:sz w:val="20"/>
          <w:szCs w:val="20"/>
        </w:rPr>
      </w:pPr>
      <w:r>
        <w:rPr>
          <w:rFonts w:ascii="Arial" w:hAnsi="Arial" w:cs="Arial"/>
          <w:b/>
          <w:sz w:val="20"/>
          <w:szCs w:val="20"/>
        </w:rPr>
        <w:t>Types of VA Allowed to be Offered for VA OTC Trading</w:t>
      </w:r>
    </w:p>
    <w:p w:rsidR="00EF7A5A" w:rsidRDefault="00EF7A5A" w:rsidP="00467007">
      <w:pPr>
        <w:snapToGrid w:val="0"/>
        <w:spacing w:after="0" w:line="240" w:lineRule="auto"/>
        <w:ind w:left="360"/>
        <w:jc w:val="both"/>
        <w:rPr>
          <w:rFonts w:ascii="Arial" w:hAnsi="Arial" w:cs="Arial"/>
          <w:b/>
          <w:sz w:val="20"/>
          <w:szCs w:val="20"/>
        </w:rPr>
      </w:pPr>
    </w:p>
    <w:p w:rsidR="003103B9" w:rsidRDefault="00EF7A5A" w:rsidP="005B4C7E">
      <w:pPr>
        <w:snapToGrid w:val="0"/>
        <w:spacing w:after="0" w:line="240" w:lineRule="auto"/>
        <w:jc w:val="both"/>
        <w:rPr>
          <w:rFonts w:ascii="Arial" w:hAnsi="Arial" w:cs="Arial"/>
          <w:sz w:val="20"/>
          <w:szCs w:val="20"/>
        </w:rPr>
      </w:pPr>
      <w:r>
        <w:rPr>
          <w:rFonts w:ascii="Arial" w:hAnsi="Arial" w:cs="Arial"/>
          <w:sz w:val="20"/>
          <w:szCs w:val="20"/>
        </w:rPr>
        <w:t xml:space="preserve">VA OTC licensees will only be allowed to offer </w:t>
      </w:r>
      <w:r w:rsidR="003103B9">
        <w:rPr>
          <w:rFonts w:ascii="Arial" w:hAnsi="Arial" w:cs="Arial"/>
          <w:sz w:val="20"/>
          <w:szCs w:val="20"/>
        </w:rPr>
        <w:t xml:space="preserve">spot </w:t>
      </w:r>
      <w:r>
        <w:rPr>
          <w:rFonts w:ascii="Arial" w:hAnsi="Arial" w:cs="Arial"/>
          <w:sz w:val="20"/>
          <w:szCs w:val="20"/>
        </w:rPr>
        <w:t>trading in</w:t>
      </w:r>
      <w:r w:rsidR="003103B9">
        <w:rPr>
          <w:rFonts w:ascii="Arial" w:hAnsi="Arial" w:cs="Arial"/>
          <w:sz w:val="20"/>
          <w:szCs w:val="20"/>
        </w:rPr>
        <w:t>:</w:t>
      </w:r>
    </w:p>
    <w:p w:rsidR="003103B9" w:rsidRDefault="003103B9" w:rsidP="005B4C7E">
      <w:pPr>
        <w:snapToGrid w:val="0"/>
        <w:spacing w:after="0" w:line="240" w:lineRule="auto"/>
        <w:jc w:val="both"/>
        <w:rPr>
          <w:rFonts w:ascii="Arial" w:hAnsi="Arial" w:cs="Arial"/>
          <w:sz w:val="20"/>
          <w:szCs w:val="20"/>
        </w:rPr>
      </w:pPr>
    </w:p>
    <w:p w:rsidR="003103B9" w:rsidRDefault="00EF7A5A" w:rsidP="003103B9">
      <w:pPr>
        <w:pStyle w:val="a4"/>
        <w:numPr>
          <w:ilvl w:val="0"/>
          <w:numId w:val="31"/>
        </w:numPr>
        <w:snapToGrid w:val="0"/>
        <w:spacing w:after="0" w:line="240" w:lineRule="auto"/>
        <w:jc w:val="both"/>
        <w:rPr>
          <w:rFonts w:ascii="Arial" w:hAnsi="Arial" w:cs="Arial"/>
          <w:sz w:val="20"/>
          <w:szCs w:val="20"/>
        </w:rPr>
      </w:pPr>
      <w:r w:rsidRPr="003103B9">
        <w:rPr>
          <w:rFonts w:ascii="Arial" w:hAnsi="Arial" w:cs="Arial"/>
          <w:sz w:val="20"/>
          <w:szCs w:val="20"/>
        </w:rPr>
        <w:t>VA that can be traded by retail investors on at least one SFC-licensed VA</w:t>
      </w:r>
      <w:r w:rsidR="003103B9">
        <w:rPr>
          <w:rFonts w:ascii="Arial" w:hAnsi="Arial" w:cs="Arial"/>
          <w:sz w:val="20"/>
          <w:szCs w:val="20"/>
        </w:rPr>
        <w:t>TP; and</w:t>
      </w:r>
    </w:p>
    <w:p w:rsidR="00B35042" w:rsidRDefault="00B35042" w:rsidP="00B35042">
      <w:pPr>
        <w:pStyle w:val="a4"/>
        <w:snapToGrid w:val="0"/>
        <w:spacing w:after="0" w:line="240" w:lineRule="auto"/>
        <w:ind w:left="776"/>
        <w:jc w:val="both"/>
        <w:rPr>
          <w:rFonts w:ascii="Arial" w:hAnsi="Arial" w:cs="Arial"/>
          <w:sz w:val="20"/>
          <w:szCs w:val="20"/>
        </w:rPr>
      </w:pPr>
    </w:p>
    <w:p w:rsidR="00EF7A5A" w:rsidRPr="003103B9" w:rsidRDefault="00B35042" w:rsidP="003103B9">
      <w:pPr>
        <w:pStyle w:val="a4"/>
        <w:numPr>
          <w:ilvl w:val="0"/>
          <w:numId w:val="31"/>
        </w:numPr>
        <w:snapToGrid w:val="0"/>
        <w:spacing w:after="0" w:line="240" w:lineRule="auto"/>
        <w:jc w:val="both"/>
        <w:rPr>
          <w:rFonts w:ascii="Arial" w:hAnsi="Arial" w:cs="Arial"/>
          <w:sz w:val="20"/>
          <w:szCs w:val="20"/>
        </w:rPr>
      </w:pPr>
      <w:r>
        <w:rPr>
          <w:rFonts w:ascii="Arial" w:hAnsi="Arial" w:cs="Arial"/>
          <w:sz w:val="20"/>
          <w:szCs w:val="20"/>
        </w:rPr>
        <w:t>Stablecoins issued by issuers licensed by the Hong Kong Monetary Authority.</w:t>
      </w:r>
      <w:r w:rsidR="000D2FD1" w:rsidRPr="003103B9">
        <w:rPr>
          <w:rFonts w:ascii="Arial" w:hAnsi="Arial" w:cs="Arial"/>
          <w:sz w:val="20"/>
          <w:szCs w:val="20"/>
        </w:rPr>
        <w:t xml:space="preserve"> </w:t>
      </w:r>
    </w:p>
    <w:p w:rsidR="005B4C7E" w:rsidRDefault="005B4C7E" w:rsidP="00467007">
      <w:pPr>
        <w:snapToGrid w:val="0"/>
        <w:spacing w:after="0" w:line="240" w:lineRule="auto"/>
        <w:ind w:left="360"/>
        <w:jc w:val="both"/>
        <w:rPr>
          <w:rFonts w:ascii="Arial" w:hAnsi="Arial" w:cs="Arial"/>
          <w:sz w:val="20"/>
          <w:szCs w:val="20"/>
        </w:rPr>
      </w:pPr>
    </w:p>
    <w:p w:rsidR="00B35042" w:rsidRDefault="005B4C7E" w:rsidP="005B4C7E">
      <w:pPr>
        <w:pStyle w:val="af6"/>
        <w:shd w:val="clear" w:color="auto" w:fill="FFFFFF"/>
        <w:spacing w:before="0" w:beforeAutospacing="0" w:after="0" w:afterAutospacing="0" w:line="300" w:lineRule="atLeast"/>
        <w:jc w:val="both"/>
        <w:textAlignment w:val="baseline"/>
        <w:rPr>
          <w:rFonts w:ascii="Arial" w:hAnsi="Arial" w:cs="Arial"/>
          <w:sz w:val="20"/>
          <w:szCs w:val="20"/>
        </w:rPr>
      </w:pPr>
      <w:r>
        <w:rPr>
          <w:rFonts w:ascii="Arial" w:hAnsi="Arial" w:cs="Arial"/>
          <w:sz w:val="20"/>
          <w:szCs w:val="20"/>
        </w:rPr>
        <w:t xml:space="preserve">This will restrict considerably the types of VA that </w:t>
      </w:r>
      <w:r w:rsidR="00B35042">
        <w:rPr>
          <w:rFonts w:ascii="Arial" w:hAnsi="Arial" w:cs="Arial"/>
          <w:sz w:val="20"/>
          <w:szCs w:val="20"/>
        </w:rPr>
        <w:t>can be the subject of VA OTC li</w:t>
      </w:r>
      <w:r>
        <w:rPr>
          <w:rFonts w:ascii="Arial" w:hAnsi="Arial" w:cs="Arial"/>
          <w:sz w:val="20"/>
          <w:szCs w:val="20"/>
        </w:rPr>
        <w:t>c</w:t>
      </w:r>
      <w:r w:rsidR="00B35042">
        <w:rPr>
          <w:rFonts w:ascii="Arial" w:hAnsi="Arial" w:cs="Arial"/>
          <w:sz w:val="20"/>
          <w:szCs w:val="20"/>
        </w:rPr>
        <w:t xml:space="preserve">ensees’ spot trading.  </w:t>
      </w:r>
    </w:p>
    <w:p w:rsidR="00B35042" w:rsidRDefault="00B35042" w:rsidP="005B4C7E">
      <w:pPr>
        <w:pStyle w:val="af6"/>
        <w:shd w:val="clear" w:color="auto" w:fill="FFFFFF"/>
        <w:spacing w:before="0" w:beforeAutospacing="0" w:after="0" w:afterAutospacing="0" w:line="300" w:lineRule="atLeast"/>
        <w:jc w:val="both"/>
        <w:textAlignment w:val="baseline"/>
        <w:rPr>
          <w:rFonts w:ascii="Arial" w:hAnsi="Arial" w:cs="Arial"/>
          <w:sz w:val="20"/>
          <w:szCs w:val="20"/>
        </w:rPr>
      </w:pPr>
    </w:p>
    <w:p w:rsidR="005B4C7E" w:rsidRPr="005B4C7E" w:rsidRDefault="005B4C7E" w:rsidP="005B4C7E">
      <w:pPr>
        <w:pStyle w:val="af6"/>
        <w:shd w:val="clear" w:color="auto" w:fill="FFFFFF"/>
        <w:spacing w:before="0" w:beforeAutospacing="0" w:after="0" w:afterAutospacing="0" w:line="300" w:lineRule="atLeast"/>
        <w:jc w:val="both"/>
        <w:textAlignment w:val="baseline"/>
        <w:rPr>
          <w:rFonts w:ascii="Arial" w:hAnsi="Arial" w:cs="Arial"/>
          <w:sz w:val="20"/>
          <w:szCs w:val="20"/>
        </w:rPr>
      </w:pPr>
      <w:r>
        <w:rPr>
          <w:rFonts w:ascii="Arial" w:hAnsi="Arial" w:cs="Arial"/>
          <w:sz w:val="20"/>
          <w:szCs w:val="20"/>
        </w:rPr>
        <w:t xml:space="preserve">Under the </w:t>
      </w:r>
      <w:r w:rsidR="00B35042">
        <w:rPr>
          <w:rFonts w:ascii="Arial" w:hAnsi="Arial" w:cs="Arial"/>
          <w:sz w:val="20"/>
          <w:szCs w:val="20"/>
        </w:rPr>
        <w:t xml:space="preserve">SFC’s </w:t>
      </w:r>
      <w:r>
        <w:rPr>
          <w:rFonts w:ascii="Arial" w:hAnsi="Arial" w:cs="Arial"/>
          <w:sz w:val="20"/>
          <w:szCs w:val="20"/>
        </w:rPr>
        <w:t xml:space="preserve">VATP Guidelines, licensed VATP operators can only offer </w:t>
      </w:r>
      <w:r w:rsidR="00B35042">
        <w:rPr>
          <w:rFonts w:ascii="Arial" w:hAnsi="Arial" w:cs="Arial"/>
          <w:sz w:val="20"/>
          <w:szCs w:val="20"/>
        </w:rPr>
        <w:t xml:space="preserve">retail </w:t>
      </w:r>
      <w:r>
        <w:rPr>
          <w:rFonts w:ascii="Arial" w:hAnsi="Arial" w:cs="Arial"/>
          <w:sz w:val="20"/>
          <w:szCs w:val="20"/>
        </w:rPr>
        <w:t>trading in VA that are</w:t>
      </w:r>
      <w:r w:rsidRPr="005B4C7E">
        <w:rPr>
          <w:rFonts w:ascii="Arial" w:hAnsi="Arial" w:cs="Arial"/>
          <w:sz w:val="20"/>
          <w:szCs w:val="20"/>
        </w:rPr>
        <w:t xml:space="preserve"> “highly liquid”.</w:t>
      </w:r>
      <w:r>
        <w:rPr>
          <w:rStyle w:val="a7"/>
          <w:rFonts w:ascii="Arial" w:hAnsi="Arial" w:cs="Arial"/>
          <w:sz w:val="20"/>
          <w:szCs w:val="20"/>
        </w:rPr>
        <w:footnoteReference w:id="4"/>
      </w:r>
      <w:r w:rsidRPr="005B4C7E">
        <w:rPr>
          <w:rFonts w:ascii="Arial" w:hAnsi="Arial" w:cs="Arial"/>
          <w:sz w:val="20"/>
          <w:szCs w:val="20"/>
        </w:rPr>
        <w:t xml:space="preserve"> For a virtual asset to be considered “highly liquid”, it must be an “eligible large-cap virtual asset”, </w:t>
      </w:r>
      <w:r w:rsidR="003103B9">
        <w:rPr>
          <w:rFonts w:ascii="Arial" w:hAnsi="Arial" w:cs="Arial"/>
          <w:sz w:val="20"/>
          <w:szCs w:val="20"/>
        </w:rPr>
        <w:t xml:space="preserve">which is defined </w:t>
      </w:r>
      <w:r w:rsidR="00B35042">
        <w:rPr>
          <w:rFonts w:ascii="Arial" w:hAnsi="Arial" w:cs="Arial"/>
          <w:sz w:val="20"/>
          <w:szCs w:val="20"/>
        </w:rPr>
        <w:t xml:space="preserve">as </w:t>
      </w:r>
      <w:r w:rsidRPr="005B4C7E">
        <w:rPr>
          <w:rFonts w:ascii="Arial" w:hAnsi="Arial" w:cs="Arial"/>
          <w:sz w:val="20"/>
          <w:szCs w:val="20"/>
        </w:rPr>
        <w:t xml:space="preserve">a virtual asset that is included in a minimum of two acceptable indices issued by at least two independent index providers. An “acceptable index” is an index with a clearly defined objective to measure the performance of the largest virtual assets in the global market (for example, an index which measures the top 10 largest virtual assets) which is: (i) investible, meaning that the constituent virtual assets should be sufficiently liquid; and (ii) objectively calculated and rules-based. </w:t>
      </w:r>
      <w:r w:rsidR="003103B9">
        <w:rPr>
          <w:rFonts w:ascii="Arial" w:hAnsi="Arial" w:cs="Arial"/>
          <w:sz w:val="20"/>
          <w:szCs w:val="20"/>
        </w:rPr>
        <w:t>In practice, only the very largest VA, such as Bitcoin and Ethereum meet the definition.</w:t>
      </w:r>
    </w:p>
    <w:p w:rsidR="005B4C7E" w:rsidRDefault="005B4C7E" w:rsidP="005B4C7E">
      <w:pPr>
        <w:pStyle w:val="af6"/>
        <w:shd w:val="clear" w:color="auto" w:fill="FFFFFF"/>
        <w:spacing w:before="0" w:beforeAutospacing="0" w:after="0" w:afterAutospacing="0" w:line="300" w:lineRule="atLeast"/>
        <w:jc w:val="both"/>
        <w:textAlignment w:val="baseline"/>
        <w:rPr>
          <w:rFonts w:ascii="Arial" w:hAnsi="Arial" w:cs="Arial"/>
          <w:sz w:val="20"/>
          <w:szCs w:val="20"/>
        </w:rPr>
      </w:pPr>
    </w:p>
    <w:p w:rsidR="00B35042" w:rsidRPr="005B4C7E" w:rsidRDefault="00B35042" w:rsidP="005B4C7E">
      <w:pPr>
        <w:pStyle w:val="af6"/>
        <w:shd w:val="clear" w:color="auto" w:fill="FFFFFF"/>
        <w:spacing w:before="0" w:beforeAutospacing="0" w:after="0" w:afterAutospacing="0" w:line="300" w:lineRule="atLeast"/>
        <w:jc w:val="both"/>
        <w:textAlignment w:val="baseline"/>
        <w:rPr>
          <w:rFonts w:ascii="Arial" w:hAnsi="Arial" w:cs="Arial"/>
          <w:sz w:val="20"/>
          <w:szCs w:val="20"/>
        </w:rPr>
      </w:pPr>
      <w:r>
        <w:rPr>
          <w:rFonts w:ascii="Arial" w:hAnsi="Arial" w:cs="Arial"/>
          <w:sz w:val="20"/>
          <w:szCs w:val="20"/>
        </w:rPr>
        <w:t xml:space="preserve">The FSTB is currently consulting on a proposed licensing regime for issuers of fiat-referenced stablecoins. The proposed licensing regime will not </w:t>
      </w:r>
      <w:r w:rsidR="00DC0AD4">
        <w:rPr>
          <w:rFonts w:ascii="Arial" w:hAnsi="Arial" w:cs="Arial"/>
          <w:sz w:val="20"/>
          <w:szCs w:val="20"/>
        </w:rPr>
        <w:t xml:space="preserve">apply to issuers of stablecoins referencing other assets (e.g. gold). Nor will it apply to algorithmic stablecoins which will not satisfy the requirement that the stablecoins are fully backed by reserve assets. </w:t>
      </w:r>
    </w:p>
    <w:p w:rsidR="005B4C7E" w:rsidRPr="005B4C7E" w:rsidRDefault="005B4C7E" w:rsidP="00467007">
      <w:pPr>
        <w:snapToGrid w:val="0"/>
        <w:spacing w:after="0" w:line="240" w:lineRule="auto"/>
        <w:ind w:left="360"/>
        <w:jc w:val="both"/>
        <w:rPr>
          <w:rFonts w:ascii="Arial" w:eastAsia="Times New Roman" w:hAnsi="Arial" w:cs="Arial"/>
          <w:sz w:val="20"/>
          <w:szCs w:val="20"/>
        </w:rPr>
      </w:pPr>
    </w:p>
    <w:p w:rsidR="00DC0AD4" w:rsidRDefault="00DC0AD4" w:rsidP="00DC0AD4">
      <w:pPr>
        <w:snapToGrid w:val="0"/>
        <w:spacing w:after="0" w:line="240" w:lineRule="auto"/>
        <w:jc w:val="both"/>
        <w:rPr>
          <w:rFonts w:ascii="Arial" w:hAnsi="Arial" w:cs="Arial"/>
          <w:b/>
          <w:sz w:val="20"/>
          <w:szCs w:val="20"/>
        </w:rPr>
      </w:pPr>
      <w:r w:rsidRPr="00DC0AD4">
        <w:rPr>
          <w:rFonts w:ascii="Arial" w:hAnsi="Arial" w:cs="Arial"/>
          <w:b/>
          <w:sz w:val="20"/>
          <w:szCs w:val="20"/>
        </w:rPr>
        <w:t>Proposed Requirements for VA OTC Licensees</w:t>
      </w:r>
    </w:p>
    <w:p w:rsidR="00DC0AD4" w:rsidRDefault="00DC0AD4" w:rsidP="00DC0AD4">
      <w:pPr>
        <w:snapToGrid w:val="0"/>
        <w:spacing w:after="0" w:line="240" w:lineRule="auto"/>
        <w:jc w:val="both"/>
        <w:rPr>
          <w:rFonts w:ascii="Arial" w:hAnsi="Arial" w:cs="Arial"/>
          <w:b/>
          <w:sz w:val="20"/>
          <w:szCs w:val="20"/>
        </w:rPr>
      </w:pPr>
    </w:p>
    <w:p w:rsidR="00467007" w:rsidRPr="00DC0AD4" w:rsidRDefault="00DC0AD4" w:rsidP="00DC0AD4">
      <w:pPr>
        <w:snapToGrid w:val="0"/>
        <w:spacing w:after="0" w:line="240" w:lineRule="auto"/>
        <w:jc w:val="both"/>
        <w:rPr>
          <w:rFonts w:ascii="Arial" w:hAnsi="Arial" w:cs="Arial"/>
          <w:b/>
          <w:sz w:val="20"/>
          <w:szCs w:val="20"/>
        </w:rPr>
      </w:pPr>
      <w:r w:rsidRPr="00DC0AD4">
        <w:rPr>
          <w:rFonts w:ascii="Arial" w:hAnsi="Arial" w:cs="Arial"/>
          <w:sz w:val="20"/>
          <w:szCs w:val="20"/>
        </w:rPr>
        <w:t>T</w:t>
      </w:r>
      <w:r w:rsidR="009C4223" w:rsidRPr="00035891">
        <w:rPr>
          <w:rFonts w:ascii="Arial" w:hAnsi="Arial" w:cs="Arial"/>
          <w:sz w:val="20"/>
          <w:szCs w:val="20"/>
        </w:rPr>
        <w:t xml:space="preserve">he proposed regime </w:t>
      </w:r>
      <w:r w:rsidR="00EF7A5A">
        <w:rPr>
          <w:rFonts w:ascii="Arial" w:hAnsi="Arial" w:cs="Arial"/>
          <w:sz w:val="20"/>
          <w:szCs w:val="20"/>
        </w:rPr>
        <w:t>will require</w:t>
      </w:r>
      <w:r w:rsidR="009C4223" w:rsidRPr="00035891">
        <w:rPr>
          <w:rFonts w:ascii="Arial" w:hAnsi="Arial" w:cs="Arial"/>
          <w:sz w:val="20"/>
          <w:szCs w:val="20"/>
        </w:rPr>
        <w:t xml:space="preserve"> </w:t>
      </w:r>
      <w:r w:rsidR="00FE1C7B" w:rsidRPr="00035891">
        <w:rPr>
          <w:rFonts w:ascii="Arial" w:hAnsi="Arial" w:cs="Arial"/>
          <w:sz w:val="20"/>
          <w:szCs w:val="20"/>
        </w:rPr>
        <w:t>an</w:t>
      </w:r>
      <w:r w:rsidR="009C4223" w:rsidRPr="00035891">
        <w:rPr>
          <w:rFonts w:ascii="Arial" w:hAnsi="Arial" w:cs="Arial"/>
          <w:sz w:val="20"/>
          <w:szCs w:val="20"/>
        </w:rPr>
        <w:t xml:space="preserve"> </w:t>
      </w:r>
      <w:r w:rsidR="00FE1C7B" w:rsidRPr="00035891">
        <w:rPr>
          <w:rFonts w:ascii="Arial" w:hAnsi="Arial" w:cs="Arial"/>
          <w:sz w:val="20"/>
          <w:szCs w:val="20"/>
        </w:rPr>
        <w:t>OTC licensee</w:t>
      </w:r>
      <w:r w:rsidR="00EF7A5A">
        <w:rPr>
          <w:rFonts w:ascii="Arial" w:hAnsi="Arial" w:cs="Arial"/>
          <w:sz w:val="20"/>
          <w:szCs w:val="20"/>
        </w:rPr>
        <w:t xml:space="preserve"> to</w:t>
      </w:r>
      <w:r w:rsidR="009C4223" w:rsidRPr="00035891">
        <w:rPr>
          <w:rFonts w:ascii="Arial" w:hAnsi="Arial" w:cs="Arial"/>
          <w:sz w:val="20"/>
          <w:szCs w:val="20"/>
        </w:rPr>
        <w:t>:</w:t>
      </w:r>
    </w:p>
    <w:p w:rsidR="009C4223" w:rsidRPr="00035891" w:rsidRDefault="009C4223" w:rsidP="00467007">
      <w:pPr>
        <w:snapToGrid w:val="0"/>
        <w:spacing w:after="0" w:line="240" w:lineRule="auto"/>
        <w:ind w:left="360"/>
        <w:jc w:val="both"/>
        <w:rPr>
          <w:rFonts w:ascii="Arial" w:hAnsi="Arial" w:cs="Arial"/>
          <w:sz w:val="20"/>
          <w:szCs w:val="20"/>
        </w:rPr>
      </w:pPr>
    </w:p>
    <w:p w:rsidR="009C4223" w:rsidRDefault="009C4223" w:rsidP="00DC0AD4">
      <w:pPr>
        <w:pStyle w:val="a4"/>
        <w:numPr>
          <w:ilvl w:val="0"/>
          <w:numId w:val="31"/>
        </w:numPr>
        <w:snapToGrid w:val="0"/>
        <w:spacing w:after="0" w:line="240" w:lineRule="auto"/>
        <w:jc w:val="both"/>
        <w:rPr>
          <w:rFonts w:ascii="Arial" w:hAnsi="Arial" w:cs="Arial"/>
          <w:sz w:val="20"/>
          <w:szCs w:val="20"/>
        </w:rPr>
      </w:pPr>
      <w:r w:rsidRPr="00035891">
        <w:rPr>
          <w:rFonts w:ascii="Arial" w:hAnsi="Arial" w:cs="Arial"/>
          <w:sz w:val="20"/>
          <w:szCs w:val="20"/>
        </w:rPr>
        <w:t>observe the AML/CTF requirements set out in Schedule 2 to the AMLO;</w:t>
      </w:r>
    </w:p>
    <w:p w:rsidR="00ED2E35" w:rsidRPr="00035891" w:rsidRDefault="00ED2E35" w:rsidP="00DC0AD4">
      <w:pPr>
        <w:pStyle w:val="a4"/>
        <w:snapToGrid w:val="0"/>
        <w:spacing w:after="0" w:line="240" w:lineRule="auto"/>
        <w:ind w:left="776"/>
        <w:jc w:val="both"/>
        <w:rPr>
          <w:rFonts w:ascii="Arial" w:hAnsi="Arial" w:cs="Arial"/>
          <w:sz w:val="20"/>
          <w:szCs w:val="20"/>
        </w:rPr>
      </w:pPr>
    </w:p>
    <w:p w:rsidR="009C4223" w:rsidRDefault="009C4223" w:rsidP="00DC0AD4">
      <w:pPr>
        <w:pStyle w:val="a4"/>
        <w:numPr>
          <w:ilvl w:val="0"/>
          <w:numId w:val="31"/>
        </w:numPr>
        <w:snapToGrid w:val="0"/>
        <w:spacing w:after="0" w:line="240" w:lineRule="auto"/>
        <w:jc w:val="both"/>
        <w:rPr>
          <w:rFonts w:ascii="Arial" w:hAnsi="Arial" w:cs="Arial"/>
          <w:sz w:val="20"/>
          <w:szCs w:val="20"/>
        </w:rPr>
      </w:pPr>
      <w:r w:rsidRPr="00035891">
        <w:rPr>
          <w:rFonts w:ascii="Arial" w:hAnsi="Arial" w:cs="Arial"/>
          <w:sz w:val="20"/>
          <w:szCs w:val="20"/>
        </w:rPr>
        <w:t>appoint</w:t>
      </w:r>
      <w:r w:rsidR="00C21F78" w:rsidRPr="00035891">
        <w:rPr>
          <w:rFonts w:ascii="Arial" w:hAnsi="Arial" w:cs="Arial"/>
          <w:sz w:val="20"/>
          <w:szCs w:val="20"/>
        </w:rPr>
        <w:t xml:space="preserve"> a competent Compliance Officer and a Money Laundering Reporting Officer;</w:t>
      </w:r>
    </w:p>
    <w:p w:rsidR="00ED2E35" w:rsidRPr="00ED2E35" w:rsidRDefault="00ED2E35" w:rsidP="00DC0AD4">
      <w:pPr>
        <w:pStyle w:val="a4"/>
        <w:snapToGrid w:val="0"/>
        <w:spacing w:after="0" w:line="240" w:lineRule="auto"/>
        <w:ind w:left="776"/>
        <w:jc w:val="both"/>
        <w:rPr>
          <w:rFonts w:ascii="Arial" w:hAnsi="Arial" w:cs="Arial"/>
          <w:sz w:val="20"/>
          <w:szCs w:val="20"/>
        </w:rPr>
      </w:pPr>
    </w:p>
    <w:p w:rsidR="00C21F78" w:rsidRDefault="00C21F78" w:rsidP="00DC0AD4">
      <w:pPr>
        <w:pStyle w:val="a4"/>
        <w:numPr>
          <w:ilvl w:val="0"/>
          <w:numId w:val="31"/>
        </w:numPr>
        <w:snapToGrid w:val="0"/>
        <w:spacing w:after="0" w:line="240" w:lineRule="auto"/>
        <w:jc w:val="both"/>
        <w:rPr>
          <w:rFonts w:ascii="Arial" w:hAnsi="Arial" w:cs="Arial"/>
          <w:sz w:val="20"/>
          <w:szCs w:val="20"/>
        </w:rPr>
      </w:pPr>
      <w:r w:rsidRPr="00035891">
        <w:rPr>
          <w:rFonts w:ascii="Arial" w:hAnsi="Arial" w:cs="Arial"/>
          <w:sz w:val="20"/>
          <w:szCs w:val="20"/>
        </w:rPr>
        <w:t>have a proper corporate governance structure;</w:t>
      </w:r>
    </w:p>
    <w:p w:rsidR="00ED2E35" w:rsidRPr="00ED2E35" w:rsidRDefault="00ED2E35" w:rsidP="00DC0AD4">
      <w:pPr>
        <w:pStyle w:val="a4"/>
        <w:snapToGrid w:val="0"/>
        <w:spacing w:after="0" w:line="240" w:lineRule="auto"/>
        <w:ind w:left="776"/>
        <w:jc w:val="both"/>
        <w:rPr>
          <w:rFonts w:ascii="Arial" w:hAnsi="Arial" w:cs="Arial"/>
          <w:sz w:val="20"/>
          <w:szCs w:val="20"/>
        </w:rPr>
      </w:pPr>
    </w:p>
    <w:p w:rsidR="00C21F78" w:rsidRDefault="00C21F78" w:rsidP="00DC0AD4">
      <w:pPr>
        <w:pStyle w:val="a4"/>
        <w:numPr>
          <w:ilvl w:val="0"/>
          <w:numId w:val="31"/>
        </w:numPr>
        <w:snapToGrid w:val="0"/>
        <w:spacing w:after="0" w:line="240" w:lineRule="auto"/>
        <w:jc w:val="both"/>
        <w:rPr>
          <w:rFonts w:ascii="Arial" w:hAnsi="Arial" w:cs="Arial"/>
          <w:sz w:val="20"/>
          <w:szCs w:val="20"/>
        </w:rPr>
      </w:pPr>
      <w:r w:rsidRPr="00035891">
        <w:rPr>
          <w:rFonts w:ascii="Arial" w:hAnsi="Arial" w:cs="Arial"/>
          <w:sz w:val="20"/>
          <w:szCs w:val="20"/>
        </w:rPr>
        <w:t>operate its business in a prudent and sound manner;</w:t>
      </w:r>
    </w:p>
    <w:p w:rsidR="00ED2E35" w:rsidRPr="00ED2E35" w:rsidRDefault="00ED2E35" w:rsidP="00DC0AD4">
      <w:pPr>
        <w:pStyle w:val="a4"/>
        <w:snapToGrid w:val="0"/>
        <w:spacing w:after="0" w:line="240" w:lineRule="auto"/>
        <w:ind w:left="776"/>
        <w:jc w:val="both"/>
        <w:rPr>
          <w:rFonts w:ascii="Arial" w:hAnsi="Arial" w:cs="Arial"/>
          <w:sz w:val="20"/>
          <w:szCs w:val="20"/>
        </w:rPr>
      </w:pPr>
    </w:p>
    <w:p w:rsidR="00C21F78" w:rsidRDefault="00C21F78" w:rsidP="00DC0AD4">
      <w:pPr>
        <w:pStyle w:val="a4"/>
        <w:numPr>
          <w:ilvl w:val="0"/>
          <w:numId w:val="31"/>
        </w:numPr>
        <w:snapToGrid w:val="0"/>
        <w:spacing w:after="0" w:line="240" w:lineRule="auto"/>
        <w:jc w:val="both"/>
        <w:rPr>
          <w:rFonts w:ascii="Arial" w:hAnsi="Arial" w:cs="Arial"/>
          <w:sz w:val="20"/>
          <w:szCs w:val="20"/>
        </w:rPr>
      </w:pPr>
      <w:r w:rsidRPr="00035891">
        <w:rPr>
          <w:rFonts w:ascii="Arial" w:hAnsi="Arial" w:cs="Arial"/>
          <w:sz w:val="20"/>
          <w:szCs w:val="20"/>
        </w:rPr>
        <w:t xml:space="preserve">act honestly, fairly, with due skill, care and diligence and in the best interest of its clients and the </w:t>
      </w:r>
      <w:r w:rsidR="00FE1C7B" w:rsidRPr="00035891">
        <w:rPr>
          <w:rFonts w:ascii="Arial" w:hAnsi="Arial" w:cs="Arial"/>
          <w:sz w:val="20"/>
          <w:szCs w:val="20"/>
        </w:rPr>
        <w:t xml:space="preserve">integrity of the </w:t>
      </w:r>
      <w:r w:rsidRPr="00035891">
        <w:rPr>
          <w:rFonts w:ascii="Arial" w:hAnsi="Arial" w:cs="Arial"/>
          <w:sz w:val="20"/>
          <w:szCs w:val="20"/>
        </w:rPr>
        <w:t>market;</w:t>
      </w:r>
    </w:p>
    <w:p w:rsidR="00ED2E35" w:rsidRPr="00ED2E35" w:rsidRDefault="00ED2E35" w:rsidP="00DC0AD4">
      <w:pPr>
        <w:pStyle w:val="a4"/>
        <w:snapToGrid w:val="0"/>
        <w:spacing w:after="0" w:line="240" w:lineRule="auto"/>
        <w:ind w:left="776"/>
        <w:jc w:val="both"/>
        <w:rPr>
          <w:rFonts w:ascii="Arial" w:hAnsi="Arial" w:cs="Arial"/>
          <w:sz w:val="20"/>
          <w:szCs w:val="20"/>
        </w:rPr>
      </w:pPr>
    </w:p>
    <w:p w:rsidR="00C21F78" w:rsidRDefault="00FE1C7B" w:rsidP="00DC0AD4">
      <w:pPr>
        <w:pStyle w:val="a4"/>
        <w:numPr>
          <w:ilvl w:val="0"/>
          <w:numId w:val="31"/>
        </w:numPr>
        <w:snapToGrid w:val="0"/>
        <w:spacing w:after="0" w:line="240" w:lineRule="auto"/>
        <w:jc w:val="both"/>
        <w:rPr>
          <w:rFonts w:ascii="Arial" w:hAnsi="Arial" w:cs="Arial"/>
          <w:sz w:val="20"/>
          <w:szCs w:val="20"/>
        </w:rPr>
      </w:pPr>
      <w:r w:rsidRPr="00035891">
        <w:rPr>
          <w:rFonts w:ascii="Arial" w:hAnsi="Arial" w:cs="Arial"/>
          <w:sz w:val="20"/>
          <w:szCs w:val="20"/>
        </w:rPr>
        <w:t>have appropriate risk management policies</w:t>
      </w:r>
      <w:r w:rsidR="00DC0AD4">
        <w:rPr>
          <w:rFonts w:ascii="Arial" w:hAnsi="Arial" w:cs="Arial"/>
          <w:sz w:val="20"/>
          <w:szCs w:val="20"/>
        </w:rPr>
        <w:t xml:space="preserve"> and procedures to manage ML/TF,</w:t>
      </w:r>
      <w:r w:rsidRPr="00035891">
        <w:rPr>
          <w:rFonts w:ascii="Arial" w:hAnsi="Arial" w:cs="Arial"/>
          <w:sz w:val="20"/>
          <w:szCs w:val="20"/>
        </w:rPr>
        <w:t xml:space="preserve"> cybersecurity </w:t>
      </w:r>
      <w:r w:rsidR="00DC0AD4">
        <w:rPr>
          <w:rFonts w:ascii="Arial" w:hAnsi="Arial" w:cs="Arial"/>
          <w:sz w:val="20"/>
          <w:szCs w:val="20"/>
        </w:rPr>
        <w:t xml:space="preserve">and other </w:t>
      </w:r>
      <w:r w:rsidRPr="00035891">
        <w:rPr>
          <w:rFonts w:ascii="Arial" w:hAnsi="Arial" w:cs="Arial"/>
          <w:sz w:val="20"/>
          <w:szCs w:val="20"/>
        </w:rPr>
        <w:t>risk</w:t>
      </w:r>
      <w:r w:rsidR="00DC0AD4">
        <w:rPr>
          <w:rFonts w:ascii="Arial" w:hAnsi="Arial" w:cs="Arial"/>
          <w:sz w:val="20"/>
          <w:szCs w:val="20"/>
        </w:rPr>
        <w:t>s</w:t>
      </w:r>
      <w:r w:rsidRPr="00035891">
        <w:rPr>
          <w:rFonts w:ascii="Arial" w:hAnsi="Arial" w:cs="Arial"/>
          <w:sz w:val="20"/>
          <w:szCs w:val="20"/>
        </w:rPr>
        <w:t>; and</w:t>
      </w:r>
    </w:p>
    <w:p w:rsidR="00ED2E35" w:rsidRPr="00ED2E35" w:rsidRDefault="00ED2E35" w:rsidP="00DC0AD4">
      <w:pPr>
        <w:pStyle w:val="a4"/>
        <w:snapToGrid w:val="0"/>
        <w:spacing w:after="0" w:line="240" w:lineRule="auto"/>
        <w:ind w:left="776"/>
        <w:jc w:val="both"/>
        <w:rPr>
          <w:rFonts w:ascii="Arial" w:hAnsi="Arial" w:cs="Arial"/>
          <w:sz w:val="20"/>
          <w:szCs w:val="20"/>
        </w:rPr>
      </w:pPr>
    </w:p>
    <w:p w:rsidR="00FE1C7B" w:rsidRPr="00035891" w:rsidRDefault="00FE1C7B" w:rsidP="00DC0AD4">
      <w:pPr>
        <w:pStyle w:val="a4"/>
        <w:numPr>
          <w:ilvl w:val="0"/>
          <w:numId w:val="31"/>
        </w:numPr>
        <w:snapToGrid w:val="0"/>
        <w:spacing w:after="0" w:line="240" w:lineRule="auto"/>
        <w:jc w:val="both"/>
        <w:rPr>
          <w:rFonts w:ascii="Arial" w:hAnsi="Arial" w:cs="Arial"/>
          <w:sz w:val="20"/>
          <w:szCs w:val="20"/>
        </w:rPr>
      </w:pPr>
      <w:r w:rsidRPr="00035891">
        <w:rPr>
          <w:rFonts w:ascii="Arial" w:hAnsi="Arial" w:cs="Arial"/>
          <w:sz w:val="20"/>
          <w:szCs w:val="20"/>
        </w:rPr>
        <w:t xml:space="preserve">to </w:t>
      </w:r>
      <w:r w:rsidR="00DC0AD4">
        <w:rPr>
          <w:rFonts w:ascii="Arial" w:hAnsi="Arial" w:cs="Arial"/>
          <w:sz w:val="20"/>
          <w:szCs w:val="20"/>
        </w:rPr>
        <w:t xml:space="preserve">keep </w:t>
      </w:r>
      <w:r w:rsidRPr="00035891">
        <w:rPr>
          <w:rFonts w:ascii="Arial" w:hAnsi="Arial" w:cs="Arial"/>
          <w:sz w:val="20"/>
          <w:szCs w:val="20"/>
        </w:rPr>
        <w:t>record</w:t>
      </w:r>
      <w:r w:rsidR="00DC0AD4">
        <w:rPr>
          <w:rFonts w:ascii="Arial" w:hAnsi="Arial" w:cs="Arial"/>
          <w:sz w:val="20"/>
          <w:szCs w:val="20"/>
        </w:rPr>
        <w:t>s of transactions and fund flows</w:t>
      </w:r>
      <w:r w:rsidRPr="00035891">
        <w:rPr>
          <w:rFonts w:ascii="Arial" w:hAnsi="Arial" w:cs="Arial"/>
          <w:sz w:val="20"/>
          <w:szCs w:val="20"/>
        </w:rPr>
        <w:t>.</w:t>
      </w:r>
    </w:p>
    <w:p w:rsidR="00DC0AD4" w:rsidRDefault="00DC0AD4" w:rsidP="00DC0AD4">
      <w:pPr>
        <w:snapToGrid w:val="0"/>
        <w:spacing w:after="0" w:line="240" w:lineRule="auto"/>
        <w:jc w:val="both"/>
        <w:rPr>
          <w:rFonts w:ascii="Arial" w:hAnsi="Arial" w:cs="Arial"/>
          <w:sz w:val="20"/>
          <w:szCs w:val="20"/>
        </w:rPr>
      </w:pPr>
    </w:p>
    <w:p w:rsidR="00FE1C7B" w:rsidRPr="00DC0AD4" w:rsidRDefault="00FE1C7B" w:rsidP="00DC0AD4">
      <w:pPr>
        <w:snapToGrid w:val="0"/>
        <w:spacing w:after="0" w:line="240" w:lineRule="auto"/>
        <w:jc w:val="both"/>
        <w:rPr>
          <w:rFonts w:ascii="Arial" w:hAnsi="Arial" w:cs="Arial"/>
          <w:b/>
          <w:sz w:val="20"/>
          <w:szCs w:val="20"/>
        </w:rPr>
      </w:pPr>
      <w:r w:rsidRPr="00DC0AD4">
        <w:rPr>
          <w:rFonts w:ascii="Arial" w:hAnsi="Arial" w:cs="Arial"/>
          <w:b/>
          <w:sz w:val="20"/>
          <w:szCs w:val="20"/>
        </w:rPr>
        <w:t>Licensing period</w:t>
      </w:r>
      <w:r w:rsidR="00B62E54" w:rsidRPr="00DC0AD4">
        <w:rPr>
          <w:rFonts w:ascii="Arial" w:hAnsi="Arial" w:cs="Arial"/>
          <w:b/>
          <w:sz w:val="20"/>
          <w:szCs w:val="20"/>
        </w:rPr>
        <w:t xml:space="preserve"> </w:t>
      </w:r>
    </w:p>
    <w:p w:rsidR="00FE1C7B" w:rsidRPr="00035891" w:rsidRDefault="00FE1C7B" w:rsidP="00FE1C7B">
      <w:pPr>
        <w:snapToGrid w:val="0"/>
        <w:spacing w:after="0" w:line="240" w:lineRule="auto"/>
        <w:ind w:left="360"/>
        <w:jc w:val="both"/>
        <w:rPr>
          <w:rFonts w:ascii="Arial" w:hAnsi="Arial" w:cs="Arial"/>
          <w:sz w:val="20"/>
          <w:szCs w:val="20"/>
        </w:rPr>
      </w:pPr>
    </w:p>
    <w:p w:rsidR="00FE1C7B" w:rsidRPr="00035891" w:rsidRDefault="00FE1C7B" w:rsidP="0051127D">
      <w:pPr>
        <w:snapToGrid w:val="0"/>
        <w:spacing w:after="0" w:line="240" w:lineRule="auto"/>
        <w:ind w:left="360"/>
        <w:jc w:val="both"/>
        <w:rPr>
          <w:rFonts w:ascii="Arial" w:hAnsi="Arial" w:cs="Arial"/>
          <w:sz w:val="20"/>
          <w:szCs w:val="20"/>
        </w:rPr>
      </w:pPr>
      <w:r w:rsidRPr="00035891">
        <w:rPr>
          <w:rFonts w:ascii="Arial" w:hAnsi="Arial" w:cs="Arial"/>
          <w:sz w:val="20"/>
          <w:szCs w:val="20"/>
        </w:rPr>
        <w:lastRenderedPageBreak/>
        <w:t>To adjust for the ever changing VA market, the FSTB proposes an init</w:t>
      </w:r>
      <w:r w:rsidR="0051127D" w:rsidRPr="00035891">
        <w:rPr>
          <w:rFonts w:ascii="Arial" w:hAnsi="Arial" w:cs="Arial"/>
          <w:sz w:val="20"/>
          <w:szCs w:val="20"/>
        </w:rPr>
        <w:t>ial licen</w:t>
      </w:r>
      <w:r w:rsidR="008E2118">
        <w:rPr>
          <w:rFonts w:ascii="Arial" w:hAnsi="Arial" w:cs="Arial"/>
          <w:sz w:val="20"/>
          <w:szCs w:val="20"/>
        </w:rPr>
        <w:t>c</w:t>
      </w:r>
      <w:r w:rsidR="0051127D" w:rsidRPr="00035891">
        <w:rPr>
          <w:rFonts w:ascii="Arial" w:hAnsi="Arial" w:cs="Arial"/>
          <w:sz w:val="20"/>
          <w:szCs w:val="20"/>
        </w:rPr>
        <w:t xml:space="preserve">e period of two years, with the possibility of renewal for an additional two years upon application </w:t>
      </w:r>
      <w:r w:rsidR="00A521AE">
        <w:rPr>
          <w:rFonts w:ascii="Arial" w:hAnsi="Arial" w:cs="Arial"/>
          <w:sz w:val="20"/>
          <w:szCs w:val="20"/>
        </w:rPr>
        <w:t xml:space="preserve">to </w:t>
      </w:r>
      <w:r w:rsidR="0051127D" w:rsidRPr="00035891">
        <w:rPr>
          <w:rFonts w:ascii="Arial" w:hAnsi="Arial" w:cs="Arial"/>
          <w:sz w:val="20"/>
          <w:szCs w:val="20"/>
        </w:rPr>
        <w:t xml:space="preserve">and approval from the CCE. This </w:t>
      </w:r>
      <w:r w:rsidR="00A521AE">
        <w:rPr>
          <w:rFonts w:ascii="Arial" w:hAnsi="Arial" w:cs="Arial"/>
          <w:sz w:val="20"/>
          <w:szCs w:val="20"/>
        </w:rPr>
        <w:t>will enable</w:t>
      </w:r>
      <w:r w:rsidR="0051127D" w:rsidRPr="00035891">
        <w:rPr>
          <w:rFonts w:ascii="Arial" w:hAnsi="Arial" w:cs="Arial"/>
          <w:sz w:val="20"/>
          <w:szCs w:val="20"/>
        </w:rPr>
        <w:t xml:space="preserve"> the CCE to regularly </w:t>
      </w:r>
      <w:r w:rsidR="00B62E54" w:rsidRPr="00035891">
        <w:rPr>
          <w:rFonts w:ascii="Arial" w:hAnsi="Arial" w:cs="Arial"/>
          <w:sz w:val="20"/>
          <w:szCs w:val="20"/>
        </w:rPr>
        <w:t xml:space="preserve">monitor the licensee’s competence and its capacity to effectively conduct business.  </w:t>
      </w:r>
      <w:r w:rsidR="0051127D" w:rsidRPr="00035891">
        <w:rPr>
          <w:rFonts w:ascii="Arial" w:hAnsi="Arial" w:cs="Arial"/>
          <w:sz w:val="20"/>
          <w:szCs w:val="20"/>
        </w:rPr>
        <w:t xml:space="preserve"> </w:t>
      </w:r>
    </w:p>
    <w:p w:rsidR="00B62E54" w:rsidRDefault="00B62E54" w:rsidP="0051127D">
      <w:pPr>
        <w:snapToGrid w:val="0"/>
        <w:spacing w:after="0" w:line="240" w:lineRule="auto"/>
        <w:ind w:left="360"/>
        <w:jc w:val="both"/>
        <w:rPr>
          <w:rFonts w:ascii="Arial" w:hAnsi="Arial" w:cs="Arial"/>
          <w:sz w:val="20"/>
          <w:szCs w:val="20"/>
        </w:rPr>
      </w:pPr>
    </w:p>
    <w:p w:rsidR="00A521AE" w:rsidRDefault="00A521AE" w:rsidP="0051127D">
      <w:pPr>
        <w:snapToGrid w:val="0"/>
        <w:spacing w:after="0" w:line="240" w:lineRule="auto"/>
        <w:ind w:left="360"/>
        <w:jc w:val="both"/>
        <w:rPr>
          <w:rFonts w:ascii="Arial" w:hAnsi="Arial" w:cs="Arial"/>
          <w:b/>
          <w:sz w:val="20"/>
          <w:szCs w:val="20"/>
        </w:rPr>
      </w:pPr>
      <w:r>
        <w:rPr>
          <w:rFonts w:ascii="Arial" w:hAnsi="Arial" w:cs="Arial"/>
          <w:b/>
          <w:sz w:val="20"/>
          <w:szCs w:val="20"/>
        </w:rPr>
        <w:t>Transitional Period Options</w:t>
      </w:r>
    </w:p>
    <w:p w:rsidR="00A521AE" w:rsidRDefault="00A521AE" w:rsidP="0051127D">
      <w:pPr>
        <w:snapToGrid w:val="0"/>
        <w:spacing w:after="0" w:line="240" w:lineRule="auto"/>
        <w:ind w:left="360"/>
        <w:jc w:val="both"/>
        <w:rPr>
          <w:rFonts w:ascii="Arial" w:hAnsi="Arial" w:cs="Arial"/>
          <w:b/>
          <w:sz w:val="20"/>
          <w:szCs w:val="20"/>
        </w:rPr>
      </w:pPr>
    </w:p>
    <w:p w:rsidR="00A521AE" w:rsidRDefault="00A521AE" w:rsidP="0051127D">
      <w:pPr>
        <w:snapToGrid w:val="0"/>
        <w:spacing w:after="0" w:line="240" w:lineRule="auto"/>
        <w:ind w:left="360"/>
        <w:jc w:val="both"/>
        <w:rPr>
          <w:rFonts w:ascii="Arial" w:hAnsi="Arial" w:cs="Arial"/>
          <w:sz w:val="20"/>
          <w:szCs w:val="20"/>
        </w:rPr>
      </w:pPr>
      <w:r>
        <w:rPr>
          <w:rFonts w:ascii="Arial" w:hAnsi="Arial" w:cs="Arial"/>
          <w:sz w:val="20"/>
          <w:szCs w:val="20"/>
        </w:rPr>
        <w:t>The FSTB is proposing a six-month transitional period before the commencement of the new licensing regime for VA OTC businesses already operating in Hong Kong. It is seeking comments on two alternative options:</w:t>
      </w:r>
    </w:p>
    <w:p w:rsidR="00A521AE" w:rsidRDefault="00A521AE" w:rsidP="0051127D">
      <w:pPr>
        <w:snapToGrid w:val="0"/>
        <w:spacing w:after="0" w:line="240" w:lineRule="auto"/>
        <w:ind w:left="360"/>
        <w:jc w:val="both"/>
        <w:rPr>
          <w:rFonts w:ascii="Arial" w:hAnsi="Arial" w:cs="Arial"/>
          <w:sz w:val="20"/>
          <w:szCs w:val="20"/>
        </w:rPr>
      </w:pPr>
    </w:p>
    <w:p w:rsidR="00A521AE" w:rsidRPr="00A521AE" w:rsidRDefault="00A521AE" w:rsidP="0051127D">
      <w:pPr>
        <w:snapToGrid w:val="0"/>
        <w:spacing w:after="0" w:line="240" w:lineRule="auto"/>
        <w:ind w:left="360"/>
        <w:jc w:val="both"/>
        <w:rPr>
          <w:rFonts w:ascii="Arial" w:hAnsi="Arial" w:cs="Arial"/>
          <w:sz w:val="20"/>
          <w:szCs w:val="20"/>
        </w:rPr>
      </w:pPr>
      <w:r>
        <w:rPr>
          <w:rFonts w:ascii="Arial" w:hAnsi="Arial" w:cs="Arial"/>
          <w:b/>
          <w:i/>
          <w:sz w:val="20"/>
          <w:szCs w:val="20"/>
        </w:rPr>
        <w:t>Option 1 – No Deeming Arrangement</w:t>
      </w:r>
    </w:p>
    <w:p w:rsidR="00A521AE" w:rsidRDefault="00A521AE" w:rsidP="0051127D">
      <w:pPr>
        <w:snapToGrid w:val="0"/>
        <w:spacing w:after="0" w:line="240" w:lineRule="auto"/>
        <w:ind w:left="360"/>
        <w:jc w:val="both"/>
        <w:rPr>
          <w:rFonts w:ascii="Arial" w:hAnsi="Arial" w:cs="Arial"/>
          <w:sz w:val="20"/>
          <w:szCs w:val="20"/>
        </w:rPr>
      </w:pPr>
    </w:p>
    <w:p w:rsidR="00A521AE" w:rsidRDefault="00A521AE" w:rsidP="0051127D">
      <w:pPr>
        <w:snapToGrid w:val="0"/>
        <w:spacing w:after="0" w:line="240" w:lineRule="auto"/>
        <w:ind w:left="360"/>
        <w:jc w:val="both"/>
        <w:rPr>
          <w:rFonts w:ascii="Arial" w:hAnsi="Arial" w:cs="Arial"/>
          <w:sz w:val="20"/>
          <w:szCs w:val="20"/>
        </w:rPr>
      </w:pPr>
      <w:r>
        <w:rPr>
          <w:rFonts w:ascii="Arial" w:hAnsi="Arial" w:cs="Arial"/>
          <w:sz w:val="20"/>
          <w:szCs w:val="20"/>
        </w:rPr>
        <w:t xml:space="preserve">Under Option 1, existing VA OTC service providers will be allowed to continue operating during the six-month transitional period, but will need to apply to CCE for a licence within the first three months of that period. If they fail to do so, </w:t>
      </w:r>
      <w:r w:rsidR="009F66E1">
        <w:rPr>
          <w:rFonts w:ascii="Arial" w:hAnsi="Arial" w:cs="Arial"/>
          <w:sz w:val="20"/>
          <w:szCs w:val="20"/>
        </w:rPr>
        <w:t>they will need to shut down their business before the end of the fourth month of the transitional period.</w:t>
      </w:r>
    </w:p>
    <w:p w:rsidR="009F66E1" w:rsidRDefault="009F66E1" w:rsidP="0051127D">
      <w:pPr>
        <w:snapToGrid w:val="0"/>
        <w:spacing w:after="0" w:line="240" w:lineRule="auto"/>
        <w:ind w:left="360"/>
        <w:jc w:val="both"/>
        <w:rPr>
          <w:rFonts w:ascii="Arial" w:hAnsi="Arial" w:cs="Arial"/>
          <w:sz w:val="20"/>
          <w:szCs w:val="20"/>
        </w:rPr>
      </w:pPr>
    </w:p>
    <w:p w:rsidR="009F66E1" w:rsidRDefault="009F66E1" w:rsidP="0051127D">
      <w:pPr>
        <w:snapToGrid w:val="0"/>
        <w:spacing w:after="0" w:line="240" w:lineRule="auto"/>
        <w:ind w:left="360"/>
        <w:jc w:val="both"/>
        <w:rPr>
          <w:rFonts w:ascii="Arial" w:hAnsi="Arial" w:cs="Arial"/>
          <w:b/>
          <w:i/>
          <w:sz w:val="20"/>
          <w:szCs w:val="20"/>
        </w:rPr>
      </w:pPr>
      <w:r>
        <w:rPr>
          <w:rFonts w:ascii="Arial" w:hAnsi="Arial" w:cs="Arial"/>
          <w:b/>
          <w:i/>
          <w:sz w:val="20"/>
          <w:szCs w:val="20"/>
        </w:rPr>
        <w:t>Option 2 – With Deeming Arrangement</w:t>
      </w:r>
    </w:p>
    <w:p w:rsidR="009F66E1" w:rsidRDefault="009F66E1" w:rsidP="0051127D">
      <w:pPr>
        <w:snapToGrid w:val="0"/>
        <w:spacing w:after="0" w:line="240" w:lineRule="auto"/>
        <w:ind w:left="360"/>
        <w:jc w:val="both"/>
        <w:rPr>
          <w:rFonts w:ascii="Arial" w:hAnsi="Arial" w:cs="Arial"/>
          <w:sz w:val="20"/>
          <w:szCs w:val="20"/>
        </w:rPr>
      </w:pPr>
    </w:p>
    <w:p w:rsidR="009F66E1" w:rsidRPr="009F66E1" w:rsidRDefault="009F66E1" w:rsidP="0051127D">
      <w:pPr>
        <w:snapToGrid w:val="0"/>
        <w:spacing w:after="0" w:line="240" w:lineRule="auto"/>
        <w:ind w:left="360"/>
        <w:jc w:val="both"/>
        <w:rPr>
          <w:rFonts w:ascii="Arial" w:hAnsi="Arial" w:cs="Arial"/>
          <w:sz w:val="20"/>
          <w:szCs w:val="20"/>
        </w:rPr>
      </w:pPr>
      <w:r>
        <w:rPr>
          <w:rFonts w:ascii="Arial" w:hAnsi="Arial" w:cs="Arial"/>
          <w:sz w:val="20"/>
          <w:szCs w:val="20"/>
        </w:rPr>
        <w:t>As under Option 1, existing VA OTC service providers will be allowed to continue operating during the six-month transitional period and will need to apply to CCE for a licence within the first three months of that period. Applicants meeting the licensing requirements will be granted a “deemed licence” allowing them to continue operating after the end of the transitional period until the CCE determines to grant or refuse a licence.</w:t>
      </w:r>
    </w:p>
    <w:p w:rsidR="008074CF" w:rsidRPr="00035891" w:rsidRDefault="008074CF" w:rsidP="009F66E1">
      <w:pPr>
        <w:snapToGrid w:val="0"/>
        <w:spacing w:after="0" w:line="240" w:lineRule="auto"/>
        <w:jc w:val="both"/>
        <w:rPr>
          <w:rFonts w:ascii="Arial" w:hAnsi="Arial" w:cs="Arial"/>
          <w:sz w:val="20"/>
          <w:szCs w:val="20"/>
        </w:rPr>
      </w:pPr>
    </w:p>
    <w:p w:rsidR="008074CF" w:rsidRPr="009F66E1" w:rsidRDefault="009F66E1" w:rsidP="008074CF">
      <w:pPr>
        <w:snapToGrid w:val="0"/>
        <w:spacing w:after="0" w:line="240" w:lineRule="auto"/>
        <w:ind w:left="360"/>
        <w:jc w:val="both"/>
        <w:rPr>
          <w:rFonts w:ascii="Arial" w:hAnsi="Arial" w:cs="Arial"/>
          <w:b/>
          <w:sz w:val="20"/>
          <w:szCs w:val="20"/>
        </w:rPr>
      </w:pPr>
      <w:r>
        <w:rPr>
          <w:rFonts w:ascii="Arial" w:hAnsi="Arial" w:cs="Arial"/>
          <w:b/>
          <w:sz w:val="20"/>
          <w:szCs w:val="20"/>
        </w:rPr>
        <w:t>Prohibition on Marketing A</w:t>
      </w:r>
      <w:r w:rsidR="008074CF" w:rsidRPr="009F66E1">
        <w:rPr>
          <w:rFonts w:ascii="Arial" w:hAnsi="Arial" w:cs="Arial"/>
          <w:b/>
          <w:sz w:val="20"/>
          <w:szCs w:val="20"/>
        </w:rPr>
        <w:t>ctivities</w:t>
      </w:r>
    </w:p>
    <w:p w:rsidR="008074CF" w:rsidRPr="009F66E1" w:rsidRDefault="008074CF" w:rsidP="008074CF">
      <w:pPr>
        <w:snapToGrid w:val="0"/>
        <w:spacing w:after="0" w:line="240" w:lineRule="auto"/>
        <w:ind w:left="360"/>
        <w:jc w:val="both"/>
        <w:rPr>
          <w:rFonts w:ascii="Arial" w:hAnsi="Arial" w:cs="Arial"/>
          <w:b/>
          <w:sz w:val="20"/>
          <w:szCs w:val="20"/>
        </w:rPr>
      </w:pPr>
    </w:p>
    <w:p w:rsidR="008074CF" w:rsidRPr="00035891" w:rsidRDefault="009F66E1" w:rsidP="008074CF">
      <w:pPr>
        <w:snapToGrid w:val="0"/>
        <w:spacing w:after="0" w:line="240" w:lineRule="auto"/>
        <w:ind w:left="360"/>
        <w:jc w:val="both"/>
        <w:rPr>
          <w:rFonts w:ascii="Arial" w:hAnsi="Arial" w:cs="Arial"/>
          <w:sz w:val="20"/>
          <w:szCs w:val="20"/>
        </w:rPr>
      </w:pPr>
      <w:r>
        <w:rPr>
          <w:rFonts w:ascii="Arial" w:hAnsi="Arial" w:cs="Arial"/>
          <w:sz w:val="20"/>
          <w:szCs w:val="20"/>
        </w:rPr>
        <w:t>Similar to the VATP licensing regime, t</w:t>
      </w:r>
      <w:r w:rsidR="008074CF" w:rsidRPr="00035891">
        <w:rPr>
          <w:rFonts w:ascii="Arial" w:hAnsi="Arial" w:cs="Arial"/>
          <w:sz w:val="20"/>
          <w:szCs w:val="20"/>
        </w:rPr>
        <w:t xml:space="preserve">he </w:t>
      </w:r>
      <w:r>
        <w:rPr>
          <w:rFonts w:ascii="Arial" w:hAnsi="Arial" w:cs="Arial"/>
          <w:sz w:val="20"/>
          <w:szCs w:val="20"/>
        </w:rPr>
        <w:t xml:space="preserve">FSTB </w:t>
      </w:r>
      <w:r w:rsidR="008074CF" w:rsidRPr="00035891">
        <w:rPr>
          <w:rFonts w:ascii="Arial" w:hAnsi="Arial" w:cs="Arial"/>
          <w:sz w:val="20"/>
          <w:szCs w:val="20"/>
        </w:rPr>
        <w:t>propos</w:t>
      </w:r>
      <w:r>
        <w:rPr>
          <w:rFonts w:ascii="Arial" w:hAnsi="Arial" w:cs="Arial"/>
          <w:sz w:val="20"/>
          <w:szCs w:val="20"/>
        </w:rPr>
        <w:t>es</w:t>
      </w:r>
      <w:r w:rsidR="008074CF" w:rsidRPr="00035891">
        <w:rPr>
          <w:rFonts w:ascii="Arial" w:hAnsi="Arial" w:cs="Arial"/>
          <w:sz w:val="20"/>
          <w:szCs w:val="20"/>
        </w:rPr>
        <w:t xml:space="preserve"> to prohibit </w:t>
      </w:r>
      <w:r>
        <w:rPr>
          <w:rFonts w:ascii="Arial" w:hAnsi="Arial" w:cs="Arial"/>
          <w:sz w:val="20"/>
          <w:szCs w:val="20"/>
        </w:rPr>
        <w:t xml:space="preserve">the </w:t>
      </w:r>
      <w:r w:rsidR="00035891">
        <w:rPr>
          <w:rFonts w:ascii="Arial" w:hAnsi="Arial" w:cs="Arial"/>
          <w:sz w:val="20"/>
          <w:szCs w:val="20"/>
        </w:rPr>
        <w:t>active</w:t>
      </w:r>
      <w:r w:rsidR="008074CF" w:rsidRPr="00035891">
        <w:rPr>
          <w:rFonts w:ascii="Arial" w:hAnsi="Arial" w:cs="Arial"/>
          <w:sz w:val="20"/>
          <w:szCs w:val="20"/>
        </w:rPr>
        <w:t xml:space="preserve"> marketing </w:t>
      </w:r>
      <w:r w:rsidR="00035891">
        <w:rPr>
          <w:rFonts w:ascii="Arial" w:hAnsi="Arial" w:cs="Arial"/>
          <w:sz w:val="20"/>
          <w:szCs w:val="20"/>
        </w:rPr>
        <w:t xml:space="preserve">of </w:t>
      </w:r>
      <w:r w:rsidR="008074CF" w:rsidRPr="00035891">
        <w:rPr>
          <w:rFonts w:ascii="Arial" w:hAnsi="Arial" w:cs="Arial"/>
          <w:sz w:val="20"/>
          <w:szCs w:val="20"/>
        </w:rPr>
        <w:t>VA OTC services</w:t>
      </w:r>
      <w:r w:rsidR="00202DD9">
        <w:rPr>
          <w:rFonts w:ascii="Arial" w:hAnsi="Arial" w:cs="Arial"/>
          <w:sz w:val="20"/>
          <w:szCs w:val="20"/>
        </w:rPr>
        <w:t>, in Hong Kong or elsewhere,</w:t>
      </w:r>
      <w:r w:rsidR="008074CF" w:rsidRPr="00035891">
        <w:rPr>
          <w:rFonts w:ascii="Arial" w:hAnsi="Arial" w:cs="Arial"/>
          <w:sz w:val="20"/>
          <w:szCs w:val="20"/>
        </w:rPr>
        <w:t xml:space="preserve"> to the Hong Kong </w:t>
      </w:r>
      <w:r w:rsidRPr="00035891">
        <w:rPr>
          <w:rFonts w:ascii="Arial" w:hAnsi="Arial" w:cs="Arial"/>
          <w:sz w:val="20"/>
          <w:szCs w:val="20"/>
        </w:rPr>
        <w:t>public</w:t>
      </w:r>
      <w:r w:rsidR="008074CF" w:rsidRPr="00035891">
        <w:rPr>
          <w:rFonts w:ascii="Arial" w:hAnsi="Arial" w:cs="Arial"/>
          <w:sz w:val="20"/>
          <w:szCs w:val="20"/>
        </w:rPr>
        <w:t>, unless the person</w:t>
      </w:r>
      <w:r w:rsidR="00202DD9">
        <w:rPr>
          <w:rFonts w:ascii="Arial" w:hAnsi="Arial" w:cs="Arial"/>
          <w:sz w:val="20"/>
          <w:szCs w:val="20"/>
        </w:rPr>
        <w:t xml:space="preserve"> hold a valid licenc</w:t>
      </w:r>
      <w:r w:rsidR="00035891">
        <w:rPr>
          <w:rFonts w:ascii="Arial" w:hAnsi="Arial" w:cs="Arial"/>
          <w:sz w:val="20"/>
          <w:szCs w:val="20"/>
        </w:rPr>
        <w:t>e</w:t>
      </w:r>
      <w:r w:rsidR="008074CF" w:rsidRPr="00035891">
        <w:rPr>
          <w:rFonts w:ascii="Arial" w:hAnsi="Arial" w:cs="Arial"/>
          <w:sz w:val="20"/>
          <w:szCs w:val="20"/>
        </w:rPr>
        <w:t xml:space="preserve"> as a VA OTC service provider.</w:t>
      </w:r>
    </w:p>
    <w:p w:rsidR="008074CF" w:rsidRPr="00035891" w:rsidRDefault="008074CF" w:rsidP="008074CF">
      <w:pPr>
        <w:snapToGrid w:val="0"/>
        <w:spacing w:after="0" w:line="240" w:lineRule="auto"/>
        <w:ind w:left="360"/>
        <w:jc w:val="both"/>
        <w:rPr>
          <w:rFonts w:ascii="Arial" w:hAnsi="Arial" w:cs="Arial"/>
          <w:sz w:val="20"/>
          <w:szCs w:val="20"/>
        </w:rPr>
      </w:pPr>
    </w:p>
    <w:p w:rsidR="008074CF" w:rsidRPr="00202DD9" w:rsidRDefault="008074CF" w:rsidP="008074CF">
      <w:pPr>
        <w:snapToGrid w:val="0"/>
        <w:spacing w:after="0" w:line="240" w:lineRule="auto"/>
        <w:ind w:left="360"/>
        <w:jc w:val="both"/>
        <w:rPr>
          <w:rFonts w:ascii="Arial" w:hAnsi="Arial" w:cs="Arial"/>
          <w:b/>
          <w:sz w:val="20"/>
          <w:szCs w:val="20"/>
        </w:rPr>
      </w:pPr>
      <w:r w:rsidRPr="00202DD9">
        <w:rPr>
          <w:rFonts w:ascii="Arial" w:hAnsi="Arial" w:cs="Arial"/>
          <w:b/>
          <w:sz w:val="20"/>
          <w:szCs w:val="20"/>
        </w:rPr>
        <w:t>Powers of the CCE</w:t>
      </w:r>
    </w:p>
    <w:p w:rsidR="008074CF" w:rsidRPr="00035891" w:rsidRDefault="008074CF" w:rsidP="008074CF">
      <w:pPr>
        <w:snapToGrid w:val="0"/>
        <w:spacing w:after="0" w:line="240" w:lineRule="auto"/>
        <w:ind w:left="360"/>
        <w:jc w:val="both"/>
        <w:rPr>
          <w:rFonts w:ascii="Arial" w:hAnsi="Arial" w:cs="Arial"/>
          <w:sz w:val="20"/>
          <w:szCs w:val="20"/>
        </w:rPr>
      </w:pPr>
    </w:p>
    <w:p w:rsidR="008074CF" w:rsidRPr="00035891" w:rsidRDefault="008074CF" w:rsidP="008074CF">
      <w:pPr>
        <w:snapToGrid w:val="0"/>
        <w:spacing w:after="0" w:line="240" w:lineRule="auto"/>
        <w:ind w:left="360"/>
        <w:jc w:val="both"/>
        <w:rPr>
          <w:rFonts w:ascii="Arial" w:hAnsi="Arial" w:cs="Arial"/>
          <w:sz w:val="20"/>
          <w:szCs w:val="20"/>
        </w:rPr>
      </w:pPr>
      <w:r w:rsidRPr="00035891">
        <w:rPr>
          <w:rFonts w:ascii="Arial" w:hAnsi="Arial" w:cs="Arial"/>
          <w:sz w:val="20"/>
          <w:szCs w:val="20"/>
        </w:rPr>
        <w:t xml:space="preserve">The CCE will act as the </w:t>
      </w:r>
      <w:r w:rsidR="009441AB" w:rsidRPr="00035891">
        <w:rPr>
          <w:rFonts w:ascii="Arial" w:hAnsi="Arial" w:cs="Arial"/>
          <w:sz w:val="20"/>
          <w:szCs w:val="20"/>
        </w:rPr>
        <w:t>VA OTC licensing authority and will have power</w:t>
      </w:r>
      <w:r w:rsidR="00202DD9">
        <w:rPr>
          <w:rFonts w:ascii="Arial" w:hAnsi="Arial" w:cs="Arial"/>
          <w:sz w:val="20"/>
          <w:szCs w:val="20"/>
        </w:rPr>
        <w:t>s</w:t>
      </w:r>
      <w:r w:rsidR="009441AB" w:rsidRPr="00035891">
        <w:rPr>
          <w:rFonts w:ascii="Arial" w:hAnsi="Arial" w:cs="Arial"/>
          <w:sz w:val="20"/>
          <w:szCs w:val="20"/>
        </w:rPr>
        <w:t xml:space="preserve"> to:</w:t>
      </w:r>
    </w:p>
    <w:p w:rsidR="009441AB" w:rsidRPr="00035891" w:rsidRDefault="009441AB" w:rsidP="008074CF">
      <w:pPr>
        <w:snapToGrid w:val="0"/>
        <w:spacing w:after="0" w:line="240" w:lineRule="auto"/>
        <w:ind w:left="360"/>
        <w:jc w:val="both"/>
        <w:rPr>
          <w:rFonts w:ascii="Arial" w:hAnsi="Arial" w:cs="Arial"/>
          <w:sz w:val="20"/>
          <w:szCs w:val="20"/>
        </w:rPr>
      </w:pPr>
    </w:p>
    <w:p w:rsidR="009441AB" w:rsidRDefault="009441AB" w:rsidP="009441AB">
      <w:pPr>
        <w:pStyle w:val="a4"/>
        <w:numPr>
          <w:ilvl w:val="0"/>
          <w:numId w:val="27"/>
        </w:numPr>
        <w:snapToGrid w:val="0"/>
        <w:spacing w:after="0" w:line="240" w:lineRule="auto"/>
        <w:jc w:val="both"/>
        <w:rPr>
          <w:rFonts w:ascii="Arial" w:hAnsi="Arial" w:cs="Arial"/>
          <w:sz w:val="20"/>
          <w:szCs w:val="20"/>
        </w:rPr>
      </w:pPr>
      <w:r w:rsidRPr="00035891">
        <w:rPr>
          <w:rFonts w:ascii="Arial" w:hAnsi="Arial" w:cs="Arial"/>
          <w:sz w:val="20"/>
          <w:szCs w:val="20"/>
        </w:rPr>
        <w:t xml:space="preserve">impose licensing conditions, including add to, </w:t>
      </w:r>
      <w:r w:rsidR="00202DD9">
        <w:rPr>
          <w:rFonts w:ascii="Arial" w:hAnsi="Arial" w:cs="Arial"/>
          <w:sz w:val="20"/>
          <w:szCs w:val="20"/>
        </w:rPr>
        <w:t>var</w:t>
      </w:r>
      <w:r w:rsidRPr="00035891">
        <w:rPr>
          <w:rFonts w:ascii="Arial" w:hAnsi="Arial" w:cs="Arial"/>
          <w:sz w:val="20"/>
          <w:szCs w:val="20"/>
        </w:rPr>
        <w:t>y</w:t>
      </w:r>
      <w:r w:rsidR="00ED2E35">
        <w:rPr>
          <w:rFonts w:ascii="Arial" w:hAnsi="Arial" w:cs="Arial"/>
          <w:sz w:val="20"/>
          <w:szCs w:val="20"/>
        </w:rPr>
        <w:t xml:space="preserve"> or modify existing conditions;</w:t>
      </w:r>
    </w:p>
    <w:p w:rsidR="00ED2E35" w:rsidRPr="00035891" w:rsidRDefault="00ED2E35" w:rsidP="00ED2E35">
      <w:pPr>
        <w:pStyle w:val="a4"/>
        <w:snapToGrid w:val="0"/>
        <w:spacing w:after="0" w:line="240" w:lineRule="auto"/>
        <w:ind w:left="1080"/>
        <w:jc w:val="both"/>
        <w:rPr>
          <w:rFonts w:ascii="Arial" w:hAnsi="Arial" w:cs="Arial"/>
          <w:sz w:val="20"/>
          <w:szCs w:val="20"/>
        </w:rPr>
      </w:pPr>
    </w:p>
    <w:p w:rsidR="00202DD9" w:rsidRPr="00202DD9" w:rsidRDefault="009441AB" w:rsidP="00202DD9">
      <w:pPr>
        <w:pStyle w:val="a4"/>
        <w:numPr>
          <w:ilvl w:val="0"/>
          <w:numId w:val="27"/>
        </w:numPr>
        <w:snapToGrid w:val="0"/>
        <w:spacing w:after="0" w:line="240" w:lineRule="auto"/>
        <w:jc w:val="both"/>
        <w:rPr>
          <w:rFonts w:ascii="Arial" w:hAnsi="Arial" w:cs="Arial"/>
          <w:sz w:val="20"/>
          <w:szCs w:val="20"/>
        </w:rPr>
      </w:pPr>
      <w:r w:rsidRPr="00202DD9">
        <w:rPr>
          <w:rFonts w:ascii="Arial" w:eastAsiaTheme="minorEastAsia" w:hAnsi="Arial" w:cs="Arial"/>
          <w:sz w:val="20"/>
          <w:szCs w:val="20"/>
          <w:lang w:eastAsia="zh-CN"/>
        </w:rPr>
        <w:t xml:space="preserve">supervise the AML/CTF conduct </w:t>
      </w:r>
      <w:r w:rsidR="00202DD9">
        <w:rPr>
          <w:rFonts w:ascii="Arial" w:eastAsiaTheme="minorEastAsia" w:hAnsi="Arial" w:cs="Arial"/>
          <w:sz w:val="20"/>
          <w:szCs w:val="20"/>
          <w:lang w:eastAsia="zh-CN"/>
        </w:rPr>
        <w:t xml:space="preserve">of </w:t>
      </w:r>
      <w:r w:rsidR="00202DD9" w:rsidRPr="00035891">
        <w:rPr>
          <w:rFonts w:ascii="Arial" w:eastAsiaTheme="minorEastAsia" w:hAnsi="Arial" w:cs="Arial"/>
          <w:sz w:val="20"/>
          <w:szCs w:val="20"/>
          <w:lang w:eastAsia="zh-CN"/>
        </w:rPr>
        <w:t>VA OTC</w:t>
      </w:r>
      <w:r w:rsidR="00202DD9">
        <w:rPr>
          <w:rFonts w:ascii="Arial" w:eastAsiaTheme="minorEastAsia" w:hAnsi="Arial" w:cs="Arial"/>
          <w:sz w:val="20"/>
          <w:szCs w:val="20"/>
          <w:lang w:eastAsia="zh-CN"/>
        </w:rPr>
        <w:t xml:space="preserve"> licensees</w:t>
      </w:r>
      <w:r w:rsidR="00202DD9" w:rsidRPr="00035891">
        <w:rPr>
          <w:rFonts w:ascii="Arial" w:eastAsiaTheme="minorEastAsia" w:hAnsi="Arial" w:cs="Arial"/>
          <w:sz w:val="20"/>
          <w:szCs w:val="20"/>
          <w:lang w:eastAsia="zh-CN"/>
        </w:rPr>
        <w:t>;</w:t>
      </w:r>
    </w:p>
    <w:p w:rsidR="00202DD9" w:rsidRPr="00202DD9" w:rsidRDefault="00202DD9" w:rsidP="00202DD9">
      <w:pPr>
        <w:snapToGrid w:val="0"/>
        <w:spacing w:after="0" w:line="240" w:lineRule="auto"/>
        <w:jc w:val="both"/>
        <w:rPr>
          <w:rFonts w:ascii="Arial" w:hAnsi="Arial" w:cs="Arial"/>
          <w:sz w:val="20"/>
          <w:szCs w:val="20"/>
        </w:rPr>
      </w:pPr>
    </w:p>
    <w:p w:rsidR="00202DD9" w:rsidRPr="00202DD9" w:rsidRDefault="009441AB" w:rsidP="002B1DAD">
      <w:pPr>
        <w:pStyle w:val="a4"/>
        <w:numPr>
          <w:ilvl w:val="0"/>
          <w:numId w:val="27"/>
        </w:numPr>
        <w:snapToGrid w:val="0"/>
        <w:spacing w:after="0" w:line="240" w:lineRule="auto"/>
        <w:jc w:val="both"/>
        <w:rPr>
          <w:rFonts w:ascii="Arial" w:hAnsi="Arial" w:cs="Arial"/>
          <w:sz w:val="20"/>
          <w:szCs w:val="20"/>
        </w:rPr>
      </w:pPr>
      <w:r w:rsidRPr="00202DD9">
        <w:rPr>
          <w:rFonts w:ascii="Arial" w:eastAsiaTheme="minorEastAsia" w:hAnsi="Arial" w:cs="Arial"/>
          <w:sz w:val="20"/>
          <w:szCs w:val="20"/>
          <w:lang w:eastAsia="zh-CN"/>
        </w:rPr>
        <w:t>enforce the statutory and regulatory requirement</w:t>
      </w:r>
      <w:r w:rsidR="00202DD9">
        <w:rPr>
          <w:rFonts w:ascii="Arial" w:eastAsiaTheme="minorEastAsia" w:hAnsi="Arial" w:cs="Arial"/>
          <w:sz w:val="20"/>
          <w:szCs w:val="20"/>
          <w:lang w:eastAsia="zh-CN"/>
        </w:rPr>
        <w:t>s;</w:t>
      </w:r>
    </w:p>
    <w:p w:rsidR="00ED2E35" w:rsidRPr="00202DD9" w:rsidRDefault="009441AB" w:rsidP="00202DD9">
      <w:pPr>
        <w:snapToGrid w:val="0"/>
        <w:spacing w:after="0" w:line="240" w:lineRule="auto"/>
        <w:jc w:val="both"/>
        <w:rPr>
          <w:rFonts w:ascii="Arial" w:hAnsi="Arial" w:cs="Arial"/>
          <w:sz w:val="20"/>
          <w:szCs w:val="20"/>
        </w:rPr>
      </w:pPr>
      <w:r w:rsidRPr="00202DD9">
        <w:rPr>
          <w:rFonts w:ascii="Arial" w:eastAsiaTheme="minorEastAsia" w:hAnsi="Arial" w:cs="Arial"/>
          <w:sz w:val="20"/>
          <w:szCs w:val="20"/>
          <w:lang w:eastAsia="zh-CN"/>
        </w:rPr>
        <w:t xml:space="preserve"> </w:t>
      </w:r>
    </w:p>
    <w:p w:rsidR="009441AB" w:rsidRPr="00ED2E35" w:rsidRDefault="009441AB" w:rsidP="009441AB">
      <w:pPr>
        <w:pStyle w:val="a4"/>
        <w:numPr>
          <w:ilvl w:val="0"/>
          <w:numId w:val="27"/>
        </w:numPr>
        <w:snapToGrid w:val="0"/>
        <w:spacing w:after="0" w:line="240" w:lineRule="auto"/>
        <w:jc w:val="both"/>
        <w:rPr>
          <w:rFonts w:ascii="Arial" w:hAnsi="Arial" w:cs="Arial"/>
          <w:sz w:val="20"/>
          <w:szCs w:val="20"/>
        </w:rPr>
      </w:pPr>
      <w:r w:rsidRPr="00035891">
        <w:rPr>
          <w:rFonts w:ascii="Arial" w:eastAsiaTheme="minorEastAsia" w:hAnsi="Arial" w:cs="Arial"/>
          <w:sz w:val="20"/>
          <w:szCs w:val="20"/>
          <w:lang w:eastAsia="zh-CN"/>
        </w:rPr>
        <w:t xml:space="preserve">enter licensees’ business premises </w:t>
      </w:r>
      <w:r w:rsidR="00202DD9">
        <w:rPr>
          <w:rFonts w:ascii="Arial" w:eastAsiaTheme="minorEastAsia" w:hAnsi="Arial" w:cs="Arial"/>
          <w:sz w:val="20"/>
          <w:szCs w:val="20"/>
          <w:lang w:eastAsia="zh-CN"/>
        </w:rPr>
        <w:t>to conduct</w:t>
      </w:r>
      <w:r w:rsidRPr="00035891">
        <w:rPr>
          <w:rFonts w:ascii="Arial" w:eastAsiaTheme="minorEastAsia" w:hAnsi="Arial" w:cs="Arial"/>
          <w:sz w:val="20"/>
          <w:szCs w:val="20"/>
          <w:lang w:eastAsia="zh-CN"/>
        </w:rPr>
        <w:t xml:space="preserve"> r</w:t>
      </w:r>
      <w:r w:rsidR="00202DD9">
        <w:rPr>
          <w:rFonts w:ascii="Arial" w:eastAsiaTheme="minorEastAsia" w:hAnsi="Arial" w:cs="Arial"/>
          <w:sz w:val="20"/>
          <w:szCs w:val="20"/>
          <w:lang w:eastAsia="zh-CN"/>
        </w:rPr>
        <w:t>outine</w:t>
      </w:r>
      <w:r w:rsidRPr="00035891">
        <w:rPr>
          <w:rFonts w:ascii="Arial" w:eastAsiaTheme="minorEastAsia" w:hAnsi="Arial" w:cs="Arial"/>
          <w:sz w:val="20"/>
          <w:szCs w:val="20"/>
          <w:lang w:eastAsia="zh-CN"/>
        </w:rPr>
        <w:t xml:space="preserve"> inspection</w:t>
      </w:r>
      <w:r w:rsidR="00202DD9">
        <w:rPr>
          <w:rFonts w:ascii="Arial" w:eastAsiaTheme="minorEastAsia" w:hAnsi="Arial" w:cs="Arial"/>
          <w:sz w:val="20"/>
          <w:szCs w:val="20"/>
          <w:lang w:eastAsia="zh-CN"/>
        </w:rPr>
        <w:t>s</w:t>
      </w:r>
      <w:r w:rsidRPr="00035891">
        <w:rPr>
          <w:rFonts w:ascii="Arial" w:eastAsiaTheme="minorEastAsia" w:hAnsi="Arial" w:cs="Arial"/>
          <w:sz w:val="20"/>
          <w:szCs w:val="20"/>
          <w:lang w:eastAsia="zh-CN"/>
        </w:rPr>
        <w:t>;</w:t>
      </w:r>
    </w:p>
    <w:p w:rsidR="00ED2E35" w:rsidRPr="00ED2E35" w:rsidRDefault="00ED2E35" w:rsidP="00ED2E35">
      <w:pPr>
        <w:snapToGrid w:val="0"/>
        <w:spacing w:after="0" w:line="240" w:lineRule="auto"/>
        <w:jc w:val="both"/>
        <w:rPr>
          <w:rFonts w:ascii="Arial" w:hAnsi="Arial" w:cs="Arial"/>
          <w:sz w:val="20"/>
          <w:szCs w:val="20"/>
        </w:rPr>
      </w:pPr>
    </w:p>
    <w:p w:rsidR="009441AB" w:rsidRPr="00ED2E35" w:rsidRDefault="009441AB" w:rsidP="009441AB">
      <w:pPr>
        <w:pStyle w:val="a4"/>
        <w:numPr>
          <w:ilvl w:val="0"/>
          <w:numId w:val="27"/>
        </w:numPr>
        <w:snapToGrid w:val="0"/>
        <w:spacing w:after="0" w:line="240" w:lineRule="auto"/>
        <w:jc w:val="both"/>
        <w:rPr>
          <w:rFonts w:ascii="Arial" w:hAnsi="Arial" w:cs="Arial"/>
          <w:sz w:val="20"/>
          <w:szCs w:val="20"/>
        </w:rPr>
      </w:pPr>
      <w:r w:rsidRPr="00035891">
        <w:rPr>
          <w:rFonts w:ascii="Arial" w:eastAsiaTheme="minorEastAsia" w:hAnsi="Arial" w:cs="Arial"/>
          <w:sz w:val="20"/>
          <w:szCs w:val="20"/>
          <w:lang w:eastAsia="zh-CN"/>
        </w:rPr>
        <w:t xml:space="preserve">investigate suspected non-compliances and remove evidence of </w:t>
      </w:r>
      <w:r w:rsidR="00202DD9">
        <w:rPr>
          <w:rFonts w:ascii="Arial" w:eastAsiaTheme="minorEastAsia" w:hAnsi="Arial" w:cs="Arial"/>
          <w:sz w:val="20"/>
          <w:szCs w:val="20"/>
          <w:lang w:eastAsia="zh-CN"/>
        </w:rPr>
        <w:t xml:space="preserve">the </w:t>
      </w:r>
      <w:r w:rsidRPr="00035891">
        <w:rPr>
          <w:rFonts w:ascii="Arial" w:eastAsiaTheme="minorEastAsia" w:hAnsi="Arial" w:cs="Arial"/>
          <w:sz w:val="20"/>
          <w:szCs w:val="20"/>
          <w:lang w:eastAsia="zh-CN"/>
        </w:rPr>
        <w:t xml:space="preserve">commission of </w:t>
      </w:r>
      <w:r w:rsidR="00202DD9">
        <w:rPr>
          <w:rFonts w:ascii="Arial" w:eastAsiaTheme="minorEastAsia" w:hAnsi="Arial" w:cs="Arial"/>
          <w:sz w:val="20"/>
          <w:szCs w:val="20"/>
          <w:lang w:eastAsia="zh-CN"/>
        </w:rPr>
        <w:t xml:space="preserve">an </w:t>
      </w:r>
      <w:r w:rsidRPr="00035891">
        <w:rPr>
          <w:rFonts w:ascii="Arial" w:eastAsiaTheme="minorEastAsia" w:hAnsi="Arial" w:cs="Arial"/>
          <w:sz w:val="20"/>
          <w:szCs w:val="20"/>
          <w:lang w:eastAsia="zh-CN"/>
        </w:rPr>
        <w:t>offence;</w:t>
      </w:r>
    </w:p>
    <w:p w:rsidR="00ED2E35" w:rsidRPr="00ED2E35" w:rsidRDefault="00ED2E35" w:rsidP="00ED2E35">
      <w:pPr>
        <w:snapToGrid w:val="0"/>
        <w:spacing w:after="0" w:line="240" w:lineRule="auto"/>
        <w:jc w:val="both"/>
        <w:rPr>
          <w:rFonts w:ascii="Arial" w:hAnsi="Arial" w:cs="Arial"/>
          <w:sz w:val="20"/>
          <w:szCs w:val="20"/>
        </w:rPr>
      </w:pPr>
    </w:p>
    <w:p w:rsidR="009441AB" w:rsidRPr="00ED2E35" w:rsidRDefault="009441AB" w:rsidP="009441AB">
      <w:pPr>
        <w:pStyle w:val="a4"/>
        <w:numPr>
          <w:ilvl w:val="0"/>
          <w:numId w:val="27"/>
        </w:numPr>
        <w:snapToGrid w:val="0"/>
        <w:spacing w:after="0" w:line="240" w:lineRule="auto"/>
        <w:jc w:val="both"/>
        <w:rPr>
          <w:rFonts w:ascii="Arial" w:hAnsi="Arial" w:cs="Arial"/>
          <w:sz w:val="20"/>
          <w:szCs w:val="20"/>
        </w:rPr>
      </w:pPr>
      <w:r w:rsidRPr="00035891">
        <w:rPr>
          <w:rFonts w:ascii="Arial" w:eastAsiaTheme="minorEastAsia" w:hAnsi="Arial" w:cs="Arial"/>
          <w:sz w:val="20"/>
          <w:szCs w:val="20"/>
          <w:lang w:eastAsia="zh-CN"/>
        </w:rPr>
        <w:t xml:space="preserve">carry out arrest and search; </w:t>
      </w:r>
      <w:r w:rsidR="002C2D7A">
        <w:rPr>
          <w:rFonts w:ascii="Arial" w:eastAsiaTheme="minorEastAsia" w:hAnsi="Arial" w:cs="Arial"/>
          <w:sz w:val="20"/>
          <w:szCs w:val="20"/>
          <w:lang w:eastAsia="zh-CN"/>
        </w:rPr>
        <w:t>and</w:t>
      </w:r>
    </w:p>
    <w:p w:rsidR="00ED2E35" w:rsidRPr="00ED2E35" w:rsidRDefault="00ED2E35" w:rsidP="00ED2E35">
      <w:pPr>
        <w:snapToGrid w:val="0"/>
        <w:spacing w:after="0" w:line="240" w:lineRule="auto"/>
        <w:jc w:val="both"/>
        <w:rPr>
          <w:rFonts w:ascii="Arial" w:hAnsi="Arial" w:cs="Arial"/>
          <w:sz w:val="20"/>
          <w:szCs w:val="20"/>
        </w:rPr>
      </w:pPr>
    </w:p>
    <w:p w:rsidR="009441AB" w:rsidRPr="00035891" w:rsidRDefault="00202DD9" w:rsidP="009441AB">
      <w:pPr>
        <w:pStyle w:val="a4"/>
        <w:numPr>
          <w:ilvl w:val="0"/>
          <w:numId w:val="27"/>
        </w:numPr>
        <w:snapToGrid w:val="0"/>
        <w:spacing w:after="0" w:line="240" w:lineRule="auto"/>
        <w:jc w:val="both"/>
        <w:rPr>
          <w:rFonts w:ascii="Arial" w:hAnsi="Arial" w:cs="Arial"/>
          <w:sz w:val="20"/>
          <w:szCs w:val="20"/>
        </w:rPr>
      </w:pPr>
      <w:r>
        <w:rPr>
          <w:rFonts w:ascii="Arial" w:eastAsiaTheme="minorEastAsia" w:hAnsi="Arial" w:cs="Arial"/>
          <w:sz w:val="20"/>
          <w:szCs w:val="20"/>
          <w:lang w:eastAsia="zh-CN"/>
        </w:rPr>
        <w:t>impose disciplinary sanctions for non-compliance</w:t>
      </w:r>
      <w:r w:rsidR="009441AB" w:rsidRPr="00035891">
        <w:rPr>
          <w:rFonts w:ascii="Arial" w:eastAsiaTheme="minorEastAsia" w:hAnsi="Arial" w:cs="Arial"/>
          <w:sz w:val="20"/>
          <w:szCs w:val="20"/>
          <w:lang w:eastAsia="zh-CN"/>
        </w:rPr>
        <w:t>.</w:t>
      </w:r>
    </w:p>
    <w:p w:rsidR="009441AB" w:rsidRPr="00035891" w:rsidRDefault="009441AB" w:rsidP="009441AB">
      <w:pPr>
        <w:snapToGrid w:val="0"/>
        <w:spacing w:after="0" w:line="240" w:lineRule="auto"/>
        <w:ind w:left="360"/>
        <w:jc w:val="both"/>
        <w:rPr>
          <w:rFonts w:ascii="Arial" w:hAnsi="Arial" w:cs="Arial"/>
          <w:sz w:val="20"/>
          <w:szCs w:val="20"/>
        </w:rPr>
      </w:pPr>
    </w:p>
    <w:p w:rsidR="009441AB" w:rsidRPr="00202DD9" w:rsidRDefault="00B81482" w:rsidP="009441AB">
      <w:pPr>
        <w:snapToGrid w:val="0"/>
        <w:spacing w:after="0" w:line="240" w:lineRule="auto"/>
        <w:ind w:left="360"/>
        <w:jc w:val="both"/>
        <w:rPr>
          <w:rFonts w:ascii="Arial" w:hAnsi="Arial" w:cs="Arial"/>
          <w:b/>
          <w:sz w:val="20"/>
          <w:szCs w:val="20"/>
        </w:rPr>
      </w:pPr>
      <w:r w:rsidRPr="00202DD9">
        <w:rPr>
          <w:rFonts w:ascii="Arial" w:hAnsi="Arial" w:cs="Arial"/>
          <w:b/>
          <w:sz w:val="20"/>
          <w:szCs w:val="20"/>
        </w:rPr>
        <w:t>Sanctions</w:t>
      </w:r>
    </w:p>
    <w:p w:rsidR="00B81482" w:rsidRPr="00035891" w:rsidRDefault="00B81482" w:rsidP="009441AB">
      <w:pPr>
        <w:snapToGrid w:val="0"/>
        <w:spacing w:after="0" w:line="240" w:lineRule="auto"/>
        <w:ind w:left="360"/>
        <w:jc w:val="both"/>
        <w:rPr>
          <w:rFonts w:ascii="Arial" w:hAnsi="Arial" w:cs="Arial"/>
          <w:sz w:val="20"/>
          <w:szCs w:val="20"/>
        </w:rPr>
      </w:pPr>
    </w:p>
    <w:p w:rsidR="00A86C0D" w:rsidRPr="00035891" w:rsidRDefault="00B81482" w:rsidP="00A86C0D">
      <w:pPr>
        <w:snapToGrid w:val="0"/>
        <w:spacing w:after="0" w:line="240" w:lineRule="auto"/>
        <w:ind w:left="360"/>
        <w:jc w:val="both"/>
        <w:rPr>
          <w:rFonts w:ascii="Arial" w:hAnsi="Arial" w:cs="Arial"/>
          <w:sz w:val="20"/>
          <w:szCs w:val="20"/>
        </w:rPr>
      </w:pPr>
      <w:r w:rsidRPr="00035891">
        <w:rPr>
          <w:rFonts w:ascii="Arial" w:hAnsi="Arial" w:cs="Arial"/>
          <w:sz w:val="20"/>
          <w:szCs w:val="20"/>
        </w:rPr>
        <w:t xml:space="preserve">The following </w:t>
      </w:r>
      <w:r w:rsidR="00035891" w:rsidRPr="00035891">
        <w:rPr>
          <w:rFonts w:ascii="Arial" w:hAnsi="Arial" w:cs="Arial"/>
          <w:sz w:val="20"/>
          <w:szCs w:val="20"/>
        </w:rPr>
        <w:t>outlines</w:t>
      </w:r>
      <w:r w:rsidRPr="00035891">
        <w:rPr>
          <w:rFonts w:ascii="Arial" w:hAnsi="Arial" w:cs="Arial"/>
          <w:sz w:val="20"/>
          <w:szCs w:val="20"/>
        </w:rPr>
        <w:t xml:space="preserve"> the </w:t>
      </w:r>
      <w:r w:rsidR="00A86C0D" w:rsidRPr="00035891">
        <w:rPr>
          <w:rFonts w:ascii="Arial" w:hAnsi="Arial" w:cs="Arial"/>
          <w:sz w:val="20"/>
          <w:szCs w:val="20"/>
        </w:rPr>
        <w:t>proposed</w:t>
      </w:r>
      <w:r w:rsidRPr="00035891">
        <w:rPr>
          <w:rFonts w:ascii="Arial" w:hAnsi="Arial" w:cs="Arial"/>
          <w:sz w:val="20"/>
          <w:szCs w:val="20"/>
        </w:rPr>
        <w:t xml:space="preserve"> penalties</w:t>
      </w:r>
      <w:r w:rsidR="00035891" w:rsidRPr="00035891">
        <w:rPr>
          <w:rFonts w:ascii="Arial" w:hAnsi="Arial" w:cs="Arial"/>
          <w:sz w:val="20"/>
          <w:szCs w:val="20"/>
        </w:rPr>
        <w:t xml:space="preserve">, which </w:t>
      </w:r>
      <w:r w:rsidR="00202DD9">
        <w:rPr>
          <w:rFonts w:ascii="Arial" w:hAnsi="Arial" w:cs="Arial"/>
          <w:sz w:val="20"/>
          <w:szCs w:val="20"/>
        </w:rPr>
        <w:t>will depend</w:t>
      </w:r>
      <w:r w:rsidR="00035891" w:rsidRPr="00035891">
        <w:rPr>
          <w:rFonts w:ascii="Arial" w:hAnsi="Arial" w:cs="Arial"/>
          <w:sz w:val="20"/>
          <w:szCs w:val="20"/>
        </w:rPr>
        <w:t xml:space="preserve"> on the</w:t>
      </w:r>
      <w:r w:rsidRPr="00035891">
        <w:rPr>
          <w:rFonts w:ascii="Arial" w:hAnsi="Arial" w:cs="Arial"/>
          <w:sz w:val="20"/>
          <w:szCs w:val="20"/>
        </w:rPr>
        <w:t xml:space="preserve"> nature and severity </w:t>
      </w:r>
      <w:r w:rsidR="00202DD9">
        <w:rPr>
          <w:rFonts w:ascii="Arial" w:hAnsi="Arial" w:cs="Arial"/>
          <w:sz w:val="20"/>
          <w:szCs w:val="20"/>
        </w:rPr>
        <w:t>of the offence</w:t>
      </w:r>
      <w:r w:rsidRPr="00035891">
        <w:rPr>
          <w:rFonts w:ascii="Arial" w:hAnsi="Arial" w:cs="Arial"/>
          <w:sz w:val="20"/>
          <w:szCs w:val="20"/>
        </w:rPr>
        <w:t>:</w:t>
      </w:r>
    </w:p>
    <w:p w:rsidR="00A86C0D" w:rsidRPr="00035891" w:rsidRDefault="00A86C0D" w:rsidP="00A86C0D">
      <w:pPr>
        <w:snapToGrid w:val="0"/>
        <w:spacing w:after="0" w:line="240" w:lineRule="auto"/>
        <w:ind w:left="360"/>
        <w:jc w:val="both"/>
        <w:rPr>
          <w:rFonts w:ascii="Arial" w:hAnsi="Arial" w:cs="Arial"/>
          <w:sz w:val="20"/>
          <w:szCs w:val="20"/>
        </w:rPr>
      </w:pPr>
    </w:p>
    <w:tbl>
      <w:tblPr>
        <w:tblStyle w:val="af5"/>
        <w:tblW w:w="0" w:type="auto"/>
        <w:tblInd w:w="360" w:type="dxa"/>
        <w:tblLook w:val="04A0" w:firstRow="1" w:lastRow="0" w:firstColumn="1" w:lastColumn="0" w:noHBand="0" w:noVBand="1"/>
      </w:tblPr>
      <w:tblGrid>
        <w:gridCol w:w="5134"/>
        <w:gridCol w:w="5116"/>
      </w:tblGrid>
      <w:tr w:rsidR="004307BA" w:rsidRPr="00035891" w:rsidTr="007777C1">
        <w:tc>
          <w:tcPr>
            <w:tcW w:w="5134" w:type="dxa"/>
          </w:tcPr>
          <w:p w:rsidR="00A86C0D" w:rsidRPr="00C93A78" w:rsidRDefault="00202DD9" w:rsidP="00523F4C">
            <w:pPr>
              <w:snapToGrid w:val="0"/>
              <w:jc w:val="center"/>
              <w:rPr>
                <w:rFonts w:ascii="Arial" w:hAnsi="Arial" w:cs="Arial"/>
                <w:b/>
                <w:sz w:val="20"/>
                <w:szCs w:val="20"/>
              </w:rPr>
            </w:pPr>
            <w:r w:rsidRPr="00C93A78">
              <w:rPr>
                <w:rFonts w:ascii="Arial" w:hAnsi="Arial" w:cs="Arial"/>
                <w:b/>
                <w:sz w:val="20"/>
                <w:szCs w:val="20"/>
              </w:rPr>
              <w:t>Offence</w:t>
            </w:r>
          </w:p>
        </w:tc>
        <w:tc>
          <w:tcPr>
            <w:tcW w:w="5116" w:type="dxa"/>
          </w:tcPr>
          <w:p w:rsidR="00A86C0D" w:rsidRPr="00035891" w:rsidRDefault="00523F4C" w:rsidP="00523F4C">
            <w:pPr>
              <w:snapToGrid w:val="0"/>
              <w:jc w:val="center"/>
              <w:rPr>
                <w:rFonts w:ascii="Arial" w:hAnsi="Arial" w:cs="Arial"/>
                <w:sz w:val="20"/>
                <w:szCs w:val="20"/>
              </w:rPr>
            </w:pPr>
            <w:r w:rsidRPr="00C93A78">
              <w:rPr>
                <w:rFonts w:ascii="Arial" w:hAnsi="Arial" w:cs="Arial"/>
                <w:b/>
                <w:sz w:val="20"/>
                <w:szCs w:val="20"/>
              </w:rPr>
              <w:t>Proposed f</w:t>
            </w:r>
            <w:r w:rsidR="00A86C0D" w:rsidRPr="00C93A78">
              <w:rPr>
                <w:rFonts w:ascii="Arial" w:hAnsi="Arial" w:cs="Arial"/>
                <w:b/>
                <w:sz w:val="20"/>
                <w:szCs w:val="20"/>
              </w:rPr>
              <w:t>ine</w:t>
            </w:r>
            <w:r w:rsidRPr="00C93A78">
              <w:rPr>
                <w:rFonts w:ascii="Arial" w:hAnsi="Arial" w:cs="Arial"/>
                <w:b/>
                <w:sz w:val="20"/>
                <w:szCs w:val="20"/>
              </w:rPr>
              <w:t>s</w:t>
            </w:r>
          </w:p>
        </w:tc>
      </w:tr>
      <w:tr w:rsidR="004307BA" w:rsidRPr="00035891" w:rsidTr="007777C1">
        <w:tc>
          <w:tcPr>
            <w:tcW w:w="5134" w:type="dxa"/>
          </w:tcPr>
          <w:p w:rsidR="00A86C0D" w:rsidRDefault="004307BA" w:rsidP="00A86C0D">
            <w:pPr>
              <w:snapToGrid w:val="0"/>
              <w:jc w:val="both"/>
              <w:rPr>
                <w:rFonts w:ascii="Arial" w:hAnsi="Arial" w:cs="Arial"/>
                <w:sz w:val="20"/>
                <w:szCs w:val="20"/>
              </w:rPr>
            </w:pPr>
            <w:r w:rsidRPr="00035891">
              <w:rPr>
                <w:rFonts w:ascii="Arial" w:hAnsi="Arial" w:cs="Arial"/>
                <w:sz w:val="20"/>
                <w:szCs w:val="20"/>
              </w:rPr>
              <w:t>Any person c</w:t>
            </w:r>
            <w:r w:rsidR="00A86C0D" w:rsidRPr="00035891">
              <w:rPr>
                <w:rFonts w:ascii="Arial" w:hAnsi="Arial" w:cs="Arial"/>
                <w:sz w:val="20"/>
                <w:szCs w:val="20"/>
              </w:rPr>
              <w:t xml:space="preserve">onducting regulated activities without a licence </w:t>
            </w:r>
          </w:p>
          <w:p w:rsidR="008E2118" w:rsidRPr="00035891" w:rsidRDefault="008E2118" w:rsidP="00A86C0D">
            <w:pPr>
              <w:snapToGrid w:val="0"/>
              <w:jc w:val="both"/>
              <w:rPr>
                <w:rFonts w:ascii="Arial" w:hAnsi="Arial" w:cs="Arial"/>
                <w:sz w:val="20"/>
                <w:szCs w:val="20"/>
              </w:rPr>
            </w:pPr>
          </w:p>
        </w:tc>
        <w:tc>
          <w:tcPr>
            <w:tcW w:w="5116" w:type="dxa"/>
          </w:tcPr>
          <w:p w:rsidR="00A86C0D" w:rsidRPr="00035891" w:rsidRDefault="00035891" w:rsidP="00202DD9">
            <w:pPr>
              <w:snapToGrid w:val="0"/>
              <w:jc w:val="both"/>
              <w:rPr>
                <w:rFonts w:ascii="Arial" w:hAnsi="Arial" w:cs="Arial"/>
                <w:sz w:val="20"/>
                <w:szCs w:val="20"/>
              </w:rPr>
            </w:pPr>
            <w:r w:rsidRPr="00035891">
              <w:rPr>
                <w:rFonts w:ascii="Arial" w:hAnsi="Arial" w:cs="Arial"/>
                <w:sz w:val="20"/>
                <w:szCs w:val="20"/>
              </w:rPr>
              <w:t>Fine of HK$1</w:t>
            </w:r>
            <w:r w:rsidR="004307BA" w:rsidRPr="00035891">
              <w:rPr>
                <w:rFonts w:ascii="Arial" w:hAnsi="Arial" w:cs="Arial"/>
                <w:sz w:val="20"/>
                <w:szCs w:val="20"/>
              </w:rPr>
              <w:t xml:space="preserve"> million and imprisonment for two years </w:t>
            </w:r>
          </w:p>
        </w:tc>
      </w:tr>
      <w:tr w:rsidR="004307BA" w:rsidRPr="00035891" w:rsidTr="007777C1">
        <w:tc>
          <w:tcPr>
            <w:tcW w:w="5134" w:type="dxa"/>
          </w:tcPr>
          <w:p w:rsidR="008E2118" w:rsidRPr="00035891" w:rsidRDefault="00202DD9" w:rsidP="007777C1">
            <w:pPr>
              <w:snapToGrid w:val="0"/>
              <w:jc w:val="both"/>
              <w:rPr>
                <w:rFonts w:ascii="Arial" w:hAnsi="Arial" w:cs="Arial"/>
                <w:sz w:val="20"/>
                <w:szCs w:val="20"/>
              </w:rPr>
            </w:pPr>
            <w:r>
              <w:rPr>
                <w:rFonts w:ascii="Arial" w:hAnsi="Arial" w:cs="Arial"/>
                <w:sz w:val="20"/>
                <w:szCs w:val="20"/>
              </w:rPr>
              <w:t>Knowingly issuing</w:t>
            </w:r>
            <w:r w:rsidR="004307BA" w:rsidRPr="00035891">
              <w:rPr>
                <w:rFonts w:ascii="Arial" w:hAnsi="Arial" w:cs="Arial"/>
                <w:sz w:val="20"/>
                <w:szCs w:val="20"/>
              </w:rPr>
              <w:t xml:space="preserve"> an advertisement relating to an unlicen</w:t>
            </w:r>
            <w:r w:rsidR="007777C1">
              <w:rPr>
                <w:rFonts w:ascii="Arial" w:hAnsi="Arial" w:cs="Arial"/>
                <w:sz w:val="20"/>
                <w:szCs w:val="20"/>
              </w:rPr>
              <w:t>s</w:t>
            </w:r>
            <w:r w:rsidR="004307BA" w:rsidRPr="00035891">
              <w:rPr>
                <w:rFonts w:ascii="Arial" w:hAnsi="Arial" w:cs="Arial"/>
                <w:sz w:val="20"/>
                <w:szCs w:val="20"/>
              </w:rPr>
              <w:t>ed person’s provision of VA OTC services</w:t>
            </w:r>
          </w:p>
        </w:tc>
        <w:tc>
          <w:tcPr>
            <w:tcW w:w="5116" w:type="dxa"/>
          </w:tcPr>
          <w:p w:rsidR="00A86C0D" w:rsidRPr="00035891" w:rsidRDefault="004307BA" w:rsidP="007777C1">
            <w:pPr>
              <w:snapToGrid w:val="0"/>
              <w:jc w:val="both"/>
              <w:rPr>
                <w:rFonts w:ascii="Arial" w:hAnsi="Arial" w:cs="Arial"/>
                <w:sz w:val="20"/>
                <w:szCs w:val="20"/>
              </w:rPr>
            </w:pPr>
            <w:r w:rsidRPr="00035891">
              <w:rPr>
                <w:rFonts w:ascii="Arial" w:hAnsi="Arial" w:cs="Arial"/>
                <w:sz w:val="20"/>
                <w:szCs w:val="20"/>
              </w:rPr>
              <w:t>Level 5 fine of HK$50,000 and imprisonment for six months</w:t>
            </w:r>
          </w:p>
        </w:tc>
      </w:tr>
      <w:tr w:rsidR="004307BA" w:rsidRPr="00035891" w:rsidTr="007777C1">
        <w:tc>
          <w:tcPr>
            <w:tcW w:w="5134" w:type="dxa"/>
          </w:tcPr>
          <w:p w:rsidR="004307BA" w:rsidRPr="00035891" w:rsidRDefault="004307BA" w:rsidP="007777C1">
            <w:pPr>
              <w:snapToGrid w:val="0"/>
              <w:jc w:val="both"/>
              <w:rPr>
                <w:rFonts w:ascii="Arial" w:hAnsi="Arial" w:cs="Arial"/>
                <w:sz w:val="20"/>
                <w:szCs w:val="20"/>
              </w:rPr>
            </w:pPr>
            <w:r w:rsidRPr="00035891">
              <w:rPr>
                <w:rFonts w:ascii="Arial" w:hAnsi="Arial" w:cs="Arial"/>
                <w:sz w:val="20"/>
                <w:szCs w:val="20"/>
              </w:rPr>
              <w:t>Non-compliance with the statutory AML/CTF</w:t>
            </w:r>
            <w:r w:rsidR="007777C1">
              <w:rPr>
                <w:rFonts w:ascii="Arial" w:hAnsi="Arial" w:cs="Arial"/>
                <w:sz w:val="20"/>
                <w:szCs w:val="20"/>
              </w:rPr>
              <w:t xml:space="preserve"> requirements</w:t>
            </w:r>
            <w:r w:rsidRPr="00035891">
              <w:rPr>
                <w:rFonts w:ascii="Arial" w:hAnsi="Arial" w:cs="Arial"/>
                <w:sz w:val="20"/>
                <w:szCs w:val="20"/>
              </w:rPr>
              <w:t xml:space="preserve"> </w:t>
            </w:r>
          </w:p>
        </w:tc>
        <w:tc>
          <w:tcPr>
            <w:tcW w:w="5116" w:type="dxa"/>
          </w:tcPr>
          <w:p w:rsidR="004307BA" w:rsidRPr="00035891" w:rsidRDefault="004307BA" w:rsidP="00A86C0D">
            <w:pPr>
              <w:snapToGrid w:val="0"/>
              <w:jc w:val="both"/>
              <w:rPr>
                <w:rFonts w:ascii="Arial" w:hAnsi="Arial" w:cs="Arial"/>
                <w:sz w:val="20"/>
                <w:szCs w:val="20"/>
              </w:rPr>
            </w:pPr>
            <w:r w:rsidRPr="00035891">
              <w:rPr>
                <w:rFonts w:ascii="Arial" w:hAnsi="Arial" w:cs="Arial"/>
                <w:sz w:val="20"/>
                <w:szCs w:val="20"/>
              </w:rPr>
              <w:t>Fine of HK$</w:t>
            </w:r>
            <w:r w:rsidR="00035891" w:rsidRPr="00035891">
              <w:rPr>
                <w:rFonts w:ascii="Arial" w:hAnsi="Arial" w:cs="Arial"/>
                <w:sz w:val="20"/>
                <w:szCs w:val="20"/>
              </w:rPr>
              <w:t>1</w:t>
            </w:r>
            <w:r w:rsidRPr="00035891">
              <w:rPr>
                <w:rFonts w:ascii="Arial" w:hAnsi="Arial" w:cs="Arial"/>
                <w:sz w:val="20"/>
                <w:szCs w:val="20"/>
              </w:rPr>
              <w:t xml:space="preserve"> million and imprisonment for two years</w:t>
            </w:r>
          </w:p>
          <w:p w:rsidR="004307BA" w:rsidRPr="00035891" w:rsidRDefault="004307BA" w:rsidP="00A86C0D">
            <w:pPr>
              <w:snapToGrid w:val="0"/>
              <w:jc w:val="both"/>
              <w:rPr>
                <w:rFonts w:ascii="Arial" w:hAnsi="Arial" w:cs="Arial"/>
                <w:sz w:val="20"/>
                <w:szCs w:val="20"/>
              </w:rPr>
            </w:pPr>
          </w:p>
          <w:p w:rsidR="004307BA" w:rsidRPr="00035891" w:rsidRDefault="004307BA" w:rsidP="00A86C0D">
            <w:pPr>
              <w:snapToGrid w:val="0"/>
              <w:jc w:val="both"/>
              <w:rPr>
                <w:rFonts w:ascii="Arial" w:hAnsi="Arial" w:cs="Arial"/>
                <w:sz w:val="20"/>
                <w:szCs w:val="20"/>
              </w:rPr>
            </w:pPr>
          </w:p>
        </w:tc>
      </w:tr>
      <w:tr w:rsidR="007777C1" w:rsidRPr="00035891" w:rsidTr="007777C1">
        <w:tc>
          <w:tcPr>
            <w:tcW w:w="5134" w:type="dxa"/>
          </w:tcPr>
          <w:p w:rsidR="007777C1" w:rsidRPr="00035891" w:rsidRDefault="007777C1" w:rsidP="00A86C0D">
            <w:pPr>
              <w:snapToGrid w:val="0"/>
              <w:jc w:val="both"/>
              <w:rPr>
                <w:rFonts w:ascii="Arial" w:hAnsi="Arial" w:cs="Arial"/>
                <w:sz w:val="20"/>
                <w:szCs w:val="20"/>
              </w:rPr>
            </w:pPr>
            <w:r>
              <w:rPr>
                <w:rFonts w:ascii="Arial" w:hAnsi="Arial" w:cs="Arial"/>
                <w:sz w:val="20"/>
                <w:szCs w:val="20"/>
              </w:rPr>
              <w:lastRenderedPageBreak/>
              <w:t>Misconduct (e.g. contravening any other regulatory requirements)</w:t>
            </w:r>
          </w:p>
        </w:tc>
        <w:tc>
          <w:tcPr>
            <w:tcW w:w="5116" w:type="dxa"/>
          </w:tcPr>
          <w:p w:rsidR="007777C1" w:rsidRPr="00035891" w:rsidRDefault="007777C1" w:rsidP="00A86C0D">
            <w:pPr>
              <w:snapToGrid w:val="0"/>
              <w:jc w:val="both"/>
              <w:rPr>
                <w:rFonts w:ascii="Arial" w:hAnsi="Arial" w:cs="Arial"/>
                <w:sz w:val="20"/>
                <w:szCs w:val="20"/>
              </w:rPr>
            </w:pPr>
            <w:r>
              <w:rPr>
                <w:rFonts w:ascii="Arial" w:hAnsi="Arial" w:cs="Arial"/>
                <w:sz w:val="20"/>
                <w:szCs w:val="20"/>
              </w:rPr>
              <w:t>S</w:t>
            </w:r>
            <w:r w:rsidRPr="00035891">
              <w:rPr>
                <w:rFonts w:ascii="Arial" w:hAnsi="Arial" w:cs="Arial"/>
                <w:sz w:val="20"/>
                <w:szCs w:val="20"/>
              </w:rPr>
              <w:t>uspension or revocation of licen</w:t>
            </w:r>
            <w:r>
              <w:rPr>
                <w:rFonts w:ascii="Arial" w:hAnsi="Arial" w:cs="Arial"/>
                <w:sz w:val="20"/>
                <w:szCs w:val="20"/>
              </w:rPr>
              <w:t>c</w:t>
            </w:r>
            <w:r w:rsidRPr="00035891">
              <w:rPr>
                <w:rFonts w:ascii="Arial" w:hAnsi="Arial" w:cs="Arial"/>
                <w:sz w:val="20"/>
                <w:szCs w:val="20"/>
              </w:rPr>
              <w:t xml:space="preserve">e, reprimand, remedial order and/or pecuniary penalty (not exceeding </w:t>
            </w:r>
            <w:r>
              <w:rPr>
                <w:rFonts w:ascii="Arial" w:hAnsi="Arial" w:cs="Arial"/>
                <w:sz w:val="20"/>
                <w:szCs w:val="20"/>
              </w:rPr>
              <w:t>HK</w:t>
            </w:r>
            <w:r w:rsidRPr="00035891">
              <w:rPr>
                <w:rFonts w:ascii="Arial" w:hAnsi="Arial" w:cs="Arial"/>
                <w:sz w:val="20"/>
                <w:szCs w:val="20"/>
              </w:rPr>
              <w:t>$500,000)</w:t>
            </w:r>
          </w:p>
        </w:tc>
      </w:tr>
      <w:tr w:rsidR="004307BA" w:rsidRPr="00035891" w:rsidTr="007777C1">
        <w:tc>
          <w:tcPr>
            <w:tcW w:w="5134" w:type="dxa"/>
          </w:tcPr>
          <w:p w:rsidR="004307BA" w:rsidRDefault="00C93A78" w:rsidP="00A86C0D">
            <w:pPr>
              <w:snapToGrid w:val="0"/>
              <w:jc w:val="both"/>
              <w:rPr>
                <w:rFonts w:ascii="Arial" w:hAnsi="Arial" w:cs="Arial"/>
                <w:sz w:val="20"/>
                <w:szCs w:val="20"/>
              </w:rPr>
            </w:pPr>
            <w:r>
              <w:rPr>
                <w:rFonts w:ascii="Arial" w:hAnsi="Arial" w:cs="Arial"/>
                <w:sz w:val="20"/>
                <w:szCs w:val="20"/>
              </w:rPr>
              <w:t>E</w:t>
            </w:r>
            <w:r w:rsidR="00035891" w:rsidRPr="00035891">
              <w:rPr>
                <w:rFonts w:ascii="Arial" w:hAnsi="Arial" w:cs="Arial"/>
                <w:sz w:val="20"/>
                <w:szCs w:val="20"/>
              </w:rPr>
              <w:t>ngaging in fraudulent or deceptive behavio</w:t>
            </w:r>
            <w:r>
              <w:rPr>
                <w:rFonts w:ascii="Arial" w:hAnsi="Arial" w:cs="Arial"/>
                <w:sz w:val="20"/>
                <w:szCs w:val="20"/>
              </w:rPr>
              <w:t>u</w:t>
            </w:r>
            <w:r w:rsidR="00035891" w:rsidRPr="00035891">
              <w:rPr>
                <w:rFonts w:ascii="Arial" w:hAnsi="Arial" w:cs="Arial"/>
                <w:sz w:val="20"/>
                <w:szCs w:val="20"/>
              </w:rPr>
              <w:t>r in transactions involving VA</w:t>
            </w:r>
          </w:p>
          <w:p w:rsidR="008E2118" w:rsidRPr="00035891" w:rsidRDefault="008E2118" w:rsidP="00A86C0D">
            <w:pPr>
              <w:snapToGrid w:val="0"/>
              <w:jc w:val="both"/>
              <w:rPr>
                <w:rFonts w:ascii="Arial" w:hAnsi="Arial" w:cs="Arial"/>
                <w:sz w:val="20"/>
                <w:szCs w:val="20"/>
              </w:rPr>
            </w:pPr>
          </w:p>
        </w:tc>
        <w:tc>
          <w:tcPr>
            <w:tcW w:w="5116" w:type="dxa"/>
          </w:tcPr>
          <w:p w:rsidR="004307BA" w:rsidRPr="00035891" w:rsidRDefault="00035891" w:rsidP="00C93A78">
            <w:pPr>
              <w:snapToGrid w:val="0"/>
              <w:jc w:val="both"/>
              <w:rPr>
                <w:rFonts w:ascii="Arial" w:hAnsi="Arial" w:cs="Arial"/>
                <w:sz w:val="20"/>
                <w:szCs w:val="20"/>
              </w:rPr>
            </w:pPr>
            <w:r w:rsidRPr="00035891">
              <w:rPr>
                <w:rFonts w:ascii="Arial" w:hAnsi="Arial" w:cs="Arial"/>
                <w:sz w:val="20"/>
                <w:szCs w:val="20"/>
              </w:rPr>
              <w:t xml:space="preserve">Fine of HK$10 million and </w:t>
            </w:r>
            <w:r w:rsidR="00C93A78">
              <w:rPr>
                <w:rFonts w:ascii="Arial" w:hAnsi="Arial" w:cs="Arial"/>
                <w:sz w:val="20"/>
                <w:szCs w:val="20"/>
              </w:rPr>
              <w:t xml:space="preserve">imprisonment </w:t>
            </w:r>
            <w:r w:rsidRPr="00035891">
              <w:rPr>
                <w:rFonts w:ascii="Arial" w:hAnsi="Arial" w:cs="Arial"/>
                <w:sz w:val="20"/>
                <w:szCs w:val="20"/>
              </w:rPr>
              <w:t>f</w:t>
            </w:r>
            <w:r w:rsidR="00C93A78">
              <w:rPr>
                <w:rFonts w:ascii="Arial" w:hAnsi="Arial" w:cs="Arial"/>
                <w:sz w:val="20"/>
                <w:szCs w:val="20"/>
              </w:rPr>
              <w:t>or</w:t>
            </w:r>
            <w:r w:rsidRPr="00035891">
              <w:rPr>
                <w:rFonts w:ascii="Arial" w:hAnsi="Arial" w:cs="Arial"/>
                <w:sz w:val="20"/>
                <w:szCs w:val="20"/>
              </w:rPr>
              <w:t xml:space="preserve"> 10 years </w:t>
            </w:r>
          </w:p>
        </w:tc>
      </w:tr>
      <w:tr w:rsidR="00035891" w:rsidRPr="00035891" w:rsidTr="007777C1">
        <w:tc>
          <w:tcPr>
            <w:tcW w:w="5134" w:type="dxa"/>
          </w:tcPr>
          <w:p w:rsidR="00035891" w:rsidRDefault="00035891" w:rsidP="00A86C0D">
            <w:pPr>
              <w:snapToGrid w:val="0"/>
              <w:jc w:val="both"/>
              <w:rPr>
                <w:rFonts w:ascii="Arial" w:hAnsi="Arial" w:cs="Arial"/>
                <w:sz w:val="20"/>
                <w:szCs w:val="20"/>
              </w:rPr>
            </w:pPr>
            <w:r w:rsidRPr="00035891">
              <w:rPr>
                <w:rFonts w:ascii="Arial" w:hAnsi="Arial" w:cs="Arial"/>
                <w:sz w:val="20"/>
                <w:szCs w:val="20"/>
              </w:rPr>
              <w:t>Any person to make a fraudulent or reckless misrepresentation for the purpose of inducing another person to engage in a transaction involving VA.</w:t>
            </w:r>
          </w:p>
          <w:p w:rsidR="008E2118" w:rsidRPr="00035891" w:rsidRDefault="008E2118" w:rsidP="00A86C0D">
            <w:pPr>
              <w:snapToGrid w:val="0"/>
              <w:jc w:val="both"/>
              <w:rPr>
                <w:rFonts w:ascii="Arial" w:hAnsi="Arial" w:cs="Arial"/>
                <w:sz w:val="20"/>
                <w:szCs w:val="20"/>
              </w:rPr>
            </w:pPr>
          </w:p>
        </w:tc>
        <w:tc>
          <w:tcPr>
            <w:tcW w:w="5116" w:type="dxa"/>
          </w:tcPr>
          <w:p w:rsidR="00035891" w:rsidRPr="00035891" w:rsidRDefault="00035891" w:rsidP="00C93A78">
            <w:pPr>
              <w:snapToGrid w:val="0"/>
              <w:jc w:val="both"/>
              <w:rPr>
                <w:rFonts w:ascii="Arial" w:hAnsi="Arial" w:cs="Arial"/>
                <w:sz w:val="20"/>
                <w:szCs w:val="20"/>
              </w:rPr>
            </w:pPr>
            <w:r w:rsidRPr="00035891">
              <w:rPr>
                <w:rFonts w:ascii="Arial" w:hAnsi="Arial" w:cs="Arial"/>
                <w:sz w:val="20"/>
                <w:szCs w:val="20"/>
              </w:rPr>
              <w:t xml:space="preserve">Fine of HK$1 million and imprisonment </w:t>
            </w:r>
            <w:r w:rsidR="00C93A78" w:rsidRPr="00035891">
              <w:rPr>
                <w:rFonts w:ascii="Arial" w:hAnsi="Arial" w:cs="Arial"/>
                <w:sz w:val="20"/>
                <w:szCs w:val="20"/>
              </w:rPr>
              <w:t>f</w:t>
            </w:r>
            <w:r w:rsidR="00C93A78">
              <w:rPr>
                <w:rFonts w:ascii="Arial" w:hAnsi="Arial" w:cs="Arial"/>
                <w:sz w:val="20"/>
                <w:szCs w:val="20"/>
              </w:rPr>
              <w:t>or</w:t>
            </w:r>
            <w:r w:rsidR="00C93A78" w:rsidRPr="00035891">
              <w:rPr>
                <w:rFonts w:ascii="Arial" w:hAnsi="Arial" w:cs="Arial"/>
                <w:sz w:val="20"/>
                <w:szCs w:val="20"/>
              </w:rPr>
              <w:t xml:space="preserve"> </w:t>
            </w:r>
            <w:r w:rsidRPr="00035891">
              <w:rPr>
                <w:rFonts w:ascii="Arial" w:hAnsi="Arial" w:cs="Arial"/>
                <w:sz w:val="20"/>
                <w:szCs w:val="20"/>
              </w:rPr>
              <w:t>seven years</w:t>
            </w:r>
          </w:p>
        </w:tc>
      </w:tr>
    </w:tbl>
    <w:p w:rsidR="00A86C0D" w:rsidRDefault="00A86C0D" w:rsidP="004F4AC5">
      <w:pPr>
        <w:snapToGrid w:val="0"/>
        <w:spacing w:after="0" w:line="240" w:lineRule="auto"/>
        <w:jc w:val="both"/>
        <w:rPr>
          <w:rFonts w:ascii="Arial" w:hAnsi="Arial" w:cs="Arial"/>
          <w:sz w:val="20"/>
          <w:szCs w:val="20"/>
        </w:rPr>
      </w:pPr>
    </w:p>
    <w:p w:rsidR="00072D9C" w:rsidRPr="00072D9C" w:rsidRDefault="00523F4C" w:rsidP="00523F4C">
      <w:pPr>
        <w:snapToGrid w:val="0"/>
        <w:spacing w:after="0" w:line="240" w:lineRule="auto"/>
        <w:ind w:firstLine="360"/>
        <w:jc w:val="both"/>
        <w:rPr>
          <w:rFonts w:ascii="Arial" w:hAnsi="Arial" w:cs="Arial"/>
          <w:b/>
          <w:color w:val="FF0000"/>
          <w:sz w:val="20"/>
          <w:szCs w:val="20"/>
        </w:rPr>
      </w:pPr>
      <w:r w:rsidRPr="00072D9C">
        <w:rPr>
          <w:rFonts w:ascii="Arial" w:hAnsi="Arial" w:cs="Arial"/>
          <w:b/>
          <w:color w:val="FF0000"/>
          <w:sz w:val="20"/>
          <w:szCs w:val="20"/>
        </w:rPr>
        <w:t>Responding to the FSTB Consultation</w:t>
      </w:r>
    </w:p>
    <w:p w:rsidR="00072D9C" w:rsidRDefault="00072D9C" w:rsidP="00523F4C">
      <w:pPr>
        <w:snapToGrid w:val="0"/>
        <w:spacing w:after="0" w:line="240" w:lineRule="auto"/>
        <w:ind w:firstLine="360"/>
        <w:jc w:val="both"/>
        <w:rPr>
          <w:rFonts w:ascii="Arial" w:hAnsi="Arial" w:cs="Arial"/>
          <w:sz w:val="20"/>
          <w:szCs w:val="20"/>
        </w:rPr>
      </w:pPr>
    </w:p>
    <w:p w:rsidR="00523F4C" w:rsidRDefault="00072D9C" w:rsidP="00072D9C">
      <w:pPr>
        <w:snapToGrid w:val="0"/>
        <w:spacing w:after="0" w:line="240" w:lineRule="auto"/>
        <w:ind w:left="360"/>
        <w:jc w:val="both"/>
        <w:rPr>
          <w:rFonts w:ascii="Arial" w:hAnsi="Arial" w:cs="Arial"/>
          <w:sz w:val="20"/>
          <w:szCs w:val="20"/>
        </w:rPr>
      </w:pPr>
      <w:r>
        <w:rPr>
          <w:rFonts w:ascii="Arial" w:hAnsi="Arial" w:cs="Arial"/>
          <w:sz w:val="20"/>
          <w:szCs w:val="20"/>
        </w:rPr>
        <w:t xml:space="preserve">Interested parties can respond to the consultation by submitting a written submission to </w:t>
      </w:r>
      <w:hyperlink r:id="rId10" w:history="1">
        <w:r w:rsidRPr="00035891">
          <w:rPr>
            <w:rStyle w:val="a3"/>
            <w:rFonts w:ascii="Arial" w:hAnsi="Arial" w:cs="Arial"/>
            <w:sz w:val="20"/>
            <w:szCs w:val="20"/>
          </w:rPr>
          <w:t>vaotc-consult@fstb.gov.hk</w:t>
        </w:r>
      </w:hyperlink>
      <w:r w:rsidRPr="00035891">
        <w:rPr>
          <w:rFonts w:ascii="Arial" w:hAnsi="Arial" w:cs="Arial"/>
          <w:sz w:val="20"/>
          <w:szCs w:val="20"/>
        </w:rPr>
        <w:t xml:space="preserve"> or by mail to Division 5, Financial Services Branch, Financial Services and the Treasury Bureau, 24/F, Central Government Offices, Tim Mei A</w:t>
      </w:r>
      <w:r>
        <w:rPr>
          <w:rFonts w:ascii="Arial" w:hAnsi="Arial" w:cs="Arial"/>
          <w:sz w:val="20"/>
          <w:szCs w:val="20"/>
        </w:rPr>
        <w:t>venue, Tamar Central, Hong Kong by 12 April 2024.</w:t>
      </w:r>
    </w:p>
    <w:p w:rsidR="00523F4C" w:rsidRPr="00FE1C7B" w:rsidRDefault="00523F4C" w:rsidP="004F4AC5">
      <w:pPr>
        <w:snapToGrid w:val="0"/>
        <w:spacing w:after="0" w:line="240" w:lineRule="auto"/>
        <w:jc w:val="both"/>
        <w:rPr>
          <w:rFonts w:ascii="Arial" w:hAnsi="Arial" w:cs="Arial"/>
          <w:sz w:val="20"/>
          <w:szCs w:val="20"/>
        </w:rPr>
      </w:pPr>
    </w:p>
    <w:p w:rsidR="00234A1A" w:rsidRPr="00C46FF7" w:rsidRDefault="00234A1A" w:rsidP="00234A1A">
      <w:pPr>
        <w:pStyle w:val="Disclaimer"/>
        <w:numPr>
          <w:ilvl w:val="0"/>
          <w:numId w:val="1"/>
        </w:numPr>
        <w:rPr>
          <w:rFonts w:ascii="Arial" w:hAnsi="Arial" w:cs="Arial"/>
          <w:sz w:val="22"/>
          <w:szCs w:val="22"/>
          <w:lang w:val="en-GB"/>
        </w:rPr>
      </w:pPr>
      <w:r w:rsidRPr="00C46FF7">
        <w:rPr>
          <w:rFonts w:ascii="Arial" w:hAnsi="Arial" w:cs="Arial"/>
          <w:sz w:val="22"/>
          <w:szCs w:val="22"/>
          <w:lang w:val="en-GB"/>
        </w:rPr>
        <w:t>Its contents do not constitute legal advice and it should not be regarded as a substitute for detailed advice in individual cases.</w:t>
      </w:r>
    </w:p>
    <w:p w:rsidR="00234A1A" w:rsidRPr="00C46FF7" w:rsidRDefault="00234A1A" w:rsidP="00234A1A">
      <w:pPr>
        <w:pStyle w:val="Disclaimer"/>
        <w:numPr>
          <w:ilvl w:val="0"/>
          <w:numId w:val="1"/>
        </w:numPr>
        <w:rPr>
          <w:rFonts w:ascii="Arial" w:hAnsi="Arial" w:cs="Arial"/>
          <w:sz w:val="22"/>
          <w:szCs w:val="22"/>
          <w:lang w:val="en-GB"/>
        </w:rPr>
      </w:pPr>
      <w:r w:rsidRPr="00C46FF7">
        <w:rPr>
          <w:rFonts w:ascii="Arial" w:hAnsi="Arial" w:cs="Arial"/>
          <w:sz w:val="22"/>
          <w:szCs w:val="22"/>
          <w:lang w:val="en-GB"/>
        </w:rPr>
        <w:t xml:space="preserve">Transmission of this information is not intended to create and receipt does not constitute a lawyer-client relationship between </w:t>
      </w: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and the user or browser.</w:t>
      </w:r>
    </w:p>
    <w:p w:rsidR="00234A1A" w:rsidRPr="00C46FF7" w:rsidRDefault="00234A1A" w:rsidP="00234A1A">
      <w:pPr>
        <w:pStyle w:val="Disclaimer"/>
        <w:numPr>
          <w:ilvl w:val="0"/>
          <w:numId w:val="1"/>
        </w:numPr>
        <w:rPr>
          <w:rFonts w:ascii="Arial" w:hAnsi="Arial" w:cs="Arial"/>
          <w:sz w:val="22"/>
          <w:szCs w:val="22"/>
          <w:lang w:val="en-GB"/>
        </w:rPr>
      </w:pP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is not responsible for any </w:t>
      </w:r>
      <w:proofErr w:type="gramStart"/>
      <w:r w:rsidRPr="00C46FF7">
        <w:rPr>
          <w:rFonts w:ascii="Arial" w:hAnsi="Arial" w:cs="Arial"/>
          <w:sz w:val="22"/>
          <w:szCs w:val="22"/>
          <w:lang w:val="en-GB"/>
        </w:rPr>
        <w:t>third party</w:t>
      </w:r>
      <w:proofErr w:type="gramEnd"/>
      <w:r w:rsidRPr="00C46FF7">
        <w:rPr>
          <w:rFonts w:ascii="Arial" w:hAnsi="Arial" w:cs="Arial"/>
          <w:sz w:val="22"/>
          <w:szCs w:val="22"/>
          <w:lang w:val="en-GB"/>
        </w:rPr>
        <w:t xml:space="preserve"> content which can be accessed through the website.</w:t>
      </w:r>
    </w:p>
    <w:p w:rsidR="00234A1A" w:rsidRPr="00C46FF7" w:rsidRDefault="00234A1A" w:rsidP="00234A1A">
      <w:pPr>
        <w:pStyle w:val="Disclaimer"/>
        <w:numPr>
          <w:ilvl w:val="0"/>
          <w:numId w:val="1"/>
        </w:numPr>
        <w:rPr>
          <w:rFonts w:ascii="Arial" w:hAnsi="Arial" w:cs="Arial"/>
          <w:sz w:val="22"/>
          <w:szCs w:val="22"/>
          <w:lang w:val="en-GB"/>
        </w:rPr>
      </w:pPr>
      <w:r w:rsidRPr="00C46FF7">
        <w:rPr>
          <w:rFonts w:ascii="Arial" w:hAnsi="Arial" w:cs="Arial"/>
          <w:sz w:val="22"/>
          <w:szCs w:val="22"/>
          <w:lang w:val="en-GB"/>
        </w:rPr>
        <w:t xml:space="preserve">If you do not wish to receive this </w:t>
      </w:r>
      <w:proofErr w:type="gramStart"/>
      <w:r w:rsidRPr="00C46FF7">
        <w:rPr>
          <w:rFonts w:ascii="Arial" w:hAnsi="Arial" w:cs="Arial"/>
          <w:sz w:val="22"/>
          <w:szCs w:val="22"/>
          <w:lang w:val="en-GB"/>
        </w:rPr>
        <w:t>newsletter</w:t>
      </w:r>
      <w:proofErr w:type="gramEnd"/>
      <w:r w:rsidRPr="00C46FF7">
        <w:rPr>
          <w:rFonts w:ascii="Arial" w:hAnsi="Arial" w:cs="Arial"/>
          <w:sz w:val="22"/>
          <w:szCs w:val="22"/>
          <w:lang w:val="en-GB"/>
        </w:rPr>
        <w:t xml:space="preserve"> please let us know by emailing us at  </w:t>
      </w:r>
      <w:hyperlink r:id="rId11">
        <w:r w:rsidRPr="00C46FF7">
          <w:rPr>
            <w:rFonts w:ascii="Arial" w:hAnsi="Arial" w:cs="Arial"/>
            <w:sz w:val="22"/>
            <w:szCs w:val="22"/>
            <w:lang w:val="en-GB"/>
          </w:rPr>
          <w:t>unsubscribe@charltonslaw.com</w:t>
        </w:r>
      </w:hyperlink>
    </w:p>
    <w:p w:rsidR="00234A1A" w:rsidRPr="00C46FF7" w:rsidRDefault="00234A1A" w:rsidP="00234A1A">
      <w:pPr>
        <w:pStyle w:val="BlackStrips"/>
        <w:numPr>
          <w:ilvl w:val="0"/>
          <w:numId w:val="1"/>
        </w:numPr>
        <w:rPr>
          <w:rFonts w:ascii="Arial" w:hAnsi="Arial" w:cs="Arial"/>
          <w:sz w:val="22"/>
          <w:szCs w:val="22"/>
          <w:lang w:val="en-GB"/>
        </w:rPr>
      </w:pP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 Hong Kong Law – </w:t>
      </w:r>
      <w:r>
        <w:rPr>
          <w:rFonts w:ascii="Arial" w:eastAsia="Cambria" w:hAnsi="Arial" w:cs="Arial"/>
          <w:lang w:val="en-GB"/>
        </w:rPr>
        <w:t>24 February 2024</w:t>
      </w:r>
    </w:p>
    <w:p w:rsidR="00C61B65" w:rsidRPr="005152D8" w:rsidRDefault="00C61B65" w:rsidP="00490707">
      <w:pPr>
        <w:snapToGrid w:val="0"/>
        <w:spacing w:after="0" w:line="240" w:lineRule="auto"/>
        <w:jc w:val="both"/>
        <w:rPr>
          <w:rFonts w:ascii="Arial" w:hAnsi="Arial" w:cs="Arial"/>
          <w:sz w:val="20"/>
          <w:szCs w:val="20"/>
        </w:rPr>
      </w:pPr>
    </w:p>
    <w:sectPr w:rsidR="00C61B65" w:rsidRPr="005152D8" w:rsidSect="00D10060">
      <w:pgSz w:w="12240" w:h="15840"/>
      <w:pgMar w:top="72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7AE2" w:rsidRDefault="00357AE2" w:rsidP="008D7B3A">
      <w:pPr>
        <w:spacing w:after="0" w:line="240" w:lineRule="auto"/>
      </w:pPr>
      <w:r>
        <w:separator/>
      </w:r>
    </w:p>
  </w:endnote>
  <w:endnote w:type="continuationSeparator" w:id="0">
    <w:p w:rsidR="00357AE2" w:rsidRDefault="00357AE2" w:rsidP="008D7B3A">
      <w:pPr>
        <w:spacing w:after="0" w:line="240" w:lineRule="auto"/>
      </w:pPr>
      <w:r>
        <w:continuationSeparator/>
      </w:r>
    </w:p>
  </w:endnote>
  <w:endnote w:type="continuationNotice" w:id="1">
    <w:p w:rsidR="00357AE2" w:rsidRDefault="00357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7AE2" w:rsidRDefault="00357AE2" w:rsidP="008D7B3A">
      <w:pPr>
        <w:spacing w:after="0" w:line="240" w:lineRule="auto"/>
      </w:pPr>
      <w:r>
        <w:separator/>
      </w:r>
    </w:p>
  </w:footnote>
  <w:footnote w:type="continuationSeparator" w:id="0">
    <w:p w:rsidR="00357AE2" w:rsidRDefault="00357AE2" w:rsidP="008D7B3A">
      <w:pPr>
        <w:spacing w:after="0" w:line="240" w:lineRule="auto"/>
      </w:pPr>
      <w:r>
        <w:continuationSeparator/>
      </w:r>
    </w:p>
  </w:footnote>
  <w:footnote w:type="continuationNotice" w:id="1">
    <w:p w:rsidR="00357AE2" w:rsidRDefault="00357AE2">
      <w:pPr>
        <w:spacing w:after="0" w:line="240" w:lineRule="auto"/>
      </w:pPr>
    </w:p>
  </w:footnote>
  <w:footnote w:id="2">
    <w:p w:rsidR="00935195" w:rsidRPr="00935195" w:rsidRDefault="00935195">
      <w:pPr>
        <w:pStyle w:val="a5"/>
        <w:rPr>
          <w:rFonts w:ascii="Arial" w:hAnsi="Arial" w:cs="Arial"/>
        </w:rPr>
      </w:pPr>
      <w:r w:rsidRPr="00935195">
        <w:rPr>
          <w:rStyle w:val="a7"/>
          <w:rFonts w:ascii="Arial" w:hAnsi="Arial" w:cs="Arial"/>
          <w:sz w:val="16"/>
        </w:rPr>
        <w:footnoteRef/>
      </w:r>
      <w:r w:rsidRPr="00935195">
        <w:rPr>
          <w:rFonts w:ascii="Arial" w:hAnsi="Arial" w:cs="Arial"/>
          <w:sz w:val="16"/>
        </w:rPr>
        <w:t xml:space="preserve"> Policy statement on the development of virtual assets (VA) in Hong Kong. Available at </w:t>
      </w:r>
      <w:hyperlink r:id="rId1" w:history="1">
        <w:r w:rsidRPr="00935195">
          <w:rPr>
            <w:rStyle w:val="a3"/>
            <w:rFonts w:ascii="Arial" w:hAnsi="Arial" w:cs="Arial"/>
            <w:sz w:val="16"/>
          </w:rPr>
          <w:t>P2022103000454_404805_1_1667173469522.pdf (info.gov.hk)</w:t>
        </w:r>
      </w:hyperlink>
    </w:p>
  </w:footnote>
  <w:footnote w:id="3">
    <w:p w:rsidR="008E2118" w:rsidRDefault="008E2118">
      <w:pPr>
        <w:pStyle w:val="a5"/>
      </w:pPr>
      <w:r>
        <w:rPr>
          <w:rStyle w:val="a7"/>
        </w:rPr>
        <w:footnoteRef/>
      </w:r>
      <w:r>
        <w:t xml:space="preserve"> </w:t>
      </w:r>
      <w:r w:rsidRPr="008E2118">
        <w:rPr>
          <w:rFonts w:ascii="Arial" w:hAnsi="Arial" w:cs="Arial"/>
          <w:sz w:val="16"/>
        </w:rPr>
        <w:t>List of virtual asset trading platforms. Available at https://www.sfc.hk/en/Welcome-to-the-Fintech-Contact-Point/Virtual-assets/Virtual-asset-trading-platforms-operators/Lists-of-virtual-asset-trading-platforms</w:t>
      </w:r>
      <w:r>
        <w:rPr>
          <w:rFonts w:ascii="Arial" w:hAnsi="Arial" w:cs="Arial"/>
          <w:sz w:val="16"/>
        </w:rPr>
        <w:t>.</w:t>
      </w:r>
    </w:p>
  </w:footnote>
  <w:footnote w:id="4">
    <w:p w:rsidR="005B4C7E" w:rsidRDefault="005B4C7E">
      <w:pPr>
        <w:pStyle w:val="a5"/>
      </w:pPr>
      <w:r w:rsidRPr="003103B9">
        <w:rPr>
          <w:rStyle w:val="a7"/>
          <w:rFonts w:ascii="Arial" w:hAnsi="Arial" w:cs="Arial"/>
          <w:sz w:val="16"/>
          <w:szCs w:val="16"/>
        </w:rPr>
        <w:footnoteRef/>
      </w:r>
      <w:r w:rsidRPr="003103B9">
        <w:rPr>
          <w:rFonts w:ascii="Arial" w:hAnsi="Arial" w:cs="Arial"/>
          <w:sz w:val="16"/>
          <w:szCs w:val="16"/>
        </w:rPr>
        <w:t xml:space="preserve"> </w:t>
      </w:r>
      <w:r w:rsidRPr="003103B9">
        <w:rPr>
          <w:rFonts w:ascii="Arial" w:hAnsi="Arial" w:cs="Arial"/>
          <w:sz w:val="16"/>
        </w:rPr>
        <w:t>Paragraph 7.7(b) of the VATP Guidelines</w:t>
      </w:r>
      <w:r w:rsidR="002C2D7A">
        <w:rPr>
          <w:rFonts w:ascii="Arial" w:hAnsi="Arial"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B59"/>
    <w:multiLevelType w:val="hybridMultilevel"/>
    <w:tmpl w:val="E16225C8"/>
    <w:lvl w:ilvl="0" w:tplc="C714E0A0">
      <w:start w:val="1"/>
      <w:numFmt w:val="lowerLetter"/>
      <w:lvlText w:val="(%1)"/>
      <w:lvlJc w:val="left"/>
      <w:pPr>
        <w:ind w:left="720" w:hanging="360"/>
      </w:pPr>
      <w:rPr>
        <w:rFonts w:hint="default"/>
      </w:rPr>
    </w:lvl>
    <w:lvl w:ilvl="1" w:tplc="E5FEED08">
      <w:start w:val="1"/>
      <w:numFmt w:val="lowerRoman"/>
      <w:lvlText w:val="(%2)"/>
      <w:lvlJc w:val="left"/>
      <w:pPr>
        <w:ind w:left="1440" w:hanging="360"/>
      </w:pPr>
      <w:rPr>
        <w:rFonts w:hint="default"/>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40FBC"/>
    <w:multiLevelType w:val="hybridMultilevel"/>
    <w:tmpl w:val="4CE6767A"/>
    <w:lvl w:ilvl="0" w:tplc="4B28B7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47786"/>
    <w:multiLevelType w:val="hybridMultilevel"/>
    <w:tmpl w:val="B3D8D7FA"/>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68639EE"/>
    <w:multiLevelType w:val="hybridMultilevel"/>
    <w:tmpl w:val="63ECCAD0"/>
    <w:lvl w:ilvl="0" w:tplc="C714E0A0">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17344F94"/>
    <w:multiLevelType w:val="hybridMultilevel"/>
    <w:tmpl w:val="E8BE6624"/>
    <w:lvl w:ilvl="0" w:tplc="04190001">
      <w:start w:val="1"/>
      <w:numFmt w:val="bullet"/>
      <w:lvlText w:val=""/>
      <w:lvlJc w:val="left"/>
      <w:pPr>
        <w:ind w:left="780" w:hanging="360"/>
      </w:pPr>
      <w:rPr>
        <w:rFonts w:ascii="Symbol" w:hAnsi="Symbol" w:hint="default"/>
        <w:sz w:val="20"/>
        <w:szCs w:val="20"/>
      </w:rPr>
    </w:lvl>
    <w:lvl w:ilvl="1" w:tplc="C714E0A0">
      <w:start w:val="1"/>
      <w:numFmt w:val="lowerLetter"/>
      <w:lvlText w:val="(%2)"/>
      <w:lvlJc w:val="left"/>
      <w:pPr>
        <w:ind w:left="1500" w:hanging="360"/>
      </w:pPr>
      <w:rPr>
        <w:rFonts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19396752"/>
    <w:multiLevelType w:val="hybridMultilevel"/>
    <w:tmpl w:val="0900A80A"/>
    <w:lvl w:ilvl="0" w:tplc="8FD2D63A">
      <w:start w:val="1"/>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8526A"/>
    <w:multiLevelType w:val="hybridMultilevel"/>
    <w:tmpl w:val="F1E0D01E"/>
    <w:lvl w:ilvl="0" w:tplc="9DDEE006">
      <w:start w:val="1"/>
      <w:numFmt w:val="lowerRoman"/>
      <w:lvlText w:val="(%1)"/>
      <w:lvlJc w:val="left"/>
      <w:pPr>
        <w:ind w:left="2164" w:hanging="72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7" w15:restartNumberingAfterBreak="0">
    <w:nsid w:val="28E22D8D"/>
    <w:multiLevelType w:val="hybridMultilevel"/>
    <w:tmpl w:val="C1463210"/>
    <w:lvl w:ilvl="0" w:tplc="95BA7BB2">
      <w:start w:val="1"/>
      <w:numFmt w:val="bullet"/>
      <w:lvlText w:val="•"/>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FA46BB"/>
    <w:multiLevelType w:val="hybridMultilevel"/>
    <w:tmpl w:val="63ECCAD0"/>
    <w:lvl w:ilvl="0" w:tplc="C714E0A0">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9" w15:restartNumberingAfterBreak="0">
    <w:nsid w:val="2A9C5FF4"/>
    <w:multiLevelType w:val="hybridMultilevel"/>
    <w:tmpl w:val="17300284"/>
    <w:lvl w:ilvl="0" w:tplc="6F7086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574A2"/>
    <w:multiLevelType w:val="hybridMultilevel"/>
    <w:tmpl w:val="671863B8"/>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3AF45641"/>
    <w:multiLevelType w:val="hybridMultilevel"/>
    <w:tmpl w:val="8E5E127E"/>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3C390518"/>
    <w:multiLevelType w:val="hybridMultilevel"/>
    <w:tmpl w:val="9A7023EC"/>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3D2F01A0"/>
    <w:multiLevelType w:val="hybridMultilevel"/>
    <w:tmpl w:val="6B5290B6"/>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3DC32AB5"/>
    <w:multiLevelType w:val="hybridMultilevel"/>
    <w:tmpl w:val="A792018A"/>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42617"/>
    <w:multiLevelType w:val="hybridMultilevel"/>
    <w:tmpl w:val="EF94C2D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F332A"/>
    <w:multiLevelType w:val="hybridMultilevel"/>
    <w:tmpl w:val="A31AA994"/>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D685135"/>
    <w:multiLevelType w:val="hybridMultilevel"/>
    <w:tmpl w:val="330A59F0"/>
    <w:lvl w:ilvl="0" w:tplc="0E44AB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50FA0"/>
    <w:multiLevelType w:val="hybridMultilevel"/>
    <w:tmpl w:val="5C464C50"/>
    <w:lvl w:ilvl="0" w:tplc="95BA7BB2">
      <w:start w:val="1"/>
      <w:numFmt w:val="bullet"/>
      <w:lvlText w:val="•"/>
      <w:lvlJc w:val="left"/>
      <w:pPr>
        <w:ind w:left="776" w:hanging="360"/>
      </w:pPr>
      <w:rPr>
        <w:rFonts w:ascii="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9" w15:restartNumberingAfterBreak="0">
    <w:nsid w:val="530C3E44"/>
    <w:multiLevelType w:val="hybridMultilevel"/>
    <w:tmpl w:val="1BB20028"/>
    <w:lvl w:ilvl="0" w:tplc="A38CE2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349DB"/>
    <w:multiLevelType w:val="hybridMultilevel"/>
    <w:tmpl w:val="78F4B002"/>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E5FEED08">
      <w:start w:val="1"/>
      <w:numFmt w:val="lowerRoman"/>
      <w:lvlText w:val="(%3)"/>
      <w:lvlJc w:val="left"/>
      <w:pPr>
        <w:ind w:left="2160" w:hanging="180"/>
      </w:pPr>
      <w:rPr>
        <w:rFonts w:hint="default"/>
        <w:sz w:val="20"/>
        <w:szCs w:val="2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530B2B"/>
    <w:multiLevelType w:val="hybridMultilevel"/>
    <w:tmpl w:val="114C0B5A"/>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64A02A5B"/>
    <w:multiLevelType w:val="hybridMultilevel"/>
    <w:tmpl w:val="1724103C"/>
    <w:lvl w:ilvl="0" w:tplc="C714E0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0E0755"/>
    <w:multiLevelType w:val="hybridMultilevel"/>
    <w:tmpl w:val="78F4B002"/>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E5FEED08">
      <w:start w:val="1"/>
      <w:numFmt w:val="lowerRoman"/>
      <w:lvlText w:val="(%3)"/>
      <w:lvlJc w:val="left"/>
      <w:pPr>
        <w:ind w:left="2160" w:hanging="180"/>
      </w:pPr>
      <w:rPr>
        <w:rFonts w:hint="default"/>
        <w:sz w:val="20"/>
        <w:szCs w:val="2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1D0D38"/>
    <w:multiLevelType w:val="hybridMultilevel"/>
    <w:tmpl w:val="39A86554"/>
    <w:lvl w:ilvl="0" w:tplc="54943C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15060A4"/>
    <w:multiLevelType w:val="hybridMultilevel"/>
    <w:tmpl w:val="1724103C"/>
    <w:lvl w:ilvl="0" w:tplc="C714E0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FF17A8"/>
    <w:multiLevelType w:val="hybridMultilevel"/>
    <w:tmpl w:val="1FA2F83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B5094"/>
    <w:multiLevelType w:val="hybridMultilevel"/>
    <w:tmpl w:val="1724103C"/>
    <w:lvl w:ilvl="0" w:tplc="C714E0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F549FE"/>
    <w:multiLevelType w:val="hybridMultilevel"/>
    <w:tmpl w:val="A792018A"/>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3C11AB"/>
    <w:multiLevelType w:val="hybridMultilevel"/>
    <w:tmpl w:val="A792018A"/>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4809170">
    <w:abstractNumId w:val="27"/>
  </w:num>
  <w:num w:numId="2" w16cid:durableId="1720937506">
    <w:abstractNumId w:val="16"/>
  </w:num>
  <w:num w:numId="3" w16cid:durableId="104006278">
    <w:abstractNumId w:val="28"/>
  </w:num>
  <w:num w:numId="4" w16cid:durableId="595551450">
    <w:abstractNumId w:val="4"/>
  </w:num>
  <w:num w:numId="5" w16cid:durableId="1549874728">
    <w:abstractNumId w:val="1"/>
  </w:num>
  <w:num w:numId="6" w16cid:durableId="386954711">
    <w:abstractNumId w:val="22"/>
  </w:num>
  <w:num w:numId="7" w16cid:durableId="1240213050">
    <w:abstractNumId w:val="13"/>
  </w:num>
  <w:num w:numId="8" w16cid:durableId="1988317439">
    <w:abstractNumId w:val="10"/>
  </w:num>
  <w:num w:numId="9" w16cid:durableId="188644737">
    <w:abstractNumId w:val="21"/>
  </w:num>
  <w:num w:numId="10" w16cid:durableId="835342375">
    <w:abstractNumId w:val="11"/>
  </w:num>
  <w:num w:numId="11" w16cid:durableId="892152540">
    <w:abstractNumId w:val="25"/>
  </w:num>
  <w:num w:numId="12" w16cid:durableId="1642732314">
    <w:abstractNumId w:val="2"/>
  </w:num>
  <w:num w:numId="13" w16cid:durableId="1140803291">
    <w:abstractNumId w:val="12"/>
  </w:num>
  <w:num w:numId="14" w16cid:durableId="2031445402">
    <w:abstractNumId w:val="0"/>
  </w:num>
  <w:num w:numId="15" w16cid:durableId="99109266">
    <w:abstractNumId w:val="23"/>
  </w:num>
  <w:num w:numId="16" w16cid:durableId="1692875829">
    <w:abstractNumId w:val="14"/>
  </w:num>
  <w:num w:numId="17" w16cid:durableId="441874739">
    <w:abstractNumId w:val="29"/>
  </w:num>
  <w:num w:numId="18" w16cid:durableId="1494372456">
    <w:abstractNumId w:val="30"/>
  </w:num>
  <w:num w:numId="19" w16cid:durableId="198712177">
    <w:abstractNumId w:val="17"/>
  </w:num>
  <w:num w:numId="20" w16cid:durableId="901907982">
    <w:abstractNumId w:val="8"/>
  </w:num>
  <w:num w:numId="21" w16cid:durableId="1744109725">
    <w:abstractNumId w:val="3"/>
  </w:num>
  <w:num w:numId="22" w16cid:durableId="7561418">
    <w:abstractNumId w:val="24"/>
  </w:num>
  <w:num w:numId="23" w16cid:durableId="1964968068">
    <w:abstractNumId w:val="6"/>
  </w:num>
  <w:num w:numId="24" w16cid:durableId="1706054275">
    <w:abstractNumId w:val="20"/>
  </w:num>
  <w:num w:numId="25" w16cid:durableId="1112824706">
    <w:abstractNumId w:val="9"/>
  </w:num>
  <w:num w:numId="26" w16cid:durableId="442002146">
    <w:abstractNumId w:val="26"/>
  </w:num>
  <w:num w:numId="27" w16cid:durableId="1205369690">
    <w:abstractNumId w:val="7"/>
  </w:num>
  <w:num w:numId="28" w16cid:durableId="14886102">
    <w:abstractNumId w:val="5"/>
  </w:num>
  <w:num w:numId="29" w16cid:durableId="548146195">
    <w:abstractNumId w:val="19"/>
  </w:num>
  <w:num w:numId="30" w16cid:durableId="400913492">
    <w:abstractNumId w:val="15"/>
  </w:num>
  <w:num w:numId="31" w16cid:durableId="198831562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zM3MTAysDQzMjVR0lEKTi0uzszPAykwqQUAs35vmywAAAA="/>
  </w:docVars>
  <w:rsids>
    <w:rsidRoot w:val="00A13F4A"/>
    <w:rsid w:val="000033F7"/>
    <w:rsid w:val="00007DFA"/>
    <w:rsid w:val="00014930"/>
    <w:rsid w:val="00015F8B"/>
    <w:rsid w:val="000276E1"/>
    <w:rsid w:val="00031DD9"/>
    <w:rsid w:val="00032608"/>
    <w:rsid w:val="000328CF"/>
    <w:rsid w:val="0003535F"/>
    <w:rsid w:val="000353C1"/>
    <w:rsid w:val="00035891"/>
    <w:rsid w:val="0003791B"/>
    <w:rsid w:val="0004387B"/>
    <w:rsid w:val="00043AA8"/>
    <w:rsid w:val="00044D6D"/>
    <w:rsid w:val="0005109E"/>
    <w:rsid w:val="00061532"/>
    <w:rsid w:val="0006281E"/>
    <w:rsid w:val="00066FD8"/>
    <w:rsid w:val="00072D9C"/>
    <w:rsid w:val="00084410"/>
    <w:rsid w:val="000917FD"/>
    <w:rsid w:val="000A203F"/>
    <w:rsid w:val="000A22F8"/>
    <w:rsid w:val="000B7382"/>
    <w:rsid w:val="000C3598"/>
    <w:rsid w:val="000C65E8"/>
    <w:rsid w:val="000D2AA4"/>
    <w:rsid w:val="000D2FD1"/>
    <w:rsid w:val="000D528A"/>
    <w:rsid w:val="000D6C02"/>
    <w:rsid w:val="000E4E36"/>
    <w:rsid w:val="000E565E"/>
    <w:rsid w:val="000F0E53"/>
    <w:rsid w:val="000F5C06"/>
    <w:rsid w:val="001002FB"/>
    <w:rsid w:val="00106C6D"/>
    <w:rsid w:val="0011169A"/>
    <w:rsid w:val="00111C81"/>
    <w:rsid w:val="001137BA"/>
    <w:rsid w:val="00117389"/>
    <w:rsid w:val="00124810"/>
    <w:rsid w:val="0012510B"/>
    <w:rsid w:val="00126A05"/>
    <w:rsid w:val="00130222"/>
    <w:rsid w:val="00134B0F"/>
    <w:rsid w:val="001352A4"/>
    <w:rsid w:val="0014088C"/>
    <w:rsid w:val="001464D2"/>
    <w:rsid w:val="0014686F"/>
    <w:rsid w:val="00150C17"/>
    <w:rsid w:val="00150FC7"/>
    <w:rsid w:val="00151749"/>
    <w:rsid w:val="001549AE"/>
    <w:rsid w:val="00156760"/>
    <w:rsid w:val="00156F89"/>
    <w:rsid w:val="00157C28"/>
    <w:rsid w:val="00171F8D"/>
    <w:rsid w:val="0017348E"/>
    <w:rsid w:val="00173E42"/>
    <w:rsid w:val="001742DE"/>
    <w:rsid w:val="0017464D"/>
    <w:rsid w:val="00183084"/>
    <w:rsid w:val="00186C32"/>
    <w:rsid w:val="00187713"/>
    <w:rsid w:val="001908B7"/>
    <w:rsid w:val="00191489"/>
    <w:rsid w:val="001927D3"/>
    <w:rsid w:val="00192910"/>
    <w:rsid w:val="00195123"/>
    <w:rsid w:val="001967C1"/>
    <w:rsid w:val="00197B05"/>
    <w:rsid w:val="001A1EF1"/>
    <w:rsid w:val="001A56AD"/>
    <w:rsid w:val="001A6EC4"/>
    <w:rsid w:val="001A796E"/>
    <w:rsid w:val="001B160F"/>
    <w:rsid w:val="001B2196"/>
    <w:rsid w:val="001B6286"/>
    <w:rsid w:val="001B7BBA"/>
    <w:rsid w:val="001C15E6"/>
    <w:rsid w:val="001C190B"/>
    <w:rsid w:val="001C4A23"/>
    <w:rsid w:val="001C5F92"/>
    <w:rsid w:val="001C6805"/>
    <w:rsid w:val="001C7528"/>
    <w:rsid w:val="001D352A"/>
    <w:rsid w:val="001D7DBB"/>
    <w:rsid w:val="001F00CD"/>
    <w:rsid w:val="001F149D"/>
    <w:rsid w:val="001F2FAA"/>
    <w:rsid w:val="001F5026"/>
    <w:rsid w:val="00202DD9"/>
    <w:rsid w:val="00203A13"/>
    <w:rsid w:val="0020583B"/>
    <w:rsid w:val="002100CC"/>
    <w:rsid w:val="00210A38"/>
    <w:rsid w:val="00210AC6"/>
    <w:rsid w:val="002113A6"/>
    <w:rsid w:val="00212FEB"/>
    <w:rsid w:val="00216BDA"/>
    <w:rsid w:val="002228D7"/>
    <w:rsid w:val="00227BE6"/>
    <w:rsid w:val="00227F8D"/>
    <w:rsid w:val="00232BCA"/>
    <w:rsid w:val="00234A1A"/>
    <w:rsid w:val="0023517D"/>
    <w:rsid w:val="00244666"/>
    <w:rsid w:val="0025205B"/>
    <w:rsid w:val="00260C5E"/>
    <w:rsid w:val="00262107"/>
    <w:rsid w:val="00263856"/>
    <w:rsid w:val="00267483"/>
    <w:rsid w:val="002676C7"/>
    <w:rsid w:val="00275874"/>
    <w:rsid w:val="00281967"/>
    <w:rsid w:val="0028377A"/>
    <w:rsid w:val="00290273"/>
    <w:rsid w:val="00290B7B"/>
    <w:rsid w:val="0029460A"/>
    <w:rsid w:val="0029570B"/>
    <w:rsid w:val="002A0D42"/>
    <w:rsid w:val="002A3BE4"/>
    <w:rsid w:val="002B2127"/>
    <w:rsid w:val="002B6BC9"/>
    <w:rsid w:val="002B7C63"/>
    <w:rsid w:val="002C1BE5"/>
    <w:rsid w:val="002C2D7A"/>
    <w:rsid w:val="002C4473"/>
    <w:rsid w:val="002C673D"/>
    <w:rsid w:val="002D503E"/>
    <w:rsid w:val="002D67B3"/>
    <w:rsid w:val="002E04A7"/>
    <w:rsid w:val="002E0A84"/>
    <w:rsid w:val="002E245D"/>
    <w:rsid w:val="002E783F"/>
    <w:rsid w:val="002E7E6B"/>
    <w:rsid w:val="002F06ED"/>
    <w:rsid w:val="002F201D"/>
    <w:rsid w:val="002F4FD7"/>
    <w:rsid w:val="00304DEB"/>
    <w:rsid w:val="003103B9"/>
    <w:rsid w:val="00312438"/>
    <w:rsid w:val="00314668"/>
    <w:rsid w:val="00317156"/>
    <w:rsid w:val="003219AC"/>
    <w:rsid w:val="00324E69"/>
    <w:rsid w:val="00325059"/>
    <w:rsid w:val="003263EE"/>
    <w:rsid w:val="00335373"/>
    <w:rsid w:val="0035785F"/>
    <w:rsid w:val="00357AE2"/>
    <w:rsid w:val="00367394"/>
    <w:rsid w:val="0037399B"/>
    <w:rsid w:val="003839E8"/>
    <w:rsid w:val="0039618D"/>
    <w:rsid w:val="003972D1"/>
    <w:rsid w:val="003A53F6"/>
    <w:rsid w:val="003A634C"/>
    <w:rsid w:val="003B0184"/>
    <w:rsid w:val="003B0B66"/>
    <w:rsid w:val="003B20D5"/>
    <w:rsid w:val="003B3C5F"/>
    <w:rsid w:val="003B76A2"/>
    <w:rsid w:val="003B7924"/>
    <w:rsid w:val="003C5FC6"/>
    <w:rsid w:val="003D1894"/>
    <w:rsid w:val="003D4D25"/>
    <w:rsid w:val="003D57B6"/>
    <w:rsid w:val="003D65DD"/>
    <w:rsid w:val="003D7952"/>
    <w:rsid w:val="003E2101"/>
    <w:rsid w:val="003F09D9"/>
    <w:rsid w:val="004072AC"/>
    <w:rsid w:val="00410F3C"/>
    <w:rsid w:val="00411ACF"/>
    <w:rsid w:val="0041207A"/>
    <w:rsid w:val="00412ED0"/>
    <w:rsid w:val="00413BCB"/>
    <w:rsid w:val="004176C6"/>
    <w:rsid w:val="004210EE"/>
    <w:rsid w:val="00421A43"/>
    <w:rsid w:val="0042277E"/>
    <w:rsid w:val="00425F01"/>
    <w:rsid w:val="00425F5D"/>
    <w:rsid w:val="004307BA"/>
    <w:rsid w:val="004364BD"/>
    <w:rsid w:val="00442F2B"/>
    <w:rsid w:val="00443BF0"/>
    <w:rsid w:val="00445AEB"/>
    <w:rsid w:val="004470DD"/>
    <w:rsid w:val="00451901"/>
    <w:rsid w:val="00452487"/>
    <w:rsid w:val="00465BB4"/>
    <w:rsid w:val="00466FAF"/>
    <w:rsid w:val="00467007"/>
    <w:rsid w:val="0047096C"/>
    <w:rsid w:val="00470A88"/>
    <w:rsid w:val="00472691"/>
    <w:rsid w:val="00474041"/>
    <w:rsid w:val="0047425C"/>
    <w:rsid w:val="00477E31"/>
    <w:rsid w:val="00480C0D"/>
    <w:rsid w:val="00485E45"/>
    <w:rsid w:val="00490097"/>
    <w:rsid w:val="00490707"/>
    <w:rsid w:val="00490B22"/>
    <w:rsid w:val="00492298"/>
    <w:rsid w:val="004A2C7C"/>
    <w:rsid w:val="004A37E2"/>
    <w:rsid w:val="004A77D4"/>
    <w:rsid w:val="004B1EB2"/>
    <w:rsid w:val="004B3814"/>
    <w:rsid w:val="004B3DAB"/>
    <w:rsid w:val="004B7C89"/>
    <w:rsid w:val="004D0144"/>
    <w:rsid w:val="004E01C1"/>
    <w:rsid w:val="004E13DA"/>
    <w:rsid w:val="004E246E"/>
    <w:rsid w:val="004F4AC5"/>
    <w:rsid w:val="004F4F07"/>
    <w:rsid w:val="004F5B33"/>
    <w:rsid w:val="00500861"/>
    <w:rsid w:val="00510BFF"/>
    <w:rsid w:val="0051127D"/>
    <w:rsid w:val="00513604"/>
    <w:rsid w:val="00513B74"/>
    <w:rsid w:val="005152D8"/>
    <w:rsid w:val="005226A3"/>
    <w:rsid w:val="00522A8B"/>
    <w:rsid w:val="00523F4C"/>
    <w:rsid w:val="00524CA5"/>
    <w:rsid w:val="00526281"/>
    <w:rsid w:val="0053360B"/>
    <w:rsid w:val="00533C95"/>
    <w:rsid w:val="00541E08"/>
    <w:rsid w:val="00546353"/>
    <w:rsid w:val="00546535"/>
    <w:rsid w:val="00556072"/>
    <w:rsid w:val="005670BF"/>
    <w:rsid w:val="00583F68"/>
    <w:rsid w:val="00593FF7"/>
    <w:rsid w:val="0059513B"/>
    <w:rsid w:val="00595499"/>
    <w:rsid w:val="005A0D02"/>
    <w:rsid w:val="005A0E49"/>
    <w:rsid w:val="005A1C3E"/>
    <w:rsid w:val="005A1E27"/>
    <w:rsid w:val="005A1F34"/>
    <w:rsid w:val="005B2224"/>
    <w:rsid w:val="005B41F3"/>
    <w:rsid w:val="005B4C7E"/>
    <w:rsid w:val="005C0CD4"/>
    <w:rsid w:val="005C3F62"/>
    <w:rsid w:val="005E1FF7"/>
    <w:rsid w:val="005E4977"/>
    <w:rsid w:val="005E52A8"/>
    <w:rsid w:val="005E5629"/>
    <w:rsid w:val="005E58D7"/>
    <w:rsid w:val="005E74EE"/>
    <w:rsid w:val="005F105C"/>
    <w:rsid w:val="005F307E"/>
    <w:rsid w:val="005F5808"/>
    <w:rsid w:val="005F7F3F"/>
    <w:rsid w:val="00600CB5"/>
    <w:rsid w:val="00610BD2"/>
    <w:rsid w:val="00611620"/>
    <w:rsid w:val="00611FDB"/>
    <w:rsid w:val="006128C8"/>
    <w:rsid w:val="006132A8"/>
    <w:rsid w:val="006205F1"/>
    <w:rsid w:val="00622393"/>
    <w:rsid w:val="00622AC6"/>
    <w:rsid w:val="006236B9"/>
    <w:rsid w:val="00632EC6"/>
    <w:rsid w:val="006468C1"/>
    <w:rsid w:val="0064698C"/>
    <w:rsid w:val="00654AD0"/>
    <w:rsid w:val="00654C35"/>
    <w:rsid w:val="00655D0A"/>
    <w:rsid w:val="00665BF5"/>
    <w:rsid w:val="00667AD1"/>
    <w:rsid w:val="00667D68"/>
    <w:rsid w:val="00671577"/>
    <w:rsid w:val="006725F8"/>
    <w:rsid w:val="0067518E"/>
    <w:rsid w:val="00680FC5"/>
    <w:rsid w:val="00683F70"/>
    <w:rsid w:val="00685A00"/>
    <w:rsid w:val="00690FE3"/>
    <w:rsid w:val="006923AC"/>
    <w:rsid w:val="006936D1"/>
    <w:rsid w:val="00694B47"/>
    <w:rsid w:val="006B03BC"/>
    <w:rsid w:val="006B4291"/>
    <w:rsid w:val="006B431E"/>
    <w:rsid w:val="006B6B8B"/>
    <w:rsid w:val="006B7DE6"/>
    <w:rsid w:val="006C4400"/>
    <w:rsid w:val="006C6B14"/>
    <w:rsid w:val="006D1618"/>
    <w:rsid w:val="006E66E1"/>
    <w:rsid w:val="006F17BA"/>
    <w:rsid w:val="006F3BAB"/>
    <w:rsid w:val="006F43CA"/>
    <w:rsid w:val="006F7E3C"/>
    <w:rsid w:val="0070547A"/>
    <w:rsid w:val="00707574"/>
    <w:rsid w:val="00710D29"/>
    <w:rsid w:val="007164ED"/>
    <w:rsid w:val="007227E1"/>
    <w:rsid w:val="00724568"/>
    <w:rsid w:val="0073150C"/>
    <w:rsid w:val="007317F3"/>
    <w:rsid w:val="00732142"/>
    <w:rsid w:val="0073243B"/>
    <w:rsid w:val="007354F5"/>
    <w:rsid w:val="0074384C"/>
    <w:rsid w:val="00747EA8"/>
    <w:rsid w:val="00752AB0"/>
    <w:rsid w:val="00753A31"/>
    <w:rsid w:val="007737A4"/>
    <w:rsid w:val="007777C1"/>
    <w:rsid w:val="00777DA3"/>
    <w:rsid w:val="00782871"/>
    <w:rsid w:val="00782C04"/>
    <w:rsid w:val="00785BED"/>
    <w:rsid w:val="00786178"/>
    <w:rsid w:val="0079175E"/>
    <w:rsid w:val="007A1E70"/>
    <w:rsid w:val="007B0942"/>
    <w:rsid w:val="007B67DB"/>
    <w:rsid w:val="007C55B0"/>
    <w:rsid w:val="007C6077"/>
    <w:rsid w:val="007C739A"/>
    <w:rsid w:val="007D1077"/>
    <w:rsid w:val="007D116B"/>
    <w:rsid w:val="007D30E2"/>
    <w:rsid w:val="007E5B0F"/>
    <w:rsid w:val="007F148B"/>
    <w:rsid w:val="007F3C3E"/>
    <w:rsid w:val="00800261"/>
    <w:rsid w:val="008055BB"/>
    <w:rsid w:val="008074CF"/>
    <w:rsid w:val="00810A16"/>
    <w:rsid w:val="00814064"/>
    <w:rsid w:val="0082024B"/>
    <w:rsid w:val="008223FC"/>
    <w:rsid w:val="00825856"/>
    <w:rsid w:val="00830904"/>
    <w:rsid w:val="00833DD6"/>
    <w:rsid w:val="008432BC"/>
    <w:rsid w:val="008441E4"/>
    <w:rsid w:val="00844893"/>
    <w:rsid w:val="0084499C"/>
    <w:rsid w:val="008500C2"/>
    <w:rsid w:val="008510B5"/>
    <w:rsid w:val="00851CE3"/>
    <w:rsid w:val="00852259"/>
    <w:rsid w:val="008552B9"/>
    <w:rsid w:val="008558E0"/>
    <w:rsid w:val="00857BCD"/>
    <w:rsid w:val="00861F03"/>
    <w:rsid w:val="00863165"/>
    <w:rsid w:val="008800A1"/>
    <w:rsid w:val="008835BC"/>
    <w:rsid w:val="0088367B"/>
    <w:rsid w:val="00884F18"/>
    <w:rsid w:val="00890321"/>
    <w:rsid w:val="00891185"/>
    <w:rsid w:val="0089392A"/>
    <w:rsid w:val="00894C09"/>
    <w:rsid w:val="00895321"/>
    <w:rsid w:val="008B4FBC"/>
    <w:rsid w:val="008C0054"/>
    <w:rsid w:val="008D005D"/>
    <w:rsid w:val="008D2CC3"/>
    <w:rsid w:val="008D59BD"/>
    <w:rsid w:val="008D7B3A"/>
    <w:rsid w:val="008E00B5"/>
    <w:rsid w:val="008E2118"/>
    <w:rsid w:val="008E46B7"/>
    <w:rsid w:val="009024EA"/>
    <w:rsid w:val="00903F8C"/>
    <w:rsid w:val="0091031D"/>
    <w:rsid w:val="00916CFC"/>
    <w:rsid w:val="0092222A"/>
    <w:rsid w:val="00925ECC"/>
    <w:rsid w:val="009279BD"/>
    <w:rsid w:val="00932501"/>
    <w:rsid w:val="00935195"/>
    <w:rsid w:val="00936BD8"/>
    <w:rsid w:val="0094121C"/>
    <w:rsid w:val="00941771"/>
    <w:rsid w:val="009441AB"/>
    <w:rsid w:val="00947D81"/>
    <w:rsid w:val="00950151"/>
    <w:rsid w:val="00950AE9"/>
    <w:rsid w:val="009574AE"/>
    <w:rsid w:val="00962595"/>
    <w:rsid w:val="00971BAC"/>
    <w:rsid w:val="009724BB"/>
    <w:rsid w:val="00977475"/>
    <w:rsid w:val="009807DD"/>
    <w:rsid w:val="0098425E"/>
    <w:rsid w:val="00996530"/>
    <w:rsid w:val="009A328C"/>
    <w:rsid w:val="009A3D9C"/>
    <w:rsid w:val="009A45A1"/>
    <w:rsid w:val="009B0D75"/>
    <w:rsid w:val="009B252D"/>
    <w:rsid w:val="009B6D86"/>
    <w:rsid w:val="009B733F"/>
    <w:rsid w:val="009C0D04"/>
    <w:rsid w:val="009C4223"/>
    <w:rsid w:val="009C7382"/>
    <w:rsid w:val="009D1749"/>
    <w:rsid w:val="009F1B50"/>
    <w:rsid w:val="009F66E1"/>
    <w:rsid w:val="009F79A0"/>
    <w:rsid w:val="009F7ECF"/>
    <w:rsid w:val="00A009BE"/>
    <w:rsid w:val="00A10026"/>
    <w:rsid w:val="00A1060E"/>
    <w:rsid w:val="00A13F4A"/>
    <w:rsid w:val="00A147EE"/>
    <w:rsid w:val="00A15526"/>
    <w:rsid w:val="00A215F9"/>
    <w:rsid w:val="00A2320B"/>
    <w:rsid w:val="00A30DBD"/>
    <w:rsid w:val="00A3545A"/>
    <w:rsid w:val="00A41E48"/>
    <w:rsid w:val="00A43FE0"/>
    <w:rsid w:val="00A521AE"/>
    <w:rsid w:val="00A54B6B"/>
    <w:rsid w:val="00A55649"/>
    <w:rsid w:val="00A60684"/>
    <w:rsid w:val="00A60821"/>
    <w:rsid w:val="00A6089A"/>
    <w:rsid w:val="00A67C49"/>
    <w:rsid w:val="00A819D8"/>
    <w:rsid w:val="00A86492"/>
    <w:rsid w:val="00A86C0D"/>
    <w:rsid w:val="00A93076"/>
    <w:rsid w:val="00A9316C"/>
    <w:rsid w:val="00A93D17"/>
    <w:rsid w:val="00AA1626"/>
    <w:rsid w:val="00AA1A92"/>
    <w:rsid w:val="00AB3293"/>
    <w:rsid w:val="00AB60A0"/>
    <w:rsid w:val="00AB77A9"/>
    <w:rsid w:val="00AC05CD"/>
    <w:rsid w:val="00AC06D3"/>
    <w:rsid w:val="00AC45C1"/>
    <w:rsid w:val="00AC5937"/>
    <w:rsid w:val="00AC7269"/>
    <w:rsid w:val="00AC7981"/>
    <w:rsid w:val="00AD203A"/>
    <w:rsid w:val="00AD475D"/>
    <w:rsid w:val="00AE37DD"/>
    <w:rsid w:val="00AF0765"/>
    <w:rsid w:val="00AF43DE"/>
    <w:rsid w:val="00AF58E4"/>
    <w:rsid w:val="00B01D1F"/>
    <w:rsid w:val="00B021F8"/>
    <w:rsid w:val="00B0293F"/>
    <w:rsid w:val="00B04A37"/>
    <w:rsid w:val="00B106D8"/>
    <w:rsid w:val="00B1088B"/>
    <w:rsid w:val="00B11967"/>
    <w:rsid w:val="00B1395D"/>
    <w:rsid w:val="00B17B0E"/>
    <w:rsid w:val="00B210FA"/>
    <w:rsid w:val="00B2329B"/>
    <w:rsid w:val="00B3182D"/>
    <w:rsid w:val="00B35042"/>
    <w:rsid w:val="00B35D1B"/>
    <w:rsid w:val="00B413BE"/>
    <w:rsid w:val="00B51286"/>
    <w:rsid w:val="00B51E31"/>
    <w:rsid w:val="00B52ABC"/>
    <w:rsid w:val="00B53002"/>
    <w:rsid w:val="00B60606"/>
    <w:rsid w:val="00B62E54"/>
    <w:rsid w:val="00B63143"/>
    <w:rsid w:val="00B6620F"/>
    <w:rsid w:val="00B66E13"/>
    <w:rsid w:val="00B673A7"/>
    <w:rsid w:val="00B7078B"/>
    <w:rsid w:val="00B75385"/>
    <w:rsid w:val="00B76CE3"/>
    <w:rsid w:val="00B809B6"/>
    <w:rsid w:val="00B81482"/>
    <w:rsid w:val="00B81F83"/>
    <w:rsid w:val="00B863AB"/>
    <w:rsid w:val="00B86CF4"/>
    <w:rsid w:val="00B873A8"/>
    <w:rsid w:val="00B951D6"/>
    <w:rsid w:val="00BA0006"/>
    <w:rsid w:val="00BA0BD5"/>
    <w:rsid w:val="00BA1B2F"/>
    <w:rsid w:val="00BB28F7"/>
    <w:rsid w:val="00BB3E03"/>
    <w:rsid w:val="00BB4682"/>
    <w:rsid w:val="00BB5894"/>
    <w:rsid w:val="00BC1F36"/>
    <w:rsid w:val="00BC774F"/>
    <w:rsid w:val="00BD08FA"/>
    <w:rsid w:val="00BE74D7"/>
    <w:rsid w:val="00BF30E9"/>
    <w:rsid w:val="00BF634C"/>
    <w:rsid w:val="00C04484"/>
    <w:rsid w:val="00C0572F"/>
    <w:rsid w:val="00C11D08"/>
    <w:rsid w:val="00C1712E"/>
    <w:rsid w:val="00C21AB3"/>
    <w:rsid w:val="00C21F78"/>
    <w:rsid w:val="00C40D85"/>
    <w:rsid w:val="00C40FE9"/>
    <w:rsid w:val="00C442DF"/>
    <w:rsid w:val="00C53F4F"/>
    <w:rsid w:val="00C54095"/>
    <w:rsid w:val="00C55351"/>
    <w:rsid w:val="00C61543"/>
    <w:rsid w:val="00C61B65"/>
    <w:rsid w:val="00C8292C"/>
    <w:rsid w:val="00C85E9A"/>
    <w:rsid w:val="00C86A26"/>
    <w:rsid w:val="00C872B7"/>
    <w:rsid w:val="00C91876"/>
    <w:rsid w:val="00C93A78"/>
    <w:rsid w:val="00CA4F87"/>
    <w:rsid w:val="00CB0754"/>
    <w:rsid w:val="00CB1748"/>
    <w:rsid w:val="00CB1AD6"/>
    <w:rsid w:val="00CB6035"/>
    <w:rsid w:val="00CC1515"/>
    <w:rsid w:val="00CC55E9"/>
    <w:rsid w:val="00CD00A2"/>
    <w:rsid w:val="00CD0E4D"/>
    <w:rsid w:val="00CD6608"/>
    <w:rsid w:val="00CE0437"/>
    <w:rsid w:val="00CE0B5C"/>
    <w:rsid w:val="00CE296C"/>
    <w:rsid w:val="00CE4C4B"/>
    <w:rsid w:val="00CF0649"/>
    <w:rsid w:val="00CF2708"/>
    <w:rsid w:val="00CF2C2B"/>
    <w:rsid w:val="00CF4DD3"/>
    <w:rsid w:val="00CF7868"/>
    <w:rsid w:val="00D02352"/>
    <w:rsid w:val="00D0331C"/>
    <w:rsid w:val="00D03DC3"/>
    <w:rsid w:val="00D04683"/>
    <w:rsid w:val="00D04D7E"/>
    <w:rsid w:val="00D10060"/>
    <w:rsid w:val="00D124EA"/>
    <w:rsid w:val="00D143A1"/>
    <w:rsid w:val="00D1562D"/>
    <w:rsid w:val="00D20406"/>
    <w:rsid w:val="00D217CC"/>
    <w:rsid w:val="00D25F1E"/>
    <w:rsid w:val="00D26079"/>
    <w:rsid w:val="00D36848"/>
    <w:rsid w:val="00D462CB"/>
    <w:rsid w:val="00D505A3"/>
    <w:rsid w:val="00D50FD1"/>
    <w:rsid w:val="00D55CB3"/>
    <w:rsid w:val="00D56B8C"/>
    <w:rsid w:val="00D64A09"/>
    <w:rsid w:val="00D64C57"/>
    <w:rsid w:val="00D67748"/>
    <w:rsid w:val="00D766A7"/>
    <w:rsid w:val="00D84F6A"/>
    <w:rsid w:val="00D85319"/>
    <w:rsid w:val="00D857F9"/>
    <w:rsid w:val="00D86E65"/>
    <w:rsid w:val="00D948D8"/>
    <w:rsid w:val="00D97824"/>
    <w:rsid w:val="00DA071F"/>
    <w:rsid w:val="00DA491D"/>
    <w:rsid w:val="00DA7FFA"/>
    <w:rsid w:val="00DB6000"/>
    <w:rsid w:val="00DC0AD4"/>
    <w:rsid w:val="00DC1526"/>
    <w:rsid w:val="00DC3A44"/>
    <w:rsid w:val="00DC5F66"/>
    <w:rsid w:val="00DD0DDE"/>
    <w:rsid w:val="00DD1569"/>
    <w:rsid w:val="00DD1A31"/>
    <w:rsid w:val="00DE3C83"/>
    <w:rsid w:val="00E00704"/>
    <w:rsid w:val="00E01BF6"/>
    <w:rsid w:val="00E02448"/>
    <w:rsid w:val="00E03B31"/>
    <w:rsid w:val="00E049FD"/>
    <w:rsid w:val="00E0758A"/>
    <w:rsid w:val="00E16BD9"/>
    <w:rsid w:val="00E31A3F"/>
    <w:rsid w:val="00E34001"/>
    <w:rsid w:val="00E36813"/>
    <w:rsid w:val="00E37521"/>
    <w:rsid w:val="00E3772D"/>
    <w:rsid w:val="00E52184"/>
    <w:rsid w:val="00E52306"/>
    <w:rsid w:val="00E540A6"/>
    <w:rsid w:val="00E54EA6"/>
    <w:rsid w:val="00E60923"/>
    <w:rsid w:val="00E65B25"/>
    <w:rsid w:val="00E712D6"/>
    <w:rsid w:val="00E77B99"/>
    <w:rsid w:val="00E830FE"/>
    <w:rsid w:val="00E878D7"/>
    <w:rsid w:val="00E90762"/>
    <w:rsid w:val="00E95D39"/>
    <w:rsid w:val="00EA1212"/>
    <w:rsid w:val="00EA5A79"/>
    <w:rsid w:val="00EB04FB"/>
    <w:rsid w:val="00EB37C7"/>
    <w:rsid w:val="00EC073D"/>
    <w:rsid w:val="00EC07D4"/>
    <w:rsid w:val="00EC253E"/>
    <w:rsid w:val="00EC3494"/>
    <w:rsid w:val="00EC3EC2"/>
    <w:rsid w:val="00EC41EA"/>
    <w:rsid w:val="00ED273E"/>
    <w:rsid w:val="00ED2E35"/>
    <w:rsid w:val="00ED6826"/>
    <w:rsid w:val="00EE3E93"/>
    <w:rsid w:val="00EF1ED1"/>
    <w:rsid w:val="00EF27BB"/>
    <w:rsid w:val="00EF39CA"/>
    <w:rsid w:val="00EF6066"/>
    <w:rsid w:val="00EF7A5A"/>
    <w:rsid w:val="00EF7AAC"/>
    <w:rsid w:val="00F0050F"/>
    <w:rsid w:val="00F047E3"/>
    <w:rsid w:val="00F10A28"/>
    <w:rsid w:val="00F141C1"/>
    <w:rsid w:val="00F2091E"/>
    <w:rsid w:val="00F21C9E"/>
    <w:rsid w:val="00F240D8"/>
    <w:rsid w:val="00F24A93"/>
    <w:rsid w:val="00F27C61"/>
    <w:rsid w:val="00F40D31"/>
    <w:rsid w:val="00F42009"/>
    <w:rsid w:val="00F47225"/>
    <w:rsid w:val="00F4752F"/>
    <w:rsid w:val="00F47C39"/>
    <w:rsid w:val="00F500BE"/>
    <w:rsid w:val="00F536F1"/>
    <w:rsid w:val="00F5524D"/>
    <w:rsid w:val="00F6451C"/>
    <w:rsid w:val="00F65971"/>
    <w:rsid w:val="00F65999"/>
    <w:rsid w:val="00F669DD"/>
    <w:rsid w:val="00F66F6D"/>
    <w:rsid w:val="00F676F2"/>
    <w:rsid w:val="00F74263"/>
    <w:rsid w:val="00F74321"/>
    <w:rsid w:val="00F771AB"/>
    <w:rsid w:val="00F81D58"/>
    <w:rsid w:val="00F9796B"/>
    <w:rsid w:val="00FA15C4"/>
    <w:rsid w:val="00FB09AD"/>
    <w:rsid w:val="00FB1731"/>
    <w:rsid w:val="00FB37A4"/>
    <w:rsid w:val="00FB7538"/>
    <w:rsid w:val="00FC112A"/>
    <w:rsid w:val="00FC1750"/>
    <w:rsid w:val="00FC5827"/>
    <w:rsid w:val="00FC6D34"/>
    <w:rsid w:val="00FC7437"/>
    <w:rsid w:val="00FD17F5"/>
    <w:rsid w:val="00FD450D"/>
    <w:rsid w:val="00FD5B57"/>
    <w:rsid w:val="00FD61C2"/>
    <w:rsid w:val="00FD674E"/>
    <w:rsid w:val="00FE1A1A"/>
    <w:rsid w:val="00FE1C7B"/>
    <w:rsid w:val="00FE2827"/>
    <w:rsid w:val="00FE2903"/>
    <w:rsid w:val="00FE7A74"/>
    <w:rsid w:val="00FF1BC3"/>
    <w:rsid w:val="00FF30A1"/>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BF45A-B3DA-4BE9-A6AF-30BBE2BB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2FB"/>
    <w:rPr>
      <w:color w:val="0563C1" w:themeColor="hyperlink"/>
      <w:u w:val="single"/>
    </w:rPr>
  </w:style>
  <w:style w:type="paragraph" w:styleId="a4">
    <w:name w:val="List Paragraph"/>
    <w:basedOn w:val="a"/>
    <w:uiPriority w:val="34"/>
    <w:qFormat/>
    <w:rsid w:val="001C7528"/>
    <w:pPr>
      <w:ind w:left="720"/>
      <w:contextualSpacing/>
    </w:pPr>
  </w:style>
  <w:style w:type="paragraph" w:styleId="a5">
    <w:name w:val="footnote text"/>
    <w:basedOn w:val="a"/>
    <w:link w:val="a6"/>
    <w:uiPriority w:val="99"/>
    <w:semiHidden/>
    <w:unhideWhenUsed/>
    <w:rsid w:val="008D7B3A"/>
    <w:pPr>
      <w:spacing w:after="0" w:line="240" w:lineRule="auto"/>
    </w:pPr>
    <w:rPr>
      <w:sz w:val="20"/>
      <w:szCs w:val="20"/>
    </w:rPr>
  </w:style>
  <w:style w:type="character" w:customStyle="1" w:styleId="a6">
    <w:name w:val="Текст сноски Знак"/>
    <w:basedOn w:val="a0"/>
    <w:link w:val="a5"/>
    <w:uiPriority w:val="99"/>
    <w:semiHidden/>
    <w:rsid w:val="008D7B3A"/>
    <w:rPr>
      <w:sz w:val="20"/>
      <w:szCs w:val="20"/>
    </w:rPr>
  </w:style>
  <w:style w:type="character" w:styleId="a7">
    <w:name w:val="footnote reference"/>
    <w:basedOn w:val="a0"/>
    <w:uiPriority w:val="99"/>
    <w:semiHidden/>
    <w:unhideWhenUsed/>
    <w:rsid w:val="008D7B3A"/>
    <w:rPr>
      <w:vertAlign w:val="superscript"/>
    </w:rPr>
  </w:style>
  <w:style w:type="paragraph" w:styleId="a8">
    <w:name w:val="Balloon Text"/>
    <w:basedOn w:val="a"/>
    <w:link w:val="a9"/>
    <w:uiPriority w:val="99"/>
    <w:semiHidden/>
    <w:unhideWhenUsed/>
    <w:rsid w:val="00E523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2306"/>
    <w:rPr>
      <w:rFonts w:ascii="Segoe UI" w:hAnsi="Segoe UI" w:cs="Segoe UI"/>
      <w:sz w:val="18"/>
      <w:szCs w:val="18"/>
    </w:rPr>
  </w:style>
  <w:style w:type="character" w:styleId="aa">
    <w:name w:val="FollowedHyperlink"/>
    <w:basedOn w:val="a0"/>
    <w:uiPriority w:val="99"/>
    <w:semiHidden/>
    <w:unhideWhenUsed/>
    <w:rsid w:val="00A86492"/>
    <w:rPr>
      <w:color w:val="954F72" w:themeColor="followedHyperlink"/>
      <w:u w:val="single"/>
    </w:rPr>
  </w:style>
  <w:style w:type="paragraph" w:styleId="ab">
    <w:name w:val="Revision"/>
    <w:hidden/>
    <w:uiPriority w:val="99"/>
    <w:semiHidden/>
    <w:rsid w:val="00F65971"/>
    <w:pPr>
      <w:spacing w:after="0" w:line="240" w:lineRule="auto"/>
    </w:pPr>
  </w:style>
  <w:style w:type="character" w:styleId="ac">
    <w:name w:val="annotation reference"/>
    <w:basedOn w:val="a0"/>
    <w:uiPriority w:val="99"/>
    <w:semiHidden/>
    <w:unhideWhenUsed/>
    <w:rsid w:val="00B53002"/>
    <w:rPr>
      <w:sz w:val="16"/>
      <w:szCs w:val="16"/>
    </w:rPr>
  </w:style>
  <w:style w:type="paragraph" w:styleId="ad">
    <w:name w:val="annotation text"/>
    <w:basedOn w:val="a"/>
    <w:link w:val="ae"/>
    <w:uiPriority w:val="99"/>
    <w:semiHidden/>
    <w:unhideWhenUsed/>
    <w:rsid w:val="00B53002"/>
    <w:pPr>
      <w:spacing w:line="240" w:lineRule="auto"/>
    </w:pPr>
    <w:rPr>
      <w:sz w:val="20"/>
      <w:szCs w:val="20"/>
    </w:rPr>
  </w:style>
  <w:style w:type="character" w:customStyle="1" w:styleId="ae">
    <w:name w:val="Текст примечания Знак"/>
    <w:basedOn w:val="a0"/>
    <w:link w:val="ad"/>
    <w:uiPriority w:val="99"/>
    <w:semiHidden/>
    <w:rsid w:val="00B53002"/>
    <w:rPr>
      <w:sz w:val="20"/>
      <w:szCs w:val="20"/>
    </w:rPr>
  </w:style>
  <w:style w:type="paragraph" w:styleId="af">
    <w:name w:val="annotation subject"/>
    <w:basedOn w:val="ad"/>
    <w:next w:val="ad"/>
    <w:link w:val="af0"/>
    <w:uiPriority w:val="99"/>
    <w:semiHidden/>
    <w:unhideWhenUsed/>
    <w:rsid w:val="00B53002"/>
    <w:rPr>
      <w:b/>
      <w:bCs/>
    </w:rPr>
  </w:style>
  <w:style w:type="character" w:customStyle="1" w:styleId="af0">
    <w:name w:val="Тема примечания Знак"/>
    <w:basedOn w:val="ae"/>
    <w:link w:val="af"/>
    <w:uiPriority w:val="99"/>
    <w:semiHidden/>
    <w:rsid w:val="00B53002"/>
    <w:rPr>
      <w:b/>
      <w:bCs/>
      <w:sz w:val="20"/>
      <w:szCs w:val="20"/>
    </w:rPr>
  </w:style>
  <w:style w:type="paragraph" w:customStyle="1" w:styleId="Disclaimer">
    <w:name w:val="Disclaimer"/>
    <w:basedOn w:val="a"/>
    <w:qFormat/>
    <w:rsid w:val="00B413BE"/>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rPr>
  </w:style>
  <w:style w:type="paragraph" w:customStyle="1" w:styleId="BlackStrips">
    <w:name w:val="Black Strips"/>
    <w:basedOn w:val="a"/>
    <w:qFormat/>
    <w:rsid w:val="00B413BE"/>
    <w:pPr>
      <w:shd w:val="clear" w:color="auto" w:fill="000000"/>
      <w:spacing w:after="200" w:line="240" w:lineRule="auto"/>
      <w:jc w:val="center"/>
    </w:pPr>
    <w:rPr>
      <w:rFonts w:eastAsiaTheme="minorHAnsi"/>
      <w:color w:val="FFFFFF"/>
      <w:sz w:val="24"/>
      <w:szCs w:val="24"/>
    </w:rPr>
  </w:style>
  <w:style w:type="paragraph" w:customStyle="1" w:styleId="DisclaimerBold">
    <w:name w:val="Disclaimer Bold"/>
    <w:basedOn w:val="Disclaimer"/>
    <w:qFormat/>
    <w:rsid w:val="00B413BE"/>
    <w:pPr>
      <w:jc w:val="left"/>
    </w:pPr>
    <w:rPr>
      <w:b/>
    </w:rPr>
  </w:style>
  <w:style w:type="paragraph" w:styleId="af1">
    <w:name w:val="header"/>
    <w:basedOn w:val="a"/>
    <w:link w:val="af2"/>
    <w:uiPriority w:val="99"/>
    <w:unhideWhenUsed/>
    <w:rsid w:val="00CD6608"/>
    <w:pPr>
      <w:tabs>
        <w:tab w:val="center" w:pos="4320"/>
        <w:tab w:val="right" w:pos="8640"/>
      </w:tabs>
      <w:spacing w:after="0" w:line="240" w:lineRule="auto"/>
    </w:pPr>
  </w:style>
  <w:style w:type="character" w:customStyle="1" w:styleId="af2">
    <w:name w:val="Верхний колонтитул Знак"/>
    <w:basedOn w:val="a0"/>
    <w:link w:val="af1"/>
    <w:uiPriority w:val="99"/>
    <w:rsid w:val="00CD6608"/>
  </w:style>
  <w:style w:type="paragraph" w:styleId="af3">
    <w:name w:val="footer"/>
    <w:basedOn w:val="a"/>
    <w:link w:val="af4"/>
    <w:uiPriority w:val="99"/>
    <w:unhideWhenUsed/>
    <w:rsid w:val="00CD6608"/>
    <w:pPr>
      <w:tabs>
        <w:tab w:val="center" w:pos="4320"/>
        <w:tab w:val="right" w:pos="8640"/>
      </w:tabs>
      <w:spacing w:after="0" w:line="240" w:lineRule="auto"/>
    </w:pPr>
  </w:style>
  <w:style w:type="character" w:customStyle="1" w:styleId="af4">
    <w:name w:val="Нижний колонтитул Знак"/>
    <w:basedOn w:val="a0"/>
    <w:link w:val="af3"/>
    <w:uiPriority w:val="99"/>
    <w:rsid w:val="00CD6608"/>
  </w:style>
  <w:style w:type="table" w:styleId="af5">
    <w:name w:val="Table Grid"/>
    <w:basedOn w:val="a1"/>
    <w:uiPriority w:val="39"/>
    <w:rsid w:val="001D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5B4C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2575">
      <w:bodyDiv w:val="1"/>
      <w:marLeft w:val="0"/>
      <w:marRight w:val="0"/>
      <w:marTop w:val="0"/>
      <w:marBottom w:val="0"/>
      <w:divBdr>
        <w:top w:val="none" w:sz="0" w:space="0" w:color="auto"/>
        <w:left w:val="none" w:sz="0" w:space="0" w:color="auto"/>
        <w:bottom w:val="none" w:sz="0" w:space="0" w:color="auto"/>
        <w:right w:val="none" w:sz="0" w:space="0" w:color="auto"/>
      </w:divBdr>
    </w:div>
    <w:div w:id="1665888202">
      <w:bodyDiv w:val="1"/>
      <w:marLeft w:val="0"/>
      <w:marRight w:val="0"/>
      <w:marTop w:val="0"/>
      <w:marBottom w:val="0"/>
      <w:divBdr>
        <w:top w:val="none" w:sz="0" w:space="0" w:color="auto"/>
        <w:left w:val="none" w:sz="0" w:space="0" w:color="auto"/>
        <w:bottom w:val="none" w:sz="0" w:space="0" w:color="auto"/>
        <w:right w:val="none" w:sz="0" w:space="0" w:color="auto"/>
      </w:divBdr>
    </w:div>
    <w:div w:id="19539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fstb-consults-on-regulating-otc-virtual-asset-tra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mailto:vaotc-consult@fstb.gov.hk" TargetMode="External"/><Relationship Id="rId4" Type="http://schemas.openxmlformats.org/officeDocument/2006/relationships/settings" Target="settings.xml"/><Relationship Id="rId9" Type="http://schemas.openxmlformats.org/officeDocument/2006/relationships/hyperlink" Target="https://www.fstb.gov.hk/fsb/en/publication/consult/doc/VAOTC_consultation_paper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ia.info.gov.hk/general/202210/31/P2022103000454_404805_1_16671734695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D14E-BD98-49F5-9015-6DCFE10C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1520</Words>
  <Characters>8664</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9</cp:revision>
  <cp:lastPrinted>2023-09-28T06:27:00Z</cp:lastPrinted>
  <dcterms:created xsi:type="dcterms:W3CDTF">2024-02-21T10:41:00Z</dcterms:created>
  <dcterms:modified xsi:type="dcterms:W3CDTF">2024-02-26T10:19:00Z</dcterms:modified>
</cp:coreProperties>
</file>