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13BE" w:rsidRPr="00B413BE" w:rsidRDefault="00061532" w:rsidP="00CD6608">
      <w:pPr>
        <w:snapToGrid w:val="0"/>
        <w:spacing w:after="0" w:line="240" w:lineRule="auto"/>
        <w:jc w:val="both"/>
        <w:rPr>
          <w:rFonts w:ascii="Cambria" w:eastAsia="Cambria" w:hAnsi="Cambria" w:cs="Times New Roman"/>
          <w:color w:val="00000A"/>
          <w:sz w:val="28"/>
          <w:szCs w:val="24"/>
          <w:u w:val="single"/>
        </w:rPr>
      </w:pPr>
      <w:r w:rsidRPr="005152D8">
        <w:rPr>
          <w:rFonts w:ascii="Arial" w:hAnsi="Arial" w:cs="Arial"/>
          <w:b/>
          <w:sz w:val="20"/>
          <w:szCs w:val="20"/>
        </w:rPr>
        <w:t xml:space="preserve"> </w:t>
      </w:r>
    </w:p>
    <w:p w:rsidR="00BD08FA" w:rsidRPr="008524CA" w:rsidRDefault="00BD08FA" w:rsidP="00BD08FA">
      <w:pPr>
        <w:shd w:val="clear" w:color="auto" w:fill="000000"/>
        <w:spacing w:after="200"/>
        <w:jc w:val="center"/>
        <w:rPr>
          <w:rFonts w:ascii="Cambria" w:eastAsia="Cambria" w:hAnsi="Cambria" w:cs="Times New Roman"/>
          <w:color w:val="FFFFFF"/>
        </w:rPr>
      </w:pPr>
      <w:proofErr w:type="spellStart"/>
      <w:r>
        <w:rPr>
          <w:rFonts w:ascii="Cambria" w:eastAsia="Cambria" w:hAnsi="Cambria" w:cs="Times New Roman"/>
          <w:color w:val="FFFFFF"/>
        </w:rPr>
        <w:t>Charltons</w:t>
      </w:r>
      <w:proofErr w:type="spellEnd"/>
      <w:r>
        <w:rPr>
          <w:rFonts w:ascii="Cambria" w:eastAsia="Cambria" w:hAnsi="Cambria" w:cs="Times New Roman"/>
          <w:color w:val="FFFFFF"/>
        </w:rPr>
        <w:t xml:space="preserve"> - Hong Kong Law - </w:t>
      </w:r>
      <w:r w:rsidRPr="000873CD">
        <w:rPr>
          <w:rFonts w:ascii="Cambria" w:eastAsia="Cambria" w:hAnsi="Cambria" w:cs="Times New Roman"/>
          <w:color w:val="FFFFFF"/>
        </w:rPr>
        <w:t>2</w:t>
      </w:r>
      <w:r w:rsidR="0091031D" w:rsidRPr="0091031D">
        <w:rPr>
          <w:rFonts w:ascii="Cambria" w:eastAsia="Cambria" w:hAnsi="Cambria" w:cs="Times New Roman"/>
          <w:color w:val="FFFFFF"/>
        </w:rPr>
        <w:t>9</w:t>
      </w:r>
      <w:r w:rsidRPr="00C13D3D">
        <w:rPr>
          <w:rFonts w:ascii="Cambria" w:eastAsia="Cambria" w:hAnsi="Cambria" w:cs="Times New Roman"/>
          <w:color w:val="FFFFFF"/>
        </w:rPr>
        <w:t xml:space="preserve"> </w:t>
      </w:r>
      <w:r>
        <w:rPr>
          <w:rFonts w:ascii="Cambria" w:eastAsia="Cambria" w:hAnsi="Cambria" w:cs="Times New Roman"/>
          <w:color w:val="FFFFFF"/>
        </w:rPr>
        <w:t xml:space="preserve">September </w:t>
      </w:r>
      <w:r w:rsidRPr="00C13D3D">
        <w:rPr>
          <w:rFonts w:ascii="Cambria" w:eastAsia="Cambria" w:hAnsi="Cambria" w:cs="Times New Roman"/>
          <w:color w:val="FFFFFF"/>
        </w:rPr>
        <w:t>202</w:t>
      </w:r>
      <w:r w:rsidRPr="008524CA">
        <w:rPr>
          <w:rFonts w:ascii="Cambria" w:eastAsia="Cambria" w:hAnsi="Cambria" w:cs="Times New Roman"/>
          <w:color w:val="FFFFFF"/>
        </w:rPr>
        <w:t>3</w:t>
      </w:r>
    </w:p>
    <w:p w:rsidR="00BD08FA" w:rsidRPr="00BD08FA" w:rsidRDefault="00000000" w:rsidP="00BD08FA">
      <w:pPr>
        <w:spacing w:after="200"/>
        <w:jc w:val="center"/>
        <w:rPr>
          <w:rFonts w:ascii="Cambria" w:eastAsia="Cambria" w:hAnsi="Cambria" w:cs="Times New Roman"/>
          <w:color w:val="00000A"/>
          <w:sz w:val="28"/>
          <w:u w:val="single"/>
        </w:rPr>
      </w:pPr>
      <w:hyperlink r:id="rId8" w:history="1">
        <w:r w:rsidR="00BD08FA" w:rsidRPr="00365171">
          <w:rPr>
            <w:rStyle w:val="a3"/>
            <w:rFonts w:ascii="Cambria" w:eastAsia="Cambria" w:hAnsi="Cambria"/>
            <w:sz w:val="28"/>
          </w:rPr>
          <w:t>online version</w:t>
        </w:r>
      </w:hyperlink>
    </w:p>
    <w:p w:rsidR="005152D8" w:rsidRPr="00685A00" w:rsidRDefault="005152D8" w:rsidP="005F7F3F">
      <w:pPr>
        <w:snapToGrid w:val="0"/>
        <w:spacing w:after="0" w:line="240" w:lineRule="auto"/>
        <w:jc w:val="center"/>
        <w:rPr>
          <w:rFonts w:ascii="Arial" w:hAnsi="Arial" w:cs="Arial"/>
          <w:b/>
          <w:bCs/>
          <w:color w:val="FF0000"/>
          <w:sz w:val="24"/>
          <w:szCs w:val="24"/>
          <w:lang w:eastAsia="zh-TW"/>
        </w:rPr>
      </w:pPr>
      <w:r w:rsidRPr="00685A00">
        <w:rPr>
          <w:rFonts w:ascii="Arial" w:hAnsi="Arial" w:cs="Arial"/>
          <w:b/>
          <w:bCs/>
          <w:color w:val="FF0000"/>
          <w:sz w:val="24"/>
          <w:szCs w:val="24"/>
          <w:lang w:eastAsia="zh-TW"/>
        </w:rPr>
        <w:t xml:space="preserve">HKEX </w:t>
      </w:r>
      <w:r w:rsidR="005F7F3F" w:rsidRPr="00685A00">
        <w:rPr>
          <w:rFonts w:ascii="Arial" w:hAnsi="Arial" w:cs="Arial"/>
          <w:b/>
          <w:bCs/>
          <w:color w:val="FF0000"/>
          <w:sz w:val="24"/>
          <w:szCs w:val="24"/>
          <w:lang w:eastAsia="zh-TW"/>
        </w:rPr>
        <w:t xml:space="preserve">Consults on </w:t>
      </w:r>
      <w:r w:rsidR="00B7078B">
        <w:rPr>
          <w:rFonts w:ascii="Arial" w:hAnsi="Arial" w:cs="Arial"/>
          <w:b/>
          <w:bCs/>
          <w:color w:val="FF0000"/>
          <w:sz w:val="24"/>
          <w:szCs w:val="24"/>
          <w:lang w:eastAsia="zh-TW"/>
        </w:rPr>
        <w:t>GEM Listing Reforms</w:t>
      </w:r>
    </w:p>
    <w:p w:rsidR="005F7F3F" w:rsidRPr="005152D8" w:rsidRDefault="005F7F3F" w:rsidP="003263EE">
      <w:pPr>
        <w:snapToGrid w:val="0"/>
        <w:spacing w:after="0" w:line="240" w:lineRule="auto"/>
        <w:jc w:val="both"/>
        <w:rPr>
          <w:rFonts w:ascii="Arial" w:hAnsi="Arial" w:cs="Arial"/>
          <w:bCs/>
          <w:sz w:val="20"/>
          <w:szCs w:val="20"/>
          <w:lang w:eastAsia="zh-TW"/>
        </w:rPr>
      </w:pPr>
    </w:p>
    <w:p w:rsidR="006C6B14" w:rsidRDefault="00CD6608" w:rsidP="007B67DB">
      <w:p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On 26 September 2023, the Hong Kong Stock Exchange (</w:t>
      </w:r>
      <w:r w:rsidRPr="00CD6608">
        <w:rPr>
          <w:rFonts w:ascii="Arial" w:hAnsi="Arial" w:cs="Arial"/>
          <w:b/>
          <w:bCs/>
          <w:sz w:val="20"/>
          <w:szCs w:val="20"/>
          <w:lang w:eastAsia="zh-TW"/>
        </w:rPr>
        <w:t>HKEX</w:t>
      </w:r>
      <w:r>
        <w:rPr>
          <w:rFonts w:ascii="Arial" w:hAnsi="Arial" w:cs="Arial"/>
          <w:bCs/>
          <w:sz w:val="20"/>
          <w:szCs w:val="20"/>
          <w:lang w:eastAsia="zh-TW"/>
        </w:rPr>
        <w:t xml:space="preserve">) published a </w:t>
      </w:r>
      <w:hyperlink r:id="rId9" w:history="1">
        <w:r w:rsidRPr="003E2101">
          <w:rPr>
            <w:rStyle w:val="a3"/>
            <w:rFonts w:ascii="Arial" w:hAnsi="Arial" w:cs="Arial"/>
            <w:bCs/>
            <w:sz w:val="20"/>
            <w:szCs w:val="20"/>
            <w:lang w:eastAsia="zh-TW"/>
          </w:rPr>
          <w:t>Consultation Paper</w:t>
        </w:r>
      </w:hyperlink>
      <w:r>
        <w:rPr>
          <w:rFonts w:ascii="Arial" w:hAnsi="Arial" w:cs="Arial"/>
          <w:bCs/>
          <w:sz w:val="20"/>
          <w:szCs w:val="20"/>
          <w:lang w:eastAsia="zh-TW"/>
        </w:rPr>
        <w:t xml:space="preserve"> setting out </w:t>
      </w:r>
      <w:r w:rsidR="006C6B14">
        <w:rPr>
          <w:rFonts w:ascii="Arial" w:hAnsi="Arial" w:cs="Arial"/>
          <w:bCs/>
          <w:sz w:val="20"/>
          <w:szCs w:val="20"/>
          <w:lang w:eastAsia="zh-TW"/>
        </w:rPr>
        <w:t>reforms</w:t>
      </w:r>
      <w:r>
        <w:rPr>
          <w:rFonts w:ascii="Arial" w:hAnsi="Arial" w:cs="Arial"/>
          <w:bCs/>
          <w:sz w:val="20"/>
          <w:szCs w:val="20"/>
          <w:lang w:eastAsia="zh-TW"/>
        </w:rPr>
        <w:t xml:space="preserve"> to </w:t>
      </w:r>
      <w:r w:rsidR="006C6B14">
        <w:rPr>
          <w:rFonts w:ascii="Arial" w:hAnsi="Arial" w:cs="Arial"/>
          <w:bCs/>
          <w:sz w:val="20"/>
          <w:szCs w:val="20"/>
          <w:lang w:eastAsia="zh-TW"/>
        </w:rPr>
        <w:t>the</w:t>
      </w:r>
      <w:r>
        <w:rPr>
          <w:rFonts w:ascii="Arial" w:hAnsi="Arial" w:cs="Arial"/>
          <w:bCs/>
          <w:sz w:val="20"/>
          <w:szCs w:val="20"/>
          <w:lang w:eastAsia="zh-TW"/>
        </w:rPr>
        <w:t xml:space="preserve"> GEM Listing Rules </w:t>
      </w:r>
      <w:r w:rsidR="00E03B31">
        <w:rPr>
          <w:rFonts w:ascii="Arial" w:hAnsi="Arial" w:cs="Arial"/>
          <w:bCs/>
          <w:sz w:val="20"/>
          <w:szCs w:val="20"/>
          <w:lang w:eastAsia="zh-TW"/>
        </w:rPr>
        <w:t xml:space="preserve">aimed at encouraging more companies to list on GEM </w:t>
      </w:r>
      <w:r w:rsidR="003D65DD">
        <w:rPr>
          <w:rFonts w:ascii="Arial" w:hAnsi="Arial" w:cs="Arial"/>
          <w:bCs/>
          <w:sz w:val="20"/>
          <w:szCs w:val="20"/>
          <w:lang w:eastAsia="zh-TW"/>
        </w:rPr>
        <w:t xml:space="preserve">after two years when </w:t>
      </w:r>
      <w:r w:rsidR="003C5FC6">
        <w:rPr>
          <w:rFonts w:ascii="Arial" w:hAnsi="Arial" w:cs="Arial"/>
          <w:bCs/>
          <w:sz w:val="20"/>
          <w:szCs w:val="20"/>
          <w:lang w:eastAsia="zh-TW"/>
        </w:rPr>
        <w:t>only one company listed</w:t>
      </w:r>
      <w:r w:rsidR="003D65DD">
        <w:rPr>
          <w:rFonts w:ascii="Arial" w:hAnsi="Arial" w:cs="Arial"/>
          <w:bCs/>
          <w:sz w:val="20"/>
          <w:szCs w:val="20"/>
          <w:lang w:eastAsia="zh-TW"/>
        </w:rPr>
        <w:t xml:space="preserve"> on the market. </w:t>
      </w:r>
      <w:r w:rsidR="007B67DB">
        <w:rPr>
          <w:rFonts w:ascii="Arial" w:hAnsi="Arial" w:cs="Arial"/>
          <w:bCs/>
          <w:sz w:val="20"/>
          <w:szCs w:val="20"/>
          <w:lang w:eastAsia="zh-TW"/>
        </w:rPr>
        <w:t xml:space="preserve">A </w:t>
      </w:r>
      <w:r w:rsidR="003C5FC6">
        <w:rPr>
          <w:rFonts w:ascii="Arial" w:hAnsi="Arial" w:cs="Arial"/>
          <w:bCs/>
          <w:sz w:val="20"/>
          <w:szCs w:val="20"/>
          <w:lang w:eastAsia="zh-TW"/>
        </w:rPr>
        <w:t>key proposal</w:t>
      </w:r>
      <w:r w:rsidR="003D65DD">
        <w:rPr>
          <w:rFonts w:ascii="Arial" w:hAnsi="Arial" w:cs="Arial"/>
          <w:bCs/>
          <w:sz w:val="20"/>
          <w:szCs w:val="20"/>
          <w:lang w:eastAsia="zh-TW"/>
        </w:rPr>
        <w:t xml:space="preserve"> </w:t>
      </w:r>
      <w:r w:rsidR="007B67DB">
        <w:rPr>
          <w:rFonts w:ascii="Arial" w:hAnsi="Arial" w:cs="Arial"/>
          <w:bCs/>
          <w:sz w:val="20"/>
          <w:szCs w:val="20"/>
          <w:lang w:eastAsia="zh-TW"/>
        </w:rPr>
        <w:t>relate</w:t>
      </w:r>
      <w:r w:rsidR="00191489">
        <w:rPr>
          <w:rFonts w:ascii="Arial" w:hAnsi="Arial" w:cs="Arial"/>
          <w:bCs/>
          <w:sz w:val="20"/>
          <w:szCs w:val="20"/>
          <w:lang w:eastAsia="zh-TW"/>
        </w:rPr>
        <w:t>s</w:t>
      </w:r>
      <w:r w:rsidR="007B67DB">
        <w:rPr>
          <w:rFonts w:ascii="Arial" w:hAnsi="Arial" w:cs="Arial"/>
          <w:bCs/>
          <w:sz w:val="20"/>
          <w:szCs w:val="20"/>
          <w:lang w:eastAsia="zh-TW"/>
        </w:rPr>
        <w:t xml:space="preserve"> to the </w:t>
      </w:r>
      <w:r w:rsidR="003D65DD">
        <w:rPr>
          <w:rFonts w:ascii="Arial" w:hAnsi="Arial" w:cs="Arial"/>
          <w:bCs/>
          <w:sz w:val="20"/>
          <w:szCs w:val="20"/>
          <w:lang w:eastAsia="zh-TW"/>
        </w:rPr>
        <w:t>introduc</w:t>
      </w:r>
      <w:r w:rsidR="007B67DB">
        <w:rPr>
          <w:rFonts w:ascii="Arial" w:hAnsi="Arial" w:cs="Arial"/>
          <w:bCs/>
          <w:sz w:val="20"/>
          <w:szCs w:val="20"/>
          <w:lang w:eastAsia="zh-TW"/>
        </w:rPr>
        <w:t>tion of</w:t>
      </w:r>
      <w:r w:rsidR="003D65DD">
        <w:rPr>
          <w:rFonts w:ascii="Arial" w:hAnsi="Arial" w:cs="Arial"/>
          <w:bCs/>
          <w:sz w:val="20"/>
          <w:szCs w:val="20"/>
          <w:lang w:eastAsia="zh-TW"/>
        </w:rPr>
        <w:t xml:space="preserve"> an alternative listing eligibility test to allow the listing of high growth enterprises that </w:t>
      </w:r>
      <w:r w:rsidR="003C5FC6">
        <w:rPr>
          <w:rFonts w:ascii="Arial" w:hAnsi="Arial" w:cs="Arial"/>
          <w:bCs/>
          <w:sz w:val="20"/>
          <w:szCs w:val="20"/>
          <w:lang w:eastAsia="zh-TW"/>
        </w:rPr>
        <w:t xml:space="preserve">cannot meet </w:t>
      </w:r>
      <w:r w:rsidR="003D65DD">
        <w:rPr>
          <w:rFonts w:ascii="Arial" w:hAnsi="Arial" w:cs="Arial"/>
          <w:bCs/>
          <w:sz w:val="20"/>
          <w:szCs w:val="20"/>
          <w:lang w:eastAsia="zh-TW"/>
        </w:rPr>
        <w:t>GEM</w:t>
      </w:r>
      <w:r w:rsidR="003C5FC6">
        <w:rPr>
          <w:rFonts w:ascii="Arial" w:hAnsi="Arial" w:cs="Arial"/>
          <w:bCs/>
          <w:sz w:val="20"/>
          <w:szCs w:val="20"/>
          <w:lang w:eastAsia="zh-TW"/>
        </w:rPr>
        <w:t>’s</w:t>
      </w:r>
      <w:r w:rsidR="003D65DD">
        <w:rPr>
          <w:rFonts w:ascii="Arial" w:hAnsi="Arial" w:cs="Arial"/>
          <w:bCs/>
          <w:sz w:val="20"/>
          <w:szCs w:val="20"/>
          <w:lang w:eastAsia="zh-TW"/>
        </w:rPr>
        <w:t xml:space="preserve"> positiv</w:t>
      </w:r>
      <w:r w:rsidR="003C5FC6">
        <w:rPr>
          <w:rFonts w:ascii="Arial" w:hAnsi="Arial" w:cs="Arial"/>
          <w:bCs/>
          <w:sz w:val="20"/>
          <w:szCs w:val="20"/>
          <w:lang w:eastAsia="zh-TW"/>
        </w:rPr>
        <w:t>e cashflow test due to their</w:t>
      </w:r>
      <w:r w:rsidR="003D65DD">
        <w:rPr>
          <w:rFonts w:ascii="Arial" w:hAnsi="Arial" w:cs="Arial"/>
          <w:bCs/>
          <w:sz w:val="20"/>
          <w:szCs w:val="20"/>
          <w:lang w:eastAsia="zh-TW"/>
        </w:rPr>
        <w:t xml:space="preserve"> </w:t>
      </w:r>
      <w:r w:rsidR="003C5FC6">
        <w:rPr>
          <w:rFonts w:ascii="Arial" w:hAnsi="Arial" w:cs="Arial"/>
          <w:bCs/>
          <w:sz w:val="20"/>
          <w:szCs w:val="20"/>
          <w:lang w:eastAsia="zh-TW"/>
        </w:rPr>
        <w:t>heav</w:t>
      </w:r>
      <w:r w:rsidR="003D65DD">
        <w:rPr>
          <w:rFonts w:ascii="Arial" w:hAnsi="Arial" w:cs="Arial"/>
          <w:bCs/>
          <w:sz w:val="20"/>
          <w:szCs w:val="20"/>
          <w:lang w:eastAsia="zh-TW"/>
        </w:rPr>
        <w:t>y e</w:t>
      </w:r>
      <w:r w:rsidR="003C5FC6">
        <w:rPr>
          <w:rFonts w:ascii="Arial" w:hAnsi="Arial" w:cs="Arial"/>
          <w:bCs/>
          <w:sz w:val="20"/>
          <w:szCs w:val="20"/>
          <w:lang w:eastAsia="zh-TW"/>
        </w:rPr>
        <w:t>ngagement</w:t>
      </w:r>
      <w:r w:rsidR="003D65DD">
        <w:rPr>
          <w:rFonts w:ascii="Arial" w:hAnsi="Arial" w:cs="Arial"/>
          <w:bCs/>
          <w:sz w:val="20"/>
          <w:szCs w:val="20"/>
          <w:lang w:eastAsia="zh-TW"/>
        </w:rPr>
        <w:t xml:space="preserve"> in research and development (</w:t>
      </w:r>
      <w:r w:rsidR="003D65DD" w:rsidRPr="006C6B14">
        <w:rPr>
          <w:rFonts w:ascii="Arial" w:hAnsi="Arial" w:cs="Arial"/>
          <w:b/>
          <w:bCs/>
          <w:sz w:val="20"/>
          <w:szCs w:val="20"/>
          <w:lang w:eastAsia="zh-TW"/>
        </w:rPr>
        <w:t>R&amp;D</w:t>
      </w:r>
      <w:r w:rsidR="003D65DD">
        <w:rPr>
          <w:rFonts w:ascii="Arial" w:hAnsi="Arial" w:cs="Arial"/>
          <w:bCs/>
          <w:sz w:val="20"/>
          <w:szCs w:val="20"/>
          <w:lang w:eastAsia="zh-TW"/>
        </w:rPr>
        <w:t xml:space="preserve">). </w:t>
      </w:r>
      <w:r w:rsidR="00191489" w:rsidRPr="00191489">
        <w:rPr>
          <w:rFonts w:ascii="Arial" w:hAnsi="Arial" w:cs="Arial"/>
          <w:bCs/>
          <w:sz w:val="20"/>
          <w:szCs w:val="20"/>
          <w:lang w:eastAsia="zh-TW"/>
        </w:rPr>
        <w:t xml:space="preserve">The alternative listing requirement would require a listing applicant to have: an expected market </w:t>
      </w:r>
      <w:proofErr w:type="spellStart"/>
      <w:r w:rsidR="00191489" w:rsidRPr="00191489">
        <w:rPr>
          <w:rFonts w:ascii="Arial" w:hAnsi="Arial" w:cs="Arial"/>
          <w:bCs/>
          <w:sz w:val="20"/>
          <w:szCs w:val="20"/>
          <w:lang w:eastAsia="zh-TW"/>
        </w:rPr>
        <w:t>capitalisation</w:t>
      </w:r>
      <w:proofErr w:type="spellEnd"/>
      <w:r w:rsidR="00191489" w:rsidRPr="00191489">
        <w:rPr>
          <w:rFonts w:ascii="Arial" w:hAnsi="Arial" w:cs="Arial"/>
          <w:bCs/>
          <w:sz w:val="20"/>
          <w:szCs w:val="20"/>
          <w:lang w:eastAsia="zh-TW"/>
        </w:rPr>
        <w:t xml:space="preserve"> of HK$250 million at the time of listing; HK$100 million revenue (in aggregate) for the two most recent audited financial years; year-on-year growth over that period; and HK$30 million of incurred R&amp;D expenditure (in aggregate) for the two financial years before listing, with each financial year's incurred R&amp;D expenditure being at least 15% of its total operating expenditure for the same period. </w:t>
      </w:r>
      <w:r w:rsidR="003C5FC6">
        <w:rPr>
          <w:rFonts w:ascii="Arial" w:hAnsi="Arial" w:cs="Arial"/>
          <w:bCs/>
          <w:sz w:val="20"/>
          <w:szCs w:val="20"/>
          <w:lang w:eastAsia="zh-TW"/>
        </w:rPr>
        <w:t>The HKEX</w:t>
      </w:r>
      <w:r w:rsidR="00CE296C">
        <w:rPr>
          <w:rFonts w:ascii="Arial" w:hAnsi="Arial" w:cs="Arial"/>
          <w:bCs/>
          <w:sz w:val="20"/>
          <w:szCs w:val="20"/>
          <w:lang w:eastAsia="zh-TW"/>
        </w:rPr>
        <w:t>’s other proposals include</w:t>
      </w:r>
      <w:r w:rsidR="003C5FC6">
        <w:rPr>
          <w:rFonts w:ascii="Arial" w:hAnsi="Arial" w:cs="Arial"/>
          <w:bCs/>
          <w:sz w:val="20"/>
          <w:szCs w:val="20"/>
          <w:lang w:eastAsia="zh-TW"/>
        </w:rPr>
        <w:t xml:space="preserve">: </w:t>
      </w:r>
    </w:p>
    <w:p w:rsidR="006C6B14" w:rsidRDefault="006C6B14" w:rsidP="00D10060">
      <w:pPr>
        <w:pStyle w:val="a4"/>
        <w:snapToGrid w:val="0"/>
        <w:spacing w:after="0" w:line="240" w:lineRule="auto"/>
        <w:ind w:hanging="720"/>
        <w:jc w:val="both"/>
        <w:rPr>
          <w:rFonts w:ascii="Arial" w:hAnsi="Arial" w:cs="Arial"/>
          <w:bCs/>
          <w:sz w:val="20"/>
          <w:szCs w:val="20"/>
          <w:lang w:eastAsia="zh-TW"/>
        </w:rPr>
      </w:pPr>
    </w:p>
    <w:p w:rsidR="003E2101" w:rsidRDefault="003C5FC6" w:rsidP="00D10060">
      <w:pPr>
        <w:pStyle w:val="a4"/>
        <w:numPr>
          <w:ilvl w:val="0"/>
          <w:numId w:val="48"/>
        </w:numPr>
        <w:snapToGrid w:val="0"/>
        <w:spacing w:after="0" w:line="240" w:lineRule="auto"/>
        <w:ind w:hanging="720"/>
        <w:jc w:val="both"/>
        <w:rPr>
          <w:rFonts w:ascii="Arial" w:hAnsi="Arial" w:cs="Arial"/>
          <w:bCs/>
          <w:sz w:val="20"/>
          <w:szCs w:val="20"/>
          <w:lang w:eastAsia="zh-TW"/>
        </w:rPr>
      </w:pPr>
      <w:r>
        <w:rPr>
          <w:rFonts w:ascii="Arial" w:hAnsi="Arial" w:cs="Arial"/>
          <w:bCs/>
          <w:sz w:val="20"/>
          <w:szCs w:val="20"/>
          <w:lang w:eastAsia="zh-TW"/>
        </w:rPr>
        <w:t>re</w:t>
      </w:r>
      <w:r w:rsidR="00CE296C">
        <w:rPr>
          <w:rFonts w:ascii="Arial" w:hAnsi="Arial" w:cs="Arial"/>
          <w:bCs/>
          <w:sz w:val="20"/>
          <w:szCs w:val="20"/>
          <w:lang w:eastAsia="zh-TW"/>
        </w:rPr>
        <w:t>-introducing</w:t>
      </w:r>
      <w:r>
        <w:rPr>
          <w:rFonts w:ascii="Arial" w:hAnsi="Arial" w:cs="Arial"/>
          <w:bCs/>
          <w:sz w:val="20"/>
          <w:szCs w:val="20"/>
          <w:lang w:eastAsia="zh-TW"/>
        </w:rPr>
        <w:t xml:space="preserve"> </w:t>
      </w:r>
      <w:r w:rsidR="006C6B14">
        <w:rPr>
          <w:rFonts w:ascii="Arial" w:hAnsi="Arial" w:cs="Arial"/>
          <w:bCs/>
          <w:sz w:val="20"/>
          <w:szCs w:val="20"/>
          <w:lang w:eastAsia="zh-TW"/>
        </w:rPr>
        <w:t xml:space="preserve">a streamlined transfer mechanism to enable qualified GEM issuers to transfer to the Main Board without </w:t>
      </w:r>
      <w:r>
        <w:rPr>
          <w:rFonts w:ascii="Arial" w:hAnsi="Arial" w:cs="Arial"/>
          <w:bCs/>
          <w:sz w:val="20"/>
          <w:szCs w:val="20"/>
          <w:lang w:eastAsia="zh-TW"/>
        </w:rPr>
        <w:t xml:space="preserve">having </w:t>
      </w:r>
      <w:r w:rsidR="006C6B14">
        <w:rPr>
          <w:rFonts w:ascii="Arial" w:hAnsi="Arial" w:cs="Arial"/>
          <w:bCs/>
          <w:sz w:val="20"/>
          <w:szCs w:val="20"/>
          <w:lang w:eastAsia="zh-TW"/>
        </w:rPr>
        <w:t>to appoint a sponsor to carry out due diligence or produce a “prospectus-standard” listing document</w:t>
      </w:r>
      <w:r w:rsidR="00F24A93">
        <w:rPr>
          <w:rFonts w:ascii="Arial" w:hAnsi="Arial" w:cs="Arial"/>
          <w:bCs/>
          <w:sz w:val="20"/>
          <w:szCs w:val="20"/>
          <w:lang w:eastAsia="zh-TW"/>
        </w:rPr>
        <w:t>;</w:t>
      </w:r>
      <w:r w:rsidR="00785BED">
        <w:rPr>
          <w:rFonts w:ascii="Arial" w:hAnsi="Arial" w:cs="Arial"/>
          <w:bCs/>
          <w:sz w:val="20"/>
          <w:szCs w:val="20"/>
          <w:lang w:eastAsia="zh-TW"/>
        </w:rPr>
        <w:t xml:space="preserve"> and</w:t>
      </w:r>
    </w:p>
    <w:p w:rsidR="008E46B7" w:rsidRPr="008E46B7" w:rsidRDefault="008E46B7" w:rsidP="00D10060">
      <w:pPr>
        <w:pStyle w:val="a4"/>
        <w:ind w:hanging="720"/>
        <w:rPr>
          <w:rFonts w:ascii="Arial" w:hAnsi="Arial" w:cs="Arial"/>
          <w:bCs/>
          <w:sz w:val="20"/>
          <w:szCs w:val="20"/>
          <w:lang w:eastAsia="zh-TW"/>
        </w:rPr>
      </w:pPr>
    </w:p>
    <w:p w:rsidR="008E46B7" w:rsidRDefault="00CE296C" w:rsidP="00D10060">
      <w:pPr>
        <w:pStyle w:val="a4"/>
        <w:numPr>
          <w:ilvl w:val="0"/>
          <w:numId w:val="48"/>
        </w:numPr>
        <w:snapToGrid w:val="0"/>
        <w:spacing w:after="0" w:line="240" w:lineRule="auto"/>
        <w:ind w:hanging="720"/>
        <w:jc w:val="both"/>
        <w:rPr>
          <w:rFonts w:ascii="Arial" w:hAnsi="Arial" w:cs="Arial"/>
          <w:bCs/>
          <w:sz w:val="20"/>
          <w:szCs w:val="20"/>
          <w:lang w:eastAsia="zh-TW"/>
        </w:rPr>
      </w:pPr>
      <w:r>
        <w:rPr>
          <w:rFonts w:ascii="Arial" w:hAnsi="Arial" w:cs="Arial"/>
          <w:bCs/>
          <w:sz w:val="20"/>
          <w:szCs w:val="20"/>
          <w:lang w:eastAsia="zh-TW"/>
        </w:rPr>
        <w:t xml:space="preserve">aligning certain GEM Listing Rule requirements with those of the Main Board by (among others) </w:t>
      </w:r>
      <w:r w:rsidR="008E46B7">
        <w:rPr>
          <w:rFonts w:ascii="Arial" w:hAnsi="Arial" w:cs="Arial"/>
          <w:bCs/>
          <w:sz w:val="20"/>
          <w:szCs w:val="20"/>
          <w:lang w:eastAsia="zh-TW"/>
        </w:rPr>
        <w:t>remov</w:t>
      </w:r>
      <w:r>
        <w:rPr>
          <w:rFonts w:ascii="Arial" w:hAnsi="Arial" w:cs="Arial"/>
          <w:bCs/>
          <w:sz w:val="20"/>
          <w:szCs w:val="20"/>
          <w:lang w:eastAsia="zh-TW"/>
        </w:rPr>
        <w:t>ing</w:t>
      </w:r>
      <w:r w:rsidR="008E46B7">
        <w:rPr>
          <w:rFonts w:ascii="Arial" w:hAnsi="Arial" w:cs="Arial"/>
          <w:bCs/>
          <w:sz w:val="20"/>
          <w:szCs w:val="20"/>
          <w:lang w:eastAsia="zh-TW"/>
        </w:rPr>
        <w:t xml:space="preserve"> </w:t>
      </w:r>
      <w:r>
        <w:rPr>
          <w:rFonts w:ascii="Arial" w:hAnsi="Arial" w:cs="Arial"/>
          <w:bCs/>
          <w:sz w:val="20"/>
          <w:szCs w:val="20"/>
          <w:lang w:eastAsia="zh-TW"/>
        </w:rPr>
        <w:t xml:space="preserve">the </w:t>
      </w:r>
      <w:r w:rsidR="008E46B7">
        <w:rPr>
          <w:rFonts w:ascii="Arial" w:hAnsi="Arial" w:cs="Arial"/>
          <w:bCs/>
          <w:sz w:val="20"/>
          <w:szCs w:val="20"/>
          <w:lang w:eastAsia="zh-TW"/>
        </w:rPr>
        <w:t>mandatory quarterly reporting requirement and</w:t>
      </w:r>
      <w:r>
        <w:rPr>
          <w:rFonts w:ascii="Arial" w:hAnsi="Arial" w:cs="Arial"/>
          <w:bCs/>
          <w:sz w:val="20"/>
          <w:szCs w:val="20"/>
          <w:lang w:eastAsia="zh-TW"/>
        </w:rPr>
        <w:t xml:space="preserve"> reducing the lock-up period on controlling shareholders from 24 to 12 months</w:t>
      </w:r>
      <w:r w:rsidR="008E46B7">
        <w:rPr>
          <w:rFonts w:ascii="Arial" w:hAnsi="Arial" w:cs="Arial"/>
          <w:bCs/>
          <w:sz w:val="20"/>
          <w:szCs w:val="20"/>
          <w:lang w:eastAsia="zh-TW"/>
        </w:rPr>
        <w:t>.</w:t>
      </w:r>
    </w:p>
    <w:p w:rsidR="00BB28F7" w:rsidRDefault="00BB28F7" w:rsidP="00977475">
      <w:pPr>
        <w:snapToGrid w:val="0"/>
        <w:spacing w:after="0" w:line="240" w:lineRule="auto"/>
        <w:jc w:val="both"/>
        <w:rPr>
          <w:rFonts w:ascii="Arial" w:hAnsi="Arial" w:cs="Arial"/>
          <w:bCs/>
          <w:sz w:val="20"/>
          <w:szCs w:val="20"/>
        </w:rPr>
      </w:pPr>
    </w:p>
    <w:p w:rsidR="00DC3A44" w:rsidRDefault="00DC3A44" w:rsidP="00977475">
      <w:pPr>
        <w:snapToGrid w:val="0"/>
        <w:spacing w:after="0" w:line="240" w:lineRule="auto"/>
        <w:jc w:val="both"/>
        <w:rPr>
          <w:rFonts w:ascii="Arial" w:hAnsi="Arial" w:cs="Arial"/>
          <w:bCs/>
          <w:sz w:val="20"/>
          <w:szCs w:val="20"/>
        </w:rPr>
      </w:pPr>
      <w:r>
        <w:rPr>
          <w:rFonts w:ascii="Arial" w:hAnsi="Arial" w:cs="Arial"/>
          <w:bCs/>
          <w:sz w:val="20"/>
          <w:szCs w:val="20"/>
          <w:lang w:eastAsia="zh-TW"/>
        </w:rPr>
        <w:t xml:space="preserve">The HKEX is seeking market feedback on </w:t>
      </w:r>
      <w:r w:rsidR="00CE296C">
        <w:rPr>
          <w:rFonts w:ascii="Arial" w:hAnsi="Arial" w:cs="Arial"/>
          <w:bCs/>
          <w:sz w:val="20"/>
          <w:szCs w:val="20"/>
          <w:lang w:eastAsia="zh-TW"/>
        </w:rPr>
        <w:t xml:space="preserve">its </w:t>
      </w:r>
      <w:r>
        <w:rPr>
          <w:rFonts w:ascii="Arial" w:hAnsi="Arial" w:cs="Arial"/>
          <w:bCs/>
          <w:sz w:val="20"/>
          <w:szCs w:val="20"/>
          <w:lang w:eastAsia="zh-TW"/>
        </w:rPr>
        <w:t xml:space="preserve">proposals and the deadline for responding to the Consultation Paper is 6 November 2023. Interested parties </w:t>
      </w:r>
      <w:r w:rsidR="00CE296C">
        <w:rPr>
          <w:rFonts w:ascii="Arial" w:hAnsi="Arial" w:cs="Arial"/>
          <w:bCs/>
          <w:sz w:val="20"/>
          <w:szCs w:val="20"/>
          <w:lang w:eastAsia="zh-TW"/>
        </w:rPr>
        <w:t>can respond by</w:t>
      </w:r>
      <w:r>
        <w:rPr>
          <w:rFonts w:ascii="Arial" w:hAnsi="Arial" w:cs="Arial"/>
          <w:bCs/>
          <w:sz w:val="20"/>
          <w:szCs w:val="20"/>
          <w:lang w:eastAsia="zh-TW"/>
        </w:rPr>
        <w:t xml:space="preserve"> complet</w:t>
      </w:r>
      <w:r w:rsidR="00CE296C">
        <w:rPr>
          <w:rFonts w:ascii="Arial" w:hAnsi="Arial" w:cs="Arial"/>
          <w:bCs/>
          <w:sz w:val="20"/>
          <w:szCs w:val="20"/>
          <w:lang w:eastAsia="zh-TW"/>
        </w:rPr>
        <w:t>ing</w:t>
      </w:r>
      <w:r>
        <w:rPr>
          <w:rFonts w:ascii="Arial" w:hAnsi="Arial" w:cs="Arial"/>
          <w:bCs/>
          <w:sz w:val="20"/>
          <w:szCs w:val="20"/>
          <w:lang w:eastAsia="zh-TW"/>
        </w:rPr>
        <w:t xml:space="preserve"> and submit</w:t>
      </w:r>
      <w:r w:rsidR="00CE296C">
        <w:rPr>
          <w:rFonts w:ascii="Arial" w:hAnsi="Arial" w:cs="Arial"/>
          <w:bCs/>
          <w:sz w:val="20"/>
          <w:szCs w:val="20"/>
          <w:lang w:eastAsia="zh-TW"/>
        </w:rPr>
        <w:t>ting</w:t>
      </w:r>
      <w:r>
        <w:rPr>
          <w:rFonts w:ascii="Arial" w:hAnsi="Arial" w:cs="Arial"/>
          <w:bCs/>
          <w:sz w:val="20"/>
          <w:szCs w:val="20"/>
          <w:lang w:eastAsia="zh-TW"/>
        </w:rPr>
        <w:t xml:space="preserve"> </w:t>
      </w:r>
      <w:r w:rsidR="00CE296C">
        <w:rPr>
          <w:rFonts w:ascii="Arial" w:hAnsi="Arial" w:cs="Arial"/>
          <w:bCs/>
          <w:sz w:val="20"/>
          <w:szCs w:val="20"/>
          <w:lang w:eastAsia="zh-TW"/>
        </w:rPr>
        <w:t>the</w:t>
      </w:r>
      <w:r>
        <w:rPr>
          <w:rFonts w:ascii="Arial" w:hAnsi="Arial" w:cs="Arial"/>
          <w:bCs/>
          <w:sz w:val="20"/>
          <w:szCs w:val="20"/>
          <w:lang w:eastAsia="zh-TW"/>
        </w:rPr>
        <w:t xml:space="preserve"> questionnaire on the </w:t>
      </w:r>
      <w:hyperlink r:id="rId10" w:history="1">
        <w:r w:rsidRPr="00F24A93">
          <w:rPr>
            <w:rStyle w:val="a3"/>
            <w:rFonts w:ascii="Arial" w:hAnsi="Arial" w:cs="Arial"/>
            <w:bCs/>
            <w:sz w:val="20"/>
            <w:szCs w:val="20"/>
            <w:lang w:eastAsia="zh-TW"/>
          </w:rPr>
          <w:t>HKEX website</w:t>
        </w:r>
      </w:hyperlink>
      <w:r>
        <w:rPr>
          <w:rFonts w:ascii="Arial" w:hAnsi="Arial" w:cs="Arial"/>
          <w:bCs/>
          <w:sz w:val="20"/>
          <w:szCs w:val="20"/>
          <w:lang w:eastAsia="zh-TW"/>
        </w:rPr>
        <w:t>.</w:t>
      </w:r>
    </w:p>
    <w:p w:rsidR="00DC3A44" w:rsidRDefault="00DC3A44" w:rsidP="00977475">
      <w:pPr>
        <w:snapToGrid w:val="0"/>
        <w:spacing w:after="0" w:line="240" w:lineRule="auto"/>
        <w:jc w:val="both"/>
        <w:rPr>
          <w:rFonts w:ascii="Arial" w:hAnsi="Arial" w:cs="Arial"/>
          <w:bCs/>
          <w:sz w:val="20"/>
          <w:szCs w:val="20"/>
        </w:rPr>
      </w:pPr>
    </w:p>
    <w:p w:rsidR="00F24A93" w:rsidRPr="00F24A93" w:rsidRDefault="00F24A93" w:rsidP="00977475">
      <w:pPr>
        <w:snapToGrid w:val="0"/>
        <w:spacing w:after="0" w:line="240" w:lineRule="auto"/>
        <w:jc w:val="both"/>
        <w:rPr>
          <w:rFonts w:ascii="Arial" w:hAnsi="Arial" w:cs="Arial"/>
          <w:b/>
          <w:bCs/>
          <w:color w:val="FF0000"/>
          <w:sz w:val="20"/>
          <w:szCs w:val="20"/>
          <w:lang w:eastAsia="zh-TW"/>
        </w:rPr>
      </w:pPr>
      <w:r w:rsidRPr="00F24A93">
        <w:rPr>
          <w:rFonts w:ascii="Arial" w:hAnsi="Arial" w:cs="Arial"/>
          <w:b/>
          <w:bCs/>
          <w:color w:val="FF0000"/>
          <w:sz w:val="20"/>
          <w:szCs w:val="20"/>
          <w:lang w:eastAsia="zh-TW"/>
        </w:rPr>
        <w:t xml:space="preserve">Background of Current GEM Market </w:t>
      </w:r>
    </w:p>
    <w:p w:rsidR="00F24A93" w:rsidRDefault="00F24A93" w:rsidP="00977475">
      <w:pPr>
        <w:snapToGrid w:val="0"/>
        <w:spacing w:after="0" w:line="240" w:lineRule="auto"/>
        <w:jc w:val="both"/>
        <w:rPr>
          <w:rFonts w:ascii="Arial" w:hAnsi="Arial" w:cs="Arial"/>
          <w:bCs/>
          <w:sz w:val="20"/>
          <w:szCs w:val="20"/>
        </w:rPr>
      </w:pPr>
    </w:p>
    <w:p w:rsidR="00932501" w:rsidRPr="00932501" w:rsidRDefault="00932501" w:rsidP="00977475">
      <w:pPr>
        <w:snapToGrid w:val="0"/>
        <w:spacing w:after="0" w:line="240" w:lineRule="auto"/>
        <w:jc w:val="both"/>
        <w:rPr>
          <w:rFonts w:ascii="Arial" w:hAnsi="Arial" w:cs="Arial"/>
          <w:b/>
          <w:bCs/>
          <w:sz w:val="20"/>
          <w:szCs w:val="20"/>
        </w:rPr>
      </w:pPr>
      <w:r w:rsidRPr="00932501">
        <w:rPr>
          <w:rFonts w:ascii="Arial" w:hAnsi="Arial" w:cs="Arial"/>
          <w:b/>
          <w:bCs/>
          <w:sz w:val="20"/>
          <w:szCs w:val="20"/>
        </w:rPr>
        <w:t>Recent market quality r</w:t>
      </w:r>
      <w:r>
        <w:rPr>
          <w:rFonts w:ascii="Arial" w:hAnsi="Arial" w:cs="Arial"/>
          <w:b/>
          <w:bCs/>
          <w:sz w:val="20"/>
          <w:szCs w:val="20"/>
        </w:rPr>
        <w:t>e</w:t>
      </w:r>
      <w:r w:rsidRPr="00932501">
        <w:rPr>
          <w:rFonts w:ascii="Arial" w:hAnsi="Arial" w:cs="Arial"/>
          <w:b/>
          <w:bCs/>
          <w:sz w:val="20"/>
          <w:szCs w:val="20"/>
        </w:rPr>
        <w:t>forms</w:t>
      </w:r>
    </w:p>
    <w:p w:rsidR="00932501" w:rsidRDefault="00932501" w:rsidP="00977475">
      <w:pPr>
        <w:snapToGrid w:val="0"/>
        <w:spacing w:after="0" w:line="240" w:lineRule="auto"/>
        <w:jc w:val="both"/>
        <w:rPr>
          <w:rFonts w:ascii="Arial" w:hAnsi="Arial" w:cs="Arial"/>
          <w:bCs/>
          <w:sz w:val="20"/>
          <w:szCs w:val="20"/>
        </w:rPr>
      </w:pPr>
    </w:p>
    <w:p w:rsidR="00932501" w:rsidRDefault="00F24A93" w:rsidP="00977475">
      <w:pPr>
        <w:snapToGrid w:val="0"/>
        <w:spacing w:after="0" w:line="240" w:lineRule="auto"/>
        <w:jc w:val="both"/>
        <w:rPr>
          <w:rFonts w:ascii="Arial" w:hAnsi="Arial" w:cs="Arial"/>
          <w:bCs/>
          <w:sz w:val="20"/>
          <w:szCs w:val="20"/>
        </w:rPr>
      </w:pPr>
      <w:r>
        <w:rPr>
          <w:rFonts w:ascii="Arial" w:hAnsi="Arial" w:cs="Arial"/>
          <w:bCs/>
          <w:sz w:val="20"/>
          <w:szCs w:val="20"/>
        </w:rPr>
        <w:t>The HKEX conducted a public consultation in 2017 in respect of the Review of Growth Enterprise Market (</w:t>
      </w:r>
      <w:r w:rsidRPr="00FD5B57">
        <w:rPr>
          <w:rFonts w:ascii="Arial" w:hAnsi="Arial" w:cs="Arial"/>
          <w:b/>
          <w:bCs/>
          <w:sz w:val="20"/>
          <w:szCs w:val="20"/>
        </w:rPr>
        <w:t>GEM</w:t>
      </w:r>
      <w:r>
        <w:rPr>
          <w:rFonts w:ascii="Arial" w:hAnsi="Arial" w:cs="Arial"/>
          <w:bCs/>
          <w:sz w:val="20"/>
          <w:szCs w:val="20"/>
        </w:rPr>
        <w:t>) and Changes to the GEM and Main Board Listing Rules.</w:t>
      </w:r>
      <w:r w:rsidR="00D02352">
        <w:rPr>
          <w:rStyle w:val="a7"/>
          <w:rFonts w:ascii="Arial" w:hAnsi="Arial" w:cs="Arial"/>
          <w:bCs/>
          <w:sz w:val="20"/>
          <w:szCs w:val="20"/>
        </w:rPr>
        <w:footnoteReference w:id="1"/>
      </w:r>
      <w:r>
        <w:rPr>
          <w:rFonts w:ascii="Arial" w:hAnsi="Arial" w:cs="Arial"/>
          <w:bCs/>
          <w:sz w:val="20"/>
          <w:szCs w:val="20"/>
        </w:rPr>
        <w:t xml:space="preserve"> Following the consultation, the HKEX removed the previous </w:t>
      </w:r>
      <w:r w:rsidR="00CE4C4B">
        <w:rPr>
          <w:rFonts w:ascii="Arial" w:hAnsi="Arial" w:cs="Arial"/>
          <w:bCs/>
          <w:sz w:val="20"/>
          <w:szCs w:val="20"/>
        </w:rPr>
        <w:t>process whereby GEM issuers could transfer to the Main Board if they meet the Main Board admission requirements without the need to appoint a sponsor and to issue a listing document (</w:t>
      </w:r>
      <w:r w:rsidR="00CE4C4B" w:rsidRPr="00CE4C4B">
        <w:rPr>
          <w:rFonts w:ascii="Arial" w:hAnsi="Arial" w:cs="Arial"/>
          <w:b/>
          <w:bCs/>
          <w:sz w:val="20"/>
          <w:szCs w:val="20"/>
        </w:rPr>
        <w:t>GEM Streamlined Process</w:t>
      </w:r>
      <w:r w:rsidR="00CE4C4B">
        <w:rPr>
          <w:rFonts w:ascii="Arial" w:hAnsi="Arial" w:cs="Arial"/>
          <w:bCs/>
          <w:sz w:val="20"/>
          <w:szCs w:val="20"/>
        </w:rPr>
        <w:t xml:space="preserve">) as a result of concerns that GEM’s lower admission requirements (as compared with those of the Main Board) </w:t>
      </w:r>
      <w:r w:rsidR="00DC3A44">
        <w:rPr>
          <w:rFonts w:ascii="Arial" w:hAnsi="Arial" w:cs="Arial"/>
          <w:bCs/>
          <w:sz w:val="20"/>
          <w:szCs w:val="20"/>
        </w:rPr>
        <w:t>may have been</w:t>
      </w:r>
      <w:r w:rsidR="00CE4C4B">
        <w:rPr>
          <w:rFonts w:ascii="Arial" w:hAnsi="Arial" w:cs="Arial"/>
          <w:bCs/>
          <w:sz w:val="20"/>
          <w:szCs w:val="20"/>
        </w:rPr>
        <w:t xml:space="preserve"> exploited by certain companies to access the Hong Kong capital markets </w:t>
      </w:r>
      <w:r w:rsidR="00A54B6B">
        <w:rPr>
          <w:rFonts w:ascii="Arial" w:hAnsi="Arial" w:cs="Arial"/>
          <w:bCs/>
          <w:sz w:val="20"/>
          <w:szCs w:val="20"/>
        </w:rPr>
        <w:t xml:space="preserve">for the premium attached to a listing status </w:t>
      </w:r>
      <w:r w:rsidR="00CE4C4B">
        <w:rPr>
          <w:rFonts w:ascii="Arial" w:hAnsi="Arial" w:cs="Arial"/>
          <w:bCs/>
          <w:sz w:val="20"/>
          <w:szCs w:val="20"/>
        </w:rPr>
        <w:t xml:space="preserve">and may have led to an increase of listed </w:t>
      </w:r>
      <w:r w:rsidR="00DC3A44">
        <w:rPr>
          <w:rFonts w:ascii="Arial" w:hAnsi="Arial" w:cs="Arial"/>
          <w:bCs/>
          <w:sz w:val="20"/>
          <w:szCs w:val="20"/>
        </w:rPr>
        <w:t xml:space="preserve">shell </w:t>
      </w:r>
      <w:r w:rsidR="00CE4C4B">
        <w:rPr>
          <w:rFonts w:ascii="Arial" w:hAnsi="Arial" w:cs="Arial"/>
          <w:bCs/>
          <w:sz w:val="20"/>
          <w:szCs w:val="20"/>
        </w:rPr>
        <w:t>companies.</w:t>
      </w:r>
      <w:r w:rsidR="00932501">
        <w:rPr>
          <w:rFonts w:ascii="Arial" w:hAnsi="Arial" w:cs="Arial"/>
          <w:bCs/>
          <w:sz w:val="20"/>
          <w:szCs w:val="20"/>
        </w:rPr>
        <w:t xml:space="preserve"> </w:t>
      </w:r>
    </w:p>
    <w:p w:rsidR="00932501" w:rsidRDefault="00932501" w:rsidP="00977475">
      <w:pPr>
        <w:snapToGrid w:val="0"/>
        <w:spacing w:after="0" w:line="240" w:lineRule="auto"/>
        <w:jc w:val="both"/>
        <w:rPr>
          <w:rFonts w:ascii="Arial" w:hAnsi="Arial" w:cs="Arial"/>
          <w:bCs/>
          <w:sz w:val="20"/>
          <w:szCs w:val="20"/>
        </w:rPr>
      </w:pPr>
    </w:p>
    <w:p w:rsidR="00F24A93" w:rsidRDefault="00A54B6B" w:rsidP="00977475">
      <w:pPr>
        <w:snapToGrid w:val="0"/>
        <w:spacing w:after="0" w:line="240" w:lineRule="auto"/>
        <w:jc w:val="both"/>
        <w:rPr>
          <w:rFonts w:ascii="Arial" w:hAnsi="Arial" w:cs="Arial"/>
          <w:bCs/>
          <w:sz w:val="20"/>
          <w:szCs w:val="20"/>
        </w:rPr>
      </w:pPr>
      <w:r>
        <w:rPr>
          <w:rFonts w:ascii="Arial" w:hAnsi="Arial" w:cs="Arial"/>
          <w:bCs/>
          <w:sz w:val="20"/>
          <w:szCs w:val="20"/>
        </w:rPr>
        <w:t xml:space="preserve">In light of </w:t>
      </w:r>
      <w:r w:rsidR="00932501">
        <w:rPr>
          <w:rFonts w:ascii="Arial" w:hAnsi="Arial" w:cs="Arial"/>
          <w:bCs/>
          <w:sz w:val="20"/>
          <w:szCs w:val="20"/>
        </w:rPr>
        <w:t>actions taken by the HKEX and the Securities and Futures Commission of Hong Kong (</w:t>
      </w:r>
      <w:r w:rsidR="00932501" w:rsidRPr="00932501">
        <w:rPr>
          <w:rFonts w:ascii="Arial" w:hAnsi="Arial" w:cs="Arial"/>
          <w:b/>
          <w:bCs/>
          <w:sz w:val="20"/>
          <w:szCs w:val="20"/>
        </w:rPr>
        <w:t>SFC</w:t>
      </w:r>
      <w:r w:rsidR="00932501">
        <w:rPr>
          <w:rFonts w:ascii="Arial" w:hAnsi="Arial" w:cs="Arial"/>
          <w:bCs/>
          <w:sz w:val="20"/>
          <w:szCs w:val="20"/>
        </w:rPr>
        <w:t>)</w:t>
      </w:r>
      <w:r>
        <w:rPr>
          <w:rFonts w:ascii="Arial" w:hAnsi="Arial" w:cs="Arial"/>
          <w:bCs/>
          <w:sz w:val="20"/>
          <w:szCs w:val="20"/>
        </w:rPr>
        <w:t xml:space="preserve"> in the past years</w:t>
      </w:r>
      <w:r w:rsidR="00932501">
        <w:rPr>
          <w:rFonts w:ascii="Arial" w:hAnsi="Arial" w:cs="Arial"/>
          <w:bCs/>
          <w:sz w:val="20"/>
          <w:szCs w:val="20"/>
        </w:rPr>
        <w:t>, such as increas</w:t>
      </w:r>
      <w:r>
        <w:rPr>
          <w:rFonts w:ascii="Arial" w:hAnsi="Arial" w:cs="Arial"/>
          <w:bCs/>
          <w:sz w:val="20"/>
          <w:szCs w:val="20"/>
        </w:rPr>
        <w:t xml:space="preserve">ing </w:t>
      </w:r>
      <w:r w:rsidR="00DC3A44">
        <w:rPr>
          <w:rFonts w:ascii="Arial" w:hAnsi="Arial" w:cs="Arial"/>
          <w:bCs/>
          <w:sz w:val="20"/>
          <w:szCs w:val="20"/>
        </w:rPr>
        <w:t xml:space="preserve">the </w:t>
      </w:r>
      <w:r>
        <w:rPr>
          <w:rFonts w:ascii="Arial" w:hAnsi="Arial" w:cs="Arial"/>
          <w:bCs/>
          <w:sz w:val="20"/>
          <w:szCs w:val="20"/>
        </w:rPr>
        <w:t xml:space="preserve">minimum profit and market </w:t>
      </w:r>
      <w:proofErr w:type="spellStart"/>
      <w:r>
        <w:rPr>
          <w:rFonts w:ascii="Arial" w:hAnsi="Arial" w:cs="Arial"/>
          <w:bCs/>
          <w:sz w:val="20"/>
          <w:szCs w:val="20"/>
        </w:rPr>
        <w:t>capitalisation</w:t>
      </w:r>
      <w:proofErr w:type="spellEnd"/>
      <w:r>
        <w:rPr>
          <w:rFonts w:ascii="Arial" w:hAnsi="Arial" w:cs="Arial"/>
          <w:bCs/>
          <w:sz w:val="20"/>
          <w:szCs w:val="20"/>
        </w:rPr>
        <w:t xml:space="preserve"> </w:t>
      </w:r>
      <w:r w:rsidR="00932501">
        <w:rPr>
          <w:rFonts w:ascii="Arial" w:hAnsi="Arial" w:cs="Arial"/>
          <w:bCs/>
          <w:sz w:val="20"/>
          <w:szCs w:val="20"/>
        </w:rPr>
        <w:t>thresholds for listing on the Main Board</w:t>
      </w:r>
      <w:r>
        <w:rPr>
          <w:rFonts w:ascii="Arial" w:hAnsi="Arial" w:cs="Arial"/>
          <w:bCs/>
          <w:sz w:val="20"/>
          <w:szCs w:val="20"/>
        </w:rPr>
        <w:t>, introduction of a more robust framework targeting long-suspended issuers,</w:t>
      </w:r>
      <w:r w:rsidR="00932501">
        <w:rPr>
          <w:rFonts w:ascii="Arial" w:hAnsi="Arial" w:cs="Arial"/>
          <w:bCs/>
          <w:sz w:val="20"/>
          <w:szCs w:val="20"/>
        </w:rPr>
        <w:t xml:space="preserve"> and enhancements of the reverse takeover rules and continuing listing criteria, these activities have largely ceased.</w:t>
      </w:r>
    </w:p>
    <w:p w:rsidR="00932501" w:rsidRDefault="00932501" w:rsidP="00977475">
      <w:pPr>
        <w:snapToGrid w:val="0"/>
        <w:spacing w:after="0" w:line="240" w:lineRule="auto"/>
        <w:jc w:val="both"/>
        <w:rPr>
          <w:rFonts w:ascii="Arial" w:hAnsi="Arial" w:cs="Arial"/>
          <w:bCs/>
          <w:sz w:val="20"/>
          <w:szCs w:val="20"/>
        </w:rPr>
      </w:pPr>
    </w:p>
    <w:p w:rsidR="001B6286" w:rsidRPr="001B6286" w:rsidRDefault="001B6286" w:rsidP="00977475">
      <w:pPr>
        <w:snapToGrid w:val="0"/>
        <w:spacing w:after="0" w:line="240" w:lineRule="auto"/>
        <w:jc w:val="both"/>
        <w:rPr>
          <w:rFonts w:ascii="Arial" w:hAnsi="Arial" w:cs="Arial"/>
          <w:b/>
          <w:bCs/>
          <w:sz w:val="20"/>
          <w:szCs w:val="20"/>
        </w:rPr>
      </w:pPr>
      <w:r w:rsidRPr="001B6286">
        <w:rPr>
          <w:rFonts w:ascii="Arial" w:hAnsi="Arial" w:cs="Arial"/>
          <w:b/>
          <w:bCs/>
          <w:sz w:val="20"/>
          <w:szCs w:val="20"/>
        </w:rPr>
        <w:t xml:space="preserve">Recent </w:t>
      </w:r>
      <w:r w:rsidR="00275874">
        <w:rPr>
          <w:rFonts w:ascii="Arial" w:hAnsi="Arial" w:cs="Arial"/>
          <w:b/>
          <w:bCs/>
          <w:sz w:val="20"/>
          <w:szCs w:val="20"/>
        </w:rPr>
        <w:t xml:space="preserve">HKEX </w:t>
      </w:r>
      <w:r w:rsidRPr="001B6286">
        <w:rPr>
          <w:rFonts w:ascii="Arial" w:hAnsi="Arial" w:cs="Arial"/>
          <w:b/>
          <w:bCs/>
          <w:sz w:val="20"/>
          <w:szCs w:val="20"/>
        </w:rPr>
        <w:t xml:space="preserve">GEM listing performance </w:t>
      </w:r>
    </w:p>
    <w:p w:rsidR="001B6286" w:rsidRDefault="001B6286" w:rsidP="00977475">
      <w:pPr>
        <w:snapToGrid w:val="0"/>
        <w:spacing w:after="0" w:line="240" w:lineRule="auto"/>
        <w:jc w:val="both"/>
        <w:rPr>
          <w:rFonts w:ascii="Arial" w:hAnsi="Arial" w:cs="Arial"/>
          <w:bCs/>
          <w:sz w:val="20"/>
          <w:szCs w:val="20"/>
        </w:rPr>
      </w:pPr>
    </w:p>
    <w:p w:rsidR="001B6286" w:rsidRPr="00D36848" w:rsidRDefault="001B6286" w:rsidP="00977475">
      <w:pPr>
        <w:snapToGrid w:val="0"/>
        <w:spacing w:after="0" w:line="240" w:lineRule="auto"/>
        <w:jc w:val="both"/>
        <w:rPr>
          <w:rFonts w:ascii="Arial" w:hAnsi="Arial" w:cs="Arial"/>
          <w:bCs/>
          <w:sz w:val="20"/>
          <w:szCs w:val="20"/>
        </w:rPr>
      </w:pPr>
      <w:r w:rsidRPr="00D36848">
        <w:rPr>
          <w:rFonts w:ascii="Arial" w:hAnsi="Arial" w:cs="Arial"/>
          <w:bCs/>
          <w:sz w:val="20"/>
          <w:szCs w:val="20"/>
        </w:rPr>
        <w:t xml:space="preserve">In the HKEX’s review of the current GEM market, </w:t>
      </w:r>
      <w:r w:rsidR="005E1FF7" w:rsidRPr="00D36848">
        <w:rPr>
          <w:rFonts w:ascii="Arial" w:hAnsi="Arial" w:cs="Arial"/>
          <w:bCs/>
          <w:sz w:val="20"/>
          <w:szCs w:val="20"/>
        </w:rPr>
        <w:t>the HKEX</w:t>
      </w:r>
      <w:r w:rsidRPr="00D36848">
        <w:rPr>
          <w:rFonts w:ascii="Arial" w:hAnsi="Arial" w:cs="Arial"/>
          <w:bCs/>
          <w:sz w:val="20"/>
          <w:szCs w:val="20"/>
        </w:rPr>
        <w:t xml:space="preserve"> ha</w:t>
      </w:r>
      <w:r w:rsidR="001A1EF1" w:rsidRPr="00D36848">
        <w:rPr>
          <w:rFonts w:ascii="Arial" w:hAnsi="Arial" w:cs="Arial"/>
          <w:bCs/>
          <w:sz w:val="20"/>
          <w:szCs w:val="20"/>
        </w:rPr>
        <w:t>s</w:t>
      </w:r>
      <w:r w:rsidRPr="00D36848">
        <w:rPr>
          <w:rFonts w:ascii="Arial" w:hAnsi="Arial" w:cs="Arial"/>
          <w:bCs/>
          <w:sz w:val="20"/>
          <w:szCs w:val="20"/>
        </w:rPr>
        <w:t xml:space="preserve"> noted the following:</w:t>
      </w:r>
    </w:p>
    <w:p w:rsidR="001B6286" w:rsidRDefault="001B6286" w:rsidP="00977475">
      <w:pPr>
        <w:snapToGrid w:val="0"/>
        <w:spacing w:after="0" w:line="240" w:lineRule="auto"/>
        <w:jc w:val="both"/>
        <w:rPr>
          <w:rFonts w:ascii="Arial" w:hAnsi="Arial" w:cs="Arial"/>
          <w:bCs/>
          <w:sz w:val="20"/>
          <w:szCs w:val="20"/>
        </w:rPr>
      </w:pPr>
    </w:p>
    <w:p w:rsidR="00932501" w:rsidRDefault="001B6286" w:rsidP="00D10060">
      <w:pPr>
        <w:pStyle w:val="a4"/>
        <w:numPr>
          <w:ilvl w:val="0"/>
          <w:numId w:val="13"/>
        </w:numPr>
        <w:snapToGrid w:val="0"/>
        <w:spacing w:after="0" w:line="240" w:lineRule="auto"/>
        <w:ind w:hanging="720"/>
        <w:jc w:val="both"/>
        <w:rPr>
          <w:rFonts w:ascii="Arial" w:hAnsi="Arial" w:cs="Arial"/>
          <w:bCs/>
          <w:sz w:val="20"/>
          <w:szCs w:val="20"/>
        </w:rPr>
      </w:pPr>
      <w:r>
        <w:rPr>
          <w:rFonts w:ascii="Arial" w:hAnsi="Arial" w:cs="Arial"/>
          <w:bCs/>
          <w:sz w:val="20"/>
          <w:szCs w:val="20"/>
        </w:rPr>
        <w:t xml:space="preserve">the </w:t>
      </w:r>
      <w:r w:rsidR="00932501">
        <w:rPr>
          <w:rFonts w:ascii="Arial" w:hAnsi="Arial" w:cs="Arial"/>
          <w:bCs/>
          <w:sz w:val="20"/>
          <w:szCs w:val="20"/>
        </w:rPr>
        <w:t>number of new listings and funds raised on GEM have significantly declined</w:t>
      </w:r>
      <w:r w:rsidR="00AC7269">
        <w:rPr>
          <w:rFonts w:ascii="Arial" w:hAnsi="Arial" w:cs="Arial"/>
          <w:bCs/>
          <w:sz w:val="20"/>
          <w:szCs w:val="20"/>
        </w:rPr>
        <w:t>. In 2019, there</w:t>
      </w:r>
      <w:r w:rsidR="00932501">
        <w:rPr>
          <w:rFonts w:ascii="Arial" w:hAnsi="Arial" w:cs="Arial"/>
          <w:bCs/>
          <w:sz w:val="20"/>
          <w:szCs w:val="20"/>
        </w:rPr>
        <w:t xml:space="preserve"> </w:t>
      </w:r>
      <w:r w:rsidR="00AC7269">
        <w:rPr>
          <w:rFonts w:ascii="Arial" w:hAnsi="Arial" w:cs="Arial"/>
          <w:bCs/>
          <w:sz w:val="20"/>
          <w:szCs w:val="20"/>
        </w:rPr>
        <w:t>were</w:t>
      </w:r>
      <w:r w:rsidR="00932501">
        <w:rPr>
          <w:rFonts w:ascii="Arial" w:hAnsi="Arial" w:cs="Arial"/>
          <w:bCs/>
          <w:sz w:val="20"/>
          <w:szCs w:val="20"/>
        </w:rPr>
        <w:t xml:space="preserve"> 15 initial public offerings (</w:t>
      </w:r>
      <w:r w:rsidR="00932501" w:rsidRPr="00932501">
        <w:rPr>
          <w:rFonts w:ascii="Arial" w:hAnsi="Arial" w:cs="Arial"/>
          <w:b/>
          <w:bCs/>
          <w:sz w:val="20"/>
          <w:szCs w:val="20"/>
        </w:rPr>
        <w:t>IPOs</w:t>
      </w:r>
      <w:r w:rsidR="00932501">
        <w:rPr>
          <w:rFonts w:ascii="Arial" w:hAnsi="Arial" w:cs="Arial"/>
          <w:bCs/>
          <w:sz w:val="20"/>
          <w:szCs w:val="20"/>
        </w:rPr>
        <w:t>)</w:t>
      </w:r>
      <w:r w:rsidR="00AC7269">
        <w:rPr>
          <w:rFonts w:ascii="Arial" w:hAnsi="Arial" w:cs="Arial"/>
          <w:bCs/>
          <w:sz w:val="20"/>
          <w:szCs w:val="20"/>
        </w:rPr>
        <w:t>,</w:t>
      </w:r>
      <w:r w:rsidR="00932501">
        <w:rPr>
          <w:rFonts w:ascii="Arial" w:hAnsi="Arial" w:cs="Arial"/>
          <w:bCs/>
          <w:sz w:val="20"/>
          <w:szCs w:val="20"/>
        </w:rPr>
        <w:t xml:space="preserve"> </w:t>
      </w:r>
      <w:r w:rsidR="00AC7269">
        <w:rPr>
          <w:rFonts w:ascii="Arial" w:hAnsi="Arial" w:cs="Arial"/>
          <w:bCs/>
          <w:sz w:val="20"/>
          <w:szCs w:val="20"/>
        </w:rPr>
        <w:t xml:space="preserve">which together with </w:t>
      </w:r>
      <w:r w:rsidR="009807DD">
        <w:rPr>
          <w:rFonts w:ascii="Arial" w:hAnsi="Arial" w:cs="Arial"/>
          <w:bCs/>
          <w:sz w:val="20"/>
          <w:szCs w:val="20"/>
        </w:rPr>
        <w:t>GEM-</w:t>
      </w:r>
      <w:r w:rsidR="00AC7269">
        <w:rPr>
          <w:rFonts w:ascii="Arial" w:hAnsi="Arial" w:cs="Arial"/>
          <w:bCs/>
          <w:sz w:val="20"/>
          <w:szCs w:val="20"/>
        </w:rPr>
        <w:t xml:space="preserve">listed companies’ post-listing fund raisings, raised </w:t>
      </w:r>
      <w:r w:rsidR="00932501">
        <w:rPr>
          <w:rFonts w:ascii="Arial" w:hAnsi="Arial" w:cs="Arial"/>
          <w:bCs/>
          <w:sz w:val="20"/>
          <w:szCs w:val="20"/>
        </w:rPr>
        <w:t>HK$4.3 billion</w:t>
      </w:r>
      <w:r w:rsidR="00AC7269">
        <w:rPr>
          <w:rFonts w:ascii="Arial" w:hAnsi="Arial" w:cs="Arial"/>
          <w:bCs/>
          <w:sz w:val="20"/>
          <w:szCs w:val="20"/>
        </w:rPr>
        <w:t>, while</w:t>
      </w:r>
      <w:r w:rsidR="00932501">
        <w:rPr>
          <w:rFonts w:ascii="Arial" w:hAnsi="Arial" w:cs="Arial"/>
          <w:bCs/>
          <w:sz w:val="20"/>
          <w:szCs w:val="20"/>
        </w:rPr>
        <w:t xml:space="preserve"> </w:t>
      </w:r>
      <w:r w:rsidR="00AC7269">
        <w:rPr>
          <w:rFonts w:ascii="Arial" w:hAnsi="Arial" w:cs="Arial"/>
          <w:bCs/>
          <w:sz w:val="20"/>
          <w:szCs w:val="20"/>
        </w:rPr>
        <w:t>there were</w:t>
      </w:r>
      <w:r w:rsidR="00932501">
        <w:rPr>
          <w:rFonts w:ascii="Arial" w:hAnsi="Arial" w:cs="Arial"/>
          <w:bCs/>
          <w:sz w:val="20"/>
          <w:szCs w:val="20"/>
        </w:rPr>
        <w:t xml:space="preserve"> </w:t>
      </w:r>
      <w:r w:rsidR="00A54B6B">
        <w:rPr>
          <w:rFonts w:ascii="Arial" w:hAnsi="Arial" w:cs="Arial"/>
          <w:bCs/>
          <w:sz w:val="20"/>
          <w:szCs w:val="20"/>
        </w:rPr>
        <w:t>no</w:t>
      </w:r>
      <w:r w:rsidR="00932501">
        <w:rPr>
          <w:rFonts w:ascii="Arial" w:hAnsi="Arial" w:cs="Arial"/>
          <w:bCs/>
          <w:sz w:val="20"/>
          <w:szCs w:val="20"/>
        </w:rPr>
        <w:t xml:space="preserve"> IPO</w:t>
      </w:r>
      <w:r w:rsidR="00AC7269">
        <w:rPr>
          <w:rFonts w:ascii="Arial" w:hAnsi="Arial" w:cs="Arial"/>
          <w:bCs/>
          <w:sz w:val="20"/>
          <w:szCs w:val="20"/>
        </w:rPr>
        <w:t>s</w:t>
      </w:r>
      <w:r w:rsidR="00932501">
        <w:rPr>
          <w:rFonts w:ascii="Arial" w:hAnsi="Arial" w:cs="Arial"/>
          <w:bCs/>
          <w:sz w:val="20"/>
          <w:szCs w:val="20"/>
        </w:rPr>
        <w:t xml:space="preserve"> </w:t>
      </w:r>
      <w:r w:rsidR="00AC7269">
        <w:rPr>
          <w:rFonts w:ascii="Arial" w:hAnsi="Arial" w:cs="Arial"/>
          <w:bCs/>
          <w:sz w:val="20"/>
          <w:szCs w:val="20"/>
        </w:rPr>
        <w:t>and only</w:t>
      </w:r>
      <w:r w:rsidR="00932501">
        <w:rPr>
          <w:rFonts w:ascii="Arial" w:hAnsi="Arial" w:cs="Arial"/>
          <w:bCs/>
          <w:sz w:val="20"/>
          <w:szCs w:val="20"/>
        </w:rPr>
        <w:t xml:space="preserve"> HK$2.7 billion raised </w:t>
      </w:r>
      <w:r w:rsidR="00AC7269">
        <w:rPr>
          <w:rFonts w:ascii="Arial" w:hAnsi="Arial" w:cs="Arial"/>
          <w:bCs/>
          <w:sz w:val="20"/>
          <w:szCs w:val="20"/>
        </w:rPr>
        <w:t xml:space="preserve">in post-listing fund raisings </w:t>
      </w:r>
      <w:r>
        <w:rPr>
          <w:rFonts w:ascii="Arial" w:hAnsi="Arial" w:cs="Arial"/>
          <w:bCs/>
          <w:sz w:val="20"/>
          <w:szCs w:val="20"/>
        </w:rPr>
        <w:t>in 2022;</w:t>
      </w:r>
    </w:p>
    <w:p w:rsidR="001B6286" w:rsidRDefault="001B6286" w:rsidP="00D10060">
      <w:pPr>
        <w:pStyle w:val="a4"/>
        <w:snapToGrid w:val="0"/>
        <w:spacing w:after="0" w:line="240" w:lineRule="auto"/>
        <w:ind w:hanging="720"/>
        <w:jc w:val="both"/>
        <w:rPr>
          <w:rFonts w:ascii="Arial" w:hAnsi="Arial" w:cs="Arial"/>
          <w:bCs/>
          <w:sz w:val="20"/>
          <w:szCs w:val="20"/>
        </w:rPr>
      </w:pPr>
    </w:p>
    <w:p w:rsidR="001B6286" w:rsidRDefault="001B6286" w:rsidP="00D10060">
      <w:pPr>
        <w:pStyle w:val="a4"/>
        <w:numPr>
          <w:ilvl w:val="0"/>
          <w:numId w:val="13"/>
        </w:numPr>
        <w:snapToGrid w:val="0"/>
        <w:spacing w:after="0" w:line="240" w:lineRule="auto"/>
        <w:ind w:hanging="720"/>
        <w:jc w:val="both"/>
        <w:rPr>
          <w:rFonts w:ascii="Arial" w:hAnsi="Arial" w:cs="Arial"/>
          <w:bCs/>
          <w:sz w:val="20"/>
          <w:szCs w:val="20"/>
        </w:rPr>
      </w:pPr>
      <w:r>
        <w:rPr>
          <w:rFonts w:ascii="Arial" w:hAnsi="Arial" w:cs="Arial"/>
          <w:bCs/>
          <w:sz w:val="20"/>
          <w:szCs w:val="20"/>
        </w:rPr>
        <w:t>a large number of issuers listed on GEM derive the majority of the</w:t>
      </w:r>
      <w:r w:rsidR="00A54B6B">
        <w:rPr>
          <w:rFonts w:ascii="Arial" w:hAnsi="Arial" w:cs="Arial"/>
          <w:bCs/>
          <w:sz w:val="20"/>
          <w:szCs w:val="20"/>
        </w:rPr>
        <w:t xml:space="preserve">ir revenue </w:t>
      </w:r>
      <w:r>
        <w:rPr>
          <w:rFonts w:ascii="Arial" w:hAnsi="Arial" w:cs="Arial"/>
          <w:bCs/>
          <w:sz w:val="20"/>
          <w:szCs w:val="20"/>
        </w:rPr>
        <w:t>from Hong Kong (46%)</w:t>
      </w:r>
      <w:r w:rsidR="009807DD">
        <w:rPr>
          <w:rFonts w:ascii="Arial" w:hAnsi="Arial" w:cs="Arial"/>
          <w:bCs/>
          <w:sz w:val="20"/>
          <w:szCs w:val="20"/>
        </w:rPr>
        <w:t xml:space="preserve"> or</w:t>
      </w:r>
      <w:r>
        <w:rPr>
          <w:rFonts w:ascii="Arial" w:hAnsi="Arial" w:cs="Arial"/>
          <w:bCs/>
          <w:sz w:val="20"/>
          <w:szCs w:val="20"/>
        </w:rPr>
        <w:t xml:space="preserve"> Mainland China (33%);</w:t>
      </w:r>
    </w:p>
    <w:p w:rsidR="00D02352" w:rsidRPr="00D02352" w:rsidRDefault="00D02352" w:rsidP="00D10060">
      <w:pPr>
        <w:pStyle w:val="a4"/>
        <w:ind w:hanging="720"/>
        <w:rPr>
          <w:rFonts w:ascii="Arial" w:hAnsi="Arial" w:cs="Arial"/>
          <w:bCs/>
          <w:sz w:val="20"/>
          <w:szCs w:val="20"/>
        </w:rPr>
      </w:pPr>
    </w:p>
    <w:p w:rsidR="00D02352" w:rsidRDefault="00D02352" w:rsidP="00D10060">
      <w:pPr>
        <w:pStyle w:val="a4"/>
        <w:numPr>
          <w:ilvl w:val="0"/>
          <w:numId w:val="13"/>
        </w:numPr>
        <w:snapToGrid w:val="0"/>
        <w:spacing w:after="0" w:line="240" w:lineRule="auto"/>
        <w:ind w:hanging="720"/>
        <w:jc w:val="both"/>
        <w:rPr>
          <w:rFonts w:ascii="Arial" w:hAnsi="Arial" w:cs="Arial"/>
          <w:bCs/>
          <w:sz w:val="20"/>
          <w:szCs w:val="20"/>
        </w:rPr>
      </w:pPr>
      <w:r w:rsidRPr="00D02352">
        <w:rPr>
          <w:rFonts w:ascii="Arial" w:hAnsi="Arial" w:cs="Arial"/>
          <w:bCs/>
          <w:sz w:val="20"/>
          <w:szCs w:val="20"/>
        </w:rPr>
        <w:t>GEM investors include var</w:t>
      </w:r>
      <w:r>
        <w:rPr>
          <w:rFonts w:ascii="Arial" w:hAnsi="Arial" w:cs="Arial"/>
          <w:bCs/>
          <w:sz w:val="20"/>
          <w:szCs w:val="20"/>
        </w:rPr>
        <w:t>ious institutions, corporat</w:t>
      </w:r>
      <w:r w:rsidR="00A54B6B">
        <w:rPr>
          <w:rFonts w:ascii="Arial" w:hAnsi="Arial" w:cs="Arial"/>
          <w:bCs/>
          <w:sz w:val="20"/>
          <w:szCs w:val="20"/>
        </w:rPr>
        <w:t>e</w:t>
      </w:r>
      <w:r>
        <w:rPr>
          <w:rFonts w:ascii="Arial" w:hAnsi="Arial" w:cs="Arial"/>
          <w:bCs/>
          <w:sz w:val="20"/>
          <w:szCs w:val="20"/>
        </w:rPr>
        <w:t>s</w:t>
      </w:r>
      <w:r w:rsidRPr="00D02352">
        <w:rPr>
          <w:rFonts w:ascii="Arial" w:hAnsi="Arial" w:cs="Arial"/>
          <w:bCs/>
          <w:sz w:val="20"/>
          <w:szCs w:val="20"/>
        </w:rPr>
        <w:t xml:space="preserve"> and individuals, with average shareholdings </w:t>
      </w:r>
      <w:r w:rsidR="00B35D1B">
        <w:rPr>
          <w:rFonts w:ascii="Arial" w:hAnsi="Arial" w:cs="Arial"/>
          <w:bCs/>
          <w:sz w:val="20"/>
          <w:szCs w:val="20"/>
        </w:rPr>
        <w:t xml:space="preserve">by these investors </w:t>
      </w:r>
      <w:r w:rsidRPr="00D02352">
        <w:rPr>
          <w:rFonts w:ascii="Arial" w:hAnsi="Arial" w:cs="Arial"/>
          <w:bCs/>
          <w:sz w:val="20"/>
          <w:szCs w:val="20"/>
        </w:rPr>
        <w:t>of 7.3%</w:t>
      </w:r>
      <w:r>
        <w:rPr>
          <w:rFonts w:ascii="Arial" w:hAnsi="Arial" w:cs="Arial"/>
          <w:bCs/>
          <w:sz w:val="20"/>
          <w:szCs w:val="20"/>
        </w:rPr>
        <w:t>, 39.2%, and 40.4%</w:t>
      </w:r>
      <w:r w:rsidR="009807DD">
        <w:rPr>
          <w:rFonts w:ascii="Arial" w:hAnsi="Arial" w:cs="Arial"/>
          <w:bCs/>
          <w:sz w:val="20"/>
          <w:szCs w:val="20"/>
        </w:rPr>
        <w:t>,</w:t>
      </w:r>
      <w:r>
        <w:rPr>
          <w:rFonts w:ascii="Arial" w:hAnsi="Arial" w:cs="Arial"/>
          <w:bCs/>
          <w:sz w:val="20"/>
          <w:szCs w:val="20"/>
        </w:rPr>
        <w:t xml:space="preserve"> respectively;</w:t>
      </w:r>
    </w:p>
    <w:p w:rsidR="001B6286" w:rsidRPr="001B6286" w:rsidRDefault="001B6286" w:rsidP="00D10060">
      <w:pPr>
        <w:pStyle w:val="a4"/>
        <w:ind w:hanging="720"/>
        <w:rPr>
          <w:rFonts w:ascii="Arial" w:hAnsi="Arial" w:cs="Arial"/>
          <w:bCs/>
          <w:sz w:val="20"/>
          <w:szCs w:val="20"/>
        </w:rPr>
      </w:pPr>
    </w:p>
    <w:p w:rsidR="001B6286" w:rsidRDefault="001B6286" w:rsidP="00D10060">
      <w:pPr>
        <w:pStyle w:val="a4"/>
        <w:numPr>
          <w:ilvl w:val="0"/>
          <w:numId w:val="13"/>
        </w:numPr>
        <w:snapToGrid w:val="0"/>
        <w:spacing w:after="0" w:line="240" w:lineRule="auto"/>
        <w:ind w:hanging="720"/>
        <w:jc w:val="both"/>
        <w:rPr>
          <w:rFonts w:ascii="Arial" w:hAnsi="Arial" w:cs="Arial"/>
          <w:bCs/>
          <w:sz w:val="20"/>
          <w:szCs w:val="20"/>
        </w:rPr>
      </w:pPr>
      <w:r>
        <w:rPr>
          <w:rFonts w:ascii="Arial" w:hAnsi="Arial" w:cs="Arial"/>
          <w:bCs/>
          <w:sz w:val="20"/>
          <w:szCs w:val="20"/>
        </w:rPr>
        <w:t xml:space="preserve">approximately 75% of GEM issuers belong to </w:t>
      </w:r>
      <w:r w:rsidR="009807DD">
        <w:rPr>
          <w:rFonts w:ascii="Arial" w:hAnsi="Arial" w:cs="Arial"/>
          <w:bCs/>
          <w:sz w:val="20"/>
          <w:szCs w:val="20"/>
        </w:rPr>
        <w:t>one</w:t>
      </w:r>
      <w:r>
        <w:rPr>
          <w:rFonts w:ascii="Arial" w:hAnsi="Arial" w:cs="Arial"/>
          <w:bCs/>
          <w:sz w:val="20"/>
          <w:szCs w:val="20"/>
        </w:rPr>
        <w:t xml:space="preserve"> of the following </w:t>
      </w:r>
      <w:r w:rsidR="009807DD">
        <w:rPr>
          <w:rFonts w:ascii="Arial" w:hAnsi="Arial" w:cs="Arial"/>
          <w:bCs/>
          <w:sz w:val="20"/>
          <w:szCs w:val="20"/>
        </w:rPr>
        <w:t>four</w:t>
      </w:r>
      <w:r>
        <w:rPr>
          <w:rFonts w:ascii="Arial" w:hAnsi="Arial" w:cs="Arial"/>
          <w:bCs/>
          <w:sz w:val="20"/>
          <w:szCs w:val="20"/>
        </w:rPr>
        <w:t xml:space="preserve"> industries: consumer discretionary, information technology, properties and construction and industrials;</w:t>
      </w:r>
    </w:p>
    <w:p w:rsidR="001B6286" w:rsidRPr="001B6286" w:rsidRDefault="001B6286" w:rsidP="00D10060">
      <w:pPr>
        <w:pStyle w:val="a4"/>
        <w:ind w:hanging="720"/>
        <w:rPr>
          <w:rFonts w:ascii="Arial" w:hAnsi="Arial" w:cs="Arial"/>
          <w:bCs/>
          <w:sz w:val="20"/>
          <w:szCs w:val="20"/>
        </w:rPr>
      </w:pPr>
    </w:p>
    <w:p w:rsidR="001B6286" w:rsidRDefault="00E36813" w:rsidP="00D10060">
      <w:pPr>
        <w:pStyle w:val="a4"/>
        <w:numPr>
          <w:ilvl w:val="0"/>
          <w:numId w:val="13"/>
        </w:numPr>
        <w:snapToGrid w:val="0"/>
        <w:spacing w:after="0" w:line="240" w:lineRule="auto"/>
        <w:ind w:hanging="720"/>
        <w:jc w:val="both"/>
        <w:rPr>
          <w:rFonts w:ascii="Arial" w:hAnsi="Arial" w:cs="Arial"/>
          <w:bCs/>
          <w:sz w:val="20"/>
          <w:szCs w:val="20"/>
        </w:rPr>
      </w:pPr>
      <w:r>
        <w:rPr>
          <w:rFonts w:ascii="Arial" w:hAnsi="Arial" w:cs="Arial"/>
          <w:bCs/>
          <w:sz w:val="20"/>
          <w:szCs w:val="20"/>
        </w:rPr>
        <w:t xml:space="preserve">the COVID-19 pandemic (from 2020 to 2022) had a significant impact on the financial performance of businesses in the </w:t>
      </w:r>
      <w:r w:rsidR="00C61543">
        <w:rPr>
          <w:rFonts w:ascii="Arial" w:hAnsi="Arial" w:cs="Arial"/>
          <w:bCs/>
          <w:sz w:val="20"/>
          <w:szCs w:val="20"/>
        </w:rPr>
        <w:t>above four</w:t>
      </w:r>
      <w:r>
        <w:rPr>
          <w:rFonts w:ascii="Arial" w:hAnsi="Arial" w:cs="Arial"/>
          <w:bCs/>
          <w:sz w:val="20"/>
          <w:szCs w:val="20"/>
        </w:rPr>
        <w:t xml:space="preserve"> industries </w:t>
      </w:r>
      <w:r w:rsidR="00B35D1B">
        <w:rPr>
          <w:rFonts w:ascii="Arial" w:hAnsi="Arial" w:cs="Arial"/>
          <w:bCs/>
          <w:sz w:val="20"/>
          <w:szCs w:val="20"/>
        </w:rPr>
        <w:t>in</w:t>
      </w:r>
      <w:r>
        <w:rPr>
          <w:rFonts w:ascii="Arial" w:hAnsi="Arial" w:cs="Arial"/>
          <w:bCs/>
          <w:sz w:val="20"/>
          <w:szCs w:val="20"/>
        </w:rPr>
        <w:t xml:space="preserve"> which most GEM issuers belong</w:t>
      </w:r>
      <w:r w:rsidR="007B67DB">
        <w:rPr>
          <w:rFonts w:ascii="Arial" w:hAnsi="Arial" w:cs="Arial"/>
          <w:bCs/>
          <w:sz w:val="20"/>
          <w:szCs w:val="20"/>
        </w:rPr>
        <w:t>ed to</w:t>
      </w:r>
      <w:r>
        <w:rPr>
          <w:rFonts w:ascii="Arial" w:hAnsi="Arial" w:cs="Arial"/>
          <w:bCs/>
          <w:sz w:val="20"/>
          <w:szCs w:val="20"/>
        </w:rPr>
        <w:t xml:space="preserve"> due to, amongst others, reduced consumer spending and supply chain challenges</w:t>
      </w:r>
      <w:r w:rsidR="009A45A1">
        <w:rPr>
          <w:rFonts w:ascii="Arial" w:hAnsi="Arial" w:cs="Arial"/>
          <w:bCs/>
          <w:sz w:val="20"/>
          <w:szCs w:val="20"/>
        </w:rPr>
        <w:t>, which resulted in an average</w:t>
      </w:r>
      <w:r w:rsidR="007B67DB">
        <w:rPr>
          <w:rFonts w:ascii="Arial" w:hAnsi="Arial" w:cs="Arial"/>
          <w:bCs/>
          <w:sz w:val="20"/>
          <w:szCs w:val="20"/>
        </w:rPr>
        <w:t xml:space="preserve"> 39% </w:t>
      </w:r>
      <w:r w:rsidR="009A45A1">
        <w:rPr>
          <w:rFonts w:ascii="Arial" w:hAnsi="Arial" w:cs="Arial"/>
          <w:bCs/>
          <w:sz w:val="20"/>
          <w:szCs w:val="20"/>
        </w:rPr>
        <w:t xml:space="preserve">drop </w:t>
      </w:r>
      <w:r w:rsidR="009807DD">
        <w:rPr>
          <w:rFonts w:ascii="Arial" w:hAnsi="Arial" w:cs="Arial"/>
          <w:bCs/>
          <w:sz w:val="20"/>
          <w:szCs w:val="20"/>
        </w:rPr>
        <w:t>in</w:t>
      </w:r>
      <w:r w:rsidR="009A45A1">
        <w:rPr>
          <w:rFonts w:ascii="Arial" w:hAnsi="Arial" w:cs="Arial"/>
          <w:bCs/>
          <w:sz w:val="20"/>
          <w:szCs w:val="20"/>
        </w:rPr>
        <w:t xml:space="preserve"> their total market </w:t>
      </w:r>
      <w:proofErr w:type="spellStart"/>
      <w:r w:rsidR="009A45A1">
        <w:rPr>
          <w:rFonts w:ascii="Arial" w:hAnsi="Arial" w:cs="Arial"/>
          <w:bCs/>
          <w:sz w:val="20"/>
          <w:szCs w:val="20"/>
        </w:rPr>
        <w:t>capitalisation</w:t>
      </w:r>
      <w:proofErr w:type="spellEnd"/>
      <w:r w:rsidR="009A45A1">
        <w:rPr>
          <w:rFonts w:ascii="Arial" w:hAnsi="Arial" w:cs="Arial"/>
          <w:bCs/>
          <w:sz w:val="20"/>
          <w:szCs w:val="20"/>
        </w:rPr>
        <w:t xml:space="preserve"> since 2019</w:t>
      </w:r>
      <w:r>
        <w:rPr>
          <w:rFonts w:ascii="Arial" w:hAnsi="Arial" w:cs="Arial"/>
          <w:bCs/>
          <w:sz w:val="20"/>
          <w:szCs w:val="20"/>
        </w:rPr>
        <w:t>;</w:t>
      </w:r>
      <w:r w:rsidR="005E1FF7">
        <w:rPr>
          <w:rFonts w:ascii="Arial" w:hAnsi="Arial" w:cs="Arial"/>
          <w:bCs/>
          <w:sz w:val="20"/>
          <w:szCs w:val="20"/>
        </w:rPr>
        <w:t xml:space="preserve"> </w:t>
      </w:r>
    </w:p>
    <w:p w:rsidR="00E36813" w:rsidRPr="00E36813" w:rsidRDefault="00E36813" w:rsidP="00D10060">
      <w:pPr>
        <w:pStyle w:val="a4"/>
        <w:ind w:hanging="720"/>
        <w:rPr>
          <w:rFonts w:ascii="Arial" w:hAnsi="Arial" w:cs="Arial"/>
          <w:bCs/>
          <w:sz w:val="20"/>
          <w:szCs w:val="20"/>
        </w:rPr>
      </w:pPr>
    </w:p>
    <w:p w:rsidR="00C61543" w:rsidRDefault="005E1FF7" w:rsidP="00D10060">
      <w:pPr>
        <w:pStyle w:val="a4"/>
        <w:numPr>
          <w:ilvl w:val="0"/>
          <w:numId w:val="13"/>
        </w:numPr>
        <w:snapToGrid w:val="0"/>
        <w:spacing w:after="0" w:line="240" w:lineRule="auto"/>
        <w:ind w:hanging="720"/>
        <w:jc w:val="both"/>
        <w:rPr>
          <w:rFonts w:ascii="Arial" w:hAnsi="Arial" w:cs="Arial"/>
          <w:bCs/>
          <w:sz w:val="20"/>
          <w:szCs w:val="20"/>
        </w:rPr>
      </w:pPr>
      <w:r>
        <w:rPr>
          <w:rFonts w:ascii="Arial" w:hAnsi="Arial" w:cs="Arial"/>
          <w:bCs/>
          <w:sz w:val="20"/>
          <w:szCs w:val="20"/>
        </w:rPr>
        <w:t>approximately one-third of GEM issuers derive the majority of their revenue from Mainland China</w:t>
      </w:r>
      <w:r w:rsidR="00C61543">
        <w:rPr>
          <w:rFonts w:ascii="Arial" w:hAnsi="Arial" w:cs="Arial"/>
          <w:bCs/>
          <w:sz w:val="20"/>
          <w:szCs w:val="20"/>
        </w:rPr>
        <w:t>; and</w:t>
      </w:r>
      <w:r>
        <w:rPr>
          <w:rFonts w:ascii="Arial" w:hAnsi="Arial" w:cs="Arial"/>
          <w:bCs/>
          <w:sz w:val="20"/>
          <w:szCs w:val="20"/>
        </w:rPr>
        <w:t xml:space="preserve"> </w:t>
      </w:r>
    </w:p>
    <w:p w:rsidR="00C61543" w:rsidRPr="00FC7437" w:rsidRDefault="00C61543" w:rsidP="00D10060">
      <w:pPr>
        <w:pStyle w:val="a4"/>
        <w:ind w:hanging="720"/>
        <w:rPr>
          <w:rFonts w:ascii="Arial" w:hAnsi="Arial" w:cs="Arial"/>
          <w:bCs/>
          <w:sz w:val="20"/>
          <w:szCs w:val="20"/>
        </w:rPr>
      </w:pPr>
    </w:p>
    <w:p w:rsidR="00E36813" w:rsidRDefault="005E1FF7" w:rsidP="00D10060">
      <w:pPr>
        <w:pStyle w:val="a4"/>
        <w:numPr>
          <w:ilvl w:val="0"/>
          <w:numId w:val="13"/>
        </w:numPr>
        <w:snapToGrid w:val="0"/>
        <w:spacing w:after="0" w:line="240" w:lineRule="auto"/>
        <w:ind w:hanging="720"/>
        <w:jc w:val="both"/>
        <w:rPr>
          <w:rFonts w:ascii="Arial" w:hAnsi="Arial" w:cs="Arial"/>
          <w:bCs/>
          <w:sz w:val="20"/>
          <w:szCs w:val="20"/>
        </w:rPr>
      </w:pPr>
      <w:r>
        <w:rPr>
          <w:rFonts w:ascii="Arial" w:hAnsi="Arial" w:cs="Arial"/>
          <w:bCs/>
          <w:sz w:val="20"/>
          <w:szCs w:val="20"/>
        </w:rPr>
        <w:t>the launch of the Beijing Stock Exchange (</w:t>
      </w:r>
      <w:r w:rsidRPr="005E1FF7">
        <w:rPr>
          <w:rFonts w:ascii="Arial" w:hAnsi="Arial" w:cs="Arial"/>
          <w:b/>
          <w:bCs/>
          <w:sz w:val="20"/>
          <w:szCs w:val="20"/>
        </w:rPr>
        <w:t>BSE</w:t>
      </w:r>
      <w:r>
        <w:rPr>
          <w:rFonts w:ascii="Arial" w:hAnsi="Arial" w:cs="Arial"/>
          <w:bCs/>
          <w:sz w:val="20"/>
          <w:szCs w:val="20"/>
        </w:rPr>
        <w:t xml:space="preserve">), which is a market dedicated to listing “innovative SMEs”, meant that Mainland SMEs now </w:t>
      </w:r>
      <w:proofErr w:type="gramStart"/>
      <w:r w:rsidR="009807DD">
        <w:rPr>
          <w:rFonts w:ascii="Arial" w:hAnsi="Arial" w:cs="Arial"/>
          <w:bCs/>
          <w:sz w:val="20"/>
          <w:szCs w:val="20"/>
        </w:rPr>
        <w:t>have</w:t>
      </w:r>
      <w:proofErr w:type="gramEnd"/>
      <w:r w:rsidR="009807DD">
        <w:rPr>
          <w:rFonts w:ascii="Arial" w:hAnsi="Arial" w:cs="Arial"/>
          <w:bCs/>
          <w:sz w:val="20"/>
          <w:szCs w:val="20"/>
        </w:rPr>
        <w:t xml:space="preserve"> </w:t>
      </w:r>
      <w:r>
        <w:rPr>
          <w:rFonts w:ascii="Arial" w:hAnsi="Arial" w:cs="Arial"/>
          <w:bCs/>
          <w:sz w:val="20"/>
          <w:szCs w:val="20"/>
        </w:rPr>
        <w:t xml:space="preserve">a broader range of </w:t>
      </w:r>
      <w:r w:rsidR="009807DD">
        <w:rPr>
          <w:rFonts w:ascii="Arial" w:hAnsi="Arial" w:cs="Arial"/>
          <w:bCs/>
          <w:sz w:val="20"/>
          <w:szCs w:val="20"/>
        </w:rPr>
        <w:t xml:space="preserve">potential listing </w:t>
      </w:r>
      <w:r>
        <w:rPr>
          <w:rFonts w:ascii="Arial" w:hAnsi="Arial" w:cs="Arial"/>
          <w:bCs/>
          <w:sz w:val="20"/>
          <w:szCs w:val="20"/>
        </w:rPr>
        <w:t>venues.</w:t>
      </w:r>
    </w:p>
    <w:p w:rsidR="001B6286" w:rsidRDefault="001B6286" w:rsidP="005E1FF7">
      <w:pPr>
        <w:snapToGrid w:val="0"/>
        <w:spacing w:after="0" w:line="240" w:lineRule="auto"/>
        <w:jc w:val="both"/>
        <w:rPr>
          <w:rFonts w:ascii="Arial" w:hAnsi="Arial" w:cs="Arial"/>
          <w:bCs/>
          <w:sz w:val="20"/>
          <w:szCs w:val="20"/>
        </w:rPr>
      </w:pPr>
    </w:p>
    <w:p w:rsidR="005E1FF7" w:rsidRPr="005E1FF7" w:rsidRDefault="005E1FF7" w:rsidP="005E1FF7">
      <w:pPr>
        <w:snapToGrid w:val="0"/>
        <w:spacing w:after="0" w:line="240" w:lineRule="auto"/>
        <w:jc w:val="both"/>
        <w:rPr>
          <w:rFonts w:ascii="Arial" w:hAnsi="Arial" w:cs="Arial"/>
          <w:bCs/>
          <w:sz w:val="20"/>
          <w:szCs w:val="20"/>
        </w:rPr>
      </w:pPr>
      <w:r>
        <w:rPr>
          <w:rFonts w:ascii="Arial" w:hAnsi="Arial" w:cs="Arial"/>
          <w:bCs/>
          <w:sz w:val="20"/>
          <w:szCs w:val="20"/>
        </w:rPr>
        <w:t xml:space="preserve">In the Consultation Paper, the HKEX highlights </w:t>
      </w:r>
      <w:r w:rsidR="009807DD">
        <w:rPr>
          <w:rFonts w:ascii="Arial" w:hAnsi="Arial" w:cs="Arial"/>
          <w:bCs/>
          <w:sz w:val="20"/>
          <w:szCs w:val="20"/>
        </w:rPr>
        <w:t>its</w:t>
      </w:r>
      <w:r>
        <w:rPr>
          <w:rFonts w:ascii="Arial" w:hAnsi="Arial" w:cs="Arial"/>
          <w:bCs/>
          <w:sz w:val="20"/>
          <w:szCs w:val="20"/>
        </w:rPr>
        <w:t xml:space="preserve"> commitment to SMEs</w:t>
      </w:r>
      <w:r w:rsidR="002113A6">
        <w:rPr>
          <w:rFonts w:ascii="Arial" w:hAnsi="Arial" w:cs="Arial"/>
          <w:bCs/>
          <w:sz w:val="20"/>
          <w:szCs w:val="20"/>
        </w:rPr>
        <w:t>,</w:t>
      </w:r>
      <w:r>
        <w:rPr>
          <w:rFonts w:ascii="Arial" w:hAnsi="Arial" w:cs="Arial"/>
          <w:bCs/>
          <w:sz w:val="20"/>
          <w:szCs w:val="20"/>
        </w:rPr>
        <w:t xml:space="preserve"> which </w:t>
      </w:r>
      <w:r w:rsidR="009807DD">
        <w:rPr>
          <w:rFonts w:ascii="Arial" w:hAnsi="Arial" w:cs="Arial"/>
          <w:bCs/>
          <w:sz w:val="20"/>
          <w:szCs w:val="20"/>
        </w:rPr>
        <w:t>it</w:t>
      </w:r>
      <w:r>
        <w:rPr>
          <w:rFonts w:ascii="Arial" w:hAnsi="Arial" w:cs="Arial"/>
          <w:bCs/>
          <w:sz w:val="20"/>
          <w:szCs w:val="20"/>
        </w:rPr>
        <w:t xml:space="preserve"> consider</w:t>
      </w:r>
      <w:r w:rsidR="009807DD">
        <w:rPr>
          <w:rFonts w:ascii="Arial" w:hAnsi="Arial" w:cs="Arial"/>
          <w:bCs/>
          <w:sz w:val="20"/>
          <w:szCs w:val="20"/>
        </w:rPr>
        <w:t>s</w:t>
      </w:r>
      <w:r>
        <w:rPr>
          <w:rFonts w:ascii="Arial" w:hAnsi="Arial" w:cs="Arial"/>
          <w:bCs/>
          <w:sz w:val="20"/>
          <w:szCs w:val="20"/>
        </w:rPr>
        <w:t xml:space="preserve"> to be</w:t>
      </w:r>
      <w:r w:rsidRPr="005E1FF7">
        <w:rPr>
          <w:rFonts w:ascii="Arial" w:hAnsi="Arial" w:cs="Arial"/>
          <w:bCs/>
          <w:sz w:val="20"/>
          <w:szCs w:val="20"/>
        </w:rPr>
        <w:t xml:space="preserve"> the backbone of the Hong Kong economy,</w:t>
      </w:r>
      <w:r>
        <w:rPr>
          <w:rFonts w:ascii="Arial" w:hAnsi="Arial" w:cs="Arial"/>
          <w:bCs/>
          <w:sz w:val="20"/>
          <w:szCs w:val="20"/>
        </w:rPr>
        <w:t xml:space="preserve"> driving innovation, employment</w:t>
      </w:r>
      <w:r w:rsidRPr="005E1FF7">
        <w:rPr>
          <w:rFonts w:ascii="Arial" w:hAnsi="Arial" w:cs="Arial"/>
          <w:bCs/>
          <w:sz w:val="20"/>
          <w:szCs w:val="20"/>
        </w:rPr>
        <w:t xml:space="preserve"> and economic growth</w:t>
      </w:r>
      <w:r w:rsidR="007B67DB">
        <w:rPr>
          <w:rFonts w:ascii="Arial" w:hAnsi="Arial" w:cs="Arial"/>
          <w:bCs/>
          <w:sz w:val="20"/>
          <w:szCs w:val="20"/>
        </w:rPr>
        <w:t xml:space="preserve">, and </w:t>
      </w:r>
      <w:r w:rsidRPr="005E1FF7">
        <w:rPr>
          <w:rFonts w:ascii="Arial" w:hAnsi="Arial" w:cs="Arial"/>
          <w:bCs/>
          <w:sz w:val="20"/>
          <w:szCs w:val="20"/>
        </w:rPr>
        <w:t>account</w:t>
      </w:r>
      <w:r w:rsidR="007B67DB">
        <w:rPr>
          <w:rFonts w:ascii="Arial" w:hAnsi="Arial" w:cs="Arial"/>
          <w:bCs/>
          <w:sz w:val="20"/>
          <w:szCs w:val="20"/>
        </w:rPr>
        <w:t>ed</w:t>
      </w:r>
      <w:r w:rsidRPr="005E1FF7">
        <w:rPr>
          <w:rFonts w:ascii="Arial" w:hAnsi="Arial" w:cs="Arial"/>
          <w:bCs/>
          <w:sz w:val="20"/>
          <w:szCs w:val="20"/>
        </w:rPr>
        <w:t xml:space="preserve"> for more than 98% of businesses and around 45% of e</w:t>
      </w:r>
      <w:r>
        <w:rPr>
          <w:rFonts w:ascii="Arial" w:hAnsi="Arial" w:cs="Arial"/>
          <w:bCs/>
          <w:sz w:val="20"/>
          <w:szCs w:val="20"/>
        </w:rPr>
        <w:t xml:space="preserve">mployment in Hong Kong. </w:t>
      </w:r>
      <w:proofErr w:type="spellStart"/>
      <w:r>
        <w:rPr>
          <w:rFonts w:ascii="Arial" w:hAnsi="Arial" w:cs="Arial"/>
          <w:bCs/>
          <w:sz w:val="20"/>
          <w:szCs w:val="20"/>
        </w:rPr>
        <w:t>Recognising</w:t>
      </w:r>
      <w:proofErr w:type="spellEnd"/>
      <w:r>
        <w:rPr>
          <w:rFonts w:ascii="Arial" w:hAnsi="Arial" w:cs="Arial"/>
          <w:bCs/>
          <w:sz w:val="20"/>
          <w:szCs w:val="20"/>
        </w:rPr>
        <w:t xml:space="preserve"> </w:t>
      </w:r>
      <w:r w:rsidR="00191489">
        <w:rPr>
          <w:rFonts w:ascii="Arial" w:hAnsi="Arial" w:cs="Arial"/>
          <w:bCs/>
          <w:sz w:val="20"/>
          <w:szCs w:val="20"/>
        </w:rPr>
        <w:t>its</w:t>
      </w:r>
      <w:r w:rsidRPr="005E1FF7">
        <w:rPr>
          <w:rFonts w:ascii="Arial" w:hAnsi="Arial" w:cs="Arial"/>
          <w:bCs/>
          <w:sz w:val="20"/>
          <w:szCs w:val="20"/>
        </w:rPr>
        <w:t xml:space="preserve"> role as a funding source for SMEs</w:t>
      </w:r>
      <w:r>
        <w:rPr>
          <w:rFonts w:ascii="Arial" w:hAnsi="Arial" w:cs="Arial"/>
          <w:bCs/>
          <w:sz w:val="20"/>
          <w:szCs w:val="20"/>
        </w:rPr>
        <w:t xml:space="preserve"> seeking long-term corporate investment to sustain their innovation</w:t>
      </w:r>
      <w:r w:rsidRPr="005E1FF7">
        <w:rPr>
          <w:rFonts w:ascii="Arial" w:hAnsi="Arial" w:cs="Arial"/>
          <w:bCs/>
          <w:sz w:val="20"/>
          <w:szCs w:val="20"/>
        </w:rPr>
        <w:t xml:space="preserve">, </w:t>
      </w:r>
      <w:r>
        <w:rPr>
          <w:rFonts w:ascii="Arial" w:hAnsi="Arial" w:cs="Arial"/>
          <w:bCs/>
          <w:sz w:val="20"/>
          <w:szCs w:val="20"/>
        </w:rPr>
        <w:t xml:space="preserve">the HKEX </w:t>
      </w:r>
      <w:r w:rsidRPr="005E1FF7">
        <w:rPr>
          <w:rFonts w:ascii="Arial" w:hAnsi="Arial" w:cs="Arial"/>
          <w:bCs/>
          <w:sz w:val="20"/>
          <w:szCs w:val="20"/>
        </w:rPr>
        <w:t>ha</w:t>
      </w:r>
      <w:r w:rsidR="009807DD">
        <w:rPr>
          <w:rFonts w:ascii="Arial" w:hAnsi="Arial" w:cs="Arial"/>
          <w:bCs/>
          <w:sz w:val="20"/>
          <w:szCs w:val="20"/>
        </w:rPr>
        <w:t>s</w:t>
      </w:r>
      <w:r w:rsidRPr="005E1FF7">
        <w:rPr>
          <w:rFonts w:ascii="Arial" w:hAnsi="Arial" w:cs="Arial"/>
          <w:bCs/>
          <w:sz w:val="20"/>
          <w:szCs w:val="20"/>
        </w:rPr>
        <w:t xml:space="preserve"> implemented initiative</w:t>
      </w:r>
      <w:r>
        <w:rPr>
          <w:rFonts w:ascii="Arial" w:hAnsi="Arial" w:cs="Arial"/>
          <w:bCs/>
          <w:sz w:val="20"/>
          <w:szCs w:val="20"/>
        </w:rPr>
        <w:t>s to support issuers, start-ups</w:t>
      </w:r>
      <w:r w:rsidRPr="005E1FF7">
        <w:rPr>
          <w:rFonts w:ascii="Arial" w:hAnsi="Arial" w:cs="Arial"/>
          <w:bCs/>
          <w:sz w:val="20"/>
          <w:szCs w:val="20"/>
        </w:rPr>
        <w:t xml:space="preserve"> and entrepreneurs. These include connection programs </w:t>
      </w:r>
      <w:r w:rsidR="004B3814">
        <w:rPr>
          <w:rFonts w:ascii="Arial" w:hAnsi="Arial" w:cs="Arial"/>
          <w:bCs/>
          <w:sz w:val="20"/>
          <w:szCs w:val="20"/>
        </w:rPr>
        <w:t>(such as Hong Kong Fintech Week</w:t>
      </w:r>
      <w:r w:rsidR="007B67DB">
        <w:rPr>
          <w:rFonts w:ascii="Arial" w:hAnsi="Arial" w:cs="Arial"/>
          <w:bCs/>
          <w:sz w:val="20"/>
          <w:szCs w:val="20"/>
        </w:rPr>
        <w:t xml:space="preserve"> and</w:t>
      </w:r>
      <w:r w:rsidR="004B3814">
        <w:rPr>
          <w:rFonts w:ascii="Arial" w:hAnsi="Arial" w:cs="Arial"/>
          <w:bCs/>
          <w:sz w:val="20"/>
          <w:szCs w:val="20"/>
        </w:rPr>
        <w:t xml:space="preserve"> GBA Fintech Talent Initiative) </w:t>
      </w:r>
      <w:r w:rsidRPr="005E1FF7">
        <w:rPr>
          <w:rFonts w:ascii="Arial" w:hAnsi="Arial" w:cs="Arial"/>
          <w:bCs/>
          <w:sz w:val="20"/>
          <w:szCs w:val="20"/>
        </w:rPr>
        <w:t>that foster collaboration</w:t>
      </w:r>
      <w:r w:rsidR="00B35D1B">
        <w:rPr>
          <w:rFonts w:ascii="Arial" w:hAnsi="Arial" w:cs="Arial"/>
          <w:bCs/>
          <w:sz w:val="20"/>
          <w:szCs w:val="20"/>
        </w:rPr>
        <w:t>, innovation</w:t>
      </w:r>
      <w:r w:rsidRPr="005E1FF7">
        <w:rPr>
          <w:rFonts w:ascii="Arial" w:hAnsi="Arial" w:cs="Arial"/>
          <w:bCs/>
          <w:sz w:val="20"/>
          <w:szCs w:val="20"/>
        </w:rPr>
        <w:t xml:space="preserve"> and growth, as well as the introduction of a digital investor relations platform</w:t>
      </w:r>
      <w:r w:rsidR="007B67DB">
        <w:rPr>
          <w:rFonts w:ascii="Arial" w:hAnsi="Arial" w:cs="Arial"/>
          <w:bCs/>
          <w:sz w:val="20"/>
          <w:szCs w:val="20"/>
        </w:rPr>
        <w:t xml:space="preserve"> (IR Connect)</w:t>
      </w:r>
      <w:r w:rsidRPr="005E1FF7">
        <w:rPr>
          <w:rFonts w:ascii="Arial" w:hAnsi="Arial" w:cs="Arial"/>
          <w:bCs/>
          <w:sz w:val="20"/>
          <w:szCs w:val="20"/>
        </w:rPr>
        <w:t xml:space="preserve"> for Hong Kong-listed issuers. </w:t>
      </w:r>
      <w:r>
        <w:rPr>
          <w:rFonts w:ascii="Arial" w:hAnsi="Arial" w:cs="Arial"/>
          <w:bCs/>
          <w:sz w:val="20"/>
          <w:szCs w:val="20"/>
        </w:rPr>
        <w:t xml:space="preserve">The HKEX states that </w:t>
      </w:r>
      <w:r w:rsidR="009807DD">
        <w:rPr>
          <w:rFonts w:ascii="Arial" w:hAnsi="Arial" w:cs="Arial"/>
          <w:bCs/>
          <w:sz w:val="20"/>
          <w:szCs w:val="20"/>
        </w:rPr>
        <w:t>its</w:t>
      </w:r>
      <w:r w:rsidRPr="005E1FF7">
        <w:rPr>
          <w:rFonts w:ascii="Arial" w:hAnsi="Arial" w:cs="Arial"/>
          <w:bCs/>
          <w:sz w:val="20"/>
          <w:szCs w:val="20"/>
        </w:rPr>
        <w:t xml:space="preserve"> goal is to provide a diverse range of investment options and enable effective portfolio diversification for investors.</w:t>
      </w:r>
    </w:p>
    <w:p w:rsidR="005E1FF7" w:rsidRPr="005E1FF7" w:rsidRDefault="005E1FF7" w:rsidP="005E1FF7">
      <w:pPr>
        <w:snapToGrid w:val="0"/>
        <w:spacing w:after="0" w:line="240" w:lineRule="auto"/>
        <w:jc w:val="both"/>
        <w:rPr>
          <w:rFonts w:ascii="Arial" w:hAnsi="Arial" w:cs="Arial"/>
          <w:bCs/>
          <w:sz w:val="20"/>
          <w:szCs w:val="20"/>
        </w:rPr>
      </w:pPr>
    </w:p>
    <w:p w:rsidR="005E1FF7" w:rsidRPr="005E1FF7" w:rsidRDefault="005E1FF7" w:rsidP="005E1FF7">
      <w:pPr>
        <w:snapToGrid w:val="0"/>
        <w:spacing w:after="0" w:line="240" w:lineRule="auto"/>
        <w:jc w:val="both"/>
        <w:rPr>
          <w:rFonts w:ascii="Arial" w:hAnsi="Arial" w:cs="Arial"/>
          <w:bCs/>
          <w:sz w:val="20"/>
          <w:szCs w:val="20"/>
        </w:rPr>
      </w:pPr>
      <w:r w:rsidRPr="005E1FF7">
        <w:rPr>
          <w:rFonts w:ascii="Arial" w:hAnsi="Arial" w:cs="Arial"/>
          <w:bCs/>
          <w:sz w:val="20"/>
          <w:szCs w:val="20"/>
        </w:rPr>
        <w:t xml:space="preserve">Facilitating SME listings remains a key priority for the </w:t>
      </w:r>
      <w:r w:rsidR="00510BFF">
        <w:rPr>
          <w:rFonts w:ascii="Arial" w:hAnsi="Arial" w:cs="Arial"/>
          <w:bCs/>
          <w:sz w:val="20"/>
          <w:szCs w:val="20"/>
        </w:rPr>
        <w:t>HKEX</w:t>
      </w:r>
      <w:r w:rsidRPr="005E1FF7">
        <w:rPr>
          <w:rFonts w:ascii="Arial" w:hAnsi="Arial" w:cs="Arial"/>
          <w:bCs/>
          <w:sz w:val="20"/>
          <w:szCs w:val="20"/>
        </w:rPr>
        <w:t>, a</w:t>
      </w:r>
      <w:r w:rsidR="00AB60A0">
        <w:rPr>
          <w:rFonts w:ascii="Arial" w:hAnsi="Arial" w:cs="Arial"/>
          <w:bCs/>
          <w:sz w:val="20"/>
          <w:szCs w:val="20"/>
        </w:rPr>
        <w:t>nd</w:t>
      </w:r>
      <w:r w:rsidRPr="005E1FF7">
        <w:rPr>
          <w:rFonts w:ascii="Arial" w:hAnsi="Arial" w:cs="Arial"/>
          <w:bCs/>
          <w:sz w:val="20"/>
          <w:szCs w:val="20"/>
        </w:rPr>
        <w:t xml:space="preserve"> </w:t>
      </w:r>
      <w:r w:rsidR="00510BFF">
        <w:rPr>
          <w:rFonts w:ascii="Arial" w:hAnsi="Arial" w:cs="Arial"/>
          <w:bCs/>
          <w:sz w:val="20"/>
          <w:szCs w:val="20"/>
        </w:rPr>
        <w:t>the HKEX</w:t>
      </w:r>
      <w:r w:rsidRPr="005E1FF7">
        <w:rPr>
          <w:rFonts w:ascii="Arial" w:hAnsi="Arial" w:cs="Arial"/>
          <w:bCs/>
          <w:sz w:val="20"/>
          <w:szCs w:val="20"/>
        </w:rPr>
        <w:t xml:space="preserve"> </w:t>
      </w:r>
      <w:r w:rsidR="006C4400">
        <w:rPr>
          <w:rFonts w:ascii="Arial" w:hAnsi="Arial" w:cs="Arial"/>
          <w:bCs/>
          <w:sz w:val="20"/>
          <w:szCs w:val="20"/>
        </w:rPr>
        <w:t>state</w:t>
      </w:r>
      <w:r w:rsidR="00AB60A0">
        <w:rPr>
          <w:rFonts w:ascii="Arial" w:hAnsi="Arial" w:cs="Arial"/>
          <w:bCs/>
          <w:sz w:val="20"/>
          <w:szCs w:val="20"/>
        </w:rPr>
        <w:t>s</w:t>
      </w:r>
      <w:r w:rsidR="006C4400">
        <w:rPr>
          <w:rFonts w:ascii="Arial" w:hAnsi="Arial" w:cs="Arial"/>
          <w:bCs/>
          <w:sz w:val="20"/>
          <w:szCs w:val="20"/>
        </w:rPr>
        <w:t xml:space="preserve"> that </w:t>
      </w:r>
      <w:r w:rsidR="009807DD">
        <w:rPr>
          <w:rFonts w:ascii="Arial" w:hAnsi="Arial" w:cs="Arial"/>
          <w:bCs/>
          <w:sz w:val="20"/>
          <w:szCs w:val="20"/>
        </w:rPr>
        <w:t>it</w:t>
      </w:r>
      <w:r w:rsidR="006C4400">
        <w:rPr>
          <w:rFonts w:ascii="Arial" w:hAnsi="Arial" w:cs="Arial"/>
          <w:bCs/>
          <w:sz w:val="20"/>
          <w:szCs w:val="20"/>
        </w:rPr>
        <w:t xml:space="preserve"> will </w:t>
      </w:r>
      <w:r w:rsidRPr="005E1FF7">
        <w:rPr>
          <w:rFonts w:ascii="Arial" w:hAnsi="Arial" w:cs="Arial"/>
          <w:bCs/>
          <w:sz w:val="20"/>
          <w:szCs w:val="20"/>
        </w:rPr>
        <w:t>continue to implement innovative listing reforms</w:t>
      </w:r>
      <w:r w:rsidR="006C4400">
        <w:rPr>
          <w:rFonts w:ascii="Arial" w:hAnsi="Arial" w:cs="Arial"/>
          <w:bCs/>
          <w:sz w:val="20"/>
          <w:szCs w:val="20"/>
        </w:rPr>
        <w:t xml:space="preserve"> catering to the evolving needs of a broad range of issuers</w:t>
      </w:r>
      <w:r w:rsidRPr="005E1FF7">
        <w:rPr>
          <w:rFonts w:ascii="Arial" w:hAnsi="Arial" w:cs="Arial"/>
          <w:bCs/>
          <w:sz w:val="20"/>
          <w:szCs w:val="20"/>
        </w:rPr>
        <w:t>.</w:t>
      </w:r>
    </w:p>
    <w:p w:rsidR="00932501" w:rsidRDefault="00932501" w:rsidP="00977475">
      <w:pPr>
        <w:snapToGrid w:val="0"/>
        <w:spacing w:after="0" w:line="240" w:lineRule="auto"/>
        <w:jc w:val="both"/>
        <w:rPr>
          <w:rFonts w:ascii="Arial" w:hAnsi="Arial" w:cs="Arial"/>
          <w:bCs/>
          <w:sz w:val="20"/>
          <w:szCs w:val="20"/>
        </w:rPr>
      </w:pPr>
    </w:p>
    <w:p w:rsidR="006C4400" w:rsidRPr="00275874" w:rsidRDefault="00275874" w:rsidP="00977475">
      <w:pPr>
        <w:snapToGrid w:val="0"/>
        <w:spacing w:after="0" w:line="240" w:lineRule="auto"/>
        <w:jc w:val="both"/>
        <w:rPr>
          <w:rFonts w:ascii="Arial" w:hAnsi="Arial" w:cs="Arial"/>
          <w:b/>
          <w:bCs/>
          <w:color w:val="FF0000"/>
          <w:sz w:val="20"/>
          <w:szCs w:val="20"/>
          <w:lang w:eastAsia="zh-TW"/>
        </w:rPr>
      </w:pPr>
      <w:r w:rsidRPr="00275874">
        <w:rPr>
          <w:rFonts w:ascii="Arial" w:hAnsi="Arial" w:cs="Arial"/>
          <w:b/>
          <w:bCs/>
          <w:color w:val="FF0000"/>
          <w:sz w:val="20"/>
          <w:szCs w:val="20"/>
          <w:lang w:eastAsia="zh-TW"/>
        </w:rPr>
        <w:t>Stakeholder Feedback</w:t>
      </w:r>
    </w:p>
    <w:p w:rsidR="00275874" w:rsidRDefault="00275874" w:rsidP="00977475">
      <w:pPr>
        <w:snapToGrid w:val="0"/>
        <w:spacing w:after="0" w:line="240" w:lineRule="auto"/>
        <w:jc w:val="both"/>
        <w:rPr>
          <w:rFonts w:ascii="Arial" w:hAnsi="Arial" w:cs="Arial"/>
          <w:bCs/>
          <w:sz w:val="20"/>
          <w:szCs w:val="20"/>
        </w:rPr>
      </w:pPr>
    </w:p>
    <w:p w:rsidR="00275874" w:rsidRDefault="00D02352" w:rsidP="00977475">
      <w:pPr>
        <w:snapToGrid w:val="0"/>
        <w:spacing w:after="0" w:line="240" w:lineRule="auto"/>
        <w:jc w:val="both"/>
        <w:rPr>
          <w:rFonts w:ascii="Arial" w:hAnsi="Arial" w:cs="Arial"/>
          <w:bCs/>
          <w:sz w:val="20"/>
          <w:szCs w:val="20"/>
        </w:rPr>
      </w:pPr>
      <w:r>
        <w:rPr>
          <w:rFonts w:ascii="Arial" w:hAnsi="Arial" w:cs="Arial"/>
          <w:bCs/>
          <w:sz w:val="20"/>
          <w:szCs w:val="20"/>
        </w:rPr>
        <w:t>The HKEX</w:t>
      </w:r>
      <w:r w:rsidRPr="00D02352">
        <w:rPr>
          <w:rFonts w:ascii="Arial" w:hAnsi="Arial" w:cs="Arial"/>
          <w:bCs/>
          <w:sz w:val="20"/>
          <w:szCs w:val="20"/>
        </w:rPr>
        <w:t xml:space="preserve"> recently completed a consultation </w:t>
      </w:r>
      <w:r>
        <w:rPr>
          <w:rFonts w:ascii="Arial" w:hAnsi="Arial" w:cs="Arial"/>
          <w:bCs/>
          <w:sz w:val="20"/>
          <w:szCs w:val="20"/>
        </w:rPr>
        <w:t xml:space="preserve">in 2021 </w:t>
      </w:r>
      <w:r w:rsidRPr="00D02352">
        <w:rPr>
          <w:rFonts w:ascii="Arial" w:hAnsi="Arial" w:cs="Arial"/>
          <w:bCs/>
          <w:sz w:val="20"/>
          <w:szCs w:val="20"/>
        </w:rPr>
        <w:t>on changes to the Main Board Profit Requiremen</w:t>
      </w:r>
      <w:r>
        <w:rPr>
          <w:rFonts w:ascii="Arial" w:hAnsi="Arial" w:cs="Arial"/>
          <w:bCs/>
          <w:sz w:val="20"/>
          <w:szCs w:val="20"/>
        </w:rPr>
        <w:t xml:space="preserve">t </w:t>
      </w:r>
      <w:r w:rsidR="007B67DB">
        <w:rPr>
          <w:rFonts w:ascii="Arial" w:hAnsi="Arial" w:cs="Arial"/>
          <w:bCs/>
          <w:sz w:val="20"/>
          <w:szCs w:val="20"/>
        </w:rPr>
        <w:t xml:space="preserve">in which </w:t>
      </w:r>
      <w:r>
        <w:rPr>
          <w:rFonts w:ascii="Arial" w:hAnsi="Arial" w:cs="Arial"/>
          <w:bCs/>
          <w:sz w:val="20"/>
          <w:szCs w:val="20"/>
        </w:rPr>
        <w:t>s</w:t>
      </w:r>
      <w:r w:rsidRPr="00D02352">
        <w:rPr>
          <w:rFonts w:ascii="Arial" w:hAnsi="Arial" w:cs="Arial"/>
          <w:bCs/>
          <w:sz w:val="20"/>
          <w:szCs w:val="20"/>
        </w:rPr>
        <w:t>ome respondents expressed doubts about the viability of GEM as a listing platform for SMEs and traditional companies</w:t>
      </w:r>
      <w:r w:rsidR="004B3814">
        <w:rPr>
          <w:rFonts w:ascii="Arial" w:hAnsi="Arial" w:cs="Arial"/>
          <w:bCs/>
          <w:sz w:val="20"/>
          <w:szCs w:val="20"/>
        </w:rPr>
        <w:t>.</w:t>
      </w:r>
      <w:r w:rsidR="00B11967">
        <w:rPr>
          <w:rStyle w:val="a7"/>
          <w:rFonts w:ascii="Arial" w:hAnsi="Arial" w:cs="Arial"/>
          <w:bCs/>
          <w:sz w:val="20"/>
          <w:szCs w:val="20"/>
        </w:rPr>
        <w:footnoteReference w:id="2"/>
      </w:r>
      <w:r w:rsidR="004B3814">
        <w:rPr>
          <w:rFonts w:ascii="Arial" w:hAnsi="Arial" w:cs="Arial"/>
          <w:bCs/>
          <w:sz w:val="20"/>
          <w:szCs w:val="20"/>
        </w:rPr>
        <w:t xml:space="preserve"> </w:t>
      </w:r>
      <w:r w:rsidRPr="00D02352">
        <w:rPr>
          <w:rFonts w:ascii="Arial" w:hAnsi="Arial" w:cs="Arial"/>
          <w:bCs/>
          <w:sz w:val="20"/>
          <w:szCs w:val="20"/>
        </w:rPr>
        <w:t xml:space="preserve">In response, the </w:t>
      </w:r>
      <w:r>
        <w:rPr>
          <w:rFonts w:ascii="Arial" w:hAnsi="Arial" w:cs="Arial"/>
          <w:bCs/>
          <w:sz w:val="20"/>
          <w:szCs w:val="20"/>
        </w:rPr>
        <w:t>HKEX</w:t>
      </w:r>
      <w:r w:rsidRPr="00D02352">
        <w:rPr>
          <w:rFonts w:ascii="Arial" w:hAnsi="Arial" w:cs="Arial"/>
          <w:bCs/>
          <w:sz w:val="20"/>
          <w:szCs w:val="20"/>
        </w:rPr>
        <w:t xml:space="preserve"> announced a review of GEM to evaluate </w:t>
      </w:r>
      <w:r>
        <w:rPr>
          <w:rFonts w:ascii="Arial" w:hAnsi="Arial" w:cs="Arial"/>
          <w:bCs/>
          <w:sz w:val="20"/>
          <w:szCs w:val="20"/>
        </w:rPr>
        <w:t>GEM’s positioning, market perception</w:t>
      </w:r>
      <w:r w:rsidRPr="00D02352">
        <w:rPr>
          <w:rFonts w:ascii="Arial" w:hAnsi="Arial" w:cs="Arial"/>
          <w:bCs/>
          <w:sz w:val="20"/>
          <w:szCs w:val="20"/>
        </w:rPr>
        <w:t xml:space="preserve"> and feasibility as an alternative to the Main Board. During the review process, the </w:t>
      </w:r>
      <w:r w:rsidR="001B160F">
        <w:rPr>
          <w:rFonts w:ascii="Arial" w:hAnsi="Arial" w:cs="Arial"/>
          <w:bCs/>
          <w:sz w:val="20"/>
          <w:szCs w:val="20"/>
        </w:rPr>
        <w:t>HKEX</w:t>
      </w:r>
      <w:r w:rsidRPr="00D02352">
        <w:rPr>
          <w:rFonts w:ascii="Arial" w:hAnsi="Arial" w:cs="Arial"/>
          <w:bCs/>
          <w:sz w:val="20"/>
          <w:szCs w:val="20"/>
        </w:rPr>
        <w:t xml:space="preserve"> engaged with stakeholders </w:t>
      </w:r>
      <w:r w:rsidR="00C85E9A">
        <w:rPr>
          <w:rFonts w:ascii="Arial" w:hAnsi="Arial" w:cs="Arial"/>
          <w:bCs/>
          <w:sz w:val="20"/>
          <w:szCs w:val="20"/>
        </w:rPr>
        <w:t>(</w:t>
      </w:r>
      <w:r w:rsidRPr="00D02352">
        <w:rPr>
          <w:rFonts w:ascii="Arial" w:hAnsi="Arial" w:cs="Arial"/>
          <w:bCs/>
          <w:sz w:val="20"/>
          <w:szCs w:val="20"/>
        </w:rPr>
        <w:t>such as industry associations, professional b</w:t>
      </w:r>
      <w:r w:rsidR="001B160F">
        <w:rPr>
          <w:rFonts w:ascii="Arial" w:hAnsi="Arial" w:cs="Arial"/>
          <w:bCs/>
          <w:sz w:val="20"/>
          <w:szCs w:val="20"/>
        </w:rPr>
        <w:t>odies, law firms, sponsor firms</w:t>
      </w:r>
      <w:r w:rsidRPr="00D02352">
        <w:rPr>
          <w:rFonts w:ascii="Arial" w:hAnsi="Arial" w:cs="Arial"/>
          <w:bCs/>
          <w:sz w:val="20"/>
          <w:szCs w:val="20"/>
        </w:rPr>
        <w:t xml:space="preserve"> and investment managers in Hong Kong</w:t>
      </w:r>
      <w:r w:rsidR="00C85E9A">
        <w:rPr>
          <w:rFonts w:ascii="Arial" w:hAnsi="Arial" w:cs="Arial"/>
          <w:bCs/>
          <w:sz w:val="20"/>
          <w:szCs w:val="20"/>
        </w:rPr>
        <w:t>)</w:t>
      </w:r>
      <w:r w:rsidRPr="00D02352">
        <w:rPr>
          <w:rFonts w:ascii="Arial" w:hAnsi="Arial" w:cs="Arial"/>
          <w:bCs/>
          <w:sz w:val="20"/>
          <w:szCs w:val="20"/>
        </w:rPr>
        <w:t xml:space="preserve"> to address </w:t>
      </w:r>
      <w:r w:rsidR="001B160F">
        <w:rPr>
          <w:rFonts w:ascii="Arial" w:hAnsi="Arial" w:cs="Arial"/>
          <w:bCs/>
          <w:sz w:val="20"/>
          <w:szCs w:val="20"/>
        </w:rPr>
        <w:t>th</w:t>
      </w:r>
      <w:r w:rsidR="00C85E9A">
        <w:rPr>
          <w:rFonts w:ascii="Arial" w:hAnsi="Arial" w:cs="Arial"/>
          <w:bCs/>
          <w:sz w:val="20"/>
          <w:szCs w:val="20"/>
        </w:rPr>
        <w:t>e</w:t>
      </w:r>
      <w:r w:rsidR="001B160F">
        <w:rPr>
          <w:rFonts w:ascii="Arial" w:hAnsi="Arial" w:cs="Arial"/>
          <w:bCs/>
          <w:sz w:val="20"/>
          <w:szCs w:val="20"/>
        </w:rPr>
        <w:t xml:space="preserve"> </w:t>
      </w:r>
      <w:r w:rsidRPr="00D02352">
        <w:rPr>
          <w:rFonts w:ascii="Arial" w:hAnsi="Arial" w:cs="Arial"/>
          <w:bCs/>
          <w:sz w:val="20"/>
          <w:szCs w:val="20"/>
        </w:rPr>
        <w:t>concerns</w:t>
      </w:r>
      <w:r w:rsidR="00C85E9A">
        <w:rPr>
          <w:rFonts w:ascii="Arial" w:hAnsi="Arial" w:cs="Arial"/>
          <w:bCs/>
          <w:sz w:val="20"/>
          <w:szCs w:val="20"/>
        </w:rPr>
        <w:t xml:space="preserve"> raised</w:t>
      </w:r>
      <w:r w:rsidRPr="00D02352">
        <w:rPr>
          <w:rFonts w:ascii="Arial" w:hAnsi="Arial" w:cs="Arial"/>
          <w:bCs/>
          <w:sz w:val="20"/>
          <w:szCs w:val="20"/>
        </w:rPr>
        <w:t xml:space="preserve">. Additionally, feedback was sought from Mainland </w:t>
      </w:r>
      <w:r w:rsidR="004B3814">
        <w:rPr>
          <w:rFonts w:ascii="Arial" w:hAnsi="Arial" w:cs="Arial"/>
          <w:bCs/>
          <w:sz w:val="20"/>
          <w:szCs w:val="20"/>
        </w:rPr>
        <w:t>in</w:t>
      </w:r>
      <w:r w:rsidRPr="00D02352">
        <w:rPr>
          <w:rFonts w:ascii="Arial" w:hAnsi="Arial" w:cs="Arial"/>
          <w:bCs/>
          <w:sz w:val="20"/>
          <w:szCs w:val="20"/>
        </w:rPr>
        <w:t xml:space="preserve">stitutional SME </w:t>
      </w:r>
      <w:r w:rsidR="004B3814">
        <w:rPr>
          <w:rFonts w:ascii="Arial" w:hAnsi="Arial" w:cs="Arial"/>
          <w:bCs/>
          <w:sz w:val="20"/>
          <w:szCs w:val="20"/>
        </w:rPr>
        <w:t>i</w:t>
      </w:r>
      <w:r w:rsidRPr="00D02352">
        <w:rPr>
          <w:rFonts w:ascii="Arial" w:hAnsi="Arial" w:cs="Arial"/>
          <w:bCs/>
          <w:sz w:val="20"/>
          <w:szCs w:val="20"/>
        </w:rPr>
        <w:t>nvestors</w:t>
      </w:r>
      <w:r w:rsidR="004B3814">
        <w:rPr>
          <w:rFonts w:ascii="Arial" w:hAnsi="Arial" w:cs="Arial"/>
          <w:bCs/>
          <w:sz w:val="20"/>
          <w:szCs w:val="20"/>
        </w:rPr>
        <w:t xml:space="preserve"> (including securities firms and investment managers</w:t>
      </w:r>
      <w:r w:rsidRPr="00D02352">
        <w:rPr>
          <w:rFonts w:ascii="Arial" w:hAnsi="Arial" w:cs="Arial"/>
          <w:bCs/>
          <w:sz w:val="20"/>
          <w:szCs w:val="20"/>
        </w:rPr>
        <w:t xml:space="preserve"> who actively invest </w:t>
      </w:r>
      <w:r w:rsidR="00C85E9A">
        <w:rPr>
          <w:rFonts w:ascii="Arial" w:hAnsi="Arial" w:cs="Arial"/>
          <w:bCs/>
          <w:sz w:val="20"/>
          <w:szCs w:val="20"/>
        </w:rPr>
        <w:t xml:space="preserve">or hold interests </w:t>
      </w:r>
      <w:r w:rsidRPr="00D02352">
        <w:rPr>
          <w:rFonts w:ascii="Arial" w:hAnsi="Arial" w:cs="Arial"/>
          <w:bCs/>
          <w:sz w:val="20"/>
          <w:szCs w:val="20"/>
        </w:rPr>
        <w:t>in BSE</w:t>
      </w:r>
      <w:r w:rsidR="001B160F">
        <w:rPr>
          <w:rFonts w:ascii="Arial" w:hAnsi="Arial" w:cs="Arial"/>
          <w:bCs/>
          <w:sz w:val="20"/>
          <w:szCs w:val="20"/>
        </w:rPr>
        <w:t xml:space="preserve"> </w:t>
      </w:r>
      <w:r w:rsidRPr="00D02352">
        <w:rPr>
          <w:rFonts w:ascii="Arial" w:hAnsi="Arial" w:cs="Arial"/>
          <w:bCs/>
          <w:sz w:val="20"/>
          <w:szCs w:val="20"/>
        </w:rPr>
        <w:t>listed issuers</w:t>
      </w:r>
      <w:r w:rsidR="00C85E9A">
        <w:rPr>
          <w:rFonts w:ascii="Arial" w:hAnsi="Arial" w:cs="Arial"/>
          <w:bCs/>
          <w:sz w:val="20"/>
          <w:szCs w:val="20"/>
        </w:rPr>
        <w:t>)</w:t>
      </w:r>
      <w:r w:rsidRPr="00D02352">
        <w:rPr>
          <w:rFonts w:ascii="Arial" w:hAnsi="Arial" w:cs="Arial"/>
          <w:bCs/>
          <w:sz w:val="20"/>
          <w:szCs w:val="20"/>
        </w:rPr>
        <w:t xml:space="preserve"> as BSE has attracted more SME listings and exhibits significantly higher trading liquidity compared to GEM. </w:t>
      </w:r>
    </w:p>
    <w:p w:rsidR="00932501" w:rsidRDefault="00932501" w:rsidP="00977475">
      <w:pPr>
        <w:snapToGrid w:val="0"/>
        <w:spacing w:after="0" w:line="240" w:lineRule="auto"/>
        <w:jc w:val="both"/>
        <w:rPr>
          <w:rFonts w:ascii="Arial" w:hAnsi="Arial" w:cs="Arial"/>
          <w:bCs/>
          <w:sz w:val="20"/>
          <w:szCs w:val="20"/>
        </w:rPr>
      </w:pPr>
    </w:p>
    <w:p w:rsidR="003B7924" w:rsidRPr="00D10060" w:rsidRDefault="003B7924" w:rsidP="00977475">
      <w:pPr>
        <w:snapToGrid w:val="0"/>
        <w:spacing w:after="0" w:line="240" w:lineRule="auto"/>
        <w:jc w:val="both"/>
        <w:rPr>
          <w:rFonts w:ascii="Arial" w:hAnsi="Arial" w:cs="Arial"/>
          <w:bCs/>
          <w:i/>
          <w:sz w:val="20"/>
          <w:szCs w:val="20"/>
        </w:rPr>
      </w:pPr>
      <w:r>
        <w:rPr>
          <w:rFonts w:ascii="Arial" w:hAnsi="Arial" w:cs="Arial"/>
          <w:bCs/>
          <w:sz w:val="20"/>
          <w:szCs w:val="20"/>
        </w:rPr>
        <w:t xml:space="preserve">Some stakeholders considered that the existing eligibility requirements for listing on GEM are too high and uncompetitive and should allow for alternative eligibility requirements, whilst </w:t>
      </w:r>
      <w:r w:rsidR="00157C28">
        <w:rPr>
          <w:rFonts w:ascii="Arial" w:hAnsi="Arial" w:cs="Arial"/>
          <w:bCs/>
          <w:sz w:val="20"/>
          <w:szCs w:val="20"/>
        </w:rPr>
        <w:t xml:space="preserve">the </w:t>
      </w:r>
      <w:proofErr w:type="gramStart"/>
      <w:r>
        <w:rPr>
          <w:rFonts w:ascii="Arial" w:hAnsi="Arial" w:cs="Arial"/>
          <w:bCs/>
          <w:sz w:val="20"/>
          <w:szCs w:val="20"/>
        </w:rPr>
        <w:t>Mainland</w:t>
      </w:r>
      <w:proofErr w:type="gramEnd"/>
      <w:r>
        <w:rPr>
          <w:rFonts w:ascii="Arial" w:hAnsi="Arial" w:cs="Arial"/>
          <w:bCs/>
          <w:sz w:val="20"/>
          <w:szCs w:val="20"/>
        </w:rPr>
        <w:t xml:space="preserve"> </w:t>
      </w:r>
      <w:r w:rsidR="00157C28">
        <w:rPr>
          <w:rFonts w:ascii="Arial" w:hAnsi="Arial" w:cs="Arial"/>
          <w:bCs/>
          <w:sz w:val="20"/>
          <w:szCs w:val="20"/>
        </w:rPr>
        <w:t>i</w:t>
      </w:r>
      <w:r>
        <w:rPr>
          <w:rFonts w:ascii="Arial" w:hAnsi="Arial" w:cs="Arial"/>
          <w:bCs/>
          <w:sz w:val="20"/>
          <w:szCs w:val="20"/>
        </w:rPr>
        <w:t xml:space="preserve">nstitutional SME </w:t>
      </w:r>
      <w:r w:rsidR="00157C28">
        <w:rPr>
          <w:rFonts w:ascii="Arial" w:hAnsi="Arial" w:cs="Arial"/>
          <w:bCs/>
          <w:sz w:val="20"/>
          <w:szCs w:val="20"/>
        </w:rPr>
        <w:t xml:space="preserve">investors </w:t>
      </w:r>
      <w:r>
        <w:rPr>
          <w:rFonts w:ascii="Arial" w:hAnsi="Arial" w:cs="Arial"/>
          <w:bCs/>
          <w:sz w:val="20"/>
          <w:szCs w:val="20"/>
        </w:rPr>
        <w:t xml:space="preserve">considered that GEM’s listing eligibility requirements were already low compared to peer exchanges. </w:t>
      </w:r>
      <w:r w:rsidR="00D10060">
        <w:rPr>
          <w:rFonts w:ascii="Arial" w:hAnsi="Arial" w:cs="Arial"/>
          <w:bCs/>
          <w:sz w:val="20"/>
          <w:szCs w:val="20"/>
        </w:rPr>
        <w:t>Some</w:t>
      </w:r>
      <w:r w:rsidR="00CB6035">
        <w:rPr>
          <w:rFonts w:ascii="Arial" w:hAnsi="Arial" w:cs="Arial"/>
          <w:bCs/>
          <w:sz w:val="20"/>
          <w:szCs w:val="20"/>
        </w:rPr>
        <w:t xml:space="preserve"> stakeholders and Mainland </w:t>
      </w:r>
      <w:r w:rsidR="00157C28">
        <w:rPr>
          <w:rFonts w:ascii="Arial" w:hAnsi="Arial" w:cs="Arial"/>
          <w:bCs/>
          <w:sz w:val="20"/>
          <w:szCs w:val="20"/>
        </w:rPr>
        <w:t>i</w:t>
      </w:r>
      <w:r w:rsidR="00CB6035">
        <w:rPr>
          <w:rFonts w:ascii="Arial" w:hAnsi="Arial" w:cs="Arial"/>
          <w:bCs/>
          <w:sz w:val="20"/>
          <w:szCs w:val="20"/>
        </w:rPr>
        <w:t>nstitutional SME investors</w:t>
      </w:r>
      <w:r w:rsidR="00D10060">
        <w:rPr>
          <w:rFonts w:ascii="Arial" w:hAnsi="Arial" w:cs="Arial"/>
          <w:bCs/>
          <w:sz w:val="20"/>
          <w:szCs w:val="20"/>
        </w:rPr>
        <w:t xml:space="preserve"> also raised concerns relating to</w:t>
      </w:r>
      <w:r w:rsidR="00CB6035">
        <w:rPr>
          <w:rFonts w:ascii="Arial" w:hAnsi="Arial" w:cs="Arial"/>
          <w:bCs/>
          <w:sz w:val="20"/>
          <w:szCs w:val="20"/>
        </w:rPr>
        <w:t xml:space="preserve"> the continuing obligations of GEM issuers</w:t>
      </w:r>
      <w:r w:rsidR="00D10060">
        <w:rPr>
          <w:rFonts w:ascii="Arial" w:hAnsi="Arial" w:cs="Arial"/>
          <w:bCs/>
          <w:sz w:val="20"/>
          <w:szCs w:val="20"/>
        </w:rPr>
        <w:t>.</w:t>
      </w:r>
      <w:r w:rsidR="00CB6035">
        <w:rPr>
          <w:rFonts w:ascii="Arial" w:hAnsi="Arial" w:cs="Arial"/>
          <w:bCs/>
          <w:sz w:val="20"/>
          <w:szCs w:val="20"/>
        </w:rPr>
        <w:t xml:space="preserve"> </w:t>
      </w:r>
      <w:r w:rsidR="00D10060">
        <w:rPr>
          <w:rFonts w:ascii="Arial" w:hAnsi="Arial" w:cs="Arial"/>
          <w:bCs/>
          <w:sz w:val="20"/>
          <w:szCs w:val="20"/>
        </w:rPr>
        <w:t xml:space="preserve">The HKEX received </w:t>
      </w:r>
      <w:r w:rsidR="00CB6035">
        <w:rPr>
          <w:rFonts w:ascii="Arial" w:hAnsi="Arial" w:cs="Arial"/>
          <w:bCs/>
          <w:sz w:val="20"/>
          <w:szCs w:val="20"/>
        </w:rPr>
        <w:t>requests</w:t>
      </w:r>
      <w:r w:rsidR="00D10060">
        <w:rPr>
          <w:rFonts w:ascii="Arial" w:hAnsi="Arial" w:cs="Arial"/>
          <w:bCs/>
          <w:sz w:val="20"/>
          <w:szCs w:val="20"/>
        </w:rPr>
        <w:t xml:space="preserve"> from respondents</w:t>
      </w:r>
      <w:r w:rsidR="00CB6035">
        <w:rPr>
          <w:rFonts w:ascii="Arial" w:hAnsi="Arial" w:cs="Arial"/>
          <w:bCs/>
          <w:sz w:val="20"/>
          <w:szCs w:val="20"/>
        </w:rPr>
        <w:t xml:space="preserve"> to reinstate the streamlined mechanism for transfer of listing from GEM to the Main Board </w:t>
      </w:r>
      <w:r w:rsidR="00D10060">
        <w:rPr>
          <w:rFonts w:ascii="Arial" w:hAnsi="Arial" w:cs="Arial"/>
          <w:bCs/>
          <w:sz w:val="20"/>
          <w:szCs w:val="20"/>
        </w:rPr>
        <w:t>given their</w:t>
      </w:r>
      <w:r w:rsidR="00CB6035">
        <w:rPr>
          <w:rFonts w:ascii="Arial" w:hAnsi="Arial" w:cs="Arial"/>
          <w:bCs/>
          <w:sz w:val="20"/>
          <w:szCs w:val="20"/>
        </w:rPr>
        <w:t xml:space="preserve"> concerns that the cost of listing on GEM (in terms of listing expenses, process of listing and compliance costs) </w:t>
      </w:r>
      <w:r w:rsidR="00CA4F87">
        <w:rPr>
          <w:rFonts w:ascii="Arial" w:hAnsi="Arial" w:cs="Arial"/>
          <w:bCs/>
          <w:sz w:val="20"/>
          <w:szCs w:val="20"/>
        </w:rPr>
        <w:t xml:space="preserve">is </w:t>
      </w:r>
      <w:r w:rsidR="00CB6035">
        <w:rPr>
          <w:rFonts w:ascii="Arial" w:hAnsi="Arial" w:cs="Arial"/>
          <w:bCs/>
          <w:sz w:val="20"/>
          <w:szCs w:val="20"/>
        </w:rPr>
        <w:t>particularly high for SMEs relative to the funds raised at listing</w:t>
      </w:r>
      <w:r w:rsidR="00CB6035" w:rsidRPr="00157C28">
        <w:rPr>
          <w:rFonts w:ascii="Arial" w:hAnsi="Arial" w:cs="Arial"/>
          <w:bCs/>
          <w:sz w:val="20"/>
          <w:szCs w:val="20"/>
        </w:rPr>
        <w:t>.</w:t>
      </w:r>
    </w:p>
    <w:p w:rsidR="00CB6035" w:rsidRDefault="00CB6035" w:rsidP="00977475">
      <w:pPr>
        <w:snapToGrid w:val="0"/>
        <w:spacing w:after="0" w:line="240" w:lineRule="auto"/>
        <w:jc w:val="both"/>
        <w:rPr>
          <w:rFonts w:ascii="Arial" w:hAnsi="Arial" w:cs="Arial"/>
          <w:bCs/>
          <w:sz w:val="20"/>
          <w:szCs w:val="20"/>
        </w:rPr>
      </w:pPr>
    </w:p>
    <w:p w:rsidR="00CB6035" w:rsidRDefault="0073243B" w:rsidP="00977475">
      <w:pPr>
        <w:snapToGrid w:val="0"/>
        <w:spacing w:after="0" w:line="240" w:lineRule="auto"/>
        <w:jc w:val="both"/>
        <w:rPr>
          <w:rFonts w:ascii="Arial" w:hAnsi="Arial" w:cs="Arial"/>
          <w:bCs/>
          <w:sz w:val="20"/>
          <w:szCs w:val="20"/>
        </w:rPr>
      </w:pPr>
      <w:r>
        <w:rPr>
          <w:rFonts w:ascii="Arial" w:hAnsi="Arial" w:cs="Arial"/>
          <w:bCs/>
          <w:sz w:val="20"/>
          <w:szCs w:val="20"/>
        </w:rPr>
        <w:t>The GEM reforms set out in the Consultat</w:t>
      </w:r>
      <w:r w:rsidR="00CA4F87">
        <w:rPr>
          <w:rFonts w:ascii="Arial" w:hAnsi="Arial" w:cs="Arial"/>
          <w:bCs/>
          <w:sz w:val="20"/>
          <w:szCs w:val="20"/>
        </w:rPr>
        <w:t>ion</w:t>
      </w:r>
      <w:r>
        <w:rPr>
          <w:rFonts w:ascii="Arial" w:hAnsi="Arial" w:cs="Arial"/>
          <w:bCs/>
          <w:sz w:val="20"/>
          <w:szCs w:val="20"/>
        </w:rPr>
        <w:t xml:space="preserve"> Paper have been developed by the HKEX to address the key issues identified during th</w:t>
      </w:r>
      <w:r w:rsidR="00CA4F87">
        <w:rPr>
          <w:rFonts w:ascii="Arial" w:hAnsi="Arial" w:cs="Arial"/>
          <w:bCs/>
          <w:sz w:val="20"/>
          <w:szCs w:val="20"/>
        </w:rPr>
        <w:t>e</w:t>
      </w:r>
      <w:r>
        <w:rPr>
          <w:rFonts w:ascii="Arial" w:hAnsi="Arial" w:cs="Arial"/>
          <w:bCs/>
          <w:sz w:val="20"/>
          <w:szCs w:val="20"/>
        </w:rPr>
        <w:t xml:space="preserve"> stakeholder engagement</w:t>
      </w:r>
      <w:r w:rsidR="00C85E9A">
        <w:rPr>
          <w:rFonts w:ascii="Arial" w:hAnsi="Arial" w:cs="Arial"/>
          <w:bCs/>
          <w:sz w:val="20"/>
          <w:szCs w:val="20"/>
        </w:rPr>
        <w:t xml:space="preserve"> described above</w:t>
      </w:r>
      <w:r>
        <w:rPr>
          <w:rFonts w:ascii="Arial" w:hAnsi="Arial" w:cs="Arial"/>
          <w:bCs/>
          <w:sz w:val="20"/>
          <w:szCs w:val="20"/>
        </w:rPr>
        <w:t>.</w:t>
      </w:r>
    </w:p>
    <w:p w:rsidR="0073243B" w:rsidRDefault="0073243B" w:rsidP="00977475">
      <w:pPr>
        <w:snapToGrid w:val="0"/>
        <w:spacing w:after="0" w:line="240" w:lineRule="auto"/>
        <w:jc w:val="both"/>
        <w:rPr>
          <w:rFonts w:ascii="Arial" w:hAnsi="Arial" w:cs="Arial"/>
          <w:bCs/>
          <w:sz w:val="20"/>
          <w:szCs w:val="20"/>
        </w:rPr>
      </w:pPr>
    </w:p>
    <w:p w:rsidR="0073243B" w:rsidRPr="00B7078B" w:rsidRDefault="00C85E9A" w:rsidP="00977475">
      <w:pPr>
        <w:snapToGrid w:val="0"/>
        <w:spacing w:after="0" w:line="240" w:lineRule="auto"/>
        <w:jc w:val="both"/>
        <w:rPr>
          <w:rFonts w:ascii="Arial" w:hAnsi="Arial" w:cs="Arial"/>
          <w:b/>
          <w:bCs/>
          <w:color w:val="FF0000"/>
          <w:sz w:val="20"/>
          <w:szCs w:val="20"/>
          <w:lang w:eastAsia="zh-TW"/>
        </w:rPr>
      </w:pPr>
      <w:r>
        <w:rPr>
          <w:rFonts w:ascii="Arial" w:hAnsi="Arial" w:cs="Arial"/>
          <w:b/>
          <w:bCs/>
          <w:color w:val="FF0000"/>
          <w:sz w:val="20"/>
          <w:szCs w:val="20"/>
          <w:lang w:eastAsia="zh-TW"/>
        </w:rPr>
        <w:t xml:space="preserve">Proposed amendments to </w:t>
      </w:r>
      <w:r w:rsidR="00B7078B" w:rsidRPr="00B7078B">
        <w:rPr>
          <w:rFonts w:ascii="Arial" w:hAnsi="Arial" w:cs="Arial"/>
          <w:b/>
          <w:bCs/>
          <w:color w:val="FF0000"/>
          <w:sz w:val="20"/>
          <w:szCs w:val="20"/>
          <w:lang w:eastAsia="zh-TW"/>
        </w:rPr>
        <w:t>GEM Listing Rule</w:t>
      </w:r>
      <w:r>
        <w:rPr>
          <w:rFonts w:ascii="Arial" w:hAnsi="Arial" w:cs="Arial"/>
          <w:b/>
          <w:bCs/>
          <w:color w:val="FF0000"/>
          <w:sz w:val="20"/>
          <w:szCs w:val="20"/>
          <w:lang w:eastAsia="zh-TW"/>
        </w:rPr>
        <w:t>s</w:t>
      </w:r>
      <w:r w:rsidR="00B7078B" w:rsidRPr="00B7078B">
        <w:rPr>
          <w:rFonts w:ascii="Arial" w:hAnsi="Arial" w:cs="Arial"/>
          <w:b/>
          <w:bCs/>
          <w:color w:val="FF0000"/>
          <w:sz w:val="20"/>
          <w:szCs w:val="20"/>
          <w:lang w:eastAsia="zh-TW"/>
        </w:rPr>
        <w:t xml:space="preserve"> </w:t>
      </w:r>
      <w:r w:rsidR="00D84F6A">
        <w:rPr>
          <w:rFonts w:ascii="Arial" w:hAnsi="Arial" w:cs="Arial"/>
          <w:b/>
          <w:bCs/>
          <w:color w:val="FF0000"/>
          <w:sz w:val="20"/>
          <w:szCs w:val="20"/>
          <w:lang w:eastAsia="zh-TW"/>
        </w:rPr>
        <w:t>and GEM Reforms</w:t>
      </w:r>
    </w:p>
    <w:p w:rsidR="00CE4C4B" w:rsidRDefault="00CE4C4B" w:rsidP="00977475">
      <w:pPr>
        <w:snapToGrid w:val="0"/>
        <w:spacing w:after="0" w:line="240" w:lineRule="auto"/>
        <w:jc w:val="both"/>
        <w:rPr>
          <w:rFonts w:ascii="Arial" w:hAnsi="Arial" w:cs="Arial"/>
          <w:bCs/>
          <w:sz w:val="20"/>
          <w:szCs w:val="20"/>
        </w:rPr>
      </w:pPr>
    </w:p>
    <w:p w:rsidR="0014686F" w:rsidRDefault="00B7078B" w:rsidP="005E58D7">
      <w:p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 xml:space="preserve">The Consultation Paper sets out the following GEM reform proposals through amendments to the GEM Listing Rules which </w:t>
      </w:r>
      <w:r w:rsidR="00CA4F87">
        <w:rPr>
          <w:rFonts w:ascii="Arial" w:hAnsi="Arial" w:cs="Arial"/>
          <w:bCs/>
          <w:sz w:val="20"/>
          <w:szCs w:val="20"/>
          <w:lang w:eastAsia="zh-TW"/>
        </w:rPr>
        <w:t xml:space="preserve">are </w:t>
      </w:r>
      <w:r>
        <w:rPr>
          <w:rFonts w:ascii="Arial" w:hAnsi="Arial" w:cs="Arial"/>
          <w:bCs/>
          <w:sz w:val="20"/>
          <w:szCs w:val="20"/>
          <w:lang w:eastAsia="zh-TW"/>
        </w:rPr>
        <w:t>subject to public consultation.</w:t>
      </w:r>
    </w:p>
    <w:p w:rsidR="00B7078B" w:rsidRDefault="00B7078B" w:rsidP="005E58D7">
      <w:pPr>
        <w:snapToGrid w:val="0"/>
        <w:spacing w:after="0" w:line="240" w:lineRule="auto"/>
        <w:jc w:val="both"/>
        <w:rPr>
          <w:rFonts w:ascii="Arial" w:hAnsi="Arial" w:cs="Arial"/>
          <w:bCs/>
          <w:sz w:val="20"/>
          <w:szCs w:val="20"/>
          <w:lang w:eastAsia="zh-TW"/>
        </w:rPr>
      </w:pPr>
    </w:p>
    <w:p w:rsidR="00130222" w:rsidRPr="00130222" w:rsidRDefault="00130222" w:rsidP="00130222">
      <w:pPr>
        <w:pStyle w:val="a4"/>
        <w:numPr>
          <w:ilvl w:val="0"/>
          <w:numId w:val="30"/>
        </w:numPr>
        <w:snapToGrid w:val="0"/>
        <w:spacing w:after="0" w:line="240" w:lineRule="auto"/>
        <w:ind w:left="709"/>
        <w:jc w:val="both"/>
        <w:rPr>
          <w:rFonts w:ascii="Arial" w:hAnsi="Arial" w:cs="Arial"/>
          <w:b/>
          <w:bCs/>
          <w:sz w:val="20"/>
          <w:szCs w:val="20"/>
          <w:lang w:eastAsia="zh-TW"/>
        </w:rPr>
      </w:pPr>
      <w:r w:rsidRPr="00130222">
        <w:rPr>
          <w:rFonts w:ascii="Arial" w:hAnsi="Arial" w:cs="Arial"/>
          <w:b/>
          <w:bCs/>
          <w:sz w:val="20"/>
          <w:szCs w:val="20"/>
          <w:lang w:eastAsia="zh-TW"/>
        </w:rPr>
        <w:lastRenderedPageBreak/>
        <w:t>INITIAL LISTING REQUIR</w:t>
      </w:r>
      <w:r w:rsidR="002B7C63">
        <w:rPr>
          <w:rFonts w:ascii="Arial" w:hAnsi="Arial" w:cs="Arial"/>
          <w:b/>
          <w:bCs/>
          <w:sz w:val="20"/>
          <w:szCs w:val="20"/>
          <w:lang w:eastAsia="zh-TW"/>
        </w:rPr>
        <w:t>E</w:t>
      </w:r>
      <w:r w:rsidRPr="00130222">
        <w:rPr>
          <w:rFonts w:ascii="Arial" w:hAnsi="Arial" w:cs="Arial"/>
          <w:b/>
          <w:bCs/>
          <w:sz w:val="20"/>
          <w:szCs w:val="20"/>
          <w:lang w:eastAsia="zh-TW"/>
        </w:rPr>
        <w:t>MENTS</w:t>
      </w:r>
    </w:p>
    <w:p w:rsidR="00130222" w:rsidRDefault="00130222" w:rsidP="005E58D7">
      <w:pPr>
        <w:snapToGrid w:val="0"/>
        <w:spacing w:after="0" w:line="240" w:lineRule="auto"/>
        <w:jc w:val="both"/>
        <w:rPr>
          <w:rFonts w:ascii="Arial" w:hAnsi="Arial" w:cs="Arial"/>
          <w:bCs/>
          <w:sz w:val="20"/>
          <w:szCs w:val="20"/>
          <w:lang w:eastAsia="zh-TW"/>
        </w:rPr>
      </w:pPr>
    </w:p>
    <w:p w:rsidR="00B7078B" w:rsidRPr="00FA15C4" w:rsidRDefault="00A3545A" w:rsidP="00130222">
      <w:pPr>
        <w:snapToGrid w:val="0"/>
        <w:spacing w:after="0" w:line="240" w:lineRule="auto"/>
        <w:ind w:left="709"/>
        <w:jc w:val="both"/>
        <w:rPr>
          <w:rFonts w:ascii="Arial" w:hAnsi="Arial" w:cs="Arial"/>
          <w:b/>
          <w:bCs/>
          <w:sz w:val="20"/>
          <w:szCs w:val="20"/>
          <w:lang w:eastAsia="zh-TW"/>
        </w:rPr>
      </w:pPr>
      <w:r>
        <w:rPr>
          <w:rFonts w:ascii="Arial" w:hAnsi="Arial" w:cs="Arial"/>
          <w:b/>
          <w:bCs/>
          <w:sz w:val="20"/>
          <w:szCs w:val="20"/>
          <w:lang w:eastAsia="zh-TW"/>
        </w:rPr>
        <w:t xml:space="preserve">Proposed </w:t>
      </w:r>
      <w:r w:rsidR="00F0050F">
        <w:rPr>
          <w:rFonts w:ascii="Arial" w:hAnsi="Arial" w:cs="Arial"/>
          <w:b/>
          <w:bCs/>
          <w:sz w:val="20"/>
          <w:szCs w:val="20"/>
          <w:lang w:eastAsia="zh-TW"/>
        </w:rPr>
        <w:t>new alternative financial eligibility test for GEM listing</w:t>
      </w:r>
    </w:p>
    <w:p w:rsidR="00FA15C4" w:rsidRDefault="00FA15C4" w:rsidP="005E58D7">
      <w:pPr>
        <w:snapToGrid w:val="0"/>
        <w:spacing w:after="0" w:line="240" w:lineRule="auto"/>
        <w:jc w:val="both"/>
        <w:rPr>
          <w:rFonts w:ascii="Arial" w:hAnsi="Arial" w:cs="Arial"/>
          <w:bCs/>
          <w:sz w:val="20"/>
          <w:szCs w:val="20"/>
          <w:lang w:eastAsia="zh-TW"/>
        </w:rPr>
      </w:pPr>
    </w:p>
    <w:p w:rsidR="001D352A" w:rsidRDefault="001D352A" w:rsidP="00130222">
      <w:pPr>
        <w:snapToGrid w:val="0"/>
        <w:spacing w:after="0" w:line="240" w:lineRule="auto"/>
        <w:ind w:left="709"/>
        <w:jc w:val="both"/>
        <w:rPr>
          <w:rFonts w:ascii="Arial" w:hAnsi="Arial" w:cs="Arial"/>
          <w:bCs/>
          <w:sz w:val="20"/>
          <w:szCs w:val="20"/>
          <w:lang w:eastAsia="zh-TW"/>
        </w:rPr>
      </w:pPr>
      <w:r w:rsidRPr="001D352A">
        <w:rPr>
          <w:rFonts w:ascii="Arial" w:hAnsi="Arial" w:cs="Arial"/>
          <w:bCs/>
          <w:sz w:val="20"/>
          <w:szCs w:val="20"/>
          <w:lang w:eastAsia="zh-TW"/>
        </w:rPr>
        <w:t xml:space="preserve">GEM's current minimum market </w:t>
      </w:r>
      <w:proofErr w:type="spellStart"/>
      <w:r w:rsidRPr="001D352A">
        <w:rPr>
          <w:rFonts w:ascii="Arial" w:hAnsi="Arial" w:cs="Arial"/>
          <w:bCs/>
          <w:sz w:val="20"/>
          <w:szCs w:val="20"/>
          <w:lang w:eastAsia="zh-TW"/>
        </w:rPr>
        <w:t>capitali</w:t>
      </w:r>
      <w:r>
        <w:rPr>
          <w:rFonts w:ascii="Arial" w:hAnsi="Arial" w:cs="Arial"/>
          <w:bCs/>
          <w:sz w:val="20"/>
          <w:szCs w:val="20"/>
          <w:lang w:eastAsia="zh-TW"/>
        </w:rPr>
        <w:t>s</w:t>
      </w:r>
      <w:r w:rsidRPr="001D352A">
        <w:rPr>
          <w:rFonts w:ascii="Arial" w:hAnsi="Arial" w:cs="Arial"/>
          <w:bCs/>
          <w:sz w:val="20"/>
          <w:szCs w:val="20"/>
          <w:lang w:eastAsia="zh-TW"/>
        </w:rPr>
        <w:t>ation</w:t>
      </w:r>
      <w:proofErr w:type="spellEnd"/>
      <w:r w:rsidRPr="001D352A">
        <w:rPr>
          <w:rFonts w:ascii="Arial" w:hAnsi="Arial" w:cs="Arial"/>
          <w:bCs/>
          <w:sz w:val="20"/>
          <w:szCs w:val="20"/>
          <w:lang w:eastAsia="zh-TW"/>
        </w:rPr>
        <w:t xml:space="preserve"> test is </w:t>
      </w:r>
      <w:r w:rsidR="00FB37A4">
        <w:rPr>
          <w:rFonts w:ascii="Arial" w:hAnsi="Arial" w:cs="Arial"/>
          <w:bCs/>
          <w:sz w:val="20"/>
          <w:szCs w:val="20"/>
          <w:lang w:eastAsia="zh-TW"/>
        </w:rPr>
        <w:t xml:space="preserve">one of the factors which the HKEX </w:t>
      </w:r>
      <w:r w:rsidRPr="001D352A">
        <w:rPr>
          <w:rFonts w:ascii="Arial" w:hAnsi="Arial" w:cs="Arial"/>
          <w:bCs/>
          <w:sz w:val="20"/>
          <w:szCs w:val="20"/>
          <w:lang w:eastAsia="zh-TW"/>
        </w:rPr>
        <w:t>use</w:t>
      </w:r>
      <w:r w:rsidR="00FB37A4">
        <w:rPr>
          <w:rFonts w:ascii="Arial" w:hAnsi="Arial" w:cs="Arial"/>
          <w:bCs/>
          <w:sz w:val="20"/>
          <w:szCs w:val="20"/>
          <w:lang w:eastAsia="zh-TW"/>
        </w:rPr>
        <w:t>s</w:t>
      </w:r>
      <w:r w:rsidRPr="001D352A">
        <w:rPr>
          <w:rFonts w:ascii="Arial" w:hAnsi="Arial" w:cs="Arial"/>
          <w:bCs/>
          <w:sz w:val="20"/>
          <w:szCs w:val="20"/>
          <w:lang w:eastAsia="zh-TW"/>
        </w:rPr>
        <w:t xml:space="preserve"> </w:t>
      </w:r>
      <w:r w:rsidR="00FB37A4">
        <w:rPr>
          <w:rFonts w:ascii="Arial" w:hAnsi="Arial" w:cs="Arial"/>
          <w:bCs/>
          <w:sz w:val="20"/>
          <w:szCs w:val="20"/>
          <w:lang w:eastAsia="zh-TW"/>
        </w:rPr>
        <w:t>as an indicator o</w:t>
      </w:r>
      <w:r w:rsidR="00CA4F87">
        <w:rPr>
          <w:rFonts w:ascii="Arial" w:hAnsi="Arial" w:cs="Arial"/>
          <w:bCs/>
          <w:sz w:val="20"/>
          <w:szCs w:val="20"/>
          <w:lang w:eastAsia="zh-TW"/>
        </w:rPr>
        <w:t>f</w:t>
      </w:r>
      <w:r w:rsidR="00FB37A4">
        <w:rPr>
          <w:rFonts w:ascii="Arial" w:hAnsi="Arial" w:cs="Arial"/>
          <w:bCs/>
          <w:sz w:val="20"/>
          <w:szCs w:val="20"/>
          <w:lang w:eastAsia="zh-TW"/>
        </w:rPr>
        <w:t xml:space="preserve"> sufficiency of </w:t>
      </w:r>
      <w:r w:rsidRPr="001D352A">
        <w:rPr>
          <w:rFonts w:ascii="Arial" w:hAnsi="Arial" w:cs="Arial"/>
          <w:bCs/>
          <w:sz w:val="20"/>
          <w:szCs w:val="20"/>
          <w:lang w:eastAsia="zh-TW"/>
        </w:rPr>
        <w:t>investor interest in the trading of a</w:t>
      </w:r>
      <w:r w:rsidR="00FB37A4">
        <w:rPr>
          <w:rFonts w:ascii="Arial" w:hAnsi="Arial" w:cs="Arial"/>
          <w:bCs/>
          <w:sz w:val="20"/>
          <w:szCs w:val="20"/>
          <w:lang w:eastAsia="zh-TW"/>
        </w:rPr>
        <w:t xml:space="preserve"> listing applicant</w:t>
      </w:r>
      <w:r w:rsidRPr="001D352A">
        <w:rPr>
          <w:rFonts w:ascii="Arial" w:hAnsi="Arial" w:cs="Arial"/>
          <w:bCs/>
          <w:sz w:val="20"/>
          <w:szCs w:val="20"/>
          <w:lang w:eastAsia="zh-TW"/>
        </w:rPr>
        <w:t xml:space="preserve">'s shares upon </w:t>
      </w:r>
      <w:r w:rsidR="00FB37A4">
        <w:rPr>
          <w:rFonts w:ascii="Arial" w:hAnsi="Arial" w:cs="Arial"/>
          <w:bCs/>
          <w:sz w:val="20"/>
          <w:szCs w:val="20"/>
          <w:lang w:eastAsia="zh-TW"/>
        </w:rPr>
        <w:t xml:space="preserve">its </w:t>
      </w:r>
      <w:r w:rsidRPr="001D352A">
        <w:rPr>
          <w:rFonts w:ascii="Arial" w:hAnsi="Arial" w:cs="Arial"/>
          <w:bCs/>
          <w:sz w:val="20"/>
          <w:szCs w:val="20"/>
          <w:lang w:eastAsia="zh-TW"/>
        </w:rPr>
        <w:t xml:space="preserve">listing. </w:t>
      </w:r>
      <w:r w:rsidR="00FB37A4">
        <w:rPr>
          <w:rFonts w:ascii="Arial" w:hAnsi="Arial" w:cs="Arial"/>
          <w:bCs/>
          <w:sz w:val="20"/>
          <w:szCs w:val="20"/>
          <w:lang w:eastAsia="zh-TW"/>
        </w:rPr>
        <w:t>The requirement for a listing</w:t>
      </w:r>
      <w:r w:rsidRPr="001D352A">
        <w:rPr>
          <w:rFonts w:ascii="Arial" w:hAnsi="Arial" w:cs="Arial"/>
          <w:bCs/>
          <w:sz w:val="20"/>
          <w:szCs w:val="20"/>
          <w:lang w:eastAsia="zh-TW"/>
        </w:rPr>
        <w:t xml:space="preserve"> applicant to demonstrate a track record of </w:t>
      </w:r>
      <w:r>
        <w:rPr>
          <w:rFonts w:ascii="Arial" w:hAnsi="Arial" w:cs="Arial"/>
          <w:bCs/>
          <w:sz w:val="20"/>
          <w:szCs w:val="20"/>
          <w:lang w:eastAsia="zh-TW"/>
        </w:rPr>
        <w:t xml:space="preserve">minimum </w:t>
      </w:r>
      <w:r w:rsidRPr="001D352A">
        <w:rPr>
          <w:rFonts w:ascii="Arial" w:hAnsi="Arial" w:cs="Arial"/>
          <w:bCs/>
          <w:sz w:val="20"/>
          <w:szCs w:val="20"/>
          <w:lang w:eastAsia="zh-TW"/>
        </w:rPr>
        <w:t>positive cash flow before listing</w:t>
      </w:r>
      <w:r w:rsidR="00FB37A4">
        <w:rPr>
          <w:rFonts w:ascii="Arial" w:hAnsi="Arial" w:cs="Arial"/>
          <w:bCs/>
          <w:sz w:val="20"/>
          <w:szCs w:val="20"/>
          <w:lang w:eastAsia="zh-TW"/>
        </w:rPr>
        <w:t xml:space="preserve"> is one of the criteria that the HKEX use</w:t>
      </w:r>
      <w:r w:rsidR="00CA4F87">
        <w:rPr>
          <w:rFonts w:ascii="Arial" w:hAnsi="Arial" w:cs="Arial"/>
          <w:bCs/>
          <w:sz w:val="20"/>
          <w:szCs w:val="20"/>
          <w:lang w:eastAsia="zh-TW"/>
        </w:rPr>
        <w:t>s</w:t>
      </w:r>
      <w:r w:rsidR="00FB37A4">
        <w:rPr>
          <w:rFonts w:ascii="Arial" w:hAnsi="Arial" w:cs="Arial"/>
          <w:bCs/>
          <w:sz w:val="20"/>
          <w:szCs w:val="20"/>
          <w:lang w:eastAsia="zh-TW"/>
        </w:rPr>
        <w:t xml:space="preserve"> to </w:t>
      </w:r>
      <w:r w:rsidRPr="001D352A">
        <w:rPr>
          <w:rFonts w:ascii="Arial" w:hAnsi="Arial" w:cs="Arial"/>
          <w:bCs/>
          <w:sz w:val="20"/>
          <w:szCs w:val="20"/>
          <w:lang w:eastAsia="zh-TW"/>
        </w:rPr>
        <w:t xml:space="preserve">assess the long-term sustainability of </w:t>
      </w:r>
      <w:r w:rsidR="00FB37A4">
        <w:rPr>
          <w:rFonts w:ascii="Arial" w:hAnsi="Arial" w:cs="Arial"/>
          <w:bCs/>
          <w:sz w:val="20"/>
          <w:szCs w:val="20"/>
          <w:lang w:eastAsia="zh-TW"/>
        </w:rPr>
        <w:t>its</w:t>
      </w:r>
      <w:r w:rsidRPr="001D352A">
        <w:rPr>
          <w:rFonts w:ascii="Arial" w:hAnsi="Arial" w:cs="Arial"/>
          <w:bCs/>
          <w:sz w:val="20"/>
          <w:szCs w:val="20"/>
          <w:lang w:eastAsia="zh-TW"/>
        </w:rPr>
        <w:t xml:space="preserve"> business. These </w:t>
      </w:r>
      <w:r w:rsidR="00FB37A4">
        <w:rPr>
          <w:rFonts w:ascii="Arial" w:hAnsi="Arial" w:cs="Arial"/>
          <w:bCs/>
          <w:sz w:val="20"/>
          <w:szCs w:val="20"/>
          <w:lang w:eastAsia="zh-TW"/>
        </w:rPr>
        <w:t xml:space="preserve">financial eligibility </w:t>
      </w:r>
      <w:r w:rsidRPr="001D352A">
        <w:rPr>
          <w:rFonts w:ascii="Arial" w:hAnsi="Arial" w:cs="Arial"/>
          <w:bCs/>
          <w:sz w:val="20"/>
          <w:szCs w:val="20"/>
          <w:lang w:eastAsia="zh-TW"/>
        </w:rPr>
        <w:t xml:space="preserve">tests aim to </w:t>
      </w:r>
      <w:r w:rsidR="00FB37A4">
        <w:rPr>
          <w:rFonts w:ascii="Arial" w:hAnsi="Arial" w:cs="Arial"/>
          <w:bCs/>
          <w:sz w:val="20"/>
          <w:szCs w:val="20"/>
          <w:lang w:eastAsia="zh-TW"/>
        </w:rPr>
        <w:t xml:space="preserve">ensure that the investing public have, and can </w:t>
      </w:r>
      <w:r w:rsidRPr="001D352A">
        <w:rPr>
          <w:rFonts w:ascii="Arial" w:hAnsi="Arial" w:cs="Arial"/>
          <w:bCs/>
          <w:sz w:val="20"/>
          <w:szCs w:val="20"/>
          <w:lang w:eastAsia="zh-TW"/>
        </w:rPr>
        <w:t>maintain</w:t>
      </w:r>
      <w:r w:rsidR="00FB37A4">
        <w:rPr>
          <w:rFonts w:ascii="Arial" w:hAnsi="Arial" w:cs="Arial"/>
          <w:bCs/>
          <w:sz w:val="20"/>
          <w:szCs w:val="20"/>
          <w:lang w:eastAsia="zh-TW"/>
        </w:rPr>
        <w:t>,</w:t>
      </w:r>
      <w:r w:rsidRPr="001D352A">
        <w:rPr>
          <w:rFonts w:ascii="Arial" w:hAnsi="Arial" w:cs="Arial"/>
          <w:bCs/>
          <w:sz w:val="20"/>
          <w:szCs w:val="20"/>
          <w:lang w:eastAsia="zh-TW"/>
        </w:rPr>
        <w:t xml:space="preserve"> confidence in GEM as a market. Compared to other</w:t>
      </w:r>
      <w:r>
        <w:rPr>
          <w:rFonts w:ascii="Arial" w:hAnsi="Arial" w:cs="Arial"/>
          <w:bCs/>
          <w:sz w:val="20"/>
          <w:szCs w:val="20"/>
          <w:lang w:eastAsia="zh-TW"/>
        </w:rPr>
        <w:t xml:space="preserve"> peer</w:t>
      </w:r>
      <w:r w:rsidRPr="001D352A">
        <w:rPr>
          <w:rFonts w:ascii="Arial" w:hAnsi="Arial" w:cs="Arial"/>
          <w:bCs/>
          <w:sz w:val="20"/>
          <w:szCs w:val="20"/>
          <w:lang w:eastAsia="zh-TW"/>
        </w:rPr>
        <w:t xml:space="preserve"> exchanges</w:t>
      </w:r>
      <w:r w:rsidR="00FB37A4">
        <w:rPr>
          <w:rFonts w:ascii="Arial" w:hAnsi="Arial" w:cs="Arial"/>
          <w:bCs/>
          <w:sz w:val="20"/>
          <w:szCs w:val="20"/>
          <w:lang w:eastAsia="zh-TW"/>
        </w:rPr>
        <w:t xml:space="preserve"> such as </w:t>
      </w:r>
      <w:r w:rsidR="00FB37A4" w:rsidRPr="001D352A">
        <w:rPr>
          <w:rFonts w:ascii="Arial" w:hAnsi="Arial" w:cs="Arial"/>
          <w:bCs/>
          <w:sz w:val="20"/>
          <w:szCs w:val="20"/>
          <w:lang w:eastAsia="zh-TW"/>
        </w:rPr>
        <w:t>BSE and Nasdaq Capital Market</w:t>
      </w:r>
      <w:r w:rsidR="00FB37A4">
        <w:rPr>
          <w:rFonts w:ascii="Arial" w:hAnsi="Arial" w:cs="Arial"/>
          <w:bCs/>
          <w:sz w:val="20"/>
          <w:szCs w:val="20"/>
          <w:lang w:eastAsia="zh-TW"/>
        </w:rPr>
        <w:t xml:space="preserve">, the HKEX considers that the </w:t>
      </w:r>
      <w:r w:rsidRPr="001D352A">
        <w:rPr>
          <w:rFonts w:ascii="Arial" w:hAnsi="Arial" w:cs="Arial"/>
          <w:bCs/>
          <w:sz w:val="20"/>
          <w:szCs w:val="20"/>
          <w:lang w:eastAsia="zh-TW"/>
        </w:rPr>
        <w:t>GEM's listing eligibility criteria are already relatively low</w:t>
      </w:r>
      <w:r w:rsidR="00FB37A4">
        <w:rPr>
          <w:rFonts w:ascii="Arial" w:hAnsi="Arial" w:cs="Arial"/>
          <w:bCs/>
          <w:sz w:val="20"/>
          <w:szCs w:val="20"/>
          <w:lang w:eastAsia="zh-TW"/>
        </w:rPr>
        <w:t xml:space="preserve"> (for example, without requirements to meet net profit and/or net asset thresholds)</w:t>
      </w:r>
      <w:r w:rsidRPr="001D352A">
        <w:rPr>
          <w:rFonts w:ascii="Arial" w:hAnsi="Arial" w:cs="Arial"/>
          <w:bCs/>
          <w:sz w:val="20"/>
          <w:szCs w:val="20"/>
          <w:lang w:eastAsia="zh-TW"/>
        </w:rPr>
        <w:t xml:space="preserve">. </w:t>
      </w:r>
    </w:p>
    <w:p w:rsidR="001D352A" w:rsidRDefault="001D352A" w:rsidP="005E58D7">
      <w:pPr>
        <w:snapToGrid w:val="0"/>
        <w:spacing w:after="0" w:line="240" w:lineRule="auto"/>
        <w:jc w:val="both"/>
        <w:rPr>
          <w:rFonts w:ascii="Arial" w:hAnsi="Arial" w:cs="Arial"/>
          <w:bCs/>
          <w:sz w:val="20"/>
          <w:szCs w:val="20"/>
          <w:lang w:eastAsia="zh-TW"/>
        </w:rPr>
      </w:pPr>
    </w:p>
    <w:p w:rsidR="00FA15C4" w:rsidRDefault="00FB37A4" w:rsidP="00130222">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w:t>
      </w:r>
      <w:r w:rsidR="001D352A">
        <w:rPr>
          <w:rFonts w:ascii="Arial" w:hAnsi="Arial" w:cs="Arial"/>
          <w:bCs/>
          <w:sz w:val="20"/>
          <w:szCs w:val="20"/>
          <w:lang w:eastAsia="zh-TW"/>
        </w:rPr>
        <w:t>he HKEX</w:t>
      </w:r>
      <w:r w:rsidR="001D352A" w:rsidRPr="001D352A">
        <w:rPr>
          <w:rFonts w:ascii="Arial" w:hAnsi="Arial" w:cs="Arial"/>
          <w:bCs/>
          <w:sz w:val="20"/>
          <w:szCs w:val="20"/>
          <w:lang w:eastAsia="zh-TW"/>
        </w:rPr>
        <w:t xml:space="preserve"> </w:t>
      </w:r>
      <w:r>
        <w:rPr>
          <w:rFonts w:ascii="Arial" w:hAnsi="Arial" w:cs="Arial"/>
          <w:bCs/>
          <w:sz w:val="20"/>
          <w:szCs w:val="20"/>
          <w:lang w:eastAsia="zh-TW"/>
        </w:rPr>
        <w:t>therefore</w:t>
      </w:r>
      <w:r w:rsidR="00151749">
        <w:rPr>
          <w:rFonts w:ascii="Arial" w:hAnsi="Arial" w:cs="Arial"/>
          <w:bCs/>
          <w:sz w:val="20"/>
          <w:szCs w:val="20"/>
          <w:lang w:eastAsia="zh-TW"/>
        </w:rPr>
        <w:t xml:space="preserve"> does not agree with stakeholder feedback that GEM’s financial eligibility </w:t>
      </w:r>
      <w:r w:rsidR="001D352A" w:rsidRPr="001D352A">
        <w:rPr>
          <w:rFonts w:ascii="Arial" w:hAnsi="Arial" w:cs="Arial"/>
          <w:bCs/>
          <w:sz w:val="20"/>
          <w:szCs w:val="20"/>
          <w:lang w:eastAsia="zh-TW"/>
        </w:rPr>
        <w:t xml:space="preserve">tests are </w:t>
      </w:r>
      <w:r w:rsidR="00151749">
        <w:rPr>
          <w:rFonts w:ascii="Arial" w:hAnsi="Arial" w:cs="Arial"/>
          <w:bCs/>
          <w:sz w:val="20"/>
          <w:szCs w:val="20"/>
          <w:lang w:eastAsia="zh-TW"/>
        </w:rPr>
        <w:t>un</w:t>
      </w:r>
      <w:r w:rsidR="001D352A" w:rsidRPr="001D352A">
        <w:rPr>
          <w:rFonts w:ascii="Arial" w:hAnsi="Arial" w:cs="Arial"/>
          <w:bCs/>
          <w:sz w:val="20"/>
          <w:szCs w:val="20"/>
          <w:lang w:eastAsia="zh-TW"/>
        </w:rPr>
        <w:t xml:space="preserve">competitive. However, </w:t>
      </w:r>
      <w:r w:rsidR="001D352A">
        <w:rPr>
          <w:rFonts w:ascii="Arial" w:hAnsi="Arial" w:cs="Arial"/>
          <w:bCs/>
          <w:sz w:val="20"/>
          <w:szCs w:val="20"/>
          <w:lang w:eastAsia="zh-TW"/>
        </w:rPr>
        <w:t>the HKEX</w:t>
      </w:r>
      <w:r w:rsidR="001D352A" w:rsidRPr="001D352A">
        <w:rPr>
          <w:rFonts w:ascii="Arial" w:hAnsi="Arial" w:cs="Arial"/>
          <w:bCs/>
          <w:sz w:val="20"/>
          <w:szCs w:val="20"/>
          <w:lang w:eastAsia="zh-TW"/>
        </w:rPr>
        <w:t xml:space="preserve"> acknowledge</w:t>
      </w:r>
      <w:r w:rsidR="00151749">
        <w:rPr>
          <w:rFonts w:ascii="Arial" w:hAnsi="Arial" w:cs="Arial"/>
          <w:bCs/>
          <w:sz w:val="20"/>
          <w:szCs w:val="20"/>
          <w:lang w:eastAsia="zh-TW"/>
        </w:rPr>
        <w:t>s</w:t>
      </w:r>
      <w:r w:rsidR="001D352A" w:rsidRPr="001D352A">
        <w:rPr>
          <w:rFonts w:ascii="Arial" w:hAnsi="Arial" w:cs="Arial"/>
          <w:bCs/>
          <w:sz w:val="20"/>
          <w:szCs w:val="20"/>
          <w:lang w:eastAsia="zh-TW"/>
        </w:rPr>
        <w:t xml:space="preserve"> that the cash flow requirement may hinder the listing of high-growth companies </w:t>
      </w:r>
      <w:r w:rsidR="00151749">
        <w:rPr>
          <w:rFonts w:ascii="Arial" w:hAnsi="Arial" w:cs="Arial"/>
          <w:bCs/>
          <w:sz w:val="20"/>
          <w:szCs w:val="20"/>
          <w:lang w:eastAsia="zh-TW"/>
        </w:rPr>
        <w:t xml:space="preserve">that are </w:t>
      </w:r>
      <w:r w:rsidR="001D352A" w:rsidRPr="001D352A">
        <w:rPr>
          <w:rFonts w:ascii="Arial" w:hAnsi="Arial" w:cs="Arial"/>
          <w:bCs/>
          <w:sz w:val="20"/>
          <w:szCs w:val="20"/>
          <w:lang w:eastAsia="zh-TW"/>
        </w:rPr>
        <w:t xml:space="preserve">heavily involved in </w:t>
      </w:r>
      <w:r w:rsidR="006C6B14">
        <w:rPr>
          <w:rFonts w:ascii="Arial" w:hAnsi="Arial" w:cs="Arial"/>
          <w:bCs/>
          <w:sz w:val="20"/>
          <w:szCs w:val="20"/>
          <w:lang w:eastAsia="zh-TW"/>
        </w:rPr>
        <w:t xml:space="preserve">R&amp;D. </w:t>
      </w:r>
      <w:r w:rsidR="001D352A" w:rsidRPr="001D352A">
        <w:rPr>
          <w:rFonts w:ascii="Arial" w:hAnsi="Arial" w:cs="Arial"/>
          <w:bCs/>
          <w:sz w:val="20"/>
          <w:szCs w:val="20"/>
          <w:lang w:eastAsia="zh-TW"/>
        </w:rPr>
        <w:t xml:space="preserve">Therefore, </w:t>
      </w:r>
      <w:r w:rsidR="001D352A">
        <w:rPr>
          <w:rFonts w:ascii="Arial" w:hAnsi="Arial" w:cs="Arial"/>
          <w:bCs/>
          <w:sz w:val="20"/>
          <w:szCs w:val="20"/>
          <w:lang w:eastAsia="zh-TW"/>
        </w:rPr>
        <w:t>the HKEX</w:t>
      </w:r>
      <w:r w:rsidR="001D352A" w:rsidRPr="001D352A">
        <w:rPr>
          <w:rFonts w:ascii="Arial" w:hAnsi="Arial" w:cs="Arial"/>
          <w:bCs/>
          <w:sz w:val="20"/>
          <w:szCs w:val="20"/>
          <w:lang w:eastAsia="zh-TW"/>
        </w:rPr>
        <w:t xml:space="preserve"> agree</w:t>
      </w:r>
      <w:r w:rsidR="001D352A">
        <w:rPr>
          <w:rFonts w:ascii="Arial" w:hAnsi="Arial" w:cs="Arial"/>
          <w:bCs/>
          <w:sz w:val="20"/>
          <w:szCs w:val="20"/>
          <w:lang w:eastAsia="zh-TW"/>
        </w:rPr>
        <w:t>s</w:t>
      </w:r>
      <w:r w:rsidR="001D352A" w:rsidRPr="001D352A">
        <w:rPr>
          <w:rFonts w:ascii="Arial" w:hAnsi="Arial" w:cs="Arial"/>
          <w:bCs/>
          <w:sz w:val="20"/>
          <w:szCs w:val="20"/>
          <w:lang w:eastAsia="zh-TW"/>
        </w:rPr>
        <w:t xml:space="preserve"> that a pathway to listing should be created specifically for </w:t>
      </w:r>
      <w:r w:rsidR="00AB60A0">
        <w:rPr>
          <w:rFonts w:ascii="Arial" w:hAnsi="Arial" w:cs="Arial"/>
          <w:bCs/>
          <w:sz w:val="20"/>
          <w:szCs w:val="20"/>
          <w:lang w:eastAsia="zh-TW"/>
        </w:rPr>
        <w:t xml:space="preserve">these </w:t>
      </w:r>
      <w:r w:rsidR="001D352A" w:rsidRPr="001D352A">
        <w:rPr>
          <w:rFonts w:ascii="Arial" w:hAnsi="Arial" w:cs="Arial"/>
          <w:bCs/>
          <w:sz w:val="20"/>
          <w:szCs w:val="20"/>
          <w:lang w:eastAsia="zh-TW"/>
        </w:rPr>
        <w:t xml:space="preserve">potential growth companies, particularly in the technology and research-driven sectors, which are increasingly driving economic growth in Hong Kong, the </w:t>
      </w:r>
      <w:r w:rsidR="001D352A">
        <w:rPr>
          <w:rFonts w:ascii="Arial" w:hAnsi="Arial" w:cs="Arial"/>
          <w:bCs/>
          <w:sz w:val="20"/>
          <w:szCs w:val="20"/>
          <w:lang w:eastAsia="zh-TW"/>
        </w:rPr>
        <w:t xml:space="preserve">Greater Bay Area </w:t>
      </w:r>
      <w:r w:rsidR="001D352A" w:rsidRPr="001D352A">
        <w:rPr>
          <w:rFonts w:ascii="Arial" w:hAnsi="Arial" w:cs="Arial"/>
          <w:bCs/>
          <w:sz w:val="20"/>
          <w:szCs w:val="20"/>
          <w:lang w:eastAsia="zh-TW"/>
        </w:rPr>
        <w:t>and beyond.</w:t>
      </w:r>
      <w:r w:rsidR="00CB0754">
        <w:rPr>
          <w:rFonts w:ascii="Arial" w:hAnsi="Arial" w:cs="Arial"/>
          <w:bCs/>
          <w:sz w:val="20"/>
          <w:szCs w:val="20"/>
          <w:lang w:eastAsia="zh-TW"/>
        </w:rPr>
        <w:t xml:space="preserve"> </w:t>
      </w:r>
      <w:r w:rsidR="00AB60A0">
        <w:rPr>
          <w:rFonts w:ascii="Arial" w:hAnsi="Arial" w:cs="Arial"/>
          <w:bCs/>
          <w:sz w:val="20"/>
          <w:szCs w:val="20"/>
          <w:lang w:eastAsia="zh-TW"/>
        </w:rPr>
        <w:t>The HKEX believes</w:t>
      </w:r>
      <w:r w:rsidR="00CB0754">
        <w:rPr>
          <w:rFonts w:ascii="Arial" w:hAnsi="Arial" w:cs="Arial"/>
          <w:bCs/>
          <w:sz w:val="20"/>
          <w:szCs w:val="20"/>
          <w:lang w:eastAsia="zh-TW"/>
        </w:rPr>
        <w:t xml:space="preserve"> that providing fund</w:t>
      </w:r>
      <w:r w:rsidR="00CA4F87">
        <w:rPr>
          <w:rFonts w:ascii="Arial" w:hAnsi="Arial" w:cs="Arial"/>
          <w:bCs/>
          <w:sz w:val="20"/>
          <w:szCs w:val="20"/>
          <w:lang w:eastAsia="zh-TW"/>
        </w:rPr>
        <w:t>-</w:t>
      </w:r>
      <w:r w:rsidR="00CB0754">
        <w:rPr>
          <w:rFonts w:ascii="Arial" w:hAnsi="Arial" w:cs="Arial"/>
          <w:bCs/>
          <w:sz w:val="20"/>
          <w:szCs w:val="20"/>
          <w:lang w:eastAsia="zh-TW"/>
        </w:rPr>
        <w:t>raising opportunities to these companies</w:t>
      </w:r>
      <w:r w:rsidR="00AB60A0">
        <w:rPr>
          <w:rFonts w:ascii="Arial" w:hAnsi="Arial" w:cs="Arial"/>
          <w:bCs/>
          <w:sz w:val="20"/>
          <w:szCs w:val="20"/>
          <w:lang w:eastAsia="zh-TW"/>
        </w:rPr>
        <w:t>,</w:t>
      </w:r>
      <w:r w:rsidR="00CB0754">
        <w:rPr>
          <w:rFonts w:ascii="Arial" w:hAnsi="Arial" w:cs="Arial"/>
          <w:bCs/>
          <w:sz w:val="20"/>
          <w:szCs w:val="20"/>
          <w:lang w:eastAsia="zh-TW"/>
        </w:rPr>
        <w:t xml:space="preserve"> given their growth potential</w:t>
      </w:r>
      <w:r w:rsidR="00CA4F87">
        <w:rPr>
          <w:rFonts w:ascii="Arial" w:hAnsi="Arial" w:cs="Arial"/>
          <w:bCs/>
          <w:sz w:val="20"/>
          <w:szCs w:val="20"/>
          <w:lang w:eastAsia="zh-TW"/>
        </w:rPr>
        <w:t>,</w:t>
      </w:r>
      <w:r w:rsidR="00CB0754">
        <w:rPr>
          <w:rFonts w:ascii="Arial" w:hAnsi="Arial" w:cs="Arial"/>
          <w:bCs/>
          <w:sz w:val="20"/>
          <w:szCs w:val="20"/>
          <w:lang w:eastAsia="zh-TW"/>
        </w:rPr>
        <w:t xml:space="preserve"> may offset </w:t>
      </w:r>
      <w:r w:rsidR="00CA4F87">
        <w:rPr>
          <w:rFonts w:ascii="Arial" w:hAnsi="Arial" w:cs="Arial"/>
          <w:bCs/>
          <w:sz w:val="20"/>
          <w:szCs w:val="20"/>
          <w:lang w:eastAsia="zh-TW"/>
        </w:rPr>
        <w:t xml:space="preserve">the </w:t>
      </w:r>
      <w:r w:rsidR="00CB0754">
        <w:rPr>
          <w:rFonts w:ascii="Arial" w:hAnsi="Arial" w:cs="Arial"/>
          <w:bCs/>
          <w:sz w:val="20"/>
          <w:szCs w:val="20"/>
          <w:lang w:eastAsia="zh-TW"/>
        </w:rPr>
        <w:t xml:space="preserve">additional risks of investing in small-cap companies. </w:t>
      </w:r>
    </w:p>
    <w:p w:rsidR="001D352A" w:rsidRDefault="001D352A" w:rsidP="005E58D7">
      <w:pPr>
        <w:snapToGrid w:val="0"/>
        <w:spacing w:after="0" w:line="240" w:lineRule="auto"/>
        <w:jc w:val="both"/>
        <w:rPr>
          <w:rFonts w:ascii="Arial" w:hAnsi="Arial" w:cs="Arial"/>
          <w:bCs/>
          <w:sz w:val="20"/>
          <w:szCs w:val="20"/>
          <w:lang w:eastAsia="zh-TW"/>
        </w:rPr>
      </w:pPr>
    </w:p>
    <w:p w:rsidR="001D352A" w:rsidRPr="001D352A" w:rsidRDefault="00D84F6A" w:rsidP="00130222">
      <w:pPr>
        <w:snapToGrid w:val="0"/>
        <w:spacing w:after="0" w:line="240" w:lineRule="auto"/>
        <w:ind w:left="709"/>
        <w:jc w:val="both"/>
        <w:rPr>
          <w:rFonts w:ascii="Arial" w:hAnsi="Arial" w:cs="Arial"/>
          <w:bCs/>
          <w:i/>
          <w:sz w:val="20"/>
          <w:szCs w:val="20"/>
          <w:lang w:eastAsia="zh-TW"/>
        </w:rPr>
      </w:pPr>
      <w:r>
        <w:rPr>
          <w:rFonts w:ascii="Arial" w:hAnsi="Arial" w:cs="Arial"/>
          <w:bCs/>
          <w:i/>
          <w:sz w:val="20"/>
          <w:szCs w:val="20"/>
          <w:lang w:eastAsia="zh-TW"/>
        </w:rPr>
        <w:t>Proposal</w:t>
      </w:r>
    </w:p>
    <w:p w:rsidR="001D352A" w:rsidRDefault="001D352A" w:rsidP="00130222">
      <w:pPr>
        <w:snapToGrid w:val="0"/>
        <w:spacing w:after="0" w:line="240" w:lineRule="auto"/>
        <w:ind w:left="709"/>
        <w:jc w:val="both"/>
        <w:rPr>
          <w:rFonts w:ascii="Arial" w:hAnsi="Arial" w:cs="Arial"/>
          <w:bCs/>
          <w:sz w:val="20"/>
          <w:szCs w:val="20"/>
          <w:lang w:eastAsia="zh-TW"/>
        </w:rPr>
      </w:pPr>
    </w:p>
    <w:p w:rsidR="001D352A" w:rsidRDefault="001D352A" w:rsidP="00130222">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The HKEX propose</w:t>
      </w:r>
      <w:r w:rsidR="00015F8B">
        <w:rPr>
          <w:rFonts w:ascii="Arial" w:hAnsi="Arial" w:cs="Arial"/>
          <w:bCs/>
          <w:sz w:val="20"/>
          <w:szCs w:val="20"/>
          <w:lang w:eastAsia="zh-TW"/>
        </w:rPr>
        <w:t>s</w:t>
      </w:r>
      <w:r>
        <w:rPr>
          <w:rFonts w:ascii="Arial" w:hAnsi="Arial" w:cs="Arial"/>
          <w:bCs/>
          <w:sz w:val="20"/>
          <w:szCs w:val="20"/>
          <w:lang w:eastAsia="zh-TW"/>
        </w:rPr>
        <w:t xml:space="preserve"> to introduce an alter</w:t>
      </w:r>
      <w:r w:rsidR="002B7C63">
        <w:rPr>
          <w:rFonts w:ascii="Arial" w:hAnsi="Arial" w:cs="Arial"/>
          <w:bCs/>
          <w:sz w:val="20"/>
          <w:szCs w:val="20"/>
          <w:lang w:eastAsia="zh-TW"/>
        </w:rPr>
        <w:t>n</w:t>
      </w:r>
      <w:r>
        <w:rPr>
          <w:rFonts w:ascii="Arial" w:hAnsi="Arial" w:cs="Arial"/>
          <w:bCs/>
          <w:sz w:val="20"/>
          <w:szCs w:val="20"/>
          <w:lang w:eastAsia="zh-TW"/>
        </w:rPr>
        <w:t>ative financial eligibility test (</w:t>
      </w:r>
      <w:r w:rsidRPr="001D352A">
        <w:rPr>
          <w:rFonts w:ascii="Arial" w:hAnsi="Arial" w:cs="Arial"/>
          <w:b/>
          <w:bCs/>
          <w:sz w:val="20"/>
          <w:szCs w:val="20"/>
          <w:lang w:eastAsia="zh-TW"/>
        </w:rPr>
        <w:t xml:space="preserve">Market </w:t>
      </w:r>
      <w:proofErr w:type="spellStart"/>
      <w:r w:rsidRPr="001D352A">
        <w:rPr>
          <w:rFonts w:ascii="Arial" w:hAnsi="Arial" w:cs="Arial"/>
          <w:b/>
          <w:bCs/>
          <w:sz w:val="20"/>
          <w:szCs w:val="20"/>
          <w:lang w:eastAsia="zh-TW"/>
        </w:rPr>
        <w:t>Capitalisation</w:t>
      </w:r>
      <w:proofErr w:type="spellEnd"/>
      <w:r w:rsidRPr="001D352A">
        <w:rPr>
          <w:rFonts w:ascii="Arial" w:hAnsi="Arial" w:cs="Arial"/>
          <w:b/>
          <w:bCs/>
          <w:sz w:val="20"/>
          <w:szCs w:val="20"/>
          <w:lang w:eastAsia="zh-TW"/>
        </w:rPr>
        <w:t xml:space="preserve"> / Revenue / R&amp;D Test</w:t>
      </w:r>
      <w:r>
        <w:rPr>
          <w:rFonts w:ascii="Arial" w:hAnsi="Arial" w:cs="Arial"/>
          <w:bCs/>
          <w:sz w:val="20"/>
          <w:szCs w:val="20"/>
          <w:lang w:eastAsia="zh-TW"/>
        </w:rPr>
        <w:t>) to target high-growth enterprises that are heavily engaged in R&amp;D activities.</w:t>
      </w:r>
      <w:r w:rsidR="006F3BAB">
        <w:rPr>
          <w:rFonts w:ascii="Arial" w:hAnsi="Arial" w:cs="Arial"/>
          <w:bCs/>
          <w:sz w:val="20"/>
          <w:szCs w:val="20"/>
          <w:lang w:eastAsia="zh-TW"/>
        </w:rPr>
        <w:t xml:space="preserve"> Under this new test, GEM listing applicants are required to have:</w:t>
      </w:r>
    </w:p>
    <w:p w:rsidR="006F3BAB" w:rsidRDefault="006F3BAB" w:rsidP="005E58D7">
      <w:pPr>
        <w:snapToGrid w:val="0"/>
        <w:spacing w:after="0" w:line="240" w:lineRule="auto"/>
        <w:jc w:val="both"/>
        <w:rPr>
          <w:rFonts w:ascii="Arial" w:hAnsi="Arial" w:cs="Arial"/>
          <w:bCs/>
          <w:sz w:val="20"/>
          <w:szCs w:val="20"/>
          <w:lang w:eastAsia="zh-TW"/>
        </w:rPr>
      </w:pPr>
    </w:p>
    <w:p w:rsidR="006F3BAB" w:rsidRDefault="006F3BAB" w:rsidP="00130222">
      <w:pPr>
        <w:pStyle w:val="a4"/>
        <w:numPr>
          <w:ilvl w:val="0"/>
          <w:numId w:val="24"/>
        </w:numPr>
        <w:snapToGrid w:val="0"/>
        <w:spacing w:after="0" w:line="240" w:lineRule="auto"/>
        <w:ind w:left="1418" w:hanging="720"/>
        <w:jc w:val="both"/>
        <w:rPr>
          <w:rFonts w:ascii="Arial" w:hAnsi="Arial" w:cs="Arial"/>
          <w:bCs/>
          <w:sz w:val="20"/>
          <w:szCs w:val="20"/>
          <w:lang w:eastAsia="zh-TW"/>
        </w:rPr>
      </w:pPr>
      <w:r w:rsidRPr="006F3BAB">
        <w:rPr>
          <w:rFonts w:ascii="Arial" w:hAnsi="Arial" w:cs="Arial"/>
          <w:bCs/>
          <w:sz w:val="20"/>
          <w:szCs w:val="20"/>
          <w:lang w:eastAsia="zh-TW"/>
        </w:rPr>
        <w:t xml:space="preserve">an adequate trading record of at least </w:t>
      </w:r>
      <w:r w:rsidR="00CA4F87">
        <w:rPr>
          <w:rFonts w:ascii="Arial" w:hAnsi="Arial" w:cs="Arial"/>
          <w:bCs/>
          <w:sz w:val="20"/>
          <w:szCs w:val="20"/>
          <w:lang w:eastAsia="zh-TW"/>
        </w:rPr>
        <w:t>two</w:t>
      </w:r>
      <w:r w:rsidRPr="006F3BAB">
        <w:rPr>
          <w:rFonts w:ascii="Arial" w:hAnsi="Arial" w:cs="Arial"/>
          <w:bCs/>
          <w:sz w:val="20"/>
          <w:szCs w:val="20"/>
          <w:lang w:eastAsia="zh-TW"/>
        </w:rPr>
        <w:t xml:space="preserve"> financial years</w:t>
      </w:r>
      <w:r w:rsidR="00151749">
        <w:rPr>
          <w:rFonts w:ascii="Arial" w:hAnsi="Arial" w:cs="Arial"/>
          <w:bCs/>
          <w:sz w:val="20"/>
          <w:szCs w:val="20"/>
          <w:lang w:eastAsia="zh-TW"/>
        </w:rPr>
        <w:t xml:space="preserve"> </w:t>
      </w:r>
      <w:r w:rsidR="00191489" w:rsidRPr="00191489">
        <w:rPr>
          <w:rFonts w:ascii="Arial" w:hAnsi="Arial" w:cs="Arial"/>
          <w:bCs/>
          <w:sz w:val="20"/>
          <w:szCs w:val="20"/>
          <w:lang w:eastAsia="zh-TW"/>
        </w:rPr>
        <w:t>(consistent with the existing requirement);</w:t>
      </w:r>
    </w:p>
    <w:p w:rsidR="006F3BAB" w:rsidRDefault="006F3BAB" w:rsidP="006F3BAB">
      <w:pPr>
        <w:pStyle w:val="a4"/>
        <w:snapToGrid w:val="0"/>
        <w:spacing w:after="0" w:line="240" w:lineRule="auto"/>
        <w:jc w:val="both"/>
        <w:rPr>
          <w:rFonts w:ascii="Arial" w:hAnsi="Arial" w:cs="Arial"/>
          <w:bCs/>
          <w:sz w:val="20"/>
          <w:szCs w:val="20"/>
          <w:lang w:eastAsia="zh-TW"/>
        </w:rPr>
      </w:pPr>
    </w:p>
    <w:p w:rsidR="006F3BAB" w:rsidRDefault="006F3BAB" w:rsidP="00130222">
      <w:pPr>
        <w:pStyle w:val="a4"/>
        <w:numPr>
          <w:ilvl w:val="0"/>
          <w:numId w:val="24"/>
        </w:numPr>
        <w:snapToGrid w:val="0"/>
        <w:spacing w:after="0" w:line="240" w:lineRule="auto"/>
        <w:ind w:left="1418" w:hanging="720"/>
        <w:jc w:val="both"/>
        <w:rPr>
          <w:rFonts w:ascii="Arial" w:hAnsi="Arial" w:cs="Arial"/>
          <w:bCs/>
          <w:sz w:val="20"/>
          <w:szCs w:val="20"/>
          <w:lang w:eastAsia="zh-TW"/>
        </w:rPr>
      </w:pPr>
      <w:r w:rsidRPr="006F3BAB">
        <w:rPr>
          <w:rFonts w:ascii="Arial" w:hAnsi="Arial" w:cs="Arial"/>
          <w:bCs/>
          <w:sz w:val="20"/>
          <w:szCs w:val="20"/>
          <w:lang w:eastAsia="zh-TW"/>
        </w:rPr>
        <w:t xml:space="preserve">an expected market </w:t>
      </w:r>
      <w:proofErr w:type="spellStart"/>
      <w:r w:rsidRPr="006F3BAB">
        <w:rPr>
          <w:rFonts w:ascii="Arial" w:hAnsi="Arial" w:cs="Arial"/>
          <w:bCs/>
          <w:sz w:val="20"/>
          <w:szCs w:val="20"/>
          <w:lang w:eastAsia="zh-TW"/>
        </w:rPr>
        <w:t>capitalisation</w:t>
      </w:r>
      <w:proofErr w:type="spellEnd"/>
      <w:r w:rsidRPr="006F3BAB">
        <w:rPr>
          <w:rFonts w:ascii="Arial" w:hAnsi="Arial" w:cs="Arial"/>
          <w:bCs/>
          <w:sz w:val="20"/>
          <w:szCs w:val="20"/>
          <w:lang w:eastAsia="zh-TW"/>
        </w:rPr>
        <w:t xml:space="preserve"> of at least HK$250 million at the time of listing; </w:t>
      </w:r>
    </w:p>
    <w:p w:rsidR="006F3BAB" w:rsidRPr="007B67DB" w:rsidRDefault="006F3BAB" w:rsidP="007B67DB">
      <w:pPr>
        <w:rPr>
          <w:rFonts w:ascii="Arial" w:hAnsi="Arial" w:cs="Arial"/>
          <w:bCs/>
          <w:sz w:val="20"/>
          <w:szCs w:val="20"/>
          <w:lang w:eastAsia="zh-TW"/>
        </w:rPr>
      </w:pPr>
    </w:p>
    <w:p w:rsidR="006F3BAB" w:rsidRDefault="006F3BAB" w:rsidP="00130222">
      <w:pPr>
        <w:pStyle w:val="a4"/>
        <w:numPr>
          <w:ilvl w:val="0"/>
          <w:numId w:val="24"/>
        </w:numPr>
        <w:snapToGrid w:val="0"/>
        <w:spacing w:after="0" w:line="240" w:lineRule="auto"/>
        <w:ind w:left="1418" w:hanging="720"/>
        <w:jc w:val="both"/>
        <w:rPr>
          <w:rFonts w:ascii="Arial" w:hAnsi="Arial" w:cs="Arial"/>
          <w:bCs/>
          <w:sz w:val="20"/>
          <w:szCs w:val="20"/>
          <w:lang w:eastAsia="zh-TW"/>
        </w:rPr>
      </w:pPr>
      <w:r w:rsidRPr="006F3BAB">
        <w:rPr>
          <w:rFonts w:ascii="Arial" w:hAnsi="Arial" w:cs="Arial"/>
          <w:bCs/>
          <w:sz w:val="20"/>
          <w:szCs w:val="20"/>
          <w:lang w:eastAsia="zh-TW"/>
        </w:rPr>
        <w:t xml:space="preserve">revenue of at least HK$100 million in aggregate for the </w:t>
      </w:r>
      <w:r w:rsidR="00CA4F87">
        <w:rPr>
          <w:rFonts w:ascii="Arial" w:hAnsi="Arial" w:cs="Arial"/>
          <w:bCs/>
          <w:sz w:val="20"/>
          <w:szCs w:val="20"/>
          <w:lang w:eastAsia="zh-TW"/>
        </w:rPr>
        <w:t>two</w:t>
      </w:r>
      <w:r w:rsidRPr="006F3BAB">
        <w:rPr>
          <w:rFonts w:ascii="Arial" w:hAnsi="Arial" w:cs="Arial"/>
          <w:bCs/>
          <w:sz w:val="20"/>
          <w:szCs w:val="20"/>
          <w:lang w:eastAsia="zh-TW"/>
        </w:rPr>
        <w:t xml:space="preserve"> most recent audited financial years, with year-on-year growth over the </w:t>
      </w:r>
      <w:r w:rsidR="00CA4F87">
        <w:rPr>
          <w:rFonts w:ascii="Arial" w:hAnsi="Arial" w:cs="Arial"/>
          <w:bCs/>
          <w:sz w:val="20"/>
          <w:szCs w:val="20"/>
          <w:lang w:eastAsia="zh-TW"/>
        </w:rPr>
        <w:t>two</w:t>
      </w:r>
      <w:r w:rsidRPr="006F3BAB">
        <w:rPr>
          <w:rFonts w:ascii="Arial" w:hAnsi="Arial" w:cs="Arial"/>
          <w:bCs/>
          <w:sz w:val="20"/>
          <w:szCs w:val="20"/>
          <w:lang w:eastAsia="zh-TW"/>
        </w:rPr>
        <w:t xml:space="preserve"> financial years; and </w:t>
      </w:r>
    </w:p>
    <w:p w:rsidR="006F3BAB" w:rsidRPr="006F3BAB" w:rsidRDefault="006F3BAB" w:rsidP="006F3BAB">
      <w:pPr>
        <w:pStyle w:val="a4"/>
        <w:rPr>
          <w:rFonts w:ascii="Arial" w:hAnsi="Arial" w:cs="Arial"/>
          <w:bCs/>
          <w:sz w:val="20"/>
          <w:szCs w:val="20"/>
          <w:lang w:eastAsia="zh-TW"/>
        </w:rPr>
      </w:pPr>
    </w:p>
    <w:p w:rsidR="006F3BAB" w:rsidRPr="006F3BAB" w:rsidRDefault="006F3BAB" w:rsidP="00130222">
      <w:pPr>
        <w:pStyle w:val="a4"/>
        <w:numPr>
          <w:ilvl w:val="0"/>
          <w:numId w:val="24"/>
        </w:numPr>
        <w:snapToGrid w:val="0"/>
        <w:spacing w:after="0" w:line="240" w:lineRule="auto"/>
        <w:ind w:left="1418" w:hanging="720"/>
        <w:jc w:val="both"/>
        <w:rPr>
          <w:rFonts w:ascii="Arial" w:hAnsi="Arial" w:cs="Arial"/>
          <w:bCs/>
          <w:sz w:val="20"/>
          <w:szCs w:val="20"/>
          <w:lang w:eastAsia="zh-TW"/>
        </w:rPr>
      </w:pPr>
      <w:r w:rsidRPr="006F3BAB">
        <w:rPr>
          <w:rFonts w:ascii="Arial" w:hAnsi="Arial" w:cs="Arial"/>
          <w:bCs/>
          <w:sz w:val="20"/>
          <w:szCs w:val="20"/>
          <w:lang w:eastAsia="zh-TW"/>
        </w:rPr>
        <w:t xml:space="preserve">incurred R&amp;D expenditure of at least HK$30 million in aggregate for the </w:t>
      </w:r>
      <w:r w:rsidR="00CA4F87">
        <w:rPr>
          <w:rFonts w:ascii="Arial" w:hAnsi="Arial" w:cs="Arial"/>
          <w:bCs/>
          <w:sz w:val="20"/>
          <w:szCs w:val="20"/>
          <w:lang w:eastAsia="zh-TW"/>
        </w:rPr>
        <w:t>two</w:t>
      </w:r>
      <w:r w:rsidRPr="006F3BAB">
        <w:rPr>
          <w:rFonts w:ascii="Arial" w:hAnsi="Arial" w:cs="Arial"/>
          <w:bCs/>
          <w:sz w:val="20"/>
          <w:szCs w:val="20"/>
          <w:lang w:eastAsia="zh-TW"/>
        </w:rPr>
        <w:t xml:space="preserve"> financial years prior to listing, where the R&amp;D expenditure incurred for each financial year must be at least 15% of its total operating expenditure for the same period.</w:t>
      </w:r>
    </w:p>
    <w:p w:rsidR="001D352A" w:rsidRDefault="001D352A" w:rsidP="005E58D7">
      <w:pPr>
        <w:snapToGrid w:val="0"/>
        <w:spacing w:after="0" w:line="240" w:lineRule="auto"/>
        <w:jc w:val="both"/>
        <w:rPr>
          <w:rFonts w:ascii="Arial" w:hAnsi="Arial" w:cs="Arial"/>
          <w:bCs/>
          <w:sz w:val="20"/>
          <w:szCs w:val="20"/>
          <w:lang w:eastAsia="zh-TW"/>
        </w:rPr>
      </w:pPr>
    </w:p>
    <w:p w:rsidR="00151749" w:rsidRDefault="006236B9" w:rsidP="00130222">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 xml:space="preserve">Under this new test, the existing </w:t>
      </w:r>
      <w:r w:rsidR="00CA4F87">
        <w:rPr>
          <w:rFonts w:ascii="Arial" w:hAnsi="Arial" w:cs="Arial"/>
          <w:bCs/>
          <w:sz w:val="20"/>
          <w:szCs w:val="20"/>
          <w:lang w:eastAsia="zh-TW"/>
        </w:rPr>
        <w:t>one</w:t>
      </w:r>
      <w:r>
        <w:rPr>
          <w:rFonts w:ascii="Arial" w:hAnsi="Arial" w:cs="Arial"/>
          <w:bCs/>
          <w:sz w:val="20"/>
          <w:szCs w:val="20"/>
          <w:lang w:eastAsia="zh-TW"/>
        </w:rPr>
        <w:t>-year ownership</w:t>
      </w:r>
      <w:r w:rsidR="00C55351">
        <w:rPr>
          <w:rFonts w:ascii="Arial" w:hAnsi="Arial" w:cs="Arial"/>
          <w:bCs/>
          <w:sz w:val="20"/>
          <w:szCs w:val="20"/>
          <w:lang w:eastAsia="zh-TW"/>
        </w:rPr>
        <w:t xml:space="preserve"> continuity</w:t>
      </w:r>
      <w:r>
        <w:rPr>
          <w:rFonts w:ascii="Arial" w:hAnsi="Arial" w:cs="Arial"/>
          <w:bCs/>
          <w:sz w:val="20"/>
          <w:szCs w:val="20"/>
          <w:lang w:eastAsia="zh-TW"/>
        </w:rPr>
        <w:t xml:space="preserve"> and </w:t>
      </w:r>
      <w:r w:rsidR="00CA4F87">
        <w:rPr>
          <w:rFonts w:ascii="Arial" w:hAnsi="Arial" w:cs="Arial"/>
          <w:bCs/>
          <w:sz w:val="20"/>
          <w:szCs w:val="20"/>
          <w:lang w:eastAsia="zh-TW"/>
        </w:rPr>
        <w:t>two</w:t>
      </w:r>
      <w:r>
        <w:rPr>
          <w:rFonts w:ascii="Arial" w:hAnsi="Arial" w:cs="Arial"/>
          <w:bCs/>
          <w:sz w:val="20"/>
          <w:szCs w:val="20"/>
          <w:lang w:eastAsia="zh-TW"/>
        </w:rPr>
        <w:t>-year management continui</w:t>
      </w:r>
      <w:r w:rsidR="00CA4F87">
        <w:rPr>
          <w:rFonts w:ascii="Arial" w:hAnsi="Arial" w:cs="Arial"/>
          <w:bCs/>
          <w:sz w:val="20"/>
          <w:szCs w:val="20"/>
          <w:lang w:eastAsia="zh-TW"/>
        </w:rPr>
        <w:t>ty</w:t>
      </w:r>
      <w:r>
        <w:rPr>
          <w:rFonts w:ascii="Arial" w:hAnsi="Arial" w:cs="Arial"/>
          <w:bCs/>
          <w:sz w:val="20"/>
          <w:szCs w:val="20"/>
          <w:lang w:eastAsia="zh-TW"/>
        </w:rPr>
        <w:t xml:space="preserve"> requirements will continue to apply.</w:t>
      </w:r>
      <w:r>
        <w:rPr>
          <w:rStyle w:val="a7"/>
          <w:rFonts w:ascii="Arial" w:hAnsi="Arial" w:cs="Arial"/>
          <w:bCs/>
          <w:sz w:val="20"/>
          <w:szCs w:val="20"/>
          <w:lang w:eastAsia="zh-TW"/>
        </w:rPr>
        <w:footnoteReference w:id="3"/>
      </w:r>
      <w:r>
        <w:rPr>
          <w:rFonts w:ascii="Arial" w:hAnsi="Arial" w:cs="Arial"/>
          <w:bCs/>
          <w:sz w:val="20"/>
          <w:szCs w:val="20"/>
          <w:lang w:eastAsia="zh-TW"/>
        </w:rPr>
        <w:t xml:space="preserve"> </w:t>
      </w:r>
    </w:p>
    <w:p w:rsidR="00151749" w:rsidRDefault="00151749" w:rsidP="00130222">
      <w:pPr>
        <w:snapToGrid w:val="0"/>
        <w:spacing w:after="0" w:line="240" w:lineRule="auto"/>
        <w:ind w:left="709"/>
        <w:jc w:val="both"/>
        <w:rPr>
          <w:rFonts w:ascii="Arial" w:hAnsi="Arial" w:cs="Arial"/>
          <w:bCs/>
          <w:sz w:val="20"/>
          <w:szCs w:val="20"/>
          <w:lang w:eastAsia="zh-TW"/>
        </w:rPr>
      </w:pPr>
    </w:p>
    <w:p w:rsidR="00151749" w:rsidRDefault="006236B9" w:rsidP="00130222">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 xml:space="preserve">The HKEX </w:t>
      </w:r>
      <w:r w:rsidR="00CA4F87">
        <w:rPr>
          <w:rFonts w:ascii="Arial" w:hAnsi="Arial" w:cs="Arial"/>
          <w:bCs/>
          <w:sz w:val="20"/>
          <w:szCs w:val="20"/>
          <w:lang w:eastAsia="zh-TW"/>
        </w:rPr>
        <w:t xml:space="preserve">claims </w:t>
      </w:r>
      <w:r>
        <w:rPr>
          <w:rFonts w:ascii="Arial" w:hAnsi="Arial" w:cs="Arial"/>
          <w:bCs/>
          <w:sz w:val="20"/>
          <w:szCs w:val="20"/>
          <w:lang w:eastAsia="zh-TW"/>
        </w:rPr>
        <w:t xml:space="preserve">that the higher minimum market </w:t>
      </w:r>
      <w:proofErr w:type="spellStart"/>
      <w:r>
        <w:rPr>
          <w:rFonts w:ascii="Arial" w:hAnsi="Arial" w:cs="Arial"/>
          <w:bCs/>
          <w:sz w:val="20"/>
          <w:szCs w:val="20"/>
          <w:lang w:eastAsia="zh-TW"/>
        </w:rPr>
        <w:t>capitalisation</w:t>
      </w:r>
      <w:proofErr w:type="spellEnd"/>
      <w:r>
        <w:rPr>
          <w:rFonts w:ascii="Arial" w:hAnsi="Arial" w:cs="Arial"/>
          <w:bCs/>
          <w:sz w:val="20"/>
          <w:szCs w:val="20"/>
          <w:lang w:eastAsia="zh-TW"/>
        </w:rPr>
        <w:t xml:space="preserve"> threshold of HK$250 million (compared to HK$150 million under current requirements) should mitigate the risk of the absence of a track record of cash flow by requiring the GEM listing applicant to demonstrate a market </w:t>
      </w:r>
      <w:proofErr w:type="spellStart"/>
      <w:r>
        <w:rPr>
          <w:rFonts w:ascii="Arial" w:hAnsi="Arial" w:cs="Arial"/>
          <w:bCs/>
          <w:sz w:val="20"/>
          <w:szCs w:val="20"/>
          <w:lang w:eastAsia="zh-TW"/>
        </w:rPr>
        <w:t>capit</w:t>
      </w:r>
      <w:r w:rsidR="00CB0754">
        <w:rPr>
          <w:rFonts w:ascii="Arial" w:hAnsi="Arial" w:cs="Arial"/>
          <w:bCs/>
          <w:sz w:val="20"/>
          <w:szCs w:val="20"/>
          <w:lang w:eastAsia="zh-TW"/>
        </w:rPr>
        <w:t>a</w:t>
      </w:r>
      <w:r>
        <w:rPr>
          <w:rFonts w:ascii="Arial" w:hAnsi="Arial" w:cs="Arial"/>
          <w:bCs/>
          <w:sz w:val="20"/>
          <w:szCs w:val="20"/>
          <w:lang w:eastAsia="zh-TW"/>
        </w:rPr>
        <w:t>lisation</w:t>
      </w:r>
      <w:proofErr w:type="spellEnd"/>
      <w:r>
        <w:rPr>
          <w:rFonts w:ascii="Arial" w:hAnsi="Arial" w:cs="Arial"/>
          <w:bCs/>
          <w:sz w:val="20"/>
          <w:szCs w:val="20"/>
          <w:lang w:eastAsia="zh-TW"/>
        </w:rPr>
        <w:t xml:space="preserve"> that is representative of more substantial</w:t>
      </w:r>
      <w:r w:rsidR="00151749">
        <w:rPr>
          <w:rFonts w:ascii="Arial" w:hAnsi="Arial" w:cs="Arial"/>
          <w:bCs/>
          <w:sz w:val="20"/>
          <w:szCs w:val="20"/>
          <w:lang w:eastAsia="zh-TW"/>
        </w:rPr>
        <w:t xml:space="preserve"> investor</w:t>
      </w:r>
      <w:r>
        <w:rPr>
          <w:rFonts w:ascii="Arial" w:hAnsi="Arial" w:cs="Arial"/>
          <w:bCs/>
          <w:sz w:val="20"/>
          <w:szCs w:val="20"/>
          <w:lang w:eastAsia="zh-TW"/>
        </w:rPr>
        <w:t xml:space="preserve"> support for its financial position and future prospects. </w:t>
      </w:r>
    </w:p>
    <w:p w:rsidR="00151749" w:rsidRDefault="00151749" w:rsidP="00130222">
      <w:pPr>
        <w:snapToGrid w:val="0"/>
        <w:spacing w:after="0" w:line="240" w:lineRule="auto"/>
        <w:ind w:left="709"/>
        <w:jc w:val="both"/>
        <w:rPr>
          <w:rFonts w:ascii="Arial" w:hAnsi="Arial" w:cs="Arial"/>
          <w:bCs/>
          <w:sz w:val="20"/>
          <w:szCs w:val="20"/>
          <w:lang w:eastAsia="zh-TW"/>
        </w:rPr>
      </w:pPr>
    </w:p>
    <w:p w:rsidR="00151749" w:rsidRDefault="006236B9" w:rsidP="00130222">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The minimum revenue threshold of HK$100 million should</w:t>
      </w:r>
      <w:r w:rsidR="00E0758A">
        <w:rPr>
          <w:rFonts w:ascii="Arial" w:hAnsi="Arial" w:cs="Arial"/>
          <w:bCs/>
          <w:sz w:val="20"/>
          <w:szCs w:val="20"/>
          <w:lang w:eastAsia="zh-TW"/>
        </w:rPr>
        <w:t>, in the opinion of the HKEX,</w:t>
      </w:r>
      <w:r>
        <w:rPr>
          <w:rFonts w:ascii="Arial" w:hAnsi="Arial" w:cs="Arial"/>
          <w:bCs/>
          <w:sz w:val="20"/>
          <w:szCs w:val="20"/>
          <w:lang w:eastAsia="zh-TW"/>
        </w:rPr>
        <w:t xml:space="preserve"> address stakeholders’ co</w:t>
      </w:r>
      <w:r w:rsidR="00E0758A">
        <w:rPr>
          <w:rFonts w:ascii="Arial" w:hAnsi="Arial" w:cs="Arial"/>
          <w:bCs/>
          <w:sz w:val="20"/>
          <w:szCs w:val="20"/>
          <w:lang w:eastAsia="zh-TW"/>
        </w:rPr>
        <w:t>ncern</w:t>
      </w:r>
      <w:r>
        <w:rPr>
          <w:rFonts w:ascii="Arial" w:hAnsi="Arial" w:cs="Arial"/>
          <w:bCs/>
          <w:sz w:val="20"/>
          <w:szCs w:val="20"/>
          <w:lang w:eastAsia="zh-TW"/>
        </w:rPr>
        <w:t xml:space="preserve">s that companies with high-growth potential </w:t>
      </w:r>
      <w:r w:rsidR="00CB0754">
        <w:rPr>
          <w:rFonts w:ascii="Arial" w:hAnsi="Arial" w:cs="Arial"/>
          <w:bCs/>
          <w:sz w:val="20"/>
          <w:szCs w:val="20"/>
          <w:lang w:eastAsia="zh-TW"/>
        </w:rPr>
        <w:t xml:space="preserve">may </w:t>
      </w:r>
      <w:r>
        <w:rPr>
          <w:rFonts w:ascii="Arial" w:hAnsi="Arial" w:cs="Arial"/>
          <w:bCs/>
          <w:sz w:val="20"/>
          <w:szCs w:val="20"/>
          <w:lang w:eastAsia="zh-TW"/>
        </w:rPr>
        <w:t>not have a track record of positive operating cash flow to meet the current HK$30 million cash flow requirement</w:t>
      </w:r>
      <w:r w:rsidR="00CB0754">
        <w:rPr>
          <w:rFonts w:ascii="Arial" w:hAnsi="Arial" w:cs="Arial"/>
          <w:bCs/>
          <w:sz w:val="20"/>
          <w:szCs w:val="20"/>
          <w:lang w:eastAsia="zh-TW"/>
        </w:rPr>
        <w:t xml:space="preserve"> if they are </w:t>
      </w:r>
      <w:r w:rsidR="00E0758A">
        <w:rPr>
          <w:rFonts w:ascii="Arial" w:hAnsi="Arial" w:cs="Arial"/>
          <w:bCs/>
          <w:sz w:val="20"/>
          <w:szCs w:val="20"/>
          <w:lang w:eastAsia="zh-TW"/>
        </w:rPr>
        <w:t xml:space="preserve">heavily </w:t>
      </w:r>
      <w:r w:rsidR="00CB0754">
        <w:rPr>
          <w:rFonts w:ascii="Arial" w:hAnsi="Arial" w:cs="Arial"/>
          <w:bCs/>
          <w:sz w:val="20"/>
          <w:szCs w:val="20"/>
          <w:lang w:eastAsia="zh-TW"/>
        </w:rPr>
        <w:t xml:space="preserve">engaged in R&amp;D. </w:t>
      </w:r>
    </w:p>
    <w:p w:rsidR="00151749" w:rsidRDefault="00151749" w:rsidP="00130222">
      <w:pPr>
        <w:snapToGrid w:val="0"/>
        <w:spacing w:after="0" w:line="240" w:lineRule="auto"/>
        <w:ind w:left="709"/>
        <w:jc w:val="both"/>
        <w:rPr>
          <w:rFonts w:ascii="Arial" w:hAnsi="Arial" w:cs="Arial"/>
          <w:bCs/>
          <w:sz w:val="20"/>
          <w:szCs w:val="20"/>
          <w:lang w:eastAsia="zh-TW"/>
        </w:rPr>
      </w:pPr>
    </w:p>
    <w:p w:rsidR="006236B9" w:rsidRDefault="00D97824" w:rsidP="00130222">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w:t>
      </w:r>
      <w:r w:rsidR="00F74263">
        <w:rPr>
          <w:rFonts w:ascii="Arial" w:hAnsi="Arial" w:cs="Arial"/>
          <w:bCs/>
          <w:sz w:val="20"/>
          <w:szCs w:val="20"/>
          <w:lang w:eastAsia="zh-TW"/>
        </w:rPr>
        <w:t xml:space="preserve">he minimum R&amp;D expenditure threshold of HK$30 million </w:t>
      </w:r>
      <w:r>
        <w:rPr>
          <w:rFonts w:ascii="Arial" w:hAnsi="Arial" w:cs="Arial"/>
          <w:bCs/>
          <w:sz w:val="20"/>
          <w:szCs w:val="20"/>
          <w:lang w:eastAsia="zh-TW"/>
        </w:rPr>
        <w:t xml:space="preserve">is </w:t>
      </w:r>
      <w:r w:rsidR="00F74263">
        <w:rPr>
          <w:rFonts w:ascii="Arial" w:hAnsi="Arial" w:cs="Arial"/>
          <w:bCs/>
          <w:sz w:val="20"/>
          <w:szCs w:val="20"/>
          <w:lang w:eastAsia="zh-TW"/>
        </w:rPr>
        <w:t>based on the HKEX’s analysis of profiles of SME issuers listed on comparable junior markets and the minimum R&amp;D expenditure ratio of 15% is consistent with the ratio applied to Commercial Companies by the HKEX’s listing regime for Specialist Technology Companies.</w:t>
      </w:r>
      <w:r w:rsidR="00BC1F36">
        <w:rPr>
          <w:rStyle w:val="a7"/>
          <w:rFonts w:ascii="Arial" w:hAnsi="Arial" w:cs="Arial"/>
          <w:bCs/>
          <w:sz w:val="20"/>
          <w:szCs w:val="20"/>
          <w:lang w:eastAsia="zh-TW"/>
        </w:rPr>
        <w:footnoteReference w:id="4"/>
      </w:r>
      <w:r w:rsidR="00F74263">
        <w:rPr>
          <w:rFonts w:ascii="Arial" w:hAnsi="Arial" w:cs="Arial"/>
          <w:bCs/>
          <w:sz w:val="20"/>
          <w:szCs w:val="20"/>
          <w:lang w:eastAsia="zh-TW"/>
        </w:rPr>
        <w:t xml:space="preserve"> </w:t>
      </w:r>
    </w:p>
    <w:p w:rsidR="006236B9" w:rsidRDefault="006236B9" w:rsidP="005E58D7">
      <w:pPr>
        <w:snapToGrid w:val="0"/>
        <w:spacing w:after="0" w:line="240" w:lineRule="auto"/>
        <w:jc w:val="both"/>
        <w:rPr>
          <w:rFonts w:ascii="Arial" w:hAnsi="Arial" w:cs="Arial"/>
          <w:bCs/>
          <w:sz w:val="20"/>
          <w:szCs w:val="20"/>
          <w:lang w:eastAsia="zh-TW"/>
        </w:rPr>
      </w:pPr>
    </w:p>
    <w:tbl>
      <w:tblPr>
        <w:tblStyle w:val="af5"/>
        <w:tblW w:w="9781" w:type="dxa"/>
        <w:tblInd w:w="704" w:type="dxa"/>
        <w:tblLook w:val="04A0" w:firstRow="1" w:lastRow="0" w:firstColumn="1" w:lastColumn="0" w:noHBand="0" w:noVBand="1"/>
      </w:tblPr>
      <w:tblGrid>
        <w:gridCol w:w="4678"/>
        <w:gridCol w:w="5103"/>
      </w:tblGrid>
      <w:tr w:rsidR="001D352A" w:rsidTr="00A215F9">
        <w:tc>
          <w:tcPr>
            <w:tcW w:w="4678" w:type="dxa"/>
          </w:tcPr>
          <w:p w:rsidR="001D352A" w:rsidRPr="001D352A" w:rsidRDefault="001D352A" w:rsidP="001D352A">
            <w:pPr>
              <w:snapToGrid w:val="0"/>
              <w:jc w:val="center"/>
              <w:rPr>
                <w:rFonts w:ascii="Arial" w:hAnsi="Arial" w:cs="Arial"/>
                <w:b/>
                <w:bCs/>
                <w:sz w:val="20"/>
                <w:szCs w:val="20"/>
                <w:lang w:eastAsia="zh-TW"/>
              </w:rPr>
            </w:pPr>
            <w:r w:rsidRPr="001D352A">
              <w:rPr>
                <w:rFonts w:ascii="Arial" w:hAnsi="Arial" w:cs="Arial"/>
                <w:b/>
                <w:bCs/>
                <w:sz w:val="20"/>
                <w:szCs w:val="20"/>
                <w:lang w:eastAsia="zh-TW"/>
              </w:rPr>
              <w:t xml:space="preserve">Current </w:t>
            </w:r>
            <w:r w:rsidR="00595499">
              <w:rPr>
                <w:rFonts w:ascii="Arial" w:hAnsi="Arial" w:cs="Arial"/>
                <w:b/>
                <w:bCs/>
                <w:sz w:val="20"/>
                <w:szCs w:val="20"/>
                <w:lang w:eastAsia="zh-TW"/>
              </w:rPr>
              <w:t xml:space="preserve">GEM listing </w:t>
            </w:r>
            <w:r w:rsidRPr="001D352A">
              <w:rPr>
                <w:rFonts w:ascii="Arial" w:hAnsi="Arial" w:cs="Arial"/>
                <w:b/>
                <w:bCs/>
                <w:sz w:val="20"/>
                <w:szCs w:val="20"/>
                <w:lang w:eastAsia="zh-TW"/>
              </w:rPr>
              <w:t>requirement</w:t>
            </w:r>
            <w:r w:rsidR="00595499">
              <w:rPr>
                <w:rFonts w:ascii="Arial" w:hAnsi="Arial" w:cs="Arial"/>
                <w:b/>
                <w:bCs/>
                <w:sz w:val="20"/>
                <w:szCs w:val="20"/>
                <w:lang w:eastAsia="zh-TW"/>
              </w:rPr>
              <w:t>s</w:t>
            </w:r>
          </w:p>
          <w:p w:rsidR="001D352A" w:rsidRPr="001D352A" w:rsidRDefault="001D352A" w:rsidP="001D352A">
            <w:pPr>
              <w:snapToGrid w:val="0"/>
              <w:jc w:val="center"/>
              <w:rPr>
                <w:rFonts w:ascii="Arial" w:hAnsi="Arial" w:cs="Arial"/>
                <w:b/>
                <w:bCs/>
                <w:sz w:val="20"/>
                <w:szCs w:val="20"/>
                <w:lang w:eastAsia="zh-TW"/>
              </w:rPr>
            </w:pPr>
          </w:p>
        </w:tc>
        <w:tc>
          <w:tcPr>
            <w:tcW w:w="5103" w:type="dxa"/>
          </w:tcPr>
          <w:p w:rsidR="00F047E3" w:rsidRDefault="001D352A" w:rsidP="00F0050F">
            <w:pPr>
              <w:snapToGrid w:val="0"/>
              <w:jc w:val="center"/>
              <w:rPr>
                <w:rFonts w:ascii="Arial" w:hAnsi="Arial" w:cs="Arial"/>
                <w:b/>
                <w:bCs/>
                <w:sz w:val="20"/>
                <w:szCs w:val="20"/>
                <w:lang w:eastAsia="zh-TW"/>
              </w:rPr>
            </w:pPr>
            <w:r w:rsidRPr="001D352A">
              <w:rPr>
                <w:rFonts w:ascii="Arial" w:hAnsi="Arial" w:cs="Arial"/>
                <w:b/>
                <w:bCs/>
                <w:sz w:val="20"/>
                <w:szCs w:val="20"/>
                <w:lang w:eastAsia="zh-TW"/>
              </w:rPr>
              <w:t xml:space="preserve">Proposed </w:t>
            </w:r>
            <w:r w:rsidR="00595499">
              <w:rPr>
                <w:rFonts w:ascii="Arial" w:hAnsi="Arial" w:cs="Arial"/>
                <w:b/>
                <w:bCs/>
                <w:sz w:val="20"/>
                <w:szCs w:val="20"/>
                <w:lang w:eastAsia="zh-TW"/>
              </w:rPr>
              <w:t xml:space="preserve">alternative </w:t>
            </w:r>
            <w:r w:rsidR="00F0050F">
              <w:rPr>
                <w:rFonts w:ascii="Arial" w:hAnsi="Arial" w:cs="Arial"/>
                <w:b/>
                <w:bCs/>
                <w:sz w:val="20"/>
                <w:szCs w:val="20"/>
                <w:lang w:eastAsia="zh-TW"/>
              </w:rPr>
              <w:t>financial eligibility test</w:t>
            </w:r>
          </w:p>
          <w:p w:rsidR="001D352A" w:rsidRDefault="00F047E3" w:rsidP="00611620">
            <w:pPr>
              <w:snapToGrid w:val="0"/>
              <w:jc w:val="center"/>
              <w:rPr>
                <w:rFonts w:ascii="Arial" w:hAnsi="Arial" w:cs="Arial"/>
                <w:b/>
                <w:bCs/>
                <w:sz w:val="20"/>
                <w:szCs w:val="20"/>
                <w:lang w:eastAsia="zh-TW"/>
              </w:rPr>
            </w:pPr>
            <w:r>
              <w:rPr>
                <w:rFonts w:ascii="Arial" w:hAnsi="Arial" w:cs="Arial"/>
                <w:b/>
                <w:bCs/>
                <w:sz w:val="20"/>
                <w:szCs w:val="20"/>
                <w:lang w:eastAsia="zh-TW"/>
              </w:rPr>
              <w:t>(</w:t>
            </w:r>
            <w:proofErr w:type="gramStart"/>
            <w:r>
              <w:rPr>
                <w:rFonts w:ascii="Arial" w:hAnsi="Arial" w:cs="Arial"/>
                <w:b/>
                <w:bCs/>
                <w:sz w:val="20"/>
                <w:szCs w:val="20"/>
                <w:lang w:eastAsia="zh-TW"/>
              </w:rPr>
              <w:t>the</w:t>
            </w:r>
            <w:proofErr w:type="gramEnd"/>
            <w:r>
              <w:rPr>
                <w:rFonts w:ascii="Arial" w:hAnsi="Arial" w:cs="Arial"/>
                <w:b/>
                <w:bCs/>
                <w:sz w:val="20"/>
                <w:szCs w:val="20"/>
                <w:lang w:eastAsia="zh-TW"/>
              </w:rPr>
              <w:t xml:space="preserve"> </w:t>
            </w:r>
            <w:r w:rsidRPr="00FC7437">
              <w:rPr>
                <w:rFonts w:ascii="Arial" w:hAnsi="Arial" w:cs="Arial"/>
                <w:b/>
                <w:bCs/>
                <w:sz w:val="20"/>
                <w:szCs w:val="20"/>
                <w:lang w:eastAsia="zh-TW"/>
              </w:rPr>
              <w:t xml:space="preserve">Market </w:t>
            </w:r>
            <w:proofErr w:type="spellStart"/>
            <w:r w:rsidRPr="00FC7437">
              <w:rPr>
                <w:rFonts w:ascii="Arial" w:hAnsi="Arial" w:cs="Arial"/>
                <w:b/>
                <w:bCs/>
                <w:sz w:val="20"/>
                <w:szCs w:val="20"/>
                <w:lang w:eastAsia="zh-TW"/>
              </w:rPr>
              <w:t>Capitalisation</w:t>
            </w:r>
            <w:proofErr w:type="spellEnd"/>
            <w:r w:rsidRPr="00FC7437">
              <w:rPr>
                <w:rFonts w:ascii="Arial" w:hAnsi="Arial" w:cs="Arial"/>
                <w:b/>
                <w:bCs/>
                <w:sz w:val="20"/>
                <w:szCs w:val="20"/>
                <w:lang w:eastAsia="zh-TW"/>
              </w:rPr>
              <w:t xml:space="preserve"> / Revenue / R&amp;D Test)</w:t>
            </w:r>
          </w:p>
          <w:p w:rsidR="00FC7437" w:rsidRPr="001D352A" w:rsidRDefault="00FC7437" w:rsidP="00611620">
            <w:pPr>
              <w:snapToGrid w:val="0"/>
              <w:jc w:val="center"/>
              <w:rPr>
                <w:rFonts w:ascii="Arial" w:hAnsi="Arial" w:cs="Arial"/>
                <w:b/>
                <w:bCs/>
                <w:sz w:val="20"/>
                <w:szCs w:val="20"/>
                <w:lang w:eastAsia="zh-TW"/>
              </w:rPr>
            </w:pPr>
          </w:p>
        </w:tc>
      </w:tr>
      <w:tr w:rsidR="001D352A" w:rsidTr="00A215F9">
        <w:tc>
          <w:tcPr>
            <w:tcW w:w="4678" w:type="dxa"/>
          </w:tcPr>
          <w:p w:rsidR="001D352A" w:rsidRDefault="001D352A" w:rsidP="001D352A">
            <w:pPr>
              <w:snapToGrid w:val="0"/>
              <w:jc w:val="both"/>
              <w:rPr>
                <w:rFonts w:ascii="Arial" w:hAnsi="Arial" w:cs="Arial"/>
                <w:bCs/>
                <w:sz w:val="20"/>
                <w:szCs w:val="20"/>
                <w:lang w:eastAsia="zh-TW"/>
              </w:rPr>
            </w:pPr>
            <w:r>
              <w:rPr>
                <w:rFonts w:ascii="Arial" w:hAnsi="Arial" w:cs="Arial"/>
                <w:bCs/>
                <w:sz w:val="20"/>
                <w:szCs w:val="20"/>
                <w:lang w:eastAsia="zh-TW"/>
              </w:rPr>
              <w:lastRenderedPageBreak/>
              <w:t>A</w:t>
            </w:r>
            <w:r w:rsidRPr="001D352A">
              <w:rPr>
                <w:rFonts w:ascii="Arial" w:hAnsi="Arial" w:cs="Arial"/>
                <w:bCs/>
                <w:sz w:val="20"/>
                <w:szCs w:val="20"/>
                <w:lang w:eastAsia="zh-TW"/>
              </w:rPr>
              <w:t xml:space="preserve"> </w:t>
            </w:r>
            <w:r w:rsidR="003A634C">
              <w:rPr>
                <w:rFonts w:ascii="Arial" w:hAnsi="Arial" w:cs="Arial"/>
                <w:bCs/>
                <w:sz w:val="20"/>
                <w:szCs w:val="20"/>
                <w:lang w:eastAsia="zh-TW"/>
              </w:rPr>
              <w:t xml:space="preserve">GEM </w:t>
            </w:r>
            <w:r w:rsidRPr="001D352A">
              <w:rPr>
                <w:rFonts w:ascii="Arial" w:hAnsi="Arial" w:cs="Arial"/>
                <w:bCs/>
                <w:sz w:val="20"/>
                <w:szCs w:val="20"/>
                <w:lang w:eastAsia="zh-TW"/>
              </w:rPr>
              <w:t xml:space="preserve">listing applicant </w:t>
            </w:r>
            <w:r>
              <w:rPr>
                <w:rFonts w:ascii="Arial" w:hAnsi="Arial" w:cs="Arial"/>
                <w:bCs/>
                <w:sz w:val="20"/>
                <w:szCs w:val="20"/>
                <w:lang w:eastAsia="zh-TW"/>
              </w:rPr>
              <w:t xml:space="preserve">is required </w:t>
            </w:r>
            <w:r w:rsidRPr="001D352A">
              <w:rPr>
                <w:rFonts w:ascii="Arial" w:hAnsi="Arial" w:cs="Arial"/>
                <w:bCs/>
                <w:sz w:val="20"/>
                <w:szCs w:val="20"/>
                <w:lang w:eastAsia="zh-TW"/>
              </w:rPr>
              <w:t>to have</w:t>
            </w:r>
            <w:r>
              <w:rPr>
                <w:rFonts w:ascii="Arial" w:hAnsi="Arial" w:cs="Arial"/>
                <w:bCs/>
                <w:sz w:val="20"/>
                <w:szCs w:val="20"/>
                <w:lang w:eastAsia="zh-TW"/>
              </w:rPr>
              <w:t>:</w:t>
            </w:r>
          </w:p>
          <w:p w:rsidR="00E52184" w:rsidRDefault="00E52184" w:rsidP="001D352A">
            <w:pPr>
              <w:snapToGrid w:val="0"/>
              <w:jc w:val="both"/>
              <w:rPr>
                <w:rFonts w:ascii="Arial" w:hAnsi="Arial" w:cs="Arial"/>
                <w:bCs/>
                <w:sz w:val="20"/>
                <w:szCs w:val="20"/>
                <w:lang w:eastAsia="zh-TW"/>
              </w:rPr>
            </w:pPr>
          </w:p>
          <w:p w:rsidR="001D352A" w:rsidRDefault="001D352A" w:rsidP="001D352A">
            <w:pPr>
              <w:snapToGrid w:val="0"/>
              <w:jc w:val="both"/>
              <w:rPr>
                <w:rFonts w:ascii="Arial" w:hAnsi="Arial" w:cs="Arial"/>
                <w:bCs/>
                <w:sz w:val="20"/>
                <w:szCs w:val="20"/>
                <w:lang w:eastAsia="zh-TW"/>
              </w:rPr>
            </w:pPr>
          </w:p>
          <w:p w:rsidR="001D352A" w:rsidRDefault="001D352A" w:rsidP="003A634C">
            <w:pPr>
              <w:pStyle w:val="a4"/>
              <w:numPr>
                <w:ilvl w:val="0"/>
                <w:numId w:val="22"/>
              </w:numPr>
              <w:snapToGrid w:val="0"/>
              <w:ind w:left="589" w:hanging="567"/>
              <w:jc w:val="both"/>
              <w:rPr>
                <w:rFonts w:ascii="Arial" w:hAnsi="Arial" w:cs="Arial"/>
                <w:bCs/>
                <w:sz w:val="20"/>
                <w:szCs w:val="20"/>
                <w:lang w:eastAsia="zh-TW"/>
              </w:rPr>
            </w:pPr>
            <w:r w:rsidRPr="001D352A">
              <w:rPr>
                <w:rFonts w:ascii="Arial" w:hAnsi="Arial" w:cs="Arial"/>
                <w:bCs/>
                <w:sz w:val="20"/>
                <w:szCs w:val="20"/>
                <w:lang w:eastAsia="zh-TW"/>
              </w:rPr>
              <w:t xml:space="preserve">an expected market </w:t>
            </w:r>
            <w:proofErr w:type="spellStart"/>
            <w:r w:rsidRPr="001D352A">
              <w:rPr>
                <w:rFonts w:ascii="Arial" w:hAnsi="Arial" w:cs="Arial"/>
                <w:bCs/>
                <w:sz w:val="20"/>
                <w:szCs w:val="20"/>
                <w:lang w:eastAsia="zh-TW"/>
              </w:rPr>
              <w:t>capitalisation</w:t>
            </w:r>
            <w:proofErr w:type="spellEnd"/>
            <w:r w:rsidRPr="001D352A">
              <w:rPr>
                <w:rFonts w:ascii="Arial" w:hAnsi="Arial" w:cs="Arial"/>
                <w:bCs/>
                <w:sz w:val="20"/>
                <w:szCs w:val="20"/>
                <w:lang w:eastAsia="zh-TW"/>
              </w:rPr>
              <w:t xml:space="preserve"> of at least </w:t>
            </w:r>
            <w:r w:rsidRPr="00D10060">
              <w:rPr>
                <w:rFonts w:ascii="Arial" w:hAnsi="Arial" w:cs="Arial"/>
                <w:b/>
                <w:bCs/>
                <w:sz w:val="20"/>
                <w:szCs w:val="20"/>
                <w:lang w:eastAsia="zh-TW"/>
              </w:rPr>
              <w:t>HK$150 million</w:t>
            </w:r>
            <w:r w:rsidRPr="001D352A">
              <w:rPr>
                <w:rFonts w:ascii="Arial" w:hAnsi="Arial" w:cs="Arial"/>
                <w:bCs/>
                <w:sz w:val="20"/>
                <w:szCs w:val="20"/>
                <w:lang w:eastAsia="zh-TW"/>
              </w:rPr>
              <w:t xml:space="preserve"> at the time of listing</w:t>
            </w:r>
            <w:r w:rsidR="006236B9">
              <w:rPr>
                <w:rFonts w:ascii="Arial" w:hAnsi="Arial" w:cs="Arial"/>
                <w:bCs/>
                <w:sz w:val="20"/>
                <w:szCs w:val="20"/>
                <w:lang w:eastAsia="zh-TW"/>
              </w:rPr>
              <w:t>;</w:t>
            </w:r>
            <w:r w:rsidR="006236B9">
              <w:rPr>
                <w:rStyle w:val="a7"/>
                <w:rFonts w:ascii="Arial" w:hAnsi="Arial" w:cs="Arial"/>
                <w:bCs/>
                <w:sz w:val="20"/>
                <w:szCs w:val="20"/>
                <w:lang w:eastAsia="zh-TW"/>
              </w:rPr>
              <w:footnoteReference w:id="5"/>
            </w:r>
            <w:r w:rsidR="006236B9">
              <w:rPr>
                <w:rFonts w:ascii="Arial" w:hAnsi="Arial" w:cs="Arial"/>
                <w:bCs/>
                <w:sz w:val="20"/>
                <w:szCs w:val="20"/>
                <w:lang w:eastAsia="zh-TW"/>
              </w:rPr>
              <w:t xml:space="preserve"> </w:t>
            </w:r>
            <w:r w:rsidR="003A634C">
              <w:rPr>
                <w:rFonts w:ascii="Arial" w:hAnsi="Arial" w:cs="Arial"/>
                <w:bCs/>
                <w:sz w:val="20"/>
                <w:szCs w:val="20"/>
                <w:lang w:eastAsia="zh-TW"/>
              </w:rPr>
              <w:t>and</w:t>
            </w:r>
          </w:p>
          <w:p w:rsidR="001D352A" w:rsidRDefault="001D352A" w:rsidP="001D352A">
            <w:pPr>
              <w:pStyle w:val="a4"/>
              <w:snapToGrid w:val="0"/>
              <w:ind w:left="780"/>
              <w:jc w:val="both"/>
              <w:rPr>
                <w:rFonts w:ascii="Arial" w:hAnsi="Arial" w:cs="Arial"/>
                <w:bCs/>
                <w:sz w:val="20"/>
                <w:szCs w:val="20"/>
                <w:lang w:eastAsia="zh-TW"/>
              </w:rPr>
            </w:pPr>
          </w:p>
          <w:p w:rsidR="001D352A" w:rsidRPr="001D352A" w:rsidRDefault="001D352A" w:rsidP="003A634C">
            <w:pPr>
              <w:pStyle w:val="a4"/>
              <w:numPr>
                <w:ilvl w:val="0"/>
                <w:numId w:val="22"/>
              </w:numPr>
              <w:snapToGrid w:val="0"/>
              <w:ind w:left="589" w:hanging="567"/>
              <w:jc w:val="both"/>
              <w:rPr>
                <w:rFonts w:ascii="Arial" w:hAnsi="Arial" w:cs="Arial"/>
                <w:bCs/>
                <w:sz w:val="20"/>
                <w:szCs w:val="20"/>
                <w:lang w:eastAsia="zh-TW"/>
              </w:rPr>
            </w:pPr>
            <w:r>
              <w:rPr>
                <w:rFonts w:ascii="Arial" w:hAnsi="Arial" w:cs="Arial"/>
                <w:bCs/>
                <w:sz w:val="20"/>
                <w:szCs w:val="20"/>
                <w:lang w:eastAsia="zh-TW"/>
              </w:rPr>
              <w:t>a positive cash flow generated from operating activities of at least HK$30 million in aggregate for the 2 financial years prior to listing</w:t>
            </w:r>
            <w:r w:rsidR="003A634C">
              <w:rPr>
                <w:rFonts w:ascii="Arial" w:hAnsi="Arial" w:cs="Arial"/>
                <w:bCs/>
                <w:sz w:val="20"/>
                <w:szCs w:val="20"/>
                <w:lang w:eastAsia="zh-TW"/>
              </w:rPr>
              <w:t>.</w:t>
            </w:r>
            <w:r w:rsidR="006236B9">
              <w:rPr>
                <w:rStyle w:val="a7"/>
                <w:rFonts w:ascii="Arial" w:hAnsi="Arial" w:cs="Arial"/>
                <w:bCs/>
                <w:sz w:val="20"/>
                <w:szCs w:val="20"/>
                <w:lang w:eastAsia="zh-TW"/>
              </w:rPr>
              <w:footnoteReference w:id="6"/>
            </w:r>
            <w:r>
              <w:rPr>
                <w:rFonts w:ascii="Arial" w:hAnsi="Arial" w:cs="Arial"/>
                <w:bCs/>
                <w:sz w:val="20"/>
                <w:szCs w:val="20"/>
                <w:lang w:eastAsia="zh-TW"/>
              </w:rPr>
              <w:t xml:space="preserve"> </w:t>
            </w:r>
          </w:p>
          <w:p w:rsidR="00D97824" w:rsidRDefault="00D97824" w:rsidP="001D352A">
            <w:pPr>
              <w:snapToGrid w:val="0"/>
              <w:jc w:val="both"/>
              <w:rPr>
                <w:rFonts w:ascii="Arial" w:hAnsi="Arial" w:cs="Arial"/>
                <w:bCs/>
                <w:sz w:val="20"/>
                <w:szCs w:val="20"/>
                <w:lang w:eastAsia="zh-TW"/>
              </w:rPr>
            </w:pPr>
          </w:p>
          <w:p w:rsidR="00D97824" w:rsidRPr="000E4E36" w:rsidRDefault="00D97824" w:rsidP="007B67DB">
            <w:pPr>
              <w:rPr>
                <w:rFonts w:ascii="Arial" w:hAnsi="Arial" w:cs="Arial"/>
                <w:sz w:val="20"/>
                <w:szCs w:val="20"/>
                <w:lang w:eastAsia="zh-TW"/>
              </w:rPr>
            </w:pPr>
          </w:p>
          <w:p w:rsidR="00D97824" w:rsidRPr="000E4E36" w:rsidRDefault="00D97824" w:rsidP="007B67DB">
            <w:pPr>
              <w:rPr>
                <w:rFonts w:ascii="Arial" w:hAnsi="Arial" w:cs="Arial"/>
                <w:sz w:val="20"/>
                <w:szCs w:val="20"/>
                <w:lang w:eastAsia="zh-TW"/>
              </w:rPr>
            </w:pPr>
          </w:p>
          <w:p w:rsidR="00D97824" w:rsidRPr="000E4E36" w:rsidRDefault="00D97824" w:rsidP="007B67DB">
            <w:pPr>
              <w:rPr>
                <w:rFonts w:ascii="Arial" w:hAnsi="Arial" w:cs="Arial"/>
                <w:sz w:val="20"/>
                <w:szCs w:val="20"/>
                <w:lang w:eastAsia="zh-TW"/>
              </w:rPr>
            </w:pPr>
          </w:p>
          <w:p w:rsidR="00D97824" w:rsidRPr="000E4E36" w:rsidRDefault="00D97824" w:rsidP="007B67DB">
            <w:pPr>
              <w:rPr>
                <w:rFonts w:ascii="Arial" w:hAnsi="Arial" w:cs="Arial"/>
                <w:sz w:val="20"/>
                <w:szCs w:val="20"/>
                <w:lang w:eastAsia="zh-TW"/>
              </w:rPr>
            </w:pPr>
          </w:p>
          <w:p w:rsidR="00D97824" w:rsidRPr="000E4E36" w:rsidRDefault="00D97824" w:rsidP="007B67DB">
            <w:pPr>
              <w:rPr>
                <w:rFonts w:ascii="Arial" w:hAnsi="Arial" w:cs="Arial"/>
                <w:sz w:val="20"/>
                <w:szCs w:val="20"/>
                <w:lang w:eastAsia="zh-TW"/>
              </w:rPr>
            </w:pPr>
          </w:p>
          <w:p w:rsidR="00D97824" w:rsidRDefault="00D97824" w:rsidP="00D97824">
            <w:pPr>
              <w:rPr>
                <w:rFonts w:ascii="Arial" w:hAnsi="Arial" w:cs="Arial"/>
                <w:sz w:val="20"/>
                <w:szCs w:val="20"/>
                <w:lang w:eastAsia="zh-TW"/>
              </w:rPr>
            </w:pPr>
          </w:p>
          <w:p w:rsidR="00D97824" w:rsidRPr="000E4E36" w:rsidRDefault="00D97824" w:rsidP="000E4E36">
            <w:pPr>
              <w:rPr>
                <w:rFonts w:ascii="Arial" w:hAnsi="Arial" w:cs="Arial"/>
                <w:sz w:val="20"/>
                <w:szCs w:val="20"/>
                <w:lang w:eastAsia="zh-TW"/>
              </w:rPr>
            </w:pPr>
          </w:p>
          <w:p w:rsidR="00D97824" w:rsidRPr="000E4E36" w:rsidRDefault="00D97824" w:rsidP="000E4E36">
            <w:pPr>
              <w:rPr>
                <w:rFonts w:ascii="Arial" w:hAnsi="Arial" w:cs="Arial"/>
                <w:sz w:val="20"/>
                <w:szCs w:val="20"/>
                <w:lang w:eastAsia="zh-TW"/>
              </w:rPr>
            </w:pPr>
          </w:p>
          <w:p w:rsidR="00D97824" w:rsidRDefault="00D97824" w:rsidP="00D97824">
            <w:pPr>
              <w:rPr>
                <w:rFonts w:ascii="Arial" w:hAnsi="Arial" w:cs="Arial"/>
                <w:sz w:val="20"/>
                <w:szCs w:val="20"/>
                <w:lang w:eastAsia="zh-TW"/>
              </w:rPr>
            </w:pPr>
          </w:p>
          <w:p w:rsidR="00D97824" w:rsidRDefault="00D97824" w:rsidP="00D97824">
            <w:pPr>
              <w:rPr>
                <w:rFonts w:ascii="Arial" w:hAnsi="Arial" w:cs="Arial"/>
                <w:sz w:val="20"/>
                <w:szCs w:val="20"/>
                <w:lang w:eastAsia="zh-TW"/>
              </w:rPr>
            </w:pPr>
          </w:p>
          <w:p w:rsidR="00D97824" w:rsidRDefault="00D97824" w:rsidP="00D97824">
            <w:pPr>
              <w:rPr>
                <w:rFonts w:ascii="Arial" w:hAnsi="Arial" w:cs="Arial"/>
                <w:sz w:val="20"/>
                <w:szCs w:val="20"/>
                <w:lang w:eastAsia="zh-TW"/>
              </w:rPr>
            </w:pPr>
          </w:p>
          <w:p w:rsidR="001D352A" w:rsidRPr="000E4E36" w:rsidRDefault="00D97824" w:rsidP="007B67DB">
            <w:pPr>
              <w:tabs>
                <w:tab w:val="left" w:pos="1685"/>
              </w:tabs>
              <w:rPr>
                <w:rFonts w:ascii="Arial" w:hAnsi="Arial" w:cs="Arial"/>
                <w:sz w:val="20"/>
                <w:szCs w:val="20"/>
                <w:lang w:eastAsia="zh-TW"/>
              </w:rPr>
            </w:pPr>
            <w:r>
              <w:rPr>
                <w:rFonts w:ascii="Arial" w:hAnsi="Arial" w:cs="Arial"/>
                <w:sz w:val="20"/>
                <w:szCs w:val="20"/>
                <w:lang w:eastAsia="zh-TW"/>
              </w:rPr>
              <w:tab/>
            </w:r>
          </w:p>
        </w:tc>
        <w:tc>
          <w:tcPr>
            <w:tcW w:w="5103" w:type="dxa"/>
          </w:tcPr>
          <w:p w:rsidR="001D352A" w:rsidRDefault="00DE3C83" w:rsidP="003A634C">
            <w:pPr>
              <w:snapToGrid w:val="0"/>
              <w:jc w:val="both"/>
              <w:rPr>
                <w:rFonts w:ascii="Arial" w:hAnsi="Arial" w:cs="Arial"/>
                <w:bCs/>
                <w:sz w:val="20"/>
                <w:szCs w:val="20"/>
                <w:lang w:eastAsia="zh-TW"/>
              </w:rPr>
            </w:pPr>
            <w:r>
              <w:rPr>
                <w:rFonts w:ascii="Arial" w:hAnsi="Arial" w:cs="Arial"/>
                <w:bCs/>
                <w:sz w:val="20"/>
                <w:szCs w:val="20"/>
                <w:lang w:eastAsia="zh-TW"/>
              </w:rPr>
              <w:t>A GEM</w:t>
            </w:r>
            <w:r w:rsidR="003A634C">
              <w:rPr>
                <w:rFonts w:ascii="Arial" w:hAnsi="Arial" w:cs="Arial"/>
                <w:bCs/>
                <w:sz w:val="20"/>
                <w:szCs w:val="20"/>
                <w:lang w:eastAsia="zh-TW"/>
              </w:rPr>
              <w:t xml:space="preserve"> listing applican</w:t>
            </w:r>
            <w:r w:rsidR="00E52184">
              <w:rPr>
                <w:rFonts w:ascii="Arial" w:hAnsi="Arial" w:cs="Arial"/>
                <w:bCs/>
                <w:sz w:val="20"/>
                <w:szCs w:val="20"/>
                <w:lang w:eastAsia="zh-TW"/>
              </w:rPr>
              <w:t xml:space="preserve">t under the new test is required to </w:t>
            </w:r>
            <w:proofErr w:type="gramStart"/>
            <w:r w:rsidR="00E52184">
              <w:rPr>
                <w:rFonts w:ascii="Arial" w:hAnsi="Arial" w:cs="Arial"/>
                <w:bCs/>
                <w:sz w:val="20"/>
                <w:szCs w:val="20"/>
                <w:lang w:eastAsia="zh-TW"/>
              </w:rPr>
              <w:t xml:space="preserve">have </w:t>
            </w:r>
            <w:r w:rsidR="003A634C">
              <w:rPr>
                <w:rFonts w:ascii="Arial" w:hAnsi="Arial" w:cs="Arial"/>
                <w:bCs/>
                <w:sz w:val="20"/>
                <w:szCs w:val="20"/>
                <w:lang w:eastAsia="zh-TW"/>
              </w:rPr>
              <w:t>:</w:t>
            </w:r>
            <w:proofErr w:type="gramEnd"/>
          </w:p>
          <w:p w:rsidR="003A634C" w:rsidRDefault="003A634C" w:rsidP="003A634C">
            <w:pPr>
              <w:snapToGrid w:val="0"/>
              <w:jc w:val="both"/>
              <w:rPr>
                <w:rFonts w:ascii="Arial" w:hAnsi="Arial" w:cs="Arial"/>
                <w:bCs/>
                <w:sz w:val="20"/>
                <w:szCs w:val="20"/>
                <w:lang w:eastAsia="zh-TW"/>
              </w:rPr>
            </w:pPr>
          </w:p>
          <w:p w:rsidR="00FF1BC3" w:rsidRDefault="00FF1BC3" w:rsidP="003A634C">
            <w:pPr>
              <w:pStyle w:val="a4"/>
              <w:numPr>
                <w:ilvl w:val="0"/>
                <w:numId w:val="25"/>
              </w:numPr>
              <w:snapToGrid w:val="0"/>
              <w:ind w:left="589" w:hanging="567"/>
              <w:jc w:val="both"/>
              <w:rPr>
                <w:rFonts w:ascii="Arial" w:hAnsi="Arial" w:cs="Arial"/>
                <w:bCs/>
                <w:sz w:val="20"/>
                <w:szCs w:val="20"/>
                <w:lang w:eastAsia="zh-TW"/>
              </w:rPr>
            </w:pPr>
            <w:r w:rsidRPr="003A634C">
              <w:rPr>
                <w:rFonts w:ascii="Arial" w:hAnsi="Arial" w:cs="Arial"/>
                <w:bCs/>
                <w:sz w:val="20"/>
                <w:szCs w:val="20"/>
                <w:lang w:eastAsia="zh-TW"/>
              </w:rPr>
              <w:t xml:space="preserve">a market </w:t>
            </w:r>
            <w:proofErr w:type="spellStart"/>
            <w:r w:rsidRPr="003A634C">
              <w:rPr>
                <w:rFonts w:ascii="Arial" w:hAnsi="Arial" w:cs="Arial"/>
                <w:bCs/>
                <w:sz w:val="20"/>
                <w:szCs w:val="20"/>
                <w:lang w:eastAsia="zh-TW"/>
              </w:rPr>
              <w:t>ca</w:t>
            </w:r>
            <w:r>
              <w:rPr>
                <w:rFonts w:ascii="Arial" w:hAnsi="Arial" w:cs="Arial"/>
                <w:bCs/>
                <w:sz w:val="20"/>
                <w:szCs w:val="20"/>
                <w:lang w:eastAsia="zh-TW"/>
              </w:rPr>
              <w:t>pitalisation</w:t>
            </w:r>
            <w:proofErr w:type="spellEnd"/>
            <w:r>
              <w:rPr>
                <w:rFonts w:ascii="Arial" w:hAnsi="Arial" w:cs="Arial"/>
                <w:bCs/>
                <w:sz w:val="20"/>
                <w:szCs w:val="20"/>
                <w:lang w:eastAsia="zh-TW"/>
              </w:rPr>
              <w:t xml:space="preserve"> of at least </w:t>
            </w:r>
            <w:r w:rsidRPr="00D10060">
              <w:rPr>
                <w:rFonts w:ascii="Arial" w:hAnsi="Arial" w:cs="Arial"/>
                <w:b/>
                <w:bCs/>
                <w:sz w:val="20"/>
                <w:szCs w:val="20"/>
                <w:lang w:eastAsia="zh-TW"/>
              </w:rPr>
              <w:t>HK$250 million</w:t>
            </w:r>
            <w:r w:rsidRPr="003A634C">
              <w:rPr>
                <w:rFonts w:ascii="Arial" w:hAnsi="Arial" w:cs="Arial"/>
                <w:bCs/>
                <w:sz w:val="20"/>
                <w:szCs w:val="20"/>
                <w:lang w:eastAsia="zh-TW"/>
              </w:rPr>
              <w:t xml:space="preserve"> at the time of listing</w:t>
            </w:r>
            <w:r>
              <w:rPr>
                <w:rFonts w:ascii="Arial" w:hAnsi="Arial" w:cs="Arial"/>
                <w:bCs/>
                <w:sz w:val="20"/>
                <w:szCs w:val="20"/>
                <w:lang w:eastAsia="zh-TW"/>
              </w:rPr>
              <w:t>;</w:t>
            </w:r>
            <w:r w:rsidRPr="003A634C">
              <w:rPr>
                <w:rFonts w:ascii="Arial" w:hAnsi="Arial" w:cs="Arial"/>
                <w:bCs/>
                <w:sz w:val="20"/>
                <w:szCs w:val="20"/>
                <w:lang w:eastAsia="zh-TW"/>
              </w:rPr>
              <w:t xml:space="preserve"> </w:t>
            </w:r>
          </w:p>
          <w:p w:rsidR="001F5026" w:rsidRDefault="001F5026" w:rsidP="00D10060">
            <w:pPr>
              <w:pStyle w:val="a4"/>
              <w:snapToGrid w:val="0"/>
              <w:ind w:left="589"/>
              <w:jc w:val="both"/>
              <w:rPr>
                <w:rFonts w:ascii="Arial" w:hAnsi="Arial" w:cs="Arial"/>
                <w:bCs/>
                <w:sz w:val="20"/>
                <w:szCs w:val="20"/>
                <w:lang w:eastAsia="zh-TW"/>
              </w:rPr>
            </w:pPr>
          </w:p>
          <w:p w:rsidR="003A634C" w:rsidRDefault="003A634C" w:rsidP="003A634C">
            <w:pPr>
              <w:pStyle w:val="a4"/>
              <w:numPr>
                <w:ilvl w:val="0"/>
                <w:numId w:val="25"/>
              </w:numPr>
              <w:snapToGrid w:val="0"/>
              <w:ind w:left="589" w:hanging="567"/>
              <w:jc w:val="both"/>
              <w:rPr>
                <w:rFonts w:ascii="Arial" w:hAnsi="Arial" w:cs="Arial"/>
                <w:bCs/>
                <w:sz w:val="20"/>
                <w:szCs w:val="20"/>
                <w:lang w:eastAsia="zh-TW"/>
              </w:rPr>
            </w:pPr>
            <w:r w:rsidRPr="003A634C">
              <w:rPr>
                <w:rFonts w:ascii="Arial" w:hAnsi="Arial" w:cs="Arial"/>
                <w:bCs/>
                <w:sz w:val="20"/>
                <w:szCs w:val="20"/>
                <w:lang w:eastAsia="zh-TW"/>
              </w:rPr>
              <w:t xml:space="preserve">an adequate trading record of at least </w:t>
            </w:r>
            <w:r>
              <w:rPr>
                <w:rFonts w:ascii="Arial" w:hAnsi="Arial" w:cs="Arial"/>
                <w:bCs/>
                <w:sz w:val="20"/>
                <w:szCs w:val="20"/>
                <w:lang w:eastAsia="zh-TW"/>
              </w:rPr>
              <w:t>2</w:t>
            </w:r>
            <w:r w:rsidRPr="003A634C">
              <w:rPr>
                <w:rFonts w:ascii="Arial" w:hAnsi="Arial" w:cs="Arial"/>
                <w:bCs/>
                <w:sz w:val="20"/>
                <w:szCs w:val="20"/>
                <w:lang w:eastAsia="zh-TW"/>
              </w:rPr>
              <w:t xml:space="preserve"> financial years; </w:t>
            </w:r>
          </w:p>
          <w:p w:rsidR="003A634C" w:rsidRPr="003A634C" w:rsidRDefault="003A634C" w:rsidP="003A634C">
            <w:pPr>
              <w:pStyle w:val="a4"/>
              <w:rPr>
                <w:rFonts w:ascii="Arial" w:hAnsi="Arial" w:cs="Arial"/>
                <w:bCs/>
                <w:sz w:val="20"/>
                <w:szCs w:val="20"/>
                <w:lang w:eastAsia="zh-TW"/>
              </w:rPr>
            </w:pPr>
          </w:p>
          <w:p w:rsidR="003A634C" w:rsidRPr="00D10060" w:rsidRDefault="003A634C" w:rsidP="004470DD">
            <w:pPr>
              <w:pStyle w:val="a4"/>
              <w:numPr>
                <w:ilvl w:val="0"/>
                <w:numId w:val="25"/>
              </w:numPr>
              <w:snapToGrid w:val="0"/>
              <w:ind w:left="589" w:hanging="567"/>
              <w:jc w:val="both"/>
              <w:rPr>
                <w:rFonts w:ascii="Arial" w:hAnsi="Arial" w:cs="Arial"/>
                <w:bCs/>
                <w:sz w:val="20"/>
                <w:szCs w:val="20"/>
                <w:lang w:eastAsia="zh-TW"/>
              </w:rPr>
            </w:pPr>
            <w:r w:rsidRPr="00D10060">
              <w:rPr>
                <w:rFonts w:ascii="Arial" w:hAnsi="Arial" w:cs="Arial"/>
                <w:bCs/>
                <w:sz w:val="20"/>
                <w:szCs w:val="20"/>
                <w:lang w:eastAsia="zh-TW"/>
              </w:rPr>
              <w:t>revenue of at least HK$100 million in aggregate for the 2 financial years immediately preceding the issue of the listing document, with a year-on-year growth of revenue over the 2 financial years;</w:t>
            </w:r>
          </w:p>
          <w:p w:rsidR="003A634C" w:rsidRPr="003A634C" w:rsidRDefault="003A634C" w:rsidP="003A634C">
            <w:pPr>
              <w:pStyle w:val="a4"/>
              <w:rPr>
                <w:rFonts w:ascii="Arial" w:hAnsi="Arial" w:cs="Arial"/>
                <w:bCs/>
                <w:sz w:val="20"/>
                <w:szCs w:val="20"/>
                <w:lang w:eastAsia="zh-TW"/>
              </w:rPr>
            </w:pPr>
          </w:p>
          <w:p w:rsidR="003A634C" w:rsidRDefault="003A634C" w:rsidP="003A634C">
            <w:pPr>
              <w:pStyle w:val="a4"/>
              <w:numPr>
                <w:ilvl w:val="0"/>
                <w:numId w:val="25"/>
              </w:numPr>
              <w:snapToGrid w:val="0"/>
              <w:ind w:left="589" w:hanging="567"/>
              <w:jc w:val="both"/>
              <w:rPr>
                <w:rFonts w:ascii="Arial" w:hAnsi="Arial" w:cs="Arial"/>
                <w:bCs/>
                <w:sz w:val="20"/>
                <w:szCs w:val="20"/>
                <w:lang w:eastAsia="zh-TW"/>
              </w:rPr>
            </w:pPr>
            <w:r w:rsidRPr="003A634C">
              <w:rPr>
                <w:rFonts w:ascii="Arial" w:hAnsi="Arial" w:cs="Arial"/>
                <w:bCs/>
                <w:sz w:val="20"/>
                <w:szCs w:val="20"/>
                <w:lang w:eastAsia="zh-TW"/>
              </w:rPr>
              <w:t xml:space="preserve">expenditure on </w:t>
            </w:r>
            <w:r>
              <w:rPr>
                <w:rFonts w:ascii="Arial" w:hAnsi="Arial" w:cs="Arial"/>
                <w:bCs/>
                <w:sz w:val="20"/>
                <w:szCs w:val="20"/>
                <w:lang w:eastAsia="zh-TW"/>
              </w:rPr>
              <w:t>R&amp;D of at least HK$30 million</w:t>
            </w:r>
            <w:r w:rsidRPr="003A634C">
              <w:rPr>
                <w:rFonts w:ascii="Arial" w:hAnsi="Arial" w:cs="Arial"/>
                <w:bCs/>
                <w:sz w:val="20"/>
                <w:szCs w:val="20"/>
                <w:lang w:eastAsia="zh-TW"/>
              </w:rPr>
              <w:t xml:space="preserve"> in aggregate for the </w:t>
            </w:r>
            <w:r>
              <w:rPr>
                <w:rFonts w:ascii="Arial" w:hAnsi="Arial" w:cs="Arial"/>
                <w:bCs/>
                <w:sz w:val="20"/>
                <w:szCs w:val="20"/>
                <w:lang w:eastAsia="zh-TW"/>
              </w:rPr>
              <w:t>2</w:t>
            </w:r>
            <w:r w:rsidRPr="003A634C">
              <w:rPr>
                <w:rFonts w:ascii="Arial" w:hAnsi="Arial" w:cs="Arial"/>
                <w:bCs/>
                <w:sz w:val="20"/>
                <w:szCs w:val="20"/>
                <w:lang w:eastAsia="zh-TW"/>
              </w:rPr>
              <w:t xml:space="preserve"> financial years immediately preceding the issue of the listing document; and</w:t>
            </w:r>
          </w:p>
          <w:p w:rsidR="003A634C" w:rsidRPr="003A634C" w:rsidRDefault="003A634C" w:rsidP="003A634C">
            <w:pPr>
              <w:pStyle w:val="a4"/>
              <w:rPr>
                <w:rFonts w:ascii="Arial" w:hAnsi="Arial" w:cs="Arial"/>
                <w:bCs/>
                <w:sz w:val="20"/>
                <w:szCs w:val="20"/>
                <w:lang w:eastAsia="zh-TW"/>
              </w:rPr>
            </w:pPr>
          </w:p>
          <w:p w:rsidR="003A634C" w:rsidRDefault="003A634C" w:rsidP="003A634C">
            <w:pPr>
              <w:pStyle w:val="a4"/>
              <w:numPr>
                <w:ilvl w:val="0"/>
                <w:numId w:val="25"/>
              </w:numPr>
              <w:snapToGrid w:val="0"/>
              <w:ind w:left="589" w:hanging="567"/>
              <w:jc w:val="both"/>
              <w:rPr>
                <w:rFonts w:ascii="Arial" w:hAnsi="Arial" w:cs="Arial"/>
                <w:bCs/>
                <w:sz w:val="20"/>
                <w:szCs w:val="20"/>
                <w:lang w:eastAsia="zh-TW"/>
              </w:rPr>
            </w:pPr>
            <w:r w:rsidRPr="003A634C">
              <w:rPr>
                <w:rFonts w:ascii="Arial" w:hAnsi="Arial" w:cs="Arial"/>
                <w:bCs/>
                <w:sz w:val="20"/>
                <w:szCs w:val="20"/>
                <w:lang w:eastAsia="zh-TW"/>
              </w:rPr>
              <w:t>expenditure on research and development amounting to at least</w:t>
            </w:r>
            <w:r>
              <w:rPr>
                <w:rFonts w:ascii="Arial" w:hAnsi="Arial" w:cs="Arial"/>
                <w:bCs/>
                <w:sz w:val="20"/>
                <w:szCs w:val="20"/>
                <w:lang w:eastAsia="zh-TW"/>
              </w:rPr>
              <w:t xml:space="preserve"> </w:t>
            </w:r>
            <w:r w:rsidRPr="003A634C">
              <w:rPr>
                <w:rFonts w:ascii="Arial" w:hAnsi="Arial" w:cs="Arial"/>
                <w:bCs/>
                <w:sz w:val="20"/>
                <w:szCs w:val="20"/>
                <w:lang w:eastAsia="zh-TW"/>
              </w:rPr>
              <w:t xml:space="preserve">15% of its total operating expenditure for each of the </w:t>
            </w:r>
            <w:r>
              <w:rPr>
                <w:rFonts w:ascii="Arial" w:hAnsi="Arial" w:cs="Arial"/>
                <w:bCs/>
                <w:sz w:val="20"/>
                <w:szCs w:val="20"/>
                <w:lang w:eastAsia="zh-TW"/>
              </w:rPr>
              <w:t>2</w:t>
            </w:r>
            <w:r w:rsidRPr="003A634C">
              <w:rPr>
                <w:rFonts w:ascii="Arial" w:hAnsi="Arial" w:cs="Arial"/>
                <w:bCs/>
                <w:sz w:val="20"/>
                <w:szCs w:val="20"/>
                <w:lang w:eastAsia="zh-TW"/>
              </w:rPr>
              <w:t xml:space="preserve"> financial</w:t>
            </w:r>
            <w:r>
              <w:rPr>
                <w:rFonts w:ascii="Arial" w:hAnsi="Arial" w:cs="Arial"/>
                <w:bCs/>
                <w:sz w:val="20"/>
                <w:szCs w:val="20"/>
                <w:lang w:eastAsia="zh-TW"/>
              </w:rPr>
              <w:t xml:space="preserve"> </w:t>
            </w:r>
            <w:r w:rsidRPr="003A634C">
              <w:rPr>
                <w:rFonts w:ascii="Arial" w:hAnsi="Arial" w:cs="Arial"/>
                <w:bCs/>
                <w:sz w:val="20"/>
                <w:szCs w:val="20"/>
                <w:lang w:eastAsia="zh-TW"/>
              </w:rPr>
              <w:t>years immediately preceding the issue of the listing document.</w:t>
            </w:r>
          </w:p>
          <w:p w:rsidR="003A634C" w:rsidRPr="003A634C" w:rsidRDefault="003A634C" w:rsidP="003A634C">
            <w:pPr>
              <w:snapToGrid w:val="0"/>
              <w:jc w:val="both"/>
              <w:rPr>
                <w:rFonts w:ascii="Arial" w:hAnsi="Arial" w:cs="Arial"/>
                <w:bCs/>
                <w:sz w:val="20"/>
                <w:szCs w:val="20"/>
                <w:lang w:eastAsia="zh-TW"/>
              </w:rPr>
            </w:pPr>
          </w:p>
        </w:tc>
      </w:tr>
    </w:tbl>
    <w:p w:rsidR="001D352A" w:rsidRDefault="001D352A" w:rsidP="005E58D7">
      <w:pPr>
        <w:snapToGrid w:val="0"/>
        <w:spacing w:after="0" w:line="240" w:lineRule="auto"/>
        <w:jc w:val="both"/>
        <w:rPr>
          <w:rFonts w:ascii="Arial" w:hAnsi="Arial" w:cs="Arial"/>
          <w:bCs/>
          <w:sz w:val="20"/>
          <w:szCs w:val="20"/>
          <w:lang w:eastAsia="zh-TW"/>
        </w:rPr>
      </w:pPr>
    </w:p>
    <w:p w:rsidR="00D84F6A" w:rsidRPr="00317156" w:rsidRDefault="00A3545A" w:rsidP="006205F1">
      <w:pPr>
        <w:snapToGrid w:val="0"/>
        <w:spacing w:after="0" w:line="240" w:lineRule="auto"/>
        <w:ind w:left="709"/>
        <w:jc w:val="both"/>
        <w:rPr>
          <w:rFonts w:ascii="Arial" w:hAnsi="Arial" w:cs="Arial"/>
          <w:b/>
          <w:bCs/>
          <w:sz w:val="20"/>
          <w:szCs w:val="20"/>
          <w:lang w:eastAsia="zh-TW"/>
        </w:rPr>
      </w:pPr>
      <w:r>
        <w:rPr>
          <w:rFonts w:ascii="Arial" w:hAnsi="Arial" w:cs="Arial"/>
          <w:b/>
          <w:bCs/>
          <w:sz w:val="20"/>
          <w:szCs w:val="20"/>
          <w:lang w:eastAsia="zh-TW"/>
        </w:rPr>
        <w:t>Proposed r</w:t>
      </w:r>
      <w:r w:rsidR="00317156" w:rsidRPr="00317156">
        <w:rPr>
          <w:rFonts w:ascii="Arial" w:hAnsi="Arial" w:cs="Arial"/>
          <w:b/>
          <w:bCs/>
          <w:sz w:val="20"/>
          <w:szCs w:val="20"/>
          <w:lang w:eastAsia="zh-TW"/>
        </w:rPr>
        <w:t xml:space="preserve">eduction of </w:t>
      </w:r>
      <w:proofErr w:type="gramStart"/>
      <w:r w:rsidR="00317156" w:rsidRPr="00317156">
        <w:rPr>
          <w:rFonts w:ascii="Arial" w:hAnsi="Arial" w:cs="Arial"/>
          <w:b/>
          <w:bCs/>
          <w:sz w:val="20"/>
          <w:szCs w:val="20"/>
          <w:lang w:eastAsia="zh-TW"/>
        </w:rPr>
        <w:t>Post-IPO</w:t>
      </w:r>
      <w:proofErr w:type="gramEnd"/>
      <w:r w:rsidR="00317156" w:rsidRPr="00317156">
        <w:rPr>
          <w:rFonts w:ascii="Arial" w:hAnsi="Arial" w:cs="Arial"/>
          <w:b/>
          <w:bCs/>
          <w:sz w:val="20"/>
          <w:szCs w:val="20"/>
          <w:lang w:eastAsia="zh-TW"/>
        </w:rPr>
        <w:t xml:space="preserve"> </w:t>
      </w:r>
      <w:r>
        <w:rPr>
          <w:rFonts w:ascii="Arial" w:hAnsi="Arial" w:cs="Arial"/>
          <w:b/>
          <w:bCs/>
          <w:sz w:val="20"/>
          <w:szCs w:val="20"/>
          <w:lang w:eastAsia="zh-TW"/>
        </w:rPr>
        <w:t>l</w:t>
      </w:r>
      <w:r w:rsidRPr="00317156">
        <w:rPr>
          <w:rFonts w:ascii="Arial" w:hAnsi="Arial" w:cs="Arial"/>
          <w:b/>
          <w:bCs/>
          <w:sz w:val="20"/>
          <w:szCs w:val="20"/>
          <w:lang w:eastAsia="zh-TW"/>
        </w:rPr>
        <w:t>ock</w:t>
      </w:r>
      <w:r w:rsidR="00317156" w:rsidRPr="00317156">
        <w:rPr>
          <w:rFonts w:ascii="Arial" w:hAnsi="Arial" w:cs="Arial"/>
          <w:b/>
          <w:bCs/>
          <w:sz w:val="20"/>
          <w:szCs w:val="20"/>
          <w:lang w:eastAsia="zh-TW"/>
        </w:rPr>
        <w:t>-</w:t>
      </w:r>
      <w:r>
        <w:rPr>
          <w:rFonts w:ascii="Arial" w:hAnsi="Arial" w:cs="Arial"/>
          <w:b/>
          <w:bCs/>
          <w:sz w:val="20"/>
          <w:szCs w:val="20"/>
          <w:lang w:eastAsia="zh-TW"/>
        </w:rPr>
        <w:t>u</w:t>
      </w:r>
      <w:r w:rsidRPr="00317156">
        <w:rPr>
          <w:rFonts w:ascii="Arial" w:hAnsi="Arial" w:cs="Arial"/>
          <w:b/>
          <w:bCs/>
          <w:sz w:val="20"/>
          <w:szCs w:val="20"/>
          <w:lang w:eastAsia="zh-TW"/>
        </w:rPr>
        <w:t xml:space="preserve">p </w:t>
      </w:r>
      <w:r>
        <w:rPr>
          <w:rFonts w:ascii="Arial" w:hAnsi="Arial" w:cs="Arial"/>
          <w:b/>
          <w:bCs/>
          <w:sz w:val="20"/>
          <w:szCs w:val="20"/>
          <w:lang w:eastAsia="zh-TW"/>
        </w:rPr>
        <w:t>p</w:t>
      </w:r>
      <w:r w:rsidRPr="00317156">
        <w:rPr>
          <w:rFonts w:ascii="Arial" w:hAnsi="Arial" w:cs="Arial"/>
          <w:b/>
          <w:bCs/>
          <w:sz w:val="20"/>
          <w:szCs w:val="20"/>
          <w:lang w:eastAsia="zh-TW"/>
        </w:rPr>
        <w:t xml:space="preserve">eriod </w:t>
      </w:r>
      <w:r w:rsidR="00317156" w:rsidRPr="00317156">
        <w:rPr>
          <w:rFonts w:ascii="Arial" w:hAnsi="Arial" w:cs="Arial"/>
          <w:b/>
          <w:bCs/>
          <w:sz w:val="20"/>
          <w:szCs w:val="20"/>
          <w:lang w:eastAsia="zh-TW"/>
        </w:rPr>
        <w:t xml:space="preserve">for </w:t>
      </w:r>
      <w:r>
        <w:rPr>
          <w:rFonts w:ascii="Arial" w:hAnsi="Arial" w:cs="Arial"/>
          <w:b/>
          <w:bCs/>
          <w:sz w:val="20"/>
          <w:szCs w:val="20"/>
          <w:lang w:eastAsia="zh-TW"/>
        </w:rPr>
        <w:t>c</w:t>
      </w:r>
      <w:r w:rsidRPr="00317156">
        <w:rPr>
          <w:rFonts w:ascii="Arial" w:hAnsi="Arial" w:cs="Arial"/>
          <w:b/>
          <w:bCs/>
          <w:sz w:val="20"/>
          <w:szCs w:val="20"/>
          <w:lang w:eastAsia="zh-TW"/>
        </w:rPr>
        <w:t xml:space="preserve">ontrolling </w:t>
      </w:r>
      <w:r>
        <w:rPr>
          <w:rFonts w:ascii="Arial" w:hAnsi="Arial" w:cs="Arial"/>
          <w:b/>
          <w:bCs/>
          <w:sz w:val="20"/>
          <w:szCs w:val="20"/>
          <w:lang w:eastAsia="zh-TW"/>
        </w:rPr>
        <w:t>s</w:t>
      </w:r>
      <w:r w:rsidRPr="00317156">
        <w:rPr>
          <w:rFonts w:ascii="Arial" w:hAnsi="Arial" w:cs="Arial"/>
          <w:b/>
          <w:bCs/>
          <w:sz w:val="20"/>
          <w:szCs w:val="20"/>
          <w:lang w:eastAsia="zh-TW"/>
        </w:rPr>
        <w:t>hareholders</w:t>
      </w:r>
    </w:p>
    <w:p w:rsidR="00317156" w:rsidRPr="00317156" w:rsidRDefault="00317156" w:rsidP="006205F1">
      <w:pPr>
        <w:snapToGrid w:val="0"/>
        <w:spacing w:after="0" w:line="240" w:lineRule="auto"/>
        <w:ind w:left="709"/>
        <w:jc w:val="both"/>
        <w:rPr>
          <w:rFonts w:ascii="Arial" w:hAnsi="Arial" w:cs="Arial"/>
          <w:b/>
          <w:bCs/>
          <w:sz w:val="20"/>
          <w:szCs w:val="20"/>
          <w:lang w:eastAsia="zh-TW"/>
        </w:rPr>
      </w:pPr>
    </w:p>
    <w:p w:rsidR="00317156" w:rsidRDefault="00317156" w:rsidP="006205F1">
      <w:pPr>
        <w:snapToGrid w:val="0"/>
        <w:spacing w:after="0" w:line="240" w:lineRule="auto"/>
        <w:ind w:left="709"/>
        <w:jc w:val="both"/>
        <w:rPr>
          <w:rFonts w:ascii="Arial" w:hAnsi="Arial" w:cs="Arial"/>
          <w:bCs/>
          <w:sz w:val="20"/>
          <w:szCs w:val="20"/>
          <w:lang w:eastAsia="zh-TW"/>
        </w:rPr>
      </w:pPr>
      <w:r w:rsidRPr="00317156">
        <w:rPr>
          <w:rFonts w:ascii="Arial" w:hAnsi="Arial" w:cs="Arial"/>
          <w:bCs/>
          <w:sz w:val="20"/>
          <w:szCs w:val="20"/>
          <w:lang w:eastAsia="zh-TW"/>
        </w:rPr>
        <w:t xml:space="preserve">The </w:t>
      </w:r>
      <w:r>
        <w:rPr>
          <w:rFonts w:ascii="Arial" w:hAnsi="Arial" w:cs="Arial"/>
          <w:bCs/>
          <w:sz w:val="20"/>
          <w:szCs w:val="20"/>
          <w:lang w:eastAsia="zh-TW"/>
        </w:rPr>
        <w:t xml:space="preserve">amendments to the GEM Listing Rules in 2018 </w:t>
      </w:r>
      <w:r w:rsidRPr="00317156">
        <w:rPr>
          <w:rFonts w:ascii="Arial" w:hAnsi="Arial" w:cs="Arial"/>
          <w:bCs/>
          <w:sz w:val="20"/>
          <w:szCs w:val="20"/>
          <w:lang w:eastAsia="zh-TW"/>
        </w:rPr>
        <w:t>extended the post-IPO lock-up period for GEM controlling shareholders from 12 months to 24 months. This was done to address shell activities and</w:t>
      </w:r>
      <w:r>
        <w:rPr>
          <w:rFonts w:ascii="Arial" w:hAnsi="Arial" w:cs="Arial"/>
          <w:bCs/>
          <w:sz w:val="20"/>
          <w:szCs w:val="20"/>
          <w:lang w:eastAsia="zh-TW"/>
        </w:rPr>
        <w:t xml:space="preserve"> </w:t>
      </w:r>
      <w:r w:rsidR="00D97824">
        <w:rPr>
          <w:rFonts w:ascii="Arial" w:hAnsi="Arial" w:cs="Arial"/>
          <w:bCs/>
          <w:sz w:val="20"/>
          <w:szCs w:val="20"/>
          <w:lang w:eastAsia="zh-TW"/>
        </w:rPr>
        <w:t>to</w:t>
      </w:r>
      <w:r>
        <w:rPr>
          <w:rFonts w:ascii="Arial" w:hAnsi="Arial" w:cs="Arial"/>
          <w:bCs/>
          <w:sz w:val="20"/>
          <w:szCs w:val="20"/>
          <w:lang w:eastAsia="zh-TW"/>
        </w:rPr>
        <w:t xml:space="preserve"> requir</w:t>
      </w:r>
      <w:r w:rsidR="00D97824">
        <w:rPr>
          <w:rFonts w:ascii="Arial" w:hAnsi="Arial" w:cs="Arial"/>
          <w:bCs/>
          <w:sz w:val="20"/>
          <w:szCs w:val="20"/>
          <w:lang w:eastAsia="zh-TW"/>
        </w:rPr>
        <w:t>e</w:t>
      </w:r>
      <w:r>
        <w:rPr>
          <w:rFonts w:ascii="Arial" w:hAnsi="Arial" w:cs="Arial"/>
          <w:bCs/>
          <w:sz w:val="20"/>
          <w:szCs w:val="20"/>
          <w:lang w:eastAsia="zh-TW"/>
        </w:rPr>
        <w:t xml:space="preserve"> </w:t>
      </w:r>
      <w:r w:rsidR="00654C35" w:rsidRPr="00654C35">
        <w:rPr>
          <w:rFonts w:ascii="Arial" w:hAnsi="Arial" w:cs="Arial"/>
          <w:bCs/>
          <w:sz w:val="20"/>
          <w:szCs w:val="20"/>
          <w:lang w:eastAsia="zh-TW"/>
        </w:rPr>
        <w:t>controlling shareholders</w:t>
      </w:r>
      <w:r w:rsidR="00654C35">
        <w:rPr>
          <w:rFonts w:ascii="Arial" w:hAnsi="Arial" w:cs="Arial"/>
          <w:bCs/>
          <w:sz w:val="20"/>
          <w:szCs w:val="20"/>
          <w:lang w:eastAsia="zh-TW"/>
        </w:rPr>
        <w:t xml:space="preserve"> </w:t>
      </w:r>
      <w:r>
        <w:rPr>
          <w:rFonts w:ascii="Arial" w:hAnsi="Arial" w:cs="Arial"/>
          <w:bCs/>
          <w:sz w:val="20"/>
          <w:szCs w:val="20"/>
          <w:lang w:eastAsia="zh-TW"/>
        </w:rPr>
        <w:t xml:space="preserve">to demonstrate a </w:t>
      </w:r>
      <w:r w:rsidRPr="00317156">
        <w:rPr>
          <w:rFonts w:ascii="Arial" w:hAnsi="Arial" w:cs="Arial"/>
          <w:bCs/>
          <w:sz w:val="20"/>
          <w:szCs w:val="20"/>
          <w:lang w:eastAsia="zh-TW"/>
        </w:rPr>
        <w:t xml:space="preserve">stronger commitment to the GEM issuer. However, the </w:t>
      </w:r>
      <w:r w:rsidR="00D97824">
        <w:rPr>
          <w:rFonts w:ascii="Arial" w:hAnsi="Arial" w:cs="Arial"/>
          <w:bCs/>
          <w:sz w:val="20"/>
          <w:szCs w:val="20"/>
          <w:lang w:eastAsia="zh-TW"/>
        </w:rPr>
        <w:t xml:space="preserve">HKEX claims that </w:t>
      </w:r>
      <w:r w:rsidRPr="00317156">
        <w:rPr>
          <w:rFonts w:ascii="Arial" w:hAnsi="Arial" w:cs="Arial"/>
          <w:bCs/>
          <w:sz w:val="20"/>
          <w:szCs w:val="20"/>
          <w:lang w:eastAsia="zh-TW"/>
        </w:rPr>
        <w:t>shell activities ha</w:t>
      </w:r>
      <w:r w:rsidR="00D97824">
        <w:rPr>
          <w:rFonts w:ascii="Arial" w:hAnsi="Arial" w:cs="Arial"/>
          <w:bCs/>
          <w:sz w:val="20"/>
          <w:szCs w:val="20"/>
          <w:lang w:eastAsia="zh-TW"/>
        </w:rPr>
        <w:t>ve</w:t>
      </w:r>
      <w:r w:rsidRPr="00317156">
        <w:rPr>
          <w:rFonts w:ascii="Arial" w:hAnsi="Arial" w:cs="Arial"/>
          <w:bCs/>
          <w:sz w:val="20"/>
          <w:szCs w:val="20"/>
          <w:lang w:eastAsia="zh-TW"/>
        </w:rPr>
        <w:t xml:space="preserve"> significantly decreased due to the efforts of the </w:t>
      </w:r>
      <w:r>
        <w:rPr>
          <w:rFonts w:ascii="Arial" w:hAnsi="Arial" w:cs="Arial"/>
          <w:bCs/>
          <w:sz w:val="20"/>
          <w:szCs w:val="20"/>
          <w:lang w:eastAsia="zh-TW"/>
        </w:rPr>
        <w:t>HKEX</w:t>
      </w:r>
      <w:r w:rsidRPr="00317156">
        <w:rPr>
          <w:rFonts w:ascii="Arial" w:hAnsi="Arial" w:cs="Arial"/>
          <w:bCs/>
          <w:sz w:val="20"/>
          <w:szCs w:val="20"/>
          <w:lang w:eastAsia="zh-TW"/>
        </w:rPr>
        <w:t xml:space="preserve"> and the SFC. </w:t>
      </w:r>
      <w:r w:rsidR="00AB60A0">
        <w:rPr>
          <w:rFonts w:ascii="Arial" w:hAnsi="Arial" w:cs="Arial"/>
          <w:bCs/>
          <w:sz w:val="20"/>
          <w:szCs w:val="20"/>
          <w:lang w:eastAsia="zh-TW"/>
        </w:rPr>
        <w:t>T</w:t>
      </w:r>
      <w:r>
        <w:rPr>
          <w:rFonts w:ascii="Arial" w:hAnsi="Arial" w:cs="Arial"/>
          <w:bCs/>
          <w:sz w:val="20"/>
          <w:szCs w:val="20"/>
          <w:lang w:eastAsia="zh-TW"/>
        </w:rPr>
        <w:t xml:space="preserve">he HKEX </w:t>
      </w:r>
      <w:r w:rsidR="00AB60A0">
        <w:rPr>
          <w:rFonts w:ascii="Arial" w:hAnsi="Arial" w:cs="Arial"/>
          <w:bCs/>
          <w:sz w:val="20"/>
          <w:szCs w:val="20"/>
          <w:lang w:eastAsia="zh-TW"/>
        </w:rPr>
        <w:t xml:space="preserve">thus </w:t>
      </w:r>
      <w:r>
        <w:rPr>
          <w:rFonts w:ascii="Arial" w:hAnsi="Arial" w:cs="Arial"/>
          <w:bCs/>
          <w:sz w:val="20"/>
          <w:szCs w:val="20"/>
          <w:lang w:eastAsia="zh-TW"/>
        </w:rPr>
        <w:t>considers that</w:t>
      </w:r>
      <w:r w:rsidRPr="00317156">
        <w:rPr>
          <w:rFonts w:ascii="Arial" w:hAnsi="Arial" w:cs="Arial"/>
          <w:bCs/>
          <w:sz w:val="20"/>
          <w:szCs w:val="20"/>
          <w:lang w:eastAsia="zh-TW"/>
        </w:rPr>
        <w:t xml:space="preserve"> the prolonged lock-up period is now </w:t>
      </w:r>
      <w:r>
        <w:rPr>
          <w:rFonts w:ascii="Arial" w:hAnsi="Arial" w:cs="Arial"/>
          <w:bCs/>
          <w:sz w:val="20"/>
          <w:szCs w:val="20"/>
          <w:lang w:eastAsia="zh-TW"/>
        </w:rPr>
        <w:t>unnecessary given that</w:t>
      </w:r>
      <w:r w:rsidRPr="00317156">
        <w:rPr>
          <w:rFonts w:ascii="Arial" w:hAnsi="Arial" w:cs="Arial"/>
          <w:bCs/>
          <w:sz w:val="20"/>
          <w:szCs w:val="20"/>
          <w:lang w:eastAsia="zh-TW"/>
        </w:rPr>
        <w:t xml:space="preserve"> a lengthy lock-up period reduces the appeal of a GEM listing and hampers the business development of newly listed GEM issuers by potentially delaying their ability to issue securities for fundraising purposes.</w:t>
      </w:r>
    </w:p>
    <w:p w:rsidR="00317156" w:rsidRDefault="00317156" w:rsidP="006205F1">
      <w:pPr>
        <w:snapToGrid w:val="0"/>
        <w:spacing w:after="0" w:line="240" w:lineRule="auto"/>
        <w:ind w:left="709"/>
        <w:jc w:val="both"/>
        <w:rPr>
          <w:rFonts w:ascii="Arial" w:hAnsi="Arial" w:cs="Arial"/>
          <w:bCs/>
          <w:sz w:val="20"/>
          <w:szCs w:val="20"/>
          <w:lang w:eastAsia="zh-TW"/>
        </w:rPr>
      </w:pPr>
    </w:p>
    <w:p w:rsidR="00317156" w:rsidRPr="00317156" w:rsidRDefault="00317156" w:rsidP="006205F1">
      <w:pPr>
        <w:snapToGrid w:val="0"/>
        <w:spacing w:after="0" w:line="240" w:lineRule="auto"/>
        <w:ind w:left="709"/>
        <w:jc w:val="both"/>
        <w:rPr>
          <w:rFonts w:ascii="Arial" w:hAnsi="Arial" w:cs="Arial"/>
          <w:bCs/>
          <w:i/>
          <w:sz w:val="20"/>
          <w:szCs w:val="20"/>
          <w:lang w:eastAsia="zh-TW"/>
        </w:rPr>
      </w:pPr>
      <w:r w:rsidRPr="00317156">
        <w:rPr>
          <w:rFonts w:ascii="Arial" w:hAnsi="Arial" w:cs="Arial"/>
          <w:bCs/>
          <w:i/>
          <w:sz w:val="20"/>
          <w:szCs w:val="20"/>
          <w:lang w:eastAsia="zh-TW"/>
        </w:rPr>
        <w:t>Proposal</w:t>
      </w:r>
    </w:p>
    <w:p w:rsidR="00317156" w:rsidRDefault="00317156" w:rsidP="006205F1">
      <w:pPr>
        <w:snapToGrid w:val="0"/>
        <w:spacing w:after="0" w:line="240" w:lineRule="auto"/>
        <w:ind w:left="709"/>
        <w:jc w:val="both"/>
        <w:rPr>
          <w:rFonts w:ascii="Arial" w:hAnsi="Arial" w:cs="Arial"/>
          <w:bCs/>
          <w:sz w:val="20"/>
          <w:szCs w:val="20"/>
          <w:lang w:eastAsia="zh-TW"/>
        </w:rPr>
      </w:pPr>
    </w:p>
    <w:p w:rsidR="00317156" w:rsidRDefault="00D67748" w:rsidP="006205F1">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The HKEX propose</w:t>
      </w:r>
      <w:r w:rsidR="001F5026">
        <w:rPr>
          <w:rFonts w:ascii="Arial" w:hAnsi="Arial" w:cs="Arial"/>
          <w:bCs/>
          <w:sz w:val="20"/>
          <w:szCs w:val="20"/>
          <w:lang w:eastAsia="zh-TW"/>
        </w:rPr>
        <w:t>s</w:t>
      </w:r>
      <w:r>
        <w:rPr>
          <w:rFonts w:ascii="Arial" w:hAnsi="Arial" w:cs="Arial"/>
          <w:bCs/>
          <w:sz w:val="20"/>
          <w:szCs w:val="20"/>
          <w:lang w:eastAsia="zh-TW"/>
        </w:rPr>
        <w:t xml:space="preserve"> to reduce the post-IPO </w:t>
      </w:r>
      <w:proofErr w:type="gramStart"/>
      <w:r>
        <w:rPr>
          <w:rFonts w:ascii="Arial" w:hAnsi="Arial" w:cs="Arial"/>
          <w:bCs/>
          <w:sz w:val="20"/>
          <w:szCs w:val="20"/>
          <w:lang w:eastAsia="zh-TW"/>
        </w:rPr>
        <w:t>24 month</w:t>
      </w:r>
      <w:proofErr w:type="gramEnd"/>
      <w:r>
        <w:rPr>
          <w:rFonts w:ascii="Arial" w:hAnsi="Arial" w:cs="Arial"/>
          <w:bCs/>
          <w:sz w:val="20"/>
          <w:szCs w:val="20"/>
          <w:lang w:eastAsia="zh-TW"/>
        </w:rPr>
        <w:t xml:space="preserve"> lock-up period imposed on controlling shareholders of GEM issuers to 12 months </w:t>
      </w:r>
      <w:r w:rsidR="001F5026">
        <w:rPr>
          <w:rFonts w:ascii="Arial" w:hAnsi="Arial" w:cs="Arial"/>
          <w:bCs/>
          <w:sz w:val="20"/>
          <w:szCs w:val="20"/>
          <w:lang w:eastAsia="zh-TW"/>
        </w:rPr>
        <w:t>i</w:t>
      </w:r>
      <w:r w:rsidRPr="00D67748">
        <w:rPr>
          <w:rFonts w:ascii="Arial" w:hAnsi="Arial" w:cs="Arial"/>
          <w:bCs/>
          <w:sz w:val="20"/>
          <w:szCs w:val="20"/>
          <w:lang w:eastAsia="zh-TW"/>
        </w:rPr>
        <w:t>n line</w:t>
      </w:r>
      <w:r>
        <w:rPr>
          <w:rFonts w:ascii="Arial" w:hAnsi="Arial" w:cs="Arial"/>
          <w:bCs/>
          <w:sz w:val="20"/>
          <w:szCs w:val="20"/>
          <w:lang w:eastAsia="zh-TW"/>
        </w:rPr>
        <w:t xml:space="preserve"> with Main Board requirements</w:t>
      </w:r>
      <w:r w:rsidR="00232BCA">
        <w:rPr>
          <w:rFonts w:ascii="Arial" w:hAnsi="Arial" w:cs="Arial"/>
          <w:bCs/>
          <w:sz w:val="20"/>
          <w:szCs w:val="20"/>
          <w:lang w:eastAsia="zh-TW"/>
        </w:rPr>
        <w:t xml:space="preserve">. This means that </w:t>
      </w:r>
      <w:r w:rsidR="001F5026">
        <w:rPr>
          <w:rFonts w:ascii="Arial" w:hAnsi="Arial" w:cs="Arial"/>
          <w:bCs/>
          <w:sz w:val="20"/>
          <w:szCs w:val="20"/>
          <w:lang w:eastAsia="zh-TW"/>
        </w:rPr>
        <w:t>c</w:t>
      </w:r>
      <w:r w:rsidRPr="00D67748">
        <w:rPr>
          <w:rFonts w:ascii="Arial" w:hAnsi="Arial" w:cs="Arial"/>
          <w:bCs/>
          <w:sz w:val="20"/>
          <w:szCs w:val="20"/>
          <w:lang w:eastAsia="zh-TW"/>
        </w:rPr>
        <w:t xml:space="preserve">ontrolling shareholders of </w:t>
      </w:r>
      <w:r w:rsidR="001F5026">
        <w:rPr>
          <w:rFonts w:ascii="Arial" w:hAnsi="Arial" w:cs="Arial"/>
          <w:bCs/>
          <w:sz w:val="20"/>
          <w:szCs w:val="20"/>
          <w:lang w:eastAsia="zh-TW"/>
        </w:rPr>
        <w:t xml:space="preserve">the </w:t>
      </w:r>
      <w:r w:rsidRPr="00D67748">
        <w:rPr>
          <w:rFonts w:ascii="Arial" w:hAnsi="Arial" w:cs="Arial"/>
          <w:bCs/>
          <w:sz w:val="20"/>
          <w:szCs w:val="20"/>
          <w:lang w:eastAsia="zh-TW"/>
        </w:rPr>
        <w:t xml:space="preserve">issuer would not be able to dispose of any of their interests in the issuer within the first </w:t>
      </w:r>
      <w:r w:rsidR="00232BCA">
        <w:rPr>
          <w:rFonts w:ascii="Arial" w:hAnsi="Arial" w:cs="Arial"/>
          <w:bCs/>
          <w:sz w:val="20"/>
          <w:szCs w:val="20"/>
          <w:lang w:eastAsia="zh-TW"/>
        </w:rPr>
        <w:t>6</w:t>
      </w:r>
      <w:r w:rsidR="00232BCA" w:rsidRPr="00D67748">
        <w:rPr>
          <w:rFonts w:ascii="Arial" w:hAnsi="Arial" w:cs="Arial"/>
          <w:bCs/>
          <w:sz w:val="20"/>
          <w:szCs w:val="20"/>
          <w:lang w:eastAsia="zh-TW"/>
        </w:rPr>
        <w:t xml:space="preserve"> </w:t>
      </w:r>
      <w:r w:rsidRPr="00D67748">
        <w:rPr>
          <w:rFonts w:ascii="Arial" w:hAnsi="Arial" w:cs="Arial"/>
          <w:bCs/>
          <w:sz w:val="20"/>
          <w:szCs w:val="20"/>
          <w:lang w:eastAsia="zh-TW"/>
        </w:rPr>
        <w:t xml:space="preserve">months of listing and would not be able to dispose of any interest in the second </w:t>
      </w:r>
      <w:r>
        <w:rPr>
          <w:rFonts w:ascii="Arial" w:hAnsi="Arial" w:cs="Arial"/>
          <w:bCs/>
          <w:sz w:val="20"/>
          <w:szCs w:val="20"/>
          <w:lang w:eastAsia="zh-TW"/>
        </w:rPr>
        <w:t>6</w:t>
      </w:r>
      <w:r w:rsidRPr="00D67748">
        <w:rPr>
          <w:rFonts w:ascii="Arial" w:hAnsi="Arial" w:cs="Arial"/>
          <w:bCs/>
          <w:sz w:val="20"/>
          <w:szCs w:val="20"/>
          <w:lang w:eastAsia="zh-TW"/>
        </w:rPr>
        <w:t xml:space="preserve"> months that would result in them no longer being</w:t>
      </w:r>
      <w:r w:rsidR="001F5026">
        <w:rPr>
          <w:rFonts w:ascii="Arial" w:hAnsi="Arial" w:cs="Arial"/>
          <w:bCs/>
          <w:sz w:val="20"/>
          <w:szCs w:val="20"/>
          <w:lang w:eastAsia="zh-TW"/>
        </w:rPr>
        <w:t xml:space="preserve"> </w:t>
      </w:r>
      <w:r w:rsidR="00D97824">
        <w:rPr>
          <w:rFonts w:ascii="Arial" w:hAnsi="Arial" w:cs="Arial"/>
          <w:bCs/>
          <w:sz w:val="20"/>
          <w:szCs w:val="20"/>
          <w:lang w:eastAsia="zh-TW"/>
        </w:rPr>
        <w:t>a</w:t>
      </w:r>
      <w:r w:rsidRPr="00D67748">
        <w:rPr>
          <w:rFonts w:ascii="Arial" w:hAnsi="Arial" w:cs="Arial"/>
          <w:bCs/>
          <w:sz w:val="20"/>
          <w:szCs w:val="20"/>
          <w:lang w:eastAsia="zh-TW"/>
        </w:rPr>
        <w:t xml:space="preserve"> controlling shareholder</w:t>
      </w:r>
      <w:r>
        <w:rPr>
          <w:rFonts w:ascii="Arial" w:hAnsi="Arial" w:cs="Arial"/>
          <w:bCs/>
          <w:sz w:val="20"/>
          <w:szCs w:val="20"/>
          <w:lang w:eastAsia="zh-TW"/>
        </w:rPr>
        <w:t>.</w:t>
      </w:r>
    </w:p>
    <w:p w:rsidR="00150FC7" w:rsidRDefault="00150FC7" w:rsidP="006205F1">
      <w:pPr>
        <w:snapToGrid w:val="0"/>
        <w:spacing w:after="0" w:line="240" w:lineRule="auto"/>
        <w:ind w:left="709"/>
        <w:jc w:val="both"/>
        <w:rPr>
          <w:rFonts w:ascii="Arial" w:hAnsi="Arial" w:cs="Arial"/>
          <w:bCs/>
          <w:sz w:val="20"/>
          <w:szCs w:val="20"/>
          <w:lang w:eastAsia="zh-TW"/>
        </w:rPr>
      </w:pPr>
    </w:p>
    <w:p w:rsidR="00150FC7" w:rsidRDefault="001F5026" w:rsidP="006205F1">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To aid liquidity, t</w:t>
      </w:r>
      <w:r w:rsidR="00150FC7">
        <w:rPr>
          <w:rFonts w:ascii="Arial" w:hAnsi="Arial" w:cs="Arial"/>
          <w:bCs/>
          <w:sz w:val="20"/>
          <w:szCs w:val="20"/>
          <w:lang w:eastAsia="zh-TW"/>
        </w:rPr>
        <w:t xml:space="preserve">he HKEX </w:t>
      </w:r>
      <w:r>
        <w:rPr>
          <w:rFonts w:ascii="Arial" w:hAnsi="Arial" w:cs="Arial"/>
          <w:bCs/>
          <w:sz w:val="20"/>
          <w:szCs w:val="20"/>
          <w:lang w:eastAsia="zh-TW"/>
        </w:rPr>
        <w:t xml:space="preserve">may </w:t>
      </w:r>
      <w:r w:rsidR="00150FC7">
        <w:rPr>
          <w:rFonts w:ascii="Arial" w:hAnsi="Arial" w:cs="Arial"/>
          <w:bCs/>
          <w:sz w:val="20"/>
          <w:szCs w:val="20"/>
          <w:lang w:eastAsia="zh-TW"/>
        </w:rPr>
        <w:t>also explore further the concept of “free float” (</w:t>
      </w:r>
      <w:proofErr w:type="gramStart"/>
      <w:r w:rsidR="00150FC7">
        <w:rPr>
          <w:rFonts w:ascii="Arial" w:hAnsi="Arial" w:cs="Arial"/>
          <w:bCs/>
          <w:sz w:val="20"/>
          <w:szCs w:val="20"/>
          <w:lang w:eastAsia="zh-TW"/>
        </w:rPr>
        <w:t>i.e.</w:t>
      </w:r>
      <w:proofErr w:type="gramEnd"/>
      <w:r w:rsidR="00150FC7">
        <w:rPr>
          <w:rFonts w:ascii="Arial" w:hAnsi="Arial" w:cs="Arial"/>
          <w:bCs/>
          <w:sz w:val="20"/>
          <w:szCs w:val="20"/>
          <w:lang w:eastAsia="zh-TW"/>
        </w:rPr>
        <w:t xml:space="preserve"> a requirement that a minimum number of issuers</w:t>
      </w:r>
      <w:r w:rsidR="00655D0A">
        <w:rPr>
          <w:rFonts w:ascii="Arial" w:hAnsi="Arial" w:cs="Arial"/>
          <w:bCs/>
          <w:sz w:val="20"/>
          <w:szCs w:val="20"/>
          <w:lang w:eastAsia="zh-TW"/>
        </w:rPr>
        <w:t>’</w:t>
      </w:r>
      <w:r w:rsidR="00150FC7">
        <w:rPr>
          <w:rFonts w:ascii="Arial" w:hAnsi="Arial" w:cs="Arial"/>
          <w:bCs/>
          <w:sz w:val="20"/>
          <w:szCs w:val="20"/>
          <w:lang w:eastAsia="zh-TW"/>
        </w:rPr>
        <w:t xml:space="preserve"> shares </w:t>
      </w:r>
      <w:r w:rsidR="00655D0A">
        <w:rPr>
          <w:rFonts w:ascii="Arial" w:hAnsi="Arial" w:cs="Arial"/>
          <w:bCs/>
          <w:sz w:val="20"/>
          <w:szCs w:val="20"/>
          <w:lang w:eastAsia="zh-TW"/>
        </w:rPr>
        <w:t>are not subject</w:t>
      </w:r>
      <w:r w:rsidR="00150FC7">
        <w:rPr>
          <w:rFonts w:ascii="Arial" w:hAnsi="Arial" w:cs="Arial"/>
          <w:bCs/>
          <w:sz w:val="20"/>
          <w:szCs w:val="20"/>
          <w:lang w:eastAsia="zh-TW"/>
        </w:rPr>
        <w:t xml:space="preserve"> </w:t>
      </w:r>
      <w:r w:rsidR="00655D0A">
        <w:rPr>
          <w:rFonts w:ascii="Arial" w:hAnsi="Arial" w:cs="Arial"/>
          <w:bCs/>
          <w:sz w:val="20"/>
          <w:szCs w:val="20"/>
          <w:lang w:eastAsia="zh-TW"/>
        </w:rPr>
        <w:t>to a</w:t>
      </w:r>
      <w:r w:rsidR="00150FC7">
        <w:rPr>
          <w:rFonts w:ascii="Arial" w:hAnsi="Arial" w:cs="Arial"/>
          <w:bCs/>
          <w:sz w:val="20"/>
          <w:szCs w:val="20"/>
          <w:lang w:eastAsia="zh-TW"/>
        </w:rPr>
        <w:t xml:space="preserve"> lock-up)</w:t>
      </w:r>
      <w:r>
        <w:rPr>
          <w:rFonts w:ascii="Arial" w:hAnsi="Arial" w:cs="Arial"/>
          <w:bCs/>
          <w:sz w:val="20"/>
          <w:szCs w:val="20"/>
          <w:lang w:eastAsia="zh-TW"/>
        </w:rPr>
        <w:t xml:space="preserve"> which is adopted in the Nasdaq Capital Market</w:t>
      </w:r>
      <w:r w:rsidR="00A3545A">
        <w:rPr>
          <w:rFonts w:ascii="Arial" w:hAnsi="Arial" w:cs="Arial"/>
          <w:bCs/>
          <w:sz w:val="20"/>
          <w:szCs w:val="20"/>
          <w:lang w:eastAsia="zh-TW"/>
        </w:rPr>
        <w:t xml:space="preserve"> as part of a future consultation exercise</w:t>
      </w:r>
      <w:r w:rsidR="00150FC7">
        <w:rPr>
          <w:rFonts w:ascii="Arial" w:hAnsi="Arial" w:cs="Arial"/>
          <w:bCs/>
          <w:sz w:val="20"/>
          <w:szCs w:val="20"/>
          <w:lang w:eastAsia="zh-TW"/>
        </w:rPr>
        <w:t>.</w:t>
      </w:r>
    </w:p>
    <w:p w:rsidR="00D67748" w:rsidRDefault="00D67748" w:rsidP="005E58D7">
      <w:pPr>
        <w:snapToGrid w:val="0"/>
        <w:spacing w:after="0" w:line="240" w:lineRule="auto"/>
        <w:jc w:val="both"/>
        <w:rPr>
          <w:rFonts w:ascii="Arial" w:hAnsi="Arial" w:cs="Arial"/>
          <w:bCs/>
          <w:sz w:val="20"/>
          <w:szCs w:val="20"/>
          <w:lang w:eastAsia="zh-TW"/>
        </w:rPr>
      </w:pPr>
    </w:p>
    <w:tbl>
      <w:tblPr>
        <w:tblStyle w:val="af5"/>
        <w:tblW w:w="9821" w:type="dxa"/>
        <w:tblInd w:w="704" w:type="dxa"/>
        <w:tblLook w:val="04A0" w:firstRow="1" w:lastRow="0" w:firstColumn="1" w:lastColumn="0" w:noHBand="0" w:noVBand="1"/>
      </w:tblPr>
      <w:tblGrid>
        <w:gridCol w:w="4691"/>
        <w:gridCol w:w="5130"/>
      </w:tblGrid>
      <w:tr w:rsidR="00D67748" w:rsidRPr="001D352A" w:rsidTr="00D10060">
        <w:tc>
          <w:tcPr>
            <w:tcW w:w="4691" w:type="dxa"/>
          </w:tcPr>
          <w:p w:rsidR="00D67748" w:rsidRPr="001D352A" w:rsidRDefault="00D67748" w:rsidP="00FB1731">
            <w:pPr>
              <w:snapToGrid w:val="0"/>
              <w:jc w:val="center"/>
              <w:rPr>
                <w:rFonts w:ascii="Arial" w:hAnsi="Arial" w:cs="Arial"/>
                <w:b/>
                <w:bCs/>
                <w:sz w:val="20"/>
                <w:szCs w:val="20"/>
                <w:lang w:eastAsia="zh-TW"/>
              </w:rPr>
            </w:pPr>
            <w:r w:rsidRPr="001D352A">
              <w:rPr>
                <w:rFonts w:ascii="Arial" w:hAnsi="Arial" w:cs="Arial"/>
                <w:b/>
                <w:bCs/>
                <w:sz w:val="20"/>
                <w:szCs w:val="20"/>
                <w:lang w:eastAsia="zh-TW"/>
              </w:rPr>
              <w:t xml:space="preserve">Current </w:t>
            </w:r>
            <w:r>
              <w:rPr>
                <w:rFonts w:ascii="Arial" w:hAnsi="Arial" w:cs="Arial"/>
                <w:b/>
                <w:bCs/>
                <w:sz w:val="20"/>
                <w:szCs w:val="20"/>
                <w:lang w:eastAsia="zh-TW"/>
              </w:rPr>
              <w:t>post-IPO lock</w:t>
            </w:r>
            <w:r w:rsidR="00655D0A">
              <w:rPr>
                <w:rFonts w:ascii="Arial" w:hAnsi="Arial" w:cs="Arial"/>
                <w:b/>
                <w:bCs/>
                <w:sz w:val="20"/>
                <w:szCs w:val="20"/>
                <w:lang w:eastAsia="zh-TW"/>
              </w:rPr>
              <w:t>-</w:t>
            </w:r>
            <w:r>
              <w:rPr>
                <w:rFonts w:ascii="Arial" w:hAnsi="Arial" w:cs="Arial"/>
                <w:b/>
                <w:bCs/>
                <w:sz w:val="20"/>
                <w:szCs w:val="20"/>
                <w:lang w:eastAsia="zh-TW"/>
              </w:rPr>
              <w:t>up period</w:t>
            </w:r>
            <w:r w:rsidR="00150FC7">
              <w:rPr>
                <w:rFonts w:ascii="Arial" w:hAnsi="Arial" w:cs="Arial"/>
                <w:b/>
                <w:bCs/>
                <w:sz w:val="20"/>
                <w:szCs w:val="20"/>
                <w:lang w:eastAsia="zh-TW"/>
              </w:rPr>
              <w:t xml:space="preserve"> on controlling shareholders</w:t>
            </w:r>
          </w:p>
          <w:p w:rsidR="00D67748" w:rsidRPr="001D352A" w:rsidRDefault="00D67748" w:rsidP="00FB1731">
            <w:pPr>
              <w:snapToGrid w:val="0"/>
              <w:jc w:val="center"/>
              <w:rPr>
                <w:rFonts w:ascii="Arial" w:hAnsi="Arial" w:cs="Arial"/>
                <w:b/>
                <w:bCs/>
                <w:sz w:val="20"/>
                <w:szCs w:val="20"/>
                <w:lang w:eastAsia="zh-TW"/>
              </w:rPr>
            </w:pPr>
          </w:p>
        </w:tc>
        <w:tc>
          <w:tcPr>
            <w:tcW w:w="5130" w:type="dxa"/>
          </w:tcPr>
          <w:p w:rsidR="00D67748" w:rsidRPr="001D352A" w:rsidRDefault="00D67748" w:rsidP="00D67748">
            <w:pPr>
              <w:snapToGrid w:val="0"/>
              <w:jc w:val="center"/>
              <w:rPr>
                <w:rFonts w:ascii="Arial" w:hAnsi="Arial" w:cs="Arial"/>
                <w:b/>
                <w:bCs/>
                <w:sz w:val="20"/>
                <w:szCs w:val="20"/>
                <w:lang w:eastAsia="zh-TW"/>
              </w:rPr>
            </w:pPr>
            <w:r w:rsidRPr="001D352A">
              <w:rPr>
                <w:rFonts w:ascii="Arial" w:hAnsi="Arial" w:cs="Arial"/>
                <w:b/>
                <w:bCs/>
                <w:sz w:val="20"/>
                <w:szCs w:val="20"/>
                <w:lang w:eastAsia="zh-TW"/>
              </w:rPr>
              <w:t xml:space="preserve">Proposed </w:t>
            </w:r>
            <w:r>
              <w:rPr>
                <w:rFonts w:ascii="Arial" w:hAnsi="Arial" w:cs="Arial"/>
                <w:b/>
                <w:bCs/>
                <w:sz w:val="20"/>
                <w:szCs w:val="20"/>
                <w:lang w:eastAsia="zh-TW"/>
              </w:rPr>
              <w:t>post-IPO lock</w:t>
            </w:r>
            <w:r w:rsidR="00655D0A">
              <w:rPr>
                <w:rFonts w:ascii="Arial" w:hAnsi="Arial" w:cs="Arial"/>
                <w:b/>
                <w:bCs/>
                <w:sz w:val="20"/>
                <w:szCs w:val="20"/>
                <w:lang w:eastAsia="zh-TW"/>
              </w:rPr>
              <w:t>-</w:t>
            </w:r>
            <w:r>
              <w:rPr>
                <w:rFonts w:ascii="Arial" w:hAnsi="Arial" w:cs="Arial"/>
                <w:b/>
                <w:bCs/>
                <w:sz w:val="20"/>
                <w:szCs w:val="20"/>
                <w:lang w:eastAsia="zh-TW"/>
              </w:rPr>
              <w:t xml:space="preserve">up period </w:t>
            </w:r>
            <w:r w:rsidR="00150FC7">
              <w:rPr>
                <w:rFonts w:ascii="Arial" w:hAnsi="Arial" w:cs="Arial"/>
                <w:b/>
                <w:bCs/>
                <w:sz w:val="20"/>
                <w:szCs w:val="20"/>
                <w:lang w:eastAsia="zh-TW"/>
              </w:rPr>
              <w:t>on controlling shareholders</w:t>
            </w:r>
          </w:p>
        </w:tc>
      </w:tr>
      <w:tr w:rsidR="00D67748" w:rsidRPr="003A634C" w:rsidTr="00D10060">
        <w:tc>
          <w:tcPr>
            <w:tcW w:w="4691" w:type="dxa"/>
          </w:tcPr>
          <w:p w:rsidR="00150FC7" w:rsidRDefault="00150FC7" w:rsidP="00FB1731">
            <w:pPr>
              <w:snapToGrid w:val="0"/>
              <w:jc w:val="both"/>
              <w:rPr>
                <w:rFonts w:ascii="Arial" w:hAnsi="Arial" w:cs="Arial"/>
                <w:bCs/>
                <w:sz w:val="20"/>
                <w:szCs w:val="20"/>
                <w:lang w:eastAsia="zh-TW"/>
              </w:rPr>
            </w:pPr>
            <w:r>
              <w:rPr>
                <w:rFonts w:ascii="Arial" w:hAnsi="Arial" w:cs="Arial"/>
                <w:bCs/>
                <w:sz w:val="20"/>
                <w:szCs w:val="20"/>
                <w:lang w:eastAsia="zh-TW"/>
              </w:rPr>
              <w:t>Controlling shareholders are restricted from:</w:t>
            </w:r>
            <w:r>
              <w:rPr>
                <w:rStyle w:val="a7"/>
                <w:rFonts w:ascii="Arial" w:hAnsi="Arial" w:cs="Arial"/>
                <w:bCs/>
                <w:sz w:val="20"/>
                <w:szCs w:val="20"/>
                <w:lang w:eastAsia="zh-TW"/>
              </w:rPr>
              <w:footnoteReference w:id="7"/>
            </w:r>
          </w:p>
          <w:p w:rsidR="00150FC7" w:rsidRDefault="00150FC7" w:rsidP="00FB1731">
            <w:pPr>
              <w:snapToGrid w:val="0"/>
              <w:jc w:val="both"/>
              <w:rPr>
                <w:rFonts w:ascii="Arial" w:hAnsi="Arial" w:cs="Arial"/>
                <w:bCs/>
                <w:sz w:val="20"/>
                <w:szCs w:val="20"/>
                <w:lang w:eastAsia="zh-TW"/>
              </w:rPr>
            </w:pPr>
          </w:p>
          <w:p w:rsidR="00150FC7" w:rsidRDefault="00150FC7" w:rsidP="00150FC7">
            <w:pPr>
              <w:pStyle w:val="a4"/>
              <w:numPr>
                <w:ilvl w:val="0"/>
                <w:numId w:val="27"/>
              </w:numPr>
              <w:snapToGrid w:val="0"/>
              <w:ind w:left="589" w:hanging="567"/>
              <w:jc w:val="both"/>
              <w:rPr>
                <w:rFonts w:ascii="Arial" w:hAnsi="Arial" w:cs="Arial"/>
                <w:bCs/>
                <w:sz w:val="20"/>
                <w:szCs w:val="20"/>
                <w:lang w:eastAsia="zh-TW"/>
              </w:rPr>
            </w:pPr>
            <w:r>
              <w:rPr>
                <w:rFonts w:ascii="Arial" w:hAnsi="Arial" w:cs="Arial"/>
                <w:bCs/>
                <w:sz w:val="20"/>
                <w:szCs w:val="20"/>
                <w:lang w:eastAsia="zh-TW"/>
              </w:rPr>
              <w:lastRenderedPageBreak/>
              <w:t xml:space="preserve">disposing of any shares within the </w:t>
            </w:r>
            <w:r w:rsidRPr="00D10060">
              <w:rPr>
                <w:rFonts w:ascii="Arial" w:hAnsi="Arial" w:cs="Arial"/>
                <w:b/>
                <w:bCs/>
                <w:sz w:val="20"/>
                <w:szCs w:val="20"/>
                <w:lang w:eastAsia="zh-TW"/>
              </w:rPr>
              <w:t>first 12</w:t>
            </w:r>
            <w:r>
              <w:rPr>
                <w:rFonts w:ascii="Arial" w:hAnsi="Arial" w:cs="Arial"/>
                <w:bCs/>
                <w:sz w:val="20"/>
                <w:szCs w:val="20"/>
                <w:lang w:eastAsia="zh-TW"/>
              </w:rPr>
              <w:t xml:space="preserve"> </w:t>
            </w:r>
            <w:r w:rsidRPr="00D10060">
              <w:rPr>
                <w:rFonts w:ascii="Arial" w:hAnsi="Arial" w:cs="Arial"/>
                <w:b/>
                <w:bCs/>
                <w:sz w:val="20"/>
                <w:szCs w:val="20"/>
                <w:lang w:eastAsia="zh-TW"/>
              </w:rPr>
              <w:t>months</w:t>
            </w:r>
            <w:r>
              <w:rPr>
                <w:rFonts w:ascii="Arial" w:hAnsi="Arial" w:cs="Arial"/>
                <w:bCs/>
                <w:sz w:val="20"/>
                <w:szCs w:val="20"/>
                <w:lang w:eastAsia="zh-TW"/>
              </w:rPr>
              <w:t xml:space="preserve"> after listing; and</w:t>
            </w:r>
          </w:p>
          <w:p w:rsidR="00150FC7" w:rsidRDefault="00150FC7" w:rsidP="00150FC7">
            <w:pPr>
              <w:pStyle w:val="a4"/>
              <w:snapToGrid w:val="0"/>
              <w:ind w:left="589"/>
              <w:jc w:val="both"/>
              <w:rPr>
                <w:rFonts w:ascii="Arial" w:hAnsi="Arial" w:cs="Arial"/>
                <w:bCs/>
                <w:sz w:val="20"/>
                <w:szCs w:val="20"/>
                <w:lang w:eastAsia="zh-TW"/>
              </w:rPr>
            </w:pPr>
          </w:p>
          <w:p w:rsidR="00150FC7" w:rsidRDefault="00150FC7" w:rsidP="00150FC7">
            <w:pPr>
              <w:pStyle w:val="a4"/>
              <w:numPr>
                <w:ilvl w:val="0"/>
                <w:numId w:val="27"/>
              </w:numPr>
              <w:snapToGrid w:val="0"/>
              <w:ind w:left="589" w:hanging="567"/>
              <w:jc w:val="both"/>
              <w:rPr>
                <w:rFonts w:ascii="Arial" w:hAnsi="Arial" w:cs="Arial"/>
                <w:bCs/>
                <w:sz w:val="20"/>
                <w:szCs w:val="20"/>
                <w:lang w:eastAsia="zh-TW"/>
              </w:rPr>
            </w:pPr>
            <w:r>
              <w:rPr>
                <w:rFonts w:ascii="Arial" w:hAnsi="Arial" w:cs="Arial"/>
                <w:bCs/>
                <w:sz w:val="20"/>
                <w:szCs w:val="20"/>
                <w:lang w:eastAsia="zh-TW"/>
              </w:rPr>
              <w:t xml:space="preserve">disposing </w:t>
            </w:r>
            <w:r w:rsidR="00655D0A">
              <w:rPr>
                <w:rFonts w:ascii="Arial" w:hAnsi="Arial" w:cs="Arial"/>
                <w:bCs/>
                <w:sz w:val="20"/>
                <w:szCs w:val="20"/>
                <w:lang w:eastAsia="zh-TW"/>
              </w:rPr>
              <w:t xml:space="preserve">of </w:t>
            </w:r>
            <w:r>
              <w:rPr>
                <w:rFonts w:ascii="Arial" w:hAnsi="Arial" w:cs="Arial"/>
                <w:bCs/>
                <w:sz w:val="20"/>
                <w:szCs w:val="20"/>
                <w:lang w:eastAsia="zh-TW"/>
              </w:rPr>
              <w:t xml:space="preserve">shares that would result in them ceasing to be the controlling shareholders within the </w:t>
            </w:r>
            <w:r w:rsidRPr="00D10060">
              <w:rPr>
                <w:rFonts w:ascii="Arial" w:hAnsi="Arial" w:cs="Arial"/>
                <w:b/>
                <w:bCs/>
                <w:sz w:val="20"/>
                <w:szCs w:val="20"/>
                <w:lang w:eastAsia="zh-TW"/>
              </w:rPr>
              <w:t>second 12 months</w:t>
            </w:r>
            <w:r>
              <w:rPr>
                <w:rFonts w:ascii="Arial" w:hAnsi="Arial" w:cs="Arial"/>
                <w:bCs/>
                <w:sz w:val="20"/>
                <w:szCs w:val="20"/>
                <w:lang w:eastAsia="zh-TW"/>
              </w:rPr>
              <w:t xml:space="preserve"> after listing.</w:t>
            </w:r>
          </w:p>
          <w:p w:rsidR="00D67748" w:rsidRDefault="00D67748" w:rsidP="00FB1731">
            <w:pPr>
              <w:snapToGrid w:val="0"/>
              <w:jc w:val="both"/>
              <w:rPr>
                <w:rFonts w:ascii="Arial" w:hAnsi="Arial" w:cs="Arial"/>
                <w:bCs/>
                <w:sz w:val="20"/>
                <w:szCs w:val="20"/>
                <w:lang w:eastAsia="zh-TW"/>
              </w:rPr>
            </w:pPr>
          </w:p>
        </w:tc>
        <w:tc>
          <w:tcPr>
            <w:tcW w:w="5130" w:type="dxa"/>
          </w:tcPr>
          <w:p w:rsidR="00150FC7" w:rsidRDefault="00DE3C83" w:rsidP="00150FC7">
            <w:pPr>
              <w:snapToGrid w:val="0"/>
              <w:jc w:val="both"/>
              <w:rPr>
                <w:rFonts w:ascii="Arial" w:hAnsi="Arial" w:cs="Arial"/>
                <w:bCs/>
                <w:sz w:val="20"/>
                <w:szCs w:val="20"/>
                <w:lang w:eastAsia="zh-TW"/>
              </w:rPr>
            </w:pPr>
            <w:r>
              <w:rPr>
                <w:rFonts w:ascii="Arial" w:hAnsi="Arial" w:cs="Arial"/>
                <w:bCs/>
                <w:sz w:val="20"/>
                <w:szCs w:val="20"/>
                <w:lang w:eastAsia="zh-TW"/>
              </w:rPr>
              <w:lastRenderedPageBreak/>
              <w:t>C</w:t>
            </w:r>
            <w:r w:rsidR="00150FC7">
              <w:rPr>
                <w:rFonts w:ascii="Arial" w:hAnsi="Arial" w:cs="Arial"/>
                <w:bCs/>
                <w:sz w:val="20"/>
                <w:szCs w:val="20"/>
                <w:lang w:eastAsia="zh-TW"/>
              </w:rPr>
              <w:t xml:space="preserve">ontrolling shareholders </w:t>
            </w:r>
            <w:r w:rsidR="007354F5">
              <w:rPr>
                <w:rFonts w:ascii="Arial" w:hAnsi="Arial" w:cs="Arial"/>
                <w:bCs/>
                <w:sz w:val="20"/>
                <w:szCs w:val="20"/>
                <w:lang w:eastAsia="zh-TW"/>
              </w:rPr>
              <w:t>will be</w:t>
            </w:r>
            <w:r w:rsidR="00150FC7">
              <w:rPr>
                <w:rFonts w:ascii="Arial" w:hAnsi="Arial" w:cs="Arial"/>
                <w:bCs/>
                <w:sz w:val="20"/>
                <w:szCs w:val="20"/>
                <w:lang w:eastAsia="zh-TW"/>
              </w:rPr>
              <w:t xml:space="preserve"> restricted from:</w:t>
            </w:r>
          </w:p>
          <w:p w:rsidR="00150FC7" w:rsidRDefault="00150FC7" w:rsidP="00150FC7">
            <w:pPr>
              <w:snapToGrid w:val="0"/>
              <w:jc w:val="both"/>
              <w:rPr>
                <w:rFonts w:ascii="Arial" w:hAnsi="Arial" w:cs="Arial"/>
                <w:bCs/>
                <w:sz w:val="20"/>
                <w:szCs w:val="20"/>
                <w:lang w:eastAsia="zh-TW"/>
              </w:rPr>
            </w:pPr>
          </w:p>
          <w:p w:rsidR="00150FC7" w:rsidRDefault="00150FC7" w:rsidP="00150FC7">
            <w:pPr>
              <w:pStyle w:val="a4"/>
              <w:numPr>
                <w:ilvl w:val="0"/>
                <w:numId w:val="29"/>
              </w:numPr>
              <w:snapToGrid w:val="0"/>
              <w:ind w:left="589" w:hanging="567"/>
              <w:jc w:val="both"/>
              <w:rPr>
                <w:rFonts w:ascii="Arial" w:hAnsi="Arial" w:cs="Arial"/>
                <w:bCs/>
                <w:sz w:val="20"/>
                <w:szCs w:val="20"/>
                <w:lang w:eastAsia="zh-TW"/>
              </w:rPr>
            </w:pPr>
            <w:r>
              <w:rPr>
                <w:rFonts w:ascii="Arial" w:hAnsi="Arial" w:cs="Arial"/>
                <w:bCs/>
                <w:sz w:val="20"/>
                <w:szCs w:val="20"/>
                <w:lang w:eastAsia="zh-TW"/>
              </w:rPr>
              <w:lastRenderedPageBreak/>
              <w:t xml:space="preserve">disposing of any shares within the </w:t>
            </w:r>
            <w:r w:rsidRPr="00D10060">
              <w:rPr>
                <w:rFonts w:ascii="Arial" w:hAnsi="Arial" w:cs="Arial"/>
                <w:b/>
                <w:bCs/>
                <w:sz w:val="20"/>
                <w:szCs w:val="20"/>
                <w:lang w:eastAsia="zh-TW"/>
              </w:rPr>
              <w:t>first 6 months</w:t>
            </w:r>
            <w:r>
              <w:rPr>
                <w:rFonts w:ascii="Arial" w:hAnsi="Arial" w:cs="Arial"/>
                <w:bCs/>
                <w:sz w:val="20"/>
                <w:szCs w:val="20"/>
                <w:lang w:eastAsia="zh-TW"/>
              </w:rPr>
              <w:t xml:space="preserve"> after listing; and</w:t>
            </w:r>
          </w:p>
          <w:p w:rsidR="00150FC7" w:rsidRDefault="00150FC7" w:rsidP="00150FC7">
            <w:pPr>
              <w:pStyle w:val="a4"/>
              <w:snapToGrid w:val="0"/>
              <w:ind w:left="589"/>
              <w:jc w:val="both"/>
              <w:rPr>
                <w:rFonts w:ascii="Arial" w:hAnsi="Arial" w:cs="Arial"/>
                <w:bCs/>
                <w:sz w:val="20"/>
                <w:szCs w:val="20"/>
                <w:lang w:eastAsia="zh-TW"/>
              </w:rPr>
            </w:pPr>
          </w:p>
          <w:p w:rsidR="00150FC7" w:rsidRDefault="00150FC7" w:rsidP="00150FC7">
            <w:pPr>
              <w:pStyle w:val="a4"/>
              <w:numPr>
                <w:ilvl w:val="0"/>
                <w:numId w:val="29"/>
              </w:numPr>
              <w:snapToGrid w:val="0"/>
              <w:ind w:left="589" w:hanging="567"/>
              <w:jc w:val="both"/>
              <w:rPr>
                <w:rFonts w:ascii="Arial" w:hAnsi="Arial" w:cs="Arial"/>
                <w:bCs/>
                <w:sz w:val="20"/>
                <w:szCs w:val="20"/>
                <w:lang w:eastAsia="zh-TW"/>
              </w:rPr>
            </w:pPr>
            <w:r>
              <w:rPr>
                <w:rFonts w:ascii="Arial" w:hAnsi="Arial" w:cs="Arial"/>
                <w:bCs/>
                <w:sz w:val="20"/>
                <w:szCs w:val="20"/>
                <w:lang w:eastAsia="zh-TW"/>
              </w:rPr>
              <w:t xml:space="preserve">disposing </w:t>
            </w:r>
            <w:r w:rsidR="00655D0A">
              <w:rPr>
                <w:rFonts w:ascii="Arial" w:hAnsi="Arial" w:cs="Arial"/>
                <w:bCs/>
                <w:sz w:val="20"/>
                <w:szCs w:val="20"/>
                <w:lang w:eastAsia="zh-TW"/>
              </w:rPr>
              <w:t xml:space="preserve">of </w:t>
            </w:r>
            <w:r>
              <w:rPr>
                <w:rFonts w:ascii="Arial" w:hAnsi="Arial" w:cs="Arial"/>
                <w:bCs/>
                <w:sz w:val="20"/>
                <w:szCs w:val="20"/>
                <w:lang w:eastAsia="zh-TW"/>
              </w:rPr>
              <w:t xml:space="preserve">shares that would result in them ceasing to be the controlling shareholders within the </w:t>
            </w:r>
            <w:r w:rsidRPr="00D10060">
              <w:rPr>
                <w:rFonts w:ascii="Arial" w:hAnsi="Arial" w:cs="Arial"/>
                <w:b/>
                <w:bCs/>
                <w:sz w:val="20"/>
                <w:szCs w:val="20"/>
                <w:lang w:eastAsia="zh-TW"/>
              </w:rPr>
              <w:t>second 6</w:t>
            </w:r>
            <w:r>
              <w:rPr>
                <w:rFonts w:ascii="Arial" w:hAnsi="Arial" w:cs="Arial"/>
                <w:bCs/>
                <w:sz w:val="20"/>
                <w:szCs w:val="20"/>
                <w:lang w:eastAsia="zh-TW"/>
              </w:rPr>
              <w:t xml:space="preserve"> </w:t>
            </w:r>
            <w:r w:rsidRPr="00D10060">
              <w:rPr>
                <w:rFonts w:ascii="Arial" w:hAnsi="Arial" w:cs="Arial"/>
                <w:b/>
                <w:bCs/>
                <w:sz w:val="20"/>
                <w:szCs w:val="20"/>
                <w:lang w:eastAsia="zh-TW"/>
              </w:rPr>
              <w:t>months</w:t>
            </w:r>
            <w:r>
              <w:rPr>
                <w:rFonts w:ascii="Arial" w:hAnsi="Arial" w:cs="Arial"/>
                <w:bCs/>
                <w:sz w:val="20"/>
                <w:szCs w:val="20"/>
                <w:lang w:eastAsia="zh-TW"/>
              </w:rPr>
              <w:t xml:space="preserve"> after listing.</w:t>
            </w:r>
          </w:p>
          <w:p w:rsidR="00D67748" w:rsidRPr="003A634C" w:rsidRDefault="00D67748" w:rsidP="00FB1731">
            <w:pPr>
              <w:snapToGrid w:val="0"/>
              <w:jc w:val="both"/>
              <w:rPr>
                <w:rFonts w:ascii="Arial" w:hAnsi="Arial" w:cs="Arial"/>
                <w:bCs/>
                <w:sz w:val="20"/>
                <w:szCs w:val="20"/>
                <w:lang w:eastAsia="zh-TW"/>
              </w:rPr>
            </w:pPr>
          </w:p>
        </w:tc>
      </w:tr>
    </w:tbl>
    <w:p w:rsidR="00B7078B" w:rsidRDefault="00B7078B" w:rsidP="005E58D7">
      <w:pPr>
        <w:snapToGrid w:val="0"/>
        <w:spacing w:after="0" w:line="240" w:lineRule="auto"/>
        <w:jc w:val="both"/>
        <w:rPr>
          <w:rFonts w:ascii="Arial" w:hAnsi="Arial" w:cs="Arial"/>
          <w:bCs/>
          <w:sz w:val="20"/>
          <w:szCs w:val="20"/>
          <w:lang w:eastAsia="zh-TW"/>
        </w:rPr>
      </w:pPr>
    </w:p>
    <w:p w:rsidR="00B7078B" w:rsidRPr="00F27C61" w:rsidRDefault="00F27C61" w:rsidP="00F27C61">
      <w:pPr>
        <w:pStyle w:val="a4"/>
        <w:numPr>
          <w:ilvl w:val="0"/>
          <w:numId w:val="30"/>
        </w:numPr>
        <w:snapToGrid w:val="0"/>
        <w:spacing w:after="0" w:line="240" w:lineRule="auto"/>
        <w:ind w:left="709"/>
        <w:jc w:val="both"/>
        <w:rPr>
          <w:rFonts w:ascii="Arial" w:hAnsi="Arial" w:cs="Arial"/>
          <w:b/>
          <w:bCs/>
          <w:sz w:val="20"/>
          <w:szCs w:val="20"/>
          <w:lang w:eastAsia="zh-TW"/>
        </w:rPr>
      </w:pPr>
      <w:r w:rsidRPr="00F27C61">
        <w:rPr>
          <w:rFonts w:ascii="Arial" w:hAnsi="Arial" w:cs="Arial"/>
          <w:b/>
          <w:bCs/>
          <w:sz w:val="20"/>
          <w:szCs w:val="20"/>
          <w:lang w:eastAsia="zh-TW"/>
        </w:rPr>
        <w:t>CONTINUING OBLIGATIONS</w:t>
      </w:r>
    </w:p>
    <w:p w:rsidR="00B7078B" w:rsidRDefault="00B7078B" w:rsidP="005E58D7">
      <w:pPr>
        <w:snapToGrid w:val="0"/>
        <w:spacing w:after="0" w:line="240" w:lineRule="auto"/>
        <w:jc w:val="both"/>
        <w:rPr>
          <w:rFonts w:ascii="Arial" w:hAnsi="Arial" w:cs="Arial"/>
          <w:bCs/>
          <w:sz w:val="20"/>
          <w:szCs w:val="20"/>
          <w:lang w:eastAsia="zh-TW"/>
        </w:rPr>
      </w:pPr>
    </w:p>
    <w:p w:rsidR="00A3545A" w:rsidRPr="00FD5B57" w:rsidRDefault="00A3545A" w:rsidP="00786178">
      <w:pPr>
        <w:snapToGrid w:val="0"/>
        <w:spacing w:after="0" w:line="240" w:lineRule="auto"/>
        <w:ind w:left="709"/>
        <w:jc w:val="both"/>
        <w:rPr>
          <w:rFonts w:ascii="Arial" w:hAnsi="Arial" w:cs="Arial"/>
          <w:b/>
          <w:bCs/>
          <w:sz w:val="20"/>
          <w:szCs w:val="20"/>
          <w:lang w:eastAsia="zh-TW"/>
        </w:rPr>
      </w:pPr>
      <w:r>
        <w:rPr>
          <w:rFonts w:ascii="Arial" w:hAnsi="Arial" w:cs="Arial"/>
          <w:b/>
          <w:bCs/>
          <w:sz w:val="20"/>
          <w:szCs w:val="20"/>
          <w:lang w:eastAsia="zh-TW"/>
        </w:rPr>
        <w:t>Proposed a</w:t>
      </w:r>
      <w:r w:rsidRPr="00FD5B57">
        <w:rPr>
          <w:rFonts w:ascii="Arial" w:hAnsi="Arial" w:cs="Arial"/>
          <w:b/>
          <w:bCs/>
          <w:sz w:val="20"/>
          <w:szCs w:val="20"/>
          <w:lang w:eastAsia="zh-TW"/>
        </w:rPr>
        <w:t>mendment</w:t>
      </w:r>
      <w:r>
        <w:rPr>
          <w:rFonts w:ascii="Arial" w:hAnsi="Arial" w:cs="Arial"/>
          <w:b/>
          <w:bCs/>
          <w:sz w:val="20"/>
          <w:szCs w:val="20"/>
          <w:lang w:eastAsia="zh-TW"/>
        </w:rPr>
        <w:t>s</w:t>
      </w:r>
      <w:r w:rsidRPr="00FD5B57">
        <w:rPr>
          <w:rFonts w:ascii="Arial" w:hAnsi="Arial" w:cs="Arial"/>
          <w:b/>
          <w:bCs/>
          <w:sz w:val="20"/>
          <w:szCs w:val="20"/>
          <w:lang w:eastAsia="zh-TW"/>
        </w:rPr>
        <w:t xml:space="preserve"> of </w:t>
      </w:r>
      <w:r>
        <w:rPr>
          <w:rFonts w:ascii="Arial" w:hAnsi="Arial" w:cs="Arial"/>
          <w:b/>
          <w:bCs/>
          <w:sz w:val="20"/>
          <w:szCs w:val="20"/>
          <w:lang w:eastAsia="zh-TW"/>
        </w:rPr>
        <w:t xml:space="preserve">GEM </w:t>
      </w:r>
      <w:r w:rsidRPr="00FD5B57">
        <w:rPr>
          <w:rFonts w:ascii="Arial" w:hAnsi="Arial" w:cs="Arial"/>
          <w:b/>
          <w:bCs/>
          <w:sz w:val="20"/>
          <w:szCs w:val="20"/>
          <w:lang w:eastAsia="zh-TW"/>
        </w:rPr>
        <w:t xml:space="preserve">requirements concerning </w:t>
      </w:r>
      <w:r>
        <w:rPr>
          <w:rFonts w:ascii="Arial" w:hAnsi="Arial" w:cs="Arial"/>
          <w:b/>
          <w:bCs/>
          <w:sz w:val="20"/>
          <w:szCs w:val="20"/>
          <w:lang w:eastAsia="zh-TW"/>
        </w:rPr>
        <w:t>compliance officer and compliance adviser</w:t>
      </w:r>
    </w:p>
    <w:p w:rsidR="00A3545A" w:rsidRDefault="00A3545A" w:rsidP="00786178">
      <w:pPr>
        <w:snapToGrid w:val="0"/>
        <w:spacing w:after="0" w:line="240" w:lineRule="auto"/>
        <w:ind w:left="709"/>
        <w:jc w:val="both"/>
        <w:rPr>
          <w:rFonts w:ascii="Arial" w:hAnsi="Arial" w:cs="Arial"/>
          <w:bCs/>
          <w:sz w:val="20"/>
          <w:szCs w:val="20"/>
          <w:lang w:eastAsia="zh-TW"/>
        </w:rPr>
      </w:pPr>
    </w:p>
    <w:p w:rsidR="00786178" w:rsidRDefault="00CF4DD3" w:rsidP="00786178">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The HKEX notes that GEM was launched in 1999 as a “buyer beware” market for early stage “dot-com” companies. The requirement</w:t>
      </w:r>
      <w:r w:rsidR="00655D0A">
        <w:rPr>
          <w:rFonts w:ascii="Arial" w:hAnsi="Arial" w:cs="Arial"/>
          <w:bCs/>
          <w:sz w:val="20"/>
          <w:szCs w:val="20"/>
          <w:lang w:eastAsia="zh-TW"/>
        </w:rPr>
        <w:t>s</w:t>
      </w:r>
      <w:r>
        <w:rPr>
          <w:rFonts w:ascii="Arial" w:hAnsi="Arial" w:cs="Arial"/>
          <w:bCs/>
          <w:sz w:val="20"/>
          <w:szCs w:val="20"/>
          <w:lang w:eastAsia="zh-TW"/>
        </w:rPr>
        <w:t xml:space="preserve"> for </w:t>
      </w:r>
      <w:r w:rsidR="00655D0A">
        <w:rPr>
          <w:rFonts w:ascii="Arial" w:hAnsi="Arial" w:cs="Arial"/>
          <w:bCs/>
          <w:sz w:val="20"/>
          <w:szCs w:val="20"/>
          <w:lang w:eastAsia="zh-TW"/>
        </w:rPr>
        <w:t xml:space="preserve">a </w:t>
      </w:r>
      <w:r>
        <w:rPr>
          <w:rFonts w:ascii="Arial" w:hAnsi="Arial" w:cs="Arial"/>
          <w:bCs/>
          <w:sz w:val="20"/>
          <w:szCs w:val="20"/>
          <w:lang w:eastAsia="zh-TW"/>
        </w:rPr>
        <w:t xml:space="preserve">compliance officer and compliance advisers were implemented at that time to assist companies that were at a relatively early stage of their development </w:t>
      </w:r>
      <w:r w:rsidR="00A3545A">
        <w:rPr>
          <w:rFonts w:ascii="Arial" w:hAnsi="Arial" w:cs="Arial"/>
          <w:bCs/>
          <w:sz w:val="20"/>
          <w:szCs w:val="20"/>
          <w:lang w:eastAsia="zh-TW"/>
        </w:rPr>
        <w:t xml:space="preserve">in respect </w:t>
      </w:r>
      <w:r>
        <w:rPr>
          <w:rFonts w:ascii="Arial" w:hAnsi="Arial" w:cs="Arial"/>
          <w:bCs/>
          <w:sz w:val="20"/>
          <w:szCs w:val="20"/>
          <w:lang w:eastAsia="zh-TW"/>
        </w:rPr>
        <w:t>of their regulatory responsibilities.</w:t>
      </w:r>
      <w:r w:rsidR="00786178">
        <w:rPr>
          <w:rFonts w:ascii="Arial" w:hAnsi="Arial" w:cs="Arial"/>
          <w:bCs/>
          <w:sz w:val="20"/>
          <w:szCs w:val="20"/>
          <w:lang w:eastAsia="zh-TW"/>
        </w:rPr>
        <w:t xml:space="preserve"> </w:t>
      </w:r>
    </w:p>
    <w:p w:rsidR="00786178" w:rsidRDefault="00786178" w:rsidP="00786178">
      <w:pPr>
        <w:snapToGrid w:val="0"/>
        <w:spacing w:after="0" w:line="240" w:lineRule="auto"/>
        <w:ind w:left="709"/>
        <w:jc w:val="both"/>
        <w:rPr>
          <w:rFonts w:ascii="Arial" w:hAnsi="Arial" w:cs="Arial"/>
          <w:bCs/>
          <w:sz w:val="20"/>
          <w:szCs w:val="20"/>
          <w:lang w:eastAsia="zh-TW"/>
        </w:rPr>
      </w:pPr>
    </w:p>
    <w:p w:rsidR="00786178" w:rsidRDefault="00786178" w:rsidP="00786178">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Following the HKEX’s review in 2017, the HKEX ha</w:t>
      </w:r>
      <w:r w:rsidR="00655D0A">
        <w:rPr>
          <w:rFonts w:ascii="Arial" w:hAnsi="Arial" w:cs="Arial"/>
          <w:bCs/>
          <w:sz w:val="20"/>
          <w:szCs w:val="20"/>
          <w:lang w:eastAsia="zh-TW"/>
        </w:rPr>
        <w:t>s</w:t>
      </w:r>
      <w:r>
        <w:rPr>
          <w:rFonts w:ascii="Arial" w:hAnsi="Arial" w:cs="Arial"/>
          <w:bCs/>
          <w:sz w:val="20"/>
          <w:szCs w:val="20"/>
          <w:lang w:eastAsia="zh-TW"/>
        </w:rPr>
        <w:t xml:space="preserve"> found that GEM issuers had been in operation for 15 years on average at the time of their listing and therefore </w:t>
      </w:r>
      <w:r w:rsidR="00655D0A">
        <w:rPr>
          <w:rFonts w:ascii="Arial" w:hAnsi="Arial" w:cs="Arial"/>
          <w:bCs/>
          <w:sz w:val="20"/>
          <w:szCs w:val="20"/>
          <w:lang w:eastAsia="zh-TW"/>
        </w:rPr>
        <w:t>considers that the</w:t>
      </w:r>
      <w:r>
        <w:rPr>
          <w:rFonts w:ascii="Arial" w:hAnsi="Arial" w:cs="Arial"/>
          <w:bCs/>
          <w:sz w:val="20"/>
          <w:szCs w:val="20"/>
          <w:lang w:eastAsia="zh-TW"/>
        </w:rPr>
        <w:t xml:space="preserve"> additional requirements relating to compliance officers and compliance advisers are no longer necessary.</w:t>
      </w:r>
    </w:p>
    <w:p w:rsidR="00CF4DD3" w:rsidRDefault="00CF4DD3" w:rsidP="00F27C61">
      <w:pPr>
        <w:snapToGrid w:val="0"/>
        <w:spacing w:after="0" w:line="240" w:lineRule="auto"/>
        <w:ind w:left="709"/>
        <w:jc w:val="both"/>
        <w:rPr>
          <w:rFonts w:ascii="Arial" w:hAnsi="Arial" w:cs="Arial"/>
          <w:b/>
          <w:bCs/>
          <w:sz w:val="20"/>
          <w:szCs w:val="20"/>
          <w:lang w:eastAsia="zh-TW"/>
        </w:rPr>
      </w:pPr>
    </w:p>
    <w:p w:rsidR="001C4A23" w:rsidRPr="00FD5B57" w:rsidRDefault="00EC253E" w:rsidP="00F27C61">
      <w:pPr>
        <w:snapToGrid w:val="0"/>
        <w:spacing w:after="0" w:line="240" w:lineRule="auto"/>
        <w:ind w:left="709"/>
        <w:jc w:val="both"/>
        <w:rPr>
          <w:rFonts w:ascii="Arial" w:hAnsi="Arial" w:cs="Arial"/>
          <w:bCs/>
          <w:i/>
          <w:sz w:val="20"/>
          <w:szCs w:val="20"/>
          <w:u w:val="single"/>
          <w:lang w:eastAsia="zh-TW"/>
        </w:rPr>
      </w:pPr>
      <w:r>
        <w:rPr>
          <w:rFonts w:ascii="Arial" w:hAnsi="Arial" w:cs="Arial"/>
          <w:bCs/>
          <w:i/>
          <w:sz w:val="20"/>
          <w:szCs w:val="20"/>
          <w:u w:val="single"/>
          <w:lang w:eastAsia="zh-TW"/>
        </w:rPr>
        <w:t>Proposed r</w:t>
      </w:r>
      <w:r w:rsidR="001C4A23" w:rsidRPr="00FD5B57">
        <w:rPr>
          <w:rFonts w:ascii="Arial" w:hAnsi="Arial" w:cs="Arial"/>
          <w:bCs/>
          <w:i/>
          <w:sz w:val="20"/>
          <w:szCs w:val="20"/>
          <w:u w:val="single"/>
          <w:lang w:eastAsia="zh-TW"/>
        </w:rPr>
        <w:t xml:space="preserve">emoval of requirement for </w:t>
      </w:r>
      <w:r>
        <w:rPr>
          <w:rFonts w:ascii="Arial" w:hAnsi="Arial" w:cs="Arial"/>
          <w:bCs/>
          <w:i/>
          <w:sz w:val="20"/>
          <w:szCs w:val="20"/>
          <w:u w:val="single"/>
          <w:lang w:eastAsia="zh-TW"/>
        </w:rPr>
        <w:t xml:space="preserve">a </w:t>
      </w:r>
      <w:r w:rsidR="001C4A23" w:rsidRPr="00FD5B57">
        <w:rPr>
          <w:rFonts w:ascii="Arial" w:hAnsi="Arial" w:cs="Arial"/>
          <w:bCs/>
          <w:i/>
          <w:sz w:val="20"/>
          <w:szCs w:val="20"/>
          <w:u w:val="single"/>
          <w:lang w:eastAsia="zh-TW"/>
        </w:rPr>
        <w:t>compliance officer</w:t>
      </w:r>
    </w:p>
    <w:p w:rsidR="001C4A23" w:rsidRDefault="001C4A23" w:rsidP="00F27C61">
      <w:pPr>
        <w:snapToGrid w:val="0"/>
        <w:spacing w:after="0" w:line="240" w:lineRule="auto"/>
        <w:ind w:left="709"/>
        <w:jc w:val="both"/>
        <w:rPr>
          <w:rFonts w:ascii="Arial" w:hAnsi="Arial" w:cs="Arial"/>
          <w:bCs/>
          <w:sz w:val="20"/>
          <w:szCs w:val="20"/>
          <w:lang w:eastAsia="zh-TW"/>
        </w:rPr>
      </w:pPr>
    </w:p>
    <w:p w:rsidR="001C4A23" w:rsidRDefault="001C4A23" w:rsidP="00F27C61">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 xml:space="preserve">The current GEM Listing Rules require </w:t>
      </w:r>
      <w:r w:rsidR="00CF4DD3">
        <w:rPr>
          <w:rFonts w:ascii="Arial" w:hAnsi="Arial" w:cs="Arial"/>
          <w:bCs/>
          <w:sz w:val="20"/>
          <w:szCs w:val="20"/>
          <w:lang w:eastAsia="zh-TW"/>
        </w:rPr>
        <w:t xml:space="preserve">one </w:t>
      </w:r>
      <w:r>
        <w:rPr>
          <w:rFonts w:ascii="Arial" w:hAnsi="Arial" w:cs="Arial"/>
          <w:bCs/>
          <w:sz w:val="20"/>
          <w:szCs w:val="20"/>
          <w:lang w:eastAsia="zh-TW"/>
        </w:rPr>
        <w:t xml:space="preserve">of the executive directors of a GEM issuer to assume responsibility as </w:t>
      </w:r>
      <w:r w:rsidR="00CF4DD3">
        <w:rPr>
          <w:rFonts w:ascii="Arial" w:hAnsi="Arial" w:cs="Arial"/>
          <w:bCs/>
          <w:sz w:val="20"/>
          <w:szCs w:val="20"/>
          <w:lang w:eastAsia="zh-TW"/>
        </w:rPr>
        <w:t xml:space="preserve">its </w:t>
      </w:r>
      <w:r>
        <w:rPr>
          <w:rFonts w:ascii="Arial" w:hAnsi="Arial" w:cs="Arial"/>
          <w:bCs/>
          <w:sz w:val="20"/>
          <w:szCs w:val="20"/>
          <w:lang w:eastAsia="zh-TW"/>
        </w:rPr>
        <w:t>compliance officer</w:t>
      </w:r>
      <w:r w:rsidR="00CF4DD3">
        <w:rPr>
          <w:rFonts w:ascii="Arial" w:hAnsi="Arial" w:cs="Arial"/>
          <w:bCs/>
          <w:sz w:val="20"/>
          <w:szCs w:val="20"/>
          <w:lang w:eastAsia="zh-TW"/>
        </w:rPr>
        <w:t>.</w:t>
      </w:r>
      <w:r w:rsidR="00B11967">
        <w:rPr>
          <w:rStyle w:val="a7"/>
          <w:rFonts w:ascii="Arial" w:hAnsi="Arial" w:cs="Arial"/>
          <w:bCs/>
          <w:sz w:val="20"/>
          <w:szCs w:val="20"/>
          <w:lang w:eastAsia="zh-TW"/>
        </w:rPr>
        <w:footnoteReference w:id="8"/>
      </w:r>
      <w:r>
        <w:rPr>
          <w:rFonts w:ascii="Arial" w:hAnsi="Arial" w:cs="Arial"/>
          <w:bCs/>
          <w:sz w:val="20"/>
          <w:szCs w:val="20"/>
          <w:lang w:eastAsia="zh-TW"/>
        </w:rPr>
        <w:t xml:space="preserve"> T</w:t>
      </w:r>
      <w:r w:rsidR="00A3545A">
        <w:rPr>
          <w:rFonts w:ascii="Arial" w:hAnsi="Arial" w:cs="Arial"/>
          <w:bCs/>
          <w:sz w:val="20"/>
          <w:szCs w:val="20"/>
          <w:lang w:eastAsia="zh-TW"/>
        </w:rPr>
        <w:t xml:space="preserve">aking into account HKEX’s view that </w:t>
      </w:r>
      <w:r>
        <w:rPr>
          <w:rFonts w:ascii="Arial" w:hAnsi="Arial" w:cs="Arial"/>
          <w:bCs/>
          <w:sz w:val="20"/>
          <w:szCs w:val="20"/>
          <w:lang w:eastAsia="zh-TW"/>
        </w:rPr>
        <w:t xml:space="preserve">GEM is now a market for </w:t>
      </w:r>
      <w:r w:rsidRPr="00D10060">
        <w:rPr>
          <w:rFonts w:ascii="Arial" w:hAnsi="Arial" w:cs="Arial"/>
          <w:bCs/>
          <w:i/>
          <w:sz w:val="20"/>
          <w:szCs w:val="20"/>
          <w:lang w:eastAsia="zh-TW"/>
        </w:rPr>
        <w:t xml:space="preserve">established </w:t>
      </w:r>
      <w:r>
        <w:rPr>
          <w:rFonts w:ascii="Arial" w:hAnsi="Arial" w:cs="Arial"/>
          <w:bCs/>
          <w:sz w:val="20"/>
          <w:szCs w:val="20"/>
          <w:lang w:eastAsia="zh-TW"/>
        </w:rPr>
        <w:t>SMEs</w:t>
      </w:r>
      <w:r w:rsidR="00A3545A">
        <w:rPr>
          <w:rFonts w:ascii="Arial" w:hAnsi="Arial" w:cs="Arial"/>
          <w:bCs/>
          <w:sz w:val="20"/>
          <w:szCs w:val="20"/>
          <w:lang w:eastAsia="zh-TW"/>
        </w:rPr>
        <w:t>, the HKEX</w:t>
      </w:r>
      <w:r>
        <w:rPr>
          <w:rFonts w:ascii="Arial" w:hAnsi="Arial" w:cs="Arial"/>
          <w:bCs/>
          <w:sz w:val="20"/>
          <w:szCs w:val="20"/>
          <w:lang w:eastAsia="zh-TW"/>
        </w:rPr>
        <w:t xml:space="preserve"> expects </w:t>
      </w:r>
      <w:r w:rsidR="00CF4DD3">
        <w:rPr>
          <w:rFonts w:ascii="Arial" w:hAnsi="Arial" w:cs="Arial"/>
          <w:bCs/>
          <w:sz w:val="20"/>
          <w:szCs w:val="20"/>
          <w:lang w:eastAsia="zh-TW"/>
        </w:rPr>
        <w:t xml:space="preserve">a </w:t>
      </w:r>
      <w:r>
        <w:rPr>
          <w:rFonts w:ascii="Arial" w:hAnsi="Arial" w:cs="Arial"/>
          <w:bCs/>
          <w:sz w:val="20"/>
          <w:szCs w:val="20"/>
          <w:lang w:eastAsia="zh-TW"/>
        </w:rPr>
        <w:t>GEM issuer</w:t>
      </w:r>
      <w:r w:rsidR="00CF4DD3">
        <w:rPr>
          <w:rFonts w:ascii="Arial" w:hAnsi="Arial" w:cs="Arial"/>
          <w:bCs/>
          <w:sz w:val="20"/>
          <w:szCs w:val="20"/>
          <w:lang w:eastAsia="zh-TW"/>
        </w:rPr>
        <w:t>’s</w:t>
      </w:r>
      <w:r>
        <w:rPr>
          <w:rFonts w:ascii="Arial" w:hAnsi="Arial" w:cs="Arial"/>
          <w:bCs/>
          <w:sz w:val="20"/>
          <w:szCs w:val="20"/>
          <w:lang w:eastAsia="zh-TW"/>
        </w:rPr>
        <w:t xml:space="preserve"> directors to have experience that is similar, in extent, to that of Main Board listed issuers. </w:t>
      </w:r>
    </w:p>
    <w:p w:rsidR="001C4A23" w:rsidRDefault="001C4A23" w:rsidP="00043AA8">
      <w:pPr>
        <w:snapToGrid w:val="0"/>
        <w:spacing w:after="0" w:line="240" w:lineRule="auto"/>
        <w:jc w:val="both"/>
        <w:rPr>
          <w:rFonts w:ascii="Arial" w:hAnsi="Arial" w:cs="Arial"/>
          <w:bCs/>
          <w:sz w:val="20"/>
          <w:szCs w:val="20"/>
          <w:lang w:eastAsia="zh-TW"/>
        </w:rPr>
      </w:pPr>
    </w:p>
    <w:p w:rsidR="001C4A23" w:rsidRDefault="001C4A23" w:rsidP="00F27C61">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The HKEX propose</w:t>
      </w:r>
      <w:r w:rsidR="00CF4DD3">
        <w:rPr>
          <w:rFonts w:ascii="Arial" w:hAnsi="Arial" w:cs="Arial"/>
          <w:bCs/>
          <w:sz w:val="20"/>
          <w:szCs w:val="20"/>
          <w:lang w:eastAsia="zh-TW"/>
        </w:rPr>
        <w:t>s</w:t>
      </w:r>
      <w:r>
        <w:rPr>
          <w:rFonts w:ascii="Arial" w:hAnsi="Arial" w:cs="Arial"/>
          <w:bCs/>
          <w:sz w:val="20"/>
          <w:szCs w:val="20"/>
          <w:lang w:eastAsia="zh-TW"/>
        </w:rPr>
        <w:t xml:space="preserve"> to remove this requirement given that </w:t>
      </w:r>
      <w:r w:rsidR="00CF4DD3">
        <w:rPr>
          <w:rFonts w:ascii="Arial" w:hAnsi="Arial" w:cs="Arial"/>
          <w:bCs/>
          <w:sz w:val="20"/>
          <w:szCs w:val="20"/>
          <w:lang w:eastAsia="zh-TW"/>
        </w:rPr>
        <w:t xml:space="preserve">it </w:t>
      </w:r>
      <w:r>
        <w:rPr>
          <w:rFonts w:ascii="Arial" w:hAnsi="Arial" w:cs="Arial"/>
          <w:bCs/>
          <w:sz w:val="20"/>
          <w:szCs w:val="20"/>
          <w:lang w:eastAsia="zh-TW"/>
        </w:rPr>
        <w:t>believe</w:t>
      </w:r>
      <w:r w:rsidR="00CF4DD3">
        <w:rPr>
          <w:rFonts w:ascii="Arial" w:hAnsi="Arial" w:cs="Arial"/>
          <w:bCs/>
          <w:sz w:val="20"/>
          <w:szCs w:val="20"/>
          <w:lang w:eastAsia="zh-TW"/>
        </w:rPr>
        <w:t>s</w:t>
      </w:r>
      <w:r>
        <w:rPr>
          <w:rFonts w:ascii="Arial" w:hAnsi="Arial" w:cs="Arial"/>
          <w:bCs/>
          <w:sz w:val="20"/>
          <w:szCs w:val="20"/>
          <w:lang w:eastAsia="zh-TW"/>
        </w:rPr>
        <w:t xml:space="preserve"> that GEM issuers should not have a greater need than Main Board issuers</w:t>
      </w:r>
      <w:r w:rsidR="00CF4DD3">
        <w:rPr>
          <w:rFonts w:ascii="Arial" w:hAnsi="Arial" w:cs="Arial"/>
          <w:bCs/>
          <w:sz w:val="20"/>
          <w:szCs w:val="20"/>
          <w:lang w:eastAsia="zh-TW"/>
        </w:rPr>
        <w:t xml:space="preserve"> for compliance advice from a compliance officer</w:t>
      </w:r>
      <w:r>
        <w:rPr>
          <w:rFonts w:ascii="Arial" w:hAnsi="Arial" w:cs="Arial"/>
          <w:bCs/>
          <w:sz w:val="20"/>
          <w:szCs w:val="20"/>
          <w:lang w:eastAsia="zh-TW"/>
        </w:rPr>
        <w:t>.</w:t>
      </w:r>
    </w:p>
    <w:p w:rsidR="001C4A23" w:rsidRDefault="001C4A23" w:rsidP="00F27C61">
      <w:pPr>
        <w:snapToGrid w:val="0"/>
        <w:spacing w:after="0" w:line="240" w:lineRule="auto"/>
        <w:ind w:left="709"/>
        <w:jc w:val="both"/>
        <w:rPr>
          <w:rFonts w:ascii="Arial" w:hAnsi="Arial" w:cs="Arial"/>
          <w:bCs/>
          <w:sz w:val="20"/>
          <w:szCs w:val="20"/>
          <w:lang w:eastAsia="zh-TW"/>
        </w:rPr>
      </w:pPr>
    </w:p>
    <w:tbl>
      <w:tblPr>
        <w:tblStyle w:val="af5"/>
        <w:tblW w:w="9546" w:type="dxa"/>
        <w:tblInd w:w="709" w:type="dxa"/>
        <w:tblLook w:val="04A0" w:firstRow="1" w:lastRow="0" w:firstColumn="1" w:lastColumn="0" w:noHBand="0" w:noVBand="1"/>
      </w:tblPr>
      <w:tblGrid>
        <w:gridCol w:w="4776"/>
        <w:gridCol w:w="4770"/>
      </w:tblGrid>
      <w:tr w:rsidR="001C4A23" w:rsidTr="00D10060">
        <w:tc>
          <w:tcPr>
            <w:tcW w:w="4776" w:type="dxa"/>
          </w:tcPr>
          <w:p w:rsidR="001C4A23" w:rsidRPr="001C4A23" w:rsidRDefault="001C4A23" w:rsidP="001C4A23">
            <w:pPr>
              <w:snapToGrid w:val="0"/>
              <w:jc w:val="center"/>
              <w:rPr>
                <w:rFonts w:ascii="Arial" w:hAnsi="Arial" w:cs="Arial"/>
                <w:b/>
                <w:bCs/>
                <w:sz w:val="20"/>
                <w:szCs w:val="20"/>
                <w:lang w:eastAsia="zh-TW"/>
              </w:rPr>
            </w:pPr>
            <w:r w:rsidRPr="001C4A23">
              <w:rPr>
                <w:rFonts w:ascii="Arial" w:hAnsi="Arial" w:cs="Arial"/>
                <w:b/>
                <w:bCs/>
                <w:sz w:val="20"/>
                <w:szCs w:val="20"/>
                <w:lang w:eastAsia="zh-TW"/>
              </w:rPr>
              <w:t>Current requirement</w:t>
            </w:r>
          </w:p>
          <w:p w:rsidR="001C4A23" w:rsidRPr="001C4A23" w:rsidRDefault="001C4A23" w:rsidP="001C4A23">
            <w:pPr>
              <w:snapToGrid w:val="0"/>
              <w:jc w:val="center"/>
              <w:rPr>
                <w:rFonts w:ascii="Arial" w:hAnsi="Arial" w:cs="Arial"/>
                <w:b/>
                <w:bCs/>
                <w:sz w:val="20"/>
                <w:szCs w:val="20"/>
                <w:lang w:eastAsia="zh-TW"/>
              </w:rPr>
            </w:pPr>
          </w:p>
        </w:tc>
        <w:tc>
          <w:tcPr>
            <w:tcW w:w="4770" w:type="dxa"/>
          </w:tcPr>
          <w:p w:rsidR="001C4A23" w:rsidRPr="001C4A23" w:rsidRDefault="001C4A23" w:rsidP="001C4A23">
            <w:pPr>
              <w:snapToGrid w:val="0"/>
              <w:jc w:val="center"/>
              <w:rPr>
                <w:rFonts w:ascii="Arial" w:hAnsi="Arial" w:cs="Arial"/>
                <w:b/>
                <w:bCs/>
                <w:sz w:val="20"/>
                <w:szCs w:val="20"/>
                <w:lang w:eastAsia="zh-TW"/>
              </w:rPr>
            </w:pPr>
            <w:r>
              <w:rPr>
                <w:rFonts w:ascii="Arial" w:hAnsi="Arial" w:cs="Arial"/>
                <w:b/>
                <w:bCs/>
                <w:sz w:val="20"/>
                <w:szCs w:val="20"/>
                <w:lang w:eastAsia="zh-TW"/>
              </w:rPr>
              <w:t>Proposed requirement</w:t>
            </w:r>
          </w:p>
        </w:tc>
      </w:tr>
      <w:tr w:rsidR="001C4A23" w:rsidTr="00D10060">
        <w:tc>
          <w:tcPr>
            <w:tcW w:w="4776" w:type="dxa"/>
          </w:tcPr>
          <w:p w:rsidR="001C4A23" w:rsidRDefault="001C4A23" w:rsidP="00F27C61">
            <w:pPr>
              <w:snapToGrid w:val="0"/>
              <w:jc w:val="both"/>
              <w:rPr>
                <w:rFonts w:ascii="Arial" w:hAnsi="Arial" w:cs="Arial"/>
                <w:bCs/>
                <w:sz w:val="20"/>
                <w:szCs w:val="20"/>
                <w:lang w:eastAsia="zh-TW"/>
              </w:rPr>
            </w:pPr>
            <w:r w:rsidRPr="001C4A23">
              <w:rPr>
                <w:rFonts w:ascii="Arial" w:hAnsi="Arial" w:cs="Arial"/>
                <w:bCs/>
                <w:sz w:val="20"/>
                <w:szCs w:val="20"/>
                <w:lang w:eastAsia="zh-TW"/>
              </w:rPr>
              <w:t xml:space="preserve">Every issuer must ensure that, at all times, </w:t>
            </w:r>
            <w:r w:rsidR="00CF4DD3">
              <w:rPr>
                <w:rFonts w:ascii="Arial" w:hAnsi="Arial" w:cs="Arial"/>
                <w:bCs/>
                <w:sz w:val="20"/>
                <w:szCs w:val="20"/>
                <w:lang w:eastAsia="zh-TW"/>
              </w:rPr>
              <w:t xml:space="preserve">one </w:t>
            </w:r>
            <w:r w:rsidRPr="001C4A23">
              <w:rPr>
                <w:rFonts w:ascii="Arial" w:hAnsi="Arial" w:cs="Arial"/>
                <w:bCs/>
                <w:sz w:val="20"/>
                <w:szCs w:val="20"/>
                <w:lang w:eastAsia="zh-TW"/>
              </w:rPr>
              <w:t>of its executive directors assumes responsibility for acting as the issuer’s compliance officer</w:t>
            </w:r>
            <w:r w:rsidR="00425F01">
              <w:rPr>
                <w:rFonts w:ascii="Arial" w:hAnsi="Arial" w:cs="Arial"/>
                <w:bCs/>
                <w:sz w:val="20"/>
                <w:szCs w:val="20"/>
                <w:lang w:eastAsia="zh-TW"/>
              </w:rPr>
              <w:t>.</w:t>
            </w:r>
            <w:r>
              <w:rPr>
                <w:rStyle w:val="a7"/>
                <w:rFonts w:ascii="Arial" w:hAnsi="Arial" w:cs="Arial"/>
                <w:bCs/>
                <w:sz w:val="20"/>
                <w:szCs w:val="20"/>
                <w:lang w:eastAsia="zh-TW"/>
              </w:rPr>
              <w:footnoteReference w:id="9"/>
            </w:r>
          </w:p>
          <w:p w:rsidR="001C4A23" w:rsidRDefault="001C4A23" w:rsidP="00F27C61">
            <w:pPr>
              <w:snapToGrid w:val="0"/>
              <w:jc w:val="both"/>
              <w:rPr>
                <w:rFonts w:ascii="Arial" w:hAnsi="Arial" w:cs="Arial"/>
                <w:bCs/>
                <w:sz w:val="20"/>
                <w:szCs w:val="20"/>
                <w:lang w:eastAsia="zh-TW"/>
              </w:rPr>
            </w:pPr>
          </w:p>
        </w:tc>
        <w:tc>
          <w:tcPr>
            <w:tcW w:w="4770" w:type="dxa"/>
          </w:tcPr>
          <w:p w:rsidR="001C4A23" w:rsidRDefault="00FB1731" w:rsidP="00DC1526">
            <w:pPr>
              <w:snapToGrid w:val="0"/>
              <w:jc w:val="both"/>
              <w:rPr>
                <w:rFonts w:ascii="Arial" w:hAnsi="Arial" w:cs="Arial"/>
                <w:bCs/>
                <w:sz w:val="20"/>
                <w:szCs w:val="20"/>
                <w:lang w:eastAsia="zh-TW"/>
              </w:rPr>
            </w:pPr>
            <w:r>
              <w:rPr>
                <w:rFonts w:ascii="Arial" w:hAnsi="Arial" w:cs="Arial"/>
                <w:bCs/>
                <w:sz w:val="20"/>
                <w:szCs w:val="20"/>
                <w:lang w:eastAsia="zh-TW"/>
              </w:rPr>
              <w:t>[</w:t>
            </w:r>
            <w:r w:rsidR="00DC1526">
              <w:rPr>
                <w:rFonts w:ascii="Arial" w:hAnsi="Arial" w:cs="Arial"/>
                <w:bCs/>
                <w:sz w:val="20"/>
                <w:szCs w:val="20"/>
                <w:lang w:eastAsia="zh-TW"/>
              </w:rPr>
              <w:t>To be r</w:t>
            </w:r>
            <w:r>
              <w:rPr>
                <w:rFonts w:ascii="Arial" w:hAnsi="Arial" w:cs="Arial"/>
                <w:bCs/>
                <w:sz w:val="20"/>
                <w:szCs w:val="20"/>
                <w:lang w:eastAsia="zh-TW"/>
              </w:rPr>
              <w:t>epeal</w:t>
            </w:r>
            <w:r w:rsidR="00DC1526">
              <w:rPr>
                <w:rFonts w:ascii="Arial" w:hAnsi="Arial" w:cs="Arial"/>
                <w:bCs/>
                <w:sz w:val="20"/>
                <w:szCs w:val="20"/>
                <w:lang w:eastAsia="zh-TW"/>
              </w:rPr>
              <w:t>ed</w:t>
            </w:r>
            <w:r w:rsidR="001C4A23">
              <w:rPr>
                <w:rFonts w:ascii="Arial" w:hAnsi="Arial" w:cs="Arial"/>
                <w:bCs/>
                <w:sz w:val="20"/>
                <w:szCs w:val="20"/>
                <w:lang w:eastAsia="zh-TW"/>
              </w:rPr>
              <w:t>]</w:t>
            </w:r>
          </w:p>
        </w:tc>
      </w:tr>
    </w:tbl>
    <w:p w:rsidR="001C4A23" w:rsidRDefault="001C4A23" w:rsidP="00F27C61">
      <w:pPr>
        <w:snapToGrid w:val="0"/>
        <w:spacing w:after="0" w:line="240" w:lineRule="auto"/>
        <w:ind w:left="709"/>
        <w:jc w:val="both"/>
        <w:rPr>
          <w:rFonts w:ascii="Arial" w:hAnsi="Arial" w:cs="Arial"/>
          <w:bCs/>
          <w:sz w:val="20"/>
          <w:szCs w:val="20"/>
          <w:lang w:eastAsia="zh-TW"/>
        </w:rPr>
      </w:pPr>
    </w:p>
    <w:p w:rsidR="001C4A23" w:rsidRPr="00FD5B57" w:rsidRDefault="00EC253E" w:rsidP="00F27C61">
      <w:pPr>
        <w:snapToGrid w:val="0"/>
        <w:spacing w:after="0" w:line="240" w:lineRule="auto"/>
        <w:ind w:left="709"/>
        <w:jc w:val="both"/>
        <w:rPr>
          <w:rFonts w:ascii="Arial" w:hAnsi="Arial" w:cs="Arial"/>
          <w:bCs/>
          <w:i/>
          <w:sz w:val="20"/>
          <w:szCs w:val="20"/>
          <w:u w:val="single"/>
          <w:lang w:eastAsia="zh-TW"/>
        </w:rPr>
      </w:pPr>
      <w:r>
        <w:rPr>
          <w:rFonts w:ascii="Arial" w:hAnsi="Arial" w:cs="Arial"/>
          <w:bCs/>
          <w:i/>
          <w:sz w:val="20"/>
          <w:szCs w:val="20"/>
          <w:u w:val="single"/>
          <w:lang w:eastAsia="zh-TW"/>
        </w:rPr>
        <w:t>Proposal to s</w:t>
      </w:r>
      <w:r w:rsidR="00FB1731" w:rsidRPr="00FD5B57">
        <w:rPr>
          <w:rFonts w:ascii="Arial" w:hAnsi="Arial" w:cs="Arial"/>
          <w:bCs/>
          <w:i/>
          <w:sz w:val="20"/>
          <w:szCs w:val="20"/>
          <w:u w:val="single"/>
          <w:lang w:eastAsia="zh-TW"/>
        </w:rPr>
        <w:t xml:space="preserve">horten period </w:t>
      </w:r>
      <w:r>
        <w:rPr>
          <w:rFonts w:ascii="Arial" w:hAnsi="Arial" w:cs="Arial"/>
          <w:bCs/>
          <w:i/>
          <w:sz w:val="20"/>
          <w:szCs w:val="20"/>
          <w:u w:val="single"/>
          <w:lang w:eastAsia="zh-TW"/>
        </w:rPr>
        <w:t>of</w:t>
      </w:r>
      <w:r w:rsidR="00FB1731" w:rsidRPr="00FD5B57">
        <w:rPr>
          <w:rFonts w:ascii="Arial" w:hAnsi="Arial" w:cs="Arial"/>
          <w:bCs/>
          <w:i/>
          <w:sz w:val="20"/>
          <w:szCs w:val="20"/>
          <w:u w:val="single"/>
          <w:lang w:eastAsia="zh-TW"/>
        </w:rPr>
        <w:t xml:space="preserve"> engagement of compliance adviser and </w:t>
      </w:r>
      <w:r>
        <w:rPr>
          <w:rFonts w:ascii="Arial" w:hAnsi="Arial" w:cs="Arial"/>
          <w:bCs/>
          <w:i/>
          <w:sz w:val="20"/>
          <w:szCs w:val="20"/>
          <w:u w:val="single"/>
          <w:lang w:eastAsia="zh-TW"/>
        </w:rPr>
        <w:t xml:space="preserve">to remove certain </w:t>
      </w:r>
      <w:r w:rsidR="006F43CA">
        <w:rPr>
          <w:rFonts w:ascii="Arial" w:hAnsi="Arial" w:cs="Arial"/>
          <w:bCs/>
          <w:i/>
          <w:sz w:val="20"/>
          <w:szCs w:val="20"/>
          <w:u w:val="single"/>
          <w:lang w:eastAsia="zh-TW"/>
        </w:rPr>
        <w:t>existing</w:t>
      </w:r>
      <w:r>
        <w:rPr>
          <w:rFonts w:ascii="Arial" w:hAnsi="Arial" w:cs="Arial"/>
          <w:bCs/>
          <w:i/>
          <w:sz w:val="20"/>
          <w:szCs w:val="20"/>
          <w:u w:val="single"/>
          <w:lang w:eastAsia="zh-TW"/>
        </w:rPr>
        <w:t xml:space="preserve"> </w:t>
      </w:r>
      <w:r w:rsidR="00FB1731" w:rsidRPr="00FD5B57">
        <w:rPr>
          <w:rFonts w:ascii="Arial" w:hAnsi="Arial" w:cs="Arial"/>
          <w:bCs/>
          <w:i/>
          <w:sz w:val="20"/>
          <w:szCs w:val="20"/>
          <w:u w:val="single"/>
          <w:lang w:eastAsia="zh-TW"/>
        </w:rPr>
        <w:t xml:space="preserve">responsibilities </w:t>
      </w:r>
    </w:p>
    <w:p w:rsidR="00DC1526" w:rsidRDefault="00DC1526" w:rsidP="00F27C61">
      <w:pPr>
        <w:snapToGrid w:val="0"/>
        <w:spacing w:after="0" w:line="240" w:lineRule="auto"/>
        <w:ind w:left="709"/>
        <w:jc w:val="both"/>
        <w:rPr>
          <w:rFonts w:ascii="Arial" w:hAnsi="Arial" w:cs="Arial"/>
          <w:bCs/>
          <w:sz w:val="20"/>
          <w:szCs w:val="20"/>
          <w:lang w:eastAsia="zh-TW"/>
        </w:rPr>
      </w:pPr>
    </w:p>
    <w:p w:rsidR="00A67C49" w:rsidRDefault="00A67C49" w:rsidP="00F27C61">
      <w:pPr>
        <w:snapToGrid w:val="0"/>
        <w:spacing w:after="0" w:line="240" w:lineRule="auto"/>
        <w:ind w:left="709"/>
        <w:jc w:val="both"/>
        <w:rPr>
          <w:rFonts w:ascii="Arial" w:hAnsi="Arial" w:cs="Arial"/>
          <w:bCs/>
          <w:sz w:val="20"/>
          <w:szCs w:val="20"/>
          <w:lang w:eastAsia="zh-TW"/>
        </w:rPr>
      </w:pPr>
    </w:p>
    <w:p w:rsidR="00A67C49" w:rsidRDefault="00171F8D" w:rsidP="00F27C61">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The HKEX propose</w:t>
      </w:r>
      <w:r w:rsidR="00786178">
        <w:rPr>
          <w:rFonts w:ascii="Arial" w:hAnsi="Arial" w:cs="Arial"/>
          <w:bCs/>
          <w:sz w:val="20"/>
          <w:szCs w:val="20"/>
          <w:lang w:eastAsia="zh-TW"/>
        </w:rPr>
        <w:t>s</w:t>
      </w:r>
      <w:r>
        <w:rPr>
          <w:rFonts w:ascii="Arial" w:hAnsi="Arial" w:cs="Arial"/>
          <w:bCs/>
          <w:sz w:val="20"/>
          <w:szCs w:val="20"/>
          <w:lang w:eastAsia="zh-TW"/>
        </w:rPr>
        <w:t xml:space="preserve"> to shorte</w:t>
      </w:r>
      <w:r w:rsidR="00655D0A">
        <w:rPr>
          <w:rFonts w:ascii="Arial" w:hAnsi="Arial" w:cs="Arial"/>
          <w:bCs/>
          <w:sz w:val="20"/>
          <w:szCs w:val="20"/>
          <w:lang w:eastAsia="zh-TW"/>
        </w:rPr>
        <w:t>n</w:t>
      </w:r>
      <w:r>
        <w:rPr>
          <w:rFonts w:ascii="Arial" w:hAnsi="Arial" w:cs="Arial"/>
          <w:bCs/>
          <w:sz w:val="20"/>
          <w:szCs w:val="20"/>
          <w:lang w:eastAsia="zh-TW"/>
        </w:rPr>
        <w:t xml:space="preserve"> the </w:t>
      </w:r>
      <w:r w:rsidR="00EC253E">
        <w:rPr>
          <w:rFonts w:ascii="Arial" w:hAnsi="Arial" w:cs="Arial"/>
          <w:bCs/>
          <w:sz w:val="20"/>
          <w:szCs w:val="20"/>
          <w:lang w:eastAsia="zh-TW"/>
        </w:rPr>
        <w:t xml:space="preserve">mandatory </w:t>
      </w:r>
      <w:r>
        <w:rPr>
          <w:rFonts w:ascii="Arial" w:hAnsi="Arial" w:cs="Arial"/>
          <w:bCs/>
          <w:sz w:val="20"/>
          <w:szCs w:val="20"/>
          <w:lang w:eastAsia="zh-TW"/>
        </w:rPr>
        <w:t>period of engagement of the compliance adviser of a GEM issuer so that it ends on the date on which the GEM issuer publishes its financial results for the first (instead of second) full financial year commencing after the date of its initial listing</w:t>
      </w:r>
      <w:r w:rsidR="00425F01">
        <w:rPr>
          <w:rFonts w:ascii="Arial" w:hAnsi="Arial" w:cs="Arial"/>
          <w:bCs/>
          <w:sz w:val="20"/>
          <w:szCs w:val="20"/>
          <w:lang w:eastAsia="zh-TW"/>
        </w:rPr>
        <w:t>.</w:t>
      </w:r>
      <w:r w:rsidR="00BF30E9">
        <w:rPr>
          <w:rStyle w:val="a7"/>
          <w:rFonts w:ascii="Arial" w:hAnsi="Arial" w:cs="Arial"/>
          <w:bCs/>
          <w:sz w:val="20"/>
          <w:szCs w:val="20"/>
          <w:lang w:eastAsia="zh-TW"/>
        </w:rPr>
        <w:footnoteReference w:id="10"/>
      </w:r>
    </w:p>
    <w:p w:rsidR="00171F8D" w:rsidRDefault="00171F8D" w:rsidP="00F27C61">
      <w:pPr>
        <w:snapToGrid w:val="0"/>
        <w:spacing w:after="0" w:line="240" w:lineRule="auto"/>
        <w:ind w:left="709"/>
        <w:jc w:val="both"/>
        <w:rPr>
          <w:rFonts w:ascii="Arial" w:hAnsi="Arial" w:cs="Arial"/>
          <w:bCs/>
          <w:sz w:val="20"/>
          <w:szCs w:val="20"/>
          <w:lang w:eastAsia="zh-TW"/>
        </w:rPr>
      </w:pPr>
    </w:p>
    <w:p w:rsidR="00171F8D" w:rsidRDefault="00171F8D" w:rsidP="00F27C61">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The HKEX also propose</w:t>
      </w:r>
      <w:r w:rsidR="00786178">
        <w:rPr>
          <w:rFonts w:ascii="Arial" w:hAnsi="Arial" w:cs="Arial"/>
          <w:bCs/>
          <w:sz w:val="20"/>
          <w:szCs w:val="20"/>
          <w:lang w:eastAsia="zh-TW"/>
        </w:rPr>
        <w:t>s</w:t>
      </w:r>
      <w:r>
        <w:rPr>
          <w:rFonts w:ascii="Arial" w:hAnsi="Arial" w:cs="Arial"/>
          <w:bCs/>
          <w:sz w:val="20"/>
          <w:szCs w:val="20"/>
          <w:lang w:eastAsia="zh-TW"/>
        </w:rPr>
        <w:t xml:space="preserve"> to remove GEM Listing Rule requirements relating to a compliance adviser’s responsibilities regarding:</w:t>
      </w:r>
      <w:r w:rsidR="00BF30E9">
        <w:rPr>
          <w:rStyle w:val="a7"/>
          <w:rFonts w:ascii="Arial" w:hAnsi="Arial" w:cs="Arial"/>
          <w:bCs/>
          <w:sz w:val="20"/>
          <w:szCs w:val="20"/>
          <w:lang w:eastAsia="zh-TW"/>
        </w:rPr>
        <w:footnoteReference w:id="11"/>
      </w:r>
    </w:p>
    <w:p w:rsidR="00171F8D" w:rsidRDefault="00171F8D" w:rsidP="00F27C61">
      <w:pPr>
        <w:snapToGrid w:val="0"/>
        <w:spacing w:after="0" w:line="240" w:lineRule="auto"/>
        <w:ind w:left="709"/>
        <w:jc w:val="both"/>
        <w:rPr>
          <w:rFonts w:ascii="Arial" w:hAnsi="Arial" w:cs="Arial"/>
          <w:bCs/>
          <w:sz w:val="20"/>
          <w:szCs w:val="20"/>
          <w:lang w:eastAsia="zh-TW"/>
        </w:rPr>
      </w:pPr>
    </w:p>
    <w:p w:rsidR="00171F8D" w:rsidRDefault="00171F8D" w:rsidP="00171F8D">
      <w:pPr>
        <w:pStyle w:val="a4"/>
        <w:numPr>
          <w:ilvl w:val="0"/>
          <w:numId w:val="31"/>
        </w:numPr>
        <w:snapToGrid w:val="0"/>
        <w:spacing w:after="0" w:line="240" w:lineRule="auto"/>
        <w:ind w:left="1418" w:hanging="720"/>
        <w:jc w:val="both"/>
        <w:rPr>
          <w:rFonts w:ascii="Arial" w:hAnsi="Arial" w:cs="Arial"/>
          <w:bCs/>
          <w:sz w:val="20"/>
          <w:szCs w:val="20"/>
          <w:lang w:eastAsia="zh-TW"/>
        </w:rPr>
      </w:pPr>
      <w:r w:rsidRPr="00171F8D">
        <w:rPr>
          <w:rFonts w:ascii="Arial" w:hAnsi="Arial" w:cs="Arial"/>
          <w:bCs/>
          <w:sz w:val="20"/>
          <w:szCs w:val="20"/>
          <w:lang w:eastAsia="zh-TW"/>
        </w:rPr>
        <w:t xml:space="preserve">due diligence on listing documents published, and dealing with the </w:t>
      </w:r>
      <w:r w:rsidR="004E13DA">
        <w:rPr>
          <w:rFonts w:ascii="Arial" w:hAnsi="Arial" w:cs="Arial"/>
          <w:bCs/>
          <w:sz w:val="20"/>
          <w:szCs w:val="20"/>
          <w:lang w:eastAsia="zh-TW"/>
        </w:rPr>
        <w:t>HKEX</w:t>
      </w:r>
      <w:r w:rsidRPr="00171F8D">
        <w:rPr>
          <w:rFonts w:ascii="Arial" w:hAnsi="Arial" w:cs="Arial"/>
          <w:bCs/>
          <w:sz w:val="20"/>
          <w:szCs w:val="20"/>
          <w:lang w:eastAsia="zh-TW"/>
        </w:rPr>
        <w:t xml:space="preserve">, in relation to certain transactions during the period of </w:t>
      </w:r>
      <w:r w:rsidR="00EC253E">
        <w:rPr>
          <w:rFonts w:ascii="Arial" w:hAnsi="Arial" w:cs="Arial"/>
          <w:bCs/>
          <w:sz w:val="20"/>
          <w:szCs w:val="20"/>
          <w:lang w:eastAsia="zh-TW"/>
        </w:rPr>
        <w:t xml:space="preserve">its </w:t>
      </w:r>
      <w:r w:rsidRPr="00171F8D">
        <w:rPr>
          <w:rFonts w:ascii="Arial" w:hAnsi="Arial" w:cs="Arial"/>
          <w:bCs/>
          <w:sz w:val="20"/>
          <w:szCs w:val="20"/>
          <w:lang w:eastAsia="zh-TW"/>
        </w:rPr>
        <w:t xml:space="preserve">engagement </w:t>
      </w:r>
      <w:r w:rsidR="00EC253E">
        <w:rPr>
          <w:rFonts w:ascii="Arial" w:hAnsi="Arial" w:cs="Arial"/>
          <w:bCs/>
          <w:sz w:val="20"/>
          <w:szCs w:val="20"/>
          <w:lang w:eastAsia="zh-TW"/>
        </w:rPr>
        <w:t>as the</w:t>
      </w:r>
      <w:r w:rsidRPr="00171F8D">
        <w:rPr>
          <w:rFonts w:ascii="Arial" w:hAnsi="Arial" w:cs="Arial"/>
          <w:bCs/>
          <w:sz w:val="20"/>
          <w:szCs w:val="20"/>
          <w:lang w:eastAsia="zh-TW"/>
        </w:rPr>
        <w:t xml:space="preserve"> compliance adviser; and</w:t>
      </w:r>
    </w:p>
    <w:p w:rsidR="00171F8D" w:rsidRDefault="00171F8D" w:rsidP="00171F8D">
      <w:pPr>
        <w:pStyle w:val="a4"/>
        <w:snapToGrid w:val="0"/>
        <w:spacing w:after="0" w:line="240" w:lineRule="auto"/>
        <w:ind w:left="1418"/>
        <w:jc w:val="both"/>
        <w:rPr>
          <w:rFonts w:ascii="Arial" w:hAnsi="Arial" w:cs="Arial"/>
          <w:bCs/>
          <w:sz w:val="20"/>
          <w:szCs w:val="20"/>
          <w:lang w:eastAsia="zh-TW"/>
        </w:rPr>
      </w:pPr>
    </w:p>
    <w:p w:rsidR="00DC1526" w:rsidRPr="00171F8D" w:rsidRDefault="00171F8D" w:rsidP="00171F8D">
      <w:pPr>
        <w:pStyle w:val="a4"/>
        <w:numPr>
          <w:ilvl w:val="0"/>
          <w:numId w:val="31"/>
        </w:numPr>
        <w:snapToGrid w:val="0"/>
        <w:spacing w:after="0" w:line="240" w:lineRule="auto"/>
        <w:ind w:left="1418" w:hanging="720"/>
        <w:jc w:val="both"/>
        <w:rPr>
          <w:rFonts w:ascii="Arial" w:hAnsi="Arial" w:cs="Arial"/>
          <w:bCs/>
          <w:sz w:val="20"/>
          <w:szCs w:val="20"/>
          <w:lang w:eastAsia="zh-TW"/>
        </w:rPr>
      </w:pPr>
      <w:r w:rsidRPr="00171F8D">
        <w:rPr>
          <w:rFonts w:ascii="Arial" w:hAnsi="Arial" w:cs="Arial"/>
          <w:bCs/>
          <w:sz w:val="20"/>
          <w:szCs w:val="20"/>
          <w:lang w:eastAsia="zh-TW"/>
        </w:rPr>
        <w:t>disclosure of</w:t>
      </w:r>
      <w:r w:rsidR="00EC253E">
        <w:rPr>
          <w:rFonts w:ascii="Arial" w:hAnsi="Arial" w:cs="Arial"/>
          <w:bCs/>
          <w:sz w:val="20"/>
          <w:szCs w:val="20"/>
          <w:lang w:eastAsia="zh-TW"/>
        </w:rPr>
        <w:t xml:space="preserve"> its</w:t>
      </w:r>
      <w:r w:rsidRPr="00171F8D">
        <w:rPr>
          <w:rFonts w:ascii="Arial" w:hAnsi="Arial" w:cs="Arial"/>
          <w:bCs/>
          <w:sz w:val="20"/>
          <w:szCs w:val="20"/>
          <w:lang w:eastAsia="zh-TW"/>
        </w:rPr>
        <w:t xml:space="preserve"> interests for </w:t>
      </w:r>
      <w:r w:rsidR="006F43CA">
        <w:rPr>
          <w:rFonts w:ascii="Arial" w:hAnsi="Arial" w:cs="Arial"/>
          <w:bCs/>
          <w:sz w:val="20"/>
          <w:szCs w:val="20"/>
          <w:lang w:eastAsia="zh-TW"/>
        </w:rPr>
        <w:t xml:space="preserve">such </w:t>
      </w:r>
      <w:r w:rsidRPr="00171F8D">
        <w:rPr>
          <w:rFonts w:ascii="Arial" w:hAnsi="Arial" w:cs="Arial"/>
          <w:bCs/>
          <w:sz w:val="20"/>
          <w:szCs w:val="20"/>
          <w:lang w:eastAsia="zh-TW"/>
        </w:rPr>
        <w:t>purpose</w:t>
      </w:r>
      <w:r w:rsidR="00EC253E">
        <w:rPr>
          <w:rFonts w:ascii="Arial" w:hAnsi="Arial" w:cs="Arial"/>
          <w:bCs/>
          <w:sz w:val="20"/>
          <w:szCs w:val="20"/>
          <w:lang w:eastAsia="zh-TW"/>
        </w:rPr>
        <w:t>s</w:t>
      </w:r>
      <w:r>
        <w:rPr>
          <w:rFonts w:ascii="Arial" w:hAnsi="Arial" w:cs="Arial"/>
          <w:bCs/>
          <w:sz w:val="20"/>
          <w:szCs w:val="20"/>
          <w:lang w:eastAsia="zh-TW"/>
        </w:rPr>
        <w:t>.</w:t>
      </w:r>
    </w:p>
    <w:p w:rsidR="00FB1731" w:rsidRDefault="00FB1731" w:rsidP="00F27C61">
      <w:pPr>
        <w:snapToGrid w:val="0"/>
        <w:spacing w:after="0" w:line="240" w:lineRule="auto"/>
        <w:ind w:left="709"/>
        <w:jc w:val="both"/>
        <w:rPr>
          <w:rFonts w:ascii="Arial" w:hAnsi="Arial" w:cs="Arial"/>
          <w:bCs/>
          <w:sz w:val="20"/>
          <w:szCs w:val="20"/>
          <w:lang w:eastAsia="zh-TW"/>
        </w:rPr>
      </w:pPr>
    </w:p>
    <w:p w:rsidR="00171F8D" w:rsidRDefault="00171F8D" w:rsidP="00F27C61">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lastRenderedPageBreak/>
        <w:t>The</w:t>
      </w:r>
      <w:r w:rsidR="006F43CA">
        <w:rPr>
          <w:rFonts w:ascii="Arial" w:hAnsi="Arial" w:cs="Arial"/>
          <w:bCs/>
          <w:sz w:val="20"/>
          <w:szCs w:val="20"/>
          <w:lang w:eastAsia="zh-TW"/>
        </w:rPr>
        <w:t xml:space="preserve">se </w:t>
      </w:r>
      <w:r>
        <w:rPr>
          <w:rFonts w:ascii="Arial" w:hAnsi="Arial" w:cs="Arial"/>
          <w:bCs/>
          <w:sz w:val="20"/>
          <w:szCs w:val="20"/>
          <w:lang w:eastAsia="zh-TW"/>
        </w:rPr>
        <w:t xml:space="preserve">changes relating to compliance officers and compliance advisers </w:t>
      </w:r>
      <w:r w:rsidR="00786178">
        <w:rPr>
          <w:rFonts w:ascii="Arial" w:hAnsi="Arial" w:cs="Arial"/>
          <w:bCs/>
          <w:sz w:val="20"/>
          <w:szCs w:val="20"/>
          <w:lang w:eastAsia="zh-TW"/>
        </w:rPr>
        <w:t xml:space="preserve">are proposed to </w:t>
      </w:r>
      <w:r>
        <w:rPr>
          <w:rFonts w:ascii="Arial" w:hAnsi="Arial" w:cs="Arial"/>
          <w:bCs/>
          <w:sz w:val="20"/>
          <w:szCs w:val="20"/>
          <w:lang w:eastAsia="zh-TW"/>
        </w:rPr>
        <w:t xml:space="preserve">better align </w:t>
      </w:r>
      <w:r w:rsidR="006F43CA">
        <w:rPr>
          <w:rFonts w:ascii="Arial" w:hAnsi="Arial" w:cs="Arial"/>
          <w:bCs/>
          <w:sz w:val="20"/>
          <w:szCs w:val="20"/>
          <w:lang w:eastAsia="zh-TW"/>
        </w:rPr>
        <w:t xml:space="preserve">GEM Listing Rule requirements </w:t>
      </w:r>
      <w:r>
        <w:rPr>
          <w:rFonts w:ascii="Arial" w:hAnsi="Arial" w:cs="Arial"/>
          <w:bCs/>
          <w:sz w:val="20"/>
          <w:szCs w:val="20"/>
          <w:lang w:eastAsia="zh-TW"/>
        </w:rPr>
        <w:t>with th</w:t>
      </w:r>
      <w:r w:rsidR="00191489">
        <w:rPr>
          <w:rFonts w:ascii="Arial" w:hAnsi="Arial" w:cs="Arial"/>
          <w:bCs/>
          <w:sz w:val="20"/>
          <w:szCs w:val="20"/>
          <w:lang w:eastAsia="zh-TW"/>
        </w:rPr>
        <w:t>ose</w:t>
      </w:r>
      <w:r w:rsidR="006F43CA">
        <w:rPr>
          <w:rFonts w:ascii="Arial" w:hAnsi="Arial" w:cs="Arial"/>
          <w:bCs/>
          <w:sz w:val="20"/>
          <w:szCs w:val="20"/>
          <w:lang w:eastAsia="zh-TW"/>
        </w:rPr>
        <w:t xml:space="preserve"> of the </w:t>
      </w:r>
      <w:r>
        <w:rPr>
          <w:rFonts w:ascii="Arial" w:hAnsi="Arial" w:cs="Arial"/>
          <w:bCs/>
          <w:sz w:val="20"/>
          <w:szCs w:val="20"/>
          <w:lang w:eastAsia="zh-TW"/>
        </w:rPr>
        <w:t>Main Board.</w:t>
      </w:r>
    </w:p>
    <w:p w:rsidR="00171F8D" w:rsidRDefault="00171F8D" w:rsidP="00F27C61">
      <w:pPr>
        <w:snapToGrid w:val="0"/>
        <w:spacing w:after="0" w:line="240" w:lineRule="auto"/>
        <w:ind w:left="709"/>
        <w:jc w:val="both"/>
        <w:rPr>
          <w:rFonts w:ascii="Arial" w:hAnsi="Arial" w:cs="Arial"/>
          <w:bCs/>
          <w:sz w:val="20"/>
          <w:szCs w:val="20"/>
          <w:lang w:eastAsia="zh-TW"/>
        </w:rPr>
      </w:pPr>
    </w:p>
    <w:tbl>
      <w:tblPr>
        <w:tblStyle w:val="af5"/>
        <w:tblW w:w="0" w:type="auto"/>
        <w:tblInd w:w="709" w:type="dxa"/>
        <w:tblLook w:val="04A0" w:firstRow="1" w:lastRow="0" w:firstColumn="1" w:lastColumn="0" w:noHBand="0" w:noVBand="1"/>
      </w:tblPr>
      <w:tblGrid>
        <w:gridCol w:w="4776"/>
        <w:gridCol w:w="4770"/>
      </w:tblGrid>
      <w:tr w:rsidR="00E90762" w:rsidRPr="001C4A23" w:rsidTr="00D10060">
        <w:tc>
          <w:tcPr>
            <w:tcW w:w="4776" w:type="dxa"/>
          </w:tcPr>
          <w:p w:rsidR="00E90762" w:rsidRPr="001C4A23" w:rsidRDefault="00E90762" w:rsidP="00CF4DD3">
            <w:pPr>
              <w:snapToGrid w:val="0"/>
              <w:jc w:val="center"/>
              <w:rPr>
                <w:rFonts w:ascii="Arial" w:hAnsi="Arial" w:cs="Arial"/>
                <w:b/>
                <w:bCs/>
                <w:sz w:val="20"/>
                <w:szCs w:val="20"/>
                <w:lang w:eastAsia="zh-TW"/>
              </w:rPr>
            </w:pPr>
            <w:r w:rsidRPr="001C4A23">
              <w:rPr>
                <w:rFonts w:ascii="Arial" w:hAnsi="Arial" w:cs="Arial"/>
                <w:b/>
                <w:bCs/>
                <w:sz w:val="20"/>
                <w:szCs w:val="20"/>
                <w:lang w:eastAsia="zh-TW"/>
              </w:rPr>
              <w:t>Current requirement</w:t>
            </w:r>
          </w:p>
          <w:p w:rsidR="00E90762" w:rsidRPr="001C4A23" w:rsidRDefault="00E90762" w:rsidP="00CF4DD3">
            <w:pPr>
              <w:snapToGrid w:val="0"/>
              <w:jc w:val="center"/>
              <w:rPr>
                <w:rFonts w:ascii="Arial" w:hAnsi="Arial" w:cs="Arial"/>
                <w:b/>
                <w:bCs/>
                <w:sz w:val="20"/>
                <w:szCs w:val="20"/>
                <w:lang w:eastAsia="zh-TW"/>
              </w:rPr>
            </w:pPr>
          </w:p>
        </w:tc>
        <w:tc>
          <w:tcPr>
            <w:tcW w:w="4770" w:type="dxa"/>
          </w:tcPr>
          <w:p w:rsidR="00E90762" w:rsidRPr="001C4A23" w:rsidRDefault="00E90762" w:rsidP="00CF4DD3">
            <w:pPr>
              <w:snapToGrid w:val="0"/>
              <w:jc w:val="center"/>
              <w:rPr>
                <w:rFonts w:ascii="Arial" w:hAnsi="Arial" w:cs="Arial"/>
                <w:b/>
                <w:bCs/>
                <w:sz w:val="20"/>
                <w:szCs w:val="20"/>
                <w:lang w:eastAsia="zh-TW"/>
              </w:rPr>
            </w:pPr>
            <w:r>
              <w:rPr>
                <w:rFonts w:ascii="Arial" w:hAnsi="Arial" w:cs="Arial"/>
                <w:b/>
                <w:bCs/>
                <w:sz w:val="20"/>
                <w:szCs w:val="20"/>
                <w:lang w:eastAsia="zh-TW"/>
              </w:rPr>
              <w:t>Proposed requirement</w:t>
            </w:r>
          </w:p>
        </w:tc>
      </w:tr>
      <w:tr w:rsidR="00E90762" w:rsidTr="00D10060">
        <w:tc>
          <w:tcPr>
            <w:tcW w:w="4776" w:type="dxa"/>
          </w:tcPr>
          <w:p w:rsidR="00E90762" w:rsidRDefault="00BF30E9" w:rsidP="00CF4DD3">
            <w:pPr>
              <w:snapToGrid w:val="0"/>
              <w:jc w:val="both"/>
              <w:rPr>
                <w:rFonts w:ascii="Arial" w:hAnsi="Arial" w:cs="Arial"/>
                <w:bCs/>
                <w:sz w:val="20"/>
                <w:szCs w:val="20"/>
                <w:lang w:eastAsia="zh-TW"/>
              </w:rPr>
            </w:pPr>
            <w:r w:rsidRPr="00BF30E9">
              <w:rPr>
                <w:rFonts w:ascii="Arial" w:hAnsi="Arial" w:cs="Arial"/>
                <w:bCs/>
                <w:sz w:val="20"/>
                <w:szCs w:val="20"/>
                <w:lang w:eastAsia="zh-TW"/>
              </w:rPr>
              <w:t xml:space="preserve">A listed </w:t>
            </w:r>
            <w:r>
              <w:rPr>
                <w:rFonts w:ascii="Arial" w:hAnsi="Arial" w:cs="Arial"/>
                <w:bCs/>
                <w:sz w:val="20"/>
                <w:szCs w:val="20"/>
                <w:lang w:eastAsia="zh-TW"/>
              </w:rPr>
              <w:t>GEM issuer must appoint a compliance a</w:t>
            </w:r>
            <w:r w:rsidRPr="00BF30E9">
              <w:rPr>
                <w:rFonts w:ascii="Arial" w:hAnsi="Arial" w:cs="Arial"/>
                <w:bCs/>
                <w:sz w:val="20"/>
                <w:szCs w:val="20"/>
                <w:lang w:eastAsia="zh-TW"/>
              </w:rPr>
              <w:t xml:space="preserve">dviser for </w:t>
            </w:r>
            <w:r>
              <w:rPr>
                <w:rFonts w:ascii="Arial" w:hAnsi="Arial" w:cs="Arial"/>
                <w:bCs/>
                <w:sz w:val="20"/>
                <w:szCs w:val="20"/>
                <w:lang w:eastAsia="zh-TW"/>
              </w:rPr>
              <w:t xml:space="preserve">its GEM listing until the date on which it publishes its financial results for the </w:t>
            </w:r>
            <w:r w:rsidRPr="00D10060">
              <w:rPr>
                <w:rFonts w:ascii="Arial" w:hAnsi="Arial" w:cs="Arial"/>
                <w:b/>
                <w:bCs/>
                <w:sz w:val="20"/>
                <w:szCs w:val="20"/>
                <w:lang w:eastAsia="zh-TW"/>
              </w:rPr>
              <w:t xml:space="preserve">second </w:t>
            </w:r>
            <w:r>
              <w:rPr>
                <w:rFonts w:ascii="Arial" w:hAnsi="Arial" w:cs="Arial"/>
                <w:bCs/>
                <w:sz w:val="20"/>
                <w:szCs w:val="20"/>
                <w:lang w:eastAsia="zh-TW"/>
              </w:rPr>
              <w:t>full financial year.</w:t>
            </w:r>
            <w:r>
              <w:rPr>
                <w:rStyle w:val="a7"/>
                <w:rFonts w:ascii="Arial" w:hAnsi="Arial" w:cs="Arial"/>
                <w:bCs/>
                <w:sz w:val="20"/>
                <w:szCs w:val="20"/>
                <w:lang w:eastAsia="zh-TW"/>
              </w:rPr>
              <w:footnoteReference w:id="12"/>
            </w:r>
          </w:p>
          <w:p w:rsidR="00BF30E9" w:rsidRDefault="00BF30E9" w:rsidP="00CF4DD3">
            <w:pPr>
              <w:snapToGrid w:val="0"/>
              <w:jc w:val="both"/>
              <w:rPr>
                <w:rFonts w:ascii="Arial" w:hAnsi="Arial" w:cs="Arial"/>
                <w:bCs/>
                <w:sz w:val="20"/>
                <w:szCs w:val="20"/>
                <w:lang w:eastAsia="zh-TW"/>
              </w:rPr>
            </w:pPr>
          </w:p>
          <w:p w:rsidR="00BF30E9" w:rsidRDefault="00BF30E9" w:rsidP="00CF4DD3">
            <w:pPr>
              <w:snapToGrid w:val="0"/>
              <w:jc w:val="both"/>
              <w:rPr>
                <w:rFonts w:ascii="Arial" w:hAnsi="Arial" w:cs="Arial"/>
                <w:bCs/>
                <w:sz w:val="20"/>
                <w:szCs w:val="20"/>
                <w:lang w:eastAsia="zh-TW"/>
              </w:rPr>
            </w:pPr>
            <w:r>
              <w:rPr>
                <w:rFonts w:ascii="Arial" w:hAnsi="Arial" w:cs="Arial"/>
                <w:bCs/>
                <w:sz w:val="20"/>
                <w:szCs w:val="20"/>
                <w:lang w:eastAsia="zh-TW"/>
              </w:rPr>
              <w:t>The compliance adviser’s responsibilities set out in Chapter 6A of the GEM Listing Rules include, amongst others, the following:</w:t>
            </w:r>
            <w:r>
              <w:rPr>
                <w:rStyle w:val="a7"/>
                <w:rFonts w:ascii="Arial" w:hAnsi="Arial" w:cs="Arial"/>
                <w:bCs/>
                <w:sz w:val="20"/>
                <w:szCs w:val="20"/>
                <w:lang w:eastAsia="zh-TW"/>
              </w:rPr>
              <w:footnoteReference w:id="13"/>
            </w:r>
          </w:p>
          <w:p w:rsidR="00BF30E9" w:rsidRDefault="00BF30E9" w:rsidP="00CF4DD3">
            <w:pPr>
              <w:snapToGrid w:val="0"/>
              <w:jc w:val="both"/>
              <w:rPr>
                <w:rFonts w:ascii="Arial" w:hAnsi="Arial" w:cs="Arial"/>
                <w:bCs/>
                <w:sz w:val="20"/>
                <w:szCs w:val="20"/>
                <w:lang w:eastAsia="zh-TW"/>
              </w:rPr>
            </w:pPr>
          </w:p>
          <w:p w:rsidR="00BF30E9" w:rsidRDefault="00BF30E9" w:rsidP="00BF30E9">
            <w:pPr>
              <w:pStyle w:val="a4"/>
              <w:numPr>
                <w:ilvl w:val="0"/>
                <w:numId w:val="33"/>
              </w:numPr>
              <w:snapToGrid w:val="0"/>
              <w:ind w:left="589" w:hanging="567"/>
              <w:jc w:val="both"/>
              <w:rPr>
                <w:rFonts w:ascii="Arial" w:hAnsi="Arial" w:cs="Arial"/>
                <w:bCs/>
                <w:sz w:val="20"/>
                <w:szCs w:val="20"/>
                <w:lang w:eastAsia="zh-TW"/>
              </w:rPr>
            </w:pPr>
            <w:r w:rsidRPr="00171F8D">
              <w:rPr>
                <w:rFonts w:ascii="Arial" w:hAnsi="Arial" w:cs="Arial"/>
                <w:bCs/>
                <w:sz w:val="20"/>
                <w:szCs w:val="20"/>
                <w:lang w:eastAsia="zh-TW"/>
              </w:rPr>
              <w:t xml:space="preserve">due diligence on listing documents published, and dealing with the </w:t>
            </w:r>
            <w:r w:rsidR="004E13DA">
              <w:rPr>
                <w:rFonts w:ascii="Arial" w:hAnsi="Arial" w:cs="Arial"/>
                <w:bCs/>
                <w:sz w:val="20"/>
                <w:szCs w:val="20"/>
                <w:lang w:eastAsia="zh-TW"/>
              </w:rPr>
              <w:t>HKEX</w:t>
            </w:r>
            <w:r w:rsidRPr="00171F8D">
              <w:rPr>
                <w:rFonts w:ascii="Arial" w:hAnsi="Arial" w:cs="Arial"/>
                <w:bCs/>
                <w:sz w:val="20"/>
                <w:szCs w:val="20"/>
                <w:lang w:eastAsia="zh-TW"/>
              </w:rPr>
              <w:t>, in relation to certain transactions during the period of engagement of the compliance adviser; and</w:t>
            </w:r>
          </w:p>
          <w:p w:rsidR="00BF30E9" w:rsidRDefault="00BF30E9" w:rsidP="00BF30E9">
            <w:pPr>
              <w:pStyle w:val="a4"/>
              <w:snapToGrid w:val="0"/>
              <w:ind w:left="589"/>
              <w:jc w:val="both"/>
              <w:rPr>
                <w:rFonts w:ascii="Arial" w:hAnsi="Arial" w:cs="Arial"/>
                <w:bCs/>
                <w:sz w:val="20"/>
                <w:szCs w:val="20"/>
                <w:lang w:eastAsia="zh-TW"/>
              </w:rPr>
            </w:pPr>
          </w:p>
          <w:p w:rsidR="00BF30E9" w:rsidRPr="00043AA8" w:rsidRDefault="00BF30E9">
            <w:pPr>
              <w:pStyle w:val="a4"/>
              <w:numPr>
                <w:ilvl w:val="0"/>
                <w:numId w:val="33"/>
              </w:numPr>
              <w:snapToGrid w:val="0"/>
              <w:ind w:left="589" w:hanging="567"/>
              <w:jc w:val="both"/>
              <w:rPr>
                <w:rFonts w:ascii="Arial" w:hAnsi="Arial" w:cs="Arial"/>
                <w:bCs/>
                <w:sz w:val="20"/>
                <w:szCs w:val="20"/>
                <w:lang w:eastAsia="zh-TW"/>
              </w:rPr>
            </w:pPr>
            <w:r w:rsidRPr="00BF30E9">
              <w:rPr>
                <w:rFonts w:ascii="Arial" w:hAnsi="Arial" w:cs="Arial"/>
                <w:bCs/>
                <w:sz w:val="20"/>
                <w:szCs w:val="20"/>
                <w:lang w:eastAsia="zh-TW"/>
              </w:rPr>
              <w:t>disclosure of interests of the compliance</w:t>
            </w:r>
            <w:r w:rsidRPr="00171F8D">
              <w:t xml:space="preserve"> </w:t>
            </w:r>
            <w:r w:rsidRPr="00BF30E9">
              <w:rPr>
                <w:rFonts w:ascii="Arial" w:hAnsi="Arial" w:cs="Arial"/>
                <w:bCs/>
                <w:sz w:val="20"/>
                <w:szCs w:val="20"/>
                <w:lang w:eastAsia="zh-TW"/>
              </w:rPr>
              <w:t>adviser for</w:t>
            </w:r>
            <w:r w:rsidR="006F43CA">
              <w:rPr>
                <w:rFonts w:ascii="Arial" w:hAnsi="Arial" w:cs="Arial"/>
                <w:bCs/>
                <w:sz w:val="20"/>
                <w:szCs w:val="20"/>
                <w:lang w:eastAsia="zh-TW"/>
              </w:rPr>
              <w:t xml:space="preserve"> such</w:t>
            </w:r>
            <w:r w:rsidRPr="00BF30E9">
              <w:rPr>
                <w:rFonts w:ascii="Arial" w:hAnsi="Arial" w:cs="Arial"/>
                <w:bCs/>
                <w:sz w:val="20"/>
                <w:szCs w:val="20"/>
                <w:lang w:eastAsia="zh-TW"/>
              </w:rPr>
              <w:t xml:space="preserve"> purpose.</w:t>
            </w:r>
          </w:p>
        </w:tc>
        <w:tc>
          <w:tcPr>
            <w:tcW w:w="4770" w:type="dxa"/>
          </w:tcPr>
          <w:p w:rsidR="00BF30E9" w:rsidRDefault="00DE3C83" w:rsidP="00BF30E9">
            <w:pPr>
              <w:snapToGrid w:val="0"/>
              <w:jc w:val="both"/>
              <w:rPr>
                <w:rFonts w:ascii="Arial" w:hAnsi="Arial" w:cs="Arial"/>
                <w:bCs/>
                <w:sz w:val="20"/>
                <w:szCs w:val="20"/>
                <w:lang w:eastAsia="zh-TW"/>
              </w:rPr>
            </w:pPr>
            <w:r>
              <w:rPr>
                <w:rFonts w:ascii="Arial" w:hAnsi="Arial" w:cs="Arial"/>
                <w:bCs/>
                <w:sz w:val="20"/>
                <w:szCs w:val="20"/>
                <w:lang w:eastAsia="zh-TW"/>
              </w:rPr>
              <w:t>A</w:t>
            </w:r>
            <w:r w:rsidR="00BF30E9" w:rsidRPr="00BF30E9">
              <w:rPr>
                <w:rFonts w:ascii="Arial" w:hAnsi="Arial" w:cs="Arial"/>
                <w:bCs/>
                <w:sz w:val="20"/>
                <w:szCs w:val="20"/>
                <w:lang w:eastAsia="zh-TW"/>
              </w:rPr>
              <w:t xml:space="preserve"> </w:t>
            </w:r>
            <w:r w:rsidR="00BF30E9">
              <w:rPr>
                <w:rFonts w:ascii="Arial" w:hAnsi="Arial" w:cs="Arial"/>
                <w:bCs/>
                <w:sz w:val="20"/>
                <w:szCs w:val="20"/>
                <w:lang w:eastAsia="zh-TW"/>
              </w:rPr>
              <w:t xml:space="preserve">GEM </w:t>
            </w:r>
            <w:r w:rsidR="00BF30E9" w:rsidRPr="00BF30E9">
              <w:rPr>
                <w:rFonts w:ascii="Arial" w:hAnsi="Arial" w:cs="Arial"/>
                <w:bCs/>
                <w:sz w:val="20"/>
                <w:szCs w:val="20"/>
                <w:lang w:eastAsia="zh-TW"/>
              </w:rPr>
              <w:t xml:space="preserve">listed issuer </w:t>
            </w:r>
            <w:r w:rsidR="00BF30E9">
              <w:rPr>
                <w:rFonts w:ascii="Arial" w:hAnsi="Arial" w:cs="Arial"/>
                <w:bCs/>
                <w:sz w:val="20"/>
                <w:szCs w:val="20"/>
                <w:lang w:eastAsia="zh-TW"/>
              </w:rPr>
              <w:t>will be required to appoint a compliance a</w:t>
            </w:r>
            <w:r w:rsidR="00BF30E9" w:rsidRPr="00BF30E9">
              <w:rPr>
                <w:rFonts w:ascii="Arial" w:hAnsi="Arial" w:cs="Arial"/>
                <w:bCs/>
                <w:sz w:val="20"/>
                <w:szCs w:val="20"/>
                <w:lang w:eastAsia="zh-TW"/>
              </w:rPr>
              <w:t xml:space="preserve">dviser for </w:t>
            </w:r>
            <w:r w:rsidR="00BF30E9">
              <w:rPr>
                <w:rFonts w:ascii="Arial" w:hAnsi="Arial" w:cs="Arial"/>
                <w:bCs/>
                <w:sz w:val="20"/>
                <w:szCs w:val="20"/>
                <w:lang w:eastAsia="zh-TW"/>
              </w:rPr>
              <w:t xml:space="preserve">its GEM listing until the date on which it publishes its financial results for the </w:t>
            </w:r>
            <w:r w:rsidR="00BF30E9" w:rsidRPr="00D10060">
              <w:rPr>
                <w:rFonts w:ascii="Arial" w:hAnsi="Arial" w:cs="Arial"/>
                <w:b/>
                <w:bCs/>
                <w:sz w:val="20"/>
                <w:szCs w:val="20"/>
                <w:lang w:eastAsia="zh-TW"/>
              </w:rPr>
              <w:t>first</w:t>
            </w:r>
            <w:r w:rsidR="00BF30E9">
              <w:rPr>
                <w:rFonts w:ascii="Arial" w:hAnsi="Arial" w:cs="Arial"/>
                <w:bCs/>
                <w:sz w:val="20"/>
                <w:szCs w:val="20"/>
                <w:lang w:eastAsia="zh-TW"/>
              </w:rPr>
              <w:t xml:space="preserve"> full financial year.</w:t>
            </w:r>
          </w:p>
          <w:p w:rsidR="00E90762" w:rsidRDefault="00E90762" w:rsidP="00BF30E9">
            <w:pPr>
              <w:snapToGrid w:val="0"/>
              <w:jc w:val="both"/>
              <w:rPr>
                <w:rFonts w:ascii="Arial" w:hAnsi="Arial" w:cs="Arial"/>
                <w:bCs/>
                <w:sz w:val="20"/>
                <w:szCs w:val="20"/>
                <w:lang w:eastAsia="zh-TW"/>
              </w:rPr>
            </w:pPr>
          </w:p>
          <w:p w:rsidR="00BF30E9" w:rsidRDefault="006F43CA" w:rsidP="00BF30E9">
            <w:pPr>
              <w:snapToGrid w:val="0"/>
              <w:jc w:val="both"/>
              <w:rPr>
                <w:rFonts w:ascii="Arial" w:hAnsi="Arial" w:cs="Arial"/>
                <w:bCs/>
                <w:sz w:val="20"/>
                <w:szCs w:val="20"/>
                <w:lang w:eastAsia="zh-TW"/>
              </w:rPr>
            </w:pPr>
            <w:r>
              <w:rPr>
                <w:rFonts w:ascii="Arial" w:hAnsi="Arial" w:cs="Arial"/>
                <w:bCs/>
                <w:sz w:val="20"/>
                <w:szCs w:val="20"/>
                <w:lang w:eastAsia="zh-TW"/>
              </w:rPr>
              <w:t xml:space="preserve">Compliance adviser’s responsibilities set out in the amended Chapter 6A of the GEM Listing Rules will </w:t>
            </w:r>
            <w:r w:rsidRPr="00FD5B57">
              <w:rPr>
                <w:rFonts w:ascii="Arial" w:hAnsi="Arial" w:cs="Arial"/>
                <w:bCs/>
                <w:i/>
                <w:sz w:val="20"/>
                <w:szCs w:val="20"/>
                <w:lang w:eastAsia="zh-TW"/>
              </w:rPr>
              <w:t>not</w:t>
            </w:r>
            <w:r>
              <w:rPr>
                <w:rFonts w:ascii="Arial" w:hAnsi="Arial" w:cs="Arial"/>
                <w:bCs/>
                <w:sz w:val="20"/>
                <w:szCs w:val="20"/>
                <w:lang w:eastAsia="zh-TW"/>
              </w:rPr>
              <w:t xml:space="preserve"> include</w:t>
            </w:r>
            <w:r w:rsidR="004E13DA">
              <w:rPr>
                <w:rFonts w:ascii="Arial" w:hAnsi="Arial" w:cs="Arial"/>
                <w:bCs/>
                <w:sz w:val="20"/>
                <w:szCs w:val="20"/>
                <w:lang w:eastAsia="zh-TW"/>
              </w:rPr>
              <w:t>:</w:t>
            </w:r>
          </w:p>
          <w:p w:rsidR="004E13DA" w:rsidRDefault="004E13DA" w:rsidP="00BF30E9">
            <w:pPr>
              <w:snapToGrid w:val="0"/>
              <w:jc w:val="both"/>
              <w:rPr>
                <w:rFonts w:ascii="Arial" w:hAnsi="Arial" w:cs="Arial"/>
                <w:bCs/>
                <w:sz w:val="20"/>
                <w:szCs w:val="20"/>
                <w:lang w:eastAsia="zh-TW"/>
              </w:rPr>
            </w:pPr>
          </w:p>
          <w:p w:rsidR="004E13DA" w:rsidRDefault="004E13DA" w:rsidP="004E13DA">
            <w:pPr>
              <w:pStyle w:val="a4"/>
              <w:numPr>
                <w:ilvl w:val="0"/>
                <w:numId w:val="35"/>
              </w:numPr>
              <w:snapToGrid w:val="0"/>
              <w:ind w:left="589" w:hanging="567"/>
              <w:jc w:val="both"/>
              <w:rPr>
                <w:rFonts w:ascii="Arial" w:hAnsi="Arial" w:cs="Arial"/>
                <w:bCs/>
                <w:sz w:val="20"/>
                <w:szCs w:val="20"/>
                <w:lang w:eastAsia="zh-TW"/>
              </w:rPr>
            </w:pPr>
            <w:r w:rsidRPr="00171F8D">
              <w:rPr>
                <w:rFonts w:ascii="Arial" w:hAnsi="Arial" w:cs="Arial"/>
                <w:bCs/>
                <w:sz w:val="20"/>
                <w:szCs w:val="20"/>
                <w:lang w:eastAsia="zh-TW"/>
              </w:rPr>
              <w:t xml:space="preserve">due diligence on listing documents published, and dealing with the </w:t>
            </w:r>
            <w:r>
              <w:rPr>
                <w:rFonts w:ascii="Arial" w:hAnsi="Arial" w:cs="Arial"/>
                <w:bCs/>
                <w:sz w:val="20"/>
                <w:szCs w:val="20"/>
                <w:lang w:eastAsia="zh-TW"/>
              </w:rPr>
              <w:t>HKEX</w:t>
            </w:r>
            <w:r w:rsidRPr="00171F8D">
              <w:rPr>
                <w:rFonts w:ascii="Arial" w:hAnsi="Arial" w:cs="Arial"/>
                <w:bCs/>
                <w:sz w:val="20"/>
                <w:szCs w:val="20"/>
                <w:lang w:eastAsia="zh-TW"/>
              </w:rPr>
              <w:t>, in relation to certain transactions during the period of engagement of the compliance adviser; and</w:t>
            </w:r>
          </w:p>
          <w:p w:rsidR="004E13DA" w:rsidRDefault="004E13DA" w:rsidP="004E13DA">
            <w:pPr>
              <w:pStyle w:val="a4"/>
              <w:snapToGrid w:val="0"/>
              <w:ind w:left="589"/>
              <w:jc w:val="both"/>
              <w:rPr>
                <w:rFonts w:ascii="Arial" w:hAnsi="Arial" w:cs="Arial"/>
                <w:bCs/>
                <w:sz w:val="20"/>
                <w:szCs w:val="20"/>
                <w:lang w:eastAsia="zh-TW"/>
              </w:rPr>
            </w:pPr>
          </w:p>
          <w:p w:rsidR="004E13DA" w:rsidRPr="00BF30E9" w:rsidRDefault="004E13DA" w:rsidP="004E13DA">
            <w:pPr>
              <w:pStyle w:val="a4"/>
              <w:numPr>
                <w:ilvl w:val="0"/>
                <w:numId w:val="35"/>
              </w:numPr>
              <w:snapToGrid w:val="0"/>
              <w:ind w:left="589" w:hanging="567"/>
              <w:jc w:val="both"/>
              <w:rPr>
                <w:rFonts w:ascii="Arial" w:hAnsi="Arial" w:cs="Arial"/>
                <w:bCs/>
                <w:sz w:val="20"/>
                <w:szCs w:val="20"/>
                <w:lang w:eastAsia="zh-TW"/>
              </w:rPr>
            </w:pPr>
            <w:r w:rsidRPr="00BF30E9">
              <w:rPr>
                <w:rFonts w:ascii="Arial" w:hAnsi="Arial" w:cs="Arial"/>
                <w:bCs/>
                <w:sz w:val="20"/>
                <w:szCs w:val="20"/>
                <w:lang w:eastAsia="zh-TW"/>
              </w:rPr>
              <w:t>disclosure of interests of the compliance</w:t>
            </w:r>
            <w:r w:rsidRPr="00171F8D">
              <w:t xml:space="preserve"> </w:t>
            </w:r>
            <w:r w:rsidRPr="00BF30E9">
              <w:rPr>
                <w:rFonts w:ascii="Arial" w:hAnsi="Arial" w:cs="Arial"/>
                <w:bCs/>
                <w:sz w:val="20"/>
                <w:szCs w:val="20"/>
                <w:lang w:eastAsia="zh-TW"/>
              </w:rPr>
              <w:t xml:space="preserve">adviser for </w:t>
            </w:r>
            <w:r w:rsidR="006F43CA">
              <w:rPr>
                <w:rFonts w:ascii="Arial" w:hAnsi="Arial" w:cs="Arial"/>
                <w:bCs/>
                <w:sz w:val="20"/>
                <w:szCs w:val="20"/>
                <w:lang w:eastAsia="zh-TW"/>
              </w:rPr>
              <w:t>such</w:t>
            </w:r>
            <w:r w:rsidR="006F43CA" w:rsidRPr="00BF30E9">
              <w:rPr>
                <w:rFonts w:ascii="Arial" w:hAnsi="Arial" w:cs="Arial"/>
                <w:bCs/>
                <w:sz w:val="20"/>
                <w:szCs w:val="20"/>
                <w:lang w:eastAsia="zh-TW"/>
              </w:rPr>
              <w:t xml:space="preserve"> </w:t>
            </w:r>
            <w:r w:rsidRPr="00BF30E9">
              <w:rPr>
                <w:rFonts w:ascii="Arial" w:hAnsi="Arial" w:cs="Arial"/>
                <w:bCs/>
                <w:sz w:val="20"/>
                <w:szCs w:val="20"/>
                <w:lang w:eastAsia="zh-TW"/>
              </w:rPr>
              <w:t>purpose.</w:t>
            </w:r>
          </w:p>
          <w:p w:rsidR="004E13DA" w:rsidRDefault="004E13DA" w:rsidP="00BF30E9">
            <w:pPr>
              <w:snapToGrid w:val="0"/>
              <w:jc w:val="both"/>
              <w:rPr>
                <w:rFonts w:ascii="Arial" w:hAnsi="Arial" w:cs="Arial"/>
                <w:bCs/>
                <w:sz w:val="20"/>
                <w:szCs w:val="20"/>
                <w:lang w:eastAsia="zh-TW"/>
              </w:rPr>
            </w:pPr>
          </w:p>
        </w:tc>
      </w:tr>
    </w:tbl>
    <w:p w:rsidR="00171F8D" w:rsidRDefault="00171F8D" w:rsidP="00F27C61">
      <w:pPr>
        <w:snapToGrid w:val="0"/>
        <w:spacing w:after="0" w:line="240" w:lineRule="auto"/>
        <w:ind w:left="709"/>
        <w:jc w:val="both"/>
        <w:rPr>
          <w:rFonts w:ascii="Arial" w:hAnsi="Arial" w:cs="Arial"/>
          <w:bCs/>
          <w:sz w:val="20"/>
          <w:szCs w:val="20"/>
          <w:lang w:eastAsia="zh-TW"/>
        </w:rPr>
      </w:pPr>
    </w:p>
    <w:p w:rsidR="001C4A23" w:rsidRPr="000F0E53" w:rsidRDefault="000F0E53" w:rsidP="00F27C61">
      <w:pPr>
        <w:snapToGrid w:val="0"/>
        <w:spacing w:after="0" w:line="240" w:lineRule="auto"/>
        <w:ind w:left="709"/>
        <w:jc w:val="both"/>
        <w:rPr>
          <w:rFonts w:ascii="Arial" w:hAnsi="Arial" w:cs="Arial"/>
          <w:b/>
          <w:bCs/>
          <w:sz w:val="20"/>
          <w:szCs w:val="20"/>
          <w:lang w:eastAsia="zh-TW"/>
        </w:rPr>
      </w:pPr>
      <w:r w:rsidRPr="000F0E53">
        <w:rPr>
          <w:rFonts w:ascii="Arial" w:hAnsi="Arial" w:cs="Arial"/>
          <w:b/>
          <w:bCs/>
          <w:sz w:val="20"/>
          <w:szCs w:val="20"/>
          <w:lang w:eastAsia="zh-TW"/>
        </w:rPr>
        <w:t xml:space="preserve">Amendments to </w:t>
      </w:r>
      <w:r w:rsidR="001549AE">
        <w:rPr>
          <w:rFonts w:ascii="Arial" w:hAnsi="Arial" w:cs="Arial"/>
          <w:b/>
          <w:bCs/>
          <w:sz w:val="20"/>
          <w:szCs w:val="20"/>
          <w:lang w:eastAsia="zh-TW"/>
        </w:rPr>
        <w:t xml:space="preserve">the </w:t>
      </w:r>
      <w:r w:rsidRPr="000F0E53">
        <w:rPr>
          <w:rFonts w:ascii="Arial" w:hAnsi="Arial" w:cs="Arial"/>
          <w:b/>
          <w:bCs/>
          <w:sz w:val="20"/>
          <w:szCs w:val="20"/>
          <w:lang w:eastAsia="zh-TW"/>
        </w:rPr>
        <w:t>periodic reporting requirements</w:t>
      </w:r>
    </w:p>
    <w:p w:rsidR="000F0E53" w:rsidRDefault="000F0E53" w:rsidP="00F27C61">
      <w:pPr>
        <w:snapToGrid w:val="0"/>
        <w:spacing w:after="0" w:line="240" w:lineRule="auto"/>
        <w:ind w:left="709"/>
        <w:jc w:val="both"/>
        <w:rPr>
          <w:rFonts w:ascii="Arial" w:hAnsi="Arial" w:cs="Arial"/>
          <w:bCs/>
          <w:sz w:val="20"/>
          <w:szCs w:val="20"/>
          <w:lang w:eastAsia="zh-TW"/>
        </w:rPr>
      </w:pPr>
    </w:p>
    <w:p w:rsidR="001549AE" w:rsidRDefault="001549AE" w:rsidP="00F27C61">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The HKEX noted that t</w:t>
      </w:r>
      <w:r w:rsidRPr="001549AE">
        <w:rPr>
          <w:rFonts w:ascii="Arial" w:hAnsi="Arial" w:cs="Arial"/>
          <w:bCs/>
          <w:sz w:val="20"/>
          <w:szCs w:val="20"/>
          <w:lang w:eastAsia="zh-TW"/>
        </w:rPr>
        <w:t xml:space="preserve">he requirement for GEM issuers to produce quarterly reports was implemented when GEM was positioned as a market for </w:t>
      </w:r>
      <w:proofErr w:type="gramStart"/>
      <w:r w:rsidRPr="001549AE">
        <w:rPr>
          <w:rFonts w:ascii="Arial" w:hAnsi="Arial" w:cs="Arial"/>
          <w:bCs/>
          <w:sz w:val="20"/>
          <w:szCs w:val="20"/>
          <w:lang w:eastAsia="zh-TW"/>
        </w:rPr>
        <w:t>early stage</w:t>
      </w:r>
      <w:proofErr w:type="gramEnd"/>
      <w:r w:rsidRPr="001549AE">
        <w:rPr>
          <w:rFonts w:ascii="Arial" w:hAnsi="Arial" w:cs="Arial"/>
          <w:bCs/>
          <w:sz w:val="20"/>
          <w:szCs w:val="20"/>
          <w:lang w:eastAsia="zh-TW"/>
        </w:rPr>
        <w:t xml:space="preserve"> companies. This was consistent with the disclosure based “buyer beware” philosophy of GEM’s initial regulatory approach. </w:t>
      </w:r>
      <w:r>
        <w:rPr>
          <w:rFonts w:ascii="Arial" w:hAnsi="Arial" w:cs="Arial"/>
          <w:bCs/>
          <w:sz w:val="20"/>
          <w:szCs w:val="20"/>
          <w:lang w:eastAsia="zh-TW"/>
        </w:rPr>
        <w:t xml:space="preserve">Now, as </w:t>
      </w:r>
      <w:r w:rsidRPr="001549AE">
        <w:rPr>
          <w:rFonts w:ascii="Arial" w:hAnsi="Arial" w:cs="Arial"/>
          <w:bCs/>
          <w:sz w:val="20"/>
          <w:szCs w:val="20"/>
          <w:lang w:eastAsia="zh-TW"/>
        </w:rPr>
        <w:t>GEM listing applicants are usually well established wi</w:t>
      </w:r>
      <w:r>
        <w:rPr>
          <w:rFonts w:ascii="Arial" w:hAnsi="Arial" w:cs="Arial"/>
          <w:bCs/>
          <w:sz w:val="20"/>
          <w:szCs w:val="20"/>
          <w:lang w:eastAsia="zh-TW"/>
        </w:rPr>
        <w:t xml:space="preserve">th a long history of operations, the original rationale for imposing </w:t>
      </w:r>
      <w:r w:rsidR="000E4E36">
        <w:rPr>
          <w:rFonts w:ascii="Arial" w:hAnsi="Arial" w:cs="Arial"/>
          <w:bCs/>
          <w:sz w:val="20"/>
          <w:szCs w:val="20"/>
          <w:lang w:eastAsia="zh-TW"/>
        </w:rPr>
        <w:t xml:space="preserve">a </w:t>
      </w:r>
      <w:r>
        <w:rPr>
          <w:rFonts w:ascii="Arial" w:hAnsi="Arial" w:cs="Arial"/>
          <w:bCs/>
          <w:sz w:val="20"/>
          <w:szCs w:val="20"/>
          <w:lang w:eastAsia="zh-TW"/>
        </w:rPr>
        <w:t xml:space="preserve">mandatory quarterly reporting </w:t>
      </w:r>
      <w:r w:rsidR="000E4E36">
        <w:rPr>
          <w:rFonts w:ascii="Arial" w:hAnsi="Arial" w:cs="Arial"/>
          <w:bCs/>
          <w:sz w:val="20"/>
          <w:szCs w:val="20"/>
          <w:lang w:eastAsia="zh-TW"/>
        </w:rPr>
        <w:t xml:space="preserve">requirement </w:t>
      </w:r>
      <w:r>
        <w:rPr>
          <w:rFonts w:ascii="Arial" w:hAnsi="Arial" w:cs="Arial"/>
          <w:bCs/>
          <w:sz w:val="20"/>
          <w:szCs w:val="20"/>
          <w:lang w:eastAsia="zh-TW"/>
        </w:rPr>
        <w:t>has become less relevant</w:t>
      </w:r>
      <w:r w:rsidR="000E4E36">
        <w:rPr>
          <w:rFonts w:ascii="Arial" w:hAnsi="Arial" w:cs="Arial"/>
          <w:bCs/>
          <w:sz w:val="20"/>
          <w:szCs w:val="20"/>
          <w:lang w:eastAsia="zh-TW"/>
        </w:rPr>
        <w:t xml:space="preserve">. </w:t>
      </w:r>
    </w:p>
    <w:p w:rsidR="001549AE" w:rsidRDefault="001549AE" w:rsidP="00F27C61">
      <w:pPr>
        <w:snapToGrid w:val="0"/>
        <w:spacing w:after="0" w:line="240" w:lineRule="auto"/>
        <w:ind w:left="709"/>
        <w:jc w:val="both"/>
        <w:rPr>
          <w:rFonts w:ascii="Arial" w:hAnsi="Arial" w:cs="Arial"/>
          <w:bCs/>
          <w:sz w:val="20"/>
          <w:szCs w:val="20"/>
          <w:lang w:eastAsia="zh-TW"/>
        </w:rPr>
      </w:pPr>
    </w:p>
    <w:p w:rsidR="001549AE" w:rsidRPr="008055BB" w:rsidRDefault="008055BB" w:rsidP="00F27C61">
      <w:pPr>
        <w:snapToGrid w:val="0"/>
        <w:spacing w:after="0" w:line="240" w:lineRule="auto"/>
        <w:ind w:left="709"/>
        <w:jc w:val="both"/>
        <w:rPr>
          <w:rFonts w:ascii="Arial" w:hAnsi="Arial" w:cs="Arial"/>
          <w:bCs/>
          <w:i/>
          <w:sz w:val="20"/>
          <w:szCs w:val="20"/>
          <w:lang w:eastAsia="zh-TW"/>
        </w:rPr>
      </w:pPr>
      <w:r w:rsidRPr="008055BB">
        <w:rPr>
          <w:rFonts w:ascii="Arial" w:hAnsi="Arial" w:cs="Arial"/>
          <w:bCs/>
          <w:i/>
          <w:sz w:val="20"/>
          <w:szCs w:val="20"/>
          <w:lang w:eastAsia="zh-TW"/>
        </w:rPr>
        <w:t>Proposal</w:t>
      </w:r>
    </w:p>
    <w:p w:rsidR="008055BB" w:rsidRDefault="008055BB" w:rsidP="00F27C61">
      <w:pPr>
        <w:snapToGrid w:val="0"/>
        <w:spacing w:after="0" w:line="240" w:lineRule="auto"/>
        <w:ind w:left="709"/>
        <w:jc w:val="both"/>
        <w:rPr>
          <w:rFonts w:ascii="Arial" w:hAnsi="Arial" w:cs="Arial"/>
          <w:bCs/>
          <w:sz w:val="20"/>
          <w:szCs w:val="20"/>
          <w:lang w:eastAsia="zh-TW"/>
        </w:rPr>
      </w:pPr>
    </w:p>
    <w:p w:rsidR="00890321" w:rsidRDefault="008055BB" w:rsidP="00F240D8">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The HKEX propose</w:t>
      </w:r>
      <w:r w:rsidR="00015F8B">
        <w:rPr>
          <w:rFonts w:ascii="Arial" w:hAnsi="Arial" w:cs="Arial"/>
          <w:bCs/>
          <w:sz w:val="20"/>
          <w:szCs w:val="20"/>
          <w:lang w:eastAsia="zh-TW"/>
        </w:rPr>
        <w:t>s</w:t>
      </w:r>
      <w:r>
        <w:rPr>
          <w:rFonts w:ascii="Arial" w:hAnsi="Arial" w:cs="Arial"/>
          <w:bCs/>
          <w:sz w:val="20"/>
          <w:szCs w:val="20"/>
          <w:lang w:eastAsia="zh-TW"/>
        </w:rPr>
        <w:t xml:space="preserve"> to align GEM’s periodic reporting requirements with those for Main Board issuers by removing quarterly reporting as a mandatory requirement. </w:t>
      </w:r>
      <w:r w:rsidR="00786178">
        <w:rPr>
          <w:rFonts w:ascii="Arial" w:hAnsi="Arial" w:cs="Arial"/>
          <w:bCs/>
          <w:sz w:val="20"/>
          <w:szCs w:val="20"/>
          <w:lang w:eastAsia="zh-TW"/>
        </w:rPr>
        <w:t>The p</w:t>
      </w:r>
      <w:r>
        <w:rPr>
          <w:rFonts w:ascii="Arial" w:hAnsi="Arial" w:cs="Arial"/>
          <w:bCs/>
          <w:sz w:val="20"/>
          <w:szCs w:val="20"/>
          <w:lang w:eastAsia="zh-TW"/>
        </w:rPr>
        <w:t xml:space="preserve">urpose </w:t>
      </w:r>
      <w:r w:rsidR="00786178">
        <w:rPr>
          <w:rFonts w:ascii="Arial" w:hAnsi="Arial" w:cs="Arial"/>
          <w:bCs/>
          <w:sz w:val="20"/>
          <w:szCs w:val="20"/>
          <w:lang w:eastAsia="zh-TW"/>
        </w:rPr>
        <w:t xml:space="preserve">of such amendment </w:t>
      </w:r>
      <w:r>
        <w:rPr>
          <w:rFonts w:ascii="Arial" w:hAnsi="Arial" w:cs="Arial"/>
          <w:bCs/>
          <w:sz w:val="20"/>
          <w:szCs w:val="20"/>
          <w:lang w:eastAsia="zh-TW"/>
        </w:rPr>
        <w:t>is to help address stakeholders’ concerns regarding the</w:t>
      </w:r>
      <w:r w:rsidR="00E3772D">
        <w:rPr>
          <w:rFonts w:ascii="Arial" w:hAnsi="Arial" w:cs="Arial"/>
          <w:bCs/>
          <w:sz w:val="20"/>
          <w:szCs w:val="20"/>
          <w:lang w:eastAsia="zh-TW"/>
        </w:rPr>
        <w:t xml:space="preserve"> high</w:t>
      </w:r>
      <w:r>
        <w:rPr>
          <w:rFonts w:ascii="Arial" w:hAnsi="Arial" w:cs="Arial"/>
          <w:bCs/>
          <w:sz w:val="20"/>
          <w:szCs w:val="20"/>
          <w:lang w:eastAsia="zh-TW"/>
        </w:rPr>
        <w:t xml:space="preserve"> compliance costs </w:t>
      </w:r>
      <w:r w:rsidR="000E4E36">
        <w:rPr>
          <w:rFonts w:ascii="Arial" w:hAnsi="Arial" w:cs="Arial"/>
          <w:bCs/>
          <w:sz w:val="20"/>
          <w:szCs w:val="20"/>
          <w:lang w:eastAsia="zh-TW"/>
        </w:rPr>
        <w:t>for</w:t>
      </w:r>
      <w:r>
        <w:rPr>
          <w:rFonts w:ascii="Arial" w:hAnsi="Arial" w:cs="Arial"/>
          <w:bCs/>
          <w:sz w:val="20"/>
          <w:szCs w:val="20"/>
          <w:lang w:eastAsia="zh-TW"/>
        </w:rPr>
        <w:t xml:space="preserve"> GEM issuer</w:t>
      </w:r>
      <w:r w:rsidR="000E4E36">
        <w:rPr>
          <w:rFonts w:ascii="Arial" w:hAnsi="Arial" w:cs="Arial"/>
          <w:bCs/>
          <w:sz w:val="20"/>
          <w:szCs w:val="20"/>
          <w:lang w:eastAsia="zh-TW"/>
        </w:rPr>
        <w:t>s</w:t>
      </w:r>
      <w:r w:rsidR="00E3772D">
        <w:rPr>
          <w:rFonts w:ascii="Arial" w:hAnsi="Arial" w:cs="Arial"/>
          <w:bCs/>
          <w:sz w:val="20"/>
          <w:szCs w:val="20"/>
          <w:lang w:eastAsia="zh-TW"/>
        </w:rPr>
        <w:t xml:space="preserve">, which </w:t>
      </w:r>
      <w:r w:rsidR="000E4E36">
        <w:rPr>
          <w:rFonts w:ascii="Arial" w:hAnsi="Arial" w:cs="Arial"/>
          <w:bCs/>
          <w:sz w:val="20"/>
          <w:szCs w:val="20"/>
          <w:lang w:eastAsia="zh-TW"/>
        </w:rPr>
        <w:t>are</w:t>
      </w:r>
      <w:r w:rsidR="00E3772D">
        <w:rPr>
          <w:rFonts w:ascii="Arial" w:hAnsi="Arial" w:cs="Arial"/>
          <w:bCs/>
          <w:sz w:val="20"/>
          <w:szCs w:val="20"/>
          <w:lang w:eastAsia="zh-TW"/>
        </w:rPr>
        <w:t xml:space="preserve"> considered particularly high for SMEs relative to the </w:t>
      </w:r>
      <w:r w:rsidR="00786178">
        <w:rPr>
          <w:rFonts w:ascii="Arial" w:hAnsi="Arial" w:cs="Arial"/>
          <w:bCs/>
          <w:sz w:val="20"/>
          <w:szCs w:val="20"/>
          <w:lang w:eastAsia="zh-TW"/>
        </w:rPr>
        <w:t xml:space="preserve">amount of </w:t>
      </w:r>
      <w:r w:rsidR="00E3772D">
        <w:rPr>
          <w:rFonts w:ascii="Arial" w:hAnsi="Arial" w:cs="Arial"/>
          <w:bCs/>
          <w:sz w:val="20"/>
          <w:szCs w:val="20"/>
          <w:lang w:eastAsia="zh-TW"/>
        </w:rPr>
        <w:t>fund</w:t>
      </w:r>
      <w:r w:rsidR="00786178">
        <w:rPr>
          <w:rFonts w:ascii="Arial" w:hAnsi="Arial" w:cs="Arial"/>
          <w:bCs/>
          <w:sz w:val="20"/>
          <w:szCs w:val="20"/>
          <w:lang w:eastAsia="zh-TW"/>
        </w:rPr>
        <w:t>s</w:t>
      </w:r>
      <w:r w:rsidR="00E3772D">
        <w:rPr>
          <w:rFonts w:ascii="Arial" w:hAnsi="Arial" w:cs="Arial"/>
          <w:bCs/>
          <w:sz w:val="20"/>
          <w:szCs w:val="20"/>
          <w:lang w:eastAsia="zh-TW"/>
        </w:rPr>
        <w:t xml:space="preserve"> raised</w:t>
      </w:r>
      <w:r>
        <w:rPr>
          <w:rFonts w:ascii="Arial" w:hAnsi="Arial" w:cs="Arial"/>
          <w:bCs/>
          <w:sz w:val="20"/>
          <w:szCs w:val="20"/>
          <w:lang w:eastAsia="zh-TW"/>
        </w:rPr>
        <w:t>.</w:t>
      </w:r>
      <w:r w:rsidR="00CB1AD6">
        <w:rPr>
          <w:rFonts w:ascii="Arial" w:hAnsi="Arial" w:cs="Arial"/>
          <w:bCs/>
          <w:sz w:val="20"/>
          <w:szCs w:val="20"/>
          <w:lang w:eastAsia="zh-TW"/>
        </w:rPr>
        <w:t xml:space="preserve"> </w:t>
      </w:r>
      <w:r w:rsidR="00425F01">
        <w:rPr>
          <w:rFonts w:ascii="Arial" w:hAnsi="Arial" w:cs="Arial"/>
          <w:bCs/>
          <w:sz w:val="20"/>
          <w:szCs w:val="20"/>
          <w:lang w:eastAsia="zh-TW"/>
        </w:rPr>
        <w:t>This revision is also in line with the increasing convergence of the GEM and Main Board Listing Rules in recent years.</w:t>
      </w:r>
    </w:p>
    <w:p w:rsidR="00890321" w:rsidRDefault="00890321" w:rsidP="00F240D8">
      <w:pPr>
        <w:snapToGrid w:val="0"/>
        <w:spacing w:after="0" w:line="240" w:lineRule="auto"/>
        <w:ind w:left="709"/>
        <w:jc w:val="both"/>
        <w:rPr>
          <w:rFonts w:ascii="Arial" w:hAnsi="Arial" w:cs="Arial"/>
          <w:bCs/>
          <w:sz w:val="20"/>
          <w:szCs w:val="20"/>
          <w:lang w:eastAsia="zh-TW"/>
        </w:rPr>
      </w:pPr>
    </w:p>
    <w:p w:rsidR="00F240D8" w:rsidRDefault="00CB1AD6" w:rsidP="00F240D8">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 xml:space="preserve">Quarterly financial reporting </w:t>
      </w:r>
      <w:r w:rsidR="00786178">
        <w:rPr>
          <w:rFonts w:ascii="Arial" w:hAnsi="Arial" w:cs="Arial"/>
          <w:bCs/>
          <w:sz w:val="20"/>
          <w:szCs w:val="20"/>
          <w:lang w:eastAsia="zh-TW"/>
        </w:rPr>
        <w:t xml:space="preserve">however </w:t>
      </w:r>
      <w:r>
        <w:rPr>
          <w:rFonts w:ascii="Arial" w:hAnsi="Arial" w:cs="Arial"/>
          <w:bCs/>
          <w:sz w:val="20"/>
          <w:szCs w:val="20"/>
          <w:lang w:eastAsia="zh-TW"/>
        </w:rPr>
        <w:t>will be a recommended best practice in GEM’s Corporate Governance Code</w:t>
      </w:r>
      <w:r w:rsidR="00890321">
        <w:rPr>
          <w:rFonts w:ascii="Arial" w:hAnsi="Arial" w:cs="Arial"/>
          <w:bCs/>
          <w:sz w:val="20"/>
          <w:szCs w:val="20"/>
          <w:lang w:eastAsia="zh-TW"/>
        </w:rPr>
        <w:t>, and t</w:t>
      </w:r>
      <w:r w:rsidR="0028377A">
        <w:rPr>
          <w:rFonts w:ascii="Arial" w:hAnsi="Arial" w:cs="Arial"/>
          <w:bCs/>
          <w:sz w:val="20"/>
          <w:szCs w:val="20"/>
          <w:lang w:eastAsia="zh-TW"/>
        </w:rPr>
        <w:t xml:space="preserve">he HKEX anticipates that some GEM issuers </w:t>
      </w:r>
      <w:r w:rsidR="00425F01">
        <w:rPr>
          <w:rFonts w:ascii="Arial" w:hAnsi="Arial" w:cs="Arial"/>
          <w:bCs/>
          <w:sz w:val="20"/>
          <w:szCs w:val="20"/>
          <w:lang w:eastAsia="zh-TW"/>
        </w:rPr>
        <w:t xml:space="preserve">may </w:t>
      </w:r>
      <w:r w:rsidR="0028377A">
        <w:rPr>
          <w:rFonts w:ascii="Arial" w:hAnsi="Arial" w:cs="Arial"/>
          <w:bCs/>
          <w:sz w:val="20"/>
          <w:szCs w:val="20"/>
          <w:lang w:eastAsia="zh-TW"/>
        </w:rPr>
        <w:t>continue to report quarterly on a voluntary basis to meet the needs of their investors.</w:t>
      </w:r>
      <w:r w:rsidR="00F240D8">
        <w:rPr>
          <w:rFonts w:ascii="Arial" w:hAnsi="Arial" w:cs="Arial"/>
          <w:bCs/>
          <w:sz w:val="20"/>
          <w:szCs w:val="20"/>
          <w:lang w:eastAsia="zh-TW"/>
        </w:rPr>
        <w:t xml:space="preserve"> All reference</w:t>
      </w:r>
      <w:r w:rsidR="000E4E36">
        <w:rPr>
          <w:rFonts w:ascii="Arial" w:hAnsi="Arial" w:cs="Arial"/>
          <w:bCs/>
          <w:sz w:val="20"/>
          <w:szCs w:val="20"/>
          <w:lang w:eastAsia="zh-TW"/>
        </w:rPr>
        <w:t>s</w:t>
      </w:r>
      <w:r w:rsidR="00F240D8">
        <w:rPr>
          <w:rFonts w:ascii="Arial" w:hAnsi="Arial" w:cs="Arial"/>
          <w:bCs/>
          <w:sz w:val="20"/>
          <w:szCs w:val="20"/>
          <w:lang w:eastAsia="zh-TW"/>
        </w:rPr>
        <w:t xml:space="preserve"> to “h</w:t>
      </w:r>
      <w:r w:rsidR="005F105C">
        <w:rPr>
          <w:rFonts w:ascii="Arial" w:hAnsi="Arial" w:cs="Arial"/>
          <w:bCs/>
          <w:sz w:val="20"/>
          <w:szCs w:val="20"/>
          <w:lang w:eastAsia="zh-TW"/>
        </w:rPr>
        <w:t>alf</w:t>
      </w:r>
      <w:r w:rsidR="00F240D8">
        <w:rPr>
          <w:rFonts w:ascii="Arial" w:hAnsi="Arial" w:cs="Arial"/>
          <w:bCs/>
          <w:sz w:val="20"/>
          <w:szCs w:val="20"/>
          <w:lang w:eastAsia="zh-TW"/>
        </w:rPr>
        <w:t>-year report” in the GEM Listing Rules will be updated to “interim report”.</w:t>
      </w:r>
    </w:p>
    <w:p w:rsidR="00F240D8" w:rsidRDefault="00F240D8" w:rsidP="00F240D8">
      <w:pPr>
        <w:snapToGrid w:val="0"/>
        <w:spacing w:after="0" w:line="240" w:lineRule="auto"/>
        <w:ind w:left="709"/>
        <w:jc w:val="both"/>
        <w:rPr>
          <w:rFonts w:ascii="Arial" w:hAnsi="Arial" w:cs="Arial"/>
          <w:bCs/>
          <w:sz w:val="20"/>
          <w:szCs w:val="20"/>
          <w:lang w:eastAsia="zh-TW"/>
        </w:rPr>
      </w:pPr>
    </w:p>
    <w:p w:rsidR="00F240D8" w:rsidRDefault="000917FD" w:rsidP="00F240D8">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As such, t</w:t>
      </w:r>
      <w:r w:rsidR="00F240D8">
        <w:rPr>
          <w:rFonts w:ascii="Arial" w:hAnsi="Arial" w:cs="Arial"/>
          <w:bCs/>
          <w:sz w:val="20"/>
          <w:szCs w:val="20"/>
          <w:lang w:eastAsia="zh-TW"/>
        </w:rPr>
        <w:t>o further align GEM requirements with those of the Main Board, GEM issuers would be required to publish only:</w:t>
      </w:r>
    </w:p>
    <w:p w:rsidR="00F240D8" w:rsidRDefault="00F240D8" w:rsidP="00F240D8">
      <w:pPr>
        <w:snapToGrid w:val="0"/>
        <w:spacing w:after="0" w:line="240" w:lineRule="auto"/>
        <w:ind w:left="709"/>
        <w:jc w:val="both"/>
        <w:rPr>
          <w:rFonts w:ascii="Arial" w:hAnsi="Arial" w:cs="Arial"/>
          <w:bCs/>
          <w:sz w:val="20"/>
          <w:szCs w:val="20"/>
          <w:lang w:eastAsia="zh-TW"/>
        </w:rPr>
      </w:pPr>
    </w:p>
    <w:p w:rsidR="00546353" w:rsidRDefault="00546353" w:rsidP="00546353">
      <w:pPr>
        <w:pStyle w:val="a4"/>
        <w:numPr>
          <w:ilvl w:val="0"/>
          <w:numId w:val="38"/>
        </w:numPr>
        <w:snapToGrid w:val="0"/>
        <w:spacing w:after="0" w:line="240" w:lineRule="auto"/>
        <w:ind w:left="1418" w:hanging="720"/>
        <w:jc w:val="both"/>
        <w:rPr>
          <w:rFonts w:ascii="Arial" w:hAnsi="Arial" w:cs="Arial"/>
          <w:bCs/>
          <w:sz w:val="20"/>
          <w:szCs w:val="20"/>
          <w:lang w:eastAsia="zh-TW"/>
        </w:rPr>
      </w:pPr>
      <w:r w:rsidRPr="00546353">
        <w:rPr>
          <w:rFonts w:ascii="Arial" w:hAnsi="Arial" w:cs="Arial"/>
          <w:bCs/>
          <w:sz w:val="20"/>
          <w:szCs w:val="20"/>
          <w:lang w:eastAsia="zh-TW"/>
        </w:rPr>
        <w:t xml:space="preserve">annual reports not later than </w:t>
      </w:r>
      <w:r w:rsidR="000E4E36">
        <w:rPr>
          <w:rFonts w:ascii="Arial" w:hAnsi="Arial" w:cs="Arial"/>
          <w:bCs/>
          <w:sz w:val="20"/>
          <w:szCs w:val="20"/>
          <w:lang w:eastAsia="zh-TW"/>
        </w:rPr>
        <w:t>four</w:t>
      </w:r>
      <w:r w:rsidRPr="00546353">
        <w:rPr>
          <w:rFonts w:ascii="Arial" w:hAnsi="Arial" w:cs="Arial"/>
          <w:bCs/>
          <w:sz w:val="20"/>
          <w:szCs w:val="20"/>
          <w:lang w:eastAsia="zh-TW"/>
        </w:rPr>
        <w:t xml:space="preserve"> months after the end of</w:t>
      </w:r>
      <w:r>
        <w:rPr>
          <w:rFonts w:ascii="Arial" w:hAnsi="Arial" w:cs="Arial"/>
          <w:bCs/>
          <w:sz w:val="20"/>
          <w:szCs w:val="20"/>
          <w:lang w:eastAsia="zh-TW"/>
        </w:rPr>
        <w:t xml:space="preserve"> each financial year;</w:t>
      </w:r>
      <w:r>
        <w:rPr>
          <w:rStyle w:val="a7"/>
          <w:rFonts w:ascii="Arial" w:hAnsi="Arial" w:cs="Arial"/>
          <w:bCs/>
          <w:sz w:val="20"/>
          <w:szCs w:val="20"/>
          <w:lang w:eastAsia="zh-TW"/>
        </w:rPr>
        <w:footnoteReference w:id="14"/>
      </w:r>
      <w:r>
        <w:rPr>
          <w:rFonts w:ascii="Arial" w:hAnsi="Arial" w:cs="Arial"/>
          <w:bCs/>
          <w:sz w:val="20"/>
          <w:szCs w:val="20"/>
          <w:lang w:eastAsia="zh-TW"/>
        </w:rPr>
        <w:t xml:space="preserve"> </w:t>
      </w:r>
      <w:r w:rsidRPr="00546353">
        <w:rPr>
          <w:rFonts w:ascii="Arial" w:hAnsi="Arial" w:cs="Arial"/>
          <w:bCs/>
          <w:sz w:val="20"/>
          <w:szCs w:val="20"/>
          <w:lang w:eastAsia="zh-TW"/>
        </w:rPr>
        <w:t>and</w:t>
      </w:r>
    </w:p>
    <w:p w:rsidR="00546353" w:rsidRDefault="00546353" w:rsidP="00546353">
      <w:pPr>
        <w:pStyle w:val="a4"/>
        <w:snapToGrid w:val="0"/>
        <w:spacing w:after="0" w:line="240" w:lineRule="auto"/>
        <w:ind w:left="1418"/>
        <w:jc w:val="both"/>
        <w:rPr>
          <w:rFonts w:ascii="Arial" w:hAnsi="Arial" w:cs="Arial"/>
          <w:bCs/>
          <w:sz w:val="20"/>
          <w:szCs w:val="20"/>
          <w:lang w:eastAsia="zh-TW"/>
        </w:rPr>
      </w:pPr>
    </w:p>
    <w:p w:rsidR="00546353" w:rsidRPr="00546353" w:rsidRDefault="00546353" w:rsidP="00546353">
      <w:pPr>
        <w:pStyle w:val="a4"/>
        <w:numPr>
          <w:ilvl w:val="0"/>
          <w:numId w:val="38"/>
        </w:numPr>
        <w:snapToGrid w:val="0"/>
        <w:spacing w:after="0" w:line="240" w:lineRule="auto"/>
        <w:ind w:left="1418" w:hanging="720"/>
        <w:jc w:val="both"/>
        <w:rPr>
          <w:rFonts w:ascii="Arial" w:hAnsi="Arial" w:cs="Arial"/>
          <w:bCs/>
          <w:sz w:val="20"/>
          <w:szCs w:val="20"/>
          <w:lang w:eastAsia="zh-TW"/>
        </w:rPr>
      </w:pPr>
      <w:r>
        <w:rPr>
          <w:rFonts w:ascii="Arial" w:hAnsi="Arial" w:cs="Arial"/>
          <w:bCs/>
          <w:sz w:val="20"/>
          <w:szCs w:val="20"/>
          <w:lang w:eastAsia="zh-TW"/>
        </w:rPr>
        <w:t>i</w:t>
      </w:r>
      <w:r w:rsidRPr="00546353">
        <w:rPr>
          <w:rFonts w:ascii="Arial" w:hAnsi="Arial" w:cs="Arial"/>
          <w:bCs/>
          <w:sz w:val="20"/>
          <w:szCs w:val="20"/>
          <w:lang w:eastAsia="zh-TW"/>
        </w:rPr>
        <w:t xml:space="preserve">nterim reports not later than </w:t>
      </w:r>
      <w:r w:rsidR="000E4E36">
        <w:rPr>
          <w:rFonts w:ascii="Arial" w:hAnsi="Arial" w:cs="Arial"/>
          <w:bCs/>
          <w:sz w:val="20"/>
          <w:szCs w:val="20"/>
          <w:lang w:eastAsia="zh-TW"/>
        </w:rPr>
        <w:t>three</w:t>
      </w:r>
      <w:r w:rsidRPr="00546353">
        <w:rPr>
          <w:rFonts w:ascii="Arial" w:hAnsi="Arial" w:cs="Arial"/>
          <w:bCs/>
          <w:sz w:val="20"/>
          <w:szCs w:val="20"/>
          <w:lang w:eastAsia="zh-TW"/>
        </w:rPr>
        <w:t xml:space="preserve"> months after the end of the first </w:t>
      </w:r>
      <w:r w:rsidR="000E4E36">
        <w:rPr>
          <w:rFonts w:ascii="Arial" w:hAnsi="Arial" w:cs="Arial"/>
          <w:bCs/>
          <w:sz w:val="20"/>
          <w:szCs w:val="20"/>
          <w:lang w:eastAsia="zh-TW"/>
        </w:rPr>
        <w:t>six</w:t>
      </w:r>
      <w:r w:rsidRPr="00546353">
        <w:rPr>
          <w:rFonts w:ascii="Arial" w:hAnsi="Arial" w:cs="Arial"/>
          <w:bCs/>
          <w:sz w:val="20"/>
          <w:szCs w:val="20"/>
          <w:lang w:eastAsia="zh-TW"/>
        </w:rPr>
        <w:t xml:space="preserve"> months of each</w:t>
      </w:r>
      <w:r>
        <w:rPr>
          <w:rFonts w:ascii="Arial" w:hAnsi="Arial" w:cs="Arial"/>
          <w:bCs/>
          <w:sz w:val="20"/>
          <w:szCs w:val="20"/>
          <w:lang w:eastAsia="zh-TW"/>
        </w:rPr>
        <w:t xml:space="preserve"> </w:t>
      </w:r>
      <w:r w:rsidRPr="00546353">
        <w:rPr>
          <w:rFonts w:ascii="Arial" w:hAnsi="Arial" w:cs="Arial"/>
          <w:bCs/>
          <w:sz w:val="20"/>
          <w:szCs w:val="20"/>
          <w:lang w:eastAsia="zh-TW"/>
        </w:rPr>
        <w:t>financial year.</w:t>
      </w:r>
      <w:r>
        <w:rPr>
          <w:rStyle w:val="a7"/>
          <w:rFonts w:ascii="Arial" w:hAnsi="Arial" w:cs="Arial"/>
          <w:bCs/>
          <w:sz w:val="20"/>
          <w:szCs w:val="20"/>
          <w:lang w:eastAsia="zh-TW"/>
        </w:rPr>
        <w:footnoteReference w:id="15"/>
      </w:r>
    </w:p>
    <w:p w:rsidR="008055BB" w:rsidRDefault="008055BB" w:rsidP="00F27C61">
      <w:pPr>
        <w:snapToGrid w:val="0"/>
        <w:spacing w:after="0" w:line="240" w:lineRule="auto"/>
        <w:ind w:left="709"/>
        <w:jc w:val="both"/>
        <w:rPr>
          <w:rFonts w:ascii="Arial" w:hAnsi="Arial" w:cs="Arial"/>
          <w:bCs/>
          <w:sz w:val="20"/>
          <w:szCs w:val="20"/>
          <w:lang w:eastAsia="zh-TW"/>
        </w:rPr>
      </w:pPr>
    </w:p>
    <w:p w:rsidR="00DE3C83" w:rsidRDefault="00DE3C83" w:rsidP="00F27C61">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lastRenderedPageBreak/>
        <w:t>The HKEX also propose</w:t>
      </w:r>
      <w:r w:rsidR="00890321">
        <w:rPr>
          <w:rFonts w:ascii="Arial" w:hAnsi="Arial" w:cs="Arial"/>
          <w:bCs/>
          <w:sz w:val="20"/>
          <w:szCs w:val="20"/>
          <w:lang w:eastAsia="zh-TW"/>
        </w:rPr>
        <w:t>s</w:t>
      </w:r>
      <w:r>
        <w:rPr>
          <w:rFonts w:ascii="Arial" w:hAnsi="Arial" w:cs="Arial"/>
          <w:bCs/>
          <w:sz w:val="20"/>
          <w:szCs w:val="20"/>
          <w:lang w:eastAsia="zh-TW"/>
        </w:rPr>
        <w:t xml:space="preserve"> to require GEM issuers to publish </w:t>
      </w:r>
      <w:r w:rsidRPr="00DE3C83">
        <w:rPr>
          <w:rFonts w:ascii="Arial" w:hAnsi="Arial" w:cs="Arial"/>
          <w:bCs/>
          <w:sz w:val="20"/>
          <w:szCs w:val="20"/>
          <w:lang w:eastAsia="zh-TW"/>
        </w:rPr>
        <w:t xml:space="preserve">preliminary announcements of results for the first </w:t>
      </w:r>
      <w:r w:rsidR="000E4E36">
        <w:rPr>
          <w:rFonts w:ascii="Arial" w:hAnsi="Arial" w:cs="Arial"/>
          <w:bCs/>
          <w:sz w:val="20"/>
          <w:szCs w:val="20"/>
          <w:lang w:eastAsia="zh-TW"/>
        </w:rPr>
        <w:t>six</w:t>
      </w:r>
      <w:r w:rsidRPr="00DE3C83">
        <w:rPr>
          <w:rFonts w:ascii="Arial" w:hAnsi="Arial" w:cs="Arial"/>
          <w:bCs/>
          <w:sz w:val="20"/>
          <w:szCs w:val="20"/>
          <w:lang w:eastAsia="zh-TW"/>
        </w:rPr>
        <w:t xml:space="preserve"> months of each financial year not later than </w:t>
      </w:r>
      <w:r w:rsidR="000E4E36">
        <w:rPr>
          <w:rFonts w:ascii="Arial" w:hAnsi="Arial" w:cs="Arial"/>
          <w:bCs/>
          <w:sz w:val="20"/>
          <w:szCs w:val="20"/>
          <w:lang w:eastAsia="zh-TW"/>
        </w:rPr>
        <w:t>two</w:t>
      </w:r>
      <w:r w:rsidRPr="00DE3C83">
        <w:rPr>
          <w:rFonts w:ascii="Arial" w:hAnsi="Arial" w:cs="Arial"/>
          <w:bCs/>
          <w:sz w:val="20"/>
          <w:szCs w:val="20"/>
          <w:lang w:eastAsia="zh-TW"/>
        </w:rPr>
        <w:t xml:space="preserve"> months (instead of the shorter 45 days as currently required) after the end of that six</w:t>
      </w:r>
      <w:r w:rsidR="008558E0">
        <w:rPr>
          <w:rFonts w:ascii="Arial" w:hAnsi="Arial" w:cs="Arial"/>
          <w:bCs/>
          <w:sz w:val="20"/>
          <w:szCs w:val="20"/>
          <w:lang w:eastAsia="zh-TW"/>
        </w:rPr>
        <w:t>-</w:t>
      </w:r>
      <w:r w:rsidRPr="00DE3C83">
        <w:rPr>
          <w:rFonts w:ascii="Arial" w:hAnsi="Arial" w:cs="Arial"/>
          <w:bCs/>
          <w:sz w:val="20"/>
          <w:szCs w:val="20"/>
          <w:lang w:eastAsia="zh-TW"/>
        </w:rPr>
        <w:t>month period. This is in line with the existing requirements for a Main Board issuer.</w:t>
      </w:r>
      <w:r>
        <w:rPr>
          <w:rStyle w:val="a7"/>
          <w:rFonts w:ascii="Arial" w:hAnsi="Arial" w:cs="Arial"/>
          <w:bCs/>
          <w:sz w:val="20"/>
          <w:szCs w:val="20"/>
          <w:lang w:eastAsia="zh-TW"/>
        </w:rPr>
        <w:footnoteReference w:id="16"/>
      </w:r>
    </w:p>
    <w:p w:rsidR="000917FD" w:rsidRDefault="000917FD" w:rsidP="00F27C61">
      <w:pPr>
        <w:snapToGrid w:val="0"/>
        <w:spacing w:after="0" w:line="240" w:lineRule="auto"/>
        <w:ind w:left="709"/>
        <w:jc w:val="both"/>
        <w:rPr>
          <w:rFonts w:ascii="Arial" w:hAnsi="Arial" w:cs="Arial"/>
          <w:bCs/>
          <w:sz w:val="20"/>
          <w:szCs w:val="20"/>
          <w:lang w:eastAsia="zh-TW"/>
        </w:rPr>
      </w:pPr>
    </w:p>
    <w:tbl>
      <w:tblPr>
        <w:tblStyle w:val="af5"/>
        <w:tblW w:w="9456" w:type="dxa"/>
        <w:tblInd w:w="709" w:type="dxa"/>
        <w:tblLook w:val="04A0" w:firstRow="1" w:lastRow="0" w:firstColumn="1" w:lastColumn="0" w:noHBand="0" w:noVBand="1"/>
      </w:tblPr>
      <w:tblGrid>
        <w:gridCol w:w="4686"/>
        <w:gridCol w:w="4770"/>
      </w:tblGrid>
      <w:tr w:rsidR="008C0054" w:rsidRPr="001C4A23" w:rsidTr="00D10060">
        <w:tc>
          <w:tcPr>
            <w:tcW w:w="4686" w:type="dxa"/>
          </w:tcPr>
          <w:p w:rsidR="008C0054" w:rsidRPr="001C4A23" w:rsidRDefault="008C0054">
            <w:pPr>
              <w:snapToGrid w:val="0"/>
              <w:jc w:val="center"/>
              <w:rPr>
                <w:rFonts w:ascii="Arial" w:hAnsi="Arial" w:cs="Arial"/>
                <w:b/>
                <w:bCs/>
                <w:sz w:val="20"/>
                <w:szCs w:val="20"/>
                <w:lang w:eastAsia="zh-TW"/>
              </w:rPr>
            </w:pPr>
            <w:r w:rsidRPr="001C4A23">
              <w:rPr>
                <w:rFonts w:ascii="Arial" w:hAnsi="Arial" w:cs="Arial"/>
                <w:b/>
                <w:bCs/>
                <w:sz w:val="20"/>
                <w:szCs w:val="20"/>
                <w:lang w:eastAsia="zh-TW"/>
              </w:rPr>
              <w:t>Current requirement</w:t>
            </w:r>
          </w:p>
          <w:p w:rsidR="008C0054" w:rsidRPr="001C4A23" w:rsidRDefault="008C0054">
            <w:pPr>
              <w:snapToGrid w:val="0"/>
              <w:jc w:val="center"/>
              <w:rPr>
                <w:rFonts w:ascii="Arial" w:hAnsi="Arial" w:cs="Arial"/>
                <w:b/>
                <w:bCs/>
                <w:sz w:val="20"/>
                <w:szCs w:val="20"/>
                <w:lang w:eastAsia="zh-TW"/>
              </w:rPr>
            </w:pPr>
          </w:p>
        </w:tc>
        <w:tc>
          <w:tcPr>
            <w:tcW w:w="4770" w:type="dxa"/>
          </w:tcPr>
          <w:p w:rsidR="008C0054" w:rsidRPr="001C4A23" w:rsidRDefault="008C0054">
            <w:pPr>
              <w:snapToGrid w:val="0"/>
              <w:jc w:val="center"/>
              <w:rPr>
                <w:rFonts w:ascii="Arial" w:hAnsi="Arial" w:cs="Arial"/>
                <w:b/>
                <w:bCs/>
                <w:sz w:val="20"/>
                <w:szCs w:val="20"/>
                <w:lang w:eastAsia="zh-TW"/>
              </w:rPr>
            </w:pPr>
            <w:r>
              <w:rPr>
                <w:rFonts w:ascii="Arial" w:hAnsi="Arial" w:cs="Arial"/>
                <w:b/>
                <w:bCs/>
                <w:sz w:val="20"/>
                <w:szCs w:val="20"/>
                <w:lang w:eastAsia="zh-TW"/>
              </w:rPr>
              <w:t>Proposed requirement</w:t>
            </w:r>
          </w:p>
        </w:tc>
      </w:tr>
      <w:tr w:rsidR="008C0054" w:rsidTr="00D10060">
        <w:tc>
          <w:tcPr>
            <w:tcW w:w="4686" w:type="dxa"/>
          </w:tcPr>
          <w:p w:rsidR="008C0054" w:rsidRDefault="008C0054">
            <w:pPr>
              <w:snapToGrid w:val="0"/>
              <w:jc w:val="both"/>
              <w:rPr>
                <w:rFonts w:ascii="Arial" w:hAnsi="Arial" w:cs="Arial"/>
                <w:bCs/>
                <w:sz w:val="20"/>
                <w:szCs w:val="20"/>
                <w:lang w:eastAsia="zh-TW"/>
              </w:rPr>
            </w:pPr>
            <w:r w:rsidRPr="008C0054">
              <w:rPr>
                <w:rFonts w:ascii="Arial" w:hAnsi="Arial" w:cs="Arial"/>
                <w:bCs/>
                <w:sz w:val="20"/>
                <w:szCs w:val="20"/>
                <w:lang w:eastAsia="zh-TW"/>
              </w:rPr>
              <w:t>GEM issuer</w:t>
            </w:r>
            <w:r>
              <w:rPr>
                <w:rFonts w:ascii="Arial" w:hAnsi="Arial" w:cs="Arial"/>
                <w:bCs/>
                <w:sz w:val="20"/>
                <w:szCs w:val="20"/>
                <w:lang w:eastAsia="zh-TW"/>
              </w:rPr>
              <w:t>s are required</w:t>
            </w:r>
            <w:r w:rsidRPr="008C0054">
              <w:rPr>
                <w:rFonts w:ascii="Arial" w:hAnsi="Arial" w:cs="Arial"/>
                <w:bCs/>
                <w:sz w:val="20"/>
                <w:szCs w:val="20"/>
                <w:lang w:eastAsia="zh-TW"/>
              </w:rPr>
              <w:t xml:space="preserve"> to publish:</w:t>
            </w:r>
          </w:p>
          <w:p w:rsidR="008C0054" w:rsidRDefault="008C0054">
            <w:pPr>
              <w:snapToGrid w:val="0"/>
              <w:jc w:val="both"/>
              <w:rPr>
                <w:rFonts w:ascii="Arial" w:hAnsi="Arial" w:cs="Arial"/>
                <w:bCs/>
                <w:sz w:val="20"/>
                <w:szCs w:val="20"/>
                <w:lang w:eastAsia="zh-TW"/>
              </w:rPr>
            </w:pPr>
          </w:p>
          <w:p w:rsidR="008C0054" w:rsidRDefault="008C0054" w:rsidP="00D10060">
            <w:pPr>
              <w:pStyle w:val="a4"/>
              <w:numPr>
                <w:ilvl w:val="0"/>
                <w:numId w:val="36"/>
              </w:numPr>
              <w:snapToGrid w:val="0"/>
              <w:ind w:left="589" w:hanging="567"/>
              <w:contextualSpacing w:val="0"/>
              <w:jc w:val="both"/>
              <w:rPr>
                <w:rFonts w:ascii="Arial" w:hAnsi="Arial" w:cs="Arial"/>
                <w:bCs/>
                <w:sz w:val="20"/>
                <w:szCs w:val="20"/>
                <w:lang w:eastAsia="zh-TW"/>
              </w:rPr>
            </w:pPr>
            <w:r w:rsidRPr="008C0054">
              <w:rPr>
                <w:rFonts w:ascii="Arial" w:hAnsi="Arial" w:cs="Arial"/>
                <w:bCs/>
                <w:sz w:val="20"/>
                <w:szCs w:val="20"/>
                <w:lang w:eastAsia="zh-TW"/>
              </w:rPr>
              <w:t xml:space="preserve">annual reports not later than </w:t>
            </w:r>
            <w:r>
              <w:rPr>
                <w:rFonts w:ascii="Arial" w:hAnsi="Arial" w:cs="Arial"/>
                <w:bCs/>
                <w:sz w:val="20"/>
                <w:szCs w:val="20"/>
                <w:lang w:eastAsia="zh-TW"/>
              </w:rPr>
              <w:t>3</w:t>
            </w:r>
            <w:r w:rsidRPr="008C0054">
              <w:rPr>
                <w:rFonts w:ascii="Arial" w:hAnsi="Arial" w:cs="Arial"/>
                <w:bCs/>
                <w:sz w:val="20"/>
                <w:szCs w:val="20"/>
                <w:lang w:eastAsia="zh-TW"/>
              </w:rPr>
              <w:t xml:space="preserve"> months</w:t>
            </w:r>
            <w:r w:rsidR="00890321">
              <w:rPr>
                <w:rFonts w:ascii="Arial" w:hAnsi="Arial" w:cs="Arial"/>
                <w:bCs/>
                <w:sz w:val="20"/>
                <w:szCs w:val="20"/>
                <w:lang w:eastAsia="zh-TW"/>
              </w:rPr>
              <w:t xml:space="preserve"> after the end of each financial year</w:t>
            </w:r>
            <w:r w:rsidRPr="008C0054">
              <w:rPr>
                <w:rFonts w:ascii="Arial" w:hAnsi="Arial" w:cs="Arial"/>
                <w:bCs/>
                <w:sz w:val="20"/>
                <w:szCs w:val="20"/>
                <w:lang w:eastAsia="zh-TW"/>
              </w:rPr>
              <w:t>;</w:t>
            </w:r>
            <w:r>
              <w:rPr>
                <w:rStyle w:val="a7"/>
                <w:rFonts w:ascii="Arial" w:hAnsi="Arial" w:cs="Arial"/>
                <w:bCs/>
                <w:sz w:val="20"/>
                <w:szCs w:val="20"/>
                <w:lang w:eastAsia="zh-TW"/>
              </w:rPr>
              <w:footnoteReference w:id="17"/>
            </w:r>
          </w:p>
          <w:p w:rsidR="008C0054" w:rsidRDefault="008C0054" w:rsidP="00D10060">
            <w:pPr>
              <w:pStyle w:val="a4"/>
              <w:snapToGrid w:val="0"/>
              <w:ind w:left="589"/>
              <w:contextualSpacing w:val="0"/>
              <w:jc w:val="both"/>
              <w:rPr>
                <w:rFonts w:ascii="Arial" w:hAnsi="Arial" w:cs="Arial"/>
                <w:bCs/>
                <w:sz w:val="20"/>
                <w:szCs w:val="20"/>
                <w:lang w:eastAsia="zh-TW"/>
              </w:rPr>
            </w:pPr>
          </w:p>
          <w:p w:rsidR="008C0054" w:rsidRDefault="008C0054" w:rsidP="00D10060">
            <w:pPr>
              <w:pStyle w:val="a4"/>
              <w:numPr>
                <w:ilvl w:val="0"/>
                <w:numId w:val="36"/>
              </w:numPr>
              <w:snapToGrid w:val="0"/>
              <w:ind w:left="589" w:hanging="567"/>
              <w:contextualSpacing w:val="0"/>
              <w:jc w:val="both"/>
              <w:rPr>
                <w:rFonts w:ascii="Arial" w:hAnsi="Arial" w:cs="Arial"/>
                <w:bCs/>
                <w:sz w:val="20"/>
                <w:szCs w:val="20"/>
                <w:lang w:eastAsia="zh-TW"/>
              </w:rPr>
            </w:pPr>
            <w:r w:rsidRPr="008C0054">
              <w:rPr>
                <w:rFonts w:ascii="Arial" w:hAnsi="Arial" w:cs="Arial"/>
                <w:bCs/>
                <w:sz w:val="20"/>
                <w:szCs w:val="20"/>
                <w:lang w:eastAsia="zh-TW"/>
              </w:rPr>
              <w:t>half-year reports not later than 45 days</w:t>
            </w:r>
            <w:r w:rsidR="00890321">
              <w:rPr>
                <w:rFonts w:ascii="Arial" w:hAnsi="Arial" w:cs="Arial"/>
                <w:bCs/>
                <w:sz w:val="20"/>
                <w:szCs w:val="20"/>
                <w:lang w:eastAsia="zh-TW"/>
              </w:rPr>
              <w:t xml:space="preserve"> after the end of the first 6 months of each financial year</w:t>
            </w:r>
            <w:r w:rsidRPr="008C0054">
              <w:rPr>
                <w:rFonts w:ascii="Arial" w:hAnsi="Arial" w:cs="Arial"/>
                <w:bCs/>
                <w:sz w:val="20"/>
                <w:szCs w:val="20"/>
                <w:lang w:eastAsia="zh-TW"/>
              </w:rPr>
              <w:t>;</w:t>
            </w:r>
            <w:r>
              <w:rPr>
                <w:rStyle w:val="a7"/>
                <w:rFonts w:ascii="Arial" w:hAnsi="Arial" w:cs="Arial"/>
                <w:bCs/>
                <w:sz w:val="20"/>
                <w:szCs w:val="20"/>
                <w:lang w:eastAsia="zh-TW"/>
              </w:rPr>
              <w:footnoteReference w:id="18"/>
            </w:r>
            <w:r>
              <w:rPr>
                <w:rFonts w:ascii="Arial" w:hAnsi="Arial" w:cs="Arial"/>
                <w:bCs/>
                <w:sz w:val="20"/>
                <w:szCs w:val="20"/>
                <w:lang w:eastAsia="zh-TW"/>
              </w:rPr>
              <w:t xml:space="preserve"> and</w:t>
            </w:r>
          </w:p>
          <w:p w:rsidR="008C0054" w:rsidRPr="008C0054" w:rsidRDefault="008C0054" w:rsidP="00D10060">
            <w:pPr>
              <w:pStyle w:val="a4"/>
              <w:snapToGrid w:val="0"/>
              <w:contextualSpacing w:val="0"/>
              <w:rPr>
                <w:rFonts w:ascii="Arial" w:hAnsi="Arial" w:cs="Arial"/>
                <w:bCs/>
                <w:sz w:val="20"/>
                <w:szCs w:val="20"/>
                <w:lang w:eastAsia="zh-TW"/>
              </w:rPr>
            </w:pPr>
          </w:p>
          <w:p w:rsidR="008C0054" w:rsidRDefault="008C0054" w:rsidP="00D10060">
            <w:pPr>
              <w:pStyle w:val="a4"/>
              <w:numPr>
                <w:ilvl w:val="0"/>
                <w:numId w:val="36"/>
              </w:numPr>
              <w:snapToGrid w:val="0"/>
              <w:ind w:left="589" w:hanging="567"/>
              <w:contextualSpacing w:val="0"/>
              <w:jc w:val="both"/>
              <w:rPr>
                <w:rFonts w:ascii="Arial" w:hAnsi="Arial" w:cs="Arial"/>
                <w:bCs/>
                <w:sz w:val="20"/>
                <w:szCs w:val="20"/>
                <w:lang w:eastAsia="zh-TW"/>
              </w:rPr>
            </w:pPr>
            <w:r w:rsidRPr="00FD5B57">
              <w:rPr>
                <w:rFonts w:ascii="Arial" w:hAnsi="Arial" w:cs="Arial"/>
                <w:b/>
                <w:bCs/>
                <w:sz w:val="20"/>
                <w:szCs w:val="20"/>
                <w:lang w:eastAsia="zh-TW"/>
              </w:rPr>
              <w:t>quarterly reports</w:t>
            </w:r>
            <w:r>
              <w:rPr>
                <w:rFonts w:ascii="Arial" w:hAnsi="Arial" w:cs="Arial"/>
                <w:bCs/>
                <w:sz w:val="20"/>
                <w:szCs w:val="20"/>
                <w:lang w:eastAsia="zh-TW"/>
              </w:rPr>
              <w:t xml:space="preserve"> not later than 45 days</w:t>
            </w:r>
            <w:r w:rsidR="00890321">
              <w:rPr>
                <w:rFonts w:ascii="Arial" w:hAnsi="Arial" w:cs="Arial"/>
                <w:bCs/>
                <w:sz w:val="20"/>
                <w:szCs w:val="20"/>
                <w:lang w:eastAsia="zh-TW"/>
              </w:rPr>
              <w:t xml:space="preserve"> after the end of a quarter.</w:t>
            </w:r>
            <w:r>
              <w:rPr>
                <w:rStyle w:val="a7"/>
                <w:rFonts w:ascii="Arial" w:hAnsi="Arial" w:cs="Arial"/>
                <w:bCs/>
                <w:sz w:val="20"/>
                <w:szCs w:val="20"/>
                <w:lang w:eastAsia="zh-TW"/>
              </w:rPr>
              <w:footnoteReference w:id="19"/>
            </w:r>
            <w:r w:rsidRPr="008C0054">
              <w:rPr>
                <w:rFonts w:ascii="Arial" w:hAnsi="Arial" w:cs="Arial"/>
                <w:bCs/>
                <w:sz w:val="20"/>
                <w:szCs w:val="20"/>
                <w:lang w:eastAsia="zh-TW"/>
              </w:rPr>
              <w:t xml:space="preserve"> </w:t>
            </w:r>
          </w:p>
          <w:p w:rsidR="008C0054" w:rsidRDefault="008C0054" w:rsidP="00D10060">
            <w:pPr>
              <w:pStyle w:val="a4"/>
              <w:snapToGrid w:val="0"/>
              <w:contextualSpacing w:val="0"/>
              <w:rPr>
                <w:rFonts w:ascii="Arial" w:hAnsi="Arial" w:cs="Arial"/>
                <w:bCs/>
                <w:sz w:val="20"/>
                <w:szCs w:val="20"/>
                <w:lang w:eastAsia="zh-TW"/>
              </w:rPr>
            </w:pPr>
          </w:p>
          <w:p w:rsidR="00425F01" w:rsidRDefault="00425F01" w:rsidP="00D10060">
            <w:pPr>
              <w:pStyle w:val="a4"/>
              <w:snapToGrid w:val="0"/>
              <w:contextualSpacing w:val="0"/>
              <w:rPr>
                <w:rFonts w:ascii="Arial" w:hAnsi="Arial" w:cs="Arial"/>
                <w:bCs/>
                <w:sz w:val="20"/>
                <w:szCs w:val="20"/>
                <w:lang w:eastAsia="zh-TW"/>
              </w:rPr>
            </w:pPr>
          </w:p>
          <w:p w:rsidR="00425F01" w:rsidRPr="008C0054" w:rsidRDefault="00425F01" w:rsidP="00D10060">
            <w:pPr>
              <w:pStyle w:val="a4"/>
              <w:snapToGrid w:val="0"/>
              <w:contextualSpacing w:val="0"/>
              <w:rPr>
                <w:rFonts w:ascii="Arial" w:hAnsi="Arial" w:cs="Arial"/>
                <w:bCs/>
                <w:sz w:val="20"/>
                <w:szCs w:val="20"/>
                <w:lang w:eastAsia="zh-TW"/>
              </w:rPr>
            </w:pPr>
          </w:p>
          <w:p w:rsidR="008C0054" w:rsidRDefault="008C0054">
            <w:pPr>
              <w:snapToGrid w:val="0"/>
              <w:jc w:val="both"/>
              <w:rPr>
                <w:rFonts w:ascii="Arial" w:hAnsi="Arial" w:cs="Arial"/>
                <w:bCs/>
                <w:sz w:val="20"/>
                <w:szCs w:val="20"/>
                <w:lang w:eastAsia="zh-TW"/>
              </w:rPr>
            </w:pPr>
            <w:r>
              <w:rPr>
                <w:rFonts w:ascii="Arial" w:hAnsi="Arial" w:cs="Arial"/>
                <w:bCs/>
                <w:sz w:val="20"/>
                <w:szCs w:val="20"/>
                <w:lang w:eastAsia="zh-TW"/>
              </w:rPr>
              <w:t>GEM issuers are required to publish preliminary announcement of results:</w:t>
            </w:r>
          </w:p>
          <w:p w:rsidR="008C0054" w:rsidRDefault="008C0054">
            <w:pPr>
              <w:snapToGrid w:val="0"/>
              <w:jc w:val="both"/>
              <w:rPr>
                <w:rFonts w:ascii="Arial" w:hAnsi="Arial" w:cs="Arial"/>
                <w:bCs/>
                <w:sz w:val="20"/>
                <w:szCs w:val="20"/>
                <w:lang w:eastAsia="zh-TW"/>
              </w:rPr>
            </w:pPr>
          </w:p>
          <w:p w:rsidR="008C0054" w:rsidRDefault="008C0054" w:rsidP="00D10060">
            <w:pPr>
              <w:pStyle w:val="a4"/>
              <w:numPr>
                <w:ilvl w:val="0"/>
                <w:numId w:val="37"/>
              </w:numPr>
              <w:snapToGrid w:val="0"/>
              <w:ind w:left="589" w:hanging="567"/>
              <w:contextualSpacing w:val="0"/>
              <w:jc w:val="both"/>
              <w:rPr>
                <w:rFonts w:ascii="Arial" w:hAnsi="Arial" w:cs="Arial"/>
                <w:bCs/>
                <w:sz w:val="20"/>
                <w:szCs w:val="20"/>
                <w:lang w:eastAsia="zh-TW"/>
              </w:rPr>
            </w:pPr>
            <w:r w:rsidRPr="008C0054">
              <w:rPr>
                <w:rFonts w:ascii="Arial" w:hAnsi="Arial" w:cs="Arial"/>
                <w:bCs/>
                <w:sz w:val="20"/>
                <w:szCs w:val="20"/>
                <w:lang w:eastAsia="zh-TW"/>
              </w:rPr>
              <w:t>for the financial yea</w:t>
            </w:r>
            <w:r>
              <w:rPr>
                <w:rFonts w:ascii="Arial" w:hAnsi="Arial" w:cs="Arial"/>
                <w:bCs/>
                <w:sz w:val="20"/>
                <w:szCs w:val="20"/>
                <w:lang w:eastAsia="zh-TW"/>
              </w:rPr>
              <w:t xml:space="preserve">r not later than </w:t>
            </w:r>
            <w:r w:rsidR="008835BC">
              <w:rPr>
                <w:rFonts w:ascii="Arial" w:hAnsi="Arial" w:cs="Arial"/>
                <w:bCs/>
                <w:sz w:val="20"/>
                <w:szCs w:val="20"/>
                <w:lang w:eastAsia="zh-TW"/>
              </w:rPr>
              <w:t>3</w:t>
            </w:r>
            <w:r>
              <w:rPr>
                <w:rFonts w:ascii="Arial" w:hAnsi="Arial" w:cs="Arial"/>
                <w:bCs/>
                <w:sz w:val="20"/>
                <w:szCs w:val="20"/>
                <w:lang w:eastAsia="zh-TW"/>
              </w:rPr>
              <w:t xml:space="preserve"> months;</w:t>
            </w:r>
            <w:r w:rsidR="008835BC">
              <w:rPr>
                <w:rStyle w:val="a7"/>
                <w:rFonts w:ascii="Arial" w:hAnsi="Arial" w:cs="Arial"/>
                <w:bCs/>
                <w:sz w:val="20"/>
                <w:szCs w:val="20"/>
                <w:lang w:eastAsia="zh-TW"/>
              </w:rPr>
              <w:footnoteReference w:id="20"/>
            </w:r>
          </w:p>
          <w:p w:rsidR="008C0054" w:rsidRDefault="008C0054" w:rsidP="00D10060">
            <w:pPr>
              <w:pStyle w:val="a4"/>
              <w:snapToGrid w:val="0"/>
              <w:ind w:left="589"/>
              <w:contextualSpacing w:val="0"/>
              <w:jc w:val="both"/>
              <w:rPr>
                <w:rFonts w:ascii="Arial" w:hAnsi="Arial" w:cs="Arial"/>
                <w:bCs/>
                <w:sz w:val="20"/>
                <w:szCs w:val="20"/>
                <w:lang w:eastAsia="zh-TW"/>
              </w:rPr>
            </w:pPr>
          </w:p>
          <w:p w:rsidR="008C0054" w:rsidRDefault="008C0054" w:rsidP="00D10060">
            <w:pPr>
              <w:pStyle w:val="a4"/>
              <w:numPr>
                <w:ilvl w:val="0"/>
                <w:numId w:val="37"/>
              </w:numPr>
              <w:snapToGrid w:val="0"/>
              <w:ind w:left="589" w:hanging="567"/>
              <w:contextualSpacing w:val="0"/>
              <w:jc w:val="both"/>
              <w:rPr>
                <w:rFonts w:ascii="Arial" w:hAnsi="Arial" w:cs="Arial"/>
                <w:bCs/>
                <w:sz w:val="20"/>
                <w:szCs w:val="20"/>
                <w:lang w:eastAsia="zh-TW"/>
              </w:rPr>
            </w:pPr>
            <w:r w:rsidRPr="008C0054">
              <w:rPr>
                <w:rFonts w:ascii="Arial" w:hAnsi="Arial" w:cs="Arial"/>
                <w:bCs/>
                <w:sz w:val="20"/>
                <w:szCs w:val="20"/>
                <w:lang w:eastAsia="zh-TW"/>
              </w:rPr>
              <w:t xml:space="preserve">for the first </w:t>
            </w:r>
            <w:r w:rsidR="0028377A">
              <w:rPr>
                <w:rFonts w:ascii="Arial" w:hAnsi="Arial" w:cs="Arial"/>
                <w:bCs/>
                <w:sz w:val="20"/>
                <w:szCs w:val="20"/>
                <w:lang w:eastAsia="zh-TW"/>
              </w:rPr>
              <w:t>6</w:t>
            </w:r>
            <w:r w:rsidRPr="008C0054">
              <w:rPr>
                <w:rFonts w:ascii="Arial" w:hAnsi="Arial" w:cs="Arial"/>
                <w:bCs/>
                <w:sz w:val="20"/>
                <w:szCs w:val="20"/>
                <w:lang w:eastAsia="zh-TW"/>
              </w:rPr>
              <w:t xml:space="preserve"> months of each financia</w:t>
            </w:r>
            <w:r>
              <w:rPr>
                <w:rFonts w:ascii="Arial" w:hAnsi="Arial" w:cs="Arial"/>
                <w:bCs/>
                <w:sz w:val="20"/>
                <w:szCs w:val="20"/>
                <w:lang w:eastAsia="zh-TW"/>
              </w:rPr>
              <w:t>l year not later than 45 days;</w:t>
            </w:r>
            <w:r w:rsidR="001549AE">
              <w:rPr>
                <w:rStyle w:val="a7"/>
                <w:rFonts w:ascii="Arial" w:hAnsi="Arial" w:cs="Arial"/>
                <w:bCs/>
                <w:sz w:val="20"/>
                <w:szCs w:val="20"/>
                <w:lang w:eastAsia="zh-TW"/>
              </w:rPr>
              <w:footnoteReference w:id="21"/>
            </w:r>
            <w:r w:rsidRPr="008C0054">
              <w:rPr>
                <w:rFonts w:ascii="Arial" w:hAnsi="Arial" w:cs="Arial"/>
                <w:bCs/>
                <w:sz w:val="20"/>
                <w:szCs w:val="20"/>
                <w:lang w:eastAsia="zh-TW"/>
              </w:rPr>
              <w:t xml:space="preserve"> and</w:t>
            </w:r>
          </w:p>
          <w:p w:rsidR="008C0054" w:rsidRPr="008C0054" w:rsidRDefault="008C0054" w:rsidP="00D10060">
            <w:pPr>
              <w:pStyle w:val="a4"/>
              <w:snapToGrid w:val="0"/>
              <w:contextualSpacing w:val="0"/>
              <w:rPr>
                <w:rFonts w:ascii="Arial" w:hAnsi="Arial" w:cs="Arial"/>
                <w:bCs/>
                <w:sz w:val="20"/>
                <w:szCs w:val="20"/>
                <w:lang w:eastAsia="zh-TW"/>
              </w:rPr>
            </w:pPr>
          </w:p>
          <w:p w:rsidR="008C0054" w:rsidRDefault="008C0054" w:rsidP="00D10060">
            <w:pPr>
              <w:pStyle w:val="a4"/>
              <w:numPr>
                <w:ilvl w:val="0"/>
                <w:numId w:val="37"/>
              </w:numPr>
              <w:snapToGrid w:val="0"/>
              <w:ind w:left="589" w:hanging="567"/>
              <w:contextualSpacing w:val="0"/>
              <w:jc w:val="both"/>
              <w:rPr>
                <w:rFonts w:ascii="Arial" w:hAnsi="Arial" w:cs="Arial"/>
                <w:bCs/>
                <w:sz w:val="20"/>
                <w:szCs w:val="20"/>
                <w:lang w:eastAsia="zh-TW"/>
              </w:rPr>
            </w:pPr>
            <w:r w:rsidRPr="008C0054">
              <w:rPr>
                <w:rFonts w:ascii="Arial" w:hAnsi="Arial" w:cs="Arial"/>
                <w:bCs/>
                <w:sz w:val="20"/>
                <w:szCs w:val="20"/>
                <w:lang w:eastAsia="zh-TW"/>
              </w:rPr>
              <w:t>for each of the first three</w:t>
            </w:r>
            <w:r w:rsidR="00E712D6">
              <w:rPr>
                <w:rFonts w:ascii="Arial" w:hAnsi="Arial" w:cs="Arial"/>
                <w:bCs/>
                <w:sz w:val="20"/>
                <w:szCs w:val="20"/>
                <w:lang w:eastAsia="zh-TW"/>
              </w:rPr>
              <w:t>-</w:t>
            </w:r>
            <w:r w:rsidRPr="008C0054">
              <w:rPr>
                <w:rFonts w:ascii="Arial" w:hAnsi="Arial" w:cs="Arial"/>
                <w:bCs/>
                <w:sz w:val="20"/>
                <w:szCs w:val="20"/>
                <w:lang w:eastAsia="zh-TW"/>
              </w:rPr>
              <w:t>month and nine</w:t>
            </w:r>
            <w:r w:rsidR="00E712D6">
              <w:rPr>
                <w:rFonts w:ascii="Arial" w:hAnsi="Arial" w:cs="Arial"/>
                <w:bCs/>
                <w:sz w:val="20"/>
                <w:szCs w:val="20"/>
                <w:lang w:eastAsia="zh-TW"/>
              </w:rPr>
              <w:t>-</w:t>
            </w:r>
            <w:r w:rsidRPr="008C0054">
              <w:rPr>
                <w:rFonts w:ascii="Arial" w:hAnsi="Arial" w:cs="Arial"/>
                <w:bCs/>
                <w:sz w:val="20"/>
                <w:szCs w:val="20"/>
                <w:lang w:eastAsia="zh-TW"/>
              </w:rPr>
              <w:t>month periods of each financial year</w:t>
            </w:r>
            <w:r w:rsidR="00E712D6">
              <w:rPr>
                <w:rFonts w:ascii="Arial" w:hAnsi="Arial" w:cs="Arial"/>
                <w:bCs/>
                <w:sz w:val="20"/>
                <w:szCs w:val="20"/>
                <w:lang w:eastAsia="zh-TW"/>
              </w:rPr>
              <w:t>,</w:t>
            </w:r>
            <w:r w:rsidRPr="008C0054">
              <w:rPr>
                <w:rFonts w:ascii="Arial" w:hAnsi="Arial" w:cs="Arial"/>
                <w:bCs/>
                <w:sz w:val="20"/>
                <w:szCs w:val="20"/>
                <w:lang w:eastAsia="zh-TW"/>
              </w:rPr>
              <w:t xml:space="preserve"> not later than 45 days</w:t>
            </w:r>
            <w:r>
              <w:rPr>
                <w:rFonts w:ascii="Arial" w:hAnsi="Arial" w:cs="Arial"/>
                <w:bCs/>
                <w:sz w:val="20"/>
                <w:szCs w:val="20"/>
                <w:lang w:eastAsia="zh-TW"/>
              </w:rPr>
              <w:t>;</w:t>
            </w:r>
            <w:r w:rsidR="001549AE">
              <w:rPr>
                <w:rStyle w:val="a7"/>
                <w:rFonts w:ascii="Arial" w:hAnsi="Arial" w:cs="Arial"/>
                <w:bCs/>
                <w:sz w:val="20"/>
                <w:szCs w:val="20"/>
                <w:lang w:eastAsia="zh-TW"/>
              </w:rPr>
              <w:footnoteReference w:id="22"/>
            </w:r>
          </w:p>
          <w:p w:rsidR="008C0054" w:rsidRPr="008C0054" w:rsidRDefault="008C0054" w:rsidP="00D10060">
            <w:pPr>
              <w:pStyle w:val="a4"/>
              <w:snapToGrid w:val="0"/>
              <w:contextualSpacing w:val="0"/>
              <w:rPr>
                <w:rFonts w:ascii="Arial" w:hAnsi="Arial" w:cs="Arial"/>
                <w:bCs/>
                <w:sz w:val="20"/>
                <w:szCs w:val="20"/>
                <w:lang w:eastAsia="zh-TW"/>
              </w:rPr>
            </w:pPr>
          </w:p>
          <w:p w:rsidR="008C0054" w:rsidRDefault="008C0054">
            <w:pPr>
              <w:snapToGrid w:val="0"/>
              <w:jc w:val="both"/>
              <w:rPr>
                <w:rFonts w:ascii="Arial" w:hAnsi="Arial" w:cs="Arial"/>
                <w:bCs/>
                <w:sz w:val="20"/>
                <w:szCs w:val="20"/>
                <w:lang w:eastAsia="zh-TW"/>
              </w:rPr>
            </w:pPr>
            <w:r w:rsidRPr="008C0054">
              <w:rPr>
                <w:rFonts w:ascii="Arial" w:hAnsi="Arial" w:cs="Arial"/>
                <w:bCs/>
                <w:sz w:val="20"/>
                <w:szCs w:val="20"/>
                <w:lang w:eastAsia="zh-TW"/>
              </w:rPr>
              <w:t>after the date upon which the financial period ended.</w:t>
            </w:r>
          </w:p>
          <w:p w:rsidR="008C0054" w:rsidRPr="008C0054" w:rsidRDefault="008C0054">
            <w:pPr>
              <w:snapToGrid w:val="0"/>
              <w:jc w:val="both"/>
              <w:rPr>
                <w:rFonts w:ascii="Arial" w:hAnsi="Arial" w:cs="Arial"/>
                <w:bCs/>
                <w:sz w:val="20"/>
                <w:szCs w:val="20"/>
                <w:lang w:eastAsia="zh-TW"/>
              </w:rPr>
            </w:pPr>
          </w:p>
        </w:tc>
        <w:tc>
          <w:tcPr>
            <w:tcW w:w="4770" w:type="dxa"/>
          </w:tcPr>
          <w:p w:rsidR="008C0054" w:rsidRDefault="00DE3C83">
            <w:pPr>
              <w:snapToGrid w:val="0"/>
              <w:jc w:val="both"/>
              <w:rPr>
                <w:rFonts w:ascii="Arial" w:hAnsi="Arial" w:cs="Arial"/>
                <w:bCs/>
                <w:sz w:val="20"/>
                <w:szCs w:val="20"/>
                <w:lang w:eastAsia="zh-TW"/>
              </w:rPr>
            </w:pPr>
            <w:r>
              <w:rPr>
                <w:rFonts w:ascii="Arial" w:hAnsi="Arial" w:cs="Arial"/>
                <w:bCs/>
                <w:sz w:val="20"/>
                <w:szCs w:val="20"/>
                <w:lang w:eastAsia="zh-TW"/>
              </w:rPr>
              <w:t xml:space="preserve">GEM </w:t>
            </w:r>
            <w:r w:rsidR="000917FD">
              <w:rPr>
                <w:rFonts w:ascii="Arial" w:hAnsi="Arial" w:cs="Arial"/>
                <w:bCs/>
                <w:sz w:val="20"/>
                <w:szCs w:val="20"/>
                <w:lang w:eastAsia="zh-TW"/>
              </w:rPr>
              <w:t>listed issuers will be required to publish:</w:t>
            </w:r>
          </w:p>
          <w:p w:rsidR="000917FD" w:rsidRDefault="000917FD">
            <w:pPr>
              <w:snapToGrid w:val="0"/>
              <w:jc w:val="both"/>
              <w:rPr>
                <w:rFonts w:ascii="Arial" w:hAnsi="Arial" w:cs="Arial"/>
                <w:bCs/>
                <w:sz w:val="20"/>
                <w:szCs w:val="20"/>
                <w:lang w:eastAsia="zh-TW"/>
              </w:rPr>
            </w:pPr>
          </w:p>
          <w:p w:rsidR="000917FD" w:rsidRDefault="000917FD" w:rsidP="00D10060">
            <w:pPr>
              <w:pStyle w:val="a4"/>
              <w:numPr>
                <w:ilvl w:val="0"/>
                <w:numId w:val="39"/>
              </w:numPr>
              <w:snapToGrid w:val="0"/>
              <w:ind w:left="589" w:hanging="567"/>
              <w:contextualSpacing w:val="0"/>
              <w:jc w:val="both"/>
              <w:rPr>
                <w:rFonts w:ascii="Arial" w:hAnsi="Arial" w:cs="Arial"/>
                <w:bCs/>
                <w:sz w:val="20"/>
                <w:szCs w:val="20"/>
                <w:lang w:eastAsia="zh-TW"/>
              </w:rPr>
            </w:pPr>
            <w:r>
              <w:rPr>
                <w:rFonts w:ascii="Arial" w:hAnsi="Arial" w:cs="Arial"/>
                <w:bCs/>
                <w:sz w:val="20"/>
                <w:szCs w:val="20"/>
                <w:lang w:eastAsia="zh-TW"/>
              </w:rPr>
              <w:t>annual reports not later than 4 months after the end of each financial year; and</w:t>
            </w:r>
          </w:p>
          <w:p w:rsidR="000917FD" w:rsidRDefault="000917FD" w:rsidP="00D10060">
            <w:pPr>
              <w:pStyle w:val="a4"/>
              <w:snapToGrid w:val="0"/>
              <w:ind w:left="589"/>
              <w:contextualSpacing w:val="0"/>
              <w:jc w:val="both"/>
              <w:rPr>
                <w:rFonts w:ascii="Arial" w:hAnsi="Arial" w:cs="Arial"/>
                <w:bCs/>
                <w:sz w:val="20"/>
                <w:szCs w:val="20"/>
                <w:lang w:eastAsia="zh-TW"/>
              </w:rPr>
            </w:pPr>
          </w:p>
          <w:p w:rsidR="000917FD" w:rsidRDefault="000917FD" w:rsidP="00D10060">
            <w:pPr>
              <w:pStyle w:val="a4"/>
              <w:numPr>
                <w:ilvl w:val="0"/>
                <w:numId w:val="39"/>
              </w:numPr>
              <w:snapToGrid w:val="0"/>
              <w:ind w:left="589" w:hanging="567"/>
              <w:contextualSpacing w:val="0"/>
              <w:jc w:val="both"/>
              <w:rPr>
                <w:rFonts w:ascii="Arial" w:hAnsi="Arial" w:cs="Arial"/>
                <w:bCs/>
                <w:sz w:val="20"/>
                <w:szCs w:val="20"/>
                <w:lang w:eastAsia="zh-TW"/>
              </w:rPr>
            </w:pPr>
            <w:r>
              <w:rPr>
                <w:rFonts w:ascii="Arial" w:hAnsi="Arial" w:cs="Arial"/>
                <w:bCs/>
                <w:sz w:val="20"/>
                <w:szCs w:val="20"/>
                <w:lang w:eastAsia="zh-TW"/>
              </w:rPr>
              <w:t>interim reports not later than 3 months after the end of the first 6 months of each financial year.</w:t>
            </w:r>
          </w:p>
          <w:p w:rsidR="000917FD" w:rsidRDefault="000917FD">
            <w:pPr>
              <w:snapToGrid w:val="0"/>
              <w:jc w:val="both"/>
              <w:rPr>
                <w:rFonts w:ascii="Arial" w:hAnsi="Arial" w:cs="Arial"/>
                <w:bCs/>
                <w:sz w:val="20"/>
                <w:szCs w:val="20"/>
                <w:lang w:eastAsia="zh-TW"/>
              </w:rPr>
            </w:pPr>
          </w:p>
          <w:p w:rsidR="00425F01" w:rsidRDefault="00425F01">
            <w:pPr>
              <w:snapToGrid w:val="0"/>
              <w:jc w:val="both"/>
              <w:rPr>
                <w:rFonts w:ascii="Arial" w:hAnsi="Arial" w:cs="Arial"/>
                <w:bCs/>
                <w:sz w:val="20"/>
                <w:szCs w:val="20"/>
                <w:lang w:eastAsia="zh-TW"/>
              </w:rPr>
            </w:pPr>
            <w:r>
              <w:rPr>
                <w:rFonts w:ascii="Arial" w:hAnsi="Arial" w:cs="Arial"/>
                <w:bCs/>
                <w:sz w:val="20"/>
                <w:szCs w:val="20"/>
                <w:lang w:eastAsia="zh-TW"/>
              </w:rPr>
              <w:t>No q</w:t>
            </w:r>
            <w:r w:rsidRPr="0028377A">
              <w:rPr>
                <w:rFonts w:ascii="Arial" w:hAnsi="Arial" w:cs="Arial"/>
                <w:bCs/>
                <w:sz w:val="20"/>
                <w:szCs w:val="20"/>
                <w:lang w:eastAsia="zh-TW"/>
              </w:rPr>
              <w:t xml:space="preserve">uarterly financial reporting will be </w:t>
            </w:r>
            <w:r>
              <w:rPr>
                <w:rFonts w:ascii="Arial" w:hAnsi="Arial" w:cs="Arial"/>
                <w:bCs/>
                <w:sz w:val="20"/>
                <w:szCs w:val="20"/>
                <w:lang w:eastAsia="zh-TW"/>
              </w:rPr>
              <w:t xml:space="preserve">required, but this may be done on a voluntary basis and would be </w:t>
            </w:r>
            <w:r w:rsidRPr="0028377A">
              <w:rPr>
                <w:rFonts w:ascii="Arial" w:hAnsi="Arial" w:cs="Arial"/>
                <w:bCs/>
                <w:sz w:val="20"/>
                <w:szCs w:val="20"/>
                <w:lang w:eastAsia="zh-TW"/>
              </w:rPr>
              <w:t xml:space="preserve">a recommended best practice </w:t>
            </w:r>
            <w:r>
              <w:rPr>
                <w:rFonts w:ascii="Arial" w:hAnsi="Arial" w:cs="Arial"/>
                <w:bCs/>
                <w:sz w:val="20"/>
                <w:szCs w:val="20"/>
                <w:lang w:eastAsia="zh-TW"/>
              </w:rPr>
              <w:t>under</w:t>
            </w:r>
            <w:r w:rsidRPr="0028377A">
              <w:rPr>
                <w:rFonts w:ascii="Arial" w:hAnsi="Arial" w:cs="Arial"/>
                <w:bCs/>
                <w:sz w:val="20"/>
                <w:szCs w:val="20"/>
                <w:lang w:eastAsia="zh-TW"/>
              </w:rPr>
              <w:t xml:space="preserve"> GEM’s Corporate Governance Code</w:t>
            </w:r>
            <w:r>
              <w:rPr>
                <w:rFonts w:ascii="Arial" w:hAnsi="Arial" w:cs="Arial"/>
                <w:bCs/>
                <w:sz w:val="20"/>
                <w:szCs w:val="20"/>
                <w:lang w:eastAsia="zh-TW"/>
              </w:rPr>
              <w:t>.</w:t>
            </w:r>
          </w:p>
          <w:p w:rsidR="00890321" w:rsidRDefault="00890321">
            <w:pPr>
              <w:snapToGrid w:val="0"/>
              <w:jc w:val="both"/>
              <w:rPr>
                <w:rFonts w:ascii="Arial" w:hAnsi="Arial" w:cs="Arial"/>
                <w:bCs/>
                <w:sz w:val="20"/>
                <w:szCs w:val="20"/>
                <w:lang w:eastAsia="zh-TW"/>
              </w:rPr>
            </w:pPr>
          </w:p>
          <w:p w:rsidR="0028377A" w:rsidRDefault="0028377A">
            <w:pPr>
              <w:snapToGrid w:val="0"/>
              <w:jc w:val="both"/>
              <w:rPr>
                <w:rFonts w:ascii="Arial" w:hAnsi="Arial" w:cs="Arial"/>
                <w:bCs/>
                <w:sz w:val="20"/>
                <w:szCs w:val="20"/>
                <w:lang w:eastAsia="zh-TW"/>
              </w:rPr>
            </w:pPr>
            <w:r>
              <w:rPr>
                <w:rFonts w:ascii="Arial" w:hAnsi="Arial" w:cs="Arial"/>
                <w:bCs/>
                <w:sz w:val="20"/>
                <w:szCs w:val="20"/>
                <w:lang w:eastAsia="zh-TW"/>
              </w:rPr>
              <w:t>GEM issuers will be required to publish preliminary announcement of results:</w:t>
            </w:r>
          </w:p>
          <w:p w:rsidR="0028377A" w:rsidRDefault="0028377A">
            <w:pPr>
              <w:snapToGrid w:val="0"/>
              <w:jc w:val="both"/>
              <w:rPr>
                <w:rFonts w:ascii="Arial" w:hAnsi="Arial" w:cs="Arial"/>
                <w:bCs/>
                <w:sz w:val="20"/>
                <w:szCs w:val="20"/>
                <w:lang w:eastAsia="zh-TW"/>
              </w:rPr>
            </w:pPr>
          </w:p>
          <w:p w:rsidR="0028377A" w:rsidRDefault="0028377A" w:rsidP="00D10060">
            <w:pPr>
              <w:pStyle w:val="a4"/>
              <w:numPr>
                <w:ilvl w:val="0"/>
                <w:numId w:val="40"/>
              </w:numPr>
              <w:snapToGrid w:val="0"/>
              <w:ind w:left="589" w:hanging="567"/>
              <w:contextualSpacing w:val="0"/>
              <w:jc w:val="both"/>
              <w:rPr>
                <w:rFonts w:ascii="Arial" w:hAnsi="Arial" w:cs="Arial"/>
                <w:bCs/>
                <w:sz w:val="20"/>
                <w:szCs w:val="20"/>
                <w:lang w:eastAsia="zh-TW"/>
              </w:rPr>
            </w:pPr>
            <w:r>
              <w:rPr>
                <w:rFonts w:ascii="Arial" w:hAnsi="Arial" w:cs="Arial"/>
                <w:bCs/>
                <w:sz w:val="20"/>
                <w:szCs w:val="20"/>
                <w:lang w:eastAsia="zh-TW"/>
              </w:rPr>
              <w:t>for the financial year not later than 3 months; and</w:t>
            </w:r>
          </w:p>
          <w:p w:rsidR="0028377A" w:rsidRDefault="0028377A" w:rsidP="00D10060">
            <w:pPr>
              <w:pStyle w:val="a4"/>
              <w:snapToGrid w:val="0"/>
              <w:ind w:left="589"/>
              <w:contextualSpacing w:val="0"/>
              <w:jc w:val="both"/>
              <w:rPr>
                <w:rFonts w:ascii="Arial" w:hAnsi="Arial" w:cs="Arial"/>
                <w:bCs/>
                <w:sz w:val="20"/>
                <w:szCs w:val="20"/>
                <w:lang w:eastAsia="zh-TW"/>
              </w:rPr>
            </w:pPr>
          </w:p>
          <w:p w:rsidR="0028377A" w:rsidRDefault="0028377A" w:rsidP="00D10060">
            <w:pPr>
              <w:pStyle w:val="a4"/>
              <w:numPr>
                <w:ilvl w:val="0"/>
                <w:numId w:val="40"/>
              </w:numPr>
              <w:snapToGrid w:val="0"/>
              <w:ind w:left="589" w:hanging="567"/>
              <w:contextualSpacing w:val="0"/>
              <w:jc w:val="both"/>
              <w:rPr>
                <w:rFonts w:ascii="Arial" w:hAnsi="Arial" w:cs="Arial"/>
                <w:bCs/>
                <w:sz w:val="20"/>
                <w:szCs w:val="20"/>
                <w:lang w:eastAsia="zh-TW"/>
              </w:rPr>
            </w:pPr>
            <w:r>
              <w:rPr>
                <w:rFonts w:ascii="Arial" w:hAnsi="Arial" w:cs="Arial"/>
                <w:bCs/>
                <w:sz w:val="20"/>
                <w:szCs w:val="20"/>
                <w:lang w:eastAsia="zh-TW"/>
              </w:rPr>
              <w:t>for the first 6 months of each financial year not later than 2 months;</w:t>
            </w:r>
          </w:p>
          <w:p w:rsidR="0028377A" w:rsidRPr="0028377A" w:rsidRDefault="0028377A" w:rsidP="00D10060">
            <w:pPr>
              <w:pStyle w:val="a4"/>
              <w:snapToGrid w:val="0"/>
              <w:contextualSpacing w:val="0"/>
              <w:rPr>
                <w:rFonts w:ascii="Arial" w:hAnsi="Arial" w:cs="Arial"/>
                <w:bCs/>
                <w:sz w:val="20"/>
                <w:szCs w:val="20"/>
                <w:lang w:eastAsia="zh-TW"/>
              </w:rPr>
            </w:pPr>
          </w:p>
          <w:p w:rsidR="0028377A" w:rsidRDefault="0028377A">
            <w:pPr>
              <w:snapToGrid w:val="0"/>
              <w:jc w:val="both"/>
              <w:rPr>
                <w:rFonts w:ascii="Arial" w:hAnsi="Arial" w:cs="Arial"/>
                <w:bCs/>
                <w:sz w:val="20"/>
                <w:szCs w:val="20"/>
                <w:lang w:eastAsia="zh-TW"/>
              </w:rPr>
            </w:pPr>
            <w:r>
              <w:rPr>
                <w:rFonts w:ascii="Arial" w:hAnsi="Arial" w:cs="Arial"/>
                <w:bCs/>
                <w:sz w:val="20"/>
                <w:szCs w:val="20"/>
                <w:lang w:eastAsia="zh-TW"/>
              </w:rPr>
              <w:t>after the date upon which the financial period ended.</w:t>
            </w:r>
          </w:p>
          <w:p w:rsidR="0028377A" w:rsidRDefault="0028377A">
            <w:pPr>
              <w:snapToGrid w:val="0"/>
              <w:jc w:val="both"/>
              <w:rPr>
                <w:rFonts w:ascii="Arial" w:hAnsi="Arial" w:cs="Arial"/>
                <w:bCs/>
                <w:sz w:val="20"/>
                <w:szCs w:val="20"/>
                <w:lang w:eastAsia="zh-TW"/>
              </w:rPr>
            </w:pPr>
          </w:p>
          <w:p w:rsidR="0028377A" w:rsidRPr="0028377A" w:rsidRDefault="0028377A">
            <w:pPr>
              <w:snapToGrid w:val="0"/>
              <w:jc w:val="both"/>
              <w:rPr>
                <w:rFonts w:ascii="Arial" w:hAnsi="Arial" w:cs="Arial"/>
                <w:bCs/>
                <w:sz w:val="20"/>
                <w:szCs w:val="20"/>
                <w:lang w:eastAsia="zh-TW"/>
              </w:rPr>
            </w:pPr>
          </w:p>
        </w:tc>
      </w:tr>
    </w:tbl>
    <w:p w:rsidR="000F0E53" w:rsidRDefault="000F0E53" w:rsidP="00F27C61">
      <w:pPr>
        <w:snapToGrid w:val="0"/>
        <w:spacing w:after="0" w:line="240" w:lineRule="auto"/>
        <w:ind w:left="709"/>
        <w:jc w:val="both"/>
        <w:rPr>
          <w:rFonts w:ascii="Arial" w:hAnsi="Arial" w:cs="Arial"/>
          <w:bCs/>
          <w:sz w:val="20"/>
          <w:szCs w:val="20"/>
          <w:lang w:eastAsia="zh-TW"/>
        </w:rPr>
      </w:pPr>
    </w:p>
    <w:p w:rsidR="000F0E53" w:rsidRPr="000D2AA4" w:rsidRDefault="000D2AA4" w:rsidP="00F27C61">
      <w:pPr>
        <w:snapToGrid w:val="0"/>
        <w:spacing w:after="0" w:line="240" w:lineRule="auto"/>
        <w:ind w:left="709"/>
        <w:jc w:val="both"/>
        <w:rPr>
          <w:rFonts w:ascii="Arial" w:hAnsi="Arial" w:cs="Arial"/>
          <w:b/>
          <w:bCs/>
          <w:sz w:val="20"/>
          <w:szCs w:val="20"/>
          <w:lang w:eastAsia="zh-TW"/>
        </w:rPr>
      </w:pPr>
      <w:r w:rsidRPr="000D2AA4">
        <w:rPr>
          <w:rFonts w:ascii="Arial" w:hAnsi="Arial" w:cs="Arial"/>
          <w:b/>
          <w:bCs/>
          <w:sz w:val="20"/>
          <w:szCs w:val="20"/>
          <w:lang w:eastAsia="zh-TW"/>
        </w:rPr>
        <w:t>Possible amendments on ESG-related requirements</w:t>
      </w:r>
    </w:p>
    <w:p w:rsidR="000D2AA4" w:rsidRDefault="000D2AA4" w:rsidP="00F27C61">
      <w:pPr>
        <w:snapToGrid w:val="0"/>
        <w:spacing w:after="0" w:line="240" w:lineRule="auto"/>
        <w:ind w:left="709"/>
        <w:jc w:val="both"/>
        <w:rPr>
          <w:rFonts w:ascii="Arial" w:hAnsi="Arial" w:cs="Arial"/>
          <w:bCs/>
          <w:sz w:val="20"/>
          <w:szCs w:val="20"/>
          <w:lang w:eastAsia="zh-TW"/>
        </w:rPr>
      </w:pPr>
    </w:p>
    <w:p w:rsidR="000D2AA4" w:rsidRPr="000D2AA4" w:rsidRDefault="000D2AA4" w:rsidP="000D2AA4">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The HKEX noted that t</w:t>
      </w:r>
      <w:r w:rsidRPr="000D2AA4">
        <w:rPr>
          <w:rFonts w:ascii="Arial" w:hAnsi="Arial" w:cs="Arial"/>
          <w:bCs/>
          <w:sz w:val="20"/>
          <w:szCs w:val="20"/>
          <w:lang w:eastAsia="zh-TW"/>
        </w:rPr>
        <w:t>he current ESG reporting requirements are the same for both GEM</w:t>
      </w:r>
      <w:r>
        <w:rPr>
          <w:rFonts w:ascii="Arial" w:hAnsi="Arial" w:cs="Arial"/>
          <w:bCs/>
          <w:sz w:val="20"/>
          <w:szCs w:val="20"/>
          <w:lang w:eastAsia="zh-TW"/>
        </w:rPr>
        <w:t xml:space="preserve"> issuers and Main Board issuers</w:t>
      </w:r>
      <w:r w:rsidRPr="000D2AA4">
        <w:rPr>
          <w:rFonts w:ascii="Arial" w:hAnsi="Arial" w:cs="Arial"/>
          <w:bCs/>
          <w:sz w:val="20"/>
          <w:szCs w:val="20"/>
          <w:lang w:eastAsia="zh-TW"/>
        </w:rPr>
        <w:t xml:space="preserve"> </w:t>
      </w:r>
      <w:r w:rsidR="00425F01">
        <w:rPr>
          <w:rFonts w:ascii="Arial" w:hAnsi="Arial" w:cs="Arial"/>
          <w:bCs/>
          <w:sz w:val="20"/>
          <w:szCs w:val="20"/>
          <w:lang w:eastAsia="zh-TW"/>
        </w:rPr>
        <w:t>despite the fact</w:t>
      </w:r>
      <w:r w:rsidR="00425F01" w:rsidRPr="000D2AA4">
        <w:rPr>
          <w:rFonts w:ascii="Arial" w:hAnsi="Arial" w:cs="Arial"/>
          <w:bCs/>
          <w:sz w:val="20"/>
          <w:szCs w:val="20"/>
          <w:lang w:eastAsia="zh-TW"/>
        </w:rPr>
        <w:t xml:space="preserve"> </w:t>
      </w:r>
      <w:r w:rsidR="00E712D6">
        <w:rPr>
          <w:rFonts w:ascii="Arial" w:hAnsi="Arial" w:cs="Arial"/>
          <w:bCs/>
          <w:sz w:val="20"/>
          <w:szCs w:val="20"/>
          <w:lang w:eastAsia="zh-TW"/>
        </w:rPr>
        <w:t xml:space="preserve">that </w:t>
      </w:r>
      <w:r w:rsidRPr="000D2AA4">
        <w:rPr>
          <w:rFonts w:ascii="Arial" w:hAnsi="Arial" w:cs="Arial"/>
          <w:bCs/>
          <w:sz w:val="20"/>
          <w:szCs w:val="20"/>
          <w:lang w:eastAsia="zh-TW"/>
        </w:rPr>
        <w:t>GEM issuers generally have smaller operations and lower ESG risks and opportunities compared to Main Board issuers.</w:t>
      </w:r>
      <w:r w:rsidR="00312438">
        <w:rPr>
          <w:rFonts w:ascii="Arial" w:hAnsi="Arial" w:cs="Arial"/>
          <w:bCs/>
          <w:sz w:val="20"/>
          <w:szCs w:val="20"/>
          <w:lang w:eastAsia="zh-TW"/>
        </w:rPr>
        <w:t xml:space="preserve"> The HKEX also considers that l</w:t>
      </w:r>
      <w:r w:rsidRPr="000D2AA4">
        <w:rPr>
          <w:rFonts w:ascii="Arial" w:hAnsi="Arial" w:cs="Arial"/>
          <w:bCs/>
          <w:sz w:val="20"/>
          <w:szCs w:val="20"/>
          <w:lang w:eastAsia="zh-TW"/>
        </w:rPr>
        <w:t>imited resources may also hinder GEM issuers' ability to meet the ESG reporting requirements.</w:t>
      </w:r>
    </w:p>
    <w:p w:rsidR="000D2AA4" w:rsidRPr="000D2AA4" w:rsidRDefault="000D2AA4" w:rsidP="000D2AA4">
      <w:pPr>
        <w:snapToGrid w:val="0"/>
        <w:spacing w:after="0" w:line="240" w:lineRule="auto"/>
        <w:ind w:left="709"/>
        <w:jc w:val="both"/>
        <w:rPr>
          <w:rFonts w:ascii="Arial" w:hAnsi="Arial" w:cs="Arial"/>
          <w:bCs/>
          <w:sz w:val="20"/>
          <w:szCs w:val="20"/>
          <w:lang w:eastAsia="zh-TW"/>
        </w:rPr>
      </w:pPr>
    </w:p>
    <w:p w:rsidR="000D2AA4" w:rsidRDefault="00FB7538" w:rsidP="00117389">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 xml:space="preserve">The HKEX noted that, </w:t>
      </w:r>
      <w:proofErr w:type="spellStart"/>
      <w:r>
        <w:rPr>
          <w:rFonts w:ascii="Arial" w:hAnsi="Arial" w:cs="Arial"/>
          <w:bCs/>
          <w:sz w:val="20"/>
          <w:szCs w:val="20"/>
          <w:lang w:eastAsia="zh-TW"/>
        </w:rPr>
        <w:t>r</w:t>
      </w:r>
      <w:r w:rsidR="00117389">
        <w:rPr>
          <w:rFonts w:ascii="Arial" w:hAnsi="Arial" w:cs="Arial"/>
          <w:bCs/>
          <w:sz w:val="20"/>
          <w:szCs w:val="20"/>
          <w:lang w:eastAsia="zh-TW"/>
        </w:rPr>
        <w:t>ecognis</w:t>
      </w:r>
      <w:r w:rsidR="000D2AA4" w:rsidRPr="000D2AA4">
        <w:rPr>
          <w:rFonts w:ascii="Arial" w:hAnsi="Arial" w:cs="Arial"/>
          <w:bCs/>
          <w:sz w:val="20"/>
          <w:szCs w:val="20"/>
          <w:lang w:eastAsia="zh-TW"/>
        </w:rPr>
        <w:t>ing</w:t>
      </w:r>
      <w:proofErr w:type="spellEnd"/>
      <w:r w:rsidR="000D2AA4" w:rsidRPr="000D2AA4">
        <w:rPr>
          <w:rFonts w:ascii="Arial" w:hAnsi="Arial" w:cs="Arial"/>
          <w:bCs/>
          <w:sz w:val="20"/>
          <w:szCs w:val="20"/>
          <w:lang w:eastAsia="zh-TW"/>
        </w:rPr>
        <w:t xml:space="preserve"> the challenges faced by smaller-sized companies, the </w:t>
      </w:r>
      <w:r w:rsidR="00117389">
        <w:rPr>
          <w:rFonts w:ascii="Arial" w:hAnsi="Arial" w:cs="Arial"/>
          <w:bCs/>
          <w:sz w:val="20"/>
          <w:szCs w:val="20"/>
          <w:lang w:eastAsia="zh-TW"/>
        </w:rPr>
        <w:t>International Sustainability Standards Board (</w:t>
      </w:r>
      <w:r w:rsidR="000D2AA4" w:rsidRPr="00117389">
        <w:rPr>
          <w:rFonts w:ascii="Arial" w:hAnsi="Arial" w:cs="Arial"/>
          <w:b/>
          <w:bCs/>
          <w:sz w:val="20"/>
          <w:szCs w:val="20"/>
          <w:lang w:eastAsia="zh-TW"/>
        </w:rPr>
        <w:t>ISSB</w:t>
      </w:r>
      <w:r w:rsidR="00117389">
        <w:rPr>
          <w:rFonts w:ascii="Arial" w:hAnsi="Arial" w:cs="Arial"/>
          <w:bCs/>
          <w:sz w:val="20"/>
          <w:szCs w:val="20"/>
          <w:lang w:eastAsia="zh-TW"/>
        </w:rPr>
        <w:t>)</w:t>
      </w:r>
      <w:r w:rsidR="000D2AA4" w:rsidRPr="000D2AA4">
        <w:rPr>
          <w:rFonts w:ascii="Arial" w:hAnsi="Arial" w:cs="Arial"/>
          <w:bCs/>
          <w:sz w:val="20"/>
          <w:szCs w:val="20"/>
          <w:lang w:eastAsia="zh-TW"/>
        </w:rPr>
        <w:t xml:space="preserve"> and the </w:t>
      </w:r>
      <w:r w:rsidR="00117389">
        <w:rPr>
          <w:rFonts w:ascii="Arial" w:hAnsi="Arial" w:cs="Arial"/>
          <w:bCs/>
          <w:sz w:val="20"/>
          <w:szCs w:val="20"/>
          <w:lang w:eastAsia="zh-TW"/>
        </w:rPr>
        <w:t>International Financial Reporting Standards (</w:t>
      </w:r>
      <w:r w:rsidR="000D2AA4" w:rsidRPr="00117389">
        <w:rPr>
          <w:rFonts w:ascii="Arial" w:hAnsi="Arial" w:cs="Arial"/>
          <w:b/>
          <w:bCs/>
          <w:sz w:val="20"/>
          <w:szCs w:val="20"/>
          <w:lang w:eastAsia="zh-TW"/>
        </w:rPr>
        <w:t>IFRS</w:t>
      </w:r>
      <w:r w:rsidR="00117389">
        <w:rPr>
          <w:rFonts w:ascii="Arial" w:hAnsi="Arial" w:cs="Arial"/>
          <w:bCs/>
          <w:sz w:val="20"/>
          <w:szCs w:val="20"/>
          <w:lang w:eastAsia="zh-TW"/>
        </w:rPr>
        <w:t>)</w:t>
      </w:r>
      <w:r w:rsidR="000D2AA4" w:rsidRPr="000D2AA4">
        <w:rPr>
          <w:rFonts w:ascii="Arial" w:hAnsi="Arial" w:cs="Arial"/>
          <w:bCs/>
          <w:sz w:val="20"/>
          <w:szCs w:val="20"/>
          <w:lang w:eastAsia="zh-TW"/>
        </w:rPr>
        <w:t xml:space="preserve"> Foundation provide</w:t>
      </w:r>
      <w:r w:rsidR="00312438">
        <w:rPr>
          <w:rFonts w:ascii="Arial" w:hAnsi="Arial" w:cs="Arial"/>
          <w:bCs/>
          <w:sz w:val="20"/>
          <w:szCs w:val="20"/>
          <w:lang w:eastAsia="zh-TW"/>
        </w:rPr>
        <w:t>s</w:t>
      </w:r>
      <w:r w:rsidR="000D2AA4" w:rsidRPr="000D2AA4">
        <w:rPr>
          <w:rFonts w:ascii="Arial" w:hAnsi="Arial" w:cs="Arial"/>
          <w:bCs/>
          <w:sz w:val="20"/>
          <w:szCs w:val="20"/>
          <w:lang w:eastAsia="zh-TW"/>
        </w:rPr>
        <w:t xml:space="preserve"> some flexibility in implementing the</w:t>
      </w:r>
      <w:r w:rsidR="00117389">
        <w:rPr>
          <w:rFonts w:ascii="Arial" w:hAnsi="Arial" w:cs="Arial"/>
          <w:bCs/>
          <w:sz w:val="20"/>
          <w:szCs w:val="20"/>
          <w:lang w:eastAsia="zh-TW"/>
        </w:rPr>
        <w:t>ir</w:t>
      </w:r>
      <w:r w:rsidR="000D2AA4" w:rsidRPr="000D2AA4">
        <w:rPr>
          <w:rFonts w:ascii="Arial" w:hAnsi="Arial" w:cs="Arial"/>
          <w:bCs/>
          <w:sz w:val="20"/>
          <w:szCs w:val="20"/>
          <w:lang w:eastAsia="zh-TW"/>
        </w:rPr>
        <w:t xml:space="preserve"> new </w:t>
      </w:r>
      <w:r w:rsidR="00117389" w:rsidRPr="00117389">
        <w:rPr>
          <w:rFonts w:ascii="Arial" w:hAnsi="Arial" w:cs="Arial"/>
          <w:bCs/>
          <w:sz w:val="20"/>
          <w:szCs w:val="20"/>
          <w:lang w:eastAsia="zh-TW"/>
        </w:rPr>
        <w:t xml:space="preserve">IFRS S1 General Requirements for Disclosure of Sustainability-related Financial Information and IFRS S2 Climate-related Disclosures </w:t>
      </w:r>
      <w:r w:rsidR="00117389">
        <w:rPr>
          <w:rFonts w:ascii="Arial" w:hAnsi="Arial" w:cs="Arial"/>
          <w:bCs/>
          <w:sz w:val="20"/>
          <w:szCs w:val="20"/>
          <w:lang w:eastAsia="zh-TW"/>
        </w:rPr>
        <w:t>(</w:t>
      </w:r>
      <w:r w:rsidR="000D2AA4" w:rsidRPr="00117389">
        <w:rPr>
          <w:rFonts w:ascii="Arial" w:hAnsi="Arial" w:cs="Arial"/>
          <w:b/>
          <w:bCs/>
          <w:sz w:val="20"/>
          <w:szCs w:val="20"/>
          <w:lang w:eastAsia="zh-TW"/>
        </w:rPr>
        <w:t>IFRS ESG Standards</w:t>
      </w:r>
      <w:r w:rsidR="00117389">
        <w:rPr>
          <w:rFonts w:ascii="Arial" w:hAnsi="Arial" w:cs="Arial"/>
          <w:bCs/>
          <w:sz w:val="20"/>
          <w:szCs w:val="20"/>
          <w:lang w:eastAsia="zh-TW"/>
        </w:rPr>
        <w:t>)</w:t>
      </w:r>
      <w:r w:rsidR="00312438">
        <w:rPr>
          <w:rFonts w:ascii="Arial" w:hAnsi="Arial" w:cs="Arial"/>
          <w:bCs/>
          <w:sz w:val="20"/>
          <w:szCs w:val="20"/>
          <w:lang w:eastAsia="zh-TW"/>
        </w:rPr>
        <w:t xml:space="preserve">, and have </w:t>
      </w:r>
      <w:r w:rsidR="000D2AA4" w:rsidRPr="000D2AA4">
        <w:rPr>
          <w:rFonts w:ascii="Arial" w:hAnsi="Arial" w:cs="Arial"/>
          <w:bCs/>
          <w:sz w:val="20"/>
          <w:szCs w:val="20"/>
          <w:lang w:eastAsia="zh-TW"/>
        </w:rPr>
        <w:t xml:space="preserve">introduced the concept of </w:t>
      </w:r>
      <w:r w:rsidR="00E712D6">
        <w:rPr>
          <w:rFonts w:ascii="Arial" w:hAnsi="Arial" w:cs="Arial"/>
          <w:bCs/>
          <w:sz w:val="20"/>
          <w:szCs w:val="20"/>
          <w:lang w:eastAsia="zh-TW"/>
        </w:rPr>
        <w:t>“</w:t>
      </w:r>
      <w:r w:rsidR="000D2AA4" w:rsidRPr="00FD5B57">
        <w:rPr>
          <w:rFonts w:ascii="Arial" w:hAnsi="Arial" w:cs="Arial"/>
          <w:bCs/>
          <w:i/>
          <w:sz w:val="20"/>
          <w:szCs w:val="20"/>
          <w:lang w:eastAsia="zh-TW"/>
        </w:rPr>
        <w:t>reasonable and supportable information</w:t>
      </w:r>
      <w:r w:rsidR="00117389" w:rsidRPr="00FD5B57">
        <w:rPr>
          <w:rFonts w:ascii="Arial" w:hAnsi="Arial" w:cs="Arial"/>
          <w:bCs/>
          <w:i/>
          <w:sz w:val="20"/>
          <w:szCs w:val="20"/>
          <w:lang w:eastAsia="zh-TW"/>
        </w:rPr>
        <w:t xml:space="preserve"> that is available at the reporting date without undue cost or effort</w:t>
      </w:r>
      <w:r w:rsidR="00E712D6">
        <w:rPr>
          <w:rFonts w:ascii="Arial" w:hAnsi="Arial" w:cs="Arial"/>
          <w:bCs/>
          <w:sz w:val="20"/>
          <w:szCs w:val="20"/>
          <w:lang w:eastAsia="zh-TW"/>
        </w:rPr>
        <w:t>”</w:t>
      </w:r>
      <w:r w:rsidR="000D2AA4" w:rsidRPr="000D2AA4">
        <w:rPr>
          <w:rFonts w:ascii="Arial" w:hAnsi="Arial" w:cs="Arial"/>
          <w:bCs/>
          <w:sz w:val="20"/>
          <w:szCs w:val="20"/>
          <w:lang w:eastAsia="zh-TW"/>
        </w:rPr>
        <w:t xml:space="preserve"> </w:t>
      </w:r>
      <w:r w:rsidR="00117389">
        <w:rPr>
          <w:rFonts w:ascii="Arial" w:hAnsi="Arial" w:cs="Arial"/>
          <w:bCs/>
          <w:sz w:val="20"/>
          <w:szCs w:val="20"/>
          <w:lang w:eastAsia="zh-TW"/>
        </w:rPr>
        <w:t>when applying the IFRS ESG Standards</w:t>
      </w:r>
      <w:r w:rsidR="000D2AA4" w:rsidRPr="000D2AA4">
        <w:rPr>
          <w:rFonts w:ascii="Arial" w:hAnsi="Arial" w:cs="Arial"/>
          <w:bCs/>
          <w:sz w:val="20"/>
          <w:szCs w:val="20"/>
          <w:lang w:eastAsia="zh-TW"/>
        </w:rPr>
        <w:t xml:space="preserve">. The </w:t>
      </w:r>
      <w:r w:rsidR="00117389">
        <w:rPr>
          <w:rFonts w:ascii="Arial" w:hAnsi="Arial" w:cs="Arial"/>
          <w:bCs/>
          <w:sz w:val="20"/>
          <w:szCs w:val="20"/>
          <w:lang w:eastAsia="zh-TW"/>
        </w:rPr>
        <w:t>HKEX</w:t>
      </w:r>
      <w:r w:rsidR="000D2AA4" w:rsidRPr="000D2AA4">
        <w:rPr>
          <w:rFonts w:ascii="Arial" w:hAnsi="Arial" w:cs="Arial"/>
          <w:bCs/>
          <w:sz w:val="20"/>
          <w:szCs w:val="20"/>
          <w:lang w:eastAsia="zh-TW"/>
        </w:rPr>
        <w:t xml:space="preserve"> </w:t>
      </w:r>
      <w:r w:rsidR="00117389">
        <w:rPr>
          <w:rFonts w:ascii="Arial" w:hAnsi="Arial" w:cs="Arial"/>
          <w:bCs/>
          <w:sz w:val="20"/>
          <w:szCs w:val="20"/>
          <w:lang w:eastAsia="zh-TW"/>
        </w:rPr>
        <w:t>also acknowledge</w:t>
      </w:r>
      <w:r w:rsidR="00312438">
        <w:rPr>
          <w:rFonts w:ascii="Arial" w:hAnsi="Arial" w:cs="Arial"/>
          <w:bCs/>
          <w:sz w:val="20"/>
          <w:szCs w:val="20"/>
          <w:lang w:eastAsia="zh-TW"/>
        </w:rPr>
        <w:t>s</w:t>
      </w:r>
      <w:r w:rsidR="000D2AA4" w:rsidRPr="000D2AA4">
        <w:rPr>
          <w:rFonts w:ascii="Arial" w:hAnsi="Arial" w:cs="Arial"/>
          <w:bCs/>
          <w:sz w:val="20"/>
          <w:szCs w:val="20"/>
          <w:lang w:eastAsia="zh-TW"/>
        </w:rPr>
        <w:t xml:space="preserve"> the differing </w:t>
      </w:r>
      <w:r w:rsidR="000D2AA4" w:rsidRPr="000D2AA4">
        <w:rPr>
          <w:rFonts w:ascii="Arial" w:hAnsi="Arial" w:cs="Arial"/>
          <w:bCs/>
          <w:sz w:val="20"/>
          <w:szCs w:val="20"/>
          <w:lang w:eastAsia="zh-TW"/>
        </w:rPr>
        <w:lastRenderedPageBreak/>
        <w:t>capabilities and preparedness of issuers</w:t>
      </w:r>
      <w:r>
        <w:rPr>
          <w:rFonts w:ascii="Arial" w:hAnsi="Arial" w:cs="Arial"/>
          <w:bCs/>
          <w:sz w:val="20"/>
          <w:szCs w:val="20"/>
          <w:lang w:eastAsia="zh-TW"/>
        </w:rPr>
        <w:t>,</w:t>
      </w:r>
      <w:r w:rsidR="000D2AA4" w:rsidRPr="000D2AA4">
        <w:rPr>
          <w:rFonts w:ascii="Arial" w:hAnsi="Arial" w:cs="Arial"/>
          <w:bCs/>
          <w:sz w:val="20"/>
          <w:szCs w:val="20"/>
          <w:lang w:eastAsia="zh-TW"/>
        </w:rPr>
        <w:t xml:space="preserve"> and intends to take a measured approach </w:t>
      </w:r>
      <w:r w:rsidR="00E712D6">
        <w:rPr>
          <w:rFonts w:ascii="Arial" w:hAnsi="Arial" w:cs="Arial"/>
          <w:bCs/>
          <w:sz w:val="20"/>
          <w:szCs w:val="20"/>
          <w:lang w:eastAsia="zh-TW"/>
        </w:rPr>
        <w:t xml:space="preserve">in </w:t>
      </w:r>
      <w:r w:rsidR="000D2AA4" w:rsidRPr="000D2AA4">
        <w:rPr>
          <w:rFonts w:ascii="Arial" w:hAnsi="Arial" w:cs="Arial"/>
          <w:bCs/>
          <w:sz w:val="20"/>
          <w:szCs w:val="20"/>
          <w:lang w:eastAsia="zh-TW"/>
        </w:rPr>
        <w:t xml:space="preserve">implementing ESG-related requirements </w:t>
      </w:r>
      <w:r w:rsidR="00E712D6">
        <w:rPr>
          <w:rFonts w:ascii="Arial" w:hAnsi="Arial" w:cs="Arial"/>
          <w:bCs/>
          <w:sz w:val="20"/>
          <w:szCs w:val="20"/>
          <w:lang w:eastAsia="zh-TW"/>
        </w:rPr>
        <w:t xml:space="preserve">for </w:t>
      </w:r>
      <w:r w:rsidRPr="000D2AA4">
        <w:rPr>
          <w:rFonts w:ascii="Arial" w:hAnsi="Arial" w:cs="Arial"/>
          <w:bCs/>
          <w:sz w:val="20"/>
          <w:szCs w:val="20"/>
          <w:lang w:eastAsia="zh-TW"/>
        </w:rPr>
        <w:t>GEM issuers</w:t>
      </w:r>
      <w:r>
        <w:rPr>
          <w:rFonts w:ascii="Arial" w:hAnsi="Arial" w:cs="Arial"/>
          <w:bCs/>
          <w:sz w:val="20"/>
          <w:szCs w:val="20"/>
          <w:lang w:eastAsia="zh-TW"/>
        </w:rPr>
        <w:t xml:space="preserve"> </w:t>
      </w:r>
      <w:r w:rsidR="000D2AA4" w:rsidRPr="000D2AA4">
        <w:rPr>
          <w:rFonts w:ascii="Arial" w:hAnsi="Arial" w:cs="Arial"/>
          <w:bCs/>
          <w:sz w:val="20"/>
          <w:szCs w:val="20"/>
          <w:lang w:eastAsia="zh-TW"/>
        </w:rPr>
        <w:t>that are proportionate to their circumstances.</w:t>
      </w:r>
    </w:p>
    <w:p w:rsidR="00117389" w:rsidRDefault="00117389" w:rsidP="00117389">
      <w:pPr>
        <w:snapToGrid w:val="0"/>
        <w:spacing w:after="0" w:line="240" w:lineRule="auto"/>
        <w:ind w:left="709"/>
        <w:jc w:val="both"/>
        <w:rPr>
          <w:rFonts w:ascii="Arial" w:hAnsi="Arial" w:cs="Arial"/>
          <w:bCs/>
          <w:sz w:val="20"/>
          <w:szCs w:val="20"/>
          <w:lang w:eastAsia="zh-TW"/>
        </w:rPr>
      </w:pPr>
    </w:p>
    <w:p w:rsidR="00117389" w:rsidRDefault="00117389" w:rsidP="00117389">
      <w:pPr>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 xml:space="preserve">The HKEX will </w:t>
      </w:r>
      <w:r w:rsidR="00FB7538">
        <w:rPr>
          <w:rFonts w:ascii="Arial" w:hAnsi="Arial" w:cs="Arial"/>
          <w:bCs/>
          <w:sz w:val="20"/>
          <w:szCs w:val="20"/>
          <w:lang w:eastAsia="zh-TW"/>
        </w:rPr>
        <w:t xml:space="preserve">further </w:t>
      </w:r>
      <w:r>
        <w:rPr>
          <w:rFonts w:ascii="Arial" w:hAnsi="Arial" w:cs="Arial"/>
          <w:bCs/>
          <w:sz w:val="20"/>
          <w:szCs w:val="20"/>
          <w:lang w:eastAsia="zh-TW"/>
        </w:rPr>
        <w:t xml:space="preserve">update the market as to </w:t>
      </w:r>
      <w:r w:rsidR="00E712D6">
        <w:rPr>
          <w:rFonts w:ascii="Arial" w:hAnsi="Arial" w:cs="Arial"/>
          <w:bCs/>
          <w:sz w:val="20"/>
          <w:szCs w:val="20"/>
          <w:lang w:eastAsia="zh-TW"/>
        </w:rPr>
        <w:t>its</w:t>
      </w:r>
      <w:r>
        <w:rPr>
          <w:rFonts w:ascii="Arial" w:hAnsi="Arial" w:cs="Arial"/>
          <w:bCs/>
          <w:sz w:val="20"/>
          <w:szCs w:val="20"/>
          <w:lang w:eastAsia="zh-TW"/>
        </w:rPr>
        <w:t xml:space="preserve"> thinking on this topic in due course.</w:t>
      </w:r>
    </w:p>
    <w:p w:rsidR="00124810" w:rsidRDefault="00124810" w:rsidP="00117389">
      <w:pPr>
        <w:snapToGrid w:val="0"/>
        <w:spacing w:after="0" w:line="240" w:lineRule="auto"/>
        <w:ind w:left="709"/>
        <w:jc w:val="both"/>
        <w:rPr>
          <w:rFonts w:ascii="Arial" w:hAnsi="Arial" w:cs="Arial"/>
          <w:bCs/>
          <w:sz w:val="20"/>
          <w:szCs w:val="20"/>
          <w:lang w:eastAsia="zh-TW"/>
        </w:rPr>
      </w:pPr>
    </w:p>
    <w:p w:rsidR="00124810" w:rsidRDefault="00124810" w:rsidP="00124810">
      <w:pPr>
        <w:pStyle w:val="a4"/>
        <w:numPr>
          <w:ilvl w:val="0"/>
          <w:numId w:val="30"/>
        </w:numPr>
        <w:snapToGrid w:val="0"/>
        <w:spacing w:after="0" w:line="240" w:lineRule="auto"/>
        <w:ind w:left="709"/>
        <w:jc w:val="both"/>
        <w:rPr>
          <w:rFonts w:ascii="Arial" w:hAnsi="Arial" w:cs="Arial"/>
          <w:b/>
          <w:bCs/>
          <w:sz w:val="20"/>
          <w:szCs w:val="20"/>
          <w:lang w:eastAsia="zh-TW"/>
        </w:rPr>
      </w:pPr>
      <w:r w:rsidRPr="00124810">
        <w:rPr>
          <w:rFonts w:ascii="Arial" w:hAnsi="Arial" w:cs="Arial"/>
          <w:b/>
          <w:bCs/>
          <w:sz w:val="20"/>
          <w:szCs w:val="20"/>
          <w:lang w:eastAsia="zh-TW"/>
        </w:rPr>
        <w:t>TRANSFERS TO THE MAIN BOARD</w:t>
      </w:r>
    </w:p>
    <w:p w:rsidR="00124810" w:rsidRDefault="00124810" w:rsidP="00124810">
      <w:pPr>
        <w:pStyle w:val="a4"/>
        <w:snapToGrid w:val="0"/>
        <w:spacing w:after="0" w:line="240" w:lineRule="auto"/>
        <w:ind w:left="709"/>
        <w:jc w:val="both"/>
        <w:rPr>
          <w:rFonts w:ascii="Arial" w:hAnsi="Arial" w:cs="Arial"/>
          <w:b/>
          <w:bCs/>
          <w:sz w:val="20"/>
          <w:szCs w:val="20"/>
          <w:lang w:eastAsia="zh-TW"/>
        </w:rPr>
      </w:pPr>
    </w:p>
    <w:p w:rsidR="006C6B14" w:rsidRDefault="00312438" w:rsidP="00124810">
      <w:pPr>
        <w:pStyle w:val="a4"/>
        <w:snapToGrid w:val="0"/>
        <w:spacing w:after="0" w:line="240" w:lineRule="auto"/>
        <w:ind w:left="709"/>
        <w:jc w:val="both"/>
        <w:rPr>
          <w:rFonts w:ascii="Arial" w:hAnsi="Arial" w:cs="Arial"/>
          <w:b/>
          <w:bCs/>
          <w:sz w:val="20"/>
          <w:szCs w:val="20"/>
          <w:lang w:eastAsia="zh-TW"/>
        </w:rPr>
      </w:pPr>
      <w:r>
        <w:rPr>
          <w:rFonts w:ascii="Arial" w:hAnsi="Arial" w:cs="Arial"/>
          <w:b/>
          <w:bCs/>
          <w:sz w:val="20"/>
          <w:szCs w:val="20"/>
          <w:lang w:eastAsia="zh-TW"/>
        </w:rPr>
        <w:t xml:space="preserve">Proposed new </w:t>
      </w:r>
      <w:r w:rsidR="006C6B14">
        <w:rPr>
          <w:rFonts w:ascii="Arial" w:hAnsi="Arial" w:cs="Arial"/>
          <w:b/>
          <w:bCs/>
          <w:sz w:val="20"/>
          <w:szCs w:val="20"/>
          <w:lang w:eastAsia="zh-TW"/>
        </w:rPr>
        <w:t>streamlined transfer mechanism</w:t>
      </w:r>
    </w:p>
    <w:p w:rsidR="00CF0649" w:rsidRDefault="00CF0649" w:rsidP="00124810">
      <w:pPr>
        <w:pStyle w:val="a4"/>
        <w:snapToGrid w:val="0"/>
        <w:spacing w:after="0" w:line="240" w:lineRule="auto"/>
        <w:ind w:left="709"/>
        <w:jc w:val="both"/>
        <w:rPr>
          <w:rFonts w:ascii="Arial" w:hAnsi="Arial" w:cs="Arial"/>
          <w:bCs/>
          <w:sz w:val="20"/>
          <w:szCs w:val="20"/>
          <w:lang w:eastAsia="zh-TW"/>
        </w:rPr>
      </w:pPr>
    </w:p>
    <w:p w:rsidR="00FB7538" w:rsidRDefault="00203A13" w:rsidP="00203A13">
      <w:pPr>
        <w:pStyle w:val="a4"/>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The HKEX</w:t>
      </w:r>
      <w:r w:rsidRPr="007D116B">
        <w:rPr>
          <w:rFonts w:ascii="Arial" w:hAnsi="Arial" w:cs="Arial"/>
          <w:bCs/>
          <w:sz w:val="20"/>
          <w:szCs w:val="20"/>
          <w:lang w:eastAsia="zh-TW"/>
        </w:rPr>
        <w:t xml:space="preserve"> propose</w:t>
      </w:r>
      <w:r w:rsidR="00FB7538">
        <w:rPr>
          <w:rFonts w:ascii="Arial" w:hAnsi="Arial" w:cs="Arial"/>
          <w:bCs/>
          <w:sz w:val="20"/>
          <w:szCs w:val="20"/>
          <w:lang w:eastAsia="zh-TW"/>
        </w:rPr>
        <w:t>s</w:t>
      </w:r>
      <w:r w:rsidRPr="007D116B">
        <w:rPr>
          <w:rFonts w:ascii="Arial" w:hAnsi="Arial" w:cs="Arial"/>
          <w:bCs/>
          <w:sz w:val="20"/>
          <w:szCs w:val="20"/>
          <w:lang w:eastAsia="zh-TW"/>
        </w:rPr>
        <w:t xml:space="preserve"> to implement </w:t>
      </w:r>
      <w:r>
        <w:rPr>
          <w:rFonts w:ascii="Arial" w:hAnsi="Arial" w:cs="Arial"/>
          <w:bCs/>
          <w:sz w:val="20"/>
          <w:szCs w:val="20"/>
          <w:lang w:eastAsia="zh-TW"/>
        </w:rPr>
        <w:t>a streamlined transfer mechanism (</w:t>
      </w:r>
      <w:r w:rsidRPr="00203A13">
        <w:rPr>
          <w:rFonts w:ascii="Arial" w:hAnsi="Arial" w:cs="Arial"/>
          <w:b/>
          <w:bCs/>
          <w:sz w:val="20"/>
          <w:szCs w:val="20"/>
          <w:lang w:eastAsia="zh-TW"/>
        </w:rPr>
        <w:t>Streamlined Transfer Mechanism</w:t>
      </w:r>
      <w:r>
        <w:rPr>
          <w:rFonts w:ascii="Arial" w:hAnsi="Arial" w:cs="Arial"/>
          <w:bCs/>
          <w:sz w:val="20"/>
          <w:szCs w:val="20"/>
          <w:lang w:eastAsia="zh-TW"/>
        </w:rPr>
        <w:t xml:space="preserve">) </w:t>
      </w:r>
      <w:r w:rsidRPr="007D116B">
        <w:rPr>
          <w:rFonts w:ascii="Arial" w:hAnsi="Arial" w:cs="Arial"/>
          <w:bCs/>
          <w:sz w:val="20"/>
          <w:szCs w:val="20"/>
          <w:lang w:eastAsia="zh-TW"/>
        </w:rPr>
        <w:t xml:space="preserve">with modifications </w:t>
      </w:r>
      <w:r w:rsidR="00E712D6">
        <w:rPr>
          <w:rFonts w:ascii="Arial" w:hAnsi="Arial" w:cs="Arial"/>
          <w:bCs/>
          <w:sz w:val="20"/>
          <w:szCs w:val="20"/>
          <w:lang w:eastAsia="zh-TW"/>
        </w:rPr>
        <w:t>t</w:t>
      </w:r>
      <w:r w:rsidRPr="007D116B">
        <w:rPr>
          <w:rFonts w:ascii="Arial" w:hAnsi="Arial" w:cs="Arial"/>
          <w:bCs/>
          <w:sz w:val="20"/>
          <w:szCs w:val="20"/>
          <w:lang w:eastAsia="zh-TW"/>
        </w:rPr>
        <w:t>o the eligibility requirements to enable qualified GEM issuers</w:t>
      </w:r>
      <w:r>
        <w:rPr>
          <w:rFonts w:ascii="Arial" w:hAnsi="Arial" w:cs="Arial"/>
          <w:bCs/>
          <w:sz w:val="20"/>
          <w:szCs w:val="20"/>
          <w:lang w:eastAsia="zh-TW"/>
        </w:rPr>
        <w:t xml:space="preserve"> (</w:t>
      </w:r>
      <w:proofErr w:type="gramStart"/>
      <w:r>
        <w:rPr>
          <w:rFonts w:ascii="Arial" w:hAnsi="Arial" w:cs="Arial"/>
          <w:bCs/>
          <w:sz w:val="20"/>
          <w:szCs w:val="20"/>
          <w:lang w:eastAsia="zh-TW"/>
        </w:rPr>
        <w:t>i.e.</w:t>
      </w:r>
      <w:proofErr w:type="gramEnd"/>
      <w:r>
        <w:rPr>
          <w:rFonts w:ascii="Arial" w:hAnsi="Arial" w:cs="Arial"/>
          <w:bCs/>
          <w:sz w:val="20"/>
          <w:szCs w:val="20"/>
          <w:lang w:eastAsia="zh-TW"/>
        </w:rPr>
        <w:t xml:space="preserve"> those who meet all the qualification</w:t>
      </w:r>
      <w:r w:rsidR="00E712D6">
        <w:rPr>
          <w:rFonts w:ascii="Arial" w:hAnsi="Arial" w:cs="Arial"/>
          <w:bCs/>
          <w:sz w:val="20"/>
          <w:szCs w:val="20"/>
          <w:lang w:eastAsia="zh-TW"/>
        </w:rPr>
        <w:t>s</w:t>
      </w:r>
      <w:r>
        <w:rPr>
          <w:rFonts w:ascii="Arial" w:hAnsi="Arial" w:cs="Arial"/>
          <w:bCs/>
          <w:sz w:val="20"/>
          <w:szCs w:val="20"/>
          <w:lang w:eastAsia="zh-TW"/>
        </w:rPr>
        <w:t xml:space="preserve"> for listing on the Main Board as per </w:t>
      </w:r>
      <w:r w:rsidRPr="007B67DB">
        <w:rPr>
          <w:rFonts w:ascii="Arial" w:hAnsi="Arial" w:cs="Arial"/>
          <w:bCs/>
          <w:sz w:val="20"/>
          <w:szCs w:val="20"/>
          <w:lang w:eastAsia="zh-TW"/>
        </w:rPr>
        <w:t>Rule 9A.02(1) of the Main Board Listing Rules</w:t>
      </w:r>
      <w:r>
        <w:rPr>
          <w:rFonts w:ascii="Arial" w:hAnsi="Arial" w:cs="Arial"/>
          <w:bCs/>
          <w:sz w:val="20"/>
          <w:szCs w:val="20"/>
          <w:lang w:eastAsia="zh-TW"/>
        </w:rPr>
        <w:t>)</w:t>
      </w:r>
      <w:r w:rsidRPr="007D116B">
        <w:rPr>
          <w:rFonts w:ascii="Arial" w:hAnsi="Arial" w:cs="Arial"/>
          <w:bCs/>
          <w:sz w:val="20"/>
          <w:szCs w:val="20"/>
          <w:lang w:eastAsia="zh-TW"/>
        </w:rPr>
        <w:t xml:space="preserve"> to transfer their listings to the Main Board. </w:t>
      </w:r>
    </w:p>
    <w:p w:rsidR="00FB7538" w:rsidRDefault="00FB7538" w:rsidP="00203A13">
      <w:pPr>
        <w:pStyle w:val="a4"/>
        <w:snapToGrid w:val="0"/>
        <w:spacing w:after="0" w:line="240" w:lineRule="auto"/>
        <w:ind w:left="709"/>
        <w:jc w:val="both"/>
        <w:rPr>
          <w:rFonts w:ascii="Arial" w:hAnsi="Arial" w:cs="Arial"/>
          <w:bCs/>
          <w:sz w:val="20"/>
          <w:szCs w:val="20"/>
          <w:lang w:eastAsia="zh-TW"/>
        </w:rPr>
      </w:pPr>
    </w:p>
    <w:p w:rsidR="00203A13" w:rsidRDefault="00203A13" w:rsidP="00203A13">
      <w:pPr>
        <w:pStyle w:val="a4"/>
        <w:snapToGrid w:val="0"/>
        <w:spacing w:after="0" w:line="240" w:lineRule="auto"/>
        <w:ind w:left="709"/>
        <w:jc w:val="both"/>
        <w:rPr>
          <w:rFonts w:ascii="Arial" w:hAnsi="Arial" w:cs="Arial"/>
          <w:bCs/>
          <w:sz w:val="20"/>
          <w:szCs w:val="20"/>
          <w:lang w:eastAsia="zh-TW"/>
        </w:rPr>
      </w:pPr>
      <w:r w:rsidRPr="007D116B">
        <w:rPr>
          <w:rFonts w:ascii="Arial" w:hAnsi="Arial" w:cs="Arial"/>
          <w:bCs/>
          <w:sz w:val="20"/>
          <w:szCs w:val="20"/>
          <w:lang w:eastAsia="zh-TW"/>
        </w:rPr>
        <w:t>A GEM issuer that cannot meet these eligibility requirements would still be able to apply for a transfer u</w:t>
      </w:r>
      <w:r>
        <w:rPr>
          <w:rFonts w:ascii="Arial" w:hAnsi="Arial" w:cs="Arial"/>
          <w:bCs/>
          <w:sz w:val="20"/>
          <w:szCs w:val="20"/>
          <w:lang w:eastAsia="zh-TW"/>
        </w:rPr>
        <w:t>nder the existing requirements</w:t>
      </w:r>
      <w:r w:rsidR="00FB7538">
        <w:rPr>
          <w:rFonts w:ascii="Arial" w:hAnsi="Arial" w:cs="Arial"/>
          <w:bCs/>
          <w:sz w:val="20"/>
          <w:szCs w:val="20"/>
          <w:lang w:eastAsia="zh-TW"/>
        </w:rPr>
        <w:t>, in which case</w:t>
      </w:r>
      <w:r w:rsidRPr="007D116B">
        <w:rPr>
          <w:rFonts w:ascii="Arial" w:hAnsi="Arial" w:cs="Arial"/>
          <w:bCs/>
          <w:sz w:val="20"/>
          <w:szCs w:val="20"/>
          <w:lang w:eastAsia="zh-TW"/>
        </w:rPr>
        <w:t xml:space="preserve"> </w:t>
      </w:r>
      <w:r w:rsidR="00FB7538">
        <w:rPr>
          <w:rFonts w:ascii="Arial" w:hAnsi="Arial" w:cs="Arial"/>
          <w:bCs/>
          <w:sz w:val="20"/>
          <w:szCs w:val="20"/>
          <w:lang w:eastAsia="zh-TW"/>
        </w:rPr>
        <w:t>t</w:t>
      </w:r>
      <w:r w:rsidRPr="007D116B">
        <w:rPr>
          <w:rFonts w:ascii="Arial" w:hAnsi="Arial" w:cs="Arial"/>
          <w:bCs/>
          <w:sz w:val="20"/>
          <w:szCs w:val="20"/>
          <w:lang w:eastAsia="zh-TW"/>
        </w:rPr>
        <w:t>he proposed requirements</w:t>
      </w:r>
      <w:r>
        <w:rPr>
          <w:rFonts w:ascii="Arial" w:hAnsi="Arial" w:cs="Arial"/>
          <w:bCs/>
          <w:sz w:val="20"/>
          <w:szCs w:val="20"/>
          <w:lang w:eastAsia="zh-TW"/>
        </w:rPr>
        <w:t xml:space="preserve"> for the Streamlined Transfer Mechanism</w:t>
      </w:r>
      <w:r w:rsidRPr="007D116B">
        <w:rPr>
          <w:rFonts w:ascii="Arial" w:hAnsi="Arial" w:cs="Arial"/>
          <w:bCs/>
          <w:sz w:val="20"/>
          <w:szCs w:val="20"/>
          <w:lang w:eastAsia="zh-TW"/>
        </w:rPr>
        <w:t xml:space="preserve"> w</w:t>
      </w:r>
      <w:r w:rsidR="00E712D6">
        <w:rPr>
          <w:rFonts w:ascii="Arial" w:hAnsi="Arial" w:cs="Arial"/>
          <w:bCs/>
          <w:sz w:val="20"/>
          <w:szCs w:val="20"/>
          <w:lang w:eastAsia="zh-TW"/>
        </w:rPr>
        <w:t>ould</w:t>
      </w:r>
      <w:r w:rsidRPr="007D116B">
        <w:rPr>
          <w:rFonts w:ascii="Arial" w:hAnsi="Arial" w:cs="Arial"/>
          <w:bCs/>
          <w:sz w:val="20"/>
          <w:szCs w:val="20"/>
          <w:lang w:eastAsia="zh-TW"/>
        </w:rPr>
        <w:t xml:space="preserve"> not apply to such an issuer.</w:t>
      </w:r>
    </w:p>
    <w:p w:rsidR="00203A13" w:rsidRDefault="00203A13" w:rsidP="00203A13">
      <w:pPr>
        <w:pStyle w:val="a4"/>
        <w:snapToGrid w:val="0"/>
        <w:spacing w:after="0" w:line="240" w:lineRule="auto"/>
        <w:ind w:left="709"/>
        <w:jc w:val="both"/>
        <w:rPr>
          <w:rFonts w:ascii="Arial" w:hAnsi="Arial" w:cs="Arial"/>
          <w:bCs/>
          <w:sz w:val="20"/>
          <w:szCs w:val="20"/>
          <w:lang w:eastAsia="zh-TW"/>
        </w:rPr>
      </w:pPr>
    </w:p>
    <w:p w:rsidR="00124810" w:rsidRDefault="00CF0649" w:rsidP="00124810">
      <w:pPr>
        <w:pStyle w:val="a4"/>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 xml:space="preserve">The HKEX believes that, as a result of the recent market quality reforms, the proposed introduction of </w:t>
      </w:r>
      <w:r w:rsidR="00203A13">
        <w:rPr>
          <w:rFonts w:ascii="Arial" w:hAnsi="Arial" w:cs="Arial"/>
          <w:bCs/>
          <w:sz w:val="20"/>
          <w:szCs w:val="20"/>
          <w:lang w:eastAsia="zh-TW"/>
        </w:rPr>
        <w:t>the</w:t>
      </w:r>
      <w:r>
        <w:rPr>
          <w:rFonts w:ascii="Arial" w:hAnsi="Arial" w:cs="Arial"/>
          <w:bCs/>
          <w:sz w:val="20"/>
          <w:szCs w:val="20"/>
          <w:lang w:eastAsia="zh-TW"/>
        </w:rPr>
        <w:t xml:space="preserve"> new </w:t>
      </w:r>
      <w:r w:rsidR="00203A13">
        <w:rPr>
          <w:rFonts w:ascii="Arial" w:hAnsi="Arial" w:cs="Arial"/>
          <w:bCs/>
          <w:sz w:val="20"/>
          <w:szCs w:val="20"/>
          <w:lang w:eastAsia="zh-TW"/>
        </w:rPr>
        <w:t>Streamlined T</w:t>
      </w:r>
      <w:r>
        <w:rPr>
          <w:rFonts w:ascii="Arial" w:hAnsi="Arial" w:cs="Arial"/>
          <w:bCs/>
          <w:sz w:val="20"/>
          <w:szCs w:val="20"/>
          <w:lang w:eastAsia="zh-TW"/>
        </w:rPr>
        <w:t xml:space="preserve">ransfer </w:t>
      </w:r>
      <w:r w:rsidR="00203A13">
        <w:rPr>
          <w:rFonts w:ascii="Arial" w:hAnsi="Arial" w:cs="Arial"/>
          <w:bCs/>
          <w:sz w:val="20"/>
          <w:szCs w:val="20"/>
          <w:lang w:eastAsia="zh-TW"/>
        </w:rPr>
        <w:t>M</w:t>
      </w:r>
      <w:r>
        <w:rPr>
          <w:rFonts w:ascii="Arial" w:hAnsi="Arial" w:cs="Arial"/>
          <w:bCs/>
          <w:sz w:val="20"/>
          <w:szCs w:val="20"/>
          <w:lang w:eastAsia="zh-TW"/>
        </w:rPr>
        <w:t>echanism</w:t>
      </w:r>
      <w:r w:rsidR="00203A13">
        <w:rPr>
          <w:rFonts w:ascii="Arial" w:hAnsi="Arial" w:cs="Arial"/>
          <w:bCs/>
          <w:sz w:val="20"/>
          <w:szCs w:val="20"/>
          <w:lang w:eastAsia="zh-TW"/>
        </w:rPr>
        <w:t xml:space="preserve"> </w:t>
      </w:r>
      <w:r>
        <w:rPr>
          <w:rFonts w:ascii="Arial" w:hAnsi="Arial" w:cs="Arial"/>
          <w:bCs/>
          <w:sz w:val="20"/>
          <w:szCs w:val="20"/>
          <w:lang w:eastAsia="zh-TW"/>
        </w:rPr>
        <w:t>would not lead to a recurrence of shell activities</w:t>
      </w:r>
      <w:r w:rsidR="00312438">
        <w:rPr>
          <w:rFonts w:ascii="Arial" w:hAnsi="Arial" w:cs="Arial"/>
          <w:bCs/>
          <w:sz w:val="20"/>
          <w:szCs w:val="20"/>
          <w:lang w:eastAsia="zh-TW"/>
        </w:rPr>
        <w:t xml:space="preserve">, but would </w:t>
      </w:r>
      <w:r w:rsidR="007D116B">
        <w:rPr>
          <w:rFonts w:ascii="Arial" w:hAnsi="Arial" w:cs="Arial"/>
          <w:bCs/>
          <w:sz w:val="20"/>
          <w:szCs w:val="20"/>
          <w:lang w:eastAsia="zh-TW"/>
        </w:rPr>
        <w:t>encourage issuers to list on GEM rather than wait to apply for listing on the Main Board directly.</w:t>
      </w:r>
    </w:p>
    <w:p w:rsidR="00044D6D" w:rsidRDefault="00044D6D" w:rsidP="00124810">
      <w:pPr>
        <w:pStyle w:val="a4"/>
        <w:snapToGrid w:val="0"/>
        <w:spacing w:after="0" w:line="240" w:lineRule="auto"/>
        <w:ind w:left="709"/>
        <w:jc w:val="both"/>
        <w:rPr>
          <w:rFonts w:ascii="Arial" w:hAnsi="Arial" w:cs="Arial"/>
          <w:bCs/>
          <w:sz w:val="20"/>
          <w:szCs w:val="20"/>
          <w:lang w:eastAsia="zh-TW"/>
        </w:rPr>
      </w:pPr>
    </w:p>
    <w:p w:rsidR="00044D6D" w:rsidRPr="006C6B14" w:rsidRDefault="00312438" w:rsidP="00124810">
      <w:pPr>
        <w:pStyle w:val="a4"/>
        <w:snapToGrid w:val="0"/>
        <w:spacing w:after="0" w:line="240" w:lineRule="auto"/>
        <w:ind w:left="709"/>
        <w:jc w:val="both"/>
        <w:rPr>
          <w:rFonts w:ascii="Arial" w:hAnsi="Arial" w:cs="Arial"/>
          <w:b/>
          <w:bCs/>
          <w:sz w:val="20"/>
          <w:szCs w:val="20"/>
          <w:lang w:eastAsia="zh-TW"/>
        </w:rPr>
      </w:pPr>
      <w:r>
        <w:rPr>
          <w:rFonts w:ascii="Arial" w:hAnsi="Arial" w:cs="Arial"/>
          <w:b/>
          <w:bCs/>
          <w:sz w:val="20"/>
          <w:szCs w:val="20"/>
          <w:lang w:eastAsia="zh-TW"/>
        </w:rPr>
        <w:t>Proposed</w:t>
      </w:r>
      <w:r w:rsidRPr="006C6B14">
        <w:rPr>
          <w:rFonts w:ascii="Arial" w:hAnsi="Arial" w:cs="Arial"/>
          <w:b/>
          <w:bCs/>
          <w:sz w:val="20"/>
          <w:szCs w:val="20"/>
          <w:lang w:eastAsia="zh-TW"/>
        </w:rPr>
        <w:t xml:space="preserve"> </w:t>
      </w:r>
      <w:r>
        <w:rPr>
          <w:rFonts w:ascii="Arial" w:hAnsi="Arial" w:cs="Arial"/>
          <w:b/>
          <w:bCs/>
          <w:sz w:val="20"/>
          <w:szCs w:val="20"/>
          <w:lang w:eastAsia="zh-TW"/>
        </w:rPr>
        <w:t>r</w:t>
      </w:r>
      <w:r w:rsidRPr="006C6B14">
        <w:rPr>
          <w:rFonts w:ascii="Arial" w:hAnsi="Arial" w:cs="Arial"/>
          <w:b/>
          <w:bCs/>
          <w:sz w:val="20"/>
          <w:szCs w:val="20"/>
          <w:lang w:eastAsia="zh-TW"/>
        </w:rPr>
        <w:t xml:space="preserve">emoval </w:t>
      </w:r>
      <w:r w:rsidR="00044D6D" w:rsidRPr="006C6B14">
        <w:rPr>
          <w:rFonts w:ascii="Arial" w:hAnsi="Arial" w:cs="Arial"/>
          <w:b/>
          <w:bCs/>
          <w:sz w:val="20"/>
          <w:szCs w:val="20"/>
          <w:lang w:eastAsia="zh-TW"/>
        </w:rPr>
        <w:t>of requirement to appoint a sponsor to carry out due diligence</w:t>
      </w:r>
    </w:p>
    <w:p w:rsidR="00044D6D" w:rsidRDefault="00044D6D" w:rsidP="00124810">
      <w:pPr>
        <w:pStyle w:val="a4"/>
        <w:snapToGrid w:val="0"/>
        <w:spacing w:after="0" w:line="240" w:lineRule="auto"/>
        <w:ind w:left="709"/>
        <w:jc w:val="both"/>
        <w:rPr>
          <w:rFonts w:ascii="Arial" w:hAnsi="Arial" w:cs="Arial"/>
          <w:bCs/>
          <w:sz w:val="20"/>
          <w:szCs w:val="20"/>
          <w:lang w:eastAsia="zh-TW"/>
        </w:rPr>
      </w:pPr>
    </w:p>
    <w:p w:rsidR="00FE2827" w:rsidRDefault="00312438" w:rsidP="00124810">
      <w:pPr>
        <w:pStyle w:val="a4"/>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 xml:space="preserve">A </w:t>
      </w:r>
      <w:r w:rsidR="00FE2827">
        <w:rPr>
          <w:rFonts w:ascii="Arial" w:hAnsi="Arial" w:cs="Arial"/>
          <w:bCs/>
          <w:sz w:val="20"/>
          <w:szCs w:val="20"/>
          <w:lang w:eastAsia="zh-TW"/>
        </w:rPr>
        <w:t>GEM issuer</w:t>
      </w:r>
      <w:r w:rsidR="00367394">
        <w:rPr>
          <w:rFonts w:ascii="Arial" w:hAnsi="Arial" w:cs="Arial"/>
          <w:bCs/>
          <w:sz w:val="20"/>
          <w:szCs w:val="20"/>
          <w:lang w:eastAsia="zh-TW"/>
        </w:rPr>
        <w:t xml:space="preserve"> </w:t>
      </w:r>
      <w:r>
        <w:rPr>
          <w:rFonts w:ascii="Arial" w:hAnsi="Arial" w:cs="Arial"/>
          <w:bCs/>
          <w:sz w:val="20"/>
          <w:szCs w:val="20"/>
          <w:lang w:eastAsia="zh-TW"/>
        </w:rPr>
        <w:t>would not be required under the</w:t>
      </w:r>
      <w:r w:rsidR="006B7DE6">
        <w:rPr>
          <w:rFonts w:ascii="Arial" w:hAnsi="Arial" w:cs="Arial"/>
          <w:bCs/>
          <w:sz w:val="20"/>
          <w:szCs w:val="20"/>
          <w:lang w:eastAsia="zh-TW"/>
        </w:rPr>
        <w:t xml:space="preserve"> proposed</w:t>
      </w:r>
      <w:r>
        <w:rPr>
          <w:rFonts w:ascii="Arial" w:hAnsi="Arial" w:cs="Arial"/>
          <w:bCs/>
          <w:sz w:val="20"/>
          <w:szCs w:val="20"/>
          <w:lang w:eastAsia="zh-TW"/>
        </w:rPr>
        <w:t xml:space="preserve"> Streamlined Transfer Mechanism </w:t>
      </w:r>
      <w:r w:rsidR="00367394">
        <w:rPr>
          <w:rFonts w:ascii="Arial" w:hAnsi="Arial" w:cs="Arial"/>
          <w:bCs/>
          <w:sz w:val="20"/>
          <w:szCs w:val="20"/>
          <w:lang w:eastAsia="zh-TW"/>
        </w:rPr>
        <w:t>to</w:t>
      </w:r>
      <w:r w:rsidR="00FE2827">
        <w:rPr>
          <w:rFonts w:ascii="Arial" w:hAnsi="Arial" w:cs="Arial"/>
          <w:bCs/>
          <w:sz w:val="20"/>
          <w:szCs w:val="20"/>
          <w:lang w:eastAsia="zh-TW"/>
        </w:rPr>
        <w:t xml:space="preserve"> appoint a sponsor to carry out relevant investigations and due diligence work prior to its transfer. </w:t>
      </w:r>
      <w:r w:rsidR="00FB7538">
        <w:rPr>
          <w:rFonts w:ascii="Arial" w:hAnsi="Arial" w:cs="Arial"/>
          <w:bCs/>
          <w:sz w:val="20"/>
          <w:szCs w:val="20"/>
          <w:lang w:eastAsia="zh-TW"/>
        </w:rPr>
        <w:t>The p</w:t>
      </w:r>
      <w:r w:rsidR="00FE2827">
        <w:rPr>
          <w:rFonts w:ascii="Arial" w:hAnsi="Arial" w:cs="Arial"/>
          <w:bCs/>
          <w:sz w:val="20"/>
          <w:szCs w:val="20"/>
          <w:lang w:eastAsia="zh-TW"/>
        </w:rPr>
        <w:t>urpose</w:t>
      </w:r>
      <w:r w:rsidR="00FB7538">
        <w:rPr>
          <w:rFonts w:ascii="Arial" w:hAnsi="Arial" w:cs="Arial"/>
          <w:bCs/>
          <w:sz w:val="20"/>
          <w:szCs w:val="20"/>
          <w:lang w:eastAsia="zh-TW"/>
        </w:rPr>
        <w:t xml:space="preserve"> of </w:t>
      </w:r>
      <w:r w:rsidR="00367394">
        <w:rPr>
          <w:rFonts w:ascii="Arial" w:hAnsi="Arial" w:cs="Arial"/>
          <w:bCs/>
          <w:sz w:val="20"/>
          <w:szCs w:val="20"/>
          <w:lang w:eastAsia="zh-TW"/>
        </w:rPr>
        <w:t>this</w:t>
      </w:r>
      <w:r w:rsidR="00FB7538">
        <w:rPr>
          <w:rFonts w:ascii="Arial" w:hAnsi="Arial" w:cs="Arial"/>
          <w:bCs/>
          <w:sz w:val="20"/>
          <w:szCs w:val="20"/>
          <w:lang w:eastAsia="zh-TW"/>
        </w:rPr>
        <w:t xml:space="preserve"> amendment</w:t>
      </w:r>
      <w:r w:rsidR="00FE2827">
        <w:rPr>
          <w:rFonts w:ascii="Arial" w:hAnsi="Arial" w:cs="Arial"/>
          <w:bCs/>
          <w:sz w:val="20"/>
          <w:szCs w:val="20"/>
          <w:lang w:eastAsia="zh-TW"/>
        </w:rPr>
        <w:t xml:space="preserve"> is to reduce costs for a GEM transferee that has been a listed GEM issuer for a minimum of </w:t>
      </w:r>
      <w:r w:rsidR="00367394">
        <w:rPr>
          <w:rFonts w:ascii="Arial" w:hAnsi="Arial" w:cs="Arial"/>
          <w:bCs/>
          <w:sz w:val="20"/>
          <w:szCs w:val="20"/>
          <w:lang w:eastAsia="zh-TW"/>
        </w:rPr>
        <w:t>three</w:t>
      </w:r>
      <w:r w:rsidR="00FE2827">
        <w:rPr>
          <w:rFonts w:ascii="Arial" w:hAnsi="Arial" w:cs="Arial"/>
          <w:bCs/>
          <w:sz w:val="20"/>
          <w:szCs w:val="20"/>
          <w:lang w:eastAsia="zh-TW"/>
        </w:rPr>
        <w:t xml:space="preserve"> full financial years and has not had a change in its principal business or ownership during that time. </w:t>
      </w:r>
    </w:p>
    <w:p w:rsidR="00FE2827" w:rsidRDefault="00FE2827" w:rsidP="00124810">
      <w:pPr>
        <w:pStyle w:val="a4"/>
        <w:snapToGrid w:val="0"/>
        <w:spacing w:after="0" w:line="240" w:lineRule="auto"/>
        <w:ind w:left="709"/>
        <w:jc w:val="both"/>
        <w:rPr>
          <w:rFonts w:ascii="Arial" w:hAnsi="Arial" w:cs="Arial"/>
          <w:bCs/>
          <w:sz w:val="20"/>
          <w:szCs w:val="20"/>
          <w:lang w:eastAsia="zh-TW"/>
        </w:rPr>
      </w:pPr>
    </w:p>
    <w:p w:rsidR="00044D6D" w:rsidRDefault="00FE2827" w:rsidP="00124810">
      <w:pPr>
        <w:pStyle w:val="a4"/>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 xml:space="preserve">As GEM issuers </w:t>
      </w:r>
      <w:r w:rsidR="006B7DE6">
        <w:rPr>
          <w:rFonts w:ascii="Arial" w:hAnsi="Arial" w:cs="Arial"/>
          <w:bCs/>
          <w:sz w:val="20"/>
          <w:szCs w:val="20"/>
          <w:lang w:eastAsia="zh-TW"/>
        </w:rPr>
        <w:t xml:space="preserve">would </w:t>
      </w:r>
      <w:r>
        <w:rPr>
          <w:rFonts w:ascii="Arial" w:hAnsi="Arial" w:cs="Arial"/>
          <w:bCs/>
          <w:sz w:val="20"/>
          <w:szCs w:val="20"/>
          <w:lang w:eastAsia="zh-TW"/>
        </w:rPr>
        <w:t>already</w:t>
      </w:r>
      <w:r w:rsidR="006B7DE6">
        <w:rPr>
          <w:rFonts w:ascii="Arial" w:hAnsi="Arial" w:cs="Arial"/>
          <w:bCs/>
          <w:sz w:val="20"/>
          <w:szCs w:val="20"/>
          <w:lang w:eastAsia="zh-TW"/>
        </w:rPr>
        <w:t xml:space="preserve"> have</w:t>
      </w:r>
      <w:r>
        <w:rPr>
          <w:rFonts w:ascii="Arial" w:hAnsi="Arial" w:cs="Arial"/>
          <w:bCs/>
          <w:sz w:val="20"/>
          <w:szCs w:val="20"/>
          <w:lang w:eastAsia="zh-TW"/>
        </w:rPr>
        <w:t xml:space="preserve"> been subject to a due diligence process and mandatory disclosure and audit requirements under the GEM Listing Rules</w:t>
      </w:r>
      <w:r w:rsidR="006B7DE6">
        <w:rPr>
          <w:rFonts w:ascii="Arial" w:hAnsi="Arial" w:cs="Arial"/>
          <w:bCs/>
          <w:sz w:val="20"/>
          <w:szCs w:val="20"/>
          <w:lang w:eastAsia="zh-TW"/>
        </w:rPr>
        <w:t xml:space="preserve"> prior to its transfer</w:t>
      </w:r>
      <w:r>
        <w:rPr>
          <w:rFonts w:ascii="Arial" w:hAnsi="Arial" w:cs="Arial"/>
          <w:bCs/>
          <w:sz w:val="20"/>
          <w:szCs w:val="20"/>
          <w:lang w:eastAsia="zh-TW"/>
        </w:rPr>
        <w:t xml:space="preserve">, the HKEX believes that </w:t>
      </w:r>
      <w:r w:rsidR="00367394">
        <w:rPr>
          <w:rFonts w:ascii="Arial" w:hAnsi="Arial" w:cs="Arial"/>
          <w:bCs/>
          <w:sz w:val="20"/>
          <w:szCs w:val="20"/>
          <w:lang w:eastAsia="zh-TW"/>
        </w:rPr>
        <w:t xml:space="preserve">its </w:t>
      </w:r>
      <w:r>
        <w:rPr>
          <w:rFonts w:ascii="Arial" w:hAnsi="Arial" w:cs="Arial"/>
          <w:bCs/>
          <w:sz w:val="20"/>
          <w:szCs w:val="20"/>
          <w:lang w:eastAsia="zh-TW"/>
        </w:rPr>
        <w:t xml:space="preserve">compliance over a </w:t>
      </w:r>
      <w:r w:rsidR="00367394">
        <w:rPr>
          <w:rFonts w:ascii="Arial" w:hAnsi="Arial" w:cs="Arial"/>
          <w:bCs/>
          <w:sz w:val="20"/>
          <w:szCs w:val="20"/>
          <w:lang w:eastAsia="zh-TW"/>
        </w:rPr>
        <w:t>three</w:t>
      </w:r>
      <w:r>
        <w:rPr>
          <w:rFonts w:ascii="Arial" w:hAnsi="Arial" w:cs="Arial"/>
          <w:bCs/>
          <w:sz w:val="20"/>
          <w:szCs w:val="20"/>
          <w:lang w:eastAsia="zh-TW"/>
        </w:rPr>
        <w:t xml:space="preserve">-year period should mitigate risks that the existing sponsor appointment </w:t>
      </w:r>
      <w:r w:rsidR="00FB7538">
        <w:rPr>
          <w:rFonts w:ascii="Arial" w:hAnsi="Arial" w:cs="Arial"/>
          <w:bCs/>
          <w:sz w:val="20"/>
          <w:szCs w:val="20"/>
          <w:lang w:eastAsia="zh-TW"/>
        </w:rPr>
        <w:t xml:space="preserve">requirement </w:t>
      </w:r>
      <w:r>
        <w:rPr>
          <w:rFonts w:ascii="Arial" w:hAnsi="Arial" w:cs="Arial"/>
          <w:bCs/>
          <w:sz w:val="20"/>
          <w:szCs w:val="20"/>
          <w:lang w:eastAsia="zh-TW"/>
        </w:rPr>
        <w:t>seeks to address.</w:t>
      </w:r>
    </w:p>
    <w:p w:rsidR="00FE2827" w:rsidRDefault="00FE2827" w:rsidP="00124810">
      <w:pPr>
        <w:pStyle w:val="a4"/>
        <w:snapToGrid w:val="0"/>
        <w:spacing w:after="0" w:line="240" w:lineRule="auto"/>
        <w:ind w:left="709"/>
        <w:jc w:val="both"/>
        <w:rPr>
          <w:rFonts w:ascii="Arial" w:hAnsi="Arial" w:cs="Arial"/>
          <w:bCs/>
          <w:sz w:val="20"/>
          <w:szCs w:val="20"/>
          <w:lang w:eastAsia="zh-TW"/>
        </w:rPr>
      </w:pPr>
    </w:p>
    <w:p w:rsidR="00FE2827" w:rsidRPr="006C6B14" w:rsidRDefault="00312438" w:rsidP="00124810">
      <w:pPr>
        <w:pStyle w:val="a4"/>
        <w:snapToGrid w:val="0"/>
        <w:spacing w:after="0" w:line="240" w:lineRule="auto"/>
        <w:ind w:left="709"/>
        <w:jc w:val="both"/>
        <w:rPr>
          <w:rFonts w:ascii="Arial" w:hAnsi="Arial" w:cs="Arial"/>
          <w:b/>
          <w:bCs/>
          <w:sz w:val="20"/>
          <w:szCs w:val="20"/>
          <w:lang w:eastAsia="zh-TW"/>
        </w:rPr>
      </w:pPr>
      <w:r>
        <w:rPr>
          <w:rFonts w:ascii="Arial" w:hAnsi="Arial" w:cs="Arial"/>
          <w:b/>
          <w:bCs/>
          <w:sz w:val="20"/>
          <w:szCs w:val="20"/>
          <w:lang w:eastAsia="zh-TW"/>
        </w:rPr>
        <w:t>Proposed</w:t>
      </w:r>
      <w:r w:rsidRPr="006C6B14">
        <w:rPr>
          <w:rFonts w:ascii="Arial" w:hAnsi="Arial" w:cs="Arial"/>
          <w:b/>
          <w:bCs/>
          <w:sz w:val="20"/>
          <w:szCs w:val="20"/>
          <w:lang w:eastAsia="zh-TW"/>
        </w:rPr>
        <w:t xml:space="preserve"> </w:t>
      </w:r>
      <w:r>
        <w:rPr>
          <w:rFonts w:ascii="Arial" w:hAnsi="Arial" w:cs="Arial"/>
          <w:b/>
          <w:bCs/>
          <w:sz w:val="20"/>
          <w:szCs w:val="20"/>
          <w:lang w:eastAsia="zh-TW"/>
        </w:rPr>
        <w:t>r</w:t>
      </w:r>
      <w:r w:rsidRPr="006C6B14">
        <w:rPr>
          <w:rFonts w:ascii="Arial" w:hAnsi="Arial" w:cs="Arial"/>
          <w:b/>
          <w:bCs/>
          <w:sz w:val="20"/>
          <w:szCs w:val="20"/>
          <w:lang w:eastAsia="zh-TW"/>
        </w:rPr>
        <w:t xml:space="preserve">emoval </w:t>
      </w:r>
      <w:r w:rsidR="00D04683" w:rsidRPr="006C6B14">
        <w:rPr>
          <w:rFonts w:ascii="Arial" w:hAnsi="Arial" w:cs="Arial"/>
          <w:b/>
          <w:bCs/>
          <w:sz w:val="20"/>
          <w:szCs w:val="20"/>
          <w:lang w:eastAsia="zh-TW"/>
        </w:rPr>
        <w:t>of requirement for a “prospectus-standard” listing document</w:t>
      </w:r>
    </w:p>
    <w:p w:rsidR="00D04683" w:rsidRDefault="00D04683" w:rsidP="00124810">
      <w:pPr>
        <w:pStyle w:val="a4"/>
        <w:snapToGrid w:val="0"/>
        <w:spacing w:after="0" w:line="240" w:lineRule="auto"/>
        <w:ind w:left="709"/>
        <w:jc w:val="both"/>
        <w:rPr>
          <w:rFonts w:ascii="Arial" w:hAnsi="Arial" w:cs="Arial"/>
          <w:bCs/>
          <w:sz w:val="20"/>
          <w:szCs w:val="20"/>
          <w:lang w:eastAsia="zh-TW"/>
        </w:rPr>
      </w:pPr>
    </w:p>
    <w:p w:rsidR="003B3C5F" w:rsidRDefault="003B3C5F" w:rsidP="003B3C5F">
      <w:pPr>
        <w:pStyle w:val="a4"/>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 xml:space="preserve">The HKEX considers that, given the requirement for at least a </w:t>
      </w:r>
      <w:r w:rsidR="00367394">
        <w:rPr>
          <w:rFonts w:ascii="Arial" w:hAnsi="Arial" w:cs="Arial"/>
          <w:bCs/>
          <w:sz w:val="20"/>
          <w:szCs w:val="20"/>
          <w:lang w:eastAsia="zh-TW"/>
        </w:rPr>
        <w:t>three</w:t>
      </w:r>
      <w:r>
        <w:rPr>
          <w:rFonts w:ascii="Arial" w:hAnsi="Arial" w:cs="Arial"/>
          <w:bCs/>
          <w:sz w:val="20"/>
          <w:szCs w:val="20"/>
          <w:lang w:eastAsia="zh-TW"/>
        </w:rPr>
        <w:t>-year track record period prior to the transfer</w:t>
      </w:r>
      <w:r w:rsidR="006132A8">
        <w:rPr>
          <w:rFonts w:ascii="Arial" w:hAnsi="Arial" w:cs="Arial"/>
          <w:bCs/>
          <w:sz w:val="20"/>
          <w:szCs w:val="20"/>
          <w:lang w:eastAsia="zh-TW"/>
        </w:rPr>
        <w:t xml:space="preserve"> (instead of only </w:t>
      </w:r>
      <w:r w:rsidR="00FB7538">
        <w:rPr>
          <w:rFonts w:ascii="Arial" w:hAnsi="Arial" w:cs="Arial"/>
          <w:bCs/>
          <w:sz w:val="20"/>
          <w:szCs w:val="20"/>
          <w:lang w:eastAsia="zh-TW"/>
        </w:rPr>
        <w:t>one</w:t>
      </w:r>
      <w:r w:rsidR="006132A8">
        <w:rPr>
          <w:rFonts w:ascii="Arial" w:hAnsi="Arial" w:cs="Arial"/>
          <w:bCs/>
          <w:sz w:val="20"/>
          <w:szCs w:val="20"/>
          <w:lang w:eastAsia="zh-TW"/>
        </w:rPr>
        <w:t xml:space="preserve"> full financial year)</w:t>
      </w:r>
      <w:r>
        <w:rPr>
          <w:rFonts w:ascii="Arial" w:hAnsi="Arial" w:cs="Arial"/>
          <w:bCs/>
          <w:sz w:val="20"/>
          <w:szCs w:val="20"/>
          <w:lang w:eastAsia="zh-TW"/>
        </w:rPr>
        <w:t>, transfer applicants would have already published relevant information o</w:t>
      </w:r>
      <w:r w:rsidR="00367394">
        <w:rPr>
          <w:rFonts w:ascii="Arial" w:hAnsi="Arial" w:cs="Arial"/>
          <w:bCs/>
          <w:sz w:val="20"/>
          <w:szCs w:val="20"/>
          <w:lang w:eastAsia="zh-TW"/>
        </w:rPr>
        <w:t>n</w:t>
      </w:r>
      <w:r>
        <w:rPr>
          <w:rFonts w:ascii="Arial" w:hAnsi="Arial" w:cs="Arial"/>
          <w:bCs/>
          <w:sz w:val="20"/>
          <w:szCs w:val="20"/>
          <w:lang w:eastAsia="zh-TW"/>
        </w:rPr>
        <w:t xml:space="preserve"> </w:t>
      </w:r>
      <w:r w:rsidR="00367394">
        <w:rPr>
          <w:rFonts w:ascii="Arial" w:hAnsi="Arial" w:cs="Arial"/>
          <w:bCs/>
          <w:sz w:val="20"/>
          <w:szCs w:val="20"/>
          <w:lang w:eastAsia="zh-TW"/>
        </w:rPr>
        <w:t>their</w:t>
      </w:r>
      <w:r>
        <w:rPr>
          <w:rFonts w:ascii="Arial" w:hAnsi="Arial" w:cs="Arial"/>
          <w:bCs/>
          <w:sz w:val="20"/>
          <w:szCs w:val="20"/>
          <w:lang w:eastAsia="zh-TW"/>
        </w:rPr>
        <w:t xml:space="preserve"> financial position and future prospects under the GEM Listing Rules. </w:t>
      </w:r>
    </w:p>
    <w:p w:rsidR="003B3C5F" w:rsidRDefault="003B3C5F" w:rsidP="003B3C5F">
      <w:pPr>
        <w:pStyle w:val="a4"/>
        <w:snapToGrid w:val="0"/>
        <w:spacing w:after="0" w:line="240" w:lineRule="auto"/>
        <w:ind w:left="709"/>
        <w:jc w:val="both"/>
        <w:rPr>
          <w:rFonts w:ascii="Arial" w:hAnsi="Arial" w:cs="Arial"/>
          <w:bCs/>
          <w:sz w:val="20"/>
          <w:szCs w:val="20"/>
          <w:lang w:eastAsia="zh-TW"/>
        </w:rPr>
      </w:pPr>
    </w:p>
    <w:p w:rsidR="00D04683" w:rsidRDefault="003B3C5F" w:rsidP="003B3C5F">
      <w:pPr>
        <w:pStyle w:val="a4"/>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As such, the HKEX propose</w:t>
      </w:r>
      <w:r w:rsidR="00367394">
        <w:rPr>
          <w:rFonts w:ascii="Arial" w:hAnsi="Arial" w:cs="Arial"/>
          <w:bCs/>
          <w:sz w:val="20"/>
          <w:szCs w:val="20"/>
          <w:lang w:eastAsia="zh-TW"/>
        </w:rPr>
        <w:t>s</w:t>
      </w:r>
      <w:r>
        <w:rPr>
          <w:rFonts w:ascii="Arial" w:hAnsi="Arial" w:cs="Arial"/>
          <w:bCs/>
          <w:sz w:val="20"/>
          <w:szCs w:val="20"/>
          <w:lang w:eastAsia="zh-TW"/>
        </w:rPr>
        <w:t xml:space="preserve"> that GEM issuers </w:t>
      </w:r>
      <w:r w:rsidR="00FB7538">
        <w:rPr>
          <w:rFonts w:ascii="Arial" w:hAnsi="Arial" w:cs="Arial"/>
          <w:bCs/>
          <w:sz w:val="20"/>
          <w:szCs w:val="20"/>
          <w:lang w:eastAsia="zh-TW"/>
        </w:rPr>
        <w:t xml:space="preserve">should </w:t>
      </w:r>
      <w:r>
        <w:rPr>
          <w:rFonts w:ascii="Arial" w:hAnsi="Arial" w:cs="Arial"/>
          <w:bCs/>
          <w:sz w:val="20"/>
          <w:szCs w:val="20"/>
          <w:lang w:eastAsia="zh-TW"/>
        </w:rPr>
        <w:t xml:space="preserve">no longer be required to produce a “prospectus-standard” listing document for a streamlined transfer to the Main Board. Instead, the transfer applicant will be required to submit (at a minimum) the following documents to the HKEX Listing Division as part of its transfer application under the </w:t>
      </w:r>
      <w:r w:rsidR="006B7DE6">
        <w:rPr>
          <w:rFonts w:ascii="Arial" w:hAnsi="Arial" w:cs="Arial"/>
          <w:bCs/>
          <w:sz w:val="20"/>
          <w:szCs w:val="20"/>
          <w:lang w:eastAsia="zh-TW"/>
        </w:rPr>
        <w:t xml:space="preserve">proposed </w:t>
      </w:r>
      <w:r>
        <w:rPr>
          <w:rFonts w:ascii="Arial" w:hAnsi="Arial" w:cs="Arial"/>
          <w:bCs/>
          <w:sz w:val="20"/>
          <w:szCs w:val="20"/>
          <w:lang w:eastAsia="zh-TW"/>
        </w:rPr>
        <w:t>Streamlined Transfer Mechanism:</w:t>
      </w:r>
    </w:p>
    <w:p w:rsidR="003B3C5F" w:rsidRDefault="003B3C5F" w:rsidP="003B3C5F">
      <w:pPr>
        <w:pStyle w:val="a4"/>
        <w:snapToGrid w:val="0"/>
        <w:spacing w:after="0" w:line="240" w:lineRule="auto"/>
        <w:ind w:left="709"/>
        <w:jc w:val="both"/>
        <w:rPr>
          <w:rFonts w:ascii="Arial" w:hAnsi="Arial" w:cs="Arial"/>
          <w:bCs/>
          <w:sz w:val="20"/>
          <w:szCs w:val="20"/>
          <w:lang w:eastAsia="zh-TW"/>
        </w:rPr>
      </w:pPr>
    </w:p>
    <w:p w:rsidR="003B3C5F" w:rsidRDefault="003B3C5F" w:rsidP="003B3C5F">
      <w:pPr>
        <w:pStyle w:val="a4"/>
        <w:numPr>
          <w:ilvl w:val="0"/>
          <w:numId w:val="41"/>
        </w:numPr>
        <w:snapToGrid w:val="0"/>
        <w:spacing w:after="0" w:line="240" w:lineRule="auto"/>
        <w:ind w:left="1418" w:hanging="720"/>
        <w:jc w:val="both"/>
        <w:rPr>
          <w:rFonts w:ascii="Arial" w:hAnsi="Arial" w:cs="Arial"/>
          <w:bCs/>
          <w:sz w:val="20"/>
          <w:szCs w:val="20"/>
          <w:lang w:eastAsia="zh-TW"/>
        </w:rPr>
      </w:pPr>
      <w:r w:rsidRPr="003B3C5F">
        <w:rPr>
          <w:rFonts w:ascii="Arial" w:hAnsi="Arial" w:cs="Arial"/>
          <w:bCs/>
          <w:sz w:val="20"/>
          <w:szCs w:val="20"/>
          <w:lang w:eastAsia="zh-TW"/>
        </w:rPr>
        <w:t xml:space="preserve">a formal application for listing (including directors’ confirmation that all relevant requirements for a transfer of listing are complied with); </w:t>
      </w:r>
    </w:p>
    <w:p w:rsidR="003B3C5F" w:rsidRDefault="003B3C5F" w:rsidP="003B3C5F">
      <w:pPr>
        <w:pStyle w:val="a4"/>
        <w:snapToGrid w:val="0"/>
        <w:spacing w:after="0" w:line="240" w:lineRule="auto"/>
        <w:ind w:left="1418"/>
        <w:jc w:val="both"/>
        <w:rPr>
          <w:rFonts w:ascii="Arial" w:hAnsi="Arial" w:cs="Arial"/>
          <w:bCs/>
          <w:sz w:val="20"/>
          <w:szCs w:val="20"/>
          <w:lang w:eastAsia="zh-TW"/>
        </w:rPr>
      </w:pPr>
    </w:p>
    <w:p w:rsidR="003B3C5F" w:rsidRDefault="003B3C5F" w:rsidP="003B3C5F">
      <w:pPr>
        <w:pStyle w:val="a4"/>
        <w:numPr>
          <w:ilvl w:val="0"/>
          <w:numId w:val="41"/>
        </w:numPr>
        <w:snapToGrid w:val="0"/>
        <w:spacing w:after="0" w:line="240" w:lineRule="auto"/>
        <w:ind w:left="1418" w:hanging="720"/>
        <w:jc w:val="both"/>
        <w:rPr>
          <w:rFonts w:ascii="Arial" w:hAnsi="Arial" w:cs="Arial"/>
          <w:bCs/>
          <w:sz w:val="20"/>
          <w:szCs w:val="20"/>
          <w:lang w:eastAsia="zh-TW"/>
        </w:rPr>
      </w:pPr>
      <w:r w:rsidRPr="003B3C5F">
        <w:rPr>
          <w:rFonts w:ascii="Arial" w:hAnsi="Arial" w:cs="Arial"/>
          <w:bCs/>
          <w:sz w:val="20"/>
          <w:szCs w:val="20"/>
          <w:lang w:eastAsia="zh-TW"/>
        </w:rPr>
        <w:t>an advanced draft public announcement of the transfer</w:t>
      </w:r>
      <w:r w:rsidR="00522A8B">
        <w:rPr>
          <w:rFonts w:ascii="Arial" w:hAnsi="Arial" w:cs="Arial"/>
          <w:bCs/>
          <w:sz w:val="20"/>
          <w:szCs w:val="20"/>
          <w:lang w:eastAsia="zh-TW"/>
        </w:rPr>
        <w:t xml:space="preserve"> (</w:t>
      </w:r>
      <w:r w:rsidR="00522A8B" w:rsidRPr="00522A8B">
        <w:rPr>
          <w:rFonts w:ascii="Arial" w:hAnsi="Arial" w:cs="Arial"/>
          <w:b/>
          <w:bCs/>
          <w:sz w:val="20"/>
          <w:szCs w:val="20"/>
          <w:lang w:eastAsia="zh-TW"/>
        </w:rPr>
        <w:t>Long-Form Announcement</w:t>
      </w:r>
      <w:r w:rsidR="00522A8B">
        <w:rPr>
          <w:rFonts w:ascii="Arial" w:hAnsi="Arial" w:cs="Arial"/>
          <w:bCs/>
          <w:sz w:val="20"/>
          <w:szCs w:val="20"/>
          <w:lang w:eastAsia="zh-TW"/>
        </w:rPr>
        <w:t>)</w:t>
      </w:r>
      <w:r w:rsidRPr="003B3C5F">
        <w:rPr>
          <w:rFonts w:ascii="Arial" w:hAnsi="Arial" w:cs="Arial"/>
          <w:bCs/>
          <w:sz w:val="20"/>
          <w:szCs w:val="20"/>
          <w:lang w:eastAsia="zh-TW"/>
        </w:rPr>
        <w:t xml:space="preserve"> </w:t>
      </w:r>
      <w:r w:rsidR="00583F68">
        <w:rPr>
          <w:rFonts w:ascii="Arial" w:hAnsi="Arial" w:cs="Arial"/>
          <w:bCs/>
          <w:sz w:val="20"/>
          <w:szCs w:val="20"/>
          <w:lang w:eastAsia="zh-TW"/>
        </w:rPr>
        <w:t>contain</w:t>
      </w:r>
      <w:r w:rsidR="00197B05">
        <w:rPr>
          <w:rFonts w:ascii="Arial" w:hAnsi="Arial" w:cs="Arial"/>
          <w:bCs/>
          <w:sz w:val="20"/>
          <w:szCs w:val="20"/>
          <w:lang w:eastAsia="zh-TW"/>
        </w:rPr>
        <w:t>ing</w:t>
      </w:r>
      <w:r w:rsidR="00583F68">
        <w:rPr>
          <w:rFonts w:ascii="Arial" w:hAnsi="Arial" w:cs="Arial"/>
          <w:bCs/>
          <w:sz w:val="20"/>
          <w:szCs w:val="20"/>
          <w:lang w:eastAsia="zh-TW"/>
        </w:rPr>
        <w:t xml:space="preserve"> the following information </w:t>
      </w:r>
      <w:r w:rsidRPr="003B3C5F">
        <w:rPr>
          <w:rFonts w:ascii="Arial" w:hAnsi="Arial" w:cs="Arial"/>
          <w:bCs/>
          <w:sz w:val="20"/>
          <w:szCs w:val="20"/>
          <w:lang w:eastAsia="zh-TW"/>
        </w:rPr>
        <w:t xml:space="preserve">for pre-vetting by the </w:t>
      </w:r>
      <w:r>
        <w:rPr>
          <w:rFonts w:ascii="Arial" w:hAnsi="Arial" w:cs="Arial"/>
          <w:bCs/>
          <w:sz w:val="20"/>
          <w:szCs w:val="20"/>
          <w:lang w:eastAsia="zh-TW"/>
        </w:rPr>
        <w:t xml:space="preserve">HKEX </w:t>
      </w:r>
      <w:r w:rsidRPr="003B3C5F">
        <w:rPr>
          <w:rFonts w:ascii="Arial" w:hAnsi="Arial" w:cs="Arial"/>
          <w:bCs/>
          <w:sz w:val="20"/>
          <w:szCs w:val="20"/>
          <w:lang w:eastAsia="zh-TW"/>
        </w:rPr>
        <w:t>Listing Division</w:t>
      </w:r>
      <w:r w:rsidR="00583F68">
        <w:rPr>
          <w:rFonts w:ascii="Arial" w:hAnsi="Arial" w:cs="Arial"/>
          <w:bCs/>
          <w:sz w:val="20"/>
          <w:szCs w:val="20"/>
          <w:lang w:eastAsia="zh-TW"/>
        </w:rPr>
        <w:t>:</w:t>
      </w:r>
      <w:r w:rsidRPr="003B3C5F">
        <w:rPr>
          <w:rFonts w:ascii="Arial" w:hAnsi="Arial" w:cs="Arial"/>
          <w:bCs/>
          <w:sz w:val="20"/>
          <w:szCs w:val="20"/>
          <w:lang w:eastAsia="zh-TW"/>
        </w:rPr>
        <w:t xml:space="preserve"> </w:t>
      </w:r>
    </w:p>
    <w:p w:rsidR="00583F68" w:rsidRDefault="00583F68" w:rsidP="00583F68">
      <w:pPr>
        <w:pStyle w:val="a4"/>
        <w:snapToGrid w:val="0"/>
        <w:spacing w:after="0" w:line="240" w:lineRule="auto"/>
        <w:ind w:left="1985"/>
        <w:jc w:val="both"/>
        <w:rPr>
          <w:rFonts w:ascii="Arial" w:hAnsi="Arial" w:cs="Arial"/>
          <w:bCs/>
          <w:sz w:val="20"/>
          <w:szCs w:val="20"/>
          <w:lang w:eastAsia="zh-TW"/>
        </w:rPr>
      </w:pPr>
    </w:p>
    <w:p w:rsidR="00583F68" w:rsidRDefault="00583F68" w:rsidP="00583F68">
      <w:pPr>
        <w:pStyle w:val="a4"/>
        <w:numPr>
          <w:ilvl w:val="1"/>
          <w:numId w:val="41"/>
        </w:numPr>
        <w:snapToGrid w:val="0"/>
        <w:spacing w:after="0" w:line="240" w:lineRule="auto"/>
        <w:ind w:left="1985" w:hanging="567"/>
        <w:jc w:val="both"/>
        <w:rPr>
          <w:rFonts w:ascii="Arial" w:hAnsi="Arial" w:cs="Arial"/>
          <w:bCs/>
          <w:sz w:val="20"/>
          <w:szCs w:val="20"/>
          <w:lang w:eastAsia="zh-TW"/>
        </w:rPr>
      </w:pPr>
      <w:r w:rsidRPr="00522A8B">
        <w:rPr>
          <w:rFonts w:ascii="Arial" w:hAnsi="Arial" w:cs="Arial"/>
          <w:bCs/>
          <w:sz w:val="20"/>
          <w:szCs w:val="20"/>
          <w:lang w:eastAsia="zh-TW"/>
        </w:rPr>
        <w:t>a prescribed form disclaimer statement;</w:t>
      </w:r>
    </w:p>
    <w:p w:rsidR="00583F68" w:rsidRDefault="00583F68" w:rsidP="00583F68">
      <w:pPr>
        <w:pStyle w:val="a4"/>
        <w:snapToGrid w:val="0"/>
        <w:spacing w:after="0" w:line="240" w:lineRule="auto"/>
        <w:ind w:left="1418"/>
        <w:jc w:val="both"/>
        <w:rPr>
          <w:rFonts w:ascii="Arial" w:hAnsi="Arial" w:cs="Arial"/>
          <w:bCs/>
          <w:sz w:val="20"/>
          <w:szCs w:val="20"/>
          <w:lang w:eastAsia="zh-TW"/>
        </w:rPr>
      </w:pPr>
    </w:p>
    <w:p w:rsidR="00583F68" w:rsidRDefault="00583F68" w:rsidP="00583F68">
      <w:pPr>
        <w:pStyle w:val="a4"/>
        <w:numPr>
          <w:ilvl w:val="1"/>
          <w:numId w:val="41"/>
        </w:numPr>
        <w:snapToGrid w:val="0"/>
        <w:spacing w:after="0" w:line="240" w:lineRule="auto"/>
        <w:ind w:left="1985" w:hanging="567"/>
        <w:jc w:val="both"/>
        <w:rPr>
          <w:rFonts w:ascii="Arial" w:hAnsi="Arial" w:cs="Arial"/>
          <w:bCs/>
          <w:sz w:val="20"/>
          <w:szCs w:val="20"/>
          <w:lang w:eastAsia="zh-TW"/>
        </w:rPr>
      </w:pPr>
      <w:r w:rsidRPr="00522A8B">
        <w:rPr>
          <w:rFonts w:ascii="Arial" w:hAnsi="Arial" w:cs="Arial"/>
          <w:bCs/>
          <w:sz w:val="20"/>
          <w:szCs w:val="20"/>
          <w:lang w:eastAsia="zh-TW"/>
        </w:rPr>
        <w:t xml:space="preserve">directors’ responsibility statement; </w:t>
      </w:r>
    </w:p>
    <w:p w:rsidR="00583F68" w:rsidRPr="00522A8B" w:rsidRDefault="00583F68" w:rsidP="00583F68">
      <w:pPr>
        <w:pStyle w:val="a4"/>
        <w:snapToGrid w:val="0"/>
        <w:spacing w:after="0" w:line="240" w:lineRule="auto"/>
        <w:ind w:left="1985"/>
        <w:jc w:val="both"/>
        <w:rPr>
          <w:rFonts w:ascii="Arial" w:hAnsi="Arial" w:cs="Arial"/>
          <w:bCs/>
          <w:sz w:val="20"/>
          <w:szCs w:val="20"/>
          <w:lang w:eastAsia="zh-TW"/>
        </w:rPr>
      </w:pPr>
    </w:p>
    <w:p w:rsidR="00583F68" w:rsidRDefault="00583F68" w:rsidP="00583F68">
      <w:pPr>
        <w:pStyle w:val="a4"/>
        <w:numPr>
          <w:ilvl w:val="1"/>
          <w:numId w:val="41"/>
        </w:numPr>
        <w:snapToGrid w:val="0"/>
        <w:spacing w:after="0" w:line="240" w:lineRule="auto"/>
        <w:ind w:left="1985" w:hanging="567"/>
        <w:jc w:val="both"/>
        <w:rPr>
          <w:rFonts w:ascii="Arial" w:hAnsi="Arial" w:cs="Arial"/>
          <w:bCs/>
          <w:sz w:val="20"/>
          <w:szCs w:val="20"/>
          <w:lang w:eastAsia="zh-TW"/>
        </w:rPr>
      </w:pPr>
      <w:r w:rsidRPr="00522A8B">
        <w:rPr>
          <w:rFonts w:ascii="Arial" w:hAnsi="Arial" w:cs="Arial"/>
          <w:bCs/>
          <w:sz w:val="20"/>
          <w:szCs w:val="20"/>
          <w:lang w:eastAsia="zh-TW"/>
        </w:rPr>
        <w:t>confirmation of fulfilment of all pre-cond</w:t>
      </w:r>
      <w:r>
        <w:rPr>
          <w:rFonts w:ascii="Arial" w:hAnsi="Arial" w:cs="Arial"/>
          <w:bCs/>
          <w:sz w:val="20"/>
          <w:szCs w:val="20"/>
          <w:lang w:eastAsia="zh-TW"/>
        </w:rPr>
        <w:t xml:space="preserve">itions to transfer of listing; </w:t>
      </w:r>
    </w:p>
    <w:p w:rsidR="00583F68" w:rsidRPr="00522A8B" w:rsidRDefault="00583F68" w:rsidP="00583F68">
      <w:pPr>
        <w:pStyle w:val="a4"/>
        <w:snapToGrid w:val="0"/>
        <w:spacing w:after="0" w:line="240" w:lineRule="auto"/>
        <w:ind w:left="1985"/>
        <w:jc w:val="both"/>
        <w:rPr>
          <w:rFonts w:ascii="Arial" w:hAnsi="Arial" w:cs="Arial"/>
          <w:bCs/>
          <w:sz w:val="20"/>
          <w:szCs w:val="20"/>
          <w:lang w:eastAsia="zh-TW"/>
        </w:rPr>
      </w:pPr>
    </w:p>
    <w:p w:rsidR="00583F68" w:rsidRDefault="00583F68" w:rsidP="00583F68">
      <w:pPr>
        <w:pStyle w:val="a4"/>
        <w:numPr>
          <w:ilvl w:val="1"/>
          <w:numId w:val="41"/>
        </w:numPr>
        <w:snapToGrid w:val="0"/>
        <w:spacing w:after="0" w:line="240" w:lineRule="auto"/>
        <w:ind w:left="1985" w:hanging="567"/>
        <w:jc w:val="both"/>
        <w:rPr>
          <w:rFonts w:ascii="Arial" w:hAnsi="Arial" w:cs="Arial"/>
          <w:bCs/>
          <w:sz w:val="20"/>
          <w:szCs w:val="20"/>
          <w:lang w:eastAsia="zh-TW"/>
        </w:rPr>
      </w:pPr>
      <w:r w:rsidRPr="00522A8B">
        <w:rPr>
          <w:rFonts w:ascii="Arial" w:hAnsi="Arial" w:cs="Arial"/>
          <w:bCs/>
          <w:sz w:val="20"/>
          <w:szCs w:val="20"/>
          <w:lang w:eastAsia="zh-TW"/>
        </w:rPr>
        <w:t xml:space="preserve">reasons for the transfer of listing; </w:t>
      </w:r>
    </w:p>
    <w:p w:rsidR="00583F68" w:rsidRPr="00522A8B" w:rsidRDefault="00583F68" w:rsidP="00583F68">
      <w:pPr>
        <w:pStyle w:val="a4"/>
        <w:snapToGrid w:val="0"/>
        <w:spacing w:after="0" w:line="240" w:lineRule="auto"/>
        <w:ind w:left="1985"/>
        <w:jc w:val="both"/>
        <w:rPr>
          <w:rFonts w:ascii="Arial" w:hAnsi="Arial" w:cs="Arial"/>
          <w:bCs/>
          <w:sz w:val="20"/>
          <w:szCs w:val="20"/>
          <w:lang w:eastAsia="zh-TW"/>
        </w:rPr>
      </w:pPr>
    </w:p>
    <w:p w:rsidR="00583F68" w:rsidRDefault="00583F68" w:rsidP="00583F68">
      <w:pPr>
        <w:pStyle w:val="a4"/>
        <w:numPr>
          <w:ilvl w:val="1"/>
          <w:numId w:val="41"/>
        </w:numPr>
        <w:snapToGrid w:val="0"/>
        <w:spacing w:after="0" w:line="240" w:lineRule="auto"/>
        <w:ind w:left="1985" w:hanging="567"/>
        <w:jc w:val="both"/>
        <w:rPr>
          <w:rFonts w:ascii="Arial" w:hAnsi="Arial" w:cs="Arial"/>
          <w:bCs/>
          <w:sz w:val="20"/>
          <w:szCs w:val="20"/>
          <w:lang w:eastAsia="zh-TW"/>
        </w:rPr>
      </w:pPr>
      <w:r w:rsidRPr="00522A8B">
        <w:rPr>
          <w:rFonts w:ascii="Arial" w:hAnsi="Arial" w:cs="Arial"/>
          <w:bCs/>
          <w:sz w:val="20"/>
          <w:szCs w:val="20"/>
          <w:lang w:eastAsia="zh-TW"/>
        </w:rPr>
        <w:t xml:space="preserve">a statement that various documents are displayed on the </w:t>
      </w:r>
      <w:r>
        <w:rPr>
          <w:rFonts w:ascii="Arial" w:hAnsi="Arial" w:cs="Arial"/>
          <w:bCs/>
          <w:sz w:val="20"/>
          <w:szCs w:val="20"/>
          <w:lang w:eastAsia="zh-TW"/>
        </w:rPr>
        <w:t>HKEX’s</w:t>
      </w:r>
      <w:r w:rsidRPr="00522A8B">
        <w:rPr>
          <w:rFonts w:ascii="Arial" w:hAnsi="Arial" w:cs="Arial"/>
          <w:bCs/>
          <w:sz w:val="20"/>
          <w:szCs w:val="20"/>
          <w:lang w:eastAsia="zh-TW"/>
        </w:rPr>
        <w:t xml:space="preserve"> website and the issuer’s </w:t>
      </w:r>
      <w:r>
        <w:rPr>
          <w:rFonts w:ascii="Arial" w:hAnsi="Arial" w:cs="Arial"/>
          <w:bCs/>
          <w:sz w:val="20"/>
          <w:szCs w:val="20"/>
          <w:lang w:eastAsia="zh-TW"/>
        </w:rPr>
        <w:t>website;</w:t>
      </w:r>
    </w:p>
    <w:p w:rsidR="00583F68" w:rsidRPr="00522A8B" w:rsidRDefault="00583F68" w:rsidP="00583F68">
      <w:pPr>
        <w:pStyle w:val="a4"/>
        <w:snapToGrid w:val="0"/>
        <w:spacing w:after="0" w:line="240" w:lineRule="auto"/>
        <w:ind w:left="1985"/>
        <w:jc w:val="both"/>
        <w:rPr>
          <w:rFonts w:ascii="Arial" w:hAnsi="Arial" w:cs="Arial"/>
          <w:bCs/>
          <w:sz w:val="20"/>
          <w:szCs w:val="20"/>
          <w:lang w:eastAsia="zh-TW"/>
        </w:rPr>
      </w:pPr>
    </w:p>
    <w:p w:rsidR="00583F68" w:rsidRDefault="00583F68" w:rsidP="00583F68">
      <w:pPr>
        <w:pStyle w:val="a4"/>
        <w:numPr>
          <w:ilvl w:val="1"/>
          <w:numId w:val="41"/>
        </w:numPr>
        <w:snapToGrid w:val="0"/>
        <w:spacing w:after="0" w:line="240" w:lineRule="auto"/>
        <w:ind w:left="1985" w:hanging="567"/>
        <w:jc w:val="both"/>
        <w:rPr>
          <w:rFonts w:ascii="Arial" w:hAnsi="Arial" w:cs="Arial"/>
          <w:bCs/>
          <w:sz w:val="20"/>
          <w:szCs w:val="20"/>
          <w:lang w:eastAsia="zh-TW"/>
        </w:rPr>
      </w:pPr>
      <w:r w:rsidRPr="00522A8B">
        <w:rPr>
          <w:rFonts w:ascii="Arial" w:hAnsi="Arial" w:cs="Arial"/>
          <w:bCs/>
          <w:sz w:val="20"/>
          <w:szCs w:val="20"/>
          <w:lang w:eastAsia="zh-TW"/>
        </w:rPr>
        <w:t xml:space="preserve">a statement that the requisite approval has been granted by the </w:t>
      </w:r>
      <w:r>
        <w:rPr>
          <w:rFonts w:ascii="Arial" w:hAnsi="Arial" w:cs="Arial"/>
          <w:bCs/>
          <w:sz w:val="20"/>
          <w:szCs w:val="20"/>
          <w:lang w:eastAsia="zh-TW"/>
        </w:rPr>
        <w:t>HKEX</w:t>
      </w:r>
      <w:r w:rsidRPr="00522A8B">
        <w:rPr>
          <w:rFonts w:ascii="Arial" w:hAnsi="Arial" w:cs="Arial"/>
          <w:bCs/>
          <w:sz w:val="20"/>
          <w:szCs w:val="20"/>
          <w:lang w:eastAsia="zh-TW"/>
        </w:rPr>
        <w:t>;</w:t>
      </w:r>
    </w:p>
    <w:p w:rsidR="00583F68" w:rsidRPr="00522A8B" w:rsidRDefault="00583F68" w:rsidP="00583F68">
      <w:pPr>
        <w:pStyle w:val="a4"/>
        <w:snapToGrid w:val="0"/>
        <w:spacing w:after="0" w:line="240" w:lineRule="auto"/>
        <w:ind w:left="1985"/>
        <w:jc w:val="both"/>
        <w:rPr>
          <w:rFonts w:ascii="Arial" w:hAnsi="Arial" w:cs="Arial"/>
          <w:bCs/>
          <w:sz w:val="20"/>
          <w:szCs w:val="20"/>
          <w:lang w:eastAsia="zh-TW"/>
        </w:rPr>
      </w:pPr>
    </w:p>
    <w:p w:rsidR="00583F68" w:rsidRDefault="00583F68" w:rsidP="00583F68">
      <w:pPr>
        <w:pStyle w:val="a4"/>
        <w:numPr>
          <w:ilvl w:val="1"/>
          <w:numId w:val="41"/>
        </w:numPr>
        <w:snapToGrid w:val="0"/>
        <w:spacing w:after="0" w:line="240" w:lineRule="auto"/>
        <w:ind w:left="1985" w:hanging="567"/>
        <w:jc w:val="both"/>
        <w:rPr>
          <w:rFonts w:ascii="Arial" w:hAnsi="Arial" w:cs="Arial"/>
          <w:bCs/>
          <w:sz w:val="20"/>
          <w:szCs w:val="20"/>
          <w:lang w:eastAsia="zh-TW"/>
        </w:rPr>
      </w:pPr>
      <w:r w:rsidRPr="00522A8B">
        <w:rPr>
          <w:rFonts w:ascii="Arial" w:hAnsi="Arial" w:cs="Arial"/>
          <w:bCs/>
          <w:sz w:val="20"/>
          <w:szCs w:val="20"/>
          <w:lang w:eastAsia="zh-TW"/>
        </w:rPr>
        <w:t xml:space="preserve">issuer’s stock codes on GEM and the Main Board; </w:t>
      </w:r>
    </w:p>
    <w:p w:rsidR="00583F68" w:rsidRPr="00522A8B" w:rsidRDefault="00583F68" w:rsidP="00583F68">
      <w:pPr>
        <w:pStyle w:val="a4"/>
        <w:snapToGrid w:val="0"/>
        <w:spacing w:after="0" w:line="240" w:lineRule="auto"/>
        <w:ind w:left="1985"/>
        <w:jc w:val="both"/>
        <w:rPr>
          <w:rFonts w:ascii="Arial" w:hAnsi="Arial" w:cs="Arial"/>
          <w:bCs/>
          <w:sz w:val="20"/>
          <w:szCs w:val="20"/>
          <w:lang w:eastAsia="zh-TW"/>
        </w:rPr>
      </w:pPr>
    </w:p>
    <w:p w:rsidR="00583F68" w:rsidRDefault="00583F68" w:rsidP="00583F68">
      <w:pPr>
        <w:pStyle w:val="a4"/>
        <w:numPr>
          <w:ilvl w:val="1"/>
          <w:numId w:val="41"/>
        </w:numPr>
        <w:snapToGrid w:val="0"/>
        <w:spacing w:after="0" w:line="240" w:lineRule="auto"/>
        <w:ind w:left="1985" w:hanging="567"/>
        <w:jc w:val="both"/>
        <w:rPr>
          <w:rFonts w:ascii="Arial" w:hAnsi="Arial" w:cs="Arial"/>
          <w:bCs/>
          <w:sz w:val="20"/>
          <w:szCs w:val="20"/>
          <w:lang w:eastAsia="zh-TW"/>
        </w:rPr>
      </w:pPr>
      <w:r w:rsidRPr="00522A8B">
        <w:rPr>
          <w:rFonts w:ascii="Arial" w:hAnsi="Arial" w:cs="Arial"/>
          <w:bCs/>
          <w:sz w:val="20"/>
          <w:szCs w:val="20"/>
          <w:lang w:eastAsia="zh-TW"/>
        </w:rPr>
        <w:t xml:space="preserve">a statement of CCASS eligibility; </w:t>
      </w:r>
    </w:p>
    <w:p w:rsidR="00583F68" w:rsidRPr="00522A8B" w:rsidRDefault="00583F68" w:rsidP="00583F68">
      <w:pPr>
        <w:pStyle w:val="a4"/>
        <w:snapToGrid w:val="0"/>
        <w:spacing w:after="0" w:line="240" w:lineRule="auto"/>
        <w:ind w:left="1985"/>
        <w:jc w:val="both"/>
        <w:rPr>
          <w:rFonts w:ascii="Arial" w:hAnsi="Arial" w:cs="Arial"/>
          <w:bCs/>
          <w:sz w:val="20"/>
          <w:szCs w:val="20"/>
          <w:lang w:eastAsia="zh-TW"/>
        </w:rPr>
      </w:pPr>
    </w:p>
    <w:p w:rsidR="00583F68" w:rsidRDefault="00583F68" w:rsidP="00583F68">
      <w:pPr>
        <w:pStyle w:val="a4"/>
        <w:numPr>
          <w:ilvl w:val="1"/>
          <w:numId w:val="41"/>
        </w:numPr>
        <w:snapToGrid w:val="0"/>
        <w:spacing w:after="0" w:line="240" w:lineRule="auto"/>
        <w:ind w:left="1985" w:hanging="567"/>
        <w:jc w:val="both"/>
        <w:rPr>
          <w:rFonts w:ascii="Arial" w:hAnsi="Arial" w:cs="Arial"/>
          <w:bCs/>
          <w:sz w:val="20"/>
          <w:szCs w:val="20"/>
          <w:lang w:eastAsia="zh-TW"/>
        </w:rPr>
      </w:pPr>
      <w:r w:rsidRPr="00522A8B">
        <w:rPr>
          <w:rFonts w:ascii="Arial" w:hAnsi="Arial" w:cs="Arial"/>
          <w:bCs/>
          <w:sz w:val="20"/>
          <w:szCs w:val="20"/>
          <w:lang w:eastAsia="zh-TW"/>
        </w:rPr>
        <w:t xml:space="preserve">if applicable, a statement of any listing of options, warrants etc., that will be transferred together with the underlying securities; </w:t>
      </w:r>
    </w:p>
    <w:p w:rsidR="00583F68" w:rsidRPr="00522A8B" w:rsidRDefault="00583F68" w:rsidP="00583F68">
      <w:pPr>
        <w:pStyle w:val="a4"/>
        <w:snapToGrid w:val="0"/>
        <w:spacing w:after="0" w:line="240" w:lineRule="auto"/>
        <w:ind w:left="1985"/>
        <w:jc w:val="both"/>
        <w:rPr>
          <w:rFonts w:ascii="Arial" w:hAnsi="Arial" w:cs="Arial"/>
          <w:bCs/>
          <w:sz w:val="20"/>
          <w:szCs w:val="20"/>
          <w:lang w:eastAsia="zh-TW"/>
        </w:rPr>
      </w:pPr>
    </w:p>
    <w:p w:rsidR="00583F68" w:rsidRDefault="00583F68" w:rsidP="00583F68">
      <w:pPr>
        <w:pStyle w:val="a4"/>
        <w:numPr>
          <w:ilvl w:val="1"/>
          <w:numId w:val="41"/>
        </w:numPr>
        <w:snapToGrid w:val="0"/>
        <w:spacing w:after="0" w:line="240" w:lineRule="auto"/>
        <w:ind w:left="1985" w:hanging="567"/>
        <w:jc w:val="both"/>
        <w:rPr>
          <w:rFonts w:ascii="Arial" w:hAnsi="Arial" w:cs="Arial"/>
          <w:bCs/>
          <w:sz w:val="20"/>
          <w:szCs w:val="20"/>
          <w:lang w:eastAsia="zh-TW"/>
        </w:rPr>
      </w:pPr>
      <w:r w:rsidRPr="00522A8B">
        <w:rPr>
          <w:rFonts w:ascii="Arial" w:hAnsi="Arial" w:cs="Arial"/>
          <w:bCs/>
          <w:sz w:val="20"/>
          <w:szCs w:val="20"/>
          <w:lang w:eastAsia="zh-TW"/>
        </w:rPr>
        <w:t xml:space="preserve">names of the directors; and </w:t>
      </w:r>
    </w:p>
    <w:p w:rsidR="00583F68" w:rsidRPr="00522A8B" w:rsidRDefault="00583F68" w:rsidP="00583F68">
      <w:pPr>
        <w:pStyle w:val="a4"/>
        <w:snapToGrid w:val="0"/>
        <w:spacing w:after="0" w:line="240" w:lineRule="auto"/>
        <w:ind w:left="1985"/>
        <w:jc w:val="both"/>
        <w:rPr>
          <w:rFonts w:ascii="Arial" w:hAnsi="Arial" w:cs="Arial"/>
          <w:bCs/>
          <w:sz w:val="20"/>
          <w:szCs w:val="20"/>
          <w:lang w:eastAsia="zh-TW"/>
        </w:rPr>
      </w:pPr>
    </w:p>
    <w:p w:rsidR="00583F68" w:rsidRPr="00522A8B" w:rsidRDefault="00583F68" w:rsidP="00583F68">
      <w:pPr>
        <w:pStyle w:val="a4"/>
        <w:numPr>
          <w:ilvl w:val="1"/>
          <w:numId w:val="41"/>
        </w:numPr>
        <w:snapToGrid w:val="0"/>
        <w:spacing w:after="0" w:line="240" w:lineRule="auto"/>
        <w:ind w:left="1985" w:hanging="567"/>
        <w:jc w:val="both"/>
        <w:rPr>
          <w:rFonts w:ascii="Arial" w:hAnsi="Arial" w:cs="Arial"/>
          <w:bCs/>
          <w:sz w:val="20"/>
          <w:szCs w:val="20"/>
          <w:lang w:eastAsia="zh-TW"/>
        </w:rPr>
      </w:pPr>
      <w:r>
        <w:rPr>
          <w:rFonts w:ascii="Arial" w:hAnsi="Arial" w:cs="Arial"/>
          <w:bCs/>
          <w:sz w:val="20"/>
          <w:szCs w:val="20"/>
          <w:lang w:eastAsia="zh-TW"/>
        </w:rPr>
        <w:t>s</w:t>
      </w:r>
      <w:r w:rsidRPr="00522A8B">
        <w:rPr>
          <w:rFonts w:ascii="Arial" w:hAnsi="Arial" w:cs="Arial"/>
          <w:bCs/>
          <w:sz w:val="20"/>
          <w:szCs w:val="20"/>
          <w:lang w:eastAsia="zh-TW"/>
        </w:rPr>
        <w:t>uch information as</w:t>
      </w:r>
      <w:r w:rsidR="00197B05">
        <w:rPr>
          <w:rFonts w:ascii="Arial" w:hAnsi="Arial" w:cs="Arial"/>
          <w:bCs/>
          <w:sz w:val="20"/>
          <w:szCs w:val="20"/>
          <w:lang w:eastAsia="zh-TW"/>
        </w:rPr>
        <w:t xml:space="preserve"> may be</w:t>
      </w:r>
      <w:r w:rsidRPr="00522A8B">
        <w:rPr>
          <w:rFonts w:ascii="Arial" w:hAnsi="Arial" w:cs="Arial"/>
          <w:bCs/>
          <w:sz w:val="20"/>
          <w:szCs w:val="20"/>
          <w:lang w:eastAsia="zh-TW"/>
        </w:rPr>
        <w:t xml:space="preserve"> directed by the </w:t>
      </w:r>
      <w:r>
        <w:rPr>
          <w:rFonts w:ascii="Arial" w:hAnsi="Arial" w:cs="Arial"/>
          <w:bCs/>
          <w:sz w:val="20"/>
          <w:szCs w:val="20"/>
          <w:lang w:eastAsia="zh-TW"/>
        </w:rPr>
        <w:t>HKEX;</w:t>
      </w:r>
    </w:p>
    <w:p w:rsidR="003B3C5F" w:rsidRPr="003B3C5F" w:rsidRDefault="003B3C5F" w:rsidP="003B3C5F">
      <w:pPr>
        <w:pStyle w:val="a4"/>
        <w:rPr>
          <w:rFonts w:ascii="Arial" w:hAnsi="Arial" w:cs="Arial"/>
          <w:bCs/>
          <w:sz w:val="20"/>
          <w:szCs w:val="20"/>
          <w:lang w:eastAsia="zh-TW"/>
        </w:rPr>
      </w:pPr>
    </w:p>
    <w:p w:rsidR="003B3C5F" w:rsidRDefault="003B3C5F" w:rsidP="003B3C5F">
      <w:pPr>
        <w:pStyle w:val="a4"/>
        <w:numPr>
          <w:ilvl w:val="0"/>
          <w:numId w:val="41"/>
        </w:numPr>
        <w:snapToGrid w:val="0"/>
        <w:spacing w:after="0" w:line="240" w:lineRule="auto"/>
        <w:ind w:left="1418" w:hanging="720"/>
        <w:jc w:val="both"/>
        <w:rPr>
          <w:rFonts w:ascii="Arial" w:hAnsi="Arial" w:cs="Arial"/>
          <w:bCs/>
          <w:sz w:val="20"/>
          <w:szCs w:val="20"/>
          <w:lang w:eastAsia="zh-TW"/>
        </w:rPr>
      </w:pPr>
      <w:r w:rsidRPr="003B3C5F">
        <w:rPr>
          <w:rFonts w:ascii="Arial" w:hAnsi="Arial" w:cs="Arial"/>
          <w:bCs/>
          <w:sz w:val="20"/>
          <w:szCs w:val="20"/>
          <w:lang w:eastAsia="zh-TW"/>
        </w:rPr>
        <w:t>a working capital sufficiency statement, together with re</w:t>
      </w:r>
      <w:r>
        <w:rPr>
          <w:rFonts w:ascii="Arial" w:hAnsi="Arial" w:cs="Arial"/>
          <w:bCs/>
          <w:sz w:val="20"/>
          <w:szCs w:val="20"/>
          <w:lang w:eastAsia="zh-TW"/>
        </w:rPr>
        <w:t>levant supporting information,</w:t>
      </w:r>
      <w:r w:rsidRPr="003B3C5F">
        <w:rPr>
          <w:rFonts w:ascii="Arial" w:hAnsi="Arial" w:cs="Arial"/>
          <w:bCs/>
          <w:sz w:val="20"/>
          <w:szCs w:val="20"/>
          <w:lang w:eastAsia="zh-TW"/>
        </w:rPr>
        <w:t xml:space="preserve"> confirming that:</w:t>
      </w:r>
    </w:p>
    <w:p w:rsidR="003B3C5F" w:rsidRPr="003B3C5F" w:rsidRDefault="003B3C5F" w:rsidP="003B3C5F">
      <w:pPr>
        <w:pStyle w:val="a4"/>
        <w:rPr>
          <w:rFonts w:ascii="Arial" w:hAnsi="Arial" w:cs="Arial"/>
          <w:bCs/>
          <w:sz w:val="20"/>
          <w:szCs w:val="20"/>
          <w:lang w:eastAsia="zh-TW"/>
        </w:rPr>
      </w:pPr>
    </w:p>
    <w:p w:rsidR="003B3C5F" w:rsidRDefault="003B3C5F" w:rsidP="00583F68">
      <w:pPr>
        <w:pStyle w:val="a4"/>
        <w:numPr>
          <w:ilvl w:val="1"/>
          <w:numId w:val="41"/>
        </w:numPr>
        <w:snapToGrid w:val="0"/>
        <w:spacing w:after="0" w:line="240" w:lineRule="auto"/>
        <w:ind w:left="1985" w:hanging="567"/>
        <w:jc w:val="both"/>
        <w:rPr>
          <w:rFonts w:ascii="Arial" w:hAnsi="Arial" w:cs="Arial"/>
          <w:bCs/>
          <w:sz w:val="20"/>
          <w:szCs w:val="20"/>
          <w:lang w:eastAsia="zh-TW"/>
        </w:rPr>
      </w:pPr>
      <w:r w:rsidRPr="003B3C5F">
        <w:rPr>
          <w:rFonts w:ascii="Arial" w:hAnsi="Arial" w:cs="Arial"/>
          <w:bCs/>
          <w:sz w:val="20"/>
          <w:szCs w:val="20"/>
          <w:lang w:eastAsia="zh-TW"/>
        </w:rPr>
        <w:t>the working capital available for the group is sufficient for the next 12 months from the date of publication of the announcement under sub-paragraph (b); and</w:t>
      </w:r>
    </w:p>
    <w:p w:rsidR="003B3C5F" w:rsidRDefault="003B3C5F" w:rsidP="003B3C5F">
      <w:pPr>
        <w:pStyle w:val="a4"/>
        <w:snapToGrid w:val="0"/>
        <w:spacing w:after="0" w:line="240" w:lineRule="auto"/>
        <w:ind w:left="1985"/>
        <w:jc w:val="both"/>
        <w:rPr>
          <w:rFonts w:ascii="Arial" w:hAnsi="Arial" w:cs="Arial"/>
          <w:bCs/>
          <w:sz w:val="20"/>
          <w:szCs w:val="20"/>
          <w:lang w:eastAsia="zh-TW"/>
        </w:rPr>
      </w:pPr>
    </w:p>
    <w:p w:rsidR="003B3C5F" w:rsidRPr="003B3C5F" w:rsidRDefault="003B3C5F" w:rsidP="00583F68">
      <w:pPr>
        <w:pStyle w:val="a4"/>
        <w:numPr>
          <w:ilvl w:val="1"/>
          <w:numId w:val="41"/>
        </w:numPr>
        <w:snapToGrid w:val="0"/>
        <w:spacing w:after="0" w:line="240" w:lineRule="auto"/>
        <w:ind w:left="1985" w:hanging="567"/>
        <w:jc w:val="both"/>
        <w:rPr>
          <w:rFonts w:ascii="Arial" w:hAnsi="Arial" w:cs="Arial"/>
          <w:bCs/>
          <w:sz w:val="20"/>
          <w:szCs w:val="20"/>
          <w:lang w:eastAsia="zh-TW"/>
        </w:rPr>
      </w:pPr>
      <w:r w:rsidRPr="003B3C5F">
        <w:rPr>
          <w:rFonts w:ascii="Arial" w:hAnsi="Arial" w:cs="Arial"/>
          <w:bCs/>
          <w:sz w:val="20"/>
          <w:szCs w:val="20"/>
          <w:lang w:eastAsia="zh-TW"/>
        </w:rPr>
        <w:t>the issuer’s financial advisers or auditors are satisfied that this confirmation has been given after due and careful enquiry and that persons or institutions providing finance have stated in writing that the relevant financing facilities exist.</w:t>
      </w:r>
    </w:p>
    <w:p w:rsidR="00FE2827" w:rsidRDefault="00FE2827" w:rsidP="00124810">
      <w:pPr>
        <w:pStyle w:val="a4"/>
        <w:snapToGrid w:val="0"/>
        <w:spacing w:after="0" w:line="240" w:lineRule="auto"/>
        <w:ind w:left="709"/>
        <w:jc w:val="both"/>
        <w:rPr>
          <w:rFonts w:ascii="Arial" w:hAnsi="Arial" w:cs="Arial"/>
          <w:bCs/>
          <w:sz w:val="20"/>
          <w:szCs w:val="20"/>
          <w:lang w:eastAsia="zh-TW"/>
        </w:rPr>
      </w:pPr>
    </w:p>
    <w:p w:rsidR="00FE2827" w:rsidRDefault="003B3C5F" w:rsidP="00124810">
      <w:pPr>
        <w:pStyle w:val="a4"/>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 xml:space="preserve">Under the </w:t>
      </w:r>
      <w:r w:rsidR="006B7DE6">
        <w:rPr>
          <w:rFonts w:ascii="Arial" w:hAnsi="Arial" w:cs="Arial"/>
          <w:bCs/>
          <w:sz w:val="20"/>
          <w:szCs w:val="20"/>
          <w:lang w:eastAsia="zh-TW"/>
        </w:rPr>
        <w:t xml:space="preserve">proposed </w:t>
      </w:r>
      <w:r>
        <w:rPr>
          <w:rFonts w:ascii="Arial" w:hAnsi="Arial" w:cs="Arial"/>
          <w:bCs/>
          <w:sz w:val="20"/>
          <w:szCs w:val="20"/>
          <w:lang w:eastAsia="zh-TW"/>
        </w:rPr>
        <w:t>Streamlined Transfer Mechanism, the transfer applicant must also:</w:t>
      </w:r>
    </w:p>
    <w:p w:rsidR="003B3C5F" w:rsidRDefault="003B3C5F" w:rsidP="00124810">
      <w:pPr>
        <w:pStyle w:val="a4"/>
        <w:snapToGrid w:val="0"/>
        <w:spacing w:after="0" w:line="240" w:lineRule="auto"/>
        <w:ind w:left="709"/>
        <w:jc w:val="both"/>
        <w:rPr>
          <w:rFonts w:ascii="Arial" w:hAnsi="Arial" w:cs="Arial"/>
          <w:bCs/>
          <w:sz w:val="20"/>
          <w:szCs w:val="20"/>
          <w:lang w:eastAsia="zh-TW"/>
        </w:rPr>
      </w:pPr>
    </w:p>
    <w:p w:rsidR="003B3C5F" w:rsidRDefault="003B3C5F" w:rsidP="003B3C5F">
      <w:pPr>
        <w:pStyle w:val="a4"/>
        <w:numPr>
          <w:ilvl w:val="0"/>
          <w:numId w:val="42"/>
        </w:numPr>
        <w:snapToGrid w:val="0"/>
        <w:spacing w:after="0" w:line="240" w:lineRule="auto"/>
        <w:ind w:left="1418" w:hanging="720"/>
        <w:jc w:val="both"/>
        <w:rPr>
          <w:rFonts w:ascii="Arial" w:hAnsi="Arial" w:cs="Arial"/>
          <w:bCs/>
          <w:sz w:val="20"/>
          <w:szCs w:val="20"/>
          <w:lang w:eastAsia="zh-TW"/>
        </w:rPr>
      </w:pPr>
      <w:r w:rsidRPr="003B3C5F">
        <w:rPr>
          <w:rFonts w:ascii="Arial" w:hAnsi="Arial" w:cs="Arial"/>
          <w:bCs/>
          <w:sz w:val="20"/>
          <w:szCs w:val="20"/>
          <w:lang w:eastAsia="zh-TW"/>
        </w:rPr>
        <w:t>have obtained all necessary shareholders</w:t>
      </w:r>
      <w:r w:rsidR="00197B05">
        <w:rPr>
          <w:rFonts w:ascii="Arial" w:hAnsi="Arial" w:cs="Arial"/>
          <w:bCs/>
          <w:sz w:val="20"/>
          <w:szCs w:val="20"/>
          <w:lang w:eastAsia="zh-TW"/>
        </w:rPr>
        <w:t>’</w:t>
      </w:r>
      <w:r w:rsidRPr="003B3C5F">
        <w:rPr>
          <w:rFonts w:ascii="Arial" w:hAnsi="Arial" w:cs="Arial"/>
          <w:bCs/>
          <w:sz w:val="20"/>
          <w:szCs w:val="20"/>
          <w:lang w:eastAsia="zh-TW"/>
        </w:rPr>
        <w:t>, board and/or regulatory approvals requi</w:t>
      </w:r>
      <w:r>
        <w:rPr>
          <w:rFonts w:ascii="Arial" w:hAnsi="Arial" w:cs="Arial"/>
          <w:bCs/>
          <w:sz w:val="20"/>
          <w:szCs w:val="20"/>
          <w:lang w:eastAsia="zh-TW"/>
        </w:rPr>
        <w:t>red for the transfer of listing;</w:t>
      </w:r>
    </w:p>
    <w:p w:rsidR="006132A8" w:rsidRDefault="006132A8" w:rsidP="006132A8">
      <w:pPr>
        <w:pStyle w:val="a4"/>
        <w:snapToGrid w:val="0"/>
        <w:spacing w:after="0" w:line="240" w:lineRule="auto"/>
        <w:ind w:left="1418"/>
        <w:jc w:val="both"/>
        <w:rPr>
          <w:rFonts w:ascii="Arial" w:hAnsi="Arial" w:cs="Arial"/>
          <w:bCs/>
          <w:sz w:val="20"/>
          <w:szCs w:val="20"/>
          <w:lang w:eastAsia="zh-TW"/>
        </w:rPr>
      </w:pPr>
    </w:p>
    <w:p w:rsidR="006132A8" w:rsidRDefault="006132A8" w:rsidP="003B3C5F">
      <w:pPr>
        <w:pStyle w:val="a4"/>
        <w:numPr>
          <w:ilvl w:val="0"/>
          <w:numId w:val="42"/>
        </w:numPr>
        <w:snapToGrid w:val="0"/>
        <w:spacing w:after="0" w:line="240" w:lineRule="auto"/>
        <w:ind w:left="1418" w:hanging="720"/>
        <w:jc w:val="both"/>
        <w:rPr>
          <w:rFonts w:ascii="Arial" w:hAnsi="Arial" w:cs="Arial"/>
          <w:bCs/>
          <w:sz w:val="20"/>
          <w:szCs w:val="20"/>
          <w:lang w:eastAsia="zh-TW"/>
        </w:rPr>
      </w:pPr>
      <w:r>
        <w:rPr>
          <w:rFonts w:ascii="Arial" w:hAnsi="Arial" w:cs="Arial"/>
          <w:bCs/>
          <w:sz w:val="20"/>
          <w:szCs w:val="20"/>
          <w:lang w:eastAsia="zh-TW"/>
        </w:rPr>
        <w:t xml:space="preserve">demonstrate that there has been, throughout its </w:t>
      </w:r>
      <w:r w:rsidR="00197B05">
        <w:rPr>
          <w:rFonts w:ascii="Arial" w:hAnsi="Arial" w:cs="Arial"/>
          <w:bCs/>
          <w:sz w:val="20"/>
          <w:szCs w:val="20"/>
          <w:lang w:eastAsia="zh-TW"/>
        </w:rPr>
        <w:t>three</w:t>
      </w:r>
      <w:r>
        <w:rPr>
          <w:rFonts w:ascii="Arial" w:hAnsi="Arial" w:cs="Arial"/>
          <w:bCs/>
          <w:sz w:val="20"/>
          <w:szCs w:val="20"/>
          <w:lang w:eastAsia="zh-TW"/>
        </w:rPr>
        <w:t>-year financial track record period: (</w:t>
      </w:r>
      <w:proofErr w:type="spellStart"/>
      <w:r>
        <w:rPr>
          <w:rFonts w:ascii="Arial" w:hAnsi="Arial" w:cs="Arial"/>
          <w:bCs/>
          <w:sz w:val="20"/>
          <w:szCs w:val="20"/>
          <w:lang w:eastAsia="zh-TW"/>
        </w:rPr>
        <w:t>i</w:t>
      </w:r>
      <w:proofErr w:type="spellEnd"/>
      <w:r>
        <w:rPr>
          <w:rFonts w:ascii="Arial" w:hAnsi="Arial" w:cs="Arial"/>
          <w:bCs/>
          <w:sz w:val="20"/>
          <w:szCs w:val="20"/>
          <w:lang w:eastAsia="zh-TW"/>
        </w:rPr>
        <w:t>) ownership continuity and control; and (ii) no fundamental change in its principal business;</w:t>
      </w:r>
    </w:p>
    <w:p w:rsidR="003B3C5F" w:rsidRDefault="003B3C5F" w:rsidP="003B3C5F">
      <w:pPr>
        <w:pStyle w:val="a4"/>
        <w:snapToGrid w:val="0"/>
        <w:spacing w:after="0" w:line="240" w:lineRule="auto"/>
        <w:ind w:left="1418"/>
        <w:jc w:val="both"/>
        <w:rPr>
          <w:rFonts w:ascii="Arial" w:hAnsi="Arial" w:cs="Arial"/>
          <w:bCs/>
          <w:sz w:val="20"/>
          <w:szCs w:val="20"/>
          <w:lang w:eastAsia="zh-TW"/>
        </w:rPr>
      </w:pPr>
    </w:p>
    <w:p w:rsidR="003B3C5F" w:rsidRDefault="003B3C5F" w:rsidP="003B3C5F">
      <w:pPr>
        <w:pStyle w:val="a4"/>
        <w:numPr>
          <w:ilvl w:val="0"/>
          <w:numId w:val="42"/>
        </w:numPr>
        <w:snapToGrid w:val="0"/>
        <w:spacing w:after="0" w:line="240" w:lineRule="auto"/>
        <w:ind w:left="1418" w:hanging="720"/>
        <w:jc w:val="both"/>
        <w:rPr>
          <w:rFonts w:ascii="Arial" w:hAnsi="Arial" w:cs="Arial"/>
          <w:bCs/>
          <w:sz w:val="20"/>
          <w:szCs w:val="20"/>
          <w:lang w:eastAsia="zh-TW"/>
        </w:rPr>
      </w:pPr>
      <w:r>
        <w:rPr>
          <w:rFonts w:ascii="Arial" w:hAnsi="Arial" w:cs="Arial"/>
          <w:bCs/>
          <w:sz w:val="20"/>
          <w:szCs w:val="20"/>
          <w:lang w:eastAsia="zh-TW"/>
        </w:rPr>
        <w:t xml:space="preserve">publish </w:t>
      </w:r>
      <w:r w:rsidRPr="003B3C5F">
        <w:rPr>
          <w:rFonts w:ascii="Arial" w:hAnsi="Arial" w:cs="Arial"/>
          <w:bCs/>
          <w:sz w:val="20"/>
          <w:szCs w:val="20"/>
          <w:lang w:eastAsia="zh-TW"/>
        </w:rPr>
        <w:t>a short announcement informing the public of the application on the day of application for transfer;</w:t>
      </w:r>
      <w:r>
        <w:rPr>
          <w:rFonts w:ascii="Arial" w:hAnsi="Arial" w:cs="Arial"/>
          <w:bCs/>
          <w:sz w:val="20"/>
          <w:szCs w:val="20"/>
          <w:lang w:eastAsia="zh-TW"/>
        </w:rPr>
        <w:t xml:space="preserve"> and</w:t>
      </w:r>
    </w:p>
    <w:p w:rsidR="003B3C5F" w:rsidRPr="003B3C5F" w:rsidRDefault="003B3C5F" w:rsidP="003B3C5F">
      <w:pPr>
        <w:pStyle w:val="a4"/>
        <w:rPr>
          <w:rFonts w:ascii="Arial" w:hAnsi="Arial" w:cs="Arial"/>
          <w:bCs/>
          <w:sz w:val="20"/>
          <w:szCs w:val="20"/>
          <w:lang w:eastAsia="zh-TW"/>
        </w:rPr>
      </w:pPr>
    </w:p>
    <w:p w:rsidR="003B3C5F" w:rsidRPr="003B3C5F" w:rsidRDefault="003B3C5F" w:rsidP="003B3C5F">
      <w:pPr>
        <w:pStyle w:val="a4"/>
        <w:numPr>
          <w:ilvl w:val="0"/>
          <w:numId w:val="42"/>
        </w:numPr>
        <w:snapToGrid w:val="0"/>
        <w:spacing w:after="0" w:line="240" w:lineRule="auto"/>
        <w:ind w:left="1418" w:hanging="720"/>
        <w:jc w:val="both"/>
        <w:rPr>
          <w:rFonts w:ascii="Arial" w:hAnsi="Arial" w:cs="Arial"/>
          <w:bCs/>
          <w:sz w:val="20"/>
          <w:szCs w:val="20"/>
          <w:lang w:eastAsia="zh-TW"/>
        </w:rPr>
      </w:pPr>
      <w:r>
        <w:rPr>
          <w:rFonts w:ascii="Arial" w:hAnsi="Arial" w:cs="Arial"/>
          <w:bCs/>
          <w:sz w:val="20"/>
          <w:szCs w:val="20"/>
          <w:lang w:eastAsia="zh-TW"/>
        </w:rPr>
        <w:t xml:space="preserve">publish </w:t>
      </w:r>
      <w:r w:rsidR="00522A8B">
        <w:rPr>
          <w:rFonts w:ascii="Arial" w:hAnsi="Arial" w:cs="Arial"/>
          <w:bCs/>
          <w:sz w:val="20"/>
          <w:szCs w:val="20"/>
          <w:lang w:eastAsia="zh-TW"/>
        </w:rPr>
        <w:t>the Long-Form Announcement</w:t>
      </w:r>
      <w:r w:rsidRPr="003B3C5F">
        <w:rPr>
          <w:rFonts w:ascii="Arial" w:hAnsi="Arial" w:cs="Arial"/>
          <w:bCs/>
          <w:sz w:val="20"/>
          <w:szCs w:val="20"/>
          <w:lang w:eastAsia="zh-TW"/>
        </w:rPr>
        <w:t xml:space="preserve"> as soon as practicable after it has received from the </w:t>
      </w:r>
      <w:r w:rsidR="00522A8B">
        <w:rPr>
          <w:rFonts w:ascii="Arial" w:hAnsi="Arial" w:cs="Arial"/>
          <w:bCs/>
          <w:sz w:val="20"/>
          <w:szCs w:val="20"/>
          <w:lang w:eastAsia="zh-TW"/>
        </w:rPr>
        <w:t>HKEX</w:t>
      </w:r>
      <w:r w:rsidRPr="003B3C5F">
        <w:rPr>
          <w:rFonts w:ascii="Arial" w:hAnsi="Arial" w:cs="Arial"/>
          <w:bCs/>
          <w:sz w:val="20"/>
          <w:szCs w:val="20"/>
          <w:lang w:eastAsia="zh-TW"/>
        </w:rPr>
        <w:t xml:space="preserve"> formal in-</w:t>
      </w:r>
      <w:proofErr w:type="gramStart"/>
      <w:r w:rsidRPr="003B3C5F">
        <w:rPr>
          <w:rFonts w:ascii="Arial" w:hAnsi="Arial" w:cs="Arial"/>
          <w:bCs/>
          <w:sz w:val="20"/>
          <w:szCs w:val="20"/>
          <w:lang w:eastAsia="zh-TW"/>
        </w:rPr>
        <w:t>principle</w:t>
      </w:r>
      <w:proofErr w:type="gramEnd"/>
      <w:r w:rsidRPr="003B3C5F">
        <w:rPr>
          <w:rFonts w:ascii="Arial" w:hAnsi="Arial" w:cs="Arial"/>
          <w:bCs/>
          <w:sz w:val="20"/>
          <w:szCs w:val="20"/>
          <w:lang w:eastAsia="zh-TW"/>
        </w:rPr>
        <w:t xml:space="preserve"> approval for transfer of its listing (i.e. not later than </w:t>
      </w:r>
      <w:r w:rsidR="00015F8B">
        <w:rPr>
          <w:rFonts w:ascii="Arial" w:hAnsi="Arial" w:cs="Arial"/>
          <w:bCs/>
          <w:sz w:val="20"/>
          <w:szCs w:val="20"/>
          <w:lang w:eastAsia="zh-TW"/>
        </w:rPr>
        <w:t>one</w:t>
      </w:r>
      <w:r w:rsidR="00015F8B" w:rsidRPr="003B3C5F">
        <w:rPr>
          <w:rFonts w:ascii="Arial" w:hAnsi="Arial" w:cs="Arial"/>
          <w:bCs/>
          <w:sz w:val="20"/>
          <w:szCs w:val="20"/>
          <w:lang w:eastAsia="zh-TW"/>
        </w:rPr>
        <w:t xml:space="preserve"> </w:t>
      </w:r>
      <w:r w:rsidRPr="003B3C5F">
        <w:rPr>
          <w:rFonts w:ascii="Arial" w:hAnsi="Arial" w:cs="Arial"/>
          <w:bCs/>
          <w:sz w:val="20"/>
          <w:szCs w:val="20"/>
          <w:lang w:eastAsia="zh-TW"/>
        </w:rPr>
        <w:t xml:space="preserve">business day after its receipt of such formal in-principle approval and at least </w:t>
      </w:r>
      <w:r w:rsidR="00197B05">
        <w:rPr>
          <w:rFonts w:ascii="Arial" w:hAnsi="Arial" w:cs="Arial"/>
          <w:bCs/>
          <w:sz w:val="20"/>
          <w:szCs w:val="20"/>
          <w:lang w:eastAsia="zh-TW"/>
        </w:rPr>
        <w:t>five</w:t>
      </w:r>
      <w:r w:rsidRPr="003B3C5F">
        <w:rPr>
          <w:rFonts w:ascii="Arial" w:hAnsi="Arial" w:cs="Arial"/>
          <w:bCs/>
          <w:sz w:val="20"/>
          <w:szCs w:val="20"/>
          <w:lang w:eastAsia="zh-TW"/>
        </w:rPr>
        <w:t xml:space="preserve"> clear business days before the date dealings in its shares on the Main Board are expected to commence).</w:t>
      </w:r>
    </w:p>
    <w:p w:rsidR="00522A8B" w:rsidRDefault="00522A8B" w:rsidP="00124810">
      <w:pPr>
        <w:pStyle w:val="a4"/>
        <w:snapToGrid w:val="0"/>
        <w:spacing w:after="0" w:line="240" w:lineRule="auto"/>
        <w:ind w:left="709"/>
        <w:jc w:val="both"/>
        <w:rPr>
          <w:rFonts w:ascii="Arial" w:hAnsi="Arial" w:cs="Arial"/>
          <w:bCs/>
          <w:sz w:val="20"/>
          <w:szCs w:val="20"/>
          <w:lang w:eastAsia="zh-TW"/>
        </w:rPr>
      </w:pPr>
    </w:p>
    <w:p w:rsidR="00583F68" w:rsidRPr="006C6B14" w:rsidRDefault="006B7DE6" w:rsidP="00124810">
      <w:pPr>
        <w:pStyle w:val="a4"/>
        <w:snapToGrid w:val="0"/>
        <w:spacing w:after="0" w:line="240" w:lineRule="auto"/>
        <w:ind w:left="709"/>
        <w:jc w:val="both"/>
        <w:rPr>
          <w:rFonts w:ascii="Arial" w:hAnsi="Arial" w:cs="Arial"/>
          <w:b/>
          <w:bCs/>
          <w:sz w:val="20"/>
          <w:szCs w:val="20"/>
          <w:lang w:eastAsia="zh-TW"/>
        </w:rPr>
      </w:pPr>
      <w:r>
        <w:rPr>
          <w:rFonts w:ascii="Arial" w:hAnsi="Arial" w:cs="Arial"/>
          <w:b/>
          <w:bCs/>
          <w:sz w:val="20"/>
          <w:szCs w:val="20"/>
          <w:lang w:eastAsia="zh-TW"/>
        </w:rPr>
        <w:t>Proposed</w:t>
      </w:r>
      <w:r w:rsidRPr="006C6B14">
        <w:rPr>
          <w:rFonts w:ascii="Arial" w:hAnsi="Arial" w:cs="Arial"/>
          <w:b/>
          <w:bCs/>
          <w:sz w:val="20"/>
          <w:szCs w:val="20"/>
          <w:lang w:eastAsia="zh-TW"/>
        </w:rPr>
        <w:t xml:space="preserve"> </w:t>
      </w:r>
      <w:r>
        <w:rPr>
          <w:rFonts w:ascii="Arial" w:hAnsi="Arial" w:cs="Arial"/>
          <w:b/>
          <w:bCs/>
          <w:sz w:val="20"/>
          <w:szCs w:val="20"/>
          <w:lang w:eastAsia="zh-TW"/>
        </w:rPr>
        <w:t>d</w:t>
      </w:r>
      <w:r w:rsidRPr="006C6B14">
        <w:rPr>
          <w:rFonts w:ascii="Arial" w:hAnsi="Arial" w:cs="Arial"/>
          <w:b/>
          <w:bCs/>
          <w:sz w:val="20"/>
          <w:szCs w:val="20"/>
          <w:lang w:eastAsia="zh-TW"/>
        </w:rPr>
        <w:t xml:space="preserve">aily </w:t>
      </w:r>
      <w:r w:rsidR="006132A8" w:rsidRPr="006C6B14">
        <w:rPr>
          <w:rFonts w:ascii="Arial" w:hAnsi="Arial" w:cs="Arial"/>
          <w:b/>
          <w:bCs/>
          <w:sz w:val="20"/>
          <w:szCs w:val="20"/>
          <w:lang w:eastAsia="zh-TW"/>
        </w:rPr>
        <w:t>turnover test</w:t>
      </w:r>
    </w:p>
    <w:p w:rsidR="001927D3" w:rsidRDefault="001927D3" w:rsidP="00124810">
      <w:pPr>
        <w:pStyle w:val="a4"/>
        <w:snapToGrid w:val="0"/>
        <w:spacing w:after="0" w:line="240" w:lineRule="auto"/>
        <w:ind w:left="709"/>
        <w:jc w:val="both"/>
        <w:rPr>
          <w:rFonts w:ascii="Arial" w:hAnsi="Arial" w:cs="Arial"/>
          <w:bCs/>
          <w:sz w:val="20"/>
          <w:szCs w:val="20"/>
          <w:lang w:eastAsia="zh-TW"/>
        </w:rPr>
      </w:pPr>
    </w:p>
    <w:p w:rsidR="0017464D" w:rsidRDefault="006132A8" w:rsidP="006132A8">
      <w:pPr>
        <w:pStyle w:val="a4"/>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The HKEX propose</w:t>
      </w:r>
      <w:r w:rsidR="00015F8B">
        <w:rPr>
          <w:rFonts w:ascii="Arial" w:hAnsi="Arial" w:cs="Arial"/>
          <w:bCs/>
          <w:sz w:val="20"/>
          <w:szCs w:val="20"/>
          <w:lang w:eastAsia="zh-TW"/>
        </w:rPr>
        <w:t>s</w:t>
      </w:r>
      <w:r w:rsidRPr="006132A8">
        <w:rPr>
          <w:rFonts w:ascii="Arial" w:hAnsi="Arial" w:cs="Arial"/>
          <w:bCs/>
          <w:sz w:val="20"/>
          <w:szCs w:val="20"/>
          <w:lang w:eastAsia="zh-TW"/>
        </w:rPr>
        <w:t xml:space="preserve"> that the daily turnover of a transfer applicant must have reached a minimum threshold (</w:t>
      </w:r>
      <w:r w:rsidRPr="006132A8">
        <w:rPr>
          <w:rFonts w:ascii="Arial" w:hAnsi="Arial" w:cs="Arial"/>
          <w:b/>
          <w:bCs/>
          <w:sz w:val="20"/>
          <w:szCs w:val="20"/>
          <w:lang w:eastAsia="zh-TW"/>
        </w:rPr>
        <w:t>Minimum Daily Turnover Threshold</w:t>
      </w:r>
      <w:r w:rsidRPr="006132A8">
        <w:rPr>
          <w:rFonts w:ascii="Arial" w:hAnsi="Arial" w:cs="Arial"/>
          <w:bCs/>
          <w:sz w:val="20"/>
          <w:szCs w:val="20"/>
          <w:lang w:eastAsia="zh-TW"/>
        </w:rPr>
        <w:t xml:space="preserve">) on at least 50% of the trading days over the 250 trading days immediately preceding the transfer application and until the commencement of dealings in its securities on the Main Board (the </w:t>
      </w:r>
      <w:r w:rsidRPr="006132A8">
        <w:rPr>
          <w:rFonts w:ascii="Arial" w:hAnsi="Arial" w:cs="Arial"/>
          <w:b/>
          <w:bCs/>
          <w:sz w:val="20"/>
          <w:szCs w:val="20"/>
          <w:lang w:eastAsia="zh-TW"/>
        </w:rPr>
        <w:t>Reference Period</w:t>
      </w:r>
      <w:r>
        <w:rPr>
          <w:rFonts w:ascii="Arial" w:hAnsi="Arial" w:cs="Arial"/>
          <w:bCs/>
          <w:sz w:val="20"/>
          <w:szCs w:val="20"/>
          <w:lang w:eastAsia="zh-TW"/>
        </w:rPr>
        <w:t>).</w:t>
      </w:r>
      <w:r w:rsidRPr="006132A8">
        <w:rPr>
          <w:rFonts w:ascii="Arial" w:hAnsi="Arial" w:cs="Arial"/>
          <w:bCs/>
          <w:sz w:val="20"/>
          <w:szCs w:val="20"/>
          <w:lang w:eastAsia="zh-TW"/>
        </w:rPr>
        <w:t xml:space="preserve"> For this purpose: </w:t>
      </w:r>
    </w:p>
    <w:p w:rsidR="0017464D" w:rsidRDefault="0017464D" w:rsidP="006132A8">
      <w:pPr>
        <w:pStyle w:val="a4"/>
        <w:snapToGrid w:val="0"/>
        <w:spacing w:after="0" w:line="240" w:lineRule="auto"/>
        <w:ind w:left="709"/>
        <w:jc w:val="both"/>
        <w:rPr>
          <w:rFonts w:ascii="Arial" w:hAnsi="Arial" w:cs="Arial"/>
          <w:bCs/>
          <w:sz w:val="20"/>
          <w:szCs w:val="20"/>
          <w:lang w:eastAsia="zh-TW"/>
        </w:rPr>
      </w:pPr>
    </w:p>
    <w:p w:rsidR="0017464D" w:rsidRDefault="006132A8" w:rsidP="0017464D">
      <w:pPr>
        <w:pStyle w:val="a4"/>
        <w:numPr>
          <w:ilvl w:val="0"/>
          <w:numId w:val="44"/>
        </w:numPr>
        <w:snapToGrid w:val="0"/>
        <w:spacing w:after="0" w:line="240" w:lineRule="auto"/>
        <w:ind w:left="1418" w:hanging="720"/>
        <w:jc w:val="both"/>
        <w:rPr>
          <w:rFonts w:ascii="Arial" w:hAnsi="Arial" w:cs="Arial"/>
          <w:bCs/>
          <w:sz w:val="20"/>
          <w:szCs w:val="20"/>
          <w:lang w:eastAsia="zh-TW"/>
        </w:rPr>
      </w:pPr>
      <w:r w:rsidRPr="006132A8">
        <w:rPr>
          <w:rFonts w:ascii="Arial" w:hAnsi="Arial" w:cs="Arial"/>
          <w:bCs/>
          <w:sz w:val="20"/>
          <w:szCs w:val="20"/>
          <w:lang w:eastAsia="zh-TW"/>
        </w:rPr>
        <w:t>the “daily turnover” of a transfer applicant refers to the trading turnover in the applicant’s GEM shares (</w:t>
      </w:r>
      <w:proofErr w:type="gramStart"/>
      <w:r w:rsidRPr="006132A8">
        <w:rPr>
          <w:rFonts w:ascii="Arial" w:hAnsi="Arial" w:cs="Arial"/>
          <w:bCs/>
          <w:sz w:val="20"/>
          <w:szCs w:val="20"/>
          <w:lang w:eastAsia="zh-TW"/>
        </w:rPr>
        <w:t>i.e.</w:t>
      </w:r>
      <w:proofErr w:type="gramEnd"/>
      <w:r w:rsidRPr="006132A8">
        <w:rPr>
          <w:rFonts w:ascii="Arial" w:hAnsi="Arial" w:cs="Arial"/>
          <w:bCs/>
          <w:sz w:val="20"/>
          <w:szCs w:val="20"/>
          <w:lang w:eastAsia="zh-TW"/>
        </w:rPr>
        <w:t xml:space="preserve"> value of GEM shares traded) on a trading day as stated in the </w:t>
      </w:r>
      <w:r w:rsidR="0017464D">
        <w:rPr>
          <w:rFonts w:ascii="Arial" w:hAnsi="Arial" w:cs="Arial"/>
          <w:bCs/>
          <w:sz w:val="20"/>
          <w:szCs w:val="20"/>
          <w:lang w:eastAsia="zh-TW"/>
        </w:rPr>
        <w:t>HKEX’s daily quotations sheets;</w:t>
      </w:r>
      <w:r w:rsidRPr="006132A8">
        <w:rPr>
          <w:rFonts w:ascii="Arial" w:hAnsi="Arial" w:cs="Arial"/>
          <w:bCs/>
          <w:sz w:val="20"/>
          <w:szCs w:val="20"/>
          <w:lang w:eastAsia="zh-TW"/>
        </w:rPr>
        <w:t xml:space="preserve"> and</w:t>
      </w:r>
    </w:p>
    <w:p w:rsidR="0017464D" w:rsidRDefault="0017464D" w:rsidP="0017464D">
      <w:pPr>
        <w:pStyle w:val="a4"/>
        <w:snapToGrid w:val="0"/>
        <w:spacing w:after="0" w:line="240" w:lineRule="auto"/>
        <w:ind w:left="1418"/>
        <w:jc w:val="both"/>
        <w:rPr>
          <w:rFonts w:ascii="Arial" w:hAnsi="Arial" w:cs="Arial"/>
          <w:bCs/>
          <w:sz w:val="20"/>
          <w:szCs w:val="20"/>
          <w:lang w:eastAsia="zh-TW"/>
        </w:rPr>
      </w:pPr>
    </w:p>
    <w:p w:rsidR="0017464D" w:rsidRDefault="006132A8" w:rsidP="0017464D">
      <w:pPr>
        <w:pStyle w:val="a4"/>
        <w:numPr>
          <w:ilvl w:val="0"/>
          <w:numId w:val="44"/>
        </w:numPr>
        <w:snapToGrid w:val="0"/>
        <w:spacing w:after="0" w:line="240" w:lineRule="auto"/>
        <w:ind w:left="1418" w:hanging="720"/>
        <w:jc w:val="both"/>
        <w:rPr>
          <w:rFonts w:ascii="Arial" w:hAnsi="Arial" w:cs="Arial"/>
          <w:bCs/>
          <w:sz w:val="20"/>
          <w:szCs w:val="20"/>
          <w:lang w:eastAsia="zh-TW"/>
        </w:rPr>
      </w:pPr>
      <w:r w:rsidRPr="006132A8">
        <w:rPr>
          <w:rFonts w:ascii="Arial" w:hAnsi="Arial" w:cs="Arial"/>
          <w:bCs/>
          <w:sz w:val="20"/>
          <w:szCs w:val="20"/>
          <w:lang w:eastAsia="zh-TW"/>
        </w:rPr>
        <w:t xml:space="preserve">the reference to “trading days” excludes the number of trading days on which trading of the applicant’s securities were halted or suspended. </w:t>
      </w:r>
    </w:p>
    <w:p w:rsidR="0017464D" w:rsidRPr="0017464D" w:rsidRDefault="0017464D" w:rsidP="0017464D">
      <w:pPr>
        <w:pStyle w:val="a4"/>
        <w:rPr>
          <w:rFonts w:ascii="Arial" w:hAnsi="Arial" w:cs="Arial"/>
          <w:bCs/>
          <w:sz w:val="20"/>
          <w:szCs w:val="20"/>
          <w:lang w:eastAsia="zh-TW"/>
        </w:rPr>
      </w:pPr>
    </w:p>
    <w:p w:rsidR="0017464D" w:rsidRDefault="0017464D" w:rsidP="0017464D">
      <w:pPr>
        <w:pStyle w:val="a4"/>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The</w:t>
      </w:r>
      <w:r w:rsidR="006132A8" w:rsidRPr="0017464D">
        <w:rPr>
          <w:rFonts w:ascii="Arial" w:hAnsi="Arial" w:cs="Arial"/>
          <w:bCs/>
          <w:sz w:val="20"/>
          <w:szCs w:val="20"/>
          <w:lang w:eastAsia="zh-TW"/>
        </w:rPr>
        <w:t xml:space="preserve"> Minimum Daily Turnover Threshold </w:t>
      </w:r>
      <w:r>
        <w:rPr>
          <w:rFonts w:ascii="Arial" w:hAnsi="Arial" w:cs="Arial"/>
          <w:bCs/>
          <w:sz w:val="20"/>
          <w:szCs w:val="20"/>
          <w:lang w:eastAsia="zh-TW"/>
        </w:rPr>
        <w:t xml:space="preserve">is proposed to </w:t>
      </w:r>
      <w:r w:rsidR="006132A8" w:rsidRPr="0017464D">
        <w:rPr>
          <w:rFonts w:ascii="Arial" w:hAnsi="Arial" w:cs="Arial"/>
          <w:bCs/>
          <w:sz w:val="20"/>
          <w:szCs w:val="20"/>
          <w:lang w:eastAsia="zh-TW"/>
        </w:rPr>
        <w:t>be set at either HK$100,000 or HK$50,000</w:t>
      </w:r>
      <w:r>
        <w:rPr>
          <w:rFonts w:ascii="Arial" w:hAnsi="Arial" w:cs="Arial"/>
          <w:bCs/>
          <w:sz w:val="20"/>
          <w:szCs w:val="20"/>
          <w:lang w:eastAsia="zh-TW"/>
        </w:rPr>
        <w:t xml:space="preserve"> (subject to views of respondents). </w:t>
      </w:r>
      <w:r w:rsidR="00015F8B">
        <w:rPr>
          <w:rFonts w:ascii="Arial" w:hAnsi="Arial" w:cs="Arial"/>
          <w:bCs/>
          <w:sz w:val="20"/>
          <w:szCs w:val="20"/>
          <w:lang w:eastAsia="zh-TW"/>
        </w:rPr>
        <w:t>The p</w:t>
      </w:r>
      <w:r>
        <w:rPr>
          <w:rFonts w:ascii="Arial" w:hAnsi="Arial" w:cs="Arial"/>
          <w:bCs/>
          <w:sz w:val="20"/>
          <w:szCs w:val="20"/>
          <w:lang w:eastAsia="zh-TW"/>
        </w:rPr>
        <w:t xml:space="preserve">urpose </w:t>
      </w:r>
      <w:r w:rsidR="00015F8B">
        <w:rPr>
          <w:rFonts w:ascii="Arial" w:hAnsi="Arial" w:cs="Arial"/>
          <w:bCs/>
          <w:sz w:val="20"/>
          <w:szCs w:val="20"/>
          <w:lang w:eastAsia="zh-TW"/>
        </w:rPr>
        <w:t xml:space="preserve">of setting </w:t>
      </w:r>
      <w:r w:rsidR="007D30E2">
        <w:rPr>
          <w:rFonts w:ascii="Arial" w:hAnsi="Arial" w:cs="Arial"/>
          <w:bCs/>
          <w:sz w:val="20"/>
          <w:szCs w:val="20"/>
          <w:lang w:eastAsia="zh-TW"/>
        </w:rPr>
        <w:t>these</w:t>
      </w:r>
      <w:r w:rsidR="00015F8B">
        <w:rPr>
          <w:rFonts w:ascii="Arial" w:hAnsi="Arial" w:cs="Arial"/>
          <w:bCs/>
          <w:sz w:val="20"/>
          <w:szCs w:val="20"/>
          <w:lang w:eastAsia="zh-TW"/>
        </w:rPr>
        <w:t xml:space="preserve"> thresholds </w:t>
      </w:r>
      <w:r>
        <w:rPr>
          <w:rFonts w:ascii="Arial" w:hAnsi="Arial" w:cs="Arial"/>
          <w:bCs/>
          <w:sz w:val="20"/>
          <w:szCs w:val="20"/>
          <w:lang w:eastAsia="zh-TW"/>
        </w:rPr>
        <w:t xml:space="preserve">is to help ensure that the market </w:t>
      </w:r>
      <w:proofErr w:type="spellStart"/>
      <w:r>
        <w:rPr>
          <w:rFonts w:ascii="Arial" w:hAnsi="Arial" w:cs="Arial"/>
          <w:bCs/>
          <w:sz w:val="20"/>
          <w:szCs w:val="20"/>
          <w:lang w:eastAsia="zh-TW"/>
        </w:rPr>
        <w:t>capitalisation</w:t>
      </w:r>
      <w:proofErr w:type="spellEnd"/>
      <w:r>
        <w:rPr>
          <w:rFonts w:ascii="Arial" w:hAnsi="Arial" w:cs="Arial"/>
          <w:bCs/>
          <w:sz w:val="20"/>
          <w:szCs w:val="20"/>
          <w:lang w:eastAsia="zh-TW"/>
        </w:rPr>
        <w:t xml:space="preserve"> of a transferee is supported by a minimum level of daily turnover over the Reference Period at the time of its </w:t>
      </w:r>
      <w:r w:rsidR="00015F8B">
        <w:rPr>
          <w:rFonts w:ascii="Arial" w:hAnsi="Arial" w:cs="Arial"/>
          <w:bCs/>
          <w:sz w:val="20"/>
          <w:szCs w:val="20"/>
          <w:lang w:eastAsia="zh-TW"/>
        </w:rPr>
        <w:t xml:space="preserve">transfer of </w:t>
      </w:r>
      <w:r>
        <w:rPr>
          <w:rFonts w:ascii="Arial" w:hAnsi="Arial" w:cs="Arial"/>
          <w:bCs/>
          <w:sz w:val="20"/>
          <w:szCs w:val="20"/>
          <w:lang w:eastAsia="zh-TW"/>
        </w:rPr>
        <w:t xml:space="preserve">listing </w:t>
      </w:r>
      <w:r w:rsidR="00015F8B">
        <w:rPr>
          <w:rFonts w:ascii="Arial" w:hAnsi="Arial" w:cs="Arial"/>
          <w:bCs/>
          <w:sz w:val="20"/>
          <w:szCs w:val="20"/>
          <w:lang w:eastAsia="zh-TW"/>
        </w:rPr>
        <w:t xml:space="preserve">to </w:t>
      </w:r>
      <w:r>
        <w:rPr>
          <w:rFonts w:ascii="Arial" w:hAnsi="Arial" w:cs="Arial"/>
          <w:bCs/>
          <w:sz w:val="20"/>
          <w:szCs w:val="20"/>
          <w:lang w:eastAsia="zh-TW"/>
        </w:rPr>
        <w:t>the Main Board.</w:t>
      </w:r>
    </w:p>
    <w:p w:rsidR="0017464D" w:rsidRPr="006C6B14" w:rsidRDefault="0017464D" w:rsidP="0017464D">
      <w:pPr>
        <w:pStyle w:val="a4"/>
        <w:snapToGrid w:val="0"/>
        <w:spacing w:after="0" w:line="240" w:lineRule="auto"/>
        <w:ind w:left="709"/>
        <w:jc w:val="both"/>
        <w:rPr>
          <w:rFonts w:ascii="Arial" w:hAnsi="Arial" w:cs="Arial"/>
          <w:b/>
          <w:bCs/>
          <w:sz w:val="20"/>
          <w:szCs w:val="20"/>
          <w:lang w:eastAsia="zh-TW"/>
        </w:rPr>
      </w:pPr>
    </w:p>
    <w:p w:rsidR="0017464D" w:rsidRPr="006C6B14" w:rsidRDefault="006B7DE6" w:rsidP="0017464D">
      <w:pPr>
        <w:pStyle w:val="a4"/>
        <w:snapToGrid w:val="0"/>
        <w:spacing w:after="0" w:line="240" w:lineRule="auto"/>
        <w:ind w:left="709"/>
        <w:jc w:val="both"/>
        <w:rPr>
          <w:rFonts w:ascii="Arial" w:hAnsi="Arial" w:cs="Arial"/>
          <w:b/>
          <w:bCs/>
          <w:sz w:val="20"/>
          <w:szCs w:val="20"/>
          <w:lang w:eastAsia="zh-TW"/>
        </w:rPr>
      </w:pPr>
      <w:r>
        <w:rPr>
          <w:rFonts w:ascii="Arial" w:hAnsi="Arial" w:cs="Arial"/>
          <w:b/>
          <w:bCs/>
          <w:sz w:val="20"/>
          <w:szCs w:val="20"/>
          <w:lang w:eastAsia="zh-TW"/>
        </w:rPr>
        <w:t>Proposed</w:t>
      </w:r>
      <w:r w:rsidRPr="006C6B14">
        <w:rPr>
          <w:rFonts w:ascii="Arial" w:hAnsi="Arial" w:cs="Arial"/>
          <w:b/>
          <w:bCs/>
          <w:sz w:val="20"/>
          <w:szCs w:val="20"/>
          <w:lang w:eastAsia="zh-TW"/>
        </w:rPr>
        <w:t xml:space="preserve"> </w:t>
      </w:r>
      <w:r>
        <w:rPr>
          <w:rFonts w:ascii="Arial" w:hAnsi="Arial" w:cs="Arial"/>
          <w:b/>
          <w:bCs/>
          <w:sz w:val="20"/>
          <w:szCs w:val="20"/>
          <w:lang w:eastAsia="zh-TW"/>
        </w:rPr>
        <w:t>v</w:t>
      </w:r>
      <w:r w:rsidR="0017464D" w:rsidRPr="006C6B14">
        <w:rPr>
          <w:rFonts w:ascii="Arial" w:hAnsi="Arial" w:cs="Arial"/>
          <w:b/>
          <w:bCs/>
          <w:sz w:val="20"/>
          <w:szCs w:val="20"/>
          <w:lang w:eastAsia="zh-TW"/>
        </w:rPr>
        <w:t xml:space="preserve">olume weighted average market </w:t>
      </w:r>
      <w:proofErr w:type="spellStart"/>
      <w:r w:rsidR="0017464D" w:rsidRPr="006C6B14">
        <w:rPr>
          <w:rFonts w:ascii="Arial" w:hAnsi="Arial" w:cs="Arial"/>
          <w:b/>
          <w:bCs/>
          <w:sz w:val="20"/>
          <w:szCs w:val="20"/>
          <w:lang w:eastAsia="zh-TW"/>
        </w:rPr>
        <w:t>capitalisation</w:t>
      </w:r>
      <w:proofErr w:type="spellEnd"/>
      <w:r w:rsidR="0017464D" w:rsidRPr="006C6B14">
        <w:rPr>
          <w:rFonts w:ascii="Arial" w:hAnsi="Arial" w:cs="Arial"/>
          <w:b/>
          <w:bCs/>
          <w:sz w:val="20"/>
          <w:szCs w:val="20"/>
          <w:lang w:eastAsia="zh-TW"/>
        </w:rPr>
        <w:t xml:space="preserve"> test</w:t>
      </w:r>
    </w:p>
    <w:p w:rsidR="0017464D" w:rsidRDefault="0017464D" w:rsidP="0017464D">
      <w:pPr>
        <w:pStyle w:val="a4"/>
        <w:snapToGrid w:val="0"/>
        <w:spacing w:after="0" w:line="240" w:lineRule="auto"/>
        <w:ind w:left="709"/>
        <w:jc w:val="both"/>
        <w:rPr>
          <w:rFonts w:ascii="Arial" w:hAnsi="Arial" w:cs="Arial"/>
          <w:bCs/>
          <w:sz w:val="20"/>
          <w:szCs w:val="20"/>
          <w:lang w:eastAsia="zh-TW"/>
        </w:rPr>
      </w:pPr>
    </w:p>
    <w:p w:rsidR="00CF2C2B" w:rsidRPr="00533C95" w:rsidRDefault="00CF2C2B" w:rsidP="00533C95">
      <w:pPr>
        <w:pStyle w:val="a4"/>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lastRenderedPageBreak/>
        <w:t>The HKEX propose</w:t>
      </w:r>
      <w:r w:rsidR="00015F8B">
        <w:rPr>
          <w:rFonts w:ascii="Arial" w:hAnsi="Arial" w:cs="Arial"/>
          <w:bCs/>
          <w:sz w:val="20"/>
          <w:szCs w:val="20"/>
          <w:lang w:eastAsia="zh-TW"/>
        </w:rPr>
        <w:t>s</w:t>
      </w:r>
      <w:r>
        <w:rPr>
          <w:rFonts w:ascii="Arial" w:hAnsi="Arial" w:cs="Arial"/>
          <w:bCs/>
          <w:sz w:val="20"/>
          <w:szCs w:val="20"/>
          <w:lang w:eastAsia="zh-TW"/>
        </w:rPr>
        <w:t xml:space="preserve"> that the transfer applicant must have a volume weighted average market </w:t>
      </w:r>
      <w:proofErr w:type="spellStart"/>
      <w:r>
        <w:rPr>
          <w:rFonts w:ascii="Arial" w:hAnsi="Arial" w:cs="Arial"/>
          <w:bCs/>
          <w:sz w:val="20"/>
          <w:szCs w:val="20"/>
          <w:lang w:eastAsia="zh-TW"/>
        </w:rPr>
        <w:t>capitalisation</w:t>
      </w:r>
      <w:proofErr w:type="spellEnd"/>
      <w:r>
        <w:rPr>
          <w:rFonts w:ascii="Arial" w:hAnsi="Arial" w:cs="Arial"/>
          <w:bCs/>
          <w:sz w:val="20"/>
          <w:szCs w:val="20"/>
          <w:lang w:eastAsia="zh-TW"/>
        </w:rPr>
        <w:t xml:space="preserve"> over the Reference Period that meets the minimum </w:t>
      </w:r>
      <w:proofErr w:type="spellStart"/>
      <w:r>
        <w:rPr>
          <w:rFonts w:ascii="Arial" w:hAnsi="Arial" w:cs="Arial"/>
          <w:bCs/>
          <w:sz w:val="20"/>
          <w:szCs w:val="20"/>
          <w:lang w:eastAsia="zh-TW"/>
        </w:rPr>
        <w:t>capitalisation</w:t>
      </w:r>
      <w:proofErr w:type="spellEnd"/>
      <w:r>
        <w:rPr>
          <w:rFonts w:ascii="Arial" w:hAnsi="Arial" w:cs="Arial"/>
          <w:bCs/>
          <w:sz w:val="20"/>
          <w:szCs w:val="20"/>
          <w:lang w:eastAsia="zh-TW"/>
        </w:rPr>
        <w:t xml:space="preserve"> requirement for listing on the Main Board (</w:t>
      </w:r>
      <w:r w:rsidRPr="00CF2C2B">
        <w:rPr>
          <w:rFonts w:ascii="Arial" w:hAnsi="Arial" w:cs="Arial"/>
          <w:b/>
          <w:bCs/>
          <w:sz w:val="20"/>
          <w:szCs w:val="20"/>
          <w:lang w:eastAsia="zh-TW"/>
        </w:rPr>
        <w:t xml:space="preserve">Volume Weighted Average Market </w:t>
      </w:r>
      <w:proofErr w:type="spellStart"/>
      <w:r w:rsidRPr="00CF2C2B">
        <w:rPr>
          <w:rFonts w:ascii="Arial" w:hAnsi="Arial" w:cs="Arial"/>
          <w:b/>
          <w:bCs/>
          <w:sz w:val="20"/>
          <w:szCs w:val="20"/>
          <w:lang w:eastAsia="zh-TW"/>
        </w:rPr>
        <w:t>Capitalisation</w:t>
      </w:r>
      <w:proofErr w:type="spellEnd"/>
      <w:r w:rsidRPr="00CF2C2B">
        <w:rPr>
          <w:rFonts w:ascii="Arial" w:hAnsi="Arial" w:cs="Arial"/>
          <w:b/>
          <w:bCs/>
          <w:sz w:val="20"/>
          <w:szCs w:val="20"/>
          <w:lang w:eastAsia="zh-TW"/>
        </w:rPr>
        <w:t xml:space="preserve"> Test</w:t>
      </w:r>
      <w:r>
        <w:rPr>
          <w:rFonts w:ascii="Arial" w:hAnsi="Arial" w:cs="Arial"/>
          <w:bCs/>
          <w:sz w:val="20"/>
          <w:szCs w:val="20"/>
          <w:lang w:eastAsia="zh-TW"/>
        </w:rPr>
        <w:t>)</w:t>
      </w:r>
      <w:r w:rsidRPr="00CF2C2B">
        <w:rPr>
          <w:rFonts w:ascii="Arial" w:hAnsi="Arial" w:cs="Arial"/>
          <w:bCs/>
          <w:sz w:val="20"/>
          <w:szCs w:val="20"/>
          <w:lang w:eastAsia="zh-TW"/>
        </w:rPr>
        <w:t xml:space="preserve">. </w:t>
      </w:r>
      <w:r w:rsidRPr="00533C95">
        <w:rPr>
          <w:rFonts w:ascii="Arial" w:hAnsi="Arial" w:cs="Arial"/>
          <w:bCs/>
          <w:sz w:val="20"/>
          <w:szCs w:val="20"/>
          <w:lang w:eastAsia="zh-TW"/>
        </w:rPr>
        <w:t>For this purpose:</w:t>
      </w:r>
    </w:p>
    <w:p w:rsidR="00CF2C2B" w:rsidRDefault="00CF2C2B" w:rsidP="00CF2C2B">
      <w:pPr>
        <w:pStyle w:val="a4"/>
        <w:snapToGrid w:val="0"/>
        <w:spacing w:after="0" w:line="240" w:lineRule="auto"/>
        <w:ind w:left="709"/>
        <w:jc w:val="both"/>
        <w:rPr>
          <w:rFonts w:ascii="Arial" w:hAnsi="Arial" w:cs="Arial"/>
          <w:bCs/>
          <w:sz w:val="20"/>
          <w:szCs w:val="20"/>
          <w:lang w:eastAsia="zh-TW"/>
        </w:rPr>
      </w:pPr>
    </w:p>
    <w:p w:rsidR="00CF2C2B" w:rsidRDefault="00CF2C2B" w:rsidP="0073150C">
      <w:pPr>
        <w:pStyle w:val="a4"/>
        <w:numPr>
          <w:ilvl w:val="0"/>
          <w:numId w:val="46"/>
        </w:numPr>
        <w:snapToGrid w:val="0"/>
        <w:spacing w:after="0" w:line="240" w:lineRule="auto"/>
        <w:ind w:left="1418" w:hanging="720"/>
        <w:jc w:val="both"/>
        <w:rPr>
          <w:rFonts w:ascii="Arial" w:hAnsi="Arial" w:cs="Arial"/>
          <w:bCs/>
          <w:sz w:val="20"/>
          <w:szCs w:val="20"/>
          <w:lang w:eastAsia="zh-TW"/>
        </w:rPr>
      </w:pPr>
      <w:r>
        <w:rPr>
          <w:rFonts w:ascii="Arial" w:hAnsi="Arial" w:cs="Arial"/>
          <w:bCs/>
          <w:sz w:val="20"/>
          <w:szCs w:val="20"/>
          <w:lang w:eastAsia="zh-TW"/>
        </w:rPr>
        <w:t xml:space="preserve">the average market </w:t>
      </w:r>
      <w:proofErr w:type="spellStart"/>
      <w:r>
        <w:rPr>
          <w:rFonts w:ascii="Arial" w:hAnsi="Arial" w:cs="Arial"/>
          <w:bCs/>
          <w:sz w:val="20"/>
          <w:szCs w:val="20"/>
          <w:lang w:eastAsia="zh-TW"/>
        </w:rPr>
        <w:t>capitalis</w:t>
      </w:r>
      <w:r w:rsidRPr="00CF2C2B">
        <w:rPr>
          <w:rFonts w:ascii="Arial" w:hAnsi="Arial" w:cs="Arial"/>
          <w:bCs/>
          <w:sz w:val="20"/>
          <w:szCs w:val="20"/>
          <w:lang w:eastAsia="zh-TW"/>
        </w:rPr>
        <w:t>ation</w:t>
      </w:r>
      <w:proofErr w:type="spellEnd"/>
      <w:r w:rsidRPr="00CF2C2B">
        <w:rPr>
          <w:rFonts w:ascii="Arial" w:hAnsi="Arial" w:cs="Arial"/>
          <w:bCs/>
          <w:sz w:val="20"/>
          <w:szCs w:val="20"/>
          <w:lang w:eastAsia="zh-TW"/>
        </w:rPr>
        <w:t xml:space="preserve"> </w:t>
      </w:r>
      <w:r>
        <w:rPr>
          <w:rFonts w:ascii="Arial" w:hAnsi="Arial" w:cs="Arial"/>
          <w:bCs/>
          <w:sz w:val="20"/>
          <w:szCs w:val="20"/>
          <w:lang w:eastAsia="zh-TW"/>
        </w:rPr>
        <w:t>should be</w:t>
      </w:r>
      <w:r w:rsidRPr="00CF2C2B">
        <w:rPr>
          <w:rFonts w:ascii="Arial" w:hAnsi="Arial" w:cs="Arial"/>
          <w:bCs/>
          <w:sz w:val="20"/>
          <w:szCs w:val="20"/>
          <w:lang w:eastAsia="zh-TW"/>
        </w:rPr>
        <w:t xml:space="preserve"> calculated as the sum of the daily market </w:t>
      </w:r>
      <w:proofErr w:type="spellStart"/>
      <w:r w:rsidRPr="00CF2C2B">
        <w:rPr>
          <w:rFonts w:ascii="Arial" w:hAnsi="Arial" w:cs="Arial"/>
          <w:bCs/>
          <w:sz w:val="20"/>
          <w:szCs w:val="20"/>
          <w:lang w:eastAsia="zh-TW"/>
        </w:rPr>
        <w:t>capitalisation</w:t>
      </w:r>
      <w:proofErr w:type="spellEnd"/>
      <w:r w:rsidRPr="00CF2C2B">
        <w:rPr>
          <w:rFonts w:ascii="Arial" w:hAnsi="Arial" w:cs="Arial"/>
          <w:bCs/>
          <w:sz w:val="20"/>
          <w:szCs w:val="20"/>
          <w:lang w:eastAsia="zh-TW"/>
        </w:rPr>
        <w:t xml:space="preserve"> multiplied by the ratio of the daily number of shares traded to the total number of shares traded for all the trading days over the Reference Period as adjusted for any applicable corporate actions</w:t>
      </w:r>
      <w:r>
        <w:rPr>
          <w:rFonts w:ascii="Arial" w:hAnsi="Arial" w:cs="Arial"/>
          <w:bCs/>
          <w:sz w:val="20"/>
          <w:szCs w:val="20"/>
          <w:lang w:eastAsia="zh-TW"/>
        </w:rPr>
        <w:t>;</w:t>
      </w:r>
      <w:r w:rsidR="00015F8B">
        <w:rPr>
          <w:rFonts w:ascii="Arial" w:hAnsi="Arial" w:cs="Arial"/>
          <w:bCs/>
          <w:sz w:val="20"/>
          <w:szCs w:val="20"/>
          <w:lang w:eastAsia="zh-TW"/>
        </w:rPr>
        <w:t xml:space="preserve"> and</w:t>
      </w:r>
    </w:p>
    <w:p w:rsidR="00CF2C2B" w:rsidRDefault="00CF2C2B" w:rsidP="00CF2C2B">
      <w:pPr>
        <w:pStyle w:val="a4"/>
        <w:snapToGrid w:val="0"/>
        <w:spacing w:after="0" w:line="240" w:lineRule="auto"/>
        <w:ind w:left="1429"/>
        <w:jc w:val="both"/>
        <w:rPr>
          <w:rFonts w:ascii="Arial" w:hAnsi="Arial" w:cs="Arial"/>
          <w:bCs/>
          <w:sz w:val="20"/>
          <w:szCs w:val="20"/>
          <w:lang w:eastAsia="zh-TW"/>
        </w:rPr>
      </w:pPr>
    </w:p>
    <w:p w:rsidR="00533C95" w:rsidRDefault="00CF2C2B" w:rsidP="0073150C">
      <w:pPr>
        <w:pStyle w:val="a4"/>
        <w:numPr>
          <w:ilvl w:val="0"/>
          <w:numId w:val="46"/>
        </w:numPr>
        <w:snapToGrid w:val="0"/>
        <w:spacing w:after="0" w:line="240" w:lineRule="auto"/>
        <w:ind w:left="1418" w:hanging="720"/>
        <w:jc w:val="both"/>
        <w:rPr>
          <w:rFonts w:ascii="Arial" w:hAnsi="Arial" w:cs="Arial"/>
          <w:bCs/>
          <w:sz w:val="20"/>
          <w:szCs w:val="20"/>
          <w:lang w:eastAsia="zh-TW"/>
        </w:rPr>
      </w:pPr>
      <w:r>
        <w:rPr>
          <w:rFonts w:ascii="Arial" w:hAnsi="Arial" w:cs="Arial"/>
          <w:bCs/>
          <w:sz w:val="20"/>
          <w:szCs w:val="20"/>
          <w:lang w:eastAsia="zh-TW"/>
        </w:rPr>
        <w:t>t</w:t>
      </w:r>
      <w:r w:rsidRPr="00CF2C2B">
        <w:rPr>
          <w:rFonts w:ascii="Arial" w:hAnsi="Arial" w:cs="Arial"/>
          <w:bCs/>
          <w:sz w:val="20"/>
          <w:szCs w:val="20"/>
          <w:lang w:eastAsia="zh-TW"/>
        </w:rPr>
        <w:t xml:space="preserve">he daily market </w:t>
      </w:r>
      <w:proofErr w:type="spellStart"/>
      <w:r w:rsidRPr="00CF2C2B">
        <w:rPr>
          <w:rFonts w:ascii="Arial" w:hAnsi="Arial" w:cs="Arial"/>
          <w:bCs/>
          <w:sz w:val="20"/>
          <w:szCs w:val="20"/>
          <w:lang w:eastAsia="zh-TW"/>
        </w:rPr>
        <w:t>capitalisation</w:t>
      </w:r>
      <w:proofErr w:type="spellEnd"/>
      <w:r w:rsidRPr="00CF2C2B">
        <w:rPr>
          <w:rFonts w:ascii="Arial" w:hAnsi="Arial" w:cs="Arial"/>
          <w:bCs/>
          <w:sz w:val="20"/>
          <w:szCs w:val="20"/>
          <w:lang w:eastAsia="zh-TW"/>
        </w:rPr>
        <w:t xml:space="preserve"> is the number of total issued shares of the issuer as shown in an issuer’s relevant next day disclosure return or monthly return (whichever is more recent) multiplied by the intraday </w:t>
      </w:r>
      <w:r w:rsidR="00533C95">
        <w:rPr>
          <w:rFonts w:ascii="Arial" w:hAnsi="Arial" w:cs="Arial"/>
          <w:bCs/>
          <w:sz w:val="20"/>
          <w:szCs w:val="20"/>
          <w:lang w:eastAsia="zh-TW"/>
        </w:rPr>
        <w:t>volume weighted average price (</w:t>
      </w:r>
      <w:r w:rsidRPr="00533C95">
        <w:rPr>
          <w:rFonts w:ascii="Arial" w:hAnsi="Arial" w:cs="Arial"/>
          <w:b/>
          <w:bCs/>
          <w:sz w:val="20"/>
          <w:szCs w:val="20"/>
          <w:lang w:eastAsia="zh-TW"/>
        </w:rPr>
        <w:t>VWAP</w:t>
      </w:r>
      <w:r w:rsidR="00533C95">
        <w:rPr>
          <w:rFonts w:ascii="Arial" w:hAnsi="Arial" w:cs="Arial"/>
          <w:bCs/>
          <w:sz w:val="20"/>
          <w:szCs w:val="20"/>
          <w:lang w:eastAsia="zh-TW"/>
        </w:rPr>
        <w:t>)</w:t>
      </w:r>
      <w:r w:rsidRPr="00CF2C2B">
        <w:rPr>
          <w:rFonts w:ascii="Arial" w:hAnsi="Arial" w:cs="Arial"/>
          <w:bCs/>
          <w:sz w:val="20"/>
          <w:szCs w:val="20"/>
          <w:lang w:eastAsia="zh-TW"/>
        </w:rPr>
        <w:t xml:space="preserve"> of the listed issuer’s securities, which should be calculated by dividing the daily turnover by the daily number of shares traded for that trading day</w:t>
      </w:r>
      <w:r w:rsidR="00533C95">
        <w:rPr>
          <w:rFonts w:ascii="Arial" w:hAnsi="Arial" w:cs="Arial"/>
          <w:bCs/>
          <w:sz w:val="20"/>
          <w:szCs w:val="20"/>
          <w:lang w:eastAsia="zh-TW"/>
        </w:rPr>
        <w:t>.</w:t>
      </w:r>
    </w:p>
    <w:p w:rsidR="00533C95" w:rsidRDefault="00533C95" w:rsidP="00533C95">
      <w:pPr>
        <w:pStyle w:val="a4"/>
        <w:snapToGrid w:val="0"/>
        <w:spacing w:after="0" w:line="240" w:lineRule="auto"/>
        <w:ind w:left="709"/>
        <w:jc w:val="both"/>
        <w:rPr>
          <w:rFonts w:ascii="Arial" w:hAnsi="Arial" w:cs="Arial"/>
          <w:bCs/>
          <w:sz w:val="20"/>
          <w:szCs w:val="20"/>
          <w:lang w:eastAsia="zh-TW"/>
        </w:rPr>
      </w:pPr>
    </w:p>
    <w:p w:rsidR="00533C95" w:rsidRPr="00533C95" w:rsidRDefault="00533C95" w:rsidP="00533C95">
      <w:pPr>
        <w:pStyle w:val="a4"/>
        <w:snapToGrid w:val="0"/>
        <w:spacing w:after="0" w:line="240" w:lineRule="auto"/>
        <w:ind w:left="709"/>
        <w:jc w:val="both"/>
        <w:rPr>
          <w:rFonts w:ascii="Arial" w:hAnsi="Arial" w:cs="Arial"/>
          <w:bCs/>
          <w:sz w:val="20"/>
          <w:szCs w:val="20"/>
          <w:lang w:eastAsia="zh-TW"/>
        </w:rPr>
      </w:pPr>
      <w:r w:rsidRPr="00533C95">
        <w:rPr>
          <w:rFonts w:ascii="Arial" w:hAnsi="Arial" w:cs="Arial"/>
          <w:bCs/>
          <w:sz w:val="20"/>
          <w:szCs w:val="20"/>
          <w:lang w:eastAsia="zh-TW"/>
        </w:rPr>
        <w:t xml:space="preserve">The Volume Weighted Average Market </w:t>
      </w:r>
      <w:proofErr w:type="spellStart"/>
      <w:r w:rsidRPr="00533C95">
        <w:rPr>
          <w:rFonts w:ascii="Arial" w:hAnsi="Arial" w:cs="Arial"/>
          <w:bCs/>
          <w:sz w:val="20"/>
          <w:szCs w:val="20"/>
          <w:lang w:eastAsia="zh-TW"/>
        </w:rPr>
        <w:t>Capitalisation</w:t>
      </w:r>
      <w:proofErr w:type="spellEnd"/>
      <w:r w:rsidRPr="00533C95">
        <w:rPr>
          <w:rFonts w:ascii="Arial" w:hAnsi="Arial" w:cs="Arial"/>
          <w:bCs/>
          <w:sz w:val="20"/>
          <w:szCs w:val="20"/>
          <w:lang w:eastAsia="zh-TW"/>
        </w:rPr>
        <w:t xml:space="preserve"> Test </w:t>
      </w:r>
      <w:r>
        <w:rPr>
          <w:rFonts w:ascii="Arial" w:hAnsi="Arial" w:cs="Arial"/>
          <w:bCs/>
          <w:sz w:val="20"/>
          <w:szCs w:val="20"/>
          <w:lang w:eastAsia="zh-TW"/>
        </w:rPr>
        <w:t>will take</w:t>
      </w:r>
      <w:r w:rsidRPr="00533C95">
        <w:rPr>
          <w:rFonts w:ascii="Arial" w:hAnsi="Arial" w:cs="Arial"/>
          <w:bCs/>
          <w:sz w:val="20"/>
          <w:szCs w:val="20"/>
          <w:lang w:eastAsia="zh-TW"/>
        </w:rPr>
        <w:t xml:space="preserve"> into account the number of shares traded (</w:t>
      </w:r>
      <w:proofErr w:type="gramStart"/>
      <w:r w:rsidRPr="00533C95">
        <w:rPr>
          <w:rFonts w:ascii="Arial" w:hAnsi="Arial" w:cs="Arial"/>
          <w:bCs/>
          <w:sz w:val="20"/>
          <w:szCs w:val="20"/>
          <w:lang w:eastAsia="zh-TW"/>
        </w:rPr>
        <w:t>i.e.</w:t>
      </w:r>
      <w:proofErr w:type="gramEnd"/>
      <w:r w:rsidRPr="00533C95">
        <w:rPr>
          <w:rFonts w:ascii="Arial" w:hAnsi="Arial" w:cs="Arial"/>
          <w:bCs/>
          <w:sz w:val="20"/>
          <w:szCs w:val="20"/>
          <w:lang w:eastAsia="zh-TW"/>
        </w:rPr>
        <w:t xml:space="preserve"> volume) on each trading day during the Reference Period in such a manner as to ensure that the valuation on trading days where trading volume is relatively high will have a more significant contribution to the average market </w:t>
      </w:r>
      <w:proofErr w:type="spellStart"/>
      <w:r w:rsidRPr="00533C95">
        <w:rPr>
          <w:rFonts w:ascii="Arial" w:hAnsi="Arial" w:cs="Arial"/>
          <w:bCs/>
          <w:sz w:val="20"/>
          <w:szCs w:val="20"/>
          <w:lang w:eastAsia="zh-TW"/>
        </w:rPr>
        <w:t>capitalisation</w:t>
      </w:r>
      <w:proofErr w:type="spellEnd"/>
      <w:r w:rsidRPr="00533C95">
        <w:rPr>
          <w:rFonts w:ascii="Arial" w:hAnsi="Arial" w:cs="Arial"/>
          <w:bCs/>
          <w:sz w:val="20"/>
          <w:szCs w:val="20"/>
          <w:lang w:eastAsia="zh-TW"/>
        </w:rPr>
        <w:t xml:space="preserve"> than the valuation on trading days where trading volume is relatively low.</w:t>
      </w:r>
    </w:p>
    <w:p w:rsidR="00533C95" w:rsidRPr="00533C95" w:rsidRDefault="00533C95" w:rsidP="00533C95">
      <w:pPr>
        <w:pStyle w:val="a4"/>
        <w:snapToGrid w:val="0"/>
        <w:spacing w:after="0" w:line="240" w:lineRule="auto"/>
        <w:ind w:left="1429"/>
        <w:jc w:val="both"/>
        <w:rPr>
          <w:rFonts w:ascii="Arial" w:hAnsi="Arial" w:cs="Arial"/>
          <w:bCs/>
          <w:sz w:val="20"/>
          <w:szCs w:val="20"/>
          <w:lang w:eastAsia="zh-TW"/>
        </w:rPr>
      </w:pPr>
    </w:p>
    <w:p w:rsidR="00CF2C2B" w:rsidRPr="006C6B14" w:rsidRDefault="00533C95" w:rsidP="00CF2C2B">
      <w:pPr>
        <w:pStyle w:val="a4"/>
        <w:snapToGrid w:val="0"/>
        <w:spacing w:after="0" w:line="240" w:lineRule="auto"/>
        <w:ind w:left="709"/>
        <w:jc w:val="both"/>
        <w:rPr>
          <w:rFonts w:ascii="Arial" w:hAnsi="Arial" w:cs="Arial"/>
          <w:b/>
          <w:bCs/>
          <w:sz w:val="20"/>
          <w:szCs w:val="20"/>
          <w:lang w:eastAsia="zh-TW"/>
        </w:rPr>
      </w:pPr>
      <w:r w:rsidRPr="006C6B14">
        <w:rPr>
          <w:rFonts w:ascii="Arial" w:hAnsi="Arial" w:cs="Arial"/>
          <w:b/>
          <w:bCs/>
          <w:sz w:val="20"/>
          <w:szCs w:val="20"/>
          <w:lang w:eastAsia="zh-TW"/>
        </w:rPr>
        <w:t>Other matters</w:t>
      </w:r>
    </w:p>
    <w:p w:rsidR="00533C95" w:rsidRDefault="00533C95" w:rsidP="00CF2C2B">
      <w:pPr>
        <w:pStyle w:val="a4"/>
        <w:snapToGrid w:val="0"/>
        <w:spacing w:after="0" w:line="240" w:lineRule="auto"/>
        <w:ind w:left="709"/>
        <w:jc w:val="both"/>
        <w:rPr>
          <w:rFonts w:ascii="Arial" w:hAnsi="Arial" w:cs="Arial"/>
          <w:bCs/>
          <w:sz w:val="20"/>
          <w:szCs w:val="20"/>
          <w:lang w:eastAsia="zh-TW"/>
        </w:rPr>
      </w:pPr>
    </w:p>
    <w:p w:rsidR="0073150C" w:rsidRDefault="0073150C" w:rsidP="00CF2C2B">
      <w:pPr>
        <w:pStyle w:val="a4"/>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The HKEX has also proposed the following:</w:t>
      </w:r>
    </w:p>
    <w:p w:rsidR="0073150C" w:rsidRDefault="0073150C" w:rsidP="00CF2C2B">
      <w:pPr>
        <w:pStyle w:val="a4"/>
        <w:snapToGrid w:val="0"/>
        <w:spacing w:after="0" w:line="240" w:lineRule="auto"/>
        <w:ind w:left="709"/>
        <w:jc w:val="both"/>
        <w:rPr>
          <w:rFonts w:ascii="Arial" w:hAnsi="Arial" w:cs="Arial"/>
          <w:bCs/>
          <w:sz w:val="20"/>
          <w:szCs w:val="20"/>
          <w:lang w:eastAsia="zh-TW"/>
        </w:rPr>
      </w:pPr>
    </w:p>
    <w:p w:rsidR="0073150C" w:rsidRDefault="0073150C" w:rsidP="0073150C">
      <w:pPr>
        <w:pStyle w:val="a4"/>
        <w:numPr>
          <w:ilvl w:val="0"/>
          <w:numId w:val="47"/>
        </w:numPr>
        <w:snapToGrid w:val="0"/>
        <w:spacing w:after="0" w:line="240" w:lineRule="auto"/>
        <w:ind w:left="1418" w:hanging="720"/>
        <w:jc w:val="both"/>
        <w:rPr>
          <w:rFonts w:ascii="Arial" w:hAnsi="Arial" w:cs="Arial"/>
          <w:bCs/>
          <w:sz w:val="20"/>
          <w:szCs w:val="20"/>
          <w:lang w:eastAsia="zh-TW"/>
        </w:rPr>
      </w:pPr>
      <w:r w:rsidRPr="0073150C">
        <w:rPr>
          <w:rFonts w:ascii="Arial" w:hAnsi="Arial" w:cs="Arial"/>
          <w:bCs/>
          <w:i/>
          <w:sz w:val="20"/>
          <w:szCs w:val="20"/>
          <w:lang w:eastAsia="zh-TW"/>
        </w:rPr>
        <w:t>compliance record</w:t>
      </w:r>
      <w:r>
        <w:rPr>
          <w:rFonts w:ascii="Arial" w:hAnsi="Arial" w:cs="Arial"/>
          <w:bCs/>
          <w:sz w:val="20"/>
          <w:szCs w:val="20"/>
          <w:lang w:eastAsia="zh-TW"/>
        </w:rPr>
        <w:t xml:space="preserve">: the transfer applicant must have a clean compliance </w:t>
      </w:r>
      <w:r w:rsidRPr="0073150C">
        <w:rPr>
          <w:rFonts w:ascii="Arial" w:hAnsi="Arial" w:cs="Arial"/>
          <w:bCs/>
          <w:sz w:val="20"/>
          <w:szCs w:val="20"/>
          <w:lang w:eastAsia="zh-TW"/>
        </w:rPr>
        <w:t xml:space="preserve">record without serious breaches in the 12 months prior to </w:t>
      </w:r>
      <w:r w:rsidR="007D30E2">
        <w:rPr>
          <w:rFonts w:ascii="Arial" w:hAnsi="Arial" w:cs="Arial"/>
          <w:bCs/>
          <w:sz w:val="20"/>
          <w:szCs w:val="20"/>
          <w:lang w:eastAsia="zh-TW"/>
        </w:rPr>
        <w:t>its</w:t>
      </w:r>
      <w:r w:rsidRPr="0073150C">
        <w:rPr>
          <w:rFonts w:ascii="Arial" w:hAnsi="Arial" w:cs="Arial"/>
          <w:bCs/>
          <w:sz w:val="20"/>
          <w:szCs w:val="20"/>
          <w:lang w:eastAsia="zh-TW"/>
        </w:rPr>
        <w:t xml:space="preserve"> application and no ongoing investigations or disciplinary proceedings for serious breaches</w:t>
      </w:r>
      <w:r>
        <w:rPr>
          <w:rFonts w:ascii="Arial" w:hAnsi="Arial" w:cs="Arial"/>
          <w:bCs/>
          <w:sz w:val="20"/>
          <w:szCs w:val="20"/>
          <w:lang w:eastAsia="zh-TW"/>
        </w:rPr>
        <w:t xml:space="preserve"> by the HKEX;</w:t>
      </w:r>
    </w:p>
    <w:p w:rsidR="0073150C" w:rsidRDefault="0073150C" w:rsidP="0073150C">
      <w:pPr>
        <w:pStyle w:val="a4"/>
        <w:snapToGrid w:val="0"/>
        <w:spacing w:after="0" w:line="240" w:lineRule="auto"/>
        <w:ind w:left="1418"/>
        <w:jc w:val="both"/>
        <w:rPr>
          <w:rFonts w:ascii="Arial" w:hAnsi="Arial" w:cs="Arial"/>
          <w:bCs/>
          <w:sz w:val="20"/>
          <w:szCs w:val="20"/>
          <w:lang w:eastAsia="zh-TW"/>
        </w:rPr>
      </w:pPr>
    </w:p>
    <w:p w:rsidR="0073150C" w:rsidRDefault="0073150C" w:rsidP="0073150C">
      <w:pPr>
        <w:pStyle w:val="a4"/>
        <w:numPr>
          <w:ilvl w:val="0"/>
          <w:numId w:val="47"/>
        </w:numPr>
        <w:snapToGrid w:val="0"/>
        <w:spacing w:after="0" w:line="240" w:lineRule="auto"/>
        <w:ind w:left="1418" w:hanging="720"/>
        <w:jc w:val="both"/>
        <w:rPr>
          <w:rFonts w:ascii="Arial" w:hAnsi="Arial" w:cs="Arial"/>
          <w:bCs/>
          <w:sz w:val="20"/>
          <w:szCs w:val="20"/>
          <w:lang w:eastAsia="zh-TW"/>
        </w:rPr>
      </w:pPr>
      <w:r w:rsidRPr="0073150C">
        <w:rPr>
          <w:rFonts w:ascii="Arial" w:hAnsi="Arial" w:cs="Arial"/>
          <w:bCs/>
          <w:i/>
          <w:sz w:val="20"/>
          <w:szCs w:val="20"/>
          <w:lang w:eastAsia="zh-TW"/>
        </w:rPr>
        <w:t>approval authority</w:t>
      </w:r>
      <w:r>
        <w:rPr>
          <w:rFonts w:ascii="Arial" w:hAnsi="Arial" w:cs="Arial"/>
          <w:bCs/>
          <w:sz w:val="20"/>
          <w:szCs w:val="20"/>
          <w:lang w:eastAsia="zh-TW"/>
        </w:rPr>
        <w:t xml:space="preserve">: the application </w:t>
      </w:r>
      <w:r w:rsidR="006B7DE6">
        <w:rPr>
          <w:rFonts w:ascii="Arial" w:hAnsi="Arial" w:cs="Arial"/>
          <w:bCs/>
          <w:sz w:val="20"/>
          <w:szCs w:val="20"/>
          <w:lang w:eastAsia="zh-TW"/>
        </w:rPr>
        <w:t xml:space="preserve">under the Streamlined Transfer Mechanism </w:t>
      </w:r>
      <w:r>
        <w:rPr>
          <w:rFonts w:ascii="Arial" w:hAnsi="Arial" w:cs="Arial"/>
          <w:bCs/>
          <w:sz w:val="20"/>
          <w:szCs w:val="20"/>
          <w:lang w:eastAsia="zh-TW"/>
        </w:rPr>
        <w:t>will be processed by the HKEX Listing Division and approved by the HKEX Listing Committee;</w:t>
      </w:r>
      <w:r w:rsidR="00015F8B">
        <w:rPr>
          <w:rFonts w:ascii="Arial" w:hAnsi="Arial" w:cs="Arial"/>
          <w:bCs/>
          <w:sz w:val="20"/>
          <w:szCs w:val="20"/>
          <w:lang w:eastAsia="zh-TW"/>
        </w:rPr>
        <w:t xml:space="preserve"> and</w:t>
      </w:r>
    </w:p>
    <w:p w:rsidR="0073150C" w:rsidRDefault="0073150C" w:rsidP="0073150C">
      <w:pPr>
        <w:pStyle w:val="a4"/>
        <w:snapToGrid w:val="0"/>
        <w:spacing w:after="0" w:line="240" w:lineRule="auto"/>
        <w:ind w:left="1418"/>
        <w:jc w:val="both"/>
        <w:rPr>
          <w:rFonts w:ascii="Arial" w:hAnsi="Arial" w:cs="Arial"/>
          <w:bCs/>
          <w:sz w:val="20"/>
          <w:szCs w:val="20"/>
          <w:lang w:eastAsia="zh-TW"/>
        </w:rPr>
      </w:pPr>
    </w:p>
    <w:p w:rsidR="0073150C" w:rsidRDefault="0073150C" w:rsidP="0073150C">
      <w:pPr>
        <w:pStyle w:val="a4"/>
        <w:numPr>
          <w:ilvl w:val="0"/>
          <w:numId w:val="47"/>
        </w:numPr>
        <w:snapToGrid w:val="0"/>
        <w:spacing w:after="0" w:line="240" w:lineRule="auto"/>
        <w:ind w:left="1418" w:hanging="720"/>
        <w:jc w:val="both"/>
        <w:rPr>
          <w:rFonts w:ascii="Arial" w:hAnsi="Arial" w:cs="Arial"/>
          <w:bCs/>
          <w:sz w:val="20"/>
          <w:szCs w:val="20"/>
          <w:lang w:eastAsia="zh-TW"/>
        </w:rPr>
      </w:pPr>
      <w:r w:rsidRPr="0073150C">
        <w:rPr>
          <w:rFonts w:ascii="Arial" w:hAnsi="Arial" w:cs="Arial"/>
          <w:bCs/>
          <w:i/>
          <w:sz w:val="20"/>
          <w:szCs w:val="20"/>
          <w:lang w:eastAsia="zh-TW"/>
        </w:rPr>
        <w:t>GEM issuers not qualified for a streamlined transfer</w:t>
      </w:r>
      <w:r>
        <w:rPr>
          <w:rFonts w:ascii="Arial" w:hAnsi="Arial" w:cs="Arial"/>
          <w:bCs/>
          <w:sz w:val="20"/>
          <w:szCs w:val="20"/>
          <w:lang w:eastAsia="zh-TW"/>
        </w:rPr>
        <w:t>: a GEM issuer that does not meet the Streamlined Transfer Mechanism requirements must apply for a transfer under the existing requirements (</w:t>
      </w:r>
      <w:proofErr w:type="gramStart"/>
      <w:r w:rsidR="00015F8B">
        <w:rPr>
          <w:rFonts w:ascii="Arial" w:hAnsi="Arial" w:cs="Arial"/>
          <w:bCs/>
          <w:sz w:val="20"/>
          <w:szCs w:val="20"/>
          <w:lang w:eastAsia="zh-TW"/>
        </w:rPr>
        <w:t>i.e.</w:t>
      </w:r>
      <w:proofErr w:type="gramEnd"/>
      <w:r w:rsidR="00015F8B">
        <w:rPr>
          <w:rFonts w:ascii="Arial" w:hAnsi="Arial" w:cs="Arial"/>
          <w:bCs/>
          <w:sz w:val="20"/>
          <w:szCs w:val="20"/>
          <w:lang w:eastAsia="zh-TW"/>
        </w:rPr>
        <w:t xml:space="preserve"> </w:t>
      </w:r>
      <w:r>
        <w:rPr>
          <w:rFonts w:ascii="Arial" w:hAnsi="Arial" w:cs="Arial"/>
          <w:bCs/>
          <w:sz w:val="20"/>
          <w:szCs w:val="20"/>
          <w:lang w:eastAsia="zh-TW"/>
        </w:rPr>
        <w:t xml:space="preserve">which would include requirements to appoint a sponsor and </w:t>
      </w:r>
      <w:r w:rsidR="006B7DE6">
        <w:rPr>
          <w:rFonts w:ascii="Arial" w:hAnsi="Arial" w:cs="Arial"/>
          <w:bCs/>
          <w:sz w:val="20"/>
          <w:szCs w:val="20"/>
          <w:lang w:eastAsia="zh-TW"/>
        </w:rPr>
        <w:t xml:space="preserve">to </w:t>
      </w:r>
      <w:r>
        <w:rPr>
          <w:rFonts w:ascii="Arial" w:hAnsi="Arial" w:cs="Arial"/>
          <w:bCs/>
          <w:sz w:val="20"/>
          <w:szCs w:val="20"/>
          <w:lang w:eastAsia="zh-TW"/>
        </w:rPr>
        <w:t>publish a “prospectus-standard” listing document).</w:t>
      </w:r>
    </w:p>
    <w:p w:rsidR="0073150C" w:rsidRDefault="0073150C" w:rsidP="0017464D">
      <w:pPr>
        <w:pStyle w:val="a4"/>
        <w:snapToGrid w:val="0"/>
        <w:spacing w:after="0" w:line="240" w:lineRule="auto"/>
        <w:ind w:left="709"/>
        <w:jc w:val="both"/>
        <w:rPr>
          <w:rFonts w:ascii="Arial" w:hAnsi="Arial" w:cs="Arial"/>
          <w:bCs/>
          <w:sz w:val="20"/>
          <w:szCs w:val="20"/>
          <w:lang w:eastAsia="zh-TW"/>
        </w:rPr>
      </w:pPr>
    </w:p>
    <w:p w:rsidR="00533C95" w:rsidRPr="006C6B14" w:rsidRDefault="006C6B14" w:rsidP="0017464D">
      <w:pPr>
        <w:pStyle w:val="a4"/>
        <w:snapToGrid w:val="0"/>
        <w:spacing w:after="0" w:line="240" w:lineRule="auto"/>
        <w:ind w:left="709"/>
        <w:jc w:val="both"/>
        <w:rPr>
          <w:rFonts w:ascii="Arial" w:hAnsi="Arial" w:cs="Arial"/>
          <w:b/>
          <w:bCs/>
          <w:sz w:val="20"/>
          <w:szCs w:val="20"/>
          <w:lang w:eastAsia="zh-TW"/>
        </w:rPr>
      </w:pPr>
      <w:r w:rsidRPr="006C6B14">
        <w:rPr>
          <w:rFonts w:ascii="Arial" w:hAnsi="Arial" w:cs="Arial"/>
          <w:b/>
          <w:bCs/>
          <w:sz w:val="20"/>
          <w:szCs w:val="20"/>
          <w:lang w:eastAsia="zh-TW"/>
        </w:rPr>
        <w:t>Costs for transfer of listing</w:t>
      </w:r>
    </w:p>
    <w:p w:rsidR="006C6B14" w:rsidRDefault="006C6B14" w:rsidP="0017464D">
      <w:pPr>
        <w:pStyle w:val="a4"/>
        <w:snapToGrid w:val="0"/>
        <w:spacing w:after="0" w:line="240" w:lineRule="auto"/>
        <w:ind w:left="709"/>
        <w:jc w:val="both"/>
        <w:rPr>
          <w:rFonts w:ascii="Arial" w:hAnsi="Arial" w:cs="Arial"/>
          <w:bCs/>
          <w:sz w:val="20"/>
          <w:szCs w:val="20"/>
          <w:lang w:eastAsia="zh-TW"/>
        </w:rPr>
      </w:pPr>
    </w:p>
    <w:p w:rsidR="006C6B14" w:rsidRDefault="006C6B14" w:rsidP="0017464D">
      <w:pPr>
        <w:pStyle w:val="a4"/>
        <w:snapToGrid w:val="0"/>
        <w:spacing w:after="0" w:line="240" w:lineRule="auto"/>
        <w:ind w:left="709"/>
        <w:jc w:val="both"/>
        <w:rPr>
          <w:rFonts w:ascii="Arial" w:hAnsi="Arial" w:cs="Arial"/>
          <w:bCs/>
          <w:sz w:val="20"/>
          <w:szCs w:val="20"/>
          <w:lang w:eastAsia="zh-TW"/>
        </w:rPr>
      </w:pPr>
      <w:r>
        <w:rPr>
          <w:rFonts w:ascii="Arial" w:hAnsi="Arial" w:cs="Arial"/>
          <w:bCs/>
          <w:sz w:val="20"/>
          <w:szCs w:val="20"/>
          <w:lang w:eastAsia="zh-TW"/>
        </w:rPr>
        <w:t>The HKEX propose</w:t>
      </w:r>
      <w:r w:rsidR="00015F8B">
        <w:rPr>
          <w:rFonts w:ascii="Arial" w:hAnsi="Arial" w:cs="Arial"/>
          <w:bCs/>
          <w:sz w:val="20"/>
          <w:szCs w:val="20"/>
          <w:lang w:eastAsia="zh-TW"/>
        </w:rPr>
        <w:t>s</w:t>
      </w:r>
      <w:r>
        <w:rPr>
          <w:rFonts w:ascii="Arial" w:hAnsi="Arial" w:cs="Arial"/>
          <w:bCs/>
          <w:sz w:val="20"/>
          <w:szCs w:val="20"/>
          <w:lang w:eastAsia="zh-TW"/>
        </w:rPr>
        <w:t xml:space="preserve"> to exempt GEM transferees to the Main Board from the Main Board initial listing fee.</w:t>
      </w:r>
      <w:r>
        <w:rPr>
          <w:rStyle w:val="a7"/>
          <w:rFonts w:ascii="Arial" w:hAnsi="Arial" w:cs="Arial"/>
          <w:bCs/>
          <w:sz w:val="20"/>
          <w:szCs w:val="20"/>
          <w:lang w:eastAsia="zh-TW"/>
        </w:rPr>
        <w:footnoteReference w:id="23"/>
      </w:r>
      <w:r>
        <w:rPr>
          <w:rFonts w:ascii="Arial" w:hAnsi="Arial" w:cs="Arial"/>
          <w:bCs/>
          <w:sz w:val="20"/>
          <w:szCs w:val="20"/>
          <w:lang w:eastAsia="zh-TW"/>
        </w:rPr>
        <w:t xml:space="preserve"> This exemption aims to </w:t>
      </w:r>
      <w:r w:rsidR="007D30E2">
        <w:rPr>
          <w:rFonts w:ascii="Arial" w:hAnsi="Arial" w:cs="Arial"/>
          <w:bCs/>
          <w:sz w:val="20"/>
          <w:szCs w:val="20"/>
          <w:lang w:eastAsia="zh-TW"/>
        </w:rPr>
        <w:t>address stakeholders</w:t>
      </w:r>
      <w:proofErr w:type="gramStart"/>
      <w:r w:rsidR="007D30E2">
        <w:rPr>
          <w:rFonts w:ascii="Arial" w:hAnsi="Arial" w:cs="Arial"/>
          <w:bCs/>
          <w:sz w:val="20"/>
          <w:szCs w:val="20"/>
          <w:lang w:eastAsia="zh-TW"/>
        </w:rPr>
        <w:t>’</w:t>
      </w:r>
      <w:r w:rsidR="007D30E2" w:rsidDel="007D30E2">
        <w:rPr>
          <w:rFonts w:ascii="Arial" w:hAnsi="Arial" w:cs="Arial"/>
          <w:bCs/>
          <w:sz w:val="20"/>
          <w:szCs w:val="20"/>
          <w:lang w:eastAsia="zh-TW"/>
        </w:rPr>
        <w:t xml:space="preserve"> </w:t>
      </w:r>
      <w:r>
        <w:rPr>
          <w:rFonts w:ascii="Arial" w:hAnsi="Arial" w:cs="Arial"/>
          <w:bCs/>
          <w:sz w:val="20"/>
          <w:szCs w:val="20"/>
          <w:lang w:eastAsia="zh-TW"/>
        </w:rPr>
        <w:t xml:space="preserve"> concerns</w:t>
      </w:r>
      <w:proofErr w:type="gramEnd"/>
      <w:r>
        <w:rPr>
          <w:rFonts w:ascii="Arial" w:hAnsi="Arial" w:cs="Arial"/>
          <w:bCs/>
          <w:sz w:val="20"/>
          <w:szCs w:val="20"/>
          <w:lang w:eastAsia="zh-TW"/>
        </w:rPr>
        <w:t xml:space="preserve"> by reducing the cost of transfer</w:t>
      </w:r>
      <w:r w:rsidR="007D30E2">
        <w:rPr>
          <w:rFonts w:ascii="Arial" w:hAnsi="Arial" w:cs="Arial"/>
          <w:bCs/>
          <w:sz w:val="20"/>
          <w:szCs w:val="20"/>
          <w:lang w:eastAsia="zh-TW"/>
        </w:rPr>
        <w:t xml:space="preserve"> to the Main Board</w:t>
      </w:r>
      <w:r>
        <w:rPr>
          <w:rFonts w:ascii="Arial" w:hAnsi="Arial" w:cs="Arial"/>
          <w:bCs/>
          <w:sz w:val="20"/>
          <w:szCs w:val="20"/>
          <w:lang w:eastAsia="zh-TW"/>
        </w:rPr>
        <w:t>.</w:t>
      </w:r>
    </w:p>
    <w:p w:rsidR="006132A8" w:rsidRDefault="006132A8" w:rsidP="00124810">
      <w:pPr>
        <w:pStyle w:val="a4"/>
        <w:snapToGrid w:val="0"/>
        <w:spacing w:after="0" w:line="240" w:lineRule="auto"/>
        <w:ind w:left="709"/>
        <w:jc w:val="both"/>
        <w:rPr>
          <w:rFonts w:ascii="Arial" w:hAnsi="Arial" w:cs="Arial"/>
          <w:bCs/>
          <w:sz w:val="20"/>
          <w:szCs w:val="20"/>
          <w:lang w:eastAsia="zh-TW"/>
        </w:rPr>
      </w:pPr>
    </w:p>
    <w:p w:rsidR="007B0942" w:rsidRPr="00B86CF4" w:rsidRDefault="007B0942" w:rsidP="00490707">
      <w:pPr>
        <w:snapToGrid w:val="0"/>
        <w:spacing w:after="0" w:line="240" w:lineRule="auto"/>
        <w:jc w:val="both"/>
        <w:rPr>
          <w:rFonts w:ascii="Arial" w:hAnsi="Arial" w:cs="Arial"/>
          <w:b/>
          <w:bCs/>
          <w:color w:val="FF0000"/>
          <w:sz w:val="20"/>
          <w:szCs w:val="20"/>
        </w:rPr>
      </w:pPr>
      <w:r w:rsidRPr="00B86CF4">
        <w:rPr>
          <w:rFonts w:ascii="Arial" w:hAnsi="Arial" w:cs="Arial"/>
          <w:b/>
          <w:bCs/>
          <w:color w:val="FF0000"/>
          <w:sz w:val="20"/>
          <w:szCs w:val="20"/>
        </w:rPr>
        <w:t xml:space="preserve">Responding to the </w:t>
      </w:r>
      <w:r w:rsidR="00061532" w:rsidRPr="00B86CF4">
        <w:rPr>
          <w:rFonts w:ascii="Arial" w:hAnsi="Arial" w:cs="Arial"/>
          <w:b/>
          <w:bCs/>
          <w:color w:val="FF0000"/>
          <w:sz w:val="20"/>
          <w:szCs w:val="20"/>
        </w:rPr>
        <w:t>HKEX</w:t>
      </w:r>
      <w:r w:rsidR="00F6451C" w:rsidRPr="00B86CF4">
        <w:rPr>
          <w:rFonts w:ascii="Arial" w:hAnsi="Arial" w:cs="Arial"/>
          <w:b/>
          <w:bCs/>
          <w:color w:val="FF0000"/>
          <w:sz w:val="20"/>
          <w:szCs w:val="20"/>
        </w:rPr>
        <w:t xml:space="preserve"> </w:t>
      </w:r>
      <w:r w:rsidRPr="00B86CF4">
        <w:rPr>
          <w:rFonts w:ascii="Arial" w:hAnsi="Arial" w:cs="Arial"/>
          <w:b/>
          <w:bCs/>
          <w:color w:val="FF0000"/>
          <w:sz w:val="20"/>
          <w:szCs w:val="20"/>
        </w:rPr>
        <w:t xml:space="preserve">Consultation </w:t>
      </w:r>
    </w:p>
    <w:p w:rsidR="00490707" w:rsidRPr="005152D8" w:rsidRDefault="00490707" w:rsidP="00490707">
      <w:pPr>
        <w:snapToGrid w:val="0"/>
        <w:spacing w:after="0" w:line="240" w:lineRule="auto"/>
        <w:jc w:val="both"/>
        <w:rPr>
          <w:rFonts w:ascii="Arial" w:hAnsi="Arial" w:cs="Arial"/>
          <w:b/>
          <w:bCs/>
          <w:sz w:val="20"/>
          <w:szCs w:val="20"/>
        </w:rPr>
      </w:pPr>
    </w:p>
    <w:p w:rsidR="007B0942" w:rsidRPr="005152D8" w:rsidRDefault="00977475" w:rsidP="00490707">
      <w:pPr>
        <w:snapToGrid w:val="0"/>
        <w:spacing w:after="0" w:line="240" w:lineRule="auto"/>
        <w:jc w:val="both"/>
        <w:rPr>
          <w:rFonts w:ascii="Arial" w:hAnsi="Arial" w:cs="Arial"/>
          <w:sz w:val="20"/>
          <w:szCs w:val="20"/>
        </w:rPr>
      </w:pPr>
      <w:r w:rsidRPr="005152D8">
        <w:rPr>
          <w:rFonts w:ascii="Arial" w:hAnsi="Arial" w:cs="Arial"/>
          <w:sz w:val="20"/>
          <w:szCs w:val="20"/>
        </w:rPr>
        <w:t>Interested parties can respond to the consultation by completing and submitting</w:t>
      </w:r>
      <w:r w:rsidR="006C6B14">
        <w:rPr>
          <w:rFonts w:ascii="Arial" w:hAnsi="Arial" w:cs="Arial"/>
          <w:sz w:val="20"/>
          <w:szCs w:val="20"/>
        </w:rPr>
        <w:t xml:space="preserve"> the questionnaire available</w:t>
      </w:r>
      <w:r w:rsidRPr="005152D8">
        <w:rPr>
          <w:rFonts w:ascii="Arial" w:hAnsi="Arial" w:cs="Arial"/>
          <w:sz w:val="20"/>
          <w:szCs w:val="20"/>
        </w:rPr>
        <w:t xml:space="preserve"> </w:t>
      </w:r>
      <w:r w:rsidR="006C6B14">
        <w:rPr>
          <w:rFonts w:ascii="Arial" w:hAnsi="Arial" w:cs="Arial"/>
          <w:bCs/>
          <w:sz w:val="20"/>
          <w:szCs w:val="20"/>
          <w:lang w:eastAsia="zh-TW"/>
        </w:rPr>
        <w:t xml:space="preserve">on the </w:t>
      </w:r>
      <w:hyperlink r:id="rId11" w:history="1">
        <w:r w:rsidR="006C6B14" w:rsidRPr="00F24A93">
          <w:rPr>
            <w:rStyle w:val="a3"/>
            <w:rFonts w:ascii="Arial" w:hAnsi="Arial" w:cs="Arial"/>
            <w:bCs/>
            <w:sz w:val="20"/>
            <w:szCs w:val="20"/>
            <w:lang w:eastAsia="zh-TW"/>
          </w:rPr>
          <w:t>HKEX website</w:t>
        </w:r>
      </w:hyperlink>
      <w:r w:rsidR="006C6B14">
        <w:rPr>
          <w:rFonts w:ascii="Arial" w:hAnsi="Arial" w:cs="Arial"/>
          <w:bCs/>
          <w:sz w:val="20"/>
          <w:szCs w:val="20"/>
          <w:lang w:eastAsia="zh-TW"/>
        </w:rPr>
        <w:t xml:space="preserve"> by 6 November 2023.</w:t>
      </w:r>
    </w:p>
    <w:p w:rsidR="007B0942" w:rsidRPr="005152D8" w:rsidRDefault="007B0942" w:rsidP="00490707">
      <w:pPr>
        <w:snapToGrid w:val="0"/>
        <w:spacing w:after="0" w:line="240" w:lineRule="auto"/>
        <w:jc w:val="both"/>
        <w:rPr>
          <w:rFonts w:ascii="Arial" w:hAnsi="Arial" w:cs="Arial"/>
          <w:sz w:val="20"/>
          <w:szCs w:val="20"/>
        </w:rPr>
      </w:pPr>
    </w:p>
    <w:p w:rsidR="00BD08FA" w:rsidRPr="00BD7458" w:rsidRDefault="00BD08FA" w:rsidP="00BD08FA">
      <w:pPr>
        <w:pStyle w:val="DisclaimerBold"/>
        <w:numPr>
          <w:ilvl w:val="0"/>
          <w:numId w:val="21"/>
        </w:numPr>
        <w:rPr>
          <w:rFonts w:ascii="Helvetica" w:hAnsi="Helvetica"/>
          <w:sz w:val="22"/>
          <w:szCs w:val="22"/>
        </w:rPr>
      </w:pPr>
      <w:r w:rsidRPr="00BD7458">
        <w:rPr>
          <w:rFonts w:ascii="Helvetica" w:hAnsi="Helvetica"/>
          <w:sz w:val="22"/>
          <w:szCs w:val="22"/>
        </w:rPr>
        <w:t>This newsletter is for information purposes only.</w:t>
      </w:r>
    </w:p>
    <w:p w:rsidR="00BD08FA" w:rsidRPr="00BD7458" w:rsidRDefault="00BD08FA" w:rsidP="00BD08FA">
      <w:pPr>
        <w:pStyle w:val="Disclaimer"/>
        <w:numPr>
          <w:ilvl w:val="0"/>
          <w:numId w:val="21"/>
        </w:numPr>
        <w:rPr>
          <w:rFonts w:ascii="Helvetica" w:hAnsi="Helvetica"/>
          <w:sz w:val="22"/>
          <w:szCs w:val="22"/>
        </w:rPr>
      </w:pPr>
      <w:r w:rsidRPr="00BD7458">
        <w:rPr>
          <w:rFonts w:ascii="Helvetica" w:hAnsi="Helvetica"/>
          <w:sz w:val="22"/>
          <w:szCs w:val="22"/>
        </w:rPr>
        <w:t>Its contents do not constitute legal advice and it should not be regarded as a substitute for detailed advice in individual cases.</w:t>
      </w:r>
    </w:p>
    <w:p w:rsidR="00BD08FA" w:rsidRPr="00BD7458" w:rsidRDefault="00BD08FA" w:rsidP="00BD08FA">
      <w:pPr>
        <w:pStyle w:val="Disclaimer"/>
        <w:numPr>
          <w:ilvl w:val="0"/>
          <w:numId w:val="21"/>
        </w:numPr>
        <w:rPr>
          <w:rFonts w:ascii="Helvetica" w:hAnsi="Helvetica"/>
          <w:sz w:val="22"/>
          <w:szCs w:val="22"/>
        </w:rPr>
      </w:pPr>
      <w:r w:rsidRPr="00BD7458">
        <w:rPr>
          <w:rFonts w:ascii="Helvetica" w:hAnsi="Helvetica"/>
          <w:sz w:val="22"/>
          <w:szCs w:val="22"/>
        </w:rPr>
        <w:t xml:space="preserve">Transmission of this information is not intended to create and receipt does not constitute a lawyer-client relationship between </w:t>
      </w:r>
      <w:proofErr w:type="spellStart"/>
      <w:r w:rsidRPr="00BD7458">
        <w:rPr>
          <w:rFonts w:ascii="Helvetica" w:hAnsi="Helvetica"/>
          <w:sz w:val="22"/>
          <w:szCs w:val="22"/>
        </w:rPr>
        <w:t>Charltons</w:t>
      </w:r>
      <w:proofErr w:type="spellEnd"/>
      <w:r w:rsidRPr="00BD7458">
        <w:rPr>
          <w:rFonts w:ascii="Helvetica" w:hAnsi="Helvetica"/>
          <w:sz w:val="22"/>
          <w:szCs w:val="22"/>
        </w:rPr>
        <w:t xml:space="preserve"> and the user or browser.</w:t>
      </w:r>
    </w:p>
    <w:p w:rsidR="00BD08FA" w:rsidRPr="00BD7458" w:rsidRDefault="00BD08FA" w:rsidP="00BD08FA">
      <w:pPr>
        <w:pStyle w:val="Disclaimer"/>
        <w:numPr>
          <w:ilvl w:val="0"/>
          <w:numId w:val="21"/>
        </w:numPr>
        <w:rPr>
          <w:rFonts w:ascii="Helvetica" w:hAnsi="Helvetica"/>
          <w:sz w:val="22"/>
          <w:szCs w:val="22"/>
        </w:rPr>
      </w:pPr>
      <w:proofErr w:type="spellStart"/>
      <w:r w:rsidRPr="00BD7458">
        <w:rPr>
          <w:rFonts w:ascii="Helvetica" w:hAnsi="Helvetica"/>
          <w:sz w:val="22"/>
          <w:szCs w:val="22"/>
        </w:rPr>
        <w:t>Charltons</w:t>
      </w:r>
      <w:proofErr w:type="spellEnd"/>
      <w:r w:rsidRPr="00BD7458">
        <w:rPr>
          <w:rFonts w:ascii="Helvetica" w:hAnsi="Helvetica"/>
          <w:sz w:val="22"/>
          <w:szCs w:val="22"/>
        </w:rPr>
        <w:t xml:space="preserve"> is not responsible for any </w:t>
      </w:r>
      <w:proofErr w:type="gramStart"/>
      <w:r w:rsidRPr="00BD7458">
        <w:rPr>
          <w:rFonts w:ascii="Helvetica" w:hAnsi="Helvetica"/>
          <w:sz w:val="22"/>
          <w:szCs w:val="22"/>
        </w:rPr>
        <w:t>third party</w:t>
      </w:r>
      <w:proofErr w:type="gramEnd"/>
      <w:r w:rsidRPr="00BD7458">
        <w:rPr>
          <w:rFonts w:ascii="Helvetica" w:hAnsi="Helvetica"/>
          <w:sz w:val="22"/>
          <w:szCs w:val="22"/>
        </w:rPr>
        <w:t xml:space="preserve"> content which can be accessed through the website.</w:t>
      </w:r>
    </w:p>
    <w:p w:rsidR="00BD08FA" w:rsidRPr="00BD7458" w:rsidRDefault="00BD08FA" w:rsidP="00BD08FA">
      <w:pPr>
        <w:pStyle w:val="Disclaimer"/>
        <w:numPr>
          <w:ilvl w:val="0"/>
          <w:numId w:val="21"/>
        </w:numPr>
        <w:rPr>
          <w:rFonts w:ascii="Helvetica" w:hAnsi="Helvetica"/>
          <w:sz w:val="22"/>
          <w:szCs w:val="22"/>
        </w:rPr>
      </w:pPr>
      <w:r w:rsidRPr="00BD7458">
        <w:rPr>
          <w:rFonts w:ascii="Helvetica" w:hAnsi="Helvetica"/>
          <w:sz w:val="22"/>
          <w:szCs w:val="22"/>
        </w:rPr>
        <w:t xml:space="preserve">If you do not wish to receive this </w:t>
      </w:r>
      <w:proofErr w:type="gramStart"/>
      <w:r w:rsidRPr="00BD7458">
        <w:rPr>
          <w:rFonts w:ascii="Helvetica" w:hAnsi="Helvetica"/>
          <w:sz w:val="22"/>
          <w:szCs w:val="22"/>
        </w:rPr>
        <w:t>newsletter</w:t>
      </w:r>
      <w:proofErr w:type="gramEnd"/>
      <w:r w:rsidRPr="00BD7458">
        <w:rPr>
          <w:rFonts w:ascii="Helvetica" w:hAnsi="Helvetica"/>
          <w:sz w:val="22"/>
          <w:szCs w:val="22"/>
        </w:rPr>
        <w:t xml:space="preserve"> please let us know by emailing us at  </w:t>
      </w:r>
      <w:hyperlink r:id="rId12">
        <w:r w:rsidRPr="00BD7458">
          <w:rPr>
            <w:rFonts w:ascii="Helvetica" w:hAnsi="Helvetica"/>
            <w:sz w:val="22"/>
            <w:szCs w:val="22"/>
          </w:rPr>
          <w:t>unsubscribe@charltonslaw.com</w:t>
        </w:r>
      </w:hyperlink>
    </w:p>
    <w:p w:rsidR="00BD08FA" w:rsidRPr="00D63E07" w:rsidRDefault="00BD08FA" w:rsidP="00BD08FA">
      <w:pPr>
        <w:pStyle w:val="BlackStrips"/>
        <w:numPr>
          <w:ilvl w:val="0"/>
          <w:numId w:val="21"/>
        </w:numPr>
        <w:rPr>
          <w:rFonts w:ascii="Helvetica" w:hAnsi="Helvetica"/>
        </w:rPr>
      </w:pPr>
      <w:proofErr w:type="spellStart"/>
      <w:r w:rsidRPr="00F05494">
        <w:rPr>
          <w:rFonts w:ascii="Helvetica" w:hAnsi="Helvetica"/>
        </w:rPr>
        <w:lastRenderedPageBreak/>
        <w:t>Charltons</w:t>
      </w:r>
      <w:proofErr w:type="spellEnd"/>
      <w:r w:rsidRPr="00F05494">
        <w:rPr>
          <w:rFonts w:ascii="Helvetica" w:hAnsi="Helvetica"/>
        </w:rPr>
        <w:t xml:space="preserve"> - Hong Kong Law - </w:t>
      </w:r>
      <w:r w:rsidRPr="00B23021">
        <w:rPr>
          <w:rFonts w:ascii="Helvetica" w:hAnsi="Helvetica"/>
        </w:rPr>
        <w:t>2</w:t>
      </w:r>
      <w:r w:rsidR="0091031D" w:rsidRPr="00191489">
        <w:rPr>
          <w:rFonts w:ascii="Helvetica" w:hAnsi="Helvetica"/>
        </w:rPr>
        <w:t>9</w:t>
      </w:r>
      <w:r w:rsidRPr="00F05494">
        <w:rPr>
          <w:rFonts w:ascii="Helvetica" w:hAnsi="Helvetica"/>
        </w:rPr>
        <w:t xml:space="preserve"> </w:t>
      </w:r>
      <w:r>
        <w:rPr>
          <w:rFonts w:ascii="Helvetica" w:hAnsi="Helvetica"/>
        </w:rPr>
        <w:t>September</w:t>
      </w:r>
      <w:r w:rsidRPr="00F05494">
        <w:rPr>
          <w:rFonts w:ascii="Helvetica" w:hAnsi="Helvetica"/>
        </w:rPr>
        <w:t xml:space="preserve"> 202</w:t>
      </w:r>
      <w:r w:rsidRPr="008524CA">
        <w:rPr>
          <w:rFonts w:ascii="Helvetica" w:hAnsi="Helvetica"/>
        </w:rPr>
        <w:t>3</w:t>
      </w:r>
    </w:p>
    <w:p w:rsidR="00C61B65" w:rsidRPr="005152D8" w:rsidRDefault="00C61B65" w:rsidP="00490707">
      <w:pPr>
        <w:snapToGrid w:val="0"/>
        <w:spacing w:after="0" w:line="240" w:lineRule="auto"/>
        <w:jc w:val="both"/>
        <w:rPr>
          <w:rFonts w:ascii="Arial" w:hAnsi="Arial" w:cs="Arial"/>
          <w:sz w:val="20"/>
          <w:szCs w:val="20"/>
        </w:rPr>
      </w:pPr>
    </w:p>
    <w:sectPr w:rsidR="00C61B65" w:rsidRPr="005152D8" w:rsidSect="00D10060">
      <w:pgSz w:w="12240" w:h="15840"/>
      <w:pgMar w:top="72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FE9" w:rsidRDefault="00C40FE9" w:rsidP="008D7B3A">
      <w:pPr>
        <w:spacing w:after="0" w:line="240" w:lineRule="auto"/>
      </w:pPr>
      <w:r>
        <w:separator/>
      </w:r>
    </w:p>
  </w:endnote>
  <w:endnote w:type="continuationSeparator" w:id="0">
    <w:p w:rsidR="00C40FE9" w:rsidRDefault="00C40FE9" w:rsidP="008D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FE9" w:rsidRDefault="00C40FE9" w:rsidP="008D7B3A">
      <w:pPr>
        <w:spacing w:after="0" w:line="240" w:lineRule="auto"/>
      </w:pPr>
      <w:r>
        <w:separator/>
      </w:r>
    </w:p>
  </w:footnote>
  <w:footnote w:type="continuationSeparator" w:id="0">
    <w:p w:rsidR="00C40FE9" w:rsidRDefault="00C40FE9" w:rsidP="008D7B3A">
      <w:pPr>
        <w:spacing w:after="0" w:line="240" w:lineRule="auto"/>
      </w:pPr>
      <w:r>
        <w:continuationSeparator/>
      </w:r>
    </w:p>
  </w:footnote>
  <w:footnote w:id="1">
    <w:p w:rsidR="007B67DB" w:rsidRPr="00D02352" w:rsidRDefault="007B67DB">
      <w:pPr>
        <w:pStyle w:val="a5"/>
        <w:rPr>
          <w:rFonts w:ascii="Arial" w:hAnsi="Arial" w:cs="Arial"/>
        </w:rPr>
      </w:pPr>
      <w:r w:rsidRPr="00D02352">
        <w:rPr>
          <w:rStyle w:val="a7"/>
          <w:rFonts w:ascii="Arial" w:hAnsi="Arial" w:cs="Arial"/>
        </w:rPr>
        <w:footnoteRef/>
      </w:r>
      <w:r w:rsidRPr="00D02352">
        <w:rPr>
          <w:rFonts w:ascii="Arial" w:hAnsi="Arial" w:cs="Arial"/>
        </w:rPr>
        <w:t xml:space="preserve"> </w:t>
      </w:r>
      <w:r w:rsidRPr="00D02352">
        <w:rPr>
          <w:rFonts w:ascii="Arial" w:hAnsi="Arial" w:cs="Arial"/>
          <w:sz w:val="16"/>
        </w:rPr>
        <w:t xml:space="preserve">See the </w:t>
      </w:r>
      <w:hyperlink r:id="rId1" w:history="1">
        <w:r w:rsidRPr="00D02352">
          <w:rPr>
            <w:rStyle w:val="a3"/>
            <w:rFonts w:ascii="Arial" w:hAnsi="Arial" w:cs="Arial"/>
            <w:bCs/>
            <w:sz w:val="16"/>
          </w:rPr>
          <w:t>Consultation Paper (June 2017)</w:t>
        </w:r>
      </w:hyperlink>
      <w:r w:rsidRPr="00D02352">
        <w:rPr>
          <w:rFonts w:ascii="Arial" w:hAnsi="Arial" w:cs="Arial"/>
          <w:bCs/>
          <w:sz w:val="16"/>
        </w:rPr>
        <w:t xml:space="preserve"> and the </w:t>
      </w:r>
      <w:hyperlink r:id="rId2" w:history="1">
        <w:r w:rsidRPr="00D02352">
          <w:rPr>
            <w:rStyle w:val="a3"/>
            <w:rFonts w:ascii="Arial" w:hAnsi="Arial" w:cs="Arial"/>
            <w:bCs/>
            <w:sz w:val="16"/>
          </w:rPr>
          <w:t>Consultation Conclusions (December 2017)</w:t>
        </w:r>
      </w:hyperlink>
      <w:r w:rsidRPr="00D02352">
        <w:rPr>
          <w:rFonts w:ascii="Arial" w:hAnsi="Arial" w:cs="Arial"/>
          <w:bCs/>
          <w:sz w:val="16"/>
        </w:rPr>
        <w:t>) on Review of Growth Enterprise Market (GEM) and Changes to the GEM and Main Board Listing Rules.</w:t>
      </w:r>
    </w:p>
  </w:footnote>
  <w:footnote w:id="2">
    <w:p w:rsidR="007B67DB" w:rsidRPr="00D02352" w:rsidRDefault="007B67DB" w:rsidP="00B11967">
      <w:pPr>
        <w:pStyle w:val="a5"/>
        <w:rPr>
          <w:rFonts w:ascii="Arial" w:hAnsi="Arial" w:cs="Arial"/>
          <w:sz w:val="16"/>
        </w:rPr>
      </w:pPr>
      <w:r>
        <w:rPr>
          <w:rStyle w:val="a7"/>
        </w:rPr>
        <w:footnoteRef/>
      </w:r>
      <w:r>
        <w:t xml:space="preserve"> </w:t>
      </w:r>
      <w:r w:rsidRPr="00D02352">
        <w:rPr>
          <w:rFonts w:ascii="Arial" w:hAnsi="Arial" w:cs="Arial"/>
          <w:sz w:val="16"/>
        </w:rPr>
        <w:t xml:space="preserve">See the </w:t>
      </w:r>
      <w:hyperlink r:id="rId3" w:history="1">
        <w:r w:rsidRPr="00D02352">
          <w:rPr>
            <w:rStyle w:val="a3"/>
            <w:rFonts w:ascii="Arial" w:hAnsi="Arial" w:cs="Arial"/>
            <w:sz w:val="16"/>
          </w:rPr>
          <w:t>Consultation Paper (November 2020)</w:t>
        </w:r>
      </w:hyperlink>
      <w:r w:rsidRPr="00D02352">
        <w:rPr>
          <w:rFonts w:ascii="Arial" w:hAnsi="Arial" w:cs="Arial"/>
          <w:sz w:val="16"/>
        </w:rPr>
        <w:t xml:space="preserve"> and the </w:t>
      </w:r>
      <w:hyperlink r:id="rId4" w:history="1">
        <w:r w:rsidRPr="00D02352">
          <w:rPr>
            <w:rStyle w:val="a3"/>
            <w:rFonts w:ascii="Arial" w:hAnsi="Arial" w:cs="Arial"/>
            <w:sz w:val="16"/>
          </w:rPr>
          <w:t>Consultation Conclusions (May 2021)</w:t>
        </w:r>
      </w:hyperlink>
      <w:r w:rsidRPr="00D02352">
        <w:rPr>
          <w:rFonts w:ascii="Arial" w:hAnsi="Arial" w:cs="Arial"/>
          <w:sz w:val="16"/>
        </w:rPr>
        <w:t xml:space="preserve"> on</w:t>
      </w:r>
      <w:r>
        <w:rPr>
          <w:rFonts w:ascii="Arial" w:hAnsi="Arial" w:cs="Arial"/>
          <w:sz w:val="16"/>
        </w:rPr>
        <w:t xml:space="preserve"> the Main Board </w:t>
      </w:r>
      <w:r w:rsidRPr="00D02352">
        <w:rPr>
          <w:rFonts w:ascii="Arial" w:hAnsi="Arial" w:cs="Arial"/>
          <w:sz w:val="16"/>
        </w:rPr>
        <w:t>Profit Requirement.</w:t>
      </w:r>
    </w:p>
  </w:footnote>
  <w:footnote w:id="3">
    <w:p w:rsidR="007B67DB" w:rsidRDefault="007B67DB">
      <w:pPr>
        <w:pStyle w:val="a5"/>
      </w:pPr>
      <w:r>
        <w:rPr>
          <w:rStyle w:val="a7"/>
        </w:rPr>
        <w:footnoteRef/>
      </w:r>
      <w:r>
        <w:t xml:space="preserve"> </w:t>
      </w:r>
      <w:r w:rsidRPr="006236B9">
        <w:rPr>
          <w:rFonts w:ascii="Arial" w:hAnsi="Arial" w:cs="Arial"/>
          <w:sz w:val="16"/>
          <w:szCs w:val="16"/>
        </w:rPr>
        <w:t xml:space="preserve">See </w:t>
      </w:r>
      <w:r w:rsidRPr="006236B9">
        <w:rPr>
          <w:rFonts w:ascii="Arial" w:hAnsi="Arial" w:cs="Arial"/>
          <w:i/>
          <w:sz w:val="16"/>
          <w:szCs w:val="16"/>
        </w:rPr>
        <w:t xml:space="preserve">Rules 11.12A(2) and 11.12A(3) of the GEM </w:t>
      </w:r>
      <w:r>
        <w:rPr>
          <w:rFonts w:ascii="Arial" w:hAnsi="Arial" w:cs="Arial"/>
          <w:i/>
          <w:sz w:val="16"/>
          <w:szCs w:val="16"/>
        </w:rPr>
        <w:t xml:space="preserve">Listing </w:t>
      </w:r>
      <w:r w:rsidRPr="006236B9">
        <w:rPr>
          <w:rFonts w:ascii="Arial" w:hAnsi="Arial" w:cs="Arial"/>
          <w:i/>
          <w:sz w:val="16"/>
          <w:szCs w:val="16"/>
        </w:rPr>
        <w:t>Rules</w:t>
      </w:r>
      <w:r w:rsidRPr="006236B9">
        <w:rPr>
          <w:rFonts w:ascii="Arial" w:hAnsi="Arial" w:cs="Arial"/>
          <w:sz w:val="16"/>
          <w:szCs w:val="16"/>
        </w:rPr>
        <w:t>.</w:t>
      </w:r>
    </w:p>
  </w:footnote>
  <w:footnote w:id="4">
    <w:p w:rsidR="007B67DB" w:rsidRPr="00BC1F36" w:rsidRDefault="007B67DB">
      <w:pPr>
        <w:pStyle w:val="a5"/>
        <w:rPr>
          <w:rFonts w:ascii="Arial" w:hAnsi="Arial" w:cs="Arial"/>
          <w:sz w:val="16"/>
        </w:rPr>
      </w:pPr>
      <w:r>
        <w:rPr>
          <w:rStyle w:val="a7"/>
        </w:rPr>
        <w:footnoteRef/>
      </w:r>
      <w:r>
        <w:t xml:space="preserve"> </w:t>
      </w:r>
      <w:r w:rsidRPr="00BC1F36">
        <w:rPr>
          <w:rFonts w:ascii="Arial" w:hAnsi="Arial" w:cs="Arial"/>
          <w:sz w:val="16"/>
        </w:rPr>
        <w:t xml:space="preserve">See </w:t>
      </w:r>
      <w:r w:rsidRPr="00BC1F36">
        <w:rPr>
          <w:rFonts w:ascii="Arial" w:hAnsi="Arial" w:cs="Arial"/>
          <w:i/>
          <w:sz w:val="16"/>
        </w:rPr>
        <w:t>Rule 18C.04(2)(a) of the Main Board Listing Rules</w:t>
      </w:r>
      <w:r w:rsidRPr="00BC1F36">
        <w:rPr>
          <w:rFonts w:ascii="Arial" w:hAnsi="Arial" w:cs="Arial"/>
          <w:sz w:val="16"/>
        </w:rPr>
        <w:t>.</w:t>
      </w:r>
    </w:p>
  </w:footnote>
  <w:footnote w:id="5">
    <w:p w:rsidR="007B67DB" w:rsidRDefault="007B67DB">
      <w:pPr>
        <w:pStyle w:val="a5"/>
      </w:pPr>
      <w:r>
        <w:rPr>
          <w:rStyle w:val="a7"/>
        </w:rPr>
        <w:footnoteRef/>
      </w:r>
      <w:r>
        <w:t xml:space="preserve"> S</w:t>
      </w:r>
      <w:r w:rsidRPr="006236B9">
        <w:rPr>
          <w:rFonts w:ascii="Arial" w:hAnsi="Arial" w:cs="Arial"/>
          <w:sz w:val="16"/>
        </w:rPr>
        <w:t xml:space="preserve">ee </w:t>
      </w:r>
      <w:r w:rsidRPr="006236B9">
        <w:rPr>
          <w:rFonts w:ascii="Arial" w:hAnsi="Arial" w:cs="Arial"/>
          <w:i/>
          <w:sz w:val="16"/>
        </w:rPr>
        <w:t>Rule 11.23(6) of the GEM Listing Rules</w:t>
      </w:r>
      <w:r w:rsidRPr="006236B9">
        <w:rPr>
          <w:rFonts w:ascii="Arial" w:hAnsi="Arial" w:cs="Arial"/>
          <w:sz w:val="16"/>
        </w:rPr>
        <w:t>.</w:t>
      </w:r>
    </w:p>
  </w:footnote>
  <w:footnote w:id="6">
    <w:p w:rsidR="007B67DB" w:rsidRDefault="007B67DB">
      <w:pPr>
        <w:pStyle w:val="a5"/>
      </w:pPr>
      <w:r>
        <w:rPr>
          <w:rStyle w:val="a7"/>
        </w:rPr>
        <w:footnoteRef/>
      </w:r>
      <w:r>
        <w:t xml:space="preserve"> </w:t>
      </w:r>
      <w:r w:rsidRPr="006236B9">
        <w:rPr>
          <w:rFonts w:ascii="Arial" w:hAnsi="Arial" w:cs="Arial"/>
          <w:sz w:val="16"/>
          <w:szCs w:val="16"/>
        </w:rPr>
        <w:t xml:space="preserve">See </w:t>
      </w:r>
      <w:r w:rsidRPr="006236B9">
        <w:rPr>
          <w:rFonts w:ascii="Arial" w:hAnsi="Arial" w:cs="Arial"/>
          <w:i/>
          <w:sz w:val="16"/>
          <w:szCs w:val="16"/>
        </w:rPr>
        <w:t>Rule 11.12A(1) of the GEM Listing Rules</w:t>
      </w:r>
      <w:r w:rsidRPr="006236B9">
        <w:rPr>
          <w:rFonts w:ascii="Arial" w:hAnsi="Arial" w:cs="Arial"/>
          <w:sz w:val="16"/>
          <w:szCs w:val="16"/>
        </w:rPr>
        <w:t>.</w:t>
      </w:r>
    </w:p>
  </w:footnote>
  <w:footnote w:id="7">
    <w:p w:rsidR="007B67DB" w:rsidRDefault="007B67DB">
      <w:pPr>
        <w:pStyle w:val="a5"/>
      </w:pPr>
      <w:r>
        <w:rPr>
          <w:rStyle w:val="a7"/>
        </w:rPr>
        <w:footnoteRef/>
      </w:r>
      <w:r>
        <w:t xml:space="preserve"> </w:t>
      </w:r>
      <w:r w:rsidRPr="00150FC7">
        <w:rPr>
          <w:rFonts w:ascii="Arial" w:hAnsi="Arial" w:cs="Arial"/>
          <w:sz w:val="16"/>
        </w:rPr>
        <w:t xml:space="preserve">See </w:t>
      </w:r>
      <w:r w:rsidRPr="00150FC7">
        <w:rPr>
          <w:rFonts w:ascii="Arial" w:hAnsi="Arial" w:cs="Arial"/>
          <w:i/>
          <w:sz w:val="16"/>
        </w:rPr>
        <w:t>Rule 13.16A(1) of the GEM Listing Rules</w:t>
      </w:r>
      <w:r w:rsidRPr="00150FC7">
        <w:rPr>
          <w:rFonts w:ascii="Arial" w:hAnsi="Arial" w:cs="Arial"/>
          <w:sz w:val="16"/>
        </w:rPr>
        <w:t>.</w:t>
      </w:r>
    </w:p>
  </w:footnote>
  <w:footnote w:id="8">
    <w:p w:rsidR="007B67DB" w:rsidRDefault="007B67DB" w:rsidP="00B11967">
      <w:pPr>
        <w:pStyle w:val="a5"/>
      </w:pPr>
      <w:r>
        <w:rPr>
          <w:rStyle w:val="a7"/>
        </w:rPr>
        <w:footnoteRef/>
      </w:r>
      <w:r>
        <w:t xml:space="preserve"> </w:t>
      </w:r>
      <w:r w:rsidRPr="001C4A23">
        <w:rPr>
          <w:rFonts w:ascii="Arial" w:hAnsi="Arial" w:cs="Arial"/>
          <w:sz w:val="16"/>
          <w:szCs w:val="16"/>
        </w:rPr>
        <w:t xml:space="preserve">See </w:t>
      </w:r>
      <w:r w:rsidRPr="001C4A23">
        <w:rPr>
          <w:rFonts w:ascii="Arial" w:hAnsi="Arial" w:cs="Arial"/>
          <w:i/>
          <w:sz w:val="16"/>
          <w:szCs w:val="16"/>
        </w:rPr>
        <w:t>Rule 5.19 of the GEM Listing Rules</w:t>
      </w:r>
      <w:r w:rsidRPr="001C4A23">
        <w:rPr>
          <w:rFonts w:ascii="Arial" w:hAnsi="Arial" w:cs="Arial"/>
          <w:sz w:val="16"/>
          <w:szCs w:val="16"/>
        </w:rPr>
        <w:t>.</w:t>
      </w:r>
    </w:p>
  </w:footnote>
  <w:footnote w:id="9">
    <w:p w:rsidR="007B67DB" w:rsidRDefault="007B67DB">
      <w:pPr>
        <w:pStyle w:val="a5"/>
      </w:pPr>
      <w:r>
        <w:rPr>
          <w:rStyle w:val="a7"/>
        </w:rPr>
        <w:footnoteRef/>
      </w:r>
      <w:r>
        <w:t xml:space="preserve"> </w:t>
      </w:r>
      <w:r w:rsidRPr="001C4A23">
        <w:rPr>
          <w:rFonts w:ascii="Arial" w:hAnsi="Arial" w:cs="Arial"/>
          <w:sz w:val="16"/>
          <w:szCs w:val="16"/>
        </w:rPr>
        <w:t xml:space="preserve">See </w:t>
      </w:r>
      <w:r w:rsidRPr="001C4A23">
        <w:rPr>
          <w:rFonts w:ascii="Arial" w:hAnsi="Arial" w:cs="Arial"/>
          <w:i/>
          <w:sz w:val="16"/>
          <w:szCs w:val="16"/>
        </w:rPr>
        <w:t>Rule 5.19 of the GEM Listing Rules</w:t>
      </w:r>
      <w:r w:rsidRPr="001C4A23">
        <w:rPr>
          <w:rFonts w:ascii="Arial" w:hAnsi="Arial" w:cs="Arial"/>
          <w:sz w:val="16"/>
          <w:szCs w:val="16"/>
        </w:rPr>
        <w:t>.</w:t>
      </w:r>
    </w:p>
  </w:footnote>
  <w:footnote w:id="10">
    <w:p w:rsidR="007B67DB" w:rsidRDefault="007B67DB" w:rsidP="00BF30E9">
      <w:pPr>
        <w:pStyle w:val="a5"/>
      </w:pPr>
      <w:r>
        <w:rPr>
          <w:rStyle w:val="a7"/>
        </w:rPr>
        <w:footnoteRef/>
      </w:r>
      <w:r>
        <w:t xml:space="preserve"> </w:t>
      </w:r>
      <w:r w:rsidRPr="00171F8D">
        <w:rPr>
          <w:rFonts w:ascii="Arial" w:hAnsi="Arial" w:cs="Arial"/>
          <w:sz w:val="16"/>
        </w:rPr>
        <w:t xml:space="preserve">See </w:t>
      </w:r>
      <w:r w:rsidRPr="00171F8D">
        <w:rPr>
          <w:rFonts w:ascii="Arial" w:hAnsi="Arial" w:cs="Arial"/>
          <w:i/>
          <w:sz w:val="16"/>
        </w:rPr>
        <w:t>Rule 6A.19 of the GEM Listing Rules</w:t>
      </w:r>
      <w:r w:rsidRPr="00171F8D">
        <w:rPr>
          <w:rFonts w:ascii="Arial" w:hAnsi="Arial" w:cs="Arial"/>
          <w:sz w:val="16"/>
        </w:rPr>
        <w:t>.</w:t>
      </w:r>
    </w:p>
  </w:footnote>
  <w:footnote w:id="11">
    <w:p w:rsidR="007B67DB" w:rsidRDefault="007B67DB" w:rsidP="00BF30E9">
      <w:pPr>
        <w:pStyle w:val="a5"/>
      </w:pPr>
      <w:r>
        <w:rPr>
          <w:rStyle w:val="a7"/>
        </w:rPr>
        <w:footnoteRef/>
      </w:r>
      <w:r>
        <w:t xml:space="preserve"> </w:t>
      </w:r>
      <w:r w:rsidRPr="00171F8D">
        <w:rPr>
          <w:rFonts w:ascii="Arial" w:hAnsi="Arial" w:cs="Arial"/>
          <w:sz w:val="16"/>
        </w:rPr>
        <w:t xml:space="preserve">See </w:t>
      </w:r>
      <w:r>
        <w:rPr>
          <w:rFonts w:ascii="Arial" w:hAnsi="Arial" w:cs="Arial"/>
          <w:i/>
          <w:sz w:val="16"/>
        </w:rPr>
        <w:t>Rules 6A.31</w:t>
      </w:r>
      <w:r w:rsidRPr="00171F8D">
        <w:rPr>
          <w:rFonts w:ascii="Arial" w:hAnsi="Arial" w:cs="Arial"/>
          <w:i/>
          <w:sz w:val="16"/>
        </w:rPr>
        <w:t xml:space="preserve"> to 6A.33, Rule 6A.34, Rule 6A.35, Rule 6A.36 and Rule 6A.37 of the GEM Listing Rules</w:t>
      </w:r>
      <w:r w:rsidRPr="00171F8D">
        <w:rPr>
          <w:rFonts w:ascii="Arial" w:hAnsi="Arial" w:cs="Arial"/>
          <w:sz w:val="16"/>
        </w:rPr>
        <w:t>.</w:t>
      </w:r>
    </w:p>
  </w:footnote>
  <w:footnote w:id="12">
    <w:p w:rsidR="007B67DB" w:rsidRDefault="007B67DB" w:rsidP="00BF30E9">
      <w:pPr>
        <w:pStyle w:val="a5"/>
      </w:pPr>
      <w:r>
        <w:rPr>
          <w:rStyle w:val="a7"/>
        </w:rPr>
        <w:footnoteRef/>
      </w:r>
      <w:r>
        <w:t xml:space="preserve"> </w:t>
      </w:r>
      <w:r w:rsidRPr="00171F8D">
        <w:rPr>
          <w:rFonts w:ascii="Arial" w:hAnsi="Arial" w:cs="Arial"/>
          <w:sz w:val="16"/>
        </w:rPr>
        <w:t xml:space="preserve">See </w:t>
      </w:r>
      <w:r w:rsidRPr="00171F8D">
        <w:rPr>
          <w:rFonts w:ascii="Arial" w:hAnsi="Arial" w:cs="Arial"/>
          <w:i/>
          <w:sz w:val="16"/>
        </w:rPr>
        <w:t>Rule 6A.19 of the GEM Listing Rules</w:t>
      </w:r>
      <w:r w:rsidRPr="00171F8D">
        <w:rPr>
          <w:rFonts w:ascii="Arial" w:hAnsi="Arial" w:cs="Arial"/>
          <w:sz w:val="16"/>
        </w:rPr>
        <w:t>.</w:t>
      </w:r>
    </w:p>
  </w:footnote>
  <w:footnote w:id="13">
    <w:p w:rsidR="007B67DB" w:rsidRDefault="007B67DB" w:rsidP="00BF30E9">
      <w:pPr>
        <w:pStyle w:val="a5"/>
      </w:pPr>
      <w:r>
        <w:rPr>
          <w:rStyle w:val="a7"/>
        </w:rPr>
        <w:footnoteRef/>
      </w:r>
      <w:r>
        <w:t xml:space="preserve"> </w:t>
      </w:r>
      <w:r w:rsidRPr="00171F8D">
        <w:rPr>
          <w:rFonts w:ascii="Arial" w:hAnsi="Arial" w:cs="Arial"/>
          <w:sz w:val="16"/>
        </w:rPr>
        <w:t xml:space="preserve">See </w:t>
      </w:r>
      <w:r>
        <w:rPr>
          <w:rFonts w:ascii="Arial" w:hAnsi="Arial" w:cs="Arial"/>
          <w:i/>
          <w:sz w:val="16"/>
        </w:rPr>
        <w:t>Rules 6A.31</w:t>
      </w:r>
      <w:r w:rsidRPr="00171F8D">
        <w:rPr>
          <w:rFonts w:ascii="Arial" w:hAnsi="Arial" w:cs="Arial"/>
          <w:i/>
          <w:sz w:val="16"/>
        </w:rPr>
        <w:t xml:space="preserve"> to 6A.33, Rule 6A.34, Rule 6A.35, Rule 6A.36 and Rule 6A.37 of the GEM Listing Rules</w:t>
      </w:r>
      <w:r w:rsidRPr="00171F8D">
        <w:rPr>
          <w:rFonts w:ascii="Arial" w:hAnsi="Arial" w:cs="Arial"/>
          <w:sz w:val="16"/>
        </w:rPr>
        <w:t>.</w:t>
      </w:r>
    </w:p>
  </w:footnote>
  <w:footnote w:id="14">
    <w:p w:rsidR="007B67DB" w:rsidRDefault="007B67DB">
      <w:pPr>
        <w:pStyle w:val="a5"/>
      </w:pPr>
      <w:r>
        <w:rPr>
          <w:rStyle w:val="a7"/>
        </w:rPr>
        <w:footnoteRef/>
      </w:r>
      <w:r>
        <w:t xml:space="preserve"> </w:t>
      </w:r>
      <w:r w:rsidRPr="00546353">
        <w:rPr>
          <w:rFonts w:ascii="Arial" w:hAnsi="Arial" w:cs="Arial"/>
          <w:sz w:val="16"/>
        </w:rPr>
        <w:t xml:space="preserve">See </w:t>
      </w:r>
      <w:r w:rsidRPr="00546353">
        <w:rPr>
          <w:rFonts w:ascii="Arial" w:hAnsi="Arial" w:cs="Arial"/>
          <w:i/>
          <w:sz w:val="16"/>
        </w:rPr>
        <w:t>Rule 13.46 of the Main Board Listing Rules</w:t>
      </w:r>
      <w:r w:rsidRPr="00546353">
        <w:rPr>
          <w:rFonts w:ascii="Arial" w:hAnsi="Arial" w:cs="Arial"/>
          <w:sz w:val="16"/>
        </w:rPr>
        <w:t>.</w:t>
      </w:r>
    </w:p>
  </w:footnote>
  <w:footnote w:id="15">
    <w:p w:rsidR="007B67DB" w:rsidRDefault="007B67DB">
      <w:pPr>
        <w:pStyle w:val="a5"/>
      </w:pPr>
      <w:r>
        <w:rPr>
          <w:rStyle w:val="a7"/>
        </w:rPr>
        <w:footnoteRef/>
      </w:r>
      <w:r>
        <w:t xml:space="preserve"> </w:t>
      </w:r>
      <w:r w:rsidRPr="00546353">
        <w:rPr>
          <w:rFonts w:ascii="Arial" w:hAnsi="Arial" w:cs="Arial"/>
          <w:sz w:val="16"/>
        </w:rPr>
        <w:t xml:space="preserve">See </w:t>
      </w:r>
      <w:r w:rsidRPr="00546353">
        <w:rPr>
          <w:rFonts w:ascii="Arial" w:hAnsi="Arial" w:cs="Arial"/>
          <w:i/>
          <w:sz w:val="16"/>
        </w:rPr>
        <w:t>Rule 13.48(1) of the Main Board Listing Rules</w:t>
      </w:r>
      <w:r w:rsidRPr="00546353">
        <w:rPr>
          <w:rFonts w:ascii="Arial" w:hAnsi="Arial" w:cs="Arial"/>
          <w:sz w:val="16"/>
        </w:rPr>
        <w:t>.</w:t>
      </w:r>
    </w:p>
  </w:footnote>
  <w:footnote w:id="16">
    <w:p w:rsidR="007B67DB" w:rsidRDefault="007B67DB">
      <w:pPr>
        <w:pStyle w:val="a5"/>
      </w:pPr>
      <w:r>
        <w:rPr>
          <w:rStyle w:val="a7"/>
        </w:rPr>
        <w:footnoteRef/>
      </w:r>
      <w:r>
        <w:t xml:space="preserve"> </w:t>
      </w:r>
      <w:r w:rsidRPr="00DE3C83">
        <w:rPr>
          <w:rFonts w:ascii="Arial" w:hAnsi="Arial" w:cs="Arial"/>
          <w:sz w:val="16"/>
        </w:rPr>
        <w:t xml:space="preserve">See </w:t>
      </w:r>
      <w:r w:rsidRPr="00DE3C83">
        <w:rPr>
          <w:rFonts w:ascii="Arial" w:hAnsi="Arial" w:cs="Arial"/>
          <w:i/>
          <w:sz w:val="16"/>
        </w:rPr>
        <w:t>Rule 13.49(6) of the Main Board Listing Rules</w:t>
      </w:r>
      <w:r w:rsidRPr="00DE3C83">
        <w:rPr>
          <w:rFonts w:ascii="Arial" w:hAnsi="Arial" w:cs="Arial"/>
          <w:sz w:val="16"/>
        </w:rPr>
        <w:t>.</w:t>
      </w:r>
    </w:p>
  </w:footnote>
  <w:footnote w:id="17">
    <w:p w:rsidR="007B67DB" w:rsidRDefault="007B67DB">
      <w:pPr>
        <w:pStyle w:val="a5"/>
      </w:pPr>
      <w:r>
        <w:rPr>
          <w:rStyle w:val="a7"/>
        </w:rPr>
        <w:footnoteRef/>
      </w:r>
      <w:r>
        <w:t xml:space="preserve"> </w:t>
      </w:r>
      <w:r w:rsidRPr="008C0054">
        <w:rPr>
          <w:rFonts w:ascii="Arial" w:hAnsi="Arial" w:cs="Arial"/>
          <w:sz w:val="16"/>
          <w:szCs w:val="16"/>
        </w:rPr>
        <w:t xml:space="preserve">See </w:t>
      </w:r>
      <w:r w:rsidRPr="008C0054">
        <w:rPr>
          <w:rFonts w:ascii="Arial" w:hAnsi="Arial" w:cs="Arial"/>
          <w:i/>
          <w:sz w:val="16"/>
          <w:szCs w:val="16"/>
        </w:rPr>
        <w:t>Rule 18.03 of the GEM Listing Rules</w:t>
      </w:r>
      <w:r w:rsidRPr="008C0054">
        <w:rPr>
          <w:rFonts w:ascii="Arial" w:hAnsi="Arial" w:cs="Arial"/>
          <w:sz w:val="16"/>
          <w:szCs w:val="16"/>
        </w:rPr>
        <w:t>.</w:t>
      </w:r>
    </w:p>
  </w:footnote>
  <w:footnote w:id="18">
    <w:p w:rsidR="007B67DB" w:rsidRDefault="007B67DB">
      <w:pPr>
        <w:pStyle w:val="a5"/>
      </w:pPr>
      <w:r>
        <w:rPr>
          <w:rStyle w:val="a7"/>
        </w:rPr>
        <w:footnoteRef/>
      </w:r>
      <w:r>
        <w:t xml:space="preserve"> </w:t>
      </w:r>
      <w:r w:rsidRPr="008C0054">
        <w:rPr>
          <w:rFonts w:ascii="Arial" w:hAnsi="Arial" w:cs="Arial"/>
          <w:sz w:val="16"/>
          <w:szCs w:val="16"/>
        </w:rPr>
        <w:t xml:space="preserve">See </w:t>
      </w:r>
      <w:r w:rsidRPr="008C0054">
        <w:rPr>
          <w:rFonts w:ascii="Arial" w:hAnsi="Arial" w:cs="Arial"/>
          <w:i/>
          <w:sz w:val="16"/>
          <w:szCs w:val="16"/>
        </w:rPr>
        <w:t>Rule 18.53 of the GEM Listing Rules</w:t>
      </w:r>
      <w:r w:rsidRPr="008C0054">
        <w:rPr>
          <w:rFonts w:ascii="Arial" w:hAnsi="Arial" w:cs="Arial"/>
          <w:sz w:val="16"/>
          <w:szCs w:val="16"/>
        </w:rPr>
        <w:t>.</w:t>
      </w:r>
    </w:p>
  </w:footnote>
  <w:footnote w:id="19">
    <w:p w:rsidR="007B67DB" w:rsidRDefault="007B67DB">
      <w:pPr>
        <w:pStyle w:val="a5"/>
      </w:pPr>
      <w:r>
        <w:rPr>
          <w:rStyle w:val="a7"/>
        </w:rPr>
        <w:footnoteRef/>
      </w:r>
      <w:r>
        <w:t xml:space="preserve"> </w:t>
      </w:r>
      <w:r w:rsidRPr="008C0054">
        <w:rPr>
          <w:rFonts w:ascii="Arial" w:hAnsi="Arial" w:cs="Arial"/>
          <w:sz w:val="16"/>
          <w:szCs w:val="16"/>
        </w:rPr>
        <w:t xml:space="preserve">See </w:t>
      </w:r>
      <w:r w:rsidRPr="008C0054">
        <w:rPr>
          <w:rFonts w:ascii="Arial" w:hAnsi="Arial" w:cs="Arial"/>
          <w:i/>
          <w:sz w:val="16"/>
          <w:szCs w:val="16"/>
        </w:rPr>
        <w:t>Rule 18.66 of the GEM Listing Rules</w:t>
      </w:r>
      <w:r w:rsidRPr="008C0054">
        <w:rPr>
          <w:rFonts w:ascii="Arial" w:hAnsi="Arial" w:cs="Arial"/>
          <w:sz w:val="16"/>
          <w:szCs w:val="16"/>
        </w:rPr>
        <w:t>.</w:t>
      </w:r>
    </w:p>
  </w:footnote>
  <w:footnote w:id="20">
    <w:p w:rsidR="007B67DB" w:rsidRDefault="007B67DB">
      <w:pPr>
        <w:pStyle w:val="a5"/>
      </w:pPr>
      <w:r>
        <w:rPr>
          <w:rStyle w:val="a7"/>
        </w:rPr>
        <w:footnoteRef/>
      </w:r>
      <w:r>
        <w:t xml:space="preserve"> </w:t>
      </w:r>
      <w:r w:rsidRPr="001549AE">
        <w:rPr>
          <w:rFonts w:ascii="Arial" w:hAnsi="Arial" w:cs="Arial"/>
          <w:sz w:val="16"/>
        </w:rPr>
        <w:t xml:space="preserve">See </w:t>
      </w:r>
      <w:r w:rsidRPr="001549AE">
        <w:rPr>
          <w:rFonts w:ascii="Arial" w:hAnsi="Arial" w:cs="Arial"/>
          <w:i/>
          <w:sz w:val="16"/>
        </w:rPr>
        <w:t>Rule 18.49 of the GEM Listing Rules</w:t>
      </w:r>
      <w:r w:rsidRPr="001549AE">
        <w:rPr>
          <w:rFonts w:ascii="Arial" w:hAnsi="Arial" w:cs="Arial"/>
          <w:sz w:val="16"/>
        </w:rPr>
        <w:t>.</w:t>
      </w:r>
    </w:p>
  </w:footnote>
  <w:footnote w:id="21">
    <w:p w:rsidR="007B67DB" w:rsidRDefault="007B67DB">
      <w:pPr>
        <w:pStyle w:val="a5"/>
      </w:pPr>
      <w:r>
        <w:rPr>
          <w:rStyle w:val="a7"/>
        </w:rPr>
        <w:footnoteRef/>
      </w:r>
      <w:r>
        <w:t xml:space="preserve"> </w:t>
      </w:r>
      <w:r w:rsidRPr="001549AE">
        <w:rPr>
          <w:rFonts w:ascii="Arial" w:hAnsi="Arial" w:cs="Arial"/>
          <w:sz w:val="16"/>
        </w:rPr>
        <w:t xml:space="preserve">See </w:t>
      </w:r>
      <w:r w:rsidRPr="001549AE">
        <w:rPr>
          <w:rFonts w:ascii="Arial" w:hAnsi="Arial" w:cs="Arial"/>
          <w:i/>
          <w:sz w:val="16"/>
        </w:rPr>
        <w:t>Rule 18.78 of the GEM Listing Rules</w:t>
      </w:r>
      <w:r w:rsidRPr="001549AE">
        <w:rPr>
          <w:rFonts w:ascii="Arial" w:hAnsi="Arial" w:cs="Arial"/>
          <w:sz w:val="16"/>
        </w:rPr>
        <w:t>.</w:t>
      </w:r>
    </w:p>
  </w:footnote>
  <w:footnote w:id="22">
    <w:p w:rsidR="007B67DB" w:rsidRDefault="007B67DB">
      <w:pPr>
        <w:pStyle w:val="a5"/>
      </w:pPr>
      <w:r>
        <w:rPr>
          <w:rStyle w:val="a7"/>
        </w:rPr>
        <w:footnoteRef/>
      </w:r>
      <w:r>
        <w:t xml:space="preserve"> </w:t>
      </w:r>
      <w:r w:rsidRPr="001549AE">
        <w:rPr>
          <w:rFonts w:ascii="Arial" w:hAnsi="Arial" w:cs="Arial"/>
          <w:sz w:val="16"/>
        </w:rPr>
        <w:t xml:space="preserve">See </w:t>
      </w:r>
      <w:r w:rsidRPr="001549AE">
        <w:rPr>
          <w:rFonts w:ascii="Arial" w:hAnsi="Arial" w:cs="Arial"/>
          <w:i/>
          <w:sz w:val="16"/>
        </w:rPr>
        <w:t>Rule 18.79 of the GEM Listing Rules</w:t>
      </w:r>
      <w:r w:rsidRPr="001549AE">
        <w:rPr>
          <w:rFonts w:ascii="Arial" w:hAnsi="Arial" w:cs="Arial"/>
          <w:sz w:val="16"/>
        </w:rPr>
        <w:t>.</w:t>
      </w:r>
    </w:p>
  </w:footnote>
  <w:footnote w:id="23">
    <w:p w:rsidR="007B67DB" w:rsidRDefault="007B67DB">
      <w:pPr>
        <w:pStyle w:val="a5"/>
      </w:pPr>
      <w:r>
        <w:rPr>
          <w:rStyle w:val="a7"/>
        </w:rPr>
        <w:footnoteRef/>
      </w:r>
      <w:r>
        <w:t xml:space="preserve"> </w:t>
      </w:r>
      <w:r w:rsidRPr="006C6B14">
        <w:rPr>
          <w:rFonts w:ascii="Arial" w:hAnsi="Arial" w:cs="Arial"/>
          <w:sz w:val="16"/>
        </w:rPr>
        <w:t xml:space="preserve">As currently required under </w:t>
      </w:r>
      <w:r w:rsidRPr="006C6B14">
        <w:rPr>
          <w:rFonts w:ascii="Arial" w:hAnsi="Arial" w:cs="Arial"/>
          <w:i/>
          <w:sz w:val="16"/>
        </w:rPr>
        <w:t>Appendix 8, paragraph 1 of the Main Board Listing Rules</w:t>
      </w:r>
      <w:r w:rsidRPr="006C6B14">
        <w:rPr>
          <w:rFonts w:ascii="Arial" w:hAnsi="Arial" w:cs="Arial"/>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7DD"/>
    <w:multiLevelType w:val="hybridMultilevel"/>
    <w:tmpl w:val="FB74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06D"/>
    <w:multiLevelType w:val="hybridMultilevel"/>
    <w:tmpl w:val="B5DC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B3432"/>
    <w:multiLevelType w:val="hybridMultilevel"/>
    <w:tmpl w:val="542EC9C8"/>
    <w:lvl w:ilvl="0" w:tplc="95BA7BB2">
      <w:start w:val="1"/>
      <w:numFmt w:val="bullet"/>
      <w:lvlText w:val="•"/>
      <w:lvlJc w:val="left"/>
      <w:pPr>
        <w:ind w:left="779" w:hanging="360"/>
      </w:pPr>
      <w:rPr>
        <w:rFonts w:ascii="Times New Roman" w:hAnsi="Times New Roman" w:cs="Times New Roman"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 w15:restartNumberingAfterBreak="0">
    <w:nsid w:val="0EC71B59"/>
    <w:multiLevelType w:val="hybridMultilevel"/>
    <w:tmpl w:val="E16225C8"/>
    <w:lvl w:ilvl="0" w:tplc="C714E0A0">
      <w:start w:val="1"/>
      <w:numFmt w:val="lowerLetter"/>
      <w:lvlText w:val="(%1)"/>
      <w:lvlJc w:val="left"/>
      <w:pPr>
        <w:ind w:left="720" w:hanging="360"/>
      </w:pPr>
      <w:rPr>
        <w:rFonts w:hint="default"/>
      </w:rPr>
    </w:lvl>
    <w:lvl w:ilvl="1" w:tplc="E5FEED08">
      <w:start w:val="1"/>
      <w:numFmt w:val="lowerRoman"/>
      <w:lvlText w:val="(%2)"/>
      <w:lvlJc w:val="left"/>
      <w:pPr>
        <w:ind w:left="1440" w:hanging="360"/>
      </w:pPr>
      <w:rPr>
        <w:rFonts w:hint="default"/>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40FBC"/>
    <w:multiLevelType w:val="hybridMultilevel"/>
    <w:tmpl w:val="4CE6767A"/>
    <w:lvl w:ilvl="0" w:tplc="4B28B76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66205"/>
    <w:multiLevelType w:val="hybridMultilevel"/>
    <w:tmpl w:val="4B7C4260"/>
    <w:lvl w:ilvl="0" w:tplc="C86A1A8E">
      <w:start w:val="1"/>
      <w:numFmt w:val="lowerRoman"/>
      <w:lvlText w:val="(%1)"/>
      <w:lvlJc w:val="left"/>
      <w:pPr>
        <w:ind w:left="780" w:hanging="360"/>
      </w:pPr>
      <w:rPr>
        <w:rFonts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137E07DB"/>
    <w:multiLevelType w:val="hybridMultilevel"/>
    <w:tmpl w:val="A792018A"/>
    <w:lvl w:ilvl="0" w:tplc="C714E0A0">
      <w:start w:val="1"/>
      <w:numFmt w:val="lowerLetter"/>
      <w:lvlText w:val="(%1)"/>
      <w:lvlJc w:val="left"/>
      <w:pPr>
        <w:ind w:left="720" w:hanging="360"/>
      </w:pPr>
      <w:rPr>
        <w:rFonts w:hint="default"/>
      </w:rPr>
    </w:lvl>
    <w:lvl w:ilvl="1" w:tplc="4A58A100">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47786"/>
    <w:multiLevelType w:val="hybridMultilevel"/>
    <w:tmpl w:val="B3D8D7FA"/>
    <w:lvl w:ilvl="0" w:tplc="04190001">
      <w:start w:val="1"/>
      <w:numFmt w:val="bullet"/>
      <w:lvlText w:val=""/>
      <w:lvlJc w:val="left"/>
      <w:pPr>
        <w:ind w:left="780" w:hanging="360"/>
      </w:pPr>
      <w:rPr>
        <w:rFonts w:ascii="Symbol" w:hAnsi="Symbol"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16796594"/>
    <w:multiLevelType w:val="hybridMultilevel"/>
    <w:tmpl w:val="4B7C4260"/>
    <w:lvl w:ilvl="0" w:tplc="C86A1A8E">
      <w:start w:val="1"/>
      <w:numFmt w:val="lowerRoman"/>
      <w:lvlText w:val="(%1)"/>
      <w:lvlJc w:val="left"/>
      <w:pPr>
        <w:ind w:left="780" w:hanging="360"/>
      </w:pPr>
      <w:rPr>
        <w:rFonts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17344F94"/>
    <w:multiLevelType w:val="hybridMultilevel"/>
    <w:tmpl w:val="AE36C772"/>
    <w:lvl w:ilvl="0" w:tplc="04190001">
      <w:start w:val="1"/>
      <w:numFmt w:val="bullet"/>
      <w:lvlText w:val=""/>
      <w:lvlJc w:val="left"/>
      <w:pPr>
        <w:ind w:left="780" w:hanging="360"/>
      </w:pPr>
      <w:rPr>
        <w:rFonts w:ascii="Symbol" w:hAnsi="Symbol"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1EA1376D"/>
    <w:multiLevelType w:val="hybridMultilevel"/>
    <w:tmpl w:val="253CF9E0"/>
    <w:lvl w:ilvl="0" w:tplc="95BA7BB2">
      <w:start w:val="1"/>
      <w:numFmt w:val="bullet"/>
      <w:lvlText w:val="•"/>
      <w:lvlJc w:val="left"/>
      <w:pPr>
        <w:ind w:left="779" w:hanging="360"/>
      </w:pPr>
      <w:rPr>
        <w:rFonts w:ascii="Times New Roman" w:hAnsi="Times New Roman" w:cs="Times New Roman"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1" w15:restartNumberingAfterBreak="0">
    <w:nsid w:val="269731C6"/>
    <w:multiLevelType w:val="hybridMultilevel"/>
    <w:tmpl w:val="5D76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61922"/>
    <w:multiLevelType w:val="hybridMultilevel"/>
    <w:tmpl w:val="E16C8E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30804DA"/>
    <w:multiLevelType w:val="hybridMultilevel"/>
    <w:tmpl w:val="90FA3DE4"/>
    <w:lvl w:ilvl="0" w:tplc="B05E8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574A2"/>
    <w:multiLevelType w:val="hybridMultilevel"/>
    <w:tmpl w:val="671863B8"/>
    <w:lvl w:ilvl="0" w:tplc="04190001">
      <w:start w:val="1"/>
      <w:numFmt w:val="bullet"/>
      <w:lvlText w:val=""/>
      <w:lvlJc w:val="left"/>
      <w:pPr>
        <w:ind w:left="780" w:hanging="360"/>
      </w:pPr>
      <w:rPr>
        <w:rFonts w:ascii="Symbol" w:hAnsi="Symbol"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34A906E1"/>
    <w:multiLevelType w:val="hybridMultilevel"/>
    <w:tmpl w:val="4B7C4260"/>
    <w:lvl w:ilvl="0" w:tplc="C86A1A8E">
      <w:start w:val="1"/>
      <w:numFmt w:val="lowerRoman"/>
      <w:lvlText w:val="(%1)"/>
      <w:lvlJc w:val="left"/>
      <w:pPr>
        <w:ind w:left="780" w:hanging="360"/>
      </w:pPr>
      <w:rPr>
        <w:rFonts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3AF45641"/>
    <w:multiLevelType w:val="hybridMultilevel"/>
    <w:tmpl w:val="8E5E127E"/>
    <w:lvl w:ilvl="0" w:tplc="04190001">
      <w:start w:val="1"/>
      <w:numFmt w:val="bullet"/>
      <w:lvlText w:val=""/>
      <w:lvlJc w:val="left"/>
      <w:pPr>
        <w:ind w:left="780" w:hanging="360"/>
      </w:pPr>
      <w:rPr>
        <w:rFonts w:ascii="Symbol" w:hAnsi="Symbol"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3BAD1938"/>
    <w:multiLevelType w:val="hybridMultilevel"/>
    <w:tmpl w:val="7C18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90518"/>
    <w:multiLevelType w:val="hybridMultilevel"/>
    <w:tmpl w:val="9A7023EC"/>
    <w:lvl w:ilvl="0" w:tplc="04190001">
      <w:start w:val="1"/>
      <w:numFmt w:val="bullet"/>
      <w:lvlText w:val=""/>
      <w:lvlJc w:val="left"/>
      <w:pPr>
        <w:ind w:left="780" w:hanging="360"/>
      </w:pPr>
      <w:rPr>
        <w:rFonts w:ascii="Symbol" w:hAnsi="Symbol"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3D2F01A0"/>
    <w:multiLevelType w:val="hybridMultilevel"/>
    <w:tmpl w:val="6B5290B6"/>
    <w:lvl w:ilvl="0" w:tplc="04190001">
      <w:start w:val="1"/>
      <w:numFmt w:val="bullet"/>
      <w:lvlText w:val=""/>
      <w:lvlJc w:val="left"/>
      <w:pPr>
        <w:ind w:left="780" w:hanging="360"/>
      </w:pPr>
      <w:rPr>
        <w:rFonts w:ascii="Symbol" w:hAnsi="Symbol"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3D8F4C49"/>
    <w:multiLevelType w:val="hybridMultilevel"/>
    <w:tmpl w:val="7A720726"/>
    <w:lvl w:ilvl="0" w:tplc="04190001">
      <w:start w:val="1"/>
      <w:numFmt w:val="bullet"/>
      <w:lvlText w:val=""/>
      <w:lvlJc w:val="left"/>
      <w:pPr>
        <w:ind w:left="780" w:hanging="360"/>
      </w:pPr>
      <w:rPr>
        <w:rFonts w:ascii="Symbol" w:hAnsi="Symbol"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3DC32AB5"/>
    <w:multiLevelType w:val="hybridMultilevel"/>
    <w:tmpl w:val="A792018A"/>
    <w:lvl w:ilvl="0" w:tplc="C714E0A0">
      <w:start w:val="1"/>
      <w:numFmt w:val="lowerLetter"/>
      <w:lvlText w:val="(%1)"/>
      <w:lvlJc w:val="left"/>
      <w:pPr>
        <w:ind w:left="720" w:hanging="360"/>
      </w:pPr>
      <w:rPr>
        <w:rFonts w:hint="default"/>
      </w:rPr>
    </w:lvl>
    <w:lvl w:ilvl="1" w:tplc="4A58A100">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271569"/>
    <w:multiLevelType w:val="hybridMultilevel"/>
    <w:tmpl w:val="841C9DAA"/>
    <w:lvl w:ilvl="0" w:tplc="746267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D28F6"/>
    <w:multiLevelType w:val="hybridMultilevel"/>
    <w:tmpl w:val="9490FAA6"/>
    <w:lvl w:ilvl="0" w:tplc="907EB7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0606C4"/>
    <w:multiLevelType w:val="hybridMultilevel"/>
    <w:tmpl w:val="54B6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539EC"/>
    <w:multiLevelType w:val="hybridMultilevel"/>
    <w:tmpl w:val="91F25F96"/>
    <w:lvl w:ilvl="0" w:tplc="24624F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2F332A"/>
    <w:multiLevelType w:val="hybridMultilevel"/>
    <w:tmpl w:val="A31AA994"/>
    <w:lvl w:ilvl="0" w:tplc="04190001">
      <w:start w:val="1"/>
      <w:numFmt w:val="bullet"/>
      <w:lvlText w:val=""/>
      <w:lvlJc w:val="left"/>
      <w:pPr>
        <w:ind w:left="780" w:hanging="360"/>
      </w:pPr>
      <w:rPr>
        <w:rFonts w:ascii="Symbol" w:hAnsi="Symbol"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15:restartNumberingAfterBreak="0">
    <w:nsid w:val="4D685135"/>
    <w:multiLevelType w:val="hybridMultilevel"/>
    <w:tmpl w:val="330A59F0"/>
    <w:lvl w:ilvl="0" w:tplc="0E44ABB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21CC7"/>
    <w:multiLevelType w:val="hybridMultilevel"/>
    <w:tmpl w:val="14D0DDB0"/>
    <w:lvl w:ilvl="0" w:tplc="D16837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B064E1"/>
    <w:multiLevelType w:val="hybridMultilevel"/>
    <w:tmpl w:val="B378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02136"/>
    <w:multiLevelType w:val="hybridMultilevel"/>
    <w:tmpl w:val="FFDC24F6"/>
    <w:lvl w:ilvl="0" w:tplc="04190001">
      <w:start w:val="1"/>
      <w:numFmt w:val="bullet"/>
      <w:lvlText w:val=""/>
      <w:lvlJc w:val="left"/>
      <w:pPr>
        <w:ind w:left="780" w:hanging="360"/>
      </w:pPr>
      <w:rPr>
        <w:rFonts w:ascii="Symbol" w:hAnsi="Symbol"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15:restartNumberingAfterBreak="0">
    <w:nsid w:val="5B656A19"/>
    <w:multiLevelType w:val="hybridMultilevel"/>
    <w:tmpl w:val="B746807C"/>
    <w:lvl w:ilvl="0" w:tplc="A0D8F2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AE7A84"/>
    <w:multiLevelType w:val="hybridMultilevel"/>
    <w:tmpl w:val="C980C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D843D0"/>
    <w:multiLevelType w:val="hybridMultilevel"/>
    <w:tmpl w:val="653E88C8"/>
    <w:lvl w:ilvl="0" w:tplc="513A82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F346F1"/>
    <w:multiLevelType w:val="hybridMultilevel"/>
    <w:tmpl w:val="8D2A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E1DE2"/>
    <w:multiLevelType w:val="hybridMultilevel"/>
    <w:tmpl w:val="60FAB136"/>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530B2B"/>
    <w:multiLevelType w:val="hybridMultilevel"/>
    <w:tmpl w:val="114C0B5A"/>
    <w:lvl w:ilvl="0" w:tplc="04190001">
      <w:start w:val="1"/>
      <w:numFmt w:val="bullet"/>
      <w:lvlText w:val=""/>
      <w:lvlJc w:val="left"/>
      <w:pPr>
        <w:ind w:left="780" w:hanging="360"/>
      </w:pPr>
      <w:rPr>
        <w:rFonts w:ascii="Symbol" w:hAnsi="Symbol" w:hint="default"/>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7" w15:restartNumberingAfterBreak="0">
    <w:nsid w:val="64A02A5B"/>
    <w:multiLevelType w:val="hybridMultilevel"/>
    <w:tmpl w:val="1724103C"/>
    <w:lvl w:ilvl="0" w:tplc="C714E0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066CB4"/>
    <w:multiLevelType w:val="hybridMultilevel"/>
    <w:tmpl w:val="F2985888"/>
    <w:lvl w:ilvl="0" w:tplc="EF6CB96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0E0755"/>
    <w:multiLevelType w:val="hybridMultilevel"/>
    <w:tmpl w:val="A792018A"/>
    <w:lvl w:ilvl="0" w:tplc="C714E0A0">
      <w:start w:val="1"/>
      <w:numFmt w:val="lowerLetter"/>
      <w:lvlText w:val="(%1)"/>
      <w:lvlJc w:val="left"/>
      <w:pPr>
        <w:ind w:left="720" w:hanging="360"/>
      </w:pPr>
      <w:rPr>
        <w:rFonts w:hint="default"/>
      </w:rPr>
    </w:lvl>
    <w:lvl w:ilvl="1" w:tplc="4A58A100">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5060A4"/>
    <w:multiLevelType w:val="hybridMultilevel"/>
    <w:tmpl w:val="1724103C"/>
    <w:lvl w:ilvl="0" w:tplc="C714E0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2509D"/>
    <w:multiLevelType w:val="hybridMultilevel"/>
    <w:tmpl w:val="BFE2D686"/>
    <w:lvl w:ilvl="0" w:tplc="1A7E9BD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3" w15:restartNumberingAfterBreak="0">
    <w:nsid w:val="773B65DE"/>
    <w:multiLevelType w:val="hybridMultilevel"/>
    <w:tmpl w:val="1724103C"/>
    <w:lvl w:ilvl="0" w:tplc="C714E0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FE525C"/>
    <w:multiLevelType w:val="hybridMultilevel"/>
    <w:tmpl w:val="BFB878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0B5094"/>
    <w:multiLevelType w:val="hybridMultilevel"/>
    <w:tmpl w:val="1724103C"/>
    <w:lvl w:ilvl="0" w:tplc="C714E0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F549FE"/>
    <w:multiLevelType w:val="hybridMultilevel"/>
    <w:tmpl w:val="A792018A"/>
    <w:lvl w:ilvl="0" w:tplc="C714E0A0">
      <w:start w:val="1"/>
      <w:numFmt w:val="lowerLetter"/>
      <w:lvlText w:val="(%1)"/>
      <w:lvlJc w:val="left"/>
      <w:pPr>
        <w:ind w:left="720" w:hanging="360"/>
      </w:pPr>
      <w:rPr>
        <w:rFonts w:hint="default"/>
      </w:rPr>
    </w:lvl>
    <w:lvl w:ilvl="1" w:tplc="4A58A100">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3C11AB"/>
    <w:multiLevelType w:val="hybridMultilevel"/>
    <w:tmpl w:val="A792018A"/>
    <w:lvl w:ilvl="0" w:tplc="C714E0A0">
      <w:start w:val="1"/>
      <w:numFmt w:val="lowerLetter"/>
      <w:lvlText w:val="(%1)"/>
      <w:lvlJc w:val="left"/>
      <w:pPr>
        <w:ind w:left="720" w:hanging="360"/>
      </w:pPr>
      <w:rPr>
        <w:rFonts w:hint="default"/>
      </w:rPr>
    </w:lvl>
    <w:lvl w:ilvl="1" w:tplc="4A58A100">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2045871">
    <w:abstractNumId w:val="11"/>
  </w:num>
  <w:num w:numId="2" w16cid:durableId="734743303">
    <w:abstractNumId w:val="42"/>
  </w:num>
  <w:num w:numId="3" w16cid:durableId="1527214501">
    <w:abstractNumId w:val="0"/>
  </w:num>
  <w:num w:numId="4" w16cid:durableId="1272282727">
    <w:abstractNumId w:val="33"/>
  </w:num>
  <w:num w:numId="5" w16cid:durableId="254750929">
    <w:abstractNumId w:val="44"/>
  </w:num>
  <w:num w:numId="6" w16cid:durableId="849492556">
    <w:abstractNumId w:val="24"/>
  </w:num>
  <w:num w:numId="7" w16cid:durableId="1193373405">
    <w:abstractNumId w:val="38"/>
  </w:num>
  <w:num w:numId="8" w16cid:durableId="1865242477">
    <w:abstractNumId w:val="23"/>
  </w:num>
  <w:num w:numId="9" w16cid:durableId="513308514">
    <w:abstractNumId w:val="31"/>
  </w:num>
  <w:num w:numId="10" w16cid:durableId="297952603">
    <w:abstractNumId w:val="28"/>
  </w:num>
  <w:num w:numId="11" w16cid:durableId="1898667984">
    <w:abstractNumId w:val="25"/>
  </w:num>
  <w:num w:numId="12" w16cid:durableId="171381289">
    <w:abstractNumId w:val="32"/>
  </w:num>
  <w:num w:numId="13" w16cid:durableId="1901014457">
    <w:abstractNumId w:val="1"/>
  </w:num>
  <w:num w:numId="14" w16cid:durableId="1102189586">
    <w:abstractNumId w:val="34"/>
  </w:num>
  <w:num w:numId="15" w16cid:durableId="44649917">
    <w:abstractNumId w:val="13"/>
  </w:num>
  <w:num w:numId="16" w16cid:durableId="1689720326">
    <w:abstractNumId w:val="22"/>
  </w:num>
  <w:num w:numId="17" w16cid:durableId="1046105786">
    <w:abstractNumId w:val="29"/>
  </w:num>
  <w:num w:numId="18" w16cid:durableId="165826240">
    <w:abstractNumId w:val="17"/>
  </w:num>
  <w:num w:numId="19" w16cid:durableId="1440174904">
    <w:abstractNumId w:val="10"/>
  </w:num>
  <w:num w:numId="20" w16cid:durableId="1405492068">
    <w:abstractNumId w:val="2"/>
  </w:num>
  <w:num w:numId="21" w16cid:durableId="424809558">
    <w:abstractNumId w:val="41"/>
  </w:num>
  <w:num w:numId="22" w16cid:durableId="1142776045">
    <w:abstractNumId w:val="26"/>
  </w:num>
  <w:num w:numId="23" w16cid:durableId="1079182053">
    <w:abstractNumId w:val="35"/>
  </w:num>
  <w:num w:numId="24" w16cid:durableId="327639808">
    <w:abstractNumId w:val="45"/>
  </w:num>
  <w:num w:numId="25" w16cid:durableId="1507163057">
    <w:abstractNumId w:val="9"/>
  </w:num>
  <w:num w:numId="26" w16cid:durableId="1150443040">
    <w:abstractNumId w:val="8"/>
  </w:num>
  <w:num w:numId="27" w16cid:durableId="2105346444">
    <w:abstractNumId w:val="20"/>
  </w:num>
  <w:num w:numId="28" w16cid:durableId="304362174">
    <w:abstractNumId w:val="5"/>
  </w:num>
  <w:num w:numId="29" w16cid:durableId="532692700">
    <w:abstractNumId w:val="30"/>
  </w:num>
  <w:num w:numId="30" w16cid:durableId="1414005838">
    <w:abstractNumId w:val="4"/>
  </w:num>
  <w:num w:numId="31" w16cid:durableId="1767268605">
    <w:abstractNumId w:val="37"/>
  </w:num>
  <w:num w:numId="32" w16cid:durableId="1757363796">
    <w:abstractNumId w:val="43"/>
  </w:num>
  <w:num w:numId="33" w16cid:durableId="971053996">
    <w:abstractNumId w:val="19"/>
  </w:num>
  <w:num w:numId="34" w16cid:durableId="1131749572">
    <w:abstractNumId w:val="15"/>
  </w:num>
  <w:num w:numId="35" w16cid:durableId="1000237578">
    <w:abstractNumId w:val="14"/>
  </w:num>
  <w:num w:numId="36" w16cid:durableId="1295481513">
    <w:abstractNumId w:val="36"/>
  </w:num>
  <w:num w:numId="37" w16cid:durableId="587740586">
    <w:abstractNumId w:val="16"/>
  </w:num>
  <w:num w:numId="38" w16cid:durableId="1410812441">
    <w:abstractNumId w:val="40"/>
  </w:num>
  <w:num w:numId="39" w16cid:durableId="876355710">
    <w:abstractNumId w:val="7"/>
  </w:num>
  <w:num w:numId="40" w16cid:durableId="1824464295">
    <w:abstractNumId w:val="18"/>
  </w:num>
  <w:num w:numId="41" w16cid:durableId="1009941885">
    <w:abstractNumId w:val="3"/>
  </w:num>
  <w:num w:numId="42" w16cid:durableId="357900418">
    <w:abstractNumId w:val="39"/>
  </w:num>
  <w:num w:numId="43" w16cid:durableId="1470056752">
    <w:abstractNumId w:val="6"/>
  </w:num>
  <w:num w:numId="44" w16cid:durableId="1137262214">
    <w:abstractNumId w:val="21"/>
  </w:num>
  <w:num w:numId="45" w16cid:durableId="140537501">
    <w:abstractNumId w:val="12"/>
  </w:num>
  <w:num w:numId="46" w16cid:durableId="2041203322">
    <w:abstractNumId w:val="46"/>
  </w:num>
  <w:num w:numId="47" w16cid:durableId="927349827">
    <w:abstractNumId w:val="47"/>
  </w:num>
  <w:num w:numId="48" w16cid:durableId="15289042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xMzM3MTAysDQzMjVR0lEKTi0uzszPAykwqQUAs35vmywAAAA="/>
  </w:docVars>
  <w:rsids>
    <w:rsidRoot w:val="00A13F4A"/>
    <w:rsid w:val="000033F7"/>
    <w:rsid w:val="00007DFA"/>
    <w:rsid w:val="00015F8B"/>
    <w:rsid w:val="000276E1"/>
    <w:rsid w:val="00031DD9"/>
    <w:rsid w:val="00032608"/>
    <w:rsid w:val="000328CF"/>
    <w:rsid w:val="0003535F"/>
    <w:rsid w:val="000353C1"/>
    <w:rsid w:val="0003791B"/>
    <w:rsid w:val="00043AA8"/>
    <w:rsid w:val="00044D6D"/>
    <w:rsid w:val="0005109E"/>
    <w:rsid w:val="00061532"/>
    <w:rsid w:val="0006281E"/>
    <w:rsid w:val="00066FD8"/>
    <w:rsid w:val="00084410"/>
    <w:rsid w:val="000917FD"/>
    <w:rsid w:val="000A203F"/>
    <w:rsid w:val="000A22F8"/>
    <w:rsid w:val="000B7382"/>
    <w:rsid w:val="000C65E8"/>
    <w:rsid w:val="000D2AA4"/>
    <w:rsid w:val="000D6C02"/>
    <w:rsid w:val="000E4E36"/>
    <w:rsid w:val="000E565E"/>
    <w:rsid w:val="000F0E53"/>
    <w:rsid w:val="000F5C06"/>
    <w:rsid w:val="001002FB"/>
    <w:rsid w:val="00106C6D"/>
    <w:rsid w:val="00111C81"/>
    <w:rsid w:val="001137BA"/>
    <w:rsid w:val="00117389"/>
    <w:rsid w:val="00124810"/>
    <w:rsid w:val="00126A05"/>
    <w:rsid w:val="00130222"/>
    <w:rsid w:val="0014088C"/>
    <w:rsid w:val="001464D2"/>
    <w:rsid w:val="0014686F"/>
    <w:rsid w:val="00150C17"/>
    <w:rsid w:val="00150FC7"/>
    <w:rsid w:val="00151749"/>
    <w:rsid w:val="001549AE"/>
    <w:rsid w:val="00156760"/>
    <w:rsid w:val="00156F89"/>
    <w:rsid w:val="00157C28"/>
    <w:rsid w:val="00171F8D"/>
    <w:rsid w:val="0017348E"/>
    <w:rsid w:val="00173E42"/>
    <w:rsid w:val="0017464D"/>
    <w:rsid w:val="00183084"/>
    <w:rsid w:val="00187713"/>
    <w:rsid w:val="00191489"/>
    <w:rsid w:val="001927D3"/>
    <w:rsid w:val="00192910"/>
    <w:rsid w:val="00195123"/>
    <w:rsid w:val="001967C1"/>
    <w:rsid w:val="00197B05"/>
    <w:rsid w:val="001A1EF1"/>
    <w:rsid w:val="001A56AD"/>
    <w:rsid w:val="001A6EC4"/>
    <w:rsid w:val="001A796E"/>
    <w:rsid w:val="001B160F"/>
    <w:rsid w:val="001B2196"/>
    <w:rsid w:val="001B6286"/>
    <w:rsid w:val="001B7BBA"/>
    <w:rsid w:val="001C190B"/>
    <w:rsid w:val="001C4A23"/>
    <w:rsid w:val="001C5F92"/>
    <w:rsid w:val="001C6805"/>
    <w:rsid w:val="001C7528"/>
    <w:rsid w:val="001D352A"/>
    <w:rsid w:val="001D7DBB"/>
    <w:rsid w:val="001F00CD"/>
    <w:rsid w:val="001F149D"/>
    <w:rsid w:val="001F5026"/>
    <w:rsid w:val="00203A13"/>
    <w:rsid w:val="0020583B"/>
    <w:rsid w:val="002100CC"/>
    <w:rsid w:val="00210A38"/>
    <w:rsid w:val="00210AC6"/>
    <w:rsid w:val="002113A6"/>
    <w:rsid w:val="00212FEB"/>
    <w:rsid w:val="00216BDA"/>
    <w:rsid w:val="002228D7"/>
    <w:rsid w:val="00227BE6"/>
    <w:rsid w:val="00232BCA"/>
    <w:rsid w:val="00244666"/>
    <w:rsid w:val="0025205B"/>
    <w:rsid w:val="00260C5E"/>
    <w:rsid w:val="00262107"/>
    <w:rsid w:val="00263856"/>
    <w:rsid w:val="002676C7"/>
    <w:rsid w:val="00275874"/>
    <w:rsid w:val="00281967"/>
    <w:rsid w:val="0028377A"/>
    <w:rsid w:val="00290273"/>
    <w:rsid w:val="00290B7B"/>
    <w:rsid w:val="0029460A"/>
    <w:rsid w:val="0029570B"/>
    <w:rsid w:val="002A0D42"/>
    <w:rsid w:val="002A3BE4"/>
    <w:rsid w:val="002B2127"/>
    <w:rsid w:val="002B6BC9"/>
    <w:rsid w:val="002B7C63"/>
    <w:rsid w:val="002C1BE5"/>
    <w:rsid w:val="002C4473"/>
    <w:rsid w:val="002C673D"/>
    <w:rsid w:val="002D503E"/>
    <w:rsid w:val="002D67B3"/>
    <w:rsid w:val="002E04A7"/>
    <w:rsid w:val="002E0A84"/>
    <w:rsid w:val="002E245D"/>
    <w:rsid w:val="002E783F"/>
    <w:rsid w:val="002E7E6B"/>
    <w:rsid w:val="002F06ED"/>
    <w:rsid w:val="002F201D"/>
    <w:rsid w:val="002F4FD7"/>
    <w:rsid w:val="00304DEB"/>
    <w:rsid w:val="00312438"/>
    <w:rsid w:val="00317156"/>
    <w:rsid w:val="00324E69"/>
    <w:rsid w:val="00325059"/>
    <w:rsid w:val="003263EE"/>
    <w:rsid w:val="00335373"/>
    <w:rsid w:val="0035785F"/>
    <w:rsid w:val="00367394"/>
    <w:rsid w:val="0037399B"/>
    <w:rsid w:val="0039618D"/>
    <w:rsid w:val="003972D1"/>
    <w:rsid w:val="003A634C"/>
    <w:rsid w:val="003B0184"/>
    <w:rsid w:val="003B20D5"/>
    <w:rsid w:val="003B3C5F"/>
    <w:rsid w:val="003B76A2"/>
    <w:rsid w:val="003B7924"/>
    <w:rsid w:val="003C5FC6"/>
    <w:rsid w:val="003D1894"/>
    <w:rsid w:val="003D4D25"/>
    <w:rsid w:val="003D57B6"/>
    <w:rsid w:val="003D65DD"/>
    <w:rsid w:val="003D7952"/>
    <w:rsid w:val="003E2101"/>
    <w:rsid w:val="003F09D9"/>
    <w:rsid w:val="00411ACF"/>
    <w:rsid w:val="0041207A"/>
    <w:rsid w:val="004176C6"/>
    <w:rsid w:val="004210EE"/>
    <w:rsid w:val="00421A43"/>
    <w:rsid w:val="0042277E"/>
    <w:rsid w:val="00425F01"/>
    <w:rsid w:val="00425F5D"/>
    <w:rsid w:val="00442F2B"/>
    <w:rsid w:val="00443BF0"/>
    <w:rsid w:val="004470DD"/>
    <w:rsid w:val="00451901"/>
    <w:rsid w:val="00465BB4"/>
    <w:rsid w:val="00466FAF"/>
    <w:rsid w:val="0047096C"/>
    <w:rsid w:val="00470A88"/>
    <w:rsid w:val="00472691"/>
    <w:rsid w:val="00474041"/>
    <w:rsid w:val="0047425C"/>
    <w:rsid w:val="00480C0D"/>
    <w:rsid w:val="00485E45"/>
    <w:rsid w:val="00490097"/>
    <w:rsid w:val="00490707"/>
    <w:rsid w:val="00490B22"/>
    <w:rsid w:val="00492298"/>
    <w:rsid w:val="004A2C7C"/>
    <w:rsid w:val="004A37E2"/>
    <w:rsid w:val="004B1EB2"/>
    <w:rsid w:val="004B3814"/>
    <w:rsid w:val="004B7C89"/>
    <w:rsid w:val="004D0144"/>
    <w:rsid w:val="004E13DA"/>
    <w:rsid w:val="004E246E"/>
    <w:rsid w:val="004F5B33"/>
    <w:rsid w:val="00510BFF"/>
    <w:rsid w:val="00513604"/>
    <w:rsid w:val="00513B74"/>
    <w:rsid w:val="005152D8"/>
    <w:rsid w:val="005226A3"/>
    <w:rsid w:val="00522A8B"/>
    <w:rsid w:val="00524CA5"/>
    <w:rsid w:val="00526281"/>
    <w:rsid w:val="0053360B"/>
    <w:rsid w:val="00533C95"/>
    <w:rsid w:val="00541E08"/>
    <w:rsid w:val="00546353"/>
    <w:rsid w:val="00556072"/>
    <w:rsid w:val="005670BF"/>
    <w:rsid w:val="00583F68"/>
    <w:rsid w:val="0059513B"/>
    <w:rsid w:val="00595499"/>
    <w:rsid w:val="005A0E49"/>
    <w:rsid w:val="005A1C3E"/>
    <w:rsid w:val="005A1E27"/>
    <w:rsid w:val="005A1F34"/>
    <w:rsid w:val="005B41F3"/>
    <w:rsid w:val="005C0CD4"/>
    <w:rsid w:val="005E1FF7"/>
    <w:rsid w:val="005E52A8"/>
    <w:rsid w:val="005E58D7"/>
    <w:rsid w:val="005F105C"/>
    <w:rsid w:val="005F307E"/>
    <w:rsid w:val="005F5808"/>
    <w:rsid w:val="005F7F3F"/>
    <w:rsid w:val="00600CB5"/>
    <w:rsid w:val="00611620"/>
    <w:rsid w:val="00611FDB"/>
    <w:rsid w:val="006128C8"/>
    <w:rsid w:val="006132A8"/>
    <w:rsid w:val="006205F1"/>
    <w:rsid w:val="00622393"/>
    <w:rsid w:val="006236B9"/>
    <w:rsid w:val="0064698C"/>
    <w:rsid w:val="00654AD0"/>
    <w:rsid w:val="00654C35"/>
    <w:rsid w:val="00655D0A"/>
    <w:rsid w:val="00665BF5"/>
    <w:rsid w:val="00667D68"/>
    <w:rsid w:val="00671577"/>
    <w:rsid w:val="006725F8"/>
    <w:rsid w:val="0067518E"/>
    <w:rsid w:val="00680FC5"/>
    <w:rsid w:val="00685A00"/>
    <w:rsid w:val="00690FE3"/>
    <w:rsid w:val="006923AC"/>
    <w:rsid w:val="006936D1"/>
    <w:rsid w:val="006B03BC"/>
    <w:rsid w:val="006B4291"/>
    <w:rsid w:val="006B431E"/>
    <w:rsid w:val="006B6B8B"/>
    <w:rsid w:val="006B7DE6"/>
    <w:rsid w:val="006C4400"/>
    <w:rsid w:val="006C6B14"/>
    <w:rsid w:val="006E66E1"/>
    <w:rsid w:val="006F17BA"/>
    <w:rsid w:val="006F3BAB"/>
    <w:rsid w:val="006F43CA"/>
    <w:rsid w:val="006F7E3C"/>
    <w:rsid w:val="00707574"/>
    <w:rsid w:val="00710D29"/>
    <w:rsid w:val="007164ED"/>
    <w:rsid w:val="007227E1"/>
    <w:rsid w:val="00724568"/>
    <w:rsid w:val="0073150C"/>
    <w:rsid w:val="007317F3"/>
    <w:rsid w:val="0073243B"/>
    <w:rsid w:val="007354F5"/>
    <w:rsid w:val="0074384C"/>
    <w:rsid w:val="00747EA8"/>
    <w:rsid w:val="00752AB0"/>
    <w:rsid w:val="007737A4"/>
    <w:rsid w:val="00777DA3"/>
    <w:rsid w:val="00782C04"/>
    <w:rsid w:val="00785BED"/>
    <w:rsid w:val="00786178"/>
    <w:rsid w:val="0079175E"/>
    <w:rsid w:val="007A1E70"/>
    <w:rsid w:val="007B0942"/>
    <w:rsid w:val="007B67DB"/>
    <w:rsid w:val="007C739A"/>
    <w:rsid w:val="007D1077"/>
    <w:rsid w:val="007D116B"/>
    <w:rsid w:val="007D30E2"/>
    <w:rsid w:val="007E5B0F"/>
    <w:rsid w:val="007F148B"/>
    <w:rsid w:val="007F3C3E"/>
    <w:rsid w:val="00800261"/>
    <w:rsid w:val="008055BB"/>
    <w:rsid w:val="00810A16"/>
    <w:rsid w:val="00814064"/>
    <w:rsid w:val="008223FC"/>
    <w:rsid w:val="00825856"/>
    <w:rsid w:val="00830904"/>
    <w:rsid w:val="00833DD6"/>
    <w:rsid w:val="008432BC"/>
    <w:rsid w:val="008441E4"/>
    <w:rsid w:val="00844893"/>
    <w:rsid w:val="008500C2"/>
    <w:rsid w:val="008510B5"/>
    <w:rsid w:val="00851CE3"/>
    <w:rsid w:val="00852259"/>
    <w:rsid w:val="008552B9"/>
    <w:rsid w:val="008558E0"/>
    <w:rsid w:val="00857BCD"/>
    <w:rsid w:val="008800A1"/>
    <w:rsid w:val="008835BC"/>
    <w:rsid w:val="00890321"/>
    <w:rsid w:val="00891185"/>
    <w:rsid w:val="008B4FBC"/>
    <w:rsid w:val="008C0054"/>
    <w:rsid w:val="008D005D"/>
    <w:rsid w:val="008D2CC3"/>
    <w:rsid w:val="008D7B3A"/>
    <w:rsid w:val="008E00B5"/>
    <w:rsid w:val="008E46B7"/>
    <w:rsid w:val="009024EA"/>
    <w:rsid w:val="00903F8C"/>
    <w:rsid w:val="0091031D"/>
    <w:rsid w:val="00925ECC"/>
    <w:rsid w:val="009279BD"/>
    <w:rsid w:val="00932501"/>
    <w:rsid w:val="00936BD8"/>
    <w:rsid w:val="00941771"/>
    <w:rsid w:val="00947D81"/>
    <w:rsid w:val="00950151"/>
    <w:rsid w:val="00950AE9"/>
    <w:rsid w:val="00971BAC"/>
    <w:rsid w:val="00977475"/>
    <w:rsid w:val="009807DD"/>
    <w:rsid w:val="0098425E"/>
    <w:rsid w:val="00996530"/>
    <w:rsid w:val="009A328C"/>
    <w:rsid w:val="009A45A1"/>
    <w:rsid w:val="009C0D04"/>
    <w:rsid w:val="009C7382"/>
    <w:rsid w:val="009D1749"/>
    <w:rsid w:val="009F1B50"/>
    <w:rsid w:val="009F7ECF"/>
    <w:rsid w:val="00A009BE"/>
    <w:rsid w:val="00A10026"/>
    <w:rsid w:val="00A1060E"/>
    <w:rsid w:val="00A13F4A"/>
    <w:rsid w:val="00A147EE"/>
    <w:rsid w:val="00A15526"/>
    <w:rsid w:val="00A215F9"/>
    <w:rsid w:val="00A2320B"/>
    <w:rsid w:val="00A30DBD"/>
    <w:rsid w:val="00A3545A"/>
    <w:rsid w:val="00A41E48"/>
    <w:rsid w:val="00A43FE0"/>
    <w:rsid w:val="00A54B6B"/>
    <w:rsid w:val="00A60684"/>
    <w:rsid w:val="00A6089A"/>
    <w:rsid w:val="00A67C49"/>
    <w:rsid w:val="00A819D8"/>
    <w:rsid w:val="00A86492"/>
    <w:rsid w:val="00A93076"/>
    <w:rsid w:val="00A9316C"/>
    <w:rsid w:val="00A93D17"/>
    <w:rsid w:val="00AA1626"/>
    <w:rsid w:val="00AA1A92"/>
    <w:rsid w:val="00AB3293"/>
    <w:rsid w:val="00AB60A0"/>
    <w:rsid w:val="00AB77A9"/>
    <w:rsid w:val="00AC05CD"/>
    <w:rsid w:val="00AC06D3"/>
    <w:rsid w:val="00AC45C1"/>
    <w:rsid w:val="00AC5937"/>
    <w:rsid w:val="00AC7269"/>
    <w:rsid w:val="00AC7981"/>
    <w:rsid w:val="00AD475D"/>
    <w:rsid w:val="00AE37DD"/>
    <w:rsid w:val="00AF0765"/>
    <w:rsid w:val="00AF43DE"/>
    <w:rsid w:val="00B01D1F"/>
    <w:rsid w:val="00B021F8"/>
    <w:rsid w:val="00B0293F"/>
    <w:rsid w:val="00B04A37"/>
    <w:rsid w:val="00B106D8"/>
    <w:rsid w:val="00B1088B"/>
    <w:rsid w:val="00B11967"/>
    <w:rsid w:val="00B17B0E"/>
    <w:rsid w:val="00B210FA"/>
    <w:rsid w:val="00B2329B"/>
    <w:rsid w:val="00B3182D"/>
    <w:rsid w:val="00B35D1B"/>
    <w:rsid w:val="00B413BE"/>
    <w:rsid w:val="00B51286"/>
    <w:rsid w:val="00B51E31"/>
    <w:rsid w:val="00B52ABC"/>
    <w:rsid w:val="00B53002"/>
    <w:rsid w:val="00B60606"/>
    <w:rsid w:val="00B6620F"/>
    <w:rsid w:val="00B66E13"/>
    <w:rsid w:val="00B673A7"/>
    <w:rsid w:val="00B7078B"/>
    <w:rsid w:val="00B75385"/>
    <w:rsid w:val="00B76CE3"/>
    <w:rsid w:val="00B81F83"/>
    <w:rsid w:val="00B863AB"/>
    <w:rsid w:val="00B86CF4"/>
    <w:rsid w:val="00B873A8"/>
    <w:rsid w:val="00B951D6"/>
    <w:rsid w:val="00BA0006"/>
    <w:rsid w:val="00BA0BD5"/>
    <w:rsid w:val="00BA1B2F"/>
    <w:rsid w:val="00BB28F7"/>
    <w:rsid w:val="00BB3E03"/>
    <w:rsid w:val="00BB4682"/>
    <w:rsid w:val="00BB5894"/>
    <w:rsid w:val="00BC1F36"/>
    <w:rsid w:val="00BC774F"/>
    <w:rsid w:val="00BD08FA"/>
    <w:rsid w:val="00BF30E9"/>
    <w:rsid w:val="00BF634C"/>
    <w:rsid w:val="00C04484"/>
    <w:rsid w:val="00C0572F"/>
    <w:rsid w:val="00C11D08"/>
    <w:rsid w:val="00C21AB3"/>
    <w:rsid w:val="00C40D85"/>
    <w:rsid w:val="00C40FE9"/>
    <w:rsid w:val="00C53F4F"/>
    <w:rsid w:val="00C55351"/>
    <w:rsid w:val="00C61543"/>
    <w:rsid w:val="00C61B65"/>
    <w:rsid w:val="00C8292C"/>
    <w:rsid w:val="00C85E9A"/>
    <w:rsid w:val="00C86A26"/>
    <w:rsid w:val="00C872B7"/>
    <w:rsid w:val="00C91876"/>
    <w:rsid w:val="00CA4F87"/>
    <w:rsid w:val="00CB0754"/>
    <w:rsid w:val="00CB1748"/>
    <w:rsid w:val="00CB1AD6"/>
    <w:rsid w:val="00CB6035"/>
    <w:rsid w:val="00CC55E9"/>
    <w:rsid w:val="00CD00A2"/>
    <w:rsid w:val="00CD6608"/>
    <w:rsid w:val="00CE0437"/>
    <w:rsid w:val="00CE296C"/>
    <w:rsid w:val="00CE4C4B"/>
    <w:rsid w:val="00CF0649"/>
    <w:rsid w:val="00CF2C2B"/>
    <w:rsid w:val="00CF4DD3"/>
    <w:rsid w:val="00D02352"/>
    <w:rsid w:val="00D0331C"/>
    <w:rsid w:val="00D03DC3"/>
    <w:rsid w:val="00D04683"/>
    <w:rsid w:val="00D04D7E"/>
    <w:rsid w:val="00D10060"/>
    <w:rsid w:val="00D124EA"/>
    <w:rsid w:val="00D143A1"/>
    <w:rsid w:val="00D1562D"/>
    <w:rsid w:val="00D20406"/>
    <w:rsid w:val="00D217CC"/>
    <w:rsid w:val="00D25F1E"/>
    <w:rsid w:val="00D26079"/>
    <w:rsid w:val="00D36848"/>
    <w:rsid w:val="00D462CB"/>
    <w:rsid w:val="00D50FD1"/>
    <w:rsid w:val="00D56B8C"/>
    <w:rsid w:val="00D64A09"/>
    <w:rsid w:val="00D67748"/>
    <w:rsid w:val="00D84F6A"/>
    <w:rsid w:val="00D85319"/>
    <w:rsid w:val="00D86E65"/>
    <w:rsid w:val="00D948D8"/>
    <w:rsid w:val="00D97824"/>
    <w:rsid w:val="00DA071F"/>
    <w:rsid w:val="00DA491D"/>
    <w:rsid w:val="00DA7FFA"/>
    <w:rsid w:val="00DC1526"/>
    <w:rsid w:val="00DC3A44"/>
    <w:rsid w:val="00DC5F66"/>
    <w:rsid w:val="00DD1569"/>
    <w:rsid w:val="00DD1A31"/>
    <w:rsid w:val="00DE3C83"/>
    <w:rsid w:val="00E00704"/>
    <w:rsid w:val="00E01BF6"/>
    <w:rsid w:val="00E03B31"/>
    <w:rsid w:val="00E049FD"/>
    <w:rsid w:val="00E0758A"/>
    <w:rsid w:val="00E16BD9"/>
    <w:rsid w:val="00E31A3F"/>
    <w:rsid w:val="00E34001"/>
    <w:rsid w:val="00E36813"/>
    <w:rsid w:val="00E3772D"/>
    <w:rsid w:val="00E52184"/>
    <w:rsid w:val="00E52306"/>
    <w:rsid w:val="00E540A6"/>
    <w:rsid w:val="00E54EA6"/>
    <w:rsid w:val="00E60923"/>
    <w:rsid w:val="00E65B25"/>
    <w:rsid w:val="00E712D6"/>
    <w:rsid w:val="00E77B99"/>
    <w:rsid w:val="00E830FE"/>
    <w:rsid w:val="00E878D7"/>
    <w:rsid w:val="00E90762"/>
    <w:rsid w:val="00E95D39"/>
    <w:rsid w:val="00EA5A79"/>
    <w:rsid w:val="00EB04FB"/>
    <w:rsid w:val="00EB37C7"/>
    <w:rsid w:val="00EC073D"/>
    <w:rsid w:val="00EC07D4"/>
    <w:rsid w:val="00EC253E"/>
    <w:rsid w:val="00EC3EC2"/>
    <w:rsid w:val="00EC41EA"/>
    <w:rsid w:val="00ED273E"/>
    <w:rsid w:val="00ED6826"/>
    <w:rsid w:val="00EF1ED1"/>
    <w:rsid w:val="00EF27BB"/>
    <w:rsid w:val="00EF39CA"/>
    <w:rsid w:val="00EF6066"/>
    <w:rsid w:val="00EF7AAC"/>
    <w:rsid w:val="00F0050F"/>
    <w:rsid w:val="00F047E3"/>
    <w:rsid w:val="00F10A28"/>
    <w:rsid w:val="00F141C1"/>
    <w:rsid w:val="00F21C9E"/>
    <w:rsid w:val="00F240D8"/>
    <w:rsid w:val="00F24A93"/>
    <w:rsid w:val="00F27C61"/>
    <w:rsid w:val="00F40D31"/>
    <w:rsid w:val="00F42009"/>
    <w:rsid w:val="00F47C39"/>
    <w:rsid w:val="00F536F1"/>
    <w:rsid w:val="00F5524D"/>
    <w:rsid w:val="00F6451C"/>
    <w:rsid w:val="00F65971"/>
    <w:rsid w:val="00F65999"/>
    <w:rsid w:val="00F669DD"/>
    <w:rsid w:val="00F676F2"/>
    <w:rsid w:val="00F74263"/>
    <w:rsid w:val="00F74321"/>
    <w:rsid w:val="00F771AB"/>
    <w:rsid w:val="00F81D58"/>
    <w:rsid w:val="00F9796B"/>
    <w:rsid w:val="00FA15C4"/>
    <w:rsid w:val="00FB09AD"/>
    <w:rsid w:val="00FB1731"/>
    <w:rsid w:val="00FB37A4"/>
    <w:rsid w:val="00FB7538"/>
    <w:rsid w:val="00FC112A"/>
    <w:rsid w:val="00FC5827"/>
    <w:rsid w:val="00FC6D34"/>
    <w:rsid w:val="00FC7437"/>
    <w:rsid w:val="00FD17F5"/>
    <w:rsid w:val="00FD5B57"/>
    <w:rsid w:val="00FD61C2"/>
    <w:rsid w:val="00FD674E"/>
    <w:rsid w:val="00FE1A1A"/>
    <w:rsid w:val="00FE2827"/>
    <w:rsid w:val="00FE2903"/>
    <w:rsid w:val="00FE7A74"/>
    <w:rsid w:val="00FF1BC3"/>
    <w:rsid w:val="00FF30A1"/>
    <w:rsid w:val="00FF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06E7"/>
  <w15:chartTrackingRefBased/>
  <w15:docId w15:val="{DEFBF45A-B3DA-4BE9-A6AF-30BBE2BB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2FB"/>
    <w:rPr>
      <w:color w:val="0563C1" w:themeColor="hyperlink"/>
      <w:u w:val="single"/>
    </w:rPr>
  </w:style>
  <w:style w:type="paragraph" w:styleId="a4">
    <w:name w:val="List Paragraph"/>
    <w:basedOn w:val="a"/>
    <w:uiPriority w:val="34"/>
    <w:qFormat/>
    <w:rsid w:val="001C7528"/>
    <w:pPr>
      <w:ind w:left="720"/>
      <w:contextualSpacing/>
    </w:pPr>
  </w:style>
  <w:style w:type="paragraph" w:styleId="a5">
    <w:name w:val="footnote text"/>
    <w:basedOn w:val="a"/>
    <w:link w:val="a6"/>
    <w:uiPriority w:val="99"/>
    <w:semiHidden/>
    <w:unhideWhenUsed/>
    <w:rsid w:val="008D7B3A"/>
    <w:pPr>
      <w:spacing w:after="0" w:line="240" w:lineRule="auto"/>
    </w:pPr>
    <w:rPr>
      <w:sz w:val="20"/>
      <w:szCs w:val="20"/>
    </w:rPr>
  </w:style>
  <w:style w:type="character" w:customStyle="1" w:styleId="a6">
    <w:name w:val="Текст сноски Знак"/>
    <w:basedOn w:val="a0"/>
    <w:link w:val="a5"/>
    <w:uiPriority w:val="99"/>
    <w:semiHidden/>
    <w:rsid w:val="008D7B3A"/>
    <w:rPr>
      <w:sz w:val="20"/>
      <w:szCs w:val="20"/>
    </w:rPr>
  </w:style>
  <w:style w:type="character" w:styleId="a7">
    <w:name w:val="footnote reference"/>
    <w:basedOn w:val="a0"/>
    <w:uiPriority w:val="99"/>
    <w:semiHidden/>
    <w:unhideWhenUsed/>
    <w:rsid w:val="008D7B3A"/>
    <w:rPr>
      <w:vertAlign w:val="superscript"/>
    </w:rPr>
  </w:style>
  <w:style w:type="paragraph" w:styleId="a8">
    <w:name w:val="Balloon Text"/>
    <w:basedOn w:val="a"/>
    <w:link w:val="a9"/>
    <w:uiPriority w:val="99"/>
    <w:semiHidden/>
    <w:unhideWhenUsed/>
    <w:rsid w:val="00E5230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52306"/>
    <w:rPr>
      <w:rFonts w:ascii="Segoe UI" w:hAnsi="Segoe UI" w:cs="Segoe UI"/>
      <w:sz w:val="18"/>
      <w:szCs w:val="18"/>
    </w:rPr>
  </w:style>
  <w:style w:type="character" w:styleId="aa">
    <w:name w:val="FollowedHyperlink"/>
    <w:basedOn w:val="a0"/>
    <w:uiPriority w:val="99"/>
    <w:semiHidden/>
    <w:unhideWhenUsed/>
    <w:rsid w:val="00A86492"/>
    <w:rPr>
      <w:color w:val="954F72" w:themeColor="followedHyperlink"/>
      <w:u w:val="single"/>
    </w:rPr>
  </w:style>
  <w:style w:type="paragraph" w:styleId="ab">
    <w:name w:val="Revision"/>
    <w:hidden/>
    <w:uiPriority w:val="99"/>
    <w:semiHidden/>
    <w:rsid w:val="00F65971"/>
    <w:pPr>
      <w:spacing w:after="0" w:line="240" w:lineRule="auto"/>
    </w:pPr>
  </w:style>
  <w:style w:type="character" w:styleId="ac">
    <w:name w:val="annotation reference"/>
    <w:basedOn w:val="a0"/>
    <w:uiPriority w:val="99"/>
    <w:semiHidden/>
    <w:unhideWhenUsed/>
    <w:rsid w:val="00B53002"/>
    <w:rPr>
      <w:sz w:val="16"/>
      <w:szCs w:val="16"/>
    </w:rPr>
  </w:style>
  <w:style w:type="paragraph" w:styleId="ad">
    <w:name w:val="annotation text"/>
    <w:basedOn w:val="a"/>
    <w:link w:val="ae"/>
    <w:uiPriority w:val="99"/>
    <w:semiHidden/>
    <w:unhideWhenUsed/>
    <w:rsid w:val="00B53002"/>
    <w:pPr>
      <w:spacing w:line="240" w:lineRule="auto"/>
    </w:pPr>
    <w:rPr>
      <w:sz w:val="20"/>
      <w:szCs w:val="20"/>
    </w:rPr>
  </w:style>
  <w:style w:type="character" w:customStyle="1" w:styleId="ae">
    <w:name w:val="Текст примечания Знак"/>
    <w:basedOn w:val="a0"/>
    <w:link w:val="ad"/>
    <w:uiPriority w:val="99"/>
    <w:semiHidden/>
    <w:rsid w:val="00B53002"/>
    <w:rPr>
      <w:sz w:val="20"/>
      <w:szCs w:val="20"/>
    </w:rPr>
  </w:style>
  <w:style w:type="paragraph" w:styleId="af">
    <w:name w:val="annotation subject"/>
    <w:basedOn w:val="ad"/>
    <w:next w:val="ad"/>
    <w:link w:val="af0"/>
    <w:uiPriority w:val="99"/>
    <w:semiHidden/>
    <w:unhideWhenUsed/>
    <w:rsid w:val="00B53002"/>
    <w:rPr>
      <w:b/>
      <w:bCs/>
    </w:rPr>
  </w:style>
  <w:style w:type="character" w:customStyle="1" w:styleId="af0">
    <w:name w:val="Тема примечания Знак"/>
    <w:basedOn w:val="ae"/>
    <w:link w:val="af"/>
    <w:uiPriority w:val="99"/>
    <w:semiHidden/>
    <w:rsid w:val="00B53002"/>
    <w:rPr>
      <w:b/>
      <w:bCs/>
      <w:sz w:val="20"/>
      <w:szCs w:val="20"/>
    </w:rPr>
  </w:style>
  <w:style w:type="paragraph" w:customStyle="1" w:styleId="Disclaimer">
    <w:name w:val="Disclaimer"/>
    <w:basedOn w:val="a"/>
    <w:qFormat/>
    <w:rsid w:val="00B413BE"/>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rPr>
  </w:style>
  <w:style w:type="paragraph" w:customStyle="1" w:styleId="BlackStrips">
    <w:name w:val="Black Strips"/>
    <w:basedOn w:val="a"/>
    <w:qFormat/>
    <w:rsid w:val="00B413BE"/>
    <w:pPr>
      <w:shd w:val="clear" w:color="auto" w:fill="000000"/>
      <w:spacing w:after="200" w:line="240" w:lineRule="auto"/>
      <w:jc w:val="center"/>
    </w:pPr>
    <w:rPr>
      <w:rFonts w:eastAsiaTheme="minorHAnsi"/>
      <w:color w:val="FFFFFF"/>
      <w:sz w:val="24"/>
      <w:szCs w:val="24"/>
    </w:rPr>
  </w:style>
  <w:style w:type="paragraph" w:customStyle="1" w:styleId="DisclaimerBold">
    <w:name w:val="Disclaimer Bold"/>
    <w:basedOn w:val="Disclaimer"/>
    <w:qFormat/>
    <w:rsid w:val="00B413BE"/>
    <w:pPr>
      <w:jc w:val="left"/>
    </w:pPr>
    <w:rPr>
      <w:b/>
    </w:rPr>
  </w:style>
  <w:style w:type="paragraph" w:styleId="af1">
    <w:name w:val="header"/>
    <w:basedOn w:val="a"/>
    <w:link w:val="af2"/>
    <w:uiPriority w:val="99"/>
    <w:unhideWhenUsed/>
    <w:rsid w:val="00CD6608"/>
    <w:pPr>
      <w:tabs>
        <w:tab w:val="center" w:pos="4320"/>
        <w:tab w:val="right" w:pos="8640"/>
      </w:tabs>
      <w:spacing w:after="0" w:line="240" w:lineRule="auto"/>
    </w:pPr>
  </w:style>
  <w:style w:type="character" w:customStyle="1" w:styleId="af2">
    <w:name w:val="Верхний колонтитул Знак"/>
    <w:basedOn w:val="a0"/>
    <w:link w:val="af1"/>
    <w:uiPriority w:val="99"/>
    <w:rsid w:val="00CD6608"/>
  </w:style>
  <w:style w:type="paragraph" w:styleId="af3">
    <w:name w:val="footer"/>
    <w:basedOn w:val="a"/>
    <w:link w:val="af4"/>
    <w:uiPriority w:val="99"/>
    <w:unhideWhenUsed/>
    <w:rsid w:val="00CD6608"/>
    <w:pPr>
      <w:tabs>
        <w:tab w:val="center" w:pos="4320"/>
        <w:tab w:val="right" w:pos="8640"/>
      </w:tabs>
      <w:spacing w:after="0" w:line="240" w:lineRule="auto"/>
    </w:pPr>
  </w:style>
  <w:style w:type="character" w:customStyle="1" w:styleId="af4">
    <w:name w:val="Нижний колонтитул Знак"/>
    <w:basedOn w:val="a0"/>
    <w:link w:val="af3"/>
    <w:uiPriority w:val="99"/>
    <w:rsid w:val="00CD6608"/>
  </w:style>
  <w:style w:type="table" w:styleId="af5">
    <w:name w:val="Table Grid"/>
    <w:basedOn w:val="a1"/>
    <w:uiPriority w:val="39"/>
    <w:rsid w:val="001D3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88202">
      <w:bodyDiv w:val="1"/>
      <w:marLeft w:val="0"/>
      <w:marRight w:val="0"/>
      <w:marTop w:val="0"/>
      <w:marBottom w:val="0"/>
      <w:divBdr>
        <w:top w:val="none" w:sz="0" w:space="0" w:color="auto"/>
        <w:left w:val="none" w:sz="0" w:space="0" w:color="auto"/>
        <w:bottom w:val="none" w:sz="0" w:space="0" w:color="auto"/>
        <w:right w:val="none" w:sz="0" w:space="0" w:color="auto"/>
      </w:divBdr>
    </w:div>
    <w:div w:id="19539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consults-on-gem-listing-refor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subscribe@charltonslaw.com?subject=unsubscribe%20-Hong%20Kong%20L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rveys.hkex.com.hk/jfe/form/SV_5bUiTaXv4leAePA" TargetMode="External"/><Relationship Id="rId5" Type="http://schemas.openxmlformats.org/officeDocument/2006/relationships/webSettings" Target="webSettings.xml"/><Relationship Id="rId10" Type="http://schemas.openxmlformats.org/officeDocument/2006/relationships/hyperlink" Target="https://surveys.hkex.com.hk/jfe/form/SV_5bUiTaXv4leAePA" TargetMode="External"/><Relationship Id="rId4" Type="http://schemas.openxmlformats.org/officeDocument/2006/relationships/settings" Target="settings.xml"/><Relationship Id="rId9" Type="http://schemas.openxmlformats.org/officeDocument/2006/relationships/hyperlink" Target="https://www.hkex.com.hk/-/media/HKEX-Market/News/Market-Consultations/2016-Present/September-2023-GEM-Listing-Reforms/Consultation-Paper/cp202309.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kex.com.hk/-/media/HKEX-Market/News/Market-Consultations/2016-Present/November-2020-MB-Profit-Requirement/Consultation-Paper/cp202011.pdf" TargetMode="External"/><Relationship Id="rId2" Type="http://schemas.openxmlformats.org/officeDocument/2006/relationships/hyperlink" Target="https://www.hkex.com.hk/-/media/HKEX-Market/News/Market-Consultations/2016-Present/June-2017-Consultation-Paper-on-Review-of-the-Growth-Enterprise-Market/Conclusions-(December-2017)/cp2017062cc.pdf" TargetMode="External"/><Relationship Id="rId1" Type="http://schemas.openxmlformats.org/officeDocument/2006/relationships/hyperlink" Target="https://www.hkex.com.hk/-/media/HKEX-Market/News/Market-Consultations/Consultation-Paper-on-Review-of-the-GEM-and-Changes-to-the-GEM-and-Main-Board-Listing-Rules/cp2017062.pdf" TargetMode="External"/><Relationship Id="rId4" Type="http://schemas.openxmlformats.org/officeDocument/2006/relationships/hyperlink" Target="https://www.hkex.com.hk/-/media/HKEX-Market/News/Market-Consultations/2016-Present/November-2020-MB-Profit-Requirement/Conclusions-(May-2021)/cp202011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083BE-669F-4E75-80A2-2A1030EA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11</Pages>
  <Words>4915</Words>
  <Characters>28019</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32869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Tuen</dc:creator>
  <cp:keywords/>
  <dc:description/>
  <cp:lastModifiedBy>Александр Пирогов</cp:lastModifiedBy>
  <cp:revision>15</cp:revision>
  <cp:lastPrinted>2023-09-28T06:27:00Z</cp:lastPrinted>
  <dcterms:created xsi:type="dcterms:W3CDTF">2023-09-28T15:06:00Z</dcterms:created>
  <dcterms:modified xsi:type="dcterms:W3CDTF">2023-10-01T07:40:00Z</dcterms:modified>
</cp:coreProperties>
</file>