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928CC" w:rsidRPr="008524CA" w:rsidRDefault="006928CC" w:rsidP="006928CC">
      <w:pPr>
        <w:shd w:val="clear" w:color="auto" w:fill="000000"/>
        <w:spacing w:after="200"/>
        <w:jc w:val="center"/>
        <w:rPr>
          <w:rFonts w:ascii="Cambria" w:eastAsia="Cambria" w:hAnsi="Cambria" w:cs="Times New Roman"/>
          <w:color w:val="FFFFFF"/>
          <w:sz w:val="24"/>
          <w:szCs w:val="24"/>
        </w:rPr>
      </w:pPr>
      <w:r>
        <w:rPr>
          <w:rFonts w:ascii="Cambria" w:eastAsia="Cambria" w:hAnsi="Cambria" w:cs="Times New Roman"/>
          <w:color w:val="FFFFFF"/>
          <w:sz w:val="24"/>
          <w:szCs w:val="24"/>
        </w:rPr>
        <w:t>Charltons - Hong Kong Law - 1</w:t>
      </w:r>
      <w:r w:rsidR="002973D7">
        <w:rPr>
          <w:rFonts w:ascii="Cambria" w:eastAsia="Cambria" w:hAnsi="Cambria" w:cs="Times New Roman"/>
          <w:color w:val="FFFFFF"/>
          <w:sz w:val="24"/>
          <w:szCs w:val="24"/>
        </w:rPr>
        <w:t>4</w:t>
      </w:r>
      <w:r w:rsidRPr="00C13D3D">
        <w:rPr>
          <w:rFonts w:ascii="Cambria" w:eastAsia="Cambria" w:hAnsi="Cambria" w:cs="Times New Roman"/>
          <w:color w:val="FFFFFF"/>
          <w:sz w:val="24"/>
          <w:szCs w:val="24"/>
        </w:rPr>
        <w:t xml:space="preserve"> </w:t>
      </w:r>
      <w:r>
        <w:rPr>
          <w:rFonts w:ascii="Cambria" w:eastAsia="Cambria" w:hAnsi="Cambria" w:cs="Times New Roman"/>
          <w:color w:val="FFFFFF"/>
          <w:sz w:val="24"/>
          <w:szCs w:val="24"/>
        </w:rPr>
        <w:t xml:space="preserve">September </w:t>
      </w:r>
      <w:r w:rsidRPr="00C13D3D">
        <w:rPr>
          <w:rFonts w:ascii="Cambria" w:eastAsia="Cambria" w:hAnsi="Cambria" w:cs="Times New Roman"/>
          <w:color w:val="FFFFFF"/>
          <w:sz w:val="24"/>
          <w:szCs w:val="24"/>
        </w:rPr>
        <w:t>202</w:t>
      </w:r>
      <w:r w:rsidRPr="008524CA">
        <w:rPr>
          <w:rFonts w:ascii="Cambria" w:eastAsia="Cambria" w:hAnsi="Cambria" w:cs="Times New Roman"/>
          <w:color w:val="FFFFFF"/>
          <w:sz w:val="24"/>
          <w:szCs w:val="24"/>
        </w:rPr>
        <w:t>3</w:t>
      </w:r>
    </w:p>
    <w:p w:rsidR="006928CC" w:rsidRPr="006928CC" w:rsidRDefault="00000000" w:rsidP="006928CC">
      <w:pPr>
        <w:spacing w:after="200"/>
        <w:jc w:val="center"/>
        <w:rPr>
          <w:rFonts w:ascii="Cambria" w:eastAsia="Cambria" w:hAnsi="Cambria" w:cs="Times New Roman"/>
          <w:color w:val="00000A"/>
          <w:sz w:val="28"/>
          <w:szCs w:val="24"/>
          <w:u w:val="single"/>
        </w:rPr>
      </w:pPr>
      <w:hyperlink r:id="rId8" w:history="1">
        <w:r w:rsidR="006928CC" w:rsidRPr="00365171">
          <w:rPr>
            <w:rStyle w:val="a6"/>
            <w:rFonts w:ascii="Cambria" w:eastAsia="Cambria" w:hAnsi="Cambria"/>
            <w:sz w:val="28"/>
            <w:szCs w:val="24"/>
          </w:rPr>
          <w:t>online version</w:t>
        </w:r>
      </w:hyperlink>
    </w:p>
    <w:p w:rsidR="00505638" w:rsidRPr="001B5209" w:rsidRDefault="001B5209" w:rsidP="001B5209">
      <w:pPr>
        <w:spacing w:after="200"/>
        <w:jc w:val="center"/>
        <w:rPr>
          <w:rFonts w:ascii="Arial" w:hAnsi="Arial" w:cs="Arial"/>
          <w:b/>
          <w:color w:val="FF0000"/>
          <w:sz w:val="20"/>
          <w:szCs w:val="20"/>
        </w:rPr>
      </w:pPr>
      <w:r>
        <w:rPr>
          <w:rFonts w:ascii="Arial" w:hAnsi="Arial" w:cs="Arial"/>
          <w:b/>
          <w:color w:val="FF0000"/>
          <w:sz w:val="20"/>
          <w:szCs w:val="20"/>
        </w:rPr>
        <w:t>HKEX to</w:t>
      </w:r>
      <w:r w:rsidR="000C35F1">
        <w:rPr>
          <w:rFonts w:ascii="Arial" w:hAnsi="Arial" w:cs="Arial"/>
          <w:b/>
          <w:color w:val="FF0000"/>
          <w:sz w:val="20"/>
          <w:szCs w:val="20"/>
        </w:rPr>
        <w:t xml:space="preserve"> </w:t>
      </w:r>
      <w:r w:rsidR="006A1C64" w:rsidRPr="00683A11">
        <w:rPr>
          <w:rFonts w:ascii="Arial" w:hAnsi="Arial" w:cs="Arial"/>
          <w:b/>
          <w:color w:val="FF0000"/>
          <w:sz w:val="20"/>
          <w:szCs w:val="20"/>
        </w:rPr>
        <w:t>Expan</w:t>
      </w:r>
      <w:r>
        <w:rPr>
          <w:rFonts w:ascii="Arial" w:hAnsi="Arial" w:cs="Arial"/>
          <w:b/>
          <w:color w:val="FF0000"/>
          <w:sz w:val="20"/>
          <w:szCs w:val="20"/>
        </w:rPr>
        <w:t>d</w:t>
      </w:r>
      <w:r w:rsidR="00505638" w:rsidRPr="00683A11">
        <w:rPr>
          <w:rFonts w:ascii="Arial" w:hAnsi="Arial" w:cs="Arial"/>
          <w:b/>
          <w:color w:val="FF0000"/>
          <w:sz w:val="20"/>
          <w:szCs w:val="20"/>
        </w:rPr>
        <w:t xml:space="preserve"> Paperless Listing Regime</w:t>
      </w:r>
      <w:r w:rsidR="000C35F1">
        <w:rPr>
          <w:rFonts w:ascii="Arial" w:hAnsi="Arial" w:cs="Arial"/>
          <w:b/>
          <w:color w:val="FF0000"/>
          <w:sz w:val="20"/>
          <w:szCs w:val="20"/>
        </w:rPr>
        <w:t xml:space="preserve"> </w:t>
      </w:r>
      <w:r>
        <w:rPr>
          <w:rFonts w:ascii="Arial" w:hAnsi="Arial" w:cs="Arial"/>
          <w:b/>
          <w:color w:val="FF0000"/>
          <w:sz w:val="20"/>
          <w:szCs w:val="20"/>
        </w:rPr>
        <w:t xml:space="preserve">from </w:t>
      </w:r>
      <w:r w:rsidR="000C35F1">
        <w:rPr>
          <w:rFonts w:ascii="Arial" w:hAnsi="Arial" w:cs="Arial"/>
          <w:b/>
          <w:color w:val="FF0000"/>
          <w:sz w:val="20"/>
          <w:szCs w:val="20"/>
        </w:rPr>
        <w:t>31 December 2023</w:t>
      </w:r>
    </w:p>
    <w:p w:rsidR="003F6D84" w:rsidRPr="00206835" w:rsidRDefault="00683A11" w:rsidP="00512AAD">
      <w:pPr>
        <w:jc w:val="both"/>
        <w:rPr>
          <w:rFonts w:ascii="Arial" w:hAnsi="Arial" w:cs="Arial"/>
          <w:sz w:val="20"/>
          <w:szCs w:val="20"/>
        </w:rPr>
      </w:pPr>
      <w:r>
        <w:rPr>
          <w:rFonts w:ascii="Arial" w:hAnsi="Arial" w:cs="Arial"/>
          <w:sz w:val="20"/>
          <w:szCs w:val="20"/>
        </w:rPr>
        <w:t>T</w:t>
      </w:r>
      <w:r w:rsidR="006104C5" w:rsidRPr="00D86CAE">
        <w:rPr>
          <w:rFonts w:ascii="Arial" w:hAnsi="Arial" w:cs="Arial"/>
          <w:sz w:val="20"/>
          <w:szCs w:val="20"/>
        </w:rPr>
        <w:t>he St</w:t>
      </w:r>
      <w:r w:rsidR="00D62E3D" w:rsidRPr="00D86CAE">
        <w:rPr>
          <w:rFonts w:ascii="Arial" w:hAnsi="Arial" w:cs="Arial"/>
          <w:sz w:val="20"/>
          <w:szCs w:val="20"/>
        </w:rPr>
        <w:t>ock Exchange</w:t>
      </w:r>
      <w:r w:rsidR="00010458" w:rsidRPr="00D86CAE">
        <w:rPr>
          <w:rFonts w:ascii="Arial" w:hAnsi="Arial" w:cs="Arial"/>
          <w:sz w:val="20"/>
          <w:szCs w:val="20"/>
        </w:rPr>
        <w:t xml:space="preserve"> of Hong Kong</w:t>
      </w:r>
      <w:r w:rsidR="00D62E3D" w:rsidRPr="00D86CAE">
        <w:rPr>
          <w:rFonts w:ascii="Arial" w:hAnsi="Arial" w:cs="Arial"/>
          <w:sz w:val="20"/>
          <w:szCs w:val="20"/>
        </w:rPr>
        <w:t xml:space="preserve"> (</w:t>
      </w:r>
      <w:r w:rsidR="00307E45" w:rsidRPr="00B35881">
        <w:rPr>
          <w:rFonts w:ascii="Arial" w:hAnsi="Arial" w:cs="Arial"/>
          <w:b/>
          <w:sz w:val="20"/>
          <w:szCs w:val="20"/>
        </w:rPr>
        <w:t>HKEX</w:t>
      </w:r>
      <w:r w:rsidR="000D1A73" w:rsidRPr="00B35881">
        <w:rPr>
          <w:rFonts w:ascii="Arial" w:hAnsi="Arial" w:cs="Arial"/>
          <w:sz w:val="20"/>
          <w:szCs w:val="20"/>
        </w:rPr>
        <w:t xml:space="preserve">) </w:t>
      </w:r>
      <w:r>
        <w:rPr>
          <w:rFonts w:ascii="Arial" w:hAnsi="Arial" w:cs="Arial"/>
          <w:sz w:val="20"/>
          <w:szCs w:val="20"/>
        </w:rPr>
        <w:t>has published</w:t>
      </w:r>
      <w:r w:rsidR="00486EDE">
        <w:rPr>
          <w:rFonts w:ascii="Arial" w:hAnsi="Arial" w:cs="Arial"/>
          <w:sz w:val="20"/>
          <w:szCs w:val="20"/>
        </w:rPr>
        <w:t xml:space="preserve"> changes to</w:t>
      </w:r>
      <w:r>
        <w:rPr>
          <w:rFonts w:ascii="Arial" w:hAnsi="Arial" w:cs="Arial"/>
          <w:sz w:val="20"/>
          <w:szCs w:val="20"/>
        </w:rPr>
        <w:t xml:space="preserve"> </w:t>
      </w:r>
      <w:r w:rsidR="002E05B5">
        <w:rPr>
          <w:rFonts w:ascii="Arial" w:hAnsi="Arial" w:cs="Arial"/>
          <w:sz w:val="20"/>
          <w:szCs w:val="20"/>
        </w:rPr>
        <w:t xml:space="preserve">the HKEX Listing Rule </w:t>
      </w:r>
      <w:r w:rsidR="000C22DC">
        <w:rPr>
          <w:rFonts w:ascii="Arial" w:hAnsi="Arial" w:cs="Arial"/>
          <w:sz w:val="20"/>
          <w:szCs w:val="20"/>
        </w:rPr>
        <w:t>reducing the number of hard copy documents required to be submitted and circulated by listed issuers. The Listing Rule changes</w:t>
      </w:r>
      <w:r w:rsidR="002E05B5">
        <w:rPr>
          <w:rFonts w:ascii="Arial" w:hAnsi="Arial" w:cs="Arial"/>
          <w:sz w:val="20"/>
          <w:szCs w:val="20"/>
        </w:rPr>
        <w:t xml:space="preserve"> will take </w:t>
      </w:r>
      <w:r w:rsidR="002E05B5" w:rsidRPr="00D86CAE">
        <w:rPr>
          <w:rFonts w:ascii="Arial" w:hAnsi="Arial" w:cs="Arial"/>
          <w:sz w:val="20"/>
          <w:szCs w:val="20"/>
        </w:rPr>
        <w:t>effect on 31 December 2023</w:t>
      </w:r>
      <w:r w:rsidR="000C22DC">
        <w:rPr>
          <w:rFonts w:ascii="Arial" w:hAnsi="Arial" w:cs="Arial"/>
          <w:sz w:val="20"/>
          <w:szCs w:val="20"/>
        </w:rPr>
        <w:t xml:space="preserve"> and are set out in the HKEX’s</w:t>
      </w:r>
      <w:r w:rsidR="002E05B5">
        <w:rPr>
          <w:rFonts w:ascii="Arial" w:hAnsi="Arial" w:cs="Arial"/>
          <w:sz w:val="20"/>
          <w:szCs w:val="20"/>
        </w:rPr>
        <w:t xml:space="preserve"> </w:t>
      </w:r>
      <w:hyperlink r:id="rId9" w:history="1">
        <w:r w:rsidR="00010458" w:rsidRPr="00206835">
          <w:rPr>
            <w:rStyle w:val="a6"/>
            <w:rFonts w:ascii="Arial" w:hAnsi="Arial" w:cs="Arial"/>
            <w:sz w:val="20"/>
            <w:szCs w:val="20"/>
          </w:rPr>
          <w:t>Consultation Conclusion</w:t>
        </w:r>
        <w:r w:rsidR="000C22DC">
          <w:rPr>
            <w:rStyle w:val="a6"/>
            <w:rFonts w:ascii="Arial" w:hAnsi="Arial" w:cs="Arial"/>
            <w:sz w:val="20"/>
            <w:szCs w:val="20"/>
          </w:rPr>
          <w:t xml:space="preserve">s: Proposals to Expand the Paperless Listing Regime and Other Rule </w:t>
        </w:r>
        <w:r w:rsidR="000C22DC" w:rsidRPr="00486EDE">
          <w:rPr>
            <w:rStyle w:val="a6"/>
            <w:rFonts w:ascii="Arial" w:hAnsi="Arial" w:cs="Arial"/>
            <w:sz w:val="20"/>
            <w:szCs w:val="20"/>
          </w:rPr>
          <w:t>Amendment</w:t>
        </w:r>
        <w:r w:rsidR="00BA7493" w:rsidRPr="00486EDE">
          <w:rPr>
            <w:rStyle w:val="a6"/>
            <w:rFonts w:ascii="Arial" w:hAnsi="Arial" w:cs="Arial"/>
            <w:sz w:val="20"/>
            <w:szCs w:val="20"/>
          </w:rPr>
          <w:t>s</w:t>
        </w:r>
      </w:hyperlink>
      <w:r w:rsidR="000C22DC">
        <w:rPr>
          <w:rStyle w:val="a6"/>
          <w:rFonts w:ascii="Arial" w:hAnsi="Arial" w:cs="Arial"/>
          <w:sz w:val="20"/>
          <w:szCs w:val="20"/>
          <w:u w:val="none"/>
        </w:rPr>
        <w:t xml:space="preserve"> </w:t>
      </w:r>
      <w:r w:rsidR="000C22DC" w:rsidRPr="000C22DC">
        <w:rPr>
          <w:rStyle w:val="a6"/>
          <w:rFonts w:ascii="Arial" w:hAnsi="Arial" w:cs="Arial"/>
          <w:color w:val="auto"/>
          <w:sz w:val="20"/>
          <w:szCs w:val="20"/>
          <w:u w:val="none"/>
        </w:rPr>
        <w:t>published in June 2023</w:t>
      </w:r>
      <w:r w:rsidR="00D021BD" w:rsidRPr="000C22DC">
        <w:rPr>
          <w:rFonts w:ascii="Arial" w:hAnsi="Arial" w:cs="Arial"/>
          <w:sz w:val="20"/>
          <w:szCs w:val="20"/>
        </w:rPr>
        <w:t>.</w:t>
      </w:r>
      <w:r w:rsidR="000C22DC" w:rsidRPr="000C22DC">
        <w:rPr>
          <w:rFonts w:ascii="Arial" w:hAnsi="Arial" w:cs="Arial"/>
          <w:sz w:val="20"/>
          <w:szCs w:val="20"/>
        </w:rPr>
        <w:t xml:space="preserve"> </w:t>
      </w:r>
      <w:r w:rsidR="00D021BD" w:rsidRPr="000C22DC">
        <w:rPr>
          <w:rFonts w:ascii="Arial" w:hAnsi="Arial" w:cs="Arial"/>
          <w:sz w:val="20"/>
          <w:szCs w:val="20"/>
        </w:rPr>
        <w:t xml:space="preserve"> </w:t>
      </w:r>
      <w:r w:rsidR="000C22DC">
        <w:rPr>
          <w:rFonts w:ascii="Arial" w:hAnsi="Arial" w:cs="Arial"/>
          <w:sz w:val="20"/>
          <w:szCs w:val="20"/>
        </w:rPr>
        <w:t>One of the key Listing Rule</w:t>
      </w:r>
      <w:r w:rsidR="00486EDE">
        <w:rPr>
          <w:rFonts w:ascii="Arial" w:hAnsi="Arial" w:cs="Arial"/>
          <w:sz w:val="20"/>
          <w:szCs w:val="20"/>
        </w:rPr>
        <w:t xml:space="preserve"> change</w:t>
      </w:r>
      <w:r w:rsidR="000C22DC">
        <w:rPr>
          <w:rFonts w:ascii="Arial" w:hAnsi="Arial" w:cs="Arial"/>
          <w:sz w:val="20"/>
          <w:szCs w:val="20"/>
        </w:rPr>
        <w:t xml:space="preserve">s </w:t>
      </w:r>
      <w:r w:rsidR="002E05B5">
        <w:rPr>
          <w:rFonts w:ascii="Arial" w:hAnsi="Arial" w:cs="Arial"/>
          <w:sz w:val="20"/>
          <w:szCs w:val="20"/>
        </w:rPr>
        <w:t>will require all HKEX-listed companies to send</w:t>
      </w:r>
      <w:r w:rsidR="00486EDE">
        <w:rPr>
          <w:rFonts w:ascii="Arial" w:hAnsi="Arial" w:cs="Arial"/>
          <w:sz w:val="20"/>
          <w:szCs w:val="20"/>
        </w:rPr>
        <w:t xml:space="preserve"> their</w:t>
      </w:r>
      <w:r w:rsidR="002E05B5">
        <w:rPr>
          <w:rFonts w:ascii="Arial" w:hAnsi="Arial" w:cs="Arial"/>
          <w:sz w:val="20"/>
          <w:szCs w:val="20"/>
        </w:rPr>
        <w:t xml:space="preserve"> corporate communications to their securities holders electronically. L</w:t>
      </w:r>
      <w:r w:rsidR="00D021BD">
        <w:rPr>
          <w:rFonts w:ascii="Arial" w:hAnsi="Arial" w:cs="Arial"/>
          <w:sz w:val="20"/>
          <w:szCs w:val="20"/>
        </w:rPr>
        <w:t xml:space="preserve">isted </w:t>
      </w:r>
      <w:r w:rsidR="00C858B3">
        <w:rPr>
          <w:rFonts w:ascii="Arial" w:hAnsi="Arial" w:cs="Arial"/>
          <w:sz w:val="20"/>
          <w:szCs w:val="20"/>
        </w:rPr>
        <w:t>companie</w:t>
      </w:r>
      <w:r w:rsidR="00D021BD" w:rsidRPr="00D86CAE">
        <w:rPr>
          <w:rFonts w:ascii="Arial" w:hAnsi="Arial" w:cs="Arial"/>
          <w:sz w:val="20"/>
          <w:szCs w:val="20"/>
        </w:rPr>
        <w:t xml:space="preserve">s </w:t>
      </w:r>
      <w:r w:rsidR="00D021BD">
        <w:rPr>
          <w:rFonts w:ascii="Arial" w:hAnsi="Arial" w:cs="Arial"/>
          <w:sz w:val="20"/>
          <w:szCs w:val="20"/>
        </w:rPr>
        <w:t xml:space="preserve">who need to change </w:t>
      </w:r>
      <w:r w:rsidR="00D021BD" w:rsidRPr="00D86CAE">
        <w:rPr>
          <w:rFonts w:ascii="Arial" w:hAnsi="Arial" w:cs="Arial"/>
          <w:sz w:val="20"/>
          <w:szCs w:val="20"/>
        </w:rPr>
        <w:t xml:space="preserve">their constitutional documents to </w:t>
      </w:r>
      <w:r w:rsidR="00D021BD">
        <w:rPr>
          <w:rFonts w:ascii="Arial" w:hAnsi="Arial" w:cs="Arial"/>
          <w:sz w:val="20"/>
          <w:szCs w:val="20"/>
        </w:rPr>
        <w:t>remove any restriction on electronic dissemination of</w:t>
      </w:r>
      <w:r w:rsidR="00D021BD" w:rsidRPr="00B35881">
        <w:rPr>
          <w:rFonts w:ascii="Arial" w:hAnsi="Arial" w:cs="Arial"/>
          <w:sz w:val="20"/>
          <w:szCs w:val="20"/>
        </w:rPr>
        <w:t xml:space="preserve"> corporate communications</w:t>
      </w:r>
      <w:r w:rsidR="00D021BD" w:rsidRPr="00D86CAE">
        <w:t xml:space="preserve"> </w:t>
      </w:r>
      <w:r w:rsidR="002E05B5">
        <w:rPr>
          <w:rFonts w:ascii="Arial" w:hAnsi="Arial" w:cs="Arial"/>
          <w:sz w:val="20"/>
          <w:szCs w:val="20"/>
        </w:rPr>
        <w:t>to securities hol</w:t>
      </w:r>
      <w:r w:rsidR="00486EDE">
        <w:rPr>
          <w:rFonts w:ascii="Arial" w:hAnsi="Arial" w:cs="Arial"/>
          <w:sz w:val="20"/>
          <w:szCs w:val="20"/>
        </w:rPr>
        <w:t>ders will only need to comply with this requirement from the date of their first annual general meeting occurring after 31 December 2023, except where the restriction arises under the laws and regulations of their home jurisdiction</w:t>
      </w:r>
      <w:r w:rsidR="00D021BD" w:rsidRPr="00D86CAE">
        <w:rPr>
          <w:rFonts w:ascii="Arial" w:hAnsi="Arial" w:cs="Arial"/>
          <w:sz w:val="20"/>
          <w:szCs w:val="20"/>
        </w:rPr>
        <w:t>.</w:t>
      </w:r>
      <w:r w:rsidR="00D021BD">
        <w:rPr>
          <w:rFonts w:ascii="Arial" w:hAnsi="Arial" w:cs="Arial"/>
          <w:sz w:val="20"/>
          <w:szCs w:val="20"/>
        </w:rPr>
        <w:t xml:space="preserve"> </w:t>
      </w:r>
      <w:r w:rsidR="00C858B3">
        <w:rPr>
          <w:rFonts w:ascii="Arial" w:hAnsi="Arial" w:cs="Arial"/>
          <w:sz w:val="20"/>
          <w:szCs w:val="20"/>
        </w:rPr>
        <w:t xml:space="preserve">The </w:t>
      </w:r>
      <w:r w:rsidR="00486EDE">
        <w:rPr>
          <w:rFonts w:ascii="Arial" w:hAnsi="Arial" w:cs="Arial"/>
          <w:sz w:val="20"/>
          <w:szCs w:val="20"/>
        </w:rPr>
        <w:t xml:space="preserve">Listing </w:t>
      </w:r>
      <w:r w:rsidR="002E05B5">
        <w:rPr>
          <w:rFonts w:ascii="Arial" w:hAnsi="Arial" w:cs="Arial"/>
          <w:sz w:val="20"/>
          <w:szCs w:val="20"/>
        </w:rPr>
        <w:t>Rule change</w:t>
      </w:r>
      <w:r w:rsidR="00C858B3">
        <w:rPr>
          <w:rFonts w:ascii="Arial" w:hAnsi="Arial" w:cs="Arial"/>
          <w:sz w:val="20"/>
          <w:szCs w:val="20"/>
        </w:rPr>
        <w:t>s</w:t>
      </w:r>
      <w:r w:rsidR="002E05B5">
        <w:rPr>
          <w:rFonts w:ascii="Arial" w:hAnsi="Arial" w:cs="Arial"/>
          <w:sz w:val="20"/>
          <w:szCs w:val="20"/>
        </w:rPr>
        <w:t xml:space="preserve"> will apply </w:t>
      </w:r>
      <w:r w:rsidR="002E05B5" w:rsidRPr="00B35881">
        <w:rPr>
          <w:rFonts w:ascii="Arial" w:hAnsi="Arial" w:cs="Arial"/>
          <w:sz w:val="20"/>
          <w:szCs w:val="20"/>
        </w:rPr>
        <w:t xml:space="preserve">to equity </w:t>
      </w:r>
      <w:r w:rsidR="002E05B5">
        <w:rPr>
          <w:rFonts w:ascii="Arial" w:hAnsi="Arial" w:cs="Arial"/>
          <w:sz w:val="20"/>
          <w:szCs w:val="20"/>
        </w:rPr>
        <w:t xml:space="preserve">and </w:t>
      </w:r>
      <w:r w:rsidR="002E05B5" w:rsidRPr="00B35881">
        <w:rPr>
          <w:rFonts w:ascii="Arial" w:hAnsi="Arial" w:cs="Arial"/>
          <w:sz w:val="20"/>
          <w:szCs w:val="20"/>
        </w:rPr>
        <w:t>debt securities</w:t>
      </w:r>
      <w:r w:rsidR="002E05B5">
        <w:rPr>
          <w:rFonts w:ascii="Arial" w:hAnsi="Arial" w:cs="Arial"/>
          <w:sz w:val="20"/>
          <w:szCs w:val="20"/>
        </w:rPr>
        <w:t xml:space="preserve"> and</w:t>
      </w:r>
      <w:r w:rsidR="002E05B5" w:rsidRPr="00B35881">
        <w:rPr>
          <w:rFonts w:ascii="Arial" w:hAnsi="Arial" w:cs="Arial"/>
          <w:sz w:val="20"/>
          <w:szCs w:val="20"/>
        </w:rPr>
        <w:t xml:space="preserve"> </w:t>
      </w:r>
      <w:r w:rsidR="00C858B3">
        <w:rPr>
          <w:rFonts w:ascii="Arial" w:hAnsi="Arial" w:cs="Arial"/>
          <w:sz w:val="20"/>
          <w:szCs w:val="20"/>
        </w:rPr>
        <w:t xml:space="preserve">aim </w:t>
      </w:r>
      <w:r w:rsidR="002E05B5">
        <w:rPr>
          <w:rFonts w:ascii="Arial" w:hAnsi="Arial" w:cs="Arial"/>
          <w:sz w:val="20"/>
          <w:szCs w:val="20"/>
        </w:rPr>
        <w:t>to improve efficiency</w:t>
      </w:r>
      <w:r w:rsidR="002E05B5" w:rsidRPr="002E05B5">
        <w:rPr>
          <w:rFonts w:ascii="Arial" w:hAnsi="Arial" w:cs="Arial"/>
          <w:sz w:val="20"/>
          <w:szCs w:val="20"/>
        </w:rPr>
        <w:t xml:space="preserve"> </w:t>
      </w:r>
      <w:r w:rsidR="002E05B5">
        <w:rPr>
          <w:rFonts w:ascii="Arial" w:hAnsi="Arial" w:cs="Arial"/>
          <w:sz w:val="20"/>
          <w:szCs w:val="20"/>
        </w:rPr>
        <w:t xml:space="preserve">and cut issuers’ costs by reducing the number of hard copy documents that issuers need to submit and distribute. </w:t>
      </w:r>
      <w:r w:rsidR="00741EB3" w:rsidRPr="00B35881">
        <w:rPr>
          <w:rFonts w:ascii="Arial" w:hAnsi="Arial" w:cs="Arial"/>
          <w:sz w:val="20"/>
          <w:szCs w:val="20"/>
        </w:rPr>
        <w:t xml:space="preserve">For a summary of the </w:t>
      </w:r>
      <w:r w:rsidR="00DC4A7C">
        <w:rPr>
          <w:rFonts w:ascii="Arial" w:hAnsi="Arial" w:cs="Arial"/>
          <w:sz w:val="20"/>
          <w:szCs w:val="20"/>
        </w:rPr>
        <w:t xml:space="preserve">HKEX’s December 2022 </w:t>
      </w:r>
      <w:hyperlink r:id="rId10" w:history="1">
        <w:r w:rsidR="00741EB3" w:rsidRPr="00C858B3">
          <w:rPr>
            <w:rStyle w:val="a6"/>
            <w:rFonts w:ascii="Arial" w:hAnsi="Arial" w:cs="Arial"/>
            <w:sz w:val="20"/>
            <w:szCs w:val="20"/>
          </w:rPr>
          <w:t>Consultation Paper</w:t>
        </w:r>
      </w:hyperlink>
      <w:r>
        <w:rPr>
          <w:rFonts w:ascii="Arial" w:hAnsi="Arial" w:cs="Arial"/>
          <w:sz w:val="20"/>
          <w:szCs w:val="20"/>
        </w:rPr>
        <w:t>’s original proposals</w:t>
      </w:r>
      <w:r w:rsidR="00741EB3" w:rsidRPr="00B35881">
        <w:rPr>
          <w:rFonts w:ascii="Arial" w:hAnsi="Arial" w:cs="Arial"/>
          <w:sz w:val="20"/>
          <w:szCs w:val="20"/>
        </w:rPr>
        <w:t xml:space="preserve">, please see </w:t>
      </w:r>
      <w:hyperlink r:id="rId11" w:history="1">
        <w:r w:rsidR="00741EB3" w:rsidRPr="00206835">
          <w:rPr>
            <w:rStyle w:val="a6"/>
            <w:rFonts w:ascii="Arial" w:hAnsi="Arial" w:cs="Arial"/>
            <w:sz w:val="20"/>
            <w:szCs w:val="20"/>
          </w:rPr>
          <w:t>Charltons’</w:t>
        </w:r>
        <w:r w:rsidR="00741EB3" w:rsidRPr="00D86CAE">
          <w:rPr>
            <w:rStyle w:val="a6"/>
            <w:rFonts w:ascii="Arial" w:hAnsi="Arial" w:cs="Arial"/>
            <w:sz w:val="20"/>
            <w:szCs w:val="20"/>
          </w:rPr>
          <w:t xml:space="preserve"> January 2023 newsletter</w:t>
        </w:r>
      </w:hyperlink>
      <w:r w:rsidR="00741EB3" w:rsidRPr="00B35881">
        <w:rPr>
          <w:rFonts w:ascii="Arial" w:hAnsi="Arial" w:cs="Arial"/>
          <w:sz w:val="20"/>
          <w:szCs w:val="20"/>
        </w:rPr>
        <w:t>.</w:t>
      </w:r>
    </w:p>
    <w:p w:rsidR="00D62E3D" w:rsidRPr="00B35881" w:rsidRDefault="00683A11" w:rsidP="00512AAD">
      <w:pPr>
        <w:jc w:val="both"/>
        <w:rPr>
          <w:rFonts w:ascii="Arial" w:hAnsi="Arial" w:cs="Arial"/>
          <w:sz w:val="20"/>
          <w:szCs w:val="20"/>
        </w:rPr>
      </w:pPr>
      <w:r>
        <w:rPr>
          <w:rFonts w:ascii="Arial" w:hAnsi="Arial" w:cs="Arial"/>
          <w:sz w:val="20"/>
          <w:szCs w:val="20"/>
        </w:rPr>
        <w:t>T</w:t>
      </w:r>
      <w:r w:rsidR="003F6D84" w:rsidRPr="00D86CAE">
        <w:rPr>
          <w:rFonts w:ascii="Arial" w:hAnsi="Arial" w:cs="Arial"/>
          <w:sz w:val="20"/>
          <w:szCs w:val="20"/>
        </w:rPr>
        <w:t xml:space="preserve">he HKEX </w:t>
      </w:r>
      <w:r w:rsidR="000C35F1">
        <w:rPr>
          <w:rFonts w:ascii="Arial" w:hAnsi="Arial" w:cs="Arial"/>
          <w:sz w:val="20"/>
          <w:szCs w:val="20"/>
        </w:rPr>
        <w:t xml:space="preserve">will </w:t>
      </w:r>
      <w:r w:rsidR="000C35F1" w:rsidRPr="00B35881">
        <w:rPr>
          <w:rFonts w:ascii="Arial" w:hAnsi="Arial" w:cs="Arial"/>
          <w:sz w:val="20"/>
          <w:szCs w:val="20"/>
        </w:rPr>
        <w:t xml:space="preserve">adopt all </w:t>
      </w:r>
      <w:r w:rsidR="00C858B3">
        <w:rPr>
          <w:rFonts w:ascii="Arial" w:hAnsi="Arial" w:cs="Arial"/>
          <w:sz w:val="20"/>
          <w:szCs w:val="20"/>
        </w:rPr>
        <w:t>the</w:t>
      </w:r>
      <w:r w:rsidR="000C35F1">
        <w:rPr>
          <w:rFonts w:ascii="Arial" w:hAnsi="Arial" w:cs="Arial"/>
          <w:sz w:val="20"/>
          <w:szCs w:val="20"/>
        </w:rPr>
        <w:t xml:space="preserve"> original </w:t>
      </w:r>
      <w:r w:rsidR="000C35F1" w:rsidRPr="00B35881">
        <w:rPr>
          <w:rFonts w:ascii="Arial" w:hAnsi="Arial" w:cs="Arial"/>
          <w:sz w:val="20"/>
          <w:szCs w:val="20"/>
        </w:rPr>
        <w:t xml:space="preserve">proposals with </w:t>
      </w:r>
      <w:r w:rsidR="000C35F1">
        <w:rPr>
          <w:rFonts w:ascii="Arial" w:hAnsi="Arial" w:cs="Arial"/>
          <w:sz w:val="20"/>
          <w:szCs w:val="20"/>
        </w:rPr>
        <w:t>minor modification</w:t>
      </w:r>
      <w:r w:rsidR="000C35F1" w:rsidRPr="00B35881">
        <w:rPr>
          <w:rFonts w:ascii="Arial" w:hAnsi="Arial" w:cs="Arial"/>
          <w:sz w:val="20"/>
          <w:szCs w:val="20"/>
        </w:rPr>
        <w:t>s</w:t>
      </w:r>
      <w:r w:rsidR="000C35F1">
        <w:rPr>
          <w:rFonts w:ascii="Arial" w:hAnsi="Arial" w:cs="Arial"/>
          <w:sz w:val="20"/>
          <w:szCs w:val="20"/>
        </w:rPr>
        <w:t xml:space="preserve"> to reflect comments </w:t>
      </w:r>
      <w:r w:rsidR="003F6D84" w:rsidRPr="00D86CAE">
        <w:rPr>
          <w:rFonts w:ascii="Arial" w:hAnsi="Arial" w:cs="Arial"/>
          <w:sz w:val="20"/>
          <w:szCs w:val="20"/>
        </w:rPr>
        <w:t xml:space="preserve">received </w:t>
      </w:r>
      <w:r w:rsidR="000C35F1">
        <w:rPr>
          <w:rFonts w:ascii="Arial" w:hAnsi="Arial" w:cs="Arial"/>
          <w:sz w:val="20"/>
          <w:szCs w:val="20"/>
        </w:rPr>
        <w:t xml:space="preserve">from the </w:t>
      </w:r>
      <w:r w:rsidR="003F6D84" w:rsidRPr="00D86CAE">
        <w:rPr>
          <w:rFonts w:ascii="Arial" w:hAnsi="Arial" w:cs="Arial"/>
          <w:sz w:val="20"/>
          <w:szCs w:val="20"/>
        </w:rPr>
        <w:t xml:space="preserve">63 </w:t>
      </w:r>
      <w:r w:rsidR="00C858B3">
        <w:rPr>
          <w:rFonts w:ascii="Arial" w:hAnsi="Arial" w:cs="Arial"/>
          <w:sz w:val="20"/>
          <w:szCs w:val="20"/>
        </w:rPr>
        <w:t>respondents to the C</w:t>
      </w:r>
      <w:r>
        <w:rPr>
          <w:rFonts w:ascii="Arial" w:hAnsi="Arial" w:cs="Arial"/>
          <w:sz w:val="20"/>
          <w:szCs w:val="20"/>
        </w:rPr>
        <w:t>onsultation Paper</w:t>
      </w:r>
      <w:r w:rsidR="000C35F1">
        <w:rPr>
          <w:rFonts w:ascii="Arial" w:hAnsi="Arial" w:cs="Arial"/>
          <w:sz w:val="20"/>
          <w:szCs w:val="20"/>
        </w:rPr>
        <w:t>.</w:t>
      </w:r>
      <w:r>
        <w:rPr>
          <w:rFonts w:ascii="Arial" w:hAnsi="Arial" w:cs="Arial"/>
          <w:sz w:val="20"/>
          <w:szCs w:val="20"/>
        </w:rPr>
        <w:t xml:space="preserve"> </w:t>
      </w:r>
      <w:r w:rsidR="000C35F1">
        <w:rPr>
          <w:rFonts w:ascii="Arial" w:hAnsi="Arial" w:cs="Arial"/>
          <w:sz w:val="20"/>
          <w:szCs w:val="20"/>
        </w:rPr>
        <w:t>The various m</w:t>
      </w:r>
      <w:r w:rsidR="000C35F1" w:rsidRPr="00D86CAE">
        <w:rPr>
          <w:rFonts w:ascii="Arial" w:hAnsi="Arial" w:cs="Arial"/>
          <w:sz w:val="20"/>
          <w:szCs w:val="20"/>
        </w:rPr>
        <w:t xml:space="preserve">inor and housekeeping amendments </w:t>
      </w:r>
      <w:r w:rsidR="000C35F1">
        <w:rPr>
          <w:rFonts w:ascii="Arial" w:hAnsi="Arial" w:cs="Arial"/>
          <w:sz w:val="20"/>
          <w:szCs w:val="20"/>
        </w:rPr>
        <w:t xml:space="preserve">took </w:t>
      </w:r>
      <w:r w:rsidR="000C35F1" w:rsidRPr="00D86CAE">
        <w:rPr>
          <w:rFonts w:ascii="Arial" w:hAnsi="Arial" w:cs="Arial"/>
          <w:sz w:val="20"/>
          <w:szCs w:val="20"/>
        </w:rPr>
        <w:t>effect on 8 July 2023</w:t>
      </w:r>
      <w:r w:rsidR="000C35F1">
        <w:rPr>
          <w:rFonts w:ascii="Arial" w:hAnsi="Arial" w:cs="Arial"/>
          <w:sz w:val="20"/>
          <w:szCs w:val="20"/>
        </w:rPr>
        <w:t>, while the rest of the HKEX Listing Rule changes</w:t>
      </w:r>
      <w:r w:rsidR="00C858B3">
        <w:rPr>
          <w:rFonts w:ascii="Arial" w:hAnsi="Arial" w:cs="Arial"/>
          <w:sz w:val="20"/>
          <w:szCs w:val="20"/>
        </w:rPr>
        <w:t xml:space="preserve"> will take effect on </w:t>
      </w:r>
      <w:r w:rsidR="00C858B3" w:rsidRPr="00D86CAE">
        <w:rPr>
          <w:rFonts w:ascii="Arial" w:hAnsi="Arial" w:cs="Arial"/>
          <w:sz w:val="20"/>
          <w:szCs w:val="20"/>
        </w:rPr>
        <w:t>31 December 202</w:t>
      </w:r>
      <w:r w:rsidR="00C858B3">
        <w:rPr>
          <w:rFonts w:ascii="Arial" w:hAnsi="Arial" w:cs="Arial"/>
          <w:sz w:val="20"/>
          <w:szCs w:val="20"/>
        </w:rPr>
        <w:t>3.</w:t>
      </w:r>
      <w:r w:rsidR="000C35F1">
        <w:rPr>
          <w:rFonts w:ascii="Arial" w:hAnsi="Arial" w:cs="Arial"/>
          <w:sz w:val="20"/>
          <w:szCs w:val="20"/>
        </w:rPr>
        <w:t xml:space="preserve"> </w:t>
      </w:r>
    </w:p>
    <w:p w:rsidR="00D56282" w:rsidRPr="00B35881" w:rsidRDefault="00D56282" w:rsidP="00D56282">
      <w:pPr>
        <w:rPr>
          <w:rFonts w:ascii="Arial" w:hAnsi="Arial" w:cs="Arial"/>
          <w:sz w:val="20"/>
          <w:szCs w:val="20"/>
        </w:rPr>
      </w:pPr>
      <w:r w:rsidRPr="00B35881">
        <w:rPr>
          <w:rFonts w:ascii="Arial" w:hAnsi="Arial" w:cs="Arial"/>
          <w:sz w:val="20"/>
          <w:szCs w:val="20"/>
        </w:rPr>
        <w:t>The key</w:t>
      </w:r>
      <w:r w:rsidR="00683A11">
        <w:rPr>
          <w:rFonts w:ascii="Arial" w:hAnsi="Arial" w:cs="Arial"/>
          <w:sz w:val="20"/>
          <w:szCs w:val="20"/>
        </w:rPr>
        <w:t xml:space="preserve"> changes</w:t>
      </w:r>
      <w:r w:rsidR="000C35F1">
        <w:rPr>
          <w:rFonts w:ascii="Arial" w:hAnsi="Arial" w:cs="Arial"/>
          <w:sz w:val="20"/>
          <w:szCs w:val="20"/>
        </w:rPr>
        <w:t xml:space="preserve"> to the HKEX Listing Rules</w:t>
      </w:r>
      <w:r w:rsidR="00683A11">
        <w:rPr>
          <w:rFonts w:ascii="Arial" w:hAnsi="Arial" w:cs="Arial"/>
          <w:sz w:val="20"/>
          <w:szCs w:val="20"/>
        </w:rPr>
        <w:t xml:space="preserve"> will</w:t>
      </w:r>
      <w:r w:rsidRPr="00B35881">
        <w:rPr>
          <w:rFonts w:ascii="Arial" w:hAnsi="Arial" w:cs="Arial"/>
          <w:sz w:val="20"/>
          <w:szCs w:val="20"/>
        </w:rPr>
        <w:t xml:space="preserve">: </w:t>
      </w:r>
    </w:p>
    <w:p w:rsidR="00D56282" w:rsidRDefault="00505638" w:rsidP="00683A11">
      <w:pPr>
        <w:pStyle w:val="a7"/>
        <w:numPr>
          <w:ilvl w:val="0"/>
          <w:numId w:val="20"/>
        </w:numPr>
        <w:rPr>
          <w:rFonts w:ascii="Arial" w:hAnsi="Arial" w:cs="Arial"/>
          <w:sz w:val="20"/>
          <w:szCs w:val="20"/>
        </w:rPr>
      </w:pPr>
      <w:r w:rsidRPr="00683A11">
        <w:rPr>
          <w:rFonts w:ascii="Arial" w:hAnsi="Arial" w:cs="Arial"/>
          <w:sz w:val="20"/>
          <w:szCs w:val="20"/>
        </w:rPr>
        <w:t>streamline the document submission process</w:t>
      </w:r>
      <w:r w:rsidR="00305B86" w:rsidRPr="00683A11">
        <w:rPr>
          <w:rFonts w:ascii="Arial" w:hAnsi="Arial" w:cs="Arial"/>
          <w:sz w:val="20"/>
          <w:szCs w:val="20"/>
        </w:rPr>
        <w:t>;</w:t>
      </w:r>
    </w:p>
    <w:p w:rsidR="000C35F1" w:rsidRPr="00683A11" w:rsidRDefault="000C35F1" w:rsidP="000C35F1">
      <w:pPr>
        <w:pStyle w:val="a7"/>
        <w:ind w:left="786"/>
        <w:rPr>
          <w:rFonts w:ascii="Arial" w:hAnsi="Arial" w:cs="Arial"/>
          <w:sz w:val="20"/>
          <w:szCs w:val="20"/>
        </w:rPr>
      </w:pPr>
    </w:p>
    <w:p w:rsidR="00721E23" w:rsidRDefault="00400100" w:rsidP="00683A11">
      <w:pPr>
        <w:pStyle w:val="a7"/>
        <w:numPr>
          <w:ilvl w:val="0"/>
          <w:numId w:val="20"/>
        </w:numPr>
        <w:rPr>
          <w:rFonts w:ascii="Arial" w:hAnsi="Arial" w:cs="Arial"/>
          <w:sz w:val="20"/>
          <w:szCs w:val="20"/>
        </w:rPr>
      </w:pPr>
      <w:r w:rsidRPr="00683A11">
        <w:rPr>
          <w:rFonts w:ascii="Arial" w:hAnsi="Arial" w:cs="Arial"/>
          <w:sz w:val="20"/>
          <w:szCs w:val="20"/>
        </w:rPr>
        <w:t>mandate</w:t>
      </w:r>
      <w:r w:rsidR="002E36FA" w:rsidRPr="00683A11">
        <w:rPr>
          <w:rFonts w:ascii="Arial" w:hAnsi="Arial" w:cs="Arial"/>
          <w:sz w:val="20"/>
          <w:szCs w:val="20"/>
        </w:rPr>
        <w:t xml:space="preserve"> </w:t>
      </w:r>
      <w:r w:rsidR="00721E23" w:rsidRPr="00683A11">
        <w:rPr>
          <w:rFonts w:ascii="Arial" w:hAnsi="Arial" w:cs="Arial"/>
          <w:sz w:val="20"/>
          <w:szCs w:val="20"/>
        </w:rPr>
        <w:t xml:space="preserve">electronic dissemination of </w:t>
      </w:r>
      <w:r w:rsidR="00DC4A7C">
        <w:rPr>
          <w:rFonts w:ascii="Arial" w:hAnsi="Arial" w:cs="Arial"/>
          <w:sz w:val="20"/>
          <w:szCs w:val="20"/>
        </w:rPr>
        <w:t>listed companies’</w:t>
      </w:r>
      <w:r w:rsidR="00DC4A7C" w:rsidRPr="00683A11">
        <w:rPr>
          <w:rFonts w:ascii="Arial" w:hAnsi="Arial" w:cs="Arial"/>
          <w:sz w:val="20"/>
          <w:szCs w:val="20"/>
        </w:rPr>
        <w:t xml:space="preserve"> </w:t>
      </w:r>
      <w:r w:rsidR="00721E23" w:rsidRPr="00683A11">
        <w:rPr>
          <w:rFonts w:ascii="Arial" w:hAnsi="Arial" w:cs="Arial"/>
          <w:sz w:val="20"/>
          <w:szCs w:val="20"/>
        </w:rPr>
        <w:t>corporate communication</w:t>
      </w:r>
      <w:r w:rsidR="00A27281" w:rsidRPr="00683A11">
        <w:rPr>
          <w:rFonts w:ascii="Arial" w:hAnsi="Arial" w:cs="Arial"/>
          <w:sz w:val="20"/>
          <w:szCs w:val="20"/>
        </w:rPr>
        <w:t>s</w:t>
      </w:r>
      <w:r w:rsidR="00305B86" w:rsidRPr="00683A11">
        <w:rPr>
          <w:rFonts w:ascii="Arial" w:hAnsi="Arial" w:cs="Arial"/>
          <w:sz w:val="20"/>
          <w:szCs w:val="20"/>
        </w:rPr>
        <w:t>;</w:t>
      </w:r>
      <w:r w:rsidR="00683A11">
        <w:rPr>
          <w:rFonts w:ascii="Arial" w:hAnsi="Arial" w:cs="Arial"/>
          <w:sz w:val="20"/>
          <w:szCs w:val="20"/>
        </w:rPr>
        <w:t xml:space="preserve"> and</w:t>
      </w:r>
    </w:p>
    <w:p w:rsidR="003877B6" w:rsidRPr="003877B6" w:rsidRDefault="003877B6" w:rsidP="003877B6">
      <w:pPr>
        <w:pStyle w:val="a7"/>
        <w:rPr>
          <w:rFonts w:ascii="Arial" w:hAnsi="Arial" w:cs="Arial"/>
          <w:sz w:val="20"/>
          <w:szCs w:val="20"/>
        </w:rPr>
      </w:pPr>
    </w:p>
    <w:p w:rsidR="00B3050B" w:rsidRPr="00683A11" w:rsidRDefault="00A27281" w:rsidP="00A847FD">
      <w:pPr>
        <w:pStyle w:val="a7"/>
        <w:numPr>
          <w:ilvl w:val="0"/>
          <w:numId w:val="20"/>
        </w:numPr>
        <w:rPr>
          <w:rFonts w:ascii="Arial" w:hAnsi="Arial" w:cs="Arial"/>
          <w:sz w:val="20"/>
          <w:szCs w:val="20"/>
        </w:rPr>
      </w:pPr>
      <w:r w:rsidRPr="00683A11">
        <w:rPr>
          <w:rFonts w:ascii="Arial" w:hAnsi="Arial" w:cs="Arial"/>
          <w:sz w:val="20"/>
          <w:szCs w:val="20"/>
        </w:rPr>
        <w:t>s</w:t>
      </w:r>
      <w:r w:rsidR="002E36FA" w:rsidRPr="00683A11">
        <w:rPr>
          <w:rFonts w:ascii="Arial" w:hAnsi="Arial" w:cs="Arial"/>
          <w:sz w:val="20"/>
          <w:szCs w:val="20"/>
        </w:rPr>
        <w:t xml:space="preserve">implify </w:t>
      </w:r>
      <w:r w:rsidR="004C69B8" w:rsidRPr="00683A11">
        <w:rPr>
          <w:rFonts w:ascii="Arial" w:hAnsi="Arial" w:cs="Arial"/>
          <w:sz w:val="20"/>
          <w:szCs w:val="20"/>
        </w:rPr>
        <w:t xml:space="preserve">the </w:t>
      </w:r>
      <w:r w:rsidR="00E2534E" w:rsidRPr="00683A11">
        <w:rPr>
          <w:rFonts w:ascii="Arial" w:hAnsi="Arial" w:cs="Arial"/>
          <w:sz w:val="20"/>
          <w:szCs w:val="20"/>
        </w:rPr>
        <w:t>A</w:t>
      </w:r>
      <w:r w:rsidR="00721E23" w:rsidRPr="00683A11">
        <w:rPr>
          <w:rFonts w:ascii="Arial" w:hAnsi="Arial" w:cs="Arial"/>
          <w:sz w:val="20"/>
          <w:szCs w:val="20"/>
        </w:rPr>
        <w:t>ppendices to the</w:t>
      </w:r>
      <w:r w:rsidR="004C69B8" w:rsidRPr="00683A11">
        <w:rPr>
          <w:rFonts w:ascii="Arial" w:hAnsi="Arial" w:cs="Arial"/>
          <w:sz w:val="20"/>
          <w:szCs w:val="20"/>
        </w:rPr>
        <w:t xml:space="preserve"> </w:t>
      </w:r>
      <w:r w:rsidR="00760361" w:rsidRPr="00683A11">
        <w:rPr>
          <w:rFonts w:ascii="Arial" w:hAnsi="Arial" w:cs="Arial"/>
          <w:sz w:val="20"/>
          <w:szCs w:val="20"/>
        </w:rPr>
        <w:t xml:space="preserve">HKEX </w:t>
      </w:r>
      <w:r w:rsidRPr="00683A11">
        <w:rPr>
          <w:rFonts w:ascii="Arial" w:hAnsi="Arial" w:cs="Arial"/>
          <w:sz w:val="20"/>
          <w:szCs w:val="20"/>
        </w:rPr>
        <w:t>Listing R</w:t>
      </w:r>
      <w:r w:rsidR="00721E23" w:rsidRPr="00683A11">
        <w:rPr>
          <w:rFonts w:ascii="Arial" w:hAnsi="Arial" w:cs="Arial"/>
          <w:sz w:val="20"/>
          <w:szCs w:val="20"/>
        </w:rPr>
        <w:t>ules</w:t>
      </w:r>
      <w:r w:rsidR="00683A11">
        <w:rPr>
          <w:rFonts w:ascii="Arial" w:hAnsi="Arial" w:cs="Arial"/>
          <w:sz w:val="20"/>
          <w:szCs w:val="20"/>
        </w:rPr>
        <w:t xml:space="preserve">. </w:t>
      </w:r>
    </w:p>
    <w:p w:rsidR="00D61025" w:rsidRPr="00B35881" w:rsidRDefault="00FE690A" w:rsidP="003877B6">
      <w:pPr>
        <w:jc w:val="both"/>
        <w:rPr>
          <w:rFonts w:ascii="Arial" w:hAnsi="Arial" w:cs="Arial"/>
          <w:b/>
          <w:color w:val="FF0000"/>
          <w:sz w:val="20"/>
          <w:szCs w:val="20"/>
        </w:rPr>
      </w:pPr>
      <w:r w:rsidRPr="00B35881">
        <w:rPr>
          <w:rFonts w:ascii="Arial" w:hAnsi="Arial" w:cs="Arial"/>
          <w:b/>
          <w:color w:val="FF0000"/>
          <w:sz w:val="20"/>
          <w:szCs w:val="20"/>
        </w:rPr>
        <w:t xml:space="preserve">2021 Introduction of </w:t>
      </w:r>
      <w:r w:rsidR="00A555B1" w:rsidRPr="00B35881">
        <w:rPr>
          <w:rFonts w:ascii="Arial" w:hAnsi="Arial" w:cs="Arial"/>
          <w:b/>
          <w:color w:val="FF0000"/>
          <w:sz w:val="20"/>
          <w:szCs w:val="20"/>
        </w:rPr>
        <w:t>Paperless Listing &amp; Subscription Regime and Provisions for Online Display of Documents</w:t>
      </w:r>
    </w:p>
    <w:p w:rsidR="006B0ABA" w:rsidRDefault="00A555B1" w:rsidP="00683A11">
      <w:pPr>
        <w:jc w:val="both"/>
        <w:rPr>
          <w:rFonts w:ascii="Arial" w:hAnsi="Arial" w:cs="Arial"/>
          <w:color w:val="000000" w:themeColor="text1"/>
          <w:sz w:val="20"/>
          <w:szCs w:val="20"/>
        </w:rPr>
      </w:pPr>
      <w:r w:rsidRPr="00B35881">
        <w:rPr>
          <w:rFonts w:ascii="Arial" w:hAnsi="Arial" w:cs="Arial"/>
          <w:color w:val="000000" w:themeColor="text1"/>
          <w:sz w:val="20"/>
          <w:szCs w:val="20"/>
        </w:rPr>
        <w:t>The HKEX introduced a paperless listing and subscription regime on 5 July 2021 which requires</w:t>
      </w:r>
      <w:r w:rsidR="006B0ABA">
        <w:rPr>
          <w:rFonts w:ascii="Arial" w:hAnsi="Arial" w:cs="Arial"/>
          <w:color w:val="000000" w:themeColor="text1"/>
          <w:sz w:val="20"/>
          <w:szCs w:val="20"/>
        </w:rPr>
        <w:t>:</w:t>
      </w:r>
    </w:p>
    <w:p w:rsidR="006B0ABA" w:rsidRDefault="006B0ABA" w:rsidP="00683A11">
      <w:pPr>
        <w:pStyle w:val="a7"/>
        <w:numPr>
          <w:ilvl w:val="0"/>
          <w:numId w:val="20"/>
        </w:numPr>
        <w:jc w:val="both"/>
        <w:rPr>
          <w:rFonts w:ascii="Arial" w:hAnsi="Arial" w:cs="Arial"/>
          <w:color w:val="000000" w:themeColor="text1"/>
          <w:sz w:val="20"/>
          <w:szCs w:val="20"/>
        </w:rPr>
      </w:pPr>
      <w:r w:rsidRPr="00AA1088">
        <w:rPr>
          <w:rFonts w:ascii="Arial" w:hAnsi="Arial" w:cs="Arial"/>
          <w:color w:val="000000" w:themeColor="text1"/>
          <w:sz w:val="20"/>
          <w:szCs w:val="20"/>
        </w:rPr>
        <w:t>all listing documents for new listings of equities, debt securities and collective investment schemes (</w:t>
      </w:r>
      <w:r w:rsidRPr="00DC4A7C">
        <w:rPr>
          <w:rFonts w:ascii="Arial" w:hAnsi="Arial" w:cs="Arial"/>
          <w:b/>
          <w:color w:val="000000" w:themeColor="text1"/>
          <w:sz w:val="20"/>
          <w:szCs w:val="20"/>
        </w:rPr>
        <w:t>CIS</w:t>
      </w:r>
      <w:r w:rsidRPr="00AA1088">
        <w:rPr>
          <w:rFonts w:ascii="Arial" w:hAnsi="Arial" w:cs="Arial"/>
          <w:color w:val="000000" w:themeColor="text1"/>
          <w:sz w:val="20"/>
          <w:szCs w:val="20"/>
        </w:rPr>
        <w:t>) to be published in electronic form; and</w:t>
      </w:r>
    </w:p>
    <w:p w:rsidR="006B0ABA" w:rsidRDefault="006B0ABA" w:rsidP="00683A11">
      <w:pPr>
        <w:pStyle w:val="a7"/>
        <w:ind w:left="786"/>
        <w:rPr>
          <w:rFonts w:ascii="Arial" w:hAnsi="Arial" w:cs="Arial"/>
          <w:color w:val="000000" w:themeColor="text1"/>
          <w:sz w:val="20"/>
          <w:szCs w:val="20"/>
        </w:rPr>
      </w:pPr>
    </w:p>
    <w:p w:rsidR="006B0ABA" w:rsidRPr="006B0ABA" w:rsidRDefault="006B0ABA" w:rsidP="006B0ABA">
      <w:pPr>
        <w:pStyle w:val="a7"/>
        <w:numPr>
          <w:ilvl w:val="0"/>
          <w:numId w:val="20"/>
        </w:numPr>
        <w:rPr>
          <w:rFonts w:ascii="Arial" w:hAnsi="Arial" w:cs="Arial"/>
          <w:color w:val="000000" w:themeColor="text1"/>
          <w:sz w:val="20"/>
          <w:szCs w:val="20"/>
        </w:rPr>
      </w:pPr>
      <w:r w:rsidRPr="006B0ABA">
        <w:rPr>
          <w:rFonts w:ascii="Arial" w:hAnsi="Arial" w:cs="Arial"/>
          <w:color w:val="000000" w:themeColor="text1"/>
          <w:sz w:val="20"/>
          <w:szCs w:val="20"/>
        </w:rPr>
        <w:t>subscriptions for new listings to be made electronically.</w:t>
      </w:r>
    </w:p>
    <w:p w:rsidR="00540A87" w:rsidRPr="00B35881" w:rsidRDefault="003877B6" w:rsidP="00683A11">
      <w:pPr>
        <w:jc w:val="both"/>
        <w:rPr>
          <w:rFonts w:ascii="Arial" w:hAnsi="Arial" w:cs="Arial"/>
          <w:color w:val="000000" w:themeColor="text1"/>
          <w:sz w:val="20"/>
          <w:szCs w:val="20"/>
        </w:rPr>
      </w:pPr>
      <w:r>
        <w:rPr>
          <w:rFonts w:ascii="Arial" w:hAnsi="Arial" w:cs="Arial"/>
          <w:color w:val="000000" w:themeColor="text1"/>
          <w:sz w:val="20"/>
          <w:szCs w:val="20"/>
        </w:rPr>
        <w:t>O</w:t>
      </w:r>
      <w:r w:rsidRPr="00B35881">
        <w:rPr>
          <w:rFonts w:ascii="Arial" w:hAnsi="Arial" w:cs="Arial"/>
          <w:color w:val="000000" w:themeColor="text1"/>
          <w:sz w:val="20"/>
          <w:szCs w:val="20"/>
        </w:rPr>
        <w:t>n 4 October 2021</w:t>
      </w:r>
      <w:r>
        <w:rPr>
          <w:rFonts w:ascii="Arial" w:hAnsi="Arial" w:cs="Arial"/>
          <w:color w:val="000000" w:themeColor="text1"/>
          <w:sz w:val="20"/>
          <w:szCs w:val="20"/>
        </w:rPr>
        <w:t>, the HKEX introduced a</w:t>
      </w:r>
      <w:r w:rsidR="00540A87" w:rsidRPr="00B35881">
        <w:rPr>
          <w:rFonts w:ascii="Arial" w:hAnsi="Arial" w:cs="Arial"/>
          <w:color w:val="000000" w:themeColor="text1"/>
          <w:sz w:val="20"/>
          <w:szCs w:val="20"/>
        </w:rPr>
        <w:t xml:space="preserve"> requirement for </w:t>
      </w:r>
      <w:r>
        <w:rPr>
          <w:rFonts w:ascii="Arial" w:hAnsi="Arial" w:cs="Arial"/>
          <w:color w:val="000000" w:themeColor="text1"/>
          <w:sz w:val="20"/>
          <w:szCs w:val="20"/>
        </w:rPr>
        <w:t xml:space="preserve">various </w:t>
      </w:r>
      <w:r w:rsidR="00540A87" w:rsidRPr="00B35881">
        <w:rPr>
          <w:rFonts w:ascii="Arial" w:hAnsi="Arial" w:cs="Arial"/>
          <w:color w:val="000000" w:themeColor="text1"/>
          <w:sz w:val="20"/>
          <w:szCs w:val="20"/>
        </w:rPr>
        <w:t xml:space="preserve">documents to be published online </w:t>
      </w:r>
      <w:r>
        <w:rPr>
          <w:rFonts w:ascii="Arial" w:hAnsi="Arial" w:cs="Arial"/>
          <w:color w:val="000000" w:themeColor="text1"/>
          <w:sz w:val="20"/>
          <w:szCs w:val="20"/>
        </w:rPr>
        <w:t xml:space="preserve">rather than be </w:t>
      </w:r>
      <w:r w:rsidR="00540A87" w:rsidRPr="00B35881">
        <w:rPr>
          <w:rFonts w:ascii="Arial" w:hAnsi="Arial" w:cs="Arial"/>
          <w:color w:val="000000" w:themeColor="text1"/>
          <w:sz w:val="20"/>
          <w:szCs w:val="20"/>
        </w:rPr>
        <w:t>made physically available.</w:t>
      </w:r>
      <w:r w:rsidR="00E05CFC" w:rsidRPr="00B35881">
        <w:rPr>
          <w:rFonts w:ascii="Arial" w:hAnsi="Arial" w:cs="Arial"/>
          <w:color w:val="000000" w:themeColor="text1"/>
          <w:sz w:val="20"/>
          <w:szCs w:val="20"/>
        </w:rPr>
        <w:t xml:space="preserve"> </w:t>
      </w:r>
    </w:p>
    <w:p w:rsidR="00290730" w:rsidRPr="00B35881" w:rsidRDefault="00540A87" w:rsidP="00A757D4">
      <w:pPr>
        <w:jc w:val="both"/>
        <w:rPr>
          <w:rFonts w:ascii="Arial" w:hAnsi="Arial" w:cs="Arial"/>
          <w:b/>
          <w:color w:val="FF0000"/>
          <w:sz w:val="20"/>
          <w:szCs w:val="20"/>
        </w:rPr>
      </w:pPr>
      <w:r w:rsidRPr="00B35881">
        <w:rPr>
          <w:rFonts w:ascii="Arial" w:hAnsi="Arial" w:cs="Arial"/>
          <w:b/>
          <w:color w:val="FF0000"/>
          <w:sz w:val="20"/>
          <w:szCs w:val="20"/>
        </w:rPr>
        <w:t xml:space="preserve">HKEX’s Proposals to </w:t>
      </w:r>
      <w:r w:rsidR="00A27281" w:rsidRPr="00B35881">
        <w:rPr>
          <w:rFonts w:ascii="Arial" w:hAnsi="Arial" w:cs="Arial"/>
          <w:b/>
          <w:color w:val="FF0000"/>
          <w:sz w:val="20"/>
          <w:szCs w:val="20"/>
        </w:rPr>
        <w:t>Streamline the Document Submission Process</w:t>
      </w:r>
    </w:p>
    <w:p w:rsidR="0075105E" w:rsidRPr="00B35881" w:rsidRDefault="00A27281" w:rsidP="00A757D4">
      <w:pPr>
        <w:tabs>
          <w:tab w:val="left" w:pos="426"/>
        </w:tabs>
        <w:jc w:val="both"/>
        <w:rPr>
          <w:rFonts w:ascii="Arial" w:hAnsi="Arial" w:cs="Arial"/>
          <w:b/>
          <w:sz w:val="20"/>
          <w:szCs w:val="20"/>
        </w:rPr>
      </w:pPr>
      <w:r w:rsidRPr="00B35881">
        <w:rPr>
          <w:rFonts w:ascii="Arial" w:hAnsi="Arial" w:cs="Arial"/>
          <w:b/>
          <w:sz w:val="20"/>
          <w:szCs w:val="20"/>
        </w:rPr>
        <w:t xml:space="preserve">Reducing </w:t>
      </w:r>
      <w:r w:rsidR="005E2842" w:rsidRPr="00B35881">
        <w:rPr>
          <w:rFonts w:ascii="Arial" w:hAnsi="Arial" w:cs="Arial"/>
          <w:b/>
          <w:sz w:val="20"/>
          <w:szCs w:val="20"/>
        </w:rPr>
        <w:t xml:space="preserve">the Number of </w:t>
      </w:r>
      <w:r w:rsidR="003C6349" w:rsidRPr="00B35881">
        <w:rPr>
          <w:rFonts w:ascii="Arial" w:hAnsi="Arial" w:cs="Arial"/>
          <w:b/>
          <w:sz w:val="20"/>
          <w:szCs w:val="20"/>
        </w:rPr>
        <w:t>Submission</w:t>
      </w:r>
      <w:r w:rsidR="00540A87" w:rsidRPr="00B35881">
        <w:rPr>
          <w:rFonts w:ascii="Arial" w:hAnsi="Arial" w:cs="Arial"/>
          <w:b/>
          <w:sz w:val="20"/>
          <w:szCs w:val="20"/>
        </w:rPr>
        <w:t xml:space="preserve"> </w:t>
      </w:r>
      <w:r w:rsidRPr="00B35881">
        <w:rPr>
          <w:rFonts w:ascii="Arial" w:hAnsi="Arial" w:cs="Arial"/>
          <w:b/>
          <w:sz w:val="20"/>
          <w:szCs w:val="20"/>
        </w:rPr>
        <w:t>Documents</w:t>
      </w:r>
    </w:p>
    <w:p w:rsidR="00B3050B" w:rsidRPr="00B35881" w:rsidRDefault="00A27281" w:rsidP="006104C5">
      <w:pPr>
        <w:jc w:val="both"/>
        <w:rPr>
          <w:rFonts w:ascii="Arial" w:hAnsi="Arial" w:cs="Arial"/>
          <w:sz w:val="20"/>
          <w:szCs w:val="20"/>
        </w:rPr>
      </w:pPr>
      <w:r w:rsidRPr="00B35881">
        <w:rPr>
          <w:rFonts w:ascii="Arial" w:hAnsi="Arial" w:cs="Arial"/>
          <w:sz w:val="20"/>
          <w:szCs w:val="20"/>
        </w:rPr>
        <w:t xml:space="preserve">The </w:t>
      </w:r>
      <w:r w:rsidR="00C858B3">
        <w:rPr>
          <w:rFonts w:ascii="Arial" w:hAnsi="Arial" w:cs="Arial"/>
          <w:sz w:val="20"/>
          <w:szCs w:val="20"/>
        </w:rPr>
        <w:t xml:space="preserve">HKEX </w:t>
      </w:r>
      <w:r w:rsidR="00DC4A7C">
        <w:rPr>
          <w:rFonts w:ascii="Arial" w:hAnsi="Arial" w:cs="Arial"/>
          <w:sz w:val="20"/>
          <w:szCs w:val="20"/>
        </w:rPr>
        <w:t xml:space="preserve">Listing Rule </w:t>
      </w:r>
      <w:r w:rsidR="006F7A11" w:rsidRPr="00B35881">
        <w:rPr>
          <w:rFonts w:ascii="Arial" w:hAnsi="Arial" w:cs="Arial"/>
          <w:sz w:val="20"/>
          <w:szCs w:val="20"/>
        </w:rPr>
        <w:t>amendments</w:t>
      </w:r>
      <w:r w:rsidR="00290730" w:rsidRPr="00B35881">
        <w:rPr>
          <w:rFonts w:ascii="Arial" w:hAnsi="Arial" w:cs="Arial"/>
          <w:sz w:val="20"/>
          <w:szCs w:val="20"/>
        </w:rPr>
        <w:t xml:space="preserve"> </w:t>
      </w:r>
      <w:r w:rsidR="00DC4A7C">
        <w:rPr>
          <w:rFonts w:ascii="Arial" w:hAnsi="Arial" w:cs="Arial"/>
          <w:sz w:val="20"/>
          <w:szCs w:val="20"/>
        </w:rPr>
        <w:t xml:space="preserve">will </w:t>
      </w:r>
      <w:r w:rsidR="003877B6">
        <w:rPr>
          <w:rFonts w:ascii="Arial" w:hAnsi="Arial" w:cs="Arial"/>
          <w:sz w:val="20"/>
          <w:szCs w:val="20"/>
        </w:rPr>
        <w:t xml:space="preserve">significantly </w:t>
      </w:r>
      <w:r w:rsidR="00A135BF" w:rsidRPr="00B35881">
        <w:rPr>
          <w:rFonts w:ascii="Arial" w:hAnsi="Arial" w:cs="Arial"/>
          <w:sz w:val="20"/>
          <w:szCs w:val="20"/>
        </w:rPr>
        <w:t>reduce the number of document</w:t>
      </w:r>
      <w:r w:rsidR="00DC4A7C">
        <w:rPr>
          <w:rFonts w:ascii="Arial" w:hAnsi="Arial" w:cs="Arial"/>
          <w:sz w:val="20"/>
          <w:szCs w:val="20"/>
        </w:rPr>
        <w:t xml:space="preserve">s </w:t>
      </w:r>
      <w:r w:rsidR="003877B6">
        <w:rPr>
          <w:rFonts w:ascii="Arial" w:hAnsi="Arial" w:cs="Arial"/>
          <w:sz w:val="20"/>
          <w:szCs w:val="20"/>
        </w:rPr>
        <w:t>that n</w:t>
      </w:r>
      <w:r w:rsidR="003877B6" w:rsidRPr="00B35881">
        <w:rPr>
          <w:rFonts w:ascii="Arial" w:hAnsi="Arial" w:cs="Arial"/>
          <w:sz w:val="20"/>
          <w:szCs w:val="20"/>
        </w:rPr>
        <w:t xml:space="preserve">ew listing </w:t>
      </w:r>
      <w:r w:rsidR="003877B6">
        <w:rPr>
          <w:rFonts w:ascii="Arial" w:hAnsi="Arial" w:cs="Arial"/>
          <w:sz w:val="20"/>
          <w:szCs w:val="20"/>
        </w:rPr>
        <w:t>applicants and listed companies</w:t>
      </w:r>
      <w:r w:rsidR="003877B6" w:rsidRPr="00B35881">
        <w:rPr>
          <w:rFonts w:ascii="Arial" w:hAnsi="Arial" w:cs="Arial"/>
          <w:sz w:val="20"/>
          <w:szCs w:val="20"/>
        </w:rPr>
        <w:t xml:space="preserve"> are required to submit to the HKEX. </w:t>
      </w:r>
    </w:p>
    <w:p w:rsidR="006E34E4" w:rsidRPr="00DC4A7C" w:rsidRDefault="00782351" w:rsidP="00A757D4">
      <w:pPr>
        <w:jc w:val="both"/>
        <w:rPr>
          <w:rFonts w:ascii="Arial" w:hAnsi="Arial" w:cs="Arial"/>
          <w:b/>
          <w:i/>
          <w:sz w:val="20"/>
          <w:szCs w:val="20"/>
        </w:rPr>
      </w:pPr>
      <w:r w:rsidRPr="00DC4A7C">
        <w:rPr>
          <w:rFonts w:ascii="Arial" w:hAnsi="Arial" w:cs="Arial"/>
          <w:b/>
          <w:i/>
          <w:sz w:val="20"/>
          <w:szCs w:val="20"/>
        </w:rPr>
        <w:t>R</w:t>
      </w:r>
      <w:r w:rsidR="00A135BF" w:rsidRPr="00DC4A7C">
        <w:rPr>
          <w:rFonts w:ascii="Arial" w:hAnsi="Arial" w:cs="Arial"/>
          <w:b/>
          <w:i/>
          <w:sz w:val="20"/>
          <w:szCs w:val="20"/>
        </w:rPr>
        <w:t xml:space="preserve">emoving </w:t>
      </w:r>
      <w:r w:rsidR="006E34E4" w:rsidRPr="00DC4A7C">
        <w:rPr>
          <w:rFonts w:ascii="Arial" w:hAnsi="Arial" w:cs="Arial"/>
          <w:b/>
          <w:i/>
          <w:sz w:val="20"/>
          <w:szCs w:val="20"/>
        </w:rPr>
        <w:t>Unnecessary Submission D</w:t>
      </w:r>
      <w:r w:rsidR="00A135BF" w:rsidRPr="00DC4A7C">
        <w:rPr>
          <w:rFonts w:ascii="Arial" w:hAnsi="Arial" w:cs="Arial"/>
          <w:b/>
          <w:i/>
          <w:sz w:val="20"/>
          <w:szCs w:val="20"/>
        </w:rPr>
        <w:t xml:space="preserve">ocuments </w:t>
      </w:r>
    </w:p>
    <w:p w:rsidR="00DC4A7C" w:rsidRDefault="003877B6" w:rsidP="00373B38">
      <w:pPr>
        <w:jc w:val="both"/>
        <w:rPr>
          <w:rFonts w:ascii="Arial" w:hAnsi="Arial" w:cs="Arial"/>
          <w:sz w:val="20"/>
          <w:szCs w:val="20"/>
        </w:rPr>
      </w:pPr>
      <w:r>
        <w:rPr>
          <w:rFonts w:ascii="Arial" w:hAnsi="Arial" w:cs="Arial"/>
          <w:sz w:val="20"/>
          <w:szCs w:val="20"/>
        </w:rPr>
        <w:lastRenderedPageBreak/>
        <w:t>With effect from 31 December 2023, t</w:t>
      </w:r>
      <w:r w:rsidRPr="00B35881">
        <w:rPr>
          <w:rFonts w:ascii="Arial" w:hAnsi="Arial" w:cs="Arial"/>
          <w:sz w:val="20"/>
          <w:szCs w:val="20"/>
        </w:rPr>
        <w:t>he HKEX</w:t>
      </w:r>
      <w:r>
        <w:rPr>
          <w:rFonts w:ascii="Arial" w:hAnsi="Arial" w:cs="Arial"/>
          <w:sz w:val="20"/>
          <w:szCs w:val="20"/>
        </w:rPr>
        <w:t xml:space="preserve"> Listing Rules will no longer </w:t>
      </w:r>
      <w:r w:rsidR="00C858B3">
        <w:rPr>
          <w:rFonts w:ascii="Arial" w:hAnsi="Arial" w:cs="Arial"/>
          <w:sz w:val="20"/>
          <w:szCs w:val="20"/>
        </w:rPr>
        <w:t>require</w:t>
      </w:r>
      <w:r>
        <w:rPr>
          <w:rFonts w:ascii="Arial" w:hAnsi="Arial" w:cs="Arial"/>
          <w:sz w:val="20"/>
          <w:szCs w:val="20"/>
        </w:rPr>
        <w:t xml:space="preserve"> the submission of</w:t>
      </w:r>
      <w:r w:rsidR="004B39E5" w:rsidRPr="00B35881">
        <w:rPr>
          <w:rFonts w:ascii="Arial" w:hAnsi="Arial" w:cs="Arial"/>
          <w:sz w:val="20"/>
          <w:szCs w:val="20"/>
        </w:rPr>
        <w:t xml:space="preserve"> documents</w:t>
      </w:r>
      <w:r w:rsidR="006E34E4" w:rsidRPr="00B35881">
        <w:rPr>
          <w:rFonts w:ascii="Arial" w:hAnsi="Arial" w:cs="Arial"/>
          <w:sz w:val="20"/>
          <w:szCs w:val="20"/>
        </w:rPr>
        <w:t xml:space="preserve"> </w:t>
      </w:r>
      <w:r w:rsidR="00A135BF" w:rsidRPr="00B35881">
        <w:rPr>
          <w:rFonts w:ascii="Arial" w:hAnsi="Arial" w:cs="Arial"/>
          <w:sz w:val="20"/>
          <w:szCs w:val="20"/>
        </w:rPr>
        <w:t xml:space="preserve">that </w:t>
      </w:r>
      <w:r>
        <w:rPr>
          <w:rFonts w:ascii="Arial" w:hAnsi="Arial" w:cs="Arial"/>
          <w:sz w:val="20"/>
          <w:szCs w:val="20"/>
        </w:rPr>
        <w:t xml:space="preserve">the HKEX does not consider to be </w:t>
      </w:r>
      <w:r w:rsidR="00A135BF" w:rsidRPr="00B35881">
        <w:rPr>
          <w:rFonts w:ascii="Arial" w:hAnsi="Arial" w:cs="Arial"/>
          <w:sz w:val="20"/>
          <w:szCs w:val="20"/>
        </w:rPr>
        <w:t xml:space="preserve">essential to </w:t>
      </w:r>
      <w:r>
        <w:rPr>
          <w:rFonts w:ascii="Arial" w:hAnsi="Arial" w:cs="Arial"/>
          <w:sz w:val="20"/>
          <w:szCs w:val="20"/>
        </w:rPr>
        <w:t xml:space="preserve">its </w:t>
      </w:r>
      <w:r w:rsidR="00A135BF" w:rsidRPr="00B35881">
        <w:rPr>
          <w:rFonts w:ascii="Arial" w:hAnsi="Arial" w:cs="Arial"/>
          <w:sz w:val="20"/>
          <w:szCs w:val="20"/>
        </w:rPr>
        <w:t>regulatory objectives</w:t>
      </w:r>
      <w:r w:rsidR="004B39E5" w:rsidRPr="00B35881">
        <w:rPr>
          <w:rFonts w:ascii="Arial" w:hAnsi="Arial" w:cs="Arial"/>
          <w:sz w:val="20"/>
          <w:szCs w:val="20"/>
        </w:rPr>
        <w:t xml:space="preserve"> </w:t>
      </w:r>
      <w:r w:rsidR="00875745" w:rsidRPr="00B35881">
        <w:rPr>
          <w:rFonts w:ascii="Arial" w:hAnsi="Arial" w:cs="Arial"/>
          <w:sz w:val="20"/>
          <w:szCs w:val="20"/>
        </w:rPr>
        <w:t xml:space="preserve">or are no longer required for other reasons, </w:t>
      </w:r>
      <w:r w:rsidR="004B39E5" w:rsidRPr="00B35881">
        <w:rPr>
          <w:rFonts w:ascii="Arial" w:hAnsi="Arial" w:cs="Arial"/>
          <w:sz w:val="20"/>
          <w:szCs w:val="20"/>
        </w:rPr>
        <w:t>as listed</w:t>
      </w:r>
      <w:r w:rsidR="00EA00A8" w:rsidRPr="00B35881">
        <w:rPr>
          <w:rFonts w:ascii="Arial" w:hAnsi="Arial" w:cs="Arial"/>
          <w:sz w:val="20"/>
          <w:szCs w:val="20"/>
        </w:rPr>
        <w:t xml:space="preserve"> in Table 1 of Schedule II to the Consultation Paper</w:t>
      </w:r>
      <w:r w:rsidR="00A135BF" w:rsidRPr="00B35881">
        <w:rPr>
          <w:rFonts w:ascii="Arial" w:hAnsi="Arial" w:cs="Arial"/>
          <w:sz w:val="20"/>
          <w:szCs w:val="20"/>
        </w:rPr>
        <w:t xml:space="preserve">. </w:t>
      </w:r>
      <w:r>
        <w:rPr>
          <w:rFonts w:ascii="Arial" w:hAnsi="Arial" w:cs="Arial"/>
          <w:sz w:val="20"/>
          <w:szCs w:val="20"/>
        </w:rPr>
        <w:t xml:space="preserve">These include </w:t>
      </w:r>
      <w:r w:rsidR="00A135BF" w:rsidRPr="00B35881">
        <w:rPr>
          <w:rFonts w:ascii="Arial" w:hAnsi="Arial" w:cs="Arial"/>
          <w:sz w:val="20"/>
          <w:szCs w:val="20"/>
        </w:rPr>
        <w:t xml:space="preserve">documents </w:t>
      </w:r>
      <w:r>
        <w:rPr>
          <w:rFonts w:ascii="Arial" w:hAnsi="Arial" w:cs="Arial"/>
          <w:sz w:val="20"/>
          <w:szCs w:val="20"/>
        </w:rPr>
        <w:t xml:space="preserve">that </w:t>
      </w:r>
      <w:r w:rsidR="009D7759" w:rsidRPr="00B35881">
        <w:rPr>
          <w:rFonts w:ascii="Arial" w:hAnsi="Arial" w:cs="Arial"/>
          <w:sz w:val="20"/>
          <w:szCs w:val="20"/>
        </w:rPr>
        <w:t xml:space="preserve">merely reiterate requirements under the </w:t>
      </w:r>
      <w:r w:rsidR="00731880" w:rsidRPr="00B35881">
        <w:rPr>
          <w:rFonts w:ascii="Arial" w:hAnsi="Arial" w:cs="Arial"/>
          <w:sz w:val="20"/>
          <w:szCs w:val="20"/>
        </w:rPr>
        <w:t xml:space="preserve">HKEX </w:t>
      </w:r>
      <w:r w:rsidR="009D7759" w:rsidRPr="00B35881">
        <w:rPr>
          <w:rFonts w:ascii="Arial" w:hAnsi="Arial" w:cs="Arial"/>
          <w:sz w:val="20"/>
          <w:szCs w:val="20"/>
        </w:rPr>
        <w:t>Listing Rules or Guidance Materials or overlap with other submiss</w:t>
      </w:r>
      <w:r w:rsidR="00EA00A8" w:rsidRPr="00B35881">
        <w:rPr>
          <w:rFonts w:ascii="Arial" w:hAnsi="Arial" w:cs="Arial"/>
          <w:sz w:val="20"/>
          <w:szCs w:val="20"/>
        </w:rPr>
        <w:t>ion or disclosure requirements</w:t>
      </w:r>
      <w:r w:rsidR="00875745" w:rsidRPr="00B35881">
        <w:rPr>
          <w:rFonts w:ascii="Arial" w:hAnsi="Arial" w:cs="Arial"/>
          <w:sz w:val="20"/>
          <w:szCs w:val="20"/>
        </w:rPr>
        <w:t xml:space="preserve">. </w:t>
      </w:r>
    </w:p>
    <w:p w:rsidR="008E5F04" w:rsidRDefault="008E5F04" w:rsidP="00373B38">
      <w:pPr>
        <w:jc w:val="both"/>
        <w:rPr>
          <w:rFonts w:ascii="Arial" w:hAnsi="Arial" w:cs="Arial"/>
          <w:sz w:val="20"/>
          <w:szCs w:val="20"/>
        </w:rPr>
      </w:pPr>
      <w:r>
        <w:rPr>
          <w:rFonts w:ascii="Arial" w:hAnsi="Arial" w:cs="Arial"/>
          <w:sz w:val="20"/>
          <w:szCs w:val="20"/>
        </w:rPr>
        <w:t>The documents that will no longer need to be submitted because they overlap with other submission or disclosure requirements are:</w:t>
      </w:r>
    </w:p>
    <w:p w:rsidR="008E5F04" w:rsidRDefault="00F0046D" w:rsidP="008E5F04">
      <w:pPr>
        <w:pStyle w:val="a7"/>
        <w:numPr>
          <w:ilvl w:val="0"/>
          <w:numId w:val="45"/>
        </w:numPr>
        <w:jc w:val="both"/>
        <w:rPr>
          <w:rFonts w:ascii="Arial" w:hAnsi="Arial" w:cs="Arial"/>
          <w:sz w:val="20"/>
          <w:szCs w:val="20"/>
        </w:rPr>
      </w:pPr>
      <w:r>
        <w:rPr>
          <w:rFonts w:ascii="Arial" w:hAnsi="Arial" w:cs="Arial"/>
          <w:sz w:val="20"/>
          <w:szCs w:val="20"/>
        </w:rPr>
        <w:t>T</w:t>
      </w:r>
      <w:r w:rsidR="008E5F04" w:rsidRPr="008E5F04">
        <w:rPr>
          <w:rFonts w:ascii="Arial" w:hAnsi="Arial" w:cs="Arial"/>
          <w:sz w:val="20"/>
          <w:szCs w:val="20"/>
        </w:rPr>
        <w:t>he final proof of the formal notice and a copy of the formal notice (where applicable) (required by Main Board Listing Rules 9.11(24) and 9.11(29)(b), and the note to Listing Rule 12.05</w:t>
      </w:r>
      <w:r w:rsidR="0079004B">
        <w:rPr>
          <w:rFonts w:ascii="Arial" w:hAnsi="Arial" w:cs="Arial"/>
          <w:sz w:val="20"/>
          <w:szCs w:val="20"/>
        </w:rPr>
        <w:t>)</w:t>
      </w:r>
      <w:r w:rsidR="008E5F04" w:rsidRPr="008E5F04">
        <w:rPr>
          <w:rFonts w:ascii="Arial" w:hAnsi="Arial" w:cs="Arial"/>
          <w:sz w:val="20"/>
          <w:szCs w:val="20"/>
        </w:rPr>
        <w:t>;</w:t>
      </w:r>
    </w:p>
    <w:p w:rsidR="006356F0" w:rsidRDefault="006356F0" w:rsidP="006356F0">
      <w:pPr>
        <w:pStyle w:val="a7"/>
        <w:jc w:val="both"/>
        <w:rPr>
          <w:rFonts w:ascii="Arial" w:hAnsi="Arial" w:cs="Arial"/>
          <w:sz w:val="20"/>
          <w:szCs w:val="20"/>
        </w:rPr>
      </w:pPr>
    </w:p>
    <w:p w:rsidR="008E5F04" w:rsidRDefault="008E5F04" w:rsidP="008E5F04">
      <w:pPr>
        <w:pStyle w:val="a7"/>
        <w:numPr>
          <w:ilvl w:val="0"/>
          <w:numId w:val="45"/>
        </w:numPr>
        <w:jc w:val="both"/>
        <w:rPr>
          <w:rFonts w:ascii="Arial" w:hAnsi="Arial" w:cs="Arial"/>
          <w:sz w:val="20"/>
          <w:szCs w:val="20"/>
        </w:rPr>
      </w:pPr>
      <w:r w:rsidRPr="006356F0">
        <w:rPr>
          <w:rFonts w:ascii="Arial" w:hAnsi="Arial" w:cs="Arial"/>
          <w:sz w:val="20"/>
          <w:szCs w:val="20"/>
        </w:rPr>
        <w:t xml:space="preserve">Copy of </w:t>
      </w:r>
      <w:r w:rsidR="00F0046D">
        <w:rPr>
          <w:rFonts w:ascii="Arial" w:hAnsi="Arial" w:cs="Arial"/>
          <w:sz w:val="20"/>
          <w:szCs w:val="20"/>
        </w:rPr>
        <w:t xml:space="preserve">the </w:t>
      </w:r>
      <w:r w:rsidRPr="006356F0">
        <w:rPr>
          <w:rFonts w:ascii="Arial" w:hAnsi="Arial" w:cs="Arial"/>
          <w:sz w:val="20"/>
          <w:szCs w:val="20"/>
        </w:rPr>
        <w:t xml:space="preserve">auditors’ letter on continuing connected transactions (required by </w:t>
      </w:r>
      <w:r w:rsidRPr="008E5F04">
        <w:rPr>
          <w:rFonts w:ascii="Arial" w:hAnsi="Arial" w:cs="Arial"/>
          <w:sz w:val="20"/>
          <w:szCs w:val="20"/>
        </w:rPr>
        <w:t xml:space="preserve">Main Board Listing </w:t>
      </w:r>
      <w:r w:rsidRPr="006356F0">
        <w:rPr>
          <w:rFonts w:ascii="Arial" w:hAnsi="Arial" w:cs="Arial"/>
          <w:sz w:val="20"/>
          <w:szCs w:val="20"/>
        </w:rPr>
        <w:t>Rule 14A.57);</w:t>
      </w:r>
    </w:p>
    <w:p w:rsidR="006356F0" w:rsidRPr="006356F0" w:rsidRDefault="006356F0" w:rsidP="006356F0">
      <w:pPr>
        <w:pStyle w:val="a7"/>
        <w:rPr>
          <w:rFonts w:ascii="Arial" w:hAnsi="Arial" w:cs="Arial"/>
          <w:sz w:val="20"/>
          <w:szCs w:val="20"/>
        </w:rPr>
      </w:pPr>
    </w:p>
    <w:p w:rsidR="008E5F04" w:rsidRDefault="008E5F04" w:rsidP="008E5F04">
      <w:pPr>
        <w:pStyle w:val="a7"/>
        <w:numPr>
          <w:ilvl w:val="0"/>
          <w:numId w:val="45"/>
        </w:numPr>
        <w:jc w:val="both"/>
        <w:rPr>
          <w:rFonts w:ascii="Arial" w:hAnsi="Arial" w:cs="Arial"/>
          <w:sz w:val="20"/>
          <w:szCs w:val="20"/>
        </w:rPr>
      </w:pPr>
      <w:r w:rsidRPr="006356F0">
        <w:rPr>
          <w:rFonts w:ascii="Arial" w:hAnsi="Arial" w:cs="Arial"/>
          <w:sz w:val="20"/>
          <w:szCs w:val="20"/>
        </w:rPr>
        <w:t xml:space="preserve">Notification to the HKEX in connection with the purchase, sale, drawing or redemption by the listed company’s group of its listed securities (required by </w:t>
      </w:r>
      <w:r w:rsidRPr="008E5F04">
        <w:rPr>
          <w:rFonts w:ascii="Arial" w:hAnsi="Arial" w:cs="Arial"/>
          <w:sz w:val="20"/>
          <w:szCs w:val="20"/>
        </w:rPr>
        <w:t xml:space="preserve">Main Board Listing </w:t>
      </w:r>
      <w:r w:rsidRPr="006356F0">
        <w:rPr>
          <w:rFonts w:ascii="Arial" w:hAnsi="Arial" w:cs="Arial"/>
          <w:sz w:val="20"/>
          <w:szCs w:val="20"/>
        </w:rPr>
        <w:t>Rule 13.31);</w:t>
      </w:r>
    </w:p>
    <w:p w:rsidR="006356F0" w:rsidRPr="006356F0" w:rsidRDefault="006356F0" w:rsidP="006356F0">
      <w:pPr>
        <w:pStyle w:val="a7"/>
        <w:rPr>
          <w:rFonts w:ascii="Arial" w:hAnsi="Arial" w:cs="Arial"/>
          <w:sz w:val="20"/>
          <w:szCs w:val="20"/>
        </w:rPr>
      </w:pPr>
    </w:p>
    <w:p w:rsidR="008E5F04" w:rsidRDefault="00F0046D" w:rsidP="008E5F04">
      <w:pPr>
        <w:pStyle w:val="a7"/>
        <w:numPr>
          <w:ilvl w:val="0"/>
          <w:numId w:val="45"/>
        </w:numPr>
        <w:jc w:val="both"/>
        <w:rPr>
          <w:rFonts w:ascii="Arial" w:hAnsi="Arial" w:cs="Arial"/>
          <w:sz w:val="20"/>
          <w:szCs w:val="20"/>
        </w:rPr>
      </w:pPr>
      <w:r>
        <w:rPr>
          <w:rFonts w:ascii="Arial" w:hAnsi="Arial" w:cs="Arial"/>
          <w:sz w:val="20"/>
          <w:szCs w:val="20"/>
        </w:rPr>
        <w:t>The i</w:t>
      </w:r>
      <w:r w:rsidR="008E5F04" w:rsidRPr="006356F0">
        <w:rPr>
          <w:rFonts w:ascii="Arial" w:hAnsi="Arial" w:cs="Arial"/>
          <w:sz w:val="20"/>
          <w:szCs w:val="20"/>
        </w:rPr>
        <w:t>ndependence confirmation</w:t>
      </w:r>
      <w:r>
        <w:rPr>
          <w:rFonts w:ascii="Arial" w:hAnsi="Arial" w:cs="Arial"/>
          <w:sz w:val="20"/>
          <w:szCs w:val="20"/>
        </w:rPr>
        <w:t>s</w:t>
      </w:r>
      <w:r w:rsidR="008E5F04" w:rsidRPr="006356F0">
        <w:rPr>
          <w:rFonts w:ascii="Arial" w:hAnsi="Arial" w:cs="Arial"/>
          <w:sz w:val="20"/>
          <w:szCs w:val="20"/>
        </w:rPr>
        <w:t xml:space="preserve"> of independent non-executive directors (</w:t>
      </w:r>
      <w:r w:rsidR="008E5F04" w:rsidRPr="006356F0">
        <w:rPr>
          <w:rFonts w:ascii="Arial" w:hAnsi="Arial" w:cs="Arial"/>
          <w:b/>
          <w:sz w:val="20"/>
          <w:szCs w:val="20"/>
        </w:rPr>
        <w:t>INEDs</w:t>
      </w:r>
      <w:r w:rsidR="006356F0" w:rsidRPr="006356F0">
        <w:rPr>
          <w:rFonts w:ascii="Arial" w:hAnsi="Arial" w:cs="Arial"/>
          <w:sz w:val="20"/>
          <w:szCs w:val="20"/>
        </w:rPr>
        <w:t>)</w:t>
      </w:r>
      <w:r w:rsidR="008E5F04" w:rsidRPr="006356F0">
        <w:rPr>
          <w:rFonts w:ascii="Arial" w:hAnsi="Arial" w:cs="Arial"/>
          <w:sz w:val="20"/>
          <w:szCs w:val="20"/>
        </w:rPr>
        <w:t>. Instead, announcement</w:t>
      </w:r>
      <w:r w:rsidR="006356F0" w:rsidRPr="006356F0">
        <w:rPr>
          <w:rFonts w:ascii="Arial" w:hAnsi="Arial" w:cs="Arial"/>
          <w:sz w:val="20"/>
          <w:szCs w:val="20"/>
        </w:rPr>
        <w:t>s</w:t>
      </w:r>
      <w:r w:rsidR="008E5F04" w:rsidRPr="006356F0">
        <w:rPr>
          <w:rFonts w:ascii="Arial" w:hAnsi="Arial" w:cs="Arial"/>
          <w:sz w:val="20"/>
          <w:szCs w:val="20"/>
        </w:rPr>
        <w:t xml:space="preserve"> of the appointment of a new INED </w:t>
      </w:r>
      <w:r w:rsidR="006356F0" w:rsidRPr="006356F0">
        <w:rPr>
          <w:rFonts w:ascii="Arial" w:hAnsi="Arial" w:cs="Arial"/>
          <w:sz w:val="20"/>
          <w:szCs w:val="20"/>
        </w:rPr>
        <w:t xml:space="preserve">will need to confirm compliance with the factors in </w:t>
      </w:r>
      <w:r>
        <w:rPr>
          <w:rFonts w:ascii="Arial" w:hAnsi="Arial" w:cs="Arial"/>
          <w:sz w:val="20"/>
          <w:szCs w:val="20"/>
        </w:rPr>
        <w:t xml:space="preserve">Main Board </w:t>
      </w:r>
      <w:r w:rsidR="006356F0" w:rsidRPr="006356F0">
        <w:rPr>
          <w:rFonts w:ascii="Arial" w:hAnsi="Arial" w:cs="Arial"/>
          <w:sz w:val="20"/>
          <w:szCs w:val="20"/>
        </w:rPr>
        <w:t>Listing Rule 3.13 and annual reports will need to disclose any change which may affect an INED’s independence</w:t>
      </w:r>
      <w:r w:rsidR="008E5F04" w:rsidRPr="006356F0">
        <w:rPr>
          <w:rFonts w:ascii="Arial" w:hAnsi="Arial" w:cs="Arial"/>
          <w:sz w:val="20"/>
          <w:szCs w:val="20"/>
        </w:rPr>
        <w:t xml:space="preserve">; </w:t>
      </w:r>
      <w:r w:rsidR="006356F0" w:rsidRPr="006356F0">
        <w:rPr>
          <w:rFonts w:ascii="Arial" w:hAnsi="Arial" w:cs="Arial"/>
          <w:sz w:val="20"/>
          <w:szCs w:val="20"/>
        </w:rPr>
        <w:t>and</w:t>
      </w:r>
    </w:p>
    <w:p w:rsidR="006356F0" w:rsidRPr="006356F0" w:rsidRDefault="006356F0" w:rsidP="006356F0">
      <w:pPr>
        <w:pStyle w:val="a7"/>
        <w:rPr>
          <w:rFonts w:ascii="Arial" w:hAnsi="Arial" w:cs="Arial"/>
          <w:sz w:val="20"/>
          <w:szCs w:val="20"/>
        </w:rPr>
      </w:pPr>
    </w:p>
    <w:p w:rsidR="008E5F04" w:rsidRPr="008E5F04" w:rsidRDefault="008E5F04" w:rsidP="008E5F04">
      <w:pPr>
        <w:pStyle w:val="a7"/>
        <w:numPr>
          <w:ilvl w:val="0"/>
          <w:numId w:val="45"/>
        </w:numPr>
        <w:jc w:val="both"/>
        <w:rPr>
          <w:rFonts w:ascii="Arial" w:hAnsi="Arial" w:cs="Arial"/>
          <w:sz w:val="20"/>
          <w:szCs w:val="20"/>
        </w:rPr>
      </w:pPr>
      <w:r w:rsidRPr="006356F0">
        <w:rPr>
          <w:rFonts w:ascii="Arial" w:hAnsi="Arial" w:cs="Arial"/>
          <w:sz w:val="20"/>
          <w:szCs w:val="20"/>
        </w:rPr>
        <w:t>Irrevocable authority to receiving bankers for the offer authorising the receiving bankers to apply the proceeds of the offer to discharge outstanding debt and the receiving bankers’ acknowledgement of the authority (if the vendor of the securities being marketed has not paid for those securities in full at the date of the offer)</w:t>
      </w:r>
      <w:r w:rsidR="00C858B3">
        <w:rPr>
          <w:rFonts w:ascii="Arial" w:hAnsi="Arial" w:cs="Arial"/>
          <w:sz w:val="20"/>
          <w:szCs w:val="20"/>
        </w:rPr>
        <w:t xml:space="preserve"> </w:t>
      </w:r>
      <w:r w:rsidRPr="006356F0">
        <w:rPr>
          <w:rFonts w:ascii="Arial" w:hAnsi="Arial" w:cs="Arial"/>
          <w:sz w:val="20"/>
          <w:szCs w:val="20"/>
        </w:rPr>
        <w:t>(</w:t>
      </w:r>
      <w:r w:rsidRPr="008E5F04">
        <w:rPr>
          <w:rFonts w:ascii="Arial" w:hAnsi="Arial" w:cs="Arial"/>
          <w:sz w:val="20"/>
          <w:szCs w:val="20"/>
        </w:rPr>
        <w:t xml:space="preserve">Main Board Listing </w:t>
      </w:r>
      <w:r w:rsidRPr="006356F0">
        <w:rPr>
          <w:rFonts w:ascii="Arial" w:hAnsi="Arial" w:cs="Arial"/>
          <w:sz w:val="20"/>
          <w:szCs w:val="20"/>
        </w:rPr>
        <w:t>Rule 9.20(2)).</w:t>
      </w:r>
      <w:r w:rsidR="006356F0">
        <w:rPr>
          <w:rFonts w:ascii="Arial" w:hAnsi="Arial" w:cs="Arial"/>
          <w:sz w:val="20"/>
          <w:szCs w:val="20"/>
        </w:rPr>
        <w:t xml:space="preserve"> These </w:t>
      </w:r>
      <w:r w:rsidRPr="006356F0">
        <w:rPr>
          <w:rFonts w:ascii="Arial" w:hAnsi="Arial" w:cs="Arial"/>
          <w:sz w:val="20"/>
          <w:szCs w:val="20"/>
        </w:rPr>
        <w:t xml:space="preserve">will instead need to be disclosed under new paragraph 21A of Appendix D1B to the </w:t>
      </w:r>
      <w:r w:rsidR="006356F0" w:rsidRPr="006356F0">
        <w:rPr>
          <w:rFonts w:ascii="Arial" w:hAnsi="Arial" w:cs="Arial"/>
          <w:sz w:val="20"/>
          <w:szCs w:val="20"/>
        </w:rPr>
        <w:t>HKEX Listing Rules.</w:t>
      </w:r>
    </w:p>
    <w:p w:rsidR="00853076" w:rsidRDefault="00853076" w:rsidP="00853076">
      <w:pPr>
        <w:jc w:val="both"/>
        <w:rPr>
          <w:rFonts w:ascii="Arial" w:hAnsi="Arial" w:cs="Arial"/>
          <w:i/>
          <w:sz w:val="20"/>
          <w:szCs w:val="20"/>
        </w:rPr>
      </w:pPr>
      <w:r>
        <w:rPr>
          <w:rFonts w:ascii="Arial" w:hAnsi="Arial" w:cs="Arial"/>
          <w:i/>
          <w:sz w:val="20"/>
          <w:szCs w:val="20"/>
        </w:rPr>
        <w:t>Removal of Form M104</w:t>
      </w:r>
    </w:p>
    <w:p w:rsidR="00853076" w:rsidRDefault="00853076" w:rsidP="00853076">
      <w:pPr>
        <w:jc w:val="both"/>
        <w:rPr>
          <w:rFonts w:ascii="Arial" w:hAnsi="Arial" w:cs="Arial"/>
          <w:sz w:val="20"/>
          <w:szCs w:val="20"/>
        </w:rPr>
      </w:pPr>
      <w:r>
        <w:rPr>
          <w:rFonts w:ascii="Arial" w:hAnsi="Arial" w:cs="Arial"/>
          <w:sz w:val="20"/>
          <w:szCs w:val="20"/>
        </w:rPr>
        <w:t xml:space="preserve">The HKEX </w:t>
      </w:r>
      <w:r w:rsidR="00F0046D">
        <w:rPr>
          <w:rFonts w:ascii="Arial" w:hAnsi="Arial" w:cs="Arial"/>
          <w:sz w:val="20"/>
          <w:szCs w:val="20"/>
        </w:rPr>
        <w:t>will remove</w:t>
      </w:r>
      <w:r>
        <w:rPr>
          <w:rFonts w:ascii="Arial" w:hAnsi="Arial" w:cs="Arial"/>
          <w:sz w:val="20"/>
          <w:szCs w:val="20"/>
        </w:rPr>
        <w:t xml:space="preserve"> the requirement to submit </w:t>
      </w:r>
      <w:r w:rsidR="00F0046D">
        <w:rPr>
          <w:rFonts w:ascii="Arial" w:hAnsi="Arial" w:cs="Arial"/>
          <w:sz w:val="20"/>
          <w:szCs w:val="20"/>
        </w:rPr>
        <w:t xml:space="preserve">Form </w:t>
      </w:r>
      <w:r>
        <w:rPr>
          <w:rFonts w:ascii="Arial" w:hAnsi="Arial" w:cs="Arial"/>
          <w:sz w:val="20"/>
          <w:szCs w:val="20"/>
        </w:rPr>
        <w:t xml:space="preserve">M104 and </w:t>
      </w:r>
      <w:r w:rsidR="00F0046D">
        <w:rPr>
          <w:rFonts w:ascii="Arial" w:hAnsi="Arial" w:cs="Arial"/>
          <w:sz w:val="20"/>
          <w:szCs w:val="20"/>
        </w:rPr>
        <w:t>will add</w:t>
      </w:r>
      <w:r>
        <w:rPr>
          <w:rFonts w:ascii="Arial" w:hAnsi="Arial" w:cs="Arial"/>
          <w:sz w:val="20"/>
          <w:szCs w:val="20"/>
        </w:rPr>
        <w:t xml:space="preserve"> to the </w:t>
      </w:r>
      <w:r w:rsidR="00F0046D" w:rsidRPr="0038034B">
        <w:rPr>
          <w:rFonts w:ascii="Arial" w:hAnsi="Arial" w:cs="Arial"/>
          <w:sz w:val="20"/>
          <w:szCs w:val="20"/>
        </w:rPr>
        <w:t xml:space="preserve">HKEX Guidance Letter GL86-16 </w:t>
      </w:r>
      <w:r>
        <w:rPr>
          <w:rFonts w:ascii="Arial" w:hAnsi="Arial" w:cs="Arial"/>
          <w:sz w:val="20"/>
          <w:szCs w:val="20"/>
        </w:rPr>
        <w:t>new obligations to disclose the information previously submitted in Form M104, as summarised in the table below.</w:t>
      </w:r>
    </w:p>
    <w:tbl>
      <w:tblPr>
        <w:tblStyle w:val="af5"/>
        <w:tblW w:w="0" w:type="auto"/>
        <w:tblLook w:val="04A0" w:firstRow="1" w:lastRow="0" w:firstColumn="1" w:lastColumn="0" w:noHBand="0" w:noVBand="1"/>
      </w:tblPr>
      <w:tblGrid>
        <w:gridCol w:w="4269"/>
        <w:gridCol w:w="1073"/>
        <w:gridCol w:w="4008"/>
      </w:tblGrid>
      <w:tr w:rsidR="00853076" w:rsidTr="006D32AC">
        <w:tc>
          <w:tcPr>
            <w:tcW w:w="4269" w:type="dxa"/>
          </w:tcPr>
          <w:p w:rsidR="00853076" w:rsidRPr="00970383" w:rsidRDefault="00853076" w:rsidP="00574A0A">
            <w:pPr>
              <w:jc w:val="both"/>
              <w:rPr>
                <w:rFonts w:ascii="Arial" w:hAnsi="Arial" w:cs="Arial"/>
                <w:color w:val="FF0000"/>
                <w:sz w:val="20"/>
                <w:szCs w:val="20"/>
              </w:rPr>
            </w:pPr>
            <w:r>
              <w:rPr>
                <w:rFonts w:ascii="Arial" w:hAnsi="Arial" w:cs="Arial"/>
                <w:color w:val="FF0000"/>
                <w:sz w:val="20"/>
                <w:szCs w:val="20"/>
              </w:rPr>
              <w:t>Information no Longer Required to be Submitted under Form M104</w:t>
            </w:r>
          </w:p>
        </w:tc>
        <w:tc>
          <w:tcPr>
            <w:tcW w:w="1073" w:type="dxa"/>
          </w:tcPr>
          <w:p w:rsidR="00853076" w:rsidRPr="00970383" w:rsidRDefault="00853076" w:rsidP="00574A0A">
            <w:pPr>
              <w:jc w:val="both"/>
              <w:rPr>
                <w:rFonts w:ascii="Arial" w:hAnsi="Arial" w:cs="Arial"/>
                <w:color w:val="FF0000"/>
                <w:sz w:val="20"/>
                <w:szCs w:val="20"/>
              </w:rPr>
            </w:pPr>
            <w:r w:rsidRPr="00970383">
              <w:rPr>
                <w:rFonts w:ascii="Arial" w:hAnsi="Arial" w:cs="Arial"/>
                <w:color w:val="FF0000"/>
                <w:sz w:val="20"/>
                <w:szCs w:val="20"/>
              </w:rPr>
              <w:t>LR/</w:t>
            </w:r>
          </w:p>
          <w:p w:rsidR="00853076" w:rsidRPr="00970383" w:rsidRDefault="00853076" w:rsidP="00574A0A">
            <w:pPr>
              <w:jc w:val="both"/>
              <w:rPr>
                <w:rFonts w:ascii="Arial" w:hAnsi="Arial" w:cs="Arial"/>
                <w:color w:val="FF0000"/>
                <w:sz w:val="20"/>
                <w:szCs w:val="20"/>
              </w:rPr>
            </w:pPr>
            <w:r w:rsidRPr="00970383">
              <w:rPr>
                <w:rFonts w:ascii="Arial" w:hAnsi="Arial" w:cs="Arial"/>
                <w:color w:val="FF0000"/>
                <w:sz w:val="20"/>
                <w:szCs w:val="20"/>
              </w:rPr>
              <w:t>Guidance</w:t>
            </w:r>
          </w:p>
        </w:tc>
        <w:tc>
          <w:tcPr>
            <w:tcW w:w="4008" w:type="dxa"/>
          </w:tcPr>
          <w:p w:rsidR="00853076" w:rsidRPr="00970383" w:rsidRDefault="00853076" w:rsidP="00574A0A">
            <w:pPr>
              <w:jc w:val="both"/>
              <w:rPr>
                <w:rFonts w:ascii="Arial" w:hAnsi="Arial" w:cs="Arial"/>
                <w:color w:val="FF0000"/>
                <w:sz w:val="20"/>
                <w:szCs w:val="20"/>
              </w:rPr>
            </w:pPr>
            <w:r>
              <w:rPr>
                <w:rFonts w:ascii="Arial" w:hAnsi="Arial" w:cs="Arial"/>
                <w:color w:val="FF0000"/>
                <w:sz w:val="20"/>
                <w:szCs w:val="20"/>
              </w:rPr>
              <w:t xml:space="preserve">New Guidance Letter Disclosure </w:t>
            </w:r>
            <w:r w:rsidRPr="00970383">
              <w:rPr>
                <w:rFonts w:ascii="Arial" w:hAnsi="Arial" w:cs="Arial"/>
                <w:color w:val="FF0000"/>
                <w:sz w:val="20"/>
                <w:szCs w:val="20"/>
              </w:rPr>
              <w:t>Obligations</w:t>
            </w:r>
          </w:p>
        </w:tc>
      </w:tr>
      <w:tr w:rsidR="00853076" w:rsidTr="006D32AC">
        <w:tc>
          <w:tcPr>
            <w:tcW w:w="4269" w:type="dxa"/>
          </w:tcPr>
          <w:p w:rsidR="00853076" w:rsidRDefault="00853076" w:rsidP="00574A0A">
            <w:pPr>
              <w:jc w:val="both"/>
              <w:rPr>
                <w:rFonts w:ascii="Arial" w:hAnsi="Arial" w:cs="Arial"/>
                <w:sz w:val="20"/>
                <w:szCs w:val="20"/>
              </w:rPr>
            </w:pPr>
          </w:p>
          <w:p w:rsidR="00853076" w:rsidRDefault="00853076" w:rsidP="00574A0A">
            <w:pPr>
              <w:jc w:val="both"/>
              <w:rPr>
                <w:rFonts w:ascii="Arial" w:hAnsi="Arial" w:cs="Arial"/>
                <w:sz w:val="20"/>
                <w:szCs w:val="20"/>
              </w:rPr>
            </w:pPr>
            <w:r w:rsidRPr="0038034B">
              <w:rPr>
                <w:rFonts w:ascii="Arial" w:hAnsi="Arial" w:cs="Arial"/>
                <w:sz w:val="20"/>
                <w:szCs w:val="20"/>
              </w:rPr>
              <w:t>Lists of the top 5 customers and suppliers during the track record period, including</w:t>
            </w:r>
            <w:r>
              <w:rPr>
                <w:rFonts w:ascii="Arial" w:hAnsi="Arial" w:cs="Arial"/>
                <w:sz w:val="20"/>
                <w:szCs w:val="20"/>
              </w:rPr>
              <w:t>:</w:t>
            </w:r>
          </w:p>
          <w:p w:rsidR="00853076" w:rsidRDefault="00853076" w:rsidP="00574A0A">
            <w:pPr>
              <w:jc w:val="both"/>
              <w:rPr>
                <w:rFonts w:ascii="Arial" w:hAnsi="Arial" w:cs="Arial"/>
                <w:sz w:val="20"/>
                <w:szCs w:val="20"/>
              </w:rPr>
            </w:pPr>
          </w:p>
          <w:p w:rsidR="006D32AC" w:rsidRDefault="00853076" w:rsidP="00853076">
            <w:pPr>
              <w:pStyle w:val="a7"/>
              <w:numPr>
                <w:ilvl w:val="0"/>
                <w:numId w:val="43"/>
              </w:numPr>
              <w:ind w:left="317" w:hanging="284"/>
              <w:jc w:val="both"/>
              <w:rPr>
                <w:rFonts w:ascii="Arial" w:hAnsi="Arial" w:cs="Arial"/>
                <w:sz w:val="20"/>
                <w:szCs w:val="20"/>
              </w:rPr>
            </w:pPr>
            <w:r w:rsidRPr="00853076">
              <w:rPr>
                <w:rFonts w:ascii="Arial" w:hAnsi="Arial" w:cs="Arial"/>
                <w:sz w:val="20"/>
                <w:szCs w:val="20"/>
              </w:rPr>
              <w:t>details of the amounts of sales</w:t>
            </w:r>
            <w:r w:rsidR="006D32AC">
              <w:rPr>
                <w:rFonts w:ascii="Arial" w:hAnsi="Arial" w:cs="Arial"/>
                <w:sz w:val="20"/>
                <w:szCs w:val="20"/>
              </w:rPr>
              <w:t>/</w:t>
            </w:r>
            <w:r w:rsidRPr="00853076">
              <w:rPr>
                <w:rFonts w:ascii="Arial" w:hAnsi="Arial" w:cs="Arial"/>
                <w:sz w:val="20"/>
                <w:szCs w:val="20"/>
              </w:rPr>
              <w:t xml:space="preserve"> </w:t>
            </w:r>
            <w:r w:rsidR="006D32AC">
              <w:rPr>
                <w:rFonts w:ascii="Arial" w:hAnsi="Arial" w:cs="Arial"/>
                <w:sz w:val="20"/>
                <w:szCs w:val="20"/>
              </w:rPr>
              <w:t xml:space="preserve">purchases </w:t>
            </w:r>
            <w:r w:rsidRPr="00853076">
              <w:rPr>
                <w:rFonts w:ascii="Arial" w:hAnsi="Arial" w:cs="Arial"/>
                <w:sz w:val="20"/>
                <w:szCs w:val="20"/>
              </w:rPr>
              <w:t>expre</w:t>
            </w:r>
            <w:r w:rsidR="006D32AC">
              <w:rPr>
                <w:rFonts w:ascii="Arial" w:hAnsi="Arial" w:cs="Arial"/>
                <w:sz w:val="20"/>
                <w:szCs w:val="20"/>
              </w:rPr>
              <w:t>ssed in dollars and percentages;</w:t>
            </w:r>
          </w:p>
          <w:p w:rsidR="00D90272" w:rsidRDefault="00D90272" w:rsidP="00D90272">
            <w:pPr>
              <w:pStyle w:val="a7"/>
              <w:ind w:left="317"/>
              <w:jc w:val="both"/>
              <w:rPr>
                <w:rFonts w:ascii="Arial" w:hAnsi="Arial" w:cs="Arial"/>
                <w:sz w:val="20"/>
                <w:szCs w:val="20"/>
              </w:rPr>
            </w:pPr>
          </w:p>
          <w:p w:rsidR="006D32AC" w:rsidRDefault="00853076" w:rsidP="00853076">
            <w:pPr>
              <w:pStyle w:val="a7"/>
              <w:numPr>
                <w:ilvl w:val="0"/>
                <w:numId w:val="43"/>
              </w:numPr>
              <w:ind w:left="317" w:hanging="284"/>
              <w:jc w:val="both"/>
              <w:rPr>
                <w:rFonts w:ascii="Arial" w:hAnsi="Arial" w:cs="Arial"/>
                <w:sz w:val="20"/>
                <w:szCs w:val="20"/>
              </w:rPr>
            </w:pPr>
            <w:r w:rsidRPr="00853076">
              <w:rPr>
                <w:rFonts w:ascii="Arial" w:hAnsi="Arial" w:cs="Arial"/>
                <w:sz w:val="20"/>
                <w:szCs w:val="20"/>
              </w:rPr>
              <w:t xml:space="preserve">the products sold/ </w:t>
            </w:r>
            <w:r w:rsidR="006D32AC">
              <w:rPr>
                <w:rFonts w:ascii="Arial" w:hAnsi="Arial" w:cs="Arial"/>
                <w:sz w:val="20"/>
                <w:szCs w:val="20"/>
              </w:rPr>
              <w:t>purchased;</w:t>
            </w:r>
          </w:p>
          <w:p w:rsidR="00D90272" w:rsidRPr="00D90272" w:rsidRDefault="00D90272" w:rsidP="00D90272">
            <w:pPr>
              <w:pStyle w:val="a7"/>
              <w:rPr>
                <w:rFonts w:ascii="Arial" w:hAnsi="Arial" w:cs="Arial"/>
                <w:sz w:val="20"/>
                <w:szCs w:val="20"/>
              </w:rPr>
            </w:pPr>
          </w:p>
          <w:p w:rsidR="006D32AC" w:rsidRDefault="00853076" w:rsidP="00853076">
            <w:pPr>
              <w:pStyle w:val="a7"/>
              <w:numPr>
                <w:ilvl w:val="0"/>
                <w:numId w:val="43"/>
              </w:numPr>
              <w:ind w:left="317" w:hanging="284"/>
              <w:jc w:val="both"/>
              <w:rPr>
                <w:rFonts w:ascii="Arial" w:hAnsi="Arial" w:cs="Arial"/>
                <w:sz w:val="20"/>
                <w:szCs w:val="20"/>
              </w:rPr>
            </w:pPr>
            <w:r w:rsidRPr="00853076">
              <w:rPr>
                <w:rFonts w:ascii="Arial" w:hAnsi="Arial" w:cs="Arial"/>
                <w:sz w:val="20"/>
                <w:szCs w:val="20"/>
              </w:rPr>
              <w:t>the length of each customer/ supplier’s relationship with the g</w:t>
            </w:r>
            <w:r w:rsidR="006D32AC">
              <w:rPr>
                <w:rFonts w:ascii="Arial" w:hAnsi="Arial" w:cs="Arial"/>
                <w:sz w:val="20"/>
                <w:szCs w:val="20"/>
              </w:rPr>
              <w:t>roup;</w:t>
            </w:r>
          </w:p>
          <w:p w:rsidR="00D90272" w:rsidRPr="00D90272" w:rsidRDefault="00D90272" w:rsidP="00D90272">
            <w:pPr>
              <w:pStyle w:val="a7"/>
              <w:rPr>
                <w:rFonts w:ascii="Arial" w:hAnsi="Arial" w:cs="Arial"/>
                <w:sz w:val="20"/>
                <w:szCs w:val="20"/>
              </w:rPr>
            </w:pPr>
          </w:p>
          <w:p w:rsidR="006D32AC" w:rsidRDefault="00853076" w:rsidP="006D32AC">
            <w:pPr>
              <w:pStyle w:val="a7"/>
              <w:numPr>
                <w:ilvl w:val="0"/>
                <w:numId w:val="43"/>
              </w:numPr>
              <w:ind w:left="317" w:hanging="284"/>
              <w:jc w:val="both"/>
              <w:rPr>
                <w:rFonts w:ascii="Arial" w:hAnsi="Arial" w:cs="Arial"/>
                <w:sz w:val="20"/>
                <w:szCs w:val="20"/>
              </w:rPr>
            </w:pPr>
            <w:r w:rsidRPr="00853076">
              <w:rPr>
                <w:rFonts w:ascii="Arial" w:hAnsi="Arial" w:cs="Arial"/>
                <w:sz w:val="20"/>
                <w:szCs w:val="20"/>
              </w:rPr>
              <w:t xml:space="preserve">terms offered (and where different, </w:t>
            </w:r>
            <w:r w:rsidR="006D32AC">
              <w:rPr>
                <w:rFonts w:ascii="Arial" w:hAnsi="Arial" w:cs="Arial"/>
                <w:sz w:val="20"/>
                <w:szCs w:val="20"/>
              </w:rPr>
              <w:t xml:space="preserve">an explanation); </w:t>
            </w:r>
          </w:p>
          <w:p w:rsidR="00D90272" w:rsidRPr="00D90272" w:rsidRDefault="00D90272" w:rsidP="00D90272">
            <w:pPr>
              <w:pStyle w:val="a7"/>
              <w:rPr>
                <w:rFonts w:ascii="Arial" w:hAnsi="Arial" w:cs="Arial"/>
                <w:sz w:val="20"/>
                <w:szCs w:val="20"/>
              </w:rPr>
            </w:pPr>
          </w:p>
          <w:p w:rsidR="006D32AC" w:rsidRDefault="006D32AC" w:rsidP="006D32AC">
            <w:pPr>
              <w:pStyle w:val="a7"/>
              <w:numPr>
                <w:ilvl w:val="0"/>
                <w:numId w:val="43"/>
              </w:numPr>
              <w:ind w:left="317" w:hanging="284"/>
              <w:jc w:val="both"/>
              <w:rPr>
                <w:rFonts w:ascii="Arial" w:hAnsi="Arial" w:cs="Arial"/>
                <w:sz w:val="20"/>
                <w:szCs w:val="20"/>
              </w:rPr>
            </w:pPr>
            <w:r>
              <w:rPr>
                <w:rFonts w:ascii="Arial" w:hAnsi="Arial" w:cs="Arial"/>
                <w:sz w:val="20"/>
                <w:szCs w:val="20"/>
              </w:rPr>
              <w:t>settlement information;</w:t>
            </w:r>
            <w:r w:rsidR="00853076" w:rsidRPr="00853076">
              <w:rPr>
                <w:rFonts w:ascii="Arial" w:hAnsi="Arial" w:cs="Arial"/>
                <w:sz w:val="20"/>
                <w:szCs w:val="20"/>
              </w:rPr>
              <w:t xml:space="preserve"> and </w:t>
            </w:r>
          </w:p>
          <w:p w:rsidR="00D90272" w:rsidRPr="00D90272" w:rsidRDefault="00D90272" w:rsidP="00D90272">
            <w:pPr>
              <w:jc w:val="both"/>
              <w:rPr>
                <w:rFonts w:ascii="Arial" w:hAnsi="Arial" w:cs="Arial"/>
                <w:sz w:val="20"/>
                <w:szCs w:val="20"/>
              </w:rPr>
            </w:pPr>
          </w:p>
          <w:p w:rsidR="00853076" w:rsidRPr="00853076" w:rsidRDefault="00853076" w:rsidP="006D32AC">
            <w:pPr>
              <w:pStyle w:val="a7"/>
              <w:numPr>
                <w:ilvl w:val="0"/>
                <w:numId w:val="43"/>
              </w:numPr>
              <w:ind w:left="317" w:hanging="284"/>
              <w:jc w:val="both"/>
              <w:rPr>
                <w:rFonts w:ascii="Arial" w:hAnsi="Arial" w:cs="Arial"/>
                <w:sz w:val="20"/>
                <w:szCs w:val="20"/>
              </w:rPr>
            </w:pPr>
            <w:r w:rsidRPr="00853076">
              <w:rPr>
                <w:rFonts w:ascii="Arial" w:hAnsi="Arial" w:cs="Arial"/>
                <w:sz w:val="20"/>
                <w:szCs w:val="20"/>
              </w:rPr>
              <w:lastRenderedPageBreak/>
              <w:t>profile and background of each customer/ supplier including its business, size of operation and location</w:t>
            </w:r>
            <w:r w:rsidR="006D32AC">
              <w:rPr>
                <w:rFonts w:ascii="Arial" w:hAnsi="Arial" w:cs="Arial"/>
                <w:sz w:val="20"/>
                <w:szCs w:val="20"/>
              </w:rPr>
              <w:t>.</w:t>
            </w:r>
          </w:p>
        </w:tc>
        <w:tc>
          <w:tcPr>
            <w:tcW w:w="1073" w:type="dxa"/>
          </w:tcPr>
          <w:p w:rsidR="006D32AC" w:rsidRDefault="006D32AC" w:rsidP="00574A0A">
            <w:pPr>
              <w:jc w:val="both"/>
              <w:rPr>
                <w:rFonts w:ascii="Arial" w:hAnsi="Arial" w:cs="Arial"/>
                <w:sz w:val="20"/>
                <w:szCs w:val="20"/>
              </w:rPr>
            </w:pPr>
          </w:p>
          <w:p w:rsidR="00853076" w:rsidRPr="0038034B" w:rsidRDefault="00853076" w:rsidP="00574A0A">
            <w:pPr>
              <w:jc w:val="both"/>
              <w:rPr>
                <w:rFonts w:ascii="Arial" w:hAnsi="Arial" w:cs="Arial"/>
                <w:sz w:val="20"/>
                <w:szCs w:val="20"/>
              </w:rPr>
            </w:pPr>
            <w:r w:rsidRPr="0038034B">
              <w:rPr>
                <w:rFonts w:ascii="Arial" w:hAnsi="Arial" w:cs="Arial"/>
                <w:sz w:val="20"/>
                <w:szCs w:val="20"/>
              </w:rPr>
              <w:t>GL55-13; MB Rule 9.11(17c)</w:t>
            </w:r>
          </w:p>
        </w:tc>
        <w:tc>
          <w:tcPr>
            <w:tcW w:w="4008" w:type="dxa"/>
          </w:tcPr>
          <w:p w:rsidR="006D32AC" w:rsidRDefault="006D32AC" w:rsidP="00574A0A">
            <w:pPr>
              <w:jc w:val="both"/>
              <w:rPr>
                <w:rFonts w:ascii="Arial" w:hAnsi="Arial" w:cs="Arial"/>
                <w:sz w:val="20"/>
                <w:szCs w:val="20"/>
              </w:rPr>
            </w:pPr>
          </w:p>
          <w:p w:rsidR="00853076" w:rsidRPr="0038034B" w:rsidRDefault="00853076" w:rsidP="00574A0A">
            <w:pPr>
              <w:jc w:val="both"/>
              <w:rPr>
                <w:rFonts w:ascii="Arial" w:hAnsi="Arial" w:cs="Arial"/>
                <w:sz w:val="20"/>
                <w:szCs w:val="20"/>
              </w:rPr>
            </w:pPr>
            <w:r w:rsidRPr="0038034B">
              <w:rPr>
                <w:rFonts w:ascii="Arial" w:hAnsi="Arial" w:cs="Arial"/>
                <w:sz w:val="20"/>
                <w:szCs w:val="20"/>
              </w:rPr>
              <w:t>HKEX Guidance Letter GL86-16 will be updat</w:t>
            </w:r>
            <w:r w:rsidR="006D32AC">
              <w:rPr>
                <w:rFonts w:ascii="Arial" w:hAnsi="Arial" w:cs="Arial"/>
                <w:sz w:val="20"/>
                <w:szCs w:val="20"/>
              </w:rPr>
              <w:t xml:space="preserve">ed to require disclosure of </w:t>
            </w:r>
            <w:proofErr w:type="gramStart"/>
            <w:r w:rsidR="006D32AC">
              <w:rPr>
                <w:rFonts w:ascii="Arial" w:hAnsi="Arial" w:cs="Arial"/>
                <w:sz w:val="20"/>
                <w:szCs w:val="20"/>
              </w:rPr>
              <w:t xml:space="preserve">the </w:t>
            </w:r>
            <w:r w:rsidRPr="0038034B">
              <w:rPr>
                <w:rFonts w:ascii="Arial" w:hAnsi="Arial" w:cs="Arial"/>
                <w:sz w:val="20"/>
                <w:szCs w:val="20"/>
              </w:rPr>
              <w:t xml:space="preserve"> information</w:t>
            </w:r>
            <w:proofErr w:type="gramEnd"/>
            <w:r w:rsidR="006D32AC">
              <w:rPr>
                <w:rFonts w:ascii="Arial" w:hAnsi="Arial" w:cs="Arial"/>
                <w:sz w:val="20"/>
                <w:szCs w:val="20"/>
              </w:rPr>
              <w:t xml:space="preserve"> required by Form M104</w:t>
            </w:r>
            <w:r w:rsidRPr="0038034B">
              <w:rPr>
                <w:rFonts w:ascii="Arial" w:hAnsi="Arial" w:cs="Arial"/>
                <w:sz w:val="20"/>
                <w:szCs w:val="20"/>
              </w:rPr>
              <w:t>.</w:t>
            </w:r>
          </w:p>
          <w:p w:rsidR="00853076" w:rsidRPr="0038034B" w:rsidRDefault="00853076" w:rsidP="00574A0A">
            <w:pPr>
              <w:jc w:val="both"/>
              <w:rPr>
                <w:rFonts w:ascii="Arial" w:hAnsi="Arial" w:cs="Arial"/>
                <w:sz w:val="20"/>
                <w:szCs w:val="20"/>
              </w:rPr>
            </w:pPr>
          </w:p>
          <w:p w:rsidR="00853076" w:rsidRPr="0038034B" w:rsidRDefault="006D32AC" w:rsidP="00574A0A">
            <w:pPr>
              <w:jc w:val="both"/>
              <w:rPr>
                <w:rFonts w:ascii="Arial" w:hAnsi="Arial" w:cs="Arial"/>
                <w:sz w:val="20"/>
                <w:szCs w:val="20"/>
              </w:rPr>
            </w:pPr>
            <w:r>
              <w:rPr>
                <w:rFonts w:ascii="Arial" w:hAnsi="Arial" w:cs="Arial"/>
                <w:sz w:val="20"/>
                <w:szCs w:val="20"/>
              </w:rPr>
              <w:t xml:space="preserve">If </w:t>
            </w:r>
            <w:r w:rsidR="00853076" w:rsidRPr="0038034B">
              <w:rPr>
                <w:rFonts w:ascii="Arial" w:hAnsi="Arial" w:cs="Arial"/>
                <w:sz w:val="20"/>
                <w:szCs w:val="20"/>
              </w:rPr>
              <w:t>a listing applicant believes that certain information cannot be disclosed:</w:t>
            </w:r>
          </w:p>
          <w:p w:rsidR="00853076" w:rsidRPr="0038034B" w:rsidRDefault="00853076" w:rsidP="00574A0A">
            <w:pPr>
              <w:jc w:val="both"/>
              <w:rPr>
                <w:rFonts w:ascii="Arial" w:hAnsi="Arial" w:cs="Arial"/>
                <w:sz w:val="20"/>
                <w:szCs w:val="20"/>
              </w:rPr>
            </w:pPr>
          </w:p>
          <w:p w:rsidR="00853076" w:rsidRPr="0038034B" w:rsidRDefault="00853076" w:rsidP="00853076">
            <w:pPr>
              <w:pStyle w:val="a7"/>
              <w:numPr>
                <w:ilvl w:val="0"/>
                <w:numId w:val="40"/>
              </w:numPr>
              <w:ind w:left="318" w:hanging="283"/>
              <w:jc w:val="both"/>
              <w:rPr>
                <w:rFonts w:ascii="Arial" w:hAnsi="Arial" w:cs="Arial"/>
                <w:sz w:val="20"/>
                <w:szCs w:val="20"/>
              </w:rPr>
            </w:pPr>
            <w:r w:rsidRPr="0038034B">
              <w:rPr>
                <w:rFonts w:ascii="Arial" w:hAnsi="Arial" w:cs="Arial"/>
                <w:sz w:val="20"/>
                <w:szCs w:val="20"/>
              </w:rPr>
              <w:t xml:space="preserve">alternative disclosures on </w:t>
            </w:r>
            <w:proofErr w:type="gramStart"/>
            <w:r w:rsidRPr="0038034B">
              <w:rPr>
                <w:rFonts w:ascii="Arial" w:hAnsi="Arial" w:cs="Arial"/>
                <w:sz w:val="20"/>
                <w:szCs w:val="20"/>
              </w:rPr>
              <w:t>the  customer</w:t>
            </w:r>
            <w:proofErr w:type="gramEnd"/>
            <w:r w:rsidRPr="0038034B">
              <w:rPr>
                <w:rFonts w:ascii="Arial" w:hAnsi="Arial" w:cs="Arial"/>
                <w:sz w:val="20"/>
                <w:szCs w:val="20"/>
              </w:rPr>
              <w:t>/ supplier must be made in the listing document to enable investors to make a properly informed assessment of the profile of these major customers/ suppliers;</w:t>
            </w:r>
          </w:p>
          <w:p w:rsidR="00853076" w:rsidRPr="0038034B" w:rsidRDefault="00853076" w:rsidP="00574A0A">
            <w:pPr>
              <w:pStyle w:val="a7"/>
              <w:ind w:left="318"/>
              <w:jc w:val="both"/>
              <w:rPr>
                <w:rFonts w:ascii="Arial" w:hAnsi="Arial" w:cs="Arial"/>
                <w:sz w:val="20"/>
                <w:szCs w:val="20"/>
              </w:rPr>
            </w:pPr>
          </w:p>
          <w:p w:rsidR="00853076" w:rsidRPr="0038034B" w:rsidRDefault="00853076" w:rsidP="00853076">
            <w:pPr>
              <w:pStyle w:val="a7"/>
              <w:numPr>
                <w:ilvl w:val="0"/>
                <w:numId w:val="40"/>
              </w:numPr>
              <w:ind w:left="318" w:hanging="283"/>
              <w:jc w:val="both"/>
              <w:rPr>
                <w:rFonts w:ascii="Arial" w:hAnsi="Arial" w:cs="Arial"/>
                <w:sz w:val="20"/>
                <w:szCs w:val="20"/>
              </w:rPr>
            </w:pPr>
            <w:r w:rsidRPr="0038034B">
              <w:rPr>
                <w:rFonts w:ascii="Arial" w:hAnsi="Arial" w:cs="Arial"/>
                <w:sz w:val="20"/>
                <w:szCs w:val="20"/>
              </w:rPr>
              <w:t xml:space="preserve">the listing applicant must submit to HKEX to </w:t>
            </w:r>
            <w:r w:rsidR="006D32AC">
              <w:rPr>
                <w:rFonts w:ascii="Arial" w:hAnsi="Arial" w:cs="Arial"/>
                <w:sz w:val="20"/>
                <w:szCs w:val="20"/>
              </w:rPr>
              <w:t xml:space="preserve">enable its </w:t>
            </w:r>
            <w:r w:rsidRPr="0038034B">
              <w:rPr>
                <w:rFonts w:ascii="Arial" w:hAnsi="Arial" w:cs="Arial"/>
                <w:sz w:val="20"/>
                <w:szCs w:val="20"/>
              </w:rPr>
              <w:t>assess</w:t>
            </w:r>
            <w:r w:rsidR="006D32AC">
              <w:rPr>
                <w:rFonts w:ascii="Arial" w:hAnsi="Arial" w:cs="Arial"/>
                <w:sz w:val="20"/>
                <w:szCs w:val="20"/>
              </w:rPr>
              <w:t>ment of</w:t>
            </w:r>
            <w:r w:rsidRPr="0038034B">
              <w:rPr>
                <w:rFonts w:ascii="Arial" w:hAnsi="Arial" w:cs="Arial"/>
                <w:sz w:val="20"/>
                <w:szCs w:val="20"/>
              </w:rPr>
              <w:t xml:space="preserve"> </w:t>
            </w:r>
            <w:r w:rsidRPr="0038034B">
              <w:rPr>
                <w:rFonts w:ascii="Arial" w:hAnsi="Arial" w:cs="Arial"/>
                <w:sz w:val="20"/>
                <w:szCs w:val="20"/>
              </w:rPr>
              <w:lastRenderedPageBreak/>
              <w:t>whether non-disclosure is acceptable in the particular case:</w:t>
            </w:r>
          </w:p>
          <w:p w:rsidR="00853076" w:rsidRPr="0038034B" w:rsidRDefault="00853076" w:rsidP="00574A0A">
            <w:pPr>
              <w:pStyle w:val="a7"/>
              <w:rPr>
                <w:rFonts w:ascii="Arial" w:hAnsi="Arial" w:cs="Arial"/>
                <w:sz w:val="20"/>
                <w:szCs w:val="20"/>
              </w:rPr>
            </w:pPr>
          </w:p>
          <w:p w:rsidR="00853076" w:rsidRPr="0038034B" w:rsidRDefault="00853076" w:rsidP="00853076">
            <w:pPr>
              <w:pStyle w:val="a7"/>
              <w:numPr>
                <w:ilvl w:val="0"/>
                <w:numId w:val="42"/>
              </w:numPr>
              <w:jc w:val="both"/>
              <w:rPr>
                <w:rFonts w:ascii="Arial" w:hAnsi="Arial" w:cs="Arial"/>
                <w:sz w:val="20"/>
                <w:szCs w:val="20"/>
              </w:rPr>
            </w:pPr>
            <w:r w:rsidRPr="0038034B">
              <w:rPr>
                <w:rFonts w:ascii="Arial" w:hAnsi="Arial" w:cs="Arial"/>
                <w:sz w:val="20"/>
                <w:szCs w:val="20"/>
              </w:rPr>
              <w:t>the identity of the top 5 customers and suppliers;</w:t>
            </w:r>
          </w:p>
          <w:p w:rsidR="00853076" w:rsidRPr="0038034B" w:rsidRDefault="00853076" w:rsidP="00574A0A">
            <w:pPr>
              <w:pStyle w:val="a7"/>
              <w:ind w:left="678"/>
              <w:jc w:val="both"/>
              <w:rPr>
                <w:rFonts w:ascii="Arial" w:hAnsi="Arial" w:cs="Arial"/>
                <w:sz w:val="20"/>
                <w:szCs w:val="20"/>
              </w:rPr>
            </w:pPr>
          </w:p>
          <w:p w:rsidR="00853076" w:rsidRPr="0038034B" w:rsidRDefault="00853076" w:rsidP="00853076">
            <w:pPr>
              <w:pStyle w:val="a7"/>
              <w:numPr>
                <w:ilvl w:val="0"/>
                <w:numId w:val="42"/>
              </w:numPr>
              <w:jc w:val="both"/>
              <w:rPr>
                <w:rFonts w:ascii="Arial" w:hAnsi="Arial" w:cs="Arial"/>
                <w:sz w:val="20"/>
                <w:szCs w:val="20"/>
              </w:rPr>
            </w:pPr>
            <w:r w:rsidRPr="0038034B">
              <w:rPr>
                <w:rFonts w:ascii="Arial" w:hAnsi="Arial" w:cs="Arial"/>
                <w:sz w:val="20"/>
                <w:szCs w:val="20"/>
              </w:rPr>
              <w:t xml:space="preserve">whether the listing applicant has proactively requested public disclosure of their identity and details of the actions taken in this regard; and </w:t>
            </w:r>
          </w:p>
          <w:p w:rsidR="00853076" w:rsidRPr="0038034B" w:rsidRDefault="00853076" w:rsidP="00574A0A">
            <w:pPr>
              <w:pStyle w:val="a7"/>
              <w:ind w:left="678"/>
              <w:jc w:val="both"/>
              <w:rPr>
                <w:rFonts w:ascii="Arial" w:hAnsi="Arial" w:cs="Arial"/>
                <w:sz w:val="20"/>
                <w:szCs w:val="20"/>
              </w:rPr>
            </w:pPr>
          </w:p>
          <w:p w:rsidR="00853076" w:rsidRPr="0038034B" w:rsidRDefault="00853076" w:rsidP="00853076">
            <w:pPr>
              <w:pStyle w:val="a7"/>
              <w:numPr>
                <w:ilvl w:val="0"/>
                <w:numId w:val="42"/>
              </w:numPr>
              <w:jc w:val="both"/>
              <w:rPr>
                <w:rFonts w:ascii="Arial" w:hAnsi="Arial" w:cs="Arial"/>
                <w:sz w:val="20"/>
                <w:szCs w:val="20"/>
              </w:rPr>
            </w:pPr>
            <w:r w:rsidRPr="0038034B">
              <w:rPr>
                <w:rFonts w:ascii="Arial" w:hAnsi="Arial" w:cs="Arial"/>
                <w:sz w:val="20"/>
                <w:szCs w:val="20"/>
              </w:rPr>
              <w:t>compelling reasons for the non-disclosure.</w:t>
            </w:r>
          </w:p>
        </w:tc>
      </w:tr>
      <w:tr w:rsidR="00853076" w:rsidTr="006D32AC">
        <w:tc>
          <w:tcPr>
            <w:tcW w:w="4269" w:type="dxa"/>
          </w:tcPr>
          <w:p w:rsidR="006D32AC" w:rsidRDefault="006D32AC" w:rsidP="00574A0A">
            <w:pPr>
              <w:jc w:val="both"/>
              <w:rPr>
                <w:rFonts w:ascii="Arial" w:hAnsi="Arial" w:cs="Arial"/>
                <w:sz w:val="20"/>
                <w:szCs w:val="20"/>
              </w:rPr>
            </w:pPr>
          </w:p>
          <w:p w:rsidR="00853076" w:rsidRPr="0038034B" w:rsidRDefault="00853076" w:rsidP="00574A0A">
            <w:pPr>
              <w:jc w:val="both"/>
              <w:rPr>
                <w:rFonts w:ascii="Arial" w:hAnsi="Arial" w:cs="Arial"/>
                <w:sz w:val="20"/>
                <w:szCs w:val="20"/>
              </w:rPr>
            </w:pPr>
            <w:r w:rsidRPr="0038034B">
              <w:rPr>
                <w:rFonts w:ascii="Arial" w:hAnsi="Arial" w:cs="Arial"/>
                <w:sz w:val="20"/>
                <w:szCs w:val="20"/>
              </w:rPr>
              <w:t>Details of credit period granted to major clients</w:t>
            </w:r>
          </w:p>
        </w:tc>
        <w:tc>
          <w:tcPr>
            <w:tcW w:w="1073" w:type="dxa"/>
          </w:tcPr>
          <w:p w:rsidR="006D32AC" w:rsidRDefault="006D32AC" w:rsidP="00574A0A">
            <w:pPr>
              <w:jc w:val="both"/>
              <w:rPr>
                <w:rFonts w:ascii="Arial" w:hAnsi="Arial" w:cs="Arial"/>
                <w:sz w:val="20"/>
                <w:szCs w:val="20"/>
              </w:rPr>
            </w:pPr>
          </w:p>
          <w:p w:rsidR="00853076" w:rsidRDefault="00853076" w:rsidP="00574A0A">
            <w:pPr>
              <w:jc w:val="both"/>
              <w:rPr>
                <w:rFonts w:ascii="Arial" w:hAnsi="Arial" w:cs="Arial"/>
                <w:sz w:val="20"/>
                <w:szCs w:val="20"/>
              </w:rPr>
            </w:pPr>
            <w:r w:rsidRPr="0038034B">
              <w:rPr>
                <w:rFonts w:ascii="Arial" w:hAnsi="Arial" w:cs="Arial"/>
                <w:sz w:val="20"/>
                <w:szCs w:val="20"/>
              </w:rPr>
              <w:t>GL55-13; MB Rule 9.11(17c)</w:t>
            </w:r>
          </w:p>
          <w:p w:rsidR="006D32AC" w:rsidRPr="0038034B" w:rsidRDefault="006D32AC" w:rsidP="00574A0A">
            <w:pPr>
              <w:jc w:val="both"/>
              <w:rPr>
                <w:rFonts w:ascii="Arial" w:hAnsi="Arial" w:cs="Arial"/>
                <w:sz w:val="20"/>
                <w:szCs w:val="20"/>
              </w:rPr>
            </w:pPr>
          </w:p>
        </w:tc>
        <w:tc>
          <w:tcPr>
            <w:tcW w:w="4008" w:type="dxa"/>
          </w:tcPr>
          <w:p w:rsidR="00853076" w:rsidRPr="0038034B" w:rsidRDefault="00853076" w:rsidP="00574A0A">
            <w:pPr>
              <w:jc w:val="both"/>
              <w:rPr>
                <w:rFonts w:ascii="Arial" w:hAnsi="Arial" w:cs="Arial"/>
                <w:sz w:val="20"/>
                <w:szCs w:val="20"/>
              </w:rPr>
            </w:pPr>
          </w:p>
        </w:tc>
      </w:tr>
      <w:tr w:rsidR="00853076" w:rsidTr="006D32AC">
        <w:tc>
          <w:tcPr>
            <w:tcW w:w="4269" w:type="dxa"/>
          </w:tcPr>
          <w:p w:rsidR="006D32AC" w:rsidRDefault="006D32AC" w:rsidP="00574A0A">
            <w:pPr>
              <w:jc w:val="both"/>
              <w:rPr>
                <w:rFonts w:ascii="Arial" w:hAnsi="Arial" w:cs="Arial"/>
                <w:sz w:val="20"/>
                <w:szCs w:val="20"/>
              </w:rPr>
            </w:pPr>
          </w:p>
          <w:p w:rsidR="00853076" w:rsidRPr="00BC6130" w:rsidRDefault="00853076" w:rsidP="00574A0A">
            <w:pPr>
              <w:jc w:val="both"/>
              <w:rPr>
                <w:rFonts w:ascii="Arial" w:hAnsi="Arial" w:cs="Arial"/>
                <w:sz w:val="20"/>
                <w:szCs w:val="20"/>
              </w:rPr>
            </w:pPr>
            <w:r w:rsidRPr="00BC6130">
              <w:rPr>
                <w:rFonts w:ascii="Arial" w:hAnsi="Arial" w:cs="Arial"/>
                <w:sz w:val="20"/>
                <w:szCs w:val="20"/>
              </w:rPr>
              <w:t>Details of credit period granted by major suppliers</w:t>
            </w:r>
          </w:p>
        </w:tc>
        <w:tc>
          <w:tcPr>
            <w:tcW w:w="1073" w:type="dxa"/>
          </w:tcPr>
          <w:p w:rsidR="006D32AC" w:rsidRDefault="006D32AC" w:rsidP="00574A0A">
            <w:pPr>
              <w:jc w:val="both"/>
              <w:rPr>
                <w:rFonts w:ascii="Arial" w:hAnsi="Arial" w:cs="Arial"/>
                <w:sz w:val="20"/>
                <w:szCs w:val="20"/>
              </w:rPr>
            </w:pPr>
          </w:p>
          <w:p w:rsidR="00853076" w:rsidRDefault="00853076" w:rsidP="00574A0A">
            <w:pPr>
              <w:jc w:val="both"/>
              <w:rPr>
                <w:rFonts w:ascii="Arial" w:hAnsi="Arial" w:cs="Arial"/>
                <w:sz w:val="20"/>
                <w:szCs w:val="20"/>
              </w:rPr>
            </w:pPr>
            <w:r w:rsidRPr="00BC6130">
              <w:rPr>
                <w:rFonts w:ascii="Arial" w:hAnsi="Arial" w:cs="Arial"/>
                <w:sz w:val="20"/>
                <w:szCs w:val="20"/>
              </w:rPr>
              <w:t>GL55-13; MB Rule 9.11(17c)</w:t>
            </w:r>
          </w:p>
          <w:p w:rsidR="006D32AC" w:rsidRPr="00BC6130" w:rsidRDefault="006D32AC" w:rsidP="00574A0A">
            <w:pPr>
              <w:jc w:val="both"/>
              <w:rPr>
                <w:rFonts w:ascii="Arial" w:hAnsi="Arial" w:cs="Arial"/>
                <w:sz w:val="20"/>
                <w:szCs w:val="20"/>
              </w:rPr>
            </w:pPr>
          </w:p>
        </w:tc>
        <w:tc>
          <w:tcPr>
            <w:tcW w:w="4008" w:type="dxa"/>
          </w:tcPr>
          <w:p w:rsidR="00853076" w:rsidRPr="0038034B" w:rsidRDefault="00853076" w:rsidP="00574A0A">
            <w:pPr>
              <w:jc w:val="both"/>
              <w:rPr>
                <w:rFonts w:ascii="Arial" w:hAnsi="Arial" w:cs="Arial"/>
                <w:sz w:val="20"/>
                <w:szCs w:val="20"/>
              </w:rPr>
            </w:pPr>
          </w:p>
        </w:tc>
      </w:tr>
      <w:tr w:rsidR="00853076" w:rsidTr="006D32AC">
        <w:tc>
          <w:tcPr>
            <w:tcW w:w="4269" w:type="dxa"/>
          </w:tcPr>
          <w:p w:rsidR="006D32AC" w:rsidRDefault="006D32AC" w:rsidP="00574A0A">
            <w:pPr>
              <w:jc w:val="both"/>
              <w:rPr>
                <w:rFonts w:ascii="Arial" w:hAnsi="Arial" w:cs="Arial"/>
                <w:sz w:val="20"/>
                <w:szCs w:val="20"/>
              </w:rPr>
            </w:pPr>
          </w:p>
          <w:p w:rsidR="00853076" w:rsidRDefault="00853076" w:rsidP="00574A0A">
            <w:pPr>
              <w:jc w:val="both"/>
              <w:rPr>
                <w:rFonts w:ascii="Arial" w:hAnsi="Arial" w:cs="Arial"/>
                <w:sz w:val="20"/>
                <w:szCs w:val="20"/>
              </w:rPr>
            </w:pPr>
            <w:r w:rsidRPr="00BC6130">
              <w:rPr>
                <w:rFonts w:ascii="Arial" w:hAnsi="Arial" w:cs="Arial"/>
                <w:sz w:val="20"/>
                <w:szCs w:val="20"/>
              </w:rPr>
              <w:t>Form M113 (Summary of key financial ratios during the track record period with explanation for fluctuation)</w:t>
            </w:r>
          </w:p>
          <w:p w:rsidR="006D32AC" w:rsidRPr="00BC6130" w:rsidRDefault="006D32AC" w:rsidP="00574A0A">
            <w:pPr>
              <w:jc w:val="both"/>
              <w:rPr>
                <w:rFonts w:ascii="Arial" w:hAnsi="Arial" w:cs="Arial"/>
                <w:sz w:val="20"/>
                <w:szCs w:val="20"/>
              </w:rPr>
            </w:pPr>
          </w:p>
        </w:tc>
        <w:tc>
          <w:tcPr>
            <w:tcW w:w="1073" w:type="dxa"/>
          </w:tcPr>
          <w:p w:rsidR="006D32AC" w:rsidRDefault="006D32AC" w:rsidP="00574A0A">
            <w:pPr>
              <w:jc w:val="both"/>
              <w:rPr>
                <w:rFonts w:ascii="Arial" w:hAnsi="Arial" w:cs="Arial"/>
                <w:sz w:val="20"/>
                <w:szCs w:val="20"/>
              </w:rPr>
            </w:pPr>
          </w:p>
          <w:p w:rsidR="00853076" w:rsidRPr="00BC6130" w:rsidRDefault="00853076" w:rsidP="00574A0A">
            <w:pPr>
              <w:jc w:val="both"/>
              <w:rPr>
                <w:rFonts w:ascii="Arial" w:hAnsi="Arial" w:cs="Arial"/>
                <w:sz w:val="20"/>
                <w:szCs w:val="20"/>
              </w:rPr>
            </w:pPr>
            <w:r w:rsidRPr="00BC6130">
              <w:rPr>
                <w:rFonts w:ascii="Arial" w:hAnsi="Arial" w:cs="Arial"/>
                <w:sz w:val="20"/>
                <w:szCs w:val="20"/>
              </w:rPr>
              <w:t>GL55-13; MB Rule 9.11(17c)</w:t>
            </w:r>
          </w:p>
        </w:tc>
        <w:tc>
          <w:tcPr>
            <w:tcW w:w="4008" w:type="dxa"/>
          </w:tcPr>
          <w:p w:rsidR="006D32AC" w:rsidRDefault="006D32AC" w:rsidP="00574A0A">
            <w:pPr>
              <w:jc w:val="both"/>
              <w:rPr>
                <w:rFonts w:ascii="Arial" w:hAnsi="Arial" w:cs="Arial"/>
                <w:sz w:val="20"/>
                <w:szCs w:val="20"/>
              </w:rPr>
            </w:pPr>
          </w:p>
          <w:p w:rsidR="00853076" w:rsidRPr="0038034B" w:rsidRDefault="00853076" w:rsidP="00574A0A">
            <w:pPr>
              <w:jc w:val="both"/>
              <w:rPr>
                <w:rFonts w:ascii="Arial" w:hAnsi="Arial" w:cs="Arial"/>
                <w:sz w:val="20"/>
                <w:szCs w:val="20"/>
              </w:rPr>
            </w:pPr>
            <w:r w:rsidRPr="0038034B">
              <w:rPr>
                <w:rFonts w:ascii="Arial" w:hAnsi="Arial" w:cs="Arial"/>
                <w:sz w:val="20"/>
                <w:szCs w:val="20"/>
              </w:rPr>
              <w:t>HKEX Guidance Letter GL86-16 will be updated to require disclosure of this information</w:t>
            </w:r>
            <w:r>
              <w:rPr>
                <w:rFonts w:ascii="Arial" w:hAnsi="Arial" w:cs="Arial"/>
                <w:sz w:val="20"/>
                <w:szCs w:val="20"/>
              </w:rPr>
              <w:t>.</w:t>
            </w:r>
          </w:p>
        </w:tc>
      </w:tr>
      <w:tr w:rsidR="00853076" w:rsidTr="006D32AC">
        <w:tc>
          <w:tcPr>
            <w:tcW w:w="4269" w:type="dxa"/>
          </w:tcPr>
          <w:p w:rsidR="006D32AC" w:rsidRDefault="006D32AC" w:rsidP="00574A0A">
            <w:pPr>
              <w:jc w:val="both"/>
              <w:rPr>
                <w:rFonts w:ascii="Arial" w:hAnsi="Arial" w:cs="Arial"/>
                <w:sz w:val="20"/>
                <w:szCs w:val="20"/>
              </w:rPr>
            </w:pPr>
          </w:p>
          <w:p w:rsidR="006D32AC" w:rsidRDefault="006D32AC" w:rsidP="00574A0A">
            <w:pPr>
              <w:jc w:val="both"/>
              <w:rPr>
                <w:rFonts w:ascii="Arial" w:hAnsi="Arial" w:cs="Arial"/>
                <w:sz w:val="20"/>
                <w:szCs w:val="20"/>
              </w:rPr>
            </w:pPr>
          </w:p>
          <w:p w:rsidR="00853076" w:rsidRDefault="00853076" w:rsidP="00574A0A">
            <w:pPr>
              <w:jc w:val="both"/>
              <w:rPr>
                <w:rFonts w:ascii="Arial" w:hAnsi="Arial" w:cs="Arial"/>
                <w:sz w:val="20"/>
                <w:szCs w:val="20"/>
              </w:rPr>
            </w:pPr>
            <w:r w:rsidRPr="006D32AC">
              <w:rPr>
                <w:rFonts w:ascii="Arial" w:hAnsi="Arial" w:cs="Arial"/>
                <w:sz w:val="20"/>
                <w:szCs w:val="20"/>
              </w:rPr>
              <w:t>Reorganisation memo</w:t>
            </w:r>
          </w:p>
        </w:tc>
        <w:tc>
          <w:tcPr>
            <w:tcW w:w="1073" w:type="dxa"/>
          </w:tcPr>
          <w:p w:rsidR="006D32AC" w:rsidRDefault="006D32AC" w:rsidP="00574A0A">
            <w:pPr>
              <w:jc w:val="both"/>
              <w:rPr>
                <w:rFonts w:ascii="Arial" w:hAnsi="Arial" w:cs="Arial"/>
                <w:sz w:val="20"/>
                <w:szCs w:val="20"/>
              </w:rPr>
            </w:pPr>
          </w:p>
          <w:p w:rsidR="006D32AC" w:rsidRPr="0038034B" w:rsidRDefault="006D32AC" w:rsidP="00574A0A">
            <w:pPr>
              <w:jc w:val="both"/>
              <w:rPr>
                <w:rFonts w:ascii="Arial" w:hAnsi="Arial" w:cs="Arial"/>
                <w:sz w:val="20"/>
                <w:szCs w:val="20"/>
              </w:rPr>
            </w:pPr>
            <w:r w:rsidRPr="006D32AC">
              <w:rPr>
                <w:rFonts w:ascii="Arial" w:hAnsi="Arial" w:cs="Arial"/>
                <w:sz w:val="20"/>
                <w:szCs w:val="20"/>
              </w:rPr>
              <w:t>GL55-13; MB Rule 9.11(17c)</w:t>
            </w:r>
          </w:p>
        </w:tc>
        <w:tc>
          <w:tcPr>
            <w:tcW w:w="4008" w:type="dxa"/>
          </w:tcPr>
          <w:p w:rsidR="006D32AC" w:rsidRDefault="006D32AC" w:rsidP="00574A0A">
            <w:pPr>
              <w:jc w:val="both"/>
              <w:rPr>
                <w:rFonts w:ascii="Arial" w:hAnsi="Arial" w:cs="Arial"/>
                <w:sz w:val="20"/>
                <w:szCs w:val="20"/>
              </w:rPr>
            </w:pPr>
          </w:p>
          <w:p w:rsidR="006D32AC" w:rsidRDefault="006D32AC" w:rsidP="00574A0A">
            <w:pPr>
              <w:jc w:val="both"/>
              <w:rPr>
                <w:rFonts w:ascii="Arial" w:hAnsi="Arial" w:cs="Arial"/>
                <w:sz w:val="20"/>
                <w:szCs w:val="20"/>
              </w:rPr>
            </w:pPr>
            <w:r w:rsidRPr="0038034B">
              <w:rPr>
                <w:rFonts w:ascii="Arial" w:hAnsi="Arial" w:cs="Arial"/>
                <w:sz w:val="20"/>
                <w:szCs w:val="20"/>
              </w:rPr>
              <w:t>HKEX Guidance Letter GL86-16 will be updated to</w:t>
            </w:r>
            <w:r>
              <w:rPr>
                <w:rFonts w:ascii="Arial" w:hAnsi="Arial" w:cs="Arial"/>
                <w:sz w:val="20"/>
                <w:szCs w:val="20"/>
              </w:rPr>
              <w:t xml:space="preserve"> require disclosure of the information, </w:t>
            </w:r>
            <w:r w:rsidRPr="006D32AC">
              <w:rPr>
                <w:rFonts w:ascii="Arial" w:hAnsi="Arial" w:cs="Arial"/>
                <w:sz w:val="20"/>
                <w:szCs w:val="20"/>
              </w:rPr>
              <w:t>such as details of the material reorganisation steps, and whether the combined excluded busine</w:t>
            </w:r>
            <w:r>
              <w:rPr>
                <w:rFonts w:ascii="Arial" w:hAnsi="Arial" w:cs="Arial"/>
                <w:sz w:val="20"/>
                <w:szCs w:val="20"/>
              </w:rPr>
              <w:t>ss is profitable or loss making</w:t>
            </w:r>
            <w:r w:rsidRPr="006D32AC">
              <w:rPr>
                <w:rFonts w:ascii="Arial" w:hAnsi="Arial" w:cs="Arial"/>
                <w:sz w:val="20"/>
                <w:szCs w:val="20"/>
              </w:rPr>
              <w:t>.</w:t>
            </w:r>
            <w:r>
              <w:rPr>
                <w:rFonts w:ascii="Arial" w:hAnsi="Arial" w:cs="Arial"/>
                <w:sz w:val="20"/>
                <w:szCs w:val="20"/>
              </w:rPr>
              <w:t xml:space="preserve"> </w:t>
            </w:r>
          </w:p>
          <w:p w:rsidR="00D90272" w:rsidRPr="0038034B" w:rsidRDefault="00D90272" w:rsidP="00574A0A">
            <w:pPr>
              <w:jc w:val="both"/>
              <w:rPr>
                <w:rFonts w:ascii="Arial" w:hAnsi="Arial" w:cs="Arial"/>
                <w:sz w:val="20"/>
                <w:szCs w:val="20"/>
              </w:rPr>
            </w:pPr>
          </w:p>
        </w:tc>
      </w:tr>
      <w:tr w:rsidR="006D32AC" w:rsidTr="006D32AC">
        <w:tc>
          <w:tcPr>
            <w:tcW w:w="4269" w:type="dxa"/>
          </w:tcPr>
          <w:p w:rsidR="006D32AC" w:rsidRDefault="006D32AC" w:rsidP="00574A0A">
            <w:pPr>
              <w:jc w:val="both"/>
              <w:rPr>
                <w:rFonts w:ascii="Arial" w:hAnsi="Arial" w:cs="Arial"/>
                <w:sz w:val="20"/>
                <w:szCs w:val="20"/>
              </w:rPr>
            </w:pPr>
          </w:p>
          <w:p w:rsidR="006D32AC" w:rsidRPr="006D32AC" w:rsidRDefault="006D32AC" w:rsidP="00574A0A">
            <w:pPr>
              <w:jc w:val="both"/>
              <w:rPr>
                <w:rFonts w:ascii="Arial" w:hAnsi="Arial" w:cs="Arial"/>
                <w:sz w:val="20"/>
                <w:szCs w:val="20"/>
              </w:rPr>
            </w:pPr>
            <w:r w:rsidRPr="006D32AC">
              <w:rPr>
                <w:rFonts w:ascii="Arial" w:hAnsi="Arial" w:cs="Arial"/>
                <w:sz w:val="20"/>
                <w:szCs w:val="20"/>
              </w:rPr>
              <w:t>An analysis by age group of major categories of inventory and subsequent usage/ sale</w:t>
            </w:r>
          </w:p>
          <w:p w:rsidR="006D32AC" w:rsidRDefault="006D32AC" w:rsidP="00574A0A">
            <w:pPr>
              <w:jc w:val="both"/>
              <w:rPr>
                <w:rFonts w:ascii="Arial" w:hAnsi="Arial" w:cs="Arial"/>
                <w:sz w:val="20"/>
                <w:szCs w:val="20"/>
              </w:rPr>
            </w:pPr>
          </w:p>
        </w:tc>
        <w:tc>
          <w:tcPr>
            <w:tcW w:w="1073" w:type="dxa"/>
          </w:tcPr>
          <w:p w:rsidR="006D32AC" w:rsidRDefault="006D32AC" w:rsidP="00574A0A">
            <w:pPr>
              <w:jc w:val="both"/>
              <w:rPr>
                <w:rFonts w:ascii="Arial" w:hAnsi="Arial" w:cs="Arial"/>
                <w:sz w:val="20"/>
                <w:szCs w:val="20"/>
              </w:rPr>
            </w:pPr>
          </w:p>
          <w:p w:rsidR="006D32AC" w:rsidRDefault="006D32AC" w:rsidP="00574A0A">
            <w:pPr>
              <w:jc w:val="both"/>
              <w:rPr>
                <w:rFonts w:ascii="Arial" w:hAnsi="Arial" w:cs="Arial"/>
                <w:sz w:val="20"/>
                <w:szCs w:val="20"/>
              </w:rPr>
            </w:pPr>
            <w:r w:rsidRPr="006D32AC">
              <w:rPr>
                <w:rFonts w:ascii="Arial" w:hAnsi="Arial" w:cs="Arial"/>
                <w:sz w:val="20"/>
                <w:szCs w:val="20"/>
              </w:rPr>
              <w:t>GL55-13; MB Rule 9.11(17c)</w:t>
            </w:r>
          </w:p>
        </w:tc>
        <w:tc>
          <w:tcPr>
            <w:tcW w:w="4008" w:type="dxa"/>
          </w:tcPr>
          <w:p w:rsidR="006D32AC" w:rsidRDefault="006D32AC" w:rsidP="00574A0A">
            <w:pPr>
              <w:jc w:val="both"/>
              <w:rPr>
                <w:rFonts w:ascii="Arial" w:hAnsi="Arial" w:cs="Arial"/>
                <w:sz w:val="20"/>
                <w:szCs w:val="20"/>
              </w:rPr>
            </w:pPr>
          </w:p>
          <w:p w:rsidR="00A247E6" w:rsidRDefault="00A247E6" w:rsidP="00A247E6">
            <w:pPr>
              <w:jc w:val="both"/>
              <w:rPr>
                <w:rFonts w:ascii="Arial" w:hAnsi="Arial" w:cs="Arial"/>
                <w:sz w:val="20"/>
                <w:szCs w:val="20"/>
              </w:rPr>
            </w:pPr>
            <w:r w:rsidRPr="0038034B">
              <w:rPr>
                <w:rFonts w:ascii="Arial" w:hAnsi="Arial" w:cs="Arial"/>
                <w:sz w:val="20"/>
                <w:szCs w:val="20"/>
              </w:rPr>
              <w:t>HKEX Guidance Letter GL86-16 will</w:t>
            </w:r>
            <w:r>
              <w:rPr>
                <w:rFonts w:ascii="Arial" w:hAnsi="Arial" w:cs="Arial"/>
                <w:sz w:val="20"/>
                <w:szCs w:val="20"/>
              </w:rPr>
              <w:t xml:space="preserve"> be revised to require disclosure of this information.</w:t>
            </w:r>
          </w:p>
          <w:p w:rsidR="006D32AC" w:rsidRDefault="006D32AC" w:rsidP="00574A0A">
            <w:pPr>
              <w:jc w:val="both"/>
              <w:rPr>
                <w:rFonts w:ascii="Arial" w:hAnsi="Arial" w:cs="Arial"/>
                <w:sz w:val="20"/>
                <w:szCs w:val="20"/>
              </w:rPr>
            </w:pPr>
          </w:p>
        </w:tc>
      </w:tr>
      <w:tr w:rsidR="006D32AC" w:rsidTr="006D32AC">
        <w:tc>
          <w:tcPr>
            <w:tcW w:w="4269" w:type="dxa"/>
          </w:tcPr>
          <w:p w:rsidR="006D32AC" w:rsidRDefault="006D32AC" w:rsidP="00574A0A">
            <w:pPr>
              <w:jc w:val="both"/>
              <w:rPr>
                <w:rFonts w:ascii="Arial" w:hAnsi="Arial" w:cs="Arial"/>
                <w:sz w:val="20"/>
                <w:szCs w:val="20"/>
              </w:rPr>
            </w:pPr>
          </w:p>
          <w:p w:rsidR="00E97B5D" w:rsidRPr="00E97B5D" w:rsidRDefault="00E97B5D" w:rsidP="00574A0A">
            <w:pPr>
              <w:jc w:val="both"/>
              <w:rPr>
                <w:rFonts w:ascii="Arial" w:hAnsi="Arial" w:cs="Arial"/>
                <w:sz w:val="20"/>
                <w:szCs w:val="20"/>
              </w:rPr>
            </w:pPr>
            <w:r w:rsidRPr="00E97B5D">
              <w:rPr>
                <w:rFonts w:ascii="Arial" w:hAnsi="Arial" w:cs="Arial"/>
                <w:sz w:val="20"/>
                <w:szCs w:val="20"/>
              </w:rPr>
              <w:t>Basis of provision for/ write-off of trade receivables and inventory</w:t>
            </w:r>
          </w:p>
          <w:p w:rsidR="00E97B5D" w:rsidRDefault="00E97B5D" w:rsidP="00574A0A">
            <w:pPr>
              <w:jc w:val="both"/>
              <w:rPr>
                <w:rFonts w:ascii="Arial" w:hAnsi="Arial" w:cs="Arial"/>
                <w:sz w:val="20"/>
                <w:szCs w:val="20"/>
              </w:rPr>
            </w:pPr>
          </w:p>
        </w:tc>
        <w:tc>
          <w:tcPr>
            <w:tcW w:w="1073" w:type="dxa"/>
          </w:tcPr>
          <w:p w:rsidR="006D32AC" w:rsidRDefault="006D32AC" w:rsidP="00574A0A">
            <w:pPr>
              <w:jc w:val="both"/>
              <w:rPr>
                <w:rFonts w:ascii="Arial" w:hAnsi="Arial" w:cs="Arial"/>
                <w:sz w:val="20"/>
                <w:szCs w:val="20"/>
              </w:rPr>
            </w:pPr>
          </w:p>
          <w:p w:rsidR="00E97B5D" w:rsidRPr="00E97B5D" w:rsidRDefault="00E97B5D" w:rsidP="00574A0A">
            <w:pPr>
              <w:jc w:val="both"/>
              <w:rPr>
                <w:rFonts w:ascii="Arial" w:hAnsi="Arial" w:cs="Arial"/>
                <w:sz w:val="20"/>
                <w:szCs w:val="20"/>
              </w:rPr>
            </w:pPr>
            <w:r w:rsidRPr="00E97B5D">
              <w:rPr>
                <w:rFonts w:ascii="Arial" w:hAnsi="Arial" w:cs="Arial"/>
                <w:sz w:val="20"/>
                <w:szCs w:val="20"/>
              </w:rPr>
              <w:t>GL55-13; MB Rule 9.11(17c)</w:t>
            </w:r>
          </w:p>
          <w:p w:rsidR="00E97B5D" w:rsidRDefault="00E97B5D" w:rsidP="00574A0A">
            <w:pPr>
              <w:jc w:val="both"/>
              <w:rPr>
                <w:rFonts w:ascii="Arial" w:hAnsi="Arial" w:cs="Arial"/>
                <w:sz w:val="20"/>
                <w:szCs w:val="20"/>
              </w:rPr>
            </w:pPr>
          </w:p>
        </w:tc>
        <w:tc>
          <w:tcPr>
            <w:tcW w:w="4008" w:type="dxa"/>
          </w:tcPr>
          <w:p w:rsidR="006D32AC" w:rsidRDefault="006D32AC" w:rsidP="00574A0A">
            <w:pPr>
              <w:jc w:val="both"/>
              <w:rPr>
                <w:rFonts w:ascii="Arial" w:hAnsi="Arial" w:cs="Arial"/>
                <w:sz w:val="20"/>
                <w:szCs w:val="20"/>
              </w:rPr>
            </w:pPr>
          </w:p>
          <w:p w:rsidR="00E97B5D" w:rsidRDefault="00E97B5D" w:rsidP="00574A0A">
            <w:pPr>
              <w:jc w:val="both"/>
              <w:rPr>
                <w:rFonts w:ascii="Arial" w:hAnsi="Arial" w:cs="Arial"/>
                <w:sz w:val="20"/>
                <w:szCs w:val="20"/>
              </w:rPr>
            </w:pPr>
            <w:r>
              <w:rPr>
                <w:rFonts w:ascii="Arial" w:hAnsi="Arial" w:cs="Arial"/>
                <w:sz w:val="20"/>
                <w:szCs w:val="20"/>
              </w:rPr>
              <w:t xml:space="preserve">Disclosure of this information will be required by revised </w:t>
            </w:r>
            <w:r w:rsidRPr="0038034B">
              <w:rPr>
                <w:rFonts w:ascii="Arial" w:hAnsi="Arial" w:cs="Arial"/>
                <w:sz w:val="20"/>
                <w:szCs w:val="20"/>
              </w:rPr>
              <w:t>HKEX Guidance Letter GL86-16</w:t>
            </w:r>
            <w:r>
              <w:rPr>
                <w:rFonts w:ascii="Arial" w:hAnsi="Arial" w:cs="Arial"/>
                <w:sz w:val="20"/>
                <w:szCs w:val="20"/>
              </w:rPr>
              <w:t>.</w:t>
            </w:r>
          </w:p>
        </w:tc>
      </w:tr>
      <w:tr w:rsidR="006D32AC" w:rsidTr="006D32AC">
        <w:tc>
          <w:tcPr>
            <w:tcW w:w="4269" w:type="dxa"/>
          </w:tcPr>
          <w:p w:rsidR="006D32AC" w:rsidRDefault="006D32AC" w:rsidP="00574A0A">
            <w:pPr>
              <w:jc w:val="both"/>
              <w:rPr>
                <w:rFonts w:ascii="Arial" w:hAnsi="Arial" w:cs="Arial"/>
                <w:sz w:val="20"/>
                <w:szCs w:val="20"/>
              </w:rPr>
            </w:pPr>
          </w:p>
          <w:p w:rsidR="00E97B5D" w:rsidRPr="00E97B5D" w:rsidRDefault="00E97B5D" w:rsidP="00574A0A">
            <w:pPr>
              <w:jc w:val="both"/>
              <w:rPr>
                <w:rFonts w:ascii="Arial" w:hAnsi="Arial" w:cs="Arial"/>
                <w:sz w:val="20"/>
                <w:szCs w:val="20"/>
              </w:rPr>
            </w:pPr>
            <w:r w:rsidRPr="00E97B5D">
              <w:rPr>
                <w:rFonts w:ascii="Arial" w:hAnsi="Arial" w:cs="Arial"/>
                <w:sz w:val="20"/>
                <w:szCs w:val="20"/>
              </w:rPr>
              <w:t xml:space="preserve">The obligation to provide the information detailed below on an integration of the group’s operations with that of another related company, where there is a need to segregate certain financial data from the books and records of that related company to derive the revenue, income and expenditure attributable </w:t>
            </w:r>
            <w:r w:rsidRPr="00E97B5D">
              <w:rPr>
                <w:rFonts w:ascii="Arial" w:hAnsi="Arial" w:cs="Arial"/>
                <w:sz w:val="20"/>
                <w:szCs w:val="20"/>
              </w:rPr>
              <w:lastRenderedPageBreak/>
              <w:t xml:space="preserve">to the group’s combined results for the track record period: </w:t>
            </w:r>
          </w:p>
          <w:p w:rsidR="00E97B5D" w:rsidRPr="00E97B5D" w:rsidRDefault="00E97B5D" w:rsidP="00574A0A">
            <w:pPr>
              <w:jc w:val="both"/>
              <w:rPr>
                <w:rFonts w:ascii="Arial" w:hAnsi="Arial" w:cs="Arial"/>
                <w:sz w:val="20"/>
                <w:szCs w:val="20"/>
              </w:rPr>
            </w:pPr>
          </w:p>
          <w:p w:rsidR="00D90272" w:rsidRDefault="00E97B5D" w:rsidP="00D90272">
            <w:pPr>
              <w:pStyle w:val="a7"/>
              <w:numPr>
                <w:ilvl w:val="0"/>
                <w:numId w:val="44"/>
              </w:numPr>
              <w:ind w:left="317" w:hanging="317"/>
              <w:jc w:val="both"/>
              <w:rPr>
                <w:rFonts w:ascii="Arial" w:hAnsi="Arial" w:cs="Arial"/>
                <w:sz w:val="20"/>
                <w:szCs w:val="20"/>
              </w:rPr>
            </w:pPr>
            <w:r w:rsidRPr="00E97B5D">
              <w:rPr>
                <w:rFonts w:ascii="Arial" w:hAnsi="Arial" w:cs="Arial"/>
                <w:sz w:val="20"/>
                <w:szCs w:val="20"/>
              </w:rPr>
              <w:t>a full description of how the financial results attributable to the group are segregated from the books and records of the related company and the underlying bases;</w:t>
            </w:r>
          </w:p>
          <w:p w:rsidR="00D90272" w:rsidRDefault="00E97B5D" w:rsidP="00D90272">
            <w:pPr>
              <w:pStyle w:val="a7"/>
              <w:ind w:left="317"/>
              <w:jc w:val="both"/>
              <w:rPr>
                <w:rFonts w:ascii="Arial" w:hAnsi="Arial" w:cs="Arial"/>
                <w:sz w:val="20"/>
                <w:szCs w:val="20"/>
              </w:rPr>
            </w:pPr>
            <w:r w:rsidRPr="00E97B5D">
              <w:rPr>
                <w:rFonts w:ascii="Arial" w:hAnsi="Arial" w:cs="Arial"/>
                <w:sz w:val="20"/>
                <w:szCs w:val="20"/>
              </w:rPr>
              <w:t xml:space="preserve"> </w:t>
            </w:r>
          </w:p>
          <w:p w:rsidR="00E97B5D" w:rsidRPr="00E97B5D" w:rsidRDefault="00E97B5D" w:rsidP="00D90272">
            <w:pPr>
              <w:pStyle w:val="a7"/>
              <w:numPr>
                <w:ilvl w:val="0"/>
                <w:numId w:val="44"/>
              </w:numPr>
              <w:ind w:left="317" w:hanging="317"/>
              <w:jc w:val="both"/>
              <w:rPr>
                <w:rFonts w:ascii="Arial" w:hAnsi="Arial" w:cs="Arial"/>
                <w:sz w:val="20"/>
                <w:szCs w:val="20"/>
              </w:rPr>
            </w:pPr>
            <w:r w:rsidRPr="00E97B5D">
              <w:rPr>
                <w:rFonts w:ascii="Arial" w:hAnsi="Arial" w:cs="Arial"/>
                <w:sz w:val="20"/>
                <w:szCs w:val="20"/>
              </w:rPr>
              <w:t>a confirmation from the company and its directors that the segregation of the group’s financial data from the books and records of the related company is fair, reasonable, complete and accurate.</w:t>
            </w:r>
          </w:p>
        </w:tc>
        <w:tc>
          <w:tcPr>
            <w:tcW w:w="1073" w:type="dxa"/>
          </w:tcPr>
          <w:p w:rsidR="006D32AC" w:rsidRDefault="006D32AC" w:rsidP="00574A0A">
            <w:pPr>
              <w:jc w:val="both"/>
              <w:rPr>
                <w:rFonts w:ascii="Arial" w:hAnsi="Arial" w:cs="Arial"/>
                <w:sz w:val="20"/>
                <w:szCs w:val="20"/>
              </w:rPr>
            </w:pPr>
          </w:p>
          <w:p w:rsidR="00E97B5D" w:rsidRPr="00E97B5D" w:rsidRDefault="00E97B5D" w:rsidP="00574A0A">
            <w:pPr>
              <w:jc w:val="both"/>
              <w:rPr>
                <w:rFonts w:ascii="Arial" w:hAnsi="Arial" w:cs="Arial"/>
                <w:sz w:val="20"/>
                <w:szCs w:val="20"/>
              </w:rPr>
            </w:pPr>
            <w:r w:rsidRPr="00E97B5D">
              <w:rPr>
                <w:rFonts w:ascii="Arial" w:hAnsi="Arial" w:cs="Arial"/>
                <w:sz w:val="20"/>
                <w:szCs w:val="20"/>
              </w:rPr>
              <w:t>GL55-13; MB Rule 9.11(17c)</w:t>
            </w:r>
          </w:p>
        </w:tc>
        <w:tc>
          <w:tcPr>
            <w:tcW w:w="4008" w:type="dxa"/>
          </w:tcPr>
          <w:p w:rsidR="006D32AC" w:rsidRDefault="006D32AC" w:rsidP="00574A0A">
            <w:pPr>
              <w:jc w:val="both"/>
              <w:rPr>
                <w:rFonts w:ascii="Arial" w:hAnsi="Arial" w:cs="Arial"/>
                <w:sz w:val="20"/>
                <w:szCs w:val="20"/>
              </w:rPr>
            </w:pPr>
          </w:p>
          <w:p w:rsidR="00E97B5D" w:rsidRDefault="00E97B5D" w:rsidP="00574A0A">
            <w:pPr>
              <w:jc w:val="both"/>
              <w:rPr>
                <w:rFonts w:ascii="Arial" w:hAnsi="Arial" w:cs="Arial"/>
                <w:sz w:val="20"/>
                <w:szCs w:val="20"/>
              </w:rPr>
            </w:pPr>
            <w:r w:rsidRPr="0038034B">
              <w:rPr>
                <w:rFonts w:ascii="Arial" w:hAnsi="Arial" w:cs="Arial"/>
                <w:sz w:val="20"/>
                <w:szCs w:val="20"/>
              </w:rPr>
              <w:t>HKEX Guidance Letter GL86-16</w:t>
            </w:r>
            <w:r>
              <w:rPr>
                <w:rFonts w:ascii="Arial" w:hAnsi="Arial" w:cs="Arial"/>
                <w:sz w:val="20"/>
                <w:szCs w:val="20"/>
              </w:rPr>
              <w:t xml:space="preserve"> will be amended to require disclosure of this information if the listing group’s operations or financial data are segregated from </w:t>
            </w:r>
            <w:proofErr w:type="gramStart"/>
            <w:r>
              <w:rPr>
                <w:rFonts w:ascii="Arial" w:hAnsi="Arial" w:cs="Arial"/>
                <w:sz w:val="20"/>
                <w:szCs w:val="20"/>
              </w:rPr>
              <w:t>those  of</w:t>
            </w:r>
            <w:proofErr w:type="gramEnd"/>
            <w:r>
              <w:rPr>
                <w:rFonts w:ascii="Arial" w:hAnsi="Arial" w:cs="Arial"/>
                <w:sz w:val="20"/>
                <w:szCs w:val="20"/>
              </w:rPr>
              <w:t xml:space="preserve"> a related company.</w:t>
            </w:r>
          </w:p>
        </w:tc>
      </w:tr>
    </w:tbl>
    <w:p w:rsidR="006356F0" w:rsidRDefault="006356F0" w:rsidP="00F0046D">
      <w:pPr>
        <w:spacing w:after="0" w:line="240" w:lineRule="auto"/>
        <w:contextualSpacing/>
        <w:jc w:val="both"/>
        <w:rPr>
          <w:rFonts w:ascii="Arial" w:hAnsi="Arial" w:cs="Arial"/>
          <w:sz w:val="20"/>
          <w:szCs w:val="20"/>
          <w:u w:val="single"/>
        </w:rPr>
      </w:pPr>
    </w:p>
    <w:p w:rsidR="006356F0" w:rsidRPr="006356F0" w:rsidRDefault="006356F0" w:rsidP="00F0046D">
      <w:pPr>
        <w:spacing w:after="0" w:line="240" w:lineRule="auto"/>
        <w:contextualSpacing/>
        <w:jc w:val="both"/>
        <w:rPr>
          <w:rFonts w:ascii="Arial" w:hAnsi="Arial" w:cs="Arial"/>
          <w:sz w:val="20"/>
          <w:szCs w:val="20"/>
          <w:u w:val="single"/>
        </w:rPr>
      </w:pPr>
      <w:r>
        <w:rPr>
          <w:rFonts w:ascii="Arial" w:hAnsi="Arial" w:cs="Arial"/>
          <w:sz w:val="20"/>
          <w:szCs w:val="20"/>
          <w:u w:val="single"/>
        </w:rPr>
        <w:t>Respondents’ Comments on New Disclosure Requirements Following Form M104 Removal</w:t>
      </w:r>
    </w:p>
    <w:p w:rsidR="00F0046D" w:rsidRDefault="00F0046D" w:rsidP="00F0046D">
      <w:pPr>
        <w:spacing w:after="0" w:line="240" w:lineRule="auto"/>
        <w:contextualSpacing/>
        <w:jc w:val="both"/>
        <w:rPr>
          <w:rFonts w:ascii="Arial" w:hAnsi="Arial" w:cs="Arial"/>
          <w:sz w:val="20"/>
          <w:szCs w:val="20"/>
        </w:rPr>
      </w:pPr>
    </w:p>
    <w:p w:rsidR="00853076" w:rsidRDefault="00853076" w:rsidP="00F0046D">
      <w:pPr>
        <w:spacing w:after="0" w:line="240" w:lineRule="auto"/>
        <w:contextualSpacing/>
        <w:jc w:val="both"/>
        <w:rPr>
          <w:rFonts w:ascii="Arial" w:hAnsi="Arial" w:cs="Arial"/>
          <w:sz w:val="20"/>
          <w:szCs w:val="20"/>
        </w:rPr>
      </w:pPr>
      <w:r>
        <w:rPr>
          <w:rFonts w:ascii="Arial" w:hAnsi="Arial" w:cs="Arial"/>
          <w:sz w:val="20"/>
          <w:szCs w:val="20"/>
        </w:rPr>
        <w:t xml:space="preserve">Some respondents expressed concerns </w:t>
      </w:r>
      <w:r w:rsidR="006356F0">
        <w:rPr>
          <w:rFonts w:ascii="Arial" w:hAnsi="Arial" w:cs="Arial"/>
          <w:sz w:val="20"/>
          <w:szCs w:val="20"/>
        </w:rPr>
        <w:t xml:space="preserve">about </w:t>
      </w:r>
      <w:r>
        <w:rPr>
          <w:rFonts w:ascii="Arial" w:hAnsi="Arial" w:cs="Arial"/>
          <w:sz w:val="20"/>
          <w:szCs w:val="20"/>
        </w:rPr>
        <w:t>requiring disclosure of what they considered to be price sensitive information</w:t>
      </w:r>
      <w:r w:rsidR="00FC4D3C">
        <w:rPr>
          <w:rFonts w:ascii="Arial" w:hAnsi="Arial" w:cs="Arial"/>
          <w:sz w:val="20"/>
          <w:szCs w:val="20"/>
        </w:rPr>
        <w:t xml:space="preserve"> under a revised </w:t>
      </w:r>
      <w:r w:rsidR="00FC4D3C" w:rsidRPr="0038034B">
        <w:rPr>
          <w:rFonts w:ascii="Arial" w:hAnsi="Arial" w:cs="Arial"/>
          <w:sz w:val="20"/>
          <w:szCs w:val="20"/>
        </w:rPr>
        <w:t>Guidance Letter GL86-16</w:t>
      </w:r>
      <w:r>
        <w:rPr>
          <w:rFonts w:ascii="Arial" w:hAnsi="Arial" w:cs="Arial"/>
          <w:sz w:val="20"/>
          <w:szCs w:val="20"/>
        </w:rPr>
        <w:t xml:space="preserve">. Examples included lists of the listing applicant’s top five customers and suppliers during the track record period with details of the amounts of sales and purchases for each year, the products sold and purchased, the length of each customer’s relationship with the group, the terms offered, settlement information, and customers’ profile and background including the size of its business and location. The HKEX responded that disclosure of some of this information is necessary to allow investors to assess a listing applicant’s financial position and future prospects. It </w:t>
      </w:r>
      <w:r w:rsidR="006356F0">
        <w:rPr>
          <w:rFonts w:ascii="Arial" w:hAnsi="Arial" w:cs="Arial"/>
          <w:sz w:val="20"/>
          <w:szCs w:val="20"/>
        </w:rPr>
        <w:t xml:space="preserve">said </w:t>
      </w:r>
      <w:r>
        <w:rPr>
          <w:rFonts w:ascii="Arial" w:hAnsi="Arial" w:cs="Arial"/>
          <w:sz w:val="20"/>
          <w:szCs w:val="20"/>
        </w:rPr>
        <w:t xml:space="preserve">that if a listing applicant wants to apply for permission to not disclose the identity of its top five customers or suppliers, it can submit the required information to the HKEX </w:t>
      </w:r>
      <w:r w:rsidR="006356F0">
        <w:rPr>
          <w:rFonts w:ascii="Arial" w:hAnsi="Arial" w:cs="Arial"/>
          <w:sz w:val="20"/>
          <w:szCs w:val="20"/>
        </w:rPr>
        <w:t xml:space="preserve">to </w:t>
      </w:r>
      <w:r>
        <w:rPr>
          <w:rFonts w:ascii="Arial" w:hAnsi="Arial" w:cs="Arial"/>
          <w:sz w:val="20"/>
          <w:szCs w:val="20"/>
        </w:rPr>
        <w:t>assess whether to allow non-disclosure of the relevant information.</w:t>
      </w:r>
    </w:p>
    <w:p w:rsidR="00F0046D" w:rsidRDefault="00F0046D" w:rsidP="00F0046D">
      <w:pPr>
        <w:spacing w:after="0" w:line="240" w:lineRule="auto"/>
        <w:contextualSpacing/>
        <w:jc w:val="both"/>
        <w:rPr>
          <w:rFonts w:ascii="Arial" w:hAnsi="Arial" w:cs="Arial"/>
          <w:sz w:val="20"/>
          <w:szCs w:val="20"/>
        </w:rPr>
      </w:pPr>
    </w:p>
    <w:p w:rsidR="003074B6" w:rsidRDefault="003074B6" w:rsidP="00853076">
      <w:pPr>
        <w:jc w:val="both"/>
        <w:rPr>
          <w:rFonts w:ascii="Arial" w:hAnsi="Arial" w:cs="Arial"/>
          <w:i/>
          <w:sz w:val="20"/>
          <w:szCs w:val="20"/>
        </w:rPr>
      </w:pPr>
      <w:r>
        <w:rPr>
          <w:rFonts w:ascii="Arial" w:hAnsi="Arial" w:cs="Arial"/>
          <w:i/>
          <w:sz w:val="20"/>
          <w:szCs w:val="20"/>
        </w:rPr>
        <w:t>Removing Documents Evidencing Sponsors’ Performance of Due Diligence and Other Obligations</w:t>
      </w:r>
    </w:p>
    <w:p w:rsidR="003074B6" w:rsidRDefault="003074B6" w:rsidP="00853076">
      <w:pPr>
        <w:jc w:val="both"/>
        <w:rPr>
          <w:rFonts w:ascii="Arial" w:hAnsi="Arial" w:cs="Arial"/>
          <w:sz w:val="20"/>
          <w:szCs w:val="20"/>
        </w:rPr>
      </w:pPr>
      <w:r>
        <w:rPr>
          <w:rFonts w:ascii="Arial" w:hAnsi="Arial" w:cs="Arial"/>
          <w:sz w:val="20"/>
          <w:szCs w:val="20"/>
        </w:rPr>
        <w:t xml:space="preserve">The HKEX will remove requirements for </w:t>
      </w:r>
      <w:r w:rsidR="00F0046D">
        <w:rPr>
          <w:rFonts w:ascii="Arial" w:hAnsi="Arial" w:cs="Arial"/>
          <w:sz w:val="20"/>
          <w:szCs w:val="20"/>
        </w:rPr>
        <w:t xml:space="preserve">sponsors’ </w:t>
      </w:r>
      <w:r>
        <w:rPr>
          <w:rFonts w:ascii="Arial" w:hAnsi="Arial" w:cs="Arial"/>
          <w:sz w:val="20"/>
          <w:szCs w:val="20"/>
        </w:rPr>
        <w:t>submission of the following:</w:t>
      </w:r>
    </w:p>
    <w:p w:rsidR="00D6279B" w:rsidRPr="00D6279B" w:rsidRDefault="003074B6" w:rsidP="003074B6">
      <w:pPr>
        <w:pStyle w:val="a7"/>
        <w:numPr>
          <w:ilvl w:val="0"/>
          <w:numId w:val="46"/>
        </w:numPr>
        <w:jc w:val="both"/>
        <w:rPr>
          <w:rFonts w:ascii="Arial" w:hAnsi="Arial" w:cs="Arial"/>
          <w:sz w:val="20"/>
          <w:szCs w:val="20"/>
        </w:rPr>
      </w:pPr>
      <w:r w:rsidRPr="003074B6">
        <w:rPr>
          <w:rFonts w:ascii="Arial" w:hAnsi="Arial" w:cs="Arial"/>
          <w:b/>
          <w:sz w:val="20"/>
          <w:szCs w:val="20"/>
        </w:rPr>
        <w:t xml:space="preserve">Reporting Accountants’ Confirmation </w:t>
      </w:r>
      <w:r w:rsidR="00D6279B">
        <w:rPr>
          <w:rFonts w:ascii="Arial" w:hAnsi="Arial" w:cs="Arial"/>
          <w:sz w:val="20"/>
          <w:szCs w:val="20"/>
        </w:rPr>
        <w:t>–</w:t>
      </w:r>
      <w:r w:rsidR="00D6279B" w:rsidRPr="00D6279B">
        <w:rPr>
          <w:rFonts w:ascii="Arial" w:hAnsi="Arial" w:cs="Arial"/>
          <w:sz w:val="20"/>
          <w:szCs w:val="20"/>
        </w:rPr>
        <w:t xml:space="preserve"> </w:t>
      </w:r>
      <w:r w:rsidR="00D6279B">
        <w:rPr>
          <w:rFonts w:ascii="Arial" w:hAnsi="Arial" w:cs="Arial"/>
          <w:sz w:val="20"/>
          <w:szCs w:val="20"/>
        </w:rPr>
        <w:t xml:space="preserve">Sponsors will no longer </w:t>
      </w:r>
      <w:r w:rsidR="00D6279B">
        <w:t xml:space="preserve">be required to submit </w:t>
      </w:r>
      <w:r w:rsidR="00D6279B" w:rsidRPr="00D6279B">
        <w:rPr>
          <w:rFonts w:ascii="Arial" w:hAnsi="Arial" w:cs="Arial"/>
          <w:sz w:val="20"/>
          <w:szCs w:val="20"/>
        </w:rPr>
        <w:t>reporting accountants’ confirmations</w:t>
      </w:r>
      <w:r w:rsidR="00D6279B" w:rsidRPr="003074B6">
        <w:rPr>
          <w:rFonts w:ascii="Arial" w:hAnsi="Arial" w:cs="Arial"/>
          <w:b/>
          <w:sz w:val="20"/>
          <w:szCs w:val="20"/>
        </w:rPr>
        <w:t xml:space="preserve"> </w:t>
      </w:r>
      <w:r w:rsidRPr="003074B6">
        <w:rPr>
          <w:rFonts w:ascii="Arial" w:hAnsi="Arial" w:cs="Arial"/>
          <w:sz w:val="20"/>
          <w:szCs w:val="20"/>
        </w:rPr>
        <w:t xml:space="preserve">that no significant adjustment is expected to be made to the draft accountants’ reports on historical financial information, the pro forma financial information and profit forecast (if any) included in the Application Proof based on the work done </w:t>
      </w:r>
      <w:r w:rsidR="00D6279B">
        <w:rPr>
          <w:rFonts w:ascii="Arial" w:hAnsi="Arial" w:cs="Arial"/>
          <w:sz w:val="20"/>
          <w:szCs w:val="20"/>
        </w:rPr>
        <w:t>as of the date of confirmation.</w:t>
      </w:r>
      <w:r>
        <w:t xml:space="preserve"> </w:t>
      </w:r>
    </w:p>
    <w:p w:rsidR="00D6279B" w:rsidRDefault="00D6279B" w:rsidP="00D6279B">
      <w:pPr>
        <w:pStyle w:val="a7"/>
        <w:jc w:val="both"/>
        <w:rPr>
          <w:rFonts w:ascii="Arial" w:hAnsi="Arial" w:cs="Arial"/>
          <w:sz w:val="20"/>
          <w:szCs w:val="20"/>
        </w:rPr>
      </w:pPr>
    </w:p>
    <w:p w:rsidR="00A247E6" w:rsidRPr="0009290A" w:rsidRDefault="00A247E6" w:rsidP="00A247E6">
      <w:pPr>
        <w:pStyle w:val="a7"/>
        <w:jc w:val="both"/>
        <w:rPr>
          <w:rFonts w:ascii="Arial" w:hAnsi="Arial" w:cs="Arial"/>
          <w:sz w:val="20"/>
          <w:szCs w:val="20"/>
        </w:rPr>
      </w:pPr>
      <w:r w:rsidRPr="0009290A">
        <w:rPr>
          <w:rFonts w:ascii="Arial" w:hAnsi="Arial" w:cs="Arial"/>
          <w:sz w:val="20"/>
          <w:szCs w:val="20"/>
        </w:rPr>
        <w:t>However, sponsors will still need to obtain this confirmation from the reporting accountants in the format of the template confirmation under HKEX Guidance Letter GL60-13 or HKEX GL58-13 (as the case may be) so that they can provide it to the HKEX on the HKEX’s request.</w:t>
      </w:r>
    </w:p>
    <w:p w:rsidR="0009290A" w:rsidRPr="00D6279B" w:rsidRDefault="0009290A" w:rsidP="00D6279B">
      <w:pPr>
        <w:pStyle w:val="a7"/>
        <w:jc w:val="both"/>
        <w:rPr>
          <w:rFonts w:ascii="Arial" w:hAnsi="Arial" w:cs="Arial"/>
          <w:sz w:val="20"/>
          <w:szCs w:val="20"/>
        </w:rPr>
      </w:pPr>
    </w:p>
    <w:p w:rsidR="0009290A" w:rsidRDefault="0009290A" w:rsidP="0009290A">
      <w:pPr>
        <w:pStyle w:val="a7"/>
        <w:jc w:val="both"/>
        <w:rPr>
          <w:rFonts w:ascii="Arial" w:hAnsi="Arial" w:cs="Arial"/>
          <w:sz w:val="20"/>
          <w:szCs w:val="20"/>
        </w:rPr>
      </w:pPr>
      <w:r w:rsidRPr="0009290A">
        <w:rPr>
          <w:rFonts w:ascii="Arial" w:hAnsi="Arial" w:cs="Arial"/>
          <w:sz w:val="20"/>
          <w:szCs w:val="20"/>
        </w:rPr>
        <w:t>If the reporting accountants still have work to complete for the accountants’ report in the Application Proof (other than th</w:t>
      </w:r>
      <w:r>
        <w:rPr>
          <w:rFonts w:ascii="Arial" w:hAnsi="Arial" w:cs="Arial"/>
          <w:sz w:val="20"/>
          <w:szCs w:val="20"/>
        </w:rPr>
        <w:t>at provided under HKEX Guidance</w:t>
      </w:r>
      <w:r w:rsidRPr="0009290A">
        <w:rPr>
          <w:rFonts w:ascii="Arial" w:hAnsi="Arial" w:cs="Arial"/>
          <w:sz w:val="20"/>
          <w:szCs w:val="20"/>
        </w:rPr>
        <w:t xml:space="preserve"> Letter GL58-13), the sponsor will need to submit information about that work when submitting the listing application;</w:t>
      </w:r>
    </w:p>
    <w:p w:rsidR="0009290A" w:rsidRDefault="0009290A" w:rsidP="0009290A">
      <w:pPr>
        <w:pStyle w:val="a7"/>
        <w:jc w:val="both"/>
        <w:rPr>
          <w:rFonts w:ascii="Arial" w:hAnsi="Arial" w:cs="Arial"/>
          <w:sz w:val="20"/>
          <w:szCs w:val="20"/>
        </w:rPr>
      </w:pPr>
    </w:p>
    <w:p w:rsidR="0009290A" w:rsidRDefault="0009290A" w:rsidP="0009290A">
      <w:pPr>
        <w:pStyle w:val="a7"/>
        <w:numPr>
          <w:ilvl w:val="0"/>
          <w:numId w:val="46"/>
        </w:numPr>
        <w:jc w:val="both"/>
        <w:rPr>
          <w:rFonts w:ascii="Arial" w:hAnsi="Arial" w:cs="Arial"/>
          <w:sz w:val="20"/>
          <w:szCs w:val="20"/>
        </w:rPr>
      </w:pPr>
      <w:r w:rsidRPr="0009290A">
        <w:rPr>
          <w:rFonts w:ascii="Arial" w:hAnsi="Arial" w:cs="Arial"/>
          <w:b/>
          <w:sz w:val="20"/>
          <w:szCs w:val="20"/>
        </w:rPr>
        <w:t>Form M105</w:t>
      </w:r>
      <w:r w:rsidRPr="0009290A">
        <w:rPr>
          <w:rFonts w:ascii="Arial" w:hAnsi="Arial" w:cs="Arial"/>
          <w:sz w:val="20"/>
          <w:szCs w:val="20"/>
        </w:rPr>
        <w:t xml:space="preserve"> - completed checklist on basic qualifications for new listing under the </w:t>
      </w:r>
      <w:r>
        <w:rPr>
          <w:rFonts w:ascii="Arial" w:hAnsi="Arial" w:cs="Arial"/>
          <w:sz w:val="20"/>
          <w:szCs w:val="20"/>
        </w:rPr>
        <w:t xml:space="preserve">HKEX </w:t>
      </w:r>
      <w:r w:rsidRPr="0009290A">
        <w:rPr>
          <w:rFonts w:ascii="Arial" w:hAnsi="Arial" w:cs="Arial"/>
          <w:sz w:val="20"/>
          <w:szCs w:val="20"/>
        </w:rPr>
        <w:t>Listing Rules</w:t>
      </w:r>
      <w:r>
        <w:rPr>
          <w:rFonts w:ascii="Arial" w:hAnsi="Arial" w:cs="Arial"/>
          <w:sz w:val="20"/>
          <w:szCs w:val="20"/>
        </w:rPr>
        <w:t>;</w:t>
      </w:r>
    </w:p>
    <w:p w:rsidR="0009290A" w:rsidRDefault="0009290A" w:rsidP="0009290A">
      <w:pPr>
        <w:pStyle w:val="a7"/>
        <w:jc w:val="both"/>
        <w:rPr>
          <w:rFonts w:ascii="Arial" w:hAnsi="Arial" w:cs="Arial"/>
          <w:sz w:val="20"/>
          <w:szCs w:val="20"/>
        </w:rPr>
      </w:pPr>
    </w:p>
    <w:p w:rsidR="0009290A" w:rsidRPr="0009290A" w:rsidRDefault="0009290A" w:rsidP="0009290A">
      <w:pPr>
        <w:pStyle w:val="a7"/>
        <w:numPr>
          <w:ilvl w:val="0"/>
          <w:numId w:val="46"/>
        </w:numPr>
        <w:jc w:val="both"/>
        <w:rPr>
          <w:rFonts w:ascii="Arial" w:hAnsi="Arial" w:cs="Arial"/>
          <w:b/>
          <w:sz w:val="20"/>
          <w:szCs w:val="20"/>
        </w:rPr>
      </w:pPr>
      <w:r w:rsidRPr="0009290A">
        <w:rPr>
          <w:rFonts w:ascii="Arial" w:hAnsi="Arial" w:cs="Arial"/>
          <w:b/>
          <w:sz w:val="20"/>
          <w:szCs w:val="20"/>
        </w:rPr>
        <w:t>Form M106</w:t>
      </w:r>
      <w:r w:rsidRPr="0009290A">
        <w:rPr>
          <w:rFonts w:ascii="Arial" w:hAnsi="Arial" w:cs="Arial"/>
          <w:sz w:val="20"/>
          <w:szCs w:val="20"/>
        </w:rPr>
        <w:t xml:space="preserve"> - completed checklist on basic requirements for contents of listing documents under the </w:t>
      </w:r>
      <w:r>
        <w:rPr>
          <w:rFonts w:ascii="Arial" w:hAnsi="Arial" w:cs="Arial"/>
          <w:sz w:val="20"/>
          <w:szCs w:val="20"/>
        </w:rPr>
        <w:t xml:space="preserve">HKEX </w:t>
      </w:r>
      <w:r w:rsidRPr="0009290A">
        <w:rPr>
          <w:rFonts w:ascii="Arial" w:hAnsi="Arial" w:cs="Arial"/>
          <w:sz w:val="20"/>
          <w:szCs w:val="20"/>
        </w:rPr>
        <w:t xml:space="preserve">Listing Rules and </w:t>
      </w:r>
      <w:r w:rsidRPr="00F0046D">
        <w:rPr>
          <w:rFonts w:ascii="Arial" w:hAnsi="Arial" w:cs="Arial"/>
          <w:sz w:val="20"/>
          <w:szCs w:val="20"/>
        </w:rPr>
        <w:t>the Companies Ordinance</w:t>
      </w:r>
      <w:r w:rsidRPr="0009290A">
        <w:rPr>
          <w:rFonts w:ascii="Arial" w:hAnsi="Arial" w:cs="Arial"/>
          <w:b/>
          <w:sz w:val="20"/>
          <w:szCs w:val="20"/>
        </w:rPr>
        <w:t xml:space="preserve">; </w:t>
      </w:r>
    </w:p>
    <w:p w:rsidR="0009290A" w:rsidRPr="0009290A" w:rsidRDefault="0009290A" w:rsidP="0009290A">
      <w:pPr>
        <w:pStyle w:val="a7"/>
        <w:rPr>
          <w:rFonts w:ascii="Arial" w:hAnsi="Arial" w:cs="Arial"/>
          <w:b/>
          <w:sz w:val="20"/>
          <w:szCs w:val="20"/>
        </w:rPr>
      </w:pPr>
    </w:p>
    <w:p w:rsidR="0009290A" w:rsidRDefault="0009290A" w:rsidP="0009290A">
      <w:pPr>
        <w:pStyle w:val="a7"/>
        <w:numPr>
          <w:ilvl w:val="0"/>
          <w:numId w:val="46"/>
        </w:numPr>
        <w:jc w:val="both"/>
        <w:rPr>
          <w:rFonts w:ascii="Arial" w:hAnsi="Arial" w:cs="Arial"/>
          <w:sz w:val="20"/>
          <w:szCs w:val="20"/>
        </w:rPr>
      </w:pPr>
      <w:r w:rsidRPr="0009290A">
        <w:rPr>
          <w:rFonts w:ascii="Arial" w:hAnsi="Arial" w:cs="Arial"/>
          <w:b/>
          <w:sz w:val="20"/>
          <w:szCs w:val="20"/>
        </w:rPr>
        <w:t>Form M107</w:t>
      </w:r>
      <w:r w:rsidRPr="0009290A">
        <w:rPr>
          <w:rFonts w:ascii="Arial" w:hAnsi="Arial" w:cs="Arial"/>
          <w:sz w:val="20"/>
          <w:szCs w:val="20"/>
        </w:rPr>
        <w:t xml:space="preserve"> - completed checklist on </w:t>
      </w:r>
      <w:r>
        <w:rPr>
          <w:rFonts w:ascii="Arial" w:hAnsi="Arial" w:cs="Arial"/>
          <w:sz w:val="20"/>
          <w:szCs w:val="20"/>
        </w:rPr>
        <w:t xml:space="preserve">HKEX </w:t>
      </w:r>
      <w:r w:rsidRPr="0009290A">
        <w:rPr>
          <w:rFonts w:ascii="Arial" w:hAnsi="Arial" w:cs="Arial"/>
          <w:sz w:val="20"/>
          <w:szCs w:val="20"/>
        </w:rPr>
        <w:t xml:space="preserve">Listing Rules on </w:t>
      </w:r>
      <w:r>
        <w:rPr>
          <w:rFonts w:ascii="Arial" w:hAnsi="Arial" w:cs="Arial"/>
          <w:sz w:val="20"/>
          <w:szCs w:val="20"/>
        </w:rPr>
        <w:t xml:space="preserve">the </w:t>
      </w:r>
      <w:r w:rsidRPr="0009290A">
        <w:rPr>
          <w:rFonts w:ascii="Arial" w:hAnsi="Arial" w:cs="Arial"/>
          <w:sz w:val="20"/>
          <w:szCs w:val="20"/>
        </w:rPr>
        <w:t>valuation of and information on properties</w:t>
      </w:r>
      <w:r>
        <w:rPr>
          <w:rFonts w:ascii="Arial" w:hAnsi="Arial" w:cs="Arial"/>
          <w:sz w:val="20"/>
          <w:szCs w:val="20"/>
        </w:rPr>
        <w:t>;</w:t>
      </w:r>
      <w:r w:rsidR="00F0046D">
        <w:rPr>
          <w:rFonts w:ascii="Arial" w:hAnsi="Arial" w:cs="Arial"/>
          <w:sz w:val="20"/>
          <w:szCs w:val="20"/>
        </w:rPr>
        <w:t xml:space="preserve"> and</w:t>
      </w:r>
    </w:p>
    <w:p w:rsidR="0009290A" w:rsidRPr="0009290A" w:rsidRDefault="0009290A" w:rsidP="0009290A">
      <w:pPr>
        <w:pStyle w:val="a7"/>
        <w:rPr>
          <w:rFonts w:ascii="Arial" w:hAnsi="Arial" w:cs="Arial"/>
          <w:sz w:val="20"/>
          <w:szCs w:val="20"/>
        </w:rPr>
      </w:pPr>
    </w:p>
    <w:p w:rsidR="0009290A" w:rsidRDefault="0009290A" w:rsidP="0009290A">
      <w:pPr>
        <w:pStyle w:val="a7"/>
        <w:numPr>
          <w:ilvl w:val="0"/>
          <w:numId w:val="46"/>
        </w:numPr>
        <w:jc w:val="both"/>
        <w:rPr>
          <w:rFonts w:ascii="Arial" w:hAnsi="Arial" w:cs="Arial"/>
          <w:sz w:val="20"/>
          <w:szCs w:val="20"/>
        </w:rPr>
      </w:pPr>
      <w:r w:rsidRPr="00F0046D">
        <w:rPr>
          <w:rFonts w:ascii="Arial" w:hAnsi="Arial" w:cs="Arial"/>
          <w:b/>
          <w:sz w:val="20"/>
          <w:szCs w:val="20"/>
        </w:rPr>
        <w:t>Form M108</w:t>
      </w:r>
      <w:r w:rsidRPr="0009290A">
        <w:rPr>
          <w:rFonts w:ascii="Arial" w:hAnsi="Arial" w:cs="Arial"/>
          <w:sz w:val="20"/>
          <w:szCs w:val="20"/>
        </w:rPr>
        <w:t xml:space="preserve"> - completed checklist on </w:t>
      </w:r>
      <w:r w:rsidR="00F0046D">
        <w:rPr>
          <w:rFonts w:ascii="Arial" w:hAnsi="Arial" w:cs="Arial"/>
          <w:sz w:val="20"/>
          <w:szCs w:val="20"/>
        </w:rPr>
        <w:t xml:space="preserve">HKEX </w:t>
      </w:r>
      <w:r w:rsidRPr="0009290A">
        <w:rPr>
          <w:rFonts w:ascii="Arial" w:hAnsi="Arial" w:cs="Arial"/>
          <w:sz w:val="20"/>
          <w:szCs w:val="20"/>
        </w:rPr>
        <w:t>Listing Rules on Accountants’ Report</w:t>
      </w:r>
      <w:r w:rsidR="00F0046D">
        <w:rPr>
          <w:rFonts w:ascii="Arial" w:hAnsi="Arial" w:cs="Arial"/>
          <w:sz w:val="20"/>
          <w:szCs w:val="20"/>
        </w:rPr>
        <w:t>s</w:t>
      </w:r>
    </w:p>
    <w:p w:rsidR="00F0046D" w:rsidRPr="00F0046D" w:rsidRDefault="00F0046D" w:rsidP="00F0046D">
      <w:pPr>
        <w:jc w:val="both"/>
        <w:rPr>
          <w:rFonts w:ascii="Arial" w:hAnsi="Arial" w:cs="Arial"/>
          <w:i/>
          <w:sz w:val="20"/>
          <w:szCs w:val="20"/>
        </w:rPr>
      </w:pPr>
      <w:r w:rsidRPr="00F0046D">
        <w:rPr>
          <w:rFonts w:ascii="Arial" w:hAnsi="Arial" w:cs="Arial"/>
          <w:i/>
          <w:sz w:val="20"/>
          <w:szCs w:val="20"/>
        </w:rPr>
        <w:t>Removal of Forms M105, M106, M107 and M108 Checklists</w:t>
      </w:r>
    </w:p>
    <w:p w:rsidR="00F0046D" w:rsidRDefault="00F0046D" w:rsidP="00F0046D">
      <w:pPr>
        <w:jc w:val="both"/>
        <w:rPr>
          <w:rFonts w:ascii="Arial" w:hAnsi="Arial" w:cs="Arial"/>
          <w:sz w:val="20"/>
          <w:szCs w:val="20"/>
        </w:rPr>
      </w:pPr>
      <w:r>
        <w:rPr>
          <w:rFonts w:ascii="Arial" w:hAnsi="Arial" w:cs="Arial"/>
          <w:sz w:val="20"/>
          <w:szCs w:val="20"/>
        </w:rPr>
        <w:t xml:space="preserve">In response to comments from some sponsors that Forms M105, M106, M107 and M108 checklists should be kept because they provide “useful tools” for sponsors in conducting compliance checks, the HKEX said it </w:t>
      </w:r>
      <w:r w:rsidRPr="00DC4A7C">
        <w:rPr>
          <w:rFonts w:ascii="Arial" w:hAnsi="Arial" w:cs="Arial"/>
          <w:sz w:val="20"/>
          <w:szCs w:val="20"/>
        </w:rPr>
        <w:t xml:space="preserve">will continue to display these checklists on </w:t>
      </w:r>
      <w:r>
        <w:rPr>
          <w:rFonts w:ascii="Arial" w:hAnsi="Arial" w:cs="Arial"/>
          <w:sz w:val="20"/>
          <w:szCs w:val="20"/>
        </w:rPr>
        <w:t xml:space="preserve">its </w:t>
      </w:r>
      <w:r w:rsidRPr="00DC4A7C">
        <w:rPr>
          <w:rFonts w:ascii="Arial" w:hAnsi="Arial" w:cs="Arial"/>
          <w:sz w:val="20"/>
          <w:szCs w:val="20"/>
        </w:rPr>
        <w:t>website for the time being</w:t>
      </w:r>
      <w:r>
        <w:rPr>
          <w:rFonts w:ascii="Arial" w:hAnsi="Arial" w:cs="Arial"/>
          <w:sz w:val="20"/>
          <w:szCs w:val="20"/>
        </w:rPr>
        <w:t>, but maintains the view that the submission of these checklists should no longer be necessary.</w:t>
      </w:r>
    </w:p>
    <w:p w:rsidR="003877B6" w:rsidRPr="0009290A" w:rsidRDefault="00853076" w:rsidP="0009290A">
      <w:pPr>
        <w:jc w:val="both"/>
        <w:rPr>
          <w:rFonts w:ascii="Arial" w:hAnsi="Arial" w:cs="Arial"/>
          <w:i/>
          <w:sz w:val="20"/>
          <w:szCs w:val="20"/>
        </w:rPr>
      </w:pPr>
      <w:r w:rsidRPr="0009290A">
        <w:rPr>
          <w:rFonts w:ascii="Arial" w:hAnsi="Arial" w:cs="Arial"/>
          <w:i/>
          <w:sz w:val="20"/>
          <w:szCs w:val="20"/>
        </w:rPr>
        <w:t>Removing</w:t>
      </w:r>
      <w:r w:rsidR="003877B6" w:rsidRPr="0009290A">
        <w:rPr>
          <w:rFonts w:ascii="Arial" w:hAnsi="Arial" w:cs="Arial"/>
          <w:i/>
          <w:sz w:val="20"/>
          <w:szCs w:val="20"/>
        </w:rPr>
        <w:t xml:space="preserve"> some Required Submission Documents for Profit Forecasts </w:t>
      </w:r>
      <w:r w:rsidR="002953DD" w:rsidRPr="0009290A">
        <w:rPr>
          <w:rFonts w:ascii="Arial" w:hAnsi="Arial" w:cs="Arial"/>
          <w:i/>
          <w:sz w:val="20"/>
          <w:szCs w:val="20"/>
        </w:rPr>
        <w:t xml:space="preserve">in </w:t>
      </w:r>
      <w:r w:rsidR="00A70B67" w:rsidRPr="0009290A">
        <w:rPr>
          <w:rFonts w:ascii="Arial" w:hAnsi="Arial" w:cs="Arial"/>
          <w:i/>
          <w:sz w:val="20"/>
          <w:szCs w:val="20"/>
        </w:rPr>
        <w:t>Notifiable Transaction Announce</w:t>
      </w:r>
      <w:r w:rsidR="002953DD" w:rsidRPr="0009290A">
        <w:rPr>
          <w:rFonts w:ascii="Arial" w:hAnsi="Arial" w:cs="Arial"/>
          <w:i/>
          <w:sz w:val="20"/>
          <w:szCs w:val="20"/>
        </w:rPr>
        <w:t>ments</w:t>
      </w:r>
    </w:p>
    <w:p w:rsidR="003877B6" w:rsidRDefault="00533312" w:rsidP="00373B38">
      <w:pPr>
        <w:jc w:val="both"/>
        <w:rPr>
          <w:rFonts w:ascii="Arial" w:hAnsi="Arial" w:cs="Arial"/>
          <w:sz w:val="20"/>
          <w:szCs w:val="20"/>
        </w:rPr>
      </w:pPr>
      <w:r>
        <w:rPr>
          <w:rFonts w:ascii="Arial" w:hAnsi="Arial" w:cs="Arial"/>
          <w:sz w:val="20"/>
          <w:szCs w:val="20"/>
        </w:rPr>
        <w:t>The HKEX has modified its proposed removal of the requirement to submit various documents in relation to profit forecasts disclosed for notifiable transaction announcements under Listing Rule</w:t>
      </w:r>
      <w:r w:rsidRPr="00533312">
        <w:rPr>
          <w:rFonts w:ascii="Arial" w:hAnsi="Arial" w:cs="Arial"/>
          <w:sz w:val="20"/>
          <w:szCs w:val="20"/>
        </w:rPr>
        <w:t xml:space="preserve"> 14.60A</w:t>
      </w:r>
      <w:r>
        <w:rPr>
          <w:rFonts w:ascii="Arial" w:hAnsi="Arial" w:cs="Arial"/>
          <w:sz w:val="20"/>
          <w:szCs w:val="20"/>
        </w:rPr>
        <w:t xml:space="preserve"> (</w:t>
      </w:r>
      <w:r w:rsidRPr="00533312">
        <w:rPr>
          <w:rFonts w:ascii="Arial" w:hAnsi="Arial" w:cs="Arial"/>
          <w:sz w:val="20"/>
          <w:szCs w:val="20"/>
        </w:rPr>
        <w:t xml:space="preserve">GEM </w:t>
      </w:r>
      <w:r>
        <w:rPr>
          <w:rFonts w:ascii="Arial" w:hAnsi="Arial" w:cs="Arial"/>
          <w:sz w:val="20"/>
          <w:szCs w:val="20"/>
        </w:rPr>
        <w:t>Listing Rule</w:t>
      </w:r>
      <w:r w:rsidRPr="00533312">
        <w:rPr>
          <w:rFonts w:ascii="Arial" w:hAnsi="Arial" w:cs="Arial"/>
          <w:sz w:val="20"/>
          <w:szCs w:val="20"/>
        </w:rPr>
        <w:t xml:space="preserve"> 19.60A</w:t>
      </w:r>
      <w:r>
        <w:rPr>
          <w:rFonts w:ascii="Arial" w:hAnsi="Arial" w:cs="Arial"/>
          <w:sz w:val="20"/>
          <w:szCs w:val="20"/>
        </w:rPr>
        <w:t>)</w:t>
      </w:r>
      <w:r w:rsidRPr="00533312">
        <w:rPr>
          <w:rFonts w:ascii="Arial" w:hAnsi="Arial" w:cs="Arial"/>
          <w:sz w:val="20"/>
          <w:szCs w:val="20"/>
        </w:rPr>
        <w:t>.</w:t>
      </w:r>
      <w:r>
        <w:rPr>
          <w:rFonts w:ascii="Arial" w:hAnsi="Arial" w:cs="Arial"/>
          <w:sz w:val="20"/>
          <w:szCs w:val="20"/>
        </w:rPr>
        <w:t xml:space="preserve"> </w:t>
      </w:r>
      <w:r w:rsidR="004D01AD">
        <w:rPr>
          <w:rFonts w:ascii="Arial" w:hAnsi="Arial" w:cs="Arial"/>
          <w:sz w:val="20"/>
          <w:szCs w:val="20"/>
        </w:rPr>
        <w:t>The</w:t>
      </w:r>
      <w:r w:rsidR="003877B6">
        <w:rPr>
          <w:rFonts w:ascii="Arial" w:hAnsi="Arial" w:cs="Arial"/>
          <w:sz w:val="20"/>
          <w:szCs w:val="20"/>
        </w:rPr>
        <w:t>se</w:t>
      </w:r>
      <w:r w:rsidRPr="00533312">
        <w:rPr>
          <w:rFonts w:ascii="Arial" w:hAnsi="Arial" w:cs="Arial"/>
          <w:sz w:val="20"/>
          <w:szCs w:val="20"/>
        </w:rPr>
        <w:t xml:space="preserve"> documents include: </w:t>
      </w:r>
    </w:p>
    <w:p w:rsidR="003877B6" w:rsidRDefault="00533312" w:rsidP="003877B6">
      <w:pPr>
        <w:pStyle w:val="a7"/>
        <w:numPr>
          <w:ilvl w:val="0"/>
          <w:numId w:val="39"/>
        </w:numPr>
        <w:jc w:val="both"/>
        <w:rPr>
          <w:rFonts w:ascii="Arial" w:hAnsi="Arial" w:cs="Arial"/>
          <w:sz w:val="20"/>
          <w:szCs w:val="20"/>
        </w:rPr>
      </w:pPr>
      <w:r w:rsidRPr="003877B6">
        <w:rPr>
          <w:rFonts w:ascii="Arial" w:hAnsi="Arial" w:cs="Arial"/>
          <w:sz w:val="20"/>
          <w:szCs w:val="20"/>
        </w:rPr>
        <w:t xml:space="preserve">details of the principal assumptions; </w:t>
      </w:r>
    </w:p>
    <w:p w:rsidR="00D90272" w:rsidRDefault="00D90272" w:rsidP="00D90272">
      <w:pPr>
        <w:pStyle w:val="a7"/>
        <w:jc w:val="both"/>
        <w:rPr>
          <w:rFonts w:ascii="Arial" w:hAnsi="Arial" w:cs="Arial"/>
          <w:sz w:val="20"/>
          <w:szCs w:val="20"/>
        </w:rPr>
      </w:pPr>
    </w:p>
    <w:p w:rsidR="003877B6" w:rsidRDefault="00533312" w:rsidP="003877B6">
      <w:pPr>
        <w:pStyle w:val="a7"/>
        <w:numPr>
          <w:ilvl w:val="0"/>
          <w:numId w:val="39"/>
        </w:numPr>
        <w:jc w:val="both"/>
        <w:rPr>
          <w:rFonts w:ascii="Arial" w:hAnsi="Arial" w:cs="Arial"/>
          <w:sz w:val="20"/>
          <w:szCs w:val="20"/>
        </w:rPr>
      </w:pPr>
      <w:r w:rsidRPr="003877B6">
        <w:rPr>
          <w:rFonts w:ascii="Arial" w:hAnsi="Arial" w:cs="Arial"/>
          <w:sz w:val="20"/>
          <w:szCs w:val="20"/>
        </w:rPr>
        <w:t xml:space="preserve">a letter from auditors or reporting accountants confirming that they have reviewed the accounting policies and calculations for the forecast and containing their report; </w:t>
      </w:r>
      <w:r w:rsidR="004D01AD" w:rsidRPr="003877B6">
        <w:rPr>
          <w:rFonts w:ascii="Arial" w:hAnsi="Arial" w:cs="Arial"/>
          <w:sz w:val="20"/>
          <w:szCs w:val="20"/>
        </w:rPr>
        <w:t xml:space="preserve">and </w:t>
      </w:r>
    </w:p>
    <w:p w:rsidR="00D90272" w:rsidRPr="00D90272" w:rsidRDefault="00D90272" w:rsidP="00D90272">
      <w:pPr>
        <w:pStyle w:val="a7"/>
        <w:rPr>
          <w:rFonts w:ascii="Arial" w:hAnsi="Arial" w:cs="Arial"/>
          <w:sz w:val="20"/>
          <w:szCs w:val="20"/>
        </w:rPr>
      </w:pPr>
    </w:p>
    <w:p w:rsidR="003877B6" w:rsidRDefault="00533312" w:rsidP="003877B6">
      <w:pPr>
        <w:pStyle w:val="a7"/>
        <w:numPr>
          <w:ilvl w:val="0"/>
          <w:numId w:val="39"/>
        </w:numPr>
        <w:jc w:val="both"/>
        <w:rPr>
          <w:rFonts w:ascii="Arial" w:hAnsi="Arial" w:cs="Arial"/>
          <w:sz w:val="20"/>
          <w:szCs w:val="20"/>
        </w:rPr>
      </w:pPr>
      <w:r w:rsidRPr="003877B6">
        <w:rPr>
          <w:rFonts w:ascii="Arial" w:hAnsi="Arial" w:cs="Arial"/>
          <w:sz w:val="20"/>
          <w:szCs w:val="20"/>
        </w:rPr>
        <w:t>a report from the</w:t>
      </w:r>
      <w:r w:rsidR="004D01AD" w:rsidRPr="003877B6">
        <w:rPr>
          <w:rFonts w:ascii="Arial" w:hAnsi="Arial" w:cs="Arial"/>
          <w:sz w:val="20"/>
          <w:szCs w:val="20"/>
        </w:rPr>
        <w:t xml:space="preserve"> listed company</w:t>
      </w:r>
      <w:r w:rsidRPr="003877B6">
        <w:rPr>
          <w:rFonts w:ascii="Arial" w:hAnsi="Arial" w:cs="Arial"/>
          <w:sz w:val="20"/>
          <w:szCs w:val="20"/>
        </w:rPr>
        <w:t>’s financial advisers confirming that they are satisfied that the forecast has been made by the directors after due and careful enquiry or a letter from the board of directors confirming they have made the forecast after due and careful enquiry (</w:t>
      </w:r>
      <w:r w:rsidR="004D01AD" w:rsidRPr="003877B6">
        <w:rPr>
          <w:rFonts w:ascii="Arial" w:hAnsi="Arial" w:cs="Arial"/>
          <w:sz w:val="20"/>
          <w:szCs w:val="20"/>
        </w:rPr>
        <w:t xml:space="preserve">Listing </w:t>
      </w:r>
      <w:r w:rsidRPr="003877B6">
        <w:rPr>
          <w:rFonts w:ascii="Arial" w:hAnsi="Arial" w:cs="Arial"/>
          <w:sz w:val="20"/>
          <w:szCs w:val="20"/>
        </w:rPr>
        <w:t>Rule 14.62</w:t>
      </w:r>
      <w:r w:rsidR="004D01AD" w:rsidRPr="003877B6">
        <w:rPr>
          <w:rFonts w:ascii="Arial" w:hAnsi="Arial" w:cs="Arial"/>
          <w:sz w:val="20"/>
          <w:szCs w:val="20"/>
        </w:rPr>
        <w:t xml:space="preserve"> (</w:t>
      </w:r>
      <w:r w:rsidRPr="003877B6">
        <w:rPr>
          <w:rFonts w:ascii="Arial" w:hAnsi="Arial" w:cs="Arial"/>
          <w:sz w:val="20"/>
          <w:szCs w:val="20"/>
        </w:rPr>
        <w:t xml:space="preserve">GEM </w:t>
      </w:r>
      <w:r w:rsidR="004D01AD" w:rsidRPr="003877B6">
        <w:rPr>
          <w:rFonts w:ascii="Arial" w:hAnsi="Arial" w:cs="Arial"/>
          <w:sz w:val="20"/>
          <w:szCs w:val="20"/>
        </w:rPr>
        <w:t xml:space="preserve">Listing </w:t>
      </w:r>
      <w:r w:rsidRPr="003877B6">
        <w:rPr>
          <w:rFonts w:ascii="Arial" w:hAnsi="Arial" w:cs="Arial"/>
          <w:sz w:val="20"/>
          <w:szCs w:val="20"/>
        </w:rPr>
        <w:t>Rule 19.62)</w:t>
      </w:r>
      <w:r w:rsidR="004D01AD" w:rsidRPr="003877B6">
        <w:rPr>
          <w:rFonts w:ascii="Arial" w:hAnsi="Arial" w:cs="Arial"/>
          <w:sz w:val="20"/>
          <w:szCs w:val="20"/>
        </w:rPr>
        <w:t xml:space="preserve">). </w:t>
      </w:r>
    </w:p>
    <w:p w:rsidR="00F0046D" w:rsidRDefault="003877B6" w:rsidP="00373B38">
      <w:pPr>
        <w:jc w:val="both"/>
        <w:rPr>
          <w:rFonts w:ascii="Arial" w:hAnsi="Arial" w:cs="Arial"/>
          <w:sz w:val="20"/>
          <w:szCs w:val="20"/>
        </w:rPr>
      </w:pPr>
      <w:r>
        <w:rPr>
          <w:rFonts w:ascii="Arial" w:hAnsi="Arial" w:cs="Arial"/>
          <w:sz w:val="20"/>
          <w:szCs w:val="20"/>
        </w:rPr>
        <w:t>The HKEX</w:t>
      </w:r>
      <w:r w:rsidR="004D01AD" w:rsidRPr="003877B6">
        <w:rPr>
          <w:rFonts w:ascii="Arial" w:hAnsi="Arial" w:cs="Arial"/>
          <w:sz w:val="20"/>
          <w:szCs w:val="20"/>
        </w:rPr>
        <w:t xml:space="preserve"> will amend the relevant Listing Rules to clarify that the information contained in these documents </w:t>
      </w:r>
      <w:r>
        <w:rPr>
          <w:rFonts w:ascii="Arial" w:hAnsi="Arial" w:cs="Arial"/>
          <w:sz w:val="20"/>
          <w:szCs w:val="20"/>
        </w:rPr>
        <w:t xml:space="preserve">must be </w:t>
      </w:r>
      <w:r w:rsidR="004D01AD" w:rsidRPr="003877B6">
        <w:rPr>
          <w:rFonts w:ascii="Arial" w:hAnsi="Arial" w:cs="Arial"/>
          <w:sz w:val="20"/>
          <w:szCs w:val="20"/>
        </w:rPr>
        <w:t xml:space="preserve">disclosed in the announcement of the notifiable transaction. In the case of a share transaction or a discloseable transaction, the information will need to be disclosed with the announcement, or in a further announcement published within 15 business days after the issue of the initial announcement. </w:t>
      </w:r>
    </w:p>
    <w:p w:rsidR="00A70B67" w:rsidRPr="00F0046D" w:rsidRDefault="00A70B67" w:rsidP="00373B38">
      <w:pPr>
        <w:jc w:val="both"/>
        <w:rPr>
          <w:rFonts w:ascii="Arial" w:hAnsi="Arial" w:cs="Arial"/>
          <w:sz w:val="20"/>
          <w:szCs w:val="20"/>
        </w:rPr>
      </w:pPr>
      <w:r>
        <w:rPr>
          <w:rFonts w:ascii="Arial" w:hAnsi="Arial" w:cs="Arial"/>
          <w:i/>
          <w:sz w:val="20"/>
          <w:szCs w:val="20"/>
        </w:rPr>
        <w:t xml:space="preserve">Removal of Requirements for Submission of Experts’ Confirmations </w:t>
      </w:r>
    </w:p>
    <w:p w:rsidR="002953DD" w:rsidRDefault="002953DD" w:rsidP="00373B38">
      <w:pPr>
        <w:jc w:val="both"/>
        <w:rPr>
          <w:rFonts w:ascii="Arial" w:hAnsi="Arial" w:cs="Arial"/>
          <w:sz w:val="20"/>
          <w:szCs w:val="20"/>
        </w:rPr>
      </w:pPr>
      <w:r>
        <w:rPr>
          <w:rFonts w:ascii="Arial" w:hAnsi="Arial" w:cs="Arial"/>
          <w:sz w:val="20"/>
          <w:szCs w:val="20"/>
        </w:rPr>
        <w:t xml:space="preserve">The HKEX will no longer require the submission of undertakings and confirmations regarding compliance with obligations that are already contained in the HKEX Listing Rules or guidance materials. </w:t>
      </w:r>
      <w:r w:rsidR="00A70B67">
        <w:rPr>
          <w:rFonts w:ascii="Arial" w:hAnsi="Arial" w:cs="Arial"/>
          <w:sz w:val="20"/>
          <w:szCs w:val="20"/>
        </w:rPr>
        <w:t xml:space="preserve">It </w:t>
      </w:r>
      <w:r>
        <w:rPr>
          <w:rFonts w:ascii="Arial" w:hAnsi="Arial" w:cs="Arial"/>
          <w:sz w:val="20"/>
          <w:szCs w:val="20"/>
        </w:rPr>
        <w:t xml:space="preserve">will therefore </w:t>
      </w:r>
      <w:r w:rsidR="00A70B67">
        <w:rPr>
          <w:rFonts w:ascii="Arial" w:hAnsi="Arial" w:cs="Arial"/>
          <w:sz w:val="20"/>
          <w:szCs w:val="20"/>
        </w:rPr>
        <w:t>amend the Listing Rules</w:t>
      </w:r>
      <w:r>
        <w:rPr>
          <w:rFonts w:ascii="Arial" w:hAnsi="Arial" w:cs="Arial"/>
          <w:sz w:val="20"/>
          <w:szCs w:val="20"/>
        </w:rPr>
        <w:t xml:space="preserve"> </w:t>
      </w:r>
      <w:r w:rsidR="00A70B67">
        <w:rPr>
          <w:rFonts w:ascii="Arial" w:hAnsi="Arial" w:cs="Arial"/>
          <w:sz w:val="20"/>
          <w:szCs w:val="20"/>
        </w:rPr>
        <w:t xml:space="preserve">and guidance materials </w:t>
      </w:r>
      <w:r>
        <w:rPr>
          <w:rFonts w:ascii="Arial" w:hAnsi="Arial" w:cs="Arial"/>
          <w:sz w:val="20"/>
          <w:szCs w:val="20"/>
        </w:rPr>
        <w:t>to remove requirements to submit:</w:t>
      </w:r>
    </w:p>
    <w:p w:rsidR="002953DD" w:rsidRDefault="00A70B67" w:rsidP="002953DD">
      <w:pPr>
        <w:pStyle w:val="a7"/>
        <w:numPr>
          <w:ilvl w:val="0"/>
          <w:numId w:val="40"/>
        </w:numPr>
        <w:jc w:val="both"/>
        <w:rPr>
          <w:rFonts w:ascii="Arial" w:hAnsi="Arial" w:cs="Arial"/>
          <w:sz w:val="20"/>
          <w:szCs w:val="20"/>
        </w:rPr>
      </w:pPr>
      <w:r>
        <w:rPr>
          <w:rFonts w:ascii="Arial" w:hAnsi="Arial" w:cs="Arial"/>
          <w:b/>
          <w:sz w:val="20"/>
          <w:szCs w:val="20"/>
        </w:rPr>
        <w:t xml:space="preserve">Form M114 </w:t>
      </w:r>
      <w:r>
        <w:rPr>
          <w:rFonts w:ascii="Arial" w:hAnsi="Arial" w:cs="Arial"/>
          <w:sz w:val="20"/>
          <w:szCs w:val="20"/>
        </w:rPr>
        <w:t xml:space="preserve">- </w:t>
      </w:r>
      <w:r w:rsidR="002953DD">
        <w:rPr>
          <w:rFonts w:ascii="Arial" w:hAnsi="Arial" w:cs="Arial"/>
          <w:sz w:val="20"/>
          <w:szCs w:val="20"/>
        </w:rPr>
        <w:t xml:space="preserve">Compliance Adviser’s undertaking (Appendix 20 and Main Board Listing Rules </w:t>
      </w:r>
      <w:r w:rsidR="002953DD" w:rsidRPr="00A70B67">
        <w:rPr>
          <w:rFonts w:ascii="Arial" w:hAnsi="Arial" w:cs="Arial"/>
          <w:sz w:val="20"/>
          <w:szCs w:val="20"/>
        </w:rPr>
        <w:t xml:space="preserve">3A.21, 3A.22, </w:t>
      </w:r>
      <w:r>
        <w:rPr>
          <w:rFonts w:ascii="Arial" w:hAnsi="Arial" w:cs="Arial"/>
          <w:sz w:val="20"/>
          <w:szCs w:val="20"/>
        </w:rPr>
        <w:t xml:space="preserve">and </w:t>
      </w:r>
      <w:r w:rsidR="002953DD" w:rsidRPr="00A70B67">
        <w:rPr>
          <w:rFonts w:ascii="Arial" w:hAnsi="Arial" w:cs="Arial"/>
          <w:sz w:val="20"/>
          <w:szCs w:val="20"/>
        </w:rPr>
        <w:t>9.11(1)</w:t>
      </w:r>
      <w:r>
        <w:rPr>
          <w:rFonts w:ascii="Arial" w:hAnsi="Arial" w:cs="Arial"/>
          <w:sz w:val="20"/>
          <w:szCs w:val="20"/>
        </w:rPr>
        <w:t>);</w:t>
      </w:r>
    </w:p>
    <w:p w:rsidR="00A70B67" w:rsidRDefault="00A70B67" w:rsidP="00A70B67">
      <w:pPr>
        <w:pStyle w:val="a7"/>
        <w:jc w:val="both"/>
        <w:rPr>
          <w:rFonts w:ascii="Arial" w:hAnsi="Arial" w:cs="Arial"/>
          <w:sz w:val="20"/>
          <w:szCs w:val="20"/>
        </w:rPr>
      </w:pPr>
    </w:p>
    <w:p w:rsidR="00A70B67" w:rsidRDefault="00A70B67" w:rsidP="00A70B67">
      <w:pPr>
        <w:pStyle w:val="a7"/>
        <w:numPr>
          <w:ilvl w:val="0"/>
          <w:numId w:val="40"/>
        </w:numPr>
        <w:jc w:val="both"/>
        <w:rPr>
          <w:rFonts w:ascii="Arial" w:hAnsi="Arial" w:cs="Arial"/>
          <w:sz w:val="20"/>
          <w:szCs w:val="20"/>
        </w:rPr>
      </w:pPr>
      <w:r w:rsidRPr="00A70B67">
        <w:rPr>
          <w:rFonts w:ascii="Arial" w:hAnsi="Arial" w:cs="Arial"/>
          <w:b/>
          <w:sz w:val="20"/>
          <w:szCs w:val="20"/>
        </w:rPr>
        <w:t>Form FF211G</w:t>
      </w:r>
      <w:r w:rsidRPr="00A70B67">
        <w:rPr>
          <w:rFonts w:ascii="Arial" w:hAnsi="Arial" w:cs="Arial"/>
          <w:sz w:val="20"/>
          <w:szCs w:val="20"/>
        </w:rPr>
        <w:t xml:space="preserve"> - Compliance Adviser's Declaration of Interests (Appendix 7H to </w:t>
      </w:r>
      <w:r>
        <w:rPr>
          <w:rFonts w:ascii="Arial" w:hAnsi="Arial" w:cs="Arial"/>
          <w:sz w:val="20"/>
          <w:szCs w:val="20"/>
        </w:rPr>
        <w:t xml:space="preserve">the </w:t>
      </w:r>
      <w:r w:rsidRPr="00A70B67">
        <w:rPr>
          <w:rFonts w:ascii="Arial" w:hAnsi="Arial" w:cs="Arial"/>
          <w:sz w:val="20"/>
          <w:szCs w:val="20"/>
        </w:rPr>
        <w:t xml:space="preserve">GEM </w:t>
      </w:r>
      <w:r>
        <w:rPr>
          <w:rFonts w:ascii="Arial" w:hAnsi="Arial" w:cs="Arial"/>
          <w:sz w:val="20"/>
          <w:szCs w:val="20"/>
        </w:rPr>
        <w:t xml:space="preserve">Listing </w:t>
      </w:r>
      <w:r w:rsidRPr="00A70B67">
        <w:rPr>
          <w:rFonts w:ascii="Arial" w:hAnsi="Arial" w:cs="Arial"/>
          <w:sz w:val="20"/>
          <w:szCs w:val="20"/>
        </w:rPr>
        <w:t>Rules)</w:t>
      </w:r>
      <w:r>
        <w:rPr>
          <w:rFonts w:ascii="Arial" w:hAnsi="Arial" w:cs="Arial"/>
          <w:sz w:val="20"/>
          <w:szCs w:val="20"/>
        </w:rPr>
        <w:t>;</w:t>
      </w:r>
    </w:p>
    <w:p w:rsidR="00A70B67" w:rsidRPr="00A70B67" w:rsidRDefault="00A70B67" w:rsidP="00A70B67">
      <w:pPr>
        <w:pStyle w:val="a7"/>
        <w:rPr>
          <w:rFonts w:ascii="Arial" w:hAnsi="Arial" w:cs="Arial"/>
          <w:sz w:val="20"/>
          <w:szCs w:val="20"/>
        </w:rPr>
      </w:pPr>
    </w:p>
    <w:p w:rsidR="00A70B67" w:rsidRDefault="00A70B67" w:rsidP="00A70B67">
      <w:pPr>
        <w:pStyle w:val="a7"/>
        <w:numPr>
          <w:ilvl w:val="0"/>
          <w:numId w:val="40"/>
        </w:numPr>
        <w:jc w:val="both"/>
        <w:rPr>
          <w:rFonts w:ascii="Arial" w:hAnsi="Arial" w:cs="Arial"/>
          <w:sz w:val="20"/>
          <w:szCs w:val="20"/>
        </w:rPr>
      </w:pPr>
      <w:r>
        <w:rPr>
          <w:rFonts w:ascii="Arial" w:hAnsi="Arial" w:cs="Arial"/>
          <w:b/>
          <w:sz w:val="20"/>
          <w:szCs w:val="20"/>
        </w:rPr>
        <w:t xml:space="preserve">Legal adviser’s signed confirmation </w:t>
      </w:r>
      <w:r>
        <w:rPr>
          <w:rFonts w:ascii="Arial" w:hAnsi="Arial" w:cs="Arial"/>
          <w:sz w:val="20"/>
          <w:szCs w:val="20"/>
        </w:rPr>
        <w:t>that the listing document complies with relevant requirements under the Companies (Winding Up and Miscellaneous Provisions) Ordinance (</w:t>
      </w:r>
      <w:r w:rsidR="00C16702">
        <w:rPr>
          <w:rFonts w:ascii="Arial" w:hAnsi="Arial" w:cs="Arial"/>
          <w:sz w:val="20"/>
          <w:szCs w:val="20"/>
        </w:rPr>
        <w:t xml:space="preserve">HKEX </w:t>
      </w:r>
      <w:r>
        <w:rPr>
          <w:rFonts w:ascii="Arial" w:hAnsi="Arial" w:cs="Arial"/>
          <w:sz w:val="20"/>
          <w:szCs w:val="20"/>
        </w:rPr>
        <w:t>Guidance Letter GL55-13);</w:t>
      </w:r>
    </w:p>
    <w:p w:rsidR="00A70B67" w:rsidRPr="00A70B67" w:rsidRDefault="00A70B67" w:rsidP="00A70B67">
      <w:pPr>
        <w:pStyle w:val="a7"/>
        <w:rPr>
          <w:rFonts w:ascii="Arial" w:hAnsi="Arial" w:cs="Arial"/>
          <w:sz w:val="20"/>
          <w:szCs w:val="20"/>
        </w:rPr>
      </w:pPr>
    </w:p>
    <w:p w:rsidR="00C16702" w:rsidRDefault="00C16702" w:rsidP="00A70B67">
      <w:pPr>
        <w:pStyle w:val="a7"/>
        <w:numPr>
          <w:ilvl w:val="0"/>
          <w:numId w:val="40"/>
        </w:numPr>
        <w:jc w:val="both"/>
        <w:rPr>
          <w:rFonts w:ascii="Arial" w:hAnsi="Arial" w:cs="Arial"/>
          <w:sz w:val="20"/>
          <w:szCs w:val="20"/>
        </w:rPr>
      </w:pPr>
      <w:r w:rsidRPr="00C16702">
        <w:rPr>
          <w:rFonts w:ascii="Arial" w:hAnsi="Arial" w:cs="Arial"/>
          <w:b/>
          <w:sz w:val="20"/>
          <w:szCs w:val="20"/>
        </w:rPr>
        <w:t>New applicant or sponsor c</w:t>
      </w:r>
      <w:r w:rsidR="00A70B67" w:rsidRPr="00C16702">
        <w:rPr>
          <w:rFonts w:ascii="Arial" w:hAnsi="Arial" w:cs="Arial"/>
          <w:b/>
          <w:sz w:val="20"/>
          <w:szCs w:val="20"/>
        </w:rPr>
        <w:t>onfirmation</w:t>
      </w:r>
      <w:r w:rsidR="00A70B67" w:rsidRPr="00A70B67">
        <w:rPr>
          <w:rFonts w:ascii="Arial" w:hAnsi="Arial" w:cs="Arial"/>
          <w:sz w:val="20"/>
          <w:szCs w:val="20"/>
        </w:rPr>
        <w:t xml:space="preserve"> that the listing document (</w:t>
      </w:r>
      <w:r>
        <w:rPr>
          <w:rFonts w:ascii="Arial" w:hAnsi="Arial" w:cs="Arial"/>
          <w:sz w:val="20"/>
          <w:szCs w:val="20"/>
        </w:rPr>
        <w:t>both English and Chinese v</w:t>
      </w:r>
      <w:r w:rsidR="00A70B67" w:rsidRPr="00A70B67">
        <w:rPr>
          <w:rFonts w:ascii="Arial" w:hAnsi="Arial" w:cs="Arial"/>
          <w:sz w:val="20"/>
          <w:szCs w:val="20"/>
        </w:rPr>
        <w:t xml:space="preserve">ersions) meets the </w:t>
      </w:r>
      <w:r>
        <w:rPr>
          <w:rFonts w:ascii="Arial" w:hAnsi="Arial" w:cs="Arial"/>
          <w:sz w:val="20"/>
          <w:szCs w:val="20"/>
        </w:rPr>
        <w:t>requirements of</w:t>
      </w:r>
      <w:r w:rsidR="00A70B67" w:rsidRPr="00A70B67">
        <w:rPr>
          <w:rFonts w:ascii="Arial" w:hAnsi="Arial" w:cs="Arial"/>
          <w:sz w:val="20"/>
          <w:szCs w:val="20"/>
        </w:rPr>
        <w:t xml:space="preserve"> </w:t>
      </w:r>
      <w:r>
        <w:rPr>
          <w:rFonts w:ascii="Arial" w:hAnsi="Arial" w:cs="Arial"/>
          <w:sz w:val="20"/>
          <w:szCs w:val="20"/>
        </w:rPr>
        <w:t xml:space="preserve">HKEX Guidance Letter GL98-18 that: </w:t>
      </w:r>
    </w:p>
    <w:p w:rsidR="00C16702" w:rsidRPr="00C16702" w:rsidRDefault="00C16702" w:rsidP="00C16702">
      <w:pPr>
        <w:pStyle w:val="a7"/>
        <w:rPr>
          <w:rFonts w:ascii="Arial" w:hAnsi="Arial" w:cs="Arial"/>
          <w:sz w:val="20"/>
          <w:szCs w:val="20"/>
        </w:rPr>
      </w:pPr>
    </w:p>
    <w:p w:rsidR="00C16702" w:rsidRDefault="00A70B67" w:rsidP="00C16702">
      <w:pPr>
        <w:pStyle w:val="a7"/>
        <w:numPr>
          <w:ilvl w:val="0"/>
          <w:numId w:val="41"/>
        </w:numPr>
        <w:ind w:left="993" w:hanging="284"/>
        <w:jc w:val="both"/>
        <w:rPr>
          <w:rFonts w:ascii="Arial" w:hAnsi="Arial" w:cs="Arial"/>
          <w:sz w:val="20"/>
          <w:szCs w:val="20"/>
        </w:rPr>
      </w:pPr>
      <w:r w:rsidRPr="00A70B67">
        <w:rPr>
          <w:rFonts w:ascii="Arial" w:hAnsi="Arial" w:cs="Arial"/>
          <w:sz w:val="20"/>
          <w:szCs w:val="20"/>
        </w:rPr>
        <w:t>the logo shown has been registered, and if not, the legal advisers’ view, with basis, on the likelihood that the logo may infringe other parties’ intellectual property right</w:t>
      </w:r>
      <w:r w:rsidR="00C16702">
        <w:rPr>
          <w:rFonts w:ascii="Arial" w:hAnsi="Arial" w:cs="Arial"/>
          <w:sz w:val="20"/>
          <w:szCs w:val="20"/>
        </w:rPr>
        <w:t>s</w:t>
      </w:r>
      <w:r w:rsidRPr="00A70B67">
        <w:rPr>
          <w:rFonts w:ascii="Arial" w:hAnsi="Arial" w:cs="Arial"/>
          <w:sz w:val="20"/>
          <w:szCs w:val="20"/>
        </w:rPr>
        <w:t xml:space="preserve">; and </w:t>
      </w:r>
    </w:p>
    <w:p w:rsidR="00C16702" w:rsidRDefault="00C16702" w:rsidP="00C16702">
      <w:pPr>
        <w:pStyle w:val="a7"/>
        <w:ind w:left="993"/>
        <w:jc w:val="both"/>
        <w:rPr>
          <w:rFonts w:ascii="Arial" w:hAnsi="Arial" w:cs="Arial"/>
          <w:sz w:val="20"/>
          <w:szCs w:val="20"/>
        </w:rPr>
      </w:pPr>
    </w:p>
    <w:p w:rsidR="00A70B67" w:rsidRDefault="00A70B67" w:rsidP="00C16702">
      <w:pPr>
        <w:pStyle w:val="a7"/>
        <w:numPr>
          <w:ilvl w:val="0"/>
          <w:numId w:val="41"/>
        </w:numPr>
        <w:ind w:left="993" w:hanging="284"/>
        <w:jc w:val="both"/>
        <w:rPr>
          <w:rFonts w:ascii="Arial" w:hAnsi="Arial" w:cs="Arial"/>
          <w:sz w:val="20"/>
          <w:szCs w:val="20"/>
        </w:rPr>
      </w:pPr>
      <w:r w:rsidRPr="00A70B67">
        <w:rPr>
          <w:rFonts w:ascii="Arial" w:hAnsi="Arial" w:cs="Arial"/>
          <w:sz w:val="20"/>
          <w:szCs w:val="20"/>
        </w:rPr>
        <w:lastRenderedPageBreak/>
        <w:t xml:space="preserve">the listing document covers (both English and Chinese versions) </w:t>
      </w:r>
      <w:r w:rsidR="00C16702">
        <w:rPr>
          <w:rFonts w:ascii="Arial" w:hAnsi="Arial" w:cs="Arial"/>
          <w:sz w:val="20"/>
          <w:szCs w:val="20"/>
        </w:rPr>
        <w:t xml:space="preserve">satisfy the </w:t>
      </w:r>
      <w:r w:rsidR="00C16702" w:rsidRPr="00A70B67">
        <w:rPr>
          <w:rFonts w:ascii="Arial" w:hAnsi="Arial" w:cs="Arial"/>
          <w:sz w:val="20"/>
          <w:szCs w:val="20"/>
        </w:rPr>
        <w:t>guidance letter</w:t>
      </w:r>
      <w:r w:rsidR="00C16702">
        <w:rPr>
          <w:rFonts w:ascii="Arial" w:hAnsi="Arial" w:cs="Arial"/>
          <w:sz w:val="20"/>
          <w:szCs w:val="20"/>
        </w:rPr>
        <w:t>’s requirements</w:t>
      </w:r>
      <w:r w:rsidR="0085469E">
        <w:rPr>
          <w:rFonts w:ascii="Arial" w:hAnsi="Arial" w:cs="Arial"/>
          <w:sz w:val="20"/>
          <w:szCs w:val="20"/>
        </w:rPr>
        <w:t>; and</w:t>
      </w:r>
    </w:p>
    <w:p w:rsidR="00A70B67" w:rsidRPr="00A70B67" w:rsidRDefault="00A70B67" w:rsidP="00A70B67">
      <w:pPr>
        <w:pStyle w:val="a7"/>
        <w:rPr>
          <w:rFonts w:ascii="Arial" w:hAnsi="Arial" w:cs="Arial"/>
          <w:sz w:val="20"/>
          <w:szCs w:val="20"/>
        </w:rPr>
      </w:pPr>
    </w:p>
    <w:p w:rsidR="00A70B67" w:rsidRDefault="00A70B67" w:rsidP="00A70B67">
      <w:pPr>
        <w:pStyle w:val="a7"/>
        <w:numPr>
          <w:ilvl w:val="0"/>
          <w:numId w:val="40"/>
        </w:numPr>
        <w:jc w:val="both"/>
        <w:rPr>
          <w:rFonts w:ascii="Arial" w:hAnsi="Arial" w:cs="Arial"/>
          <w:sz w:val="20"/>
          <w:szCs w:val="20"/>
        </w:rPr>
      </w:pPr>
      <w:r>
        <w:rPr>
          <w:rFonts w:ascii="Arial" w:hAnsi="Arial" w:cs="Arial"/>
          <w:b/>
          <w:sz w:val="20"/>
          <w:szCs w:val="20"/>
        </w:rPr>
        <w:t xml:space="preserve">Form M301 </w:t>
      </w:r>
      <w:r>
        <w:rPr>
          <w:rFonts w:ascii="Arial" w:hAnsi="Arial" w:cs="Arial"/>
          <w:sz w:val="20"/>
          <w:szCs w:val="20"/>
        </w:rPr>
        <w:t xml:space="preserve">– Sponsor’s confirmation </w:t>
      </w:r>
      <w:r w:rsidR="00C16702" w:rsidRPr="00C16702">
        <w:rPr>
          <w:rFonts w:ascii="Arial" w:hAnsi="Arial" w:cs="Arial"/>
          <w:sz w:val="20"/>
          <w:szCs w:val="20"/>
        </w:rPr>
        <w:t xml:space="preserve">that the prospectus and application forms have been registered and the </w:t>
      </w:r>
      <w:r w:rsidR="00C16702">
        <w:rPr>
          <w:rFonts w:ascii="Arial" w:hAnsi="Arial" w:cs="Arial"/>
          <w:sz w:val="20"/>
          <w:szCs w:val="20"/>
        </w:rPr>
        <w:t xml:space="preserve">HKEX </w:t>
      </w:r>
      <w:r w:rsidR="00C16702" w:rsidRPr="00C16702">
        <w:rPr>
          <w:rFonts w:ascii="Arial" w:hAnsi="Arial" w:cs="Arial"/>
          <w:sz w:val="20"/>
          <w:szCs w:val="20"/>
        </w:rPr>
        <w:t xml:space="preserve">is authorised to publish </w:t>
      </w:r>
      <w:r w:rsidR="00C16702">
        <w:rPr>
          <w:rFonts w:ascii="Arial" w:hAnsi="Arial" w:cs="Arial"/>
          <w:sz w:val="20"/>
          <w:szCs w:val="20"/>
        </w:rPr>
        <w:t>them on its</w:t>
      </w:r>
      <w:r w:rsidR="00C16702" w:rsidRPr="00C16702">
        <w:rPr>
          <w:rFonts w:ascii="Arial" w:hAnsi="Arial" w:cs="Arial"/>
          <w:sz w:val="20"/>
          <w:szCs w:val="20"/>
        </w:rPr>
        <w:t xml:space="preserve"> </w:t>
      </w:r>
      <w:r w:rsidR="00C16702">
        <w:rPr>
          <w:rFonts w:ascii="Arial" w:hAnsi="Arial" w:cs="Arial"/>
          <w:sz w:val="20"/>
          <w:szCs w:val="20"/>
        </w:rPr>
        <w:t>website (HKEX Guidance Letter GL55-13)</w:t>
      </w:r>
      <w:r w:rsidR="0085469E">
        <w:rPr>
          <w:rFonts w:ascii="Arial" w:hAnsi="Arial" w:cs="Arial"/>
          <w:sz w:val="20"/>
          <w:szCs w:val="20"/>
        </w:rPr>
        <w:t>.</w:t>
      </w:r>
    </w:p>
    <w:p w:rsidR="0085469E" w:rsidRDefault="0085469E" w:rsidP="0085469E">
      <w:pPr>
        <w:jc w:val="both"/>
        <w:rPr>
          <w:rFonts w:ascii="Arial" w:hAnsi="Arial" w:cs="Arial"/>
          <w:sz w:val="20"/>
          <w:szCs w:val="20"/>
          <w:u w:val="single"/>
        </w:rPr>
      </w:pPr>
      <w:r>
        <w:rPr>
          <w:rFonts w:ascii="Arial" w:hAnsi="Arial" w:cs="Arial"/>
          <w:sz w:val="20"/>
          <w:szCs w:val="20"/>
          <w:u w:val="single"/>
        </w:rPr>
        <w:t>Respondents’ Concerns and HKEX’s Response</w:t>
      </w:r>
    </w:p>
    <w:p w:rsidR="003E6B0F" w:rsidRPr="0085469E" w:rsidRDefault="003E6B0F" w:rsidP="0085469E">
      <w:pPr>
        <w:jc w:val="both"/>
        <w:rPr>
          <w:rFonts w:ascii="Arial" w:hAnsi="Arial" w:cs="Arial"/>
          <w:sz w:val="20"/>
          <w:szCs w:val="20"/>
        </w:rPr>
      </w:pPr>
      <w:r w:rsidRPr="0085469E">
        <w:rPr>
          <w:rFonts w:ascii="Arial" w:hAnsi="Arial" w:cs="Arial"/>
          <w:sz w:val="20"/>
          <w:szCs w:val="20"/>
        </w:rPr>
        <w:t xml:space="preserve">One respondent commented that it may be difficult for sponsors to obtain confirmations from professional parties and experts if there is no Listing Rule obligation for </w:t>
      </w:r>
      <w:r w:rsidR="0085469E">
        <w:rPr>
          <w:rFonts w:ascii="Arial" w:hAnsi="Arial" w:cs="Arial"/>
          <w:sz w:val="20"/>
          <w:szCs w:val="20"/>
        </w:rPr>
        <w:t>submission of their confirmations</w:t>
      </w:r>
      <w:r w:rsidRPr="0085469E">
        <w:rPr>
          <w:rFonts w:ascii="Arial" w:hAnsi="Arial" w:cs="Arial"/>
          <w:sz w:val="20"/>
          <w:szCs w:val="20"/>
        </w:rPr>
        <w:t xml:space="preserve">. The HKEX responded that it will </w:t>
      </w:r>
      <w:r w:rsidR="00970383">
        <w:rPr>
          <w:rFonts w:ascii="Arial" w:hAnsi="Arial" w:cs="Arial"/>
          <w:sz w:val="20"/>
          <w:szCs w:val="20"/>
        </w:rPr>
        <w:t xml:space="preserve">therefore </w:t>
      </w:r>
      <w:r w:rsidRPr="0085469E">
        <w:rPr>
          <w:rFonts w:ascii="Arial" w:hAnsi="Arial" w:cs="Arial"/>
          <w:sz w:val="20"/>
          <w:szCs w:val="20"/>
        </w:rPr>
        <w:t xml:space="preserve">state in </w:t>
      </w:r>
      <w:r w:rsidR="00970383">
        <w:rPr>
          <w:rFonts w:ascii="Arial" w:hAnsi="Arial" w:cs="Arial"/>
          <w:sz w:val="20"/>
          <w:szCs w:val="20"/>
        </w:rPr>
        <w:t xml:space="preserve">HKEX </w:t>
      </w:r>
      <w:r w:rsidRPr="0085469E">
        <w:rPr>
          <w:rFonts w:ascii="Arial" w:hAnsi="Arial" w:cs="Arial"/>
          <w:sz w:val="20"/>
          <w:szCs w:val="20"/>
        </w:rPr>
        <w:t xml:space="preserve">Guidance Letter </w:t>
      </w:r>
      <w:r w:rsidR="00970383">
        <w:rPr>
          <w:rFonts w:ascii="Arial" w:hAnsi="Arial" w:cs="Arial"/>
          <w:sz w:val="20"/>
          <w:szCs w:val="20"/>
        </w:rPr>
        <w:t>GL55-13</w:t>
      </w:r>
      <w:r w:rsidRPr="0085469E">
        <w:rPr>
          <w:rFonts w:ascii="Arial" w:hAnsi="Arial" w:cs="Arial"/>
          <w:sz w:val="20"/>
          <w:szCs w:val="20"/>
        </w:rPr>
        <w:t xml:space="preserve"> </w:t>
      </w:r>
      <w:r w:rsidR="00970383">
        <w:rPr>
          <w:rFonts w:ascii="Arial" w:hAnsi="Arial" w:cs="Arial"/>
          <w:sz w:val="20"/>
          <w:szCs w:val="20"/>
        </w:rPr>
        <w:t>“</w:t>
      </w:r>
      <w:r w:rsidRPr="0085469E">
        <w:rPr>
          <w:rFonts w:ascii="Arial" w:hAnsi="Arial" w:cs="Arial"/>
          <w:sz w:val="20"/>
          <w:szCs w:val="20"/>
        </w:rPr>
        <w:t>Guidance on Documentary Requirements and Administrative Matters for New Listing Application (Equity)</w:t>
      </w:r>
      <w:r w:rsidR="00970383">
        <w:rPr>
          <w:rFonts w:ascii="Arial" w:hAnsi="Arial" w:cs="Arial"/>
          <w:sz w:val="20"/>
          <w:szCs w:val="20"/>
        </w:rPr>
        <w:t>”</w:t>
      </w:r>
      <w:r w:rsidRPr="0085469E">
        <w:rPr>
          <w:rFonts w:ascii="Arial" w:hAnsi="Arial" w:cs="Arial"/>
          <w:sz w:val="20"/>
          <w:szCs w:val="20"/>
        </w:rPr>
        <w:t xml:space="preserve"> that sponsors should continue to obtain these confirmations to </w:t>
      </w:r>
      <w:r w:rsidR="00970383">
        <w:rPr>
          <w:rFonts w:ascii="Arial" w:hAnsi="Arial" w:cs="Arial"/>
          <w:sz w:val="20"/>
          <w:szCs w:val="20"/>
        </w:rPr>
        <w:t xml:space="preserve">meet </w:t>
      </w:r>
      <w:r w:rsidRPr="0085469E">
        <w:rPr>
          <w:rFonts w:ascii="Arial" w:hAnsi="Arial" w:cs="Arial"/>
          <w:sz w:val="20"/>
          <w:szCs w:val="20"/>
        </w:rPr>
        <w:t>their obligations.</w:t>
      </w:r>
      <w:r w:rsidR="00970383">
        <w:rPr>
          <w:rFonts w:ascii="Arial" w:hAnsi="Arial" w:cs="Arial"/>
          <w:sz w:val="20"/>
          <w:szCs w:val="20"/>
        </w:rPr>
        <w:t xml:space="preserve"> It will also add a statement in</w:t>
      </w:r>
      <w:r w:rsidRPr="0085469E">
        <w:rPr>
          <w:rFonts w:ascii="Arial" w:hAnsi="Arial" w:cs="Arial"/>
          <w:sz w:val="20"/>
          <w:szCs w:val="20"/>
        </w:rPr>
        <w:t xml:space="preserve"> Listing Rule 3A.05(2) </w:t>
      </w:r>
      <w:r w:rsidR="00970383">
        <w:rPr>
          <w:rFonts w:ascii="Arial" w:hAnsi="Arial" w:cs="Arial"/>
          <w:sz w:val="20"/>
          <w:szCs w:val="20"/>
        </w:rPr>
        <w:t>to draw</w:t>
      </w:r>
      <w:r w:rsidRPr="0085469E">
        <w:rPr>
          <w:rFonts w:ascii="Arial" w:hAnsi="Arial" w:cs="Arial"/>
          <w:sz w:val="20"/>
          <w:szCs w:val="20"/>
        </w:rPr>
        <w:t xml:space="preserve"> the attention of listing applicants and their directors to their obligations to procure </w:t>
      </w:r>
      <w:r w:rsidR="00970383">
        <w:rPr>
          <w:rFonts w:ascii="Arial" w:hAnsi="Arial" w:cs="Arial"/>
          <w:sz w:val="20"/>
          <w:szCs w:val="20"/>
        </w:rPr>
        <w:t xml:space="preserve">that </w:t>
      </w:r>
      <w:r w:rsidRPr="0085469E">
        <w:rPr>
          <w:rFonts w:ascii="Arial" w:hAnsi="Arial" w:cs="Arial"/>
          <w:sz w:val="20"/>
          <w:szCs w:val="20"/>
        </w:rPr>
        <w:t>all relevant parties engaged by the listing applicant in connection with the listing application (including financial advisers, experts and other third parties) to cooperate with the sponsor and facilitate its performance of its duties.</w:t>
      </w:r>
    </w:p>
    <w:p w:rsidR="00A757D4" w:rsidRPr="004C6C67" w:rsidRDefault="00A757D4" w:rsidP="00A757D4">
      <w:pPr>
        <w:jc w:val="both"/>
        <w:rPr>
          <w:rFonts w:ascii="Arial" w:hAnsi="Arial" w:cs="Arial"/>
          <w:b/>
          <w:i/>
          <w:sz w:val="20"/>
          <w:szCs w:val="20"/>
        </w:rPr>
      </w:pPr>
      <w:r w:rsidRPr="004C6C67">
        <w:rPr>
          <w:rFonts w:ascii="Arial" w:hAnsi="Arial" w:cs="Arial"/>
          <w:b/>
          <w:i/>
          <w:sz w:val="20"/>
          <w:szCs w:val="20"/>
        </w:rPr>
        <w:t xml:space="preserve">Codifying </w:t>
      </w:r>
      <w:r w:rsidR="004C6C67">
        <w:rPr>
          <w:rFonts w:ascii="Arial" w:hAnsi="Arial" w:cs="Arial"/>
          <w:b/>
          <w:i/>
          <w:sz w:val="20"/>
          <w:szCs w:val="20"/>
        </w:rPr>
        <w:t>Listing Agreements</w:t>
      </w:r>
    </w:p>
    <w:p w:rsidR="00CC7C3E" w:rsidRPr="00CC7C3E" w:rsidRDefault="00CC7C3E" w:rsidP="00CC7C3E">
      <w:pPr>
        <w:jc w:val="both"/>
        <w:rPr>
          <w:rFonts w:ascii="Arial" w:hAnsi="Arial" w:cs="Arial"/>
          <w:sz w:val="20"/>
          <w:szCs w:val="20"/>
        </w:rPr>
      </w:pPr>
      <w:r>
        <w:rPr>
          <w:rFonts w:ascii="Arial" w:hAnsi="Arial" w:cs="Arial"/>
          <w:sz w:val="20"/>
          <w:szCs w:val="20"/>
        </w:rPr>
        <w:t>T</w:t>
      </w:r>
      <w:r w:rsidR="004C6C67" w:rsidRPr="00CC7C3E">
        <w:rPr>
          <w:rFonts w:ascii="Arial" w:hAnsi="Arial" w:cs="Arial"/>
          <w:sz w:val="20"/>
          <w:szCs w:val="20"/>
        </w:rPr>
        <w:t xml:space="preserve">he HKEX will repeal the requirement for </w:t>
      </w:r>
      <w:r w:rsidRPr="00CC7C3E">
        <w:rPr>
          <w:rFonts w:ascii="Arial" w:hAnsi="Arial" w:cs="Arial"/>
          <w:sz w:val="20"/>
          <w:szCs w:val="20"/>
        </w:rPr>
        <w:t xml:space="preserve">listing agreements for </w:t>
      </w:r>
      <w:r w:rsidR="00937BCF">
        <w:rPr>
          <w:rFonts w:ascii="Arial" w:hAnsi="Arial" w:cs="Arial"/>
          <w:sz w:val="20"/>
          <w:szCs w:val="20"/>
        </w:rPr>
        <w:t xml:space="preserve">listings </w:t>
      </w:r>
      <w:r w:rsidRPr="00CC7C3E">
        <w:rPr>
          <w:rFonts w:ascii="Arial" w:hAnsi="Arial" w:cs="Arial"/>
          <w:sz w:val="20"/>
          <w:szCs w:val="20"/>
        </w:rPr>
        <w:t xml:space="preserve">of debt securities (other than debt </w:t>
      </w:r>
      <w:r w:rsidR="00937BCF">
        <w:rPr>
          <w:rFonts w:ascii="Arial" w:hAnsi="Arial" w:cs="Arial"/>
          <w:sz w:val="20"/>
          <w:szCs w:val="20"/>
        </w:rPr>
        <w:t xml:space="preserve">listings </w:t>
      </w:r>
      <w:r>
        <w:rPr>
          <w:rFonts w:ascii="Arial" w:hAnsi="Arial" w:cs="Arial"/>
          <w:sz w:val="20"/>
          <w:szCs w:val="20"/>
        </w:rPr>
        <w:t>to professional investors);</w:t>
      </w:r>
      <w:r w:rsidRPr="00CC7C3E">
        <w:rPr>
          <w:rFonts w:ascii="Arial" w:hAnsi="Arial" w:cs="Arial"/>
          <w:sz w:val="20"/>
          <w:szCs w:val="20"/>
        </w:rPr>
        <w:t xml:space="preserve"> structured products</w:t>
      </w:r>
      <w:r>
        <w:rPr>
          <w:rFonts w:ascii="Arial" w:hAnsi="Arial" w:cs="Arial"/>
          <w:sz w:val="20"/>
          <w:szCs w:val="20"/>
        </w:rPr>
        <w:t>;</w:t>
      </w:r>
      <w:r w:rsidRPr="00CC7C3E">
        <w:rPr>
          <w:rFonts w:ascii="Arial" w:hAnsi="Arial" w:cs="Arial"/>
          <w:sz w:val="20"/>
          <w:szCs w:val="20"/>
        </w:rPr>
        <w:t xml:space="preserve"> and interests in </w:t>
      </w:r>
      <w:r>
        <w:rPr>
          <w:rFonts w:ascii="Arial" w:hAnsi="Arial" w:cs="Arial"/>
          <w:sz w:val="20"/>
          <w:szCs w:val="20"/>
        </w:rPr>
        <w:t>collective investment schemes</w:t>
      </w:r>
      <w:r w:rsidRPr="00CC7C3E">
        <w:rPr>
          <w:rFonts w:ascii="Arial" w:hAnsi="Arial" w:cs="Arial"/>
          <w:sz w:val="20"/>
          <w:szCs w:val="20"/>
        </w:rPr>
        <w:t xml:space="preserve"> and investment companies</w:t>
      </w:r>
      <w:r>
        <w:rPr>
          <w:rFonts w:ascii="Arial" w:hAnsi="Arial" w:cs="Arial"/>
          <w:sz w:val="20"/>
          <w:szCs w:val="20"/>
        </w:rPr>
        <w:t xml:space="preserve"> by codifying</w:t>
      </w:r>
      <w:r w:rsidR="00602491">
        <w:rPr>
          <w:rFonts w:ascii="Arial" w:hAnsi="Arial" w:cs="Arial"/>
          <w:sz w:val="20"/>
          <w:szCs w:val="20"/>
        </w:rPr>
        <w:t xml:space="preserve"> in the HKEX Listing Rules</w:t>
      </w:r>
      <w:r>
        <w:rPr>
          <w:rFonts w:ascii="Arial" w:hAnsi="Arial" w:cs="Arial"/>
          <w:sz w:val="20"/>
          <w:szCs w:val="20"/>
        </w:rPr>
        <w:t xml:space="preserve"> the </w:t>
      </w:r>
      <w:r w:rsidR="00602491">
        <w:rPr>
          <w:rFonts w:ascii="Arial" w:hAnsi="Arial" w:cs="Arial"/>
          <w:sz w:val="20"/>
          <w:szCs w:val="20"/>
        </w:rPr>
        <w:t xml:space="preserve">continuing </w:t>
      </w:r>
      <w:r>
        <w:rPr>
          <w:rFonts w:ascii="Arial" w:hAnsi="Arial" w:cs="Arial"/>
          <w:sz w:val="20"/>
          <w:szCs w:val="20"/>
        </w:rPr>
        <w:t>obligations</w:t>
      </w:r>
      <w:r w:rsidR="00602491">
        <w:rPr>
          <w:rFonts w:ascii="Arial" w:hAnsi="Arial" w:cs="Arial"/>
          <w:sz w:val="20"/>
          <w:szCs w:val="20"/>
        </w:rPr>
        <w:t xml:space="preserve"> contained in those listing agreements</w:t>
      </w:r>
      <w:r w:rsidRPr="00CC7C3E">
        <w:rPr>
          <w:rFonts w:ascii="Arial" w:hAnsi="Arial" w:cs="Arial"/>
          <w:sz w:val="20"/>
          <w:szCs w:val="20"/>
        </w:rPr>
        <w:t>.</w:t>
      </w:r>
    </w:p>
    <w:p w:rsidR="00CC7C3E" w:rsidRDefault="00CC7C3E" w:rsidP="004C6C67">
      <w:pPr>
        <w:jc w:val="both"/>
        <w:rPr>
          <w:rFonts w:ascii="Arial" w:hAnsi="Arial" w:cs="Arial"/>
          <w:b/>
          <w:i/>
          <w:sz w:val="20"/>
          <w:szCs w:val="20"/>
        </w:rPr>
      </w:pPr>
      <w:r>
        <w:rPr>
          <w:rFonts w:ascii="Arial" w:hAnsi="Arial" w:cs="Arial"/>
          <w:b/>
          <w:i/>
          <w:sz w:val="20"/>
          <w:szCs w:val="20"/>
        </w:rPr>
        <w:t>Codifying Authorisations and Consents</w:t>
      </w:r>
    </w:p>
    <w:p w:rsidR="00CC7C3E" w:rsidRDefault="00CC7C3E" w:rsidP="004C6C67">
      <w:pPr>
        <w:jc w:val="both"/>
        <w:rPr>
          <w:rFonts w:ascii="Arial" w:hAnsi="Arial" w:cs="Arial"/>
          <w:sz w:val="20"/>
          <w:szCs w:val="20"/>
        </w:rPr>
      </w:pPr>
      <w:r>
        <w:rPr>
          <w:rFonts w:ascii="Arial" w:hAnsi="Arial" w:cs="Arial"/>
          <w:sz w:val="20"/>
          <w:szCs w:val="20"/>
        </w:rPr>
        <w:t xml:space="preserve">The HKEX will codify the obligations of a listed company and other relevant parties to obtain various </w:t>
      </w:r>
      <w:r w:rsidR="00C939A4" w:rsidRPr="004C6C67">
        <w:rPr>
          <w:rFonts w:ascii="Arial" w:hAnsi="Arial" w:cs="Arial"/>
          <w:sz w:val="20"/>
          <w:szCs w:val="20"/>
        </w:rPr>
        <w:t>authorisation documents</w:t>
      </w:r>
      <w:r w:rsidR="0035382A">
        <w:rPr>
          <w:rFonts w:ascii="Arial" w:hAnsi="Arial" w:cs="Arial"/>
          <w:sz w:val="20"/>
          <w:szCs w:val="20"/>
        </w:rPr>
        <w:t xml:space="preserve"> and consents for its actions as set out in the table below.</w:t>
      </w:r>
    </w:p>
    <w:tbl>
      <w:tblPr>
        <w:tblStyle w:val="af5"/>
        <w:tblW w:w="0" w:type="auto"/>
        <w:tblLook w:val="04A0" w:firstRow="1" w:lastRow="0" w:firstColumn="1" w:lastColumn="0" w:noHBand="0" w:noVBand="1"/>
      </w:tblPr>
      <w:tblGrid>
        <w:gridCol w:w="4491"/>
        <w:gridCol w:w="1206"/>
        <w:gridCol w:w="3653"/>
      </w:tblGrid>
      <w:tr w:rsidR="0035382A" w:rsidTr="002773D1">
        <w:tc>
          <w:tcPr>
            <w:tcW w:w="4491" w:type="dxa"/>
          </w:tcPr>
          <w:p w:rsidR="0035382A" w:rsidRPr="00756197" w:rsidRDefault="0035382A" w:rsidP="004C6C67">
            <w:pPr>
              <w:jc w:val="both"/>
              <w:rPr>
                <w:rFonts w:ascii="Arial" w:hAnsi="Arial" w:cs="Arial"/>
                <w:color w:val="FF0000"/>
                <w:sz w:val="20"/>
                <w:szCs w:val="20"/>
              </w:rPr>
            </w:pPr>
            <w:r w:rsidRPr="00756197">
              <w:rPr>
                <w:rFonts w:ascii="Arial" w:hAnsi="Arial" w:cs="Arial"/>
                <w:color w:val="FF0000"/>
                <w:sz w:val="20"/>
                <w:szCs w:val="20"/>
              </w:rPr>
              <w:t>Documents evidencing the due authorisation of issuer’s actions</w:t>
            </w:r>
          </w:p>
        </w:tc>
        <w:tc>
          <w:tcPr>
            <w:tcW w:w="1206" w:type="dxa"/>
          </w:tcPr>
          <w:p w:rsidR="0035382A" w:rsidRPr="00756197" w:rsidRDefault="0035382A" w:rsidP="004C6C67">
            <w:pPr>
              <w:jc w:val="both"/>
              <w:rPr>
                <w:rFonts w:ascii="Arial" w:hAnsi="Arial" w:cs="Arial"/>
                <w:color w:val="FF0000"/>
                <w:sz w:val="20"/>
                <w:szCs w:val="20"/>
              </w:rPr>
            </w:pPr>
            <w:r w:rsidRPr="00756197">
              <w:rPr>
                <w:rFonts w:ascii="Arial" w:hAnsi="Arial" w:cs="Arial"/>
                <w:color w:val="FF0000"/>
                <w:sz w:val="20"/>
                <w:szCs w:val="20"/>
              </w:rPr>
              <w:t>Rule or Guidance Materials</w:t>
            </w:r>
          </w:p>
        </w:tc>
        <w:tc>
          <w:tcPr>
            <w:tcW w:w="3653" w:type="dxa"/>
          </w:tcPr>
          <w:p w:rsidR="0035382A" w:rsidRPr="00756197" w:rsidRDefault="0035382A" w:rsidP="0035382A">
            <w:pPr>
              <w:jc w:val="both"/>
              <w:rPr>
                <w:rFonts w:ascii="Arial" w:hAnsi="Arial" w:cs="Arial"/>
                <w:color w:val="FF0000"/>
                <w:sz w:val="20"/>
                <w:szCs w:val="20"/>
              </w:rPr>
            </w:pPr>
            <w:r w:rsidRPr="00756197">
              <w:rPr>
                <w:rFonts w:ascii="Arial" w:hAnsi="Arial" w:cs="Arial"/>
                <w:color w:val="FF0000"/>
                <w:sz w:val="20"/>
                <w:szCs w:val="20"/>
              </w:rPr>
              <w:t>Codified Obligation</w:t>
            </w:r>
          </w:p>
        </w:tc>
      </w:tr>
      <w:tr w:rsidR="00756197" w:rsidTr="002773D1">
        <w:tc>
          <w:tcPr>
            <w:tcW w:w="4491" w:type="dxa"/>
          </w:tcPr>
          <w:p w:rsidR="00756197" w:rsidRPr="00756197" w:rsidRDefault="00756197" w:rsidP="004C6C67">
            <w:pPr>
              <w:jc w:val="both"/>
              <w:rPr>
                <w:rFonts w:ascii="Arial" w:hAnsi="Arial" w:cs="Arial"/>
                <w:sz w:val="20"/>
                <w:szCs w:val="20"/>
              </w:rPr>
            </w:pPr>
          </w:p>
          <w:p w:rsidR="00756197" w:rsidRPr="00756197" w:rsidRDefault="00756197" w:rsidP="00756197">
            <w:pPr>
              <w:jc w:val="both"/>
              <w:rPr>
                <w:rFonts w:ascii="Arial" w:hAnsi="Arial" w:cs="Arial"/>
                <w:sz w:val="20"/>
                <w:szCs w:val="20"/>
              </w:rPr>
            </w:pPr>
            <w:r w:rsidRPr="00756197">
              <w:rPr>
                <w:rFonts w:ascii="Arial" w:hAnsi="Arial" w:cs="Arial"/>
                <w:sz w:val="20"/>
                <w:szCs w:val="20"/>
              </w:rPr>
              <w:t xml:space="preserve">Certified extract from the listing applicant’s board minutes authorising submission of Form A1 and approving the listing applicant’s undertaking included in it </w:t>
            </w:r>
          </w:p>
        </w:tc>
        <w:tc>
          <w:tcPr>
            <w:tcW w:w="1206" w:type="dxa"/>
          </w:tcPr>
          <w:p w:rsidR="00756197" w:rsidRPr="00756197" w:rsidRDefault="00756197"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Required under Form A1</w:t>
            </w:r>
          </w:p>
        </w:tc>
        <w:tc>
          <w:tcPr>
            <w:tcW w:w="3653" w:type="dxa"/>
            <w:vMerge w:val="restart"/>
          </w:tcPr>
          <w:p w:rsidR="00756197" w:rsidRP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Obligations of the listing applicant and the sponsor to ensure that the submission of Form A1 and the new applicant’s undertakings have been duly authorised and approved will be codified in Main Board Listing Rules 9.03(6) and 24.16.</w:t>
            </w:r>
          </w:p>
          <w:p w:rsidR="00756197" w:rsidRPr="00756197" w:rsidRDefault="00756197" w:rsidP="004C6C67">
            <w:pPr>
              <w:jc w:val="both"/>
              <w:rPr>
                <w:rFonts w:ascii="Arial" w:hAnsi="Arial" w:cs="Arial"/>
                <w:sz w:val="20"/>
                <w:szCs w:val="20"/>
              </w:rPr>
            </w:pPr>
          </w:p>
        </w:tc>
      </w:tr>
      <w:tr w:rsidR="00756197" w:rsidTr="002773D1">
        <w:tc>
          <w:tcPr>
            <w:tcW w:w="4491" w:type="dxa"/>
          </w:tcPr>
          <w:p w:rsidR="00756197" w:rsidRPr="00756197" w:rsidRDefault="00756197"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Resolution(s) of the listing applicant in general meeting (if any) authorising the issue of all securities for which listing is sought</w:t>
            </w:r>
          </w:p>
        </w:tc>
        <w:tc>
          <w:tcPr>
            <w:tcW w:w="1206" w:type="dxa"/>
          </w:tcPr>
          <w:p w:rsidR="00756197" w:rsidRPr="00756197" w:rsidRDefault="00756197"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MB Rule 9.11(34)(a)</w:t>
            </w:r>
          </w:p>
        </w:tc>
        <w:tc>
          <w:tcPr>
            <w:tcW w:w="3653" w:type="dxa"/>
            <w:vMerge/>
          </w:tcPr>
          <w:p w:rsidR="00756197" w:rsidRPr="00756197" w:rsidRDefault="00756197" w:rsidP="004C6C67">
            <w:pPr>
              <w:jc w:val="both"/>
              <w:rPr>
                <w:rFonts w:ascii="Arial" w:hAnsi="Arial" w:cs="Arial"/>
                <w:sz w:val="20"/>
                <w:szCs w:val="20"/>
              </w:rPr>
            </w:pPr>
          </w:p>
        </w:tc>
      </w:tr>
      <w:tr w:rsidR="00756197" w:rsidTr="002773D1">
        <w:tc>
          <w:tcPr>
            <w:tcW w:w="4491" w:type="dxa"/>
          </w:tcPr>
          <w:p w:rsidR="00756197" w:rsidRPr="00756197" w:rsidRDefault="00756197" w:rsidP="004C6C67">
            <w:pPr>
              <w:jc w:val="both"/>
              <w:rPr>
                <w:rFonts w:ascii="Arial" w:hAnsi="Arial" w:cs="Arial"/>
                <w:sz w:val="20"/>
                <w:szCs w:val="20"/>
              </w:rPr>
            </w:pPr>
          </w:p>
          <w:p w:rsidR="00756197" w:rsidRPr="00756197" w:rsidRDefault="00756197" w:rsidP="00756197">
            <w:pPr>
              <w:jc w:val="both"/>
              <w:rPr>
                <w:rFonts w:ascii="Arial" w:hAnsi="Arial" w:cs="Arial"/>
                <w:sz w:val="20"/>
                <w:szCs w:val="20"/>
              </w:rPr>
            </w:pPr>
            <w:r w:rsidRPr="00756197">
              <w:rPr>
                <w:rFonts w:ascii="Arial" w:hAnsi="Arial" w:cs="Arial"/>
                <w:sz w:val="20"/>
                <w:szCs w:val="20"/>
              </w:rPr>
              <w:t>Resolution(s) of the board of directors or other governing body or any other person to whom it has properly delegated these powers (with a certified copy of the power of attorney or resolution delegating the powers) authorising the issue and allotment of the securities, the making of the application for listing in Form A1, and where applicable, the making of all necessary arrangements enabling the securities to be admitted into CCASS, and the signing of the listing agreement, and approving and authorising the issue of the listing document.</w:t>
            </w:r>
          </w:p>
        </w:tc>
        <w:tc>
          <w:tcPr>
            <w:tcW w:w="1206" w:type="dxa"/>
          </w:tcPr>
          <w:p w:rsidR="00756197" w:rsidRPr="00756197" w:rsidRDefault="00756197"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MB Rule 9.11(34)(b)</w:t>
            </w:r>
          </w:p>
        </w:tc>
        <w:tc>
          <w:tcPr>
            <w:tcW w:w="3653" w:type="dxa"/>
            <w:vMerge/>
          </w:tcPr>
          <w:p w:rsidR="00756197" w:rsidRPr="00756197" w:rsidRDefault="00756197" w:rsidP="004C6C67">
            <w:pPr>
              <w:jc w:val="both"/>
              <w:rPr>
                <w:rFonts w:ascii="Arial" w:hAnsi="Arial" w:cs="Arial"/>
                <w:sz w:val="20"/>
                <w:szCs w:val="20"/>
              </w:rPr>
            </w:pPr>
          </w:p>
        </w:tc>
      </w:tr>
      <w:tr w:rsidR="0035382A" w:rsidTr="002773D1">
        <w:tc>
          <w:tcPr>
            <w:tcW w:w="4491" w:type="dxa"/>
          </w:tcPr>
          <w:p w:rsidR="0035382A" w:rsidRDefault="0035382A" w:rsidP="004C6C67">
            <w:pPr>
              <w:jc w:val="both"/>
              <w:rPr>
                <w:rFonts w:ascii="Arial" w:hAnsi="Arial" w:cs="Arial"/>
                <w:sz w:val="20"/>
                <w:szCs w:val="20"/>
              </w:rPr>
            </w:pPr>
          </w:p>
          <w:p w:rsidR="00756197" w:rsidRPr="00756197" w:rsidRDefault="00756197" w:rsidP="00756197">
            <w:pPr>
              <w:jc w:val="both"/>
              <w:rPr>
                <w:rFonts w:ascii="Arial" w:hAnsi="Arial" w:cs="Arial"/>
                <w:sz w:val="20"/>
                <w:szCs w:val="20"/>
              </w:rPr>
            </w:pPr>
            <w:r w:rsidRPr="00756197">
              <w:rPr>
                <w:rFonts w:ascii="Arial" w:hAnsi="Arial" w:cs="Arial"/>
                <w:i/>
                <w:sz w:val="20"/>
                <w:szCs w:val="20"/>
              </w:rPr>
              <w:t>For structured products only</w:t>
            </w:r>
            <w:r w:rsidRPr="00756197">
              <w:rPr>
                <w:rFonts w:ascii="Arial" w:hAnsi="Arial" w:cs="Arial"/>
                <w:sz w:val="20"/>
                <w:szCs w:val="20"/>
              </w:rPr>
              <w:t xml:space="preserve"> - Certified copy of authorisation where documents are signed by an agent or attorney </w:t>
            </w:r>
          </w:p>
        </w:tc>
        <w:tc>
          <w:tcPr>
            <w:tcW w:w="1206" w:type="dxa"/>
          </w:tcPr>
          <w:p w:rsidR="0035382A" w:rsidRDefault="0035382A" w:rsidP="004C6C67">
            <w:pPr>
              <w:jc w:val="both"/>
              <w:rPr>
                <w:rFonts w:ascii="Arial" w:hAnsi="Arial" w:cs="Arial"/>
                <w:sz w:val="20"/>
                <w:szCs w:val="20"/>
              </w:rPr>
            </w:pPr>
          </w:p>
          <w:p w:rsidR="00756197" w:rsidRPr="00756197" w:rsidRDefault="00756197" w:rsidP="004C6C67">
            <w:pPr>
              <w:jc w:val="both"/>
              <w:rPr>
                <w:rFonts w:ascii="Arial" w:hAnsi="Arial" w:cs="Arial"/>
                <w:sz w:val="20"/>
                <w:szCs w:val="20"/>
              </w:rPr>
            </w:pPr>
            <w:r w:rsidRPr="00756197">
              <w:rPr>
                <w:rFonts w:ascii="Arial" w:hAnsi="Arial" w:cs="Arial"/>
                <w:sz w:val="20"/>
                <w:szCs w:val="20"/>
              </w:rPr>
              <w:t>MB Rules 15A.56 (1) and 15A.64(4)</w:t>
            </w:r>
          </w:p>
        </w:tc>
        <w:tc>
          <w:tcPr>
            <w:tcW w:w="3653" w:type="dxa"/>
          </w:tcPr>
          <w:p w:rsidR="0035382A" w:rsidRDefault="0035382A" w:rsidP="004C6C67">
            <w:pPr>
              <w:jc w:val="both"/>
              <w:rPr>
                <w:rFonts w:ascii="Arial" w:hAnsi="Arial" w:cs="Arial"/>
                <w:sz w:val="20"/>
                <w:szCs w:val="20"/>
              </w:rPr>
            </w:pPr>
          </w:p>
          <w:p w:rsidR="00756197" w:rsidRDefault="00756197" w:rsidP="004C6C67">
            <w:pPr>
              <w:jc w:val="both"/>
              <w:rPr>
                <w:rFonts w:ascii="Arial" w:hAnsi="Arial" w:cs="Arial"/>
                <w:sz w:val="20"/>
                <w:szCs w:val="20"/>
              </w:rPr>
            </w:pPr>
            <w:r>
              <w:rPr>
                <w:rFonts w:ascii="Arial" w:hAnsi="Arial" w:cs="Arial"/>
                <w:sz w:val="20"/>
                <w:szCs w:val="20"/>
              </w:rPr>
              <w:t>The requirement that all documents are signed will be codified as a requirement that one must be duly signed and executed.</w:t>
            </w:r>
          </w:p>
          <w:p w:rsidR="00756197" w:rsidRDefault="00756197" w:rsidP="004C6C67">
            <w:pPr>
              <w:jc w:val="both"/>
              <w:rPr>
                <w:rFonts w:ascii="Arial" w:hAnsi="Arial" w:cs="Arial"/>
                <w:sz w:val="20"/>
                <w:szCs w:val="20"/>
              </w:rPr>
            </w:pPr>
          </w:p>
          <w:p w:rsidR="00756197" w:rsidRDefault="00756197" w:rsidP="004C6C67">
            <w:pPr>
              <w:jc w:val="both"/>
              <w:rPr>
                <w:rFonts w:ascii="Arial" w:hAnsi="Arial" w:cs="Arial"/>
                <w:sz w:val="20"/>
                <w:szCs w:val="20"/>
              </w:rPr>
            </w:pPr>
            <w:r>
              <w:rPr>
                <w:rFonts w:ascii="Arial" w:hAnsi="Arial" w:cs="Arial"/>
                <w:sz w:val="20"/>
                <w:szCs w:val="20"/>
              </w:rPr>
              <w:t>The obligation to submit hard copies will be removed.</w:t>
            </w:r>
          </w:p>
          <w:p w:rsidR="00756197" w:rsidRDefault="00756197" w:rsidP="004C6C67">
            <w:pPr>
              <w:jc w:val="both"/>
              <w:rPr>
                <w:rFonts w:ascii="Arial" w:hAnsi="Arial" w:cs="Arial"/>
                <w:sz w:val="20"/>
                <w:szCs w:val="20"/>
              </w:rPr>
            </w:pPr>
          </w:p>
        </w:tc>
      </w:tr>
      <w:tr w:rsidR="0035382A" w:rsidTr="002773D1">
        <w:tc>
          <w:tcPr>
            <w:tcW w:w="4491" w:type="dxa"/>
          </w:tcPr>
          <w:p w:rsidR="0035382A" w:rsidRPr="00E42831" w:rsidRDefault="0035382A" w:rsidP="004C6C67">
            <w:pPr>
              <w:jc w:val="both"/>
              <w:rPr>
                <w:rFonts w:ascii="Arial" w:hAnsi="Arial" w:cs="Arial"/>
                <w:sz w:val="20"/>
                <w:szCs w:val="20"/>
              </w:rPr>
            </w:pPr>
          </w:p>
          <w:p w:rsidR="00756197" w:rsidRPr="00E42831" w:rsidRDefault="00756197" w:rsidP="004C6C67">
            <w:pPr>
              <w:jc w:val="both"/>
              <w:rPr>
                <w:rFonts w:ascii="Arial" w:hAnsi="Arial" w:cs="Arial"/>
                <w:i/>
                <w:sz w:val="20"/>
                <w:szCs w:val="20"/>
              </w:rPr>
            </w:pPr>
            <w:r w:rsidRPr="00E42831">
              <w:rPr>
                <w:rFonts w:ascii="Arial" w:hAnsi="Arial" w:cs="Arial"/>
                <w:i/>
                <w:sz w:val="20"/>
                <w:szCs w:val="20"/>
              </w:rPr>
              <w:t>For collective investment schemes (</w:t>
            </w:r>
            <w:r w:rsidRPr="00E42831">
              <w:rPr>
                <w:rFonts w:ascii="Arial" w:hAnsi="Arial" w:cs="Arial"/>
                <w:b/>
                <w:i/>
                <w:sz w:val="20"/>
                <w:szCs w:val="20"/>
              </w:rPr>
              <w:t>CIS</w:t>
            </w:r>
            <w:r w:rsidRPr="00E42831">
              <w:rPr>
                <w:rFonts w:ascii="Arial" w:hAnsi="Arial" w:cs="Arial"/>
                <w:i/>
                <w:sz w:val="20"/>
                <w:szCs w:val="20"/>
              </w:rPr>
              <w:t>) only:</w:t>
            </w:r>
          </w:p>
          <w:p w:rsidR="00756197" w:rsidRPr="00E42831" w:rsidRDefault="00756197" w:rsidP="004C6C67">
            <w:pPr>
              <w:jc w:val="both"/>
              <w:rPr>
                <w:rFonts w:ascii="Arial" w:hAnsi="Arial" w:cs="Arial"/>
                <w:i/>
                <w:sz w:val="20"/>
                <w:szCs w:val="20"/>
              </w:rPr>
            </w:pPr>
          </w:p>
          <w:p w:rsidR="00E42831" w:rsidRPr="00E42831" w:rsidRDefault="00756197" w:rsidP="00756197">
            <w:pPr>
              <w:pStyle w:val="a7"/>
              <w:numPr>
                <w:ilvl w:val="0"/>
                <w:numId w:val="40"/>
              </w:numPr>
              <w:ind w:left="317" w:hanging="317"/>
              <w:jc w:val="both"/>
              <w:rPr>
                <w:rFonts w:ascii="Arial" w:hAnsi="Arial" w:cs="Arial"/>
                <w:sz w:val="20"/>
                <w:szCs w:val="20"/>
              </w:rPr>
            </w:pPr>
            <w:r w:rsidRPr="00E42831">
              <w:rPr>
                <w:rFonts w:ascii="Arial" w:hAnsi="Arial" w:cs="Arial"/>
                <w:sz w:val="20"/>
                <w:szCs w:val="20"/>
              </w:rPr>
              <w:t>Resolution(s) of the board or other governing bodies of the CIS, the CIS Operator and of the custodian or trustee or its functional equivalent authorising the application, the issue of the listing document and the signing of the Listing Agreement</w:t>
            </w:r>
            <w:r w:rsidR="00E42831" w:rsidRPr="00E42831">
              <w:rPr>
                <w:rFonts w:ascii="Arial" w:hAnsi="Arial" w:cs="Arial"/>
                <w:sz w:val="20"/>
                <w:szCs w:val="20"/>
              </w:rPr>
              <w:t>.</w:t>
            </w:r>
          </w:p>
          <w:p w:rsidR="00E42831" w:rsidRPr="00E42831" w:rsidRDefault="00E42831" w:rsidP="00E42831">
            <w:pPr>
              <w:pStyle w:val="a7"/>
              <w:ind w:left="317"/>
              <w:jc w:val="both"/>
              <w:rPr>
                <w:rFonts w:ascii="Arial" w:hAnsi="Arial" w:cs="Arial"/>
                <w:sz w:val="20"/>
                <w:szCs w:val="20"/>
              </w:rPr>
            </w:pPr>
          </w:p>
          <w:p w:rsidR="00756197" w:rsidRPr="00E42831" w:rsidRDefault="00E42831" w:rsidP="00756197">
            <w:pPr>
              <w:pStyle w:val="a7"/>
              <w:numPr>
                <w:ilvl w:val="0"/>
                <w:numId w:val="40"/>
              </w:numPr>
              <w:ind w:left="317" w:hanging="317"/>
              <w:jc w:val="both"/>
              <w:rPr>
                <w:rFonts w:ascii="Arial" w:hAnsi="Arial" w:cs="Arial"/>
                <w:sz w:val="20"/>
                <w:szCs w:val="20"/>
              </w:rPr>
            </w:pPr>
            <w:r w:rsidRPr="00E42831">
              <w:rPr>
                <w:rFonts w:ascii="Arial" w:hAnsi="Arial" w:cs="Arial"/>
                <w:sz w:val="20"/>
                <w:szCs w:val="20"/>
              </w:rPr>
              <w:t>Resolutions referred to in the listing document (unless previously supplied under Listing Rule 20.14(4))</w:t>
            </w:r>
            <w:r w:rsidR="00756197" w:rsidRPr="00E42831">
              <w:rPr>
                <w:rFonts w:ascii="Arial" w:hAnsi="Arial" w:cs="Arial"/>
                <w:sz w:val="20"/>
                <w:szCs w:val="20"/>
              </w:rPr>
              <w:t xml:space="preserve"> </w:t>
            </w:r>
          </w:p>
        </w:tc>
        <w:tc>
          <w:tcPr>
            <w:tcW w:w="1206" w:type="dxa"/>
          </w:tcPr>
          <w:p w:rsidR="0035382A" w:rsidRPr="00E42831" w:rsidRDefault="0035382A" w:rsidP="004C6C67">
            <w:pPr>
              <w:jc w:val="both"/>
              <w:rPr>
                <w:rFonts w:ascii="Arial" w:hAnsi="Arial" w:cs="Arial"/>
                <w:sz w:val="20"/>
                <w:szCs w:val="20"/>
              </w:rPr>
            </w:pPr>
          </w:p>
          <w:p w:rsidR="00756197" w:rsidRPr="00E42831" w:rsidRDefault="00756197" w:rsidP="004C6C67">
            <w:pPr>
              <w:jc w:val="both"/>
              <w:rPr>
                <w:rFonts w:ascii="Arial" w:hAnsi="Arial" w:cs="Arial"/>
                <w:sz w:val="20"/>
                <w:szCs w:val="20"/>
              </w:rPr>
            </w:pPr>
            <w:r w:rsidRPr="00E42831">
              <w:rPr>
                <w:rFonts w:ascii="Arial" w:hAnsi="Arial" w:cs="Arial"/>
                <w:sz w:val="20"/>
                <w:szCs w:val="20"/>
              </w:rPr>
              <w:t>MB Rule 20.14(4)</w:t>
            </w: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r w:rsidRPr="00E42831">
              <w:rPr>
                <w:rFonts w:ascii="Arial" w:hAnsi="Arial" w:cs="Arial"/>
                <w:sz w:val="20"/>
                <w:szCs w:val="20"/>
              </w:rPr>
              <w:t>MB Rule 20.17</w:t>
            </w:r>
          </w:p>
        </w:tc>
        <w:tc>
          <w:tcPr>
            <w:tcW w:w="3653" w:type="dxa"/>
          </w:tcPr>
          <w:p w:rsidR="0035382A" w:rsidRPr="00E42831" w:rsidRDefault="0035382A" w:rsidP="004C6C67">
            <w:pPr>
              <w:jc w:val="both"/>
              <w:rPr>
                <w:rFonts w:ascii="Arial" w:hAnsi="Arial" w:cs="Arial"/>
                <w:sz w:val="20"/>
                <w:szCs w:val="20"/>
              </w:rPr>
            </w:pPr>
          </w:p>
          <w:p w:rsidR="00756197" w:rsidRPr="00E42831" w:rsidRDefault="00E42831" w:rsidP="00E42831">
            <w:pPr>
              <w:jc w:val="both"/>
              <w:rPr>
                <w:rFonts w:ascii="Arial" w:hAnsi="Arial" w:cs="Arial"/>
                <w:sz w:val="20"/>
                <w:szCs w:val="20"/>
              </w:rPr>
            </w:pPr>
            <w:r w:rsidRPr="00E42831">
              <w:rPr>
                <w:rFonts w:ascii="Arial" w:hAnsi="Arial" w:cs="Arial"/>
                <w:sz w:val="20"/>
                <w:szCs w:val="20"/>
              </w:rPr>
              <w:t>T</w:t>
            </w:r>
            <w:r w:rsidR="00756197" w:rsidRPr="00E42831">
              <w:rPr>
                <w:rFonts w:ascii="Arial" w:hAnsi="Arial" w:cs="Arial"/>
                <w:sz w:val="20"/>
                <w:szCs w:val="20"/>
              </w:rPr>
              <w:t xml:space="preserve">he obligations of the </w:t>
            </w:r>
            <w:r w:rsidRPr="00E42831">
              <w:rPr>
                <w:rFonts w:ascii="Arial" w:hAnsi="Arial" w:cs="Arial"/>
                <w:sz w:val="20"/>
                <w:szCs w:val="20"/>
              </w:rPr>
              <w:t xml:space="preserve">listing </w:t>
            </w:r>
            <w:r w:rsidR="00756197" w:rsidRPr="00E42831">
              <w:rPr>
                <w:rFonts w:ascii="Arial" w:hAnsi="Arial" w:cs="Arial"/>
                <w:sz w:val="20"/>
                <w:szCs w:val="20"/>
              </w:rPr>
              <w:t>applicant and the listing agent to ensure that the relevant matters have been duly authorised and approved</w:t>
            </w:r>
            <w:r w:rsidRPr="00E42831">
              <w:rPr>
                <w:rFonts w:ascii="Arial" w:hAnsi="Arial" w:cs="Arial"/>
                <w:sz w:val="20"/>
                <w:szCs w:val="20"/>
              </w:rPr>
              <w:t xml:space="preserve"> will be codified</w:t>
            </w:r>
            <w:r w:rsidR="00756197" w:rsidRPr="00E42831">
              <w:rPr>
                <w:rFonts w:ascii="Arial" w:hAnsi="Arial" w:cs="Arial"/>
                <w:sz w:val="20"/>
                <w:szCs w:val="20"/>
              </w:rPr>
              <w:t>.</w:t>
            </w:r>
          </w:p>
          <w:p w:rsidR="00E42831" w:rsidRPr="00E42831" w:rsidRDefault="00E42831" w:rsidP="00E42831">
            <w:pPr>
              <w:jc w:val="both"/>
              <w:rPr>
                <w:rFonts w:ascii="Arial" w:hAnsi="Arial" w:cs="Arial"/>
                <w:sz w:val="20"/>
                <w:szCs w:val="20"/>
              </w:rPr>
            </w:pPr>
          </w:p>
          <w:p w:rsidR="00E42831" w:rsidRPr="00E42831" w:rsidRDefault="00E42831" w:rsidP="00E42831">
            <w:pPr>
              <w:jc w:val="both"/>
              <w:rPr>
                <w:rFonts w:ascii="Arial" w:hAnsi="Arial" w:cs="Arial"/>
                <w:sz w:val="20"/>
                <w:szCs w:val="20"/>
              </w:rPr>
            </w:pPr>
          </w:p>
          <w:p w:rsidR="00E42831" w:rsidRPr="00E42831" w:rsidRDefault="00E42831" w:rsidP="00E42831">
            <w:pPr>
              <w:jc w:val="both"/>
              <w:rPr>
                <w:rFonts w:ascii="Arial" w:hAnsi="Arial" w:cs="Arial"/>
                <w:sz w:val="20"/>
                <w:szCs w:val="20"/>
              </w:rPr>
            </w:pPr>
          </w:p>
          <w:p w:rsidR="00E42831" w:rsidRPr="00E42831" w:rsidRDefault="00E42831" w:rsidP="00E42831">
            <w:pPr>
              <w:jc w:val="both"/>
              <w:rPr>
                <w:rFonts w:ascii="Arial" w:hAnsi="Arial" w:cs="Arial"/>
                <w:sz w:val="20"/>
                <w:szCs w:val="20"/>
              </w:rPr>
            </w:pPr>
            <w:r w:rsidRPr="00E42831">
              <w:rPr>
                <w:rFonts w:ascii="Arial" w:hAnsi="Arial" w:cs="Arial"/>
                <w:sz w:val="20"/>
                <w:szCs w:val="20"/>
              </w:rPr>
              <w:t>The requirement that the listing must be duly authorised by the CIS’ relevant bodies will be codified.</w:t>
            </w:r>
          </w:p>
          <w:p w:rsidR="00E42831" w:rsidRPr="00E42831" w:rsidRDefault="00E42831" w:rsidP="00E42831">
            <w:pPr>
              <w:jc w:val="both"/>
              <w:rPr>
                <w:rFonts w:ascii="Arial" w:hAnsi="Arial" w:cs="Arial"/>
                <w:sz w:val="20"/>
                <w:szCs w:val="20"/>
              </w:rPr>
            </w:pPr>
          </w:p>
        </w:tc>
      </w:tr>
      <w:tr w:rsidR="0035382A" w:rsidTr="002773D1">
        <w:tc>
          <w:tcPr>
            <w:tcW w:w="4491" w:type="dxa"/>
          </w:tcPr>
          <w:p w:rsidR="0035382A" w:rsidRPr="00E42831" w:rsidRDefault="0035382A" w:rsidP="004C6C67">
            <w:pPr>
              <w:jc w:val="both"/>
              <w:rPr>
                <w:rFonts w:ascii="Arial" w:hAnsi="Arial" w:cs="Arial"/>
                <w:sz w:val="20"/>
                <w:szCs w:val="20"/>
              </w:rPr>
            </w:pPr>
          </w:p>
          <w:p w:rsidR="00E42831" w:rsidRPr="00E42831" w:rsidRDefault="00E42831" w:rsidP="00E42831">
            <w:pPr>
              <w:jc w:val="both"/>
              <w:rPr>
                <w:rFonts w:ascii="Arial" w:hAnsi="Arial" w:cs="Arial"/>
                <w:sz w:val="20"/>
                <w:szCs w:val="20"/>
              </w:rPr>
            </w:pPr>
            <w:r w:rsidRPr="00E42831">
              <w:rPr>
                <w:rFonts w:ascii="Arial" w:hAnsi="Arial" w:cs="Arial"/>
                <w:i/>
                <w:sz w:val="20"/>
                <w:szCs w:val="20"/>
              </w:rPr>
              <w:t>For listed CIS issuers (other than an open-end CIS)</w:t>
            </w:r>
            <w:r w:rsidRPr="00E42831">
              <w:rPr>
                <w:rFonts w:ascii="Arial" w:hAnsi="Arial" w:cs="Arial"/>
                <w:sz w:val="20"/>
                <w:szCs w:val="20"/>
              </w:rPr>
              <w:t>:</w:t>
            </w:r>
          </w:p>
          <w:p w:rsidR="00E42831" w:rsidRPr="00E42831" w:rsidRDefault="00E42831" w:rsidP="00E42831">
            <w:pPr>
              <w:jc w:val="both"/>
              <w:rPr>
                <w:rFonts w:ascii="Arial" w:hAnsi="Arial" w:cs="Arial"/>
                <w:sz w:val="20"/>
                <w:szCs w:val="20"/>
              </w:rPr>
            </w:pPr>
          </w:p>
          <w:p w:rsidR="00E42831" w:rsidRDefault="00E42831" w:rsidP="00E42831">
            <w:pPr>
              <w:pStyle w:val="a7"/>
              <w:numPr>
                <w:ilvl w:val="0"/>
                <w:numId w:val="47"/>
              </w:numPr>
              <w:ind w:left="317" w:hanging="317"/>
              <w:jc w:val="both"/>
              <w:rPr>
                <w:rFonts w:ascii="Arial" w:hAnsi="Arial" w:cs="Arial"/>
                <w:sz w:val="20"/>
                <w:szCs w:val="20"/>
              </w:rPr>
            </w:pPr>
            <w:r w:rsidRPr="00E42831">
              <w:rPr>
                <w:rFonts w:ascii="Arial" w:hAnsi="Arial" w:cs="Arial"/>
                <w:sz w:val="20"/>
                <w:szCs w:val="20"/>
              </w:rPr>
              <w:t>Resolutions of boards or other governing bodies of the CIS and CIS Operator authorising the making of the listing application</w:t>
            </w:r>
          </w:p>
          <w:p w:rsidR="00E42831" w:rsidRPr="00E42831" w:rsidRDefault="00E42831" w:rsidP="00E42831">
            <w:pPr>
              <w:pStyle w:val="a7"/>
              <w:ind w:left="317"/>
              <w:jc w:val="both"/>
              <w:rPr>
                <w:rFonts w:ascii="Arial" w:hAnsi="Arial" w:cs="Arial"/>
                <w:sz w:val="20"/>
                <w:szCs w:val="20"/>
              </w:rPr>
            </w:pPr>
            <w:r w:rsidRPr="00E42831">
              <w:rPr>
                <w:rFonts w:ascii="Arial" w:hAnsi="Arial" w:cs="Arial"/>
                <w:sz w:val="20"/>
                <w:szCs w:val="20"/>
              </w:rPr>
              <w:t xml:space="preserve"> </w:t>
            </w:r>
          </w:p>
        </w:tc>
        <w:tc>
          <w:tcPr>
            <w:tcW w:w="1206" w:type="dxa"/>
          </w:tcPr>
          <w:p w:rsidR="0035382A" w:rsidRPr="00E42831" w:rsidRDefault="0035382A" w:rsidP="004C6C67">
            <w:pPr>
              <w:jc w:val="both"/>
              <w:rPr>
                <w:rFonts w:ascii="Arial" w:hAnsi="Arial" w:cs="Arial"/>
                <w:sz w:val="20"/>
                <w:szCs w:val="20"/>
              </w:rPr>
            </w:pPr>
          </w:p>
          <w:p w:rsidR="00E42831" w:rsidRPr="00E42831" w:rsidRDefault="00E42831" w:rsidP="004C6C67">
            <w:pPr>
              <w:jc w:val="both"/>
              <w:rPr>
                <w:rFonts w:ascii="Arial" w:hAnsi="Arial" w:cs="Arial"/>
                <w:sz w:val="20"/>
                <w:szCs w:val="20"/>
              </w:rPr>
            </w:pPr>
            <w:r w:rsidRPr="00E42831">
              <w:rPr>
                <w:rFonts w:ascii="Arial" w:hAnsi="Arial" w:cs="Arial"/>
                <w:sz w:val="20"/>
                <w:szCs w:val="20"/>
              </w:rPr>
              <w:t>MB Rule 20.15(2)</w:t>
            </w:r>
          </w:p>
        </w:tc>
        <w:tc>
          <w:tcPr>
            <w:tcW w:w="3653" w:type="dxa"/>
          </w:tcPr>
          <w:p w:rsidR="0035382A" w:rsidRPr="00E42831" w:rsidRDefault="0035382A" w:rsidP="004C6C67">
            <w:pPr>
              <w:jc w:val="both"/>
              <w:rPr>
                <w:rFonts w:ascii="Arial" w:hAnsi="Arial" w:cs="Arial"/>
                <w:sz w:val="20"/>
                <w:szCs w:val="20"/>
              </w:rPr>
            </w:pPr>
          </w:p>
          <w:p w:rsidR="00E42831" w:rsidRPr="00E42831" w:rsidRDefault="00E42831" w:rsidP="00E42831">
            <w:pPr>
              <w:jc w:val="both"/>
              <w:rPr>
                <w:rFonts w:ascii="Arial" w:hAnsi="Arial" w:cs="Arial"/>
                <w:sz w:val="20"/>
                <w:szCs w:val="20"/>
              </w:rPr>
            </w:pPr>
            <w:r w:rsidRPr="00E42831">
              <w:rPr>
                <w:rFonts w:ascii="Arial" w:hAnsi="Arial" w:cs="Arial"/>
                <w:sz w:val="20"/>
                <w:szCs w:val="20"/>
              </w:rPr>
              <w:t>The obligations of the issuer to ensure the submission of the listing application has been duly authorised and approved will be codified.</w:t>
            </w:r>
          </w:p>
        </w:tc>
      </w:tr>
      <w:tr w:rsidR="0035382A" w:rsidTr="002773D1">
        <w:tc>
          <w:tcPr>
            <w:tcW w:w="4491" w:type="dxa"/>
          </w:tcPr>
          <w:p w:rsidR="0035382A" w:rsidRDefault="00E42831" w:rsidP="004C6C67">
            <w:pPr>
              <w:jc w:val="both"/>
              <w:rPr>
                <w:rFonts w:ascii="Arial" w:hAnsi="Arial" w:cs="Arial"/>
                <w:i/>
                <w:sz w:val="20"/>
                <w:szCs w:val="20"/>
              </w:rPr>
            </w:pPr>
            <w:r>
              <w:rPr>
                <w:rFonts w:ascii="Arial" w:hAnsi="Arial" w:cs="Arial"/>
                <w:i/>
                <w:sz w:val="20"/>
                <w:szCs w:val="20"/>
              </w:rPr>
              <w:t>For debt securities:</w:t>
            </w:r>
          </w:p>
          <w:p w:rsidR="00E42831" w:rsidRPr="00E42831" w:rsidRDefault="00E42831" w:rsidP="004C6C67">
            <w:pPr>
              <w:jc w:val="both"/>
              <w:rPr>
                <w:rFonts w:ascii="Arial" w:hAnsi="Arial" w:cs="Arial"/>
                <w:i/>
                <w:sz w:val="20"/>
                <w:szCs w:val="20"/>
              </w:rPr>
            </w:pPr>
          </w:p>
        </w:tc>
        <w:tc>
          <w:tcPr>
            <w:tcW w:w="1206" w:type="dxa"/>
          </w:tcPr>
          <w:p w:rsidR="0035382A" w:rsidRDefault="0035382A" w:rsidP="004C6C67">
            <w:pPr>
              <w:jc w:val="both"/>
              <w:rPr>
                <w:rFonts w:ascii="Arial" w:hAnsi="Arial" w:cs="Arial"/>
                <w:sz w:val="20"/>
                <w:szCs w:val="20"/>
              </w:rPr>
            </w:pPr>
          </w:p>
        </w:tc>
        <w:tc>
          <w:tcPr>
            <w:tcW w:w="3653" w:type="dxa"/>
          </w:tcPr>
          <w:p w:rsidR="0035382A" w:rsidRDefault="0035382A" w:rsidP="004C6C67">
            <w:pPr>
              <w:jc w:val="both"/>
              <w:rPr>
                <w:rFonts w:ascii="Arial" w:hAnsi="Arial" w:cs="Arial"/>
                <w:sz w:val="20"/>
                <w:szCs w:val="20"/>
              </w:rPr>
            </w:pPr>
          </w:p>
        </w:tc>
      </w:tr>
      <w:tr w:rsidR="00A247E6" w:rsidTr="002773D1">
        <w:tc>
          <w:tcPr>
            <w:tcW w:w="4491" w:type="dxa"/>
          </w:tcPr>
          <w:p w:rsidR="00A247E6" w:rsidRPr="00A247E6" w:rsidRDefault="00A247E6" w:rsidP="004C6C67">
            <w:pPr>
              <w:pStyle w:val="a7"/>
              <w:numPr>
                <w:ilvl w:val="0"/>
                <w:numId w:val="47"/>
              </w:numPr>
              <w:ind w:left="317" w:hanging="317"/>
              <w:jc w:val="both"/>
              <w:rPr>
                <w:rFonts w:ascii="Arial" w:hAnsi="Arial" w:cs="Arial"/>
                <w:sz w:val="20"/>
                <w:szCs w:val="20"/>
              </w:rPr>
            </w:pPr>
            <w:r w:rsidRPr="00E60DA8">
              <w:rPr>
                <w:rFonts w:ascii="Arial" w:hAnsi="Arial" w:cs="Arial"/>
                <w:sz w:val="20"/>
                <w:szCs w:val="20"/>
              </w:rPr>
              <w:t>Resolution(s) of the issuer in general meeting (if any) authorising the issue of all debt securiti</w:t>
            </w:r>
            <w:r>
              <w:rPr>
                <w:rFonts w:ascii="Arial" w:hAnsi="Arial" w:cs="Arial"/>
                <w:sz w:val="20"/>
                <w:szCs w:val="20"/>
              </w:rPr>
              <w:t>es for which listing is sought</w:t>
            </w:r>
          </w:p>
        </w:tc>
        <w:tc>
          <w:tcPr>
            <w:tcW w:w="1206" w:type="dxa"/>
          </w:tcPr>
          <w:p w:rsidR="00A247E6" w:rsidRPr="00A247E6" w:rsidRDefault="00A247E6" w:rsidP="00A247E6">
            <w:pPr>
              <w:jc w:val="both"/>
              <w:rPr>
                <w:rFonts w:ascii="Arial" w:hAnsi="Arial" w:cs="Arial"/>
                <w:sz w:val="20"/>
                <w:szCs w:val="20"/>
              </w:rPr>
            </w:pPr>
            <w:r w:rsidRPr="00E60DA8">
              <w:rPr>
                <w:rFonts w:ascii="Arial" w:hAnsi="Arial" w:cs="Arial"/>
                <w:sz w:val="20"/>
                <w:szCs w:val="20"/>
              </w:rPr>
              <w:t>MB Rules 24.11(6)(a) to (c) and 24.14(2)</w:t>
            </w:r>
          </w:p>
        </w:tc>
        <w:tc>
          <w:tcPr>
            <w:tcW w:w="3653" w:type="dxa"/>
          </w:tcPr>
          <w:p w:rsidR="00A247E6" w:rsidRPr="00A247E6" w:rsidRDefault="00A247E6" w:rsidP="004C6C67">
            <w:pPr>
              <w:jc w:val="both"/>
              <w:rPr>
                <w:rFonts w:ascii="Arial" w:hAnsi="Arial" w:cs="Arial"/>
                <w:sz w:val="20"/>
                <w:szCs w:val="20"/>
              </w:rPr>
            </w:pPr>
            <w:r>
              <w:rPr>
                <w:rFonts w:ascii="Arial" w:hAnsi="Arial" w:cs="Arial"/>
                <w:sz w:val="20"/>
                <w:szCs w:val="20"/>
              </w:rPr>
              <w:t>T</w:t>
            </w:r>
            <w:r w:rsidRPr="00E60DA8">
              <w:rPr>
                <w:rFonts w:ascii="Arial" w:hAnsi="Arial" w:cs="Arial"/>
                <w:sz w:val="20"/>
                <w:szCs w:val="20"/>
              </w:rPr>
              <w:t>he obligations of the issuer and the guarantor (where applicable) to e</w:t>
            </w:r>
            <w:r>
              <w:rPr>
                <w:rFonts w:ascii="Arial" w:hAnsi="Arial" w:cs="Arial"/>
                <w:sz w:val="20"/>
                <w:szCs w:val="20"/>
              </w:rPr>
              <w:t>nsure that the relevant matters</w:t>
            </w:r>
            <w:r w:rsidRPr="00E60DA8">
              <w:rPr>
                <w:rFonts w:ascii="Arial" w:hAnsi="Arial" w:cs="Arial"/>
                <w:sz w:val="20"/>
                <w:szCs w:val="20"/>
              </w:rPr>
              <w:t xml:space="preserve"> have been duly authorised and approved</w:t>
            </w:r>
            <w:r>
              <w:rPr>
                <w:rFonts w:ascii="Arial" w:hAnsi="Arial" w:cs="Arial"/>
                <w:sz w:val="20"/>
                <w:szCs w:val="20"/>
              </w:rPr>
              <w:t xml:space="preserve"> will be codified</w:t>
            </w:r>
          </w:p>
        </w:tc>
      </w:tr>
      <w:tr w:rsidR="00A247E6" w:rsidTr="002773D1">
        <w:tc>
          <w:tcPr>
            <w:tcW w:w="4491" w:type="dxa"/>
          </w:tcPr>
          <w:p w:rsidR="00A247E6" w:rsidRPr="00A247E6" w:rsidRDefault="00A247E6" w:rsidP="004C6C67">
            <w:pPr>
              <w:pStyle w:val="a7"/>
              <w:numPr>
                <w:ilvl w:val="0"/>
                <w:numId w:val="47"/>
              </w:numPr>
              <w:ind w:left="317" w:hanging="317"/>
              <w:jc w:val="both"/>
              <w:rPr>
                <w:rFonts w:ascii="Arial" w:hAnsi="Arial" w:cs="Arial"/>
                <w:sz w:val="20"/>
                <w:szCs w:val="20"/>
              </w:rPr>
            </w:pPr>
            <w:r>
              <w:rPr>
                <w:rFonts w:ascii="Arial" w:hAnsi="Arial" w:cs="Arial"/>
                <w:sz w:val="20"/>
                <w:szCs w:val="20"/>
              </w:rPr>
              <w:t>R</w:t>
            </w:r>
            <w:r w:rsidRPr="00E60DA8">
              <w:rPr>
                <w:rFonts w:ascii="Arial" w:hAnsi="Arial" w:cs="Arial"/>
                <w:sz w:val="20"/>
                <w:szCs w:val="20"/>
              </w:rPr>
              <w:t>esolution(s) of the board of directors or other governing body or any other person to whom it has properly delegated these powers (together, in such cases, with a certified copy of the power of attorney or resolution delegating the powers) authorising</w:t>
            </w:r>
            <w:r>
              <w:rPr>
                <w:rFonts w:ascii="Arial" w:hAnsi="Arial" w:cs="Arial"/>
                <w:sz w:val="20"/>
                <w:szCs w:val="20"/>
              </w:rPr>
              <w:t xml:space="preserve"> the issue and allotment of the</w:t>
            </w:r>
            <w:r w:rsidRPr="00E60DA8">
              <w:rPr>
                <w:rFonts w:ascii="Arial" w:hAnsi="Arial" w:cs="Arial"/>
                <w:sz w:val="20"/>
                <w:szCs w:val="20"/>
              </w:rPr>
              <w:t xml:space="preserve"> debt securities, the making of the</w:t>
            </w:r>
            <w:r>
              <w:rPr>
                <w:rFonts w:ascii="Arial" w:hAnsi="Arial" w:cs="Arial"/>
                <w:sz w:val="20"/>
                <w:szCs w:val="20"/>
              </w:rPr>
              <w:t xml:space="preserve"> </w:t>
            </w:r>
            <w:r w:rsidRPr="00E31BE1">
              <w:rPr>
                <w:rFonts w:ascii="Arial" w:hAnsi="Arial" w:cs="Arial"/>
                <w:sz w:val="20"/>
                <w:szCs w:val="20"/>
              </w:rPr>
              <w:t>listing</w:t>
            </w:r>
            <w:r>
              <w:rPr>
                <w:rFonts w:ascii="Arial" w:hAnsi="Arial" w:cs="Arial"/>
                <w:sz w:val="20"/>
                <w:szCs w:val="20"/>
              </w:rPr>
              <w:t xml:space="preserve"> application in</w:t>
            </w:r>
            <w:r w:rsidRPr="00E60DA8">
              <w:rPr>
                <w:rFonts w:ascii="Arial" w:hAnsi="Arial" w:cs="Arial"/>
                <w:sz w:val="20"/>
                <w:szCs w:val="20"/>
              </w:rPr>
              <w:t xml:space="preserve"> Form C2 in Appendix 5 and the signing of the Listing Agreement and approving and authorising the issue of the listing document</w:t>
            </w:r>
            <w:r>
              <w:rPr>
                <w:rFonts w:ascii="Arial" w:hAnsi="Arial" w:cs="Arial"/>
                <w:sz w:val="20"/>
                <w:szCs w:val="20"/>
              </w:rPr>
              <w:t xml:space="preserve">; </w:t>
            </w:r>
          </w:p>
        </w:tc>
        <w:tc>
          <w:tcPr>
            <w:tcW w:w="1206" w:type="dxa"/>
          </w:tcPr>
          <w:p w:rsidR="00A247E6" w:rsidRPr="00E60DA8" w:rsidRDefault="00A247E6" w:rsidP="00A247E6">
            <w:pPr>
              <w:jc w:val="both"/>
              <w:rPr>
                <w:rFonts w:ascii="Arial" w:hAnsi="Arial" w:cs="Arial"/>
                <w:sz w:val="20"/>
                <w:szCs w:val="20"/>
              </w:rPr>
            </w:pPr>
            <w:r w:rsidRPr="00E60DA8">
              <w:rPr>
                <w:rFonts w:ascii="Arial" w:hAnsi="Arial" w:cs="Arial"/>
                <w:sz w:val="20"/>
                <w:szCs w:val="20"/>
              </w:rPr>
              <w:t>MB Rules 24.11(6)(a) to (c) and 24.14(2)</w:t>
            </w:r>
          </w:p>
          <w:p w:rsidR="00A247E6" w:rsidRPr="00A247E6" w:rsidRDefault="00A247E6" w:rsidP="004C6C67">
            <w:pPr>
              <w:jc w:val="both"/>
              <w:rPr>
                <w:rFonts w:ascii="Arial" w:hAnsi="Arial" w:cs="Arial"/>
                <w:iCs/>
                <w:sz w:val="20"/>
                <w:szCs w:val="20"/>
              </w:rPr>
            </w:pPr>
          </w:p>
        </w:tc>
        <w:tc>
          <w:tcPr>
            <w:tcW w:w="3653" w:type="dxa"/>
          </w:tcPr>
          <w:p w:rsidR="00A247E6" w:rsidRPr="00E60DA8" w:rsidRDefault="00A247E6" w:rsidP="00A247E6">
            <w:pPr>
              <w:jc w:val="both"/>
              <w:rPr>
                <w:rFonts w:ascii="Arial" w:hAnsi="Arial" w:cs="Arial"/>
                <w:sz w:val="20"/>
                <w:szCs w:val="20"/>
              </w:rPr>
            </w:pPr>
            <w:r w:rsidRPr="00E60DA8">
              <w:rPr>
                <w:rFonts w:ascii="Arial" w:hAnsi="Arial" w:cs="Arial"/>
                <w:sz w:val="20"/>
                <w:szCs w:val="20"/>
              </w:rPr>
              <w:t>The issuer’s obligations to obtain the relevant internal authorisations will be codified</w:t>
            </w:r>
          </w:p>
          <w:p w:rsidR="00A247E6" w:rsidRPr="00A247E6" w:rsidRDefault="00A247E6" w:rsidP="004C6C67">
            <w:pPr>
              <w:jc w:val="both"/>
              <w:rPr>
                <w:rFonts w:ascii="Arial" w:hAnsi="Arial" w:cs="Arial"/>
                <w:iCs/>
                <w:sz w:val="20"/>
                <w:szCs w:val="20"/>
              </w:rPr>
            </w:pPr>
          </w:p>
        </w:tc>
      </w:tr>
      <w:tr w:rsidR="00A247E6" w:rsidTr="002773D1">
        <w:tc>
          <w:tcPr>
            <w:tcW w:w="4491" w:type="dxa"/>
          </w:tcPr>
          <w:p w:rsidR="00A247E6" w:rsidRDefault="00A247E6" w:rsidP="00A247E6">
            <w:pPr>
              <w:pStyle w:val="a7"/>
              <w:numPr>
                <w:ilvl w:val="0"/>
                <w:numId w:val="47"/>
              </w:numPr>
              <w:ind w:left="317" w:hanging="317"/>
              <w:jc w:val="both"/>
              <w:rPr>
                <w:rFonts w:ascii="Arial" w:hAnsi="Arial" w:cs="Arial"/>
                <w:sz w:val="20"/>
                <w:szCs w:val="20"/>
              </w:rPr>
            </w:pPr>
            <w:r w:rsidRPr="00E60DA8">
              <w:rPr>
                <w:rFonts w:ascii="Arial" w:hAnsi="Arial" w:cs="Arial"/>
                <w:sz w:val="20"/>
                <w:szCs w:val="20"/>
              </w:rPr>
              <w:t>In the case of a guaranteed issue, the resolution(s) of the board of directors or other governing body of the guarantor approving and authorising the giving and signing of the guarantee(s) and authorising the issue of the listing document</w:t>
            </w:r>
          </w:p>
          <w:p w:rsidR="00A247E6" w:rsidRPr="00A247E6" w:rsidRDefault="00A247E6" w:rsidP="004C6C67">
            <w:pPr>
              <w:jc w:val="both"/>
              <w:rPr>
                <w:rFonts w:ascii="Arial" w:hAnsi="Arial" w:cs="Arial"/>
                <w:iCs/>
                <w:sz w:val="20"/>
                <w:szCs w:val="20"/>
              </w:rPr>
            </w:pPr>
          </w:p>
        </w:tc>
        <w:tc>
          <w:tcPr>
            <w:tcW w:w="1206" w:type="dxa"/>
          </w:tcPr>
          <w:p w:rsidR="00A247E6" w:rsidRPr="00E60DA8" w:rsidRDefault="00A247E6" w:rsidP="00A247E6">
            <w:pPr>
              <w:jc w:val="both"/>
              <w:rPr>
                <w:rFonts w:ascii="Arial" w:hAnsi="Arial" w:cs="Arial"/>
                <w:sz w:val="20"/>
                <w:szCs w:val="20"/>
              </w:rPr>
            </w:pPr>
            <w:r w:rsidRPr="00E60DA8">
              <w:rPr>
                <w:rFonts w:ascii="Arial" w:hAnsi="Arial" w:cs="Arial"/>
                <w:sz w:val="20"/>
                <w:szCs w:val="20"/>
              </w:rPr>
              <w:t>MB Rule 37.35(l)(2)</w:t>
            </w:r>
          </w:p>
          <w:p w:rsidR="00A247E6" w:rsidRPr="00A247E6" w:rsidRDefault="00A247E6" w:rsidP="004C6C67">
            <w:pPr>
              <w:jc w:val="both"/>
              <w:rPr>
                <w:rFonts w:ascii="Arial" w:hAnsi="Arial" w:cs="Arial"/>
                <w:iCs/>
                <w:sz w:val="20"/>
                <w:szCs w:val="20"/>
              </w:rPr>
            </w:pPr>
          </w:p>
        </w:tc>
        <w:tc>
          <w:tcPr>
            <w:tcW w:w="3653" w:type="dxa"/>
          </w:tcPr>
          <w:p w:rsidR="002773D1" w:rsidRPr="008627AA" w:rsidRDefault="002773D1" w:rsidP="002773D1">
            <w:pPr>
              <w:jc w:val="both"/>
              <w:rPr>
                <w:rFonts w:ascii="Arial" w:hAnsi="Arial" w:cs="Arial"/>
                <w:sz w:val="20"/>
                <w:szCs w:val="20"/>
              </w:rPr>
            </w:pPr>
            <w:r w:rsidRPr="00E60DA8">
              <w:rPr>
                <w:rFonts w:ascii="Arial" w:hAnsi="Arial" w:cs="Arial"/>
                <w:sz w:val="20"/>
                <w:szCs w:val="20"/>
              </w:rPr>
              <w:t>The guarantor’s obligations to obtain relevant internal authorisations will be codified</w:t>
            </w:r>
          </w:p>
          <w:p w:rsidR="002773D1" w:rsidRPr="002773D1" w:rsidRDefault="002773D1" w:rsidP="002773D1">
            <w:pPr>
              <w:jc w:val="center"/>
              <w:rPr>
                <w:rFonts w:ascii="Arial" w:hAnsi="Arial" w:cs="Arial"/>
                <w:sz w:val="20"/>
                <w:szCs w:val="20"/>
              </w:rPr>
            </w:pPr>
          </w:p>
        </w:tc>
      </w:tr>
      <w:tr w:rsidR="00A247E6" w:rsidTr="002773D1">
        <w:tc>
          <w:tcPr>
            <w:tcW w:w="4491" w:type="dxa"/>
          </w:tcPr>
          <w:p w:rsidR="00A247E6" w:rsidRPr="00A247E6" w:rsidRDefault="002773D1" w:rsidP="002773D1">
            <w:pPr>
              <w:tabs>
                <w:tab w:val="left" w:pos="2853"/>
              </w:tabs>
              <w:jc w:val="both"/>
              <w:rPr>
                <w:rFonts w:ascii="Arial" w:hAnsi="Arial" w:cs="Arial"/>
                <w:iCs/>
                <w:sz w:val="20"/>
                <w:szCs w:val="20"/>
              </w:rPr>
            </w:pPr>
            <w:r w:rsidRPr="00E60DA8">
              <w:rPr>
                <w:rFonts w:ascii="Arial" w:hAnsi="Arial" w:cs="Arial"/>
                <w:sz w:val="20"/>
                <w:szCs w:val="20"/>
              </w:rPr>
              <w:lastRenderedPageBreak/>
              <w:t>Written statement by the issuer’s duly authorised representative confirming that the issuer has obtained all necessary internal authorisations to issue and allot the debt securities, make an application for listing and issue the listing document</w:t>
            </w:r>
          </w:p>
        </w:tc>
        <w:tc>
          <w:tcPr>
            <w:tcW w:w="1206" w:type="dxa"/>
          </w:tcPr>
          <w:p w:rsidR="00A247E6" w:rsidRPr="00A247E6" w:rsidRDefault="002773D1" w:rsidP="004C6C67">
            <w:pPr>
              <w:jc w:val="both"/>
              <w:rPr>
                <w:rFonts w:ascii="Arial" w:hAnsi="Arial" w:cs="Arial"/>
                <w:iCs/>
                <w:sz w:val="20"/>
                <w:szCs w:val="20"/>
              </w:rPr>
            </w:pPr>
            <w:r w:rsidRPr="00E60DA8">
              <w:rPr>
                <w:rFonts w:ascii="Arial" w:hAnsi="Arial" w:cs="Arial"/>
                <w:sz w:val="20"/>
                <w:szCs w:val="20"/>
              </w:rPr>
              <w:t>MB Rule 37.35(k)(2)</w:t>
            </w:r>
          </w:p>
        </w:tc>
        <w:tc>
          <w:tcPr>
            <w:tcW w:w="3653" w:type="dxa"/>
          </w:tcPr>
          <w:p w:rsidR="00A247E6" w:rsidRPr="00A247E6" w:rsidRDefault="00A247E6" w:rsidP="004C6C67">
            <w:pPr>
              <w:jc w:val="both"/>
              <w:rPr>
                <w:rFonts w:ascii="Arial" w:hAnsi="Arial" w:cs="Arial"/>
                <w:iCs/>
                <w:sz w:val="20"/>
                <w:szCs w:val="20"/>
              </w:rPr>
            </w:pPr>
          </w:p>
        </w:tc>
      </w:tr>
    </w:tbl>
    <w:p w:rsidR="0035382A" w:rsidRDefault="0035382A" w:rsidP="004C6C67">
      <w:pPr>
        <w:jc w:val="both"/>
        <w:rPr>
          <w:rFonts w:ascii="Arial" w:hAnsi="Arial" w:cs="Arial"/>
          <w:sz w:val="20"/>
          <w:szCs w:val="20"/>
        </w:rPr>
      </w:pPr>
    </w:p>
    <w:p w:rsidR="0035382A" w:rsidRPr="0035382A" w:rsidRDefault="00F66116" w:rsidP="004C6C67">
      <w:pPr>
        <w:jc w:val="both"/>
        <w:rPr>
          <w:rFonts w:ascii="Arial" w:hAnsi="Arial" w:cs="Arial"/>
          <w:sz w:val="20"/>
          <w:szCs w:val="20"/>
        </w:rPr>
      </w:pPr>
      <w:r>
        <w:rPr>
          <w:rFonts w:ascii="Arial" w:hAnsi="Arial" w:cs="Arial"/>
          <w:sz w:val="20"/>
          <w:szCs w:val="20"/>
        </w:rPr>
        <w:t xml:space="preserve">The HKEX </w:t>
      </w:r>
      <w:r w:rsidR="0035382A" w:rsidRPr="0035382A">
        <w:rPr>
          <w:rFonts w:ascii="Arial" w:hAnsi="Arial" w:cs="Arial"/>
          <w:sz w:val="20"/>
          <w:szCs w:val="20"/>
        </w:rPr>
        <w:t xml:space="preserve">will also remove the signature and certification requirements for submission documents that currently require signature or certification if they only: </w:t>
      </w:r>
    </w:p>
    <w:p w:rsidR="0035382A" w:rsidRDefault="0035382A" w:rsidP="0035382A">
      <w:pPr>
        <w:pStyle w:val="a7"/>
        <w:numPr>
          <w:ilvl w:val="0"/>
          <w:numId w:val="40"/>
        </w:numPr>
        <w:jc w:val="both"/>
        <w:rPr>
          <w:rFonts w:ascii="Arial" w:hAnsi="Arial" w:cs="Arial"/>
          <w:sz w:val="20"/>
          <w:szCs w:val="20"/>
        </w:rPr>
      </w:pPr>
      <w:r w:rsidRPr="0035382A">
        <w:rPr>
          <w:rFonts w:ascii="Arial" w:hAnsi="Arial" w:cs="Arial"/>
          <w:sz w:val="20"/>
          <w:szCs w:val="20"/>
        </w:rPr>
        <w:t xml:space="preserve">evidence the sponsors’ approval of the contents; or </w:t>
      </w:r>
    </w:p>
    <w:p w:rsidR="0035382A" w:rsidRPr="0035382A" w:rsidRDefault="0035382A" w:rsidP="0035382A">
      <w:pPr>
        <w:pStyle w:val="a7"/>
        <w:jc w:val="both"/>
        <w:rPr>
          <w:rFonts w:ascii="Arial" w:hAnsi="Arial" w:cs="Arial"/>
          <w:sz w:val="20"/>
          <w:szCs w:val="20"/>
        </w:rPr>
      </w:pPr>
    </w:p>
    <w:p w:rsidR="0035382A" w:rsidRPr="0035382A" w:rsidRDefault="0035382A" w:rsidP="0035382A">
      <w:pPr>
        <w:pStyle w:val="a7"/>
        <w:numPr>
          <w:ilvl w:val="0"/>
          <w:numId w:val="40"/>
        </w:numPr>
        <w:jc w:val="both"/>
        <w:rPr>
          <w:rFonts w:ascii="Arial" w:hAnsi="Arial" w:cs="Arial"/>
          <w:sz w:val="20"/>
          <w:szCs w:val="20"/>
        </w:rPr>
      </w:pPr>
      <w:r w:rsidRPr="0035382A">
        <w:rPr>
          <w:rFonts w:ascii="Arial" w:hAnsi="Arial" w:cs="Arial"/>
          <w:sz w:val="20"/>
          <w:szCs w:val="20"/>
        </w:rPr>
        <w:t>certify that the submissions are true copies of their originals.</w:t>
      </w:r>
    </w:p>
    <w:p w:rsidR="00CC7C3E" w:rsidRPr="00CC7C3E" w:rsidRDefault="00CC7C3E" w:rsidP="004C6C67">
      <w:pPr>
        <w:jc w:val="both"/>
        <w:rPr>
          <w:rFonts w:ascii="Arial" w:hAnsi="Arial" w:cs="Arial"/>
          <w:b/>
          <w:i/>
          <w:sz w:val="20"/>
          <w:szCs w:val="20"/>
        </w:rPr>
      </w:pPr>
      <w:r>
        <w:rPr>
          <w:rFonts w:ascii="Arial" w:hAnsi="Arial" w:cs="Arial"/>
          <w:b/>
          <w:i/>
          <w:sz w:val="20"/>
          <w:szCs w:val="20"/>
        </w:rPr>
        <w:t>Consolidating Sponsors’ and Listing Applicants’ Obligations into Overarching Undertakings</w:t>
      </w:r>
    </w:p>
    <w:p w:rsidR="00596BEC" w:rsidRPr="00B35881" w:rsidRDefault="004C6C67" w:rsidP="00C50B98">
      <w:pPr>
        <w:jc w:val="both"/>
        <w:rPr>
          <w:rFonts w:ascii="Arial" w:hAnsi="Arial" w:cs="Arial"/>
          <w:sz w:val="20"/>
          <w:szCs w:val="20"/>
        </w:rPr>
      </w:pPr>
      <w:r>
        <w:rPr>
          <w:rFonts w:ascii="Arial" w:hAnsi="Arial" w:cs="Arial"/>
          <w:sz w:val="20"/>
          <w:szCs w:val="20"/>
        </w:rPr>
        <w:t>The HKEX</w:t>
      </w:r>
      <w:r w:rsidR="00910E95" w:rsidRPr="00B35881">
        <w:rPr>
          <w:rFonts w:ascii="Arial" w:hAnsi="Arial" w:cs="Arial"/>
          <w:sz w:val="20"/>
          <w:szCs w:val="20"/>
        </w:rPr>
        <w:t xml:space="preserve"> proposed </w:t>
      </w:r>
      <w:r>
        <w:rPr>
          <w:rFonts w:ascii="Arial" w:hAnsi="Arial" w:cs="Arial"/>
          <w:sz w:val="20"/>
          <w:szCs w:val="20"/>
        </w:rPr>
        <w:t xml:space="preserve">consolidating </w:t>
      </w:r>
      <w:r w:rsidR="008D6302" w:rsidRPr="00B35881">
        <w:rPr>
          <w:rFonts w:ascii="Arial" w:hAnsi="Arial" w:cs="Arial"/>
          <w:sz w:val="20"/>
          <w:szCs w:val="20"/>
        </w:rPr>
        <w:t xml:space="preserve">the key obligations </w:t>
      </w:r>
      <w:r w:rsidR="00731880" w:rsidRPr="00B35881">
        <w:rPr>
          <w:rFonts w:ascii="Arial" w:hAnsi="Arial" w:cs="Arial"/>
          <w:sz w:val="20"/>
          <w:szCs w:val="20"/>
        </w:rPr>
        <w:t xml:space="preserve">of </w:t>
      </w:r>
      <w:r w:rsidR="00910E95" w:rsidRPr="00B35881">
        <w:rPr>
          <w:rFonts w:ascii="Arial" w:hAnsi="Arial" w:cs="Arial"/>
          <w:sz w:val="20"/>
          <w:szCs w:val="20"/>
        </w:rPr>
        <w:t>listing</w:t>
      </w:r>
      <w:r w:rsidR="008D6302" w:rsidRPr="00B35881">
        <w:rPr>
          <w:rFonts w:ascii="Arial" w:hAnsi="Arial" w:cs="Arial"/>
          <w:sz w:val="20"/>
          <w:szCs w:val="20"/>
        </w:rPr>
        <w:t xml:space="preserve"> appl</w:t>
      </w:r>
      <w:r w:rsidR="00F73310" w:rsidRPr="00B35881">
        <w:rPr>
          <w:rFonts w:ascii="Arial" w:hAnsi="Arial" w:cs="Arial"/>
          <w:sz w:val="20"/>
          <w:szCs w:val="20"/>
        </w:rPr>
        <w:t>icants and s</w:t>
      </w:r>
      <w:r w:rsidR="00D4268E" w:rsidRPr="00B35881">
        <w:rPr>
          <w:rFonts w:ascii="Arial" w:hAnsi="Arial" w:cs="Arial"/>
          <w:sz w:val="20"/>
          <w:szCs w:val="20"/>
        </w:rPr>
        <w:t xml:space="preserve">ponsors in Form </w:t>
      </w:r>
      <w:r w:rsidR="00596BEC" w:rsidRPr="00B35881">
        <w:rPr>
          <w:rFonts w:ascii="Arial" w:hAnsi="Arial" w:cs="Arial"/>
          <w:sz w:val="20"/>
          <w:szCs w:val="20"/>
        </w:rPr>
        <w:t>A1</w:t>
      </w:r>
      <w:r>
        <w:rPr>
          <w:rFonts w:ascii="Arial" w:hAnsi="Arial" w:cs="Arial"/>
          <w:sz w:val="20"/>
          <w:szCs w:val="20"/>
        </w:rPr>
        <w:t xml:space="preserve"> and adding n</w:t>
      </w:r>
      <w:r w:rsidR="00596BEC" w:rsidRPr="00B35881">
        <w:rPr>
          <w:rFonts w:ascii="Arial" w:hAnsi="Arial" w:cs="Arial"/>
          <w:sz w:val="20"/>
          <w:szCs w:val="20"/>
        </w:rPr>
        <w:t>ew undertakings whereby:</w:t>
      </w:r>
    </w:p>
    <w:p w:rsidR="00596BEC" w:rsidRPr="00683A11" w:rsidRDefault="00596BEC" w:rsidP="00683A11">
      <w:pPr>
        <w:pStyle w:val="a7"/>
        <w:numPr>
          <w:ilvl w:val="0"/>
          <w:numId w:val="22"/>
        </w:numPr>
        <w:jc w:val="both"/>
        <w:rPr>
          <w:rFonts w:ascii="Arial" w:hAnsi="Arial" w:cs="Arial"/>
          <w:sz w:val="20"/>
          <w:szCs w:val="20"/>
        </w:rPr>
      </w:pPr>
      <w:r w:rsidRPr="00683A11">
        <w:rPr>
          <w:rFonts w:ascii="Arial" w:hAnsi="Arial" w:cs="Arial"/>
          <w:sz w:val="20"/>
          <w:szCs w:val="20"/>
        </w:rPr>
        <w:t>listing applicants will undertake to submit</w:t>
      </w:r>
      <w:r w:rsidR="004C6C67">
        <w:rPr>
          <w:rFonts w:ascii="Arial" w:hAnsi="Arial" w:cs="Arial"/>
          <w:sz w:val="20"/>
          <w:szCs w:val="20"/>
        </w:rPr>
        <w:t>,</w:t>
      </w:r>
      <w:r w:rsidRPr="00683A11">
        <w:rPr>
          <w:rFonts w:ascii="Arial" w:hAnsi="Arial" w:cs="Arial"/>
          <w:sz w:val="20"/>
          <w:szCs w:val="20"/>
        </w:rPr>
        <w:t xml:space="preserve"> or procure the submission on their behalf of</w:t>
      </w:r>
      <w:r w:rsidR="004C6C67">
        <w:rPr>
          <w:rFonts w:ascii="Arial" w:hAnsi="Arial" w:cs="Arial"/>
          <w:sz w:val="20"/>
          <w:szCs w:val="20"/>
        </w:rPr>
        <w:t>,</w:t>
      </w:r>
      <w:r w:rsidRPr="00683A11">
        <w:rPr>
          <w:rFonts w:ascii="Arial" w:hAnsi="Arial" w:cs="Arial"/>
          <w:sz w:val="20"/>
          <w:szCs w:val="20"/>
        </w:rPr>
        <w:t xml:space="preserve"> accurate and complete information to the HKEX during the listing application process; and</w:t>
      </w:r>
    </w:p>
    <w:p w:rsidR="003260A6" w:rsidRPr="00B35881" w:rsidRDefault="003260A6">
      <w:pPr>
        <w:pStyle w:val="a7"/>
        <w:jc w:val="both"/>
        <w:rPr>
          <w:rFonts w:ascii="Arial" w:hAnsi="Arial" w:cs="Arial"/>
          <w:sz w:val="20"/>
          <w:szCs w:val="20"/>
        </w:rPr>
      </w:pPr>
    </w:p>
    <w:p w:rsidR="003260A6" w:rsidRDefault="003260A6" w:rsidP="00683A11">
      <w:pPr>
        <w:pStyle w:val="a7"/>
        <w:numPr>
          <w:ilvl w:val="0"/>
          <w:numId w:val="22"/>
        </w:numPr>
        <w:jc w:val="both"/>
        <w:rPr>
          <w:rFonts w:ascii="Arial" w:hAnsi="Arial" w:cs="Arial"/>
          <w:sz w:val="20"/>
          <w:szCs w:val="20"/>
        </w:rPr>
      </w:pPr>
      <w:r w:rsidRPr="00683A11">
        <w:rPr>
          <w:rFonts w:ascii="Arial" w:hAnsi="Arial" w:cs="Arial"/>
          <w:sz w:val="20"/>
          <w:szCs w:val="20"/>
        </w:rPr>
        <w:t>sponsors will give a confirmation and undertaking regarding compliance with the HKEX Listing Rules and Guidance Materials on due diligence and advice and guidance to the listing applicant and its directors on compliance with the HKEX Listing Rules and Guidance Materials.</w:t>
      </w:r>
    </w:p>
    <w:p w:rsidR="00CC7C3E" w:rsidRDefault="00CC7C3E" w:rsidP="00CC7C3E">
      <w:pPr>
        <w:jc w:val="both"/>
        <w:rPr>
          <w:rFonts w:ascii="Arial" w:hAnsi="Arial" w:cs="Arial"/>
          <w:sz w:val="20"/>
          <w:szCs w:val="20"/>
        </w:rPr>
      </w:pPr>
      <w:r>
        <w:rPr>
          <w:rFonts w:ascii="Arial" w:hAnsi="Arial" w:cs="Arial"/>
          <w:sz w:val="20"/>
          <w:szCs w:val="20"/>
        </w:rPr>
        <w:t xml:space="preserve">The proposal will be implemented subject to a minor modification to the wording of the proposed undertaking which will now state that: </w:t>
      </w:r>
    </w:p>
    <w:p w:rsidR="00CC7C3E" w:rsidRPr="00CC7C3E" w:rsidRDefault="00CC7C3E" w:rsidP="00CC7C3E">
      <w:pPr>
        <w:ind w:left="426" w:right="429"/>
        <w:jc w:val="both"/>
        <w:rPr>
          <w:rFonts w:ascii="Arial" w:hAnsi="Arial" w:cs="Arial"/>
          <w:sz w:val="20"/>
          <w:szCs w:val="20"/>
        </w:rPr>
      </w:pPr>
      <w:r w:rsidRPr="00CC7C3E">
        <w:rPr>
          <w:rFonts w:ascii="Arial" w:hAnsi="Arial" w:cs="Arial"/>
          <w:sz w:val="20"/>
          <w:szCs w:val="20"/>
        </w:rPr>
        <w:t xml:space="preserve">“… </w:t>
      </w:r>
      <w:r w:rsidRPr="00CC7C3E">
        <w:rPr>
          <w:rFonts w:ascii="Arial" w:hAnsi="Arial" w:cs="Arial"/>
          <w:i/>
          <w:sz w:val="20"/>
          <w:szCs w:val="20"/>
        </w:rPr>
        <w:t xml:space="preserve">the sponsor to the listing application hereby… confirm and undertake that we have complied with, and will comply with, all applicable Exchange Listing Rules and guidance materials on due diligence standards issued by the Exchange throughout the listing application process (or the part of it as during which we continue to be engaged by the issuer as a </w:t>
      </w:r>
      <w:proofErr w:type="gramStart"/>
      <w:r w:rsidRPr="00CC7C3E">
        <w:rPr>
          <w:rFonts w:ascii="Arial" w:hAnsi="Arial" w:cs="Arial"/>
          <w:i/>
          <w:sz w:val="20"/>
          <w:szCs w:val="20"/>
        </w:rPr>
        <w:t>sponsor)</w:t>
      </w:r>
      <w:r w:rsidRPr="00CC7C3E">
        <w:rPr>
          <w:rFonts w:ascii="Arial" w:hAnsi="Arial" w:cs="Arial"/>
          <w:sz w:val="20"/>
          <w:szCs w:val="20"/>
        </w:rPr>
        <w:t>…</w:t>
      </w:r>
      <w:proofErr w:type="gramEnd"/>
      <w:r w:rsidRPr="00CC7C3E">
        <w:rPr>
          <w:rFonts w:ascii="Arial" w:hAnsi="Arial" w:cs="Arial"/>
          <w:sz w:val="20"/>
          <w:szCs w:val="20"/>
        </w:rPr>
        <w:t>".</w:t>
      </w:r>
    </w:p>
    <w:p w:rsidR="00170ACB" w:rsidRDefault="00170ACB" w:rsidP="00CF233F">
      <w:pPr>
        <w:jc w:val="both"/>
        <w:rPr>
          <w:rFonts w:ascii="Arial" w:hAnsi="Arial" w:cs="Arial"/>
          <w:b/>
          <w:i/>
          <w:sz w:val="20"/>
          <w:szCs w:val="20"/>
        </w:rPr>
      </w:pPr>
      <w:r>
        <w:rPr>
          <w:rFonts w:ascii="Arial" w:hAnsi="Arial" w:cs="Arial"/>
          <w:b/>
          <w:i/>
          <w:sz w:val="20"/>
          <w:szCs w:val="20"/>
        </w:rPr>
        <w:t>Consolidating</w:t>
      </w:r>
      <w:r w:rsidRPr="004C6C67">
        <w:rPr>
          <w:rFonts w:ascii="Arial" w:hAnsi="Arial" w:cs="Arial"/>
          <w:b/>
          <w:i/>
          <w:sz w:val="20"/>
          <w:szCs w:val="20"/>
        </w:rPr>
        <w:t xml:space="preserve"> </w:t>
      </w:r>
      <w:r>
        <w:rPr>
          <w:rFonts w:ascii="Arial" w:hAnsi="Arial" w:cs="Arial"/>
          <w:b/>
          <w:i/>
          <w:sz w:val="20"/>
          <w:szCs w:val="20"/>
        </w:rPr>
        <w:t xml:space="preserve">the Requirements for </w:t>
      </w:r>
      <w:r w:rsidRPr="004C6C67">
        <w:rPr>
          <w:rFonts w:ascii="Arial" w:hAnsi="Arial" w:cs="Arial"/>
          <w:b/>
          <w:i/>
          <w:sz w:val="20"/>
          <w:szCs w:val="20"/>
        </w:rPr>
        <w:t>Directors</w:t>
      </w:r>
      <w:r>
        <w:rPr>
          <w:rFonts w:ascii="Arial" w:hAnsi="Arial" w:cs="Arial"/>
          <w:b/>
          <w:i/>
          <w:sz w:val="20"/>
          <w:szCs w:val="20"/>
        </w:rPr>
        <w:t>’</w:t>
      </w:r>
      <w:r w:rsidRPr="004C6C67">
        <w:rPr>
          <w:rFonts w:ascii="Arial" w:hAnsi="Arial" w:cs="Arial"/>
          <w:b/>
          <w:i/>
          <w:sz w:val="20"/>
          <w:szCs w:val="20"/>
        </w:rPr>
        <w:t xml:space="preserve"> and Supervisors</w:t>
      </w:r>
      <w:r>
        <w:rPr>
          <w:rFonts w:ascii="Arial" w:hAnsi="Arial" w:cs="Arial"/>
          <w:b/>
          <w:i/>
          <w:sz w:val="20"/>
          <w:szCs w:val="20"/>
        </w:rPr>
        <w:t xml:space="preserve">’ </w:t>
      </w:r>
      <w:r w:rsidR="00CF233F" w:rsidRPr="004C6C67">
        <w:rPr>
          <w:rFonts w:ascii="Arial" w:hAnsi="Arial" w:cs="Arial"/>
          <w:b/>
          <w:i/>
          <w:sz w:val="20"/>
          <w:szCs w:val="20"/>
        </w:rPr>
        <w:t>Personal Details</w:t>
      </w:r>
      <w:r>
        <w:rPr>
          <w:rFonts w:ascii="Arial" w:hAnsi="Arial" w:cs="Arial"/>
          <w:b/>
          <w:i/>
          <w:sz w:val="20"/>
          <w:szCs w:val="20"/>
        </w:rPr>
        <w:t xml:space="preserve"> in</w:t>
      </w:r>
      <w:r w:rsidR="00CF233F" w:rsidRPr="004C6C67">
        <w:rPr>
          <w:rFonts w:ascii="Arial" w:hAnsi="Arial" w:cs="Arial"/>
          <w:b/>
          <w:i/>
          <w:sz w:val="20"/>
          <w:szCs w:val="20"/>
        </w:rPr>
        <w:t xml:space="preserve"> Form </w:t>
      </w:r>
      <w:r>
        <w:rPr>
          <w:rFonts w:ascii="Arial" w:hAnsi="Arial" w:cs="Arial"/>
          <w:b/>
          <w:i/>
          <w:sz w:val="20"/>
          <w:szCs w:val="20"/>
        </w:rPr>
        <w:t>FF004</w:t>
      </w:r>
    </w:p>
    <w:p w:rsidR="00F73310" w:rsidRDefault="00CF233F" w:rsidP="00CF233F">
      <w:pPr>
        <w:jc w:val="both"/>
        <w:rPr>
          <w:rFonts w:ascii="Arial" w:hAnsi="Arial" w:cs="Arial"/>
          <w:sz w:val="20"/>
          <w:szCs w:val="20"/>
        </w:rPr>
      </w:pPr>
      <w:r w:rsidRPr="00B35881">
        <w:rPr>
          <w:rFonts w:ascii="Arial" w:hAnsi="Arial" w:cs="Arial"/>
          <w:sz w:val="20"/>
          <w:szCs w:val="20"/>
        </w:rPr>
        <w:t>Directors’ Undertaking F</w:t>
      </w:r>
      <w:r w:rsidR="00170ACB">
        <w:rPr>
          <w:rFonts w:ascii="Arial" w:hAnsi="Arial" w:cs="Arial"/>
          <w:sz w:val="20"/>
          <w:szCs w:val="20"/>
        </w:rPr>
        <w:t>orms will no longer be required. T</w:t>
      </w:r>
      <w:r w:rsidRPr="00B35881">
        <w:rPr>
          <w:rFonts w:ascii="Arial" w:hAnsi="Arial" w:cs="Arial"/>
          <w:sz w:val="20"/>
          <w:szCs w:val="20"/>
        </w:rPr>
        <w:t xml:space="preserve">he HKEX </w:t>
      </w:r>
      <w:r w:rsidR="00170ACB">
        <w:rPr>
          <w:rFonts w:ascii="Arial" w:hAnsi="Arial" w:cs="Arial"/>
          <w:sz w:val="20"/>
          <w:szCs w:val="20"/>
        </w:rPr>
        <w:t xml:space="preserve">will therefore </w:t>
      </w:r>
      <w:r w:rsidR="00D4268E" w:rsidRPr="00B35881">
        <w:rPr>
          <w:rFonts w:ascii="Arial" w:hAnsi="Arial" w:cs="Arial"/>
          <w:sz w:val="20"/>
          <w:szCs w:val="20"/>
        </w:rPr>
        <w:t>inte</w:t>
      </w:r>
      <w:r w:rsidRPr="00B35881">
        <w:rPr>
          <w:rFonts w:ascii="Arial" w:hAnsi="Arial" w:cs="Arial"/>
          <w:sz w:val="20"/>
          <w:szCs w:val="20"/>
        </w:rPr>
        <w:t>grate</w:t>
      </w:r>
      <w:r w:rsidR="00F73310" w:rsidRPr="00B35881">
        <w:rPr>
          <w:rFonts w:ascii="Arial" w:hAnsi="Arial" w:cs="Arial"/>
          <w:sz w:val="20"/>
          <w:szCs w:val="20"/>
        </w:rPr>
        <w:t xml:space="preserve"> the pe</w:t>
      </w:r>
      <w:r w:rsidR="00170ACB">
        <w:rPr>
          <w:rFonts w:ascii="Arial" w:hAnsi="Arial" w:cs="Arial"/>
          <w:sz w:val="20"/>
          <w:szCs w:val="20"/>
        </w:rPr>
        <w:t xml:space="preserve">rsonal particulars of directors and </w:t>
      </w:r>
      <w:r w:rsidR="00F73310" w:rsidRPr="00B35881">
        <w:rPr>
          <w:rFonts w:ascii="Arial" w:hAnsi="Arial" w:cs="Arial"/>
          <w:sz w:val="20"/>
          <w:szCs w:val="20"/>
        </w:rPr>
        <w:t xml:space="preserve">supervisors currently </w:t>
      </w:r>
      <w:r w:rsidR="00170ACB">
        <w:rPr>
          <w:rFonts w:ascii="Arial" w:hAnsi="Arial" w:cs="Arial"/>
          <w:sz w:val="20"/>
          <w:szCs w:val="20"/>
        </w:rPr>
        <w:t xml:space="preserve">required by </w:t>
      </w:r>
      <w:r w:rsidR="00F73310" w:rsidRPr="00B35881">
        <w:rPr>
          <w:rFonts w:ascii="Arial" w:hAnsi="Arial" w:cs="Arial"/>
          <w:sz w:val="20"/>
          <w:szCs w:val="20"/>
        </w:rPr>
        <w:t xml:space="preserve">Part 1 </w:t>
      </w:r>
      <w:r w:rsidRPr="00B35881">
        <w:rPr>
          <w:rFonts w:ascii="Arial" w:hAnsi="Arial" w:cs="Arial"/>
          <w:sz w:val="20"/>
          <w:szCs w:val="20"/>
        </w:rPr>
        <w:t xml:space="preserve">of the Directors’ Undertaking Form </w:t>
      </w:r>
      <w:r w:rsidR="00305B86" w:rsidRPr="00B35881">
        <w:rPr>
          <w:rFonts w:ascii="Arial" w:hAnsi="Arial" w:cs="Arial"/>
          <w:sz w:val="20"/>
          <w:szCs w:val="20"/>
        </w:rPr>
        <w:t>with Form FF004</w:t>
      </w:r>
      <w:r w:rsidR="00EE32CA" w:rsidRPr="00B35881">
        <w:rPr>
          <w:rFonts w:ascii="Arial" w:hAnsi="Arial" w:cs="Arial"/>
          <w:sz w:val="20"/>
          <w:szCs w:val="20"/>
        </w:rPr>
        <w:t xml:space="preserve"> (the Contact Details Form</w:t>
      </w:r>
      <w:r w:rsidRPr="00B35881">
        <w:rPr>
          <w:rFonts w:ascii="Arial" w:hAnsi="Arial" w:cs="Arial"/>
          <w:sz w:val="20"/>
          <w:szCs w:val="20"/>
        </w:rPr>
        <w:t>)</w:t>
      </w:r>
      <w:r w:rsidR="00EE32CA" w:rsidRPr="00B35881">
        <w:rPr>
          <w:rFonts w:ascii="Arial" w:hAnsi="Arial" w:cs="Arial"/>
          <w:sz w:val="20"/>
          <w:szCs w:val="20"/>
        </w:rPr>
        <w:t xml:space="preserve"> which will be renamed the Person</w:t>
      </w:r>
      <w:r w:rsidRPr="00B35881">
        <w:rPr>
          <w:rFonts w:ascii="Arial" w:hAnsi="Arial" w:cs="Arial"/>
          <w:sz w:val="20"/>
          <w:szCs w:val="20"/>
        </w:rPr>
        <w:t>al Details Form</w:t>
      </w:r>
      <w:r w:rsidR="00305B86" w:rsidRPr="00B35881">
        <w:rPr>
          <w:rFonts w:ascii="Arial" w:hAnsi="Arial" w:cs="Arial"/>
          <w:sz w:val="20"/>
          <w:szCs w:val="20"/>
        </w:rPr>
        <w:t xml:space="preserve">. </w:t>
      </w:r>
    </w:p>
    <w:p w:rsidR="00170ACB" w:rsidRPr="00170ACB" w:rsidRDefault="00170ACB" w:rsidP="00CF233F">
      <w:pPr>
        <w:jc w:val="both"/>
        <w:rPr>
          <w:rFonts w:ascii="Arial" w:hAnsi="Arial" w:cs="Arial"/>
          <w:b/>
          <w:i/>
          <w:sz w:val="20"/>
          <w:szCs w:val="20"/>
        </w:rPr>
      </w:pPr>
      <w:r>
        <w:rPr>
          <w:rFonts w:ascii="Arial" w:hAnsi="Arial" w:cs="Arial"/>
          <w:sz w:val="20"/>
          <w:szCs w:val="20"/>
        </w:rPr>
        <w:t xml:space="preserve">For new listings and listings of debt securities, the HKEX will also move the submission deadline for </w:t>
      </w:r>
      <w:r w:rsidR="0053363A" w:rsidRPr="00B35881">
        <w:rPr>
          <w:rFonts w:ascii="Arial" w:hAnsi="Arial" w:cs="Arial"/>
          <w:sz w:val="20"/>
          <w:szCs w:val="20"/>
        </w:rPr>
        <w:t>Form FF004</w:t>
      </w:r>
      <w:r w:rsidR="0053363A">
        <w:rPr>
          <w:rFonts w:ascii="Arial" w:hAnsi="Arial" w:cs="Arial"/>
          <w:sz w:val="20"/>
          <w:szCs w:val="20"/>
        </w:rPr>
        <w:t xml:space="preserve"> forward and require its submission with the listing application form. </w:t>
      </w:r>
    </w:p>
    <w:p w:rsidR="0075105E" w:rsidRPr="00B35881" w:rsidRDefault="006B6106" w:rsidP="006104C5">
      <w:pPr>
        <w:jc w:val="both"/>
        <w:rPr>
          <w:rFonts w:ascii="Arial" w:hAnsi="Arial" w:cs="Arial"/>
          <w:b/>
          <w:sz w:val="20"/>
          <w:szCs w:val="20"/>
        </w:rPr>
      </w:pPr>
      <w:r w:rsidRPr="00B35881">
        <w:rPr>
          <w:rFonts w:ascii="Arial" w:hAnsi="Arial" w:cs="Arial"/>
          <w:b/>
          <w:sz w:val="20"/>
          <w:szCs w:val="20"/>
        </w:rPr>
        <w:t>Removing Unnecessary Signature or Certification Requirements</w:t>
      </w:r>
    </w:p>
    <w:p w:rsidR="00582A98" w:rsidRPr="00B35881" w:rsidRDefault="009F1206" w:rsidP="006104C5">
      <w:pPr>
        <w:jc w:val="both"/>
        <w:rPr>
          <w:rFonts w:ascii="Arial" w:hAnsi="Arial" w:cs="Arial"/>
          <w:sz w:val="20"/>
          <w:szCs w:val="20"/>
        </w:rPr>
      </w:pPr>
      <w:r w:rsidRPr="00B35881">
        <w:rPr>
          <w:rFonts w:ascii="Arial" w:hAnsi="Arial" w:cs="Arial"/>
          <w:sz w:val="20"/>
          <w:szCs w:val="20"/>
        </w:rPr>
        <w:t>As</w:t>
      </w:r>
      <w:r w:rsidR="00582A98" w:rsidRPr="00B35881">
        <w:rPr>
          <w:rFonts w:ascii="Arial" w:hAnsi="Arial" w:cs="Arial"/>
          <w:sz w:val="20"/>
          <w:szCs w:val="20"/>
        </w:rPr>
        <w:t xml:space="preserve"> issuers and sponsors are already required </w:t>
      </w:r>
      <w:r w:rsidR="00617E2A" w:rsidRPr="00B35881">
        <w:rPr>
          <w:rFonts w:ascii="Arial" w:hAnsi="Arial" w:cs="Arial"/>
          <w:sz w:val="20"/>
          <w:szCs w:val="20"/>
        </w:rPr>
        <w:t>to comply with</w:t>
      </w:r>
      <w:r w:rsidR="00582A98" w:rsidRPr="00B35881">
        <w:rPr>
          <w:rFonts w:ascii="Arial" w:hAnsi="Arial" w:cs="Arial"/>
          <w:sz w:val="20"/>
          <w:szCs w:val="20"/>
        </w:rPr>
        <w:t xml:space="preserve"> the </w:t>
      </w:r>
      <w:r w:rsidRPr="00B35881">
        <w:rPr>
          <w:rFonts w:ascii="Arial" w:hAnsi="Arial" w:cs="Arial"/>
          <w:sz w:val="20"/>
          <w:szCs w:val="20"/>
        </w:rPr>
        <w:t xml:space="preserve">HKEX </w:t>
      </w:r>
      <w:r w:rsidR="00582A98" w:rsidRPr="00B35881">
        <w:rPr>
          <w:rFonts w:ascii="Arial" w:hAnsi="Arial" w:cs="Arial"/>
          <w:sz w:val="20"/>
          <w:szCs w:val="20"/>
        </w:rPr>
        <w:t xml:space="preserve">Listing Rules </w:t>
      </w:r>
      <w:r w:rsidRPr="00B35881">
        <w:rPr>
          <w:rFonts w:ascii="Arial" w:hAnsi="Arial" w:cs="Arial"/>
          <w:sz w:val="20"/>
          <w:szCs w:val="20"/>
        </w:rPr>
        <w:t>(and</w:t>
      </w:r>
      <w:r w:rsidR="00582A98" w:rsidRPr="00B35881">
        <w:rPr>
          <w:rFonts w:ascii="Arial" w:hAnsi="Arial" w:cs="Arial"/>
          <w:sz w:val="20"/>
          <w:szCs w:val="20"/>
        </w:rPr>
        <w:t xml:space="preserve"> the </w:t>
      </w:r>
      <w:r w:rsidRPr="00B35881">
        <w:rPr>
          <w:rFonts w:ascii="Arial" w:hAnsi="Arial" w:cs="Arial"/>
          <w:sz w:val="20"/>
          <w:szCs w:val="20"/>
        </w:rPr>
        <w:t xml:space="preserve">SFC </w:t>
      </w:r>
      <w:r w:rsidR="00582A98" w:rsidRPr="00B35881">
        <w:rPr>
          <w:rFonts w:ascii="Arial" w:hAnsi="Arial" w:cs="Arial"/>
          <w:sz w:val="20"/>
          <w:szCs w:val="20"/>
        </w:rPr>
        <w:t>Code of Conduct</w:t>
      </w:r>
      <w:r w:rsidRPr="00B35881">
        <w:rPr>
          <w:rFonts w:ascii="Arial" w:hAnsi="Arial" w:cs="Arial"/>
          <w:sz w:val="20"/>
          <w:szCs w:val="20"/>
        </w:rPr>
        <w:t xml:space="preserve"> in the case of sponsors)</w:t>
      </w:r>
      <w:r w:rsidR="00582A98" w:rsidRPr="00B35881">
        <w:rPr>
          <w:rFonts w:ascii="Arial" w:hAnsi="Arial" w:cs="Arial"/>
          <w:sz w:val="20"/>
          <w:szCs w:val="20"/>
        </w:rPr>
        <w:t xml:space="preserve"> </w:t>
      </w:r>
      <w:r w:rsidR="0075105E" w:rsidRPr="00B35881">
        <w:rPr>
          <w:rFonts w:ascii="Arial" w:hAnsi="Arial" w:cs="Arial"/>
          <w:sz w:val="20"/>
          <w:szCs w:val="20"/>
        </w:rPr>
        <w:t xml:space="preserve">with regard to the accuracy and completeness of the documents submitted, the </w:t>
      </w:r>
      <w:r w:rsidR="00307E45" w:rsidRPr="00B35881">
        <w:rPr>
          <w:rFonts w:ascii="Arial" w:hAnsi="Arial" w:cs="Arial"/>
          <w:sz w:val="20"/>
          <w:szCs w:val="20"/>
        </w:rPr>
        <w:t>HKEX</w:t>
      </w:r>
      <w:r w:rsidR="0075105E" w:rsidRPr="00B35881">
        <w:rPr>
          <w:rFonts w:ascii="Arial" w:hAnsi="Arial" w:cs="Arial"/>
          <w:sz w:val="20"/>
          <w:szCs w:val="20"/>
        </w:rPr>
        <w:t xml:space="preserve"> </w:t>
      </w:r>
      <w:r w:rsidR="00687382">
        <w:rPr>
          <w:rFonts w:ascii="Arial" w:hAnsi="Arial" w:cs="Arial"/>
          <w:sz w:val="20"/>
          <w:szCs w:val="20"/>
        </w:rPr>
        <w:t xml:space="preserve">will </w:t>
      </w:r>
      <w:r w:rsidR="0075105E" w:rsidRPr="00B35881">
        <w:rPr>
          <w:rFonts w:ascii="Arial" w:hAnsi="Arial" w:cs="Arial"/>
          <w:sz w:val="20"/>
          <w:szCs w:val="20"/>
        </w:rPr>
        <w:t xml:space="preserve">remove the signature and certification requirements </w:t>
      </w:r>
      <w:r w:rsidRPr="00B35881">
        <w:rPr>
          <w:rFonts w:ascii="Arial" w:hAnsi="Arial" w:cs="Arial"/>
          <w:sz w:val="20"/>
          <w:szCs w:val="20"/>
        </w:rPr>
        <w:t xml:space="preserve">for various documents </w:t>
      </w:r>
      <w:r w:rsidR="0075105E" w:rsidRPr="00B35881">
        <w:rPr>
          <w:rFonts w:ascii="Arial" w:hAnsi="Arial" w:cs="Arial"/>
          <w:sz w:val="20"/>
          <w:szCs w:val="20"/>
        </w:rPr>
        <w:t>if they only evidence the sponsor</w:t>
      </w:r>
      <w:r w:rsidRPr="00B35881">
        <w:rPr>
          <w:rFonts w:ascii="Arial" w:hAnsi="Arial" w:cs="Arial"/>
          <w:sz w:val="20"/>
          <w:szCs w:val="20"/>
        </w:rPr>
        <w:t>’s</w:t>
      </w:r>
      <w:r w:rsidR="0075105E" w:rsidRPr="00B35881">
        <w:rPr>
          <w:rFonts w:ascii="Arial" w:hAnsi="Arial" w:cs="Arial"/>
          <w:sz w:val="20"/>
          <w:szCs w:val="20"/>
        </w:rPr>
        <w:t xml:space="preserve"> approval of the contents or certify that the submissions are true copies of their originals.</w:t>
      </w:r>
      <w:r w:rsidRPr="00B35881">
        <w:rPr>
          <w:rFonts w:ascii="Arial" w:hAnsi="Arial" w:cs="Arial"/>
          <w:sz w:val="20"/>
          <w:szCs w:val="20"/>
        </w:rPr>
        <w:t xml:space="preserve"> </w:t>
      </w:r>
      <w:r w:rsidR="00760361">
        <w:rPr>
          <w:rFonts w:ascii="Arial" w:hAnsi="Arial" w:cs="Arial"/>
          <w:sz w:val="20"/>
          <w:szCs w:val="20"/>
        </w:rPr>
        <w:t xml:space="preserve">The </w:t>
      </w:r>
      <w:r w:rsidRPr="00B35881">
        <w:rPr>
          <w:rFonts w:ascii="Arial" w:hAnsi="Arial" w:cs="Arial"/>
          <w:sz w:val="20"/>
          <w:szCs w:val="20"/>
        </w:rPr>
        <w:t>HKEX proposes to remove the sponsor’s signature requirements for Form M111 – market comparable analysis; e-Form M112 –</w:t>
      </w:r>
      <w:r w:rsidR="00C36608" w:rsidRPr="00B35881">
        <w:rPr>
          <w:rFonts w:ascii="Arial" w:hAnsi="Arial" w:cs="Arial"/>
          <w:sz w:val="20"/>
          <w:szCs w:val="20"/>
        </w:rPr>
        <w:t xml:space="preserve"> application for waiver from strict compliance with the Listing Rules; </w:t>
      </w:r>
      <w:r w:rsidR="00DD1B2C" w:rsidRPr="00B35881">
        <w:rPr>
          <w:rFonts w:ascii="Arial" w:hAnsi="Arial" w:cs="Arial"/>
          <w:sz w:val="20"/>
          <w:szCs w:val="20"/>
        </w:rPr>
        <w:t>Form M119 – additional information to be submitted with Pre-IPO E</w:t>
      </w:r>
      <w:r w:rsidR="002770C5" w:rsidRPr="00B35881">
        <w:rPr>
          <w:rFonts w:ascii="Arial" w:hAnsi="Arial" w:cs="Arial"/>
          <w:sz w:val="20"/>
          <w:szCs w:val="20"/>
        </w:rPr>
        <w:t>nquiry</w:t>
      </w:r>
      <w:r w:rsidR="00DD1B2C" w:rsidRPr="00B35881">
        <w:rPr>
          <w:rFonts w:ascii="Arial" w:hAnsi="Arial" w:cs="Arial"/>
          <w:sz w:val="20"/>
          <w:szCs w:val="20"/>
        </w:rPr>
        <w:t>/ Form A1/ Form 5A;</w:t>
      </w:r>
      <w:r w:rsidR="001C5C1C" w:rsidRPr="00B35881">
        <w:rPr>
          <w:rFonts w:ascii="Arial" w:hAnsi="Arial" w:cs="Arial"/>
          <w:sz w:val="20"/>
          <w:szCs w:val="20"/>
        </w:rPr>
        <w:t xml:space="preserve"> </w:t>
      </w:r>
      <w:r w:rsidR="00C36608" w:rsidRPr="00B35881">
        <w:rPr>
          <w:rFonts w:ascii="Arial" w:hAnsi="Arial" w:cs="Arial"/>
          <w:sz w:val="20"/>
          <w:szCs w:val="20"/>
        </w:rPr>
        <w:t>and e-Form M201 -</w:t>
      </w:r>
      <w:r w:rsidRPr="00B35881">
        <w:rPr>
          <w:rFonts w:ascii="Arial" w:hAnsi="Arial" w:cs="Arial"/>
          <w:sz w:val="20"/>
          <w:szCs w:val="20"/>
        </w:rPr>
        <w:t xml:space="preserve"> the completed checklist on the new listing particulars </w:t>
      </w:r>
      <w:r w:rsidR="00C36608" w:rsidRPr="00B35881">
        <w:rPr>
          <w:rFonts w:ascii="Arial" w:hAnsi="Arial" w:cs="Arial"/>
          <w:sz w:val="20"/>
          <w:szCs w:val="20"/>
        </w:rPr>
        <w:t>of the listing applicant.</w:t>
      </w:r>
    </w:p>
    <w:p w:rsidR="0075105E" w:rsidRPr="00B35881" w:rsidRDefault="005E2842" w:rsidP="006104C5">
      <w:pPr>
        <w:jc w:val="both"/>
        <w:rPr>
          <w:rFonts w:ascii="Arial" w:hAnsi="Arial" w:cs="Arial"/>
          <w:b/>
          <w:sz w:val="20"/>
          <w:szCs w:val="20"/>
        </w:rPr>
      </w:pPr>
      <w:r w:rsidRPr="00B35881">
        <w:rPr>
          <w:rFonts w:ascii="Arial" w:hAnsi="Arial" w:cs="Arial"/>
          <w:b/>
          <w:sz w:val="20"/>
          <w:szCs w:val="20"/>
        </w:rPr>
        <w:t xml:space="preserve">Mandating Electronic </w:t>
      </w:r>
      <w:r w:rsidR="006B6106" w:rsidRPr="00B35881">
        <w:rPr>
          <w:rFonts w:ascii="Arial" w:hAnsi="Arial" w:cs="Arial"/>
          <w:b/>
          <w:sz w:val="20"/>
          <w:szCs w:val="20"/>
        </w:rPr>
        <w:t xml:space="preserve">Only Submission </w:t>
      </w:r>
    </w:p>
    <w:p w:rsidR="00687382" w:rsidRPr="00B35881" w:rsidRDefault="00D969D1" w:rsidP="00687382">
      <w:pPr>
        <w:jc w:val="both"/>
        <w:rPr>
          <w:rFonts w:ascii="Arial" w:hAnsi="Arial" w:cs="Arial"/>
          <w:sz w:val="20"/>
          <w:szCs w:val="20"/>
        </w:rPr>
      </w:pPr>
      <w:r w:rsidRPr="00B35881">
        <w:rPr>
          <w:rFonts w:ascii="Arial" w:hAnsi="Arial" w:cs="Arial"/>
          <w:sz w:val="20"/>
          <w:szCs w:val="20"/>
        </w:rPr>
        <w:lastRenderedPageBreak/>
        <w:t>Althou</w:t>
      </w:r>
      <w:r w:rsidR="005E2842" w:rsidRPr="00B35881">
        <w:rPr>
          <w:rFonts w:ascii="Arial" w:hAnsi="Arial" w:cs="Arial"/>
          <w:sz w:val="20"/>
          <w:szCs w:val="20"/>
        </w:rPr>
        <w:t>gh a majority of documents can</w:t>
      </w:r>
      <w:r w:rsidRPr="00B35881">
        <w:rPr>
          <w:rFonts w:ascii="Arial" w:hAnsi="Arial" w:cs="Arial"/>
          <w:sz w:val="20"/>
          <w:szCs w:val="20"/>
        </w:rPr>
        <w:t xml:space="preserve"> now be submitted </w:t>
      </w:r>
      <w:r w:rsidR="00617E2A" w:rsidRPr="00B35881">
        <w:rPr>
          <w:rFonts w:ascii="Arial" w:hAnsi="Arial" w:cs="Arial"/>
          <w:sz w:val="20"/>
          <w:szCs w:val="20"/>
        </w:rPr>
        <w:t xml:space="preserve">to the HKEX </w:t>
      </w:r>
      <w:r w:rsidRPr="00B35881">
        <w:rPr>
          <w:rFonts w:ascii="Arial" w:hAnsi="Arial" w:cs="Arial"/>
          <w:sz w:val="20"/>
          <w:szCs w:val="20"/>
        </w:rPr>
        <w:t xml:space="preserve">electronically, the </w:t>
      </w:r>
      <w:r w:rsidR="005E2842" w:rsidRPr="00B35881">
        <w:rPr>
          <w:rFonts w:ascii="Arial" w:hAnsi="Arial" w:cs="Arial"/>
          <w:sz w:val="20"/>
          <w:szCs w:val="20"/>
        </w:rPr>
        <w:t xml:space="preserve">HKEX </w:t>
      </w:r>
      <w:r w:rsidR="00687382">
        <w:rPr>
          <w:rFonts w:ascii="Arial" w:hAnsi="Arial" w:cs="Arial"/>
          <w:sz w:val="20"/>
          <w:szCs w:val="20"/>
        </w:rPr>
        <w:t>Listing Rules and relevant guidance m</w:t>
      </w:r>
      <w:r w:rsidRPr="00B35881">
        <w:rPr>
          <w:rFonts w:ascii="Arial" w:hAnsi="Arial" w:cs="Arial"/>
          <w:sz w:val="20"/>
          <w:szCs w:val="20"/>
        </w:rPr>
        <w:t xml:space="preserve">aterials currently still require </w:t>
      </w:r>
      <w:r w:rsidR="00D57B0C" w:rsidRPr="00B35881">
        <w:rPr>
          <w:rFonts w:ascii="Arial" w:hAnsi="Arial" w:cs="Arial"/>
          <w:sz w:val="20"/>
          <w:szCs w:val="20"/>
        </w:rPr>
        <w:t xml:space="preserve">the </w:t>
      </w:r>
      <w:r w:rsidRPr="00B35881">
        <w:rPr>
          <w:rFonts w:ascii="Arial" w:hAnsi="Arial" w:cs="Arial"/>
          <w:sz w:val="20"/>
          <w:szCs w:val="20"/>
        </w:rPr>
        <w:t xml:space="preserve">submission of hard copies of some documents to </w:t>
      </w:r>
      <w:r w:rsidR="00617E2A" w:rsidRPr="00B35881">
        <w:rPr>
          <w:rFonts w:ascii="Arial" w:hAnsi="Arial" w:cs="Arial"/>
          <w:sz w:val="20"/>
          <w:szCs w:val="20"/>
        </w:rPr>
        <w:t>the HKEX</w:t>
      </w:r>
      <w:r w:rsidR="006D0EA2" w:rsidRPr="00B35881">
        <w:rPr>
          <w:rFonts w:ascii="Arial" w:hAnsi="Arial" w:cs="Arial"/>
          <w:sz w:val="20"/>
          <w:szCs w:val="20"/>
        </w:rPr>
        <w:t xml:space="preserve"> </w:t>
      </w:r>
      <w:r w:rsidRPr="00B35881">
        <w:rPr>
          <w:rFonts w:ascii="Arial" w:hAnsi="Arial" w:cs="Arial"/>
          <w:sz w:val="20"/>
          <w:szCs w:val="20"/>
        </w:rPr>
        <w:t>(</w:t>
      </w:r>
      <w:proofErr w:type="gramStart"/>
      <w:r w:rsidR="005E2842" w:rsidRPr="00B35881">
        <w:rPr>
          <w:rFonts w:ascii="Arial" w:hAnsi="Arial" w:cs="Arial"/>
          <w:sz w:val="20"/>
          <w:szCs w:val="20"/>
        </w:rPr>
        <w:t>e.g.</w:t>
      </w:r>
      <w:proofErr w:type="gramEnd"/>
      <w:r w:rsidR="005E2842" w:rsidRPr="00B35881">
        <w:rPr>
          <w:rFonts w:ascii="Arial" w:hAnsi="Arial" w:cs="Arial"/>
          <w:sz w:val="20"/>
          <w:szCs w:val="20"/>
        </w:rPr>
        <w:t xml:space="preserve"> the signed original of </w:t>
      </w:r>
      <w:r w:rsidR="00687382">
        <w:rPr>
          <w:rFonts w:ascii="Arial" w:hAnsi="Arial" w:cs="Arial"/>
          <w:sz w:val="20"/>
          <w:szCs w:val="20"/>
        </w:rPr>
        <w:t>d</w:t>
      </w:r>
      <w:r w:rsidR="005E2842" w:rsidRPr="00B35881">
        <w:rPr>
          <w:rFonts w:ascii="Arial" w:hAnsi="Arial" w:cs="Arial"/>
          <w:sz w:val="20"/>
          <w:szCs w:val="20"/>
        </w:rPr>
        <w:t xml:space="preserve">irectors’ </w:t>
      </w:r>
      <w:r w:rsidR="00687382">
        <w:rPr>
          <w:rFonts w:ascii="Arial" w:hAnsi="Arial" w:cs="Arial"/>
          <w:sz w:val="20"/>
          <w:szCs w:val="20"/>
        </w:rPr>
        <w:t>u</w:t>
      </w:r>
      <w:r w:rsidR="005E2842" w:rsidRPr="00B35881">
        <w:rPr>
          <w:rFonts w:ascii="Arial" w:hAnsi="Arial" w:cs="Arial"/>
          <w:sz w:val="20"/>
          <w:szCs w:val="20"/>
        </w:rPr>
        <w:t>ndertaking</w:t>
      </w:r>
      <w:r w:rsidR="00687382">
        <w:rPr>
          <w:rFonts w:ascii="Arial" w:hAnsi="Arial" w:cs="Arial"/>
          <w:sz w:val="20"/>
          <w:szCs w:val="20"/>
        </w:rPr>
        <w:t xml:space="preserve"> f</w:t>
      </w:r>
      <w:r w:rsidRPr="00B35881">
        <w:rPr>
          <w:rFonts w:ascii="Arial" w:hAnsi="Arial" w:cs="Arial"/>
          <w:sz w:val="20"/>
          <w:szCs w:val="20"/>
        </w:rPr>
        <w:t>orm</w:t>
      </w:r>
      <w:r w:rsidR="005E2842" w:rsidRPr="00B35881">
        <w:rPr>
          <w:rFonts w:ascii="Arial" w:hAnsi="Arial" w:cs="Arial"/>
          <w:sz w:val="20"/>
          <w:szCs w:val="20"/>
        </w:rPr>
        <w:t>s</w:t>
      </w:r>
      <w:r w:rsidRPr="00B35881">
        <w:rPr>
          <w:rFonts w:ascii="Arial" w:hAnsi="Arial" w:cs="Arial"/>
          <w:sz w:val="20"/>
          <w:szCs w:val="20"/>
        </w:rPr>
        <w:t>). T</w:t>
      </w:r>
      <w:r w:rsidR="0053363A">
        <w:rPr>
          <w:rFonts w:ascii="Arial" w:hAnsi="Arial" w:cs="Arial"/>
          <w:sz w:val="20"/>
          <w:szCs w:val="20"/>
        </w:rPr>
        <w:t>he</w:t>
      </w:r>
      <w:r w:rsidR="00617E2A" w:rsidRPr="00B35881">
        <w:rPr>
          <w:rFonts w:ascii="Arial" w:hAnsi="Arial" w:cs="Arial"/>
          <w:sz w:val="20"/>
          <w:szCs w:val="20"/>
        </w:rPr>
        <w:t xml:space="preserve"> </w:t>
      </w:r>
      <w:r w:rsidR="006D0EA2" w:rsidRPr="00B35881">
        <w:rPr>
          <w:rFonts w:ascii="Arial" w:hAnsi="Arial" w:cs="Arial"/>
          <w:sz w:val="20"/>
          <w:szCs w:val="20"/>
        </w:rPr>
        <w:t xml:space="preserve">HKEX </w:t>
      </w:r>
      <w:r w:rsidR="00687382">
        <w:rPr>
          <w:rFonts w:ascii="Arial" w:hAnsi="Arial" w:cs="Arial"/>
          <w:sz w:val="20"/>
          <w:szCs w:val="20"/>
        </w:rPr>
        <w:t xml:space="preserve">will </w:t>
      </w:r>
      <w:r w:rsidR="0053363A">
        <w:rPr>
          <w:rFonts w:ascii="Arial" w:hAnsi="Arial" w:cs="Arial"/>
          <w:sz w:val="20"/>
          <w:szCs w:val="20"/>
        </w:rPr>
        <w:t xml:space="preserve">therefore </w:t>
      </w:r>
      <w:r w:rsidRPr="00B35881">
        <w:rPr>
          <w:rFonts w:ascii="Arial" w:hAnsi="Arial" w:cs="Arial"/>
          <w:sz w:val="20"/>
          <w:szCs w:val="20"/>
        </w:rPr>
        <w:t>mandate</w:t>
      </w:r>
      <w:r w:rsidR="005E2842" w:rsidRPr="00B35881">
        <w:rPr>
          <w:rFonts w:ascii="Arial" w:hAnsi="Arial" w:cs="Arial"/>
          <w:sz w:val="20"/>
          <w:szCs w:val="20"/>
        </w:rPr>
        <w:t xml:space="preserve"> that all documents must be submitted</w:t>
      </w:r>
      <w:r w:rsidRPr="00B35881">
        <w:rPr>
          <w:rFonts w:ascii="Arial" w:hAnsi="Arial" w:cs="Arial"/>
          <w:sz w:val="20"/>
          <w:szCs w:val="20"/>
        </w:rPr>
        <w:t xml:space="preserve"> via electr</w:t>
      </w:r>
      <w:r w:rsidR="005E2842" w:rsidRPr="00B35881">
        <w:rPr>
          <w:rFonts w:ascii="Arial" w:hAnsi="Arial" w:cs="Arial"/>
          <w:sz w:val="20"/>
          <w:szCs w:val="20"/>
        </w:rPr>
        <w:t>onic means unless otherwise specified in</w:t>
      </w:r>
      <w:r w:rsidR="007B6F2D" w:rsidRPr="00B35881">
        <w:rPr>
          <w:rFonts w:ascii="Arial" w:hAnsi="Arial" w:cs="Arial"/>
          <w:sz w:val="20"/>
          <w:szCs w:val="20"/>
        </w:rPr>
        <w:t xml:space="preserve"> the</w:t>
      </w:r>
      <w:r w:rsidR="005E2842" w:rsidRPr="00B35881">
        <w:rPr>
          <w:rFonts w:ascii="Arial" w:hAnsi="Arial" w:cs="Arial"/>
          <w:sz w:val="20"/>
          <w:szCs w:val="20"/>
        </w:rPr>
        <w:t xml:space="preserve"> HKEX</w:t>
      </w:r>
      <w:r w:rsidR="007B6F2D" w:rsidRPr="00B35881">
        <w:rPr>
          <w:rFonts w:ascii="Arial" w:hAnsi="Arial" w:cs="Arial"/>
          <w:sz w:val="20"/>
          <w:szCs w:val="20"/>
        </w:rPr>
        <w:t xml:space="preserve"> Listing Rules or required </w:t>
      </w:r>
      <w:r w:rsidRPr="00B35881">
        <w:rPr>
          <w:rFonts w:ascii="Arial" w:hAnsi="Arial" w:cs="Arial"/>
          <w:sz w:val="20"/>
          <w:szCs w:val="20"/>
        </w:rPr>
        <w:t xml:space="preserve">by the </w:t>
      </w:r>
      <w:r w:rsidR="00822D6F" w:rsidRPr="00B35881">
        <w:rPr>
          <w:rFonts w:ascii="Arial" w:hAnsi="Arial" w:cs="Arial"/>
          <w:sz w:val="20"/>
          <w:szCs w:val="20"/>
        </w:rPr>
        <w:t>HKEX</w:t>
      </w:r>
      <w:r w:rsidR="007B6F2D" w:rsidRPr="00B35881">
        <w:rPr>
          <w:rFonts w:ascii="Arial" w:hAnsi="Arial" w:cs="Arial"/>
          <w:sz w:val="20"/>
          <w:szCs w:val="20"/>
        </w:rPr>
        <w:t xml:space="preserve">. </w:t>
      </w:r>
      <w:r w:rsidR="00822D6F" w:rsidRPr="00B35881">
        <w:rPr>
          <w:rFonts w:ascii="Arial" w:hAnsi="Arial" w:cs="Arial"/>
          <w:sz w:val="20"/>
          <w:szCs w:val="20"/>
        </w:rPr>
        <w:t>It</w:t>
      </w:r>
      <w:r w:rsidR="006D0EA2" w:rsidRPr="00B35881">
        <w:rPr>
          <w:rFonts w:ascii="Arial" w:hAnsi="Arial" w:cs="Arial"/>
          <w:sz w:val="20"/>
          <w:szCs w:val="20"/>
        </w:rPr>
        <w:t xml:space="preserve"> </w:t>
      </w:r>
      <w:r w:rsidR="00687382">
        <w:rPr>
          <w:rFonts w:ascii="Arial" w:hAnsi="Arial" w:cs="Arial"/>
          <w:sz w:val="20"/>
          <w:szCs w:val="20"/>
        </w:rPr>
        <w:t xml:space="preserve">will </w:t>
      </w:r>
      <w:r w:rsidR="007B6F2D" w:rsidRPr="00B35881">
        <w:rPr>
          <w:rFonts w:ascii="Arial" w:hAnsi="Arial" w:cs="Arial"/>
          <w:sz w:val="20"/>
          <w:szCs w:val="20"/>
        </w:rPr>
        <w:t>also remove requirement</w:t>
      </w:r>
      <w:r w:rsidR="00687382">
        <w:rPr>
          <w:rFonts w:ascii="Arial" w:hAnsi="Arial" w:cs="Arial"/>
          <w:sz w:val="20"/>
          <w:szCs w:val="20"/>
        </w:rPr>
        <w:t>s</w:t>
      </w:r>
      <w:r w:rsidR="007B6F2D" w:rsidRPr="00B35881">
        <w:rPr>
          <w:rFonts w:ascii="Arial" w:hAnsi="Arial" w:cs="Arial"/>
          <w:sz w:val="20"/>
          <w:szCs w:val="20"/>
        </w:rPr>
        <w:t xml:space="preserve"> for submission of multi</w:t>
      </w:r>
      <w:r w:rsidR="005E2842" w:rsidRPr="00B35881">
        <w:rPr>
          <w:rFonts w:ascii="Arial" w:hAnsi="Arial" w:cs="Arial"/>
          <w:sz w:val="20"/>
          <w:szCs w:val="20"/>
        </w:rPr>
        <w:t>ple copies of the same document</w:t>
      </w:r>
      <w:r w:rsidR="007B6F2D" w:rsidRPr="00B35881">
        <w:rPr>
          <w:rFonts w:ascii="Arial" w:hAnsi="Arial" w:cs="Arial"/>
          <w:sz w:val="20"/>
          <w:szCs w:val="20"/>
        </w:rPr>
        <w:t xml:space="preserve"> as it considers </w:t>
      </w:r>
      <w:r w:rsidR="00687382">
        <w:rPr>
          <w:rFonts w:ascii="Arial" w:hAnsi="Arial" w:cs="Arial"/>
          <w:sz w:val="20"/>
          <w:szCs w:val="20"/>
        </w:rPr>
        <w:t>it sufficient for documents to be submitted electronically.</w:t>
      </w:r>
    </w:p>
    <w:p w:rsidR="00FE432C" w:rsidRPr="00B35881" w:rsidRDefault="00383EE1" w:rsidP="00423934">
      <w:pPr>
        <w:jc w:val="both"/>
        <w:rPr>
          <w:rFonts w:ascii="Arial" w:hAnsi="Arial" w:cs="Arial"/>
          <w:sz w:val="20"/>
          <w:szCs w:val="20"/>
        </w:rPr>
      </w:pPr>
      <w:r w:rsidRPr="00B35881">
        <w:rPr>
          <w:rFonts w:ascii="Arial" w:hAnsi="Arial" w:cs="Arial"/>
          <w:sz w:val="20"/>
          <w:szCs w:val="20"/>
        </w:rPr>
        <w:t xml:space="preserve">To facilitate electronic </w:t>
      </w:r>
      <w:r w:rsidR="006177E6" w:rsidRPr="00B35881">
        <w:rPr>
          <w:rFonts w:ascii="Arial" w:hAnsi="Arial" w:cs="Arial"/>
          <w:sz w:val="20"/>
          <w:szCs w:val="20"/>
        </w:rPr>
        <w:t>document</w:t>
      </w:r>
      <w:r w:rsidR="006177E6">
        <w:rPr>
          <w:rFonts w:ascii="Arial" w:hAnsi="Arial" w:cs="Arial"/>
          <w:sz w:val="20"/>
          <w:szCs w:val="20"/>
        </w:rPr>
        <w:t xml:space="preserve"> </w:t>
      </w:r>
      <w:r w:rsidRPr="00B35881">
        <w:rPr>
          <w:rFonts w:ascii="Arial" w:hAnsi="Arial" w:cs="Arial"/>
          <w:sz w:val="20"/>
          <w:szCs w:val="20"/>
        </w:rPr>
        <w:t xml:space="preserve">submission, </w:t>
      </w:r>
      <w:r w:rsidR="00822D6F" w:rsidRPr="00B35881">
        <w:rPr>
          <w:rFonts w:ascii="Arial" w:hAnsi="Arial" w:cs="Arial"/>
          <w:sz w:val="20"/>
          <w:szCs w:val="20"/>
        </w:rPr>
        <w:t xml:space="preserve">the </w:t>
      </w:r>
      <w:r w:rsidR="006D0EA2" w:rsidRPr="00B35881">
        <w:rPr>
          <w:rFonts w:ascii="Arial" w:hAnsi="Arial" w:cs="Arial"/>
          <w:sz w:val="20"/>
          <w:szCs w:val="20"/>
        </w:rPr>
        <w:t xml:space="preserve">HKEX </w:t>
      </w:r>
      <w:r w:rsidRPr="00B35881">
        <w:rPr>
          <w:rFonts w:ascii="Arial" w:hAnsi="Arial" w:cs="Arial"/>
          <w:sz w:val="20"/>
          <w:szCs w:val="20"/>
        </w:rPr>
        <w:t>plans to launch a new online plat</w:t>
      </w:r>
      <w:r w:rsidR="00E302F6" w:rsidRPr="00B35881">
        <w:rPr>
          <w:rFonts w:ascii="Arial" w:hAnsi="Arial" w:cs="Arial"/>
          <w:sz w:val="20"/>
          <w:szCs w:val="20"/>
        </w:rPr>
        <w:t>form</w:t>
      </w:r>
      <w:r w:rsidRPr="00B35881">
        <w:rPr>
          <w:rFonts w:ascii="Arial" w:hAnsi="Arial" w:cs="Arial"/>
          <w:sz w:val="20"/>
          <w:szCs w:val="20"/>
        </w:rPr>
        <w:t xml:space="preserve"> as a designated channel for two-way communication be</w:t>
      </w:r>
      <w:r w:rsidR="00822D6F" w:rsidRPr="00B35881">
        <w:rPr>
          <w:rFonts w:ascii="Arial" w:hAnsi="Arial" w:cs="Arial"/>
          <w:sz w:val="20"/>
          <w:szCs w:val="20"/>
        </w:rPr>
        <w:t>tween the</w:t>
      </w:r>
      <w:r w:rsidR="00E302F6" w:rsidRPr="00B35881">
        <w:rPr>
          <w:rFonts w:ascii="Arial" w:hAnsi="Arial" w:cs="Arial"/>
          <w:sz w:val="20"/>
          <w:szCs w:val="20"/>
        </w:rPr>
        <w:t xml:space="preserve"> Listing Division and listing</w:t>
      </w:r>
      <w:r w:rsidR="0053363A">
        <w:rPr>
          <w:rFonts w:ascii="Arial" w:hAnsi="Arial" w:cs="Arial"/>
          <w:sz w:val="20"/>
          <w:szCs w:val="20"/>
        </w:rPr>
        <w:t xml:space="preserve"> applicants and </w:t>
      </w:r>
      <w:r w:rsidRPr="00B35881">
        <w:rPr>
          <w:rFonts w:ascii="Arial" w:hAnsi="Arial" w:cs="Arial"/>
          <w:sz w:val="20"/>
          <w:szCs w:val="20"/>
        </w:rPr>
        <w:t>listed</w:t>
      </w:r>
      <w:r w:rsidR="0053363A">
        <w:rPr>
          <w:rFonts w:ascii="Arial" w:hAnsi="Arial" w:cs="Arial"/>
          <w:sz w:val="20"/>
          <w:szCs w:val="20"/>
        </w:rPr>
        <w:t xml:space="preserve"> companie</w:t>
      </w:r>
      <w:r w:rsidR="0053363A" w:rsidRPr="00B35881">
        <w:rPr>
          <w:rFonts w:ascii="Arial" w:hAnsi="Arial" w:cs="Arial"/>
          <w:sz w:val="20"/>
          <w:szCs w:val="20"/>
        </w:rPr>
        <w:t>s</w:t>
      </w:r>
      <w:r w:rsidRPr="00B35881">
        <w:rPr>
          <w:rFonts w:ascii="Arial" w:hAnsi="Arial" w:cs="Arial"/>
          <w:sz w:val="20"/>
          <w:szCs w:val="20"/>
        </w:rPr>
        <w:t>. All d</w:t>
      </w:r>
      <w:r w:rsidR="00E302F6" w:rsidRPr="00B35881">
        <w:rPr>
          <w:rFonts w:ascii="Arial" w:hAnsi="Arial" w:cs="Arial"/>
          <w:sz w:val="20"/>
          <w:szCs w:val="20"/>
        </w:rPr>
        <w:t>ocuments, emails and e-Forms w</w:t>
      </w:r>
      <w:r w:rsidR="0053363A">
        <w:rPr>
          <w:rFonts w:ascii="Arial" w:hAnsi="Arial" w:cs="Arial"/>
          <w:sz w:val="20"/>
          <w:szCs w:val="20"/>
        </w:rPr>
        <w:t>ill</w:t>
      </w:r>
      <w:r w:rsidR="00E302F6" w:rsidRPr="00B35881">
        <w:rPr>
          <w:rFonts w:ascii="Arial" w:hAnsi="Arial" w:cs="Arial"/>
          <w:sz w:val="20"/>
          <w:szCs w:val="20"/>
        </w:rPr>
        <w:t xml:space="preserve"> </w:t>
      </w:r>
      <w:r w:rsidR="0053363A">
        <w:rPr>
          <w:rFonts w:ascii="Arial" w:hAnsi="Arial" w:cs="Arial"/>
          <w:sz w:val="20"/>
          <w:szCs w:val="20"/>
        </w:rPr>
        <w:t xml:space="preserve">need </w:t>
      </w:r>
      <w:r w:rsidRPr="00B35881">
        <w:rPr>
          <w:rFonts w:ascii="Arial" w:hAnsi="Arial" w:cs="Arial"/>
          <w:sz w:val="20"/>
          <w:szCs w:val="20"/>
        </w:rPr>
        <w:t>t</w:t>
      </w:r>
      <w:r w:rsidR="00822D6F" w:rsidRPr="00B35881">
        <w:rPr>
          <w:rFonts w:ascii="Arial" w:hAnsi="Arial" w:cs="Arial"/>
          <w:sz w:val="20"/>
          <w:szCs w:val="20"/>
        </w:rPr>
        <w:t>o be submitted electronically on</w:t>
      </w:r>
      <w:r w:rsidRPr="00B35881">
        <w:rPr>
          <w:rFonts w:ascii="Arial" w:hAnsi="Arial" w:cs="Arial"/>
          <w:sz w:val="20"/>
          <w:szCs w:val="20"/>
        </w:rPr>
        <w:t xml:space="preserve"> </w:t>
      </w:r>
      <w:r w:rsidR="0053363A">
        <w:rPr>
          <w:rFonts w:ascii="Arial" w:hAnsi="Arial" w:cs="Arial"/>
          <w:sz w:val="20"/>
          <w:szCs w:val="20"/>
        </w:rPr>
        <w:t>the</w:t>
      </w:r>
      <w:r w:rsidR="00E302F6" w:rsidRPr="00B35881">
        <w:rPr>
          <w:rFonts w:ascii="Arial" w:hAnsi="Arial" w:cs="Arial"/>
          <w:sz w:val="20"/>
          <w:szCs w:val="20"/>
        </w:rPr>
        <w:t xml:space="preserve"> platform. The platform w</w:t>
      </w:r>
      <w:r w:rsidR="0053363A">
        <w:rPr>
          <w:rFonts w:ascii="Arial" w:hAnsi="Arial" w:cs="Arial"/>
          <w:sz w:val="20"/>
          <w:szCs w:val="20"/>
        </w:rPr>
        <w:t>ill</w:t>
      </w:r>
      <w:r w:rsidRPr="00B35881">
        <w:rPr>
          <w:rFonts w:ascii="Arial" w:hAnsi="Arial" w:cs="Arial"/>
          <w:sz w:val="20"/>
          <w:szCs w:val="20"/>
        </w:rPr>
        <w:t xml:space="preserve"> enable electronic signature of releva</w:t>
      </w:r>
      <w:r w:rsidR="00E302F6" w:rsidRPr="00B35881">
        <w:rPr>
          <w:rFonts w:ascii="Arial" w:hAnsi="Arial" w:cs="Arial"/>
          <w:sz w:val="20"/>
          <w:szCs w:val="20"/>
        </w:rPr>
        <w:t>n</w:t>
      </w:r>
      <w:r w:rsidR="0053363A">
        <w:rPr>
          <w:rFonts w:ascii="Arial" w:hAnsi="Arial" w:cs="Arial"/>
          <w:sz w:val="20"/>
          <w:szCs w:val="20"/>
        </w:rPr>
        <w:t xml:space="preserve">t submission documents and will </w:t>
      </w:r>
      <w:r w:rsidR="006177E6">
        <w:rPr>
          <w:rFonts w:ascii="Arial" w:hAnsi="Arial" w:cs="Arial"/>
          <w:sz w:val="20"/>
          <w:szCs w:val="20"/>
        </w:rPr>
        <w:t xml:space="preserve">have </w:t>
      </w:r>
      <w:r w:rsidRPr="00B35881">
        <w:rPr>
          <w:rFonts w:ascii="Arial" w:hAnsi="Arial" w:cs="Arial"/>
          <w:sz w:val="20"/>
          <w:szCs w:val="20"/>
        </w:rPr>
        <w:t xml:space="preserve">features to </w:t>
      </w:r>
      <w:r w:rsidR="00E302F6" w:rsidRPr="00B35881">
        <w:rPr>
          <w:rFonts w:ascii="Arial" w:hAnsi="Arial" w:cs="Arial"/>
          <w:sz w:val="20"/>
          <w:szCs w:val="20"/>
        </w:rPr>
        <w:t>ensure compliance with the requirements of</w:t>
      </w:r>
      <w:r w:rsidRPr="00B35881">
        <w:rPr>
          <w:rFonts w:ascii="Arial" w:hAnsi="Arial" w:cs="Arial"/>
          <w:sz w:val="20"/>
          <w:szCs w:val="20"/>
        </w:rPr>
        <w:t xml:space="preserve"> the Electronic Transactions Ordinance</w:t>
      </w:r>
      <w:r w:rsidR="0088284C">
        <w:rPr>
          <w:rFonts w:ascii="Arial" w:hAnsi="Arial" w:cs="Arial"/>
          <w:sz w:val="20"/>
          <w:szCs w:val="20"/>
        </w:rPr>
        <w:t xml:space="preserve"> (the </w:t>
      </w:r>
      <w:r w:rsidR="0088284C">
        <w:rPr>
          <w:rFonts w:ascii="Arial" w:hAnsi="Arial" w:cs="Arial"/>
          <w:b/>
          <w:sz w:val="20"/>
          <w:szCs w:val="20"/>
        </w:rPr>
        <w:t>ETO</w:t>
      </w:r>
      <w:r w:rsidR="0088284C">
        <w:rPr>
          <w:rFonts w:ascii="Arial" w:hAnsi="Arial" w:cs="Arial"/>
          <w:sz w:val="20"/>
          <w:szCs w:val="20"/>
        </w:rPr>
        <w:t>)</w:t>
      </w:r>
      <w:r w:rsidRPr="00B35881">
        <w:rPr>
          <w:rFonts w:ascii="Arial" w:hAnsi="Arial" w:cs="Arial"/>
          <w:sz w:val="20"/>
          <w:szCs w:val="20"/>
        </w:rPr>
        <w:t xml:space="preserve">. </w:t>
      </w:r>
      <w:r w:rsidR="0053363A">
        <w:rPr>
          <w:rFonts w:ascii="Arial" w:hAnsi="Arial" w:cs="Arial"/>
          <w:sz w:val="20"/>
          <w:szCs w:val="20"/>
        </w:rPr>
        <w:t>T</w:t>
      </w:r>
      <w:r w:rsidR="00FE432C" w:rsidRPr="00206835">
        <w:rPr>
          <w:rFonts w:ascii="Arial" w:hAnsi="Arial" w:cs="Arial"/>
          <w:sz w:val="20"/>
          <w:szCs w:val="20"/>
        </w:rPr>
        <w:t>he HKEX will adopt re</w:t>
      </w:r>
      <w:r w:rsidR="00FE432C" w:rsidRPr="000154BF">
        <w:rPr>
          <w:rFonts w:ascii="Arial" w:hAnsi="Arial" w:cs="Arial"/>
          <w:sz w:val="20"/>
          <w:szCs w:val="20"/>
        </w:rPr>
        <w:t>spondents’ comments on the design of the system, includi</w:t>
      </w:r>
      <w:r w:rsidR="00FE432C" w:rsidRPr="00D86CAE">
        <w:rPr>
          <w:rFonts w:ascii="Arial" w:hAnsi="Arial" w:cs="Arial"/>
          <w:sz w:val="20"/>
          <w:szCs w:val="20"/>
        </w:rPr>
        <w:t xml:space="preserve">ng </w:t>
      </w:r>
      <w:r w:rsidR="0053363A">
        <w:rPr>
          <w:rFonts w:ascii="Arial" w:hAnsi="Arial" w:cs="Arial"/>
          <w:sz w:val="20"/>
          <w:szCs w:val="20"/>
        </w:rPr>
        <w:t xml:space="preserve">the provision of </w:t>
      </w:r>
      <w:r w:rsidR="00FE432C" w:rsidRPr="00B35881">
        <w:rPr>
          <w:rFonts w:ascii="Arial" w:hAnsi="Arial" w:cs="Arial"/>
          <w:sz w:val="20"/>
          <w:szCs w:val="20"/>
        </w:rPr>
        <w:t xml:space="preserve">a transitional period to allow users to submit documents by email and a hotline service to handle users’ inquiries and technical issues.  </w:t>
      </w:r>
    </w:p>
    <w:p w:rsidR="00617E2A" w:rsidRPr="00B35881" w:rsidRDefault="00423934" w:rsidP="00423934">
      <w:pPr>
        <w:jc w:val="both"/>
        <w:rPr>
          <w:rFonts w:ascii="Arial" w:hAnsi="Arial" w:cs="Arial"/>
          <w:sz w:val="20"/>
          <w:szCs w:val="20"/>
        </w:rPr>
      </w:pPr>
      <w:r w:rsidRPr="00B35881">
        <w:rPr>
          <w:rFonts w:ascii="Arial" w:hAnsi="Arial" w:cs="Arial"/>
          <w:sz w:val="20"/>
          <w:szCs w:val="20"/>
        </w:rPr>
        <w:t xml:space="preserve">Issuers </w:t>
      </w:r>
      <w:r w:rsidR="0053363A">
        <w:rPr>
          <w:rFonts w:ascii="Arial" w:hAnsi="Arial" w:cs="Arial"/>
          <w:sz w:val="20"/>
          <w:szCs w:val="20"/>
        </w:rPr>
        <w:t xml:space="preserve">will need to </w:t>
      </w:r>
      <w:r w:rsidRPr="00B35881">
        <w:rPr>
          <w:rFonts w:ascii="Arial" w:hAnsi="Arial" w:cs="Arial"/>
          <w:sz w:val="20"/>
          <w:szCs w:val="20"/>
        </w:rPr>
        <w:t xml:space="preserve">submit their documents electronically via email or </w:t>
      </w:r>
      <w:r w:rsidR="00BF10DE">
        <w:rPr>
          <w:rFonts w:ascii="Arial" w:hAnsi="Arial" w:cs="Arial"/>
          <w:sz w:val="20"/>
          <w:szCs w:val="20"/>
        </w:rPr>
        <w:t xml:space="preserve">the </w:t>
      </w:r>
      <w:r w:rsidRPr="00D86CAE">
        <w:rPr>
          <w:rFonts w:ascii="Arial" w:hAnsi="Arial" w:cs="Arial"/>
          <w:sz w:val="20"/>
          <w:szCs w:val="20"/>
        </w:rPr>
        <w:t xml:space="preserve">HKEX-ESS system (or the “SPRINTS” platform for structured products) to the HKEX before the launch of the platform, unless the </w:t>
      </w:r>
      <w:r w:rsidR="00760361">
        <w:rPr>
          <w:rFonts w:ascii="Arial" w:hAnsi="Arial" w:cs="Arial"/>
          <w:sz w:val="20"/>
          <w:szCs w:val="20"/>
        </w:rPr>
        <w:t xml:space="preserve">HKEX </w:t>
      </w:r>
      <w:r w:rsidRPr="00D86CAE">
        <w:rPr>
          <w:rFonts w:ascii="Arial" w:hAnsi="Arial" w:cs="Arial"/>
          <w:sz w:val="20"/>
          <w:szCs w:val="20"/>
        </w:rPr>
        <w:t>Listing Rules</w:t>
      </w:r>
      <w:r w:rsidR="0053363A">
        <w:rPr>
          <w:rFonts w:ascii="Arial" w:hAnsi="Arial" w:cs="Arial"/>
          <w:sz w:val="20"/>
          <w:szCs w:val="20"/>
        </w:rPr>
        <w:t xml:space="preserve"> provide otherwise</w:t>
      </w:r>
      <w:r w:rsidRPr="00D86CAE">
        <w:rPr>
          <w:rFonts w:ascii="Arial" w:hAnsi="Arial" w:cs="Arial"/>
          <w:sz w:val="20"/>
          <w:szCs w:val="20"/>
        </w:rPr>
        <w:t xml:space="preserve">. </w:t>
      </w:r>
    </w:p>
    <w:p w:rsidR="00383EE1" w:rsidRPr="00B35881" w:rsidRDefault="006B6106" w:rsidP="006104C5">
      <w:pPr>
        <w:jc w:val="both"/>
        <w:rPr>
          <w:rFonts w:ascii="Arial" w:hAnsi="Arial" w:cs="Arial"/>
          <w:b/>
          <w:sz w:val="20"/>
          <w:szCs w:val="20"/>
        </w:rPr>
      </w:pPr>
      <w:r w:rsidRPr="00B35881">
        <w:rPr>
          <w:rFonts w:ascii="Arial" w:hAnsi="Arial" w:cs="Arial"/>
          <w:b/>
          <w:sz w:val="20"/>
          <w:szCs w:val="20"/>
        </w:rPr>
        <w:t>Digitalisin</w:t>
      </w:r>
      <w:r w:rsidR="00E302F6" w:rsidRPr="00B35881">
        <w:rPr>
          <w:rFonts w:ascii="Arial" w:hAnsi="Arial" w:cs="Arial"/>
          <w:b/>
          <w:sz w:val="20"/>
          <w:szCs w:val="20"/>
        </w:rPr>
        <w:t>g the Process for Applying for HKEX</w:t>
      </w:r>
      <w:r w:rsidRPr="00B35881">
        <w:rPr>
          <w:rFonts w:ascii="Arial" w:hAnsi="Arial" w:cs="Arial"/>
          <w:b/>
          <w:sz w:val="20"/>
          <w:szCs w:val="20"/>
        </w:rPr>
        <w:t xml:space="preserve"> Authorisation </w:t>
      </w:r>
      <w:r w:rsidR="0053363A">
        <w:rPr>
          <w:rFonts w:ascii="Arial" w:hAnsi="Arial" w:cs="Arial"/>
          <w:b/>
          <w:sz w:val="20"/>
          <w:szCs w:val="20"/>
        </w:rPr>
        <w:t xml:space="preserve">of </w:t>
      </w:r>
      <w:r w:rsidRPr="00B35881">
        <w:rPr>
          <w:rFonts w:ascii="Arial" w:hAnsi="Arial" w:cs="Arial"/>
          <w:b/>
          <w:sz w:val="20"/>
          <w:szCs w:val="20"/>
        </w:rPr>
        <w:t>Prospectus Registration</w:t>
      </w:r>
    </w:p>
    <w:p w:rsidR="00EA640C" w:rsidRPr="00D86CAE" w:rsidRDefault="00760361" w:rsidP="006104C5">
      <w:pPr>
        <w:jc w:val="both"/>
        <w:rPr>
          <w:rFonts w:ascii="Arial" w:hAnsi="Arial" w:cs="Arial"/>
          <w:sz w:val="20"/>
          <w:szCs w:val="20"/>
        </w:rPr>
      </w:pPr>
      <w:r>
        <w:rPr>
          <w:rFonts w:ascii="Arial" w:hAnsi="Arial" w:cs="Arial"/>
          <w:sz w:val="20"/>
          <w:szCs w:val="20"/>
        </w:rPr>
        <w:t xml:space="preserve">The </w:t>
      </w:r>
      <w:r w:rsidR="006D0EA2" w:rsidRPr="00B35881">
        <w:rPr>
          <w:rFonts w:ascii="Arial" w:hAnsi="Arial" w:cs="Arial"/>
          <w:sz w:val="20"/>
          <w:szCs w:val="20"/>
        </w:rPr>
        <w:t xml:space="preserve">HKEX </w:t>
      </w:r>
      <w:r w:rsidR="0053363A">
        <w:rPr>
          <w:rFonts w:ascii="Arial" w:hAnsi="Arial" w:cs="Arial"/>
          <w:sz w:val="20"/>
          <w:szCs w:val="20"/>
        </w:rPr>
        <w:t>observed</w:t>
      </w:r>
      <w:r w:rsidR="00FF13F6" w:rsidRPr="00B35881">
        <w:rPr>
          <w:rFonts w:ascii="Arial" w:hAnsi="Arial" w:cs="Arial"/>
          <w:sz w:val="20"/>
          <w:szCs w:val="20"/>
        </w:rPr>
        <w:t xml:space="preserve"> that the current prospectus authorisation and registration processes a</w:t>
      </w:r>
      <w:r w:rsidR="00305B86" w:rsidRPr="00B35881">
        <w:rPr>
          <w:rFonts w:ascii="Arial" w:hAnsi="Arial" w:cs="Arial"/>
          <w:sz w:val="20"/>
          <w:szCs w:val="20"/>
        </w:rPr>
        <w:t>re heavily paper-based and</w:t>
      </w:r>
      <w:r w:rsidR="00FF13F6" w:rsidRPr="00B35881">
        <w:rPr>
          <w:rFonts w:ascii="Arial" w:hAnsi="Arial" w:cs="Arial"/>
          <w:sz w:val="20"/>
          <w:szCs w:val="20"/>
        </w:rPr>
        <w:t xml:space="preserve"> c</w:t>
      </w:r>
      <w:r w:rsidR="00E302F6" w:rsidRPr="00B35881">
        <w:rPr>
          <w:rFonts w:ascii="Arial" w:hAnsi="Arial" w:cs="Arial"/>
          <w:sz w:val="20"/>
          <w:szCs w:val="20"/>
        </w:rPr>
        <w:t>reate an administrative burden f</w:t>
      </w:r>
      <w:r w:rsidR="00FF13F6" w:rsidRPr="00B35881">
        <w:rPr>
          <w:rFonts w:ascii="Arial" w:hAnsi="Arial" w:cs="Arial"/>
          <w:sz w:val="20"/>
          <w:szCs w:val="20"/>
        </w:rPr>
        <w:t>o</w:t>
      </w:r>
      <w:r w:rsidR="00E302F6" w:rsidRPr="00B35881">
        <w:rPr>
          <w:rFonts w:ascii="Arial" w:hAnsi="Arial" w:cs="Arial"/>
          <w:sz w:val="20"/>
          <w:szCs w:val="20"/>
        </w:rPr>
        <w:t>r</w:t>
      </w:r>
      <w:r w:rsidR="00FF13F6" w:rsidRPr="00B35881">
        <w:rPr>
          <w:rFonts w:ascii="Arial" w:hAnsi="Arial" w:cs="Arial"/>
          <w:sz w:val="20"/>
          <w:szCs w:val="20"/>
        </w:rPr>
        <w:t xml:space="preserve"> both issuers and </w:t>
      </w:r>
      <w:r>
        <w:rPr>
          <w:rFonts w:ascii="Arial" w:hAnsi="Arial" w:cs="Arial"/>
          <w:sz w:val="20"/>
          <w:szCs w:val="20"/>
        </w:rPr>
        <w:t xml:space="preserve">the </w:t>
      </w:r>
      <w:r w:rsidR="00305B86" w:rsidRPr="00B35881">
        <w:rPr>
          <w:rFonts w:ascii="Arial" w:hAnsi="Arial" w:cs="Arial"/>
          <w:sz w:val="20"/>
          <w:szCs w:val="20"/>
        </w:rPr>
        <w:t>HKEX</w:t>
      </w:r>
      <w:r w:rsidR="00FF13F6" w:rsidRPr="00B35881">
        <w:rPr>
          <w:rFonts w:ascii="Arial" w:hAnsi="Arial" w:cs="Arial"/>
          <w:sz w:val="20"/>
          <w:szCs w:val="20"/>
        </w:rPr>
        <w:t xml:space="preserve">. Factors beyond issuers’ control </w:t>
      </w:r>
      <w:r w:rsidR="00A87717" w:rsidRPr="00B35881">
        <w:rPr>
          <w:rFonts w:ascii="Arial" w:hAnsi="Arial" w:cs="Arial"/>
          <w:sz w:val="20"/>
          <w:szCs w:val="20"/>
        </w:rPr>
        <w:t>(</w:t>
      </w:r>
      <w:proofErr w:type="gramStart"/>
      <w:r w:rsidR="00A87717" w:rsidRPr="00B35881">
        <w:rPr>
          <w:rFonts w:ascii="Arial" w:hAnsi="Arial" w:cs="Arial"/>
          <w:sz w:val="20"/>
          <w:szCs w:val="20"/>
        </w:rPr>
        <w:t>e.g.</w:t>
      </w:r>
      <w:proofErr w:type="gramEnd"/>
      <w:r w:rsidR="00A87717" w:rsidRPr="00B35881">
        <w:rPr>
          <w:rFonts w:ascii="Arial" w:hAnsi="Arial" w:cs="Arial"/>
          <w:sz w:val="20"/>
          <w:szCs w:val="20"/>
        </w:rPr>
        <w:t xml:space="preserve"> extreme weather) can also disrupt the process and </w:t>
      </w:r>
      <w:r w:rsidR="00FF13F6" w:rsidRPr="00B35881">
        <w:rPr>
          <w:rFonts w:ascii="Arial" w:hAnsi="Arial" w:cs="Arial"/>
          <w:sz w:val="20"/>
          <w:szCs w:val="20"/>
        </w:rPr>
        <w:t xml:space="preserve">delay their listing timetable. </w:t>
      </w:r>
      <w:r w:rsidR="00A87717" w:rsidRPr="00EA640C">
        <w:rPr>
          <w:rFonts w:ascii="Arial" w:hAnsi="Arial" w:cs="Arial"/>
          <w:sz w:val="20"/>
          <w:szCs w:val="20"/>
        </w:rPr>
        <w:t>T</w:t>
      </w:r>
      <w:r w:rsidR="00305B86" w:rsidRPr="00206835">
        <w:rPr>
          <w:rFonts w:ascii="Arial" w:hAnsi="Arial" w:cs="Arial"/>
          <w:sz w:val="20"/>
          <w:szCs w:val="20"/>
        </w:rPr>
        <w:t xml:space="preserve">he </w:t>
      </w:r>
      <w:r w:rsidR="006D0EA2" w:rsidRPr="00206835">
        <w:rPr>
          <w:rFonts w:ascii="Arial" w:hAnsi="Arial" w:cs="Arial"/>
          <w:sz w:val="20"/>
          <w:szCs w:val="20"/>
        </w:rPr>
        <w:t xml:space="preserve">HKEX </w:t>
      </w:r>
      <w:r w:rsidR="0053363A">
        <w:rPr>
          <w:rFonts w:ascii="Arial" w:hAnsi="Arial" w:cs="Arial"/>
          <w:sz w:val="20"/>
          <w:szCs w:val="20"/>
        </w:rPr>
        <w:t xml:space="preserve">will </w:t>
      </w:r>
      <w:r w:rsidR="00A87717" w:rsidRPr="00D86CAE">
        <w:rPr>
          <w:rFonts w:ascii="Arial" w:hAnsi="Arial" w:cs="Arial"/>
          <w:sz w:val="20"/>
          <w:szCs w:val="20"/>
        </w:rPr>
        <w:t xml:space="preserve">therefore </w:t>
      </w:r>
      <w:r w:rsidR="0053363A">
        <w:rPr>
          <w:rFonts w:ascii="Arial" w:hAnsi="Arial" w:cs="Arial"/>
          <w:sz w:val="20"/>
          <w:szCs w:val="20"/>
        </w:rPr>
        <w:t>digitalise</w:t>
      </w:r>
      <w:r w:rsidR="00D57B0C" w:rsidRPr="00EA640C">
        <w:rPr>
          <w:rFonts w:ascii="Arial" w:hAnsi="Arial" w:cs="Arial"/>
          <w:sz w:val="20"/>
          <w:szCs w:val="20"/>
        </w:rPr>
        <w:t xml:space="preserve"> the prospectus authorisation and registration processes</w:t>
      </w:r>
      <w:r w:rsidR="0088284C">
        <w:rPr>
          <w:rFonts w:ascii="Arial" w:hAnsi="Arial" w:cs="Arial"/>
          <w:sz w:val="20"/>
          <w:szCs w:val="20"/>
        </w:rPr>
        <w:t xml:space="preserve"> so that</w:t>
      </w:r>
      <w:r w:rsidR="00EA640C" w:rsidRPr="00D86CAE">
        <w:rPr>
          <w:rFonts w:ascii="Arial" w:hAnsi="Arial" w:cs="Arial"/>
          <w:sz w:val="20"/>
          <w:szCs w:val="20"/>
        </w:rPr>
        <w:t xml:space="preserve">: </w:t>
      </w:r>
    </w:p>
    <w:p w:rsidR="00EA640C" w:rsidRDefault="00EA640C" w:rsidP="00683A11">
      <w:pPr>
        <w:pStyle w:val="a7"/>
        <w:numPr>
          <w:ilvl w:val="0"/>
          <w:numId w:val="17"/>
        </w:numPr>
        <w:jc w:val="both"/>
        <w:rPr>
          <w:rFonts w:ascii="Arial" w:hAnsi="Arial" w:cs="Arial"/>
          <w:sz w:val="20"/>
          <w:szCs w:val="20"/>
        </w:rPr>
      </w:pPr>
      <w:r w:rsidRPr="00683A11">
        <w:rPr>
          <w:rFonts w:ascii="Arial" w:hAnsi="Arial" w:cs="Arial"/>
          <w:sz w:val="20"/>
          <w:szCs w:val="20"/>
        </w:rPr>
        <w:t xml:space="preserve">issuers or their advisers </w:t>
      </w:r>
      <w:r w:rsidR="0088284C">
        <w:rPr>
          <w:rFonts w:ascii="Arial" w:hAnsi="Arial" w:cs="Arial"/>
          <w:sz w:val="20"/>
          <w:szCs w:val="20"/>
        </w:rPr>
        <w:t xml:space="preserve">will </w:t>
      </w:r>
      <w:r w:rsidRPr="00683A11">
        <w:rPr>
          <w:rFonts w:ascii="Arial" w:hAnsi="Arial" w:cs="Arial"/>
          <w:sz w:val="20"/>
          <w:szCs w:val="20"/>
        </w:rPr>
        <w:t xml:space="preserve">electronically submit to the </w:t>
      </w:r>
      <w:r>
        <w:rPr>
          <w:rFonts w:ascii="Arial" w:hAnsi="Arial" w:cs="Arial"/>
          <w:sz w:val="20"/>
          <w:szCs w:val="20"/>
        </w:rPr>
        <w:t>HKEX</w:t>
      </w:r>
      <w:r w:rsidRPr="00683A11">
        <w:rPr>
          <w:rFonts w:ascii="Arial" w:hAnsi="Arial" w:cs="Arial"/>
          <w:sz w:val="20"/>
          <w:szCs w:val="20"/>
        </w:rPr>
        <w:t xml:space="preserve"> for authorisation: (i) copies of the prospectus signed by the directors or their authorised agents with their digital signatures (as defined under the ETO); and (ii) copies of the accompanying documents certified as true copies with digital signatures of the issuer’s solicitors; and </w:t>
      </w:r>
    </w:p>
    <w:p w:rsidR="00760361" w:rsidRPr="00683A11" w:rsidRDefault="00760361" w:rsidP="00683A11">
      <w:pPr>
        <w:pStyle w:val="a7"/>
        <w:jc w:val="both"/>
        <w:rPr>
          <w:rFonts w:ascii="Arial" w:hAnsi="Arial" w:cs="Arial"/>
          <w:sz w:val="20"/>
          <w:szCs w:val="20"/>
        </w:rPr>
      </w:pPr>
    </w:p>
    <w:p w:rsidR="00EA640C" w:rsidRDefault="0088284C" w:rsidP="00683A11">
      <w:pPr>
        <w:pStyle w:val="a7"/>
        <w:numPr>
          <w:ilvl w:val="0"/>
          <w:numId w:val="17"/>
        </w:numPr>
        <w:jc w:val="both"/>
        <w:rPr>
          <w:rFonts w:ascii="Arial" w:hAnsi="Arial" w:cs="Arial"/>
          <w:sz w:val="20"/>
          <w:szCs w:val="20"/>
        </w:rPr>
      </w:pPr>
      <w:r>
        <w:rPr>
          <w:rFonts w:ascii="Arial" w:hAnsi="Arial" w:cs="Arial"/>
          <w:sz w:val="20"/>
          <w:szCs w:val="20"/>
        </w:rPr>
        <w:t>the HKEX</w:t>
      </w:r>
      <w:r w:rsidRPr="00683A11">
        <w:rPr>
          <w:rFonts w:ascii="Arial" w:hAnsi="Arial" w:cs="Arial"/>
          <w:sz w:val="20"/>
          <w:szCs w:val="20"/>
        </w:rPr>
        <w:t xml:space="preserve"> </w:t>
      </w:r>
      <w:r>
        <w:rPr>
          <w:rFonts w:ascii="Arial" w:hAnsi="Arial" w:cs="Arial"/>
          <w:sz w:val="20"/>
          <w:szCs w:val="20"/>
        </w:rPr>
        <w:t>will provide issuers with a</w:t>
      </w:r>
      <w:r w:rsidR="00EA640C" w:rsidRPr="00683A11">
        <w:rPr>
          <w:rFonts w:ascii="Arial" w:hAnsi="Arial" w:cs="Arial"/>
          <w:sz w:val="20"/>
          <w:szCs w:val="20"/>
        </w:rPr>
        <w:t xml:space="preserve"> Certificate of Authorisation and the </w:t>
      </w:r>
      <w:r>
        <w:rPr>
          <w:rFonts w:ascii="Arial" w:hAnsi="Arial" w:cs="Arial"/>
          <w:sz w:val="20"/>
          <w:szCs w:val="20"/>
        </w:rPr>
        <w:t xml:space="preserve">set of submitted documents </w:t>
      </w:r>
      <w:r w:rsidR="004D0B61">
        <w:rPr>
          <w:rFonts w:ascii="Arial" w:hAnsi="Arial" w:cs="Arial"/>
          <w:sz w:val="20"/>
          <w:szCs w:val="20"/>
        </w:rPr>
        <w:t xml:space="preserve">signed and certified by </w:t>
      </w:r>
      <w:r>
        <w:rPr>
          <w:rFonts w:ascii="Arial" w:hAnsi="Arial" w:cs="Arial"/>
          <w:sz w:val="20"/>
          <w:szCs w:val="20"/>
        </w:rPr>
        <w:t xml:space="preserve">the HKEX </w:t>
      </w:r>
      <w:r w:rsidR="00A212E8">
        <w:rPr>
          <w:rFonts w:ascii="Arial" w:hAnsi="Arial" w:cs="Arial"/>
          <w:sz w:val="20"/>
          <w:szCs w:val="20"/>
        </w:rPr>
        <w:t xml:space="preserve">with digital signatures </w:t>
      </w:r>
      <w:r w:rsidR="00EA640C" w:rsidRPr="00683A11">
        <w:rPr>
          <w:rFonts w:ascii="Arial" w:hAnsi="Arial" w:cs="Arial"/>
          <w:sz w:val="20"/>
          <w:szCs w:val="20"/>
        </w:rPr>
        <w:t xml:space="preserve">so that </w:t>
      </w:r>
      <w:r w:rsidRPr="00683A11">
        <w:rPr>
          <w:rFonts w:ascii="Arial" w:hAnsi="Arial" w:cs="Arial"/>
          <w:sz w:val="20"/>
          <w:szCs w:val="20"/>
        </w:rPr>
        <w:t>issuer</w:t>
      </w:r>
      <w:r>
        <w:rPr>
          <w:rFonts w:ascii="Arial" w:hAnsi="Arial" w:cs="Arial"/>
          <w:sz w:val="20"/>
          <w:szCs w:val="20"/>
        </w:rPr>
        <w:t>s can make</w:t>
      </w:r>
      <w:r w:rsidRPr="00683A11">
        <w:rPr>
          <w:rFonts w:ascii="Arial" w:hAnsi="Arial" w:cs="Arial"/>
          <w:sz w:val="20"/>
          <w:szCs w:val="20"/>
        </w:rPr>
        <w:t xml:space="preserve"> </w:t>
      </w:r>
      <w:r w:rsidR="00EA640C" w:rsidRPr="00683A11">
        <w:rPr>
          <w:rFonts w:ascii="Arial" w:hAnsi="Arial" w:cs="Arial"/>
          <w:sz w:val="20"/>
          <w:szCs w:val="20"/>
        </w:rPr>
        <w:t>onward electronic submission to the Companies Registry for registration.</w:t>
      </w:r>
    </w:p>
    <w:p w:rsidR="003C7BCF" w:rsidRPr="003C7BCF" w:rsidRDefault="003C7BCF" w:rsidP="003C7BCF">
      <w:pPr>
        <w:jc w:val="both"/>
        <w:rPr>
          <w:rFonts w:ascii="Arial" w:hAnsi="Arial" w:cs="Arial"/>
          <w:sz w:val="20"/>
          <w:szCs w:val="20"/>
        </w:rPr>
      </w:pPr>
      <w:r>
        <w:rPr>
          <w:rFonts w:ascii="Arial" w:hAnsi="Arial" w:cs="Arial"/>
          <w:sz w:val="20"/>
          <w:szCs w:val="20"/>
        </w:rPr>
        <w:t>In response to comments from respondents to the consultation that it would be prefereable to allow any electronic signature rather than only digital signature as defined in the ETO, the HKEX pointed out that the ETO only allows signatures generated using public key cryptography. As prospectuses are submitted to the Companies Registry, a government entity, the requirements of the ETO must be observed.</w:t>
      </w:r>
    </w:p>
    <w:p w:rsidR="00D57B0C" w:rsidRPr="00B35881" w:rsidRDefault="00336D90" w:rsidP="006104C5">
      <w:pPr>
        <w:jc w:val="both"/>
        <w:rPr>
          <w:rFonts w:ascii="Arial" w:hAnsi="Arial" w:cs="Arial"/>
          <w:sz w:val="20"/>
          <w:szCs w:val="20"/>
        </w:rPr>
      </w:pPr>
      <w:r>
        <w:rPr>
          <w:rFonts w:ascii="Arial" w:hAnsi="Arial" w:cs="Arial"/>
          <w:sz w:val="20"/>
          <w:szCs w:val="20"/>
        </w:rPr>
        <w:t xml:space="preserve">The HKEX expects </w:t>
      </w:r>
      <w:r w:rsidR="003C7BCF">
        <w:rPr>
          <w:rFonts w:ascii="Arial" w:hAnsi="Arial" w:cs="Arial"/>
          <w:sz w:val="20"/>
          <w:szCs w:val="20"/>
        </w:rPr>
        <w:t xml:space="preserve">to issue </w:t>
      </w:r>
      <w:r>
        <w:rPr>
          <w:rFonts w:ascii="Arial" w:hAnsi="Arial" w:cs="Arial"/>
          <w:sz w:val="20"/>
          <w:szCs w:val="20"/>
        </w:rPr>
        <w:t>g</w:t>
      </w:r>
      <w:r w:rsidR="00520C11" w:rsidRPr="00206835">
        <w:rPr>
          <w:rFonts w:ascii="Arial" w:hAnsi="Arial" w:cs="Arial"/>
          <w:sz w:val="20"/>
          <w:szCs w:val="20"/>
        </w:rPr>
        <w:t xml:space="preserve">uidance </w:t>
      </w:r>
      <w:r w:rsidR="00893DE4">
        <w:rPr>
          <w:rFonts w:ascii="Arial" w:hAnsi="Arial" w:cs="Arial"/>
          <w:sz w:val="20"/>
          <w:szCs w:val="20"/>
        </w:rPr>
        <w:t xml:space="preserve">to the market on the final </w:t>
      </w:r>
      <w:r w:rsidR="00520C11" w:rsidRPr="00D86CAE">
        <w:rPr>
          <w:rFonts w:ascii="Arial" w:hAnsi="Arial" w:cs="Arial"/>
          <w:sz w:val="20"/>
          <w:szCs w:val="20"/>
        </w:rPr>
        <w:t xml:space="preserve">arrangements </w:t>
      </w:r>
      <w:r w:rsidR="00893DE4" w:rsidRPr="00893DE4">
        <w:rPr>
          <w:rFonts w:ascii="Arial" w:hAnsi="Arial" w:cs="Arial"/>
          <w:sz w:val="20"/>
          <w:szCs w:val="20"/>
        </w:rPr>
        <w:t>for the digitalisation of the prospectus authorisation and registration proc</w:t>
      </w:r>
      <w:r w:rsidR="00893DE4">
        <w:t xml:space="preserve">esses. </w:t>
      </w:r>
      <w:r w:rsidR="00893DE4">
        <w:rPr>
          <w:rFonts w:ascii="Arial" w:hAnsi="Arial" w:cs="Arial"/>
          <w:sz w:val="20"/>
          <w:szCs w:val="20"/>
        </w:rPr>
        <w:t>The HKEX will also provide</w:t>
      </w:r>
      <w:r w:rsidR="00520C11" w:rsidRPr="00D86CAE">
        <w:rPr>
          <w:rFonts w:ascii="Arial" w:hAnsi="Arial" w:cs="Arial"/>
          <w:sz w:val="20"/>
          <w:szCs w:val="20"/>
        </w:rPr>
        <w:t xml:space="preserve"> a transitional period during which document</w:t>
      </w:r>
      <w:r w:rsidR="00893DE4">
        <w:rPr>
          <w:rFonts w:ascii="Arial" w:hAnsi="Arial" w:cs="Arial"/>
          <w:sz w:val="20"/>
          <w:szCs w:val="20"/>
        </w:rPr>
        <w:t>s</w:t>
      </w:r>
      <w:r w:rsidR="00520C11" w:rsidRPr="00D86CAE">
        <w:rPr>
          <w:rFonts w:ascii="Arial" w:hAnsi="Arial" w:cs="Arial"/>
          <w:sz w:val="20"/>
          <w:szCs w:val="20"/>
        </w:rPr>
        <w:t xml:space="preserve"> for prospectus authori</w:t>
      </w:r>
      <w:r w:rsidR="00520C11" w:rsidRPr="00EA640C">
        <w:rPr>
          <w:rFonts w:ascii="Arial" w:hAnsi="Arial" w:cs="Arial"/>
          <w:sz w:val="20"/>
          <w:szCs w:val="20"/>
        </w:rPr>
        <w:t xml:space="preserve">sation </w:t>
      </w:r>
      <w:r w:rsidR="00893DE4">
        <w:rPr>
          <w:rFonts w:ascii="Arial" w:hAnsi="Arial" w:cs="Arial"/>
          <w:sz w:val="20"/>
          <w:szCs w:val="20"/>
        </w:rPr>
        <w:t>can</w:t>
      </w:r>
      <w:r w:rsidR="00520C11" w:rsidRPr="00EA640C">
        <w:rPr>
          <w:rFonts w:ascii="Arial" w:hAnsi="Arial" w:cs="Arial"/>
          <w:sz w:val="20"/>
          <w:szCs w:val="20"/>
        </w:rPr>
        <w:t xml:space="preserve"> be submitted </w:t>
      </w:r>
      <w:r w:rsidR="00BA0FF7" w:rsidRPr="00EA640C">
        <w:rPr>
          <w:rFonts w:ascii="Arial" w:hAnsi="Arial" w:cs="Arial"/>
          <w:sz w:val="20"/>
          <w:szCs w:val="20"/>
        </w:rPr>
        <w:t>physical</w:t>
      </w:r>
      <w:r w:rsidR="001C5C1C" w:rsidRPr="00EA640C">
        <w:rPr>
          <w:rFonts w:ascii="Arial" w:hAnsi="Arial" w:cs="Arial"/>
          <w:sz w:val="20"/>
          <w:szCs w:val="20"/>
        </w:rPr>
        <w:t>ly</w:t>
      </w:r>
      <w:r w:rsidR="00520C11" w:rsidRPr="00EA640C">
        <w:rPr>
          <w:rFonts w:ascii="Arial" w:hAnsi="Arial" w:cs="Arial"/>
          <w:sz w:val="20"/>
          <w:szCs w:val="20"/>
        </w:rPr>
        <w:t xml:space="preserve"> or elect</w:t>
      </w:r>
      <w:r w:rsidR="00BA0FF7" w:rsidRPr="00EA640C">
        <w:rPr>
          <w:rFonts w:ascii="Arial" w:hAnsi="Arial" w:cs="Arial"/>
          <w:sz w:val="20"/>
          <w:szCs w:val="20"/>
        </w:rPr>
        <w:t>ronically</w:t>
      </w:r>
      <w:r w:rsidR="00893DE4">
        <w:rPr>
          <w:rFonts w:ascii="Arial" w:hAnsi="Arial" w:cs="Arial"/>
          <w:sz w:val="20"/>
          <w:szCs w:val="20"/>
        </w:rPr>
        <w:t xml:space="preserve"> before the obligation to </w:t>
      </w:r>
      <w:r w:rsidR="00C97488" w:rsidRPr="00B35881">
        <w:rPr>
          <w:rFonts w:ascii="Arial" w:hAnsi="Arial" w:cs="Arial"/>
          <w:sz w:val="20"/>
          <w:szCs w:val="20"/>
        </w:rPr>
        <w:t>submit</w:t>
      </w:r>
      <w:r w:rsidR="00520C11" w:rsidRPr="00B35881">
        <w:rPr>
          <w:rFonts w:ascii="Arial" w:hAnsi="Arial" w:cs="Arial"/>
          <w:sz w:val="20"/>
          <w:szCs w:val="20"/>
        </w:rPr>
        <w:t xml:space="preserve"> electronically</w:t>
      </w:r>
      <w:r w:rsidR="00893DE4">
        <w:rPr>
          <w:rFonts w:ascii="Arial" w:hAnsi="Arial" w:cs="Arial"/>
          <w:sz w:val="20"/>
          <w:szCs w:val="20"/>
        </w:rPr>
        <w:t xml:space="preserve"> becomes mandatory</w:t>
      </w:r>
      <w:r w:rsidR="00520C11" w:rsidRPr="00B35881">
        <w:rPr>
          <w:rFonts w:ascii="Arial" w:hAnsi="Arial" w:cs="Arial"/>
          <w:sz w:val="20"/>
          <w:szCs w:val="20"/>
        </w:rPr>
        <w:t>.</w:t>
      </w:r>
      <w:r w:rsidR="00A66681" w:rsidRPr="00B35881">
        <w:rPr>
          <w:rFonts w:ascii="Arial" w:hAnsi="Arial" w:cs="Arial"/>
          <w:sz w:val="20"/>
          <w:szCs w:val="20"/>
        </w:rPr>
        <w:t xml:space="preserve"> </w:t>
      </w:r>
      <w:r w:rsidR="00893DE4">
        <w:rPr>
          <w:rFonts w:ascii="Arial" w:hAnsi="Arial" w:cs="Arial"/>
          <w:sz w:val="20"/>
          <w:szCs w:val="20"/>
        </w:rPr>
        <w:t>Market participants should continue to submit physical documents until the electronic submission requirement is introduced on 31 December 2023.</w:t>
      </w:r>
    </w:p>
    <w:p w:rsidR="004B4E5A" w:rsidRPr="00B35881" w:rsidRDefault="006B6106" w:rsidP="003C7141">
      <w:pPr>
        <w:jc w:val="both"/>
        <w:rPr>
          <w:rFonts w:ascii="Arial" w:hAnsi="Arial" w:cs="Arial"/>
          <w:sz w:val="20"/>
          <w:szCs w:val="20"/>
        </w:rPr>
      </w:pPr>
      <w:r w:rsidRPr="00B35881">
        <w:rPr>
          <w:rFonts w:ascii="Arial" w:hAnsi="Arial" w:cs="Arial"/>
          <w:b/>
          <w:color w:val="FF0000"/>
          <w:sz w:val="20"/>
          <w:szCs w:val="20"/>
        </w:rPr>
        <w:t>Ma</w:t>
      </w:r>
      <w:r w:rsidR="00B610CF">
        <w:rPr>
          <w:rFonts w:ascii="Arial" w:hAnsi="Arial" w:cs="Arial"/>
          <w:b/>
          <w:color w:val="FF0000"/>
          <w:sz w:val="20"/>
          <w:szCs w:val="20"/>
        </w:rPr>
        <w:t>ndatory</w:t>
      </w:r>
      <w:r w:rsidRPr="00B35881">
        <w:rPr>
          <w:rFonts w:ascii="Arial" w:hAnsi="Arial" w:cs="Arial"/>
          <w:b/>
          <w:color w:val="FF0000"/>
          <w:sz w:val="20"/>
          <w:szCs w:val="20"/>
        </w:rPr>
        <w:t xml:space="preserve"> Electronic Dissemination of Corporate Communications to Securities Holders by Listed </w:t>
      </w:r>
      <w:r w:rsidR="00B610CF">
        <w:rPr>
          <w:rFonts w:ascii="Arial" w:hAnsi="Arial" w:cs="Arial"/>
          <w:b/>
          <w:color w:val="FF0000"/>
          <w:sz w:val="20"/>
          <w:szCs w:val="20"/>
        </w:rPr>
        <w:t>Companies</w:t>
      </w:r>
    </w:p>
    <w:p w:rsidR="00495338" w:rsidRPr="00B35881" w:rsidRDefault="00677F79" w:rsidP="006104C5">
      <w:pPr>
        <w:jc w:val="both"/>
        <w:rPr>
          <w:rFonts w:ascii="Arial" w:hAnsi="Arial" w:cs="Arial"/>
          <w:sz w:val="20"/>
          <w:szCs w:val="20"/>
        </w:rPr>
      </w:pPr>
      <w:r w:rsidRPr="00B35881">
        <w:rPr>
          <w:rFonts w:ascii="Arial" w:hAnsi="Arial" w:cs="Arial"/>
          <w:sz w:val="20"/>
          <w:szCs w:val="20"/>
        </w:rPr>
        <w:t xml:space="preserve">The </w:t>
      </w:r>
      <w:r w:rsidR="00A87717" w:rsidRPr="00B35881">
        <w:rPr>
          <w:rFonts w:ascii="Arial" w:hAnsi="Arial" w:cs="Arial"/>
          <w:sz w:val="20"/>
          <w:szCs w:val="20"/>
        </w:rPr>
        <w:t xml:space="preserve">HKEX </w:t>
      </w:r>
      <w:r w:rsidRPr="00B35881">
        <w:rPr>
          <w:rFonts w:ascii="Arial" w:hAnsi="Arial" w:cs="Arial"/>
          <w:sz w:val="20"/>
          <w:szCs w:val="20"/>
        </w:rPr>
        <w:t xml:space="preserve">Listing </w:t>
      </w:r>
      <w:r w:rsidR="00B610CF">
        <w:rPr>
          <w:rFonts w:ascii="Arial" w:hAnsi="Arial" w:cs="Arial"/>
          <w:sz w:val="20"/>
          <w:szCs w:val="20"/>
        </w:rPr>
        <w:t xml:space="preserve">Rules currently allow a listed company </w:t>
      </w:r>
      <w:r w:rsidRPr="00B35881">
        <w:rPr>
          <w:rFonts w:ascii="Arial" w:hAnsi="Arial" w:cs="Arial"/>
          <w:sz w:val="20"/>
          <w:szCs w:val="20"/>
        </w:rPr>
        <w:t>to send corporate communication</w:t>
      </w:r>
      <w:r w:rsidR="00C65AB3" w:rsidRPr="00B35881">
        <w:rPr>
          <w:rFonts w:ascii="Arial" w:hAnsi="Arial" w:cs="Arial"/>
          <w:sz w:val="20"/>
          <w:szCs w:val="20"/>
        </w:rPr>
        <w:t>s</w:t>
      </w:r>
      <w:r w:rsidRPr="00B35881">
        <w:rPr>
          <w:rFonts w:ascii="Arial" w:hAnsi="Arial" w:cs="Arial"/>
          <w:sz w:val="20"/>
          <w:szCs w:val="20"/>
        </w:rPr>
        <w:t xml:space="preserve"> to </w:t>
      </w:r>
      <w:r w:rsidR="00B610CF">
        <w:rPr>
          <w:rFonts w:ascii="Arial" w:hAnsi="Arial" w:cs="Arial"/>
          <w:sz w:val="20"/>
          <w:szCs w:val="20"/>
        </w:rPr>
        <w:t xml:space="preserve">its </w:t>
      </w:r>
      <w:r w:rsidRPr="00B35881">
        <w:rPr>
          <w:rFonts w:ascii="Arial" w:hAnsi="Arial" w:cs="Arial"/>
          <w:sz w:val="20"/>
          <w:szCs w:val="20"/>
        </w:rPr>
        <w:t xml:space="preserve">securities </w:t>
      </w:r>
      <w:r w:rsidR="007E7A8D" w:rsidRPr="00B35881">
        <w:rPr>
          <w:rFonts w:ascii="Arial" w:hAnsi="Arial" w:cs="Arial"/>
          <w:sz w:val="20"/>
          <w:szCs w:val="20"/>
        </w:rPr>
        <w:t xml:space="preserve">holders electronically only if it has received </w:t>
      </w:r>
      <w:r w:rsidR="00933AC3" w:rsidRPr="00B35881">
        <w:rPr>
          <w:rFonts w:ascii="Arial" w:hAnsi="Arial" w:cs="Arial"/>
          <w:sz w:val="20"/>
          <w:szCs w:val="20"/>
        </w:rPr>
        <w:t xml:space="preserve">their </w:t>
      </w:r>
      <w:r w:rsidRPr="00B35881">
        <w:rPr>
          <w:rFonts w:ascii="Arial" w:hAnsi="Arial" w:cs="Arial"/>
          <w:sz w:val="20"/>
          <w:szCs w:val="20"/>
        </w:rPr>
        <w:t>exp</w:t>
      </w:r>
      <w:r w:rsidR="00933AC3" w:rsidRPr="00B35881">
        <w:rPr>
          <w:rFonts w:ascii="Arial" w:hAnsi="Arial" w:cs="Arial"/>
          <w:sz w:val="20"/>
          <w:szCs w:val="20"/>
        </w:rPr>
        <w:t xml:space="preserve">ress, written consent to </w:t>
      </w:r>
      <w:r w:rsidR="00B610CF">
        <w:rPr>
          <w:rFonts w:ascii="Arial" w:hAnsi="Arial" w:cs="Arial"/>
          <w:sz w:val="20"/>
          <w:szCs w:val="20"/>
        </w:rPr>
        <w:t>the electronic receipt</w:t>
      </w:r>
      <w:r w:rsidR="00933AC3" w:rsidRPr="00B35881">
        <w:rPr>
          <w:rFonts w:ascii="Arial" w:hAnsi="Arial" w:cs="Arial"/>
          <w:sz w:val="20"/>
          <w:szCs w:val="20"/>
        </w:rPr>
        <w:t xml:space="preserve"> </w:t>
      </w:r>
      <w:r w:rsidR="00B610CF">
        <w:rPr>
          <w:rFonts w:ascii="Arial" w:hAnsi="Arial" w:cs="Arial"/>
          <w:sz w:val="20"/>
          <w:szCs w:val="20"/>
        </w:rPr>
        <w:t xml:space="preserve">of corporate </w:t>
      </w:r>
      <w:r w:rsidR="00933AC3" w:rsidRPr="00B35881">
        <w:rPr>
          <w:rFonts w:ascii="Arial" w:hAnsi="Arial" w:cs="Arial"/>
          <w:sz w:val="20"/>
          <w:szCs w:val="20"/>
        </w:rPr>
        <w:t>communications</w:t>
      </w:r>
      <w:r w:rsidRPr="00B35881">
        <w:rPr>
          <w:rFonts w:ascii="Arial" w:hAnsi="Arial" w:cs="Arial"/>
          <w:sz w:val="20"/>
          <w:szCs w:val="20"/>
        </w:rPr>
        <w:t xml:space="preserve">. </w:t>
      </w:r>
    </w:p>
    <w:p w:rsidR="001E5BC0" w:rsidRPr="00B35881" w:rsidRDefault="00677F79" w:rsidP="006104C5">
      <w:pPr>
        <w:jc w:val="both"/>
        <w:rPr>
          <w:rFonts w:ascii="Arial" w:hAnsi="Arial" w:cs="Arial"/>
          <w:sz w:val="20"/>
          <w:szCs w:val="20"/>
        </w:rPr>
      </w:pPr>
      <w:r w:rsidRPr="00B35881">
        <w:rPr>
          <w:rFonts w:ascii="Arial" w:hAnsi="Arial" w:cs="Arial"/>
          <w:sz w:val="20"/>
          <w:szCs w:val="20"/>
        </w:rPr>
        <w:lastRenderedPageBreak/>
        <w:t xml:space="preserve">Corporate communications </w:t>
      </w:r>
      <w:r w:rsidR="00495338" w:rsidRPr="00B35881">
        <w:rPr>
          <w:rFonts w:ascii="Arial" w:hAnsi="Arial" w:cs="Arial"/>
          <w:sz w:val="20"/>
          <w:szCs w:val="20"/>
        </w:rPr>
        <w:t>can</w:t>
      </w:r>
      <w:r w:rsidR="00933AC3" w:rsidRPr="00B35881">
        <w:rPr>
          <w:rFonts w:ascii="Arial" w:hAnsi="Arial" w:cs="Arial"/>
          <w:sz w:val="20"/>
          <w:szCs w:val="20"/>
        </w:rPr>
        <w:t xml:space="preserve"> also be sent by publication</w:t>
      </w:r>
      <w:r w:rsidRPr="00B35881">
        <w:rPr>
          <w:rFonts w:ascii="Arial" w:hAnsi="Arial" w:cs="Arial"/>
          <w:sz w:val="20"/>
          <w:szCs w:val="20"/>
        </w:rPr>
        <w:t xml:space="preserve"> on the</w:t>
      </w:r>
      <w:r w:rsidR="00B610CF" w:rsidRPr="00B610CF">
        <w:rPr>
          <w:rFonts w:ascii="Arial" w:hAnsi="Arial" w:cs="Arial"/>
          <w:sz w:val="20"/>
          <w:szCs w:val="20"/>
        </w:rPr>
        <w:t xml:space="preserve"> </w:t>
      </w:r>
      <w:r w:rsidR="001C258C">
        <w:rPr>
          <w:rFonts w:ascii="Arial" w:hAnsi="Arial" w:cs="Arial"/>
          <w:sz w:val="20"/>
          <w:szCs w:val="20"/>
        </w:rPr>
        <w:t>HKEX-</w:t>
      </w:r>
      <w:r w:rsidR="00B610CF">
        <w:rPr>
          <w:rFonts w:ascii="Arial" w:hAnsi="Arial" w:cs="Arial"/>
          <w:sz w:val="20"/>
          <w:szCs w:val="20"/>
        </w:rPr>
        <w:t>listed company</w:t>
      </w:r>
      <w:r w:rsidRPr="00B35881">
        <w:rPr>
          <w:rFonts w:ascii="Arial" w:hAnsi="Arial" w:cs="Arial"/>
          <w:sz w:val="20"/>
          <w:szCs w:val="20"/>
        </w:rPr>
        <w:t>’</w:t>
      </w:r>
      <w:r w:rsidR="00E53D65" w:rsidRPr="00B35881">
        <w:rPr>
          <w:rFonts w:ascii="Arial" w:hAnsi="Arial" w:cs="Arial"/>
          <w:sz w:val="20"/>
          <w:szCs w:val="20"/>
        </w:rPr>
        <w:t xml:space="preserve">s website </w:t>
      </w:r>
      <w:r w:rsidR="00933AC3" w:rsidRPr="00B35881">
        <w:rPr>
          <w:rFonts w:ascii="Arial" w:hAnsi="Arial" w:cs="Arial"/>
          <w:sz w:val="20"/>
          <w:szCs w:val="20"/>
        </w:rPr>
        <w:t xml:space="preserve">and </w:t>
      </w:r>
      <w:r w:rsidR="00495338" w:rsidRPr="00B35881">
        <w:rPr>
          <w:rFonts w:ascii="Arial" w:hAnsi="Arial" w:cs="Arial"/>
          <w:sz w:val="20"/>
          <w:szCs w:val="20"/>
        </w:rPr>
        <w:t>a holder of the</w:t>
      </w:r>
      <w:r w:rsidR="00B610CF" w:rsidRPr="00B610CF">
        <w:rPr>
          <w:rFonts w:ascii="Arial" w:hAnsi="Arial" w:cs="Arial"/>
          <w:sz w:val="20"/>
          <w:szCs w:val="20"/>
        </w:rPr>
        <w:t xml:space="preserve"> </w:t>
      </w:r>
      <w:r w:rsidR="00B610CF">
        <w:rPr>
          <w:rFonts w:ascii="Arial" w:hAnsi="Arial" w:cs="Arial"/>
          <w:sz w:val="20"/>
          <w:szCs w:val="20"/>
        </w:rPr>
        <w:t>listed company</w:t>
      </w:r>
      <w:r w:rsidR="00495338" w:rsidRPr="00B35881">
        <w:rPr>
          <w:rFonts w:ascii="Arial" w:hAnsi="Arial" w:cs="Arial"/>
          <w:sz w:val="20"/>
          <w:szCs w:val="20"/>
        </w:rPr>
        <w:t>’s securities is</w:t>
      </w:r>
      <w:r w:rsidRPr="00B35881">
        <w:rPr>
          <w:rFonts w:ascii="Arial" w:hAnsi="Arial" w:cs="Arial"/>
          <w:sz w:val="20"/>
          <w:szCs w:val="20"/>
        </w:rPr>
        <w:t xml:space="preserve"> deemed </w:t>
      </w:r>
      <w:r w:rsidR="001E5BC0" w:rsidRPr="00B35881">
        <w:rPr>
          <w:rFonts w:ascii="Arial" w:hAnsi="Arial" w:cs="Arial"/>
          <w:sz w:val="20"/>
          <w:szCs w:val="20"/>
        </w:rPr>
        <w:t xml:space="preserve">to have </w:t>
      </w:r>
      <w:r w:rsidRPr="00B35881">
        <w:rPr>
          <w:rFonts w:ascii="Arial" w:hAnsi="Arial" w:cs="Arial"/>
          <w:sz w:val="20"/>
          <w:szCs w:val="20"/>
        </w:rPr>
        <w:t>consent</w:t>
      </w:r>
      <w:r w:rsidR="001E5BC0" w:rsidRPr="00B35881">
        <w:rPr>
          <w:rFonts w:ascii="Arial" w:hAnsi="Arial" w:cs="Arial"/>
          <w:sz w:val="20"/>
          <w:szCs w:val="20"/>
        </w:rPr>
        <w:t xml:space="preserve">ed to the </w:t>
      </w:r>
      <w:r w:rsidR="00B610CF">
        <w:rPr>
          <w:rFonts w:ascii="Arial" w:hAnsi="Arial" w:cs="Arial"/>
          <w:sz w:val="20"/>
          <w:szCs w:val="20"/>
        </w:rPr>
        <w:t xml:space="preserve">company </w:t>
      </w:r>
      <w:r w:rsidR="001E5BC0" w:rsidRPr="00B35881">
        <w:rPr>
          <w:rFonts w:ascii="Arial" w:hAnsi="Arial" w:cs="Arial"/>
          <w:sz w:val="20"/>
          <w:szCs w:val="20"/>
        </w:rPr>
        <w:t>sending corporate communications in this way if:</w:t>
      </w:r>
    </w:p>
    <w:p w:rsidR="001E5BC0" w:rsidRPr="000A2D7C" w:rsidRDefault="001E5BC0" w:rsidP="00683A11">
      <w:pPr>
        <w:pStyle w:val="a7"/>
        <w:numPr>
          <w:ilvl w:val="0"/>
          <w:numId w:val="18"/>
        </w:numPr>
        <w:jc w:val="both"/>
        <w:rPr>
          <w:rFonts w:ascii="Arial" w:hAnsi="Arial" w:cs="Arial"/>
          <w:sz w:val="20"/>
          <w:szCs w:val="20"/>
        </w:rPr>
      </w:pPr>
      <w:r w:rsidRPr="000A2D7C">
        <w:rPr>
          <w:rFonts w:ascii="Arial" w:hAnsi="Arial" w:cs="Arial"/>
          <w:sz w:val="20"/>
          <w:szCs w:val="20"/>
        </w:rPr>
        <w:t>the securities holders have resolved in general meeting (or the</w:t>
      </w:r>
      <w:r w:rsidR="00B610CF" w:rsidRPr="00B610CF">
        <w:rPr>
          <w:rFonts w:ascii="Arial" w:hAnsi="Arial" w:cs="Arial"/>
          <w:sz w:val="20"/>
          <w:szCs w:val="20"/>
        </w:rPr>
        <w:t xml:space="preserve"> </w:t>
      </w:r>
      <w:r w:rsidR="001C258C">
        <w:rPr>
          <w:rFonts w:ascii="Arial" w:hAnsi="Arial" w:cs="Arial"/>
          <w:sz w:val="20"/>
          <w:szCs w:val="20"/>
        </w:rPr>
        <w:t>HKEX-</w:t>
      </w:r>
      <w:r w:rsidR="00B610CF">
        <w:rPr>
          <w:rFonts w:ascii="Arial" w:hAnsi="Arial" w:cs="Arial"/>
          <w:sz w:val="20"/>
          <w:szCs w:val="20"/>
        </w:rPr>
        <w:t>listed company</w:t>
      </w:r>
      <w:r w:rsidRPr="000A2D7C">
        <w:rPr>
          <w:rFonts w:ascii="Arial" w:hAnsi="Arial" w:cs="Arial"/>
          <w:sz w:val="20"/>
          <w:szCs w:val="20"/>
        </w:rPr>
        <w:t>’s constitutional documents include a provision to the effect) that it may do so;</w:t>
      </w:r>
    </w:p>
    <w:p w:rsidR="00495338" w:rsidRPr="00B35881" w:rsidRDefault="00495338">
      <w:pPr>
        <w:pStyle w:val="a7"/>
        <w:jc w:val="both"/>
        <w:rPr>
          <w:rFonts w:ascii="Arial" w:hAnsi="Arial" w:cs="Arial"/>
          <w:sz w:val="20"/>
          <w:szCs w:val="20"/>
        </w:rPr>
      </w:pPr>
    </w:p>
    <w:p w:rsidR="00495338" w:rsidRPr="000A2D7C" w:rsidRDefault="001E5BC0" w:rsidP="00683A11">
      <w:pPr>
        <w:pStyle w:val="a7"/>
        <w:numPr>
          <w:ilvl w:val="0"/>
          <w:numId w:val="18"/>
        </w:numPr>
        <w:jc w:val="both"/>
        <w:rPr>
          <w:rFonts w:ascii="Arial" w:hAnsi="Arial" w:cs="Arial"/>
          <w:sz w:val="20"/>
          <w:szCs w:val="20"/>
        </w:rPr>
      </w:pPr>
      <w:r w:rsidRPr="000A2D7C">
        <w:rPr>
          <w:rFonts w:ascii="Arial" w:hAnsi="Arial" w:cs="Arial"/>
          <w:sz w:val="20"/>
          <w:szCs w:val="20"/>
        </w:rPr>
        <w:t xml:space="preserve">the </w:t>
      </w:r>
      <w:r w:rsidR="001C258C">
        <w:rPr>
          <w:rFonts w:ascii="Arial" w:hAnsi="Arial" w:cs="Arial"/>
          <w:sz w:val="20"/>
          <w:szCs w:val="20"/>
        </w:rPr>
        <w:t>HKEX-</w:t>
      </w:r>
      <w:r w:rsidR="00B610CF">
        <w:rPr>
          <w:rFonts w:ascii="Arial" w:hAnsi="Arial" w:cs="Arial"/>
          <w:sz w:val="20"/>
          <w:szCs w:val="20"/>
        </w:rPr>
        <w:t xml:space="preserve">listed company </w:t>
      </w:r>
      <w:r w:rsidRPr="000A2D7C">
        <w:rPr>
          <w:rFonts w:ascii="Arial" w:hAnsi="Arial" w:cs="Arial"/>
          <w:sz w:val="20"/>
          <w:szCs w:val="20"/>
        </w:rPr>
        <w:t xml:space="preserve">has asked </w:t>
      </w:r>
      <w:r w:rsidR="00495338" w:rsidRPr="000A2D7C">
        <w:rPr>
          <w:rFonts w:ascii="Arial" w:hAnsi="Arial" w:cs="Arial"/>
          <w:sz w:val="20"/>
          <w:szCs w:val="20"/>
        </w:rPr>
        <w:t xml:space="preserve">the </w:t>
      </w:r>
      <w:r w:rsidRPr="000A2D7C">
        <w:rPr>
          <w:rFonts w:ascii="Arial" w:hAnsi="Arial" w:cs="Arial"/>
          <w:sz w:val="20"/>
          <w:szCs w:val="20"/>
        </w:rPr>
        <w:t xml:space="preserve">securities holder </w:t>
      </w:r>
      <w:r w:rsidR="00495338" w:rsidRPr="000A2D7C">
        <w:rPr>
          <w:rFonts w:ascii="Arial" w:hAnsi="Arial" w:cs="Arial"/>
          <w:sz w:val="20"/>
          <w:szCs w:val="20"/>
        </w:rPr>
        <w:t xml:space="preserve">for its consent to </w:t>
      </w:r>
      <w:r w:rsidR="001C5C1C" w:rsidRPr="000A2D7C">
        <w:rPr>
          <w:rFonts w:ascii="Arial" w:hAnsi="Arial" w:cs="Arial"/>
          <w:sz w:val="20"/>
          <w:szCs w:val="20"/>
        </w:rPr>
        <w:t xml:space="preserve">receive </w:t>
      </w:r>
      <w:r w:rsidR="00495338" w:rsidRPr="000A2D7C">
        <w:rPr>
          <w:rFonts w:ascii="Arial" w:hAnsi="Arial" w:cs="Arial"/>
          <w:sz w:val="20"/>
          <w:szCs w:val="20"/>
        </w:rPr>
        <w:t>corporate communications by means of the</w:t>
      </w:r>
      <w:r w:rsidR="00B610CF">
        <w:rPr>
          <w:rFonts w:ascii="Arial" w:hAnsi="Arial" w:cs="Arial"/>
          <w:sz w:val="20"/>
          <w:szCs w:val="20"/>
        </w:rPr>
        <w:t xml:space="preserve"> listed company</w:t>
      </w:r>
      <w:r w:rsidR="00495338" w:rsidRPr="000A2D7C">
        <w:rPr>
          <w:rFonts w:ascii="Arial" w:hAnsi="Arial" w:cs="Arial"/>
          <w:sz w:val="20"/>
          <w:szCs w:val="20"/>
        </w:rPr>
        <w:t>’s website; and</w:t>
      </w:r>
    </w:p>
    <w:p w:rsidR="00495338" w:rsidRPr="00B35881" w:rsidRDefault="00495338">
      <w:pPr>
        <w:pStyle w:val="a7"/>
        <w:rPr>
          <w:rFonts w:ascii="Arial" w:hAnsi="Arial" w:cs="Arial"/>
          <w:sz w:val="20"/>
          <w:szCs w:val="20"/>
        </w:rPr>
      </w:pPr>
    </w:p>
    <w:p w:rsidR="007B7488" w:rsidRPr="000A2D7C" w:rsidRDefault="00495338" w:rsidP="00683A11">
      <w:pPr>
        <w:pStyle w:val="a7"/>
        <w:numPr>
          <w:ilvl w:val="0"/>
          <w:numId w:val="18"/>
        </w:numPr>
        <w:jc w:val="both"/>
        <w:rPr>
          <w:rFonts w:ascii="Arial" w:hAnsi="Arial" w:cs="Arial"/>
          <w:sz w:val="20"/>
          <w:szCs w:val="20"/>
        </w:rPr>
      </w:pPr>
      <w:r w:rsidRPr="000A2D7C">
        <w:rPr>
          <w:rFonts w:ascii="Arial" w:hAnsi="Arial" w:cs="Arial"/>
          <w:sz w:val="20"/>
          <w:szCs w:val="20"/>
        </w:rPr>
        <w:t xml:space="preserve">the </w:t>
      </w:r>
      <w:r w:rsidR="001C258C">
        <w:rPr>
          <w:rFonts w:ascii="Arial" w:hAnsi="Arial" w:cs="Arial"/>
          <w:sz w:val="20"/>
          <w:szCs w:val="20"/>
        </w:rPr>
        <w:t>HKEX-</w:t>
      </w:r>
      <w:r w:rsidR="00B610CF">
        <w:rPr>
          <w:rFonts w:ascii="Arial" w:hAnsi="Arial" w:cs="Arial"/>
          <w:sz w:val="20"/>
          <w:szCs w:val="20"/>
        </w:rPr>
        <w:t xml:space="preserve">listed company </w:t>
      </w:r>
      <w:r w:rsidRPr="000A2D7C">
        <w:rPr>
          <w:rFonts w:ascii="Arial" w:hAnsi="Arial" w:cs="Arial"/>
          <w:sz w:val="20"/>
          <w:szCs w:val="20"/>
        </w:rPr>
        <w:t>has not received the securities holder’s objection to receiving corporate communications by means of the</w:t>
      </w:r>
      <w:r w:rsidR="00B610CF">
        <w:rPr>
          <w:rFonts w:ascii="Arial" w:hAnsi="Arial" w:cs="Arial"/>
          <w:sz w:val="20"/>
          <w:szCs w:val="20"/>
        </w:rPr>
        <w:t xml:space="preserve"> listed company</w:t>
      </w:r>
      <w:r w:rsidRPr="000A2D7C">
        <w:rPr>
          <w:rFonts w:ascii="Arial" w:hAnsi="Arial" w:cs="Arial"/>
          <w:sz w:val="20"/>
          <w:szCs w:val="20"/>
        </w:rPr>
        <w:t>’s website within 28 days</w:t>
      </w:r>
      <w:r w:rsidR="00C65AB3" w:rsidRPr="000A2D7C">
        <w:rPr>
          <w:rFonts w:ascii="Arial" w:hAnsi="Arial" w:cs="Arial"/>
          <w:sz w:val="20"/>
          <w:szCs w:val="20"/>
        </w:rPr>
        <w:t xml:space="preserve">. </w:t>
      </w:r>
    </w:p>
    <w:p w:rsidR="004B4E5A" w:rsidRPr="00B35881" w:rsidRDefault="00322EE2" w:rsidP="007B7488">
      <w:pPr>
        <w:jc w:val="both"/>
        <w:rPr>
          <w:rFonts w:ascii="Arial" w:hAnsi="Arial" w:cs="Arial"/>
          <w:sz w:val="20"/>
          <w:szCs w:val="20"/>
        </w:rPr>
      </w:pPr>
      <w:r w:rsidRPr="00B35881">
        <w:rPr>
          <w:rFonts w:ascii="Arial" w:hAnsi="Arial" w:cs="Arial"/>
          <w:sz w:val="20"/>
          <w:szCs w:val="20"/>
        </w:rPr>
        <w:t>The “deemed consen</w:t>
      </w:r>
      <w:r w:rsidR="001C258C">
        <w:rPr>
          <w:rFonts w:ascii="Arial" w:hAnsi="Arial" w:cs="Arial"/>
          <w:sz w:val="20"/>
          <w:szCs w:val="20"/>
        </w:rPr>
        <w:t>t” provisions also require HKEX-</w:t>
      </w:r>
      <w:r w:rsidR="00B610CF">
        <w:rPr>
          <w:rFonts w:ascii="Arial" w:hAnsi="Arial" w:cs="Arial"/>
          <w:sz w:val="20"/>
          <w:szCs w:val="20"/>
        </w:rPr>
        <w:t>listed com</w:t>
      </w:r>
      <w:r w:rsidR="001C258C">
        <w:rPr>
          <w:rFonts w:ascii="Arial" w:hAnsi="Arial" w:cs="Arial"/>
          <w:sz w:val="20"/>
          <w:szCs w:val="20"/>
        </w:rPr>
        <w:t>panies to separately notify their</w:t>
      </w:r>
      <w:r w:rsidRPr="00B35881">
        <w:rPr>
          <w:rFonts w:ascii="Arial" w:hAnsi="Arial" w:cs="Arial"/>
          <w:sz w:val="20"/>
          <w:szCs w:val="20"/>
        </w:rPr>
        <w:t xml:space="preserve"> securities holders</w:t>
      </w:r>
      <w:r w:rsidR="00C65AB3" w:rsidRPr="00B35881">
        <w:rPr>
          <w:rFonts w:ascii="Arial" w:hAnsi="Arial" w:cs="Arial"/>
          <w:sz w:val="20"/>
          <w:szCs w:val="20"/>
        </w:rPr>
        <w:t xml:space="preserve"> each time </w:t>
      </w:r>
      <w:r w:rsidRPr="00B35881">
        <w:rPr>
          <w:rFonts w:ascii="Arial" w:hAnsi="Arial" w:cs="Arial"/>
          <w:sz w:val="20"/>
          <w:szCs w:val="20"/>
        </w:rPr>
        <w:t>a new corporate c</w:t>
      </w:r>
      <w:r w:rsidR="001C258C">
        <w:rPr>
          <w:rFonts w:ascii="Arial" w:hAnsi="Arial" w:cs="Arial"/>
          <w:sz w:val="20"/>
          <w:szCs w:val="20"/>
        </w:rPr>
        <w:t>ommunication is published on their</w:t>
      </w:r>
      <w:r w:rsidR="00C65AB3" w:rsidRPr="00B35881">
        <w:rPr>
          <w:rFonts w:ascii="Arial" w:hAnsi="Arial" w:cs="Arial"/>
          <w:sz w:val="20"/>
          <w:szCs w:val="20"/>
        </w:rPr>
        <w:t xml:space="preserve"> website</w:t>
      </w:r>
      <w:r w:rsidR="001C258C">
        <w:rPr>
          <w:rFonts w:ascii="Arial" w:hAnsi="Arial" w:cs="Arial"/>
          <w:sz w:val="20"/>
          <w:szCs w:val="20"/>
        </w:rPr>
        <w:t>s</w:t>
      </w:r>
      <w:r w:rsidR="00C65AB3" w:rsidRPr="00B35881">
        <w:rPr>
          <w:rFonts w:ascii="Arial" w:hAnsi="Arial" w:cs="Arial"/>
          <w:sz w:val="20"/>
          <w:szCs w:val="20"/>
        </w:rPr>
        <w:t xml:space="preserve">. </w:t>
      </w:r>
      <w:r w:rsidRPr="00B35881">
        <w:rPr>
          <w:rFonts w:ascii="Arial" w:hAnsi="Arial" w:cs="Arial"/>
          <w:sz w:val="20"/>
          <w:szCs w:val="20"/>
        </w:rPr>
        <w:t xml:space="preserve">If a securities holder has not provided its electronic contact details </w:t>
      </w:r>
      <w:r w:rsidR="00B12325" w:rsidRPr="00B35881">
        <w:rPr>
          <w:rFonts w:ascii="Arial" w:hAnsi="Arial" w:cs="Arial"/>
          <w:sz w:val="20"/>
          <w:szCs w:val="20"/>
        </w:rPr>
        <w:t xml:space="preserve">for receiving this notification electronically, </w:t>
      </w:r>
      <w:r w:rsidR="001C258C">
        <w:rPr>
          <w:rFonts w:ascii="Arial" w:hAnsi="Arial" w:cs="Arial"/>
          <w:sz w:val="20"/>
          <w:szCs w:val="20"/>
        </w:rPr>
        <w:t>HKEX-</w:t>
      </w:r>
      <w:r w:rsidR="00B610CF">
        <w:rPr>
          <w:rFonts w:ascii="Arial" w:hAnsi="Arial" w:cs="Arial"/>
          <w:sz w:val="20"/>
          <w:szCs w:val="20"/>
        </w:rPr>
        <w:t>listed com</w:t>
      </w:r>
      <w:r w:rsidR="001C258C">
        <w:rPr>
          <w:rFonts w:ascii="Arial" w:hAnsi="Arial" w:cs="Arial"/>
          <w:sz w:val="20"/>
          <w:szCs w:val="20"/>
        </w:rPr>
        <w:t>panies</w:t>
      </w:r>
      <w:r w:rsidR="00B610CF">
        <w:rPr>
          <w:rFonts w:ascii="Arial" w:hAnsi="Arial" w:cs="Arial"/>
          <w:sz w:val="20"/>
          <w:szCs w:val="20"/>
        </w:rPr>
        <w:t xml:space="preserve"> </w:t>
      </w:r>
      <w:r w:rsidR="00B12325" w:rsidRPr="00B35881">
        <w:rPr>
          <w:rFonts w:ascii="Arial" w:hAnsi="Arial" w:cs="Arial"/>
          <w:sz w:val="20"/>
          <w:szCs w:val="20"/>
        </w:rPr>
        <w:t>must send notification to that holder by post.</w:t>
      </w:r>
    </w:p>
    <w:p w:rsidR="00305B86" w:rsidRPr="00B35881" w:rsidRDefault="00305B86" w:rsidP="007B7488">
      <w:pPr>
        <w:tabs>
          <w:tab w:val="left" w:pos="142"/>
        </w:tabs>
        <w:jc w:val="both"/>
        <w:rPr>
          <w:rFonts w:ascii="Arial" w:hAnsi="Arial" w:cs="Arial"/>
          <w:sz w:val="20"/>
          <w:szCs w:val="20"/>
        </w:rPr>
      </w:pPr>
      <w:r w:rsidRPr="00B35881">
        <w:rPr>
          <w:rFonts w:ascii="Arial" w:hAnsi="Arial" w:cs="Arial"/>
          <w:sz w:val="20"/>
          <w:szCs w:val="20"/>
        </w:rPr>
        <w:t>To reduce printing and postage costs and facilitate effective and timely communication, t</w:t>
      </w:r>
      <w:r w:rsidR="00D126D8" w:rsidRPr="00B35881">
        <w:rPr>
          <w:rFonts w:ascii="Arial" w:hAnsi="Arial" w:cs="Arial"/>
          <w:sz w:val="20"/>
          <w:szCs w:val="20"/>
        </w:rPr>
        <w:t xml:space="preserve">he </w:t>
      </w:r>
      <w:r w:rsidR="00307E45" w:rsidRPr="00B35881">
        <w:rPr>
          <w:rFonts w:ascii="Arial" w:hAnsi="Arial" w:cs="Arial"/>
          <w:sz w:val="20"/>
          <w:szCs w:val="20"/>
        </w:rPr>
        <w:t>HKEX</w:t>
      </w:r>
      <w:r w:rsidR="00D126D8" w:rsidRPr="00B35881">
        <w:rPr>
          <w:rFonts w:ascii="Arial" w:hAnsi="Arial" w:cs="Arial"/>
          <w:sz w:val="20"/>
          <w:szCs w:val="20"/>
        </w:rPr>
        <w:t xml:space="preserve"> </w:t>
      </w:r>
      <w:r w:rsidR="00B610CF">
        <w:rPr>
          <w:rFonts w:ascii="Arial" w:hAnsi="Arial" w:cs="Arial"/>
          <w:sz w:val="20"/>
          <w:szCs w:val="20"/>
        </w:rPr>
        <w:t>will</w:t>
      </w:r>
      <w:r w:rsidR="00D126D8" w:rsidRPr="00B35881">
        <w:rPr>
          <w:rFonts w:ascii="Arial" w:hAnsi="Arial" w:cs="Arial"/>
          <w:sz w:val="20"/>
          <w:szCs w:val="20"/>
        </w:rPr>
        <w:t xml:space="preserve">: </w:t>
      </w:r>
    </w:p>
    <w:p w:rsidR="004653E8" w:rsidRPr="00206835" w:rsidRDefault="004653E8" w:rsidP="004653E8">
      <w:pPr>
        <w:pStyle w:val="a7"/>
        <w:numPr>
          <w:ilvl w:val="0"/>
          <w:numId w:val="8"/>
        </w:numPr>
        <w:jc w:val="both"/>
        <w:rPr>
          <w:rFonts w:ascii="Arial" w:hAnsi="Arial" w:cs="Arial"/>
          <w:sz w:val="20"/>
          <w:szCs w:val="20"/>
        </w:rPr>
      </w:pPr>
      <w:r w:rsidRPr="00B35881">
        <w:rPr>
          <w:rFonts w:ascii="Arial" w:hAnsi="Arial" w:cs="Arial"/>
          <w:sz w:val="20"/>
          <w:szCs w:val="20"/>
        </w:rPr>
        <w:t xml:space="preserve">mandate that </w:t>
      </w:r>
      <w:r>
        <w:rPr>
          <w:rFonts w:ascii="Arial" w:hAnsi="Arial" w:cs="Arial"/>
          <w:sz w:val="20"/>
          <w:szCs w:val="20"/>
        </w:rPr>
        <w:t>HKEX-</w:t>
      </w:r>
      <w:r w:rsidRPr="00B35881">
        <w:rPr>
          <w:rFonts w:ascii="Arial" w:hAnsi="Arial" w:cs="Arial"/>
          <w:sz w:val="20"/>
          <w:szCs w:val="20"/>
        </w:rPr>
        <w:t xml:space="preserve">listed </w:t>
      </w:r>
      <w:r>
        <w:rPr>
          <w:rFonts w:ascii="Arial" w:hAnsi="Arial" w:cs="Arial"/>
          <w:sz w:val="20"/>
          <w:szCs w:val="20"/>
        </w:rPr>
        <w:t xml:space="preserve">companies </w:t>
      </w:r>
      <w:r w:rsidRPr="00B35881">
        <w:rPr>
          <w:rFonts w:ascii="Arial" w:hAnsi="Arial" w:cs="Arial"/>
          <w:sz w:val="20"/>
          <w:szCs w:val="20"/>
        </w:rPr>
        <w:t xml:space="preserve">must disseminate corporate communications by electronic means to their securities holders to the extent permitted by the laws and regulations that </w:t>
      </w:r>
      <w:r>
        <w:rPr>
          <w:rFonts w:ascii="Arial" w:hAnsi="Arial" w:cs="Arial"/>
          <w:sz w:val="20"/>
          <w:szCs w:val="20"/>
        </w:rPr>
        <w:t>apply</w:t>
      </w:r>
      <w:r w:rsidRPr="00B35881">
        <w:rPr>
          <w:rFonts w:ascii="Arial" w:hAnsi="Arial" w:cs="Arial"/>
          <w:sz w:val="20"/>
          <w:szCs w:val="20"/>
        </w:rPr>
        <w:t xml:space="preserve"> to them and their constitutional documents; and </w:t>
      </w:r>
    </w:p>
    <w:p w:rsidR="00B12325" w:rsidRPr="000154BF" w:rsidRDefault="00B12325" w:rsidP="00B12325">
      <w:pPr>
        <w:pStyle w:val="a7"/>
        <w:jc w:val="both"/>
        <w:rPr>
          <w:rFonts w:ascii="Arial" w:hAnsi="Arial" w:cs="Arial"/>
          <w:sz w:val="20"/>
          <w:szCs w:val="20"/>
        </w:rPr>
      </w:pPr>
    </w:p>
    <w:p w:rsidR="00206835" w:rsidRPr="00683A11" w:rsidRDefault="00B610CF" w:rsidP="000154BF">
      <w:pPr>
        <w:pStyle w:val="a7"/>
        <w:numPr>
          <w:ilvl w:val="0"/>
          <w:numId w:val="8"/>
        </w:numPr>
        <w:jc w:val="both"/>
        <w:rPr>
          <w:rFonts w:ascii="Arial" w:hAnsi="Arial" w:cs="Arial"/>
          <w:sz w:val="20"/>
          <w:szCs w:val="20"/>
        </w:rPr>
      </w:pPr>
      <w:r>
        <w:rPr>
          <w:rFonts w:ascii="Arial" w:hAnsi="Arial" w:cs="Arial"/>
          <w:sz w:val="20"/>
          <w:szCs w:val="20"/>
        </w:rPr>
        <w:t xml:space="preserve">allow </w:t>
      </w:r>
      <w:r w:rsidR="001C258C">
        <w:rPr>
          <w:rFonts w:ascii="Arial" w:hAnsi="Arial" w:cs="Arial"/>
          <w:sz w:val="20"/>
          <w:szCs w:val="20"/>
        </w:rPr>
        <w:t>HKEX-</w:t>
      </w:r>
      <w:r>
        <w:rPr>
          <w:rFonts w:ascii="Arial" w:hAnsi="Arial" w:cs="Arial"/>
          <w:sz w:val="20"/>
          <w:szCs w:val="20"/>
        </w:rPr>
        <w:t>listed companies</w:t>
      </w:r>
      <w:r w:rsidR="00683793" w:rsidRPr="00D86CAE">
        <w:rPr>
          <w:rFonts w:ascii="Arial" w:hAnsi="Arial" w:cs="Arial"/>
          <w:sz w:val="20"/>
          <w:szCs w:val="20"/>
        </w:rPr>
        <w:t xml:space="preserve"> to choose the </w:t>
      </w:r>
      <w:r w:rsidR="00D126D8" w:rsidRPr="00D86CAE">
        <w:rPr>
          <w:rFonts w:ascii="Arial" w:hAnsi="Arial" w:cs="Arial"/>
          <w:sz w:val="20"/>
          <w:szCs w:val="20"/>
        </w:rPr>
        <w:t xml:space="preserve">consent mechanism for </w:t>
      </w:r>
      <w:r w:rsidR="00410399" w:rsidRPr="00B35881">
        <w:rPr>
          <w:rFonts w:ascii="Arial" w:hAnsi="Arial" w:cs="Arial"/>
          <w:sz w:val="20"/>
          <w:szCs w:val="20"/>
        </w:rPr>
        <w:t xml:space="preserve">the </w:t>
      </w:r>
      <w:r w:rsidR="00683793" w:rsidRPr="00B35881">
        <w:rPr>
          <w:rFonts w:ascii="Arial" w:hAnsi="Arial" w:cs="Arial"/>
          <w:sz w:val="20"/>
          <w:szCs w:val="20"/>
        </w:rPr>
        <w:t xml:space="preserve">electronic </w:t>
      </w:r>
      <w:r w:rsidR="00D126D8" w:rsidRPr="00B35881">
        <w:rPr>
          <w:rFonts w:ascii="Arial" w:hAnsi="Arial" w:cs="Arial"/>
          <w:sz w:val="20"/>
          <w:szCs w:val="20"/>
        </w:rPr>
        <w:t>dissemination of corporate communication</w:t>
      </w:r>
      <w:r w:rsidR="00492B0B" w:rsidRPr="00B35881">
        <w:rPr>
          <w:rFonts w:ascii="Arial" w:hAnsi="Arial" w:cs="Arial"/>
          <w:sz w:val="20"/>
          <w:szCs w:val="20"/>
        </w:rPr>
        <w:t>s</w:t>
      </w:r>
      <w:r w:rsidR="001C258C">
        <w:rPr>
          <w:rFonts w:ascii="Arial" w:hAnsi="Arial" w:cs="Arial"/>
          <w:sz w:val="20"/>
          <w:szCs w:val="20"/>
        </w:rPr>
        <w:t>, provided</w:t>
      </w:r>
      <w:r w:rsidR="00D126D8" w:rsidRPr="00B35881">
        <w:rPr>
          <w:rFonts w:ascii="Arial" w:hAnsi="Arial" w:cs="Arial"/>
          <w:sz w:val="20"/>
          <w:szCs w:val="20"/>
        </w:rPr>
        <w:t xml:space="preserve"> it is </w:t>
      </w:r>
      <w:r w:rsidR="00B12325" w:rsidRPr="00B35881">
        <w:rPr>
          <w:rFonts w:ascii="Arial" w:hAnsi="Arial" w:cs="Arial"/>
          <w:sz w:val="20"/>
          <w:szCs w:val="20"/>
        </w:rPr>
        <w:t xml:space="preserve">allowed under </w:t>
      </w:r>
      <w:r w:rsidR="00D126D8" w:rsidRPr="00B35881">
        <w:rPr>
          <w:rFonts w:ascii="Arial" w:hAnsi="Arial" w:cs="Arial"/>
          <w:sz w:val="20"/>
          <w:szCs w:val="20"/>
        </w:rPr>
        <w:t>applicable laws and regulations</w:t>
      </w:r>
      <w:r w:rsidR="00B12325" w:rsidRPr="00B35881">
        <w:rPr>
          <w:rFonts w:ascii="Arial" w:hAnsi="Arial" w:cs="Arial"/>
          <w:sz w:val="20"/>
          <w:szCs w:val="20"/>
        </w:rPr>
        <w:t xml:space="preserve"> and their constit</w:t>
      </w:r>
      <w:r w:rsidR="00DF0D81" w:rsidRPr="00B35881">
        <w:rPr>
          <w:rFonts w:ascii="Arial" w:hAnsi="Arial" w:cs="Arial"/>
          <w:sz w:val="20"/>
          <w:szCs w:val="20"/>
        </w:rPr>
        <w:t>u</w:t>
      </w:r>
      <w:r w:rsidR="00B12325" w:rsidRPr="00B35881">
        <w:rPr>
          <w:rFonts w:ascii="Arial" w:hAnsi="Arial" w:cs="Arial"/>
          <w:sz w:val="20"/>
          <w:szCs w:val="20"/>
        </w:rPr>
        <w:t>tional documents</w:t>
      </w:r>
      <w:r w:rsidR="00D126D8" w:rsidRPr="00B35881">
        <w:rPr>
          <w:rFonts w:ascii="Arial" w:hAnsi="Arial" w:cs="Arial"/>
          <w:sz w:val="20"/>
          <w:szCs w:val="20"/>
        </w:rPr>
        <w:t xml:space="preserve">. </w:t>
      </w:r>
    </w:p>
    <w:p w:rsidR="0034176F" w:rsidRPr="00B35881" w:rsidRDefault="001C258C" w:rsidP="0034176F">
      <w:pPr>
        <w:jc w:val="both"/>
        <w:rPr>
          <w:rFonts w:ascii="Arial" w:hAnsi="Arial" w:cs="Arial"/>
          <w:sz w:val="20"/>
          <w:szCs w:val="20"/>
        </w:rPr>
      </w:pPr>
      <w:r>
        <w:rPr>
          <w:rFonts w:ascii="Arial" w:hAnsi="Arial" w:cs="Arial"/>
          <w:sz w:val="20"/>
          <w:szCs w:val="20"/>
        </w:rPr>
        <w:t>HKEX-l</w:t>
      </w:r>
      <w:r w:rsidR="0034176F" w:rsidRPr="000154BF">
        <w:rPr>
          <w:rFonts w:ascii="Arial" w:hAnsi="Arial" w:cs="Arial"/>
          <w:sz w:val="20"/>
          <w:szCs w:val="20"/>
        </w:rPr>
        <w:t xml:space="preserve">isted </w:t>
      </w:r>
      <w:r>
        <w:rPr>
          <w:rFonts w:ascii="Arial" w:hAnsi="Arial" w:cs="Arial"/>
          <w:sz w:val="20"/>
          <w:szCs w:val="20"/>
        </w:rPr>
        <w:t>companies</w:t>
      </w:r>
      <w:r w:rsidRPr="000154BF">
        <w:rPr>
          <w:rFonts w:ascii="Arial" w:hAnsi="Arial" w:cs="Arial"/>
          <w:sz w:val="20"/>
          <w:szCs w:val="20"/>
        </w:rPr>
        <w:t xml:space="preserve"> </w:t>
      </w:r>
      <w:r>
        <w:rPr>
          <w:rFonts w:ascii="Arial" w:hAnsi="Arial" w:cs="Arial"/>
          <w:sz w:val="20"/>
          <w:szCs w:val="20"/>
        </w:rPr>
        <w:t>will</w:t>
      </w:r>
      <w:r w:rsidR="0034176F" w:rsidRPr="000154BF">
        <w:rPr>
          <w:rFonts w:ascii="Arial" w:hAnsi="Arial" w:cs="Arial"/>
          <w:sz w:val="20"/>
          <w:szCs w:val="20"/>
        </w:rPr>
        <w:t xml:space="preserve"> be required </w:t>
      </w:r>
      <w:r>
        <w:rPr>
          <w:rFonts w:ascii="Arial" w:hAnsi="Arial" w:cs="Arial"/>
          <w:sz w:val="20"/>
          <w:szCs w:val="20"/>
        </w:rPr>
        <w:t>to specify on their websites</w:t>
      </w:r>
      <w:r w:rsidR="0034176F" w:rsidRPr="000154BF">
        <w:rPr>
          <w:rFonts w:ascii="Arial" w:hAnsi="Arial" w:cs="Arial"/>
          <w:sz w:val="20"/>
          <w:szCs w:val="20"/>
        </w:rPr>
        <w:t xml:space="preserve"> the manner in which corporate communications will be sent or otherwise made available to securities holders. Listed </w:t>
      </w:r>
      <w:r>
        <w:rPr>
          <w:rFonts w:ascii="Arial" w:hAnsi="Arial" w:cs="Arial"/>
          <w:sz w:val="20"/>
          <w:szCs w:val="20"/>
        </w:rPr>
        <w:t>companies</w:t>
      </w:r>
      <w:r w:rsidRPr="000154BF">
        <w:rPr>
          <w:rFonts w:ascii="Arial" w:hAnsi="Arial" w:cs="Arial"/>
          <w:sz w:val="20"/>
          <w:szCs w:val="20"/>
        </w:rPr>
        <w:t xml:space="preserve"> </w:t>
      </w:r>
      <w:r>
        <w:rPr>
          <w:rFonts w:ascii="Arial" w:hAnsi="Arial" w:cs="Arial"/>
          <w:sz w:val="20"/>
          <w:szCs w:val="20"/>
        </w:rPr>
        <w:t>will</w:t>
      </w:r>
      <w:r w:rsidR="0034176F" w:rsidRPr="000154BF">
        <w:rPr>
          <w:rFonts w:ascii="Arial" w:hAnsi="Arial" w:cs="Arial"/>
          <w:sz w:val="20"/>
          <w:szCs w:val="20"/>
        </w:rPr>
        <w:t xml:space="preserve"> also have to disclose on their websites h</w:t>
      </w:r>
      <w:r w:rsidR="0034176F" w:rsidRPr="00D86CAE">
        <w:rPr>
          <w:rFonts w:ascii="Arial" w:hAnsi="Arial" w:cs="Arial"/>
          <w:sz w:val="20"/>
          <w:szCs w:val="20"/>
        </w:rPr>
        <w:t xml:space="preserve">ow securities holders can request receipt of hard copies of corporate communications and must send </w:t>
      </w:r>
      <w:r w:rsidR="0034176F" w:rsidRPr="00B35881">
        <w:rPr>
          <w:rFonts w:ascii="Arial" w:hAnsi="Arial" w:cs="Arial"/>
          <w:sz w:val="20"/>
          <w:szCs w:val="20"/>
        </w:rPr>
        <w:t>corporate communications in printed form to securities holders who have requested them.</w:t>
      </w:r>
      <w:r w:rsidR="00F518B2" w:rsidRPr="00B35881">
        <w:rPr>
          <w:rFonts w:ascii="Arial" w:hAnsi="Arial" w:cs="Arial"/>
          <w:sz w:val="20"/>
          <w:szCs w:val="20"/>
        </w:rPr>
        <w:t xml:space="preserve"> </w:t>
      </w:r>
    </w:p>
    <w:p w:rsidR="001C258C" w:rsidRDefault="001C258C" w:rsidP="00206835">
      <w:pPr>
        <w:jc w:val="both"/>
        <w:rPr>
          <w:rFonts w:ascii="Arial" w:hAnsi="Arial" w:cs="Arial"/>
          <w:sz w:val="20"/>
          <w:szCs w:val="20"/>
        </w:rPr>
      </w:pPr>
      <w:r>
        <w:rPr>
          <w:rFonts w:ascii="Arial" w:hAnsi="Arial" w:cs="Arial"/>
          <w:sz w:val="20"/>
          <w:szCs w:val="20"/>
        </w:rPr>
        <w:t>HKEX-l</w:t>
      </w:r>
      <w:r w:rsidR="00206835" w:rsidRPr="00206835">
        <w:rPr>
          <w:rFonts w:ascii="Arial" w:hAnsi="Arial" w:cs="Arial"/>
          <w:sz w:val="20"/>
          <w:szCs w:val="20"/>
        </w:rPr>
        <w:t xml:space="preserve">isted </w:t>
      </w:r>
      <w:r>
        <w:rPr>
          <w:rFonts w:ascii="Arial" w:hAnsi="Arial" w:cs="Arial"/>
          <w:sz w:val="20"/>
          <w:szCs w:val="20"/>
        </w:rPr>
        <w:t>companies</w:t>
      </w:r>
      <w:r w:rsidRPr="00206835">
        <w:rPr>
          <w:rFonts w:ascii="Arial" w:hAnsi="Arial" w:cs="Arial"/>
          <w:sz w:val="20"/>
          <w:szCs w:val="20"/>
        </w:rPr>
        <w:t xml:space="preserve"> </w:t>
      </w:r>
      <w:r w:rsidR="00206835" w:rsidRPr="00206835">
        <w:rPr>
          <w:rFonts w:ascii="Arial" w:hAnsi="Arial" w:cs="Arial"/>
          <w:sz w:val="20"/>
          <w:szCs w:val="20"/>
        </w:rPr>
        <w:t>intending to implement new arrangements on dissemination of corporate communications</w:t>
      </w:r>
      <w:r>
        <w:rPr>
          <w:rFonts w:ascii="Arial" w:hAnsi="Arial" w:cs="Arial"/>
          <w:sz w:val="20"/>
          <w:szCs w:val="20"/>
        </w:rPr>
        <w:t xml:space="preserve"> will need to</w:t>
      </w:r>
      <w:r w:rsidR="00206835" w:rsidRPr="00206835">
        <w:rPr>
          <w:rFonts w:ascii="Arial" w:hAnsi="Arial" w:cs="Arial"/>
          <w:sz w:val="20"/>
          <w:szCs w:val="20"/>
        </w:rPr>
        <w:t xml:space="preserve"> send a one-time notification to their holders individually in ha</w:t>
      </w:r>
      <w:r w:rsidR="004A5CAF">
        <w:rPr>
          <w:rFonts w:ascii="Arial" w:hAnsi="Arial" w:cs="Arial"/>
          <w:sz w:val="20"/>
          <w:szCs w:val="20"/>
        </w:rPr>
        <w:t xml:space="preserve">rd copy </w:t>
      </w:r>
      <w:r>
        <w:rPr>
          <w:rFonts w:ascii="Arial" w:hAnsi="Arial" w:cs="Arial"/>
          <w:sz w:val="20"/>
          <w:szCs w:val="20"/>
        </w:rPr>
        <w:t xml:space="preserve">form </w:t>
      </w:r>
      <w:r w:rsidR="004A5CAF">
        <w:rPr>
          <w:rFonts w:ascii="Arial" w:hAnsi="Arial" w:cs="Arial"/>
          <w:sz w:val="20"/>
          <w:szCs w:val="20"/>
        </w:rPr>
        <w:t xml:space="preserve">or electronically to: </w:t>
      </w:r>
    </w:p>
    <w:p w:rsidR="001C258C" w:rsidRDefault="00206835" w:rsidP="001C258C">
      <w:pPr>
        <w:pStyle w:val="a7"/>
        <w:numPr>
          <w:ilvl w:val="0"/>
          <w:numId w:val="40"/>
        </w:numPr>
        <w:jc w:val="both"/>
        <w:rPr>
          <w:rFonts w:ascii="Arial" w:hAnsi="Arial" w:cs="Arial"/>
          <w:sz w:val="20"/>
          <w:szCs w:val="20"/>
        </w:rPr>
      </w:pPr>
      <w:r w:rsidRPr="001C258C">
        <w:rPr>
          <w:rFonts w:ascii="Arial" w:hAnsi="Arial" w:cs="Arial"/>
          <w:sz w:val="20"/>
          <w:szCs w:val="20"/>
        </w:rPr>
        <w:t>infor</w:t>
      </w:r>
      <w:r w:rsidR="001C258C">
        <w:rPr>
          <w:rFonts w:ascii="Arial" w:hAnsi="Arial" w:cs="Arial"/>
          <w:sz w:val="20"/>
          <w:szCs w:val="20"/>
        </w:rPr>
        <w:t xml:space="preserve">m them of the new arrangements </w:t>
      </w:r>
      <w:r w:rsidRPr="001C258C">
        <w:rPr>
          <w:rFonts w:ascii="Arial" w:hAnsi="Arial" w:cs="Arial"/>
          <w:sz w:val="20"/>
          <w:szCs w:val="20"/>
        </w:rPr>
        <w:t>before implementat</w:t>
      </w:r>
      <w:r w:rsidR="004A5CAF" w:rsidRPr="001C258C">
        <w:rPr>
          <w:rFonts w:ascii="Arial" w:hAnsi="Arial" w:cs="Arial"/>
          <w:sz w:val="20"/>
          <w:szCs w:val="20"/>
        </w:rPr>
        <w:t>ion</w:t>
      </w:r>
      <w:r w:rsidR="001C258C">
        <w:rPr>
          <w:rFonts w:ascii="Arial" w:hAnsi="Arial" w:cs="Arial"/>
          <w:sz w:val="20"/>
          <w:szCs w:val="20"/>
        </w:rPr>
        <w:t xml:space="preserve">; and </w:t>
      </w:r>
    </w:p>
    <w:p w:rsidR="001C258C" w:rsidRDefault="001C258C" w:rsidP="001C258C">
      <w:pPr>
        <w:pStyle w:val="a7"/>
        <w:jc w:val="both"/>
        <w:rPr>
          <w:rFonts w:ascii="Arial" w:hAnsi="Arial" w:cs="Arial"/>
          <w:sz w:val="20"/>
          <w:szCs w:val="20"/>
        </w:rPr>
      </w:pPr>
    </w:p>
    <w:p w:rsidR="00206835" w:rsidRPr="001C258C" w:rsidRDefault="00206835" w:rsidP="001C258C">
      <w:pPr>
        <w:pStyle w:val="a7"/>
        <w:numPr>
          <w:ilvl w:val="0"/>
          <w:numId w:val="40"/>
        </w:numPr>
        <w:jc w:val="both"/>
        <w:rPr>
          <w:rFonts w:ascii="Arial" w:hAnsi="Arial" w:cs="Arial"/>
          <w:sz w:val="20"/>
          <w:szCs w:val="20"/>
        </w:rPr>
      </w:pPr>
      <w:r w:rsidRPr="001C258C">
        <w:rPr>
          <w:rFonts w:ascii="Arial" w:hAnsi="Arial" w:cs="Arial"/>
          <w:sz w:val="20"/>
          <w:szCs w:val="20"/>
        </w:rPr>
        <w:t xml:space="preserve">solicit </w:t>
      </w:r>
      <w:r w:rsidR="001C258C" w:rsidRPr="001C258C">
        <w:rPr>
          <w:rFonts w:ascii="Arial" w:hAnsi="Arial" w:cs="Arial"/>
          <w:sz w:val="20"/>
          <w:szCs w:val="20"/>
        </w:rPr>
        <w:t>securities holders</w:t>
      </w:r>
      <w:r w:rsidR="001C258C">
        <w:rPr>
          <w:rFonts w:ascii="Arial" w:hAnsi="Arial" w:cs="Arial"/>
          <w:sz w:val="20"/>
          <w:szCs w:val="20"/>
        </w:rPr>
        <w:t>’</w:t>
      </w:r>
      <w:r w:rsidR="001C258C" w:rsidRPr="001C258C">
        <w:rPr>
          <w:rFonts w:ascii="Arial" w:hAnsi="Arial" w:cs="Arial"/>
          <w:sz w:val="20"/>
          <w:szCs w:val="20"/>
        </w:rPr>
        <w:t xml:space="preserve"> </w:t>
      </w:r>
      <w:r w:rsidRPr="001C258C">
        <w:rPr>
          <w:rFonts w:ascii="Arial" w:hAnsi="Arial" w:cs="Arial"/>
          <w:sz w:val="20"/>
          <w:szCs w:val="20"/>
        </w:rPr>
        <w:t xml:space="preserve">email </w:t>
      </w:r>
      <w:r w:rsidR="001C258C">
        <w:rPr>
          <w:rFonts w:ascii="Arial" w:hAnsi="Arial" w:cs="Arial"/>
          <w:sz w:val="20"/>
          <w:szCs w:val="20"/>
        </w:rPr>
        <w:t>addresses</w:t>
      </w:r>
      <w:r w:rsidRPr="001C258C">
        <w:rPr>
          <w:rFonts w:ascii="Arial" w:hAnsi="Arial" w:cs="Arial"/>
          <w:sz w:val="20"/>
          <w:szCs w:val="20"/>
        </w:rPr>
        <w:t>.</w:t>
      </w:r>
    </w:p>
    <w:p w:rsidR="00FB2A2E" w:rsidRPr="00B35881" w:rsidRDefault="000453F3" w:rsidP="006104C5">
      <w:pPr>
        <w:jc w:val="both"/>
        <w:rPr>
          <w:rFonts w:ascii="Arial" w:hAnsi="Arial" w:cs="Arial"/>
          <w:sz w:val="20"/>
          <w:szCs w:val="20"/>
        </w:rPr>
      </w:pPr>
      <w:r w:rsidRPr="000154BF">
        <w:rPr>
          <w:rFonts w:ascii="Arial" w:hAnsi="Arial" w:cs="Arial"/>
          <w:sz w:val="20"/>
          <w:szCs w:val="20"/>
        </w:rPr>
        <w:t>T</w:t>
      </w:r>
      <w:r w:rsidR="00DF0D81" w:rsidRPr="000154BF">
        <w:rPr>
          <w:rFonts w:ascii="Arial" w:hAnsi="Arial" w:cs="Arial"/>
          <w:sz w:val="20"/>
          <w:szCs w:val="20"/>
        </w:rPr>
        <w:t xml:space="preserve">he </w:t>
      </w:r>
      <w:r w:rsidR="001C258C">
        <w:rPr>
          <w:rFonts w:ascii="Arial" w:hAnsi="Arial" w:cs="Arial"/>
          <w:sz w:val="20"/>
          <w:szCs w:val="20"/>
        </w:rPr>
        <w:t xml:space="preserve">requirements </w:t>
      </w:r>
      <w:r w:rsidR="00DF0D81" w:rsidRPr="000154BF">
        <w:rPr>
          <w:rFonts w:ascii="Arial" w:hAnsi="Arial" w:cs="Arial"/>
          <w:sz w:val="20"/>
          <w:szCs w:val="20"/>
        </w:rPr>
        <w:t xml:space="preserve">apply to </w:t>
      </w:r>
      <w:r w:rsidRPr="00D86CAE">
        <w:rPr>
          <w:rFonts w:ascii="Arial" w:hAnsi="Arial" w:cs="Arial"/>
          <w:sz w:val="20"/>
          <w:szCs w:val="20"/>
        </w:rPr>
        <w:t>issuers of equity securities, debt securities and listed structured product</w:t>
      </w:r>
      <w:r w:rsidR="00DF0D81" w:rsidRPr="00B35881">
        <w:rPr>
          <w:rFonts w:ascii="Arial" w:hAnsi="Arial" w:cs="Arial"/>
          <w:sz w:val="20"/>
          <w:szCs w:val="20"/>
        </w:rPr>
        <w:t>s</w:t>
      </w:r>
      <w:r w:rsidR="001C258C">
        <w:rPr>
          <w:rFonts w:ascii="Arial" w:hAnsi="Arial" w:cs="Arial"/>
          <w:sz w:val="20"/>
          <w:szCs w:val="20"/>
        </w:rPr>
        <w:t xml:space="preserve">. They </w:t>
      </w:r>
      <w:r w:rsidR="004E364B" w:rsidRPr="00B35881">
        <w:rPr>
          <w:rFonts w:ascii="Arial" w:hAnsi="Arial" w:cs="Arial"/>
          <w:sz w:val="20"/>
          <w:szCs w:val="20"/>
        </w:rPr>
        <w:t>allow</w:t>
      </w:r>
      <w:r w:rsidR="00246185" w:rsidRPr="00B35881">
        <w:rPr>
          <w:rFonts w:ascii="Arial" w:hAnsi="Arial" w:cs="Arial"/>
          <w:sz w:val="20"/>
          <w:szCs w:val="20"/>
        </w:rPr>
        <w:t xml:space="preserve"> </w:t>
      </w:r>
      <w:r w:rsidR="001C258C">
        <w:rPr>
          <w:rFonts w:ascii="Arial" w:hAnsi="Arial" w:cs="Arial"/>
          <w:sz w:val="20"/>
          <w:szCs w:val="20"/>
        </w:rPr>
        <w:t>HKEX-</w:t>
      </w:r>
      <w:r w:rsidR="00246185" w:rsidRPr="00B35881">
        <w:rPr>
          <w:rFonts w:ascii="Arial" w:hAnsi="Arial" w:cs="Arial"/>
          <w:sz w:val="20"/>
          <w:szCs w:val="20"/>
        </w:rPr>
        <w:t>listed</w:t>
      </w:r>
      <w:r w:rsidR="001C258C">
        <w:rPr>
          <w:rFonts w:ascii="Arial" w:hAnsi="Arial" w:cs="Arial"/>
          <w:sz w:val="20"/>
          <w:szCs w:val="20"/>
        </w:rPr>
        <w:t xml:space="preserve"> companies</w:t>
      </w:r>
      <w:r w:rsidR="004E364B" w:rsidRPr="00B35881">
        <w:rPr>
          <w:rFonts w:ascii="Arial" w:hAnsi="Arial" w:cs="Arial"/>
          <w:sz w:val="20"/>
          <w:szCs w:val="20"/>
        </w:rPr>
        <w:t xml:space="preserve"> to distribute corporate communications</w:t>
      </w:r>
      <w:r w:rsidR="00492B0B" w:rsidRPr="00B35881">
        <w:rPr>
          <w:rFonts w:ascii="Arial" w:hAnsi="Arial" w:cs="Arial"/>
          <w:sz w:val="20"/>
          <w:szCs w:val="20"/>
        </w:rPr>
        <w:t xml:space="preserve"> electronically</w:t>
      </w:r>
      <w:r w:rsidR="004E364B" w:rsidRPr="00B35881">
        <w:rPr>
          <w:rFonts w:ascii="Arial" w:hAnsi="Arial" w:cs="Arial"/>
          <w:sz w:val="20"/>
          <w:szCs w:val="20"/>
        </w:rPr>
        <w:t xml:space="preserve"> with</w:t>
      </w:r>
      <w:r w:rsidR="006908E0" w:rsidRPr="00B35881">
        <w:rPr>
          <w:rFonts w:ascii="Arial" w:hAnsi="Arial" w:cs="Arial"/>
          <w:sz w:val="20"/>
          <w:szCs w:val="20"/>
        </w:rPr>
        <w:t xml:space="preserve"> the</w:t>
      </w:r>
      <w:r w:rsidR="00246185" w:rsidRPr="00B35881">
        <w:rPr>
          <w:rFonts w:ascii="Arial" w:hAnsi="Arial" w:cs="Arial"/>
          <w:sz w:val="20"/>
          <w:szCs w:val="20"/>
        </w:rPr>
        <w:t xml:space="preserve"> implied consent</w:t>
      </w:r>
      <w:r w:rsidR="00492B0B" w:rsidRPr="00B35881">
        <w:rPr>
          <w:rFonts w:ascii="Arial" w:hAnsi="Arial" w:cs="Arial"/>
          <w:sz w:val="20"/>
          <w:szCs w:val="20"/>
        </w:rPr>
        <w:t xml:space="preserve"> of the holders</w:t>
      </w:r>
      <w:r w:rsidR="00700206" w:rsidRPr="00B35881">
        <w:rPr>
          <w:rFonts w:ascii="Arial" w:hAnsi="Arial" w:cs="Arial"/>
          <w:sz w:val="20"/>
          <w:szCs w:val="20"/>
        </w:rPr>
        <w:t xml:space="preserve"> if this is permitted under the law</w:t>
      </w:r>
      <w:r w:rsidR="009A403B" w:rsidRPr="00B35881">
        <w:rPr>
          <w:rFonts w:ascii="Arial" w:hAnsi="Arial" w:cs="Arial"/>
          <w:sz w:val="20"/>
          <w:szCs w:val="20"/>
        </w:rPr>
        <w:t>s and regulations</w:t>
      </w:r>
      <w:r w:rsidR="00700206" w:rsidRPr="00B35881">
        <w:rPr>
          <w:rFonts w:ascii="Arial" w:hAnsi="Arial" w:cs="Arial"/>
          <w:sz w:val="20"/>
          <w:szCs w:val="20"/>
        </w:rPr>
        <w:t xml:space="preserve"> applicable to them</w:t>
      </w:r>
      <w:r w:rsidR="00246185" w:rsidRPr="00B35881">
        <w:rPr>
          <w:rFonts w:ascii="Arial" w:hAnsi="Arial" w:cs="Arial"/>
          <w:sz w:val="20"/>
          <w:szCs w:val="20"/>
        </w:rPr>
        <w:t xml:space="preserve">. The </w:t>
      </w:r>
      <w:r w:rsidR="00307E45" w:rsidRPr="00B35881">
        <w:rPr>
          <w:rFonts w:ascii="Arial" w:hAnsi="Arial" w:cs="Arial"/>
          <w:sz w:val="20"/>
          <w:szCs w:val="20"/>
        </w:rPr>
        <w:t>HKEX</w:t>
      </w:r>
      <w:r w:rsidR="00246185" w:rsidRPr="00B35881">
        <w:rPr>
          <w:rFonts w:ascii="Arial" w:hAnsi="Arial" w:cs="Arial"/>
          <w:sz w:val="20"/>
          <w:szCs w:val="20"/>
        </w:rPr>
        <w:t xml:space="preserve"> notes that nearly 90% of </w:t>
      </w:r>
      <w:r w:rsidR="001C258C">
        <w:rPr>
          <w:rFonts w:ascii="Arial" w:hAnsi="Arial" w:cs="Arial"/>
          <w:sz w:val="20"/>
          <w:szCs w:val="20"/>
        </w:rPr>
        <w:t>HKEX</w:t>
      </w:r>
      <w:r w:rsidR="004E364B" w:rsidRPr="00B35881">
        <w:rPr>
          <w:rFonts w:ascii="Arial" w:hAnsi="Arial" w:cs="Arial"/>
          <w:sz w:val="20"/>
          <w:szCs w:val="20"/>
        </w:rPr>
        <w:t>-</w:t>
      </w:r>
      <w:r w:rsidR="00246185" w:rsidRPr="00B35881">
        <w:rPr>
          <w:rFonts w:ascii="Arial" w:hAnsi="Arial" w:cs="Arial"/>
          <w:sz w:val="20"/>
          <w:szCs w:val="20"/>
        </w:rPr>
        <w:t>listed</w:t>
      </w:r>
      <w:r w:rsidR="004E364B" w:rsidRPr="00B35881">
        <w:rPr>
          <w:rFonts w:ascii="Arial" w:hAnsi="Arial" w:cs="Arial"/>
          <w:sz w:val="20"/>
          <w:szCs w:val="20"/>
        </w:rPr>
        <w:t xml:space="preserve"> </w:t>
      </w:r>
      <w:r w:rsidR="001C258C">
        <w:rPr>
          <w:rFonts w:ascii="Arial" w:hAnsi="Arial" w:cs="Arial"/>
          <w:sz w:val="20"/>
          <w:szCs w:val="20"/>
        </w:rPr>
        <w:t xml:space="preserve">companies </w:t>
      </w:r>
      <w:r w:rsidR="00246185" w:rsidRPr="00B35881">
        <w:rPr>
          <w:rFonts w:ascii="Arial" w:hAnsi="Arial" w:cs="Arial"/>
          <w:sz w:val="20"/>
          <w:szCs w:val="20"/>
        </w:rPr>
        <w:t>are incorporated in the Cayman Islands, Bermuda or the PRC where the</w:t>
      </w:r>
      <w:r w:rsidR="006908E0" w:rsidRPr="00B35881">
        <w:rPr>
          <w:rFonts w:ascii="Arial" w:hAnsi="Arial" w:cs="Arial"/>
          <w:sz w:val="20"/>
          <w:szCs w:val="20"/>
        </w:rPr>
        <w:t>re is</w:t>
      </w:r>
      <w:r w:rsidR="00D4063F" w:rsidRPr="00B35881">
        <w:rPr>
          <w:rFonts w:ascii="Arial" w:hAnsi="Arial" w:cs="Arial"/>
          <w:sz w:val="20"/>
          <w:szCs w:val="20"/>
        </w:rPr>
        <w:t xml:space="preserve"> no prohibition on shareholders’</w:t>
      </w:r>
      <w:r w:rsidR="00246185" w:rsidRPr="00B35881">
        <w:rPr>
          <w:rFonts w:ascii="Arial" w:hAnsi="Arial" w:cs="Arial"/>
          <w:sz w:val="20"/>
          <w:szCs w:val="20"/>
        </w:rPr>
        <w:t xml:space="preserve"> consent</w:t>
      </w:r>
      <w:r w:rsidR="00D4063F" w:rsidRPr="00B35881">
        <w:rPr>
          <w:rFonts w:ascii="Arial" w:hAnsi="Arial" w:cs="Arial"/>
          <w:sz w:val="20"/>
          <w:szCs w:val="20"/>
        </w:rPr>
        <w:t xml:space="preserve"> being implied for the electronic dissemination of corporate communications</w:t>
      </w:r>
      <w:r w:rsidR="00246185" w:rsidRPr="00B35881">
        <w:rPr>
          <w:rFonts w:ascii="Arial" w:hAnsi="Arial" w:cs="Arial"/>
          <w:sz w:val="20"/>
          <w:szCs w:val="20"/>
        </w:rPr>
        <w:t>. H</w:t>
      </w:r>
      <w:r w:rsidR="00D4063F" w:rsidRPr="00B35881">
        <w:rPr>
          <w:rFonts w:ascii="Arial" w:hAnsi="Arial" w:cs="Arial"/>
          <w:sz w:val="20"/>
          <w:szCs w:val="20"/>
        </w:rPr>
        <w:t xml:space="preserve">ong Kong-incorporated </w:t>
      </w:r>
      <w:r w:rsidR="001C258C">
        <w:rPr>
          <w:rFonts w:ascii="Arial" w:hAnsi="Arial" w:cs="Arial"/>
          <w:sz w:val="20"/>
          <w:szCs w:val="20"/>
        </w:rPr>
        <w:t xml:space="preserve">companies </w:t>
      </w:r>
      <w:r w:rsidR="00D4063F" w:rsidRPr="00B35881">
        <w:rPr>
          <w:rFonts w:ascii="Arial" w:hAnsi="Arial" w:cs="Arial"/>
          <w:sz w:val="20"/>
          <w:szCs w:val="20"/>
        </w:rPr>
        <w:t>will not h</w:t>
      </w:r>
      <w:r w:rsidR="00246185" w:rsidRPr="00B35881">
        <w:rPr>
          <w:rFonts w:ascii="Arial" w:hAnsi="Arial" w:cs="Arial"/>
          <w:sz w:val="20"/>
          <w:szCs w:val="20"/>
        </w:rPr>
        <w:t>owever</w:t>
      </w:r>
      <w:r w:rsidR="00D4063F" w:rsidRPr="00B35881">
        <w:rPr>
          <w:rFonts w:ascii="Arial" w:hAnsi="Arial" w:cs="Arial"/>
          <w:sz w:val="20"/>
          <w:szCs w:val="20"/>
        </w:rPr>
        <w:t xml:space="preserve"> be able to rely on holders’ implied consent to receiving communications electronically as this is not currently permitted under the Hong Kong Companies Ordinance.</w:t>
      </w:r>
      <w:r w:rsidR="001C258C">
        <w:rPr>
          <w:rFonts w:ascii="Arial" w:hAnsi="Arial" w:cs="Arial"/>
          <w:sz w:val="20"/>
          <w:szCs w:val="20"/>
        </w:rPr>
        <w:t xml:space="preserve"> Hong Kong</w:t>
      </w:r>
      <w:r w:rsidR="001C258C" w:rsidRPr="00B35881">
        <w:rPr>
          <w:rFonts w:ascii="Arial" w:hAnsi="Arial" w:cs="Arial"/>
          <w:sz w:val="20"/>
          <w:szCs w:val="20"/>
        </w:rPr>
        <w:t>-incorporated</w:t>
      </w:r>
      <w:r w:rsidR="001C258C">
        <w:rPr>
          <w:rFonts w:ascii="Arial" w:hAnsi="Arial" w:cs="Arial"/>
          <w:sz w:val="20"/>
          <w:szCs w:val="20"/>
        </w:rPr>
        <w:t xml:space="preserve"> companies </w:t>
      </w:r>
      <w:r w:rsidR="008C5398" w:rsidRPr="00B35881">
        <w:rPr>
          <w:rFonts w:ascii="Arial" w:hAnsi="Arial" w:cs="Arial"/>
          <w:sz w:val="20"/>
          <w:szCs w:val="20"/>
        </w:rPr>
        <w:t xml:space="preserve">will therefore have to disseminate their corporate communications to their securities holders electronically in compliance with the requirements of sections 831, 833 and 837 of the Companies Ordinance. </w:t>
      </w:r>
      <w:r w:rsidR="00D64D40" w:rsidRPr="00B35881">
        <w:rPr>
          <w:rFonts w:ascii="Arial" w:hAnsi="Arial" w:cs="Arial"/>
          <w:sz w:val="20"/>
          <w:szCs w:val="20"/>
        </w:rPr>
        <w:t xml:space="preserve">The HKEX states in the Consultation </w:t>
      </w:r>
      <w:r w:rsidR="00962801" w:rsidRPr="00B35881">
        <w:rPr>
          <w:rFonts w:ascii="Arial" w:hAnsi="Arial" w:cs="Arial"/>
          <w:sz w:val="20"/>
          <w:szCs w:val="20"/>
        </w:rPr>
        <w:t>Conclusions</w:t>
      </w:r>
      <w:r w:rsidR="00D64D40" w:rsidRPr="00B35881">
        <w:rPr>
          <w:rFonts w:ascii="Arial" w:hAnsi="Arial" w:cs="Arial"/>
          <w:sz w:val="20"/>
          <w:szCs w:val="20"/>
        </w:rPr>
        <w:t xml:space="preserve"> that</w:t>
      </w:r>
      <w:r w:rsidR="00246185" w:rsidRPr="00B35881">
        <w:rPr>
          <w:rFonts w:ascii="Arial" w:hAnsi="Arial" w:cs="Arial"/>
          <w:sz w:val="20"/>
          <w:szCs w:val="20"/>
        </w:rPr>
        <w:t xml:space="preserve"> </w:t>
      </w:r>
      <w:r w:rsidR="00D64D40" w:rsidRPr="00B35881">
        <w:rPr>
          <w:rFonts w:ascii="Arial" w:hAnsi="Arial" w:cs="Arial"/>
          <w:sz w:val="20"/>
          <w:szCs w:val="20"/>
        </w:rPr>
        <w:t>it will work with relevant parties to give further consideration to the issue of implied consent for electronic dissemination of corporate communications by Hong Kong</w:t>
      </w:r>
      <w:r w:rsidR="001C258C">
        <w:rPr>
          <w:rFonts w:ascii="Arial" w:hAnsi="Arial" w:cs="Arial"/>
          <w:sz w:val="20"/>
          <w:szCs w:val="20"/>
        </w:rPr>
        <w:t>-incorporated companies</w:t>
      </w:r>
      <w:r w:rsidR="00D64D40" w:rsidRPr="00B35881">
        <w:rPr>
          <w:rFonts w:ascii="Arial" w:hAnsi="Arial" w:cs="Arial"/>
          <w:sz w:val="20"/>
          <w:szCs w:val="20"/>
        </w:rPr>
        <w:t xml:space="preserve">. </w:t>
      </w:r>
    </w:p>
    <w:p w:rsidR="00CF2A65" w:rsidRPr="000154BF" w:rsidRDefault="00C12EA1" w:rsidP="00C12EA1">
      <w:pPr>
        <w:jc w:val="both"/>
        <w:rPr>
          <w:rFonts w:ascii="Arial" w:hAnsi="Arial" w:cs="Arial"/>
          <w:sz w:val="20"/>
          <w:szCs w:val="20"/>
        </w:rPr>
      </w:pPr>
      <w:r w:rsidRPr="00B35881">
        <w:rPr>
          <w:rFonts w:ascii="Arial" w:hAnsi="Arial" w:cs="Arial"/>
          <w:sz w:val="20"/>
          <w:szCs w:val="20"/>
        </w:rPr>
        <w:lastRenderedPageBreak/>
        <w:t xml:space="preserve">The proposals </w:t>
      </w:r>
      <w:r w:rsidR="00830844" w:rsidRPr="00B35881">
        <w:rPr>
          <w:rFonts w:ascii="Arial" w:hAnsi="Arial" w:cs="Arial"/>
          <w:sz w:val="20"/>
          <w:szCs w:val="20"/>
        </w:rPr>
        <w:t>do not apply</w:t>
      </w:r>
      <w:r w:rsidRPr="00B35881">
        <w:rPr>
          <w:rFonts w:ascii="Arial" w:hAnsi="Arial" w:cs="Arial"/>
          <w:sz w:val="20"/>
          <w:szCs w:val="20"/>
        </w:rPr>
        <w:t xml:space="preserve"> to </w:t>
      </w:r>
      <w:r w:rsidR="00830844" w:rsidRPr="00B35881">
        <w:rPr>
          <w:rFonts w:ascii="Arial" w:hAnsi="Arial" w:cs="Arial"/>
          <w:sz w:val="20"/>
          <w:szCs w:val="20"/>
        </w:rPr>
        <w:t xml:space="preserve">the dissemination </w:t>
      </w:r>
      <w:r w:rsidRPr="00B35881">
        <w:rPr>
          <w:rFonts w:ascii="Arial" w:hAnsi="Arial" w:cs="Arial"/>
          <w:sz w:val="20"/>
          <w:szCs w:val="20"/>
        </w:rPr>
        <w:t xml:space="preserve">of corporate communications by intermediaries to beneficial holders of securities held in CCASS (other than </w:t>
      </w:r>
      <w:r w:rsidR="00385ADD">
        <w:rPr>
          <w:rFonts w:ascii="Arial" w:hAnsi="Arial" w:cs="Arial"/>
          <w:sz w:val="20"/>
          <w:szCs w:val="20"/>
        </w:rPr>
        <w:t>“</w:t>
      </w:r>
      <w:proofErr w:type="gramStart"/>
      <w:r w:rsidRPr="00B35881">
        <w:rPr>
          <w:rFonts w:ascii="Arial" w:hAnsi="Arial" w:cs="Arial"/>
          <w:sz w:val="20"/>
          <w:szCs w:val="20"/>
        </w:rPr>
        <w:t>Non Registered</w:t>
      </w:r>
      <w:proofErr w:type="gramEnd"/>
      <w:r w:rsidRPr="00B35881">
        <w:rPr>
          <w:rFonts w:ascii="Arial" w:hAnsi="Arial" w:cs="Arial"/>
          <w:sz w:val="20"/>
          <w:szCs w:val="20"/>
        </w:rPr>
        <w:t xml:space="preserve"> Holders</w:t>
      </w:r>
      <w:r w:rsidR="00385ADD">
        <w:rPr>
          <w:rFonts w:ascii="Arial" w:hAnsi="Arial" w:cs="Arial"/>
          <w:sz w:val="20"/>
          <w:szCs w:val="20"/>
        </w:rPr>
        <w:t>”</w:t>
      </w:r>
      <w:r w:rsidRPr="00B35881">
        <w:rPr>
          <w:rFonts w:ascii="Arial" w:hAnsi="Arial" w:cs="Arial"/>
          <w:sz w:val="20"/>
          <w:szCs w:val="20"/>
        </w:rPr>
        <w:t xml:space="preserve"> as defined in the </w:t>
      </w:r>
      <w:r w:rsidR="00830844" w:rsidRPr="00B35881">
        <w:rPr>
          <w:rFonts w:ascii="Arial" w:hAnsi="Arial" w:cs="Arial"/>
          <w:sz w:val="20"/>
          <w:szCs w:val="20"/>
        </w:rPr>
        <w:t xml:space="preserve">HKEX </w:t>
      </w:r>
      <w:r w:rsidRPr="00B35881">
        <w:rPr>
          <w:rFonts w:ascii="Arial" w:hAnsi="Arial" w:cs="Arial"/>
          <w:sz w:val="20"/>
          <w:szCs w:val="20"/>
        </w:rPr>
        <w:t>Listing Rules)</w:t>
      </w:r>
      <w:r w:rsidR="004970D3">
        <w:rPr>
          <w:rFonts w:ascii="Arial" w:hAnsi="Arial" w:cs="Arial"/>
          <w:sz w:val="20"/>
          <w:szCs w:val="20"/>
        </w:rPr>
        <w:t xml:space="preserve"> and </w:t>
      </w:r>
      <w:r w:rsidR="004970D3" w:rsidRPr="004970D3">
        <w:rPr>
          <w:rFonts w:ascii="Arial" w:hAnsi="Arial" w:cs="Arial"/>
          <w:sz w:val="20"/>
          <w:szCs w:val="20"/>
        </w:rPr>
        <w:t>current regulatory requirements on the distribution of chequ</w:t>
      </w:r>
      <w:r w:rsidR="00385ADD">
        <w:rPr>
          <w:rFonts w:ascii="Arial" w:hAnsi="Arial" w:cs="Arial"/>
          <w:sz w:val="20"/>
          <w:szCs w:val="20"/>
        </w:rPr>
        <w:t xml:space="preserve">es and documents of title, such as </w:t>
      </w:r>
      <w:r w:rsidR="004970D3" w:rsidRPr="004970D3">
        <w:rPr>
          <w:rFonts w:ascii="Arial" w:hAnsi="Arial" w:cs="Arial"/>
          <w:sz w:val="20"/>
          <w:szCs w:val="20"/>
        </w:rPr>
        <w:t>sha</w:t>
      </w:r>
      <w:r w:rsidR="00385ADD">
        <w:rPr>
          <w:rFonts w:ascii="Arial" w:hAnsi="Arial" w:cs="Arial"/>
          <w:sz w:val="20"/>
          <w:szCs w:val="20"/>
        </w:rPr>
        <w:t>re certificates</w:t>
      </w:r>
      <w:r w:rsidRPr="004970D3">
        <w:rPr>
          <w:rFonts w:ascii="Arial" w:hAnsi="Arial" w:cs="Arial"/>
          <w:sz w:val="20"/>
          <w:szCs w:val="20"/>
        </w:rPr>
        <w:t xml:space="preserve">. </w:t>
      </w:r>
    </w:p>
    <w:p w:rsidR="00936CBC" w:rsidRPr="00F01337" w:rsidRDefault="00936CBC" w:rsidP="00936CBC">
      <w:pPr>
        <w:jc w:val="both"/>
        <w:rPr>
          <w:rFonts w:ascii="Arial" w:hAnsi="Arial" w:cs="Arial"/>
          <w:b/>
          <w:color w:val="FF0000"/>
          <w:sz w:val="20"/>
          <w:szCs w:val="20"/>
        </w:rPr>
      </w:pPr>
      <w:r w:rsidRPr="00F01337">
        <w:rPr>
          <w:rFonts w:ascii="Arial" w:hAnsi="Arial" w:cs="Arial"/>
          <w:b/>
          <w:color w:val="FF0000"/>
          <w:sz w:val="20"/>
          <w:szCs w:val="20"/>
        </w:rPr>
        <w:t xml:space="preserve">Transitional Arrangements </w:t>
      </w:r>
    </w:p>
    <w:p w:rsidR="00936CBC" w:rsidRPr="00B35881" w:rsidRDefault="00F01337" w:rsidP="00936CBC">
      <w:pPr>
        <w:jc w:val="both"/>
        <w:rPr>
          <w:rFonts w:ascii="Arial" w:hAnsi="Arial" w:cs="Arial"/>
          <w:sz w:val="20"/>
          <w:szCs w:val="20"/>
        </w:rPr>
      </w:pPr>
      <w:r>
        <w:rPr>
          <w:rFonts w:ascii="Arial" w:hAnsi="Arial" w:cs="Arial"/>
          <w:sz w:val="20"/>
          <w:szCs w:val="20"/>
        </w:rPr>
        <w:t>Before the revised Listing Rules take effect on 31 December 2023, companies</w:t>
      </w:r>
      <w:r w:rsidRPr="00B35881">
        <w:rPr>
          <w:rFonts w:ascii="Arial" w:hAnsi="Arial" w:cs="Arial"/>
          <w:sz w:val="20"/>
          <w:szCs w:val="20"/>
        </w:rPr>
        <w:t xml:space="preserve"> </w:t>
      </w:r>
      <w:r>
        <w:rPr>
          <w:rFonts w:ascii="Arial" w:hAnsi="Arial" w:cs="Arial"/>
          <w:sz w:val="20"/>
          <w:szCs w:val="20"/>
        </w:rPr>
        <w:t xml:space="preserve">already </w:t>
      </w:r>
      <w:r w:rsidR="00936CBC" w:rsidRPr="00B35881">
        <w:rPr>
          <w:rFonts w:ascii="Arial" w:hAnsi="Arial" w:cs="Arial"/>
          <w:sz w:val="20"/>
          <w:szCs w:val="20"/>
        </w:rPr>
        <w:t xml:space="preserve">listed </w:t>
      </w:r>
      <w:r>
        <w:rPr>
          <w:rFonts w:ascii="Arial" w:hAnsi="Arial" w:cs="Arial"/>
          <w:sz w:val="20"/>
          <w:szCs w:val="20"/>
        </w:rPr>
        <w:t xml:space="preserve">on the HKEX </w:t>
      </w:r>
      <w:r w:rsidR="00936CBC" w:rsidRPr="00B35881">
        <w:rPr>
          <w:rFonts w:ascii="Arial" w:hAnsi="Arial" w:cs="Arial"/>
          <w:sz w:val="20"/>
          <w:szCs w:val="20"/>
        </w:rPr>
        <w:t xml:space="preserve">and </w:t>
      </w:r>
      <w:r>
        <w:rPr>
          <w:rFonts w:ascii="Arial" w:hAnsi="Arial" w:cs="Arial"/>
          <w:sz w:val="20"/>
          <w:szCs w:val="20"/>
        </w:rPr>
        <w:t xml:space="preserve">new </w:t>
      </w:r>
      <w:r w:rsidR="00936CBC" w:rsidRPr="00B35881">
        <w:rPr>
          <w:rFonts w:ascii="Arial" w:hAnsi="Arial" w:cs="Arial"/>
          <w:sz w:val="20"/>
          <w:szCs w:val="20"/>
        </w:rPr>
        <w:t xml:space="preserve">listing applicants </w:t>
      </w:r>
      <w:r>
        <w:rPr>
          <w:rFonts w:ascii="Arial" w:hAnsi="Arial" w:cs="Arial"/>
          <w:sz w:val="20"/>
          <w:szCs w:val="20"/>
        </w:rPr>
        <w:t xml:space="preserve">must </w:t>
      </w:r>
      <w:r w:rsidR="00936CBC" w:rsidRPr="00B35881">
        <w:rPr>
          <w:rFonts w:ascii="Arial" w:hAnsi="Arial" w:cs="Arial"/>
          <w:sz w:val="20"/>
          <w:szCs w:val="20"/>
        </w:rPr>
        <w:t xml:space="preserve">examine their constitutional documents to ensure </w:t>
      </w:r>
      <w:r>
        <w:rPr>
          <w:rFonts w:ascii="Arial" w:hAnsi="Arial" w:cs="Arial"/>
          <w:sz w:val="20"/>
          <w:szCs w:val="20"/>
        </w:rPr>
        <w:t xml:space="preserve">they do not </w:t>
      </w:r>
      <w:r w:rsidR="00936CBC" w:rsidRPr="00B35881">
        <w:rPr>
          <w:rFonts w:ascii="Arial" w:hAnsi="Arial" w:cs="Arial"/>
          <w:sz w:val="20"/>
          <w:szCs w:val="20"/>
        </w:rPr>
        <w:t>restrict</w:t>
      </w:r>
      <w:r>
        <w:rPr>
          <w:rFonts w:ascii="Arial" w:hAnsi="Arial" w:cs="Arial"/>
          <w:sz w:val="20"/>
          <w:szCs w:val="20"/>
        </w:rPr>
        <w:t xml:space="preserve"> their compliance with the new requirement</w:t>
      </w:r>
      <w:r w:rsidR="00936CBC" w:rsidRPr="00B35881">
        <w:rPr>
          <w:rFonts w:ascii="Arial" w:hAnsi="Arial" w:cs="Arial"/>
          <w:sz w:val="20"/>
          <w:szCs w:val="20"/>
        </w:rPr>
        <w:t xml:space="preserve"> to disseminate corporate information </w:t>
      </w:r>
      <w:r w:rsidRPr="00B35881">
        <w:rPr>
          <w:rFonts w:ascii="Arial" w:hAnsi="Arial" w:cs="Arial"/>
          <w:sz w:val="20"/>
          <w:szCs w:val="20"/>
        </w:rPr>
        <w:t>electronic</w:t>
      </w:r>
      <w:r>
        <w:rPr>
          <w:rFonts w:ascii="Arial" w:hAnsi="Arial" w:cs="Arial"/>
          <w:sz w:val="20"/>
          <w:szCs w:val="20"/>
        </w:rPr>
        <w:t>ally</w:t>
      </w:r>
      <w:r w:rsidRPr="00B35881">
        <w:rPr>
          <w:rFonts w:ascii="Arial" w:hAnsi="Arial" w:cs="Arial"/>
          <w:sz w:val="20"/>
          <w:szCs w:val="20"/>
        </w:rPr>
        <w:t xml:space="preserve"> </w:t>
      </w:r>
      <w:r w:rsidR="00936CBC" w:rsidRPr="00B35881">
        <w:rPr>
          <w:rFonts w:ascii="Arial" w:hAnsi="Arial" w:cs="Arial"/>
          <w:sz w:val="20"/>
          <w:szCs w:val="20"/>
        </w:rPr>
        <w:t>to their security holders.</w:t>
      </w:r>
    </w:p>
    <w:p w:rsidR="00936CBC" w:rsidRPr="00B35881" w:rsidRDefault="00F01337" w:rsidP="00936CBC">
      <w:pPr>
        <w:jc w:val="both"/>
        <w:rPr>
          <w:rFonts w:ascii="Arial" w:hAnsi="Arial" w:cs="Arial"/>
          <w:sz w:val="20"/>
          <w:szCs w:val="20"/>
        </w:rPr>
      </w:pPr>
      <w:r>
        <w:rPr>
          <w:rFonts w:ascii="Arial" w:hAnsi="Arial" w:cs="Arial"/>
          <w:sz w:val="20"/>
          <w:szCs w:val="20"/>
        </w:rPr>
        <w:t xml:space="preserve">Listed companies and listing applicants will only need to amend their </w:t>
      </w:r>
      <w:r w:rsidR="00936CBC" w:rsidRPr="00B35881">
        <w:rPr>
          <w:rFonts w:ascii="Arial" w:hAnsi="Arial" w:cs="Arial"/>
          <w:sz w:val="20"/>
          <w:szCs w:val="20"/>
        </w:rPr>
        <w:t xml:space="preserve">constitutional documents </w:t>
      </w:r>
      <w:r>
        <w:rPr>
          <w:rFonts w:ascii="Arial" w:hAnsi="Arial" w:cs="Arial"/>
          <w:sz w:val="20"/>
          <w:szCs w:val="20"/>
        </w:rPr>
        <w:t xml:space="preserve">if they restrict compliance with the electronic dissemination requirement for </w:t>
      </w:r>
      <w:r w:rsidRPr="00B35881">
        <w:rPr>
          <w:rFonts w:ascii="Arial" w:hAnsi="Arial" w:cs="Arial"/>
          <w:sz w:val="20"/>
          <w:szCs w:val="20"/>
        </w:rPr>
        <w:t>corporate communications</w:t>
      </w:r>
      <w:r>
        <w:rPr>
          <w:rFonts w:ascii="Arial" w:hAnsi="Arial" w:cs="Arial"/>
          <w:sz w:val="20"/>
          <w:szCs w:val="20"/>
        </w:rPr>
        <w:t>, for example by mandating</w:t>
      </w:r>
      <w:r w:rsidR="00936CBC" w:rsidRPr="00B35881">
        <w:rPr>
          <w:rFonts w:ascii="Arial" w:hAnsi="Arial" w:cs="Arial"/>
          <w:sz w:val="20"/>
          <w:szCs w:val="20"/>
        </w:rPr>
        <w:t xml:space="preserve"> </w:t>
      </w:r>
      <w:r>
        <w:rPr>
          <w:rFonts w:ascii="Arial" w:hAnsi="Arial" w:cs="Arial"/>
          <w:sz w:val="20"/>
          <w:szCs w:val="20"/>
        </w:rPr>
        <w:t xml:space="preserve">hardcopy dissemination as the only permitted means of disseminating </w:t>
      </w:r>
      <w:r w:rsidRPr="00B35881">
        <w:rPr>
          <w:rFonts w:ascii="Arial" w:hAnsi="Arial" w:cs="Arial"/>
          <w:sz w:val="20"/>
          <w:szCs w:val="20"/>
        </w:rPr>
        <w:t>corporate communications</w:t>
      </w:r>
      <w:r w:rsidR="00936CBC" w:rsidRPr="00B35881">
        <w:rPr>
          <w:rFonts w:ascii="Arial" w:hAnsi="Arial" w:cs="Arial"/>
          <w:sz w:val="20"/>
          <w:szCs w:val="20"/>
        </w:rPr>
        <w:t xml:space="preserve">. However, if </w:t>
      </w:r>
      <w:r>
        <w:rPr>
          <w:rFonts w:ascii="Arial" w:hAnsi="Arial" w:cs="Arial"/>
          <w:sz w:val="20"/>
          <w:szCs w:val="20"/>
        </w:rPr>
        <w:t>the restriction</w:t>
      </w:r>
      <w:r w:rsidR="00936CBC" w:rsidRPr="00B35881">
        <w:rPr>
          <w:rFonts w:ascii="Arial" w:hAnsi="Arial" w:cs="Arial"/>
          <w:sz w:val="20"/>
          <w:szCs w:val="20"/>
        </w:rPr>
        <w:t xml:space="preserve"> </w:t>
      </w:r>
      <w:r>
        <w:rPr>
          <w:rFonts w:ascii="Arial" w:hAnsi="Arial" w:cs="Arial"/>
          <w:sz w:val="20"/>
          <w:szCs w:val="20"/>
        </w:rPr>
        <w:t>arises from a requirement</w:t>
      </w:r>
      <w:r w:rsidR="00936CBC" w:rsidRPr="00B35881">
        <w:rPr>
          <w:rFonts w:ascii="Arial" w:hAnsi="Arial" w:cs="Arial"/>
          <w:sz w:val="20"/>
          <w:szCs w:val="20"/>
        </w:rPr>
        <w:t xml:space="preserve"> under the </w:t>
      </w:r>
      <w:r w:rsidR="00187DFE">
        <w:rPr>
          <w:rFonts w:ascii="Arial" w:hAnsi="Arial" w:cs="Arial"/>
          <w:sz w:val="20"/>
          <w:szCs w:val="20"/>
        </w:rPr>
        <w:t>l</w:t>
      </w:r>
      <w:r w:rsidR="00936CBC" w:rsidRPr="00B35881">
        <w:rPr>
          <w:rFonts w:ascii="Arial" w:hAnsi="Arial" w:cs="Arial"/>
          <w:sz w:val="20"/>
          <w:szCs w:val="20"/>
        </w:rPr>
        <w:t>aws and regulations</w:t>
      </w:r>
      <w:r w:rsidR="000154BF">
        <w:rPr>
          <w:rFonts w:ascii="Arial" w:hAnsi="Arial" w:cs="Arial"/>
          <w:sz w:val="20"/>
          <w:szCs w:val="20"/>
        </w:rPr>
        <w:t xml:space="preserve"> </w:t>
      </w:r>
      <w:r w:rsidR="00187DFE">
        <w:rPr>
          <w:rFonts w:ascii="Arial" w:hAnsi="Arial" w:cs="Arial"/>
          <w:sz w:val="20"/>
          <w:szCs w:val="20"/>
        </w:rPr>
        <w:t>to which the listed company or listing applicant is subject</w:t>
      </w:r>
      <w:r w:rsidR="00936CBC" w:rsidRPr="00064C07">
        <w:rPr>
          <w:rFonts w:ascii="Arial" w:hAnsi="Arial" w:cs="Arial"/>
          <w:sz w:val="20"/>
          <w:szCs w:val="20"/>
        </w:rPr>
        <w:t xml:space="preserve">, the </w:t>
      </w:r>
      <w:r w:rsidR="00187DFE">
        <w:rPr>
          <w:rFonts w:ascii="Arial" w:hAnsi="Arial" w:cs="Arial"/>
          <w:sz w:val="20"/>
          <w:szCs w:val="20"/>
        </w:rPr>
        <w:t xml:space="preserve">listed company or applicant will only need to amend its </w:t>
      </w:r>
      <w:r w:rsidR="00187DFE" w:rsidRPr="00B35881">
        <w:rPr>
          <w:rFonts w:ascii="Arial" w:hAnsi="Arial" w:cs="Arial"/>
          <w:sz w:val="20"/>
          <w:szCs w:val="20"/>
        </w:rPr>
        <w:t xml:space="preserve">constitutional documents </w:t>
      </w:r>
      <w:r w:rsidR="00187DFE">
        <w:rPr>
          <w:rFonts w:ascii="Arial" w:hAnsi="Arial" w:cs="Arial"/>
          <w:sz w:val="20"/>
          <w:szCs w:val="20"/>
        </w:rPr>
        <w:t>when the restriction is</w:t>
      </w:r>
      <w:r w:rsidR="00936CBC" w:rsidRPr="00B35881">
        <w:rPr>
          <w:rFonts w:ascii="Arial" w:hAnsi="Arial" w:cs="Arial"/>
          <w:sz w:val="20"/>
          <w:szCs w:val="20"/>
        </w:rPr>
        <w:t xml:space="preserve"> removed</w:t>
      </w:r>
      <w:r w:rsidR="00187DFE">
        <w:rPr>
          <w:rFonts w:ascii="Arial" w:hAnsi="Arial" w:cs="Arial"/>
          <w:sz w:val="20"/>
          <w:szCs w:val="20"/>
        </w:rPr>
        <w:t xml:space="preserve"> from the applicable l</w:t>
      </w:r>
      <w:r w:rsidR="00187DFE" w:rsidRPr="00B35881">
        <w:rPr>
          <w:rFonts w:ascii="Arial" w:hAnsi="Arial" w:cs="Arial"/>
          <w:sz w:val="20"/>
          <w:szCs w:val="20"/>
        </w:rPr>
        <w:t>aws and regulations</w:t>
      </w:r>
      <w:r w:rsidR="00936CBC" w:rsidRPr="00B35881">
        <w:rPr>
          <w:rFonts w:ascii="Arial" w:hAnsi="Arial" w:cs="Arial"/>
          <w:sz w:val="20"/>
          <w:szCs w:val="20"/>
        </w:rPr>
        <w:t>.</w:t>
      </w:r>
    </w:p>
    <w:p w:rsidR="00936CBC" w:rsidRPr="00B35881" w:rsidRDefault="00936CBC" w:rsidP="00936CBC">
      <w:pPr>
        <w:jc w:val="both"/>
        <w:rPr>
          <w:rFonts w:ascii="Arial" w:hAnsi="Arial" w:cs="Arial"/>
          <w:sz w:val="20"/>
          <w:szCs w:val="20"/>
        </w:rPr>
      </w:pPr>
      <w:r w:rsidRPr="00B35881">
        <w:rPr>
          <w:rFonts w:ascii="Arial" w:hAnsi="Arial" w:cs="Arial"/>
          <w:sz w:val="20"/>
          <w:szCs w:val="20"/>
        </w:rPr>
        <w:t xml:space="preserve">In view of the above, the HKEX </w:t>
      </w:r>
      <w:r w:rsidR="00187DFE">
        <w:rPr>
          <w:rFonts w:ascii="Arial" w:hAnsi="Arial" w:cs="Arial"/>
          <w:sz w:val="20"/>
          <w:szCs w:val="20"/>
        </w:rPr>
        <w:t xml:space="preserve">will implement the following </w:t>
      </w:r>
      <w:r w:rsidRPr="00B35881">
        <w:rPr>
          <w:rFonts w:ascii="Arial" w:hAnsi="Arial" w:cs="Arial"/>
          <w:sz w:val="20"/>
          <w:szCs w:val="20"/>
        </w:rPr>
        <w:t xml:space="preserve">transitional arrangements for </w:t>
      </w:r>
      <w:r w:rsidR="00187DFE">
        <w:rPr>
          <w:rFonts w:ascii="Arial" w:hAnsi="Arial" w:cs="Arial"/>
          <w:sz w:val="20"/>
          <w:szCs w:val="20"/>
        </w:rPr>
        <w:t xml:space="preserve">HKEX-listed companies that need to </w:t>
      </w:r>
      <w:r w:rsidRPr="00B35881">
        <w:rPr>
          <w:rFonts w:ascii="Arial" w:hAnsi="Arial" w:cs="Arial"/>
          <w:sz w:val="20"/>
          <w:szCs w:val="20"/>
        </w:rPr>
        <w:t xml:space="preserve">amend their constitutional documents:  </w:t>
      </w:r>
    </w:p>
    <w:p w:rsidR="00936CBC" w:rsidRPr="00D86CAE" w:rsidRDefault="00187DFE" w:rsidP="00936CBC">
      <w:pPr>
        <w:pStyle w:val="a7"/>
        <w:numPr>
          <w:ilvl w:val="0"/>
          <w:numId w:val="16"/>
        </w:numPr>
        <w:jc w:val="both"/>
        <w:rPr>
          <w:rFonts w:ascii="Arial" w:hAnsi="Arial" w:cs="Arial"/>
          <w:sz w:val="20"/>
          <w:szCs w:val="20"/>
        </w:rPr>
      </w:pPr>
      <w:r>
        <w:rPr>
          <w:rFonts w:ascii="Arial" w:hAnsi="Arial" w:cs="Arial"/>
          <w:sz w:val="20"/>
          <w:szCs w:val="20"/>
        </w:rPr>
        <w:t xml:space="preserve">listed companies that are </w:t>
      </w:r>
      <w:r w:rsidR="00936CBC" w:rsidRPr="00B35881">
        <w:rPr>
          <w:rFonts w:ascii="Arial" w:hAnsi="Arial" w:cs="Arial"/>
          <w:sz w:val="20"/>
          <w:szCs w:val="20"/>
        </w:rPr>
        <w:t xml:space="preserve">not </w:t>
      </w:r>
      <w:r>
        <w:rPr>
          <w:rFonts w:ascii="Arial" w:hAnsi="Arial" w:cs="Arial"/>
          <w:sz w:val="20"/>
          <w:szCs w:val="20"/>
        </w:rPr>
        <w:t xml:space="preserve">prevented from electronically disseminating their corporate communications </w:t>
      </w:r>
      <w:r w:rsidR="00936CBC" w:rsidRPr="00B35881">
        <w:rPr>
          <w:rFonts w:ascii="Arial" w:hAnsi="Arial" w:cs="Arial"/>
          <w:sz w:val="20"/>
          <w:szCs w:val="20"/>
        </w:rPr>
        <w:t xml:space="preserve">by applicable laws and regulations will </w:t>
      </w:r>
      <w:r>
        <w:rPr>
          <w:rFonts w:ascii="Arial" w:hAnsi="Arial" w:cs="Arial"/>
          <w:sz w:val="20"/>
          <w:szCs w:val="20"/>
        </w:rPr>
        <w:t xml:space="preserve">have until </w:t>
      </w:r>
      <w:r w:rsidRPr="00187DFE">
        <w:rPr>
          <w:rFonts w:ascii="Arial" w:hAnsi="Arial" w:cs="Arial"/>
          <w:b/>
          <w:sz w:val="20"/>
          <w:szCs w:val="20"/>
        </w:rPr>
        <w:t>their first annual general meeting after 31 December 2023</w:t>
      </w:r>
      <w:r>
        <w:rPr>
          <w:rFonts w:ascii="Arial" w:hAnsi="Arial" w:cs="Arial"/>
          <w:sz w:val="20"/>
          <w:szCs w:val="20"/>
        </w:rPr>
        <w:t xml:space="preserve"> </w:t>
      </w:r>
      <w:r w:rsidR="00936CBC" w:rsidRPr="00B35881">
        <w:rPr>
          <w:rFonts w:ascii="Arial" w:hAnsi="Arial" w:cs="Arial"/>
          <w:sz w:val="20"/>
          <w:szCs w:val="20"/>
        </w:rPr>
        <w:t xml:space="preserve">to make </w:t>
      </w:r>
      <w:r>
        <w:rPr>
          <w:rFonts w:ascii="Arial" w:hAnsi="Arial" w:cs="Arial"/>
          <w:sz w:val="20"/>
          <w:szCs w:val="20"/>
        </w:rPr>
        <w:t xml:space="preserve">the </w:t>
      </w:r>
      <w:r w:rsidR="00936CBC" w:rsidRPr="00B35881">
        <w:rPr>
          <w:rFonts w:ascii="Arial" w:hAnsi="Arial" w:cs="Arial"/>
          <w:sz w:val="20"/>
          <w:szCs w:val="20"/>
        </w:rPr>
        <w:t xml:space="preserve">necessary </w:t>
      </w:r>
      <w:r>
        <w:rPr>
          <w:rFonts w:ascii="Arial" w:hAnsi="Arial" w:cs="Arial"/>
          <w:sz w:val="20"/>
          <w:szCs w:val="20"/>
        </w:rPr>
        <w:t xml:space="preserve">changes </w:t>
      </w:r>
      <w:r w:rsidR="00936CBC" w:rsidRPr="00B35881">
        <w:rPr>
          <w:rFonts w:ascii="Arial" w:hAnsi="Arial" w:cs="Arial"/>
          <w:sz w:val="20"/>
          <w:szCs w:val="20"/>
        </w:rPr>
        <w:t>to their constitutional documents in</w:t>
      </w:r>
      <w:r w:rsidR="00936CBC" w:rsidRPr="00064C07">
        <w:rPr>
          <w:rFonts w:ascii="Arial" w:hAnsi="Arial" w:cs="Arial"/>
          <w:sz w:val="20"/>
          <w:szCs w:val="20"/>
        </w:rPr>
        <w:t xml:space="preserve">; and </w:t>
      </w:r>
    </w:p>
    <w:p w:rsidR="00936CBC" w:rsidRPr="00D86CAE" w:rsidRDefault="00936CBC" w:rsidP="00936CBC">
      <w:pPr>
        <w:pStyle w:val="a7"/>
        <w:jc w:val="both"/>
        <w:rPr>
          <w:rFonts w:ascii="Arial" w:hAnsi="Arial" w:cs="Arial"/>
          <w:sz w:val="20"/>
          <w:szCs w:val="20"/>
        </w:rPr>
      </w:pPr>
    </w:p>
    <w:p w:rsidR="00936CBC" w:rsidRPr="002A0E07" w:rsidRDefault="00A247E6">
      <w:pPr>
        <w:pStyle w:val="a7"/>
        <w:numPr>
          <w:ilvl w:val="0"/>
          <w:numId w:val="16"/>
        </w:numPr>
        <w:jc w:val="both"/>
        <w:rPr>
          <w:rFonts w:ascii="Arial" w:hAnsi="Arial" w:cs="Arial"/>
          <w:sz w:val="20"/>
          <w:szCs w:val="20"/>
        </w:rPr>
      </w:pPr>
      <w:r>
        <w:rPr>
          <w:rFonts w:ascii="Arial" w:hAnsi="Arial" w:cs="Arial"/>
          <w:sz w:val="20"/>
          <w:szCs w:val="20"/>
        </w:rPr>
        <w:t>f</w:t>
      </w:r>
      <w:r w:rsidR="00936CBC" w:rsidRPr="00B35881">
        <w:rPr>
          <w:rFonts w:ascii="Arial" w:hAnsi="Arial" w:cs="Arial"/>
          <w:sz w:val="20"/>
          <w:szCs w:val="20"/>
        </w:rPr>
        <w:t xml:space="preserve">or issuers that are unable to comply with the requirements due to the restriction under applicable laws and regulations, the issuers would have until the first annual general meeting following the </w:t>
      </w:r>
      <w:r w:rsidR="002A0E07">
        <w:rPr>
          <w:rFonts w:ascii="Arial" w:hAnsi="Arial" w:cs="Arial"/>
          <w:sz w:val="20"/>
          <w:szCs w:val="20"/>
        </w:rPr>
        <w:t xml:space="preserve">date on which </w:t>
      </w:r>
      <w:r w:rsidR="002A0E07" w:rsidRPr="002A0E07">
        <w:rPr>
          <w:rFonts w:ascii="Arial" w:hAnsi="Arial" w:cs="Arial"/>
          <w:sz w:val="20"/>
          <w:szCs w:val="20"/>
        </w:rPr>
        <w:t xml:space="preserve">the relevant </w:t>
      </w:r>
      <w:r w:rsidR="002A0E07" w:rsidRPr="00683A11">
        <w:rPr>
          <w:rFonts w:ascii="Arial" w:hAnsi="Arial" w:cs="Arial"/>
          <w:sz w:val="20"/>
          <w:szCs w:val="20"/>
        </w:rPr>
        <w:t xml:space="preserve">restrictions are removed from </w:t>
      </w:r>
      <w:r w:rsidR="00936CBC" w:rsidRPr="002A0E07">
        <w:rPr>
          <w:rFonts w:ascii="Arial" w:hAnsi="Arial" w:cs="Arial"/>
          <w:sz w:val="20"/>
          <w:szCs w:val="20"/>
        </w:rPr>
        <w:t xml:space="preserve">applicable laws and regulations to make necessary amendments.  </w:t>
      </w:r>
    </w:p>
    <w:p w:rsidR="00936CBC" w:rsidRPr="00B35881" w:rsidRDefault="00936CBC" w:rsidP="00C12EA1">
      <w:pPr>
        <w:jc w:val="both"/>
        <w:rPr>
          <w:rFonts w:ascii="Arial" w:hAnsi="Arial" w:cs="Arial"/>
          <w:sz w:val="20"/>
          <w:szCs w:val="20"/>
        </w:rPr>
      </w:pPr>
      <w:r w:rsidRPr="00B35881">
        <w:rPr>
          <w:rFonts w:ascii="Arial" w:hAnsi="Arial" w:cs="Arial"/>
          <w:sz w:val="20"/>
          <w:szCs w:val="20"/>
        </w:rPr>
        <w:t xml:space="preserve">Regarding listing applicants that are to be listed on the HKEX on or after 31 December 2023, they are expected to comply with the new rules upon listing to the extent permitted under their applicable laws and regulations. </w:t>
      </w:r>
    </w:p>
    <w:p w:rsidR="00BA1196" w:rsidRPr="00B35881" w:rsidRDefault="00BA1196" w:rsidP="006104C5">
      <w:pPr>
        <w:jc w:val="both"/>
        <w:rPr>
          <w:rFonts w:ascii="Arial" w:hAnsi="Arial" w:cs="Arial"/>
          <w:b/>
          <w:sz w:val="20"/>
          <w:szCs w:val="20"/>
        </w:rPr>
      </w:pPr>
      <w:r w:rsidRPr="00B35881">
        <w:rPr>
          <w:rFonts w:ascii="Arial" w:hAnsi="Arial" w:cs="Arial"/>
          <w:b/>
          <w:sz w:val="20"/>
          <w:szCs w:val="20"/>
        </w:rPr>
        <w:t>Actionable Corporate Communications</w:t>
      </w:r>
    </w:p>
    <w:p w:rsidR="00BA1196" w:rsidRPr="00B35881" w:rsidRDefault="0034176F" w:rsidP="006104C5">
      <w:pPr>
        <w:jc w:val="both"/>
        <w:rPr>
          <w:rFonts w:ascii="Arial" w:hAnsi="Arial" w:cs="Arial"/>
          <w:sz w:val="20"/>
          <w:szCs w:val="20"/>
        </w:rPr>
      </w:pPr>
      <w:r w:rsidRPr="00B35881">
        <w:rPr>
          <w:rFonts w:ascii="Arial" w:hAnsi="Arial" w:cs="Arial"/>
          <w:sz w:val="20"/>
          <w:szCs w:val="20"/>
        </w:rPr>
        <w:t xml:space="preserve">Corporate communications that seek instructions from an issuer’s securities holders on how they wish to exercise their rights </w:t>
      </w:r>
      <w:r w:rsidR="006A48B3" w:rsidRPr="00B35881">
        <w:rPr>
          <w:rFonts w:ascii="Arial" w:hAnsi="Arial" w:cs="Arial"/>
          <w:sz w:val="20"/>
          <w:szCs w:val="20"/>
        </w:rPr>
        <w:t xml:space="preserve">or make an election </w:t>
      </w:r>
      <w:r w:rsidRPr="00B35881">
        <w:rPr>
          <w:rFonts w:ascii="Arial" w:hAnsi="Arial" w:cs="Arial"/>
          <w:sz w:val="20"/>
          <w:szCs w:val="20"/>
        </w:rPr>
        <w:t>as the issuer’s securities holders (</w:t>
      </w:r>
      <w:r w:rsidRPr="00B35881">
        <w:rPr>
          <w:rFonts w:ascii="Arial" w:hAnsi="Arial" w:cs="Arial"/>
          <w:b/>
          <w:sz w:val="20"/>
          <w:szCs w:val="20"/>
        </w:rPr>
        <w:t>Actionable Corporate Communications</w:t>
      </w:r>
      <w:r w:rsidR="00F66116">
        <w:rPr>
          <w:rFonts w:ascii="Arial" w:hAnsi="Arial" w:cs="Arial"/>
          <w:sz w:val="20"/>
          <w:szCs w:val="20"/>
        </w:rPr>
        <w:t>) will</w:t>
      </w:r>
      <w:r w:rsidRPr="00B35881">
        <w:rPr>
          <w:rFonts w:ascii="Arial" w:hAnsi="Arial" w:cs="Arial"/>
          <w:sz w:val="20"/>
          <w:szCs w:val="20"/>
        </w:rPr>
        <w:t xml:space="preserve"> have to be sent </w:t>
      </w:r>
      <w:r w:rsidR="00BA1196" w:rsidRPr="00B35881">
        <w:rPr>
          <w:rFonts w:ascii="Arial" w:hAnsi="Arial" w:cs="Arial"/>
          <w:sz w:val="20"/>
          <w:szCs w:val="20"/>
        </w:rPr>
        <w:t xml:space="preserve">to each securities holder in electronic form </w:t>
      </w:r>
      <w:r w:rsidR="00D42C5A" w:rsidRPr="00B35881">
        <w:rPr>
          <w:rFonts w:ascii="Arial" w:hAnsi="Arial" w:cs="Arial"/>
          <w:sz w:val="20"/>
          <w:szCs w:val="20"/>
        </w:rPr>
        <w:t>(e.g. by email, with weblinks to the relevant Actionable C</w:t>
      </w:r>
      <w:r w:rsidR="00FF1518" w:rsidRPr="00B35881">
        <w:rPr>
          <w:rFonts w:ascii="Arial" w:hAnsi="Arial" w:cs="Arial"/>
          <w:sz w:val="20"/>
          <w:szCs w:val="20"/>
        </w:rPr>
        <w:t>orporate Communications on the issuer’s</w:t>
      </w:r>
      <w:r w:rsidR="00D42C5A" w:rsidRPr="00B35881">
        <w:rPr>
          <w:rFonts w:ascii="Arial" w:hAnsi="Arial" w:cs="Arial"/>
          <w:sz w:val="20"/>
          <w:szCs w:val="20"/>
        </w:rPr>
        <w:t xml:space="preserve"> website) </w:t>
      </w:r>
      <w:r w:rsidR="00FF1518" w:rsidRPr="00B35881">
        <w:rPr>
          <w:rFonts w:ascii="Arial" w:hAnsi="Arial" w:cs="Arial"/>
          <w:sz w:val="20"/>
          <w:szCs w:val="20"/>
        </w:rPr>
        <w:t>to the extent permitted by the laws and regulations applicable to the issuer and its constitutional documents. I</w:t>
      </w:r>
      <w:r w:rsidR="00BA1196" w:rsidRPr="00B35881">
        <w:rPr>
          <w:rFonts w:ascii="Arial" w:hAnsi="Arial" w:cs="Arial"/>
          <w:sz w:val="20"/>
          <w:szCs w:val="20"/>
        </w:rPr>
        <w:t xml:space="preserve">f </w:t>
      </w:r>
      <w:r w:rsidR="00FF1518" w:rsidRPr="00B35881">
        <w:rPr>
          <w:rFonts w:ascii="Arial" w:hAnsi="Arial" w:cs="Arial"/>
          <w:sz w:val="20"/>
          <w:szCs w:val="20"/>
        </w:rPr>
        <w:t xml:space="preserve">a listed issuer does not have </w:t>
      </w:r>
      <w:r w:rsidR="002836AA">
        <w:rPr>
          <w:rFonts w:ascii="Arial" w:hAnsi="Arial" w:cs="Arial"/>
          <w:sz w:val="20"/>
          <w:szCs w:val="20"/>
        </w:rPr>
        <w:t xml:space="preserve">the </w:t>
      </w:r>
      <w:r w:rsidR="00BA1196" w:rsidRPr="00B35881">
        <w:rPr>
          <w:rFonts w:ascii="Arial" w:hAnsi="Arial" w:cs="Arial"/>
          <w:sz w:val="20"/>
          <w:szCs w:val="20"/>
        </w:rPr>
        <w:t xml:space="preserve">functional </w:t>
      </w:r>
      <w:r w:rsidR="00E53D65" w:rsidRPr="00B35881">
        <w:rPr>
          <w:rFonts w:ascii="Arial" w:hAnsi="Arial" w:cs="Arial"/>
          <w:sz w:val="20"/>
          <w:szCs w:val="20"/>
        </w:rPr>
        <w:t xml:space="preserve">electronic </w:t>
      </w:r>
      <w:r w:rsidR="00BA1196" w:rsidRPr="00B35881">
        <w:rPr>
          <w:rFonts w:ascii="Arial" w:hAnsi="Arial" w:cs="Arial"/>
          <w:sz w:val="20"/>
          <w:szCs w:val="20"/>
        </w:rPr>
        <w:t xml:space="preserve">contact </w:t>
      </w:r>
      <w:r w:rsidR="00C12EA1" w:rsidRPr="00B35881">
        <w:rPr>
          <w:rFonts w:ascii="Arial" w:hAnsi="Arial" w:cs="Arial"/>
          <w:sz w:val="20"/>
          <w:szCs w:val="20"/>
        </w:rPr>
        <w:t xml:space="preserve">details </w:t>
      </w:r>
      <w:r w:rsidR="00AC627E">
        <w:rPr>
          <w:rFonts w:ascii="Arial" w:hAnsi="Arial" w:cs="Arial"/>
          <w:sz w:val="20"/>
          <w:szCs w:val="20"/>
        </w:rPr>
        <w:t>of</w:t>
      </w:r>
      <w:r w:rsidR="00E53D65" w:rsidRPr="00D86CAE">
        <w:rPr>
          <w:rFonts w:ascii="Arial" w:hAnsi="Arial" w:cs="Arial"/>
          <w:sz w:val="20"/>
          <w:szCs w:val="20"/>
        </w:rPr>
        <w:t xml:space="preserve"> a </w:t>
      </w:r>
      <w:r w:rsidR="00C12EA1" w:rsidRPr="00B35881">
        <w:rPr>
          <w:rFonts w:ascii="Arial" w:hAnsi="Arial" w:cs="Arial"/>
          <w:sz w:val="20"/>
          <w:szCs w:val="20"/>
        </w:rPr>
        <w:t xml:space="preserve">securities </w:t>
      </w:r>
      <w:r w:rsidR="00E53D65" w:rsidRPr="00B35881">
        <w:rPr>
          <w:rFonts w:ascii="Arial" w:hAnsi="Arial" w:cs="Arial"/>
          <w:sz w:val="20"/>
          <w:szCs w:val="20"/>
        </w:rPr>
        <w:t>holder</w:t>
      </w:r>
      <w:r w:rsidR="00C12EA1" w:rsidRPr="00B35881">
        <w:rPr>
          <w:rFonts w:ascii="Arial" w:hAnsi="Arial" w:cs="Arial"/>
          <w:sz w:val="20"/>
          <w:szCs w:val="20"/>
        </w:rPr>
        <w:t>,</w:t>
      </w:r>
      <w:r w:rsidR="00E53D65" w:rsidRPr="00B35881">
        <w:rPr>
          <w:rFonts w:ascii="Arial" w:hAnsi="Arial" w:cs="Arial"/>
          <w:sz w:val="20"/>
          <w:szCs w:val="20"/>
        </w:rPr>
        <w:t xml:space="preserve"> </w:t>
      </w:r>
      <w:r w:rsidR="00C12EA1" w:rsidRPr="00B35881">
        <w:rPr>
          <w:rFonts w:ascii="Arial" w:hAnsi="Arial" w:cs="Arial"/>
          <w:sz w:val="20"/>
          <w:szCs w:val="20"/>
        </w:rPr>
        <w:t xml:space="preserve">it must </w:t>
      </w:r>
      <w:r w:rsidR="00E53D65" w:rsidRPr="00B35881">
        <w:rPr>
          <w:rFonts w:ascii="Arial" w:hAnsi="Arial" w:cs="Arial"/>
          <w:sz w:val="20"/>
          <w:szCs w:val="20"/>
        </w:rPr>
        <w:t>send Actionable Corporate Communication</w:t>
      </w:r>
      <w:r w:rsidR="00C12EA1" w:rsidRPr="00B35881">
        <w:rPr>
          <w:rFonts w:ascii="Arial" w:hAnsi="Arial" w:cs="Arial"/>
          <w:sz w:val="20"/>
          <w:szCs w:val="20"/>
        </w:rPr>
        <w:t>s in hard copy form and include</w:t>
      </w:r>
      <w:r w:rsidR="00E53D65" w:rsidRPr="00B35881">
        <w:rPr>
          <w:rFonts w:ascii="Arial" w:hAnsi="Arial" w:cs="Arial"/>
          <w:sz w:val="20"/>
          <w:szCs w:val="20"/>
        </w:rPr>
        <w:t xml:space="preserve"> a request for the holder’s electronic contact details. </w:t>
      </w:r>
    </w:p>
    <w:p w:rsidR="00CE515C" w:rsidRPr="00B35881" w:rsidRDefault="003C7141" w:rsidP="003C7141">
      <w:pPr>
        <w:jc w:val="both"/>
        <w:rPr>
          <w:rFonts w:ascii="Arial" w:hAnsi="Arial" w:cs="Arial"/>
          <w:b/>
          <w:color w:val="FF0000"/>
          <w:sz w:val="20"/>
          <w:szCs w:val="20"/>
        </w:rPr>
      </w:pPr>
      <w:r w:rsidRPr="00B35881">
        <w:rPr>
          <w:rFonts w:ascii="Arial" w:hAnsi="Arial" w:cs="Arial"/>
          <w:b/>
          <w:color w:val="FF0000"/>
          <w:sz w:val="20"/>
          <w:szCs w:val="20"/>
        </w:rPr>
        <w:t xml:space="preserve">HKEX Proposal to </w:t>
      </w:r>
      <w:r w:rsidR="00CE515C" w:rsidRPr="00B35881">
        <w:rPr>
          <w:rFonts w:ascii="Arial" w:hAnsi="Arial" w:cs="Arial"/>
          <w:b/>
          <w:color w:val="FF0000"/>
          <w:sz w:val="20"/>
          <w:szCs w:val="20"/>
        </w:rPr>
        <w:t xml:space="preserve">Simplify Appendices to the </w:t>
      </w:r>
      <w:r w:rsidRPr="00B35881">
        <w:rPr>
          <w:rFonts w:ascii="Arial" w:hAnsi="Arial" w:cs="Arial"/>
          <w:b/>
          <w:color w:val="FF0000"/>
          <w:sz w:val="20"/>
          <w:szCs w:val="20"/>
        </w:rPr>
        <w:t xml:space="preserve">HKEX </w:t>
      </w:r>
      <w:r w:rsidR="00CE515C" w:rsidRPr="00B35881">
        <w:rPr>
          <w:rFonts w:ascii="Arial" w:hAnsi="Arial" w:cs="Arial"/>
          <w:b/>
          <w:color w:val="FF0000"/>
          <w:sz w:val="20"/>
          <w:szCs w:val="20"/>
        </w:rPr>
        <w:t>Listing Rules</w:t>
      </w:r>
    </w:p>
    <w:p w:rsidR="00C65AB3" w:rsidRPr="00B35881" w:rsidRDefault="00CE515C" w:rsidP="006104C5">
      <w:pPr>
        <w:jc w:val="both"/>
        <w:rPr>
          <w:rFonts w:ascii="Arial" w:hAnsi="Arial" w:cs="Arial"/>
          <w:sz w:val="20"/>
          <w:szCs w:val="20"/>
        </w:rPr>
      </w:pPr>
      <w:r w:rsidRPr="00B35881">
        <w:rPr>
          <w:rFonts w:ascii="Arial" w:hAnsi="Arial" w:cs="Arial"/>
          <w:sz w:val="20"/>
          <w:szCs w:val="20"/>
        </w:rPr>
        <w:t>To</w:t>
      </w:r>
      <w:r w:rsidR="00307E45" w:rsidRPr="00B35881">
        <w:rPr>
          <w:rFonts w:ascii="Arial" w:hAnsi="Arial" w:cs="Arial"/>
          <w:sz w:val="20"/>
          <w:szCs w:val="20"/>
        </w:rPr>
        <w:t xml:space="preserve"> streamline and improve the online experience of </w:t>
      </w:r>
      <w:r w:rsidR="003B68B6" w:rsidRPr="00B35881">
        <w:rPr>
          <w:rFonts w:ascii="Arial" w:hAnsi="Arial" w:cs="Arial"/>
          <w:sz w:val="20"/>
          <w:szCs w:val="20"/>
        </w:rPr>
        <w:t>users of the HKEX</w:t>
      </w:r>
      <w:r w:rsidR="004546A3" w:rsidRPr="00B35881">
        <w:rPr>
          <w:rFonts w:ascii="Arial" w:hAnsi="Arial" w:cs="Arial"/>
          <w:sz w:val="20"/>
          <w:szCs w:val="20"/>
        </w:rPr>
        <w:t xml:space="preserve"> </w:t>
      </w:r>
      <w:r w:rsidR="00307E45" w:rsidRPr="00B35881">
        <w:rPr>
          <w:rFonts w:ascii="Arial" w:hAnsi="Arial" w:cs="Arial"/>
          <w:sz w:val="20"/>
          <w:szCs w:val="20"/>
        </w:rPr>
        <w:t xml:space="preserve">Listing Rules, the HKEX intends to restructure the current Appendices to the </w:t>
      </w:r>
      <w:r w:rsidR="00DA78B3" w:rsidRPr="00B35881">
        <w:rPr>
          <w:rFonts w:ascii="Arial" w:hAnsi="Arial" w:cs="Arial"/>
          <w:sz w:val="20"/>
          <w:szCs w:val="20"/>
        </w:rPr>
        <w:t xml:space="preserve">HKEX </w:t>
      </w:r>
      <w:r w:rsidR="00307E45" w:rsidRPr="00B35881">
        <w:rPr>
          <w:rFonts w:ascii="Arial" w:hAnsi="Arial" w:cs="Arial"/>
          <w:sz w:val="20"/>
          <w:szCs w:val="20"/>
        </w:rPr>
        <w:t xml:space="preserve">Listing Rules by: </w:t>
      </w:r>
    </w:p>
    <w:p w:rsidR="00307E45" w:rsidRPr="00B35881" w:rsidRDefault="004546A3" w:rsidP="006104C5">
      <w:pPr>
        <w:pStyle w:val="a7"/>
        <w:numPr>
          <w:ilvl w:val="0"/>
          <w:numId w:val="7"/>
        </w:numPr>
        <w:jc w:val="both"/>
        <w:rPr>
          <w:rFonts w:ascii="Arial" w:hAnsi="Arial" w:cs="Arial"/>
          <w:sz w:val="20"/>
          <w:szCs w:val="20"/>
        </w:rPr>
      </w:pPr>
      <w:r w:rsidRPr="00B35881">
        <w:rPr>
          <w:rFonts w:ascii="Arial" w:hAnsi="Arial" w:cs="Arial"/>
          <w:sz w:val="20"/>
          <w:szCs w:val="20"/>
        </w:rPr>
        <w:t>m</w:t>
      </w:r>
      <w:r w:rsidR="00307E45" w:rsidRPr="00B35881">
        <w:rPr>
          <w:rFonts w:ascii="Arial" w:hAnsi="Arial" w:cs="Arial"/>
          <w:sz w:val="20"/>
          <w:szCs w:val="20"/>
        </w:rPr>
        <w:t xml:space="preserve">oving fee-related Appendices and certain forms from Appendices to new sections on the HKEX’s website while specifying that these documents still </w:t>
      </w:r>
      <w:r w:rsidRPr="00B35881">
        <w:rPr>
          <w:rFonts w:ascii="Arial" w:hAnsi="Arial" w:cs="Arial"/>
          <w:sz w:val="20"/>
          <w:szCs w:val="20"/>
        </w:rPr>
        <w:t xml:space="preserve">form part of the </w:t>
      </w:r>
      <w:r w:rsidR="00E87B13" w:rsidRPr="00B35881">
        <w:rPr>
          <w:rFonts w:ascii="Arial" w:hAnsi="Arial" w:cs="Arial"/>
          <w:sz w:val="20"/>
          <w:szCs w:val="20"/>
        </w:rPr>
        <w:t xml:space="preserve">HKEX </w:t>
      </w:r>
      <w:r w:rsidRPr="00B35881">
        <w:rPr>
          <w:rFonts w:ascii="Arial" w:hAnsi="Arial" w:cs="Arial"/>
          <w:sz w:val="20"/>
          <w:szCs w:val="20"/>
        </w:rPr>
        <w:t>Listing Rules;</w:t>
      </w:r>
    </w:p>
    <w:p w:rsidR="00E87B13" w:rsidRPr="00B35881" w:rsidRDefault="00E87B13" w:rsidP="00E87B13">
      <w:pPr>
        <w:pStyle w:val="a7"/>
        <w:jc w:val="both"/>
        <w:rPr>
          <w:rFonts w:ascii="Arial" w:hAnsi="Arial" w:cs="Arial"/>
          <w:sz w:val="20"/>
          <w:szCs w:val="20"/>
        </w:rPr>
      </w:pPr>
    </w:p>
    <w:p w:rsidR="00E87B13" w:rsidRPr="00B35881" w:rsidRDefault="004546A3" w:rsidP="006104C5">
      <w:pPr>
        <w:pStyle w:val="a7"/>
        <w:numPr>
          <w:ilvl w:val="0"/>
          <w:numId w:val="7"/>
        </w:numPr>
        <w:jc w:val="both"/>
        <w:rPr>
          <w:rFonts w:ascii="Arial" w:hAnsi="Arial" w:cs="Arial"/>
          <w:sz w:val="20"/>
          <w:szCs w:val="20"/>
        </w:rPr>
      </w:pPr>
      <w:r w:rsidRPr="00B35881">
        <w:rPr>
          <w:rFonts w:ascii="Arial" w:hAnsi="Arial" w:cs="Arial"/>
          <w:sz w:val="20"/>
          <w:szCs w:val="20"/>
        </w:rPr>
        <w:lastRenderedPageBreak/>
        <w:t>r</w:t>
      </w:r>
      <w:r w:rsidR="00332760" w:rsidRPr="00B35881">
        <w:rPr>
          <w:rFonts w:ascii="Arial" w:hAnsi="Arial" w:cs="Arial"/>
          <w:sz w:val="20"/>
          <w:szCs w:val="20"/>
        </w:rPr>
        <w:t>emoving Appendices that are administrative in nature and separately displaying their contents on the HKEX’s website</w:t>
      </w:r>
      <w:r w:rsidR="00E87B13" w:rsidRPr="00B35881">
        <w:rPr>
          <w:rFonts w:ascii="Arial" w:hAnsi="Arial" w:cs="Arial"/>
          <w:sz w:val="20"/>
          <w:szCs w:val="20"/>
        </w:rPr>
        <w:t xml:space="preserve"> outside the Listing Rules Section</w:t>
      </w:r>
      <w:r w:rsidRPr="00B35881">
        <w:rPr>
          <w:rFonts w:ascii="Arial" w:hAnsi="Arial" w:cs="Arial"/>
          <w:sz w:val="20"/>
          <w:szCs w:val="20"/>
        </w:rPr>
        <w:t>;</w:t>
      </w:r>
    </w:p>
    <w:p w:rsidR="00E87B13" w:rsidRPr="00B35881" w:rsidRDefault="00E87B13" w:rsidP="00E87B13">
      <w:pPr>
        <w:pStyle w:val="a7"/>
        <w:rPr>
          <w:rFonts w:ascii="Arial" w:hAnsi="Arial" w:cs="Arial"/>
          <w:sz w:val="20"/>
          <w:szCs w:val="20"/>
        </w:rPr>
      </w:pPr>
    </w:p>
    <w:p w:rsidR="00332760" w:rsidRPr="00B35881" w:rsidRDefault="004546A3" w:rsidP="006104C5">
      <w:pPr>
        <w:pStyle w:val="a7"/>
        <w:numPr>
          <w:ilvl w:val="0"/>
          <w:numId w:val="7"/>
        </w:numPr>
        <w:jc w:val="both"/>
        <w:rPr>
          <w:rFonts w:ascii="Arial" w:hAnsi="Arial" w:cs="Arial"/>
          <w:sz w:val="20"/>
          <w:szCs w:val="20"/>
        </w:rPr>
      </w:pPr>
      <w:r w:rsidRPr="00B35881">
        <w:rPr>
          <w:rFonts w:ascii="Arial" w:hAnsi="Arial" w:cs="Arial"/>
          <w:sz w:val="20"/>
          <w:szCs w:val="20"/>
        </w:rPr>
        <w:t>d</w:t>
      </w:r>
      <w:r w:rsidR="00332760" w:rsidRPr="00B35881">
        <w:rPr>
          <w:rFonts w:ascii="Arial" w:hAnsi="Arial" w:cs="Arial"/>
          <w:sz w:val="20"/>
          <w:szCs w:val="20"/>
        </w:rPr>
        <w:t xml:space="preserve">eleting Appendices </w:t>
      </w:r>
      <w:r w:rsidR="00E87B13" w:rsidRPr="00B35881">
        <w:rPr>
          <w:rFonts w:ascii="Arial" w:hAnsi="Arial" w:cs="Arial"/>
          <w:sz w:val="20"/>
          <w:szCs w:val="20"/>
        </w:rPr>
        <w:t>that have been superseded or</w:t>
      </w:r>
      <w:r w:rsidR="00332760" w:rsidRPr="00B35881">
        <w:rPr>
          <w:rFonts w:ascii="Arial" w:hAnsi="Arial" w:cs="Arial"/>
          <w:sz w:val="20"/>
          <w:szCs w:val="20"/>
        </w:rPr>
        <w:t xml:space="preserve"> repealed or </w:t>
      </w:r>
      <w:r w:rsidR="00374786" w:rsidRPr="00B35881">
        <w:rPr>
          <w:rFonts w:ascii="Arial" w:hAnsi="Arial" w:cs="Arial"/>
          <w:sz w:val="20"/>
          <w:szCs w:val="20"/>
        </w:rPr>
        <w:t xml:space="preserve">do not need </w:t>
      </w:r>
      <w:r w:rsidR="00332760" w:rsidRPr="00B35881">
        <w:rPr>
          <w:rFonts w:ascii="Arial" w:hAnsi="Arial" w:cs="Arial"/>
          <w:sz w:val="20"/>
          <w:szCs w:val="20"/>
        </w:rPr>
        <w:t xml:space="preserve">to </w:t>
      </w:r>
      <w:r w:rsidR="00374786" w:rsidRPr="00B35881">
        <w:rPr>
          <w:rFonts w:ascii="Arial" w:hAnsi="Arial" w:cs="Arial"/>
          <w:sz w:val="20"/>
          <w:szCs w:val="20"/>
        </w:rPr>
        <w:t>be set out i</w:t>
      </w:r>
      <w:r w:rsidRPr="00B35881">
        <w:rPr>
          <w:rFonts w:ascii="Arial" w:hAnsi="Arial" w:cs="Arial"/>
          <w:sz w:val="20"/>
          <w:szCs w:val="20"/>
        </w:rPr>
        <w:t xml:space="preserve">n the </w:t>
      </w:r>
      <w:r w:rsidR="00374786" w:rsidRPr="00B35881">
        <w:rPr>
          <w:rFonts w:ascii="Arial" w:hAnsi="Arial" w:cs="Arial"/>
          <w:sz w:val="20"/>
          <w:szCs w:val="20"/>
        </w:rPr>
        <w:t xml:space="preserve">HKEX </w:t>
      </w:r>
      <w:r w:rsidRPr="00B35881">
        <w:rPr>
          <w:rFonts w:ascii="Arial" w:hAnsi="Arial" w:cs="Arial"/>
          <w:sz w:val="20"/>
          <w:szCs w:val="20"/>
        </w:rPr>
        <w:t>Listing Rules; and</w:t>
      </w:r>
    </w:p>
    <w:p w:rsidR="00374786" w:rsidRPr="00B35881" w:rsidRDefault="00374786" w:rsidP="00374786">
      <w:pPr>
        <w:pStyle w:val="a7"/>
        <w:jc w:val="both"/>
        <w:rPr>
          <w:rFonts w:ascii="Arial" w:hAnsi="Arial" w:cs="Arial"/>
          <w:sz w:val="20"/>
          <w:szCs w:val="20"/>
        </w:rPr>
      </w:pPr>
    </w:p>
    <w:p w:rsidR="00495B66" w:rsidRPr="00683A11" w:rsidRDefault="004546A3" w:rsidP="00D86CAE">
      <w:pPr>
        <w:pStyle w:val="a7"/>
        <w:numPr>
          <w:ilvl w:val="0"/>
          <w:numId w:val="7"/>
        </w:numPr>
        <w:jc w:val="both"/>
        <w:rPr>
          <w:rFonts w:ascii="Arial" w:hAnsi="Arial" w:cs="Arial"/>
          <w:sz w:val="20"/>
          <w:szCs w:val="20"/>
        </w:rPr>
      </w:pPr>
      <w:r w:rsidRPr="00B35881">
        <w:rPr>
          <w:rFonts w:ascii="Arial" w:hAnsi="Arial" w:cs="Arial"/>
          <w:sz w:val="20"/>
          <w:szCs w:val="20"/>
        </w:rPr>
        <w:t>r</w:t>
      </w:r>
      <w:r w:rsidR="0070545E" w:rsidRPr="00B35881">
        <w:rPr>
          <w:rFonts w:ascii="Arial" w:hAnsi="Arial" w:cs="Arial"/>
          <w:sz w:val="20"/>
          <w:szCs w:val="20"/>
        </w:rPr>
        <w:t>eorganis</w:t>
      </w:r>
      <w:r w:rsidR="00332760" w:rsidRPr="00B35881">
        <w:rPr>
          <w:rFonts w:ascii="Arial" w:hAnsi="Arial" w:cs="Arial"/>
          <w:sz w:val="20"/>
          <w:szCs w:val="20"/>
        </w:rPr>
        <w:t xml:space="preserve">ing </w:t>
      </w:r>
      <w:r w:rsidR="00846983" w:rsidRPr="00B35881">
        <w:rPr>
          <w:rFonts w:ascii="Arial" w:hAnsi="Arial" w:cs="Arial"/>
          <w:sz w:val="20"/>
          <w:szCs w:val="20"/>
        </w:rPr>
        <w:t>by theme</w:t>
      </w:r>
      <w:r w:rsidR="0070545E" w:rsidRPr="00B35881">
        <w:rPr>
          <w:rFonts w:ascii="Arial" w:hAnsi="Arial" w:cs="Arial"/>
          <w:sz w:val="20"/>
          <w:szCs w:val="20"/>
        </w:rPr>
        <w:t xml:space="preserve"> </w:t>
      </w:r>
      <w:r w:rsidR="006409CF" w:rsidRPr="00B35881">
        <w:rPr>
          <w:rFonts w:ascii="Arial" w:hAnsi="Arial" w:cs="Arial"/>
          <w:sz w:val="20"/>
          <w:szCs w:val="20"/>
        </w:rPr>
        <w:t xml:space="preserve">(as set out in Schedule VI to the Consultation Conclusions) </w:t>
      </w:r>
      <w:r w:rsidR="00332760" w:rsidRPr="00B35881">
        <w:rPr>
          <w:rFonts w:ascii="Arial" w:hAnsi="Arial" w:cs="Arial"/>
          <w:sz w:val="20"/>
          <w:szCs w:val="20"/>
        </w:rPr>
        <w:t xml:space="preserve">the </w:t>
      </w:r>
      <w:r w:rsidR="0070545E" w:rsidRPr="00B35881">
        <w:rPr>
          <w:rFonts w:ascii="Arial" w:hAnsi="Arial" w:cs="Arial"/>
          <w:sz w:val="20"/>
          <w:szCs w:val="20"/>
        </w:rPr>
        <w:t xml:space="preserve">remaining </w:t>
      </w:r>
      <w:r w:rsidR="00846983" w:rsidRPr="00B35881">
        <w:rPr>
          <w:rFonts w:ascii="Arial" w:hAnsi="Arial" w:cs="Arial"/>
          <w:sz w:val="20"/>
          <w:szCs w:val="20"/>
        </w:rPr>
        <w:t>Appendices which contain</w:t>
      </w:r>
      <w:r w:rsidR="00332760" w:rsidRPr="00B35881">
        <w:rPr>
          <w:rFonts w:ascii="Arial" w:hAnsi="Arial" w:cs="Arial"/>
          <w:sz w:val="20"/>
          <w:szCs w:val="20"/>
        </w:rPr>
        <w:t xml:space="preserve"> significant provisions and/or mandatory requirements affecting </w:t>
      </w:r>
      <w:r w:rsidR="00846983" w:rsidRPr="00B35881">
        <w:rPr>
          <w:rFonts w:ascii="Arial" w:hAnsi="Arial" w:cs="Arial"/>
          <w:sz w:val="20"/>
          <w:szCs w:val="20"/>
        </w:rPr>
        <w:t>listing applicant</w:t>
      </w:r>
      <w:r w:rsidR="00332760" w:rsidRPr="00B35881">
        <w:rPr>
          <w:rFonts w:ascii="Arial" w:hAnsi="Arial" w:cs="Arial"/>
          <w:sz w:val="20"/>
          <w:szCs w:val="20"/>
        </w:rPr>
        <w:t>s, listed issuers and securities holders.</w:t>
      </w:r>
    </w:p>
    <w:p w:rsidR="00495B66" w:rsidRPr="00D86CAE" w:rsidRDefault="00760361" w:rsidP="00683A11">
      <w:pPr>
        <w:jc w:val="both"/>
        <w:rPr>
          <w:rFonts w:ascii="Arial" w:hAnsi="Arial" w:cs="Arial"/>
          <w:sz w:val="20"/>
          <w:szCs w:val="20"/>
        </w:rPr>
      </w:pPr>
      <w:r>
        <w:rPr>
          <w:rFonts w:ascii="Arial" w:hAnsi="Arial" w:cs="Arial"/>
          <w:sz w:val="20"/>
          <w:szCs w:val="20"/>
        </w:rPr>
        <w:t xml:space="preserve">The </w:t>
      </w:r>
      <w:r w:rsidR="00495B66" w:rsidRPr="00B35881">
        <w:rPr>
          <w:rFonts w:ascii="Arial" w:hAnsi="Arial" w:cs="Arial"/>
          <w:sz w:val="20"/>
          <w:szCs w:val="20"/>
        </w:rPr>
        <w:t>HKEX will also consider the respo</w:t>
      </w:r>
      <w:r w:rsidR="00495B66" w:rsidRPr="00206835">
        <w:rPr>
          <w:rFonts w:ascii="Arial" w:hAnsi="Arial" w:cs="Arial"/>
          <w:sz w:val="20"/>
          <w:szCs w:val="20"/>
        </w:rPr>
        <w:t>ndents’ suggestion to combine all of its online platforms and simplify and/or reorgani</w:t>
      </w:r>
      <w:r w:rsidR="00064C07">
        <w:rPr>
          <w:rFonts w:ascii="Arial" w:hAnsi="Arial" w:cs="Arial"/>
          <w:sz w:val="20"/>
          <w:szCs w:val="20"/>
        </w:rPr>
        <w:t>s</w:t>
      </w:r>
      <w:r w:rsidR="00495B66" w:rsidRPr="00206835">
        <w:rPr>
          <w:rFonts w:ascii="Arial" w:hAnsi="Arial" w:cs="Arial"/>
          <w:sz w:val="20"/>
          <w:szCs w:val="20"/>
        </w:rPr>
        <w:t xml:space="preserve">e Practical Notes. </w:t>
      </w:r>
    </w:p>
    <w:p w:rsidR="00846983" w:rsidRPr="00683A11" w:rsidRDefault="00846983" w:rsidP="00846983">
      <w:pPr>
        <w:jc w:val="both"/>
        <w:rPr>
          <w:rFonts w:ascii="Arial" w:hAnsi="Arial" w:cs="Arial"/>
          <w:b/>
          <w:color w:val="FF0000"/>
          <w:sz w:val="20"/>
          <w:szCs w:val="20"/>
        </w:rPr>
      </w:pPr>
      <w:r w:rsidRPr="00683A11">
        <w:rPr>
          <w:rFonts w:ascii="Arial" w:hAnsi="Arial" w:cs="Arial"/>
          <w:b/>
          <w:color w:val="FF0000"/>
          <w:sz w:val="20"/>
          <w:szCs w:val="20"/>
        </w:rPr>
        <w:t>HKEX’s Other Proposed Listing Rule Amendments</w:t>
      </w:r>
    </w:p>
    <w:p w:rsidR="00846983" w:rsidRPr="00683A11" w:rsidRDefault="00846983" w:rsidP="00846983">
      <w:pPr>
        <w:jc w:val="both"/>
        <w:rPr>
          <w:rFonts w:ascii="Arial" w:hAnsi="Arial" w:cs="Arial"/>
          <w:b/>
          <w:sz w:val="20"/>
          <w:szCs w:val="20"/>
        </w:rPr>
      </w:pPr>
      <w:r w:rsidRPr="00683A11">
        <w:rPr>
          <w:rFonts w:ascii="Arial" w:hAnsi="Arial" w:cs="Arial"/>
          <w:b/>
          <w:sz w:val="20"/>
          <w:szCs w:val="20"/>
        </w:rPr>
        <w:t>Removing the Requirement for Physical Attendance by Committee Members at Meetings of the Listing Committee and Listing Review Committee</w:t>
      </w:r>
    </w:p>
    <w:p w:rsidR="00846983" w:rsidRPr="00683A11" w:rsidRDefault="00846983" w:rsidP="00846983">
      <w:pPr>
        <w:jc w:val="both"/>
        <w:rPr>
          <w:rFonts w:ascii="Arial" w:hAnsi="Arial" w:cs="Arial"/>
          <w:sz w:val="20"/>
          <w:szCs w:val="20"/>
        </w:rPr>
      </w:pPr>
      <w:r w:rsidRPr="00683A11">
        <w:rPr>
          <w:rFonts w:ascii="Arial" w:hAnsi="Arial" w:cs="Arial"/>
          <w:sz w:val="20"/>
          <w:szCs w:val="20"/>
        </w:rPr>
        <w:t xml:space="preserve">The </w:t>
      </w:r>
      <w:r w:rsidR="00E83FE4" w:rsidRPr="00683A11">
        <w:rPr>
          <w:rFonts w:ascii="Arial" w:hAnsi="Arial" w:cs="Arial"/>
          <w:sz w:val="20"/>
          <w:szCs w:val="20"/>
        </w:rPr>
        <w:t>HKEX proposes</w:t>
      </w:r>
      <w:r w:rsidRPr="00683A11">
        <w:rPr>
          <w:rFonts w:ascii="Arial" w:hAnsi="Arial" w:cs="Arial"/>
          <w:sz w:val="20"/>
          <w:szCs w:val="20"/>
        </w:rPr>
        <w:t xml:space="preserve"> to remove the requirement for physical attendance by </w:t>
      </w:r>
      <w:r w:rsidR="00BF10DE">
        <w:rPr>
          <w:rFonts w:ascii="Arial" w:hAnsi="Arial" w:cs="Arial"/>
          <w:sz w:val="20"/>
          <w:szCs w:val="20"/>
        </w:rPr>
        <w:t xml:space="preserve">the </w:t>
      </w:r>
      <w:r w:rsidRPr="00683A11">
        <w:rPr>
          <w:rFonts w:ascii="Arial" w:hAnsi="Arial" w:cs="Arial"/>
          <w:sz w:val="20"/>
          <w:szCs w:val="20"/>
        </w:rPr>
        <w:t>Listing Committee or Listing Review</w:t>
      </w:r>
      <w:r w:rsidR="00E83FE4" w:rsidRPr="00683A11">
        <w:rPr>
          <w:rFonts w:ascii="Arial" w:hAnsi="Arial" w:cs="Arial"/>
          <w:sz w:val="20"/>
          <w:szCs w:val="20"/>
        </w:rPr>
        <w:t xml:space="preserve"> Committee members to meet</w:t>
      </w:r>
      <w:r w:rsidRPr="00683A11">
        <w:rPr>
          <w:rFonts w:ascii="Arial" w:hAnsi="Arial" w:cs="Arial"/>
          <w:sz w:val="20"/>
          <w:szCs w:val="20"/>
        </w:rPr>
        <w:t xml:space="preserve"> the</w:t>
      </w:r>
      <w:r w:rsidR="00E83FE4" w:rsidRPr="00683A11">
        <w:rPr>
          <w:rFonts w:ascii="Arial" w:hAnsi="Arial" w:cs="Arial"/>
          <w:sz w:val="20"/>
          <w:szCs w:val="20"/>
        </w:rPr>
        <w:t xml:space="preserve"> quorum</w:t>
      </w:r>
      <w:r w:rsidRPr="00683A11">
        <w:rPr>
          <w:rFonts w:ascii="Arial" w:hAnsi="Arial" w:cs="Arial"/>
          <w:sz w:val="20"/>
          <w:szCs w:val="20"/>
        </w:rPr>
        <w:t xml:space="preserve"> </w:t>
      </w:r>
      <w:r w:rsidR="00E83FE4" w:rsidRPr="00683A11">
        <w:rPr>
          <w:rFonts w:ascii="Arial" w:hAnsi="Arial" w:cs="Arial"/>
          <w:sz w:val="20"/>
          <w:szCs w:val="20"/>
        </w:rPr>
        <w:t xml:space="preserve">required </w:t>
      </w:r>
      <w:r w:rsidRPr="00683A11">
        <w:rPr>
          <w:rFonts w:ascii="Arial" w:hAnsi="Arial" w:cs="Arial"/>
          <w:sz w:val="20"/>
          <w:szCs w:val="20"/>
        </w:rPr>
        <w:t xml:space="preserve">for </w:t>
      </w:r>
      <w:r w:rsidR="00E83FE4" w:rsidRPr="00683A11">
        <w:rPr>
          <w:rFonts w:ascii="Arial" w:hAnsi="Arial" w:cs="Arial"/>
          <w:sz w:val="20"/>
          <w:szCs w:val="20"/>
        </w:rPr>
        <w:t xml:space="preserve">meetings of </w:t>
      </w:r>
      <w:r w:rsidRPr="00683A11">
        <w:rPr>
          <w:rFonts w:ascii="Arial" w:hAnsi="Arial" w:cs="Arial"/>
          <w:sz w:val="20"/>
          <w:szCs w:val="20"/>
        </w:rPr>
        <w:t>these committees</w:t>
      </w:r>
      <w:r w:rsidR="00E83FE4" w:rsidRPr="00683A11">
        <w:rPr>
          <w:rFonts w:ascii="Arial" w:hAnsi="Arial" w:cs="Arial"/>
          <w:sz w:val="20"/>
          <w:szCs w:val="20"/>
        </w:rPr>
        <w:t xml:space="preserve">. </w:t>
      </w:r>
    </w:p>
    <w:p w:rsidR="00E83FE4" w:rsidRPr="00683A11" w:rsidRDefault="00E83FE4" w:rsidP="00846983">
      <w:pPr>
        <w:jc w:val="both"/>
        <w:rPr>
          <w:rFonts w:ascii="Arial" w:hAnsi="Arial" w:cs="Arial"/>
          <w:b/>
          <w:sz w:val="20"/>
          <w:szCs w:val="20"/>
        </w:rPr>
      </w:pPr>
      <w:r w:rsidRPr="00683A11">
        <w:rPr>
          <w:rFonts w:ascii="Arial" w:hAnsi="Arial" w:cs="Arial"/>
          <w:b/>
          <w:sz w:val="20"/>
          <w:szCs w:val="20"/>
        </w:rPr>
        <w:t>Other Minor HKEX Listing Rule Amendments</w:t>
      </w:r>
    </w:p>
    <w:p w:rsidR="00E83FE4" w:rsidRPr="00683A11" w:rsidRDefault="00E83FE4" w:rsidP="00846983">
      <w:pPr>
        <w:jc w:val="both"/>
        <w:rPr>
          <w:rFonts w:ascii="Arial" w:hAnsi="Arial" w:cs="Arial"/>
          <w:sz w:val="20"/>
          <w:szCs w:val="20"/>
        </w:rPr>
      </w:pPr>
      <w:r w:rsidRPr="00683A11">
        <w:rPr>
          <w:rFonts w:ascii="Arial" w:hAnsi="Arial" w:cs="Arial"/>
          <w:sz w:val="20"/>
          <w:szCs w:val="20"/>
        </w:rPr>
        <w:t xml:space="preserve">The HKEX </w:t>
      </w:r>
      <w:r w:rsidR="00CD2DC7">
        <w:rPr>
          <w:rFonts w:ascii="Arial" w:hAnsi="Arial" w:cs="Arial"/>
          <w:sz w:val="20"/>
          <w:szCs w:val="20"/>
        </w:rPr>
        <w:t>proposes</w:t>
      </w:r>
      <w:r w:rsidRPr="00683A11">
        <w:rPr>
          <w:rFonts w:ascii="Arial" w:hAnsi="Arial" w:cs="Arial"/>
          <w:sz w:val="20"/>
          <w:szCs w:val="20"/>
        </w:rPr>
        <w:t xml:space="preserve"> the following minor changes to the HKEX Listing Rules:</w:t>
      </w:r>
    </w:p>
    <w:p w:rsidR="00E83FE4" w:rsidRPr="00683A11" w:rsidRDefault="00E83FE4" w:rsidP="00683A11">
      <w:pPr>
        <w:pStyle w:val="a7"/>
        <w:numPr>
          <w:ilvl w:val="0"/>
          <w:numId w:val="19"/>
        </w:numPr>
        <w:jc w:val="both"/>
        <w:rPr>
          <w:rFonts w:ascii="Arial" w:hAnsi="Arial" w:cs="Arial"/>
          <w:sz w:val="20"/>
          <w:szCs w:val="20"/>
        </w:rPr>
      </w:pPr>
      <w:r w:rsidRPr="00683A11">
        <w:rPr>
          <w:rFonts w:ascii="Arial" w:hAnsi="Arial" w:cs="Arial"/>
          <w:sz w:val="20"/>
          <w:szCs w:val="20"/>
        </w:rPr>
        <w:t>References to “bulk-printing of listing documents” will be replaced by references to “finalisation of listing documents for publication” given that listing documents are now published in electronic format only; and</w:t>
      </w:r>
    </w:p>
    <w:p w:rsidR="00E83FE4" w:rsidRPr="00683A11" w:rsidRDefault="00E83FE4" w:rsidP="00E83FE4">
      <w:pPr>
        <w:pStyle w:val="a7"/>
        <w:jc w:val="both"/>
        <w:rPr>
          <w:rFonts w:ascii="Arial" w:hAnsi="Arial" w:cs="Arial"/>
          <w:sz w:val="20"/>
          <w:szCs w:val="20"/>
        </w:rPr>
      </w:pPr>
    </w:p>
    <w:p w:rsidR="00D6588D" w:rsidRPr="006928CC" w:rsidRDefault="00E83FE4" w:rsidP="00493E17">
      <w:pPr>
        <w:pStyle w:val="a7"/>
        <w:numPr>
          <w:ilvl w:val="0"/>
          <w:numId w:val="19"/>
        </w:numPr>
        <w:jc w:val="both"/>
        <w:rPr>
          <w:rFonts w:ascii="Arial" w:hAnsi="Arial" w:cs="Arial"/>
          <w:sz w:val="20"/>
          <w:szCs w:val="20"/>
        </w:rPr>
      </w:pPr>
      <w:r w:rsidRPr="00683A11">
        <w:rPr>
          <w:rFonts w:ascii="Arial" w:hAnsi="Arial" w:cs="Arial"/>
          <w:sz w:val="20"/>
          <w:szCs w:val="20"/>
        </w:rPr>
        <w:t xml:space="preserve">Under the GEM Listing Rules, the final proof of the application form for the public subscription tranche </w:t>
      </w:r>
      <w:r w:rsidR="00A829D9" w:rsidRPr="00683A11">
        <w:rPr>
          <w:rFonts w:ascii="Arial" w:hAnsi="Arial" w:cs="Arial"/>
          <w:sz w:val="20"/>
          <w:szCs w:val="20"/>
        </w:rPr>
        <w:t>is required to be submitted together with the listing application, whereas the Main Board Listing Rules require it to be submitted before bulk-printing of the listing document. The HKEX will align the submission deadline for GEM listings with the Main Board requirement – the application form for the public subscription tranche will have to be submitted before the listing document is finalised for publication.</w:t>
      </w:r>
    </w:p>
    <w:p w:rsidR="006928CC" w:rsidRPr="00BD7458" w:rsidRDefault="006928CC" w:rsidP="006928CC">
      <w:pPr>
        <w:pStyle w:val="DisclaimerBold"/>
        <w:numPr>
          <w:ilvl w:val="0"/>
          <w:numId w:val="48"/>
        </w:numPr>
        <w:rPr>
          <w:rFonts w:ascii="Helvetica" w:hAnsi="Helvetica"/>
          <w:sz w:val="22"/>
          <w:szCs w:val="22"/>
        </w:rPr>
      </w:pPr>
      <w:r w:rsidRPr="00BD7458">
        <w:rPr>
          <w:rFonts w:ascii="Helvetica" w:hAnsi="Helvetica"/>
          <w:sz w:val="22"/>
          <w:szCs w:val="22"/>
        </w:rPr>
        <w:t>This newsletter is for information purposes only.</w:t>
      </w:r>
    </w:p>
    <w:p w:rsidR="006928CC" w:rsidRPr="00BD7458" w:rsidRDefault="006928CC" w:rsidP="006928CC">
      <w:pPr>
        <w:pStyle w:val="Disclaimer"/>
        <w:numPr>
          <w:ilvl w:val="0"/>
          <w:numId w:val="48"/>
        </w:numPr>
        <w:rPr>
          <w:rFonts w:ascii="Helvetica" w:hAnsi="Helvetica"/>
          <w:sz w:val="22"/>
          <w:szCs w:val="22"/>
        </w:rPr>
      </w:pPr>
      <w:r w:rsidRPr="00BD7458">
        <w:rPr>
          <w:rFonts w:ascii="Helvetica" w:hAnsi="Helvetica"/>
          <w:sz w:val="22"/>
          <w:szCs w:val="22"/>
        </w:rPr>
        <w:t>Its contents do not constitute legal advice and it should not be regarded as a substitute for detailed advice in individual cases.</w:t>
      </w:r>
    </w:p>
    <w:p w:rsidR="006928CC" w:rsidRPr="00BD7458" w:rsidRDefault="006928CC" w:rsidP="006928CC">
      <w:pPr>
        <w:pStyle w:val="Disclaimer"/>
        <w:numPr>
          <w:ilvl w:val="0"/>
          <w:numId w:val="48"/>
        </w:numPr>
        <w:rPr>
          <w:rFonts w:ascii="Helvetica" w:hAnsi="Helvetica"/>
          <w:sz w:val="22"/>
          <w:szCs w:val="22"/>
        </w:rPr>
      </w:pPr>
      <w:r w:rsidRPr="00BD7458">
        <w:rPr>
          <w:rFonts w:ascii="Helvetica" w:hAnsi="Helvetica"/>
          <w:sz w:val="22"/>
          <w:szCs w:val="22"/>
        </w:rPr>
        <w:t>Transmission of this information is not intended to create and receipt does not constitute a lawyer-client relationship between Charltons and the user or browser.</w:t>
      </w:r>
    </w:p>
    <w:p w:rsidR="006928CC" w:rsidRPr="00BD7458" w:rsidRDefault="006928CC" w:rsidP="006928CC">
      <w:pPr>
        <w:pStyle w:val="Disclaimer"/>
        <w:numPr>
          <w:ilvl w:val="0"/>
          <w:numId w:val="48"/>
        </w:numPr>
        <w:rPr>
          <w:rFonts w:ascii="Helvetica" w:hAnsi="Helvetica"/>
          <w:sz w:val="22"/>
          <w:szCs w:val="22"/>
        </w:rPr>
      </w:pPr>
      <w:r w:rsidRPr="00BD7458">
        <w:rPr>
          <w:rFonts w:ascii="Helvetica" w:hAnsi="Helvetica"/>
          <w:sz w:val="22"/>
          <w:szCs w:val="22"/>
        </w:rPr>
        <w:t xml:space="preserve">Charltons is not responsible for any </w:t>
      </w:r>
      <w:proofErr w:type="gramStart"/>
      <w:r w:rsidRPr="00BD7458">
        <w:rPr>
          <w:rFonts w:ascii="Helvetica" w:hAnsi="Helvetica"/>
          <w:sz w:val="22"/>
          <w:szCs w:val="22"/>
        </w:rPr>
        <w:t>third party</w:t>
      </w:r>
      <w:proofErr w:type="gramEnd"/>
      <w:r w:rsidRPr="00BD7458">
        <w:rPr>
          <w:rFonts w:ascii="Helvetica" w:hAnsi="Helvetica"/>
          <w:sz w:val="22"/>
          <w:szCs w:val="22"/>
        </w:rPr>
        <w:t xml:space="preserve"> content which can be accessed through the website.</w:t>
      </w:r>
    </w:p>
    <w:p w:rsidR="006928CC" w:rsidRPr="00BD7458" w:rsidRDefault="006928CC" w:rsidP="006928CC">
      <w:pPr>
        <w:pStyle w:val="Disclaimer"/>
        <w:numPr>
          <w:ilvl w:val="0"/>
          <w:numId w:val="48"/>
        </w:numPr>
        <w:rPr>
          <w:rFonts w:ascii="Helvetica" w:hAnsi="Helvetica"/>
          <w:sz w:val="22"/>
          <w:szCs w:val="22"/>
        </w:rPr>
      </w:pPr>
      <w:r w:rsidRPr="00BD7458">
        <w:rPr>
          <w:rFonts w:ascii="Helvetica" w:hAnsi="Helvetica"/>
          <w:sz w:val="22"/>
          <w:szCs w:val="22"/>
        </w:rPr>
        <w:t xml:space="preserve">If you do not wish to receive this </w:t>
      </w:r>
      <w:proofErr w:type="gramStart"/>
      <w:r w:rsidRPr="00BD7458">
        <w:rPr>
          <w:rFonts w:ascii="Helvetica" w:hAnsi="Helvetica"/>
          <w:sz w:val="22"/>
          <w:szCs w:val="22"/>
        </w:rPr>
        <w:t>newsletter</w:t>
      </w:r>
      <w:proofErr w:type="gramEnd"/>
      <w:r w:rsidRPr="00BD7458">
        <w:rPr>
          <w:rFonts w:ascii="Helvetica" w:hAnsi="Helvetica"/>
          <w:sz w:val="22"/>
          <w:szCs w:val="22"/>
        </w:rPr>
        <w:t xml:space="preserve"> please let us know by emailing us at  </w:t>
      </w:r>
      <w:hyperlink r:id="rId12">
        <w:r w:rsidRPr="00BD7458">
          <w:rPr>
            <w:rFonts w:ascii="Helvetica" w:hAnsi="Helvetica"/>
            <w:sz w:val="22"/>
            <w:szCs w:val="22"/>
          </w:rPr>
          <w:t>unsubscribe@charltonslaw.com</w:t>
        </w:r>
      </w:hyperlink>
    </w:p>
    <w:p w:rsidR="006928CC" w:rsidRPr="00D63E07" w:rsidRDefault="006928CC" w:rsidP="006928CC">
      <w:pPr>
        <w:pStyle w:val="BlackStrips"/>
        <w:numPr>
          <w:ilvl w:val="0"/>
          <w:numId w:val="48"/>
        </w:numPr>
        <w:rPr>
          <w:rFonts w:ascii="Helvetica" w:hAnsi="Helvetica"/>
        </w:rPr>
      </w:pPr>
      <w:r w:rsidRPr="00F05494">
        <w:rPr>
          <w:rFonts w:ascii="Helvetica" w:hAnsi="Helvetica"/>
        </w:rPr>
        <w:t xml:space="preserve">Charltons - Hong Kong Law - </w:t>
      </w:r>
      <w:r>
        <w:rPr>
          <w:rFonts w:ascii="Helvetica" w:hAnsi="Helvetica"/>
        </w:rPr>
        <w:t>1</w:t>
      </w:r>
      <w:r w:rsidR="002973D7">
        <w:rPr>
          <w:rFonts w:ascii="Helvetica" w:hAnsi="Helvetica"/>
        </w:rPr>
        <w:t>4</w:t>
      </w:r>
      <w:r w:rsidRPr="00F05494">
        <w:rPr>
          <w:rFonts w:ascii="Helvetica" w:hAnsi="Helvetica"/>
        </w:rPr>
        <w:t xml:space="preserve"> </w:t>
      </w:r>
      <w:r>
        <w:rPr>
          <w:rFonts w:ascii="Helvetica" w:hAnsi="Helvetica"/>
        </w:rPr>
        <w:t>September</w:t>
      </w:r>
      <w:r w:rsidRPr="00F05494">
        <w:rPr>
          <w:rFonts w:ascii="Helvetica" w:hAnsi="Helvetica"/>
        </w:rPr>
        <w:t xml:space="preserve"> 202</w:t>
      </w:r>
      <w:r w:rsidRPr="008524CA">
        <w:rPr>
          <w:rFonts w:ascii="Helvetica" w:hAnsi="Helvetica"/>
        </w:rPr>
        <w:t>3</w:t>
      </w:r>
    </w:p>
    <w:p w:rsidR="00750B2D" w:rsidRPr="00683A11" w:rsidRDefault="00750B2D" w:rsidP="006104C5">
      <w:pPr>
        <w:jc w:val="both"/>
        <w:rPr>
          <w:rFonts w:ascii="Arial" w:hAnsi="Arial" w:cs="Arial"/>
          <w:sz w:val="20"/>
          <w:szCs w:val="20"/>
        </w:rPr>
      </w:pPr>
    </w:p>
    <w:sectPr w:rsidR="00750B2D" w:rsidRPr="00683A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1232B" w:rsidRDefault="00A1232B" w:rsidP="00D56282">
      <w:pPr>
        <w:spacing w:after="0" w:line="240" w:lineRule="auto"/>
      </w:pPr>
      <w:r>
        <w:separator/>
      </w:r>
    </w:p>
  </w:endnote>
  <w:endnote w:type="continuationSeparator" w:id="0">
    <w:p w:rsidR="00A1232B" w:rsidRDefault="00A1232B" w:rsidP="00D56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1232B" w:rsidRDefault="00A1232B" w:rsidP="00D56282">
      <w:pPr>
        <w:spacing w:after="0" w:line="240" w:lineRule="auto"/>
      </w:pPr>
      <w:r>
        <w:separator/>
      </w:r>
    </w:p>
  </w:footnote>
  <w:footnote w:type="continuationSeparator" w:id="0">
    <w:p w:rsidR="00A1232B" w:rsidRDefault="00A1232B" w:rsidP="00D562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095"/>
    <w:multiLevelType w:val="hybridMultilevel"/>
    <w:tmpl w:val="75C8FD4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2E1880"/>
    <w:multiLevelType w:val="hybridMultilevel"/>
    <w:tmpl w:val="3C42F95E"/>
    <w:lvl w:ilvl="0" w:tplc="AD2E3588">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C25C74"/>
    <w:multiLevelType w:val="hybridMultilevel"/>
    <w:tmpl w:val="19DEA4E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7D5774"/>
    <w:multiLevelType w:val="hybridMultilevel"/>
    <w:tmpl w:val="83140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32886"/>
    <w:multiLevelType w:val="hybridMultilevel"/>
    <w:tmpl w:val="960E0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963E1F"/>
    <w:multiLevelType w:val="hybridMultilevel"/>
    <w:tmpl w:val="F2A0A9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AC60BC1"/>
    <w:multiLevelType w:val="hybridMultilevel"/>
    <w:tmpl w:val="282EB0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E657BBB"/>
    <w:multiLevelType w:val="hybridMultilevel"/>
    <w:tmpl w:val="2624A8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004D9"/>
    <w:multiLevelType w:val="hybridMultilevel"/>
    <w:tmpl w:val="7776530A"/>
    <w:lvl w:ilvl="0" w:tplc="692C3F9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0917C4"/>
    <w:multiLevelType w:val="hybridMultilevel"/>
    <w:tmpl w:val="D2A49F36"/>
    <w:lvl w:ilvl="0" w:tplc="5E020346">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1C26A2"/>
    <w:multiLevelType w:val="hybridMultilevel"/>
    <w:tmpl w:val="9AE606E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752EB5"/>
    <w:multiLevelType w:val="hybridMultilevel"/>
    <w:tmpl w:val="13E82828"/>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0C323A3"/>
    <w:multiLevelType w:val="hybridMultilevel"/>
    <w:tmpl w:val="C92E9A00"/>
    <w:lvl w:ilvl="0" w:tplc="AD2E3588">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C0601"/>
    <w:multiLevelType w:val="hybridMultilevel"/>
    <w:tmpl w:val="D54C75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5624DE9"/>
    <w:multiLevelType w:val="hybridMultilevel"/>
    <w:tmpl w:val="AA90F180"/>
    <w:lvl w:ilvl="0" w:tplc="9FA649E0">
      <w:start w:val="1"/>
      <w:numFmt w:val="lowerLetter"/>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15" w15:restartNumberingAfterBreak="0">
    <w:nsid w:val="29B533A4"/>
    <w:multiLevelType w:val="hybridMultilevel"/>
    <w:tmpl w:val="A4001F0A"/>
    <w:lvl w:ilvl="0" w:tplc="04090001">
      <w:start w:val="1"/>
      <w:numFmt w:val="bullet"/>
      <w:lvlText w:val=""/>
      <w:lvlJc w:val="left"/>
      <w:pPr>
        <w:ind w:left="107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E3672E"/>
    <w:multiLevelType w:val="hybridMultilevel"/>
    <w:tmpl w:val="671CF98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4666FA"/>
    <w:multiLevelType w:val="hybridMultilevel"/>
    <w:tmpl w:val="86667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2C90A8B"/>
    <w:multiLevelType w:val="hybridMultilevel"/>
    <w:tmpl w:val="38D25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86B0D88"/>
    <w:multiLevelType w:val="hybridMultilevel"/>
    <w:tmpl w:val="91E6A3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5870DC"/>
    <w:multiLevelType w:val="hybridMultilevel"/>
    <w:tmpl w:val="CCC65F8E"/>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8B4EA8"/>
    <w:multiLevelType w:val="hybridMultilevel"/>
    <w:tmpl w:val="8EC0C6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E0E5249"/>
    <w:multiLevelType w:val="hybridMultilevel"/>
    <w:tmpl w:val="06683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82AC5"/>
    <w:multiLevelType w:val="hybridMultilevel"/>
    <w:tmpl w:val="FD8A2B64"/>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24" w15:restartNumberingAfterBreak="0">
    <w:nsid w:val="4AD472EC"/>
    <w:multiLevelType w:val="hybridMultilevel"/>
    <w:tmpl w:val="4354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19046C"/>
    <w:multiLevelType w:val="hybridMultilevel"/>
    <w:tmpl w:val="8806E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5339E6"/>
    <w:multiLevelType w:val="hybridMultilevel"/>
    <w:tmpl w:val="DFB81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556DBE"/>
    <w:multiLevelType w:val="multilevel"/>
    <w:tmpl w:val="EE20CD1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4DD22832"/>
    <w:multiLevelType w:val="hybridMultilevel"/>
    <w:tmpl w:val="9656D30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816DE4"/>
    <w:multiLevelType w:val="hybridMultilevel"/>
    <w:tmpl w:val="2A9E5B6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30" w15:restartNumberingAfterBreak="0">
    <w:nsid w:val="51E16792"/>
    <w:multiLevelType w:val="hybridMultilevel"/>
    <w:tmpl w:val="945CFBA0"/>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37D2983"/>
    <w:multiLevelType w:val="hybridMultilevel"/>
    <w:tmpl w:val="92229EA2"/>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4725D66"/>
    <w:multiLevelType w:val="hybridMultilevel"/>
    <w:tmpl w:val="ADBC8A56"/>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73A092C"/>
    <w:multiLevelType w:val="hybridMultilevel"/>
    <w:tmpl w:val="28B06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7AA565B"/>
    <w:multiLevelType w:val="hybridMultilevel"/>
    <w:tmpl w:val="693A41CA"/>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A1E749D"/>
    <w:multiLevelType w:val="hybridMultilevel"/>
    <w:tmpl w:val="911EBDBC"/>
    <w:lvl w:ilvl="0" w:tplc="95BA7BB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A75D0"/>
    <w:multiLevelType w:val="hybridMultilevel"/>
    <w:tmpl w:val="F7FE955C"/>
    <w:lvl w:ilvl="0" w:tplc="4A26F3E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6120C7E"/>
    <w:multiLevelType w:val="hybridMultilevel"/>
    <w:tmpl w:val="F66C2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A95182A"/>
    <w:multiLevelType w:val="hybridMultilevel"/>
    <w:tmpl w:val="5596DDC2"/>
    <w:lvl w:ilvl="0" w:tplc="0756D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BCC42B9"/>
    <w:multiLevelType w:val="hybridMultilevel"/>
    <w:tmpl w:val="E8F82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D35AF9"/>
    <w:multiLevelType w:val="hybridMultilevel"/>
    <w:tmpl w:val="AF168D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3C8199F"/>
    <w:multiLevelType w:val="hybridMultilevel"/>
    <w:tmpl w:val="DDE06064"/>
    <w:lvl w:ilvl="0" w:tplc="EFE8258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4B47475"/>
    <w:multiLevelType w:val="hybridMultilevel"/>
    <w:tmpl w:val="FA149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0326F1"/>
    <w:multiLevelType w:val="hybridMultilevel"/>
    <w:tmpl w:val="7AE061C0"/>
    <w:lvl w:ilvl="0" w:tplc="81F2935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2C7BD4"/>
    <w:multiLevelType w:val="hybridMultilevel"/>
    <w:tmpl w:val="A4862FE2"/>
    <w:lvl w:ilvl="0" w:tplc="95BA7BB2">
      <w:start w:val="1"/>
      <w:numFmt w:val="bullet"/>
      <w:lvlText w:val="•"/>
      <w:lvlJc w:val="left"/>
      <w:pPr>
        <w:ind w:left="775" w:hanging="360"/>
      </w:pPr>
      <w:rPr>
        <w:rFonts w:ascii="Times New Roman" w:hAnsi="Times New Roman" w:cs="Times New Roman"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46" w15:restartNumberingAfterBreak="0">
    <w:nsid w:val="7F2E4D6B"/>
    <w:multiLevelType w:val="hybridMultilevel"/>
    <w:tmpl w:val="1E8EB742"/>
    <w:lvl w:ilvl="0" w:tplc="AD2E3588">
      <w:numFmt w:val="bullet"/>
      <w:lvlText w:val="•"/>
      <w:lvlJc w:val="left"/>
      <w:pPr>
        <w:ind w:left="1080" w:hanging="72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F331834"/>
    <w:multiLevelType w:val="hybridMultilevel"/>
    <w:tmpl w:val="E0603E20"/>
    <w:lvl w:ilvl="0" w:tplc="95BA7BB2">
      <w:start w:val="1"/>
      <w:numFmt w:val="bullet"/>
      <w:lvlText w:val="•"/>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58215859">
    <w:abstractNumId w:val="8"/>
  </w:num>
  <w:num w:numId="2" w16cid:durableId="87703551">
    <w:abstractNumId w:val="47"/>
  </w:num>
  <w:num w:numId="3" w16cid:durableId="1930960995">
    <w:abstractNumId w:val="6"/>
  </w:num>
  <w:num w:numId="4" w16cid:durableId="840438281">
    <w:abstractNumId w:val="16"/>
  </w:num>
  <w:num w:numId="5" w16cid:durableId="43910987">
    <w:abstractNumId w:val="36"/>
  </w:num>
  <w:num w:numId="6" w16cid:durableId="1937904636">
    <w:abstractNumId w:val="13"/>
  </w:num>
  <w:num w:numId="7" w16cid:durableId="792865804">
    <w:abstractNumId w:val="44"/>
  </w:num>
  <w:num w:numId="8" w16cid:durableId="834220477">
    <w:abstractNumId w:val="42"/>
  </w:num>
  <w:num w:numId="9" w16cid:durableId="1043868280">
    <w:abstractNumId w:val="20"/>
  </w:num>
  <w:num w:numId="10" w16cid:durableId="1189105545">
    <w:abstractNumId w:val="40"/>
  </w:num>
  <w:num w:numId="11" w16cid:durableId="503281547">
    <w:abstractNumId w:val="27"/>
  </w:num>
  <w:num w:numId="12" w16cid:durableId="1725328312">
    <w:abstractNumId w:val="28"/>
  </w:num>
  <w:num w:numId="13" w16cid:durableId="2006977926">
    <w:abstractNumId w:val="10"/>
  </w:num>
  <w:num w:numId="14" w16cid:durableId="1995596603">
    <w:abstractNumId w:val="34"/>
  </w:num>
  <w:num w:numId="15" w16cid:durableId="1716734843">
    <w:abstractNumId w:val="38"/>
  </w:num>
  <w:num w:numId="16" w16cid:durableId="1443454796">
    <w:abstractNumId w:val="3"/>
  </w:num>
  <w:num w:numId="17" w16cid:durableId="1753234108">
    <w:abstractNumId w:val="26"/>
  </w:num>
  <w:num w:numId="18" w16cid:durableId="1158497846">
    <w:abstractNumId w:val="7"/>
  </w:num>
  <w:num w:numId="19" w16cid:durableId="2048723022">
    <w:abstractNumId w:val="0"/>
  </w:num>
  <w:num w:numId="20" w16cid:durableId="181238087">
    <w:abstractNumId w:val="29"/>
  </w:num>
  <w:num w:numId="21" w16cid:durableId="6099243">
    <w:abstractNumId w:val="15"/>
  </w:num>
  <w:num w:numId="22" w16cid:durableId="482816236">
    <w:abstractNumId w:val="18"/>
  </w:num>
  <w:num w:numId="23" w16cid:durableId="233466308">
    <w:abstractNumId w:val="24"/>
  </w:num>
  <w:num w:numId="24" w16cid:durableId="1681155740">
    <w:abstractNumId w:val="46"/>
  </w:num>
  <w:num w:numId="25" w16cid:durableId="927538508">
    <w:abstractNumId w:val="1"/>
  </w:num>
  <w:num w:numId="26" w16cid:durableId="791481492">
    <w:abstractNumId w:val="12"/>
  </w:num>
  <w:num w:numId="27" w16cid:durableId="231548912">
    <w:abstractNumId w:val="39"/>
  </w:num>
  <w:num w:numId="28" w16cid:durableId="1886407257">
    <w:abstractNumId w:val="5"/>
  </w:num>
  <w:num w:numId="29" w16cid:durableId="160580934">
    <w:abstractNumId w:val="25"/>
  </w:num>
  <w:num w:numId="30" w16cid:durableId="323357382">
    <w:abstractNumId w:val="37"/>
  </w:num>
  <w:num w:numId="31" w16cid:durableId="551580324">
    <w:abstractNumId w:val="17"/>
  </w:num>
  <w:num w:numId="32" w16cid:durableId="1391881360">
    <w:abstractNumId w:val="22"/>
  </w:num>
  <w:num w:numId="33" w16cid:durableId="1146630837">
    <w:abstractNumId w:val="21"/>
  </w:num>
  <w:num w:numId="34" w16cid:durableId="269320029">
    <w:abstractNumId w:val="19"/>
  </w:num>
  <w:num w:numId="35" w16cid:durableId="1541165135">
    <w:abstractNumId w:val="4"/>
  </w:num>
  <w:num w:numId="36" w16cid:durableId="1203791267">
    <w:abstractNumId w:val="33"/>
  </w:num>
  <w:num w:numId="37" w16cid:durableId="1930390100">
    <w:abstractNumId w:val="43"/>
  </w:num>
  <w:num w:numId="38" w16cid:durableId="27874553">
    <w:abstractNumId w:val="45"/>
  </w:num>
  <w:num w:numId="39" w16cid:durableId="195966514">
    <w:abstractNumId w:val="31"/>
  </w:num>
  <w:num w:numId="40" w16cid:durableId="908660661">
    <w:abstractNumId w:val="35"/>
  </w:num>
  <w:num w:numId="41" w16cid:durableId="1231620018">
    <w:abstractNumId w:val="9"/>
  </w:num>
  <w:num w:numId="42" w16cid:durableId="710113470">
    <w:abstractNumId w:val="14"/>
  </w:num>
  <w:num w:numId="43" w16cid:durableId="1318879118">
    <w:abstractNumId w:val="23"/>
  </w:num>
  <w:num w:numId="44" w16cid:durableId="1582332728">
    <w:abstractNumId w:val="11"/>
  </w:num>
  <w:num w:numId="45" w16cid:durableId="1736588008">
    <w:abstractNumId w:val="2"/>
  </w:num>
  <w:num w:numId="46" w16cid:durableId="268314848">
    <w:abstractNumId w:val="30"/>
  </w:num>
  <w:num w:numId="47" w16cid:durableId="931162893">
    <w:abstractNumId w:val="32"/>
  </w:num>
  <w:num w:numId="48" w16cid:durableId="189276342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AYCAyNTc0tTA1NDIMtISUcpOLW4ODM/D6TAqBYAdbjpWSwAAAA="/>
  </w:docVars>
  <w:rsids>
    <w:rsidRoot w:val="00A96363"/>
    <w:rsid w:val="0000686D"/>
    <w:rsid w:val="00010458"/>
    <w:rsid w:val="000154BF"/>
    <w:rsid w:val="00022458"/>
    <w:rsid w:val="00023A9F"/>
    <w:rsid w:val="00036953"/>
    <w:rsid w:val="000453F3"/>
    <w:rsid w:val="00064C07"/>
    <w:rsid w:val="00076DB2"/>
    <w:rsid w:val="0009290A"/>
    <w:rsid w:val="000A2D7C"/>
    <w:rsid w:val="000C22DC"/>
    <w:rsid w:val="000C35F1"/>
    <w:rsid w:val="000C4335"/>
    <w:rsid w:val="000D1A73"/>
    <w:rsid w:val="000F4EA7"/>
    <w:rsid w:val="00107012"/>
    <w:rsid w:val="00130496"/>
    <w:rsid w:val="00141CD1"/>
    <w:rsid w:val="00170ACB"/>
    <w:rsid w:val="00173E42"/>
    <w:rsid w:val="00183E25"/>
    <w:rsid w:val="00187DFE"/>
    <w:rsid w:val="001A1700"/>
    <w:rsid w:val="001A542A"/>
    <w:rsid w:val="001B20D7"/>
    <w:rsid w:val="001B5209"/>
    <w:rsid w:val="001C1083"/>
    <w:rsid w:val="001C258C"/>
    <w:rsid w:val="001C47E4"/>
    <w:rsid w:val="001C5C1C"/>
    <w:rsid w:val="001D174A"/>
    <w:rsid w:val="001E5BC0"/>
    <w:rsid w:val="00206835"/>
    <w:rsid w:val="00213823"/>
    <w:rsid w:val="002264C8"/>
    <w:rsid w:val="002324C1"/>
    <w:rsid w:val="002421EC"/>
    <w:rsid w:val="00246185"/>
    <w:rsid w:val="002503E5"/>
    <w:rsid w:val="002567EF"/>
    <w:rsid w:val="00261844"/>
    <w:rsid w:val="00273E4C"/>
    <w:rsid w:val="002770C5"/>
    <w:rsid w:val="002773D1"/>
    <w:rsid w:val="002821C8"/>
    <w:rsid w:val="002836AA"/>
    <w:rsid w:val="00290730"/>
    <w:rsid w:val="002953DD"/>
    <w:rsid w:val="002973D7"/>
    <w:rsid w:val="002A0E07"/>
    <w:rsid w:val="002D4BF6"/>
    <w:rsid w:val="002E05B5"/>
    <w:rsid w:val="002E2291"/>
    <w:rsid w:val="002E36FA"/>
    <w:rsid w:val="002F4D3A"/>
    <w:rsid w:val="00305B86"/>
    <w:rsid w:val="003074B6"/>
    <w:rsid w:val="00307E45"/>
    <w:rsid w:val="0031698B"/>
    <w:rsid w:val="00322EE2"/>
    <w:rsid w:val="003260A6"/>
    <w:rsid w:val="00332760"/>
    <w:rsid w:val="00335011"/>
    <w:rsid w:val="00336D90"/>
    <w:rsid w:val="0034176F"/>
    <w:rsid w:val="00341ED2"/>
    <w:rsid w:val="0035382A"/>
    <w:rsid w:val="003577E8"/>
    <w:rsid w:val="003633B0"/>
    <w:rsid w:val="003726BF"/>
    <w:rsid w:val="00373B38"/>
    <w:rsid w:val="00374786"/>
    <w:rsid w:val="0038034B"/>
    <w:rsid w:val="00383EE1"/>
    <w:rsid w:val="00385ADD"/>
    <w:rsid w:val="003877B6"/>
    <w:rsid w:val="00391C14"/>
    <w:rsid w:val="0039762B"/>
    <w:rsid w:val="003A3670"/>
    <w:rsid w:val="003B68B6"/>
    <w:rsid w:val="003C6349"/>
    <w:rsid w:val="003C7141"/>
    <w:rsid w:val="003C7BCF"/>
    <w:rsid w:val="003E6B0F"/>
    <w:rsid w:val="003E70F7"/>
    <w:rsid w:val="003F68CC"/>
    <w:rsid w:val="003F6D84"/>
    <w:rsid w:val="00400100"/>
    <w:rsid w:val="00410399"/>
    <w:rsid w:val="00423934"/>
    <w:rsid w:val="004546A3"/>
    <w:rsid w:val="00455626"/>
    <w:rsid w:val="004653E8"/>
    <w:rsid w:val="004740B5"/>
    <w:rsid w:val="00481AE9"/>
    <w:rsid w:val="00486EDE"/>
    <w:rsid w:val="00492B0B"/>
    <w:rsid w:val="00492C0B"/>
    <w:rsid w:val="00493E17"/>
    <w:rsid w:val="00495338"/>
    <w:rsid w:val="00495B66"/>
    <w:rsid w:val="004970D3"/>
    <w:rsid w:val="00497CF3"/>
    <w:rsid w:val="004A5CAF"/>
    <w:rsid w:val="004B39E5"/>
    <w:rsid w:val="004B4E5A"/>
    <w:rsid w:val="004C69B8"/>
    <w:rsid w:val="004C6C67"/>
    <w:rsid w:val="004D01AD"/>
    <w:rsid w:val="004D0B61"/>
    <w:rsid w:val="004E364B"/>
    <w:rsid w:val="00505638"/>
    <w:rsid w:val="00506177"/>
    <w:rsid w:val="00512AAD"/>
    <w:rsid w:val="00520C11"/>
    <w:rsid w:val="005304AF"/>
    <w:rsid w:val="00533312"/>
    <w:rsid w:val="0053363A"/>
    <w:rsid w:val="00540A87"/>
    <w:rsid w:val="00582A98"/>
    <w:rsid w:val="00591363"/>
    <w:rsid w:val="00595A5D"/>
    <w:rsid w:val="00596BEC"/>
    <w:rsid w:val="005A78A2"/>
    <w:rsid w:val="005B2872"/>
    <w:rsid w:val="005B66CA"/>
    <w:rsid w:val="005D6C3C"/>
    <w:rsid w:val="005E2842"/>
    <w:rsid w:val="005E3B5C"/>
    <w:rsid w:val="005E52A8"/>
    <w:rsid w:val="005F01D9"/>
    <w:rsid w:val="00602491"/>
    <w:rsid w:val="006104C5"/>
    <w:rsid w:val="006177E6"/>
    <w:rsid w:val="00617E2A"/>
    <w:rsid w:val="00620D66"/>
    <w:rsid w:val="00624BDE"/>
    <w:rsid w:val="0062651D"/>
    <w:rsid w:val="006321BB"/>
    <w:rsid w:val="006356F0"/>
    <w:rsid w:val="00640522"/>
    <w:rsid w:val="006409CF"/>
    <w:rsid w:val="00644247"/>
    <w:rsid w:val="00665375"/>
    <w:rsid w:val="00677F79"/>
    <w:rsid w:val="00683793"/>
    <w:rsid w:val="00683A11"/>
    <w:rsid w:val="00687382"/>
    <w:rsid w:val="006908E0"/>
    <w:rsid w:val="006928CC"/>
    <w:rsid w:val="006A19F3"/>
    <w:rsid w:val="006A1C64"/>
    <w:rsid w:val="006A48B3"/>
    <w:rsid w:val="006B0ABA"/>
    <w:rsid w:val="006B6106"/>
    <w:rsid w:val="006C4F2D"/>
    <w:rsid w:val="006D0EA2"/>
    <w:rsid w:val="006D32AC"/>
    <w:rsid w:val="006E34E4"/>
    <w:rsid w:val="006F1A71"/>
    <w:rsid w:val="006F4151"/>
    <w:rsid w:val="006F7A11"/>
    <w:rsid w:val="00700206"/>
    <w:rsid w:val="0070545E"/>
    <w:rsid w:val="00721E23"/>
    <w:rsid w:val="00725C6F"/>
    <w:rsid w:val="00726D85"/>
    <w:rsid w:val="00731880"/>
    <w:rsid w:val="007327E3"/>
    <w:rsid w:val="00741EB3"/>
    <w:rsid w:val="00745D55"/>
    <w:rsid w:val="00750B2D"/>
    <w:rsid w:val="0075105E"/>
    <w:rsid w:val="00756197"/>
    <w:rsid w:val="00760361"/>
    <w:rsid w:val="0077054D"/>
    <w:rsid w:val="00776897"/>
    <w:rsid w:val="007801EC"/>
    <w:rsid w:val="00782351"/>
    <w:rsid w:val="00785DF3"/>
    <w:rsid w:val="0079004B"/>
    <w:rsid w:val="007A7A0E"/>
    <w:rsid w:val="007B1C67"/>
    <w:rsid w:val="007B6F2D"/>
    <w:rsid w:val="007B7488"/>
    <w:rsid w:val="007E0D8F"/>
    <w:rsid w:val="007E49E4"/>
    <w:rsid w:val="007E7A8D"/>
    <w:rsid w:val="00822D6F"/>
    <w:rsid w:val="00830844"/>
    <w:rsid w:val="008327AF"/>
    <w:rsid w:val="00846983"/>
    <w:rsid w:val="008506D5"/>
    <w:rsid w:val="008510B5"/>
    <w:rsid w:val="00852259"/>
    <w:rsid w:val="00853076"/>
    <w:rsid w:val="0085469E"/>
    <w:rsid w:val="008618D6"/>
    <w:rsid w:val="0086545A"/>
    <w:rsid w:val="00875745"/>
    <w:rsid w:val="0088284C"/>
    <w:rsid w:val="00887B4D"/>
    <w:rsid w:val="00893DE4"/>
    <w:rsid w:val="008A21C2"/>
    <w:rsid w:val="008B6DB3"/>
    <w:rsid w:val="008C5398"/>
    <w:rsid w:val="008C6B3A"/>
    <w:rsid w:val="008D6302"/>
    <w:rsid w:val="008E5F04"/>
    <w:rsid w:val="008E7CCD"/>
    <w:rsid w:val="00900716"/>
    <w:rsid w:val="0090504D"/>
    <w:rsid w:val="00910E95"/>
    <w:rsid w:val="00933AC3"/>
    <w:rsid w:val="00936CBC"/>
    <w:rsid w:val="00937BCF"/>
    <w:rsid w:val="009552A0"/>
    <w:rsid w:val="00962801"/>
    <w:rsid w:val="00970383"/>
    <w:rsid w:val="009970AC"/>
    <w:rsid w:val="009A403B"/>
    <w:rsid w:val="009D3205"/>
    <w:rsid w:val="009D4101"/>
    <w:rsid w:val="009D44C1"/>
    <w:rsid w:val="009D7759"/>
    <w:rsid w:val="009F1206"/>
    <w:rsid w:val="009F39E2"/>
    <w:rsid w:val="00A1232B"/>
    <w:rsid w:val="00A135BF"/>
    <w:rsid w:val="00A17798"/>
    <w:rsid w:val="00A212E8"/>
    <w:rsid w:val="00A247E6"/>
    <w:rsid w:val="00A27281"/>
    <w:rsid w:val="00A46D31"/>
    <w:rsid w:val="00A555B1"/>
    <w:rsid w:val="00A641AC"/>
    <w:rsid w:val="00A66681"/>
    <w:rsid w:val="00A70B67"/>
    <w:rsid w:val="00A72514"/>
    <w:rsid w:val="00A757D4"/>
    <w:rsid w:val="00A829D9"/>
    <w:rsid w:val="00A87717"/>
    <w:rsid w:val="00A9310B"/>
    <w:rsid w:val="00A953A4"/>
    <w:rsid w:val="00A96363"/>
    <w:rsid w:val="00AC627E"/>
    <w:rsid w:val="00B06E18"/>
    <w:rsid w:val="00B11A7C"/>
    <w:rsid w:val="00B12325"/>
    <w:rsid w:val="00B2456F"/>
    <w:rsid w:val="00B272E6"/>
    <w:rsid w:val="00B3050B"/>
    <w:rsid w:val="00B30AAB"/>
    <w:rsid w:val="00B34A23"/>
    <w:rsid w:val="00B35881"/>
    <w:rsid w:val="00B610CF"/>
    <w:rsid w:val="00B74AE4"/>
    <w:rsid w:val="00B808EA"/>
    <w:rsid w:val="00BA0A64"/>
    <w:rsid w:val="00BA0FF7"/>
    <w:rsid w:val="00BA1196"/>
    <w:rsid w:val="00BA7493"/>
    <w:rsid w:val="00BC6130"/>
    <w:rsid w:val="00BF10DE"/>
    <w:rsid w:val="00BF3287"/>
    <w:rsid w:val="00C12EA1"/>
    <w:rsid w:val="00C16702"/>
    <w:rsid w:val="00C35F5F"/>
    <w:rsid w:val="00C36608"/>
    <w:rsid w:val="00C50B98"/>
    <w:rsid w:val="00C65AB3"/>
    <w:rsid w:val="00C858B3"/>
    <w:rsid w:val="00C939A4"/>
    <w:rsid w:val="00C97488"/>
    <w:rsid w:val="00CC660A"/>
    <w:rsid w:val="00CC7C3E"/>
    <w:rsid w:val="00CD2DC7"/>
    <w:rsid w:val="00CD63EB"/>
    <w:rsid w:val="00CE515C"/>
    <w:rsid w:val="00CF233F"/>
    <w:rsid w:val="00CF2A65"/>
    <w:rsid w:val="00D021BD"/>
    <w:rsid w:val="00D111AB"/>
    <w:rsid w:val="00D126D8"/>
    <w:rsid w:val="00D134C7"/>
    <w:rsid w:val="00D136BB"/>
    <w:rsid w:val="00D4063F"/>
    <w:rsid w:val="00D4268E"/>
    <w:rsid w:val="00D42C5A"/>
    <w:rsid w:val="00D56282"/>
    <w:rsid w:val="00D57B0C"/>
    <w:rsid w:val="00D60E71"/>
    <w:rsid w:val="00D61025"/>
    <w:rsid w:val="00D6279B"/>
    <w:rsid w:val="00D62E3D"/>
    <w:rsid w:val="00D62E67"/>
    <w:rsid w:val="00D64235"/>
    <w:rsid w:val="00D64D40"/>
    <w:rsid w:val="00D64E67"/>
    <w:rsid w:val="00D6588D"/>
    <w:rsid w:val="00D65D5D"/>
    <w:rsid w:val="00D74CA6"/>
    <w:rsid w:val="00D7703D"/>
    <w:rsid w:val="00D86CAE"/>
    <w:rsid w:val="00D90272"/>
    <w:rsid w:val="00D969D1"/>
    <w:rsid w:val="00DA78B3"/>
    <w:rsid w:val="00DC4A7C"/>
    <w:rsid w:val="00DD1B2C"/>
    <w:rsid w:val="00DF0D81"/>
    <w:rsid w:val="00E05CFC"/>
    <w:rsid w:val="00E14D00"/>
    <w:rsid w:val="00E2534E"/>
    <w:rsid w:val="00E302F6"/>
    <w:rsid w:val="00E4009E"/>
    <w:rsid w:val="00E42831"/>
    <w:rsid w:val="00E46C65"/>
    <w:rsid w:val="00E53D65"/>
    <w:rsid w:val="00E83FE4"/>
    <w:rsid w:val="00E87B13"/>
    <w:rsid w:val="00E97B5D"/>
    <w:rsid w:val="00E97EB8"/>
    <w:rsid w:val="00EA00A8"/>
    <w:rsid w:val="00EA640C"/>
    <w:rsid w:val="00EA7900"/>
    <w:rsid w:val="00EB0A19"/>
    <w:rsid w:val="00EE32CA"/>
    <w:rsid w:val="00F0046D"/>
    <w:rsid w:val="00F01337"/>
    <w:rsid w:val="00F3318E"/>
    <w:rsid w:val="00F518B2"/>
    <w:rsid w:val="00F66116"/>
    <w:rsid w:val="00F73310"/>
    <w:rsid w:val="00F86B06"/>
    <w:rsid w:val="00FB1B46"/>
    <w:rsid w:val="00FB2A2E"/>
    <w:rsid w:val="00FC4D3C"/>
    <w:rsid w:val="00FD2B73"/>
    <w:rsid w:val="00FE05B2"/>
    <w:rsid w:val="00FE432C"/>
    <w:rsid w:val="00FE690A"/>
    <w:rsid w:val="00FF0400"/>
    <w:rsid w:val="00FF13F6"/>
    <w:rsid w:val="00FF151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4ABAA4"/>
  <w15:chartTrackingRefBased/>
  <w15:docId w15:val="{F188F962-CB29-46AA-B00A-F71181BA7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831"/>
  </w:style>
  <w:style w:type="paragraph" w:styleId="1">
    <w:name w:val="heading 1"/>
    <w:basedOn w:val="a"/>
    <w:next w:val="a"/>
    <w:link w:val="10"/>
    <w:uiPriority w:val="9"/>
    <w:qFormat/>
    <w:rsid w:val="0050563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unhideWhenUsed/>
    <w:rsid w:val="00D56282"/>
    <w:pPr>
      <w:spacing w:after="0" w:line="240" w:lineRule="auto"/>
    </w:pPr>
    <w:rPr>
      <w:sz w:val="20"/>
      <w:szCs w:val="20"/>
    </w:rPr>
  </w:style>
  <w:style w:type="character" w:customStyle="1" w:styleId="a4">
    <w:name w:val="Текст сноски Знак"/>
    <w:basedOn w:val="a0"/>
    <w:link w:val="a3"/>
    <w:uiPriority w:val="99"/>
    <w:rsid w:val="00D56282"/>
    <w:rPr>
      <w:sz w:val="20"/>
      <w:szCs w:val="20"/>
    </w:rPr>
  </w:style>
  <w:style w:type="character" w:styleId="a5">
    <w:name w:val="footnote reference"/>
    <w:basedOn w:val="a0"/>
    <w:uiPriority w:val="99"/>
    <w:semiHidden/>
    <w:unhideWhenUsed/>
    <w:rsid w:val="00D56282"/>
    <w:rPr>
      <w:vertAlign w:val="superscript"/>
    </w:rPr>
  </w:style>
  <w:style w:type="character" w:styleId="a6">
    <w:name w:val="Hyperlink"/>
    <w:basedOn w:val="a0"/>
    <w:uiPriority w:val="99"/>
    <w:unhideWhenUsed/>
    <w:rsid w:val="00D56282"/>
    <w:rPr>
      <w:color w:val="0563C1" w:themeColor="hyperlink"/>
      <w:u w:val="single"/>
    </w:rPr>
  </w:style>
  <w:style w:type="paragraph" w:styleId="a7">
    <w:name w:val="List Paragraph"/>
    <w:basedOn w:val="a"/>
    <w:uiPriority w:val="34"/>
    <w:qFormat/>
    <w:rsid w:val="00D56282"/>
    <w:pPr>
      <w:ind w:left="720"/>
      <w:contextualSpacing/>
    </w:pPr>
  </w:style>
  <w:style w:type="character" w:styleId="a8">
    <w:name w:val="FollowedHyperlink"/>
    <w:basedOn w:val="a0"/>
    <w:uiPriority w:val="99"/>
    <w:semiHidden/>
    <w:unhideWhenUsed/>
    <w:rsid w:val="00750B2D"/>
    <w:rPr>
      <w:color w:val="954F72" w:themeColor="followedHyperlink"/>
      <w:u w:val="single"/>
    </w:rPr>
  </w:style>
  <w:style w:type="character" w:customStyle="1" w:styleId="10">
    <w:name w:val="Заголовок 1 Знак"/>
    <w:basedOn w:val="a0"/>
    <w:link w:val="1"/>
    <w:uiPriority w:val="9"/>
    <w:rsid w:val="00505638"/>
    <w:rPr>
      <w:rFonts w:asciiTheme="majorHAnsi" w:eastAsiaTheme="majorEastAsia" w:hAnsiTheme="majorHAnsi" w:cstheme="majorBidi"/>
      <w:color w:val="2E74B5" w:themeColor="accent1" w:themeShade="BF"/>
      <w:sz w:val="32"/>
      <w:szCs w:val="32"/>
    </w:rPr>
  </w:style>
  <w:style w:type="paragraph" w:styleId="a9">
    <w:name w:val="header"/>
    <w:basedOn w:val="a"/>
    <w:link w:val="aa"/>
    <w:uiPriority w:val="99"/>
    <w:unhideWhenUsed/>
    <w:rsid w:val="006104C5"/>
    <w:pPr>
      <w:tabs>
        <w:tab w:val="center" w:pos="4680"/>
        <w:tab w:val="right" w:pos="9360"/>
      </w:tabs>
      <w:spacing w:after="0" w:line="240" w:lineRule="auto"/>
    </w:pPr>
  </w:style>
  <w:style w:type="character" w:customStyle="1" w:styleId="aa">
    <w:name w:val="Верхний колонтитул Знак"/>
    <w:basedOn w:val="a0"/>
    <w:link w:val="a9"/>
    <w:uiPriority w:val="99"/>
    <w:rsid w:val="006104C5"/>
  </w:style>
  <w:style w:type="paragraph" w:styleId="ab">
    <w:name w:val="footer"/>
    <w:basedOn w:val="a"/>
    <w:link w:val="ac"/>
    <w:uiPriority w:val="99"/>
    <w:unhideWhenUsed/>
    <w:rsid w:val="006104C5"/>
    <w:pPr>
      <w:tabs>
        <w:tab w:val="center" w:pos="4680"/>
        <w:tab w:val="right" w:pos="9360"/>
      </w:tabs>
      <w:spacing w:after="0" w:line="240" w:lineRule="auto"/>
    </w:pPr>
  </w:style>
  <w:style w:type="character" w:customStyle="1" w:styleId="ac">
    <w:name w:val="Нижний колонтитул Знак"/>
    <w:basedOn w:val="a0"/>
    <w:link w:val="ab"/>
    <w:uiPriority w:val="99"/>
    <w:rsid w:val="006104C5"/>
  </w:style>
  <w:style w:type="character" w:styleId="ad">
    <w:name w:val="annotation reference"/>
    <w:basedOn w:val="a0"/>
    <w:uiPriority w:val="99"/>
    <w:semiHidden/>
    <w:unhideWhenUsed/>
    <w:rsid w:val="0034176F"/>
    <w:rPr>
      <w:sz w:val="16"/>
      <w:szCs w:val="16"/>
    </w:rPr>
  </w:style>
  <w:style w:type="paragraph" w:styleId="ae">
    <w:name w:val="annotation text"/>
    <w:basedOn w:val="a"/>
    <w:link w:val="af"/>
    <w:uiPriority w:val="99"/>
    <w:semiHidden/>
    <w:unhideWhenUsed/>
    <w:rsid w:val="0034176F"/>
    <w:pPr>
      <w:spacing w:line="240" w:lineRule="auto"/>
    </w:pPr>
    <w:rPr>
      <w:sz w:val="20"/>
      <w:szCs w:val="20"/>
    </w:rPr>
  </w:style>
  <w:style w:type="character" w:customStyle="1" w:styleId="af">
    <w:name w:val="Текст примечания Знак"/>
    <w:basedOn w:val="a0"/>
    <w:link w:val="ae"/>
    <w:uiPriority w:val="99"/>
    <w:semiHidden/>
    <w:rsid w:val="0034176F"/>
    <w:rPr>
      <w:sz w:val="20"/>
      <w:szCs w:val="20"/>
    </w:rPr>
  </w:style>
  <w:style w:type="paragraph" w:styleId="af0">
    <w:name w:val="annotation subject"/>
    <w:basedOn w:val="ae"/>
    <w:next w:val="ae"/>
    <w:link w:val="af1"/>
    <w:uiPriority w:val="99"/>
    <w:semiHidden/>
    <w:unhideWhenUsed/>
    <w:rsid w:val="0034176F"/>
    <w:rPr>
      <w:b/>
      <w:bCs/>
    </w:rPr>
  </w:style>
  <w:style w:type="character" w:customStyle="1" w:styleId="af1">
    <w:name w:val="Тема примечания Знак"/>
    <w:basedOn w:val="af"/>
    <w:link w:val="af0"/>
    <w:uiPriority w:val="99"/>
    <w:semiHidden/>
    <w:rsid w:val="0034176F"/>
    <w:rPr>
      <w:b/>
      <w:bCs/>
      <w:sz w:val="20"/>
      <w:szCs w:val="20"/>
    </w:rPr>
  </w:style>
  <w:style w:type="paragraph" w:styleId="af2">
    <w:name w:val="Revision"/>
    <w:hidden/>
    <w:uiPriority w:val="99"/>
    <w:semiHidden/>
    <w:rsid w:val="0034176F"/>
    <w:pPr>
      <w:spacing w:after="0" w:line="240" w:lineRule="auto"/>
    </w:pPr>
  </w:style>
  <w:style w:type="paragraph" w:styleId="af3">
    <w:name w:val="Balloon Text"/>
    <w:basedOn w:val="a"/>
    <w:link w:val="af4"/>
    <w:uiPriority w:val="99"/>
    <w:semiHidden/>
    <w:unhideWhenUsed/>
    <w:rsid w:val="0034176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34176F"/>
    <w:rPr>
      <w:rFonts w:ascii="Segoe UI" w:hAnsi="Segoe UI" w:cs="Segoe UI"/>
      <w:sz w:val="18"/>
      <w:szCs w:val="18"/>
    </w:rPr>
  </w:style>
  <w:style w:type="paragraph" w:customStyle="1" w:styleId="Disclaimer">
    <w:name w:val="Disclaimer"/>
    <w:basedOn w:val="a"/>
    <w:qFormat/>
    <w:rsid w:val="00D6588D"/>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color w:val="00000A"/>
      <w:sz w:val="24"/>
      <w:szCs w:val="24"/>
    </w:rPr>
  </w:style>
  <w:style w:type="paragraph" w:customStyle="1" w:styleId="BlackStrips">
    <w:name w:val="Black Strips"/>
    <w:basedOn w:val="a"/>
    <w:qFormat/>
    <w:rsid w:val="00D6588D"/>
    <w:pPr>
      <w:shd w:val="clear" w:color="auto" w:fill="000000"/>
      <w:spacing w:after="200" w:line="240" w:lineRule="auto"/>
      <w:jc w:val="center"/>
    </w:pPr>
    <w:rPr>
      <w:color w:val="FFFFFF"/>
      <w:sz w:val="24"/>
      <w:szCs w:val="24"/>
    </w:rPr>
  </w:style>
  <w:style w:type="paragraph" w:customStyle="1" w:styleId="DisclaimerBold">
    <w:name w:val="Disclaimer Bold"/>
    <w:basedOn w:val="Disclaimer"/>
    <w:qFormat/>
    <w:rsid w:val="00D6588D"/>
    <w:pPr>
      <w:jc w:val="left"/>
    </w:pPr>
    <w:rPr>
      <w:b/>
    </w:rPr>
  </w:style>
  <w:style w:type="table" w:styleId="af5">
    <w:name w:val="Table Grid"/>
    <w:basedOn w:val="a1"/>
    <w:uiPriority w:val="39"/>
    <w:rsid w:val="009703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6017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harltonslaw.com/hkex-to-expand-paperless-listing-regime-from-31-december-202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nsubscribe@charltonslaw.com?subject=unsubscribe%20-Hong%20Kong%20La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arltonslaw.com/hkex-consults-on-expanding-the-paperless-listing-regime/" TargetMode="External"/><Relationship Id="rId5" Type="http://schemas.openxmlformats.org/officeDocument/2006/relationships/webSettings" Target="webSettings.xml"/><Relationship Id="rId10" Type="http://schemas.openxmlformats.org/officeDocument/2006/relationships/hyperlink" Target="https://www.hkex.com.hk/-/media/HKEX-Market/News/Market-Consultations/2016-Present/December-2022-Expand-Paperless-Listing-Regime/Consultation-Paper/cp202212.pdf" TargetMode="External"/><Relationship Id="rId4" Type="http://schemas.openxmlformats.org/officeDocument/2006/relationships/settings" Target="settings.xml"/><Relationship Id="rId9" Type="http://schemas.openxmlformats.org/officeDocument/2006/relationships/hyperlink" Target="https://www.hkex.com.hk/-/media/HKEX-Market/News/Market-Consultations/2016-Present/December-2022-Expand-Paperless-Listing-Regime/Conclusions-(Jun-2023)/cp202212cc.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D00C69-AE57-4746-9A7D-E9386FD91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1113</TotalTime>
  <Pages>12</Pages>
  <Words>5535</Words>
  <Characters>31552</Characters>
  <Application>Microsoft Office Word</Application>
  <DocSecurity>0</DocSecurity>
  <Lines>262</Lines>
  <Paragraphs>74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Tuen</dc:creator>
  <cp:keywords/>
  <dc:description/>
  <cp:lastModifiedBy>Александр Пирогов</cp:lastModifiedBy>
  <cp:revision>27</cp:revision>
  <cp:lastPrinted>2023-07-06T08:19:00Z</cp:lastPrinted>
  <dcterms:created xsi:type="dcterms:W3CDTF">2023-08-28T09:20:00Z</dcterms:created>
  <dcterms:modified xsi:type="dcterms:W3CDTF">2023-09-14T08:12:00Z</dcterms:modified>
</cp:coreProperties>
</file>