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95D" w:rsidRPr="008524CA" w:rsidRDefault="00AC695D" w:rsidP="00AC695D">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w:t>
      </w:r>
      <w:r w:rsidRPr="00AC695D">
        <w:rPr>
          <w:rFonts w:ascii="Cambria" w:eastAsia="Cambria" w:hAnsi="Cambria" w:cs="Times New Roman"/>
          <w:color w:val="FFFFFF"/>
          <w:sz w:val="24"/>
          <w:szCs w:val="24"/>
        </w:rPr>
        <w:t>1</w:t>
      </w:r>
      <w:r w:rsidR="00A7174C">
        <w:rPr>
          <w:rFonts w:ascii="Cambria" w:eastAsia="Cambria" w:hAnsi="Cambria" w:cs="Times New Roman"/>
          <w:color w:val="FFFFFF"/>
          <w:sz w:val="24"/>
          <w:szCs w:val="24"/>
        </w:rPr>
        <w:t>6</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August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AC695D" w:rsidRPr="00AC695D" w:rsidRDefault="00000000" w:rsidP="00AC695D">
      <w:pPr>
        <w:spacing w:after="200"/>
        <w:jc w:val="center"/>
        <w:rPr>
          <w:rFonts w:ascii="Cambria" w:eastAsia="Cambria" w:hAnsi="Cambria" w:cs="Times New Roman"/>
          <w:color w:val="00000A"/>
          <w:sz w:val="28"/>
          <w:szCs w:val="24"/>
          <w:u w:val="single"/>
        </w:rPr>
      </w:pPr>
      <w:hyperlink r:id="rId8" w:history="1">
        <w:r w:rsidR="00AC695D" w:rsidRPr="00365171">
          <w:rPr>
            <w:rStyle w:val="a5"/>
            <w:rFonts w:ascii="Cambria" w:eastAsia="Cambria" w:hAnsi="Cambria"/>
            <w:sz w:val="28"/>
            <w:szCs w:val="24"/>
          </w:rPr>
          <w:t>online version</w:t>
        </w:r>
      </w:hyperlink>
    </w:p>
    <w:p w:rsidR="00DF5BD5" w:rsidRPr="00DF5BD5" w:rsidRDefault="00DF5BD5" w:rsidP="00DF5BD5">
      <w:pPr>
        <w:pStyle w:val="a9"/>
        <w:jc w:val="center"/>
        <w:rPr>
          <w:b/>
          <w:bCs/>
          <w:color w:val="FF0000"/>
          <w:shd w:val="clear" w:color="auto" w:fill="FFFFFF"/>
        </w:rPr>
      </w:pPr>
      <w:r w:rsidRPr="00DF5BD5">
        <w:rPr>
          <w:b/>
          <w:bCs/>
          <w:color w:val="FF0000"/>
          <w:shd w:val="clear" w:color="auto" w:fill="FFFFFF"/>
        </w:rPr>
        <w:t>SFC Warns Unlicensed Crypto Exchanges re. Improper Conduct</w:t>
      </w:r>
    </w:p>
    <w:p w:rsidR="00DF5BD5" w:rsidRDefault="00DF5BD5" w:rsidP="002A27EA">
      <w:pPr>
        <w:pStyle w:val="a9"/>
        <w:jc w:val="both"/>
        <w:rPr>
          <w:color w:val="2C363A"/>
          <w:shd w:val="clear" w:color="auto" w:fill="FFFFFF"/>
        </w:rPr>
      </w:pPr>
    </w:p>
    <w:p w:rsidR="004B55AD" w:rsidRDefault="005F5CBB" w:rsidP="002A27EA">
      <w:pPr>
        <w:pStyle w:val="a9"/>
        <w:jc w:val="both"/>
        <w:rPr>
          <w:rFonts w:eastAsia="Microsoft JhengHei"/>
          <w:color w:val="262626"/>
        </w:rPr>
      </w:pPr>
      <w:r w:rsidRPr="00A0078F">
        <w:rPr>
          <w:rFonts w:eastAsia="Microsoft JhengHei"/>
          <w:color w:val="262626"/>
        </w:rPr>
        <w:t xml:space="preserve">Hong Kong’s Securities and Futures Commission (the </w:t>
      </w:r>
      <w:r w:rsidRPr="00A0078F">
        <w:rPr>
          <w:rFonts w:eastAsia="Microsoft JhengHei"/>
          <w:b/>
          <w:color w:val="262626"/>
        </w:rPr>
        <w:t>SFC</w:t>
      </w:r>
      <w:r w:rsidRPr="00A0078F">
        <w:rPr>
          <w:rFonts w:eastAsia="Microsoft JhengHei"/>
          <w:color w:val="262626"/>
        </w:rPr>
        <w:t xml:space="preserve">) has </w:t>
      </w:r>
      <w:r w:rsidR="00FF4773">
        <w:rPr>
          <w:rFonts w:eastAsia="Microsoft JhengHei"/>
          <w:color w:val="262626"/>
        </w:rPr>
        <w:t xml:space="preserve">warned </w:t>
      </w:r>
      <w:r w:rsidR="00C36E51">
        <w:rPr>
          <w:rFonts w:eastAsia="Microsoft JhengHei"/>
          <w:color w:val="262626"/>
        </w:rPr>
        <w:t>un</w:t>
      </w:r>
      <w:r w:rsidR="00C36E51" w:rsidRPr="00A0078F">
        <w:rPr>
          <w:rFonts w:eastAsia="Microsoft JhengHei"/>
          <w:color w:val="262626"/>
        </w:rPr>
        <w:t xml:space="preserve">licensed </w:t>
      </w:r>
      <w:r w:rsidRPr="00A0078F">
        <w:rPr>
          <w:rFonts w:eastAsia="Microsoft JhengHei"/>
          <w:color w:val="262626"/>
        </w:rPr>
        <w:t>virtual asset trading platform</w:t>
      </w:r>
      <w:r w:rsidR="00BC5214">
        <w:rPr>
          <w:rFonts w:eastAsia="Microsoft JhengHei"/>
          <w:color w:val="262626"/>
        </w:rPr>
        <w:t>s</w:t>
      </w:r>
      <w:r w:rsidRPr="00A0078F">
        <w:rPr>
          <w:rFonts w:eastAsia="Microsoft JhengHei"/>
          <w:color w:val="262626"/>
        </w:rPr>
        <w:t xml:space="preserve"> (</w:t>
      </w:r>
      <w:r w:rsidRPr="00BC5214">
        <w:rPr>
          <w:rFonts w:eastAsia="Microsoft JhengHei"/>
          <w:b/>
          <w:color w:val="262626"/>
        </w:rPr>
        <w:t>VATP</w:t>
      </w:r>
      <w:r w:rsidR="002A27EA">
        <w:rPr>
          <w:rFonts w:eastAsia="Microsoft JhengHei"/>
          <w:b/>
          <w:color w:val="262626"/>
        </w:rPr>
        <w:t>s</w:t>
      </w:r>
      <w:r w:rsidRPr="00A0078F">
        <w:rPr>
          <w:rFonts w:eastAsia="Microsoft JhengHei"/>
          <w:color w:val="262626"/>
        </w:rPr>
        <w:t xml:space="preserve">) of the potential legal and regulatory consequences of </w:t>
      </w:r>
      <w:r w:rsidR="00BC5214">
        <w:rPr>
          <w:rFonts w:eastAsia="Microsoft JhengHei"/>
          <w:color w:val="262626"/>
        </w:rPr>
        <w:t>false claims to have applied for SFC-licensing</w:t>
      </w:r>
      <w:r w:rsidR="00FF4773">
        <w:rPr>
          <w:rFonts w:eastAsia="Microsoft JhengHei"/>
          <w:color w:val="262626"/>
        </w:rPr>
        <w:t>, and providing prohibited services, such as staking</w:t>
      </w:r>
      <w:r w:rsidR="00BA3E59" w:rsidRPr="00A0078F">
        <w:rPr>
          <w:rFonts w:eastAsia="Microsoft JhengHei"/>
          <w:color w:val="262626"/>
        </w:rPr>
        <w:t xml:space="preserve">. </w:t>
      </w:r>
      <w:r w:rsidRPr="00A0078F">
        <w:rPr>
          <w:rFonts w:eastAsia="Microsoft JhengHei"/>
          <w:color w:val="262626"/>
        </w:rPr>
        <w:t xml:space="preserve">The </w:t>
      </w:r>
      <w:r w:rsidR="00BC5214">
        <w:rPr>
          <w:rFonts w:eastAsia="Microsoft JhengHei"/>
          <w:color w:val="262626"/>
        </w:rPr>
        <w:t>SFC</w:t>
      </w:r>
      <w:r w:rsidR="00FF4773">
        <w:rPr>
          <w:rFonts w:eastAsia="Microsoft JhengHei"/>
          <w:color w:val="262626"/>
        </w:rPr>
        <w:t xml:space="preserve">’s Warning - </w:t>
      </w:r>
      <w:hyperlink r:id="rId9" w:history="1">
        <w:r w:rsidR="00FF4773" w:rsidRPr="00FF4773">
          <w:rPr>
            <w:rStyle w:val="a5"/>
            <w:rFonts w:eastAsia="Microsoft JhengHei"/>
          </w:rPr>
          <w:t>Virtual asset trading platforms engaging in improper practices</w:t>
        </w:r>
      </w:hyperlink>
      <w:r w:rsidR="00BC5214">
        <w:rPr>
          <w:rFonts w:eastAsia="Microsoft JhengHei"/>
          <w:color w:val="262626"/>
        </w:rPr>
        <w:t xml:space="preserve"> </w:t>
      </w:r>
      <w:r w:rsidR="00FF4773">
        <w:rPr>
          <w:rFonts w:eastAsia="Microsoft JhengHei"/>
          <w:color w:val="262626"/>
        </w:rPr>
        <w:t xml:space="preserve">- </w:t>
      </w:r>
      <w:r w:rsidRPr="00A0078F">
        <w:rPr>
          <w:rFonts w:eastAsia="Microsoft JhengHei"/>
          <w:color w:val="262626"/>
        </w:rPr>
        <w:t xml:space="preserve">also warns investors </w:t>
      </w:r>
      <w:r w:rsidR="00477D42" w:rsidRPr="00A0078F">
        <w:rPr>
          <w:rFonts w:eastAsia="Microsoft JhengHei"/>
          <w:color w:val="262626"/>
        </w:rPr>
        <w:t>of the risks of trading crypto on unlicensed exchanges</w:t>
      </w:r>
      <w:r w:rsidR="00FF4773">
        <w:rPr>
          <w:rFonts w:eastAsia="Microsoft JhengHei"/>
          <w:color w:val="262626"/>
        </w:rPr>
        <w:t xml:space="preserve"> which may not comply with its requirements</w:t>
      </w:r>
      <w:r w:rsidR="00BC5214">
        <w:rPr>
          <w:rFonts w:eastAsia="Microsoft JhengHei"/>
          <w:color w:val="262626"/>
        </w:rPr>
        <w:t xml:space="preserve">. </w:t>
      </w:r>
    </w:p>
    <w:p w:rsidR="004B55AD" w:rsidRDefault="004B55AD" w:rsidP="002A27EA">
      <w:pPr>
        <w:pStyle w:val="a9"/>
        <w:jc w:val="both"/>
        <w:rPr>
          <w:rFonts w:eastAsia="Microsoft JhengHei"/>
          <w:color w:val="262626"/>
        </w:rPr>
      </w:pPr>
    </w:p>
    <w:p w:rsidR="002A27EA" w:rsidRDefault="00C36E51" w:rsidP="004B55AD">
      <w:pPr>
        <w:pStyle w:val="a9"/>
        <w:contextualSpacing/>
        <w:jc w:val="both"/>
      </w:pPr>
      <w:r>
        <w:rPr>
          <w:rFonts w:eastAsia="Microsoft JhengHei"/>
          <w:color w:val="262626"/>
        </w:rPr>
        <w:t>T</w:t>
      </w:r>
      <w:r w:rsidR="00BC5214">
        <w:rPr>
          <w:rFonts w:eastAsia="Microsoft JhengHei"/>
          <w:color w:val="262626"/>
        </w:rPr>
        <w:t xml:space="preserve">he SFC has not </w:t>
      </w:r>
      <w:r>
        <w:rPr>
          <w:rFonts w:eastAsia="Microsoft JhengHei"/>
          <w:color w:val="262626"/>
        </w:rPr>
        <w:t xml:space="preserve">yet </w:t>
      </w:r>
      <w:r w:rsidR="002A27EA">
        <w:rPr>
          <w:rFonts w:eastAsia="Microsoft JhengHei"/>
          <w:color w:val="262626"/>
        </w:rPr>
        <w:t>licensed</w:t>
      </w:r>
      <w:r w:rsidR="00BC5214">
        <w:rPr>
          <w:rFonts w:eastAsia="Microsoft JhengHei"/>
          <w:color w:val="262626"/>
        </w:rPr>
        <w:t xml:space="preserve"> </w:t>
      </w:r>
      <w:r w:rsidR="002A27EA">
        <w:rPr>
          <w:rFonts w:eastAsia="Microsoft JhengHei"/>
          <w:color w:val="262626"/>
        </w:rPr>
        <w:t xml:space="preserve">any crypto exchanges </w:t>
      </w:r>
      <w:r w:rsidR="00BC5214">
        <w:rPr>
          <w:rFonts w:eastAsia="Microsoft JhengHei"/>
          <w:color w:val="262626"/>
        </w:rPr>
        <w:t xml:space="preserve">to </w:t>
      </w:r>
      <w:r w:rsidR="002A27EA">
        <w:rPr>
          <w:rFonts w:eastAsia="Microsoft JhengHei"/>
          <w:color w:val="262626"/>
        </w:rPr>
        <w:t xml:space="preserve">offer </w:t>
      </w:r>
      <w:r w:rsidR="004B55AD">
        <w:rPr>
          <w:rFonts w:eastAsia="Microsoft JhengHei"/>
          <w:color w:val="262626"/>
        </w:rPr>
        <w:t xml:space="preserve">crypto </w:t>
      </w:r>
      <w:r w:rsidR="00BC5214">
        <w:rPr>
          <w:rFonts w:eastAsia="Microsoft JhengHei"/>
          <w:color w:val="262626"/>
        </w:rPr>
        <w:t xml:space="preserve">trading </w:t>
      </w:r>
      <w:r w:rsidR="004B55AD">
        <w:rPr>
          <w:rFonts w:eastAsia="Microsoft JhengHei"/>
          <w:color w:val="262626"/>
        </w:rPr>
        <w:t xml:space="preserve">services </w:t>
      </w:r>
      <w:r w:rsidR="004A0556">
        <w:rPr>
          <w:rFonts w:eastAsia="Microsoft JhengHei"/>
          <w:color w:val="262626"/>
        </w:rPr>
        <w:t xml:space="preserve">to retail </w:t>
      </w:r>
      <w:r w:rsidR="00BC5214">
        <w:rPr>
          <w:rFonts w:eastAsia="Microsoft JhengHei"/>
          <w:color w:val="262626"/>
        </w:rPr>
        <w:t>in</w:t>
      </w:r>
      <w:r w:rsidR="004A0556">
        <w:rPr>
          <w:rFonts w:eastAsia="Microsoft JhengHei"/>
          <w:color w:val="262626"/>
        </w:rPr>
        <w:t xml:space="preserve">vestors </w:t>
      </w:r>
      <w:r w:rsidR="00BC5214">
        <w:rPr>
          <w:rFonts w:eastAsia="Microsoft JhengHei"/>
          <w:color w:val="262626"/>
        </w:rPr>
        <w:t xml:space="preserve">under </w:t>
      </w:r>
      <w:r w:rsidR="004B55AD">
        <w:rPr>
          <w:rFonts w:eastAsia="Microsoft JhengHei"/>
          <w:color w:val="262626"/>
        </w:rPr>
        <w:t xml:space="preserve">the </w:t>
      </w:r>
      <w:r w:rsidR="00BC5214">
        <w:rPr>
          <w:rFonts w:eastAsia="Microsoft JhengHei"/>
          <w:color w:val="262626"/>
        </w:rPr>
        <w:t>new licensing regime</w:t>
      </w:r>
      <w:r w:rsidR="004A0556">
        <w:rPr>
          <w:rFonts w:eastAsia="Microsoft JhengHei"/>
          <w:color w:val="262626"/>
        </w:rPr>
        <w:t xml:space="preserve"> </w:t>
      </w:r>
      <w:r w:rsidR="004B55AD">
        <w:rPr>
          <w:rFonts w:eastAsia="Microsoft JhengHei"/>
          <w:color w:val="262626"/>
        </w:rPr>
        <w:t xml:space="preserve">which took effect on 1 June 2023 </w:t>
      </w:r>
      <w:r w:rsidR="004A0556">
        <w:rPr>
          <w:rFonts w:eastAsia="Microsoft JhengHei"/>
          <w:color w:val="262626"/>
        </w:rPr>
        <w:t xml:space="preserve">under the Anti-Money Laundering and Counter-Terrorist Financing Ordinance (the </w:t>
      </w:r>
      <w:r w:rsidR="004A0556" w:rsidRPr="002A27EA">
        <w:rPr>
          <w:rFonts w:eastAsia="Microsoft JhengHei"/>
          <w:b/>
          <w:color w:val="262626"/>
        </w:rPr>
        <w:t>AMLO</w:t>
      </w:r>
      <w:r w:rsidR="004A0556">
        <w:rPr>
          <w:rFonts w:eastAsia="Microsoft JhengHei"/>
          <w:color w:val="262626"/>
        </w:rPr>
        <w:t xml:space="preserve">). </w:t>
      </w:r>
      <w:r w:rsidR="002A27EA">
        <w:rPr>
          <w:rFonts w:eastAsia="Microsoft JhengHei"/>
          <w:color w:val="262626"/>
        </w:rPr>
        <w:t xml:space="preserve">However, </w:t>
      </w:r>
      <w:r w:rsidR="004B55AD">
        <w:rPr>
          <w:rFonts w:eastAsia="Microsoft JhengHei"/>
          <w:color w:val="262626"/>
        </w:rPr>
        <w:t xml:space="preserve">the SFC </w:t>
      </w:r>
      <w:r w:rsidR="002A27EA">
        <w:t>upgraded the</w:t>
      </w:r>
      <w:r w:rsidR="004B55AD">
        <w:t xml:space="preserve"> existing</w:t>
      </w:r>
      <w:r w:rsidR="002A27EA">
        <w:t xml:space="preserve"> </w:t>
      </w:r>
      <w:proofErr w:type="spellStart"/>
      <w:r w:rsidR="002A27EA">
        <w:t>licences</w:t>
      </w:r>
      <w:proofErr w:type="spellEnd"/>
      <w:r w:rsidR="002A27EA">
        <w:t xml:space="preserve"> of OSL </w:t>
      </w:r>
      <w:r w:rsidR="006A3789">
        <w:t>Digital Securities Limited (</w:t>
      </w:r>
      <w:r w:rsidR="006A3789" w:rsidRPr="006A3789">
        <w:rPr>
          <w:b/>
        </w:rPr>
        <w:t>OSL</w:t>
      </w:r>
      <w:r w:rsidR="006A3789">
        <w:t>)</w:t>
      </w:r>
      <w:r w:rsidR="006A3789">
        <w:rPr>
          <w:rStyle w:val="ad"/>
        </w:rPr>
        <w:footnoteReference w:id="1"/>
      </w:r>
      <w:r w:rsidR="006A3789">
        <w:t xml:space="preserve"> and </w:t>
      </w:r>
      <w:proofErr w:type="spellStart"/>
      <w:r w:rsidR="006A3789">
        <w:t>HashK</w:t>
      </w:r>
      <w:r w:rsidR="002A27EA">
        <w:t>ey</w:t>
      </w:r>
      <w:proofErr w:type="spellEnd"/>
      <w:r w:rsidR="002A27EA">
        <w:t xml:space="preserve"> </w:t>
      </w:r>
      <w:r w:rsidR="006A3789">
        <w:t>Brokerage Services Limited (</w:t>
      </w:r>
      <w:proofErr w:type="spellStart"/>
      <w:r w:rsidR="006A3789" w:rsidRPr="006A3789">
        <w:rPr>
          <w:b/>
        </w:rPr>
        <w:t>HashKey</w:t>
      </w:r>
      <w:proofErr w:type="spellEnd"/>
      <w:r w:rsidR="006A3789">
        <w:t>)</w:t>
      </w:r>
      <w:r w:rsidR="006A3789">
        <w:rPr>
          <w:rStyle w:val="ad"/>
        </w:rPr>
        <w:footnoteReference w:id="2"/>
      </w:r>
      <w:r w:rsidR="006A3789">
        <w:t xml:space="preserve"> </w:t>
      </w:r>
      <w:r w:rsidR="004B55AD">
        <w:t>on 3 August 2023</w:t>
      </w:r>
      <w:r w:rsidR="002A27EA">
        <w:t xml:space="preserve">, allowing them to expand their </w:t>
      </w:r>
      <w:r w:rsidR="004B55AD">
        <w:t xml:space="preserve">licensed </w:t>
      </w:r>
      <w:r w:rsidR="002A27EA">
        <w:t>crypto trading businesses to retail investors. Both platforms were already licensed under the Securities and Futures Ordinance (</w:t>
      </w:r>
      <w:r w:rsidR="002A27EA" w:rsidRPr="002A27EA">
        <w:rPr>
          <w:b/>
        </w:rPr>
        <w:t>SFO</w:t>
      </w:r>
      <w:r w:rsidR="002A27EA">
        <w:t>) to trade crypto for professional investors</w:t>
      </w:r>
      <w:r w:rsidR="004B55AD">
        <w:t>: t</w:t>
      </w:r>
      <w:r w:rsidR="002A27EA">
        <w:t xml:space="preserve">he </w:t>
      </w:r>
      <w:r w:rsidR="004B55AD">
        <w:t xml:space="preserve">June </w:t>
      </w:r>
      <w:r w:rsidR="002A27EA">
        <w:t xml:space="preserve">regulatory changes </w:t>
      </w:r>
      <w:r w:rsidR="004B55AD">
        <w:t xml:space="preserve">allowed the SFC to upgrade those </w:t>
      </w:r>
      <w:proofErr w:type="spellStart"/>
      <w:r w:rsidR="004B55AD">
        <w:t>licences</w:t>
      </w:r>
      <w:proofErr w:type="spellEnd"/>
      <w:r w:rsidR="004B55AD">
        <w:t xml:space="preserve"> </w:t>
      </w:r>
      <w:r w:rsidR="002A27EA">
        <w:t xml:space="preserve">to </w:t>
      </w:r>
      <w:r w:rsidR="004B55AD">
        <w:t>enable them to offer</w:t>
      </w:r>
      <w:r w:rsidR="002A27EA">
        <w:t xml:space="preserve"> trading in "highly liquid" </w:t>
      </w:r>
      <w:r w:rsidR="004B55AD">
        <w:t xml:space="preserve">crypto </w:t>
      </w:r>
      <w:r w:rsidR="002A27EA">
        <w:t xml:space="preserve">to retail investors, subject to </w:t>
      </w:r>
      <w:r w:rsidR="004B55AD">
        <w:t xml:space="preserve">the exchanges’ compliance with </w:t>
      </w:r>
      <w:r w:rsidR="002A27EA">
        <w:t>various</w:t>
      </w:r>
      <w:r w:rsidR="004B55AD">
        <w:t xml:space="preserve"> additional</w:t>
      </w:r>
      <w:r w:rsidR="002A27EA">
        <w:t xml:space="preserve"> investor protection measures. </w:t>
      </w:r>
    </w:p>
    <w:p w:rsidR="004B55AD" w:rsidRDefault="004B55AD" w:rsidP="004B55AD">
      <w:pPr>
        <w:shd w:val="clear" w:color="auto" w:fill="FFFFFF"/>
        <w:spacing w:after="0" w:line="240" w:lineRule="auto"/>
        <w:contextualSpacing/>
        <w:jc w:val="both"/>
        <w:rPr>
          <w:rFonts w:ascii="Arial" w:eastAsia="Microsoft JhengHei" w:hAnsi="Arial" w:cs="Arial"/>
          <w:b/>
          <w:color w:val="FF0000"/>
          <w:sz w:val="20"/>
          <w:szCs w:val="20"/>
        </w:rPr>
      </w:pPr>
    </w:p>
    <w:p w:rsidR="004B55AD" w:rsidRDefault="004B55AD" w:rsidP="004B55AD">
      <w:pPr>
        <w:shd w:val="clear" w:color="auto" w:fill="FFFFFF"/>
        <w:spacing w:after="0" w:line="240" w:lineRule="auto"/>
        <w:contextualSpacing/>
        <w:jc w:val="both"/>
        <w:rPr>
          <w:rFonts w:ascii="Arial" w:eastAsia="Microsoft JhengHei" w:hAnsi="Arial" w:cs="Arial"/>
          <w:b/>
          <w:color w:val="FF0000"/>
          <w:sz w:val="20"/>
          <w:szCs w:val="20"/>
        </w:rPr>
      </w:pPr>
      <w:r w:rsidRPr="004B55AD">
        <w:rPr>
          <w:rFonts w:ascii="Arial" w:eastAsia="Microsoft JhengHei" w:hAnsi="Arial" w:cs="Arial"/>
          <w:b/>
          <w:color w:val="FF0000"/>
          <w:sz w:val="20"/>
          <w:szCs w:val="20"/>
        </w:rPr>
        <w:t xml:space="preserve">False Claims to Have Applied to the SFC for Licensing </w:t>
      </w:r>
    </w:p>
    <w:p w:rsidR="004B55AD" w:rsidRPr="004B55AD" w:rsidRDefault="004B55AD" w:rsidP="004B55AD">
      <w:pPr>
        <w:shd w:val="clear" w:color="auto" w:fill="FFFFFF"/>
        <w:spacing w:after="0" w:line="240" w:lineRule="auto"/>
        <w:contextualSpacing/>
        <w:jc w:val="both"/>
        <w:rPr>
          <w:rFonts w:ascii="Arial" w:eastAsia="Microsoft JhengHei" w:hAnsi="Arial" w:cs="Arial"/>
          <w:b/>
          <w:color w:val="FF0000"/>
          <w:sz w:val="20"/>
          <w:szCs w:val="20"/>
        </w:rPr>
      </w:pPr>
    </w:p>
    <w:p w:rsidR="000017C5" w:rsidRPr="00BF5492" w:rsidRDefault="003125A8" w:rsidP="00B47A0C">
      <w:pPr>
        <w:shd w:val="clear" w:color="auto" w:fill="FFFFFF"/>
        <w:spacing w:after="180" w:line="276" w:lineRule="auto"/>
        <w:jc w:val="both"/>
        <w:rPr>
          <w:rFonts w:ascii="Arial" w:eastAsiaTheme="minorHAnsi" w:hAnsi="Arial" w:cs="Arial"/>
          <w:sz w:val="20"/>
          <w:szCs w:val="20"/>
          <w:lang w:eastAsia="en-US"/>
        </w:rPr>
      </w:pPr>
      <w:r w:rsidRPr="00BF5492">
        <w:rPr>
          <w:rFonts w:ascii="Arial" w:eastAsiaTheme="minorHAnsi" w:hAnsi="Arial" w:cs="Arial"/>
          <w:sz w:val="20"/>
          <w:szCs w:val="20"/>
          <w:lang w:eastAsia="en-US"/>
        </w:rPr>
        <w:t xml:space="preserve">The SFC </w:t>
      </w:r>
      <w:r w:rsidR="0041458E" w:rsidRPr="00BF5492">
        <w:rPr>
          <w:rFonts w:ascii="Arial" w:eastAsiaTheme="minorHAnsi" w:hAnsi="Arial" w:cs="Arial"/>
          <w:sz w:val="20"/>
          <w:szCs w:val="20"/>
          <w:lang w:eastAsia="en-US"/>
        </w:rPr>
        <w:t>notes that</w:t>
      </w:r>
      <w:r w:rsidRPr="00BF5492">
        <w:rPr>
          <w:rFonts w:ascii="Arial" w:eastAsiaTheme="minorHAnsi" w:hAnsi="Arial" w:cs="Arial"/>
          <w:sz w:val="20"/>
          <w:szCs w:val="20"/>
          <w:lang w:eastAsia="en-US"/>
        </w:rPr>
        <w:t xml:space="preserve"> </w:t>
      </w:r>
      <w:r w:rsidR="004B55AD" w:rsidRPr="00BF5492">
        <w:rPr>
          <w:rFonts w:ascii="Arial" w:eastAsiaTheme="minorHAnsi" w:hAnsi="Arial" w:cs="Arial"/>
          <w:sz w:val="20"/>
          <w:szCs w:val="20"/>
          <w:lang w:eastAsia="en-US"/>
        </w:rPr>
        <w:t xml:space="preserve">some </w:t>
      </w:r>
      <w:r w:rsidRPr="00BF5492">
        <w:rPr>
          <w:rFonts w:ascii="Arial" w:eastAsiaTheme="minorHAnsi" w:hAnsi="Arial" w:cs="Arial"/>
          <w:sz w:val="20"/>
          <w:szCs w:val="20"/>
          <w:lang w:eastAsia="en-US"/>
        </w:rPr>
        <w:t xml:space="preserve">unlicensed VATPs </w:t>
      </w:r>
      <w:r w:rsidR="00BF5492">
        <w:rPr>
          <w:rFonts w:ascii="Arial" w:eastAsiaTheme="minorHAnsi" w:hAnsi="Arial" w:cs="Arial"/>
          <w:sz w:val="20"/>
          <w:szCs w:val="20"/>
          <w:lang w:eastAsia="en-US"/>
        </w:rPr>
        <w:t xml:space="preserve">operating in Hong Kong </w:t>
      </w:r>
      <w:r w:rsidR="00BC6C9C" w:rsidRPr="00BF5492">
        <w:rPr>
          <w:rFonts w:ascii="Arial" w:eastAsiaTheme="minorHAnsi" w:hAnsi="Arial" w:cs="Arial"/>
          <w:sz w:val="20"/>
          <w:szCs w:val="20"/>
          <w:lang w:eastAsia="en-US"/>
        </w:rPr>
        <w:t>claim</w:t>
      </w:r>
      <w:r w:rsidR="0060473D" w:rsidRPr="00BF5492">
        <w:rPr>
          <w:rFonts w:ascii="Arial" w:eastAsiaTheme="minorHAnsi" w:hAnsi="Arial" w:cs="Arial"/>
          <w:sz w:val="20"/>
          <w:szCs w:val="20"/>
          <w:lang w:eastAsia="en-US"/>
        </w:rPr>
        <w:t xml:space="preserve"> </w:t>
      </w:r>
      <w:r w:rsidR="000D0DD8" w:rsidRPr="00BF5492">
        <w:rPr>
          <w:rFonts w:ascii="Arial" w:eastAsiaTheme="minorHAnsi" w:hAnsi="Arial" w:cs="Arial"/>
          <w:sz w:val="20"/>
          <w:szCs w:val="20"/>
          <w:lang w:eastAsia="en-US"/>
        </w:rPr>
        <w:t>to</w:t>
      </w:r>
      <w:r w:rsidR="004B55AD" w:rsidRPr="00BF5492">
        <w:rPr>
          <w:rFonts w:ascii="Arial" w:eastAsiaTheme="minorHAnsi" w:hAnsi="Arial" w:cs="Arial"/>
          <w:sz w:val="20"/>
          <w:szCs w:val="20"/>
          <w:lang w:eastAsia="en-US"/>
        </w:rPr>
        <w:t xml:space="preserve"> have submitted a licensing application to the SFC</w:t>
      </w:r>
      <w:r w:rsidR="00BF5492">
        <w:rPr>
          <w:rFonts w:ascii="Arial" w:eastAsiaTheme="minorHAnsi" w:hAnsi="Arial" w:cs="Arial"/>
          <w:sz w:val="20"/>
          <w:szCs w:val="20"/>
          <w:lang w:eastAsia="en-US"/>
        </w:rPr>
        <w:t>,</w:t>
      </w:r>
      <w:r w:rsidR="004B55AD" w:rsidRPr="00BF5492">
        <w:rPr>
          <w:rFonts w:ascii="Arial" w:eastAsiaTheme="minorHAnsi" w:hAnsi="Arial" w:cs="Arial"/>
          <w:sz w:val="20"/>
          <w:szCs w:val="20"/>
          <w:lang w:eastAsia="en-US"/>
        </w:rPr>
        <w:t xml:space="preserve"> when this </w:t>
      </w:r>
      <w:r w:rsidR="0060473D" w:rsidRPr="00BF5492">
        <w:rPr>
          <w:rFonts w:ascii="Arial" w:eastAsiaTheme="minorHAnsi" w:hAnsi="Arial" w:cs="Arial"/>
          <w:sz w:val="20"/>
          <w:szCs w:val="20"/>
          <w:lang w:eastAsia="en-US"/>
        </w:rPr>
        <w:t>is not true.</w:t>
      </w:r>
      <w:r w:rsidRPr="00BF5492">
        <w:rPr>
          <w:rFonts w:ascii="Arial" w:eastAsiaTheme="minorHAnsi" w:hAnsi="Arial" w:cs="Arial"/>
          <w:sz w:val="20"/>
          <w:szCs w:val="20"/>
          <w:lang w:eastAsia="en-US"/>
        </w:rPr>
        <w:t xml:space="preserve"> </w:t>
      </w:r>
      <w:r w:rsidR="0060473D" w:rsidRPr="00BF5492">
        <w:rPr>
          <w:rFonts w:ascii="Arial" w:eastAsiaTheme="minorHAnsi" w:hAnsi="Arial" w:cs="Arial"/>
          <w:sz w:val="20"/>
          <w:szCs w:val="20"/>
          <w:lang w:eastAsia="en-US"/>
        </w:rPr>
        <w:t>It is an offence under section 53ZRG of the AMLO to make a fraudulent or reckless misrepresentation in order to induce an acquisition or disposal of a virtual asset. That offence carries maximum penalties of seven years’ imprisonment and a HK$1 million fine. According to the SFC, false claims to have applied for SFC licensing may mislead the investing public into believing that the crypto exchange complies with the regulatory requirements for licensing</w:t>
      </w:r>
      <w:r w:rsidR="005D22E8" w:rsidRPr="00BF5492">
        <w:rPr>
          <w:rFonts w:ascii="Arial" w:eastAsiaTheme="minorHAnsi" w:hAnsi="Arial" w:cs="Arial"/>
          <w:sz w:val="20"/>
          <w:szCs w:val="20"/>
          <w:lang w:eastAsia="en-US"/>
        </w:rPr>
        <w:t>,</w:t>
      </w:r>
      <w:r w:rsidR="0060473D" w:rsidRPr="00BF5492">
        <w:rPr>
          <w:rFonts w:ascii="Arial" w:eastAsiaTheme="minorHAnsi" w:hAnsi="Arial" w:cs="Arial"/>
          <w:sz w:val="20"/>
          <w:szCs w:val="20"/>
          <w:lang w:eastAsia="en-US"/>
        </w:rPr>
        <w:t xml:space="preserve"> when this is not the case. If the exchange </w:t>
      </w:r>
      <w:r w:rsidR="005D22E8" w:rsidRPr="00BF5492">
        <w:rPr>
          <w:rFonts w:ascii="Arial" w:eastAsiaTheme="minorHAnsi" w:hAnsi="Arial" w:cs="Arial"/>
          <w:sz w:val="20"/>
          <w:szCs w:val="20"/>
          <w:lang w:eastAsia="en-US"/>
        </w:rPr>
        <w:t xml:space="preserve">subsequently </w:t>
      </w:r>
      <w:r w:rsidR="0060473D" w:rsidRPr="00BF5492">
        <w:rPr>
          <w:rFonts w:ascii="Arial" w:eastAsiaTheme="minorHAnsi" w:hAnsi="Arial" w:cs="Arial"/>
          <w:sz w:val="20"/>
          <w:szCs w:val="20"/>
          <w:lang w:eastAsia="en-US"/>
        </w:rPr>
        <w:t xml:space="preserve">applies for a </w:t>
      </w:r>
      <w:proofErr w:type="spellStart"/>
      <w:r w:rsidR="0060473D" w:rsidRPr="00BF5492">
        <w:rPr>
          <w:rFonts w:ascii="Arial" w:eastAsiaTheme="minorHAnsi" w:hAnsi="Arial" w:cs="Arial"/>
          <w:sz w:val="20"/>
          <w:szCs w:val="20"/>
          <w:lang w:eastAsia="en-US"/>
        </w:rPr>
        <w:t>licence</w:t>
      </w:r>
      <w:proofErr w:type="spellEnd"/>
      <w:r w:rsidR="0060473D" w:rsidRPr="00BF5492">
        <w:rPr>
          <w:rFonts w:ascii="Arial" w:eastAsiaTheme="minorHAnsi" w:hAnsi="Arial" w:cs="Arial"/>
          <w:sz w:val="20"/>
          <w:szCs w:val="20"/>
          <w:lang w:eastAsia="en-US"/>
        </w:rPr>
        <w:t xml:space="preserve">, the SFC says that it will take </w:t>
      </w:r>
      <w:r w:rsidR="005D22E8" w:rsidRPr="00BF5492">
        <w:rPr>
          <w:rFonts w:ascii="Arial" w:eastAsiaTheme="minorHAnsi" w:hAnsi="Arial" w:cs="Arial"/>
          <w:sz w:val="20"/>
          <w:szCs w:val="20"/>
          <w:lang w:eastAsia="en-US"/>
        </w:rPr>
        <w:t xml:space="preserve">any misrepresentation as to the exchange’s </w:t>
      </w:r>
      <w:r w:rsidR="0060473D" w:rsidRPr="00BF5492">
        <w:rPr>
          <w:rFonts w:ascii="Arial" w:eastAsiaTheme="minorHAnsi" w:hAnsi="Arial" w:cs="Arial"/>
          <w:sz w:val="20"/>
          <w:szCs w:val="20"/>
          <w:lang w:eastAsia="en-US"/>
        </w:rPr>
        <w:t xml:space="preserve">licensed status into account in determining its fitness and properness to be licensed. </w:t>
      </w:r>
    </w:p>
    <w:p w:rsidR="001A7750" w:rsidRPr="006B345F" w:rsidRDefault="00A06EA0" w:rsidP="00B47A0C">
      <w:pPr>
        <w:shd w:val="clear" w:color="auto" w:fill="FFFFFF"/>
        <w:spacing w:after="180" w:line="276" w:lineRule="auto"/>
        <w:jc w:val="both"/>
        <w:rPr>
          <w:rFonts w:ascii="Arial" w:eastAsia="Microsoft JhengHei" w:hAnsi="Arial" w:cs="Arial"/>
          <w:b/>
          <w:color w:val="FF0000"/>
          <w:sz w:val="20"/>
          <w:szCs w:val="20"/>
        </w:rPr>
      </w:pPr>
      <w:r w:rsidRPr="006B345F">
        <w:rPr>
          <w:rFonts w:ascii="Arial" w:eastAsia="Microsoft JhengHei" w:hAnsi="Arial" w:cs="Arial"/>
          <w:b/>
          <w:color w:val="FF0000"/>
          <w:sz w:val="20"/>
          <w:szCs w:val="20"/>
        </w:rPr>
        <w:t xml:space="preserve">Unlicensed VATPs </w:t>
      </w:r>
      <w:r w:rsidR="006B345F" w:rsidRPr="006B345F">
        <w:rPr>
          <w:rFonts w:ascii="Arial" w:eastAsia="Microsoft JhengHei" w:hAnsi="Arial" w:cs="Arial"/>
          <w:b/>
          <w:color w:val="FF0000"/>
          <w:sz w:val="20"/>
          <w:szCs w:val="20"/>
        </w:rPr>
        <w:t>O</w:t>
      </w:r>
      <w:r w:rsidRPr="006B345F">
        <w:rPr>
          <w:rFonts w:ascii="Arial" w:eastAsia="Microsoft JhengHei" w:hAnsi="Arial" w:cs="Arial"/>
          <w:b/>
          <w:color w:val="FF0000"/>
          <w:sz w:val="20"/>
          <w:szCs w:val="20"/>
        </w:rPr>
        <w:t>perating in Hong Kong</w:t>
      </w:r>
      <w:r w:rsidR="006B345F" w:rsidRPr="006B345F">
        <w:rPr>
          <w:rFonts w:ascii="Arial" w:eastAsia="Microsoft JhengHei" w:hAnsi="Arial" w:cs="Arial"/>
          <w:b/>
          <w:color w:val="FF0000"/>
          <w:sz w:val="20"/>
          <w:szCs w:val="20"/>
        </w:rPr>
        <w:t xml:space="preserve"> under the AMLO’s Transitional Arrangements</w:t>
      </w:r>
    </w:p>
    <w:p w:rsidR="006B345F" w:rsidRDefault="006B345F" w:rsidP="00B47A0C">
      <w:pPr>
        <w:shd w:val="clear" w:color="auto" w:fill="FFFFFF"/>
        <w:spacing w:after="180" w:line="276" w:lineRule="auto"/>
        <w:jc w:val="both"/>
        <w:rPr>
          <w:rFonts w:ascii="Arial" w:eastAsia="Microsoft JhengHei" w:hAnsi="Arial" w:cs="Arial"/>
          <w:color w:val="262626"/>
          <w:sz w:val="20"/>
          <w:szCs w:val="20"/>
        </w:rPr>
      </w:pPr>
      <w:r>
        <w:rPr>
          <w:rFonts w:ascii="Arial" w:eastAsia="Microsoft JhengHei" w:hAnsi="Arial" w:cs="Arial"/>
          <w:color w:val="262626"/>
          <w:sz w:val="20"/>
          <w:szCs w:val="20"/>
        </w:rPr>
        <w:t xml:space="preserve">The transitional arrangements introduced on the commencement of the new AMLO licensing regime for VATPs allow VATPs that had a substantial operating presence in Hong Kong before 1 June 2023 to continue their operations without a </w:t>
      </w:r>
      <w:proofErr w:type="spellStart"/>
      <w:r>
        <w:rPr>
          <w:rFonts w:ascii="Arial" w:eastAsia="Microsoft JhengHei" w:hAnsi="Arial" w:cs="Arial"/>
          <w:color w:val="262626"/>
          <w:sz w:val="20"/>
          <w:szCs w:val="20"/>
        </w:rPr>
        <w:t>licence</w:t>
      </w:r>
      <w:proofErr w:type="spellEnd"/>
      <w:r>
        <w:rPr>
          <w:rFonts w:ascii="Arial" w:eastAsia="Microsoft JhengHei" w:hAnsi="Arial" w:cs="Arial"/>
          <w:color w:val="262626"/>
          <w:sz w:val="20"/>
          <w:szCs w:val="20"/>
        </w:rPr>
        <w:t xml:space="preserve"> for the first year of the new regime (i.e</w:t>
      </w:r>
      <w:r w:rsidR="00DF5BD5">
        <w:rPr>
          <w:rFonts w:ascii="Arial" w:eastAsia="Microsoft JhengHei" w:hAnsi="Arial" w:cs="Arial"/>
          <w:color w:val="262626"/>
          <w:sz w:val="20"/>
          <w:szCs w:val="20"/>
        </w:rPr>
        <w:t>.</w:t>
      </w:r>
      <w:r>
        <w:rPr>
          <w:rFonts w:ascii="Arial" w:eastAsia="Microsoft JhengHei" w:hAnsi="Arial" w:cs="Arial"/>
          <w:color w:val="262626"/>
          <w:sz w:val="20"/>
          <w:szCs w:val="20"/>
        </w:rPr>
        <w:t xml:space="preserve"> until 31 May 2024). To continue operating beyond that date, exchanges must apply to be licensed no later than 29 February 2024. Exchanges who apply by the deadline will then be deemed to be licensed from 31 May 2024 until the earlier of the grant, withdrawal or refusal of their application</w:t>
      </w:r>
      <w:r w:rsidR="00F8145C">
        <w:rPr>
          <w:rFonts w:ascii="Arial" w:eastAsia="Microsoft JhengHei" w:hAnsi="Arial" w:cs="Arial"/>
          <w:color w:val="262626"/>
          <w:sz w:val="20"/>
          <w:szCs w:val="20"/>
        </w:rPr>
        <w:t xml:space="preserve"> (the </w:t>
      </w:r>
      <w:r w:rsidR="00F8145C">
        <w:rPr>
          <w:rFonts w:ascii="Arial" w:eastAsia="Microsoft JhengHei" w:hAnsi="Arial" w:cs="Arial"/>
          <w:b/>
          <w:color w:val="262626"/>
          <w:sz w:val="20"/>
          <w:szCs w:val="20"/>
        </w:rPr>
        <w:t>deeming arrangement</w:t>
      </w:r>
      <w:r w:rsidR="00F8145C">
        <w:rPr>
          <w:rFonts w:ascii="Arial" w:eastAsia="Microsoft JhengHei" w:hAnsi="Arial" w:cs="Arial"/>
          <w:color w:val="262626"/>
          <w:sz w:val="20"/>
          <w:szCs w:val="20"/>
        </w:rPr>
        <w:t>)</w:t>
      </w:r>
      <w:r>
        <w:rPr>
          <w:rFonts w:ascii="Arial" w:eastAsia="Microsoft JhengHei" w:hAnsi="Arial" w:cs="Arial"/>
          <w:color w:val="262626"/>
          <w:sz w:val="20"/>
          <w:szCs w:val="20"/>
        </w:rPr>
        <w:t xml:space="preserve">. </w:t>
      </w:r>
      <w:r w:rsidR="00F8145C">
        <w:rPr>
          <w:rFonts w:ascii="Arial" w:eastAsia="Microsoft JhengHei" w:hAnsi="Arial" w:cs="Arial"/>
          <w:color w:val="262626"/>
          <w:sz w:val="20"/>
          <w:szCs w:val="20"/>
        </w:rPr>
        <w:t xml:space="preserve">Thus, unlicensed exchanges may be operating in Hong Kong </w:t>
      </w:r>
      <w:r w:rsidR="00E501B4">
        <w:rPr>
          <w:rFonts w:ascii="Arial" w:eastAsia="Microsoft JhengHei" w:hAnsi="Arial" w:cs="Arial"/>
          <w:color w:val="262626"/>
          <w:sz w:val="20"/>
          <w:szCs w:val="20"/>
        </w:rPr>
        <w:t xml:space="preserve">having already applied, or </w:t>
      </w:r>
      <w:r w:rsidR="00F8145C">
        <w:rPr>
          <w:rFonts w:ascii="Arial" w:eastAsia="Microsoft JhengHei" w:hAnsi="Arial" w:cs="Arial"/>
          <w:color w:val="262626"/>
          <w:sz w:val="20"/>
          <w:szCs w:val="20"/>
        </w:rPr>
        <w:t>with the intention of applying</w:t>
      </w:r>
      <w:r w:rsidR="00E501B4">
        <w:rPr>
          <w:rFonts w:ascii="Arial" w:eastAsia="Microsoft JhengHei" w:hAnsi="Arial" w:cs="Arial"/>
          <w:color w:val="262626"/>
          <w:sz w:val="20"/>
          <w:szCs w:val="20"/>
        </w:rPr>
        <w:t>,</w:t>
      </w:r>
      <w:r w:rsidR="00F8145C">
        <w:rPr>
          <w:rFonts w:ascii="Arial" w:eastAsia="Microsoft JhengHei" w:hAnsi="Arial" w:cs="Arial"/>
          <w:color w:val="262626"/>
          <w:sz w:val="20"/>
          <w:szCs w:val="20"/>
        </w:rPr>
        <w:t xml:space="preserve"> for licensing by </w:t>
      </w:r>
      <w:r w:rsidR="00E501B4">
        <w:rPr>
          <w:rFonts w:ascii="Arial" w:eastAsia="Microsoft JhengHei" w:hAnsi="Arial" w:cs="Arial"/>
          <w:color w:val="262626"/>
          <w:sz w:val="20"/>
          <w:szCs w:val="20"/>
        </w:rPr>
        <w:t xml:space="preserve">the February </w:t>
      </w:r>
      <w:r w:rsidR="00F8145C">
        <w:rPr>
          <w:rFonts w:ascii="Arial" w:eastAsia="Microsoft JhengHei" w:hAnsi="Arial" w:cs="Arial"/>
          <w:color w:val="262626"/>
          <w:sz w:val="20"/>
          <w:szCs w:val="20"/>
        </w:rPr>
        <w:t>deadline.</w:t>
      </w:r>
      <w:r w:rsidR="00E501B4">
        <w:rPr>
          <w:rFonts w:ascii="Arial" w:eastAsia="Microsoft JhengHei" w:hAnsi="Arial" w:cs="Arial"/>
          <w:color w:val="262626"/>
          <w:sz w:val="20"/>
          <w:szCs w:val="20"/>
        </w:rPr>
        <w:t xml:space="preserve"> However, this does not necessarily mean that the exchange will apply for licensing or comply with the SFC’s requirements for licensing.</w:t>
      </w:r>
    </w:p>
    <w:p w:rsidR="001A7750" w:rsidRPr="00F8145C" w:rsidRDefault="00EB5F8E" w:rsidP="00B47A0C">
      <w:pPr>
        <w:shd w:val="clear" w:color="auto" w:fill="FFFFFF"/>
        <w:spacing w:after="180" w:line="276" w:lineRule="auto"/>
        <w:jc w:val="both"/>
        <w:rPr>
          <w:rFonts w:ascii="Arial" w:eastAsia="Microsoft JhengHei" w:hAnsi="Arial" w:cs="Arial"/>
          <w:color w:val="262626"/>
          <w:sz w:val="20"/>
          <w:szCs w:val="20"/>
        </w:rPr>
      </w:pPr>
      <w:r>
        <w:rPr>
          <w:rFonts w:ascii="Arial" w:eastAsia="Microsoft JhengHei" w:hAnsi="Arial" w:cs="Arial"/>
          <w:b/>
          <w:color w:val="262626"/>
          <w:sz w:val="20"/>
          <w:szCs w:val="20"/>
        </w:rPr>
        <w:t xml:space="preserve">Existing </w:t>
      </w:r>
      <w:r w:rsidR="00F8145C" w:rsidRPr="00F8145C">
        <w:rPr>
          <w:rFonts w:ascii="Arial" w:eastAsia="Microsoft JhengHei" w:hAnsi="Arial" w:cs="Arial"/>
          <w:b/>
          <w:color w:val="262626"/>
          <w:sz w:val="20"/>
          <w:szCs w:val="20"/>
        </w:rPr>
        <w:t xml:space="preserve">VATPs’ </w:t>
      </w:r>
      <w:r w:rsidR="00F8145C">
        <w:rPr>
          <w:rFonts w:ascii="Arial" w:eastAsia="Microsoft JhengHei" w:hAnsi="Arial" w:cs="Arial"/>
          <w:b/>
          <w:color w:val="262626"/>
          <w:sz w:val="20"/>
          <w:szCs w:val="20"/>
        </w:rPr>
        <w:t>Non-compliance with the SFC R</w:t>
      </w:r>
      <w:r w:rsidR="001A7750" w:rsidRPr="00A0078F">
        <w:rPr>
          <w:rFonts w:ascii="Arial" w:eastAsia="Microsoft JhengHei" w:hAnsi="Arial" w:cs="Arial"/>
          <w:b/>
          <w:color w:val="262626"/>
          <w:sz w:val="20"/>
          <w:szCs w:val="20"/>
        </w:rPr>
        <w:t>equirement</w:t>
      </w:r>
      <w:r w:rsidR="00F8145C">
        <w:rPr>
          <w:rFonts w:ascii="Arial" w:eastAsia="Microsoft JhengHei" w:hAnsi="Arial" w:cs="Arial"/>
          <w:b/>
          <w:color w:val="262626"/>
          <w:sz w:val="20"/>
          <w:szCs w:val="20"/>
        </w:rPr>
        <w:t>s</w:t>
      </w:r>
    </w:p>
    <w:p w:rsidR="00F8145C" w:rsidRDefault="00F8145C" w:rsidP="00B47A0C">
      <w:pPr>
        <w:pStyle w:val="wordsection1"/>
        <w:snapToGrid w:val="0"/>
        <w:spacing w:line="276" w:lineRule="auto"/>
        <w:jc w:val="both"/>
        <w:rPr>
          <w:rFonts w:ascii="Arial" w:hAnsi="Arial" w:cs="Arial"/>
          <w:sz w:val="20"/>
          <w:szCs w:val="20"/>
        </w:rPr>
      </w:pPr>
      <w:r>
        <w:rPr>
          <w:rFonts w:ascii="Arial" w:hAnsi="Arial" w:cs="Arial"/>
          <w:sz w:val="20"/>
          <w:szCs w:val="20"/>
        </w:rPr>
        <w:t xml:space="preserve">The SFC’s deeming arrangement </w:t>
      </w:r>
      <w:r w:rsidR="00EB5F8E">
        <w:rPr>
          <w:rFonts w:ascii="Arial" w:hAnsi="Arial" w:cs="Arial"/>
          <w:sz w:val="20"/>
          <w:szCs w:val="20"/>
        </w:rPr>
        <w:t xml:space="preserve">under the transitional arrangements </w:t>
      </w:r>
      <w:r>
        <w:rPr>
          <w:rFonts w:ascii="Arial" w:hAnsi="Arial" w:cs="Arial"/>
          <w:sz w:val="20"/>
          <w:szCs w:val="20"/>
        </w:rPr>
        <w:t xml:space="preserve">does not automatically apply to platforms operating in Hong Kong before 1 June 2023. If the SFC considers that a platform does not satisfy </w:t>
      </w:r>
      <w:r>
        <w:rPr>
          <w:rFonts w:ascii="Arial" w:hAnsi="Arial" w:cs="Arial"/>
          <w:sz w:val="20"/>
          <w:szCs w:val="20"/>
        </w:rPr>
        <w:lastRenderedPageBreak/>
        <w:t xml:space="preserve">the </w:t>
      </w:r>
      <w:r w:rsidRPr="00FF0F2E">
        <w:rPr>
          <w:rFonts w:ascii="Arial" w:hAnsi="Arial" w:cs="Arial"/>
          <w:sz w:val="20"/>
          <w:szCs w:val="20"/>
        </w:rPr>
        <w:t>relevant legal and regulatory requirements</w:t>
      </w:r>
      <w:r>
        <w:rPr>
          <w:rFonts w:ascii="Arial" w:hAnsi="Arial" w:cs="Arial"/>
          <w:sz w:val="20"/>
          <w:szCs w:val="20"/>
        </w:rPr>
        <w:t xml:space="preserve">, </w:t>
      </w:r>
      <w:r w:rsidRPr="00FF0F2E">
        <w:rPr>
          <w:rFonts w:ascii="Arial" w:hAnsi="Arial" w:cs="Arial"/>
          <w:sz w:val="20"/>
          <w:szCs w:val="20"/>
        </w:rPr>
        <w:t xml:space="preserve">or does not have a reasonable prospect of </w:t>
      </w:r>
      <w:r w:rsidR="00543E2E">
        <w:rPr>
          <w:rFonts w:ascii="Arial" w:hAnsi="Arial" w:cs="Arial"/>
          <w:sz w:val="20"/>
          <w:szCs w:val="20"/>
        </w:rPr>
        <w:t>demonstrating compliance</w:t>
      </w:r>
      <w:r w:rsidRPr="00FF0F2E">
        <w:rPr>
          <w:rFonts w:ascii="Arial" w:hAnsi="Arial" w:cs="Arial"/>
          <w:sz w:val="20"/>
          <w:szCs w:val="20"/>
        </w:rPr>
        <w:t xml:space="preserve"> with </w:t>
      </w:r>
      <w:r>
        <w:rPr>
          <w:rFonts w:ascii="Arial" w:hAnsi="Arial" w:cs="Arial"/>
          <w:sz w:val="20"/>
          <w:szCs w:val="20"/>
        </w:rPr>
        <w:t xml:space="preserve">those </w:t>
      </w:r>
      <w:r w:rsidRPr="00FF0F2E">
        <w:rPr>
          <w:rFonts w:ascii="Arial" w:hAnsi="Arial" w:cs="Arial"/>
          <w:sz w:val="20"/>
          <w:szCs w:val="20"/>
        </w:rPr>
        <w:t xml:space="preserve">requirements, it will </w:t>
      </w:r>
      <w:r w:rsidR="00543E2E">
        <w:rPr>
          <w:rFonts w:ascii="Arial" w:hAnsi="Arial" w:cs="Arial"/>
          <w:sz w:val="20"/>
          <w:szCs w:val="20"/>
        </w:rPr>
        <w:t xml:space="preserve">inform </w:t>
      </w:r>
      <w:r w:rsidRPr="00FF0F2E">
        <w:rPr>
          <w:rFonts w:ascii="Arial" w:hAnsi="Arial" w:cs="Arial"/>
          <w:sz w:val="20"/>
          <w:szCs w:val="20"/>
        </w:rPr>
        <w:t>the trading platform that the deeming provision will not apply to it.</w:t>
      </w:r>
      <w:r w:rsidR="00EB5F8E">
        <w:rPr>
          <w:rStyle w:val="ad"/>
          <w:rFonts w:ascii="Arial" w:hAnsi="Arial" w:cs="Arial"/>
          <w:sz w:val="20"/>
          <w:szCs w:val="20"/>
        </w:rPr>
        <w:footnoteReference w:id="3"/>
      </w:r>
      <w:r w:rsidRPr="00FF0F2E">
        <w:rPr>
          <w:rFonts w:ascii="Arial" w:hAnsi="Arial" w:cs="Arial"/>
          <w:sz w:val="20"/>
          <w:szCs w:val="20"/>
        </w:rPr>
        <w:t xml:space="preserve"> The platform must then close down its business by 31 May 2024</w:t>
      </w:r>
      <w:r w:rsidR="00543E2E">
        <w:rPr>
          <w:rFonts w:ascii="Arial" w:hAnsi="Arial" w:cs="Arial"/>
          <w:sz w:val="20"/>
          <w:szCs w:val="20"/>
        </w:rPr>
        <w:t>,</w:t>
      </w:r>
      <w:r w:rsidRPr="00FF0F2E">
        <w:rPr>
          <w:rFonts w:ascii="Arial" w:hAnsi="Arial" w:cs="Arial"/>
          <w:sz w:val="20"/>
          <w:szCs w:val="20"/>
        </w:rPr>
        <w:t xml:space="preserve"> or within three months of the date of the SFC notice, whichever is</w:t>
      </w:r>
      <w:r w:rsidR="00E501B4">
        <w:rPr>
          <w:rFonts w:ascii="Arial" w:hAnsi="Arial" w:cs="Arial"/>
          <w:sz w:val="20"/>
          <w:szCs w:val="20"/>
        </w:rPr>
        <w:t xml:space="preserve"> the</w:t>
      </w:r>
      <w:r w:rsidRPr="00FF0F2E">
        <w:rPr>
          <w:rFonts w:ascii="Arial" w:hAnsi="Arial" w:cs="Arial"/>
          <w:sz w:val="20"/>
          <w:szCs w:val="20"/>
        </w:rPr>
        <w:t xml:space="preserve"> later. </w:t>
      </w:r>
      <w:r>
        <w:rPr>
          <w:rFonts w:ascii="Arial" w:hAnsi="Arial" w:cs="Arial"/>
          <w:sz w:val="20"/>
          <w:szCs w:val="20"/>
        </w:rPr>
        <w:t xml:space="preserve"> </w:t>
      </w:r>
    </w:p>
    <w:p w:rsidR="00543E2E" w:rsidRDefault="00543E2E" w:rsidP="00B47A0C">
      <w:pPr>
        <w:pStyle w:val="wordsection1"/>
        <w:snapToGrid w:val="0"/>
        <w:spacing w:line="276" w:lineRule="auto"/>
        <w:jc w:val="both"/>
        <w:rPr>
          <w:rFonts w:ascii="Arial" w:hAnsi="Arial" w:cs="Arial"/>
          <w:sz w:val="20"/>
          <w:szCs w:val="20"/>
        </w:rPr>
      </w:pPr>
    </w:p>
    <w:p w:rsidR="00435858" w:rsidRPr="00746155" w:rsidRDefault="00746155" w:rsidP="00EB5F8E">
      <w:pPr>
        <w:pStyle w:val="wordsection1"/>
        <w:snapToGrid w:val="0"/>
        <w:contextualSpacing/>
        <w:jc w:val="both"/>
        <w:rPr>
          <w:rFonts w:ascii="Arial" w:hAnsi="Arial" w:cs="Arial"/>
          <w:b/>
          <w:sz w:val="20"/>
          <w:szCs w:val="20"/>
        </w:rPr>
      </w:pPr>
      <w:r>
        <w:rPr>
          <w:rFonts w:ascii="Arial" w:hAnsi="Arial" w:cs="Arial"/>
          <w:b/>
          <w:sz w:val="20"/>
          <w:szCs w:val="20"/>
        </w:rPr>
        <w:t>VATP Activitie</w:t>
      </w:r>
      <w:r w:rsidRPr="00746155">
        <w:rPr>
          <w:rFonts w:ascii="Arial" w:hAnsi="Arial" w:cs="Arial"/>
          <w:b/>
          <w:sz w:val="20"/>
          <w:szCs w:val="20"/>
        </w:rPr>
        <w:t>s Breaching SFC Requirements</w:t>
      </w:r>
    </w:p>
    <w:p w:rsidR="00EB5F8E" w:rsidRDefault="00EB5F8E" w:rsidP="00EB5F8E">
      <w:pPr>
        <w:shd w:val="clear" w:color="auto" w:fill="FFFFFF"/>
        <w:spacing w:after="0" w:line="240" w:lineRule="auto"/>
        <w:contextualSpacing/>
        <w:jc w:val="both"/>
        <w:rPr>
          <w:rFonts w:ascii="Arial" w:eastAsia="Microsoft JhengHei" w:hAnsi="Arial" w:cs="Arial"/>
          <w:color w:val="262626"/>
          <w:sz w:val="20"/>
          <w:szCs w:val="20"/>
        </w:rPr>
      </w:pPr>
    </w:p>
    <w:p w:rsidR="00EB5F8E" w:rsidRDefault="00EB5F8E" w:rsidP="00EB5F8E">
      <w:pPr>
        <w:shd w:val="clear" w:color="auto" w:fill="FFFFFF"/>
        <w:spacing w:after="0" w:line="240" w:lineRule="auto"/>
        <w:contextualSpacing/>
        <w:jc w:val="both"/>
        <w:rPr>
          <w:rFonts w:ascii="Arial" w:eastAsia="Microsoft JhengHei" w:hAnsi="Arial" w:cs="Arial"/>
          <w:color w:val="262626"/>
          <w:sz w:val="20"/>
          <w:szCs w:val="20"/>
        </w:rPr>
      </w:pPr>
      <w:r>
        <w:rPr>
          <w:rFonts w:ascii="Arial" w:eastAsia="Microsoft JhengHei" w:hAnsi="Arial" w:cs="Arial"/>
          <w:color w:val="262626"/>
          <w:sz w:val="20"/>
          <w:szCs w:val="20"/>
        </w:rPr>
        <w:t xml:space="preserve">The SFC </w:t>
      </w:r>
      <w:r w:rsidR="007D5F8C" w:rsidRPr="00A0078F">
        <w:rPr>
          <w:rFonts w:ascii="Arial" w:eastAsia="Microsoft JhengHei" w:hAnsi="Arial" w:cs="Arial"/>
          <w:color w:val="262626"/>
          <w:sz w:val="20"/>
          <w:szCs w:val="20"/>
        </w:rPr>
        <w:t xml:space="preserve">also </w:t>
      </w:r>
      <w:r>
        <w:rPr>
          <w:rFonts w:ascii="Arial" w:eastAsia="Microsoft JhengHei" w:hAnsi="Arial" w:cs="Arial"/>
          <w:color w:val="262626"/>
          <w:sz w:val="20"/>
          <w:szCs w:val="20"/>
        </w:rPr>
        <w:t>notes that a number of crypto exchanges set up trading operations in Hong Kong ahead of the new licensing regime’s implementation in anticipation of the introduction of the transitional arrangements</w:t>
      </w:r>
      <w:r w:rsidR="00E501B4">
        <w:rPr>
          <w:rFonts w:ascii="Arial" w:eastAsia="Microsoft JhengHei" w:hAnsi="Arial" w:cs="Arial"/>
          <w:color w:val="262626"/>
          <w:sz w:val="20"/>
          <w:szCs w:val="20"/>
        </w:rPr>
        <w:t>,</w:t>
      </w:r>
      <w:r>
        <w:rPr>
          <w:rFonts w:ascii="Arial" w:eastAsia="Microsoft JhengHei" w:hAnsi="Arial" w:cs="Arial"/>
          <w:color w:val="262626"/>
          <w:sz w:val="20"/>
          <w:szCs w:val="20"/>
        </w:rPr>
        <w:t xml:space="preserve"> and announced their intention to apply for SFC licensing. </w:t>
      </w:r>
      <w:r w:rsidR="006E5C18">
        <w:rPr>
          <w:rFonts w:ascii="Arial" w:eastAsia="Microsoft JhengHei" w:hAnsi="Arial" w:cs="Arial"/>
          <w:color w:val="262626"/>
          <w:sz w:val="20"/>
          <w:szCs w:val="20"/>
        </w:rPr>
        <w:t>The products and services offered by these exchanges may not however comply with the SFC’s requirements</w:t>
      </w:r>
      <w:r w:rsidR="00E501B4">
        <w:rPr>
          <w:rFonts w:ascii="Arial" w:eastAsia="Microsoft JhengHei" w:hAnsi="Arial" w:cs="Arial"/>
          <w:color w:val="262626"/>
          <w:sz w:val="20"/>
          <w:szCs w:val="20"/>
        </w:rPr>
        <w:t xml:space="preserve"> for licensing</w:t>
      </w:r>
      <w:r w:rsidR="006E5C18">
        <w:rPr>
          <w:rFonts w:ascii="Arial" w:eastAsia="Microsoft JhengHei" w:hAnsi="Arial" w:cs="Arial"/>
          <w:color w:val="262626"/>
          <w:sz w:val="20"/>
          <w:szCs w:val="20"/>
        </w:rPr>
        <w:t xml:space="preserve">. </w:t>
      </w:r>
    </w:p>
    <w:p w:rsidR="006E5C18" w:rsidRDefault="006E5C18" w:rsidP="00EB5F8E">
      <w:pPr>
        <w:shd w:val="clear" w:color="auto" w:fill="FFFFFF"/>
        <w:spacing w:after="0" w:line="240" w:lineRule="auto"/>
        <w:contextualSpacing/>
        <w:jc w:val="both"/>
        <w:rPr>
          <w:rFonts w:ascii="Arial" w:eastAsia="Microsoft JhengHei" w:hAnsi="Arial" w:cs="Arial"/>
          <w:color w:val="262626"/>
          <w:sz w:val="20"/>
          <w:szCs w:val="20"/>
        </w:rPr>
      </w:pPr>
    </w:p>
    <w:p w:rsidR="00D040B4" w:rsidRDefault="00D040B4" w:rsidP="00EB5F8E">
      <w:pPr>
        <w:shd w:val="clear" w:color="auto" w:fill="FFFFFF"/>
        <w:spacing w:after="0" w:line="240" w:lineRule="auto"/>
        <w:contextualSpacing/>
        <w:jc w:val="both"/>
        <w:rPr>
          <w:rFonts w:ascii="Arial" w:eastAsia="Microsoft JhengHei" w:hAnsi="Arial" w:cs="Arial"/>
          <w:color w:val="262626"/>
          <w:sz w:val="20"/>
          <w:szCs w:val="20"/>
        </w:rPr>
      </w:pPr>
      <w:r w:rsidRPr="00A0078F">
        <w:rPr>
          <w:rFonts w:ascii="Arial" w:eastAsia="Microsoft JhengHei" w:hAnsi="Arial" w:cs="Arial"/>
          <w:color w:val="262626"/>
          <w:sz w:val="20"/>
          <w:szCs w:val="20"/>
        </w:rPr>
        <w:t xml:space="preserve">The SFC </w:t>
      </w:r>
      <w:r w:rsidR="006E5C18">
        <w:rPr>
          <w:rFonts w:ascii="Arial" w:eastAsia="Microsoft JhengHei" w:hAnsi="Arial" w:cs="Arial"/>
          <w:color w:val="262626"/>
          <w:sz w:val="20"/>
          <w:szCs w:val="20"/>
        </w:rPr>
        <w:t xml:space="preserve">also </w:t>
      </w:r>
      <w:r w:rsidR="00E501B4">
        <w:rPr>
          <w:rFonts w:ascii="Arial" w:eastAsia="Microsoft JhengHei" w:hAnsi="Arial" w:cs="Arial"/>
          <w:color w:val="262626"/>
          <w:sz w:val="20"/>
          <w:szCs w:val="20"/>
        </w:rPr>
        <w:t xml:space="preserve">points to </w:t>
      </w:r>
      <w:r w:rsidR="006E5C18">
        <w:rPr>
          <w:rFonts w:ascii="Arial" w:eastAsia="Microsoft JhengHei" w:hAnsi="Arial" w:cs="Arial"/>
          <w:color w:val="262626"/>
          <w:sz w:val="20"/>
          <w:szCs w:val="20"/>
        </w:rPr>
        <w:t xml:space="preserve">various unlicensed exchanges </w:t>
      </w:r>
      <w:r w:rsidR="00E501B4">
        <w:rPr>
          <w:rFonts w:ascii="Arial" w:eastAsia="Microsoft JhengHei" w:hAnsi="Arial" w:cs="Arial"/>
          <w:color w:val="262626"/>
          <w:sz w:val="20"/>
          <w:szCs w:val="20"/>
        </w:rPr>
        <w:t xml:space="preserve">that </w:t>
      </w:r>
      <w:r w:rsidR="006E5C18">
        <w:rPr>
          <w:rFonts w:ascii="Arial" w:eastAsia="Microsoft JhengHei" w:hAnsi="Arial" w:cs="Arial"/>
          <w:color w:val="262626"/>
          <w:sz w:val="20"/>
          <w:szCs w:val="20"/>
        </w:rPr>
        <w:t>have launched products and services that are not allowed under the AMLO regime. Some have apparently offered crypto for retail trading</w:t>
      </w:r>
      <w:r w:rsidR="00E501B4">
        <w:rPr>
          <w:rFonts w:ascii="Arial" w:eastAsia="Microsoft JhengHei" w:hAnsi="Arial" w:cs="Arial"/>
          <w:color w:val="262626"/>
          <w:sz w:val="20"/>
          <w:szCs w:val="20"/>
        </w:rPr>
        <w:t>,</w:t>
      </w:r>
      <w:r w:rsidR="006E5C18">
        <w:rPr>
          <w:rFonts w:ascii="Arial" w:eastAsia="Microsoft JhengHei" w:hAnsi="Arial" w:cs="Arial"/>
          <w:color w:val="262626"/>
          <w:sz w:val="20"/>
          <w:szCs w:val="20"/>
        </w:rPr>
        <w:t xml:space="preserve"> when this is not permitted until the exchange has been licensed. Others are offering trading services in virtual asset derivatives and </w:t>
      </w:r>
      <w:r w:rsidR="005547D3">
        <w:rPr>
          <w:rFonts w:ascii="Arial" w:eastAsia="Microsoft JhengHei" w:hAnsi="Arial" w:cs="Arial"/>
          <w:color w:val="262626"/>
          <w:sz w:val="20"/>
          <w:szCs w:val="20"/>
        </w:rPr>
        <w:t xml:space="preserve">offering </w:t>
      </w:r>
      <w:r w:rsidR="006E5C18">
        <w:rPr>
          <w:rFonts w:ascii="Arial" w:eastAsia="Microsoft JhengHei" w:hAnsi="Arial" w:cs="Arial"/>
          <w:color w:val="262626"/>
          <w:sz w:val="20"/>
          <w:szCs w:val="20"/>
        </w:rPr>
        <w:t xml:space="preserve">virtual asset “deposits”, “savings” and “earnings”, </w:t>
      </w:r>
      <w:r w:rsidR="00E501B4">
        <w:rPr>
          <w:rFonts w:ascii="Arial" w:eastAsia="Microsoft JhengHei" w:hAnsi="Arial" w:cs="Arial"/>
          <w:color w:val="262626"/>
          <w:sz w:val="20"/>
          <w:szCs w:val="20"/>
        </w:rPr>
        <w:t xml:space="preserve">all of </w:t>
      </w:r>
      <w:r w:rsidR="006E5C18">
        <w:rPr>
          <w:rFonts w:ascii="Arial" w:eastAsia="Microsoft JhengHei" w:hAnsi="Arial" w:cs="Arial"/>
          <w:color w:val="262626"/>
          <w:sz w:val="20"/>
          <w:szCs w:val="20"/>
        </w:rPr>
        <w:t xml:space="preserve">which are prohibited under the </w:t>
      </w:r>
      <w:hyperlink r:id="rId10" w:history="1">
        <w:r w:rsidR="006E5C18" w:rsidRPr="006E5C18">
          <w:rPr>
            <w:rStyle w:val="a5"/>
            <w:rFonts w:ascii="Arial" w:eastAsia="Microsoft JhengHei" w:hAnsi="Arial" w:cs="Arial"/>
            <w:sz w:val="20"/>
            <w:szCs w:val="20"/>
          </w:rPr>
          <w:t>Guidelines for Virtual Asset Trading Platform Operators</w:t>
        </w:r>
      </w:hyperlink>
      <w:r w:rsidR="006E5C18">
        <w:rPr>
          <w:rFonts w:ascii="Arial" w:eastAsia="Microsoft JhengHei" w:hAnsi="Arial" w:cs="Arial"/>
          <w:color w:val="262626"/>
          <w:sz w:val="20"/>
          <w:szCs w:val="20"/>
        </w:rPr>
        <w:t>.</w:t>
      </w:r>
      <w:r w:rsidR="006E5C18">
        <w:rPr>
          <w:rStyle w:val="ad"/>
          <w:rFonts w:ascii="Arial" w:eastAsia="Microsoft JhengHei" w:hAnsi="Arial" w:cs="Arial"/>
          <w:color w:val="262626"/>
          <w:sz w:val="20"/>
          <w:szCs w:val="20"/>
        </w:rPr>
        <w:footnoteReference w:id="4"/>
      </w:r>
      <w:r w:rsidR="006E5C18">
        <w:rPr>
          <w:rFonts w:ascii="Arial" w:eastAsia="Microsoft JhengHei" w:hAnsi="Arial" w:cs="Arial"/>
          <w:color w:val="262626"/>
          <w:sz w:val="20"/>
          <w:szCs w:val="20"/>
        </w:rPr>
        <w:t xml:space="preserve">   </w:t>
      </w:r>
    </w:p>
    <w:p w:rsidR="005547D3" w:rsidRPr="00A0078F" w:rsidRDefault="005547D3" w:rsidP="00EB5F8E">
      <w:pPr>
        <w:shd w:val="clear" w:color="auto" w:fill="FFFFFF"/>
        <w:spacing w:after="0" w:line="240" w:lineRule="auto"/>
        <w:contextualSpacing/>
        <w:jc w:val="both"/>
        <w:rPr>
          <w:rFonts w:ascii="Arial" w:eastAsia="Microsoft JhengHei" w:hAnsi="Arial" w:cs="Arial"/>
          <w:color w:val="262626"/>
          <w:sz w:val="20"/>
          <w:szCs w:val="20"/>
        </w:rPr>
      </w:pPr>
    </w:p>
    <w:p w:rsidR="001D5BB8" w:rsidRDefault="00F02C84" w:rsidP="00B47A0C">
      <w:pPr>
        <w:shd w:val="clear" w:color="auto" w:fill="FFFFFF"/>
        <w:spacing w:after="180" w:line="276" w:lineRule="auto"/>
        <w:jc w:val="both"/>
        <w:rPr>
          <w:rFonts w:ascii="Arial" w:eastAsia="Microsoft JhengHei" w:hAnsi="Arial" w:cs="Arial"/>
          <w:color w:val="262626"/>
          <w:sz w:val="20"/>
          <w:szCs w:val="20"/>
        </w:rPr>
      </w:pPr>
      <w:r w:rsidRPr="00A0078F">
        <w:rPr>
          <w:rFonts w:ascii="Arial" w:eastAsia="Microsoft JhengHei" w:hAnsi="Arial" w:cs="Arial"/>
          <w:color w:val="262626"/>
          <w:sz w:val="20"/>
          <w:szCs w:val="20"/>
        </w:rPr>
        <w:t>The SFC warns that</w:t>
      </w:r>
      <w:r w:rsidR="00E501B4">
        <w:rPr>
          <w:rFonts w:ascii="Arial" w:eastAsia="Microsoft JhengHei" w:hAnsi="Arial" w:cs="Arial"/>
          <w:color w:val="262626"/>
          <w:sz w:val="20"/>
          <w:szCs w:val="20"/>
        </w:rPr>
        <w:t xml:space="preserve"> in assessing </w:t>
      </w:r>
      <w:r w:rsidR="00E501B4" w:rsidRPr="00A0078F">
        <w:rPr>
          <w:rFonts w:ascii="Arial" w:eastAsia="Microsoft JhengHei" w:hAnsi="Arial" w:cs="Arial"/>
          <w:color w:val="262626"/>
          <w:sz w:val="20"/>
          <w:szCs w:val="20"/>
        </w:rPr>
        <w:t>VATP</w:t>
      </w:r>
      <w:r w:rsidR="00E501B4">
        <w:rPr>
          <w:rFonts w:ascii="Arial" w:eastAsia="Microsoft JhengHei" w:hAnsi="Arial" w:cs="Arial"/>
          <w:color w:val="262626"/>
          <w:sz w:val="20"/>
          <w:szCs w:val="20"/>
        </w:rPr>
        <w:t>s’</w:t>
      </w:r>
      <w:r w:rsidR="00E501B4" w:rsidRPr="00A0078F">
        <w:rPr>
          <w:rFonts w:ascii="Arial" w:eastAsia="Microsoft JhengHei" w:hAnsi="Arial" w:cs="Arial"/>
          <w:color w:val="262626"/>
          <w:sz w:val="20"/>
          <w:szCs w:val="20"/>
        </w:rPr>
        <w:t xml:space="preserve"> licensing application</w:t>
      </w:r>
      <w:r w:rsidR="00E501B4">
        <w:rPr>
          <w:rFonts w:ascii="Arial" w:eastAsia="Microsoft JhengHei" w:hAnsi="Arial" w:cs="Arial"/>
          <w:color w:val="262626"/>
          <w:sz w:val="20"/>
          <w:szCs w:val="20"/>
        </w:rPr>
        <w:t>s,</w:t>
      </w:r>
      <w:r w:rsidRPr="00A0078F">
        <w:rPr>
          <w:rFonts w:ascii="Arial" w:eastAsia="Microsoft JhengHei" w:hAnsi="Arial" w:cs="Arial"/>
          <w:color w:val="262626"/>
          <w:sz w:val="20"/>
          <w:szCs w:val="20"/>
        </w:rPr>
        <w:t xml:space="preserve"> it will take </w:t>
      </w:r>
      <w:r w:rsidR="005547D3">
        <w:rPr>
          <w:rFonts w:ascii="Arial" w:eastAsia="Microsoft JhengHei" w:hAnsi="Arial" w:cs="Arial"/>
          <w:color w:val="262626"/>
          <w:sz w:val="20"/>
          <w:szCs w:val="20"/>
        </w:rPr>
        <w:t xml:space="preserve">into account </w:t>
      </w:r>
      <w:r w:rsidRPr="00A0078F">
        <w:rPr>
          <w:rFonts w:ascii="Arial" w:eastAsia="Microsoft JhengHei" w:hAnsi="Arial" w:cs="Arial"/>
          <w:color w:val="262626"/>
          <w:sz w:val="20"/>
          <w:szCs w:val="20"/>
        </w:rPr>
        <w:t>any previous non-complian</w:t>
      </w:r>
      <w:r w:rsidR="005547D3">
        <w:rPr>
          <w:rFonts w:ascii="Arial" w:eastAsia="Microsoft JhengHei" w:hAnsi="Arial" w:cs="Arial"/>
          <w:color w:val="262626"/>
          <w:sz w:val="20"/>
          <w:szCs w:val="20"/>
        </w:rPr>
        <w:t>t activities that could have been avoided</w:t>
      </w:r>
      <w:r w:rsidRPr="00A0078F">
        <w:rPr>
          <w:rFonts w:ascii="Arial" w:eastAsia="Microsoft JhengHei" w:hAnsi="Arial" w:cs="Arial"/>
          <w:color w:val="262626"/>
          <w:sz w:val="20"/>
          <w:szCs w:val="20"/>
        </w:rPr>
        <w:t xml:space="preserve">. Specifically, </w:t>
      </w:r>
      <w:r w:rsidR="00F77B23" w:rsidRPr="00A0078F">
        <w:rPr>
          <w:rFonts w:ascii="Arial" w:eastAsia="Microsoft JhengHei" w:hAnsi="Arial" w:cs="Arial"/>
          <w:color w:val="262626"/>
          <w:sz w:val="20"/>
          <w:szCs w:val="20"/>
        </w:rPr>
        <w:t xml:space="preserve">the SFC may </w:t>
      </w:r>
      <w:r w:rsidR="00E501B4">
        <w:rPr>
          <w:rFonts w:ascii="Arial" w:eastAsia="Microsoft JhengHei" w:hAnsi="Arial" w:cs="Arial"/>
          <w:color w:val="262626"/>
          <w:sz w:val="20"/>
          <w:szCs w:val="20"/>
        </w:rPr>
        <w:t xml:space="preserve">take </w:t>
      </w:r>
      <w:r w:rsidR="001D5BB8">
        <w:rPr>
          <w:rFonts w:ascii="Arial" w:eastAsia="Microsoft JhengHei" w:hAnsi="Arial" w:cs="Arial"/>
          <w:color w:val="262626"/>
          <w:sz w:val="20"/>
          <w:szCs w:val="20"/>
        </w:rPr>
        <w:t>a negative view of</w:t>
      </w:r>
      <w:r w:rsidR="00F77B23" w:rsidRPr="00A0078F">
        <w:rPr>
          <w:rFonts w:ascii="Arial" w:eastAsia="Microsoft JhengHei" w:hAnsi="Arial" w:cs="Arial"/>
          <w:color w:val="262626"/>
          <w:sz w:val="20"/>
          <w:szCs w:val="20"/>
        </w:rPr>
        <w:t xml:space="preserve"> </w:t>
      </w:r>
      <w:r w:rsidR="001D5BB8">
        <w:rPr>
          <w:rFonts w:ascii="Arial" w:eastAsia="Microsoft JhengHei" w:hAnsi="Arial" w:cs="Arial"/>
          <w:color w:val="262626"/>
          <w:sz w:val="20"/>
          <w:szCs w:val="20"/>
        </w:rPr>
        <w:t xml:space="preserve">non-compliant activities that </w:t>
      </w:r>
      <w:r w:rsidRPr="00A0078F">
        <w:rPr>
          <w:rFonts w:ascii="Arial" w:eastAsia="Microsoft JhengHei" w:hAnsi="Arial" w:cs="Arial"/>
          <w:color w:val="262626"/>
          <w:sz w:val="20"/>
          <w:szCs w:val="20"/>
        </w:rPr>
        <w:t>result</w:t>
      </w:r>
      <w:r w:rsidR="00F77B23" w:rsidRPr="00A0078F">
        <w:rPr>
          <w:rFonts w:ascii="Arial" w:eastAsia="Microsoft JhengHei" w:hAnsi="Arial" w:cs="Arial"/>
          <w:color w:val="262626"/>
          <w:sz w:val="20"/>
          <w:szCs w:val="20"/>
        </w:rPr>
        <w:t>ed</w:t>
      </w:r>
      <w:r w:rsidRPr="00A0078F">
        <w:rPr>
          <w:rFonts w:ascii="Arial" w:eastAsia="Microsoft JhengHei" w:hAnsi="Arial" w:cs="Arial"/>
          <w:color w:val="262626"/>
          <w:sz w:val="20"/>
          <w:szCs w:val="20"/>
        </w:rPr>
        <w:t xml:space="preserve"> in the client transactions </w:t>
      </w:r>
      <w:r w:rsidR="001D5BB8">
        <w:rPr>
          <w:rFonts w:ascii="Arial" w:eastAsia="Microsoft JhengHei" w:hAnsi="Arial" w:cs="Arial"/>
          <w:color w:val="262626"/>
          <w:sz w:val="20"/>
          <w:szCs w:val="20"/>
        </w:rPr>
        <w:t xml:space="preserve">having to be unwound, </w:t>
      </w:r>
      <w:r w:rsidRPr="00A0078F">
        <w:rPr>
          <w:rFonts w:ascii="Arial" w:eastAsia="Microsoft JhengHei" w:hAnsi="Arial" w:cs="Arial"/>
          <w:color w:val="262626"/>
          <w:sz w:val="20"/>
          <w:szCs w:val="20"/>
        </w:rPr>
        <w:t>or</w:t>
      </w:r>
      <w:r w:rsidR="00E501B4">
        <w:rPr>
          <w:rFonts w:ascii="Arial" w:eastAsia="Microsoft JhengHei" w:hAnsi="Arial" w:cs="Arial"/>
          <w:color w:val="262626"/>
          <w:sz w:val="20"/>
          <w:szCs w:val="20"/>
        </w:rPr>
        <w:t xml:space="preserve"> a </w:t>
      </w:r>
      <w:r w:rsidR="00E501B4" w:rsidRPr="00A0078F">
        <w:rPr>
          <w:rFonts w:ascii="Arial" w:eastAsia="Microsoft JhengHei" w:hAnsi="Arial" w:cs="Arial"/>
          <w:color w:val="262626"/>
          <w:sz w:val="20"/>
          <w:szCs w:val="20"/>
        </w:rPr>
        <w:t>virtual asset</w:t>
      </w:r>
      <w:r w:rsidRPr="00A0078F">
        <w:rPr>
          <w:rFonts w:ascii="Arial" w:eastAsia="Microsoft JhengHei" w:hAnsi="Arial" w:cs="Arial"/>
          <w:color w:val="262626"/>
          <w:sz w:val="20"/>
          <w:szCs w:val="20"/>
        </w:rPr>
        <w:t xml:space="preserve"> </w:t>
      </w:r>
      <w:r w:rsidR="00E501B4">
        <w:rPr>
          <w:rFonts w:ascii="Arial" w:eastAsia="Microsoft JhengHei" w:hAnsi="Arial" w:cs="Arial"/>
          <w:color w:val="262626"/>
          <w:sz w:val="20"/>
          <w:szCs w:val="20"/>
        </w:rPr>
        <w:t>being removed</w:t>
      </w:r>
      <w:r w:rsidRPr="00A0078F">
        <w:rPr>
          <w:rFonts w:ascii="Arial" w:eastAsia="Microsoft JhengHei" w:hAnsi="Arial" w:cs="Arial"/>
          <w:color w:val="262626"/>
          <w:sz w:val="20"/>
          <w:szCs w:val="20"/>
        </w:rPr>
        <w:t xml:space="preserve"> from </w:t>
      </w:r>
      <w:r w:rsidR="00CD7231" w:rsidRPr="00A0078F">
        <w:rPr>
          <w:rFonts w:ascii="Arial" w:eastAsia="Microsoft JhengHei" w:hAnsi="Arial" w:cs="Arial"/>
          <w:color w:val="262626"/>
          <w:sz w:val="20"/>
          <w:szCs w:val="20"/>
        </w:rPr>
        <w:t>retail trading</w:t>
      </w:r>
      <w:r w:rsidRPr="00A0078F">
        <w:rPr>
          <w:rFonts w:ascii="Arial" w:eastAsia="Microsoft JhengHei" w:hAnsi="Arial" w:cs="Arial"/>
          <w:color w:val="262626"/>
          <w:sz w:val="20"/>
          <w:szCs w:val="20"/>
        </w:rPr>
        <w:t xml:space="preserve">, </w:t>
      </w:r>
      <w:r w:rsidR="001D5BB8">
        <w:rPr>
          <w:rFonts w:ascii="Arial" w:eastAsia="Microsoft JhengHei" w:hAnsi="Arial" w:cs="Arial"/>
          <w:color w:val="262626"/>
          <w:sz w:val="20"/>
          <w:szCs w:val="20"/>
        </w:rPr>
        <w:t xml:space="preserve">if that </w:t>
      </w:r>
      <w:r w:rsidR="00F77B23" w:rsidRPr="00A0078F">
        <w:rPr>
          <w:rFonts w:ascii="Arial" w:eastAsia="Microsoft JhengHei" w:hAnsi="Arial" w:cs="Arial"/>
          <w:color w:val="262626"/>
          <w:sz w:val="20"/>
          <w:szCs w:val="20"/>
        </w:rPr>
        <w:t>could have</w:t>
      </w:r>
      <w:r w:rsidRPr="00A0078F">
        <w:rPr>
          <w:rFonts w:ascii="Arial" w:eastAsia="Microsoft JhengHei" w:hAnsi="Arial" w:cs="Arial"/>
          <w:color w:val="262626"/>
          <w:sz w:val="20"/>
          <w:szCs w:val="20"/>
        </w:rPr>
        <w:t xml:space="preserve"> been </w:t>
      </w:r>
      <w:r w:rsidR="006A6657" w:rsidRPr="00A0078F">
        <w:rPr>
          <w:rFonts w:ascii="Arial" w:eastAsia="Microsoft JhengHei" w:hAnsi="Arial" w:cs="Arial"/>
          <w:color w:val="262626"/>
          <w:sz w:val="20"/>
          <w:szCs w:val="20"/>
        </w:rPr>
        <w:t>avoided</w:t>
      </w:r>
      <w:r w:rsidRPr="00A0078F">
        <w:rPr>
          <w:rFonts w:ascii="Arial" w:eastAsia="Microsoft JhengHei" w:hAnsi="Arial" w:cs="Arial"/>
          <w:color w:val="262626"/>
          <w:sz w:val="20"/>
          <w:szCs w:val="20"/>
        </w:rPr>
        <w:t xml:space="preserve">. </w:t>
      </w:r>
      <w:r w:rsidR="001D5BB8">
        <w:rPr>
          <w:rFonts w:ascii="Arial" w:eastAsia="Microsoft JhengHei" w:hAnsi="Arial" w:cs="Arial"/>
          <w:color w:val="262626"/>
          <w:sz w:val="20"/>
          <w:szCs w:val="20"/>
        </w:rPr>
        <w:t xml:space="preserve">In assessing licensing applications, </w:t>
      </w:r>
      <w:r w:rsidRPr="00A0078F">
        <w:rPr>
          <w:rFonts w:ascii="Arial" w:eastAsia="Microsoft JhengHei" w:hAnsi="Arial" w:cs="Arial"/>
          <w:color w:val="262626"/>
          <w:sz w:val="20"/>
          <w:szCs w:val="20"/>
        </w:rPr>
        <w:t xml:space="preserve">the SFC will </w:t>
      </w:r>
      <w:r w:rsidR="001D5BB8">
        <w:rPr>
          <w:rFonts w:ascii="Arial" w:eastAsia="Microsoft JhengHei" w:hAnsi="Arial" w:cs="Arial"/>
          <w:color w:val="262626"/>
          <w:sz w:val="20"/>
          <w:szCs w:val="20"/>
        </w:rPr>
        <w:t xml:space="preserve">also </w:t>
      </w:r>
      <w:r w:rsidR="00D53125" w:rsidRPr="00A0078F">
        <w:rPr>
          <w:rFonts w:ascii="Arial" w:eastAsia="Microsoft JhengHei" w:hAnsi="Arial" w:cs="Arial"/>
          <w:color w:val="262626"/>
          <w:sz w:val="20"/>
          <w:szCs w:val="20"/>
        </w:rPr>
        <w:t>consider</w:t>
      </w:r>
      <w:r w:rsidRPr="00A0078F">
        <w:rPr>
          <w:rFonts w:ascii="Arial" w:eastAsia="Microsoft JhengHei" w:hAnsi="Arial" w:cs="Arial"/>
          <w:color w:val="262626"/>
          <w:sz w:val="20"/>
          <w:szCs w:val="20"/>
        </w:rPr>
        <w:t xml:space="preserve"> </w:t>
      </w:r>
      <w:r w:rsidR="001D5BB8">
        <w:rPr>
          <w:rFonts w:ascii="Arial" w:eastAsia="Microsoft JhengHei" w:hAnsi="Arial" w:cs="Arial"/>
          <w:color w:val="262626"/>
          <w:sz w:val="20"/>
          <w:szCs w:val="20"/>
        </w:rPr>
        <w:t>whether platforms genuine</w:t>
      </w:r>
      <w:r w:rsidR="00E501B4">
        <w:rPr>
          <w:rFonts w:ascii="Arial" w:eastAsia="Microsoft JhengHei" w:hAnsi="Arial" w:cs="Arial"/>
          <w:color w:val="262626"/>
          <w:sz w:val="20"/>
          <w:szCs w:val="20"/>
        </w:rPr>
        <w:t>ly intend</w:t>
      </w:r>
      <w:r w:rsidR="001D5BB8">
        <w:rPr>
          <w:rFonts w:ascii="Arial" w:eastAsia="Microsoft JhengHei" w:hAnsi="Arial" w:cs="Arial"/>
          <w:color w:val="262626"/>
          <w:sz w:val="20"/>
          <w:szCs w:val="20"/>
        </w:rPr>
        <w:t xml:space="preserve"> to unwind prohibited transactions in an orderly manner.</w:t>
      </w:r>
    </w:p>
    <w:p w:rsidR="003125A8" w:rsidRDefault="001D5BB8" w:rsidP="00B47A0C">
      <w:pPr>
        <w:shd w:val="clear" w:color="auto" w:fill="FFFFFF"/>
        <w:spacing w:after="180" w:line="276" w:lineRule="auto"/>
        <w:jc w:val="both"/>
        <w:rPr>
          <w:rFonts w:ascii="Arial" w:eastAsia="Microsoft JhengHei" w:hAnsi="Arial" w:cs="Arial"/>
          <w:color w:val="262626"/>
          <w:sz w:val="20"/>
          <w:szCs w:val="20"/>
        </w:rPr>
      </w:pPr>
      <w:r>
        <w:rPr>
          <w:rFonts w:ascii="Arial" w:eastAsia="Microsoft JhengHei" w:hAnsi="Arial" w:cs="Arial"/>
          <w:b/>
          <w:color w:val="FF0000"/>
          <w:sz w:val="20"/>
          <w:szCs w:val="20"/>
        </w:rPr>
        <w:t>Reminder to Unlicensed Platforms to Submit Licensing Applications</w:t>
      </w:r>
      <w:r>
        <w:rPr>
          <w:rFonts w:ascii="Arial" w:eastAsia="Microsoft JhengHei" w:hAnsi="Arial" w:cs="Arial"/>
          <w:color w:val="262626"/>
          <w:sz w:val="20"/>
          <w:szCs w:val="20"/>
        </w:rPr>
        <w:t xml:space="preserve"> </w:t>
      </w:r>
    </w:p>
    <w:p w:rsidR="00A7174C" w:rsidRDefault="00A7174C" w:rsidP="00B47A0C">
      <w:pPr>
        <w:shd w:val="clear" w:color="auto" w:fill="FFFFFF"/>
        <w:spacing w:after="180" w:line="276" w:lineRule="auto"/>
        <w:jc w:val="both"/>
        <w:rPr>
          <w:rFonts w:ascii="Arial" w:eastAsia="Microsoft JhengHei" w:hAnsi="Arial" w:cs="Arial"/>
          <w:color w:val="262626"/>
          <w:sz w:val="20"/>
          <w:szCs w:val="20"/>
        </w:rPr>
      </w:pPr>
      <w:r>
        <w:rPr>
          <w:rFonts w:ascii="Arial" w:eastAsia="Microsoft JhengHei" w:hAnsi="Arial" w:cs="Arial"/>
          <w:color w:val="262626"/>
          <w:sz w:val="20"/>
          <w:szCs w:val="20"/>
        </w:rPr>
        <w:t>The SFC reminds unlicensed crypto exchanges that they cannot operate in Hong Kong until they have been licensed by the SFC, unless they can rely on the transitional arrangements for exchanges with a substantive presence in Hong Kong before 1 June 2023. Exchanges operating in Hong Kong under the transitional arrangements which do not apply for licensing by 29</w:t>
      </w:r>
      <w:r w:rsidRPr="007518E9">
        <w:rPr>
          <w:rFonts w:ascii="Arial" w:eastAsia="Microsoft JhengHei" w:hAnsi="Arial" w:cs="Arial"/>
          <w:color w:val="262626"/>
          <w:sz w:val="20"/>
          <w:szCs w:val="20"/>
          <w:vertAlign w:val="superscript"/>
        </w:rPr>
        <w:t>th</w:t>
      </w:r>
      <w:r>
        <w:rPr>
          <w:rFonts w:ascii="Arial" w:eastAsia="Microsoft JhengHei" w:hAnsi="Arial" w:cs="Arial"/>
          <w:color w:val="262626"/>
          <w:sz w:val="20"/>
          <w:szCs w:val="20"/>
        </w:rPr>
        <w:t xml:space="preserve"> February 2024, will have to close down their Hong Kong operations given that it is an offence to operate a virtual asset trading exchange without being licensed by the SFC.</w:t>
      </w:r>
    </w:p>
    <w:p w:rsidR="007518E9" w:rsidRDefault="007518E9" w:rsidP="00B47A0C">
      <w:pPr>
        <w:shd w:val="clear" w:color="auto" w:fill="FFFFFF"/>
        <w:spacing w:after="180" w:line="276" w:lineRule="auto"/>
        <w:jc w:val="both"/>
        <w:rPr>
          <w:rFonts w:ascii="Arial" w:eastAsia="Microsoft JhengHei" w:hAnsi="Arial" w:cs="Arial"/>
          <w:color w:val="000000" w:themeColor="text1"/>
          <w:sz w:val="20"/>
          <w:szCs w:val="20"/>
        </w:rPr>
      </w:pPr>
      <w:r w:rsidRPr="007518E9">
        <w:rPr>
          <w:rFonts w:ascii="Arial" w:eastAsia="Microsoft JhengHei" w:hAnsi="Arial" w:cs="Arial"/>
          <w:b/>
          <w:color w:val="FF0000"/>
          <w:sz w:val="20"/>
          <w:szCs w:val="20"/>
        </w:rPr>
        <w:t xml:space="preserve">Investor Warnings </w:t>
      </w:r>
    </w:p>
    <w:p w:rsidR="007518E9" w:rsidRDefault="007518E9" w:rsidP="00B47A0C">
      <w:pPr>
        <w:shd w:val="clear" w:color="auto" w:fill="FFFFFF"/>
        <w:spacing w:after="180" w:line="276" w:lineRule="auto"/>
        <w:jc w:val="both"/>
        <w:rPr>
          <w:rFonts w:ascii="Arial" w:hAnsi="Arial" w:cs="Arial"/>
          <w:sz w:val="20"/>
          <w:szCs w:val="20"/>
        </w:rPr>
      </w:pPr>
      <w:r>
        <w:rPr>
          <w:rFonts w:ascii="Arial" w:eastAsia="Microsoft JhengHei" w:hAnsi="Arial" w:cs="Arial"/>
          <w:color w:val="000000" w:themeColor="text1"/>
          <w:sz w:val="20"/>
          <w:szCs w:val="20"/>
        </w:rPr>
        <w:t>The SFC reminds investors that</w:t>
      </w:r>
      <w:r w:rsidR="00E501B4">
        <w:rPr>
          <w:rFonts w:ascii="Arial" w:eastAsia="Microsoft JhengHei" w:hAnsi="Arial" w:cs="Arial"/>
          <w:color w:val="000000" w:themeColor="text1"/>
          <w:sz w:val="20"/>
          <w:szCs w:val="20"/>
        </w:rPr>
        <w:t>,</w:t>
      </w:r>
      <w:r>
        <w:rPr>
          <w:rFonts w:ascii="Arial" w:eastAsia="Microsoft JhengHei" w:hAnsi="Arial" w:cs="Arial"/>
          <w:color w:val="000000" w:themeColor="text1"/>
          <w:sz w:val="20"/>
          <w:szCs w:val="20"/>
        </w:rPr>
        <w:t xml:space="preserve"> wit</w:t>
      </w:r>
      <w:r w:rsidR="00563443">
        <w:rPr>
          <w:rFonts w:ascii="Arial" w:eastAsia="Microsoft JhengHei" w:hAnsi="Arial" w:cs="Arial"/>
          <w:color w:val="000000" w:themeColor="text1"/>
          <w:sz w:val="20"/>
          <w:szCs w:val="20"/>
        </w:rPr>
        <w:t xml:space="preserve">h the exception of OSL and </w:t>
      </w:r>
      <w:proofErr w:type="spellStart"/>
      <w:r w:rsidR="00563443">
        <w:rPr>
          <w:rFonts w:ascii="Arial" w:eastAsia="Microsoft JhengHei" w:hAnsi="Arial" w:cs="Arial"/>
          <w:color w:val="000000" w:themeColor="text1"/>
          <w:sz w:val="20"/>
          <w:szCs w:val="20"/>
        </w:rPr>
        <w:t>HashK</w:t>
      </w:r>
      <w:r>
        <w:rPr>
          <w:rFonts w:ascii="Arial" w:eastAsia="Microsoft JhengHei" w:hAnsi="Arial" w:cs="Arial"/>
          <w:color w:val="000000" w:themeColor="text1"/>
          <w:sz w:val="20"/>
          <w:szCs w:val="20"/>
        </w:rPr>
        <w:t>ey</w:t>
      </w:r>
      <w:proofErr w:type="spellEnd"/>
      <w:r>
        <w:rPr>
          <w:rFonts w:ascii="Arial" w:eastAsia="Microsoft JhengHei" w:hAnsi="Arial" w:cs="Arial"/>
          <w:color w:val="000000" w:themeColor="text1"/>
          <w:sz w:val="20"/>
          <w:szCs w:val="20"/>
        </w:rPr>
        <w:t xml:space="preserve">, all crypto exchanges currently operating in Hong Kong are unlicensed. There is therefore no guarantee that these exchanges will apply to the SFC to be licensed, or that they will satisfy the regulatory requirements for licensing. When the SFC licenses a VATP, it will update the </w:t>
      </w:r>
      <w:hyperlink r:id="rId11" w:tgtFrame="_blank" w:history="1">
        <w:r w:rsidRPr="007518E9">
          <w:rPr>
            <w:rStyle w:val="a5"/>
            <w:rFonts w:ascii="Arial" w:eastAsia="Microsoft JhengHei" w:hAnsi="Arial" w:cs="Arial"/>
            <w:color w:val="0072BB"/>
            <w:sz w:val="20"/>
            <w:szCs w:val="20"/>
            <w:shd w:val="clear" w:color="auto" w:fill="FFFFFF"/>
          </w:rPr>
          <w:t>list of virtual asset trading platforms</w:t>
        </w:r>
      </w:hyperlink>
      <w:r>
        <w:rPr>
          <w:rFonts w:ascii="Arial" w:hAnsi="Arial" w:cs="Arial"/>
          <w:sz w:val="20"/>
          <w:szCs w:val="20"/>
        </w:rPr>
        <w:t xml:space="preserve"> on its website.</w:t>
      </w:r>
    </w:p>
    <w:p w:rsidR="00AC695D" w:rsidRPr="00A41F57" w:rsidRDefault="00AC695D" w:rsidP="00AC695D">
      <w:pPr>
        <w:pStyle w:val="DisclaimerBold"/>
        <w:numPr>
          <w:ilvl w:val="0"/>
          <w:numId w:val="2"/>
        </w:numPr>
        <w:rPr>
          <w:rFonts w:ascii="Helvetica" w:hAnsi="Helvetica"/>
        </w:rPr>
      </w:pPr>
      <w:r w:rsidRPr="00F05494">
        <w:rPr>
          <w:rFonts w:ascii="Helvetica" w:hAnsi="Helvetica"/>
        </w:rPr>
        <w:t>This newsletter is for information purposes only.</w:t>
      </w:r>
    </w:p>
    <w:p w:rsidR="00AC695D" w:rsidRPr="00F05494" w:rsidRDefault="00AC695D" w:rsidP="00AC695D">
      <w:pPr>
        <w:pStyle w:val="Disclaimer"/>
        <w:numPr>
          <w:ilvl w:val="0"/>
          <w:numId w:val="2"/>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AC695D" w:rsidRPr="00F05494" w:rsidRDefault="00AC695D" w:rsidP="00AC695D">
      <w:pPr>
        <w:pStyle w:val="Disclaimer"/>
        <w:numPr>
          <w:ilvl w:val="0"/>
          <w:numId w:val="2"/>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AC695D" w:rsidRPr="00F05494" w:rsidRDefault="00AC695D" w:rsidP="00AC695D">
      <w:pPr>
        <w:pStyle w:val="Disclaimer"/>
        <w:numPr>
          <w:ilvl w:val="0"/>
          <w:numId w:val="2"/>
        </w:numPr>
        <w:rPr>
          <w:rFonts w:ascii="Helvetica" w:hAnsi="Helvetica"/>
        </w:rPr>
      </w:pPr>
      <w:proofErr w:type="spellStart"/>
      <w:r w:rsidRPr="00F05494">
        <w:rPr>
          <w:rFonts w:ascii="Helvetica" w:hAnsi="Helvetica"/>
        </w:rPr>
        <w:lastRenderedPageBreak/>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AC695D" w:rsidRPr="00F05494" w:rsidRDefault="00AC695D" w:rsidP="00AC695D">
      <w:pPr>
        <w:pStyle w:val="Disclaimer"/>
        <w:numPr>
          <w:ilvl w:val="0"/>
          <w:numId w:val="2"/>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2">
        <w:r w:rsidRPr="00F05494">
          <w:rPr>
            <w:rFonts w:ascii="Helvetica" w:hAnsi="Helvetica"/>
          </w:rPr>
          <w:t>unsubscribe@charltonslaw.com</w:t>
        </w:r>
      </w:hyperlink>
    </w:p>
    <w:p w:rsidR="00AC695D" w:rsidRPr="009B5310" w:rsidRDefault="00AC695D" w:rsidP="00AC695D">
      <w:pPr>
        <w:pStyle w:val="BlackStrips"/>
        <w:numPr>
          <w:ilvl w:val="0"/>
          <w:numId w:val="2"/>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Pr="007B3156">
        <w:rPr>
          <w:rFonts w:ascii="Helvetica" w:hAnsi="Helvetica"/>
        </w:rPr>
        <w:t>1</w:t>
      </w:r>
      <w:r w:rsidR="00A7174C">
        <w:rPr>
          <w:rFonts w:ascii="Helvetica" w:hAnsi="Helvetica"/>
        </w:rPr>
        <w:t>6</w:t>
      </w:r>
      <w:r w:rsidRPr="00F05494">
        <w:rPr>
          <w:rFonts w:ascii="Helvetica" w:hAnsi="Helvetica"/>
        </w:rPr>
        <w:t xml:space="preserve"> </w:t>
      </w:r>
      <w:r>
        <w:rPr>
          <w:rFonts w:ascii="Helvetica" w:hAnsi="Helvetica"/>
        </w:rPr>
        <w:t>August</w:t>
      </w:r>
      <w:r w:rsidRPr="00F05494">
        <w:rPr>
          <w:rFonts w:ascii="Helvetica" w:hAnsi="Helvetica"/>
        </w:rPr>
        <w:t xml:space="preserve"> 202</w:t>
      </w:r>
      <w:r w:rsidRPr="008524CA">
        <w:rPr>
          <w:rFonts w:ascii="Helvetica" w:hAnsi="Helvetica"/>
        </w:rPr>
        <w:t>3</w:t>
      </w:r>
    </w:p>
    <w:p w:rsidR="00AC695D" w:rsidRPr="007518E9" w:rsidRDefault="00AC695D" w:rsidP="00B47A0C">
      <w:pPr>
        <w:shd w:val="clear" w:color="auto" w:fill="FFFFFF"/>
        <w:spacing w:after="180" w:line="276" w:lineRule="auto"/>
        <w:jc w:val="both"/>
        <w:rPr>
          <w:rFonts w:ascii="Arial" w:eastAsia="Microsoft JhengHei" w:hAnsi="Arial" w:cs="Arial"/>
          <w:color w:val="000000" w:themeColor="text1"/>
          <w:sz w:val="20"/>
          <w:szCs w:val="20"/>
        </w:rPr>
      </w:pPr>
    </w:p>
    <w:sectPr w:rsidR="00AC695D" w:rsidRPr="007518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B66" w:rsidRDefault="00507B66" w:rsidP="00EB5F8E">
      <w:pPr>
        <w:spacing w:after="0" w:line="240" w:lineRule="auto"/>
      </w:pPr>
      <w:r>
        <w:separator/>
      </w:r>
    </w:p>
  </w:endnote>
  <w:endnote w:type="continuationSeparator" w:id="0">
    <w:p w:rsidR="00507B66" w:rsidRDefault="00507B66" w:rsidP="00EB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B66" w:rsidRDefault="00507B66" w:rsidP="00EB5F8E">
      <w:pPr>
        <w:spacing w:after="0" w:line="240" w:lineRule="auto"/>
      </w:pPr>
      <w:r>
        <w:separator/>
      </w:r>
    </w:p>
  </w:footnote>
  <w:footnote w:type="continuationSeparator" w:id="0">
    <w:p w:rsidR="00507B66" w:rsidRDefault="00507B66" w:rsidP="00EB5F8E">
      <w:pPr>
        <w:spacing w:after="0" w:line="240" w:lineRule="auto"/>
      </w:pPr>
      <w:r>
        <w:continuationSeparator/>
      </w:r>
    </w:p>
  </w:footnote>
  <w:footnote w:id="1">
    <w:p w:rsidR="006A3789" w:rsidRDefault="006A3789">
      <w:pPr>
        <w:pStyle w:val="ab"/>
      </w:pPr>
      <w:r>
        <w:rPr>
          <w:rStyle w:val="ad"/>
        </w:rPr>
        <w:footnoteRef/>
      </w:r>
      <w:r>
        <w:t xml:space="preserve"> OSL. “</w:t>
      </w:r>
      <w:hyperlink r:id="rId1" w:history="1">
        <w:r w:rsidRPr="006A3789">
          <w:rPr>
            <w:rStyle w:val="a5"/>
          </w:rPr>
          <w:t>OSL Receives SFC License Uplift, Enabling Retail Investors to Trade Bitcoin and Ethereum</w:t>
        </w:r>
      </w:hyperlink>
      <w:r>
        <w:t xml:space="preserve">”. </w:t>
      </w:r>
    </w:p>
  </w:footnote>
  <w:footnote w:id="2">
    <w:p w:rsidR="006A3789" w:rsidRPr="006A3789" w:rsidRDefault="006A3789" w:rsidP="006A3789">
      <w:pPr>
        <w:pStyle w:val="2"/>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color w:val="000000"/>
        </w:rPr>
      </w:pPr>
      <w:r w:rsidRPr="006A3789">
        <w:rPr>
          <w:rStyle w:val="ad"/>
          <w:rFonts w:asciiTheme="minorHAnsi" w:eastAsiaTheme="minorEastAsia" w:hAnsiTheme="minorHAnsi" w:cstheme="minorBidi"/>
          <w:b w:val="0"/>
          <w:bCs w:val="0"/>
          <w:sz w:val="20"/>
          <w:szCs w:val="20"/>
          <w:lang w:eastAsia="zh-TW"/>
        </w:rPr>
        <w:footnoteRef/>
      </w:r>
      <w:r>
        <w:t xml:space="preserve"> </w:t>
      </w:r>
      <w:proofErr w:type="spellStart"/>
      <w:r w:rsidRPr="006A3789">
        <w:rPr>
          <w:rFonts w:ascii="Arial" w:hAnsi="Arial" w:cs="Arial"/>
          <w:b w:val="0"/>
          <w:sz w:val="18"/>
          <w:szCs w:val="18"/>
        </w:rPr>
        <w:t>HashKey</w:t>
      </w:r>
      <w:proofErr w:type="spellEnd"/>
      <w:r w:rsidRPr="006A3789">
        <w:rPr>
          <w:rFonts w:ascii="Arial" w:hAnsi="Arial" w:cs="Arial"/>
          <w:b w:val="0"/>
          <w:sz w:val="18"/>
          <w:szCs w:val="18"/>
        </w:rPr>
        <w:t xml:space="preserve"> Group. “</w:t>
      </w:r>
      <w:proofErr w:type="spellStart"/>
      <w:r>
        <w:fldChar w:fldCharType="begin"/>
      </w:r>
      <w:r>
        <w:instrText>HYPERLINK "https://group.hashkey.com/en/newsroom/hashkey-type1-7-licence-uplift"</w:instrText>
      </w:r>
      <w:r>
        <w:fldChar w:fldCharType="separate"/>
      </w:r>
      <w:r w:rsidRPr="006A3789">
        <w:rPr>
          <w:rStyle w:val="a5"/>
          <w:rFonts w:ascii="Arial" w:hAnsi="Arial" w:cs="Arial"/>
          <w:b w:val="0"/>
          <w:sz w:val="18"/>
          <w:szCs w:val="18"/>
        </w:rPr>
        <w:t>HashKey</w:t>
      </w:r>
      <w:proofErr w:type="spellEnd"/>
      <w:r w:rsidRPr="006A3789">
        <w:rPr>
          <w:rStyle w:val="a5"/>
          <w:rFonts w:ascii="Arial" w:hAnsi="Arial" w:cs="Arial"/>
          <w:b w:val="0"/>
          <w:sz w:val="18"/>
          <w:szCs w:val="18"/>
        </w:rPr>
        <w:t xml:space="preserve"> Exchange Announces Official Uplift of Type 1 and Type 7 </w:t>
      </w:r>
      <w:proofErr w:type="spellStart"/>
      <w:r w:rsidRPr="006A3789">
        <w:rPr>
          <w:rStyle w:val="a5"/>
          <w:rFonts w:ascii="Arial" w:hAnsi="Arial" w:cs="Arial"/>
          <w:b w:val="0"/>
          <w:sz w:val="18"/>
          <w:szCs w:val="18"/>
        </w:rPr>
        <w:t>Licences</w:t>
      </w:r>
      <w:proofErr w:type="spellEnd"/>
      <w:r w:rsidRPr="006A3789">
        <w:rPr>
          <w:rStyle w:val="a5"/>
          <w:rFonts w:ascii="Arial" w:hAnsi="Arial" w:cs="Arial"/>
          <w:b w:val="0"/>
          <w:sz w:val="18"/>
          <w:szCs w:val="18"/>
        </w:rPr>
        <w:t>, Becoming the First Licensed Exchange for Retail Users in Hong Kong</w:t>
      </w:r>
      <w:r>
        <w:rPr>
          <w:rStyle w:val="a5"/>
          <w:rFonts w:ascii="Arial" w:hAnsi="Arial" w:cs="Arial"/>
          <w:b w:val="0"/>
          <w:sz w:val="18"/>
          <w:szCs w:val="18"/>
        </w:rPr>
        <w:fldChar w:fldCharType="end"/>
      </w:r>
      <w:r>
        <w:rPr>
          <w:rFonts w:ascii="Arial" w:hAnsi="Arial" w:cs="Arial"/>
          <w:b w:val="0"/>
          <w:color w:val="000000"/>
          <w:sz w:val="18"/>
          <w:szCs w:val="18"/>
        </w:rPr>
        <w:t>”</w:t>
      </w:r>
    </w:p>
  </w:footnote>
  <w:footnote w:id="3">
    <w:p w:rsidR="00EB5F8E" w:rsidRPr="00563443" w:rsidRDefault="00EB5F8E">
      <w:pPr>
        <w:pStyle w:val="ab"/>
        <w:rPr>
          <w:rFonts w:ascii="Arial" w:hAnsi="Arial" w:cs="Arial"/>
          <w:sz w:val="18"/>
          <w:szCs w:val="18"/>
        </w:rPr>
      </w:pPr>
      <w:r>
        <w:rPr>
          <w:rStyle w:val="ad"/>
        </w:rPr>
        <w:footnoteRef/>
      </w:r>
      <w:r>
        <w:t xml:space="preserve"> </w:t>
      </w:r>
      <w:r w:rsidRPr="00563443">
        <w:rPr>
          <w:rFonts w:ascii="Arial" w:hAnsi="Arial" w:cs="Arial"/>
          <w:sz w:val="18"/>
          <w:szCs w:val="18"/>
        </w:rPr>
        <w:t xml:space="preserve">Under section 3 of Schedule 3G to the AMLO </w:t>
      </w:r>
    </w:p>
  </w:footnote>
  <w:footnote w:id="4">
    <w:p w:rsidR="006E5C18" w:rsidRDefault="006E5C18">
      <w:pPr>
        <w:pStyle w:val="ab"/>
      </w:pPr>
      <w:r>
        <w:rPr>
          <w:rStyle w:val="ad"/>
        </w:rPr>
        <w:footnoteRef/>
      </w:r>
      <w:r>
        <w:t xml:space="preserve"> </w:t>
      </w:r>
      <w:r w:rsidR="005547D3" w:rsidRPr="00563443">
        <w:rPr>
          <w:rFonts w:ascii="Arial" w:hAnsi="Arial" w:cs="Arial"/>
          <w:sz w:val="18"/>
          <w:szCs w:val="18"/>
        </w:rPr>
        <w:t>The VATP Guidelines prohibit trading virtual asset futures contracts or related derivatives (under paragraph 7.25) and the use of client assets to generate income or returns for clients (under paragraph 7.26(b))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26240"/>
    <w:multiLevelType w:val="multilevel"/>
    <w:tmpl w:val="0B60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639139">
    <w:abstractNumId w:val="0"/>
  </w:num>
  <w:num w:numId="2" w16cid:durableId="57790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ysDAzMTezNDAC0ko6SsGpxcWZ+XkgBUa1AFIYkocsAAAA"/>
  </w:docVars>
  <w:rsids>
    <w:rsidRoot w:val="00F23DCB"/>
    <w:rsid w:val="000017C5"/>
    <w:rsid w:val="00034874"/>
    <w:rsid w:val="00043604"/>
    <w:rsid w:val="000812B0"/>
    <w:rsid w:val="000B7FD3"/>
    <w:rsid w:val="000D0DD8"/>
    <w:rsid w:val="00150C02"/>
    <w:rsid w:val="00163BE5"/>
    <w:rsid w:val="00173E42"/>
    <w:rsid w:val="00194D2F"/>
    <w:rsid w:val="001A7750"/>
    <w:rsid w:val="001B4298"/>
    <w:rsid w:val="001D5BB8"/>
    <w:rsid w:val="002025B8"/>
    <w:rsid w:val="00213D5E"/>
    <w:rsid w:val="00221CC0"/>
    <w:rsid w:val="002628F7"/>
    <w:rsid w:val="002631A5"/>
    <w:rsid w:val="002A27EA"/>
    <w:rsid w:val="002A3A8D"/>
    <w:rsid w:val="002C4B72"/>
    <w:rsid w:val="002F5062"/>
    <w:rsid w:val="003008AC"/>
    <w:rsid w:val="003125A8"/>
    <w:rsid w:val="00315773"/>
    <w:rsid w:val="00340F00"/>
    <w:rsid w:val="00342BBA"/>
    <w:rsid w:val="003609BB"/>
    <w:rsid w:val="00383E5F"/>
    <w:rsid w:val="00387520"/>
    <w:rsid w:val="00390B3E"/>
    <w:rsid w:val="003A01BB"/>
    <w:rsid w:val="003A67DD"/>
    <w:rsid w:val="003A6CFE"/>
    <w:rsid w:val="003C0ECD"/>
    <w:rsid w:val="003D6F4C"/>
    <w:rsid w:val="003E2B9C"/>
    <w:rsid w:val="003E31F3"/>
    <w:rsid w:val="003F6F3F"/>
    <w:rsid w:val="0041458E"/>
    <w:rsid w:val="00435858"/>
    <w:rsid w:val="0043612A"/>
    <w:rsid w:val="004535EA"/>
    <w:rsid w:val="00460264"/>
    <w:rsid w:val="0046600C"/>
    <w:rsid w:val="00477D42"/>
    <w:rsid w:val="00486679"/>
    <w:rsid w:val="004A0556"/>
    <w:rsid w:val="004B55AD"/>
    <w:rsid w:val="004C5C99"/>
    <w:rsid w:val="004F1E52"/>
    <w:rsid w:val="005025B6"/>
    <w:rsid w:val="00506A90"/>
    <w:rsid w:val="00507B66"/>
    <w:rsid w:val="00540648"/>
    <w:rsid w:val="00543E2E"/>
    <w:rsid w:val="00544756"/>
    <w:rsid w:val="005547D3"/>
    <w:rsid w:val="00563443"/>
    <w:rsid w:val="005761E5"/>
    <w:rsid w:val="005D22E8"/>
    <w:rsid w:val="005E52A8"/>
    <w:rsid w:val="005F5CBB"/>
    <w:rsid w:val="005F659C"/>
    <w:rsid w:val="0060473D"/>
    <w:rsid w:val="00606EB1"/>
    <w:rsid w:val="006425FF"/>
    <w:rsid w:val="00642A73"/>
    <w:rsid w:val="006A3789"/>
    <w:rsid w:val="006A6657"/>
    <w:rsid w:val="006B345F"/>
    <w:rsid w:val="006B3E8E"/>
    <w:rsid w:val="006B77E9"/>
    <w:rsid w:val="006E5C18"/>
    <w:rsid w:val="00705666"/>
    <w:rsid w:val="00705AC1"/>
    <w:rsid w:val="00714411"/>
    <w:rsid w:val="00746155"/>
    <w:rsid w:val="007518E9"/>
    <w:rsid w:val="00763B22"/>
    <w:rsid w:val="00767C5C"/>
    <w:rsid w:val="00795BFD"/>
    <w:rsid w:val="007B3156"/>
    <w:rsid w:val="007B5C8C"/>
    <w:rsid w:val="007D5F8C"/>
    <w:rsid w:val="00813367"/>
    <w:rsid w:val="00814064"/>
    <w:rsid w:val="0082475F"/>
    <w:rsid w:val="00844535"/>
    <w:rsid w:val="008510B5"/>
    <w:rsid w:val="00852259"/>
    <w:rsid w:val="008628EF"/>
    <w:rsid w:val="00885F4B"/>
    <w:rsid w:val="008F3859"/>
    <w:rsid w:val="00910A61"/>
    <w:rsid w:val="009464B2"/>
    <w:rsid w:val="00976045"/>
    <w:rsid w:val="009800E7"/>
    <w:rsid w:val="00986EA8"/>
    <w:rsid w:val="009B29E1"/>
    <w:rsid w:val="009E7091"/>
    <w:rsid w:val="00A0078F"/>
    <w:rsid w:val="00A06EA0"/>
    <w:rsid w:val="00A2339D"/>
    <w:rsid w:val="00A32489"/>
    <w:rsid w:val="00A34279"/>
    <w:rsid w:val="00A61F21"/>
    <w:rsid w:val="00A7174C"/>
    <w:rsid w:val="00A914B9"/>
    <w:rsid w:val="00A9533A"/>
    <w:rsid w:val="00AC695D"/>
    <w:rsid w:val="00AF4A0F"/>
    <w:rsid w:val="00B170EF"/>
    <w:rsid w:val="00B44421"/>
    <w:rsid w:val="00B47A0C"/>
    <w:rsid w:val="00B760B2"/>
    <w:rsid w:val="00B85849"/>
    <w:rsid w:val="00B8729D"/>
    <w:rsid w:val="00B967B3"/>
    <w:rsid w:val="00BA3E59"/>
    <w:rsid w:val="00BA523E"/>
    <w:rsid w:val="00BB4FAB"/>
    <w:rsid w:val="00BC5214"/>
    <w:rsid w:val="00BC6C9C"/>
    <w:rsid w:val="00BF5492"/>
    <w:rsid w:val="00C2461E"/>
    <w:rsid w:val="00C36E51"/>
    <w:rsid w:val="00C37098"/>
    <w:rsid w:val="00CD1EE1"/>
    <w:rsid w:val="00CD7231"/>
    <w:rsid w:val="00D040B4"/>
    <w:rsid w:val="00D05515"/>
    <w:rsid w:val="00D356B1"/>
    <w:rsid w:val="00D4405C"/>
    <w:rsid w:val="00D53125"/>
    <w:rsid w:val="00D56C72"/>
    <w:rsid w:val="00D64D36"/>
    <w:rsid w:val="00D76E89"/>
    <w:rsid w:val="00D84774"/>
    <w:rsid w:val="00D92706"/>
    <w:rsid w:val="00DA4E84"/>
    <w:rsid w:val="00DD12D6"/>
    <w:rsid w:val="00DF5BD5"/>
    <w:rsid w:val="00E06FB3"/>
    <w:rsid w:val="00E36BCA"/>
    <w:rsid w:val="00E42F18"/>
    <w:rsid w:val="00E501B4"/>
    <w:rsid w:val="00E70F42"/>
    <w:rsid w:val="00E92E0C"/>
    <w:rsid w:val="00E95752"/>
    <w:rsid w:val="00EB5F8E"/>
    <w:rsid w:val="00F02C84"/>
    <w:rsid w:val="00F16C25"/>
    <w:rsid w:val="00F23DCB"/>
    <w:rsid w:val="00F54BAA"/>
    <w:rsid w:val="00F77B23"/>
    <w:rsid w:val="00F8145C"/>
    <w:rsid w:val="00FA234D"/>
    <w:rsid w:val="00FB025E"/>
    <w:rsid w:val="00FE202D"/>
    <w:rsid w:val="00FF27AB"/>
    <w:rsid w:val="00FF4773"/>
    <w:rsid w:val="00FF4E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A9D8"/>
  <w15:chartTrackingRefBased/>
  <w15:docId w15:val="{EC5431F7-D73C-4452-9F76-95F23988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A3789"/>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section1">
    <w:name w:val="wordsection1"/>
    <w:basedOn w:val="a"/>
    <w:uiPriority w:val="99"/>
    <w:rsid w:val="003125A8"/>
    <w:pPr>
      <w:spacing w:after="0" w:line="240" w:lineRule="auto"/>
    </w:pPr>
    <w:rPr>
      <w:rFonts w:ascii="Times New Roman" w:eastAsiaTheme="minorHAnsi" w:hAnsi="Times New Roman" w:cs="Times New Roman"/>
      <w:sz w:val="24"/>
      <w:szCs w:val="24"/>
      <w:lang w:eastAsia="en-US"/>
    </w:rPr>
  </w:style>
  <w:style w:type="paragraph" w:styleId="a3">
    <w:name w:val="Normal (Web)"/>
    <w:basedOn w:val="a"/>
    <w:uiPriority w:val="99"/>
    <w:semiHidden/>
    <w:unhideWhenUsed/>
    <w:rsid w:val="003125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5A8"/>
    <w:rPr>
      <w:b/>
      <w:bCs/>
    </w:rPr>
  </w:style>
  <w:style w:type="character" w:styleId="a5">
    <w:name w:val="Hyperlink"/>
    <w:basedOn w:val="a0"/>
    <w:uiPriority w:val="99"/>
    <w:unhideWhenUsed/>
    <w:rsid w:val="003125A8"/>
    <w:rPr>
      <w:color w:val="0000FF"/>
      <w:u w:val="single"/>
    </w:rPr>
  </w:style>
  <w:style w:type="character" w:styleId="a6">
    <w:name w:val="FollowedHyperlink"/>
    <w:basedOn w:val="a0"/>
    <w:uiPriority w:val="99"/>
    <w:semiHidden/>
    <w:unhideWhenUsed/>
    <w:rsid w:val="002628F7"/>
    <w:rPr>
      <w:color w:val="954F72" w:themeColor="followedHyperlink"/>
      <w:u w:val="single"/>
    </w:rPr>
  </w:style>
  <w:style w:type="paragraph" w:styleId="a7">
    <w:name w:val="Balloon Text"/>
    <w:basedOn w:val="a"/>
    <w:link w:val="a8"/>
    <w:uiPriority w:val="99"/>
    <w:semiHidden/>
    <w:unhideWhenUsed/>
    <w:rsid w:val="00B4442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4421"/>
    <w:rPr>
      <w:rFonts w:ascii="Segoe UI" w:hAnsi="Segoe UI" w:cs="Segoe UI"/>
      <w:sz w:val="18"/>
      <w:szCs w:val="18"/>
    </w:rPr>
  </w:style>
  <w:style w:type="paragraph" w:styleId="a9">
    <w:name w:val="Plain Text"/>
    <w:basedOn w:val="a"/>
    <w:link w:val="aa"/>
    <w:uiPriority w:val="99"/>
    <w:unhideWhenUsed/>
    <w:rsid w:val="002A27EA"/>
    <w:pPr>
      <w:spacing w:after="0" w:line="240" w:lineRule="auto"/>
    </w:pPr>
    <w:rPr>
      <w:rFonts w:ascii="Arial" w:eastAsiaTheme="minorHAnsi" w:hAnsi="Arial" w:cs="Arial"/>
      <w:sz w:val="20"/>
      <w:szCs w:val="20"/>
      <w:lang w:eastAsia="en-US"/>
    </w:rPr>
  </w:style>
  <w:style w:type="character" w:customStyle="1" w:styleId="aa">
    <w:name w:val="Текст Знак"/>
    <w:basedOn w:val="a0"/>
    <w:link w:val="a9"/>
    <w:uiPriority w:val="99"/>
    <w:rsid w:val="002A27EA"/>
    <w:rPr>
      <w:rFonts w:ascii="Arial" w:eastAsiaTheme="minorHAnsi" w:hAnsi="Arial" w:cs="Arial"/>
      <w:sz w:val="20"/>
      <w:szCs w:val="20"/>
      <w:lang w:eastAsia="en-US"/>
    </w:rPr>
  </w:style>
  <w:style w:type="paragraph" w:styleId="ab">
    <w:name w:val="footnote text"/>
    <w:basedOn w:val="a"/>
    <w:link w:val="ac"/>
    <w:uiPriority w:val="99"/>
    <w:semiHidden/>
    <w:unhideWhenUsed/>
    <w:rsid w:val="00EB5F8E"/>
    <w:pPr>
      <w:spacing w:after="0" w:line="240" w:lineRule="auto"/>
    </w:pPr>
    <w:rPr>
      <w:sz w:val="20"/>
      <w:szCs w:val="20"/>
    </w:rPr>
  </w:style>
  <w:style w:type="character" w:customStyle="1" w:styleId="ac">
    <w:name w:val="Текст сноски Знак"/>
    <w:basedOn w:val="a0"/>
    <w:link w:val="ab"/>
    <w:uiPriority w:val="99"/>
    <w:semiHidden/>
    <w:rsid w:val="00EB5F8E"/>
    <w:rPr>
      <w:sz w:val="20"/>
      <w:szCs w:val="20"/>
    </w:rPr>
  </w:style>
  <w:style w:type="character" w:styleId="ad">
    <w:name w:val="footnote reference"/>
    <w:basedOn w:val="a0"/>
    <w:uiPriority w:val="99"/>
    <w:semiHidden/>
    <w:unhideWhenUsed/>
    <w:rsid w:val="00EB5F8E"/>
    <w:rPr>
      <w:vertAlign w:val="superscript"/>
    </w:rPr>
  </w:style>
  <w:style w:type="character" w:customStyle="1" w:styleId="20">
    <w:name w:val="Заголовок 2 Знак"/>
    <w:basedOn w:val="a0"/>
    <w:link w:val="2"/>
    <w:uiPriority w:val="9"/>
    <w:rsid w:val="006A3789"/>
    <w:rPr>
      <w:rFonts w:ascii="Times New Roman" w:eastAsia="Times New Roman" w:hAnsi="Times New Roman" w:cs="Times New Roman"/>
      <w:b/>
      <w:bCs/>
      <w:sz w:val="36"/>
      <w:szCs w:val="36"/>
      <w:lang w:eastAsia="en-US"/>
    </w:rPr>
  </w:style>
  <w:style w:type="paragraph" w:customStyle="1" w:styleId="Disclaimer">
    <w:name w:val="Disclaimer"/>
    <w:basedOn w:val="a"/>
    <w:qFormat/>
    <w:rsid w:val="00AC695D"/>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AC695D"/>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AC695D"/>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11162">
      <w:bodyDiv w:val="1"/>
      <w:marLeft w:val="0"/>
      <w:marRight w:val="0"/>
      <w:marTop w:val="0"/>
      <w:marBottom w:val="0"/>
      <w:divBdr>
        <w:top w:val="none" w:sz="0" w:space="0" w:color="auto"/>
        <w:left w:val="none" w:sz="0" w:space="0" w:color="auto"/>
        <w:bottom w:val="none" w:sz="0" w:space="0" w:color="auto"/>
        <w:right w:val="none" w:sz="0" w:space="0" w:color="auto"/>
      </w:divBdr>
    </w:div>
    <w:div w:id="552816397">
      <w:bodyDiv w:val="1"/>
      <w:marLeft w:val="0"/>
      <w:marRight w:val="0"/>
      <w:marTop w:val="0"/>
      <w:marBottom w:val="0"/>
      <w:divBdr>
        <w:top w:val="none" w:sz="0" w:space="0" w:color="auto"/>
        <w:left w:val="none" w:sz="0" w:space="0" w:color="auto"/>
        <w:bottom w:val="none" w:sz="0" w:space="0" w:color="auto"/>
        <w:right w:val="none" w:sz="0" w:space="0" w:color="auto"/>
      </w:divBdr>
    </w:div>
    <w:div w:id="577521356">
      <w:bodyDiv w:val="1"/>
      <w:marLeft w:val="0"/>
      <w:marRight w:val="0"/>
      <w:marTop w:val="0"/>
      <w:marBottom w:val="0"/>
      <w:divBdr>
        <w:top w:val="none" w:sz="0" w:space="0" w:color="auto"/>
        <w:left w:val="none" w:sz="0" w:space="0" w:color="auto"/>
        <w:bottom w:val="none" w:sz="0" w:space="0" w:color="auto"/>
        <w:right w:val="none" w:sz="0" w:space="0" w:color="auto"/>
      </w:divBdr>
    </w:div>
    <w:div w:id="1331176285">
      <w:bodyDiv w:val="1"/>
      <w:marLeft w:val="0"/>
      <w:marRight w:val="0"/>
      <w:marTop w:val="0"/>
      <w:marBottom w:val="0"/>
      <w:divBdr>
        <w:top w:val="none" w:sz="0" w:space="0" w:color="auto"/>
        <w:left w:val="none" w:sz="0" w:space="0" w:color="auto"/>
        <w:bottom w:val="none" w:sz="0" w:space="0" w:color="auto"/>
        <w:right w:val="none" w:sz="0" w:space="0" w:color="auto"/>
      </w:divBdr>
    </w:div>
    <w:div w:id="168512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warns-unlicensed-crypto-exchanges-of-legal-consequen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hk/en/Welcome-to-the-Fintech-Contact-Point/Virtual-assets/Virtual-asset-trading-platforms-operators/Lists-of-virtual-asset-trading-platforms" TargetMode="External"/><Relationship Id="rId5" Type="http://schemas.openxmlformats.org/officeDocument/2006/relationships/webSettings" Target="webSettings.xml"/><Relationship Id="rId10"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4" Type="http://schemas.openxmlformats.org/officeDocument/2006/relationships/settings" Target="settings.xml"/><Relationship Id="rId9" Type="http://schemas.openxmlformats.org/officeDocument/2006/relationships/hyperlink" Target="https://apps.sfc.hk/edistributionWeb/gateway/EN/news-and-announcements/news/doc?refNo=23PR8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sl.com/press-release/osl-sfc-license-uplift-retail-investors-trade-bitcoin-and-ether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E29C-3309-4D08-9C3C-E437E5AE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1165</Words>
  <Characters>6642</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Александр Пирогов</cp:lastModifiedBy>
  <cp:revision>9</cp:revision>
  <cp:lastPrinted>2023-08-11T10:04:00Z</cp:lastPrinted>
  <dcterms:created xsi:type="dcterms:W3CDTF">2023-08-14T11:33:00Z</dcterms:created>
  <dcterms:modified xsi:type="dcterms:W3CDTF">2023-08-16T07:40:00Z</dcterms:modified>
</cp:coreProperties>
</file>