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03F69" w:rsidRPr="008524CA" w:rsidRDefault="00A03F69" w:rsidP="00A03F69">
      <w:pPr>
        <w:shd w:val="clear" w:color="auto" w:fill="000000"/>
        <w:spacing w:after="200"/>
        <w:jc w:val="center"/>
        <w:rPr>
          <w:rFonts w:ascii="Cambria" w:eastAsia="Cambria" w:hAnsi="Cambria" w:cs="Times New Roman"/>
          <w:color w:val="FFFFFF"/>
          <w:sz w:val="24"/>
          <w:szCs w:val="24"/>
        </w:rPr>
      </w:pPr>
      <w:proofErr w:type="spellStart"/>
      <w:r>
        <w:rPr>
          <w:rFonts w:ascii="Cambria" w:eastAsia="Cambria" w:hAnsi="Cambria" w:cs="Times New Roman"/>
          <w:color w:val="FFFFFF"/>
          <w:sz w:val="24"/>
          <w:szCs w:val="24"/>
        </w:rPr>
        <w:t>Charltons</w:t>
      </w:r>
      <w:proofErr w:type="spellEnd"/>
      <w:r>
        <w:rPr>
          <w:rFonts w:ascii="Cambria" w:eastAsia="Cambria" w:hAnsi="Cambria" w:cs="Times New Roman"/>
          <w:color w:val="FFFFFF"/>
          <w:sz w:val="24"/>
          <w:szCs w:val="24"/>
        </w:rPr>
        <w:t xml:space="preserve"> - Hong Kong Law - </w:t>
      </w:r>
      <w:r w:rsidRPr="003649D3">
        <w:rPr>
          <w:rFonts w:ascii="Cambria" w:eastAsia="Cambria" w:hAnsi="Cambria" w:cs="Times New Roman"/>
          <w:color w:val="FFFFFF"/>
          <w:sz w:val="24"/>
          <w:szCs w:val="24"/>
        </w:rPr>
        <w:t>2</w:t>
      </w:r>
      <w:r w:rsidR="005034F5">
        <w:rPr>
          <w:rFonts w:ascii="Cambria" w:eastAsia="Cambria" w:hAnsi="Cambria" w:cs="Times New Roman"/>
          <w:color w:val="FFFFFF"/>
          <w:sz w:val="24"/>
          <w:szCs w:val="24"/>
        </w:rPr>
        <w:t>4</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July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A03F69" w:rsidRPr="00A03F69" w:rsidRDefault="00000000" w:rsidP="00A03F69">
      <w:pPr>
        <w:spacing w:after="200"/>
        <w:jc w:val="center"/>
        <w:rPr>
          <w:rFonts w:ascii="Cambria" w:eastAsia="Cambria" w:hAnsi="Cambria" w:cs="Times New Roman"/>
          <w:color w:val="00000A"/>
          <w:sz w:val="28"/>
          <w:szCs w:val="24"/>
          <w:u w:val="single"/>
        </w:rPr>
      </w:pPr>
      <w:hyperlink r:id="rId8" w:history="1">
        <w:r w:rsidR="00A03F69" w:rsidRPr="00365171">
          <w:rPr>
            <w:rStyle w:val="a3"/>
            <w:rFonts w:ascii="Cambria" w:eastAsia="Cambria" w:hAnsi="Cambria"/>
            <w:sz w:val="28"/>
            <w:szCs w:val="24"/>
          </w:rPr>
          <w:t>online version</w:t>
        </w:r>
      </w:hyperlink>
    </w:p>
    <w:p w:rsidR="005C553F" w:rsidRPr="005C553F" w:rsidRDefault="005C553F" w:rsidP="005C553F">
      <w:pPr>
        <w:jc w:val="center"/>
        <w:rPr>
          <w:rFonts w:ascii="Arial" w:hAnsi="Arial" w:cs="Arial"/>
          <w:b/>
          <w:color w:val="FF0000"/>
          <w:sz w:val="20"/>
          <w:szCs w:val="20"/>
        </w:rPr>
      </w:pPr>
      <w:r w:rsidRPr="005C553F">
        <w:rPr>
          <w:rFonts w:ascii="Arial" w:hAnsi="Arial" w:cs="Arial"/>
          <w:b/>
          <w:color w:val="FF0000"/>
          <w:sz w:val="20"/>
          <w:szCs w:val="20"/>
        </w:rPr>
        <w:t>HKEX's Fast Interface for New Issuance (FINI) Platform to Launch October 2023</w:t>
      </w:r>
    </w:p>
    <w:p w:rsidR="00FF53C5" w:rsidRDefault="00F808F5"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The Hong Kong Exchanges and Clearing Limited (</w:t>
      </w:r>
      <w:r w:rsidRPr="005C553F">
        <w:rPr>
          <w:rFonts w:ascii="Arial" w:hAnsi="Arial" w:cs="Arial"/>
          <w:b/>
          <w:color w:val="000000" w:themeColor="text1"/>
          <w:sz w:val="20"/>
          <w:szCs w:val="20"/>
        </w:rPr>
        <w:t>HKEX</w:t>
      </w:r>
      <w:r w:rsidRPr="005C553F">
        <w:rPr>
          <w:rFonts w:ascii="Arial" w:hAnsi="Arial" w:cs="Arial"/>
          <w:color w:val="000000" w:themeColor="text1"/>
          <w:sz w:val="20"/>
          <w:szCs w:val="20"/>
        </w:rPr>
        <w:t xml:space="preserve">) </w:t>
      </w:r>
      <w:r w:rsidR="003F0D3C">
        <w:rPr>
          <w:rFonts w:ascii="Arial" w:hAnsi="Arial" w:cs="Arial"/>
          <w:color w:val="000000" w:themeColor="text1"/>
          <w:sz w:val="20"/>
          <w:szCs w:val="20"/>
        </w:rPr>
        <w:t xml:space="preserve">has </w:t>
      </w:r>
      <w:r w:rsidRPr="005C553F">
        <w:rPr>
          <w:rFonts w:ascii="Arial" w:hAnsi="Arial" w:cs="Arial"/>
          <w:color w:val="000000" w:themeColor="text1"/>
          <w:sz w:val="20"/>
          <w:szCs w:val="20"/>
        </w:rPr>
        <w:t xml:space="preserve">published the </w:t>
      </w:r>
      <w:hyperlink r:id="rId9" w:history="1">
        <w:r w:rsidRPr="005C553F">
          <w:rPr>
            <w:rStyle w:val="a3"/>
            <w:rFonts w:ascii="Arial" w:hAnsi="Arial" w:cs="Arial"/>
            <w:sz w:val="20"/>
            <w:szCs w:val="20"/>
          </w:rPr>
          <w:t xml:space="preserve">"Launch </w:t>
        </w:r>
        <w:r w:rsidR="00CE64BC">
          <w:rPr>
            <w:rStyle w:val="a3"/>
            <w:rFonts w:ascii="Arial" w:hAnsi="Arial" w:cs="Arial"/>
            <w:sz w:val="20"/>
            <w:szCs w:val="20"/>
          </w:rPr>
          <w:t>of FINI P</w:t>
        </w:r>
        <w:r w:rsidRPr="005C553F">
          <w:rPr>
            <w:rStyle w:val="a3"/>
            <w:rFonts w:ascii="Arial" w:hAnsi="Arial" w:cs="Arial"/>
            <w:sz w:val="20"/>
            <w:szCs w:val="20"/>
          </w:rPr>
          <w:t>latform" website</w:t>
        </w:r>
      </w:hyperlink>
      <w:r w:rsidRPr="005C553F">
        <w:rPr>
          <w:rFonts w:ascii="Arial" w:hAnsi="Arial" w:cs="Arial"/>
          <w:color w:val="000000" w:themeColor="text1"/>
          <w:sz w:val="20"/>
          <w:szCs w:val="20"/>
        </w:rPr>
        <w:t xml:space="preserve"> </w:t>
      </w:r>
      <w:r w:rsidR="003F0D3C">
        <w:rPr>
          <w:rFonts w:ascii="Arial" w:hAnsi="Arial" w:cs="Arial"/>
          <w:color w:val="000000" w:themeColor="text1"/>
          <w:sz w:val="20"/>
          <w:szCs w:val="20"/>
        </w:rPr>
        <w:t xml:space="preserve">setting out the </w:t>
      </w:r>
      <w:r w:rsidRPr="005C553F">
        <w:rPr>
          <w:rFonts w:ascii="Arial" w:hAnsi="Arial" w:cs="Arial"/>
          <w:color w:val="000000" w:themeColor="text1"/>
          <w:sz w:val="20"/>
          <w:szCs w:val="20"/>
        </w:rPr>
        <w:t xml:space="preserve">revised </w:t>
      </w:r>
      <w:r w:rsidR="00171BB0">
        <w:rPr>
          <w:rFonts w:ascii="Arial" w:hAnsi="Arial" w:cs="Arial"/>
          <w:color w:val="000000" w:themeColor="text1"/>
          <w:sz w:val="20"/>
          <w:szCs w:val="20"/>
        </w:rPr>
        <w:t xml:space="preserve">HKEX </w:t>
      </w:r>
      <w:r w:rsidRPr="005C553F">
        <w:rPr>
          <w:rFonts w:ascii="Arial" w:hAnsi="Arial" w:cs="Arial"/>
          <w:color w:val="000000" w:themeColor="text1"/>
          <w:sz w:val="20"/>
          <w:szCs w:val="20"/>
        </w:rPr>
        <w:t xml:space="preserve">Listing Rules and Guidance Materials </w:t>
      </w:r>
      <w:r w:rsidR="008A2FDD">
        <w:rPr>
          <w:rFonts w:ascii="Arial" w:hAnsi="Arial" w:cs="Arial"/>
          <w:color w:val="000000" w:themeColor="text1"/>
          <w:sz w:val="20"/>
          <w:szCs w:val="20"/>
        </w:rPr>
        <w:t xml:space="preserve">that will </w:t>
      </w:r>
      <w:r w:rsidR="006B3C96">
        <w:rPr>
          <w:rFonts w:ascii="Arial" w:hAnsi="Arial" w:cs="Arial"/>
          <w:color w:val="000000" w:themeColor="text1"/>
          <w:sz w:val="20"/>
          <w:szCs w:val="20"/>
        </w:rPr>
        <w:t xml:space="preserve">take </w:t>
      </w:r>
      <w:r w:rsidR="008A2FDD">
        <w:rPr>
          <w:rFonts w:ascii="Arial" w:hAnsi="Arial" w:cs="Arial"/>
          <w:color w:val="000000" w:themeColor="text1"/>
          <w:sz w:val="20"/>
          <w:szCs w:val="20"/>
        </w:rPr>
        <w:t xml:space="preserve">effect on </w:t>
      </w:r>
      <w:r w:rsidRPr="005C553F">
        <w:rPr>
          <w:rFonts w:ascii="Arial" w:hAnsi="Arial" w:cs="Arial"/>
          <w:color w:val="000000" w:themeColor="text1"/>
          <w:sz w:val="20"/>
          <w:szCs w:val="20"/>
        </w:rPr>
        <w:t xml:space="preserve">the </w:t>
      </w:r>
      <w:r w:rsidR="008A2FDD" w:rsidRPr="005C553F">
        <w:rPr>
          <w:rFonts w:ascii="Arial" w:hAnsi="Arial" w:cs="Arial"/>
          <w:color w:val="000000" w:themeColor="text1"/>
          <w:sz w:val="20"/>
          <w:szCs w:val="20"/>
        </w:rPr>
        <w:t>October 2023</w:t>
      </w:r>
      <w:r w:rsidR="008A2FDD">
        <w:rPr>
          <w:rFonts w:ascii="Arial" w:hAnsi="Arial" w:cs="Arial"/>
          <w:color w:val="000000" w:themeColor="text1"/>
          <w:sz w:val="20"/>
          <w:szCs w:val="20"/>
        </w:rPr>
        <w:t xml:space="preserve"> </w:t>
      </w:r>
      <w:r w:rsidR="00171BB0">
        <w:rPr>
          <w:rFonts w:ascii="Arial" w:hAnsi="Arial" w:cs="Arial"/>
          <w:color w:val="000000" w:themeColor="text1"/>
          <w:sz w:val="20"/>
          <w:szCs w:val="20"/>
        </w:rPr>
        <w:t xml:space="preserve">launch of its </w:t>
      </w:r>
      <w:r w:rsidRPr="005C553F">
        <w:rPr>
          <w:rFonts w:ascii="Arial" w:hAnsi="Arial" w:cs="Arial"/>
          <w:color w:val="000000" w:themeColor="text1"/>
          <w:sz w:val="20"/>
          <w:szCs w:val="20"/>
        </w:rPr>
        <w:t>new</w:t>
      </w:r>
      <w:r w:rsidR="00FF53C5" w:rsidRPr="005C553F">
        <w:rPr>
          <w:rFonts w:ascii="Arial" w:hAnsi="Arial" w:cs="Arial"/>
          <w:color w:val="000000" w:themeColor="text1"/>
          <w:sz w:val="20"/>
          <w:szCs w:val="20"/>
        </w:rPr>
        <w:t xml:space="preserve"> digital</w:t>
      </w:r>
      <w:r w:rsidRPr="005C553F">
        <w:rPr>
          <w:rFonts w:ascii="Arial" w:hAnsi="Arial" w:cs="Arial"/>
          <w:color w:val="000000" w:themeColor="text1"/>
          <w:sz w:val="20"/>
          <w:szCs w:val="20"/>
        </w:rPr>
        <w:t xml:space="preserve"> FINI (Fast Interface for New Issuance)</w:t>
      </w:r>
      <w:r w:rsidR="00171BB0">
        <w:rPr>
          <w:rFonts w:ascii="Arial" w:hAnsi="Arial" w:cs="Arial"/>
          <w:color w:val="000000" w:themeColor="text1"/>
          <w:sz w:val="20"/>
          <w:szCs w:val="20"/>
        </w:rPr>
        <w:t xml:space="preserve"> </w:t>
      </w:r>
      <w:r w:rsidR="00171BB0" w:rsidRPr="005C553F">
        <w:rPr>
          <w:rFonts w:ascii="Arial" w:hAnsi="Arial" w:cs="Arial"/>
          <w:color w:val="000000" w:themeColor="text1"/>
          <w:sz w:val="20"/>
          <w:szCs w:val="20"/>
        </w:rPr>
        <w:t>platform</w:t>
      </w:r>
      <w:r w:rsidR="00C15537" w:rsidRPr="005C553F">
        <w:rPr>
          <w:rFonts w:ascii="Arial" w:hAnsi="Arial" w:cs="Arial"/>
          <w:color w:val="000000" w:themeColor="text1"/>
          <w:sz w:val="20"/>
          <w:szCs w:val="20"/>
        </w:rPr>
        <w:t xml:space="preserve">. </w:t>
      </w:r>
      <w:r w:rsidR="001D735F" w:rsidRPr="005C553F">
        <w:rPr>
          <w:rFonts w:ascii="Arial" w:hAnsi="Arial" w:cs="Arial"/>
          <w:sz w:val="20"/>
          <w:szCs w:val="20"/>
        </w:rPr>
        <w:t xml:space="preserve">Developed to streamline the </w:t>
      </w:r>
      <w:r w:rsidR="005C4F83" w:rsidRPr="005C553F">
        <w:rPr>
          <w:rFonts w:ascii="Arial" w:hAnsi="Arial" w:cs="Arial"/>
          <w:sz w:val="20"/>
          <w:szCs w:val="20"/>
        </w:rPr>
        <w:t>Initial Public Offering</w:t>
      </w:r>
      <w:r w:rsidRPr="005C553F">
        <w:rPr>
          <w:rFonts w:ascii="Arial" w:hAnsi="Arial" w:cs="Arial"/>
          <w:sz w:val="20"/>
          <w:szCs w:val="20"/>
        </w:rPr>
        <w:t xml:space="preserve"> (</w:t>
      </w:r>
      <w:r w:rsidRPr="005C553F">
        <w:rPr>
          <w:rFonts w:ascii="Arial" w:hAnsi="Arial" w:cs="Arial"/>
          <w:b/>
          <w:sz w:val="20"/>
          <w:szCs w:val="20"/>
        </w:rPr>
        <w:t>IPO</w:t>
      </w:r>
      <w:r w:rsidRPr="005C553F">
        <w:rPr>
          <w:rFonts w:ascii="Arial" w:hAnsi="Arial" w:cs="Arial"/>
          <w:sz w:val="20"/>
          <w:szCs w:val="20"/>
        </w:rPr>
        <w:t>)</w:t>
      </w:r>
      <w:r w:rsidR="001D735F" w:rsidRPr="005C553F">
        <w:rPr>
          <w:rFonts w:ascii="Arial" w:hAnsi="Arial" w:cs="Arial"/>
          <w:sz w:val="20"/>
          <w:szCs w:val="20"/>
        </w:rPr>
        <w:t xml:space="preserve"> settlement process, which currently takes five days from pricin</w:t>
      </w:r>
      <w:r w:rsidR="005C4F83" w:rsidRPr="005C553F">
        <w:rPr>
          <w:rFonts w:ascii="Arial" w:hAnsi="Arial" w:cs="Arial"/>
          <w:sz w:val="20"/>
          <w:szCs w:val="20"/>
        </w:rPr>
        <w:t>g to formal on-market trading (T+5</w:t>
      </w:r>
      <w:r w:rsidR="00171BB0">
        <w:rPr>
          <w:rFonts w:ascii="Arial" w:hAnsi="Arial" w:cs="Arial"/>
          <w:sz w:val="20"/>
          <w:szCs w:val="20"/>
        </w:rPr>
        <w:t>), FINI will modernise and digitalis</w:t>
      </w:r>
      <w:r w:rsidR="001D735F" w:rsidRPr="005C553F">
        <w:rPr>
          <w:rFonts w:ascii="Arial" w:hAnsi="Arial" w:cs="Arial"/>
          <w:sz w:val="20"/>
          <w:szCs w:val="20"/>
        </w:rPr>
        <w:t>e the process</w:t>
      </w:r>
      <w:r w:rsidR="00171BB0">
        <w:rPr>
          <w:rFonts w:ascii="Arial" w:hAnsi="Arial" w:cs="Arial"/>
          <w:sz w:val="20"/>
          <w:szCs w:val="20"/>
        </w:rPr>
        <w:t xml:space="preserve">, </w:t>
      </w:r>
      <w:r w:rsidR="00595A43">
        <w:rPr>
          <w:rFonts w:ascii="Arial" w:hAnsi="Arial" w:cs="Arial"/>
          <w:sz w:val="20"/>
          <w:szCs w:val="20"/>
        </w:rPr>
        <w:t>and allow</w:t>
      </w:r>
      <w:r w:rsidR="001D735F" w:rsidRPr="005C553F">
        <w:rPr>
          <w:rFonts w:ascii="Arial" w:hAnsi="Arial" w:cs="Arial"/>
          <w:sz w:val="20"/>
          <w:szCs w:val="20"/>
        </w:rPr>
        <w:t xml:space="preserve"> new shares to begin trading as soon as two business days after pricing</w:t>
      </w:r>
      <w:r w:rsidR="005C4F83" w:rsidRPr="005C553F">
        <w:rPr>
          <w:rFonts w:ascii="Arial" w:hAnsi="Arial" w:cs="Arial"/>
          <w:sz w:val="20"/>
          <w:szCs w:val="20"/>
        </w:rPr>
        <w:t xml:space="preserve"> (T+2)</w:t>
      </w:r>
      <w:r w:rsidR="001D735F" w:rsidRPr="005C553F">
        <w:rPr>
          <w:rFonts w:ascii="Arial" w:hAnsi="Arial" w:cs="Arial"/>
          <w:sz w:val="20"/>
          <w:szCs w:val="20"/>
        </w:rPr>
        <w:t xml:space="preserve">. </w:t>
      </w:r>
      <w:r w:rsidR="002F0C87" w:rsidRPr="005C553F">
        <w:rPr>
          <w:rFonts w:ascii="Arial" w:hAnsi="Arial" w:cs="Arial"/>
          <w:color w:val="000000" w:themeColor="text1"/>
          <w:sz w:val="20"/>
          <w:szCs w:val="20"/>
        </w:rPr>
        <w:t>Th</w:t>
      </w:r>
      <w:r w:rsidR="00171BB0">
        <w:rPr>
          <w:rFonts w:ascii="Arial" w:hAnsi="Arial" w:cs="Arial"/>
          <w:color w:val="000000" w:themeColor="text1"/>
          <w:sz w:val="20"/>
          <w:szCs w:val="20"/>
        </w:rPr>
        <w:t>e shorter</w:t>
      </w:r>
      <w:r w:rsidR="002F0C87" w:rsidRPr="005C553F">
        <w:rPr>
          <w:rFonts w:ascii="Arial" w:hAnsi="Arial" w:cs="Arial"/>
          <w:color w:val="000000" w:themeColor="text1"/>
          <w:sz w:val="20"/>
          <w:szCs w:val="20"/>
        </w:rPr>
        <w:t xml:space="preserve"> settlement timeline </w:t>
      </w:r>
      <w:r w:rsidR="00595A43">
        <w:rPr>
          <w:rFonts w:ascii="Arial" w:hAnsi="Arial" w:cs="Arial"/>
          <w:color w:val="000000" w:themeColor="text1"/>
          <w:sz w:val="20"/>
          <w:szCs w:val="20"/>
        </w:rPr>
        <w:t xml:space="preserve">aims </w:t>
      </w:r>
      <w:r w:rsidR="002F0C87" w:rsidRPr="005C553F">
        <w:rPr>
          <w:rFonts w:ascii="Arial" w:hAnsi="Arial" w:cs="Arial"/>
          <w:color w:val="000000" w:themeColor="text1"/>
          <w:sz w:val="20"/>
          <w:szCs w:val="20"/>
        </w:rPr>
        <w:t xml:space="preserve">to </w:t>
      </w:r>
      <w:r w:rsidR="00171BB0">
        <w:rPr>
          <w:rFonts w:ascii="Arial" w:hAnsi="Arial" w:cs="Arial"/>
          <w:color w:val="000000" w:themeColor="text1"/>
          <w:sz w:val="20"/>
          <w:szCs w:val="20"/>
        </w:rPr>
        <w:t>giv</w:t>
      </w:r>
      <w:r w:rsidR="002F0C87" w:rsidRPr="005C553F">
        <w:rPr>
          <w:rFonts w:ascii="Arial" w:hAnsi="Arial" w:cs="Arial"/>
          <w:color w:val="000000" w:themeColor="text1"/>
          <w:sz w:val="20"/>
          <w:szCs w:val="20"/>
        </w:rPr>
        <w:t>e investors faster access to new listings, reduce market and operational risks, and improve efficiency for all stakeholders.</w:t>
      </w:r>
      <w:r w:rsidR="00171BB0">
        <w:rPr>
          <w:rFonts w:ascii="Arial" w:hAnsi="Arial" w:cs="Arial"/>
          <w:color w:val="000000" w:themeColor="text1"/>
          <w:sz w:val="20"/>
          <w:szCs w:val="20"/>
        </w:rPr>
        <w:t xml:space="preserve"> Once launched, FINI will be the</w:t>
      </w:r>
      <w:r w:rsidR="002F0C87" w:rsidRPr="005C553F">
        <w:rPr>
          <w:rFonts w:ascii="Arial" w:hAnsi="Arial" w:cs="Arial"/>
          <w:color w:val="000000" w:themeColor="text1"/>
          <w:sz w:val="20"/>
          <w:szCs w:val="20"/>
        </w:rPr>
        <w:t xml:space="preserve"> mandatory platform for </w:t>
      </w:r>
      <w:r w:rsidR="00595A43">
        <w:rPr>
          <w:rFonts w:ascii="Arial" w:hAnsi="Arial" w:cs="Arial"/>
          <w:color w:val="000000" w:themeColor="text1"/>
          <w:sz w:val="20"/>
          <w:szCs w:val="20"/>
        </w:rPr>
        <w:t>all new listings on the HKEX</w:t>
      </w:r>
      <w:r w:rsidR="00171BB0">
        <w:rPr>
          <w:rFonts w:ascii="Arial" w:hAnsi="Arial" w:cs="Arial"/>
          <w:color w:val="000000" w:themeColor="text1"/>
          <w:sz w:val="20"/>
          <w:szCs w:val="20"/>
        </w:rPr>
        <w:t xml:space="preserve"> and subsequent public offers</w:t>
      </w:r>
      <w:r w:rsidR="002F0C87" w:rsidRPr="005C553F">
        <w:rPr>
          <w:rFonts w:ascii="Arial" w:hAnsi="Arial" w:cs="Arial"/>
          <w:color w:val="000000" w:themeColor="text1"/>
          <w:sz w:val="20"/>
          <w:szCs w:val="20"/>
        </w:rPr>
        <w:t xml:space="preserve">. </w:t>
      </w:r>
      <w:r w:rsidR="00595A43">
        <w:rPr>
          <w:rFonts w:ascii="Arial" w:hAnsi="Arial" w:cs="Arial"/>
          <w:color w:val="000000" w:themeColor="text1"/>
          <w:sz w:val="20"/>
          <w:szCs w:val="20"/>
        </w:rPr>
        <w:t>I</w:t>
      </w:r>
      <w:r w:rsidR="00171BB0">
        <w:rPr>
          <w:rFonts w:ascii="Arial" w:hAnsi="Arial" w:cs="Arial"/>
          <w:color w:val="000000" w:themeColor="text1"/>
          <w:sz w:val="20"/>
          <w:szCs w:val="20"/>
        </w:rPr>
        <w:t>ssuers will have to comply with “T+2</w:t>
      </w:r>
      <w:r w:rsidR="00916EAF">
        <w:rPr>
          <w:rFonts w:ascii="Arial" w:hAnsi="Arial" w:cs="Arial"/>
          <w:color w:val="000000" w:themeColor="text1"/>
          <w:sz w:val="20"/>
          <w:szCs w:val="20"/>
        </w:rPr>
        <w:t>”</w:t>
      </w:r>
      <w:r w:rsidR="00595A43">
        <w:rPr>
          <w:rFonts w:ascii="Arial" w:hAnsi="Arial" w:cs="Arial"/>
          <w:color w:val="000000" w:themeColor="text1"/>
          <w:sz w:val="20"/>
          <w:szCs w:val="20"/>
        </w:rPr>
        <w:t>, but</w:t>
      </w:r>
      <w:r w:rsidR="00C911DF">
        <w:rPr>
          <w:rFonts w:ascii="Arial" w:hAnsi="Arial" w:cs="Arial"/>
          <w:color w:val="000000" w:themeColor="text1"/>
          <w:sz w:val="20"/>
          <w:szCs w:val="20"/>
        </w:rPr>
        <w:t xml:space="preserve"> will be able to apply to the HKEX for a T+3 or longer timetable.</w:t>
      </w:r>
      <w:r w:rsidR="00171BB0">
        <w:rPr>
          <w:rFonts w:ascii="Arial" w:hAnsi="Arial" w:cs="Arial"/>
          <w:color w:val="000000" w:themeColor="text1"/>
          <w:sz w:val="20"/>
          <w:szCs w:val="20"/>
        </w:rPr>
        <w:t xml:space="preserve"> </w:t>
      </w:r>
    </w:p>
    <w:p w:rsidR="0019539A" w:rsidRPr="0019539A" w:rsidRDefault="0019539A" w:rsidP="00995340">
      <w:pPr>
        <w:jc w:val="both"/>
        <w:rPr>
          <w:rFonts w:ascii="Arial" w:hAnsi="Arial" w:cs="Arial"/>
          <w:color w:val="000000" w:themeColor="text1"/>
          <w:sz w:val="20"/>
          <w:szCs w:val="20"/>
        </w:rPr>
      </w:pPr>
      <w:r w:rsidRPr="0019539A">
        <w:rPr>
          <w:rFonts w:ascii="Arial" w:hAnsi="Arial" w:cs="Arial"/>
          <w:sz w:val="20"/>
          <w:szCs w:val="20"/>
        </w:rPr>
        <w:t>FINI will modernise and replace bilateral workflows in the settlement process by enabling online interactions between the various stakeholders, replacing the use of emails, faxes, physical forms and other files by IPO sponsors, legal advisers, overall coordinators, distributors, the HKEX and the SFC on matters of placee information submission, allotment results clearance and associated documentation. These processes will be reflected in the Listing Rule Amendments.</w:t>
      </w:r>
    </w:p>
    <w:p w:rsidR="008076EA" w:rsidRDefault="00C911DF" w:rsidP="00995340">
      <w:pPr>
        <w:jc w:val="both"/>
        <w:rPr>
          <w:rFonts w:ascii="Arial" w:hAnsi="Arial" w:cs="Arial"/>
          <w:color w:val="000000" w:themeColor="text1"/>
          <w:sz w:val="20"/>
          <w:szCs w:val="20"/>
        </w:rPr>
      </w:pPr>
      <w:r>
        <w:rPr>
          <w:rFonts w:ascii="Arial" w:hAnsi="Arial" w:cs="Arial"/>
          <w:color w:val="000000" w:themeColor="text1"/>
          <w:sz w:val="20"/>
          <w:szCs w:val="20"/>
        </w:rPr>
        <w:t>T</w:t>
      </w:r>
      <w:r w:rsidR="00C15537" w:rsidRPr="005C553F">
        <w:rPr>
          <w:rFonts w:ascii="Arial" w:hAnsi="Arial" w:cs="Arial"/>
          <w:color w:val="000000" w:themeColor="text1"/>
          <w:sz w:val="20"/>
          <w:szCs w:val="20"/>
        </w:rPr>
        <w:t xml:space="preserve">he HKEX </w:t>
      </w:r>
      <w:r w:rsidR="005C4F83" w:rsidRPr="005C553F">
        <w:rPr>
          <w:rFonts w:ascii="Arial" w:hAnsi="Arial" w:cs="Arial"/>
          <w:color w:val="000000" w:themeColor="text1"/>
          <w:sz w:val="20"/>
          <w:szCs w:val="20"/>
        </w:rPr>
        <w:t>published</w:t>
      </w:r>
      <w:r w:rsidR="00595A43">
        <w:rPr>
          <w:rFonts w:ascii="Arial" w:hAnsi="Arial" w:cs="Arial"/>
          <w:color w:val="000000" w:themeColor="text1"/>
          <w:sz w:val="20"/>
          <w:szCs w:val="20"/>
        </w:rPr>
        <w:t xml:space="preserve"> its</w:t>
      </w:r>
      <w:r w:rsidR="00C15537" w:rsidRPr="005C553F">
        <w:rPr>
          <w:rFonts w:ascii="Arial" w:hAnsi="Arial" w:cs="Arial"/>
          <w:color w:val="000000" w:themeColor="text1"/>
          <w:sz w:val="20"/>
          <w:szCs w:val="20"/>
        </w:rPr>
        <w:t xml:space="preserve"> </w:t>
      </w:r>
      <w:hyperlink r:id="rId10" w:history="1">
        <w:r w:rsidR="00C15537" w:rsidRPr="005C553F">
          <w:rPr>
            <w:rStyle w:val="a3"/>
            <w:rFonts w:ascii="Arial" w:hAnsi="Arial" w:cs="Arial"/>
            <w:sz w:val="20"/>
            <w:szCs w:val="20"/>
          </w:rPr>
          <w:t>Concept Paper</w:t>
        </w:r>
      </w:hyperlink>
      <w:r w:rsidR="00C15537" w:rsidRPr="005C553F">
        <w:rPr>
          <w:rFonts w:ascii="Arial" w:hAnsi="Arial" w:cs="Arial"/>
          <w:sz w:val="20"/>
          <w:szCs w:val="20"/>
        </w:rPr>
        <w:t xml:space="preserve"> seeking market feedback on proposal</w:t>
      </w:r>
      <w:r>
        <w:rPr>
          <w:rFonts w:ascii="Arial" w:hAnsi="Arial" w:cs="Arial"/>
          <w:sz w:val="20"/>
          <w:szCs w:val="20"/>
        </w:rPr>
        <w:t>s</w:t>
      </w:r>
      <w:r w:rsidR="00C15537" w:rsidRPr="005C553F">
        <w:rPr>
          <w:rFonts w:ascii="Arial" w:hAnsi="Arial" w:cs="Arial"/>
          <w:sz w:val="20"/>
          <w:szCs w:val="20"/>
        </w:rPr>
        <w:t xml:space="preserve"> to</w:t>
      </w:r>
      <w:r>
        <w:rPr>
          <w:rFonts w:ascii="Arial" w:hAnsi="Arial" w:cs="Arial"/>
          <w:color w:val="000000" w:themeColor="text1"/>
          <w:sz w:val="20"/>
          <w:szCs w:val="20"/>
        </w:rPr>
        <w:t xml:space="preserve"> modernise and digitalis</w:t>
      </w:r>
      <w:r w:rsidR="00C15537" w:rsidRPr="005C553F">
        <w:rPr>
          <w:rFonts w:ascii="Arial" w:hAnsi="Arial" w:cs="Arial"/>
          <w:color w:val="000000" w:themeColor="text1"/>
          <w:sz w:val="20"/>
          <w:szCs w:val="20"/>
        </w:rPr>
        <w:t>e Hong Kong's IPO process through FINI</w:t>
      </w:r>
      <w:r>
        <w:rPr>
          <w:rFonts w:ascii="Arial" w:hAnsi="Arial" w:cs="Arial"/>
          <w:color w:val="000000" w:themeColor="text1"/>
          <w:sz w:val="20"/>
          <w:szCs w:val="20"/>
        </w:rPr>
        <w:t xml:space="preserve"> in </w:t>
      </w:r>
      <w:r w:rsidRPr="005C553F">
        <w:rPr>
          <w:rFonts w:ascii="Arial" w:hAnsi="Arial" w:cs="Arial"/>
          <w:color w:val="000000" w:themeColor="text1"/>
          <w:sz w:val="20"/>
          <w:szCs w:val="20"/>
        </w:rPr>
        <w:t>November 2020</w:t>
      </w:r>
      <w:r w:rsidR="00C15537" w:rsidRPr="005C553F">
        <w:rPr>
          <w:rFonts w:ascii="Arial" w:hAnsi="Arial" w:cs="Arial"/>
          <w:color w:val="000000" w:themeColor="text1"/>
          <w:sz w:val="20"/>
          <w:szCs w:val="20"/>
        </w:rPr>
        <w:t>. For further details of the Concept Paper, please see Charltons’ newsletter “</w:t>
      </w:r>
      <w:proofErr w:type="spellStart"/>
      <w:r w:rsidR="006135CA">
        <w:fldChar w:fldCharType="begin"/>
      </w:r>
      <w:r w:rsidR="006135CA">
        <w:instrText xml:space="preserve"> HYPERLINK "https://www.charltonslaw.com/hkex-consults-on-proposal-to-streamline-ipo-settlement-process/" </w:instrText>
      </w:r>
      <w:r w:rsidR="006135CA">
        <w:fldChar w:fldCharType="separate"/>
      </w:r>
      <w:r w:rsidR="00C15537" w:rsidRPr="005C553F">
        <w:rPr>
          <w:rStyle w:val="a3"/>
          <w:rFonts w:ascii="Arial" w:hAnsi="Arial" w:cs="Arial"/>
          <w:sz w:val="20"/>
          <w:szCs w:val="20"/>
        </w:rPr>
        <w:t>HKEx</w:t>
      </w:r>
      <w:proofErr w:type="spellEnd"/>
      <w:r w:rsidR="00C15537" w:rsidRPr="005C553F">
        <w:rPr>
          <w:rStyle w:val="a3"/>
          <w:rFonts w:ascii="Arial" w:hAnsi="Arial" w:cs="Arial"/>
          <w:sz w:val="20"/>
          <w:szCs w:val="20"/>
        </w:rPr>
        <w:t xml:space="preserve"> Consults on Proposal to Streamline IPO Settlement Process</w:t>
      </w:r>
      <w:r w:rsidR="006135CA">
        <w:rPr>
          <w:rStyle w:val="a3"/>
          <w:rFonts w:ascii="Arial" w:hAnsi="Arial" w:cs="Arial"/>
          <w:sz w:val="20"/>
          <w:szCs w:val="20"/>
        </w:rPr>
        <w:fldChar w:fldCharType="end"/>
      </w:r>
      <w:r w:rsidR="00C15537" w:rsidRPr="005C553F">
        <w:rPr>
          <w:rFonts w:ascii="Arial" w:hAnsi="Arial" w:cs="Arial"/>
          <w:color w:val="000000" w:themeColor="text1"/>
          <w:sz w:val="20"/>
          <w:szCs w:val="20"/>
        </w:rPr>
        <w:t>” (November 2020).</w:t>
      </w:r>
      <w:r w:rsidR="00B212AC">
        <w:rPr>
          <w:rFonts w:ascii="Arial" w:hAnsi="Arial" w:cs="Arial"/>
          <w:color w:val="000000" w:themeColor="text1"/>
          <w:sz w:val="20"/>
          <w:szCs w:val="20"/>
        </w:rPr>
        <w:t xml:space="preserve"> </w:t>
      </w:r>
      <w:r w:rsidR="00916EAF">
        <w:rPr>
          <w:rFonts w:ascii="Arial" w:hAnsi="Arial" w:cs="Arial"/>
          <w:color w:val="000000" w:themeColor="text1"/>
          <w:sz w:val="20"/>
          <w:szCs w:val="20"/>
        </w:rPr>
        <w:t>The HKEX’s</w:t>
      </w:r>
      <w:r w:rsidR="00B212AC">
        <w:rPr>
          <w:rFonts w:ascii="Arial" w:hAnsi="Arial" w:cs="Arial"/>
          <w:color w:val="000000" w:themeColor="text1"/>
          <w:sz w:val="20"/>
          <w:szCs w:val="20"/>
        </w:rPr>
        <w:t xml:space="preserve"> </w:t>
      </w:r>
      <w:hyperlink r:id="rId11" w:history="1">
        <w:r w:rsidR="00B212AC" w:rsidRPr="00B212AC">
          <w:rPr>
            <w:rStyle w:val="a3"/>
            <w:rFonts w:ascii="Arial" w:hAnsi="Arial" w:cs="Arial"/>
            <w:sz w:val="20"/>
            <w:szCs w:val="20"/>
          </w:rPr>
          <w:t>Conclusions to the Concept Paper on Modernising Hong Kong’s IPO Settlement Regime</w:t>
        </w:r>
      </w:hyperlink>
      <w:r w:rsidR="00B212AC">
        <w:rPr>
          <w:rFonts w:ascii="Arial" w:hAnsi="Arial" w:cs="Arial"/>
          <w:color w:val="000000" w:themeColor="text1"/>
          <w:sz w:val="20"/>
          <w:szCs w:val="20"/>
        </w:rPr>
        <w:t xml:space="preserve"> </w:t>
      </w:r>
      <w:r w:rsidR="008A2FDD">
        <w:rPr>
          <w:rFonts w:ascii="Arial" w:hAnsi="Arial" w:cs="Arial"/>
          <w:color w:val="000000" w:themeColor="text1"/>
          <w:sz w:val="20"/>
          <w:szCs w:val="20"/>
        </w:rPr>
        <w:t xml:space="preserve">published </w:t>
      </w:r>
      <w:r w:rsidR="00B212AC">
        <w:rPr>
          <w:rFonts w:ascii="Arial" w:hAnsi="Arial" w:cs="Arial"/>
          <w:color w:val="000000" w:themeColor="text1"/>
          <w:sz w:val="20"/>
          <w:szCs w:val="20"/>
        </w:rPr>
        <w:t xml:space="preserve">in July 2021 set out </w:t>
      </w:r>
      <w:r w:rsidR="00595A43">
        <w:rPr>
          <w:rFonts w:ascii="Arial" w:hAnsi="Arial" w:cs="Arial"/>
          <w:color w:val="000000" w:themeColor="text1"/>
          <w:sz w:val="20"/>
          <w:szCs w:val="20"/>
        </w:rPr>
        <w:t xml:space="preserve">the </w:t>
      </w:r>
      <w:r w:rsidR="00B212AC">
        <w:rPr>
          <w:rFonts w:ascii="Arial" w:hAnsi="Arial" w:cs="Arial"/>
          <w:color w:val="000000" w:themeColor="text1"/>
          <w:sz w:val="20"/>
          <w:szCs w:val="20"/>
        </w:rPr>
        <w:t>HKEX’s plan to proceed with the development of</w:t>
      </w:r>
      <w:r w:rsidR="008A2FDD">
        <w:rPr>
          <w:rFonts w:ascii="Arial" w:hAnsi="Arial" w:cs="Arial"/>
          <w:color w:val="000000" w:themeColor="text1"/>
          <w:sz w:val="20"/>
          <w:szCs w:val="20"/>
        </w:rPr>
        <w:t xml:space="preserve"> the</w:t>
      </w:r>
      <w:r w:rsidR="00B212AC">
        <w:rPr>
          <w:rFonts w:ascii="Arial" w:hAnsi="Arial" w:cs="Arial"/>
          <w:color w:val="000000" w:themeColor="text1"/>
          <w:sz w:val="20"/>
          <w:szCs w:val="20"/>
        </w:rPr>
        <w:t xml:space="preserve"> FINI platform and </w:t>
      </w:r>
      <w:r w:rsidR="008A2FDD">
        <w:rPr>
          <w:rFonts w:ascii="Arial" w:hAnsi="Arial" w:cs="Arial"/>
          <w:color w:val="000000" w:themeColor="text1"/>
          <w:sz w:val="20"/>
          <w:szCs w:val="20"/>
        </w:rPr>
        <w:t xml:space="preserve">adopt </w:t>
      </w:r>
      <w:r w:rsidR="00B212AC">
        <w:rPr>
          <w:rFonts w:ascii="Arial" w:hAnsi="Arial" w:cs="Arial"/>
          <w:color w:val="000000" w:themeColor="text1"/>
          <w:sz w:val="20"/>
          <w:szCs w:val="20"/>
        </w:rPr>
        <w:t>a “</w:t>
      </w:r>
      <w:r w:rsidR="00B212AC" w:rsidRPr="005C553F">
        <w:rPr>
          <w:rFonts w:ascii="Arial" w:hAnsi="Arial" w:cs="Arial"/>
          <w:sz w:val="20"/>
          <w:szCs w:val="20"/>
        </w:rPr>
        <w:t>T+2</w:t>
      </w:r>
      <w:r w:rsidR="00B212AC">
        <w:rPr>
          <w:rFonts w:ascii="Arial" w:hAnsi="Arial" w:cs="Arial"/>
          <w:sz w:val="20"/>
          <w:szCs w:val="20"/>
        </w:rPr>
        <w:t>” settlement cycle. The</w:t>
      </w:r>
      <w:r w:rsidR="00595A43">
        <w:rPr>
          <w:rFonts w:ascii="Arial" w:hAnsi="Arial" w:cs="Arial"/>
          <w:sz w:val="20"/>
          <w:szCs w:val="20"/>
        </w:rPr>
        <w:t xml:space="preserve"> HKEX’s </w:t>
      </w:r>
      <w:r w:rsidR="008076EA">
        <w:rPr>
          <w:rFonts w:ascii="Arial" w:hAnsi="Arial" w:cs="Arial"/>
          <w:sz w:val="20"/>
          <w:szCs w:val="20"/>
        </w:rPr>
        <w:t xml:space="preserve">updated </w:t>
      </w:r>
      <w:hyperlink r:id="rId12" w:history="1">
        <w:r w:rsidR="00595A43" w:rsidRPr="005C553F">
          <w:rPr>
            <w:rStyle w:val="a3"/>
            <w:rFonts w:ascii="Arial" w:hAnsi="Arial" w:cs="Arial"/>
            <w:sz w:val="20"/>
            <w:szCs w:val="20"/>
          </w:rPr>
          <w:t>FINI webpage</w:t>
        </w:r>
      </w:hyperlink>
      <w:r w:rsidR="00B212AC">
        <w:rPr>
          <w:rFonts w:ascii="Arial" w:hAnsi="Arial" w:cs="Arial"/>
          <w:sz w:val="20"/>
          <w:szCs w:val="20"/>
        </w:rPr>
        <w:t xml:space="preserve"> </w:t>
      </w:r>
      <w:r w:rsidR="00595A43">
        <w:rPr>
          <w:rFonts w:ascii="Arial" w:hAnsi="Arial" w:cs="Arial"/>
          <w:sz w:val="20"/>
          <w:szCs w:val="20"/>
        </w:rPr>
        <w:t xml:space="preserve">provides details of the </w:t>
      </w:r>
      <w:r w:rsidR="00B212AC">
        <w:rPr>
          <w:rFonts w:ascii="Arial" w:hAnsi="Arial" w:cs="Arial"/>
          <w:sz w:val="20"/>
          <w:szCs w:val="20"/>
        </w:rPr>
        <w:t xml:space="preserve">timing and </w:t>
      </w:r>
      <w:r w:rsidR="00595A43">
        <w:rPr>
          <w:rFonts w:ascii="Arial" w:hAnsi="Arial" w:cs="Arial"/>
          <w:sz w:val="20"/>
          <w:szCs w:val="20"/>
        </w:rPr>
        <w:t xml:space="preserve">other </w:t>
      </w:r>
      <w:r w:rsidR="00B212AC">
        <w:rPr>
          <w:rFonts w:ascii="Arial" w:hAnsi="Arial" w:cs="Arial"/>
          <w:sz w:val="20"/>
          <w:szCs w:val="20"/>
        </w:rPr>
        <w:t>arrangements for FINI’s October launch</w:t>
      </w:r>
      <w:r w:rsidR="008076EA">
        <w:rPr>
          <w:rFonts w:ascii="Arial" w:hAnsi="Arial" w:cs="Arial"/>
          <w:color w:val="000000" w:themeColor="text1"/>
          <w:sz w:val="20"/>
          <w:szCs w:val="20"/>
        </w:rPr>
        <w:t xml:space="preserve"> and provides links to:</w:t>
      </w:r>
    </w:p>
    <w:p w:rsidR="008076EA" w:rsidRPr="00C81AFD" w:rsidRDefault="008076EA" w:rsidP="008076EA">
      <w:pPr>
        <w:pStyle w:val="a6"/>
        <w:numPr>
          <w:ilvl w:val="0"/>
          <w:numId w:val="12"/>
        </w:numPr>
        <w:jc w:val="both"/>
        <w:rPr>
          <w:rFonts w:ascii="Arial" w:hAnsi="Arial" w:cs="Arial"/>
          <w:color w:val="144168"/>
          <w:sz w:val="20"/>
          <w:szCs w:val="20"/>
        </w:rPr>
      </w:pPr>
      <w:r w:rsidRPr="00C81AFD">
        <w:rPr>
          <w:rFonts w:ascii="Arial" w:hAnsi="Arial" w:cs="Arial"/>
          <w:color w:val="000000" w:themeColor="text1"/>
          <w:sz w:val="20"/>
          <w:szCs w:val="20"/>
        </w:rPr>
        <w:t xml:space="preserve">HKEX’s </w:t>
      </w:r>
      <w:hyperlink r:id="rId13" w:history="1">
        <w:r w:rsidRPr="00C81AFD">
          <w:rPr>
            <w:rStyle w:val="a3"/>
            <w:rFonts w:ascii="Arial" w:hAnsi="Arial" w:cs="Arial"/>
            <w:sz w:val="20"/>
            <w:szCs w:val="20"/>
          </w:rPr>
          <w:t>Information Paper on Rule Amendments Consequential to the Reforms to the IPO Settlement Process with the Launch of FINI; and Housekeeping Rule Amendments</w:t>
        </w:r>
      </w:hyperlink>
      <w:r w:rsidRPr="00C81AFD">
        <w:rPr>
          <w:rFonts w:ascii="Arial" w:hAnsi="Arial" w:cs="Arial"/>
          <w:color w:val="000000" w:themeColor="text1"/>
          <w:sz w:val="20"/>
          <w:szCs w:val="20"/>
        </w:rPr>
        <w:t xml:space="preserve">;  </w:t>
      </w:r>
    </w:p>
    <w:p w:rsidR="008076EA" w:rsidRPr="00C81AFD" w:rsidRDefault="00000000" w:rsidP="008076EA">
      <w:pPr>
        <w:pStyle w:val="a6"/>
        <w:numPr>
          <w:ilvl w:val="0"/>
          <w:numId w:val="12"/>
        </w:numPr>
        <w:rPr>
          <w:rFonts w:ascii="Arial" w:hAnsi="Arial" w:cs="Arial"/>
          <w:color w:val="144168"/>
          <w:sz w:val="20"/>
          <w:szCs w:val="20"/>
        </w:rPr>
      </w:pPr>
      <w:hyperlink r:id="rId14" w:history="1">
        <w:r w:rsidR="008076EA" w:rsidRPr="00C81AFD">
          <w:rPr>
            <w:rStyle w:val="a3"/>
            <w:rFonts w:ascii="Arial" w:hAnsi="Arial" w:cs="Arial"/>
            <w:sz w:val="20"/>
            <w:szCs w:val="20"/>
          </w:rPr>
          <w:t>Consequential Amendments to the Main Board Listing Rules</w:t>
        </w:r>
      </w:hyperlink>
      <w:r w:rsidR="008076EA" w:rsidRPr="00C81AFD">
        <w:rPr>
          <w:rFonts w:ascii="Arial" w:hAnsi="Arial" w:cs="Arial"/>
          <w:color w:val="144168"/>
          <w:sz w:val="20"/>
          <w:szCs w:val="20"/>
        </w:rPr>
        <w:t>;</w:t>
      </w:r>
    </w:p>
    <w:p w:rsidR="008076EA" w:rsidRPr="00C81AFD" w:rsidRDefault="00000000" w:rsidP="0056498A">
      <w:pPr>
        <w:pStyle w:val="a6"/>
        <w:numPr>
          <w:ilvl w:val="0"/>
          <w:numId w:val="12"/>
        </w:numPr>
        <w:jc w:val="both"/>
        <w:rPr>
          <w:rFonts w:ascii="Arial" w:hAnsi="Arial" w:cs="Arial"/>
          <w:color w:val="000000" w:themeColor="text1"/>
          <w:sz w:val="20"/>
          <w:szCs w:val="20"/>
        </w:rPr>
      </w:pPr>
      <w:hyperlink r:id="rId15" w:history="1">
        <w:r w:rsidR="008076EA" w:rsidRPr="00C81AFD">
          <w:rPr>
            <w:rStyle w:val="a3"/>
            <w:rFonts w:ascii="Arial" w:hAnsi="Arial" w:cs="Arial"/>
            <w:sz w:val="20"/>
            <w:szCs w:val="20"/>
          </w:rPr>
          <w:t>Housekeeping Amendments to the Main Board Listing Rules</w:t>
        </w:r>
      </w:hyperlink>
      <w:r w:rsidR="008076EA" w:rsidRPr="00C81AFD">
        <w:rPr>
          <w:rFonts w:ascii="Arial" w:hAnsi="Arial" w:cs="Arial"/>
          <w:color w:val="144168"/>
          <w:sz w:val="20"/>
          <w:szCs w:val="20"/>
        </w:rPr>
        <w:t>;</w:t>
      </w:r>
    </w:p>
    <w:p w:rsidR="008076EA" w:rsidRPr="00C81AFD" w:rsidRDefault="00000000" w:rsidP="0056498A">
      <w:pPr>
        <w:pStyle w:val="a6"/>
        <w:numPr>
          <w:ilvl w:val="0"/>
          <w:numId w:val="12"/>
        </w:numPr>
        <w:jc w:val="both"/>
        <w:rPr>
          <w:rFonts w:ascii="Arial" w:hAnsi="Arial" w:cs="Arial"/>
          <w:color w:val="000000" w:themeColor="text1"/>
          <w:sz w:val="20"/>
          <w:szCs w:val="20"/>
        </w:rPr>
      </w:pPr>
      <w:hyperlink r:id="rId16" w:history="1">
        <w:r w:rsidR="008076EA" w:rsidRPr="00C81AFD">
          <w:rPr>
            <w:rStyle w:val="a3"/>
            <w:rFonts w:ascii="Arial" w:hAnsi="Arial" w:cs="Arial"/>
            <w:sz w:val="20"/>
            <w:szCs w:val="20"/>
          </w:rPr>
          <w:t>Consequential Amendments to the GEM Listing Rules</w:t>
        </w:r>
      </w:hyperlink>
      <w:r w:rsidR="008076EA" w:rsidRPr="00C81AFD">
        <w:rPr>
          <w:rFonts w:ascii="Arial" w:hAnsi="Arial" w:cs="Arial"/>
          <w:color w:val="144168"/>
          <w:sz w:val="20"/>
          <w:szCs w:val="20"/>
        </w:rPr>
        <w:t xml:space="preserve">; </w:t>
      </w:r>
    </w:p>
    <w:p w:rsidR="008076EA" w:rsidRPr="00C81AFD" w:rsidRDefault="00000000" w:rsidP="0056498A">
      <w:pPr>
        <w:pStyle w:val="a6"/>
        <w:numPr>
          <w:ilvl w:val="0"/>
          <w:numId w:val="12"/>
        </w:numPr>
        <w:jc w:val="both"/>
        <w:rPr>
          <w:rFonts w:ascii="Arial" w:hAnsi="Arial" w:cs="Arial"/>
          <w:color w:val="000000" w:themeColor="text1"/>
          <w:sz w:val="20"/>
          <w:szCs w:val="20"/>
        </w:rPr>
      </w:pPr>
      <w:hyperlink r:id="rId17" w:history="1">
        <w:r w:rsidR="008076EA" w:rsidRPr="00C81AFD">
          <w:rPr>
            <w:rStyle w:val="a3"/>
            <w:rFonts w:ascii="Arial" w:hAnsi="Arial" w:cs="Arial"/>
            <w:sz w:val="20"/>
            <w:szCs w:val="20"/>
          </w:rPr>
          <w:t>Housekeeping Amendments to the GEM Listing Rules</w:t>
        </w:r>
      </w:hyperlink>
      <w:r w:rsidR="008076EA" w:rsidRPr="00C81AFD">
        <w:rPr>
          <w:rFonts w:ascii="Arial" w:hAnsi="Arial" w:cs="Arial"/>
          <w:color w:val="144168"/>
          <w:sz w:val="20"/>
          <w:szCs w:val="20"/>
        </w:rPr>
        <w:t>;</w:t>
      </w:r>
    </w:p>
    <w:p w:rsidR="00C81AFD" w:rsidRDefault="00000000" w:rsidP="00C81AFD">
      <w:pPr>
        <w:pStyle w:val="a6"/>
        <w:numPr>
          <w:ilvl w:val="0"/>
          <w:numId w:val="12"/>
        </w:numPr>
        <w:jc w:val="both"/>
        <w:rPr>
          <w:rFonts w:ascii="Arial" w:hAnsi="Arial" w:cs="Arial"/>
          <w:color w:val="144168"/>
          <w:sz w:val="20"/>
          <w:szCs w:val="20"/>
        </w:rPr>
      </w:pPr>
      <w:hyperlink r:id="rId18" w:history="1">
        <w:r w:rsidR="008076EA" w:rsidRPr="00C81AFD">
          <w:rPr>
            <w:rStyle w:val="a3"/>
            <w:rFonts w:ascii="Arial" w:hAnsi="Arial" w:cs="Arial"/>
            <w:sz w:val="20"/>
            <w:szCs w:val="20"/>
          </w:rPr>
          <w:t>HKEX Guidance Letter HKEX-GL81-15</w:t>
        </w:r>
      </w:hyperlink>
      <w:r w:rsidR="008076EA" w:rsidRPr="00C81AFD">
        <w:rPr>
          <w:rFonts w:ascii="Arial" w:hAnsi="Arial" w:cs="Arial"/>
          <w:color w:val="144168"/>
          <w:sz w:val="20"/>
          <w:szCs w:val="20"/>
        </w:rPr>
        <w:t xml:space="preserve"> </w:t>
      </w:r>
      <w:r w:rsidR="008076EA" w:rsidRPr="00C81AFD">
        <w:rPr>
          <w:rFonts w:ascii="Arial" w:hAnsi="Arial" w:cs="Arial"/>
          <w:sz w:val="20"/>
          <w:szCs w:val="20"/>
        </w:rPr>
        <w:t>(Guidance on Mixed Media Offer)</w:t>
      </w:r>
      <w:r w:rsidR="005034F5">
        <w:rPr>
          <w:rFonts w:ascii="Arial" w:hAnsi="Arial" w:cs="Arial"/>
          <w:color w:val="144168"/>
          <w:sz w:val="20"/>
          <w:szCs w:val="20"/>
        </w:rPr>
        <w:t>;</w:t>
      </w:r>
    </w:p>
    <w:p w:rsidR="00C81AFD" w:rsidRPr="00C81AFD" w:rsidRDefault="00000000" w:rsidP="00C81AFD">
      <w:pPr>
        <w:pStyle w:val="a6"/>
        <w:numPr>
          <w:ilvl w:val="0"/>
          <w:numId w:val="12"/>
        </w:numPr>
        <w:jc w:val="both"/>
        <w:rPr>
          <w:rFonts w:ascii="Arial" w:hAnsi="Arial" w:cs="Arial"/>
          <w:color w:val="144168"/>
          <w:sz w:val="20"/>
          <w:szCs w:val="20"/>
        </w:rPr>
      </w:pPr>
      <w:hyperlink r:id="rId19" w:history="1">
        <w:r w:rsidR="00C81AFD" w:rsidRPr="00C81AFD">
          <w:rPr>
            <w:rStyle w:val="a3"/>
            <w:rFonts w:ascii="Arial" w:hAnsi="Arial" w:cs="Arial"/>
            <w:sz w:val="20"/>
            <w:szCs w:val="20"/>
          </w:rPr>
          <w:t>HKEX Guidance Letter HKEX-GL55-13</w:t>
        </w:r>
      </w:hyperlink>
      <w:r w:rsidR="00C81AFD" w:rsidRPr="00C81AFD">
        <w:rPr>
          <w:rFonts w:ascii="Arial" w:hAnsi="Arial" w:cs="Arial"/>
          <w:color w:val="144168"/>
          <w:sz w:val="20"/>
          <w:szCs w:val="20"/>
        </w:rPr>
        <w:t xml:space="preserve"> </w:t>
      </w:r>
      <w:r w:rsidR="00C81AFD" w:rsidRPr="00C81AFD">
        <w:rPr>
          <w:rFonts w:ascii="Arial" w:hAnsi="Arial" w:cs="Arial"/>
          <w:sz w:val="20"/>
          <w:szCs w:val="20"/>
        </w:rPr>
        <w:t>(Guidance on Documentary Requirements and Administrative Matters for New Listing Applications (Equity)</w:t>
      </w:r>
      <w:r w:rsidR="005034F5">
        <w:rPr>
          <w:rFonts w:ascii="Arial" w:hAnsi="Arial" w:cs="Arial"/>
          <w:sz w:val="20"/>
          <w:szCs w:val="20"/>
        </w:rPr>
        <w:t>;</w:t>
      </w:r>
    </w:p>
    <w:p w:rsidR="008076EA" w:rsidRPr="00C81AFD" w:rsidRDefault="00000000" w:rsidP="0056498A">
      <w:pPr>
        <w:pStyle w:val="a6"/>
        <w:numPr>
          <w:ilvl w:val="0"/>
          <w:numId w:val="12"/>
        </w:numPr>
        <w:jc w:val="both"/>
        <w:rPr>
          <w:rFonts w:ascii="Arial" w:hAnsi="Arial" w:cs="Arial"/>
          <w:color w:val="144168"/>
          <w:sz w:val="20"/>
          <w:szCs w:val="20"/>
        </w:rPr>
      </w:pPr>
      <w:hyperlink r:id="rId20" w:history="1">
        <w:r w:rsidR="008076EA" w:rsidRPr="00C81AFD">
          <w:rPr>
            <w:rStyle w:val="a3"/>
            <w:rFonts w:ascii="Arial" w:hAnsi="Arial" w:cs="Arial"/>
            <w:sz w:val="20"/>
            <w:szCs w:val="20"/>
          </w:rPr>
          <w:t>HKEX Guidance Letter HKEX-GL86-16</w:t>
        </w:r>
      </w:hyperlink>
      <w:r w:rsidR="008076EA" w:rsidRPr="00C81AFD">
        <w:rPr>
          <w:rFonts w:ascii="Arial" w:hAnsi="Arial" w:cs="Arial"/>
          <w:color w:val="144168"/>
          <w:sz w:val="20"/>
          <w:szCs w:val="20"/>
        </w:rPr>
        <w:t xml:space="preserve"> </w:t>
      </w:r>
      <w:r w:rsidR="008076EA" w:rsidRPr="00C81AFD">
        <w:rPr>
          <w:rFonts w:ascii="Arial" w:hAnsi="Arial" w:cs="Arial"/>
          <w:sz w:val="20"/>
          <w:szCs w:val="20"/>
        </w:rPr>
        <w:t>(Guide on Producing Simplified Listing Documents Relating to Equity Securities for New Applications)</w:t>
      </w:r>
      <w:r w:rsidR="005034F5">
        <w:rPr>
          <w:rFonts w:ascii="Arial" w:hAnsi="Arial" w:cs="Arial"/>
          <w:sz w:val="20"/>
          <w:szCs w:val="20"/>
        </w:rPr>
        <w:t>; and</w:t>
      </w:r>
    </w:p>
    <w:p w:rsidR="008A4B74" w:rsidRPr="008A4B74" w:rsidRDefault="00000000" w:rsidP="0056498A">
      <w:pPr>
        <w:pStyle w:val="a6"/>
        <w:numPr>
          <w:ilvl w:val="0"/>
          <w:numId w:val="12"/>
        </w:numPr>
        <w:jc w:val="both"/>
        <w:rPr>
          <w:rFonts w:ascii="Arial" w:hAnsi="Arial" w:cs="Arial"/>
          <w:color w:val="144168"/>
          <w:sz w:val="21"/>
          <w:szCs w:val="21"/>
        </w:rPr>
      </w:pPr>
      <w:hyperlink r:id="rId21" w:history="1">
        <w:r w:rsidR="008076EA" w:rsidRPr="00C81AFD">
          <w:rPr>
            <w:rStyle w:val="a3"/>
            <w:rFonts w:ascii="Arial" w:hAnsi="Arial" w:cs="Arial"/>
            <w:sz w:val="20"/>
            <w:szCs w:val="20"/>
          </w:rPr>
          <w:t>HKEX Guidance Letter HKEX-GL90-18</w:t>
        </w:r>
      </w:hyperlink>
      <w:r w:rsidR="00C81AFD" w:rsidRPr="00C81AFD">
        <w:rPr>
          <w:rFonts w:ascii="Arial" w:hAnsi="Arial" w:cs="Arial"/>
          <w:color w:val="144168"/>
          <w:sz w:val="20"/>
          <w:szCs w:val="20"/>
        </w:rPr>
        <w:t xml:space="preserve"> (</w:t>
      </w:r>
      <w:r w:rsidR="00C81AFD" w:rsidRPr="00C81AFD">
        <w:rPr>
          <w:rFonts w:ascii="Arial" w:hAnsi="Arial" w:cs="Arial"/>
          <w:sz w:val="20"/>
          <w:szCs w:val="20"/>
        </w:rPr>
        <w:t>Pricing Flexibility for Initial Public Offerings)</w:t>
      </w:r>
      <w:r w:rsidR="008A4B74">
        <w:rPr>
          <w:rFonts w:ascii="Arial" w:hAnsi="Arial" w:cs="Arial"/>
          <w:sz w:val="20"/>
          <w:szCs w:val="20"/>
        </w:rPr>
        <w:t>.</w:t>
      </w:r>
    </w:p>
    <w:p w:rsidR="008A4B74" w:rsidRPr="008A4B74" w:rsidRDefault="008A4B74" w:rsidP="008A4B74">
      <w:pPr>
        <w:jc w:val="both"/>
        <w:rPr>
          <w:rFonts w:ascii="Arial" w:hAnsi="Arial" w:cs="Arial"/>
          <w:color w:val="000000" w:themeColor="text1"/>
          <w:sz w:val="20"/>
          <w:szCs w:val="20"/>
        </w:rPr>
      </w:pPr>
      <w:r w:rsidRPr="008A4B74">
        <w:rPr>
          <w:rFonts w:ascii="Arial" w:hAnsi="Arial" w:cs="Arial"/>
          <w:color w:val="000000" w:themeColor="text1"/>
          <w:sz w:val="20"/>
          <w:szCs w:val="20"/>
        </w:rPr>
        <w:t xml:space="preserve">Two listing decisions </w:t>
      </w:r>
      <w:r>
        <w:rPr>
          <w:rFonts w:ascii="Arial" w:hAnsi="Arial" w:cs="Arial"/>
          <w:color w:val="000000" w:themeColor="text1"/>
          <w:sz w:val="20"/>
          <w:szCs w:val="20"/>
        </w:rPr>
        <w:t xml:space="preserve">will </w:t>
      </w:r>
      <w:r w:rsidRPr="008A4B74">
        <w:rPr>
          <w:rFonts w:ascii="Arial" w:hAnsi="Arial" w:cs="Arial"/>
          <w:color w:val="000000" w:themeColor="text1"/>
          <w:sz w:val="20"/>
          <w:szCs w:val="20"/>
        </w:rPr>
        <w:t>be withdrawn on</w:t>
      </w:r>
      <w:r>
        <w:rPr>
          <w:rFonts w:ascii="Arial" w:hAnsi="Arial" w:cs="Arial"/>
          <w:color w:val="000000" w:themeColor="text1"/>
          <w:sz w:val="20"/>
          <w:szCs w:val="20"/>
        </w:rPr>
        <w:t xml:space="preserve"> the</w:t>
      </w:r>
      <w:r w:rsidRPr="008A4B74">
        <w:rPr>
          <w:rFonts w:ascii="Arial" w:hAnsi="Arial" w:cs="Arial"/>
          <w:color w:val="000000" w:themeColor="text1"/>
          <w:sz w:val="20"/>
          <w:szCs w:val="20"/>
        </w:rPr>
        <w:t xml:space="preserve"> FINI launch date:</w:t>
      </w:r>
    </w:p>
    <w:p w:rsidR="008A4B74" w:rsidRDefault="008A4B74" w:rsidP="008A4B74">
      <w:pPr>
        <w:pStyle w:val="a6"/>
        <w:numPr>
          <w:ilvl w:val="0"/>
          <w:numId w:val="13"/>
        </w:numPr>
        <w:ind w:left="851" w:hanging="425"/>
        <w:jc w:val="both"/>
        <w:rPr>
          <w:rFonts w:ascii="Arial" w:hAnsi="Arial" w:cs="Arial"/>
          <w:color w:val="000000" w:themeColor="text1"/>
          <w:sz w:val="20"/>
          <w:szCs w:val="20"/>
        </w:rPr>
      </w:pPr>
      <w:r w:rsidRPr="008A4B74">
        <w:rPr>
          <w:rFonts w:ascii="Arial" w:hAnsi="Arial" w:cs="Arial"/>
          <w:color w:val="000000" w:themeColor="text1"/>
          <w:sz w:val="20"/>
          <w:szCs w:val="20"/>
        </w:rPr>
        <w:t xml:space="preserve">Listing decision </w:t>
      </w:r>
      <w:hyperlink r:id="rId22" w:history="1">
        <w:r w:rsidRPr="008A4B74">
          <w:rPr>
            <w:rStyle w:val="a3"/>
            <w:rFonts w:ascii="Arial" w:hAnsi="Arial" w:cs="Arial"/>
            <w:sz w:val="20"/>
            <w:szCs w:val="20"/>
          </w:rPr>
          <w:t>LD61-1</w:t>
        </w:r>
      </w:hyperlink>
      <w:r w:rsidRPr="008A4B74">
        <w:rPr>
          <w:rFonts w:ascii="Arial" w:hAnsi="Arial" w:cs="Arial"/>
          <w:color w:val="000000" w:themeColor="text1"/>
          <w:sz w:val="20"/>
          <w:szCs w:val="20"/>
        </w:rPr>
        <w:t xml:space="preserve"> in relation to revising indicative offer price downwards after issue of the prospectus but before close of the offer; and </w:t>
      </w:r>
    </w:p>
    <w:p w:rsidR="008A4B74" w:rsidRDefault="008A4B74" w:rsidP="008A4B74">
      <w:pPr>
        <w:pStyle w:val="a6"/>
        <w:ind w:left="851"/>
        <w:jc w:val="both"/>
        <w:rPr>
          <w:rFonts w:ascii="Arial" w:hAnsi="Arial" w:cs="Arial"/>
          <w:color w:val="000000" w:themeColor="text1"/>
          <w:sz w:val="20"/>
          <w:szCs w:val="20"/>
        </w:rPr>
      </w:pPr>
    </w:p>
    <w:p w:rsidR="008A4B74" w:rsidRPr="008A4B74" w:rsidRDefault="008A4B74" w:rsidP="008A4B74">
      <w:pPr>
        <w:pStyle w:val="a6"/>
        <w:numPr>
          <w:ilvl w:val="0"/>
          <w:numId w:val="13"/>
        </w:numPr>
        <w:ind w:left="851" w:hanging="425"/>
        <w:jc w:val="both"/>
        <w:rPr>
          <w:rFonts w:ascii="Arial" w:hAnsi="Arial" w:cs="Arial"/>
          <w:color w:val="000000" w:themeColor="text1"/>
          <w:sz w:val="20"/>
          <w:szCs w:val="20"/>
        </w:rPr>
      </w:pPr>
      <w:r w:rsidRPr="008A4B74">
        <w:rPr>
          <w:rFonts w:ascii="Arial" w:hAnsi="Arial" w:cs="Arial"/>
          <w:color w:val="000000" w:themeColor="text1"/>
          <w:sz w:val="20"/>
          <w:szCs w:val="20"/>
        </w:rPr>
        <w:t xml:space="preserve">Listing decision </w:t>
      </w:r>
      <w:hyperlink r:id="rId23" w:history="1">
        <w:r w:rsidRPr="008A4B74">
          <w:rPr>
            <w:rStyle w:val="a3"/>
            <w:rFonts w:ascii="Arial" w:hAnsi="Arial" w:cs="Arial"/>
            <w:sz w:val="20"/>
            <w:szCs w:val="20"/>
          </w:rPr>
          <w:t>LD86-1</w:t>
        </w:r>
      </w:hyperlink>
      <w:r w:rsidRPr="008A4B74">
        <w:rPr>
          <w:rFonts w:ascii="Arial" w:hAnsi="Arial" w:cs="Arial"/>
          <w:color w:val="000000" w:themeColor="text1"/>
          <w:sz w:val="20"/>
          <w:szCs w:val="20"/>
        </w:rPr>
        <w:t xml:space="preserve"> relating to material changes of circumstances after the issue of the prospectus. </w:t>
      </w:r>
    </w:p>
    <w:p w:rsidR="00873616" w:rsidRPr="00873616" w:rsidRDefault="00C81AFD" w:rsidP="00995340">
      <w:pPr>
        <w:jc w:val="both"/>
        <w:rPr>
          <w:rFonts w:ascii="Arial" w:hAnsi="Arial" w:cs="Arial"/>
          <w:b/>
          <w:color w:val="FF0000"/>
          <w:sz w:val="20"/>
          <w:szCs w:val="20"/>
        </w:rPr>
      </w:pPr>
      <w:r w:rsidRPr="008A4B74">
        <w:rPr>
          <w:rFonts w:ascii="Arial" w:hAnsi="Arial" w:cs="Arial"/>
          <w:sz w:val="20"/>
          <w:szCs w:val="20"/>
        </w:rPr>
        <w:t xml:space="preserve"> </w:t>
      </w:r>
      <w:r w:rsidR="00873616">
        <w:rPr>
          <w:rFonts w:ascii="Arial" w:hAnsi="Arial" w:cs="Arial"/>
          <w:b/>
          <w:color w:val="FF0000"/>
          <w:sz w:val="20"/>
          <w:szCs w:val="20"/>
        </w:rPr>
        <w:t xml:space="preserve">FINI: HKEX Listing Rule </w:t>
      </w:r>
      <w:r w:rsidR="00873616" w:rsidRPr="005C553F">
        <w:rPr>
          <w:rFonts w:ascii="Arial" w:hAnsi="Arial" w:cs="Arial"/>
          <w:b/>
          <w:color w:val="FF0000"/>
          <w:sz w:val="20"/>
          <w:szCs w:val="20"/>
        </w:rPr>
        <w:t xml:space="preserve">Amendments </w:t>
      </w:r>
    </w:p>
    <w:p w:rsidR="00873616" w:rsidRDefault="00FF53C5" w:rsidP="00995340">
      <w:pPr>
        <w:jc w:val="both"/>
        <w:rPr>
          <w:rFonts w:ascii="Arial" w:hAnsi="Arial" w:cs="Arial"/>
          <w:color w:val="000000" w:themeColor="text1"/>
          <w:sz w:val="20"/>
          <w:szCs w:val="20"/>
          <w:shd w:val="clear" w:color="auto" w:fill="FFFFFF"/>
        </w:rPr>
      </w:pPr>
      <w:r w:rsidRPr="005C553F">
        <w:rPr>
          <w:rFonts w:ascii="Arial" w:hAnsi="Arial" w:cs="Arial"/>
          <w:color w:val="000000" w:themeColor="text1"/>
          <w:sz w:val="20"/>
          <w:szCs w:val="20"/>
          <w:shd w:val="clear" w:color="auto" w:fill="FFFFFF"/>
        </w:rPr>
        <w:lastRenderedPageBreak/>
        <w:t xml:space="preserve">The HKEX will make </w:t>
      </w:r>
      <w:r w:rsidR="004E5C00">
        <w:rPr>
          <w:rFonts w:ascii="Arial" w:hAnsi="Arial" w:cs="Arial"/>
          <w:color w:val="000000" w:themeColor="text1"/>
          <w:sz w:val="20"/>
          <w:szCs w:val="20"/>
          <w:shd w:val="clear" w:color="auto" w:fill="FFFFFF"/>
        </w:rPr>
        <w:t xml:space="preserve">the </w:t>
      </w:r>
      <w:r w:rsidRPr="005C553F">
        <w:rPr>
          <w:rFonts w:ascii="Arial" w:hAnsi="Arial" w:cs="Arial"/>
          <w:color w:val="000000" w:themeColor="text1"/>
          <w:sz w:val="20"/>
          <w:szCs w:val="20"/>
          <w:shd w:val="clear" w:color="auto" w:fill="FFFFFF"/>
        </w:rPr>
        <w:t>necessary</w:t>
      </w:r>
      <w:r w:rsidR="00197F24" w:rsidRPr="005C553F">
        <w:rPr>
          <w:rFonts w:ascii="Arial" w:hAnsi="Arial" w:cs="Arial"/>
          <w:color w:val="000000" w:themeColor="text1"/>
          <w:sz w:val="20"/>
          <w:szCs w:val="20"/>
          <w:shd w:val="clear" w:color="auto" w:fill="FFFFFF"/>
        </w:rPr>
        <w:t xml:space="preserve"> consequential</w:t>
      </w:r>
      <w:r w:rsidRPr="005C553F">
        <w:rPr>
          <w:rFonts w:ascii="Arial" w:hAnsi="Arial" w:cs="Arial"/>
          <w:color w:val="000000" w:themeColor="text1"/>
          <w:sz w:val="20"/>
          <w:szCs w:val="20"/>
          <w:shd w:val="clear" w:color="auto" w:fill="FFFFFF"/>
        </w:rPr>
        <w:t xml:space="preserve"> amendment</w:t>
      </w:r>
      <w:r w:rsidR="00563FF6" w:rsidRPr="005C553F">
        <w:rPr>
          <w:rFonts w:ascii="Arial" w:hAnsi="Arial" w:cs="Arial"/>
          <w:color w:val="000000" w:themeColor="text1"/>
          <w:sz w:val="20"/>
          <w:szCs w:val="20"/>
          <w:shd w:val="clear" w:color="auto" w:fill="FFFFFF"/>
        </w:rPr>
        <w:t>s</w:t>
      </w:r>
      <w:r w:rsidR="00197F24" w:rsidRPr="005C553F">
        <w:rPr>
          <w:rFonts w:ascii="Arial" w:hAnsi="Arial" w:cs="Arial"/>
          <w:color w:val="000000" w:themeColor="text1"/>
          <w:sz w:val="20"/>
          <w:szCs w:val="20"/>
          <w:shd w:val="clear" w:color="auto" w:fill="FFFFFF"/>
        </w:rPr>
        <w:t xml:space="preserve"> (</w:t>
      </w:r>
      <w:r w:rsidR="004E5C00" w:rsidRPr="004E5C00">
        <w:rPr>
          <w:rFonts w:ascii="Arial" w:hAnsi="Arial" w:cs="Arial"/>
          <w:b/>
          <w:color w:val="000000" w:themeColor="text1"/>
          <w:sz w:val="20"/>
          <w:szCs w:val="20"/>
          <w:shd w:val="clear" w:color="auto" w:fill="FFFFFF"/>
        </w:rPr>
        <w:t>Listing</w:t>
      </w:r>
      <w:r w:rsidR="004E5C00">
        <w:rPr>
          <w:rFonts w:ascii="Arial" w:hAnsi="Arial" w:cs="Arial"/>
          <w:color w:val="000000" w:themeColor="text1"/>
          <w:sz w:val="20"/>
          <w:szCs w:val="20"/>
          <w:shd w:val="clear" w:color="auto" w:fill="FFFFFF"/>
        </w:rPr>
        <w:t xml:space="preserve"> </w:t>
      </w:r>
      <w:r w:rsidR="00197F24" w:rsidRPr="005C553F">
        <w:rPr>
          <w:rFonts w:ascii="Arial" w:hAnsi="Arial" w:cs="Arial"/>
          <w:b/>
          <w:color w:val="000000" w:themeColor="text1"/>
          <w:sz w:val="20"/>
          <w:szCs w:val="20"/>
          <w:shd w:val="clear" w:color="auto" w:fill="FFFFFF"/>
        </w:rPr>
        <w:t>Rule Amendments</w:t>
      </w:r>
      <w:r w:rsidR="00197F24" w:rsidRPr="005C553F">
        <w:rPr>
          <w:rFonts w:ascii="Arial" w:hAnsi="Arial" w:cs="Arial"/>
          <w:color w:val="000000" w:themeColor="text1"/>
          <w:sz w:val="20"/>
          <w:szCs w:val="20"/>
          <w:shd w:val="clear" w:color="auto" w:fill="FFFFFF"/>
        </w:rPr>
        <w:t>) and housekeeping amendments (</w:t>
      </w:r>
      <w:r w:rsidR="00197F24" w:rsidRPr="005C553F">
        <w:rPr>
          <w:rFonts w:ascii="Arial" w:hAnsi="Arial" w:cs="Arial"/>
          <w:b/>
          <w:color w:val="000000" w:themeColor="text1"/>
          <w:sz w:val="20"/>
          <w:szCs w:val="20"/>
          <w:shd w:val="clear" w:color="auto" w:fill="FFFFFF"/>
        </w:rPr>
        <w:t>Housekeeping Rule Amendments</w:t>
      </w:r>
      <w:r w:rsidR="00197F24" w:rsidRPr="005C553F">
        <w:rPr>
          <w:rFonts w:ascii="Arial" w:hAnsi="Arial" w:cs="Arial"/>
          <w:color w:val="000000" w:themeColor="text1"/>
          <w:sz w:val="20"/>
          <w:szCs w:val="20"/>
          <w:shd w:val="clear" w:color="auto" w:fill="FFFFFF"/>
        </w:rPr>
        <w:t>)</w:t>
      </w:r>
      <w:r w:rsidRPr="005C553F">
        <w:rPr>
          <w:rFonts w:ascii="Arial" w:hAnsi="Arial" w:cs="Arial"/>
          <w:color w:val="000000" w:themeColor="text1"/>
          <w:sz w:val="20"/>
          <w:szCs w:val="20"/>
          <w:shd w:val="clear" w:color="auto" w:fill="FFFFFF"/>
        </w:rPr>
        <w:t xml:space="preserve"> to the </w:t>
      </w:r>
      <w:r w:rsidR="004E5C00">
        <w:rPr>
          <w:rFonts w:ascii="Arial" w:hAnsi="Arial" w:cs="Arial"/>
          <w:color w:val="000000" w:themeColor="text1"/>
          <w:sz w:val="20"/>
          <w:szCs w:val="20"/>
          <w:shd w:val="clear" w:color="auto" w:fill="FFFFFF"/>
        </w:rPr>
        <w:t xml:space="preserve">HKEX </w:t>
      </w:r>
      <w:r w:rsidRPr="005C553F">
        <w:rPr>
          <w:rFonts w:ascii="Arial" w:hAnsi="Arial" w:cs="Arial"/>
          <w:color w:val="000000" w:themeColor="text1"/>
          <w:sz w:val="20"/>
          <w:szCs w:val="20"/>
          <w:shd w:val="clear" w:color="auto" w:fill="FFFFFF"/>
        </w:rPr>
        <w:t>Listing Rules</w:t>
      </w:r>
      <w:r w:rsidR="005D132F" w:rsidRPr="005C553F">
        <w:rPr>
          <w:rFonts w:ascii="Arial" w:hAnsi="Arial" w:cs="Arial"/>
          <w:color w:val="000000" w:themeColor="text1"/>
          <w:sz w:val="20"/>
          <w:szCs w:val="20"/>
          <w:shd w:val="clear" w:color="auto" w:fill="FFFFFF"/>
        </w:rPr>
        <w:t xml:space="preserve"> which</w:t>
      </w:r>
      <w:r w:rsidR="004E5C00">
        <w:rPr>
          <w:rFonts w:ascii="Arial" w:hAnsi="Arial" w:cs="Arial"/>
          <w:color w:val="000000" w:themeColor="text1"/>
          <w:sz w:val="20"/>
          <w:szCs w:val="20"/>
          <w:shd w:val="clear" w:color="auto" w:fill="FFFFFF"/>
        </w:rPr>
        <w:t xml:space="preserve"> will</w:t>
      </w:r>
      <w:r w:rsidR="005D132F" w:rsidRPr="005C553F">
        <w:rPr>
          <w:rFonts w:ascii="Arial" w:hAnsi="Arial" w:cs="Arial"/>
          <w:color w:val="000000" w:themeColor="text1"/>
          <w:sz w:val="20"/>
          <w:szCs w:val="20"/>
          <w:shd w:val="clear" w:color="auto" w:fill="FFFFFF"/>
        </w:rPr>
        <w:t xml:space="preserve"> take eff</w:t>
      </w:r>
      <w:r w:rsidR="007B6085" w:rsidRPr="005C553F">
        <w:rPr>
          <w:rFonts w:ascii="Arial" w:hAnsi="Arial" w:cs="Arial"/>
          <w:color w:val="000000" w:themeColor="text1"/>
          <w:sz w:val="20"/>
          <w:szCs w:val="20"/>
          <w:shd w:val="clear" w:color="auto" w:fill="FFFFFF"/>
        </w:rPr>
        <w:t xml:space="preserve">ect on </w:t>
      </w:r>
      <w:r w:rsidR="00595A43" w:rsidRPr="005C553F">
        <w:rPr>
          <w:rFonts w:ascii="Arial" w:hAnsi="Arial" w:cs="Arial"/>
          <w:color w:val="000000" w:themeColor="text1"/>
          <w:sz w:val="20"/>
          <w:szCs w:val="20"/>
          <w:shd w:val="clear" w:color="auto" w:fill="FFFFFF"/>
        </w:rPr>
        <w:t>FINI</w:t>
      </w:r>
      <w:r w:rsidR="00595A43">
        <w:rPr>
          <w:rFonts w:ascii="Arial" w:hAnsi="Arial" w:cs="Arial"/>
          <w:color w:val="000000" w:themeColor="text1"/>
          <w:sz w:val="20"/>
          <w:szCs w:val="20"/>
          <w:shd w:val="clear" w:color="auto" w:fill="FFFFFF"/>
        </w:rPr>
        <w:t>’s</w:t>
      </w:r>
      <w:r w:rsidR="00595A43" w:rsidRPr="005C553F">
        <w:rPr>
          <w:rFonts w:ascii="Arial" w:hAnsi="Arial" w:cs="Arial"/>
          <w:color w:val="000000" w:themeColor="text1"/>
          <w:sz w:val="20"/>
          <w:szCs w:val="20"/>
          <w:shd w:val="clear" w:color="auto" w:fill="FFFFFF"/>
        </w:rPr>
        <w:t xml:space="preserve"> </w:t>
      </w:r>
      <w:r w:rsidR="007B6085" w:rsidRPr="005C553F">
        <w:rPr>
          <w:rFonts w:ascii="Arial" w:hAnsi="Arial" w:cs="Arial"/>
          <w:color w:val="000000" w:themeColor="text1"/>
          <w:sz w:val="20"/>
          <w:szCs w:val="20"/>
          <w:shd w:val="clear" w:color="auto" w:fill="FFFFFF"/>
        </w:rPr>
        <w:t xml:space="preserve">launch date, </w:t>
      </w:r>
      <w:r w:rsidR="005D132F" w:rsidRPr="005C553F">
        <w:rPr>
          <w:rFonts w:ascii="Arial" w:hAnsi="Arial" w:cs="Arial"/>
          <w:color w:val="000000" w:themeColor="text1"/>
          <w:sz w:val="20"/>
          <w:szCs w:val="20"/>
          <w:shd w:val="clear" w:color="auto" w:fill="FFFFFF"/>
        </w:rPr>
        <w:t>subject to transitional arrangements</w:t>
      </w:r>
      <w:r w:rsidR="006B1374" w:rsidRPr="005C553F">
        <w:rPr>
          <w:rFonts w:ascii="Arial" w:hAnsi="Arial" w:cs="Arial"/>
          <w:color w:val="000000" w:themeColor="text1"/>
          <w:sz w:val="20"/>
          <w:szCs w:val="20"/>
          <w:shd w:val="clear" w:color="auto" w:fill="FFFFFF"/>
        </w:rPr>
        <w:t>.</w:t>
      </w:r>
      <w:r w:rsidR="004E5C00">
        <w:rPr>
          <w:rFonts w:ascii="Arial" w:hAnsi="Arial" w:cs="Arial"/>
          <w:color w:val="000000" w:themeColor="text1"/>
          <w:sz w:val="20"/>
          <w:szCs w:val="20"/>
          <w:shd w:val="clear" w:color="auto" w:fill="FFFFFF"/>
        </w:rPr>
        <w:t xml:space="preserve"> </w:t>
      </w:r>
      <w:r w:rsidR="004E5C00" w:rsidRPr="004E5C00">
        <w:rPr>
          <w:rFonts w:ascii="Arial" w:hAnsi="Arial" w:cs="Arial"/>
          <w:color w:val="000000" w:themeColor="text1"/>
          <w:sz w:val="20"/>
          <w:szCs w:val="20"/>
          <w:shd w:val="clear" w:color="auto" w:fill="FFFFFF"/>
        </w:rPr>
        <w:t xml:space="preserve">During the transitional period, the new </w:t>
      </w:r>
      <w:r w:rsidR="004E5C00">
        <w:rPr>
          <w:rFonts w:ascii="Arial" w:hAnsi="Arial" w:cs="Arial"/>
          <w:color w:val="000000" w:themeColor="text1"/>
          <w:sz w:val="20"/>
          <w:szCs w:val="20"/>
          <w:shd w:val="clear" w:color="auto" w:fill="FFFFFF"/>
        </w:rPr>
        <w:t>Listing R</w:t>
      </w:r>
      <w:r w:rsidR="004E5C00" w:rsidRPr="004E5C00">
        <w:rPr>
          <w:rFonts w:ascii="Arial" w:hAnsi="Arial" w:cs="Arial"/>
          <w:color w:val="000000" w:themeColor="text1"/>
          <w:sz w:val="20"/>
          <w:szCs w:val="20"/>
          <w:shd w:val="clear" w:color="auto" w:fill="FFFFFF"/>
        </w:rPr>
        <w:t>ules will not apply to issuers completing their settlement processes under the incumbent CCASS “T+5</w:t>
      </w:r>
      <w:r w:rsidR="004E5C00">
        <w:rPr>
          <w:rFonts w:ascii="Arial" w:hAnsi="Arial" w:cs="Arial"/>
          <w:color w:val="000000" w:themeColor="text1"/>
          <w:sz w:val="20"/>
          <w:szCs w:val="20"/>
          <w:shd w:val="clear" w:color="auto" w:fill="FFFFFF"/>
        </w:rPr>
        <w:t>” regime if their prospectuses we</w:t>
      </w:r>
      <w:r w:rsidR="004E5C00" w:rsidRPr="004E5C00">
        <w:rPr>
          <w:rFonts w:ascii="Arial" w:hAnsi="Arial" w:cs="Arial"/>
          <w:color w:val="000000" w:themeColor="text1"/>
          <w:sz w:val="20"/>
          <w:szCs w:val="20"/>
          <w:shd w:val="clear" w:color="auto" w:fill="FFFFFF"/>
        </w:rPr>
        <w:t>re published before the FINI launch date</w:t>
      </w:r>
      <w:r w:rsidR="004E5C00">
        <w:rPr>
          <w:rFonts w:ascii="Arial" w:hAnsi="Arial" w:cs="Arial"/>
          <w:color w:val="000000" w:themeColor="text1"/>
          <w:sz w:val="20"/>
          <w:szCs w:val="20"/>
          <w:shd w:val="clear" w:color="auto" w:fill="FFFFFF"/>
        </w:rPr>
        <w:t>.</w:t>
      </w:r>
      <w:r w:rsidR="006B1374" w:rsidRPr="005C553F">
        <w:rPr>
          <w:rFonts w:ascii="Arial" w:hAnsi="Arial" w:cs="Arial"/>
          <w:color w:val="000000" w:themeColor="text1"/>
          <w:sz w:val="20"/>
          <w:szCs w:val="20"/>
          <w:shd w:val="clear" w:color="auto" w:fill="FFFFFF"/>
        </w:rPr>
        <w:t xml:space="preserve"> </w:t>
      </w:r>
      <w:r w:rsidR="00873616">
        <w:rPr>
          <w:rFonts w:ascii="Arial" w:hAnsi="Arial" w:cs="Arial"/>
          <w:color w:val="000000" w:themeColor="text1"/>
          <w:sz w:val="20"/>
          <w:szCs w:val="20"/>
          <w:shd w:val="clear" w:color="auto" w:fill="FFFFFF"/>
        </w:rPr>
        <w:t>Otherwise, FINI must be adopted for new listings where the offer is launched on or after the FINI launch date.</w:t>
      </w:r>
      <w:r w:rsidR="001244F8">
        <w:rPr>
          <w:rFonts w:ascii="Arial" w:hAnsi="Arial" w:cs="Arial"/>
          <w:color w:val="000000" w:themeColor="text1"/>
          <w:sz w:val="20"/>
          <w:szCs w:val="20"/>
          <w:shd w:val="clear" w:color="auto" w:fill="FFFFFF"/>
        </w:rPr>
        <w:t xml:space="preserve"> </w:t>
      </w:r>
      <w:r w:rsidR="00873616">
        <w:rPr>
          <w:rFonts w:ascii="Arial" w:hAnsi="Arial" w:cs="Arial"/>
          <w:color w:val="000000" w:themeColor="text1"/>
          <w:sz w:val="20"/>
          <w:szCs w:val="20"/>
          <w:shd w:val="clear" w:color="auto" w:fill="FFFFFF"/>
        </w:rPr>
        <w:t>The</w:t>
      </w:r>
      <w:r w:rsidR="001244F8">
        <w:rPr>
          <w:rFonts w:ascii="Arial" w:hAnsi="Arial" w:cs="Arial"/>
          <w:color w:val="000000" w:themeColor="text1"/>
          <w:sz w:val="20"/>
          <w:szCs w:val="20"/>
          <w:shd w:val="clear" w:color="auto" w:fill="FFFFFF"/>
        </w:rPr>
        <w:t>se offers must also comply with the revised HKEX Listing Rules on settlement and admission to trading.</w:t>
      </w:r>
      <w:r w:rsidR="00873616">
        <w:rPr>
          <w:rFonts w:ascii="Arial" w:hAnsi="Arial" w:cs="Arial"/>
          <w:color w:val="000000" w:themeColor="text1"/>
          <w:sz w:val="20"/>
          <w:szCs w:val="20"/>
          <w:shd w:val="clear" w:color="auto" w:fill="FFFFFF"/>
        </w:rPr>
        <w:t xml:space="preserve"> </w:t>
      </w:r>
      <w:r w:rsidR="001244F8">
        <w:rPr>
          <w:rFonts w:ascii="Arial" w:hAnsi="Arial" w:cs="Arial"/>
          <w:color w:val="000000" w:themeColor="text1"/>
          <w:sz w:val="20"/>
          <w:szCs w:val="20"/>
          <w:shd w:val="clear" w:color="auto" w:fill="FFFFFF"/>
        </w:rPr>
        <w:t xml:space="preserve">The </w:t>
      </w:r>
      <w:r w:rsidR="00873616">
        <w:rPr>
          <w:rFonts w:ascii="Arial" w:hAnsi="Arial" w:cs="Arial"/>
          <w:color w:val="000000" w:themeColor="text1"/>
          <w:sz w:val="20"/>
          <w:szCs w:val="20"/>
          <w:shd w:val="clear" w:color="auto" w:fill="FFFFFF"/>
        </w:rPr>
        <w:t xml:space="preserve">HKEX will announce the last permissible listing date under the </w:t>
      </w:r>
      <w:r w:rsidR="00873616" w:rsidRPr="004E5C00">
        <w:rPr>
          <w:rFonts w:ascii="Arial" w:hAnsi="Arial" w:cs="Arial"/>
          <w:color w:val="000000" w:themeColor="text1"/>
          <w:sz w:val="20"/>
          <w:szCs w:val="20"/>
          <w:shd w:val="clear" w:color="auto" w:fill="FFFFFF"/>
        </w:rPr>
        <w:t>CCASS “T+5</w:t>
      </w:r>
      <w:r w:rsidR="00873616">
        <w:rPr>
          <w:rFonts w:ascii="Arial" w:hAnsi="Arial" w:cs="Arial"/>
          <w:color w:val="000000" w:themeColor="text1"/>
          <w:sz w:val="20"/>
          <w:szCs w:val="20"/>
          <w:shd w:val="clear" w:color="auto" w:fill="FFFFFF"/>
        </w:rPr>
        <w:t>” regime</w:t>
      </w:r>
      <w:r w:rsidR="001244F8">
        <w:rPr>
          <w:rFonts w:ascii="Arial" w:hAnsi="Arial" w:cs="Arial"/>
          <w:color w:val="000000" w:themeColor="text1"/>
          <w:sz w:val="20"/>
          <w:szCs w:val="20"/>
          <w:shd w:val="clear" w:color="auto" w:fill="FFFFFF"/>
        </w:rPr>
        <w:t>, and the first permissible listing date under FINI,</w:t>
      </w:r>
      <w:r w:rsidR="00873616">
        <w:rPr>
          <w:rFonts w:ascii="Arial" w:hAnsi="Arial" w:cs="Arial"/>
          <w:color w:val="000000" w:themeColor="text1"/>
          <w:sz w:val="20"/>
          <w:szCs w:val="20"/>
          <w:shd w:val="clear" w:color="auto" w:fill="FFFFFF"/>
        </w:rPr>
        <w:t xml:space="preserve"> closer to the FINI launch date</w:t>
      </w:r>
      <w:r w:rsidR="00916EAF">
        <w:rPr>
          <w:rFonts w:ascii="Arial" w:hAnsi="Arial" w:cs="Arial"/>
          <w:color w:val="000000" w:themeColor="text1"/>
          <w:sz w:val="20"/>
          <w:szCs w:val="20"/>
          <w:shd w:val="clear" w:color="auto" w:fill="FFFFFF"/>
        </w:rPr>
        <w:t>,</w:t>
      </w:r>
      <w:r w:rsidR="001244F8">
        <w:rPr>
          <w:rFonts w:ascii="Arial" w:hAnsi="Arial" w:cs="Arial"/>
          <w:color w:val="000000" w:themeColor="text1"/>
          <w:sz w:val="20"/>
          <w:szCs w:val="20"/>
          <w:shd w:val="clear" w:color="auto" w:fill="FFFFFF"/>
        </w:rPr>
        <w:t xml:space="preserve"> which the HKEX will announce two to three months in advance.</w:t>
      </w:r>
    </w:p>
    <w:p w:rsidR="00563FF6" w:rsidRPr="005C553F" w:rsidRDefault="001F4217" w:rsidP="00995340">
      <w:pPr>
        <w:jc w:val="both"/>
        <w:rPr>
          <w:rFonts w:ascii="Arial" w:hAnsi="Arial" w:cs="Arial"/>
          <w:color w:val="000000" w:themeColor="text1"/>
          <w:sz w:val="20"/>
          <w:szCs w:val="20"/>
          <w:shd w:val="clear" w:color="auto" w:fill="FFFFFF"/>
        </w:rPr>
      </w:pPr>
      <w:r w:rsidRPr="005C553F">
        <w:rPr>
          <w:rFonts w:ascii="Arial" w:hAnsi="Arial" w:cs="Arial"/>
          <w:color w:val="000000" w:themeColor="text1"/>
          <w:sz w:val="20"/>
          <w:szCs w:val="20"/>
          <w:shd w:val="clear" w:color="auto" w:fill="FFFFFF"/>
        </w:rPr>
        <w:t>The k</w:t>
      </w:r>
      <w:r w:rsidR="00563FF6" w:rsidRPr="005C553F">
        <w:rPr>
          <w:rFonts w:ascii="Arial" w:hAnsi="Arial" w:cs="Arial"/>
          <w:color w:val="000000" w:themeColor="text1"/>
          <w:sz w:val="20"/>
          <w:szCs w:val="20"/>
          <w:shd w:val="clear" w:color="auto" w:fill="FFFFFF"/>
        </w:rPr>
        <w:t>ey</w:t>
      </w:r>
      <w:r w:rsidR="004E5C00">
        <w:rPr>
          <w:rFonts w:ascii="Arial" w:hAnsi="Arial" w:cs="Arial"/>
          <w:color w:val="000000" w:themeColor="text1"/>
          <w:sz w:val="20"/>
          <w:szCs w:val="20"/>
          <w:shd w:val="clear" w:color="auto" w:fill="FFFFFF"/>
        </w:rPr>
        <w:t xml:space="preserve"> changes to the </w:t>
      </w:r>
      <w:r w:rsidR="00595A43">
        <w:rPr>
          <w:rFonts w:ascii="Arial" w:hAnsi="Arial" w:cs="Arial"/>
          <w:color w:val="000000" w:themeColor="text1"/>
          <w:sz w:val="20"/>
          <w:szCs w:val="20"/>
          <w:shd w:val="clear" w:color="auto" w:fill="FFFFFF"/>
        </w:rPr>
        <w:t xml:space="preserve">HKEX </w:t>
      </w:r>
      <w:r w:rsidR="004E5C00">
        <w:rPr>
          <w:rFonts w:ascii="Arial" w:hAnsi="Arial" w:cs="Arial"/>
          <w:color w:val="000000" w:themeColor="text1"/>
          <w:sz w:val="20"/>
          <w:szCs w:val="20"/>
          <w:shd w:val="clear" w:color="auto" w:fill="FFFFFF"/>
        </w:rPr>
        <w:t>Listing Rules will</w:t>
      </w:r>
      <w:r w:rsidRPr="005C553F">
        <w:rPr>
          <w:rFonts w:ascii="Arial" w:hAnsi="Arial" w:cs="Arial"/>
          <w:color w:val="000000" w:themeColor="text1"/>
          <w:sz w:val="20"/>
          <w:szCs w:val="20"/>
          <w:shd w:val="clear" w:color="auto" w:fill="FFFFFF"/>
        </w:rPr>
        <w:t>:</w:t>
      </w:r>
    </w:p>
    <w:p w:rsidR="00563FF6" w:rsidRPr="008A2FDD" w:rsidRDefault="00595A43" w:rsidP="00995340">
      <w:pPr>
        <w:pStyle w:val="a6"/>
        <w:numPr>
          <w:ilvl w:val="0"/>
          <w:numId w:val="4"/>
        </w:numPr>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m</w:t>
      </w:r>
      <w:r w:rsidR="004E5C00">
        <w:rPr>
          <w:rFonts w:ascii="Arial" w:hAnsi="Arial" w:cs="Arial"/>
          <w:color w:val="000000" w:themeColor="text1"/>
          <w:sz w:val="20"/>
          <w:szCs w:val="20"/>
          <w:shd w:val="clear" w:color="auto" w:fill="FFFFFF"/>
        </w:rPr>
        <w:t>andate</w:t>
      </w:r>
      <w:r w:rsidR="00CE0A42" w:rsidRPr="005C553F">
        <w:rPr>
          <w:rFonts w:ascii="Arial" w:hAnsi="Arial" w:cs="Arial"/>
          <w:color w:val="000000" w:themeColor="text1"/>
          <w:sz w:val="20"/>
          <w:szCs w:val="20"/>
          <w:shd w:val="clear" w:color="auto" w:fill="FFFFFF"/>
        </w:rPr>
        <w:t xml:space="preserve"> </w:t>
      </w:r>
      <w:r w:rsidR="004E5C00">
        <w:rPr>
          <w:rFonts w:ascii="Arial" w:hAnsi="Arial" w:cs="Arial"/>
          <w:color w:val="000000" w:themeColor="text1"/>
          <w:sz w:val="20"/>
          <w:szCs w:val="20"/>
          <w:shd w:val="clear" w:color="auto" w:fill="FFFFFF"/>
        </w:rPr>
        <w:t>the use of FINI for all new l</w:t>
      </w:r>
      <w:r w:rsidR="00563FF6" w:rsidRPr="005C553F">
        <w:rPr>
          <w:rFonts w:ascii="Arial" w:hAnsi="Arial" w:cs="Arial"/>
          <w:color w:val="000000" w:themeColor="text1"/>
          <w:sz w:val="20"/>
          <w:szCs w:val="20"/>
          <w:shd w:val="clear" w:color="auto" w:fill="FFFFFF"/>
        </w:rPr>
        <w:t>istings and subsequent public offerings;</w:t>
      </w:r>
    </w:p>
    <w:p w:rsidR="008A2FDD" w:rsidRPr="005C553F" w:rsidRDefault="008A2FDD" w:rsidP="008A2FDD">
      <w:pPr>
        <w:pStyle w:val="a6"/>
        <w:jc w:val="both"/>
        <w:rPr>
          <w:rFonts w:ascii="Arial" w:hAnsi="Arial" w:cs="Arial"/>
          <w:color w:val="000000" w:themeColor="text1"/>
          <w:sz w:val="20"/>
          <w:szCs w:val="20"/>
        </w:rPr>
      </w:pPr>
    </w:p>
    <w:p w:rsidR="008A2FDD" w:rsidRPr="008A2FDD" w:rsidRDefault="00595A43" w:rsidP="008A2FDD">
      <w:pPr>
        <w:pStyle w:val="a6"/>
        <w:numPr>
          <w:ilvl w:val="0"/>
          <w:numId w:val="4"/>
        </w:numPr>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s</w:t>
      </w:r>
      <w:r w:rsidR="00563FF6" w:rsidRPr="005C553F">
        <w:rPr>
          <w:rFonts w:ascii="Arial" w:hAnsi="Arial" w:cs="Arial"/>
          <w:color w:val="000000" w:themeColor="text1"/>
          <w:sz w:val="20"/>
          <w:szCs w:val="20"/>
          <w:shd w:val="clear" w:color="auto" w:fill="FFFFFF"/>
        </w:rPr>
        <w:t xml:space="preserve">pecify the forms and documents </w:t>
      </w:r>
      <w:r w:rsidR="00CE0A42" w:rsidRPr="005C553F">
        <w:rPr>
          <w:rFonts w:ascii="Arial" w:hAnsi="Arial" w:cs="Arial"/>
          <w:color w:val="000000" w:themeColor="text1"/>
          <w:sz w:val="20"/>
          <w:szCs w:val="20"/>
          <w:shd w:val="clear" w:color="auto" w:fill="FFFFFF"/>
        </w:rPr>
        <w:t xml:space="preserve">required to be submitted </w:t>
      </w:r>
      <w:r w:rsidR="00563FF6" w:rsidRPr="005C553F">
        <w:rPr>
          <w:rFonts w:ascii="Arial" w:hAnsi="Arial" w:cs="Arial"/>
          <w:color w:val="000000" w:themeColor="text1"/>
          <w:sz w:val="20"/>
          <w:szCs w:val="20"/>
          <w:shd w:val="clear" w:color="auto" w:fill="FFFFFF"/>
        </w:rPr>
        <w:t xml:space="preserve">on FINI; and </w:t>
      </w:r>
    </w:p>
    <w:p w:rsidR="008A2FDD" w:rsidRPr="008A2FDD" w:rsidRDefault="008A2FDD" w:rsidP="008A2FDD">
      <w:pPr>
        <w:pStyle w:val="a6"/>
        <w:jc w:val="both"/>
        <w:rPr>
          <w:rFonts w:ascii="Arial" w:hAnsi="Arial" w:cs="Arial"/>
          <w:color w:val="000000" w:themeColor="text1"/>
          <w:sz w:val="20"/>
          <w:szCs w:val="20"/>
        </w:rPr>
      </w:pPr>
    </w:p>
    <w:p w:rsidR="00C15537" w:rsidRPr="005C553F" w:rsidRDefault="00595A43" w:rsidP="00995340">
      <w:pPr>
        <w:pStyle w:val="a6"/>
        <w:numPr>
          <w:ilvl w:val="0"/>
          <w:numId w:val="4"/>
        </w:numPr>
        <w:jc w:val="both"/>
        <w:rPr>
          <w:rFonts w:ascii="Arial" w:hAnsi="Arial" w:cs="Arial"/>
          <w:color w:val="000000" w:themeColor="text1"/>
          <w:sz w:val="20"/>
          <w:szCs w:val="20"/>
        </w:rPr>
      </w:pPr>
      <w:r>
        <w:rPr>
          <w:rFonts w:ascii="Arial" w:hAnsi="Arial" w:cs="Arial"/>
          <w:color w:val="000000" w:themeColor="text1"/>
          <w:sz w:val="20"/>
          <w:szCs w:val="20"/>
          <w:shd w:val="clear" w:color="auto" w:fill="FFFFFF"/>
        </w:rPr>
        <w:t>s</w:t>
      </w:r>
      <w:r w:rsidR="004E5C00">
        <w:rPr>
          <w:rFonts w:ascii="Arial" w:hAnsi="Arial" w:cs="Arial"/>
          <w:color w:val="000000" w:themeColor="text1"/>
          <w:sz w:val="20"/>
          <w:szCs w:val="20"/>
          <w:shd w:val="clear" w:color="auto" w:fill="FFFFFF"/>
        </w:rPr>
        <w:t>et</w:t>
      </w:r>
      <w:r w:rsidR="00CE0A42" w:rsidRPr="005C553F">
        <w:rPr>
          <w:rFonts w:ascii="Arial" w:hAnsi="Arial" w:cs="Arial"/>
          <w:color w:val="000000" w:themeColor="text1"/>
          <w:sz w:val="20"/>
          <w:szCs w:val="20"/>
          <w:shd w:val="clear" w:color="auto" w:fill="FFFFFF"/>
        </w:rPr>
        <w:t xml:space="preserve"> </w:t>
      </w:r>
      <w:r w:rsidR="00563FF6" w:rsidRPr="005C553F">
        <w:rPr>
          <w:rFonts w:ascii="Arial" w:hAnsi="Arial" w:cs="Arial"/>
          <w:color w:val="000000" w:themeColor="text1"/>
          <w:sz w:val="20"/>
          <w:szCs w:val="20"/>
          <w:shd w:val="clear" w:color="auto" w:fill="FFFFFF"/>
        </w:rPr>
        <w:t>out consequential changes to the submission and re</w:t>
      </w:r>
      <w:r w:rsidR="004E5C00">
        <w:rPr>
          <w:rFonts w:ascii="Arial" w:hAnsi="Arial" w:cs="Arial"/>
          <w:color w:val="000000" w:themeColor="text1"/>
          <w:sz w:val="20"/>
          <w:szCs w:val="20"/>
          <w:shd w:val="clear" w:color="auto" w:fill="FFFFFF"/>
        </w:rPr>
        <w:t>gulatory approval timeline for new l</w:t>
      </w:r>
      <w:r w:rsidR="00563FF6" w:rsidRPr="005C553F">
        <w:rPr>
          <w:rFonts w:ascii="Arial" w:hAnsi="Arial" w:cs="Arial"/>
          <w:color w:val="000000" w:themeColor="text1"/>
          <w:sz w:val="20"/>
          <w:szCs w:val="20"/>
          <w:shd w:val="clear" w:color="auto" w:fill="FFFFFF"/>
        </w:rPr>
        <w:t>istings and subsequent public offerings.</w:t>
      </w:r>
    </w:p>
    <w:p w:rsidR="000A20E3" w:rsidRPr="005C553F" w:rsidRDefault="00A16B78" w:rsidP="00995340">
      <w:pPr>
        <w:jc w:val="both"/>
        <w:rPr>
          <w:rFonts w:ascii="Arial" w:hAnsi="Arial" w:cs="Arial"/>
          <w:color w:val="FF0000"/>
          <w:sz w:val="20"/>
          <w:szCs w:val="20"/>
        </w:rPr>
      </w:pPr>
      <w:r w:rsidRPr="005C553F">
        <w:rPr>
          <w:rFonts w:ascii="Arial" w:hAnsi="Arial" w:cs="Arial"/>
          <w:color w:val="FF0000"/>
          <w:sz w:val="20"/>
          <w:szCs w:val="20"/>
        </w:rPr>
        <w:t>Mandatory Nature of FINI</w:t>
      </w:r>
    </w:p>
    <w:p w:rsidR="00CE0A42" w:rsidRDefault="000A20E3"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 xml:space="preserve">FINI </w:t>
      </w:r>
      <w:r w:rsidR="00311C18" w:rsidRPr="005C553F">
        <w:rPr>
          <w:rFonts w:ascii="Arial" w:hAnsi="Arial" w:cs="Arial"/>
          <w:color w:val="000000" w:themeColor="text1"/>
          <w:sz w:val="20"/>
          <w:szCs w:val="20"/>
        </w:rPr>
        <w:t>will be</w:t>
      </w:r>
      <w:r w:rsidRPr="005C553F">
        <w:rPr>
          <w:rFonts w:ascii="Arial" w:hAnsi="Arial" w:cs="Arial"/>
          <w:color w:val="000000" w:themeColor="text1"/>
          <w:sz w:val="20"/>
          <w:szCs w:val="20"/>
        </w:rPr>
        <w:t xml:space="preserve"> defined as an online platform </w:t>
      </w:r>
      <w:r w:rsidR="003B47C2" w:rsidRPr="005C553F">
        <w:rPr>
          <w:rFonts w:ascii="Arial" w:hAnsi="Arial" w:cs="Arial"/>
          <w:color w:val="000000" w:themeColor="text1"/>
          <w:sz w:val="20"/>
          <w:szCs w:val="20"/>
        </w:rPr>
        <w:t xml:space="preserve">that is </w:t>
      </w:r>
      <w:r w:rsidR="004E5C00">
        <w:rPr>
          <w:rFonts w:ascii="Arial" w:hAnsi="Arial" w:cs="Arial"/>
          <w:color w:val="000000" w:themeColor="text1"/>
          <w:sz w:val="20"/>
          <w:szCs w:val="20"/>
        </w:rPr>
        <w:t>mandatory for all new l</w:t>
      </w:r>
      <w:r w:rsidRPr="005C553F">
        <w:rPr>
          <w:rFonts w:ascii="Arial" w:hAnsi="Arial" w:cs="Arial"/>
          <w:color w:val="000000" w:themeColor="text1"/>
          <w:sz w:val="20"/>
          <w:szCs w:val="20"/>
        </w:rPr>
        <w:t>istings</w:t>
      </w:r>
      <w:r w:rsidR="00343AFD" w:rsidRPr="005C553F">
        <w:rPr>
          <w:rFonts w:ascii="Arial" w:hAnsi="Arial" w:cs="Arial"/>
          <w:color w:val="000000" w:themeColor="text1"/>
          <w:sz w:val="20"/>
          <w:szCs w:val="20"/>
        </w:rPr>
        <w:t xml:space="preserve"> and </w:t>
      </w:r>
      <w:r w:rsidR="001F53A4" w:rsidRPr="005C553F">
        <w:rPr>
          <w:rFonts w:ascii="Arial" w:hAnsi="Arial" w:cs="Arial"/>
          <w:color w:val="000000" w:themeColor="text1"/>
          <w:sz w:val="20"/>
          <w:szCs w:val="20"/>
        </w:rPr>
        <w:t xml:space="preserve">subsequent offers </w:t>
      </w:r>
      <w:r w:rsidR="00343AFD" w:rsidRPr="005C553F">
        <w:rPr>
          <w:rFonts w:ascii="Arial" w:hAnsi="Arial" w:cs="Arial"/>
          <w:color w:val="000000" w:themeColor="text1"/>
          <w:sz w:val="20"/>
          <w:szCs w:val="20"/>
        </w:rPr>
        <w:t>for subscription</w:t>
      </w:r>
      <w:r w:rsidR="003E6ADB" w:rsidRPr="005C553F">
        <w:rPr>
          <w:rFonts w:ascii="Arial" w:hAnsi="Arial" w:cs="Arial"/>
          <w:color w:val="000000" w:themeColor="text1"/>
          <w:sz w:val="20"/>
          <w:szCs w:val="20"/>
        </w:rPr>
        <w:t xml:space="preserve">. It </w:t>
      </w:r>
      <w:r w:rsidRPr="005C553F">
        <w:rPr>
          <w:rFonts w:ascii="Arial" w:hAnsi="Arial" w:cs="Arial"/>
          <w:color w:val="000000" w:themeColor="text1"/>
          <w:sz w:val="20"/>
          <w:szCs w:val="20"/>
        </w:rPr>
        <w:t>must be ad</w:t>
      </w:r>
      <w:r w:rsidR="003B47C2" w:rsidRPr="005C553F">
        <w:rPr>
          <w:rFonts w:ascii="Arial" w:hAnsi="Arial" w:cs="Arial"/>
          <w:color w:val="000000" w:themeColor="text1"/>
          <w:sz w:val="20"/>
          <w:szCs w:val="20"/>
        </w:rPr>
        <w:t xml:space="preserve">opted for admission to trading and </w:t>
      </w:r>
      <w:r w:rsidRPr="005C553F">
        <w:rPr>
          <w:rFonts w:ascii="Arial" w:hAnsi="Arial" w:cs="Arial"/>
          <w:color w:val="000000" w:themeColor="text1"/>
          <w:sz w:val="20"/>
          <w:szCs w:val="20"/>
        </w:rPr>
        <w:t>the collection and processing of specif</w:t>
      </w:r>
      <w:r w:rsidR="00446FBA" w:rsidRPr="005C553F">
        <w:rPr>
          <w:rFonts w:ascii="Arial" w:hAnsi="Arial" w:cs="Arial"/>
          <w:color w:val="000000" w:themeColor="text1"/>
          <w:sz w:val="20"/>
          <w:szCs w:val="20"/>
        </w:rPr>
        <w:t>ied information on subscription</w:t>
      </w:r>
      <w:r w:rsidR="00343AFD" w:rsidRPr="005C553F">
        <w:rPr>
          <w:rFonts w:ascii="Arial" w:hAnsi="Arial" w:cs="Arial"/>
          <w:color w:val="000000" w:themeColor="text1"/>
          <w:sz w:val="20"/>
          <w:szCs w:val="20"/>
        </w:rPr>
        <w:t xml:space="preserve"> </w:t>
      </w:r>
      <w:r w:rsidRPr="005C553F">
        <w:rPr>
          <w:rFonts w:ascii="Arial" w:hAnsi="Arial" w:cs="Arial"/>
          <w:color w:val="000000" w:themeColor="text1"/>
          <w:sz w:val="20"/>
          <w:szCs w:val="20"/>
        </w:rPr>
        <w:t>and settlement</w:t>
      </w:r>
      <w:r w:rsidR="0025289E" w:rsidRPr="005C553F">
        <w:rPr>
          <w:rFonts w:ascii="Arial" w:hAnsi="Arial" w:cs="Arial"/>
          <w:color w:val="000000" w:themeColor="text1"/>
          <w:sz w:val="20"/>
          <w:szCs w:val="20"/>
        </w:rPr>
        <w:t xml:space="preserve">, </w:t>
      </w:r>
      <w:r w:rsidR="00151B3B" w:rsidRPr="005C553F">
        <w:rPr>
          <w:rFonts w:ascii="Arial" w:hAnsi="Arial" w:cs="Arial"/>
          <w:color w:val="000000" w:themeColor="text1"/>
          <w:sz w:val="20"/>
          <w:szCs w:val="20"/>
        </w:rPr>
        <w:t>regardless</w:t>
      </w:r>
      <w:r w:rsidR="001F53A4" w:rsidRPr="005C553F">
        <w:rPr>
          <w:rFonts w:ascii="Arial" w:hAnsi="Arial" w:cs="Arial"/>
          <w:color w:val="000000" w:themeColor="text1"/>
          <w:sz w:val="20"/>
          <w:szCs w:val="20"/>
        </w:rPr>
        <w:t xml:space="preserve"> of </w:t>
      </w:r>
      <w:r w:rsidRPr="005C553F">
        <w:rPr>
          <w:rFonts w:ascii="Arial" w:hAnsi="Arial" w:cs="Arial"/>
          <w:color w:val="000000" w:themeColor="text1"/>
          <w:sz w:val="20"/>
          <w:szCs w:val="20"/>
        </w:rPr>
        <w:t>whether there is an offering or a placing of equity securities or interests.</w:t>
      </w:r>
      <w:r w:rsidR="002C53FA" w:rsidRPr="005C553F">
        <w:rPr>
          <w:rStyle w:val="a9"/>
          <w:rFonts w:ascii="Arial" w:hAnsi="Arial" w:cs="Arial"/>
          <w:sz w:val="20"/>
          <w:szCs w:val="20"/>
        </w:rPr>
        <w:footnoteReference w:id="1"/>
      </w:r>
    </w:p>
    <w:p w:rsidR="00066312" w:rsidRDefault="008A2FDD" w:rsidP="00995340">
      <w:pPr>
        <w:jc w:val="both"/>
        <w:rPr>
          <w:rFonts w:ascii="Arial" w:hAnsi="Arial" w:cs="Arial"/>
          <w:color w:val="000000" w:themeColor="text1"/>
          <w:sz w:val="20"/>
          <w:szCs w:val="20"/>
        </w:rPr>
      </w:pPr>
      <w:r>
        <w:rPr>
          <w:rFonts w:ascii="Arial" w:hAnsi="Arial" w:cs="Arial"/>
          <w:color w:val="000000" w:themeColor="text1"/>
          <w:sz w:val="20"/>
          <w:szCs w:val="20"/>
        </w:rPr>
        <w:t>Issuers wanting a settlement timetable longer than T+2 will need to apply to the HKEX in writing</w:t>
      </w:r>
      <w:r w:rsidR="00066312">
        <w:rPr>
          <w:rFonts w:ascii="Arial" w:hAnsi="Arial" w:cs="Arial"/>
          <w:color w:val="000000" w:themeColor="text1"/>
          <w:sz w:val="20"/>
          <w:szCs w:val="20"/>
        </w:rPr>
        <w:t>. The HKEX plans to grant a timetable of T+3 (or longer) where there are compelling reasons for doing so and will give its consent in writing.</w:t>
      </w:r>
    </w:p>
    <w:p w:rsidR="00CE3560" w:rsidRPr="00CE3560" w:rsidRDefault="00CE3560" w:rsidP="00995340">
      <w:pPr>
        <w:jc w:val="both"/>
        <w:rPr>
          <w:rFonts w:ascii="Arial" w:hAnsi="Arial" w:cs="Arial"/>
          <w:color w:val="000000" w:themeColor="text1"/>
          <w:sz w:val="20"/>
          <w:szCs w:val="20"/>
        </w:rPr>
      </w:pPr>
      <w:r>
        <w:rPr>
          <w:rFonts w:ascii="Arial" w:hAnsi="Arial" w:cs="Arial"/>
          <w:b/>
          <w:color w:val="000000" w:themeColor="text1"/>
          <w:sz w:val="20"/>
          <w:szCs w:val="20"/>
        </w:rPr>
        <w:t>Streamlining of Workflows on FINI</w:t>
      </w:r>
    </w:p>
    <w:p w:rsidR="00CE3560" w:rsidRDefault="00066312" w:rsidP="00995340">
      <w:pPr>
        <w:jc w:val="both"/>
        <w:rPr>
          <w:rFonts w:ascii="Arial" w:hAnsi="Arial" w:cs="Arial"/>
          <w:color w:val="000000" w:themeColor="text1"/>
          <w:sz w:val="20"/>
          <w:szCs w:val="20"/>
        </w:rPr>
      </w:pPr>
      <w:r>
        <w:rPr>
          <w:rFonts w:ascii="Arial" w:hAnsi="Arial" w:cs="Arial"/>
          <w:color w:val="000000" w:themeColor="text1"/>
          <w:sz w:val="20"/>
          <w:szCs w:val="20"/>
        </w:rPr>
        <w:t>Workflows comprising the settlement process will be streamlined on FINI</w:t>
      </w:r>
      <w:r w:rsidR="001244F8">
        <w:rPr>
          <w:rFonts w:ascii="Arial" w:hAnsi="Arial" w:cs="Arial"/>
          <w:color w:val="000000" w:themeColor="text1"/>
          <w:sz w:val="20"/>
          <w:szCs w:val="20"/>
        </w:rPr>
        <w:t xml:space="preserve">. The </w:t>
      </w:r>
      <w:hyperlink r:id="rId24" w:history="1">
        <w:r w:rsidR="001244F8" w:rsidRPr="001244F8">
          <w:rPr>
            <w:rStyle w:val="a3"/>
            <w:rFonts w:ascii="Arial" w:hAnsi="Arial" w:cs="Arial"/>
            <w:sz w:val="20"/>
            <w:szCs w:val="20"/>
          </w:rPr>
          <w:t>FINI Information Pack</w:t>
        </w:r>
      </w:hyperlink>
      <w:r w:rsidR="001244F8">
        <w:rPr>
          <w:rFonts w:ascii="Arial" w:hAnsi="Arial" w:cs="Arial"/>
          <w:color w:val="000000" w:themeColor="text1"/>
          <w:sz w:val="20"/>
          <w:szCs w:val="20"/>
        </w:rPr>
        <w:t xml:space="preserve"> sets out details of the operational workflows on FINI and the process and systems that it will replace.</w:t>
      </w:r>
      <w:r w:rsidR="001244F8">
        <w:rPr>
          <w:rStyle w:val="a9"/>
          <w:rFonts w:ascii="Arial" w:hAnsi="Arial" w:cs="Arial"/>
          <w:color w:val="000000" w:themeColor="text1"/>
          <w:sz w:val="20"/>
          <w:szCs w:val="20"/>
        </w:rPr>
        <w:footnoteReference w:id="2"/>
      </w:r>
      <w:r>
        <w:rPr>
          <w:rFonts w:ascii="Arial" w:hAnsi="Arial" w:cs="Arial"/>
          <w:color w:val="000000" w:themeColor="text1"/>
          <w:sz w:val="20"/>
          <w:szCs w:val="20"/>
        </w:rPr>
        <w:t xml:space="preserve"> </w:t>
      </w:r>
    </w:p>
    <w:p w:rsidR="00CE3560" w:rsidRPr="00CE3560" w:rsidRDefault="00CE3560" w:rsidP="00995340">
      <w:pPr>
        <w:jc w:val="both"/>
        <w:rPr>
          <w:rFonts w:ascii="Arial" w:hAnsi="Arial" w:cs="Arial"/>
          <w:color w:val="000000" w:themeColor="text1"/>
          <w:sz w:val="20"/>
          <w:szCs w:val="20"/>
          <w:u w:val="single"/>
        </w:rPr>
      </w:pPr>
      <w:r>
        <w:rPr>
          <w:rFonts w:ascii="Arial" w:hAnsi="Arial" w:cs="Arial"/>
          <w:color w:val="000000" w:themeColor="text1"/>
          <w:sz w:val="20"/>
          <w:szCs w:val="20"/>
          <w:u w:val="single"/>
        </w:rPr>
        <w:t>Publication of Allotment Results Announcements</w:t>
      </w:r>
    </w:p>
    <w:p w:rsidR="008A2FDD" w:rsidRDefault="00CE3560" w:rsidP="00995340">
      <w:pPr>
        <w:jc w:val="both"/>
        <w:rPr>
          <w:rFonts w:ascii="Arial" w:hAnsi="Arial" w:cs="Arial"/>
          <w:color w:val="000000" w:themeColor="text1"/>
          <w:sz w:val="20"/>
          <w:szCs w:val="20"/>
        </w:rPr>
      </w:pPr>
      <w:r>
        <w:rPr>
          <w:rFonts w:ascii="Arial" w:hAnsi="Arial" w:cs="Arial"/>
          <w:color w:val="000000" w:themeColor="text1"/>
          <w:sz w:val="20"/>
          <w:szCs w:val="20"/>
        </w:rPr>
        <w:t>The revised HKEX Listing Rules</w:t>
      </w:r>
      <w:r>
        <w:rPr>
          <w:rStyle w:val="a9"/>
          <w:rFonts w:ascii="Arial" w:hAnsi="Arial" w:cs="Arial"/>
          <w:color w:val="000000" w:themeColor="text1"/>
          <w:sz w:val="20"/>
          <w:szCs w:val="20"/>
        </w:rPr>
        <w:footnoteReference w:id="3"/>
      </w:r>
      <w:r>
        <w:rPr>
          <w:rFonts w:ascii="Arial" w:hAnsi="Arial" w:cs="Arial"/>
          <w:color w:val="000000" w:themeColor="text1"/>
          <w:sz w:val="20"/>
          <w:szCs w:val="20"/>
        </w:rPr>
        <w:t xml:space="preserve"> </w:t>
      </w:r>
      <w:r w:rsidR="0044468C">
        <w:rPr>
          <w:rFonts w:ascii="Arial" w:hAnsi="Arial" w:cs="Arial"/>
          <w:color w:val="000000" w:themeColor="text1"/>
          <w:sz w:val="20"/>
          <w:szCs w:val="20"/>
        </w:rPr>
        <w:t xml:space="preserve">will </w:t>
      </w:r>
      <w:r>
        <w:rPr>
          <w:rFonts w:ascii="Arial" w:hAnsi="Arial" w:cs="Arial"/>
          <w:color w:val="000000" w:themeColor="text1"/>
          <w:sz w:val="20"/>
          <w:szCs w:val="20"/>
        </w:rPr>
        <w:t>require</w:t>
      </w:r>
      <w:r w:rsidR="0044468C">
        <w:rPr>
          <w:rFonts w:ascii="Arial" w:hAnsi="Arial" w:cs="Arial"/>
          <w:color w:val="000000" w:themeColor="text1"/>
          <w:sz w:val="20"/>
          <w:szCs w:val="20"/>
        </w:rPr>
        <w:t xml:space="preserve"> </w:t>
      </w:r>
      <w:r>
        <w:rPr>
          <w:rFonts w:ascii="Arial" w:hAnsi="Arial" w:cs="Arial"/>
          <w:color w:val="000000" w:themeColor="text1"/>
          <w:sz w:val="20"/>
          <w:szCs w:val="20"/>
        </w:rPr>
        <w:t xml:space="preserve">issuers </w:t>
      </w:r>
      <w:r w:rsidR="0044468C">
        <w:rPr>
          <w:rFonts w:ascii="Arial" w:hAnsi="Arial" w:cs="Arial"/>
          <w:color w:val="000000" w:themeColor="text1"/>
          <w:sz w:val="20"/>
          <w:szCs w:val="20"/>
        </w:rPr>
        <w:t>to publish allotment results announcements by 11.00 pm on “T+1” day after the HKEX grants the final listing approval on the same day</w:t>
      </w:r>
      <w:r>
        <w:rPr>
          <w:rFonts w:ascii="Arial" w:hAnsi="Arial" w:cs="Arial"/>
          <w:color w:val="000000" w:themeColor="text1"/>
          <w:sz w:val="20"/>
          <w:szCs w:val="20"/>
        </w:rPr>
        <w:t xml:space="preserve">. This will replace the existing requirement for their publication </w:t>
      </w:r>
      <w:r w:rsidR="0044468C">
        <w:rPr>
          <w:rFonts w:ascii="Arial" w:hAnsi="Arial" w:cs="Arial"/>
          <w:color w:val="000000" w:themeColor="text1"/>
          <w:sz w:val="20"/>
          <w:szCs w:val="20"/>
        </w:rPr>
        <w:t>before the start of the morning trading session on the business day before the listing date</w:t>
      </w:r>
      <w:r>
        <w:rPr>
          <w:rFonts w:ascii="Arial" w:hAnsi="Arial" w:cs="Arial"/>
          <w:color w:val="000000" w:themeColor="text1"/>
          <w:sz w:val="20"/>
          <w:szCs w:val="20"/>
        </w:rPr>
        <w:t xml:space="preserve"> which requires the HKEX to clear the announcement two business days before listing</w:t>
      </w:r>
      <w:r w:rsidR="0044468C">
        <w:rPr>
          <w:rFonts w:ascii="Arial" w:hAnsi="Arial" w:cs="Arial"/>
          <w:color w:val="000000" w:themeColor="text1"/>
          <w:sz w:val="20"/>
          <w:szCs w:val="20"/>
        </w:rPr>
        <w:t>.</w:t>
      </w:r>
      <w:r w:rsidR="00066312">
        <w:rPr>
          <w:rFonts w:ascii="Arial" w:hAnsi="Arial" w:cs="Arial"/>
          <w:color w:val="000000" w:themeColor="text1"/>
          <w:sz w:val="20"/>
          <w:szCs w:val="20"/>
        </w:rPr>
        <w:t xml:space="preserve"> </w:t>
      </w:r>
      <w:r w:rsidR="008A2FDD">
        <w:rPr>
          <w:rFonts w:ascii="Arial" w:hAnsi="Arial" w:cs="Arial"/>
          <w:color w:val="000000" w:themeColor="text1"/>
          <w:sz w:val="20"/>
          <w:szCs w:val="20"/>
        </w:rPr>
        <w:t xml:space="preserve"> </w:t>
      </w:r>
    </w:p>
    <w:p w:rsidR="00CE3560" w:rsidRDefault="00CE3560" w:rsidP="00995340">
      <w:pPr>
        <w:jc w:val="both"/>
        <w:rPr>
          <w:rFonts w:ascii="Arial" w:hAnsi="Arial" w:cs="Arial"/>
          <w:color w:val="000000" w:themeColor="text1"/>
          <w:sz w:val="20"/>
          <w:szCs w:val="20"/>
        </w:rPr>
      </w:pPr>
      <w:r>
        <w:rPr>
          <w:rFonts w:ascii="Arial" w:hAnsi="Arial" w:cs="Arial"/>
          <w:b/>
          <w:color w:val="000000" w:themeColor="text1"/>
          <w:sz w:val="20"/>
          <w:szCs w:val="20"/>
        </w:rPr>
        <w:t>Multiple Applications across the Public Offer Tranche and Placing Tranche</w:t>
      </w:r>
    </w:p>
    <w:p w:rsidR="00C034B5" w:rsidRPr="00C81AFD" w:rsidRDefault="00CE3560" w:rsidP="00995340">
      <w:pPr>
        <w:jc w:val="both"/>
        <w:rPr>
          <w:rFonts w:ascii="Arial" w:hAnsi="Arial" w:cs="Arial"/>
          <w:color w:val="000000" w:themeColor="text1"/>
          <w:sz w:val="20"/>
          <w:szCs w:val="20"/>
        </w:rPr>
      </w:pPr>
      <w:r>
        <w:rPr>
          <w:rFonts w:ascii="Arial" w:hAnsi="Arial" w:cs="Arial"/>
          <w:color w:val="000000" w:themeColor="text1"/>
          <w:sz w:val="20"/>
          <w:szCs w:val="20"/>
        </w:rPr>
        <w:t xml:space="preserve">Under FINI, </w:t>
      </w:r>
      <w:r w:rsidRPr="00C81AFD">
        <w:rPr>
          <w:rFonts w:ascii="Arial" w:hAnsi="Arial" w:cs="Arial"/>
          <w:color w:val="000000" w:themeColor="text1"/>
          <w:sz w:val="20"/>
          <w:szCs w:val="20"/>
        </w:rPr>
        <w:t>the deadline for the allocation of shares in the public offer tranche will be 12:00 a</w:t>
      </w:r>
      <w:r w:rsidR="009E06A4">
        <w:rPr>
          <w:rFonts w:ascii="Arial" w:hAnsi="Arial" w:cs="Arial"/>
          <w:color w:val="000000" w:themeColor="text1"/>
          <w:sz w:val="20"/>
          <w:szCs w:val="20"/>
        </w:rPr>
        <w:t>.</w:t>
      </w:r>
      <w:r w:rsidRPr="00C81AFD">
        <w:rPr>
          <w:rFonts w:ascii="Arial" w:hAnsi="Arial" w:cs="Arial"/>
          <w:color w:val="000000" w:themeColor="text1"/>
          <w:sz w:val="20"/>
          <w:szCs w:val="20"/>
        </w:rPr>
        <w:t>m</w:t>
      </w:r>
      <w:r w:rsidR="009E06A4">
        <w:rPr>
          <w:rFonts w:ascii="Arial" w:hAnsi="Arial" w:cs="Arial"/>
          <w:color w:val="000000" w:themeColor="text1"/>
          <w:sz w:val="20"/>
          <w:szCs w:val="20"/>
        </w:rPr>
        <w:t>.</w:t>
      </w:r>
      <w:r w:rsidRPr="00C81AFD">
        <w:rPr>
          <w:rFonts w:ascii="Arial" w:hAnsi="Arial" w:cs="Arial"/>
          <w:color w:val="000000" w:themeColor="text1"/>
          <w:sz w:val="20"/>
          <w:szCs w:val="20"/>
        </w:rPr>
        <w:t xml:space="preserve"> on “T-day”</w:t>
      </w:r>
      <w:r w:rsidRPr="00C81AFD">
        <w:rPr>
          <w:rFonts w:ascii="Arial" w:hAnsi="Arial" w:cs="Arial"/>
          <w:color w:val="000000" w:themeColor="text1"/>
          <w:sz w:val="20"/>
          <w:szCs w:val="20"/>
          <w:vertAlign w:val="superscript"/>
        </w:rPr>
        <w:footnoteReference w:id="4"/>
      </w:r>
      <w:r w:rsidRPr="00C81AFD">
        <w:rPr>
          <w:rFonts w:ascii="Arial" w:hAnsi="Arial" w:cs="Arial"/>
          <w:color w:val="000000" w:themeColor="text1"/>
          <w:sz w:val="20"/>
          <w:szCs w:val="20"/>
          <w:vertAlign w:val="superscript"/>
        </w:rPr>
        <w:t xml:space="preserve"> </w:t>
      </w:r>
      <w:r w:rsidRPr="00C81AFD">
        <w:rPr>
          <w:rFonts w:ascii="Arial" w:hAnsi="Arial" w:cs="Arial"/>
          <w:color w:val="000000" w:themeColor="text1"/>
          <w:sz w:val="20"/>
          <w:szCs w:val="20"/>
        </w:rPr>
        <w:t xml:space="preserve">following the completion of money settlement for the public offer tranche, </w:t>
      </w:r>
      <w:r w:rsidR="00C034B5" w:rsidRPr="00C81AFD">
        <w:rPr>
          <w:rFonts w:ascii="Arial" w:hAnsi="Arial" w:cs="Arial"/>
          <w:color w:val="000000" w:themeColor="text1"/>
          <w:sz w:val="20"/>
          <w:szCs w:val="20"/>
        </w:rPr>
        <w:t xml:space="preserve">while </w:t>
      </w:r>
      <w:r w:rsidRPr="00C81AFD">
        <w:rPr>
          <w:rFonts w:ascii="Arial" w:hAnsi="Arial" w:cs="Arial"/>
          <w:color w:val="000000" w:themeColor="text1"/>
          <w:sz w:val="20"/>
          <w:szCs w:val="20"/>
        </w:rPr>
        <w:t>the deadline for submission of placee lists for the placing tr</w:t>
      </w:r>
      <w:r w:rsidR="00C034B5" w:rsidRPr="00C81AFD">
        <w:rPr>
          <w:rFonts w:ascii="Arial" w:hAnsi="Arial" w:cs="Arial"/>
          <w:color w:val="000000" w:themeColor="text1"/>
          <w:sz w:val="20"/>
          <w:szCs w:val="20"/>
        </w:rPr>
        <w:t>anche will be 10 a.m. on “T+1”.</w:t>
      </w:r>
      <w:r w:rsidR="00C034B5" w:rsidRPr="00C81AFD">
        <w:rPr>
          <w:rFonts w:ascii="Arial" w:hAnsi="Arial" w:cs="Arial"/>
          <w:color w:val="000000" w:themeColor="text1"/>
          <w:sz w:val="20"/>
          <w:szCs w:val="20"/>
          <w:vertAlign w:val="superscript"/>
        </w:rPr>
        <w:footnoteReference w:id="5"/>
      </w:r>
      <w:r w:rsidR="00C034B5" w:rsidRPr="00C81AFD">
        <w:rPr>
          <w:rFonts w:ascii="Arial" w:hAnsi="Arial" w:cs="Arial"/>
          <w:color w:val="000000" w:themeColor="text1"/>
          <w:sz w:val="20"/>
          <w:szCs w:val="20"/>
          <w:vertAlign w:val="superscript"/>
        </w:rPr>
        <w:t xml:space="preserve"> </w:t>
      </w:r>
      <w:r w:rsidR="00C034B5" w:rsidRPr="00C81AFD">
        <w:rPr>
          <w:rFonts w:ascii="Arial" w:hAnsi="Arial" w:cs="Arial"/>
          <w:color w:val="000000" w:themeColor="text1"/>
          <w:sz w:val="20"/>
          <w:szCs w:val="20"/>
        </w:rPr>
        <w:t>This means that</w:t>
      </w:r>
      <w:r w:rsidRPr="00C81AFD">
        <w:rPr>
          <w:rFonts w:ascii="Arial" w:hAnsi="Arial" w:cs="Arial"/>
          <w:color w:val="000000" w:themeColor="text1"/>
          <w:sz w:val="20"/>
          <w:szCs w:val="20"/>
        </w:rPr>
        <w:t xml:space="preserve"> the balloting </w:t>
      </w:r>
      <w:r w:rsidRPr="00C81AFD">
        <w:rPr>
          <w:rFonts w:ascii="Arial" w:hAnsi="Arial" w:cs="Arial"/>
          <w:color w:val="000000" w:themeColor="text1"/>
          <w:sz w:val="20"/>
          <w:szCs w:val="20"/>
        </w:rPr>
        <w:lastRenderedPageBreak/>
        <w:t xml:space="preserve">results for the public offer tranche will be determined before the </w:t>
      </w:r>
      <w:r w:rsidR="00C034B5" w:rsidRPr="00C81AFD">
        <w:rPr>
          <w:rFonts w:ascii="Arial" w:hAnsi="Arial" w:cs="Arial"/>
          <w:color w:val="000000" w:themeColor="text1"/>
          <w:sz w:val="20"/>
          <w:szCs w:val="20"/>
        </w:rPr>
        <w:t xml:space="preserve">finalization of the </w:t>
      </w:r>
      <w:r w:rsidRPr="00C81AFD">
        <w:rPr>
          <w:rFonts w:ascii="Arial" w:hAnsi="Arial" w:cs="Arial"/>
          <w:color w:val="000000" w:themeColor="text1"/>
          <w:sz w:val="20"/>
          <w:szCs w:val="20"/>
        </w:rPr>
        <w:t xml:space="preserve">placee allocations, and the current requirement for underwriters to identify and reject applications in the public offer tranche from investors that received shares in the placing tranche under the </w:t>
      </w:r>
      <w:r w:rsidR="00C034B5" w:rsidRPr="00C81AFD">
        <w:rPr>
          <w:rFonts w:ascii="Arial" w:hAnsi="Arial" w:cs="Arial"/>
          <w:color w:val="000000" w:themeColor="text1"/>
          <w:sz w:val="20"/>
          <w:szCs w:val="20"/>
        </w:rPr>
        <w:t xml:space="preserve">HKEX </w:t>
      </w:r>
      <w:r w:rsidRPr="00C81AFD">
        <w:rPr>
          <w:rFonts w:ascii="Arial" w:hAnsi="Arial" w:cs="Arial"/>
          <w:color w:val="000000" w:themeColor="text1"/>
          <w:sz w:val="20"/>
          <w:szCs w:val="20"/>
        </w:rPr>
        <w:t>Listing Rules will no longer appl</w:t>
      </w:r>
      <w:r w:rsidR="00C034B5" w:rsidRPr="00C81AFD">
        <w:rPr>
          <w:rFonts w:ascii="Arial" w:hAnsi="Arial" w:cs="Arial"/>
          <w:color w:val="000000" w:themeColor="text1"/>
          <w:sz w:val="20"/>
          <w:szCs w:val="20"/>
        </w:rPr>
        <w:t>y</w:t>
      </w:r>
      <w:r w:rsidRPr="00C81AFD">
        <w:rPr>
          <w:rFonts w:ascii="Arial" w:hAnsi="Arial" w:cs="Arial"/>
          <w:color w:val="000000" w:themeColor="text1"/>
          <w:sz w:val="20"/>
          <w:szCs w:val="20"/>
        </w:rPr>
        <w:t xml:space="preserve"> under the FINI workflow.</w:t>
      </w:r>
      <w:r w:rsidR="00C034B5" w:rsidRPr="00C81AFD">
        <w:rPr>
          <w:rFonts w:ascii="Arial" w:hAnsi="Arial" w:cs="Arial"/>
          <w:color w:val="000000" w:themeColor="text1"/>
          <w:sz w:val="20"/>
          <w:szCs w:val="20"/>
        </w:rPr>
        <w:t xml:space="preserve"> Despite this</w:t>
      </w:r>
      <w:r w:rsidRPr="00C81AFD">
        <w:rPr>
          <w:rFonts w:ascii="Arial" w:hAnsi="Arial" w:cs="Arial"/>
          <w:color w:val="000000" w:themeColor="text1"/>
          <w:sz w:val="20"/>
          <w:szCs w:val="20"/>
        </w:rPr>
        <w:t>, the</w:t>
      </w:r>
      <w:r w:rsidR="00C034B5" w:rsidRPr="00C81AFD">
        <w:rPr>
          <w:rFonts w:ascii="Arial" w:hAnsi="Arial" w:cs="Arial"/>
          <w:color w:val="000000" w:themeColor="text1"/>
          <w:sz w:val="20"/>
          <w:szCs w:val="20"/>
        </w:rPr>
        <w:t>re will be no change to the</w:t>
      </w:r>
      <w:r w:rsidRPr="00C81AFD">
        <w:rPr>
          <w:rFonts w:ascii="Arial" w:hAnsi="Arial" w:cs="Arial"/>
          <w:color w:val="000000" w:themeColor="text1"/>
          <w:sz w:val="20"/>
          <w:szCs w:val="20"/>
        </w:rPr>
        <w:t xml:space="preserve"> </w:t>
      </w:r>
      <w:r w:rsidR="00C034B5" w:rsidRPr="00C81AFD">
        <w:rPr>
          <w:rFonts w:ascii="Arial" w:hAnsi="Arial" w:cs="Arial"/>
          <w:color w:val="000000" w:themeColor="text1"/>
          <w:sz w:val="20"/>
          <w:szCs w:val="20"/>
        </w:rPr>
        <w:t xml:space="preserve">Listing Rule </w:t>
      </w:r>
      <w:r w:rsidRPr="00C81AFD">
        <w:rPr>
          <w:rFonts w:ascii="Arial" w:hAnsi="Arial" w:cs="Arial"/>
          <w:color w:val="000000" w:themeColor="text1"/>
          <w:sz w:val="20"/>
          <w:szCs w:val="20"/>
        </w:rPr>
        <w:t>obligations of issuers, their directors, sponsors, overall coordinators and other distributors to take reasonable steps to identify and reject indications of interest in the placing tranche from investors that received shares in the public offer tranche or multiple applications within the public</w:t>
      </w:r>
      <w:r w:rsidR="009E06A4">
        <w:rPr>
          <w:rFonts w:ascii="Arial" w:hAnsi="Arial" w:cs="Arial"/>
          <w:color w:val="000000" w:themeColor="text1"/>
          <w:sz w:val="20"/>
          <w:szCs w:val="20"/>
        </w:rPr>
        <w:t xml:space="preserve"> </w:t>
      </w:r>
      <w:r w:rsidR="009E06A4" w:rsidRPr="009E06A4">
        <w:rPr>
          <w:rFonts w:ascii="Arial" w:hAnsi="Arial" w:cs="Arial"/>
          <w:color w:val="000000" w:themeColor="text1"/>
          <w:sz w:val="20"/>
          <w:szCs w:val="20"/>
        </w:rPr>
        <w:t>tranche</w:t>
      </w:r>
      <w:r w:rsidR="00C034B5" w:rsidRPr="00C81AFD">
        <w:rPr>
          <w:rFonts w:ascii="Arial" w:hAnsi="Arial" w:cs="Arial"/>
          <w:color w:val="000000" w:themeColor="text1"/>
          <w:sz w:val="20"/>
          <w:szCs w:val="20"/>
        </w:rPr>
        <w:t>.</w:t>
      </w:r>
      <w:r w:rsidR="00C034B5" w:rsidRPr="00C81AFD">
        <w:rPr>
          <w:rFonts w:ascii="Arial" w:hAnsi="Arial" w:cs="Arial"/>
          <w:color w:val="000000" w:themeColor="text1"/>
          <w:sz w:val="20"/>
          <w:szCs w:val="20"/>
          <w:vertAlign w:val="superscript"/>
        </w:rPr>
        <w:footnoteReference w:id="6"/>
      </w:r>
      <w:r w:rsidRPr="00C81AFD">
        <w:rPr>
          <w:rFonts w:ascii="Arial" w:hAnsi="Arial" w:cs="Arial"/>
          <w:color w:val="000000" w:themeColor="text1"/>
          <w:sz w:val="20"/>
          <w:szCs w:val="20"/>
          <w:vertAlign w:val="superscript"/>
        </w:rPr>
        <w:t xml:space="preserve"> </w:t>
      </w:r>
    </w:p>
    <w:p w:rsidR="00CE3560" w:rsidRPr="00C81AFD" w:rsidRDefault="00C034B5" w:rsidP="00995340">
      <w:pPr>
        <w:jc w:val="both"/>
        <w:rPr>
          <w:rFonts w:ascii="Arial" w:hAnsi="Arial" w:cs="Arial"/>
          <w:color w:val="000000" w:themeColor="text1"/>
          <w:sz w:val="20"/>
          <w:szCs w:val="20"/>
        </w:rPr>
      </w:pPr>
      <w:r w:rsidRPr="00C81AFD">
        <w:rPr>
          <w:rFonts w:ascii="Arial" w:hAnsi="Arial" w:cs="Arial"/>
          <w:sz w:val="20"/>
          <w:szCs w:val="20"/>
        </w:rPr>
        <w:t>R</w:t>
      </w:r>
      <w:r w:rsidR="00CE3560" w:rsidRPr="00C81AFD">
        <w:rPr>
          <w:rFonts w:ascii="Arial" w:hAnsi="Arial" w:cs="Arial"/>
          <w:sz w:val="20"/>
          <w:szCs w:val="20"/>
        </w:rPr>
        <w:t>e-allocations from the placing tranche to the public offer tranche after share allocation for the public offer tranche will no longer be allowed under FINI</w:t>
      </w:r>
      <w:r w:rsidRPr="00C81AFD">
        <w:rPr>
          <w:rFonts w:ascii="Arial" w:hAnsi="Arial" w:cs="Arial"/>
          <w:sz w:val="20"/>
          <w:szCs w:val="20"/>
        </w:rPr>
        <w:t>. In view of this</w:t>
      </w:r>
      <w:r w:rsidR="00CE3560" w:rsidRPr="00C81AFD">
        <w:rPr>
          <w:rFonts w:ascii="Arial" w:hAnsi="Arial" w:cs="Arial"/>
          <w:sz w:val="20"/>
          <w:szCs w:val="20"/>
        </w:rPr>
        <w:t>, the</w:t>
      </w:r>
      <w:r w:rsidRPr="00C81AFD">
        <w:rPr>
          <w:rFonts w:ascii="Arial" w:hAnsi="Arial" w:cs="Arial"/>
          <w:sz w:val="20"/>
          <w:szCs w:val="20"/>
        </w:rPr>
        <w:t xml:space="preserve"> HKEX</w:t>
      </w:r>
      <w:r w:rsidR="00CE3560" w:rsidRPr="00C81AFD">
        <w:rPr>
          <w:rFonts w:ascii="Arial" w:hAnsi="Arial" w:cs="Arial"/>
          <w:sz w:val="20"/>
          <w:szCs w:val="20"/>
        </w:rPr>
        <w:t xml:space="preserve"> </w:t>
      </w:r>
      <w:r w:rsidRPr="00C81AFD">
        <w:rPr>
          <w:rFonts w:ascii="Arial" w:hAnsi="Arial" w:cs="Arial"/>
          <w:sz w:val="20"/>
          <w:szCs w:val="20"/>
        </w:rPr>
        <w:t xml:space="preserve">reminds the </w:t>
      </w:r>
      <w:r w:rsidR="00CE3560" w:rsidRPr="00C81AFD">
        <w:rPr>
          <w:rFonts w:ascii="Arial" w:hAnsi="Arial" w:cs="Arial"/>
          <w:sz w:val="20"/>
          <w:szCs w:val="20"/>
        </w:rPr>
        <w:t xml:space="preserve">market </w:t>
      </w:r>
      <w:r w:rsidRPr="00C81AFD">
        <w:rPr>
          <w:rFonts w:ascii="Arial" w:hAnsi="Arial" w:cs="Arial"/>
          <w:sz w:val="20"/>
          <w:szCs w:val="20"/>
        </w:rPr>
        <w:t xml:space="preserve">that it will be necessary to make </w:t>
      </w:r>
      <w:r w:rsidR="00CE3560" w:rsidRPr="00C81AFD">
        <w:rPr>
          <w:rFonts w:ascii="Arial" w:hAnsi="Arial" w:cs="Arial"/>
          <w:sz w:val="20"/>
          <w:szCs w:val="20"/>
        </w:rPr>
        <w:t>advance applications for consent or grant of waiver for</w:t>
      </w:r>
      <w:r w:rsidRPr="00C81AFD">
        <w:rPr>
          <w:rFonts w:ascii="Arial" w:hAnsi="Arial" w:cs="Arial"/>
          <w:sz w:val="20"/>
          <w:szCs w:val="20"/>
        </w:rPr>
        <w:t xml:space="preserve"> placings to connected clients</w:t>
      </w:r>
      <w:r w:rsidRPr="00C81AFD">
        <w:rPr>
          <w:rStyle w:val="a9"/>
          <w:rFonts w:ascii="Arial" w:hAnsi="Arial" w:cs="Arial"/>
          <w:sz w:val="20"/>
          <w:szCs w:val="20"/>
        </w:rPr>
        <w:footnoteReference w:id="7"/>
      </w:r>
      <w:r w:rsidR="00CE3560" w:rsidRPr="00C81AFD">
        <w:rPr>
          <w:rFonts w:ascii="Arial" w:hAnsi="Arial" w:cs="Arial"/>
          <w:sz w:val="20"/>
          <w:szCs w:val="20"/>
        </w:rPr>
        <w:t xml:space="preserve"> or existing shareholders of an issuer or their close associates to avoid any delay or termination of the </w:t>
      </w:r>
      <w:r w:rsidR="0082558C" w:rsidRPr="00C81AFD">
        <w:rPr>
          <w:rFonts w:ascii="Arial" w:hAnsi="Arial" w:cs="Arial"/>
          <w:sz w:val="20"/>
          <w:szCs w:val="20"/>
        </w:rPr>
        <w:t xml:space="preserve">listing due to </w:t>
      </w:r>
      <w:r w:rsidR="00CE3560" w:rsidRPr="00C81AFD">
        <w:rPr>
          <w:rFonts w:ascii="Arial" w:hAnsi="Arial" w:cs="Arial"/>
          <w:sz w:val="20"/>
          <w:szCs w:val="20"/>
        </w:rPr>
        <w:t xml:space="preserve">an undersubscription in the placing tranche in the event that </w:t>
      </w:r>
      <w:r w:rsidR="0082558C" w:rsidRPr="00C81AFD">
        <w:rPr>
          <w:rFonts w:ascii="Arial" w:hAnsi="Arial" w:cs="Arial"/>
          <w:sz w:val="20"/>
          <w:szCs w:val="20"/>
        </w:rPr>
        <w:t>a proposed placing to a</w:t>
      </w:r>
      <w:r w:rsidR="00CE3560" w:rsidRPr="00C81AFD">
        <w:rPr>
          <w:rFonts w:ascii="Arial" w:hAnsi="Arial" w:cs="Arial"/>
          <w:sz w:val="20"/>
          <w:szCs w:val="20"/>
        </w:rPr>
        <w:t xml:space="preserve"> connected client is not approved.</w:t>
      </w:r>
    </w:p>
    <w:p w:rsidR="00CE0A42" w:rsidRPr="005C553F" w:rsidRDefault="00CE0A42" w:rsidP="00995340">
      <w:pPr>
        <w:jc w:val="both"/>
        <w:rPr>
          <w:rFonts w:ascii="Arial" w:hAnsi="Arial" w:cs="Arial"/>
          <w:color w:val="FF0000"/>
          <w:sz w:val="20"/>
          <w:szCs w:val="20"/>
        </w:rPr>
      </w:pPr>
      <w:r w:rsidRPr="005C553F">
        <w:rPr>
          <w:rFonts w:ascii="Arial" w:hAnsi="Arial" w:cs="Arial"/>
          <w:color w:val="FF0000"/>
          <w:sz w:val="20"/>
          <w:szCs w:val="20"/>
        </w:rPr>
        <w:t>Forms and Documents on FINI</w:t>
      </w:r>
    </w:p>
    <w:p w:rsidR="00CE0A42" w:rsidRPr="00CA6876" w:rsidRDefault="00CE0A42" w:rsidP="00995340">
      <w:pPr>
        <w:jc w:val="both"/>
        <w:rPr>
          <w:rFonts w:ascii="Arial" w:hAnsi="Arial" w:cs="Arial"/>
          <w:b/>
          <w:color w:val="000000" w:themeColor="text1"/>
          <w:sz w:val="20"/>
          <w:szCs w:val="20"/>
        </w:rPr>
      </w:pPr>
      <w:r w:rsidRPr="00CA6876">
        <w:rPr>
          <w:rFonts w:ascii="Arial" w:hAnsi="Arial" w:cs="Arial"/>
          <w:b/>
          <w:color w:val="000000" w:themeColor="text1"/>
          <w:sz w:val="20"/>
          <w:szCs w:val="20"/>
        </w:rPr>
        <w:t xml:space="preserve">Electronic </w:t>
      </w:r>
      <w:r w:rsidR="008A2FDD">
        <w:rPr>
          <w:rFonts w:ascii="Arial" w:hAnsi="Arial" w:cs="Arial"/>
          <w:b/>
          <w:color w:val="000000" w:themeColor="text1"/>
          <w:sz w:val="20"/>
          <w:szCs w:val="20"/>
        </w:rPr>
        <w:t>Submission of Documents</w:t>
      </w:r>
    </w:p>
    <w:p w:rsidR="00CE0A42" w:rsidRPr="005C553F" w:rsidRDefault="00D821F3" w:rsidP="00995340">
      <w:pPr>
        <w:jc w:val="both"/>
        <w:rPr>
          <w:rFonts w:ascii="Arial" w:hAnsi="Arial" w:cs="Arial"/>
          <w:sz w:val="20"/>
          <w:szCs w:val="20"/>
        </w:rPr>
      </w:pPr>
      <w:r w:rsidRPr="005C553F">
        <w:rPr>
          <w:rFonts w:ascii="Arial" w:hAnsi="Arial" w:cs="Arial"/>
          <w:sz w:val="20"/>
          <w:szCs w:val="20"/>
        </w:rPr>
        <w:t>To</w:t>
      </w:r>
      <w:r w:rsidR="00CE0A42" w:rsidRPr="005C553F">
        <w:rPr>
          <w:rFonts w:ascii="Arial" w:hAnsi="Arial" w:cs="Arial"/>
          <w:sz w:val="20"/>
          <w:szCs w:val="20"/>
        </w:rPr>
        <w:t xml:space="preserve"> </w:t>
      </w:r>
      <w:r w:rsidRPr="005C553F">
        <w:rPr>
          <w:rFonts w:ascii="Arial" w:hAnsi="Arial" w:cs="Arial"/>
          <w:sz w:val="20"/>
          <w:szCs w:val="20"/>
        </w:rPr>
        <w:t>comply</w:t>
      </w:r>
      <w:r w:rsidR="00CE0A42" w:rsidRPr="005C553F">
        <w:rPr>
          <w:rFonts w:ascii="Arial" w:hAnsi="Arial" w:cs="Arial"/>
          <w:sz w:val="20"/>
          <w:szCs w:val="20"/>
        </w:rPr>
        <w:t xml:space="preserve"> with the requirements of the Electronic</w:t>
      </w:r>
      <w:r w:rsidR="00C81AFD">
        <w:rPr>
          <w:rFonts w:ascii="Arial" w:hAnsi="Arial" w:cs="Arial"/>
          <w:sz w:val="20"/>
          <w:szCs w:val="20"/>
        </w:rPr>
        <w:t xml:space="preserve"> Transactions Ordinance (Cap.</w:t>
      </w:r>
      <w:r w:rsidR="00CE0A42" w:rsidRPr="005C553F">
        <w:rPr>
          <w:rFonts w:ascii="Arial" w:hAnsi="Arial" w:cs="Arial"/>
          <w:sz w:val="20"/>
          <w:szCs w:val="20"/>
        </w:rPr>
        <w:t xml:space="preserve"> 553 of the laws of Hong Kong) regarding electronic signatures and submissions on FINI, the </w:t>
      </w:r>
      <w:r w:rsidR="00C81AFD">
        <w:rPr>
          <w:rFonts w:ascii="Arial" w:hAnsi="Arial" w:cs="Arial"/>
          <w:sz w:val="20"/>
          <w:szCs w:val="20"/>
        </w:rPr>
        <w:t xml:space="preserve">HKEX </w:t>
      </w:r>
      <w:r w:rsidR="00CE0A42" w:rsidRPr="005C553F">
        <w:rPr>
          <w:rFonts w:ascii="Arial" w:hAnsi="Arial" w:cs="Arial"/>
          <w:sz w:val="20"/>
          <w:szCs w:val="20"/>
        </w:rPr>
        <w:t>Listing Rules will be amended to state that</w:t>
      </w:r>
      <w:r w:rsidR="00376A68" w:rsidRPr="005C553F">
        <w:rPr>
          <w:rFonts w:ascii="Arial" w:hAnsi="Arial" w:cs="Arial"/>
          <w:sz w:val="20"/>
          <w:szCs w:val="20"/>
        </w:rPr>
        <w:t xml:space="preserve"> where documents or information are required to be submitted electronically under</w:t>
      </w:r>
      <w:r w:rsidR="00C81AFD">
        <w:rPr>
          <w:rFonts w:ascii="Arial" w:hAnsi="Arial" w:cs="Arial"/>
          <w:sz w:val="20"/>
          <w:szCs w:val="20"/>
        </w:rPr>
        <w:t xml:space="preserve"> the</w:t>
      </w:r>
      <w:r w:rsidR="00376A68" w:rsidRPr="005C553F">
        <w:rPr>
          <w:rFonts w:ascii="Arial" w:hAnsi="Arial" w:cs="Arial"/>
          <w:sz w:val="20"/>
          <w:szCs w:val="20"/>
        </w:rPr>
        <w:t xml:space="preserve"> Listing Rule</w:t>
      </w:r>
      <w:r w:rsidR="00F9493F" w:rsidRPr="005C553F">
        <w:rPr>
          <w:rFonts w:ascii="Arial" w:hAnsi="Arial" w:cs="Arial"/>
          <w:sz w:val="20"/>
          <w:szCs w:val="20"/>
        </w:rPr>
        <w:t>s</w:t>
      </w:r>
      <w:r w:rsidR="00376A68" w:rsidRPr="005C553F">
        <w:rPr>
          <w:rFonts w:ascii="Arial" w:hAnsi="Arial" w:cs="Arial"/>
          <w:sz w:val="20"/>
          <w:szCs w:val="20"/>
        </w:rPr>
        <w:t>,</w:t>
      </w:r>
      <w:r w:rsidR="00CE0A42" w:rsidRPr="005C553F">
        <w:rPr>
          <w:rFonts w:ascii="Arial" w:hAnsi="Arial" w:cs="Arial"/>
          <w:sz w:val="20"/>
          <w:szCs w:val="20"/>
        </w:rPr>
        <w:t xml:space="preserve"> the HKEX consents to </w:t>
      </w:r>
      <w:r w:rsidR="00376A68" w:rsidRPr="005C553F">
        <w:rPr>
          <w:rFonts w:ascii="Arial" w:hAnsi="Arial" w:cs="Arial"/>
          <w:sz w:val="20"/>
          <w:szCs w:val="20"/>
        </w:rPr>
        <w:t>receive</w:t>
      </w:r>
      <w:r w:rsidR="00CE0A42" w:rsidRPr="005C553F">
        <w:rPr>
          <w:rFonts w:ascii="Arial" w:hAnsi="Arial" w:cs="Arial"/>
          <w:sz w:val="20"/>
          <w:szCs w:val="20"/>
        </w:rPr>
        <w:t xml:space="preserve"> </w:t>
      </w:r>
      <w:r w:rsidR="00376A68" w:rsidRPr="005C553F">
        <w:rPr>
          <w:rFonts w:ascii="Arial" w:hAnsi="Arial" w:cs="Arial"/>
          <w:sz w:val="20"/>
          <w:szCs w:val="20"/>
        </w:rPr>
        <w:t>such</w:t>
      </w:r>
      <w:r w:rsidR="00CE0A42" w:rsidRPr="005C553F">
        <w:rPr>
          <w:rFonts w:ascii="Arial" w:hAnsi="Arial" w:cs="Arial"/>
          <w:sz w:val="20"/>
          <w:szCs w:val="20"/>
        </w:rPr>
        <w:t xml:space="preserve"> documents or information in the form of electronic record.</w:t>
      </w:r>
      <w:r w:rsidR="00F9493F" w:rsidRPr="005C553F">
        <w:rPr>
          <w:rStyle w:val="a9"/>
          <w:rFonts w:ascii="Arial" w:hAnsi="Arial" w:cs="Arial"/>
          <w:sz w:val="20"/>
          <w:szCs w:val="20"/>
        </w:rPr>
        <w:footnoteReference w:id="8"/>
      </w:r>
      <w:r w:rsidR="00CE0A42" w:rsidRPr="005C553F">
        <w:rPr>
          <w:rFonts w:ascii="Arial" w:hAnsi="Arial" w:cs="Arial"/>
          <w:sz w:val="20"/>
          <w:szCs w:val="20"/>
        </w:rPr>
        <w:t xml:space="preserve"> </w:t>
      </w:r>
    </w:p>
    <w:p w:rsidR="00CE0A42" w:rsidRPr="005C553F" w:rsidRDefault="00CE0A42" w:rsidP="00995340">
      <w:pPr>
        <w:jc w:val="both"/>
        <w:rPr>
          <w:rFonts w:ascii="Arial" w:hAnsi="Arial" w:cs="Arial"/>
          <w:sz w:val="20"/>
          <w:szCs w:val="20"/>
        </w:rPr>
      </w:pPr>
      <w:r w:rsidRPr="005C553F">
        <w:rPr>
          <w:rFonts w:ascii="Arial" w:hAnsi="Arial" w:cs="Arial"/>
          <w:sz w:val="20"/>
          <w:szCs w:val="20"/>
        </w:rPr>
        <w:t>Where the submission is made by electronic means, the submitter will be deemed to have represented and warranted to the HKEX that the submission is not prohibited from being made to the HKEX and / or the Securities and Futures Commission (</w:t>
      </w:r>
      <w:r w:rsidRPr="005C553F">
        <w:rPr>
          <w:rFonts w:ascii="Arial" w:hAnsi="Arial" w:cs="Arial"/>
          <w:b/>
          <w:sz w:val="20"/>
          <w:szCs w:val="20"/>
        </w:rPr>
        <w:t>SFC</w:t>
      </w:r>
      <w:r w:rsidRPr="005C553F">
        <w:rPr>
          <w:rFonts w:ascii="Arial" w:hAnsi="Arial" w:cs="Arial"/>
          <w:sz w:val="20"/>
          <w:szCs w:val="20"/>
        </w:rPr>
        <w:t>) by electronic means under all applicable laws and regulations of the place of incorporation, or the constitutional documents, of the person on behalf of which the submission is made.</w:t>
      </w:r>
      <w:r w:rsidR="004F7F11" w:rsidRPr="005C553F">
        <w:rPr>
          <w:rFonts w:ascii="Arial" w:hAnsi="Arial" w:cs="Arial"/>
          <w:sz w:val="20"/>
          <w:szCs w:val="20"/>
        </w:rPr>
        <w:t xml:space="preserve"> </w:t>
      </w:r>
      <w:r w:rsidR="00607EC2" w:rsidRPr="005C553F">
        <w:rPr>
          <w:rFonts w:ascii="Arial" w:hAnsi="Arial" w:cs="Arial"/>
          <w:sz w:val="20"/>
          <w:szCs w:val="20"/>
        </w:rPr>
        <w:t>Further</w:t>
      </w:r>
      <w:r w:rsidR="004F7F11" w:rsidRPr="005C553F">
        <w:rPr>
          <w:rFonts w:ascii="Arial" w:hAnsi="Arial" w:cs="Arial"/>
          <w:sz w:val="20"/>
          <w:szCs w:val="20"/>
        </w:rPr>
        <w:t xml:space="preserve">, </w:t>
      </w:r>
      <w:r w:rsidR="00607EC2" w:rsidRPr="005C553F">
        <w:rPr>
          <w:rFonts w:ascii="Arial" w:hAnsi="Arial" w:cs="Arial"/>
          <w:sz w:val="20"/>
          <w:szCs w:val="20"/>
        </w:rPr>
        <w:t xml:space="preserve">as a general rule, </w:t>
      </w:r>
      <w:r w:rsidR="004F7F11" w:rsidRPr="005C553F">
        <w:rPr>
          <w:rFonts w:ascii="Arial" w:hAnsi="Arial" w:cs="Arial"/>
          <w:sz w:val="20"/>
          <w:szCs w:val="20"/>
        </w:rPr>
        <w:t>the submitter</w:t>
      </w:r>
      <w:r w:rsidR="00607EC2" w:rsidRPr="005C553F">
        <w:rPr>
          <w:rFonts w:ascii="Arial" w:hAnsi="Arial" w:cs="Arial"/>
          <w:sz w:val="20"/>
          <w:szCs w:val="20"/>
        </w:rPr>
        <w:t xml:space="preserve"> </w:t>
      </w:r>
      <w:r w:rsidR="004F7F11" w:rsidRPr="005C553F">
        <w:rPr>
          <w:rFonts w:ascii="Arial" w:hAnsi="Arial" w:cs="Arial"/>
          <w:sz w:val="20"/>
          <w:szCs w:val="20"/>
        </w:rPr>
        <w:t>will be deemed</w:t>
      </w:r>
      <w:r w:rsidR="003B47CE" w:rsidRPr="005C553F">
        <w:rPr>
          <w:rFonts w:ascii="Arial" w:hAnsi="Arial" w:cs="Arial"/>
          <w:sz w:val="20"/>
          <w:szCs w:val="20"/>
        </w:rPr>
        <w:t xml:space="preserve"> </w:t>
      </w:r>
      <w:r w:rsidR="004F7F11" w:rsidRPr="005C553F">
        <w:rPr>
          <w:rFonts w:ascii="Arial" w:hAnsi="Arial" w:cs="Arial"/>
          <w:sz w:val="20"/>
          <w:szCs w:val="20"/>
        </w:rPr>
        <w:t xml:space="preserve">to have represented and warranted to the HKEX that the submission has been duly authorized </w:t>
      </w:r>
      <w:r w:rsidR="00AD1EFA" w:rsidRPr="005C553F">
        <w:rPr>
          <w:rFonts w:ascii="Arial" w:hAnsi="Arial" w:cs="Arial"/>
          <w:sz w:val="20"/>
          <w:szCs w:val="20"/>
        </w:rPr>
        <w:t>and</w:t>
      </w:r>
      <w:r w:rsidR="004F7F11" w:rsidRPr="005C553F">
        <w:rPr>
          <w:rFonts w:ascii="Arial" w:hAnsi="Arial" w:cs="Arial"/>
          <w:sz w:val="20"/>
          <w:szCs w:val="20"/>
        </w:rPr>
        <w:t xml:space="preserve"> duly and validly executed</w:t>
      </w:r>
      <w:r w:rsidR="00607EC2" w:rsidRPr="005C553F">
        <w:rPr>
          <w:rFonts w:ascii="Arial" w:hAnsi="Arial" w:cs="Arial"/>
          <w:sz w:val="20"/>
          <w:szCs w:val="20"/>
        </w:rPr>
        <w:t xml:space="preserve"> by making a submission under</w:t>
      </w:r>
      <w:r w:rsidR="009E06A4">
        <w:rPr>
          <w:rFonts w:ascii="Arial" w:hAnsi="Arial" w:cs="Arial"/>
          <w:sz w:val="20"/>
          <w:szCs w:val="20"/>
        </w:rPr>
        <w:t xml:space="preserve"> the</w:t>
      </w:r>
      <w:r w:rsidR="00607EC2" w:rsidRPr="005C553F">
        <w:rPr>
          <w:rFonts w:ascii="Arial" w:hAnsi="Arial" w:cs="Arial"/>
          <w:sz w:val="20"/>
          <w:szCs w:val="20"/>
        </w:rPr>
        <w:t xml:space="preserve"> Listing Rules</w:t>
      </w:r>
      <w:r w:rsidR="004F7F11" w:rsidRPr="005C553F">
        <w:rPr>
          <w:rFonts w:ascii="Arial" w:hAnsi="Arial" w:cs="Arial"/>
          <w:sz w:val="20"/>
          <w:szCs w:val="20"/>
        </w:rPr>
        <w:t>.</w:t>
      </w:r>
      <w:r w:rsidR="002C53FA" w:rsidRPr="005C553F">
        <w:rPr>
          <w:rStyle w:val="a9"/>
          <w:rFonts w:ascii="Arial" w:hAnsi="Arial" w:cs="Arial"/>
          <w:sz w:val="20"/>
          <w:szCs w:val="20"/>
        </w:rPr>
        <w:footnoteReference w:id="9"/>
      </w:r>
      <w:r w:rsidR="004F7F11" w:rsidRPr="005C553F">
        <w:rPr>
          <w:rFonts w:ascii="Arial" w:hAnsi="Arial" w:cs="Arial"/>
          <w:sz w:val="20"/>
          <w:szCs w:val="20"/>
        </w:rPr>
        <w:t xml:space="preserve"> </w:t>
      </w:r>
    </w:p>
    <w:p w:rsidR="00CE0A42" w:rsidRPr="00CA6876" w:rsidRDefault="00CE0A42" w:rsidP="00995340">
      <w:pPr>
        <w:jc w:val="both"/>
        <w:rPr>
          <w:rFonts w:ascii="Arial" w:hAnsi="Arial" w:cs="Arial"/>
          <w:b/>
          <w:color w:val="000000" w:themeColor="text1"/>
          <w:sz w:val="20"/>
          <w:szCs w:val="20"/>
        </w:rPr>
      </w:pPr>
      <w:r w:rsidRPr="00CA6876">
        <w:rPr>
          <w:rFonts w:ascii="Arial" w:hAnsi="Arial" w:cs="Arial"/>
          <w:b/>
          <w:color w:val="000000" w:themeColor="text1"/>
          <w:sz w:val="20"/>
          <w:szCs w:val="20"/>
        </w:rPr>
        <w:t xml:space="preserve">Documentary Requirements for New Listing Applications </w:t>
      </w:r>
    </w:p>
    <w:p w:rsidR="00CE0A42" w:rsidRPr="005C553F" w:rsidRDefault="00CE0A42"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The Rule Amendments introduce new requirements for the submission of</w:t>
      </w:r>
      <w:r w:rsidR="00AD1EFA" w:rsidRPr="005C553F">
        <w:rPr>
          <w:rFonts w:ascii="Arial" w:hAnsi="Arial" w:cs="Arial"/>
          <w:color w:val="000000" w:themeColor="text1"/>
          <w:sz w:val="20"/>
          <w:szCs w:val="20"/>
        </w:rPr>
        <w:t xml:space="preserve"> </w:t>
      </w:r>
      <w:r w:rsidR="003B47CE" w:rsidRPr="005C553F">
        <w:rPr>
          <w:rFonts w:ascii="Arial" w:hAnsi="Arial" w:cs="Arial"/>
          <w:color w:val="000000" w:themeColor="text1"/>
          <w:sz w:val="20"/>
          <w:szCs w:val="20"/>
        </w:rPr>
        <w:t xml:space="preserve">listing </w:t>
      </w:r>
      <w:r w:rsidRPr="005C553F">
        <w:rPr>
          <w:rFonts w:ascii="Arial" w:hAnsi="Arial" w:cs="Arial"/>
          <w:color w:val="000000" w:themeColor="text1"/>
          <w:sz w:val="20"/>
          <w:szCs w:val="20"/>
        </w:rPr>
        <w:t>application documents. Specifically:</w:t>
      </w:r>
    </w:p>
    <w:p w:rsidR="00CE0A42" w:rsidRDefault="00C25303" w:rsidP="00995340">
      <w:pPr>
        <w:pStyle w:val="a6"/>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t>t</w:t>
      </w:r>
      <w:r w:rsidR="0098502F" w:rsidRPr="005C553F">
        <w:rPr>
          <w:rFonts w:ascii="Arial" w:hAnsi="Arial" w:cs="Arial"/>
          <w:color w:val="000000" w:themeColor="text1"/>
          <w:sz w:val="20"/>
          <w:szCs w:val="20"/>
        </w:rPr>
        <w:t>he</w:t>
      </w:r>
      <w:r w:rsidR="00C81AFD">
        <w:rPr>
          <w:rFonts w:ascii="Arial" w:hAnsi="Arial" w:cs="Arial"/>
          <w:color w:val="000000" w:themeColor="text1"/>
          <w:sz w:val="20"/>
          <w:szCs w:val="20"/>
        </w:rPr>
        <w:t xml:space="preserve"> new l</w:t>
      </w:r>
      <w:r w:rsidR="00CE0A42" w:rsidRPr="005C553F">
        <w:rPr>
          <w:rFonts w:ascii="Arial" w:hAnsi="Arial" w:cs="Arial"/>
          <w:color w:val="000000" w:themeColor="text1"/>
          <w:sz w:val="20"/>
          <w:szCs w:val="20"/>
        </w:rPr>
        <w:t xml:space="preserve">isting initiation e-form </w:t>
      </w:r>
      <w:r w:rsidR="0098502F" w:rsidRPr="005C553F">
        <w:rPr>
          <w:rFonts w:ascii="Arial" w:hAnsi="Arial" w:cs="Arial"/>
          <w:color w:val="000000" w:themeColor="text1"/>
          <w:sz w:val="20"/>
          <w:szCs w:val="20"/>
        </w:rPr>
        <w:t xml:space="preserve">must be duly completed and submitted by the sponsor </w:t>
      </w:r>
      <w:r w:rsidR="00CE0A42" w:rsidRPr="005C553F">
        <w:rPr>
          <w:rFonts w:ascii="Arial" w:hAnsi="Arial" w:cs="Arial"/>
          <w:color w:val="000000" w:themeColor="text1"/>
          <w:sz w:val="20"/>
          <w:szCs w:val="20"/>
        </w:rPr>
        <w:t>on FINI as soon as pract</w:t>
      </w:r>
      <w:r>
        <w:rPr>
          <w:rFonts w:ascii="Arial" w:hAnsi="Arial" w:cs="Arial"/>
          <w:color w:val="000000" w:themeColor="text1"/>
          <w:sz w:val="20"/>
          <w:szCs w:val="20"/>
        </w:rPr>
        <w:t xml:space="preserve">icable after the </w:t>
      </w:r>
      <w:r w:rsidR="00CE0A42" w:rsidRPr="005C553F">
        <w:rPr>
          <w:rFonts w:ascii="Arial" w:hAnsi="Arial" w:cs="Arial"/>
          <w:color w:val="000000" w:themeColor="text1"/>
          <w:sz w:val="20"/>
          <w:szCs w:val="20"/>
        </w:rPr>
        <w:t>Listing Committee</w:t>
      </w:r>
      <w:r>
        <w:rPr>
          <w:rFonts w:ascii="Arial" w:hAnsi="Arial" w:cs="Arial"/>
          <w:color w:val="000000" w:themeColor="text1"/>
          <w:sz w:val="20"/>
          <w:szCs w:val="20"/>
        </w:rPr>
        <w:t xml:space="preserve"> hearing, and no later than </w:t>
      </w:r>
      <w:r w:rsidR="00CE0A42" w:rsidRPr="005C553F">
        <w:rPr>
          <w:rFonts w:ascii="Arial" w:hAnsi="Arial" w:cs="Arial"/>
          <w:color w:val="000000" w:themeColor="text1"/>
          <w:sz w:val="20"/>
          <w:szCs w:val="20"/>
        </w:rPr>
        <w:t>the listing document</w:t>
      </w:r>
      <w:r>
        <w:rPr>
          <w:rFonts w:ascii="Arial" w:hAnsi="Arial" w:cs="Arial"/>
          <w:color w:val="000000" w:themeColor="text1"/>
          <w:sz w:val="20"/>
          <w:szCs w:val="20"/>
        </w:rPr>
        <w:t>’s issue date</w:t>
      </w:r>
      <w:r w:rsidR="00CE0A42" w:rsidRPr="005C553F">
        <w:rPr>
          <w:rFonts w:ascii="Arial" w:hAnsi="Arial" w:cs="Arial"/>
          <w:color w:val="000000" w:themeColor="text1"/>
          <w:sz w:val="20"/>
          <w:szCs w:val="20"/>
        </w:rPr>
        <w:t>;</w:t>
      </w:r>
      <w:r w:rsidR="0056179C" w:rsidRPr="005C553F">
        <w:rPr>
          <w:rStyle w:val="a9"/>
          <w:rFonts w:ascii="Arial" w:hAnsi="Arial" w:cs="Arial"/>
          <w:color w:val="000000" w:themeColor="text1"/>
          <w:sz w:val="20"/>
          <w:szCs w:val="20"/>
        </w:rPr>
        <w:footnoteReference w:id="10"/>
      </w:r>
    </w:p>
    <w:p w:rsidR="00C81AFD" w:rsidRPr="005C553F" w:rsidRDefault="00C81AFD" w:rsidP="00C81AFD">
      <w:pPr>
        <w:pStyle w:val="a6"/>
        <w:jc w:val="both"/>
        <w:rPr>
          <w:rFonts w:ascii="Arial" w:hAnsi="Arial" w:cs="Arial"/>
          <w:color w:val="000000" w:themeColor="text1"/>
          <w:sz w:val="20"/>
          <w:szCs w:val="20"/>
        </w:rPr>
      </w:pPr>
    </w:p>
    <w:p w:rsidR="00CE0A42" w:rsidRDefault="00C25303" w:rsidP="00995340">
      <w:pPr>
        <w:pStyle w:val="a6"/>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t>t</w:t>
      </w:r>
      <w:r w:rsidR="0098502F" w:rsidRPr="005C553F">
        <w:rPr>
          <w:rFonts w:ascii="Arial" w:hAnsi="Arial" w:cs="Arial"/>
          <w:color w:val="000000" w:themeColor="text1"/>
          <w:sz w:val="20"/>
          <w:szCs w:val="20"/>
        </w:rPr>
        <w:t>he</w:t>
      </w:r>
      <w:r w:rsidR="00CE0A42" w:rsidRPr="005C553F">
        <w:rPr>
          <w:rFonts w:ascii="Arial" w:hAnsi="Arial" w:cs="Arial"/>
          <w:color w:val="000000" w:themeColor="text1"/>
          <w:sz w:val="20"/>
          <w:szCs w:val="20"/>
        </w:rPr>
        <w:t xml:space="preserve"> allotment results announcement e-form </w:t>
      </w:r>
      <w:r w:rsidR="0098502F" w:rsidRPr="005C553F">
        <w:rPr>
          <w:rFonts w:ascii="Arial" w:hAnsi="Arial" w:cs="Arial"/>
          <w:color w:val="000000" w:themeColor="text1"/>
          <w:sz w:val="20"/>
          <w:szCs w:val="20"/>
        </w:rPr>
        <w:t xml:space="preserve">must be duly completed and submitted by the sponsor </w:t>
      </w:r>
      <w:r w:rsidR="00CE0A42" w:rsidRPr="005C553F">
        <w:rPr>
          <w:rFonts w:ascii="Arial" w:hAnsi="Arial" w:cs="Arial"/>
          <w:color w:val="000000" w:themeColor="text1"/>
          <w:sz w:val="20"/>
          <w:szCs w:val="20"/>
        </w:rPr>
        <w:t>on FINI as soon as practicable after the issue of the listing document, but before dealings commence;</w:t>
      </w:r>
      <w:r w:rsidR="00B07A71" w:rsidRPr="005C553F">
        <w:rPr>
          <w:rStyle w:val="a9"/>
          <w:rFonts w:ascii="Arial" w:hAnsi="Arial" w:cs="Arial"/>
          <w:color w:val="000000" w:themeColor="text1"/>
          <w:sz w:val="20"/>
          <w:szCs w:val="20"/>
        </w:rPr>
        <w:footnoteReference w:id="11"/>
      </w:r>
      <w:r w:rsidR="00CE0A42" w:rsidRPr="005C553F">
        <w:rPr>
          <w:rFonts w:ascii="Arial" w:hAnsi="Arial" w:cs="Arial"/>
          <w:color w:val="000000" w:themeColor="text1"/>
          <w:sz w:val="20"/>
          <w:szCs w:val="20"/>
        </w:rPr>
        <w:t xml:space="preserve"> and </w:t>
      </w:r>
    </w:p>
    <w:p w:rsidR="00C81AFD" w:rsidRPr="005C553F" w:rsidRDefault="00C81AFD" w:rsidP="00C81AFD">
      <w:pPr>
        <w:pStyle w:val="a6"/>
        <w:jc w:val="both"/>
        <w:rPr>
          <w:rFonts w:ascii="Arial" w:hAnsi="Arial" w:cs="Arial"/>
          <w:color w:val="000000" w:themeColor="text1"/>
          <w:sz w:val="20"/>
          <w:szCs w:val="20"/>
        </w:rPr>
      </w:pPr>
    </w:p>
    <w:p w:rsidR="00CE0A42" w:rsidRPr="005C553F" w:rsidRDefault="009E06A4" w:rsidP="00C620B5">
      <w:pPr>
        <w:pStyle w:val="a6"/>
        <w:numPr>
          <w:ilvl w:val="0"/>
          <w:numId w:val="3"/>
        </w:numPr>
        <w:jc w:val="both"/>
        <w:rPr>
          <w:rFonts w:ascii="Arial" w:hAnsi="Arial" w:cs="Arial"/>
          <w:color w:val="000000" w:themeColor="text1"/>
          <w:sz w:val="20"/>
          <w:szCs w:val="20"/>
        </w:rPr>
      </w:pPr>
      <w:r>
        <w:rPr>
          <w:rFonts w:ascii="Arial" w:hAnsi="Arial" w:cs="Arial"/>
          <w:color w:val="000000" w:themeColor="text1"/>
          <w:sz w:val="20"/>
          <w:szCs w:val="20"/>
        </w:rPr>
        <w:lastRenderedPageBreak/>
        <w:t>t</w:t>
      </w:r>
      <w:r w:rsidR="0098502F" w:rsidRPr="005C553F">
        <w:rPr>
          <w:rFonts w:ascii="Arial" w:hAnsi="Arial" w:cs="Arial"/>
          <w:color w:val="000000" w:themeColor="text1"/>
          <w:sz w:val="20"/>
          <w:szCs w:val="20"/>
        </w:rPr>
        <w:t>he</w:t>
      </w:r>
      <w:r w:rsidR="00CE0A42" w:rsidRPr="005C553F">
        <w:rPr>
          <w:rFonts w:ascii="Arial" w:hAnsi="Arial" w:cs="Arial"/>
          <w:color w:val="000000" w:themeColor="text1"/>
          <w:sz w:val="20"/>
          <w:szCs w:val="20"/>
        </w:rPr>
        <w:t xml:space="preserve"> </w:t>
      </w:r>
      <w:proofErr w:type="spellStart"/>
      <w:r w:rsidR="00CE0A42" w:rsidRPr="005C553F">
        <w:rPr>
          <w:rFonts w:ascii="Arial" w:hAnsi="Arial" w:cs="Arial"/>
          <w:color w:val="000000" w:themeColor="text1"/>
          <w:sz w:val="20"/>
          <w:szCs w:val="20"/>
        </w:rPr>
        <w:t>placee</w:t>
      </w:r>
      <w:proofErr w:type="spellEnd"/>
      <w:r w:rsidR="00CE0A42" w:rsidRPr="005C553F">
        <w:rPr>
          <w:rFonts w:ascii="Arial" w:hAnsi="Arial" w:cs="Arial"/>
          <w:color w:val="000000" w:themeColor="text1"/>
          <w:sz w:val="20"/>
          <w:szCs w:val="20"/>
        </w:rPr>
        <w:t xml:space="preserve"> lists</w:t>
      </w:r>
      <w:r w:rsidR="00964C7B">
        <w:rPr>
          <w:rFonts w:ascii="Arial" w:hAnsi="Arial" w:cs="Arial"/>
          <w:color w:val="000000" w:themeColor="text1"/>
          <w:sz w:val="20"/>
          <w:szCs w:val="20"/>
        </w:rPr>
        <w:t>,</w:t>
      </w:r>
      <w:r w:rsidR="00BB42E2" w:rsidRPr="005C553F">
        <w:rPr>
          <w:rStyle w:val="a9"/>
          <w:rFonts w:ascii="Arial" w:hAnsi="Arial" w:cs="Arial"/>
          <w:color w:val="000000" w:themeColor="text1"/>
          <w:sz w:val="20"/>
          <w:szCs w:val="20"/>
        </w:rPr>
        <w:footnoteReference w:id="12"/>
      </w:r>
      <w:r w:rsidR="00CE0A42" w:rsidRPr="005C553F">
        <w:rPr>
          <w:rFonts w:ascii="Arial" w:hAnsi="Arial" w:cs="Arial"/>
          <w:color w:val="000000" w:themeColor="text1"/>
          <w:sz w:val="20"/>
          <w:szCs w:val="20"/>
        </w:rPr>
        <w:t xml:space="preserve"> Marketing and Independence Statements</w:t>
      </w:r>
      <w:r w:rsidR="00C81AFD">
        <w:rPr>
          <w:rFonts w:ascii="Arial" w:hAnsi="Arial" w:cs="Arial"/>
          <w:color w:val="000000" w:themeColor="text1"/>
          <w:sz w:val="20"/>
          <w:szCs w:val="20"/>
        </w:rPr>
        <w:t>,</w:t>
      </w:r>
      <w:r w:rsidR="006B33AE" w:rsidRPr="005C553F">
        <w:rPr>
          <w:rStyle w:val="a9"/>
          <w:rFonts w:ascii="Arial" w:hAnsi="Arial" w:cs="Arial"/>
          <w:color w:val="000000" w:themeColor="text1"/>
          <w:sz w:val="20"/>
          <w:szCs w:val="20"/>
        </w:rPr>
        <w:footnoteReference w:id="13"/>
      </w:r>
      <w:r w:rsidR="00CE0A42" w:rsidRPr="005C553F">
        <w:rPr>
          <w:rFonts w:ascii="Arial" w:hAnsi="Arial" w:cs="Arial"/>
          <w:color w:val="000000" w:themeColor="text1"/>
          <w:sz w:val="20"/>
          <w:szCs w:val="20"/>
        </w:rPr>
        <w:t xml:space="preserve"> Sponsor</w:t>
      </w:r>
      <w:r w:rsidR="00B07A71" w:rsidRPr="005C553F">
        <w:rPr>
          <w:rFonts w:ascii="Arial" w:hAnsi="Arial" w:cs="Arial"/>
          <w:color w:val="000000" w:themeColor="text1"/>
          <w:sz w:val="20"/>
          <w:szCs w:val="20"/>
        </w:rPr>
        <w:t xml:space="preserve"> </w:t>
      </w:r>
      <w:r w:rsidR="00CE0A42" w:rsidRPr="005C553F">
        <w:rPr>
          <w:rFonts w:ascii="Arial" w:hAnsi="Arial" w:cs="Arial"/>
          <w:color w:val="000000" w:themeColor="text1"/>
          <w:sz w:val="20"/>
          <w:szCs w:val="20"/>
        </w:rPr>
        <w:t>/</w:t>
      </w:r>
      <w:r w:rsidR="00B07A71" w:rsidRPr="005C553F">
        <w:rPr>
          <w:rFonts w:ascii="Arial" w:hAnsi="Arial" w:cs="Arial"/>
          <w:color w:val="000000" w:themeColor="text1"/>
          <w:sz w:val="20"/>
          <w:szCs w:val="20"/>
        </w:rPr>
        <w:t xml:space="preserve"> </w:t>
      </w:r>
      <w:r w:rsidR="00CE0A42" w:rsidRPr="005C553F">
        <w:rPr>
          <w:rFonts w:ascii="Arial" w:hAnsi="Arial" w:cs="Arial"/>
          <w:color w:val="000000" w:themeColor="text1"/>
          <w:sz w:val="20"/>
          <w:szCs w:val="20"/>
        </w:rPr>
        <w:t>Overall Coordinator (</w:t>
      </w:r>
      <w:r w:rsidR="00CE0A42" w:rsidRPr="005C553F">
        <w:rPr>
          <w:rFonts w:ascii="Arial" w:hAnsi="Arial" w:cs="Arial"/>
          <w:b/>
          <w:color w:val="000000" w:themeColor="text1"/>
          <w:sz w:val="20"/>
          <w:szCs w:val="20"/>
        </w:rPr>
        <w:t>OC</w:t>
      </w:r>
      <w:r w:rsidR="00CE0A42" w:rsidRPr="005C553F">
        <w:rPr>
          <w:rFonts w:ascii="Arial" w:hAnsi="Arial" w:cs="Arial"/>
          <w:color w:val="000000" w:themeColor="text1"/>
          <w:sz w:val="20"/>
          <w:szCs w:val="20"/>
        </w:rPr>
        <w:t xml:space="preserve">) Declaration, and Issuer's Declaration signed by its secretary and a director </w:t>
      </w:r>
      <w:r w:rsidR="0098502F" w:rsidRPr="005C553F">
        <w:rPr>
          <w:rFonts w:ascii="Arial" w:hAnsi="Arial" w:cs="Arial"/>
          <w:color w:val="000000" w:themeColor="text1"/>
          <w:sz w:val="20"/>
          <w:szCs w:val="20"/>
        </w:rPr>
        <w:t xml:space="preserve">must be completed and submitted by relevant parties </w:t>
      </w:r>
      <w:r w:rsidR="00CE0A42" w:rsidRPr="005C553F">
        <w:rPr>
          <w:rFonts w:ascii="Arial" w:hAnsi="Arial" w:cs="Arial"/>
          <w:color w:val="000000" w:themeColor="text1"/>
          <w:sz w:val="20"/>
          <w:szCs w:val="20"/>
        </w:rPr>
        <w:t>on FINI</w:t>
      </w:r>
      <w:r w:rsidR="00B07A71" w:rsidRPr="005C553F">
        <w:rPr>
          <w:rFonts w:ascii="Arial" w:hAnsi="Arial" w:cs="Arial"/>
          <w:color w:val="000000" w:themeColor="text1"/>
          <w:sz w:val="20"/>
          <w:szCs w:val="20"/>
        </w:rPr>
        <w:t>.</w:t>
      </w:r>
      <w:r w:rsidR="00B07A71" w:rsidRPr="005C553F">
        <w:rPr>
          <w:rStyle w:val="a9"/>
          <w:rFonts w:ascii="Arial" w:hAnsi="Arial" w:cs="Arial"/>
          <w:color w:val="000000" w:themeColor="text1"/>
          <w:sz w:val="20"/>
          <w:szCs w:val="20"/>
        </w:rPr>
        <w:footnoteReference w:id="14"/>
      </w:r>
      <w:r w:rsidR="00C620B5" w:rsidRPr="005C553F">
        <w:rPr>
          <w:rFonts w:ascii="Arial" w:hAnsi="Arial" w:cs="Arial"/>
          <w:color w:val="000000" w:themeColor="text1"/>
          <w:sz w:val="20"/>
          <w:szCs w:val="20"/>
        </w:rPr>
        <w:t xml:space="preserve"> The templates of the Marketing and Independence Statement, Sponsor</w:t>
      </w:r>
      <w:r w:rsidR="00B07A71" w:rsidRPr="005C553F">
        <w:rPr>
          <w:rFonts w:ascii="Arial" w:hAnsi="Arial" w:cs="Arial"/>
          <w:color w:val="000000" w:themeColor="text1"/>
          <w:sz w:val="20"/>
          <w:szCs w:val="20"/>
        </w:rPr>
        <w:t xml:space="preserve"> </w:t>
      </w:r>
      <w:r w:rsidR="00C620B5" w:rsidRPr="005C553F">
        <w:rPr>
          <w:rFonts w:ascii="Arial" w:hAnsi="Arial" w:cs="Arial"/>
          <w:color w:val="000000" w:themeColor="text1"/>
          <w:sz w:val="20"/>
          <w:szCs w:val="20"/>
        </w:rPr>
        <w:t>/</w:t>
      </w:r>
      <w:r w:rsidR="00B07A71" w:rsidRPr="005C553F">
        <w:rPr>
          <w:rFonts w:ascii="Arial" w:hAnsi="Arial" w:cs="Arial"/>
          <w:color w:val="000000" w:themeColor="text1"/>
          <w:sz w:val="20"/>
          <w:szCs w:val="20"/>
        </w:rPr>
        <w:t xml:space="preserve"> </w:t>
      </w:r>
      <w:r w:rsidR="00C620B5" w:rsidRPr="005C553F">
        <w:rPr>
          <w:rFonts w:ascii="Arial" w:hAnsi="Arial" w:cs="Arial"/>
          <w:color w:val="000000" w:themeColor="text1"/>
          <w:sz w:val="20"/>
          <w:szCs w:val="20"/>
        </w:rPr>
        <w:t>OC Declaration, and Issuer's Declaration in the Listing Rules will be modified to reflect the format and content of the FINI e-form versions.</w:t>
      </w:r>
      <w:r w:rsidR="00B07A71" w:rsidRPr="005C553F">
        <w:rPr>
          <w:rStyle w:val="a9"/>
          <w:rFonts w:ascii="Arial" w:hAnsi="Arial" w:cs="Arial"/>
          <w:color w:val="000000" w:themeColor="text1"/>
          <w:sz w:val="20"/>
          <w:szCs w:val="20"/>
        </w:rPr>
        <w:footnoteReference w:id="15"/>
      </w:r>
    </w:p>
    <w:p w:rsidR="00A44727" w:rsidRPr="005C553F" w:rsidRDefault="00A44727"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 xml:space="preserve">Note that any annual listing fee which is payable and has not previously been paid </w:t>
      </w:r>
      <w:r w:rsidR="00C81AFD">
        <w:rPr>
          <w:rFonts w:ascii="Arial" w:hAnsi="Arial" w:cs="Arial"/>
          <w:color w:val="000000" w:themeColor="text1"/>
          <w:sz w:val="20"/>
          <w:szCs w:val="20"/>
        </w:rPr>
        <w:t xml:space="preserve">must </w:t>
      </w:r>
      <w:r w:rsidRPr="005C553F">
        <w:rPr>
          <w:rFonts w:ascii="Arial" w:hAnsi="Arial" w:cs="Arial"/>
          <w:color w:val="000000" w:themeColor="text1"/>
          <w:sz w:val="20"/>
          <w:szCs w:val="20"/>
        </w:rPr>
        <w:t>be paid before dealings commence.</w:t>
      </w:r>
      <w:r w:rsidR="00B96C96" w:rsidRPr="005C553F">
        <w:rPr>
          <w:rStyle w:val="a9"/>
          <w:rFonts w:ascii="Arial" w:hAnsi="Arial" w:cs="Arial"/>
          <w:color w:val="000000" w:themeColor="text1"/>
          <w:sz w:val="20"/>
          <w:szCs w:val="20"/>
        </w:rPr>
        <w:footnoteReference w:id="16"/>
      </w:r>
    </w:p>
    <w:p w:rsidR="00CE0A42" w:rsidRPr="00CA6876" w:rsidRDefault="00CE0A42" w:rsidP="00995340">
      <w:pPr>
        <w:jc w:val="both"/>
        <w:rPr>
          <w:rFonts w:ascii="Arial" w:hAnsi="Arial" w:cs="Arial"/>
          <w:b/>
          <w:color w:val="000000" w:themeColor="text1"/>
          <w:sz w:val="20"/>
          <w:szCs w:val="20"/>
        </w:rPr>
      </w:pPr>
      <w:r w:rsidRPr="00CA6876">
        <w:rPr>
          <w:rFonts w:ascii="Arial" w:hAnsi="Arial" w:cs="Arial"/>
          <w:b/>
          <w:color w:val="000000" w:themeColor="text1"/>
          <w:sz w:val="20"/>
          <w:szCs w:val="20"/>
        </w:rPr>
        <w:t xml:space="preserve">Equity Securities – Restrictions on Purchase and Subscription </w:t>
      </w:r>
    </w:p>
    <w:p w:rsidR="00CE0A42" w:rsidRPr="005C553F" w:rsidRDefault="00CE0A42"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 xml:space="preserve">The </w:t>
      </w:r>
      <w:r w:rsidR="00C81AFD">
        <w:rPr>
          <w:rFonts w:ascii="Arial" w:hAnsi="Arial" w:cs="Arial"/>
          <w:color w:val="000000" w:themeColor="text1"/>
          <w:sz w:val="20"/>
          <w:szCs w:val="20"/>
        </w:rPr>
        <w:t xml:space="preserve">HKEX Listing Rule </w:t>
      </w:r>
      <w:r w:rsidR="005034F5">
        <w:rPr>
          <w:rFonts w:ascii="Arial" w:hAnsi="Arial" w:cs="Arial"/>
          <w:color w:val="000000" w:themeColor="text1"/>
          <w:sz w:val="20"/>
          <w:szCs w:val="20"/>
        </w:rPr>
        <w:t>A</w:t>
      </w:r>
      <w:r w:rsidRPr="005C553F">
        <w:rPr>
          <w:rFonts w:ascii="Arial" w:hAnsi="Arial" w:cs="Arial"/>
          <w:color w:val="000000" w:themeColor="text1"/>
          <w:sz w:val="20"/>
          <w:szCs w:val="20"/>
        </w:rPr>
        <w:t xml:space="preserve">mendments mandate the use of separate, distinguishable forms for applications </w:t>
      </w:r>
      <w:r w:rsidR="0060022B" w:rsidRPr="005C553F">
        <w:rPr>
          <w:rFonts w:ascii="Arial" w:eastAsiaTheme="minorHAnsi" w:hAnsi="Arial" w:cs="Arial"/>
          <w:color w:val="000000" w:themeColor="text1"/>
          <w:sz w:val="20"/>
          <w:szCs w:val="20"/>
        </w:rPr>
        <w:t xml:space="preserve">for </w:t>
      </w:r>
      <w:r w:rsidRPr="005C553F">
        <w:rPr>
          <w:rFonts w:ascii="Arial" w:hAnsi="Arial" w:cs="Arial"/>
          <w:color w:val="000000" w:themeColor="text1"/>
          <w:sz w:val="20"/>
          <w:szCs w:val="20"/>
        </w:rPr>
        <w:t>securities offered under</w:t>
      </w:r>
      <w:r w:rsidR="00ED0C30" w:rsidRPr="005C553F">
        <w:rPr>
          <w:rFonts w:ascii="Arial" w:hAnsi="Arial" w:cs="Arial"/>
          <w:color w:val="000000" w:themeColor="text1"/>
          <w:sz w:val="20"/>
          <w:szCs w:val="20"/>
        </w:rPr>
        <w:t xml:space="preserve"> preferential treatment scheme</w:t>
      </w:r>
      <w:r w:rsidR="00964C7B">
        <w:rPr>
          <w:rFonts w:ascii="Arial" w:hAnsi="Arial" w:cs="Arial"/>
          <w:color w:val="000000" w:themeColor="text1"/>
          <w:sz w:val="20"/>
          <w:szCs w:val="20"/>
        </w:rPr>
        <w:t>s</w:t>
      </w:r>
      <w:r w:rsidR="00ED0C30" w:rsidRPr="005C553F">
        <w:rPr>
          <w:rFonts w:ascii="Arial" w:hAnsi="Arial" w:cs="Arial"/>
          <w:color w:val="000000" w:themeColor="text1"/>
          <w:sz w:val="20"/>
          <w:szCs w:val="20"/>
        </w:rPr>
        <w:t xml:space="preserve">. The approved share registrar should input the </w:t>
      </w:r>
      <w:r w:rsidRPr="005C553F">
        <w:rPr>
          <w:rFonts w:ascii="Arial" w:hAnsi="Arial" w:cs="Arial"/>
          <w:color w:val="000000" w:themeColor="text1"/>
          <w:sz w:val="20"/>
          <w:szCs w:val="20"/>
        </w:rPr>
        <w:t>relevant application</w:t>
      </w:r>
      <w:r w:rsidR="0060022B" w:rsidRPr="005C553F">
        <w:rPr>
          <w:rFonts w:ascii="Arial" w:hAnsi="Arial" w:cs="Arial"/>
          <w:color w:val="000000" w:themeColor="text1"/>
          <w:sz w:val="20"/>
          <w:szCs w:val="20"/>
        </w:rPr>
        <w:t xml:space="preserve"> data</w:t>
      </w:r>
      <w:r w:rsidR="00FB2FF0" w:rsidRPr="005C553F">
        <w:rPr>
          <w:rFonts w:ascii="Arial" w:hAnsi="Arial" w:cs="Arial"/>
          <w:color w:val="000000" w:themeColor="text1"/>
          <w:sz w:val="20"/>
          <w:szCs w:val="20"/>
        </w:rPr>
        <w:t xml:space="preserve"> into FINI</w:t>
      </w:r>
      <w:r w:rsidRPr="005C553F">
        <w:rPr>
          <w:rFonts w:ascii="Arial" w:hAnsi="Arial" w:cs="Arial"/>
          <w:color w:val="000000" w:themeColor="text1"/>
          <w:sz w:val="20"/>
          <w:szCs w:val="20"/>
        </w:rPr>
        <w:t>.</w:t>
      </w:r>
      <w:r w:rsidR="00B07A71" w:rsidRPr="005C553F">
        <w:rPr>
          <w:rStyle w:val="a9"/>
          <w:rFonts w:ascii="Arial" w:hAnsi="Arial" w:cs="Arial"/>
          <w:color w:val="000000" w:themeColor="text1"/>
          <w:sz w:val="20"/>
          <w:szCs w:val="20"/>
        </w:rPr>
        <w:footnoteReference w:id="17"/>
      </w:r>
    </w:p>
    <w:p w:rsidR="003978C4" w:rsidRPr="005C553F" w:rsidRDefault="00CE0A42"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 xml:space="preserve">In addition, </w:t>
      </w:r>
      <w:r w:rsidR="005D6861">
        <w:rPr>
          <w:rFonts w:ascii="Arial" w:hAnsi="Arial" w:cs="Arial"/>
          <w:color w:val="000000" w:themeColor="text1"/>
          <w:sz w:val="20"/>
          <w:szCs w:val="20"/>
        </w:rPr>
        <w:t>applicants for IPO shares must be deemed (by virtue of their delivery of an application form)</w:t>
      </w:r>
      <w:r w:rsidRPr="005C553F">
        <w:rPr>
          <w:rFonts w:ascii="Arial" w:hAnsi="Arial" w:cs="Arial"/>
          <w:color w:val="000000" w:themeColor="text1"/>
          <w:sz w:val="20"/>
          <w:szCs w:val="20"/>
        </w:rPr>
        <w:t xml:space="preserve"> </w:t>
      </w:r>
      <w:r w:rsidR="005D6861">
        <w:rPr>
          <w:rFonts w:ascii="Arial" w:hAnsi="Arial" w:cs="Arial"/>
          <w:color w:val="000000" w:themeColor="text1"/>
          <w:sz w:val="20"/>
          <w:szCs w:val="20"/>
        </w:rPr>
        <w:t>to warrant</w:t>
      </w:r>
      <w:r w:rsidRPr="005C553F">
        <w:rPr>
          <w:rFonts w:ascii="Arial" w:hAnsi="Arial" w:cs="Arial"/>
          <w:color w:val="000000" w:themeColor="text1"/>
          <w:sz w:val="20"/>
          <w:szCs w:val="20"/>
        </w:rPr>
        <w:t xml:space="preserve"> that if </w:t>
      </w:r>
      <w:r w:rsidR="005D6861">
        <w:rPr>
          <w:rFonts w:ascii="Arial" w:hAnsi="Arial" w:cs="Arial"/>
          <w:color w:val="000000" w:themeColor="text1"/>
          <w:sz w:val="20"/>
          <w:szCs w:val="20"/>
        </w:rPr>
        <w:t>t</w:t>
      </w:r>
      <w:r w:rsidRPr="005C553F">
        <w:rPr>
          <w:rFonts w:ascii="Arial" w:hAnsi="Arial" w:cs="Arial"/>
          <w:color w:val="000000" w:themeColor="text1"/>
          <w:sz w:val="20"/>
          <w:szCs w:val="20"/>
        </w:rPr>
        <w:t>he</w:t>
      </w:r>
      <w:r w:rsidR="005D6861">
        <w:rPr>
          <w:rFonts w:ascii="Arial" w:hAnsi="Arial" w:cs="Arial"/>
          <w:color w:val="000000" w:themeColor="text1"/>
          <w:sz w:val="20"/>
          <w:szCs w:val="20"/>
        </w:rPr>
        <w:t>y</w:t>
      </w:r>
      <w:r w:rsidRPr="005C553F">
        <w:rPr>
          <w:rFonts w:ascii="Arial" w:hAnsi="Arial" w:cs="Arial"/>
          <w:color w:val="000000" w:themeColor="text1"/>
          <w:sz w:val="20"/>
          <w:szCs w:val="20"/>
        </w:rPr>
        <w:t xml:space="preserve"> </w:t>
      </w:r>
      <w:r w:rsidR="005D6861">
        <w:rPr>
          <w:rFonts w:ascii="Arial" w:hAnsi="Arial" w:cs="Arial"/>
          <w:color w:val="000000" w:themeColor="text1"/>
          <w:sz w:val="20"/>
          <w:szCs w:val="20"/>
        </w:rPr>
        <w:t>are applying</w:t>
      </w:r>
      <w:r w:rsidRPr="005C553F">
        <w:rPr>
          <w:rFonts w:ascii="Arial" w:hAnsi="Arial" w:cs="Arial"/>
          <w:color w:val="000000" w:themeColor="text1"/>
          <w:sz w:val="20"/>
          <w:szCs w:val="20"/>
        </w:rPr>
        <w:t xml:space="preserve"> </w:t>
      </w:r>
      <w:r w:rsidR="008A4B74">
        <w:rPr>
          <w:rFonts w:ascii="Arial" w:hAnsi="Arial" w:cs="Arial"/>
          <w:color w:val="000000" w:themeColor="text1"/>
          <w:sz w:val="20"/>
          <w:szCs w:val="20"/>
        </w:rPr>
        <w:t xml:space="preserve">for shares </w:t>
      </w:r>
      <w:r w:rsidRPr="005C553F">
        <w:rPr>
          <w:rFonts w:ascii="Arial" w:hAnsi="Arial" w:cs="Arial"/>
          <w:color w:val="000000" w:themeColor="text1"/>
          <w:sz w:val="20"/>
          <w:szCs w:val="20"/>
        </w:rPr>
        <w:t>as agent for</w:t>
      </w:r>
      <w:r w:rsidR="005D6861">
        <w:rPr>
          <w:rFonts w:ascii="Arial" w:hAnsi="Arial" w:cs="Arial"/>
          <w:color w:val="000000" w:themeColor="text1"/>
          <w:sz w:val="20"/>
          <w:szCs w:val="20"/>
        </w:rPr>
        <w:t xml:space="preserve"> a third party</w:t>
      </w:r>
      <w:r w:rsidRPr="005C553F">
        <w:rPr>
          <w:rFonts w:ascii="Arial" w:hAnsi="Arial" w:cs="Arial"/>
          <w:color w:val="000000" w:themeColor="text1"/>
          <w:sz w:val="20"/>
          <w:szCs w:val="20"/>
        </w:rPr>
        <w:t xml:space="preserve">, </w:t>
      </w:r>
      <w:r w:rsidR="005D6861">
        <w:rPr>
          <w:rFonts w:ascii="Arial" w:hAnsi="Arial" w:cs="Arial"/>
          <w:color w:val="000000" w:themeColor="text1"/>
          <w:sz w:val="20"/>
          <w:szCs w:val="20"/>
        </w:rPr>
        <w:t>t</w:t>
      </w:r>
      <w:r w:rsidRPr="005C553F">
        <w:rPr>
          <w:rFonts w:ascii="Arial" w:hAnsi="Arial" w:cs="Arial"/>
          <w:color w:val="000000" w:themeColor="text1"/>
          <w:sz w:val="20"/>
          <w:szCs w:val="20"/>
        </w:rPr>
        <w:t>he</w:t>
      </w:r>
      <w:r w:rsidR="005D6861">
        <w:rPr>
          <w:rFonts w:ascii="Arial" w:hAnsi="Arial" w:cs="Arial"/>
          <w:color w:val="000000" w:themeColor="text1"/>
          <w:sz w:val="20"/>
          <w:szCs w:val="20"/>
        </w:rPr>
        <w:t>y have</w:t>
      </w:r>
      <w:r w:rsidRPr="005C553F">
        <w:rPr>
          <w:rFonts w:ascii="Arial" w:hAnsi="Arial" w:cs="Arial"/>
          <w:color w:val="000000" w:themeColor="text1"/>
          <w:sz w:val="20"/>
          <w:szCs w:val="20"/>
        </w:rPr>
        <w:t xml:space="preserve"> only provided one set of application instructions </w:t>
      </w:r>
      <w:r w:rsidR="005D6861">
        <w:rPr>
          <w:rFonts w:ascii="Arial" w:hAnsi="Arial" w:cs="Arial"/>
          <w:color w:val="000000" w:themeColor="text1"/>
          <w:sz w:val="20"/>
          <w:szCs w:val="20"/>
        </w:rPr>
        <w:t xml:space="preserve">on </w:t>
      </w:r>
      <w:r w:rsidR="003978C4" w:rsidRPr="005C553F">
        <w:rPr>
          <w:rFonts w:ascii="Arial" w:hAnsi="Arial" w:cs="Arial"/>
          <w:color w:val="000000" w:themeColor="text1"/>
          <w:sz w:val="20"/>
          <w:szCs w:val="20"/>
        </w:rPr>
        <w:t>that</w:t>
      </w:r>
      <w:r w:rsidRPr="005C553F">
        <w:rPr>
          <w:rFonts w:ascii="Arial" w:hAnsi="Arial" w:cs="Arial"/>
          <w:color w:val="000000" w:themeColor="text1"/>
          <w:sz w:val="20"/>
          <w:szCs w:val="20"/>
        </w:rPr>
        <w:t xml:space="preserve"> </w:t>
      </w:r>
      <w:r w:rsidR="005D6861">
        <w:rPr>
          <w:rFonts w:ascii="Arial" w:hAnsi="Arial" w:cs="Arial"/>
          <w:color w:val="000000" w:themeColor="text1"/>
          <w:sz w:val="20"/>
          <w:szCs w:val="20"/>
        </w:rPr>
        <w:t>person’</w:t>
      </w:r>
      <w:r w:rsidRPr="005C553F">
        <w:rPr>
          <w:rFonts w:ascii="Arial" w:hAnsi="Arial" w:cs="Arial"/>
          <w:color w:val="000000" w:themeColor="text1"/>
          <w:sz w:val="20"/>
          <w:szCs w:val="20"/>
        </w:rPr>
        <w:t xml:space="preserve">s </w:t>
      </w:r>
      <w:r w:rsidR="005D6861">
        <w:rPr>
          <w:rFonts w:ascii="Arial" w:hAnsi="Arial" w:cs="Arial"/>
          <w:color w:val="000000" w:themeColor="text1"/>
          <w:sz w:val="20"/>
          <w:szCs w:val="20"/>
        </w:rPr>
        <w:t xml:space="preserve">behalf </w:t>
      </w:r>
      <w:r w:rsidR="008A4B74">
        <w:rPr>
          <w:rFonts w:ascii="Arial" w:hAnsi="Arial" w:cs="Arial"/>
          <w:color w:val="000000" w:themeColor="text1"/>
          <w:sz w:val="20"/>
          <w:szCs w:val="20"/>
        </w:rPr>
        <w:t>and have</w:t>
      </w:r>
      <w:r w:rsidRPr="005C553F">
        <w:rPr>
          <w:rFonts w:ascii="Arial" w:hAnsi="Arial" w:cs="Arial"/>
          <w:color w:val="000000" w:themeColor="text1"/>
          <w:sz w:val="20"/>
          <w:szCs w:val="20"/>
        </w:rPr>
        <w:t xml:space="preserve"> </w:t>
      </w:r>
      <w:r w:rsidR="003978C4" w:rsidRPr="005C553F">
        <w:rPr>
          <w:rFonts w:ascii="Arial" w:hAnsi="Arial" w:cs="Arial"/>
          <w:color w:val="000000" w:themeColor="text1"/>
          <w:sz w:val="20"/>
          <w:szCs w:val="20"/>
        </w:rPr>
        <w:t>due authority</w:t>
      </w:r>
      <w:r w:rsidR="00A74E06" w:rsidRPr="005C553F">
        <w:rPr>
          <w:rFonts w:ascii="Arial" w:hAnsi="Arial" w:cs="Arial"/>
          <w:color w:val="000000" w:themeColor="text1"/>
          <w:sz w:val="20"/>
          <w:szCs w:val="20"/>
        </w:rPr>
        <w:t xml:space="preserve"> to do so</w:t>
      </w:r>
      <w:r w:rsidR="003978C4" w:rsidRPr="005C553F">
        <w:rPr>
          <w:rFonts w:ascii="Arial" w:hAnsi="Arial" w:cs="Arial"/>
          <w:color w:val="000000" w:themeColor="text1"/>
          <w:sz w:val="20"/>
          <w:szCs w:val="20"/>
        </w:rPr>
        <w:t>.</w:t>
      </w:r>
      <w:r w:rsidR="00B07A71" w:rsidRPr="005C553F">
        <w:rPr>
          <w:rStyle w:val="a9"/>
          <w:rFonts w:ascii="Arial" w:hAnsi="Arial" w:cs="Arial"/>
          <w:color w:val="000000" w:themeColor="text1"/>
          <w:sz w:val="20"/>
          <w:szCs w:val="20"/>
        </w:rPr>
        <w:footnoteReference w:id="18"/>
      </w:r>
    </w:p>
    <w:p w:rsidR="00CE0A42" w:rsidRPr="00CA6876" w:rsidRDefault="00CE0A42" w:rsidP="00995340">
      <w:pPr>
        <w:jc w:val="both"/>
        <w:rPr>
          <w:rFonts w:ascii="Arial" w:hAnsi="Arial" w:cs="Arial"/>
          <w:b/>
          <w:color w:val="000000" w:themeColor="text1"/>
          <w:sz w:val="20"/>
          <w:szCs w:val="20"/>
        </w:rPr>
      </w:pPr>
      <w:r w:rsidRPr="00CA6876">
        <w:rPr>
          <w:rFonts w:ascii="Arial" w:hAnsi="Arial" w:cs="Arial"/>
          <w:b/>
          <w:color w:val="000000" w:themeColor="text1"/>
          <w:sz w:val="20"/>
          <w:szCs w:val="20"/>
        </w:rPr>
        <w:t>Listing Application Forms</w:t>
      </w:r>
    </w:p>
    <w:p w:rsidR="00CE0A42" w:rsidRPr="005C553F" w:rsidRDefault="00CE0A42"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The</w:t>
      </w:r>
      <w:r w:rsidR="008A4B74">
        <w:rPr>
          <w:rFonts w:ascii="Arial" w:hAnsi="Arial" w:cs="Arial"/>
          <w:color w:val="000000" w:themeColor="text1"/>
          <w:sz w:val="20"/>
          <w:szCs w:val="20"/>
        </w:rPr>
        <w:t xml:space="preserve">re will </w:t>
      </w:r>
      <w:r w:rsidR="005034F5">
        <w:rPr>
          <w:rFonts w:ascii="Arial" w:hAnsi="Arial" w:cs="Arial"/>
          <w:color w:val="000000" w:themeColor="text1"/>
          <w:sz w:val="20"/>
          <w:szCs w:val="20"/>
        </w:rPr>
        <w:t xml:space="preserve">be </w:t>
      </w:r>
      <w:r w:rsidR="008A4B74">
        <w:rPr>
          <w:rFonts w:ascii="Arial" w:hAnsi="Arial" w:cs="Arial"/>
          <w:color w:val="000000" w:themeColor="text1"/>
          <w:sz w:val="20"/>
          <w:szCs w:val="20"/>
        </w:rPr>
        <w:t>a change to</w:t>
      </w:r>
      <w:r w:rsidRPr="005C553F">
        <w:rPr>
          <w:rFonts w:ascii="Arial" w:hAnsi="Arial" w:cs="Arial"/>
          <w:color w:val="000000" w:themeColor="text1"/>
          <w:sz w:val="20"/>
          <w:szCs w:val="20"/>
        </w:rPr>
        <w:t xml:space="preserve"> listing application forms</w:t>
      </w:r>
      <w:r w:rsidR="008A4B74" w:rsidRPr="005C553F">
        <w:rPr>
          <w:rStyle w:val="a9"/>
          <w:rFonts w:ascii="Arial" w:hAnsi="Arial" w:cs="Arial"/>
          <w:sz w:val="20"/>
          <w:szCs w:val="20"/>
        </w:rPr>
        <w:footnoteReference w:id="19"/>
      </w:r>
      <w:r w:rsidRPr="005C553F">
        <w:rPr>
          <w:rFonts w:ascii="Arial" w:hAnsi="Arial" w:cs="Arial"/>
          <w:color w:val="000000" w:themeColor="text1"/>
          <w:sz w:val="20"/>
          <w:szCs w:val="20"/>
        </w:rPr>
        <w:t xml:space="preserve"> </w:t>
      </w:r>
      <w:r w:rsidR="008A4B74">
        <w:rPr>
          <w:rFonts w:ascii="Arial" w:hAnsi="Arial" w:cs="Arial"/>
          <w:color w:val="000000" w:themeColor="text1"/>
          <w:sz w:val="20"/>
          <w:szCs w:val="20"/>
        </w:rPr>
        <w:t xml:space="preserve">consequential on </w:t>
      </w:r>
      <w:r w:rsidRPr="005C553F">
        <w:rPr>
          <w:rFonts w:ascii="Arial" w:hAnsi="Arial" w:cs="Arial"/>
          <w:color w:val="000000" w:themeColor="text1"/>
          <w:sz w:val="20"/>
          <w:szCs w:val="20"/>
        </w:rPr>
        <w:t xml:space="preserve">the </w:t>
      </w:r>
      <w:r w:rsidR="008A4B74">
        <w:rPr>
          <w:rFonts w:ascii="Arial" w:hAnsi="Arial" w:cs="Arial"/>
          <w:color w:val="000000" w:themeColor="text1"/>
          <w:sz w:val="20"/>
          <w:szCs w:val="20"/>
        </w:rPr>
        <w:t xml:space="preserve">HKEX </w:t>
      </w:r>
      <w:r w:rsidR="005D6861">
        <w:rPr>
          <w:rFonts w:ascii="Arial" w:hAnsi="Arial" w:cs="Arial"/>
          <w:color w:val="000000" w:themeColor="text1"/>
          <w:sz w:val="20"/>
          <w:szCs w:val="20"/>
        </w:rPr>
        <w:t xml:space="preserve">Listing </w:t>
      </w:r>
      <w:r w:rsidRPr="005C553F">
        <w:rPr>
          <w:rFonts w:ascii="Arial" w:hAnsi="Arial" w:cs="Arial"/>
          <w:color w:val="000000" w:themeColor="text1"/>
          <w:sz w:val="20"/>
          <w:szCs w:val="20"/>
        </w:rPr>
        <w:t>Rule Amendments</w:t>
      </w:r>
      <w:r w:rsidR="00592694" w:rsidRPr="005C553F">
        <w:rPr>
          <w:rFonts w:ascii="Arial" w:hAnsi="Arial" w:cs="Arial"/>
          <w:color w:val="000000" w:themeColor="text1"/>
          <w:sz w:val="20"/>
          <w:szCs w:val="20"/>
        </w:rPr>
        <w:t>. I</w:t>
      </w:r>
      <w:r w:rsidRPr="005C553F">
        <w:rPr>
          <w:rFonts w:ascii="Arial" w:hAnsi="Arial" w:cs="Arial"/>
          <w:color w:val="000000" w:themeColor="text1"/>
          <w:sz w:val="20"/>
          <w:szCs w:val="20"/>
        </w:rPr>
        <w:t xml:space="preserve">ssuers will be required to acknowledge that the HKEX and SFC have unrestricted access to the </w:t>
      </w:r>
      <w:r w:rsidR="00DA0043" w:rsidRPr="005C553F">
        <w:rPr>
          <w:rFonts w:ascii="Arial" w:hAnsi="Arial" w:cs="Arial"/>
          <w:color w:val="000000" w:themeColor="text1"/>
          <w:sz w:val="20"/>
          <w:szCs w:val="20"/>
        </w:rPr>
        <w:t>materials</w:t>
      </w:r>
      <w:r w:rsidRPr="005C553F">
        <w:rPr>
          <w:rFonts w:ascii="Arial" w:hAnsi="Arial" w:cs="Arial"/>
          <w:color w:val="000000" w:themeColor="text1"/>
          <w:sz w:val="20"/>
          <w:szCs w:val="20"/>
        </w:rPr>
        <w:t xml:space="preserve"> and documents filed and submitted</w:t>
      </w:r>
      <w:r w:rsidR="008A4B74">
        <w:rPr>
          <w:rFonts w:ascii="Arial" w:hAnsi="Arial" w:cs="Arial"/>
          <w:color w:val="000000" w:themeColor="text1"/>
          <w:sz w:val="20"/>
          <w:szCs w:val="20"/>
        </w:rPr>
        <w:t xml:space="preserve"> on FINI</w:t>
      </w:r>
      <w:r w:rsidR="009253D8">
        <w:rPr>
          <w:rFonts w:ascii="Arial" w:hAnsi="Arial" w:cs="Arial"/>
          <w:color w:val="000000" w:themeColor="text1"/>
          <w:sz w:val="20"/>
          <w:szCs w:val="20"/>
        </w:rPr>
        <w:t>.</w:t>
      </w:r>
      <w:r w:rsidRPr="005C553F">
        <w:rPr>
          <w:rFonts w:ascii="Arial" w:hAnsi="Arial" w:cs="Arial"/>
          <w:color w:val="000000" w:themeColor="text1"/>
          <w:sz w:val="20"/>
          <w:szCs w:val="20"/>
        </w:rPr>
        <w:t xml:space="preserve"> </w:t>
      </w:r>
      <w:r w:rsidR="009253D8">
        <w:rPr>
          <w:rFonts w:ascii="Arial" w:hAnsi="Arial" w:cs="Arial"/>
          <w:color w:val="000000" w:themeColor="text1"/>
          <w:sz w:val="20"/>
          <w:szCs w:val="20"/>
        </w:rPr>
        <w:t>T</w:t>
      </w:r>
      <w:r w:rsidRPr="005C553F">
        <w:rPr>
          <w:rFonts w:ascii="Arial" w:hAnsi="Arial" w:cs="Arial"/>
          <w:color w:val="000000" w:themeColor="text1"/>
          <w:sz w:val="20"/>
          <w:szCs w:val="20"/>
        </w:rPr>
        <w:t>h</w:t>
      </w:r>
      <w:r w:rsidR="00540220">
        <w:rPr>
          <w:rFonts w:ascii="Arial" w:hAnsi="Arial" w:cs="Arial"/>
          <w:color w:val="000000" w:themeColor="text1"/>
          <w:sz w:val="20"/>
          <w:szCs w:val="20"/>
        </w:rPr>
        <w:t xml:space="preserve">ose documents will also be </w:t>
      </w:r>
      <w:r w:rsidRPr="005C553F">
        <w:rPr>
          <w:rFonts w:ascii="Arial" w:hAnsi="Arial" w:cs="Arial"/>
          <w:color w:val="000000" w:themeColor="text1"/>
          <w:sz w:val="20"/>
          <w:szCs w:val="20"/>
        </w:rPr>
        <w:t xml:space="preserve">regarded as having </w:t>
      </w:r>
      <w:r w:rsidR="00540220">
        <w:rPr>
          <w:rFonts w:ascii="Arial" w:hAnsi="Arial" w:cs="Arial"/>
          <w:color w:val="000000" w:themeColor="text1"/>
          <w:sz w:val="20"/>
          <w:szCs w:val="20"/>
        </w:rPr>
        <w:t>been dual-filed with the SFC on being filed and submitted on FINI</w:t>
      </w:r>
      <w:r w:rsidRPr="005C553F">
        <w:rPr>
          <w:rFonts w:ascii="Arial" w:hAnsi="Arial" w:cs="Arial"/>
          <w:color w:val="000000" w:themeColor="text1"/>
          <w:sz w:val="20"/>
          <w:szCs w:val="20"/>
        </w:rPr>
        <w:t>.</w:t>
      </w:r>
      <w:r w:rsidR="00DA0043" w:rsidRPr="005C553F">
        <w:rPr>
          <w:rStyle w:val="a9"/>
          <w:rFonts w:ascii="Arial" w:hAnsi="Arial" w:cs="Arial"/>
          <w:sz w:val="20"/>
          <w:szCs w:val="20"/>
        </w:rPr>
        <w:footnoteReference w:id="20"/>
      </w:r>
    </w:p>
    <w:p w:rsidR="00CE0A42" w:rsidRPr="00CA6876" w:rsidRDefault="00CE0A42" w:rsidP="00995340">
      <w:pPr>
        <w:jc w:val="both"/>
        <w:rPr>
          <w:rFonts w:ascii="Arial" w:hAnsi="Arial" w:cs="Arial"/>
          <w:b/>
          <w:color w:val="000000" w:themeColor="text1"/>
          <w:sz w:val="20"/>
          <w:szCs w:val="20"/>
        </w:rPr>
      </w:pPr>
      <w:r w:rsidRPr="00CA6876">
        <w:rPr>
          <w:rFonts w:ascii="Arial" w:hAnsi="Arial" w:cs="Arial"/>
          <w:b/>
          <w:color w:val="000000" w:themeColor="text1"/>
          <w:sz w:val="20"/>
          <w:szCs w:val="20"/>
        </w:rPr>
        <w:t xml:space="preserve">Placee List Aggregation and Placee Concentration Analysis </w:t>
      </w:r>
    </w:p>
    <w:p w:rsidR="00CE0A42" w:rsidRPr="005C553F" w:rsidRDefault="00CE0A42" w:rsidP="00995340">
      <w:pPr>
        <w:jc w:val="both"/>
        <w:rPr>
          <w:rFonts w:ascii="Arial" w:hAnsi="Arial" w:cs="Arial"/>
          <w:sz w:val="20"/>
          <w:szCs w:val="20"/>
        </w:rPr>
      </w:pPr>
      <w:r w:rsidRPr="005C553F">
        <w:rPr>
          <w:rFonts w:ascii="Arial" w:hAnsi="Arial" w:cs="Arial"/>
          <w:sz w:val="20"/>
          <w:szCs w:val="20"/>
        </w:rPr>
        <w:t>As FINI will automate the workflows relating to placee list aggregation and placee concentration analysis, amendments will be introduced s</w:t>
      </w:r>
      <w:r w:rsidR="009253D8">
        <w:rPr>
          <w:rFonts w:ascii="Arial" w:hAnsi="Arial" w:cs="Arial"/>
          <w:sz w:val="20"/>
          <w:szCs w:val="20"/>
        </w:rPr>
        <w:t>o</w:t>
      </w:r>
      <w:r w:rsidRPr="005C553F">
        <w:rPr>
          <w:rFonts w:ascii="Arial" w:hAnsi="Arial" w:cs="Arial"/>
          <w:sz w:val="20"/>
          <w:szCs w:val="20"/>
        </w:rPr>
        <w:t xml:space="preserve"> that </w:t>
      </w:r>
      <w:r w:rsidR="009253D8">
        <w:rPr>
          <w:rFonts w:ascii="Arial" w:hAnsi="Arial" w:cs="Arial"/>
          <w:sz w:val="20"/>
          <w:szCs w:val="20"/>
        </w:rPr>
        <w:t xml:space="preserve">on </w:t>
      </w:r>
      <w:r w:rsidR="00937732" w:rsidRPr="005C553F">
        <w:rPr>
          <w:rFonts w:ascii="Arial" w:hAnsi="Arial" w:cs="Arial"/>
          <w:sz w:val="20"/>
          <w:szCs w:val="20"/>
        </w:rPr>
        <w:t>a placing of securities involving bookbuildi</w:t>
      </w:r>
      <w:r w:rsidR="009253D8">
        <w:rPr>
          <w:rFonts w:ascii="Arial" w:hAnsi="Arial" w:cs="Arial"/>
          <w:sz w:val="20"/>
          <w:szCs w:val="20"/>
        </w:rPr>
        <w:t>ng activities connected with a new l</w:t>
      </w:r>
      <w:r w:rsidR="00937732" w:rsidRPr="005C553F">
        <w:rPr>
          <w:rFonts w:ascii="Arial" w:hAnsi="Arial" w:cs="Arial"/>
          <w:sz w:val="20"/>
          <w:szCs w:val="20"/>
        </w:rPr>
        <w:t xml:space="preserve">isting (see </w:t>
      </w:r>
      <w:r w:rsidR="00540220">
        <w:rPr>
          <w:rFonts w:ascii="Arial" w:hAnsi="Arial" w:cs="Arial"/>
          <w:sz w:val="20"/>
          <w:szCs w:val="20"/>
        </w:rPr>
        <w:t>Main Board R</w:t>
      </w:r>
      <w:r w:rsidR="00937732" w:rsidRPr="005C553F">
        <w:rPr>
          <w:rFonts w:ascii="Arial" w:hAnsi="Arial" w:cs="Arial"/>
          <w:sz w:val="20"/>
          <w:szCs w:val="20"/>
        </w:rPr>
        <w:t xml:space="preserve">ule 9.11(35) and GEM </w:t>
      </w:r>
      <w:r w:rsidR="009E06A4">
        <w:rPr>
          <w:rFonts w:ascii="Arial" w:hAnsi="Arial" w:cs="Arial"/>
          <w:sz w:val="20"/>
          <w:szCs w:val="20"/>
          <w:lang w:eastAsia="zh-CN"/>
        </w:rPr>
        <w:t>L</w:t>
      </w:r>
      <w:r w:rsidR="00DF5C40">
        <w:rPr>
          <w:rFonts w:ascii="Arial" w:hAnsi="Arial" w:cs="Arial" w:hint="eastAsia"/>
          <w:sz w:val="20"/>
          <w:szCs w:val="20"/>
          <w:lang w:eastAsia="zh-CN"/>
        </w:rPr>
        <w:t>isting</w:t>
      </w:r>
      <w:r w:rsidR="00DF5C40">
        <w:rPr>
          <w:rFonts w:ascii="Arial" w:hAnsi="Arial" w:cs="Arial"/>
          <w:sz w:val="20"/>
          <w:szCs w:val="20"/>
        </w:rPr>
        <w:t xml:space="preserve"> </w:t>
      </w:r>
      <w:r w:rsidR="009E06A4">
        <w:rPr>
          <w:rFonts w:ascii="Arial" w:hAnsi="Arial" w:cs="Arial"/>
          <w:sz w:val="20"/>
          <w:szCs w:val="20"/>
        </w:rPr>
        <w:t>R</w:t>
      </w:r>
      <w:r w:rsidR="00937732" w:rsidRPr="005C553F">
        <w:rPr>
          <w:rFonts w:ascii="Arial" w:hAnsi="Arial" w:cs="Arial"/>
          <w:sz w:val="20"/>
          <w:szCs w:val="20"/>
        </w:rPr>
        <w:t>ule 12.26(6)),</w:t>
      </w:r>
      <w:r w:rsidR="00D5681D" w:rsidRPr="005C553F">
        <w:rPr>
          <w:rStyle w:val="a9"/>
          <w:rFonts w:ascii="Arial" w:hAnsi="Arial" w:cs="Arial"/>
          <w:sz w:val="20"/>
          <w:szCs w:val="20"/>
        </w:rPr>
        <w:footnoteReference w:id="21"/>
      </w:r>
      <w:r w:rsidR="00937732" w:rsidRPr="005C553F">
        <w:rPr>
          <w:rFonts w:ascii="Arial" w:hAnsi="Arial" w:cs="Arial"/>
          <w:sz w:val="20"/>
          <w:szCs w:val="20"/>
        </w:rPr>
        <w:t xml:space="preserve"> </w:t>
      </w:r>
      <w:r w:rsidRPr="005C553F">
        <w:rPr>
          <w:rFonts w:ascii="Arial" w:hAnsi="Arial" w:cs="Arial"/>
          <w:sz w:val="20"/>
          <w:szCs w:val="20"/>
        </w:rPr>
        <w:t>each OC will be deemed to have reviewed the analysis generated by FINI on the distribution and concentration of the securities placed and</w:t>
      </w:r>
      <w:r w:rsidR="00937732" w:rsidRPr="005C553F">
        <w:rPr>
          <w:rFonts w:ascii="Arial" w:hAnsi="Arial" w:cs="Arial"/>
          <w:sz w:val="20"/>
          <w:szCs w:val="20"/>
        </w:rPr>
        <w:t xml:space="preserve"> </w:t>
      </w:r>
      <w:r w:rsidRPr="005C553F">
        <w:rPr>
          <w:rFonts w:ascii="Arial" w:hAnsi="Arial" w:cs="Arial"/>
          <w:sz w:val="20"/>
          <w:szCs w:val="20"/>
        </w:rPr>
        <w:t>confirmed its accuracy by submitting the declaration in the form set out in Form</w:t>
      </w:r>
      <w:r w:rsidR="004B26D6" w:rsidRPr="005C553F">
        <w:rPr>
          <w:rFonts w:ascii="Arial" w:hAnsi="Arial" w:cs="Arial"/>
          <w:sz w:val="20"/>
          <w:szCs w:val="20"/>
        </w:rPr>
        <w:t xml:space="preserve"> D in Appendix 5 on FINI.</w:t>
      </w:r>
    </w:p>
    <w:p w:rsidR="00CE0A42" w:rsidRPr="005C553F" w:rsidRDefault="005E4535" w:rsidP="00995340">
      <w:pPr>
        <w:jc w:val="both"/>
        <w:rPr>
          <w:rFonts w:ascii="Arial" w:hAnsi="Arial" w:cs="Arial"/>
          <w:sz w:val="20"/>
          <w:szCs w:val="20"/>
        </w:rPr>
      </w:pPr>
      <w:r w:rsidRPr="005C553F">
        <w:rPr>
          <w:rFonts w:ascii="Arial" w:hAnsi="Arial" w:cs="Arial"/>
          <w:sz w:val="20"/>
          <w:szCs w:val="20"/>
        </w:rPr>
        <w:t>Further</w:t>
      </w:r>
      <w:r w:rsidR="00CE0A42" w:rsidRPr="005C553F">
        <w:rPr>
          <w:rFonts w:ascii="Arial" w:hAnsi="Arial" w:cs="Arial"/>
          <w:sz w:val="20"/>
          <w:szCs w:val="20"/>
        </w:rPr>
        <w:t xml:space="preserve">, to streamline the template of the Marketing and Independence Statement for GEM New Listings, the requirement for information </w:t>
      </w:r>
      <w:r w:rsidR="00ED2721">
        <w:rPr>
          <w:rFonts w:ascii="Arial" w:hAnsi="Arial" w:cs="Arial"/>
          <w:sz w:val="20"/>
          <w:szCs w:val="20"/>
        </w:rPr>
        <w:t>on</w:t>
      </w:r>
      <w:r w:rsidR="00CE0A42" w:rsidRPr="005C553F">
        <w:rPr>
          <w:rFonts w:ascii="Arial" w:hAnsi="Arial" w:cs="Arial"/>
          <w:sz w:val="20"/>
          <w:szCs w:val="20"/>
        </w:rPr>
        <w:t xml:space="preserve"> distribution of placees to be provided by OC</w:t>
      </w:r>
      <w:r w:rsidR="00540220">
        <w:rPr>
          <w:rFonts w:ascii="Arial" w:hAnsi="Arial" w:cs="Arial"/>
          <w:sz w:val="20"/>
          <w:szCs w:val="20"/>
        </w:rPr>
        <w:t>s</w:t>
      </w:r>
      <w:r w:rsidR="00CE0A42" w:rsidRPr="005C553F">
        <w:rPr>
          <w:rFonts w:ascii="Arial" w:hAnsi="Arial" w:cs="Arial"/>
          <w:sz w:val="20"/>
          <w:szCs w:val="20"/>
        </w:rPr>
        <w:t xml:space="preserve"> will no longer be applicable.</w:t>
      </w:r>
      <w:r w:rsidR="006C4D44" w:rsidRPr="005C553F">
        <w:rPr>
          <w:rStyle w:val="a9"/>
          <w:rFonts w:ascii="Arial" w:hAnsi="Arial" w:cs="Arial"/>
          <w:sz w:val="20"/>
          <w:szCs w:val="20"/>
        </w:rPr>
        <w:footnoteReference w:id="22"/>
      </w:r>
    </w:p>
    <w:p w:rsidR="009D544D" w:rsidRPr="005C553F" w:rsidRDefault="00CA4672" w:rsidP="00995340">
      <w:pPr>
        <w:jc w:val="both"/>
        <w:rPr>
          <w:rFonts w:ascii="Arial" w:hAnsi="Arial" w:cs="Arial"/>
          <w:color w:val="FF0000"/>
          <w:sz w:val="20"/>
          <w:szCs w:val="20"/>
        </w:rPr>
      </w:pPr>
      <w:r w:rsidRPr="005C553F">
        <w:rPr>
          <w:rFonts w:ascii="Arial" w:hAnsi="Arial" w:cs="Arial"/>
          <w:color w:val="FF0000"/>
          <w:sz w:val="20"/>
          <w:szCs w:val="20"/>
        </w:rPr>
        <w:t>Consequential Changes to Complement the Shortened Settlement P</w:t>
      </w:r>
      <w:r w:rsidR="009D544D" w:rsidRPr="005C553F">
        <w:rPr>
          <w:rFonts w:ascii="Arial" w:hAnsi="Arial" w:cs="Arial"/>
          <w:color w:val="FF0000"/>
          <w:sz w:val="20"/>
          <w:szCs w:val="20"/>
        </w:rPr>
        <w:t xml:space="preserve">eriod </w:t>
      </w:r>
    </w:p>
    <w:p w:rsidR="009D544D" w:rsidRPr="00CA6876" w:rsidRDefault="00741E91" w:rsidP="00995340">
      <w:pPr>
        <w:jc w:val="both"/>
        <w:rPr>
          <w:rFonts w:ascii="Arial" w:hAnsi="Arial" w:cs="Arial"/>
          <w:b/>
          <w:color w:val="000000" w:themeColor="text1"/>
          <w:sz w:val="20"/>
          <w:szCs w:val="20"/>
        </w:rPr>
      </w:pPr>
      <w:r w:rsidRPr="00CA6876">
        <w:rPr>
          <w:rFonts w:ascii="Arial" w:hAnsi="Arial" w:cs="Arial"/>
          <w:b/>
          <w:color w:val="000000" w:themeColor="text1"/>
          <w:sz w:val="20"/>
          <w:szCs w:val="20"/>
        </w:rPr>
        <w:t>Publication of Announcement Resul</w:t>
      </w:r>
      <w:r w:rsidR="00D57B08" w:rsidRPr="00CA6876">
        <w:rPr>
          <w:rFonts w:ascii="Arial" w:hAnsi="Arial" w:cs="Arial"/>
          <w:b/>
          <w:color w:val="000000" w:themeColor="text1"/>
          <w:sz w:val="20"/>
          <w:szCs w:val="20"/>
        </w:rPr>
        <w:t xml:space="preserve">ts by 11 </w:t>
      </w:r>
      <w:r w:rsidRPr="00CA6876">
        <w:rPr>
          <w:rFonts w:ascii="Arial" w:hAnsi="Arial" w:cs="Arial"/>
          <w:b/>
          <w:color w:val="000000" w:themeColor="text1"/>
          <w:sz w:val="20"/>
          <w:szCs w:val="20"/>
        </w:rPr>
        <w:t>p.m.</w:t>
      </w:r>
    </w:p>
    <w:p w:rsidR="009D544D" w:rsidRPr="005C553F" w:rsidRDefault="009D544D" w:rsidP="00995340">
      <w:pPr>
        <w:jc w:val="both"/>
        <w:rPr>
          <w:rFonts w:ascii="Arial" w:hAnsi="Arial" w:cs="Arial"/>
          <w:sz w:val="20"/>
          <w:szCs w:val="20"/>
        </w:rPr>
      </w:pPr>
      <w:r w:rsidRPr="005C553F">
        <w:rPr>
          <w:rFonts w:ascii="Arial" w:hAnsi="Arial" w:cs="Arial"/>
          <w:sz w:val="20"/>
          <w:szCs w:val="20"/>
        </w:rPr>
        <w:lastRenderedPageBreak/>
        <w:t xml:space="preserve">To streamline the workflows, </w:t>
      </w:r>
      <w:r w:rsidR="00540220">
        <w:rPr>
          <w:rFonts w:ascii="Arial" w:hAnsi="Arial" w:cs="Arial"/>
          <w:sz w:val="20"/>
          <w:szCs w:val="20"/>
        </w:rPr>
        <w:t xml:space="preserve">the HKEX Listing Rule </w:t>
      </w:r>
      <w:r w:rsidR="005034F5">
        <w:rPr>
          <w:rFonts w:ascii="Arial" w:hAnsi="Arial" w:cs="Arial"/>
          <w:sz w:val="20"/>
          <w:szCs w:val="20"/>
        </w:rPr>
        <w:t>A</w:t>
      </w:r>
      <w:r w:rsidRPr="005C553F">
        <w:rPr>
          <w:rFonts w:ascii="Arial" w:hAnsi="Arial" w:cs="Arial"/>
          <w:sz w:val="20"/>
          <w:szCs w:val="20"/>
        </w:rPr>
        <w:t xml:space="preserve">mendments </w:t>
      </w:r>
      <w:r w:rsidR="00540220">
        <w:rPr>
          <w:rFonts w:ascii="Arial" w:hAnsi="Arial" w:cs="Arial"/>
          <w:sz w:val="20"/>
          <w:szCs w:val="20"/>
        </w:rPr>
        <w:t xml:space="preserve">will require </w:t>
      </w:r>
      <w:r w:rsidRPr="005C553F">
        <w:rPr>
          <w:rFonts w:ascii="Arial" w:hAnsi="Arial" w:cs="Arial"/>
          <w:sz w:val="20"/>
          <w:szCs w:val="20"/>
        </w:rPr>
        <w:t>issuer</w:t>
      </w:r>
      <w:r w:rsidR="00540220">
        <w:rPr>
          <w:rFonts w:ascii="Arial" w:hAnsi="Arial" w:cs="Arial"/>
          <w:sz w:val="20"/>
          <w:szCs w:val="20"/>
        </w:rPr>
        <w:t>s to</w:t>
      </w:r>
      <w:r w:rsidRPr="005C553F">
        <w:rPr>
          <w:rFonts w:ascii="Arial" w:hAnsi="Arial" w:cs="Arial"/>
          <w:sz w:val="20"/>
          <w:szCs w:val="20"/>
        </w:rPr>
        <w:t xml:space="preserve"> publish </w:t>
      </w:r>
      <w:r w:rsidR="00540220">
        <w:rPr>
          <w:rFonts w:ascii="Arial" w:hAnsi="Arial" w:cs="Arial"/>
          <w:sz w:val="20"/>
          <w:szCs w:val="20"/>
        </w:rPr>
        <w:t xml:space="preserve">allotment results </w:t>
      </w:r>
      <w:r w:rsidRPr="005C553F">
        <w:rPr>
          <w:rFonts w:ascii="Arial" w:hAnsi="Arial" w:cs="Arial"/>
          <w:sz w:val="20"/>
          <w:szCs w:val="20"/>
        </w:rPr>
        <w:t>announcement</w:t>
      </w:r>
      <w:r w:rsidR="00540220">
        <w:rPr>
          <w:rFonts w:ascii="Arial" w:hAnsi="Arial" w:cs="Arial"/>
          <w:sz w:val="20"/>
          <w:szCs w:val="20"/>
        </w:rPr>
        <w:t>s</w:t>
      </w:r>
      <w:r w:rsidRPr="005C553F">
        <w:rPr>
          <w:rFonts w:ascii="Arial" w:hAnsi="Arial" w:cs="Arial"/>
          <w:sz w:val="20"/>
          <w:szCs w:val="20"/>
        </w:rPr>
        <w:t xml:space="preserve"> and, where relevant, the basis of acceptan</w:t>
      </w:r>
      <w:r w:rsidR="00540220">
        <w:rPr>
          <w:rFonts w:ascii="Arial" w:hAnsi="Arial" w:cs="Arial"/>
          <w:sz w:val="20"/>
          <w:szCs w:val="20"/>
        </w:rPr>
        <w:t>ce of excess applications of a new l</w:t>
      </w:r>
      <w:r w:rsidRPr="005C553F">
        <w:rPr>
          <w:rFonts w:ascii="Arial" w:hAnsi="Arial" w:cs="Arial"/>
          <w:sz w:val="20"/>
          <w:szCs w:val="20"/>
        </w:rPr>
        <w:t>isting by 11 p.m. on</w:t>
      </w:r>
      <w:r w:rsidR="00540220">
        <w:rPr>
          <w:rFonts w:ascii="Arial" w:hAnsi="Arial" w:cs="Arial"/>
          <w:sz w:val="20"/>
          <w:szCs w:val="20"/>
        </w:rPr>
        <w:t xml:space="preserve"> T+1</w:t>
      </w:r>
      <w:r w:rsidRPr="005C553F">
        <w:rPr>
          <w:rFonts w:ascii="Arial" w:hAnsi="Arial" w:cs="Arial"/>
          <w:sz w:val="20"/>
          <w:szCs w:val="20"/>
        </w:rPr>
        <w:t>,</w:t>
      </w:r>
      <w:r w:rsidR="007A7A7A" w:rsidRPr="005C553F">
        <w:rPr>
          <w:rStyle w:val="a9"/>
          <w:rFonts w:ascii="Arial" w:hAnsi="Arial" w:cs="Arial"/>
          <w:sz w:val="20"/>
          <w:szCs w:val="20"/>
        </w:rPr>
        <w:footnoteReference w:id="23"/>
      </w:r>
      <w:r w:rsidRPr="005C553F">
        <w:rPr>
          <w:rFonts w:ascii="Arial" w:hAnsi="Arial" w:cs="Arial"/>
          <w:sz w:val="20"/>
          <w:szCs w:val="20"/>
        </w:rPr>
        <w:t xml:space="preserve"> after the HKEX grants the </w:t>
      </w:r>
      <w:r w:rsidR="001A364A">
        <w:rPr>
          <w:rFonts w:ascii="Arial" w:hAnsi="Arial" w:cs="Arial"/>
          <w:sz w:val="20"/>
          <w:szCs w:val="20"/>
        </w:rPr>
        <w:t xml:space="preserve">final </w:t>
      </w:r>
      <w:r w:rsidRPr="005C553F">
        <w:rPr>
          <w:rFonts w:ascii="Arial" w:hAnsi="Arial" w:cs="Arial"/>
          <w:sz w:val="20"/>
          <w:szCs w:val="20"/>
        </w:rPr>
        <w:t>listing approval on the same day.</w:t>
      </w:r>
    </w:p>
    <w:p w:rsidR="009D544D" w:rsidRPr="00CA6876" w:rsidRDefault="009D544D" w:rsidP="00995340">
      <w:pPr>
        <w:jc w:val="both"/>
        <w:rPr>
          <w:rFonts w:ascii="Arial" w:hAnsi="Arial" w:cs="Arial"/>
          <w:b/>
          <w:color w:val="000000" w:themeColor="text1"/>
          <w:sz w:val="20"/>
          <w:szCs w:val="20"/>
        </w:rPr>
      </w:pPr>
      <w:r w:rsidRPr="00CA6876">
        <w:rPr>
          <w:rFonts w:ascii="Arial" w:hAnsi="Arial" w:cs="Arial"/>
          <w:b/>
          <w:color w:val="000000" w:themeColor="text1"/>
          <w:sz w:val="20"/>
          <w:szCs w:val="20"/>
        </w:rPr>
        <w:t>Arrangements during Bad Weather Signal</w:t>
      </w:r>
      <w:r w:rsidR="00E71B02">
        <w:rPr>
          <w:rFonts w:ascii="Arial" w:hAnsi="Arial" w:cs="Arial"/>
          <w:b/>
          <w:color w:val="000000" w:themeColor="text1"/>
          <w:sz w:val="20"/>
          <w:szCs w:val="20"/>
        </w:rPr>
        <w:t>s</w:t>
      </w:r>
    </w:p>
    <w:p w:rsidR="009D544D" w:rsidRPr="005C553F" w:rsidRDefault="009D544D"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 xml:space="preserve">As the operation of FINI will not be disrupted by adverse weather, </w:t>
      </w:r>
      <w:r w:rsidR="001A364A">
        <w:rPr>
          <w:rFonts w:ascii="Arial" w:hAnsi="Arial" w:cs="Arial"/>
          <w:color w:val="000000" w:themeColor="text1"/>
          <w:sz w:val="20"/>
          <w:szCs w:val="20"/>
        </w:rPr>
        <w:t xml:space="preserve">the </w:t>
      </w:r>
      <w:r w:rsidRPr="005C553F">
        <w:rPr>
          <w:rFonts w:ascii="Arial" w:hAnsi="Arial" w:cs="Arial"/>
          <w:color w:val="000000" w:themeColor="text1"/>
          <w:sz w:val="20"/>
          <w:szCs w:val="20"/>
        </w:rPr>
        <w:t xml:space="preserve">current provisions in the </w:t>
      </w:r>
      <w:r w:rsidR="001A364A">
        <w:rPr>
          <w:rFonts w:ascii="Arial" w:hAnsi="Arial" w:cs="Arial"/>
          <w:color w:val="000000" w:themeColor="text1"/>
          <w:sz w:val="20"/>
          <w:szCs w:val="20"/>
        </w:rPr>
        <w:t xml:space="preserve">HKEX </w:t>
      </w:r>
      <w:r w:rsidRPr="005C553F">
        <w:rPr>
          <w:rFonts w:ascii="Arial" w:hAnsi="Arial" w:cs="Arial"/>
          <w:color w:val="000000" w:themeColor="text1"/>
          <w:sz w:val="20"/>
          <w:szCs w:val="20"/>
        </w:rPr>
        <w:t>Listing Rules mandating the postponement of the listing timetable in the event of a Bad Weather Signal</w:t>
      </w:r>
      <w:r w:rsidR="00636474" w:rsidRPr="005C553F">
        <w:rPr>
          <w:rFonts w:ascii="Arial" w:hAnsi="Arial" w:cs="Arial"/>
          <w:color w:val="000000" w:themeColor="text1"/>
          <w:sz w:val="20"/>
          <w:szCs w:val="20"/>
        </w:rPr>
        <w:t xml:space="preserve"> being issued</w:t>
      </w:r>
      <w:r w:rsidRPr="005C553F">
        <w:rPr>
          <w:rFonts w:ascii="Arial" w:hAnsi="Arial" w:cs="Arial"/>
          <w:color w:val="000000" w:themeColor="text1"/>
          <w:sz w:val="20"/>
          <w:szCs w:val="20"/>
        </w:rPr>
        <w:t xml:space="preserve"> on the scheduled date of publication of the allotment results announcement or grant of listing approval will be removed.</w:t>
      </w:r>
      <w:r w:rsidRPr="005C553F">
        <w:rPr>
          <w:rStyle w:val="a9"/>
          <w:rFonts w:ascii="Arial" w:hAnsi="Arial" w:cs="Arial"/>
          <w:color w:val="000000" w:themeColor="text1"/>
          <w:sz w:val="20"/>
          <w:szCs w:val="20"/>
        </w:rPr>
        <w:footnoteReference w:id="24"/>
      </w:r>
    </w:p>
    <w:p w:rsidR="009D544D" w:rsidRPr="00CA6876" w:rsidRDefault="000F7432" w:rsidP="00995340">
      <w:pPr>
        <w:jc w:val="both"/>
        <w:rPr>
          <w:rFonts w:ascii="Arial" w:hAnsi="Arial" w:cs="Arial"/>
          <w:b/>
          <w:color w:val="000000" w:themeColor="text1"/>
          <w:sz w:val="20"/>
          <w:szCs w:val="20"/>
        </w:rPr>
      </w:pPr>
      <w:r w:rsidRPr="00CA6876">
        <w:rPr>
          <w:rFonts w:ascii="Arial" w:hAnsi="Arial" w:cs="Arial"/>
          <w:b/>
          <w:color w:val="000000" w:themeColor="text1"/>
          <w:sz w:val="20"/>
          <w:szCs w:val="20"/>
        </w:rPr>
        <w:t xml:space="preserve">Multiple </w:t>
      </w:r>
      <w:r w:rsidR="009D544D" w:rsidRPr="00CA6876">
        <w:rPr>
          <w:rFonts w:ascii="Arial" w:hAnsi="Arial" w:cs="Arial"/>
          <w:b/>
          <w:color w:val="000000" w:themeColor="text1"/>
          <w:sz w:val="20"/>
          <w:szCs w:val="20"/>
        </w:rPr>
        <w:t xml:space="preserve">Applications across the Subscription Tranche and the Placing Tranche </w:t>
      </w:r>
    </w:p>
    <w:p w:rsidR="000F7432" w:rsidRPr="005C553F" w:rsidRDefault="000A7CB6"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 xml:space="preserve">Investors are allowed to apply for shares in both the subscription and placing tranches, provided that both tranches are completed at the same time. Shares in the placing tranche may be distributed to investors who were not able to obtain shares in the subscription tranche. However, </w:t>
      </w:r>
      <w:r w:rsidR="009D544D" w:rsidRPr="005C553F">
        <w:rPr>
          <w:rFonts w:ascii="Arial" w:hAnsi="Arial" w:cs="Arial"/>
          <w:color w:val="000000" w:themeColor="text1"/>
          <w:sz w:val="20"/>
          <w:szCs w:val="20"/>
        </w:rPr>
        <w:t xml:space="preserve">under the </w:t>
      </w:r>
      <w:r w:rsidR="001A364A">
        <w:rPr>
          <w:rFonts w:ascii="Arial" w:hAnsi="Arial" w:cs="Arial"/>
          <w:color w:val="000000" w:themeColor="text1"/>
          <w:sz w:val="20"/>
          <w:szCs w:val="20"/>
        </w:rPr>
        <w:t xml:space="preserve">Listing Rule </w:t>
      </w:r>
      <w:r w:rsidR="005034F5">
        <w:rPr>
          <w:rFonts w:ascii="Arial" w:hAnsi="Arial" w:cs="Arial"/>
          <w:color w:val="000000" w:themeColor="text1"/>
          <w:sz w:val="20"/>
          <w:szCs w:val="20"/>
        </w:rPr>
        <w:t>A</w:t>
      </w:r>
      <w:r w:rsidR="009D544D" w:rsidRPr="005C553F">
        <w:rPr>
          <w:rFonts w:ascii="Arial" w:hAnsi="Arial" w:cs="Arial"/>
          <w:color w:val="000000" w:themeColor="text1"/>
          <w:sz w:val="20"/>
          <w:szCs w:val="20"/>
        </w:rPr>
        <w:t xml:space="preserve">mendments, it </w:t>
      </w:r>
      <w:r w:rsidR="001A364A">
        <w:rPr>
          <w:rFonts w:ascii="Arial" w:hAnsi="Arial" w:cs="Arial"/>
          <w:color w:val="000000" w:themeColor="text1"/>
          <w:sz w:val="20"/>
          <w:szCs w:val="20"/>
        </w:rPr>
        <w:t xml:space="preserve">will </w:t>
      </w:r>
      <w:r w:rsidR="009D544D" w:rsidRPr="005C553F">
        <w:rPr>
          <w:rFonts w:ascii="Arial" w:hAnsi="Arial" w:cs="Arial"/>
          <w:color w:val="000000" w:themeColor="text1"/>
          <w:sz w:val="20"/>
          <w:szCs w:val="20"/>
        </w:rPr>
        <w:t xml:space="preserve">no longer </w:t>
      </w:r>
      <w:r w:rsidR="001A364A">
        <w:rPr>
          <w:rFonts w:ascii="Arial" w:hAnsi="Arial" w:cs="Arial"/>
          <w:color w:val="000000" w:themeColor="text1"/>
          <w:sz w:val="20"/>
          <w:szCs w:val="20"/>
        </w:rPr>
        <w:t xml:space="preserve">be </w:t>
      </w:r>
      <w:r w:rsidR="009D544D" w:rsidRPr="005C553F">
        <w:rPr>
          <w:rFonts w:ascii="Arial" w:hAnsi="Arial" w:cs="Arial"/>
          <w:color w:val="000000" w:themeColor="text1"/>
          <w:sz w:val="20"/>
          <w:szCs w:val="20"/>
        </w:rPr>
        <w:t>possible for investors who did not obtain shares in the placing tranche to receive shares from the subscription tranche</w:t>
      </w:r>
      <w:r w:rsidR="009D544D" w:rsidRPr="005C553F">
        <w:rPr>
          <w:rFonts w:ascii="Arial" w:hAnsi="Arial" w:cs="Arial"/>
          <w:sz w:val="20"/>
          <w:szCs w:val="20"/>
        </w:rPr>
        <w:t xml:space="preserve"> (i.e. re-allocations from the placing tranche to the subscription tranche</w:t>
      </w:r>
      <w:r w:rsidR="00810D86" w:rsidRPr="005C553F">
        <w:rPr>
          <w:rFonts w:ascii="Arial" w:hAnsi="Arial" w:cs="Arial"/>
          <w:sz w:val="20"/>
          <w:szCs w:val="20"/>
        </w:rPr>
        <w:t xml:space="preserve"> after </w:t>
      </w:r>
      <w:r w:rsidR="00810D86" w:rsidRPr="0019539A">
        <w:rPr>
          <w:rFonts w:ascii="Arial" w:hAnsi="Arial" w:cs="Arial"/>
          <w:color w:val="000000" w:themeColor="text1"/>
          <w:sz w:val="20"/>
          <w:szCs w:val="20"/>
        </w:rPr>
        <w:t>share allocation for the subscription tranche</w:t>
      </w:r>
      <w:r w:rsidR="009D544D" w:rsidRPr="0019539A">
        <w:rPr>
          <w:rFonts w:ascii="Arial" w:hAnsi="Arial" w:cs="Arial"/>
          <w:color w:val="000000" w:themeColor="text1"/>
          <w:sz w:val="20"/>
          <w:szCs w:val="20"/>
        </w:rPr>
        <w:t>).</w:t>
      </w:r>
      <w:r w:rsidR="000B0D42" w:rsidRPr="0019539A">
        <w:rPr>
          <w:rStyle w:val="a9"/>
          <w:rFonts w:ascii="Arial" w:hAnsi="Arial" w:cs="Arial"/>
          <w:color w:val="000000" w:themeColor="text1"/>
          <w:sz w:val="20"/>
          <w:szCs w:val="20"/>
        </w:rPr>
        <w:footnoteReference w:id="25"/>
      </w:r>
      <w:r w:rsidR="001A364A" w:rsidRPr="0019539A">
        <w:rPr>
          <w:rStyle w:val="a9"/>
        </w:rPr>
        <w:t xml:space="preserve"> </w:t>
      </w:r>
      <w:r w:rsidR="0019539A">
        <w:t xml:space="preserve">This is because, </w:t>
      </w:r>
      <w:r w:rsidR="0019539A">
        <w:rPr>
          <w:rFonts w:ascii="Arial" w:hAnsi="Arial" w:cs="Arial"/>
          <w:color w:val="000000" w:themeColor="text1"/>
          <w:sz w:val="20"/>
          <w:szCs w:val="20"/>
        </w:rPr>
        <w:t>u</w:t>
      </w:r>
      <w:r w:rsidR="001A364A">
        <w:rPr>
          <w:rFonts w:ascii="Arial" w:hAnsi="Arial" w:cs="Arial"/>
          <w:color w:val="000000" w:themeColor="text1"/>
          <w:sz w:val="20"/>
          <w:szCs w:val="20"/>
        </w:rPr>
        <w:t>nder FINI,</w:t>
      </w:r>
      <w:r w:rsidR="009D544D" w:rsidRPr="005C553F">
        <w:rPr>
          <w:rFonts w:ascii="Arial" w:hAnsi="Arial" w:cs="Arial"/>
          <w:color w:val="000000" w:themeColor="text1"/>
          <w:sz w:val="20"/>
          <w:szCs w:val="20"/>
        </w:rPr>
        <w:t xml:space="preserve"> </w:t>
      </w:r>
      <w:r w:rsidR="001A364A" w:rsidRPr="0019539A">
        <w:rPr>
          <w:rFonts w:ascii="Arial" w:hAnsi="Arial" w:cs="Arial"/>
          <w:color w:val="000000" w:themeColor="text1"/>
          <w:sz w:val="20"/>
          <w:szCs w:val="20"/>
        </w:rPr>
        <w:t>the deadline for the allocation of shares in the public offer tranche will be 12:00 a.m. on “T-day”</w:t>
      </w:r>
      <w:r w:rsidR="0019539A">
        <w:rPr>
          <w:rFonts w:ascii="Arial" w:hAnsi="Arial" w:cs="Arial"/>
          <w:color w:val="000000" w:themeColor="text1"/>
          <w:sz w:val="20"/>
          <w:szCs w:val="20"/>
        </w:rPr>
        <w:t xml:space="preserve"> and</w:t>
      </w:r>
      <w:r w:rsidR="001A364A" w:rsidRPr="005C553F">
        <w:rPr>
          <w:rFonts w:ascii="Arial" w:hAnsi="Arial" w:cs="Arial"/>
          <w:color w:val="000000" w:themeColor="text1"/>
          <w:sz w:val="20"/>
          <w:szCs w:val="20"/>
        </w:rPr>
        <w:t xml:space="preserve"> </w:t>
      </w:r>
      <w:r w:rsidR="009D544D" w:rsidRPr="005C553F">
        <w:rPr>
          <w:rFonts w:ascii="Arial" w:hAnsi="Arial" w:cs="Arial"/>
          <w:color w:val="000000" w:themeColor="text1"/>
          <w:sz w:val="20"/>
          <w:szCs w:val="20"/>
        </w:rPr>
        <w:t xml:space="preserve">the balloting results for the </w:t>
      </w:r>
      <w:r w:rsidR="001A364A">
        <w:rPr>
          <w:rFonts w:ascii="Arial" w:hAnsi="Arial" w:cs="Arial"/>
          <w:color w:val="000000" w:themeColor="text1"/>
          <w:sz w:val="20"/>
          <w:szCs w:val="20"/>
        </w:rPr>
        <w:t xml:space="preserve">public offer </w:t>
      </w:r>
      <w:r w:rsidR="009D544D" w:rsidRPr="005C553F">
        <w:rPr>
          <w:rFonts w:ascii="Arial" w:hAnsi="Arial" w:cs="Arial"/>
          <w:color w:val="000000" w:themeColor="text1"/>
          <w:sz w:val="20"/>
          <w:szCs w:val="20"/>
        </w:rPr>
        <w:t xml:space="preserve">tranche will be </w:t>
      </w:r>
      <w:r w:rsidR="0019539A">
        <w:rPr>
          <w:rFonts w:ascii="Arial" w:hAnsi="Arial" w:cs="Arial"/>
          <w:color w:val="000000" w:themeColor="text1"/>
          <w:sz w:val="20"/>
          <w:szCs w:val="20"/>
        </w:rPr>
        <w:t>available by 5.30 p</w:t>
      </w:r>
      <w:r w:rsidR="009E06A4">
        <w:rPr>
          <w:rFonts w:ascii="Arial" w:hAnsi="Arial" w:cs="Arial"/>
          <w:color w:val="000000" w:themeColor="text1"/>
          <w:sz w:val="20"/>
          <w:szCs w:val="20"/>
        </w:rPr>
        <w:t>.</w:t>
      </w:r>
      <w:r w:rsidR="0019539A">
        <w:rPr>
          <w:rFonts w:ascii="Arial" w:hAnsi="Arial" w:cs="Arial"/>
          <w:color w:val="000000" w:themeColor="text1"/>
          <w:sz w:val="20"/>
          <w:szCs w:val="20"/>
        </w:rPr>
        <w:t>m</w:t>
      </w:r>
      <w:r w:rsidR="009E06A4">
        <w:rPr>
          <w:rFonts w:ascii="Arial" w:hAnsi="Arial" w:cs="Arial"/>
          <w:color w:val="000000" w:themeColor="text1"/>
          <w:sz w:val="20"/>
          <w:szCs w:val="20"/>
        </w:rPr>
        <w:t>.</w:t>
      </w:r>
      <w:r w:rsidR="0019539A">
        <w:rPr>
          <w:rFonts w:ascii="Arial" w:hAnsi="Arial" w:cs="Arial"/>
          <w:color w:val="000000" w:themeColor="text1"/>
          <w:sz w:val="20"/>
          <w:szCs w:val="20"/>
        </w:rPr>
        <w:t xml:space="preserve"> </w:t>
      </w:r>
      <w:r w:rsidR="0019539A" w:rsidRPr="0019539A">
        <w:rPr>
          <w:rFonts w:ascii="Arial" w:hAnsi="Arial" w:cs="Arial"/>
          <w:color w:val="000000" w:themeColor="text1"/>
          <w:sz w:val="20"/>
          <w:szCs w:val="20"/>
        </w:rPr>
        <w:t>on “T-day”</w:t>
      </w:r>
      <w:r w:rsidR="0019539A">
        <w:rPr>
          <w:rFonts w:ascii="Arial" w:hAnsi="Arial" w:cs="Arial"/>
          <w:color w:val="000000" w:themeColor="text1"/>
          <w:sz w:val="20"/>
          <w:szCs w:val="20"/>
        </w:rPr>
        <w:t xml:space="preserve">, </w:t>
      </w:r>
      <w:r w:rsidR="009D544D" w:rsidRPr="005C553F">
        <w:rPr>
          <w:rFonts w:ascii="Arial" w:hAnsi="Arial" w:cs="Arial"/>
          <w:color w:val="000000" w:themeColor="text1"/>
          <w:sz w:val="20"/>
          <w:szCs w:val="20"/>
        </w:rPr>
        <w:t xml:space="preserve">before the </w:t>
      </w:r>
      <w:r w:rsidR="0019539A">
        <w:rPr>
          <w:rFonts w:ascii="Arial" w:hAnsi="Arial" w:cs="Arial"/>
          <w:color w:val="000000" w:themeColor="text1"/>
          <w:sz w:val="20"/>
          <w:szCs w:val="20"/>
        </w:rPr>
        <w:t xml:space="preserve">deadline for submission of the </w:t>
      </w:r>
      <w:r w:rsidR="009D544D" w:rsidRPr="005C553F">
        <w:rPr>
          <w:rFonts w:ascii="Arial" w:hAnsi="Arial" w:cs="Arial"/>
          <w:color w:val="000000" w:themeColor="text1"/>
          <w:sz w:val="20"/>
          <w:szCs w:val="20"/>
        </w:rPr>
        <w:t>place</w:t>
      </w:r>
      <w:r w:rsidR="006F7F4C" w:rsidRPr="005C553F">
        <w:rPr>
          <w:rFonts w:ascii="Arial" w:hAnsi="Arial" w:cs="Arial"/>
          <w:color w:val="000000" w:themeColor="text1"/>
          <w:sz w:val="20"/>
          <w:szCs w:val="20"/>
        </w:rPr>
        <w:t>e</w:t>
      </w:r>
      <w:r w:rsidR="009D544D" w:rsidRPr="005C553F">
        <w:rPr>
          <w:rFonts w:ascii="Arial" w:hAnsi="Arial" w:cs="Arial"/>
          <w:color w:val="000000" w:themeColor="text1"/>
          <w:sz w:val="20"/>
          <w:szCs w:val="20"/>
        </w:rPr>
        <w:t xml:space="preserve"> </w:t>
      </w:r>
      <w:r w:rsidR="0019539A">
        <w:rPr>
          <w:rFonts w:ascii="Arial" w:hAnsi="Arial" w:cs="Arial"/>
          <w:color w:val="000000" w:themeColor="text1"/>
          <w:sz w:val="20"/>
          <w:szCs w:val="20"/>
        </w:rPr>
        <w:t>lists for the placing tranche which will be at 10 a.m. on</w:t>
      </w:r>
      <w:r w:rsidR="005034F5">
        <w:rPr>
          <w:rFonts w:ascii="Arial" w:hAnsi="Arial" w:cs="Arial"/>
          <w:color w:val="000000" w:themeColor="text1"/>
          <w:sz w:val="20"/>
          <w:szCs w:val="20"/>
        </w:rPr>
        <w:t xml:space="preserve"> </w:t>
      </w:r>
      <w:r w:rsidR="00A573EA" w:rsidRPr="00A573EA">
        <w:rPr>
          <w:rFonts w:ascii="Arial" w:hAnsi="Arial" w:cs="Arial"/>
          <w:color w:val="000000" w:themeColor="text1"/>
          <w:sz w:val="20"/>
          <w:szCs w:val="20"/>
        </w:rPr>
        <w:t>"T+1"</w:t>
      </w:r>
      <w:r w:rsidR="00A573EA">
        <w:rPr>
          <w:rFonts w:ascii="Arial" w:hAnsi="Arial" w:cs="Arial"/>
          <w:color w:val="000000" w:themeColor="text1"/>
          <w:sz w:val="20"/>
          <w:szCs w:val="20"/>
        </w:rPr>
        <w:t xml:space="preserve"> </w:t>
      </w:r>
      <w:r w:rsidR="0019539A">
        <w:rPr>
          <w:rFonts w:ascii="Arial" w:hAnsi="Arial" w:cs="Arial"/>
          <w:color w:val="000000" w:themeColor="text1"/>
          <w:sz w:val="20"/>
          <w:szCs w:val="20"/>
        </w:rPr>
        <w:t>day. The current Listing Rule requirement</w:t>
      </w:r>
      <w:r w:rsidR="0019539A" w:rsidRPr="0019539A">
        <w:rPr>
          <w:rStyle w:val="a9"/>
          <w:rFonts w:ascii="Arial" w:hAnsi="Arial" w:cs="Arial"/>
          <w:color w:val="000000" w:themeColor="text1"/>
          <w:sz w:val="20"/>
          <w:szCs w:val="20"/>
        </w:rPr>
        <w:footnoteReference w:id="26"/>
      </w:r>
      <w:r w:rsidR="0019539A">
        <w:rPr>
          <w:rFonts w:ascii="Arial" w:hAnsi="Arial" w:cs="Arial"/>
          <w:color w:val="000000" w:themeColor="text1"/>
          <w:sz w:val="20"/>
          <w:szCs w:val="20"/>
        </w:rPr>
        <w:t xml:space="preserve"> for underwriters to </w:t>
      </w:r>
      <w:r w:rsidR="009D544D" w:rsidRPr="005C553F">
        <w:rPr>
          <w:rFonts w:ascii="Arial" w:hAnsi="Arial" w:cs="Arial"/>
          <w:color w:val="000000" w:themeColor="text1"/>
          <w:sz w:val="20"/>
          <w:szCs w:val="20"/>
        </w:rPr>
        <w:t xml:space="preserve">identify and reject applications in the </w:t>
      </w:r>
      <w:r w:rsidR="0019539A">
        <w:rPr>
          <w:rFonts w:ascii="Arial" w:hAnsi="Arial" w:cs="Arial"/>
          <w:color w:val="000000" w:themeColor="text1"/>
          <w:sz w:val="20"/>
          <w:szCs w:val="20"/>
        </w:rPr>
        <w:t xml:space="preserve">public offer </w:t>
      </w:r>
      <w:r w:rsidR="009D544D" w:rsidRPr="005C553F">
        <w:rPr>
          <w:rFonts w:ascii="Arial" w:hAnsi="Arial" w:cs="Arial"/>
          <w:color w:val="000000" w:themeColor="text1"/>
          <w:sz w:val="20"/>
          <w:szCs w:val="20"/>
        </w:rPr>
        <w:t>tranche from investors that received shares in the placing tranche will</w:t>
      </w:r>
      <w:r w:rsidR="0019539A">
        <w:rPr>
          <w:rFonts w:ascii="Arial" w:hAnsi="Arial" w:cs="Arial"/>
          <w:color w:val="000000" w:themeColor="text1"/>
          <w:sz w:val="20"/>
          <w:szCs w:val="20"/>
        </w:rPr>
        <w:t xml:space="preserve"> therefore</w:t>
      </w:r>
      <w:r w:rsidR="009D544D" w:rsidRPr="005C553F">
        <w:rPr>
          <w:rFonts w:ascii="Arial" w:hAnsi="Arial" w:cs="Arial"/>
          <w:color w:val="000000" w:themeColor="text1"/>
          <w:sz w:val="20"/>
          <w:szCs w:val="20"/>
        </w:rPr>
        <w:t xml:space="preserve"> no longer </w:t>
      </w:r>
      <w:r w:rsidR="0019539A">
        <w:rPr>
          <w:rFonts w:ascii="Arial" w:hAnsi="Arial" w:cs="Arial"/>
          <w:color w:val="000000" w:themeColor="text1"/>
          <w:sz w:val="20"/>
          <w:szCs w:val="20"/>
        </w:rPr>
        <w:t>apply</w:t>
      </w:r>
      <w:r w:rsidR="009D544D" w:rsidRPr="005C553F">
        <w:rPr>
          <w:rFonts w:ascii="Arial" w:hAnsi="Arial" w:cs="Arial"/>
          <w:color w:val="000000" w:themeColor="text1"/>
          <w:sz w:val="20"/>
          <w:szCs w:val="20"/>
        </w:rPr>
        <w:t>.</w:t>
      </w:r>
    </w:p>
    <w:p w:rsidR="006B1374" w:rsidRPr="005C553F" w:rsidRDefault="006B1374" w:rsidP="00995340">
      <w:pPr>
        <w:jc w:val="both"/>
        <w:rPr>
          <w:rFonts w:ascii="Arial" w:hAnsi="Arial" w:cs="Arial"/>
          <w:b/>
          <w:color w:val="FF0000"/>
          <w:sz w:val="20"/>
          <w:szCs w:val="20"/>
        </w:rPr>
      </w:pPr>
      <w:r w:rsidRPr="005C553F">
        <w:rPr>
          <w:rFonts w:ascii="Arial" w:hAnsi="Arial" w:cs="Arial"/>
          <w:b/>
          <w:color w:val="FF0000"/>
          <w:sz w:val="20"/>
          <w:szCs w:val="20"/>
        </w:rPr>
        <w:t>Housekeeping Rule Amendments</w:t>
      </w:r>
    </w:p>
    <w:p w:rsidR="009D544D" w:rsidRPr="005C553F" w:rsidRDefault="00EB3993"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 xml:space="preserve">The Housekeeping Rule Amendments </w:t>
      </w:r>
      <w:r w:rsidR="00BD015A">
        <w:rPr>
          <w:rFonts w:ascii="Arial" w:hAnsi="Arial" w:cs="Arial"/>
          <w:color w:val="000000" w:themeColor="text1"/>
          <w:sz w:val="20"/>
          <w:szCs w:val="20"/>
        </w:rPr>
        <w:t xml:space="preserve">will </w:t>
      </w:r>
      <w:r w:rsidR="009D544D" w:rsidRPr="005C553F">
        <w:rPr>
          <w:rFonts w:ascii="Arial" w:hAnsi="Arial" w:cs="Arial"/>
          <w:color w:val="000000" w:themeColor="text1"/>
          <w:sz w:val="20"/>
          <w:szCs w:val="20"/>
        </w:rPr>
        <w:t>c</w:t>
      </w:r>
      <w:r w:rsidR="007A0CB3" w:rsidRPr="005C553F">
        <w:rPr>
          <w:rFonts w:ascii="Arial" w:hAnsi="Arial" w:cs="Arial"/>
          <w:color w:val="000000" w:themeColor="text1"/>
          <w:sz w:val="20"/>
          <w:szCs w:val="20"/>
        </w:rPr>
        <w:t>odify</w:t>
      </w:r>
      <w:r w:rsidRPr="005C553F">
        <w:rPr>
          <w:rFonts w:ascii="Arial" w:hAnsi="Arial" w:cs="Arial"/>
          <w:color w:val="000000" w:themeColor="text1"/>
          <w:sz w:val="20"/>
          <w:szCs w:val="20"/>
        </w:rPr>
        <w:t xml:space="preserve"> c</w:t>
      </w:r>
      <w:r w:rsidR="00872D4E">
        <w:rPr>
          <w:rFonts w:ascii="Arial" w:hAnsi="Arial" w:cs="Arial"/>
          <w:color w:val="000000" w:themeColor="text1"/>
          <w:sz w:val="20"/>
          <w:szCs w:val="20"/>
        </w:rPr>
        <w:t>ertain existing practice</w:t>
      </w:r>
      <w:r w:rsidR="00BD015A">
        <w:rPr>
          <w:rFonts w:ascii="Arial" w:hAnsi="Arial" w:cs="Arial"/>
          <w:color w:val="000000" w:themeColor="text1"/>
          <w:sz w:val="20"/>
          <w:szCs w:val="20"/>
        </w:rPr>
        <w:t xml:space="preserve">s that are unrelated to FINI </w:t>
      </w:r>
      <w:r w:rsidR="007A0CB3" w:rsidRPr="005C553F">
        <w:rPr>
          <w:rFonts w:ascii="Arial" w:hAnsi="Arial" w:cs="Arial"/>
          <w:color w:val="000000" w:themeColor="text1"/>
          <w:sz w:val="20"/>
          <w:szCs w:val="20"/>
        </w:rPr>
        <w:t>and</w:t>
      </w:r>
      <w:r w:rsidRPr="005C553F">
        <w:rPr>
          <w:rFonts w:ascii="Arial" w:hAnsi="Arial" w:cs="Arial"/>
          <w:color w:val="000000" w:themeColor="text1"/>
          <w:sz w:val="20"/>
          <w:szCs w:val="20"/>
        </w:rPr>
        <w:t xml:space="preserve"> </w:t>
      </w:r>
      <w:r w:rsidR="009D544D" w:rsidRPr="005C553F">
        <w:rPr>
          <w:rFonts w:ascii="Arial" w:hAnsi="Arial" w:cs="Arial"/>
          <w:color w:val="000000" w:themeColor="text1"/>
          <w:sz w:val="20"/>
          <w:szCs w:val="20"/>
        </w:rPr>
        <w:t>c</w:t>
      </w:r>
      <w:r w:rsidR="007A0CB3" w:rsidRPr="005C553F">
        <w:rPr>
          <w:rFonts w:ascii="Arial" w:hAnsi="Arial" w:cs="Arial"/>
          <w:color w:val="000000" w:themeColor="text1"/>
          <w:sz w:val="20"/>
          <w:szCs w:val="20"/>
        </w:rPr>
        <w:t>larify</w:t>
      </w:r>
      <w:r w:rsidR="00BD015A">
        <w:rPr>
          <w:rFonts w:ascii="Arial" w:hAnsi="Arial" w:cs="Arial"/>
          <w:color w:val="000000" w:themeColor="text1"/>
          <w:sz w:val="20"/>
          <w:szCs w:val="20"/>
        </w:rPr>
        <w:t xml:space="preserve"> that</w:t>
      </w:r>
      <w:r w:rsidR="007A0CB3" w:rsidRPr="005C553F">
        <w:rPr>
          <w:rFonts w:ascii="Arial" w:hAnsi="Arial" w:cs="Arial"/>
          <w:color w:val="000000" w:themeColor="text1"/>
          <w:sz w:val="20"/>
          <w:szCs w:val="20"/>
        </w:rPr>
        <w:t xml:space="preserve"> the arrangements </w:t>
      </w:r>
      <w:r w:rsidR="00BD015A">
        <w:rPr>
          <w:rFonts w:ascii="Arial" w:hAnsi="Arial" w:cs="Arial"/>
          <w:color w:val="000000" w:themeColor="text1"/>
          <w:sz w:val="20"/>
          <w:szCs w:val="20"/>
        </w:rPr>
        <w:t>for when bad weather s</w:t>
      </w:r>
      <w:r w:rsidR="007A0CB3" w:rsidRPr="005C553F">
        <w:rPr>
          <w:rFonts w:ascii="Arial" w:hAnsi="Arial" w:cs="Arial"/>
          <w:color w:val="000000" w:themeColor="text1"/>
          <w:sz w:val="20"/>
          <w:szCs w:val="20"/>
        </w:rPr>
        <w:t xml:space="preserve">ignals </w:t>
      </w:r>
      <w:r w:rsidR="00BD015A">
        <w:rPr>
          <w:rFonts w:ascii="Arial" w:hAnsi="Arial" w:cs="Arial"/>
          <w:color w:val="000000" w:themeColor="text1"/>
          <w:sz w:val="20"/>
          <w:szCs w:val="20"/>
        </w:rPr>
        <w:t>are issued apply only to new l</w:t>
      </w:r>
      <w:r w:rsidR="007A0CB3" w:rsidRPr="005C553F">
        <w:rPr>
          <w:rFonts w:ascii="Arial" w:hAnsi="Arial" w:cs="Arial"/>
          <w:color w:val="000000" w:themeColor="text1"/>
          <w:sz w:val="20"/>
          <w:szCs w:val="20"/>
        </w:rPr>
        <w:t>istings</w:t>
      </w:r>
      <w:r w:rsidR="009D544D" w:rsidRPr="005C553F">
        <w:rPr>
          <w:rFonts w:ascii="Arial" w:hAnsi="Arial" w:cs="Arial"/>
          <w:color w:val="000000" w:themeColor="text1"/>
          <w:sz w:val="20"/>
          <w:szCs w:val="20"/>
        </w:rPr>
        <w:t xml:space="preserve"> and post-listing public offers.</w:t>
      </w:r>
      <w:r w:rsidRPr="005C553F">
        <w:rPr>
          <w:rFonts w:ascii="Arial" w:hAnsi="Arial" w:cs="Arial"/>
          <w:color w:val="000000" w:themeColor="text1"/>
          <w:sz w:val="20"/>
          <w:szCs w:val="20"/>
        </w:rPr>
        <w:t xml:space="preserve"> </w:t>
      </w:r>
    </w:p>
    <w:p w:rsidR="00E9616B" w:rsidRPr="005C553F" w:rsidRDefault="00E9616B" w:rsidP="00995340">
      <w:pPr>
        <w:jc w:val="both"/>
        <w:rPr>
          <w:rFonts w:ascii="Arial" w:hAnsi="Arial" w:cs="Arial"/>
          <w:color w:val="FF0000"/>
          <w:sz w:val="20"/>
          <w:szCs w:val="20"/>
        </w:rPr>
      </w:pPr>
      <w:r w:rsidRPr="005C553F">
        <w:rPr>
          <w:rFonts w:ascii="Arial" w:hAnsi="Arial" w:cs="Arial"/>
          <w:color w:val="FF0000"/>
          <w:sz w:val="20"/>
          <w:szCs w:val="20"/>
        </w:rPr>
        <w:t>Renaming of Financial Reporting Council</w:t>
      </w:r>
    </w:p>
    <w:p w:rsidR="0093624D" w:rsidRPr="005C553F" w:rsidRDefault="00EF0865"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Th</w:t>
      </w:r>
      <w:r w:rsidR="002E4F35" w:rsidRPr="005C553F">
        <w:rPr>
          <w:rFonts w:ascii="Arial" w:hAnsi="Arial" w:cs="Arial"/>
          <w:color w:val="000000" w:themeColor="text1"/>
          <w:sz w:val="20"/>
          <w:szCs w:val="20"/>
        </w:rPr>
        <w:t>e Financial Reporting Council (</w:t>
      </w:r>
      <w:r w:rsidRPr="005C553F">
        <w:rPr>
          <w:rFonts w:ascii="Arial" w:hAnsi="Arial" w:cs="Arial"/>
          <w:b/>
          <w:color w:val="000000" w:themeColor="text1"/>
          <w:sz w:val="20"/>
          <w:szCs w:val="20"/>
        </w:rPr>
        <w:t>FRC</w:t>
      </w:r>
      <w:r w:rsidRPr="005C553F">
        <w:rPr>
          <w:rFonts w:ascii="Arial" w:hAnsi="Arial" w:cs="Arial"/>
          <w:color w:val="000000" w:themeColor="text1"/>
          <w:sz w:val="20"/>
          <w:szCs w:val="20"/>
        </w:rPr>
        <w:t xml:space="preserve">) was renamed </w:t>
      </w:r>
      <w:r w:rsidR="00E43922" w:rsidRPr="005C553F">
        <w:rPr>
          <w:rFonts w:ascii="Arial" w:hAnsi="Arial" w:cs="Arial"/>
          <w:color w:val="000000" w:themeColor="text1"/>
          <w:sz w:val="20"/>
          <w:szCs w:val="20"/>
        </w:rPr>
        <w:t xml:space="preserve">as </w:t>
      </w:r>
      <w:r w:rsidRPr="005C553F">
        <w:rPr>
          <w:rFonts w:ascii="Arial" w:hAnsi="Arial" w:cs="Arial"/>
          <w:color w:val="000000" w:themeColor="text1"/>
          <w:sz w:val="20"/>
          <w:szCs w:val="20"/>
        </w:rPr>
        <w:t>the Accounting an</w:t>
      </w:r>
      <w:r w:rsidR="002E4F35" w:rsidRPr="005C553F">
        <w:rPr>
          <w:rFonts w:ascii="Arial" w:hAnsi="Arial" w:cs="Arial"/>
          <w:color w:val="000000" w:themeColor="text1"/>
          <w:sz w:val="20"/>
          <w:szCs w:val="20"/>
        </w:rPr>
        <w:t>d Financial Reporting Council (</w:t>
      </w:r>
      <w:r w:rsidRPr="005C553F">
        <w:rPr>
          <w:rFonts w:ascii="Arial" w:hAnsi="Arial" w:cs="Arial"/>
          <w:b/>
          <w:color w:val="000000" w:themeColor="text1"/>
          <w:sz w:val="20"/>
          <w:szCs w:val="20"/>
        </w:rPr>
        <w:t>AFRC</w:t>
      </w:r>
      <w:r w:rsidR="002E4F35" w:rsidRPr="005C553F">
        <w:rPr>
          <w:rFonts w:ascii="Arial" w:hAnsi="Arial" w:cs="Arial"/>
          <w:color w:val="000000" w:themeColor="text1"/>
          <w:sz w:val="20"/>
          <w:szCs w:val="20"/>
        </w:rPr>
        <w:t xml:space="preserve">) </w:t>
      </w:r>
      <w:r w:rsidR="00BD015A">
        <w:rPr>
          <w:rFonts w:ascii="Arial" w:hAnsi="Arial" w:cs="Arial"/>
          <w:color w:val="000000" w:themeColor="text1"/>
          <w:sz w:val="20"/>
          <w:szCs w:val="20"/>
        </w:rPr>
        <w:t xml:space="preserve">with effect </w:t>
      </w:r>
      <w:r w:rsidR="00764A10" w:rsidRPr="005C553F">
        <w:rPr>
          <w:rFonts w:ascii="Arial" w:hAnsi="Arial" w:cs="Arial"/>
          <w:color w:val="000000" w:themeColor="text1"/>
          <w:sz w:val="20"/>
          <w:szCs w:val="20"/>
        </w:rPr>
        <w:t>from</w:t>
      </w:r>
      <w:r w:rsidR="002E4F35" w:rsidRPr="005C553F">
        <w:rPr>
          <w:rFonts w:ascii="Arial" w:hAnsi="Arial" w:cs="Arial"/>
          <w:color w:val="000000" w:themeColor="text1"/>
          <w:sz w:val="20"/>
          <w:szCs w:val="20"/>
        </w:rPr>
        <w:t xml:space="preserve"> 1 October 2022</w:t>
      </w:r>
      <w:r w:rsidRPr="005C553F">
        <w:rPr>
          <w:rFonts w:ascii="Arial" w:hAnsi="Arial" w:cs="Arial"/>
          <w:color w:val="000000" w:themeColor="text1"/>
          <w:sz w:val="20"/>
          <w:szCs w:val="20"/>
        </w:rPr>
        <w:t xml:space="preserve">. </w:t>
      </w:r>
      <w:r w:rsidR="00BD015A">
        <w:rPr>
          <w:rFonts w:ascii="Arial" w:hAnsi="Arial" w:cs="Arial"/>
          <w:color w:val="000000" w:themeColor="text1"/>
          <w:sz w:val="20"/>
          <w:szCs w:val="20"/>
        </w:rPr>
        <w:t>Listing Rule references to</w:t>
      </w:r>
      <w:r w:rsidR="00BD015A" w:rsidRPr="005C553F">
        <w:rPr>
          <w:rFonts w:ascii="Arial" w:hAnsi="Arial" w:cs="Arial"/>
          <w:color w:val="000000" w:themeColor="text1"/>
          <w:sz w:val="20"/>
          <w:szCs w:val="20"/>
        </w:rPr>
        <w:t xml:space="preserve"> </w:t>
      </w:r>
      <w:r w:rsidR="002E4F35" w:rsidRPr="005C553F">
        <w:rPr>
          <w:rFonts w:ascii="Arial" w:hAnsi="Arial" w:cs="Arial"/>
          <w:color w:val="000000" w:themeColor="text1"/>
          <w:sz w:val="20"/>
          <w:szCs w:val="20"/>
        </w:rPr>
        <w:t>the</w:t>
      </w:r>
      <w:r w:rsidRPr="005C553F">
        <w:rPr>
          <w:rFonts w:ascii="Arial" w:hAnsi="Arial" w:cs="Arial"/>
          <w:color w:val="000000" w:themeColor="text1"/>
          <w:sz w:val="20"/>
          <w:szCs w:val="20"/>
        </w:rPr>
        <w:t xml:space="preserve"> FRC and </w:t>
      </w:r>
      <w:r w:rsidR="00E741D8" w:rsidRPr="005C553F">
        <w:rPr>
          <w:rFonts w:ascii="Arial" w:hAnsi="Arial" w:cs="Arial"/>
          <w:color w:val="000000" w:themeColor="text1"/>
          <w:sz w:val="20"/>
          <w:szCs w:val="20"/>
        </w:rPr>
        <w:t xml:space="preserve">the </w:t>
      </w:r>
      <w:r w:rsidRPr="005C553F">
        <w:rPr>
          <w:rFonts w:ascii="Arial" w:hAnsi="Arial" w:cs="Arial"/>
          <w:color w:val="000000" w:themeColor="text1"/>
          <w:sz w:val="20"/>
          <w:szCs w:val="20"/>
        </w:rPr>
        <w:t>Financial Reporting Council Ordinance (</w:t>
      </w:r>
      <w:r w:rsidRPr="005C553F">
        <w:rPr>
          <w:rFonts w:ascii="Arial" w:hAnsi="Arial" w:cs="Arial"/>
          <w:b/>
          <w:color w:val="000000" w:themeColor="text1"/>
          <w:sz w:val="20"/>
          <w:szCs w:val="20"/>
        </w:rPr>
        <w:t>FRCO</w:t>
      </w:r>
      <w:r w:rsidRPr="005C553F">
        <w:rPr>
          <w:rFonts w:ascii="Arial" w:hAnsi="Arial" w:cs="Arial"/>
          <w:color w:val="000000" w:themeColor="text1"/>
          <w:sz w:val="20"/>
          <w:szCs w:val="20"/>
        </w:rPr>
        <w:t>) will</w:t>
      </w:r>
      <w:r w:rsidR="00BD015A">
        <w:rPr>
          <w:rFonts w:ascii="Arial" w:hAnsi="Arial" w:cs="Arial"/>
          <w:color w:val="000000" w:themeColor="text1"/>
          <w:sz w:val="20"/>
          <w:szCs w:val="20"/>
        </w:rPr>
        <w:t xml:space="preserve"> therefore be updated to refer to the</w:t>
      </w:r>
      <w:r w:rsidRPr="005C553F">
        <w:rPr>
          <w:rFonts w:ascii="Arial" w:hAnsi="Arial" w:cs="Arial"/>
          <w:color w:val="000000" w:themeColor="text1"/>
          <w:sz w:val="20"/>
          <w:szCs w:val="20"/>
        </w:rPr>
        <w:t xml:space="preserve"> AFRC and the Accounting and Financial Reporting Council Ordinance (</w:t>
      </w:r>
      <w:r w:rsidRPr="005C553F">
        <w:rPr>
          <w:rFonts w:ascii="Arial" w:hAnsi="Arial" w:cs="Arial"/>
          <w:b/>
          <w:color w:val="000000" w:themeColor="text1"/>
          <w:sz w:val="20"/>
          <w:szCs w:val="20"/>
        </w:rPr>
        <w:t>AFRCO</w:t>
      </w:r>
      <w:r w:rsidRPr="005C553F">
        <w:rPr>
          <w:rFonts w:ascii="Arial" w:hAnsi="Arial" w:cs="Arial"/>
          <w:color w:val="000000" w:themeColor="text1"/>
          <w:sz w:val="20"/>
          <w:szCs w:val="20"/>
        </w:rPr>
        <w:t>) respectively.</w:t>
      </w:r>
      <w:r w:rsidR="00556D95" w:rsidRPr="005C553F">
        <w:rPr>
          <w:rStyle w:val="a9"/>
          <w:rFonts w:ascii="Arial" w:hAnsi="Arial" w:cs="Arial"/>
          <w:color w:val="000000" w:themeColor="text1"/>
          <w:sz w:val="20"/>
          <w:szCs w:val="20"/>
        </w:rPr>
        <w:footnoteReference w:id="27"/>
      </w:r>
      <w:r w:rsidRPr="005C553F">
        <w:rPr>
          <w:rFonts w:ascii="Arial" w:hAnsi="Arial" w:cs="Arial"/>
          <w:color w:val="000000" w:themeColor="text1"/>
          <w:sz w:val="20"/>
          <w:szCs w:val="20"/>
        </w:rPr>
        <w:t xml:space="preserve"> </w:t>
      </w:r>
      <w:r w:rsidR="00764A10" w:rsidRPr="005C553F">
        <w:rPr>
          <w:rFonts w:ascii="Arial" w:hAnsi="Arial" w:cs="Arial"/>
          <w:color w:val="000000" w:themeColor="text1"/>
          <w:sz w:val="20"/>
          <w:szCs w:val="20"/>
        </w:rPr>
        <w:t>Changes will also be made to reflect the transfer of major regulatory powers over the accounting profession from the Hong Kong Institute of Certified Public Accountants (</w:t>
      </w:r>
      <w:r w:rsidR="00764A10" w:rsidRPr="005C553F">
        <w:rPr>
          <w:rFonts w:ascii="Arial" w:hAnsi="Arial" w:cs="Arial"/>
          <w:b/>
          <w:color w:val="000000" w:themeColor="text1"/>
          <w:sz w:val="20"/>
          <w:szCs w:val="20"/>
        </w:rPr>
        <w:t>HKICPA</w:t>
      </w:r>
      <w:r w:rsidR="00764A10" w:rsidRPr="005C553F">
        <w:rPr>
          <w:rFonts w:ascii="Arial" w:hAnsi="Arial" w:cs="Arial"/>
          <w:color w:val="000000" w:themeColor="text1"/>
          <w:sz w:val="20"/>
          <w:szCs w:val="20"/>
        </w:rPr>
        <w:t>) to the AFRC.</w:t>
      </w:r>
    </w:p>
    <w:p w:rsidR="0093624D" w:rsidRPr="005C553F" w:rsidRDefault="0093624D" w:rsidP="00995340">
      <w:pPr>
        <w:jc w:val="both"/>
        <w:rPr>
          <w:rFonts w:ascii="Arial" w:hAnsi="Arial" w:cs="Arial"/>
          <w:color w:val="FF0000"/>
          <w:sz w:val="20"/>
          <w:szCs w:val="20"/>
        </w:rPr>
      </w:pPr>
      <w:r w:rsidRPr="005C553F">
        <w:rPr>
          <w:rFonts w:ascii="Arial" w:hAnsi="Arial" w:cs="Arial"/>
          <w:color w:val="FF0000"/>
          <w:sz w:val="20"/>
          <w:szCs w:val="20"/>
        </w:rPr>
        <w:t>Guidance</w:t>
      </w:r>
      <w:r w:rsidR="00240427" w:rsidRPr="005C553F">
        <w:rPr>
          <w:rFonts w:ascii="Arial" w:hAnsi="Arial" w:cs="Arial"/>
          <w:color w:val="FF0000"/>
          <w:sz w:val="20"/>
          <w:szCs w:val="20"/>
        </w:rPr>
        <w:t xml:space="preserve"> on A</w:t>
      </w:r>
      <w:r w:rsidR="00D14BC8">
        <w:rPr>
          <w:rFonts w:ascii="Arial" w:hAnsi="Arial" w:cs="Arial"/>
          <w:color w:val="FF0000"/>
          <w:sz w:val="20"/>
          <w:szCs w:val="20"/>
        </w:rPr>
        <w:t xml:space="preserve">rrangements </w:t>
      </w:r>
      <w:r w:rsidRPr="005C553F">
        <w:rPr>
          <w:rFonts w:ascii="Arial" w:hAnsi="Arial" w:cs="Arial"/>
          <w:color w:val="FF0000"/>
          <w:sz w:val="20"/>
          <w:szCs w:val="20"/>
        </w:rPr>
        <w:t xml:space="preserve">during </w:t>
      </w:r>
      <w:r w:rsidR="00240427" w:rsidRPr="005C553F">
        <w:rPr>
          <w:rFonts w:ascii="Arial" w:hAnsi="Arial" w:cs="Arial"/>
          <w:color w:val="FF0000"/>
          <w:sz w:val="20"/>
          <w:szCs w:val="20"/>
        </w:rPr>
        <w:t>Bad W</w:t>
      </w:r>
      <w:r w:rsidRPr="005C553F">
        <w:rPr>
          <w:rFonts w:ascii="Arial" w:hAnsi="Arial" w:cs="Arial"/>
          <w:color w:val="FF0000"/>
          <w:sz w:val="20"/>
          <w:szCs w:val="20"/>
        </w:rPr>
        <w:t xml:space="preserve">eather </w:t>
      </w:r>
      <w:r w:rsidR="00240427" w:rsidRPr="005C553F">
        <w:rPr>
          <w:rFonts w:ascii="Arial" w:hAnsi="Arial" w:cs="Arial"/>
          <w:color w:val="FF0000"/>
          <w:sz w:val="20"/>
          <w:szCs w:val="20"/>
        </w:rPr>
        <w:t xml:space="preserve">Signals </w:t>
      </w:r>
    </w:p>
    <w:p w:rsidR="009B1A37" w:rsidRPr="005C553F" w:rsidRDefault="004B42E8"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t xml:space="preserve">The Housekeeping Rule Amendments </w:t>
      </w:r>
      <w:r w:rsidR="00BD015A">
        <w:rPr>
          <w:rFonts w:ascii="Arial" w:hAnsi="Arial" w:cs="Arial"/>
          <w:color w:val="000000" w:themeColor="text1"/>
          <w:sz w:val="20"/>
          <w:szCs w:val="20"/>
        </w:rPr>
        <w:t xml:space="preserve">will </w:t>
      </w:r>
      <w:r w:rsidRPr="005C553F">
        <w:rPr>
          <w:rFonts w:ascii="Arial" w:hAnsi="Arial" w:cs="Arial"/>
          <w:color w:val="000000" w:themeColor="text1"/>
          <w:sz w:val="20"/>
          <w:szCs w:val="20"/>
        </w:rPr>
        <w:t>clarify that Practice Note</w:t>
      </w:r>
      <w:r w:rsidR="00CF319F" w:rsidRPr="005C553F">
        <w:rPr>
          <w:rFonts w:ascii="Arial" w:hAnsi="Arial" w:cs="Arial"/>
          <w:color w:val="000000" w:themeColor="text1"/>
          <w:sz w:val="20"/>
          <w:szCs w:val="20"/>
        </w:rPr>
        <w:t xml:space="preserve"> 8A </w:t>
      </w:r>
      <w:r w:rsidR="00BD015A">
        <w:rPr>
          <w:rFonts w:ascii="Arial" w:hAnsi="Arial" w:cs="Arial"/>
          <w:color w:val="000000" w:themeColor="text1"/>
          <w:sz w:val="20"/>
          <w:szCs w:val="20"/>
        </w:rPr>
        <w:t>to</w:t>
      </w:r>
      <w:r w:rsidR="00CF319F" w:rsidRPr="005C553F">
        <w:rPr>
          <w:rFonts w:ascii="Arial" w:hAnsi="Arial" w:cs="Arial"/>
          <w:color w:val="000000" w:themeColor="text1"/>
          <w:sz w:val="20"/>
          <w:szCs w:val="20"/>
        </w:rPr>
        <w:t xml:space="preserve"> the </w:t>
      </w:r>
      <w:r w:rsidR="00BD015A">
        <w:rPr>
          <w:rFonts w:ascii="Arial" w:hAnsi="Arial" w:cs="Arial"/>
          <w:color w:val="000000" w:themeColor="text1"/>
          <w:sz w:val="20"/>
          <w:szCs w:val="20"/>
        </w:rPr>
        <w:t xml:space="preserve">Main Board </w:t>
      </w:r>
      <w:r w:rsidR="00CF319F" w:rsidRPr="005C553F">
        <w:rPr>
          <w:rFonts w:ascii="Arial" w:hAnsi="Arial" w:cs="Arial"/>
          <w:color w:val="000000" w:themeColor="text1"/>
          <w:sz w:val="20"/>
          <w:szCs w:val="20"/>
        </w:rPr>
        <w:t>Listing Rules</w:t>
      </w:r>
      <w:r w:rsidR="00251445" w:rsidRPr="005C553F">
        <w:rPr>
          <w:rFonts w:ascii="Arial" w:hAnsi="Arial" w:cs="Arial"/>
          <w:color w:val="000000" w:themeColor="text1"/>
          <w:sz w:val="20"/>
          <w:szCs w:val="20"/>
        </w:rPr>
        <w:t xml:space="preserve"> (Practice Note 7 </w:t>
      </w:r>
      <w:r w:rsidR="00BD015A">
        <w:rPr>
          <w:rFonts w:ascii="Arial" w:hAnsi="Arial" w:cs="Arial"/>
          <w:color w:val="000000" w:themeColor="text1"/>
          <w:sz w:val="20"/>
          <w:szCs w:val="20"/>
        </w:rPr>
        <w:t>to</w:t>
      </w:r>
      <w:r w:rsidR="00251445" w:rsidRPr="005C553F">
        <w:rPr>
          <w:rFonts w:ascii="Arial" w:hAnsi="Arial" w:cs="Arial"/>
          <w:color w:val="000000" w:themeColor="text1"/>
          <w:sz w:val="20"/>
          <w:szCs w:val="20"/>
        </w:rPr>
        <w:t xml:space="preserve"> the GEM Listing Rules</w:t>
      </w:r>
      <w:r w:rsidR="00251445" w:rsidRPr="005C553F">
        <w:rPr>
          <w:rStyle w:val="a9"/>
          <w:rFonts w:ascii="Arial" w:hAnsi="Arial" w:cs="Arial"/>
          <w:color w:val="000000" w:themeColor="text1"/>
          <w:sz w:val="20"/>
          <w:szCs w:val="20"/>
          <w:vertAlign w:val="baseline"/>
        </w:rPr>
        <w:t>)</w:t>
      </w:r>
      <w:r w:rsidR="009E06A4">
        <w:rPr>
          <w:rFonts w:ascii="Arial" w:hAnsi="Arial" w:cs="Arial"/>
          <w:color w:val="000000" w:themeColor="text1"/>
          <w:sz w:val="20"/>
          <w:szCs w:val="20"/>
        </w:rPr>
        <w:t>,</w:t>
      </w:r>
      <w:r w:rsidR="00BE685F" w:rsidRPr="005C553F">
        <w:rPr>
          <w:rStyle w:val="a9"/>
          <w:rFonts w:ascii="Arial" w:hAnsi="Arial" w:cs="Arial"/>
          <w:color w:val="000000" w:themeColor="text1"/>
          <w:sz w:val="20"/>
          <w:szCs w:val="20"/>
        </w:rPr>
        <w:footnoteReference w:id="28"/>
      </w:r>
      <w:r w:rsidRPr="005C553F">
        <w:rPr>
          <w:rFonts w:ascii="Arial" w:hAnsi="Arial" w:cs="Arial"/>
          <w:color w:val="000000" w:themeColor="text1"/>
          <w:sz w:val="20"/>
          <w:szCs w:val="20"/>
        </w:rPr>
        <w:t xml:space="preserve"> which sets out the arrangements in the event </w:t>
      </w:r>
      <w:r w:rsidR="00BD015A">
        <w:rPr>
          <w:rFonts w:ascii="Arial" w:hAnsi="Arial" w:cs="Arial"/>
          <w:color w:val="000000" w:themeColor="text1"/>
          <w:sz w:val="20"/>
          <w:szCs w:val="20"/>
        </w:rPr>
        <w:t>a bad weather s</w:t>
      </w:r>
      <w:r w:rsidRPr="005C553F">
        <w:rPr>
          <w:rFonts w:ascii="Arial" w:hAnsi="Arial" w:cs="Arial"/>
          <w:color w:val="000000" w:themeColor="text1"/>
          <w:sz w:val="20"/>
          <w:szCs w:val="20"/>
        </w:rPr>
        <w:t xml:space="preserve">ignal </w:t>
      </w:r>
      <w:r w:rsidR="00BD015A">
        <w:rPr>
          <w:rFonts w:ascii="Arial" w:hAnsi="Arial" w:cs="Arial"/>
          <w:color w:val="000000" w:themeColor="text1"/>
          <w:sz w:val="20"/>
          <w:szCs w:val="20"/>
        </w:rPr>
        <w:t xml:space="preserve">is </w:t>
      </w:r>
      <w:r w:rsidRPr="005C553F">
        <w:rPr>
          <w:rFonts w:ascii="Arial" w:hAnsi="Arial" w:cs="Arial"/>
          <w:color w:val="000000" w:themeColor="text1"/>
          <w:sz w:val="20"/>
          <w:szCs w:val="20"/>
        </w:rPr>
        <w:t xml:space="preserve">issued </w:t>
      </w:r>
      <w:r w:rsidR="00BD015A">
        <w:rPr>
          <w:rFonts w:ascii="Arial" w:hAnsi="Arial" w:cs="Arial"/>
          <w:color w:val="000000" w:themeColor="text1"/>
          <w:sz w:val="20"/>
          <w:szCs w:val="20"/>
        </w:rPr>
        <w:t xml:space="preserve">after </w:t>
      </w:r>
      <w:r w:rsidRPr="005C553F">
        <w:rPr>
          <w:rFonts w:ascii="Arial" w:hAnsi="Arial" w:cs="Arial"/>
          <w:color w:val="000000" w:themeColor="text1"/>
          <w:sz w:val="20"/>
          <w:szCs w:val="20"/>
        </w:rPr>
        <w:t xml:space="preserve">the registration of a prospectus </w:t>
      </w:r>
      <w:r w:rsidR="00BD015A">
        <w:rPr>
          <w:rFonts w:ascii="Arial" w:hAnsi="Arial" w:cs="Arial"/>
          <w:color w:val="000000" w:themeColor="text1"/>
          <w:sz w:val="20"/>
          <w:szCs w:val="20"/>
        </w:rPr>
        <w:t xml:space="preserve">but before </w:t>
      </w:r>
      <w:r w:rsidRPr="005C553F">
        <w:rPr>
          <w:rFonts w:ascii="Arial" w:hAnsi="Arial" w:cs="Arial"/>
          <w:color w:val="000000" w:themeColor="text1"/>
          <w:sz w:val="20"/>
          <w:szCs w:val="20"/>
        </w:rPr>
        <w:t xml:space="preserve">the commencement of </w:t>
      </w:r>
      <w:r w:rsidR="00BD015A">
        <w:rPr>
          <w:rFonts w:ascii="Arial" w:hAnsi="Arial" w:cs="Arial"/>
          <w:color w:val="000000" w:themeColor="text1"/>
          <w:sz w:val="20"/>
          <w:szCs w:val="20"/>
        </w:rPr>
        <w:t>dealings in</w:t>
      </w:r>
      <w:r w:rsidRPr="005C553F">
        <w:rPr>
          <w:rFonts w:ascii="Arial" w:hAnsi="Arial" w:cs="Arial"/>
          <w:color w:val="000000" w:themeColor="text1"/>
          <w:sz w:val="20"/>
          <w:szCs w:val="20"/>
        </w:rPr>
        <w:t xml:space="preserve"> </w:t>
      </w:r>
      <w:r w:rsidR="00BD015A">
        <w:rPr>
          <w:rFonts w:ascii="Arial" w:hAnsi="Arial" w:cs="Arial"/>
          <w:color w:val="000000" w:themeColor="text1"/>
          <w:sz w:val="20"/>
          <w:szCs w:val="20"/>
        </w:rPr>
        <w:t>the shares, only applies to new l</w:t>
      </w:r>
      <w:r w:rsidRPr="005C553F">
        <w:rPr>
          <w:rFonts w:ascii="Arial" w:hAnsi="Arial" w:cs="Arial"/>
          <w:color w:val="000000" w:themeColor="text1"/>
          <w:sz w:val="20"/>
          <w:szCs w:val="20"/>
        </w:rPr>
        <w:t>isting transactions and post-listing public offers.</w:t>
      </w:r>
    </w:p>
    <w:p w:rsidR="00CF319F" w:rsidRPr="005C553F" w:rsidRDefault="00CF319F" w:rsidP="00995340">
      <w:pPr>
        <w:jc w:val="both"/>
        <w:rPr>
          <w:rFonts w:ascii="Arial" w:hAnsi="Arial" w:cs="Arial"/>
          <w:color w:val="000000" w:themeColor="text1"/>
          <w:sz w:val="20"/>
          <w:szCs w:val="20"/>
        </w:rPr>
      </w:pPr>
      <w:r w:rsidRPr="005C553F">
        <w:rPr>
          <w:rFonts w:ascii="Arial" w:hAnsi="Arial" w:cs="Arial"/>
          <w:color w:val="000000" w:themeColor="text1"/>
          <w:sz w:val="20"/>
          <w:szCs w:val="20"/>
        </w:rPr>
        <w:lastRenderedPageBreak/>
        <w:t>Following the launch of FINI, hard</w:t>
      </w:r>
      <w:r w:rsidR="00BD015A">
        <w:rPr>
          <w:rFonts w:ascii="Arial" w:hAnsi="Arial" w:cs="Arial"/>
          <w:color w:val="000000" w:themeColor="text1"/>
          <w:sz w:val="20"/>
          <w:szCs w:val="20"/>
        </w:rPr>
        <w:t xml:space="preserve"> </w:t>
      </w:r>
      <w:r w:rsidRPr="005C553F">
        <w:rPr>
          <w:rFonts w:ascii="Arial" w:hAnsi="Arial" w:cs="Arial"/>
          <w:color w:val="000000" w:themeColor="text1"/>
          <w:sz w:val="20"/>
          <w:szCs w:val="20"/>
        </w:rPr>
        <w:t xml:space="preserve">copies of </w:t>
      </w:r>
      <w:r w:rsidR="005E259D" w:rsidRPr="005C553F">
        <w:rPr>
          <w:rFonts w:ascii="Arial" w:hAnsi="Arial" w:cs="Arial"/>
          <w:color w:val="000000" w:themeColor="text1"/>
          <w:sz w:val="20"/>
          <w:szCs w:val="20"/>
        </w:rPr>
        <w:t>printed</w:t>
      </w:r>
      <w:r w:rsidRPr="005C553F">
        <w:rPr>
          <w:rFonts w:ascii="Arial" w:hAnsi="Arial" w:cs="Arial"/>
          <w:color w:val="000000" w:themeColor="text1"/>
          <w:sz w:val="20"/>
          <w:szCs w:val="20"/>
        </w:rPr>
        <w:t xml:space="preserve"> application form</w:t>
      </w:r>
      <w:r w:rsidR="005034F5">
        <w:rPr>
          <w:rFonts w:ascii="Arial" w:hAnsi="Arial" w:cs="Arial"/>
          <w:color w:val="000000" w:themeColor="text1"/>
          <w:sz w:val="20"/>
          <w:szCs w:val="20"/>
        </w:rPr>
        <w:t>s</w:t>
      </w:r>
      <w:r w:rsidRPr="005C553F">
        <w:rPr>
          <w:rFonts w:ascii="Arial" w:hAnsi="Arial" w:cs="Arial"/>
          <w:color w:val="000000" w:themeColor="text1"/>
          <w:sz w:val="20"/>
          <w:szCs w:val="20"/>
        </w:rPr>
        <w:t xml:space="preserve"> will only be available for distribu</w:t>
      </w:r>
      <w:r w:rsidR="00BD015A">
        <w:rPr>
          <w:rFonts w:ascii="Arial" w:hAnsi="Arial" w:cs="Arial"/>
          <w:color w:val="000000" w:themeColor="text1"/>
          <w:sz w:val="20"/>
          <w:szCs w:val="20"/>
        </w:rPr>
        <w:t>tion to the public where the listing</w:t>
      </w:r>
      <w:r w:rsidRPr="005C553F">
        <w:rPr>
          <w:rFonts w:ascii="Arial" w:hAnsi="Arial" w:cs="Arial"/>
          <w:color w:val="000000" w:themeColor="text1"/>
          <w:sz w:val="20"/>
          <w:szCs w:val="20"/>
        </w:rPr>
        <w:t xml:space="preserve"> applicant ha</w:t>
      </w:r>
      <w:r w:rsidR="00847651" w:rsidRPr="005C553F">
        <w:rPr>
          <w:rFonts w:ascii="Arial" w:hAnsi="Arial" w:cs="Arial"/>
          <w:color w:val="000000" w:themeColor="text1"/>
          <w:sz w:val="20"/>
          <w:szCs w:val="20"/>
        </w:rPr>
        <w:t xml:space="preserve">s adopted </w:t>
      </w:r>
      <w:r w:rsidR="00BD015A">
        <w:rPr>
          <w:rFonts w:ascii="Arial" w:hAnsi="Arial" w:cs="Arial"/>
          <w:color w:val="000000" w:themeColor="text1"/>
          <w:sz w:val="20"/>
          <w:szCs w:val="20"/>
        </w:rPr>
        <w:t>a Mixed Media Offer (Main Board Listing R</w:t>
      </w:r>
      <w:r w:rsidRPr="005C553F">
        <w:rPr>
          <w:rFonts w:ascii="Arial" w:hAnsi="Arial" w:cs="Arial"/>
          <w:color w:val="000000" w:themeColor="text1"/>
          <w:sz w:val="20"/>
          <w:szCs w:val="20"/>
        </w:rPr>
        <w:t>ule 12.11A(1)</w:t>
      </w:r>
      <w:r w:rsidR="00BD015A">
        <w:rPr>
          <w:rFonts w:ascii="Arial" w:hAnsi="Arial" w:cs="Arial"/>
          <w:color w:val="000000" w:themeColor="text1"/>
          <w:sz w:val="20"/>
          <w:szCs w:val="20"/>
        </w:rPr>
        <w:t xml:space="preserve"> (</w:t>
      </w:r>
      <w:r w:rsidR="00BD015A">
        <w:rPr>
          <w:rFonts w:ascii="Arial" w:hAnsi="Arial" w:cs="Arial"/>
          <w:color w:val="000000" w:themeColor="text1"/>
          <w:sz w:val="20"/>
          <w:szCs w:val="20"/>
          <w:shd w:val="clear" w:color="auto" w:fill="FFFFFF" w:themeFill="background1"/>
        </w:rPr>
        <w:t>GEM Listing R</w:t>
      </w:r>
      <w:r w:rsidR="00847651" w:rsidRPr="005C553F">
        <w:rPr>
          <w:rFonts w:ascii="Arial" w:hAnsi="Arial" w:cs="Arial"/>
          <w:color w:val="000000" w:themeColor="text1"/>
          <w:sz w:val="20"/>
          <w:szCs w:val="20"/>
          <w:shd w:val="clear" w:color="auto" w:fill="FFFFFF" w:themeFill="background1"/>
        </w:rPr>
        <w:t>ule</w:t>
      </w:r>
      <w:r w:rsidR="005E259D" w:rsidRPr="005C553F">
        <w:rPr>
          <w:rFonts w:ascii="Arial" w:hAnsi="Arial" w:cs="Arial"/>
          <w:color w:val="000000" w:themeColor="text1"/>
          <w:sz w:val="20"/>
          <w:szCs w:val="20"/>
          <w:shd w:val="clear" w:color="auto" w:fill="FFFFFF" w:themeFill="background1"/>
        </w:rPr>
        <w:t xml:space="preserve"> </w:t>
      </w:r>
      <w:r w:rsidR="00B96E03" w:rsidRPr="005C553F">
        <w:rPr>
          <w:rFonts w:ascii="Arial" w:hAnsi="Arial" w:cs="Arial"/>
          <w:color w:val="000000" w:themeColor="text1"/>
          <w:sz w:val="20"/>
          <w:szCs w:val="20"/>
          <w:shd w:val="clear" w:color="auto" w:fill="FFFFFF" w:themeFill="background1"/>
        </w:rPr>
        <w:t>16.04D(1)</w:t>
      </w:r>
      <w:r w:rsidRPr="005C553F">
        <w:rPr>
          <w:rFonts w:ascii="Arial" w:hAnsi="Arial" w:cs="Arial"/>
          <w:color w:val="000000" w:themeColor="text1"/>
          <w:sz w:val="20"/>
          <w:szCs w:val="20"/>
        </w:rPr>
        <w:t>)</w:t>
      </w:r>
      <w:r w:rsidR="003048ED">
        <w:rPr>
          <w:rFonts w:ascii="Arial" w:hAnsi="Arial" w:cs="Arial"/>
          <w:color w:val="000000" w:themeColor="text1"/>
          <w:sz w:val="20"/>
          <w:szCs w:val="20"/>
        </w:rPr>
        <w:t>.</w:t>
      </w:r>
      <w:r w:rsidR="00BE685F" w:rsidRPr="005C553F">
        <w:rPr>
          <w:rStyle w:val="a9"/>
          <w:rFonts w:ascii="Arial" w:hAnsi="Arial" w:cs="Arial"/>
          <w:color w:val="000000" w:themeColor="text1"/>
          <w:sz w:val="20"/>
          <w:szCs w:val="20"/>
        </w:rPr>
        <w:footnoteReference w:id="29"/>
      </w:r>
    </w:p>
    <w:p w:rsidR="009B1A37" w:rsidRPr="005C553F" w:rsidRDefault="00E741D8" w:rsidP="00995340">
      <w:pPr>
        <w:jc w:val="both"/>
        <w:rPr>
          <w:rFonts w:ascii="Arial" w:hAnsi="Arial" w:cs="Arial"/>
          <w:color w:val="FF0000"/>
          <w:sz w:val="20"/>
          <w:szCs w:val="20"/>
        </w:rPr>
      </w:pPr>
      <w:r w:rsidRPr="005C553F">
        <w:rPr>
          <w:rFonts w:ascii="Arial" w:hAnsi="Arial" w:cs="Arial"/>
          <w:color w:val="FF0000"/>
          <w:sz w:val="20"/>
          <w:szCs w:val="20"/>
        </w:rPr>
        <w:t>Codification</w:t>
      </w:r>
      <w:r w:rsidR="003E53EF" w:rsidRPr="005C553F">
        <w:rPr>
          <w:rFonts w:ascii="Arial" w:hAnsi="Arial" w:cs="Arial"/>
          <w:color w:val="FF0000"/>
          <w:sz w:val="20"/>
          <w:szCs w:val="20"/>
        </w:rPr>
        <w:t xml:space="preserve"> of C</w:t>
      </w:r>
      <w:r w:rsidR="00E278B9" w:rsidRPr="005C553F">
        <w:rPr>
          <w:rFonts w:ascii="Arial" w:hAnsi="Arial" w:cs="Arial"/>
          <w:color w:val="FF0000"/>
          <w:sz w:val="20"/>
          <w:szCs w:val="20"/>
        </w:rPr>
        <w:t xml:space="preserve">urrent </w:t>
      </w:r>
      <w:r w:rsidR="003E53EF" w:rsidRPr="005C553F">
        <w:rPr>
          <w:rFonts w:ascii="Arial" w:hAnsi="Arial" w:cs="Arial"/>
          <w:color w:val="FF0000"/>
          <w:sz w:val="20"/>
          <w:szCs w:val="20"/>
        </w:rPr>
        <w:t>P</w:t>
      </w:r>
      <w:r w:rsidR="00221E20" w:rsidRPr="005C553F">
        <w:rPr>
          <w:rFonts w:ascii="Arial" w:hAnsi="Arial" w:cs="Arial"/>
          <w:color w:val="FF0000"/>
          <w:sz w:val="20"/>
          <w:szCs w:val="20"/>
        </w:rPr>
        <w:t>ractice</w:t>
      </w:r>
      <w:r w:rsidR="00E278B9" w:rsidRPr="005C553F">
        <w:rPr>
          <w:rFonts w:ascii="Arial" w:hAnsi="Arial" w:cs="Arial"/>
          <w:color w:val="FF0000"/>
          <w:sz w:val="20"/>
          <w:szCs w:val="20"/>
        </w:rPr>
        <w:t xml:space="preserve"> and </w:t>
      </w:r>
      <w:r w:rsidR="003E53EF" w:rsidRPr="005C553F">
        <w:rPr>
          <w:rFonts w:ascii="Arial" w:hAnsi="Arial" w:cs="Arial"/>
          <w:color w:val="FF0000"/>
          <w:sz w:val="20"/>
          <w:szCs w:val="20"/>
        </w:rPr>
        <w:t>R</w:t>
      </w:r>
      <w:r w:rsidR="00E278B9" w:rsidRPr="005C553F">
        <w:rPr>
          <w:rFonts w:ascii="Arial" w:hAnsi="Arial" w:cs="Arial"/>
          <w:color w:val="FF0000"/>
          <w:sz w:val="20"/>
          <w:szCs w:val="20"/>
        </w:rPr>
        <w:t xml:space="preserve">equirements  </w:t>
      </w:r>
    </w:p>
    <w:p w:rsidR="000568E1" w:rsidRPr="005C553F" w:rsidRDefault="000568E1" w:rsidP="00995340">
      <w:pPr>
        <w:jc w:val="both"/>
        <w:rPr>
          <w:rFonts w:ascii="Arial" w:hAnsi="Arial" w:cs="Arial"/>
          <w:sz w:val="20"/>
          <w:szCs w:val="20"/>
        </w:rPr>
      </w:pPr>
      <w:r w:rsidRPr="005C553F">
        <w:rPr>
          <w:rFonts w:ascii="Arial" w:hAnsi="Arial" w:cs="Arial"/>
          <w:sz w:val="20"/>
          <w:szCs w:val="20"/>
        </w:rPr>
        <w:t xml:space="preserve">The Housekeeping Rule Amendments </w:t>
      </w:r>
      <w:r w:rsidR="0069251D" w:rsidRPr="005C553F">
        <w:rPr>
          <w:rFonts w:ascii="Arial" w:hAnsi="Arial" w:cs="Arial"/>
          <w:sz w:val="20"/>
          <w:szCs w:val="20"/>
        </w:rPr>
        <w:t>will</w:t>
      </w:r>
      <w:r w:rsidRPr="005C553F">
        <w:rPr>
          <w:rFonts w:ascii="Arial" w:hAnsi="Arial" w:cs="Arial"/>
          <w:sz w:val="20"/>
          <w:szCs w:val="20"/>
        </w:rPr>
        <w:t xml:space="preserve"> codify</w:t>
      </w:r>
      <w:r w:rsidR="00232EB1" w:rsidRPr="005C553F">
        <w:rPr>
          <w:rFonts w:ascii="Arial" w:hAnsi="Arial" w:cs="Arial"/>
          <w:sz w:val="20"/>
          <w:szCs w:val="20"/>
        </w:rPr>
        <w:t xml:space="preserve"> </w:t>
      </w:r>
      <w:r w:rsidR="003048ED">
        <w:rPr>
          <w:rFonts w:ascii="Arial" w:hAnsi="Arial" w:cs="Arial"/>
          <w:sz w:val="20"/>
          <w:szCs w:val="20"/>
        </w:rPr>
        <w:t xml:space="preserve">the HKEX’s </w:t>
      </w:r>
      <w:r w:rsidR="00232EB1" w:rsidRPr="005C553F">
        <w:rPr>
          <w:rFonts w:ascii="Arial" w:hAnsi="Arial" w:cs="Arial"/>
          <w:sz w:val="20"/>
          <w:szCs w:val="20"/>
        </w:rPr>
        <w:t xml:space="preserve">existing </w:t>
      </w:r>
      <w:r w:rsidR="003048ED" w:rsidRPr="005C553F">
        <w:rPr>
          <w:rFonts w:ascii="Arial" w:hAnsi="Arial" w:cs="Arial"/>
          <w:sz w:val="20"/>
          <w:szCs w:val="20"/>
        </w:rPr>
        <w:t>requirements</w:t>
      </w:r>
      <w:r w:rsidR="003048ED">
        <w:rPr>
          <w:rFonts w:ascii="Arial" w:hAnsi="Arial" w:cs="Arial"/>
          <w:sz w:val="20"/>
          <w:szCs w:val="20"/>
        </w:rPr>
        <w:t xml:space="preserve"> for </w:t>
      </w:r>
      <w:r w:rsidRPr="005C553F">
        <w:rPr>
          <w:rFonts w:ascii="Arial" w:hAnsi="Arial" w:cs="Arial"/>
          <w:sz w:val="20"/>
          <w:szCs w:val="20"/>
        </w:rPr>
        <w:t xml:space="preserve">disclosure </w:t>
      </w:r>
      <w:r w:rsidR="003048ED">
        <w:rPr>
          <w:rFonts w:ascii="Arial" w:hAnsi="Arial" w:cs="Arial"/>
          <w:sz w:val="20"/>
          <w:szCs w:val="20"/>
        </w:rPr>
        <w:t xml:space="preserve">in </w:t>
      </w:r>
      <w:r w:rsidR="00EB27F8" w:rsidRPr="005C553F">
        <w:rPr>
          <w:rFonts w:ascii="Arial" w:hAnsi="Arial" w:cs="Arial"/>
          <w:sz w:val="20"/>
          <w:szCs w:val="20"/>
        </w:rPr>
        <w:t>allotment results announcements</w:t>
      </w:r>
      <w:r w:rsidR="003048ED">
        <w:rPr>
          <w:rFonts w:ascii="Arial" w:hAnsi="Arial" w:cs="Arial"/>
          <w:sz w:val="20"/>
          <w:szCs w:val="20"/>
        </w:rPr>
        <w:t>,</w:t>
      </w:r>
      <w:r w:rsidR="00EB27F8" w:rsidRPr="005C553F">
        <w:rPr>
          <w:rStyle w:val="a9"/>
          <w:rFonts w:ascii="Arial" w:hAnsi="Arial" w:cs="Arial"/>
          <w:sz w:val="20"/>
          <w:szCs w:val="20"/>
        </w:rPr>
        <w:footnoteReference w:id="30"/>
      </w:r>
      <w:r w:rsidR="0069251D" w:rsidRPr="005C553F">
        <w:rPr>
          <w:rFonts w:ascii="Arial" w:hAnsi="Arial" w:cs="Arial"/>
          <w:sz w:val="20"/>
          <w:szCs w:val="20"/>
        </w:rPr>
        <w:t xml:space="preserve"> </w:t>
      </w:r>
      <w:r w:rsidR="003048ED">
        <w:rPr>
          <w:rFonts w:ascii="Arial" w:hAnsi="Arial" w:cs="Arial"/>
          <w:sz w:val="20"/>
          <w:szCs w:val="20"/>
        </w:rPr>
        <w:t>which</w:t>
      </w:r>
      <w:r w:rsidRPr="005C553F">
        <w:rPr>
          <w:rFonts w:ascii="Arial" w:hAnsi="Arial" w:cs="Arial"/>
          <w:sz w:val="20"/>
          <w:szCs w:val="20"/>
        </w:rPr>
        <w:t xml:space="preserve"> include:</w:t>
      </w:r>
    </w:p>
    <w:p w:rsidR="000568E1" w:rsidRDefault="003048ED" w:rsidP="00995340">
      <w:pPr>
        <w:pStyle w:val="a6"/>
        <w:numPr>
          <w:ilvl w:val="0"/>
          <w:numId w:val="3"/>
        </w:numPr>
        <w:jc w:val="both"/>
        <w:rPr>
          <w:rFonts w:ascii="Arial" w:hAnsi="Arial" w:cs="Arial"/>
          <w:sz w:val="20"/>
          <w:szCs w:val="20"/>
        </w:rPr>
      </w:pPr>
      <w:r>
        <w:rPr>
          <w:rFonts w:ascii="Arial" w:hAnsi="Arial" w:cs="Arial"/>
          <w:sz w:val="20"/>
          <w:szCs w:val="20"/>
        </w:rPr>
        <w:t>a</w:t>
      </w:r>
      <w:r w:rsidR="000568E1" w:rsidRPr="005C553F">
        <w:rPr>
          <w:rFonts w:ascii="Arial" w:hAnsi="Arial" w:cs="Arial"/>
          <w:sz w:val="20"/>
          <w:szCs w:val="20"/>
        </w:rPr>
        <w:t xml:space="preserve"> brief</w:t>
      </w:r>
      <w:r w:rsidR="00EB27F8" w:rsidRPr="005C553F">
        <w:rPr>
          <w:rFonts w:ascii="Arial" w:hAnsi="Arial" w:cs="Arial"/>
          <w:sz w:val="20"/>
          <w:szCs w:val="20"/>
        </w:rPr>
        <w:t xml:space="preserve"> generic</w:t>
      </w:r>
      <w:r w:rsidR="000568E1" w:rsidRPr="005C553F">
        <w:rPr>
          <w:rFonts w:ascii="Arial" w:hAnsi="Arial" w:cs="Arial"/>
          <w:sz w:val="20"/>
          <w:szCs w:val="20"/>
        </w:rPr>
        <w:t xml:space="preserve"> description of the placees</w:t>
      </w:r>
      <w:r w:rsidR="00E278B9" w:rsidRPr="005C553F">
        <w:rPr>
          <w:rFonts w:ascii="Arial" w:hAnsi="Arial" w:cs="Arial"/>
          <w:sz w:val="20"/>
          <w:szCs w:val="20"/>
        </w:rPr>
        <w:t xml:space="preserve"> in </w:t>
      </w:r>
      <w:r>
        <w:rPr>
          <w:rFonts w:ascii="Arial" w:hAnsi="Arial" w:cs="Arial"/>
          <w:sz w:val="20"/>
          <w:szCs w:val="20"/>
        </w:rPr>
        <w:t xml:space="preserve">an offer </w:t>
      </w:r>
      <w:r w:rsidR="00E278B9" w:rsidRPr="005C553F">
        <w:rPr>
          <w:rFonts w:ascii="Arial" w:hAnsi="Arial" w:cs="Arial"/>
          <w:sz w:val="20"/>
          <w:szCs w:val="20"/>
        </w:rPr>
        <w:t>that includes a placing;</w:t>
      </w:r>
    </w:p>
    <w:p w:rsidR="003048ED" w:rsidRPr="005C553F" w:rsidRDefault="003048ED" w:rsidP="003048ED">
      <w:pPr>
        <w:pStyle w:val="a6"/>
        <w:jc w:val="both"/>
        <w:rPr>
          <w:rFonts w:ascii="Arial" w:hAnsi="Arial" w:cs="Arial"/>
          <w:sz w:val="20"/>
          <w:szCs w:val="20"/>
        </w:rPr>
      </w:pPr>
    </w:p>
    <w:p w:rsidR="004470CE" w:rsidRDefault="003048ED" w:rsidP="00995340">
      <w:pPr>
        <w:pStyle w:val="a6"/>
        <w:numPr>
          <w:ilvl w:val="0"/>
          <w:numId w:val="3"/>
        </w:numPr>
        <w:jc w:val="both"/>
        <w:rPr>
          <w:rFonts w:ascii="Arial" w:hAnsi="Arial" w:cs="Arial"/>
          <w:sz w:val="20"/>
          <w:szCs w:val="20"/>
        </w:rPr>
      </w:pPr>
      <w:r>
        <w:rPr>
          <w:rFonts w:ascii="Arial" w:hAnsi="Arial" w:cs="Arial"/>
          <w:sz w:val="20"/>
          <w:szCs w:val="20"/>
        </w:rPr>
        <w:t>a</w:t>
      </w:r>
      <w:r w:rsidR="00E278B9" w:rsidRPr="005C553F">
        <w:rPr>
          <w:rFonts w:ascii="Arial" w:hAnsi="Arial" w:cs="Arial"/>
          <w:sz w:val="20"/>
          <w:szCs w:val="20"/>
        </w:rPr>
        <w:t xml:space="preserve"> description of each group of placees and the number of shares placed with each group in the case of securities placed with </w:t>
      </w:r>
      <w:r w:rsidR="00EB27F8" w:rsidRPr="005C553F">
        <w:rPr>
          <w:rFonts w:ascii="Arial" w:hAnsi="Arial" w:cs="Arial"/>
          <w:sz w:val="20"/>
          <w:szCs w:val="20"/>
        </w:rPr>
        <w:t>different</w:t>
      </w:r>
      <w:r w:rsidR="00E278B9" w:rsidRPr="005C553F">
        <w:rPr>
          <w:rFonts w:ascii="Arial" w:hAnsi="Arial" w:cs="Arial"/>
          <w:sz w:val="20"/>
          <w:szCs w:val="20"/>
        </w:rPr>
        <w:t xml:space="preserve"> groups of placees, provided that certain types of placees</w:t>
      </w:r>
      <w:r w:rsidR="00E278B9" w:rsidRPr="005C553F">
        <w:rPr>
          <w:rStyle w:val="a9"/>
          <w:rFonts w:ascii="Arial" w:hAnsi="Arial" w:cs="Arial"/>
          <w:sz w:val="20"/>
          <w:szCs w:val="20"/>
        </w:rPr>
        <w:footnoteReference w:id="31"/>
      </w:r>
      <w:r w:rsidR="00E278B9" w:rsidRPr="005C553F">
        <w:rPr>
          <w:rFonts w:ascii="Arial" w:hAnsi="Arial" w:cs="Arial"/>
          <w:sz w:val="20"/>
          <w:szCs w:val="20"/>
        </w:rPr>
        <w:t xml:space="preserve"> must be identified on an individually-named basis;</w:t>
      </w:r>
    </w:p>
    <w:p w:rsidR="000568E1" w:rsidRPr="005C553F" w:rsidRDefault="000568E1" w:rsidP="004470CE">
      <w:pPr>
        <w:pStyle w:val="a6"/>
        <w:jc w:val="both"/>
        <w:rPr>
          <w:rFonts w:ascii="Arial" w:hAnsi="Arial" w:cs="Arial"/>
          <w:sz w:val="20"/>
          <w:szCs w:val="20"/>
        </w:rPr>
      </w:pPr>
    </w:p>
    <w:p w:rsidR="000568E1" w:rsidRDefault="004470CE" w:rsidP="00995340">
      <w:pPr>
        <w:pStyle w:val="a6"/>
        <w:numPr>
          <w:ilvl w:val="0"/>
          <w:numId w:val="3"/>
        </w:numPr>
        <w:jc w:val="both"/>
        <w:rPr>
          <w:rFonts w:ascii="Arial" w:hAnsi="Arial" w:cs="Arial"/>
          <w:sz w:val="20"/>
          <w:szCs w:val="20"/>
        </w:rPr>
      </w:pPr>
      <w:r>
        <w:rPr>
          <w:rFonts w:ascii="Arial" w:hAnsi="Arial" w:cs="Arial"/>
          <w:sz w:val="20"/>
          <w:szCs w:val="20"/>
        </w:rPr>
        <w:t>i</w:t>
      </w:r>
      <w:r w:rsidR="000568E1" w:rsidRPr="005C553F">
        <w:rPr>
          <w:rFonts w:ascii="Arial" w:hAnsi="Arial" w:cs="Arial"/>
          <w:sz w:val="20"/>
          <w:szCs w:val="20"/>
        </w:rPr>
        <w:t>nformation on the level of interest in the placing;</w:t>
      </w:r>
    </w:p>
    <w:p w:rsidR="004470CE" w:rsidRPr="004470CE" w:rsidRDefault="004470CE" w:rsidP="004470CE">
      <w:pPr>
        <w:pStyle w:val="a6"/>
        <w:rPr>
          <w:rFonts w:ascii="Arial" w:hAnsi="Arial" w:cs="Arial"/>
          <w:sz w:val="20"/>
          <w:szCs w:val="20"/>
        </w:rPr>
      </w:pPr>
    </w:p>
    <w:p w:rsidR="000568E1" w:rsidRDefault="004470CE" w:rsidP="00995340">
      <w:pPr>
        <w:pStyle w:val="a6"/>
        <w:numPr>
          <w:ilvl w:val="0"/>
          <w:numId w:val="3"/>
        </w:numPr>
        <w:jc w:val="both"/>
        <w:rPr>
          <w:rFonts w:ascii="Arial" w:hAnsi="Arial" w:cs="Arial"/>
          <w:sz w:val="20"/>
          <w:szCs w:val="20"/>
        </w:rPr>
      </w:pPr>
      <w:r>
        <w:rPr>
          <w:rFonts w:ascii="Arial" w:hAnsi="Arial" w:cs="Arial"/>
          <w:sz w:val="20"/>
          <w:szCs w:val="20"/>
        </w:rPr>
        <w:t>a</w:t>
      </w:r>
      <w:r w:rsidR="000568E1" w:rsidRPr="005C553F">
        <w:rPr>
          <w:rFonts w:ascii="Arial" w:hAnsi="Arial" w:cs="Arial"/>
          <w:sz w:val="20"/>
          <w:szCs w:val="20"/>
        </w:rPr>
        <w:t xml:space="preserve"> table showing the distribution of the placing shares;</w:t>
      </w:r>
    </w:p>
    <w:p w:rsidR="004470CE" w:rsidRPr="005C553F" w:rsidRDefault="004470CE" w:rsidP="004470CE">
      <w:pPr>
        <w:pStyle w:val="a6"/>
        <w:jc w:val="both"/>
        <w:rPr>
          <w:rFonts w:ascii="Arial" w:hAnsi="Arial" w:cs="Arial"/>
          <w:sz w:val="20"/>
          <w:szCs w:val="20"/>
        </w:rPr>
      </w:pPr>
    </w:p>
    <w:p w:rsidR="000568E1" w:rsidRDefault="004470CE" w:rsidP="00995340">
      <w:pPr>
        <w:pStyle w:val="a6"/>
        <w:numPr>
          <w:ilvl w:val="0"/>
          <w:numId w:val="3"/>
        </w:numPr>
        <w:jc w:val="both"/>
        <w:rPr>
          <w:rFonts w:ascii="Arial" w:hAnsi="Arial" w:cs="Arial"/>
          <w:sz w:val="20"/>
          <w:szCs w:val="20"/>
        </w:rPr>
      </w:pPr>
      <w:r>
        <w:rPr>
          <w:rFonts w:ascii="Arial" w:hAnsi="Arial" w:cs="Arial"/>
          <w:sz w:val="20"/>
          <w:szCs w:val="20"/>
        </w:rPr>
        <w:t>a</w:t>
      </w:r>
      <w:r w:rsidR="000568E1" w:rsidRPr="005C553F">
        <w:rPr>
          <w:rFonts w:ascii="Arial" w:hAnsi="Arial" w:cs="Arial"/>
          <w:sz w:val="20"/>
          <w:szCs w:val="20"/>
        </w:rPr>
        <w:t>n analysis of the distribution</w:t>
      </w:r>
      <w:r w:rsidR="00D42175" w:rsidRPr="005C553F">
        <w:rPr>
          <w:rFonts w:ascii="Arial" w:hAnsi="Arial" w:cs="Arial"/>
          <w:sz w:val="20"/>
          <w:szCs w:val="20"/>
        </w:rPr>
        <w:t xml:space="preserve"> </w:t>
      </w:r>
      <w:r w:rsidR="00E278B9" w:rsidRPr="005C553F">
        <w:rPr>
          <w:rFonts w:ascii="Arial" w:hAnsi="Arial" w:cs="Arial"/>
          <w:sz w:val="20"/>
          <w:szCs w:val="20"/>
        </w:rPr>
        <w:t>including</w:t>
      </w:r>
      <w:r w:rsidR="00D42175" w:rsidRPr="005C553F">
        <w:rPr>
          <w:rFonts w:ascii="Arial" w:hAnsi="Arial" w:cs="Arial"/>
          <w:sz w:val="20"/>
          <w:szCs w:val="20"/>
        </w:rPr>
        <w:t xml:space="preserve"> the concentration of the placing shares and shareholding</w:t>
      </w:r>
      <w:r>
        <w:rPr>
          <w:rFonts w:ascii="Arial" w:hAnsi="Arial" w:cs="Arial"/>
          <w:sz w:val="20"/>
          <w:szCs w:val="20"/>
        </w:rPr>
        <w:t>s</w:t>
      </w:r>
      <w:r w:rsidR="00D42175" w:rsidRPr="005C553F">
        <w:rPr>
          <w:rFonts w:ascii="Arial" w:hAnsi="Arial" w:cs="Arial"/>
          <w:sz w:val="20"/>
          <w:szCs w:val="20"/>
        </w:rPr>
        <w:t xml:space="preserve"> </w:t>
      </w:r>
      <w:r>
        <w:rPr>
          <w:rFonts w:ascii="Arial" w:hAnsi="Arial" w:cs="Arial"/>
          <w:sz w:val="20"/>
          <w:szCs w:val="20"/>
        </w:rPr>
        <w:t xml:space="preserve">of </w:t>
      </w:r>
      <w:r w:rsidR="00D42175" w:rsidRPr="005C553F">
        <w:rPr>
          <w:rFonts w:ascii="Arial" w:hAnsi="Arial" w:cs="Arial"/>
          <w:sz w:val="20"/>
          <w:szCs w:val="20"/>
        </w:rPr>
        <w:t>the top placees and shareholders</w:t>
      </w:r>
      <w:r w:rsidR="000568E1" w:rsidRPr="005C553F">
        <w:rPr>
          <w:rFonts w:ascii="Arial" w:hAnsi="Arial" w:cs="Arial"/>
          <w:sz w:val="20"/>
          <w:szCs w:val="20"/>
        </w:rPr>
        <w:t xml:space="preserve">; and </w:t>
      </w:r>
    </w:p>
    <w:p w:rsidR="004470CE" w:rsidRPr="004470CE" w:rsidRDefault="004470CE" w:rsidP="004470CE">
      <w:pPr>
        <w:pStyle w:val="a6"/>
        <w:rPr>
          <w:rFonts w:ascii="Arial" w:hAnsi="Arial" w:cs="Arial"/>
          <w:sz w:val="20"/>
          <w:szCs w:val="20"/>
        </w:rPr>
      </w:pPr>
    </w:p>
    <w:p w:rsidR="000568E1" w:rsidRPr="005C553F" w:rsidRDefault="004470CE" w:rsidP="00995340">
      <w:pPr>
        <w:pStyle w:val="a6"/>
        <w:numPr>
          <w:ilvl w:val="0"/>
          <w:numId w:val="3"/>
        </w:numPr>
        <w:jc w:val="both"/>
        <w:rPr>
          <w:rFonts w:ascii="Arial" w:hAnsi="Arial" w:cs="Arial"/>
          <w:sz w:val="20"/>
          <w:szCs w:val="20"/>
        </w:rPr>
      </w:pPr>
      <w:r>
        <w:rPr>
          <w:rFonts w:ascii="Arial" w:hAnsi="Arial" w:cs="Arial"/>
          <w:sz w:val="20"/>
          <w:szCs w:val="20"/>
        </w:rPr>
        <w:t>a</w:t>
      </w:r>
      <w:r w:rsidR="000568E1" w:rsidRPr="005C553F">
        <w:rPr>
          <w:rFonts w:ascii="Arial" w:hAnsi="Arial" w:cs="Arial"/>
          <w:sz w:val="20"/>
          <w:szCs w:val="20"/>
        </w:rPr>
        <w:t xml:space="preserve"> statement </w:t>
      </w:r>
      <w:r w:rsidR="00E278B9" w:rsidRPr="005C553F">
        <w:rPr>
          <w:rFonts w:ascii="Arial" w:hAnsi="Arial" w:cs="Arial"/>
          <w:sz w:val="20"/>
          <w:szCs w:val="20"/>
        </w:rPr>
        <w:t>indicating if</w:t>
      </w:r>
      <w:r w:rsidR="000568E1" w:rsidRPr="005C553F">
        <w:rPr>
          <w:rFonts w:ascii="Arial" w:hAnsi="Arial" w:cs="Arial"/>
          <w:sz w:val="20"/>
          <w:szCs w:val="20"/>
        </w:rPr>
        <w:t xml:space="preserve"> any of the subscribers are </w:t>
      </w:r>
      <w:r w:rsidR="00E278B9" w:rsidRPr="005C553F">
        <w:rPr>
          <w:rFonts w:ascii="Arial" w:hAnsi="Arial" w:cs="Arial"/>
          <w:sz w:val="20"/>
          <w:szCs w:val="20"/>
        </w:rPr>
        <w:t xml:space="preserve">directly or indirectly </w:t>
      </w:r>
      <w:r w:rsidR="000568E1" w:rsidRPr="005C553F">
        <w:rPr>
          <w:rFonts w:ascii="Arial" w:hAnsi="Arial" w:cs="Arial"/>
          <w:sz w:val="20"/>
          <w:szCs w:val="20"/>
        </w:rPr>
        <w:t>financed</w:t>
      </w:r>
      <w:r w:rsidR="00EB27F8" w:rsidRPr="005C553F">
        <w:rPr>
          <w:rFonts w:ascii="Arial" w:hAnsi="Arial" w:cs="Arial"/>
          <w:sz w:val="20"/>
          <w:szCs w:val="20"/>
        </w:rPr>
        <w:t xml:space="preserve"> by</w:t>
      </w:r>
      <w:r w:rsidR="000568E1" w:rsidRPr="005C553F">
        <w:rPr>
          <w:rFonts w:ascii="Arial" w:hAnsi="Arial" w:cs="Arial"/>
          <w:sz w:val="20"/>
          <w:szCs w:val="20"/>
        </w:rPr>
        <w:t>, or accusto</w:t>
      </w:r>
      <w:r w:rsidR="0069251D" w:rsidRPr="005C553F">
        <w:rPr>
          <w:rFonts w:ascii="Arial" w:hAnsi="Arial" w:cs="Arial"/>
          <w:sz w:val="20"/>
          <w:szCs w:val="20"/>
        </w:rPr>
        <w:t xml:space="preserve">med to taking instructions from, </w:t>
      </w:r>
      <w:r w:rsidR="00E36EF5" w:rsidRPr="005C553F">
        <w:rPr>
          <w:rFonts w:ascii="Arial" w:hAnsi="Arial" w:cs="Arial"/>
          <w:sz w:val="20"/>
          <w:szCs w:val="20"/>
        </w:rPr>
        <w:t>the issuer, any of the director</w:t>
      </w:r>
      <w:r w:rsidR="00EB27F8" w:rsidRPr="005C553F">
        <w:rPr>
          <w:rFonts w:ascii="Arial" w:hAnsi="Arial" w:cs="Arial"/>
          <w:sz w:val="20"/>
          <w:szCs w:val="20"/>
        </w:rPr>
        <w:t>(</w:t>
      </w:r>
      <w:r w:rsidR="00E36EF5" w:rsidRPr="005C553F">
        <w:rPr>
          <w:rFonts w:ascii="Arial" w:hAnsi="Arial" w:cs="Arial"/>
          <w:sz w:val="20"/>
          <w:szCs w:val="20"/>
        </w:rPr>
        <w:t>s</w:t>
      </w:r>
      <w:r w:rsidR="00EB27F8" w:rsidRPr="005C553F">
        <w:rPr>
          <w:rFonts w:ascii="Arial" w:hAnsi="Arial" w:cs="Arial"/>
          <w:sz w:val="20"/>
          <w:szCs w:val="20"/>
        </w:rPr>
        <w:t>)</w:t>
      </w:r>
      <w:r w:rsidR="00E36EF5" w:rsidRPr="005C553F">
        <w:rPr>
          <w:rFonts w:ascii="Arial" w:hAnsi="Arial" w:cs="Arial"/>
          <w:sz w:val="20"/>
          <w:szCs w:val="20"/>
        </w:rPr>
        <w:t>, chief executive</w:t>
      </w:r>
      <w:r w:rsidR="00EB27F8" w:rsidRPr="005C553F">
        <w:rPr>
          <w:rFonts w:ascii="Arial" w:hAnsi="Arial" w:cs="Arial"/>
          <w:sz w:val="20"/>
          <w:szCs w:val="20"/>
        </w:rPr>
        <w:t>(</w:t>
      </w:r>
      <w:r w:rsidR="00E36EF5" w:rsidRPr="005C553F">
        <w:rPr>
          <w:rFonts w:ascii="Arial" w:hAnsi="Arial" w:cs="Arial"/>
          <w:sz w:val="20"/>
          <w:szCs w:val="20"/>
        </w:rPr>
        <w:t>s</w:t>
      </w:r>
      <w:r w:rsidR="00EB27F8" w:rsidRPr="005C553F">
        <w:rPr>
          <w:rFonts w:ascii="Arial" w:hAnsi="Arial" w:cs="Arial"/>
          <w:sz w:val="20"/>
          <w:szCs w:val="20"/>
        </w:rPr>
        <w:t>)</w:t>
      </w:r>
      <w:r w:rsidR="00E36EF5" w:rsidRPr="005C553F">
        <w:rPr>
          <w:rFonts w:ascii="Arial" w:hAnsi="Arial" w:cs="Arial"/>
          <w:sz w:val="20"/>
          <w:szCs w:val="20"/>
        </w:rPr>
        <w:t>, controlling shareholder</w:t>
      </w:r>
      <w:r w:rsidR="00EB27F8" w:rsidRPr="005C553F">
        <w:rPr>
          <w:rFonts w:ascii="Arial" w:hAnsi="Arial" w:cs="Arial"/>
          <w:sz w:val="20"/>
          <w:szCs w:val="20"/>
        </w:rPr>
        <w:t>(</w:t>
      </w:r>
      <w:r w:rsidR="00E36EF5" w:rsidRPr="005C553F">
        <w:rPr>
          <w:rFonts w:ascii="Arial" w:hAnsi="Arial" w:cs="Arial"/>
          <w:sz w:val="20"/>
          <w:szCs w:val="20"/>
        </w:rPr>
        <w:t>s</w:t>
      </w:r>
      <w:r w:rsidR="00EB27F8" w:rsidRPr="005C553F">
        <w:rPr>
          <w:rFonts w:ascii="Arial" w:hAnsi="Arial" w:cs="Arial"/>
          <w:sz w:val="20"/>
          <w:szCs w:val="20"/>
        </w:rPr>
        <w:t>)</w:t>
      </w:r>
      <w:r w:rsidR="00E36EF5" w:rsidRPr="005C553F">
        <w:rPr>
          <w:rFonts w:ascii="Arial" w:hAnsi="Arial" w:cs="Arial"/>
          <w:sz w:val="20"/>
          <w:szCs w:val="20"/>
        </w:rPr>
        <w:t>, substantial shareholder</w:t>
      </w:r>
      <w:r w:rsidR="00EB27F8" w:rsidRPr="005C553F">
        <w:rPr>
          <w:rFonts w:ascii="Arial" w:hAnsi="Arial" w:cs="Arial"/>
          <w:sz w:val="20"/>
          <w:szCs w:val="20"/>
        </w:rPr>
        <w:t>(</w:t>
      </w:r>
      <w:r w:rsidR="00E36EF5" w:rsidRPr="005C553F">
        <w:rPr>
          <w:rFonts w:ascii="Arial" w:hAnsi="Arial" w:cs="Arial"/>
          <w:sz w:val="20"/>
          <w:szCs w:val="20"/>
        </w:rPr>
        <w:t>s</w:t>
      </w:r>
      <w:r w:rsidR="00EB27F8" w:rsidRPr="005C553F">
        <w:rPr>
          <w:rFonts w:ascii="Arial" w:hAnsi="Arial" w:cs="Arial"/>
          <w:sz w:val="20"/>
          <w:szCs w:val="20"/>
        </w:rPr>
        <w:t>)</w:t>
      </w:r>
      <w:r w:rsidR="00E36EF5" w:rsidRPr="005C553F">
        <w:rPr>
          <w:rFonts w:ascii="Arial" w:hAnsi="Arial" w:cs="Arial"/>
          <w:sz w:val="20"/>
          <w:szCs w:val="20"/>
        </w:rPr>
        <w:t xml:space="preserve"> or existing shareholder</w:t>
      </w:r>
      <w:r w:rsidR="00EB27F8" w:rsidRPr="005C553F">
        <w:rPr>
          <w:rFonts w:ascii="Arial" w:hAnsi="Arial" w:cs="Arial"/>
          <w:sz w:val="20"/>
          <w:szCs w:val="20"/>
        </w:rPr>
        <w:t>(</w:t>
      </w:r>
      <w:r w:rsidR="00E36EF5" w:rsidRPr="005C553F">
        <w:rPr>
          <w:rFonts w:ascii="Arial" w:hAnsi="Arial" w:cs="Arial"/>
          <w:sz w:val="20"/>
          <w:szCs w:val="20"/>
        </w:rPr>
        <w:t>s</w:t>
      </w:r>
      <w:r w:rsidR="00EB27F8" w:rsidRPr="005C553F">
        <w:rPr>
          <w:rFonts w:ascii="Arial" w:hAnsi="Arial" w:cs="Arial"/>
          <w:sz w:val="20"/>
          <w:szCs w:val="20"/>
        </w:rPr>
        <w:t>)</w:t>
      </w:r>
      <w:r w:rsidR="00E36EF5" w:rsidRPr="005C553F">
        <w:rPr>
          <w:rFonts w:ascii="Arial" w:hAnsi="Arial" w:cs="Arial"/>
          <w:sz w:val="20"/>
          <w:szCs w:val="20"/>
        </w:rPr>
        <w:t xml:space="preserve"> of the issuer or any of its </w:t>
      </w:r>
      <w:r w:rsidR="00EB27F8" w:rsidRPr="005C553F">
        <w:rPr>
          <w:rFonts w:ascii="Arial" w:hAnsi="Arial" w:cs="Arial"/>
          <w:sz w:val="20"/>
          <w:szCs w:val="20"/>
        </w:rPr>
        <w:t>subsidiar</w:t>
      </w:r>
      <w:r w:rsidR="00E36EF5" w:rsidRPr="005C553F">
        <w:rPr>
          <w:rFonts w:ascii="Arial" w:hAnsi="Arial" w:cs="Arial"/>
          <w:sz w:val="20"/>
          <w:szCs w:val="20"/>
        </w:rPr>
        <w:t>ies, or a close associate of any of them (collectively, the “</w:t>
      </w:r>
      <w:r w:rsidR="00E36EF5" w:rsidRPr="005C553F">
        <w:rPr>
          <w:rFonts w:ascii="Arial" w:hAnsi="Arial" w:cs="Arial"/>
          <w:b/>
          <w:sz w:val="20"/>
          <w:szCs w:val="20"/>
        </w:rPr>
        <w:t>Related Parties</w:t>
      </w:r>
      <w:r w:rsidR="001B401A" w:rsidRPr="005C553F">
        <w:rPr>
          <w:rFonts w:ascii="Arial" w:hAnsi="Arial" w:cs="Arial"/>
          <w:sz w:val="20"/>
          <w:szCs w:val="20"/>
        </w:rPr>
        <w:t>”)</w:t>
      </w:r>
      <w:r w:rsidR="000568E1" w:rsidRPr="005C553F">
        <w:rPr>
          <w:rFonts w:ascii="Arial" w:hAnsi="Arial" w:cs="Arial"/>
          <w:sz w:val="20"/>
          <w:szCs w:val="20"/>
        </w:rPr>
        <w:t>.</w:t>
      </w:r>
    </w:p>
    <w:p w:rsidR="00E278B9" w:rsidRPr="005C553F" w:rsidRDefault="00E23A27" w:rsidP="00995340">
      <w:pPr>
        <w:jc w:val="both"/>
        <w:rPr>
          <w:rFonts w:ascii="Arial" w:hAnsi="Arial" w:cs="Arial"/>
          <w:sz w:val="20"/>
          <w:szCs w:val="20"/>
        </w:rPr>
      </w:pPr>
      <w:r w:rsidRPr="005C553F">
        <w:rPr>
          <w:rFonts w:ascii="Arial" w:hAnsi="Arial" w:cs="Arial"/>
          <w:sz w:val="20"/>
          <w:szCs w:val="20"/>
        </w:rPr>
        <w:t>T</w:t>
      </w:r>
      <w:r w:rsidR="00E278B9" w:rsidRPr="005C553F">
        <w:rPr>
          <w:rFonts w:ascii="Arial" w:hAnsi="Arial" w:cs="Arial"/>
          <w:sz w:val="20"/>
          <w:szCs w:val="20"/>
        </w:rPr>
        <w:t xml:space="preserve">he template of </w:t>
      </w:r>
      <w:r w:rsidR="00783A44" w:rsidRPr="005C553F">
        <w:rPr>
          <w:rFonts w:ascii="Arial" w:hAnsi="Arial" w:cs="Arial"/>
          <w:sz w:val="20"/>
          <w:szCs w:val="20"/>
        </w:rPr>
        <w:t>the Marketing and Independence S</w:t>
      </w:r>
      <w:r w:rsidR="00E278B9" w:rsidRPr="005C553F">
        <w:rPr>
          <w:rFonts w:ascii="Arial" w:hAnsi="Arial" w:cs="Arial"/>
          <w:sz w:val="20"/>
          <w:szCs w:val="20"/>
        </w:rPr>
        <w:t>tatement, Sponsor / OC Declaration and Issuer’s Declaration</w:t>
      </w:r>
      <w:r w:rsidRPr="005C553F">
        <w:rPr>
          <w:rFonts w:ascii="Arial" w:hAnsi="Arial" w:cs="Arial"/>
          <w:sz w:val="20"/>
          <w:szCs w:val="20"/>
        </w:rPr>
        <w:t xml:space="preserve"> will also be amended </w:t>
      </w:r>
      <w:r w:rsidR="00E278B9" w:rsidRPr="005C553F">
        <w:rPr>
          <w:rFonts w:ascii="Arial" w:hAnsi="Arial" w:cs="Arial"/>
          <w:sz w:val="20"/>
          <w:szCs w:val="20"/>
        </w:rPr>
        <w:t xml:space="preserve">to codify </w:t>
      </w:r>
      <w:r w:rsidR="00062A79" w:rsidRPr="005C553F">
        <w:rPr>
          <w:rFonts w:ascii="Arial" w:hAnsi="Arial" w:cs="Arial"/>
          <w:sz w:val="20"/>
          <w:szCs w:val="20"/>
        </w:rPr>
        <w:t>existing</w:t>
      </w:r>
      <w:r w:rsidR="00E278B9" w:rsidRPr="005C553F">
        <w:rPr>
          <w:rFonts w:ascii="Arial" w:hAnsi="Arial" w:cs="Arial"/>
          <w:sz w:val="20"/>
          <w:szCs w:val="20"/>
        </w:rPr>
        <w:t xml:space="preserve"> regulatory confirmatio</w:t>
      </w:r>
      <w:r w:rsidR="00BA32A6" w:rsidRPr="005C553F">
        <w:rPr>
          <w:rFonts w:ascii="Arial" w:hAnsi="Arial" w:cs="Arial"/>
          <w:sz w:val="20"/>
          <w:szCs w:val="20"/>
        </w:rPr>
        <w:t xml:space="preserve">ns for distributors and issuers. </w:t>
      </w:r>
      <w:r w:rsidR="004470CE">
        <w:rPr>
          <w:rFonts w:ascii="Arial" w:hAnsi="Arial" w:cs="Arial"/>
          <w:sz w:val="20"/>
          <w:szCs w:val="20"/>
        </w:rPr>
        <w:t>The k</w:t>
      </w:r>
      <w:r w:rsidR="00BA32A6" w:rsidRPr="005C553F">
        <w:rPr>
          <w:rFonts w:ascii="Arial" w:hAnsi="Arial" w:cs="Arial"/>
          <w:sz w:val="20"/>
          <w:szCs w:val="20"/>
        </w:rPr>
        <w:t xml:space="preserve">ey amendments are </w:t>
      </w:r>
      <w:r w:rsidR="004470CE">
        <w:rPr>
          <w:rFonts w:ascii="Arial" w:hAnsi="Arial" w:cs="Arial"/>
          <w:sz w:val="20"/>
          <w:szCs w:val="20"/>
        </w:rPr>
        <w:t>summarised below.</w:t>
      </w:r>
    </w:p>
    <w:p w:rsidR="00E23A27" w:rsidRPr="006135CA" w:rsidRDefault="00E23A27" w:rsidP="00995340">
      <w:pPr>
        <w:jc w:val="both"/>
        <w:rPr>
          <w:rFonts w:ascii="Arial" w:hAnsi="Arial" w:cs="Arial"/>
          <w:b/>
          <w:sz w:val="20"/>
          <w:szCs w:val="20"/>
        </w:rPr>
      </w:pPr>
      <w:r w:rsidRPr="006135CA">
        <w:rPr>
          <w:rFonts w:ascii="Arial" w:hAnsi="Arial" w:cs="Arial"/>
          <w:b/>
          <w:sz w:val="20"/>
          <w:szCs w:val="20"/>
        </w:rPr>
        <w:t xml:space="preserve">Marketing and Independence Statement </w:t>
      </w:r>
    </w:p>
    <w:p w:rsidR="00E23A27" w:rsidRPr="005C553F" w:rsidRDefault="00E23A27" w:rsidP="00995340">
      <w:pPr>
        <w:jc w:val="both"/>
        <w:rPr>
          <w:rFonts w:ascii="Arial" w:hAnsi="Arial" w:cs="Arial"/>
          <w:sz w:val="20"/>
          <w:szCs w:val="20"/>
        </w:rPr>
      </w:pPr>
      <w:r w:rsidRPr="005C553F">
        <w:rPr>
          <w:rFonts w:ascii="Arial" w:hAnsi="Arial" w:cs="Arial"/>
          <w:sz w:val="20"/>
          <w:szCs w:val="20"/>
        </w:rPr>
        <w:t xml:space="preserve">Each distributor will be required to provide the following confirmations: </w:t>
      </w:r>
    </w:p>
    <w:p w:rsidR="00E36EF5" w:rsidRDefault="00E23A27" w:rsidP="00995340">
      <w:pPr>
        <w:pStyle w:val="a6"/>
        <w:numPr>
          <w:ilvl w:val="0"/>
          <w:numId w:val="8"/>
        </w:numPr>
        <w:jc w:val="both"/>
        <w:rPr>
          <w:rFonts w:ascii="Arial" w:hAnsi="Arial" w:cs="Arial"/>
          <w:sz w:val="20"/>
          <w:szCs w:val="20"/>
        </w:rPr>
      </w:pPr>
      <w:r w:rsidRPr="005C553F">
        <w:rPr>
          <w:rFonts w:ascii="Arial" w:hAnsi="Arial" w:cs="Arial"/>
          <w:sz w:val="20"/>
          <w:szCs w:val="20"/>
        </w:rPr>
        <w:t xml:space="preserve">the orders for the securities placed by it originate from placees procured by it and their respective ultimate beneficial owners; </w:t>
      </w:r>
    </w:p>
    <w:p w:rsidR="004470CE" w:rsidRPr="005C553F" w:rsidRDefault="004470CE" w:rsidP="004470CE">
      <w:pPr>
        <w:pStyle w:val="a6"/>
        <w:jc w:val="both"/>
        <w:rPr>
          <w:rFonts w:ascii="Arial" w:hAnsi="Arial" w:cs="Arial"/>
          <w:sz w:val="20"/>
          <w:szCs w:val="20"/>
        </w:rPr>
      </w:pPr>
    </w:p>
    <w:p w:rsidR="002F6B3F" w:rsidRDefault="00E23A27" w:rsidP="00995340">
      <w:pPr>
        <w:pStyle w:val="a6"/>
        <w:numPr>
          <w:ilvl w:val="0"/>
          <w:numId w:val="8"/>
        </w:numPr>
        <w:jc w:val="both"/>
        <w:rPr>
          <w:rFonts w:ascii="Arial" w:hAnsi="Arial" w:cs="Arial"/>
          <w:sz w:val="20"/>
          <w:szCs w:val="20"/>
        </w:rPr>
      </w:pPr>
      <w:r w:rsidRPr="005C553F">
        <w:rPr>
          <w:rFonts w:ascii="Arial" w:hAnsi="Arial" w:cs="Arial"/>
          <w:sz w:val="20"/>
          <w:szCs w:val="20"/>
        </w:rPr>
        <w:t>the placees procured by it and their respective ultimate beneficial owners have the financial capacity to meet all obligations arising from such orders, and are not financed directly or indirectly by, or accustomed to taking instructions from,</w:t>
      </w:r>
      <w:r w:rsidR="00E36EF5" w:rsidRPr="005C553F">
        <w:rPr>
          <w:rFonts w:ascii="Arial" w:hAnsi="Arial" w:cs="Arial"/>
          <w:sz w:val="20"/>
          <w:szCs w:val="20"/>
        </w:rPr>
        <w:t xml:space="preserve"> th</w:t>
      </w:r>
      <w:r w:rsidR="00870F63" w:rsidRPr="005C553F">
        <w:rPr>
          <w:rFonts w:ascii="Arial" w:hAnsi="Arial" w:cs="Arial"/>
          <w:sz w:val="20"/>
          <w:szCs w:val="20"/>
        </w:rPr>
        <w:t>e issuer or its R</w:t>
      </w:r>
      <w:r w:rsidR="002F6B3F" w:rsidRPr="005C553F">
        <w:rPr>
          <w:rFonts w:ascii="Arial" w:hAnsi="Arial" w:cs="Arial"/>
          <w:sz w:val="20"/>
          <w:szCs w:val="20"/>
        </w:rPr>
        <w:t>elat</w:t>
      </w:r>
      <w:r w:rsidR="00870F63" w:rsidRPr="005C553F">
        <w:rPr>
          <w:rFonts w:ascii="Arial" w:hAnsi="Arial" w:cs="Arial"/>
          <w:sz w:val="20"/>
          <w:szCs w:val="20"/>
        </w:rPr>
        <w:t>ed P</w:t>
      </w:r>
      <w:r w:rsidR="002F6B3F" w:rsidRPr="005C553F">
        <w:rPr>
          <w:rFonts w:ascii="Arial" w:hAnsi="Arial" w:cs="Arial"/>
          <w:sz w:val="20"/>
          <w:szCs w:val="20"/>
        </w:rPr>
        <w:t xml:space="preserve">arties; and </w:t>
      </w:r>
    </w:p>
    <w:p w:rsidR="004470CE" w:rsidRPr="005C553F" w:rsidRDefault="004470CE" w:rsidP="004470CE">
      <w:pPr>
        <w:pStyle w:val="a6"/>
        <w:jc w:val="both"/>
        <w:rPr>
          <w:rFonts w:ascii="Arial" w:hAnsi="Arial" w:cs="Arial"/>
          <w:sz w:val="20"/>
          <w:szCs w:val="20"/>
        </w:rPr>
      </w:pPr>
    </w:p>
    <w:p w:rsidR="00E36EF5" w:rsidRPr="005C553F" w:rsidRDefault="00AD7529" w:rsidP="00995340">
      <w:pPr>
        <w:pStyle w:val="a6"/>
        <w:numPr>
          <w:ilvl w:val="0"/>
          <w:numId w:val="8"/>
        </w:numPr>
        <w:jc w:val="both"/>
        <w:rPr>
          <w:rFonts w:ascii="Arial" w:hAnsi="Arial" w:cs="Arial"/>
          <w:sz w:val="20"/>
          <w:szCs w:val="20"/>
        </w:rPr>
      </w:pPr>
      <w:r w:rsidRPr="005C553F">
        <w:rPr>
          <w:rFonts w:ascii="Arial" w:hAnsi="Arial" w:cs="Arial"/>
          <w:sz w:val="20"/>
          <w:szCs w:val="20"/>
        </w:rPr>
        <w:t xml:space="preserve">the </w:t>
      </w:r>
      <w:r w:rsidR="00E36EF5" w:rsidRPr="005C553F">
        <w:rPr>
          <w:rFonts w:ascii="Arial" w:hAnsi="Arial" w:cs="Arial"/>
          <w:sz w:val="20"/>
          <w:szCs w:val="20"/>
        </w:rPr>
        <w:t>information in the statement and the concentration analysis interface is accurate and not misleading in all material aspects.</w:t>
      </w:r>
      <w:r w:rsidRPr="005C553F">
        <w:rPr>
          <w:rStyle w:val="a9"/>
          <w:rFonts w:ascii="Arial" w:hAnsi="Arial" w:cs="Arial"/>
          <w:sz w:val="20"/>
          <w:szCs w:val="20"/>
        </w:rPr>
        <w:footnoteReference w:id="32"/>
      </w:r>
    </w:p>
    <w:p w:rsidR="00E278B9" w:rsidRPr="006135CA" w:rsidRDefault="00E36EF5" w:rsidP="00995340">
      <w:pPr>
        <w:jc w:val="both"/>
        <w:rPr>
          <w:rFonts w:ascii="Arial" w:hAnsi="Arial" w:cs="Arial"/>
          <w:b/>
          <w:sz w:val="20"/>
          <w:szCs w:val="20"/>
        </w:rPr>
      </w:pPr>
      <w:r w:rsidRPr="006135CA">
        <w:rPr>
          <w:rFonts w:ascii="Arial" w:hAnsi="Arial" w:cs="Arial"/>
          <w:b/>
          <w:sz w:val="20"/>
          <w:szCs w:val="20"/>
        </w:rPr>
        <w:t>Issuer’s Declaration</w:t>
      </w:r>
    </w:p>
    <w:p w:rsidR="007354D6" w:rsidRPr="005C553F" w:rsidRDefault="00E36EF5" w:rsidP="00995340">
      <w:pPr>
        <w:jc w:val="both"/>
        <w:rPr>
          <w:rFonts w:ascii="Arial" w:hAnsi="Arial" w:cs="Arial"/>
          <w:sz w:val="20"/>
          <w:szCs w:val="20"/>
        </w:rPr>
      </w:pPr>
      <w:r w:rsidRPr="005C553F">
        <w:rPr>
          <w:rFonts w:ascii="Arial" w:hAnsi="Arial" w:cs="Arial"/>
          <w:sz w:val="20"/>
          <w:szCs w:val="20"/>
        </w:rPr>
        <w:t>Each issuer w</w:t>
      </w:r>
      <w:r w:rsidR="00614E78" w:rsidRPr="005C553F">
        <w:rPr>
          <w:rFonts w:ascii="Arial" w:hAnsi="Arial" w:cs="Arial"/>
          <w:sz w:val="20"/>
          <w:szCs w:val="20"/>
        </w:rPr>
        <w:t>ill be required to confirm that:</w:t>
      </w:r>
    </w:p>
    <w:p w:rsidR="007354D6" w:rsidRDefault="00E93545" w:rsidP="00995340">
      <w:pPr>
        <w:pStyle w:val="a6"/>
        <w:numPr>
          <w:ilvl w:val="0"/>
          <w:numId w:val="8"/>
        </w:numPr>
        <w:jc w:val="both"/>
        <w:rPr>
          <w:rFonts w:ascii="Arial" w:hAnsi="Arial" w:cs="Arial"/>
          <w:sz w:val="20"/>
          <w:szCs w:val="20"/>
        </w:rPr>
      </w:pPr>
      <w:r w:rsidRPr="005C553F">
        <w:rPr>
          <w:rFonts w:ascii="Arial" w:hAnsi="Arial" w:cs="Arial"/>
          <w:sz w:val="20"/>
          <w:szCs w:val="20"/>
        </w:rPr>
        <w:lastRenderedPageBreak/>
        <w:t xml:space="preserve">except where </w:t>
      </w:r>
      <w:r w:rsidR="004470CE">
        <w:rPr>
          <w:rFonts w:ascii="Arial" w:hAnsi="Arial" w:cs="Arial"/>
          <w:sz w:val="20"/>
          <w:szCs w:val="20"/>
        </w:rPr>
        <w:t xml:space="preserve">the </w:t>
      </w:r>
      <w:r w:rsidRPr="005C553F">
        <w:rPr>
          <w:rFonts w:ascii="Arial" w:hAnsi="Arial" w:cs="Arial"/>
          <w:sz w:val="20"/>
          <w:szCs w:val="20"/>
        </w:rPr>
        <w:t xml:space="preserve">HKEX has granted relevant waiver(s) or consent(s), </w:t>
      </w:r>
      <w:r w:rsidR="007354D6" w:rsidRPr="005C553F">
        <w:rPr>
          <w:rFonts w:ascii="Arial" w:hAnsi="Arial" w:cs="Arial"/>
          <w:sz w:val="20"/>
          <w:szCs w:val="20"/>
        </w:rPr>
        <w:t>all provisions of the</w:t>
      </w:r>
      <w:r w:rsidR="004470CE">
        <w:rPr>
          <w:rFonts w:ascii="Arial" w:hAnsi="Arial" w:cs="Arial"/>
          <w:sz w:val="20"/>
          <w:szCs w:val="20"/>
        </w:rPr>
        <w:t xml:space="preserve"> HKEX</w:t>
      </w:r>
      <w:r w:rsidR="007354D6" w:rsidRPr="005C553F">
        <w:rPr>
          <w:rFonts w:ascii="Arial" w:hAnsi="Arial" w:cs="Arial"/>
          <w:sz w:val="20"/>
          <w:szCs w:val="20"/>
        </w:rPr>
        <w:t xml:space="preserve"> Listing Rules and guidance materials have been complied with;</w:t>
      </w:r>
    </w:p>
    <w:p w:rsidR="004470CE" w:rsidRPr="005C553F" w:rsidRDefault="004470CE" w:rsidP="004470CE">
      <w:pPr>
        <w:pStyle w:val="a6"/>
        <w:jc w:val="both"/>
        <w:rPr>
          <w:rFonts w:ascii="Arial" w:hAnsi="Arial" w:cs="Arial"/>
          <w:sz w:val="20"/>
          <w:szCs w:val="20"/>
        </w:rPr>
      </w:pPr>
    </w:p>
    <w:p w:rsidR="007354D6" w:rsidRDefault="00344B2D" w:rsidP="00995340">
      <w:pPr>
        <w:pStyle w:val="a6"/>
        <w:numPr>
          <w:ilvl w:val="0"/>
          <w:numId w:val="8"/>
        </w:numPr>
        <w:jc w:val="both"/>
        <w:rPr>
          <w:rFonts w:ascii="Arial" w:hAnsi="Arial" w:cs="Arial"/>
          <w:sz w:val="20"/>
          <w:szCs w:val="20"/>
        </w:rPr>
      </w:pPr>
      <w:r w:rsidRPr="005C553F">
        <w:rPr>
          <w:rFonts w:ascii="Arial" w:hAnsi="Arial" w:cs="Arial"/>
          <w:sz w:val="20"/>
          <w:szCs w:val="20"/>
        </w:rPr>
        <w:t>in</w:t>
      </w:r>
      <w:r w:rsidR="00847651" w:rsidRPr="005C553F">
        <w:rPr>
          <w:rFonts w:ascii="Arial" w:hAnsi="Arial" w:cs="Arial"/>
          <w:sz w:val="20"/>
          <w:szCs w:val="20"/>
        </w:rPr>
        <w:t xml:space="preserve"> the</w:t>
      </w:r>
      <w:r w:rsidRPr="005C553F">
        <w:rPr>
          <w:rFonts w:ascii="Arial" w:hAnsi="Arial" w:cs="Arial"/>
          <w:sz w:val="20"/>
          <w:szCs w:val="20"/>
        </w:rPr>
        <w:t xml:space="preserve"> case of an offering of shares falling within </w:t>
      </w:r>
      <w:r w:rsidR="004470CE">
        <w:rPr>
          <w:rFonts w:ascii="Arial" w:hAnsi="Arial" w:cs="Arial"/>
          <w:sz w:val="20"/>
          <w:szCs w:val="20"/>
        </w:rPr>
        <w:t>Main Board Listing R</w:t>
      </w:r>
      <w:r w:rsidRPr="005C553F">
        <w:rPr>
          <w:rFonts w:ascii="Arial" w:hAnsi="Arial" w:cs="Arial"/>
          <w:sz w:val="20"/>
          <w:szCs w:val="20"/>
        </w:rPr>
        <w:t>ule 3A.32</w:t>
      </w:r>
      <w:r w:rsidRPr="005C553F">
        <w:rPr>
          <w:rFonts w:ascii="Arial" w:hAnsi="Arial" w:cs="Arial"/>
          <w:sz w:val="20"/>
          <w:szCs w:val="20"/>
          <w:lang w:eastAsia="zh-CN"/>
        </w:rPr>
        <w:t>(1)</w:t>
      </w:r>
      <w:r w:rsidR="007D3D4B" w:rsidRPr="005C553F">
        <w:rPr>
          <w:rFonts w:ascii="Arial" w:hAnsi="Arial" w:cs="Arial"/>
          <w:sz w:val="20"/>
          <w:szCs w:val="20"/>
          <w:lang w:eastAsia="zh-CN"/>
        </w:rPr>
        <w:t xml:space="preserve"> (GEM </w:t>
      </w:r>
      <w:r w:rsidR="004470CE">
        <w:rPr>
          <w:rFonts w:ascii="Arial" w:hAnsi="Arial" w:cs="Arial"/>
          <w:sz w:val="20"/>
          <w:szCs w:val="20"/>
          <w:lang w:eastAsia="zh-CN"/>
        </w:rPr>
        <w:t>L</w:t>
      </w:r>
      <w:r w:rsidR="00B20F2B" w:rsidRPr="005C553F">
        <w:rPr>
          <w:rFonts w:ascii="Arial" w:hAnsi="Arial" w:cs="Arial"/>
          <w:sz w:val="20"/>
          <w:szCs w:val="20"/>
          <w:lang w:eastAsia="zh-CN"/>
        </w:rPr>
        <w:t xml:space="preserve">isting </w:t>
      </w:r>
      <w:r w:rsidR="004470CE">
        <w:rPr>
          <w:rFonts w:ascii="Arial" w:hAnsi="Arial" w:cs="Arial"/>
          <w:sz w:val="20"/>
          <w:szCs w:val="20"/>
          <w:lang w:eastAsia="zh-CN"/>
        </w:rPr>
        <w:t>R</w:t>
      </w:r>
      <w:r w:rsidR="007D3D4B" w:rsidRPr="005C553F">
        <w:rPr>
          <w:rFonts w:ascii="Arial" w:hAnsi="Arial" w:cs="Arial"/>
          <w:sz w:val="20"/>
          <w:szCs w:val="20"/>
          <w:lang w:eastAsia="zh-CN"/>
        </w:rPr>
        <w:t>ule 6A.39(1))</w:t>
      </w:r>
      <w:r w:rsidRPr="005C553F">
        <w:rPr>
          <w:rFonts w:ascii="Arial" w:hAnsi="Arial" w:cs="Arial"/>
          <w:sz w:val="20"/>
          <w:szCs w:val="20"/>
          <w:lang w:eastAsia="zh-CN"/>
        </w:rPr>
        <w:t xml:space="preserve">, </w:t>
      </w:r>
      <w:r w:rsidR="007354D6" w:rsidRPr="005C553F">
        <w:rPr>
          <w:rFonts w:ascii="Arial" w:hAnsi="Arial" w:cs="Arial"/>
          <w:sz w:val="20"/>
          <w:szCs w:val="20"/>
        </w:rPr>
        <w:t>the allocation of discretionary fees and payment</w:t>
      </w:r>
      <w:r w:rsidR="00883CF2" w:rsidRPr="005C553F">
        <w:rPr>
          <w:rFonts w:ascii="Arial" w:hAnsi="Arial" w:cs="Arial"/>
          <w:sz w:val="20"/>
          <w:szCs w:val="20"/>
        </w:rPr>
        <w:t xml:space="preserve"> schedule</w:t>
      </w:r>
      <w:r w:rsidR="007354D6" w:rsidRPr="005C553F">
        <w:rPr>
          <w:rFonts w:ascii="Arial" w:hAnsi="Arial" w:cs="Arial"/>
          <w:sz w:val="20"/>
          <w:szCs w:val="20"/>
        </w:rPr>
        <w:t xml:space="preserve"> of the total fees payable to each syndicate </w:t>
      </w:r>
      <w:r w:rsidRPr="005C553F">
        <w:rPr>
          <w:rFonts w:ascii="Arial" w:hAnsi="Arial" w:cs="Arial"/>
          <w:sz w:val="20"/>
          <w:szCs w:val="20"/>
        </w:rPr>
        <w:t>Capital Market I</w:t>
      </w:r>
      <w:r w:rsidR="007354D6" w:rsidRPr="005C553F">
        <w:rPr>
          <w:rFonts w:ascii="Arial" w:hAnsi="Arial" w:cs="Arial"/>
          <w:sz w:val="20"/>
          <w:szCs w:val="20"/>
        </w:rPr>
        <w:t>ntermediary (</w:t>
      </w:r>
      <w:r w:rsidR="007354D6" w:rsidRPr="005C553F">
        <w:rPr>
          <w:rFonts w:ascii="Arial" w:hAnsi="Arial" w:cs="Arial"/>
          <w:b/>
          <w:sz w:val="20"/>
          <w:szCs w:val="20"/>
        </w:rPr>
        <w:t>CMI</w:t>
      </w:r>
      <w:r w:rsidR="007354D6" w:rsidRPr="005C553F">
        <w:rPr>
          <w:rFonts w:ascii="Arial" w:hAnsi="Arial" w:cs="Arial"/>
          <w:sz w:val="20"/>
          <w:szCs w:val="20"/>
        </w:rPr>
        <w:t xml:space="preserve">) have been determined and communicated in writing to </w:t>
      </w:r>
      <w:r w:rsidRPr="005C553F">
        <w:rPr>
          <w:rFonts w:ascii="Arial" w:hAnsi="Arial" w:cs="Arial"/>
          <w:sz w:val="20"/>
          <w:szCs w:val="20"/>
        </w:rPr>
        <w:t xml:space="preserve">each of </w:t>
      </w:r>
      <w:r w:rsidR="00883CF2" w:rsidRPr="005C553F">
        <w:rPr>
          <w:rFonts w:ascii="Arial" w:hAnsi="Arial" w:cs="Arial"/>
          <w:sz w:val="20"/>
          <w:szCs w:val="20"/>
        </w:rPr>
        <w:t>them</w:t>
      </w:r>
      <w:r w:rsidR="007354D6" w:rsidRPr="005C553F">
        <w:rPr>
          <w:rFonts w:ascii="Arial" w:hAnsi="Arial" w:cs="Arial"/>
          <w:sz w:val="20"/>
          <w:szCs w:val="20"/>
        </w:rPr>
        <w:t>;</w:t>
      </w:r>
      <w:r w:rsidR="007D3D4B" w:rsidRPr="005C553F">
        <w:rPr>
          <w:rFonts w:ascii="Arial" w:hAnsi="Arial" w:cs="Arial"/>
          <w:sz w:val="20"/>
          <w:szCs w:val="20"/>
        </w:rPr>
        <w:t xml:space="preserve"> and </w:t>
      </w:r>
    </w:p>
    <w:p w:rsidR="004470CE" w:rsidRPr="005C553F" w:rsidRDefault="004470CE" w:rsidP="004470CE">
      <w:pPr>
        <w:pStyle w:val="a6"/>
        <w:jc w:val="both"/>
        <w:rPr>
          <w:rFonts w:ascii="Arial" w:hAnsi="Arial" w:cs="Arial"/>
          <w:sz w:val="20"/>
          <w:szCs w:val="20"/>
        </w:rPr>
      </w:pPr>
    </w:p>
    <w:p w:rsidR="00A03F69" w:rsidRDefault="00E34AC1" w:rsidP="00A03F69">
      <w:pPr>
        <w:pStyle w:val="a6"/>
        <w:numPr>
          <w:ilvl w:val="0"/>
          <w:numId w:val="8"/>
        </w:numPr>
        <w:jc w:val="both"/>
        <w:rPr>
          <w:rFonts w:ascii="Arial" w:hAnsi="Arial" w:cs="Arial"/>
          <w:sz w:val="20"/>
          <w:szCs w:val="20"/>
        </w:rPr>
      </w:pPr>
      <w:r w:rsidRPr="005C553F">
        <w:rPr>
          <w:rFonts w:ascii="Arial" w:hAnsi="Arial" w:cs="Arial"/>
          <w:sz w:val="20"/>
          <w:szCs w:val="20"/>
        </w:rPr>
        <w:t xml:space="preserve">in </w:t>
      </w:r>
      <w:r w:rsidR="00847651" w:rsidRPr="005C553F">
        <w:rPr>
          <w:rFonts w:ascii="Arial" w:hAnsi="Arial" w:cs="Arial"/>
          <w:sz w:val="20"/>
          <w:szCs w:val="20"/>
        </w:rPr>
        <w:t xml:space="preserve">the </w:t>
      </w:r>
      <w:r w:rsidRPr="005C553F">
        <w:rPr>
          <w:rFonts w:ascii="Arial" w:hAnsi="Arial" w:cs="Arial"/>
          <w:sz w:val="20"/>
          <w:szCs w:val="20"/>
        </w:rPr>
        <w:t xml:space="preserve">case of a </w:t>
      </w:r>
      <w:r w:rsidR="004470CE">
        <w:rPr>
          <w:rFonts w:ascii="Arial" w:hAnsi="Arial" w:cs="Arial"/>
          <w:sz w:val="20"/>
          <w:szCs w:val="20"/>
          <w:lang w:eastAsia="zh-CN"/>
        </w:rPr>
        <w:t>n</w:t>
      </w:r>
      <w:r w:rsidRPr="005C553F">
        <w:rPr>
          <w:rFonts w:ascii="Arial" w:hAnsi="Arial" w:cs="Arial"/>
          <w:sz w:val="20"/>
          <w:szCs w:val="20"/>
          <w:lang w:eastAsia="zh-CN"/>
        </w:rPr>
        <w:t>ew</w:t>
      </w:r>
      <w:r w:rsidR="004470CE">
        <w:rPr>
          <w:rFonts w:ascii="Arial" w:hAnsi="Arial" w:cs="Arial"/>
          <w:sz w:val="20"/>
          <w:szCs w:val="20"/>
        </w:rPr>
        <w:t xml:space="preserve"> l</w:t>
      </w:r>
      <w:r w:rsidRPr="005C553F">
        <w:rPr>
          <w:rFonts w:ascii="Arial" w:hAnsi="Arial" w:cs="Arial"/>
          <w:sz w:val="20"/>
          <w:szCs w:val="20"/>
        </w:rPr>
        <w:t xml:space="preserve">isting, </w:t>
      </w:r>
      <w:r w:rsidR="00E36EF5" w:rsidRPr="005C553F">
        <w:rPr>
          <w:rFonts w:ascii="Arial" w:hAnsi="Arial" w:cs="Arial"/>
          <w:sz w:val="20"/>
          <w:szCs w:val="20"/>
        </w:rPr>
        <w:t xml:space="preserve">none </w:t>
      </w:r>
      <w:r w:rsidR="000568E1" w:rsidRPr="005C553F">
        <w:rPr>
          <w:rFonts w:ascii="Arial" w:hAnsi="Arial" w:cs="Arial"/>
          <w:sz w:val="20"/>
          <w:szCs w:val="20"/>
        </w:rPr>
        <w:t>of the allottees and</w:t>
      </w:r>
      <w:r w:rsidRPr="005C553F">
        <w:rPr>
          <w:rFonts w:ascii="Arial" w:hAnsi="Arial" w:cs="Arial"/>
          <w:sz w:val="20"/>
          <w:szCs w:val="20"/>
        </w:rPr>
        <w:t xml:space="preserve"> / or</w:t>
      </w:r>
      <w:r w:rsidR="000568E1" w:rsidRPr="005C553F">
        <w:rPr>
          <w:rFonts w:ascii="Arial" w:hAnsi="Arial" w:cs="Arial"/>
          <w:sz w:val="20"/>
          <w:szCs w:val="20"/>
        </w:rPr>
        <w:t xml:space="preserve"> placees are accustomed to taking instructions</w:t>
      </w:r>
      <w:r w:rsidR="008D64C8" w:rsidRPr="005C553F">
        <w:rPr>
          <w:rFonts w:ascii="Arial" w:hAnsi="Arial" w:cs="Arial"/>
          <w:sz w:val="20"/>
          <w:szCs w:val="20"/>
        </w:rPr>
        <w:t>, or have been financed directly or indirectly by</w:t>
      </w:r>
      <w:r w:rsidRPr="005C553F">
        <w:rPr>
          <w:rFonts w:ascii="Arial" w:hAnsi="Arial" w:cs="Arial"/>
          <w:sz w:val="20"/>
          <w:szCs w:val="20"/>
        </w:rPr>
        <w:t>,</w:t>
      </w:r>
      <w:r w:rsidR="008D64C8" w:rsidRPr="005C553F">
        <w:rPr>
          <w:rFonts w:ascii="Arial" w:hAnsi="Arial" w:cs="Arial"/>
          <w:sz w:val="20"/>
          <w:szCs w:val="20"/>
        </w:rPr>
        <w:t xml:space="preserve"> </w:t>
      </w:r>
      <w:r w:rsidR="000568E1" w:rsidRPr="005C553F">
        <w:rPr>
          <w:rFonts w:ascii="Arial" w:hAnsi="Arial" w:cs="Arial"/>
          <w:sz w:val="20"/>
          <w:szCs w:val="20"/>
        </w:rPr>
        <w:t>the issuer or any of its Related Parties</w:t>
      </w:r>
      <w:r w:rsidR="008D64C8" w:rsidRPr="005C553F">
        <w:rPr>
          <w:rFonts w:ascii="Arial" w:hAnsi="Arial" w:cs="Arial"/>
          <w:sz w:val="20"/>
          <w:szCs w:val="20"/>
        </w:rPr>
        <w:t>.</w:t>
      </w:r>
      <w:r w:rsidR="000568E1" w:rsidRPr="005C553F">
        <w:rPr>
          <w:rStyle w:val="a9"/>
          <w:rFonts w:ascii="Arial" w:hAnsi="Arial" w:cs="Arial"/>
          <w:sz w:val="20"/>
          <w:szCs w:val="20"/>
        </w:rPr>
        <w:footnoteReference w:id="33"/>
      </w:r>
    </w:p>
    <w:p w:rsidR="00A03F69" w:rsidRPr="00A03F69" w:rsidRDefault="00A03F69" w:rsidP="00A03F69">
      <w:pPr>
        <w:jc w:val="both"/>
        <w:rPr>
          <w:rFonts w:ascii="Arial" w:hAnsi="Arial" w:cs="Arial"/>
          <w:sz w:val="20"/>
          <w:szCs w:val="20"/>
        </w:rPr>
      </w:pPr>
    </w:p>
    <w:p w:rsidR="00A03F69" w:rsidRPr="00A41F57" w:rsidRDefault="00A03F69" w:rsidP="00A03F69">
      <w:pPr>
        <w:pStyle w:val="DisclaimerBold"/>
        <w:numPr>
          <w:ilvl w:val="0"/>
          <w:numId w:val="11"/>
        </w:numPr>
        <w:rPr>
          <w:rFonts w:ascii="Helvetica" w:hAnsi="Helvetica"/>
        </w:rPr>
      </w:pPr>
      <w:r>
        <w:tab/>
      </w:r>
      <w:r w:rsidRPr="00F05494">
        <w:rPr>
          <w:rFonts w:ascii="Helvetica" w:hAnsi="Helvetica"/>
        </w:rPr>
        <w:t>This newsletter is for information purposes only.</w:t>
      </w:r>
    </w:p>
    <w:p w:rsidR="00A03F69" w:rsidRPr="00F05494" w:rsidRDefault="00A03F69" w:rsidP="00A03F69">
      <w:pPr>
        <w:pStyle w:val="Disclaimer"/>
        <w:numPr>
          <w:ilvl w:val="0"/>
          <w:numId w:val="11"/>
        </w:numPr>
        <w:rPr>
          <w:rFonts w:ascii="Helvetica" w:hAnsi="Helvetica"/>
        </w:rPr>
      </w:pPr>
      <w:r w:rsidRPr="00F05494">
        <w:rPr>
          <w:rFonts w:ascii="Helvetica" w:hAnsi="Helvetica"/>
        </w:rPr>
        <w:t>Its contents do not constitute legal advice and it should not be regarded as a substitute for detailed advice in individual cases.</w:t>
      </w:r>
    </w:p>
    <w:p w:rsidR="00A03F69" w:rsidRPr="00F05494" w:rsidRDefault="00A03F69" w:rsidP="00A03F69">
      <w:pPr>
        <w:pStyle w:val="Disclaimer"/>
        <w:numPr>
          <w:ilvl w:val="0"/>
          <w:numId w:val="11"/>
        </w:numP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A03F69" w:rsidRPr="00F05494" w:rsidRDefault="00A03F69" w:rsidP="00A03F69">
      <w:pPr>
        <w:pStyle w:val="Disclaimer"/>
        <w:numPr>
          <w:ilvl w:val="0"/>
          <w:numId w:val="11"/>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A03F69" w:rsidRPr="00F05494" w:rsidRDefault="00A03F69" w:rsidP="00A03F69">
      <w:pPr>
        <w:pStyle w:val="Disclaimer"/>
        <w:numPr>
          <w:ilvl w:val="0"/>
          <w:numId w:val="11"/>
        </w:numP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25">
        <w:r w:rsidRPr="00F05494">
          <w:rPr>
            <w:rFonts w:ascii="Helvetica" w:hAnsi="Helvetica"/>
          </w:rPr>
          <w:t>unsubscribe@charltonslaw.com</w:t>
        </w:r>
      </w:hyperlink>
    </w:p>
    <w:p w:rsidR="00A03F69" w:rsidRPr="009B5310" w:rsidRDefault="00A03F69" w:rsidP="00A03F69">
      <w:pPr>
        <w:pStyle w:val="BlackStrips"/>
        <w:numPr>
          <w:ilvl w:val="0"/>
          <w:numId w:val="11"/>
        </w:numP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sidRPr="00A03F69">
        <w:rPr>
          <w:rFonts w:ascii="Helvetica" w:hAnsi="Helvetica"/>
        </w:rPr>
        <w:t>2</w:t>
      </w:r>
      <w:r w:rsidR="005034F5">
        <w:rPr>
          <w:rFonts w:ascii="Helvetica" w:hAnsi="Helvetica"/>
        </w:rPr>
        <w:t>4</w:t>
      </w:r>
      <w:r w:rsidRPr="00F05494">
        <w:rPr>
          <w:rFonts w:ascii="Helvetica" w:hAnsi="Helvetica"/>
        </w:rPr>
        <w:t xml:space="preserve"> </w:t>
      </w:r>
      <w:r>
        <w:rPr>
          <w:rFonts w:ascii="Helvetica" w:hAnsi="Helvetica"/>
        </w:rPr>
        <w:t>July</w:t>
      </w:r>
      <w:r w:rsidRPr="00F05494">
        <w:rPr>
          <w:rFonts w:ascii="Helvetica" w:hAnsi="Helvetica"/>
        </w:rPr>
        <w:t xml:space="preserve"> 202</w:t>
      </w:r>
      <w:r w:rsidRPr="008524CA">
        <w:rPr>
          <w:rFonts w:ascii="Helvetica" w:hAnsi="Helvetica"/>
        </w:rPr>
        <w:t>3</w:t>
      </w:r>
    </w:p>
    <w:p w:rsidR="00A03F69" w:rsidRPr="00A03F69" w:rsidRDefault="00A03F69" w:rsidP="00A03F69">
      <w:pPr>
        <w:tabs>
          <w:tab w:val="left" w:pos="538"/>
        </w:tabs>
      </w:pPr>
    </w:p>
    <w:sectPr w:rsidR="00A03F69" w:rsidRPr="00A03F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57E" w:rsidRDefault="0079457E" w:rsidP="000A20E3">
      <w:pPr>
        <w:spacing w:after="0" w:line="240" w:lineRule="auto"/>
      </w:pPr>
      <w:r>
        <w:separator/>
      </w:r>
    </w:p>
  </w:endnote>
  <w:endnote w:type="continuationSeparator" w:id="0">
    <w:p w:rsidR="0079457E" w:rsidRDefault="0079457E" w:rsidP="000A2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57E" w:rsidRDefault="0079457E" w:rsidP="000A20E3">
      <w:pPr>
        <w:spacing w:after="0" w:line="240" w:lineRule="auto"/>
      </w:pPr>
      <w:r>
        <w:separator/>
      </w:r>
    </w:p>
  </w:footnote>
  <w:footnote w:type="continuationSeparator" w:id="0">
    <w:p w:rsidR="0079457E" w:rsidRDefault="0079457E" w:rsidP="000A20E3">
      <w:pPr>
        <w:spacing w:after="0" w:line="240" w:lineRule="auto"/>
      </w:pPr>
      <w:r>
        <w:continuationSeparator/>
      </w:r>
    </w:p>
  </w:footnote>
  <w:footnote w:id="1">
    <w:p w:rsidR="002C53FA" w:rsidRPr="00CA6876" w:rsidRDefault="002C53FA" w:rsidP="00F351B6">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w:t>
      </w:r>
      <w:r w:rsidR="004E5C00">
        <w:rPr>
          <w:rFonts w:ascii="Arial" w:hAnsi="Arial" w:cs="Arial"/>
          <w:sz w:val="18"/>
          <w:szCs w:val="18"/>
        </w:rPr>
        <w:t xml:space="preserve">HKEX Listing </w:t>
      </w:r>
      <w:r w:rsidRPr="00CA6876">
        <w:rPr>
          <w:rFonts w:ascii="Arial" w:hAnsi="Arial" w:cs="Arial"/>
          <w:sz w:val="18"/>
          <w:szCs w:val="18"/>
        </w:rPr>
        <w:t>Rule</w:t>
      </w:r>
      <w:r w:rsidR="00872D4E">
        <w:rPr>
          <w:rFonts w:ascii="Arial" w:hAnsi="Arial" w:cs="Arial"/>
          <w:sz w:val="18"/>
          <w:szCs w:val="18"/>
        </w:rPr>
        <w:t>s</w:t>
      </w:r>
      <w:r w:rsidRPr="00CA6876">
        <w:rPr>
          <w:rFonts w:ascii="Arial" w:hAnsi="Arial" w:cs="Arial"/>
          <w:sz w:val="18"/>
          <w:szCs w:val="18"/>
        </w:rPr>
        <w:t xml:space="preserve"> 1.01 and 9.09A (GEM Rules 1.01 and 12.11A) </w:t>
      </w:r>
    </w:p>
  </w:footnote>
  <w:footnote w:id="2">
    <w:p w:rsidR="001244F8" w:rsidRPr="001244F8" w:rsidRDefault="001244F8">
      <w:pPr>
        <w:pStyle w:val="a7"/>
        <w:rPr>
          <w:lang w:val="en-GB"/>
        </w:rPr>
      </w:pPr>
      <w:r>
        <w:rPr>
          <w:rStyle w:val="a9"/>
        </w:rPr>
        <w:footnoteRef/>
      </w:r>
      <w:r>
        <w:t xml:space="preserve"> </w:t>
      </w:r>
      <w:r>
        <w:rPr>
          <w:lang w:val="en-GB"/>
        </w:rPr>
        <w:t>FAQ B1, FINI Information Pack (last updated on 27 May 2022)</w:t>
      </w:r>
    </w:p>
  </w:footnote>
  <w:footnote w:id="3">
    <w:p w:rsidR="00CE3560" w:rsidRPr="0044468C" w:rsidRDefault="00CE3560" w:rsidP="00CE3560">
      <w:pPr>
        <w:pStyle w:val="a7"/>
        <w:rPr>
          <w:lang w:val="en-GB"/>
        </w:rPr>
      </w:pPr>
      <w:r>
        <w:rPr>
          <w:rStyle w:val="a9"/>
        </w:rPr>
        <w:footnoteRef/>
      </w:r>
      <w:r>
        <w:t xml:space="preserve"> </w:t>
      </w:r>
      <w:r>
        <w:rPr>
          <w:lang w:val="en-GB"/>
        </w:rPr>
        <w:t xml:space="preserve">HKEX Listing Rule 12.08 (GEM Listing Rule 16.13) and </w:t>
      </w:r>
      <w:r>
        <w:t>paragraph 10 of Practice Note 8A (paragraph 10 of Practice Note 7 of the GEM Listing Rules)</w:t>
      </w:r>
    </w:p>
  </w:footnote>
  <w:footnote w:id="4">
    <w:p w:rsidR="00CE3560" w:rsidRPr="00CE3560" w:rsidRDefault="00CE3560">
      <w:pPr>
        <w:pStyle w:val="a7"/>
        <w:rPr>
          <w:lang w:val="en-GB"/>
        </w:rPr>
      </w:pPr>
      <w:r>
        <w:rPr>
          <w:rStyle w:val="a9"/>
        </w:rPr>
        <w:footnoteRef/>
      </w:r>
      <w:r>
        <w:t xml:space="preserve"> Step 7, FAQ B1, FINI Information Pack</w:t>
      </w:r>
    </w:p>
  </w:footnote>
  <w:footnote w:id="5">
    <w:p w:rsidR="00C034B5" w:rsidRPr="00C034B5" w:rsidRDefault="00C034B5">
      <w:pPr>
        <w:pStyle w:val="a7"/>
        <w:rPr>
          <w:lang w:val="en-GB"/>
        </w:rPr>
      </w:pPr>
      <w:r>
        <w:rPr>
          <w:rStyle w:val="a9"/>
        </w:rPr>
        <w:footnoteRef/>
      </w:r>
      <w:r>
        <w:t xml:space="preserve"> Step 8, FAQ B1, FINI Information Pack</w:t>
      </w:r>
    </w:p>
  </w:footnote>
  <w:footnote w:id="6">
    <w:p w:rsidR="00C034B5" w:rsidRPr="00C034B5" w:rsidRDefault="00C034B5">
      <w:pPr>
        <w:pStyle w:val="a7"/>
        <w:rPr>
          <w:lang w:val="en-GB"/>
        </w:rPr>
      </w:pPr>
      <w:r>
        <w:rPr>
          <w:rStyle w:val="a9"/>
        </w:rPr>
        <w:footnoteRef/>
      </w:r>
      <w:r>
        <w:t xml:space="preserve"> Paragraph 4.6 of Practice Note 18 of the Listing Rules (paragraph 8 of Practice Note 6 of the GEM Listing Rules)</w:t>
      </w:r>
    </w:p>
  </w:footnote>
  <w:footnote w:id="7">
    <w:p w:rsidR="00C034B5" w:rsidRPr="00C034B5" w:rsidRDefault="00C034B5">
      <w:pPr>
        <w:pStyle w:val="a7"/>
        <w:rPr>
          <w:lang w:val="en-GB"/>
        </w:rPr>
      </w:pPr>
      <w:r>
        <w:rPr>
          <w:rStyle w:val="a9"/>
        </w:rPr>
        <w:footnoteRef/>
      </w:r>
      <w:r>
        <w:t xml:space="preserve"> As defined in paragraph 13 of the Placing Guidelines in Appendix 6 to the Listing Rules (note 2 of GEM Rule 10.12(4))</w:t>
      </w:r>
    </w:p>
  </w:footnote>
  <w:footnote w:id="8">
    <w:p w:rsidR="00F9493F" w:rsidRPr="002F7442" w:rsidRDefault="00F9493F" w:rsidP="00F9493F">
      <w:pPr>
        <w:pStyle w:val="a7"/>
        <w:jc w:val="both"/>
        <w:rPr>
          <w:rFonts w:ascii="Arial" w:hAnsi="Arial" w:cs="Arial"/>
        </w:rPr>
      </w:pPr>
      <w:r w:rsidRPr="00CA6876">
        <w:rPr>
          <w:rStyle w:val="a9"/>
          <w:rFonts w:ascii="Arial" w:hAnsi="Arial" w:cs="Arial"/>
          <w:sz w:val="18"/>
          <w:szCs w:val="18"/>
        </w:rPr>
        <w:footnoteRef/>
      </w:r>
      <w:r w:rsidRPr="00CA6876">
        <w:rPr>
          <w:rFonts w:ascii="Arial" w:hAnsi="Arial" w:cs="Arial"/>
          <w:sz w:val="18"/>
          <w:szCs w:val="18"/>
        </w:rPr>
        <w:t xml:space="preserve"> Note (2) to </w:t>
      </w:r>
      <w:r w:rsidR="00C81AFD">
        <w:rPr>
          <w:rFonts w:ascii="Arial" w:hAnsi="Arial" w:cs="Arial"/>
          <w:sz w:val="18"/>
          <w:szCs w:val="18"/>
        </w:rPr>
        <w:t xml:space="preserve">Main Board Listing </w:t>
      </w:r>
      <w:r w:rsidRPr="00CA6876">
        <w:rPr>
          <w:rFonts w:ascii="Arial" w:hAnsi="Arial" w:cs="Arial"/>
          <w:sz w:val="18"/>
          <w:szCs w:val="18"/>
        </w:rPr>
        <w:t xml:space="preserve">Rule 2.07C(5) (Note 2 to </w:t>
      </w:r>
      <w:r w:rsidR="00C81AFD">
        <w:rPr>
          <w:rFonts w:ascii="Arial" w:hAnsi="Arial" w:cs="Arial"/>
          <w:sz w:val="18"/>
          <w:szCs w:val="18"/>
        </w:rPr>
        <w:t xml:space="preserve">GEM Listing </w:t>
      </w:r>
      <w:r w:rsidRPr="00CA6876">
        <w:rPr>
          <w:rFonts w:ascii="Arial" w:hAnsi="Arial" w:cs="Arial"/>
          <w:sz w:val="18"/>
          <w:szCs w:val="18"/>
        </w:rPr>
        <w:t xml:space="preserve">Rule 16.18(4)) </w:t>
      </w:r>
    </w:p>
  </w:footnote>
  <w:footnote w:id="9">
    <w:p w:rsidR="002C53FA" w:rsidRPr="00CA6876" w:rsidRDefault="002C53FA" w:rsidP="00F351B6">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Note (3) to </w:t>
      </w:r>
      <w:r w:rsidR="00C25303">
        <w:rPr>
          <w:rFonts w:ascii="Arial" w:hAnsi="Arial" w:cs="Arial"/>
          <w:sz w:val="18"/>
          <w:szCs w:val="18"/>
        </w:rPr>
        <w:t xml:space="preserve">Main Board Listing </w:t>
      </w:r>
      <w:r w:rsidRPr="00CA6876">
        <w:rPr>
          <w:rFonts w:ascii="Arial" w:hAnsi="Arial" w:cs="Arial"/>
          <w:sz w:val="18"/>
          <w:szCs w:val="18"/>
        </w:rPr>
        <w:t xml:space="preserve">Rule 2.07C(5) </w:t>
      </w:r>
      <w:r w:rsidR="00F351B6" w:rsidRPr="00CA6876">
        <w:rPr>
          <w:rFonts w:ascii="Arial" w:hAnsi="Arial" w:cs="Arial"/>
          <w:sz w:val="18"/>
          <w:szCs w:val="18"/>
        </w:rPr>
        <w:t>(</w:t>
      </w:r>
      <w:r w:rsidRPr="00CA6876">
        <w:rPr>
          <w:rFonts w:ascii="Arial" w:hAnsi="Arial" w:cs="Arial"/>
          <w:sz w:val="18"/>
          <w:szCs w:val="18"/>
        </w:rPr>
        <w:t xml:space="preserve">Note (3) to GEM </w:t>
      </w:r>
      <w:r w:rsidR="00F9493F" w:rsidRPr="00CA6876">
        <w:rPr>
          <w:rFonts w:ascii="Arial" w:hAnsi="Arial" w:cs="Arial"/>
          <w:sz w:val="18"/>
          <w:szCs w:val="18"/>
        </w:rPr>
        <w:t xml:space="preserve">Listing </w:t>
      </w:r>
      <w:r w:rsidRPr="00CA6876">
        <w:rPr>
          <w:rFonts w:ascii="Arial" w:hAnsi="Arial" w:cs="Arial"/>
          <w:sz w:val="18"/>
          <w:szCs w:val="18"/>
        </w:rPr>
        <w:t>Rule 16.18(4)</w:t>
      </w:r>
      <w:r w:rsidR="00F351B6" w:rsidRPr="00CA6876">
        <w:rPr>
          <w:rFonts w:ascii="Arial" w:hAnsi="Arial" w:cs="Arial"/>
          <w:sz w:val="18"/>
          <w:szCs w:val="18"/>
        </w:rPr>
        <w:t>)</w:t>
      </w:r>
      <w:r w:rsidRPr="00CA6876">
        <w:rPr>
          <w:rFonts w:ascii="Arial" w:hAnsi="Arial" w:cs="Arial"/>
          <w:sz w:val="18"/>
          <w:szCs w:val="18"/>
        </w:rPr>
        <w:t xml:space="preserve"> </w:t>
      </w:r>
    </w:p>
  </w:footnote>
  <w:footnote w:id="10">
    <w:p w:rsidR="0056179C" w:rsidRPr="00CA6876" w:rsidRDefault="0056179C" w:rsidP="0056179C">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w:t>
      </w:r>
      <w:r w:rsidR="00C25303">
        <w:rPr>
          <w:rFonts w:ascii="Arial" w:hAnsi="Arial" w:cs="Arial"/>
          <w:sz w:val="18"/>
          <w:szCs w:val="18"/>
        </w:rPr>
        <w:t xml:space="preserve">Main Board Listing </w:t>
      </w:r>
      <w:r w:rsidRPr="00CA6876">
        <w:rPr>
          <w:rFonts w:ascii="Arial" w:hAnsi="Arial" w:cs="Arial"/>
          <w:sz w:val="18"/>
          <w:szCs w:val="18"/>
        </w:rPr>
        <w:t xml:space="preserve">Rule 9.11(32a) (GEM Listing Rule 12.24(1a)) </w:t>
      </w:r>
    </w:p>
  </w:footnote>
  <w:footnote w:id="11">
    <w:p w:rsidR="00B07A71" w:rsidRPr="00CA6876" w:rsidRDefault="00B07A71" w:rsidP="00B07A71">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w:t>
      </w:r>
      <w:r w:rsidR="00C25303">
        <w:rPr>
          <w:rFonts w:ascii="Arial" w:hAnsi="Arial" w:cs="Arial"/>
          <w:sz w:val="18"/>
          <w:szCs w:val="18"/>
        </w:rPr>
        <w:t>Main Board Listing Rule</w:t>
      </w:r>
      <w:r w:rsidRPr="00CA6876">
        <w:rPr>
          <w:rFonts w:ascii="Arial" w:hAnsi="Arial" w:cs="Arial"/>
          <w:sz w:val="18"/>
          <w:szCs w:val="18"/>
        </w:rPr>
        <w:t xml:space="preserve"> 9.11(39) (GEM Listing Rule 12.26(10)) </w:t>
      </w:r>
    </w:p>
  </w:footnote>
  <w:footnote w:id="12">
    <w:p w:rsidR="00BB42E2" w:rsidRPr="00CA6876" w:rsidRDefault="00BB42E2" w:rsidP="00F351B6">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Applicable only in the case of a placing involving bookbuildi</w:t>
      </w:r>
      <w:r w:rsidR="00C25303">
        <w:rPr>
          <w:rFonts w:ascii="Arial" w:hAnsi="Arial" w:cs="Arial"/>
          <w:sz w:val="18"/>
          <w:szCs w:val="18"/>
        </w:rPr>
        <w:t>ng activities connected with a new l</w:t>
      </w:r>
      <w:r w:rsidRPr="00CA6876">
        <w:rPr>
          <w:rFonts w:ascii="Arial" w:hAnsi="Arial" w:cs="Arial"/>
          <w:sz w:val="18"/>
          <w:szCs w:val="18"/>
        </w:rPr>
        <w:t xml:space="preserve">isting </w:t>
      </w:r>
    </w:p>
  </w:footnote>
  <w:footnote w:id="13">
    <w:p w:rsidR="006B33AE" w:rsidRPr="00CA6876" w:rsidRDefault="006B33AE" w:rsidP="00F351B6">
      <w:pPr>
        <w:pStyle w:val="a7"/>
        <w:jc w:val="both"/>
        <w:rPr>
          <w:rFonts w:ascii="Arial" w:hAnsi="Arial" w:cs="Arial"/>
          <w:sz w:val="18"/>
          <w:szCs w:val="18"/>
        </w:rPr>
      </w:pPr>
      <w:r w:rsidRPr="00CA6876">
        <w:rPr>
          <w:rStyle w:val="a9"/>
          <w:rFonts w:ascii="Arial" w:hAnsi="Arial" w:cs="Arial"/>
          <w:sz w:val="18"/>
          <w:szCs w:val="18"/>
        </w:rPr>
        <w:footnoteRef/>
      </w:r>
      <w:r w:rsidR="00CA4672" w:rsidRPr="00CA6876">
        <w:rPr>
          <w:rFonts w:ascii="Arial" w:hAnsi="Arial" w:cs="Arial"/>
          <w:sz w:val="18"/>
          <w:szCs w:val="18"/>
        </w:rPr>
        <w:t xml:space="preserve"> Ibid</w:t>
      </w:r>
      <w:r w:rsidR="00C25303">
        <w:rPr>
          <w:rFonts w:ascii="Arial" w:hAnsi="Arial" w:cs="Arial"/>
          <w:sz w:val="18"/>
          <w:szCs w:val="18"/>
        </w:rPr>
        <w:t>.</w:t>
      </w:r>
    </w:p>
  </w:footnote>
  <w:footnote w:id="14">
    <w:p w:rsidR="00B07A71" w:rsidRPr="00CA6876" w:rsidRDefault="00B07A71" w:rsidP="00B07A71">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w:t>
      </w:r>
      <w:r w:rsidR="00C25303">
        <w:rPr>
          <w:rFonts w:ascii="Arial" w:hAnsi="Arial" w:cs="Arial"/>
          <w:sz w:val="18"/>
          <w:szCs w:val="18"/>
        </w:rPr>
        <w:t>Main Board Listing Rules 9.11(35) to 9.11</w:t>
      </w:r>
      <w:r w:rsidRPr="00CA6876">
        <w:rPr>
          <w:rFonts w:ascii="Arial" w:hAnsi="Arial" w:cs="Arial"/>
          <w:sz w:val="18"/>
          <w:szCs w:val="18"/>
        </w:rPr>
        <w:t xml:space="preserve">(37), and paragraphs 10 and 11 of Appendix 6 to the </w:t>
      </w:r>
      <w:r w:rsidR="00C25303">
        <w:rPr>
          <w:rFonts w:ascii="Arial" w:hAnsi="Arial" w:cs="Arial"/>
          <w:sz w:val="18"/>
          <w:szCs w:val="18"/>
        </w:rPr>
        <w:t xml:space="preserve">Main Board </w:t>
      </w:r>
      <w:r w:rsidRPr="00CA6876">
        <w:rPr>
          <w:rFonts w:ascii="Arial" w:hAnsi="Arial" w:cs="Arial"/>
          <w:sz w:val="18"/>
          <w:szCs w:val="18"/>
        </w:rPr>
        <w:t xml:space="preserve">Listing Rules (GEM Listing Rules 10.12(5), 10.12(6), 12.26(6), 12.26(7) and 12.26(8)) </w:t>
      </w:r>
    </w:p>
  </w:footnote>
  <w:footnote w:id="15">
    <w:p w:rsidR="00B07A71" w:rsidRPr="00CA6876" w:rsidRDefault="00B07A71" w:rsidP="00B07A71">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Forms D, E and F in Appendix 5 to the Listing Rules (Forms D and E in Appendix 5 and Form I in Appendix 7 to the GEM Listi</w:t>
      </w:r>
      <w:r w:rsidR="004470CE">
        <w:rPr>
          <w:rFonts w:ascii="Arial" w:hAnsi="Arial" w:cs="Arial"/>
          <w:sz w:val="18"/>
          <w:szCs w:val="18"/>
        </w:rPr>
        <w:t xml:space="preserve">ng Rules) </w:t>
      </w:r>
    </w:p>
  </w:footnote>
  <w:footnote w:id="16">
    <w:p w:rsidR="00B96C96" w:rsidRPr="00CA6876" w:rsidRDefault="00B96C96" w:rsidP="00B96C96">
      <w:pPr>
        <w:pStyle w:val="a7"/>
        <w:jc w:val="both"/>
        <w:rPr>
          <w:rFonts w:ascii="Arial" w:hAnsi="Arial" w:cs="Arial"/>
          <w:sz w:val="18"/>
          <w:szCs w:val="18"/>
          <w:lang w:eastAsia="zh-CN"/>
        </w:rPr>
      </w:pPr>
      <w:r w:rsidRPr="00CA6876">
        <w:rPr>
          <w:rStyle w:val="a9"/>
          <w:rFonts w:ascii="Arial" w:hAnsi="Arial" w:cs="Arial"/>
          <w:sz w:val="18"/>
          <w:szCs w:val="18"/>
        </w:rPr>
        <w:footnoteRef/>
      </w:r>
      <w:r w:rsidRPr="00CA6876">
        <w:rPr>
          <w:rFonts w:ascii="Arial" w:hAnsi="Arial" w:cs="Arial"/>
          <w:sz w:val="18"/>
          <w:szCs w:val="18"/>
        </w:rPr>
        <w:t xml:space="preserve"> </w:t>
      </w:r>
      <w:r w:rsidRPr="00CA6876">
        <w:rPr>
          <w:rFonts w:ascii="Arial" w:hAnsi="Arial" w:cs="Arial"/>
          <w:sz w:val="18"/>
          <w:szCs w:val="18"/>
          <w:lang w:eastAsia="zh-CN"/>
        </w:rPr>
        <w:t xml:space="preserve">Rule 9.11(37) (GEM </w:t>
      </w:r>
      <w:r w:rsidRPr="00CA6876">
        <w:rPr>
          <w:rFonts w:ascii="Arial" w:hAnsi="Arial" w:cs="Arial"/>
          <w:sz w:val="18"/>
          <w:szCs w:val="18"/>
        </w:rPr>
        <w:t xml:space="preserve">Listing </w:t>
      </w:r>
      <w:r w:rsidRPr="00CA6876">
        <w:rPr>
          <w:rFonts w:ascii="Arial" w:hAnsi="Arial" w:cs="Arial"/>
          <w:sz w:val="18"/>
          <w:szCs w:val="18"/>
          <w:lang w:eastAsia="zh-CN"/>
        </w:rPr>
        <w:t xml:space="preserve">Rule 12.26(7)) </w:t>
      </w:r>
    </w:p>
  </w:footnote>
  <w:footnote w:id="17">
    <w:p w:rsidR="00B07A71" w:rsidRPr="00CA6876" w:rsidRDefault="00B07A71" w:rsidP="00B07A71">
      <w:pPr>
        <w:pStyle w:val="a7"/>
        <w:jc w:val="both"/>
        <w:rPr>
          <w:rFonts w:ascii="Arial" w:hAnsi="Arial" w:cs="Arial"/>
          <w:sz w:val="18"/>
          <w:szCs w:val="18"/>
          <w:lang w:eastAsia="zh-CN"/>
        </w:rPr>
      </w:pPr>
      <w:r w:rsidRPr="00CA6876">
        <w:rPr>
          <w:rStyle w:val="a9"/>
          <w:rFonts w:ascii="Arial" w:hAnsi="Arial" w:cs="Arial"/>
          <w:sz w:val="18"/>
          <w:szCs w:val="18"/>
        </w:rPr>
        <w:footnoteRef/>
      </w:r>
      <w:r w:rsidRPr="00CA6876">
        <w:rPr>
          <w:rFonts w:ascii="Arial" w:hAnsi="Arial" w:cs="Arial"/>
          <w:sz w:val="18"/>
          <w:szCs w:val="18"/>
        </w:rPr>
        <w:t xml:space="preserve"> </w:t>
      </w:r>
      <w:r w:rsidRPr="00CA6876">
        <w:rPr>
          <w:rFonts w:ascii="Arial" w:hAnsi="Arial" w:cs="Arial"/>
          <w:sz w:val="18"/>
          <w:szCs w:val="18"/>
          <w:lang w:eastAsia="zh-CN"/>
        </w:rPr>
        <w:t xml:space="preserve">Rule 10.02 (GEM </w:t>
      </w:r>
      <w:r w:rsidRPr="00CA6876">
        <w:rPr>
          <w:rFonts w:ascii="Arial" w:hAnsi="Arial" w:cs="Arial"/>
          <w:sz w:val="18"/>
          <w:szCs w:val="18"/>
        </w:rPr>
        <w:t xml:space="preserve">Listing </w:t>
      </w:r>
      <w:r w:rsidRPr="00CA6876">
        <w:rPr>
          <w:rFonts w:ascii="Arial" w:hAnsi="Arial" w:cs="Arial"/>
          <w:sz w:val="18"/>
          <w:szCs w:val="18"/>
          <w:lang w:eastAsia="zh-CN"/>
        </w:rPr>
        <w:t xml:space="preserve">Rule 13.02(3)) </w:t>
      </w:r>
    </w:p>
  </w:footnote>
  <w:footnote w:id="18">
    <w:p w:rsidR="00B07A71" w:rsidRPr="00CA6876" w:rsidRDefault="00B07A71" w:rsidP="00B07A71">
      <w:pPr>
        <w:pStyle w:val="a7"/>
        <w:jc w:val="both"/>
        <w:rPr>
          <w:rFonts w:ascii="Arial" w:hAnsi="Arial" w:cs="Arial"/>
          <w:sz w:val="18"/>
          <w:szCs w:val="18"/>
          <w:lang w:eastAsia="zh-CN"/>
        </w:rPr>
      </w:pPr>
      <w:r w:rsidRPr="00CA6876">
        <w:rPr>
          <w:rStyle w:val="a9"/>
          <w:rFonts w:ascii="Arial" w:hAnsi="Arial" w:cs="Arial"/>
          <w:sz w:val="18"/>
          <w:szCs w:val="18"/>
        </w:rPr>
        <w:footnoteRef/>
      </w:r>
      <w:r w:rsidRPr="00CA6876">
        <w:rPr>
          <w:rFonts w:ascii="Arial" w:hAnsi="Arial" w:cs="Arial"/>
          <w:sz w:val="18"/>
          <w:szCs w:val="18"/>
        </w:rPr>
        <w:t xml:space="preserve"> </w:t>
      </w:r>
      <w:r w:rsidR="005D6861">
        <w:rPr>
          <w:rFonts w:ascii="Arial" w:hAnsi="Arial" w:cs="Arial"/>
          <w:sz w:val="18"/>
          <w:szCs w:val="18"/>
        </w:rPr>
        <w:t xml:space="preserve">Main Board Listing </w:t>
      </w:r>
      <w:r w:rsidRPr="00CA6876">
        <w:rPr>
          <w:rFonts w:ascii="Arial" w:hAnsi="Arial" w:cs="Arial"/>
          <w:sz w:val="18"/>
          <w:szCs w:val="18"/>
          <w:lang w:eastAsia="zh-CN"/>
        </w:rPr>
        <w:t xml:space="preserve">Rule 10.09 (GEM </w:t>
      </w:r>
      <w:r w:rsidRPr="00CA6876">
        <w:rPr>
          <w:rFonts w:ascii="Arial" w:hAnsi="Arial" w:cs="Arial"/>
          <w:sz w:val="18"/>
          <w:szCs w:val="18"/>
        </w:rPr>
        <w:t xml:space="preserve">Listing </w:t>
      </w:r>
      <w:r w:rsidRPr="00CA6876">
        <w:rPr>
          <w:rFonts w:ascii="Arial" w:hAnsi="Arial" w:cs="Arial"/>
          <w:sz w:val="18"/>
          <w:szCs w:val="18"/>
          <w:lang w:eastAsia="zh-CN"/>
        </w:rPr>
        <w:t xml:space="preserve">Rule 13.23(3)) </w:t>
      </w:r>
    </w:p>
  </w:footnote>
  <w:footnote w:id="19">
    <w:p w:rsidR="008A4B74" w:rsidRPr="00CA6876" w:rsidRDefault="008A4B74" w:rsidP="008A4B74">
      <w:pPr>
        <w:pStyle w:val="a7"/>
        <w:jc w:val="both"/>
        <w:rPr>
          <w:sz w:val="18"/>
          <w:szCs w:val="18"/>
        </w:rPr>
      </w:pPr>
      <w:r w:rsidRPr="00CA6876">
        <w:rPr>
          <w:rStyle w:val="a9"/>
          <w:rFonts w:ascii="Arial" w:hAnsi="Arial" w:cs="Arial"/>
          <w:sz w:val="18"/>
          <w:szCs w:val="18"/>
        </w:rPr>
        <w:footnoteRef/>
      </w:r>
      <w:r w:rsidRPr="00CA6876">
        <w:rPr>
          <w:rFonts w:ascii="Arial" w:hAnsi="Arial" w:cs="Arial"/>
          <w:sz w:val="18"/>
          <w:szCs w:val="18"/>
        </w:rPr>
        <w:t xml:space="preserve"> Form A in Appendix 5 to the Rules and the GEM Listing Rules</w:t>
      </w:r>
    </w:p>
  </w:footnote>
  <w:footnote w:id="20">
    <w:p w:rsidR="00DA0043" w:rsidRPr="002F7442" w:rsidRDefault="00DA0043" w:rsidP="00F9493F">
      <w:pPr>
        <w:pStyle w:val="a7"/>
        <w:jc w:val="both"/>
        <w:rPr>
          <w:rFonts w:ascii="Arial" w:hAnsi="Arial" w:cs="Arial"/>
        </w:rPr>
      </w:pPr>
      <w:r w:rsidRPr="00CA6876">
        <w:rPr>
          <w:rStyle w:val="a9"/>
          <w:rFonts w:ascii="Arial" w:hAnsi="Arial" w:cs="Arial"/>
          <w:sz w:val="18"/>
          <w:szCs w:val="18"/>
        </w:rPr>
        <w:footnoteRef/>
      </w:r>
      <w:r w:rsidRPr="00CA6876">
        <w:rPr>
          <w:rFonts w:ascii="Arial" w:hAnsi="Arial" w:cs="Arial"/>
          <w:sz w:val="18"/>
          <w:szCs w:val="18"/>
        </w:rPr>
        <w:t xml:space="preserve"> Forms A1 and A2 in Appendix 5 to the </w:t>
      </w:r>
      <w:r w:rsidR="00DC1569">
        <w:rPr>
          <w:rFonts w:ascii="Arial" w:hAnsi="Arial" w:cs="Arial"/>
          <w:sz w:val="18"/>
          <w:szCs w:val="18"/>
        </w:rPr>
        <w:t xml:space="preserve">Main Board Listing </w:t>
      </w:r>
      <w:r w:rsidRPr="00CA6876">
        <w:rPr>
          <w:rFonts w:ascii="Arial" w:hAnsi="Arial" w:cs="Arial"/>
          <w:sz w:val="18"/>
          <w:szCs w:val="18"/>
        </w:rPr>
        <w:t xml:space="preserve">Rules (Form A in Appendix 5 to the GEM Listing Rules) </w:t>
      </w:r>
    </w:p>
  </w:footnote>
  <w:footnote w:id="21">
    <w:p w:rsidR="00D5681D" w:rsidRPr="00CA6876" w:rsidRDefault="00D5681D" w:rsidP="00D5681D">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Paragraph 3 of Appendix 6 to the </w:t>
      </w:r>
      <w:r w:rsidR="00DC1569">
        <w:rPr>
          <w:rFonts w:ascii="Arial" w:hAnsi="Arial" w:cs="Arial"/>
          <w:sz w:val="18"/>
          <w:szCs w:val="18"/>
        </w:rPr>
        <w:t xml:space="preserve">Main Board </w:t>
      </w:r>
      <w:r w:rsidRPr="00CA6876">
        <w:rPr>
          <w:rFonts w:ascii="Arial" w:hAnsi="Arial" w:cs="Arial"/>
          <w:sz w:val="18"/>
          <w:szCs w:val="18"/>
        </w:rPr>
        <w:t>Listin</w:t>
      </w:r>
      <w:r w:rsidR="00DC1569">
        <w:rPr>
          <w:rFonts w:ascii="Arial" w:hAnsi="Arial" w:cs="Arial"/>
          <w:sz w:val="18"/>
          <w:szCs w:val="18"/>
        </w:rPr>
        <w:t>g Rules (GEM Listing Rule 10.12</w:t>
      </w:r>
      <w:r w:rsidRPr="00CA6876">
        <w:rPr>
          <w:rFonts w:ascii="Arial" w:hAnsi="Arial" w:cs="Arial"/>
          <w:sz w:val="18"/>
          <w:szCs w:val="18"/>
        </w:rPr>
        <w:t xml:space="preserve">(1B)) </w:t>
      </w:r>
    </w:p>
  </w:footnote>
  <w:footnote w:id="22">
    <w:p w:rsidR="006C4D44" w:rsidRPr="00CA6876" w:rsidRDefault="006C4D44" w:rsidP="006C4D44">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Form D in Appendix 5 to the GEM Listing Rules </w:t>
      </w:r>
    </w:p>
  </w:footnote>
  <w:footnote w:id="23">
    <w:p w:rsidR="007A7A7A" w:rsidRPr="00CA6876" w:rsidRDefault="007A7A7A" w:rsidP="00F9493F">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w:t>
      </w:r>
      <w:r w:rsidR="00540220">
        <w:rPr>
          <w:rFonts w:ascii="Arial" w:hAnsi="Arial" w:cs="Arial"/>
          <w:sz w:val="18"/>
          <w:szCs w:val="18"/>
        </w:rPr>
        <w:t xml:space="preserve">Main Board Listing </w:t>
      </w:r>
      <w:r w:rsidRPr="00CA6876">
        <w:rPr>
          <w:rFonts w:ascii="Arial" w:hAnsi="Arial" w:cs="Arial"/>
          <w:sz w:val="18"/>
          <w:szCs w:val="18"/>
        </w:rPr>
        <w:t xml:space="preserve">Rule 12.08 (GEM Rule 16.13) and paragraph 10 of Practice Note 8A (paragraph 10 of Practice Note 7 </w:t>
      </w:r>
      <w:r w:rsidR="00540220">
        <w:rPr>
          <w:rFonts w:ascii="Arial" w:hAnsi="Arial" w:cs="Arial"/>
          <w:sz w:val="18"/>
          <w:szCs w:val="18"/>
        </w:rPr>
        <w:t>to</w:t>
      </w:r>
      <w:r w:rsidRPr="00CA6876">
        <w:rPr>
          <w:rFonts w:ascii="Arial" w:hAnsi="Arial" w:cs="Arial"/>
          <w:sz w:val="18"/>
          <w:szCs w:val="18"/>
        </w:rPr>
        <w:t xml:space="preserve"> the GEM Listing Rules)</w:t>
      </w:r>
      <w:r w:rsidR="001A364A">
        <w:rPr>
          <w:rFonts w:ascii="Arial" w:hAnsi="Arial" w:cs="Arial"/>
          <w:sz w:val="18"/>
          <w:szCs w:val="18"/>
        </w:rPr>
        <w:t xml:space="preserve"> </w:t>
      </w:r>
    </w:p>
  </w:footnote>
  <w:footnote w:id="24">
    <w:p w:rsidR="009D544D" w:rsidRPr="00CA6876" w:rsidRDefault="009D544D" w:rsidP="00F9493F">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Practice Note 8A </w:t>
      </w:r>
      <w:r w:rsidR="001A364A">
        <w:rPr>
          <w:rFonts w:ascii="Arial" w:hAnsi="Arial" w:cs="Arial"/>
          <w:sz w:val="18"/>
          <w:szCs w:val="18"/>
        </w:rPr>
        <w:t xml:space="preserve">of the Main Board Listing Rules </w:t>
      </w:r>
      <w:r w:rsidRPr="00CA6876">
        <w:rPr>
          <w:rFonts w:ascii="Arial" w:hAnsi="Arial" w:cs="Arial"/>
          <w:sz w:val="18"/>
          <w:szCs w:val="18"/>
        </w:rPr>
        <w:t xml:space="preserve">(Practice Note 7 of the GEM Listing Rules) </w:t>
      </w:r>
    </w:p>
  </w:footnote>
  <w:footnote w:id="25">
    <w:p w:rsidR="000B0D42" w:rsidRPr="00CA6876" w:rsidRDefault="000B0D42" w:rsidP="00F9493F">
      <w:pPr>
        <w:pStyle w:val="a7"/>
        <w:jc w:val="both"/>
        <w:rPr>
          <w:sz w:val="18"/>
          <w:szCs w:val="18"/>
        </w:rPr>
      </w:pPr>
      <w:r w:rsidRPr="00CA6876">
        <w:rPr>
          <w:rStyle w:val="a9"/>
          <w:rFonts w:ascii="Arial" w:hAnsi="Arial" w:cs="Arial"/>
          <w:sz w:val="18"/>
          <w:szCs w:val="18"/>
        </w:rPr>
        <w:footnoteRef/>
      </w:r>
      <w:r w:rsidRPr="00CA6876">
        <w:rPr>
          <w:rFonts w:ascii="Arial" w:hAnsi="Arial" w:cs="Arial"/>
          <w:sz w:val="18"/>
          <w:szCs w:val="18"/>
        </w:rPr>
        <w:t xml:space="preserve"> Paragraph 4.5 of Practice Note 18 (paragraph 7 of Practice Note 6 </w:t>
      </w:r>
      <w:r w:rsidR="001A364A">
        <w:rPr>
          <w:rFonts w:ascii="Arial" w:hAnsi="Arial" w:cs="Arial"/>
          <w:sz w:val="18"/>
          <w:szCs w:val="18"/>
        </w:rPr>
        <w:t>to</w:t>
      </w:r>
      <w:r w:rsidRPr="00CA6876">
        <w:rPr>
          <w:rFonts w:ascii="Arial" w:hAnsi="Arial" w:cs="Arial"/>
          <w:sz w:val="18"/>
          <w:szCs w:val="18"/>
        </w:rPr>
        <w:t xml:space="preserve"> the GEM Listi</w:t>
      </w:r>
      <w:r w:rsidR="001A364A">
        <w:rPr>
          <w:rFonts w:ascii="Arial" w:hAnsi="Arial" w:cs="Arial"/>
          <w:sz w:val="18"/>
          <w:szCs w:val="18"/>
        </w:rPr>
        <w:t xml:space="preserve">ng Rules) </w:t>
      </w:r>
    </w:p>
  </w:footnote>
  <w:footnote w:id="26">
    <w:p w:rsidR="0019539A" w:rsidRPr="002F7442" w:rsidRDefault="0019539A" w:rsidP="0019539A">
      <w:pPr>
        <w:pStyle w:val="a7"/>
        <w:jc w:val="both"/>
        <w:rPr>
          <w:rFonts w:ascii="Arial" w:hAnsi="Arial" w:cs="Arial"/>
        </w:rPr>
      </w:pPr>
      <w:r w:rsidRPr="00CA6876">
        <w:rPr>
          <w:rStyle w:val="a9"/>
          <w:rFonts w:ascii="Arial" w:hAnsi="Arial" w:cs="Arial"/>
          <w:sz w:val="18"/>
          <w:szCs w:val="18"/>
        </w:rPr>
        <w:footnoteRef/>
      </w:r>
      <w:r w:rsidRPr="00CA6876">
        <w:rPr>
          <w:rFonts w:ascii="Arial" w:hAnsi="Arial" w:cs="Arial"/>
          <w:sz w:val="18"/>
          <w:szCs w:val="18"/>
        </w:rPr>
        <w:t xml:space="preserve"> Paragraph 4.6 of Practice Note 18 (paragraph 8 of Practice Note 6 </w:t>
      </w:r>
      <w:r>
        <w:rPr>
          <w:rFonts w:ascii="Arial" w:hAnsi="Arial" w:cs="Arial"/>
          <w:sz w:val="18"/>
          <w:szCs w:val="18"/>
        </w:rPr>
        <w:t>to</w:t>
      </w:r>
      <w:r w:rsidRPr="00CA6876">
        <w:rPr>
          <w:rFonts w:ascii="Arial" w:hAnsi="Arial" w:cs="Arial"/>
          <w:sz w:val="18"/>
          <w:szCs w:val="18"/>
        </w:rPr>
        <w:t xml:space="preserve"> the GEM Listi</w:t>
      </w:r>
      <w:r>
        <w:rPr>
          <w:rFonts w:ascii="Arial" w:hAnsi="Arial" w:cs="Arial"/>
          <w:sz w:val="18"/>
          <w:szCs w:val="18"/>
        </w:rPr>
        <w:t xml:space="preserve">ng Rules) </w:t>
      </w:r>
    </w:p>
  </w:footnote>
  <w:footnote w:id="27">
    <w:p w:rsidR="00556D95" w:rsidRPr="00CA6876" w:rsidRDefault="00556D95" w:rsidP="00F351B6">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Rule 1.01 (GEM </w:t>
      </w:r>
      <w:r w:rsidR="00F9493F" w:rsidRPr="00CA6876">
        <w:rPr>
          <w:rFonts w:ascii="Arial" w:hAnsi="Arial" w:cs="Arial"/>
          <w:sz w:val="18"/>
          <w:szCs w:val="18"/>
        </w:rPr>
        <w:t xml:space="preserve">Listing </w:t>
      </w:r>
      <w:r w:rsidR="001A364A">
        <w:rPr>
          <w:rFonts w:ascii="Arial" w:hAnsi="Arial" w:cs="Arial"/>
          <w:sz w:val="18"/>
          <w:szCs w:val="18"/>
        </w:rPr>
        <w:t xml:space="preserve">Rule 1.01) </w:t>
      </w:r>
    </w:p>
  </w:footnote>
  <w:footnote w:id="28">
    <w:p w:rsidR="00BE685F" w:rsidRPr="00CA6876" w:rsidRDefault="00BE685F" w:rsidP="00F351B6">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Pa</w:t>
      </w:r>
      <w:r w:rsidR="001A364A">
        <w:rPr>
          <w:rFonts w:ascii="Arial" w:hAnsi="Arial" w:cs="Arial"/>
          <w:sz w:val="18"/>
          <w:szCs w:val="18"/>
        </w:rPr>
        <w:t>ragraph 1 of Practice Note 8A to</w:t>
      </w:r>
      <w:r w:rsidRPr="00CA6876">
        <w:rPr>
          <w:rFonts w:ascii="Arial" w:hAnsi="Arial" w:cs="Arial"/>
          <w:sz w:val="18"/>
          <w:szCs w:val="18"/>
        </w:rPr>
        <w:t xml:space="preserve"> the</w:t>
      </w:r>
      <w:r w:rsidR="001A364A">
        <w:rPr>
          <w:rFonts w:ascii="Arial" w:hAnsi="Arial" w:cs="Arial"/>
          <w:sz w:val="18"/>
          <w:szCs w:val="18"/>
        </w:rPr>
        <w:t xml:space="preserve"> Main Board</w:t>
      </w:r>
      <w:r w:rsidRPr="00CA6876">
        <w:rPr>
          <w:rFonts w:ascii="Arial" w:hAnsi="Arial" w:cs="Arial"/>
          <w:sz w:val="18"/>
          <w:szCs w:val="18"/>
        </w:rPr>
        <w:t xml:space="preserve"> Listing Rules (paragraph 1 of Practice Note</w:t>
      </w:r>
      <w:r w:rsidR="001A364A">
        <w:rPr>
          <w:rFonts w:ascii="Arial" w:hAnsi="Arial" w:cs="Arial"/>
          <w:sz w:val="18"/>
          <w:szCs w:val="18"/>
        </w:rPr>
        <w:t xml:space="preserve"> 7 to the GEM Listing Rules) </w:t>
      </w:r>
    </w:p>
  </w:footnote>
  <w:footnote w:id="29">
    <w:p w:rsidR="00BE685F" w:rsidRPr="00CA6876" w:rsidRDefault="00BE685F" w:rsidP="00F351B6">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Paragraph 3 of Practice Note 8A </w:t>
      </w:r>
      <w:r w:rsidR="001A364A">
        <w:rPr>
          <w:rFonts w:ascii="Arial" w:hAnsi="Arial" w:cs="Arial"/>
          <w:sz w:val="18"/>
          <w:szCs w:val="18"/>
        </w:rPr>
        <w:t>to</w:t>
      </w:r>
      <w:r w:rsidRPr="00CA6876">
        <w:rPr>
          <w:rFonts w:ascii="Arial" w:hAnsi="Arial" w:cs="Arial"/>
          <w:sz w:val="18"/>
          <w:szCs w:val="18"/>
        </w:rPr>
        <w:t xml:space="preserve"> the </w:t>
      </w:r>
      <w:r w:rsidR="001A364A">
        <w:rPr>
          <w:rFonts w:ascii="Arial" w:hAnsi="Arial" w:cs="Arial"/>
          <w:sz w:val="18"/>
          <w:szCs w:val="18"/>
        </w:rPr>
        <w:t xml:space="preserve">Main Board </w:t>
      </w:r>
      <w:r w:rsidRPr="00CA6876">
        <w:rPr>
          <w:rFonts w:ascii="Arial" w:hAnsi="Arial" w:cs="Arial"/>
          <w:sz w:val="18"/>
          <w:szCs w:val="18"/>
        </w:rPr>
        <w:t>Listing Rules (paragraph 3 of Practice Note</w:t>
      </w:r>
      <w:r w:rsidR="001A364A">
        <w:rPr>
          <w:rFonts w:ascii="Arial" w:hAnsi="Arial" w:cs="Arial"/>
          <w:sz w:val="18"/>
          <w:szCs w:val="18"/>
        </w:rPr>
        <w:t xml:space="preserve"> 7 to the GEM Listing Rules) </w:t>
      </w:r>
    </w:p>
  </w:footnote>
  <w:footnote w:id="30">
    <w:p w:rsidR="00EB27F8" w:rsidRPr="00CA6876" w:rsidRDefault="00EB27F8" w:rsidP="00F351B6">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w:t>
      </w:r>
      <w:r w:rsidR="004470CE">
        <w:rPr>
          <w:rFonts w:ascii="Arial" w:hAnsi="Arial" w:cs="Arial"/>
          <w:sz w:val="18"/>
          <w:szCs w:val="18"/>
        </w:rPr>
        <w:t xml:space="preserve">Proposed Main Board Listing </w:t>
      </w:r>
      <w:r w:rsidRPr="00CA6876">
        <w:rPr>
          <w:rFonts w:ascii="Arial" w:hAnsi="Arial" w:cs="Arial"/>
          <w:sz w:val="18"/>
          <w:szCs w:val="18"/>
        </w:rPr>
        <w:t>Rule 12.08A</w:t>
      </w:r>
      <w:r w:rsidR="004470CE">
        <w:rPr>
          <w:rFonts w:ascii="Arial" w:hAnsi="Arial" w:cs="Arial"/>
          <w:sz w:val="18"/>
          <w:szCs w:val="18"/>
        </w:rPr>
        <w:t>. For GEM new l</w:t>
      </w:r>
      <w:r w:rsidRPr="00CA6876">
        <w:rPr>
          <w:rFonts w:ascii="Arial" w:hAnsi="Arial" w:cs="Arial"/>
          <w:sz w:val="18"/>
          <w:szCs w:val="18"/>
        </w:rPr>
        <w:t>istings, GEM Rule 10.12(4) currently contains similar disclosure requirements</w:t>
      </w:r>
    </w:p>
  </w:footnote>
  <w:footnote w:id="31">
    <w:p w:rsidR="00E278B9" w:rsidRDefault="00E278B9" w:rsidP="00F351B6">
      <w:pPr>
        <w:pStyle w:val="a7"/>
        <w:jc w:val="both"/>
      </w:pPr>
      <w:r w:rsidRPr="00CA6876">
        <w:rPr>
          <w:rStyle w:val="a9"/>
          <w:rFonts w:ascii="Arial" w:hAnsi="Arial" w:cs="Arial"/>
          <w:sz w:val="18"/>
          <w:szCs w:val="18"/>
        </w:rPr>
        <w:footnoteRef/>
      </w:r>
      <w:r w:rsidR="003048ED">
        <w:rPr>
          <w:rFonts w:ascii="Arial" w:hAnsi="Arial" w:cs="Arial"/>
          <w:sz w:val="18"/>
          <w:szCs w:val="18"/>
        </w:rPr>
        <w:t xml:space="preserve"> Investors specified in </w:t>
      </w:r>
      <w:r w:rsidRPr="00CA6876">
        <w:rPr>
          <w:rFonts w:ascii="Arial" w:hAnsi="Arial" w:cs="Arial"/>
          <w:sz w:val="18"/>
          <w:szCs w:val="18"/>
        </w:rPr>
        <w:t xml:space="preserve">Note 1 to </w:t>
      </w:r>
      <w:r w:rsidR="003048ED">
        <w:rPr>
          <w:rFonts w:ascii="Arial" w:hAnsi="Arial" w:cs="Arial"/>
          <w:sz w:val="18"/>
          <w:szCs w:val="18"/>
        </w:rPr>
        <w:t xml:space="preserve">Main Board </w:t>
      </w:r>
      <w:r w:rsidR="003048ED" w:rsidRPr="00CA6876">
        <w:rPr>
          <w:rFonts w:ascii="Arial" w:hAnsi="Arial" w:cs="Arial"/>
          <w:sz w:val="18"/>
          <w:szCs w:val="18"/>
        </w:rPr>
        <w:t xml:space="preserve">Listing </w:t>
      </w:r>
      <w:r w:rsidRPr="00CA6876">
        <w:rPr>
          <w:rFonts w:ascii="Arial" w:hAnsi="Arial" w:cs="Arial"/>
          <w:sz w:val="18"/>
          <w:szCs w:val="18"/>
        </w:rPr>
        <w:t>Rule 12.08A (</w:t>
      </w:r>
      <w:r w:rsidR="002710C9" w:rsidRPr="00CA6876">
        <w:rPr>
          <w:rFonts w:ascii="Arial" w:hAnsi="Arial" w:cs="Arial"/>
          <w:sz w:val="18"/>
          <w:szCs w:val="18"/>
        </w:rPr>
        <w:t xml:space="preserve">Note 1 to </w:t>
      </w:r>
      <w:r w:rsidRPr="00CA6876">
        <w:rPr>
          <w:rFonts w:ascii="Arial" w:hAnsi="Arial" w:cs="Arial"/>
          <w:sz w:val="18"/>
          <w:szCs w:val="18"/>
        </w:rPr>
        <w:t xml:space="preserve">GEM </w:t>
      </w:r>
      <w:r w:rsidR="00F9493F" w:rsidRPr="00CA6876">
        <w:rPr>
          <w:rFonts w:ascii="Arial" w:hAnsi="Arial" w:cs="Arial"/>
          <w:sz w:val="18"/>
          <w:szCs w:val="18"/>
        </w:rPr>
        <w:t xml:space="preserve">Listing </w:t>
      </w:r>
      <w:r w:rsidRPr="00CA6876">
        <w:rPr>
          <w:rFonts w:ascii="Arial" w:hAnsi="Arial" w:cs="Arial"/>
          <w:sz w:val="18"/>
          <w:szCs w:val="18"/>
        </w:rPr>
        <w:t>Rule</w:t>
      </w:r>
      <w:r w:rsidR="002710C9" w:rsidRPr="00CA6876">
        <w:rPr>
          <w:rFonts w:ascii="Arial" w:hAnsi="Arial" w:cs="Arial"/>
          <w:sz w:val="18"/>
          <w:szCs w:val="18"/>
        </w:rPr>
        <w:t xml:space="preserve"> 10.12(4)</w:t>
      </w:r>
      <w:r w:rsidR="004470CE">
        <w:rPr>
          <w:rFonts w:ascii="Arial" w:hAnsi="Arial" w:cs="Arial"/>
          <w:sz w:val="18"/>
          <w:szCs w:val="18"/>
        </w:rPr>
        <w:t xml:space="preserve">) </w:t>
      </w:r>
    </w:p>
  </w:footnote>
  <w:footnote w:id="32">
    <w:p w:rsidR="00AD7529" w:rsidRPr="00CA6876" w:rsidRDefault="00AD7529" w:rsidP="00F9493F">
      <w:pPr>
        <w:pStyle w:val="a7"/>
        <w:jc w:val="both"/>
        <w:rPr>
          <w:rFonts w:ascii="Arial" w:hAnsi="Arial" w:cs="Arial"/>
          <w:sz w:val="18"/>
          <w:szCs w:val="18"/>
        </w:rPr>
      </w:pPr>
      <w:r w:rsidRPr="00CA6876">
        <w:rPr>
          <w:rStyle w:val="a9"/>
          <w:rFonts w:ascii="Arial" w:hAnsi="Arial" w:cs="Arial"/>
          <w:sz w:val="18"/>
          <w:szCs w:val="18"/>
        </w:rPr>
        <w:footnoteRef/>
      </w:r>
      <w:r w:rsidRPr="00CA6876">
        <w:rPr>
          <w:rFonts w:ascii="Arial" w:hAnsi="Arial" w:cs="Arial"/>
          <w:sz w:val="18"/>
          <w:szCs w:val="18"/>
        </w:rPr>
        <w:t xml:space="preserve"> Form D in Appendix 5 to the</w:t>
      </w:r>
      <w:r w:rsidR="004470CE">
        <w:rPr>
          <w:rFonts w:ascii="Arial" w:hAnsi="Arial" w:cs="Arial"/>
          <w:sz w:val="18"/>
          <w:szCs w:val="18"/>
        </w:rPr>
        <w:t xml:space="preserve"> Main Board</w:t>
      </w:r>
      <w:r w:rsidRPr="00CA6876">
        <w:rPr>
          <w:rFonts w:ascii="Arial" w:hAnsi="Arial" w:cs="Arial"/>
          <w:sz w:val="18"/>
          <w:szCs w:val="18"/>
        </w:rPr>
        <w:t xml:space="preserve"> Listing Rules (Form D in Appendix 5 to the GEM Listing Rules) </w:t>
      </w:r>
    </w:p>
  </w:footnote>
  <w:footnote w:id="33">
    <w:p w:rsidR="000568E1" w:rsidRDefault="000568E1" w:rsidP="00F9493F">
      <w:pPr>
        <w:pStyle w:val="a7"/>
        <w:jc w:val="both"/>
      </w:pPr>
      <w:r w:rsidRPr="00CA6876">
        <w:rPr>
          <w:rStyle w:val="a9"/>
          <w:rFonts w:ascii="Arial" w:hAnsi="Arial" w:cs="Arial"/>
          <w:sz w:val="18"/>
          <w:szCs w:val="18"/>
        </w:rPr>
        <w:footnoteRef/>
      </w:r>
      <w:r w:rsidRPr="00CA6876">
        <w:rPr>
          <w:rFonts w:ascii="Arial" w:hAnsi="Arial" w:cs="Arial"/>
          <w:sz w:val="18"/>
          <w:szCs w:val="18"/>
        </w:rPr>
        <w:t xml:space="preserve"> Paragraphs </w:t>
      </w:r>
      <w:r w:rsidR="00E34AC1" w:rsidRPr="00CA6876">
        <w:rPr>
          <w:rFonts w:ascii="Arial" w:hAnsi="Arial" w:cs="Arial"/>
          <w:sz w:val="18"/>
          <w:szCs w:val="18"/>
        </w:rPr>
        <w:t>12</w:t>
      </w:r>
      <w:r w:rsidR="004470CE">
        <w:rPr>
          <w:rFonts w:ascii="Arial" w:hAnsi="Arial" w:cs="Arial"/>
          <w:sz w:val="18"/>
          <w:szCs w:val="18"/>
        </w:rPr>
        <w:t>-</w:t>
      </w:r>
      <w:r w:rsidRPr="00CA6876">
        <w:rPr>
          <w:rFonts w:ascii="Arial" w:hAnsi="Arial" w:cs="Arial"/>
          <w:sz w:val="18"/>
          <w:szCs w:val="18"/>
        </w:rPr>
        <w:t xml:space="preserve">15 of Form F in Appendix 5 to the </w:t>
      </w:r>
      <w:r w:rsidR="004470CE">
        <w:rPr>
          <w:rFonts w:ascii="Arial" w:hAnsi="Arial" w:cs="Arial"/>
          <w:sz w:val="18"/>
          <w:szCs w:val="18"/>
        </w:rPr>
        <w:t xml:space="preserve">Main Board </w:t>
      </w:r>
      <w:r w:rsidRPr="00CA6876">
        <w:rPr>
          <w:rFonts w:ascii="Arial" w:hAnsi="Arial" w:cs="Arial"/>
          <w:sz w:val="18"/>
          <w:szCs w:val="18"/>
        </w:rPr>
        <w:t xml:space="preserve">Listing Rules (paragraphs </w:t>
      </w:r>
      <w:r w:rsidR="00DA1C27" w:rsidRPr="00CA6876">
        <w:rPr>
          <w:rFonts w:ascii="Arial" w:hAnsi="Arial" w:cs="Arial"/>
          <w:sz w:val="18"/>
          <w:szCs w:val="18"/>
        </w:rPr>
        <w:t>13</w:t>
      </w:r>
      <w:r w:rsidR="004470CE">
        <w:rPr>
          <w:rFonts w:ascii="Arial" w:hAnsi="Arial" w:cs="Arial"/>
          <w:sz w:val="18"/>
          <w:szCs w:val="18"/>
        </w:rPr>
        <w:t>-</w:t>
      </w:r>
      <w:r w:rsidR="00DA1C27" w:rsidRPr="00CA6876">
        <w:rPr>
          <w:rFonts w:ascii="Arial" w:hAnsi="Arial" w:cs="Arial"/>
          <w:sz w:val="18"/>
          <w:szCs w:val="18"/>
        </w:rPr>
        <w:t>16</w:t>
      </w:r>
      <w:r w:rsidRPr="00CA6876">
        <w:rPr>
          <w:rFonts w:ascii="Arial" w:hAnsi="Arial" w:cs="Arial"/>
          <w:sz w:val="18"/>
          <w:szCs w:val="18"/>
        </w:rPr>
        <w:t xml:space="preserve"> of Form E in Appendix 5 to the GEM Listing Rules)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A1A56"/>
    <w:multiLevelType w:val="hybridMultilevel"/>
    <w:tmpl w:val="E04EC5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436F1F"/>
    <w:multiLevelType w:val="hybridMultilevel"/>
    <w:tmpl w:val="43E40E0C"/>
    <w:lvl w:ilvl="0" w:tplc="3A0EAE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50EB6"/>
    <w:multiLevelType w:val="hybridMultilevel"/>
    <w:tmpl w:val="110E867A"/>
    <w:lvl w:ilvl="0" w:tplc="DFD8EF2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F2DF8"/>
    <w:multiLevelType w:val="hybridMultilevel"/>
    <w:tmpl w:val="A9F8FC14"/>
    <w:lvl w:ilvl="0" w:tplc="34D400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1D0EC9"/>
    <w:multiLevelType w:val="hybridMultilevel"/>
    <w:tmpl w:val="56101F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C547A44"/>
    <w:multiLevelType w:val="hybridMultilevel"/>
    <w:tmpl w:val="E34455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51F19"/>
    <w:multiLevelType w:val="hybridMultilevel"/>
    <w:tmpl w:val="947E23EA"/>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D5533"/>
    <w:multiLevelType w:val="hybridMultilevel"/>
    <w:tmpl w:val="0936DAE0"/>
    <w:lvl w:ilvl="0" w:tplc="829032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BA3FF2"/>
    <w:multiLevelType w:val="hybridMultilevel"/>
    <w:tmpl w:val="706EB006"/>
    <w:lvl w:ilvl="0" w:tplc="A4221D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7720AF"/>
    <w:multiLevelType w:val="hybridMultilevel"/>
    <w:tmpl w:val="A9BE7CE4"/>
    <w:lvl w:ilvl="0" w:tplc="95BA7BB2">
      <w:start w:val="1"/>
      <w:numFmt w:val="bullet"/>
      <w:lvlText w:val="•"/>
      <w:lvlJc w:val="left"/>
      <w:pPr>
        <w:ind w:left="833" w:hanging="360"/>
      </w:pPr>
      <w:rPr>
        <w:rFonts w:ascii="Times New Roman" w:hAnsi="Times New Roman" w:cs="Times New Roman"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0" w15:restartNumberingAfterBreak="0">
    <w:nsid w:val="6F4170F1"/>
    <w:multiLevelType w:val="hybridMultilevel"/>
    <w:tmpl w:val="3FECA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444D3B"/>
    <w:multiLevelType w:val="hybridMultilevel"/>
    <w:tmpl w:val="EDF4492C"/>
    <w:lvl w:ilvl="0" w:tplc="903A6D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80638">
    <w:abstractNumId w:val="4"/>
  </w:num>
  <w:num w:numId="2" w16cid:durableId="225649133">
    <w:abstractNumId w:val="3"/>
  </w:num>
  <w:num w:numId="3" w16cid:durableId="934243341">
    <w:abstractNumId w:val="10"/>
  </w:num>
  <w:num w:numId="4" w16cid:durableId="1609972013">
    <w:abstractNumId w:val="2"/>
  </w:num>
  <w:num w:numId="5" w16cid:durableId="313949485">
    <w:abstractNumId w:val="7"/>
  </w:num>
  <w:num w:numId="6" w16cid:durableId="1589732981">
    <w:abstractNumId w:val="1"/>
  </w:num>
  <w:num w:numId="7" w16cid:durableId="1180855562">
    <w:abstractNumId w:val="12"/>
  </w:num>
  <w:num w:numId="8" w16cid:durableId="1432435176">
    <w:abstractNumId w:val="0"/>
  </w:num>
  <w:num w:numId="9" w16cid:durableId="101268852">
    <w:abstractNumId w:val="8"/>
  </w:num>
  <w:num w:numId="10" w16cid:durableId="2014185691">
    <w:abstractNumId w:val="5"/>
  </w:num>
  <w:num w:numId="11" w16cid:durableId="1352220462">
    <w:abstractNumId w:val="11"/>
  </w:num>
  <w:num w:numId="12" w16cid:durableId="273445330">
    <w:abstractNumId w:val="9"/>
  </w:num>
  <w:num w:numId="13" w16cid:durableId="5231762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395"/>
    <w:rsid w:val="0002764F"/>
    <w:rsid w:val="00054AF5"/>
    <w:rsid w:val="000568E1"/>
    <w:rsid w:val="00062A79"/>
    <w:rsid w:val="00066312"/>
    <w:rsid w:val="00085E31"/>
    <w:rsid w:val="000A20E3"/>
    <w:rsid w:val="000A7CB6"/>
    <w:rsid w:val="000B0D42"/>
    <w:rsid w:val="000E65B6"/>
    <w:rsid w:val="000F7432"/>
    <w:rsid w:val="001244F8"/>
    <w:rsid w:val="001269C2"/>
    <w:rsid w:val="00151B3B"/>
    <w:rsid w:val="00171BB0"/>
    <w:rsid w:val="00174BEB"/>
    <w:rsid w:val="0019539A"/>
    <w:rsid w:val="00197F24"/>
    <w:rsid w:val="001A364A"/>
    <w:rsid w:val="001B401A"/>
    <w:rsid w:val="001D089F"/>
    <w:rsid w:val="001D735F"/>
    <w:rsid w:val="001F0091"/>
    <w:rsid w:val="001F4217"/>
    <w:rsid w:val="001F53A4"/>
    <w:rsid w:val="00221E20"/>
    <w:rsid w:val="00223D53"/>
    <w:rsid w:val="00231970"/>
    <w:rsid w:val="00232EB1"/>
    <w:rsid w:val="00240427"/>
    <w:rsid w:val="00251445"/>
    <w:rsid w:val="0025289E"/>
    <w:rsid w:val="002548EC"/>
    <w:rsid w:val="00265069"/>
    <w:rsid w:val="002710C9"/>
    <w:rsid w:val="002C53FA"/>
    <w:rsid w:val="002D2762"/>
    <w:rsid w:val="002E4F35"/>
    <w:rsid w:val="002F0C87"/>
    <w:rsid w:val="002F2625"/>
    <w:rsid w:val="002F6B3F"/>
    <w:rsid w:val="002F7442"/>
    <w:rsid w:val="003048ED"/>
    <w:rsid w:val="00311C18"/>
    <w:rsid w:val="003145FC"/>
    <w:rsid w:val="00343AFD"/>
    <w:rsid w:val="00344B2D"/>
    <w:rsid w:val="00353F22"/>
    <w:rsid w:val="003649D3"/>
    <w:rsid w:val="00365D72"/>
    <w:rsid w:val="00376A68"/>
    <w:rsid w:val="0039731A"/>
    <w:rsid w:val="003978C4"/>
    <w:rsid w:val="003B47C2"/>
    <w:rsid w:val="003B47CE"/>
    <w:rsid w:val="003D4E1B"/>
    <w:rsid w:val="003E53EF"/>
    <w:rsid w:val="003E6ADB"/>
    <w:rsid w:val="003F0D3C"/>
    <w:rsid w:val="0044468C"/>
    <w:rsid w:val="00446FBA"/>
    <w:rsid w:val="004470CE"/>
    <w:rsid w:val="00461C76"/>
    <w:rsid w:val="0047023D"/>
    <w:rsid w:val="00497180"/>
    <w:rsid w:val="004B26D6"/>
    <w:rsid w:val="004B42E8"/>
    <w:rsid w:val="004E5C00"/>
    <w:rsid w:val="004F7F11"/>
    <w:rsid w:val="005034F5"/>
    <w:rsid w:val="00510A14"/>
    <w:rsid w:val="00540220"/>
    <w:rsid w:val="00556D95"/>
    <w:rsid w:val="0056179C"/>
    <w:rsid w:val="00563FF6"/>
    <w:rsid w:val="00586A5F"/>
    <w:rsid w:val="00592694"/>
    <w:rsid w:val="00595A43"/>
    <w:rsid w:val="005C4F83"/>
    <w:rsid w:val="005C553F"/>
    <w:rsid w:val="005D132F"/>
    <w:rsid w:val="005D6861"/>
    <w:rsid w:val="005E259D"/>
    <w:rsid w:val="005E4535"/>
    <w:rsid w:val="005F3684"/>
    <w:rsid w:val="0060022B"/>
    <w:rsid w:val="00607EC2"/>
    <w:rsid w:val="006135CA"/>
    <w:rsid w:val="00614E78"/>
    <w:rsid w:val="00616A52"/>
    <w:rsid w:val="006353BB"/>
    <w:rsid w:val="00636474"/>
    <w:rsid w:val="00643E65"/>
    <w:rsid w:val="006656D9"/>
    <w:rsid w:val="00671F88"/>
    <w:rsid w:val="00683239"/>
    <w:rsid w:val="0069251D"/>
    <w:rsid w:val="00695AB0"/>
    <w:rsid w:val="006B1374"/>
    <w:rsid w:val="006B33AE"/>
    <w:rsid w:val="006B3C96"/>
    <w:rsid w:val="006C4D44"/>
    <w:rsid w:val="006E104A"/>
    <w:rsid w:val="006E6B0F"/>
    <w:rsid w:val="006F7F4C"/>
    <w:rsid w:val="00712BC6"/>
    <w:rsid w:val="00715D21"/>
    <w:rsid w:val="007354D6"/>
    <w:rsid w:val="00741E91"/>
    <w:rsid w:val="007526AF"/>
    <w:rsid w:val="00764A10"/>
    <w:rsid w:val="00767DEC"/>
    <w:rsid w:val="00783A44"/>
    <w:rsid w:val="0079457E"/>
    <w:rsid w:val="007A0CB3"/>
    <w:rsid w:val="007A6483"/>
    <w:rsid w:val="007A7A7A"/>
    <w:rsid w:val="007B6085"/>
    <w:rsid w:val="007D3D4B"/>
    <w:rsid w:val="007E350B"/>
    <w:rsid w:val="008076EA"/>
    <w:rsid w:val="00810D86"/>
    <w:rsid w:val="0082558C"/>
    <w:rsid w:val="00835096"/>
    <w:rsid w:val="00847651"/>
    <w:rsid w:val="00864749"/>
    <w:rsid w:val="00870F63"/>
    <w:rsid w:val="00872D4E"/>
    <w:rsid w:val="00873616"/>
    <w:rsid w:val="00883CF2"/>
    <w:rsid w:val="00884532"/>
    <w:rsid w:val="00896F83"/>
    <w:rsid w:val="008A2FDD"/>
    <w:rsid w:val="008A4B74"/>
    <w:rsid w:val="008C18C9"/>
    <w:rsid w:val="008C3F06"/>
    <w:rsid w:val="008D64C8"/>
    <w:rsid w:val="008F79A8"/>
    <w:rsid w:val="00916EAF"/>
    <w:rsid w:val="009203D4"/>
    <w:rsid w:val="009253D8"/>
    <w:rsid w:val="0093216B"/>
    <w:rsid w:val="0093624D"/>
    <w:rsid w:val="00937732"/>
    <w:rsid w:val="00955E3F"/>
    <w:rsid w:val="00964C7B"/>
    <w:rsid w:val="00980EA3"/>
    <w:rsid w:val="00984DEE"/>
    <w:rsid w:val="0098502F"/>
    <w:rsid w:val="009872D7"/>
    <w:rsid w:val="00995340"/>
    <w:rsid w:val="009B1A37"/>
    <w:rsid w:val="009C241F"/>
    <w:rsid w:val="009D1AFD"/>
    <w:rsid w:val="009D544D"/>
    <w:rsid w:val="009E06A4"/>
    <w:rsid w:val="009F1760"/>
    <w:rsid w:val="00A03F69"/>
    <w:rsid w:val="00A16B78"/>
    <w:rsid w:val="00A41E7E"/>
    <w:rsid w:val="00A44727"/>
    <w:rsid w:val="00A573EA"/>
    <w:rsid w:val="00A628B8"/>
    <w:rsid w:val="00A74E06"/>
    <w:rsid w:val="00A928B6"/>
    <w:rsid w:val="00AA7EBF"/>
    <w:rsid w:val="00AB4E69"/>
    <w:rsid w:val="00AD1EFA"/>
    <w:rsid w:val="00AD5E44"/>
    <w:rsid w:val="00AD7529"/>
    <w:rsid w:val="00B06395"/>
    <w:rsid w:val="00B076FD"/>
    <w:rsid w:val="00B07A71"/>
    <w:rsid w:val="00B20F2B"/>
    <w:rsid w:val="00B212AC"/>
    <w:rsid w:val="00B564D9"/>
    <w:rsid w:val="00B96C96"/>
    <w:rsid w:val="00B96E03"/>
    <w:rsid w:val="00BA32A6"/>
    <w:rsid w:val="00BB42E2"/>
    <w:rsid w:val="00BC0061"/>
    <w:rsid w:val="00BD015A"/>
    <w:rsid w:val="00BE2BCB"/>
    <w:rsid w:val="00BE685F"/>
    <w:rsid w:val="00C034B5"/>
    <w:rsid w:val="00C15537"/>
    <w:rsid w:val="00C25303"/>
    <w:rsid w:val="00C2695F"/>
    <w:rsid w:val="00C620B5"/>
    <w:rsid w:val="00C670A7"/>
    <w:rsid w:val="00C81AFD"/>
    <w:rsid w:val="00C86CF7"/>
    <w:rsid w:val="00C911DF"/>
    <w:rsid w:val="00CA0434"/>
    <w:rsid w:val="00CA4672"/>
    <w:rsid w:val="00CA6876"/>
    <w:rsid w:val="00CA6915"/>
    <w:rsid w:val="00CB073F"/>
    <w:rsid w:val="00CB3970"/>
    <w:rsid w:val="00CB74D3"/>
    <w:rsid w:val="00CD45F5"/>
    <w:rsid w:val="00CD7017"/>
    <w:rsid w:val="00CE0A42"/>
    <w:rsid w:val="00CE3560"/>
    <w:rsid w:val="00CE483B"/>
    <w:rsid w:val="00CE64BC"/>
    <w:rsid w:val="00CF319F"/>
    <w:rsid w:val="00D14BC8"/>
    <w:rsid w:val="00D42175"/>
    <w:rsid w:val="00D55B8F"/>
    <w:rsid w:val="00D55CA9"/>
    <w:rsid w:val="00D5681D"/>
    <w:rsid w:val="00D57B08"/>
    <w:rsid w:val="00D761E0"/>
    <w:rsid w:val="00D821F3"/>
    <w:rsid w:val="00D937B1"/>
    <w:rsid w:val="00DA0043"/>
    <w:rsid w:val="00DA1C27"/>
    <w:rsid w:val="00DB55BF"/>
    <w:rsid w:val="00DB79B3"/>
    <w:rsid w:val="00DC1569"/>
    <w:rsid w:val="00DC4F18"/>
    <w:rsid w:val="00DF5C40"/>
    <w:rsid w:val="00E04BE9"/>
    <w:rsid w:val="00E23A27"/>
    <w:rsid w:val="00E23E50"/>
    <w:rsid w:val="00E250CD"/>
    <w:rsid w:val="00E278B9"/>
    <w:rsid w:val="00E33194"/>
    <w:rsid w:val="00E34AC1"/>
    <w:rsid w:val="00E36EF5"/>
    <w:rsid w:val="00E37687"/>
    <w:rsid w:val="00E43922"/>
    <w:rsid w:val="00E71B02"/>
    <w:rsid w:val="00E741D8"/>
    <w:rsid w:val="00E92E78"/>
    <w:rsid w:val="00E93545"/>
    <w:rsid w:val="00E9616B"/>
    <w:rsid w:val="00EB27F8"/>
    <w:rsid w:val="00EB3993"/>
    <w:rsid w:val="00EC326C"/>
    <w:rsid w:val="00ED0C30"/>
    <w:rsid w:val="00ED2721"/>
    <w:rsid w:val="00ED3204"/>
    <w:rsid w:val="00EF0865"/>
    <w:rsid w:val="00EF2874"/>
    <w:rsid w:val="00F06E48"/>
    <w:rsid w:val="00F351B6"/>
    <w:rsid w:val="00F43724"/>
    <w:rsid w:val="00F52F66"/>
    <w:rsid w:val="00F808F5"/>
    <w:rsid w:val="00F9493F"/>
    <w:rsid w:val="00FA1C8E"/>
    <w:rsid w:val="00FB2FF0"/>
    <w:rsid w:val="00FE784F"/>
    <w:rsid w:val="00FF53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287F3"/>
  <w15:chartTrackingRefBased/>
  <w15:docId w15:val="{C1647F25-EEE7-47B8-9CE1-8BF336F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06395"/>
    <w:rPr>
      <w:color w:val="0563C1" w:themeColor="hyperlink"/>
      <w:u w:val="single"/>
    </w:rPr>
  </w:style>
  <w:style w:type="character" w:styleId="a4">
    <w:name w:val="FollowedHyperlink"/>
    <w:basedOn w:val="a0"/>
    <w:uiPriority w:val="99"/>
    <w:semiHidden/>
    <w:unhideWhenUsed/>
    <w:rsid w:val="00497180"/>
    <w:rPr>
      <w:color w:val="954F72" w:themeColor="followedHyperlink"/>
      <w:u w:val="single"/>
    </w:rPr>
  </w:style>
  <w:style w:type="character" w:styleId="a5">
    <w:name w:val="Strong"/>
    <w:basedOn w:val="a0"/>
    <w:uiPriority w:val="22"/>
    <w:qFormat/>
    <w:rsid w:val="00E33194"/>
    <w:rPr>
      <w:b/>
      <w:bCs/>
    </w:rPr>
  </w:style>
  <w:style w:type="paragraph" w:styleId="a6">
    <w:name w:val="List Paragraph"/>
    <w:basedOn w:val="a"/>
    <w:uiPriority w:val="34"/>
    <w:qFormat/>
    <w:rsid w:val="00510A14"/>
    <w:pPr>
      <w:ind w:left="720"/>
      <w:contextualSpacing/>
    </w:pPr>
  </w:style>
  <w:style w:type="paragraph" w:styleId="a7">
    <w:name w:val="footnote text"/>
    <w:basedOn w:val="a"/>
    <w:link w:val="a8"/>
    <w:uiPriority w:val="99"/>
    <w:semiHidden/>
    <w:unhideWhenUsed/>
    <w:rsid w:val="000A20E3"/>
    <w:pPr>
      <w:spacing w:after="0" w:line="240" w:lineRule="auto"/>
    </w:pPr>
    <w:rPr>
      <w:sz w:val="20"/>
      <w:szCs w:val="20"/>
    </w:rPr>
  </w:style>
  <w:style w:type="character" w:customStyle="1" w:styleId="a8">
    <w:name w:val="Текст сноски Знак"/>
    <w:basedOn w:val="a0"/>
    <w:link w:val="a7"/>
    <w:uiPriority w:val="99"/>
    <w:semiHidden/>
    <w:rsid w:val="000A20E3"/>
    <w:rPr>
      <w:sz w:val="20"/>
      <w:szCs w:val="20"/>
    </w:rPr>
  </w:style>
  <w:style w:type="character" w:styleId="a9">
    <w:name w:val="footnote reference"/>
    <w:basedOn w:val="a0"/>
    <w:uiPriority w:val="99"/>
    <w:semiHidden/>
    <w:unhideWhenUsed/>
    <w:rsid w:val="000A20E3"/>
    <w:rPr>
      <w:vertAlign w:val="superscript"/>
    </w:rPr>
  </w:style>
  <w:style w:type="paragraph" w:styleId="aa">
    <w:name w:val="header"/>
    <w:basedOn w:val="a"/>
    <w:link w:val="ab"/>
    <w:uiPriority w:val="99"/>
    <w:unhideWhenUsed/>
    <w:rsid w:val="00BE2BCB"/>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BE2BCB"/>
  </w:style>
  <w:style w:type="paragraph" w:styleId="ac">
    <w:name w:val="footer"/>
    <w:basedOn w:val="a"/>
    <w:link w:val="ad"/>
    <w:uiPriority w:val="99"/>
    <w:unhideWhenUsed/>
    <w:rsid w:val="00BE2BCB"/>
    <w:pPr>
      <w:tabs>
        <w:tab w:val="center" w:pos="4680"/>
        <w:tab w:val="right" w:pos="9360"/>
      </w:tabs>
      <w:spacing w:after="0" w:line="240" w:lineRule="auto"/>
    </w:pPr>
  </w:style>
  <w:style w:type="character" w:customStyle="1" w:styleId="ad">
    <w:name w:val="Нижний колонтитул Знак"/>
    <w:basedOn w:val="a0"/>
    <w:link w:val="ac"/>
    <w:uiPriority w:val="99"/>
    <w:rsid w:val="00BE2BCB"/>
  </w:style>
  <w:style w:type="character" w:styleId="ae">
    <w:name w:val="annotation reference"/>
    <w:basedOn w:val="a0"/>
    <w:uiPriority w:val="99"/>
    <w:semiHidden/>
    <w:unhideWhenUsed/>
    <w:rsid w:val="003145FC"/>
    <w:rPr>
      <w:sz w:val="16"/>
      <w:szCs w:val="16"/>
    </w:rPr>
  </w:style>
  <w:style w:type="paragraph" w:styleId="af">
    <w:name w:val="annotation text"/>
    <w:basedOn w:val="a"/>
    <w:link w:val="af0"/>
    <w:uiPriority w:val="99"/>
    <w:semiHidden/>
    <w:unhideWhenUsed/>
    <w:rsid w:val="003145FC"/>
    <w:pPr>
      <w:spacing w:line="240" w:lineRule="auto"/>
    </w:pPr>
    <w:rPr>
      <w:sz w:val="20"/>
      <w:szCs w:val="20"/>
    </w:rPr>
  </w:style>
  <w:style w:type="character" w:customStyle="1" w:styleId="af0">
    <w:name w:val="Текст примечания Знак"/>
    <w:basedOn w:val="a0"/>
    <w:link w:val="af"/>
    <w:uiPriority w:val="99"/>
    <w:semiHidden/>
    <w:rsid w:val="003145FC"/>
    <w:rPr>
      <w:sz w:val="20"/>
      <w:szCs w:val="20"/>
    </w:rPr>
  </w:style>
  <w:style w:type="paragraph" w:styleId="af1">
    <w:name w:val="annotation subject"/>
    <w:basedOn w:val="af"/>
    <w:next w:val="af"/>
    <w:link w:val="af2"/>
    <w:uiPriority w:val="99"/>
    <w:semiHidden/>
    <w:unhideWhenUsed/>
    <w:rsid w:val="003145FC"/>
    <w:rPr>
      <w:b/>
      <w:bCs/>
    </w:rPr>
  </w:style>
  <w:style w:type="character" w:customStyle="1" w:styleId="af2">
    <w:name w:val="Тема примечания Знак"/>
    <w:basedOn w:val="af0"/>
    <w:link w:val="af1"/>
    <w:uiPriority w:val="99"/>
    <w:semiHidden/>
    <w:rsid w:val="003145FC"/>
    <w:rPr>
      <w:b/>
      <w:bCs/>
      <w:sz w:val="20"/>
      <w:szCs w:val="20"/>
    </w:rPr>
  </w:style>
  <w:style w:type="paragraph" w:styleId="af3">
    <w:name w:val="Balloon Text"/>
    <w:basedOn w:val="a"/>
    <w:link w:val="af4"/>
    <w:uiPriority w:val="99"/>
    <w:semiHidden/>
    <w:unhideWhenUsed/>
    <w:rsid w:val="003145FC"/>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145FC"/>
    <w:rPr>
      <w:rFonts w:ascii="Segoe UI" w:hAnsi="Segoe UI" w:cs="Segoe UI"/>
      <w:sz w:val="18"/>
      <w:szCs w:val="18"/>
    </w:rPr>
  </w:style>
  <w:style w:type="paragraph" w:customStyle="1" w:styleId="Disclaimer">
    <w:name w:val="Disclaimer"/>
    <w:basedOn w:val="a"/>
    <w:qFormat/>
    <w:rsid w:val="00CA6876"/>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rPr>
  </w:style>
  <w:style w:type="paragraph" w:customStyle="1" w:styleId="BlackStrips">
    <w:name w:val="Black Strips"/>
    <w:basedOn w:val="a"/>
    <w:qFormat/>
    <w:rsid w:val="00CA6876"/>
    <w:pPr>
      <w:shd w:val="clear" w:color="auto" w:fill="000000"/>
      <w:spacing w:after="200" w:line="240" w:lineRule="auto"/>
      <w:jc w:val="center"/>
    </w:pPr>
    <w:rPr>
      <w:rFonts w:eastAsiaTheme="minorHAnsi"/>
      <w:color w:val="FFFFFF"/>
      <w:sz w:val="24"/>
      <w:szCs w:val="24"/>
    </w:rPr>
  </w:style>
  <w:style w:type="paragraph" w:customStyle="1" w:styleId="DisclaimerBold">
    <w:name w:val="Disclaimer Bold"/>
    <w:basedOn w:val="Disclaimer"/>
    <w:qFormat/>
    <w:rsid w:val="00CA6876"/>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6122">
      <w:bodyDiv w:val="1"/>
      <w:marLeft w:val="0"/>
      <w:marRight w:val="0"/>
      <w:marTop w:val="0"/>
      <w:marBottom w:val="0"/>
      <w:divBdr>
        <w:top w:val="none" w:sz="0" w:space="0" w:color="auto"/>
        <w:left w:val="none" w:sz="0" w:space="0" w:color="auto"/>
        <w:bottom w:val="none" w:sz="0" w:space="0" w:color="auto"/>
        <w:right w:val="none" w:sz="0" w:space="0" w:color="auto"/>
      </w:divBdr>
    </w:div>
    <w:div w:id="1046107277">
      <w:bodyDiv w:val="1"/>
      <w:marLeft w:val="0"/>
      <w:marRight w:val="0"/>
      <w:marTop w:val="0"/>
      <w:marBottom w:val="0"/>
      <w:divBdr>
        <w:top w:val="none" w:sz="0" w:space="0" w:color="auto"/>
        <w:left w:val="none" w:sz="0" w:space="0" w:color="auto"/>
        <w:bottom w:val="none" w:sz="0" w:space="0" w:color="auto"/>
        <w:right w:val="none" w:sz="0" w:space="0" w:color="auto"/>
      </w:divBdr>
    </w:div>
    <w:div w:id="1145046532">
      <w:bodyDiv w:val="1"/>
      <w:marLeft w:val="0"/>
      <w:marRight w:val="0"/>
      <w:marTop w:val="0"/>
      <w:marBottom w:val="0"/>
      <w:divBdr>
        <w:top w:val="none" w:sz="0" w:space="0" w:color="auto"/>
        <w:left w:val="none" w:sz="0" w:space="0" w:color="auto"/>
        <w:bottom w:val="none" w:sz="0" w:space="0" w:color="auto"/>
        <w:right w:val="none" w:sz="0" w:space="0" w:color="auto"/>
      </w:divBdr>
    </w:div>
    <w:div w:id="1190218414">
      <w:bodyDiv w:val="1"/>
      <w:marLeft w:val="0"/>
      <w:marRight w:val="0"/>
      <w:marTop w:val="0"/>
      <w:marBottom w:val="0"/>
      <w:divBdr>
        <w:top w:val="none" w:sz="0" w:space="0" w:color="auto"/>
        <w:left w:val="none" w:sz="0" w:space="0" w:color="auto"/>
        <w:bottom w:val="none" w:sz="0" w:space="0" w:color="auto"/>
        <w:right w:val="none" w:sz="0" w:space="0" w:color="auto"/>
      </w:divBdr>
    </w:div>
    <w:div w:id="1574776921">
      <w:bodyDiv w:val="1"/>
      <w:marLeft w:val="0"/>
      <w:marRight w:val="0"/>
      <w:marTop w:val="0"/>
      <w:marBottom w:val="0"/>
      <w:divBdr>
        <w:top w:val="none" w:sz="0" w:space="0" w:color="auto"/>
        <w:left w:val="none" w:sz="0" w:space="0" w:color="auto"/>
        <w:bottom w:val="none" w:sz="0" w:space="0" w:color="auto"/>
        <w:right w:val="none" w:sz="0" w:space="0" w:color="auto"/>
      </w:divBdr>
    </w:div>
    <w:div w:id="1861821922">
      <w:bodyDiv w:val="1"/>
      <w:marLeft w:val="0"/>
      <w:marRight w:val="0"/>
      <w:marTop w:val="0"/>
      <w:marBottom w:val="0"/>
      <w:divBdr>
        <w:top w:val="none" w:sz="0" w:space="0" w:color="auto"/>
        <w:left w:val="none" w:sz="0" w:space="0" w:color="auto"/>
        <w:bottom w:val="none" w:sz="0" w:space="0" w:color="auto"/>
        <w:right w:val="none" w:sz="0" w:space="0" w:color="auto"/>
      </w:divBdr>
    </w:div>
    <w:div w:id="211887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s-fast-interface-for-new-issuance-fini-platform-to-launch-october-2023/" TargetMode="External"/><Relationship Id="rId13" Type="http://schemas.openxmlformats.org/officeDocument/2006/relationships/hyperlink" Target="https://www.hkex.com.hk/-/media/HKEX-Market/Listing/Rules-and-Guidance/FINI/information_paper.pdf" TargetMode="External"/><Relationship Id="rId18" Type="http://schemas.openxmlformats.org/officeDocument/2006/relationships/hyperlink" Target="https://www.hkex.com.hk/-/media/HKEX-Market/Listing/Rules-and-Guidance/FINI/gl81_1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hkex.com.hk/-/media/HKEX-Market/Listing/Rules-and-Guidance/FINI/gl90_18.pdf" TargetMode="External"/><Relationship Id="rId7" Type="http://schemas.openxmlformats.org/officeDocument/2006/relationships/endnotes" Target="endnotes.xml"/><Relationship Id="rId12" Type="http://schemas.openxmlformats.org/officeDocument/2006/relationships/hyperlink" Target="https://www.hkex.com.hk/Services/Platform-Services/FINI?sc_lang=en" TargetMode="External"/><Relationship Id="rId17" Type="http://schemas.openxmlformats.org/officeDocument/2006/relationships/hyperlink" Target="https://www.hkex.com.hk/-/media/HKEX-Market/Listing/Rules-and-Guidance/FINI/housekeeping_amendments_gem.pdf" TargetMode="External"/><Relationship Id="rId25"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6" Type="http://schemas.openxmlformats.org/officeDocument/2006/relationships/hyperlink" Target="https://www.hkex.com.hk/-/media/HKEX-Market/Listing/Rules-and-Guidance/FINI/consequential_amendments_gem.pdf" TargetMode="External"/><Relationship Id="rId20" Type="http://schemas.openxmlformats.org/officeDocument/2006/relationships/hyperlink" Target="https://www.hkex.com.hk/-/media/HKEX-Market/Listing/Rules-and-Guidance/FINI/gl86_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kex.com.hk/-/media/HKEX-Market/Services/Next-Generation-Post-Trade-Programme/Fini/FINI-Conclusions-Paper-EN-(6-July-2021).pdf?la=en" TargetMode="External"/><Relationship Id="rId24" Type="http://schemas.openxmlformats.org/officeDocument/2006/relationships/hyperlink" Target="https://www.hkex.com.hk/-/media/HKEX-Market/Services/Next-Generation-Post-Trade-Programme/Fini/FINI-Information-Pack-EN-(27-May-2022).pdf" TargetMode="External"/><Relationship Id="rId5" Type="http://schemas.openxmlformats.org/officeDocument/2006/relationships/webSettings" Target="webSettings.xml"/><Relationship Id="rId15" Type="http://schemas.openxmlformats.org/officeDocument/2006/relationships/hyperlink" Target="https://www.hkex.com.hk/-/media/HKEX-Market/Listing/Rules-and-Guidance/FINI/housekeeping_amendments_mb.pdf" TargetMode="External"/><Relationship Id="rId23" Type="http://schemas.openxmlformats.org/officeDocument/2006/relationships/hyperlink" Target="https://en-rules.hkex.com.hk/sites/default/files/net_file_store/LD86-1.pdf" TargetMode="External"/><Relationship Id="rId10" Type="http://schemas.openxmlformats.org/officeDocument/2006/relationships/hyperlink" Target="https://www.hkex.com.hk/-/media/HKEX-Market/Services/Next-Generation-Post-Trade-Programme/Fini/FINI_Concept-Paper_EN.pdf" TargetMode="External"/><Relationship Id="rId19" Type="http://schemas.openxmlformats.org/officeDocument/2006/relationships/hyperlink" Target="https://www.hkex.com.hk/-/media/HKEX-Market/Listing/Rules-and-Guidance/FINI/gl55_13.pdf" TargetMode="External"/><Relationship Id="rId4" Type="http://schemas.openxmlformats.org/officeDocument/2006/relationships/settings" Target="settings.xml"/><Relationship Id="rId9" Type="http://schemas.openxmlformats.org/officeDocument/2006/relationships/hyperlink" Target="https://www.hkex.com.hk/Listing/Rules-and-Guidance/Launch-of-FINI-platform?sc_lang=en" TargetMode="External"/><Relationship Id="rId14" Type="http://schemas.openxmlformats.org/officeDocument/2006/relationships/hyperlink" Target="https://www.hkex.com.hk/-/media/HKEX-Market/Listing/Rules-and-Guidance/FINI/consequential_amendments_mb.pdf" TargetMode="External"/><Relationship Id="rId22" Type="http://schemas.openxmlformats.org/officeDocument/2006/relationships/hyperlink" Target="https://en-rules.hkex.com.hk/sites/default/files/net_file_store/ld61-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1234-5123-4398-B55F-4A24B58B4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7</Pages>
  <Words>3121</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intern2</dc:creator>
  <cp:keywords/>
  <dc:description/>
  <cp:lastModifiedBy>Александр Пирогов</cp:lastModifiedBy>
  <cp:revision>19</cp:revision>
  <dcterms:created xsi:type="dcterms:W3CDTF">2023-07-17T07:30:00Z</dcterms:created>
  <dcterms:modified xsi:type="dcterms:W3CDTF">2023-07-24T12:10:00Z</dcterms:modified>
</cp:coreProperties>
</file>