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0881" w:rsidRPr="008524CA" w:rsidRDefault="00B80881" w:rsidP="00B80881">
      <w:pPr>
        <w:shd w:val="clear" w:color="auto" w:fill="000000"/>
        <w:spacing w:after="200"/>
        <w:jc w:val="center"/>
        <w:rPr>
          <w:rFonts w:ascii="Cambria" w:eastAsia="Cambria" w:hAnsi="Cambria" w:cs="Times New Roman"/>
          <w:color w:val="FFFFFF"/>
          <w:sz w:val="24"/>
          <w:szCs w:val="24"/>
        </w:rPr>
      </w:pPr>
      <w:proofErr w:type="spellStart"/>
      <w:r>
        <w:rPr>
          <w:rFonts w:ascii="Cambria" w:eastAsia="Cambria" w:hAnsi="Cambria" w:cs="Times New Roman"/>
          <w:color w:val="FFFFFF"/>
          <w:sz w:val="24"/>
          <w:szCs w:val="24"/>
        </w:rPr>
        <w:t>Charltons</w:t>
      </w:r>
      <w:proofErr w:type="spellEnd"/>
      <w:r>
        <w:rPr>
          <w:rFonts w:ascii="Cambria" w:eastAsia="Cambria" w:hAnsi="Cambria" w:cs="Times New Roman"/>
          <w:color w:val="FFFFFF"/>
          <w:sz w:val="24"/>
          <w:szCs w:val="24"/>
        </w:rPr>
        <w:t xml:space="preserve"> - Hong Kong Law - </w:t>
      </w:r>
      <w:r w:rsidR="005A41CF">
        <w:rPr>
          <w:rFonts w:ascii="Cambria" w:eastAsia="Cambria" w:hAnsi="Cambria" w:cs="Times New Roman"/>
          <w:color w:val="FFFFFF"/>
          <w:sz w:val="24"/>
          <w:szCs w:val="24"/>
        </w:rPr>
        <w:t>1</w:t>
      </w:r>
      <w:r w:rsidR="001701B8">
        <w:rPr>
          <w:rFonts w:ascii="Cambria" w:eastAsia="Cambria" w:hAnsi="Cambria" w:cs="Times New Roman"/>
          <w:color w:val="FFFFFF"/>
          <w:sz w:val="24"/>
          <w:szCs w:val="24"/>
        </w:rPr>
        <w:t>3</w:t>
      </w:r>
      <w:r w:rsidRPr="00C13D3D">
        <w:rPr>
          <w:rFonts w:ascii="Cambria" w:eastAsia="Cambria" w:hAnsi="Cambria" w:cs="Times New Roman"/>
          <w:color w:val="FFFFFF"/>
          <w:sz w:val="24"/>
          <w:szCs w:val="24"/>
        </w:rPr>
        <w:t xml:space="preserve"> </w:t>
      </w:r>
      <w:r>
        <w:rPr>
          <w:rFonts w:ascii="Cambria" w:eastAsia="Cambria" w:hAnsi="Cambria" w:cs="Times New Roman"/>
          <w:color w:val="FFFFFF"/>
          <w:sz w:val="24"/>
          <w:szCs w:val="24"/>
        </w:rPr>
        <w:t xml:space="preserve">July </w:t>
      </w:r>
      <w:r w:rsidRPr="00C13D3D">
        <w:rPr>
          <w:rFonts w:ascii="Cambria" w:eastAsia="Cambria" w:hAnsi="Cambria" w:cs="Times New Roman"/>
          <w:color w:val="FFFFFF"/>
          <w:sz w:val="24"/>
          <w:szCs w:val="24"/>
        </w:rPr>
        <w:t>202</w:t>
      </w:r>
      <w:r w:rsidRPr="008524CA">
        <w:rPr>
          <w:rFonts w:ascii="Cambria" w:eastAsia="Cambria" w:hAnsi="Cambria" w:cs="Times New Roman"/>
          <w:color w:val="FFFFFF"/>
          <w:sz w:val="24"/>
          <w:szCs w:val="24"/>
        </w:rPr>
        <w:t>3</w:t>
      </w:r>
    </w:p>
    <w:p w:rsidR="00B80881" w:rsidRPr="00B80881" w:rsidRDefault="00000000" w:rsidP="00B80881">
      <w:pPr>
        <w:spacing w:after="200"/>
        <w:jc w:val="center"/>
        <w:rPr>
          <w:rFonts w:ascii="Cambria" w:eastAsia="Cambria" w:hAnsi="Cambria" w:cs="Times New Roman"/>
          <w:color w:val="00000A"/>
          <w:sz w:val="28"/>
          <w:szCs w:val="24"/>
          <w:u w:val="single"/>
        </w:rPr>
      </w:pPr>
      <w:hyperlink r:id="rId8" w:history="1">
        <w:r w:rsidR="00B80881" w:rsidRPr="00365171">
          <w:rPr>
            <w:rStyle w:val="a4"/>
            <w:rFonts w:ascii="Cambria" w:eastAsia="Cambria" w:hAnsi="Cambria"/>
            <w:sz w:val="28"/>
            <w:szCs w:val="24"/>
          </w:rPr>
          <w:t>online version</w:t>
        </w:r>
      </w:hyperlink>
    </w:p>
    <w:p w:rsidR="006D3F73" w:rsidRPr="00405FCD" w:rsidRDefault="00F315CB" w:rsidP="00405FCD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HKMA </w:t>
      </w:r>
      <w:r w:rsidR="00686B1A">
        <w:rPr>
          <w:rFonts w:ascii="Arial" w:hAnsi="Arial" w:cs="Arial"/>
          <w:b/>
          <w:color w:val="FF0000"/>
          <w:sz w:val="20"/>
          <w:szCs w:val="20"/>
        </w:rPr>
        <w:t xml:space="preserve">Urges Banks to Provide </w:t>
      </w:r>
      <w:r w:rsidR="006D3F73" w:rsidRPr="00405FCD">
        <w:rPr>
          <w:rFonts w:ascii="Arial" w:hAnsi="Arial" w:cs="Arial"/>
          <w:b/>
          <w:color w:val="FF0000"/>
          <w:sz w:val="20"/>
          <w:szCs w:val="20"/>
        </w:rPr>
        <w:t xml:space="preserve">Banking Services </w:t>
      </w:r>
      <w:r w:rsidR="00686B1A">
        <w:rPr>
          <w:rFonts w:ascii="Arial" w:hAnsi="Arial" w:cs="Arial"/>
          <w:b/>
          <w:color w:val="FF0000"/>
          <w:sz w:val="20"/>
          <w:szCs w:val="20"/>
        </w:rPr>
        <w:t>to Virtual Asset Service Providers</w:t>
      </w:r>
    </w:p>
    <w:p w:rsidR="006D3F73" w:rsidRPr="00405FCD" w:rsidRDefault="006D3F73" w:rsidP="00405FCD">
      <w:pPr>
        <w:pStyle w:val="Default"/>
        <w:jc w:val="both"/>
        <w:rPr>
          <w:sz w:val="20"/>
          <w:szCs w:val="20"/>
        </w:rPr>
      </w:pPr>
    </w:p>
    <w:p w:rsidR="00685AFE" w:rsidRDefault="00B779DD" w:rsidP="00405FCD">
      <w:pPr>
        <w:pStyle w:val="Default"/>
        <w:jc w:val="both"/>
        <w:rPr>
          <w:color w:val="323232"/>
          <w:sz w:val="20"/>
          <w:szCs w:val="20"/>
        </w:rPr>
      </w:pPr>
      <w:r>
        <w:rPr>
          <w:sz w:val="20"/>
          <w:szCs w:val="20"/>
        </w:rPr>
        <w:t xml:space="preserve">In its circular promoting </w:t>
      </w:r>
      <w:r w:rsidR="00472E76" w:rsidRPr="00405FCD">
        <w:rPr>
          <w:sz w:val="20"/>
          <w:szCs w:val="20"/>
        </w:rPr>
        <w:t>“</w:t>
      </w:r>
      <w:hyperlink r:id="rId9" w:history="1">
        <w:r w:rsidR="00472E76" w:rsidRPr="00405FCD">
          <w:rPr>
            <w:rStyle w:val="a4"/>
            <w:sz w:val="20"/>
            <w:szCs w:val="20"/>
          </w:rPr>
          <w:t>Access to Banking Services for Corporate Customers</w:t>
        </w:r>
      </w:hyperlink>
      <w:r w:rsidR="00472E76" w:rsidRPr="00405FCD">
        <w:rPr>
          <w:color w:val="323232"/>
          <w:sz w:val="20"/>
          <w:szCs w:val="20"/>
        </w:rPr>
        <w:t xml:space="preserve">” (the </w:t>
      </w:r>
      <w:r w:rsidR="00472E76" w:rsidRPr="00405FCD">
        <w:rPr>
          <w:b/>
          <w:color w:val="323232"/>
          <w:sz w:val="20"/>
          <w:szCs w:val="20"/>
        </w:rPr>
        <w:t>Circular</w:t>
      </w:r>
      <w:r w:rsidR="00472E76" w:rsidRPr="00405FCD">
        <w:rPr>
          <w:color w:val="323232"/>
          <w:sz w:val="20"/>
          <w:szCs w:val="20"/>
        </w:rPr>
        <w:t>)</w:t>
      </w:r>
      <w:r w:rsidR="00472E76">
        <w:rPr>
          <w:color w:val="323232"/>
          <w:sz w:val="20"/>
          <w:szCs w:val="20"/>
        </w:rPr>
        <w:t xml:space="preserve">, </w:t>
      </w:r>
      <w:r w:rsidR="006D3F73" w:rsidRPr="00405FCD">
        <w:rPr>
          <w:sz w:val="20"/>
          <w:szCs w:val="20"/>
        </w:rPr>
        <w:t>Hong Kong</w:t>
      </w:r>
      <w:r w:rsidR="00472E76">
        <w:rPr>
          <w:sz w:val="20"/>
          <w:szCs w:val="20"/>
        </w:rPr>
        <w:t>’s</w:t>
      </w:r>
      <w:r w:rsidR="006D3F73" w:rsidRPr="00405FCD">
        <w:rPr>
          <w:sz w:val="20"/>
          <w:szCs w:val="20"/>
        </w:rPr>
        <w:t xml:space="preserve"> Monetary Authority (</w:t>
      </w:r>
      <w:r w:rsidR="00405FCD">
        <w:rPr>
          <w:sz w:val="20"/>
          <w:szCs w:val="20"/>
        </w:rPr>
        <w:t xml:space="preserve">the </w:t>
      </w:r>
      <w:r w:rsidR="006D3F73" w:rsidRPr="00405FCD">
        <w:rPr>
          <w:b/>
          <w:sz w:val="20"/>
          <w:szCs w:val="20"/>
        </w:rPr>
        <w:t>HKMA</w:t>
      </w:r>
      <w:r w:rsidR="006D3F73" w:rsidRPr="00405FCD">
        <w:rPr>
          <w:sz w:val="20"/>
          <w:szCs w:val="20"/>
        </w:rPr>
        <w:t xml:space="preserve">) </w:t>
      </w:r>
      <w:r w:rsidR="00044CB4">
        <w:rPr>
          <w:sz w:val="20"/>
          <w:szCs w:val="20"/>
        </w:rPr>
        <w:t xml:space="preserve">encourages </w:t>
      </w:r>
      <w:r w:rsidR="00472E76">
        <w:rPr>
          <w:sz w:val="20"/>
          <w:szCs w:val="20"/>
        </w:rPr>
        <w:t xml:space="preserve">banks </w:t>
      </w:r>
      <w:r w:rsidR="00044CB4">
        <w:rPr>
          <w:sz w:val="20"/>
          <w:szCs w:val="20"/>
        </w:rPr>
        <w:t>to “</w:t>
      </w:r>
      <w:r w:rsidR="00044CB4" w:rsidRPr="00044CB4">
        <w:rPr>
          <w:i/>
          <w:sz w:val="20"/>
          <w:szCs w:val="20"/>
        </w:rPr>
        <w:t>support virtual asset service providers</w:t>
      </w:r>
      <w:r w:rsidR="00044CB4">
        <w:rPr>
          <w:i/>
          <w:sz w:val="20"/>
          <w:szCs w:val="20"/>
        </w:rPr>
        <w:t xml:space="preserve"> licensed and regulated by the Securities and Futures Commission (SFC) on their legitimate need for bank accounts in Hong Kong”.</w:t>
      </w:r>
      <w:r w:rsidR="00044CB4">
        <w:rPr>
          <w:sz w:val="20"/>
          <w:szCs w:val="20"/>
        </w:rPr>
        <w:t xml:space="preserve"> Published</w:t>
      </w:r>
      <w:r w:rsidR="006D3F73" w:rsidRPr="00405FCD">
        <w:rPr>
          <w:sz w:val="20"/>
          <w:szCs w:val="20"/>
        </w:rPr>
        <w:t xml:space="preserve"> on 27 April 2023</w:t>
      </w:r>
      <w:r w:rsidR="00044CB4">
        <w:rPr>
          <w:sz w:val="20"/>
          <w:szCs w:val="20"/>
        </w:rPr>
        <w:t xml:space="preserve"> ahead of the implementation of </w:t>
      </w:r>
      <w:r w:rsidR="001C0387" w:rsidRPr="00405FCD">
        <w:rPr>
          <w:color w:val="323232"/>
          <w:sz w:val="20"/>
          <w:szCs w:val="20"/>
        </w:rPr>
        <w:t>Hong Kong’s new licensing r</w:t>
      </w:r>
      <w:r w:rsidR="00044CB4">
        <w:rPr>
          <w:color w:val="323232"/>
          <w:sz w:val="20"/>
          <w:szCs w:val="20"/>
        </w:rPr>
        <w:t>egime for virtual asset service providers (</w:t>
      </w:r>
      <w:r w:rsidR="00044CB4" w:rsidRPr="00044CB4">
        <w:rPr>
          <w:b/>
          <w:color w:val="323232"/>
          <w:sz w:val="20"/>
          <w:szCs w:val="20"/>
        </w:rPr>
        <w:t>VASPs</w:t>
      </w:r>
      <w:r w:rsidR="00044CB4">
        <w:rPr>
          <w:color w:val="323232"/>
          <w:sz w:val="20"/>
          <w:szCs w:val="20"/>
        </w:rPr>
        <w:t>)</w:t>
      </w:r>
      <w:r w:rsidR="000B3EFD">
        <w:rPr>
          <w:color w:val="323232"/>
          <w:sz w:val="20"/>
          <w:szCs w:val="20"/>
        </w:rPr>
        <w:t xml:space="preserve"> </w:t>
      </w:r>
      <w:r w:rsidR="00044CB4">
        <w:rPr>
          <w:color w:val="323232"/>
          <w:sz w:val="20"/>
          <w:szCs w:val="20"/>
        </w:rPr>
        <w:t xml:space="preserve">on 1 June 2023, the Circular paves the way for VASP licensing applicants to meet the </w:t>
      </w:r>
      <w:r w:rsidR="001C24F2">
        <w:rPr>
          <w:color w:val="323232"/>
          <w:sz w:val="20"/>
          <w:szCs w:val="20"/>
        </w:rPr>
        <w:t xml:space="preserve">SFC’s </w:t>
      </w:r>
      <w:r w:rsidR="00044CB4">
        <w:rPr>
          <w:color w:val="323232"/>
          <w:sz w:val="20"/>
          <w:szCs w:val="20"/>
        </w:rPr>
        <w:t xml:space="preserve">requirement </w:t>
      </w:r>
      <w:r w:rsidR="000715D3">
        <w:rPr>
          <w:color w:val="323232"/>
          <w:sz w:val="20"/>
          <w:szCs w:val="20"/>
        </w:rPr>
        <w:t xml:space="preserve">that </w:t>
      </w:r>
      <w:r w:rsidR="001C24F2">
        <w:rPr>
          <w:color w:val="323232"/>
          <w:sz w:val="20"/>
          <w:szCs w:val="20"/>
        </w:rPr>
        <w:t xml:space="preserve">it receives applicants’ </w:t>
      </w:r>
      <w:r w:rsidR="000715D3">
        <w:rPr>
          <w:color w:val="323232"/>
          <w:sz w:val="20"/>
          <w:szCs w:val="20"/>
        </w:rPr>
        <w:t xml:space="preserve">bank account details </w:t>
      </w:r>
      <w:r w:rsidR="001C24F2">
        <w:rPr>
          <w:color w:val="323232"/>
          <w:sz w:val="20"/>
          <w:szCs w:val="20"/>
        </w:rPr>
        <w:t>before approving</w:t>
      </w:r>
      <w:r w:rsidR="000715D3">
        <w:rPr>
          <w:color w:val="323232"/>
          <w:sz w:val="20"/>
          <w:szCs w:val="20"/>
        </w:rPr>
        <w:t xml:space="preserve"> their licensing application</w:t>
      </w:r>
      <w:r w:rsidR="004B528D">
        <w:rPr>
          <w:color w:val="323232"/>
          <w:sz w:val="20"/>
          <w:szCs w:val="20"/>
        </w:rPr>
        <w:t>s</w:t>
      </w:r>
      <w:r w:rsidR="001C24F2">
        <w:rPr>
          <w:color w:val="323232"/>
          <w:sz w:val="20"/>
          <w:szCs w:val="20"/>
        </w:rPr>
        <w:t xml:space="preserve">. However, bank account details do </w:t>
      </w:r>
      <w:r w:rsidR="000715D3">
        <w:rPr>
          <w:color w:val="323232"/>
          <w:sz w:val="20"/>
          <w:szCs w:val="20"/>
        </w:rPr>
        <w:t>not need to be submitted at the same time as the</w:t>
      </w:r>
      <w:r w:rsidR="001C24F2">
        <w:rPr>
          <w:color w:val="323232"/>
          <w:sz w:val="20"/>
          <w:szCs w:val="20"/>
        </w:rPr>
        <w:t xml:space="preserve"> VASP</w:t>
      </w:r>
      <w:r w:rsidR="000715D3">
        <w:rPr>
          <w:color w:val="323232"/>
          <w:sz w:val="20"/>
          <w:szCs w:val="20"/>
        </w:rPr>
        <w:t xml:space="preserve"> licensing application</w:t>
      </w:r>
      <w:r w:rsidR="004B528D">
        <w:rPr>
          <w:color w:val="323232"/>
          <w:sz w:val="20"/>
          <w:szCs w:val="20"/>
        </w:rPr>
        <w:t>s</w:t>
      </w:r>
      <w:r w:rsidR="000715D3">
        <w:rPr>
          <w:color w:val="323232"/>
          <w:sz w:val="20"/>
          <w:szCs w:val="20"/>
        </w:rPr>
        <w:t>.</w:t>
      </w:r>
      <w:r w:rsidR="000715D3">
        <w:rPr>
          <w:rStyle w:val="a8"/>
          <w:color w:val="323232"/>
          <w:sz w:val="20"/>
          <w:szCs w:val="20"/>
        </w:rPr>
        <w:footnoteReference w:id="1"/>
      </w:r>
      <w:r w:rsidR="00405FCD">
        <w:rPr>
          <w:color w:val="323232"/>
          <w:sz w:val="20"/>
          <w:szCs w:val="20"/>
        </w:rPr>
        <w:t xml:space="preserve"> </w:t>
      </w:r>
    </w:p>
    <w:p w:rsidR="00685AFE" w:rsidRDefault="00685AFE" w:rsidP="00405FCD">
      <w:pPr>
        <w:pStyle w:val="Default"/>
        <w:jc w:val="both"/>
        <w:rPr>
          <w:color w:val="323232"/>
          <w:sz w:val="20"/>
          <w:szCs w:val="20"/>
        </w:rPr>
      </w:pPr>
    </w:p>
    <w:p w:rsidR="00685AFE" w:rsidRDefault="00685AFE" w:rsidP="00405FCD">
      <w:pPr>
        <w:pStyle w:val="Default"/>
        <w:jc w:val="both"/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 xml:space="preserve">Supporting the Hong Kong Government’s </w:t>
      </w:r>
      <w:r w:rsidR="00BC5700">
        <w:rPr>
          <w:sz w:val="20"/>
          <w:szCs w:val="20"/>
        </w:rPr>
        <w:t>push to become a global Web3 and crypto hub</w:t>
      </w:r>
      <w:r w:rsidR="00B779DD">
        <w:rPr>
          <w:sz w:val="20"/>
          <w:szCs w:val="20"/>
        </w:rPr>
        <w:t xml:space="preserve"> </w:t>
      </w:r>
      <w:r w:rsidR="001C24F2">
        <w:rPr>
          <w:sz w:val="20"/>
          <w:szCs w:val="20"/>
        </w:rPr>
        <w:t>(</w:t>
      </w:r>
      <w:r w:rsidR="00B779DD">
        <w:rPr>
          <w:sz w:val="20"/>
          <w:szCs w:val="20"/>
        </w:rPr>
        <w:t>as detailed in its October 2022 “</w:t>
      </w:r>
      <w:hyperlink r:id="rId10" w:history="1">
        <w:r w:rsidR="00B779DD" w:rsidRPr="00B779DD">
          <w:rPr>
            <w:rStyle w:val="a4"/>
            <w:sz w:val="20"/>
            <w:szCs w:val="20"/>
          </w:rPr>
          <w:t>Policy Statement on Development of Virtual Assets in Hong Kong</w:t>
        </w:r>
      </w:hyperlink>
      <w:r w:rsidR="00B779DD">
        <w:rPr>
          <w:sz w:val="20"/>
          <w:szCs w:val="20"/>
        </w:rPr>
        <w:t>”</w:t>
      </w:r>
      <w:r w:rsidR="001C24F2">
        <w:rPr>
          <w:sz w:val="20"/>
          <w:szCs w:val="20"/>
        </w:rPr>
        <w:t>)</w:t>
      </w:r>
      <w:r w:rsidR="00B779DD">
        <w:rPr>
          <w:sz w:val="20"/>
          <w:szCs w:val="20"/>
        </w:rPr>
        <w:t xml:space="preserve"> th</w:t>
      </w:r>
      <w:r w:rsidR="001C24F2">
        <w:rPr>
          <w:sz w:val="20"/>
          <w:szCs w:val="20"/>
        </w:rPr>
        <w:t xml:space="preserve">e HKMA Circular </w:t>
      </w:r>
      <w:r w:rsidR="00900247">
        <w:rPr>
          <w:sz w:val="20"/>
          <w:szCs w:val="20"/>
        </w:rPr>
        <w:t xml:space="preserve">urges </w:t>
      </w:r>
      <w:r w:rsidR="00900247" w:rsidRPr="00405FCD">
        <w:rPr>
          <w:sz w:val="20"/>
          <w:szCs w:val="20"/>
        </w:rPr>
        <w:t>banks</w:t>
      </w:r>
      <w:r w:rsidR="00B779DD">
        <w:rPr>
          <w:sz w:val="20"/>
          <w:szCs w:val="20"/>
        </w:rPr>
        <w:t xml:space="preserve"> </w:t>
      </w:r>
      <w:r w:rsidR="00B779DD" w:rsidRPr="00405FCD">
        <w:rPr>
          <w:sz w:val="20"/>
          <w:szCs w:val="20"/>
        </w:rPr>
        <w:t>to</w:t>
      </w:r>
      <w:r w:rsidR="001C24F2">
        <w:rPr>
          <w:sz w:val="20"/>
          <w:szCs w:val="20"/>
        </w:rPr>
        <w:t xml:space="preserve"> adopt</w:t>
      </w:r>
      <w:r w:rsidR="00B779DD" w:rsidRPr="00405FCD">
        <w:rPr>
          <w:sz w:val="20"/>
          <w:szCs w:val="20"/>
        </w:rPr>
        <w:t xml:space="preserve"> </w:t>
      </w:r>
      <w:r w:rsidR="00B779DD">
        <w:rPr>
          <w:sz w:val="20"/>
          <w:szCs w:val="20"/>
        </w:rPr>
        <w:t>“</w:t>
      </w:r>
      <w:r w:rsidR="00B779DD" w:rsidRPr="00B779DD">
        <w:rPr>
          <w:i/>
          <w:sz w:val="20"/>
          <w:szCs w:val="20"/>
        </w:rPr>
        <w:t>a forward looking approach … and strengthen their understanding of new and developing sectors</w:t>
      </w:r>
      <w:r w:rsidR="00B779DD">
        <w:rPr>
          <w:sz w:val="20"/>
          <w:szCs w:val="20"/>
        </w:rPr>
        <w:t xml:space="preserve">” and </w:t>
      </w:r>
      <w:r w:rsidR="00B779DD" w:rsidRPr="00405FCD">
        <w:rPr>
          <w:sz w:val="20"/>
          <w:szCs w:val="20"/>
        </w:rPr>
        <w:t>a risk-based approach</w:t>
      </w:r>
      <w:r w:rsidR="00B779DD">
        <w:rPr>
          <w:sz w:val="20"/>
          <w:szCs w:val="20"/>
        </w:rPr>
        <w:t xml:space="preserve"> (</w:t>
      </w:r>
      <w:r w:rsidR="00B779DD" w:rsidRPr="00FE17D2">
        <w:rPr>
          <w:b/>
          <w:sz w:val="20"/>
          <w:szCs w:val="20"/>
        </w:rPr>
        <w:t>RBA</w:t>
      </w:r>
      <w:r w:rsidR="00B779DD">
        <w:rPr>
          <w:sz w:val="20"/>
          <w:szCs w:val="20"/>
        </w:rPr>
        <w:t>), rather than “</w:t>
      </w:r>
      <w:r w:rsidR="00B779DD" w:rsidRPr="00B779DD">
        <w:rPr>
          <w:i/>
          <w:sz w:val="20"/>
          <w:szCs w:val="20"/>
        </w:rPr>
        <w:t>a wholesale de-risking approach</w:t>
      </w:r>
      <w:r w:rsidR="00B779DD">
        <w:rPr>
          <w:sz w:val="20"/>
          <w:szCs w:val="20"/>
        </w:rPr>
        <w:t>”</w:t>
      </w:r>
      <w:r w:rsidR="009B49C6">
        <w:rPr>
          <w:sz w:val="20"/>
          <w:szCs w:val="20"/>
        </w:rPr>
        <w:t>.</w:t>
      </w:r>
    </w:p>
    <w:p w:rsidR="00685AFE" w:rsidRDefault="00685AFE" w:rsidP="00405FCD">
      <w:pPr>
        <w:pStyle w:val="Default"/>
        <w:jc w:val="both"/>
        <w:rPr>
          <w:color w:val="323232"/>
          <w:sz w:val="20"/>
          <w:szCs w:val="20"/>
        </w:rPr>
      </w:pPr>
    </w:p>
    <w:p w:rsidR="001E071E" w:rsidRDefault="00405FCD" w:rsidP="00405FCD">
      <w:pPr>
        <w:pStyle w:val="Default"/>
        <w:jc w:val="both"/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>For</w:t>
      </w:r>
      <w:r w:rsidR="001C0387" w:rsidRPr="00405FCD">
        <w:rPr>
          <w:color w:val="323232"/>
          <w:sz w:val="20"/>
          <w:szCs w:val="20"/>
        </w:rPr>
        <w:t xml:space="preserve"> </w:t>
      </w:r>
      <w:r w:rsidR="000715D3">
        <w:rPr>
          <w:color w:val="323232"/>
          <w:sz w:val="20"/>
          <w:szCs w:val="20"/>
        </w:rPr>
        <w:t xml:space="preserve">further </w:t>
      </w:r>
      <w:r w:rsidR="001C0387" w:rsidRPr="00405FCD">
        <w:rPr>
          <w:color w:val="323232"/>
          <w:sz w:val="20"/>
          <w:szCs w:val="20"/>
        </w:rPr>
        <w:t>details</w:t>
      </w:r>
      <w:r w:rsidR="000715D3">
        <w:rPr>
          <w:color w:val="323232"/>
          <w:sz w:val="20"/>
          <w:szCs w:val="20"/>
        </w:rPr>
        <w:t xml:space="preserve"> of </w:t>
      </w:r>
      <w:r w:rsidR="009B49C6">
        <w:rPr>
          <w:color w:val="323232"/>
          <w:sz w:val="20"/>
          <w:szCs w:val="20"/>
        </w:rPr>
        <w:t xml:space="preserve">Hong Kong’s </w:t>
      </w:r>
      <w:r w:rsidR="004B528D">
        <w:rPr>
          <w:color w:val="323232"/>
          <w:sz w:val="20"/>
          <w:szCs w:val="20"/>
        </w:rPr>
        <w:t>N</w:t>
      </w:r>
      <w:r w:rsidR="000715D3">
        <w:rPr>
          <w:color w:val="323232"/>
          <w:sz w:val="20"/>
          <w:szCs w:val="20"/>
        </w:rPr>
        <w:t xml:space="preserve">ew VASP licensing </w:t>
      </w:r>
      <w:r>
        <w:rPr>
          <w:color w:val="323232"/>
          <w:sz w:val="20"/>
          <w:szCs w:val="20"/>
        </w:rPr>
        <w:t>regime</w:t>
      </w:r>
      <w:r w:rsidR="001C0387" w:rsidRPr="00405FCD">
        <w:rPr>
          <w:color w:val="323232"/>
          <w:sz w:val="20"/>
          <w:szCs w:val="20"/>
        </w:rPr>
        <w:t xml:space="preserve">, please see </w:t>
      </w:r>
      <w:proofErr w:type="spellStart"/>
      <w:r w:rsidR="001C0387" w:rsidRPr="00405FCD">
        <w:rPr>
          <w:color w:val="323232"/>
          <w:sz w:val="20"/>
          <w:szCs w:val="20"/>
        </w:rPr>
        <w:t>Charltons</w:t>
      </w:r>
      <w:proofErr w:type="spellEnd"/>
      <w:r w:rsidR="001C0387" w:rsidRPr="00405FCD">
        <w:rPr>
          <w:color w:val="323232"/>
          <w:sz w:val="20"/>
          <w:szCs w:val="20"/>
        </w:rPr>
        <w:t xml:space="preserve">’ </w:t>
      </w:r>
      <w:r w:rsidR="000715D3">
        <w:rPr>
          <w:color w:val="323232"/>
          <w:sz w:val="20"/>
          <w:szCs w:val="20"/>
        </w:rPr>
        <w:t>newsletters “</w:t>
      </w:r>
      <w:hyperlink r:id="rId11" w:history="1">
        <w:r w:rsidR="000715D3" w:rsidRPr="000715D3">
          <w:rPr>
            <w:rStyle w:val="a4"/>
            <w:sz w:val="20"/>
            <w:szCs w:val="20"/>
          </w:rPr>
          <w:t>SFC Circular on Implementing new Licensing Regime for Virtual Asset Trading Platform Operators</w:t>
        </w:r>
      </w:hyperlink>
      <w:r w:rsidR="000715D3">
        <w:rPr>
          <w:color w:val="323232"/>
          <w:sz w:val="20"/>
          <w:szCs w:val="20"/>
        </w:rPr>
        <w:t xml:space="preserve">” (June 2023) and </w:t>
      </w:r>
      <w:r w:rsidR="00685AFE">
        <w:rPr>
          <w:color w:val="323232"/>
          <w:sz w:val="20"/>
          <w:szCs w:val="20"/>
        </w:rPr>
        <w:t>“</w:t>
      </w:r>
      <w:hyperlink r:id="rId12" w:history="1">
        <w:r w:rsidR="00685AFE" w:rsidRPr="00685AFE">
          <w:rPr>
            <w:rStyle w:val="a4"/>
            <w:sz w:val="20"/>
            <w:szCs w:val="20"/>
          </w:rPr>
          <w:t>Hong Kong Licensing Regime for Virtual Asset Exchanges to Take Effect on 1 March 2023</w:t>
        </w:r>
      </w:hyperlink>
      <w:r w:rsidR="00685AFE">
        <w:rPr>
          <w:color w:val="323232"/>
          <w:sz w:val="20"/>
          <w:szCs w:val="20"/>
        </w:rPr>
        <w:t>”</w:t>
      </w:r>
      <w:r w:rsidR="00685AFE">
        <w:rPr>
          <w:rStyle w:val="a8"/>
          <w:color w:val="323232"/>
          <w:sz w:val="20"/>
          <w:szCs w:val="20"/>
        </w:rPr>
        <w:footnoteReference w:id="2"/>
      </w:r>
      <w:r w:rsidR="00685AFE">
        <w:rPr>
          <w:color w:val="323232"/>
          <w:sz w:val="20"/>
          <w:szCs w:val="20"/>
        </w:rPr>
        <w:t xml:space="preserve"> (July 2022). </w:t>
      </w:r>
    </w:p>
    <w:p w:rsidR="00137F1D" w:rsidRDefault="00137F1D" w:rsidP="00405FCD">
      <w:pPr>
        <w:pStyle w:val="Default"/>
        <w:jc w:val="both"/>
        <w:rPr>
          <w:color w:val="323232"/>
          <w:sz w:val="20"/>
          <w:szCs w:val="20"/>
        </w:rPr>
      </w:pPr>
    </w:p>
    <w:p w:rsidR="00137F1D" w:rsidRDefault="00137F1D" w:rsidP="00405FCD">
      <w:pPr>
        <w:pStyle w:val="Default"/>
        <w:jc w:val="both"/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 xml:space="preserve">The HKMA has also revised its </w:t>
      </w:r>
      <w:hyperlink r:id="rId13" w:history="1">
        <w:r w:rsidRPr="0006489B">
          <w:rPr>
            <w:rStyle w:val="a4"/>
            <w:sz w:val="20"/>
            <w:szCs w:val="20"/>
          </w:rPr>
          <w:t>Guideline on Anti-Money Laundering and Counter-Financing of Terrorism (for Authorized Institutions)</w:t>
        </w:r>
      </w:hyperlink>
      <w:r>
        <w:rPr>
          <w:sz w:val="20"/>
          <w:szCs w:val="20"/>
        </w:rPr>
        <w:t xml:space="preserve"> effective 1 June 2023. The revised Guideline requires authorized institutions (i.e. banks) that are SFC-licensed VASPs to additionally comply with the anti-money laundering and counter-terrorist financing obligations provisions relating to virtual assets which are set out in Chapter 12 of the SFC’s newly issued </w:t>
      </w:r>
      <w:hyperlink r:id="rId14" w:history="1">
        <w:r w:rsidRPr="00757B53">
          <w:rPr>
            <w:rStyle w:val="a4"/>
            <w:sz w:val="20"/>
            <w:szCs w:val="20"/>
          </w:rPr>
          <w:t>SFC Guideline on Anti-Money Laundering and Counter-Financing of Terrorism (For Licensed Corporations and SFC licensed Virtual Asset Service Providers)</w:t>
        </w:r>
      </w:hyperlink>
      <w:r w:rsidR="00FE62A8">
        <w:rPr>
          <w:sz w:val="20"/>
          <w:szCs w:val="20"/>
        </w:rPr>
        <w:t>.</w:t>
      </w:r>
    </w:p>
    <w:p w:rsidR="009B49C6" w:rsidRDefault="009B49C6" w:rsidP="00405FCD">
      <w:pPr>
        <w:pStyle w:val="Default"/>
        <w:jc w:val="both"/>
        <w:rPr>
          <w:color w:val="323232"/>
          <w:sz w:val="20"/>
          <w:szCs w:val="20"/>
        </w:rPr>
      </w:pPr>
    </w:p>
    <w:p w:rsidR="00EE0107" w:rsidRPr="00EE0107" w:rsidRDefault="00EE0107" w:rsidP="00405FCD">
      <w:pPr>
        <w:pStyle w:val="Default"/>
        <w:jc w:val="both"/>
        <w:rPr>
          <w:b/>
          <w:color w:val="FF0000"/>
          <w:sz w:val="20"/>
          <w:szCs w:val="20"/>
        </w:rPr>
      </w:pPr>
      <w:r w:rsidRPr="00EE0107">
        <w:rPr>
          <w:b/>
          <w:color w:val="FF0000"/>
          <w:sz w:val="20"/>
          <w:szCs w:val="20"/>
        </w:rPr>
        <w:t>Thre</w:t>
      </w:r>
      <w:r w:rsidR="005F5075">
        <w:rPr>
          <w:b/>
          <w:color w:val="FF0000"/>
          <w:sz w:val="20"/>
          <w:szCs w:val="20"/>
        </w:rPr>
        <w:t>e Key A</w:t>
      </w:r>
      <w:r w:rsidRPr="00EE0107">
        <w:rPr>
          <w:b/>
          <w:color w:val="FF0000"/>
          <w:sz w:val="20"/>
          <w:szCs w:val="20"/>
        </w:rPr>
        <w:t>reas</w:t>
      </w:r>
      <w:r w:rsidR="009B49C6">
        <w:rPr>
          <w:b/>
          <w:color w:val="FF0000"/>
          <w:sz w:val="20"/>
          <w:szCs w:val="20"/>
        </w:rPr>
        <w:t xml:space="preserve"> for Banks’ Attention</w:t>
      </w:r>
      <w:r w:rsidRPr="00EE0107">
        <w:rPr>
          <w:b/>
          <w:color w:val="FF0000"/>
          <w:sz w:val="20"/>
          <w:szCs w:val="20"/>
        </w:rPr>
        <w:t xml:space="preserve"> </w:t>
      </w:r>
    </w:p>
    <w:p w:rsidR="00EE0107" w:rsidRPr="00405FCD" w:rsidRDefault="00EE0107" w:rsidP="00405FCD">
      <w:pPr>
        <w:pStyle w:val="Default"/>
        <w:jc w:val="both"/>
        <w:rPr>
          <w:color w:val="323232"/>
          <w:sz w:val="20"/>
          <w:szCs w:val="20"/>
        </w:rPr>
      </w:pPr>
    </w:p>
    <w:p w:rsidR="00512A60" w:rsidRPr="00405FCD" w:rsidRDefault="002E0325" w:rsidP="00405FCD">
      <w:pPr>
        <w:pStyle w:val="Default"/>
        <w:jc w:val="both"/>
        <w:rPr>
          <w:color w:val="323232"/>
          <w:sz w:val="20"/>
          <w:szCs w:val="20"/>
        </w:rPr>
      </w:pPr>
      <w:r w:rsidRPr="00405FCD">
        <w:rPr>
          <w:color w:val="323232"/>
          <w:sz w:val="20"/>
          <w:szCs w:val="20"/>
        </w:rPr>
        <w:t xml:space="preserve">In the Circular, </w:t>
      </w:r>
      <w:r w:rsidR="009B49C6">
        <w:rPr>
          <w:color w:val="323232"/>
          <w:sz w:val="20"/>
          <w:szCs w:val="20"/>
        </w:rPr>
        <w:t>the HKMA asks banks</w:t>
      </w:r>
      <w:r w:rsidR="00FE17D2">
        <w:rPr>
          <w:color w:val="323232"/>
          <w:sz w:val="20"/>
          <w:szCs w:val="20"/>
        </w:rPr>
        <w:t xml:space="preserve"> to review </w:t>
      </w:r>
      <w:r w:rsidR="009B49C6">
        <w:rPr>
          <w:color w:val="323232"/>
          <w:sz w:val="20"/>
          <w:szCs w:val="20"/>
        </w:rPr>
        <w:t xml:space="preserve">their </w:t>
      </w:r>
      <w:r w:rsidR="00FE17D2">
        <w:rPr>
          <w:color w:val="323232"/>
          <w:sz w:val="20"/>
          <w:szCs w:val="20"/>
        </w:rPr>
        <w:t>account opening procedures and customer due diligence (</w:t>
      </w:r>
      <w:r w:rsidR="00FE17D2" w:rsidRPr="00FE17D2">
        <w:rPr>
          <w:b/>
          <w:color w:val="323232"/>
          <w:sz w:val="20"/>
          <w:szCs w:val="20"/>
        </w:rPr>
        <w:t>CDD</w:t>
      </w:r>
      <w:r w:rsidR="00FE17D2">
        <w:rPr>
          <w:color w:val="323232"/>
          <w:sz w:val="20"/>
          <w:szCs w:val="20"/>
        </w:rPr>
        <w:t xml:space="preserve">) measures to </w:t>
      </w:r>
      <w:r w:rsidR="005F5075" w:rsidRPr="005F5075">
        <w:rPr>
          <w:color w:val="323232"/>
          <w:sz w:val="20"/>
          <w:szCs w:val="20"/>
        </w:rPr>
        <w:t xml:space="preserve">balance </w:t>
      </w:r>
      <w:r w:rsidR="001C24F2">
        <w:rPr>
          <w:color w:val="323232"/>
          <w:sz w:val="20"/>
          <w:szCs w:val="20"/>
        </w:rPr>
        <w:t xml:space="preserve">their </w:t>
      </w:r>
      <w:r w:rsidR="001C24F2" w:rsidRPr="005F5075">
        <w:rPr>
          <w:color w:val="323232"/>
          <w:sz w:val="20"/>
          <w:szCs w:val="20"/>
        </w:rPr>
        <w:t xml:space="preserve">management </w:t>
      </w:r>
      <w:r w:rsidR="001C24F2">
        <w:rPr>
          <w:color w:val="323232"/>
          <w:sz w:val="20"/>
          <w:szCs w:val="20"/>
        </w:rPr>
        <w:t xml:space="preserve">of </w:t>
      </w:r>
      <w:r w:rsidR="005F5075" w:rsidRPr="005F5075">
        <w:rPr>
          <w:color w:val="323232"/>
          <w:sz w:val="20"/>
          <w:szCs w:val="20"/>
        </w:rPr>
        <w:t>money-laundering</w:t>
      </w:r>
      <w:r w:rsidR="00A7784F">
        <w:rPr>
          <w:color w:val="323232"/>
          <w:sz w:val="20"/>
          <w:szCs w:val="20"/>
        </w:rPr>
        <w:t xml:space="preserve"> </w:t>
      </w:r>
      <w:r w:rsidR="005F5075" w:rsidRPr="005F5075">
        <w:rPr>
          <w:color w:val="323232"/>
          <w:sz w:val="20"/>
          <w:szCs w:val="20"/>
        </w:rPr>
        <w:t>/</w:t>
      </w:r>
      <w:r w:rsidR="00A7784F">
        <w:rPr>
          <w:color w:val="323232"/>
          <w:sz w:val="20"/>
          <w:szCs w:val="20"/>
        </w:rPr>
        <w:t xml:space="preserve"> </w:t>
      </w:r>
      <w:r w:rsidR="005F5075" w:rsidRPr="005F5075">
        <w:rPr>
          <w:color w:val="323232"/>
          <w:sz w:val="20"/>
          <w:szCs w:val="20"/>
        </w:rPr>
        <w:t>financing of terrorism risk</w:t>
      </w:r>
      <w:r w:rsidR="001C24F2">
        <w:rPr>
          <w:color w:val="323232"/>
          <w:sz w:val="20"/>
          <w:szCs w:val="20"/>
        </w:rPr>
        <w:t>s</w:t>
      </w:r>
      <w:r w:rsidR="005F5075" w:rsidRPr="005F5075">
        <w:rPr>
          <w:color w:val="323232"/>
          <w:sz w:val="20"/>
          <w:szCs w:val="20"/>
        </w:rPr>
        <w:t xml:space="preserve"> with </w:t>
      </w:r>
      <w:r w:rsidR="002C419A">
        <w:rPr>
          <w:color w:val="323232"/>
          <w:sz w:val="20"/>
          <w:szCs w:val="20"/>
        </w:rPr>
        <w:t xml:space="preserve">the provision of </w:t>
      </w:r>
      <w:r w:rsidR="005F5075" w:rsidRPr="005F5075">
        <w:rPr>
          <w:color w:val="323232"/>
          <w:sz w:val="20"/>
          <w:szCs w:val="20"/>
        </w:rPr>
        <w:t>inclusive access to banking services</w:t>
      </w:r>
      <w:r w:rsidR="00FE17D2">
        <w:rPr>
          <w:color w:val="323232"/>
          <w:sz w:val="20"/>
          <w:szCs w:val="20"/>
        </w:rPr>
        <w:t xml:space="preserve">. </w:t>
      </w:r>
      <w:r w:rsidR="001C24F2">
        <w:rPr>
          <w:color w:val="323232"/>
          <w:sz w:val="20"/>
          <w:szCs w:val="20"/>
        </w:rPr>
        <w:t>T</w:t>
      </w:r>
      <w:r w:rsidR="002C419A">
        <w:rPr>
          <w:color w:val="323232"/>
          <w:sz w:val="20"/>
          <w:szCs w:val="20"/>
        </w:rPr>
        <w:t>he HKMA draws</w:t>
      </w:r>
      <w:r w:rsidR="00FE17D2">
        <w:rPr>
          <w:color w:val="323232"/>
          <w:sz w:val="20"/>
          <w:szCs w:val="20"/>
        </w:rPr>
        <w:t xml:space="preserve"> </w:t>
      </w:r>
      <w:r w:rsidR="002C419A">
        <w:rPr>
          <w:color w:val="323232"/>
          <w:sz w:val="20"/>
          <w:szCs w:val="20"/>
        </w:rPr>
        <w:t>bank</w:t>
      </w:r>
      <w:r w:rsidR="00FE17D2">
        <w:rPr>
          <w:color w:val="323232"/>
          <w:sz w:val="20"/>
          <w:szCs w:val="20"/>
        </w:rPr>
        <w:t>s</w:t>
      </w:r>
      <w:r w:rsidR="005F5075">
        <w:rPr>
          <w:color w:val="323232"/>
          <w:sz w:val="20"/>
          <w:szCs w:val="20"/>
        </w:rPr>
        <w:t>’</w:t>
      </w:r>
      <w:r w:rsidR="00FE17D2">
        <w:rPr>
          <w:color w:val="323232"/>
          <w:sz w:val="20"/>
          <w:szCs w:val="20"/>
        </w:rPr>
        <w:t xml:space="preserve"> </w:t>
      </w:r>
      <w:r w:rsidRPr="00405FCD">
        <w:rPr>
          <w:color w:val="323232"/>
          <w:sz w:val="20"/>
          <w:szCs w:val="20"/>
        </w:rPr>
        <w:t>attention to three areas</w:t>
      </w:r>
      <w:r w:rsidR="001C24F2">
        <w:rPr>
          <w:color w:val="323232"/>
          <w:sz w:val="20"/>
          <w:szCs w:val="20"/>
        </w:rPr>
        <w:t xml:space="preserve"> in particular.</w:t>
      </w:r>
    </w:p>
    <w:p w:rsidR="002E0325" w:rsidRPr="00405FCD" w:rsidRDefault="002E0325" w:rsidP="00405FCD">
      <w:pPr>
        <w:pStyle w:val="Default"/>
        <w:jc w:val="both"/>
        <w:rPr>
          <w:color w:val="323232"/>
          <w:sz w:val="20"/>
          <w:szCs w:val="20"/>
        </w:rPr>
      </w:pPr>
    </w:p>
    <w:p w:rsidR="003C3B27" w:rsidRPr="00722E49" w:rsidRDefault="005F5075" w:rsidP="00722E49">
      <w:pPr>
        <w:pStyle w:val="Default"/>
        <w:numPr>
          <w:ilvl w:val="0"/>
          <w:numId w:val="7"/>
        </w:numPr>
        <w:jc w:val="both"/>
        <w:rPr>
          <w:color w:val="323232"/>
          <w:sz w:val="20"/>
          <w:szCs w:val="20"/>
        </w:rPr>
      </w:pPr>
      <w:r w:rsidRPr="00722E49">
        <w:rPr>
          <w:color w:val="FF0000"/>
          <w:sz w:val="20"/>
          <w:szCs w:val="20"/>
        </w:rPr>
        <w:t>Initial Customer C</w:t>
      </w:r>
      <w:r w:rsidR="002E0325" w:rsidRPr="00722E49">
        <w:rPr>
          <w:color w:val="FF0000"/>
          <w:sz w:val="20"/>
          <w:szCs w:val="20"/>
        </w:rPr>
        <w:t xml:space="preserve">ontact </w:t>
      </w:r>
    </w:p>
    <w:p w:rsidR="003C3B27" w:rsidRPr="00405FCD" w:rsidRDefault="003C3B27" w:rsidP="00405FCD">
      <w:pPr>
        <w:pStyle w:val="Default"/>
        <w:ind w:left="360"/>
        <w:jc w:val="both"/>
        <w:rPr>
          <w:color w:val="323232"/>
          <w:sz w:val="20"/>
          <w:szCs w:val="20"/>
        </w:rPr>
      </w:pPr>
    </w:p>
    <w:p w:rsidR="002E0325" w:rsidRPr="00405FCD" w:rsidRDefault="003C3B27" w:rsidP="00405FCD">
      <w:pPr>
        <w:pStyle w:val="Default"/>
        <w:ind w:left="360"/>
        <w:jc w:val="both"/>
        <w:rPr>
          <w:color w:val="323232"/>
          <w:sz w:val="20"/>
          <w:szCs w:val="20"/>
        </w:rPr>
      </w:pPr>
      <w:r w:rsidRPr="00405FCD">
        <w:rPr>
          <w:color w:val="323232"/>
          <w:sz w:val="20"/>
          <w:szCs w:val="20"/>
        </w:rPr>
        <w:t>T</w:t>
      </w:r>
      <w:r w:rsidR="00FB2FED" w:rsidRPr="00405FCD">
        <w:rPr>
          <w:color w:val="323232"/>
          <w:sz w:val="20"/>
          <w:szCs w:val="20"/>
        </w:rPr>
        <w:t>he</w:t>
      </w:r>
      <w:r w:rsidR="005F5075">
        <w:rPr>
          <w:color w:val="323232"/>
          <w:sz w:val="20"/>
          <w:szCs w:val="20"/>
        </w:rPr>
        <w:t xml:space="preserve"> HKMA recommends</w:t>
      </w:r>
      <w:r w:rsidR="002E0325" w:rsidRPr="00405FCD">
        <w:rPr>
          <w:color w:val="323232"/>
          <w:sz w:val="20"/>
          <w:szCs w:val="20"/>
        </w:rPr>
        <w:t xml:space="preserve"> </w:t>
      </w:r>
      <w:r w:rsidR="002C419A">
        <w:rPr>
          <w:color w:val="323232"/>
          <w:sz w:val="20"/>
          <w:szCs w:val="20"/>
        </w:rPr>
        <w:t xml:space="preserve">that banks </w:t>
      </w:r>
      <w:r w:rsidR="002E0325" w:rsidRPr="00405FCD">
        <w:rPr>
          <w:color w:val="323232"/>
          <w:sz w:val="20"/>
          <w:szCs w:val="20"/>
        </w:rPr>
        <w:t>provide relevant training and up-to-date information to their staff</w:t>
      </w:r>
      <w:r w:rsidR="00FB2FED" w:rsidRPr="00405FCD">
        <w:rPr>
          <w:color w:val="323232"/>
          <w:sz w:val="20"/>
          <w:szCs w:val="20"/>
        </w:rPr>
        <w:t xml:space="preserve">, </w:t>
      </w:r>
      <w:r w:rsidR="001C24F2">
        <w:rPr>
          <w:color w:val="323232"/>
          <w:sz w:val="20"/>
          <w:szCs w:val="20"/>
        </w:rPr>
        <w:t>which should take</w:t>
      </w:r>
      <w:r w:rsidR="00FB2FED" w:rsidRPr="00405FCD">
        <w:rPr>
          <w:color w:val="323232"/>
          <w:sz w:val="20"/>
          <w:szCs w:val="20"/>
        </w:rPr>
        <w:t xml:space="preserve"> into </w:t>
      </w:r>
      <w:r w:rsidR="001C24F2">
        <w:rPr>
          <w:color w:val="323232"/>
          <w:sz w:val="20"/>
          <w:szCs w:val="20"/>
        </w:rPr>
        <w:t>account customer</w:t>
      </w:r>
      <w:r w:rsidR="002E0325" w:rsidRPr="00405FCD">
        <w:rPr>
          <w:color w:val="323232"/>
          <w:sz w:val="20"/>
          <w:szCs w:val="20"/>
        </w:rPr>
        <w:t xml:space="preserve"> </w:t>
      </w:r>
      <w:r w:rsidRPr="00405FCD">
        <w:rPr>
          <w:color w:val="323232"/>
          <w:sz w:val="20"/>
          <w:szCs w:val="20"/>
        </w:rPr>
        <w:t xml:space="preserve">feedback and complaints. </w:t>
      </w:r>
      <w:r w:rsidR="002C419A">
        <w:rPr>
          <w:color w:val="323232"/>
          <w:sz w:val="20"/>
          <w:szCs w:val="20"/>
        </w:rPr>
        <w:t xml:space="preserve">The HKMA expects banks to </w:t>
      </w:r>
      <w:r w:rsidRPr="00405FCD">
        <w:rPr>
          <w:color w:val="323232"/>
          <w:sz w:val="20"/>
          <w:szCs w:val="20"/>
        </w:rPr>
        <w:t>establish processes that adequately suppo</w:t>
      </w:r>
      <w:r w:rsidR="002C419A">
        <w:rPr>
          <w:color w:val="323232"/>
          <w:sz w:val="20"/>
          <w:szCs w:val="20"/>
        </w:rPr>
        <w:t xml:space="preserve">rt applications from </w:t>
      </w:r>
      <w:proofErr w:type="spellStart"/>
      <w:r w:rsidR="002C419A">
        <w:rPr>
          <w:color w:val="323232"/>
          <w:sz w:val="20"/>
          <w:szCs w:val="20"/>
        </w:rPr>
        <w:t>specialis</w:t>
      </w:r>
      <w:r w:rsidRPr="00405FCD">
        <w:rPr>
          <w:color w:val="323232"/>
          <w:sz w:val="20"/>
          <w:szCs w:val="20"/>
        </w:rPr>
        <w:t>ed</w:t>
      </w:r>
      <w:proofErr w:type="spellEnd"/>
      <w:r w:rsidRPr="00405FCD">
        <w:rPr>
          <w:color w:val="323232"/>
          <w:sz w:val="20"/>
          <w:szCs w:val="20"/>
        </w:rPr>
        <w:t xml:space="preserve"> industries, </w:t>
      </w:r>
      <w:r w:rsidR="001C24F2">
        <w:rPr>
          <w:color w:val="323232"/>
          <w:sz w:val="20"/>
          <w:szCs w:val="20"/>
        </w:rPr>
        <w:t xml:space="preserve">for example by equipping </w:t>
      </w:r>
      <w:r w:rsidRPr="00405FCD">
        <w:rPr>
          <w:color w:val="323232"/>
          <w:sz w:val="20"/>
          <w:szCs w:val="20"/>
        </w:rPr>
        <w:t>dedicated teams with appropriate training and knowledge.</w:t>
      </w:r>
    </w:p>
    <w:p w:rsidR="003C3B27" w:rsidRPr="00405FCD" w:rsidRDefault="003C3B27" w:rsidP="00405FCD">
      <w:pPr>
        <w:pStyle w:val="Default"/>
        <w:jc w:val="both"/>
        <w:rPr>
          <w:color w:val="323232"/>
          <w:sz w:val="20"/>
          <w:szCs w:val="20"/>
        </w:rPr>
      </w:pPr>
    </w:p>
    <w:p w:rsidR="006D3F73" w:rsidRPr="00722E49" w:rsidRDefault="003C3B27" w:rsidP="00722E49">
      <w:pPr>
        <w:pStyle w:val="Default"/>
        <w:numPr>
          <w:ilvl w:val="0"/>
          <w:numId w:val="7"/>
        </w:numPr>
        <w:jc w:val="both"/>
        <w:rPr>
          <w:color w:val="FF0000"/>
          <w:sz w:val="20"/>
          <w:szCs w:val="20"/>
        </w:rPr>
      </w:pPr>
      <w:r w:rsidRPr="00722E49">
        <w:rPr>
          <w:color w:val="FF0000"/>
          <w:sz w:val="20"/>
          <w:szCs w:val="20"/>
        </w:rPr>
        <w:t>Understanding of Market Developments</w:t>
      </w:r>
    </w:p>
    <w:p w:rsidR="003C3B27" w:rsidRPr="00405FCD" w:rsidRDefault="003C3B27" w:rsidP="00405FCD">
      <w:pPr>
        <w:pStyle w:val="Default"/>
        <w:ind w:left="360"/>
        <w:jc w:val="both"/>
        <w:rPr>
          <w:color w:val="323232"/>
          <w:sz w:val="20"/>
          <w:szCs w:val="20"/>
        </w:rPr>
      </w:pPr>
    </w:p>
    <w:p w:rsidR="003C3B27" w:rsidRPr="00405FCD" w:rsidRDefault="002C419A" w:rsidP="00405FCD">
      <w:pPr>
        <w:pStyle w:val="Default"/>
        <w:ind w:left="360"/>
        <w:jc w:val="both"/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lastRenderedPageBreak/>
        <w:t xml:space="preserve">Given the rapid developments in technology, the HKMA encourages </w:t>
      </w:r>
      <w:r w:rsidR="001C24F2">
        <w:rPr>
          <w:color w:val="323232"/>
          <w:sz w:val="20"/>
          <w:szCs w:val="20"/>
        </w:rPr>
        <w:t xml:space="preserve">banks </w:t>
      </w:r>
      <w:r>
        <w:rPr>
          <w:color w:val="323232"/>
          <w:sz w:val="20"/>
          <w:szCs w:val="20"/>
        </w:rPr>
        <w:t xml:space="preserve">to </w:t>
      </w:r>
      <w:r w:rsidR="003C3B27" w:rsidRPr="00405FCD">
        <w:rPr>
          <w:color w:val="323232"/>
          <w:sz w:val="20"/>
          <w:szCs w:val="20"/>
        </w:rPr>
        <w:t>adopt a forwa</w:t>
      </w:r>
      <w:r>
        <w:rPr>
          <w:color w:val="323232"/>
          <w:sz w:val="20"/>
          <w:szCs w:val="20"/>
        </w:rPr>
        <w:t xml:space="preserve">rd-looking approach and improve </w:t>
      </w:r>
      <w:r w:rsidR="003C3B27" w:rsidRPr="00405FCD">
        <w:rPr>
          <w:color w:val="323232"/>
          <w:sz w:val="20"/>
          <w:szCs w:val="20"/>
        </w:rPr>
        <w:t xml:space="preserve">their understanding of new </w:t>
      </w:r>
      <w:r>
        <w:rPr>
          <w:color w:val="323232"/>
          <w:sz w:val="20"/>
          <w:szCs w:val="20"/>
        </w:rPr>
        <w:t xml:space="preserve">and developing </w:t>
      </w:r>
      <w:r w:rsidR="003C3B27" w:rsidRPr="00405FCD">
        <w:rPr>
          <w:color w:val="323232"/>
          <w:sz w:val="20"/>
          <w:szCs w:val="20"/>
        </w:rPr>
        <w:t>sectors a</w:t>
      </w:r>
      <w:r w:rsidR="008A3EDD" w:rsidRPr="00405FCD">
        <w:rPr>
          <w:color w:val="323232"/>
          <w:sz w:val="20"/>
          <w:szCs w:val="20"/>
        </w:rPr>
        <w:t xml:space="preserve">nd related market developments, </w:t>
      </w:r>
      <w:r>
        <w:rPr>
          <w:color w:val="323232"/>
          <w:sz w:val="20"/>
          <w:szCs w:val="20"/>
        </w:rPr>
        <w:t xml:space="preserve">to </w:t>
      </w:r>
      <w:r w:rsidR="003C3B27" w:rsidRPr="00405FCD">
        <w:rPr>
          <w:color w:val="323232"/>
          <w:sz w:val="20"/>
          <w:szCs w:val="20"/>
        </w:rPr>
        <w:t xml:space="preserve">help </w:t>
      </w:r>
      <w:r>
        <w:rPr>
          <w:color w:val="323232"/>
          <w:sz w:val="20"/>
          <w:szCs w:val="20"/>
        </w:rPr>
        <w:t xml:space="preserve">them </w:t>
      </w:r>
      <w:r w:rsidR="003C3B27" w:rsidRPr="00405FCD">
        <w:rPr>
          <w:color w:val="323232"/>
          <w:sz w:val="20"/>
          <w:szCs w:val="20"/>
        </w:rPr>
        <w:t xml:space="preserve">differentiate individual customers with different risk characteristics. </w:t>
      </w:r>
      <w:r>
        <w:rPr>
          <w:color w:val="323232"/>
          <w:sz w:val="20"/>
          <w:szCs w:val="20"/>
        </w:rPr>
        <w:t xml:space="preserve">It specifically urges banks to open bank accounts for </w:t>
      </w:r>
      <w:r w:rsidR="00EE0107">
        <w:rPr>
          <w:color w:val="323232"/>
          <w:sz w:val="20"/>
          <w:szCs w:val="20"/>
        </w:rPr>
        <w:t>SFC-licensed VASPs.</w:t>
      </w:r>
    </w:p>
    <w:p w:rsidR="003C3B27" w:rsidRPr="00405FCD" w:rsidRDefault="003C3B27" w:rsidP="00405FCD">
      <w:pPr>
        <w:pStyle w:val="Default"/>
        <w:jc w:val="both"/>
        <w:rPr>
          <w:color w:val="323232"/>
          <w:sz w:val="20"/>
          <w:szCs w:val="20"/>
        </w:rPr>
      </w:pPr>
    </w:p>
    <w:p w:rsidR="003C3B27" w:rsidRPr="00722E49" w:rsidRDefault="00A8725C" w:rsidP="00722E49">
      <w:pPr>
        <w:pStyle w:val="Default"/>
        <w:numPr>
          <w:ilvl w:val="0"/>
          <w:numId w:val="7"/>
        </w:numPr>
        <w:jc w:val="both"/>
        <w:rPr>
          <w:color w:val="FF0000"/>
          <w:sz w:val="20"/>
          <w:szCs w:val="20"/>
        </w:rPr>
      </w:pPr>
      <w:r w:rsidRPr="00722E49">
        <w:rPr>
          <w:color w:val="FF0000"/>
          <w:sz w:val="20"/>
          <w:szCs w:val="20"/>
        </w:rPr>
        <w:t>Risk M</w:t>
      </w:r>
      <w:r w:rsidR="00DE4FF7" w:rsidRPr="00722E49">
        <w:rPr>
          <w:color w:val="FF0000"/>
          <w:sz w:val="20"/>
          <w:szCs w:val="20"/>
        </w:rPr>
        <w:t xml:space="preserve">anagement vs </w:t>
      </w:r>
      <w:r w:rsidR="002C419A">
        <w:rPr>
          <w:color w:val="FF0000"/>
          <w:sz w:val="20"/>
          <w:szCs w:val="20"/>
        </w:rPr>
        <w:t>Wholesal</w:t>
      </w:r>
      <w:r w:rsidR="00DE4FF7" w:rsidRPr="00722E49">
        <w:rPr>
          <w:color w:val="FF0000"/>
          <w:sz w:val="20"/>
          <w:szCs w:val="20"/>
        </w:rPr>
        <w:t>e D</w:t>
      </w:r>
      <w:r w:rsidR="003C3B27" w:rsidRPr="00722E49">
        <w:rPr>
          <w:color w:val="FF0000"/>
          <w:sz w:val="20"/>
          <w:szCs w:val="20"/>
        </w:rPr>
        <w:t>e-risking</w:t>
      </w:r>
    </w:p>
    <w:p w:rsidR="003C3B27" w:rsidRPr="00405FCD" w:rsidRDefault="003C3B27" w:rsidP="00405FCD">
      <w:pPr>
        <w:pStyle w:val="Default"/>
        <w:ind w:left="360"/>
        <w:jc w:val="both"/>
        <w:rPr>
          <w:b/>
          <w:color w:val="323232"/>
          <w:sz w:val="20"/>
          <w:szCs w:val="20"/>
        </w:rPr>
      </w:pPr>
    </w:p>
    <w:p w:rsidR="003C3B27" w:rsidRPr="00405FCD" w:rsidRDefault="002C419A" w:rsidP="00405FCD">
      <w:pPr>
        <w:pStyle w:val="Default"/>
        <w:ind w:left="360"/>
        <w:jc w:val="both"/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 xml:space="preserve">The HKMA cautions banks against </w:t>
      </w:r>
      <w:r w:rsidR="003C3B27" w:rsidRPr="00405FCD">
        <w:rPr>
          <w:color w:val="323232"/>
          <w:sz w:val="20"/>
          <w:szCs w:val="20"/>
        </w:rPr>
        <w:t>a</w:t>
      </w:r>
      <w:r w:rsidR="006E2C13">
        <w:rPr>
          <w:color w:val="323232"/>
          <w:sz w:val="20"/>
          <w:szCs w:val="20"/>
        </w:rPr>
        <w:t xml:space="preserve"> wholesale de-risking approach that precludes </w:t>
      </w:r>
      <w:r w:rsidR="003C3B27" w:rsidRPr="00405FCD">
        <w:rPr>
          <w:color w:val="323232"/>
          <w:sz w:val="20"/>
          <w:szCs w:val="20"/>
        </w:rPr>
        <w:t>potential cust</w:t>
      </w:r>
      <w:r w:rsidR="00461A80" w:rsidRPr="00405FCD">
        <w:rPr>
          <w:color w:val="323232"/>
          <w:sz w:val="20"/>
          <w:szCs w:val="20"/>
        </w:rPr>
        <w:t xml:space="preserve">omers with </w:t>
      </w:r>
      <w:r>
        <w:rPr>
          <w:color w:val="323232"/>
          <w:sz w:val="20"/>
          <w:szCs w:val="20"/>
        </w:rPr>
        <w:t xml:space="preserve">a </w:t>
      </w:r>
      <w:r w:rsidR="00461A80" w:rsidRPr="00405FCD">
        <w:rPr>
          <w:color w:val="323232"/>
          <w:sz w:val="20"/>
          <w:szCs w:val="20"/>
        </w:rPr>
        <w:t>common background</w:t>
      </w:r>
      <w:r>
        <w:rPr>
          <w:color w:val="323232"/>
          <w:sz w:val="20"/>
          <w:szCs w:val="20"/>
        </w:rPr>
        <w:t xml:space="preserve"> (</w:t>
      </w:r>
      <w:proofErr w:type="gramStart"/>
      <w:r>
        <w:rPr>
          <w:color w:val="323232"/>
          <w:sz w:val="20"/>
          <w:szCs w:val="20"/>
        </w:rPr>
        <w:t>e.g.</w:t>
      </w:r>
      <w:proofErr w:type="gramEnd"/>
      <w:r>
        <w:rPr>
          <w:color w:val="323232"/>
          <w:sz w:val="20"/>
          <w:szCs w:val="20"/>
        </w:rPr>
        <w:t xml:space="preserve"> customers from particular industries or countries) </w:t>
      </w:r>
      <w:r w:rsidR="003C3B27" w:rsidRPr="00405FCD">
        <w:rPr>
          <w:color w:val="323232"/>
          <w:sz w:val="20"/>
          <w:szCs w:val="20"/>
        </w:rPr>
        <w:t xml:space="preserve">from target customer segments. </w:t>
      </w:r>
      <w:r w:rsidR="002077EE">
        <w:rPr>
          <w:color w:val="323232"/>
          <w:sz w:val="20"/>
          <w:szCs w:val="20"/>
        </w:rPr>
        <w:t>I</w:t>
      </w:r>
      <w:r w:rsidR="001C24F2">
        <w:rPr>
          <w:color w:val="323232"/>
          <w:sz w:val="20"/>
          <w:szCs w:val="20"/>
        </w:rPr>
        <w:t>nstead, i</w:t>
      </w:r>
      <w:r w:rsidR="002077EE">
        <w:rPr>
          <w:color w:val="323232"/>
          <w:sz w:val="20"/>
          <w:szCs w:val="20"/>
        </w:rPr>
        <w:t>t encourages</w:t>
      </w:r>
      <w:r w:rsidR="003C3B27" w:rsidRPr="00405FCD">
        <w:rPr>
          <w:color w:val="323232"/>
          <w:sz w:val="20"/>
          <w:szCs w:val="20"/>
        </w:rPr>
        <w:t xml:space="preserve"> </w:t>
      </w:r>
      <w:r>
        <w:rPr>
          <w:color w:val="323232"/>
          <w:sz w:val="20"/>
          <w:szCs w:val="20"/>
        </w:rPr>
        <w:t xml:space="preserve">banks </w:t>
      </w:r>
      <w:r w:rsidR="002077EE">
        <w:rPr>
          <w:color w:val="323232"/>
          <w:sz w:val="20"/>
          <w:szCs w:val="20"/>
        </w:rPr>
        <w:t>to gain an understanding o</w:t>
      </w:r>
      <w:r w:rsidR="004B528D">
        <w:rPr>
          <w:color w:val="323232"/>
          <w:sz w:val="20"/>
          <w:szCs w:val="20"/>
        </w:rPr>
        <w:t>f</w:t>
      </w:r>
      <w:r w:rsidR="002077EE">
        <w:rPr>
          <w:color w:val="323232"/>
          <w:sz w:val="20"/>
          <w:szCs w:val="20"/>
        </w:rPr>
        <w:t xml:space="preserve"> the risks and </w:t>
      </w:r>
      <w:r w:rsidR="00FE17D2">
        <w:rPr>
          <w:color w:val="323232"/>
          <w:sz w:val="20"/>
          <w:szCs w:val="20"/>
        </w:rPr>
        <w:t>adapt</w:t>
      </w:r>
      <w:r w:rsidR="003C3B27" w:rsidRPr="00405FCD">
        <w:rPr>
          <w:color w:val="323232"/>
          <w:sz w:val="20"/>
          <w:szCs w:val="20"/>
        </w:rPr>
        <w:t xml:space="preserve"> </w:t>
      </w:r>
      <w:r w:rsidR="002077EE">
        <w:rPr>
          <w:color w:val="323232"/>
          <w:sz w:val="20"/>
          <w:szCs w:val="20"/>
        </w:rPr>
        <w:t xml:space="preserve">their operational </w:t>
      </w:r>
      <w:r w:rsidR="003C3B27" w:rsidRPr="00405FCD">
        <w:rPr>
          <w:color w:val="323232"/>
          <w:sz w:val="20"/>
          <w:szCs w:val="20"/>
        </w:rPr>
        <w:t>approach</w:t>
      </w:r>
      <w:r w:rsidR="00FE17D2">
        <w:rPr>
          <w:color w:val="323232"/>
          <w:sz w:val="20"/>
          <w:szCs w:val="20"/>
        </w:rPr>
        <w:t>es</w:t>
      </w:r>
      <w:r w:rsidR="003C3B27" w:rsidRPr="00405FCD">
        <w:rPr>
          <w:color w:val="323232"/>
          <w:sz w:val="20"/>
          <w:szCs w:val="20"/>
        </w:rPr>
        <w:t xml:space="preserve"> consistent with</w:t>
      </w:r>
      <w:r w:rsidR="002077EE">
        <w:rPr>
          <w:color w:val="323232"/>
          <w:sz w:val="20"/>
          <w:szCs w:val="20"/>
        </w:rPr>
        <w:t xml:space="preserve"> </w:t>
      </w:r>
      <w:r w:rsidR="002077EE" w:rsidRPr="00405FCD">
        <w:rPr>
          <w:sz w:val="20"/>
          <w:szCs w:val="20"/>
        </w:rPr>
        <w:t>a risk-based approach</w:t>
      </w:r>
      <w:r w:rsidR="003C3B27" w:rsidRPr="00405FCD">
        <w:rPr>
          <w:color w:val="323232"/>
          <w:sz w:val="20"/>
          <w:szCs w:val="20"/>
        </w:rPr>
        <w:t xml:space="preserve">. </w:t>
      </w:r>
    </w:p>
    <w:p w:rsidR="006D3F73" w:rsidRDefault="006D3F73" w:rsidP="00405FCD">
      <w:pPr>
        <w:pStyle w:val="Default"/>
        <w:jc w:val="both"/>
        <w:rPr>
          <w:sz w:val="20"/>
          <w:szCs w:val="20"/>
        </w:rPr>
      </w:pPr>
    </w:p>
    <w:p w:rsidR="00FE17D2" w:rsidRDefault="006E2C13" w:rsidP="00405FC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FE17D2">
        <w:rPr>
          <w:sz w:val="20"/>
          <w:szCs w:val="20"/>
        </w:rPr>
        <w:t xml:space="preserve">HKMA </w:t>
      </w:r>
      <w:r w:rsidR="001C24F2">
        <w:rPr>
          <w:sz w:val="20"/>
          <w:szCs w:val="20"/>
        </w:rPr>
        <w:t xml:space="preserve">also </w:t>
      </w:r>
      <w:r w:rsidR="00FE17D2">
        <w:rPr>
          <w:sz w:val="20"/>
          <w:szCs w:val="20"/>
        </w:rPr>
        <w:t xml:space="preserve">suggests </w:t>
      </w:r>
      <w:r>
        <w:rPr>
          <w:sz w:val="20"/>
          <w:szCs w:val="20"/>
        </w:rPr>
        <w:t xml:space="preserve">that </w:t>
      </w:r>
      <w:r w:rsidR="002077EE">
        <w:rPr>
          <w:sz w:val="20"/>
          <w:szCs w:val="20"/>
        </w:rPr>
        <w:t xml:space="preserve">banks </w:t>
      </w:r>
      <w:r w:rsidR="00FE17D2">
        <w:rPr>
          <w:sz w:val="20"/>
          <w:szCs w:val="20"/>
        </w:rPr>
        <w:t>support the Tiered A</w:t>
      </w:r>
      <w:r w:rsidR="00EB62F4">
        <w:rPr>
          <w:sz w:val="20"/>
          <w:szCs w:val="20"/>
        </w:rPr>
        <w:t xml:space="preserve">ccount Services initiative and </w:t>
      </w:r>
      <w:r w:rsidR="00FE17D2">
        <w:rPr>
          <w:sz w:val="20"/>
          <w:szCs w:val="20"/>
        </w:rPr>
        <w:t xml:space="preserve">offer Simple Bank Accounts </w:t>
      </w:r>
      <w:r w:rsidR="001C24F2">
        <w:rPr>
          <w:sz w:val="20"/>
          <w:szCs w:val="20"/>
        </w:rPr>
        <w:t>to meet</w:t>
      </w:r>
      <w:r w:rsidR="00FE17D2">
        <w:rPr>
          <w:sz w:val="20"/>
          <w:szCs w:val="20"/>
        </w:rPr>
        <w:t xml:space="preserve"> the needs of SMEs and start-ups </w:t>
      </w:r>
      <w:r w:rsidR="0043102F">
        <w:rPr>
          <w:sz w:val="20"/>
          <w:szCs w:val="20"/>
        </w:rPr>
        <w:t>where</w:t>
      </w:r>
      <w:r w:rsidR="00FE17D2">
        <w:rPr>
          <w:sz w:val="20"/>
          <w:szCs w:val="20"/>
        </w:rPr>
        <w:t xml:space="preserve"> appropriate. </w:t>
      </w:r>
      <w:r w:rsidR="002077EE">
        <w:rPr>
          <w:sz w:val="20"/>
          <w:szCs w:val="20"/>
        </w:rPr>
        <w:t xml:space="preserve">The HKMA’s Tiered Account Services initiative was set out in its </w:t>
      </w:r>
      <w:r w:rsidR="004B528D">
        <w:rPr>
          <w:sz w:val="20"/>
          <w:szCs w:val="20"/>
        </w:rPr>
        <w:t>April</w:t>
      </w:r>
      <w:r w:rsidR="002077EE">
        <w:rPr>
          <w:sz w:val="20"/>
          <w:szCs w:val="20"/>
        </w:rPr>
        <w:t xml:space="preserve"> 2019 </w:t>
      </w:r>
      <w:r w:rsidR="002077EE" w:rsidRPr="002077EE">
        <w:rPr>
          <w:sz w:val="20"/>
          <w:szCs w:val="20"/>
        </w:rPr>
        <w:t>Circular “</w:t>
      </w:r>
      <w:hyperlink r:id="rId15" w:history="1">
        <w:r w:rsidR="004F5323" w:rsidRPr="004F5323">
          <w:rPr>
            <w:rStyle w:val="a4"/>
            <w:sz w:val="20"/>
            <w:szCs w:val="20"/>
          </w:rPr>
          <w:t>Introduction of Tiered Account Services</w:t>
        </w:r>
      </w:hyperlink>
      <w:r w:rsidR="002077EE">
        <w:rPr>
          <w:sz w:val="20"/>
          <w:szCs w:val="20"/>
        </w:rPr>
        <w:t>” and encouraged banks to offer a limited set of banking services (</w:t>
      </w:r>
      <w:r w:rsidR="002077EE" w:rsidRPr="002077EE">
        <w:rPr>
          <w:b/>
          <w:sz w:val="20"/>
          <w:szCs w:val="20"/>
        </w:rPr>
        <w:t>Simple Bank Accounts</w:t>
      </w:r>
      <w:r w:rsidR="002077EE">
        <w:rPr>
          <w:sz w:val="20"/>
          <w:szCs w:val="20"/>
        </w:rPr>
        <w:t>) requiring less extensive CDD measures to small- and medium-sized enterprises, start-ups and some offshore companies establishing a presence in Hong Kong</w:t>
      </w:r>
      <w:r w:rsidR="00035771">
        <w:rPr>
          <w:sz w:val="20"/>
          <w:szCs w:val="20"/>
        </w:rPr>
        <w:t xml:space="preserve">. </w:t>
      </w:r>
      <w:r w:rsidR="00BD43C8">
        <w:rPr>
          <w:sz w:val="20"/>
          <w:szCs w:val="20"/>
        </w:rPr>
        <w:t xml:space="preserve">Guidance on the HKMA’s RBA is set out in Chapter 2 of its </w:t>
      </w:r>
      <w:r w:rsidR="00BD43C8" w:rsidRPr="00DD1ED3">
        <w:rPr>
          <w:sz w:val="20"/>
          <w:szCs w:val="20"/>
        </w:rPr>
        <w:t>Guideline on Anti-Money Laundering and Counter-Financing of Terrorism (For Authorized Institutions)</w:t>
      </w:r>
      <w:r w:rsidR="00BD43C8">
        <w:rPr>
          <w:sz w:val="20"/>
          <w:szCs w:val="20"/>
        </w:rPr>
        <w:t>.</w:t>
      </w:r>
      <w:r w:rsidR="002077EE">
        <w:rPr>
          <w:sz w:val="20"/>
          <w:szCs w:val="20"/>
        </w:rPr>
        <w:t xml:space="preserve">  </w:t>
      </w:r>
    </w:p>
    <w:p w:rsidR="00FE17D2" w:rsidRPr="00405FCD" w:rsidRDefault="00FE17D2" w:rsidP="00405FCD">
      <w:pPr>
        <w:pStyle w:val="Default"/>
        <w:jc w:val="both"/>
        <w:rPr>
          <w:sz w:val="20"/>
          <w:szCs w:val="20"/>
        </w:rPr>
      </w:pPr>
    </w:p>
    <w:p w:rsidR="006D3F73" w:rsidRPr="00EE0107" w:rsidRDefault="008A3EDD" w:rsidP="00405FCD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E0107">
        <w:rPr>
          <w:rFonts w:ascii="Arial" w:hAnsi="Arial" w:cs="Arial"/>
          <w:b/>
          <w:color w:val="FF0000"/>
          <w:sz w:val="20"/>
          <w:szCs w:val="20"/>
        </w:rPr>
        <w:t xml:space="preserve">Key Observations and Good Practices </w:t>
      </w:r>
    </w:p>
    <w:p w:rsidR="008A3EDD" w:rsidRDefault="0043102F" w:rsidP="00405F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1C24F2">
        <w:rPr>
          <w:rFonts w:ascii="Arial" w:hAnsi="Arial" w:cs="Arial"/>
          <w:sz w:val="20"/>
          <w:szCs w:val="20"/>
        </w:rPr>
        <w:t xml:space="preserve"> Annex</w:t>
      </w:r>
      <w:r w:rsidR="00BD43C8">
        <w:rPr>
          <w:rFonts w:ascii="Arial" w:hAnsi="Arial" w:cs="Arial"/>
          <w:sz w:val="20"/>
          <w:szCs w:val="20"/>
        </w:rPr>
        <w:t xml:space="preserve"> </w:t>
      </w:r>
      <w:r w:rsidR="001C24F2">
        <w:rPr>
          <w:rFonts w:ascii="Arial" w:hAnsi="Arial" w:cs="Arial"/>
          <w:sz w:val="20"/>
          <w:szCs w:val="20"/>
        </w:rPr>
        <w:t xml:space="preserve">to the </w:t>
      </w:r>
      <w:r w:rsidR="00BD43C8">
        <w:rPr>
          <w:rFonts w:ascii="Arial" w:hAnsi="Arial" w:cs="Arial"/>
          <w:sz w:val="20"/>
          <w:szCs w:val="20"/>
        </w:rPr>
        <w:t>HKMA</w:t>
      </w:r>
      <w:r w:rsidR="001C24F2">
        <w:rPr>
          <w:rFonts w:ascii="Arial" w:hAnsi="Arial" w:cs="Arial"/>
          <w:sz w:val="20"/>
          <w:szCs w:val="20"/>
        </w:rPr>
        <w:t xml:space="preserve"> Circular</w:t>
      </w:r>
      <w:r>
        <w:rPr>
          <w:rFonts w:ascii="Arial" w:hAnsi="Arial" w:cs="Arial"/>
          <w:sz w:val="20"/>
          <w:szCs w:val="20"/>
        </w:rPr>
        <w:t xml:space="preserve"> </w:t>
      </w:r>
      <w:r w:rsidR="00BD43C8">
        <w:rPr>
          <w:rFonts w:ascii="Arial" w:hAnsi="Arial" w:cs="Arial"/>
          <w:sz w:val="20"/>
          <w:szCs w:val="20"/>
        </w:rPr>
        <w:t xml:space="preserve">sets out </w:t>
      </w:r>
      <w:r>
        <w:rPr>
          <w:rFonts w:ascii="Arial" w:hAnsi="Arial" w:cs="Arial"/>
          <w:sz w:val="20"/>
          <w:szCs w:val="20"/>
        </w:rPr>
        <w:t xml:space="preserve">observations and </w:t>
      </w:r>
      <w:r w:rsidR="008A3EDD" w:rsidRPr="00405FCD">
        <w:rPr>
          <w:rFonts w:ascii="Arial" w:hAnsi="Arial" w:cs="Arial"/>
          <w:sz w:val="20"/>
          <w:szCs w:val="20"/>
        </w:rPr>
        <w:t>good practices</w:t>
      </w:r>
      <w:r>
        <w:rPr>
          <w:rFonts w:ascii="Arial" w:hAnsi="Arial" w:cs="Arial"/>
          <w:sz w:val="20"/>
          <w:szCs w:val="20"/>
        </w:rPr>
        <w:t xml:space="preserve"> </w:t>
      </w:r>
      <w:r w:rsidR="00BD43C8">
        <w:rPr>
          <w:rFonts w:ascii="Arial" w:hAnsi="Arial" w:cs="Arial"/>
          <w:sz w:val="20"/>
          <w:szCs w:val="20"/>
        </w:rPr>
        <w:t xml:space="preserve">for </w:t>
      </w:r>
      <w:r w:rsidR="008A3EDD" w:rsidRPr="00405FCD">
        <w:rPr>
          <w:rFonts w:ascii="Arial" w:hAnsi="Arial" w:cs="Arial"/>
          <w:sz w:val="20"/>
          <w:szCs w:val="20"/>
        </w:rPr>
        <w:t xml:space="preserve">on-boarding </w:t>
      </w:r>
      <w:r w:rsidR="00BD43C8">
        <w:rPr>
          <w:rFonts w:ascii="Arial" w:hAnsi="Arial" w:cs="Arial"/>
          <w:sz w:val="20"/>
          <w:szCs w:val="20"/>
        </w:rPr>
        <w:t xml:space="preserve">corporate customers. </w:t>
      </w:r>
    </w:p>
    <w:p w:rsidR="008A3EDD" w:rsidRPr="00EF587C" w:rsidRDefault="008A3EDD" w:rsidP="00C51FEF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EF587C">
        <w:rPr>
          <w:rFonts w:ascii="Arial" w:hAnsi="Arial" w:cs="Arial"/>
          <w:color w:val="FF0000"/>
          <w:sz w:val="20"/>
          <w:szCs w:val="20"/>
        </w:rPr>
        <w:t>P</w:t>
      </w:r>
      <w:r w:rsidR="00EB4746" w:rsidRPr="00EF587C">
        <w:rPr>
          <w:rFonts w:ascii="Arial" w:hAnsi="Arial" w:cs="Arial"/>
          <w:color w:val="FF0000"/>
          <w:sz w:val="20"/>
          <w:szCs w:val="20"/>
        </w:rPr>
        <w:t>rocessing Account Opening A</w:t>
      </w:r>
      <w:r w:rsidRPr="00EF587C">
        <w:rPr>
          <w:rFonts w:ascii="Arial" w:hAnsi="Arial" w:cs="Arial"/>
          <w:color w:val="FF0000"/>
          <w:sz w:val="20"/>
          <w:szCs w:val="20"/>
        </w:rPr>
        <w:t>pplications</w:t>
      </w:r>
      <w:r w:rsidR="00EB4746" w:rsidRPr="00EF587C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A3EDD" w:rsidRPr="00405FCD" w:rsidRDefault="008A3EDD" w:rsidP="00405FCD">
      <w:pPr>
        <w:pStyle w:val="a3"/>
        <w:ind w:left="360"/>
        <w:jc w:val="both"/>
        <w:rPr>
          <w:rFonts w:ascii="Arial" w:hAnsi="Arial" w:cs="Arial"/>
          <w:sz w:val="20"/>
          <w:szCs w:val="20"/>
        </w:rPr>
      </w:pPr>
    </w:p>
    <w:p w:rsidR="008A3EDD" w:rsidRPr="00405FCD" w:rsidRDefault="00DD1ED3" w:rsidP="00C51FEF">
      <w:pPr>
        <w:pStyle w:val="a3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HKMA expects b</w:t>
      </w:r>
      <w:r w:rsidR="00BD43C8">
        <w:rPr>
          <w:rFonts w:ascii="Arial" w:hAnsi="Arial" w:cs="Arial"/>
          <w:sz w:val="20"/>
          <w:szCs w:val="20"/>
        </w:rPr>
        <w:t>ank</w:t>
      </w:r>
      <w:r w:rsidR="008A3EDD" w:rsidRPr="00405FCD">
        <w:rPr>
          <w:rFonts w:ascii="Arial" w:hAnsi="Arial" w:cs="Arial"/>
          <w:sz w:val="20"/>
          <w:szCs w:val="20"/>
        </w:rPr>
        <w:t xml:space="preserve">s </w:t>
      </w:r>
      <w:r w:rsidR="00EB4746">
        <w:rPr>
          <w:rFonts w:ascii="Arial" w:hAnsi="Arial" w:cs="Arial"/>
          <w:sz w:val="20"/>
          <w:szCs w:val="20"/>
        </w:rPr>
        <w:t xml:space="preserve">to have </w:t>
      </w:r>
      <w:r w:rsidR="00BD43C8">
        <w:rPr>
          <w:rFonts w:ascii="Arial" w:hAnsi="Arial" w:cs="Arial"/>
          <w:sz w:val="20"/>
          <w:szCs w:val="20"/>
        </w:rPr>
        <w:t xml:space="preserve">a </w:t>
      </w:r>
      <w:r w:rsidR="00EB4746">
        <w:rPr>
          <w:rFonts w:ascii="Arial" w:hAnsi="Arial" w:cs="Arial"/>
          <w:sz w:val="20"/>
          <w:szCs w:val="20"/>
        </w:rPr>
        <w:t>guideline</w:t>
      </w:r>
      <w:r w:rsidR="008A3EDD" w:rsidRPr="00405FCD">
        <w:rPr>
          <w:rFonts w:ascii="Arial" w:hAnsi="Arial" w:cs="Arial"/>
          <w:sz w:val="20"/>
          <w:szCs w:val="20"/>
        </w:rPr>
        <w:t xml:space="preserve"> and control measures in place to ensure </w:t>
      </w:r>
      <w:r w:rsidR="00BD43C8">
        <w:rPr>
          <w:rFonts w:ascii="Arial" w:hAnsi="Arial" w:cs="Arial"/>
          <w:sz w:val="20"/>
          <w:szCs w:val="20"/>
        </w:rPr>
        <w:t xml:space="preserve">that </w:t>
      </w:r>
      <w:r w:rsidR="008A3EDD" w:rsidRPr="00405FCD">
        <w:rPr>
          <w:rFonts w:ascii="Arial" w:hAnsi="Arial" w:cs="Arial"/>
          <w:sz w:val="20"/>
          <w:szCs w:val="20"/>
        </w:rPr>
        <w:t xml:space="preserve">customers’ applications are processed in a timely and appropriate manner. </w:t>
      </w:r>
      <w:r>
        <w:rPr>
          <w:rFonts w:ascii="Arial" w:hAnsi="Arial" w:cs="Arial"/>
          <w:sz w:val="20"/>
          <w:szCs w:val="20"/>
        </w:rPr>
        <w:t>Bank</w:t>
      </w:r>
      <w:r w:rsidR="008A3EDD" w:rsidRPr="00405FCD">
        <w:rPr>
          <w:rFonts w:ascii="Arial" w:hAnsi="Arial" w:cs="Arial"/>
          <w:sz w:val="20"/>
          <w:szCs w:val="20"/>
        </w:rPr>
        <w:t xml:space="preserve">s should </w:t>
      </w:r>
      <w:r>
        <w:rPr>
          <w:rFonts w:ascii="Arial" w:hAnsi="Arial" w:cs="Arial"/>
          <w:sz w:val="20"/>
          <w:szCs w:val="20"/>
        </w:rPr>
        <w:t xml:space="preserve">notify </w:t>
      </w:r>
      <w:r w:rsidR="008A3EDD" w:rsidRPr="00405FCD">
        <w:rPr>
          <w:rFonts w:ascii="Arial" w:hAnsi="Arial" w:cs="Arial"/>
          <w:sz w:val="20"/>
          <w:szCs w:val="20"/>
        </w:rPr>
        <w:t xml:space="preserve">customers of the expected timeframe for processing </w:t>
      </w:r>
      <w:r>
        <w:rPr>
          <w:rFonts w:ascii="Arial" w:hAnsi="Arial" w:cs="Arial"/>
          <w:sz w:val="20"/>
          <w:szCs w:val="20"/>
        </w:rPr>
        <w:t>their application</w:t>
      </w:r>
      <w:r w:rsidR="001C55F7">
        <w:rPr>
          <w:rFonts w:ascii="Arial" w:hAnsi="Arial" w:cs="Arial"/>
          <w:sz w:val="20"/>
          <w:szCs w:val="20"/>
        </w:rPr>
        <w:t>s</w:t>
      </w:r>
      <w:r w:rsidR="008A3EDD" w:rsidRPr="00405FCD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update them</w:t>
      </w:r>
      <w:r w:rsidR="008A3EDD" w:rsidRPr="00405FCD">
        <w:rPr>
          <w:rFonts w:ascii="Arial" w:hAnsi="Arial" w:cs="Arial"/>
          <w:sz w:val="20"/>
          <w:szCs w:val="20"/>
        </w:rPr>
        <w:t xml:space="preserve"> if the expected timeframe cannot be met.</w:t>
      </w:r>
      <w:r w:rsidR="00A7784F">
        <w:rPr>
          <w:rStyle w:val="a8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 </w:t>
      </w:r>
      <w:r w:rsidR="001C55F7">
        <w:rPr>
          <w:rFonts w:ascii="Arial" w:hAnsi="Arial" w:cs="Arial"/>
          <w:sz w:val="20"/>
          <w:szCs w:val="20"/>
        </w:rPr>
        <w:t xml:space="preserve">Banks </w:t>
      </w:r>
      <w:r>
        <w:rPr>
          <w:rFonts w:ascii="Arial" w:hAnsi="Arial" w:cs="Arial"/>
          <w:sz w:val="20"/>
          <w:szCs w:val="20"/>
        </w:rPr>
        <w:t xml:space="preserve">should also ensure that a risk-based approach is adopted in customer account opening and that account-opening applications are not rejected outright solely </w:t>
      </w:r>
      <w:r w:rsidR="001C55F7">
        <w:rPr>
          <w:rFonts w:ascii="Arial" w:hAnsi="Arial" w:cs="Arial"/>
          <w:sz w:val="20"/>
          <w:szCs w:val="20"/>
        </w:rPr>
        <w:t>on the basis of an</w:t>
      </w:r>
      <w:r>
        <w:rPr>
          <w:rFonts w:ascii="Arial" w:hAnsi="Arial" w:cs="Arial"/>
          <w:sz w:val="20"/>
          <w:szCs w:val="20"/>
        </w:rPr>
        <w:t xml:space="preserve"> applicant</w:t>
      </w:r>
      <w:r w:rsidR="001C55F7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 industry sector. To facilitate consistent and effective implementation of this approach, frontline staff need to</w:t>
      </w:r>
      <w:r w:rsidR="001C55F7">
        <w:rPr>
          <w:rFonts w:ascii="Arial" w:hAnsi="Arial" w:cs="Arial"/>
          <w:sz w:val="20"/>
          <w:szCs w:val="20"/>
        </w:rPr>
        <w:t xml:space="preserve"> be given</w:t>
      </w:r>
      <w:r>
        <w:rPr>
          <w:rFonts w:ascii="Arial" w:hAnsi="Arial" w:cs="Arial"/>
          <w:sz w:val="20"/>
          <w:szCs w:val="20"/>
        </w:rPr>
        <w:t xml:space="preserve"> training and practical guidance.</w:t>
      </w:r>
      <w:r w:rsidR="008A3EDD" w:rsidRPr="00405FCD">
        <w:rPr>
          <w:rFonts w:ascii="Arial" w:hAnsi="Arial" w:cs="Arial"/>
          <w:sz w:val="20"/>
          <w:szCs w:val="20"/>
        </w:rPr>
        <w:t xml:space="preserve"> </w:t>
      </w:r>
    </w:p>
    <w:p w:rsidR="008A3EDD" w:rsidRPr="00405FCD" w:rsidRDefault="008A3EDD" w:rsidP="00405FCD">
      <w:pPr>
        <w:pStyle w:val="a3"/>
        <w:ind w:left="360"/>
        <w:jc w:val="both"/>
        <w:rPr>
          <w:rFonts w:ascii="Arial" w:hAnsi="Arial" w:cs="Arial"/>
          <w:sz w:val="20"/>
          <w:szCs w:val="20"/>
        </w:rPr>
      </w:pPr>
    </w:p>
    <w:p w:rsidR="008A3EDD" w:rsidRPr="00EF587C" w:rsidRDefault="00EB4746" w:rsidP="00C51FEF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EF587C">
        <w:rPr>
          <w:rFonts w:ascii="Arial" w:hAnsi="Arial" w:cs="Arial"/>
          <w:color w:val="FF0000"/>
          <w:sz w:val="20"/>
          <w:szCs w:val="20"/>
        </w:rPr>
        <w:t>Requesting Information from C</w:t>
      </w:r>
      <w:r w:rsidR="008A3EDD" w:rsidRPr="00EF587C">
        <w:rPr>
          <w:rFonts w:ascii="Arial" w:hAnsi="Arial" w:cs="Arial"/>
          <w:color w:val="FF0000"/>
          <w:sz w:val="20"/>
          <w:szCs w:val="20"/>
        </w:rPr>
        <w:t xml:space="preserve">ustomers </w:t>
      </w:r>
    </w:p>
    <w:p w:rsidR="008A3EDD" w:rsidRPr="00405FCD" w:rsidRDefault="008A3EDD" w:rsidP="00405FCD">
      <w:pPr>
        <w:pStyle w:val="a3"/>
        <w:ind w:left="360"/>
        <w:jc w:val="both"/>
        <w:rPr>
          <w:rFonts w:ascii="Arial" w:hAnsi="Arial" w:cs="Arial"/>
          <w:sz w:val="20"/>
          <w:szCs w:val="20"/>
        </w:rPr>
      </w:pPr>
    </w:p>
    <w:p w:rsidR="007665C5" w:rsidRPr="00405FCD" w:rsidRDefault="001C55F7" w:rsidP="00C51FEF">
      <w:pPr>
        <w:pStyle w:val="a3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Banks are expected to</w:t>
      </w:r>
      <w:r w:rsidR="008A3EDD" w:rsidRPr="00405FCD">
        <w:rPr>
          <w:rFonts w:ascii="Arial" w:hAnsi="Arial" w:cs="Arial"/>
          <w:sz w:val="20"/>
          <w:szCs w:val="20"/>
        </w:rPr>
        <w:t xml:space="preserve"> </w:t>
      </w:r>
      <w:r w:rsidR="00EB4746">
        <w:rPr>
          <w:rFonts w:ascii="Arial" w:hAnsi="Arial" w:cs="Arial"/>
          <w:sz w:val="20"/>
          <w:szCs w:val="20"/>
        </w:rPr>
        <w:t>explore</w:t>
      </w:r>
      <w:r w:rsidR="008A3EDD" w:rsidRPr="00405FCD">
        <w:rPr>
          <w:rFonts w:ascii="Arial" w:hAnsi="Arial" w:cs="Arial"/>
          <w:sz w:val="20"/>
          <w:szCs w:val="20"/>
        </w:rPr>
        <w:t xml:space="preserve"> pragmatic and flexible approaches </w:t>
      </w:r>
      <w:r w:rsidR="007665C5" w:rsidRPr="00405FCD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to </w:t>
      </w:r>
      <w:r w:rsidR="007665C5" w:rsidRPr="00405FCD">
        <w:rPr>
          <w:rFonts w:ascii="Arial" w:hAnsi="Arial" w:cs="Arial"/>
          <w:sz w:val="20"/>
          <w:szCs w:val="20"/>
        </w:rPr>
        <w:t xml:space="preserve">be reasonable </w:t>
      </w:r>
      <w:r>
        <w:rPr>
          <w:rFonts w:ascii="Arial" w:hAnsi="Arial" w:cs="Arial"/>
          <w:sz w:val="20"/>
          <w:szCs w:val="20"/>
        </w:rPr>
        <w:t>in request</w:t>
      </w:r>
      <w:r w:rsidR="008A3EDD" w:rsidRPr="00405FCD">
        <w:rPr>
          <w:rFonts w:ascii="Arial" w:hAnsi="Arial" w:cs="Arial"/>
          <w:sz w:val="20"/>
          <w:szCs w:val="20"/>
        </w:rPr>
        <w:t xml:space="preserve">ing </w:t>
      </w:r>
      <w:r w:rsidRPr="00405FCD">
        <w:rPr>
          <w:rFonts w:ascii="Arial" w:hAnsi="Arial" w:cs="Arial"/>
          <w:sz w:val="20"/>
          <w:szCs w:val="20"/>
        </w:rPr>
        <w:t>customer</w:t>
      </w:r>
      <w:r>
        <w:rPr>
          <w:rFonts w:ascii="Arial" w:hAnsi="Arial" w:cs="Arial"/>
          <w:sz w:val="20"/>
          <w:szCs w:val="20"/>
        </w:rPr>
        <w:t xml:space="preserve"> </w:t>
      </w:r>
      <w:r w:rsidR="008A3EDD" w:rsidRPr="00405FCD">
        <w:rPr>
          <w:rFonts w:ascii="Arial" w:hAnsi="Arial" w:cs="Arial"/>
          <w:sz w:val="20"/>
          <w:szCs w:val="20"/>
        </w:rPr>
        <w:t xml:space="preserve">information and </w:t>
      </w:r>
      <w:r>
        <w:rPr>
          <w:rFonts w:ascii="Arial" w:hAnsi="Arial" w:cs="Arial"/>
          <w:sz w:val="20"/>
          <w:szCs w:val="20"/>
        </w:rPr>
        <w:t>documents</w:t>
      </w:r>
      <w:r w:rsidR="007665C5" w:rsidRPr="00405FC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taking into account customer </w:t>
      </w:r>
      <w:r w:rsidR="00654513" w:rsidRPr="00405FCD">
        <w:rPr>
          <w:rFonts w:ascii="Arial" w:hAnsi="Arial" w:cs="Arial"/>
          <w:sz w:val="20"/>
          <w:szCs w:val="20"/>
        </w:rPr>
        <w:t xml:space="preserve">backgrounds and circumstances, </w:t>
      </w:r>
      <w:r>
        <w:rPr>
          <w:rFonts w:ascii="Arial" w:hAnsi="Arial" w:cs="Arial"/>
          <w:sz w:val="20"/>
          <w:szCs w:val="20"/>
        </w:rPr>
        <w:t xml:space="preserve">and </w:t>
      </w:r>
      <w:r w:rsidR="00654513" w:rsidRPr="00405FCD">
        <w:rPr>
          <w:rFonts w:ascii="Arial" w:hAnsi="Arial" w:cs="Arial"/>
          <w:sz w:val="20"/>
          <w:szCs w:val="20"/>
        </w:rPr>
        <w:t xml:space="preserve">their status as </w:t>
      </w:r>
      <w:r>
        <w:rPr>
          <w:rFonts w:ascii="Arial" w:hAnsi="Arial" w:cs="Arial"/>
          <w:sz w:val="20"/>
          <w:szCs w:val="20"/>
        </w:rPr>
        <w:t>entities</w:t>
      </w:r>
      <w:r w:rsidR="00654513" w:rsidRPr="00405FCD">
        <w:rPr>
          <w:rFonts w:ascii="Arial" w:hAnsi="Arial" w:cs="Arial"/>
          <w:sz w:val="20"/>
          <w:szCs w:val="20"/>
        </w:rPr>
        <w:t xml:space="preserve"> under the supervision of </w:t>
      </w:r>
      <w:r w:rsidR="00EB62F4">
        <w:rPr>
          <w:rFonts w:ascii="Arial" w:hAnsi="Arial" w:cs="Arial"/>
          <w:sz w:val="20"/>
          <w:szCs w:val="20"/>
        </w:rPr>
        <w:t xml:space="preserve">the </w:t>
      </w:r>
      <w:r w:rsidR="00654513" w:rsidRPr="00405FCD">
        <w:rPr>
          <w:rFonts w:ascii="Arial" w:hAnsi="Arial" w:cs="Arial"/>
          <w:sz w:val="20"/>
          <w:szCs w:val="20"/>
        </w:rPr>
        <w:t>SFC</w:t>
      </w:r>
      <w:r>
        <w:rPr>
          <w:rFonts w:ascii="Arial" w:hAnsi="Arial" w:cs="Arial"/>
          <w:sz w:val="20"/>
          <w:szCs w:val="20"/>
        </w:rPr>
        <w:t>.</w:t>
      </w:r>
      <w:r w:rsidR="00A7784F">
        <w:rPr>
          <w:rStyle w:val="a8"/>
          <w:rFonts w:ascii="Arial" w:hAnsi="Arial" w:cs="Arial"/>
          <w:sz w:val="20"/>
          <w:szCs w:val="20"/>
        </w:rPr>
        <w:footnoteReference w:id="4"/>
      </w:r>
      <w:r w:rsidR="006E3B0C">
        <w:rPr>
          <w:rFonts w:ascii="Arial" w:hAnsi="Arial" w:cs="Arial"/>
          <w:sz w:val="20"/>
          <w:szCs w:val="20"/>
        </w:rPr>
        <w:t xml:space="preserve"> </w:t>
      </w:r>
    </w:p>
    <w:p w:rsidR="00654513" w:rsidRPr="00405FCD" w:rsidRDefault="00654513" w:rsidP="00405FCD">
      <w:pPr>
        <w:pStyle w:val="a3"/>
        <w:ind w:left="360"/>
        <w:jc w:val="both"/>
        <w:rPr>
          <w:rFonts w:ascii="Arial" w:hAnsi="Arial" w:cs="Arial"/>
          <w:sz w:val="20"/>
          <w:szCs w:val="20"/>
        </w:rPr>
      </w:pPr>
    </w:p>
    <w:p w:rsidR="008A3EDD" w:rsidRPr="00EF587C" w:rsidRDefault="00EB4746" w:rsidP="00C51FEF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EF587C">
        <w:rPr>
          <w:rFonts w:ascii="Arial" w:hAnsi="Arial" w:cs="Arial"/>
          <w:color w:val="FF0000"/>
          <w:sz w:val="20"/>
          <w:szCs w:val="20"/>
        </w:rPr>
        <w:t xml:space="preserve">Individual </w:t>
      </w:r>
      <w:r w:rsidR="008A3EDD" w:rsidRPr="00EF587C">
        <w:rPr>
          <w:rFonts w:ascii="Arial" w:hAnsi="Arial" w:cs="Arial"/>
          <w:color w:val="FF0000"/>
          <w:sz w:val="20"/>
          <w:szCs w:val="20"/>
        </w:rPr>
        <w:t xml:space="preserve">Risk Assessment </w:t>
      </w:r>
    </w:p>
    <w:p w:rsidR="007665C5" w:rsidRPr="00405FCD" w:rsidRDefault="007665C5" w:rsidP="00405FCD">
      <w:pPr>
        <w:pStyle w:val="a3"/>
        <w:ind w:left="360"/>
        <w:jc w:val="both"/>
        <w:rPr>
          <w:rFonts w:ascii="Arial" w:hAnsi="Arial" w:cs="Arial"/>
          <w:sz w:val="20"/>
          <w:szCs w:val="20"/>
        </w:rPr>
      </w:pPr>
    </w:p>
    <w:p w:rsidR="006E3B0C" w:rsidRDefault="001C55F7" w:rsidP="00C51FEF">
      <w:pPr>
        <w:pStyle w:val="a3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Banks are told not to </w:t>
      </w:r>
      <w:r w:rsidR="007665C5" w:rsidRPr="00405FCD">
        <w:rPr>
          <w:rFonts w:ascii="Arial" w:hAnsi="Arial" w:cs="Arial"/>
          <w:sz w:val="20"/>
          <w:szCs w:val="20"/>
        </w:rPr>
        <w:t xml:space="preserve">reject an account opening application </w:t>
      </w:r>
      <w:r>
        <w:rPr>
          <w:rFonts w:ascii="Arial" w:hAnsi="Arial" w:cs="Arial"/>
          <w:sz w:val="20"/>
          <w:szCs w:val="20"/>
        </w:rPr>
        <w:t xml:space="preserve">outright on the basis of the applicant’s </w:t>
      </w:r>
      <w:r w:rsidR="007665C5" w:rsidRPr="00405FCD">
        <w:rPr>
          <w:rFonts w:ascii="Arial" w:hAnsi="Arial" w:cs="Arial"/>
          <w:sz w:val="20"/>
          <w:szCs w:val="20"/>
        </w:rPr>
        <w:t xml:space="preserve">industry sector. </w:t>
      </w:r>
      <w:r>
        <w:rPr>
          <w:rFonts w:ascii="Arial" w:hAnsi="Arial" w:cs="Arial"/>
          <w:sz w:val="20"/>
          <w:szCs w:val="20"/>
        </w:rPr>
        <w:t xml:space="preserve">Instead, they are encouraged to </w:t>
      </w:r>
      <w:r w:rsidR="007665C5" w:rsidRPr="00405FCD">
        <w:rPr>
          <w:rFonts w:ascii="Arial" w:hAnsi="Arial" w:cs="Arial"/>
          <w:sz w:val="20"/>
          <w:szCs w:val="20"/>
        </w:rPr>
        <w:t xml:space="preserve">adopt </w:t>
      </w:r>
      <w:r w:rsidR="00EB4746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risk-based approach </w:t>
      </w:r>
      <w:r w:rsidR="007665C5" w:rsidRPr="00405FCD">
        <w:rPr>
          <w:rFonts w:ascii="Arial" w:hAnsi="Arial" w:cs="Arial"/>
          <w:sz w:val="20"/>
          <w:szCs w:val="20"/>
        </w:rPr>
        <w:t xml:space="preserve">to assess the risks associated with </w:t>
      </w:r>
      <w:r>
        <w:rPr>
          <w:rFonts w:ascii="Arial" w:hAnsi="Arial" w:cs="Arial"/>
          <w:sz w:val="20"/>
          <w:szCs w:val="20"/>
        </w:rPr>
        <w:t xml:space="preserve">individual </w:t>
      </w:r>
      <w:r w:rsidR="007665C5" w:rsidRPr="00405FCD">
        <w:rPr>
          <w:rFonts w:ascii="Arial" w:hAnsi="Arial" w:cs="Arial"/>
          <w:sz w:val="20"/>
          <w:szCs w:val="20"/>
        </w:rPr>
        <w:t>customer</w:t>
      </w:r>
      <w:r>
        <w:rPr>
          <w:rFonts w:ascii="Arial" w:hAnsi="Arial" w:cs="Arial"/>
          <w:sz w:val="20"/>
          <w:szCs w:val="20"/>
        </w:rPr>
        <w:t>s</w:t>
      </w:r>
      <w:r w:rsidR="007665C5" w:rsidRPr="00405FCD">
        <w:rPr>
          <w:rFonts w:ascii="Arial" w:hAnsi="Arial" w:cs="Arial"/>
          <w:sz w:val="20"/>
          <w:szCs w:val="20"/>
        </w:rPr>
        <w:t xml:space="preserve"> and implement appropriate and effective measures proportional to the </w:t>
      </w:r>
      <w:r w:rsidRPr="00405FCD">
        <w:rPr>
          <w:rFonts w:ascii="Arial" w:hAnsi="Arial" w:cs="Arial"/>
          <w:sz w:val="20"/>
          <w:szCs w:val="20"/>
        </w:rPr>
        <w:t xml:space="preserve">risks </w:t>
      </w:r>
      <w:r w:rsidR="007665C5" w:rsidRPr="00405FCD">
        <w:rPr>
          <w:rFonts w:ascii="Arial" w:hAnsi="Arial" w:cs="Arial"/>
          <w:sz w:val="20"/>
          <w:szCs w:val="20"/>
        </w:rPr>
        <w:t>identified. Practical guidance and adequate training should also be provided to frontline staff</w:t>
      </w:r>
      <w:r>
        <w:rPr>
          <w:rFonts w:ascii="Arial" w:hAnsi="Arial" w:cs="Arial"/>
          <w:sz w:val="20"/>
          <w:szCs w:val="20"/>
        </w:rPr>
        <w:t>.</w:t>
      </w:r>
      <w:r w:rsidR="00A7784F">
        <w:rPr>
          <w:rStyle w:val="a8"/>
          <w:rFonts w:ascii="Arial" w:hAnsi="Arial" w:cs="Arial"/>
          <w:sz w:val="20"/>
          <w:szCs w:val="20"/>
        </w:rPr>
        <w:footnoteReference w:id="5"/>
      </w:r>
    </w:p>
    <w:p w:rsidR="00EF587C" w:rsidRPr="006E3B0C" w:rsidRDefault="00EF587C" w:rsidP="006E3B0C">
      <w:pPr>
        <w:pStyle w:val="a3"/>
        <w:ind w:left="360"/>
        <w:jc w:val="both"/>
        <w:rPr>
          <w:rFonts w:ascii="Arial" w:hAnsi="Arial" w:cs="Arial"/>
          <w:sz w:val="20"/>
          <w:szCs w:val="20"/>
        </w:rPr>
      </w:pPr>
    </w:p>
    <w:p w:rsidR="00C51FEF" w:rsidRDefault="00EF587C" w:rsidP="00C51FEF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EF587C">
        <w:rPr>
          <w:rFonts w:ascii="Arial" w:hAnsi="Arial" w:cs="Arial"/>
          <w:color w:val="FF0000"/>
          <w:sz w:val="20"/>
          <w:szCs w:val="20"/>
        </w:rPr>
        <w:t xml:space="preserve">CDD Measures </w:t>
      </w:r>
    </w:p>
    <w:p w:rsidR="00C51FEF" w:rsidRDefault="00C51FEF" w:rsidP="00C51FEF">
      <w:pPr>
        <w:pStyle w:val="a3"/>
        <w:ind w:left="426"/>
        <w:jc w:val="both"/>
        <w:rPr>
          <w:rFonts w:ascii="Arial" w:hAnsi="Arial" w:cs="Arial"/>
          <w:color w:val="FF0000"/>
          <w:sz w:val="20"/>
          <w:szCs w:val="20"/>
        </w:rPr>
      </w:pPr>
    </w:p>
    <w:p w:rsidR="00EB4746" w:rsidRPr="00C51FEF" w:rsidRDefault="007665C5" w:rsidP="00C51FEF">
      <w:pPr>
        <w:pStyle w:val="a3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 w:rsidRPr="00C51FEF">
        <w:rPr>
          <w:rFonts w:ascii="Arial" w:hAnsi="Arial" w:cs="Arial"/>
          <w:b/>
          <w:sz w:val="20"/>
          <w:szCs w:val="20"/>
        </w:rPr>
        <w:t>Additional CD</w:t>
      </w:r>
      <w:r w:rsidR="00EB4746" w:rsidRPr="00C51FEF">
        <w:rPr>
          <w:rFonts w:ascii="Arial" w:hAnsi="Arial" w:cs="Arial"/>
          <w:b/>
          <w:sz w:val="20"/>
          <w:szCs w:val="20"/>
        </w:rPr>
        <w:t>D M</w:t>
      </w:r>
      <w:r w:rsidRPr="00C51FEF">
        <w:rPr>
          <w:rFonts w:ascii="Arial" w:hAnsi="Arial" w:cs="Arial"/>
          <w:b/>
          <w:sz w:val="20"/>
          <w:szCs w:val="20"/>
        </w:rPr>
        <w:t xml:space="preserve">easures </w:t>
      </w:r>
    </w:p>
    <w:p w:rsidR="00C51FEF" w:rsidRDefault="00C51FEF" w:rsidP="00C51FEF">
      <w:pPr>
        <w:pStyle w:val="a3"/>
        <w:ind w:left="426"/>
        <w:jc w:val="both"/>
        <w:rPr>
          <w:rFonts w:ascii="Arial" w:hAnsi="Arial" w:cs="Arial"/>
          <w:sz w:val="20"/>
          <w:szCs w:val="20"/>
        </w:rPr>
      </w:pPr>
    </w:p>
    <w:p w:rsidR="00654513" w:rsidRPr="00405FCD" w:rsidRDefault="00654513" w:rsidP="00C51FEF">
      <w:pPr>
        <w:pStyle w:val="a3"/>
        <w:ind w:left="426"/>
        <w:jc w:val="both"/>
        <w:rPr>
          <w:rFonts w:ascii="Arial" w:hAnsi="Arial" w:cs="Arial"/>
          <w:sz w:val="20"/>
          <w:szCs w:val="20"/>
        </w:rPr>
      </w:pPr>
      <w:r w:rsidRPr="00405FCD">
        <w:rPr>
          <w:rFonts w:ascii="Arial" w:hAnsi="Arial" w:cs="Arial"/>
          <w:sz w:val="20"/>
          <w:szCs w:val="20"/>
        </w:rPr>
        <w:t xml:space="preserve">The additional </w:t>
      </w:r>
      <w:r w:rsidR="00EB4746">
        <w:rPr>
          <w:rFonts w:ascii="Arial" w:hAnsi="Arial" w:cs="Arial"/>
          <w:sz w:val="20"/>
          <w:szCs w:val="20"/>
        </w:rPr>
        <w:t>CDD</w:t>
      </w:r>
      <w:r w:rsidRPr="00405FCD">
        <w:rPr>
          <w:rFonts w:ascii="Arial" w:hAnsi="Arial" w:cs="Arial"/>
          <w:sz w:val="20"/>
          <w:szCs w:val="20"/>
        </w:rPr>
        <w:t xml:space="preserve"> measures for </w:t>
      </w:r>
      <w:r w:rsidR="00EB4746">
        <w:rPr>
          <w:rFonts w:ascii="Arial" w:hAnsi="Arial" w:cs="Arial"/>
          <w:sz w:val="20"/>
          <w:szCs w:val="20"/>
        </w:rPr>
        <w:t>VASPs</w:t>
      </w:r>
      <w:r w:rsidRPr="00405FCD">
        <w:rPr>
          <w:rFonts w:ascii="Arial" w:hAnsi="Arial" w:cs="Arial"/>
          <w:sz w:val="20"/>
          <w:szCs w:val="20"/>
        </w:rPr>
        <w:t xml:space="preserve"> set out in </w:t>
      </w:r>
      <w:r w:rsidR="00EB62F4">
        <w:rPr>
          <w:rFonts w:ascii="Arial" w:hAnsi="Arial" w:cs="Arial"/>
          <w:sz w:val="20"/>
          <w:szCs w:val="20"/>
        </w:rPr>
        <w:t xml:space="preserve">the </w:t>
      </w:r>
      <w:r w:rsidR="00C51FEF">
        <w:rPr>
          <w:rFonts w:ascii="Arial" w:hAnsi="Arial" w:cs="Arial"/>
          <w:sz w:val="20"/>
          <w:szCs w:val="20"/>
        </w:rPr>
        <w:t>HKMA C</w:t>
      </w:r>
      <w:r w:rsidRPr="00405FCD">
        <w:rPr>
          <w:rFonts w:ascii="Arial" w:hAnsi="Arial" w:cs="Arial"/>
          <w:sz w:val="20"/>
          <w:szCs w:val="20"/>
        </w:rPr>
        <w:t>ircular</w:t>
      </w:r>
      <w:r w:rsidR="00EB4746">
        <w:rPr>
          <w:rFonts w:ascii="Arial" w:hAnsi="Arial" w:cs="Arial"/>
          <w:sz w:val="20"/>
          <w:szCs w:val="20"/>
        </w:rPr>
        <w:t xml:space="preserve"> “</w:t>
      </w:r>
      <w:hyperlink r:id="rId16" w:history="1">
        <w:r w:rsidR="00EB4746" w:rsidRPr="00EB4746">
          <w:rPr>
            <w:rStyle w:val="a4"/>
            <w:rFonts w:ascii="Arial" w:hAnsi="Arial" w:cs="Arial"/>
            <w:sz w:val="20"/>
            <w:szCs w:val="20"/>
          </w:rPr>
          <w:t>Regulatory Approaches to Authorized Institutions’ Interface with Virtual Assets and Virtual Asset Service Providers</w:t>
        </w:r>
      </w:hyperlink>
      <w:r w:rsidR="00EB4746">
        <w:rPr>
          <w:rFonts w:ascii="Arial" w:hAnsi="Arial" w:cs="Arial"/>
          <w:sz w:val="20"/>
          <w:szCs w:val="20"/>
        </w:rPr>
        <w:t xml:space="preserve">” </w:t>
      </w:r>
      <w:r w:rsidR="00C51FEF">
        <w:rPr>
          <w:rFonts w:ascii="Arial" w:hAnsi="Arial" w:cs="Arial"/>
          <w:sz w:val="20"/>
          <w:szCs w:val="20"/>
        </w:rPr>
        <w:t xml:space="preserve">of </w:t>
      </w:r>
      <w:r w:rsidR="00EB4746">
        <w:rPr>
          <w:rFonts w:ascii="Arial" w:hAnsi="Arial" w:cs="Arial"/>
          <w:sz w:val="20"/>
          <w:szCs w:val="20"/>
        </w:rPr>
        <w:t>28 January 2022</w:t>
      </w:r>
      <w:r w:rsidRPr="00405FCD">
        <w:rPr>
          <w:rFonts w:ascii="Arial" w:hAnsi="Arial" w:cs="Arial"/>
          <w:sz w:val="20"/>
          <w:szCs w:val="20"/>
        </w:rPr>
        <w:t xml:space="preserve">, apply </w:t>
      </w:r>
      <w:r w:rsidR="001C55F7" w:rsidRPr="00405FCD">
        <w:rPr>
          <w:rFonts w:ascii="Arial" w:hAnsi="Arial" w:cs="Arial"/>
          <w:sz w:val="20"/>
          <w:szCs w:val="20"/>
        </w:rPr>
        <w:t xml:space="preserve">only </w:t>
      </w:r>
      <w:r w:rsidRPr="00405FCD">
        <w:rPr>
          <w:rFonts w:ascii="Arial" w:hAnsi="Arial" w:cs="Arial"/>
          <w:sz w:val="20"/>
          <w:szCs w:val="20"/>
        </w:rPr>
        <w:t xml:space="preserve">when </w:t>
      </w:r>
      <w:r w:rsidR="00C51FEF">
        <w:rPr>
          <w:rFonts w:ascii="Arial" w:hAnsi="Arial" w:cs="Arial"/>
          <w:sz w:val="20"/>
          <w:szCs w:val="20"/>
        </w:rPr>
        <w:t xml:space="preserve">banks </w:t>
      </w:r>
      <w:r w:rsidR="00EB4746">
        <w:rPr>
          <w:rFonts w:ascii="Arial" w:hAnsi="Arial" w:cs="Arial"/>
          <w:sz w:val="20"/>
          <w:szCs w:val="20"/>
        </w:rPr>
        <w:t xml:space="preserve">offer </w:t>
      </w:r>
      <w:r w:rsidRPr="00405FCD">
        <w:rPr>
          <w:rFonts w:ascii="Arial" w:hAnsi="Arial" w:cs="Arial"/>
          <w:sz w:val="20"/>
          <w:szCs w:val="20"/>
        </w:rPr>
        <w:t>correspondent services</w:t>
      </w:r>
      <w:r w:rsidR="00EB4746">
        <w:rPr>
          <w:rFonts w:ascii="Arial" w:hAnsi="Arial" w:cs="Arial"/>
          <w:sz w:val="20"/>
          <w:szCs w:val="20"/>
        </w:rPr>
        <w:t xml:space="preserve"> (</w:t>
      </w:r>
      <w:r w:rsidR="00EB4746" w:rsidRPr="00EB4746">
        <w:rPr>
          <w:rFonts w:ascii="Arial" w:hAnsi="Arial" w:cs="Arial"/>
          <w:sz w:val="20"/>
          <w:szCs w:val="20"/>
        </w:rPr>
        <w:t>e.g. an account to settle clients’ transactions)</w:t>
      </w:r>
      <w:r w:rsidRPr="00405FCD">
        <w:rPr>
          <w:rFonts w:ascii="Arial" w:hAnsi="Arial" w:cs="Arial"/>
          <w:sz w:val="20"/>
          <w:szCs w:val="20"/>
        </w:rPr>
        <w:t xml:space="preserve"> to overseas VASPs. In other words, the additional CDD measures</w:t>
      </w:r>
      <w:r w:rsidR="00EB62F4">
        <w:rPr>
          <w:rFonts w:ascii="Arial" w:hAnsi="Arial" w:cs="Arial"/>
          <w:sz w:val="20"/>
          <w:szCs w:val="20"/>
        </w:rPr>
        <w:t xml:space="preserve"> are </w:t>
      </w:r>
      <w:r w:rsidR="00EB62F4" w:rsidRPr="001C55F7">
        <w:rPr>
          <w:rFonts w:ascii="Arial" w:hAnsi="Arial" w:cs="Arial"/>
          <w:i/>
          <w:sz w:val="20"/>
          <w:szCs w:val="20"/>
        </w:rPr>
        <w:t>not</w:t>
      </w:r>
      <w:r w:rsidR="00EB62F4">
        <w:rPr>
          <w:rFonts w:ascii="Arial" w:hAnsi="Arial" w:cs="Arial"/>
          <w:sz w:val="20"/>
          <w:szCs w:val="20"/>
        </w:rPr>
        <w:t xml:space="preserve"> required for </w:t>
      </w:r>
      <w:r w:rsidRPr="00405FCD">
        <w:rPr>
          <w:rFonts w:ascii="Arial" w:hAnsi="Arial" w:cs="Arial"/>
          <w:sz w:val="20"/>
          <w:szCs w:val="20"/>
        </w:rPr>
        <w:t>SFC-licensed VASP</w:t>
      </w:r>
      <w:r w:rsidR="00EB62F4">
        <w:rPr>
          <w:rFonts w:ascii="Arial" w:hAnsi="Arial" w:cs="Arial"/>
          <w:sz w:val="20"/>
          <w:szCs w:val="20"/>
        </w:rPr>
        <w:t>s</w:t>
      </w:r>
      <w:r w:rsidRPr="00405FCD">
        <w:rPr>
          <w:rFonts w:ascii="Arial" w:hAnsi="Arial" w:cs="Arial"/>
          <w:sz w:val="20"/>
          <w:szCs w:val="20"/>
        </w:rPr>
        <w:t xml:space="preserve">. </w:t>
      </w:r>
      <w:r w:rsidR="00C51FEF">
        <w:rPr>
          <w:rFonts w:ascii="Arial" w:hAnsi="Arial" w:cs="Arial"/>
          <w:sz w:val="20"/>
          <w:szCs w:val="20"/>
        </w:rPr>
        <w:t xml:space="preserve">Banks need to provide </w:t>
      </w:r>
      <w:r w:rsidRPr="00405FCD">
        <w:rPr>
          <w:rFonts w:ascii="Arial" w:hAnsi="Arial" w:cs="Arial"/>
          <w:sz w:val="20"/>
          <w:szCs w:val="20"/>
        </w:rPr>
        <w:t xml:space="preserve">practical guidance and training to </w:t>
      </w:r>
      <w:r w:rsidR="00C51FEF">
        <w:rPr>
          <w:rFonts w:ascii="Arial" w:hAnsi="Arial" w:cs="Arial"/>
          <w:sz w:val="20"/>
          <w:szCs w:val="20"/>
        </w:rPr>
        <w:t xml:space="preserve">their </w:t>
      </w:r>
      <w:r w:rsidRPr="00405FCD">
        <w:rPr>
          <w:rFonts w:ascii="Arial" w:hAnsi="Arial" w:cs="Arial"/>
          <w:sz w:val="20"/>
          <w:szCs w:val="20"/>
        </w:rPr>
        <w:t>frontline staff</w:t>
      </w:r>
      <w:r w:rsidR="00C51FEF">
        <w:rPr>
          <w:rFonts w:ascii="Arial" w:hAnsi="Arial" w:cs="Arial"/>
          <w:sz w:val="20"/>
          <w:szCs w:val="20"/>
        </w:rPr>
        <w:t xml:space="preserve"> to ensure they understand the requirements applicable in different</w:t>
      </w:r>
      <w:r w:rsidR="001C55F7">
        <w:rPr>
          <w:rFonts w:ascii="Arial" w:hAnsi="Arial" w:cs="Arial"/>
          <w:sz w:val="20"/>
          <w:szCs w:val="20"/>
        </w:rPr>
        <w:t xml:space="preserve"> situations</w:t>
      </w:r>
      <w:r w:rsidR="00C51FEF">
        <w:rPr>
          <w:rFonts w:ascii="Arial" w:hAnsi="Arial" w:cs="Arial"/>
          <w:sz w:val="20"/>
          <w:szCs w:val="20"/>
        </w:rPr>
        <w:t>.</w:t>
      </w:r>
      <w:r w:rsidR="00A7784F">
        <w:rPr>
          <w:rStyle w:val="a8"/>
          <w:rFonts w:ascii="Arial" w:hAnsi="Arial" w:cs="Arial"/>
          <w:sz w:val="20"/>
          <w:szCs w:val="20"/>
        </w:rPr>
        <w:footnoteReference w:id="6"/>
      </w:r>
    </w:p>
    <w:p w:rsidR="00654513" w:rsidRPr="00405FCD" w:rsidRDefault="00654513" w:rsidP="00405FCD">
      <w:pPr>
        <w:pStyle w:val="a3"/>
        <w:ind w:left="360"/>
        <w:jc w:val="both"/>
        <w:rPr>
          <w:rFonts w:ascii="Arial" w:hAnsi="Arial" w:cs="Arial"/>
          <w:sz w:val="20"/>
          <w:szCs w:val="20"/>
        </w:rPr>
      </w:pPr>
    </w:p>
    <w:p w:rsidR="007665C5" w:rsidRPr="00C51FEF" w:rsidRDefault="00DD44E3" w:rsidP="00C51FEF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C51FEF">
        <w:rPr>
          <w:rFonts w:ascii="Arial" w:hAnsi="Arial" w:cs="Arial"/>
          <w:b/>
          <w:sz w:val="20"/>
          <w:szCs w:val="20"/>
        </w:rPr>
        <w:t>L</w:t>
      </w:r>
      <w:r w:rsidR="00EB62F4" w:rsidRPr="00C51FEF">
        <w:rPr>
          <w:rFonts w:ascii="Arial" w:hAnsi="Arial" w:cs="Arial"/>
          <w:b/>
          <w:sz w:val="20"/>
          <w:szCs w:val="20"/>
        </w:rPr>
        <w:t>ess Extensive CDD M</w:t>
      </w:r>
      <w:r w:rsidR="00654513" w:rsidRPr="00C51FEF">
        <w:rPr>
          <w:rFonts w:ascii="Arial" w:hAnsi="Arial" w:cs="Arial"/>
          <w:b/>
          <w:sz w:val="20"/>
          <w:szCs w:val="20"/>
        </w:rPr>
        <w:t xml:space="preserve">easures </w:t>
      </w:r>
      <w:r w:rsidR="00EB62F4" w:rsidRPr="00C51FEF">
        <w:rPr>
          <w:rFonts w:ascii="Arial" w:hAnsi="Arial" w:cs="Arial"/>
          <w:b/>
          <w:sz w:val="20"/>
          <w:szCs w:val="20"/>
        </w:rPr>
        <w:t>for a Narrower Set of Banking S</w:t>
      </w:r>
      <w:r w:rsidR="00654513" w:rsidRPr="00C51FEF">
        <w:rPr>
          <w:rFonts w:ascii="Arial" w:hAnsi="Arial" w:cs="Arial"/>
          <w:b/>
          <w:sz w:val="20"/>
          <w:szCs w:val="20"/>
        </w:rPr>
        <w:t>ervices</w:t>
      </w:r>
    </w:p>
    <w:p w:rsidR="006E3B0C" w:rsidRDefault="00966B67" w:rsidP="006E3B0C">
      <w:pPr>
        <w:pStyle w:val="a3"/>
        <w:ind w:left="360"/>
        <w:jc w:val="both"/>
        <w:rPr>
          <w:rFonts w:ascii="Arial" w:hAnsi="Arial" w:cs="Arial"/>
          <w:sz w:val="20"/>
          <w:szCs w:val="20"/>
        </w:rPr>
      </w:pPr>
      <w:r w:rsidRPr="00405FCD">
        <w:rPr>
          <w:rFonts w:ascii="Arial" w:hAnsi="Arial" w:cs="Arial"/>
          <w:sz w:val="20"/>
          <w:szCs w:val="20"/>
        </w:rPr>
        <w:t>CDD measures should be proportionate to the risk level of customer</w:t>
      </w:r>
      <w:r w:rsidR="006E3B0C">
        <w:rPr>
          <w:rFonts w:ascii="Arial" w:hAnsi="Arial" w:cs="Arial"/>
          <w:sz w:val="20"/>
          <w:szCs w:val="20"/>
        </w:rPr>
        <w:t>s</w:t>
      </w:r>
      <w:r w:rsidRPr="00405FCD">
        <w:rPr>
          <w:rFonts w:ascii="Arial" w:hAnsi="Arial" w:cs="Arial"/>
          <w:sz w:val="20"/>
          <w:szCs w:val="20"/>
        </w:rPr>
        <w:t xml:space="preserve"> and the functionalities of the services provided. </w:t>
      </w:r>
      <w:r w:rsidR="00DD44E3" w:rsidRPr="00405FCD">
        <w:rPr>
          <w:rFonts w:ascii="Arial" w:hAnsi="Arial" w:cs="Arial"/>
          <w:sz w:val="20"/>
          <w:szCs w:val="20"/>
        </w:rPr>
        <w:t xml:space="preserve">For instance, if a technology firm only opens an account for its own corporate use </w:t>
      </w:r>
      <w:r w:rsidR="00C16C31">
        <w:rPr>
          <w:rFonts w:ascii="Arial" w:hAnsi="Arial" w:cs="Arial"/>
          <w:sz w:val="20"/>
          <w:szCs w:val="20"/>
        </w:rPr>
        <w:t>(</w:t>
      </w:r>
      <w:proofErr w:type="gramStart"/>
      <w:r w:rsidR="00C16C31">
        <w:rPr>
          <w:rFonts w:ascii="Arial" w:hAnsi="Arial" w:cs="Arial"/>
          <w:sz w:val="20"/>
          <w:szCs w:val="20"/>
        </w:rPr>
        <w:t>e.g.</w:t>
      </w:r>
      <w:proofErr w:type="gramEnd"/>
      <w:r w:rsidR="00C16C31">
        <w:rPr>
          <w:rFonts w:ascii="Arial" w:hAnsi="Arial" w:cs="Arial"/>
          <w:sz w:val="20"/>
          <w:szCs w:val="20"/>
        </w:rPr>
        <w:t xml:space="preserve"> for payment of salaries and rent) </w:t>
      </w:r>
      <w:r w:rsidR="00DD44E3" w:rsidRPr="00405FCD">
        <w:rPr>
          <w:rFonts w:ascii="Arial" w:hAnsi="Arial" w:cs="Arial"/>
          <w:sz w:val="20"/>
          <w:szCs w:val="20"/>
        </w:rPr>
        <w:t xml:space="preserve">and </w:t>
      </w:r>
      <w:r w:rsidR="00C16C31">
        <w:rPr>
          <w:rFonts w:ascii="Arial" w:hAnsi="Arial" w:cs="Arial"/>
          <w:sz w:val="20"/>
          <w:szCs w:val="20"/>
        </w:rPr>
        <w:t xml:space="preserve">does not </w:t>
      </w:r>
      <w:r w:rsidR="00DD44E3" w:rsidRPr="00405FCD">
        <w:rPr>
          <w:rFonts w:ascii="Arial" w:hAnsi="Arial" w:cs="Arial"/>
          <w:sz w:val="20"/>
          <w:szCs w:val="20"/>
        </w:rPr>
        <w:t xml:space="preserve">yet </w:t>
      </w:r>
      <w:r w:rsidR="00C16C31">
        <w:rPr>
          <w:rFonts w:ascii="Arial" w:hAnsi="Arial" w:cs="Arial"/>
          <w:sz w:val="20"/>
          <w:szCs w:val="20"/>
        </w:rPr>
        <w:t xml:space="preserve">provide </w:t>
      </w:r>
      <w:r w:rsidR="00DD44E3" w:rsidRPr="00405FCD">
        <w:rPr>
          <w:rFonts w:ascii="Arial" w:hAnsi="Arial" w:cs="Arial"/>
          <w:sz w:val="20"/>
          <w:szCs w:val="20"/>
        </w:rPr>
        <w:t>any regulated activities</w:t>
      </w:r>
      <w:r w:rsidR="00C16C31">
        <w:rPr>
          <w:rFonts w:ascii="Arial" w:hAnsi="Arial" w:cs="Arial"/>
          <w:sz w:val="20"/>
          <w:szCs w:val="20"/>
        </w:rPr>
        <w:t xml:space="preserve"> in Hong Kong</w:t>
      </w:r>
      <w:r w:rsidR="00DD44E3" w:rsidRPr="00405FCD">
        <w:rPr>
          <w:rFonts w:ascii="Arial" w:hAnsi="Arial" w:cs="Arial"/>
          <w:sz w:val="20"/>
          <w:szCs w:val="20"/>
        </w:rPr>
        <w:t xml:space="preserve">, </w:t>
      </w:r>
      <w:r w:rsidR="001C55F7">
        <w:rPr>
          <w:rFonts w:ascii="Arial" w:hAnsi="Arial" w:cs="Arial"/>
          <w:sz w:val="20"/>
          <w:szCs w:val="20"/>
        </w:rPr>
        <w:t>banks can consider providing a</w:t>
      </w:r>
      <w:r w:rsidR="00DD44E3" w:rsidRPr="00405FCD">
        <w:rPr>
          <w:rFonts w:ascii="Arial" w:hAnsi="Arial" w:cs="Arial"/>
          <w:sz w:val="20"/>
          <w:szCs w:val="20"/>
        </w:rPr>
        <w:t xml:space="preserve"> Simple Bank Account arrangement. </w:t>
      </w:r>
      <w:r w:rsidR="006E3B0C">
        <w:rPr>
          <w:rFonts w:ascii="Arial" w:hAnsi="Arial" w:cs="Arial"/>
          <w:sz w:val="20"/>
          <w:szCs w:val="20"/>
        </w:rPr>
        <w:t xml:space="preserve">In </w:t>
      </w:r>
      <w:r w:rsidR="00C16C31">
        <w:rPr>
          <w:rFonts w:ascii="Arial" w:hAnsi="Arial" w:cs="Arial"/>
          <w:sz w:val="20"/>
          <w:szCs w:val="20"/>
        </w:rPr>
        <w:t xml:space="preserve">determining whether to open an account for a VASP, banks can </w:t>
      </w:r>
      <w:r w:rsidR="00DD44E3" w:rsidRPr="00405FCD">
        <w:rPr>
          <w:rFonts w:ascii="Arial" w:hAnsi="Arial" w:cs="Arial"/>
          <w:sz w:val="20"/>
          <w:szCs w:val="20"/>
        </w:rPr>
        <w:t xml:space="preserve">consider </w:t>
      </w:r>
      <w:r w:rsidR="00C16C31">
        <w:rPr>
          <w:rFonts w:ascii="Arial" w:hAnsi="Arial" w:cs="Arial"/>
          <w:sz w:val="20"/>
          <w:szCs w:val="20"/>
        </w:rPr>
        <w:t xml:space="preserve">opening an account once a VASP applicant has received the SFC’s </w:t>
      </w:r>
      <w:r w:rsidR="00DD44E3" w:rsidRPr="00405FCD">
        <w:rPr>
          <w:rFonts w:ascii="Arial" w:hAnsi="Arial" w:cs="Arial"/>
          <w:sz w:val="20"/>
          <w:szCs w:val="20"/>
        </w:rPr>
        <w:t xml:space="preserve">"approval-in-principle" </w:t>
      </w:r>
      <w:r w:rsidR="00C16C31">
        <w:rPr>
          <w:rFonts w:ascii="Arial" w:hAnsi="Arial" w:cs="Arial"/>
          <w:sz w:val="20"/>
          <w:szCs w:val="20"/>
        </w:rPr>
        <w:t xml:space="preserve">of its </w:t>
      </w:r>
      <w:proofErr w:type="spellStart"/>
      <w:r w:rsidR="00C16C31">
        <w:rPr>
          <w:rFonts w:ascii="Arial" w:hAnsi="Arial" w:cs="Arial"/>
          <w:sz w:val="20"/>
          <w:szCs w:val="20"/>
        </w:rPr>
        <w:t>licence</w:t>
      </w:r>
      <w:proofErr w:type="spellEnd"/>
      <w:r w:rsidR="00C16C31">
        <w:rPr>
          <w:rFonts w:ascii="Arial" w:hAnsi="Arial" w:cs="Arial"/>
          <w:sz w:val="20"/>
          <w:szCs w:val="20"/>
        </w:rPr>
        <w:t xml:space="preserve"> application, rather than insist on waiting until the </w:t>
      </w:r>
      <w:r w:rsidR="001C55F7">
        <w:rPr>
          <w:rFonts w:ascii="Arial" w:hAnsi="Arial" w:cs="Arial"/>
          <w:sz w:val="20"/>
          <w:szCs w:val="20"/>
        </w:rPr>
        <w:t xml:space="preserve">actual </w:t>
      </w:r>
      <w:r w:rsidR="00C16C31">
        <w:rPr>
          <w:rFonts w:ascii="Arial" w:hAnsi="Arial" w:cs="Arial"/>
          <w:sz w:val="20"/>
          <w:szCs w:val="20"/>
        </w:rPr>
        <w:t xml:space="preserve">grant of the </w:t>
      </w:r>
      <w:proofErr w:type="spellStart"/>
      <w:r w:rsidR="00C16C31">
        <w:rPr>
          <w:rFonts w:ascii="Arial" w:hAnsi="Arial" w:cs="Arial"/>
          <w:sz w:val="20"/>
          <w:szCs w:val="20"/>
        </w:rPr>
        <w:t>licence</w:t>
      </w:r>
      <w:proofErr w:type="spellEnd"/>
      <w:r w:rsidR="00C16C31">
        <w:rPr>
          <w:rFonts w:ascii="Arial" w:hAnsi="Arial" w:cs="Arial"/>
          <w:sz w:val="20"/>
          <w:szCs w:val="20"/>
        </w:rPr>
        <w:t>.</w:t>
      </w:r>
      <w:r w:rsidR="00A7784F">
        <w:rPr>
          <w:rStyle w:val="a8"/>
          <w:rFonts w:ascii="Arial" w:hAnsi="Arial" w:cs="Arial"/>
          <w:sz w:val="20"/>
          <w:szCs w:val="20"/>
        </w:rPr>
        <w:footnoteReference w:id="7"/>
      </w:r>
    </w:p>
    <w:p w:rsidR="00DC34F2" w:rsidRDefault="00DC34F2" w:rsidP="006E3B0C">
      <w:pPr>
        <w:pStyle w:val="a3"/>
        <w:ind w:left="360"/>
        <w:jc w:val="both"/>
        <w:rPr>
          <w:rFonts w:ascii="Arial" w:hAnsi="Arial" w:cs="Arial"/>
          <w:sz w:val="20"/>
          <w:szCs w:val="20"/>
        </w:rPr>
      </w:pPr>
    </w:p>
    <w:p w:rsidR="00DC34F2" w:rsidRPr="00DC34F2" w:rsidRDefault="00DC34F2" w:rsidP="006E3B0C">
      <w:pPr>
        <w:pStyle w:val="a3"/>
        <w:ind w:left="360"/>
        <w:jc w:val="both"/>
        <w:rPr>
          <w:rFonts w:ascii="Arial" w:hAnsi="Arial" w:cs="Arial"/>
          <w:b/>
          <w:sz w:val="20"/>
          <w:szCs w:val="20"/>
        </w:rPr>
      </w:pPr>
      <w:r w:rsidRPr="00DC34F2">
        <w:rPr>
          <w:rFonts w:ascii="Arial" w:hAnsi="Arial" w:cs="Arial"/>
          <w:b/>
          <w:sz w:val="20"/>
          <w:szCs w:val="20"/>
        </w:rPr>
        <w:t>Persons Connected with Grey-list Jurisdictions</w:t>
      </w:r>
    </w:p>
    <w:p w:rsidR="00DC34F2" w:rsidRDefault="00DC34F2" w:rsidP="006E3B0C">
      <w:pPr>
        <w:pStyle w:val="a3"/>
        <w:ind w:left="360"/>
        <w:jc w:val="both"/>
        <w:rPr>
          <w:rFonts w:ascii="Arial" w:hAnsi="Arial" w:cs="Arial"/>
          <w:sz w:val="20"/>
          <w:szCs w:val="20"/>
        </w:rPr>
      </w:pPr>
    </w:p>
    <w:p w:rsidR="006E3B0C" w:rsidRDefault="001C55F7" w:rsidP="006E3B0C">
      <w:pPr>
        <w:pStyle w:val="a3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Circular notes </w:t>
      </w:r>
      <w:r w:rsidR="00DC34F2">
        <w:rPr>
          <w:rFonts w:ascii="Arial" w:hAnsi="Arial" w:cs="Arial"/>
          <w:sz w:val="20"/>
          <w:szCs w:val="20"/>
        </w:rPr>
        <w:t>that FATF’s grey list (i.e. count</w:t>
      </w:r>
      <w:r w:rsidR="001701B8">
        <w:rPr>
          <w:rFonts w:ascii="Arial" w:hAnsi="Arial" w:cs="Arial"/>
          <w:sz w:val="20"/>
          <w:szCs w:val="20"/>
        </w:rPr>
        <w:t>r</w:t>
      </w:r>
      <w:r w:rsidR="00DC34F2">
        <w:rPr>
          <w:rFonts w:ascii="Arial" w:hAnsi="Arial" w:cs="Arial"/>
          <w:sz w:val="20"/>
          <w:szCs w:val="20"/>
        </w:rPr>
        <w:t>ies identified as “</w:t>
      </w:r>
      <w:hyperlink r:id="rId17" w:history="1">
        <w:r w:rsidR="00DC34F2" w:rsidRPr="00DC34F2">
          <w:rPr>
            <w:rStyle w:val="a4"/>
            <w:rFonts w:ascii="Arial" w:hAnsi="Arial" w:cs="Arial"/>
            <w:sz w:val="20"/>
            <w:szCs w:val="20"/>
          </w:rPr>
          <w:t>Jurisdictions under Increased Monitoring</w:t>
        </w:r>
      </w:hyperlink>
      <w:r w:rsidR="00DC34F2">
        <w:rPr>
          <w:rFonts w:ascii="Arial" w:hAnsi="Arial" w:cs="Arial"/>
          <w:sz w:val="20"/>
          <w:szCs w:val="20"/>
        </w:rPr>
        <w:t>”) does not call for entire classes of customers to be cut off from banking services</w:t>
      </w:r>
      <w:r>
        <w:rPr>
          <w:rFonts w:ascii="Arial" w:hAnsi="Arial" w:cs="Arial"/>
          <w:sz w:val="20"/>
          <w:szCs w:val="20"/>
        </w:rPr>
        <w:t xml:space="preserve">, or for enhanced due diligence to be applied consistently, </w:t>
      </w:r>
      <w:r w:rsidR="00DC34F2">
        <w:rPr>
          <w:rFonts w:ascii="Arial" w:hAnsi="Arial" w:cs="Arial"/>
          <w:sz w:val="20"/>
          <w:szCs w:val="20"/>
        </w:rPr>
        <w:t xml:space="preserve">based </w:t>
      </w:r>
      <w:r>
        <w:rPr>
          <w:rFonts w:ascii="Arial" w:hAnsi="Arial" w:cs="Arial"/>
          <w:sz w:val="20"/>
          <w:szCs w:val="20"/>
        </w:rPr>
        <w:t>solely on customers’</w:t>
      </w:r>
      <w:r w:rsidR="00DC34F2">
        <w:rPr>
          <w:rFonts w:ascii="Arial" w:hAnsi="Arial" w:cs="Arial"/>
          <w:sz w:val="20"/>
          <w:szCs w:val="20"/>
        </w:rPr>
        <w:t xml:space="preserve"> connection with a grey list jurisdiction. B</w:t>
      </w:r>
      <w:r w:rsidR="002F56BD">
        <w:rPr>
          <w:rFonts w:ascii="Arial" w:hAnsi="Arial" w:cs="Arial"/>
          <w:sz w:val="20"/>
          <w:szCs w:val="20"/>
        </w:rPr>
        <w:t xml:space="preserve">anks </w:t>
      </w:r>
      <w:r w:rsidR="006E3B0C">
        <w:rPr>
          <w:rFonts w:ascii="Arial" w:hAnsi="Arial" w:cs="Arial"/>
          <w:sz w:val="20"/>
          <w:szCs w:val="20"/>
        </w:rPr>
        <w:t xml:space="preserve">should </w:t>
      </w:r>
      <w:r w:rsidR="00DC34F2">
        <w:rPr>
          <w:rFonts w:ascii="Arial" w:hAnsi="Arial" w:cs="Arial"/>
          <w:sz w:val="20"/>
          <w:szCs w:val="20"/>
        </w:rPr>
        <w:t xml:space="preserve">instead </w:t>
      </w:r>
      <w:r w:rsidR="006E3B0C">
        <w:rPr>
          <w:rFonts w:ascii="Arial" w:hAnsi="Arial" w:cs="Arial"/>
          <w:sz w:val="20"/>
          <w:szCs w:val="20"/>
        </w:rPr>
        <w:t>apply a</w:t>
      </w:r>
      <w:r w:rsidR="00DC34F2">
        <w:rPr>
          <w:rFonts w:ascii="Arial" w:hAnsi="Arial" w:cs="Arial"/>
          <w:sz w:val="20"/>
          <w:szCs w:val="20"/>
        </w:rPr>
        <w:t xml:space="preserve"> risk-based approach</w:t>
      </w:r>
      <w:r w:rsidR="006E3B0C">
        <w:rPr>
          <w:rFonts w:ascii="Arial" w:hAnsi="Arial" w:cs="Arial"/>
          <w:sz w:val="20"/>
          <w:szCs w:val="20"/>
        </w:rPr>
        <w:t xml:space="preserve">, </w:t>
      </w:r>
      <w:r w:rsidR="00DC34F2">
        <w:rPr>
          <w:rFonts w:ascii="Arial" w:hAnsi="Arial" w:cs="Arial"/>
          <w:sz w:val="20"/>
          <w:szCs w:val="20"/>
        </w:rPr>
        <w:t xml:space="preserve">taking into account a customer’s connection with a grey list jurisdiction in building the customer risk profile, </w:t>
      </w:r>
      <w:r w:rsidR="006E3B0C">
        <w:rPr>
          <w:rFonts w:ascii="Arial" w:hAnsi="Arial" w:cs="Arial"/>
          <w:sz w:val="20"/>
          <w:szCs w:val="20"/>
        </w:rPr>
        <w:t>and adopt CDD measure</w:t>
      </w:r>
      <w:r w:rsidR="00EB62F4">
        <w:rPr>
          <w:rFonts w:ascii="Arial" w:hAnsi="Arial" w:cs="Arial"/>
          <w:sz w:val="20"/>
          <w:szCs w:val="20"/>
        </w:rPr>
        <w:t>s</w:t>
      </w:r>
      <w:r w:rsidR="006E3B0C">
        <w:rPr>
          <w:rFonts w:ascii="Arial" w:hAnsi="Arial" w:cs="Arial"/>
          <w:sz w:val="20"/>
          <w:szCs w:val="20"/>
        </w:rPr>
        <w:t xml:space="preserve"> proportionate to </w:t>
      </w:r>
      <w:r w:rsidR="00DC34F2">
        <w:rPr>
          <w:rFonts w:ascii="Arial" w:hAnsi="Arial" w:cs="Arial"/>
          <w:sz w:val="20"/>
          <w:szCs w:val="20"/>
        </w:rPr>
        <w:t>the</w:t>
      </w:r>
      <w:r w:rsidR="00F86FC5">
        <w:rPr>
          <w:rFonts w:ascii="Arial" w:hAnsi="Arial" w:cs="Arial"/>
          <w:sz w:val="20"/>
          <w:szCs w:val="20"/>
        </w:rPr>
        <w:t xml:space="preserve"> particular</w:t>
      </w:r>
      <w:r w:rsidR="006E3B0C">
        <w:rPr>
          <w:rFonts w:ascii="Arial" w:hAnsi="Arial" w:cs="Arial"/>
          <w:sz w:val="20"/>
          <w:szCs w:val="20"/>
        </w:rPr>
        <w:t xml:space="preserve"> risks</w:t>
      </w:r>
      <w:r w:rsidR="00DC34F2">
        <w:rPr>
          <w:rFonts w:ascii="Arial" w:hAnsi="Arial" w:cs="Arial"/>
          <w:sz w:val="20"/>
          <w:szCs w:val="20"/>
        </w:rPr>
        <w:t>.</w:t>
      </w:r>
      <w:r w:rsidR="00A7784F">
        <w:rPr>
          <w:rStyle w:val="a8"/>
          <w:rFonts w:ascii="Arial" w:hAnsi="Arial" w:cs="Arial"/>
          <w:sz w:val="20"/>
          <w:szCs w:val="20"/>
        </w:rPr>
        <w:footnoteReference w:id="8"/>
      </w:r>
    </w:p>
    <w:p w:rsidR="0006489B" w:rsidRDefault="0006489B" w:rsidP="006E3B0C">
      <w:pPr>
        <w:pStyle w:val="a3"/>
        <w:ind w:left="360"/>
        <w:jc w:val="both"/>
        <w:rPr>
          <w:rFonts w:ascii="Arial" w:hAnsi="Arial" w:cs="Arial"/>
          <w:sz w:val="20"/>
          <w:szCs w:val="20"/>
        </w:rPr>
      </w:pPr>
    </w:p>
    <w:p w:rsidR="0006489B" w:rsidRPr="0006489B" w:rsidRDefault="0006489B" w:rsidP="0006489B">
      <w:pPr>
        <w:pStyle w:val="a3"/>
        <w:ind w:left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6489B">
        <w:rPr>
          <w:rFonts w:ascii="Arial" w:hAnsi="Arial" w:cs="Arial"/>
          <w:b/>
          <w:color w:val="FF0000"/>
          <w:sz w:val="20"/>
          <w:szCs w:val="20"/>
        </w:rPr>
        <w:t>Updated Guideline on Anti-Money Laundering and Counter-Financing of Terrorism (for Authorized Institutions)</w:t>
      </w:r>
    </w:p>
    <w:p w:rsidR="00757B53" w:rsidRDefault="0006489B" w:rsidP="000648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Since the publication of the April 2023 Circular, the HKMA has published an updated version of its </w:t>
      </w:r>
      <w:hyperlink r:id="rId18" w:history="1">
        <w:r w:rsidRPr="0006489B">
          <w:rPr>
            <w:rStyle w:val="a4"/>
            <w:rFonts w:ascii="Arial" w:hAnsi="Arial" w:cs="Arial"/>
            <w:sz w:val="20"/>
            <w:szCs w:val="20"/>
          </w:rPr>
          <w:t>Guideline on Anti-Money Laundering and Counter-Financing of Terrorism (for Authorized Institutions)</w:t>
        </w:r>
      </w:hyperlink>
      <w:r w:rsidR="00757B53">
        <w:rPr>
          <w:rFonts w:ascii="Arial" w:hAnsi="Arial" w:cs="Arial"/>
          <w:sz w:val="20"/>
          <w:szCs w:val="20"/>
        </w:rPr>
        <w:t>. With the implementation of Hong Kong’s new licensing regime for virtual asset service providers, the revised guideline requires banks (i.e. authorized institutions) to additionally comply with th</w:t>
      </w:r>
      <w:r w:rsidR="00757B53" w:rsidRPr="00757B53">
        <w:rPr>
          <w:rFonts w:ascii="Arial" w:hAnsi="Arial" w:cs="Arial"/>
          <w:sz w:val="20"/>
          <w:szCs w:val="20"/>
        </w:rPr>
        <w:t>e requirements</w:t>
      </w:r>
      <w:r w:rsidR="00757B53">
        <w:rPr>
          <w:rFonts w:ascii="Arial" w:hAnsi="Arial" w:cs="Arial"/>
          <w:sz w:val="20"/>
          <w:szCs w:val="20"/>
        </w:rPr>
        <w:t xml:space="preserve"> of the </w:t>
      </w:r>
      <w:hyperlink r:id="rId19" w:history="1">
        <w:r w:rsidR="00757B53" w:rsidRPr="00757B53">
          <w:rPr>
            <w:rStyle w:val="a4"/>
            <w:rFonts w:ascii="Arial" w:hAnsi="Arial" w:cs="Arial"/>
            <w:sz w:val="20"/>
            <w:szCs w:val="20"/>
          </w:rPr>
          <w:t>SFC Guideline on Anti-Money Laundering and Counter-Financing of Terrorism (For Licensed Corporations and SFC licensed Virtual Asset Service Providers)</w:t>
        </w:r>
      </w:hyperlink>
      <w:r w:rsidR="00757B53">
        <w:rPr>
          <w:rFonts w:ascii="Arial" w:hAnsi="Arial" w:cs="Arial"/>
          <w:sz w:val="20"/>
          <w:szCs w:val="20"/>
        </w:rPr>
        <w:t xml:space="preserve"> for:</w:t>
      </w:r>
    </w:p>
    <w:p w:rsidR="00757B53" w:rsidRDefault="00757B53" w:rsidP="00757B53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57B53">
        <w:rPr>
          <w:rFonts w:ascii="Arial" w:hAnsi="Arial" w:cs="Arial"/>
          <w:sz w:val="20"/>
          <w:szCs w:val="20"/>
        </w:rPr>
        <w:t>securities, futures and leveraged foreign exchange businesses (</w:t>
      </w:r>
      <w:proofErr w:type="gramStart"/>
      <w:r w:rsidRPr="00757B53">
        <w:rPr>
          <w:rFonts w:ascii="Arial" w:hAnsi="Arial" w:cs="Arial"/>
          <w:sz w:val="20"/>
          <w:szCs w:val="20"/>
        </w:rPr>
        <w:t>e.g.</w:t>
      </w:r>
      <w:proofErr w:type="gramEnd"/>
      <w:r w:rsidRPr="00757B53">
        <w:rPr>
          <w:rFonts w:ascii="Arial" w:hAnsi="Arial" w:cs="Arial"/>
          <w:sz w:val="20"/>
          <w:szCs w:val="20"/>
        </w:rPr>
        <w:t xml:space="preserve"> definition of customer, provisions on cross-border correspondent relationships, illustrative indicators of suspicious transactions and activities </w:t>
      </w:r>
      <w:r>
        <w:rPr>
          <w:rFonts w:ascii="Arial" w:hAnsi="Arial" w:cs="Arial"/>
          <w:sz w:val="20"/>
          <w:szCs w:val="20"/>
        </w:rPr>
        <w:t>in the securities sector, etc.); and</w:t>
      </w:r>
    </w:p>
    <w:p w:rsidR="00757B53" w:rsidRDefault="00757B53" w:rsidP="00757B53">
      <w:pPr>
        <w:pStyle w:val="a3"/>
        <w:ind w:left="360"/>
        <w:jc w:val="both"/>
        <w:rPr>
          <w:rFonts w:ascii="Arial" w:hAnsi="Arial" w:cs="Arial"/>
          <w:sz w:val="20"/>
          <w:szCs w:val="20"/>
        </w:rPr>
      </w:pPr>
    </w:p>
    <w:p w:rsidR="00EB62F4" w:rsidRPr="00757B53" w:rsidRDefault="004B5E3B" w:rsidP="00757B53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addressing the </w:t>
      </w:r>
      <w:r w:rsidR="00757B53">
        <w:rPr>
          <w:rFonts w:ascii="Arial" w:hAnsi="Arial" w:cs="Arial"/>
          <w:sz w:val="20"/>
          <w:szCs w:val="20"/>
        </w:rPr>
        <w:t xml:space="preserve">risks relating to </w:t>
      </w:r>
      <w:r w:rsidR="00757B53" w:rsidRPr="00757B53">
        <w:rPr>
          <w:rFonts w:ascii="Arial" w:hAnsi="Arial" w:cs="Arial"/>
          <w:sz w:val="20"/>
          <w:szCs w:val="20"/>
        </w:rPr>
        <w:t xml:space="preserve">virtual assets </w:t>
      </w:r>
      <w:r w:rsidR="00757B53">
        <w:rPr>
          <w:rFonts w:ascii="Arial" w:hAnsi="Arial" w:cs="Arial"/>
          <w:sz w:val="20"/>
          <w:szCs w:val="20"/>
        </w:rPr>
        <w:t xml:space="preserve">set out in </w:t>
      </w:r>
      <w:r>
        <w:rPr>
          <w:rFonts w:ascii="Arial" w:hAnsi="Arial" w:cs="Arial"/>
          <w:sz w:val="20"/>
          <w:szCs w:val="20"/>
        </w:rPr>
        <w:t>Chapter 12 of that</w:t>
      </w:r>
      <w:r w:rsidR="00757B53" w:rsidRPr="00757B53">
        <w:rPr>
          <w:rFonts w:ascii="Arial" w:hAnsi="Arial" w:cs="Arial"/>
          <w:sz w:val="20"/>
          <w:szCs w:val="20"/>
        </w:rPr>
        <w:t xml:space="preserve"> Guideline.</w:t>
      </w:r>
    </w:p>
    <w:p w:rsidR="00654513" w:rsidRDefault="00654513" w:rsidP="006E3B0C">
      <w:pPr>
        <w:jc w:val="both"/>
        <w:rPr>
          <w:rFonts w:ascii="Arial" w:hAnsi="Arial" w:cs="Arial"/>
          <w:sz w:val="20"/>
          <w:szCs w:val="20"/>
        </w:rPr>
      </w:pPr>
    </w:p>
    <w:p w:rsidR="00B80881" w:rsidRDefault="00B80881" w:rsidP="006E3B0C">
      <w:pPr>
        <w:jc w:val="both"/>
        <w:rPr>
          <w:rFonts w:ascii="Arial" w:hAnsi="Arial" w:cs="Arial"/>
          <w:sz w:val="20"/>
          <w:szCs w:val="20"/>
        </w:rPr>
      </w:pPr>
    </w:p>
    <w:p w:rsidR="00B80881" w:rsidRPr="00A41F57" w:rsidRDefault="00B80881" w:rsidP="00B80881">
      <w:pPr>
        <w:pStyle w:val="DisclaimerBold"/>
        <w:numPr>
          <w:ilvl w:val="0"/>
          <w:numId w:val="8"/>
        </w:numPr>
        <w:rPr>
          <w:rFonts w:ascii="Helvetica" w:hAnsi="Helvetica"/>
        </w:rPr>
      </w:pPr>
      <w:r w:rsidRPr="00F05494">
        <w:rPr>
          <w:rFonts w:ascii="Helvetica" w:hAnsi="Helvetica"/>
        </w:rPr>
        <w:lastRenderedPageBreak/>
        <w:t>This newsletter is for information purposes only.</w:t>
      </w:r>
    </w:p>
    <w:p w:rsidR="00B80881" w:rsidRPr="00F05494" w:rsidRDefault="00B80881" w:rsidP="00B80881">
      <w:pPr>
        <w:pStyle w:val="Disclaimer"/>
        <w:numPr>
          <w:ilvl w:val="0"/>
          <w:numId w:val="8"/>
        </w:numPr>
        <w:rPr>
          <w:rFonts w:ascii="Helvetica" w:hAnsi="Helvetica"/>
        </w:rPr>
      </w:pPr>
      <w:r w:rsidRPr="00F05494">
        <w:rPr>
          <w:rFonts w:ascii="Helvetica" w:hAnsi="Helvetica"/>
        </w:rPr>
        <w:t>Its contents do not constitute legal advice and it should not be regarded as a substitute for detailed advice in individual cases.</w:t>
      </w:r>
    </w:p>
    <w:p w:rsidR="00B80881" w:rsidRPr="00F05494" w:rsidRDefault="00B80881" w:rsidP="00B80881">
      <w:pPr>
        <w:pStyle w:val="Disclaimer"/>
        <w:numPr>
          <w:ilvl w:val="0"/>
          <w:numId w:val="8"/>
        </w:numPr>
        <w:rPr>
          <w:rFonts w:ascii="Helvetica" w:hAnsi="Helvetica"/>
        </w:rPr>
      </w:pPr>
      <w:r w:rsidRPr="00F05494">
        <w:rPr>
          <w:rFonts w:ascii="Helvetica" w:hAnsi="Helvetica"/>
        </w:rPr>
        <w:t xml:space="preserve">Transmission of this information is not intended to create and receipt does not constitute a lawyer-client relationship between </w:t>
      </w: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and the user or browser.</w:t>
      </w:r>
    </w:p>
    <w:p w:rsidR="00B80881" w:rsidRPr="00F05494" w:rsidRDefault="00B80881" w:rsidP="00B80881">
      <w:pPr>
        <w:pStyle w:val="Disclaimer"/>
        <w:numPr>
          <w:ilvl w:val="0"/>
          <w:numId w:val="8"/>
        </w:numPr>
        <w:rPr>
          <w:rFonts w:ascii="Helvetica" w:hAnsi="Helvetica"/>
        </w:rPr>
      </w:pP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is not responsible for any </w:t>
      </w:r>
      <w:proofErr w:type="gramStart"/>
      <w:r w:rsidRPr="00F05494">
        <w:rPr>
          <w:rFonts w:ascii="Helvetica" w:hAnsi="Helvetica"/>
        </w:rPr>
        <w:t>third</w:t>
      </w:r>
      <w:r w:rsidRPr="00A41F57">
        <w:rPr>
          <w:rFonts w:ascii="Helvetica" w:hAnsi="Helvetica"/>
        </w:rPr>
        <w:t xml:space="preserve"> </w:t>
      </w:r>
      <w:r w:rsidRPr="00F05494">
        <w:rPr>
          <w:rFonts w:ascii="Helvetica" w:hAnsi="Helvetica"/>
        </w:rPr>
        <w:t>party</w:t>
      </w:r>
      <w:proofErr w:type="gramEnd"/>
      <w:r w:rsidRPr="00F05494">
        <w:rPr>
          <w:rFonts w:ascii="Helvetica" w:hAnsi="Helvetica"/>
        </w:rPr>
        <w:t xml:space="preserve"> content which can be accessed through the website.</w:t>
      </w:r>
    </w:p>
    <w:p w:rsidR="00B80881" w:rsidRPr="00F05494" w:rsidRDefault="00B80881" w:rsidP="00B80881">
      <w:pPr>
        <w:pStyle w:val="Disclaimer"/>
        <w:numPr>
          <w:ilvl w:val="0"/>
          <w:numId w:val="8"/>
        </w:numPr>
        <w:rPr>
          <w:rFonts w:ascii="Helvetica" w:hAnsi="Helvetica"/>
        </w:rPr>
      </w:pPr>
      <w:r w:rsidRPr="00F05494">
        <w:rPr>
          <w:rFonts w:ascii="Helvetica" w:hAnsi="Helvetica"/>
        </w:rPr>
        <w:t xml:space="preserve">If you do not wish to receive this </w:t>
      </w:r>
      <w:proofErr w:type="gramStart"/>
      <w:r w:rsidRPr="00F05494">
        <w:rPr>
          <w:rFonts w:ascii="Helvetica" w:hAnsi="Helvetica"/>
        </w:rPr>
        <w:t>newsletter</w:t>
      </w:r>
      <w:proofErr w:type="gramEnd"/>
      <w:r w:rsidRPr="00F05494">
        <w:rPr>
          <w:rFonts w:ascii="Helvetica" w:hAnsi="Helvetica"/>
        </w:rPr>
        <w:t xml:space="preserve"> please let us know by emailing us at  </w:t>
      </w:r>
      <w:hyperlink r:id="rId20">
        <w:r w:rsidRPr="00F05494">
          <w:rPr>
            <w:rFonts w:ascii="Helvetica" w:hAnsi="Helvetica"/>
          </w:rPr>
          <w:t>unsubscribe@charltonslaw.com</w:t>
        </w:r>
      </w:hyperlink>
    </w:p>
    <w:p w:rsidR="00B80881" w:rsidRPr="009B5310" w:rsidRDefault="00B80881" w:rsidP="00B80881">
      <w:pPr>
        <w:pStyle w:val="BlackStrips"/>
        <w:numPr>
          <w:ilvl w:val="0"/>
          <w:numId w:val="8"/>
        </w:numPr>
        <w:rPr>
          <w:rFonts w:ascii="Helvetica" w:hAnsi="Helvetica"/>
        </w:rPr>
      </w:pP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- Hong Kong Law - </w:t>
      </w:r>
      <w:r w:rsidR="005A41CF">
        <w:rPr>
          <w:rFonts w:ascii="Helvetica" w:hAnsi="Helvetica"/>
        </w:rPr>
        <w:t>1</w:t>
      </w:r>
      <w:r w:rsidR="001701B8">
        <w:rPr>
          <w:rFonts w:ascii="Helvetica" w:hAnsi="Helvetica"/>
        </w:rPr>
        <w:t>3</w:t>
      </w:r>
      <w:r w:rsidRPr="00F05494">
        <w:rPr>
          <w:rFonts w:ascii="Helvetica" w:hAnsi="Helvetica"/>
        </w:rPr>
        <w:t xml:space="preserve"> </w:t>
      </w:r>
      <w:r>
        <w:rPr>
          <w:rFonts w:ascii="Helvetica" w:hAnsi="Helvetica"/>
        </w:rPr>
        <w:t>July</w:t>
      </w:r>
      <w:r w:rsidRPr="00F05494">
        <w:rPr>
          <w:rFonts w:ascii="Helvetica" w:hAnsi="Helvetica"/>
        </w:rPr>
        <w:t xml:space="preserve"> 202</w:t>
      </w:r>
      <w:r w:rsidRPr="008524CA">
        <w:rPr>
          <w:rFonts w:ascii="Helvetica" w:hAnsi="Helvetica"/>
        </w:rPr>
        <w:t>3</w:t>
      </w:r>
    </w:p>
    <w:p w:rsidR="00B80881" w:rsidRPr="006E3B0C" w:rsidRDefault="00B80881" w:rsidP="006E3B0C">
      <w:pPr>
        <w:jc w:val="both"/>
        <w:rPr>
          <w:rFonts w:ascii="Arial" w:hAnsi="Arial" w:cs="Arial"/>
          <w:sz w:val="20"/>
          <w:szCs w:val="20"/>
        </w:rPr>
      </w:pPr>
    </w:p>
    <w:p w:rsidR="007665C5" w:rsidRPr="00405FCD" w:rsidRDefault="007665C5" w:rsidP="00405FCD">
      <w:pPr>
        <w:pStyle w:val="a3"/>
        <w:ind w:left="360"/>
        <w:jc w:val="both"/>
        <w:rPr>
          <w:rFonts w:ascii="Arial" w:hAnsi="Arial" w:cs="Arial"/>
          <w:sz w:val="20"/>
          <w:szCs w:val="20"/>
        </w:rPr>
      </w:pPr>
    </w:p>
    <w:p w:rsidR="007665C5" w:rsidRPr="00405FCD" w:rsidRDefault="007665C5" w:rsidP="00405FCD">
      <w:pPr>
        <w:pStyle w:val="a3"/>
        <w:ind w:left="360"/>
        <w:jc w:val="both"/>
        <w:rPr>
          <w:rFonts w:ascii="Arial" w:hAnsi="Arial" w:cs="Arial"/>
          <w:sz w:val="20"/>
          <w:szCs w:val="20"/>
        </w:rPr>
      </w:pPr>
    </w:p>
    <w:sectPr w:rsidR="007665C5" w:rsidRPr="00405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439C" w:rsidRDefault="0094439C" w:rsidP="00EB24CA">
      <w:pPr>
        <w:spacing w:after="0" w:line="240" w:lineRule="auto"/>
      </w:pPr>
      <w:r>
        <w:separator/>
      </w:r>
    </w:p>
  </w:endnote>
  <w:endnote w:type="continuationSeparator" w:id="0">
    <w:p w:rsidR="0094439C" w:rsidRDefault="0094439C" w:rsidP="00EB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439C" w:rsidRDefault="0094439C" w:rsidP="00EB24CA">
      <w:pPr>
        <w:spacing w:after="0" w:line="240" w:lineRule="auto"/>
      </w:pPr>
      <w:r>
        <w:separator/>
      </w:r>
    </w:p>
  </w:footnote>
  <w:footnote w:type="continuationSeparator" w:id="0">
    <w:p w:rsidR="0094439C" w:rsidRDefault="0094439C" w:rsidP="00EB24CA">
      <w:pPr>
        <w:spacing w:after="0" w:line="240" w:lineRule="auto"/>
      </w:pPr>
      <w:r>
        <w:continuationSeparator/>
      </w:r>
    </w:p>
  </w:footnote>
  <w:footnote w:id="1">
    <w:p w:rsidR="000715D3" w:rsidRDefault="000715D3">
      <w:pPr>
        <w:pStyle w:val="a6"/>
      </w:pPr>
      <w:r>
        <w:rPr>
          <w:rStyle w:val="a8"/>
        </w:rPr>
        <w:footnoteRef/>
      </w:r>
      <w:r>
        <w:t xml:space="preserve"> </w:t>
      </w:r>
      <w:r w:rsidRPr="00137F1D">
        <w:rPr>
          <w:rFonts w:ascii="Arial" w:hAnsi="Arial" w:cs="Arial"/>
          <w:sz w:val="18"/>
          <w:szCs w:val="18"/>
        </w:rPr>
        <w:t>SFC. (June 2023). ‘</w:t>
      </w:r>
      <w:hyperlink r:id="rId1" w:history="1">
        <w:r w:rsidRPr="00137F1D">
          <w:rPr>
            <w:rStyle w:val="a4"/>
            <w:rFonts w:ascii="Arial" w:hAnsi="Arial" w:cs="Arial"/>
            <w:sz w:val="18"/>
            <w:szCs w:val="18"/>
          </w:rPr>
          <w:t>Licensing Handbook for Virtual Asset Trading Platform Operators’</w:t>
        </w:r>
      </w:hyperlink>
      <w:r w:rsidRPr="00137F1D">
        <w:rPr>
          <w:rFonts w:ascii="Arial" w:hAnsi="Arial" w:cs="Arial"/>
          <w:sz w:val="18"/>
          <w:szCs w:val="18"/>
        </w:rPr>
        <w:t xml:space="preserve"> </w:t>
      </w:r>
    </w:p>
  </w:footnote>
  <w:footnote w:id="2">
    <w:p w:rsidR="00685AFE" w:rsidRPr="00137F1D" w:rsidRDefault="00685AFE">
      <w:pPr>
        <w:pStyle w:val="a6"/>
        <w:rPr>
          <w:rFonts w:ascii="Arial" w:hAnsi="Arial" w:cs="Arial"/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137F1D">
        <w:rPr>
          <w:rFonts w:ascii="Arial" w:hAnsi="Arial" w:cs="Arial"/>
          <w:sz w:val="18"/>
          <w:szCs w:val="18"/>
        </w:rPr>
        <w:t>The implementation date for the VASP licensing regime under Anti-Money Laundering and Counter-Terrorist Financing (Amendment) Ordinance 2023 was postponed to 1 June 2023 by the Legislative Council’s ‘</w:t>
      </w:r>
      <w:hyperlink r:id="rId2" w:history="1">
        <w:r w:rsidRPr="00137F1D">
          <w:rPr>
            <w:rStyle w:val="a4"/>
            <w:rFonts w:ascii="Arial" w:hAnsi="Arial" w:cs="Arial"/>
            <w:sz w:val="18"/>
            <w:szCs w:val="18"/>
          </w:rPr>
          <w:t>Report of the Bills Committee on Anti-Money Laundering and Counter-Terrorist Financing (Amendment) Bill 2022</w:t>
        </w:r>
      </w:hyperlink>
      <w:r w:rsidRPr="00137F1D">
        <w:rPr>
          <w:rFonts w:ascii="Arial" w:hAnsi="Arial" w:cs="Arial"/>
          <w:sz w:val="18"/>
          <w:szCs w:val="18"/>
        </w:rPr>
        <w:t xml:space="preserve">’ </w:t>
      </w:r>
    </w:p>
  </w:footnote>
  <w:footnote w:id="3">
    <w:p w:rsidR="00A7784F" w:rsidRPr="00137F1D" w:rsidRDefault="00A7784F">
      <w:pPr>
        <w:pStyle w:val="a6"/>
        <w:rPr>
          <w:rFonts w:ascii="Arial" w:hAnsi="Arial" w:cs="Arial"/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137F1D">
        <w:rPr>
          <w:rFonts w:ascii="Arial" w:hAnsi="Arial" w:cs="Arial"/>
          <w:sz w:val="18"/>
          <w:szCs w:val="18"/>
        </w:rPr>
        <w:t>Paragraph 1 of the Annex to the Circular</w:t>
      </w:r>
    </w:p>
  </w:footnote>
  <w:footnote w:id="4">
    <w:p w:rsidR="00A7784F" w:rsidRPr="00137F1D" w:rsidRDefault="00A7784F">
      <w:pPr>
        <w:pStyle w:val="a6"/>
        <w:rPr>
          <w:rFonts w:ascii="Arial" w:hAnsi="Arial" w:cs="Arial"/>
          <w:sz w:val="18"/>
          <w:szCs w:val="18"/>
        </w:rPr>
      </w:pPr>
      <w:r w:rsidRPr="00137F1D">
        <w:rPr>
          <w:rStyle w:val="a8"/>
          <w:rFonts w:ascii="Arial" w:hAnsi="Arial" w:cs="Arial"/>
          <w:sz w:val="18"/>
          <w:szCs w:val="18"/>
        </w:rPr>
        <w:footnoteRef/>
      </w:r>
      <w:r w:rsidRPr="00137F1D">
        <w:rPr>
          <w:rFonts w:ascii="Arial" w:hAnsi="Arial" w:cs="Arial"/>
          <w:sz w:val="18"/>
          <w:szCs w:val="18"/>
        </w:rPr>
        <w:t xml:space="preserve"> </w:t>
      </w:r>
      <w:r w:rsidR="00DD1ED3" w:rsidRPr="00137F1D">
        <w:rPr>
          <w:rFonts w:ascii="Arial" w:hAnsi="Arial" w:cs="Arial"/>
          <w:sz w:val="18"/>
          <w:szCs w:val="18"/>
        </w:rPr>
        <w:t>Ibid. at p</w:t>
      </w:r>
      <w:r w:rsidRPr="00137F1D">
        <w:rPr>
          <w:rFonts w:ascii="Arial" w:hAnsi="Arial" w:cs="Arial"/>
          <w:sz w:val="18"/>
          <w:szCs w:val="18"/>
        </w:rPr>
        <w:t xml:space="preserve">aragraphs 2 and 5 </w:t>
      </w:r>
    </w:p>
  </w:footnote>
  <w:footnote w:id="5">
    <w:p w:rsidR="00A7784F" w:rsidRPr="00137F1D" w:rsidRDefault="00A7784F">
      <w:pPr>
        <w:pStyle w:val="a6"/>
        <w:rPr>
          <w:rFonts w:ascii="Arial" w:hAnsi="Arial" w:cs="Arial"/>
          <w:sz w:val="18"/>
          <w:szCs w:val="18"/>
        </w:rPr>
      </w:pPr>
      <w:r w:rsidRPr="00137F1D">
        <w:rPr>
          <w:rStyle w:val="a8"/>
          <w:rFonts w:ascii="Arial" w:hAnsi="Arial" w:cs="Arial"/>
          <w:sz w:val="18"/>
          <w:szCs w:val="18"/>
        </w:rPr>
        <w:footnoteRef/>
      </w:r>
      <w:r w:rsidRPr="00137F1D">
        <w:rPr>
          <w:rFonts w:ascii="Arial" w:hAnsi="Arial" w:cs="Arial"/>
          <w:sz w:val="18"/>
          <w:szCs w:val="18"/>
        </w:rPr>
        <w:t xml:space="preserve"> </w:t>
      </w:r>
      <w:r w:rsidR="00DD1ED3" w:rsidRPr="00137F1D">
        <w:rPr>
          <w:rFonts w:ascii="Arial" w:hAnsi="Arial" w:cs="Arial"/>
          <w:sz w:val="18"/>
          <w:szCs w:val="18"/>
        </w:rPr>
        <w:t xml:space="preserve">Ibid. at paragraph </w:t>
      </w:r>
      <w:r w:rsidRPr="00137F1D">
        <w:rPr>
          <w:rFonts w:ascii="Arial" w:hAnsi="Arial" w:cs="Arial"/>
          <w:sz w:val="18"/>
          <w:szCs w:val="18"/>
        </w:rPr>
        <w:t xml:space="preserve">3 </w:t>
      </w:r>
    </w:p>
  </w:footnote>
  <w:footnote w:id="6">
    <w:p w:rsidR="00A7784F" w:rsidRPr="00137F1D" w:rsidRDefault="00A7784F">
      <w:pPr>
        <w:pStyle w:val="a6"/>
        <w:rPr>
          <w:rFonts w:ascii="Arial" w:hAnsi="Arial" w:cs="Arial"/>
          <w:sz w:val="18"/>
          <w:szCs w:val="18"/>
        </w:rPr>
      </w:pPr>
      <w:r w:rsidRPr="00137F1D">
        <w:rPr>
          <w:rStyle w:val="a8"/>
          <w:rFonts w:ascii="Arial" w:hAnsi="Arial" w:cs="Arial"/>
          <w:sz w:val="18"/>
          <w:szCs w:val="18"/>
        </w:rPr>
        <w:footnoteRef/>
      </w:r>
      <w:r w:rsidRPr="00137F1D">
        <w:rPr>
          <w:rFonts w:ascii="Arial" w:hAnsi="Arial" w:cs="Arial"/>
          <w:sz w:val="18"/>
          <w:szCs w:val="18"/>
        </w:rPr>
        <w:t xml:space="preserve"> </w:t>
      </w:r>
      <w:r w:rsidR="00DD1ED3" w:rsidRPr="00137F1D">
        <w:rPr>
          <w:rFonts w:ascii="Arial" w:hAnsi="Arial" w:cs="Arial"/>
          <w:sz w:val="18"/>
          <w:szCs w:val="18"/>
        </w:rPr>
        <w:t xml:space="preserve">Ibid. at paragraph 4 </w:t>
      </w:r>
    </w:p>
  </w:footnote>
  <w:footnote w:id="7">
    <w:p w:rsidR="00A7784F" w:rsidRPr="00137F1D" w:rsidRDefault="00A7784F">
      <w:pPr>
        <w:pStyle w:val="a6"/>
        <w:rPr>
          <w:rFonts w:ascii="Arial" w:hAnsi="Arial" w:cs="Arial"/>
          <w:sz w:val="18"/>
          <w:szCs w:val="18"/>
        </w:rPr>
      </w:pPr>
      <w:r w:rsidRPr="00137F1D">
        <w:rPr>
          <w:rStyle w:val="a8"/>
          <w:rFonts w:ascii="Arial" w:hAnsi="Arial" w:cs="Arial"/>
          <w:sz w:val="18"/>
          <w:szCs w:val="18"/>
        </w:rPr>
        <w:footnoteRef/>
      </w:r>
      <w:r w:rsidRPr="00137F1D">
        <w:rPr>
          <w:rFonts w:ascii="Arial" w:hAnsi="Arial" w:cs="Arial"/>
          <w:sz w:val="18"/>
          <w:szCs w:val="18"/>
        </w:rPr>
        <w:t xml:space="preserve"> </w:t>
      </w:r>
      <w:r w:rsidR="00C16C31" w:rsidRPr="00137F1D">
        <w:rPr>
          <w:rFonts w:ascii="Arial" w:hAnsi="Arial" w:cs="Arial"/>
          <w:sz w:val="18"/>
          <w:szCs w:val="18"/>
        </w:rPr>
        <w:t>Ibid. at p</w:t>
      </w:r>
      <w:r w:rsidRPr="00137F1D">
        <w:rPr>
          <w:rFonts w:ascii="Arial" w:hAnsi="Arial" w:cs="Arial"/>
          <w:sz w:val="18"/>
          <w:szCs w:val="18"/>
        </w:rPr>
        <w:t xml:space="preserve">aragraph 6 </w:t>
      </w:r>
    </w:p>
  </w:footnote>
  <w:footnote w:id="8">
    <w:p w:rsidR="00A7784F" w:rsidRDefault="00A7784F">
      <w:pPr>
        <w:pStyle w:val="a6"/>
      </w:pPr>
      <w:r w:rsidRPr="00137F1D">
        <w:rPr>
          <w:rStyle w:val="a8"/>
          <w:rFonts w:ascii="Arial" w:hAnsi="Arial" w:cs="Arial"/>
          <w:sz w:val="18"/>
          <w:szCs w:val="18"/>
        </w:rPr>
        <w:footnoteRef/>
      </w:r>
      <w:r w:rsidRPr="00137F1D">
        <w:rPr>
          <w:rFonts w:ascii="Arial" w:hAnsi="Arial" w:cs="Arial"/>
          <w:sz w:val="18"/>
          <w:szCs w:val="18"/>
        </w:rPr>
        <w:t xml:space="preserve"> </w:t>
      </w:r>
      <w:r w:rsidR="00C16C31" w:rsidRPr="00137F1D">
        <w:rPr>
          <w:rFonts w:ascii="Arial" w:hAnsi="Arial" w:cs="Arial"/>
          <w:sz w:val="18"/>
          <w:szCs w:val="18"/>
        </w:rPr>
        <w:t xml:space="preserve">Ibid. at paragraph </w:t>
      </w:r>
      <w:r w:rsidRPr="00137F1D">
        <w:rPr>
          <w:rFonts w:ascii="Arial" w:hAnsi="Arial" w:cs="Arial"/>
          <w:sz w:val="18"/>
          <w:szCs w:val="18"/>
        </w:rPr>
        <w:t>7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2235"/>
    <w:multiLevelType w:val="hybridMultilevel"/>
    <w:tmpl w:val="D304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266F9"/>
    <w:multiLevelType w:val="hybridMultilevel"/>
    <w:tmpl w:val="1786F1B8"/>
    <w:lvl w:ilvl="0" w:tplc="825A1E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B0462"/>
    <w:multiLevelType w:val="hybridMultilevel"/>
    <w:tmpl w:val="6C6E369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757FDE"/>
    <w:multiLevelType w:val="hybridMultilevel"/>
    <w:tmpl w:val="3EEC3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1856C4"/>
    <w:multiLevelType w:val="hybridMultilevel"/>
    <w:tmpl w:val="E21CF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2C6422"/>
    <w:multiLevelType w:val="hybridMultilevel"/>
    <w:tmpl w:val="B2D2BA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9A4413"/>
    <w:multiLevelType w:val="hybridMultilevel"/>
    <w:tmpl w:val="84AC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647AB"/>
    <w:multiLevelType w:val="hybridMultilevel"/>
    <w:tmpl w:val="03A66CEA"/>
    <w:lvl w:ilvl="0" w:tplc="2E4A2EE2">
      <w:start w:val="1"/>
      <w:numFmt w:val="decimal"/>
      <w:lvlText w:val="%1."/>
      <w:lvlJc w:val="left"/>
      <w:pPr>
        <w:ind w:left="360" w:hanging="360"/>
      </w:pPr>
      <w:rPr>
        <w:rFonts w:hint="default"/>
        <w:color w:val="3232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3114928">
    <w:abstractNumId w:val="1"/>
  </w:num>
  <w:num w:numId="2" w16cid:durableId="1676884569">
    <w:abstractNumId w:val="7"/>
  </w:num>
  <w:num w:numId="3" w16cid:durableId="1534029879">
    <w:abstractNumId w:val="5"/>
  </w:num>
  <w:num w:numId="4" w16cid:durableId="1600871015">
    <w:abstractNumId w:val="2"/>
  </w:num>
  <w:num w:numId="5" w16cid:durableId="89009695">
    <w:abstractNumId w:val="3"/>
  </w:num>
  <w:num w:numId="6" w16cid:durableId="147868625">
    <w:abstractNumId w:val="0"/>
  </w:num>
  <w:num w:numId="7" w16cid:durableId="1212156623">
    <w:abstractNumId w:val="4"/>
  </w:num>
  <w:num w:numId="8" w16cid:durableId="617683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A1"/>
    <w:rsid w:val="00035771"/>
    <w:rsid w:val="00044CB4"/>
    <w:rsid w:val="000524AE"/>
    <w:rsid w:val="0006489B"/>
    <w:rsid w:val="000715D3"/>
    <w:rsid w:val="000B3EFD"/>
    <w:rsid w:val="00137F1D"/>
    <w:rsid w:val="001701B8"/>
    <w:rsid w:val="001C0387"/>
    <w:rsid w:val="001C24F2"/>
    <w:rsid w:val="001C55F7"/>
    <w:rsid w:val="001E071E"/>
    <w:rsid w:val="002077EE"/>
    <w:rsid w:val="002A04A1"/>
    <w:rsid w:val="002C419A"/>
    <w:rsid w:val="002E0325"/>
    <w:rsid w:val="002F56BD"/>
    <w:rsid w:val="003C3B27"/>
    <w:rsid w:val="00405FCD"/>
    <w:rsid w:val="004121B3"/>
    <w:rsid w:val="0043083F"/>
    <w:rsid w:val="0043102F"/>
    <w:rsid w:val="00461A80"/>
    <w:rsid w:val="00472E76"/>
    <w:rsid w:val="004958B3"/>
    <w:rsid w:val="004B528D"/>
    <w:rsid w:val="004B5E3B"/>
    <w:rsid w:val="004F5323"/>
    <w:rsid w:val="00512A60"/>
    <w:rsid w:val="00572C6D"/>
    <w:rsid w:val="005912F4"/>
    <w:rsid w:val="0059520B"/>
    <w:rsid w:val="005A41CF"/>
    <w:rsid w:val="005D36C3"/>
    <w:rsid w:val="005F5075"/>
    <w:rsid w:val="00636AEF"/>
    <w:rsid w:val="00654513"/>
    <w:rsid w:val="00657369"/>
    <w:rsid w:val="00685AFE"/>
    <w:rsid w:val="00686B1A"/>
    <w:rsid w:val="006D3F73"/>
    <w:rsid w:val="006E2C13"/>
    <w:rsid w:val="006E3B0C"/>
    <w:rsid w:val="00722E49"/>
    <w:rsid w:val="00757B53"/>
    <w:rsid w:val="007665C5"/>
    <w:rsid w:val="007E3820"/>
    <w:rsid w:val="008A3EDD"/>
    <w:rsid w:val="00900247"/>
    <w:rsid w:val="0094439C"/>
    <w:rsid w:val="00966B67"/>
    <w:rsid w:val="009B49C6"/>
    <w:rsid w:val="009E3DF5"/>
    <w:rsid w:val="00A7784F"/>
    <w:rsid w:val="00A8725C"/>
    <w:rsid w:val="00AF64CA"/>
    <w:rsid w:val="00B779DD"/>
    <w:rsid w:val="00B80881"/>
    <w:rsid w:val="00BC5700"/>
    <w:rsid w:val="00BD43C8"/>
    <w:rsid w:val="00C16C31"/>
    <w:rsid w:val="00C357C0"/>
    <w:rsid w:val="00C51FEF"/>
    <w:rsid w:val="00CA6915"/>
    <w:rsid w:val="00DA4BC5"/>
    <w:rsid w:val="00DC34F2"/>
    <w:rsid w:val="00DC39CA"/>
    <w:rsid w:val="00DD1ED3"/>
    <w:rsid w:val="00DD44E3"/>
    <w:rsid w:val="00DE4FF7"/>
    <w:rsid w:val="00DE7E90"/>
    <w:rsid w:val="00EB24CA"/>
    <w:rsid w:val="00EB4746"/>
    <w:rsid w:val="00EB62F4"/>
    <w:rsid w:val="00EE0107"/>
    <w:rsid w:val="00EF587C"/>
    <w:rsid w:val="00F315CB"/>
    <w:rsid w:val="00F86FC5"/>
    <w:rsid w:val="00FB2FED"/>
    <w:rsid w:val="00FE17D2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D920"/>
  <w15:chartTrackingRefBased/>
  <w15:docId w15:val="{B99A7894-7D04-418E-9C05-647CFAFD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F73"/>
    <w:pPr>
      <w:ind w:left="720"/>
      <w:contextualSpacing/>
    </w:pPr>
  </w:style>
  <w:style w:type="paragraph" w:customStyle="1" w:styleId="Default">
    <w:name w:val="Default"/>
    <w:rsid w:val="006D3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D3F7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D3F73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EB24C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B24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B24CA"/>
    <w:rPr>
      <w:vertAlign w:val="superscript"/>
    </w:rPr>
  </w:style>
  <w:style w:type="paragraph" w:customStyle="1" w:styleId="Disclaimer">
    <w:name w:val="Disclaimer"/>
    <w:basedOn w:val="a"/>
    <w:qFormat/>
    <w:rsid w:val="00B80881"/>
    <w:pPr>
      <w:pBdr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Bdr>
      <w:shd w:val="clear" w:color="auto" w:fill="DDDDDD"/>
      <w:spacing w:before="101" w:after="101" w:line="240" w:lineRule="auto"/>
      <w:jc w:val="both"/>
    </w:pPr>
    <w:rPr>
      <w:color w:val="00000A"/>
      <w:sz w:val="24"/>
      <w:szCs w:val="24"/>
    </w:rPr>
  </w:style>
  <w:style w:type="paragraph" w:customStyle="1" w:styleId="BlackStrips">
    <w:name w:val="Black Strips"/>
    <w:basedOn w:val="a"/>
    <w:qFormat/>
    <w:rsid w:val="00B80881"/>
    <w:pPr>
      <w:shd w:val="clear" w:color="auto" w:fill="000000"/>
      <w:spacing w:after="200" w:line="240" w:lineRule="auto"/>
      <w:jc w:val="center"/>
    </w:pPr>
    <w:rPr>
      <w:color w:val="FFFFFF"/>
      <w:sz w:val="24"/>
      <w:szCs w:val="24"/>
    </w:rPr>
  </w:style>
  <w:style w:type="paragraph" w:customStyle="1" w:styleId="DisclaimerBold">
    <w:name w:val="Disclaimer Bold"/>
    <w:basedOn w:val="Disclaimer"/>
    <w:qFormat/>
    <w:rsid w:val="00B80881"/>
    <w:pPr>
      <w:jc w:val="left"/>
    </w:pPr>
    <w:rPr>
      <w:b/>
    </w:rPr>
  </w:style>
  <w:style w:type="character" w:styleId="a9">
    <w:name w:val="Unresolved Mention"/>
    <w:basedOn w:val="a0"/>
    <w:uiPriority w:val="99"/>
    <w:semiHidden/>
    <w:unhideWhenUsed/>
    <w:rsid w:val="00591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38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1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8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259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9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ltonslaw.com/hkma-urges-banks-to-provide-banking-services-to-virtual-asset-service-providers/" TargetMode="External"/><Relationship Id="rId13" Type="http://schemas.openxmlformats.org/officeDocument/2006/relationships/hyperlink" Target="https://www.hkma.gov.hk/media/eng/doc/key-information/guidelines-and-circular/guideline/Guideline_on_AML-CFT_(for_AIs)_eng_May%202023.pdf" TargetMode="External"/><Relationship Id="rId18" Type="http://schemas.openxmlformats.org/officeDocument/2006/relationships/hyperlink" Target="https://www.hkma.gov.hk/media/eng/doc/key-information/guidelines-and-circular/guideline/Guideline_on_AML-CFT_(for_AIs)_eng_May%20202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harltonslaw.com/hong-kong-licensing-regime-for-virtual-asset-exchanges-to-take-effect-on-1-march-2023/" TargetMode="External"/><Relationship Id="rId17" Type="http://schemas.openxmlformats.org/officeDocument/2006/relationships/hyperlink" Target="https://www.fatf-gafi.org/en/publications/Fatfgeneral/Increased-monitoring-june-202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kma.gov.hk/media/eng/doc/key-information/guidelines-and-circular/2022/20220128e3.pdf" TargetMode="External"/><Relationship Id="rId20" Type="http://schemas.openxmlformats.org/officeDocument/2006/relationships/hyperlink" Target="mailto:unsubscribe@charltonslaw.com?subject=unsubscribe%20-Hong%20Kong%20Law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arltonslaw.com/sfc-circular-on-implementing-new-licensing-regime-for-virtual-asset-trading-platform-operator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kma.gov.hk/media/eng/doc/key-information/guidelines-and-circular/2019/20190412e1.pdf" TargetMode="External"/><Relationship Id="rId10" Type="http://schemas.openxmlformats.org/officeDocument/2006/relationships/hyperlink" Target="https://gia.info.gov.hk/general/202210/31/P2022103000454_404805_1_1667173469522.pdf" TargetMode="External"/><Relationship Id="rId19" Type="http://schemas.openxmlformats.org/officeDocument/2006/relationships/hyperlink" Target="https://www.sfc.hk/-/media/EN/assets/components/codes/files-current/web/guidelines/guideline-on-anti-money-laundering-and-counter-financing-of-terrorism-for-licensed-corporations/AML-Guideline-for-LCs-and-SFC-licensed-VASPs_Eng_1-Jun-2023.pdf?rev=d250206851484229ab949a4698761c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kma.gov.hk/media/eng/doc/key-information/guidelines-and-circular/2023/20230427e1.pdf" TargetMode="External"/><Relationship Id="rId14" Type="http://schemas.openxmlformats.org/officeDocument/2006/relationships/hyperlink" Target="https://www.sfc.hk/-/media/EN/assets/components/codes/files-current/web/guidelines/guideline-on-anti-money-laundering-and-counter-financing-of-terrorism-for-licensed-corporations/AML-Guideline-for-LCs-and-SFC-licensed-VASPs_Eng_1-Jun-2023.pdf?rev=d250206851484229ab949a4698761cb7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gco.gov.hk/yr2022/english/bc/bc05/reports/bc0520221207cb1-855-e.pdf" TargetMode="External"/><Relationship Id="rId1" Type="http://schemas.openxmlformats.org/officeDocument/2006/relationships/hyperlink" Target="https://www.sfc.hk/-/media/EN/assets/components/Guidelines/File-current/Licensing-Handbook-for-VATPs-31-05-2023.pdf?rev=a94fa7324a964e328dd2415815611d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1DD0E-90A7-4F0C-82B5-8A3033AE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1719</Words>
  <Characters>9800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Charltons</Company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intern2</dc:creator>
  <cp:keywords/>
  <dc:description/>
  <cp:lastModifiedBy>Александр Пирогов</cp:lastModifiedBy>
  <cp:revision>16</cp:revision>
  <dcterms:created xsi:type="dcterms:W3CDTF">2023-07-07T02:32:00Z</dcterms:created>
  <dcterms:modified xsi:type="dcterms:W3CDTF">2023-07-13T07:33:00Z</dcterms:modified>
</cp:coreProperties>
</file>