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498A" w:rsidRPr="008524CA" w:rsidRDefault="00ED498A" w:rsidP="00ED498A">
      <w:pPr>
        <w:shd w:val="clear" w:color="auto" w:fill="000000"/>
        <w:spacing w:after="200"/>
        <w:jc w:val="center"/>
        <w:rPr>
          <w:rFonts w:ascii="Cambria" w:eastAsia="Cambria" w:hAnsi="Cambria" w:cs="Times New Roman"/>
          <w:color w:val="FFFFFF"/>
          <w:sz w:val="24"/>
          <w:szCs w:val="24"/>
        </w:rPr>
      </w:pPr>
      <w:proofErr w:type="spellStart"/>
      <w:r>
        <w:rPr>
          <w:rFonts w:ascii="Cambria" w:eastAsia="Cambria" w:hAnsi="Cambria" w:cs="Times New Roman"/>
          <w:color w:val="FFFFFF"/>
          <w:sz w:val="24"/>
          <w:szCs w:val="24"/>
        </w:rPr>
        <w:t>Charltons</w:t>
      </w:r>
      <w:proofErr w:type="spellEnd"/>
      <w:r>
        <w:rPr>
          <w:rFonts w:ascii="Cambria" w:eastAsia="Cambria" w:hAnsi="Cambria" w:cs="Times New Roman"/>
          <w:color w:val="FFFFFF"/>
          <w:sz w:val="24"/>
          <w:szCs w:val="24"/>
        </w:rPr>
        <w:t xml:space="preserve"> - Hong Kong Law - 0</w:t>
      </w:r>
      <w:r w:rsidR="00092A3D" w:rsidRPr="00092A3D">
        <w:rPr>
          <w:rFonts w:ascii="Cambria" w:eastAsia="Cambria" w:hAnsi="Cambria" w:cs="Times New Roman"/>
          <w:color w:val="FFFFFF"/>
          <w:sz w:val="24"/>
          <w:szCs w:val="24"/>
          <w:lang w:val="en-US"/>
        </w:rPr>
        <w:t>5</w:t>
      </w:r>
      <w:r w:rsidRPr="00C13D3D">
        <w:rPr>
          <w:rFonts w:ascii="Cambria" w:eastAsia="Cambria" w:hAnsi="Cambria" w:cs="Times New Roman"/>
          <w:color w:val="FFFFFF"/>
          <w:sz w:val="24"/>
          <w:szCs w:val="24"/>
        </w:rPr>
        <w:t xml:space="preserve"> </w:t>
      </w:r>
      <w:r>
        <w:rPr>
          <w:rFonts w:ascii="Cambria" w:eastAsia="Cambria" w:hAnsi="Cambria" w:cs="Times New Roman"/>
          <w:color w:val="FFFFFF"/>
          <w:sz w:val="24"/>
          <w:szCs w:val="24"/>
        </w:rPr>
        <w:t xml:space="preserve">July </w:t>
      </w:r>
      <w:r w:rsidRPr="00C13D3D">
        <w:rPr>
          <w:rFonts w:ascii="Cambria" w:eastAsia="Cambria" w:hAnsi="Cambria" w:cs="Times New Roman"/>
          <w:color w:val="FFFFFF"/>
          <w:sz w:val="24"/>
          <w:szCs w:val="24"/>
        </w:rPr>
        <w:t>202</w:t>
      </w:r>
      <w:r w:rsidRPr="008524CA">
        <w:rPr>
          <w:rFonts w:ascii="Cambria" w:eastAsia="Cambria" w:hAnsi="Cambria" w:cs="Times New Roman"/>
          <w:color w:val="FFFFFF"/>
          <w:sz w:val="24"/>
          <w:szCs w:val="24"/>
        </w:rPr>
        <w:t>3</w:t>
      </w:r>
    </w:p>
    <w:p w:rsidR="00ED498A" w:rsidRPr="00ED498A" w:rsidRDefault="00000000" w:rsidP="00ED498A">
      <w:pPr>
        <w:spacing w:after="200"/>
        <w:jc w:val="center"/>
        <w:rPr>
          <w:rFonts w:ascii="Cambria" w:eastAsia="Cambria" w:hAnsi="Cambria" w:cs="Times New Roman"/>
          <w:color w:val="00000A"/>
          <w:sz w:val="28"/>
          <w:szCs w:val="24"/>
          <w:u w:val="single"/>
        </w:rPr>
      </w:pPr>
      <w:hyperlink r:id="rId8" w:history="1">
        <w:r w:rsidR="00ED498A" w:rsidRPr="00365171">
          <w:rPr>
            <w:rStyle w:val="a3"/>
            <w:rFonts w:ascii="Cambria" w:eastAsia="Cambria" w:hAnsi="Cambria"/>
            <w:sz w:val="28"/>
            <w:szCs w:val="24"/>
          </w:rPr>
          <w:t>online ver</w:t>
        </w:r>
        <w:r w:rsidR="00ED498A" w:rsidRPr="00365171">
          <w:rPr>
            <w:rStyle w:val="a3"/>
            <w:rFonts w:ascii="Cambria" w:eastAsia="Cambria" w:hAnsi="Cambria"/>
            <w:sz w:val="28"/>
            <w:szCs w:val="24"/>
          </w:rPr>
          <w:t>s</w:t>
        </w:r>
        <w:r w:rsidR="00ED498A" w:rsidRPr="00365171">
          <w:rPr>
            <w:rStyle w:val="a3"/>
            <w:rFonts w:ascii="Cambria" w:eastAsia="Cambria" w:hAnsi="Cambria"/>
            <w:sz w:val="28"/>
            <w:szCs w:val="24"/>
          </w:rPr>
          <w:t>i</w:t>
        </w:r>
        <w:r w:rsidR="00ED498A" w:rsidRPr="00365171">
          <w:rPr>
            <w:rStyle w:val="a3"/>
            <w:rFonts w:ascii="Cambria" w:eastAsia="Cambria" w:hAnsi="Cambria"/>
            <w:sz w:val="28"/>
            <w:szCs w:val="24"/>
          </w:rPr>
          <w:t>o</w:t>
        </w:r>
        <w:r w:rsidR="00ED498A" w:rsidRPr="00365171">
          <w:rPr>
            <w:rStyle w:val="a3"/>
            <w:rFonts w:ascii="Cambria" w:eastAsia="Cambria" w:hAnsi="Cambria"/>
            <w:sz w:val="28"/>
            <w:szCs w:val="24"/>
          </w:rPr>
          <w:t>n</w:t>
        </w:r>
      </w:hyperlink>
    </w:p>
    <w:p w:rsidR="004A6F2A" w:rsidRPr="00D47AD0" w:rsidRDefault="003C4732" w:rsidP="001E490B">
      <w:pPr>
        <w:jc w:val="center"/>
        <w:rPr>
          <w:rFonts w:ascii="Arial" w:hAnsi="Arial" w:cs="Arial"/>
          <w:b/>
          <w:color w:val="FF0000"/>
          <w:sz w:val="20"/>
          <w:szCs w:val="20"/>
        </w:rPr>
      </w:pPr>
      <w:proofErr w:type="spellStart"/>
      <w:r w:rsidRPr="00D47AD0">
        <w:rPr>
          <w:rFonts w:ascii="Arial" w:hAnsi="Arial" w:cs="Arial"/>
          <w:b/>
          <w:color w:val="FF0000"/>
          <w:sz w:val="20"/>
          <w:szCs w:val="20"/>
        </w:rPr>
        <w:t>HKEx</w:t>
      </w:r>
      <w:proofErr w:type="spellEnd"/>
      <w:r w:rsidRPr="00D47AD0">
        <w:rPr>
          <w:rFonts w:ascii="Arial" w:hAnsi="Arial" w:cs="Arial"/>
          <w:b/>
          <w:color w:val="FF0000"/>
          <w:sz w:val="20"/>
          <w:szCs w:val="20"/>
        </w:rPr>
        <w:t xml:space="preserve"> </w:t>
      </w:r>
      <w:r w:rsidR="001E490B">
        <w:rPr>
          <w:rFonts w:ascii="Arial" w:hAnsi="Arial" w:cs="Arial"/>
          <w:b/>
          <w:color w:val="FF0000"/>
          <w:sz w:val="20"/>
          <w:szCs w:val="20"/>
        </w:rPr>
        <w:t xml:space="preserve">Issues </w:t>
      </w:r>
      <w:r w:rsidR="00AC0634">
        <w:rPr>
          <w:rFonts w:ascii="Arial" w:hAnsi="Arial" w:cs="Arial"/>
          <w:b/>
          <w:color w:val="FF0000"/>
          <w:sz w:val="20"/>
          <w:szCs w:val="20"/>
        </w:rPr>
        <w:t>8</w:t>
      </w:r>
      <w:r w:rsidR="001E490B" w:rsidRPr="001E490B">
        <w:rPr>
          <w:rFonts w:ascii="Arial" w:hAnsi="Arial" w:cs="Arial"/>
          <w:b/>
          <w:color w:val="FF0000"/>
          <w:sz w:val="20"/>
          <w:szCs w:val="20"/>
          <w:vertAlign w:val="superscript"/>
        </w:rPr>
        <w:t>th</w:t>
      </w:r>
      <w:r w:rsidR="001E490B">
        <w:rPr>
          <w:rFonts w:ascii="Arial" w:hAnsi="Arial" w:cs="Arial"/>
          <w:b/>
          <w:color w:val="FF0000"/>
          <w:sz w:val="20"/>
          <w:szCs w:val="20"/>
        </w:rPr>
        <w:t xml:space="preserve"> </w:t>
      </w:r>
      <w:r w:rsidRPr="00D47AD0">
        <w:rPr>
          <w:rFonts w:ascii="Arial" w:hAnsi="Arial" w:cs="Arial"/>
          <w:b/>
          <w:color w:val="FF0000"/>
          <w:sz w:val="20"/>
          <w:szCs w:val="20"/>
        </w:rPr>
        <w:t>Listed Issuer Regulation Newsletter</w:t>
      </w:r>
    </w:p>
    <w:p w:rsidR="00166EA3" w:rsidRPr="00D47AD0" w:rsidRDefault="001E490B" w:rsidP="00166EA3">
      <w:pPr>
        <w:jc w:val="both"/>
        <w:rPr>
          <w:rFonts w:ascii="Arial" w:hAnsi="Arial" w:cs="Arial"/>
          <w:sz w:val="20"/>
          <w:szCs w:val="20"/>
        </w:rPr>
      </w:pPr>
      <w:r>
        <w:rPr>
          <w:rFonts w:ascii="Arial" w:hAnsi="Arial" w:cs="Arial"/>
          <w:sz w:val="20"/>
          <w:szCs w:val="20"/>
        </w:rPr>
        <w:t>T</w:t>
      </w:r>
      <w:r w:rsidR="00CB72F5" w:rsidRPr="00D47AD0">
        <w:rPr>
          <w:rFonts w:ascii="Arial" w:hAnsi="Arial" w:cs="Arial"/>
          <w:sz w:val="20"/>
          <w:szCs w:val="20"/>
        </w:rPr>
        <w:t xml:space="preserve">he Hong Kong </w:t>
      </w:r>
      <w:r>
        <w:rPr>
          <w:rFonts w:ascii="Arial" w:hAnsi="Arial" w:cs="Arial"/>
          <w:sz w:val="20"/>
          <w:szCs w:val="20"/>
        </w:rPr>
        <w:t xml:space="preserve">Stock </w:t>
      </w:r>
      <w:r w:rsidR="00CB72F5" w:rsidRPr="00D47AD0">
        <w:rPr>
          <w:rFonts w:ascii="Arial" w:hAnsi="Arial" w:cs="Arial"/>
          <w:sz w:val="20"/>
          <w:szCs w:val="20"/>
        </w:rPr>
        <w:t>Exchange (</w:t>
      </w:r>
      <w:r w:rsidR="00CB72F5" w:rsidRPr="00D47AD0">
        <w:rPr>
          <w:rFonts w:ascii="Arial" w:hAnsi="Arial" w:cs="Arial"/>
          <w:b/>
          <w:sz w:val="20"/>
          <w:szCs w:val="20"/>
        </w:rPr>
        <w:t>HKEx</w:t>
      </w:r>
      <w:r w:rsidR="00CB72F5" w:rsidRPr="00D47AD0">
        <w:rPr>
          <w:rFonts w:ascii="Arial" w:hAnsi="Arial" w:cs="Arial"/>
          <w:sz w:val="20"/>
          <w:szCs w:val="20"/>
        </w:rPr>
        <w:t xml:space="preserve">) published its </w:t>
      </w:r>
      <w:hyperlink r:id="rId9" w:history="1">
        <w:r w:rsidR="00AC0634" w:rsidRPr="00AC0634">
          <w:rPr>
            <w:rStyle w:val="a3"/>
            <w:rFonts w:ascii="Arial" w:hAnsi="Arial" w:cs="Arial"/>
            <w:sz w:val="20"/>
            <w:szCs w:val="20"/>
          </w:rPr>
          <w:t>8</w:t>
        </w:r>
        <w:r w:rsidR="002B6535" w:rsidRPr="00AC0634">
          <w:rPr>
            <w:rStyle w:val="a3"/>
            <w:rFonts w:ascii="Arial" w:hAnsi="Arial" w:cs="Arial"/>
            <w:sz w:val="20"/>
            <w:szCs w:val="20"/>
            <w:vertAlign w:val="superscript"/>
          </w:rPr>
          <w:t>th</w:t>
        </w:r>
        <w:r w:rsidR="002B6535" w:rsidRPr="00AC0634">
          <w:rPr>
            <w:rStyle w:val="a3"/>
            <w:rFonts w:ascii="Arial" w:hAnsi="Arial" w:cs="Arial"/>
            <w:sz w:val="20"/>
            <w:szCs w:val="20"/>
          </w:rPr>
          <w:t xml:space="preserve"> </w:t>
        </w:r>
        <w:r w:rsidR="00CB72F5" w:rsidRPr="00AC0634">
          <w:rPr>
            <w:rStyle w:val="a3"/>
            <w:rFonts w:ascii="Arial" w:hAnsi="Arial" w:cs="Arial"/>
            <w:sz w:val="20"/>
            <w:szCs w:val="20"/>
          </w:rPr>
          <w:t>Listed Issuer Regulation Newsletter</w:t>
        </w:r>
      </w:hyperlink>
      <w:r w:rsidR="007517C3" w:rsidRPr="00D47AD0">
        <w:rPr>
          <w:rFonts w:ascii="Arial" w:hAnsi="Arial" w:cs="Arial"/>
          <w:sz w:val="20"/>
          <w:szCs w:val="20"/>
        </w:rPr>
        <w:t xml:space="preserve"> (the</w:t>
      </w:r>
      <w:r w:rsidR="00D47AD0" w:rsidRPr="00D47AD0">
        <w:rPr>
          <w:rFonts w:ascii="Arial" w:hAnsi="Arial" w:cs="Arial"/>
          <w:sz w:val="20"/>
          <w:szCs w:val="20"/>
        </w:rPr>
        <w:t xml:space="preserve"> </w:t>
      </w:r>
      <w:r w:rsidR="00EB6360">
        <w:rPr>
          <w:rFonts w:ascii="Arial" w:hAnsi="Arial" w:cs="Arial"/>
          <w:b/>
          <w:sz w:val="20"/>
          <w:szCs w:val="20"/>
        </w:rPr>
        <w:t>HKE</w:t>
      </w:r>
      <w:r w:rsidR="00D47AD0" w:rsidRPr="00D47AD0">
        <w:rPr>
          <w:rFonts w:ascii="Arial" w:hAnsi="Arial" w:cs="Arial"/>
          <w:b/>
          <w:sz w:val="20"/>
          <w:szCs w:val="20"/>
        </w:rPr>
        <w:t>x</w:t>
      </w:r>
      <w:r w:rsidR="007517C3" w:rsidRPr="00D47AD0">
        <w:rPr>
          <w:rFonts w:ascii="Arial" w:hAnsi="Arial" w:cs="Arial"/>
          <w:b/>
          <w:sz w:val="20"/>
          <w:szCs w:val="20"/>
        </w:rPr>
        <w:t xml:space="preserve"> Newsletter</w:t>
      </w:r>
      <w:r w:rsidR="007517C3" w:rsidRPr="00D47AD0">
        <w:rPr>
          <w:rFonts w:ascii="Arial" w:hAnsi="Arial" w:cs="Arial"/>
          <w:sz w:val="20"/>
          <w:szCs w:val="20"/>
        </w:rPr>
        <w:t>)</w:t>
      </w:r>
      <w:r w:rsidR="00CB72F5" w:rsidRPr="00D47AD0">
        <w:rPr>
          <w:rFonts w:ascii="Arial" w:hAnsi="Arial" w:cs="Arial"/>
          <w:sz w:val="20"/>
          <w:szCs w:val="20"/>
        </w:rPr>
        <w:t xml:space="preserve"> </w:t>
      </w:r>
      <w:r>
        <w:rPr>
          <w:rFonts w:ascii="Arial" w:hAnsi="Arial" w:cs="Arial"/>
          <w:sz w:val="20"/>
          <w:szCs w:val="20"/>
        </w:rPr>
        <w:t xml:space="preserve">in </w:t>
      </w:r>
      <w:r w:rsidR="00AC0634">
        <w:rPr>
          <w:rFonts w:ascii="Arial" w:hAnsi="Arial" w:cs="Arial"/>
          <w:sz w:val="20"/>
          <w:szCs w:val="20"/>
        </w:rPr>
        <w:t>June 2023</w:t>
      </w:r>
      <w:r w:rsidR="00166EA3">
        <w:rPr>
          <w:rFonts w:ascii="Arial" w:hAnsi="Arial" w:cs="Arial"/>
          <w:sz w:val="20"/>
          <w:szCs w:val="20"/>
        </w:rPr>
        <w:t xml:space="preserve">, </w:t>
      </w:r>
      <w:r w:rsidR="00037F6A">
        <w:rPr>
          <w:rFonts w:ascii="Arial" w:hAnsi="Arial" w:cs="Arial"/>
          <w:sz w:val="20"/>
          <w:szCs w:val="20"/>
        </w:rPr>
        <w:t xml:space="preserve">with reminders relating </w:t>
      </w:r>
      <w:r w:rsidR="00166EA3">
        <w:rPr>
          <w:rFonts w:ascii="Arial" w:hAnsi="Arial" w:cs="Arial"/>
          <w:sz w:val="20"/>
          <w:szCs w:val="20"/>
        </w:rPr>
        <w:t>to audit</w:t>
      </w:r>
      <w:r w:rsidR="00037F6A">
        <w:rPr>
          <w:rFonts w:ascii="Arial" w:hAnsi="Arial" w:cs="Arial"/>
          <w:sz w:val="20"/>
          <w:szCs w:val="20"/>
        </w:rPr>
        <w:t>s</w:t>
      </w:r>
      <w:r w:rsidR="00166EA3">
        <w:rPr>
          <w:rFonts w:ascii="Arial" w:hAnsi="Arial" w:cs="Arial"/>
          <w:sz w:val="20"/>
          <w:szCs w:val="20"/>
        </w:rPr>
        <w:t xml:space="preserve"> and financial reporting, compliance with the </w:t>
      </w:r>
      <w:r w:rsidR="00037F6A">
        <w:rPr>
          <w:rFonts w:ascii="Arial" w:hAnsi="Arial" w:cs="Arial"/>
          <w:sz w:val="20"/>
          <w:szCs w:val="20"/>
        </w:rPr>
        <w:t xml:space="preserve">new </w:t>
      </w:r>
      <w:proofErr w:type="spellStart"/>
      <w:r w:rsidR="00037F6A">
        <w:rPr>
          <w:rFonts w:ascii="Arial" w:hAnsi="Arial" w:cs="Arial"/>
          <w:sz w:val="20"/>
          <w:szCs w:val="20"/>
        </w:rPr>
        <w:t>HKEx</w:t>
      </w:r>
      <w:proofErr w:type="spellEnd"/>
      <w:r w:rsidR="00037F6A">
        <w:rPr>
          <w:rFonts w:ascii="Arial" w:hAnsi="Arial" w:cs="Arial"/>
          <w:sz w:val="20"/>
          <w:szCs w:val="20"/>
        </w:rPr>
        <w:t xml:space="preserve"> </w:t>
      </w:r>
      <w:r w:rsidR="00166EA3">
        <w:rPr>
          <w:rFonts w:ascii="Arial" w:hAnsi="Arial" w:cs="Arial"/>
          <w:sz w:val="20"/>
          <w:szCs w:val="20"/>
        </w:rPr>
        <w:t>Listing Rules on share schemes and the disclosure of business valuation</w:t>
      </w:r>
      <w:r w:rsidR="00037F6A">
        <w:rPr>
          <w:rFonts w:ascii="Arial" w:hAnsi="Arial" w:cs="Arial"/>
          <w:sz w:val="20"/>
          <w:szCs w:val="20"/>
        </w:rPr>
        <w:t>s</w:t>
      </w:r>
      <w:r w:rsidR="00166EA3">
        <w:rPr>
          <w:rFonts w:ascii="Arial" w:hAnsi="Arial" w:cs="Arial"/>
          <w:sz w:val="20"/>
          <w:szCs w:val="20"/>
        </w:rPr>
        <w:t xml:space="preserve"> in transactions. </w:t>
      </w:r>
    </w:p>
    <w:p w:rsidR="003C4732" w:rsidRPr="00037F6A" w:rsidRDefault="00AC0634" w:rsidP="00D47AD0">
      <w:pPr>
        <w:jc w:val="both"/>
        <w:rPr>
          <w:rFonts w:ascii="Arial" w:hAnsi="Arial" w:cs="Arial"/>
          <w:color w:val="FF0000"/>
          <w:sz w:val="20"/>
          <w:szCs w:val="20"/>
        </w:rPr>
      </w:pPr>
      <w:r w:rsidRPr="00037F6A">
        <w:rPr>
          <w:rFonts w:ascii="Arial" w:hAnsi="Arial" w:cs="Arial"/>
          <w:color w:val="FF0000"/>
          <w:sz w:val="20"/>
          <w:szCs w:val="20"/>
        </w:rPr>
        <w:t>Auditing, Financial Reporting and related Internal Control Matters</w:t>
      </w:r>
    </w:p>
    <w:p w:rsidR="00AC0634" w:rsidRDefault="005E3D97" w:rsidP="00D47AD0">
      <w:pPr>
        <w:jc w:val="both"/>
        <w:rPr>
          <w:rFonts w:ascii="Arial" w:hAnsi="Arial" w:cs="Arial"/>
          <w:sz w:val="20"/>
          <w:szCs w:val="20"/>
        </w:rPr>
      </w:pPr>
      <w:r>
        <w:rPr>
          <w:rFonts w:ascii="Arial" w:hAnsi="Arial" w:cs="Arial"/>
          <w:sz w:val="20"/>
          <w:szCs w:val="20"/>
        </w:rPr>
        <w:t>The HKEx reminde</w:t>
      </w:r>
      <w:r w:rsidR="00037F6A">
        <w:rPr>
          <w:rFonts w:ascii="Arial" w:hAnsi="Arial" w:cs="Arial"/>
          <w:sz w:val="20"/>
          <w:szCs w:val="20"/>
        </w:rPr>
        <w:t>d issuers of the importance of</w:t>
      </w:r>
      <w:r>
        <w:rPr>
          <w:rFonts w:ascii="Arial" w:hAnsi="Arial" w:cs="Arial"/>
          <w:sz w:val="20"/>
          <w:szCs w:val="20"/>
        </w:rPr>
        <w:t xml:space="preserve"> timely publication of quality financial reports</w:t>
      </w:r>
      <w:r w:rsidR="00037F6A">
        <w:rPr>
          <w:rFonts w:ascii="Arial" w:hAnsi="Arial" w:cs="Arial"/>
          <w:sz w:val="20"/>
          <w:szCs w:val="20"/>
        </w:rPr>
        <w:t>, noting</w:t>
      </w:r>
      <w:r>
        <w:rPr>
          <w:rFonts w:ascii="Arial" w:hAnsi="Arial" w:cs="Arial"/>
          <w:sz w:val="20"/>
          <w:szCs w:val="20"/>
        </w:rPr>
        <w:t xml:space="preserve"> that </w:t>
      </w:r>
      <w:r w:rsidR="00653374">
        <w:rPr>
          <w:rFonts w:ascii="Arial" w:hAnsi="Arial" w:cs="Arial"/>
          <w:sz w:val="20"/>
          <w:szCs w:val="20"/>
        </w:rPr>
        <w:t xml:space="preserve">it had continued to </w:t>
      </w:r>
      <w:r w:rsidR="00FA425F">
        <w:rPr>
          <w:rFonts w:ascii="Arial" w:hAnsi="Arial" w:cs="Arial"/>
          <w:sz w:val="20"/>
          <w:szCs w:val="20"/>
        </w:rPr>
        <w:t>identify late changes in auditors</w:t>
      </w:r>
      <w:r>
        <w:rPr>
          <w:rFonts w:ascii="Arial" w:hAnsi="Arial" w:cs="Arial"/>
          <w:sz w:val="20"/>
          <w:szCs w:val="20"/>
        </w:rPr>
        <w:t xml:space="preserve">, </w:t>
      </w:r>
      <w:r w:rsidR="00037F6A">
        <w:rPr>
          <w:rFonts w:ascii="Arial" w:hAnsi="Arial" w:cs="Arial"/>
          <w:sz w:val="20"/>
          <w:szCs w:val="20"/>
        </w:rPr>
        <w:t xml:space="preserve">including </w:t>
      </w:r>
      <w:r w:rsidR="00DE4A91">
        <w:rPr>
          <w:rFonts w:ascii="Arial" w:hAnsi="Arial" w:cs="Arial"/>
          <w:sz w:val="20"/>
          <w:szCs w:val="20"/>
        </w:rPr>
        <w:t>issuers</w:t>
      </w:r>
      <w:r>
        <w:rPr>
          <w:rFonts w:ascii="Arial" w:hAnsi="Arial" w:cs="Arial"/>
          <w:sz w:val="20"/>
          <w:szCs w:val="20"/>
        </w:rPr>
        <w:t xml:space="preserve"> </w:t>
      </w:r>
      <w:r w:rsidR="00037F6A">
        <w:rPr>
          <w:rFonts w:ascii="Arial" w:hAnsi="Arial" w:cs="Arial"/>
          <w:sz w:val="20"/>
          <w:szCs w:val="20"/>
        </w:rPr>
        <w:t xml:space="preserve">which changed </w:t>
      </w:r>
      <w:r>
        <w:rPr>
          <w:rFonts w:ascii="Arial" w:hAnsi="Arial" w:cs="Arial"/>
          <w:sz w:val="20"/>
          <w:szCs w:val="20"/>
        </w:rPr>
        <w:t>auditors within 4 months of their audit deadline</w:t>
      </w:r>
      <w:r w:rsidR="0049434F">
        <w:rPr>
          <w:rFonts w:ascii="Arial" w:hAnsi="Arial" w:cs="Arial"/>
          <w:sz w:val="20"/>
          <w:szCs w:val="20"/>
        </w:rPr>
        <w:t xml:space="preserve">. The </w:t>
      </w:r>
      <w:proofErr w:type="spellStart"/>
      <w:r w:rsidR="00037F6A">
        <w:rPr>
          <w:rFonts w:ascii="Arial" w:hAnsi="Arial" w:cs="Arial"/>
          <w:sz w:val="20"/>
          <w:szCs w:val="20"/>
        </w:rPr>
        <w:t>HKEx</w:t>
      </w:r>
      <w:proofErr w:type="spellEnd"/>
      <w:r w:rsidR="00037F6A">
        <w:rPr>
          <w:rFonts w:ascii="Arial" w:hAnsi="Arial" w:cs="Arial"/>
          <w:sz w:val="20"/>
          <w:szCs w:val="20"/>
        </w:rPr>
        <w:t xml:space="preserve"> identified the </w:t>
      </w:r>
      <w:r w:rsidR="0049434F">
        <w:rPr>
          <w:rFonts w:ascii="Arial" w:hAnsi="Arial" w:cs="Arial"/>
          <w:sz w:val="20"/>
          <w:szCs w:val="20"/>
        </w:rPr>
        <w:t>following issues in</w:t>
      </w:r>
      <w:r w:rsidR="00037F6A">
        <w:rPr>
          <w:rFonts w:ascii="Arial" w:hAnsi="Arial" w:cs="Arial"/>
          <w:sz w:val="20"/>
          <w:szCs w:val="20"/>
        </w:rPr>
        <w:t xml:space="preserve"> its</w:t>
      </w:r>
      <w:r w:rsidR="0049434F">
        <w:rPr>
          <w:rFonts w:ascii="Arial" w:hAnsi="Arial" w:cs="Arial"/>
          <w:sz w:val="20"/>
          <w:szCs w:val="20"/>
        </w:rPr>
        <w:t xml:space="preserve"> review of issuers’ announcements on change of auditors:</w:t>
      </w:r>
      <w:r w:rsidR="00FA425F">
        <w:rPr>
          <w:rFonts w:ascii="Arial" w:hAnsi="Arial" w:cs="Arial"/>
          <w:sz w:val="20"/>
          <w:szCs w:val="20"/>
        </w:rPr>
        <w:t xml:space="preserve">  </w:t>
      </w:r>
    </w:p>
    <w:p w:rsidR="00FA425F" w:rsidRDefault="0049434F" w:rsidP="00FA425F">
      <w:pPr>
        <w:pStyle w:val="a8"/>
        <w:numPr>
          <w:ilvl w:val="0"/>
          <w:numId w:val="14"/>
        </w:numPr>
        <w:jc w:val="both"/>
        <w:rPr>
          <w:rFonts w:ascii="Arial" w:hAnsi="Arial" w:cs="Arial"/>
          <w:sz w:val="20"/>
          <w:szCs w:val="20"/>
        </w:rPr>
      </w:pPr>
      <w:r>
        <w:rPr>
          <w:rFonts w:ascii="Arial" w:hAnsi="Arial" w:cs="Arial"/>
          <w:sz w:val="20"/>
          <w:szCs w:val="20"/>
        </w:rPr>
        <w:t>issuers</w:t>
      </w:r>
      <w:r w:rsidR="00FA425F" w:rsidRPr="00FA425F">
        <w:rPr>
          <w:rFonts w:ascii="Arial" w:hAnsi="Arial" w:cs="Arial"/>
          <w:sz w:val="20"/>
          <w:szCs w:val="20"/>
        </w:rPr>
        <w:t xml:space="preserve"> appointed new auditors </w:t>
      </w:r>
      <w:r>
        <w:rPr>
          <w:rFonts w:ascii="Arial" w:hAnsi="Arial" w:cs="Arial"/>
          <w:sz w:val="20"/>
          <w:szCs w:val="20"/>
        </w:rPr>
        <w:t>in an attempt to</w:t>
      </w:r>
      <w:r w:rsidR="00FA425F" w:rsidRPr="00FA425F">
        <w:rPr>
          <w:rFonts w:ascii="Arial" w:hAnsi="Arial" w:cs="Arial"/>
          <w:sz w:val="20"/>
          <w:szCs w:val="20"/>
        </w:rPr>
        <w:t xml:space="preserve"> expedite the audit process, </w:t>
      </w:r>
      <w:r w:rsidR="00037F6A">
        <w:rPr>
          <w:rFonts w:ascii="Arial" w:hAnsi="Arial" w:cs="Arial"/>
          <w:sz w:val="20"/>
          <w:szCs w:val="20"/>
        </w:rPr>
        <w:t xml:space="preserve">notwithstanding </w:t>
      </w:r>
      <w:r w:rsidR="00FA425F" w:rsidRPr="00FA425F">
        <w:rPr>
          <w:rFonts w:ascii="Arial" w:hAnsi="Arial" w:cs="Arial"/>
          <w:sz w:val="20"/>
          <w:szCs w:val="20"/>
        </w:rPr>
        <w:t>that</w:t>
      </w:r>
      <w:r w:rsidR="00DE4A91">
        <w:rPr>
          <w:rFonts w:ascii="Arial" w:hAnsi="Arial" w:cs="Arial"/>
          <w:sz w:val="20"/>
          <w:szCs w:val="20"/>
        </w:rPr>
        <w:t xml:space="preserve"> </w:t>
      </w:r>
      <w:r w:rsidR="00FA425F" w:rsidRPr="00FA425F">
        <w:rPr>
          <w:rFonts w:ascii="Arial" w:hAnsi="Arial" w:cs="Arial"/>
          <w:sz w:val="20"/>
          <w:szCs w:val="20"/>
        </w:rPr>
        <w:t xml:space="preserve">audit issues </w:t>
      </w:r>
      <w:r w:rsidR="00DE4A91">
        <w:rPr>
          <w:rFonts w:ascii="Arial" w:hAnsi="Arial" w:cs="Arial"/>
          <w:sz w:val="20"/>
          <w:szCs w:val="20"/>
        </w:rPr>
        <w:t>had been</w:t>
      </w:r>
      <w:r w:rsidR="00FA425F" w:rsidRPr="00FA425F">
        <w:rPr>
          <w:rFonts w:ascii="Arial" w:hAnsi="Arial" w:cs="Arial"/>
          <w:sz w:val="20"/>
          <w:szCs w:val="20"/>
        </w:rPr>
        <w:t xml:space="preserve"> identified by </w:t>
      </w:r>
      <w:r w:rsidR="00DE4A91">
        <w:rPr>
          <w:rFonts w:ascii="Arial" w:hAnsi="Arial" w:cs="Arial"/>
          <w:sz w:val="20"/>
          <w:szCs w:val="20"/>
        </w:rPr>
        <w:t>the outgoing auditors</w:t>
      </w:r>
      <w:r w:rsidR="00CA0DFC">
        <w:rPr>
          <w:rFonts w:ascii="Arial" w:hAnsi="Arial" w:cs="Arial"/>
          <w:sz w:val="20"/>
          <w:szCs w:val="20"/>
        </w:rPr>
        <w:t>.</w:t>
      </w:r>
      <w:r w:rsidR="00DE4A91">
        <w:rPr>
          <w:rFonts w:ascii="Arial" w:hAnsi="Arial" w:cs="Arial"/>
          <w:sz w:val="20"/>
          <w:szCs w:val="20"/>
        </w:rPr>
        <w:t xml:space="preserve"> </w:t>
      </w:r>
      <w:r w:rsidR="00037F6A">
        <w:rPr>
          <w:rFonts w:ascii="Arial" w:hAnsi="Arial" w:cs="Arial"/>
          <w:sz w:val="20"/>
          <w:szCs w:val="20"/>
        </w:rPr>
        <w:t xml:space="preserve">However, </w:t>
      </w:r>
      <w:r w:rsidR="00037F6A" w:rsidRPr="00FA425F">
        <w:rPr>
          <w:rFonts w:ascii="Arial" w:hAnsi="Arial" w:cs="Arial"/>
          <w:sz w:val="20"/>
          <w:szCs w:val="20"/>
        </w:rPr>
        <w:t>issuers</w:t>
      </w:r>
      <w:r w:rsidR="00037F6A">
        <w:rPr>
          <w:rFonts w:ascii="Arial" w:hAnsi="Arial" w:cs="Arial"/>
          <w:sz w:val="20"/>
          <w:szCs w:val="20"/>
        </w:rPr>
        <w:t>’</w:t>
      </w:r>
      <w:r w:rsidR="00037F6A" w:rsidRPr="00FA425F">
        <w:rPr>
          <w:rFonts w:ascii="Arial" w:hAnsi="Arial" w:cs="Arial"/>
          <w:sz w:val="20"/>
          <w:szCs w:val="20"/>
        </w:rPr>
        <w:t xml:space="preserve"> </w:t>
      </w:r>
      <w:r w:rsidR="00FA425F" w:rsidRPr="00FA425F">
        <w:rPr>
          <w:rFonts w:ascii="Arial" w:hAnsi="Arial" w:cs="Arial"/>
          <w:sz w:val="20"/>
          <w:szCs w:val="20"/>
        </w:rPr>
        <w:t xml:space="preserve">initial announcements </w:t>
      </w:r>
      <w:r w:rsidR="00037F6A">
        <w:rPr>
          <w:rFonts w:ascii="Arial" w:hAnsi="Arial" w:cs="Arial"/>
          <w:sz w:val="20"/>
          <w:szCs w:val="20"/>
        </w:rPr>
        <w:t xml:space="preserve">failed to </w:t>
      </w:r>
      <w:r w:rsidR="00FA425F" w:rsidRPr="00FA425F">
        <w:rPr>
          <w:rFonts w:ascii="Arial" w:hAnsi="Arial" w:cs="Arial"/>
          <w:sz w:val="20"/>
          <w:szCs w:val="20"/>
        </w:rPr>
        <w:t>explain</w:t>
      </w:r>
      <w:r>
        <w:rPr>
          <w:rFonts w:ascii="Arial" w:hAnsi="Arial" w:cs="Arial"/>
          <w:sz w:val="20"/>
          <w:szCs w:val="20"/>
        </w:rPr>
        <w:t xml:space="preserve"> why </w:t>
      </w:r>
      <w:r w:rsidR="00FA425F" w:rsidRPr="00FA425F">
        <w:rPr>
          <w:rFonts w:ascii="Arial" w:hAnsi="Arial" w:cs="Arial"/>
          <w:sz w:val="20"/>
          <w:szCs w:val="20"/>
        </w:rPr>
        <w:t>th</w:t>
      </w:r>
      <w:r>
        <w:rPr>
          <w:rFonts w:ascii="Arial" w:hAnsi="Arial" w:cs="Arial"/>
          <w:sz w:val="20"/>
          <w:szCs w:val="20"/>
        </w:rPr>
        <w:t xml:space="preserve">e change </w:t>
      </w:r>
      <w:r w:rsidR="00037F6A">
        <w:rPr>
          <w:rFonts w:ascii="Arial" w:hAnsi="Arial" w:cs="Arial"/>
          <w:sz w:val="20"/>
          <w:szCs w:val="20"/>
        </w:rPr>
        <w:t xml:space="preserve">of auditors </w:t>
      </w:r>
      <w:r>
        <w:rPr>
          <w:rFonts w:ascii="Arial" w:hAnsi="Arial" w:cs="Arial"/>
          <w:sz w:val="20"/>
          <w:szCs w:val="20"/>
        </w:rPr>
        <w:t xml:space="preserve">would expedite </w:t>
      </w:r>
      <w:r w:rsidR="00FA425F" w:rsidRPr="00FA425F">
        <w:rPr>
          <w:rFonts w:ascii="Arial" w:hAnsi="Arial" w:cs="Arial"/>
          <w:sz w:val="20"/>
          <w:szCs w:val="20"/>
        </w:rPr>
        <w:t xml:space="preserve">the audit </w:t>
      </w:r>
      <w:r w:rsidR="00037F6A">
        <w:rPr>
          <w:rFonts w:ascii="Arial" w:hAnsi="Arial" w:cs="Arial"/>
          <w:sz w:val="20"/>
          <w:szCs w:val="20"/>
        </w:rPr>
        <w:t xml:space="preserve">process </w:t>
      </w:r>
      <w:r w:rsidR="00FA425F" w:rsidRPr="00FA425F">
        <w:rPr>
          <w:rFonts w:ascii="Arial" w:hAnsi="Arial" w:cs="Arial"/>
          <w:sz w:val="20"/>
          <w:szCs w:val="20"/>
        </w:rPr>
        <w:t xml:space="preserve">or resolve the audit issues. </w:t>
      </w:r>
      <w:r w:rsidR="00037F6A">
        <w:rPr>
          <w:rFonts w:ascii="Arial" w:hAnsi="Arial" w:cs="Arial"/>
          <w:sz w:val="20"/>
          <w:szCs w:val="20"/>
        </w:rPr>
        <w:t>A</w:t>
      </w:r>
      <w:r w:rsidR="00FA425F" w:rsidRPr="00FA425F">
        <w:rPr>
          <w:rFonts w:ascii="Arial" w:hAnsi="Arial" w:cs="Arial"/>
          <w:sz w:val="20"/>
          <w:szCs w:val="20"/>
        </w:rPr>
        <w:t>nnouncements also failed to disclose the role of the audit comm</w:t>
      </w:r>
      <w:r w:rsidR="00DE4A91">
        <w:rPr>
          <w:rFonts w:ascii="Arial" w:hAnsi="Arial" w:cs="Arial"/>
          <w:sz w:val="20"/>
          <w:szCs w:val="20"/>
        </w:rPr>
        <w:t xml:space="preserve">ittees and their actions </w:t>
      </w:r>
      <w:r w:rsidR="00037F6A">
        <w:rPr>
          <w:rFonts w:ascii="Arial" w:hAnsi="Arial" w:cs="Arial"/>
          <w:sz w:val="20"/>
          <w:szCs w:val="20"/>
        </w:rPr>
        <w:t xml:space="preserve">in relation </w:t>
      </w:r>
      <w:r w:rsidR="00FA425F" w:rsidRPr="00FA425F">
        <w:rPr>
          <w:rFonts w:ascii="Arial" w:hAnsi="Arial" w:cs="Arial"/>
          <w:sz w:val="20"/>
          <w:szCs w:val="20"/>
        </w:rPr>
        <w:t>to the audi</w:t>
      </w:r>
      <w:r>
        <w:rPr>
          <w:rFonts w:ascii="Arial" w:hAnsi="Arial" w:cs="Arial"/>
          <w:sz w:val="20"/>
          <w:szCs w:val="20"/>
        </w:rPr>
        <w:t>t process or the auditor change;</w:t>
      </w:r>
      <w:r w:rsidR="00DE4A91">
        <w:rPr>
          <w:rFonts w:ascii="Arial" w:hAnsi="Arial" w:cs="Arial"/>
          <w:sz w:val="20"/>
          <w:szCs w:val="20"/>
        </w:rPr>
        <w:t xml:space="preserve"> and</w:t>
      </w:r>
    </w:p>
    <w:p w:rsidR="00CA0DFC" w:rsidRDefault="00CA0DFC" w:rsidP="00CA0DFC">
      <w:pPr>
        <w:pStyle w:val="a8"/>
        <w:jc w:val="both"/>
        <w:rPr>
          <w:rFonts w:ascii="Arial" w:hAnsi="Arial" w:cs="Arial"/>
          <w:sz w:val="20"/>
          <w:szCs w:val="20"/>
        </w:rPr>
      </w:pPr>
    </w:p>
    <w:p w:rsidR="00CA0DFC" w:rsidRPr="00CA0DFC" w:rsidRDefault="00CA0DFC" w:rsidP="00CA0DFC">
      <w:pPr>
        <w:pStyle w:val="a8"/>
        <w:numPr>
          <w:ilvl w:val="0"/>
          <w:numId w:val="14"/>
        </w:numPr>
        <w:jc w:val="both"/>
        <w:rPr>
          <w:rFonts w:ascii="Arial" w:hAnsi="Arial" w:cs="Arial"/>
          <w:sz w:val="20"/>
          <w:szCs w:val="20"/>
        </w:rPr>
      </w:pPr>
      <w:r>
        <w:rPr>
          <w:rFonts w:ascii="Arial" w:hAnsi="Arial" w:cs="Arial"/>
          <w:sz w:val="20"/>
          <w:szCs w:val="20"/>
        </w:rPr>
        <w:t xml:space="preserve">disagreements over audit fees were </w:t>
      </w:r>
      <w:r w:rsidR="0049434F">
        <w:rPr>
          <w:rFonts w:ascii="Arial" w:hAnsi="Arial" w:cs="Arial"/>
          <w:sz w:val="20"/>
          <w:szCs w:val="20"/>
        </w:rPr>
        <w:t>one of the main reasons for late auditor resignation</w:t>
      </w:r>
      <w:r w:rsidR="00DE4A91">
        <w:rPr>
          <w:rFonts w:ascii="Arial" w:hAnsi="Arial" w:cs="Arial"/>
          <w:sz w:val="20"/>
          <w:szCs w:val="20"/>
        </w:rPr>
        <w:t xml:space="preserve">. The HKEx </w:t>
      </w:r>
      <w:r>
        <w:rPr>
          <w:rFonts w:ascii="Arial" w:hAnsi="Arial" w:cs="Arial"/>
          <w:sz w:val="20"/>
          <w:szCs w:val="20"/>
        </w:rPr>
        <w:t>noted</w:t>
      </w:r>
      <w:r w:rsidR="00DE4A91">
        <w:rPr>
          <w:rFonts w:ascii="Arial" w:hAnsi="Arial" w:cs="Arial"/>
          <w:sz w:val="20"/>
          <w:szCs w:val="20"/>
        </w:rPr>
        <w:t xml:space="preserve"> that issuer</w:t>
      </w:r>
      <w:r w:rsidR="0049434F">
        <w:rPr>
          <w:rFonts w:ascii="Arial" w:hAnsi="Arial" w:cs="Arial"/>
          <w:sz w:val="20"/>
          <w:szCs w:val="20"/>
        </w:rPr>
        <w:t>s</w:t>
      </w:r>
      <w:r w:rsidR="00DE4A91">
        <w:rPr>
          <w:rFonts w:ascii="Arial" w:hAnsi="Arial" w:cs="Arial"/>
          <w:sz w:val="20"/>
          <w:szCs w:val="20"/>
        </w:rPr>
        <w:t>’</w:t>
      </w:r>
      <w:r w:rsidR="0049434F">
        <w:rPr>
          <w:rFonts w:ascii="Arial" w:hAnsi="Arial" w:cs="Arial"/>
          <w:sz w:val="20"/>
          <w:szCs w:val="20"/>
        </w:rPr>
        <w:t xml:space="preserve"> audit committees should monitor the timing of the </w:t>
      </w:r>
      <w:r w:rsidR="00037F6A">
        <w:rPr>
          <w:rFonts w:ascii="Arial" w:hAnsi="Arial" w:cs="Arial"/>
          <w:sz w:val="20"/>
          <w:szCs w:val="20"/>
        </w:rPr>
        <w:t xml:space="preserve">issuers’ </w:t>
      </w:r>
      <w:r w:rsidR="0049434F">
        <w:rPr>
          <w:rFonts w:ascii="Arial" w:hAnsi="Arial" w:cs="Arial"/>
          <w:sz w:val="20"/>
          <w:szCs w:val="20"/>
        </w:rPr>
        <w:t xml:space="preserve">audit fee discussions to minimise the </w:t>
      </w:r>
      <w:r w:rsidR="005E3D97">
        <w:rPr>
          <w:rFonts w:ascii="Arial" w:hAnsi="Arial" w:cs="Arial"/>
          <w:sz w:val="20"/>
          <w:szCs w:val="20"/>
        </w:rPr>
        <w:t>chances</w:t>
      </w:r>
      <w:r>
        <w:rPr>
          <w:rFonts w:ascii="Arial" w:hAnsi="Arial" w:cs="Arial"/>
          <w:sz w:val="20"/>
          <w:szCs w:val="20"/>
        </w:rPr>
        <w:t xml:space="preserve"> of a late change</w:t>
      </w:r>
      <w:r w:rsidR="00037F6A">
        <w:rPr>
          <w:rFonts w:ascii="Arial" w:hAnsi="Arial" w:cs="Arial"/>
          <w:sz w:val="20"/>
          <w:szCs w:val="20"/>
        </w:rPr>
        <w:t xml:space="preserve"> of auditor</w:t>
      </w:r>
      <w:r>
        <w:rPr>
          <w:rFonts w:ascii="Arial" w:hAnsi="Arial" w:cs="Arial"/>
          <w:sz w:val="20"/>
          <w:szCs w:val="20"/>
        </w:rPr>
        <w:t>; and</w:t>
      </w:r>
    </w:p>
    <w:p w:rsidR="00CA0DFC" w:rsidRPr="00CA0DFC" w:rsidRDefault="00CA0DFC" w:rsidP="00CA0DFC">
      <w:pPr>
        <w:pStyle w:val="a8"/>
        <w:jc w:val="both"/>
        <w:rPr>
          <w:rFonts w:ascii="Arial" w:hAnsi="Arial" w:cs="Arial"/>
          <w:sz w:val="20"/>
          <w:szCs w:val="20"/>
        </w:rPr>
      </w:pPr>
    </w:p>
    <w:p w:rsidR="00DE4A91" w:rsidRPr="00CA0DFC" w:rsidRDefault="0049434F" w:rsidP="0049434F">
      <w:pPr>
        <w:pStyle w:val="a8"/>
        <w:numPr>
          <w:ilvl w:val="0"/>
          <w:numId w:val="14"/>
        </w:numPr>
        <w:jc w:val="both"/>
        <w:rPr>
          <w:rFonts w:ascii="Arial" w:hAnsi="Arial" w:cs="Arial"/>
          <w:sz w:val="20"/>
          <w:szCs w:val="20"/>
        </w:rPr>
      </w:pPr>
      <w:r w:rsidRPr="00CA0DFC">
        <w:rPr>
          <w:rFonts w:ascii="Arial" w:hAnsi="Arial" w:cs="Arial"/>
          <w:sz w:val="20"/>
          <w:szCs w:val="20"/>
        </w:rPr>
        <w:t xml:space="preserve">audit </w:t>
      </w:r>
      <w:r w:rsidR="00037F6A" w:rsidRPr="00CA0DFC">
        <w:rPr>
          <w:rFonts w:ascii="Arial" w:hAnsi="Arial" w:cs="Arial"/>
          <w:sz w:val="20"/>
          <w:szCs w:val="20"/>
        </w:rPr>
        <w:t xml:space="preserve">modifications </w:t>
      </w:r>
      <w:r w:rsidRPr="00CA0DFC">
        <w:rPr>
          <w:rFonts w:ascii="Arial" w:hAnsi="Arial" w:cs="Arial"/>
          <w:sz w:val="20"/>
          <w:szCs w:val="20"/>
        </w:rPr>
        <w:t>and de</w:t>
      </w:r>
      <w:r w:rsidR="00DE4A91" w:rsidRPr="00CA0DFC">
        <w:rPr>
          <w:rFonts w:ascii="Arial" w:hAnsi="Arial" w:cs="Arial"/>
          <w:sz w:val="20"/>
          <w:szCs w:val="20"/>
        </w:rPr>
        <w:t xml:space="preserve">lays in financial reporting were </w:t>
      </w:r>
      <w:r w:rsidRPr="00CA0DFC">
        <w:rPr>
          <w:rFonts w:ascii="Arial" w:hAnsi="Arial" w:cs="Arial"/>
          <w:sz w:val="20"/>
          <w:szCs w:val="20"/>
        </w:rPr>
        <w:t xml:space="preserve">often </w:t>
      </w:r>
      <w:r w:rsidR="00037F6A">
        <w:rPr>
          <w:rFonts w:ascii="Arial" w:hAnsi="Arial" w:cs="Arial"/>
          <w:sz w:val="20"/>
          <w:szCs w:val="20"/>
        </w:rPr>
        <w:t xml:space="preserve">the result of </w:t>
      </w:r>
      <w:r w:rsidRPr="00CA0DFC">
        <w:rPr>
          <w:rFonts w:ascii="Arial" w:hAnsi="Arial" w:cs="Arial"/>
          <w:sz w:val="20"/>
          <w:szCs w:val="20"/>
        </w:rPr>
        <w:t>issuers' inability to provide</w:t>
      </w:r>
      <w:r w:rsidR="00DE4A91" w:rsidRPr="00CA0DFC">
        <w:rPr>
          <w:rFonts w:ascii="Arial" w:hAnsi="Arial" w:cs="Arial"/>
          <w:sz w:val="20"/>
          <w:szCs w:val="20"/>
        </w:rPr>
        <w:t xml:space="preserve"> the</w:t>
      </w:r>
      <w:r w:rsidRPr="00CA0DFC">
        <w:rPr>
          <w:rFonts w:ascii="Arial" w:hAnsi="Arial" w:cs="Arial"/>
          <w:sz w:val="20"/>
          <w:szCs w:val="20"/>
        </w:rPr>
        <w:t xml:space="preserve"> necessary records, insufficient audit evidence</w:t>
      </w:r>
      <w:r w:rsidR="005E3D97" w:rsidRPr="00CA0DFC">
        <w:rPr>
          <w:rFonts w:ascii="Arial" w:hAnsi="Arial" w:cs="Arial"/>
          <w:sz w:val="20"/>
          <w:szCs w:val="20"/>
        </w:rPr>
        <w:t xml:space="preserve"> and information </w:t>
      </w:r>
      <w:r w:rsidR="00F379F7">
        <w:rPr>
          <w:rFonts w:ascii="Arial" w:hAnsi="Arial" w:cs="Arial"/>
          <w:sz w:val="20"/>
          <w:szCs w:val="20"/>
        </w:rPr>
        <w:t xml:space="preserve">being </w:t>
      </w:r>
      <w:r w:rsidR="005E3D97" w:rsidRPr="00CA0DFC">
        <w:rPr>
          <w:rFonts w:ascii="Arial" w:hAnsi="Arial" w:cs="Arial"/>
          <w:sz w:val="20"/>
          <w:szCs w:val="20"/>
        </w:rPr>
        <w:t>available to</w:t>
      </w:r>
      <w:r w:rsidR="00DE4A91" w:rsidRPr="00CA0DFC">
        <w:rPr>
          <w:rFonts w:ascii="Arial" w:hAnsi="Arial" w:cs="Arial"/>
          <w:sz w:val="20"/>
          <w:szCs w:val="20"/>
        </w:rPr>
        <w:t xml:space="preserve"> </w:t>
      </w:r>
      <w:r w:rsidR="005E3D97" w:rsidRPr="00CA0DFC">
        <w:rPr>
          <w:rFonts w:ascii="Arial" w:hAnsi="Arial" w:cs="Arial"/>
          <w:sz w:val="20"/>
          <w:szCs w:val="20"/>
        </w:rPr>
        <w:t>auditors</w:t>
      </w:r>
      <w:r w:rsidRPr="00CA0DFC">
        <w:rPr>
          <w:rFonts w:ascii="Arial" w:hAnsi="Arial" w:cs="Arial"/>
          <w:sz w:val="20"/>
          <w:szCs w:val="20"/>
        </w:rPr>
        <w:t>, and irregularities in transactions</w:t>
      </w:r>
      <w:r w:rsidR="005E3D97" w:rsidRPr="00CA0DFC">
        <w:rPr>
          <w:rFonts w:ascii="Arial" w:hAnsi="Arial" w:cs="Arial"/>
          <w:sz w:val="20"/>
          <w:szCs w:val="20"/>
        </w:rPr>
        <w:t xml:space="preserve"> uncovered by auditors</w:t>
      </w:r>
      <w:r w:rsidRPr="00CA0DFC">
        <w:rPr>
          <w:rFonts w:ascii="Arial" w:hAnsi="Arial" w:cs="Arial"/>
          <w:sz w:val="20"/>
          <w:szCs w:val="20"/>
        </w:rPr>
        <w:t>.</w:t>
      </w:r>
      <w:r w:rsidR="00F17245" w:rsidRPr="00CA0DFC">
        <w:rPr>
          <w:rFonts w:ascii="Arial" w:hAnsi="Arial" w:cs="Arial"/>
          <w:sz w:val="20"/>
          <w:szCs w:val="20"/>
        </w:rPr>
        <w:t xml:space="preserve"> </w:t>
      </w:r>
    </w:p>
    <w:p w:rsidR="0049434F" w:rsidRPr="0049434F" w:rsidRDefault="00F379F7" w:rsidP="0049434F">
      <w:pPr>
        <w:jc w:val="both"/>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HKEx</w:t>
      </w:r>
      <w:proofErr w:type="spellEnd"/>
      <w:r>
        <w:rPr>
          <w:rFonts w:ascii="Arial" w:hAnsi="Arial" w:cs="Arial"/>
          <w:sz w:val="20"/>
          <w:szCs w:val="20"/>
        </w:rPr>
        <w:t xml:space="preserve"> urged i</w:t>
      </w:r>
      <w:r w:rsidR="00F17245">
        <w:rPr>
          <w:rFonts w:ascii="Arial" w:hAnsi="Arial" w:cs="Arial"/>
          <w:sz w:val="20"/>
          <w:szCs w:val="20"/>
        </w:rPr>
        <w:t>ssuers and their audit committees</w:t>
      </w:r>
      <w:r w:rsidR="00CA0DFC">
        <w:rPr>
          <w:rFonts w:ascii="Arial" w:hAnsi="Arial" w:cs="Arial"/>
          <w:sz w:val="20"/>
          <w:szCs w:val="20"/>
        </w:rPr>
        <w:t xml:space="preserve"> </w:t>
      </w:r>
      <w:r w:rsidR="00F17245">
        <w:rPr>
          <w:rFonts w:ascii="Arial" w:hAnsi="Arial" w:cs="Arial"/>
          <w:sz w:val="20"/>
          <w:szCs w:val="20"/>
        </w:rPr>
        <w:t>to</w:t>
      </w:r>
      <w:r w:rsidR="00F17245" w:rsidRPr="00F17245">
        <w:t xml:space="preserve"> </w:t>
      </w:r>
      <w:r w:rsidR="00F17245" w:rsidRPr="00F17245">
        <w:rPr>
          <w:rFonts w:ascii="Arial" w:hAnsi="Arial" w:cs="Arial"/>
          <w:sz w:val="20"/>
          <w:szCs w:val="20"/>
        </w:rPr>
        <w:t xml:space="preserve">actively manage the audit process, understand </w:t>
      </w:r>
      <w:r w:rsidR="005E3D97">
        <w:rPr>
          <w:rFonts w:ascii="Arial" w:hAnsi="Arial" w:cs="Arial"/>
          <w:sz w:val="20"/>
          <w:szCs w:val="20"/>
        </w:rPr>
        <w:t xml:space="preserve">the nature and root causes of </w:t>
      </w:r>
      <w:r w:rsidR="00F17245" w:rsidRPr="00F17245">
        <w:rPr>
          <w:rFonts w:ascii="Arial" w:hAnsi="Arial" w:cs="Arial"/>
          <w:sz w:val="20"/>
          <w:szCs w:val="20"/>
        </w:rPr>
        <w:t>outstanding issues,</w:t>
      </w:r>
      <w:r w:rsidR="00F17245">
        <w:rPr>
          <w:rFonts w:ascii="Arial" w:hAnsi="Arial" w:cs="Arial"/>
          <w:sz w:val="20"/>
          <w:szCs w:val="20"/>
        </w:rPr>
        <w:t xml:space="preserve"> agree on </w:t>
      </w:r>
      <w:r w:rsidR="00F17245" w:rsidRPr="00F17245">
        <w:rPr>
          <w:rFonts w:ascii="Arial" w:hAnsi="Arial" w:cs="Arial"/>
          <w:sz w:val="20"/>
          <w:szCs w:val="20"/>
        </w:rPr>
        <w:t>plans and timelines</w:t>
      </w:r>
      <w:r w:rsidR="00F17245">
        <w:rPr>
          <w:rFonts w:ascii="Arial" w:hAnsi="Arial" w:cs="Arial"/>
          <w:sz w:val="20"/>
          <w:szCs w:val="20"/>
        </w:rPr>
        <w:t xml:space="preserve"> to resolve issues</w:t>
      </w:r>
      <w:r w:rsidR="00F17245" w:rsidRPr="00F17245">
        <w:rPr>
          <w:rFonts w:ascii="Arial" w:hAnsi="Arial" w:cs="Arial"/>
          <w:sz w:val="20"/>
          <w:szCs w:val="20"/>
        </w:rPr>
        <w:t>, monitor progress, and intervene when necessary.</w:t>
      </w:r>
      <w:r w:rsidR="00F17245">
        <w:rPr>
          <w:rFonts w:ascii="Arial" w:hAnsi="Arial" w:cs="Arial"/>
          <w:sz w:val="20"/>
          <w:szCs w:val="20"/>
        </w:rPr>
        <w:t xml:space="preserve"> The HKEx also stated that audit committees’ actions</w:t>
      </w:r>
      <w:r w:rsidR="00CA0DFC">
        <w:rPr>
          <w:rFonts w:ascii="Arial" w:hAnsi="Arial" w:cs="Arial"/>
          <w:sz w:val="20"/>
          <w:szCs w:val="20"/>
        </w:rPr>
        <w:t xml:space="preserve"> in </w:t>
      </w:r>
      <w:r w:rsidR="00F17245">
        <w:rPr>
          <w:rFonts w:ascii="Arial" w:hAnsi="Arial" w:cs="Arial"/>
          <w:sz w:val="20"/>
          <w:szCs w:val="20"/>
        </w:rPr>
        <w:t xml:space="preserve">relation to auditor change and the effectiveness of issuers’ internal control systems </w:t>
      </w:r>
      <w:r>
        <w:rPr>
          <w:rFonts w:ascii="Arial" w:hAnsi="Arial" w:cs="Arial"/>
          <w:sz w:val="20"/>
          <w:szCs w:val="20"/>
        </w:rPr>
        <w:t xml:space="preserve">will </w:t>
      </w:r>
      <w:r w:rsidR="00F17245">
        <w:rPr>
          <w:rFonts w:ascii="Arial" w:hAnsi="Arial" w:cs="Arial"/>
          <w:sz w:val="20"/>
          <w:szCs w:val="20"/>
        </w:rPr>
        <w:t xml:space="preserve">be their main focus in terms of </w:t>
      </w:r>
      <w:r>
        <w:rPr>
          <w:rFonts w:ascii="Arial" w:hAnsi="Arial" w:cs="Arial"/>
          <w:sz w:val="20"/>
          <w:szCs w:val="20"/>
        </w:rPr>
        <w:t xml:space="preserve">monitoring issuers’ </w:t>
      </w:r>
      <w:proofErr w:type="spellStart"/>
      <w:r>
        <w:rPr>
          <w:rFonts w:ascii="Arial" w:hAnsi="Arial" w:cs="Arial"/>
          <w:sz w:val="20"/>
          <w:szCs w:val="20"/>
        </w:rPr>
        <w:t>HKEx</w:t>
      </w:r>
      <w:proofErr w:type="spellEnd"/>
      <w:r>
        <w:rPr>
          <w:rFonts w:ascii="Arial" w:hAnsi="Arial" w:cs="Arial"/>
          <w:sz w:val="20"/>
          <w:szCs w:val="20"/>
        </w:rPr>
        <w:t xml:space="preserve"> </w:t>
      </w:r>
      <w:r w:rsidR="00F17245">
        <w:rPr>
          <w:rFonts w:ascii="Arial" w:hAnsi="Arial" w:cs="Arial"/>
          <w:sz w:val="20"/>
          <w:szCs w:val="20"/>
        </w:rPr>
        <w:t>Listing Rules compliance this year</w:t>
      </w:r>
      <w:r w:rsidR="00CA0DFC">
        <w:rPr>
          <w:rFonts w:ascii="Arial" w:hAnsi="Arial" w:cs="Arial"/>
          <w:sz w:val="20"/>
          <w:szCs w:val="20"/>
        </w:rPr>
        <w:t>. It</w:t>
      </w:r>
      <w:r w:rsidR="00F17245">
        <w:rPr>
          <w:rFonts w:ascii="Arial" w:hAnsi="Arial" w:cs="Arial"/>
          <w:sz w:val="20"/>
          <w:szCs w:val="20"/>
        </w:rPr>
        <w:t xml:space="preserve"> advised </w:t>
      </w:r>
      <w:r w:rsidR="00CA0DFC">
        <w:rPr>
          <w:rFonts w:ascii="Arial" w:hAnsi="Arial" w:cs="Arial"/>
          <w:sz w:val="20"/>
          <w:szCs w:val="20"/>
        </w:rPr>
        <w:t xml:space="preserve">issuers </w:t>
      </w:r>
      <w:r>
        <w:rPr>
          <w:rFonts w:ascii="Arial" w:hAnsi="Arial" w:cs="Arial"/>
          <w:sz w:val="20"/>
          <w:szCs w:val="20"/>
        </w:rPr>
        <w:t xml:space="preserve">to identify any deficiencies in their internal controls and ensure </w:t>
      </w:r>
      <w:r w:rsidR="00CA0DFC">
        <w:rPr>
          <w:rFonts w:ascii="Arial" w:hAnsi="Arial" w:cs="Arial"/>
          <w:sz w:val="20"/>
          <w:szCs w:val="20"/>
        </w:rPr>
        <w:t>that</w:t>
      </w:r>
      <w:r w:rsidR="00F17245">
        <w:rPr>
          <w:rFonts w:ascii="Arial" w:hAnsi="Arial" w:cs="Arial"/>
          <w:sz w:val="20"/>
          <w:szCs w:val="20"/>
        </w:rPr>
        <w:t xml:space="preserve"> appropriate remedial measures </w:t>
      </w:r>
      <w:r>
        <w:rPr>
          <w:rFonts w:ascii="Arial" w:hAnsi="Arial" w:cs="Arial"/>
          <w:sz w:val="20"/>
          <w:szCs w:val="20"/>
        </w:rPr>
        <w:t xml:space="preserve">are </w:t>
      </w:r>
      <w:r w:rsidR="00F17245">
        <w:rPr>
          <w:rFonts w:ascii="Arial" w:hAnsi="Arial" w:cs="Arial"/>
          <w:sz w:val="20"/>
          <w:szCs w:val="20"/>
        </w:rPr>
        <w:t xml:space="preserve">taken to strengthen </w:t>
      </w:r>
      <w:r>
        <w:rPr>
          <w:rFonts w:ascii="Arial" w:hAnsi="Arial" w:cs="Arial"/>
          <w:sz w:val="20"/>
          <w:szCs w:val="20"/>
        </w:rPr>
        <w:t xml:space="preserve">their </w:t>
      </w:r>
      <w:r w:rsidR="00F17245">
        <w:rPr>
          <w:rFonts w:ascii="Arial" w:hAnsi="Arial" w:cs="Arial"/>
          <w:sz w:val="20"/>
          <w:szCs w:val="20"/>
        </w:rPr>
        <w:t xml:space="preserve">internal control systems. </w:t>
      </w:r>
    </w:p>
    <w:p w:rsidR="003C4732" w:rsidRPr="00D45274" w:rsidRDefault="00AC0634" w:rsidP="00D47AD0">
      <w:pPr>
        <w:jc w:val="both"/>
        <w:rPr>
          <w:rFonts w:ascii="Arial" w:hAnsi="Arial" w:cs="Arial"/>
          <w:color w:val="FF0000"/>
          <w:sz w:val="20"/>
          <w:szCs w:val="20"/>
        </w:rPr>
      </w:pPr>
      <w:r w:rsidRPr="00D45274">
        <w:rPr>
          <w:rFonts w:ascii="Arial" w:hAnsi="Arial" w:cs="Arial"/>
          <w:color w:val="FF0000"/>
          <w:sz w:val="20"/>
          <w:szCs w:val="20"/>
        </w:rPr>
        <w:t xml:space="preserve">Compliance with new </w:t>
      </w:r>
      <w:proofErr w:type="spellStart"/>
      <w:r w:rsidR="003D522F" w:rsidRPr="00D45274">
        <w:rPr>
          <w:rFonts w:ascii="Arial" w:hAnsi="Arial" w:cs="Arial"/>
          <w:color w:val="FF0000"/>
          <w:sz w:val="20"/>
          <w:szCs w:val="20"/>
        </w:rPr>
        <w:t>HKEx</w:t>
      </w:r>
      <w:proofErr w:type="spellEnd"/>
      <w:r w:rsidR="003D522F" w:rsidRPr="00D45274">
        <w:rPr>
          <w:rFonts w:ascii="Arial" w:hAnsi="Arial" w:cs="Arial"/>
          <w:color w:val="FF0000"/>
          <w:sz w:val="20"/>
          <w:szCs w:val="20"/>
        </w:rPr>
        <w:t xml:space="preserve"> Listing </w:t>
      </w:r>
      <w:r w:rsidRPr="00D45274">
        <w:rPr>
          <w:rFonts w:ascii="Arial" w:hAnsi="Arial" w:cs="Arial"/>
          <w:color w:val="FF0000"/>
          <w:sz w:val="20"/>
          <w:szCs w:val="20"/>
        </w:rPr>
        <w:t>Rules on Share Schemes</w:t>
      </w:r>
    </w:p>
    <w:p w:rsidR="00DE4A91" w:rsidRDefault="003D522F" w:rsidP="00D02594">
      <w:pPr>
        <w:jc w:val="both"/>
        <w:rPr>
          <w:rFonts w:ascii="Arial" w:hAnsi="Arial" w:cs="Arial"/>
          <w:sz w:val="20"/>
          <w:szCs w:val="20"/>
        </w:rPr>
      </w:pPr>
      <w:r>
        <w:rPr>
          <w:rFonts w:ascii="Arial" w:hAnsi="Arial" w:cs="Arial"/>
          <w:sz w:val="20"/>
          <w:szCs w:val="20"/>
        </w:rPr>
        <w:t xml:space="preserve">As regards </w:t>
      </w:r>
      <w:r w:rsidR="00947F18">
        <w:rPr>
          <w:rFonts w:ascii="Arial" w:hAnsi="Arial" w:cs="Arial"/>
          <w:sz w:val="20"/>
          <w:szCs w:val="20"/>
        </w:rPr>
        <w:t xml:space="preserve">the new </w:t>
      </w:r>
      <w:proofErr w:type="spellStart"/>
      <w:r>
        <w:rPr>
          <w:rFonts w:ascii="Arial" w:hAnsi="Arial" w:cs="Arial"/>
          <w:sz w:val="20"/>
          <w:szCs w:val="20"/>
        </w:rPr>
        <w:t>HKEx</w:t>
      </w:r>
      <w:proofErr w:type="spellEnd"/>
      <w:r>
        <w:rPr>
          <w:rFonts w:ascii="Arial" w:hAnsi="Arial" w:cs="Arial"/>
          <w:sz w:val="20"/>
          <w:szCs w:val="20"/>
        </w:rPr>
        <w:t xml:space="preserve"> </w:t>
      </w:r>
      <w:r w:rsidR="00947F18">
        <w:rPr>
          <w:rFonts w:ascii="Arial" w:hAnsi="Arial" w:cs="Arial"/>
          <w:sz w:val="20"/>
          <w:szCs w:val="20"/>
        </w:rPr>
        <w:t>Listing Rules on share schemes</w:t>
      </w:r>
      <w:r>
        <w:rPr>
          <w:rFonts w:ascii="Arial" w:hAnsi="Arial" w:cs="Arial"/>
          <w:sz w:val="20"/>
          <w:szCs w:val="20"/>
        </w:rPr>
        <w:t xml:space="preserve"> which took effect on 1 January 2023</w:t>
      </w:r>
      <w:r w:rsidR="00947F18">
        <w:rPr>
          <w:rFonts w:ascii="Arial" w:hAnsi="Arial" w:cs="Arial"/>
          <w:sz w:val="20"/>
          <w:szCs w:val="20"/>
        </w:rPr>
        <w:t xml:space="preserve">, the </w:t>
      </w:r>
      <w:proofErr w:type="spellStart"/>
      <w:r w:rsidR="00947F18">
        <w:rPr>
          <w:rFonts w:ascii="Arial" w:hAnsi="Arial" w:cs="Arial"/>
          <w:sz w:val="20"/>
          <w:szCs w:val="20"/>
        </w:rPr>
        <w:t>HKEx</w:t>
      </w:r>
      <w:proofErr w:type="spellEnd"/>
      <w:r w:rsidR="00947F18">
        <w:rPr>
          <w:rFonts w:ascii="Arial" w:hAnsi="Arial" w:cs="Arial"/>
          <w:sz w:val="20"/>
          <w:szCs w:val="20"/>
        </w:rPr>
        <w:t xml:space="preserve"> reminded issuers of the minimum </w:t>
      </w:r>
      <w:r>
        <w:rPr>
          <w:rFonts w:ascii="Arial" w:hAnsi="Arial" w:cs="Arial"/>
          <w:sz w:val="20"/>
          <w:szCs w:val="20"/>
        </w:rPr>
        <w:t xml:space="preserve">12-month </w:t>
      </w:r>
      <w:r w:rsidR="00947F18">
        <w:rPr>
          <w:rFonts w:ascii="Arial" w:hAnsi="Arial" w:cs="Arial"/>
          <w:sz w:val="20"/>
          <w:szCs w:val="20"/>
        </w:rPr>
        <w:t xml:space="preserve">vesting period for </w:t>
      </w:r>
      <w:r>
        <w:rPr>
          <w:rFonts w:ascii="Arial" w:hAnsi="Arial" w:cs="Arial"/>
          <w:sz w:val="20"/>
          <w:szCs w:val="20"/>
        </w:rPr>
        <w:t xml:space="preserve">the grant of </w:t>
      </w:r>
      <w:r w:rsidR="00947F18">
        <w:rPr>
          <w:rFonts w:ascii="Arial" w:hAnsi="Arial" w:cs="Arial"/>
          <w:sz w:val="20"/>
          <w:szCs w:val="20"/>
        </w:rPr>
        <w:t>options or awards</w:t>
      </w:r>
      <w:r w:rsidR="00C43DA3">
        <w:rPr>
          <w:rFonts w:ascii="Arial" w:hAnsi="Arial" w:cs="Arial"/>
          <w:sz w:val="20"/>
          <w:szCs w:val="20"/>
        </w:rPr>
        <w:t xml:space="preserve"> under </w:t>
      </w:r>
      <w:r w:rsidR="00CA0DFC">
        <w:rPr>
          <w:rFonts w:ascii="Arial" w:hAnsi="Arial" w:cs="Arial"/>
          <w:sz w:val="20"/>
          <w:szCs w:val="20"/>
        </w:rPr>
        <w:t xml:space="preserve">Main Board </w:t>
      </w:r>
      <w:r>
        <w:rPr>
          <w:rFonts w:ascii="Arial" w:hAnsi="Arial" w:cs="Arial"/>
          <w:sz w:val="20"/>
          <w:szCs w:val="20"/>
        </w:rPr>
        <w:t xml:space="preserve">Listing Rule 17.03F and </w:t>
      </w:r>
      <w:r w:rsidR="005F26A5" w:rsidRPr="005F26A5">
        <w:rPr>
          <w:rFonts w:ascii="Arial" w:hAnsi="Arial" w:cs="Arial"/>
          <w:sz w:val="20"/>
          <w:szCs w:val="20"/>
        </w:rPr>
        <w:t xml:space="preserve">GEM </w:t>
      </w:r>
      <w:r>
        <w:rPr>
          <w:rFonts w:ascii="Arial" w:hAnsi="Arial" w:cs="Arial"/>
          <w:sz w:val="20"/>
          <w:szCs w:val="20"/>
        </w:rPr>
        <w:t xml:space="preserve">Listing </w:t>
      </w:r>
      <w:r w:rsidR="005F26A5" w:rsidRPr="005F26A5">
        <w:rPr>
          <w:rFonts w:ascii="Arial" w:hAnsi="Arial" w:cs="Arial"/>
          <w:sz w:val="20"/>
          <w:szCs w:val="20"/>
        </w:rPr>
        <w:t>Rule 23.03F</w:t>
      </w:r>
      <w:r w:rsidR="00084F62">
        <w:rPr>
          <w:rFonts w:ascii="Arial" w:hAnsi="Arial" w:cs="Arial"/>
          <w:sz w:val="20"/>
          <w:szCs w:val="20"/>
        </w:rPr>
        <w:t>. However</w:t>
      </w:r>
      <w:r w:rsidR="00F1080A">
        <w:rPr>
          <w:rFonts w:ascii="Arial" w:hAnsi="Arial" w:cs="Arial"/>
          <w:sz w:val="20"/>
          <w:szCs w:val="20"/>
        </w:rPr>
        <w:t xml:space="preserve">, </w:t>
      </w:r>
      <w:r w:rsidR="00DE4A91">
        <w:rPr>
          <w:rFonts w:ascii="Arial" w:hAnsi="Arial" w:cs="Arial"/>
          <w:sz w:val="20"/>
          <w:szCs w:val="20"/>
        </w:rPr>
        <w:t xml:space="preserve">it noted </w:t>
      </w:r>
      <w:r>
        <w:rPr>
          <w:rFonts w:ascii="Arial" w:hAnsi="Arial" w:cs="Arial"/>
          <w:sz w:val="20"/>
          <w:szCs w:val="20"/>
        </w:rPr>
        <w:t xml:space="preserve">that grants </w:t>
      </w:r>
      <w:r w:rsidR="00D45274">
        <w:rPr>
          <w:rFonts w:ascii="Arial" w:hAnsi="Arial" w:cs="Arial"/>
          <w:sz w:val="20"/>
          <w:szCs w:val="20"/>
        </w:rPr>
        <w:t xml:space="preserve">will be exempt from the 12-month vesting period requirement where they are made to employee participants in specific circumstances set out in the scheme document. </w:t>
      </w:r>
      <w:hyperlink r:id="rId10" w:history="1">
        <w:r w:rsidR="00A87C7B" w:rsidRPr="003D522F">
          <w:rPr>
            <w:rStyle w:val="a3"/>
            <w:rFonts w:ascii="Arial" w:hAnsi="Arial" w:cs="Arial"/>
            <w:sz w:val="20"/>
            <w:szCs w:val="20"/>
          </w:rPr>
          <w:t>FAQ No.092-2022</w:t>
        </w:r>
      </w:hyperlink>
      <w:r w:rsidR="00D45274">
        <w:rPr>
          <w:rFonts w:ascii="Arial" w:hAnsi="Arial" w:cs="Arial"/>
          <w:sz w:val="20"/>
          <w:szCs w:val="20"/>
        </w:rPr>
        <w:t xml:space="preserve"> sets out examples of circumstances which the </w:t>
      </w:r>
      <w:proofErr w:type="spellStart"/>
      <w:r w:rsidR="00D45274">
        <w:rPr>
          <w:rFonts w:ascii="Arial" w:hAnsi="Arial" w:cs="Arial"/>
          <w:sz w:val="20"/>
          <w:szCs w:val="20"/>
        </w:rPr>
        <w:t>HKEx</w:t>
      </w:r>
      <w:proofErr w:type="spellEnd"/>
      <w:r w:rsidR="00D45274">
        <w:rPr>
          <w:rFonts w:ascii="Arial" w:hAnsi="Arial" w:cs="Arial"/>
          <w:sz w:val="20"/>
          <w:szCs w:val="20"/>
        </w:rPr>
        <w:t xml:space="preserve"> will consider justifiable, including </w:t>
      </w:r>
      <w:r w:rsidR="005E3D97">
        <w:rPr>
          <w:rFonts w:ascii="Arial" w:hAnsi="Arial" w:cs="Arial"/>
          <w:sz w:val="20"/>
          <w:szCs w:val="20"/>
        </w:rPr>
        <w:t xml:space="preserve">grants of “make-whole” awards to new joiners to replace the forfeited awards, </w:t>
      </w:r>
      <w:r w:rsidR="00CA0DFC">
        <w:rPr>
          <w:rFonts w:ascii="Arial" w:hAnsi="Arial" w:cs="Arial"/>
          <w:sz w:val="20"/>
          <w:szCs w:val="20"/>
        </w:rPr>
        <w:t xml:space="preserve">grants </w:t>
      </w:r>
      <w:r w:rsidR="005E3D97">
        <w:rPr>
          <w:rFonts w:ascii="Arial" w:hAnsi="Arial" w:cs="Arial"/>
          <w:sz w:val="20"/>
          <w:szCs w:val="20"/>
        </w:rPr>
        <w:t xml:space="preserve">to a participant whose employment ended due to death or disability or </w:t>
      </w:r>
      <w:r w:rsidR="00CA0DFC">
        <w:rPr>
          <w:rFonts w:ascii="Arial" w:hAnsi="Arial" w:cs="Arial"/>
          <w:sz w:val="20"/>
          <w:szCs w:val="20"/>
        </w:rPr>
        <w:t xml:space="preserve">an </w:t>
      </w:r>
      <w:r w:rsidR="005E3D97">
        <w:rPr>
          <w:rFonts w:ascii="Arial" w:hAnsi="Arial" w:cs="Arial"/>
          <w:sz w:val="20"/>
          <w:szCs w:val="20"/>
        </w:rPr>
        <w:t xml:space="preserve">“out of control event”, </w:t>
      </w:r>
      <w:r w:rsidR="00D45274">
        <w:rPr>
          <w:rFonts w:ascii="Arial" w:hAnsi="Arial" w:cs="Arial"/>
          <w:sz w:val="20"/>
          <w:szCs w:val="20"/>
        </w:rPr>
        <w:t xml:space="preserve">grants with </w:t>
      </w:r>
      <w:r w:rsidR="005E3D97">
        <w:rPr>
          <w:rFonts w:ascii="Arial" w:hAnsi="Arial" w:cs="Arial"/>
          <w:sz w:val="20"/>
          <w:szCs w:val="20"/>
        </w:rPr>
        <w:t>performance-based vesting conditions</w:t>
      </w:r>
      <w:r w:rsidR="00D45274">
        <w:rPr>
          <w:rFonts w:ascii="Arial" w:hAnsi="Arial" w:cs="Arial"/>
          <w:sz w:val="20"/>
          <w:szCs w:val="20"/>
        </w:rPr>
        <w:t xml:space="preserve"> instead of time-based vesting criteria</w:t>
      </w:r>
      <w:r w:rsidR="005E3D97">
        <w:rPr>
          <w:rFonts w:ascii="Arial" w:hAnsi="Arial" w:cs="Arial"/>
          <w:sz w:val="20"/>
          <w:szCs w:val="20"/>
        </w:rPr>
        <w:t xml:space="preserve">. </w:t>
      </w:r>
      <w:r w:rsidR="00A87C7B">
        <w:rPr>
          <w:rFonts w:ascii="Arial" w:hAnsi="Arial" w:cs="Arial"/>
          <w:sz w:val="20"/>
          <w:szCs w:val="20"/>
        </w:rPr>
        <w:t xml:space="preserve"> </w:t>
      </w:r>
    </w:p>
    <w:p w:rsidR="00F17245" w:rsidRDefault="00A87C7B" w:rsidP="00D02594">
      <w:pPr>
        <w:jc w:val="both"/>
        <w:rPr>
          <w:rFonts w:ascii="Arial" w:hAnsi="Arial" w:cs="Arial"/>
          <w:sz w:val="20"/>
          <w:szCs w:val="20"/>
        </w:rPr>
      </w:pPr>
      <w:r>
        <w:rPr>
          <w:rFonts w:ascii="Arial" w:hAnsi="Arial" w:cs="Arial"/>
          <w:sz w:val="20"/>
          <w:szCs w:val="20"/>
        </w:rPr>
        <w:t>The HKEx observed that some circumstances</w:t>
      </w:r>
      <w:r w:rsidR="00DE4A91">
        <w:rPr>
          <w:rFonts w:ascii="Arial" w:hAnsi="Arial" w:cs="Arial"/>
          <w:sz w:val="20"/>
          <w:szCs w:val="20"/>
        </w:rPr>
        <w:t xml:space="preserve"> </w:t>
      </w:r>
      <w:r>
        <w:rPr>
          <w:rFonts w:ascii="Arial" w:hAnsi="Arial" w:cs="Arial"/>
          <w:sz w:val="20"/>
          <w:szCs w:val="20"/>
        </w:rPr>
        <w:t>cited by issuers</w:t>
      </w:r>
      <w:r w:rsidR="00F148B1">
        <w:rPr>
          <w:rFonts w:ascii="Arial" w:hAnsi="Arial" w:cs="Arial"/>
          <w:sz w:val="20"/>
          <w:szCs w:val="20"/>
        </w:rPr>
        <w:t xml:space="preserve"> for shorter vesting period</w:t>
      </w:r>
      <w:r w:rsidR="00D45274">
        <w:rPr>
          <w:rFonts w:ascii="Arial" w:hAnsi="Arial" w:cs="Arial"/>
          <w:sz w:val="20"/>
          <w:szCs w:val="20"/>
        </w:rPr>
        <w:t>s</w:t>
      </w:r>
      <w:r>
        <w:rPr>
          <w:rFonts w:ascii="Arial" w:hAnsi="Arial" w:cs="Arial"/>
          <w:sz w:val="20"/>
          <w:szCs w:val="20"/>
        </w:rPr>
        <w:t xml:space="preserve"> were too generic</w:t>
      </w:r>
      <w:r w:rsidR="00CA0DFC">
        <w:rPr>
          <w:rFonts w:ascii="Arial" w:hAnsi="Arial" w:cs="Arial"/>
          <w:sz w:val="20"/>
          <w:szCs w:val="20"/>
        </w:rPr>
        <w:t>,</w:t>
      </w:r>
      <w:r>
        <w:rPr>
          <w:rFonts w:ascii="Arial" w:hAnsi="Arial" w:cs="Arial"/>
          <w:sz w:val="20"/>
          <w:szCs w:val="20"/>
        </w:rPr>
        <w:t xml:space="preserve"> such as</w:t>
      </w:r>
      <w:r w:rsidR="00D02594" w:rsidRPr="00D02594">
        <w:rPr>
          <w:rFonts w:ascii="Arial" w:hAnsi="Arial" w:cs="Arial"/>
          <w:sz w:val="20"/>
          <w:szCs w:val="20"/>
        </w:rPr>
        <w:t xml:space="preserve"> “</w:t>
      </w:r>
      <w:r w:rsidR="00D02594" w:rsidRPr="00D45274">
        <w:rPr>
          <w:rFonts w:ascii="Arial" w:hAnsi="Arial" w:cs="Arial"/>
          <w:i/>
          <w:sz w:val="20"/>
          <w:szCs w:val="20"/>
        </w:rPr>
        <w:t>any circumstances as the board considers appropriate at the time of grant</w:t>
      </w:r>
      <w:r w:rsidR="00D02594">
        <w:rPr>
          <w:rFonts w:ascii="Arial" w:hAnsi="Arial" w:cs="Arial"/>
          <w:sz w:val="20"/>
          <w:szCs w:val="20"/>
        </w:rPr>
        <w:t xml:space="preserve">” and </w:t>
      </w:r>
      <w:r w:rsidR="002A12AB" w:rsidRPr="002A12AB">
        <w:rPr>
          <w:rFonts w:ascii="Arial" w:hAnsi="Arial" w:cs="Arial"/>
          <w:sz w:val="20"/>
          <w:szCs w:val="20"/>
        </w:rPr>
        <w:t>“</w:t>
      </w:r>
      <w:r w:rsidR="002A12AB" w:rsidRPr="00D45274">
        <w:rPr>
          <w:rFonts w:ascii="Arial" w:hAnsi="Arial" w:cs="Arial"/>
          <w:i/>
          <w:sz w:val="20"/>
          <w:szCs w:val="20"/>
        </w:rPr>
        <w:t xml:space="preserve">circumstances to </w:t>
      </w:r>
      <w:r w:rsidR="002A12AB" w:rsidRPr="00D45274">
        <w:rPr>
          <w:rFonts w:ascii="Arial" w:hAnsi="Arial" w:cs="Arial"/>
          <w:i/>
          <w:sz w:val="20"/>
          <w:szCs w:val="20"/>
        </w:rPr>
        <w:lastRenderedPageBreak/>
        <w:t>recognise the past performance of the employees</w:t>
      </w:r>
      <w:r w:rsidR="002A12AB" w:rsidRPr="002A12AB">
        <w:rPr>
          <w:rFonts w:ascii="Arial" w:hAnsi="Arial" w:cs="Arial"/>
          <w:sz w:val="20"/>
          <w:szCs w:val="20"/>
        </w:rPr>
        <w:t>”</w:t>
      </w:r>
      <w:r w:rsidR="00D45274">
        <w:rPr>
          <w:rFonts w:ascii="Arial" w:hAnsi="Arial" w:cs="Arial"/>
          <w:sz w:val="20"/>
          <w:szCs w:val="20"/>
        </w:rPr>
        <w:t>.</w:t>
      </w:r>
      <w:r w:rsidR="00CC4DEA">
        <w:rPr>
          <w:rStyle w:val="a7"/>
          <w:rFonts w:ascii="Arial" w:hAnsi="Arial" w:cs="Arial"/>
          <w:sz w:val="20"/>
          <w:szCs w:val="20"/>
        </w:rPr>
        <w:footnoteReference w:id="1"/>
      </w:r>
      <w:r w:rsidR="00D45274">
        <w:rPr>
          <w:rFonts w:ascii="Arial" w:hAnsi="Arial" w:cs="Arial"/>
          <w:sz w:val="20"/>
          <w:szCs w:val="20"/>
        </w:rPr>
        <w:t xml:space="preserve"> It commented that </w:t>
      </w:r>
      <w:r w:rsidR="002A12AB" w:rsidRPr="002A12AB">
        <w:rPr>
          <w:rFonts w:ascii="Arial" w:hAnsi="Arial" w:cs="Arial"/>
          <w:sz w:val="20"/>
          <w:szCs w:val="20"/>
        </w:rPr>
        <w:t xml:space="preserve">the former lacked </w:t>
      </w:r>
      <w:r w:rsidR="00C80409">
        <w:rPr>
          <w:rFonts w:ascii="Arial" w:hAnsi="Arial" w:cs="Arial"/>
          <w:sz w:val="20"/>
          <w:szCs w:val="20"/>
        </w:rPr>
        <w:t>“</w:t>
      </w:r>
      <w:r w:rsidR="002A12AB" w:rsidRPr="00D45274">
        <w:rPr>
          <w:rFonts w:ascii="Arial" w:hAnsi="Arial" w:cs="Arial"/>
          <w:i/>
          <w:sz w:val="20"/>
          <w:szCs w:val="20"/>
        </w:rPr>
        <w:t>specific criterion to assess a shorter vesting period</w:t>
      </w:r>
      <w:r w:rsidR="00C80409">
        <w:rPr>
          <w:rFonts w:ascii="Arial" w:hAnsi="Arial" w:cs="Arial"/>
          <w:sz w:val="20"/>
          <w:szCs w:val="20"/>
        </w:rPr>
        <w:t>”</w:t>
      </w:r>
      <w:r w:rsidR="00CA0DFC">
        <w:rPr>
          <w:rFonts w:ascii="Arial" w:hAnsi="Arial" w:cs="Arial"/>
          <w:sz w:val="20"/>
          <w:szCs w:val="20"/>
        </w:rPr>
        <w:t xml:space="preserve">, </w:t>
      </w:r>
      <w:r w:rsidR="00D45274">
        <w:rPr>
          <w:rFonts w:ascii="Arial" w:hAnsi="Arial" w:cs="Arial"/>
          <w:sz w:val="20"/>
          <w:szCs w:val="20"/>
        </w:rPr>
        <w:t xml:space="preserve">while </w:t>
      </w:r>
      <w:r w:rsidR="002A12AB" w:rsidRPr="002A12AB">
        <w:rPr>
          <w:rFonts w:ascii="Arial" w:hAnsi="Arial" w:cs="Arial"/>
          <w:sz w:val="20"/>
          <w:szCs w:val="20"/>
        </w:rPr>
        <w:t>the latter did not support the purpose of share schemes</w:t>
      </w:r>
      <w:r w:rsidR="00CA0DFC">
        <w:rPr>
          <w:rFonts w:ascii="Arial" w:hAnsi="Arial" w:cs="Arial"/>
          <w:sz w:val="20"/>
          <w:szCs w:val="20"/>
        </w:rPr>
        <w:t>,</w:t>
      </w:r>
      <w:r w:rsidR="002A12AB" w:rsidRPr="002A12AB">
        <w:rPr>
          <w:rFonts w:ascii="Arial" w:hAnsi="Arial" w:cs="Arial"/>
          <w:sz w:val="20"/>
          <w:szCs w:val="20"/>
        </w:rPr>
        <w:t xml:space="preserve"> which </w:t>
      </w:r>
      <w:r w:rsidR="00CA0DFC">
        <w:rPr>
          <w:rFonts w:ascii="Arial" w:hAnsi="Arial" w:cs="Arial"/>
          <w:sz w:val="20"/>
          <w:szCs w:val="20"/>
        </w:rPr>
        <w:t>is</w:t>
      </w:r>
      <w:r w:rsidR="002A12AB" w:rsidRPr="002A12AB">
        <w:rPr>
          <w:rFonts w:ascii="Arial" w:hAnsi="Arial" w:cs="Arial"/>
          <w:sz w:val="20"/>
          <w:szCs w:val="20"/>
        </w:rPr>
        <w:t xml:space="preserve"> “</w:t>
      </w:r>
      <w:r w:rsidR="002A12AB" w:rsidRPr="00D45274">
        <w:rPr>
          <w:rFonts w:ascii="Arial" w:hAnsi="Arial" w:cs="Arial"/>
          <w:i/>
          <w:sz w:val="20"/>
          <w:szCs w:val="20"/>
        </w:rPr>
        <w:t>to incentivise the grantees to contribute to the long term growth of the issuer</w:t>
      </w:r>
      <w:r w:rsidR="002A12AB" w:rsidRPr="002A12AB">
        <w:rPr>
          <w:rFonts w:ascii="Arial" w:hAnsi="Arial" w:cs="Arial"/>
          <w:sz w:val="20"/>
          <w:szCs w:val="20"/>
        </w:rPr>
        <w:t>”.</w:t>
      </w:r>
      <w:r w:rsidR="002A12AB">
        <w:t xml:space="preserve"> </w:t>
      </w:r>
    </w:p>
    <w:p w:rsidR="00433429" w:rsidRPr="00947F18" w:rsidRDefault="00D45274" w:rsidP="002A12AB">
      <w:pPr>
        <w:jc w:val="both"/>
        <w:rPr>
          <w:rFonts w:ascii="Arial" w:hAnsi="Arial" w:cs="Arial"/>
          <w:sz w:val="20"/>
          <w:szCs w:val="20"/>
        </w:rPr>
      </w:pPr>
      <w:r>
        <w:rPr>
          <w:rFonts w:ascii="Arial" w:hAnsi="Arial" w:cs="Arial"/>
          <w:sz w:val="20"/>
          <w:szCs w:val="20"/>
        </w:rPr>
        <w:t xml:space="preserve">As regards </w:t>
      </w:r>
      <w:r w:rsidR="00433429">
        <w:rPr>
          <w:rFonts w:ascii="Arial" w:hAnsi="Arial" w:cs="Arial"/>
          <w:sz w:val="20"/>
          <w:szCs w:val="20"/>
        </w:rPr>
        <w:t>performance targets,</w:t>
      </w:r>
      <w:r w:rsidR="00493557">
        <w:rPr>
          <w:rFonts w:ascii="Arial" w:hAnsi="Arial" w:cs="Arial"/>
          <w:sz w:val="20"/>
          <w:szCs w:val="20"/>
        </w:rPr>
        <w:t xml:space="preserve"> </w:t>
      </w:r>
      <w:r w:rsidR="001F61C1">
        <w:rPr>
          <w:rFonts w:ascii="Arial" w:hAnsi="Arial" w:cs="Arial"/>
          <w:sz w:val="20"/>
          <w:szCs w:val="20"/>
        </w:rPr>
        <w:t xml:space="preserve">Main Board </w:t>
      </w:r>
      <w:r>
        <w:rPr>
          <w:rFonts w:ascii="Arial" w:hAnsi="Arial" w:cs="Arial"/>
          <w:sz w:val="20"/>
          <w:szCs w:val="20"/>
        </w:rPr>
        <w:t xml:space="preserve">Listing </w:t>
      </w:r>
      <w:r w:rsidR="001F61C1">
        <w:rPr>
          <w:rFonts w:ascii="Arial" w:hAnsi="Arial" w:cs="Arial"/>
          <w:sz w:val="20"/>
          <w:szCs w:val="20"/>
        </w:rPr>
        <w:t>Rul</w:t>
      </w:r>
      <w:r>
        <w:rPr>
          <w:rFonts w:ascii="Arial" w:hAnsi="Arial" w:cs="Arial"/>
          <w:sz w:val="20"/>
          <w:szCs w:val="20"/>
        </w:rPr>
        <w:t xml:space="preserve">e 17.03(7) and </w:t>
      </w:r>
      <w:r w:rsidR="001F61C1" w:rsidRPr="001F61C1">
        <w:rPr>
          <w:rFonts w:ascii="Arial" w:hAnsi="Arial" w:cs="Arial"/>
          <w:sz w:val="20"/>
          <w:szCs w:val="20"/>
        </w:rPr>
        <w:t xml:space="preserve">GEM </w:t>
      </w:r>
      <w:r>
        <w:rPr>
          <w:rFonts w:ascii="Arial" w:hAnsi="Arial" w:cs="Arial"/>
          <w:sz w:val="20"/>
          <w:szCs w:val="20"/>
        </w:rPr>
        <w:t>Listing</w:t>
      </w:r>
      <w:r w:rsidRPr="001F61C1">
        <w:rPr>
          <w:rFonts w:ascii="Arial" w:hAnsi="Arial" w:cs="Arial"/>
          <w:sz w:val="20"/>
          <w:szCs w:val="20"/>
        </w:rPr>
        <w:t xml:space="preserve"> </w:t>
      </w:r>
      <w:r w:rsidR="001F61C1" w:rsidRPr="001F61C1">
        <w:rPr>
          <w:rFonts w:ascii="Arial" w:hAnsi="Arial" w:cs="Arial"/>
          <w:sz w:val="20"/>
          <w:szCs w:val="20"/>
        </w:rPr>
        <w:t>Rule 23.0</w:t>
      </w:r>
      <w:r w:rsidR="001F61C1">
        <w:rPr>
          <w:rFonts w:ascii="Arial" w:hAnsi="Arial" w:cs="Arial"/>
          <w:sz w:val="20"/>
          <w:szCs w:val="20"/>
        </w:rPr>
        <w:t xml:space="preserve">3(7) </w:t>
      </w:r>
      <w:r>
        <w:rPr>
          <w:rFonts w:ascii="Arial" w:hAnsi="Arial" w:cs="Arial"/>
          <w:sz w:val="20"/>
          <w:szCs w:val="20"/>
        </w:rPr>
        <w:t>require</w:t>
      </w:r>
      <w:r w:rsidR="002A12AB">
        <w:rPr>
          <w:rFonts w:ascii="Arial" w:hAnsi="Arial" w:cs="Arial"/>
          <w:sz w:val="20"/>
          <w:szCs w:val="20"/>
        </w:rPr>
        <w:t xml:space="preserve"> a scheme document to provide a description (</w:t>
      </w:r>
      <w:r>
        <w:rPr>
          <w:rFonts w:ascii="Arial" w:hAnsi="Arial" w:cs="Arial"/>
          <w:sz w:val="20"/>
          <w:szCs w:val="20"/>
        </w:rPr>
        <w:t xml:space="preserve">which can be </w:t>
      </w:r>
      <w:r w:rsidR="002A12AB">
        <w:rPr>
          <w:rFonts w:ascii="Arial" w:hAnsi="Arial" w:cs="Arial"/>
          <w:sz w:val="20"/>
          <w:szCs w:val="20"/>
        </w:rPr>
        <w:t>qualitative) of the performance targets attached to the options or awards to be granted</w:t>
      </w:r>
      <w:r w:rsidR="00C80409">
        <w:rPr>
          <w:rFonts w:ascii="Arial" w:hAnsi="Arial" w:cs="Arial"/>
          <w:sz w:val="20"/>
          <w:szCs w:val="20"/>
        </w:rPr>
        <w:t xml:space="preserve">, </w:t>
      </w:r>
      <w:r w:rsidR="002A12AB">
        <w:rPr>
          <w:rFonts w:ascii="Arial" w:hAnsi="Arial" w:cs="Arial"/>
          <w:sz w:val="20"/>
          <w:szCs w:val="20"/>
        </w:rPr>
        <w:t>or a negative statement. The HKEx again noted</w:t>
      </w:r>
      <w:r w:rsidR="00CA0DFC">
        <w:rPr>
          <w:rFonts w:ascii="Arial" w:hAnsi="Arial" w:cs="Arial"/>
          <w:sz w:val="20"/>
          <w:szCs w:val="20"/>
        </w:rPr>
        <w:t xml:space="preserve"> that</w:t>
      </w:r>
      <w:r w:rsidR="002A12AB">
        <w:rPr>
          <w:rFonts w:ascii="Arial" w:hAnsi="Arial" w:cs="Arial"/>
          <w:sz w:val="20"/>
          <w:szCs w:val="20"/>
        </w:rPr>
        <w:t xml:space="preserve"> some performance targets in scheme documents were too generic</w:t>
      </w:r>
      <w:r w:rsidR="00CC4DEA">
        <w:rPr>
          <w:rFonts w:ascii="Arial" w:hAnsi="Arial" w:cs="Arial"/>
          <w:sz w:val="20"/>
          <w:szCs w:val="20"/>
        </w:rPr>
        <w:t xml:space="preserve"> and failed to set out the criteria for assessing whether the performance target would be met</w:t>
      </w:r>
      <w:r w:rsidR="002A12AB">
        <w:rPr>
          <w:rFonts w:ascii="Arial" w:hAnsi="Arial" w:cs="Arial"/>
          <w:sz w:val="20"/>
          <w:szCs w:val="20"/>
        </w:rPr>
        <w:t>. One such example would be “</w:t>
      </w:r>
      <w:r w:rsidR="002A12AB" w:rsidRPr="00D45274">
        <w:rPr>
          <w:rFonts w:ascii="Arial" w:hAnsi="Arial" w:cs="Arial"/>
          <w:i/>
          <w:sz w:val="20"/>
          <w:szCs w:val="20"/>
        </w:rPr>
        <w:t>the vesting of the options granted is subject to satisfactory performance of the employee participant</w:t>
      </w:r>
      <w:r w:rsidR="002A12AB" w:rsidRPr="002A12AB">
        <w:rPr>
          <w:rFonts w:ascii="Arial" w:hAnsi="Arial" w:cs="Arial"/>
          <w:sz w:val="20"/>
          <w:szCs w:val="20"/>
        </w:rPr>
        <w:t>”.</w:t>
      </w:r>
    </w:p>
    <w:p w:rsidR="003C4732" w:rsidRPr="00D45274" w:rsidRDefault="00D45274" w:rsidP="00D47AD0">
      <w:pPr>
        <w:jc w:val="both"/>
        <w:rPr>
          <w:rFonts w:ascii="Arial" w:hAnsi="Arial" w:cs="Arial"/>
          <w:color w:val="FF0000"/>
          <w:sz w:val="20"/>
          <w:szCs w:val="20"/>
        </w:rPr>
      </w:pPr>
      <w:r>
        <w:rPr>
          <w:rFonts w:ascii="Arial" w:hAnsi="Arial" w:cs="Arial"/>
          <w:color w:val="FF0000"/>
          <w:sz w:val="20"/>
          <w:szCs w:val="20"/>
        </w:rPr>
        <w:t>Disclosure of Business V</w:t>
      </w:r>
      <w:r w:rsidR="00AC0634" w:rsidRPr="00D45274">
        <w:rPr>
          <w:rFonts w:ascii="Arial" w:hAnsi="Arial" w:cs="Arial"/>
          <w:color w:val="FF0000"/>
          <w:sz w:val="20"/>
          <w:szCs w:val="20"/>
        </w:rPr>
        <w:t>aluation</w:t>
      </w:r>
      <w:r>
        <w:rPr>
          <w:rFonts w:ascii="Arial" w:hAnsi="Arial" w:cs="Arial"/>
          <w:color w:val="FF0000"/>
          <w:sz w:val="20"/>
          <w:szCs w:val="20"/>
        </w:rPr>
        <w:t>s in T</w:t>
      </w:r>
      <w:r w:rsidR="00AC0634" w:rsidRPr="00D45274">
        <w:rPr>
          <w:rFonts w:ascii="Arial" w:hAnsi="Arial" w:cs="Arial"/>
          <w:color w:val="FF0000"/>
          <w:sz w:val="20"/>
          <w:szCs w:val="20"/>
        </w:rPr>
        <w:t xml:space="preserve">ransactions </w:t>
      </w:r>
    </w:p>
    <w:p w:rsidR="002409DA" w:rsidRDefault="00D45274" w:rsidP="00D47AD0">
      <w:pPr>
        <w:jc w:val="both"/>
        <w:rPr>
          <w:rFonts w:ascii="Arial" w:hAnsi="Arial" w:cs="Arial"/>
          <w:sz w:val="20"/>
          <w:szCs w:val="20"/>
        </w:rPr>
      </w:pPr>
      <w:r>
        <w:rPr>
          <w:rFonts w:ascii="Arial" w:hAnsi="Arial" w:cs="Arial"/>
          <w:sz w:val="20"/>
          <w:szCs w:val="20"/>
        </w:rPr>
        <w:t xml:space="preserve">Main Board Listing Rule </w:t>
      </w:r>
      <w:r w:rsidR="00050CA6">
        <w:rPr>
          <w:rFonts w:ascii="Arial" w:hAnsi="Arial" w:cs="Arial"/>
          <w:sz w:val="20"/>
          <w:szCs w:val="20"/>
        </w:rPr>
        <w:t>14.58(5) an</w:t>
      </w:r>
      <w:r>
        <w:rPr>
          <w:rFonts w:ascii="Arial" w:hAnsi="Arial" w:cs="Arial"/>
          <w:sz w:val="20"/>
          <w:szCs w:val="20"/>
        </w:rPr>
        <w:t xml:space="preserve">d </w:t>
      </w:r>
      <w:r w:rsidR="00050CA6" w:rsidRPr="001F61C1">
        <w:rPr>
          <w:rFonts w:ascii="Arial" w:hAnsi="Arial" w:cs="Arial"/>
          <w:sz w:val="20"/>
          <w:szCs w:val="20"/>
        </w:rPr>
        <w:t xml:space="preserve">GEM </w:t>
      </w:r>
      <w:r w:rsidR="00050CA6">
        <w:rPr>
          <w:rFonts w:ascii="Arial" w:hAnsi="Arial" w:cs="Arial"/>
          <w:sz w:val="20"/>
          <w:szCs w:val="20"/>
        </w:rPr>
        <w:t>Listing</w:t>
      </w:r>
      <w:r w:rsidR="00050CA6" w:rsidRPr="001F61C1">
        <w:rPr>
          <w:rFonts w:ascii="Arial" w:hAnsi="Arial" w:cs="Arial"/>
          <w:sz w:val="20"/>
          <w:szCs w:val="20"/>
        </w:rPr>
        <w:t xml:space="preserve"> Rule </w:t>
      </w:r>
      <w:r w:rsidR="00050CA6">
        <w:rPr>
          <w:rFonts w:ascii="Arial" w:hAnsi="Arial" w:cs="Arial"/>
          <w:sz w:val="20"/>
          <w:szCs w:val="20"/>
        </w:rPr>
        <w:t xml:space="preserve">19.58(6) </w:t>
      </w:r>
      <w:r>
        <w:rPr>
          <w:rFonts w:ascii="Arial" w:hAnsi="Arial" w:cs="Arial"/>
          <w:sz w:val="20"/>
          <w:szCs w:val="20"/>
        </w:rPr>
        <w:t>require</w:t>
      </w:r>
      <w:r w:rsidR="00A61B7B">
        <w:rPr>
          <w:rFonts w:ascii="Arial" w:hAnsi="Arial" w:cs="Arial"/>
          <w:sz w:val="20"/>
          <w:szCs w:val="20"/>
        </w:rPr>
        <w:t xml:space="preserve"> issuers</w:t>
      </w:r>
      <w:r>
        <w:rPr>
          <w:rFonts w:ascii="Arial" w:hAnsi="Arial" w:cs="Arial"/>
          <w:sz w:val="20"/>
          <w:szCs w:val="20"/>
        </w:rPr>
        <w:t xml:space="preserve"> </w:t>
      </w:r>
      <w:r w:rsidR="00A61B7B">
        <w:rPr>
          <w:rFonts w:ascii="Arial" w:hAnsi="Arial" w:cs="Arial"/>
          <w:sz w:val="20"/>
          <w:szCs w:val="20"/>
        </w:rPr>
        <w:t xml:space="preserve">to disclose the basis for the consideration and terms of </w:t>
      </w:r>
      <w:r w:rsidR="00C80409">
        <w:rPr>
          <w:rFonts w:ascii="Arial" w:hAnsi="Arial" w:cs="Arial"/>
          <w:sz w:val="20"/>
          <w:szCs w:val="20"/>
        </w:rPr>
        <w:t>a</w:t>
      </w:r>
      <w:r w:rsidR="00A61B7B">
        <w:rPr>
          <w:rFonts w:ascii="Arial" w:hAnsi="Arial" w:cs="Arial"/>
          <w:sz w:val="20"/>
          <w:szCs w:val="20"/>
        </w:rPr>
        <w:t xml:space="preserve"> </w:t>
      </w:r>
      <w:r>
        <w:rPr>
          <w:rFonts w:ascii="Arial" w:hAnsi="Arial" w:cs="Arial"/>
          <w:sz w:val="20"/>
          <w:szCs w:val="20"/>
        </w:rPr>
        <w:t xml:space="preserve">notifiable </w:t>
      </w:r>
      <w:r w:rsidR="00A61B7B">
        <w:rPr>
          <w:rFonts w:ascii="Arial" w:hAnsi="Arial" w:cs="Arial"/>
          <w:sz w:val="20"/>
          <w:szCs w:val="20"/>
        </w:rPr>
        <w:t>transaction</w:t>
      </w:r>
      <w:r w:rsidR="002409DA">
        <w:rPr>
          <w:rFonts w:ascii="Arial" w:hAnsi="Arial" w:cs="Arial"/>
          <w:sz w:val="20"/>
          <w:szCs w:val="20"/>
        </w:rPr>
        <w:t>,</w:t>
      </w:r>
      <w:r w:rsidR="00CA0DFC">
        <w:rPr>
          <w:rFonts w:ascii="Arial" w:hAnsi="Arial" w:cs="Arial"/>
          <w:sz w:val="20"/>
          <w:szCs w:val="20"/>
        </w:rPr>
        <w:t xml:space="preserve"> </w:t>
      </w:r>
      <w:r w:rsidR="00050CA6">
        <w:rPr>
          <w:rFonts w:ascii="Arial" w:hAnsi="Arial" w:cs="Arial"/>
          <w:sz w:val="20"/>
          <w:szCs w:val="20"/>
        </w:rPr>
        <w:t>and question n</w:t>
      </w:r>
      <w:r w:rsidR="00050CA6" w:rsidRPr="00050CA6">
        <w:rPr>
          <w:rFonts w:ascii="Arial" w:hAnsi="Arial" w:cs="Arial"/>
          <w:sz w:val="20"/>
          <w:szCs w:val="20"/>
        </w:rPr>
        <w:t>o. 21</w:t>
      </w:r>
      <w:r w:rsidR="00050CA6">
        <w:rPr>
          <w:rFonts w:ascii="Arial" w:hAnsi="Arial" w:cs="Arial"/>
          <w:sz w:val="20"/>
          <w:szCs w:val="20"/>
        </w:rPr>
        <w:t xml:space="preserve"> of the </w:t>
      </w:r>
      <w:proofErr w:type="spellStart"/>
      <w:r w:rsidR="00050CA6">
        <w:rPr>
          <w:rFonts w:ascii="Arial" w:hAnsi="Arial" w:cs="Arial"/>
          <w:sz w:val="20"/>
          <w:szCs w:val="20"/>
        </w:rPr>
        <w:t>HKEx’s</w:t>
      </w:r>
      <w:proofErr w:type="spellEnd"/>
      <w:r w:rsidR="00050CA6">
        <w:rPr>
          <w:rFonts w:ascii="Arial" w:hAnsi="Arial" w:cs="Arial"/>
          <w:sz w:val="20"/>
          <w:szCs w:val="20"/>
        </w:rPr>
        <w:t xml:space="preserve"> </w:t>
      </w:r>
      <w:hyperlink r:id="rId11" w:history="1">
        <w:r w:rsidR="00050CA6" w:rsidRPr="00050CA6">
          <w:rPr>
            <w:rStyle w:val="a3"/>
            <w:rFonts w:ascii="Arial" w:hAnsi="Arial" w:cs="Arial"/>
            <w:sz w:val="20"/>
            <w:szCs w:val="20"/>
          </w:rPr>
          <w:t>Frequently Asked Question Series 7</w:t>
        </w:r>
      </w:hyperlink>
      <w:r w:rsidR="00050CA6" w:rsidRPr="00050CA6">
        <w:rPr>
          <w:rFonts w:ascii="Arial" w:hAnsi="Arial" w:cs="Arial"/>
          <w:sz w:val="20"/>
          <w:szCs w:val="20"/>
        </w:rPr>
        <w:t xml:space="preserve"> </w:t>
      </w:r>
      <w:r w:rsidR="00050CA6">
        <w:rPr>
          <w:rFonts w:ascii="Arial" w:hAnsi="Arial" w:cs="Arial"/>
          <w:sz w:val="20"/>
          <w:szCs w:val="20"/>
        </w:rPr>
        <w:t xml:space="preserve">requires that disclosure of </w:t>
      </w:r>
      <w:r w:rsidR="00CA0DFC">
        <w:rPr>
          <w:rFonts w:ascii="Arial" w:hAnsi="Arial" w:cs="Arial"/>
          <w:sz w:val="20"/>
          <w:szCs w:val="20"/>
        </w:rPr>
        <w:t xml:space="preserve">the </w:t>
      </w:r>
      <w:r w:rsidR="00050CA6">
        <w:rPr>
          <w:rFonts w:ascii="Arial" w:hAnsi="Arial" w:cs="Arial"/>
          <w:sz w:val="20"/>
          <w:szCs w:val="20"/>
        </w:rPr>
        <w:t xml:space="preserve">target company </w:t>
      </w:r>
      <w:r w:rsidR="00CA0DFC">
        <w:rPr>
          <w:rFonts w:ascii="Arial" w:hAnsi="Arial" w:cs="Arial"/>
          <w:sz w:val="20"/>
          <w:szCs w:val="20"/>
        </w:rPr>
        <w:t xml:space="preserve">valuation </w:t>
      </w:r>
      <w:r w:rsidR="00050CA6">
        <w:rPr>
          <w:rFonts w:ascii="Arial" w:hAnsi="Arial" w:cs="Arial"/>
          <w:sz w:val="20"/>
          <w:szCs w:val="20"/>
        </w:rPr>
        <w:t>should be included in the announcement and circular relating to the transaction where the target company valuation is a</w:t>
      </w:r>
      <w:r w:rsidR="00CA0DFC">
        <w:rPr>
          <w:rFonts w:ascii="Arial" w:hAnsi="Arial" w:cs="Arial"/>
          <w:sz w:val="20"/>
          <w:szCs w:val="20"/>
        </w:rPr>
        <w:t xml:space="preserve"> main factor in determining the </w:t>
      </w:r>
      <w:r w:rsidR="00050CA6">
        <w:rPr>
          <w:rFonts w:ascii="Arial" w:hAnsi="Arial" w:cs="Arial"/>
          <w:sz w:val="20"/>
          <w:szCs w:val="20"/>
        </w:rPr>
        <w:t xml:space="preserve">basis for the </w:t>
      </w:r>
      <w:r w:rsidR="00CA0DFC">
        <w:rPr>
          <w:rFonts w:ascii="Arial" w:hAnsi="Arial" w:cs="Arial"/>
          <w:sz w:val="20"/>
          <w:szCs w:val="20"/>
        </w:rPr>
        <w:t>consideration or other material terms of the notifiable transaction.</w:t>
      </w:r>
      <w:r w:rsidR="00CC2E35">
        <w:rPr>
          <w:rFonts w:ascii="Arial" w:hAnsi="Arial" w:cs="Arial"/>
          <w:sz w:val="20"/>
          <w:szCs w:val="20"/>
        </w:rPr>
        <w:t xml:space="preserve"> </w:t>
      </w:r>
    </w:p>
    <w:p w:rsidR="00686385" w:rsidRDefault="002409DA" w:rsidP="00D47AD0">
      <w:pPr>
        <w:jc w:val="both"/>
        <w:rPr>
          <w:rFonts w:ascii="Arial" w:hAnsi="Arial" w:cs="Arial"/>
          <w:sz w:val="20"/>
          <w:szCs w:val="20"/>
        </w:rPr>
      </w:pPr>
      <w:r w:rsidRPr="00A61B7B">
        <w:rPr>
          <w:rFonts w:ascii="Arial" w:hAnsi="Arial" w:cs="Arial"/>
          <w:sz w:val="20"/>
          <w:szCs w:val="20"/>
        </w:rPr>
        <w:t xml:space="preserve">When </w:t>
      </w:r>
      <w:r>
        <w:rPr>
          <w:rFonts w:ascii="Arial" w:hAnsi="Arial" w:cs="Arial"/>
          <w:sz w:val="20"/>
          <w:szCs w:val="20"/>
        </w:rPr>
        <w:t xml:space="preserve">vetting </w:t>
      </w:r>
      <w:r w:rsidR="00050CA6">
        <w:rPr>
          <w:rFonts w:ascii="Arial" w:hAnsi="Arial" w:cs="Arial"/>
          <w:sz w:val="20"/>
          <w:szCs w:val="20"/>
        </w:rPr>
        <w:t xml:space="preserve">issuers’ </w:t>
      </w:r>
      <w:r>
        <w:rPr>
          <w:rFonts w:ascii="Arial" w:hAnsi="Arial" w:cs="Arial"/>
          <w:sz w:val="20"/>
          <w:szCs w:val="20"/>
        </w:rPr>
        <w:t xml:space="preserve">transaction announcements, </w:t>
      </w:r>
      <w:r w:rsidR="00A61B7B">
        <w:rPr>
          <w:rFonts w:ascii="Arial" w:hAnsi="Arial" w:cs="Arial"/>
          <w:sz w:val="20"/>
          <w:szCs w:val="20"/>
        </w:rPr>
        <w:t>the HKEx</w:t>
      </w:r>
      <w:r w:rsidR="00A61B7B" w:rsidRPr="00A61B7B">
        <w:rPr>
          <w:rFonts w:ascii="Arial" w:hAnsi="Arial" w:cs="Arial"/>
          <w:sz w:val="20"/>
          <w:szCs w:val="20"/>
        </w:rPr>
        <w:t xml:space="preserve"> focus</w:t>
      </w:r>
      <w:r w:rsidR="00050CA6">
        <w:rPr>
          <w:rFonts w:ascii="Arial" w:hAnsi="Arial" w:cs="Arial"/>
          <w:sz w:val="20"/>
          <w:szCs w:val="20"/>
        </w:rPr>
        <w:t>es</w:t>
      </w:r>
      <w:r w:rsidR="00A61B7B" w:rsidRPr="00A61B7B">
        <w:rPr>
          <w:rFonts w:ascii="Arial" w:hAnsi="Arial" w:cs="Arial"/>
          <w:sz w:val="20"/>
          <w:szCs w:val="20"/>
        </w:rPr>
        <w:t xml:space="preserve"> on</w:t>
      </w:r>
      <w:r>
        <w:rPr>
          <w:rFonts w:ascii="Arial" w:hAnsi="Arial" w:cs="Arial"/>
          <w:sz w:val="20"/>
          <w:szCs w:val="20"/>
        </w:rPr>
        <w:t xml:space="preserve"> transactions </w:t>
      </w:r>
      <w:r w:rsidR="00E5347E">
        <w:rPr>
          <w:rFonts w:ascii="Arial" w:hAnsi="Arial" w:cs="Arial"/>
          <w:sz w:val="20"/>
          <w:szCs w:val="20"/>
        </w:rPr>
        <w:t>where</w:t>
      </w:r>
      <w:r>
        <w:rPr>
          <w:rFonts w:ascii="Arial" w:hAnsi="Arial" w:cs="Arial"/>
          <w:sz w:val="20"/>
          <w:szCs w:val="20"/>
        </w:rPr>
        <w:t xml:space="preserve"> </w:t>
      </w:r>
      <w:r w:rsidR="00050CA6">
        <w:rPr>
          <w:rFonts w:ascii="Arial" w:hAnsi="Arial" w:cs="Arial"/>
          <w:sz w:val="20"/>
          <w:szCs w:val="20"/>
        </w:rPr>
        <w:t xml:space="preserve">it has </w:t>
      </w:r>
      <w:r>
        <w:rPr>
          <w:rFonts w:ascii="Arial" w:hAnsi="Arial" w:cs="Arial"/>
          <w:sz w:val="20"/>
          <w:szCs w:val="20"/>
        </w:rPr>
        <w:t>concerns as to whether the transaction</w:t>
      </w:r>
      <w:r w:rsidR="00C024FF">
        <w:rPr>
          <w:rFonts w:ascii="Arial" w:hAnsi="Arial" w:cs="Arial"/>
          <w:sz w:val="20"/>
          <w:szCs w:val="20"/>
        </w:rPr>
        <w:t xml:space="preserve"> terms </w:t>
      </w:r>
      <w:r w:rsidR="00050CA6">
        <w:rPr>
          <w:rFonts w:ascii="Arial" w:hAnsi="Arial" w:cs="Arial"/>
          <w:sz w:val="20"/>
          <w:szCs w:val="20"/>
        </w:rPr>
        <w:t xml:space="preserve">(including </w:t>
      </w:r>
      <w:r>
        <w:rPr>
          <w:rFonts w:ascii="Arial" w:hAnsi="Arial" w:cs="Arial"/>
          <w:sz w:val="20"/>
          <w:szCs w:val="20"/>
        </w:rPr>
        <w:t>the consideration)</w:t>
      </w:r>
      <w:r w:rsidR="00A61B7B" w:rsidRPr="00A61B7B">
        <w:rPr>
          <w:rFonts w:ascii="Arial" w:hAnsi="Arial" w:cs="Arial"/>
          <w:sz w:val="20"/>
          <w:szCs w:val="20"/>
        </w:rPr>
        <w:t xml:space="preserve"> </w:t>
      </w:r>
      <w:r w:rsidR="00050CA6">
        <w:rPr>
          <w:rFonts w:ascii="Arial" w:hAnsi="Arial" w:cs="Arial"/>
          <w:sz w:val="20"/>
          <w:szCs w:val="20"/>
        </w:rPr>
        <w:t>a</w:t>
      </w:r>
      <w:r w:rsidR="00A61B7B">
        <w:rPr>
          <w:rFonts w:ascii="Arial" w:hAnsi="Arial" w:cs="Arial"/>
          <w:sz w:val="20"/>
          <w:szCs w:val="20"/>
        </w:rPr>
        <w:t>re</w:t>
      </w:r>
      <w:r w:rsidR="00A61B7B" w:rsidRPr="00A61B7B">
        <w:rPr>
          <w:rFonts w:ascii="Arial" w:hAnsi="Arial" w:cs="Arial"/>
          <w:sz w:val="20"/>
          <w:szCs w:val="20"/>
        </w:rPr>
        <w:t xml:space="preserve"> fair and reasonable for the issuer and its shareholders as a whole. </w:t>
      </w:r>
      <w:r>
        <w:rPr>
          <w:rFonts w:ascii="Arial" w:hAnsi="Arial" w:cs="Arial"/>
          <w:sz w:val="20"/>
          <w:szCs w:val="20"/>
        </w:rPr>
        <w:t>I</w:t>
      </w:r>
      <w:r w:rsidR="00A61B7B">
        <w:rPr>
          <w:rFonts w:ascii="Arial" w:hAnsi="Arial" w:cs="Arial"/>
          <w:sz w:val="20"/>
          <w:szCs w:val="20"/>
        </w:rPr>
        <w:t>t</w:t>
      </w:r>
      <w:r w:rsidR="00A61B7B" w:rsidRPr="00A61B7B">
        <w:rPr>
          <w:rFonts w:ascii="Arial" w:hAnsi="Arial" w:cs="Arial"/>
          <w:sz w:val="20"/>
          <w:szCs w:val="20"/>
        </w:rPr>
        <w:t xml:space="preserve"> observed that the disc</w:t>
      </w:r>
      <w:r w:rsidR="00A61B7B">
        <w:rPr>
          <w:rFonts w:ascii="Arial" w:hAnsi="Arial" w:cs="Arial"/>
          <w:sz w:val="20"/>
          <w:szCs w:val="20"/>
        </w:rPr>
        <w:t xml:space="preserve">losure in these announcements </w:t>
      </w:r>
      <w:r w:rsidR="00050CA6">
        <w:rPr>
          <w:rFonts w:ascii="Arial" w:hAnsi="Arial" w:cs="Arial"/>
          <w:sz w:val="20"/>
          <w:szCs w:val="20"/>
        </w:rPr>
        <w:t xml:space="preserve">is </w:t>
      </w:r>
      <w:r w:rsidR="00A61B7B">
        <w:rPr>
          <w:rFonts w:ascii="Arial" w:hAnsi="Arial" w:cs="Arial"/>
          <w:sz w:val="20"/>
          <w:szCs w:val="20"/>
        </w:rPr>
        <w:t xml:space="preserve">often </w:t>
      </w:r>
      <w:r w:rsidR="00050CA6">
        <w:rPr>
          <w:rFonts w:ascii="Arial" w:hAnsi="Arial" w:cs="Arial"/>
          <w:sz w:val="20"/>
          <w:szCs w:val="20"/>
        </w:rPr>
        <w:t xml:space="preserve">excessively </w:t>
      </w:r>
      <w:r w:rsidR="00A61B7B">
        <w:rPr>
          <w:rFonts w:ascii="Arial" w:hAnsi="Arial" w:cs="Arial"/>
          <w:sz w:val="20"/>
          <w:szCs w:val="20"/>
        </w:rPr>
        <w:t>g</w:t>
      </w:r>
      <w:r w:rsidR="00050CA6">
        <w:rPr>
          <w:rFonts w:ascii="Arial" w:hAnsi="Arial" w:cs="Arial"/>
          <w:sz w:val="20"/>
          <w:szCs w:val="20"/>
        </w:rPr>
        <w:t>eneral and lacks</w:t>
      </w:r>
      <w:r w:rsidR="00A61B7B" w:rsidRPr="00A61B7B">
        <w:rPr>
          <w:rFonts w:ascii="Arial" w:hAnsi="Arial" w:cs="Arial"/>
          <w:sz w:val="20"/>
          <w:szCs w:val="20"/>
        </w:rPr>
        <w:t xml:space="preserve"> </w:t>
      </w:r>
      <w:r w:rsidR="00B261D6">
        <w:rPr>
          <w:rFonts w:ascii="Arial" w:hAnsi="Arial" w:cs="Arial"/>
          <w:sz w:val="20"/>
          <w:szCs w:val="20"/>
        </w:rPr>
        <w:t xml:space="preserve">the </w:t>
      </w:r>
      <w:r w:rsidR="00A61B7B" w:rsidRPr="00A61B7B">
        <w:rPr>
          <w:rFonts w:ascii="Arial" w:hAnsi="Arial" w:cs="Arial"/>
          <w:sz w:val="20"/>
          <w:szCs w:val="20"/>
        </w:rPr>
        <w:t xml:space="preserve">necessary information. Specifically, </w:t>
      </w:r>
      <w:r w:rsidR="00C80409">
        <w:rPr>
          <w:rFonts w:ascii="Arial" w:hAnsi="Arial" w:cs="Arial"/>
          <w:sz w:val="20"/>
          <w:szCs w:val="20"/>
        </w:rPr>
        <w:t xml:space="preserve">the </w:t>
      </w:r>
      <w:r w:rsidR="00A61B7B" w:rsidRPr="00A61B7B">
        <w:rPr>
          <w:rFonts w:ascii="Arial" w:hAnsi="Arial" w:cs="Arial"/>
          <w:sz w:val="20"/>
          <w:szCs w:val="20"/>
        </w:rPr>
        <w:t xml:space="preserve">disclosure </w:t>
      </w:r>
      <w:r w:rsidR="00C024FF">
        <w:rPr>
          <w:rFonts w:ascii="Arial" w:hAnsi="Arial" w:cs="Arial"/>
          <w:sz w:val="20"/>
          <w:szCs w:val="20"/>
        </w:rPr>
        <w:t>relating to</w:t>
      </w:r>
      <w:r w:rsidR="00050CA6">
        <w:rPr>
          <w:rFonts w:ascii="Arial" w:hAnsi="Arial" w:cs="Arial"/>
          <w:sz w:val="20"/>
          <w:szCs w:val="20"/>
        </w:rPr>
        <w:t xml:space="preserve"> valuation methods, assumptions</w:t>
      </w:r>
      <w:r w:rsidR="00A61B7B" w:rsidRPr="00A61B7B">
        <w:rPr>
          <w:rFonts w:ascii="Arial" w:hAnsi="Arial" w:cs="Arial"/>
          <w:sz w:val="20"/>
          <w:szCs w:val="20"/>
        </w:rPr>
        <w:t xml:space="preserve"> and inputs </w:t>
      </w:r>
      <w:r w:rsidR="00050CA6">
        <w:rPr>
          <w:rFonts w:ascii="Arial" w:hAnsi="Arial" w:cs="Arial"/>
          <w:sz w:val="20"/>
          <w:szCs w:val="20"/>
        </w:rPr>
        <w:t>a</w:t>
      </w:r>
      <w:r w:rsidR="00A61B7B">
        <w:rPr>
          <w:rFonts w:ascii="Arial" w:hAnsi="Arial" w:cs="Arial"/>
          <w:sz w:val="20"/>
          <w:szCs w:val="20"/>
        </w:rPr>
        <w:t>re</w:t>
      </w:r>
      <w:r w:rsidR="00A61B7B" w:rsidRPr="00A61B7B">
        <w:rPr>
          <w:rFonts w:ascii="Arial" w:hAnsi="Arial" w:cs="Arial"/>
          <w:sz w:val="20"/>
          <w:szCs w:val="20"/>
        </w:rPr>
        <w:t xml:space="preserve"> </w:t>
      </w:r>
      <w:r w:rsidR="00050CA6">
        <w:rPr>
          <w:rFonts w:ascii="Arial" w:hAnsi="Arial" w:cs="Arial"/>
          <w:sz w:val="20"/>
          <w:szCs w:val="20"/>
        </w:rPr>
        <w:t xml:space="preserve">often </w:t>
      </w:r>
      <w:r w:rsidR="00A65881">
        <w:rPr>
          <w:rFonts w:ascii="Arial" w:hAnsi="Arial" w:cs="Arial"/>
          <w:sz w:val="20"/>
          <w:szCs w:val="20"/>
        </w:rPr>
        <w:t>insufficient to allow</w:t>
      </w:r>
      <w:r w:rsidR="00A61B7B" w:rsidRPr="00A61B7B">
        <w:rPr>
          <w:rFonts w:ascii="Arial" w:hAnsi="Arial" w:cs="Arial"/>
          <w:sz w:val="20"/>
          <w:szCs w:val="20"/>
        </w:rPr>
        <w:t xml:space="preserve"> investors to understand how the valuation</w:t>
      </w:r>
      <w:r w:rsidR="00A65881">
        <w:rPr>
          <w:rFonts w:ascii="Arial" w:hAnsi="Arial" w:cs="Arial"/>
          <w:sz w:val="20"/>
          <w:szCs w:val="20"/>
        </w:rPr>
        <w:t xml:space="preserve"> method</w:t>
      </w:r>
      <w:r w:rsidR="00A61B7B" w:rsidRPr="00A61B7B">
        <w:rPr>
          <w:rFonts w:ascii="Arial" w:hAnsi="Arial" w:cs="Arial"/>
          <w:sz w:val="20"/>
          <w:szCs w:val="20"/>
        </w:rPr>
        <w:t>s</w:t>
      </w:r>
      <w:r w:rsidR="00A65881">
        <w:rPr>
          <w:rFonts w:ascii="Arial" w:hAnsi="Arial" w:cs="Arial"/>
          <w:sz w:val="20"/>
          <w:szCs w:val="20"/>
        </w:rPr>
        <w:t xml:space="preserve"> and assumptions, the reasons for their adoption, and how the valuation was </w:t>
      </w:r>
      <w:r w:rsidR="00A61B7B" w:rsidRPr="00A61B7B">
        <w:rPr>
          <w:rFonts w:ascii="Arial" w:hAnsi="Arial" w:cs="Arial"/>
          <w:sz w:val="20"/>
          <w:szCs w:val="20"/>
        </w:rPr>
        <w:t>determined.</w:t>
      </w:r>
      <w:r w:rsidR="00A61B7B">
        <w:rPr>
          <w:rFonts w:ascii="Arial" w:hAnsi="Arial" w:cs="Arial"/>
          <w:sz w:val="20"/>
          <w:szCs w:val="20"/>
        </w:rPr>
        <w:t xml:space="preserve"> To address </w:t>
      </w:r>
      <w:r>
        <w:rPr>
          <w:rFonts w:ascii="Arial" w:hAnsi="Arial" w:cs="Arial"/>
          <w:sz w:val="20"/>
          <w:szCs w:val="20"/>
        </w:rPr>
        <w:t>this</w:t>
      </w:r>
      <w:r w:rsidR="00C024FF">
        <w:rPr>
          <w:rFonts w:ascii="Arial" w:hAnsi="Arial" w:cs="Arial"/>
          <w:sz w:val="20"/>
          <w:szCs w:val="20"/>
        </w:rPr>
        <w:t>,</w:t>
      </w:r>
      <w:r>
        <w:rPr>
          <w:rFonts w:ascii="Arial" w:hAnsi="Arial" w:cs="Arial"/>
          <w:sz w:val="20"/>
          <w:szCs w:val="20"/>
        </w:rPr>
        <w:t xml:space="preserve"> the HKEx </w:t>
      </w:r>
      <w:r w:rsidR="00E5347E">
        <w:rPr>
          <w:rFonts w:ascii="Arial" w:hAnsi="Arial" w:cs="Arial"/>
          <w:sz w:val="20"/>
          <w:szCs w:val="20"/>
        </w:rPr>
        <w:t>highlighted</w:t>
      </w:r>
      <w:r w:rsidR="00A61B7B">
        <w:rPr>
          <w:rFonts w:ascii="Arial" w:hAnsi="Arial" w:cs="Arial"/>
          <w:sz w:val="20"/>
          <w:szCs w:val="20"/>
        </w:rPr>
        <w:t xml:space="preserve"> the following general principles f</w:t>
      </w:r>
      <w:r w:rsidR="00C80409">
        <w:rPr>
          <w:rFonts w:ascii="Arial" w:hAnsi="Arial" w:cs="Arial"/>
          <w:sz w:val="20"/>
          <w:szCs w:val="20"/>
        </w:rPr>
        <w:t>or the disclosure of valuation</w:t>
      </w:r>
      <w:r w:rsidR="00A65881">
        <w:rPr>
          <w:rFonts w:ascii="Arial" w:hAnsi="Arial" w:cs="Arial"/>
          <w:sz w:val="20"/>
          <w:szCs w:val="20"/>
        </w:rPr>
        <w:t>s</w:t>
      </w:r>
      <w:r w:rsidR="00C80409">
        <w:rPr>
          <w:rFonts w:ascii="Arial" w:hAnsi="Arial" w:cs="Arial"/>
          <w:sz w:val="20"/>
          <w:szCs w:val="20"/>
        </w:rPr>
        <w:t>:</w:t>
      </w:r>
      <w:r w:rsidR="002B0C3E">
        <w:rPr>
          <w:rFonts w:ascii="Arial" w:hAnsi="Arial" w:cs="Arial"/>
          <w:sz w:val="20"/>
          <w:szCs w:val="20"/>
        </w:rPr>
        <w:t xml:space="preserve"> </w:t>
      </w:r>
    </w:p>
    <w:p w:rsidR="002B0C3E" w:rsidRDefault="00A65881" w:rsidP="00C80409">
      <w:pPr>
        <w:pStyle w:val="a8"/>
        <w:numPr>
          <w:ilvl w:val="0"/>
          <w:numId w:val="20"/>
        </w:numPr>
        <w:jc w:val="both"/>
        <w:rPr>
          <w:rFonts w:ascii="Arial" w:hAnsi="Arial" w:cs="Arial"/>
          <w:sz w:val="20"/>
          <w:szCs w:val="20"/>
        </w:rPr>
      </w:pPr>
      <w:r w:rsidRPr="00A65881">
        <w:rPr>
          <w:rFonts w:ascii="Arial" w:hAnsi="Arial" w:cs="Arial"/>
          <w:color w:val="FF0000"/>
          <w:sz w:val="20"/>
          <w:szCs w:val="20"/>
        </w:rPr>
        <w:t>S</w:t>
      </w:r>
      <w:r w:rsidR="002B0C3E" w:rsidRPr="00A65881">
        <w:rPr>
          <w:rFonts w:ascii="Arial" w:hAnsi="Arial" w:cs="Arial"/>
          <w:color w:val="FF0000"/>
          <w:sz w:val="20"/>
          <w:szCs w:val="20"/>
        </w:rPr>
        <w:t>election of valuation methods</w:t>
      </w:r>
      <w:r>
        <w:rPr>
          <w:rFonts w:ascii="Arial" w:hAnsi="Arial" w:cs="Arial"/>
          <w:sz w:val="20"/>
          <w:szCs w:val="20"/>
        </w:rPr>
        <w:t xml:space="preserve"> - </w:t>
      </w:r>
      <w:r w:rsidR="00C80409">
        <w:rPr>
          <w:rFonts w:ascii="Arial" w:hAnsi="Arial" w:cs="Arial"/>
          <w:sz w:val="20"/>
          <w:szCs w:val="20"/>
        </w:rPr>
        <w:t>i</w:t>
      </w:r>
      <w:r w:rsidR="002B0C3E" w:rsidRPr="00C80409">
        <w:rPr>
          <w:rFonts w:ascii="Arial" w:hAnsi="Arial" w:cs="Arial"/>
          <w:sz w:val="20"/>
          <w:szCs w:val="20"/>
        </w:rPr>
        <w:t>ssuers should describe the chosen valuation models and explain why they are appropriate for the transactions or target companies. For instance:</w:t>
      </w:r>
    </w:p>
    <w:p w:rsidR="00A65881" w:rsidRPr="00C80409" w:rsidRDefault="00A65881" w:rsidP="00A65881">
      <w:pPr>
        <w:pStyle w:val="a8"/>
        <w:jc w:val="both"/>
        <w:rPr>
          <w:rFonts w:ascii="Arial" w:hAnsi="Arial" w:cs="Arial"/>
          <w:sz w:val="20"/>
          <w:szCs w:val="20"/>
        </w:rPr>
      </w:pPr>
    </w:p>
    <w:p w:rsidR="002B0C3E" w:rsidRDefault="002B0C3E" w:rsidP="00C80409">
      <w:pPr>
        <w:pStyle w:val="a8"/>
        <w:numPr>
          <w:ilvl w:val="1"/>
          <w:numId w:val="20"/>
        </w:numPr>
        <w:jc w:val="both"/>
        <w:rPr>
          <w:rFonts w:ascii="Arial" w:hAnsi="Arial" w:cs="Arial"/>
          <w:sz w:val="20"/>
          <w:szCs w:val="20"/>
        </w:rPr>
      </w:pPr>
      <w:r w:rsidRPr="002B0C3E">
        <w:rPr>
          <w:rFonts w:ascii="Arial" w:hAnsi="Arial" w:cs="Arial"/>
          <w:sz w:val="20"/>
          <w:szCs w:val="20"/>
        </w:rPr>
        <w:t>when using the discounted cash flows (</w:t>
      </w:r>
      <w:r w:rsidRPr="002B0C3E">
        <w:rPr>
          <w:rFonts w:ascii="Arial" w:hAnsi="Arial" w:cs="Arial"/>
          <w:b/>
          <w:sz w:val="20"/>
          <w:szCs w:val="20"/>
        </w:rPr>
        <w:t>DCF</w:t>
      </w:r>
      <w:r w:rsidRPr="002B0C3E">
        <w:rPr>
          <w:rFonts w:ascii="Arial" w:hAnsi="Arial" w:cs="Arial"/>
          <w:sz w:val="20"/>
          <w:szCs w:val="20"/>
        </w:rPr>
        <w:t>) method for valuing a start-up target company, issuers should explain why this method is suitable in the absence of a historical track record</w:t>
      </w:r>
      <w:r>
        <w:rPr>
          <w:rFonts w:ascii="Arial" w:hAnsi="Arial" w:cs="Arial"/>
          <w:sz w:val="20"/>
          <w:szCs w:val="20"/>
        </w:rPr>
        <w:t xml:space="preserve"> to substantiate the forecasts; </w:t>
      </w:r>
    </w:p>
    <w:p w:rsidR="00A65881" w:rsidRDefault="00A65881" w:rsidP="00A65881">
      <w:pPr>
        <w:pStyle w:val="a8"/>
        <w:ind w:left="1440"/>
        <w:jc w:val="both"/>
        <w:rPr>
          <w:rFonts w:ascii="Arial" w:hAnsi="Arial" w:cs="Arial"/>
          <w:sz w:val="20"/>
          <w:szCs w:val="20"/>
        </w:rPr>
      </w:pPr>
    </w:p>
    <w:p w:rsidR="002B0C3E" w:rsidRDefault="002B0C3E" w:rsidP="00C80409">
      <w:pPr>
        <w:pStyle w:val="a8"/>
        <w:numPr>
          <w:ilvl w:val="1"/>
          <w:numId w:val="20"/>
        </w:numPr>
        <w:jc w:val="both"/>
        <w:rPr>
          <w:rFonts w:ascii="Arial" w:hAnsi="Arial" w:cs="Arial"/>
          <w:sz w:val="20"/>
          <w:szCs w:val="20"/>
        </w:rPr>
      </w:pPr>
      <w:r>
        <w:rPr>
          <w:rFonts w:ascii="Arial" w:hAnsi="Arial" w:cs="Arial"/>
          <w:sz w:val="20"/>
          <w:szCs w:val="20"/>
        </w:rPr>
        <w:t>i</w:t>
      </w:r>
      <w:r w:rsidRPr="002B0C3E">
        <w:rPr>
          <w:rFonts w:ascii="Arial" w:hAnsi="Arial" w:cs="Arial"/>
          <w:sz w:val="20"/>
          <w:szCs w:val="20"/>
        </w:rPr>
        <w:t>f the market approach is used to value a target company in a novel or innovative industry, issuers should explain why th</w:t>
      </w:r>
      <w:r>
        <w:rPr>
          <w:rFonts w:ascii="Arial" w:hAnsi="Arial" w:cs="Arial"/>
          <w:sz w:val="20"/>
          <w:szCs w:val="20"/>
        </w:rPr>
        <w:t xml:space="preserve">e market </w:t>
      </w:r>
      <w:r w:rsidRPr="002B0C3E">
        <w:rPr>
          <w:rFonts w:ascii="Arial" w:hAnsi="Arial" w:cs="Arial"/>
          <w:sz w:val="20"/>
          <w:szCs w:val="20"/>
        </w:rPr>
        <w:t>approach is appropriate in t</w:t>
      </w:r>
      <w:r>
        <w:rPr>
          <w:rFonts w:ascii="Arial" w:hAnsi="Arial" w:cs="Arial"/>
          <w:sz w:val="20"/>
          <w:szCs w:val="20"/>
        </w:rPr>
        <w:t xml:space="preserve">he absence of similar </w:t>
      </w:r>
      <w:r w:rsidR="00E5347E">
        <w:rPr>
          <w:rFonts w:ascii="Arial" w:hAnsi="Arial" w:cs="Arial"/>
          <w:sz w:val="20"/>
          <w:szCs w:val="20"/>
        </w:rPr>
        <w:t xml:space="preserve"> or comparable </w:t>
      </w:r>
      <w:r>
        <w:rPr>
          <w:rFonts w:ascii="Arial" w:hAnsi="Arial" w:cs="Arial"/>
          <w:sz w:val="20"/>
          <w:szCs w:val="20"/>
        </w:rPr>
        <w:t>companies; and</w:t>
      </w:r>
    </w:p>
    <w:p w:rsidR="00A65881" w:rsidRDefault="00A65881" w:rsidP="00A65881">
      <w:pPr>
        <w:pStyle w:val="a8"/>
        <w:ind w:left="1440"/>
        <w:jc w:val="both"/>
        <w:rPr>
          <w:rFonts w:ascii="Arial" w:hAnsi="Arial" w:cs="Arial"/>
          <w:sz w:val="20"/>
          <w:szCs w:val="20"/>
        </w:rPr>
      </w:pPr>
    </w:p>
    <w:p w:rsidR="002B0C3E" w:rsidRDefault="002B0C3E" w:rsidP="00C80409">
      <w:pPr>
        <w:pStyle w:val="a8"/>
        <w:numPr>
          <w:ilvl w:val="1"/>
          <w:numId w:val="20"/>
        </w:numPr>
        <w:jc w:val="both"/>
        <w:rPr>
          <w:rFonts w:ascii="Arial" w:hAnsi="Arial" w:cs="Arial"/>
          <w:sz w:val="20"/>
          <w:szCs w:val="20"/>
        </w:rPr>
      </w:pPr>
      <w:r>
        <w:rPr>
          <w:rFonts w:ascii="Arial" w:hAnsi="Arial" w:cs="Arial"/>
          <w:sz w:val="20"/>
          <w:szCs w:val="20"/>
        </w:rPr>
        <w:t xml:space="preserve">if </w:t>
      </w:r>
      <w:r w:rsidRPr="002B0C3E">
        <w:rPr>
          <w:rFonts w:ascii="Arial" w:hAnsi="Arial" w:cs="Arial"/>
          <w:sz w:val="20"/>
          <w:szCs w:val="20"/>
        </w:rPr>
        <w:t>multiple valuation methods are used, issuers shoul</w:t>
      </w:r>
      <w:r w:rsidR="00A65881">
        <w:rPr>
          <w:rFonts w:ascii="Arial" w:hAnsi="Arial" w:cs="Arial"/>
          <w:sz w:val="20"/>
          <w:szCs w:val="20"/>
        </w:rPr>
        <w:t>d disclose the process in</w:t>
      </w:r>
      <w:r>
        <w:rPr>
          <w:rFonts w:ascii="Arial" w:hAnsi="Arial" w:cs="Arial"/>
          <w:sz w:val="20"/>
          <w:szCs w:val="20"/>
        </w:rPr>
        <w:t xml:space="preserve"> analys</w:t>
      </w:r>
      <w:r w:rsidRPr="002B0C3E">
        <w:rPr>
          <w:rFonts w:ascii="Arial" w:hAnsi="Arial" w:cs="Arial"/>
          <w:sz w:val="20"/>
          <w:szCs w:val="20"/>
        </w:rPr>
        <w:t xml:space="preserve">ing the values derived from different </w:t>
      </w:r>
      <w:r>
        <w:rPr>
          <w:rFonts w:ascii="Arial" w:hAnsi="Arial" w:cs="Arial"/>
          <w:sz w:val="20"/>
          <w:szCs w:val="20"/>
        </w:rPr>
        <w:t xml:space="preserve">valuation </w:t>
      </w:r>
      <w:r w:rsidRPr="002B0C3E">
        <w:rPr>
          <w:rFonts w:ascii="Arial" w:hAnsi="Arial" w:cs="Arial"/>
          <w:sz w:val="20"/>
          <w:szCs w:val="20"/>
        </w:rPr>
        <w:t>methods and how they co</w:t>
      </w:r>
      <w:r w:rsidR="00C80409">
        <w:rPr>
          <w:rFonts w:ascii="Arial" w:hAnsi="Arial" w:cs="Arial"/>
          <w:sz w:val="20"/>
          <w:szCs w:val="20"/>
        </w:rPr>
        <w:t>ntribute to the appraised value; and</w:t>
      </w:r>
    </w:p>
    <w:p w:rsidR="00C024FF" w:rsidRDefault="00C024FF" w:rsidP="00C024FF">
      <w:pPr>
        <w:pStyle w:val="a8"/>
        <w:ind w:left="1440"/>
        <w:jc w:val="both"/>
        <w:rPr>
          <w:rFonts w:ascii="Arial" w:hAnsi="Arial" w:cs="Arial"/>
          <w:sz w:val="20"/>
          <w:szCs w:val="20"/>
        </w:rPr>
      </w:pPr>
    </w:p>
    <w:p w:rsidR="002B0C3E" w:rsidRDefault="00A65881" w:rsidP="00C80409">
      <w:pPr>
        <w:pStyle w:val="a8"/>
        <w:numPr>
          <w:ilvl w:val="0"/>
          <w:numId w:val="20"/>
        </w:numPr>
        <w:jc w:val="both"/>
        <w:rPr>
          <w:rFonts w:ascii="Arial" w:hAnsi="Arial" w:cs="Arial"/>
          <w:sz w:val="20"/>
          <w:szCs w:val="20"/>
        </w:rPr>
      </w:pPr>
      <w:r w:rsidRPr="00A65881">
        <w:rPr>
          <w:rFonts w:ascii="Arial" w:hAnsi="Arial" w:cs="Arial"/>
          <w:color w:val="FF0000"/>
          <w:sz w:val="20"/>
          <w:szCs w:val="20"/>
        </w:rPr>
        <w:t>V</w:t>
      </w:r>
      <w:r w:rsidR="002B0C3E" w:rsidRPr="00A65881">
        <w:rPr>
          <w:rFonts w:ascii="Arial" w:hAnsi="Arial" w:cs="Arial"/>
          <w:color w:val="FF0000"/>
          <w:sz w:val="20"/>
          <w:szCs w:val="20"/>
        </w:rPr>
        <w:t>aluation assumptions and inputs</w:t>
      </w:r>
      <w:r w:rsidR="002B0C3E" w:rsidRPr="00C80409">
        <w:rPr>
          <w:rFonts w:ascii="Arial" w:hAnsi="Arial" w:cs="Arial"/>
          <w:sz w:val="20"/>
          <w:szCs w:val="20"/>
        </w:rPr>
        <w:t xml:space="preserve">, </w:t>
      </w:r>
      <w:r w:rsidR="00C80409">
        <w:rPr>
          <w:rFonts w:ascii="Arial" w:hAnsi="Arial" w:cs="Arial"/>
          <w:sz w:val="20"/>
          <w:szCs w:val="20"/>
        </w:rPr>
        <w:t>i</w:t>
      </w:r>
      <w:r w:rsidR="002B0C3E" w:rsidRPr="00C80409">
        <w:rPr>
          <w:rFonts w:ascii="Arial" w:hAnsi="Arial" w:cs="Arial"/>
          <w:sz w:val="20"/>
          <w:szCs w:val="20"/>
        </w:rPr>
        <w:t>ssuers should</w:t>
      </w:r>
      <w:r w:rsidR="000027EB" w:rsidRPr="00C80409">
        <w:rPr>
          <w:rFonts w:ascii="Arial" w:hAnsi="Arial" w:cs="Arial"/>
          <w:sz w:val="20"/>
          <w:szCs w:val="20"/>
        </w:rPr>
        <w:t>:</w:t>
      </w:r>
      <w:r w:rsidR="002B0C3E" w:rsidRPr="00C80409">
        <w:rPr>
          <w:rFonts w:ascii="Arial" w:hAnsi="Arial" w:cs="Arial"/>
          <w:sz w:val="20"/>
          <w:szCs w:val="20"/>
        </w:rPr>
        <w:t xml:space="preserve"> </w:t>
      </w:r>
    </w:p>
    <w:p w:rsidR="00A65881" w:rsidRPr="00C80409" w:rsidRDefault="00A65881" w:rsidP="00A65881">
      <w:pPr>
        <w:pStyle w:val="a8"/>
        <w:jc w:val="both"/>
        <w:rPr>
          <w:rFonts w:ascii="Arial" w:hAnsi="Arial" w:cs="Arial"/>
          <w:sz w:val="20"/>
          <w:szCs w:val="20"/>
        </w:rPr>
      </w:pPr>
    </w:p>
    <w:p w:rsidR="000027EB" w:rsidRDefault="002B0C3E" w:rsidP="00C80409">
      <w:pPr>
        <w:pStyle w:val="a8"/>
        <w:numPr>
          <w:ilvl w:val="1"/>
          <w:numId w:val="20"/>
        </w:numPr>
        <w:jc w:val="both"/>
        <w:rPr>
          <w:rFonts w:ascii="Arial" w:hAnsi="Arial" w:cs="Arial"/>
          <w:sz w:val="20"/>
          <w:szCs w:val="20"/>
        </w:rPr>
      </w:pPr>
      <w:r w:rsidRPr="002B0C3E">
        <w:rPr>
          <w:rFonts w:ascii="Arial" w:hAnsi="Arial" w:cs="Arial"/>
          <w:sz w:val="20"/>
          <w:szCs w:val="20"/>
        </w:rPr>
        <w:t>provide detailed explanations of</w:t>
      </w:r>
      <w:r w:rsidR="00A65881">
        <w:rPr>
          <w:rFonts w:ascii="Arial" w:hAnsi="Arial" w:cs="Arial"/>
          <w:sz w:val="20"/>
          <w:szCs w:val="20"/>
        </w:rPr>
        <w:t>,</w:t>
      </w:r>
      <w:r w:rsidR="000027EB">
        <w:rPr>
          <w:rFonts w:ascii="Arial" w:hAnsi="Arial" w:cs="Arial"/>
          <w:sz w:val="20"/>
          <w:szCs w:val="20"/>
        </w:rPr>
        <w:t xml:space="preserve"> and explain in specific terms</w:t>
      </w:r>
      <w:r w:rsidR="00A65881">
        <w:rPr>
          <w:rFonts w:ascii="Arial" w:hAnsi="Arial" w:cs="Arial"/>
          <w:sz w:val="20"/>
          <w:szCs w:val="20"/>
        </w:rPr>
        <w:t>,</w:t>
      </w:r>
      <w:r w:rsidRPr="002B0C3E">
        <w:rPr>
          <w:rFonts w:ascii="Arial" w:hAnsi="Arial" w:cs="Arial"/>
          <w:sz w:val="20"/>
          <w:szCs w:val="20"/>
        </w:rPr>
        <w:t xml:space="preserve"> the assumptions a</w:t>
      </w:r>
      <w:r>
        <w:rPr>
          <w:rFonts w:ascii="Arial" w:hAnsi="Arial" w:cs="Arial"/>
          <w:sz w:val="20"/>
          <w:szCs w:val="20"/>
        </w:rPr>
        <w:t xml:space="preserve">nd </w:t>
      </w:r>
      <w:r w:rsidR="00E5347E">
        <w:rPr>
          <w:rFonts w:ascii="Arial" w:hAnsi="Arial" w:cs="Arial"/>
          <w:sz w:val="20"/>
          <w:szCs w:val="20"/>
        </w:rPr>
        <w:t>adopted valuation inputs</w:t>
      </w:r>
      <w:r w:rsidR="000027EB">
        <w:rPr>
          <w:rFonts w:ascii="Arial" w:hAnsi="Arial" w:cs="Arial"/>
          <w:sz w:val="20"/>
          <w:szCs w:val="20"/>
        </w:rPr>
        <w:t>; and</w:t>
      </w:r>
    </w:p>
    <w:p w:rsidR="00A65881" w:rsidRDefault="00A65881" w:rsidP="00A65881">
      <w:pPr>
        <w:pStyle w:val="a8"/>
        <w:ind w:left="1440"/>
        <w:jc w:val="both"/>
        <w:rPr>
          <w:rFonts w:ascii="Arial" w:hAnsi="Arial" w:cs="Arial"/>
          <w:sz w:val="20"/>
          <w:szCs w:val="20"/>
        </w:rPr>
      </w:pPr>
    </w:p>
    <w:p w:rsidR="000027EB" w:rsidRDefault="000027EB" w:rsidP="00C80409">
      <w:pPr>
        <w:pStyle w:val="a8"/>
        <w:numPr>
          <w:ilvl w:val="1"/>
          <w:numId w:val="20"/>
        </w:numPr>
        <w:jc w:val="both"/>
        <w:rPr>
          <w:rFonts w:ascii="Arial" w:hAnsi="Arial" w:cs="Arial"/>
          <w:sz w:val="20"/>
          <w:szCs w:val="20"/>
        </w:rPr>
      </w:pPr>
      <w:r>
        <w:rPr>
          <w:rFonts w:ascii="Arial" w:hAnsi="Arial" w:cs="Arial"/>
          <w:sz w:val="20"/>
          <w:szCs w:val="20"/>
        </w:rPr>
        <w:t>in the event the valuation assumptions and/or inputs</w:t>
      </w:r>
      <w:r w:rsidR="00C80409">
        <w:rPr>
          <w:rFonts w:ascii="Arial" w:hAnsi="Arial" w:cs="Arial"/>
          <w:sz w:val="20"/>
          <w:szCs w:val="20"/>
        </w:rPr>
        <w:t xml:space="preserve"> </w:t>
      </w:r>
      <w:r w:rsidR="00C024FF">
        <w:rPr>
          <w:rFonts w:ascii="Arial" w:hAnsi="Arial" w:cs="Arial"/>
          <w:sz w:val="20"/>
          <w:szCs w:val="20"/>
        </w:rPr>
        <w:t xml:space="preserve">significantly differ from </w:t>
      </w:r>
      <w:r>
        <w:rPr>
          <w:rFonts w:ascii="Arial" w:hAnsi="Arial" w:cs="Arial"/>
          <w:sz w:val="20"/>
          <w:szCs w:val="20"/>
        </w:rPr>
        <w:t xml:space="preserve">the target company’s historical information or parameters of comparable companies, </w:t>
      </w:r>
      <w:r w:rsidR="00E5347E">
        <w:rPr>
          <w:rFonts w:ascii="Arial" w:hAnsi="Arial" w:cs="Arial"/>
          <w:sz w:val="20"/>
          <w:szCs w:val="20"/>
        </w:rPr>
        <w:t xml:space="preserve">the </w:t>
      </w:r>
      <w:r>
        <w:rPr>
          <w:rFonts w:ascii="Arial" w:hAnsi="Arial" w:cs="Arial"/>
          <w:sz w:val="20"/>
          <w:szCs w:val="20"/>
        </w:rPr>
        <w:t xml:space="preserve">issuer should further justify </w:t>
      </w:r>
      <w:r w:rsidR="00E5347E">
        <w:rPr>
          <w:rFonts w:ascii="Arial" w:hAnsi="Arial" w:cs="Arial"/>
          <w:sz w:val="20"/>
          <w:szCs w:val="20"/>
        </w:rPr>
        <w:t>the</w:t>
      </w:r>
      <w:r>
        <w:rPr>
          <w:rFonts w:ascii="Arial" w:hAnsi="Arial" w:cs="Arial"/>
          <w:sz w:val="20"/>
          <w:szCs w:val="20"/>
        </w:rPr>
        <w:t xml:space="preserve"> fairness and reasonableness</w:t>
      </w:r>
      <w:r w:rsidR="00A65881">
        <w:rPr>
          <w:rFonts w:ascii="Arial" w:hAnsi="Arial" w:cs="Arial"/>
          <w:sz w:val="20"/>
          <w:szCs w:val="20"/>
        </w:rPr>
        <w:t xml:space="preserve"> of</w:t>
      </w:r>
      <w:r w:rsidR="00E5347E">
        <w:rPr>
          <w:rFonts w:ascii="Arial" w:hAnsi="Arial" w:cs="Arial"/>
          <w:sz w:val="20"/>
          <w:szCs w:val="20"/>
        </w:rPr>
        <w:t xml:space="preserve"> using th</w:t>
      </w:r>
      <w:r w:rsidR="00C024FF">
        <w:rPr>
          <w:rFonts w:ascii="Arial" w:hAnsi="Arial" w:cs="Arial"/>
          <w:sz w:val="20"/>
          <w:szCs w:val="20"/>
        </w:rPr>
        <w:t>e</w:t>
      </w:r>
      <w:r w:rsidR="00E5347E">
        <w:rPr>
          <w:rFonts w:ascii="Arial" w:hAnsi="Arial" w:cs="Arial"/>
          <w:sz w:val="20"/>
          <w:szCs w:val="20"/>
        </w:rPr>
        <w:t xml:space="preserve"> particular assumptions and/or inputs</w:t>
      </w:r>
      <w:r w:rsidR="00C024FF">
        <w:rPr>
          <w:rFonts w:ascii="Arial" w:hAnsi="Arial" w:cs="Arial"/>
          <w:sz w:val="20"/>
          <w:szCs w:val="20"/>
        </w:rPr>
        <w:t>. F</w:t>
      </w:r>
      <w:r>
        <w:rPr>
          <w:rFonts w:ascii="Arial" w:hAnsi="Arial" w:cs="Arial"/>
          <w:sz w:val="20"/>
          <w:szCs w:val="20"/>
        </w:rPr>
        <w:t>or example:</w:t>
      </w:r>
    </w:p>
    <w:p w:rsidR="00A65881" w:rsidRDefault="00A65881" w:rsidP="00A65881">
      <w:pPr>
        <w:pStyle w:val="a8"/>
        <w:ind w:left="1440"/>
        <w:jc w:val="both"/>
        <w:rPr>
          <w:rFonts w:ascii="Arial" w:hAnsi="Arial" w:cs="Arial"/>
          <w:sz w:val="20"/>
          <w:szCs w:val="20"/>
        </w:rPr>
      </w:pPr>
    </w:p>
    <w:p w:rsidR="000027EB" w:rsidRDefault="000027EB" w:rsidP="00C80409">
      <w:pPr>
        <w:pStyle w:val="a8"/>
        <w:numPr>
          <w:ilvl w:val="2"/>
          <w:numId w:val="20"/>
        </w:numPr>
        <w:jc w:val="both"/>
        <w:rPr>
          <w:rFonts w:ascii="Arial" w:hAnsi="Arial" w:cs="Arial"/>
          <w:sz w:val="20"/>
          <w:szCs w:val="20"/>
        </w:rPr>
      </w:pPr>
      <w:r w:rsidRPr="000027EB">
        <w:rPr>
          <w:rFonts w:ascii="Arial" w:hAnsi="Arial" w:cs="Arial"/>
          <w:sz w:val="20"/>
          <w:szCs w:val="20"/>
        </w:rPr>
        <w:t xml:space="preserve">in a DCF valuation with projected revenue based on significant growth </w:t>
      </w:r>
      <w:r w:rsidR="00F46E47">
        <w:rPr>
          <w:rFonts w:ascii="Arial" w:hAnsi="Arial" w:cs="Arial"/>
          <w:sz w:val="20"/>
          <w:szCs w:val="20"/>
        </w:rPr>
        <w:t xml:space="preserve">compared with </w:t>
      </w:r>
      <w:r w:rsidRPr="000027EB">
        <w:rPr>
          <w:rFonts w:ascii="Arial" w:hAnsi="Arial" w:cs="Arial"/>
          <w:sz w:val="20"/>
          <w:szCs w:val="20"/>
        </w:rPr>
        <w:t>the target company's historical trend, the issuer should disclose the basis of projections and explain w</w:t>
      </w:r>
      <w:r>
        <w:rPr>
          <w:rFonts w:ascii="Arial" w:hAnsi="Arial" w:cs="Arial"/>
          <w:sz w:val="20"/>
          <w:szCs w:val="20"/>
        </w:rPr>
        <w:t>hy they are fair and reasonable;</w:t>
      </w:r>
      <w:r w:rsidR="00B61103">
        <w:rPr>
          <w:rFonts w:ascii="Arial" w:hAnsi="Arial" w:cs="Arial"/>
          <w:sz w:val="20"/>
          <w:szCs w:val="20"/>
        </w:rPr>
        <w:t xml:space="preserve"> </w:t>
      </w:r>
      <w:r>
        <w:rPr>
          <w:rFonts w:ascii="Arial" w:hAnsi="Arial" w:cs="Arial"/>
          <w:sz w:val="20"/>
          <w:szCs w:val="20"/>
        </w:rPr>
        <w:t>and</w:t>
      </w:r>
    </w:p>
    <w:p w:rsidR="00A65881" w:rsidRDefault="00A65881" w:rsidP="00A65881">
      <w:pPr>
        <w:pStyle w:val="a8"/>
        <w:ind w:left="2160"/>
        <w:jc w:val="both"/>
        <w:rPr>
          <w:rFonts w:ascii="Arial" w:hAnsi="Arial" w:cs="Arial"/>
          <w:sz w:val="20"/>
          <w:szCs w:val="20"/>
        </w:rPr>
      </w:pPr>
    </w:p>
    <w:p w:rsidR="000027EB" w:rsidRPr="000027EB" w:rsidRDefault="000027EB" w:rsidP="00C80409">
      <w:pPr>
        <w:pStyle w:val="a8"/>
        <w:numPr>
          <w:ilvl w:val="2"/>
          <w:numId w:val="20"/>
        </w:numPr>
        <w:jc w:val="both"/>
        <w:rPr>
          <w:rFonts w:ascii="Arial" w:hAnsi="Arial" w:cs="Arial"/>
          <w:sz w:val="20"/>
          <w:szCs w:val="20"/>
        </w:rPr>
      </w:pPr>
      <w:r>
        <w:rPr>
          <w:rFonts w:ascii="Arial" w:hAnsi="Arial" w:cs="Arial"/>
          <w:sz w:val="20"/>
          <w:szCs w:val="20"/>
        </w:rPr>
        <w:t>i</w:t>
      </w:r>
      <w:r w:rsidRPr="000027EB">
        <w:rPr>
          <w:rFonts w:ascii="Arial" w:hAnsi="Arial" w:cs="Arial"/>
          <w:sz w:val="20"/>
          <w:szCs w:val="20"/>
        </w:rPr>
        <w:t xml:space="preserve">n a market approach valuation, issuers should disclose the criteria and process for selecting comparable companies and explain why the chosen </w:t>
      </w:r>
      <w:r w:rsidR="00F46E47">
        <w:rPr>
          <w:rFonts w:ascii="Arial" w:hAnsi="Arial" w:cs="Arial"/>
          <w:sz w:val="20"/>
          <w:szCs w:val="20"/>
        </w:rPr>
        <w:t xml:space="preserve">market </w:t>
      </w:r>
      <w:proofErr w:type="spellStart"/>
      <w:r w:rsidR="00B61103" w:rsidRPr="000027EB">
        <w:rPr>
          <w:rFonts w:ascii="Arial" w:hAnsi="Arial" w:cs="Arial"/>
          <w:sz w:val="20"/>
          <w:szCs w:val="20"/>
        </w:rPr>
        <w:t>comparable</w:t>
      </w:r>
      <w:r w:rsidR="00B61103">
        <w:rPr>
          <w:rFonts w:ascii="Arial" w:hAnsi="Arial" w:cs="Arial"/>
          <w:sz w:val="20"/>
          <w:szCs w:val="20"/>
        </w:rPr>
        <w:t>s</w:t>
      </w:r>
      <w:proofErr w:type="spellEnd"/>
      <w:r w:rsidRPr="000027EB">
        <w:rPr>
          <w:rFonts w:ascii="Arial" w:hAnsi="Arial" w:cs="Arial"/>
          <w:sz w:val="20"/>
          <w:szCs w:val="20"/>
        </w:rPr>
        <w:t xml:space="preserve"> are appropriate in the circumstances. If the multiples of comparable companies vary widely, the issuer should explain the rationale for including or excluding outliers and how the multiple for valuation was derived.</w:t>
      </w:r>
    </w:p>
    <w:p w:rsidR="000027EB" w:rsidRPr="00A65881" w:rsidRDefault="00A65881" w:rsidP="00D47AD0">
      <w:pPr>
        <w:jc w:val="both"/>
        <w:rPr>
          <w:rFonts w:ascii="Arial" w:hAnsi="Arial" w:cs="Arial"/>
          <w:color w:val="FF0000"/>
          <w:sz w:val="20"/>
          <w:szCs w:val="20"/>
        </w:rPr>
      </w:pPr>
      <w:proofErr w:type="spellStart"/>
      <w:r>
        <w:rPr>
          <w:rFonts w:ascii="Arial" w:hAnsi="Arial" w:cs="Arial"/>
          <w:color w:val="FF0000"/>
          <w:sz w:val="20"/>
          <w:szCs w:val="20"/>
        </w:rPr>
        <w:t>HKEx’s</w:t>
      </w:r>
      <w:proofErr w:type="spellEnd"/>
      <w:r>
        <w:rPr>
          <w:rFonts w:ascii="Arial" w:hAnsi="Arial" w:cs="Arial"/>
          <w:color w:val="FF0000"/>
          <w:sz w:val="20"/>
          <w:szCs w:val="20"/>
        </w:rPr>
        <w:t xml:space="preserve"> Application of T</w:t>
      </w:r>
      <w:r w:rsidR="00AC0634" w:rsidRPr="00A65881">
        <w:rPr>
          <w:rFonts w:ascii="Arial" w:hAnsi="Arial" w:cs="Arial"/>
          <w:color w:val="FF0000"/>
          <w:sz w:val="20"/>
          <w:szCs w:val="20"/>
        </w:rPr>
        <w:t xml:space="preserve">echnology </w:t>
      </w:r>
    </w:p>
    <w:p w:rsidR="00D90E1E" w:rsidRDefault="00A65881" w:rsidP="00D47AD0">
      <w:pPr>
        <w:jc w:val="both"/>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HKEx</w:t>
      </w:r>
      <w:proofErr w:type="spellEnd"/>
      <w:r w:rsidR="00D90E1E" w:rsidRPr="00D90E1E">
        <w:rPr>
          <w:rFonts w:ascii="Arial" w:hAnsi="Arial" w:cs="Arial"/>
          <w:sz w:val="20"/>
          <w:szCs w:val="20"/>
        </w:rPr>
        <w:t xml:space="preserve"> notes that it has continued to</w:t>
      </w:r>
      <w:r w:rsidR="00D90E1E">
        <w:rPr>
          <w:rFonts w:ascii="Arial" w:hAnsi="Arial" w:cs="Arial"/>
          <w:sz w:val="20"/>
          <w:szCs w:val="20"/>
        </w:rPr>
        <w:t xml:space="preserve"> apply technology to its regulatory functions and daily operations. Since the last Listed Issuer Regulation Newsletter</w:t>
      </w:r>
      <w:r w:rsidR="00F46E47">
        <w:rPr>
          <w:rFonts w:ascii="Arial" w:hAnsi="Arial" w:cs="Arial"/>
          <w:sz w:val="20"/>
          <w:szCs w:val="20"/>
        </w:rPr>
        <w:t xml:space="preserve"> in December</w:t>
      </w:r>
      <w:r w:rsidR="00D90E1E">
        <w:rPr>
          <w:rFonts w:ascii="Arial" w:hAnsi="Arial" w:cs="Arial"/>
          <w:sz w:val="20"/>
          <w:szCs w:val="20"/>
        </w:rPr>
        <w:t xml:space="preserve">, the HKEx has: </w:t>
      </w:r>
    </w:p>
    <w:p w:rsidR="00D90E1E" w:rsidRDefault="00D90E1E" w:rsidP="00D90E1E">
      <w:pPr>
        <w:pStyle w:val="a8"/>
        <w:numPr>
          <w:ilvl w:val="0"/>
          <w:numId w:val="19"/>
        </w:numPr>
        <w:jc w:val="both"/>
        <w:rPr>
          <w:rFonts w:ascii="Arial" w:hAnsi="Arial" w:cs="Arial"/>
          <w:sz w:val="20"/>
          <w:szCs w:val="20"/>
        </w:rPr>
      </w:pPr>
      <w:r>
        <w:rPr>
          <w:rFonts w:ascii="Arial" w:hAnsi="Arial" w:cs="Arial"/>
          <w:sz w:val="20"/>
          <w:szCs w:val="20"/>
        </w:rPr>
        <w:t>continued to utilise its AI model</w:t>
      </w:r>
      <w:r w:rsidR="00C024FF">
        <w:rPr>
          <w:rFonts w:ascii="Arial" w:hAnsi="Arial" w:cs="Arial"/>
          <w:sz w:val="20"/>
          <w:szCs w:val="20"/>
        </w:rPr>
        <w:t>,</w:t>
      </w:r>
      <w:r>
        <w:rPr>
          <w:rFonts w:ascii="Arial" w:hAnsi="Arial" w:cs="Arial"/>
          <w:sz w:val="20"/>
          <w:szCs w:val="20"/>
        </w:rPr>
        <w:t xml:space="preserve"> JURA</w:t>
      </w:r>
      <w:r w:rsidR="00C80409">
        <w:rPr>
          <w:rFonts w:ascii="Arial" w:hAnsi="Arial" w:cs="Arial"/>
          <w:sz w:val="20"/>
          <w:szCs w:val="20"/>
        </w:rPr>
        <w:t>,</w:t>
      </w:r>
      <w:r>
        <w:rPr>
          <w:rFonts w:ascii="Arial" w:hAnsi="Arial" w:cs="Arial"/>
          <w:sz w:val="20"/>
          <w:szCs w:val="20"/>
        </w:rPr>
        <w:t xml:space="preserve"> </w:t>
      </w:r>
      <w:r w:rsidR="00C024FF">
        <w:rPr>
          <w:rFonts w:ascii="Arial" w:hAnsi="Arial" w:cs="Arial"/>
          <w:sz w:val="20"/>
          <w:szCs w:val="20"/>
        </w:rPr>
        <w:t>which</w:t>
      </w:r>
      <w:r>
        <w:rPr>
          <w:rFonts w:ascii="Arial" w:hAnsi="Arial" w:cs="Arial"/>
          <w:sz w:val="20"/>
          <w:szCs w:val="20"/>
        </w:rPr>
        <w:t xml:space="preserve"> has been used to</w:t>
      </w:r>
      <w:r w:rsidR="00C80409">
        <w:rPr>
          <w:rFonts w:ascii="Arial" w:hAnsi="Arial" w:cs="Arial"/>
          <w:sz w:val="20"/>
          <w:szCs w:val="20"/>
        </w:rPr>
        <w:t xml:space="preserve"> review disclosures in issuer</w:t>
      </w:r>
      <w:r>
        <w:rPr>
          <w:rFonts w:ascii="Arial" w:hAnsi="Arial" w:cs="Arial"/>
          <w:sz w:val="20"/>
          <w:szCs w:val="20"/>
        </w:rPr>
        <w:t>s</w:t>
      </w:r>
      <w:r w:rsidR="00C80409">
        <w:rPr>
          <w:rFonts w:ascii="Arial" w:hAnsi="Arial" w:cs="Arial"/>
          <w:sz w:val="20"/>
          <w:szCs w:val="20"/>
        </w:rPr>
        <w:t>’</w:t>
      </w:r>
      <w:r>
        <w:rPr>
          <w:rFonts w:ascii="Arial" w:hAnsi="Arial" w:cs="Arial"/>
          <w:sz w:val="20"/>
          <w:szCs w:val="20"/>
        </w:rPr>
        <w:t xml:space="preserve"> ESG reports</w:t>
      </w:r>
      <w:r w:rsidR="004A780F">
        <w:rPr>
          <w:rFonts w:ascii="Arial" w:hAnsi="Arial" w:cs="Arial"/>
          <w:sz w:val="20"/>
          <w:szCs w:val="20"/>
        </w:rPr>
        <w:t xml:space="preserve"> </w:t>
      </w:r>
      <w:r w:rsidR="00C024FF">
        <w:rPr>
          <w:rFonts w:ascii="Arial" w:hAnsi="Arial" w:cs="Arial"/>
          <w:sz w:val="20"/>
          <w:szCs w:val="20"/>
        </w:rPr>
        <w:t xml:space="preserve">and </w:t>
      </w:r>
      <w:r w:rsidR="004A780F">
        <w:rPr>
          <w:rFonts w:ascii="Arial" w:hAnsi="Arial" w:cs="Arial"/>
          <w:sz w:val="20"/>
          <w:szCs w:val="20"/>
        </w:rPr>
        <w:t xml:space="preserve">to vet issuers’ transaction and fundraising announcements. </w:t>
      </w:r>
      <w:r w:rsidR="00A65881">
        <w:rPr>
          <w:rFonts w:ascii="Arial" w:hAnsi="Arial" w:cs="Arial"/>
          <w:sz w:val="20"/>
          <w:szCs w:val="20"/>
        </w:rPr>
        <w:t xml:space="preserve">The </w:t>
      </w:r>
      <w:proofErr w:type="spellStart"/>
      <w:r w:rsidR="00A65881">
        <w:rPr>
          <w:rFonts w:ascii="Arial" w:hAnsi="Arial" w:cs="Arial"/>
          <w:sz w:val="20"/>
          <w:szCs w:val="20"/>
        </w:rPr>
        <w:t>HKEx</w:t>
      </w:r>
      <w:proofErr w:type="spellEnd"/>
      <w:r w:rsidR="00A65881">
        <w:rPr>
          <w:rFonts w:ascii="Arial" w:hAnsi="Arial" w:cs="Arial"/>
          <w:sz w:val="20"/>
          <w:szCs w:val="20"/>
        </w:rPr>
        <w:t xml:space="preserve"> has extended JURA to </w:t>
      </w:r>
      <w:r w:rsidR="004A780F">
        <w:rPr>
          <w:rFonts w:ascii="Arial" w:hAnsi="Arial" w:cs="Arial"/>
          <w:sz w:val="20"/>
          <w:szCs w:val="20"/>
        </w:rPr>
        <w:t>review</w:t>
      </w:r>
      <w:r>
        <w:rPr>
          <w:rFonts w:ascii="Arial" w:hAnsi="Arial" w:cs="Arial"/>
          <w:sz w:val="20"/>
          <w:szCs w:val="20"/>
        </w:rPr>
        <w:t xml:space="preserve"> annual results announcement</w:t>
      </w:r>
      <w:r w:rsidR="00A65881">
        <w:rPr>
          <w:rFonts w:ascii="Arial" w:hAnsi="Arial" w:cs="Arial"/>
          <w:sz w:val="20"/>
          <w:szCs w:val="20"/>
        </w:rPr>
        <w:t>s</w:t>
      </w:r>
      <w:r>
        <w:rPr>
          <w:rFonts w:ascii="Arial" w:hAnsi="Arial" w:cs="Arial"/>
          <w:sz w:val="20"/>
          <w:szCs w:val="20"/>
        </w:rPr>
        <w:t xml:space="preserve"> and </w:t>
      </w:r>
      <w:r w:rsidR="00A65881">
        <w:rPr>
          <w:rFonts w:ascii="Arial" w:hAnsi="Arial" w:cs="Arial"/>
          <w:sz w:val="20"/>
          <w:szCs w:val="20"/>
        </w:rPr>
        <w:t xml:space="preserve">highlight red flags and potential breaches of the </w:t>
      </w:r>
      <w:proofErr w:type="spellStart"/>
      <w:r w:rsidR="00A65881">
        <w:rPr>
          <w:rFonts w:ascii="Arial" w:hAnsi="Arial" w:cs="Arial"/>
          <w:sz w:val="20"/>
          <w:szCs w:val="20"/>
        </w:rPr>
        <w:t>HKEx</w:t>
      </w:r>
      <w:proofErr w:type="spellEnd"/>
      <w:r w:rsidR="00A65881">
        <w:rPr>
          <w:rFonts w:ascii="Arial" w:hAnsi="Arial" w:cs="Arial"/>
          <w:sz w:val="20"/>
          <w:szCs w:val="20"/>
        </w:rPr>
        <w:t xml:space="preserve"> Listing rules that require immediate attention (e.g. those requiring an immediate suspension of trading or a clarification to the market). JURA is also used </w:t>
      </w:r>
      <w:r>
        <w:rPr>
          <w:rFonts w:ascii="Arial" w:hAnsi="Arial" w:cs="Arial"/>
          <w:sz w:val="20"/>
          <w:szCs w:val="20"/>
        </w:rPr>
        <w:t>t</w:t>
      </w:r>
      <w:r w:rsidR="004A780F">
        <w:rPr>
          <w:rFonts w:ascii="Arial" w:hAnsi="Arial" w:cs="Arial"/>
          <w:sz w:val="20"/>
          <w:szCs w:val="20"/>
        </w:rPr>
        <w:t xml:space="preserve">o perform financial analysis and identify material fluctuations; </w:t>
      </w:r>
    </w:p>
    <w:p w:rsidR="008720AC" w:rsidRDefault="008720AC" w:rsidP="008720AC">
      <w:pPr>
        <w:pStyle w:val="a8"/>
        <w:jc w:val="both"/>
        <w:rPr>
          <w:rFonts w:ascii="Arial" w:hAnsi="Arial" w:cs="Arial"/>
          <w:sz w:val="20"/>
          <w:szCs w:val="20"/>
        </w:rPr>
      </w:pPr>
    </w:p>
    <w:p w:rsidR="008720AC" w:rsidRDefault="004A780F" w:rsidP="00D90E1E">
      <w:pPr>
        <w:pStyle w:val="a8"/>
        <w:numPr>
          <w:ilvl w:val="0"/>
          <w:numId w:val="19"/>
        </w:numPr>
        <w:jc w:val="both"/>
        <w:rPr>
          <w:rFonts w:ascii="Arial" w:hAnsi="Arial" w:cs="Arial"/>
          <w:sz w:val="20"/>
          <w:szCs w:val="20"/>
        </w:rPr>
      </w:pPr>
      <w:r>
        <w:rPr>
          <w:rFonts w:ascii="Arial" w:hAnsi="Arial" w:cs="Arial"/>
          <w:sz w:val="20"/>
          <w:szCs w:val="20"/>
        </w:rPr>
        <w:t>expanded the HKEx Listing Division’s internal case management and workflow system; and</w:t>
      </w:r>
    </w:p>
    <w:p w:rsidR="008720AC" w:rsidRPr="008720AC" w:rsidRDefault="008720AC" w:rsidP="008720AC">
      <w:pPr>
        <w:pStyle w:val="a8"/>
        <w:rPr>
          <w:rFonts w:ascii="Arial" w:hAnsi="Arial" w:cs="Arial"/>
          <w:sz w:val="20"/>
          <w:szCs w:val="20"/>
        </w:rPr>
      </w:pPr>
    </w:p>
    <w:p w:rsidR="004A780F" w:rsidRDefault="004A780F" w:rsidP="00D90E1E">
      <w:pPr>
        <w:pStyle w:val="a8"/>
        <w:numPr>
          <w:ilvl w:val="0"/>
          <w:numId w:val="19"/>
        </w:numPr>
        <w:jc w:val="both"/>
        <w:rPr>
          <w:rFonts w:ascii="Arial" w:hAnsi="Arial" w:cs="Arial"/>
          <w:sz w:val="20"/>
          <w:szCs w:val="20"/>
        </w:rPr>
      </w:pPr>
      <w:r>
        <w:rPr>
          <w:rFonts w:ascii="Arial" w:hAnsi="Arial" w:cs="Arial"/>
          <w:sz w:val="20"/>
          <w:szCs w:val="20"/>
        </w:rPr>
        <w:t xml:space="preserve">been developing an issuer platform for issuers to make private submissions on cases and filings of changes to corporate standing data and </w:t>
      </w:r>
      <w:r w:rsidR="00C024FF">
        <w:rPr>
          <w:rFonts w:ascii="Arial" w:hAnsi="Arial" w:cs="Arial"/>
          <w:sz w:val="20"/>
          <w:szCs w:val="20"/>
        </w:rPr>
        <w:t xml:space="preserve">director information, and </w:t>
      </w:r>
      <w:r w:rsidR="00C80409">
        <w:rPr>
          <w:rFonts w:ascii="Arial" w:hAnsi="Arial" w:cs="Arial"/>
          <w:sz w:val="20"/>
          <w:szCs w:val="20"/>
        </w:rPr>
        <w:t>to</w:t>
      </w:r>
      <w:r>
        <w:rPr>
          <w:rFonts w:ascii="Arial" w:hAnsi="Arial" w:cs="Arial"/>
          <w:sz w:val="20"/>
          <w:szCs w:val="20"/>
        </w:rPr>
        <w:t xml:space="preserve"> </w:t>
      </w:r>
      <w:r w:rsidR="00B61103">
        <w:rPr>
          <w:rFonts w:ascii="Arial" w:hAnsi="Arial" w:cs="Arial"/>
          <w:sz w:val="20"/>
          <w:szCs w:val="20"/>
        </w:rPr>
        <w:t xml:space="preserve">act as </w:t>
      </w:r>
      <w:r>
        <w:rPr>
          <w:rFonts w:ascii="Arial" w:hAnsi="Arial" w:cs="Arial"/>
          <w:sz w:val="20"/>
          <w:szCs w:val="20"/>
        </w:rPr>
        <w:t>a replacement for current emails and e-Forms.</w:t>
      </w:r>
    </w:p>
    <w:p w:rsidR="008720AC" w:rsidRPr="008720AC" w:rsidRDefault="008720AC" w:rsidP="008720AC">
      <w:pPr>
        <w:jc w:val="both"/>
        <w:rPr>
          <w:rFonts w:ascii="Arial" w:hAnsi="Arial" w:cs="Arial"/>
          <w:sz w:val="20"/>
          <w:szCs w:val="20"/>
        </w:rPr>
      </w:pPr>
      <w:r>
        <w:rPr>
          <w:rFonts w:ascii="Arial" w:hAnsi="Arial" w:cs="Arial"/>
          <w:sz w:val="20"/>
          <w:szCs w:val="20"/>
        </w:rPr>
        <w:t xml:space="preserve">JURA will be used this year to review disclosures in issuers’ ESG reports and to vet issuers’ documents including their transaction and fundraising announcements. </w:t>
      </w:r>
    </w:p>
    <w:p w:rsidR="00E43DFC" w:rsidRPr="008720AC" w:rsidRDefault="008720AC" w:rsidP="00D47AD0">
      <w:pPr>
        <w:jc w:val="both"/>
        <w:rPr>
          <w:rFonts w:ascii="Arial" w:hAnsi="Arial" w:cs="Arial"/>
          <w:color w:val="FF0000"/>
          <w:sz w:val="20"/>
          <w:szCs w:val="20"/>
        </w:rPr>
      </w:pPr>
      <w:proofErr w:type="spellStart"/>
      <w:r w:rsidRPr="008720AC">
        <w:rPr>
          <w:rFonts w:ascii="Arial" w:hAnsi="Arial" w:cs="Arial"/>
          <w:color w:val="FF0000"/>
          <w:sz w:val="20"/>
          <w:szCs w:val="20"/>
        </w:rPr>
        <w:t>HKEx’s</w:t>
      </w:r>
      <w:proofErr w:type="spellEnd"/>
      <w:r w:rsidRPr="008720AC">
        <w:rPr>
          <w:rFonts w:ascii="Arial" w:hAnsi="Arial" w:cs="Arial"/>
          <w:color w:val="FF0000"/>
          <w:sz w:val="20"/>
          <w:szCs w:val="20"/>
        </w:rPr>
        <w:t xml:space="preserve"> </w:t>
      </w:r>
      <w:r w:rsidR="00E43DFC" w:rsidRPr="008720AC">
        <w:rPr>
          <w:rFonts w:ascii="Arial" w:hAnsi="Arial" w:cs="Arial"/>
          <w:color w:val="FF0000"/>
          <w:sz w:val="20"/>
          <w:szCs w:val="20"/>
        </w:rPr>
        <w:t>O</w:t>
      </w:r>
      <w:r w:rsidRPr="008720AC">
        <w:rPr>
          <w:rFonts w:ascii="Arial" w:hAnsi="Arial" w:cs="Arial"/>
          <w:color w:val="FF0000"/>
          <w:sz w:val="20"/>
          <w:szCs w:val="20"/>
        </w:rPr>
        <w:t>ther Recent P</w:t>
      </w:r>
      <w:r w:rsidR="00E43DFC" w:rsidRPr="008720AC">
        <w:rPr>
          <w:rFonts w:ascii="Arial" w:hAnsi="Arial" w:cs="Arial"/>
          <w:color w:val="FF0000"/>
          <w:sz w:val="20"/>
          <w:szCs w:val="20"/>
        </w:rPr>
        <w:t>ublications</w:t>
      </w:r>
    </w:p>
    <w:p w:rsidR="00CB7F39" w:rsidRDefault="00AC0634" w:rsidP="00D47AD0">
      <w:pPr>
        <w:jc w:val="both"/>
        <w:rPr>
          <w:rFonts w:ascii="Arial" w:hAnsi="Arial" w:cs="Arial"/>
          <w:sz w:val="20"/>
          <w:szCs w:val="20"/>
        </w:rPr>
      </w:pPr>
      <w:r>
        <w:rPr>
          <w:rFonts w:ascii="Arial" w:hAnsi="Arial" w:cs="Arial"/>
          <w:sz w:val="20"/>
          <w:szCs w:val="20"/>
        </w:rPr>
        <w:t>S</w:t>
      </w:r>
      <w:r w:rsidR="008720AC">
        <w:rPr>
          <w:rFonts w:ascii="Arial" w:hAnsi="Arial" w:cs="Arial"/>
          <w:sz w:val="20"/>
          <w:szCs w:val="20"/>
        </w:rPr>
        <w:t>ince the publication of its</w:t>
      </w:r>
      <w:r>
        <w:rPr>
          <w:rFonts w:ascii="Arial" w:hAnsi="Arial" w:cs="Arial"/>
          <w:sz w:val="20"/>
          <w:szCs w:val="20"/>
        </w:rPr>
        <w:t xml:space="preserve"> last listed issuer regulation newsletter</w:t>
      </w:r>
      <w:r w:rsidR="0053701C">
        <w:rPr>
          <w:rFonts w:ascii="Arial" w:hAnsi="Arial" w:cs="Arial"/>
          <w:sz w:val="20"/>
          <w:szCs w:val="20"/>
        </w:rPr>
        <w:t>,</w:t>
      </w:r>
      <w:r w:rsidR="000C3D36" w:rsidRPr="00D47AD0">
        <w:rPr>
          <w:rFonts w:ascii="Arial" w:hAnsi="Arial" w:cs="Arial"/>
          <w:sz w:val="20"/>
          <w:szCs w:val="20"/>
        </w:rPr>
        <w:t xml:space="preserve"> the </w:t>
      </w:r>
      <w:proofErr w:type="spellStart"/>
      <w:r w:rsidR="000C3D36" w:rsidRPr="00D47AD0">
        <w:rPr>
          <w:rFonts w:ascii="Arial" w:hAnsi="Arial" w:cs="Arial"/>
          <w:sz w:val="20"/>
          <w:szCs w:val="20"/>
        </w:rPr>
        <w:t>HKEx</w:t>
      </w:r>
      <w:proofErr w:type="spellEnd"/>
      <w:r>
        <w:rPr>
          <w:rFonts w:ascii="Arial" w:hAnsi="Arial" w:cs="Arial"/>
          <w:sz w:val="20"/>
          <w:szCs w:val="20"/>
        </w:rPr>
        <w:t xml:space="preserve"> has </w:t>
      </w:r>
      <w:r w:rsidR="000C3D36" w:rsidRPr="00D47AD0">
        <w:rPr>
          <w:rFonts w:ascii="Arial" w:hAnsi="Arial" w:cs="Arial"/>
          <w:sz w:val="20"/>
          <w:szCs w:val="20"/>
        </w:rPr>
        <w:t>publish</w:t>
      </w:r>
      <w:r w:rsidR="00CB7F39">
        <w:rPr>
          <w:rFonts w:ascii="Arial" w:hAnsi="Arial" w:cs="Arial"/>
          <w:sz w:val="20"/>
          <w:szCs w:val="20"/>
        </w:rPr>
        <w:t>ed:</w:t>
      </w:r>
    </w:p>
    <w:p w:rsidR="008720AC" w:rsidRDefault="00AC0634" w:rsidP="00CB7F39">
      <w:pPr>
        <w:pStyle w:val="a8"/>
        <w:numPr>
          <w:ilvl w:val="0"/>
          <w:numId w:val="9"/>
        </w:numPr>
        <w:jc w:val="both"/>
        <w:rPr>
          <w:rFonts w:ascii="Arial" w:hAnsi="Arial" w:cs="Arial"/>
          <w:sz w:val="20"/>
          <w:szCs w:val="20"/>
        </w:rPr>
      </w:pPr>
      <w:r>
        <w:rPr>
          <w:rFonts w:ascii="Arial" w:hAnsi="Arial" w:cs="Arial"/>
          <w:sz w:val="20"/>
          <w:szCs w:val="20"/>
        </w:rPr>
        <w:t xml:space="preserve">three </w:t>
      </w:r>
      <w:r w:rsidR="00CF364E">
        <w:rPr>
          <w:rFonts w:ascii="Arial" w:hAnsi="Arial" w:cs="Arial"/>
          <w:sz w:val="20"/>
          <w:szCs w:val="20"/>
        </w:rPr>
        <w:t>guidance letters</w:t>
      </w:r>
      <w:r w:rsidR="008720AC">
        <w:rPr>
          <w:rFonts w:ascii="Arial" w:hAnsi="Arial" w:cs="Arial"/>
          <w:sz w:val="20"/>
          <w:szCs w:val="20"/>
        </w:rPr>
        <w:t>:</w:t>
      </w:r>
      <w:r w:rsidR="00E43DFC">
        <w:rPr>
          <w:rFonts w:ascii="Arial" w:hAnsi="Arial" w:cs="Arial"/>
          <w:sz w:val="20"/>
          <w:szCs w:val="20"/>
        </w:rPr>
        <w:t xml:space="preserve"> </w:t>
      </w:r>
    </w:p>
    <w:p w:rsidR="008720AC" w:rsidRDefault="008720AC" w:rsidP="008720AC">
      <w:pPr>
        <w:pStyle w:val="a8"/>
        <w:jc w:val="both"/>
        <w:rPr>
          <w:rFonts w:ascii="Arial" w:hAnsi="Arial" w:cs="Arial"/>
          <w:sz w:val="20"/>
          <w:szCs w:val="20"/>
        </w:rPr>
      </w:pPr>
    </w:p>
    <w:p w:rsidR="008720AC" w:rsidRDefault="00CF364E" w:rsidP="008720AC">
      <w:pPr>
        <w:pStyle w:val="a8"/>
        <w:numPr>
          <w:ilvl w:val="0"/>
          <w:numId w:val="21"/>
        </w:numPr>
        <w:ind w:left="993" w:hanging="284"/>
        <w:jc w:val="both"/>
        <w:rPr>
          <w:rFonts w:ascii="Arial" w:hAnsi="Arial" w:cs="Arial"/>
          <w:sz w:val="20"/>
          <w:szCs w:val="20"/>
        </w:rPr>
      </w:pPr>
      <w:r>
        <w:rPr>
          <w:rFonts w:ascii="Arial" w:hAnsi="Arial" w:cs="Arial"/>
          <w:sz w:val="20"/>
          <w:szCs w:val="20"/>
        </w:rPr>
        <w:t>revised guidance letter</w:t>
      </w:r>
      <w:r w:rsidR="00CB7F39">
        <w:rPr>
          <w:rFonts w:ascii="Arial" w:hAnsi="Arial" w:cs="Arial"/>
          <w:sz w:val="20"/>
          <w:szCs w:val="20"/>
        </w:rPr>
        <w:t xml:space="preserve"> </w:t>
      </w:r>
      <w:hyperlink r:id="rId12" w:history="1">
        <w:r w:rsidR="008720AC" w:rsidRPr="00CF364E">
          <w:rPr>
            <w:rStyle w:val="a3"/>
            <w:rFonts w:ascii="Arial" w:hAnsi="Arial" w:cs="Arial"/>
            <w:sz w:val="20"/>
            <w:szCs w:val="20"/>
          </w:rPr>
          <w:t>GL113</w:t>
        </w:r>
        <w:r w:rsidR="008720AC" w:rsidRPr="008720AC">
          <w:rPr>
            <w:rStyle w:val="a3"/>
            <w:rFonts w:ascii="Arial" w:hAnsi="Arial" w:cs="Arial"/>
            <w:sz w:val="20"/>
            <w:szCs w:val="20"/>
          </w:rPr>
          <w:t>-22</w:t>
        </w:r>
      </w:hyperlink>
      <w:r w:rsidR="008720AC">
        <w:rPr>
          <w:rStyle w:val="a3"/>
          <w:rFonts w:ascii="Arial" w:hAnsi="Arial" w:cs="Arial"/>
          <w:sz w:val="20"/>
          <w:szCs w:val="20"/>
          <w:u w:val="none"/>
        </w:rPr>
        <w:t xml:space="preserve"> </w:t>
      </w:r>
      <w:r w:rsidR="008720AC">
        <w:rPr>
          <w:rStyle w:val="a3"/>
          <w:rFonts w:ascii="Arial" w:hAnsi="Arial" w:cs="Arial"/>
          <w:color w:val="auto"/>
          <w:sz w:val="20"/>
          <w:szCs w:val="20"/>
          <w:u w:val="none"/>
        </w:rPr>
        <w:t xml:space="preserve">for </w:t>
      </w:r>
      <w:r w:rsidRPr="008720AC">
        <w:rPr>
          <w:rFonts w:ascii="Arial" w:hAnsi="Arial" w:cs="Arial"/>
          <w:sz w:val="20"/>
          <w:szCs w:val="20"/>
        </w:rPr>
        <w:t>special</w:t>
      </w:r>
      <w:r>
        <w:rPr>
          <w:rFonts w:ascii="Arial" w:hAnsi="Arial" w:cs="Arial"/>
          <w:sz w:val="20"/>
          <w:szCs w:val="20"/>
        </w:rPr>
        <w:t xml:space="preserve"> pur</w:t>
      </w:r>
      <w:r w:rsidR="00C024FF">
        <w:rPr>
          <w:rFonts w:ascii="Arial" w:hAnsi="Arial" w:cs="Arial"/>
          <w:sz w:val="20"/>
          <w:szCs w:val="20"/>
        </w:rPr>
        <w:t>pose acquisition companies with</w:t>
      </w:r>
      <w:r w:rsidR="008720AC">
        <w:rPr>
          <w:rFonts w:ascii="Arial" w:hAnsi="Arial" w:cs="Arial"/>
          <w:sz w:val="20"/>
          <w:szCs w:val="20"/>
        </w:rPr>
        <w:t>,</w:t>
      </w:r>
      <w:r w:rsidR="00C024FF">
        <w:rPr>
          <w:rFonts w:ascii="Arial" w:hAnsi="Arial" w:cs="Arial"/>
          <w:sz w:val="20"/>
          <w:szCs w:val="20"/>
        </w:rPr>
        <w:t xml:space="preserve"> or seeking</w:t>
      </w:r>
      <w:r w:rsidR="008720AC">
        <w:rPr>
          <w:rFonts w:ascii="Arial" w:hAnsi="Arial" w:cs="Arial"/>
          <w:sz w:val="20"/>
          <w:szCs w:val="20"/>
        </w:rPr>
        <w:t>,</w:t>
      </w:r>
      <w:r>
        <w:rPr>
          <w:rFonts w:ascii="Arial" w:hAnsi="Arial" w:cs="Arial"/>
          <w:sz w:val="20"/>
          <w:szCs w:val="20"/>
        </w:rPr>
        <w:t xml:space="preserve"> a </w:t>
      </w:r>
      <w:r w:rsidR="006F6654">
        <w:rPr>
          <w:rFonts w:ascii="Arial" w:hAnsi="Arial" w:cs="Arial"/>
          <w:sz w:val="20"/>
          <w:szCs w:val="20"/>
        </w:rPr>
        <w:t>listing</w:t>
      </w:r>
      <w:r w:rsidR="008720AC">
        <w:rPr>
          <w:rFonts w:ascii="Arial" w:hAnsi="Arial" w:cs="Arial"/>
          <w:sz w:val="20"/>
          <w:szCs w:val="20"/>
        </w:rPr>
        <w:t xml:space="preserve"> on the </w:t>
      </w:r>
      <w:proofErr w:type="spellStart"/>
      <w:r w:rsidR="008720AC">
        <w:rPr>
          <w:rFonts w:ascii="Arial" w:hAnsi="Arial" w:cs="Arial"/>
          <w:sz w:val="20"/>
          <w:szCs w:val="20"/>
        </w:rPr>
        <w:t>HKEx</w:t>
      </w:r>
      <w:proofErr w:type="spellEnd"/>
      <w:r w:rsidR="008720AC">
        <w:rPr>
          <w:rFonts w:ascii="Arial" w:hAnsi="Arial" w:cs="Arial"/>
          <w:sz w:val="20"/>
          <w:szCs w:val="20"/>
        </w:rPr>
        <w:t xml:space="preserve">; </w:t>
      </w:r>
    </w:p>
    <w:p w:rsidR="008720AC" w:rsidRDefault="008720AC" w:rsidP="008720AC">
      <w:pPr>
        <w:pStyle w:val="a8"/>
        <w:ind w:left="993"/>
        <w:jc w:val="both"/>
        <w:rPr>
          <w:rFonts w:ascii="Arial" w:hAnsi="Arial" w:cs="Arial"/>
          <w:sz w:val="20"/>
          <w:szCs w:val="20"/>
        </w:rPr>
      </w:pPr>
    </w:p>
    <w:p w:rsidR="008720AC" w:rsidRDefault="008720AC" w:rsidP="008720AC">
      <w:pPr>
        <w:pStyle w:val="a8"/>
        <w:numPr>
          <w:ilvl w:val="0"/>
          <w:numId w:val="21"/>
        </w:numPr>
        <w:ind w:left="993" w:hanging="284"/>
        <w:jc w:val="both"/>
        <w:rPr>
          <w:rFonts w:ascii="Arial" w:hAnsi="Arial" w:cs="Arial"/>
          <w:sz w:val="20"/>
          <w:szCs w:val="20"/>
        </w:rPr>
      </w:pPr>
      <w:r>
        <w:rPr>
          <w:rFonts w:ascii="Arial" w:hAnsi="Arial" w:cs="Arial"/>
          <w:sz w:val="20"/>
          <w:szCs w:val="20"/>
        </w:rPr>
        <w:t xml:space="preserve">new guidance letter </w:t>
      </w:r>
      <w:hyperlink r:id="rId13" w:history="1">
        <w:r>
          <w:rPr>
            <w:rStyle w:val="a3"/>
            <w:rFonts w:ascii="Arial" w:hAnsi="Arial" w:cs="Arial"/>
            <w:sz w:val="20"/>
            <w:szCs w:val="20"/>
          </w:rPr>
          <w:t>GL115-23</w:t>
        </w:r>
      </w:hyperlink>
      <w:r w:rsidR="00CF364E">
        <w:rPr>
          <w:rFonts w:ascii="Arial" w:hAnsi="Arial" w:cs="Arial"/>
          <w:sz w:val="20"/>
          <w:szCs w:val="20"/>
        </w:rPr>
        <w:t xml:space="preserve"> </w:t>
      </w:r>
      <w:r>
        <w:rPr>
          <w:rFonts w:ascii="Arial" w:hAnsi="Arial" w:cs="Arial"/>
          <w:sz w:val="20"/>
          <w:szCs w:val="20"/>
        </w:rPr>
        <w:t xml:space="preserve">for </w:t>
      </w:r>
      <w:r w:rsidR="00CF364E">
        <w:rPr>
          <w:rFonts w:ascii="Arial" w:hAnsi="Arial" w:cs="Arial"/>
          <w:sz w:val="20"/>
          <w:szCs w:val="20"/>
        </w:rPr>
        <w:t xml:space="preserve">Specialist Technology Companies </w:t>
      </w:r>
      <w:r>
        <w:rPr>
          <w:rFonts w:ascii="Arial" w:hAnsi="Arial" w:cs="Arial"/>
          <w:sz w:val="20"/>
          <w:szCs w:val="20"/>
        </w:rPr>
        <w:t xml:space="preserve">applying to list on the </w:t>
      </w:r>
      <w:proofErr w:type="spellStart"/>
      <w:r>
        <w:rPr>
          <w:rFonts w:ascii="Arial" w:hAnsi="Arial" w:cs="Arial"/>
          <w:sz w:val="20"/>
          <w:szCs w:val="20"/>
        </w:rPr>
        <w:t>HKEx</w:t>
      </w:r>
      <w:proofErr w:type="spellEnd"/>
      <w:r>
        <w:rPr>
          <w:rFonts w:ascii="Arial" w:hAnsi="Arial" w:cs="Arial"/>
          <w:sz w:val="20"/>
          <w:szCs w:val="20"/>
        </w:rPr>
        <w:t>; and</w:t>
      </w:r>
      <w:r w:rsidR="0053701C">
        <w:rPr>
          <w:rFonts w:ascii="Arial" w:hAnsi="Arial" w:cs="Arial"/>
          <w:sz w:val="20"/>
          <w:szCs w:val="20"/>
        </w:rPr>
        <w:t xml:space="preserve"> </w:t>
      </w:r>
    </w:p>
    <w:p w:rsidR="008720AC" w:rsidRPr="008720AC" w:rsidRDefault="008720AC" w:rsidP="008720AC">
      <w:pPr>
        <w:pStyle w:val="a8"/>
        <w:rPr>
          <w:rFonts w:ascii="Arial" w:hAnsi="Arial" w:cs="Arial"/>
          <w:sz w:val="20"/>
          <w:szCs w:val="20"/>
        </w:rPr>
      </w:pPr>
    </w:p>
    <w:p w:rsidR="00CB7F39" w:rsidRDefault="008720AC" w:rsidP="008720AC">
      <w:pPr>
        <w:pStyle w:val="a8"/>
        <w:numPr>
          <w:ilvl w:val="0"/>
          <w:numId w:val="21"/>
        </w:numPr>
        <w:ind w:left="993" w:hanging="284"/>
        <w:jc w:val="both"/>
        <w:rPr>
          <w:rFonts w:ascii="Arial" w:hAnsi="Arial" w:cs="Arial"/>
          <w:sz w:val="20"/>
          <w:szCs w:val="20"/>
        </w:rPr>
      </w:pPr>
      <w:r>
        <w:rPr>
          <w:rFonts w:ascii="Arial" w:hAnsi="Arial" w:cs="Arial"/>
          <w:sz w:val="20"/>
          <w:szCs w:val="20"/>
        </w:rPr>
        <w:t>new guidance letter</w:t>
      </w:r>
      <w:r>
        <w:t xml:space="preserve"> </w:t>
      </w:r>
      <w:hyperlink r:id="rId14" w:history="1">
        <w:r w:rsidRPr="00CF364E">
          <w:rPr>
            <w:rStyle w:val="a3"/>
            <w:rFonts w:ascii="Arial" w:hAnsi="Arial" w:cs="Arial"/>
            <w:sz w:val="20"/>
            <w:szCs w:val="20"/>
          </w:rPr>
          <w:t>GL79-14</w:t>
        </w:r>
      </w:hyperlink>
      <w:r w:rsidR="0053701C">
        <w:rPr>
          <w:rFonts w:ascii="Arial" w:hAnsi="Arial" w:cs="Arial"/>
          <w:sz w:val="20"/>
          <w:szCs w:val="20"/>
        </w:rPr>
        <w:t xml:space="preserve"> </w:t>
      </w:r>
      <w:r>
        <w:rPr>
          <w:rFonts w:ascii="Arial" w:hAnsi="Arial" w:cs="Arial"/>
          <w:sz w:val="20"/>
          <w:szCs w:val="20"/>
        </w:rPr>
        <w:t xml:space="preserve">on </w:t>
      </w:r>
      <w:r w:rsidR="006F6654">
        <w:rPr>
          <w:rFonts w:ascii="Arial" w:hAnsi="Arial" w:cs="Arial"/>
          <w:sz w:val="20"/>
          <w:szCs w:val="20"/>
        </w:rPr>
        <w:t xml:space="preserve">the </w:t>
      </w:r>
      <w:r w:rsidR="00CF364E">
        <w:rPr>
          <w:rFonts w:ascii="Arial" w:hAnsi="Arial" w:cs="Arial"/>
          <w:sz w:val="20"/>
          <w:szCs w:val="20"/>
        </w:rPr>
        <w:t>documentary requirements and administrative matters for listed collect</w:t>
      </w:r>
      <w:r>
        <w:rPr>
          <w:rFonts w:ascii="Arial" w:hAnsi="Arial" w:cs="Arial"/>
          <w:sz w:val="20"/>
          <w:szCs w:val="20"/>
        </w:rPr>
        <w:t>ive investment schemes issuers</w:t>
      </w:r>
      <w:r w:rsidR="00CB7F39">
        <w:rPr>
          <w:rFonts w:ascii="Arial" w:hAnsi="Arial" w:cs="Arial"/>
          <w:sz w:val="20"/>
          <w:szCs w:val="20"/>
        </w:rPr>
        <w:t>;</w:t>
      </w:r>
    </w:p>
    <w:p w:rsidR="008720AC" w:rsidRDefault="008720AC" w:rsidP="008720AC">
      <w:pPr>
        <w:pStyle w:val="a8"/>
        <w:ind w:left="993"/>
        <w:jc w:val="both"/>
        <w:rPr>
          <w:rFonts w:ascii="Arial" w:hAnsi="Arial" w:cs="Arial"/>
          <w:sz w:val="20"/>
          <w:szCs w:val="20"/>
        </w:rPr>
      </w:pPr>
    </w:p>
    <w:p w:rsidR="008720AC" w:rsidRDefault="00CF364E" w:rsidP="00DE4A91">
      <w:pPr>
        <w:pStyle w:val="a8"/>
        <w:numPr>
          <w:ilvl w:val="0"/>
          <w:numId w:val="9"/>
        </w:numPr>
        <w:jc w:val="both"/>
        <w:rPr>
          <w:rFonts w:ascii="Arial" w:hAnsi="Arial" w:cs="Arial"/>
          <w:sz w:val="20"/>
          <w:szCs w:val="20"/>
        </w:rPr>
      </w:pPr>
      <w:r>
        <w:rPr>
          <w:rFonts w:ascii="Arial" w:hAnsi="Arial" w:cs="Arial"/>
          <w:sz w:val="20"/>
          <w:szCs w:val="20"/>
        </w:rPr>
        <w:t xml:space="preserve">a consultation paper on the </w:t>
      </w:r>
      <w:hyperlink r:id="rId15" w:history="1">
        <w:r w:rsidRPr="009F7C44">
          <w:rPr>
            <w:rStyle w:val="a3"/>
            <w:rFonts w:ascii="Arial" w:hAnsi="Arial" w:cs="Arial"/>
            <w:sz w:val="20"/>
            <w:szCs w:val="20"/>
          </w:rPr>
          <w:t>Enhancement of Climate-related Disclosures under the ESG Framework</w:t>
        </w:r>
      </w:hyperlink>
      <w:r w:rsidR="00DE4A91">
        <w:rPr>
          <w:rFonts w:ascii="Arial" w:hAnsi="Arial" w:cs="Arial"/>
          <w:sz w:val="20"/>
          <w:szCs w:val="20"/>
        </w:rPr>
        <w:t xml:space="preserve"> </w:t>
      </w:r>
      <w:r w:rsidR="000C7691">
        <w:rPr>
          <w:rFonts w:ascii="Arial" w:hAnsi="Arial" w:cs="Arial"/>
          <w:sz w:val="20"/>
          <w:szCs w:val="20"/>
        </w:rPr>
        <w:t>(see</w:t>
      </w:r>
      <w:r w:rsidR="00DE4A91" w:rsidRPr="00DE4A91">
        <w:t xml:space="preserve"> </w:t>
      </w:r>
      <w:hyperlink r:id="rId16" w:history="1">
        <w:r w:rsidR="00DE4A91" w:rsidRPr="00DE4A91">
          <w:rPr>
            <w:rStyle w:val="a3"/>
            <w:rFonts w:ascii="Arial" w:hAnsi="Arial" w:cs="Arial"/>
            <w:sz w:val="20"/>
            <w:szCs w:val="20"/>
          </w:rPr>
          <w:t>HKEX Consults on Mandatory Climate Disclosures in ESG Reports</w:t>
        </w:r>
      </w:hyperlink>
      <w:r w:rsidR="00DE4A91">
        <w:rPr>
          <w:rFonts w:ascii="Arial" w:hAnsi="Arial" w:cs="Arial"/>
          <w:sz w:val="20"/>
          <w:szCs w:val="20"/>
        </w:rPr>
        <w:t>);</w:t>
      </w:r>
    </w:p>
    <w:p w:rsidR="00CF364E" w:rsidRDefault="00DE4A91" w:rsidP="008720AC">
      <w:pPr>
        <w:pStyle w:val="a8"/>
        <w:jc w:val="both"/>
        <w:rPr>
          <w:rFonts w:ascii="Arial" w:hAnsi="Arial" w:cs="Arial"/>
          <w:sz w:val="20"/>
          <w:szCs w:val="20"/>
        </w:rPr>
      </w:pPr>
      <w:r>
        <w:rPr>
          <w:rFonts w:ascii="Arial" w:hAnsi="Arial" w:cs="Arial"/>
          <w:sz w:val="20"/>
          <w:szCs w:val="20"/>
        </w:rPr>
        <w:t xml:space="preserve"> </w:t>
      </w:r>
    </w:p>
    <w:p w:rsidR="00CF364E" w:rsidRDefault="009F7C44" w:rsidP="00DE4A91">
      <w:pPr>
        <w:pStyle w:val="a8"/>
        <w:numPr>
          <w:ilvl w:val="0"/>
          <w:numId w:val="9"/>
        </w:numPr>
        <w:jc w:val="both"/>
        <w:rPr>
          <w:rFonts w:ascii="Arial" w:hAnsi="Arial" w:cs="Arial"/>
          <w:sz w:val="20"/>
          <w:szCs w:val="20"/>
        </w:rPr>
      </w:pPr>
      <w:r>
        <w:rPr>
          <w:rFonts w:ascii="Arial" w:hAnsi="Arial" w:cs="Arial"/>
          <w:sz w:val="20"/>
          <w:szCs w:val="20"/>
        </w:rPr>
        <w:t>the</w:t>
      </w:r>
      <w:r w:rsidR="00CF364E">
        <w:rPr>
          <w:rFonts w:ascii="Arial" w:hAnsi="Arial" w:cs="Arial"/>
          <w:sz w:val="20"/>
          <w:szCs w:val="20"/>
        </w:rPr>
        <w:t xml:space="preserve"> consultation conclusion on </w:t>
      </w:r>
      <w:hyperlink r:id="rId17" w:history="1">
        <w:r w:rsidR="00CF364E" w:rsidRPr="009F7C44">
          <w:rPr>
            <w:rStyle w:val="a3"/>
            <w:rFonts w:ascii="Arial" w:hAnsi="Arial" w:cs="Arial"/>
            <w:sz w:val="20"/>
            <w:szCs w:val="20"/>
          </w:rPr>
          <w:t>Specialist Technology Companies</w:t>
        </w:r>
      </w:hyperlink>
      <w:r w:rsidR="0053701C" w:rsidRPr="0053701C">
        <w:rPr>
          <w:rStyle w:val="a3"/>
          <w:rFonts w:ascii="Arial" w:hAnsi="Arial" w:cs="Arial"/>
          <w:sz w:val="20"/>
          <w:szCs w:val="20"/>
          <w:u w:val="none"/>
        </w:rPr>
        <w:t xml:space="preserve"> </w:t>
      </w:r>
      <w:r w:rsidR="000C7691" w:rsidRPr="0053701C">
        <w:rPr>
          <w:rStyle w:val="a3"/>
          <w:rFonts w:ascii="Arial" w:hAnsi="Arial" w:cs="Arial"/>
          <w:color w:val="000000" w:themeColor="text1"/>
          <w:sz w:val="20"/>
          <w:szCs w:val="20"/>
          <w:u w:val="none"/>
        </w:rPr>
        <w:t>(</w:t>
      </w:r>
      <w:r w:rsidR="000C7691">
        <w:rPr>
          <w:rFonts w:ascii="Arial" w:hAnsi="Arial" w:cs="Arial"/>
          <w:sz w:val="20"/>
          <w:szCs w:val="20"/>
        </w:rPr>
        <w:t>see</w:t>
      </w:r>
      <w:r w:rsidR="008720AC">
        <w:rPr>
          <w:rFonts w:ascii="Arial" w:hAnsi="Arial" w:cs="Arial"/>
          <w:sz w:val="20"/>
          <w:szCs w:val="20"/>
        </w:rPr>
        <w:t xml:space="preserve"> </w:t>
      </w:r>
      <w:proofErr w:type="spellStart"/>
      <w:r w:rsidR="008720AC">
        <w:rPr>
          <w:rFonts w:ascii="Arial" w:hAnsi="Arial" w:cs="Arial"/>
          <w:sz w:val="20"/>
          <w:szCs w:val="20"/>
        </w:rPr>
        <w:t>Charltons</w:t>
      </w:r>
      <w:proofErr w:type="spellEnd"/>
      <w:r w:rsidR="008720AC">
        <w:rPr>
          <w:rFonts w:ascii="Arial" w:hAnsi="Arial" w:cs="Arial"/>
          <w:sz w:val="20"/>
          <w:szCs w:val="20"/>
        </w:rPr>
        <w:t>’ newsletter</w:t>
      </w:r>
      <w:r w:rsidR="00DE4A91">
        <w:rPr>
          <w:rFonts w:ascii="Arial" w:hAnsi="Arial" w:cs="Arial"/>
          <w:sz w:val="20"/>
          <w:szCs w:val="20"/>
        </w:rPr>
        <w:t xml:space="preserve"> </w:t>
      </w:r>
      <w:hyperlink r:id="rId18" w:history="1">
        <w:r w:rsidR="00DE4A91" w:rsidRPr="00DE4A91">
          <w:rPr>
            <w:rStyle w:val="a3"/>
            <w:rFonts w:ascii="Arial" w:hAnsi="Arial" w:cs="Arial"/>
            <w:sz w:val="20"/>
            <w:szCs w:val="20"/>
          </w:rPr>
          <w:t>HKEX Publishes Consultation Conclusions on New Listing Regime for Specialist Technology Companies</w:t>
        </w:r>
      </w:hyperlink>
      <w:r w:rsidR="00DE4A91">
        <w:rPr>
          <w:rFonts w:ascii="Arial" w:hAnsi="Arial" w:cs="Arial"/>
          <w:sz w:val="20"/>
          <w:szCs w:val="20"/>
        </w:rPr>
        <w:t>)</w:t>
      </w:r>
      <w:r w:rsidR="000C7691">
        <w:rPr>
          <w:rFonts w:ascii="Arial" w:hAnsi="Arial" w:cs="Arial"/>
          <w:sz w:val="20"/>
          <w:szCs w:val="20"/>
        </w:rPr>
        <w:t>;</w:t>
      </w:r>
      <w:r w:rsidR="00CF364E">
        <w:rPr>
          <w:rFonts w:ascii="Arial" w:hAnsi="Arial" w:cs="Arial"/>
          <w:sz w:val="20"/>
          <w:szCs w:val="20"/>
        </w:rPr>
        <w:t xml:space="preserve"> </w:t>
      </w:r>
    </w:p>
    <w:p w:rsidR="008720AC" w:rsidRPr="008720AC" w:rsidRDefault="008720AC" w:rsidP="008720AC">
      <w:pPr>
        <w:pStyle w:val="a8"/>
        <w:rPr>
          <w:rFonts w:ascii="Arial" w:hAnsi="Arial" w:cs="Arial"/>
          <w:sz w:val="20"/>
          <w:szCs w:val="20"/>
        </w:rPr>
      </w:pPr>
    </w:p>
    <w:p w:rsidR="00CF364E" w:rsidRDefault="00CF364E" w:rsidP="00CB7F39">
      <w:pPr>
        <w:pStyle w:val="a8"/>
        <w:numPr>
          <w:ilvl w:val="0"/>
          <w:numId w:val="9"/>
        </w:numPr>
        <w:jc w:val="both"/>
        <w:rPr>
          <w:rFonts w:ascii="Arial" w:hAnsi="Arial" w:cs="Arial"/>
          <w:sz w:val="20"/>
          <w:szCs w:val="20"/>
        </w:rPr>
      </w:pPr>
      <w:r>
        <w:rPr>
          <w:rFonts w:ascii="Arial" w:hAnsi="Arial" w:cs="Arial"/>
          <w:sz w:val="20"/>
          <w:szCs w:val="20"/>
        </w:rPr>
        <w:lastRenderedPageBreak/>
        <w:t xml:space="preserve">revised disciplinary procedures of the </w:t>
      </w:r>
      <w:hyperlink r:id="rId19" w:history="1">
        <w:r w:rsidRPr="009F7C44">
          <w:rPr>
            <w:rStyle w:val="a3"/>
            <w:rFonts w:ascii="Arial" w:hAnsi="Arial" w:cs="Arial"/>
            <w:sz w:val="20"/>
            <w:szCs w:val="20"/>
          </w:rPr>
          <w:t>Listing Committee</w:t>
        </w:r>
      </w:hyperlink>
      <w:r>
        <w:rPr>
          <w:rFonts w:ascii="Arial" w:hAnsi="Arial" w:cs="Arial"/>
          <w:sz w:val="20"/>
          <w:szCs w:val="20"/>
        </w:rPr>
        <w:t xml:space="preserve"> and the </w:t>
      </w:r>
      <w:hyperlink r:id="rId20" w:history="1">
        <w:r w:rsidRPr="009F7C44">
          <w:rPr>
            <w:rStyle w:val="a3"/>
            <w:rFonts w:ascii="Arial" w:hAnsi="Arial" w:cs="Arial"/>
            <w:sz w:val="20"/>
            <w:szCs w:val="20"/>
          </w:rPr>
          <w:t>Listing Review Committee</w:t>
        </w:r>
      </w:hyperlink>
      <w:r w:rsidR="00C024FF" w:rsidRPr="00C024FF">
        <w:t>, addressing</w:t>
      </w:r>
      <w:r w:rsidR="00C024FF">
        <w:rPr>
          <w:rFonts w:ascii="Arial" w:hAnsi="Arial" w:cs="Arial"/>
          <w:sz w:val="20"/>
          <w:szCs w:val="20"/>
        </w:rPr>
        <w:t xml:space="preserve"> </w:t>
      </w:r>
      <w:r>
        <w:rPr>
          <w:rFonts w:ascii="Arial" w:hAnsi="Arial" w:cs="Arial"/>
          <w:sz w:val="20"/>
          <w:szCs w:val="20"/>
        </w:rPr>
        <w:t>the arrangement of the Chairman of the Disciplinary Committee and the handling of potential conflicts of interest</w:t>
      </w:r>
      <w:r w:rsidR="009F7C44">
        <w:rPr>
          <w:rFonts w:ascii="Arial" w:hAnsi="Arial" w:cs="Arial"/>
          <w:sz w:val="20"/>
          <w:szCs w:val="20"/>
        </w:rPr>
        <w:t xml:space="preserve">; </w:t>
      </w:r>
    </w:p>
    <w:p w:rsidR="008720AC" w:rsidRPr="008720AC" w:rsidRDefault="008720AC" w:rsidP="008720AC">
      <w:pPr>
        <w:pStyle w:val="a8"/>
        <w:rPr>
          <w:rFonts w:ascii="Arial" w:hAnsi="Arial" w:cs="Arial"/>
          <w:sz w:val="20"/>
          <w:szCs w:val="20"/>
        </w:rPr>
      </w:pPr>
    </w:p>
    <w:p w:rsidR="00CF364E" w:rsidRDefault="00CF364E" w:rsidP="00CF364E">
      <w:pPr>
        <w:pStyle w:val="a8"/>
        <w:numPr>
          <w:ilvl w:val="0"/>
          <w:numId w:val="9"/>
        </w:numPr>
        <w:jc w:val="both"/>
        <w:rPr>
          <w:rFonts w:ascii="Arial" w:hAnsi="Arial" w:cs="Arial"/>
          <w:sz w:val="20"/>
          <w:szCs w:val="20"/>
        </w:rPr>
      </w:pPr>
      <w:r>
        <w:rPr>
          <w:rFonts w:ascii="Arial" w:hAnsi="Arial" w:cs="Arial"/>
          <w:sz w:val="20"/>
          <w:szCs w:val="20"/>
        </w:rPr>
        <w:t xml:space="preserve">a revised </w:t>
      </w:r>
      <w:hyperlink r:id="rId21" w:history="1">
        <w:r w:rsidRPr="009F7C44">
          <w:rPr>
            <w:rStyle w:val="a3"/>
            <w:rFonts w:ascii="Arial" w:hAnsi="Arial" w:cs="Arial"/>
            <w:sz w:val="20"/>
            <w:szCs w:val="20"/>
          </w:rPr>
          <w:t>Guide on General Meetings</w:t>
        </w:r>
      </w:hyperlink>
      <w:r>
        <w:rPr>
          <w:rFonts w:ascii="Arial" w:hAnsi="Arial" w:cs="Arial"/>
          <w:sz w:val="20"/>
          <w:szCs w:val="20"/>
        </w:rPr>
        <w:t xml:space="preserve"> </w:t>
      </w:r>
      <w:r w:rsidR="008720AC">
        <w:rPr>
          <w:rFonts w:ascii="Arial" w:hAnsi="Arial" w:cs="Arial"/>
          <w:sz w:val="20"/>
          <w:szCs w:val="20"/>
        </w:rPr>
        <w:t xml:space="preserve">relating </w:t>
      </w:r>
      <w:r>
        <w:rPr>
          <w:rFonts w:ascii="Arial" w:hAnsi="Arial" w:cs="Arial"/>
          <w:sz w:val="20"/>
          <w:szCs w:val="20"/>
        </w:rPr>
        <w:t xml:space="preserve">to the holding </w:t>
      </w:r>
      <w:r w:rsidR="006F6654">
        <w:rPr>
          <w:rFonts w:ascii="Arial" w:hAnsi="Arial" w:cs="Arial"/>
          <w:sz w:val="20"/>
          <w:szCs w:val="20"/>
        </w:rPr>
        <w:t>of</w:t>
      </w:r>
      <w:r>
        <w:rPr>
          <w:rFonts w:ascii="Arial" w:hAnsi="Arial" w:cs="Arial"/>
          <w:sz w:val="20"/>
          <w:szCs w:val="20"/>
        </w:rPr>
        <w:t xml:space="preserve"> virtual or hybri</w:t>
      </w:r>
      <w:r w:rsidR="008720AC">
        <w:rPr>
          <w:rFonts w:ascii="Arial" w:hAnsi="Arial" w:cs="Arial"/>
          <w:sz w:val="20"/>
          <w:szCs w:val="20"/>
        </w:rPr>
        <w:t>d general meetings in light of</w:t>
      </w:r>
      <w:r>
        <w:rPr>
          <w:rFonts w:ascii="Arial" w:hAnsi="Arial" w:cs="Arial"/>
          <w:sz w:val="20"/>
          <w:szCs w:val="20"/>
        </w:rPr>
        <w:t xml:space="preserve"> recent amendm</w:t>
      </w:r>
      <w:r w:rsidR="009F7C44">
        <w:rPr>
          <w:rFonts w:ascii="Arial" w:hAnsi="Arial" w:cs="Arial"/>
          <w:sz w:val="20"/>
          <w:szCs w:val="20"/>
        </w:rPr>
        <w:t xml:space="preserve">ents to </w:t>
      </w:r>
      <w:r w:rsidR="008720AC">
        <w:rPr>
          <w:rFonts w:ascii="Arial" w:hAnsi="Arial" w:cs="Arial"/>
          <w:sz w:val="20"/>
          <w:szCs w:val="20"/>
        </w:rPr>
        <w:t xml:space="preserve">Hong Kong’s </w:t>
      </w:r>
      <w:r w:rsidR="009F7C44">
        <w:rPr>
          <w:rFonts w:ascii="Arial" w:hAnsi="Arial" w:cs="Arial"/>
          <w:sz w:val="20"/>
          <w:szCs w:val="20"/>
        </w:rPr>
        <w:t>Companies Ordinance;</w:t>
      </w:r>
    </w:p>
    <w:p w:rsidR="008720AC" w:rsidRPr="008720AC" w:rsidRDefault="008720AC" w:rsidP="008720AC">
      <w:pPr>
        <w:pStyle w:val="a8"/>
        <w:rPr>
          <w:rFonts w:ascii="Arial" w:hAnsi="Arial" w:cs="Arial"/>
          <w:sz w:val="20"/>
          <w:szCs w:val="20"/>
        </w:rPr>
      </w:pPr>
    </w:p>
    <w:p w:rsidR="00CF364E" w:rsidRDefault="008720AC" w:rsidP="00CF364E">
      <w:pPr>
        <w:pStyle w:val="a8"/>
        <w:numPr>
          <w:ilvl w:val="0"/>
          <w:numId w:val="9"/>
        </w:numPr>
        <w:jc w:val="both"/>
        <w:rPr>
          <w:rFonts w:ascii="Arial" w:hAnsi="Arial" w:cs="Arial"/>
          <w:sz w:val="20"/>
          <w:szCs w:val="20"/>
        </w:rPr>
      </w:pPr>
      <w:r>
        <w:rPr>
          <w:rFonts w:ascii="Arial" w:hAnsi="Arial" w:cs="Arial"/>
          <w:sz w:val="20"/>
          <w:szCs w:val="20"/>
        </w:rPr>
        <w:t>new</w:t>
      </w:r>
      <w:r w:rsidR="009F7C44">
        <w:rPr>
          <w:rFonts w:ascii="Arial" w:hAnsi="Arial" w:cs="Arial"/>
          <w:sz w:val="20"/>
          <w:szCs w:val="20"/>
        </w:rPr>
        <w:t xml:space="preserve"> </w:t>
      </w:r>
      <w:hyperlink r:id="rId22" w:history="1">
        <w:r w:rsidR="009F7C44" w:rsidRPr="009F7C44">
          <w:rPr>
            <w:rStyle w:val="a3"/>
            <w:rFonts w:ascii="Arial" w:hAnsi="Arial" w:cs="Arial"/>
            <w:sz w:val="20"/>
            <w:szCs w:val="20"/>
          </w:rPr>
          <w:t>FAQ</w:t>
        </w:r>
      </w:hyperlink>
      <w:r>
        <w:rPr>
          <w:rStyle w:val="a3"/>
          <w:rFonts w:ascii="Arial" w:hAnsi="Arial" w:cs="Arial"/>
          <w:sz w:val="20"/>
          <w:szCs w:val="20"/>
        </w:rPr>
        <w:t xml:space="preserve"> 118</w:t>
      </w:r>
      <w:r w:rsidR="0031349F">
        <w:rPr>
          <w:rStyle w:val="a3"/>
          <w:rFonts w:ascii="Arial" w:hAnsi="Arial" w:cs="Arial"/>
          <w:sz w:val="20"/>
          <w:szCs w:val="20"/>
        </w:rPr>
        <w:t>-2023</w:t>
      </w:r>
      <w:r w:rsidR="009F7C44">
        <w:rPr>
          <w:rFonts w:ascii="Arial" w:hAnsi="Arial" w:cs="Arial"/>
          <w:sz w:val="20"/>
          <w:szCs w:val="20"/>
        </w:rPr>
        <w:t xml:space="preserve"> </w:t>
      </w:r>
      <w:r w:rsidR="0031349F">
        <w:rPr>
          <w:rFonts w:ascii="Arial" w:hAnsi="Arial" w:cs="Arial"/>
          <w:sz w:val="20"/>
          <w:szCs w:val="20"/>
        </w:rPr>
        <w:t>on the impact on listed issuers’ issu</w:t>
      </w:r>
      <w:r w:rsidR="009F7C44">
        <w:rPr>
          <w:rFonts w:ascii="Arial" w:hAnsi="Arial" w:cs="Arial"/>
          <w:sz w:val="20"/>
          <w:szCs w:val="20"/>
        </w:rPr>
        <w:t xml:space="preserve">e of securities </w:t>
      </w:r>
      <w:r w:rsidR="0031349F">
        <w:rPr>
          <w:rFonts w:ascii="Arial" w:hAnsi="Arial" w:cs="Arial"/>
          <w:sz w:val="20"/>
          <w:szCs w:val="20"/>
        </w:rPr>
        <w:t xml:space="preserve">of </w:t>
      </w:r>
      <w:r w:rsidR="009F7C44">
        <w:rPr>
          <w:rFonts w:ascii="Arial" w:hAnsi="Arial" w:cs="Arial"/>
          <w:sz w:val="20"/>
          <w:szCs w:val="20"/>
        </w:rPr>
        <w:t xml:space="preserve">the PRC’s new filing requirements for overseas listings and securities </w:t>
      </w:r>
      <w:r w:rsidR="0031349F">
        <w:rPr>
          <w:rFonts w:ascii="Arial" w:hAnsi="Arial" w:cs="Arial"/>
          <w:sz w:val="20"/>
          <w:szCs w:val="20"/>
        </w:rPr>
        <w:t>offering by Mainland c</w:t>
      </w:r>
      <w:r w:rsidR="009F7C44">
        <w:rPr>
          <w:rFonts w:ascii="Arial" w:hAnsi="Arial" w:cs="Arial"/>
          <w:sz w:val="20"/>
          <w:szCs w:val="20"/>
        </w:rPr>
        <w:t>ompanies; and</w:t>
      </w:r>
    </w:p>
    <w:p w:rsidR="0031349F" w:rsidRPr="0031349F" w:rsidRDefault="0031349F" w:rsidP="0031349F">
      <w:pPr>
        <w:pStyle w:val="a8"/>
        <w:rPr>
          <w:rFonts w:ascii="Arial" w:hAnsi="Arial" w:cs="Arial"/>
          <w:sz w:val="20"/>
          <w:szCs w:val="20"/>
        </w:rPr>
      </w:pPr>
    </w:p>
    <w:p w:rsidR="009F7C44" w:rsidRPr="00CF364E" w:rsidRDefault="006F6654" w:rsidP="00CF364E">
      <w:pPr>
        <w:pStyle w:val="a8"/>
        <w:numPr>
          <w:ilvl w:val="0"/>
          <w:numId w:val="9"/>
        </w:numPr>
        <w:jc w:val="both"/>
        <w:rPr>
          <w:rFonts w:ascii="Arial" w:hAnsi="Arial" w:cs="Arial"/>
          <w:sz w:val="20"/>
          <w:szCs w:val="20"/>
        </w:rPr>
      </w:pPr>
      <w:r>
        <w:rPr>
          <w:rFonts w:ascii="Arial" w:hAnsi="Arial" w:cs="Arial"/>
          <w:sz w:val="20"/>
          <w:szCs w:val="20"/>
        </w:rPr>
        <w:t xml:space="preserve">the </w:t>
      </w:r>
      <w:hyperlink r:id="rId23" w:history="1">
        <w:r w:rsidR="009F7C44" w:rsidRPr="009F7C44">
          <w:rPr>
            <w:rStyle w:val="a3"/>
            <w:rFonts w:ascii="Arial" w:hAnsi="Arial" w:cs="Arial"/>
            <w:sz w:val="20"/>
            <w:szCs w:val="20"/>
          </w:rPr>
          <w:t>Revised Listing e-Forms and Guidelines</w:t>
        </w:r>
      </w:hyperlink>
      <w:r w:rsidR="009F7C44">
        <w:rPr>
          <w:rFonts w:ascii="Arial" w:hAnsi="Arial" w:cs="Arial"/>
          <w:sz w:val="20"/>
          <w:szCs w:val="20"/>
        </w:rPr>
        <w:t xml:space="preserve"> </w:t>
      </w:r>
      <w:r w:rsidR="0031349F">
        <w:rPr>
          <w:rFonts w:ascii="Arial" w:hAnsi="Arial" w:cs="Arial"/>
          <w:sz w:val="20"/>
          <w:szCs w:val="20"/>
        </w:rPr>
        <w:t xml:space="preserve">for </w:t>
      </w:r>
      <w:r w:rsidR="009F7C44">
        <w:rPr>
          <w:rFonts w:ascii="Arial" w:hAnsi="Arial" w:cs="Arial"/>
          <w:sz w:val="20"/>
          <w:szCs w:val="20"/>
        </w:rPr>
        <w:t>announ</w:t>
      </w:r>
      <w:r w:rsidR="0031349F">
        <w:rPr>
          <w:rFonts w:ascii="Arial" w:hAnsi="Arial" w:cs="Arial"/>
          <w:sz w:val="20"/>
          <w:szCs w:val="20"/>
        </w:rPr>
        <w:t>cements and trading arrangement; directors and supervisors;</w:t>
      </w:r>
      <w:r w:rsidR="009F7C44">
        <w:rPr>
          <w:rFonts w:ascii="Arial" w:hAnsi="Arial" w:cs="Arial"/>
          <w:sz w:val="20"/>
          <w:szCs w:val="20"/>
        </w:rPr>
        <w:t xml:space="preserve"> authorised represen</w:t>
      </w:r>
      <w:r w:rsidR="0031349F">
        <w:rPr>
          <w:rFonts w:ascii="Arial" w:hAnsi="Arial" w:cs="Arial"/>
          <w:sz w:val="20"/>
          <w:szCs w:val="20"/>
        </w:rPr>
        <w:t>tatives and company secretaries;</w:t>
      </w:r>
      <w:r w:rsidR="009F7C44">
        <w:rPr>
          <w:rFonts w:ascii="Arial" w:hAnsi="Arial" w:cs="Arial"/>
          <w:sz w:val="20"/>
          <w:szCs w:val="20"/>
        </w:rPr>
        <w:t xml:space="preserve"> blackout period</w:t>
      </w:r>
      <w:r w:rsidR="0031349F">
        <w:rPr>
          <w:rFonts w:ascii="Arial" w:hAnsi="Arial" w:cs="Arial"/>
          <w:sz w:val="20"/>
          <w:szCs w:val="20"/>
        </w:rPr>
        <w:t>s;</w:t>
      </w:r>
      <w:r w:rsidR="009F7C44">
        <w:rPr>
          <w:rFonts w:ascii="Arial" w:hAnsi="Arial" w:cs="Arial"/>
          <w:sz w:val="20"/>
          <w:szCs w:val="20"/>
        </w:rPr>
        <w:t xml:space="preserve"> </w:t>
      </w:r>
      <w:r w:rsidR="0031349F">
        <w:rPr>
          <w:rFonts w:ascii="Arial" w:hAnsi="Arial" w:cs="Arial"/>
          <w:sz w:val="20"/>
          <w:szCs w:val="20"/>
        </w:rPr>
        <w:t xml:space="preserve">listing </w:t>
      </w:r>
      <w:r w:rsidR="009F7C44">
        <w:rPr>
          <w:rFonts w:ascii="Arial" w:hAnsi="Arial" w:cs="Arial"/>
          <w:sz w:val="20"/>
          <w:szCs w:val="20"/>
        </w:rPr>
        <w:t>application</w:t>
      </w:r>
      <w:r w:rsidR="0031349F">
        <w:rPr>
          <w:rFonts w:ascii="Arial" w:hAnsi="Arial" w:cs="Arial"/>
          <w:sz w:val="20"/>
          <w:szCs w:val="20"/>
        </w:rPr>
        <w:t>s</w:t>
      </w:r>
      <w:r w:rsidR="009F7C44">
        <w:rPr>
          <w:rFonts w:ascii="Arial" w:hAnsi="Arial" w:cs="Arial"/>
          <w:sz w:val="20"/>
          <w:szCs w:val="20"/>
        </w:rPr>
        <w:t xml:space="preserve"> for securities</w:t>
      </w:r>
      <w:r w:rsidR="0031349F">
        <w:rPr>
          <w:rFonts w:ascii="Arial" w:hAnsi="Arial" w:cs="Arial"/>
          <w:sz w:val="20"/>
          <w:szCs w:val="20"/>
        </w:rPr>
        <w:t>;</w:t>
      </w:r>
      <w:r w:rsidR="009F7C44">
        <w:rPr>
          <w:rFonts w:ascii="Arial" w:hAnsi="Arial" w:cs="Arial"/>
          <w:sz w:val="20"/>
          <w:szCs w:val="20"/>
        </w:rPr>
        <w:t xml:space="preserve"> and meeting notification</w:t>
      </w:r>
      <w:r w:rsidR="0053701C">
        <w:rPr>
          <w:rFonts w:ascii="Arial" w:hAnsi="Arial" w:cs="Arial"/>
          <w:sz w:val="20"/>
          <w:szCs w:val="20"/>
        </w:rPr>
        <w:t>s</w:t>
      </w:r>
      <w:r w:rsidR="009F7C44">
        <w:rPr>
          <w:rFonts w:ascii="Arial" w:hAnsi="Arial" w:cs="Arial"/>
          <w:sz w:val="20"/>
          <w:szCs w:val="20"/>
        </w:rPr>
        <w:t xml:space="preserve">. </w:t>
      </w:r>
    </w:p>
    <w:p w:rsidR="00CB7F39" w:rsidRPr="00CB7F39" w:rsidRDefault="00CB7F39" w:rsidP="00CB7F39">
      <w:pPr>
        <w:pStyle w:val="a8"/>
        <w:jc w:val="both"/>
        <w:rPr>
          <w:rFonts w:ascii="Arial" w:hAnsi="Arial" w:cs="Arial"/>
          <w:sz w:val="16"/>
          <w:szCs w:val="16"/>
        </w:rPr>
      </w:pPr>
    </w:p>
    <w:p w:rsidR="00ED498A" w:rsidRPr="00A41F57" w:rsidRDefault="00ED498A" w:rsidP="00ED498A">
      <w:pPr>
        <w:pStyle w:val="DisclaimerBold"/>
        <w:numPr>
          <w:ilvl w:val="0"/>
          <w:numId w:val="9"/>
        </w:numPr>
        <w:rPr>
          <w:rFonts w:ascii="Helvetica" w:hAnsi="Helvetica"/>
        </w:rPr>
      </w:pPr>
      <w:r w:rsidRPr="00F05494">
        <w:rPr>
          <w:rFonts w:ascii="Helvetica" w:hAnsi="Helvetica"/>
        </w:rPr>
        <w:t>This newsletter is for information purposes only.</w:t>
      </w:r>
    </w:p>
    <w:p w:rsidR="00ED498A" w:rsidRPr="00F05494" w:rsidRDefault="00ED498A" w:rsidP="00ED498A">
      <w:pPr>
        <w:pStyle w:val="Disclaimer"/>
        <w:numPr>
          <w:ilvl w:val="0"/>
          <w:numId w:val="9"/>
        </w:numPr>
        <w:rPr>
          <w:rFonts w:ascii="Helvetica" w:hAnsi="Helvetica"/>
        </w:rPr>
      </w:pPr>
      <w:r w:rsidRPr="00F05494">
        <w:rPr>
          <w:rFonts w:ascii="Helvetica" w:hAnsi="Helvetica"/>
        </w:rPr>
        <w:t>Its contents do not constitute legal advice and it should not be regarded as a substitute for detailed advice in individual cases.</w:t>
      </w:r>
    </w:p>
    <w:p w:rsidR="00ED498A" w:rsidRPr="00F05494" w:rsidRDefault="00ED498A" w:rsidP="00ED498A">
      <w:pPr>
        <w:pStyle w:val="Disclaimer"/>
        <w:numPr>
          <w:ilvl w:val="0"/>
          <w:numId w:val="9"/>
        </w:numPr>
        <w:rPr>
          <w:rFonts w:ascii="Helvetica" w:hAnsi="Helvetica"/>
        </w:rPr>
      </w:pPr>
      <w:r w:rsidRPr="00F05494">
        <w:rPr>
          <w:rFonts w:ascii="Helvetica" w:hAnsi="Helvetica"/>
        </w:rPr>
        <w:t xml:space="preserve">Transmission of this information is not intended to create and receipt does not constitute a lawyer-client relationship between </w:t>
      </w:r>
      <w:proofErr w:type="spellStart"/>
      <w:r w:rsidRPr="00F05494">
        <w:rPr>
          <w:rFonts w:ascii="Helvetica" w:hAnsi="Helvetica"/>
        </w:rPr>
        <w:t>Charltons</w:t>
      </w:r>
      <w:proofErr w:type="spellEnd"/>
      <w:r w:rsidRPr="00F05494">
        <w:rPr>
          <w:rFonts w:ascii="Helvetica" w:hAnsi="Helvetica"/>
        </w:rPr>
        <w:t xml:space="preserve"> and the user or browser.</w:t>
      </w:r>
    </w:p>
    <w:p w:rsidR="00ED498A" w:rsidRPr="00F05494" w:rsidRDefault="00ED498A" w:rsidP="00ED498A">
      <w:pPr>
        <w:pStyle w:val="Disclaimer"/>
        <w:numPr>
          <w:ilvl w:val="0"/>
          <w:numId w:val="9"/>
        </w:numPr>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is not responsible for any </w:t>
      </w:r>
      <w:proofErr w:type="gramStart"/>
      <w:r w:rsidRPr="00F05494">
        <w:rPr>
          <w:rFonts w:ascii="Helvetica" w:hAnsi="Helvetica"/>
        </w:rPr>
        <w:t>third</w:t>
      </w:r>
      <w:r w:rsidRPr="00A41F57">
        <w:rPr>
          <w:rFonts w:ascii="Helvetica" w:hAnsi="Helvetica"/>
        </w:rPr>
        <w:t xml:space="preserve"> </w:t>
      </w:r>
      <w:r w:rsidRPr="00F05494">
        <w:rPr>
          <w:rFonts w:ascii="Helvetica" w:hAnsi="Helvetica"/>
        </w:rPr>
        <w:t>party</w:t>
      </w:r>
      <w:proofErr w:type="gramEnd"/>
      <w:r w:rsidRPr="00F05494">
        <w:rPr>
          <w:rFonts w:ascii="Helvetica" w:hAnsi="Helvetica"/>
        </w:rPr>
        <w:t xml:space="preserve"> content which can be accessed through the website.</w:t>
      </w:r>
    </w:p>
    <w:p w:rsidR="00ED498A" w:rsidRPr="00F05494" w:rsidRDefault="00ED498A" w:rsidP="00ED498A">
      <w:pPr>
        <w:pStyle w:val="Disclaimer"/>
        <w:numPr>
          <w:ilvl w:val="0"/>
          <w:numId w:val="9"/>
        </w:numPr>
        <w:rPr>
          <w:rFonts w:ascii="Helvetica" w:hAnsi="Helvetica"/>
        </w:rPr>
      </w:pPr>
      <w:r w:rsidRPr="00F05494">
        <w:rPr>
          <w:rFonts w:ascii="Helvetica" w:hAnsi="Helvetica"/>
        </w:rPr>
        <w:t xml:space="preserve">If you do not wish to receive this </w:t>
      </w:r>
      <w:proofErr w:type="gramStart"/>
      <w:r w:rsidRPr="00F05494">
        <w:rPr>
          <w:rFonts w:ascii="Helvetica" w:hAnsi="Helvetica"/>
        </w:rPr>
        <w:t>newsletter</w:t>
      </w:r>
      <w:proofErr w:type="gramEnd"/>
      <w:r w:rsidRPr="00F05494">
        <w:rPr>
          <w:rFonts w:ascii="Helvetica" w:hAnsi="Helvetica"/>
        </w:rPr>
        <w:t xml:space="preserve"> please let us know by emailing us at  </w:t>
      </w:r>
      <w:hyperlink r:id="rId24">
        <w:r w:rsidRPr="00F05494">
          <w:rPr>
            <w:rFonts w:ascii="Helvetica" w:hAnsi="Helvetica"/>
          </w:rPr>
          <w:t>unsubscribe@charltonslaw.com</w:t>
        </w:r>
      </w:hyperlink>
    </w:p>
    <w:p w:rsidR="00ED498A" w:rsidRPr="009B5310" w:rsidRDefault="00ED498A" w:rsidP="00ED498A">
      <w:pPr>
        <w:pStyle w:val="BlackStrips"/>
        <w:numPr>
          <w:ilvl w:val="0"/>
          <w:numId w:val="9"/>
        </w:numPr>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 Hong Kong Law - </w:t>
      </w:r>
      <w:r>
        <w:rPr>
          <w:rFonts w:ascii="Helvetica" w:hAnsi="Helvetica"/>
        </w:rPr>
        <w:t>0</w:t>
      </w:r>
      <w:r w:rsidR="00092A3D" w:rsidRPr="00092A3D">
        <w:rPr>
          <w:rFonts w:ascii="Helvetica" w:hAnsi="Helvetica"/>
        </w:rPr>
        <w:t>5</w:t>
      </w:r>
      <w:r w:rsidRPr="00F05494">
        <w:rPr>
          <w:rFonts w:ascii="Helvetica" w:hAnsi="Helvetica"/>
        </w:rPr>
        <w:t xml:space="preserve"> </w:t>
      </w:r>
      <w:r>
        <w:rPr>
          <w:rFonts w:ascii="Helvetica" w:hAnsi="Helvetica"/>
        </w:rPr>
        <w:t>July</w:t>
      </w:r>
      <w:r w:rsidRPr="00F05494">
        <w:rPr>
          <w:rFonts w:ascii="Helvetica" w:hAnsi="Helvetica"/>
        </w:rPr>
        <w:t xml:space="preserve"> 202</w:t>
      </w:r>
      <w:r w:rsidRPr="008524CA">
        <w:rPr>
          <w:rFonts w:ascii="Helvetica" w:hAnsi="Helvetica"/>
        </w:rPr>
        <w:t>3</w:t>
      </w:r>
    </w:p>
    <w:p w:rsidR="003C4732" w:rsidRPr="00D47AD0" w:rsidRDefault="003C4732" w:rsidP="00D47AD0">
      <w:pPr>
        <w:jc w:val="both"/>
        <w:rPr>
          <w:rFonts w:ascii="Arial" w:hAnsi="Arial" w:cs="Arial"/>
          <w:sz w:val="20"/>
          <w:szCs w:val="20"/>
        </w:rPr>
      </w:pPr>
    </w:p>
    <w:p w:rsidR="003C4732" w:rsidRPr="00D47AD0" w:rsidRDefault="003C4732" w:rsidP="00D47AD0">
      <w:pPr>
        <w:jc w:val="both"/>
        <w:rPr>
          <w:rFonts w:ascii="Arial" w:hAnsi="Arial" w:cs="Arial"/>
          <w:sz w:val="20"/>
          <w:szCs w:val="20"/>
        </w:rPr>
      </w:pPr>
    </w:p>
    <w:p w:rsidR="003C4732" w:rsidRPr="00D47AD0" w:rsidRDefault="003C4732" w:rsidP="00D47AD0">
      <w:pPr>
        <w:jc w:val="both"/>
        <w:rPr>
          <w:rFonts w:ascii="Arial" w:hAnsi="Arial" w:cs="Arial"/>
          <w:sz w:val="20"/>
          <w:szCs w:val="20"/>
        </w:rPr>
      </w:pPr>
    </w:p>
    <w:sectPr w:rsidR="003C4732" w:rsidRPr="00D47A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26E3" w:rsidRDefault="007E26E3" w:rsidP="00C6010E">
      <w:pPr>
        <w:spacing w:after="0" w:line="240" w:lineRule="auto"/>
      </w:pPr>
      <w:r>
        <w:separator/>
      </w:r>
    </w:p>
  </w:endnote>
  <w:endnote w:type="continuationSeparator" w:id="0">
    <w:p w:rsidR="007E26E3" w:rsidRDefault="007E26E3" w:rsidP="00C60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26E3" w:rsidRDefault="007E26E3" w:rsidP="00C6010E">
      <w:pPr>
        <w:spacing w:after="0" w:line="240" w:lineRule="auto"/>
      </w:pPr>
      <w:r>
        <w:separator/>
      </w:r>
    </w:p>
  </w:footnote>
  <w:footnote w:type="continuationSeparator" w:id="0">
    <w:p w:rsidR="007E26E3" w:rsidRDefault="007E26E3" w:rsidP="00C6010E">
      <w:pPr>
        <w:spacing w:after="0" w:line="240" w:lineRule="auto"/>
      </w:pPr>
      <w:r>
        <w:continuationSeparator/>
      </w:r>
    </w:p>
  </w:footnote>
  <w:footnote w:id="1">
    <w:p w:rsidR="00CC4DEA" w:rsidRPr="00CC4DEA" w:rsidRDefault="00CC4DEA">
      <w:pPr>
        <w:pStyle w:val="a5"/>
        <w:rPr>
          <w:lang w:val="en-US"/>
        </w:rPr>
      </w:pPr>
      <w:r>
        <w:rPr>
          <w:rStyle w:val="a7"/>
        </w:rPr>
        <w:footnoteRef/>
      </w:r>
      <w:r>
        <w:t xml:space="preserve"> </w:t>
      </w:r>
      <w:r>
        <w:rPr>
          <w:lang w:val="en-US"/>
        </w:rPr>
        <w:t>Unless otherwise stated, all quotations are from the 8</w:t>
      </w:r>
      <w:r w:rsidRPr="00CC4DEA">
        <w:rPr>
          <w:vertAlign w:val="superscript"/>
          <w:lang w:val="en-US"/>
        </w:rPr>
        <w:t>th</w:t>
      </w:r>
      <w:r>
        <w:rPr>
          <w:lang w:val="en-US"/>
        </w:rPr>
        <w:t xml:space="preserve"> Listed Issuer Newsletter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70E3"/>
    <w:multiLevelType w:val="hybridMultilevel"/>
    <w:tmpl w:val="0E8A1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B064D"/>
    <w:multiLevelType w:val="hybridMultilevel"/>
    <w:tmpl w:val="AAE825B4"/>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 w15:restartNumberingAfterBreak="0">
    <w:nsid w:val="135B428F"/>
    <w:multiLevelType w:val="hybridMultilevel"/>
    <w:tmpl w:val="47BE9EF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3671A"/>
    <w:multiLevelType w:val="hybridMultilevel"/>
    <w:tmpl w:val="4E884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53BC3"/>
    <w:multiLevelType w:val="hybridMultilevel"/>
    <w:tmpl w:val="E6E20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F54EA"/>
    <w:multiLevelType w:val="hybridMultilevel"/>
    <w:tmpl w:val="D868B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EB0244"/>
    <w:multiLevelType w:val="hybridMultilevel"/>
    <w:tmpl w:val="13AE625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2FFB6334"/>
    <w:multiLevelType w:val="hybridMultilevel"/>
    <w:tmpl w:val="ECDA2380"/>
    <w:lvl w:ilvl="0" w:tplc="2D00B188">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A2591A"/>
    <w:multiLevelType w:val="hybridMultilevel"/>
    <w:tmpl w:val="F4782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560119"/>
    <w:multiLevelType w:val="hybridMultilevel"/>
    <w:tmpl w:val="7EA28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C51D0D"/>
    <w:multiLevelType w:val="hybridMultilevel"/>
    <w:tmpl w:val="55B8E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0A262F"/>
    <w:multiLevelType w:val="hybridMultilevel"/>
    <w:tmpl w:val="39FCD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2652AE"/>
    <w:multiLevelType w:val="hybridMultilevel"/>
    <w:tmpl w:val="4A8C4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37043B"/>
    <w:multiLevelType w:val="hybridMultilevel"/>
    <w:tmpl w:val="1220C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DC362F"/>
    <w:multiLevelType w:val="hybridMultilevel"/>
    <w:tmpl w:val="BA6C4998"/>
    <w:lvl w:ilvl="0" w:tplc="5E02034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F1F5945"/>
    <w:multiLevelType w:val="hybridMultilevel"/>
    <w:tmpl w:val="0010E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6B79A3"/>
    <w:multiLevelType w:val="hybridMultilevel"/>
    <w:tmpl w:val="58B0D162"/>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D815F9"/>
    <w:multiLevelType w:val="hybridMultilevel"/>
    <w:tmpl w:val="5FA4A7A8"/>
    <w:lvl w:ilvl="0" w:tplc="95BA7BB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968665E"/>
    <w:multiLevelType w:val="hybridMultilevel"/>
    <w:tmpl w:val="0524B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8A59D2"/>
    <w:multiLevelType w:val="hybridMultilevel"/>
    <w:tmpl w:val="3A2C2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1119741">
    <w:abstractNumId w:val="20"/>
  </w:num>
  <w:num w:numId="2" w16cid:durableId="1410081391">
    <w:abstractNumId w:val="12"/>
  </w:num>
  <w:num w:numId="3" w16cid:durableId="1851094671">
    <w:abstractNumId w:val="0"/>
  </w:num>
  <w:num w:numId="4" w16cid:durableId="264463235">
    <w:abstractNumId w:val="2"/>
  </w:num>
  <w:num w:numId="5" w16cid:durableId="1130394585">
    <w:abstractNumId w:val="19"/>
  </w:num>
  <w:num w:numId="6" w16cid:durableId="1459957952">
    <w:abstractNumId w:val="3"/>
  </w:num>
  <w:num w:numId="7" w16cid:durableId="187718606">
    <w:abstractNumId w:val="7"/>
  </w:num>
  <w:num w:numId="8" w16cid:durableId="1211379693">
    <w:abstractNumId w:val="6"/>
  </w:num>
  <w:num w:numId="9" w16cid:durableId="358167581">
    <w:abstractNumId w:val="16"/>
  </w:num>
  <w:num w:numId="10" w16cid:durableId="1518688318">
    <w:abstractNumId w:val="18"/>
  </w:num>
  <w:num w:numId="11" w16cid:durableId="167448289">
    <w:abstractNumId w:val="17"/>
  </w:num>
  <w:num w:numId="12" w16cid:durableId="1041511182">
    <w:abstractNumId w:val="9"/>
  </w:num>
  <w:num w:numId="13" w16cid:durableId="143856574">
    <w:abstractNumId w:val="1"/>
  </w:num>
  <w:num w:numId="14" w16cid:durableId="583227604">
    <w:abstractNumId w:val="15"/>
  </w:num>
  <w:num w:numId="15" w16cid:durableId="377163619">
    <w:abstractNumId w:val="11"/>
  </w:num>
  <w:num w:numId="16" w16cid:durableId="837310870">
    <w:abstractNumId w:val="10"/>
  </w:num>
  <w:num w:numId="17" w16cid:durableId="185103552">
    <w:abstractNumId w:val="5"/>
  </w:num>
  <w:num w:numId="18" w16cid:durableId="59641007">
    <w:abstractNumId w:val="4"/>
  </w:num>
  <w:num w:numId="19" w16cid:durableId="367486583">
    <w:abstractNumId w:val="8"/>
  </w:num>
  <w:num w:numId="20" w16cid:durableId="37055121">
    <w:abstractNumId w:val="13"/>
  </w:num>
  <w:num w:numId="21" w16cid:durableId="6738448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732"/>
    <w:rsid w:val="000027EB"/>
    <w:rsid w:val="00005FE3"/>
    <w:rsid w:val="00037F6A"/>
    <w:rsid w:val="000452F9"/>
    <w:rsid w:val="00050CA6"/>
    <w:rsid w:val="00051C74"/>
    <w:rsid w:val="00057EB5"/>
    <w:rsid w:val="00084F62"/>
    <w:rsid w:val="00092A3D"/>
    <w:rsid w:val="000A3130"/>
    <w:rsid w:val="000A5D60"/>
    <w:rsid w:val="000B0A3E"/>
    <w:rsid w:val="000C3D36"/>
    <w:rsid w:val="000C7691"/>
    <w:rsid w:val="000F18CC"/>
    <w:rsid w:val="000F2FAF"/>
    <w:rsid w:val="0010549A"/>
    <w:rsid w:val="00124660"/>
    <w:rsid w:val="00160A4D"/>
    <w:rsid w:val="001635B8"/>
    <w:rsid w:val="00166EA3"/>
    <w:rsid w:val="00185503"/>
    <w:rsid w:val="001A79C4"/>
    <w:rsid w:val="001B665F"/>
    <w:rsid w:val="001C6B41"/>
    <w:rsid w:val="001E490B"/>
    <w:rsid w:val="001F61C1"/>
    <w:rsid w:val="00222107"/>
    <w:rsid w:val="00223582"/>
    <w:rsid w:val="002409DA"/>
    <w:rsid w:val="00251364"/>
    <w:rsid w:val="00253EF2"/>
    <w:rsid w:val="00261447"/>
    <w:rsid w:val="00276555"/>
    <w:rsid w:val="00283B38"/>
    <w:rsid w:val="0029361C"/>
    <w:rsid w:val="002A12AB"/>
    <w:rsid w:val="002A3F0B"/>
    <w:rsid w:val="002B0C3E"/>
    <w:rsid w:val="002B3CD4"/>
    <w:rsid w:val="002B5D9B"/>
    <w:rsid w:val="002B6535"/>
    <w:rsid w:val="002C0BBF"/>
    <w:rsid w:val="0030797E"/>
    <w:rsid w:val="0031349F"/>
    <w:rsid w:val="00365205"/>
    <w:rsid w:val="00381603"/>
    <w:rsid w:val="003922F4"/>
    <w:rsid w:val="003C4732"/>
    <w:rsid w:val="003D522F"/>
    <w:rsid w:val="00414625"/>
    <w:rsid w:val="00416A70"/>
    <w:rsid w:val="004315C4"/>
    <w:rsid w:val="00433429"/>
    <w:rsid w:val="004438F6"/>
    <w:rsid w:val="00455D77"/>
    <w:rsid w:val="00474484"/>
    <w:rsid w:val="00483747"/>
    <w:rsid w:val="0049312D"/>
    <w:rsid w:val="00493557"/>
    <w:rsid w:val="0049434F"/>
    <w:rsid w:val="004A1A8F"/>
    <w:rsid w:val="004A6F2A"/>
    <w:rsid w:val="004A780F"/>
    <w:rsid w:val="004C00A3"/>
    <w:rsid w:val="004E42BD"/>
    <w:rsid w:val="004F1011"/>
    <w:rsid w:val="005068A3"/>
    <w:rsid w:val="005157F2"/>
    <w:rsid w:val="005311BA"/>
    <w:rsid w:val="0053701C"/>
    <w:rsid w:val="005D4283"/>
    <w:rsid w:val="005E3D97"/>
    <w:rsid w:val="005F26A5"/>
    <w:rsid w:val="0060305A"/>
    <w:rsid w:val="00614C7B"/>
    <w:rsid w:val="00617276"/>
    <w:rsid w:val="00632F9F"/>
    <w:rsid w:val="006358FE"/>
    <w:rsid w:val="006415B1"/>
    <w:rsid w:val="00642654"/>
    <w:rsid w:val="006470FA"/>
    <w:rsid w:val="00653374"/>
    <w:rsid w:val="006618DD"/>
    <w:rsid w:val="006748A1"/>
    <w:rsid w:val="00686385"/>
    <w:rsid w:val="006E1E8E"/>
    <w:rsid w:val="006F4DB4"/>
    <w:rsid w:val="006F6654"/>
    <w:rsid w:val="007517C3"/>
    <w:rsid w:val="007E26E3"/>
    <w:rsid w:val="007E6A1B"/>
    <w:rsid w:val="00811512"/>
    <w:rsid w:val="00843AE3"/>
    <w:rsid w:val="008720AC"/>
    <w:rsid w:val="008723CB"/>
    <w:rsid w:val="008F0D72"/>
    <w:rsid w:val="008F59B4"/>
    <w:rsid w:val="00947F18"/>
    <w:rsid w:val="0095019D"/>
    <w:rsid w:val="009A7E3B"/>
    <w:rsid w:val="009C1C94"/>
    <w:rsid w:val="009F7C44"/>
    <w:rsid w:val="00A54133"/>
    <w:rsid w:val="00A54539"/>
    <w:rsid w:val="00A61B7B"/>
    <w:rsid w:val="00A65881"/>
    <w:rsid w:val="00A6598A"/>
    <w:rsid w:val="00A72089"/>
    <w:rsid w:val="00A87C7B"/>
    <w:rsid w:val="00AC0634"/>
    <w:rsid w:val="00AD619C"/>
    <w:rsid w:val="00AF293D"/>
    <w:rsid w:val="00B261D6"/>
    <w:rsid w:val="00B45C67"/>
    <w:rsid w:val="00B61103"/>
    <w:rsid w:val="00B65812"/>
    <w:rsid w:val="00B85571"/>
    <w:rsid w:val="00BA317F"/>
    <w:rsid w:val="00BC18F2"/>
    <w:rsid w:val="00BD6E2D"/>
    <w:rsid w:val="00C024FF"/>
    <w:rsid w:val="00C06827"/>
    <w:rsid w:val="00C11570"/>
    <w:rsid w:val="00C43DA3"/>
    <w:rsid w:val="00C47A00"/>
    <w:rsid w:val="00C6010E"/>
    <w:rsid w:val="00C70FB2"/>
    <w:rsid w:val="00C80409"/>
    <w:rsid w:val="00C84AFD"/>
    <w:rsid w:val="00C922B2"/>
    <w:rsid w:val="00CA0DFC"/>
    <w:rsid w:val="00CB72F5"/>
    <w:rsid w:val="00CB7F39"/>
    <w:rsid w:val="00CC2E35"/>
    <w:rsid w:val="00CC3F4E"/>
    <w:rsid w:val="00CC4DEA"/>
    <w:rsid w:val="00CC6072"/>
    <w:rsid w:val="00CD56DD"/>
    <w:rsid w:val="00CE55DC"/>
    <w:rsid w:val="00CF364E"/>
    <w:rsid w:val="00CF37FC"/>
    <w:rsid w:val="00CF7DE1"/>
    <w:rsid w:val="00D02594"/>
    <w:rsid w:val="00D43422"/>
    <w:rsid w:val="00D45274"/>
    <w:rsid w:val="00D47AD0"/>
    <w:rsid w:val="00D751F1"/>
    <w:rsid w:val="00D90E1E"/>
    <w:rsid w:val="00D95F42"/>
    <w:rsid w:val="00DB67CD"/>
    <w:rsid w:val="00DE4A91"/>
    <w:rsid w:val="00E005C6"/>
    <w:rsid w:val="00E151FF"/>
    <w:rsid w:val="00E337BA"/>
    <w:rsid w:val="00E43DFC"/>
    <w:rsid w:val="00E5347E"/>
    <w:rsid w:val="00E57894"/>
    <w:rsid w:val="00E62153"/>
    <w:rsid w:val="00E83261"/>
    <w:rsid w:val="00EB1241"/>
    <w:rsid w:val="00EB6360"/>
    <w:rsid w:val="00EC5507"/>
    <w:rsid w:val="00ED498A"/>
    <w:rsid w:val="00EF51C5"/>
    <w:rsid w:val="00F1080A"/>
    <w:rsid w:val="00F108A8"/>
    <w:rsid w:val="00F148B1"/>
    <w:rsid w:val="00F17245"/>
    <w:rsid w:val="00F238AA"/>
    <w:rsid w:val="00F379F7"/>
    <w:rsid w:val="00F46E47"/>
    <w:rsid w:val="00F55F37"/>
    <w:rsid w:val="00F744A3"/>
    <w:rsid w:val="00F81DC5"/>
    <w:rsid w:val="00FA2834"/>
    <w:rsid w:val="00FA425F"/>
    <w:rsid w:val="00FC16CB"/>
    <w:rsid w:val="00FF5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1B616"/>
  <w15:chartTrackingRefBased/>
  <w15:docId w15:val="{DF676B00-F31D-496D-827D-F3AF4B2EA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basedOn w:val="a"/>
    <w:link w:val="10"/>
    <w:uiPriority w:val="9"/>
    <w:qFormat/>
    <w:rsid w:val="004438F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38F6"/>
    <w:rPr>
      <w:rFonts w:ascii="Times New Roman" w:eastAsia="Times New Roman" w:hAnsi="Times New Roman" w:cs="Times New Roman"/>
      <w:b/>
      <w:bCs/>
      <w:kern w:val="36"/>
      <w:sz w:val="48"/>
      <w:szCs w:val="48"/>
    </w:rPr>
  </w:style>
  <w:style w:type="character" w:styleId="a3">
    <w:name w:val="Hyperlink"/>
    <w:basedOn w:val="a0"/>
    <w:uiPriority w:val="99"/>
    <w:unhideWhenUsed/>
    <w:rsid w:val="00BA317F"/>
    <w:rPr>
      <w:color w:val="0563C1" w:themeColor="hyperlink"/>
      <w:u w:val="single"/>
    </w:rPr>
  </w:style>
  <w:style w:type="table" w:styleId="a4">
    <w:name w:val="Table Grid"/>
    <w:basedOn w:val="a1"/>
    <w:uiPriority w:val="39"/>
    <w:rsid w:val="00BA3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C6010E"/>
    <w:pPr>
      <w:spacing w:after="0" w:line="240" w:lineRule="auto"/>
    </w:pPr>
    <w:rPr>
      <w:sz w:val="20"/>
      <w:szCs w:val="20"/>
    </w:rPr>
  </w:style>
  <w:style w:type="character" w:customStyle="1" w:styleId="a6">
    <w:name w:val="Текст сноски Знак"/>
    <w:basedOn w:val="a0"/>
    <w:link w:val="a5"/>
    <w:uiPriority w:val="99"/>
    <w:semiHidden/>
    <w:rsid w:val="00C6010E"/>
    <w:rPr>
      <w:sz w:val="20"/>
      <w:szCs w:val="20"/>
      <w:lang w:val="en-GB"/>
    </w:rPr>
  </w:style>
  <w:style w:type="character" w:styleId="a7">
    <w:name w:val="footnote reference"/>
    <w:basedOn w:val="a0"/>
    <w:uiPriority w:val="99"/>
    <w:semiHidden/>
    <w:unhideWhenUsed/>
    <w:rsid w:val="00C6010E"/>
    <w:rPr>
      <w:vertAlign w:val="superscript"/>
    </w:rPr>
  </w:style>
  <w:style w:type="paragraph" w:styleId="a8">
    <w:name w:val="List Paragraph"/>
    <w:basedOn w:val="a"/>
    <w:uiPriority w:val="34"/>
    <w:qFormat/>
    <w:rsid w:val="00617276"/>
    <w:pPr>
      <w:ind w:left="720"/>
      <w:contextualSpacing/>
    </w:pPr>
  </w:style>
  <w:style w:type="character" w:styleId="a9">
    <w:name w:val="FollowedHyperlink"/>
    <w:basedOn w:val="a0"/>
    <w:uiPriority w:val="99"/>
    <w:semiHidden/>
    <w:unhideWhenUsed/>
    <w:rsid w:val="00365205"/>
    <w:rPr>
      <w:color w:val="954F72" w:themeColor="followedHyperlink"/>
      <w:u w:val="single"/>
    </w:rPr>
  </w:style>
  <w:style w:type="paragraph" w:styleId="aa">
    <w:name w:val="Balloon Text"/>
    <w:basedOn w:val="a"/>
    <w:link w:val="ab"/>
    <w:uiPriority w:val="99"/>
    <w:semiHidden/>
    <w:unhideWhenUsed/>
    <w:rsid w:val="002B653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B6535"/>
    <w:rPr>
      <w:rFonts w:ascii="Segoe UI" w:hAnsi="Segoe UI" w:cs="Segoe UI"/>
      <w:sz w:val="18"/>
      <w:szCs w:val="18"/>
      <w:lang w:val="en-GB"/>
    </w:rPr>
  </w:style>
  <w:style w:type="paragraph" w:customStyle="1" w:styleId="Disclaimer">
    <w:name w:val="Disclaimer"/>
    <w:basedOn w:val="a"/>
    <w:qFormat/>
    <w:rsid w:val="00ED498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val="en-US" w:eastAsia="en-US"/>
    </w:rPr>
  </w:style>
  <w:style w:type="paragraph" w:customStyle="1" w:styleId="BlackStrips">
    <w:name w:val="Black Strips"/>
    <w:basedOn w:val="a"/>
    <w:qFormat/>
    <w:rsid w:val="00ED498A"/>
    <w:pPr>
      <w:shd w:val="clear" w:color="auto" w:fill="000000"/>
      <w:spacing w:after="200" w:line="240" w:lineRule="auto"/>
      <w:jc w:val="center"/>
    </w:pPr>
    <w:rPr>
      <w:rFonts w:eastAsiaTheme="minorHAnsi"/>
      <w:color w:val="FFFFFF"/>
      <w:sz w:val="24"/>
      <w:szCs w:val="24"/>
      <w:lang w:val="en-US" w:eastAsia="en-US"/>
    </w:rPr>
  </w:style>
  <w:style w:type="paragraph" w:customStyle="1" w:styleId="DisclaimerBold">
    <w:name w:val="Disclaimer Bold"/>
    <w:basedOn w:val="Disclaimer"/>
    <w:qFormat/>
    <w:rsid w:val="00ED498A"/>
    <w:pPr>
      <w:jc w:val="lef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907125">
      <w:bodyDiv w:val="1"/>
      <w:marLeft w:val="0"/>
      <w:marRight w:val="0"/>
      <w:marTop w:val="0"/>
      <w:marBottom w:val="0"/>
      <w:divBdr>
        <w:top w:val="none" w:sz="0" w:space="0" w:color="auto"/>
        <w:left w:val="none" w:sz="0" w:space="0" w:color="auto"/>
        <w:bottom w:val="none" w:sz="0" w:space="0" w:color="auto"/>
        <w:right w:val="none" w:sz="0" w:space="0" w:color="auto"/>
      </w:divBdr>
    </w:div>
    <w:div w:id="213524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hkex-issues-8th-listed-issuer-regulation-newsletter/" TargetMode="External"/><Relationship Id="rId13" Type="http://schemas.openxmlformats.org/officeDocument/2006/relationships/hyperlink" Target="https://en-rules.hkex.com.hk/sites/default/files/net_file_store/gl115-23.pdf" TargetMode="External"/><Relationship Id="rId18" Type="http://schemas.openxmlformats.org/officeDocument/2006/relationships/hyperlink" Target="https://www.charltonslaw.com/hkex-publishes-consultation-conclusions-on-new-listing-regime-for-specialist-technology-compani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hkex.com.hk/-/media/HKEX-Market/Listing/Rules-and-Guidance/Other-Resources/Listed-Issuers/Practices-and-Procedures-for-Handling-Listing-related-Matters/gm_guide.pdf" TargetMode="External"/><Relationship Id="rId7" Type="http://schemas.openxmlformats.org/officeDocument/2006/relationships/endnotes" Target="endnotes.xml"/><Relationship Id="rId12" Type="http://schemas.openxmlformats.org/officeDocument/2006/relationships/hyperlink" Target="https://en-rules.hkex.com.hk/sites/default/files/net_file_store/gl113-22.pdf" TargetMode="External"/><Relationship Id="rId17" Type="http://schemas.openxmlformats.org/officeDocument/2006/relationships/hyperlink" Target="https://www.hkex.com.hk/-/media/HKEX-Market/News/Market-Consultations/2016-Present/October-2022-Specialist-Technology-Co/Conclusions-(Mar-2023)/cp202210cc.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harltonslaw.com/hkex-consults-on-mandatory-climate-disclosures-in-esg-reports/" TargetMode="External"/><Relationship Id="rId20" Type="http://schemas.openxmlformats.org/officeDocument/2006/relationships/hyperlink" Target="https://www.hkex.com.hk/-/media/HKEX-Market/Listing/Rules-and-Guidance/Disciplinary-and-Enforcement/Disciplinary-Procedures-and-Enforcement-Guidance-Materials/dis_procedure_lrc_20230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kex.com.hk/-/media/HKEX-Market/Listing/Rules-and-Guidance/Interpretation-and-Guidance-Contingency/Frequently-Asked-Questions/FAQ_7.pdf" TargetMode="External"/><Relationship Id="rId24" Type="http://schemas.openxmlformats.org/officeDocument/2006/relationships/hyperlink" Target="mailto:unsubscribe@charltonslaw.com?subject=unsubscribe%20-Hong%20Kong%20Law-" TargetMode="External"/><Relationship Id="rId5" Type="http://schemas.openxmlformats.org/officeDocument/2006/relationships/webSettings" Target="webSettings.xml"/><Relationship Id="rId15" Type="http://schemas.openxmlformats.org/officeDocument/2006/relationships/hyperlink" Target="https://www.hkex.com.hk/-/media/HKEX-Market/News/Market-Consultations/2016-Present/April-2023-Climate-related-Disclosures/Consultation-Paper/cp202304.pdf" TargetMode="External"/><Relationship Id="rId23" Type="http://schemas.openxmlformats.org/officeDocument/2006/relationships/hyperlink" Target="https://www.hkex.com.hk/Listing/Rules-and-Guidance/eForm-Corner?sc_lang=en" TargetMode="External"/><Relationship Id="rId10" Type="http://schemas.openxmlformats.org/officeDocument/2006/relationships/hyperlink" Target="https://en-rules.hkex.com.hk/sites/default/files/net_file_store/FAQ_083-2022_to_101-2022_e.pdf" TargetMode="External"/><Relationship Id="rId19" Type="http://schemas.openxmlformats.org/officeDocument/2006/relationships/hyperlink" Target="https://www.hkex.com.hk/-/media/HKEX-Market/Listing/Rules-and-Guidance/Disciplinary-and-Enforcement/Disciplinary-Procedures-and-Enforcement-Guidance-Materials/dis_202304.pdf" TargetMode="External"/><Relationship Id="rId4" Type="http://schemas.openxmlformats.org/officeDocument/2006/relationships/settings" Target="settings.xml"/><Relationship Id="rId9" Type="http://schemas.openxmlformats.org/officeDocument/2006/relationships/hyperlink" Target="https://www.hkex.com.hk/-/media/HKEX-Market/Listing/Rules-and-Guidance/Other-Resources/Listed-Issuers/LIR-Newsletter/newsletter_202306.pdf" TargetMode="External"/><Relationship Id="rId14" Type="http://schemas.openxmlformats.org/officeDocument/2006/relationships/hyperlink" Target="https://en-rules.hkex.com.hk/sites/default/files/net_file_store/gl7914.pdf" TargetMode="External"/><Relationship Id="rId22" Type="http://schemas.openxmlformats.org/officeDocument/2006/relationships/hyperlink" Target="https://en-rules.hkex.com.hk/sites/default/files/net_file_store/FAQ118-2023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7A51A-13BF-4713-8C4F-F742B7555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1994</Words>
  <Characters>11369</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Charltons</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Chan</dc:creator>
  <cp:keywords/>
  <dc:description/>
  <cp:lastModifiedBy>Александр Пирогов</cp:lastModifiedBy>
  <cp:revision>9</cp:revision>
  <cp:lastPrinted>2023-06-19T07:17:00Z</cp:lastPrinted>
  <dcterms:created xsi:type="dcterms:W3CDTF">2023-06-30T02:36:00Z</dcterms:created>
  <dcterms:modified xsi:type="dcterms:W3CDTF">2023-07-05T06:10:00Z</dcterms:modified>
</cp:coreProperties>
</file>