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8B6" w:rsidRPr="008524CA" w:rsidRDefault="009628B6" w:rsidP="009628B6">
      <w:pPr>
        <w:shd w:val="clear" w:color="auto" w:fill="000000"/>
        <w:spacing w:after="200"/>
        <w:jc w:val="center"/>
        <w:rPr>
          <w:rFonts w:ascii="Cambria" w:eastAsia="Cambria" w:hAnsi="Cambria" w:cs="Times New Roman"/>
          <w:color w:val="FFFFFF"/>
          <w:sz w:val="24"/>
          <w:szCs w:val="24"/>
        </w:rPr>
      </w:pPr>
      <w:r>
        <w:rPr>
          <w:rFonts w:ascii="Cambria" w:eastAsia="Cambria" w:hAnsi="Cambria" w:cs="Times New Roman"/>
          <w:color w:val="FFFFFF"/>
          <w:sz w:val="24"/>
          <w:szCs w:val="24"/>
        </w:rPr>
        <w:t>Charltons - Hong Kong Law - 3</w:t>
      </w:r>
      <w:r w:rsidR="007D7548" w:rsidRPr="007D7548">
        <w:rPr>
          <w:rFonts w:ascii="Cambria" w:eastAsia="Cambria" w:hAnsi="Cambria" w:cs="Times New Roman"/>
          <w:color w:val="FFFFFF"/>
          <w:sz w:val="24"/>
          <w:szCs w:val="24"/>
        </w:rPr>
        <w:t>1</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May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9628B6" w:rsidRPr="009628B6" w:rsidRDefault="00000000" w:rsidP="009628B6">
      <w:pPr>
        <w:spacing w:after="200"/>
        <w:jc w:val="center"/>
        <w:rPr>
          <w:rFonts w:ascii="Cambria" w:eastAsia="Cambria" w:hAnsi="Cambria" w:cs="Times New Roman"/>
          <w:color w:val="00000A"/>
          <w:sz w:val="28"/>
          <w:szCs w:val="24"/>
          <w:u w:val="single"/>
        </w:rPr>
      </w:pPr>
      <w:hyperlink r:id="rId8" w:history="1">
        <w:r w:rsidR="009628B6" w:rsidRPr="00365171">
          <w:rPr>
            <w:rStyle w:val="a3"/>
            <w:rFonts w:ascii="Cambria" w:eastAsia="Cambria" w:hAnsi="Cambria"/>
            <w:sz w:val="28"/>
            <w:szCs w:val="24"/>
          </w:rPr>
          <w:t>online version</w:t>
        </w:r>
      </w:hyperlink>
    </w:p>
    <w:p w:rsidR="00F4290D" w:rsidRPr="00F03621" w:rsidRDefault="00F4290D" w:rsidP="00F03621">
      <w:pPr>
        <w:snapToGrid w:val="0"/>
        <w:spacing w:after="0" w:line="240" w:lineRule="auto"/>
        <w:jc w:val="center"/>
        <w:rPr>
          <w:b/>
        </w:rPr>
      </w:pPr>
      <w:r w:rsidRPr="00F03621">
        <w:rPr>
          <w:b/>
          <w:color w:val="FF0000"/>
        </w:rPr>
        <w:t>Hong Kong SFC Finalises Regulation of Virtual Asset</w:t>
      </w:r>
      <w:r w:rsidR="00F03621" w:rsidRPr="00F03621">
        <w:rPr>
          <w:b/>
          <w:color w:val="FF0000"/>
        </w:rPr>
        <w:t xml:space="preserve"> Trading Platforms</w:t>
      </w:r>
    </w:p>
    <w:p w:rsidR="00F4290D" w:rsidRDefault="00F4290D" w:rsidP="00F4290D">
      <w:pPr>
        <w:snapToGrid w:val="0"/>
        <w:spacing w:after="0" w:line="240" w:lineRule="auto"/>
        <w:jc w:val="both"/>
      </w:pPr>
    </w:p>
    <w:p w:rsidR="0039618D" w:rsidRDefault="00F4290D" w:rsidP="00F4290D">
      <w:pPr>
        <w:snapToGrid w:val="0"/>
        <w:spacing w:after="0" w:line="240" w:lineRule="auto"/>
        <w:jc w:val="both"/>
      </w:pPr>
      <w:r w:rsidRPr="00F4290D">
        <w:t>Hong Kong</w:t>
      </w:r>
      <w:r w:rsidR="00F03621">
        <w:t>’s</w:t>
      </w:r>
      <w:r w:rsidRPr="00F4290D">
        <w:t xml:space="preserve"> </w:t>
      </w:r>
      <w:r w:rsidR="000033F7" w:rsidRPr="00F4290D">
        <w:t>S</w:t>
      </w:r>
      <w:r w:rsidR="00F03621">
        <w:t>ecurities and Futures Commission (</w:t>
      </w:r>
      <w:r w:rsidR="005320C5">
        <w:t xml:space="preserve">the </w:t>
      </w:r>
      <w:r w:rsidR="00F03621" w:rsidRPr="00F03621">
        <w:rPr>
          <w:b/>
        </w:rPr>
        <w:t>S</w:t>
      </w:r>
      <w:r w:rsidR="000033F7" w:rsidRPr="00F03621">
        <w:rPr>
          <w:b/>
        </w:rPr>
        <w:t>FC</w:t>
      </w:r>
      <w:r w:rsidR="00F03621">
        <w:t>)</w:t>
      </w:r>
      <w:r w:rsidR="000033F7" w:rsidRPr="00F4290D">
        <w:t xml:space="preserve"> </w:t>
      </w:r>
      <w:r w:rsidR="00F03621">
        <w:t>has finalised the detailed regulatory requirements for virtual asset (</w:t>
      </w:r>
      <w:r w:rsidR="00F03621" w:rsidRPr="00F03621">
        <w:rPr>
          <w:b/>
        </w:rPr>
        <w:t>VA</w:t>
      </w:r>
      <w:r w:rsidR="00F03621">
        <w:t xml:space="preserve">) trading platform operators licensed by the SFC with the publication </w:t>
      </w:r>
      <w:r w:rsidR="00C66D91">
        <w:t xml:space="preserve">on 23 May 2023 </w:t>
      </w:r>
      <w:r w:rsidR="00F03621">
        <w:t xml:space="preserve">of its </w:t>
      </w:r>
      <w:hyperlink r:id="rId9" w:history="1">
        <w:r w:rsidR="00F03621" w:rsidRPr="00C66D91">
          <w:rPr>
            <w:rStyle w:val="a3"/>
          </w:rPr>
          <w:t>Consultation Conclusions</w:t>
        </w:r>
      </w:hyperlink>
      <w:r w:rsidR="00C66D91">
        <w:rPr>
          <w:rStyle w:val="a7"/>
        </w:rPr>
        <w:footnoteReference w:id="1"/>
      </w:r>
      <w:r w:rsidR="00F03621">
        <w:t xml:space="preserve"> </w:t>
      </w:r>
      <w:r w:rsidR="00C66D91">
        <w:t xml:space="preserve">to its </w:t>
      </w:r>
      <w:hyperlink r:id="rId10" w:history="1">
        <w:r w:rsidR="00C66D91" w:rsidRPr="00D02510">
          <w:rPr>
            <w:rStyle w:val="a3"/>
          </w:rPr>
          <w:t xml:space="preserve">Consultation Paper </w:t>
        </w:r>
        <w:r w:rsidR="00F03621" w:rsidRPr="00D02510">
          <w:rPr>
            <w:rStyle w:val="a3"/>
          </w:rPr>
          <w:t xml:space="preserve">on the Proposed Regulatory Requirements for </w:t>
        </w:r>
        <w:r w:rsidR="007F3C3E" w:rsidRPr="00D02510">
          <w:rPr>
            <w:rStyle w:val="a3"/>
          </w:rPr>
          <w:t>Virtual</w:t>
        </w:r>
        <w:r w:rsidR="001002FB" w:rsidRPr="00D02510">
          <w:rPr>
            <w:rStyle w:val="a3"/>
          </w:rPr>
          <w:t xml:space="preserve"> </w:t>
        </w:r>
        <w:r w:rsidR="00C66D91" w:rsidRPr="00D02510">
          <w:rPr>
            <w:rStyle w:val="a3"/>
          </w:rPr>
          <w:t>Asset Trading Platform Operators Licensed by the Securities and Futures Commission</w:t>
        </w:r>
      </w:hyperlink>
      <w:r w:rsidR="00C66D91">
        <w:t xml:space="preserve"> </w:t>
      </w:r>
      <w:r w:rsidR="00C20466">
        <w:t xml:space="preserve">published in February 2023. </w:t>
      </w:r>
      <w:r w:rsidR="004B47B7">
        <w:t xml:space="preserve">The highly anticipated consultation conclusions are issued in preparation for </w:t>
      </w:r>
      <w:r w:rsidR="00227DE5">
        <w:t xml:space="preserve">Hong Kong’s new </w:t>
      </w:r>
      <w:r w:rsidR="00227DE5" w:rsidRPr="001002FB">
        <w:t xml:space="preserve">licensing regime for </w:t>
      </w:r>
      <w:r w:rsidR="00425A6D">
        <w:t xml:space="preserve">operators of </w:t>
      </w:r>
      <w:proofErr w:type="gramStart"/>
      <w:r w:rsidR="00227DE5" w:rsidRPr="001002FB">
        <w:t xml:space="preserve">centralised  </w:t>
      </w:r>
      <w:r w:rsidR="00425A6D">
        <w:t>virtual</w:t>
      </w:r>
      <w:proofErr w:type="gramEnd"/>
      <w:r w:rsidR="00425A6D">
        <w:t xml:space="preserve"> asset </w:t>
      </w:r>
      <w:r w:rsidR="00227DE5" w:rsidRPr="001002FB">
        <w:t xml:space="preserve">trading platforms </w:t>
      </w:r>
      <w:r w:rsidR="001C08B9">
        <w:t xml:space="preserve">offering </w:t>
      </w:r>
      <w:r w:rsidR="00227DE5" w:rsidRPr="001002FB">
        <w:t xml:space="preserve">trading </w:t>
      </w:r>
      <w:r w:rsidR="001C08B9">
        <w:t xml:space="preserve">in </w:t>
      </w:r>
      <w:r w:rsidR="00227DE5" w:rsidRPr="001002FB">
        <w:t xml:space="preserve">non-security tokens which </w:t>
      </w:r>
      <w:r w:rsidR="00227DE5">
        <w:t xml:space="preserve">takes </w:t>
      </w:r>
      <w:r w:rsidR="00227DE5" w:rsidRPr="001002FB">
        <w:t>effect on 1 June 2023</w:t>
      </w:r>
      <w:r w:rsidR="00227DE5">
        <w:t xml:space="preserve"> under </w:t>
      </w:r>
      <w:r w:rsidR="005320C5">
        <w:t xml:space="preserve">new Part 5B of </w:t>
      </w:r>
      <w:r w:rsidR="00227DE5">
        <w:t>the Anti-Money Laundering and Counter</w:t>
      </w:r>
      <w:r w:rsidR="005320C5">
        <w:t xml:space="preserve">-Terrorist Financing Ordinance (the </w:t>
      </w:r>
      <w:r w:rsidR="005320C5">
        <w:rPr>
          <w:b/>
        </w:rPr>
        <w:t>AMLO</w:t>
      </w:r>
      <w:r w:rsidR="005320C5">
        <w:t>)</w:t>
      </w:r>
      <w:r w:rsidR="00227DE5">
        <w:t xml:space="preserve">. </w:t>
      </w:r>
      <w:r w:rsidR="005320C5">
        <w:t xml:space="preserve">For </w:t>
      </w:r>
      <w:r w:rsidR="0079175E">
        <w:t>details of the</w:t>
      </w:r>
      <w:r w:rsidR="00996530">
        <w:t xml:space="preserve"> </w:t>
      </w:r>
      <w:r w:rsidR="0079175E">
        <w:t xml:space="preserve">new </w:t>
      </w:r>
      <w:r w:rsidR="005320C5">
        <w:t xml:space="preserve">AMLO </w:t>
      </w:r>
      <w:r w:rsidR="0079175E">
        <w:t xml:space="preserve">licensing regime, please see </w:t>
      </w:r>
      <w:r w:rsidR="003972D1">
        <w:t>Charltons</w:t>
      </w:r>
      <w:r w:rsidR="005320C5">
        <w:t>’</w:t>
      </w:r>
      <w:r w:rsidR="003972D1">
        <w:t xml:space="preserve"> </w:t>
      </w:r>
      <w:hyperlink r:id="rId11" w:history="1">
        <w:r w:rsidR="005320C5" w:rsidRPr="005320C5">
          <w:rPr>
            <w:rStyle w:val="a3"/>
          </w:rPr>
          <w:t xml:space="preserve">July 2022 </w:t>
        </w:r>
        <w:r w:rsidR="003972D1" w:rsidRPr="005320C5">
          <w:rPr>
            <w:rStyle w:val="a3"/>
          </w:rPr>
          <w:t>newsletter</w:t>
        </w:r>
      </w:hyperlink>
      <w:r w:rsidR="0079175E">
        <w:t>.</w:t>
      </w:r>
      <w:r w:rsidR="003972D1">
        <w:t xml:space="preserve"> </w:t>
      </w:r>
      <w:r w:rsidR="00634774">
        <w:t xml:space="preserve">Trading platforms intending to provide trading in security tokens need to be </w:t>
      </w:r>
      <w:r w:rsidR="001C08B9">
        <w:t xml:space="preserve">separately </w:t>
      </w:r>
      <w:r w:rsidR="00634774">
        <w:t xml:space="preserve">licensed under the </w:t>
      </w:r>
      <w:r w:rsidR="00634774" w:rsidRPr="00017C43">
        <w:rPr>
          <w:rFonts w:ascii="Calibri" w:eastAsia="Microsoft JhengHei" w:hAnsi="Calibri" w:cs="Calibri"/>
          <w:color w:val="262626"/>
          <w:shd w:val="clear" w:color="auto" w:fill="FFFFFF"/>
        </w:rPr>
        <w:t>Securities and Futures Ordina</w:t>
      </w:r>
      <w:r w:rsidR="00634774">
        <w:rPr>
          <w:rFonts w:ascii="Calibri" w:eastAsia="Microsoft JhengHei" w:hAnsi="Calibri" w:cs="Calibri"/>
          <w:color w:val="262626"/>
          <w:shd w:val="clear" w:color="auto" w:fill="FFFFFF"/>
        </w:rPr>
        <w:t xml:space="preserve">nce (the </w:t>
      </w:r>
      <w:r w:rsidR="00634774" w:rsidRPr="001A20BD">
        <w:rPr>
          <w:rFonts w:ascii="Calibri" w:eastAsia="Microsoft JhengHei" w:hAnsi="Calibri" w:cs="Calibri"/>
          <w:b/>
          <w:color w:val="262626"/>
          <w:shd w:val="clear" w:color="auto" w:fill="FFFFFF"/>
        </w:rPr>
        <w:t>SFO</w:t>
      </w:r>
      <w:r w:rsidR="00634774">
        <w:rPr>
          <w:rFonts w:ascii="Calibri" w:eastAsia="Microsoft JhengHei" w:hAnsi="Calibri" w:cs="Calibri"/>
          <w:color w:val="262626"/>
          <w:shd w:val="clear" w:color="auto" w:fill="FFFFFF"/>
        </w:rPr>
        <w:t xml:space="preserve">) for regulated activities Type 1 (dealing in securities) and Type 7 (providing automated trading services). </w:t>
      </w:r>
      <w:r w:rsidR="001C08B9">
        <w:rPr>
          <w:rFonts w:ascii="Calibri" w:eastAsia="Microsoft JhengHei" w:hAnsi="Calibri" w:cs="Calibri"/>
          <w:color w:val="262626"/>
          <w:shd w:val="clear" w:color="auto" w:fill="FFFFFF"/>
        </w:rPr>
        <w:t>Given the possibility of virtual assets regulatory classification changing from non-security tokens to security tokens, the SFC recommends that virtual asset trading platforms should be licensed under both ordinances.</w:t>
      </w:r>
    </w:p>
    <w:p w:rsidR="00D479CC" w:rsidRDefault="00D479CC" w:rsidP="00F4290D">
      <w:pPr>
        <w:snapToGrid w:val="0"/>
        <w:spacing w:after="0" w:line="240" w:lineRule="auto"/>
        <w:jc w:val="both"/>
      </w:pPr>
    </w:p>
    <w:p w:rsidR="001A20BD" w:rsidRDefault="00D479CC" w:rsidP="00F4290D">
      <w:pPr>
        <w:snapToGrid w:val="0"/>
        <w:spacing w:after="0" w:line="240" w:lineRule="auto"/>
        <w:jc w:val="both"/>
        <w:rPr>
          <w:rFonts w:ascii="Calibri" w:eastAsia="Microsoft JhengHei" w:hAnsi="Calibri" w:cs="Calibri"/>
          <w:color w:val="262626"/>
          <w:shd w:val="clear" w:color="auto" w:fill="FFFFFF"/>
        </w:rPr>
      </w:pPr>
      <w:r>
        <w:rPr>
          <w:rFonts w:ascii="Calibri" w:eastAsia="Microsoft JhengHei" w:hAnsi="Calibri" w:cs="Calibri"/>
          <w:color w:val="262626"/>
          <w:shd w:val="clear" w:color="auto" w:fill="FFFFFF"/>
        </w:rPr>
        <w:t xml:space="preserve">The </w:t>
      </w:r>
      <w:r w:rsidR="001C08B9">
        <w:rPr>
          <w:rFonts w:ascii="Calibri" w:eastAsia="Microsoft JhengHei" w:hAnsi="Calibri" w:cs="Calibri"/>
          <w:color w:val="262626"/>
          <w:shd w:val="clear" w:color="auto" w:fill="FFFFFF"/>
        </w:rPr>
        <w:t xml:space="preserve">following </w:t>
      </w:r>
      <w:r w:rsidR="00B41A4F">
        <w:rPr>
          <w:rFonts w:ascii="Calibri" w:eastAsia="Microsoft JhengHei" w:hAnsi="Calibri" w:cs="Calibri"/>
          <w:color w:val="262626"/>
          <w:shd w:val="clear" w:color="auto" w:fill="FFFFFF"/>
        </w:rPr>
        <w:t xml:space="preserve">guidelines </w:t>
      </w:r>
      <w:r w:rsidR="001C08B9">
        <w:rPr>
          <w:rFonts w:ascii="Calibri" w:eastAsia="Microsoft JhengHei" w:hAnsi="Calibri" w:cs="Calibri"/>
          <w:color w:val="262626"/>
          <w:shd w:val="clear" w:color="auto" w:fill="FFFFFF"/>
        </w:rPr>
        <w:t xml:space="preserve">setting out </w:t>
      </w:r>
      <w:r w:rsidR="00B41A4F">
        <w:rPr>
          <w:rFonts w:ascii="Calibri" w:eastAsia="Microsoft JhengHei" w:hAnsi="Calibri" w:cs="Calibri"/>
          <w:color w:val="262626"/>
          <w:shd w:val="clear" w:color="auto" w:fill="FFFFFF"/>
        </w:rPr>
        <w:t xml:space="preserve">the detailed regulatory provisions applicable to operators of centralised virtual asset trading platforms </w:t>
      </w:r>
      <w:r w:rsidR="00017C43">
        <w:rPr>
          <w:rFonts w:ascii="Calibri" w:eastAsia="Microsoft JhengHei" w:hAnsi="Calibri" w:cs="Calibri"/>
          <w:color w:val="262626"/>
          <w:shd w:val="clear" w:color="auto" w:fill="FFFFFF"/>
        </w:rPr>
        <w:t>licensed under the AMLO</w:t>
      </w:r>
      <w:r w:rsidR="001C08B9">
        <w:rPr>
          <w:rFonts w:ascii="Calibri" w:eastAsia="Microsoft JhengHei" w:hAnsi="Calibri" w:cs="Calibri"/>
          <w:color w:val="262626"/>
          <w:shd w:val="clear" w:color="auto" w:fill="FFFFFF"/>
        </w:rPr>
        <w:t xml:space="preserve"> </w:t>
      </w:r>
      <w:r w:rsidR="00680AEE">
        <w:rPr>
          <w:rFonts w:ascii="Calibri" w:eastAsia="Microsoft JhengHei" w:hAnsi="Calibri" w:cs="Calibri"/>
          <w:color w:val="262626"/>
          <w:shd w:val="clear" w:color="auto" w:fill="FFFFFF"/>
        </w:rPr>
        <w:t>come into effect on 1 June 2023</w:t>
      </w:r>
      <w:r w:rsidR="001A20BD">
        <w:rPr>
          <w:rFonts w:ascii="Calibri" w:eastAsia="Microsoft JhengHei" w:hAnsi="Calibri" w:cs="Calibri"/>
          <w:color w:val="262626"/>
          <w:shd w:val="clear" w:color="auto" w:fill="FFFFFF"/>
        </w:rPr>
        <w:t>:</w:t>
      </w:r>
    </w:p>
    <w:p w:rsidR="001A20BD" w:rsidRDefault="001A20BD" w:rsidP="00F4290D">
      <w:pPr>
        <w:snapToGrid w:val="0"/>
        <w:spacing w:after="0" w:line="240" w:lineRule="auto"/>
        <w:jc w:val="both"/>
        <w:rPr>
          <w:rFonts w:ascii="Calibri" w:eastAsia="Microsoft JhengHei" w:hAnsi="Calibri" w:cs="Calibri"/>
          <w:color w:val="262626"/>
          <w:shd w:val="clear" w:color="auto" w:fill="FFFFFF"/>
        </w:rPr>
      </w:pPr>
    </w:p>
    <w:p w:rsidR="001A20BD" w:rsidRPr="001A20BD" w:rsidRDefault="00000000" w:rsidP="001A20BD">
      <w:pPr>
        <w:pStyle w:val="a4"/>
        <w:numPr>
          <w:ilvl w:val="0"/>
          <w:numId w:val="22"/>
        </w:numPr>
        <w:snapToGrid w:val="0"/>
        <w:spacing w:after="0" w:line="240" w:lineRule="auto"/>
        <w:jc w:val="both"/>
      </w:pPr>
      <w:hyperlink r:id="rId12" w:history="1">
        <w:r w:rsidR="001A20BD" w:rsidRPr="004B4C46">
          <w:rPr>
            <w:rStyle w:val="a3"/>
            <w:rFonts w:ascii="Calibri" w:eastAsia="Microsoft JhengHei" w:hAnsi="Calibri" w:cs="Calibri"/>
            <w:shd w:val="clear" w:color="auto" w:fill="FFFFFF"/>
          </w:rPr>
          <w:t xml:space="preserve">the </w:t>
        </w:r>
        <w:r w:rsidR="00D479CC" w:rsidRPr="004B4C46">
          <w:rPr>
            <w:rStyle w:val="a3"/>
            <w:rFonts w:ascii="Calibri" w:eastAsia="Microsoft JhengHei" w:hAnsi="Calibri" w:cs="Calibri"/>
            <w:shd w:val="clear" w:color="auto" w:fill="FFFFFF"/>
          </w:rPr>
          <w:t>Guidelines for Virtual Asset Trading Platform Operators</w:t>
        </w:r>
      </w:hyperlink>
      <w:r w:rsidR="001A20BD">
        <w:rPr>
          <w:rFonts w:ascii="Calibri" w:hAnsi="Calibri" w:cs="Calibri"/>
        </w:rPr>
        <w:t>;</w:t>
      </w:r>
      <w:r w:rsidR="00D479CC" w:rsidRPr="001A20BD">
        <w:rPr>
          <w:rFonts w:ascii="Calibri" w:hAnsi="Calibri" w:cs="Calibri"/>
        </w:rPr>
        <w:t xml:space="preserve"> </w:t>
      </w:r>
    </w:p>
    <w:p w:rsidR="001A20BD" w:rsidRDefault="00000000" w:rsidP="001A20BD">
      <w:pPr>
        <w:pStyle w:val="a4"/>
        <w:numPr>
          <w:ilvl w:val="0"/>
          <w:numId w:val="22"/>
        </w:numPr>
        <w:snapToGrid w:val="0"/>
        <w:spacing w:after="0" w:line="240" w:lineRule="auto"/>
        <w:jc w:val="both"/>
      </w:pPr>
      <w:hyperlink r:id="rId13" w:history="1">
        <w:r w:rsidR="00D479CC" w:rsidRPr="004B4C46">
          <w:rPr>
            <w:rStyle w:val="a3"/>
            <w:rFonts w:hint="eastAsia"/>
          </w:rPr>
          <w:t>the Guideline on Anti-Money Laundering and Counter-Financing of Terrorism (For Licensed Corporations and SFC-licensed V</w:t>
        </w:r>
        <w:r w:rsidR="001A20BD" w:rsidRPr="004B4C46">
          <w:rPr>
            <w:rStyle w:val="a3"/>
            <w:rFonts w:hint="eastAsia"/>
          </w:rPr>
          <w:t>irtual Asset Service Providers);</w:t>
        </w:r>
      </w:hyperlink>
    </w:p>
    <w:p w:rsidR="001A20BD" w:rsidRDefault="00000000" w:rsidP="001A20BD">
      <w:pPr>
        <w:pStyle w:val="a4"/>
        <w:numPr>
          <w:ilvl w:val="0"/>
          <w:numId w:val="22"/>
        </w:numPr>
        <w:snapToGrid w:val="0"/>
        <w:spacing w:after="0" w:line="240" w:lineRule="auto"/>
        <w:jc w:val="both"/>
      </w:pPr>
      <w:hyperlink r:id="rId14" w:history="1">
        <w:r w:rsidR="00D479CC" w:rsidRPr="004B4C46">
          <w:rPr>
            <w:rStyle w:val="a3"/>
            <w:rFonts w:hint="eastAsia"/>
          </w:rPr>
          <w:t xml:space="preserve">the Prevention of Money Laundering and Terrorist Financing Guideline issued by the Securities and Futures Commission for Associated Entities of Licensed Corporations and SFC-licensed </w:t>
        </w:r>
        <w:r w:rsidR="001A20BD" w:rsidRPr="004B4C46">
          <w:rPr>
            <w:rStyle w:val="a3"/>
            <w:rFonts w:hint="eastAsia"/>
          </w:rPr>
          <w:t>Virtual Asset Service Providers</w:t>
        </w:r>
      </w:hyperlink>
      <w:r w:rsidR="001A20BD">
        <w:rPr>
          <w:rFonts w:hint="eastAsia"/>
        </w:rPr>
        <w:t xml:space="preserve">; and </w:t>
      </w:r>
    </w:p>
    <w:p w:rsidR="005320C5" w:rsidRDefault="00000000" w:rsidP="001A20BD">
      <w:pPr>
        <w:pStyle w:val="a4"/>
        <w:numPr>
          <w:ilvl w:val="0"/>
          <w:numId w:val="22"/>
        </w:numPr>
        <w:snapToGrid w:val="0"/>
        <w:spacing w:after="0" w:line="240" w:lineRule="auto"/>
        <w:jc w:val="both"/>
      </w:pPr>
      <w:hyperlink r:id="rId15" w:history="1">
        <w:r w:rsidR="00017C43" w:rsidRPr="004B4C46">
          <w:rPr>
            <w:rStyle w:val="a3"/>
          </w:rPr>
          <w:t>the Disciplinary Fining Guidelines (for regulated persons under Part 5B of the Anti-Money Laundering and Counter-Terrorist Financing Ordinance)</w:t>
        </w:r>
      </w:hyperlink>
    </w:p>
    <w:p w:rsidR="00425A6D" w:rsidRDefault="00425A6D" w:rsidP="00425A6D">
      <w:pPr>
        <w:snapToGrid w:val="0"/>
        <w:spacing w:after="0" w:line="240" w:lineRule="auto"/>
        <w:jc w:val="both"/>
      </w:pPr>
    </w:p>
    <w:p w:rsidR="00425A6D" w:rsidRDefault="00C91161" w:rsidP="008A630A">
      <w:pPr>
        <w:snapToGrid w:val="0"/>
        <w:spacing w:after="0" w:line="240" w:lineRule="auto"/>
        <w:jc w:val="both"/>
      </w:pPr>
      <w:r>
        <w:rPr>
          <w:rFonts w:ascii="Calibri" w:eastAsia="Microsoft JhengHei" w:hAnsi="Calibri" w:cs="Calibri"/>
          <w:color w:val="262626"/>
          <w:shd w:val="clear" w:color="auto" w:fill="FFFFFF"/>
        </w:rPr>
        <w:t>With the exception of the Disciplinary Fining Guidelines, t</w:t>
      </w:r>
      <w:r w:rsidRPr="00017C43">
        <w:rPr>
          <w:rFonts w:ascii="Calibri" w:eastAsia="Microsoft JhengHei" w:hAnsi="Calibri" w:cs="Calibri"/>
          <w:color w:val="262626"/>
          <w:shd w:val="clear" w:color="auto" w:fill="FFFFFF"/>
        </w:rPr>
        <w:t xml:space="preserve">he </w:t>
      </w:r>
      <w:r>
        <w:rPr>
          <w:rFonts w:ascii="Calibri" w:eastAsia="Microsoft JhengHei" w:hAnsi="Calibri" w:cs="Calibri"/>
          <w:color w:val="262626"/>
          <w:shd w:val="clear" w:color="auto" w:fill="FFFFFF"/>
        </w:rPr>
        <w:t xml:space="preserve">above guidelines </w:t>
      </w:r>
      <w:r w:rsidRPr="00017C43">
        <w:rPr>
          <w:rFonts w:ascii="Calibri" w:eastAsia="Microsoft JhengHei" w:hAnsi="Calibri" w:cs="Calibri"/>
          <w:color w:val="262626"/>
          <w:shd w:val="clear" w:color="auto" w:fill="FFFFFF"/>
        </w:rPr>
        <w:t xml:space="preserve">also apply to operators of centralised virtual asset trading platforms licensed under the </w:t>
      </w:r>
      <w:r w:rsidR="00634774">
        <w:rPr>
          <w:rFonts w:ascii="Calibri" w:eastAsia="Microsoft JhengHei" w:hAnsi="Calibri" w:cs="Calibri"/>
          <w:color w:val="262626"/>
          <w:shd w:val="clear" w:color="auto" w:fill="FFFFFF"/>
        </w:rPr>
        <w:t>SFO.</w:t>
      </w:r>
      <w:r w:rsidR="004A0EAA">
        <w:t xml:space="preserve"> </w:t>
      </w:r>
    </w:p>
    <w:p w:rsidR="00712D29" w:rsidRDefault="00712D29" w:rsidP="00425A6D">
      <w:pPr>
        <w:snapToGrid w:val="0"/>
        <w:spacing w:after="0" w:line="240" w:lineRule="auto"/>
        <w:jc w:val="both"/>
      </w:pPr>
    </w:p>
    <w:p w:rsidR="00712D29" w:rsidRDefault="00712D29" w:rsidP="00425A6D">
      <w:pPr>
        <w:snapToGrid w:val="0"/>
        <w:spacing w:after="0" w:line="240" w:lineRule="auto"/>
        <w:jc w:val="both"/>
      </w:pPr>
      <w:r>
        <w:t>Given the large number of questions received in response to the Consultation Paper, the SFC will issue further guidance in the form of circulars, frequently asked questions (</w:t>
      </w:r>
      <w:r w:rsidRPr="00712D29">
        <w:rPr>
          <w:b/>
        </w:rPr>
        <w:t>FAQs</w:t>
      </w:r>
      <w:r>
        <w:t>) and a licensing handbook on the new AMLO licensing regime.</w:t>
      </w:r>
    </w:p>
    <w:p w:rsidR="00335373" w:rsidRDefault="00335373" w:rsidP="00490707">
      <w:pPr>
        <w:snapToGrid w:val="0"/>
        <w:spacing w:after="0" w:line="240" w:lineRule="auto"/>
        <w:jc w:val="both"/>
        <w:rPr>
          <w:color w:val="FF0000"/>
        </w:rPr>
      </w:pPr>
    </w:p>
    <w:p w:rsidR="008E54F8" w:rsidRPr="008E54F8" w:rsidRDefault="008E54F8" w:rsidP="00490707">
      <w:pPr>
        <w:snapToGrid w:val="0"/>
        <w:spacing w:after="0" w:line="240" w:lineRule="auto"/>
        <w:jc w:val="both"/>
        <w:rPr>
          <w:b/>
          <w:color w:val="FF0000"/>
        </w:rPr>
      </w:pPr>
      <w:r w:rsidRPr="008E54F8">
        <w:rPr>
          <w:b/>
          <w:color w:val="FF0000"/>
        </w:rPr>
        <w:t>The Guidelines for Virtual Asset Trading Platform Operators</w:t>
      </w:r>
      <w:r w:rsidR="00680AEE">
        <w:rPr>
          <w:b/>
          <w:color w:val="FF0000"/>
        </w:rPr>
        <w:t xml:space="preserve"> </w:t>
      </w:r>
      <w:r w:rsidR="00680AEE" w:rsidRPr="00680AEE">
        <w:rPr>
          <w:b/>
          <w:color w:val="FF0000"/>
        </w:rPr>
        <w:t>(the VATP Guidelines)</w:t>
      </w:r>
    </w:p>
    <w:p w:rsidR="008E54F8" w:rsidRDefault="008E54F8" w:rsidP="004B7C89">
      <w:pPr>
        <w:snapToGrid w:val="0"/>
        <w:spacing w:after="0" w:line="240" w:lineRule="auto"/>
        <w:jc w:val="both"/>
      </w:pPr>
    </w:p>
    <w:p w:rsidR="00E52306" w:rsidRDefault="00680AEE" w:rsidP="004B7C89">
      <w:pPr>
        <w:snapToGrid w:val="0"/>
        <w:spacing w:after="0" w:line="240" w:lineRule="auto"/>
        <w:jc w:val="both"/>
      </w:pPr>
      <w:r>
        <w:t>T</w:t>
      </w:r>
      <w:r w:rsidR="00C40D85">
        <w:t>he</w:t>
      </w:r>
      <w:r>
        <w:t xml:space="preserve"> </w:t>
      </w:r>
      <w:hyperlink r:id="rId16" w:history="1">
        <w:r w:rsidRPr="006D53E2">
          <w:rPr>
            <w:rStyle w:val="a3"/>
          </w:rPr>
          <w:t xml:space="preserve">Guidelines for </w:t>
        </w:r>
        <w:r w:rsidRPr="006D53E2">
          <w:rPr>
            <w:rStyle w:val="a3"/>
            <w:rFonts w:ascii="Calibri" w:eastAsia="Microsoft JhengHei" w:hAnsi="Calibri" w:cs="Calibri"/>
            <w:shd w:val="clear" w:color="auto" w:fill="FFFFFF"/>
          </w:rPr>
          <w:t>Virtual Asset Trading Platform Operators</w:t>
        </w:r>
      </w:hyperlink>
      <w:r w:rsidR="00C40D85">
        <w:t xml:space="preserve"> </w:t>
      </w:r>
      <w:r w:rsidR="004A0EAA">
        <w:t xml:space="preserve">apply to all centralised virtual asset trading platform operators </w:t>
      </w:r>
      <w:r w:rsidR="00D00DC9">
        <w:t xml:space="preserve">licensed under the AMLO and the SFO. They </w:t>
      </w:r>
      <w:r w:rsidR="00A009BE" w:rsidRPr="00724568">
        <w:t>are based on</w:t>
      </w:r>
      <w:r w:rsidR="00903F8C" w:rsidRPr="00724568">
        <w:t xml:space="preserve">, and </w:t>
      </w:r>
      <w:r w:rsidR="00DB5E3C">
        <w:t>replac</w:t>
      </w:r>
      <w:r w:rsidR="00903F8C" w:rsidRPr="00724568">
        <w:t>e,</w:t>
      </w:r>
      <w:r w:rsidR="00A009BE" w:rsidRPr="00E16BD9">
        <w:t xml:space="preserve"> </w:t>
      </w:r>
      <w:r>
        <w:t xml:space="preserve">the </w:t>
      </w:r>
      <w:r w:rsidR="00A009BE" w:rsidRPr="00E16BD9">
        <w:t>existing regulatory requirements applicable to SFO-licensed platform operators</w:t>
      </w:r>
      <w:r w:rsidR="00DC5F66" w:rsidRPr="00E16BD9">
        <w:t xml:space="preserve"> (</w:t>
      </w:r>
      <w:r>
        <w:t>in particular</w:t>
      </w:r>
      <w:r w:rsidR="00DC5F66" w:rsidRPr="00E16BD9">
        <w:t>, the Terms and Conditions for V</w:t>
      </w:r>
      <w:r>
        <w:t xml:space="preserve">irtual </w:t>
      </w:r>
      <w:r w:rsidR="00DC5F66" w:rsidRPr="00E16BD9">
        <w:t>A</w:t>
      </w:r>
      <w:r>
        <w:t>sset</w:t>
      </w:r>
      <w:r w:rsidR="00DC5F66" w:rsidRPr="00E16BD9">
        <w:t xml:space="preserve"> Trading Platform Operations</w:t>
      </w:r>
      <w:r w:rsidR="001A56AD" w:rsidRPr="00E16BD9">
        <w:t>)</w:t>
      </w:r>
      <w:r>
        <w:t>. The new VATP</w:t>
      </w:r>
      <w:r w:rsidR="00533E5C">
        <w:t xml:space="preserve"> G</w:t>
      </w:r>
      <w:r w:rsidR="00903F8C" w:rsidRPr="00E16BD9">
        <w:t>uidelines contain</w:t>
      </w:r>
      <w:r w:rsidR="00903F8C" w:rsidRPr="00D217CC">
        <w:t xml:space="preserve"> requirements</w:t>
      </w:r>
      <w:r w:rsidR="002F4FD7">
        <w:t xml:space="preserve"> </w:t>
      </w:r>
      <w:r w:rsidR="00533E5C">
        <w:t>cover</w:t>
      </w:r>
      <w:r w:rsidR="002F4FD7">
        <w:t xml:space="preserve">ing </w:t>
      </w:r>
      <w:r w:rsidR="00533E5C">
        <w:t xml:space="preserve">(among others) </w:t>
      </w:r>
      <w:r w:rsidR="00903F8C" w:rsidRPr="00D217CC">
        <w:t>ensuring safe custody of client money and virtual assets (including secure generation of c</w:t>
      </w:r>
      <w:r w:rsidR="00BA0BD5" w:rsidRPr="00D217CC">
        <w:t>r</w:t>
      </w:r>
      <w:r w:rsidR="00903F8C" w:rsidRPr="00D217CC">
        <w:t>yptographic seeds and keys); Know-Your-Client obligations; management of AML/CFT risks through appropriate policies; management of conflicts</w:t>
      </w:r>
      <w:r w:rsidR="00533E5C">
        <w:t xml:space="preserve"> of interest</w:t>
      </w:r>
      <w:r w:rsidR="00903F8C" w:rsidRPr="00D217CC">
        <w:t>; admission criteria for virtual assets, prevention of market manipulati</w:t>
      </w:r>
      <w:r w:rsidR="002F4FD7">
        <w:t>on</w:t>
      </w:r>
      <w:r w:rsidR="00903F8C" w:rsidRPr="00D217CC">
        <w:t xml:space="preserve"> and abusive activities, risk management and </w:t>
      </w:r>
      <w:r w:rsidR="00903F8C" w:rsidRPr="00D217CC">
        <w:lastRenderedPageBreak/>
        <w:t>proper accounting and audit functions.</w:t>
      </w:r>
      <w:r w:rsidR="00D00DC9">
        <w:t xml:space="preserve"> The following summarises the outcome of the various matters </w:t>
      </w:r>
      <w:r w:rsidR="005D5334">
        <w:t>on which the Consultation Paper sought views.</w:t>
      </w:r>
      <w:r w:rsidR="00903F8C" w:rsidRPr="00752AB0">
        <w:rPr>
          <w:i/>
        </w:rPr>
        <w:t xml:space="preserve"> </w:t>
      </w:r>
    </w:p>
    <w:p w:rsidR="00B673A7" w:rsidRDefault="00B673A7" w:rsidP="00490707">
      <w:pPr>
        <w:snapToGrid w:val="0"/>
        <w:spacing w:after="0" w:line="240" w:lineRule="auto"/>
        <w:jc w:val="both"/>
      </w:pPr>
    </w:p>
    <w:p w:rsidR="00B17B0E" w:rsidRPr="008A630A" w:rsidRDefault="00C66D91" w:rsidP="00201A0B">
      <w:pPr>
        <w:pStyle w:val="a4"/>
        <w:numPr>
          <w:ilvl w:val="0"/>
          <w:numId w:val="5"/>
        </w:numPr>
        <w:snapToGrid w:val="0"/>
        <w:spacing w:after="0" w:line="240" w:lineRule="auto"/>
        <w:ind w:left="426" w:hanging="426"/>
        <w:jc w:val="both"/>
        <w:rPr>
          <w:color w:val="FF0000"/>
        </w:rPr>
      </w:pPr>
      <w:r w:rsidRPr="008A630A">
        <w:rPr>
          <w:color w:val="FF0000"/>
        </w:rPr>
        <w:t>R</w:t>
      </w:r>
      <w:r w:rsidR="00201A0B" w:rsidRPr="008A630A">
        <w:rPr>
          <w:color w:val="FF0000"/>
        </w:rPr>
        <w:t>etail A</w:t>
      </w:r>
      <w:r w:rsidR="00950151" w:rsidRPr="008A630A">
        <w:rPr>
          <w:color w:val="FF0000"/>
        </w:rPr>
        <w:t xml:space="preserve">ccess </w:t>
      </w:r>
      <w:r w:rsidR="00201A0B" w:rsidRPr="008A630A">
        <w:rPr>
          <w:color w:val="FF0000"/>
        </w:rPr>
        <w:t>to</w:t>
      </w:r>
      <w:r w:rsidR="00950151" w:rsidRPr="008A630A">
        <w:rPr>
          <w:color w:val="FF0000"/>
        </w:rPr>
        <w:t xml:space="preserve"> </w:t>
      </w:r>
      <w:r w:rsidR="0079175E" w:rsidRPr="008A630A">
        <w:rPr>
          <w:color w:val="FF0000"/>
        </w:rPr>
        <w:t xml:space="preserve">Hong Kong </w:t>
      </w:r>
      <w:r w:rsidR="00201A0B" w:rsidRPr="008A630A">
        <w:rPr>
          <w:color w:val="FF0000"/>
        </w:rPr>
        <w:t>Licensed VA Trading P</w:t>
      </w:r>
      <w:r w:rsidR="00950151" w:rsidRPr="008A630A">
        <w:rPr>
          <w:color w:val="FF0000"/>
        </w:rPr>
        <w:t>latforms</w:t>
      </w:r>
    </w:p>
    <w:p w:rsidR="00490707" w:rsidRDefault="00490707" w:rsidP="00490707">
      <w:pPr>
        <w:snapToGrid w:val="0"/>
        <w:spacing w:after="0" w:line="240" w:lineRule="auto"/>
        <w:jc w:val="both"/>
        <w:rPr>
          <w:b/>
          <w:sz w:val="26"/>
          <w:szCs w:val="26"/>
        </w:rPr>
      </w:pPr>
    </w:p>
    <w:p w:rsidR="00C97458" w:rsidRPr="00C97458" w:rsidRDefault="00201A0B" w:rsidP="00490707">
      <w:pPr>
        <w:snapToGrid w:val="0"/>
        <w:spacing w:after="0" w:line="240" w:lineRule="auto"/>
        <w:jc w:val="both"/>
      </w:pPr>
      <w:r>
        <w:t>SFC-lic</w:t>
      </w:r>
      <w:r w:rsidR="004F5B33">
        <w:t>ens</w:t>
      </w:r>
      <w:r w:rsidR="00D02510">
        <w:t>ed VA trading platform operator</w:t>
      </w:r>
      <w:r w:rsidR="004F5B33">
        <w:t xml:space="preserve">s </w:t>
      </w:r>
      <w:r w:rsidR="00D02510">
        <w:t xml:space="preserve">will </w:t>
      </w:r>
      <w:r w:rsidR="004F5B33">
        <w:t>be allowed to provide services to retail investors</w:t>
      </w:r>
      <w:r w:rsidR="00557CE4">
        <w:t xml:space="preserve"> provided that they comply with</w:t>
      </w:r>
      <w:r w:rsidR="004F5B33">
        <w:t xml:space="preserve"> </w:t>
      </w:r>
      <w:r w:rsidR="00D02510">
        <w:t xml:space="preserve">a number of </w:t>
      </w:r>
      <w:r w:rsidR="004F5B33">
        <w:t>investor protection measures</w:t>
      </w:r>
      <w:r w:rsidR="00557CE4">
        <w:t xml:space="preserve"> covering client onboarding, platform governance, disclosure and token due diligence and admission</w:t>
      </w:r>
      <w:r>
        <w:t>. Retail investors are investors other than institutional and qualified corporate professional investors</w:t>
      </w:r>
      <w:r w:rsidR="00C97458">
        <w:t xml:space="preserve"> which are</w:t>
      </w:r>
      <w:r>
        <w:t xml:space="preserve"> defined in Schedule 1 to the VATP Guidelines</w:t>
      </w:r>
      <w:r w:rsidR="00C97458">
        <w:t xml:space="preserve"> as follows:</w:t>
      </w:r>
    </w:p>
    <w:p w:rsidR="00C97458" w:rsidRPr="00C97458" w:rsidRDefault="00C97458" w:rsidP="00490707">
      <w:pPr>
        <w:snapToGrid w:val="0"/>
        <w:spacing w:after="0" w:line="240" w:lineRule="auto"/>
        <w:jc w:val="both"/>
      </w:pPr>
    </w:p>
    <w:p w:rsidR="004F5B33" w:rsidRDefault="00C13C4D" w:rsidP="00203ED5">
      <w:pPr>
        <w:pStyle w:val="a4"/>
        <w:numPr>
          <w:ilvl w:val="0"/>
          <w:numId w:val="15"/>
        </w:numPr>
        <w:snapToGrid w:val="0"/>
        <w:spacing w:after="0" w:line="240" w:lineRule="auto"/>
        <w:ind w:left="851" w:hanging="425"/>
        <w:jc w:val="both"/>
      </w:pPr>
      <w:r>
        <w:t>a</w:t>
      </w:r>
      <w:r w:rsidR="00C97458">
        <w:t>n i</w:t>
      </w:r>
      <w:r w:rsidR="00C97458" w:rsidRPr="00C97458">
        <w:t>nstitutional professional inves</w:t>
      </w:r>
      <w:r w:rsidR="008A630A">
        <w:t>tor</w:t>
      </w:r>
      <w:r w:rsidR="00C97458">
        <w:t xml:space="preserve"> is an investor</w:t>
      </w:r>
      <w:r w:rsidR="00C97458" w:rsidRPr="00C97458">
        <w:t xml:space="preserve"> </w:t>
      </w:r>
      <w:r w:rsidR="00C97458">
        <w:t>within paragraphs (a) to (i) of the definition of “professional investor” in section 1 of Part 1 of Schedule 1 to the SFO;</w:t>
      </w:r>
    </w:p>
    <w:p w:rsidR="00C97458" w:rsidRDefault="00C97458" w:rsidP="00C97458">
      <w:pPr>
        <w:pStyle w:val="a4"/>
        <w:snapToGrid w:val="0"/>
        <w:spacing w:after="0" w:line="240" w:lineRule="auto"/>
        <w:ind w:left="822"/>
        <w:jc w:val="both"/>
      </w:pPr>
    </w:p>
    <w:p w:rsidR="0005255C" w:rsidRDefault="00C13C4D" w:rsidP="002500E9">
      <w:pPr>
        <w:pStyle w:val="a4"/>
        <w:numPr>
          <w:ilvl w:val="0"/>
          <w:numId w:val="15"/>
        </w:numPr>
        <w:snapToGrid w:val="0"/>
        <w:spacing w:after="0" w:line="240" w:lineRule="auto"/>
        <w:ind w:left="851" w:hanging="425"/>
        <w:jc w:val="both"/>
      </w:pPr>
      <w:r>
        <w:t xml:space="preserve">a </w:t>
      </w:r>
      <w:r w:rsidR="00C97458">
        <w:t>qualified professional investor is a trust corporation, corporation or partnership within sections 4, 6 and 7 of the Securities and Futures (Professional Investor) Rules</w:t>
      </w:r>
      <w:r w:rsidR="0005255C">
        <w:t xml:space="preserve"> which the VA trading platform operator </w:t>
      </w:r>
      <w:r>
        <w:t xml:space="preserve">has assessed </w:t>
      </w:r>
      <w:r w:rsidR="0005255C">
        <w:t>to be a qualified professional investor. To make this assessment, the platform operator needs to be reasonably satisfied that the investor meets the following three criteria:</w:t>
      </w:r>
    </w:p>
    <w:p w:rsidR="0005255C" w:rsidRDefault="0005255C" w:rsidP="0005255C">
      <w:pPr>
        <w:pStyle w:val="a4"/>
      </w:pPr>
    </w:p>
    <w:p w:rsidR="00C13C4D" w:rsidRDefault="00C13C4D" w:rsidP="00203ED5">
      <w:pPr>
        <w:pStyle w:val="a4"/>
        <w:numPr>
          <w:ilvl w:val="0"/>
          <w:numId w:val="16"/>
        </w:numPr>
        <w:snapToGrid w:val="0"/>
        <w:spacing w:after="0" w:line="240" w:lineRule="auto"/>
        <w:ind w:left="1276" w:hanging="425"/>
        <w:jc w:val="both"/>
      </w:pPr>
      <w:r>
        <w:t>the corporate professional investor has the appropriate corporate structure and investment process and controls (</w:t>
      </w:r>
      <w:proofErr w:type="gramStart"/>
      <w:r>
        <w:t>i.e</w:t>
      </w:r>
      <w:r w:rsidR="00862EC4">
        <w:t>.</w:t>
      </w:r>
      <w:proofErr w:type="gramEnd"/>
      <w:r>
        <w:t xml:space="preserve"> how investment decisions are made, including whether the corporation has a specialised treasury or other function responsible for making investment decisions);</w:t>
      </w:r>
    </w:p>
    <w:p w:rsidR="00C13C4D" w:rsidRDefault="00C13C4D" w:rsidP="00C13C4D">
      <w:pPr>
        <w:pStyle w:val="a4"/>
        <w:snapToGrid w:val="0"/>
        <w:spacing w:after="0" w:line="240" w:lineRule="auto"/>
        <w:ind w:left="1211"/>
        <w:jc w:val="both"/>
      </w:pPr>
      <w:r>
        <w:t xml:space="preserve"> </w:t>
      </w:r>
    </w:p>
    <w:p w:rsidR="00C13C4D" w:rsidRDefault="00C13C4D" w:rsidP="00C13C4D">
      <w:pPr>
        <w:pStyle w:val="a4"/>
        <w:numPr>
          <w:ilvl w:val="0"/>
          <w:numId w:val="16"/>
        </w:numPr>
        <w:snapToGrid w:val="0"/>
        <w:spacing w:after="0" w:line="240" w:lineRule="auto"/>
        <w:jc w:val="both"/>
      </w:pPr>
      <w:r>
        <w:t xml:space="preserve">the person(s) responsible for making investment decisions on behalf of the corporate professional investor has(have) sufficient investment background (including the investment experience of such person(s)); and </w:t>
      </w:r>
    </w:p>
    <w:p w:rsidR="00C13C4D" w:rsidRDefault="00C13C4D" w:rsidP="00C13C4D">
      <w:pPr>
        <w:pStyle w:val="a4"/>
      </w:pPr>
    </w:p>
    <w:p w:rsidR="00C13C4D" w:rsidRDefault="00C13C4D" w:rsidP="00C13C4D">
      <w:pPr>
        <w:pStyle w:val="a4"/>
        <w:numPr>
          <w:ilvl w:val="0"/>
          <w:numId w:val="16"/>
        </w:numPr>
        <w:snapToGrid w:val="0"/>
        <w:spacing w:after="0" w:line="240" w:lineRule="auto"/>
        <w:jc w:val="both"/>
      </w:pPr>
      <w:r>
        <w:t>the corporate professional investor is aware of the risks involved, which is considered in terms of the person(s) responsible for making investment decisions.</w:t>
      </w:r>
      <w:r w:rsidR="005D5334">
        <w:rPr>
          <w:rStyle w:val="a7"/>
        </w:rPr>
        <w:footnoteReference w:id="2"/>
      </w:r>
      <w:r>
        <w:t xml:space="preserve"> </w:t>
      </w:r>
    </w:p>
    <w:p w:rsidR="00C13C4D" w:rsidRDefault="00C13C4D" w:rsidP="00C13C4D">
      <w:pPr>
        <w:snapToGrid w:val="0"/>
        <w:spacing w:after="0" w:line="240" w:lineRule="auto"/>
        <w:ind w:left="426" w:firstLine="425"/>
        <w:jc w:val="both"/>
      </w:pPr>
    </w:p>
    <w:p w:rsidR="00862EC4" w:rsidRDefault="00C737FB" w:rsidP="00862EC4">
      <w:pPr>
        <w:snapToGrid w:val="0"/>
        <w:spacing w:after="0" w:line="240" w:lineRule="auto"/>
        <w:ind w:left="851"/>
        <w:jc w:val="both"/>
      </w:pPr>
      <w:r>
        <w:t xml:space="preserve">The </w:t>
      </w:r>
      <w:r w:rsidR="00C13C4D">
        <w:t xml:space="preserve">assessment </w:t>
      </w:r>
      <w:r>
        <w:t xml:space="preserve">of a qualified corporate professional investor </w:t>
      </w:r>
      <w:r w:rsidR="005D5334">
        <w:t xml:space="preserve">must </w:t>
      </w:r>
      <w:r w:rsidR="00C13C4D">
        <w:t>be in writing</w:t>
      </w:r>
      <w:r>
        <w:t xml:space="preserve"> and platform operators</w:t>
      </w:r>
      <w:r w:rsidR="00C13C4D">
        <w:t xml:space="preserve"> </w:t>
      </w:r>
      <w:r>
        <w:t>should keep r</w:t>
      </w:r>
      <w:r w:rsidR="00C13C4D">
        <w:t>ecords of all relevant information and documents obtained in the assessment so as to demonstrate the basis of the assessment.</w:t>
      </w:r>
      <w:r w:rsidR="005D5334">
        <w:rPr>
          <w:rStyle w:val="a7"/>
        </w:rPr>
        <w:footnoteReference w:id="3"/>
      </w:r>
      <w:r w:rsidR="00C13C4D">
        <w:t xml:space="preserve"> </w:t>
      </w:r>
      <w:r>
        <w:t>Platform o</w:t>
      </w:r>
      <w:r w:rsidR="00C13C4D">
        <w:t>perator</w:t>
      </w:r>
      <w:r>
        <w:t>s need to</w:t>
      </w:r>
      <w:r w:rsidR="00C13C4D">
        <w:t xml:space="preserve"> undertake a new assessment </w:t>
      </w:r>
      <w:r>
        <w:t xml:space="preserve">if </w:t>
      </w:r>
      <w:r w:rsidR="00C13C4D">
        <w:t>a corporate professional investor has ceased to trade i</w:t>
      </w:r>
      <w:r>
        <w:t>n virtual assets for more than two years.</w:t>
      </w:r>
      <w:r w:rsidR="005D5334">
        <w:rPr>
          <w:rStyle w:val="a7"/>
        </w:rPr>
        <w:footnoteReference w:id="4"/>
      </w:r>
      <w:r w:rsidR="00C97458">
        <w:t xml:space="preserve"> </w:t>
      </w:r>
    </w:p>
    <w:p w:rsidR="00862EC4" w:rsidRDefault="00862EC4" w:rsidP="00862EC4">
      <w:pPr>
        <w:snapToGrid w:val="0"/>
        <w:spacing w:after="0" w:line="240" w:lineRule="auto"/>
        <w:jc w:val="both"/>
      </w:pPr>
    </w:p>
    <w:p w:rsidR="00862EC4" w:rsidRPr="00C97458" w:rsidRDefault="00862EC4" w:rsidP="00862EC4">
      <w:pPr>
        <w:snapToGrid w:val="0"/>
        <w:spacing w:after="0" w:line="240" w:lineRule="auto"/>
        <w:jc w:val="both"/>
      </w:pPr>
      <w:r>
        <w:t xml:space="preserve">Individual professional investors </w:t>
      </w:r>
      <w:r w:rsidR="00370914">
        <w:t>(as defined in section 5 of the Securities and Futures (Professional Investor) Rules) are within the definition of retail investors and must be afforded the same protections as other retail investors.</w:t>
      </w:r>
    </w:p>
    <w:p w:rsidR="0037399B" w:rsidRPr="00C97458" w:rsidRDefault="0037399B" w:rsidP="00490707">
      <w:pPr>
        <w:snapToGrid w:val="0"/>
        <w:spacing w:after="0" w:line="240" w:lineRule="auto"/>
        <w:jc w:val="both"/>
        <w:rPr>
          <w:sz w:val="26"/>
          <w:szCs w:val="26"/>
        </w:rPr>
      </w:pPr>
    </w:p>
    <w:p w:rsidR="005A1C3E" w:rsidRPr="00201A0B" w:rsidRDefault="00C87614" w:rsidP="00201A0B">
      <w:pPr>
        <w:pStyle w:val="a4"/>
        <w:numPr>
          <w:ilvl w:val="0"/>
          <w:numId w:val="4"/>
        </w:numPr>
        <w:snapToGrid w:val="0"/>
        <w:spacing w:after="0" w:line="240" w:lineRule="auto"/>
        <w:ind w:left="426" w:hanging="426"/>
        <w:jc w:val="both"/>
        <w:rPr>
          <w:b/>
        </w:rPr>
      </w:pPr>
      <w:r w:rsidRPr="00201A0B">
        <w:rPr>
          <w:b/>
        </w:rPr>
        <w:t>R</w:t>
      </w:r>
      <w:r w:rsidR="00AC05CD" w:rsidRPr="00201A0B">
        <w:rPr>
          <w:b/>
        </w:rPr>
        <w:t xml:space="preserve">equirements </w:t>
      </w:r>
      <w:r w:rsidR="00862EC4">
        <w:rPr>
          <w:b/>
        </w:rPr>
        <w:t>Prior to O</w:t>
      </w:r>
      <w:r w:rsidR="005A1C3E" w:rsidRPr="00201A0B">
        <w:rPr>
          <w:b/>
        </w:rPr>
        <w:t xml:space="preserve">nboarding </w:t>
      </w:r>
      <w:r w:rsidR="00862EC4">
        <w:rPr>
          <w:b/>
        </w:rPr>
        <w:t>Retail I</w:t>
      </w:r>
      <w:r w:rsidR="00CB1748" w:rsidRPr="00201A0B">
        <w:rPr>
          <w:b/>
        </w:rPr>
        <w:t>nvestors</w:t>
      </w:r>
    </w:p>
    <w:p w:rsidR="00490707" w:rsidRDefault="00490707" w:rsidP="00490707">
      <w:pPr>
        <w:snapToGrid w:val="0"/>
        <w:spacing w:after="0" w:line="240" w:lineRule="auto"/>
        <w:jc w:val="both"/>
        <w:rPr>
          <w:b/>
        </w:rPr>
      </w:pPr>
    </w:p>
    <w:p w:rsidR="005557AF" w:rsidRDefault="005557AF" w:rsidP="005557AF">
      <w:pPr>
        <w:snapToGrid w:val="0"/>
        <w:spacing w:after="0" w:line="240" w:lineRule="auto"/>
        <w:ind w:firstLine="426"/>
        <w:jc w:val="both"/>
        <w:rPr>
          <w:b/>
          <w:i/>
        </w:rPr>
      </w:pPr>
      <w:r>
        <w:rPr>
          <w:b/>
          <w:i/>
        </w:rPr>
        <w:t>Knowledge assessment</w:t>
      </w:r>
    </w:p>
    <w:p w:rsidR="005557AF" w:rsidRDefault="005557AF" w:rsidP="005557AF">
      <w:pPr>
        <w:snapToGrid w:val="0"/>
        <w:spacing w:after="0" w:line="240" w:lineRule="auto"/>
        <w:jc w:val="both"/>
      </w:pPr>
    </w:p>
    <w:p w:rsidR="005557AF" w:rsidRDefault="005557AF" w:rsidP="00350FA0">
      <w:pPr>
        <w:snapToGrid w:val="0"/>
        <w:spacing w:after="0" w:line="240" w:lineRule="auto"/>
        <w:ind w:left="426" w:hanging="426"/>
        <w:jc w:val="both"/>
      </w:pPr>
      <w:r>
        <w:tab/>
        <w:t xml:space="preserve">Before opening an account for retail investors, trading platform </w:t>
      </w:r>
      <w:r w:rsidR="006F334B">
        <w:t xml:space="preserve">operators are required to assess their knowledge of virtual assets and of the risks </w:t>
      </w:r>
      <w:r w:rsidR="00350FA0">
        <w:t>of investing in them.</w:t>
      </w:r>
      <w:r w:rsidR="00350FA0">
        <w:rPr>
          <w:rStyle w:val="a7"/>
        </w:rPr>
        <w:footnoteReference w:id="5"/>
      </w:r>
      <w:r w:rsidR="00350FA0">
        <w:t xml:space="preserve"> Trading platform operators can only open an account for or provide services to a retail investor who lacks knowledge of virtual assets if they have provided adequate </w:t>
      </w:r>
      <w:r w:rsidR="00350FA0">
        <w:lastRenderedPageBreak/>
        <w:t>training to the investor</w:t>
      </w:r>
      <w:r w:rsidR="002B3E02">
        <w:t>. The VATP Guidelines give the following non-exhaustive criteria for assessing whether a retail investor has knowledge of virtual assets:</w:t>
      </w:r>
    </w:p>
    <w:p w:rsidR="002B3E02" w:rsidRDefault="002B3E02" w:rsidP="00350FA0">
      <w:pPr>
        <w:snapToGrid w:val="0"/>
        <w:spacing w:after="0" w:line="240" w:lineRule="auto"/>
        <w:ind w:left="426" w:hanging="426"/>
        <w:jc w:val="both"/>
      </w:pPr>
    </w:p>
    <w:p w:rsidR="002B3E02" w:rsidRDefault="002B3E02" w:rsidP="00203ED5">
      <w:pPr>
        <w:pStyle w:val="a4"/>
        <w:numPr>
          <w:ilvl w:val="0"/>
          <w:numId w:val="18"/>
        </w:numPr>
        <w:tabs>
          <w:tab w:val="left" w:pos="851"/>
        </w:tabs>
        <w:snapToGrid w:val="0"/>
        <w:spacing w:after="0" w:line="240" w:lineRule="auto"/>
        <w:ind w:left="851" w:hanging="425"/>
        <w:jc w:val="both"/>
      </w:pPr>
      <w:r>
        <w:t xml:space="preserve">whether the investor has undergone training or attended courses on virtual assets; </w:t>
      </w:r>
    </w:p>
    <w:p w:rsidR="002B3E02" w:rsidRDefault="002B3E02" w:rsidP="00203ED5">
      <w:pPr>
        <w:pStyle w:val="a4"/>
        <w:numPr>
          <w:ilvl w:val="0"/>
          <w:numId w:val="18"/>
        </w:numPr>
        <w:tabs>
          <w:tab w:val="left" w:pos="851"/>
        </w:tabs>
        <w:snapToGrid w:val="0"/>
        <w:spacing w:after="0" w:line="240" w:lineRule="auto"/>
        <w:ind w:left="851" w:hanging="425"/>
        <w:jc w:val="both"/>
      </w:pPr>
      <w:r>
        <w:t xml:space="preserve">whether the investor has current or previous work experience related to virtual assets; or </w:t>
      </w:r>
    </w:p>
    <w:p w:rsidR="002B3E02" w:rsidRPr="005557AF" w:rsidRDefault="002B3E02" w:rsidP="00203ED5">
      <w:pPr>
        <w:pStyle w:val="a4"/>
        <w:numPr>
          <w:ilvl w:val="0"/>
          <w:numId w:val="18"/>
        </w:numPr>
        <w:tabs>
          <w:tab w:val="left" w:pos="851"/>
        </w:tabs>
        <w:snapToGrid w:val="0"/>
        <w:spacing w:after="0" w:line="240" w:lineRule="auto"/>
        <w:ind w:left="851" w:hanging="425"/>
        <w:jc w:val="both"/>
      </w:pPr>
      <w:r>
        <w:t>whether the investor has prior trading experience in virtual assets.</w:t>
      </w:r>
    </w:p>
    <w:p w:rsidR="005557AF" w:rsidRDefault="005557AF" w:rsidP="00490707">
      <w:pPr>
        <w:snapToGrid w:val="0"/>
        <w:spacing w:after="0" w:line="240" w:lineRule="auto"/>
        <w:jc w:val="both"/>
      </w:pPr>
      <w:r>
        <w:tab/>
      </w:r>
    </w:p>
    <w:p w:rsidR="002B3E02" w:rsidRPr="002B3E02" w:rsidRDefault="002B3E02" w:rsidP="00350FA0">
      <w:pPr>
        <w:snapToGrid w:val="0"/>
        <w:spacing w:after="0" w:line="240" w:lineRule="auto"/>
        <w:ind w:left="426"/>
        <w:jc w:val="both"/>
        <w:rPr>
          <w:b/>
          <w:i/>
        </w:rPr>
      </w:pPr>
      <w:r>
        <w:rPr>
          <w:b/>
          <w:i/>
        </w:rPr>
        <w:t>Client’s Suitability for Trading Virtual Assets</w:t>
      </w:r>
    </w:p>
    <w:p w:rsidR="002B3E02" w:rsidRDefault="002B3E02" w:rsidP="00350FA0">
      <w:pPr>
        <w:snapToGrid w:val="0"/>
        <w:spacing w:after="0" w:line="240" w:lineRule="auto"/>
        <w:ind w:left="426"/>
        <w:jc w:val="both"/>
      </w:pPr>
    </w:p>
    <w:p w:rsidR="00C87614" w:rsidRDefault="00533E5C" w:rsidP="00350FA0">
      <w:pPr>
        <w:snapToGrid w:val="0"/>
        <w:spacing w:after="0" w:line="240" w:lineRule="auto"/>
        <w:ind w:left="426"/>
        <w:jc w:val="both"/>
      </w:pPr>
      <w:r>
        <w:t>As part of the Know-Your-Client p</w:t>
      </w:r>
      <w:r w:rsidR="00862EC4">
        <w:t xml:space="preserve">rocedures, </w:t>
      </w:r>
      <w:r w:rsidR="00FE1A1A">
        <w:t xml:space="preserve">Hong Kong </w:t>
      </w:r>
      <w:r w:rsidR="004F5B33">
        <w:t xml:space="preserve">VA trading </w:t>
      </w:r>
      <w:r w:rsidR="00290273" w:rsidRPr="00290273">
        <w:t>platform operator</w:t>
      </w:r>
      <w:r w:rsidR="00D03DC3">
        <w:t>s</w:t>
      </w:r>
      <w:r w:rsidR="00290273">
        <w:t xml:space="preserve"> offering services to </w:t>
      </w:r>
      <w:r w:rsidR="00290273" w:rsidRPr="00A30DBD">
        <w:t>retail investor</w:t>
      </w:r>
      <w:r w:rsidR="000C65E8" w:rsidRPr="00A30DBD">
        <w:t>s</w:t>
      </w:r>
      <w:r w:rsidR="000033F7">
        <w:t xml:space="preserve"> </w:t>
      </w:r>
      <w:r w:rsidR="00557CE4">
        <w:t xml:space="preserve">are required to </w:t>
      </w:r>
      <w:r w:rsidR="00A15526">
        <w:t xml:space="preserve">ensure </w:t>
      </w:r>
      <w:r w:rsidR="00C87614">
        <w:t xml:space="preserve">the </w:t>
      </w:r>
      <w:r w:rsidR="00A15526">
        <w:t xml:space="preserve">suitability of </w:t>
      </w:r>
      <w:r w:rsidR="00C87614">
        <w:t xml:space="preserve">their services for the particular client. </w:t>
      </w:r>
      <w:r w:rsidR="00557CE4">
        <w:t xml:space="preserve">Specifically, </w:t>
      </w:r>
      <w:r w:rsidR="00C87614">
        <w:t>VA trading platform operators are required to:</w:t>
      </w:r>
    </w:p>
    <w:p w:rsidR="00C87614" w:rsidRDefault="00C87614" w:rsidP="00490707">
      <w:pPr>
        <w:snapToGrid w:val="0"/>
        <w:spacing w:after="0" w:line="240" w:lineRule="auto"/>
        <w:jc w:val="both"/>
      </w:pPr>
    </w:p>
    <w:p w:rsidR="00416EC1" w:rsidRDefault="00C87614" w:rsidP="00203ED5">
      <w:pPr>
        <w:pStyle w:val="a4"/>
        <w:numPr>
          <w:ilvl w:val="0"/>
          <w:numId w:val="14"/>
        </w:numPr>
        <w:snapToGrid w:val="0"/>
        <w:spacing w:after="0" w:line="240" w:lineRule="auto"/>
        <w:ind w:left="851" w:hanging="425"/>
        <w:jc w:val="both"/>
      </w:pPr>
      <w:r>
        <w:t>obtain from their r</w:t>
      </w:r>
      <w:r w:rsidR="00416EC1">
        <w:t>etail clients information regarding their financial situation and investment experience and objectives;</w:t>
      </w:r>
      <w:r w:rsidR="00416EC1">
        <w:rPr>
          <w:rStyle w:val="a7"/>
        </w:rPr>
        <w:footnoteReference w:id="6"/>
      </w:r>
      <w:r w:rsidR="00416EC1">
        <w:t xml:space="preserve"> and</w:t>
      </w:r>
    </w:p>
    <w:p w:rsidR="00416EC1" w:rsidRDefault="00416EC1" w:rsidP="00416EC1">
      <w:pPr>
        <w:pStyle w:val="a4"/>
        <w:snapToGrid w:val="0"/>
        <w:spacing w:after="0" w:line="240" w:lineRule="auto"/>
        <w:ind w:left="1146"/>
        <w:jc w:val="both"/>
      </w:pPr>
    </w:p>
    <w:p w:rsidR="00A15526" w:rsidRDefault="00290273" w:rsidP="00203ED5">
      <w:pPr>
        <w:pStyle w:val="a4"/>
        <w:numPr>
          <w:ilvl w:val="0"/>
          <w:numId w:val="14"/>
        </w:numPr>
        <w:snapToGrid w:val="0"/>
        <w:spacing w:after="0" w:line="240" w:lineRule="auto"/>
        <w:ind w:left="851" w:hanging="425"/>
        <w:jc w:val="both"/>
      </w:pPr>
      <w:r w:rsidRPr="00290273">
        <w:t>assess the c</w:t>
      </w:r>
      <w:r w:rsidR="00416EC1">
        <w:t>lient’s risk tolerance level, determine</w:t>
      </w:r>
      <w:r w:rsidR="00335373">
        <w:t xml:space="preserve"> </w:t>
      </w:r>
      <w:r w:rsidR="00416EC1">
        <w:t xml:space="preserve">the client’s risk profile and assess </w:t>
      </w:r>
      <w:r w:rsidR="00180AC7">
        <w:t>whether they are suitable to participate</w:t>
      </w:r>
      <w:r w:rsidRPr="00290273">
        <w:t xml:space="preserve"> in virtual asset trading</w:t>
      </w:r>
      <w:r w:rsidR="00F41FCB">
        <w:t>.</w:t>
      </w:r>
      <w:r w:rsidR="008D7B3A">
        <w:rPr>
          <w:rStyle w:val="a7"/>
        </w:rPr>
        <w:footnoteReference w:id="7"/>
      </w:r>
      <w:r w:rsidR="008D7B3A">
        <w:t xml:space="preserve"> </w:t>
      </w:r>
    </w:p>
    <w:p w:rsidR="00F41FCB" w:rsidRDefault="00F41FCB" w:rsidP="00862EC4">
      <w:pPr>
        <w:snapToGrid w:val="0"/>
        <w:spacing w:after="0" w:line="240" w:lineRule="auto"/>
        <w:ind w:left="426"/>
        <w:jc w:val="both"/>
      </w:pPr>
    </w:p>
    <w:p w:rsidR="00862EC4" w:rsidRPr="00862EC4" w:rsidRDefault="00862EC4" w:rsidP="00862EC4">
      <w:pPr>
        <w:ind w:left="426"/>
        <w:jc w:val="both"/>
        <w:rPr>
          <w:b/>
          <w:i/>
        </w:rPr>
      </w:pPr>
      <w:r>
        <w:rPr>
          <w:b/>
          <w:i/>
        </w:rPr>
        <w:t xml:space="preserve">Virtual Asset Exposure Limits </w:t>
      </w:r>
    </w:p>
    <w:p w:rsidR="00810A16" w:rsidRDefault="00180AC7" w:rsidP="001C7983">
      <w:pPr>
        <w:ind w:left="426"/>
        <w:jc w:val="both"/>
      </w:pPr>
      <w:r w:rsidRPr="00180AC7">
        <w:t xml:space="preserve">VA trading platform operators </w:t>
      </w:r>
      <w:r>
        <w:t xml:space="preserve">are also required </w:t>
      </w:r>
      <w:r w:rsidRPr="00180AC7">
        <w:t xml:space="preserve">to set a limit on each </w:t>
      </w:r>
      <w:r>
        <w:t xml:space="preserve">retail </w:t>
      </w:r>
      <w:r w:rsidRPr="00180AC7">
        <w:t xml:space="preserve">client’s exposure to virtual assets to ensure that each </w:t>
      </w:r>
      <w:r>
        <w:t>retail client’</w:t>
      </w:r>
      <w:r w:rsidRPr="00180AC7">
        <w:t>s</w:t>
      </w:r>
      <w:r>
        <w:t xml:space="preserve"> exposure to virtual assets is “</w:t>
      </w:r>
      <w:r w:rsidRPr="00180AC7">
        <w:t>reasonable”</w:t>
      </w:r>
      <w:r>
        <w:t>,</w:t>
      </w:r>
      <w:r w:rsidRPr="00180AC7">
        <w:t xml:space="preserve"> </w:t>
      </w:r>
      <w:r>
        <w:t xml:space="preserve">given </w:t>
      </w:r>
      <w:r w:rsidRPr="00180AC7">
        <w:t xml:space="preserve">the client’s financial situation </w:t>
      </w:r>
      <w:r w:rsidR="00F41FCB">
        <w:t xml:space="preserve">(including its net worth) </w:t>
      </w:r>
      <w:r w:rsidRPr="00180AC7">
        <w:t xml:space="preserve">and personal circumstances. Platform operators will be required to </w:t>
      </w:r>
      <w:r w:rsidR="00F41FCB">
        <w:t>notify</w:t>
      </w:r>
      <w:r w:rsidR="00201A0B">
        <w:t xml:space="preserve"> retail clients of the limit assigned to them</w:t>
      </w:r>
      <w:r w:rsidR="00F41FCB">
        <w:t xml:space="preserve"> and to </w:t>
      </w:r>
      <w:r w:rsidR="00201A0B" w:rsidRPr="00180AC7">
        <w:t xml:space="preserve">regularly </w:t>
      </w:r>
      <w:r w:rsidRPr="00180AC7">
        <w:t xml:space="preserve">review </w:t>
      </w:r>
      <w:r w:rsidR="00201A0B">
        <w:t>clients’ exposure</w:t>
      </w:r>
      <w:r w:rsidRPr="00180AC7">
        <w:t xml:space="preserve"> limit</w:t>
      </w:r>
      <w:r w:rsidR="00201A0B">
        <w:t>s</w:t>
      </w:r>
      <w:r w:rsidRPr="00180AC7">
        <w:t xml:space="preserve"> </w:t>
      </w:r>
      <w:r w:rsidR="00201A0B">
        <w:t>to ensure that they remain</w:t>
      </w:r>
      <w:r w:rsidRPr="00180AC7">
        <w:t xml:space="preserve"> appropriate.</w:t>
      </w:r>
      <w:r w:rsidR="00F41FCB">
        <w:rPr>
          <w:rStyle w:val="a7"/>
        </w:rPr>
        <w:footnoteReference w:id="8"/>
      </w:r>
      <w:r w:rsidRPr="00180AC7">
        <w:t xml:space="preserve"> </w:t>
      </w:r>
    </w:p>
    <w:p w:rsidR="00EE3250" w:rsidRDefault="00EE3250" w:rsidP="001C7983">
      <w:pPr>
        <w:ind w:left="426"/>
        <w:jc w:val="both"/>
      </w:pPr>
      <w:r>
        <w:rPr>
          <w:b/>
          <w:i/>
        </w:rPr>
        <w:t xml:space="preserve">Further SFC Guidance </w:t>
      </w:r>
    </w:p>
    <w:p w:rsidR="00EE3250" w:rsidRPr="00EE3250" w:rsidRDefault="00EE3250" w:rsidP="001C7983">
      <w:pPr>
        <w:ind w:left="426"/>
        <w:jc w:val="both"/>
      </w:pPr>
      <w:r>
        <w:t xml:space="preserve">In response to requests made during the consultation process, the SFC will issue further guidance in the form of </w:t>
      </w:r>
      <w:r w:rsidR="00F24E7F" w:rsidRPr="00712D29">
        <w:t>FAQs</w:t>
      </w:r>
      <w:r>
        <w:t xml:space="preserve">, </w:t>
      </w:r>
      <w:r w:rsidR="00307D51">
        <w:t>for example, on how to assess retail client</w:t>
      </w:r>
      <w:r>
        <w:t>s</w:t>
      </w:r>
      <w:r w:rsidR="00307D51">
        <w:t>’</w:t>
      </w:r>
      <w:r>
        <w:t xml:space="preserve"> risk tolerance and exposure to virtual assets. </w:t>
      </w:r>
    </w:p>
    <w:p w:rsidR="00290273" w:rsidRPr="00F85F7D" w:rsidRDefault="00307D51" w:rsidP="001C7983">
      <w:pPr>
        <w:pStyle w:val="a4"/>
        <w:numPr>
          <w:ilvl w:val="0"/>
          <w:numId w:val="4"/>
        </w:numPr>
        <w:snapToGrid w:val="0"/>
        <w:spacing w:after="0" w:line="240" w:lineRule="auto"/>
        <w:ind w:left="426" w:hanging="426"/>
        <w:jc w:val="both"/>
        <w:rPr>
          <w:b/>
          <w:color w:val="000000" w:themeColor="text1"/>
        </w:rPr>
      </w:pPr>
      <w:r w:rsidRPr="00F85F7D">
        <w:rPr>
          <w:b/>
          <w:color w:val="000000" w:themeColor="text1"/>
        </w:rPr>
        <w:t xml:space="preserve">Governance </w:t>
      </w:r>
      <w:r w:rsidR="00557CE4" w:rsidRPr="00F85F7D">
        <w:rPr>
          <w:b/>
          <w:color w:val="000000" w:themeColor="text1"/>
        </w:rPr>
        <w:t xml:space="preserve">Requirements </w:t>
      </w:r>
      <w:r w:rsidRPr="00F85F7D">
        <w:rPr>
          <w:b/>
          <w:color w:val="000000" w:themeColor="text1"/>
        </w:rPr>
        <w:t xml:space="preserve">for </w:t>
      </w:r>
      <w:r w:rsidR="001D7DBB" w:rsidRPr="00F85F7D">
        <w:rPr>
          <w:b/>
          <w:color w:val="000000" w:themeColor="text1"/>
        </w:rPr>
        <w:t xml:space="preserve">Hong Kong </w:t>
      </w:r>
      <w:r w:rsidR="00557CE4" w:rsidRPr="00F85F7D">
        <w:rPr>
          <w:b/>
          <w:color w:val="000000" w:themeColor="text1"/>
        </w:rPr>
        <w:t>L</w:t>
      </w:r>
      <w:r w:rsidR="00F676F2" w:rsidRPr="00F85F7D">
        <w:rPr>
          <w:b/>
          <w:color w:val="000000" w:themeColor="text1"/>
        </w:rPr>
        <w:t xml:space="preserve">icensed </w:t>
      </w:r>
      <w:r w:rsidR="00557CE4" w:rsidRPr="00F85F7D">
        <w:rPr>
          <w:b/>
          <w:color w:val="000000" w:themeColor="text1"/>
        </w:rPr>
        <w:t>VA Trading Platform O</w:t>
      </w:r>
      <w:r w:rsidR="00CB1748" w:rsidRPr="00F85F7D">
        <w:rPr>
          <w:b/>
          <w:color w:val="000000" w:themeColor="text1"/>
        </w:rPr>
        <w:t xml:space="preserve">perators </w:t>
      </w:r>
    </w:p>
    <w:p w:rsidR="00490707" w:rsidRPr="001C7983" w:rsidRDefault="00490707" w:rsidP="00490707">
      <w:pPr>
        <w:snapToGrid w:val="0"/>
        <w:spacing w:after="0" w:line="240" w:lineRule="auto"/>
        <w:jc w:val="both"/>
        <w:rPr>
          <w:b/>
          <w:color w:val="FF0000"/>
        </w:rPr>
      </w:pPr>
    </w:p>
    <w:p w:rsidR="00A04C3D" w:rsidRDefault="00307D51" w:rsidP="00260838">
      <w:pPr>
        <w:jc w:val="both"/>
      </w:pPr>
      <w:r w:rsidRPr="00FA7BC7">
        <w:rPr>
          <w:rFonts w:cstheme="minorHAnsi"/>
        </w:rPr>
        <w:t>SFC-</w:t>
      </w:r>
      <w:r w:rsidR="00F676F2" w:rsidRPr="00FA7BC7">
        <w:rPr>
          <w:rFonts w:cstheme="minorHAnsi"/>
        </w:rPr>
        <w:t xml:space="preserve">licensed </w:t>
      </w:r>
      <w:r w:rsidR="00BA0BD5" w:rsidRPr="00FA7BC7">
        <w:rPr>
          <w:rFonts w:cstheme="minorHAnsi"/>
        </w:rPr>
        <w:t xml:space="preserve">VA trading platform operators </w:t>
      </w:r>
      <w:r w:rsidR="00533E5C">
        <w:rPr>
          <w:rFonts w:cstheme="minorHAnsi"/>
        </w:rPr>
        <w:t>are</w:t>
      </w:r>
      <w:r w:rsidRPr="00FA7BC7">
        <w:rPr>
          <w:rFonts w:cstheme="minorHAnsi"/>
        </w:rPr>
        <w:t xml:space="preserve"> required to </w:t>
      </w:r>
      <w:r w:rsidR="00BA0BD5" w:rsidRPr="00FA7BC7">
        <w:rPr>
          <w:rFonts w:cstheme="minorHAnsi"/>
        </w:rPr>
        <w:t>set up</w:t>
      </w:r>
      <w:r w:rsidR="000C65E8" w:rsidRPr="00FA7BC7">
        <w:rPr>
          <w:rFonts w:cstheme="minorHAnsi"/>
        </w:rPr>
        <w:t xml:space="preserve"> a token admission and review committee</w:t>
      </w:r>
      <w:r w:rsidRPr="00FA7BC7">
        <w:rPr>
          <w:rFonts w:cstheme="minorHAnsi"/>
        </w:rPr>
        <w:t xml:space="preserve"> which should, as a minimum, consist of members of senior management who are principa</w:t>
      </w:r>
      <w:r w:rsidR="00A43EB2">
        <w:rPr>
          <w:rFonts w:cstheme="minorHAnsi"/>
        </w:rPr>
        <w:t>lly responsible for managing their</w:t>
      </w:r>
      <w:r w:rsidRPr="00FA7BC7">
        <w:rPr>
          <w:rFonts w:cstheme="minorHAnsi"/>
        </w:rPr>
        <w:t xml:space="preserve"> key business line, compliance, risk management and information technology functions. </w:t>
      </w:r>
      <w:r w:rsidR="008C3F2B">
        <w:rPr>
          <w:rFonts w:cstheme="minorHAnsi"/>
        </w:rPr>
        <w:t xml:space="preserve">The SFC expects members “principally responsible” </w:t>
      </w:r>
      <w:r w:rsidR="00260838">
        <w:rPr>
          <w:rFonts w:cstheme="minorHAnsi"/>
        </w:rPr>
        <w:t>for the various functions to include the corresponding managers-in-charge (</w:t>
      </w:r>
      <w:r w:rsidR="00260838" w:rsidRPr="00F24E7F">
        <w:rPr>
          <w:rFonts w:cstheme="minorHAnsi"/>
          <w:b/>
        </w:rPr>
        <w:t>MICs</w:t>
      </w:r>
      <w:r w:rsidR="00260838">
        <w:rPr>
          <w:rFonts w:cstheme="minorHAnsi"/>
        </w:rPr>
        <w:t>) of the platform operator.</w:t>
      </w:r>
      <w:r w:rsidR="00A43EB2">
        <w:rPr>
          <w:rStyle w:val="a7"/>
          <w:rFonts w:cstheme="minorHAnsi"/>
        </w:rPr>
        <w:footnoteReference w:id="9"/>
      </w:r>
      <w:r w:rsidR="00260838">
        <w:rPr>
          <w:rFonts w:cstheme="minorHAnsi"/>
        </w:rPr>
        <w:t xml:space="preserve"> According to the Consultation Conclusions, </w:t>
      </w:r>
      <w:r w:rsidR="00A04C3D">
        <w:rPr>
          <w:rFonts w:cstheme="minorHAnsi"/>
        </w:rPr>
        <w:t xml:space="preserve">the SFC will issue </w:t>
      </w:r>
      <w:r w:rsidR="00260838" w:rsidRPr="00260838">
        <w:rPr>
          <w:rFonts w:cstheme="minorHAnsi"/>
        </w:rPr>
        <w:t>guidance in the form of FAQs on a MICs regime to augment accountability of licensed VA trading</w:t>
      </w:r>
      <w:r w:rsidR="00A04C3D">
        <w:rPr>
          <w:rFonts w:cstheme="minorHAnsi"/>
        </w:rPr>
        <w:t xml:space="preserve"> </w:t>
      </w:r>
      <w:r w:rsidR="00260838" w:rsidRPr="00260838">
        <w:rPr>
          <w:rFonts w:cstheme="minorHAnsi"/>
        </w:rPr>
        <w:t xml:space="preserve">platforms’ senior management, which will be substantially the same as that for licensed corporations under the </w:t>
      </w:r>
      <w:r w:rsidR="00A04C3D">
        <w:rPr>
          <w:rFonts w:cstheme="minorHAnsi"/>
        </w:rPr>
        <w:t xml:space="preserve">SFO. </w:t>
      </w:r>
    </w:p>
    <w:p w:rsidR="00307D51" w:rsidRPr="00FA7BC7" w:rsidRDefault="00307D51" w:rsidP="00260838">
      <w:pPr>
        <w:jc w:val="both"/>
        <w:rPr>
          <w:rFonts w:cstheme="minorHAnsi"/>
        </w:rPr>
      </w:pPr>
      <w:r w:rsidRPr="00FA7BC7">
        <w:rPr>
          <w:rFonts w:cstheme="minorHAnsi"/>
        </w:rPr>
        <w:t xml:space="preserve">The responsibilities of the </w:t>
      </w:r>
      <w:r w:rsidR="00A04C3D" w:rsidRPr="00FA7BC7">
        <w:rPr>
          <w:rFonts w:cstheme="minorHAnsi"/>
        </w:rPr>
        <w:t xml:space="preserve">token admission and review </w:t>
      </w:r>
      <w:r w:rsidRPr="00FA7BC7">
        <w:rPr>
          <w:rFonts w:cstheme="minorHAnsi"/>
        </w:rPr>
        <w:t xml:space="preserve">committee include: </w:t>
      </w:r>
    </w:p>
    <w:p w:rsidR="00307D51" w:rsidRPr="00457C39" w:rsidRDefault="00307D51" w:rsidP="00307D51">
      <w:pPr>
        <w:pStyle w:val="a4"/>
        <w:numPr>
          <w:ilvl w:val="0"/>
          <w:numId w:val="19"/>
        </w:numPr>
        <w:jc w:val="both"/>
        <w:rPr>
          <w:rFonts w:cs="Arial"/>
        </w:rPr>
      </w:pPr>
      <w:r w:rsidRPr="00457C39">
        <w:rPr>
          <w:rFonts w:cs="Arial"/>
        </w:rPr>
        <w:lastRenderedPageBreak/>
        <w:t xml:space="preserve">establishing, implementing and enforcing the criteria for admitting, suspending and withdrawing, virtual assets </w:t>
      </w:r>
      <w:r w:rsidR="00FA7BC7">
        <w:rPr>
          <w:rFonts w:cs="Arial"/>
        </w:rPr>
        <w:t xml:space="preserve">for or </w:t>
      </w:r>
      <w:r w:rsidRPr="00457C39">
        <w:rPr>
          <w:rFonts w:cs="Arial"/>
        </w:rPr>
        <w:t xml:space="preserve">from trading </w:t>
      </w:r>
      <w:r w:rsidR="006D1E5E">
        <w:rPr>
          <w:rFonts w:cs="Arial"/>
        </w:rPr>
        <w:t>(which must be disclosed on the platform operator’s website</w:t>
      </w:r>
      <w:r w:rsidR="006D1E5E">
        <w:rPr>
          <w:rStyle w:val="a7"/>
          <w:rFonts w:cs="Arial"/>
        </w:rPr>
        <w:footnoteReference w:id="10"/>
      </w:r>
      <w:r w:rsidR="006D1E5E">
        <w:rPr>
          <w:rFonts w:cs="Arial"/>
        </w:rPr>
        <w:t xml:space="preserve">) </w:t>
      </w:r>
      <w:r w:rsidRPr="00457C39">
        <w:rPr>
          <w:rFonts w:cs="Arial"/>
        </w:rPr>
        <w:t xml:space="preserve">and the rules </w:t>
      </w:r>
      <w:r>
        <w:rPr>
          <w:rFonts w:cs="Arial"/>
        </w:rPr>
        <w:t xml:space="preserve">setting out </w:t>
      </w:r>
      <w:r w:rsidRPr="00457C39">
        <w:rPr>
          <w:rFonts w:cs="Arial"/>
        </w:rPr>
        <w:t xml:space="preserve">the obligations and restrictions </w:t>
      </w:r>
      <w:r>
        <w:rPr>
          <w:rFonts w:cs="Arial"/>
        </w:rPr>
        <w:t xml:space="preserve">on virtual asset issuers </w:t>
      </w:r>
      <w:r w:rsidRPr="00457C39">
        <w:rPr>
          <w:rFonts w:cs="Arial"/>
        </w:rPr>
        <w:t>(e</w:t>
      </w:r>
      <w:r w:rsidR="00FA7BC7">
        <w:rPr>
          <w:rFonts w:cs="Arial"/>
        </w:rPr>
        <w:t>.g.</w:t>
      </w:r>
      <w:r w:rsidRPr="00457C39">
        <w:rPr>
          <w:rFonts w:cs="Arial"/>
        </w:rPr>
        <w:t xml:space="preserve"> the</w:t>
      </w:r>
      <w:r>
        <w:rPr>
          <w:rFonts w:cs="Arial"/>
        </w:rPr>
        <w:t>ir</w:t>
      </w:r>
      <w:r w:rsidRPr="00457C39">
        <w:rPr>
          <w:rFonts w:cs="Arial"/>
        </w:rPr>
        <w:t xml:space="preserve"> obligation to notify the licensed platform operator of any proposed hard fork or airdrop, any material change in the issuer’s business or any regulatory action taken against the issuer); </w:t>
      </w:r>
    </w:p>
    <w:p w:rsidR="00307D51" w:rsidRPr="00457C39" w:rsidRDefault="00307D51" w:rsidP="00307D51">
      <w:pPr>
        <w:pStyle w:val="a4"/>
        <w:jc w:val="both"/>
        <w:rPr>
          <w:rFonts w:cs="Arial"/>
        </w:rPr>
      </w:pPr>
    </w:p>
    <w:p w:rsidR="00307D51" w:rsidRPr="00457C39" w:rsidRDefault="00307D51" w:rsidP="00307D51">
      <w:pPr>
        <w:pStyle w:val="a4"/>
        <w:numPr>
          <w:ilvl w:val="0"/>
          <w:numId w:val="19"/>
        </w:numPr>
        <w:jc w:val="both"/>
        <w:rPr>
          <w:rFonts w:cs="Arial"/>
        </w:rPr>
      </w:pPr>
      <w:r w:rsidRPr="00457C39">
        <w:rPr>
          <w:rFonts w:cs="Arial"/>
        </w:rPr>
        <w:t>making the final decisio</w:t>
      </w:r>
      <w:r w:rsidR="009A4AB5">
        <w:rPr>
          <w:rFonts w:cs="Arial"/>
        </w:rPr>
        <w:t xml:space="preserve">n as to whether to admit, </w:t>
      </w:r>
      <w:r w:rsidRPr="00457C39">
        <w:rPr>
          <w:rFonts w:cs="Arial"/>
        </w:rPr>
        <w:t>suspend and withdraw a virtual asset for clients to trade based on the criteria; and</w:t>
      </w:r>
    </w:p>
    <w:p w:rsidR="00307D51" w:rsidRPr="00457C39" w:rsidRDefault="00307D51" w:rsidP="00307D51">
      <w:pPr>
        <w:pStyle w:val="a4"/>
        <w:jc w:val="both"/>
        <w:rPr>
          <w:rFonts w:cs="Arial"/>
        </w:rPr>
      </w:pPr>
    </w:p>
    <w:p w:rsidR="006D1E5E" w:rsidRPr="006D1E5E" w:rsidRDefault="009A4AB5" w:rsidP="006D1E5E">
      <w:pPr>
        <w:pStyle w:val="a4"/>
        <w:numPr>
          <w:ilvl w:val="0"/>
          <w:numId w:val="19"/>
        </w:numPr>
        <w:ind w:left="284" w:firstLine="76"/>
        <w:jc w:val="both"/>
        <w:rPr>
          <w:rFonts w:cs="Arial"/>
        </w:rPr>
      </w:pPr>
      <w:r w:rsidRPr="00457C39">
        <w:rPr>
          <w:rFonts w:cs="Arial"/>
        </w:rPr>
        <w:t xml:space="preserve">regularly </w:t>
      </w:r>
      <w:r w:rsidR="00307D51" w:rsidRPr="00457C39">
        <w:rPr>
          <w:rFonts w:cs="Arial"/>
        </w:rPr>
        <w:t>reviewing the criteria and rules mentioned above.</w:t>
      </w:r>
      <w:r w:rsidR="00A04C3D">
        <w:rPr>
          <w:rStyle w:val="a7"/>
          <w:rFonts w:cs="Arial"/>
        </w:rPr>
        <w:footnoteReference w:id="11"/>
      </w:r>
    </w:p>
    <w:p w:rsidR="00BD1E16" w:rsidRDefault="00A04C3D" w:rsidP="00BD1E16">
      <w:pPr>
        <w:snapToGrid w:val="0"/>
        <w:spacing w:after="0" w:line="240" w:lineRule="auto"/>
        <w:jc w:val="both"/>
      </w:pPr>
      <w:r>
        <w:t>T</w:t>
      </w:r>
      <w:r w:rsidR="00472691" w:rsidRPr="00472691">
        <w:t xml:space="preserve">he token </w:t>
      </w:r>
      <w:r w:rsidR="00472691">
        <w:t xml:space="preserve">admission and review committee </w:t>
      </w:r>
      <w:r w:rsidR="006D1E5E">
        <w:t xml:space="preserve">must </w:t>
      </w:r>
      <w:r w:rsidR="00472691" w:rsidRPr="00472691">
        <w:t xml:space="preserve">report </w:t>
      </w:r>
      <w:r w:rsidR="00472691">
        <w:t>to the board of di</w:t>
      </w:r>
      <w:r w:rsidR="006936D1">
        <w:t>rectors</w:t>
      </w:r>
      <w:r w:rsidR="001D7DBB">
        <w:t xml:space="preserve"> of the </w:t>
      </w:r>
      <w:r>
        <w:t xml:space="preserve">VA trading platform operator </w:t>
      </w:r>
      <w:r w:rsidR="002E0A84">
        <w:t>at least monthly</w:t>
      </w:r>
      <w:r w:rsidR="00472691" w:rsidRPr="00472691">
        <w:t xml:space="preserve">. </w:t>
      </w:r>
      <w:r w:rsidR="00203ED5">
        <w:t>The committee’s reports must</w:t>
      </w:r>
      <w:r w:rsidR="009A4AB5" w:rsidRPr="009A4AB5">
        <w:t xml:space="preserve">, at a minimum, include details of the virtual assets made available to retail clients for trading. </w:t>
      </w:r>
    </w:p>
    <w:p w:rsidR="008C05E9" w:rsidRDefault="008C05E9" w:rsidP="00BD1E16">
      <w:pPr>
        <w:snapToGrid w:val="0"/>
        <w:spacing w:after="0" w:line="240" w:lineRule="auto"/>
        <w:jc w:val="both"/>
      </w:pPr>
    </w:p>
    <w:p w:rsidR="00BD1E16" w:rsidRPr="00C81ACA" w:rsidRDefault="008C05E9" w:rsidP="00C81ACA">
      <w:pPr>
        <w:jc w:val="both"/>
        <w:rPr>
          <w:rFonts w:cstheme="minorHAnsi"/>
        </w:rPr>
      </w:pPr>
      <w:r w:rsidRPr="002112A5">
        <w:rPr>
          <w:rFonts w:cstheme="minorHAnsi"/>
        </w:rPr>
        <w:t xml:space="preserve">Hong Kong licensed VA trading platform operators are required to monitor each of the virtual assets admitted for trading </w:t>
      </w:r>
      <w:r w:rsidR="00C81ACA">
        <w:rPr>
          <w:rFonts w:cstheme="minorHAnsi"/>
        </w:rPr>
        <w:t xml:space="preserve">on an on-going basis </w:t>
      </w:r>
      <w:r w:rsidRPr="002112A5">
        <w:rPr>
          <w:rFonts w:cstheme="minorHAnsi"/>
        </w:rPr>
        <w:t>and consider</w:t>
      </w:r>
      <w:r>
        <w:rPr>
          <w:rFonts w:cstheme="minorHAnsi"/>
        </w:rPr>
        <w:t xml:space="preserve"> whether to continue to allow them for trading. Regular </w:t>
      </w:r>
      <w:r w:rsidRPr="002112A5">
        <w:rPr>
          <w:rFonts w:cstheme="minorHAnsi"/>
        </w:rPr>
        <w:t xml:space="preserve">review reports are </w:t>
      </w:r>
      <w:r>
        <w:rPr>
          <w:rFonts w:cstheme="minorHAnsi"/>
        </w:rPr>
        <w:t xml:space="preserve">required to be </w:t>
      </w:r>
      <w:r w:rsidRPr="002112A5">
        <w:rPr>
          <w:rFonts w:cstheme="minorHAnsi"/>
        </w:rPr>
        <w:t xml:space="preserve">submitted to the </w:t>
      </w:r>
      <w:r>
        <w:rPr>
          <w:rFonts w:cstheme="minorHAnsi"/>
        </w:rPr>
        <w:t xml:space="preserve">token admission and review </w:t>
      </w:r>
      <w:r w:rsidRPr="002112A5">
        <w:rPr>
          <w:rFonts w:cstheme="minorHAnsi"/>
        </w:rPr>
        <w:t xml:space="preserve">committee. </w:t>
      </w:r>
      <w:r>
        <w:rPr>
          <w:rFonts w:cstheme="minorHAnsi"/>
        </w:rPr>
        <w:t xml:space="preserve">If the committee decides to </w:t>
      </w:r>
      <w:r w:rsidRPr="002112A5">
        <w:rPr>
          <w:rFonts w:cstheme="minorHAnsi"/>
        </w:rPr>
        <w:t>suspen</w:t>
      </w:r>
      <w:r>
        <w:rPr>
          <w:rFonts w:cstheme="minorHAnsi"/>
        </w:rPr>
        <w:t>d</w:t>
      </w:r>
      <w:r w:rsidRPr="002112A5">
        <w:rPr>
          <w:rFonts w:cstheme="minorHAnsi"/>
        </w:rPr>
        <w:t xml:space="preserve"> or withdraw a virtual asset from trading, </w:t>
      </w:r>
      <w:r w:rsidRPr="0090149B">
        <w:rPr>
          <w:rFonts w:cstheme="minorHAnsi"/>
        </w:rPr>
        <w:t>the platform operator must notify clients as soon as practicable</w:t>
      </w:r>
      <w:r>
        <w:rPr>
          <w:rFonts w:cstheme="minorHAnsi"/>
        </w:rPr>
        <w:t>,</w:t>
      </w:r>
      <w:r w:rsidRPr="0090149B">
        <w:rPr>
          <w:rFonts w:cstheme="minorHAnsi"/>
        </w:rPr>
        <w:t xml:space="preserve"> inform clients holding that virtual asset of the options available, and ensure that </w:t>
      </w:r>
      <w:r>
        <w:rPr>
          <w:rFonts w:cstheme="minorHAnsi"/>
        </w:rPr>
        <w:t xml:space="preserve">clients </w:t>
      </w:r>
      <w:r w:rsidRPr="0090149B">
        <w:rPr>
          <w:rFonts w:cstheme="minorHAnsi"/>
        </w:rPr>
        <w:t>are fairly</w:t>
      </w:r>
      <w:r w:rsidRPr="0090149B" w:rsidDel="00EC38CF">
        <w:rPr>
          <w:rFonts w:cstheme="minorHAnsi"/>
        </w:rPr>
        <w:t xml:space="preserve"> </w:t>
      </w:r>
      <w:r w:rsidRPr="0090149B">
        <w:rPr>
          <w:rFonts w:cstheme="minorHAnsi"/>
        </w:rPr>
        <w:t>treated.</w:t>
      </w:r>
      <w:r>
        <w:rPr>
          <w:rStyle w:val="a7"/>
          <w:rFonts w:cstheme="minorHAnsi"/>
        </w:rPr>
        <w:footnoteReference w:id="12"/>
      </w:r>
    </w:p>
    <w:p w:rsidR="006936D1" w:rsidRPr="00BD1E16" w:rsidRDefault="002500E9" w:rsidP="00BD1E16">
      <w:pPr>
        <w:pStyle w:val="a4"/>
        <w:numPr>
          <w:ilvl w:val="0"/>
          <w:numId w:val="4"/>
        </w:numPr>
        <w:snapToGrid w:val="0"/>
        <w:spacing w:after="0" w:line="240" w:lineRule="auto"/>
        <w:ind w:left="426" w:hanging="426"/>
        <w:jc w:val="both"/>
        <w:rPr>
          <w:b/>
        </w:rPr>
      </w:pPr>
      <w:r>
        <w:rPr>
          <w:b/>
        </w:rPr>
        <w:t xml:space="preserve">Hong Kong Virtual Asset </w:t>
      </w:r>
      <w:r w:rsidR="00F85F7D" w:rsidRPr="00BD1E16">
        <w:rPr>
          <w:b/>
        </w:rPr>
        <w:t>D</w:t>
      </w:r>
      <w:r w:rsidR="00F24E7F" w:rsidRPr="00BD1E16">
        <w:rPr>
          <w:b/>
        </w:rPr>
        <w:t>ue Diligence and Admission C</w:t>
      </w:r>
      <w:r w:rsidR="006936D1" w:rsidRPr="00BD1E16">
        <w:rPr>
          <w:b/>
        </w:rPr>
        <w:t>riteria</w:t>
      </w:r>
    </w:p>
    <w:p w:rsidR="009858E0" w:rsidRPr="006936D1" w:rsidRDefault="009858E0" w:rsidP="00490707">
      <w:pPr>
        <w:snapToGrid w:val="0"/>
        <w:spacing w:after="0" w:line="240" w:lineRule="auto"/>
        <w:jc w:val="both"/>
        <w:rPr>
          <w:b/>
        </w:rPr>
      </w:pPr>
    </w:p>
    <w:p w:rsidR="00EF1ED1" w:rsidRPr="005236F3" w:rsidRDefault="00EF1ED1" w:rsidP="00490707">
      <w:pPr>
        <w:snapToGrid w:val="0"/>
        <w:spacing w:after="0" w:line="240" w:lineRule="auto"/>
        <w:jc w:val="both"/>
        <w:rPr>
          <w:b/>
          <w:i/>
        </w:rPr>
      </w:pPr>
      <w:r w:rsidRPr="005236F3">
        <w:rPr>
          <w:b/>
          <w:i/>
        </w:rPr>
        <w:t>General</w:t>
      </w:r>
      <w:r w:rsidR="003972D1" w:rsidRPr="005236F3">
        <w:rPr>
          <w:b/>
          <w:i/>
        </w:rPr>
        <w:t xml:space="preserve"> </w:t>
      </w:r>
      <w:r w:rsidR="00403281">
        <w:rPr>
          <w:b/>
          <w:i/>
        </w:rPr>
        <w:t>Token Admission C</w:t>
      </w:r>
      <w:r w:rsidRPr="005236F3">
        <w:rPr>
          <w:b/>
          <w:i/>
        </w:rPr>
        <w:t>riteria</w:t>
      </w:r>
      <w:r w:rsidR="00403281">
        <w:rPr>
          <w:b/>
          <w:i/>
        </w:rPr>
        <w:t xml:space="preserve"> for Hong Kong Licensed V</w:t>
      </w:r>
      <w:r w:rsidR="00533E5C">
        <w:rPr>
          <w:b/>
          <w:i/>
        </w:rPr>
        <w:t xml:space="preserve">irtual </w:t>
      </w:r>
      <w:r w:rsidR="00403281">
        <w:rPr>
          <w:b/>
          <w:i/>
        </w:rPr>
        <w:t>A</w:t>
      </w:r>
      <w:r w:rsidR="00533E5C">
        <w:rPr>
          <w:b/>
          <w:i/>
        </w:rPr>
        <w:t>sset</w:t>
      </w:r>
      <w:r w:rsidR="00403281">
        <w:rPr>
          <w:b/>
          <w:i/>
        </w:rPr>
        <w:t xml:space="preserve"> Trading Platform Operators</w:t>
      </w:r>
    </w:p>
    <w:p w:rsidR="00490707" w:rsidRPr="005236F3" w:rsidRDefault="00490707" w:rsidP="00490707">
      <w:pPr>
        <w:snapToGrid w:val="0"/>
        <w:spacing w:after="0" w:line="240" w:lineRule="auto"/>
        <w:jc w:val="both"/>
        <w:rPr>
          <w:b/>
          <w:i/>
        </w:rPr>
      </w:pPr>
    </w:p>
    <w:p w:rsidR="009858E0" w:rsidRPr="00DC1183" w:rsidRDefault="009858E0" w:rsidP="009858E0">
      <w:pPr>
        <w:jc w:val="both"/>
        <w:rPr>
          <w:rFonts w:cstheme="minorHAnsi"/>
        </w:rPr>
      </w:pPr>
      <w:r w:rsidRPr="00DC1183">
        <w:rPr>
          <w:rFonts w:cstheme="minorHAnsi"/>
        </w:rPr>
        <w:t>The SFC emphasised in its Consultation Paper and Conclusions that virtual assets are not regulated by the SFC per se, meaning that the SFC has not vetted nor reviewed their offering and marketing materials. This is substantially different from the situation where conventional financial products are offered to the public as these are typically subject to the authorisation or registration regime of the regulatory authorities in their respective jurisdictions.</w:t>
      </w:r>
    </w:p>
    <w:p w:rsidR="009858E0" w:rsidRPr="00DC1183" w:rsidRDefault="008D195C" w:rsidP="009858E0">
      <w:pPr>
        <w:jc w:val="both"/>
        <w:rPr>
          <w:rFonts w:cstheme="minorHAnsi"/>
        </w:rPr>
      </w:pPr>
      <w:r w:rsidRPr="00DC1183">
        <w:rPr>
          <w:rFonts w:cstheme="minorHAnsi"/>
        </w:rPr>
        <w:t>The SFC therefore requires licensed VA trading p</w:t>
      </w:r>
      <w:r w:rsidR="009858E0" w:rsidRPr="00DC1183">
        <w:rPr>
          <w:rFonts w:cstheme="minorHAnsi"/>
        </w:rPr>
        <w:t xml:space="preserve">latform operators to perform reasonable due diligence on </w:t>
      </w:r>
      <w:r w:rsidR="009858E0" w:rsidRPr="00DC1183">
        <w:rPr>
          <w:rFonts w:cstheme="minorHAnsi"/>
          <w:u w:val="single"/>
        </w:rPr>
        <w:t>all</w:t>
      </w:r>
      <w:r w:rsidR="009858E0" w:rsidRPr="00DC1183">
        <w:rPr>
          <w:rFonts w:cstheme="minorHAnsi"/>
        </w:rPr>
        <w:t xml:space="preserve"> virtual assets, irrespective of whether they will be made available to retail clients, before admitting them for trading to ensure that they meet the </w:t>
      </w:r>
      <w:r w:rsidRPr="00DC1183">
        <w:rPr>
          <w:rFonts w:cstheme="minorHAnsi"/>
        </w:rPr>
        <w:t xml:space="preserve">token admission </w:t>
      </w:r>
      <w:r w:rsidR="009858E0" w:rsidRPr="00DC1183">
        <w:rPr>
          <w:rFonts w:cstheme="minorHAnsi"/>
        </w:rPr>
        <w:t>criteria established by their token admission and review committee</w:t>
      </w:r>
      <w:r w:rsidRPr="00DC1183">
        <w:rPr>
          <w:rFonts w:cstheme="minorHAnsi"/>
        </w:rPr>
        <w:t>.</w:t>
      </w:r>
      <w:r w:rsidR="009858E0" w:rsidRPr="00DC1183">
        <w:rPr>
          <w:rFonts w:cstheme="minorHAnsi"/>
        </w:rPr>
        <w:t xml:space="preserve"> The non-exhaustive factors which platform operators </w:t>
      </w:r>
      <w:r w:rsidR="00460B04" w:rsidRPr="00DC1183">
        <w:rPr>
          <w:rFonts w:cstheme="minorHAnsi"/>
        </w:rPr>
        <w:t xml:space="preserve">must consider for all virtual assets </w:t>
      </w:r>
      <w:r w:rsidR="009858E0" w:rsidRPr="00DC1183">
        <w:rPr>
          <w:rFonts w:cstheme="minorHAnsi"/>
        </w:rPr>
        <w:t>include:</w:t>
      </w:r>
    </w:p>
    <w:p w:rsidR="009858E0" w:rsidRPr="00457C39" w:rsidRDefault="009858E0" w:rsidP="00B9753E">
      <w:pPr>
        <w:pStyle w:val="a4"/>
        <w:numPr>
          <w:ilvl w:val="0"/>
          <w:numId w:val="20"/>
        </w:numPr>
        <w:ind w:left="851" w:hanging="491"/>
        <w:jc w:val="both"/>
        <w:rPr>
          <w:rFonts w:cs="Arial"/>
        </w:rPr>
      </w:pPr>
      <w:r w:rsidRPr="00DC1183">
        <w:rPr>
          <w:rFonts w:cstheme="minorHAnsi"/>
        </w:rPr>
        <w:t>the background of the management or develop</w:t>
      </w:r>
      <w:r w:rsidR="00B9753E" w:rsidRPr="00DC1183">
        <w:rPr>
          <w:rFonts w:cstheme="minorHAnsi"/>
        </w:rPr>
        <w:t>ment team of th</w:t>
      </w:r>
      <w:r w:rsidR="00B9753E">
        <w:rPr>
          <w:rFonts w:cs="Arial"/>
        </w:rPr>
        <w:t>e</w:t>
      </w:r>
      <w:r w:rsidRPr="00457C39">
        <w:rPr>
          <w:rFonts w:cs="Arial"/>
        </w:rPr>
        <w:t xml:space="preserve"> virtual asset</w:t>
      </w:r>
      <w:r w:rsidR="00460B04">
        <w:rPr>
          <w:rFonts w:cs="Arial"/>
        </w:rPr>
        <w:t xml:space="preserve"> or any of its known key members</w:t>
      </w:r>
      <w:r w:rsidRPr="00457C39">
        <w:rPr>
          <w:rFonts w:cs="Arial"/>
        </w:rPr>
        <w:t>;</w:t>
      </w:r>
    </w:p>
    <w:p w:rsidR="009858E0" w:rsidRPr="00457C39" w:rsidRDefault="00B9753E" w:rsidP="00D37279">
      <w:pPr>
        <w:pStyle w:val="a4"/>
        <w:numPr>
          <w:ilvl w:val="0"/>
          <w:numId w:val="20"/>
        </w:numPr>
        <w:ind w:left="851" w:hanging="491"/>
        <w:jc w:val="both"/>
        <w:rPr>
          <w:rFonts w:cs="Arial"/>
        </w:rPr>
      </w:pPr>
      <w:r>
        <w:rPr>
          <w:rFonts w:cs="Arial"/>
        </w:rPr>
        <w:t>the regulatory status of the</w:t>
      </w:r>
      <w:r w:rsidR="009858E0" w:rsidRPr="00457C39">
        <w:rPr>
          <w:rFonts w:cs="Arial"/>
        </w:rPr>
        <w:t xml:space="preserve"> virtual asset in </w:t>
      </w:r>
      <w:r w:rsidR="00460B04">
        <w:rPr>
          <w:rFonts w:cs="Arial"/>
        </w:rPr>
        <w:t xml:space="preserve">Hong Kong </w:t>
      </w:r>
      <w:r w:rsidR="009858E0" w:rsidRPr="00457C39">
        <w:rPr>
          <w:rFonts w:cs="Arial"/>
        </w:rPr>
        <w:t>and whether its regulatory status would also affect the regulatory obligations of the platform operator;</w:t>
      </w:r>
    </w:p>
    <w:p w:rsidR="009858E0" w:rsidRPr="00457C39" w:rsidRDefault="009858E0" w:rsidP="00B9753E">
      <w:pPr>
        <w:pStyle w:val="a4"/>
        <w:numPr>
          <w:ilvl w:val="0"/>
          <w:numId w:val="20"/>
        </w:numPr>
        <w:ind w:left="851" w:hanging="491"/>
        <w:jc w:val="both"/>
        <w:rPr>
          <w:rFonts w:cs="Arial"/>
        </w:rPr>
      </w:pPr>
      <w:r w:rsidRPr="00457C39">
        <w:rPr>
          <w:rFonts w:cs="Arial"/>
        </w:rPr>
        <w:t>the supply, dem</w:t>
      </w:r>
      <w:r w:rsidR="00B9753E">
        <w:rPr>
          <w:rFonts w:cs="Arial"/>
        </w:rPr>
        <w:t>and, maturity and liquidity of the</w:t>
      </w:r>
      <w:r w:rsidRPr="00457C39">
        <w:rPr>
          <w:rFonts w:cs="Arial"/>
        </w:rPr>
        <w:t xml:space="preserve"> virtual asset, including its track record</w:t>
      </w:r>
      <w:r w:rsidR="00B9753E">
        <w:rPr>
          <w:rFonts w:cs="Arial"/>
        </w:rPr>
        <w:t xml:space="preserve"> </w:t>
      </w:r>
      <w:r w:rsidR="000E63AE">
        <w:rPr>
          <w:rFonts w:cs="Arial"/>
        </w:rPr>
        <w:t xml:space="preserve">period </w:t>
      </w:r>
      <w:r w:rsidR="00B9753E">
        <w:rPr>
          <w:rFonts w:cs="Arial"/>
        </w:rPr>
        <w:t>which for non-security tokens must be at least 12 months</w:t>
      </w:r>
      <w:r w:rsidRPr="00457C39">
        <w:rPr>
          <w:rFonts w:cs="Arial"/>
        </w:rPr>
        <w:t xml:space="preserve">; </w:t>
      </w:r>
    </w:p>
    <w:p w:rsidR="009858E0" w:rsidRPr="00457C39" w:rsidRDefault="00B9753E" w:rsidP="00B9753E">
      <w:pPr>
        <w:pStyle w:val="a4"/>
        <w:numPr>
          <w:ilvl w:val="0"/>
          <w:numId w:val="20"/>
        </w:numPr>
        <w:ind w:left="851" w:hanging="491"/>
        <w:jc w:val="both"/>
        <w:rPr>
          <w:rFonts w:cs="Arial"/>
        </w:rPr>
      </w:pPr>
      <w:r>
        <w:rPr>
          <w:rFonts w:cs="Arial"/>
        </w:rPr>
        <w:t>the technical aspects of the</w:t>
      </w:r>
      <w:r w:rsidR="009858E0" w:rsidRPr="00457C39">
        <w:rPr>
          <w:rFonts w:cs="Arial"/>
        </w:rPr>
        <w:t xml:space="preserve"> virtual asset;  </w:t>
      </w:r>
    </w:p>
    <w:p w:rsidR="009858E0" w:rsidRPr="00457C39" w:rsidRDefault="00B9753E" w:rsidP="00B9753E">
      <w:pPr>
        <w:pStyle w:val="a4"/>
        <w:numPr>
          <w:ilvl w:val="0"/>
          <w:numId w:val="20"/>
        </w:numPr>
        <w:ind w:left="851" w:hanging="491"/>
        <w:jc w:val="both"/>
        <w:rPr>
          <w:rFonts w:cs="Arial"/>
        </w:rPr>
      </w:pPr>
      <w:r>
        <w:rPr>
          <w:rFonts w:cs="Arial"/>
        </w:rPr>
        <w:t>the development of the virtual asset;</w:t>
      </w:r>
    </w:p>
    <w:p w:rsidR="009858E0" w:rsidRPr="00457C39" w:rsidRDefault="009858E0" w:rsidP="00B9753E">
      <w:pPr>
        <w:pStyle w:val="a4"/>
        <w:numPr>
          <w:ilvl w:val="0"/>
          <w:numId w:val="20"/>
        </w:numPr>
        <w:ind w:left="851" w:hanging="491"/>
        <w:jc w:val="both"/>
        <w:rPr>
          <w:rFonts w:cs="Arial"/>
        </w:rPr>
      </w:pPr>
      <w:r w:rsidRPr="00457C39">
        <w:rPr>
          <w:rFonts w:cs="Arial"/>
        </w:rPr>
        <w:t xml:space="preserve">the market </w:t>
      </w:r>
      <w:r w:rsidR="00B9753E">
        <w:rPr>
          <w:rFonts w:cs="Arial"/>
        </w:rPr>
        <w:t>and governance risks of the</w:t>
      </w:r>
      <w:r w:rsidRPr="00457C39">
        <w:rPr>
          <w:rFonts w:cs="Arial"/>
        </w:rPr>
        <w:t xml:space="preserve"> virtual asset; </w:t>
      </w:r>
    </w:p>
    <w:p w:rsidR="00B9753E" w:rsidRDefault="009858E0" w:rsidP="00B9753E">
      <w:pPr>
        <w:pStyle w:val="a4"/>
        <w:numPr>
          <w:ilvl w:val="0"/>
          <w:numId w:val="20"/>
        </w:numPr>
        <w:ind w:left="851" w:hanging="491"/>
        <w:jc w:val="both"/>
        <w:rPr>
          <w:rFonts w:cs="Arial"/>
        </w:rPr>
      </w:pPr>
      <w:r w:rsidRPr="00457C39">
        <w:rPr>
          <w:rFonts w:cs="Arial"/>
        </w:rPr>
        <w:t>the legal risks associated with the virtual asset</w:t>
      </w:r>
      <w:r w:rsidR="00B9753E">
        <w:rPr>
          <w:rFonts w:cs="Arial"/>
        </w:rPr>
        <w:t xml:space="preserve"> and its issuer;</w:t>
      </w:r>
    </w:p>
    <w:p w:rsidR="00667CAC" w:rsidRDefault="00D37279" w:rsidP="00D37279">
      <w:pPr>
        <w:pStyle w:val="a4"/>
        <w:numPr>
          <w:ilvl w:val="0"/>
          <w:numId w:val="20"/>
        </w:numPr>
        <w:ind w:left="851" w:hanging="491"/>
        <w:jc w:val="both"/>
        <w:rPr>
          <w:rFonts w:cs="Arial"/>
        </w:rPr>
      </w:pPr>
      <w:r>
        <w:rPr>
          <w:rFonts w:cs="Arial"/>
        </w:rPr>
        <w:lastRenderedPageBreak/>
        <w:t xml:space="preserve">whether the </w:t>
      </w:r>
      <w:r w:rsidR="00667CAC">
        <w:rPr>
          <w:rFonts w:cs="Arial"/>
        </w:rPr>
        <w:t>virtual asset’s offered utility, novel use case, innovation or administrative control “clearly appears” to be fraudulent or illegal, or whether its continued viability depends on attracting continuous inflow into the virtual asset;</w:t>
      </w:r>
    </w:p>
    <w:p w:rsidR="009858E0" w:rsidRDefault="00667CAC" w:rsidP="00D37279">
      <w:pPr>
        <w:pStyle w:val="a4"/>
        <w:numPr>
          <w:ilvl w:val="0"/>
          <w:numId w:val="20"/>
        </w:numPr>
        <w:ind w:left="851" w:hanging="491"/>
        <w:jc w:val="both"/>
        <w:rPr>
          <w:rFonts w:cs="Arial"/>
        </w:rPr>
      </w:pPr>
      <w:r>
        <w:rPr>
          <w:rFonts w:cs="Arial"/>
        </w:rPr>
        <w:t>the enforceability of rights extrinsic to the virtual asset (e.g. rights to any underlying assets)</w:t>
      </w:r>
      <w:r w:rsidR="003B69A6">
        <w:rPr>
          <w:rFonts w:cs="Arial"/>
        </w:rPr>
        <w:t xml:space="preserve"> and the potential impact of trading activity in the virtual</w:t>
      </w:r>
      <w:r>
        <w:rPr>
          <w:rFonts w:cs="Arial"/>
        </w:rPr>
        <w:t xml:space="preserve"> </w:t>
      </w:r>
      <w:r w:rsidR="003B69A6">
        <w:rPr>
          <w:rFonts w:cs="Arial"/>
        </w:rPr>
        <w:t>asset on the underlying markets; and</w:t>
      </w:r>
    </w:p>
    <w:p w:rsidR="00665BF5" w:rsidRPr="00BD1E16" w:rsidRDefault="003B69A6" w:rsidP="00BD1E16">
      <w:pPr>
        <w:pStyle w:val="a4"/>
        <w:numPr>
          <w:ilvl w:val="0"/>
          <w:numId w:val="20"/>
        </w:numPr>
        <w:ind w:left="851" w:hanging="491"/>
        <w:jc w:val="both"/>
        <w:rPr>
          <w:rFonts w:cs="Arial"/>
        </w:rPr>
      </w:pPr>
      <w:r>
        <w:rPr>
          <w:rFonts w:cs="Arial"/>
        </w:rPr>
        <w:t>the money laundering and terrorist financing risks associated with the virtual asset.</w:t>
      </w:r>
      <w:r>
        <w:rPr>
          <w:rStyle w:val="a7"/>
          <w:rFonts w:cs="Arial"/>
        </w:rPr>
        <w:footnoteReference w:id="13"/>
      </w:r>
    </w:p>
    <w:p w:rsidR="006936D1" w:rsidRPr="003B69A6" w:rsidRDefault="00782986" w:rsidP="00490707">
      <w:pPr>
        <w:snapToGrid w:val="0"/>
        <w:spacing w:after="0" w:line="240" w:lineRule="auto"/>
        <w:jc w:val="both"/>
        <w:rPr>
          <w:b/>
          <w:i/>
        </w:rPr>
      </w:pPr>
      <w:r>
        <w:rPr>
          <w:b/>
          <w:i/>
        </w:rPr>
        <w:t>Specific Token Admission C</w:t>
      </w:r>
      <w:r w:rsidR="00EF1ED1" w:rsidRPr="003B69A6">
        <w:rPr>
          <w:b/>
          <w:i/>
        </w:rPr>
        <w:t>riteria</w:t>
      </w:r>
      <w:r w:rsidR="00AD475D" w:rsidRPr="003B69A6">
        <w:rPr>
          <w:b/>
          <w:i/>
        </w:rPr>
        <w:t xml:space="preserve"> –</w:t>
      </w:r>
      <w:r>
        <w:rPr>
          <w:b/>
          <w:i/>
        </w:rPr>
        <w:t xml:space="preserve"> Relevant Virtual Asset Must B</w:t>
      </w:r>
      <w:r w:rsidR="00AD475D" w:rsidRPr="003B69A6">
        <w:rPr>
          <w:b/>
          <w:i/>
        </w:rPr>
        <w:t>e “</w:t>
      </w:r>
      <w:r>
        <w:rPr>
          <w:b/>
          <w:i/>
        </w:rPr>
        <w:t>Highly Liquid</w:t>
      </w:r>
      <w:r w:rsidR="00AD475D" w:rsidRPr="003B69A6">
        <w:rPr>
          <w:b/>
          <w:i/>
        </w:rPr>
        <w:t>”</w:t>
      </w:r>
    </w:p>
    <w:p w:rsidR="00490707" w:rsidRPr="003B69A6" w:rsidRDefault="00490707" w:rsidP="00490707">
      <w:pPr>
        <w:snapToGrid w:val="0"/>
        <w:spacing w:after="0" w:line="240" w:lineRule="auto"/>
        <w:jc w:val="both"/>
        <w:rPr>
          <w:b/>
          <w:i/>
        </w:rPr>
      </w:pPr>
    </w:p>
    <w:p w:rsidR="00B873A8" w:rsidRDefault="009C7382" w:rsidP="00490707">
      <w:pPr>
        <w:snapToGrid w:val="0"/>
        <w:spacing w:after="0" w:line="240" w:lineRule="auto"/>
        <w:jc w:val="both"/>
      </w:pPr>
      <w:r>
        <w:t xml:space="preserve">Hong Kong </w:t>
      </w:r>
      <w:r w:rsidR="0035785F">
        <w:t xml:space="preserve">licensed </w:t>
      </w:r>
      <w:r w:rsidR="00665BF5">
        <w:t xml:space="preserve">VA trading </w:t>
      </w:r>
      <w:r w:rsidR="000033F7">
        <w:t xml:space="preserve">platform operators </w:t>
      </w:r>
      <w:r w:rsidR="00970B89">
        <w:t xml:space="preserve">intending to make virtual assets available to </w:t>
      </w:r>
      <w:r w:rsidR="00AD475D">
        <w:t xml:space="preserve">retail investors must </w:t>
      </w:r>
      <w:r w:rsidR="00970B89">
        <w:t xml:space="preserve">additionally </w:t>
      </w:r>
      <w:r w:rsidR="00B873A8" w:rsidRPr="00B873A8">
        <w:t xml:space="preserve">ensure that the </w:t>
      </w:r>
      <w:r w:rsidR="00B362ED">
        <w:t xml:space="preserve">relevant </w:t>
      </w:r>
      <w:r w:rsidR="00B873A8" w:rsidRPr="00B873A8">
        <w:t>virtual asset</w:t>
      </w:r>
      <w:r w:rsidR="00AD475D">
        <w:t>s</w:t>
      </w:r>
      <w:r w:rsidR="00B873A8" w:rsidRPr="00B873A8">
        <w:t xml:space="preserve"> satisfy </w:t>
      </w:r>
      <w:r w:rsidR="00AD475D">
        <w:t xml:space="preserve">the </w:t>
      </w:r>
      <w:r w:rsidR="00B873A8" w:rsidRPr="00B873A8">
        <w:t>specific token admission criteria</w:t>
      </w:r>
      <w:r w:rsidR="00970B89">
        <w:t xml:space="preserve"> set out in paragraphs 7.7 and 7.8 of the VATP Guidelines</w:t>
      </w:r>
      <w:r w:rsidR="00B873A8">
        <w:t xml:space="preserve">. </w:t>
      </w:r>
    </w:p>
    <w:p w:rsidR="00F700D1" w:rsidRDefault="00F700D1" w:rsidP="00490707">
      <w:pPr>
        <w:snapToGrid w:val="0"/>
        <w:spacing w:after="0" w:line="240" w:lineRule="auto"/>
        <w:jc w:val="both"/>
      </w:pPr>
    </w:p>
    <w:p w:rsidR="00822F31" w:rsidRDefault="00811CA9" w:rsidP="00367282">
      <w:pPr>
        <w:jc w:val="both"/>
      </w:pPr>
      <w:r>
        <w:t>The key requirement is that the relevant virtual asset must be “highly liquid”.</w:t>
      </w:r>
      <w:r>
        <w:rPr>
          <w:rStyle w:val="a7"/>
        </w:rPr>
        <w:footnoteReference w:id="14"/>
      </w:r>
      <w:r>
        <w:t xml:space="preserve"> For a virtual asset to be considered “highly liquid”</w:t>
      </w:r>
      <w:r w:rsidR="00367282">
        <w:t>, it must</w:t>
      </w:r>
      <w:r w:rsidR="00DC1183">
        <w:t>, at a minimum,</w:t>
      </w:r>
      <w:r w:rsidR="00367282">
        <w:t xml:space="preserve"> be an “eligible large-cap virtual asset”, i.e.</w:t>
      </w:r>
      <w:r>
        <w:t xml:space="preserve"> </w:t>
      </w:r>
      <w:r w:rsidR="00367282">
        <w:t>a virtual asset</w:t>
      </w:r>
      <w:r w:rsidR="00EF1ED1">
        <w:t xml:space="preserve"> that </w:t>
      </w:r>
      <w:r w:rsidR="00367282">
        <w:t xml:space="preserve">is </w:t>
      </w:r>
      <w:r w:rsidR="00EF1ED1">
        <w:t xml:space="preserve">included in </w:t>
      </w:r>
      <w:r w:rsidR="00367282">
        <w:t xml:space="preserve">a minimum of </w:t>
      </w:r>
      <w:r w:rsidR="00EF1ED1">
        <w:t xml:space="preserve">two acceptable indices issued by </w:t>
      </w:r>
      <w:r w:rsidR="00367282">
        <w:t xml:space="preserve">at least </w:t>
      </w:r>
      <w:r w:rsidR="00EF1ED1">
        <w:t>two independent index providers</w:t>
      </w:r>
      <w:r w:rsidR="00367282">
        <w:t xml:space="preserve">. </w:t>
      </w:r>
      <w:r w:rsidR="00C855B2">
        <w:rPr>
          <w:rFonts w:cstheme="minorHAnsi"/>
        </w:rPr>
        <w:t>An “acceptable index”</w:t>
      </w:r>
      <w:r w:rsidR="00367282" w:rsidRPr="00DC1183">
        <w:rPr>
          <w:rFonts w:cstheme="minorHAnsi"/>
        </w:rPr>
        <w:t xml:space="preserve"> is an index with a clearly defined objective to measure the per</w:t>
      </w:r>
      <w:r w:rsidR="00367282" w:rsidRPr="00367282">
        <w:t xml:space="preserve">formance of the largest virtual assets </w:t>
      </w:r>
      <w:r w:rsidR="003E686A">
        <w:t xml:space="preserve">in the global market </w:t>
      </w:r>
      <w:r w:rsidR="00367282" w:rsidRPr="00367282">
        <w:t>(for example, an index which measures the top 10 largest virtual assets</w:t>
      </w:r>
      <w:r w:rsidR="009F0A89">
        <w:rPr>
          <w:rStyle w:val="a7"/>
        </w:rPr>
        <w:footnoteReference w:id="15"/>
      </w:r>
      <w:r w:rsidR="00367282" w:rsidRPr="00367282">
        <w:t>) which is</w:t>
      </w:r>
      <w:r w:rsidR="00101684">
        <w:t>:</w:t>
      </w:r>
      <w:r w:rsidR="00367282" w:rsidRPr="00367282">
        <w:t xml:space="preserve"> (i) investible, meaning that the constituent virtual assets should be sufficiently liquid; and (ii) objectively calculated and rules-based. In addition, the index provider </w:t>
      </w:r>
      <w:r w:rsidR="00101684">
        <w:t xml:space="preserve">must have </w:t>
      </w:r>
      <w:r w:rsidR="00367282" w:rsidRPr="00367282">
        <w:t xml:space="preserve">the necessary expertise and technical resources to construct, maintain and review the methodology and rules of the index, which should be well-documented, consistent and transparent. </w:t>
      </w:r>
    </w:p>
    <w:p w:rsidR="00367282" w:rsidRPr="00367282" w:rsidRDefault="00822F31" w:rsidP="00367282">
      <w:pPr>
        <w:jc w:val="both"/>
      </w:pPr>
      <w:r>
        <w:t xml:space="preserve">The two </w:t>
      </w:r>
      <w:r w:rsidR="00367282" w:rsidRPr="00367282">
        <w:t>index provider</w:t>
      </w:r>
      <w:r>
        <w:t>s</w:t>
      </w:r>
      <w:r w:rsidR="00367282" w:rsidRPr="00367282">
        <w:t xml:space="preserve"> must </w:t>
      </w:r>
      <w:r>
        <w:t xml:space="preserve">be independent of each other, the </w:t>
      </w:r>
      <w:r w:rsidR="00533E5C">
        <w:t xml:space="preserve">virtual asset </w:t>
      </w:r>
      <w:r>
        <w:t>trading platform operator and the issuer of the virtual asset (if relevant).</w:t>
      </w:r>
      <w:r w:rsidR="00193329">
        <w:t xml:space="preserve"> At least one of the index providers must comply with the IOSCO Principles for Financial Benchmarks and have experience of publishing indices for the conventional securities market.</w:t>
      </w:r>
    </w:p>
    <w:p w:rsidR="00CB1748" w:rsidRDefault="00D02372" w:rsidP="00490707">
      <w:pPr>
        <w:snapToGrid w:val="0"/>
        <w:spacing w:after="0" w:line="240" w:lineRule="auto"/>
        <w:jc w:val="both"/>
      </w:pPr>
      <w:r>
        <w:t xml:space="preserve">Noting that large market capitalisation does not necessarily correlate with high liquidity, the SFC has </w:t>
      </w:r>
      <w:r w:rsidR="00364B96">
        <w:t xml:space="preserve">said </w:t>
      </w:r>
      <w:r>
        <w:t xml:space="preserve">that inclusion in two acceptable indices is a </w:t>
      </w:r>
      <w:r w:rsidRPr="00C855B2">
        <w:t xml:space="preserve">minimum </w:t>
      </w:r>
      <w:r>
        <w:t xml:space="preserve">criterion, rather than the </w:t>
      </w:r>
      <w:r w:rsidRPr="00C855B2">
        <w:t xml:space="preserve">sole </w:t>
      </w:r>
      <w:r>
        <w:t xml:space="preserve">criterion, </w:t>
      </w:r>
      <w:r w:rsidR="00364B96">
        <w:t>for virtual assets to be eligible for trading by retail investors.</w:t>
      </w:r>
      <w:r w:rsidR="00364B96" w:rsidRPr="00C855B2">
        <w:rPr>
          <w:rStyle w:val="a7"/>
        </w:rPr>
        <w:footnoteReference w:id="16"/>
      </w:r>
      <w:r w:rsidR="00364B96">
        <w:t xml:space="preserve"> Trading platform operators are therefore expected to conduct additional due diligence to ensure that eligible large-cap virtual assets admitted for retail trading are</w:t>
      </w:r>
      <w:r w:rsidR="00C855B2">
        <w:t xml:space="preserve"> in fact</w:t>
      </w:r>
      <w:r w:rsidR="00364B96">
        <w:t xml:space="preserve"> highly liquid.</w:t>
      </w:r>
    </w:p>
    <w:p w:rsidR="00AE25E5" w:rsidRDefault="00AE25E5" w:rsidP="00490707">
      <w:pPr>
        <w:snapToGrid w:val="0"/>
        <w:spacing w:after="0" w:line="240" w:lineRule="auto"/>
        <w:jc w:val="both"/>
      </w:pPr>
    </w:p>
    <w:p w:rsidR="00A81D0A" w:rsidRDefault="00510B96" w:rsidP="00490707">
      <w:pPr>
        <w:snapToGrid w:val="0"/>
        <w:spacing w:after="0" w:line="240" w:lineRule="auto"/>
        <w:jc w:val="both"/>
      </w:pPr>
      <w:r>
        <w:t xml:space="preserve">Trading platform operators are also required to ensure that </w:t>
      </w:r>
      <w:r w:rsidR="004F7537">
        <w:t xml:space="preserve">a virtual asset to be admitted for retail trading is not security (as defined in Part 1 of Schedule 1 to the SFO) except where the offering of the virtual asset to retail investors complies with the Hong Kong regulatory requirements for public offers of shares and debentures under the Companies (Winding Up and Miscellaneous Provisions) Ordinance and/or does not breach the restrictions on </w:t>
      </w:r>
      <w:r w:rsidR="00A81D0A">
        <w:t>offers of investments under Part IV of the SFO.</w:t>
      </w:r>
    </w:p>
    <w:p w:rsidR="00510B96" w:rsidRDefault="00A81D0A" w:rsidP="00490707">
      <w:pPr>
        <w:snapToGrid w:val="0"/>
        <w:spacing w:after="0" w:line="240" w:lineRule="auto"/>
        <w:jc w:val="both"/>
      </w:pPr>
      <w:r>
        <w:t xml:space="preserve"> </w:t>
      </w:r>
      <w:r w:rsidR="004F7537">
        <w:t xml:space="preserve"> </w:t>
      </w:r>
    </w:p>
    <w:p w:rsidR="00AE25E5" w:rsidRDefault="008C05E9" w:rsidP="00490707">
      <w:pPr>
        <w:snapToGrid w:val="0"/>
        <w:spacing w:after="0" w:line="240" w:lineRule="auto"/>
        <w:jc w:val="both"/>
      </w:pPr>
      <w:r>
        <w:t>T</w:t>
      </w:r>
      <w:r w:rsidR="00AE25E5">
        <w:t xml:space="preserve">he </w:t>
      </w:r>
      <w:r w:rsidR="00D81D79">
        <w:t xml:space="preserve">SFC’s prior written approval </w:t>
      </w:r>
      <w:r>
        <w:t>is required for the</w:t>
      </w:r>
      <w:r w:rsidR="00D81D79">
        <w:t xml:space="preserve"> </w:t>
      </w:r>
      <w:r>
        <w:t>admission of</w:t>
      </w:r>
      <w:r w:rsidR="00D81D79">
        <w:t xml:space="preserve"> any virtual asset </w:t>
      </w:r>
      <w:r>
        <w:t>for trading by retail clients and</w:t>
      </w:r>
      <w:r w:rsidR="00D81D79">
        <w:t xml:space="preserve"> </w:t>
      </w:r>
      <w:r>
        <w:t>the suspension of trading or removal</w:t>
      </w:r>
      <w:r w:rsidR="00D81D79">
        <w:t xml:space="preserve"> </w:t>
      </w:r>
      <w:r>
        <w:t xml:space="preserve">of </w:t>
      </w:r>
      <w:r w:rsidR="00D81D79">
        <w:t>any such virtual asset.</w:t>
      </w:r>
      <w:r w:rsidR="00D81D79">
        <w:rPr>
          <w:rStyle w:val="a7"/>
        </w:rPr>
        <w:footnoteReference w:id="17"/>
      </w:r>
    </w:p>
    <w:p w:rsidR="00DC1183" w:rsidRPr="00DC1183" w:rsidRDefault="00DC1183" w:rsidP="00DC1183">
      <w:pPr>
        <w:snapToGrid w:val="0"/>
        <w:spacing w:after="0" w:line="240" w:lineRule="auto"/>
        <w:jc w:val="both"/>
      </w:pPr>
    </w:p>
    <w:p w:rsidR="00DC1183" w:rsidRPr="00DC1183" w:rsidRDefault="00DC1183" w:rsidP="00DC1183">
      <w:pPr>
        <w:snapToGrid w:val="0"/>
        <w:spacing w:after="0" w:line="240" w:lineRule="auto"/>
        <w:jc w:val="both"/>
      </w:pPr>
      <w:r w:rsidRPr="00DC1183">
        <w:lastRenderedPageBreak/>
        <w:t xml:space="preserve">If a licensed platform </w:t>
      </w:r>
      <w:r w:rsidR="00CF1006">
        <w:t>operator wants</w:t>
      </w:r>
      <w:r w:rsidRPr="00DC1183">
        <w:t xml:space="preserve"> to make available for retail trading a virtual asset </w:t>
      </w:r>
      <w:r w:rsidR="000E63AE">
        <w:t xml:space="preserve">that </w:t>
      </w:r>
      <w:r w:rsidRPr="00DC1183">
        <w:t xml:space="preserve">fulfils the general token admission criteria but not the specific token admission criteria, it can </w:t>
      </w:r>
      <w:r>
        <w:t xml:space="preserve">make a submission to the SFC which will be considered </w:t>
      </w:r>
      <w:r w:rsidRPr="00DC1183">
        <w:t>on a case-by-case basis.</w:t>
      </w:r>
      <w:r>
        <w:rPr>
          <w:rStyle w:val="a7"/>
        </w:rPr>
        <w:footnoteReference w:id="18"/>
      </w:r>
    </w:p>
    <w:p w:rsidR="00CB1748" w:rsidRPr="00510B96" w:rsidRDefault="00CB1748" w:rsidP="00490707">
      <w:pPr>
        <w:snapToGrid w:val="0"/>
        <w:spacing w:after="0" w:line="240" w:lineRule="auto"/>
        <w:jc w:val="both"/>
        <w:rPr>
          <w:u w:val="single"/>
        </w:rPr>
      </w:pPr>
    </w:p>
    <w:p w:rsidR="00F700D1" w:rsidRPr="00510B96" w:rsidRDefault="00F700D1" w:rsidP="00490707">
      <w:pPr>
        <w:snapToGrid w:val="0"/>
        <w:spacing w:after="0" w:line="240" w:lineRule="auto"/>
        <w:jc w:val="both"/>
        <w:rPr>
          <w:u w:val="single"/>
        </w:rPr>
      </w:pPr>
      <w:r w:rsidRPr="00510B96">
        <w:rPr>
          <w:u w:val="single"/>
        </w:rPr>
        <w:t>Admissibility of Stablecoins for Retail Trading</w:t>
      </w:r>
    </w:p>
    <w:p w:rsidR="00B873A8" w:rsidRDefault="00B873A8" w:rsidP="00490707">
      <w:pPr>
        <w:snapToGrid w:val="0"/>
        <w:spacing w:after="0" w:line="240" w:lineRule="auto"/>
        <w:jc w:val="both"/>
      </w:pPr>
    </w:p>
    <w:p w:rsidR="00D81D79" w:rsidRDefault="00D81D79" w:rsidP="00490707">
      <w:pPr>
        <w:snapToGrid w:val="0"/>
        <w:spacing w:after="0" w:line="240" w:lineRule="auto"/>
        <w:jc w:val="both"/>
      </w:pPr>
      <w:r>
        <w:t>The SFC stated in the Consultation Conclusions that stablecoins should not be admitted for retail trading until they are regulated in Hong Kong</w:t>
      </w:r>
      <w:r w:rsidR="00350AF9">
        <w:t xml:space="preserve">. The Hong Kong Monetary Authority has proposed a new regulatory regime for various activities relating to stablecoins in its January 2023 </w:t>
      </w:r>
      <w:hyperlink r:id="rId17" w:history="1">
        <w:r w:rsidR="00350AF9" w:rsidRPr="00350AF9">
          <w:rPr>
            <w:rStyle w:val="a3"/>
          </w:rPr>
          <w:t>Conclusion of its Discussion Paper on Crypto-assets and Stablecoins</w:t>
        </w:r>
      </w:hyperlink>
      <w:r w:rsidR="00350AF9">
        <w:t>. For details of the proposed regulatory regime, please see Charltons’ newsletter “</w:t>
      </w:r>
      <w:hyperlink r:id="rId18" w:history="1">
        <w:r w:rsidR="00350AF9" w:rsidRPr="00350AF9">
          <w:rPr>
            <w:rStyle w:val="a3"/>
          </w:rPr>
          <w:t>HKMA to Adopt Licensing Regime for Stablecoins in 2023/24</w:t>
        </w:r>
      </w:hyperlink>
      <w:r w:rsidR="00350AF9">
        <w:t xml:space="preserve">”. </w:t>
      </w:r>
    </w:p>
    <w:p w:rsidR="00BD1E16" w:rsidRDefault="002112A5" w:rsidP="008C05E9">
      <w:pPr>
        <w:tabs>
          <w:tab w:val="left" w:pos="1948"/>
        </w:tabs>
        <w:snapToGrid w:val="0"/>
        <w:spacing w:after="0" w:line="240" w:lineRule="auto"/>
        <w:jc w:val="both"/>
      </w:pPr>
      <w:r>
        <w:tab/>
      </w:r>
    </w:p>
    <w:p w:rsidR="00510B96" w:rsidRDefault="00EF1ED1" w:rsidP="00510B96">
      <w:pPr>
        <w:snapToGrid w:val="0"/>
        <w:spacing w:after="0" w:line="240" w:lineRule="auto"/>
        <w:jc w:val="both"/>
        <w:rPr>
          <w:b/>
          <w:i/>
        </w:rPr>
      </w:pPr>
      <w:r w:rsidRPr="00510B96">
        <w:rPr>
          <w:b/>
          <w:i/>
        </w:rPr>
        <w:t>Other</w:t>
      </w:r>
      <w:r w:rsidR="00F6451C" w:rsidRPr="00510B96">
        <w:rPr>
          <w:b/>
          <w:i/>
        </w:rPr>
        <w:t xml:space="preserve"> </w:t>
      </w:r>
      <w:r w:rsidR="00C81ACA">
        <w:rPr>
          <w:b/>
          <w:i/>
        </w:rPr>
        <w:t>Token Due Diligence to be Performed</w:t>
      </w:r>
    </w:p>
    <w:p w:rsidR="00C81ACA" w:rsidRPr="00510B96" w:rsidRDefault="00C81ACA" w:rsidP="00510B96">
      <w:pPr>
        <w:snapToGrid w:val="0"/>
        <w:spacing w:after="0" w:line="240" w:lineRule="auto"/>
        <w:jc w:val="both"/>
        <w:rPr>
          <w:rFonts w:cstheme="minorHAnsi"/>
        </w:rPr>
      </w:pPr>
    </w:p>
    <w:p w:rsidR="00C81ACA" w:rsidRDefault="00C81ACA" w:rsidP="00510B96">
      <w:pPr>
        <w:snapToGrid w:val="0"/>
        <w:spacing w:after="0" w:line="240" w:lineRule="auto"/>
        <w:jc w:val="both"/>
        <w:rPr>
          <w:rFonts w:cstheme="minorHAnsi"/>
        </w:rPr>
      </w:pPr>
      <w:r>
        <w:rPr>
          <w:rFonts w:cstheme="minorHAnsi"/>
        </w:rPr>
        <w:t>Before admitting virtual assets for trading, l</w:t>
      </w:r>
      <w:r w:rsidR="00510B96" w:rsidRPr="00510B96">
        <w:rPr>
          <w:rFonts w:cstheme="minorHAnsi"/>
        </w:rPr>
        <w:t>icensed platform operators must</w:t>
      </w:r>
      <w:r>
        <w:rPr>
          <w:rFonts w:cstheme="minorHAnsi"/>
        </w:rPr>
        <w:t>:</w:t>
      </w:r>
    </w:p>
    <w:p w:rsidR="00C81ACA" w:rsidRDefault="00C81ACA" w:rsidP="00510B96">
      <w:pPr>
        <w:snapToGrid w:val="0"/>
        <w:spacing w:after="0" w:line="240" w:lineRule="auto"/>
        <w:jc w:val="both"/>
        <w:rPr>
          <w:rFonts w:cstheme="minorHAnsi"/>
        </w:rPr>
      </w:pPr>
    </w:p>
    <w:p w:rsidR="00C81ACA" w:rsidRDefault="00510B96" w:rsidP="00510B96">
      <w:pPr>
        <w:pStyle w:val="a4"/>
        <w:numPr>
          <w:ilvl w:val="0"/>
          <w:numId w:val="23"/>
        </w:numPr>
        <w:snapToGrid w:val="0"/>
        <w:spacing w:after="0" w:line="240" w:lineRule="auto"/>
        <w:ind w:left="851" w:hanging="425"/>
        <w:jc w:val="both"/>
        <w:rPr>
          <w:rFonts w:cstheme="minorHAnsi"/>
        </w:rPr>
      </w:pPr>
      <w:r w:rsidRPr="00C81ACA">
        <w:rPr>
          <w:rFonts w:cstheme="minorHAnsi"/>
        </w:rPr>
        <w:t>ensure that their internal controls, systems, technology and infrastructure (</w:t>
      </w:r>
      <w:r w:rsidR="00504BF9" w:rsidRPr="00C81ACA">
        <w:rPr>
          <w:rFonts w:cstheme="minorHAnsi"/>
        </w:rPr>
        <w:t>e.g. their</w:t>
      </w:r>
      <w:r w:rsidRPr="00C81ACA">
        <w:rPr>
          <w:rFonts w:cstheme="minorHAnsi"/>
        </w:rPr>
        <w:t xml:space="preserve"> anti-money laundering monitoring and market surveillance tools) are able to support and manage any risks specific to the virtual asset</w:t>
      </w:r>
      <w:r w:rsidR="00504BF9" w:rsidRPr="00C81ACA">
        <w:rPr>
          <w:rFonts w:cstheme="minorHAnsi"/>
        </w:rPr>
        <w:t xml:space="preserve">s to be </w:t>
      </w:r>
      <w:r w:rsidR="00C81ACA" w:rsidRPr="00C81ACA">
        <w:rPr>
          <w:rFonts w:cstheme="minorHAnsi"/>
        </w:rPr>
        <w:t>made available for trading</w:t>
      </w:r>
      <w:r w:rsidR="00504BF9" w:rsidRPr="00C81ACA">
        <w:rPr>
          <w:rFonts w:cstheme="minorHAnsi"/>
        </w:rPr>
        <w:t xml:space="preserve"> on </w:t>
      </w:r>
      <w:r w:rsidR="00C54D00" w:rsidRPr="00C81ACA">
        <w:rPr>
          <w:rFonts w:cstheme="minorHAnsi"/>
        </w:rPr>
        <w:t xml:space="preserve">their </w:t>
      </w:r>
      <w:r w:rsidR="00504BF9" w:rsidRPr="00C81ACA">
        <w:rPr>
          <w:rFonts w:cstheme="minorHAnsi"/>
        </w:rPr>
        <w:t>platform</w:t>
      </w:r>
      <w:r w:rsidR="00C54D00" w:rsidRPr="00C81ACA">
        <w:rPr>
          <w:rFonts w:cstheme="minorHAnsi"/>
        </w:rPr>
        <w:t>s</w:t>
      </w:r>
      <w:r w:rsidR="00C81ACA">
        <w:rPr>
          <w:rFonts w:cstheme="minorHAnsi"/>
        </w:rPr>
        <w:t>;</w:t>
      </w:r>
      <w:r w:rsidR="00C81ACA">
        <w:rPr>
          <w:rStyle w:val="a7"/>
          <w:rFonts w:cstheme="minorHAnsi"/>
        </w:rPr>
        <w:footnoteReference w:id="19"/>
      </w:r>
      <w:r w:rsidR="00C81ACA">
        <w:rPr>
          <w:rFonts w:cstheme="minorHAnsi"/>
        </w:rPr>
        <w:t xml:space="preserve"> and</w:t>
      </w:r>
      <w:r w:rsidRPr="00C81ACA">
        <w:rPr>
          <w:rFonts w:cstheme="minorHAnsi"/>
        </w:rPr>
        <w:t xml:space="preserve"> </w:t>
      </w:r>
    </w:p>
    <w:p w:rsidR="00C81ACA" w:rsidRDefault="00C81ACA" w:rsidP="00C81ACA">
      <w:pPr>
        <w:pStyle w:val="a4"/>
        <w:snapToGrid w:val="0"/>
        <w:spacing w:after="0" w:line="240" w:lineRule="auto"/>
        <w:ind w:left="851"/>
        <w:jc w:val="both"/>
        <w:rPr>
          <w:rFonts w:cstheme="minorHAnsi"/>
        </w:rPr>
      </w:pPr>
    </w:p>
    <w:p w:rsidR="00510B96" w:rsidRPr="00C81ACA" w:rsidRDefault="00C54D00" w:rsidP="00510B96">
      <w:pPr>
        <w:pStyle w:val="a4"/>
        <w:numPr>
          <w:ilvl w:val="0"/>
          <w:numId w:val="23"/>
        </w:numPr>
        <w:snapToGrid w:val="0"/>
        <w:spacing w:after="0" w:line="240" w:lineRule="auto"/>
        <w:ind w:left="851" w:hanging="425"/>
        <w:jc w:val="both"/>
        <w:rPr>
          <w:rFonts w:cstheme="minorHAnsi"/>
        </w:rPr>
      </w:pPr>
      <w:r w:rsidRPr="00C81ACA">
        <w:rPr>
          <w:rFonts w:cstheme="minorHAnsi"/>
        </w:rPr>
        <w:t xml:space="preserve">appoint an independent assessor to </w:t>
      </w:r>
      <w:r w:rsidR="00510B96" w:rsidRPr="00C81ACA">
        <w:rPr>
          <w:rFonts w:cstheme="minorHAnsi"/>
        </w:rPr>
        <w:t xml:space="preserve">conduct a smart contract </w:t>
      </w:r>
      <w:r w:rsidRPr="00C81ACA">
        <w:rPr>
          <w:rFonts w:cstheme="minorHAnsi"/>
        </w:rPr>
        <w:t>audit for virtual assets based on smart contracts</w:t>
      </w:r>
      <w:r w:rsidR="00C81ACA">
        <w:rPr>
          <w:rFonts w:cstheme="minorHAnsi"/>
        </w:rPr>
        <w:t>,</w:t>
      </w:r>
      <w:r w:rsidR="00826D89" w:rsidRPr="00C81ACA">
        <w:rPr>
          <w:rFonts w:cstheme="minorHAnsi"/>
        </w:rPr>
        <w:t xml:space="preserve"> unless the platform operator can demonstrate that it would be reasonable to rely on a smart contract audit already conducted by an independent assessor engaged by a third party. T</w:t>
      </w:r>
      <w:r w:rsidRPr="00C81ACA">
        <w:rPr>
          <w:rFonts w:cstheme="minorHAnsi"/>
        </w:rPr>
        <w:t>he purpose of the audit is</w:t>
      </w:r>
      <w:r w:rsidR="00510B96" w:rsidRPr="00C81ACA">
        <w:rPr>
          <w:rFonts w:cstheme="minorHAnsi"/>
        </w:rPr>
        <w:t xml:space="preserve"> </w:t>
      </w:r>
      <w:r w:rsidRPr="00C81ACA">
        <w:rPr>
          <w:rFonts w:cstheme="minorHAnsi"/>
        </w:rPr>
        <w:t xml:space="preserve">to </w:t>
      </w:r>
      <w:r w:rsidR="00826D89" w:rsidRPr="00C81ACA">
        <w:rPr>
          <w:rFonts w:cstheme="minorHAnsi"/>
        </w:rPr>
        <w:t xml:space="preserve">check </w:t>
      </w:r>
      <w:r w:rsidR="00504BF9" w:rsidRPr="00C81ACA">
        <w:rPr>
          <w:rFonts w:cstheme="minorHAnsi"/>
        </w:rPr>
        <w:t xml:space="preserve">that </w:t>
      </w:r>
      <w:r w:rsidR="00510B96" w:rsidRPr="00C81ACA">
        <w:rPr>
          <w:rFonts w:cstheme="minorHAnsi"/>
        </w:rPr>
        <w:t>smart contract</w:t>
      </w:r>
      <w:r w:rsidR="00826D89" w:rsidRPr="00C81ACA">
        <w:rPr>
          <w:rFonts w:cstheme="minorHAnsi"/>
        </w:rPr>
        <w:t>s are</w:t>
      </w:r>
      <w:r w:rsidR="00510B96" w:rsidRPr="00C81ACA">
        <w:rPr>
          <w:rFonts w:cstheme="minorHAnsi"/>
        </w:rPr>
        <w:t xml:space="preserve"> </w:t>
      </w:r>
      <w:r w:rsidRPr="00C81ACA">
        <w:rPr>
          <w:rFonts w:cstheme="minorHAnsi"/>
        </w:rPr>
        <w:t xml:space="preserve">not </w:t>
      </w:r>
      <w:r w:rsidR="00510B96" w:rsidRPr="00C81ACA">
        <w:rPr>
          <w:rFonts w:cstheme="minorHAnsi"/>
        </w:rPr>
        <w:t>subject to any contract vu</w:t>
      </w:r>
      <w:r w:rsidRPr="00C81ACA">
        <w:rPr>
          <w:rFonts w:cstheme="minorHAnsi"/>
        </w:rPr>
        <w:t>lnerabilities or security flaws</w:t>
      </w:r>
      <w:r w:rsidR="00826D89" w:rsidRPr="00C81ACA">
        <w:rPr>
          <w:rFonts w:cstheme="minorHAnsi"/>
        </w:rPr>
        <w:t>.</w:t>
      </w:r>
      <w:r w:rsidR="00C81ACA">
        <w:rPr>
          <w:rStyle w:val="a7"/>
          <w:rFonts w:cstheme="minorHAnsi"/>
        </w:rPr>
        <w:footnoteReference w:id="20"/>
      </w:r>
      <w:r w:rsidR="00510B96" w:rsidRPr="00C81ACA">
        <w:rPr>
          <w:rFonts w:cstheme="minorHAnsi"/>
        </w:rPr>
        <w:t xml:space="preserve"> </w:t>
      </w:r>
    </w:p>
    <w:p w:rsidR="00950151" w:rsidRDefault="00950151" w:rsidP="00490707">
      <w:pPr>
        <w:snapToGrid w:val="0"/>
        <w:spacing w:after="0" w:line="240" w:lineRule="auto"/>
        <w:jc w:val="both"/>
      </w:pPr>
    </w:p>
    <w:p w:rsidR="007E5B0F" w:rsidRPr="00752AB0" w:rsidRDefault="002500E9" w:rsidP="00203ED5">
      <w:pPr>
        <w:pStyle w:val="a4"/>
        <w:numPr>
          <w:ilvl w:val="0"/>
          <w:numId w:val="4"/>
        </w:numPr>
        <w:snapToGrid w:val="0"/>
        <w:spacing w:after="0" w:line="240" w:lineRule="auto"/>
        <w:ind w:left="426" w:hanging="426"/>
        <w:jc w:val="both"/>
        <w:rPr>
          <w:b/>
          <w:i/>
          <w:u w:val="single"/>
        </w:rPr>
      </w:pPr>
      <w:r>
        <w:rPr>
          <w:b/>
        </w:rPr>
        <w:t>Hong Kong L</w:t>
      </w:r>
      <w:r w:rsidR="0079175E" w:rsidRPr="00203ED5">
        <w:rPr>
          <w:b/>
        </w:rPr>
        <w:t xml:space="preserve">icensed </w:t>
      </w:r>
      <w:r>
        <w:rPr>
          <w:b/>
        </w:rPr>
        <w:t>V</w:t>
      </w:r>
      <w:r w:rsidR="00E27B33">
        <w:rPr>
          <w:b/>
        </w:rPr>
        <w:t xml:space="preserve">irtual </w:t>
      </w:r>
      <w:r>
        <w:rPr>
          <w:b/>
        </w:rPr>
        <w:t>A</w:t>
      </w:r>
      <w:r w:rsidR="00E27B33">
        <w:rPr>
          <w:b/>
        </w:rPr>
        <w:t>sset</w:t>
      </w:r>
      <w:r>
        <w:rPr>
          <w:b/>
        </w:rPr>
        <w:t xml:space="preserve"> Trading Platform O</w:t>
      </w:r>
      <w:r w:rsidR="0079175E" w:rsidRPr="00203ED5">
        <w:rPr>
          <w:b/>
        </w:rPr>
        <w:t>perator</w:t>
      </w:r>
      <w:r w:rsidR="0079175E" w:rsidRPr="00203ED5">
        <w:t xml:space="preserve"> </w:t>
      </w:r>
      <w:r>
        <w:rPr>
          <w:b/>
        </w:rPr>
        <w:t>Disclosure O</w:t>
      </w:r>
      <w:r w:rsidR="006725F8" w:rsidRPr="00203ED5">
        <w:rPr>
          <w:b/>
        </w:rPr>
        <w:t>bligations</w:t>
      </w:r>
    </w:p>
    <w:p w:rsidR="00490707" w:rsidRPr="006725F8" w:rsidRDefault="00490707" w:rsidP="00490707">
      <w:pPr>
        <w:snapToGrid w:val="0"/>
        <w:spacing w:after="0" w:line="240" w:lineRule="auto"/>
        <w:jc w:val="both"/>
        <w:rPr>
          <w:b/>
        </w:rPr>
      </w:pPr>
    </w:p>
    <w:p w:rsidR="00AB5037" w:rsidRPr="004903B6" w:rsidRDefault="00AB5037" w:rsidP="00AB5037">
      <w:pPr>
        <w:jc w:val="both"/>
        <w:rPr>
          <w:rFonts w:cstheme="minorHAnsi"/>
        </w:rPr>
      </w:pPr>
      <w:r w:rsidRPr="004903B6">
        <w:rPr>
          <w:rFonts w:cstheme="minorHAnsi"/>
        </w:rPr>
        <w:t>As part of their disclosure obligations, Hong Kong licensed VA tradi</w:t>
      </w:r>
      <w:r w:rsidR="004903B6">
        <w:rPr>
          <w:rFonts w:cstheme="minorHAnsi"/>
        </w:rPr>
        <w:t>ng platform operators are requir</w:t>
      </w:r>
      <w:r w:rsidRPr="004903B6">
        <w:rPr>
          <w:rFonts w:cstheme="minorHAnsi"/>
        </w:rPr>
        <w:t>ed to provide clients with adequate product information to enable them to evaluate their investments</w:t>
      </w:r>
      <w:r w:rsidR="00A37CB0">
        <w:rPr>
          <w:rFonts w:cstheme="minorHAnsi"/>
        </w:rPr>
        <w:t>.</w:t>
      </w:r>
      <w:r w:rsidR="004903B6">
        <w:rPr>
          <w:rStyle w:val="a7"/>
          <w:rFonts w:cstheme="minorHAnsi"/>
        </w:rPr>
        <w:footnoteReference w:id="21"/>
      </w:r>
      <w:r w:rsidR="00E27B33">
        <w:rPr>
          <w:rFonts w:cstheme="minorHAnsi"/>
        </w:rPr>
        <w:t xml:space="preserve"> This information must be</w:t>
      </w:r>
      <w:r w:rsidRPr="004903B6">
        <w:rPr>
          <w:rFonts w:cstheme="minorHAnsi"/>
        </w:rPr>
        <w:t xml:space="preserve"> made available on the platform operator’s website and include: (i) the price and trading volume of virtual assets on the platform, for example, in the last 24 hours</w:t>
      </w:r>
      <w:r w:rsidR="001211F7">
        <w:rPr>
          <w:rFonts w:cstheme="minorHAnsi"/>
        </w:rPr>
        <w:t xml:space="preserve"> and since their</w:t>
      </w:r>
      <w:r w:rsidR="004903B6">
        <w:rPr>
          <w:rFonts w:cstheme="minorHAnsi"/>
        </w:rPr>
        <w:t xml:space="preserve"> admission for trading on the platform</w:t>
      </w:r>
      <w:r w:rsidRPr="004903B6">
        <w:rPr>
          <w:rFonts w:cstheme="minorHAnsi"/>
        </w:rPr>
        <w:t xml:space="preserve">; (ii) information about the management </w:t>
      </w:r>
      <w:r w:rsidR="004903B6">
        <w:rPr>
          <w:rFonts w:cstheme="minorHAnsi"/>
        </w:rPr>
        <w:t>or development team</w:t>
      </w:r>
      <w:r w:rsidRPr="004903B6">
        <w:rPr>
          <w:rFonts w:cstheme="minorHAnsi"/>
        </w:rPr>
        <w:t xml:space="preserve"> of the virtual assets; (iii) the issuance date; (iv) the </w:t>
      </w:r>
      <w:r w:rsidR="001211F7">
        <w:rPr>
          <w:rFonts w:cstheme="minorHAnsi"/>
        </w:rPr>
        <w:t xml:space="preserve">material </w:t>
      </w:r>
      <w:r w:rsidRPr="004903B6">
        <w:rPr>
          <w:rFonts w:cstheme="minorHAnsi"/>
        </w:rPr>
        <w:t xml:space="preserve">terms and features of the virtual assets; (v) </w:t>
      </w:r>
      <w:r w:rsidR="001211F7">
        <w:rPr>
          <w:rFonts w:cstheme="minorHAnsi"/>
        </w:rPr>
        <w:t xml:space="preserve">the platform operator’s affiliation with the issuer, management or development team of any virtual asset; (vi) </w:t>
      </w:r>
      <w:r w:rsidRPr="004903B6">
        <w:rPr>
          <w:rFonts w:cstheme="minorHAnsi"/>
        </w:rPr>
        <w:t xml:space="preserve">links to the virtual assets’ official websites </w:t>
      </w:r>
      <w:r w:rsidR="001211F7">
        <w:rPr>
          <w:rFonts w:cstheme="minorHAnsi"/>
        </w:rPr>
        <w:t xml:space="preserve">and Whitepapers </w:t>
      </w:r>
      <w:r w:rsidRPr="004903B6">
        <w:rPr>
          <w:rFonts w:cstheme="minorHAnsi"/>
        </w:rPr>
        <w:t>(if any); (vi</w:t>
      </w:r>
      <w:r w:rsidR="001211F7">
        <w:rPr>
          <w:rFonts w:cstheme="minorHAnsi"/>
        </w:rPr>
        <w:t>i</w:t>
      </w:r>
      <w:r w:rsidRPr="004903B6">
        <w:rPr>
          <w:rFonts w:cstheme="minorHAnsi"/>
        </w:rPr>
        <w:t xml:space="preserve">) links to the smart contract audit reports </w:t>
      </w:r>
      <w:r w:rsidR="001211F7">
        <w:rPr>
          <w:rFonts w:cstheme="minorHAnsi"/>
        </w:rPr>
        <w:t xml:space="preserve">and other bug reports </w:t>
      </w:r>
      <w:r w:rsidRPr="004903B6">
        <w:rPr>
          <w:rFonts w:cstheme="minorHAnsi"/>
        </w:rPr>
        <w:t>of the virtual assets (if any); and (vii) where the virtual assets have voting rights, how these voting rights will be handled by the platform operator.</w:t>
      </w:r>
      <w:r w:rsidR="001211F7">
        <w:rPr>
          <w:rStyle w:val="a7"/>
          <w:rFonts w:cstheme="minorHAnsi"/>
        </w:rPr>
        <w:footnoteReference w:id="22"/>
      </w:r>
    </w:p>
    <w:p w:rsidR="00260C5E" w:rsidRDefault="00AB5037" w:rsidP="004903B6">
      <w:pPr>
        <w:jc w:val="both"/>
        <w:rPr>
          <w:rFonts w:cstheme="minorHAnsi"/>
        </w:rPr>
      </w:pPr>
      <w:r w:rsidRPr="004903B6">
        <w:rPr>
          <w:rFonts w:cstheme="minorHAnsi"/>
        </w:rPr>
        <w:t xml:space="preserve">Platform operators </w:t>
      </w:r>
      <w:r w:rsidR="00A37CB0">
        <w:rPr>
          <w:rFonts w:cstheme="minorHAnsi"/>
        </w:rPr>
        <w:t xml:space="preserve">must take all reasonable steps to </w:t>
      </w:r>
      <w:r w:rsidRPr="004903B6">
        <w:rPr>
          <w:rFonts w:cstheme="minorHAnsi"/>
        </w:rPr>
        <w:t>ensure that any product-specific materials and other materials posted on the platform do not contain false, biased, misleading or deceptive information.</w:t>
      </w:r>
      <w:r w:rsidR="00A37CB0">
        <w:rPr>
          <w:rStyle w:val="a7"/>
          <w:rFonts w:cstheme="minorHAnsi"/>
        </w:rPr>
        <w:footnoteReference w:id="23"/>
      </w:r>
      <w:r w:rsidRPr="004903B6">
        <w:rPr>
          <w:rFonts w:cstheme="minorHAnsi"/>
        </w:rPr>
        <w:t xml:space="preserve"> Moreover, upon request, platform operators must disclose their financial condition to clients by providing a copy of their latest audited balance sheet and profit and loss account required to be filed with the SFC. If there have been any material changes that </w:t>
      </w:r>
      <w:r w:rsidRPr="004903B6">
        <w:rPr>
          <w:rFonts w:cstheme="minorHAnsi"/>
        </w:rPr>
        <w:lastRenderedPageBreak/>
        <w:t>adversely affect their financial condition after the date of the accounts, these changes must also be disclosed to the clients.</w:t>
      </w:r>
      <w:r w:rsidR="00A37CB0">
        <w:rPr>
          <w:rStyle w:val="a7"/>
          <w:rFonts w:cstheme="minorHAnsi"/>
        </w:rPr>
        <w:footnoteReference w:id="24"/>
      </w:r>
    </w:p>
    <w:p w:rsidR="00AE5CBD" w:rsidRDefault="0024676E" w:rsidP="004903B6">
      <w:pPr>
        <w:jc w:val="both"/>
        <w:rPr>
          <w:rFonts w:cstheme="minorHAnsi"/>
        </w:rPr>
      </w:pPr>
      <w:r>
        <w:t>Platform o</w:t>
      </w:r>
      <w:r w:rsidR="00AE5CBD">
        <w:t>perators dealing with retail clients must provide prominent disclosure of the nature of virtual assets and the risks of trading them, including the risk disclosure statemen</w:t>
      </w:r>
      <w:r w:rsidR="000E63AE">
        <w:t>t</w:t>
      </w:r>
      <w:r w:rsidR="00AE5CBD">
        <w:t>s set out in Schedule 2 to the VATP Guidelines.</w:t>
      </w:r>
      <w:r w:rsidR="00AE5CBD">
        <w:rPr>
          <w:rStyle w:val="a7"/>
        </w:rPr>
        <w:footnoteReference w:id="25"/>
      </w:r>
    </w:p>
    <w:p w:rsidR="009C5D4F" w:rsidRDefault="008A1F6F" w:rsidP="009C5D4F">
      <w:pPr>
        <w:pStyle w:val="a4"/>
        <w:numPr>
          <w:ilvl w:val="0"/>
          <w:numId w:val="4"/>
        </w:numPr>
        <w:ind w:left="426" w:hanging="426"/>
        <w:jc w:val="both"/>
        <w:rPr>
          <w:rFonts w:cstheme="minorHAnsi"/>
          <w:b/>
        </w:rPr>
      </w:pPr>
      <w:r>
        <w:rPr>
          <w:b/>
        </w:rPr>
        <w:t>Virtual Asset Trading Platform O</w:t>
      </w:r>
      <w:r w:rsidRPr="00203ED5">
        <w:rPr>
          <w:b/>
        </w:rPr>
        <w:t>perator</w:t>
      </w:r>
      <w:r>
        <w:rPr>
          <w:rFonts w:cstheme="minorHAnsi"/>
          <w:b/>
        </w:rPr>
        <w:t xml:space="preserve"> Obligations re. </w:t>
      </w:r>
      <w:r w:rsidR="009C5D4F">
        <w:rPr>
          <w:rFonts w:cstheme="minorHAnsi"/>
          <w:b/>
        </w:rPr>
        <w:t xml:space="preserve">Handling Client </w:t>
      </w:r>
      <w:r w:rsidR="00AF153C">
        <w:rPr>
          <w:rFonts w:cstheme="minorHAnsi"/>
          <w:b/>
        </w:rPr>
        <w:t xml:space="preserve">Virtual </w:t>
      </w:r>
      <w:r w:rsidR="009C5D4F">
        <w:rPr>
          <w:rFonts w:cstheme="minorHAnsi"/>
          <w:b/>
        </w:rPr>
        <w:t>Assets</w:t>
      </w:r>
    </w:p>
    <w:p w:rsidR="00424D28" w:rsidRDefault="009C5D4F" w:rsidP="009C5D4F">
      <w:pPr>
        <w:jc w:val="both"/>
        <w:rPr>
          <w:rFonts w:cstheme="minorHAnsi"/>
        </w:rPr>
      </w:pPr>
      <w:r>
        <w:rPr>
          <w:rFonts w:cstheme="minorHAnsi"/>
        </w:rPr>
        <w:t>A l</w:t>
      </w:r>
      <w:r w:rsidRPr="005C7644">
        <w:rPr>
          <w:rFonts w:cstheme="minorHAnsi"/>
        </w:rPr>
        <w:t xml:space="preserve">icensed virtual asset </w:t>
      </w:r>
      <w:r w:rsidR="00AF153C">
        <w:rPr>
          <w:rFonts w:cstheme="minorHAnsi"/>
        </w:rPr>
        <w:t xml:space="preserve">trading </w:t>
      </w:r>
      <w:r w:rsidRPr="005C7644">
        <w:rPr>
          <w:rFonts w:cstheme="minorHAnsi"/>
        </w:rPr>
        <w:t xml:space="preserve">platform operator </w:t>
      </w:r>
      <w:r>
        <w:rPr>
          <w:rFonts w:cstheme="minorHAnsi"/>
        </w:rPr>
        <w:t>can only hold client assets (i.e. client virtual assets and client money) through an associ</w:t>
      </w:r>
      <w:r w:rsidRPr="005C7644">
        <w:rPr>
          <w:rFonts w:cstheme="minorHAnsi"/>
        </w:rPr>
        <w:t>a</w:t>
      </w:r>
      <w:r>
        <w:rPr>
          <w:rFonts w:cstheme="minorHAnsi"/>
        </w:rPr>
        <w:t>ted entity,</w:t>
      </w:r>
      <w:r w:rsidR="00AF153C">
        <w:rPr>
          <w:rStyle w:val="a7"/>
          <w:rFonts w:cstheme="minorHAnsi"/>
        </w:rPr>
        <w:footnoteReference w:id="26"/>
      </w:r>
      <w:r>
        <w:rPr>
          <w:rFonts w:cstheme="minorHAnsi"/>
        </w:rPr>
        <w:t xml:space="preserve"> i.e. </w:t>
      </w:r>
      <w:r w:rsidR="00AF153C">
        <w:rPr>
          <w:rFonts w:cstheme="minorHAnsi"/>
        </w:rPr>
        <w:t xml:space="preserve">a Hong Kong-incorporated subsidiary of the </w:t>
      </w:r>
      <w:r w:rsidR="00AF153C" w:rsidRPr="005C7644">
        <w:rPr>
          <w:rFonts w:cstheme="minorHAnsi"/>
        </w:rPr>
        <w:t xml:space="preserve">virtual asset </w:t>
      </w:r>
      <w:r w:rsidR="00AF153C">
        <w:rPr>
          <w:rFonts w:cstheme="minorHAnsi"/>
        </w:rPr>
        <w:t xml:space="preserve">trading </w:t>
      </w:r>
      <w:r w:rsidR="00AF153C" w:rsidRPr="005C7644">
        <w:rPr>
          <w:rFonts w:cstheme="minorHAnsi"/>
        </w:rPr>
        <w:t>platform operator</w:t>
      </w:r>
      <w:r>
        <w:rPr>
          <w:rFonts w:cstheme="minorHAnsi"/>
        </w:rPr>
        <w:t xml:space="preserve"> </w:t>
      </w:r>
      <w:r w:rsidR="00AF153C">
        <w:rPr>
          <w:rFonts w:cstheme="minorHAnsi"/>
        </w:rPr>
        <w:t xml:space="preserve"> which is a licensed trust or service company provider under the AMLO and has notified the SFC that it is an associated entity of the l</w:t>
      </w:r>
      <w:r w:rsidR="00AF153C" w:rsidRPr="005C7644">
        <w:rPr>
          <w:rFonts w:cstheme="minorHAnsi"/>
        </w:rPr>
        <w:t xml:space="preserve">icensed virtual asset </w:t>
      </w:r>
      <w:r w:rsidR="00AF153C">
        <w:rPr>
          <w:rFonts w:cstheme="minorHAnsi"/>
        </w:rPr>
        <w:t xml:space="preserve">trading </w:t>
      </w:r>
      <w:r w:rsidR="00AF153C" w:rsidRPr="005C7644">
        <w:rPr>
          <w:rFonts w:cstheme="minorHAnsi"/>
        </w:rPr>
        <w:t xml:space="preserve">platform operator </w:t>
      </w:r>
      <w:r w:rsidR="00AF153C">
        <w:rPr>
          <w:rFonts w:cstheme="minorHAnsi"/>
        </w:rPr>
        <w:t xml:space="preserve">under section 53ZRW of the AMLO and/or section 165 of the SFO. </w:t>
      </w:r>
      <w:r w:rsidR="00296023">
        <w:rPr>
          <w:rFonts w:cstheme="minorHAnsi"/>
        </w:rPr>
        <w:t>Client virtual assets must be held in wallet address(es) established by the platform operator’s associated entity and must be segregated from the assets of the platform operator and its associated entity.</w:t>
      </w:r>
      <w:r w:rsidR="00296023">
        <w:rPr>
          <w:rStyle w:val="a7"/>
          <w:rFonts w:cstheme="minorHAnsi"/>
        </w:rPr>
        <w:footnoteReference w:id="27"/>
      </w:r>
      <w:r w:rsidR="00296023">
        <w:rPr>
          <w:rFonts w:cstheme="minorHAnsi"/>
        </w:rPr>
        <w:t xml:space="preserve"> A</w:t>
      </w:r>
      <w:r w:rsidRPr="005C7644">
        <w:rPr>
          <w:rFonts w:cstheme="minorHAnsi"/>
        </w:rPr>
        <w:t xml:space="preserve">t least 98% of client virtual assets </w:t>
      </w:r>
      <w:r w:rsidR="00296023">
        <w:rPr>
          <w:rFonts w:cstheme="minorHAnsi"/>
        </w:rPr>
        <w:t xml:space="preserve">must be held </w:t>
      </w:r>
      <w:r w:rsidRPr="005C7644">
        <w:rPr>
          <w:rFonts w:cstheme="minorHAnsi"/>
        </w:rPr>
        <w:t>in cold storage</w:t>
      </w:r>
      <w:r>
        <w:rPr>
          <w:rStyle w:val="a7"/>
          <w:rFonts w:cstheme="minorHAnsi"/>
        </w:rPr>
        <w:footnoteReference w:id="28"/>
      </w:r>
      <w:r w:rsidRPr="005C7644">
        <w:rPr>
          <w:rFonts w:cstheme="minorHAnsi"/>
        </w:rPr>
        <w:t xml:space="preserve"> which is less vulnerable to hacking and other cybersecurity risks</w:t>
      </w:r>
      <w:r w:rsidR="003E6BF4">
        <w:rPr>
          <w:rFonts w:cstheme="minorHAnsi"/>
        </w:rPr>
        <w:t>, excep</w:t>
      </w:r>
      <w:r w:rsidR="008A1F6F">
        <w:rPr>
          <w:rFonts w:cstheme="minorHAnsi"/>
        </w:rPr>
        <w:t>t in limited circumstances allowed by the SFC on a case-by-case basis to minimise losses resulting from the platform being hacked or compromised</w:t>
      </w:r>
      <w:r w:rsidRPr="005C7644">
        <w:rPr>
          <w:rFonts w:cstheme="minorHAnsi"/>
        </w:rPr>
        <w:t>.</w:t>
      </w:r>
      <w:r w:rsidR="00424D28">
        <w:rPr>
          <w:rFonts w:cstheme="minorHAnsi"/>
        </w:rPr>
        <w:t xml:space="preserve"> </w:t>
      </w:r>
    </w:p>
    <w:p w:rsidR="009C5D4F" w:rsidRPr="009C5D4F" w:rsidRDefault="00424D28" w:rsidP="009C5D4F">
      <w:pPr>
        <w:jc w:val="both"/>
        <w:rPr>
          <w:rFonts w:cstheme="minorHAnsi"/>
          <w:b/>
        </w:rPr>
      </w:pPr>
      <w:r>
        <w:rPr>
          <w:rFonts w:cstheme="minorHAnsi"/>
        </w:rPr>
        <w:t>Licensed trading platform operators must have robust internal controls and governance procedures to ensure that cryptographic seeds and private keys are securely generated, stored and backed up. They must also ensure that their associated entities implement the same controls and procedures which must (among others) restrict access to seeds and private keys for client virtual assets to authorised personnel who have been appropriately screened and trained and provided for seeds and private keys to be securely stored in Hong Kong.</w:t>
      </w:r>
      <w:r>
        <w:rPr>
          <w:rStyle w:val="a7"/>
          <w:rFonts w:cstheme="minorHAnsi"/>
        </w:rPr>
        <w:footnoteReference w:id="29"/>
      </w:r>
      <w:r w:rsidR="003E6BF4">
        <w:rPr>
          <w:rFonts w:cstheme="minorHAnsi"/>
        </w:rPr>
        <w:t xml:space="preserve"> </w:t>
      </w:r>
    </w:p>
    <w:p w:rsidR="002500E9" w:rsidRPr="00A36F2A" w:rsidRDefault="002500E9" w:rsidP="002500E9">
      <w:pPr>
        <w:pStyle w:val="a4"/>
        <w:numPr>
          <w:ilvl w:val="0"/>
          <w:numId w:val="5"/>
        </w:numPr>
        <w:snapToGrid w:val="0"/>
        <w:spacing w:after="0" w:line="240" w:lineRule="auto"/>
        <w:ind w:left="426" w:hanging="426"/>
        <w:jc w:val="both"/>
      </w:pPr>
      <w:r w:rsidRPr="00A36F2A">
        <w:rPr>
          <w:color w:val="FF0000"/>
        </w:rPr>
        <w:t xml:space="preserve">Insurance or Compensation Arrangements </w:t>
      </w:r>
    </w:p>
    <w:p w:rsidR="002500E9" w:rsidRDefault="002500E9" w:rsidP="002500E9">
      <w:pPr>
        <w:snapToGrid w:val="0"/>
        <w:spacing w:after="0" w:line="240" w:lineRule="auto"/>
        <w:jc w:val="both"/>
        <w:rPr>
          <w:b/>
          <w:sz w:val="24"/>
          <w:szCs w:val="26"/>
        </w:rPr>
      </w:pPr>
    </w:p>
    <w:p w:rsidR="00A858E6" w:rsidRPr="005C7644" w:rsidRDefault="008A1F6F" w:rsidP="002500E9">
      <w:pPr>
        <w:jc w:val="both"/>
        <w:rPr>
          <w:rFonts w:cstheme="minorHAnsi"/>
        </w:rPr>
      </w:pPr>
      <w:r>
        <w:rPr>
          <w:rFonts w:cstheme="minorHAnsi"/>
        </w:rPr>
        <w:t>L</w:t>
      </w:r>
      <w:r w:rsidRPr="005C7644">
        <w:rPr>
          <w:rFonts w:cstheme="minorHAnsi"/>
        </w:rPr>
        <w:t xml:space="preserve">icensed virtual asset </w:t>
      </w:r>
      <w:r>
        <w:rPr>
          <w:rFonts w:cstheme="minorHAnsi"/>
        </w:rPr>
        <w:t xml:space="preserve">trading </w:t>
      </w:r>
      <w:r w:rsidRPr="005C7644">
        <w:rPr>
          <w:rFonts w:cstheme="minorHAnsi"/>
        </w:rPr>
        <w:t>platform operator</w:t>
      </w:r>
      <w:r>
        <w:rPr>
          <w:rFonts w:cstheme="minorHAnsi"/>
        </w:rPr>
        <w:t xml:space="preserve">s </w:t>
      </w:r>
      <w:r w:rsidR="005C7644" w:rsidRPr="005C7644">
        <w:rPr>
          <w:rFonts w:cstheme="minorHAnsi"/>
        </w:rPr>
        <w:t xml:space="preserve">must </w:t>
      </w:r>
      <w:r w:rsidR="002500E9" w:rsidRPr="005C7644">
        <w:rPr>
          <w:rFonts w:cstheme="minorHAnsi"/>
        </w:rPr>
        <w:t>establish a compensation arrangement that is approved by the SFC to</w:t>
      </w:r>
      <w:r w:rsidR="00A858E6" w:rsidRPr="005C7644">
        <w:rPr>
          <w:rFonts w:cstheme="minorHAnsi"/>
        </w:rPr>
        <w:t xml:space="preserve"> cover potential losses </w:t>
      </w:r>
      <w:r w:rsidR="005A09A3">
        <w:rPr>
          <w:rFonts w:cstheme="minorHAnsi"/>
        </w:rPr>
        <w:t xml:space="preserve">(arising from, among others, </w:t>
      </w:r>
      <w:r w:rsidR="005A09A3" w:rsidRPr="00A36F2A">
        <w:rPr>
          <w:rFonts w:cstheme="minorHAnsi"/>
        </w:rPr>
        <w:t>hacking incidents on the platform or default on the part of the licensed platform operator</w:t>
      </w:r>
      <w:r w:rsidR="005A09A3" w:rsidRPr="005C7644">
        <w:rPr>
          <w:rFonts w:cstheme="minorHAnsi"/>
        </w:rPr>
        <w:t xml:space="preserve"> </w:t>
      </w:r>
      <w:r w:rsidR="005A09A3">
        <w:rPr>
          <w:rFonts w:cstheme="minorHAnsi"/>
        </w:rPr>
        <w:t xml:space="preserve">or its associated entity) </w:t>
      </w:r>
      <w:r w:rsidR="002500E9" w:rsidRPr="005C7644">
        <w:rPr>
          <w:rFonts w:cstheme="minorHAnsi"/>
        </w:rPr>
        <w:t xml:space="preserve">of </w:t>
      </w:r>
      <w:r w:rsidR="00A858E6" w:rsidRPr="005C7644">
        <w:rPr>
          <w:rFonts w:cstheme="minorHAnsi"/>
        </w:rPr>
        <w:t xml:space="preserve">50% of </w:t>
      </w:r>
      <w:r w:rsidR="002500E9" w:rsidRPr="005C7644">
        <w:rPr>
          <w:rFonts w:cstheme="minorHAnsi"/>
        </w:rPr>
        <w:t>client virtual assets</w:t>
      </w:r>
      <w:r w:rsidR="00A858E6" w:rsidRPr="005C7644">
        <w:rPr>
          <w:rFonts w:cstheme="minorHAnsi"/>
        </w:rPr>
        <w:t xml:space="preserve"> held in cold storage and 100% of client virtual assets held in hot and other storages</w:t>
      </w:r>
      <w:r w:rsidR="002500E9" w:rsidRPr="005C7644">
        <w:rPr>
          <w:rFonts w:cstheme="minorHAnsi"/>
        </w:rPr>
        <w:t xml:space="preserve">. The compensation arrangement </w:t>
      </w:r>
      <w:r w:rsidR="0061192B" w:rsidRPr="005C7644">
        <w:rPr>
          <w:rFonts w:cstheme="minorHAnsi"/>
        </w:rPr>
        <w:t xml:space="preserve">can </w:t>
      </w:r>
      <w:r w:rsidR="002500E9" w:rsidRPr="005C7644">
        <w:rPr>
          <w:rFonts w:cstheme="minorHAnsi"/>
        </w:rPr>
        <w:t>include any or a combination of</w:t>
      </w:r>
      <w:r w:rsidR="00A858E6" w:rsidRPr="005C7644">
        <w:rPr>
          <w:rFonts w:cstheme="minorHAnsi"/>
        </w:rPr>
        <w:t>:</w:t>
      </w:r>
    </w:p>
    <w:p w:rsidR="00A858E6" w:rsidRPr="005C7644" w:rsidRDefault="002500E9" w:rsidP="00A858E6">
      <w:pPr>
        <w:pStyle w:val="a4"/>
        <w:numPr>
          <w:ilvl w:val="0"/>
          <w:numId w:val="21"/>
        </w:numPr>
        <w:jc w:val="both"/>
        <w:rPr>
          <w:rFonts w:cstheme="minorHAnsi"/>
        </w:rPr>
      </w:pPr>
      <w:r w:rsidRPr="005C7644">
        <w:rPr>
          <w:rFonts w:cstheme="minorHAnsi"/>
        </w:rPr>
        <w:t>third-party insurance</w:t>
      </w:r>
      <w:r w:rsidR="00A858E6" w:rsidRPr="005C7644">
        <w:rPr>
          <w:rFonts w:cstheme="minorHAnsi"/>
        </w:rPr>
        <w:t>;</w:t>
      </w:r>
      <w:r w:rsidRPr="005C7644">
        <w:rPr>
          <w:rFonts w:cstheme="minorHAnsi"/>
        </w:rPr>
        <w:t xml:space="preserve"> </w:t>
      </w:r>
    </w:p>
    <w:p w:rsidR="00A858E6" w:rsidRPr="005C7644" w:rsidRDefault="00A858E6" w:rsidP="00A858E6">
      <w:pPr>
        <w:pStyle w:val="a4"/>
        <w:ind w:left="776"/>
        <w:jc w:val="both"/>
        <w:rPr>
          <w:rFonts w:cstheme="minorHAnsi"/>
        </w:rPr>
      </w:pPr>
    </w:p>
    <w:p w:rsidR="002500E9" w:rsidRPr="005C7644" w:rsidRDefault="002500E9" w:rsidP="00A858E6">
      <w:pPr>
        <w:pStyle w:val="a4"/>
        <w:numPr>
          <w:ilvl w:val="0"/>
          <w:numId w:val="21"/>
        </w:numPr>
        <w:jc w:val="both"/>
        <w:rPr>
          <w:rFonts w:cstheme="minorHAnsi"/>
        </w:rPr>
      </w:pPr>
      <w:r w:rsidRPr="005C7644">
        <w:rPr>
          <w:rFonts w:cstheme="minorHAnsi"/>
        </w:rPr>
        <w:t xml:space="preserve">funds </w:t>
      </w:r>
      <w:r w:rsidR="00A858E6" w:rsidRPr="005C7644">
        <w:rPr>
          <w:rFonts w:cstheme="minorHAnsi"/>
        </w:rPr>
        <w:t xml:space="preserve">(held in the form of a demand deposit or time deposit maturing </w:t>
      </w:r>
      <w:r w:rsidR="00A36F2A">
        <w:rPr>
          <w:rFonts w:cstheme="minorHAnsi"/>
        </w:rPr>
        <w:t>with</w:t>
      </w:r>
      <w:r w:rsidR="00A858E6" w:rsidRPr="005C7644">
        <w:rPr>
          <w:rFonts w:cstheme="minorHAnsi"/>
        </w:rPr>
        <w:t xml:space="preserve">in six months) </w:t>
      </w:r>
      <w:r w:rsidRPr="005C7644">
        <w:rPr>
          <w:rFonts w:cstheme="minorHAnsi"/>
        </w:rPr>
        <w:t xml:space="preserve">of the platform operator or any </w:t>
      </w:r>
      <w:r w:rsidR="00A36F2A">
        <w:rPr>
          <w:rFonts w:cstheme="minorHAnsi"/>
        </w:rPr>
        <w:t xml:space="preserve">of its </w:t>
      </w:r>
      <w:r w:rsidRPr="005C7644">
        <w:rPr>
          <w:rFonts w:cstheme="minorHAnsi"/>
        </w:rPr>
        <w:t>group of companies which are set aside on trust and designated for that purpose</w:t>
      </w:r>
      <w:r w:rsidR="00FF1182" w:rsidRPr="005C7644">
        <w:rPr>
          <w:rFonts w:cstheme="minorHAnsi"/>
        </w:rPr>
        <w:t xml:space="preserve">; </w:t>
      </w:r>
      <w:r w:rsidRPr="005C7644">
        <w:rPr>
          <w:rFonts w:cstheme="minorHAnsi"/>
        </w:rPr>
        <w:t>and</w:t>
      </w:r>
    </w:p>
    <w:p w:rsidR="00FF1182" w:rsidRPr="005C7644" w:rsidRDefault="00FF1182" w:rsidP="00FF1182">
      <w:pPr>
        <w:pStyle w:val="a4"/>
        <w:rPr>
          <w:rFonts w:cstheme="minorHAnsi"/>
        </w:rPr>
      </w:pPr>
    </w:p>
    <w:p w:rsidR="00FF1182" w:rsidRPr="005C7644" w:rsidRDefault="00E27B33" w:rsidP="00A858E6">
      <w:pPr>
        <w:pStyle w:val="a4"/>
        <w:numPr>
          <w:ilvl w:val="0"/>
          <w:numId w:val="21"/>
        </w:numPr>
        <w:jc w:val="both"/>
        <w:rPr>
          <w:rFonts w:cstheme="minorHAnsi"/>
        </w:rPr>
      </w:pPr>
      <w:r w:rsidRPr="005C7644">
        <w:rPr>
          <w:rFonts w:cstheme="minorHAnsi"/>
        </w:rPr>
        <w:t>a bank guarantee provided by a Hong Kong</w:t>
      </w:r>
      <w:r w:rsidR="00FF1182" w:rsidRPr="005C7644">
        <w:rPr>
          <w:rFonts w:cstheme="minorHAnsi"/>
        </w:rPr>
        <w:t xml:space="preserve"> aut</w:t>
      </w:r>
      <w:r w:rsidRPr="005C7644">
        <w:rPr>
          <w:rFonts w:cstheme="minorHAnsi"/>
        </w:rPr>
        <w:t>horised financial institution</w:t>
      </w:r>
      <w:r w:rsidR="00FF1182" w:rsidRPr="005C7644">
        <w:rPr>
          <w:rFonts w:cstheme="minorHAnsi"/>
        </w:rPr>
        <w:t>.</w:t>
      </w:r>
      <w:r w:rsidR="00E94FB8">
        <w:rPr>
          <w:rStyle w:val="a7"/>
          <w:rFonts w:cstheme="minorHAnsi"/>
        </w:rPr>
        <w:footnoteReference w:id="30"/>
      </w:r>
    </w:p>
    <w:p w:rsidR="002500E9" w:rsidRPr="005C7644" w:rsidRDefault="00FF1182" w:rsidP="002500E9">
      <w:pPr>
        <w:snapToGrid w:val="0"/>
        <w:spacing w:after="0" w:line="240" w:lineRule="auto"/>
        <w:jc w:val="both"/>
        <w:rPr>
          <w:rFonts w:cstheme="minorHAnsi"/>
          <w:b/>
        </w:rPr>
      </w:pPr>
      <w:r w:rsidRPr="005C7644">
        <w:rPr>
          <w:rFonts w:cstheme="minorHAnsi"/>
        </w:rPr>
        <w:t>L</w:t>
      </w:r>
      <w:r w:rsidR="002500E9" w:rsidRPr="005C7644">
        <w:rPr>
          <w:rFonts w:cstheme="minorHAnsi"/>
        </w:rPr>
        <w:t>icensed platform operator</w:t>
      </w:r>
      <w:r w:rsidRPr="005C7644">
        <w:rPr>
          <w:rFonts w:cstheme="minorHAnsi"/>
        </w:rPr>
        <w:t>s are required</w:t>
      </w:r>
      <w:r w:rsidR="002500E9" w:rsidRPr="005C7644">
        <w:rPr>
          <w:rFonts w:cstheme="minorHAnsi"/>
        </w:rPr>
        <w:t xml:space="preserve"> to monitor the total value of</w:t>
      </w:r>
      <w:r w:rsidR="002B1667" w:rsidRPr="005C7644">
        <w:rPr>
          <w:rFonts w:cstheme="minorHAnsi"/>
        </w:rPr>
        <w:t xml:space="preserve"> client virtual assets under their</w:t>
      </w:r>
      <w:r w:rsidR="002500E9" w:rsidRPr="005C7644">
        <w:rPr>
          <w:rFonts w:cstheme="minorHAnsi"/>
        </w:rPr>
        <w:t xml:space="preserve"> </w:t>
      </w:r>
      <w:r w:rsidR="008A1F6F">
        <w:rPr>
          <w:rFonts w:cstheme="minorHAnsi"/>
        </w:rPr>
        <w:t xml:space="preserve">custody </w:t>
      </w:r>
      <w:r w:rsidR="00A36F2A">
        <w:rPr>
          <w:rFonts w:cstheme="minorHAnsi"/>
        </w:rPr>
        <w:t>daily</w:t>
      </w:r>
      <w:r w:rsidR="008A1F6F">
        <w:rPr>
          <w:rFonts w:cstheme="minorHAnsi"/>
        </w:rPr>
        <w:t>. If a</w:t>
      </w:r>
      <w:r w:rsidR="002500E9" w:rsidRPr="005C7644">
        <w:rPr>
          <w:rFonts w:cstheme="minorHAnsi"/>
        </w:rPr>
        <w:t xml:space="preserve"> licensed platform operator becomes aware that the total value of client virtual assets under custody exceeds the amount covered under the approved compensation arrangement, and </w:t>
      </w:r>
      <w:r w:rsidR="008A1F6F">
        <w:rPr>
          <w:rFonts w:cstheme="minorHAnsi"/>
        </w:rPr>
        <w:t>it expects this to continue</w:t>
      </w:r>
      <w:r w:rsidR="002500E9" w:rsidRPr="005C7644">
        <w:rPr>
          <w:rFonts w:cstheme="minorHAnsi"/>
        </w:rPr>
        <w:t>, it must inform the SFC and take prompt remedial action</w:t>
      </w:r>
      <w:r w:rsidR="00F753F3">
        <w:rPr>
          <w:rFonts w:cstheme="minorHAnsi"/>
        </w:rPr>
        <w:t xml:space="preserve"> to re-comply with the VATP Guidelines</w:t>
      </w:r>
      <w:r w:rsidR="002500E9" w:rsidRPr="005C7644">
        <w:rPr>
          <w:rFonts w:cstheme="minorHAnsi"/>
        </w:rPr>
        <w:t>.</w:t>
      </w:r>
      <w:r w:rsidR="00E94FB8">
        <w:rPr>
          <w:rStyle w:val="a7"/>
          <w:rFonts w:cstheme="minorHAnsi"/>
        </w:rPr>
        <w:footnoteReference w:id="31"/>
      </w:r>
    </w:p>
    <w:p w:rsidR="002500E9" w:rsidRPr="005C7644" w:rsidRDefault="002500E9" w:rsidP="002500E9">
      <w:pPr>
        <w:pStyle w:val="a4"/>
        <w:snapToGrid w:val="0"/>
        <w:spacing w:after="0" w:line="240" w:lineRule="auto"/>
        <w:ind w:left="90"/>
        <w:contextualSpacing w:val="0"/>
        <w:jc w:val="both"/>
        <w:rPr>
          <w:rFonts w:cstheme="minorHAnsi"/>
          <w:b/>
        </w:rPr>
      </w:pPr>
    </w:p>
    <w:p w:rsidR="002500E9" w:rsidRPr="00F753F3" w:rsidRDefault="002500E9" w:rsidP="00F753F3">
      <w:pPr>
        <w:jc w:val="both"/>
        <w:rPr>
          <w:rFonts w:cstheme="minorHAnsi"/>
        </w:rPr>
      </w:pPr>
      <w:r w:rsidRPr="005C7644">
        <w:rPr>
          <w:rFonts w:cstheme="minorHAnsi"/>
        </w:rPr>
        <w:t xml:space="preserve">Platform operators </w:t>
      </w:r>
      <w:r w:rsidR="00A36F2A">
        <w:rPr>
          <w:rFonts w:cstheme="minorHAnsi"/>
        </w:rPr>
        <w:t xml:space="preserve">need </w:t>
      </w:r>
      <w:r w:rsidRPr="005C7644">
        <w:rPr>
          <w:rFonts w:cstheme="minorHAnsi"/>
        </w:rPr>
        <w:t>to use verifiable and quantifiable criteria when selecting an insurance company. These include a valuation schedule of assets insured, maximum coverage per incident and overall maximum coverage, as well as any excluding factors.</w:t>
      </w:r>
    </w:p>
    <w:p w:rsidR="007F3C3E" w:rsidRPr="00A36F2A" w:rsidRDefault="001C44B0" w:rsidP="00A36F2A">
      <w:pPr>
        <w:pStyle w:val="a4"/>
        <w:numPr>
          <w:ilvl w:val="0"/>
          <w:numId w:val="5"/>
        </w:numPr>
        <w:snapToGrid w:val="0"/>
        <w:spacing w:after="0" w:line="240" w:lineRule="auto"/>
        <w:ind w:left="426" w:hanging="426"/>
        <w:jc w:val="both"/>
        <w:rPr>
          <w:color w:val="FF0000"/>
        </w:rPr>
      </w:pPr>
      <w:r w:rsidRPr="00A36F2A">
        <w:rPr>
          <w:color w:val="FF0000"/>
        </w:rPr>
        <w:t>Trading in Virtual Asset D</w:t>
      </w:r>
      <w:r w:rsidR="007F3C3E" w:rsidRPr="00A36F2A">
        <w:rPr>
          <w:color w:val="FF0000"/>
        </w:rPr>
        <w:t>erivatives</w:t>
      </w:r>
    </w:p>
    <w:p w:rsidR="00EC3EC2" w:rsidRPr="00707574" w:rsidRDefault="00EC3EC2" w:rsidP="00490707">
      <w:pPr>
        <w:snapToGrid w:val="0"/>
        <w:spacing w:after="0" w:line="240" w:lineRule="auto"/>
        <w:jc w:val="both"/>
        <w:rPr>
          <w:b/>
        </w:rPr>
      </w:pPr>
    </w:p>
    <w:p w:rsidR="007F3C3E" w:rsidRDefault="00EC3EC2" w:rsidP="00490707">
      <w:pPr>
        <w:snapToGrid w:val="0"/>
        <w:spacing w:after="0" w:line="240" w:lineRule="auto"/>
        <w:jc w:val="both"/>
      </w:pPr>
      <w:r>
        <w:t>Under the SFO regime,</w:t>
      </w:r>
      <w:r w:rsidR="0079175E" w:rsidRPr="0079175E">
        <w:t xml:space="preserve"> </w:t>
      </w:r>
      <w:r w:rsidR="0079175E">
        <w:t>Hong Kong</w:t>
      </w:r>
      <w:r>
        <w:t xml:space="preserve"> l</w:t>
      </w:r>
      <w:r w:rsidR="007F3C3E" w:rsidRPr="00D462CB">
        <w:t xml:space="preserve">icensed </w:t>
      </w:r>
      <w:r>
        <w:t xml:space="preserve">VA trading </w:t>
      </w:r>
      <w:r w:rsidR="007F3C3E" w:rsidRPr="00D462CB">
        <w:t>platform operators are</w:t>
      </w:r>
      <w:r w:rsidR="007F3C3E">
        <w:t xml:space="preserve"> </w:t>
      </w:r>
      <w:r w:rsidR="007F3C3E" w:rsidRPr="00D462CB">
        <w:t xml:space="preserve">not allowed to </w:t>
      </w:r>
      <w:r>
        <w:t xml:space="preserve">offer, trade or deal </w:t>
      </w:r>
      <w:r w:rsidR="007F3C3E" w:rsidRPr="00D462CB">
        <w:t xml:space="preserve">in virtual asset futures contracts or related derivatives. However, </w:t>
      </w:r>
      <w:r w:rsidR="00260C5E">
        <w:t>the SFC acknowledges</w:t>
      </w:r>
      <w:r w:rsidR="007F3C3E" w:rsidRPr="00D462CB">
        <w:t xml:space="preserve"> </w:t>
      </w:r>
      <w:r>
        <w:t xml:space="preserve">that there has been </w:t>
      </w:r>
      <w:r w:rsidR="007F3C3E" w:rsidRPr="00D462CB">
        <w:t>increasing interest in virtual asset derivative</w:t>
      </w:r>
      <w:r>
        <w:t xml:space="preserve"> product</w:t>
      </w:r>
      <w:r w:rsidR="007F3C3E" w:rsidRPr="00D462CB">
        <w:t>s, particularly</w:t>
      </w:r>
      <w:r w:rsidR="007F3C3E">
        <w:t xml:space="preserve"> among institutional investors</w:t>
      </w:r>
      <w:r>
        <w:t>, including for hedging of risks</w:t>
      </w:r>
      <w:r w:rsidR="007F3C3E">
        <w:t>. T</w:t>
      </w:r>
      <w:r>
        <w:t xml:space="preserve">he </w:t>
      </w:r>
      <w:r w:rsidR="007F3C3E" w:rsidRPr="00D462CB">
        <w:t>SFC</w:t>
      </w:r>
      <w:r w:rsidR="00E94FB8">
        <w:t>’s Consultation Paper</w:t>
      </w:r>
      <w:r w:rsidR="007F3C3E" w:rsidRPr="00D462CB">
        <w:t xml:space="preserve"> </w:t>
      </w:r>
      <w:r w:rsidR="00E94FB8">
        <w:t xml:space="preserve">therefore sought views </w:t>
      </w:r>
      <w:r w:rsidR="00DD1A31">
        <w:t>on</w:t>
      </w:r>
      <w:r w:rsidR="007F3C3E" w:rsidRPr="00D462CB">
        <w:t xml:space="preserve"> </w:t>
      </w:r>
      <w:r w:rsidR="007F3C3E">
        <w:t xml:space="preserve">the </w:t>
      </w:r>
      <w:r w:rsidR="007F3C3E" w:rsidRPr="00D462CB">
        <w:t xml:space="preserve">business models </w:t>
      </w:r>
      <w:r w:rsidR="00E94FB8">
        <w:t xml:space="preserve">parties would adopt, the types of </w:t>
      </w:r>
      <w:r w:rsidR="007F3C3E" w:rsidRPr="00D462CB">
        <w:t xml:space="preserve">virtual asset derivatives </w:t>
      </w:r>
      <w:r w:rsidR="00E94FB8">
        <w:t>they would want to offer</w:t>
      </w:r>
      <w:r w:rsidR="00B53002">
        <w:t>,</w:t>
      </w:r>
      <w:r w:rsidR="00DD1A31">
        <w:t xml:space="preserve"> </w:t>
      </w:r>
      <w:r w:rsidR="00E94FB8">
        <w:t xml:space="preserve">and the types of investors they would want to target. </w:t>
      </w:r>
    </w:p>
    <w:p w:rsidR="00E94FB8" w:rsidRDefault="00E94FB8" w:rsidP="00490707">
      <w:pPr>
        <w:snapToGrid w:val="0"/>
        <w:spacing w:after="0" w:line="240" w:lineRule="auto"/>
        <w:jc w:val="both"/>
      </w:pPr>
    </w:p>
    <w:p w:rsidR="004E1B05" w:rsidRDefault="00E94FB8" w:rsidP="00490707">
      <w:pPr>
        <w:snapToGrid w:val="0"/>
        <w:spacing w:after="0" w:line="240" w:lineRule="auto"/>
        <w:jc w:val="both"/>
      </w:pPr>
      <w:r>
        <w:t xml:space="preserve">Respondents to the Consultation Paper were generally supportive of allowing licensed virtual asset trading platforms to offer trading in </w:t>
      </w:r>
      <w:r w:rsidR="004E1B05" w:rsidRPr="00D462CB">
        <w:t>virtual asset derivative</w:t>
      </w:r>
      <w:r w:rsidR="004E1B05">
        <w:t>s. Business models suggested in</w:t>
      </w:r>
      <w:r w:rsidR="00B362ED">
        <w:t>cluded</w:t>
      </w:r>
      <w:r w:rsidR="004E1B05">
        <w:t xml:space="preserve"> an order-matching engine or over-the-counter trading using leverage and with clients providing margin or premium (with client positions subject to automatic terminations).  Interest was expressed in trading simple delivery futures, margined perpetual futures contracts, options with settlement dates and other structured products. Some suggested starting with products having major virtual assets (e.g. Bitcoin and Ether) as the underlying assets. The majority of respondents favoured restricting trading in virtual asset derivatives to professional investors. Given institutional interest in </w:t>
      </w:r>
      <w:r w:rsidR="004E1B05" w:rsidRPr="00D462CB">
        <w:t>virtual asset derivative</w:t>
      </w:r>
      <w:r w:rsidR="004E1B05">
        <w:t xml:space="preserve"> product</w:t>
      </w:r>
      <w:r w:rsidR="004E1B05" w:rsidRPr="00D462CB">
        <w:t>s</w:t>
      </w:r>
      <w:r w:rsidR="004E1B05">
        <w:t>, the SFC proposes to carry out a separate review of allowing their trading in due course.</w:t>
      </w:r>
    </w:p>
    <w:p w:rsidR="004E1B05" w:rsidRDefault="004E1B05" w:rsidP="00490707">
      <w:pPr>
        <w:snapToGrid w:val="0"/>
        <w:spacing w:after="0" w:line="240" w:lineRule="auto"/>
        <w:jc w:val="both"/>
      </w:pPr>
    </w:p>
    <w:p w:rsidR="004E1B05" w:rsidRDefault="004E1B05" w:rsidP="00490707">
      <w:pPr>
        <w:snapToGrid w:val="0"/>
        <w:spacing w:after="0" w:line="240" w:lineRule="auto"/>
        <w:jc w:val="both"/>
        <w:rPr>
          <w:b/>
          <w:i/>
        </w:rPr>
      </w:pPr>
      <w:r>
        <w:rPr>
          <w:b/>
          <w:i/>
        </w:rPr>
        <w:t>Other Restrictions on Licensed Virtual Asset Trading Platforms</w:t>
      </w:r>
    </w:p>
    <w:p w:rsidR="00E94FB8" w:rsidRDefault="004E1B05" w:rsidP="00490707">
      <w:pPr>
        <w:snapToGrid w:val="0"/>
        <w:spacing w:after="0" w:line="240" w:lineRule="auto"/>
        <w:jc w:val="both"/>
      </w:pPr>
      <w:r>
        <w:t xml:space="preserve"> </w:t>
      </w:r>
    </w:p>
    <w:p w:rsidR="00490707" w:rsidRDefault="008279DA" w:rsidP="00490707">
      <w:pPr>
        <w:snapToGrid w:val="0"/>
        <w:spacing w:after="0" w:line="240" w:lineRule="auto"/>
        <w:jc w:val="both"/>
        <w:rPr>
          <w:rFonts w:cstheme="minorHAnsi"/>
        </w:rPr>
      </w:pPr>
      <w:r>
        <w:t>Some of t</w:t>
      </w:r>
      <w:r w:rsidR="004E1B05">
        <w:t xml:space="preserve">he key restrictions on licensed </w:t>
      </w:r>
      <w:r w:rsidR="004E1B05" w:rsidRPr="005C7644">
        <w:rPr>
          <w:rFonts w:cstheme="minorHAnsi"/>
        </w:rPr>
        <w:t xml:space="preserve">virtual asset </w:t>
      </w:r>
      <w:r w:rsidR="004E1B05">
        <w:rPr>
          <w:rFonts w:cstheme="minorHAnsi"/>
        </w:rPr>
        <w:t xml:space="preserve">trading </w:t>
      </w:r>
      <w:r w:rsidR="004E1B05" w:rsidRPr="005C7644">
        <w:rPr>
          <w:rFonts w:cstheme="minorHAnsi"/>
        </w:rPr>
        <w:t>platform operator</w:t>
      </w:r>
      <w:r w:rsidR="004E1B05">
        <w:rPr>
          <w:rFonts w:cstheme="minorHAnsi"/>
        </w:rPr>
        <w:t>s are that:</w:t>
      </w:r>
    </w:p>
    <w:p w:rsidR="00424D28" w:rsidRDefault="00424D28" w:rsidP="00490707">
      <w:pPr>
        <w:snapToGrid w:val="0"/>
        <w:spacing w:after="0" w:line="240" w:lineRule="auto"/>
        <w:jc w:val="both"/>
        <w:rPr>
          <w:rFonts w:cstheme="minorHAnsi"/>
        </w:rPr>
      </w:pPr>
    </w:p>
    <w:p w:rsidR="00D23666" w:rsidRDefault="00B362ED" w:rsidP="004E1B05">
      <w:pPr>
        <w:pStyle w:val="a4"/>
        <w:numPr>
          <w:ilvl w:val="0"/>
          <w:numId w:val="24"/>
        </w:numPr>
        <w:snapToGrid w:val="0"/>
        <w:spacing w:after="0" w:line="240" w:lineRule="auto"/>
        <w:ind w:left="851" w:hanging="425"/>
        <w:jc w:val="both"/>
      </w:pPr>
      <w:r>
        <w:t xml:space="preserve">they </w:t>
      </w:r>
      <w:r w:rsidR="00D23666">
        <w:t xml:space="preserve">and their group companies </w:t>
      </w:r>
      <w:r>
        <w:t xml:space="preserve">are prohibited from providing any financial accommodation for clients to </w:t>
      </w:r>
      <w:r w:rsidR="00D23666">
        <w:t>acquire virtual assets;</w:t>
      </w:r>
      <w:r w:rsidR="00D23666">
        <w:rPr>
          <w:rStyle w:val="a7"/>
        </w:rPr>
        <w:footnoteReference w:id="32"/>
      </w:r>
    </w:p>
    <w:p w:rsidR="00B362ED" w:rsidRDefault="00B362ED" w:rsidP="00D23666">
      <w:pPr>
        <w:pStyle w:val="a4"/>
        <w:snapToGrid w:val="0"/>
        <w:spacing w:after="0" w:line="240" w:lineRule="auto"/>
        <w:ind w:left="851"/>
        <w:jc w:val="both"/>
      </w:pPr>
      <w:r>
        <w:t xml:space="preserve"> </w:t>
      </w:r>
    </w:p>
    <w:p w:rsidR="004E1B05" w:rsidRDefault="004E1B05" w:rsidP="004E1B05">
      <w:pPr>
        <w:pStyle w:val="a4"/>
        <w:numPr>
          <w:ilvl w:val="0"/>
          <w:numId w:val="24"/>
        </w:numPr>
        <w:snapToGrid w:val="0"/>
        <w:spacing w:after="0" w:line="240" w:lineRule="auto"/>
        <w:ind w:left="851" w:hanging="425"/>
        <w:jc w:val="both"/>
      </w:pPr>
      <w:r>
        <w:t xml:space="preserve">they cannot </w:t>
      </w:r>
      <w:r w:rsidR="00115633">
        <w:t xml:space="preserve">provide trading in </w:t>
      </w:r>
      <w:r w:rsidR="00115633" w:rsidRPr="00D462CB">
        <w:t>virtual asset futures contracts or related derivatives</w:t>
      </w:r>
      <w:r w:rsidR="00115633">
        <w:t>;</w:t>
      </w:r>
      <w:r w:rsidR="008E0835">
        <w:rPr>
          <w:rStyle w:val="a7"/>
        </w:rPr>
        <w:footnoteReference w:id="33"/>
      </w:r>
    </w:p>
    <w:p w:rsidR="008E0835" w:rsidRDefault="008E0835" w:rsidP="008E0835">
      <w:pPr>
        <w:pStyle w:val="a4"/>
        <w:snapToGrid w:val="0"/>
        <w:spacing w:after="0" w:line="240" w:lineRule="auto"/>
        <w:ind w:left="851"/>
        <w:jc w:val="both"/>
      </w:pPr>
    </w:p>
    <w:p w:rsidR="008E0835" w:rsidRDefault="008E0835" w:rsidP="008E0835">
      <w:pPr>
        <w:pStyle w:val="a4"/>
        <w:numPr>
          <w:ilvl w:val="0"/>
          <w:numId w:val="24"/>
        </w:numPr>
        <w:snapToGrid w:val="0"/>
        <w:spacing w:after="0" w:line="240" w:lineRule="auto"/>
        <w:ind w:left="851" w:hanging="425"/>
        <w:jc w:val="both"/>
      </w:pPr>
      <w:r>
        <w:t>they cannot enter into arrangements with their clients to use clients’ virtual assets to generate returns</w:t>
      </w:r>
      <w:r w:rsidR="008279DA">
        <w:t>.</w:t>
      </w:r>
      <w:r w:rsidR="008279DA">
        <w:rPr>
          <w:rStyle w:val="a7"/>
        </w:rPr>
        <w:footnoteReference w:id="34"/>
      </w:r>
      <w:r w:rsidR="008279DA">
        <w:t xml:space="preserve"> This prevents licensed trading platform operators from providing services such as earning, deposit-taking, lending and borrowing</w:t>
      </w:r>
      <w:r>
        <w:t>;</w:t>
      </w:r>
      <w:r w:rsidR="008279DA">
        <w:rPr>
          <w:rStyle w:val="a7"/>
        </w:rPr>
        <w:footnoteReference w:id="35"/>
      </w:r>
    </w:p>
    <w:p w:rsidR="008E0835" w:rsidRDefault="008E0835" w:rsidP="008E0835">
      <w:pPr>
        <w:pStyle w:val="a4"/>
      </w:pPr>
    </w:p>
    <w:p w:rsidR="008E0835" w:rsidRDefault="008E0835" w:rsidP="008E0835">
      <w:pPr>
        <w:pStyle w:val="a4"/>
        <w:numPr>
          <w:ilvl w:val="0"/>
          <w:numId w:val="24"/>
        </w:numPr>
        <w:snapToGrid w:val="0"/>
        <w:spacing w:after="0" w:line="240" w:lineRule="auto"/>
        <w:ind w:left="851" w:hanging="425"/>
        <w:jc w:val="both"/>
      </w:pPr>
      <w:r>
        <w:t>they cannot offer clients any gift (other than a discount to fees or charges) for trading a specific virtual asset;</w:t>
      </w:r>
      <w:r>
        <w:rPr>
          <w:rStyle w:val="a7"/>
        </w:rPr>
        <w:footnoteReference w:id="36"/>
      </w:r>
    </w:p>
    <w:p w:rsidR="00A36F2A" w:rsidRDefault="00A36F2A" w:rsidP="00A36F2A">
      <w:pPr>
        <w:pStyle w:val="a4"/>
      </w:pPr>
    </w:p>
    <w:p w:rsidR="00A36F2A" w:rsidRDefault="00A36F2A" w:rsidP="008E0835">
      <w:pPr>
        <w:pStyle w:val="a4"/>
        <w:numPr>
          <w:ilvl w:val="0"/>
          <w:numId w:val="24"/>
        </w:numPr>
        <w:snapToGrid w:val="0"/>
        <w:spacing w:after="0" w:line="240" w:lineRule="auto"/>
        <w:ind w:left="851" w:hanging="425"/>
        <w:jc w:val="both"/>
      </w:pPr>
      <w:r>
        <w:t>they cannot post adverts for a specific virtual asset;</w:t>
      </w:r>
      <w:r>
        <w:rPr>
          <w:rStyle w:val="a7"/>
        </w:rPr>
        <w:footnoteReference w:id="37"/>
      </w:r>
    </w:p>
    <w:p w:rsidR="008279DA" w:rsidRDefault="008279DA" w:rsidP="008279DA">
      <w:pPr>
        <w:pStyle w:val="a4"/>
      </w:pPr>
    </w:p>
    <w:p w:rsidR="008279DA" w:rsidRDefault="008279DA" w:rsidP="008E0835">
      <w:pPr>
        <w:pStyle w:val="a4"/>
        <w:numPr>
          <w:ilvl w:val="0"/>
          <w:numId w:val="24"/>
        </w:numPr>
        <w:snapToGrid w:val="0"/>
        <w:spacing w:after="0" w:line="240" w:lineRule="auto"/>
        <w:ind w:left="851" w:hanging="425"/>
        <w:jc w:val="both"/>
      </w:pPr>
      <w:r>
        <w:t>they cannot provide algorithmic trading services to clients;</w:t>
      </w:r>
      <w:r>
        <w:rPr>
          <w:rStyle w:val="a7"/>
        </w:rPr>
        <w:footnoteReference w:id="38"/>
      </w:r>
    </w:p>
    <w:p w:rsidR="008E0835" w:rsidRDefault="008E0835" w:rsidP="008E0835">
      <w:pPr>
        <w:pStyle w:val="a4"/>
        <w:snapToGrid w:val="0"/>
        <w:spacing w:after="0" w:line="240" w:lineRule="auto"/>
        <w:ind w:left="851"/>
        <w:jc w:val="both"/>
      </w:pPr>
    </w:p>
    <w:p w:rsidR="00115633" w:rsidRDefault="00115633" w:rsidP="004E1B05">
      <w:pPr>
        <w:pStyle w:val="a4"/>
        <w:numPr>
          <w:ilvl w:val="0"/>
          <w:numId w:val="24"/>
        </w:numPr>
        <w:snapToGrid w:val="0"/>
        <w:spacing w:after="0" w:line="240" w:lineRule="auto"/>
        <w:ind w:left="851" w:hanging="425"/>
        <w:jc w:val="both"/>
      </w:pPr>
      <w:r>
        <w:lastRenderedPageBreak/>
        <w:t>they cannot engage in proprietary trading for their own account or any account in which they have an interest, except for off-platform back-to-back transactions where no market risk is taken by the platform operator;</w:t>
      </w:r>
      <w:r>
        <w:rPr>
          <w:rStyle w:val="a7"/>
        </w:rPr>
        <w:footnoteReference w:id="39"/>
      </w:r>
      <w:r w:rsidR="008279DA">
        <w:t xml:space="preserve"> </w:t>
      </w:r>
    </w:p>
    <w:p w:rsidR="00D23666" w:rsidRDefault="00D23666" w:rsidP="00D23666">
      <w:pPr>
        <w:pStyle w:val="a4"/>
      </w:pPr>
    </w:p>
    <w:p w:rsidR="00D23666" w:rsidRDefault="00D23666" w:rsidP="004E1B05">
      <w:pPr>
        <w:pStyle w:val="a4"/>
        <w:numPr>
          <w:ilvl w:val="0"/>
          <w:numId w:val="24"/>
        </w:numPr>
        <w:snapToGrid w:val="0"/>
        <w:spacing w:after="0" w:line="240" w:lineRule="auto"/>
        <w:ind w:left="851" w:hanging="425"/>
        <w:jc w:val="both"/>
      </w:pPr>
      <w:r>
        <w:t>they cannot engage in market making activities on a proprietary basis;</w:t>
      </w:r>
      <w:r>
        <w:rPr>
          <w:rStyle w:val="a7"/>
        </w:rPr>
        <w:footnoteReference w:id="40"/>
      </w:r>
      <w:r w:rsidR="007D7548" w:rsidRPr="007D7548">
        <w:t xml:space="preserve"> </w:t>
      </w:r>
      <w:r w:rsidR="007D7548">
        <w:t>and</w:t>
      </w:r>
    </w:p>
    <w:p w:rsidR="008E0835" w:rsidRDefault="008E0835" w:rsidP="008E0835">
      <w:pPr>
        <w:pStyle w:val="a4"/>
        <w:snapToGrid w:val="0"/>
        <w:spacing w:after="0" w:line="240" w:lineRule="auto"/>
        <w:ind w:left="851"/>
        <w:jc w:val="both"/>
      </w:pPr>
    </w:p>
    <w:p w:rsidR="008279DA" w:rsidRPr="00D23666" w:rsidRDefault="00115633" w:rsidP="008279DA">
      <w:pPr>
        <w:pStyle w:val="a4"/>
        <w:numPr>
          <w:ilvl w:val="0"/>
          <w:numId w:val="24"/>
        </w:numPr>
        <w:snapToGrid w:val="0"/>
        <w:spacing w:after="0" w:line="240" w:lineRule="auto"/>
        <w:ind w:left="851" w:hanging="425"/>
        <w:jc w:val="both"/>
      </w:pPr>
      <w:r>
        <w:t xml:space="preserve">the group companies of licensed </w:t>
      </w:r>
      <w:r w:rsidRPr="005C7644">
        <w:rPr>
          <w:rFonts w:cstheme="minorHAnsi"/>
        </w:rPr>
        <w:t xml:space="preserve">virtual asset </w:t>
      </w:r>
      <w:r>
        <w:rPr>
          <w:rFonts w:cstheme="minorHAnsi"/>
        </w:rPr>
        <w:t xml:space="preserve">trading </w:t>
      </w:r>
      <w:r w:rsidRPr="005C7644">
        <w:rPr>
          <w:rFonts w:cstheme="minorHAnsi"/>
        </w:rPr>
        <w:t>platform operator</w:t>
      </w:r>
      <w:r>
        <w:rPr>
          <w:rFonts w:cstheme="minorHAnsi"/>
        </w:rPr>
        <w:t xml:space="preserve">s are prohibited from conducting proprietary </w:t>
      </w:r>
      <w:r w:rsidR="00D23666">
        <w:rPr>
          <w:rFonts w:cstheme="minorHAnsi"/>
        </w:rPr>
        <w:t xml:space="preserve">trading </w:t>
      </w:r>
      <w:r>
        <w:rPr>
          <w:rFonts w:cstheme="minorHAnsi"/>
        </w:rPr>
        <w:t>in virtual assets through the platf</w:t>
      </w:r>
      <w:r w:rsidR="00D23666">
        <w:rPr>
          <w:rFonts w:cstheme="minorHAnsi"/>
        </w:rPr>
        <w:t>orm operator on or off-platform.</w:t>
      </w:r>
      <w:r w:rsidR="008E0835">
        <w:rPr>
          <w:rStyle w:val="a7"/>
          <w:rFonts w:cstheme="minorHAnsi"/>
        </w:rPr>
        <w:footnoteReference w:id="41"/>
      </w:r>
      <w:r w:rsidR="00D23666">
        <w:rPr>
          <w:rFonts w:cstheme="minorHAnsi"/>
        </w:rPr>
        <w:t xml:space="preserve"> </w:t>
      </w:r>
    </w:p>
    <w:p w:rsidR="008279DA" w:rsidRPr="00A36F2A" w:rsidRDefault="008279DA" w:rsidP="00D23666">
      <w:pPr>
        <w:snapToGrid w:val="0"/>
        <w:spacing w:after="0" w:line="240" w:lineRule="auto"/>
        <w:jc w:val="both"/>
      </w:pPr>
    </w:p>
    <w:p w:rsidR="007F3C3E" w:rsidRPr="00A36F2A" w:rsidRDefault="00092176" w:rsidP="00752AB0">
      <w:pPr>
        <w:pStyle w:val="a4"/>
        <w:numPr>
          <w:ilvl w:val="0"/>
          <w:numId w:val="5"/>
        </w:numPr>
        <w:snapToGrid w:val="0"/>
        <w:spacing w:after="0" w:line="240" w:lineRule="auto"/>
        <w:ind w:hanging="720"/>
        <w:jc w:val="both"/>
        <w:rPr>
          <w:b/>
        </w:rPr>
      </w:pPr>
      <w:r>
        <w:rPr>
          <w:color w:val="FF0000"/>
        </w:rPr>
        <w:t>Other Adaptations to Existing Requirements I</w:t>
      </w:r>
      <w:r w:rsidR="007F3C3E" w:rsidRPr="00A36F2A">
        <w:rPr>
          <w:color w:val="FF0000"/>
        </w:rPr>
        <w:t>ncorporated into the VATP Guidelines</w:t>
      </w:r>
    </w:p>
    <w:p w:rsidR="00DE5C50" w:rsidRDefault="00DE5C50" w:rsidP="00490707">
      <w:pPr>
        <w:snapToGrid w:val="0"/>
        <w:spacing w:after="0" w:line="240" w:lineRule="auto"/>
        <w:jc w:val="both"/>
        <w:rPr>
          <w:b/>
        </w:rPr>
      </w:pPr>
    </w:p>
    <w:p w:rsidR="00DD1A31" w:rsidRDefault="00DE5C50" w:rsidP="00B56879">
      <w:pPr>
        <w:jc w:val="both"/>
      </w:pPr>
      <w:r>
        <w:t xml:space="preserve">The following changes have been made to the requirements of the </w:t>
      </w:r>
      <w:r w:rsidR="00DD1A31">
        <w:t>Terms and Conditions</w:t>
      </w:r>
      <w:r>
        <w:t xml:space="preserve"> for </w:t>
      </w:r>
      <w:r w:rsidRPr="00E16BD9">
        <w:t>V</w:t>
      </w:r>
      <w:r>
        <w:t xml:space="preserve">irtual </w:t>
      </w:r>
      <w:r w:rsidRPr="00E16BD9">
        <w:t>A</w:t>
      </w:r>
      <w:r>
        <w:t>sset</w:t>
      </w:r>
      <w:r w:rsidRPr="00E16BD9">
        <w:t xml:space="preserve"> Trading Platform Operations</w:t>
      </w:r>
      <w:r>
        <w:t xml:space="preserve"> (currently imposed on SFO-licensed platform operators</w:t>
      </w:r>
      <w:r w:rsidR="00DD1A31">
        <w:t>)</w:t>
      </w:r>
      <w:r w:rsidR="005226A3">
        <w:t xml:space="preserve"> </w:t>
      </w:r>
      <w:r w:rsidR="001C44B0">
        <w:t xml:space="preserve">now incorporated </w:t>
      </w:r>
      <w:r w:rsidR="007F3C3E">
        <w:t>into the VATP Guidelines</w:t>
      </w:r>
      <w:r w:rsidR="00DD1A31">
        <w:t>:</w:t>
      </w:r>
    </w:p>
    <w:p w:rsidR="007F3C3E" w:rsidRDefault="00DD1A31" w:rsidP="001C44B0">
      <w:pPr>
        <w:pStyle w:val="a4"/>
        <w:numPr>
          <w:ilvl w:val="0"/>
          <w:numId w:val="25"/>
        </w:numPr>
        <w:ind w:left="851" w:hanging="425"/>
        <w:jc w:val="both"/>
      </w:pPr>
      <w:r>
        <w:t>t</w:t>
      </w:r>
      <w:r w:rsidR="007F3C3E">
        <w:t>he requirement for security tokens</w:t>
      </w:r>
      <w:r>
        <w:t xml:space="preserve"> to be</w:t>
      </w:r>
      <w:r w:rsidR="001C44B0">
        <w:t>:</w:t>
      </w:r>
      <w:r>
        <w:t xml:space="preserve"> (i) asset-backed; (ii) approved or registered for trading in comparable jurisdict</w:t>
      </w:r>
      <w:r w:rsidR="00DE5C50">
        <w:t>ions; and (iii) have a 12-month</w:t>
      </w:r>
      <w:r>
        <w:t xml:space="preserve"> post-issuance track record, </w:t>
      </w:r>
      <w:r w:rsidR="00DE5C50">
        <w:t xml:space="preserve">have </w:t>
      </w:r>
      <w:r w:rsidR="005226A3">
        <w:t>not be</w:t>
      </w:r>
      <w:r w:rsidR="001C44B0">
        <w:t>en incorporated</w:t>
      </w:r>
      <w:r w:rsidR="005226A3">
        <w:t>;</w:t>
      </w:r>
    </w:p>
    <w:p w:rsidR="005226A3" w:rsidRDefault="005226A3" w:rsidP="001C44B0">
      <w:pPr>
        <w:pStyle w:val="a4"/>
      </w:pPr>
    </w:p>
    <w:p w:rsidR="005226A3" w:rsidRDefault="005226A3" w:rsidP="001C44B0">
      <w:pPr>
        <w:pStyle w:val="a4"/>
        <w:numPr>
          <w:ilvl w:val="0"/>
          <w:numId w:val="25"/>
        </w:numPr>
        <w:ind w:left="851" w:hanging="425"/>
        <w:jc w:val="both"/>
      </w:pPr>
      <w:r>
        <w:t>p</w:t>
      </w:r>
      <w:r w:rsidR="007F3C3E">
        <w:t xml:space="preserve">latform operators </w:t>
      </w:r>
      <w:r w:rsidR="001C44B0">
        <w:t xml:space="preserve">are </w:t>
      </w:r>
      <w:r w:rsidR="007F3C3E">
        <w:t xml:space="preserve">no longer required to provide </w:t>
      </w:r>
      <w:r w:rsidR="0079175E">
        <w:t xml:space="preserve">a </w:t>
      </w:r>
      <w:r w:rsidR="007F3C3E">
        <w:t xml:space="preserve">written legal </w:t>
      </w:r>
      <w:r>
        <w:t xml:space="preserve">opinion or memorandum </w:t>
      </w:r>
      <w:r w:rsidR="007F3C3E">
        <w:t xml:space="preserve">on </w:t>
      </w:r>
      <w:r w:rsidR="001C44B0">
        <w:t xml:space="preserve">the regulatory status of </w:t>
      </w:r>
      <w:r w:rsidR="007F3C3E">
        <w:t xml:space="preserve">virtual assets </w:t>
      </w:r>
      <w:r w:rsidR="001C44B0">
        <w:t xml:space="preserve">even where </w:t>
      </w:r>
      <w:r w:rsidR="007F3C3E">
        <w:t>they are made available to retail clients</w:t>
      </w:r>
      <w:r w:rsidR="00612DCB">
        <w:t>. However, platform operators must ensure that retail trading of virtual assets does not breach the public offering regimes under the Companies (Winding Up and Miscellaneous Provisions) Ordinance or Part IV of the SFO. The SFC also notes in the Consultation Conclusions that it may ask for legal opinions on specific tokens as part of its approval process</w:t>
      </w:r>
      <w:r>
        <w:t>;</w:t>
      </w:r>
      <w:r w:rsidR="00612DCB">
        <w:rPr>
          <w:rStyle w:val="a7"/>
        </w:rPr>
        <w:footnoteReference w:id="42"/>
      </w:r>
    </w:p>
    <w:p w:rsidR="005226A3" w:rsidRDefault="005226A3" w:rsidP="001C44B0">
      <w:pPr>
        <w:pStyle w:val="a4"/>
      </w:pPr>
    </w:p>
    <w:p w:rsidR="005226A3" w:rsidRDefault="005226A3" w:rsidP="00612DCB">
      <w:pPr>
        <w:pStyle w:val="a4"/>
        <w:numPr>
          <w:ilvl w:val="0"/>
          <w:numId w:val="25"/>
        </w:numPr>
        <w:ind w:left="851" w:hanging="425"/>
        <w:jc w:val="both"/>
      </w:pPr>
      <w:r>
        <w:t xml:space="preserve">platform operators are only required to disclose how </w:t>
      </w:r>
      <w:r w:rsidR="0059513B">
        <w:t>they</w:t>
      </w:r>
      <w:r>
        <w:t xml:space="preserve"> will handle voting rights rather than require their facilitation of such exercise;</w:t>
      </w:r>
    </w:p>
    <w:p w:rsidR="005226A3" w:rsidRDefault="005226A3" w:rsidP="001C44B0">
      <w:pPr>
        <w:pStyle w:val="a4"/>
      </w:pPr>
    </w:p>
    <w:p w:rsidR="007F3C3E" w:rsidRDefault="007F3C3E" w:rsidP="00612DCB">
      <w:pPr>
        <w:pStyle w:val="a4"/>
        <w:numPr>
          <w:ilvl w:val="0"/>
          <w:numId w:val="25"/>
        </w:numPr>
        <w:ind w:left="851" w:hanging="425"/>
        <w:jc w:val="both"/>
      </w:pPr>
      <w:r>
        <w:t xml:space="preserve">exceptions to the </w:t>
      </w:r>
      <w:r w:rsidR="00612DCB">
        <w:t xml:space="preserve">prohibition on </w:t>
      </w:r>
      <w:r>
        <w:t xml:space="preserve">proprietary trading </w:t>
      </w:r>
      <w:r w:rsidR="00612DCB">
        <w:t xml:space="preserve">allow </w:t>
      </w:r>
      <w:r>
        <w:t>platform operators</w:t>
      </w:r>
      <w:r w:rsidR="005226A3">
        <w:t xml:space="preserve"> </w:t>
      </w:r>
      <w:r>
        <w:t>to conduct back-to-back transactions off-platform</w:t>
      </w:r>
      <w:r w:rsidR="00260C5E">
        <w:t xml:space="preserve"> or in prescribed circumstances approved by the SFC</w:t>
      </w:r>
      <w:r w:rsidR="00B53002">
        <w:t>;</w:t>
      </w:r>
      <w:r w:rsidR="007D7548">
        <w:t xml:space="preserve"> and</w:t>
      </w:r>
      <w:r w:rsidR="00260C5E">
        <w:t xml:space="preserve"> </w:t>
      </w:r>
    </w:p>
    <w:p w:rsidR="00490707" w:rsidRDefault="00490707" w:rsidP="001C44B0">
      <w:pPr>
        <w:pStyle w:val="a4"/>
      </w:pPr>
    </w:p>
    <w:p w:rsidR="007E5B0F" w:rsidRDefault="008B4FBC" w:rsidP="00CD2EB9">
      <w:pPr>
        <w:pStyle w:val="a4"/>
        <w:numPr>
          <w:ilvl w:val="0"/>
          <w:numId w:val="25"/>
        </w:numPr>
        <w:ind w:left="851" w:hanging="425"/>
        <w:jc w:val="both"/>
      </w:pPr>
      <w:r>
        <w:t>w</w:t>
      </w:r>
      <w:r w:rsidR="007F3C3E">
        <w:t>here virtual assets are made available to professional investors only, licensed platform operators only need to notify the SFC in advance of any plans to add</w:t>
      </w:r>
      <w:r w:rsidR="00030336">
        <w:t>, suspend</w:t>
      </w:r>
      <w:r w:rsidR="007F3C3E">
        <w:t xml:space="preserve"> or remove such produc</w:t>
      </w:r>
      <w:r w:rsidR="00800261">
        <w:t>ts from their trading platform.</w:t>
      </w:r>
      <w:r w:rsidR="00030336">
        <w:rPr>
          <w:rStyle w:val="a7"/>
        </w:rPr>
        <w:footnoteReference w:id="43"/>
      </w:r>
      <w:r w:rsidR="00800261">
        <w:t xml:space="preserve"> </w:t>
      </w:r>
      <w:r w:rsidR="007F3C3E">
        <w:t xml:space="preserve">However, where virtual assets are made available to retail clients, platform operators </w:t>
      </w:r>
      <w:r w:rsidR="00030336">
        <w:t xml:space="preserve">must obtain </w:t>
      </w:r>
      <w:r w:rsidR="007F3C3E">
        <w:t>the SFC's approval before admitting them for trading</w:t>
      </w:r>
      <w:r w:rsidR="00CD2EB9">
        <w:t>,</w:t>
      </w:r>
      <w:r w:rsidR="00030336">
        <w:t xml:space="preserve"> or suspending trading </w:t>
      </w:r>
      <w:r w:rsidR="00CD2EB9">
        <w:t>in, or removing, them</w:t>
      </w:r>
      <w:r w:rsidR="007F3C3E">
        <w:t>.</w:t>
      </w:r>
      <w:r w:rsidR="00CD2EB9">
        <w:rPr>
          <w:rStyle w:val="a7"/>
        </w:rPr>
        <w:footnoteReference w:id="44"/>
      </w:r>
    </w:p>
    <w:p w:rsidR="00707574" w:rsidRPr="001C44B0" w:rsidRDefault="00707574" w:rsidP="00490707">
      <w:pPr>
        <w:pStyle w:val="a4"/>
        <w:snapToGrid w:val="0"/>
        <w:spacing w:after="0" w:line="240" w:lineRule="auto"/>
        <w:contextualSpacing w:val="0"/>
        <w:jc w:val="both"/>
      </w:pPr>
    </w:p>
    <w:p w:rsidR="00106C6D" w:rsidRPr="00411583" w:rsidRDefault="001A6EC4" w:rsidP="00411583">
      <w:pPr>
        <w:snapToGrid w:val="0"/>
        <w:spacing w:after="0" w:line="240" w:lineRule="auto"/>
        <w:jc w:val="both"/>
        <w:rPr>
          <w:b/>
          <w:color w:val="FF0000"/>
        </w:rPr>
      </w:pPr>
      <w:r w:rsidRPr="00411583">
        <w:rPr>
          <w:b/>
          <w:color w:val="FF0000"/>
        </w:rPr>
        <w:t>Guideline on Anti-Money Laundering and Counter-Financing of Terrorism</w:t>
      </w:r>
      <w:r w:rsidR="00A93D17" w:rsidRPr="00411583">
        <w:rPr>
          <w:b/>
          <w:color w:val="FF0000"/>
        </w:rPr>
        <w:t xml:space="preserve"> (For Licensed Corporations and SFC-licensed Virtual Asset Service Providers)</w:t>
      </w:r>
    </w:p>
    <w:p w:rsidR="00210A38" w:rsidRPr="001C44B0" w:rsidRDefault="00210A38" w:rsidP="00490707">
      <w:pPr>
        <w:snapToGrid w:val="0"/>
        <w:spacing w:after="0" w:line="240" w:lineRule="auto"/>
        <w:jc w:val="both"/>
      </w:pPr>
    </w:p>
    <w:p w:rsidR="00B8250B" w:rsidRDefault="00A91464" w:rsidP="00B8250B">
      <w:pPr>
        <w:snapToGrid w:val="0"/>
        <w:spacing w:after="0" w:line="240" w:lineRule="auto"/>
        <w:jc w:val="both"/>
      </w:pPr>
      <w:r>
        <w:t>SFC-</w:t>
      </w:r>
      <w:r w:rsidR="00485E45">
        <w:t>l</w:t>
      </w:r>
      <w:r w:rsidR="005F5808" w:rsidRPr="005F5808">
        <w:t xml:space="preserve">icensed </w:t>
      </w:r>
      <w:r>
        <w:t xml:space="preserve">virtual asset </w:t>
      </w:r>
      <w:r w:rsidR="00210A38">
        <w:t xml:space="preserve">trading </w:t>
      </w:r>
      <w:r w:rsidR="005F5808" w:rsidRPr="005F5808">
        <w:t xml:space="preserve">platform operators </w:t>
      </w:r>
      <w:r>
        <w:t xml:space="preserve">must comply with </w:t>
      </w:r>
      <w:r w:rsidR="005F5808" w:rsidRPr="005F5808">
        <w:t xml:space="preserve">virtual asset-specific AML/CFT requirements </w:t>
      </w:r>
      <w:r>
        <w:t>set out in new</w:t>
      </w:r>
      <w:r w:rsidR="00210A38">
        <w:t xml:space="preserve"> </w:t>
      </w:r>
      <w:r w:rsidR="005F5808" w:rsidRPr="005F5808">
        <w:t>Chapter 12</w:t>
      </w:r>
      <w:r w:rsidR="007F3C3E">
        <w:t xml:space="preserve"> </w:t>
      </w:r>
      <w:r>
        <w:t xml:space="preserve">of </w:t>
      </w:r>
      <w:r w:rsidR="007F3C3E">
        <w:t>the</w:t>
      </w:r>
      <w:r w:rsidR="00A93D17">
        <w:t xml:space="preserve"> </w:t>
      </w:r>
      <w:r>
        <w:t>renamed</w:t>
      </w:r>
      <w:r w:rsidR="007F3C3E" w:rsidRPr="007F3C3E">
        <w:t xml:space="preserve"> </w:t>
      </w:r>
      <w:hyperlink r:id="rId19" w:history="1">
        <w:r w:rsidR="007F3C3E" w:rsidRPr="00AD04F5">
          <w:rPr>
            <w:rStyle w:val="a3"/>
          </w:rPr>
          <w:t>Guideline on Anti-Money Laundering and Counter-Financing of Terrorism (For Licensed Corporations and SFC-licensed Virtual Asset Service Providers</w:t>
        </w:r>
      </w:hyperlink>
      <w:r w:rsidR="007F3C3E" w:rsidRPr="001C44B0">
        <w:t>)</w:t>
      </w:r>
      <w:r w:rsidR="0017348E">
        <w:t xml:space="preserve"> </w:t>
      </w:r>
      <w:r>
        <w:t xml:space="preserve">in addition to </w:t>
      </w:r>
      <w:r w:rsidR="00357F0A">
        <w:t xml:space="preserve">the guideline’s general </w:t>
      </w:r>
      <w:r w:rsidR="008D7B3A">
        <w:lastRenderedPageBreak/>
        <w:t xml:space="preserve">AML/CFT requirements </w:t>
      </w:r>
      <w:r w:rsidR="00B8250B">
        <w:t>applicable to SFC-</w:t>
      </w:r>
      <w:r w:rsidR="001137BA">
        <w:t xml:space="preserve">licensed entities. </w:t>
      </w:r>
      <w:r w:rsidR="0085225F">
        <w:t xml:space="preserve">The revised and renamed </w:t>
      </w:r>
      <w:hyperlink r:id="rId20" w:history="1">
        <w:r w:rsidR="00B8250B" w:rsidRPr="00706A7E">
          <w:rPr>
            <w:rStyle w:val="a3"/>
            <w:rFonts w:hint="eastAsia"/>
          </w:rPr>
          <w:t>Prevention of Money Laundering and Terrorist Financing Guideline issued by the Securities and Futures Commission for Associated Entities of Licensed Corporations and SFC-licensed Virtual Asset Service Providers</w:t>
        </w:r>
      </w:hyperlink>
      <w:r w:rsidR="0085225F">
        <w:t xml:space="preserve"> requires associated entities of SFC-l</w:t>
      </w:r>
      <w:r w:rsidR="0085225F" w:rsidRPr="005F5808">
        <w:t xml:space="preserve">icensed </w:t>
      </w:r>
      <w:r w:rsidR="0085225F">
        <w:t xml:space="preserve">virtual asset trading </w:t>
      </w:r>
      <w:r w:rsidR="0085225F" w:rsidRPr="005F5808">
        <w:t xml:space="preserve">platform operators </w:t>
      </w:r>
      <w:r w:rsidR="0085225F">
        <w:t xml:space="preserve">to comply with the </w:t>
      </w:r>
      <w:r w:rsidR="0085225F" w:rsidRPr="001C44B0">
        <w:t>Guideline on Anti-Money Laundering and Counter-Financing of Terrorism (For Licensed Corporations and SFC-licensed Virtual Asset Service Providers)</w:t>
      </w:r>
      <w:r w:rsidR="00B8250B">
        <w:t>.</w:t>
      </w:r>
      <w:r w:rsidR="00B8250B">
        <w:rPr>
          <w:rFonts w:hint="eastAsia"/>
        </w:rPr>
        <w:t xml:space="preserve"> </w:t>
      </w:r>
    </w:p>
    <w:p w:rsidR="0085225F" w:rsidRDefault="0085225F" w:rsidP="00B8250B">
      <w:pPr>
        <w:snapToGrid w:val="0"/>
        <w:spacing w:after="0" w:line="240" w:lineRule="auto"/>
        <w:jc w:val="both"/>
      </w:pPr>
    </w:p>
    <w:p w:rsidR="000033F7" w:rsidRPr="00FF1804" w:rsidRDefault="00357F0A" w:rsidP="00FF1804">
      <w:pPr>
        <w:snapToGrid w:val="0"/>
        <w:spacing w:after="0" w:line="240" w:lineRule="auto"/>
        <w:jc w:val="both"/>
        <w:rPr>
          <w:b/>
        </w:rPr>
      </w:pPr>
      <w:r w:rsidRPr="00FF1804">
        <w:rPr>
          <w:b/>
        </w:rPr>
        <w:t>Application of the Travel Rule to Virtual Asset</w:t>
      </w:r>
      <w:r w:rsidR="004B4C46">
        <w:rPr>
          <w:b/>
        </w:rPr>
        <w:t xml:space="preserve"> T</w:t>
      </w:r>
      <w:r w:rsidR="00F57F71" w:rsidRPr="00FF1804">
        <w:rPr>
          <w:b/>
        </w:rPr>
        <w:t>ransfer</w:t>
      </w:r>
      <w:r w:rsidRPr="00FF1804">
        <w:rPr>
          <w:b/>
        </w:rPr>
        <w:t xml:space="preserve">s </w:t>
      </w:r>
    </w:p>
    <w:p w:rsidR="00357F0A" w:rsidRDefault="00357F0A" w:rsidP="00357F0A">
      <w:pPr>
        <w:snapToGrid w:val="0"/>
        <w:spacing w:after="0" w:line="240" w:lineRule="auto"/>
        <w:jc w:val="both"/>
      </w:pPr>
    </w:p>
    <w:p w:rsidR="00C839F2" w:rsidRDefault="00E05543" w:rsidP="00FF1804">
      <w:pPr>
        <w:snapToGrid w:val="0"/>
        <w:spacing w:after="0" w:line="240" w:lineRule="auto"/>
        <w:jc w:val="both"/>
      </w:pPr>
      <w:r>
        <w:t xml:space="preserve">Financial institutions, which are defined in the AMLO to include virtual asset trading platform operators licensed under the AMLO and/or the SFO, must comply with </w:t>
      </w:r>
      <w:r w:rsidR="00357F0A">
        <w:t>S</w:t>
      </w:r>
      <w:r w:rsidR="00485E45">
        <w:t>ection 13A of Schedule 2 to the AMLO</w:t>
      </w:r>
      <w:r w:rsidR="00357F0A">
        <w:t xml:space="preserve"> </w:t>
      </w:r>
      <w:r>
        <w:t xml:space="preserve">which </w:t>
      </w:r>
      <w:r w:rsidR="00357F0A">
        <w:t xml:space="preserve">applies the requirements for wire transfers </w:t>
      </w:r>
      <w:r w:rsidR="00A076F8">
        <w:t xml:space="preserve">under FATF Recommendation 16 (the Travel Rule) to transfers of virtual assets. </w:t>
      </w:r>
      <w:r w:rsidR="00BA1B2F">
        <w:t>Chapter 12</w:t>
      </w:r>
      <w:r>
        <w:t xml:space="preserve"> of the </w:t>
      </w:r>
      <w:r w:rsidRPr="001C44B0">
        <w:t>Guideline on Anti-Money Laundering and Counter-Financing of Terrorism (For Licensed Corporations and SFC-licensed Virtual Asset Service Providers)</w:t>
      </w:r>
      <w:r>
        <w:t xml:space="preserve"> sets out detailed guidance on the statutory obligation. </w:t>
      </w:r>
      <w:r w:rsidR="00B53002">
        <w:t>T</w:t>
      </w:r>
      <w:r w:rsidR="00BA1B2F">
        <w:t>his require</w:t>
      </w:r>
      <w:r>
        <w:t>s</w:t>
      </w:r>
      <w:r w:rsidR="00BA1B2F">
        <w:t xml:space="preserve"> </w:t>
      </w:r>
      <w:r w:rsidR="003C6A73">
        <w:t>that</w:t>
      </w:r>
      <w:r w:rsidR="00C839F2">
        <w:t>:</w:t>
      </w:r>
    </w:p>
    <w:p w:rsidR="004B5C42" w:rsidRDefault="004B5C42" w:rsidP="00FF1804">
      <w:pPr>
        <w:snapToGrid w:val="0"/>
        <w:spacing w:after="0" w:line="240" w:lineRule="auto"/>
        <w:jc w:val="both"/>
      </w:pPr>
    </w:p>
    <w:p w:rsidR="00477EA2" w:rsidRDefault="00F91BA3" w:rsidP="00F91BA3">
      <w:pPr>
        <w:pStyle w:val="a4"/>
        <w:numPr>
          <w:ilvl w:val="0"/>
          <w:numId w:val="29"/>
        </w:numPr>
        <w:snapToGrid w:val="0"/>
        <w:spacing w:after="0" w:line="240" w:lineRule="auto"/>
        <w:ind w:left="851" w:hanging="425"/>
        <w:jc w:val="both"/>
      </w:pPr>
      <w:r>
        <w:t>when acting as an ordering institution of virtual asset transfers, a licensed platform operator must obtain, record and submit the required information of the originator and recipient to the beneficiary institution immediately and securely</w:t>
      </w:r>
      <w:r w:rsidR="00477EA2">
        <w:t>;</w:t>
      </w:r>
      <w:r>
        <w:rPr>
          <w:rStyle w:val="a7"/>
        </w:rPr>
        <w:footnoteReference w:id="45"/>
      </w:r>
    </w:p>
    <w:p w:rsidR="00477EA2" w:rsidRDefault="00477EA2" w:rsidP="00477EA2">
      <w:pPr>
        <w:pStyle w:val="a4"/>
        <w:snapToGrid w:val="0"/>
        <w:spacing w:after="0" w:line="240" w:lineRule="auto"/>
        <w:ind w:left="851"/>
        <w:jc w:val="both"/>
      </w:pPr>
    </w:p>
    <w:p w:rsidR="00477EA2" w:rsidRDefault="00F91BA3" w:rsidP="00F91BA3">
      <w:pPr>
        <w:pStyle w:val="a4"/>
        <w:numPr>
          <w:ilvl w:val="0"/>
          <w:numId w:val="29"/>
        </w:numPr>
        <w:snapToGrid w:val="0"/>
        <w:spacing w:after="0" w:line="240" w:lineRule="auto"/>
        <w:ind w:left="851" w:hanging="425"/>
        <w:jc w:val="both"/>
      </w:pPr>
      <w:r>
        <w:t>when acting as a beneficiary institution, a licensed platform operator must obtain and record the required information submitted by the ordering instituti</w:t>
      </w:r>
      <w:r w:rsidR="00477EA2">
        <w:t>on or intermediary institution;</w:t>
      </w:r>
      <w:r w:rsidR="00477EA2">
        <w:rPr>
          <w:rStyle w:val="a7"/>
        </w:rPr>
        <w:footnoteReference w:id="46"/>
      </w:r>
      <w:r w:rsidR="00FF1804">
        <w:t xml:space="preserve"> and</w:t>
      </w:r>
    </w:p>
    <w:p w:rsidR="00477EA2" w:rsidRDefault="00477EA2" w:rsidP="00477EA2">
      <w:pPr>
        <w:pStyle w:val="a4"/>
      </w:pPr>
    </w:p>
    <w:p w:rsidR="007E39A6" w:rsidRDefault="00F91BA3" w:rsidP="00FF1804">
      <w:pPr>
        <w:pStyle w:val="a4"/>
        <w:numPr>
          <w:ilvl w:val="0"/>
          <w:numId w:val="29"/>
        </w:numPr>
        <w:snapToGrid w:val="0"/>
        <w:spacing w:after="0" w:line="240" w:lineRule="auto"/>
        <w:ind w:left="851" w:hanging="425"/>
        <w:jc w:val="both"/>
      </w:pPr>
      <w:r>
        <w:t>a l</w:t>
      </w:r>
      <w:r w:rsidR="00477EA2">
        <w:t>icensed platform operator must</w:t>
      </w:r>
      <w:r>
        <w:t xml:space="preserve"> conduct due diligence on a virtual asset tr</w:t>
      </w:r>
      <w:r w:rsidR="007E39A6">
        <w:t>ansfer counterparty (i.e.</w:t>
      </w:r>
      <w:r>
        <w:t xml:space="preserve"> the ordering institution, intermediary institution or beneficiary institution involved in a virtual asset transfer) to identify and assess the associated ML/ TF risks so as to apply risk-based AML/CFT measures</w:t>
      </w:r>
      <w:r w:rsidR="00FF1804">
        <w:t>.</w:t>
      </w:r>
      <w:r w:rsidR="007E39A6">
        <w:rPr>
          <w:rStyle w:val="a7"/>
        </w:rPr>
        <w:footnoteReference w:id="47"/>
      </w:r>
      <w:r>
        <w:t xml:space="preserve"> </w:t>
      </w:r>
    </w:p>
    <w:p w:rsidR="00FF1804" w:rsidRDefault="00FF1804" w:rsidP="00FF1804">
      <w:pPr>
        <w:snapToGrid w:val="0"/>
        <w:spacing w:after="0" w:line="240" w:lineRule="auto"/>
        <w:jc w:val="both"/>
      </w:pPr>
    </w:p>
    <w:p w:rsidR="00FF1804" w:rsidRDefault="00FF1804" w:rsidP="00E23460">
      <w:pPr>
        <w:jc w:val="both"/>
      </w:pPr>
      <w:r>
        <w:t>Chapter 12 also sets out requirements relating to identifying suspicious transactions and conducting sanctions screening of all relevant parties involved in a virtual asset transfer.</w:t>
      </w:r>
      <w:r>
        <w:rPr>
          <w:rStyle w:val="a7"/>
        </w:rPr>
        <w:footnoteReference w:id="48"/>
      </w:r>
      <w:r>
        <w:t xml:space="preserve"> </w:t>
      </w:r>
    </w:p>
    <w:p w:rsidR="00FF1804" w:rsidRDefault="008E310A" w:rsidP="00AF7FB2">
      <w:pPr>
        <w:jc w:val="both"/>
      </w:pPr>
      <w:r>
        <w:t xml:space="preserve">The travel rule requirements for virtual asset transfers take effect on 1 June 2023. However, the obligation on ordering institutions to submit the required information to the beneficiary institution </w:t>
      </w:r>
      <w:r>
        <w:rPr>
          <w:i/>
        </w:rPr>
        <w:t xml:space="preserve">immediately </w:t>
      </w:r>
      <w:r>
        <w:t>(meaning before or when the virtual asset transfer is conducted)</w:t>
      </w:r>
      <w:r>
        <w:rPr>
          <w:rStyle w:val="a7"/>
        </w:rPr>
        <w:footnoteReference w:id="49"/>
      </w:r>
      <w:r>
        <w:t xml:space="preserve"> </w:t>
      </w:r>
      <w:r w:rsidR="007F3D9C">
        <w:t xml:space="preserve">will be delayed until 1 January 2024. In the interim, the SFC will allow ordering institutions to submit the required information to the beneficiary institution </w:t>
      </w:r>
      <w:r w:rsidR="007F3D9C">
        <w:rPr>
          <w:i/>
        </w:rPr>
        <w:t xml:space="preserve">as soon as practicable after </w:t>
      </w:r>
      <w:r w:rsidR="007F3D9C">
        <w:t>the virtual</w:t>
      </w:r>
      <w:r w:rsidR="00E23460">
        <w:t xml:space="preserve"> asset transfer</w:t>
      </w:r>
      <w:r w:rsidR="007F3D9C">
        <w:t>, although they must comply with all other travel rule requirements from 1 June 2023, including the requirement to submit the required information securely.</w:t>
      </w:r>
    </w:p>
    <w:p w:rsidR="00AF7FB2" w:rsidRDefault="009C7382" w:rsidP="00AF7FB2">
      <w:pPr>
        <w:snapToGrid w:val="0"/>
        <w:spacing w:after="0" w:line="240" w:lineRule="auto"/>
        <w:jc w:val="both"/>
      </w:pPr>
      <w:r w:rsidRPr="00AF7FB2">
        <w:rPr>
          <w:b/>
          <w:color w:val="FF0000"/>
        </w:rPr>
        <w:t>D</w:t>
      </w:r>
      <w:r w:rsidR="001A796E" w:rsidRPr="00AF7FB2">
        <w:rPr>
          <w:b/>
          <w:color w:val="FF0000"/>
        </w:rPr>
        <w:t xml:space="preserve">isciplinary </w:t>
      </w:r>
      <w:r w:rsidRPr="00AF7FB2">
        <w:rPr>
          <w:b/>
          <w:color w:val="FF0000"/>
        </w:rPr>
        <w:t>F</w:t>
      </w:r>
      <w:r w:rsidR="001A796E" w:rsidRPr="00AF7FB2">
        <w:rPr>
          <w:b/>
          <w:color w:val="FF0000"/>
        </w:rPr>
        <w:t xml:space="preserve">ining </w:t>
      </w:r>
      <w:r w:rsidRPr="00AF7FB2">
        <w:rPr>
          <w:b/>
          <w:color w:val="FF0000"/>
        </w:rPr>
        <w:t>G</w:t>
      </w:r>
      <w:r w:rsidR="001A796E" w:rsidRPr="00AF7FB2">
        <w:rPr>
          <w:b/>
          <w:color w:val="FF0000"/>
        </w:rPr>
        <w:t>uidelines</w:t>
      </w:r>
      <w:r w:rsidR="001A796E">
        <w:t xml:space="preserve"> </w:t>
      </w:r>
    </w:p>
    <w:p w:rsidR="00AF7FB2" w:rsidRDefault="00AF7FB2" w:rsidP="00AF7FB2">
      <w:pPr>
        <w:snapToGrid w:val="0"/>
        <w:spacing w:after="0" w:line="240" w:lineRule="auto"/>
        <w:jc w:val="both"/>
      </w:pPr>
    </w:p>
    <w:p w:rsidR="00AD04F5" w:rsidRDefault="00EC2D61" w:rsidP="00AF7FB2">
      <w:pPr>
        <w:snapToGrid w:val="0"/>
        <w:spacing w:after="0" w:line="240" w:lineRule="auto"/>
        <w:jc w:val="both"/>
      </w:pPr>
      <w:r>
        <w:t>Virtual asset trading platform operators licensed under the AMLO may be disciplined by the SFC under section 53ZSP of the AMLO, while those licensed or registered under the SFO can be disciplined under section 194 or 196, respectively, of the SFO. In each case, the SFC can impose various sanctions on regulated persons who are guilty of “misconduct” or considered not fit and proper. Misconduct is defined to include contravention of any provision of the relevant ordinance or any licence condition and an act or omission relating to the provision of VA services which is, or is likely to be, prejudicial to the interests of the investing public or to the public interest.</w:t>
      </w:r>
      <w:r>
        <w:rPr>
          <w:rStyle w:val="a7"/>
        </w:rPr>
        <w:footnoteReference w:id="50"/>
      </w:r>
      <w:r>
        <w:t xml:space="preserve"> </w:t>
      </w:r>
      <w:r w:rsidR="00AD04F5">
        <w:t xml:space="preserve">The maximum fine that the </w:t>
      </w:r>
      <w:r w:rsidR="00AD04F5">
        <w:lastRenderedPageBreak/>
        <w:t>SFC can impose is HK$10 million or three times the profit gained or loss avoided as a result of the misconduct or conduct that led to the SFC considering the person to be not fit and proper.</w:t>
      </w:r>
      <w:r w:rsidR="00AD04F5">
        <w:rPr>
          <w:rStyle w:val="a7"/>
        </w:rPr>
        <w:footnoteReference w:id="51"/>
      </w:r>
    </w:p>
    <w:p w:rsidR="00AD04F5" w:rsidRDefault="00AD04F5" w:rsidP="00AF7FB2">
      <w:pPr>
        <w:snapToGrid w:val="0"/>
        <w:spacing w:after="0" w:line="240" w:lineRule="auto"/>
        <w:jc w:val="both"/>
      </w:pPr>
    </w:p>
    <w:p w:rsidR="001A796E" w:rsidRDefault="00AF7FB2" w:rsidP="00AF7FB2">
      <w:pPr>
        <w:snapToGrid w:val="0"/>
        <w:spacing w:after="0" w:line="240" w:lineRule="auto"/>
        <w:jc w:val="both"/>
      </w:pPr>
      <w:r>
        <w:t>T</w:t>
      </w:r>
      <w:r w:rsidR="006F17BA">
        <w:t>he</w:t>
      </w:r>
      <w:r w:rsidR="001A796E">
        <w:t xml:space="preserve"> </w:t>
      </w:r>
      <w:hyperlink r:id="rId21" w:history="1">
        <w:r w:rsidR="001A796E" w:rsidRPr="00D060D6">
          <w:rPr>
            <w:rStyle w:val="a3"/>
          </w:rPr>
          <w:t>Disciplinary Fining Guidelines</w:t>
        </w:r>
        <w:r w:rsidR="00D060D6" w:rsidRPr="00D060D6">
          <w:rPr>
            <w:rStyle w:val="a3"/>
          </w:rPr>
          <w:t xml:space="preserve"> (</w:t>
        </w:r>
        <w:r w:rsidR="00017C43">
          <w:rPr>
            <w:rStyle w:val="a3"/>
          </w:rPr>
          <w:t>f</w:t>
        </w:r>
        <w:r w:rsidR="00D060D6" w:rsidRPr="00D060D6">
          <w:rPr>
            <w:rStyle w:val="a3"/>
          </w:rPr>
          <w:t>or regulated persons under Part 5B of the Anti-Money Laundering and Counter-Terrorist Financing Ordinance)</w:t>
        </w:r>
      </w:hyperlink>
      <w:r w:rsidR="006F17BA">
        <w:t xml:space="preserve"> </w:t>
      </w:r>
      <w:r w:rsidR="00BC1D8F">
        <w:t>set out the various factors the SFC will take into account</w:t>
      </w:r>
      <w:r w:rsidR="005A0E49">
        <w:t xml:space="preserve"> (such as whether the act was reckless, intentional or negligent) in determining appropriate fine</w:t>
      </w:r>
      <w:r w:rsidR="00AD04F5">
        <w:t>s in the case of entities and individuals regulated under the AMLO</w:t>
      </w:r>
      <w:r w:rsidR="005A0E49">
        <w:t xml:space="preserve">. </w:t>
      </w:r>
      <w:r w:rsidR="00AD04F5">
        <w:t xml:space="preserve">The fining criteria for entities and individuals licensed or registered under the SFO are substantially the same and are set out in the </w:t>
      </w:r>
      <w:hyperlink r:id="rId22" w:history="1">
        <w:r w:rsidR="00AD04F5" w:rsidRPr="009260B2">
          <w:rPr>
            <w:rStyle w:val="a3"/>
          </w:rPr>
          <w:t>SFC</w:t>
        </w:r>
        <w:r w:rsidR="009260B2" w:rsidRPr="009260B2">
          <w:rPr>
            <w:rStyle w:val="a3"/>
          </w:rPr>
          <w:t xml:space="preserve"> Disciplinary Fining Guidelines (for regulated persons under the Securities and Futures Ordinance</w:t>
        </w:r>
      </w:hyperlink>
      <w:r w:rsidR="0053061A">
        <w:rPr>
          <w:rStyle w:val="a3"/>
        </w:rPr>
        <w:t>)</w:t>
      </w:r>
      <w:r w:rsidR="009260B2">
        <w:t>.</w:t>
      </w:r>
      <w:r w:rsidR="00AD04F5">
        <w:t xml:space="preserve"> </w:t>
      </w:r>
    </w:p>
    <w:p w:rsidR="00A6089A" w:rsidRDefault="00A6089A" w:rsidP="00490707">
      <w:pPr>
        <w:snapToGrid w:val="0"/>
        <w:spacing w:after="0" w:line="240" w:lineRule="auto"/>
        <w:jc w:val="both"/>
      </w:pPr>
    </w:p>
    <w:p w:rsidR="007F3C3E" w:rsidRPr="00B81C84" w:rsidRDefault="00451901" w:rsidP="00752AB0">
      <w:pPr>
        <w:rPr>
          <w:b/>
          <w:color w:val="FF0000"/>
        </w:rPr>
      </w:pPr>
      <w:r w:rsidRPr="00B81C84">
        <w:rPr>
          <w:b/>
          <w:color w:val="FF0000"/>
        </w:rPr>
        <w:t>Tr</w:t>
      </w:r>
      <w:r w:rsidR="007F3C3E" w:rsidRPr="00B81C84">
        <w:rPr>
          <w:b/>
          <w:color w:val="FF0000"/>
        </w:rPr>
        <w:t xml:space="preserve">ansitional </w:t>
      </w:r>
      <w:r w:rsidR="002D503E" w:rsidRPr="00B81C84">
        <w:rPr>
          <w:b/>
          <w:color w:val="FF0000"/>
        </w:rPr>
        <w:t xml:space="preserve">Arrangements </w:t>
      </w:r>
      <w:r w:rsidR="00185486">
        <w:rPr>
          <w:b/>
          <w:color w:val="FF0000"/>
        </w:rPr>
        <w:t xml:space="preserve">under </w:t>
      </w:r>
      <w:r w:rsidRPr="00B81C84">
        <w:rPr>
          <w:b/>
          <w:color w:val="FF0000"/>
        </w:rPr>
        <w:t>the AM</w:t>
      </w:r>
      <w:r w:rsidR="00EB37C7" w:rsidRPr="00B81C84">
        <w:rPr>
          <w:b/>
          <w:color w:val="FF0000"/>
        </w:rPr>
        <w:t>L</w:t>
      </w:r>
      <w:r w:rsidRPr="00B81C84">
        <w:rPr>
          <w:b/>
          <w:color w:val="FF0000"/>
        </w:rPr>
        <w:t xml:space="preserve">O </w:t>
      </w:r>
      <w:r w:rsidR="00185486">
        <w:rPr>
          <w:b/>
          <w:color w:val="FF0000"/>
        </w:rPr>
        <w:t xml:space="preserve">Licensing </w:t>
      </w:r>
      <w:r w:rsidR="002D503E" w:rsidRPr="00B81C84">
        <w:rPr>
          <w:b/>
          <w:color w:val="FF0000"/>
        </w:rPr>
        <w:t>R</w:t>
      </w:r>
      <w:r w:rsidRPr="00B81C84">
        <w:rPr>
          <w:b/>
          <w:color w:val="FF0000"/>
        </w:rPr>
        <w:t>egime</w:t>
      </w:r>
      <w:r w:rsidR="00185486">
        <w:rPr>
          <w:b/>
          <w:color w:val="FF0000"/>
        </w:rPr>
        <w:t xml:space="preserve"> for Virtual Asset Trading Platform Operators</w:t>
      </w:r>
    </w:p>
    <w:p w:rsidR="001A56AD" w:rsidRDefault="001A56AD" w:rsidP="00490707">
      <w:pPr>
        <w:snapToGrid w:val="0"/>
        <w:spacing w:after="0" w:line="240" w:lineRule="auto"/>
        <w:jc w:val="both"/>
      </w:pPr>
      <w:r>
        <w:t>The AM</w:t>
      </w:r>
      <w:r w:rsidR="00EB37C7">
        <w:t>L</w:t>
      </w:r>
      <w:r>
        <w:t xml:space="preserve">O </w:t>
      </w:r>
      <w:r w:rsidR="00B81C84">
        <w:t xml:space="preserve">licensing </w:t>
      </w:r>
      <w:r>
        <w:t>regime</w:t>
      </w:r>
      <w:r w:rsidR="00B81C84">
        <w:t xml:space="preserve"> for virtual asset trading platform operators</w:t>
      </w:r>
      <w:r>
        <w:t xml:space="preserve"> </w:t>
      </w:r>
      <w:r w:rsidR="00527E37">
        <w:t xml:space="preserve">trading non-security </w:t>
      </w:r>
      <w:r w:rsidR="004B4C46">
        <w:t xml:space="preserve">tokens </w:t>
      </w:r>
      <w:r w:rsidR="00B81C84">
        <w:t xml:space="preserve">takes </w:t>
      </w:r>
      <w:r>
        <w:t>effect on 1 June 2023</w:t>
      </w:r>
      <w:r w:rsidR="008F069A">
        <w:t>. From 1 June 2023, any unlicensed virtual asset</w:t>
      </w:r>
      <w:r>
        <w:t xml:space="preserve"> trading platform </w:t>
      </w:r>
      <w:r w:rsidR="00527E37">
        <w:t xml:space="preserve">trading non-security </w:t>
      </w:r>
      <w:r w:rsidR="004B4C46">
        <w:t xml:space="preserve">tokens </w:t>
      </w:r>
      <w:r w:rsidR="00527E37">
        <w:t xml:space="preserve">and </w:t>
      </w:r>
      <w:r>
        <w:t>carrying on business in Hong Kong or actively market</w:t>
      </w:r>
      <w:r w:rsidR="0059513B">
        <w:t>ing</w:t>
      </w:r>
      <w:r>
        <w:t xml:space="preserve"> its services to Hong Kong investors will </w:t>
      </w:r>
      <w:r w:rsidR="008F069A">
        <w:t xml:space="preserve">breach </w:t>
      </w:r>
      <w:r>
        <w:t xml:space="preserve">the licensing requirements under the AMLO </w:t>
      </w:r>
      <w:r w:rsidR="008F069A">
        <w:t xml:space="preserve">licensing </w:t>
      </w:r>
      <w:r>
        <w:t xml:space="preserve">regime, unless the transitional arrangements below apply. </w:t>
      </w:r>
    </w:p>
    <w:p w:rsidR="001A56AD" w:rsidRDefault="001A56AD" w:rsidP="00490707">
      <w:pPr>
        <w:snapToGrid w:val="0"/>
        <w:spacing w:after="0" w:line="240" w:lineRule="auto"/>
        <w:jc w:val="both"/>
      </w:pPr>
    </w:p>
    <w:p w:rsidR="00EC56FD" w:rsidRDefault="008F069A">
      <w:pPr>
        <w:snapToGrid w:val="0"/>
        <w:spacing w:after="0" w:line="240" w:lineRule="auto"/>
        <w:jc w:val="both"/>
      </w:pPr>
      <w:r>
        <w:t xml:space="preserve">Under the </w:t>
      </w:r>
      <w:r w:rsidR="00A6089A">
        <w:t>transitional arrangements</w:t>
      </w:r>
      <w:r w:rsidR="00185486">
        <w:t>,</w:t>
      </w:r>
      <w:r w:rsidR="001A56AD">
        <w:t xml:space="preserve"> </w:t>
      </w:r>
      <w:r>
        <w:t xml:space="preserve">virtual asset </w:t>
      </w:r>
      <w:r w:rsidR="004176C6">
        <w:t>trading platform</w:t>
      </w:r>
      <w:r w:rsidR="00EC56FD">
        <w:t>s</w:t>
      </w:r>
      <w:r w:rsidR="004176C6">
        <w:t xml:space="preserve"> </w:t>
      </w:r>
      <w:r w:rsidR="00527E37">
        <w:t xml:space="preserve">trading non-security </w:t>
      </w:r>
      <w:r w:rsidR="004B4C46">
        <w:t xml:space="preserve">tokens </w:t>
      </w:r>
      <w:r w:rsidR="004176C6">
        <w:t xml:space="preserve">which </w:t>
      </w:r>
      <w:r w:rsidR="00EC56FD">
        <w:t>were operating</w:t>
      </w:r>
      <w:r w:rsidR="004176C6">
        <w:t xml:space="preserve"> in Hong Kong </w:t>
      </w:r>
      <w:r w:rsidR="00EC56FD">
        <w:t xml:space="preserve">before </w:t>
      </w:r>
      <w:r w:rsidR="004176C6">
        <w:t xml:space="preserve">1 June 2023 </w:t>
      </w:r>
      <w:r w:rsidR="00EC56FD">
        <w:t xml:space="preserve">and have </w:t>
      </w:r>
      <w:r w:rsidR="0059513B">
        <w:t xml:space="preserve">a </w:t>
      </w:r>
      <w:r w:rsidR="004176C6">
        <w:t>meaningf</w:t>
      </w:r>
      <w:r w:rsidR="00EC56FD">
        <w:t>ul and substantial presence can</w:t>
      </w:r>
      <w:r w:rsidR="004176C6">
        <w:t xml:space="preserve"> </w:t>
      </w:r>
      <w:r w:rsidR="000C65E8">
        <w:t>continue to operate in Hong Kong</w:t>
      </w:r>
      <w:r w:rsidR="004176C6">
        <w:t xml:space="preserve"> without a licence</w:t>
      </w:r>
      <w:r w:rsidR="000C65E8">
        <w:t xml:space="preserve"> until 31 May 2024</w:t>
      </w:r>
      <w:r w:rsidR="00EC56FD">
        <w:t xml:space="preserve">. </w:t>
      </w:r>
      <w:r w:rsidR="004176C6">
        <w:t xml:space="preserve">When considering whether a VA trading platform has a “meaningful and substantial presence in Hong Kong”, the SFC will consider, </w:t>
      </w:r>
      <w:r w:rsidR="00EC56FD">
        <w:t>among others, whether:</w:t>
      </w:r>
    </w:p>
    <w:p w:rsidR="00EC56FD" w:rsidRDefault="00EC56FD">
      <w:pPr>
        <w:snapToGrid w:val="0"/>
        <w:spacing w:after="0" w:line="240" w:lineRule="auto"/>
        <w:jc w:val="both"/>
      </w:pPr>
    </w:p>
    <w:p w:rsidR="00EC56FD" w:rsidRDefault="004176C6" w:rsidP="00EC56FD">
      <w:pPr>
        <w:pStyle w:val="a4"/>
        <w:numPr>
          <w:ilvl w:val="0"/>
          <w:numId w:val="30"/>
        </w:numPr>
        <w:snapToGrid w:val="0"/>
        <w:spacing w:after="0" w:line="240" w:lineRule="auto"/>
        <w:ind w:left="851" w:hanging="425"/>
        <w:jc w:val="both"/>
      </w:pPr>
      <w:r>
        <w:t xml:space="preserve">it is incorporated in Hong Kong; </w:t>
      </w:r>
    </w:p>
    <w:p w:rsidR="00EC56FD" w:rsidRDefault="00EC56FD" w:rsidP="00EC56FD">
      <w:pPr>
        <w:pStyle w:val="a4"/>
        <w:numPr>
          <w:ilvl w:val="0"/>
          <w:numId w:val="30"/>
        </w:numPr>
        <w:snapToGrid w:val="0"/>
        <w:spacing w:after="0" w:line="240" w:lineRule="auto"/>
        <w:ind w:left="851" w:hanging="425"/>
        <w:jc w:val="both"/>
      </w:pPr>
      <w:r>
        <w:t>it has a physical office in Hong Kong;</w:t>
      </w:r>
    </w:p>
    <w:p w:rsidR="00E53749" w:rsidRDefault="004176C6" w:rsidP="00EC56FD">
      <w:pPr>
        <w:pStyle w:val="a4"/>
        <w:numPr>
          <w:ilvl w:val="0"/>
          <w:numId w:val="30"/>
        </w:numPr>
        <w:snapToGrid w:val="0"/>
        <w:spacing w:after="0" w:line="240" w:lineRule="auto"/>
        <w:ind w:left="851" w:hanging="425"/>
        <w:jc w:val="both"/>
      </w:pPr>
      <w:r>
        <w:t>central management</w:t>
      </w:r>
      <w:r w:rsidR="00E53749">
        <w:t xml:space="preserve">, </w:t>
      </w:r>
      <w:r>
        <w:t xml:space="preserve">control over the platform and key personnel are based in Hong Kong; and </w:t>
      </w:r>
    </w:p>
    <w:p w:rsidR="004176C6" w:rsidRDefault="00E53749" w:rsidP="00EC56FD">
      <w:pPr>
        <w:pStyle w:val="a4"/>
        <w:numPr>
          <w:ilvl w:val="0"/>
          <w:numId w:val="30"/>
        </w:numPr>
        <w:snapToGrid w:val="0"/>
        <w:spacing w:after="0" w:line="240" w:lineRule="auto"/>
        <w:ind w:left="851" w:hanging="425"/>
        <w:jc w:val="both"/>
      </w:pPr>
      <w:r>
        <w:t xml:space="preserve">the </w:t>
      </w:r>
      <w:r w:rsidR="004176C6">
        <w:t xml:space="preserve">trading platform is live with </w:t>
      </w:r>
      <w:r w:rsidR="009F1B50">
        <w:t xml:space="preserve">a </w:t>
      </w:r>
      <w:r w:rsidR="004176C6">
        <w:t xml:space="preserve">considerable number of clients and volume of trading activities in Hong Kong. </w:t>
      </w:r>
    </w:p>
    <w:p w:rsidR="00D31B84" w:rsidRDefault="00D31B84" w:rsidP="00D31B84">
      <w:pPr>
        <w:snapToGrid w:val="0"/>
        <w:spacing w:after="0" w:line="240" w:lineRule="auto"/>
        <w:jc w:val="both"/>
      </w:pPr>
    </w:p>
    <w:p w:rsidR="00D31B84" w:rsidRDefault="001C1D8A" w:rsidP="00D31B84">
      <w:pPr>
        <w:snapToGrid w:val="0"/>
        <w:spacing w:after="0" w:line="240" w:lineRule="auto"/>
        <w:jc w:val="both"/>
      </w:pPr>
      <w:r>
        <w:t>O</w:t>
      </w:r>
      <w:r w:rsidR="00097434">
        <w:t xml:space="preserve">perators of </w:t>
      </w:r>
      <w:r w:rsidR="00D31B84">
        <w:t>pre-existing trading platform</w:t>
      </w:r>
      <w:r w:rsidR="00097434">
        <w:t>s</w:t>
      </w:r>
      <w:r w:rsidR="00D31B84">
        <w:t xml:space="preserve"> </w:t>
      </w:r>
      <w:r>
        <w:t xml:space="preserve">which </w:t>
      </w:r>
      <w:r w:rsidR="00097434">
        <w:t>apply</w:t>
      </w:r>
      <w:r w:rsidR="00527E37">
        <w:t xml:space="preserve"> online for a licence under the AMLO between 1</w:t>
      </w:r>
      <w:r>
        <w:t xml:space="preserve"> June 2023 and 29 February 2024</w:t>
      </w:r>
      <w:r w:rsidR="00527E37">
        <w:t xml:space="preserve"> </w:t>
      </w:r>
      <w:r w:rsidR="00527E37" w:rsidRPr="003D4D25">
        <w:t>will automatically be deemed to be licen</w:t>
      </w:r>
      <w:r w:rsidR="00527E37">
        <w:t>sed from 1 June 20</w:t>
      </w:r>
      <w:r w:rsidR="00097434">
        <w:t>24 until their</w:t>
      </w:r>
      <w:r w:rsidR="00527E37" w:rsidRPr="003D4D25">
        <w:t xml:space="preserve"> licence app</w:t>
      </w:r>
      <w:r w:rsidR="00527E37">
        <w:t>lication</w:t>
      </w:r>
      <w:r w:rsidR="00527E37" w:rsidRPr="003D4D25">
        <w:t xml:space="preserve"> </w:t>
      </w:r>
      <w:r w:rsidR="00527E37">
        <w:t xml:space="preserve">is </w:t>
      </w:r>
      <w:r w:rsidR="00527E37" w:rsidRPr="003D4D25">
        <w:t>approved, withdrawn or refused.</w:t>
      </w:r>
      <w:r>
        <w:t xml:space="preserve"> When submitting a licensing application, </w:t>
      </w:r>
      <w:r w:rsidR="00527E37">
        <w:t xml:space="preserve">pre-existing virtual asset trading platform </w:t>
      </w:r>
      <w:r w:rsidR="00097434">
        <w:t>operator</w:t>
      </w:r>
      <w:r>
        <w:t>s</w:t>
      </w:r>
      <w:r w:rsidR="00097434">
        <w:t xml:space="preserve"> </w:t>
      </w:r>
      <w:r>
        <w:t>need</w:t>
      </w:r>
      <w:r w:rsidR="00527E37">
        <w:t xml:space="preserve"> to confirm and demonstrate that:</w:t>
      </w:r>
    </w:p>
    <w:p w:rsidR="00527E37" w:rsidRDefault="00527E37" w:rsidP="00D31B84">
      <w:pPr>
        <w:snapToGrid w:val="0"/>
        <w:spacing w:after="0" w:line="240" w:lineRule="auto"/>
        <w:jc w:val="both"/>
      </w:pPr>
    </w:p>
    <w:p w:rsidR="00527E37" w:rsidRDefault="001C1D8A" w:rsidP="00527E37">
      <w:pPr>
        <w:pStyle w:val="a4"/>
        <w:numPr>
          <w:ilvl w:val="0"/>
          <w:numId w:val="31"/>
        </w:numPr>
        <w:snapToGrid w:val="0"/>
        <w:spacing w:after="0" w:line="240" w:lineRule="auto"/>
        <w:jc w:val="both"/>
      </w:pPr>
      <w:r>
        <w:t>they</w:t>
      </w:r>
      <w:r w:rsidR="00527E37">
        <w:t xml:space="preserve"> operated a virtual asset trading platform in Hong Kong immediately before 1 June 2023;</w:t>
      </w:r>
      <w:r w:rsidR="007D7548">
        <w:t xml:space="preserve"> and</w:t>
      </w:r>
    </w:p>
    <w:p w:rsidR="00527E37" w:rsidRDefault="00527E37" w:rsidP="00527E37">
      <w:pPr>
        <w:pStyle w:val="a4"/>
        <w:numPr>
          <w:ilvl w:val="0"/>
          <w:numId w:val="31"/>
        </w:numPr>
        <w:snapToGrid w:val="0"/>
        <w:spacing w:after="0" w:line="240" w:lineRule="auto"/>
        <w:jc w:val="both"/>
      </w:pPr>
      <w:r>
        <w:t xml:space="preserve">on </w:t>
      </w:r>
      <w:r w:rsidR="001C1D8A">
        <w:t>being deemed to be licensed, they</w:t>
      </w:r>
      <w:r>
        <w:t xml:space="preserve"> will comply with</w:t>
      </w:r>
      <w:r w:rsidR="00097434">
        <w:t>, and have arrangements in place</w:t>
      </w:r>
      <w:r>
        <w:t xml:space="preserve"> </w:t>
      </w:r>
      <w:r w:rsidR="00097434">
        <w:t xml:space="preserve">to ensure compliance with, </w:t>
      </w:r>
      <w:r>
        <w:t>the regulatory requirements</w:t>
      </w:r>
      <w:r w:rsidR="00097434">
        <w:t xml:space="preserve"> applicable to licensed platform operators. </w:t>
      </w:r>
    </w:p>
    <w:p w:rsidR="00097434" w:rsidRDefault="00097434" w:rsidP="00097434">
      <w:pPr>
        <w:snapToGrid w:val="0"/>
        <w:spacing w:after="0" w:line="240" w:lineRule="auto"/>
        <w:jc w:val="both"/>
      </w:pPr>
    </w:p>
    <w:p w:rsidR="00097434" w:rsidRPr="003D4D25" w:rsidRDefault="001C1D8A" w:rsidP="00097434">
      <w:pPr>
        <w:snapToGrid w:val="0"/>
        <w:spacing w:after="0" w:line="240" w:lineRule="auto"/>
        <w:jc w:val="both"/>
      </w:pPr>
      <w:r>
        <w:t>I</w:t>
      </w:r>
      <w:r w:rsidR="00097434">
        <w:t xml:space="preserve">f the SFC </w:t>
      </w:r>
      <w:r w:rsidR="00D22969">
        <w:t>finds that a licence applicant does not meet the</w:t>
      </w:r>
      <w:r w:rsidR="00097434">
        <w:t xml:space="preserve"> </w:t>
      </w:r>
      <w:r w:rsidR="00D22969">
        <w:t>necessary conditions or</w:t>
      </w:r>
      <w:r w:rsidR="00097434">
        <w:t xml:space="preserve"> does not have a reasonable prospect of showing </w:t>
      </w:r>
      <w:r w:rsidR="00D22969">
        <w:t>that it is capable of</w:t>
      </w:r>
      <w:r w:rsidR="00097434">
        <w:t xml:space="preserve"> comply</w:t>
      </w:r>
      <w:r w:rsidR="00D22969">
        <w:t>ing</w:t>
      </w:r>
      <w:r w:rsidR="00097434">
        <w:t xml:space="preserve"> with </w:t>
      </w:r>
      <w:r w:rsidR="00D22969">
        <w:t xml:space="preserve">the </w:t>
      </w:r>
      <w:r w:rsidR="00097434">
        <w:t xml:space="preserve">relevant legal and regulatory requirements, </w:t>
      </w:r>
      <w:r w:rsidR="00D22969">
        <w:t>it will notify the trading platform that the deeming provision will not apply to it. T</w:t>
      </w:r>
      <w:r w:rsidR="00097434">
        <w:t xml:space="preserve">he </w:t>
      </w:r>
      <w:r w:rsidR="00D22969">
        <w:t>virtual asset</w:t>
      </w:r>
      <w:r w:rsidR="00097434">
        <w:t xml:space="preserve"> trading platform must </w:t>
      </w:r>
      <w:r w:rsidR="00D22969">
        <w:t xml:space="preserve">then </w:t>
      </w:r>
      <w:r w:rsidR="00097434">
        <w:t>close d</w:t>
      </w:r>
      <w:r w:rsidR="00D22969">
        <w:t>own its business by 31 May 2024</w:t>
      </w:r>
      <w:r w:rsidR="00097434">
        <w:t xml:space="preserve"> or </w:t>
      </w:r>
      <w:r w:rsidR="00D22969">
        <w:t>within three</w:t>
      </w:r>
      <w:r w:rsidR="00097434">
        <w:t xml:space="preserve"> months </w:t>
      </w:r>
      <w:r w:rsidR="00D22969">
        <w:t xml:space="preserve">of </w:t>
      </w:r>
      <w:r w:rsidR="00097434">
        <w:t xml:space="preserve">the date of the SFC notice, whichever is </w:t>
      </w:r>
      <w:r w:rsidR="00D22969">
        <w:t xml:space="preserve">the </w:t>
      </w:r>
      <w:r w:rsidR="00097434">
        <w:t xml:space="preserve">later. </w:t>
      </w:r>
    </w:p>
    <w:p w:rsidR="006B4291" w:rsidRDefault="006B4291">
      <w:pPr>
        <w:snapToGrid w:val="0"/>
        <w:spacing w:after="0" w:line="240" w:lineRule="auto"/>
        <w:jc w:val="both"/>
      </w:pPr>
    </w:p>
    <w:p w:rsidR="006B4291" w:rsidRDefault="00D22969">
      <w:pPr>
        <w:snapToGrid w:val="0"/>
        <w:spacing w:after="0" w:line="240" w:lineRule="auto"/>
        <w:jc w:val="both"/>
      </w:pPr>
      <w:r>
        <w:t>Similar provisions apply to i</w:t>
      </w:r>
      <w:r w:rsidR="00E53749">
        <w:t>ndividuals performing regulated functions for a virtual asset trading platform operating in Hong Kong before 1 June 2023</w:t>
      </w:r>
      <w:r>
        <w:t>. They</w:t>
      </w:r>
      <w:r w:rsidR="00E53749">
        <w:t xml:space="preserve"> </w:t>
      </w:r>
      <w:r>
        <w:t>can continue to perform regulated functions</w:t>
      </w:r>
      <w:r w:rsidR="00E53749">
        <w:t xml:space="preserve"> without a licence and will be subject to a deeming arrangement from 1 June 2024. </w:t>
      </w:r>
      <w:r w:rsidR="006B4291">
        <w:t xml:space="preserve">To be eligible for the deeming arrangement, individuals applying to be responsible officers of a pre-existing VA trading platform must have been performing </w:t>
      </w:r>
      <w:r w:rsidR="00E53749">
        <w:t xml:space="preserve">the </w:t>
      </w:r>
      <w:r w:rsidR="006B4291">
        <w:t xml:space="preserve">relevant regulated function for a VA trading platform </w:t>
      </w:r>
      <w:r w:rsidR="00D31B84">
        <w:t>(whether operating in or outside Hong Kong) immediately before</w:t>
      </w:r>
      <w:r w:rsidR="006B4291">
        <w:t xml:space="preserve"> 1 June 2023 and</w:t>
      </w:r>
      <w:r w:rsidR="00D31B84">
        <w:t>,</w:t>
      </w:r>
      <w:r w:rsidR="006B4291">
        <w:t xml:space="preserve"> at the time of application</w:t>
      </w:r>
      <w:r w:rsidR="00D31B84">
        <w:t xml:space="preserve">, must be performing a regulated function in Hong Kong for the pre-existing VA trading platform. </w:t>
      </w:r>
      <w:r w:rsidR="00D31B84">
        <w:lastRenderedPageBreak/>
        <w:t>To be eligible for the deeming arrangement,</w:t>
      </w:r>
      <w:r w:rsidR="006B4291">
        <w:t xml:space="preserve"> licensed representatives of a pre-existing VA trading platform must be performing </w:t>
      </w:r>
      <w:r w:rsidR="00E23460">
        <w:t xml:space="preserve">a </w:t>
      </w:r>
      <w:r w:rsidR="006B4291">
        <w:t xml:space="preserve">relevant regulated function </w:t>
      </w:r>
      <w:r w:rsidR="00D31B84">
        <w:t xml:space="preserve">in Hong Kong </w:t>
      </w:r>
      <w:r w:rsidR="006B4291">
        <w:t xml:space="preserve">at the time of application. </w:t>
      </w:r>
    </w:p>
    <w:p w:rsidR="00B701F5" w:rsidRDefault="00B701F5">
      <w:pPr>
        <w:snapToGrid w:val="0"/>
        <w:spacing w:after="0" w:line="240" w:lineRule="auto"/>
        <w:jc w:val="both"/>
      </w:pPr>
    </w:p>
    <w:p w:rsidR="00B701F5" w:rsidRDefault="00B701F5">
      <w:pPr>
        <w:snapToGrid w:val="0"/>
        <w:spacing w:after="0" w:line="240" w:lineRule="auto"/>
        <w:jc w:val="both"/>
      </w:pPr>
      <w:r>
        <w:t xml:space="preserve">Once platforms and individuals are deemed to be licensed or approved as responsible officers, they must comply with all legal and regulatory requirements under the AMLO regime for licensed virtual asset trading platforms. </w:t>
      </w:r>
    </w:p>
    <w:p w:rsidR="00D93046" w:rsidRDefault="00D93046">
      <w:pPr>
        <w:snapToGrid w:val="0"/>
        <w:spacing w:after="0" w:line="240" w:lineRule="auto"/>
        <w:jc w:val="both"/>
      </w:pPr>
    </w:p>
    <w:p w:rsidR="00D93046" w:rsidRPr="004176C6" w:rsidRDefault="00D93046">
      <w:pPr>
        <w:snapToGrid w:val="0"/>
        <w:spacing w:after="0" w:line="240" w:lineRule="auto"/>
        <w:jc w:val="both"/>
      </w:pPr>
      <w:r>
        <w:t xml:space="preserve">The transitional arrangements under the AMLO licensing regime apply only to the trading of non-security tokens by virtual asset trading platforms. </w:t>
      </w:r>
      <w:r w:rsidR="00CB094E">
        <w:t xml:space="preserve">There are no transitional arrangements under the SFO. Virtual asset trading platforms intending to offer trading in security tokens need to be </w:t>
      </w:r>
      <w:r w:rsidR="00E23460">
        <w:t xml:space="preserve">separately </w:t>
      </w:r>
      <w:r w:rsidR="00CB094E">
        <w:t xml:space="preserve">licensed under the SFO for Type 1 (dealing in securities) and Type 7 </w:t>
      </w:r>
      <w:r w:rsidR="003C4997">
        <w:t>(providing automated trading services) regulated activities.</w:t>
      </w:r>
    </w:p>
    <w:p w:rsidR="003D4D25" w:rsidRPr="001C44B0" w:rsidRDefault="003D4D25" w:rsidP="00490707">
      <w:pPr>
        <w:snapToGrid w:val="0"/>
        <w:spacing w:after="0" w:line="240" w:lineRule="auto"/>
        <w:jc w:val="both"/>
      </w:pPr>
    </w:p>
    <w:p w:rsidR="00D86E65" w:rsidRPr="00C91161" w:rsidRDefault="003D4D25" w:rsidP="00490707">
      <w:pPr>
        <w:snapToGrid w:val="0"/>
        <w:spacing w:after="0" w:line="240" w:lineRule="auto"/>
        <w:jc w:val="both"/>
        <w:rPr>
          <w:b/>
          <w:i/>
        </w:rPr>
      </w:pPr>
      <w:r w:rsidRPr="00C91161">
        <w:rPr>
          <w:b/>
          <w:i/>
        </w:rPr>
        <w:t>Pre</w:t>
      </w:r>
      <w:r w:rsidR="00C0786A">
        <w:rPr>
          <w:b/>
          <w:i/>
        </w:rPr>
        <w:t>-existing Virtual Asset Trading Platforms Not I</w:t>
      </w:r>
      <w:r w:rsidRPr="00C91161">
        <w:rPr>
          <w:b/>
          <w:i/>
        </w:rPr>
        <w:t>ntend</w:t>
      </w:r>
      <w:r w:rsidR="00C0786A">
        <w:rPr>
          <w:b/>
          <w:i/>
        </w:rPr>
        <w:t>ing to Apply for a L</w:t>
      </w:r>
      <w:r w:rsidRPr="00C91161">
        <w:rPr>
          <w:b/>
          <w:i/>
        </w:rPr>
        <w:t>icence</w:t>
      </w:r>
    </w:p>
    <w:p w:rsidR="00490707" w:rsidRPr="001C44B0" w:rsidRDefault="00490707" w:rsidP="00490707">
      <w:pPr>
        <w:snapToGrid w:val="0"/>
        <w:spacing w:after="0" w:line="240" w:lineRule="auto"/>
        <w:jc w:val="both"/>
      </w:pPr>
    </w:p>
    <w:p w:rsidR="00D86E65" w:rsidRDefault="003D4D25" w:rsidP="00490707">
      <w:pPr>
        <w:snapToGrid w:val="0"/>
        <w:spacing w:after="0" w:line="240" w:lineRule="auto"/>
        <w:jc w:val="both"/>
      </w:pPr>
      <w:r w:rsidRPr="003D4D25">
        <w:t xml:space="preserve">If pre-existing VA trading platforms do not intend to apply for a licence, they </w:t>
      </w:r>
      <w:r w:rsidR="001C1D8A">
        <w:t>must close down their businesses in Hong Kong by</w:t>
      </w:r>
      <w:r w:rsidR="001C1D8A" w:rsidRPr="003D4D25">
        <w:t xml:space="preserve"> 31 May 2024</w:t>
      </w:r>
      <w:r w:rsidR="001C1D8A">
        <w:t xml:space="preserve"> at the latest. The SFC expects these </w:t>
      </w:r>
      <w:r w:rsidR="001C1D8A" w:rsidRPr="003D4D25">
        <w:t xml:space="preserve">VA trading platforms </w:t>
      </w:r>
      <w:r w:rsidR="001C1D8A">
        <w:t xml:space="preserve">to </w:t>
      </w:r>
      <w:r w:rsidR="00BB4682">
        <w:t xml:space="preserve">stop active marketing of </w:t>
      </w:r>
      <w:r w:rsidR="00C0786A">
        <w:t>their services to Hong Kong investors and to start shutting down their Hong Kong operations</w:t>
      </w:r>
      <w:r w:rsidRPr="003D4D25">
        <w:t>.</w:t>
      </w:r>
    </w:p>
    <w:p w:rsidR="008800A1" w:rsidRDefault="008800A1" w:rsidP="00490707">
      <w:pPr>
        <w:snapToGrid w:val="0"/>
        <w:spacing w:after="0" w:line="240" w:lineRule="auto"/>
        <w:jc w:val="both"/>
      </w:pPr>
    </w:p>
    <w:p w:rsidR="00490707" w:rsidRDefault="00C0786A" w:rsidP="00490707">
      <w:pPr>
        <w:snapToGrid w:val="0"/>
        <w:spacing w:after="0" w:line="240" w:lineRule="auto"/>
        <w:jc w:val="both"/>
        <w:rPr>
          <w:b/>
          <w:i/>
        </w:rPr>
      </w:pPr>
      <w:r>
        <w:rPr>
          <w:b/>
          <w:i/>
        </w:rPr>
        <w:t>Virtual Asset Trading Platfo</w:t>
      </w:r>
      <w:r w:rsidR="00E23460">
        <w:rPr>
          <w:b/>
          <w:i/>
        </w:rPr>
        <w:t>rms Not Operating in Hong Kong b</w:t>
      </w:r>
      <w:r>
        <w:rPr>
          <w:b/>
          <w:i/>
        </w:rPr>
        <w:t>efore 1 June 2023</w:t>
      </w:r>
    </w:p>
    <w:p w:rsidR="00C0786A" w:rsidRPr="001C44B0" w:rsidRDefault="00C0786A" w:rsidP="00490707">
      <w:pPr>
        <w:snapToGrid w:val="0"/>
        <w:spacing w:after="0" w:line="240" w:lineRule="auto"/>
        <w:jc w:val="both"/>
      </w:pPr>
    </w:p>
    <w:p w:rsidR="00BA0006" w:rsidRDefault="003D4D25" w:rsidP="00490707">
      <w:pPr>
        <w:snapToGrid w:val="0"/>
        <w:spacing w:after="0" w:line="240" w:lineRule="auto"/>
        <w:jc w:val="both"/>
      </w:pPr>
      <w:r w:rsidRPr="003D4D25">
        <w:t>V</w:t>
      </w:r>
      <w:r w:rsidR="00C0786A">
        <w:t xml:space="preserve">irtual </w:t>
      </w:r>
      <w:r w:rsidRPr="003D4D25">
        <w:t>A</w:t>
      </w:r>
      <w:r w:rsidR="00C0786A">
        <w:t>sset trading platforms that did</w:t>
      </w:r>
      <w:r w:rsidRPr="003D4D25">
        <w:t xml:space="preserve"> not operate in Hong Kong before 1 June 2023 </w:t>
      </w:r>
      <w:r w:rsidR="00C0786A">
        <w:t xml:space="preserve">cannot </w:t>
      </w:r>
      <w:r w:rsidRPr="003D4D25">
        <w:t>carry on business in Hong Kong</w:t>
      </w:r>
      <w:r w:rsidR="00C0786A">
        <w:t>, or actively market their services to Hong Kong investors, until</w:t>
      </w:r>
      <w:r w:rsidRPr="003D4D25">
        <w:t xml:space="preserve"> they </w:t>
      </w:r>
      <w:r w:rsidR="00C0786A">
        <w:t xml:space="preserve">are </w:t>
      </w:r>
      <w:r w:rsidRPr="003D4D25">
        <w:t>f</w:t>
      </w:r>
      <w:r w:rsidR="00C0786A">
        <w:t>ormally licensed under the AMLO</w:t>
      </w:r>
      <w:r w:rsidRPr="003D4D25">
        <w:t>.</w:t>
      </w:r>
    </w:p>
    <w:p w:rsidR="00B81C84" w:rsidRDefault="00B81C84" w:rsidP="00B81C84">
      <w:pPr>
        <w:snapToGrid w:val="0"/>
        <w:spacing w:after="0" w:line="240" w:lineRule="auto"/>
        <w:jc w:val="both"/>
      </w:pPr>
    </w:p>
    <w:p w:rsidR="00B81C84" w:rsidRPr="003C4997" w:rsidRDefault="00B81C84" w:rsidP="00B81C84">
      <w:pPr>
        <w:snapToGrid w:val="0"/>
        <w:spacing w:after="0" w:line="240" w:lineRule="auto"/>
        <w:jc w:val="both"/>
        <w:rPr>
          <w:b/>
          <w:i/>
        </w:rPr>
      </w:pPr>
      <w:r w:rsidRPr="003C4997">
        <w:rPr>
          <w:b/>
          <w:i/>
        </w:rPr>
        <w:t>Transitional Arrangements for Existing SFO-licensed Platform Operators</w:t>
      </w:r>
    </w:p>
    <w:p w:rsidR="00BA0006" w:rsidRDefault="00BA0006" w:rsidP="00490707">
      <w:pPr>
        <w:snapToGrid w:val="0"/>
        <w:spacing w:after="0" w:line="240" w:lineRule="auto"/>
        <w:jc w:val="both"/>
      </w:pPr>
    </w:p>
    <w:p w:rsidR="00B81C84" w:rsidRDefault="00B81C84" w:rsidP="00B81C84">
      <w:pPr>
        <w:snapToGrid w:val="0"/>
        <w:spacing w:after="0" w:line="240" w:lineRule="auto"/>
        <w:jc w:val="both"/>
      </w:pPr>
      <w:r>
        <w:t>Virtual asset trading platform operators already licensed under the SFO have 12 months from 1 June 2023 to comply with the VATP Guidelines</w:t>
      </w:r>
      <w:r w:rsidR="0057619A">
        <w:t xml:space="preserve"> and </w:t>
      </w:r>
      <w:r w:rsidR="0057619A" w:rsidRPr="0057619A">
        <w:rPr>
          <w:rFonts w:hint="eastAsia"/>
        </w:rPr>
        <w:t>the Guideline on Anti-Money Laundering and Counter-Financing of Terrorism (For Licensed Corporations and SFC-licensed Virtual Asset Service Providers</w:t>
      </w:r>
      <w:r w:rsidR="00E23460">
        <w:t>)</w:t>
      </w:r>
      <w:r>
        <w:t xml:space="preserve">. </w:t>
      </w:r>
    </w:p>
    <w:p w:rsidR="003C4997" w:rsidRDefault="003C4997" w:rsidP="00B81C84">
      <w:pPr>
        <w:snapToGrid w:val="0"/>
        <w:spacing w:after="0" w:line="240" w:lineRule="auto"/>
        <w:jc w:val="both"/>
      </w:pPr>
    </w:p>
    <w:p w:rsidR="003C4997" w:rsidRDefault="0057619A" w:rsidP="00B81C84">
      <w:pPr>
        <w:snapToGrid w:val="0"/>
        <w:spacing w:after="0" w:line="240" w:lineRule="auto"/>
        <w:jc w:val="both"/>
        <w:rPr>
          <w:b/>
          <w:i/>
        </w:rPr>
      </w:pPr>
      <w:r>
        <w:rPr>
          <w:b/>
          <w:i/>
        </w:rPr>
        <w:t>SFC to Issue Further Information on Transitional Arrangements</w:t>
      </w:r>
    </w:p>
    <w:p w:rsidR="0057619A" w:rsidRDefault="0057619A" w:rsidP="00B81C84">
      <w:pPr>
        <w:snapToGrid w:val="0"/>
        <w:spacing w:after="0" w:line="240" w:lineRule="auto"/>
        <w:jc w:val="both"/>
        <w:rPr>
          <w:b/>
          <w:i/>
        </w:rPr>
      </w:pPr>
    </w:p>
    <w:p w:rsidR="0057619A" w:rsidRPr="0057619A" w:rsidRDefault="0057619A" w:rsidP="00B81C84">
      <w:pPr>
        <w:snapToGrid w:val="0"/>
        <w:spacing w:after="0" w:line="240" w:lineRule="auto"/>
        <w:jc w:val="both"/>
      </w:pPr>
      <w:r>
        <w:t xml:space="preserve">The SFC will issue a circular on the transitional arrangements given the number of enquiries it received on this subject.  </w:t>
      </w:r>
    </w:p>
    <w:p w:rsidR="00B81C84" w:rsidRDefault="00B81C84" w:rsidP="00490707">
      <w:pPr>
        <w:snapToGrid w:val="0"/>
        <w:spacing w:after="0" w:line="240" w:lineRule="auto"/>
        <w:jc w:val="both"/>
      </w:pPr>
    </w:p>
    <w:p w:rsidR="00BA0006" w:rsidRPr="005B5A20" w:rsidRDefault="00BA0006" w:rsidP="00490707">
      <w:pPr>
        <w:snapToGrid w:val="0"/>
        <w:spacing w:after="0" w:line="240" w:lineRule="auto"/>
        <w:jc w:val="both"/>
        <w:rPr>
          <w:b/>
          <w:i/>
        </w:rPr>
      </w:pPr>
      <w:r w:rsidRPr="005B5A20">
        <w:rPr>
          <w:b/>
          <w:i/>
        </w:rPr>
        <w:t xml:space="preserve">Publication of </w:t>
      </w:r>
      <w:r w:rsidR="00F6451C" w:rsidRPr="005B5A20">
        <w:rPr>
          <w:b/>
          <w:i/>
        </w:rPr>
        <w:t xml:space="preserve">Hong Kong </w:t>
      </w:r>
      <w:r w:rsidR="005B5A20">
        <w:rPr>
          <w:b/>
          <w:i/>
        </w:rPr>
        <w:t>V</w:t>
      </w:r>
      <w:r w:rsidR="009428DB">
        <w:rPr>
          <w:b/>
          <w:i/>
        </w:rPr>
        <w:t xml:space="preserve">irtual </w:t>
      </w:r>
      <w:r w:rsidR="005B5A20">
        <w:rPr>
          <w:b/>
          <w:i/>
        </w:rPr>
        <w:t>A</w:t>
      </w:r>
      <w:r w:rsidR="009428DB">
        <w:rPr>
          <w:b/>
          <w:i/>
        </w:rPr>
        <w:t>sset</w:t>
      </w:r>
      <w:r w:rsidR="005B5A20">
        <w:rPr>
          <w:b/>
          <w:i/>
        </w:rPr>
        <w:t xml:space="preserve"> Trading Platform L</w:t>
      </w:r>
      <w:r w:rsidRPr="005B5A20">
        <w:rPr>
          <w:b/>
          <w:i/>
        </w:rPr>
        <w:t>ists</w:t>
      </w:r>
    </w:p>
    <w:p w:rsidR="005A0E49" w:rsidRPr="001C44B0" w:rsidRDefault="005A0E49" w:rsidP="00490707">
      <w:pPr>
        <w:snapToGrid w:val="0"/>
        <w:spacing w:after="0" w:line="240" w:lineRule="auto"/>
        <w:jc w:val="both"/>
      </w:pPr>
    </w:p>
    <w:p w:rsidR="00BA0006" w:rsidRPr="00BA0006" w:rsidRDefault="008500C2" w:rsidP="00490707">
      <w:pPr>
        <w:snapToGrid w:val="0"/>
        <w:spacing w:after="0" w:line="240" w:lineRule="auto"/>
        <w:jc w:val="both"/>
      </w:pPr>
      <w:r>
        <w:t xml:space="preserve">To avoid confusion </w:t>
      </w:r>
      <w:r w:rsidR="00F6451C">
        <w:t>in relation to Hong Kong</w:t>
      </w:r>
      <w:r>
        <w:t xml:space="preserve"> VA trading platform status, the SFC will publish lists on its website to inform the public of </w:t>
      </w:r>
      <w:r w:rsidR="00D1562D">
        <w:t xml:space="preserve">the </w:t>
      </w:r>
      <w:r w:rsidR="000033F7">
        <w:t>regulatory status</w:t>
      </w:r>
      <w:r w:rsidR="00FC112A">
        <w:t xml:space="preserve"> of </w:t>
      </w:r>
      <w:r w:rsidR="00F6451C">
        <w:t xml:space="preserve">Hong Kong </w:t>
      </w:r>
      <w:r w:rsidR="00FC112A">
        <w:t>VA trading platforms</w:t>
      </w:r>
      <w:r w:rsidR="008441E4">
        <w:t xml:space="preserve">. </w:t>
      </w:r>
      <w:r w:rsidR="00FC112A">
        <w:t xml:space="preserve">The SFC will publish </w:t>
      </w:r>
      <w:r>
        <w:t>l</w:t>
      </w:r>
      <w:r w:rsidRPr="008500C2">
        <w:t>ist</w:t>
      </w:r>
      <w:r w:rsidR="00FC112A">
        <w:t>s</w:t>
      </w:r>
      <w:r w:rsidRPr="008500C2">
        <w:t xml:space="preserve"> of </w:t>
      </w:r>
      <w:r w:rsidR="009F1B50" w:rsidRPr="009F1B50">
        <w:t xml:space="preserve">Hong Kong </w:t>
      </w:r>
      <w:r w:rsidRPr="008500C2">
        <w:t>licensed virtual asset trading platforms</w:t>
      </w:r>
      <w:r>
        <w:t xml:space="preserve">, </w:t>
      </w:r>
      <w:r w:rsidRPr="008500C2">
        <w:t>deemed</w:t>
      </w:r>
      <w:r w:rsidR="009F1B50" w:rsidRPr="009F1B50">
        <w:t xml:space="preserve"> Hong Kong</w:t>
      </w:r>
      <w:r w:rsidRPr="008500C2">
        <w:t xml:space="preserve"> licensed virtual asset trading platforms</w:t>
      </w:r>
      <w:r>
        <w:t xml:space="preserve">, </w:t>
      </w:r>
      <w:r w:rsidRPr="008500C2">
        <w:t>closing-down VA trading platforms</w:t>
      </w:r>
      <w:r>
        <w:t xml:space="preserve"> and </w:t>
      </w:r>
      <w:r w:rsidRPr="008500C2">
        <w:t xml:space="preserve">unlicensed </w:t>
      </w:r>
      <w:r w:rsidR="00FC112A">
        <w:t xml:space="preserve">“illegal” </w:t>
      </w:r>
      <w:r w:rsidRPr="008500C2">
        <w:t>virtual asset trading platforms</w:t>
      </w:r>
      <w:r w:rsidR="005B5A20">
        <w:t>.</w:t>
      </w:r>
    </w:p>
    <w:p w:rsidR="00C61B65" w:rsidRDefault="00C61B65" w:rsidP="00490707">
      <w:pPr>
        <w:snapToGrid w:val="0"/>
        <w:spacing w:after="0" w:line="240" w:lineRule="auto"/>
        <w:jc w:val="both"/>
      </w:pPr>
    </w:p>
    <w:p w:rsidR="005B5A20" w:rsidRDefault="005B5A20" w:rsidP="005B5A20">
      <w:pPr>
        <w:jc w:val="both"/>
        <w:rPr>
          <w:rFonts w:ascii="Arial" w:hAnsi="Arial" w:cs="Arial"/>
          <w:b/>
          <w:color w:val="FF0000"/>
          <w:sz w:val="20"/>
          <w:szCs w:val="20"/>
        </w:rPr>
      </w:pPr>
      <w:r w:rsidRPr="005B5A20">
        <w:rPr>
          <w:rFonts w:ascii="Arial" w:hAnsi="Arial" w:cs="Arial"/>
          <w:b/>
          <w:color w:val="FF0000"/>
          <w:sz w:val="20"/>
          <w:szCs w:val="20"/>
        </w:rPr>
        <w:t>Licensing Applications</w:t>
      </w:r>
    </w:p>
    <w:p w:rsidR="005B5A20" w:rsidRPr="005B5A20" w:rsidRDefault="006E2774" w:rsidP="005B5A20">
      <w:pPr>
        <w:jc w:val="both"/>
      </w:pPr>
      <w:r>
        <w:t xml:space="preserve">Given that </w:t>
      </w:r>
      <w:r w:rsidR="005B5A20" w:rsidRPr="005B5A20">
        <w:t xml:space="preserve">virtual assets </w:t>
      </w:r>
      <w:r>
        <w:t xml:space="preserve">classification may change </w:t>
      </w:r>
      <w:r w:rsidR="005B5A20" w:rsidRPr="005B5A20">
        <w:t>from non-security tokens t</w:t>
      </w:r>
      <w:r>
        <w:t>o security tokens or vice versa,</w:t>
      </w:r>
      <w:r w:rsidR="005B5A20" w:rsidRPr="005B5A20">
        <w:t xml:space="preserve"> </w:t>
      </w:r>
      <w:r>
        <w:t>t</w:t>
      </w:r>
      <w:r w:rsidR="005B5A20" w:rsidRPr="005B5A20">
        <w:t>he SFC encourages VA trading platforms</w:t>
      </w:r>
      <w:r>
        <w:t>,</w:t>
      </w:r>
      <w:r w:rsidR="005B5A20" w:rsidRPr="005B5A20">
        <w:t xml:space="preserve"> their responsible officers and licensed representatives to </w:t>
      </w:r>
      <w:r>
        <w:t xml:space="preserve">apply for licences </w:t>
      </w:r>
      <w:r w:rsidR="005B5A20" w:rsidRPr="005B5A20">
        <w:t xml:space="preserve">under both the existing SFO regime and the </w:t>
      </w:r>
      <w:r>
        <w:t xml:space="preserve">new </w:t>
      </w:r>
      <w:r w:rsidR="005B5A20" w:rsidRPr="005B5A20">
        <w:t>AMLO regime.</w:t>
      </w:r>
    </w:p>
    <w:p w:rsidR="005B5A20" w:rsidRPr="005B5A20" w:rsidRDefault="006E2774" w:rsidP="005B5A20">
      <w:pPr>
        <w:jc w:val="both"/>
      </w:pPr>
      <w:r>
        <w:t xml:space="preserve">The SFC has streamlined </w:t>
      </w:r>
      <w:r w:rsidR="005B5A20" w:rsidRPr="005B5A20">
        <w:t>the application process</w:t>
      </w:r>
      <w:r>
        <w:t xml:space="preserve"> so that</w:t>
      </w:r>
      <w:r w:rsidR="005B5A20" w:rsidRPr="005B5A20">
        <w:t>:</w:t>
      </w:r>
    </w:p>
    <w:p w:rsidR="00A522E6" w:rsidRDefault="006E2774" w:rsidP="005B5A20">
      <w:pPr>
        <w:pStyle w:val="a4"/>
        <w:numPr>
          <w:ilvl w:val="0"/>
          <w:numId w:val="34"/>
        </w:numPr>
        <w:snapToGrid w:val="0"/>
        <w:spacing w:after="0" w:line="240" w:lineRule="auto"/>
        <w:ind w:left="851" w:hanging="425"/>
        <w:jc w:val="both"/>
      </w:pPr>
      <w:r>
        <w:t>applicants for dual licensing</w:t>
      </w:r>
      <w:r w:rsidR="005B5A20" w:rsidRPr="005B5A20">
        <w:t xml:space="preserve"> </w:t>
      </w:r>
      <w:r>
        <w:t xml:space="preserve">can </w:t>
      </w:r>
      <w:r w:rsidR="005B5A20" w:rsidRPr="005B5A20">
        <w:t xml:space="preserve">submit a single consolidated application online and </w:t>
      </w:r>
      <w:r w:rsidR="00A522E6">
        <w:t xml:space="preserve">should </w:t>
      </w:r>
      <w:r w:rsidR="005B5A20" w:rsidRPr="005B5A20">
        <w:t>indicate that they are applying for both licences simultaneou</w:t>
      </w:r>
      <w:r w:rsidR="00A522E6">
        <w:t>sly;</w:t>
      </w:r>
      <w:r w:rsidR="007D7548">
        <w:t xml:space="preserve"> and</w:t>
      </w:r>
      <w:r w:rsidR="005B5A20" w:rsidRPr="005B5A20">
        <w:t xml:space="preserve"> </w:t>
      </w:r>
    </w:p>
    <w:p w:rsidR="00A522E6" w:rsidRDefault="00A522E6" w:rsidP="00A522E6">
      <w:pPr>
        <w:pStyle w:val="a4"/>
        <w:snapToGrid w:val="0"/>
        <w:spacing w:after="0" w:line="240" w:lineRule="auto"/>
        <w:ind w:left="851"/>
        <w:jc w:val="both"/>
      </w:pPr>
    </w:p>
    <w:p w:rsidR="00A522E6" w:rsidRDefault="005B5A20" w:rsidP="00A522E6">
      <w:pPr>
        <w:pStyle w:val="a4"/>
        <w:numPr>
          <w:ilvl w:val="0"/>
          <w:numId w:val="34"/>
        </w:numPr>
        <w:snapToGrid w:val="0"/>
        <w:spacing w:after="0" w:line="240" w:lineRule="auto"/>
        <w:ind w:left="851" w:hanging="425"/>
        <w:jc w:val="both"/>
      </w:pPr>
      <w:r w:rsidRPr="005B5A20">
        <w:lastRenderedPageBreak/>
        <w:t xml:space="preserve">SFO-licensed platform operators which currently provide trading in non-security tokens and platforms </w:t>
      </w:r>
      <w:r w:rsidR="00A522E6">
        <w:t xml:space="preserve">that </w:t>
      </w:r>
      <w:r w:rsidRPr="005B5A20">
        <w:t xml:space="preserve">have already applied for licences under the SFO regime, only </w:t>
      </w:r>
      <w:r w:rsidR="00A522E6">
        <w:t xml:space="preserve">need </w:t>
      </w:r>
      <w:r w:rsidRPr="005B5A20">
        <w:t>to submit the additional information required under the AMLO regime.</w:t>
      </w:r>
    </w:p>
    <w:p w:rsidR="00A522E6" w:rsidRDefault="00A522E6" w:rsidP="00A522E6">
      <w:pPr>
        <w:snapToGrid w:val="0"/>
        <w:spacing w:after="0" w:line="240" w:lineRule="auto"/>
        <w:jc w:val="both"/>
      </w:pPr>
    </w:p>
    <w:p w:rsidR="00A522E6" w:rsidRDefault="00A522E6" w:rsidP="00A522E6">
      <w:r>
        <w:t>As regards responsible officers, a single individual can be approved under both the SFO and AMLO regimes meaning that dual-licensed trading platform operators only need two approved responsible officers, not four.</w:t>
      </w:r>
      <w:r>
        <w:rPr>
          <w:rStyle w:val="a7"/>
        </w:rPr>
        <w:footnoteReference w:id="52"/>
      </w:r>
    </w:p>
    <w:p w:rsidR="005B5A20" w:rsidRPr="00A522E6" w:rsidRDefault="00A522E6" w:rsidP="005B5A20">
      <w:pPr>
        <w:snapToGrid w:val="0"/>
        <w:spacing w:after="0" w:line="240" w:lineRule="auto"/>
        <w:jc w:val="both"/>
        <w:rPr>
          <w:b/>
          <w:i/>
        </w:rPr>
      </w:pPr>
      <w:r>
        <w:rPr>
          <w:b/>
          <w:i/>
        </w:rPr>
        <w:t>External Assessment R</w:t>
      </w:r>
      <w:r w:rsidR="005B5A20" w:rsidRPr="00A522E6">
        <w:rPr>
          <w:b/>
          <w:i/>
        </w:rPr>
        <w:t>eport</w:t>
      </w:r>
      <w:r>
        <w:rPr>
          <w:b/>
          <w:i/>
        </w:rPr>
        <w:t>s</w:t>
      </w:r>
    </w:p>
    <w:p w:rsidR="005B5A20" w:rsidRPr="005B5A20" w:rsidRDefault="005B5A20" w:rsidP="005B5A20">
      <w:pPr>
        <w:snapToGrid w:val="0"/>
        <w:spacing w:after="0" w:line="240" w:lineRule="auto"/>
        <w:jc w:val="both"/>
      </w:pPr>
    </w:p>
    <w:p w:rsidR="005B5A20" w:rsidRPr="005B5A20" w:rsidRDefault="005B5A20" w:rsidP="005B5A20">
      <w:pPr>
        <w:snapToGrid w:val="0"/>
        <w:spacing w:after="0" w:line="240" w:lineRule="auto"/>
        <w:jc w:val="both"/>
      </w:pPr>
      <w:r w:rsidRPr="005B5A20">
        <w:t>The SFC require</w:t>
      </w:r>
      <w:r w:rsidR="00712D29">
        <w:t>s virtual asset</w:t>
      </w:r>
      <w:r w:rsidRPr="005B5A20">
        <w:t xml:space="preserve"> trading platform applicants to engage an external assessor to assess their business and submit two assessor’s reports to the SFC.</w:t>
      </w:r>
      <w:r w:rsidR="002F0A19">
        <w:t xml:space="preserve"> Different external assessors can be appointed to review different areas of an applicant’s business.</w:t>
      </w:r>
    </w:p>
    <w:p w:rsidR="005B5A20" w:rsidRPr="005B5A20" w:rsidRDefault="005B5A20" w:rsidP="005B5A20">
      <w:pPr>
        <w:snapToGrid w:val="0"/>
        <w:spacing w:after="0" w:line="240" w:lineRule="auto"/>
        <w:jc w:val="both"/>
      </w:pPr>
    </w:p>
    <w:p w:rsidR="005B5A20" w:rsidRPr="005B5A20" w:rsidRDefault="005B5A20" w:rsidP="005B5A20">
      <w:pPr>
        <w:snapToGrid w:val="0"/>
        <w:spacing w:after="0" w:line="240" w:lineRule="auto"/>
        <w:jc w:val="both"/>
      </w:pPr>
      <w:r w:rsidRPr="005B5A20">
        <w:t>The external assessor’s</w:t>
      </w:r>
      <w:r w:rsidR="00712D29">
        <w:t xml:space="preserve"> “</w:t>
      </w:r>
      <w:r w:rsidRPr="005B5A20">
        <w:t>Phase 1 Repo</w:t>
      </w:r>
      <w:r w:rsidR="00712D29">
        <w:t>rt”</w:t>
      </w:r>
      <w:r w:rsidRPr="005B5A20">
        <w:t xml:space="preserve"> need</w:t>
      </w:r>
      <w:r w:rsidR="00712D29">
        <w:t>s</w:t>
      </w:r>
      <w:r w:rsidRPr="005B5A20">
        <w:t xml:space="preserve"> to be submitted with the trading platform’s licence application. It will cover several areas including the design effectiveness of the VA trading platform’s proposed structure, governance, operations, systems and controls, with a focus on key areas such as governance and staffing, token admission, custody of virtual assets, KYC, AML/CF</w:t>
      </w:r>
      <w:r w:rsidR="00712D29">
        <w:t>T</w:t>
      </w:r>
      <w:r w:rsidRPr="005B5A20">
        <w:t>, market surveillance, risk management and cybersecurity.</w:t>
      </w:r>
    </w:p>
    <w:p w:rsidR="005B5A20" w:rsidRPr="005B5A20" w:rsidRDefault="005B5A20" w:rsidP="005B5A20">
      <w:pPr>
        <w:snapToGrid w:val="0"/>
        <w:spacing w:after="0" w:line="240" w:lineRule="auto"/>
        <w:jc w:val="both"/>
      </w:pPr>
    </w:p>
    <w:p w:rsidR="005B5A20" w:rsidRPr="005B5A20" w:rsidRDefault="005B5A20" w:rsidP="005B5A20">
      <w:pPr>
        <w:snapToGrid w:val="0"/>
        <w:spacing w:after="0" w:line="240" w:lineRule="auto"/>
        <w:jc w:val="both"/>
      </w:pPr>
      <w:r w:rsidRPr="005B5A20">
        <w:t xml:space="preserve">The external assessor’s </w:t>
      </w:r>
      <w:r w:rsidR="00712D29">
        <w:t>“</w:t>
      </w:r>
      <w:r w:rsidRPr="005B5A20">
        <w:t>Phase 2</w:t>
      </w:r>
      <w:r w:rsidR="00712D29">
        <w:t xml:space="preserve"> Report”</w:t>
      </w:r>
      <w:r w:rsidRPr="005B5A20">
        <w:t xml:space="preserve"> </w:t>
      </w:r>
      <w:r w:rsidR="00712D29">
        <w:t xml:space="preserve">is </w:t>
      </w:r>
      <w:r w:rsidRPr="005B5A20">
        <w:t>required to be submitted after approval-in-principle of the licence is granted by the SFC. This will assess the effectiveness and implementation of the actual adoption of the planned policies, procedures, systems and controls. Any deviation from the planned policies and procedures must be clearly set out and explained. The second assessment should cover several key areas, including:</w:t>
      </w:r>
    </w:p>
    <w:p w:rsidR="005B5A20" w:rsidRPr="005B5A20" w:rsidRDefault="005B5A20" w:rsidP="005B5A20">
      <w:pPr>
        <w:snapToGrid w:val="0"/>
        <w:spacing w:after="0" w:line="240" w:lineRule="auto"/>
        <w:jc w:val="both"/>
      </w:pPr>
    </w:p>
    <w:p w:rsidR="005B5A20" w:rsidRPr="005B5A20" w:rsidRDefault="009428DB" w:rsidP="005B5A20">
      <w:pPr>
        <w:pStyle w:val="a4"/>
        <w:numPr>
          <w:ilvl w:val="2"/>
          <w:numId w:val="33"/>
        </w:numPr>
        <w:ind w:left="709"/>
        <w:jc w:val="both"/>
      </w:pPr>
      <w:r>
        <w:t>v</w:t>
      </w:r>
      <w:r w:rsidR="005B5A20" w:rsidRPr="005B5A20">
        <w:t xml:space="preserve">erification and confirmation that all external service providers (such as market surveillance tools, AML/CTF tools, and KYC tools) have been engaged and the systems provided by them are fully adapted as planned and are in operation; </w:t>
      </w:r>
    </w:p>
    <w:p w:rsidR="005B5A20" w:rsidRPr="005B5A20" w:rsidRDefault="009428DB" w:rsidP="005B5A20">
      <w:pPr>
        <w:pStyle w:val="a4"/>
        <w:numPr>
          <w:ilvl w:val="2"/>
          <w:numId w:val="33"/>
        </w:numPr>
        <w:ind w:left="709"/>
        <w:jc w:val="both"/>
      </w:pPr>
      <w:r>
        <w:t>t</w:t>
      </w:r>
      <w:r w:rsidR="005B5A20" w:rsidRPr="005B5A20">
        <w:t>he conduct of a vulnerability assessment to identify, rank and report potential vulnerabilities that may compromise a system and should include internal and external vulnerability scans;</w:t>
      </w:r>
    </w:p>
    <w:p w:rsidR="005B5A20" w:rsidRPr="005B5A20" w:rsidRDefault="009428DB" w:rsidP="005B5A20">
      <w:pPr>
        <w:pStyle w:val="a4"/>
        <w:numPr>
          <w:ilvl w:val="2"/>
          <w:numId w:val="33"/>
        </w:numPr>
        <w:ind w:left="709"/>
        <w:jc w:val="both"/>
      </w:pPr>
      <w:r>
        <w:t>t</w:t>
      </w:r>
      <w:r w:rsidR="005B5A20" w:rsidRPr="005B5A20">
        <w:t>he performance of penetration tests on network devices, firewalls, servers, databases, wallets, and web applications to identify any vulnerabilities or potential issues; and</w:t>
      </w:r>
    </w:p>
    <w:p w:rsidR="005B5A20" w:rsidRPr="005B5A20" w:rsidRDefault="009428DB" w:rsidP="005B5A20">
      <w:pPr>
        <w:pStyle w:val="a4"/>
        <w:numPr>
          <w:ilvl w:val="2"/>
          <w:numId w:val="33"/>
        </w:numPr>
        <w:ind w:left="709"/>
        <w:jc w:val="both"/>
      </w:pPr>
      <w:r>
        <w:t>c</w:t>
      </w:r>
      <w:r w:rsidR="005B5A20" w:rsidRPr="005B5A20">
        <w:t xml:space="preserve">onfirmation that major/critical rectification steps have been taken for all medium to </w:t>
      </w:r>
      <w:proofErr w:type="gramStart"/>
      <w:r w:rsidR="005B5A20" w:rsidRPr="005B5A20">
        <w:t>high risk</w:t>
      </w:r>
      <w:proofErr w:type="gramEnd"/>
      <w:r w:rsidR="005B5A20" w:rsidRPr="005B5A20">
        <w:t xml:space="preserve"> items identified in the penetration and vulnerability tests. </w:t>
      </w:r>
    </w:p>
    <w:p w:rsidR="005B5A20" w:rsidRPr="005B5A20" w:rsidRDefault="005B5A20" w:rsidP="005B5A20">
      <w:pPr>
        <w:snapToGrid w:val="0"/>
        <w:spacing w:after="0" w:line="240" w:lineRule="auto"/>
        <w:jc w:val="both"/>
      </w:pPr>
      <w:r w:rsidRPr="005B5A20">
        <w:t>The SFC will grant final approval only upon being satisfied with the findings of the Phase 2 Report.</w:t>
      </w:r>
    </w:p>
    <w:p w:rsidR="005B5A20" w:rsidRPr="005B5A20" w:rsidRDefault="005B5A20" w:rsidP="005B5A20">
      <w:pPr>
        <w:snapToGrid w:val="0"/>
        <w:spacing w:after="0" w:line="240" w:lineRule="auto"/>
        <w:jc w:val="both"/>
      </w:pPr>
    </w:p>
    <w:p w:rsidR="005B5A20" w:rsidRPr="00C81611" w:rsidRDefault="00C81611" w:rsidP="005B5A20">
      <w:pPr>
        <w:snapToGrid w:val="0"/>
        <w:spacing w:after="0" w:line="240" w:lineRule="auto"/>
        <w:jc w:val="both"/>
        <w:rPr>
          <w:b/>
          <w:i/>
        </w:rPr>
      </w:pPr>
      <w:r>
        <w:rPr>
          <w:b/>
          <w:i/>
        </w:rPr>
        <w:t>Selection and Appointment of External A</w:t>
      </w:r>
      <w:r w:rsidR="005B5A20" w:rsidRPr="00C81611">
        <w:rPr>
          <w:b/>
          <w:i/>
        </w:rPr>
        <w:t xml:space="preserve">ssessors </w:t>
      </w:r>
    </w:p>
    <w:p w:rsidR="005B5A20" w:rsidRPr="005B5A20" w:rsidRDefault="005B5A20" w:rsidP="005B5A20">
      <w:pPr>
        <w:snapToGrid w:val="0"/>
        <w:spacing w:after="0" w:line="240" w:lineRule="auto"/>
        <w:jc w:val="both"/>
      </w:pPr>
    </w:p>
    <w:p w:rsidR="005B5A20" w:rsidRPr="005B5A20" w:rsidRDefault="005B5A20" w:rsidP="005B5A20">
      <w:pPr>
        <w:snapToGrid w:val="0"/>
        <w:spacing w:after="0" w:line="240" w:lineRule="auto"/>
        <w:jc w:val="both"/>
      </w:pPr>
      <w:r w:rsidRPr="005B5A20">
        <w:t>W</w:t>
      </w:r>
      <w:r w:rsidR="00C81611">
        <w:t>hen selecting and appointing an</w:t>
      </w:r>
      <w:r w:rsidRPr="005B5A20">
        <w:t xml:space="preserve"> external assessor to produce the required reports: </w:t>
      </w:r>
    </w:p>
    <w:p w:rsidR="005B5A20" w:rsidRPr="005B5A20" w:rsidRDefault="005B5A20" w:rsidP="005B5A20">
      <w:pPr>
        <w:snapToGrid w:val="0"/>
        <w:spacing w:after="0" w:line="240" w:lineRule="auto"/>
        <w:jc w:val="both"/>
      </w:pPr>
    </w:p>
    <w:p w:rsidR="005B5A20" w:rsidRPr="005B5A20" w:rsidRDefault="005B5A20" w:rsidP="009428DB">
      <w:pPr>
        <w:pStyle w:val="a4"/>
        <w:numPr>
          <w:ilvl w:val="0"/>
          <w:numId w:val="32"/>
        </w:numPr>
        <w:snapToGrid w:val="0"/>
        <w:spacing w:after="0" w:line="240" w:lineRule="auto"/>
        <w:ind w:left="851" w:hanging="425"/>
        <w:jc w:val="both"/>
      </w:pPr>
      <w:r w:rsidRPr="005B5A20">
        <w:t>the VA trading platform operator applicant should exercise due skill, care and diligence and should consider its expertise, experience and track record in reviewing the areas concerned;</w:t>
      </w:r>
    </w:p>
    <w:p w:rsidR="005B5A20" w:rsidRPr="005B5A20" w:rsidRDefault="005B5A20" w:rsidP="005B5A20">
      <w:pPr>
        <w:snapToGrid w:val="0"/>
        <w:spacing w:after="0" w:line="240" w:lineRule="auto"/>
        <w:jc w:val="both"/>
      </w:pPr>
    </w:p>
    <w:p w:rsidR="005B5A20" w:rsidRPr="005B5A20" w:rsidRDefault="005B5A20" w:rsidP="009428DB">
      <w:pPr>
        <w:pStyle w:val="a4"/>
        <w:numPr>
          <w:ilvl w:val="0"/>
          <w:numId w:val="32"/>
        </w:numPr>
        <w:snapToGrid w:val="0"/>
        <w:spacing w:after="0" w:line="240" w:lineRule="auto"/>
        <w:ind w:left="851" w:hanging="425"/>
        <w:jc w:val="both"/>
      </w:pPr>
      <w:r w:rsidRPr="005B5A20">
        <w:t>the VA trading platform operator could engage separate external assessors to review different areas of the business, depending on their expertise, experience and track records;</w:t>
      </w:r>
    </w:p>
    <w:p w:rsidR="005B5A20" w:rsidRPr="005B5A20" w:rsidRDefault="005B5A20" w:rsidP="009428DB">
      <w:pPr>
        <w:pStyle w:val="a4"/>
        <w:snapToGrid w:val="0"/>
        <w:spacing w:after="0" w:line="240" w:lineRule="auto"/>
        <w:ind w:left="851"/>
        <w:jc w:val="both"/>
      </w:pPr>
    </w:p>
    <w:p w:rsidR="005B5A20" w:rsidRPr="005B5A20" w:rsidRDefault="005B5A20" w:rsidP="009428DB">
      <w:pPr>
        <w:pStyle w:val="a4"/>
        <w:numPr>
          <w:ilvl w:val="0"/>
          <w:numId w:val="32"/>
        </w:numPr>
        <w:snapToGrid w:val="0"/>
        <w:spacing w:after="0" w:line="240" w:lineRule="auto"/>
        <w:ind w:left="851" w:hanging="425"/>
        <w:jc w:val="both"/>
      </w:pPr>
      <w:r w:rsidRPr="005B5A20">
        <w:t>the external assessor should be independent of the applicant, its group or group companies;</w:t>
      </w:r>
    </w:p>
    <w:p w:rsidR="005B5A20" w:rsidRPr="005B5A20" w:rsidRDefault="005B5A20" w:rsidP="009428DB">
      <w:pPr>
        <w:pStyle w:val="a4"/>
        <w:snapToGrid w:val="0"/>
        <w:spacing w:after="0" w:line="240" w:lineRule="auto"/>
        <w:ind w:left="851"/>
        <w:jc w:val="both"/>
      </w:pPr>
    </w:p>
    <w:p w:rsidR="005B5A20" w:rsidRPr="005B5A20" w:rsidRDefault="005B5A20" w:rsidP="009428DB">
      <w:pPr>
        <w:pStyle w:val="a4"/>
        <w:numPr>
          <w:ilvl w:val="0"/>
          <w:numId w:val="32"/>
        </w:numPr>
        <w:snapToGrid w:val="0"/>
        <w:spacing w:after="0" w:line="240" w:lineRule="auto"/>
        <w:ind w:left="851" w:hanging="425"/>
        <w:jc w:val="both"/>
      </w:pPr>
      <w:r w:rsidRPr="005B5A20">
        <w:t xml:space="preserve">the service provider of a particular system should not act as the external assessor for the same system; and </w:t>
      </w:r>
    </w:p>
    <w:p w:rsidR="005B5A20" w:rsidRPr="005B5A20" w:rsidRDefault="005B5A20" w:rsidP="009428DB">
      <w:pPr>
        <w:pStyle w:val="a4"/>
        <w:snapToGrid w:val="0"/>
        <w:spacing w:after="0" w:line="240" w:lineRule="auto"/>
        <w:ind w:left="851"/>
        <w:jc w:val="both"/>
      </w:pPr>
    </w:p>
    <w:p w:rsidR="00C61B65" w:rsidRDefault="005B5A20" w:rsidP="009428DB">
      <w:pPr>
        <w:pStyle w:val="a4"/>
        <w:numPr>
          <w:ilvl w:val="0"/>
          <w:numId w:val="32"/>
        </w:numPr>
        <w:snapToGrid w:val="0"/>
        <w:spacing w:after="0" w:line="240" w:lineRule="auto"/>
        <w:ind w:left="851" w:hanging="425"/>
        <w:jc w:val="both"/>
      </w:pPr>
      <w:r w:rsidRPr="005B5A20">
        <w:t>the external assessor’s capability statement should be submitted to the SFC together with the external assessment report.</w:t>
      </w:r>
      <w:r w:rsidR="00712D29">
        <w:t xml:space="preserve"> </w:t>
      </w:r>
    </w:p>
    <w:p w:rsidR="009628B6" w:rsidRDefault="009628B6" w:rsidP="009628B6">
      <w:pPr>
        <w:pStyle w:val="a4"/>
      </w:pPr>
    </w:p>
    <w:p w:rsidR="009628B6" w:rsidRPr="00A41F57" w:rsidRDefault="009628B6" w:rsidP="009628B6">
      <w:pPr>
        <w:pStyle w:val="DisclaimerBold"/>
        <w:numPr>
          <w:ilvl w:val="0"/>
          <w:numId w:val="13"/>
        </w:numPr>
        <w:rPr>
          <w:rFonts w:ascii="Helvetica" w:hAnsi="Helvetica"/>
        </w:rPr>
      </w:pPr>
      <w:r w:rsidRPr="00F05494">
        <w:rPr>
          <w:rFonts w:ascii="Helvetica" w:hAnsi="Helvetica"/>
        </w:rPr>
        <w:t>This newsletter is for information purposes only.</w:t>
      </w:r>
    </w:p>
    <w:p w:rsidR="009628B6" w:rsidRPr="00F05494" w:rsidRDefault="009628B6" w:rsidP="009628B6">
      <w:pPr>
        <w:pStyle w:val="Disclaimer"/>
        <w:numPr>
          <w:ilvl w:val="0"/>
          <w:numId w:val="13"/>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9628B6" w:rsidRPr="00F05494" w:rsidRDefault="009628B6" w:rsidP="009628B6">
      <w:pPr>
        <w:pStyle w:val="Disclaimer"/>
        <w:numPr>
          <w:ilvl w:val="0"/>
          <w:numId w:val="13"/>
        </w:numP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rsidR="009628B6" w:rsidRPr="00F05494" w:rsidRDefault="009628B6" w:rsidP="009628B6">
      <w:pPr>
        <w:pStyle w:val="Disclaimer"/>
        <w:numPr>
          <w:ilvl w:val="0"/>
          <w:numId w:val="13"/>
        </w:numPr>
        <w:rPr>
          <w:rFonts w:ascii="Helvetica" w:hAnsi="Helvetica"/>
        </w:rPr>
      </w:pPr>
      <w:r w:rsidRPr="00F05494">
        <w:rPr>
          <w:rFonts w:ascii="Helvetica" w:hAnsi="Helvetica"/>
        </w:rPr>
        <w:t xml:space="preserve">Charltons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9628B6" w:rsidRPr="00F05494" w:rsidRDefault="009628B6" w:rsidP="009628B6">
      <w:pPr>
        <w:pStyle w:val="Disclaimer"/>
        <w:numPr>
          <w:ilvl w:val="0"/>
          <w:numId w:val="13"/>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23">
        <w:r w:rsidRPr="00F05494">
          <w:rPr>
            <w:rFonts w:ascii="Helvetica" w:hAnsi="Helvetica"/>
          </w:rPr>
          <w:t>unsubscribe@charltonslaw.com</w:t>
        </w:r>
      </w:hyperlink>
    </w:p>
    <w:p w:rsidR="009628B6" w:rsidRPr="008524CA" w:rsidRDefault="009628B6" w:rsidP="009628B6">
      <w:pPr>
        <w:pStyle w:val="BlackStrips"/>
        <w:numPr>
          <w:ilvl w:val="0"/>
          <w:numId w:val="13"/>
        </w:numPr>
        <w:rPr>
          <w:rFonts w:ascii="Helvetica" w:hAnsi="Helvetica"/>
        </w:rPr>
      </w:pPr>
      <w:r w:rsidRPr="00F05494">
        <w:rPr>
          <w:rFonts w:ascii="Helvetica" w:hAnsi="Helvetica"/>
        </w:rPr>
        <w:t xml:space="preserve">Charltons - Hong Kong Law - </w:t>
      </w:r>
      <w:r>
        <w:rPr>
          <w:rFonts w:ascii="Helvetica" w:hAnsi="Helvetica"/>
        </w:rPr>
        <w:t>3</w:t>
      </w:r>
      <w:r w:rsidR="007D7548" w:rsidRPr="007D7548">
        <w:rPr>
          <w:rFonts w:ascii="Helvetica" w:hAnsi="Helvetica"/>
        </w:rPr>
        <w:t>1</w:t>
      </w:r>
      <w:r w:rsidRPr="00F05494">
        <w:rPr>
          <w:rFonts w:ascii="Helvetica" w:hAnsi="Helvetica"/>
        </w:rPr>
        <w:t xml:space="preserve"> </w:t>
      </w:r>
      <w:r>
        <w:rPr>
          <w:rFonts w:ascii="Helvetica" w:hAnsi="Helvetica"/>
        </w:rPr>
        <w:t>May</w:t>
      </w:r>
      <w:r w:rsidRPr="00F05494">
        <w:rPr>
          <w:rFonts w:ascii="Helvetica" w:hAnsi="Helvetica"/>
        </w:rPr>
        <w:t xml:space="preserve"> 202</w:t>
      </w:r>
      <w:r w:rsidRPr="008524CA">
        <w:rPr>
          <w:rFonts w:ascii="Helvetica" w:hAnsi="Helvetica"/>
        </w:rPr>
        <w:t>3</w:t>
      </w:r>
    </w:p>
    <w:p w:rsidR="009628B6" w:rsidRDefault="009628B6" w:rsidP="009628B6">
      <w:pPr>
        <w:snapToGrid w:val="0"/>
        <w:spacing w:after="0" w:line="240" w:lineRule="auto"/>
        <w:ind w:left="426"/>
        <w:jc w:val="both"/>
      </w:pPr>
    </w:p>
    <w:sectPr w:rsidR="009628B6" w:rsidSect="00490707">
      <w:footerReference w:type="default" r:id="rId24"/>
      <w:pgSz w:w="12240" w:h="15840"/>
      <w:pgMar w:top="72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CA1" w:rsidRDefault="00953CA1" w:rsidP="008D7B3A">
      <w:pPr>
        <w:spacing w:after="0" w:line="240" w:lineRule="auto"/>
      </w:pPr>
      <w:r>
        <w:separator/>
      </w:r>
    </w:p>
  </w:endnote>
  <w:endnote w:type="continuationSeparator" w:id="0">
    <w:p w:rsidR="00953CA1" w:rsidRDefault="00953CA1" w:rsidP="008D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5335"/>
      <w:docPartObj>
        <w:docPartGallery w:val="Page Numbers (Bottom of Page)"/>
        <w:docPartUnique/>
      </w:docPartObj>
    </w:sdtPr>
    <w:sdtEndPr>
      <w:rPr>
        <w:noProof/>
      </w:rPr>
    </w:sdtEndPr>
    <w:sdtContent>
      <w:p w:rsidR="00634774" w:rsidRDefault="00634774">
        <w:pPr>
          <w:pStyle w:val="af3"/>
          <w:jc w:val="center"/>
        </w:pPr>
        <w:r>
          <w:fldChar w:fldCharType="begin"/>
        </w:r>
        <w:r>
          <w:instrText xml:space="preserve"> PAGE   \* MERGEFORMAT </w:instrText>
        </w:r>
        <w:r>
          <w:fldChar w:fldCharType="separate"/>
        </w:r>
        <w:r w:rsidR="00092176">
          <w:rPr>
            <w:noProof/>
          </w:rPr>
          <w:t>9</w:t>
        </w:r>
        <w:r>
          <w:rPr>
            <w:noProof/>
          </w:rPr>
          <w:fldChar w:fldCharType="end"/>
        </w:r>
      </w:p>
    </w:sdtContent>
  </w:sdt>
  <w:p w:rsidR="00634774" w:rsidRDefault="006347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CA1" w:rsidRDefault="00953CA1" w:rsidP="008D7B3A">
      <w:pPr>
        <w:spacing w:after="0" w:line="240" w:lineRule="auto"/>
      </w:pPr>
      <w:r>
        <w:separator/>
      </w:r>
    </w:p>
  </w:footnote>
  <w:footnote w:type="continuationSeparator" w:id="0">
    <w:p w:rsidR="00953CA1" w:rsidRDefault="00953CA1" w:rsidP="008D7B3A">
      <w:pPr>
        <w:spacing w:after="0" w:line="240" w:lineRule="auto"/>
      </w:pPr>
      <w:r>
        <w:continuationSeparator/>
      </w:r>
    </w:p>
  </w:footnote>
  <w:footnote w:id="1">
    <w:p w:rsidR="00634774" w:rsidRDefault="00634774">
      <w:pPr>
        <w:pStyle w:val="a5"/>
      </w:pPr>
      <w:r>
        <w:rPr>
          <w:rStyle w:val="a7"/>
        </w:rPr>
        <w:footnoteRef/>
      </w:r>
      <w:r>
        <w:t xml:space="preserve"> SFC Consultation Conclusions on the Proposed Regulatory Requirements for Virtual Asset Trading Platform Operators Licensed by the SFC</w:t>
      </w:r>
    </w:p>
  </w:footnote>
  <w:footnote w:id="2">
    <w:p w:rsidR="00634774" w:rsidRDefault="00634774">
      <w:pPr>
        <w:pStyle w:val="a5"/>
      </w:pPr>
      <w:r>
        <w:rPr>
          <w:rStyle w:val="a7"/>
        </w:rPr>
        <w:footnoteRef/>
      </w:r>
      <w:r>
        <w:t xml:space="preserve"> Paragraph 1(a) of Schedule 1 to the VATP Guidelines</w:t>
      </w:r>
    </w:p>
  </w:footnote>
  <w:footnote w:id="3">
    <w:p w:rsidR="00634774" w:rsidRDefault="00634774">
      <w:pPr>
        <w:pStyle w:val="a5"/>
      </w:pPr>
      <w:r>
        <w:rPr>
          <w:rStyle w:val="a7"/>
        </w:rPr>
        <w:footnoteRef/>
      </w:r>
      <w:r>
        <w:t xml:space="preserve"> Paragraph 1(b) of Schedule 1 to the VATP Guidelines</w:t>
      </w:r>
    </w:p>
  </w:footnote>
  <w:footnote w:id="4">
    <w:p w:rsidR="00634774" w:rsidRDefault="00634774">
      <w:pPr>
        <w:pStyle w:val="a5"/>
      </w:pPr>
      <w:r>
        <w:rPr>
          <w:rStyle w:val="a7"/>
        </w:rPr>
        <w:footnoteRef/>
      </w:r>
      <w:r>
        <w:t xml:space="preserve"> Paragraph 1(c) of Schedule 1 to the VATP Guidelines</w:t>
      </w:r>
    </w:p>
  </w:footnote>
  <w:footnote w:id="5">
    <w:p w:rsidR="00634774" w:rsidRDefault="00634774">
      <w:pPr>
        <w:pStyle w:val="a5"/>
      </w:pPr>
      <w:r>
        <w:rPr>
          <w:rStyle w:val="a7"/>
        </w:rPr>
        <w:footnoteRef/>
      </w:r>
      <w:r>
        <w:t xml:space="preserve"> Paragraph 9.4 of the VATP Guidelines</w:t>
      </w:r>
    </w:p>
  </w:footnote>
  <w:footnote w:id="6">
    <w:p w:rsidR="00634774" w:rsidRDefault="00634774">
      <w:pPr>
        <w:pStyle w:val="a5"/>
      </w:pPr>
      <w:r>
        <w:rPr>
          <w:rStyle w:val="a7"/>
        </w:rPr>
        <w:footnoteRef/>
      </w:r>
      <w:r>
        <w:t xml:space="preserve"> Paragraph 5.1(d) of the VATP Guidelines</w:t>
      </w:r>
    </w:p>
  </w:footnote>
  <w:footnote w:id="7">
    <w:p w:rsidR="00634774" w:rsidRDefault="00634774">
      <w:pPr>
        <w:pStyle w:val="a5"/>
      </w:pPr>
      <w:r>
        <w:rPr>
          <w:rStyle w:val="a7"/>
        </w:rPr>
        <w:footnoteRef/>
      </w:r>
      <w:r>
        <w:t xml:space="preserve"> Paragraph 9.6 of the VATP Guidelines</w:t>
      </w:r>
    </w:p>
  </w:footnote>
  <w:footnote w:id="8">
    <w:p w:rsidR="00634774" w:rsidRDefault="00634774" w:rsidP="00F41FCB">
      <w:pPr>
        <w:pStyle w:val="a5"/>
        <w:tabs>
          <w:tab w:val="left" w:pos="426"/>
        </w:tabs>
      </w:pPr>
      <w:r>
        <w:rPr>
          <w:rStyle w:val="a7"/>
        </w:rPr>
        <w:footnoteRef/>
      </w:r>
      <w:r>
        <w:t xml:space="preserve"> Paragraph 9.7 of the VATP Guidelines</w:t>
      </w:r>
    </w:p>
  </w:footnote>
  <w:footnote w:id="9">
    <w:p w:rsidR="00634774" w:rsidRDefault="00634774">
      <w:pPr>
        <w:pStyle w:val="a5"/>
      </w:pPr>
      <w:r>
        <w:rPr>
          <w:rStyle w:val="a7"/>
        </w:rPr>
        <w:footnoteRef/>
      </w:r>
      <w:r>
        <w:t xml:space="preserve"> SFC Consultation Conclusions on the Proposed Regulatory Requirements for Virtual Asset Trading Platform Operators Licensed by the Securities and Futures Commission at paragraph 24</w:t>
      </w:r>
    </w:p>
  </w:footnote>
  <w:footnote w:id="10">
    <w:p w:rsidR="00634774" w:rsidRDefault="00634774">
      <w:pPr>
        <w:pStyle w:val="a5"/>
      </w:pPr>
      <w:r>
        <w:rPr>
          <w:rStyle w:val="a7"/>
        </w:rPr>
        <w:footnoteRef/>
      </w:r>
      <w:r>
        <w:t xml:space="preserve"> Paragraph 7.2 of the VATP Guidelines</w:t>
      </w:r>
    </w:p>
  </w:footnote>
  <w:footnote w:id="11">
    <w:p w:rsidR="00634774" w:rsidRDefault="00634774">
      <w:pPr>
        <w:pStyle w:val="a5"/>
      </w:pPr>
      <w:r>
        <w:rPr>
          <w:rStyle w:val="a7"/>
        </w:rPr>
        <w:footnoteRef/>
      </w:r>
      <w:r>
        <w:t xml:space="preserve"> Paragraphs 7.1 to 7.5 of the VATP Guidelines</w:t>
      </w:r>
    </w:p>
  </w:footnote>
  <w:footnote w:id="12">
    <w:p w:rsidR="00634774" w:rsidRDefault="00634774" w:rsidP="008C05E9">
      <w:pPr>
        <w:pStyle w:val="a5"/>
      </w:pPr>
      <w:r>
        <w:rPr>
          <w:rStyle w:val="a7"/>
        </w:rPr>
        <w:footnoteRef/>
      </w:r>
      <w:r>
        <w:t xml:space="preserve"> Paragraph 7.11 of the VATP Guidelines</w:t>
      </w:r>
    </w:p>
  </w:footnote>
  <w:footnote w:id="13">
    <w:p w:rsidR="00634774" w:rsidRDefault="00634774">
      <w:pPr>
        <w:pStyle w:val="a5"/>
      </w:pPr>
      <w:r>
        <w:rPr>
          <w:rStyle w:val="a7"/>
        </w:rPr>
        <w:footnoteRef/>
      </w:r>
      <w:r>
        <w:t xml:space="preserve"> Paragraph 7.6 of the VATP Guidelines</w:t>
      </w:r>
    </w:p>
  </w:footnote>
  <w:footnote w:id="14">
    <w:p w:rsidR="00634774" w:rsidRDefault="00634774">
      <w:pPr>
        <w:pStyle w:val="a5"/>
      </w:pPr>
      <w:r>
        <w:rPr>
          <w:rStyle w:val="a7"/>
        </w:rPr>
        <w:footnoteRef/>
      </w:r>
      <w:r>
        <w:t xml:space="preserve"> Paragraph 7.7(b) of the VATP Guidelines</w:t>
      </w:r>
    </w:p>
  </w:footnote>
  <w:footnote w:id="15">
    <w:p w:rsidR="00634774" w:rsidRDefault="00634774">
      <w:pPr>
        <w:pStyle w:val="a5"/>
      </w:pPr>
      <w:r>
        <w:rPr>
          <w:rStyle w:val="a7"/>
        </w:rPr>
        <w:footnoteRef/>
      </w:r>
      <w:r>
        <w:t xml:space="preserve"> SFC Consultation Paper on the Proposed Regulatory Requirements for Virtual Asset Trading Platform Operators Licensed by the Securities and Futures Commission at footnote 20 </w:t>
      </w:r>
    </w:p>
  </w:footnote>
  <w:footnote w:id="16">
    <w:p w:rsidR="00634774" w:rsidRDefault="00634774">
      <w:pPr>
        <w:pStyle w:val="a5"/>
      </w:pPr>
      <w:r>
        <w:rPr>
          <w:rStyle w:val="a7"/>
        </w:rPr>
        <w:footnoteRef/>
      </w:r>
      <w:r>
        <w:t xml:space="preserve"> SFC Consultation Conclusions on the Proposed Regulatory Requirements for Virtual Asset Trading Platform Operators Licensed by the Securities and Futures Commission at paragraph 49</w:t>
      </w:r>
    </w:p>
  </w:footnote>
  <w:footnote w:id="17">
    <w:p w:rsidR="00634774" w:rsidRDefault="00634774">
      <w:pPr>
        <w:pStyle w:val="a5"/>
      </w:pPr>
      <w:r>
        <w:rPr>
          <w:rStyle w:val="a7"/>
        </w:rPr>
        <w:footnoteRef/>
      </w:r>
      <w:r>
        <w:t xml:space="preserve"> Paragraph 16.4 of the VATP Guidelines</w:t>
      </w:r>
    </w:p>
  </w:footnote>
  <w:footnote w:id="18">
    <w:p w:rsidR="00634774" w:rsidRDefault="00634774">
      <w:pPr>
        <w:pStyle w:val="a5"/>
      </w:pPr>
      <w:r>
        <w:rPr>
          <w:rStyle w:val="a7"/>
        </w:rPr>
        <w:footnoteRef/>
      </w:r>
      <w:r>
        <w:t xml:space="preserve"> Note 3 to Paragraph 7.8 of the VATP Guidelines</w:t>
      </w:r>
    </w:p>
  </w:footnote>
  <w:footnote w:id="19">
    <w:p w:rsidR="00634774" w:rsidRDefault="00634774">
      <w:pPr>
        <w:pStyle w:val="a5"/>
      </w:pPr>
      <w:r>
        <w:rPr>
          <w:rStyle w:val="a7"/>
        </w:rPr>
        <w:footnoteRef/>
      </w:r>
      <w:r>
        <w:t xml:space="preserve"> Paragraph 7.9 of the VATP Guidelines</w:t>
      </w:r>
    </w:p>
  </w:footnote>
  <w:footnote w:id="20">
    <w:p w:rsidR="00634774" w:rsidRDefault="00634774">
      <w:pPr>
        <w:pStyle w:val="a5"/>
      </w:pPr>
      <w:r>
        <w:rPr>
          <w:rStyle w:val="a7"/>
        </w:rPr>
        <w:footnoteRef/>
      </w:r>
      <w:r>
        <w:t xml:space="preserve"> Paragraph 7.10 of the VATP Guidelines</w:t>
      </w:r>
    </w:p>
  </w:footnote>
  <w:footnote w:id="21">
    <w:p w:rsidR="00634774" w:rsidRDefault="00634774">
      <w:pPr>
        <w:pStyle w:val="a5"/>
      </w:pPr>
      <w:r>
        <w:rPr>
          <w:rStyle w:val="a7"/>
        </w:rPr>
        <w:footnoteRef/>
      </w:r>
      <w:r>
        <w:t xml:space="preserve"> Paragraph 9.27(d) of the VATP Guidelines</w:t>
      </w:r>
    </w:p>
  </w:footnote>
  <w:footnote w:id="22">
    <w:p w:rsidR="00634774" w:rsidRDefault="00634774">
      <w:pPr>
        <w:pStyle w:val="a5"/>
      </w:pPr>
      <w:r>
        <w:rPr>
          <w:rStyle w:val="a7"/>
        </w:rPr>
        <w:footnoteRef/>
      </w:r>
      <w:r>
        <w:t xml:space="preserve"> Paragraph 9.28 of the VATP Guidelines</w:t>
      </w:r>
    </w:p>
  </w:footnote>
  <w:footnote w:id="23">
    <w:p w:rsidR="00634774" w:rsidRDefault="00634774">
      <w:pPr>
        <w:pStyle w:val="a5"/>
      </w:pPr>
      <w:r>
        <w:rPr>
          <w:rStyle w:val="a7"/>
        </w:rPr>
        <w:footnoteRef/>
      </w:r>
      <w:r>
        <w:t xml:space="preserve"> Paragraph 9.29 of the VATP Guidelines</w:t>
      </w:r>
    </w:p>
  </w:footnote>
  <w:footnote w:id="24">
    <w:p w:rsidR="00634774" w:rsidRDefault="00634774">
      <w:pPr>
        <w:pStyle w:val="a5"/>
      </w:pPr>
      <w:r>
        <w:rPr>
          <w:rStyle w:val="a7"/>
        </w:rPr>
        <w:footnoteRef/>
      </w:r>
      <w:r>
        <w:t xml:space="preserve"> Paragraph 9.30 of the VATP Guidelines</w:t>
      </w:r>
    </w:p>
  </w:footnote>
  <w:footnote w:id="25">
    <w:p w:rsidR="00634774" w:rsidRDefault="00634774">
      <w:pPr>
        <w:pStyle w:val="a5"/>
      </w:pPr>
      <w:r>
        <w:rPr>
          <w:rStyle w:val="a7"/>
        </w:rPr>
        <w:footnoteRef/>
      </w:r>
      <w:r>
        <w:t xml:space="preserve"> Paragraph 9.26 of the VATP Guidelines</w:t>
      </w:r>
    </w:p>
  </w:footnote>
  <w:footnote w:id="26">
    <w:p w:rsidR="00634774" w:rsidRDefault="00634774">
      <w:pPr>
        <w:pStyle w:val="a5"/>
      </w:pPr>
      <w:r>
        <w:rPr>
          <w:rStyle w:val="a7"/>
        </w:rPr>
        <w:footnoteRef/>
      </w:r>
      <w:r>
        <w:t xml:space="preserve"> Paragraph 10.1 of the VATP Guidelines</w:t>
      </w:r>
    </w:p>
  </w:footnote>
  <w:footnote w:id="27">
    <w:p w:rsidR="00634774" w:rsidRDefault="00634774">
      <w:pPr>
        <w:pStyle w:val="a5"/>
      </w:pPr>
      <w:r>
        <w:rPr>
          <w:rStyle w:val="a7"/>
        </w:rPr>
        <w:footnoteRef/>
      </w:r>
      <w:r>
        <w:t xml:space="preserve"> Paragraph 10.5 of the VATP Guidelines</w:t>
      </w:r>
    </w:p>
  </w:footnote>
  <w:footnote w:id="28">
    <w:p w:rsidR="00634774" w:rsidRDefault="00634774" w:rsidP="009C5D4F">
      <w:pPr>
        <w:pStyle w:val="a5"/>
      </w:pPr>
      <w:r>
        <w:rPr>
          <w:rStyle w:val="a7"/>
        </w:rPr>
        <w:footnoteRef/>
      </w:r>
      <w:r>
        <w:t xml:space="preserve"> Paragraph 10.6 of the VATP Guidelines</w:t>
      </w:r>
    </w:p>
  </w:footnote>
  <w:footnote w:id="29">
    <w:p w:rsidR="00634774" w:rsidRDefault="00634774">
      <w:pPr>
        <w:pStyle w:val="a5"/>
      </w:pPr>
      <w:r>
        <w:rPr>
          <w:rStyle w:val="a7"/>
        </w:rPr>
        <w:footnoteRef/>
      </w:r>
      <w:r>
        <w:t xml:space="preserve"> Paragraph 10.8 of the VATP Guidelines</w:t>
      </w:r>
    </w:p>
  </w:footnote>
  <w:footnote w:id="30">
    <w:p w:rsidR="00634774" w:rsidRDefault="00634774">
      <w:pPr>
        <w:pStyle w:val="a5"/>
      </w:pPr>
      <w:r>
        <w:rPr>
          <w:rStyle w:val="a7"/>
        </w:rPr>
        <w:footnoteRef/>
      </w:r>
      <w:r>
        <w:t xml:space="preserve"> Paragraph 10.22 of the VATP Guidelines</w:t>
      </w:r>
    </w:p>
  </w:footnote>
  <w:footnote w:id="31">
    <w:p w:rsidR="00634774" w:rsidRDefault="00634774">
      <w:pPr>
        <w:pStyle w:val="a5"/>
      </w:pPr>
      <w:r>
        <w:rPr>
          <w:rStyle w:val="a7"/>
        </w:rPr>
        <w:footnoteRef/>
      </w:r>
      <w:r>
        <w:t xml:space="preserve"> Paragraph 10.23 of the VATP Guidelines</w:t>
      </w:r>
    </w:p>
  </w:footnote>
  <w:footnote w:id="32">
    <w:p w:rsidR="00634774" w:rsidRDefault="00634774">
      <w:pPr>
        <w:pStyle w:val="a5"/>
      </w:pPr>
      <w:r>
        <w:rPr>
          <w:rStyle w:val="a7"/>
        </w:rPr>
        <w:footnoteRef/>
      </w:r>
      <w:r>
        <w:t xml:space="preserve"> Paragraph 7.24 of the VATP Guidelines</w:t>
      </w:r>
    </w:p>
  </w:footnote>
  <w:footnote w:id="33">
    <w:p w:rsidR="00634774" w:rsidRDefault="00634774">
      <w:pPr>
        <w:pStyle w:val="a5"/>
      </w:pPr>
      <w:r>
        <w:rPr>
          <w:rStyle w:val="a7"/>
        </w:rPr>
        <w:footnoteRef/>
      </w:r>
      <w:r>
        <w:t xml:space="preserve"> Paragraph 7.25 of the VATP Guidelines</w:t>
      </w:r>
    </w:p>
  </w:footnote>
  <w:footnote w:id="34">
    <w:p w:rsidR="00634774" w:rsidRDefault="00634774" w:rsidP="008279DA">
      <w:pPr>
        <w:pStyle w:val="a5"/>
      </w:pPr>
      <w:r>
        <w:rPr>
          <w:rStyle w:val="a7"/>
        </w:rPr>
        <w:footnoteRef/>
      </w:r>
      <w:r>
        <w:t xml:space="preserve"> Paragraph 7.26(b) of the VATP Guidelines</w:t>
      </w:r>
    </w:p>
  </w:footnote>
  <w:footnote w:id="35">
    <w:p w:rsidR="00634774" w:rsidRDefault="00634774">
      <w:pPr>
        <w:pStyle w:val="a5"/>
      </w:pPr>
      <w:r>
        <w:rPr>
          <w:rStyle w:val="a7"/>
        </w:rPr>
        <w:footnoteRef/>
      </w:r>
      <w:r>
        <w:t xml:space="preserve"> SFC Consultation Conclusions at paragraph 86</w:t>
      </w:r>
    </w:p>
  </w:footnote>
  <w:footnote w:id="36">
    <w:p w:rsidR="00634774" w:rsidRDefault="00634774">
      <w:pPr>
        <w:pStyle w:val="a5"/>
      </w:pPr>
      <w:r>
        <w:rPr>
          <w:rStyle w:val="a7"/>
        </w:rPr>
        <w:footnoteRef/>
      </w:r>
      <w:r>
        <w:t xml:space="preserve"> Paragraph 7.26(c) of the VATP Guidelines</w:t>
      </w:r>
    </w:p>
  </w:footnote>
  <w:footnote w:id="37">
    <w:p w:rsidR="00A36F2A" w:rsidRDefault="00A36F2A">
      <w:pPr>
        <w:pStyle w:val="a5"/>
      </w:pPr>
      <w:r>
        <w:rPr>
          <w:rStyle w:val="a7"/>
        </w:rPr>
        <w:footnoteRef/>
      </w:r>
      <w:r>
        <w:t xml:space="preserve"> Paragraph 9.18 of the VATP Guidelines</w:t>
      </w:r>
    </w:p>
  </w:footnote>
  <w:footnote w:id="38">
    <w:p w:rsidR="00634774" w:rsidRDefault="00634774">
      <w:pPr>
        <w:pStyle w:val="a5"/>
      </w:pPr>
      <w:r>
        <w:rPr>
          <w:rStyle w:val="a7"/>
        </w:rPr>
        <w:footnoteRef/>
      </w:r>
      <w:r>
        <w:t xml:space="preserve"> Paragraph 7.26(a) of the VATP Guidelines</w:t>
      </w:r>
    </w:p>
  </w:footnote>
  <w:footnote w:id="39">
    <w:p w:rsidR="00634774" w:rsidRDefault="00634774">
      <w:pPr>
        <w:pStyle w:val="a5"/>
      </w:pPr>
      <w:r>
        <w:rPr>
          <w:rStyle w:val="a7"/>
        </w:rPr>
        <w:footnoteRef/>
      </w:r>
      <w:r>
        <w:t xml:space="preserve"> Paragraph 13.2 of the VATP Guidelines</w:t>
      </w:r>
    </w:p>
  </w:footnote>
  <w:footnote w:id="40">
    <w:p w:rsidR="00634774" w:rsidRDefault="00634774">
      <w:pPr>
        <w:pStyle w:val="a5"/>
      </w:pPr>
      <w:r>
        <w:rPr>
          <w:rStyle w:val="a7"/>
        </w:rPr>
        <w:footnoteRef/>
      </w:r>
      <w:r>
        <w:t xml:space="preserve"> Paragraph 13.4 of the VATP Guidelines</w:t>
      </w:r>
    </w:p>
  </w:footnote>
  <w:footnote w:id="41">
    <w:p w:rsidR="00634774" w:rsidRDefault="00634774">
      <w:pPr>
        <w:pStyle w:val="a5"/>
      </w:pPr>
      <w:r>
        <w:rPr>
          <w:rStyle w:val="a7"/>
        </w:rPr>
        <w:footnoteRef/>
      </w:r>
      <w:r>
        <w:t xml:space="preserve"> Paragraph 13.3 of the VATP Guidelines</w:t>
      </w:r>
    </w:p>
  </w:footnote>
  <w:footnote w:id="42">
    <w:p w:rsidR="00634774" w:rsidRDefault="00634774">
      <w:pPr>
        <w:pStyle w:val="a5"/>
      </w:pPr>
      <w:r>
        <w:rPr>
          <w:rStyle w:val="a7"/>
        </w:rPr>
        <w:footnoteRef/>
      </w:r>
      <w:r>
        <w:t xml:space="preserve"> SFC Consultation Paper at paragraph 39</w:t>
      </w:r>
    </w:p>
  </w:footnote>
  <w:footnote w:id="43">
    <w:p w:rsidR="00634774" w:rsidRDefault="00634774">
      <w:pPr>
        <w:pStyle w:val="a5"/>
      </w:pPr>
      <w:r>
        <w:rPr>
          <w:rStyle w:val="a7"/>
        </w:rPr>
        <w:footnoteRef/>
      </w:r>
      <w:r>
        <w:t xml:space="preserve"> Paragraph 16.5 of the VATP Guidelines</w:t>
      </w:r>
    </w:p>
  </w:footnote>
  <w:footnote w:id="44">
    <w:p w:rsidR="00634774" w:rsidRDefault="00634774" w:rsidP="00F91BA3">
      <w:pPr>
        <w:pStyle w:val="a5"/>
      </w:pPr>
      <w:r>
        <w:rPr>
          <w:rStyle w:val="a7"/>
        </w:rPr>
        <w:footnoteRef/>
      </w:r>
      <w:r>
        <w:t xml:space="preserve"> Paragraph 16.4 of the VATP Guidelines</w:t>
      </w:r>
    </w:p>
  </w:footnote>
  <w:footnote w:id="45">
    <w:p w:rsidR="00634774" w:rsidRDefault="00634774">
      <w:pPr>
        <w:pStyle w:val="a5"/>
      </w:pPr>
      <w:r>
        <w:rPr>
          <w:rStyle w:val="a7"/>
        </w:rPr>
        <w:footnoteRef/>
      </w:r>
      <w:r>
        <w:t xml:space="preserve"> </w:t>
      </w:r>
      <w:r w:rsidRPr="001C44B0">
        <w:t>Guideline on Anti-Money Laundering and Counter-Financing of Terrorism (For Licensed Corporations and SFC-licensed Virtual Asset Service Providers)</w:t>
      </w:r>
      <w:r>
        <w:t>, at paragraphs 12.11.5 and 12.11.16 of Chapter 12</w:t>
      </w:r>
    </w:p>
  </w:footnote>
  <w:footnote w:id="46">
    <w:p w:rsidR="00634774" w:rsidRDefault="00634774">
      <w:pPr>
        <w:pStyle w:val="a5"/>
      </w:pPr>
      <w:r>
        <w:rPr>
          <w:rStyle w:val="a7"/>
        </w:rPr>
        <w:footnoteRef/>
      </w:r>
      <w:r>
        <w:t xml:space="preserve"> Ibid. at paragraphs 12.11.20 and 12.11.21 of Chapter 12</w:t>
      </w:r>
    </w:p>
  </w:footnote>
  <w:footnote w:id="47">
    <w:p w:rsidR="00634774" w:rsidRDefault="00634774">
      <w:pPr>
        <w:pStyle w:val="a5"/>
      </w:pPr>
      <w:r>
        <w:rPr>
          <w:rStyle w:val="a7"/>
        </w:rPr>
        <w:footnoteRef/>
      </w:r>
      <w:r>
        <w:t xml:space="preserve"> Ibid. at paragraphs 12.13.1 to 12.13.13 of Chapter 12</w:t>
      </w:r>
    </w:p>
  </w:footnote>
  <w:footnote w:id="48">
    <w:p w:rsidR="00634774" w:rsidRDefault="00634774">
      <w:pPr>
        <w:pStyle w:val="a5"/>
      </w:pPr>
      <w:r>
        <w:rPr>
          <w:rStyle w:val="a7"/>
        </w:rPr>
        <w:footnoteRef/>
      </w:r>
      <w:r>
        <w:t xml:space="preserve"> Ibid. at paragraphs 12.7.6 and 12.8.1 to 12.8.3</w:t>
      </w:r>
    </w:p>
  </w:footnote>
  <w:footnote w:id="49">
    <w:p w:rsidR="00634774" w:rsidRDefault="00634774">
      <w:pPr>
        <w:pStyle w:val="a5"/>
      </w:pPr>
      <w:r>
        <w:rPr>
          <w:rStyle w:val="a7"/>
        </w:rPr>
        <w:footnoteRef/>
      </w:r>
      <w:r>
        <w:t xml:space="preserve"> Ibid. at paragraphs 12.11.10 and 12.11.13</w:t>
      </w:r>
    </w:p>
  </w:footnote>
  <w:footnote w:id="50">
    <w:p w:rsidR="00634774" w:rsidRDefault="00634774" w:rsidP="00EC2D61">
      <w:pPr>
        <w:pStyle w:val="a5"/>
      </w:pPr>
      <w:r>
        <w:rPr>
          <w:rStyle w:val="a7"/>
        </w:rPr>
        <w:footnoteRef/>
      </w:r>
      <w:r>
        <w:t xml:space="preserve"> Section 53ZSR of the AMLO and section 193(1) of the SFO</w:t>
      </w:r>
    </w:p>
  </w:footnote>
  <w:footnote w:id="51">
    <w:p w:rsidR="00634774" w:rsidRDefault="00634774">
      <w:pPr>
        <w:pStyle w:val="a5"/>
      </w:pPr>
      <w:r>
        <w:rPr>
          <w:rStyle w:val="a7"/>
        </w:rPr>
        <w:footnoteRef/>
      </w:r>
      <w:r>
        <w:t xml:space="preserve"> Section 53ZSP of the AMLO and sections 194(2) and 196(2) of the SFO</w:t>
      </w:r>
    </w:p>
  </w:footnote>
  <w:footnote w:id="52">
    <w:p w:rsidR="00634774" w:rsidRDefault="00634774">
      <w:pPr>
        <w:pStyle w:val="a5"/>
      </w:pPr>
      <w:r>
        <w:rPr>
          <w:rStyle w:val="a7"/>
        </w:rPr>
        <w:footnoteRef/>
      </w:r>
      <w:r>
        <w:t xml:space="preserve"> SFC Consultation Conclusions at paragraph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726"/>
    <w:multiLevelType w:val="hybridMultilevel"/>
    <w:tmpl w:val="613A5F38"/>
    <w:lvl w:ilvl="0" w:tplc="707823F6">
      <w:start w:val="1"/>
      <w:numFmt w:val="lowerRoman"/>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13E57DD"/>
    <w:multiLevelType w:val="hybridMultilevel"/>
    <w:tmpl w:val="FB7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445D8"/>
    <w:multiLevelType w:val="hybridMultilevel"/>
    <w:tmpl w:val="777C46B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65FDF"/>
    <w:multiLevelType w:val="hybridMultilevel"/>
    <w:tmpl w:val="5DA4E5CC"/>
    <w:lvl w:ilvl="0" w:tplc="95BA7BB2">
      <w:start w:val="1"/>
      <w:numFmt w:val="bullet"/>
      <w:lvlText w:val="•"/>
      <w:lvlJc w:val="left"/>
      <w:pPr>
        <w:ind w:left="776" w:hanging="360"/>
      </w:pPr>
      <w:rPr>
        <w:rFonts w:ascii="Times New Roman" w:hAnsi="Times New Roman" w:cs="Times New Roman"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15:restartNumberingAfterBreak="0">
    <w:nsid w:val="137F1579"/>
    <w:multiLevelType w:val="hybridMultilevel"/>
    <w:tmpl w:val="F1D4EA02"/>
    <w:lvl w:ilvl="0" w:tplc="95BA7BB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2F5"/>
    <w:multiLevelType w:val="hybridMultilevel"/>
    <w:tmpl w:val="8DA0C276"/>
    <w:lvl w:ilvl="0" w:tplc="95BA7BB2">
      <w:start w:val="1"/>
      <w:numFmt w:val="bullet"/>
      <w:lvlText w:val="•"/>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407E2"/>
    <w:multiLevelType w:val="multilevel"/>
    <w:tmpl w:val="C5329616"/>
    <w:lvl w:ilvl="0">
      <w:start w:val="5"/>
      <w:numFmt w:val="decimal"/>
      <w:lvlText w:val="%1"/>
      <w:lvlJc w:val="left"/>
      <w:pPr>
        <w:ind w:left="1038" w:hanging="720"/>
      </w:pPr>
      <w:rPr>
        <w:rFonts w:hint="default"/>
        <w:lang w:val="en-US" w:eastAsia="en-US" w:bidi="ar-SA"/>
      </w:rPr>
    </w:lvl>
    <w:lvl w:ilvl="1">
      <w:start w:val="1"/>
      <w:numFmt w:val="decimal"/>
      <w:lvlText w:val="%1.%2"/>
      <w:lvlJc w:val="left"/>
      <w:pPr>
        <w:ind w:left="1038" w:hanging="720"/>
      </w:pPr>
      <w:rPr>
        <w:rFonts w:ascii="Arial" w:eastAsia="Arial" w:hAnsi="Arial" w:cs="Arial" w:hint="default"/>
        <w:spacing w:val="-4"/>
        <w:w w:val="99"/>
        <w:sz w:val="24"/>
        <w:szCs w:val="24"/>
        <w:lang w:val="en-US" w:eastAsia="en-US" w:bidi="ar-SA"/>
      </w:rPr>
    </w:lvl>
    <w:lvl w:ilvl="2">
      <w:start w:val="1"/>
      <w:numFmt w:val="bullet"/>
      <w:lvlText w:val=""/>
      <w:lvlJc w:val="left"/>
      <w:pPr>
        <w:ind w:left="1398" w:hanging="360"/>
      </w:pPr>
      <w:rPr>
        <w:rFonts w:ascii="Symbol" w:hAnsi="Symbol" w:hint="default"/>
      </w:rPr>
    </w:lvl>
    <w:lvl w:ilvl="3">
      <w:numFmt w:val="bullet"/>
      <w:lvlText w:val="•"/>
      <w:lvlJc w:val="left"/>
      <w:pPr>
        <w:ind w:left="3646" w:hanging="699"/>
      </w:pPr>
      <w:rPr>
        <w:rFonts w:hint="default"/>
        <w:lang w:val="en-US" w:eastAsia="en-US" w:bidi="ar-SA"/>
      </w:rPr>
    </w:lvl>
    <w:lvl w:ilvl="4">
      <w:numFmt w:val="bullet"/>
      <w:lvlText w:val="•"/>
      <w:lvlJc w:val="left"/>
      <w:pPr>
        <w:ind w:left="4599" w:hanging="699"/>
      </w:pPr>
      <w:rPr>
        <w:rFonts w:hint="default"/>
        <w:lang w:val="en-US" w:eastAsia="en-US" w:bidi="ar-SA"/>
      </w:rPr>
    </w:lvl>
    <w:lvl w:ilvl="5">
      <w:numFmt w:val="bullet"/>
      <w:lvlText w:val="•"/>
      <w:lvlJc w:val="left"/>
      <w:pPr>
        <w:ind w:left="5552" w:hanging="699"/>
      </w:pPr>
      <w:rPr>
        <w:rFonts w:hint="default"/>
        <w:lang w:val="en-US" w:eastAsia="en-US" w:bidi="ar-SA"/>
      </w:rPr>
    </w:lvl>
    <w:lvl w:ilvl="6">
      <w:numFmt w:val="bullet"/>
      <w:lvlText w:val="•"/>
      <w:lvlJc w:val="left"/>
      <w:pPr>
        <w:ind w:left="6506" w:hanging="699"/>
      </w:pPr>
      <w:rPr>
        <w:rFonts w:hint="default"/>
        <w:lang w:val="en-US" w:eastAsia="en-US" w:bidi="ar-SA"/>
      </w:rPr>
    </w:lvl>
    <w:lvl w:ilvl="7">
      <w:numFmt w:val="bullet"/>
      <w:lvlText w:val="•"/>
      <w:lvlJc w:val="left"/>
      <w:pPr>
        <w:ind w:left="7459" w:hanging="699"/>
      </w:pPr>
      <w:rPr>
        <w:rFonts w:hint="default"/>
        <w:lang w:val="en-US" w:eastAsia="en-US" w:bidi="ar-SA"/>
      </w:rPr>
    </w:lvl>
    <w:lvl w:ilvl="8">
      <w:numFmt w:val="bullet"/>
      <w:lvlText w:val="•"/>
      <w:lvlJc w:val="left"/>
      <w:pPr>
        <w:ind w:left="8412" w:hanging="699"/>
      </w:pPr>
      <w:rPr>
        <w:rFonts w:hint="default"/>
        <w:lang w:val="en-US" w:eastAsia="en-US" w:bidi="ar-SA"/>
      </w:rPr>
    </w:lvl>
  </w:abstractNum>
  <w:abstractNum w:abstractNumId="7" w15:restartNumberingAfterBreak="0">
    <w:nsid w:val="25992B3A"/>
    <w:multiLevelType w:val="hybridMultilevel"/>
    <w:tmpl w:val="0C42C590"/>
    <w:lvl w:ilvl="0" w:tplc="95BA7BB2">
      <w:start w:val="1"/>
      <w:numFmt w:val="bullet"/>
      <w:lvlText w:val="•"/>
      <w:lvlJc w:val="left"/>
      <w:pPr>
        <w:ind w:left="769" w:hanging="360"/>
      </w:pPr>
      <w:rPr>
        <w:rFonts w:ascii="Times New Roman" w:hAnsi="Times New Roman" w:cs="Times New Roman"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8" w15:restartNumberingAfterBreak="0">
    <w:nsid w:val="269731C6"/>
    <w:multiLevelType w:val="hybridMultilevel"/>
    <w:tmpl w:val="5D7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9403C"/>
    <w:multiLevelType w:val="hybridMultilevel"/>
    <w:tmpl w:val="E5CA2BA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D4239"/>
    <w:multiLevelType w:val="hybridMultilevel"/>
    <w:tmpl w:val="D7A2156A"/>
    <w:lvl w:ilvl="0" w:tplc="0B3658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77E2BF8"/>
    <w:multiLevelType w:val="hybridMultilevel"/>
    <w:tmpl w:val="2916AA20"/>
    <w:lvl w:ilvl="0" w:tplc="95BA7B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AD28F6"/>
    <w:multiLevelType w:val="hybridMultilevel"/>
    <w:tmpl w:val="9490FAA6"/>
    <w:lvl w:ilvl="0" w:tplc="907EB7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0606C4"/>
    <w:multiLevelType w:val="hybridMultilevel"/>
    <w:tmpl w:val="54B6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539EC"/>
    <w:multiLevelType w:val="hybridMultilevel"/>
    <w:tmpl w:val="91F25F96"/>
    <w:lvl w:ilvl="0" w:tplc="24624F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77E14"/>
    <w:multiLevelType w:val="hybridMultilevel"/>
    <w:tmpl w:val="34C4AA7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21CC7"/>
    <w:multiLevelType w:val="hybridMultilevel"/>
    <w:tmpl w:val="14D0DDB0"/>
    <w:lvl w:ilvl="0" w:tplc="D16837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B07309"/>
    <w:multiLevelType w:val="hybridMultilevel"/>
    <w:tmpl w:val="BE926912"/>
    <w:lvl w:ilvl="0" w:tplc="707823F6">
      <w:start w:val="1"/>
      <w:numFmt w:val="lowerRoman"/>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8" w15:restartNumberingAfterBreak="0">
    <w:nsid w:val="5B656A19"/>
    <w:multiLevelType w:val="hybridMultilevel"/>
    <w:tmpl w:val="B746807C"/>
    <w:lvl w:ilvl="0" w:tplc="A0D8F2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AE7A84"/>
    <w:multiLevelType w:val="hybridMultilevel"/>
    <w:tmpl w:val="C980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843D0"/>
    <w:multiLevelType w:val="hybridMultilevel"/>
    <w:tmpl w:val="8C96E44A"/>
    <w:lvl w:ilvl="0" w:tplc="68D64578">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93627"/>
    <w:multiLevelType w:val="hybridMultilevel"/>
    <w:tmpl w:val="6D6E70A0"/>
    <w:lvl w:ilvl="0" w:tplc="95BA7BB2">
      <w:start w:val="1"/>
      <w:numFmt w:val="bullet"/>
      <w:lvlText w:val="•"/>
      <w:lvlJc w:val="left"/>
      <w:pPr>
        <w:ind w:left="769" w:hanging="360"/>
      </w:pPr>
      <w:rPr>
        <w:rFonts w:ascii="Times New Roman" w:hAnsi="Times New Roman" w:cs="Times New Roman"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2" w15:restartNumberingAfterBreak="0">
    <w:nsid w:val="65066CB4"/>
    <w:multiLevelType w:val="hybridMultilevel"/>
    <w:tmpl w:val="F2985888"/>
    <w:lvl w:ilvl="0" w:tplc="EF6CB96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E70FC6"/>
    <w:multiLevelType w:val="hybridMultilevel"/>
    <w:tmpl w:val="BAF86B9E"/>
    <w:lvl w:ilvl="0" w:tplc="95BA7BB2">
      <w:start w:val="1"/>
      <w:numFmt w:val="bullet"/>
      <w:lvlText w:val="•"/>
      <w:lvlJc w:val="left"/>
      <w:pPr>
        <w:ind w:left="1193" w:hanging="360"/>
      </w:pPr>
      <w:rPr>
        <w:rFonts w:ascii="Times New Roman" w:hAnsi="Times New Roman" w:cs="Times New Roman"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4" w15:restartNumberingAfterBreak="0">
    <w:nsid w:val="67196A74"/>
    <w:multiLevelType w:val="hybridMultilevel"/>
    <w:tmpl w:val="DC1CA19E"/>
    <w:lvl w:ilvl="0" w:tplc="707823F6">
      <w:start w:val="1"/>
      <w:numFmt w:val="lowerRoman"/>
      <w:lvlText w:val="(%1)"/>
      <w:lvlJc w:val="left"/>
      <w:pPr>
        <w:ind w:left="822" w:hanging="360"/>
      </w:pPr>
      <w:rPr>
        <w:rFonts w:hint="default"/>
      </w:rPr>
    </w:lvl>
    <w:lvl w:ilvl="1" w:tplc="D2102F2A">
      <w:start w:val="1"/>
      <w:numFmt w:val="lowerLetter"/>
      <w:lvlText w:val="(%2)"/>
      <w:lvlJc w:val="left"/>
      <w:pPr>
        <w:ind w:left="1617" w:hanging="435"/>
      </w:pPr>
      <w:rPr>
        <w:rFonts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69CC0A13"/>
    <w:multiLevelType w:val="hybridMultilevel"/>
    <w:tmpl w:val="4BF43EE4"/>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F2ABB"/>
    <w:multiLevelType w:val="hybridMultilevel"/>
    <w:tmpl w:val="0A70CB1E"/>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0391B"/>
    <w:multiLevelType w:val="hybridMultilevel"/>
    <w:tmpl w:val="17A0ACCA"/>
    <w:lvl w:ilvl="0" w:tplc="707823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45B1C"/>
    <w:multiLevelType w:val="hybridMultilevel"/>
    <w:tmpl w:val="18EA3342"/>
    <w:lvl w:ilvl="0" w:tplc="FBE065D6">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2509D"/>
    <w:multiLevelType w:val="hybridMultilevel"/>
    <w:tmpl w:val="BFE2D686"/>
    <w:lvl w:ilvl="0" w:tplc="1A7E9BD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78356451"/>
    <w:multiLevelType w:val="hybridMultilevel"/>
    <w:tmpl w:val="90B28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E525C"/>
    <w:multiLevelType w:val="hybridMultilevel"/>
    <w:tmpl w:val="9B768E3C"/>
    <w:lvl w:ilvl="0" w:tplc="298647B4">
      <w:start w:val="1"/>
      <w:numFmt w:val="upperLetter"/>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62E28"/>
    <w:multiLevelType w:val="hybridMultilevel"/>
    <w:tmpl w:val="9D72A560"/>
    <w:lvl w:ilvl="0" w:tplc="707823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246265">
    <w:abstractNumId w:val="8"/>
  </w:num>
  <w:num w:numId="2" w16cid:durableId="972559177">
    <w:abstractNumId w:val="30"/>
  </w:num>
  <w:num w:numId="3" w16cid:durableId="691568512">
    <w:abstractNumId w:val="1"/>
  </w:num>
  <w:num w:numId="4" w16cid:durableId="158160115">
    <w:abstractNumId w:val="20"/>
  </w:num>
  <w:num w:numId="5" w16cid:durableId="1929003126">
    <w:abstractNumId w:val="32"/>
  </w:num>
  <w:num w:numId="6" w16cid:durableId="1760714361">
    <w:abstractNumId w:val="13"/>
  </w:num>
  <w:num w:numId="7" w16cid:durableId="1704288894">
    <w:abstractNumId w:val="22"/>
  </w:num>
  <w:num w:numId="8" w16cid:durableId="754518313">
    <w:abstractNumId w:val="12"/>
  </w:num>
  <w:num w:numId="9" w16cid:durableId="1407071498">
    <w:abstractNumId w:val="18"/>
  </w:num>
  <w:num w:numId="10" w16cid:durableId="1604610492">
    <w:abstractNumId w:val="16"/>
  </w:num>
  <w:num w:numId="11" w16cid:durableId="1766266766">
    <w:abstractNumId w:val="14"/>
  </w:num>
  <w:num w:numId="12" w16cid:durableId="676738136">
    <w:abstractNumId w:val="19"/>
  </w:num>
  <w:num w:numId="13" w16cid:durableId="1689916085">
    <w:abstractNumId w:val="29"/>
  </w:num>
  <w:num w:numId="14" w16cid:durableId="357203807">
    <w:abstractNumId w:val="28"/>
  </w:num>
  <w:num w:numId="15" w16cid:durableId="1648128888">
    <w:abstractNumId w:val="24"/>
  </w:num>
  <w:num w:numId="16" w16cid:durableId="1176071666">
    <w:abstractNumId w:val="10"/>
  </w:num>
  <w:num w:numId="17" w16cid:durableId="230236462">
    <w:abstractNumId w:val="0"/>
  </w:num>
  <w:num w:numId="18" w16cid:durableId="1926186633">
    <w:abstractNumId w:val="27"/>
  </w:num>
  <w:num w:numId="19" w16cid:durableId="42876896">
    <w:abstractNumId w:val="33"/>
  </w:num>
  <w:num w:numId="20" w16cid:durableId="1321930413">
    <w:abstractNumId w:val="4"/>
  </w:num>
  <w:num w:numId="21" w16cid:durableId="542062432">
    <w:abstractNumId w:val="3"/>
  </w:num>
  <w:num w:numId="22" w16cid:durableId="2113743159">
    <w:abstractNumId w:val="21"/>
  </w:num>
  <w:num w:numId="23" w16cid:durableId="787118774">
    <w:abstractNumId w:val="17"/>
  </w:num>
  <w:num w:numId="24" w16cid:durableId="855314815">
    <w:abstractNumId w:val="9"/>
  </w:num>
  <w:num w:numId="25" w16cid:durableId="1492718821">
    <w:abstractNumId w:val="11"/>
  </w:num>
  <w:num w:numId="26" w16cid:durableId="787629440">
    <w:abstractNumId w:val="31"/>
  </w:num>
  <w:num w:numId="27" w16cid:durableId="1236235203">
    <w:abstractNumId w:val="23"/>
  </w:num>
  <w:num w:numId="28" w16cid:durableId="1406537799">
    <w:abstractNumId w:val="26"/>
  </w:num>
  <w:num w:numId="29" w16cid:durableId="897516031">
    <w:abstractNumId w:val="2"/>
  </w:num>
  <w:num w:numId="30" w16cid:durableId="1005323452">
    <w:abstractNumId w:val="7"/>
  </w:num>
  <w:num w:numId="31" w16cid:durableId="1804350499">
    <w:abstractNumId w:val="25"/>
  </w:num>
  <w:num w:numId="32" w16cid:durableId="2067609242">
    <w:abstractNumId w:val="5"/>
  </w:num>
  <w:num w:numId="33" w16cid:durableId="192614057">
    <w:abstractNumId w:val="6"/>
  </w:num>
  <w:num w:numId="34" w16cid:durableId="1935623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zM3MTAysDQzMjVR0lEKTi0uzszPAykwqgUANdk1zSwAAAA="/>
  </w:docVars>
  <w:rsids>
    <w:rsidRoot w:val="00A13F4A"/>
    <w:rsid w:val="000033F7"/>
    <w:rsid w:val="00007DFA"/>
    <w:rsid w:val="00017C43"/>
    <w:rsid w:val="00030336"/>
    <w:rsid w:val="00031DD9"/>
    <w:rsid w:val="00032608"/>
    <w:rsid w:val="000328CF"/>
    <w:rsid w:val="0003791B"/>
    <w:rsid w:val="0005255C"/>
    <w:rsid w:val="00092176"/>
    <w:rsid w:val="00097434"/>
    <w:rsid w:val="000A203F"/>
    <w:rsid w:val="000A22F8"/>
    <w:rsid w:val="000C398F"/>
    <w:rsid w:val="000C65E8"/>
    <w:rsid w:val="000D6C02"/>
    <w:rsid w:val="000E63AE"/>
    <w:rsid w:val="001002FB"/>
    <w:rsid w:val="00101684"/>
    <w:rsid w:val="00106C6D"/>
    <w:rsid w:val="001137BA"/>
    <w:rsid w:val="00115633"/>
    <w:rsid w:val="00120852"/>
    <w:rsid w:val="001211F7"/>
    <w:rsid w:val="001464D2"/>
    <w:rsid w:val="00150C17"/>
    <w:rsid w:val="00156760"/>
    <w:rsid w:val="0017348E"/>
    <w:rsid w:val="00173E42"/>
    <w:rsid w:val="00180AC7"/>
    <w:rsid w:val="00183084"/>
    <w:rsid w:val="00185486"/>
    <w:rsid w:val="00193329"/>
    <w:rsid w:val="00195123"/>
    <w:rsid w:val="001A20BD"/>
    <w:rsid w:val="001A56AD"/>
    <w:rsid w:val="001A6EC4"/>
    <w:rsid w:val="001A796E"/>
    <w:rsid w:val="001C08B9"/>
    <w:rsid w:val="001C1D8A"/>
    <w:rsid w:val="001C44B0"/>
    <w:rsid w:val="001C7528"/>
    <w:rsid w:val="001C7983"/>
    <w:rsid w:val="001D7DBB"/>
    <w:rsid w:val="001F00CD"/>
    <w:rsid w:val="00201A0B"/>
    <w:rsid w:val="00203ED5"/>
    <w:rsid w:val="00210A38"/>
    <w:rsid w:val="002112A5"/>
    <w:rsid w:val="00216BDA"/>
    <w:rsid w:val="00227DE5"/>
    <w:rsid w:val="0023767C"/>
    <w:rsid w:val="00244666"/>
    <w:rsid w:val="0024676E"/>
    <w:rsid w:val="002500E9"/>
    <w:rsid w:val="00260838"/>
    <w:rsid w:val="00260C5E"/>
    <w:rsid w:val="00262107"/>
    <w:rsid w:val="00290273"/>
    <w:rsid w:val="00296023"/>
    <w:rsid w:val="002A3BE4"/>
    <w:rsid w:val="002B1667"/>
    <w:rsid w:val="002B3E02"/>
    <w:rsid w:val="002D503E"/>
    <w:rsid w:val="002E0A84"/>
    <w:rsid w:val="002E245D"/>
    <w:rsid w:val="002E4002"/>
    <w:rsid w:val="002E7E6B"/>
    <w:rsid w:val="002F06ED"/>
    <w:rsid w:val="002F0A19"/>
    <w:rsid w:val="002F4FD7"/>
    <w:rsid w:val="00304DEB"/>
    <w:rsid w:val="00307D51"/>
    <w:rsid w:val="00335373"/>
    <w:rsid w:val="00350AF9"/>
    <w:rsid w:val="00350FA0"/>
    <w:rsid w:val="0035785F"/>
    <w:rsid w:val="00357F0A"/>
    <w:rsid w:val="00364B96"/>
    <w:rsid w:val="00367282"/>
    <w:rsid w:val="00370914"/>
    <w:rsid w:val="0037399B"/>
    <w:rsid w:val="0039618D"/>
    <w:rsid w:val="003972D1"/>
    <w:rsid w:val="003B0184"/>
    <w:rsid w:val="003B69A6"/>
    <w:rsid w:val="003B76A2"/>
    <w:rsid w:val="003C4997"/>
    <w:rsid w:val="003C6A73"/>
    <w:rsid w:val="003D1894"/>
    <w:rsid w:val="003D4D25"/>
    <w:rsid w:val="003E13C0"/>
    <w:rsid w:val="003E29A3"/>
    <w:rsid w:val="003E686A"/>
    <w:rsid w:val="003E6BF4"/>
    <w:rsid w:val="003F09D9"/>
    <w:rsid w:val="00403281"/>
    <w:rsid w:val="00411583"/>
    <w:rsid w:val="00416EC1"/>
    <w:rsid w:val="004176C6"/>
    <w:rsid w:val="00424D28"/>
    <w:rsid w:val="00425A6D"/>
    <w:rsid w:val="004354A6"/>
    <w:rsid w:val="00443BF0"/>
    <w:rsid w:val="00451901"/>
    <w:rsid w:val="00460B04"/>
    <w:rsid w:val="00472691"/>
    <w:rsid w:val="00477EA2"/>
    <w:rsid w:val="00485E45"/>
    <w:rsid w:val="004903B6"/>
    <w:rsid w:val="00490707"/>
    <w:rsid w:val="00490B22"/>
    <w:rsid w:val="004A0EAA"/>
    <w:rsid w:val="004A37E2"/>
    <w:rsid w:val="004B1EB2"/>
    <w:rsid w:val="004B47B7"/>
    <w:rsid w:val="004B4C46"/>
    <w:rsid w:val="004B5C42"/>
    <w:rsid w:val="004B7C89"/>
    <w:rsid w:val="004E1B05"/>
    <w:rsid w:val="004F5B33"/>
    <w:rsid w:val="004F7537"/>
    <w:rsid w:val="005020CB"/>
    <w:rsid w:val="00504BF9"/>
    <w:rsid w:val="00510B96"/>
    <w:rsid w:val="00513604"/>
    <w:rsid w:val="00513B74"/>
    <w:rsid w:val="005226A3"/>
    <w:rsid w:val="005236F3"/>
    <w:rsid w:val="00527E37"/>
    <w:rsid w:val="0053061A"/>
    <w:rsid w:val="005320C5"/>
    <w:rsid w:val="00533E5C"/>
    <w:rsid w:val="00540F31"/>
    <w:rsid w:val="005557AF"/>
    <w:rsid w:val="00557CE4"/>
    <w:rsid w:val="0057619A"/>
    <w:rsid w:val="0059513B"/>
    <w:rsid w:val="005A09A3"/>
    <w:rsid w:val="005A0E49"/>
    <w:rsid w:val="005A1C3E"/>
    <w:rsid w:val="005B5A20"/>
    <w:rsid w:val="005C7644"/>
    <w:rsid w:val="005D5334"/>
    <w:rsid w:val="005E52A8"/>
    <w:rsid w:val="005F307E"/>
    <w:rsid w:val="005F5808"/>
    <w:rsid w:val="00605596"/>
    <w:rsid w:val="0061192B"/>
    <w:rsid w:val="00612DCB"/>
    <w:rsid w:val="00634774"/>
    <w:rsid w:val="00654AD0"/>
    <w:rsid w:val="00665BF5"/>
    <w:rsid w:val="00667CAC"/>
    <w:rsid w:val="00667D68"/>
    <w:rsid w:val="006725F8"/>
    <w:rsid w:val="00680AEE"/>
    <w:rsid w:val="00680FC5"/>
    <w:rsid w:val="006936D1"/>
    <w:rsid w:val="006B03BC"/>
    <w:rsid w:val="006B4291"/>
    <w:rsid w:val="006D1E5E"/>
    <w:rsid w:val="006D53E2"/>
    <w:rsid w:val="006E2774"/>
    <w:rsid w:val="006F17BA"/>
    <w:rsid w:val="006F334B"/>
    <w:rsid w:val="006F7E3C"/>
    <w:rsid w:val="00704421"/>
    <w:rsid w:val="00706A7E"/>
    <w:rsid w:val="00707574"/>
    <w:rsid w:val="00710D29"/>
    <w:rsid w:val="00712D29"/>
    <w:rsid w:val="007164ED"/>
    <w:rsid w:val="007227E1"/>
    <w:rsid w:val="00724568"/>
    <w:rsid w:val="007308BF"/>
    <w:rsid w:val="007317F3"/>
    <w:rsid w:val="00747EA8"/>
    <w:rsid w:val="00752AB0"/>
    <w:rsid w:val="007558EB"/>
    <w:rsid w:val="007665B0"/>
    <w:rsid w:val="00777DA3"/>
    <w:rsid w:val="00782986"/>
    <w:rsid w:val="00782C04"/>
    <w:rsid w:val="0079175E"/>
    <w:rsid w:val="007B0942"/>
    <w:rsid w:val="007D7548"/>
    <w:rsid w:val="007E39A6"/>
    <w:rsid w:val="007E5B0F"/>
    <w:rsid w:val="007F3C3E"/>
    <w:rsid w:val="007F3D9C"/>
    <w:rsid w:val="00800261"/>
    <w:rsid w:val="00810A16"/>
    <w:rsid w:val="00811CA9"/>
    <w:rsid w:val="00814064"/>
    <w:rsid w:val="00822F31"/>
    <w:rsid w:val="00826D89"/>
    <w:rsid w:val="008279DA"/>
    <w:rsid w:val="00830904"/>
    <w:rsid w:val="008432BC"/>
    <w:rsid w:val="008441E4"/>
    <w:rsid w:val="00846279"/>
    <w:rsid w:val="008500C2"/>
    <w:rsid w:val="008510B5"/>
    <w:rsid w:val="00851CE3"/>
    <w:rsid w:val="00852259"/>
    <w:rsid w:val="0085225F"/>
    <w:rsid w:val="00857BCD"/>
    <w:rsid w:val="00862EC4"/>
    <w:rsid w:val="008800A1"/>
    <w:rsid w:val="00891185"/>
    <w:rsid w:val="008A1F6F"/>
    <w:rsid w:val="008A630A"/>
    <w:rsid w:val="008B4FBC"/>
    <w:rsid w:val="008C05E9"/>
    <w:rsid w:val="008C3F2B"/>
    <w:rsid w:val="008D195C"/>
    <w:rsid w:val="008D7B3A"/>
    <w:rsid w:val="008E00B5"/>
    <w:rsid w:val="008E0835"/>
    <w:rsid w:val="008E310A"/>
    <w:rsid w:val="008E54F8"/>
    <w:rsid w:val="008F069A"/>
    <w:rsid w:val="0090149B"/>
    <w:rsid w:val="009024EA"/>
    <w:rsid w:val="00903F8C"/>
    <w:rsid w:val="009260B2"/>
    <w:rsid w:val="00936BD8"/>
    <w:rsid w:val="009428DB"/>
    <w:rsid w:val="00950151"/>
    <w:rsid w:val="00950AE9"/>
    <w:rsid w:val="00953CA1"/>
    <w:rsid w:val="0096058E"/>
    <w:rsid w:val="009628B6"/>
    <w:rsid w:val="00970B89"/>
    <w:rsid w:val="0098425E"/>
    <w:rsid w:val="009858E0"/>
    <w:rsid w:val="0098777C"/>
    <w:rsid w:val="0099465A"/>
    <w:rsid w:val="00996530"/>
    <w:rsid w:val="009A4AB5"/>
    <w:rsid w:val="009C5D4F"/>
    <w:rsid w:val="009C7382"/>
    <w:rsid w:val="009F0A89"/>
    <w:rsid w:val="009F1B50"/>
    <w:rsid w:val="00A009BE"/>
    <w:rsid w:val="00A04C3D"/>
    <w:rsid w:val="00A076F8"/>
    <w:rsid w:val="00A13F4A"/>
    <w:rsid w:val="00A147EE"/>
    <w:rsid w:val="00A15526"/>
    <w:rsid w:val="00A30DBD"/>
    <w:rsid w:val="00A36C4E"/>
    <w:rsid w:val="00A36F2A"/>
    <w:rsid w:val="00A37CB0"/>
    <w:rsid w:val="00A43EB2"/>
    <w:rsid w:val="00A522E6"/>
    <w:rsid w:val="00A6089A"/>
    <w:rsid w:val="00A811D2"/>
    <w:rsid w:val="00A81D0A"/>
    <w:rsid w:val="00A858E6"/>
    <w:rsid w:val="00A86492"/>
    <w:rsid w:val="00A91464"/>
    <w:rsid w:val="00A9316C"/>
    <w:rsid w:val="00A93D17"/>
    <w:rsid w:val="00AA1626"/>
    <w:rsid w:val="00AA1A92"/>
    <w:rsid w:val="00AB5037"/>
    <w:rsid w:val="00AC05CD"/>
    <w:rsid w:val="00AC06D3"/>
    <w:rsid w:val="00AC7981"/>
    <w:rsid w:val="00AD04F5"/>
    <w:rsid w:val="00AD475D"/>
    <w:rsid w:val="00AE25E5"/>
    <w:rsid w:val="00AE5CBD"/>
    <w:rsid w:val="00AF153C"/>
    <w:rsid w:val="00AF7FB2"/>
    <w:rsid w:val="00B021F8"/>
    <w:rsid w:val="00B106D8"/>
    <w:rsid w:val="00B1088B"/>
    <w:rsid w:val="00B17B0E"/>
    <w:rsid w:val="00B362ED"/>
    <w:rsid w:val="00B41A4F"/>
    <w:rsid w:val="00B53002"/>
    <w:rsid w:val="00B56879"/>
    <w:rsid w:val="00B600E9"/>
    <w:rsid w:val="00B6620F"/>
    <w:rsid w:val="00B673A7"/>
    <w:rsid w:val="00B701F5"/>
    <w:rsid w:val="00B75385"/>
    <w:rsid w:val="00B81C84"/>
    <w:rsid w:val="00B81F83"/>
    <w:rsid w:val="00B8250B"/>
    <w:rsid w:val="00B873A8"/>
    <w:rsid w:val="00B951D6"/>
    <w:rsid w:val="00B9753E"/>
    <w:rsid w:val="00BA0006"/>
    <w:rsid w:val="00BA0BD5"/>
    <w:rsid w:val="00BA1B2F"/>
    <w:rsid w:val="00BB4682"/>
    <w:rsid w:val="00BB5894"/>
    <w:rsid w:val="00BC1D8F"/>
    <w:rsid w:val="00BC27E3"/>
    <w:rsid w:val="00BD1E16"/>
    <w:rsid w:val="00BF634C"/>
    <w:rsid w:val="00C04484"/>
    <w:rsid w:val="00C0786A"/>
    <w:rsid w:val="00C11D08"/>
    <w:rsid w:val="00C13C4D"/>
    <w:rsid w:val="00C20466"/>
    <w:rsid w:val="00C40D85"/>
    <w:rsid w:val="00C42770"/>
    <w:rsid w:val="00C53F4F"/>
    <w:rsid w:val="00C54D00"/>
    <w:rsid w:val="00C61B65"/>
    <w:rsid w:val="00C66D91"/>
    <w:rsid w:val="00C737FB"/>
    <w:rsid w:val="00C81611"/>
    <w:rsid w:val="00C81ACA"/>
    <w:rsid w:val="00C839F2"/>
    <w:rsid w:val="00C855B2"/>
    <w:rsid w:val="00C872B7"/>
    <w:rsid w:val="00C87614"/>
    <w:rsid w:val="00C91161"/>
    <w:rsid w:val="00C91876"/>
    <w:rsid w:val="00C97458"/>
    <w:rsid w:val="00CB094E"/>
    <w:rsid w:val="00CB1748"/>
    <w:rsid w:val="00CC55E9"/>
    <w:rsid w:val="00CD00A2"/>
    <w:rsid w:val="00CD2EB9"/>
    <w:rsid w:val="00CE0437"/>
    <w:rsid w:val="00CF1006"/>
    <w:rsid w:val="00D00DC9"/>
    <w:rsid w:val="00D02372"/>
    <w:rsid w:val="00D02510"/>
    <w:rsid w:val="00D0331C"/>
    <w:rsid w:val="00D03DC3"/>
    <w:rsid w:val="00D060D6"/>
    <w:rsid w:val="00D124EA"/>
    <w:rsid w:val="00D143A1"/>
    <w:rsid w:val="00D1562D"/>
    <w:rsid w:val="00D217CC"/>
    <w:rsid w:val="00D22969"/>
    <w:rsid w:val="00D23666"/>
    <w:rsid w:val="00D26079"/>
    <w:rsid w:val="00D278B1"/>
    <w:rsid w:val="00D31B84"/>
    <w:rsid w:val="00D37279"/>
    <w:rsid w:val="00D37690"/>
    <w:rsid w:val="00D462CB"/>
    <w:rsid w:val="00D479CC"/>
    <w:rsid w:val="00D50FD1"/>
    <w:rsid w:val="00D81D79"/>
    <w:rsid w:val="00D86E65"/>
    <w:rsid w:val="00D93046"/>
    <w:rsid w:val="00DA5936"/>
    <w:rsid w:val="00DA7FFA"/>
    <w:rsid w:val="00DB5E3C"/>
    <w:rsid w:val="00DC1183"/>
    <w:rsid w:val="00DC5F66"/>
    <w:rsid w:val="00DD1A31"/>
    <w:rsid w:val="00DE5C50"/>
    <w:rsid w:val="00E00704"/>
    <w:rsid w:val="00E049FD"/>
    <w:rsid w:val="00E05543"/>
    <w:rsid w:val="00E16BD9"/>
    <w:rsid w:val="00E23460"/>
    <w:rsid w:val="00E27B33"/>
    <w:rsid w:val="00E31A3F"/>
    <w:rsid w:val="00E420C6"/>
    <w:rsid w:val="00E52306"/>
    <w:rsid w:val="00E53749"/>
    <w:rsid w:val="00E637A5"/>
    <w:rsid w:val="00E94FB8"/>
    <w:rsid w:val="00EA5A79"/>
    <w:rsid w:val="00EB37C7"/>
    <w:rsid w:val="00EC2D61"/>
    <w:rsid w:val="00EC3EC2"/>
    <w:rsid w:val="00EC41EA"/>
    <w:rsid w:val="00EC56FD"/>
    <w:rsid w:val="00ED6826"/>
    <w:rsid w:val="00EE3250"/>
    <w:rsid w:val="00EF1ED1"/>
    <w:rsid w:val="00EF27BB"/>
    <w:rsid w:val="00EF3836"/>
    <w:rsid w:val="00EF39CA"/>
    <w:rsid w:val="00EF6066"/>
    <w:rsid w:val="00EF7AAC"/>
    <w:rsid w:val="00F03621"/>
    <w:rsid w:val="00F21C9E"/>
    <w:rsid w:val="00F24E7F"/>
    <w:rsid w:val="00F41FCB"/>
    <w:rsid w:val="00F4290D"/>
    <w:rsid w:val="00F536F1"/>
    <w:rsid w:val="00F57F71"/>
    <w:rsid w:val="00F6299D"/>
    <w:rsid w:val="00F6451C"/>
    <w:rsid w:val="00F65971"/>
    <w:rsid w:val="00F66DFA"/>
    <w:rsid w:val="00F676F2"/>
    <w:rsid w:val="00F700D1"/>
    <w:rsid w:val="00F74321"/>
    <w:rsid w:val="00F753F3"/>
    <w:rsid w:val="00F85F7D"/>
    <w:rsid w:val="00F91BA3"/>
    <w:rsid w:val="00FA7BC7"/>
    <w:rsid w:val="00FC112A"/>
    <w:rsid w:val="00FD674E"/>
    <w:rsid w:val="00FE1A1A"/>
    <w:rsid w:val="00FE2903"/>
    <w:rsid w:val="00FF1182"/>
    <w:rsid w:val="00FF1804"/>
    <w:rsid w:val="00FF30A1"/>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09E4"/>
  <w15:chartTrackingRefBased/>
  <w15:docId w15:val="{DEFBF45A-B3DA-4BE9-A6AF-30BBE2BB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2FB"/>
    <w:rPr>
      <w:color w:val="0563C1" w:themeColor="hyperlink"/>
      <w:u w:val="single"/>
    </w:rPr>
  </w:style>
  <w:style w:type="paragraph" w:styleId="a4">
    <w:name w:val="List Paragraph"/>
    <w:basedOn w:val="a"/>
    <w:uiPriority w:val="34"/>
    <w:qFormat/>
    <w:rsid w:val="001C7528"/>
    <w:pPr>
      <w:ind w:left="720"/>
      <w:contextualSpacing/>
    </w:pPr>
  </w:style>
  <w:style w:type="paragraph" w:styleId="a5">
    <w:name w:val="footnote text"/>
    <w:basedOn w:val="a"/>
    <w:link w:val="a6"/>
    <w:uiPriority w:val="99"/>
    <w:semiHidden/>
    <w:unhideWhenUsed/>
    <w:rsid w:val="008D7B3A"/>
    <w:pPr>
      <w:spacing w:after="0" w:line="240" w:lineRule="auto"/>
    </w:pPr>
    <w:rPr>
      <w:sz w:val="20"/>
      <w:szCs w:val="20"/>
    </w:rPr>
  </w:style>
  <w:style w:type="character" w:customStyle="1" w:styleId="a6">
    <w:name w:val="Текст сноски Знак"/>
    <w:basedOn w:val="a0"/>
    <w:link w:val="a5"/>
    <w:uiPriority w:val="99"/>
    <w:semiHidden/>
    <w:rsid w:val="008D7B3A"/>
    <w:rPr>
      <w:sz w:val="20"/>
      <w:szCs w:val="20"/>
    </w:rPr>
  </w:style>
  <w:style w:type="character" w:styleId="a7">
    <w:name w:val="footnote reference"/>
    <w:basedOn w:val="a0"/>
    <w:uiPriority w:val="99"/>
    <w:semiHidden/>
    <w:unhideWhenUsed/>
    <w:rsid w:val="008D7B3A"/>
    <w:rPr>
      <w:vertAlign w:val="superscript"/>
    </w:rPr>
  </w:style>
  <w:style w:type="paragraph" w:styleId="a8">
    <w:name w:val="Balloon Text"/>
    <w:basedOn w:val="a"/>
    <w:link w:val="a9"/>
    <w:uiPriority w:val="99"/>
    <w:semiHidden/>
    <w:unhideWhenUsed/>
    <w:rsid w:val="00E523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2306"/>
    <w:rPr>
      <w:rFonts w:ascii="Segoe UI" w:hAnsi="Segoe UI" w:cs="Segoe UI"/>
      <w:sz w:val="18"/>
      <w:szCs w:val="18"/>
    </w:rPr>
  </w:style>
  <w:style w:type="character" w:styleId="aa">
    <w:name w:val="FollowedHyperlink"/>
    <w:basedOn w:val="a0"/>
    <w:uiPriority w:val="99"/>
    <w:semiHidden/>
    <w:unhideWhenUsed/>
    <w:rsid w:val="00A86492"/>
    <w:rPr>
      <w:color w:val="954F72" w:themeColor="followedHyperlink"/>
      <w:u w:val="single"/>
    </w:rPr>
  </w:style>
  <w:style w:type="paragraph" w:styleId="ab">
    <w:name w:val="Revision"/>
    <w:hidden/>
    <w:uiPriority w:val="99"/>
    <w:semiHidden/>
    <w:rsid w:val="00F65971"/>
    <w:pPr>
      <w:spacing w:after="0" w:line="240" w:lineRule="auto"/>
    </w:pPr>
  </w:style>
  <w:style w:type="character" w:styleId="ac">
    <w:name w:val="annotation reference"/>
    <w:basedOn w:val="a0"/>
    <w:uiPriority w:val="99"/>
    <w:semiHidden/>
    <w:unhideWhenUsed/>
    <w:rsid w:val="00B53002"/>
    <w:rPr>
      <w:sz w:val="16"/>
      <w:szCs w:val="16"/>
    </w:rPr>
  </w:style>
  <w:style w:type="paragraph" w:styleId="ad">
    <w:name w:val="annotation text"/>
    <w:basedOn w:val="a"/>
    <w:link w:val="ae"/>
    <w:uiPriority w:val="99"/>
    <w:semiHidden/>
    <w:unhideWhenUsed/>
    <w:rsid w:val="00B53002"/>
    <w:pPr>
      <w:spacing w:line="240" w:lineRule="auto"/>
    </w:pPr>
    <w:rPr>
      <w:sz w:val="20"/>
      <w:szCs w:val="20"/>
    </w:rPr>
  </w:style>
  <w:style w:type="character" w:customStyle="1" w:styleId="ae">
    <w:name w:val="Текст примечания Знак"/>
    <w:basedOn w:val="a0"/>
    <w:link w:val="ad"/>
    <w:uiPriority w:val="99"/>
    <w:semiHidden/>
    <w:rsid w:val="00B53002"/>
    <w:rPr>
      <w:sz w:val="20"/>
      <w:szCs w:val="20"/>
    </w:rPr>
  </w:style>
  <w:style w:type="paragraph" w:styleId="af">
    <w:name w:val="annotation subject"/>
    <w:basedOn w:val="ad"/>
    <w:next w:val="ad"/>
    <w:link w:val="af0"/>
    <w:uiPriority w:val="99"/>
    <w:semiHidden/>
    <w:unhideWhenUsed/>
    <w:rsid w:val="00B53002"/>
    <w:rPr>
      <w:b/>
      <w:bCs/>
    </w:rPr>
  </w:style>
  <w:style w:type="character" w:customStyle="1" w:styleId="af0">
    <w:name w:val="Тема примечания Знак"/>
    <w:basedOn w:val="ae"/>
    <w:link w:val="af"/>
    <w:uiPriority w:val="99"/>
    <w:semiHidden/>
    <w:rsid w:val="00B53002"/>
    <w:rPr>
      <w:b/>
      <w:bCs/>
      <w:sz w:val="20"/>
      <w:szCs w:val="20"/>
    </w:rPr>
  </w:style>
  <w:style w:type="paragraph" w:customStyle="1" w:styleId="Disclaimer">
    <w:name w:val="Disclaimer"/>
    <w:basedOn w:val="a"/>
    <w:qFormat/>
    <w:rsid w:val="00BC27E3"/>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rPr>
  </w:style>
  <w:style w:type="paragraph" w:customStyle="1" w:styleId="BlackStrips">
    <w:name w:val="Black Strips"/>
    <w:basedOn w:val="a"/>
    <w:qFormat/>
    <w:rsid w:val="00BC27E3"/>
    <w:pPr>
      <w:shd w:val="clear" w:color="auto" w:fill="000000"/>
      <w:spacing w:after="200" w:line="240" w:lineRule="auto"/>
      <w:jc w:val="center"/>
    </w:pPr>
    <w:rPr>
      <w:rFonts w:eastAsiaTheme="minorHAnsi"/>
      <w:color w:val="FFFFFF"/>
      <w:sz w:val="24"/>
      <w:szCs w:val="24"/>
    </w:rPr>
  </w:style>
  <w:style w:type="paragraph" w:customStyle="1" w:styleId="DisclaimerBold">
    <w:name w:val="Disclaimer Bold"/>
    <w:basedOn w:val="Disclaimer"/>
    <w:qFormat/>
    <w:rsid w:val="00BC27E3"/>
    <w:pPr>
      <w:jc w:val="left"/>
    </w:pPr>
    <w:rPr>
      <w:b/>
    </w:rPr>
  </w:style>
  <w:style w:type="paragraph" w:styleId="af1">
    <w:name w:val="header"/>
    <w:basedOn w:val="a"/>
    <w:link w:val="af2"/>
    <w:uiPriority w:val="99"/>
    <w:unhideWhenUsed/>
    <w:rsid w:val="002500E9"/>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2500E9"/>
  </w:style>
  <w:style w:type="paragraph" w:styleId="af3">
    <w:name w:val="footer"/>
    <w:basedOn w:val="a"/>
    <w:link w:val="af4"/>
    <w:uiPriority w:val="99"/>
    <w:unhideWhenUsed/>
    <w:rsid w:val="002500E9"/>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25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webpage-hong-kong-sfc-finalises-regulation-of-virtual-asset-trading-platforms/" TargetMode="External"/><Relationship Id="rId13"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18" Type="http://schemas.openxmlformats.org/officeDocument/2006/relationships/hyperlink" Target="https://www.charltonslaw.com/hkma-to-adopt-licensing-regime-for-stablecoins-in-2023-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fc.hk/-/media/EN/assets/components/codes/files-current/web/guidelines/SFC-Disciplinary-Fining-Guidelines_Part-5B/230524--SFC-Disciplinary-Fining-Guidelines-Eng.pdf?rev=9a355f946ff74c7892a921ab73461314" TargetMode="External"/><Relationship Id="rId7" Type="http://schemas.openxmlformats.org/officeDocument/2006/relationships/endnotes" Target="endnotes.xml"/><Relationship Id="rId12" Type="http://schemas.openxmlformats.org/officeDocument/2006/relationships/hyperlink" Target="https://www.sfc.hk/-/media/EN/assets/components/codes/files-current/web/guidelines/Guidelines-for-Virtual-Asset-Trading-Platform-Operators/Appendix-B--Guidelines-for-Virtual-Asset-Trading-Platform-Operators-Eng.pdf?rev=8bf2663c890648318cff2a1409ebf88e" TargetMode="External"/><Relationship Id="rId17" Type="http://schemas.openxmlformats.org/officeDocument/2006/relationships/hyperlink" Target="https://www.hkma.gov.hk/media/eng/doc/key-information/press-release/2023/20230131e9a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fc.hk/-/media/EN/assets/components/codes/files-current/web/guidelines/Guidelines-for-Virtual-Asset-Trading-Platform-Operators/Appendix-B--Guidelines-for-Virtual-Asset-Trading-Platform-Operators-Eng.pdf?rev=8bf2663c890648318cff2a1409ebf88e" TargetMode="External"/><Relationship Id="rId20"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hong-kong-licensing-regime-for-virtual-asset-exchanges-to-take-effect-on-1-march-202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fc.hk/-/media/EN/assets/components/codes/files-current/web/guidelines/SFC-Disciplinary-Fining-Guidelines_Part-5B/230524--SFC-Disciplinary-Fining-Guidelines-Eng.pdf?rev=9a355f946ff74c7892a921ab73461314" TargetMode="External"/><Relationship Id="rId23" Type="http://schemas.openxmlformats.org/officeDocument/2006/relationships/hyperlink" Target="mailto:unsubscribe@charltonslaw.com?subject=unsubscribe%20-Hong%20Kong%20Law-" TargetMode="External"/><Relationship Id="rId10" Type="http://schemas.openxmlformats.org/officeDocument/2006/relationships/hyperlink" Target="https://apps.sfc.hk/edistributionWeb/api/consultation/openFile?lang=EN&amp;refNo=23CP1" TargetMode="External"/><Relationship Id="rId19"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4" Type="http://schemas.openxmlformats.org/officeDocument/2006/relationships/settings" Target="settings.xml"/><Relationship Id="rId9" Type="http://schemas.openxmlformats.org/officeDocument/2006/relationships/hyperlink" Target="https://apps.sfc.hk/edistributionWeb/api/consultation/conclusion?lang=EN&amp;refNo=23CP1" TargetMode="External"/><Relationship Id="rId14"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2" Type="http://schemas.openxmlformats.org/officeDocument/2006/relationships/hyperlink" Target="https://www.sfc.hk/-/media/EN/assets/components/codes/files-current/web/guidelines/disciplinary-fining-guidelines/disciplinary-fining-guidelines.pdf?rev=ba7fb3bfe69c47458a7d3fc77cda9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DD25-340A-4D69-9980-103B8053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14</Pages>
  <Words>6706</Words>
  <Characters>38229</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8</cp:revision>
  <cp:lastPrinted>2023-02-25T04:16:00Z</cp:lastPrinted>
  <dcterms:created xsi:type="dcterms:W3CDTF">2023-05-28T22:24:00Z</dcterms:created>
  <dcterms:modified xsi:type="dcterms:W3CDTF">2023-06-02T08:13:00Z</dcterms:modified>
</cp:coreProperties>
</file>