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9D9" w:rsidRPr="008524CA" w:rsidRDefault="00F109D9" w:rsidP="00F109D9">
      <w:pPr>
        <w:shd w:val="clear" w:color="auto" w:fill="000000"/>
        <w:spacing w:after="200"/>
        <w:jc w:val="center"/>
        <w:rPr>
          <w:rFonts w:ascii="Cambria" w:eastAsia="Cambria" w:hAnsi="Cambria" w:cs="Times New Roman"/>
          <w:color w:val="FFFFFF"/>
          <w:sz w:val="24"/>
          <w:szCs w:val="24"/>
        </w:rPr>
      </w:pPr>
      <w:r>
        <w:rPr>
          <w:rFonts w:ascii="Cambria" w:eastAsia="Cambria" w:hAnsi="Cambria" w:cs="Times New Roman"/>
          <w:color w:val="FFFFFF"/>
          <w:sz w:val="24"/>
          <w:szCs w:val="24"/>
        </w:rPr>
        <w:t>Charltons - Hong Kong Law - 1</w:t>
      </w:r>
      <w:r w:rsidR="00661D01">
        <w:rPr>
          <w:rFonts w:ascii="Cambria" w:eastAsia="Cambria" w:hAnsi="Cambria" w:cs="Times New Roman"/>
          <w:color w:val="FFFFFF"/>
          <w:sz w:val="24"/>
          <w:szCs w:val="24"/>
          <w:lang w:val="ru-RU"/>
        </w:rPr>
        <w:t>5</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May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F109D9" w:rsidRPr="00F109D9" w:rsidRDefault="00000000" w:rsidP="00F109D9">
      <w:pPr>
        <w:spacing w:after="200"/>
        <w:jc w:val="center"/>
        <w:rPr>
          <w:rFonts w:ascii="Cambria" w:eastAsia="Cambria" w:hAnsi="Cambria" w:cs="Times New Roman"/>
          <w:color w:val="00000A"/>
          <w:sz w:val="28"/>
          <w:szCs w:val="24"/>
          <w:u w:val="single"/>
        </w:rPr>
      </w:pPr>
      <w:hyperlink r:id="rId8" w:history="1">
        <w:r w:rsidR="00F109D9" w:rsidRPr="00365171">
          <w:rPr>
            <w:rStyle w:val="a3"/>
            <w:rFonts w:ascii="Cambria" w:eastAsia="Cambria" w:hAnsi="Cambria"/>
            <w:sz w:val="28"/>
            <w:szCs w:val="24"/>
          </w:rPr>
          <w:t>online version</w:t>
        </w:r>
      </w:hyperlink>
    </w:p>
    <w:p w:rsidR="00E36B35" w:rsidRPr="009755BE" w:rsidRDefault="00E36B35" w:rsidP="009755BE">
      <w:pPr>
        <w:jc w:val="center"/>
        <w:rPr>
          <w:rFonts w:ascii="Arial" w:hAnsi="Arial" w:cs="Arial"/>
          <w:b/>
          <w:color w:val="FF0000"/>
          <w:sz w:val="20"/>
          <w:szCs w:val="20"/>
        </w:rPr>
      </w:pPr>
      <w:r w:rsidRPr="009755BE">
        <w:rPr>
          <w:rFonts w:ascii="Arial" w:hAnsi="Arial" w:cs="Arial"/>
          <w:b/>
          <w:color w:val="FF0000"/>
          <w:sz w:val="20"/>
          <w:szCs w:val="20"/>
        </w:rPr>
        <w:t xml:space="preserve">HKEX Consults on </w:t>
      </w:r>
      <w:r w:rsidR="00571839" w:rsidRPr="009755BE">
        <w:rPr>
          <w:rFonts w:ascii="Arial" w:hAnsi="Arial" w:cs="Arial"/>
          <w:b/>
          <w:color w:val="FF0000"/>
          <w:sz w:val="20"/>
          <w:szCs w:val="20"/>
        </w:rPr>
        <w:t>Mandatory Climate</w:t>
      </w:r>
      <w:r w:rsidRPr="009755BE">
        <w:rPr>
          <w:rFonts w:ascii="Arial" w:hAnsi="Arial" w:cs="Arial"/>
          <w:b/>
          <w:color w:val="FF0000"/>
          <w:sz w:val="20"/>
          <w:szCs w:val="20"/>
        </w:rPr>
        <w:t xml:space="preserve"> Disclosures </w:t>
      </w:r>
      <w:r w:rsidR="00CE2F2F">
        <w:rPr>
          <w:rFonts w:ascii="Arial" w:hAnsi="Arial" w:cs="Arial"/>
          <w:b/>
          <w:color w:val="FF0000"/>
          <w:sz w:val="20"/>
          <w:szCs w:val="20"/>
        </w:rPr>
        <w:t>in ESG Reports</w:t>
      </w:r>
    </w:p>
    <w:p w:rsidR="00D22454" w:rsidRPr="002563BC" w:rsidRDefault="006D7494" w:rsidP="002563BC">
      <w:pPr>
        <w:jc w:val="both"/>
        <w:rPr>
          <w:rFonts w:ascii="Arial" w:hAnsi="Arial" w:cs="Arial"/>
          <w:sz w:val="20"/>
          <w:szCs w:val="20"/>
        </w:rPr>
      </w:pPr>
      <w:r w:rsidRPr="002563BC">
        <w:rPr>
          <w:rFonts w:ascii="Arial" w:hAnsi="Arial" w:cs="Arial"/>
          <w:sz w:val="20"/>
          <w:szCs w:val="20"/>
        </w:rPr>
        <w:t>On 14 April 2023, the Stock Exchange of Hong Kong Limited (</w:t>
      </w:r>
      <w:r w:rsidRPr="002563BC">
        <w:rPr>
          <w:rFonts w:ascii="Arial" w:hAnsi="Arial" w:cs="Arial"/>
          <w:b/>
          <w:sz w:val="20"/>
          <w:szCs w:val="20"/>
        </w:rPr>
        <w:t>HKEX</w:t>
      </w:r>
      <w:r w:rsidRPr="002563BC">
        <w:rPr>
          <w:rFonts w:ascii="Arial" w:hAnsi="Arial" w:cs="Arial"/>
          <w:sz w:val="20"/>
          <w:szCs w:val="20"/>
        </w:rPr>
        <w:t xml:space="preserve">) published a </w:t>
      </w:r>
      <w:hyperlink r:id="rId9" w:history="1">
        <w:r w:rsidRPr="002563BC">
          <w:rPr>
            <w:rStyle w:val="a3"/>
            <w:rFonts w:ascii="Arial" w:hAnsi="Arial" w:cs="Arial"/>
            <w:sz w:val="20"/>
            <w:szCs w:val="20"/>
          </w:rPr>
          <w:t>Consultation Paper</w:t>
        </w:r>
      </w:hyperlink>
      <w:r w:rsidR="00D22454" w:rsidRPr="002563BC">
        <w:rPr>
          <w:rFonts w:ascii="Arial" w:hAnsi="Arial" w:cs="Arial"/>
          <w:sz w:val="20"/>
          <w:szCs w:val="20"/>
        </w:rPr>
        <w:t xml:space="preserve"> </w:t>
      </w:r>
      <w:r w:rsidR="00766350" w:rsidRPr="002563BC">
        <w:rPr>
          <w:rFonts w:ascii="Arial" w:hAnsi="Arial" w:cs="Arial"/>
          <w:sz w:val="20"/>
          <w:szCs w:val="20"/>
        </w:rPr>
        <w:t xml:space="preserve"> </w:t>
      </w:r>
      <w:r w:rsidR="00D22454" w:rsidRPr="002563BC">
        <w:rPr>
          <w:rFonts w:ascii="Arial" w:hAnsi="Arial" w:cs="Arial"/>
          <w:sz w:val="20"/>
          <w:szCs w:val="20"/>
        </w:rPr>
        <w:t xml:space="preserve"> </w:t>
      </w:r>
      <w:r w:rsidR="00B67AB2" w:rsidRPr="002563BC">
        <w:rPr>
          <w:rFonts w:ascii="Arial" w:hAnsi="Arial" w:cs="Arial"/>
          <w:sz w:val="20"/>
          <w:szCs w:val="20"/>
        </w:rPr>
        <w:t>proposing to mandate all listed issuer</w:t>
      </w:r>
      <w:r w:rsidR="004236EB" w:rsidRPr="002563BC">
        <w:rPr>
          <w:rFonts w:ascii="Arial" w:hAnsi="Arial" w:cs="Arial"/>
          <w:sz w:val="20"/>
          <w:szCs w:val="20"/>
        </w:rPr>
        <w:t>s</w:t>
      </w:r>
      <w:r w:rsidR="00B67AB2" w:rsidRPr="002563BC">
        <w:rPr>
          <w:rFonts w:ascii="Arial" w:hAnsi="Arial" w:cs="Arial"/>
          <w:sz w:val="20"/>
          <w:szCs w:val="20"/>
        </w:rPr>
        <w:t xml:space="preserve"> to make</w:t>
      </w:r>
      <w:r w:rsidR="00766350" w:rsidRPr="002563BC">
        <w:rPr>
          <w:rFonts w:ascii="Arial" w:hAnsi="Arial" w:cs="Arial"/>
          <w:sz w:val="20"/>
          <w:szCs w:val="20"/>
        </w:rPr>
        <w:t xml:space="preserve"> climate-related disclosures </w:t>
      </w:r>
      <w:r w:rsidR="000A0BF2" w:rsidRPr="002563BC">
        <w:rPr>
          <w:rFonts w:ascii="Arial" w:hAnsi="Arial" w:cs="Arial"/>
          <w:sz w:val="20"/>
          <w:szCs w:val="20"/>
        </w:rPr>
        <w:t>in their</w:t>
      </w:r>
      <w:r w:rsidR="002734BE">
        <w:rPr>
          <w:rFonts w:ascii="Arial" w:hAnsi="Arial" w:cs="Arial"/>
          <w:sz w:val="20"/>
          <w:szCs w:val="20"/>
        </w:rPr>
        <w:t xml:space="preserve"> annual</w:t>
      </w:r>
      <w:r w:rsidR="000A0BF2" w:rsidRPr="002563BC">
        <w:rPr>
          <w:rFonts w:ascii="Arial" w:hAnsi="Arial" w:cs="Arial"/>
          <w:sz w:val="20"/>
          <w:szCs w:val="20"/>
        </w:rPr>
        <w:t xml:space="preserve"> Environmental, Social and Governance</w:t>
      </w:r>
      <w:r w:rsidR="00753D0A" w:rsidRPr="002563BC">
        <w:rPr>
          <w:rFonts w:ascii="Arial" w:hAnsi="Arial" w:cs="Arial"/>
          <w:sz w:val="20"/>
          <w:szCs w:val="20"/>
        </w:rPr>
        <w:t xml:space="preserve"> </w:t>
      </w:r>
      <w:r w:rsidR="000A0BF2" w:rsidRPr="002563BC">
        <w:rPr>
          <w:rFonts w:ascii="Arial" w:hAnsi="Arial" w:cs="Arial"/>
          <w:sz w:val="20"/>
          <w:szCs w:val="20"/>
        </w:rPr>
        <w:t>(</w:t>
      </w:r>
      <w:r w:rsidR="000A0BF2" w:rsidRPr="002563BC">
        <w:rPr>
          <w:rFonts w:ascii="Arial" w:hAnsi="Arial" w:cs="Arial"/>
          <w:b/>
          <w:sz w:val="20"/>
          <w:szCs w:val="20"/>
        </w:rPr>
        <w:t>ESG</w:t>
      </w:r>
      <w:r w:rsidR="000A0BF2" w:rsidRPr="002563BC">
        <w:rPr>
          <w:rFonts w:ascii="Arial" w:hAnsi="Arial" w:cs="Arial"/>
          <w:sz w:val="20"/>
          <w:szCs w:val="20"/>
        </w:rPr>
        <w:t xml:space="preserve">) </w:t>
      </w:r>
      <w:r w:rsidR="00753D0A" w:rsidRPr="002563BC">
        <w:rPr>
          <w:rFonts w:ascii="Arial" w:hAnsi="Arial" w:cs="Arial"/>
          <w:sz w:val="20"/>
          <w:szCs w:val="20"/>
        </w:rPr>
        <w:t>report</w:t>
      </w:r>
      <w:r w:rsidR="006A279D">
        <w:rPr>
          <w:rFonts w:ascii="Arial" w:hAnsi="Arial" w:cs="Arial"/>
          <w:sz w:val="20"/>
          <w:szCs w:val="20"/>
        </w:rPr>
        <w:t xml:space="preserve">s and introduce additional climate-related disclosures </w:t>
      </w:r>
      <w:r w:rsidR="00753D0A" w:rsidRPr="002563BC">
        <w:rPr>
          <w:rFonts w:ascii="Arial" w:hAnsi="Arial" w:cs="Arial"/>
          <w:sz w:val="20"/>
          <w:szCs w:val="20"/>
        </w:rPr>
        <w:t xml:space="preserve">based on the </w:t>
      </w:r>
      <w:r w:rsidR="006A279D">
        <w:rPr>
          <w:rFonts w:ascii="Arial" w:hAnsi="Arial" w:cs="Arial"/>
          <w:sz w:val="20"/>
          <w:szCs w:val="20"/>
        </w:rPr>
        <w:t>International Sustainability Standards Board (</w:t>
      </w:r>
      <w:r w:rsidR="00753D0A" w:rsidRPr="006A279D">
        <w:rPr>
          <w:rFonts w:ascii="Arial" w:hAnsi="Arial" w:cs="Arial"/>
          <w:b/>
          <w:sz w:val="20"/>
          <w:szCs w:val="20"/>
        </w:rPr>
        <w:t>ISSB</w:t>
      </w:r>
      <w:r w:rsidR="006A279D">
        <w:rPr>
          <w:rFonts w:ascii="Arial" w:hAnsi="Arial" w:cs="Arial"/>
          <w:sz w:val="20"/>
          <w:szCs w:val="20"/>
        </w:rPr>
        <w:t>)</w:t>
      </w:r>
      <w:r w:rsidR="00753D0A" w:rsidRPr="002563BC">
        <w:rPr>
          <w:rFonts w:ascii="Arial" w:hAnsi="Arial" w:cs="Arial"/>
          <w:sz w:val="20"/>
          <w:szCs w:val="20"/>
        </w:rPr>
        <w:t xml:space="preserve"> Climate Standard</w:t>
      </w:r>
      <w:r w:rsidR="006A279D">
        <w:rPr>
          <w:rStyle w:val="a7"/>
          <w:rFonts w:ascii="Arial" w:hAnsi="Arial" w:cs="Arial"/>
          <w:sz w:val="20"/>
          <w:szCs w:val="20"/>
        </w:rPr>
        <w:footnoteReference w:id="1"/>
      </w:r>
      <w:r w:rsidR="000F3548" w:rsidRPr="002563BC">
        <w:rPr>
          <w:rFonts w:ascii="Arial" w:hAnsi="Arial" w:cs="Arial"/>
          <w:sz w:val="20"/>
          <w:szCs w:val="20"/>
        </w:rPr>
        <w:t xml:space="preserve"> </w:t>
      </w:r>
      <w:r w:rsidR="002734BE">
        <w:rPr>
          <w:rFonts w:ascii="Arial" w:hAnsi="Arial" w:cs="Arial"/>
          <w:sz w:val="20"/>
          <w:szCs w:val="20"/>
        </w:rPr>
        <w:t xml:space="preserve">in </w:t>
      </w:r>
      <w:r w:rsidR="00753D0A" w:rsidRPr="002563BC">
        <w:rPr>
          <w:rFonts w:ascii="Arial" w:hAnsi="Arial" w:cs="Arial"/>
          <w:sz w:val="20"/>
          <w:szCs w:val="20"/>
        </w:rPr>
        <w:t>a new Part D of Appendix 27</w:t>
      </w:r>
      <w:r w:rsidR="009B3794" w:rsidRPr="002563BC">
        <w:rPr>
          <w:rFonts w:ascii="Arial" w:hAnsi="Arial" w:cs="Arial"/>
          <w:sz w:val="20"/>
          <w:szCs w:val="20"/>
        </w:rPr>
        <w:t xml:space="preserve">  to the Main Board Listing Rules</w:t>
      </w:r>
      <w:r w:rsidR="00753D0A" w:rsidRPr="002563BC">
        <w:rPr>
          <w:rFonts w:ascii="Arial" w:hAnsi="Arial" w:cs="Arial"/>
          <w:sz w:val="20"/>
          <w:szCs w:val="20"/>
        </w:rPr>
        <w:t xml:space="preserve"> </w:t>
      </w:r>
      <w:r w:rsidR="00FE6E5B">
        <w:rPr>
          <w:rFonts w:ascii="Arial" w:hAnsi="Arial" w:cs="Arial"/>
          <w:sz w:val="20"/>
          <w:szCs w:val="20"/>
        </w:rPr>
        <w:t>and Appendix 20 of the GEM Listing Rules</w:t>
      </w:r>
      <w:r w:rsidR="00753D0A" w:rsidRPr="002563BC">
        <w:rPr>
          <w:rFonts w:ascii="Arial" w:hAnsi="Arial" w:cs="Arial"/>
          <w:sz w:val="20"/>
          <w:szCs w:val="20"/>
        </w:rPr>
        <w:t xml:space="preserve">. </w:t>
      </w:r>
      <w:r w:rsidR="00FE6E5B">
        <w:rPr>
          <w:rFonts w:ascii="Arial" w:hAnsi="Arial" w:cs="Arial"/>
          <w:sz w:val="20"/>
          <w:szCs w:val="20"/>
        </w:rPr>
        <w:t xml:space="preserve">Both appendices </w:t>
      </w:r>
      <w:r w:rsidR="002734BE">
        <w:rPr>
          <w:rFonts w:ascii="Arial" w:hAnsi="Arial" w:cs="Arial"/>
          <w:sz w:val="20"/>
          <w:szCs w:val="20"/>
        </w:rPr>
        <w:t xml:space="preserve">will </w:t>
      </w:r>
      <w:r w:rsidR="002734BE" w:rsidRPr="002563BC">
        <w:rPr>
          <w:rFonts w:ascii="Arial" w:hAnsi="Arial" w:cs="Arial"/>
          <w:sz w:val="20"/>
          <w:szCs w:val="20"/>
        </w:rPr>
        <w:t xml:space="preserve">be renamed </w:t>
      </w:r>
      <w:r w:rsidR="002734BE">
        <w:rPr>
          <w:rFonts w:ascii="Arial" w:hAnsi="Arial" w:cs="Arial"/>
          <w:sz w:val="20"/>
          <w:szCs w:val="20"/>
        </w:rPr>
        <w:t>the</w:t>
      </w:r>
      <w:r w:rsidR="002734BE" w:rsidRPr="002563BC">
        <w:rPr>
          <w:rFonts w:ascii="Arial" w:hAnsi="Arial" w:cs="Arial"/>
          <w:sz w:val="20"/>
          <w:szCs w:val="20"/>
        </w:rPr>
        <w:t xml:space="preserve"> </w:t>
      </w:r>
      <w:r w:rsidR="00FE6E5B">
        <w:rPr>
          <w:rFonts w:ascii="Arial" w:hAnsi="Arial" w:cs="Arial"/>
          <w:sz w:val="20"/>
          <w:szCs w:val="20"/>
        </w:rPr>
        <w:t>“</w:t>
      </w:r>
      <w:r w:rsidR="002734BE" w:rsidRPr="00FE6E5B">
        <w:rPr>
          <w:rFonts w:ascii="Arial" w:hAnsi="Arial" w:cs="Arial"/>
          <w:sz w:val="20"/>
          <w:szCs w:val="20"/>
        </w:rPr>
        <w:t>Environmental, Social and Governance Reporting Code</w:t>
      </w:r>
      <w:hyperlink r:id="rId10" w:history="1"/>
      <w:r w:rsidR="00FE6E5B">
        <w:rPr>
          <w:rFonts w:ascii="Arial" w:hAnsi="Arial" w:cs="Arial"/>
          <w:sz w:val="20"/>
          <w:szCs w:val="20"/>
        </w:rPr>
        <w:t>”.</w:t>
      </w:r>
    </w:p>
    <w:p w:rsidR="00766350" w:rsidRPr="002563BC" w:rsidRDefault="00D720A1" w:rsidP="002563BC">
      <w:pPr>
        <w:jc w:val="both"/>
        <w:rPr>
          <w:rFonts w:ascii="Arial" w:hAnsi="Arial" w:cs="Arial"/>
          <w:sz w:val="20"/>
          <w:szCs w:val="20"/>
        </w:rPr>
      </w:pPr>
      <w:r w:rsidRPr="002563BC">
        <w:rPr>
          <w:rFonts w:ascii="Arial" w:hAnsi="Arial" w:cs="Arial"/>
          <w:sz w:val="20"/>
          <w:szCs w:val="20"/>
        </w:rPr>
        <w:t xml:space="preserve">The </w:t>
      </w:r>
      <w:r w:rsidR="002C2CC4">
        <w:rPr>
          <w:rFonts w:ascii="Arial" w:hAnsi="Arial" w:cs="Arial"/>
          <w:sz w:val="20"/>
          <w:szCs w:val="20"/>
        </w:rPr>
        <w:t xml:space="preserve">proposed new </w:t>
      </w:r>
      <w:r w:rsidR="004236EB" w:rsidRPr="002563BC">
        <w:rPr>
          <w:rFonts w:ascii="Arial" w:hAnsi="Arial" w:cs="Arial"/>
          <w:sz w:val="20"/>
          <w:szCs w:val="20"/>
        </w:rPr>
        <w:t xml:space="preserve">climate-related disclosures cover </w:t>
      </w:r>
      <w:r w:rsidR="002C2CC4">
        <w:rPr>
          <w:rFonts w:ascii="Arial" w:hAnsi="Arial" w:cs="Arial"/>
          <w:sz w:val="20"/>
          <w:szCs w:val="20"/>
        </w:rPr>
        <w:t>four key areas</w:t>
      </w:r>
      <w:r w:rsidR="00766350" w:rsidRPr="002563BC">
        <w:rPr>
          <w:rFonts w:ascii="Arial" w:hAnsi="Arial" w:cs="Arial"/>
          <w:sz w:val="20"/>
          <w:szCs w:val="20"/>
        </w:rPr>
        <w:t>:</w:t>
      </w:r>
      <w:r w:rsidR="002C2CC4">
        <w:rPr>
          <w:rFonts w:ascii="Arial" w:hAnsi="Arial" w:cs="Arial"/>
          <w:sz w:val="20"/>
          <w:szCs w:val="20"/>
        </w:rPr>
        <w:t xml:space="preserve"> Governance, Strategy, Risk Management and Metrics and targets. </w:t>
      </w:r>
      <w:r w:rsidR="0033142A">
        <w:rPr>
          <w:rFonts w:ascii="Arial" w:hAnsi="Arial" w:cs="Arial"/>
          <w:sz w:val="20"/>
          <w:szCs w:val="20"/>
        </w:rPr>
        <w:t xml:space="preserve">The key proposals include: </w:t>
      </w:r>
    </w:p>
    <w:p w:rsidR="00766350" w:rsidRDefault="00766350" w:rsidP="002563BC">
      <w:pPr>
        <w:pStyle w:val="a4"/>
        <w:numPr>
          <w:ilvl w:val="0"/>
          <w:numId w:val="7"/>
        </w:numPr>
        <w:jc w:val="both"/>
        <w:rPr>
          <w:rFonts w:ascii="Arial" w:hAnsi="Arial" w:cs="Arial"/>
          <w:sz w:val="20"/>
          <w:szCs w:val="20"/>
        </w:rPr>
      </w:pPr>
      <w:r w:rsidRPr="002563BC">
        <w:rPr>
          <w:rFonts w:ascii="Arial" w:hAnsi="Arial" w:cs="Arial"/>
          <w:sz w:val="20"/>
          <w:szCs w:val="20"/>
        </w:rPr>
        <w:t xml:space="preserve">Governance: </w:t>
      </w:r>
      <w:r w:rsidR="0033142A">
        <w:rPr>
          <w:rFonts w:ascii="Arial" w:hAnsi="Arial" w:cs="Arial"/>
          <w:sz w:val="20"/>
          <w:szCs w:val="20"/>
        </w:rPr>
        <w:t>A requirement for i</w:t>
      </w:r>
      <w:r w:rsidRPr="002563BC">
        <w:rPr>
          <w:rFonts w:ascii="Arial" w:hAnsi="Arial" w:cs="Arial"/>
          <w:sz w:val="20"/>
          <w:szCs w:val="20"/>
        </w:rPr>
        <w:t>ss</w:t>
      </w:r>
      <w:r w:rsidR="000C33F1" w:rsidRPr="002563BC">
        <w:rPr>
          <w:rFonts w:ascii="Arial" w:hAnsi="Arial" w:cs="Arial"/>
          <w:sz w:val="20"/>
          <w:szCs w:val="20"/>
        </w:rPr>
        <w:t xml:space="preserve">uers to disclose </w:t>
      </w:r>
      <w:r w:rsidRPr="002563BC">
        <w:rPr>
          <w:rFonts w:ascii="Arial" w:hAnsi="Arial" w:cs="Arial"/>
          <w:sz w:val="20"/>
          <w:szCs w:val="20"/>
        </w:rPr>
        <w:t xml:space="preserve">their governance </w:t>
      </w:r>
      <w:r w:rsidR="000C33F1" w:rsidRPr="002563BC">
        <w:rPr>
          <w:rFonts w:ascii="Arial" w:hAnsi="Arial" w:cs="Arial"/>
          <w:sz w:val="20"/>
          <w:szCs w:val="20"/>
        </w:rPr>
        <w:t>process</w:t>
      </w:r>
      <w:r w:rsidR="00FE6E5B">
        <w:rPr>
          <w:rFonts w:ascii="Arial" w:hAnsi="Arial" w:cs="Arial"/>
          <w:sz w:val="20"/>
          <w:szCs w:val="20"/>
        </w:rPr>
        <w:t>, controls</w:t>
      </w:r>
      <w:r w:rsidRPr="002563BC">
        <w:rPr>
          <w:rFonts w:ascii="Arial" w:hAnsi="Arial" w:cs="Arial"/>
          <w:sz w:val="20"/>
          <w:szCs w:val="20"/>
        </w:rPr>
        <w:t xml:space="preserve"> and procedures for overseeing and managing climate-</w:t>
      </w:r>
      <w:r w:rsidR="000C33F1" w:rsidRPr="002563BC">
        <w:rPr>
          <w:rFonts w:ascii="Arial" w:hAnsi="Arial" w:cs="Arial"/>
          <w:sz w:val="20"/>
          <w:szCs w:val="20"/>
        </w:rPr>
        <w:t>related risks and opportunities;</w:t>
      </w:r>
    </w:p>
    <w:p w:rsidR="00FE6E5B" w:rsidRPr="002563BC" w:rsidRDefault="00FE6E5B" w:rsidP="00FE6E5B">
      <w:pPr>
        <w:pStyle w:val="a4"/>
        <w:jc w:val="both"/>
        <w:rPr>
          <w:rFonts w:ascii="Arial" w:hAnsi="Arial" w:cs="Arial"/>
          <w:sz w:val="20"/>
          <w:szCs w:val="20"/>
        </w:rPr>
      </w:pPr>
    </w:p>
    <w:p w:rsidR="00FE6E5B" w:rsidRDefault="00766350" w:rsidP="002563BC">
      <w:pPr>
        <w:pStyle w:val="a4"/>
        <w:numPr>
          <w:ilvl w:val="0"/>
          <w:numId w:val="7"/>
        </w:numPr>
        <w:jc w:val="both"/>
        <w:rPr>
          <w:rFonts w:ascii="Arial" w:hAnsi="Arial" w:cs="Arial"/>
          <w:sz w:val="20"/>
          <w:szCs w:val="20"/>
        </w:rPr>
      </w:pPr>
      <w:r w:rsidRPr="002563BC">
        <w:rPr>
          <w:rFonts w:ascii="Arial" w:hAnsi="Arial" w:cs="Arial"/>
          <w:sz w:val="20"/>
          <w:szCs w:val="20"/>
        </w:rPr>
        <w:t xml:space="preserve">Strategy: </w:t>
      </w:r>
      <w:r w:rsidR="0033142A">
        <w:rPr>
          <w:rFonts w:ascii="Arial" w:hAnsi="Arial" w:cs="Arial"/>
          <w:sz w:val="20"/>
          <w:szCs w:val="20"/>
        </w:rPr>
        <w:t>Requirements for:</w:t>
      </w:r>
    </w:p>
    <w:p w:rsidR="00FE6E5B" w:rsidRPr="00FE6E5B" w:rsidRDefault="00FE6E5B" w:rsidP="00FE6E5B">
      <w:pPr>
        <w:pStyle w:val="a4"/>
        <w:rPr>
          <w:rFonts w:ascii="Arial" w:hAnsi="Arial" w:cs="Arial"/>
          <w:sz w:val="20"/>
          <w:szCs w:val="20"/>
        </w:rPr>
      </w:pPr>
    </w:p>
    <w:p w:rsidR="0033142A" w:rsidRDefault="00766350" w:rsidP="0033142A">
      <w:pPr>
        <w:pStyle w:val="a4"/>
        <w:numPr>
          <w:ilvl w:val="0"/>
          <w:numId w:val="38"/>
        </w:numPr>
        <w:ind w:left="993" w:hanging="284"/>
        <w:jc w:val="both"/>
        <w:rPr>
          <w:rFonts w:ascii="Arial" w:hAnsi="Arial" w:cs="Arial"/>
          <w:sz w:val="20"/>
          <w:szCs w:val="20"/>
        </w:rPr>
      </w:pPr>
      <w:r w:rsidRPr="002563BC">
        <w:rPr>
          <w:rFonts w:ascii="Arial" w:hAnsi="Arial" w:cs="Arial"/>
          <w:sz w:val="20"/>
          <w:szCs w:val="20"/>
        </w:rPr>
        <w:t>disclos</w:t>
      </w:r>
      <w:r w:rsidR="0033142A">
        <w:rPr>
          <w:rFonts w:ascii="Arial" w:hAnsi="Arial" w:cs="Arial"/>
          <w:sz w:val="20"/>
          <w:szCs w:val="20"/>
        </w:rPr>
        <w:t>ur</w:t>
      </w:r>
      <w:r w:rsidRPr="002563BC">
        <w:rPr>
          <w:rFonts w:ascii="Arial" w:hAnsi="Arial" w:cs="Arial"/>
          <w:sz w:val="20"/>
          <w:szCs w:val="20"/>
        </w:rPr>
        <w:t xml:space="preserve">e </w:t>
      </w:r>
      <w:r w:rsidR="0033142A">
        <w:rPr>
          <w:rFonts w:ascii="Arial" w:hAnsi="Arial" w:cs="Arial"/>
          <w:sz w:val="20"/>
          <w:szCs w:val="20"/>
        </w:rPr>
        <w:t xml:space="preserve">of </w:t>
      </w:r>
      <w:r w:rsidR="00FA1013" w:rsidRPr="002563BC">
        <w:rPr>
          <w:rFonts w:ascii="Arial" w:hAnsi="Arial" w:cs="Arial"/>
          <w:sz w:val="20"/>
          <w:szCs w:val="20"/>
        </w:rPr>
        <w:t>material</w:t>
      </w:r>
      <w:r w:rsidRPr="002563BC">
        <w:rPr>
          <w:rFonts w:ascii="Arial" w:hAnsi="Arial" w:cs="Arial"/>
          <w:sz w:val="20"/>
          <w:szCs w:val="20"/>
        </w:rPr>
        <w:t xml:space="preserve"> climate-related risks and opportunities</w:t>
      </w:r>
      <w:r w:rsidR="000A06D8" w:rsidRPr="002563BC">
        <w:rPr>
          <w:rFonts w:ascii="Arial" w:hAnsi="Arial" w:cs="Arial"/>
          <w:sz w:val="20"/>
          <w:szCs w:val="20"/>
        </w:rPr>
        <w:t xml:space="preserve"> (if applicable)</w:t>
      </w:r>
      <w:r w:rsidR="00FA1013" w:rsidRPr="002563BC">
        <w:rPr>
          <w:rFonts w:ascii="Arial" w:hAnsi="Arial" w:cs="Arial"/>
          <w:sz w:val="20"/>
          <w:szCs w:val="20"/>
        </w:rPr>
        <w:t xml:space="preserve"> </w:t>
      </w:r>
      <w:r w:rsidR="0033142A">
        <w:rPr>
          <w:rFonts w:ascii="Arial" w:hAnsi="Arial" w:cs="Arial"/>
          <w:sz w:val="20"/>
          <w:szCs w:val="20"/>
        </w:rPr>
        <w:t>and their impact on issuers’</w:t>
      </w:r>
      <w:r w:rsidR="002C2CC4">
        <w:rPr>
          <w:rFonts w:ascii="Arial" w:hAnsi="Arial" w:cs="Arial"/>
          <w:sz w:val="20"/>
          <w:szCs w:val="20"/>
        </w:rPr>
        <w:t xml:space="preserve"> business operations</w:t>
      </w:r>
      <w:r w:rsidR="0033142A">
        <w:rPr>
          <w:rFonts w:ascii="Arial" w:hAnsi="Arial" w:cs="Arial"/>
          <w:sz w:val="20"/>
          <w:szCs w:val="20"/>
        </w:rPr>
        <w:t>, business model and strategy;</w:t>
      </w:r>
    </w:p>
    <w:p w:rsidR="0033142A" w:rsidRDefault="0033142A" w:rsidP="0033142A">
      <w:pPr>
        <w:pStyle w:val="a4"/>
        <w:ind w:left="993"/>
        <w:jc w:val="both"/>
        <w:rPr>
          <w:rFonts w:ascii="Arial" w:hAnsi="Arial" w:cs="Arial"/>
          <w:sz w:val="20"/>
          <w:szCs w:val="20"/>
        </w:rPr>
      </w:pPr>
    </w:p>
    <w:p w:rsidR="0033142A" w:rsidRDefault="0033142A" w:rsidP="0033142A">
      <w:pPr>
        <w:pStyle w:val="a4"/>
        <w:numPr>
          <w:ilvl w:val="0"/>
          <w:numId w:val="38"/>
        </w:numPr>
        <w:ind w:left="993" w:hanging="284"/>
        <w:jc w:val="both"/>
        <w:rPr>
          <w:rFonts w:ascii="Arial" w:hAnsi="Arial" w:cs="Arial"/>
          <w:sz w:val="20"/>
          <w:szCs w:val="20"/>
        </w:rPr>
      </w:pPr>
      <w:r>
        <w:rPr>
          <w:rFonts w:ascii="Arial" w:hAnsi="Arial" w:cs="Arial"/>
          <w:sz w:val="20"/>
          <w:szCs w:val="20"/>
        </w:rPr>
        <w:t>disclosure of issuers’ response to climate-related risks and opportunities</w:t>
      </w:r>
      <w:r w:rsidR="002C2CC4">
        <w:rPr>
          <w:rFonts w:ascii="Arial" w:hAnsi="Arial" w:cs="Arial"/>
          <w:sz w:val="20"/>
          <w:szCs w:val="20"/>
        </w:rPr>
        <w:t xml:space="preserve"> </w:t>
      </w:r>
      <w:r w:rsidR="00FA1013" w:rsidRPr="002563BC">
        <w:rPr>
          <w:rFonts w:ascii="Arial" w:hAnsi="Arial" w:cs="Arial"/>
          <w:sz w:val="20"/>
          <w:szCs w:val="20"/>
        </w:rPr>
        <w:t>identified</w:t>
      </w:r>
      <w:r w:rsidR="00766350" w:rsidRPr="002563BC">
        <w:rPr>
          <w:rFonts w:ascii="Arial" w:hAnsi="Arial" w:cs="Arial"/>
          <w:sz w:val="20"/>
          <w:szCs w:val="20"/>
        </w:rPr>
        <w:t>,</w:t>
      </w:r>
      <w:r>
        <w:rPr>
          <w:rFonts w:ascii="Arial" w:hAnsi="Arial" w:cs="Arial"/>
          <w:sz w:val="20"/>
          <w:szCs w:val="20"/>
        </w:rPr>
        <w:t xml:space="preserve"> including changes to their business models and strategies, </w:t>
      </w:r>
      <w:r w:rsidR="009A0954">
        <w:rPr>
          <w:rFonts w:ascii="Arial" w:hAnsi="Arial" w:cs="Arial"/>
          <w:sz w:val="20"/>
          <w:szCs w:val="20"/>
        </w:rPr>
        <w:t xml:space="preserve">any </w:t>
      </w:r>
      <w:r>
        <w:rPr>
          <w:rFonts w:ascii="Arial" w:hAnsi="Arial" w:cs="Arial"/>
          <w:sz w:val="20"/>
          <w:szCs w:val="20"/>
        </w:rPr>
        <w:t>adaptation and mitigation efforts, and climate-related targets set;</w:t>
      </w:r>
    </w:p>
    <w:p w:rsidR="0033142A" w:rsidRPr="0033142A" w:rsidRDefault="0033142A" w:rsidP="0033142A">
      <w:pPr>
        <w:pStyle w:val="a4"/>
        <w:rPr>
          <w:rFonts w:ascii="Arial" w:hAnsi="Arial" w:cs="Arial"/>
          <w:sz w:val="20"/>
          <w:szCs w:val="20"/>
        </w:rPr>
      </w:pPr>
    </w:p>
    <w:p w:rsidR="0033142A" w:rsidRDefault="0033142A" w:rsidP="0033142A">
      <w:pPr>
        <w:pStyle w:val="a4"/>
        <w:numPr>
          <w:ilvl w:val="0"/>
          <w:numId w:val="38"/>
        </w:numPr>
        <w:ind w:left="993" w:hanging="284"/>
        <w:jc w:val="both"/>
        <w:rPr>
          <w:rFonts w:ascii="Arial" w:hAnsi="Arial" w:cs="Arial"/>
          <w:sz w:val="20"/>
          <w:szCs w:val="20"/>
        </w:rPr>
      </w:pPr>
      <w:r>
        <w:rPr>
          <w:rFonts w:ascii="Arial" w:hAnsi="Arial" w:cs="Arial"/>
          <w:sz w:val="20"/>
          <w:szCs w:val="20"/>
        </w:rPr>
        <w:t xml:space="preserve">disclosure of the resilience of issuers’ </w:t>
      </w:r>
      <w:r w:rsidR="009A0954">
        <w:rPr>
          <w:rFonts w:ascii="Arial" w:hAnsi="Arial" w:cs="Arial"/>
          <w:sz w:val="20"/>
          <w:szCs w:val="20"/>
        </w:rPr>
        <w:t>strategies</w:t>
      </w:r>
      <w:r w:rsidRPr="002563BC">
        <w:rPr>
          <w:rFonts w:ascii="Arial" w:hAnsi="Arial" w:cs="Arial"/>
          <w:sz w:val="20"/>
          <w:szCs w:val="20"/>
        </w:rPr>
        <w:t xml:space="preserve"> </w:t>
      </w:r>
      <w:r>
        <w:rPr>
          <w:rFonts w:ascii="Arial" w:hAnsi="Arial" w:cs="Arial"/>
          <w:sz w:val="20"/>
          <w:szCs w:val="20"/>
        </w:rPr>
        <w:t xml:space="preserve">and operations </w:t>
      </w:r>
      <w:r w:rsidRPr="002563BC">
        <w:rPr>
          <w:rFonts w:ascii="Arial" w:hAnsi="Arial" w:cs="Arial"/>
          <w:sz w:val="20"/>
          <w:szCs w:val="20"/>
        </w:rPr>
        <w:t>to climate-related changes</w:t>
      </w:r>
      <w:r w:rsidR="009A0954">
        <w:rPr>
          <w:rFonts w:ascii="Arial" w:hAnsi="Arial" w:cs="Arial"/>
          <w:sz w:val="20"/>
          <w:szCs w:val="20"/>
        </w:rPr>
        <w:t xml:space="preserve">, </w:t>
      </w:r>
      <w:r w:rsidR="009A0954" w:rsidRPr="002563BC">
        <w:rPr>
          <w:rFonts w:ascii="Arial" w:hAnsi="Arial" w:cs="Arial"/>
          <w:sz w:val="20"/>
          <w:szCs w:val="20"/>
        </w:rPr>
        <w:t>development</w:t>
      </w:r>
      <w:r w:rsidR="009A0954">
        <w:rPr>
          <w:rFonts w:ascii="Arial" w:hAnsi="Arial" w:cs="Arial"/>
          <w:sz w:val="20"/>
          <w:szCs w:val="20"/>
        </w:rPr>
        <w:t>s</w:t>
      </w:r>
      <w:r w:rsidR="009A0954" w:rsidRPr="002563BC">
        <w:rPr>
          <w:rFonts w:ascii="Arial" w:hAnsi="Arial" w:cs="Arial"/>
          <w:sz w:val="20"/>
          <w:szCs w:val="20"/>
        </w:rPr>
        <w:t xml:space="preserve"> or uncertainties</w:t>
      </w:r>
      <w:r w:rsidR="009A0954">
        <w:rPr>
          <w:rFonts w:ascii="Arial" w:hAnsi="Arial" w:cs="Arial"/>
          <w:sz w:val="20"/>
          <w:szCs w:val="20"/>
        </w:rPr>
        <w:t>;</w:t>
      </w:r>
      <w:r w:rsidR="00C35E36">
        <w:rPr>
          <w:rFonts w:ascii="Arial" w:hAnsi="Arial" w:cs="Arial"/>
          <w:sz w:val="20"/>
          <w:szCs w:val="20"/>
        </w:rPr>
        <w:t xml:space="preserve"> </w:t>
      </w:r>
      <w:r w:rsidR="00193D36">
        <w:rPr>
          <w:rFonts w:ascii="Arial" w:hAnsi="Arial" w:cs="Arial"/>
          <w:sz w:val="20"/>
          <w:szCs w:val="20"/>
        </w:rPr>
        <w:t>and</w:t>
      </w:r>
    </w:p>
    <w:p w:rsidR="009A0954" w:rsidRPr="009A0954" w:rsidRDefault="009A0954" w:rsidP="009A0954">
      <w:pPr>
        <w:pStyle w:val="a4"/>
        <w:rPr>
          <w:rFonts w:ascii="Arial" w:hAnsi="Arial" w:cs="Arial"/>
          <w:sz w:val="20"/>
          <w:szCs w:val="20"/>
        </w:rPr>
      </w:pPr>
    </w:p>
    <w:p w:rsidR="00766350" w:rsidRDefault="009A0954" w:rsidP="009A0954">
      <w:pPr>
        <w:pStyle w:val="a4"/>
        <w:numPr>
          <w:ilvl w:val="0"/>
          <w:numId w:val="38"/>
        </w:numPr>
        <w:ind w:left="993" w:hanging="284"/>
        <w:jc w:val="both"/>
        <w:rPr>
          <w:rFonts w:ascii="Arial" w:hAnsi="Arial" w:cs="Arial"/>
          <w:sz w:val="20"/>
          <w:szCs w:val="20"/>
        </w:rPr>
      </w:pPr>
      <w:r>
        <w:rPr>
          <w:rFonts w:ascii="Arial" w:hAnsi="Arial" w:cs="Arial"/>
          <w:sz w:val="20"/>
          <w:szCs w:val="20"/>
        </w:rPr>
        <w:t>disclosure of the</w:t>
      </w:r>
      <w:r w:rsidR="00766350" w:rsidRPr="002563BC">
        <w:rPr>
          <w:rFonts w:ascii="Arial" w:hAnsi="Arial" w:cs="Arial"/>
          <w:sz w:val="20"/>
          <w:szCs w:val="20"/>
        </w:rPr>
        <w:t xml:space="preserve"> </w:t>
      </w:r>
      <w:r w:rsidR="00E9076E" w:rsidRPr="002563BC">
        <w:rPr>
          <w:rFonts w:ascii="Arial" w:hAnsi="Arial" w:cs="Arial"/>
          <w:sz w:val="20"/>
          <w:szCs w:val="20"/>
        </w:rPr>
        <w:t xml:space="preserve">current and anticipated </w:t>
      </w:r>
      <w:r w:rsidR="00766350" w:rsidRPr="002563BC">
        <w:rPr>
          <w:rFonts w:ascii="Arial" w:hAnsi="Arial" w:cs="Arial"/>
          <w:sz w:val="20"/>
          <w:szCs w:val="20"/>
        </w:rPr>
        <w:t xml:space="preserve">financial </w:t>
      </w:r>
      <w:r>
        <w:rPr>
          <w:rFonts w:ascii="Arial" w:hAnsi="Arial" w:cs="Arial"/>
          <w:sz w:val="20"/>
          <w:szCs w:val="20"/>
        </w:rPr>
        <w:t xml:space="preserve">effects of </w:t>
      </w:r>
      <w:r w:rsidR="00FA1013" w:rsidRPr="002563BC">
        <w:rPr>
          <w:rFonts w:ascii="Arial" w:hAnsi="Arial" w:cs="Arial"/>
          <w:sz w:val="20"/>
          <w:szCs w:val="20"/>
        </w:rPr>
        <w:t xml:space="preserve"> </w:t>
      </w:r>
      <w:r>
        <w:rPr>
          <w:rFonts w:ascii="Arial" w:hAnsi="Arial" w:cs="Arial"/>
          <w:sz w:val="20"/>
          <w:szCs w:val="20"/>
        </w:rPr>
        <w:t xml:space="preserve">climate-related </w:t>
      </w:r>
      <w:r w:rsidR="00FA1013" w:rsidRPr="002563BC">
        <w:rPr>
          <w:rFonts w:ascii="Arial" w:hAnsi="Arial" w:cs="Arial"/>
          <w:sz w:val="20"/>
          <w:szCs w:val="20"/>
        </w:rPr>
        <w:t>risks and opportunities</w:t>
      </w:r>
      <w:r>
        <w:rPr>
          <w:rFonts w:ascii="Arial" w:hAnsi="Arial" w:cs="Arial"/>
          <w:sz w:val="20"/>
          <w:szCs w:val="20"/>
        </w:rPr>
        <w:t xml:space="preserve"> (if any)</w:t>
      </w:r>
      <w:r w:rsidR="00FA1013" w:rsidRPr="002563BC">
        <w:rPr>
          <w:rFonts w:ascii="Arial" w:hAnsi="Arial" w:cs="Arial"/>
          <w:sz w:val="20"/>
          <w:szCs w:val="20"/>
        </w:rPr>
        <w:t xml:space="preserve">; </w:t>
      </w:r>
    </w:p>
    <w:p w:rsidR="009A0954" w:rsidRPr="009A0954" w:rsidRDefault="009A0954" w:rsidP="009A0954">
      <w:pPr>
        <w:pStyle w:val="a4"/>
        <w:rPr>
          <w:rFonts w:ascii="Arial" w:hAnsi="Arial" w:cs="Arial"/>
          <w:sz w:val="20"/>
          <w:szCs w:val="20"/>
        </w:rPr>
      </w:pPr>
    </w:p>
    <w:p w:rsidR="00766350" w:rsidRDefault="00766350" w:rsidP="002563BC">
      <w:pPr>
        <w:pStyle w:val="a4"/>
        <w:numPr>
          <w:ilvl w:val="0"/>
          <w:numId w:val="7"/>
        </w:numPr>
        <w:jc w:val="both"/>
        <w:rPr>
          <w:rFonts w:ascii="Arial" w:hAnsi="Arial" w:cs="Arial"/>
          <w:sz w:val="20"/>
          <w:szCs w:val="20"/>
        </w:rPr>
      </w:pPr>
      <w:r w:rsidRPr="002563BC">
        <w:rPr>
          <w:rFonts w:ascii="Arial" w:hAnsi="Arial" w:cs="Arial"/>
          <w:sz w:val="20"/>
          <w:szCs w:val="20"/>
        </w:rPr>
        <w:t xml:space="preserve">Risk </w:t>
      </w:r>
      <w:r w:rsidR="009A0954">
        <w:rPr>
          <w:rFonts w:ascii="Arial" w:hAnsi="Arial" w:cs="Arial"/>
          <w:sz w:val="20"/>
          <w:szCs w:val="20"/>
        </w:rPr>
        <w:t>Management: Issuers will be required to</w:t>
      </w:r>
      <w:r w:rsidR="00FA1013" w:rsidRPr="002563BC">
        <w:rPr>
          <w:rFonts w:ascii="Arial" w:hAnsi="Arial" w:cs="Arial"/>
          <w:sz w:val="20"/>
          <w:szCs w:val="20"/>
        </w:rPr>
        <w:t xml:space="preserve"> disclose</w:t>
      </w:r>
      <w:r w:rsidRPr="002563BC">
        <w:rPr>
          <w:rFonts w:ascii="Arial" w:hAnsi="Arial" w:cs="Arial"/>
          <w:sz w:val="20"/>
          <w:szCs w:val="20"/>
        </w:rPr>
        <w:t xml:space="preserve"> their </w:t>
      </w:r>
      <w:r w:rsidR="00FA1013" w:rsidRPr="002563BC">
        <w:rPr>
          <w:rFonts w:ascii="Arial" w:hAnsi="Arial" w:cs="Arial"/>
          <w:sz w:val="20"/>
          <w:szCs w:val="20"/>
        </w:rPr>
        <w:t>process</w:t>
      </w:r>
      <w:r w:rsidR="00FE6E5B">
        <w:rPr>
          <w:rFonts w:ascii="Arial" w:hAnsi="Arial" w:cs="Arial"/>
          <w:sz w:val="20"/>
          <w:szCs w:val="20"/>
        </w:rPr>
        <w:t xml:space="preserve"> for identifying, assessing</w:t>
      </w:r>
      <w:r w:rsidRPr="002563BC">
        <w:rPr>
          <w:rFonts w:ascii="Arial" w:hAnsi="Arial" w:cs="Arial"/>
          <w:sz w:val="20"/>
          <w:szCs w:val="20"/>
        </w:rPr>
        <w:t xml:space="preserve"> and </w:t>
      </w:r>
      <w:r w:rsidR="00FE6E5B">
        <w:rPr>
          <w:rFonts w:ascii="Arial" w:hAnsi="Arial" w:cs="Arial"/>
          <w:sz w:val="20"/>
          <w:szCs w:val="20"/>
        </w:rPr>
        <w:t>manag</w:t>
      </w:r>
      <w:r w:rsidRPr="002563BC">
        <w:rPr>
          <w:rFonts w:ascii="Arial" w:hAnsi="Arial" w:cs="Arial"/>
          <w:sz w:val="20"/>
          <w:szCs w:val="20"/>
        </w:rPr>
        <w:t>ing climate-</w:t>
      </w:r>
      <w:r w:rsidR="00F41AC4">
        <w:rPr>
          <w:rFonts w:ascii="Arial" w:hAnsi="Arial" w:cs="Arial"/>
          <w:sz w:val="20"/>
          <w:szCs w:val="20"/>
        </w:rPr>
        <w:t>related risks and</w:t>
      </w:r>
      <w:r w:rsidR="00FE6E5B">
        <w:rPr>
          <w:rFonts w:ascii="Arial" w:hAnsi="Arial" w:cs="Arial"/>
          <w:sz w:val="20"/>
          <w:szCs w:val="20"/>
        </w:rPr>
        <w:t>, where applicable,</w:t>
      </w:r>
      <w:r w:rsidR="00F41AC4">
        <w:rPr>
          <w:rFonts w:ascii="Arial" w:hAnsi="Arial" w:cs="Arial"/>
          <w:sz w:val="20"/>
          <w:szCs w:val="20"/>
        </w:rPr>
        <w:t xml:space="preserve"> opportunities;</w:t>
      </w:r>
      <w:r w:rsidR="00C35E36">
        <w:rPr>
          <w:rFonts w:ascii="Arial" w:hAnsi="Arial" w:cs="Arial"/>
          <w:sz w:val="20"/>
          <w:szCs w:val="20"/>
        </w:rPr>
        <w:t xml:space="preserve"> </w:t>
      </w:r>
      <w:r w:rsidR="00193D36">
        <w:rPr>
          <w:rFonts w:ascii="Arial" w:hAnsi="Arial" w:cs="Arial"/>
          <w:sz w:val="20"/>
          <w:szCs w:val="20"/>
        </w:rPr>
        <w:t>and</w:t>
      </w:r>
      <w:r w:rsidR="00F41AC4">
        <w:rPr>
          <w:rFonts w:ascii="Arial" w:hAnsi="Arial" w:cs="Arial"/>
          <w:sz w:val="20"/>
          <w:szCs w:val="20"/>
        </w:rPr>
        <w:t xml:space="preserve"> </w:t>
      </w:r>
    </w:p>
    <w:p w:rsidR="009A0954" w:rsidRPr="002563BC" w:rsidRDefault="009A0954" w:rsidP="009A0954">
      <w:pPr>
        <w:pStyle w:val="a4"/>
        <w:jc w:val="both"/>
        <w:rPr>
          <w:rFonts w:ascii="Arial" w:hAnsi="Arial" w:cs="Arial"/>
          <w:sz w:val="20"/>
          <w:szCs w:val="20"/>
        </w:rPr>
      </w:pPr>
    </w:p>
    <w:p w:rsidR="00D22454" w:rsidRPr="002563BC" w:rsidRDefault="004045CD" w:rsidP="002563BC">
      <w:pPr>
        <w:pStyle w:val="a4"/>
        <w:numPr>
          <w:ilvl w:val="0"/>
          <w:numId w:val="7"/>
        </w:numPr>
        <w:jc w:val="both"/>
        <w:rPr>
          <w:rFonts w:ascii="Arial" w:hAnsi="Arial" w:cs="Arial"/>
          <w:sz w:val="20"/>
          <w:szCs w:val="20"/>
        </w:rPr>
      </w:pPr>
      <w:r w:rsidRPr="002563BC">
        <w:rPr>
          <w:rFonts w:ascii="Arial" w:hAnsi="Arial" w:cs="Arial"/>
          <w:sz w:val="20"/>
          <w:szCs w:val="20"/>
        </w:rPr>
        <w:t>Metrics and Targets: Issuers should disclose the metrics and targets they use</w:t>
      </w:r>
      <w:r w:rsidR="00346AA7" w:rsidRPr="002563BC">
        <w:rPr>
          <w:rFonts w:ascii="Arial" w:hAnsi="Arial" w:cs="Arial"/>
          <w:sz w:val="20"/>
          <w:szCs w:val="20"/>
        </w:rPr>
        <w:t xml:space="preserve"> to measure, monitor and manage </w:t>
      </w:r>
      <w:r w:rsidR="00FA01C2" w:rsidRPr="002563BC">
        <w:rPr>
          <w:rFonts w:ascii="Arial" w:hAnsi="Arial" w:cs="Arial"/>
          <w:sz w:val="20"/>
          <w:szCs w:val="20"/>
        </w:rPr>
        <w:t>material</w:t>
      </w:r>
      <w:r w:rsidR="00346AA7" w:rsidRPr="002563BC">
        <w:rPr>
          <w:rFonts w:ascii="Arial" w:hAnsi="Arial" w:cs="Arial"/>
          <w:sz w:val="20"/>
          <w:szCs w:val="20"/>
        </w:rPr>
        <w:t xml:space="preserve"> climate-related risks and opportunities, and how </w:t>
      </w:r>
      <w:r w:rsidRPr="002563BC">
        <w:rPr>
          <w:rFonts w:ascii="Arial" w:hAnsi="Arial" w:cs="Arial"/>
          <w:sz w:val="20"/>
          <w:szCs w:val="20"/>
        </w:rPr>
        <w:t>they assess the</w:t>
      </w:r>
      <w:r w:rsidR="00346AA7" w:rsidRPr="002563BC">
        <w:rPr>
          <w:rFonts w:ascii="Arial" w:hAnsi="Arial" w:cs="Arial"/>
          <w:sz w:val="20"/>
          <w:szCs w:val="20"/>
        </w:rPr>
        <w:t xml:space="preserve"> performance</w:t>
      </w:r>
      <w:r w:rsidR="00FA01C2" w:rsidRPr="002563BC">
        <w:rPr>
          <w:rFonts w:ascii="Arial" w:hAnsi="Arial" w:cs="Arial"/>
          <w:sz w:val="20"/>
          <w:szCs w:val="20"/>
        </w:rPr>
        <w:t xml:space="preserve">. These include </w:t>
      </w:r>
      <w:r w:rsidR="007462E5" w:rsidRPr="002563BC">
        <w:rPr>
          <w:rFonts w:ascii="Arial" w:hAnsi="Arial" w:cs="Arial"/>
          <w:sz w:val="20"/>
          <w:szCs w:val="20"/>
        </w:rPr>
        <w:t>greenhouse gases (</w:t>
      </w:r>
      <w:r w:rsidR="007462E5" w:rsidRPr="002563BC">
        <w:rPr>
          <w:rFonts w:ascii="Arial" w:hAnsi="Arial" w:cs="Arial"/>
          <w:b/>
          <w:sz w:val="20"/>
          <w:szCs w:val="20"/>
        </w:rPr>
        <w:t>GHG</w:t>
      </w:r>
      <w:r w:rsidR="007462E5" w:rsidRPr="002563BC">
        <w:rPr>
          <w:rFonts w:ascii="Arial" w:hAnsi="Arial" w:cs="Arial"/>
          <w:sz w:val="20"/>
          <w:szCs w:val="20"/>
        </w:rPr>
        <w:t>)</w:t>
      </w:r>
      <w:r w:rsidR="00766350" w:rsidRPr="002563BC">
        <w:rPr>
          <w:rFonts w:ascii="Arial" w:hAnsi="Arial" w:cs="Arial"/>
          <w:sz w:val="20"/>
          <w:szCs w:val="20"/>
        </w:rPr>
        <w:t xml:space="preserve"> emissions, </w:t>
      </w:r>
      <w:r w:rsidR="00FA01C2" w:rsidRPr="002563BC">
        <w:rPr>
          <w:rFonts w:ascii="Arial" w:hAnsi="Arial" w:cs="Arial"/>
          <w:sz w:val="20"/>
          <w:szCs w:val="20"/>
        </w:rPr>
        <w:t>other cross-industry metrics</w:t>
      </w:r>
      <w:r w:rsidR="00A9337B" w:rsidRPr="002563BC">
        <w:rPr>
          <w:rFonts w:ascii="Arial" w:hAnsi="Arial" w:cs="Arial"/>
          <w:sz w:val="20"/>
          <w:szCs w:val="20"/>
        </w:rPr>
        <w:t xml:space="preserve"> and</w:t>
      </w:r>
      <w:r w:rsidR="00766350" w:rsidRPr="002563BC">
        <w:rPr>
          <w:rFonts w:ascii="Arial" w:hAnsi="Arial" w:cs="Arial"/>
          <w:sz w:val="20"/>
          <w:szCs w:val="20"/>
        </w:rPr>
        <w:t xml:space="preserve"> internal carbon </w:t>
      </w:r>
      <w:r w:rsidR="00A9337B" w:rsidRPr="002563BC">
        <w:rPr>
          <w:rFonts w:ascii="Arial" w:hAnsi="Arial" w:cs="Arial"/>
          <w:sz w:val="20"/>
          <w:szCs w:val="20"/>
        </w:rPr>
        <w:t xml:space="preserve">price. </w:t>
      </w:r>
    </w:p>
    <w:p w:rsidR="003522EC" w:rsidRDefault="004667F9" w:rsidP="002563BC">
      <w:pPr>
        <w:jc w:val="both"/>
        <w:rPr>
          <w:rFonts w:ascii="Arial" w:hAnsi="Arial" w:cs="Arial"/>
          <w:sz w:val="20"/>
          <w:szCs w:val="20"/>
        </w:rPr>
      </w:pPr>
      <w:r w:rsidRPr="002563BC">
        <w:rPr>
          <w:rFonts w:ascii="Arial" w:hAnsi="Arial" w:cs="Arial"/>
          <w:sz w:val="20"/>
          <w:szCs w:val="20"/>
        </w:rPr>
        <w:t xml:space="preserve">The proposed amendments to the Listing Rules are expected to come into effect on 1 January 2024. </w:t>
      </w:r>
      <w:r w:rsidR="00B67AB2" w:rsidRPr="002563BC">
        <w:rPr>
          <w:rFonts w:ascii="Arial" w:hAnsi="Arial" w:cs="Arial"/>
          <w:sz w:val="20"/>
          <w:szCs w:val="20"/>
        </w:rPr>
        <w:t xml:space="preserve">Acknowledging </w:t>
      </w:r>
      <w:r w:rsidR="00CA1957" w:rsidRPr="002563BC">
        <w:rPr>
          <w:rFonts w:ascii="Arial" w:hAnsi="Arial" w:cs="Arial"/>
          <w:sz w:val="20"/>
          <w:szCs w:val="20"/>
        </w:rPr>
        <w:t xml:space="preserve">that </w:t>
      </w:r>
      <w:r w:rsidR="00B67AB2" w:rsidRPr="002563BC">
        <w:rPr>
          <w:rFonts w:ascii="Arial" w:hAnsi="Arial" w:cs="Arial"/>
          <w:sz w:val="20"/>
          <w:szCs w:val="20"/>
        </w:rPr>
        <w:t>issuers</w:t>
      </w:r>
      <w:r w:rsidR="00766350" w:rsidRPr="002563BC">
        <w:rPr>
          <w:rFonts w:ascii="Arial" w:hAnsi="Arial" w:cs="Arial"/>
          <w:sz w:val="20"/>
          <w:szCs w:val="20"/>
        </w:rPr>
        <w:t xml:space="preserve"> </w:t>
      </w:r>
      <w:r w:rsidRPr="002563BC">
        <w:rPr>
          <w:rFonts w:ascii="Arial" w:hAnsi="Arial" w:cs="Arial"/>
          <w:sz w:val="20"/>
          <w:szCs w:val="20"/>
        </w:rPr>
        <w:t>may need more time to comply with</w:t>
      </w:r>
      <w:r w:rsidR="00766350" w:rsidRPr="002563BC">
        <w:rPr>
          <w:rFonts w:ascii="Arial" w:hAnsi="Arial" w:cs="Arial"/>
          <w:sz w:val="20"/>
          <w:szCs w:val="20"/>
        </w:rPr>
        <w:t xml:space="preserve"> </w:t>
      </w:r>
      <w:r w:rsidRPr="002563BC">
        <w:rPr>
          <w:rFonts w:ascii="Arial" w:hAnsi="Arial" w:cs="Arial"/>
          <w:sz w:val="20"/>
          <w:szCs w:val="20"/>
        </w:rPr>
        <w:t xml:space="preserve">certain disclosure requirements (e.g. the financial effects of climate-related risks and opportunities, scope 3 emissions, and other cross-industry metrics), the HKEX </w:t>
      </w:r>
      <w:r w:rsidR="009A0954">
        <w:rPr>
          <w:rFonts w:ascii="Arial" w:hAnsi="Arial" w:cs="Arial"/>
          <w:sz w:val="20"/>
          <w:szCs w:val="20"/>
        </w:rPr>
        <w:t>is proposing</w:t>
      </w:r>
      <w:r w:rsidR="00766350" w:rsidRPr="002563BC">
        <w:rPr>
          <w:rFonts w:ascii="Arial" w:hAnsi="Arial" w:cs="Arial"/>
          <w:sz w:val="20"/>
          <w:szCs w:val="20"/>
        </w:rPr>
        <w:t xml:space="preserve"> </w:t>
      </w:r>
      <w:r w:rsidR="009A0954">
        <w:rPr>
          <w:rFonts w:ascii="Arial" w:hAnsi="Arial" w:cs="Arial"/>
          <w:sz w:val="20"/>
          <w:szCs w:val="20"/>
        </w:rPr>
        <w:t>interim provisions for these disclosures</w:t>
      </w:r>
      <w:r w:rsidR="003522EC">
        <w:rPr>
          <w:rFonts w:ascii="Arial" w:hAnsi="Arial" w:cs="Arial"/>
          <w:sz w:val="20"/>
          <w:szCs w:val="20"/>
        </w:rPr>
        <w:t xml:space="preserve"> during the first two reporting years</w:t>
      </w:r>
      <w:r w:rsidR="009A0954">
        <w:rPr>
          <w:rFonts w:ascii="Arial" w:hAnsi="Arial" w:cs="Arial"/>
          <w:sz w:val="20"/>
          <w:szCs w:val="20"/>
        </w:rPr>
        <w:t xml:space="preserve">. Full compliance will be required </w:t>
      </w:r>
      <w:r w:rsidR="00300A4B" w:rsidRPr="002563BC">
        <w:rPr>
          <w:rFonts w:ascii="Arial" w:hAnsi="Arial" w:cs="Arial"/>
          <w:sz w:val="20"/>
          <w:szCs w:val="20"/>
        </w:rPr>
        <w:t xml:space="preserve">in financial years commencing on or after </w:t>
      </w:r>
      <w:r w:rsidR="003522EC">
        <w:rPr>
          <w:rFonts w:ascii="Arial" w:hAnsi="Arial" w:cs="Arial"/>
          <w:sz w:val="20"/>
          <w:szCs w:val="20"/>
        </w:rPr>
        <w:t xml:space="preserve">1 </w:t>
      </w:r>
      <w:r w:rsidR="00300A4B" w:rsidRPr="002563BC">
        <w:rPr>
          <w:rFonts w:ascii="Arial" w:hAnsi="Arial" w:cs="Arial"/>
          <w:sz w:val="20"/>
          <w:szCs w:val="20"/>
        </w:rPr>
        <w:t xml:space="preserve">January 2026. </w:t>
      </w:r>
    </w:p>
    <w:p w:rsidR="00D22454" w:rsidRPr="002563BC" w:rsidRDefault="00D720A1" w:rsidP="002563BC">
      <w:pPr>
        <w:jc w:val="both"/>
        <w:rPr>
          <w:rFonts w:ascii="Arial" w:hAnsi="Arial" w:cs="Arial"/>
          <w:sz w:val="20"/>
          <w:szCs w:val="20"/>
        </w:rPr>
      </w:pPr>
      <w:r w:rsidRPr="002563BC">
        <w:rPr>
          <w:rFonts w:ascii="Arial" w:hAnsi="Arial" w:cs="Arial"/>
          <w:sz w:val="20"/>
          <w:szCs w:val="20"/>
        </w:rPr>
        <w:t>The d</w:t>
      </w:r>
      <w:r w:rsidR="00D22454" w:rsidRPr="002563BC">
        <w:rPr>
          <w:rFonts w:ascii="Arial" w:hAnsi="Arial" w:cs="Arial"/>
          <w:sz w:val="20"/>
          <w:szCs w:val="20"/>
        </w:rPr>
        <w:t xml:space="preserve">eadline for responding to the Consultation Paper is 14 July 2023.  </w:t>
      </w:r>
    </w:p>
    <w:p w:rsidR="00E36B35" w:rsidRPr="002563BC" w:rsidRDefault="00DB0A3D" w:rsidP="002563BC">
      <w:pPr>
        <w:jc w:val="both"/>
        <w:rPr>
          <w:rFonts w:ascii="Arial" w:hAnsi="Arial" w:cs="Arial"/>
          <w:b/>
          <w:sz w:val="20"/>
          <w:szCs w:val="20"/>
        </w:rPr>
      </w:pPr>
      <w:r w:rsidRPr="002563BC">
        <w:rPr>
          <w:rFonts w:ascii="Arial" w:hAnsi="Arial" w:cs="Arial"/>
          <w:b/>
          <w:sz w:val="20"/>
          <w:szCs w:val="20"/>
        </w:rPr>
        <w:lastRenderedPageBreak/>
        <w:t>Development</w:t>
      </w:r>
      <w:r w:rsidR="00E36B35" w:rsidRPr="002563BC">
        <w:rPr>
          <w:rFonts w:ascii="Arial" w:hAnsi="Arial" w:cs="Arial"/>
          <w:b/>
          <w:sz w:val="20"/>
          <w:szCs w:val="20"/>
        </w:rPr>
        <w:t xml:space="preserve"> of </w:t>
      </w:r>
      <w:r w:rsidR="00C255BA" w:rsidRPr="002563BC">
        <w:rPr>
          <w:rFonts w:ascii="Arial" w:hAnsi="Arial" w:cs="Arial"/>
          <w:b/>
          <w:sz w:val="20"/>
          <w:szCs w:val="20"/>
        </w:rPr>
        <w:t>Hong Kong’s</w:t>
      </w:r>
      <w:r w:rsidR="00E36B35" w:rsidRPr="002563BC">
        <w:rPr>
          <w:rFonts w:ascii="Arial" w:hAnsi="Arial" w:cs="Arial"/>
          <w:b/>
          <w:sz w:val="20"/>
          <w:szCs w:val="20"/>
        </w:rPr>
        <w:t xml:space="preserve"> ESG Reporting </w:t>
      </w:r>
      <w:r w:rsidR="00744774" w:rsidRPr="002563BC">
        <w:rPr>
          <w:rFonts w:ascii="Arial" w:hAnsi="Arial" w:cs="Arial"/>
          <w:b/>
          <w:sz w:val="20"/>
          <w:szCs w:val="20"/>
        </w:rPr>
        <w:t xml:space="preserve">Requirements </w:t>
      </w:r>
    </w:p>
    <w:p w:rsidR="00A570F1" w:rsidRPr="002563BC" w:rsidRDefault="00A570F1" w:rsidP="002563BC">
      <w:pPr>
        <w:jc w:val="both"/>
        <w:rPr>
          <w:rFonts w:ascii="Arial" w:hAnsi="Arial" w:cs="Arial"/>
          <w:sz w:val="20"/>
          <w:szCs w:val="20"/>
        </w:rPr>
      </w:pPr>
      <w:r w:rsidRPr="002563BC">
        <w:rPr>
          <w:rFonts w:ascii="Arial" w:hAnsi="Arial" w:cs="Arial"/>
          <w:sz w:val="20"/>
          <w:szCs w:val="20"/>
        </w:rPr>
        <w:t>Under the existing reporting framework, there are two levels of reporting requirements: mandatory disclosure requirements and “comply or explain” provisions. The “c</w:t>
      </w:r>
      <w:r w:rsidR="00615DB2" w:rsidRPr="002563BC">
        <w:rPr>
          <w:rFonts w:ascii="Arial" w:hAnsi="Arial" w:cs="Arial"/>
          <w:sz w:val="20"/>
          <w:szCs w:val="20"/>
        </w:rPr>
        <w:t>omply or explain” provisions currently</w:t>
      </w:r>
      <w:r w:rsidRPr="002563BC">
        <w:rPr>
          <w:rFonts w:ascii="Arial" w:hAnsi="Arial" w:cs="Arial"/>
          <w:sz w:val="20"/>
          <w:szCs w:val="20"/>
        </w:rPr>
        <w:t xml:space="preserve"> cover four </w:t>
      </w:r>
      <w:r w:rsidR="00C965E4" w:rsidRPr="002563BC">
        <w:rPr>
          <w:rFonts w:ascii="Arial" w:hAnsi="Arial" w:cs="Arial"/>
          <w:sz w:val="20"/>
          <w:szCs w:val="20"/>
        </w:rPr>
        <w:t>a</w:t>
      </w:r>
      <w:r w:rsidRPr="002563BC">
        <w:rPr>
          <w:rFonts w:ascii="Arial" w:hAnsi="Arial" w:cs="Arial"/>
          <w:sz w:val="20"/>
          <w:szCs w:val="20"/>
        </w:rPr>
        <w:t>spects under the “Environmental” subject area</w:t>
      </w:r>
      <w:r w:rsidR="00FE6265" w:rsidRPr="002563BC">
        <w:rPr>
          <w:rStyle w:val="a7"/>
          <w:rFonts w:ascii="Arial" w:hAnsi="Arial" w:cs="Arial"/>
          <w:sz w:val="20"/>
          <w:szCs w:val="20"/>
        </w:rPr>
        <w:footnoteReference w:id="2"/>
      </w:r>
      <w:r w:rsidRPr="002563BC">
        <w:rPr>
          <w:rFonts w:ascii="Arial" w:hAnsi="Arial" w:cs="Arial"/>
          <w:sz w:val="20"/>
          <w:szCs w:val="20"/>
        </w:rPr>
        <w:t xml:space="preserve"> and eight </w:t>
      </w:r>
      <w:r w:rsidR="00C965E4" w:rsidRPr="002563BC">
        <w:rPr>
          <w:rFonts w:ascii="Arial" w:hAnsi="Arial" w:cs="Arial"/>
          <w:sz w:val="20"/>
          <w:szCs w:val="20"/>
        </w:rPr>
        <w:t>a</w:t>
      </w:r>
      <w:r w:rsidRPr="002563BC">
        <w:rPr>
          <w:rFonts w:ascii="Arial" w:hAnsi="Arial" w:cs="Arial"/>
          <w:sz w:val="20"/>
          <w:szCs w:val="20"/>
        </w:rPr>
        <w:t>spects u</w:t>
      </w:r>
      <w:r w:rsidR="00571839">
        <w:rPr>
          <w:rFonts w:ascii="Arial" w:hAnsi="Arial" w:cs="Arial"/>
          <w:sz w:val="20"/>
          <w:szCs w:val="20"/>
        </w:rPr>
        <w:t>nder the “Social” subject area.</w:t>
      </w:r>
      <w:r w:rsidR="007B2C77" w:rsidRPr="002563BC">
        <w:rPr>
          <w:rStyle w:val="a7"/>
          <w:rFonts w:ascii="Arial" w:hAnsi="Arial" w:cs="Arial"/>
          <w:sz w:val="20"/>
          <w:szCs w:val="20"/>
        </w:rPr>
        <w:footnoteReference w:id="3"/>
      </w:r>
    </w:p>
    <w:p w:rsidR="00F452C5" w:rsidRPr="002563BC" w:rsidRDefault="00F452C5" w:rsidP="002563BC">
      <w:pPr>
        <w:jc w:val="both"/>
        <w:rPr>
          <w:rFonts w:ascii="Arial" w:hAnsi="Arial" w:cs="Arial"/>
          <w:sz w:val="20"/>
          <w:szCs w:val="20"/>
        </w:rPr>
      </w:pPr>
      <w:r w:rsidRPr="002563BC">
        <w:rPr>
          <w:rFonts w:ascii="Arial" w:hAnsi="Arial" w:cs="Arial"/>
          <w:sz w:val="20"/>
          <w:szCs w:val="20"/>
        </w:rPr>
        <w:t xml:space="preserve">To keep pace with </w:t>
      </w:r>
      <w:r w:rsidR="005B229A">
        <w:rPr>
          <w:rFonts w:ascii="Arial" w:hAnsi="Arial" w:cs="Arial"/>
          <w:sz w:val="20"/>
          <w:szCs w:val="20"/>
        </w:rPr>
        <w:t xml:space="preserve">the </w:t>
      </w:r>
      <w:r w:rsidRPr="002563BC">
        <w:rPr>
          <w:rFonts w:ascii="Arial" w:hAnsi="Arial" w:cs="Arial"/>
          <w:sz w:val="20"/>
          <w:szCs w:val="20"/>
        </w:rPr>
        <w:t>international development</w:t>
      </w:r>
      <w:r w:rsidR="007B2C77" w:rsidRPr="002563BC">
        <w:rPr>
          <w:rFonts w:ascii="Arial" w:hAnsi="Arial" w:cs="Arial"/>
          <w:sz w:val="20"/>
          <w:szCs w:val="20"/>
        </w:rPr>
        <w:t xml:space="preserve"> of climate-related disclosures standard</w:t>
      </w:r>
      <w:r w:rsidR="003522EC">
        <w:rPr>
          <w:rFonts w:ascii="Arial" w:hAnsi="Arial" w:cs="Arial"/>
          <w:sz w:val="20"/>
          <w:szCs w:val="20"/>
        </w:rPr>
        <w:t>s</w:t>
      </w:r>
      <w:r w:rsidRPr="002563BC">
        <w:rPr>
          <w:rFonts w:ascii="Arial" w:hAnsi="Arial" w:cs="Arial"/>
          <w:sz w:val="20"/>
          <w:szCs w:val="20"/>
        </w:rPr>
        <w:t xml:space="preserve">, the HKEX has made several enhancements to its ESG reporting framework in recent years. These included incorporation of certain key elements of the </w:t>
      </w:r>
      <w:r w:rsidR="00E87FCB" w:rsidRPr="002563BC">
        <w:rPr>
          <w:rFonts w:ascii="Arial" w:hAnsi="Arial" w:cs="Arial"/>
          <w:sz w:val="20"/>
          <w:szCs w:val="20"/>
        </w:rPr>
        <w:t>Task Force on Climate-related Financial Disclosures (</w:t>
      </w:r>
      <w:r w:rsidR="00E87FCB" w:rsidRPr="002563BC">
        <w:rPr>
          <w:rFonts w:ascii="Arial" w:hAnsi="Arial" w:cs="Arial"/>
          <w:b/>
          <w:sz w:val="20"/>
          <w:szCs w:val="20"/>
        </w:rPr>
        <w:t>TCFD</w:t>
      </w:r>
      <w:r w:rsidR="00E87FCB" w:rsidRPr="002563BC">
        <w:rPr>
          <w:rFonts w:ascii="Arial" w:hAnsi="Arial" w:cs="Arial"/>
          <w:sz w:val="20"/>
          <w:szCs w:val="20"/>
        </w:rPr>
        <w:t xml:space="preserve">) Recommendations </w:t>
      </w:r>
      <w:r w:rsidRPr="002563BC">
        <w:rPr>
          <w:rFonts w:ascii="Arial" w:hAnsi="Arial" w:cs="Arial"/>
          <w:sz w:val="20"/>
          <w:szCs w:val="20"/>
        </w:rPr>
        <w:t>in its ESG reporting framework in July 2020. The Hong Kong Green and Sustainable Finan</w:t>
      </w:r>
      <w:r w:rsidR="00E87FCB" w:rsidRPr="002563BC">
        <w:rPr>
          <w:rFonts w:ascii="Arial" w:hAnsi="Arial" w:cs="Arial"/>
          <w:sz w:val="20"/>
          <w:szCs w:val="20"/>
        </w:rPr>
        <w:t xml:space="preserve">ce Cross-Agency Steering </w:t>
      </w:r>
      <w:r w:rsidRPr="002563BC">
        <w:rPr>
          <w:rFonts w:ascii="Arial" w:hAnsi="Arial" w:cs="Arial"/>
          <w:sz w:val="20"/>
          <w:szCs w:val="20"/>
        </w:rPr>
        <w:t xml:space="preserve">Group </w:t>
      </w:r>
      <w:r w:rsidR="00E87FCB" w:rsidRPr="002563BC">
        <w:rPr>
          <w:rFonts w:ascii="Arial" w:hAnsi="Arial" w:cs="Arial"/>
          <w:sz w:val="20"/>
          <w:szCs w:val="20"/>
        </w:rPr>
        <w:t>(</w:t>
      </w:r>
      <w:r w:rsidR="00E87FCB" w:rsidRPr="002563BC">
        <w:rPr>
          <w:rFonts w:ascii="Arial" w:hAnsi="Arial" w:cs="Arial"/>
          <w:b/>
          <w:sz w:val="20"/>
          <w:szCs w:val="20"/>
        </w:rPr>
        <w:t>Steering Group</w:t>
      </w:r>
      <w:r w:rsidR="00E87FCB" w:rsidRPr="002563BC">
        <w:rPr>
          <w:rFonts w:ascii="Arial" w:hAnsi="Arial" w:cs="Arial"/>
          <w:sz w:val="20"/>
          <w:szCs w:val="20"/>
        </w:rPr>
        <w:t xml:space="preserve">) </w:t>
      </w:r>
      <w:r w:rsidR="00FF1D8F">
        <w:rPr>
          <w:rFonts w:ascii="Arial" w:hAnsi="Arial" w:cs="Arial"/>
          <w:sz w:val="20"/>
          <w:szCs w:val="20"/>
        </w:rPr>
        <w:t xml:space="preserve">has </w:t>
      </w:r>
      <w:r w:rsidRPr="002563BC">
        <w:rPr>
          <w:rFonts w:ascii="Arial" w:hAnsi="Arial" w:cs="Arial"/>
          <w:sz w:val="20"/>
          <w:szCs w:val="20"/>
        </w:rPr>
        <w:t>also</w:t>
      </w:r>
      <w:r w:rsidR="00FF1D8F">
        <w:rPr>
          <w:rFonts w:ascii="Arial" w:hAnsi="Arial" w:cs="Arial"/>
          <w:sz w:val="20"/>
          <w:szCs w:val="20"/>
        </w:rPr>
        <w:t xml:space="preserve"> announced an</w:t>
      </w:r>
      <w:r w:rsidR="00AE244C" w:rsidRPr="002563BC">
        <w:rPr>
          <w:rFonts w:ascii="Arial" w:hAnsi="Arial" w:cs="Arial"/>
          <w:sz w:val="20"/>
          <w:szCs w:val="20"/>
        </w:rPr>
        <w:t xml:space="preserve"> </w:t>
      </w:r>
      <w:r w:rsidR="00FF1D8F">
        <w:rPr>
          <w:rFonts w:ascii="Arial" w:hAnsi="Arial" w:cs="Arial"/>
          <w:sz w:val="20"/>
          <w:szCs w:val="20"/>
        </w:rPr>
        <w:t>objective for the financial sector to achieve</w:t>
      </w:r>
      <w:r w:rsidRPr="002563BC">
        <w:rPr>
          <w:rFonts w:ascii="Arial" w:hAnsi="Arial" w:cs="Arial"/>
          <w:sz w:val="20"/>
          <w:szCs w:val="20"/>
        </w:rPr>
        <w:t xml:space="preserve"> mandatory TCFD-aligned climate-related disclosures by 2025. </w:t>
      </w:r>
    </w:p>
    <w:p w:rsidR="00F362CA" w:rsidRPr="002563BC" w:rsidRDefault="00744774" w:rsidP="002563BC">
      <w:pPr>
        <w:jc w:val="both"/>
        <w:rPr>
          <w:rFonts w:ascii="Arial" w:hAnsi="Arial" w:cs="Arial"/>
          <w:sz w:val="20"/>
          <w:szCs w:val="20"/>
        </w:rPr>
      </w:pPr>
      <w:r w:rsidRPr="002563BC">
        <w:rPr>
          <w:rFonts w:ascii="Arial" w:hAnsi="Arial" w:cs="Arial"/>
          <w:sz w:val="20"/>
          <w:szCs w:val="20"/>
        </w:rPr>
        <w:t>In March 2022, the International Sustainability Standards Board (</w:t>
      </w:r>
      <w:r w:rsidRPr="002563BC">
        <w:rPr>
          <w:rFonts w:ascii="Arial" w:hAnsi="Arial" w:cs="Arial"/>
          <w:b/>
          <w:sz w:val="20"/>
          <w:szCs w:val="20"/>
        </w:rPr>
        <w:t>ISSB</w:t>
      </w:r>
      <w:r w:rsidRPr="002563BC">
        <w:rPr>
          <w:rFonts w:ascii="Arial" w:hAnsi="Arial" w:cs="Arial"/>
          <w:sz w:val="20"/>
          <w:szCs w:val="20"/>
        </w:rPr>
        <w:t xml:space="preserve">) published </w:t>
      </w:r>
      <w:hyperlink r:id="rId11" w:history="1">
        <w:r w:rsidRPr="002563BC">
          <w:rPr>
            <w:rStyle w:val="a3"/>
            <w:rFonts w:ascii="Arial" w:hAnsi="Arial" w:cs="Arial"/>
            <w:sz w:val="20"/>
            <w:szCs w:val="20"/>
          </w:rPr>
          <w:t>exposure drafts</w:t>
        </w:r>
      </w:hyperlink>
      <w:r w:rsidRPr="002563BC">
        <w:rPr>
          <w:rFonts w:ascii="Arial" w:hAnsi="Arial" w:cs="Arial"/>
          <w:sz w:val="20"/>
          <w:szCs w:val="20"/>
        </w:rPr>
        <w:t xml:space="preserve"> of the ISSB Climate Standard and ISSB General Standard. Built on the principles of the </w:t>
      </w:r>
      <w:r w:rsidR="00E87FCB" w:rsidRPr="002563BC">
        <w:rPr>
          <w:rFonts w:ascii="Arial" w:hAnsi="Arial" w:cs="Arial"/>
          <w:sz w:val="20"/>
          <w:szCs w:val="20"/>
        </w:rPr>
        <w:t>TCFD</w:t>
      </w:r>
      <w:r w:rsidRPr="002563BC">
        <w:rPr>
          <w:rFonts w:ascii="Arial" w:hAnsi="Arial" w:cs="Arial"/>
          <w:sz w:val="20"/>
          <w:szCs w:val="20"/>
        </w:rPr>
        <w:t xml:space="preserve"> Recommendations, the ISSB Climate Standard </w:t>
      </w:r>
      <w:r w:rsidR="006E01AF" w:rsidRPr="002563BC">
        <w:rPr>
          <w:rFonts w:ascii="Arial" w:hAnsi="Arial" w:cs="Arial"/>
          <w:sz w:val="20"/>
          <w:szCs w:val="20"/>
        </w:rPr>
        <w:t>will</w:t>
      </w:r>
      <w:r w:rsidRPr="002563BC">
        <w:rPr>
          <w:rFonts w:ascii="Arial" w:hAnsi="Arial" w:cs="Arial"/>
          <w:sz w:val="20"/>
          <w:szCs w:val="20"/>
        </w:rPr>
        <w:t xml:space="preserve"> become the global baseline for sustainability-related disclosures to address the rising need for transparent, consistent and comparable data by companies on climate and other ESG issues. After considering the feedback and holding a series of deliberations, the final standards are expected to be published by the end of the second quarter of 2023.</w:t>
      </w:r>
      <w:r w:rsidR="00F452C5" w:rsidRPr="002563BC">
        <w:rPr>
          <w:rFonts w:ascii="Arial" w:hAnsi="Arial" w:cs="Arial"/>
          <w:sz w:val="20"/>
          <w:szCs w:val="20"/>
        </w:rPr>
        <w:t xml:space="preserve"> </w:t>
      </w:r>
      <w:r w:rsidR="007D155F" w:rsidRPr="002563BC">
        <w:rPr>
          <w:rFonts w:ascii="Arial" w:hAnsi="Arial" w:cs="Arial"/>
          <w:sz w:val="20"/>
          <w:szCs w:val="20"/>
        </w:rPr>
        <w:t xml:space="preserve">The </w:t>
      </w:r>
      <w:r w:rsidR="00C20DDC">
        <w:rPr>
          <w:rFonts w:ascii="Arial" w:hAnsi="Arial" w:cs="Arial"/>
          <w:sz w:val="20"/>
          <w:szCs w:val="20"/>
        </w:rPr>
        <w:t xml:space="preserve">HKEX’s </w:t>
      </w:r>
      <w:r w:rsidR="00BE6A08" w:rsidRPr="002563BC">
        <w:rPr>
          <w:rFonts w:ascii="Arial" w:hAnsi="Arial" w:cs="Arial"/>
          <w:sz w:val="20"/>
          <w:szCs w:val="20"/>
        </w:rPr>
        <w:t>latest proposed</w:t>
      </w:r>
      <w:r w:rsidR="007D155F" w:rsidRPr="002563BC">
        <w:rPr>
          <w:rFonts w:ascii="Arial" w:hAnsi="Arial" w:cs="Arial"/>
          <w:sz w:val="20"/>
          <w:szCs w:val="20"/>
        </w:rPr>
        <w:t xml:space="preserve"> </w:t>
      </w:r>
      <w:r w:rsidR="00BE6A08" w:rsidRPr="002563BC">
        <w:rPr>
          <w:rFonts w:ascii="Arial" w:hAnsi="Arial" w:cs="Arial"/>
          <w:sz w:val="20"/>
          <w:szCs w:val="20"/>
        </w:rPr>
        <w:t xml:space="preserve">amendments to the </w:t>
      </w:r>
      <w:r w:rsidR="00FF1D8F">
        <w:rPr>
          <w:rFonts w:ascii="Arial" w:hAnsi="Arial" w:cs="Arial"/>
          <w:sz w:val="20"/>
          <w:szCs w:val="20"/>
        </w:rPr>
        <w:t xml:space="preserve">HKEX </w:t>
      </w:r>
      <w:r w:rsidR="00BE6A08" w:rsidRPr="002563BC">
        <w:rPr>
          <w:rFonts w:ascii="Arial" w:hAnsi="Arial" w:cs="Arial"/>
          <w:sz w:val="20"/>
          <w:szCs w:val="20"/>
        </w:rPr>
        <w:t>Listing Rules</w:t>
      </w:r>
      <w:r w:rsidR="00C91A7A" w:rsidRPr="002563BC">
        <w:rPr>
          <w:rFonts w:ascii="Arial" w:hAnsi="Arial" w:cs="Arial"/>
          <w:sz w:val="20"/>
          <w:szCs w:val="20"/>
        </w:rPr>
        <w:t xml:space="preserve">, which largely </w:t>
      </w:r>
      <w:r w:rsidR="00545271" w:rsidRPr="002563BC">
        <w:rPr>
          <w:rFonts w:ascii="Arial" w:hAnsi="Arial" w:cs="Arial"/>
          <w:sz w:val="20"/>
          <w:szCs w:val="20"/>
        </w:rPr>
        <w:t>adopt</w:t>
      </w:r>
      <w:r w:rsidR="00C91A7A" w:rsidRPr="002563BC">
        <w:rPr>
          <w:rFonts w:ascii="Arial" w:hAnsi="Arial" w:cs="Arial"/>
          <w:sz w:val="20"/>
          <w:szCs w:val="20"/>
        </w:rPr>
        <w:t xml:space="preserve"> the ISSB </w:t>
      </w:r>
      <w:r w:rsidR="00F112B2" w:rsidRPr="002563BC">
        <w:rPr>
          <w:rFonts w:ascii="Arial" w:hAnsi="Arial" w:cs="Arial"/>
          <w:sz w:val="20"/>
          <w:szCs w:val="20"/>
        </w:rPr>
        <w:t xml:space="preserve">Climate </w:t>
      </w:r>
      <w:r w:rsidR="00C20DDC">
        <w:rPr>
          <w:rFonts w:ascii="Arial" w:hAnsi="Arial" w:cs="Arial"/>
          <w:sz w:val="20"/>
          <w:szCs w:val="20"/>
        </w:rPr>
        <w:t>Standard</w:t>
      </w:r>
      <w:r w:rsidR="00C91A7A" w:rsidRPr="002563BC">
        <w:rPr>
          <w:rFonts w:ascii="Arial" w:hAnsi="Arial" w:cs="Arial"/>
          <w:sz w:val="20"/>
          <w:szCs w:val="20"/>
        </w:rPr>
        <w:t>,</w:t>
      </w:r>
      <w:r w:rsidR="00BE6A08" w:rsidRPr="002563BC">
        <w:rPr>
          <w:rFonts w:ascii="Arial" w:hAnsi="Arial" w:cs="Arial"/>
          <w:sz w:val="20"/>
          <w:szCs w:val="20"/>
        </w:rPr>
        <w:t xml:space="preserve"> </w:t>
      </w:r>
      <w:r w:rsidR="00B20008" w:rsidRPr="002563BC">
        <w:rPr>
          <w:rFonts w:ascii="Arial" w:hAnsi="Arial" w:cs="Arial"/>
          <w:sz w:val="20"/>
          <w:szCs w:val="20"/>
        </w:rPr>
        <w:t>are</w:t>
      </w:r>
      <w:r w:rsidR="00997108" w:rsidRPr="002563BC">
        <w:rPr>
          <w:rFonts w:ascii="Arial" w:hAnsi="Arial" w:cs="Arial"/>
          <w:sz w:val="20"/>
          <w:szCs w:val="20"/>
        </w:rPr>
        <w:t xml:space="preserve"> </w:t>
      </w:r>
      <w:r w:rsidR="00C20DDC">
        <w:rPr>
          <w:rFonts w:ascii="Arial" w:hAnsi="Arial" w:cs="Arial"/>
          <w:sz w:val="20"/>
          <w:szCs w:val="20"/>
        </w:rPr>
        <w:t xml:space="preserve">aimed at </w:t>
      </w:r>
      <w:r w:rsidR="003C2A9E" w:rsidRPr="002563BC">
        <w:rPr>
          <w:rFonts w:ascii="Arial" w:hAnsi="Arial" w:cs="Arial"/>
          <w:sz w:val="20"/>
          <w:szCs w:val="20"/>
        </w:rPr>
        <w:t>f</w:t>
      </w:r>
      <w:r w:rsidR="00C20DDC">
        <w:rPr>
          <w:rFonts w:ascii="Arial" w:hAnsi="Arial" w:cs="Arial"/>
          <w:sz w:val="20"/>
          <w:szCs w:val="20"/>
        </w:rPr>
        <w:t>acilitating</w:t>
      </w:r>
      <w:r w:rsidR="00C91A7A" w:rsidRPr="002563BC">
        <w:rPr>
          <w:rFonts w:ascii="Arial" w:hAnsi="Arial" w:cs="Arial"/>
          <w:sz w:val="20"/>
          <w:szCs w:val="20"/>
        </w:rPr>
        <w:t xml:space="preserve"> a smooth transition to mandatory climate-related disclosures by 2025. </w:t>
      </w:r>
    </w:p>
    <w:p w:rsidR="00F362CA" w:rsidRPr="002563BC" w:rsidRDefault="00F362CA" w:rsidP="002563BC">
      <w:pPr>
        <w:jc w:val="both"/>
        <w:rPr>
          <w:rFonts w:ascii="Arial" w:hAnsi="Arial" w:cs="Arial"/>
          <w:b/>
          <w:sz w:val="20"/>
          <w:szCs w:val="20"/>
        </w:rPr>
      </w:pPr>
      <w:r w:rsidRPr="002563BC">
        <w:rPr>
          <w:rFonts w:ascii="Arial" w:hAnsi="Arial" w:cs="Arial"/>
          <w:b/>
          <w:sz w:val="20"/>
          <w:szCs w:val="20"/>
        </w:rPr>
        <w:t xml:space="preserve">Governance </w:t>
      </w:r>
    </w:p>
    <w:p w:rsidR="006A0662" w:rsidRPr="002563BC" w:rsidRDefault="006A0662" w:rsidP="002563BC">
      <w:pPr>
        <w:jc w:val="both"/>
        <w:rPr>
          <w:rFonts w:ascii="Arial" w:hAnsi="Arial" w:cs="Arial"/>
          <w:sz w:val="20"/>
          <w:szCs w:val="20"/>
        </w:rPr>
      </w:pPr>
      <w:r w:rsidRPr="002563BC">
        <w:rPr>
          <w:rFonts w:ascii="Arial" w:hAnsi="Arial" w:cs="Arial"/>
          <w:sz w:val="20"/>
          <w:szCs w:val="20"/>
        </w:rPr>
        <w:t xml:space="preserve">Under the current ESG disclosure framework, issuers are </w:t>
      </w:r>
      <w:r w:rsidR="00C20DDC">
        <w:rPr>
          <w:rFonts w:ascii="Arial" w:hAnsi="Arial" w:cs="Arial"/>
          <w:sz w:val="20"/>
          <w:szCs w:val="20"/>
        </w:rPr>
        <w:t>requir</w:t>
      </w:r>
      <w:r w:rsidRPr="002563BC">
        <w:rPr>
          <w:rFonts w:ascii="Arial" w:hAnsi="Arial" w:cs="Arial"/>
          <w:sz w:val="20"/>
          <w:szCs w:val="20"/>
        </w:rPr>
        <w:t xml:space="preserve">ed to disclose the board’s oversight and governance of ESG issues, the board’s ESG management approach and strategy, and how the board reviews progress made against ESG-related goals and targets. </w:t>
      </w:r>
    </w:p>
    <w:p w:rsidR="006A0662" w:rsidRPr="002563BC" w:rsidRDefault="006A0662" w:rsidP="002563BC">
      <w:pPr>
        <w:jc w:val="both"/>
        <w:rPr>
          <w:rFonts w:ascii="Arial" w:hAnsi="Arial" w:cs="Arial"/>
          <w:sz w:val="20"/>
          <w:szCs w:val="20"/>
        </w:rPr>
      </w:pPr>
      <w:r w:rsidRPr="002563BC">
        <w:rPr>
          <w:rFonts w:ascii="Arial" w:hAnsi="Arial" w:cs="Arial"/>
          <w:sz w:val="20"/>
          <w:szCs w:val="20"/>
        </w:rPr>
        <w:t>Recogni</w:t>
      </w:r>
      <w:r w:rsidR="00C33B89">
        <w:rPr>
          <w:rFonts w:ascii="Arial" w:hAnsi="Arial" w:cs="Arial"/>
          <w:sz w:val="20"/>
          <w:szCs w:val="20"/>
        </w:rPr>
        <w:t>s</w:t>
      </w:r>
      <w:r w:rsidRPr="002563BC">
        <w:rPr>
          <w:rFonts w:ascii="Arial" w:hAnsi="Arial" w:cs="Arial"/>
          <w:sz w:val="20"/>
          <w:szCs w:val="20"/>
        </w:rPr>
        <w:t xml:space="preserve">ing the importance of the board’s role in driving sustainability practices and overseeing climate-related risks and opportunities, the HKEX proposes to incorporate the </w:t>
      </w:r>
      <w:r w:rsidR="00C20DDC">
        <w:rPr>
          <w:rFonts w:ascii="Arial" w:hAnsi="Arial" w:cs="Arial"/>
          <w:sz w:val="20"/>
          <w:szCs w:val="20"/>
        </w:rPr>
        <w:t xml:space="preserve">more detailed </w:t>
      </w:r>
      <w:r w:rsidRPr="002563BC">
        <w:rPr>
          <w:rFonts w:ascii="Arial" w:hAnsi="Arial" w:cs="Arial"/>
          <w:sz w:val="20"/>
          <w:szCs w:val="20"/>
        </w:rPr>
        <w:t xml:space="preserve">governance </w:t>
      </w:r>
      <w:r w:rsidR="00C20DDC">
        <w:rPr>
          <w:rFonts w:ascii="Arial" w:hAnsi="Arial" w:cs="Arial"/>
          <w:sz w:val="20"/>
          <w:szCs w:val="20"/>
        </w:rPr>
        <w:t xml:space="preserve">disclosures </w:t>
      </w:r>
      <w:r w:rsidRPr="002563BC">
        <w:rPr>
          <w:rFonts w:ascii="Arial" w:hAnsi="Arial" w:cs="Arial"/>
          <w:sz w:val="20"/>
          <w:szCs w:val="20"/>
        </w:rPr>
        <w:t>under the ISSB Climate Standard into its ESG disclosure framework. The existing ESG governance disclosures will remain in place.</w:t>
      </w:r>
    </w:p>
    <w:p w:rsidR="006A0662" w:rsidRPr="002563BC" w:rsidRDefault="006A0662" w:rsidP="002563BC">
      <w:pPr>
        <w:jc w:val="both"/>
        <w:rPr>
          <w:rFonts w:ascii="Arial" w:hAnsi="Arial" w:cs="Arial"/>
          <w:sz w:val="20"/>
          <w:szCs w:val="20"/>
        </w:rPr>
      </w:pPr>
      <w:r w:rsidRPr="002563BC">
        <w:rPr>
          <w:rFonts w:ascii="Arial" w:hAnsi="Arial" w:cs="Arial"/>
          <w:sz w:val="20"/>
          <w:szCs w:val="20"/>
        </w:rPr>
        <w:t xml:space="preserve">The proposed governance requirements </w:t>
      </w:r>
      <w:r w:rsidR="00C96281">
        <w:rPr>
          <w:rFonts w:ascii="Arial" w:hAnsi="Arial" w:cs="Arial"/>
          <w:sz w:val="20"/>
          <w:szCs w:val="20"/>
        </w:rPr>
        <w:t>require i</w:t>
      </w:r>
      <w:r w:rsidRPr="002563BC">
        <w:rPr>
          <w:rFonts w:ascii="Arial" w:hAnsi="Arial" w:cs="Arial"/>
          <w:sz w:val="20"/>
          <w:szCs w:val="20"/>
        </w:rPr>
        <w:t xml:space="preserve">ssuers to disclose: </w:t>
      </w:r>
    </w:p>
    <w:p w:rsidR="00F362CA" w:rsidRPr="002563BC" w:rsidRDefault="00F362CA" w:rsidP="002563BC">
      <w:pPr>
        <w:pStyle w:val="a4"/>
        <w:numPr>
          <w:ilvl w:val="0"/>
          <w:numId w:val="8"/>
        </w:numPr>
        <w:jc w:val="both"/>
        <w:rPr>
          <w:rFonts w:ascii="Arial" w:hAnsi="Arial" w:cs="Arial"/>
          <w:sz w:val="20"/>
          <w:szCs w:val="20"/>
        </w:rPr>
      </w:pPr>
      <w:r w:rsidRPr="002563BC">
        <w:rPr>
          <w:rFonts w:ascii="Arial" w:hAnsi="Arial" w:cs="Arial"/>
          <w:sz w:val="20"/>
          <w:szCs w:val="20"/>
        </w:rPr>
        <w:t xml:space="preserve">the identity of any board committee or board members responsible for oversight of climate-related risks and </w:t>
      </w:r>
      <w:r w:rsidR="005B63E6" w:rsidRPr="002563BC">
        <w:rPr>
          <w:rFonts w:ascii="Arial" w:hAnsi="Arial" w:cs="Arial"/>
          <w:sz w:val="20"/>
          <w:szCs w:val="20"/>
        </w:rPr>
        <w:t>opportunities;</w:t>
      </w:r>
    </w:p>
    <w:p w:rsidR="00F362CA" w:rsidRPr="002563BC" w:rsidRDefault="00F362CA" w:rsidP="002563BC">
      <w:pPr>
        <w:pStyle w:val="a4"/>
        <w:numPr>
          <w:ilvl w:val="0"/>
          <w:numId w:val="8"/>
        </w:numPr>
        <w:jc w:val="both"/>
        <w:rPr>
          <w:rFonts w:ascii="Arial" w:hAnsi="Arial" w:cs="Arial"/>
          <w:sz w:val="20"/>
          <w:szCs w:val="20"/>
        </w:rPr>
      </w:pPr>
      <w:r w:rsidRPr="002563BC">
        <w:rPr>
          <w:rFonts w:ascii="Arial" w:hAnsi="Arial" w:cs="Arial"/>
          <w:sz w:val="20"/>
          <w:szCs w:val="20"/>
        </w:rPr>
        <w:t>how the board ensures t</w:t>
      </w:r>
      <w:r w:rsidR="005B63E6" w:rsidRPr="002563BC">
        <w:rPr>
          <w:rFonts w:ascii="Arial" w:hAnsi="Arial" w:cs="Arial"/>
          <w:sz w:val="20"/>
          <w:szCs w:val="20"/>
        </w:rPr>
        <w:t xml:space="preserve">hat the appropriate skills and </w:t>
      </w:r>
      <w:r w:rsidRPr="002563BC">
        <w:rPr>
          <w:rFonts w:ascii="Arial" w:hAnsi="Arial" w:cs="Arial"/>
          <w:sz w:val="20"/>
          <w:szCs w:val="20"/>
        </w:rPr>
        <w:t>competencies are a</w:t>
      </w:r>
      <w:r w:rsidR="005B63E6" w:rsidRPr="002563BC">
        <w:rPr>
          <w:rFonts w:ascii="Arial" w:hAnsi="Arial" w:cs="Arial"/>
          <w:sz w:val="20"/>
          <w:szCs w:val="20"/>
        </w:rPr>
        <w:t xml:space="preserve">vailable to oversee strategies </w:t>
      </w:r>
      <w:r w:rsidRPr="002563BC">
        <w:rPr>
          <w:rFonts w:ascii="Arial" w:hAnsi="Arial" w:cs="Arial"/>
          <w:sz w:val="20"/>
          <w:szCs w:val="20"/>
        </w:rPr>
        <w:t>designed to respo</w:t>
      </w:r>
      <w:r w:rsidR="005B63E6" w:rsidRPr="002563BC">
        <w:rPr>
          <w:rFonts w:ascii="Arial" w:hAnsi="Arial" w:cs="Arial"/>
          <w:sz w:val="20"/>
          <w:szCs w:val="20"/>
        </w:rPr>
        <w:t xml:space="preserve">nd to climate-related risks and </w:t>
      </w:r>
      <w:r w:rsidRPr="002563BC">
        <w:rPr>
          <w:rFonts w:ascii="Arial" w:hAnsi="Arial" w:cs="Arial"/>
          <w:sz w:val="20"/>
          <w:szCs w:val="20"/>
        </w:rPr>
        <w:t>opportunities;</w:t>
      </w:r>
    </w:p>
    <w:p w:rsidR="00F362CA" w:rsidRPr="002563BC" w:rsidRDefault="00F362CA" w:rsidP="002563BC">
      <w:pPr>
        <w:pStyle w:val="a4"/>
        <w:numPr>
          <w:ilvl w:val="0"/>
          <w:numId w:val="8"/>
        </w:numPr>
        <w:jc w:val="both"/>
        <w:rPr>
          <w:rFonts w:ascii="Arial" w:hAnsi="Arial" w:cs="Arial"/>
          <w:sz w:val="20"/>
          <w:szCs w:val="20"/>
        </w:rPr>
      </w:pPr>
      <w:r w:rsidRPr="002563BC">
        <w:rPr>
          <w:rFonts w:ascii="Arial" w:hAnsi="Arial" w:cs="Arial"/>
          <w:sz w:val="20"/>
          <w:szCs w:val="20"/>
        </w:rPr>
        <w:t>how and how often th</w:t>
      </w:r>
      <w:r w:rsidR="005B63E6" w:rsidRPr="002563BC">
        <w:rPr>
          <w:rFonts w:ascii="Arial" w:hAnsi="Arial" w:cs="Arial"/>
          <w:sz w:val="20"/>
          <w:szCs w:val="20"/>
        </w:rPr>
        <w:t xml:space="preserve">e board and its committees are </w:t>
      </w:r>
      <w:r w:rsidRPr="002563BC">
        <w:rPr>
          <w:rFonts w:ascii="Arial" w:hAnsi="Arial" w:cs="Arial"/>
          <w:sz w:val="20"/>
          <w:szCs w:val="20"/>
        </w:rPr>
        <w:t>informed about climate-related risks and opportunities;</w:t>
      </w:r>
    </w:p>
    <w:p w:rsidR="00F362CA" w:rsidRPr="002563BC" w:rsidRDefault="00F362CA" w:rsidP="002563BC">
      <w:pPr>
        <w:pStyle w:val="a4"/>
        <w:numPr>
          <w:ilvl w:val="0"/>
          <w:numId w:val="8"/>
        </w:numPr>
        <w:jc w:val="both"/>
        <w:rPr>
          <w:rFonts w:ascii="Arial" w:hAnsi="Arial" w:cs="Arial"/>
          <w:sz w:val="20"/>
          <w:szCs w:val="20"/>
        </w:rPr>
      </w:pPr>
      <w:r w:rsidRPr="002563BC">
        <w:rPr>
          <w:rFonts w:ascii="Arial" w:hAnsi="Arial" w:cs="Arial"/>
          <w:sz w:val="20"/>
          <w:szCs w:val="20"/>
        </w:rPr>
        <w:t>how the board and its commi</w:t>
      </w:r>
      <w:r w:rsidR="005B63E6" w:rsidRPr="002563BC">
        <w:rPr>
          <w:rFonts w:ascii="Arial" w:hAnsi="Arial" w:cs="Arial"/>
          <w:sz w:val="20"/>
          <w:szCs w:val="20"/>
        </w:rPr>
        <w:t xml:space="preserve">ttees consider climate-related </w:t>
      </w:r>
      <w:r w:rsidRPr="002563BC">
        <w:rPr>
          <w:rFonts w:ascii="Arial" w:hAnsi="Arial" w:cs="Arial"/>
          <w:sz w:val="20"/>
          <w:szCs w:val="20"/>
        </w:rPr>
        <w:t>risks and opportunitie</w:t>
      </w:r>
      <w:r w:rsidR="005B63E6" w:rsidRPr="002563BC">
        <w:rPr>
          <w:rFonts w:ascii="Arial" w:hAnsi="Arial" w:cs="Arial"/>
          <w:sz w:val="20"/>
          <w:szCs w:val="20"/>
        </w:rPr>
        <w:t xml:space="preserve">s when overseeing the issuer’s </w:t>
      </w:r>
      <w:r w:rsidRPr="002563BC">
        <w:rPr>
          <w:rFonts w:ascii="Arial" w:hAnsi="Arial" w:cs="Arial"/>
          <w:sz w:val="20"/>
          <w:szCs w:val="20"/>
        </w:rPr>
        <w:t>strategy, its decisions on ma</w:t>
      </w:r>
      <w:r w:rsidR="005B63E6" w:rsidRPr="002563BC">
        <w:rPr>
          <w:rFonts w:ascii="Arial" w:hAnsi="Arial" w:cs="Arial"/>
          <w:sz w:val="20"/>
          <w:szCs w:val="20"/>
        </w:rPr>
        <w:t xml:space="preserve">jor transactions, and its risk </w:t>
      </w:r>
      <w:r w:rsidRPr="002563BC">
        <w:rPr>
          <w:rFonts w:ascii="Arial" w:hAnsi="Arial" w:cs="Arial"/>
          <w:sz w:val="20"/>
          <w:szCs w:val="20"/>
        </w:rPr>
        <w:t xml:space="preserve">management policies; </w:t>
      </w:r>
    </w:p>
    <w:p w:rsidR="00F362CA" w:rsidRPr="002563BC" w:rsidRDefault="00F362CA" w:rsidP="002563BC">
      <w:pPr>
        <w:pStyle w:val="a4"/>
        <w:numPr>
          <w:ilvl w:val="0"/>
          <w:numId w:val="8"/>
        </w:numPr>
        <w:jc w:val="both"/>
        <w:rPr>
          <w:rFonts w:ascii="Arial" w:hAnsi="Arial" w:cs="Arial"/>
          <w:sz w:val="20"/>
          <w:szCs w:val="20"/>
        </w:rPr>
      </w:pPr>
      <w:r w:rsidRPr="002563BC">
        <w:rPr>
          <w:rFonts w:ascii="Arial" w:hAnsi="Arial" w:cs="Arial"/>
          <w:sz w:val="20"/>
          <w:szCs w:val="20"/>
        </w:rPr>
        <w:t>how the board and its committees oversee the setting</w:t>
      </w:r>
      <w:r w:rsidR="005B63E6" w:rsidRPr="002563BC">
        <w:rPr>
          <w:rFonts w:ascii="Arial" w:hAnsi="Arial" w:cs="Arial"/>
          <w:sz w:val="20"/>
          <w:szCs w:val="20"/>
        </w:rPr>
        <w:t xml:space="preserve"> of, </w:t>
      </w:r>
      <w:r w:rsidRPr="002563BC">
        <w:rPr>
          <w:rFonts w:ascii="Arial" w:hAnsi="Arial" w:cs="Arial"/>
          <w:sz w:val="20"/>
          <w:szCs w:val="20"/>
        </w:rPr>
        <w:t>and monitor and review pro</w:t>
      </w:r>
      <w:r w:rsidR="005B63E6" w:rsidRPr="002563BC">
        <w:rPr>
          <w:rFonts w:ascii="Arial" w:hAnsi="Arial" w:cs="Arial"/>
          <w:sz w:val="20"/>
          <w:szCs w:val="20"/>
        </w:rPr>
        <w:t xml:space="preserve">gress towards, targets related </w:t>
      </w:r>
      <w:r w:rsidRPr="002563BC">
        <w:rPr>
          <w:rFonts w:ascii="Arial" w:hAnsi="Arial" w:cs="Arial"/>
          <w:sz w:val="20"/>
          <w:szCs w:val="20"/>
        </w:rPr>
        <w:t>to significant climate-re</w:t>
      </w:r>
      <w:r w:rsidR="005B63E6" w:rsidRPr="002563BC">
        <w:rPr>
          <w:rFonts w:ascii="Arial" w:hAnsi="Arial" w:cs="Arial"/>
          <w:sz w:val="20"/>
          <w:szCs w:val="20"/>
        </w:rPr>
        <w:t xml:space="preserve">lated risks and opportunities, </w:t>
      </w:r>
      <w:r w:rsidRPr="002563BC">
        <w:rPr>
          <w:rFonts w:ascii="Arial" w:hAnsi="Arial" w:cs="Arial"/>
          <w:sz w:val="20"/>
          <w:szCs w:val="20"/>
        </w:rPr>
        <w:t>including whether and h</w:t>
      </w:r>
      <w:r w:rsidR="005B63E6" w:rsidRPr="002563BC">
        <w:rPr>
          <w:rFonts w:ascii="Arial" w:hAnsi="Arial" w:cs="Arial"/>
          <w:sz w:val="20"/>
          <w:szCs w:val="20"/>
        </w:rPr>
        <w:t xml:space="preserve">ow related performance metrics </w:t>
      </w:r>
      <w:r w:rsidRPr="002563BC">
        <w:rPr>
          <w:rFonts w:ascii="Arial" w:hAnsi="Arial" w:cs="Arial"/>
          <w:sz w:val="20"/>
          <w:szCs w:val="20"/>
        </w:rPr>
        <w:t>are included in remuneration policies; and</w:t>
      </w:r>
    </w:p>
    <w:p w:rsidR="00F362CA" w:rsidRPr="002563BC" w:rsidRDefault="00F362CA" w:rsidP="002563BC">
      <w:pPr>
        <w:pStyle w:val="a4"/>
        <w:numPr>
          <w:ilvl w:val="0"/>
          <w:numId w:val="8"/>
        </w:numPr>
        <w:jc w:val="both"/>
        <w:rPr>
          <w:rFonts w:ascii="Arial" w:hAnsi="Arial" w:cs="Arial"/>
          <w:sz w:val="20"/>
          <w:szCs w:val="20"/>
        </w:rPr>
      </w:pPr>
      <w:r w:rsidRPr="002563BC">
        <w:rPr>
          <w:rFonts w:ascii="Arial" w:hAnsi="Arial" w:cs="Arial"/>
          <w:sz w:val="20"/>
          <w:szCs w:val="20"/>
        </w:rPr>
        <w:t>a description of management’s rol</w:t>
      </w:r>
      <w:r w:rsidR="005B63E6" w:rsidRPr="002563BC">
        <w:rPr>
          <w:rFonts w:ascii="Arial" w:hAnsi="Arial" w:cs="Arial"/>
          <w:sz w:val="20"/>
          <w:szCs w:val="20"/>
        </w:rPr>
        <w:t xml:space="preserve">e in assessing and </w:t>
      </w:r>
      <w:r w:rsidRPr="002563BC">
        <w:rPr>
          <w:rFonts w:ascii="Arial" w:hAnsi="Arial" w:cs="Arial"/>
          <w:sz w:val="20"/>
          <w:szCs w:val="20"/>
        </w:rPr>
        <w:t>managing climate-re</w:t>
      </w:r>
      <w:r w:rsidR="005B63E6" w:rsidRPr="002563BC">
        <w:rPr>
          <w:rFonts w:ascii="Arial" w:hAnsi="Arial" w:cs="Arial"/>
          <w:sz w:val="20"/>
          <w:szCs w:val="20"/>
        </w:rPr>
        <w:t xml:space="preserve">lated risks and opportunities, </w:t>
      </w:r>
      <w:r w:rsidRPr="002563BC">
        <w:rPr>
          <w:rFonts w:ascii="Arial" w:hAnsi="Arial" w:cs="Arial"/>
          <w:sz w:val="20"/>
          <w:szCs w:val="20"/>
        </w:rPr>
        <w:t>including:</w:t>
      </w:r>
    </w:p>
    <w:p w:rsidR="00F362CA" w:rsidRPr="002563BC" w:rsidRDefault="00F362CA" w:rsidP="002563BC">
      <w:pPr>
        <w:pStyle w:val="a4"/>
        <w:numPr>
          <w:ilvl w:val="1"/>
          <w:numId w:val="8"/>
        </w:numPr>
        <w:jc w:val="both"/>
        <w:rPr>
          <w:rFonts w:ascii="Arial" w:hAnsi="Arial" w:cs="Arial"/>
          <w:sz w:val="20"/>
          <w:szCs w:val="20"/>
        </w:rPr>
      </w:pPr>
      <w:r w:rsidRPr="002563BC">
        <w:rPr>
          <w:rFonts w:ascii="Arial" w:hAnsi="Arial" w:cs="Arial"/>
          <w:sz w:val="20"/>
          <w:szCs w:val="20"/>
        </w:rPr>
        <w:lastRenderedPageBreak/>
        <w:t>the scope of climat</w:t>
      </w:r>
      <w:r w:rsidR="005B63E6" w:rsidRPr="002563BC">
        <w:rPr>
          <w:rFonts w:ascii="Arial" w:hAnsi="Arial" w:cs="Arial"/>
          <w:sz w:val="20"/>
          <w:szCs w:val="20"/>
        </w:rPr>
        <w:t xml:space="preserve">e-related responsibilities and </w:t>
      </w:r>
      <w:r w:rsidRPr="002563BC">
        <w:rPr>
          <w:rFonts w:ascii="Arial" w:hAnsi="Arial" w:cs="Arial"/>
          <w:sz w:val="20"/>
          <w:szCs w:val="20"/>
        </w:rPr>
        <w:t>duties performed by m</w:t>
      </w:r>
      <w:r w:rsidR="005B63E6" w:rsidRPr="002563BC">
        <w:rPr>
          <w:rFonts w:ascii="Arial" w:hAnsi="Arial" w:cs="Arial"/>
          <w:sz w:val="20"/>
          <w:szCs w:val="20"/>
        </w:rPr>
        <w:t xml:space="preserve">anagement-level position(s) or </w:t>
      </w:r>
      <w:r w:rsidRPr="002563BC">
        <w:rPr>
          <w:rFonts w:ascii="Arial" w:hAnsi="Arial" w:cs="Arial"/>
          <w:sz w:val="20"/>
          <w:szCs w:val="20"/>
        </w:rPr>
        <w:t>committee(s);</w:t>
      </w:r>
    </w:p>
    <w:p w:rsidR="00F362CA" w:rsidRPr="002563BC" w:rsidRDefault="00F362CA" w:rsidP="002563BC">
      <w:pPr>
        <w:pStyle w:val="a4"/>
        <w:numPr>
          <w:ilvl w:val="1"/>
          <w:numId w:val="8"/>
        </w:numPr>
        <w:jc w:val="both"/>
        <w:rPr>
          <w:rFonts w:ascii="Arial" w:hAnsi="Arial" w:cs="Arial"/>
          <w:sz w:val="20"/>
          <w:szCs w:val="20"/>
        </w:rPr>
      </w:pPr>
      <w:r w:rsidRPr="002563BC">
        <w:rPr>
          <w:rFonts w:ascii="Arial" w:hAnsi="Arial" w:cs="Arial"/>
          <w:sz w:val="20"/>
          <w:szCs w:val="20"/>
        </w:rPr>
        <w:t>how the board’s oversight is exercised over suc</w:t>
      </w:r>
      <w:r w:rsidR="005B63E6" w:rsidRPr="002563BC">
        <w:rPr>
          <w:rFonts w:ascii="Arial" w:hAnsi="Arial" w:cs="Arial"/>
          <w:sz w:val="20"/>
          <w:szCs w:val="20"/>
        </w:rPr>
        <w:t xml:space="preserve">h </w:t>
      </w:r>
      <w:r w:rsidRPr="002563BC">
        <w:rPr>
          <w:rFonts w:ascii="Arial" w:hAnsi="Arial" w:cs="Arial"/>
          <w:sz w:val="20"/>
          <w:szCs w:val="20"/>
        </w:rPr>
        <w:t xml:space="preserve">management-level position(s) or committee(s); and </w:t>
      </w:r>
    </w:p>
    <w:p w:rsidR="00F362CA" w:rsidRPr="002563BC" w:rsidRDefault="00F362CA" w:rsidP="002563BC">
      <w:pPr>
        <w:pStyle w:val="a4"/>
        <w:numPr>
          <w:ilvl w:val="1"/>
          <w:numId w:val="8"/>
        </w:numPr>
        <w:jc w:val="both"/>
        <w:rPr>
          <w:rFonts w:ascii="Arial" w:hAnsi="Arial" w:cs="Arial"/>
          <w:sz w:val="20"/>
          <w:szCs w:val="20"/>
        </w:rPr>
      </w:pPr>
      <w:r w:rsidRPr="002563BC">
        <w:rPr>
          <w:rFonts w:ascii="Arial" w:hAnsi="Arial" w:cs="Arial"/>
          <w:sz w:val="20"/>
          <w:szCs w:val="20"/>
        </w:rPr>
        <w:t>whether dedicat</w:t>
      </w:r>
      <w:r w:rsidR="005B63E6" w:rsidRPr="002563BC">
        <w:rPr>
          <w:rFonts w:ascii="Arial" w:hAnsi="Arial" w:cs="Arial"/>
          <w:sz w:val="20"/>
          <w:szCs w:val="20"/>
        </w:rPr>
        <w:t xml:space="preserve">ed controls and procedures are </w:t>
      </w:r>
      <w:r w:rsidRPr="002563BC">
        <w:rPr>
          <w:rFonts w:ascii="Arial" w:hAnsi="Arial" w:cs="Arial"/>
          <w:sz w:val="20"/>
          <w:szCs w:val="20"/>
        </w:rPr>
        <w:t>applied to the issuer’s</w:t>
      </w:r>
      <w:r w:rsidR="005B63E6" w:rsidRPr="002563BC">
        <w:rPr>
          <w:rFonts w:ascii="Arial" w:hAnsi="Arial" w:cs="Arial"/>
          <w:sz w:val="20"/>
          <w:szCs w:val="20"/>
        </w:rPr>
        <w:t xml:space="preserve"> management of climate-related </w:t>
      </w:r>
      <w:r w:rsidRPr="002563BC">
        <w:rPr>
          <w:rFonts w:ascii="Arial" w:hAnsi="Arial" w:cs="Arial"/>
          <w:sz w:val="20"/>
          <w:szCs w:val="20"/>
        </w:rPr>
        <w:t>risks and opportunities.</w:t>
      </w:r>
    </w:p>
    <w:p w:rsidR="00282EB9" w:rsidRPr="002563BC" w:rsidRDefault="004C6A2D" w:rsidP="002563BC">
      <w:pPr>
        <w:jc w:val="both"/>
        <w:rPr>
          <w:rFonts w:ascii="Arial" w:hAnsi="Arial" w:cs="Arial"/>
          <w:b/>
          <w:sz w:val="20"/>
          <w:szCs w:val="20"/>
        </w:rPr>
      </w:pPr>
      <w:r w:rsidRPr="002563BC">
        <w:rPr>
          <w:rFonts w:ascii="Arial" w:hAnsi="Arial" w:cs="Arial"/>
          <w:b/>
          <w:sz w:val="20"/>
          <w:szCs w:val="20"/>
        </w:rPr>
        <w:t xml:space="preserve">Strategy </w:t>
      </w:r>
    </w:p>
    <w:p w:rsidR="000E7A68" w:rsidRPr="002563BC" w:rsidRDefault="000E7A68" w:rsidP="002563BC">
      <w:pPr>
        <w:jc w:val="both"/>
        <w:rPr>
          <w:rFonts w:ascii="Arial" w:hAnsi="Arial" w:cs="Arial"/>
          <w:sz w:val="20"/>
          <w:szCs w:val="20"/>
          <w:u w:val="single"/>
        </w:rPr>
      </w:pPr>
      <w:r w:rsidRPr="002563BC">
        <w:rPr>
          <w:rFonts w:ascii="Arial" w:hAnsi="Arial" w:cs="Arial"/>
          <w:sz w:val="20"/>
          <w:szCs w:val="20"/>
          <w:u w:val="single"/>
        </w:rPr>
        <w:t xml:space="preserve">Climate-related risks and opportunities </w:t>
      </w:r>
    </w:p>
    <w:p w:rsidR="00FC1C2F" w:rsidRPr="002563BC" w:rsidRDefault="00AD7D88" w:rsidP="002563BC">
      <w:pPr>
        <w:jc w:val="both"/>
        <w:rPr>
          <w:rFonts w:ascii="Arial" w:hAnsi="Arial" w:cs="Arial"/>
          <w:sz w:val="20"/>
          <w:szCs w:val="20"/>
        </w:rPr>
      </w:pPr>
      <w:r w:rsidRPr="002563BC">
        <w:rPr>
          <w:rFonts w:ascii="Arial" w:hAnsi="Arial" w:cs="Arial"/>
          <w:sz w:val="20"/>
          <w:szCs w:val="20"/>
        </w:rPr>
        <w:t>The HKEX notes that c</w:t>
      </w:r>
      <w:r w:rsidR="00FC1C2F" w:rsidRPr="002563BC">
        <w:rPr>
          <w:rFonts w:ascii="Arial" w:hAnsi="Arial" w:cs="Arial"/>
          <w:sz w:val="20"/>
          <w:szCs w:val="20"/>
        </w:rPr>
        <w:t>limate-related risks vary</w:t>
      </w:r>
      <w:r w:rsidRPr="002563BC">
        <w:rPr>
          <w:rFonts w:ascii="Arial" w:hAnsi="Arial" w:cs="Arial"/>
          <w:sz w:val="20"/>
          <w:szCs w:val="20"/>
        </w:rPr>
        <w:t xml:space="preserve"> </w:t>
      </w:r>
      <w:r w:rsidR="00FC1C2F" w:rsidRPr="002563BC">
        <w:rPr>
          <w:rFonts w:ascii="Arial" w:hAnsi="Arial" w:cs="Arial"/>
          <w:sz w:val="20"/>
          <w:szCs w:val="20"/>
        </w:rPr>
        <w:t xml:space="preserve">among issuers, depending on their industry sector and </w:t>
      </w:r>
      <w:r w:rsidR="00FC705B">
        <w:rPr>
          <w:rFonts w:ascii="Arial" w:hAnsi="Arial" w:cs="Arial"/>
          <w:sz w:val="20"/>
          <w:szCs w:val="20"/>
        </w:rPr>
        <w:t xml:space="preserve">the </w:t>
      </w:r>
      <w:r w:rsidR="00FC1C2F" w:rsidRPr="002563BC">
        <w:rPr>
          <w:rFonts w:ascii="Arial" w:hAnsi="Arial" w:cs="Arial"/>
          <w:sz w:val="20"/>
          <w:szCs w:val="20"/>
        </w:rPr>
        <w:t xml:space="preserve">location of </w:t>
      </w:r>
      <w:r w:rsidR="00FC705B">
        <w:rPr>
          <w:rFonts w:ascii="Arial" w:hAnsi="Arial" w:cs="Arial"/>
          <w:sz w:val="20"/>
          <w:szCs w:val="20"/>
        </w:rPr>
        <w:t xml:space="preserve">their </w:t>
      </w:r>
      <w:r w:rsidR="00FC1C2F" w:rsidRPr="002563BC">
        <w:rPr>
          <w:rFonts w:ascii="Arial" w:hAnsi="Arial" w:cs="Arial"/>
          <w:sz w:val="20"/>
          <w:szCs w:val="20"/>
        </w:rPr>
        <w:t xml:space="preserve">operations. </w:t>
      </w:r>
      <w:r w:rsidR="00FC705B">
        <w:rPr>
          <w:rFonts w:ascii="Arial" w:hAnsi="Arial" w:cs="Arial"/>
          <w:sz w:val="20"/>
          <w:szCs w:val="20"/>
        </w:rPr>
        <w:t>It expects i</w:t>
      </w:r>
      <w:r w:rsidRPr="002563BC">
        <w:rPr>
          <w:rFonts w:ascii="Arial" w:hAnsi="Arial" w:cs="Arial"/>
          <w:sz w:val="20"/>
          <w:szCs w:val="20"/>
        </w:rPr>
        <w:t xml:space="preserve">ssuers to </w:t>
      </w:r>
      <w:r w:rsidR="00FC1C2F" w:rsidRPr="002563BC">
        <w:rPr>
          <w:rFonts w:ascii="Arial" w:hAnsi="Arial" w:cs="Arial"/>
          <w:sz w:val="20"/>
          <w:szCs w:val="20"/>
        </w:rPr>
        <w:t>identify</w:t>
      </w:r>
      <w:r w:rsidR="00FC705B">
        <w:rPr>
          <w:rFonts w:ascii="Arial" w:hAnsi="Arial" w:cs="Arial"/>
          <w:sz w:val="20"/>
          <w:szCs w:val="20"/>
        </w:rPr>
        <w:t xml:space="preserve"> the</w:t>
      </w:r>
      <w:r w:rsidR="00FC1C2F" w:rsidRPr="002563BC">
        <w:rPr>
          <w:rFonts w:ascii="Arial" w:hAnsi="Arial" w:cs="Arial"/>
          <w:sz w:val="20"/>
          <w:szCs w:val="20"/>
        </w:rPr>
        <w:t xml:space="preserve"> material</w:t>
      </w:r>
      <w:r w:rsidRPr="002563BC">
        <w:rPr>
          <w:rFonts w:ascii="Arial" w:hAnsi="Arial" w:cs="Arial"/>
          <w:sz w:val="20"/>
          <w:szCs w:val="20"/>
        </w:rPr>
        <w:t xml:space="preserve"> climate-related</w:t>
      </w:r>
      <w:r w:rsidR="00FC1C2F" w:rsidRPr="002563BC">
        <w:rPr>
          <w:rFonts w:ascii="Arial" w:hAnsi="Arial" w:cs="Arial"/>
          <w:sz w:val="20"/>
          <w:szCs w:val="20"/>
        </w:rPr>
        <w:t xml:space="preserve"> risks they face and assess their </w:t>
      </w:r>
      <w:r w:rsidRPr="002563BC">
        <w:rPr>
          <w:rFonts w:ascii="Arial" w:hAnsi="Arial" w:cs="Arial"/>
          <w:sz w:val="20"/>
          <w:szCs w:val="20"/>
        </w:rPr>
        <w:t xml:space="preserve">actual or </w:t>
      </w:r>
      <w:r w:rsidR="00FC705B">
        <w:rPr>
          <w:rFonts w:ascii="Arial" w:hAnsi="Arial" w:cs="Arial"/>
          <w:sz w:val="20"/>
          <w:szCs w:val="20"/>
        </w:rPr>
        <w:t>potential impact</w:t>
      </w:r>
      <w:r w:rsidR="00FC1C2F" w:rsidRPr="002563BC">
        <w:rPr>
          <w:rFonts w:ascii="Arial" w:hAnsi="Arial" w:cs="Arial"/>
          <w:sz w:val="20"/>
          <w:szCs w:val="20"/>
        </w:rPr>
        <w:t xml:space="preserve"> on their business model, strategy, cash flows, access </w:t>
      </w:r>
      <w:r w:rsidR="00FC705B">
        <w:rPr>
          <w:rFonts w:ascii="Arial" w:hAnsi="Arial" w:cs="Arial"/>
          <w:sz w:val="20"/>
          <w:szCs w:val="20"/>
        </w:rPr>
        <w:t>to finance</w:t>
      </w:r>
      <w:r w:rsidRPr="002563BC">
        <w:rPr>
          <w:rFonts w:ascii="Arial" w:hAnsi="Arial" w:cs="Arial"/>
          <w:sz w:val="20"/>
          <w:szCs w:val="20"/>
        </w:rPr>
        <w:t xml:space="preserve"> and cost of capital over </w:t>
      </w:r>
      <w:r w:rsidR="00132AB3">
        <w:rPr>
          <w:rFonts w:ascii="Arial" w:hAnsi="Arial" w:cs="Arial"/>
          <w:sz w:val="20"/>
          <w:szCs w:val="20"/>
        </w:rPr>
        <w:t xml:space="preserve">the short, medium or long term. </w:t>
      </w:r>
    </w:p>
    <w:p w:rsidR="00FC1C2F" w:rsidRPr="002563BC" w:rsidRDefault="00FC1C2F" w:rsidP="002563BC">
      <w:pPr>
        <w:jc w:val="both"/>
        <w:rPr>
          <w:rFonts w:ascii="Arial" w:hAnsi="Arial" w:cs="Arial"/>
          <w:sz w:val="20"/>
          <w:szCs w:val="20"/>
        </w:rPr>
      </w:pPr>
      <w:r w:rsidRPr="002563BC">
        <w:rPr>
          <w:rFonts w:ascii="Arial" w:hAnsi="Arial" w:cs="Arial"/>
          <w:sz w:val="20"/>
          <w:szCs w:val="20"/>
        </w:rPr>
        <w:t xml:space="preserve">In addition to risks, climate-related opportunities may arise from efforts to mitigate or adapt to climate-related effects and events, such as </w:t>
      </w:r>
      <w:r w:rsidR="00FC705B">
        <w:rPr>
          <w:rFonts w:ascii="Arial" w:hAnsi="Arial" w:cs="Arial"/>
          <w:sz w:val="20"/>
          <w:szCs w:val="20"/>
        </w:rPr>
        <w:t xml:space="preserve">cost savings due to greater use of renewable energy, </w:t>
      </w:r>
      <w:r w:rsidR="00AD7D88" w:rsidRPr="002563BC">
        <w:rPr>
          <w:rFonts w:ascii="Arial" w:hAnsi="Arial" w:cs="Arial"/>
          <w:sz w:val="20"/>
          <w:szCs w:val="20"/>
        </w:rPr>
        <w:t xml:space="preserve">enhanced resource efficiency </w:t>
      </w:r>
      <w:r w:rsidRPr="002563BC">
        <w:rPr>
          <w:rFonts w:ascii="Arial" w:hAnsi="Arial" w:cs="Arial"/>
          <w:sz w:val="20"/>
          <w:szCs w:val="20"/>
        </w:rPr>
        <w:t>and access to new ma</w:t>
      </w:r>
      <w:r w:rsidR="00AD7D88" w:rsidRPr="002563BC">
        <w:rPr>
          <w:rFonts w:ascii="Arial" w:hAnsi="Arial" w:cs="Arial"/>
          <w:sz w:val="20"/>
          <w:szCs w:val="20"/>
        </w:rPr>
        <w:t xml:space="preserve">rkets due to </w:t>
      </w:r>
      <w:r w:rsidR="00D720A1" w:rsidRPr="002563BC">
        <w:rPr>
          <w:rFonts w:ascii="Arial" w:hAnsi="Arial" w:cs="Arial"/>
          <w:sz w:val="20"/>
          <w:szCs w:val="20"/>
        </w:rPr>
        <w:t xml:space="preserve">the </w:t>
      </w:r>
      <w:r w:rsidR="00AD7D88" w:rsidRPr="002563BC">
        <w:rPr>
          <w:rFonts w:ascii="Arial" w:hAnsi="Arial" w:cs="Arial"/>
          <w:sz w:val="20"/>
          <w:szCs w:val="20"/>
        </w:rPr>
        <w:t xml:space="preserve">company’s transition to a </w:t>
      </w:r>
      <w:r w:rsidRPr="002563BC">
        <w:rPr>
          <w:rFonts w:ascii="Arial" w:hAnsi="Arial" w:cs="Arial"/>
          <w:sz w:val="20"/>
          <w:szCs w:val="20"/>
        </w:rPr>
        <w:t xml:space="preserve">lower carbon economy. </w:t>
      </w:r>
      <w:r w:rsidR="00AD7D88" w:rsidRPr="002563BC">
        <w:rPr>
          <w:rFonts w:ascii="Arial" w:hAnsi="Arial" w:cs="Arial"/>
          <w:sz w:val="20"/>
          <w:szCs w:val="20"/>
        </w:rPr>
        <w:t xml:space="preserve"> </w:t>
      </w:r>
      <w:r w:rsidRPr="002563BC">
        <w:rPr>
          <w:rFonts w:ascii="Arial" w:hAnsi="Arial" w:cs="Arial"/>
          <w:sz w:val="20"/>
          <w:szCs w:val="20"/>
        </w:rPr>
        <w:t xml:space="preserve"> </w:t>
      </w:r>
    </w:p>
    <w:p w:rsidR="00886557" w:rsidRPr="002563BC" w:rsidRDefault="00FD4F21" w:rsidP="002563BC">
      <w:pPr>
        <w:jc w:val="both"/>
        <w:rPr>
          <w:rFonts w:ascii="Arial" w:hAnsi="Arial" w:cs="Arial"/>
          <w:sz w:val="20"/>
          <w:szCs w:val="20"/>
        </w:rPr>
      </w:pPr>
      <w:r>
        <w:rPr>
          <w:rFonts w:ascii="Arial" w:hAnsi="Arial" w:cs="Arial"/>
          <w:sz w:val="20"/>
          <w:szCs w:val="20"/>
        </w:rPr>
        <w:t>T</w:t>
      </w:r>
      <w:r w:rsidR="00D638EC" w:rsidRPr="002563BC">
        <w:rPr>
          <w:rFonts w:ascii="Arial" w:hAnsi="Arial" w:cs="Arial"/>
          <w:sz w:val="20"/>
          <w:szCs w:val="20"/>
        </w:rPr>
        <w:t xml:space="preserve">he HKEX proposes to </w:t>
      </w:r>
      <w:r w:rsidR="00886557" w:rsidRPr="002563BC">
        <w:rPr>
          <w:rFonts w:ascii="Arial" w:hAnsi="Arial" w:cs="Arial"/>
          <w:sz w:val="20"/>
          <w:szCs w:val="20"/>
        </w:rPr>
        <w:t xml:space="preserve">primarily adopt the </w:t>
      </w:r>
      <w:r w:rsidR="00AD7D88" w:rsidRPr="002563BC">
        <w:rPr>
          <w:rFonts w:ascii="Arial" w:hAnsi="Arial" w:cs="Arial"/>
          <w:sz w:val="20"/>
          <w:szCs w:val="20"/>
        </w:rPr>
        <w:t xml:space="preserve">Strategy part of the </w:t>
      </w:r>
      <w:r w:rsidR="00886557" w:rsidRPr="002563BC">
        <w:rPr>
          <w:rFonts w:ascii="Arial" w:hAnsi="Arial" w:cs="Arial"/>
          <w:sz w:val="20"/>
          <w:szCs w:val="20"/>
        </w:rPr>
        <w:t>ISSB Climate Standard requirement</w:t>
      </w:r>
      <w:r w:rsidR="000343FA" w:rsidRPr="002563BC">
        <w:rPr>
          <w:rFonts w:ascii="Arial" w:hAnsi="Arial" w:cs="Arial"/>
          <w:sz w:val="20"/>
          <w:szCs w:val="20"/>
        </w:rPr>
        <w:t>s into Appendix 27 of the Listing Rules</w:t>
      </w:r>
      <w:r w:rsidR="00886557" w:rsidRPr="002563BC">
        <w:rPr>
          <w:rFonts w:ascii="Arial" w:hAnsi="Arial" w:cs="Arial"/>
          <w:sz w:val="20"/>
          <w:szCs w:val="20"/>
        </w:rPr>
        <w:t xml:space="preserve">. </w:t>
      </w:r>
      <w:r w:rsidR="00064BA3" w:rsidRPr="002563BC">
        <w:rPr>
          <w:rFonts w:ascii="Arial" w:hAnsi="Arial" w:cs="Arial"/>
          <w:sz w:val="20"/>
          <w:szCs w:val="20"/>
        </w:rPr>
        <w:t>However, i</w:t>
      </w:r>
      <w:r w:rsidR="00886557" w:rsidRPr="002563BC">
        <w:rPr>
          <w:rFonts w:ascii="Arial" w:hAnsi="Arial" w:cs="Arial"/>
          <w:sz w:val="20"/>
          <w:szCs w:val="20"/>
        </w:rPr>
        <w:t xml:space="preserve">ssuers </w:t>
      </w:r>
      <w:r w:rsidR="00247E7A">
        <w:rPr>
          <w:rFonts w:ascii="Arial" w:hAnsi="Arial" w:cs="Arial"/>
          <w:sz w:val="20"/>
          <w:szCs w:val="20"/>
        </w:rPr>
        <w:t xml:space="preserve">will be able </w:t>
      </w:r>
      <w:r w:rsidR="00886557" w:rsidRPr="002563BC">
        <w:rPr>
          <w:rFonts w:ascii="Arial" w:hAnsi="Arial" w:cs="Arial"/>
          <w:sz w:val="20"/>
          <w:szCs w:val="20"/>
        </w:rPr>
        <w:t xml:space="preserve">to </w:t>
      </w:r>
      <w:r w:rsidR="00247E7A">
        <w:rPr>
          <w:rFonts w:ascii="Arial" w:hAnsi="Arial" w:cs="Arial"/>
          <w:sz w:val="20"/>
          <w:szCs w:val="20"/>
        </w:rPr>
        <w:t xml:space="preserve">opt to </w:t>
      </w:r>
      <w:r w:rsidR="00886557" w:rsidRPr="002563BC">
        <w:rPr>
          <w:rFonts w:ascii="Arial" w:hAnsi="Arial" w:cs="Arial"/>
          <w:sz w:val="20"/>
          <w:szCs w:val="20"/>
        </w:rPr>
        <w:t>disclose the actual and potential effects of climate-related opportunities they have identified in response to climate-related risks</w:t>
      </w:r>
      <w:r w:rsidR="00DB5A0A">
        <w:rPr>
          <w:rFonts w:ascii="Arial" w:hAnsi="Arial" w:cs="Arial"/>
          <w:sz w:val="20"/>
          <w:szCs w:val="20"/>
        </w:rPr>
        <w:t xml:space="preserve"> they disclose</w:t>
      </w:r>
      <w:r w:rsidR="00886557" w:rsidRPr="002563BC">
        <w:rPr>
          <w:rFonts w:ascii="Arial" w:hAnsi="Arial" w:cs="Arial"/>
          <w:sz w:val="20"/>
          <w:szCs w:val="20"/>
        </w:rPr>
        <w:t xml:space="preserve">. </w:t>
      </w:r>
      <w:r w:rsidR="002D49C7" w:rsidRPr="002563BC">
        <w:rPr>
          <w:rFonts w:ascii="Arial" w:hAnsi="Arial" w:cs="Arial"/>
          <w:sz w:val="20"/>
          <w:szCs w:val="20"/>
        </w:rPr>
        <w:t xml:space="preserve">When preparing disclosures, issuers </w:t>
      </w:r>
      <w:r w:rsidR="00DB5A0A">
        <w:rPr>
          <w:rFonts w:ascii="Arial" w:hAnsi="Arial" w:cs="Arial"/>
          <w:sz w:val="20"/>
          <w:szCs w:val="20"/>
        </w:rPr>
        <w:t xml:space="preserve">will be required to </w:t>
      </w:r>
      <w:r w:rsidR="002D49C7" w:rsidRPr="002563BC">
        <w:rPr>
          <w:rFonts w:ascii="Arial" w:hAnsi="Arial" w:cs="Arial"/>
          <w:sz w:val="20"/>
          <w:szCs w:val="20"/>
        </w:rPr>
        <w:t xml:space="preserve">consider the applicability of cross-industry metrics and industry-based metrics discussed in the “Metrics and Targets” section. </w:t>
      </w:r>
      <w:r w:rsidR="0032126C" w:rsidRPr="002563BC">
        <w:rPr>
          <w:rFonts w:ascii="Arial" w:hAnsi="Arial" w:cs="Arial"/>
          <w:sz w:val="20"/>
          <w:szCs w:val="20"/>
        </w:rPr>
        <w:t>Additionally,</w:t>
      </w:r>
      <w:r w:rsidR="00064BA3" w:rsidRPr="002563BC">
        <w:rPr>
          <w:rFonts w:ascii="Arial" w:hAnsi="Arial" w:cs="Arial"/>
          <w:sz w:val="20"/>
          <w:szCs w:val="20"/>
        </w:rPr>
        <w:t xml:space="preserve"> they</w:t>
      </w:r>
      <w:r w:rsidR="00886557" w:rsidRPr="002563BC">
        <w:rPr>
          <w:rFonts w:ascii="Arial" w:hAnsi="Arial" w:cs="Arial"/>
          <w:sz w:val="20"/>
          <w:szCs w:val="20"/>
        </w:rPr>
        <w:t xml:space="preserve"> </w:t>
      </w:r>
      <w:r w:rsidR="00DB5A0A">
        <w:rPr>
          <w:rFonts w:ascii="Arial" w:hAnsi="Arial" w:cs="Arial"/>
          <w:sz w:val="20"/>
          <w:szCs w:val="20"/>
        </w:rPr>
        <w:t xml:space="preserve">will be able to </w:t>
      </w:r>
      <w:r w:rsidR="00886557" w:rsidRPr="002563BC">
        <w:rPr>
          <w:rFonts w:ascii="Arial" w:hAnsi="Arial" w:cs="Arial"/>
          <w:sz w:val="20"/>
          <w:szCs w:val="20"/>
        </w:rPr>
        <w:t>explain the connections between climate-related risks and opportunities and disclosures in other sections of their annual reports.</w:t>
      </w:r>
    </w:p>
    <w:p w:rsidR="0032126C" w:rsidRPr="002563BC" w:rsidRDefault="0032126C" w:rsidP="002563BC">
      <w:pPr>
        <w:jc w:val="both"/>
        <w:rPr>
          <w:rFonts w:ascii="Arial" w:hAnsi="Arial" w:cs="Arial"/>
          <w:sz w:val="20"/>
          <w:szCs w:val="20"/>
        </w:rPr>
      </w:pPr>
      <w:r w:rsidRPr="002563BC">
        <w:rPr>
          <w:rFonts w:ascii="Arial" w:hAnsi="Arial" w:cs="Arial"/>
          <w:sz w:val="20"/>
          <w:szCs w:val="20"/>
        </w:rPr>
        <w:t xml:space="preserve">The </w:t>
      </w:r>
      <w:r w:rsidR="0070071D">
        <w:rPr>
          <w:rFonts w:ascii="Arial" w:hAnsi="Arial" w:cs="Arial"/>
          <w:sz w:val="20"/>
          <w:szCs w:val="20"/>
        </w:rPr>
        <w:t>proposed</w:t>
      </w:r>
      <w:r w:rsidRPr="002563BC">
        <w:rPr>
          <w:rFonts w:ascii="Arial" w:hAnsi="Arial" w:cs="Arial"/>
          <w:sz w:val="20"/>
          <w:szCs w:val="20"/>
        </w:rPr>
        <w:t xml:space="preserve"> disclosures include:</w:t>
      </w:r>
    </w:p>
    <w:p w:rsidR="0032126C" w:rsidRPr="002563BC" w:rsidRDefault="00DB5A0A" w:rsidP="002563BC">
      <w:pPr>
        <w:pStyle w:val="a4"/>
        <w:numPr>
          <w:ilvl w:val="0"/>
          <w:numId w:val="11"/>
        </w:numPr>
        <w:jc w:val="both"/>
        <w:rPr>
          <w:rFonts w:ascii="Arial" w:hAnsi="Arial" w:cs="Arial"/>
          <w:sz w:val="20"/>
          <w:szCs w:val="20"/>
        </w:rPr>
      </w:pPr>
      <w:r>
        <w:rPr>
          <w:rFonts w:ascii="Arial" w:hAnsi="Arial" w:cs="Arial"/>
          <w:sz w:val="20"/>
          <w:szCs w:val="20"/>
        </w:rPr>
        <w:t xml:space="preserve">a </w:t>
      </w:r>
      <w:r w:rsidR="00D367DD" w:rsidRPr="002563BC">
        <w:rPr>
          <w:rFonts w:ascii="Arial" w:hAnsi="Arial" w:cs="Arial"/>
          <w:sz w:val="20"/>
          <w:szCs w:val="20"/>
        </w:rPr>
        <w:t xml:space="preserve">description of climate-related risks identified and the time horizon over which each could reasonably be expected to have </w:t>
      </w:r>
      <w:r w:rsidR="00132AB3">
        <w:rPr>
          <w:rFonts w:ascii="Arial" w:hAnsi="Arial" w:cs="Arial"/>
          <w:sz w:val="20"/>
          <w:szCs w:val="20"/>
        </w:rPr>
        <w:t>a material effect on the issuer;</w:t>
      </w:r>
    </w:p>
    <w:p w:rsidR="0032126C" w:rsidRPr="002563BC" w:rsidRDefault="00D367DD" w:rsidP="002563BC">
      <w:pPr>
        <w:pStyle w:val="a4"/>
        <w:numPr>
          <w:ilvl w:val="0"/>
          <w:numId w:val="11"/>
        </w:numPr>
        <w:jc w:val="both"/>
        <w:rPr>
          <w:rFonts w:ascii="Arial" w:hAnsi="Arial" w:cs="Arial"/>
          <w:sz w:val="20"/>
          <w:szCs w:val="20"/>
        </w:rPr>
      </w:pPr>
      <w:r w:rsidRPr="002563BC">
        <w:rPr>
          <w:rFonts w:ascii="Arial" w:hAnsi="Arial" w:cs="Arial"/>
          <w:sz w:val="20"/>
          <w:szCs w:val="20"/>
        </w:rPr>
        <w:t>an explanation of the issuer’s definitions for short, medium, and long term, and how these timeframes are associated with their strategic planning and capital allocation plans;</w:t>
      </w:r>
    </w:p>
    <w:p w:rsidR="0032126C" w:rsidRPr="002563BC" w:rsidRDefault="00D367DD" w:rsidP="002563BC">
      <w:pPr>
        <w:pStyle w:val="a4"/>
        <w:numPr>
          <w:ilvl w:val="0"/>
          <w:numId w:val="11"/>
        </w:numPr>
        <w:jc w:val="both"/>
        <w:rPr>
          <w:rFonts w:ascii="Arial" w:hAnsi="Arial" w:cs="Arial"/>
          <w:sz w:val="20"/>
          <w:szCs w:val="20"/>
        </w:rPr>
      </w:pPr>
      <w:r w:rsidRPr="002563BC">
        <w:rPr>
          <w:rFonts w:ascii="Arial" w:hAnsi="Arial" w:cs="Arial"/>
          <w:sz w:val="20"/>
          <w:szCs w:val="20"/>
        </w:rPr>
        <w:t>a classification of the identified risks as either physical or transition risks;</w:t>
      </w:r>
    </w:p>
    <w:p w:rsidR="0032126C" w:rsidRPr="002563BC" w:rsidRDefault="00D367DD" w:rsidP="002563BC">
      <w:pPr>
        <w:pStyle w:val="a4"/>
        <w:numPr>
          <w:ilvl w:val="0"/>
          <w:numId w:val="11"/>
        </w:numPr>
        <w:jc w:val="both"/>
        <w:rPr>
          <w:rFonts w:ascii="Arial" w:hAnsi="Arial" w:cs="Arial"/>
          <w:sz w:val="20"/>
          <w:szCs w:val="20"/>
        </w:rPr>
      </w:pPr>
      <w:r w:rsidRPr="002563BC">
        <w:rPr>
          <w:rFonts w:ascii="Arial" w:hAnsi="Arial" w:cs="Arial"/>
          <w:sz w:val="20"/>
          <w:szCs w:val="20"/>
        </w:rPr>
        <w:t>whether the risks identified are acute or chronic; and</w:t>
      </w:r>
    </w:p>
    <w:p w:rsidR="0032126C" w:rsidRPr="002563BC" w:rsidRDefault="00D367DD" w:rsidP="002563BC">
      <w:pPr>
        <w:pStyle w:val="a4"/>
        <w:numPr>
          <w:ilvl w:val="0"/>
          <w:numId w:val="11"/>
        </w:numPr>
        <w:jc w:val="both"/>
        <w:rPr>
          <w:rFonts w:ascii="Arial" w:hAnsi="Arial" w:cs="Arial"/>
          <w:sz w:val="20"/>
          <w:szCs w:val="20"/>
        </w:rPr>
      </w:pPr>
      <w:r w:rsidRPr="002563BC">
        <w:rPr>
          <w:rFonts w:ascii="Arial" w:hAnsi="Arial" w:cs="Arial"/>
          <w:sz w:val="20"/>
          <w:szCs w:val="20"/>
        </w:rPr>
        <w:t>current and anticipated effects of any climate-related risks identified on the issuer’s:</w:t>
      </w:r>
    </w:p>
    <w:p w:rsidR="0032126C" w:rsidRPr="002563BC" w:rsidRDefault="00D367DD" w:rsidP="002563BC">
      <w:pPr>
        <w:pStyle w:val="a4"/>
        <w:numPr>
          <w:ilvl w:val="1"/>
          <w:numId w:val="11"/>
        </w:numPr>
        <w:jc w:val="both"/>
        <w:rPr>
          <w:rFonts w:ascii="Arial" w:hAnsi="Arial" w:cs="Arial"/>
          <w:sz w:val="20"/>
          <w:szCs w:val="20"/>
        </w:rPr>
      </w:pPr>
      <w:r w:rsidRPr="002563BC">
        <w:rPr>
          <w:rFonts w:ascii="Arial" w:hAnsi="Arial" w:cs="Arial"/>
          <w:sz w:val="20"/>
          <w:szCs w:val="20"/>
        </w:rPr>
        <w:t>business operations (including types and locations), business model, and strategy;</w:t>
      </w:r>
    </w:p>
    <w:p w:rsidR="0032126C" w:rsidRPr="002563BC" w:rsidRDefault="00D367DD" w:rsidP="002563BC">
      <w:pPr>
        <w:pStyle w:val="a4"/>
        <w:numPr>
          <w:ilvl w:val="1"/>
          <w:numId w:val="11"/>
        </w:numPr>
        <w:jc w:val="both"/>
        <w:rPr>
          <w:rFonts w:ascii="Arial" w:hAnsi="Arial" w:cs="Arial"/>
          <w:sz w:val="20"/>
          <w:szCs w:val="20"/>
        </w:rPr>
      </w:pPr>
      <w:r w:rsidRPr="002563BC">
        <w:rPr>
          <w:rFonts w:ascii="Arial" w:hAnsi="Arial" w:cs="Arial"/>
          <w:sz w:val="20"/>
          <w:szCs w:val="20"/>
        </w:rPr>
        <w:t>products or services offered; and/or</w:t>
      </w:r>
    </w:p>
    <w:p w:rsidR="0032126C" w:rsidRPr="002563BC" w:rsidRDefault="00D367DD" w:rsidP="002563BC">
      <w:pPr>
        <w:pStyle w:val="a4"/>
        <w:numPr>
          <w:ilvl w:val="1"/>
          <w:numId w:val="11"/>
        </w:numPr>
        <w:jc w:val="both"/>
        <w:rPr>
          <w:rFonts w:ascii="Arial" w:hAnsi="Arial" w:cs="Arial"/>
          <w:sz w:val="20"/>
          <w:szCs w:val="20"/>
        </w:rPr>
      </w:pPr>
      <w:r w:rsidRPr="002563BC">
        <w:rPr>
          <w:rFonts w:ascii="Arial" w:hAnsi="Arial" w:cs="Arial"/>
          <w:sz w:val="20"/>
          <w:szCs w:val="20"/>
        </w:rPr>
        <w:t xml:space="preserve">suppliers </w:t>
      </w:r>
      <w:r w:rsidR="0032126C" w:rsidRPr="002563BC">
        <w:rPr>
          <w:rFonts w:ascii="Arial" w:hAnsi="Arial" w:cs="Arial"/>
          <w:sz w:val="20"/>
          <w:szCs w:val="20"/>
        </w:rPr>
        <w:t>and other stakeholders in the value chain.</w:t>
      </w:r>
    </w:p>
    <w:p w:rsidR="001F78FF" w:rsidRPr="002563BC" w:rsidRDefault="00F2478E" w:rsidP="002563BC">
      <w:pPr>
        <w:jc w:val="both"/>
        <w:rPr>
          <w:rFonts w:ascii="Arial" w:hAnsi="Arial" w:cs="Arial"/>
          <w:sz w:val="20"/>
          <w:szCs w:val="20"/>
          <w:u w:val="single"/>
        </w:rPr>
      </w:pPr>
      <w:r w:rsidRPr="002563BC">
        <w:rPr>
          <w:rFonts w:ascii="Arial" w:hAnsi="Arial" w:cs="Arial"/>
          <w:sz w:val="20"/>
          <w:szCs w:val="20"/>
          <w:u w:val="single"/>
        </w:rPr>
        <w:t xml:space="preserve">Transition plans </w:t>
      </w:r>
    </w:p>
    <w:p w:rsidR="006D728D" w:rsidRPr="002563BC" w:rsidRDefault="00DB5A0A" w:rsidP="002563BC">
      <w:pPr>
        <w:jc w:val="both"/>
        <w:rPr>
          <w:rFonts w:ascii="Arial" w:hAnsi="Arial" w:cs="Arial"/>
          <w:sz w:val="20"/>
          <w:szCs w:val="20"/>
        </w:rPr>
      </w:pPr>
      <w:r>
        <w:rPr>
          <w:rFonts w:ascii="Arial" w:hAnsi="Arial" w:cs="Arial"/>
          <w:sz w:val="20"/>
          <w:szCs w:val="20"/>
        </w:rPr>
        <w:t>A transition plan is part of a company’s general business strategy that</w:t>
      </w:r>
      <w:r w:rsidR="00F42CBE" w:rsidRPr="002563BC">
        <w:rPr>
          <w:rFonts w:ascii="Arial" w:hAnsi="Arial" w:cs="Arial"/>
          <w:sz w:val="20"/>
          <w:szCs w:val="20"/>
        </w:rPr>
        <w:t xml:space="preserve"> outline</w:t>
      </w:r>
      <w:r>
        <w:rPr>
          <w:rFonts w:ascii="Arial" w:hAnsi="Arial" w:cs="Arial"/>
          <w:sz w:val="20"/>
          <w:szCs w:val="20"/>
        </w:rPr>
        <w:t>s its</w:t>
      </w:r>
      <w:r w:rsidR="00F42CBE" w:rsidRPr="002563BC">
        <w:rPr>
          <w:rFonts w:ascii="Arial" w:hAnsi="Arial" w:cs="Arial"/>
          <w:sz w:val="20"/>
          <w:szCs w:val="20"/>
        </w:rPr>
        <w:t xml:space="preserve"> targets and action</w:t>
      </w:r>
      <w:r>
        <w:rPr>
          <w:rFonts w:ascii="Arial" w:hAnsi="Arial" w:cs="Arial"/>
          <w:sz w:val="20"/>
          <w:szCs w:val="20"/>
        </w:rPr>
        <w:t xml:space="preserve"> plan</w:t>
      </w:r>
      <w:r w:rsidR="00F42CBE" w:rsidRPr="002563BC">
        <w:rPr>
          <w:rFonts w:ascii="Arial" w:hAnsi="Arial" w:cs="Arial"/>
          <w:sz w:val="20"/>
          <w:szCs w:val="20"/>
        </w:rPr>
        <w:t>s to move towards a lo</w:t>
      </w:r>
      <w:r w:rsidR="00323507" w:rsidRPr="002563BC">
        <w:rPr>
          <w:rFonts w:ascii="Arial" w:hAnsi="Arial" w:cs="Arial"/>
          <w:sz w:val="20"/>
          <w:szCs w:val="20"/>
        </w:rPr>
        <w:t xml:space="preserve">wer carbon and eventually a net </w:t>
      </w:r>
      <w:r w:rsidR="00F42CBE" w:rsidRPr="002563BC">
        <w:rPr>
          <w:rFonts w:ascii="Arial" w:hAnsi="Arial" w:cs="Arial"/>
          <w:sz w:val="20"/>
          <w:szCs w:val="20"/>
        </w:rPr>
        <w:t xml:space="preserve">zero economy. </w:t>
      </w:r>
      <w:r w:rsidR="0067676C" w:rsidRPr="002563BC">
        <w:rPr>
          <w:rFonts w:ascii="Arial" w:hAnsi="Arial" w:cs="Arial"/>
          <w:sz w:val="20"/>
          <w:szCs w:val="20"/>
        </w:rPr>
        <w:t xml:space="preserve">The HKEX proposes </w:t>
      </w:r>
      <w:r w:rsidR="009A4DB7" w:rsidRPr="002563BC">
        <w:rPr>
          <w:rFonts w:ascii="Arial" w:hAnsi="Arial" w:cs="Arial"/>
          <w:sz w:val="20"/>
          <w:szCs w:val="20"/>
        </w:rPr>
        <w:t>substantial adoption</w:t>
      </w:r>
      <w:r w:rsidR="0067676C" w:rsidRPr="002563BC">
        <w:rPr>
          <w:rFonts w:ascii="Arial" w:hAnsi="Arial" w:cs="Arial"/>
          <w:sz w:val="20"/>
          <w:szCs w:val="20"/>
        </w:rPr>
        <w:t xml:space="preserve"> of relevant ISSB Climate Standard requirements into Appendix 27 of the Listing Rules</w:t>
      </w:r>
      <w:r w:rsidR="00981257">
        <w:rPr>
          <w:rFonts w:ascii="Arial" w:hAnsi="Arial" w:cs="Arial"/>
          <w:sz w:val="20"/>
          <w:szCs w:val="20"/>
        </w:rPr>
        <w:t>, including the</w:t>
      </w:r>
      <w:r w:rsidR="0067676C" w:rsidRPr="002563BC">
        <w:rPr>
          <w:rFonts w:ascii="Arial" w:hAnsi="Arial" w:cs="Arial"/>
          <w:sz w:val="20"/>
          <w:szCs w:val="20"/>
        </w:rPr>
        <w:t xml:space="preserve"> requirement for issuers to disclose any climate-related targets they have se</w:t>
      </w:r>
      <w:r>
        <w:rPr>
          <w:rFonts w:ascii="Arial" w:hAnsi="Arial" w:cs="Arial"/>
          <w:sz w:val="20"/>
          <w:szCs w:val="20"/>
        </w:rPr>
        <w:t>t and any emission targets they are</w:t>
      </w:r>
      <w:r w:rsidR="0067676C" w:rsidRPr="002563BC">
        <w:rPr>
          <w:rFonts w:ascii="Arial" w:hAnsi="Arial" w:cs="Arial"/>
          <w:sz w:val="20"/>
          <w:szCs w:val="20"/>
        </w:rPr>
        <w:t xml:space="preserve"> required to meet by local legislation.  </w:t>
      </w:r>
    </w:p>
    <w:p w:rsidR="006D728D" w:rsidRPr="002563BC" w:rsidRDefault="006D728D" w:rsidP="002563BC">
      <w:pPr>
        <w:jc w:val="both"/>
        <w:rPr>
          <w:rFonts w:ascii="Arial" w:hAnsi="Arial" w:cs="Arial"/>
          <w:sz w:val="20"/>
          <w:szCs w:val="20"/>
        </w:rPr>
      </w:pPr>
      <w:r w:rsidRPr="002563BC">
        <w:rPr>
          <w:rFonts w:ascii="Arial" w:hAnsi="Arial" w:cs="Arial"/>
          <w:sz w:val="20"/>
          <w:szCs w:val="20"/>
        </w:rPr>
        <w:t xml:space="preserve">Under the proposed changes, issuers </w:t>
      </w:r>
      <w:r w:rsidR="00DB5A0A">
        <w:rPr>
          <w:rFonts w:ascii="Arial" w:hAnsi="Arial" w:cs="Arial"/>
          <w:sz w:val="20"/>
          <w:szCs w:val="20"/>
        </w:rPr>
        <w:t xml:space="preserve">would be required to </w:t>
      </w:r>
      <w:r w:rsidRPr="002563BC">
        <w:rPr>
          <w:rFonts w:ascii="Arial" w:hAnsi="Arial" w:cs="Arial"/>
          <w:sz w:val="20"/>
          <w:szCs w:val="20"/>
        </w:rPr>
        <w:t>describe their response to climate-related risks and opportunities by providing information on:</w:t>
      </w:r>
    </w:p>
    <w:p w:rsidR="006D728D" w:rsidRPr="002563BC" w:rsidRDefault="0051264D" w:rsidP="002563BC">
      <w:pPr>
        <w:pStyle w:val="a4"/>
        <w:numPr>
          <w:ilvl w:val="0"/>
          <w:numId w:val="12"/>
        </w:numPr>
        <w:jc w:val="both"/>
        <w:rPr>
          <w:rFonts w:ascii="Arial" w:hAnsi="Arial" w:cs="Arial"/>
          <w:sz w:val="20"/>
          <w:szCs w:val="20"/>
        </w:rPr>
      </w:pPr>
      <w:r w:rsidRPr="002563BC">
        <w:rPr>
          <w:rFonts w:ascii="Arial" w:hAnsi="Arial" w:cs="Arial"/>
          <w:sz w:val="20"/>
          <w:szCs w:val="20"/>
        </w:rPr>
        <w:t>any current or anticipated changes to the is</w:t>
      </w:r>
      <w:r w:rsidR="00DB5A0A">
        <w:rPr>
          <w:rFonts w:ascii="Arial" w:hAnsi="Arial" w:cs="Arial"/>
          <w:sz w:val="20"/>
          <w:szCs w:val="20"/>
        </w:rPr>
        <w:t>suer’s business model, strategy</w:t>
      </w:r>
      <w:r w:rsidRPr="002563BC">
        <w:rPr>
          <w:rFonts w:ascii="Arial" w:hAnsi="Arial" w:cs="Arial"/>
          <w:sz w:val="20"/>
          <w:szCs w:val="20"/>
        </w:rPr>
        <w:t xml:space="preserve"> and resource allocation to address climate-related risks and opportunities;</w:t>
      </w:r>
    </w:p>
    <w:p w:rsidR="006D728D" w:rsidRPr="002563BC" w:rsidRDefault="0051264D" w:rsidP="002563BC">
      <w:pPr>
        <w:pStyle w:val="a4"/>
        <w:numPr>
          <w:ilvl w:val="0"/>
          <w:numId w:val="12"/>
        </w:numPr>
        <w:jc w:val="both"/>
        <w:rPr>
          <w:rFonts w:ascii="Arial" w:hAnsi="Arial" w:cs="Arial"/>
          <w:sz w:val="20"/>
          <w:szCs w:val="20"/>
        </w:rPr>
      </w:pPr>
      <w:r w:rsidRPr="002563BC">
        <w:rPr>
          <w:rFonts w:ascii="Arial" w:hAnsi="Arial" w:cs="Arial"/>
          <w:sz w:val="20"/>
          <w:szCs w:val="20"/>
        </w:rPr>
        <w:lastRenderedPageBreak/>
        <w:t xml:space="preserve">any adaptation and mitigation efforts (both direct and indirect) undertaken or to be undertaken by the issuer; and </w:t>
      </w:r>
    </w:p>
    <w:p w:rsidR="006D728D" w:rsidRPr="002563BC" w:rsidRDefault="0051264D" w:rsidP="002563BC">
      <w:pPr>
        <w:pStyle w:val="a4"/>
        <w:numPr>
          <w:ilvl w:val="0"/>
          <w:numId w:val="12"/>
        </w:numPr>
        <w:jc w:val="both"/>
        <w:rPr>
          <w:rFonts w:ascii="Arial" w:hAnsi="Arial" w:cs="Arial"/>
          <w:sz w:val="20"/>
          <w:szCs w:val="20"/>
        </w:rPr>
      </w:pPr>
      <w:r w:rsidRPr="002563BC">
        <w:rPr>
          <w:rFonts w:ascii="Arial" w:hAnsi="Arial" w:cs="Arial"/>
          <w:sz w:val="20"/>
          <w:szCs w:val="20"/>
        </w:rPr>
        <w:t xml:space="preserve">resources </w:t>
      </w:r>
      <w:r w:rsidR="006D728D" w:rsidRPr="002563BC">
        <w:rPr>
          <w:rFonts w:ascii="Arial" w:hAnsi="Arial" w:cs="Arial"/>
          <w:sz w:val="20"/>
          <w:szCs w:val="20"/>
        </w:rPr>
        <w:t>allocated for implementing these plans.</w:t>
      </w:r>
    </w:p>
    <w:p w:rsidR="006D728D" w:rsidRPr="002563BC" w:rsidRDefault="006D728D" w:rsidP="002563BC">
      <w:pPr>
        <w:jc w:val="both"/>
        <w:rPr>
          <w:rFonts w:ascii="Arial" w:hAnsi="Arial" w:cs="Arial"/>
          <w:sz w:val="20"/>
          <w:szCs w:val="20"/>
        </w:rPr>
      </w:pPr>
      <w:r w:rsidRPr="002563BC">
        <w:rPr>
          <w:rFonts w:ascii="Arial" w:hAnsi="Arial" w:cs="Arial"/>
          <w:sz w:val="20"/>
          <w:szCs w:val="20"/>
        </w:rPr>
        <w:t xml:space="preserve">Issuers </w:t>
      </w:r>
      <w:r w:rsidR="0012226E">
        <w:rPr>
          <w:rFonts w:ascii="Arial" w:hAnsi="Arial" w:cs="Arial"/>
          <w:sz w:val="20"/>
          <w:szCs w:val="20"/>
        </w:rPr>
        <w:t xml:space="preserve">would </w:t>
      </w:r>
      <w:r w:rsidRPr="002563BC">
        <w:rPr>
          <w:rFonts w:ascii="Arial" w:hAnsi="Arial" w:cs="Arial"/>
          <w:sz w:val="20"/>
          <w:szCs w:val="20"/>
        </w:rPr>
        <w:t xml:space="preserve">also </w:t>
      </w:r>
      <w:r w:rsidR="0012226E">
        <w:rPr>
          <w:rFonts w:ascii="Arial" w:hAnsi="Arial" w:cs="Arial"/>
          <w:sz w:val="20"/>
          <w:szCs w:val="20"/>
        </w:rPr>
        <w:t xml:space="preserve">be </w:t>
      </w:r>
      <w:r w:rsidRPr="002563BC">
        <w:rPr>
          <w:rFonts w:ascii="Arial" w:hAnsi="Arial" w:cs="Arial"/>
          <w:sz w:val="20"/>
          <w:szCs w:val="20"/>
        </w:rPr>
        <w:t>required to disclose information on any climate-related targets they set and any</w:t>
      </w:r>
      <w:r w:rsidR="0051264D" w:rsidRPr="002563BC">
        <w:rPr>
          <w:rFonts w:ascii="Arial" w:hAnsi="Arial" w:cs="Arial"/>
          <w:sz w:val="20"/>
          <w:szCs w:val="20"/>
        </w:rPr>
        <w:t xml:space="preserve"> </w:t>
      </w:r>
      <w:r w:rsidR="0012226E">
        <w:rPr>
          <w:rFonts w:ascii="Arial" w:hAnsi="Arial" w:cs="Arial"/>
          <w:sz w:val="20"/>
          <w:szCs w:val="20"/>
        </w:rPr>
        <w:t>greenhouse gas (GHG)</w:t>
      </w:r>
      <w:r w:rsidRPr="002563BC">
        <w:rPr>
          <w:rFonts w:ascii="Arial" w:hAnsi="Arial" w:cs="Arial"/>
          <w:sz w:val="20"/>
          <w:szCs w:val="20"/>
        </w:rPr>
        <w:t xml:space="preserve"> emission targets required </w:t>
      </w:r>
      <w:r w:rsidR="0051264D" w:rsidRPr="002563BC">
        <w:rPr>
          <w:rFonts w:ascii="Arial" w:hAnsi="Arial" w:cs="Arial"/>
          <w:sz w:val="20"/>
          <w:szCs w:val="20"/>
        </w:rPr>
        <w:t>by local legislation, covering:</w:t>
      </w:r>
    </w:p>
    <w:p w:rsidR="0051264D" w:rsidRPr="002563BC" w:rsidRDefault="0051264D" w:rsidP="002563BC">
      <w:pPr>
        <w:pStyle w:val="a4"/>
        <w:numPr>
          <w:ilvl w:val="0"/>
          <w:numId w:val="13"/>
        </w:numPr>
        <w:jc w:val="both"/>
        <w:rPr>
          <w:rFonts w:ascii="Arial" w:hAnsi="Arial" w:cs="Arial"/>
          <w:sz w:val="20"/>
          <w:szCs w:val="20"/>
        </w:rPr>
      </w:pPr>
      <w:r w:rsidRPr="002563BC">
        <w:rPr>
          <w:rFonts w:ascii="Arial" w:hAnsi="Arial" w:cs="Arial"/>
          <w:sz w:val="20"/>
          <w:szCs w:val="20"/>
        </w:rPr>
        <w:t>whether the target is an absolute target or an intensity target;</w:t>
      </w:r>
    </w:p>
    <w:p w:rsidR="0051264D" w:rsidRPr="002563BC" w:rsidRDefault="0051264D" w:rsidP="002563BC">
      <w:pPr>
        <w:pStyle w:val="a4"/>
        <w:numPr>
          <w:ilvl w:val="0"/>
          <w:numId w:val="13"/>
        </w:numPr>
        <w:jc w:val="both"/>
        <w:rPr>
          <w:rFonts w:ascii="Arial" w:hAnsi="Arial" w:cs="Arial"/>
          <w:sz w:val="20"/>
          <w:szCs w:val="20"/>
        </w:rPr>
      </w:pPr>
      <w:r w:rsidRPr="002563BC">
        <w:rPr>
          <w:rFonts w:ascii="Arial" w:hAnsi="Arial" w:cs="Arial"/>
          <w:sz w:val="20"/>
          <w:szCs w:val="20"/>
        </w:rPr>
        <w:t>objective of the target (e.g. mitigation, adaptation or conformance with sector or science-based initiatives);</w:t>
      </w:r>
    </w:p>
    <w:p w:rsidR="0051264D" w:rsidRPr="002563BC" w:rsidRDefault="0051264D" w:rsidP="002563BC">
      <w:pPr>
        <w:pStyle w:val="a4"/>
        <w:numPr>
          <w:ilvl w:val="0"/>
          <w:numId w:val="13"/>
        </w:numPr>
        <w:jc w:val="both"/>
        <w:rPr>
          <w:rFonts w:ascii="Arial" w:hAnsi="Arial" w:cs="Arial"/>
          <w:sz w:val="20"/>
          <w:szCs w:val="20"/>
        </w:rPr>
      </w:pPr>
      <w:r w:rsidRPr="002563BC">
        <w:rPr>
          <w:rFonts w:ascii="Arial" w:hAnsi="Arial" w:cs="Arial"/>
          <w:sz w:val="20"/>
          <w:szCs w:val="20"/>
        </w:rPr>
        <w:t>scope of the target (e.g. whether the target applies to the entire group or only a specific business unit or geographic region);</w:t>
      </w:r>
    </w:p>
    <w:p w:rsidR="0051264D" w:rsidRPr="002563BC" w:rsidRDefault="0051264D" w:rsidP="002563BC">
      <w:pPr>
        <w:pStyle w:val="a4"/>
        <w:numPr>
          <w:ilvl w:val="0"/>
          <w:numId w:val="13"/>
        </w:numPr>
        <w:jc w:val="both"/>
        <w:rPr>
          <w:rFonts w:ascii="Arial" w:hAnsi="Arial" w:cs="Arial"/>
          <w:sz w:val="20"/>
          <w:szCs w:val="20"/>
        </w:rPr>
      </w:pPr>
      <w:r w:rsidRPr="002563BC">
        <w:rPr>
          <w:rFonts w:ascii="Arial" w:hAnsi="Arial" w:cs="Arial"/>
          <w:sz w:val="20"/>
          <w:szCs w:val="20"/>
        </w:rPr>
        <w:t>period over which the target applies;</w:t>
      </w:r>
    </w:p>
    <w:p w:rsidR="0051264D" w:rsidRPr="002563BC" w:rsidRDefault="0051264D" w:rsidP="002563BC">
      <w:pPr>
        <w:pStyle w:val="a4"/>
        <w:numPr>
          <w:ilvl w:val="0"/>
          <w:numId w:val="13"/>
        </w:numPr>
        <w:jc w:val="both"/>
        <w:rPr>
          <w:rFonts w:ascii="Arial" w:hAnsi="Arial" w:cs="Arial"/>
          <w:sz w:val="20"/>
          <w:szCs w:val="20"/>
        </w:rPr>
      </w:pPr>
      <w:r w:rsidRPr="002563BC">
        <w:rPr>
          <w:rFonts w:ascii="Arial" w:hAnsi="Arial" w:cs="Arial"/>
          <w:sz w:val="20"/>
          <w:szCs w:val="20"/>
        </w:rPr>
        <w:t>base period from which progress is measured;</w:t>
      </w:r>
    </w:p>
    <w:p w:rsidR="006D728D" w:rsidRPr="002563BC" w:rsidRDefault="0051264D" w:rsidP="002563BC">
      <w:pPr>
        <w:pStyle w:val="a4"/>
        <w:numPr>
          <w:ilvl w:val="0"/>
          <w:numId w:val="13"/>
        </w:numPr>
        <w:jc w:val="both"/>
        <w:rPr>
          <w:rFonts w:ascii="Arial" w:hAnsi="Arial" w:cs="Arial"/>
          <w:sz w:val="20"/>
          <w:szCs w:val="20"/>
        </w:rPr>
      </w:pPr>
      <w:r w:rsidRPr="002563BC">
        <w:rPr>
          <w:rFonts w:ascii="Arial" w:hAnsi="Arial" w:cs="Arial"/>
          <w:sz w:val="20"/>
          <w:szCs w:val="20"/>
        </w:rPr>
        <w:t>milestones or interim targets (if any);</w:t>
      </w:r>
      <w:r w:rsidR="00193D36">
        <w:rPr>
          <w:rFonts w:ascii="Arial" w:hAnsi="Arial" w:cs="Arial"/>
          <w:sz w:val="20"/>
          <w:szCs w:val="20"/>
        </w:rPr>
        <w:t xml:space="preserve"> and</w:t>
      </w:r>
      <w:r w:rsidR="000D7CDA">
        <w:rPr>
          <w:rFonts w:ascii="Arial" w:hAnsi="Arial" w:cs="Arial"/>
          <w:sz w:val="20"/>
          <w:szCs w:val="20"/>
        </w:rPr>
        <w:t xml:space="preserve"> </w:t>
      </w:r>
    </w:p>
    <w:p w:rsidR="006D728D" w:rsidRPr="002563BC" w:rsidRDefault="0012226E" w:rsidP="002563BC">
      <w:pPr>
        <w:pStyle w:val="a4"/>
        <w:numPr>
          <w:ilvl w:val="0"/>
          <w:numId w:val="13"/>
        </w:numPr>
        <w:jc w:val="both"/>
        <w:rPr>
          <w:rFonts w:ascii="Arial" w:hAnsi="Arial" w:cs="Arial"/>
          <w:sz w:val="20"/>
          <w:szCs w:val="20"/>
        </w:rPr>
      </w:pPr>
      <w:r>
        <w:rPr>
          <w:rFonts w:ascii="Arial" w:hAnsi="Arial" w:cs="Arial"/>
          <w:sz w:val="20"/>
          <w:szCs w:val="20"/>
        </w:rPr>
        <w:t>f</w:t>
      </w:r>
      <w:r w:rsidR="006D728D" w:rsidRPr="002563BC">
        <w:rPr>
          <w:rFonts w:ascii="Arial" w:hAnsi="Arial" w:cs="Arial"/>
          <w:sz w:val="20"/>
          <w:szCs w:val="20"/>
        </w:rPr>
        <w:t>or GHG emission targets, the extent to which the target relies on carbon credits, including separate disclosure of gross emission targets, intended use of carbon credits, and net emission targets, as well as the type of carbon credit and whether the credits are subject to third-party verification or certification.</w:t>
      </w:r>
    </w:p>
    <w:p w:rsidR="00AC5031" w:rsidRPr="002563BC" w:rsidRDefault="00AC5031" w:rsidP="002563BC">
      <w:pPr>
        <w:jc w:val="both"/>
        <w:rPr>
          <w:rFonts w:ascii="Arial" w:hAnsi="Arial" w:cs="Arial"/>
          <w:sz w:val="20"/>
          <w:szCs w:val="20"/>
        </w:rPr>
      </w:pPr>
      <w:r w:rsidRPr="002563BC">
        <w:rPr>
          <w:rFonts w:ascii="Arial" w:hAnsi="Arial" w:cs="Arial"/>
          <w:sz w:val="20"/>
          <w:szCs w:val="20"/>
        </w:rPr>
        <w:t>The HKEX clarifies that climate-related targets are not limited to those in Part B of Appendix 27, and issuers are still required to disclose targets under KPIs A1.5, A1.6, A2.3, and A2.4 on a “comply or explain” basis.</w:t>
      </w:r>
      <w:r w:rsidRPr="002563BC">
        <w:rPr>
          <w:rStyle w:val="a7"/>
          <w:rFonts w:ascii="Arial" w:hAnsi="Arial" w:cs="Arial"/>
          <w:sz w:val="20"/>
          <w:szCs w:val="20"/>
        </w:rPr>
        <w:footnoteReference w:id="4"/>
      </w:r>
    </w:p>
    <w:p w:rsidR="00AC5031" w:rsidRPr="002563BC" w:rsidRDefault="00AC5031" w:rsidP="002563BC">
      <w:pPr>
        <w:jc w:val="both"/>
        <w:rPr>
          <w:rFonts w:ascii="Arial" w:hAnsi="Arial" w:cs="Arial"/>
          <w:sz w:val="20"/>
          <w:szCs w:val="20"/>
        </w:rPr>
      </w:pPr>
      <w:r w:rsidRPr="002563BC">
        <w:rPr>
          <w:rFonts w:ascii="Arial" w:hAnsi="Arial" w:cs="Arial"/>
          <w:sz w:val="20"/>
          <w:szCs w:val="20"/>
        </w:rPr>
        <w:t>Acknowledging that issuers are</w:t>
      </w:r>
      <w:r w:rsidR="00861E3B">
        <w:rPr>
          <w:rFonts w:ascii="Arial" w:hAnsi="Arial" w:cs="Arial"/>
          <w:sz w:val="20"/>
          <w:szCs w:val="20"/>
        </w:rPr>
        <w:t xml:space="preserve"> at different stages of</w:t>
      </w:r>
      <w:r w:rsidRPr="002563BC">
        <w:rPr>
          <w:rFonts w:ascii="Arial" w:hAnsi="Arial" w:cs="Arial"/>
          <w:sz w:val="20"/>
          <w:szCs w:val="20"/>
        </w:rPr>
        <w:t xml:space="preserve"> their sustainability journey, the HKEX proposes alternative disclosure options for those who need more time to determine meaningful and achievable climate-related tar</w:t>
      </w:r>
      <w:r w:rsidR="00662BC6">
        <w:rPr>
          <w:rFonts w:ascii="Arial" w:hAnsi="Arial" w:cs="Arial"/>
          <w:sz w:val="20"/>
          <w:szCs w:val="20"/>
        </w:rPr>
        <w:t xml:space="preserve">gets. Issuers not providing the </w:t>
      </w:r>
      <w:r w:rsidRPr="002563BC">
        <w:rPr>
          <w:rFonts w:ascii="Arial" w:hAnsi="Arial" w:cs="Arial"/>
          <w:sz w:val="20"/>
          <w:szCs w:val="20"/>
        </w:rPr>
        <w:t xml:space="preserve">information </w:t>
      </w:r>
      <w:r w:rsidR="0012226E">
        <w:rPr>
          <w:rFonts w:ascii="Arial" w:hAnsi="Arial" w:cs="Arial"/>
          <w:sz w:val="20"/>
          <w:szCs w:val="20"/>
        </w:rPr>
        <w:t xml:space="preserve">will be required to </w:t>
      </w:r>
      <w:r w:rsidRPr="002563BC">
        <w:rPr>
          <w:rFonts w:ascii="Arial" w:hAnsi="Arial" w:cs="Arial"/>
          <w:sz w:val="20"/>
          <w:szCs w:val="20"/>
        </w:rPr>
        <w:t>dis</w:t>
      </w:r>
      <w:r w:rsidR="0012226E">
        <w:rPr>
          <w:rFonts w:ascii="Arial" w:hAnsi="Arial" w:cs="Arial"/>
          <w:sz w:val="20"/>
          <w:szCs w:val="20"/>
        </w:rPr>
        <w:t>close their work plan, progress</w:t>
      </w:r>
      <w:r w:rsidRPr="002563BC">
        <w:rPr>
          <w:rFonts w:ascii="Arial" w:hAnsi="Arial" w:cs="Arial"/>
          <w:sz w:val="20"/>
          <w:szCs w:val="20"/>
        </w:rPr>
        <w:t xml:space="preserve"> and timetable for setting and disclosing climate-related targets. </w:t>
      </w:r>
    </w:p>
    <w:p w:rsidR="00505EB6" w:rsidRPr="002563BC" w:rsidRDefault="00505EB6" w:rsidP="002563BC">
      <w:pPr>
        <w:jc w:val="both"/>
        <w:rPr>
          <w:rFonts w:ascii="Arial" w:hAnsi="Arial" w:cs="Arial"/>
          <w:sz w:val="20"/>
          <w:szCs w:val="20"/>
        </w:rPr>
      </w:pPr>
      <w:r w:rsidRPr="002563BC">
        <w:rPr>
          <w:rFonts w:ascii="Arial" w:hAnsi="Arial" w:cs="Arial"/>
          <w:sz w:val="20"/>
          <w:szCs w:val="20"/>
        </w:rPr>
        <w:t>In addition, issuers are expected to</w:t>
      </w:r>
      <w:r w:rsidR="00A80454" w:rsidRPr="002563BC">
        <w:rPr>
          <w:rFonts w:ascii="Arial" w:hAnsi="Arial" w:cs="Arial"/>
          <w:sz w:val="20"/>
          <w:szCs w:val="20"/>
        </w:rPr>
        <w:t xml:space="preserve"> report the progress made in</w:t>
      </w:r>
      <w:r w:rsidRPr="002563BC">
        <w:rPr>
          <w:rFonts w:ascii="Arial" w:hAnsi="Arial" w:cs="Arial"/>
          <w:sz w:val="20"/>
          <w:szCs w:val="20"/>
        </w:rPr>
        <w:t xml:space="preserve"> the most recent reporting year </w:t>
      </w:r>
      <w:r w:rsidR="00A80454" w:rsidRPr="002563BC">
        <w:rPr>
          <w:rFonts w:ascii="Arial" w:hAnsi="Arial" w:cs="Arial"/>
          <w:sz w:val="20"/>
          <w:szCs w:val="20"/>
        </w:rPr>
        <w:t>in relation to the</w:t>
      </w:r>
      <w:r w:rsidRPr="002563BC">
        <w:rPr>
          <w:rFonts w:ascii="Arial" w:hAnsi="Arial" w:cs="Arial"/>
          <w:sz w:val="20"/>
          <w:szCs w:val="20"/>
        </w:rPr>
        <w:t xml:space="preserve"> plans and targets, except for ESG reports covering the f</w:t>
      </w:r>
      <w:r w:rsidR="00A80454" w:rsidRPr="002563BC">
        <w:rPr>
          <w:rFonts w:ascii="Arial" w:hAnsi="Arial" w:cs="Arial"/>
          <w:sz w:val="20"/>
          <w:szCs w:val="20"/>
        </w:rPr>
        <w:t xml:space="preserve">irst reporting period following the effective date (i.e. 1 January 2024).  </w:t>
      </w:r>
    </w:p>
    <w:p w:rsidR="0032126C" w:rsidRPr="002563BC" w:rsidRDefault="005A644E" w:rsidP="002563BC">
      <w:pPr>
        <w:jc w:val="both"/>
        <w:rPr>
          <w:rFonts w:ascii="Arial" w:hAnsi="Arial" w:cs="Arial"/>
          <w:sz w:val="20"/>
          <w:szCs w:val="20"/>
          <w:u w:val="single"/>
        </w:rPr>
      </w:pPr>
      <w:r w:rsidRPr="002563BC">
        <w:rPr>
          <w:rFonts w:ascii="Arial" w:hAnsi="Arial" w:cs="Arial"/>
          <w:sz w:val="20"/>
          <w:szCs w:val="20"/>
          <w:u w:val="single"/>
        </w:rPr>
        <w:t xml:space="preserve">Climate resilience </w:t>
      </w:r>
    </w:p>
    <w:p w:rsidR="00F00FB3" w:rsidRPr="002563BC" w:rsidRDefault="00F00FB3" w:rsidP="002563BC">
      <w:pPr>
        <w:jc w:val="both"/>
        <w:rPr>
          <w:rFonts w:ascii="Arial" w:hAnsi="Arial" w:cs="Arial"/>
          <w:sz w:val="20"/>
          <w:szCs w:val="20"/>
        </w:rPr>
      </w:pPr>
      <w:r w:rsidRPr="002563BC">
        <w:rPr>
          <w:rFonts w:ascii="Arial" w:hAnsi="Arial" w:cs="Arial"/>
          <w:sz w:val="20"/>
          <w:szCs w:val="20"/>
        </w:rPr>
        <w:t>The HKEX</w:t>
      </w:r>
      <w:r w:rsidR="00A052FB" w:rsidRPr="002563BC">
        <w:rPr>
          <w:rFonts w:ascii="Arial" w:hAnsi="Arial" w:cs="Arial"/>
          <w:sz w:val="20"/>
          <w:szCs w:val="20"/>
        </w:rPr>
        <w:t xml:space="preserve"> proposes that issuers</w:t>
      </w:r>
      <w:r w:rsidRPr="002563BC">
        <w:rPr>
          <w:rFonts w:ascii="Arial" w:hAnsi="Arial" w:cs="Arial"/>
          <w:sz w:val="20"/>
          <w:szCs w:val="20"/>
        </w:rPr>
        <w:t xml:space="preserve"> disclose their cli</w:t>
      </w:r>
      <w:r w:rsidR="00A052FB" w:rsidRPr="002563BC">
        <w:rPr>
          <w:rFonts w:ascii="Arial" w:hAnsi="Arial" w:cs="Arial"/>
          <w:sz w:val="20"/>
          <w:szCs w:val="20"/>
        </w:rPr>
        <w:t xml:space="preserve">mate resilience, which is the </w:t>
      </w:r>
      <w:r w:rsidRPr="002563BC">
        <w:rPr>
          <w:rFonts w:ascii="Arial" w:hAnsi="Arial" w:cs="Arial"/>
          <w:sz w:val="20"/>
          <w:szCs w:val="20"/>
        </w:rPr>
        <w:t>ability to anticipate</w:t>
      </w:r>
      <w:r w:rsidR="00A052FB" w:rsidRPr="002563BC">
        <w:rPr>
          <w:rFonts w:ascii="Arial" w:hAnsi="Arial" w:cs="Arial"/>
          <w:sz w:val="20"/>
          <w:szCs w:val="20"/>
        </w:rPr>
        <w:t>, prepare for,</w:t>
      </w:r>
      <w:r w:rsidRPr="002563BC">
        <w:rPr>
          <w:rFonts w:ascii="Arial" w:hAnsi="Arial" w:cs="Arial"/>
          <w:sz w:val="20"/>
          <w:szCs w:val="20"/>
        </w:rPr>
        <w:t xml:space="preserve"> and resp</w:t>
      </w:r>
      <w:r w:rsidR="00A052FB" w:rsidRPr="002563BC">
        <w:rPr>
          <w:rFonts w:ascii="Arial" w:hAnsi="Arial" w:cs="Arial"/>
          <w:sz w:val="20"/>
          <w:szCs w:val="20"/>
        </w:rPr>
        <w:t xml:space="preserve">ond to climate-related hazardous events, trends, or </w:t>
      </w:r>
      <w:r w:rsidRPr="002563BC">
        <w:rPr>
          <w:rFonts w:ascii="Arial" w:hAnsi="Arial" w:cs="Arial"/>
          <w:sz w:val="20"/>
          <w:szCs w:val="20"/>
        </w:rPr>
        <w:t xml:space="preserve">changes. The proposed amendments will integrate relevant ISSB Climate Standard requirements into Appendix 27 of the </w:t>
      </w:r>
      <w:r w:rsidR="0012226E">
        <w:rPr>
          <w:rFonts w:ascii="Arial" w:hAnsi="Arial" w:cs="Arial"/>
          <w:sz w:val="20"/>
          <w:szCs w:val="20"/>
        </w:rPr>
        <w:t xml:space="preserve">HKEX </w:t>
      </w:r>
      <w:r w:rsidRPr="002563BC">
        <w:rPr>
          <w:rFonts w:ascii="Arial" w:hAnsi="Arial" w:cs="Arial"/>
          <w:sz w:val="20"/>
          <w:szCs w:val="20"/>
        </w:rPr>
        <w:t>Listing Rules</w:t>
      </w:r>
      <w:r w:rsidR="007B599F" w:rsidRPr="002563BC">
        <w:rPr>
          <w:rFonts w:ascii="Arial" w:hAnsi="Arial" w:cs="Arial"/>
          <w:sz w:val="20"/>
          <w:szCs w:val="20"/>
        </w:rPr>
        <w:t>.</w:t>
      </w:r>
      <w:r w:rsidRPr="002563BC">
        <w:rPr>
          <w:rFonts w:ascii="Arial" w:hAnsi="Arial" w:cs="Arial"/>
          <w:sz w:val="20"/>
          <w:szCs w:val="20"/>
        </w:rPr>
        <w:t xml:space="preserve"> Specifically, the </w:t>
      </w:r>
      <w:r w:rsidR="00A87FD1" w:rsidRPr="002563BC">
        <w:rPr>
          <w:rFonts w:ascii="Arial" w:hAnsi="Arial" w:cs="Arial"/>
          <w:sz w:val="20"/>
          <w:szCs w:val="20"/>
        </w:rPr>
        <w:t>disclosures include</w:t>
      </w:r>
      <w:r w:rsidRPr="002563BC">
        <w:rPr>
          <w:rFonts w:ascii="Arial" w:hAnsi="Arial" w:cs="Arial"/>
          <w:sz w:val="20"/>
          <w:szCs w:val="20"/>
        </w:rPr>
        <w:t>:</w:t>
      </w:r>
    </w:p>
    <w:p w:rsidR="00F00FB3" w:rsidRPr="002563BC" w:rsidRDefault="0030372F" w:rsidP="002563BC">
      <w:pPr>
        <w:pStyle w:val="a4"/>
        <w:numPr>
          <w:ilvl w:val="0"/>
          <w:numId w:val="14"/>
        </w:numPr>
        <w:jc w:val="both"/>
        <w:rPr>
          <w:rFonts w:ascii="Arial" w:hAnsi="Arial" w:cs="Arial"/>
          <w:sz w:val="20"/>
          <w:szCs w:val="20"/>
        </w:rPr>
      </w:pPr>
      <w:r w:rsidRPr="002563BC">
        <w:rPr>
          <w:rFonts w:ascii="Arial" w:hAnsi="Arial" w:cs="Arial"/>
          <w:sz w:val="20"/>
          <w:szCs w:val="20"/>
        </w:rPr>
        <w:t>t</w:t>
      </w:r>
      <w:r w:rsidR="00F00FB3" w:rsidRPr="002563BC">
        <w:rPr>
          <w:rFonts w:ascii="Arial" w:hAnsi="Arial" w:cs="Arial"/>
          <w:sz w:val="20"/>
          <w:szCs w:val="20"/>
        </w:rPr>
        <w:t>he extent to which assets and business activities at r</w:t>
      </w:r>
      <w:r w:rsidR="004C2610" w:rsidRPr="002563BC">
        <w:rPr>
          <w:rFonts w:ascii="Arial" w:hAnsi="Arial" w:cs="Arial"/>
          <w:sz w:val="20"/>
          <w:szCs w:val="20"/>
        </w:rPr>
        <w:t>isk are addressed by the issuer’</w:t>
      </w:r>
      <w:r w:rsidR="00F00FB3" w:rsidRPr="002563BC">
        <w:rPr>
          <w:rFonts w:ascii="Arial" w:hAnsi="Arial" w:cs="Arial"/>
          <w:sz w:val="20"/>
          <w:szCs w:val="20"/>
        </w:rPr>
        <w:t>s strategy, i</w:t>
      </w:r>
      <w:r w:rsidR="004C2610" w:rsidRPr="002563BC">
        <w:rPr>
          <w:rFonts w:ascii="Arial" w:hAnsi="Arial" w:cs="Arial"/>
          <w:sz w:val="20"/>
          <w:szCs w:val="20"/>
        </w:rPr>
        <w:t xml:space="preserve">ts </w:t>
      </w:r>
      <w:r w:rsidR="00F00FB3" w:rsidRPr="002563BC">
        <w:rPr>
          <w:rFonts w:ascii="Arial" w:hAnsi="Arial" w:cs="Arial"/>
          <w:sz w:val="20"/>
          <w:szCs w:val="20"/>
        </w:rPr>
        <w:t>current and planned mitigation actions and</w:t>
      </w:r>
      <w:r w:rsidR="004C2610" w:rsidRPr="002563BC">
        <w:rPr>
          <w:rFonts w:ascii="Arial" w:hAnsi="Arial" w:cs="Arial"/>
          <w:sz w:val="20"/>
          <w:szCs w:val="20"/>
        </w:rPr>
        <w:t>/or</w:t>
      </w:r>
      <w:r w:rsidR="005E7183" w:rsidRPr="002563BC">
        <w:rPr>
          <w:rFonts w:ascii="Arial" w:hAnsi="Arial" w:cs="Arial"/>
          <w:sz w:val="20"/>
          <w:szCs w:val="20"/>
        </w:rPr>
        <w:t xml:space="preserve"> investments;</w:t>
      </w:r>
    </w:p>
    <w:p w:rsidR="00F00FB3" w:rsidRPr="002563BC" w:rsidRDefault="005E7183" w:rsidP="002563BC">
      <w:pPr>
        <w:pStyle w:val="a4"/>
        <w:numPr>
          <w:ilvl w:val="0"/>
          <w:numId w:val="14"/>
        </w:numPr>
        <w:jc w:val="both"/>
        <w:rPr>
          <w:rFonts w:ascii="Arial" w:hAnsi="Arial" w:cs="Arial"/>
          <w:sz w:val="20"/>
          <w:szCs w:val="20"/>
        </w:rPr>
      </w:pPr>
      <w:r w:rsidRPr="002563BC">
        <w:rPr>
          <w:rFonts w:ascii="Arial" w:hAnsi="Arial" w:cs="Arial"/>
          <w:sz w:val="20"/>
          <w:szCs w:val="20"/>
        </w:rPr>
        <w:t>any implications of the issuer’</w:t>
      </w:r>
      <w:r w:rsidR="0030372F" w:rsidRPr="002563BC">
        <w:rPr>
          <w:rFonts w:ascii="Arial" w:hAnsi="Arial" w:cs="Arial"/>
          <w:sz w:val="20"/>
          <w:szCs w:val="20"/>
        </w:rPr>
        <w:t>s findings for its strategy, such as how it may need to respond to anticipated effects during its trans</w:t>
      </w:r>
      <w:r w:rsidRPr="002563BC">
        <w:rPr>
          <w:rFonts w:ascii="Arial" w:hAnsi="Arial" w:cs="Arial"/>
          <w:sz w:val="20"/>
          <w:szCs w:val="20"/>
        </w:rPr>
        <w:t>ition to a lower-carbon economy;</w:t>
      </w:r>
    </w:p>
    <w:p w:rsidR="00F00FB3" w:rsidRPr="002563BC" w:rsidRDefault="00987C64" w:rsidP="002563BC">
      <w:pPr>
        <w:pStyle w:val="a4"/>
        <w:numPr>
          <w:ilvl w:val="0"/>
          <w:numId w:val="14"/>
        </w:numPr>
        <w:jc w:val="both"/>
        <w:rPr>
          <w:rFonts w:ascii="Arial" w:hAnsi="Arial" w:cs="Arial"/>
          <w:sz w:val="20"/>
          <w:szCs w:val="20"/>
        </w:rPr>
      </w:pPr>
      <w:r>
        <w:rPr>
          <w:rFonts w:ascii="Arial" w:hAnsi="Arial" w:cs="Arial"/>
          <w:sz w:val="20"/>
          <w:szCs w:val="20"/>
        </w:rPr>
        <w:t xml:space="preserve">the </w:t>
      </w:r>
      <w:r w:rsidR="0030372F" w:rsidRPr="002563BC">
        <w:rPr>
          <w:rFonts w:ascii="Arial" w:hAnsi="Arial" w:cs="Arial"/>
          <w:sz w:val="20"/>
          <w:szCs w:val="20"/>
        </w:rPr>
        <w:t xml:space="preserve">significant areas of uncertainty considered in </w:t>
      </w:r>
      <w:r w:rsidR="005E7183" w:rsidRPr="002563BC">
        <w:rPr>
          <w:rFonts w:ascii="Arial" w:hAnsi="Arial" w:cs="Arial"/>
          <w:sz w:val="20"/>
          <w:szCs w:val="20"/>
        </w:rPr>
        <w:t>the climate resilience analysis;</w:t>
      </w:r>
      <w:r w:rsidR="00193D36">
        <w:rPr>
          <w:rFonts w:ascii="Arial" w:hAnsi="Arial" w:cs="Arial"/>
          <w:sz w:val="20"/>
          <w:szCs w:val="20"/>
        </w:rPr>
        <w:t xml:space="preserve"> and</w:t>
      </w:r>
    </w:p>
    <w:p w:rsidR="005A644E" w:rsidRPr="002563BC" w:rsidRDefault="00B43880" w:rsidP="002563BC">
      <w:pPr>
        <w:pStyle w:val="a4"/>
        <w:numPr>
          <w:ilvl w:val="0"/>
          <w:numId w:val="14"/>
        </w:numPr>
        <w:jc w:val="both"/>
        <w:rPr>
          <w:rFonts w:ascii="Arial" w:hAnsi="Arial" w:cs="Arial"/>
          <w:sz w:val="20"/>
          <w:szCs w:val="20"/>
        </w:rPr>
      </w:pPr>
      <w:r w:rsidRPr="002563BC">
        <w:rPr>
          <w:rFonts w:ascii="Arial" w:hAnsi="Arial" w:cs="Arial"/>
          <w:sz w:val="20"/>
          <w:szCs w:val="20"/>
        </w:rPr>
        <w:t>the ability of the issuer to adjust, or adapt its business model, in the future in terms of, for example, access to finance and cost of capital, product and services portfolio shift or reskilling of workforce</w:t>
      </w:r>
      <w:r w:rsidR="00F00FB3" w:rsidRPr="002563BC">
        <w:rPr>
          <w:rFonts w:ascii="Arial" w:hAnsi="Arial" w:cs="Arial"/>
          <w:sz w:val="20"/>
          <w:szCs w:val="20"/>
        </w:rPr>
        <w:t>.</w:t>
      </w:r>
    </w:p>
    <w:p w:rsidR="0032126C" w:rsidRPr="002563BC" w:rsidRDefault="00F00FB3" w:rsidP="002563BC">
      <w:pPr>
        <w:jc w:val="both"/>
        <w:rPr>
          <w:rFonts w:ascii="Arial" w:hAnsi="Arial" w:cs="Arial"/>
          <w:sz w:val="20"/>
          <w:szCs w:val="20"/>
        </w:rPr>
      </w:pPr>
      <w:r w:rsidRPr="002563BC">
        <w:rPr>
          <w:rFonts w:ascii="Arial" w:hAnsi="Arial" w:cs="Arial"/>
          <w:sz w:val="20"/>
          <w:szCs w:val="20"/>
        </w:rPr>
        <w:t xml:space="preserve">Additionally, issuers should </w:t>
      </w:r>
      <w:r w:rsidR="0012226E">
        <w:rPr>
          <w:rFonts w:ascii="Arial" w:hAnsi="Arial" w:cs="Arial"/>
          <w:sz w:val="20"/>
          <w:szCs w:val="20"/>
        </w:rPr>
        <w:t xml:space="preserve">disclose </w:t>
      </w:r>
      <w:r w:rsidRPr="002563BC">
        <w:rPr>
          <w:rFonts w:ascii="Arial" w:hAnsi="Arial" w:cs="Arial"/>
          <w:sz w:val="20"/>
          <w:szCs w:val="20"/>
        </w:rPr>
        <w:t xml:space="preserve">the climate-related scenario analysis used to assess the impact of climate-related risks and, if applicable, opportunities on their business model, strategy, cash flows, access </w:t>
      </w:r>
      <w:r w:rsidR="0012226E">
        <w:rPr>
          <w:rFonts w:ascii="Arial" w:hAnsi="Arial" w:cs="Arial"/>
          <w:sz w:val="20"/>
          <w:szCs w:val="20"/>
        </w:rPr>
        <w:lastRenderedPageBreak/>
        <w:t>to finance</w:t>
      </w:r>
      <w:r w:rsidR="000124D2" w:rsidRPr="002563BC">
        <w:rPr>
          <w:rFonts w:ascii="Arial" w:hAnsi="Arial" w:cs="Arial"/>
          <w:sz w:val="20"/>
          <w:szCs w:val="20"/>
        </w:rPr>
        <w:t xml:space="preserve"> and cost of capital</w:t>
      </w:r>
      <w:r w:rsidRPr="002563BC">
        <w:rPr>
          <w:rFonts w:ascii="Arial" w:hAnsi="Arial" w:cs="Arial"/>
          <w:sz w:val="20"/>
          <w:szCs w:val="20"/>
        </w:rPr>
        <w:t>.</w:t>
      </w:r>
      <w:r w:rsidR="005F1D69" w:rsidRPr="002563BC">
        <w:rPr>
          <w:rStyle w:val="a7"/>
          <w:rFonts w:ascii="Arial" w:hAnsi="Arial" w:cs="Arial"/>
          <w:sz w:val="20"/>
          <w:szCs w:val="20"/>
        </w:rPr>
        <w:footnoteReference w:id="5"/>
      </w:r>
      <w:r w:rsidRPr="002563BC">
        <w:rPr>
          <w:rFonts w:ascii="Arial" w:hAnsi="Arial" w:cs="Arial"/>
          <w:sz w:val="20"/>
          <w:szCs w:val="20"/>
        </w:rPr>
        <w:t xml:space="preserve"> The resilience of their strategy and business model should also be addressed. The method of climate-related scenario analysis should be appropriat</w:t>
      </w:r>
      <w:r w:rsidR="0012226E">
        <w:rPr>
          <w:rFonts w:ascii="Arial" w:hAnsi="Arial" w:cs="Arial"/>
          <w:sz w:val="20"/>
          <w:szCs w:val="20"/>
        </w:rPr>
        <w:t>e to</w:t>
      </w:r>
      <w:r w:rsidR="000124D2" w:rsidRPr="002563BC">
        <w:rPr>
          <w:rFonts w:ascii="Arial" w:hAnsi="Arial" w:cs="Arial"/>
          <w:sz w:val="20"/>
          <w:szCs w:val="20"/>
        </w:rPr>
        <w:t xml:space="preserve"> each issuer’s circumstance</w:t>
      </w:r>
      <w:r w:rsidRPr="002563BC">
        <w:rPr>
          <w:rFonts w:ascii="Arial" w:hAnsi="Arial" w:cs="Arial"/>
          <w:sz w:val="20"/>
          <w:szCs w:val="20"/>
        </w:rPr>
        <w:t>, and at a minimum, the disclosure should include:</w:t>
      </w:r>
    </w:p>
    <w:p w:rsidR="00F00FB3" w:rsidRPr="002563BC" w:rsidRDefault="00F00FB3" w:rsidP="002563BC">
      <w:pPr>
        <w:jc w:val="both"/>
        <w:rPr>
          <w:rFonts w:ascii="Arial" w:hAnsi="Arial" w:cs="Arial"/>
          <w:sz w:val="20"/>
          <w:szCs w:val="20"/>
        </w:rPr>
      </w:pPr>
      <w:r w:rsidRPr="002563BC">
        <w:rPr>
          <w:rFonts w:ascii="Arial" w:hAnsi="Arial" w:cs="Arial"/>
          <w:sz w:val="20"/>
          <w:szCs w:val="20"/>
        </w:rPr>
        <w:t>Inputs used in the analysis:</w:t>
      </w:r>
    </w:p>
    <w:p w:rsidR="00F00FB3" w:rsidRPr="002563BC" w:rsidRDefault="00444CFB" w:rsidP="002563BC">
      <w:pPr>
        <w:pStyle w:val="a4"/>
        <w:numPr>
          <w:ilvl w:val="0"/>
          <w:numId w:val="16"/>
        </w:numPr>
        <w:jc w:val="both"/>
        <w:rPr>
          <w:rFonts w:ascii="Arial" w:hAnsi="Arial" w:cs="Arial"/>
          <w:sz w:val="20"/>
          <w:szCs w:val="20"/>
        </w:rPr>
      </w:pPr>
      <w:r w:rsidRPr="002563BC">
        <w:rPr>
          <w:rFonts w:ascii="Arial" w:hAnsi="Arial" w:cs="Arial"/>
          <w:sz w:val="20"/>
          <w:szCs w:val="20"/>
        </w:rPr>
        <w:t>scope of risks (e.g. physical risks) and operations (e.g. business segment, location, sites, or assets) covered;</w:t>
      </w:r>
    </w:p>
    <w:p w:rsidR="00F00FB3" w:rsidRPr="002563BC" w:rsidRDefault="00444CFB" w:rsidP="002563BC">
      <w:pPr>
        <w:pStyle w:val="a4"/>
        <w:numPr>
          <w:ilvl w:val="0"/>
          <w:numId w:val="16"/>
        </w:numPr>
        <w:jc w:val="both"/>
        <w:rPr>
          <w:rFonts w:ascii="Arial" w:hAnsi="Arial" w:cs="Arial"/>
          <w:sz w:val="20"/>
          <w:szCs w:val="20"/>
        </w:rPr>
      </w:pPr>
      <w:r w:rsidRPr="002563BC">
        <w:rPr>
          <w:rFonts w:ascii="Arial" w:hAnsi="Arial" w:cs="Arial"/>
          <w:sz w:val="20"/>
          <w:szCs w:val="20"/>
        </w:rPr>
        <w:t>details of the assumptions;</w:t>
      </w:r>
      <w:r w:rsidR="00193D36">
        <w:rPr>
          <w:rFonts w:ascii="Arial" w:hAnsi="Arial" w:cs="Arial"/>
          <w:sz w:val="20"/>
          <w:szCs w:val="20"/>
        </w:rPr>
        <w:t xml:space="preserve"> and</w:t>
      </w:r>
    </w:p>
    <w:p w:rsidR="00F00FB3" w:rsidRPr="002563BC" w:rsidRDefault="00444CFB" w:rsidP="002563BC">
      <w:pPr>
        <w:pStyle w:val="a4"/>
        <w:numPr>
          <w:ilvl w:val="0"/>
          <w:numId w:val="16"/>
        </w:numPr>
        <w:jc w:val="both"/>
        <w:rPr>
          <w:rFonts w:ascii="Arial" w:hAnsi="Arial" w:cs="Arial"/>
          <w:sz w:val="20"/>
          <w:szCs w:val="20"/>
        </w:rPr>
      </w:pPr>
      <w:r w:rsidRPr="002563BC">
        <w:rPr>
          <w:rFonts w:ascii="Arial" w:hAnsi="Arial" w:cs="Arial"/>
          <w:sz w:val="20"/>
          <w:szCs w:val="20"/>
        </w:rPr>
        <w:t xml:space="preserve">upstream </w:t>
      </w:r>
      <w:r w:rsidR="00F00FB3" w:rsidRPr="002563BC">
        <w:rPr>
          <w:rFonts w:ascii="Arial" w:hAnsi="Arial" w:cs="Arial"/>
          <w:sz w:val="20"/>
          <w:szCs w:val="20"/>
        </w:rPr>
        <w:t>and/or downstream activities in the value chain, if applicable.</w:t>
      </w:r>
    </w:p>
    <w:p w:rsidR="00F00FB3" w:rsidRPr="002563BC" w:rsidRDefault="00F00FB3" w:rsidP="002563BC">
      <w:pPr>
        <w:jc w:val="both"/>
        <w:rPr>
          <w:rFonts w:ascii="Arial" w:hAnsi="Arial" w:cs="Arial"/>
          <w:sz w:val="20"/>
          <w:szCs w:val="20"/>
        </w:rPr>
      </w:pPr>
      <w:r w:rsidRPr="002563BC">
        <w:rPr>
          <w:rFonts w:ascii="Arial" w:hAnsi="Arial" w:cs="Arial"/>
          <w:sz w:val="20"/>
          <w:szCs w:val="20"/>
        </w:rPr>
        <w:t>How the analysis was conducted:</w:t>
      </w:r>
    </w:p>
    <w:p w:rsidR="00F00FB3" w:rsidRPr="002563BC" w:rsidRDefault="00E012B3" w:rsidP="002563BC">
      <w:pPr>
        <w:pStyle w:val="a4"/>
        <w:numPr>
          <w:ilvl w:val="0"/>
          <w:numId w:val="18"/>
        </w:numPr>
        <w:jc w:val="both"/>
        <w:rPr>
          <w:rFonts w:ascii="Arial" w:hAnsi="Arial" w:cs="Arial"/>
          <w:sz w:val="20"/>
          <w:szCs w:val="20"/>
        </w:rPr>
      </w:pPr>
      <w:r w:rsidRPr="002563BC">
        <w:rPr>
          <w:rFonts w:ascii="Arial" w:hAnsi="Arial" w:cs="Arial"/>
          <w:sz w:val="20"/>
          <w:szCs w:val="20"/>
        </w:rPr>
        <w:t>scenarios used for the assessment and their sources;</w:t>
      </w:r>
      <w:r w:rsidRPr="002563BC">
        <w:rPr>
          <w:rStyle w:val="a7"/>
          <w:rFonts w:ascii="Arial" w:hAnsi="Arial" w:cs="Arial"/>
          <w:sz w:val="20"/>
          <w:szCs w:val="20"/>
        </w:rPr>
        <w:footnoteReference w:id="6"/>
      </w:r>
    </w:p>
    <w:p w:rsidR="00F00FB3" w:rsidRPr="002563BC" w:rsidRDefault="00E012B3" w:rsidP="002563BC">
      <w:pPr>
        <w:pStyle w:val="a4"/>
        <w:numPr>
          <w:ilvl w:val="0"/>
          <w:numId w:val="18"/>
        </w:numPr>
        <w:jc w:val="both"/>
        <w:rPr>
          <w:rFonts w:ascii="Arial" w:hAnsi="Arial" w:cs="Arial"/>
          <w:sz w:val="20"/>
          <w:szCs w:val="20"/>
        </w:rPr>
      </w:pPr>
      <w:r w:rsidRPr="002563BC">
        <w:rPr>
          <w:rFonts w:ascii="Arial" w:hAnsi="Arial" w:cs="Arial"/>
          <w:sz w:val="20"/>
          <w:szCs w:val="20"/>
        </w:rPr>
        <w:t>whether the scenarios used are associated with transition risks or increased physical risks;</w:t>
      </w:r>
    </w:p>
    <w:p w:rsidR="00F00FB3" w:rsidRPr="002563BC" w:rsidRDefault="00E012B3" w:rsidP="002563BC">
      <w:pPr>
        <w:pStyle w:val="a4"/>
        <w:numPr>
          <w:ilvl w:val="0"/>
          <w:numId w:val="18"/>
        </w:numPr>
        <w:jc w:val="both"/>
        <w:rPr>
          <w:rFonts w:ascii="Arial" w:hAnsi="Arial" w:cs="Arial"/>
          <w:sz w:val="20"/>
          <w:szCs w:val="20"/>
        </w:rPr>
      </w:pPr>
      <w:r w:rsidRPr="002563BC">
        <w:rPr>
          <w:rFonts w:ascii="Arial" w:hAnsi="Arial" w:cs="Arial"/>
          <w:sz w:val="20"/>
          <w:szCs w:val="20"/>
        </w:rPr>
        <w:t>the relevance of chosen scenarios for assessing the issuer’s resilience;</w:t>
      </w:r>
    </w:p>
    <w:p w:rsidR="00F00FB3" w:rsidRPr="002563BC" w:rsidRDefault="00E012B3" w:rsidP="002563BC">
      <w:pPr>
        <w:pStyle w:val="a4"/>
        <w:numPr>
          <w:ilvl w:val="0"/>
          <w:numId w:val="18"/>
        </w:numPr>
        <w:jc w:val="both"/>
        <w:rPr>
          <w:rFonts w:ascii="Arial" w:hAnsi="Arial" w:cs="Arial"/>
          <w:sz w:val="20"/>
          <w:szCs w:val="20"/>
        </w:rPr>
      </w:pPr>
      <w:r w:rsidRPr="002563BC">
        <w:rPr>
          <w:rFonts w:ascii="Arial" w:hAnsi="Arial" w:cs="Arial"/>
          <w:sz w:val="20"/>
          <w:szCs w:val="20"/>
        </w:rPr>
        <w:t>critical assumptions about the impact of transition to a lower-carbon economy on the issuer;</w:t>
      </w:r>
      <w:r w:rsidR="00C35E36">
        <w:rPr>
          <w:rFonts w:ascii="Arial" w:hAnsi="Arial" w:cs="Arial"/>
          <w:sz w:val="20"/>
          <w:szCs w:val="20"/>
        </w:rPr>
        <w:t xml:space="preserve"> and</w:t>
      </w:r>
      <w:r w:rsidRPr="002563BC">
        <w:rPr>
          <w:rFonts w:ascii="Arial" w:hAnsi="Arial" w:cs="Arial"/>
          <w:sz w:val="20"/>
          <w:szCs w:val="20"/>
        </w:rPr>
        <w:t xml:space="preserve"> </w:t>
      </w:r>
    </w:p>
    <w:p w:rsidR="0032126C" w:rsidRPr="002563BC" w:rsidRDefault="00E012B3" w:rsidP="002563BC">
      <w:pPr>
        <w:pStyle w:val="a4"/>
        <w:numPr>
          <w:ilvl w:val="0"/>
          <w:numId w:val="18"/>
        </w:numPr>
        <w:jc w:val="both"/>
        <w:rPr>
          <w:rFonts w:ascii="Arial" w:hAnsi="Arial" w:cs="Arial"/>
          <w:sz w:val="20"/>
          <w:szCs w:val="20"/>
        </w:rPr>
      </w:pPr>
      <w:r w:rsidRPr="002563BC">
        <w:rPr>
          <w:rFonts w:ascii="Arial" w:hAnsi="Arial" w:cs="Arial"/>
          <w:sz w:val="20"/>
          <w:szCs w:val="20"/>
        </w:rPr>
        <w:t xml:space="preserve">time </w:t>
      </w:r>
      <w:r w:rsidR="00F00FB3" w:rsidRPr="002563BC">
        <w:rPr>
          <w:rFonts w:ascii="Arial" w:hAnsi="Arial" w:cs="Arial"/>
          <w:sz w:val="20"/>
          <w:szCs w:val="20"/>
        </w:rPr>
        <w:t>horizons used in the analysis.</w:t>
      </w:r>
    </w:p>
    <w:p w:rsidR="00282EB9" w:rsidRPr="002563BC" w:rsidRDefault="00F00FB3" w:rsidP="002563BC">
      <w:pPr>
        <w:jc w:val="both"/>
        <w:rPr>
          <w:rFonts w:ascii="Arial" w:hAnsi="Arial" w:cs="Arial"/>
          <w:sz w:val="20"/>
          <w:szCs w:val="20"/>
        </w:rPr>
      </w:pPr>
      <w:r w:rsidRPr="002563BC">
        <w:rPr>
          <w:rFonts w:ascii="Arial" w:hAnsi="Arial" w:cs="Arial"/>
          <w:sz w:val="20"/>
          <w:szCs w:val="20"/>
        </w:rPr>
        <w:t>Recogni</w:t>
      </w:r>
      <w:r w:rsidR="00C33B89">
        <w:rPr>
          <w:rFonts w:ascii="Arial" w:hAnsi="Arial" w:cs="Arial"/>
          <w:sz w:val="20"/>
          <w:szCs w:val="20"/>
        </w:rPr>
        <w:t>s</w:t>
      </w:r>
      <w:r w:rsidRPr="002563BC">
        <w:rPr>
          <w:rFonts w:ascii="Arial" w:hAnsi="Arial" w:cs="Arial"/>
          <w:sz w:val="20"/>
          <w:szCs w:val="20"/>
        </w:rPr>
        <w:t>ing that issuer</w:t>
      </w:r>
      <w:r w:rsidR="0012226E">
        <w:rPr>
          <w:rFonts w:ascii="Arial" w:hAnsi="Arial" w:cs="Arial"/>
          <w:sz w:val="20"/>
          <w:szCs w:val="20"/>
        </w:rPr>
        <w:t>s</w:t>
      </w:r>
      <w:r w:rsidRPr="002563BC">
        <w:rPr>
          <w:rFonts w:ascii="Arial" w:hAnsi="Arial" w:cs="Arial"/>
          <w:sz w:val="20"/>
          <w:szCs w:val="20"/>
        </w:rPr>
        <w:t xml:space="preserve"> might need time to develop expertise in comprehensive climate-related scenario analysis, the HKEX suggests </w:t>
      </w:r>
      <w:r w:rsidR="002012A9" w:rsidRPr="002563BC">
        <w:rPr>
          <w:rFonts w:ascii="Arial" w:hAnsi="Arial" w:cs="Arial"/>
          <w:sz w:val="20"/>
          <w:szCs w:val="20"/>
        </w:rPr>
        <w:t>issuers could begin</w:t>
      </w:r>
      <w:r w:rsidRPr="002563BC">
        <w:rPr>
          <w:rFonts w:ascii="Arial" w:hAnsi="Arial" w:cs="Arial"/>
          <w:sz w:val="20"/>
          <w:szCs w:val="20"/>
        </w:rPr>
        <w:t xml:space="preserve"> with qualitative narratives before progress</w:t>
      </w:r>
      <w:r w:rsidR="002012A9" w:rsidRPr="002563BC">
        <w:rPr>
          <w:rFonts w:ascii="Arial" w:hAnsi="Arial" w:cs="Arial"/>
          <w:sz w:val="20"/>
          <w:szCs w:val="20"/>
        </w:rPr>
        <w:t xml:space="preserve">ing to quantitative methods to explore the potential range of climate change implications. </w:t>
      </w:r>
    </w:p>
    <w:p w:rsidR="00444CFB" w:rsidRPr="002563BC" w:rsidRDefault="00444CFB" w:rsidP="002563BC">
      <w:pPr>
        <w:jc w:val="both"/>
        <w:rPr>
          <w:rFonts w:ascii="Arial" w:hAnsi="Arial" w:cs="Arial"/>
          <w:sz w:val="20"/>
          <w:szCs w:val="20"/>
          <w:u w:val="single"/>
        </w:rPr>
      </w:pPr>
      <w:r w:rsidRPr="002563BC">
        <w:rPr>
          <w:rFonts w:ascii="Arial" w:hAnsi="Arial" w:cs="Arial"/>
          <w:sz w:val="20"/>
          <w:szCs w:val="20"/>
          <w:u w:val="single"/>
        </w:rPr>
        <w:t>Financial effects of climate-related risks and opportunities</w:t>
      </w:r>
    </w:p>
    <w:p w:rsidR="00444CFB" w:rsidRPr="002563BC" w:rsidRDefault="005E167A" w:rsidP="002563BC">
      <w:pPr>
        <w:jc w:val="both"/>
        <w:rPr>
          <w:rFonts w:ascii="Arial" w:hAnsi="Arial" w:cs="Arial"/>
          <w:sz w:val="20"/>
          <w:szCs w:val="20"/>
        </w:rPr>
      </w:pPr>
      <w:r w:rsidRPr="002563BC">
        <w:rPr>
          <w:rFonts w:ascii="Arial" w:hAnsi="Arial" w:cs="Arial"/>
          <w:sz w:val="20"/>
          <w:szCs w:val="20"/>
        </w:rPr>
        <w:t xml:space="preserve">The amendments focus on </w:t>
      </w:r>
      <w:r w:rsidR="0012226E">
        <w:rPr>
          <w:rFonts w:ascii="Arial" w:hAnsi="Arial" w:cs="Arial"/>
          <w:sz w:val="20"/>
          <w:szCs w:val="20"/>
        </w:rPr>
        <w:t xml:space="preserve">disclosing </w:t>
      </w:r>
      <w:r w:rsidRPr="002563BC">
        <w:rPr>
          <w:rFonts w:ascii="Arial" w:hAnsi="Arial" w:cs="Arial"/>
          <w:sz w:val="20"/>
          <w:szCs w:val="20"/>
        </w:rPr>
        <w:t xml:space="preserve">the financial effects </w:t>
      </w:r>
      <w:r w:rsidR="0012226E">
        <w:rPr>
          <w:rFonts w:ascii="Arial" w:hAnsi="Arial" w:cs="Arial"/>
          <w:sz w:val="20"/>
          <w:szCs w:val="20"/>
        </w:rPr>
        <w:t xml:space="preserve">of </w:t>
      </w:r>
      <w:r w:rsidRPr="002563BC">
        <w:rPr>
          <w:rFonts w:ascii="Arial" w:hAnsi="Arial" w:cs="Arial"/>
          <w:sz w:val="20"/>
          <w:szCs w:val="20"/>
        </w:rPr>
        <w:t>a company’s exposure to climate-related risks and opportunities</w:t>
      </w:r>
      <w:r w:rsidR="003E08FE">
        <w:rPr>
          <w:rFonts w:ascii="Arial" w:hAnsi="Arial" w:cs="Arial"/>
          <w:sz w:val="20"/>
          <w:szCs w:val="20"/>
        </w:rPr>
        <w:t>,</w:t>
      </w:r>
      <w:r w:rsidRPr="002563BC">
        <w:rPr>
          <w:rFonts w:ascii="Arial" w:hAnsi="Arial" w:cs="Arial"/>
          <w:sz w:val="20"/>
          <w:szCs w:val="20"/>
        </w:rPr>
        <w:t xml:space="preserve"> and its strategic decisions to seize those opportunities and manage those risks.  </w:t>
      </w:r>
    </w:p>
    <w:p w:rsidR="00036644" w:rsidRPr="002563BC" w:rsidRDefault="00CE2AD2" w:rsidP="002563BC">
      <w:pPr>
        <w:jc w:val="both"/>
        <w:rPr>
          <w:rFonts w:ascii="Arial" w:hAnsi="Arial" w:cs="Arial"/>
          <w:sz w:val="20"/>
          <w:szCs w:val="20"/>
        </w:rPr>
      </w:pPr>
      <w:r>
        <w:rPr>
          <w:rFonts w:ascii="Arial" w:hAnsi="Arial" w:cs="Arial"/>
          <w:sz w:val="20"/>
          <w:szCs w:val="20"/>
        </w:rPr>
        <w:t>In response to</w:t>
      </w:r>
      <w:r w:rsidR="005B78E0" w:rsidRPr="002563BC">
        <w:rPr>
          <w:rFonts w:ascii="Arial" w:hAnsi="Arial" w:cs="Arial"/>
          <w:sz w:val="20"/>
          <w:szCs w:val="20"/>
        </w:rPr>
        <w:t xml:space="preserve"> some issuers’ concerns about the challenges of quantifying the</w:t>
      </w:r>
      <w:r w:rsidR="0016637A" w:rsidRPr="002563BC">
        <w:rPr>
          <w:rFonts w:ascii="Arial" w:hAnsi="Arial" w:cs="Arial"/>
          <w:sz w:val="20"/>
          <w:szCs w:val="20"/>
        </w:rPr>
        <w:t xml:space="preserve"> current</w:t>
      </w:r>
      <w:r w:rsidR="005B78E0" w:rsidRPr="002563BC">
        <w:rPr>
          <w:rFonts w:ascii="Arial" w:hAnsi="Arial" w:cs="Arial"/>
          <w:sz w:val="20"/>
          <w:szCs w:val="20"/>
        </w:rPr>
        <w:t xml:space="preserve"> financial effects of climate-related risks due to their limited knowledge and experience in the area, the HKEX notes that the </w:t>
      </w:r>
      <w:r w:rsidR="00CF24BA" w:rsidRPr="00CF24BA">
        <w:rPr>
          <w:rFonts w:ascii="Arial" w:hAnsi="Arial" w:cs="Arial"/>
          <w:sz w:val="20"/>
          <w:szCs w:val="20"/>
        </w:rPr>
        <w:t>International Financial Reporting Standards (</w:t>
      </w:r>
      <w:r w:rsidR="00CF24BA" w:rsidRPr="00CF24BA">
        <w:rPr>
          <w:rFonts w:ascii="Arial" w:hAnsi="Arial" w:cs="Arial"/>
          <w:b/>
          <w:sz w:val="20"/>
          <w:szCs w:val="20"/>
        </w:rPr>
        <w:t>IFRS</w:t>
      </w:r>
      <w:r w:rsidR="00CF24BA" w:rsidRPr="00CF24BA">
        <w:rPr>
          <w:rFonts w:ascii="Arial" w:hAnsi="Arial" w:cs="Arial"/>
          <w:sz w:val="20"/>
          <w:szCs w:val="20"/>
        </w:rPr>
        <w:t>)</w:t>
      </w:r>
      <w:r w:rsidR="005B78E0" w:rsidRPr="002563BC">
        <w:rPr>
          <w:rFonts w:ascii="Arial" w:hAnsi="Arial" w:cs="Arial"/>
          <w:sz w:val="20"/>
          <w:szCs w:val="20"/>
        </w:rPr>
        <w:t xml:space="preserve"> already mandate companies to quantify and account for material financial effects arising from climate-related matters in their financial statements. The IFRS ha</w:t>
      </w:r>
      <w:r w:rsidR="00D720A1" w:rsidRPr="002563BC">
        <w:rPr>
          <w:rFonts w:ascii="Arial" w:hAnsi="Arial" w:cs="Arial"/>
          <w:sz w:val="20"/>
          <w:szCs w:val="20"/>
        </w:rPr>
        <w:t>s</w:t>
      </w:r>
      <w:r w:rsidR="005B78E0" w:rsidRPr="002563BC">
        <w:rPr>
          <w:rFonts w:ascii="Arial" w:hAnsi="Arial" w:cs="Arial"/>
          <w:sz w:val="20"/>
          <w:szCs w:val="20"/>
        </w:rPr>
        <w:t xml:space="preserve"> also issued guidance on the way to disclose the effects of climate-related matters on</w:t>
      </w:r>
      <w:r w:rsidR="00C12C1D" w:rsidRPr="002563BC">
        <w:rPr>
          <w:rFonts w:ascii="Arial" w:hAnsi="Arial" w:cs="Arial"/>
          <w:sz w:val="20"/>
          <w:szCs w:val="20"/>
        </w:rPr>
        <w:t xml:space="preserve"> financial statements. </w:t>
      </w:r>
    </w:p>
    <w:p w:rsidR="00150856" w:rsidRPr="002563BC" w:rsidRDefault="00150856" w:rsidP="002563BC">
      <w:pPr>
        <w:jc w:val="both"/>
        <w:rPr>
          <w:rFonts w:ascii="Arial" w:hAnsi="Arial" w:cs="Arial"/>
          <w:sz w:val="20"/>
          <w:szCs w:val="20"/>
        </w:rPr>
      </w:pPr>
      <w:r w:rsidRPr="002563BC">
        <w:rPr>
          <w:rFonts w:ascii="Arial" w:hAnsi="Arial" w:cs="Arial"/>
          <w:sz w:val="20"/>
          <w:szCs w:val="20"/>
        </w:rPr>
        <w:t>The HKEX also cites issuers’ concern</w:t>
      </w:r>
      <w:r w:rsidR="00063EF8">
        <w:rPr>
          <w:rFonts w:ascii="Arial" w:hAnsi="Arial" w:cs="Arial"/>
          <w:sz w:val="20"/>
          <w:szCs w:val="20"/>
        </w:rPr>
        <w:t>s</w:t>
      </w:r>
      <w:r w:rsidRPr="002563BC">
        <w:rPr>
          <w:rFonts w:ascii="Arial" w:hAnsi="Arial" w:cs="Arial"/>
          <w:sz w:val="20"/>
          <w:szCs w:val="20"/>
        </w:rPr>
        <w:t xml:space="preserve"> about the difficulties in disclosing the anticipated effects of climate-related risks, which is highly dependent on the assumption and projection model used. </w:t>
      </w:r>
    </w:p>
    <w:p w:rsidR="00557435" w:rsidRPr="002563BC" w:rsidRDefault="00150856" w:rsidP="002563BC">
      <w:pPr>
        <w:jc w:val="both"/>
        <w:rPr>
          <w:rFonts w:ascii="Arial" w:hAnsi="Arial" w:cs="Arial"/>
          <w:sz w:val="20"/>
          <w:szCs w:val="20"/>
        </w:rPr>
      </w:pPr>
      <w:r w:rsidRPr="002563BC">
        <w:rPr>
          <w:rFonts w:ascii="Arial" w:hAnsi="Arial" w:cs="Arial"/>
          <w:sz w:val="20"/>
          <w:szCs w:val="20"/>
        </w:rPr>
        <w:t>In light of the above, t</w:t>
      </w:r>
      <w:r w:rsidR="00557435" w:rsidRPr="002563BC">
        <w:rPr>
          <w:rFonts w:ascii="Arial" w:hAnsi="Arial" w:cs="Arial"/>
          <w:sz w:val="20"/>
          <w:szCs w:val="20"/>
        </w:rPr>
        <w:t xml:space="preserve">he HKEX will incorporate the ISSB Climate Standard on the </w:t>
      </w:r>
      <w:r w:rsidR="00255734" w:rsidRPr="002563BC">
        <w:rPr>
          <w:rFonts w:ascii="Arial" w:hAnsi="Arial" w:cs="Arial"/>
          <w:sz w:val="20"/>
          <w:szCs w:val="20"/>
        </w:rPr>
        <w:t xml:space="preserve">current and anticipated </w:t>
      </w:r>
      <w:r w:rsidR="00557435" w:rsidRPr="002563BC">
        <w:rPr>
          <w:rFonts w:ascii="Arial" w:hAnsi="Arial" w:cs="Arial"/>
          <w:sz w:val="20"/>
          <w:szCs w:val="20"/>
        </w:rPr>
        <w:t xml:space="preserve">financial effects of climate-related risks and opportunities into Appendix 27 of the Listing Rules, with certain modifications: </w:t>
      </w:r>
    </w:p>
    <w:tbl>
      <w:tblPr>
        <w:tblStyle w:val="a8"/>
        <w:tblW w:w="0" w:type="auto"/>
        <w:tblLook w:val="04A0" w:firstRow="1" w:lastRow="0" w:firstColumn="1" w:lastColumn="0" w:noHBand="0" w:noVBand="1"/>
      </w:tblPr>
      <w:tblGrid>
        <w:gridCol w:w="1206"/>
        <w:gridCol w:w="5111"/>
        <w:gridCol w:w="3033"/>
      </w:tblGrid>
      <w:tr w:rsidR="00036644" w:rsidRPr="002563BC" w:rsidTr="00036644">
        <w:tc>
          <w:tcPr>
            <w:tcW w:w="988" w:type="dxa"/>
          </w:tcPr>
          <w:p w:rsidR="00036644" w:rsidRPr="002563BC" w:rsidRDefault="00036644" w:rsidP="002563BC">
            <w:pPr>
              <w:jc w:val="both"/>
              <w:rPr>
                <w:rFonts w:ascii="Arial" w:hAnsi="Arial" w:cs="Arial"/>
                <w:sz w:val="20"/>
                <w:szCs w:val="20"/>
              </w:rPr>
            </w:pPr>
            <w:r w:rsidRPr="002563BC">
              <w:rPr>
                <w:rFonts w:ascii="Arial" w:hAnsi="Arial" w:cs="Arial"/>
                <w:sz w:val="20"/>
                <w:szCs w:val="20"/>
              </w:rPr>
              <w:t>Aspect</w:t>
            </w:r>
          </w:p>
        </w:tc>
        <w:tc>
          <w:tcPr>
            <w:tcW w:w="5245" w:type="dxa"/>
          </w:tcPr>
          <w:p w:rsidR="00036644" w:rsidRPr="002563BC" w:rsidRDefault="00036644" w:rsidP="002563BC">
            <w:pPr>
              <w:jc w:val="both"/>
              <w:rPr>
                <w:rFonts w:ascii="Arial" w:hAnsi="Arial" w:cs="Arial"/>
                <w:sz w:val="20"/>
                <w:szCs w:val="20"/>
              </w:rPr>
            </w:pPr>
            <w:r w:rsidRPr="002563BC">
              <w:rPr>
                <w:rFonts w:ascii="Arial" w:hAnsi="Arial" w:cs="Arial"/>
                <w:sz w:val="20"/>
                <w:szCs w:val="20"/>
              </w:rPr>
              <w:t>Requirements</w:t>
            </w:r>
          </w:p>
        </w:tc>
        <w:tc>
          <w:tcPr>
            <w:tcW w:w="3117" w:type="dxa"/>
          </w:tcPr>
          <w:p w:rsidR="00036644" w:rsidRPr="002563BC" w:rsidRDefault="00036644" w:rsidP="002563BC">
            <w:pPr>
              <w:jc w:val="both"/>
              <w:rPr>
                <w:rFonts w:ascii="Arial" w:hAnsi="Arial" w:cs="Arial"/>
                <w:sz w:val="20"/>
                <w:szCs w:val="20"/>
              </w:rPr>
            </w:pPr>
            <w:r w:rsidRPr="002563BC">
              <w:rPr>
                <w:rFonts w:ascii="Arial" w:hAnsi="Arial" w:cs="Arial"/>
                <w:sz w:val="20"/>
                <w:szCs w:val="20"/>
              </w:rPr>
              <w:t>Interim Provisions</w:t>
            </w:r>
          </w:p>
        </w:tc>
      </w:tr>
      <w:tr w:rsidR="00036644" w:rsidRPr="002563BC" w:rsidTr="00036644">
        <w:tc>
          <w:tcPr>
            <w:tcW w:w="988" w:type="dxa"/>
          </w:tcPr>
          <w:p w:rsidR="00036644" w:rsidRPr="002563BC" w:rsidRDefault="00036644" w:rsidP="002563BC">
            <w:pPr>
              <w:jc w:val="both"/>
              <w:rPr>
                <w:rFonts w:ascii="Arial" w:hAnsi="Arial" w:cs="Arial"/>
                <w:sz w:val="20"/>
                <w:szCs w:val="20"/>
              </w:rPr>
            </w:pPr>
            <w:r w:rsidRPr="002563BC">
              <w:rPr>
                <w:rFonts w:ascii="Arial" w:hAnsi="Arial" w:cs="Arial"/>
                <w:sz w:val="20"/>
                <w:szCs w:val="20"/>
              </w:rPr>
              <w:t>Current Financial Effect</w:t>
            </w:r>
          </w:p>
        </w:tc>
        <w:tc>
          <w:tcPr>
            <w:tcW w:w="5245" w:type="dxa"/>
          </w:tcPr>
          <w:p w:rsidR="00C12C1D" w:rsidRPr="002563BC" w:rsidRDefault="00036644" w:rsidP="002563BC">
            <w:pPr>
              <w:jc w:val="both"/>
              <w:rPr>
                <w:rFonts w:ascii="Arial" w:hAnsi="Arial" w:cs="Arial"/>
                <w:sz w:val="20"/>
                <w:szCs w:val="20"/>
              </w:rPr>
            </w:pPr>
            <w:r w:rsidRPr="002563BC">
              <w:rPr>
                <w:rFonts w:ascii="Arial" w:hAnsi="Arial" w:cs="Arial"/>
                <w:sz w:val="20"/>
                <w:szCs w:val="20"/>
              </w:rPr>
              <w:t>Describe and, where material, quantify the effect of climate-related risks and opportunities</w:t>
            </w:r>
            <w:r w:rsidR="00C12C1D" w:rsidRPr="002563BC">
              <w:rPr>
                <w:rFonts w:ascii="Arial" w:hAnsi="Arial" w:cs="Arial"/>
                <w:sz w:val="20"/>
                <w:szCs w:val="20"/>
              </w:rPr>
              <w:t xml:space="preserve"> on the issuer’</w:t>
            </w:r>
            <w:r w:rsidR="00D720A1" w:rsidRPr="002563BC">
              <w:rPr>
                <w:rFonts w:ascii="Arial" w:hAnsi="Arial" w:cs="Arial"/>
                <w:sz w:val="20"/>
                <w:szCs w:val="20"/>
              </w:rPr>
              <w:t>s</w:t>
            </w:r>
            <w:r w:rsidRPr="002563BC">
              <w:rPr>
                <w:rFonts w:ascii="Arial" w:hAnsi="Arial" w:cs="Arial"/>
                <w:sz w:val="20"/>
                <w:szCs w:val="20"/>
              </w:rPr>
              <w:t xml:space="preserve"> financial position, financial performance, and cash flows for t</w:t>
            </w:r>
            <w:r w:rsidR="00C12C1D" w:rsidRPr="002563BC">
              <w:rPr>
                <w:rFonts w:ascii="Arial" w:hAnsi="Arial" w:cs="Arial"/>
                <w:sz w:val="20"/>
                <w:szCs w:val="20"/>
              </w:rPr>
              <w:t>h</w:t>
            </w:r>
            <w:r w:rsidR="003816C3">
              <w:rPr>
                <w:rFonts w:ascii="Arial" w:hAnsi="Arial" w:cs="Arial"/>
                <w:sz w:val="20"/>
                <w:szCs w:val="20"/>
              </w:rPr>
              <w:t>e most recent reporting period;</w:t>
            </w:r>
            <w:r w:rsidR="00C12C1D" w:rsidRPr="002563BC">
              <w:rPr>
                <w:rStyle w:val="a7"/>
                <w:rFonts w:ascii="Arial" w:hAnsi="Arial" w:cs="Arial"/>
                <w:sz w:val="20"/>
                <w:szCs w:val="20"/>
              </w:rPr>
              <w:footnoteReference w:id="7"/>
            </w:r>
            <w:r w:rsidR="003816C3">
              <w:rPr>
                <w:rFonts w:ascii="Arial" w:hAnsi="Arial" w:cs="Arial"/>
                <w:sz w:val="20"/>
                <w:szCs w:val="20"/>
              </w:rPr>
              <w:t xml:space="preserve"> </w:t>
            </w:r>
            <w:r w:rsidR="00C12C1D" w:rsidRPr="002563BC">
              <w:rPr>
                <w:rFonts w:ascii="Arial" w:hAnsi="Arial" w:cs="Arial"/>
                <w:sz w:val="20"/>
                <w:szCs w:val="20"/>
              </w:rPr>
              <w:t xml:space="preserve">and </w:t>
            </w:r>
            <w:r w:rsidRPr="002563BC">
              <w:rPr>
                <w:rFonts w:ascii="Arial" w:hAnsi="Arial" w:cs="Arial"/>
                <w:sz w:val="20"/>
                <w:szCs w:val="20"/>
              </w:rPr>
              <w:t xml:space="preserve"> </w:t>
            </w:r>
          </w:p>
          <w:p w:rsidR="00C12C1D" w:rsidRPr="002563BC" w:rsidRDefault="00C12C1D" w:rsidP="002563BC">
            <w:pPr>
              <w:jc w:val="both"/>
              <w:rPr>
                <w:rFonts w:ascii="Arial" w:hAnsi="Arial" w:cs="Arial"/>
                <w:sz w:val="20"/>
                <w:szCs w:val="20"/>
              </w:rPr>
            </w:pPr>
          </w:p>
          <w:p w:rsidR="00036644" w:rsidRPr="002563BC" w:rsidRDefault="00A66094" w:rsidP="002563BC">
            <w:pPr>
              <w:jc w:val="both"/>
              <w:rPr>
                <w:rFonts w:ascii="Arial" w:hAnsi="Arial" w:cs="Arial"/>
                <w:sz w:val="20"/>
                <w:szCs w:val="20"/>
              </w:rPr>
            </w:pPr>
            <w:r>
              <w:rPr>
                <w:rFonts w:ascii="Arial" w:hAnsi="Arial" w:cs="Arial"/>
                <w:sz w:val="20"/>
                <w:szCs w:val="20"/>
              </w:rPr>
              <w:lastRenderedPageBreak/>
              <w:t>D</w:t>
            </w:r>
            <w:r w:rsidR="00036644" w:rsidRPr="002563BC">
              <w:rPr>
                <w:rFonts w:ascii="Arial" w:hAnsi="Arial" w:cs="Arial"/>
                <w:sz w:val="20"/>
                <w:szCs w:val="20"/>
              </w:rPr>
              <w:t>escribe whether and how such risks and opportunities may result in a material adjustment to the carrying amounts of assets and liabilities reported in the financial statements within the next financial year.</w:t>
            </w:r>
          </w:p>
        </w:tc>
        <w:tc>
          <w:tcPr>
            <w:tcW w:w="3117" w:type="dxa"/>
          </w:tcPr>
          <w:p w:rsidR="00036644" w:rsidRPr="002563BC" w:rsidRDefault="00036644" w:rsidP="002563BC">
            <w:pPr>
              <w:jc w:val="both"/>
              <w:rPr>
                <w:rFonts w:ascii="Arial" w:hAnsi="Arial" w:cs="Arial"/>
                <w:sz w:val="20"/>
                <w:szCs w:val="20"/>
              </w:rPr>
            </w:pPr>
            <w:r w:rsidRPr="002563BC">
              <w:rPr>
                <w:rFonts w:ascii="Arial" w:hAnsi="Arial" w:cs="Arial"/>
                <w:sz w:val="20"/>
                <w:szCs w:val="20"/>
              </w:rPr>
              <w:lastRenderedPageBreak/>
              <w:t>During the Interim Period, issuers who have yet to provide quantitative information should provide qualitative disclosures.</w:t>
            </w:r>
          </w:p>
        </w:tc>
      </w:tr>
      <w:tr w:rsidR="00036644" w:rsidRPr="002563BC" w:rsidTr="00036644">
        <w:tc>
          <w:tcPr>
            <w:tcW w:w="988" w:type="dxa"/>
          </w:tcPr>
          <w:p w:rsidR="00036644" w:rsidRPr="002563BC" w:rsidRDefault="00036644" w:rsidP="002563BC">
            <w:pPr>
              <w:jc w:val="both"/>
              <w:rPr>
                <w:rFonts w:ascii="Arial" w:hAnsi="Arial" w:cs="Arial"/>
                <w:sz w:val="20"/>
                <w:szCs w:val="20"/>
              </w:rPr>
            </w:pPr>
            <w:r w:rsidRPr="002563BC">
              <w:rPr>
                <w:rFonts w:ascii="Arial" w:hAnsi="Arial" w:cs="Arial"/>
                <w:sz w:val="20"/>
                <w:szCs w:val="20"/>
              </w:rPr>
              <w:t>Anticipated Financial Effect</w:t>
            </w:r>
          </w:p>
        </w:tc>
        <w:tc>
          <w:tcPr>
            <w:tcW w:w="5245" w:type="dxa"/>
          </w:tcPr>
          <w:p w:rsidR="00EB4F15" w:rsidRPr="002563BC" w:rsidRDefault="00EB4F15" w:rsidP="002563BC">
            <w:pPr>
              <w:jc w:val="both"/>
              <w:rPr>
                <w:rFonts w:ascii="Arial" w:hAnsi="Arial" w:cs="Arial"/>
                <w:sz w:val="20"/>
                <w:szCs w:val="20"/>
              </w:rPr>
            </w:pPr>
            <w:r w:rsidRPr="002563BC">
              <w:rPr>
                <w:rFonts w:ascii="Arial" w:hAnsi="Arial" w:cs="Arial"/>
                <w:sz w:val="20"/>
                <w:szCs w:val="20"/>
              </w:rPr>
              <w:t>Describe the anticipated effects of climate-related risks and opportunities identified on the issuer’s financial position, financial performance and cash flows over the short, medium and long term. This envisages disclosures on:</w:t>
            </w:r>
          </w:p>
          <w:p w:rsidR="00EB4F15" w:rsidRPr="002563BC" w:rsidRDefault="00EB4F15" w:rsidP="002563BC">
            <w:pPr>
              <w:jc w:val="both"/>
              <w:rPr>
                <w:rFonts w:ascii="Arial" w:hAnsi="Arial" w:cs="Arial"/>
                <w:sz w:val="20"/>
                <w:szCs w:val="20"/>
              </w:rPr>
            </w:pPr>
          </w:p>
          <w:p w:rsidR="00EB4F15" w:rsidRPr="002563BC" w:rsidRDefault="00EB4F15" w:rsidP="002563BC">
            <w:pPr>
              <w:pStyle w:val="a4"/>
              <w:numPr>
                <w:ilvl w:val="0"/>
                <w:numId w:val="20"/>
              </w:numPr>
              <w:jc w:val="both"/>
              <w:rPr>
                <w:rFonts w:ascii="Arial" w:hAnsi="Arial" w:cs="Arial"/>
                <w:sz w:val="20"/>
                <w:szCs w:val="20"/>
              </w:rPr>
            </w:pPr>
            <w:r w:rsidRPr="002563BC">
              <w:rPr>
                <w:rFonts w:ascii="Arial" w:hAnsi="Arial" w:cs="Arial"/>
                <w:sz w:val="20"/>
                <w:szCs w:val="20"/>
              </w:rPr>
              <w:t>how the issuer expects its financial performance to change over the short, medium and long term, considering its strategy to address significant climate-related risks and opportunities; and</w:t>
            </w:r>
          </w:p>
          <w:p w:rsidR="00EB4F15" w:rsidRPr="002563BC" w:rsidRDefault="00EB4F15" w:rsidP="002563BC">
            <w:pPr>
              <w:pStyle w:val="a4"/>
              <w:ind w:left="360"/>
              <w:jc w:val="both"/>
              <w:rPr>
                <w:rFonts w:ascii="Arial" w:hAnsi="Arial" w:cs="Arial"/>
                <w:sz w:val="20"/>
                <w:szCs w:val="20"/>
              </w:rPr>
            </w:pPr>
          </w:p>
          <w:p w:rsidR="00EB4F15" w:rsidRPr="002563BC" w:rsidRDefault="00EB4F15" w:rsidP="002563BC">
            <w:pPr>
              <w:pStyle w:val="a4"/>
              <w:numPr>
                <w:ilvl w:val="0"/>
                <w:numId w:val="20"/>
              </w:numPr>
              <w:jc w:val="both"/>
              <w:rPr>
                <w:rFonts w:ascii="Arial" w:hAnsi="Arial" w:cs="Arial"/>
                <w:sz w:val="20"/>
                <w:szCs w:val="20"/>
              </w:rPr>
            </w:pPr>
            <w:r w:rsidRPr="002563BC">
              <w:rPr>
                <w:rFonts w:ascii="Arial" w:hAnsi="Arial" w:cs="Arial"/>
                <w:sz w:val="20"/>
                <w:szCs w:val="20"/>
              </w:rPr>
              <w:t>how the issuer expects its financial position to change over the short, medium and long term, considering funds (e.g. capital expenditure, R&amp;D expenditure) required to pursue:</w:t>
            </w:r>
          </w:p>
          <w:p w:rsidR="00EB4F15" w:rsidRPr="002563BC" w:rsidRDefault="00EB4F15" w:rsidP="002563BC">
            <w:pPr>
              <w:pStyle w:val="a4"/>
              <w:numPr>
                <w:ilvl w:val="1"/>
                <w:numId w:val="20"/>
              </w:numPr>
              <w:jc w:val="both"/>
              <w:rPr>
                <w:rFonts w:ascii="Arial" w:hAnsi="Arial" w:cs="Arial"/>
                <w:sz w:val="20"/>
                <w:szCs w:val="20"/>
              </w:rPr>
            </w:pPr>
            <w:r w:rsidRPr="002563BC">
              <w:rPr>
                <w:rFonts w:ascii="Arial" w:hAnsi="Arial" w:cs="Arial"/>
                <w:sz w:val="20"/>
                <w:szCs w:val="20"/>
              </w:rPr>
              <w:t>its current and committed plans; and</w:t>
            </w:r>
          </w:p>
          <w:p w:rsidR="00EB4F15" w:rsidRPr="002563BC" w:rsidRDefault="00EB4F15" w:rsidP="002563BC">
            <w:pPr>
              <w:pStyle w:val="a4"/>
              <w:numPr>
                <w:ilvl w:val="1"/>
                <w:numId w:val="20"/>
              </w:numPr>
              <w:jc w:val="both"/>
              <w:rPr>
                <w:rFonts w:ascii="Arial" w:hAnsi="Arial" w:cs="Arial"/>
                <w:sz w:val="20"/>
                <w:szCs w:val="20"/>
              </w:rPr>
            </w:pPr>
            <w:r w:rsidRPr="002563BC">
              <w:rPr>
                <w:rFonts w:ascii="Arial" w:hAnsi="Arial" w:cs="Arial"/>
                <w:sz w:val="20"/>
                <w:szCs w:val="20"/>
              </w:rPr>
              <w:t>its planned sources of funding to implement its strategy to address significant climate-related risks and opportunities; and</w:t>
            </w:r>
          </w:p>
          <w:p w:rsidR="00EB4F15" w:rsidRPr="002563BC" w:rsidRDefault="00EB4F15" w:rsidP="002563BC">
            <w:pPr>
              <w:pStyle w:val="a4"/>
              <w:ind w:left="1440"/>
              <w:jc w:val="both"/>
              <w:rPr>
                <w:rFonts w:ascii="Arial" w:hAnsi="Arial" w:cs="Arial"/>
                <w:sz w:val="20"/>
                <w:szCs w:val="20"/>
              </w:rPr>
            </w:pPr>
          </w:p>
          <w:p w:rsidR="00036644" w:rsidRPr="002563BC" w:rsidRDefault="00EB4F15" w:rsidP="002563BC">
            <w:pPr>
              <w:pStyle w:val="a4"/>
              <w:numPr>
                <w:ilvl w:val="0"/>
                <w:numId w:val="22"/>
              </w:numPr>
              <w:jc w:val="both"/>
              <w:rPr>
                <w:rFonts w:ascii="Arial" w:hAnsi="Arial" w:cs="Arial"/>
                <w:sz w:val="20"/>
                <w:szCs w:val="20"/>
              </w:rPr>
            </w:pPr>
            <w:r w:rsidRPr="002563BC">
              <w:rPr>
                <w:rFonts w:ascii="Arial" w:hAnsi="Arial" w:cs="Arial"/>
                <w:sz w:val="20"/>
                <w:szCs w:val="20"/>
              </w:rPr>
              <w:t xml:space="preserve">how the issuer defines </w:t>
            </w:r>
            <w:r w:rsidR="00D720A1" w:rsidRPr="002563BC">
              <w:rPr>
                <w:rFonts w:ascii="Arial" w:hAnsi="Arial" w:cs="Arial"/>
                <w:sz w:val="20"/>
                <w:szCs w:val="20"/>
              </w:rPr>
              <w:t xml:space="preserve">the </w:t>
            </w:r>
            <w:r w:rsidRPr="002563BC">
              <w:rPr>
                <w:rFonts w:ascii="Arial" w:hAnsi="Arial" w:cs="Arial"/>
                <w:sz w:val="20"/>
                <w:szCs w:val="20"/>
              </w:rPr>
              <w:t>short, medium and long term.</w:t>
            </w:r>
          </w:p>
        </w:tc>
        <w:tc>
          <w:tcPr>
            <w:tcW w:w="3117" w:type="dxa"/>
          </w:tcPr>
          <w:p w:rsidR="00EB4F15" w:rsidRPr="002563BC" w:rsidRDefault="00036644" w:rsidP="002563BC">
            <w:pPr>
              <w:jc w:val="both"/>
              <w:rPr>
                <w:rFonts w:ascii="Arial" w:hAnsi="Arial" w:cs="Arial"/>
                <w:sz w:val="20"/>
                <w:szCs w:val="20"/>
              </w:rPr>
            </w:pPr>
            <w:r w:rsidRPr="002563BC">
              <w:rPr>
                <w:rFonts w:ascii="Arial" w:hAnsi="Arial" w:cs="Arial"/>
                <w:sz w:val="20"/>
                <w:szCs w:val="20"/>
              </w:rPr>
              <w:t>During the Interim Period, issuers who have yet to provide</w:t>
            </w:r>
            <w:r w:rsidR="00EB4F15" w:rsidRPr="002563BC">
              <w:rPr>
                <w:rFonts w:ascii="Arial" w:hAnsi="Arial" w:cs="Arial"/>
                <w:sz w:val="20"/>
                <w:szCs w:val="20"/>
              </w:rPr>
              <w:t xml:space="preserve"> the information relating to the anticipated financial effect should disclose:</w:t>
            </w:r>
          </w:p>
          <w:p w:rsidR="00EB4F15" w:rsidRPr="002563BC" w:rsidRDefault="00EB4F15" w:rsidP="002563BC">
            <w:pPr>
              <w:jc w:val="both"/>
              <w:rPr>
                <w:rFonts w:ascii="Arial" w:hAnsi="Arial" w:cs="Arial"/>
                <w:sz w:val="20"/>
                <w:szCs w:val="20"/>
              </w:rPr>
            </w:pPr>
          </w:p>
          <w:p w:rsidR="00EB4F15" w:rsidRPr="002563BC" w:rsidRDefault="00EB4F15" w:rsidP="002563BC">
            <w:pPr>
              <w:pStyle w:val="a4"/>
              <w:numPr>
                <w:ilvl w:val="0"/>
                <w:numId w:val="22"/>
              </w:numPr>
              <w:jc w:val="both"/>
              <w:rPr>
                <w:rFonts w:ascii="Arial" w:hAnsi="Arial" w:cs="Arial"/>
                <w:sz w:val="20"/>
                <w:szCs w:val="20"/>
              </w:rPr>
            </w:pPr>
            <w:r w:rsidRPr="002563BC">
              <w:rPr>
                <w:rFonts w:ascii="Arial" w:hAnsi="Arial" w:cs="Arial"/>
                <w:sz w:val="20"/>
                <w:szCs w:val="20"/>
              </w:rPr>
              <w:t>i</w:t>
            </w:r>
            <w:r w:rsidR="00036644" w:rsidRPr="002563BC">
              <w:rPr>
                <w:rFonts w:ascii="Arial" w:hAnsi="Arial" w:cs="Arial"/>
                <w:sz w:val="20"/>
                <w:szCs w:val="20"/>
              </w:rPr>
              <w:t>nformation, to the extent reasonably available, that may enable investors to understand the aspects of the financial sta</w:t>
            </w:r>
            <w:r w:rsidRPr="002563BC">
              <w:rPr>
                <w:rFonts w:ascii="Arial" w:hAnsi="Arial" w:cs="Arial"/>
                <w:sz w:val="20"/>
                <w:szCs w:val="20"/>
              </w:rPr>
              <w:t xml:space="preserve">tements that are most affected; and </w:t>
            </w:r>
          </w:p>
          <w:p w:rsidR="00EB4F15" w:rsidRPr="002563BC" w:rsidRDefault="00EB4F15" w:rsidP="002563BC">
            <w:pPr>
              <w:jc w:val="both"/>
              <w:rPr>
                <w:rFonts w:ascii="Arial" w:hAnsi="Arial" w:cs="Arial"/>
                <w:sz w:val="20"/>
                <w:szCs w:val="20"/>
              </w:rPr>
            </w:pPr>
          </w:p>
          <w:p w:rsidR="00036644" w:rsidRPr="002563BC" w:rsidRDefault="00EB4F15" w:rsidP="002563BC">
            <w:pPr>
              <w:pStyle w:val="a4"/>
              <w:numPr>
                <w:ilvl w:val="0"/>
                <w:numId w:val="22"/>
              </w:numPr>
              <w:jc w:val="both"/>
              <w:rPr>
                <w:rFonts w:ascii="Arial" w:hAnsi="Arial" w:cs="Arial"/>
                <w:sz w:val="20"/>
                <w:szCs w:val="20"/>
              </w:rPr>
            </w:pPr>
            <w:r w:rsidRPr="002563BC">
              <w:rPr>
                <w:rFonts w:ascii="Arial" w:hAnsi="Arial" w:cs="Arial"/>
                <w:sz w:val="20"/>
                <w:szCs w:val="20"/>
              </w:rPr>
              <w:t>t</w:t>
            </w:r>
            <w:r w:rsidR="00036644" w:rsidRPr="002563BC">
              <w:rPr>
                <w:rFonts w:ascii="Arial" w:hAnsi="Arial" w:cs="Arial"/>
                <w:sz w:val="20"/>
                <w:szCs w:val="20"/>
              </w:rPr>
              <w:t>he work plan, progress, and timetable for making the required disclosure.</w:t>
            </w:r>
          </w:p>
        </w:tc>
      </w:tr>
    </w:tbl>
    <w:p w:rsidR="005B78E0" w:rsidRPr="002563BC" w:rsidRDefault="005B78E0" w:rsidP="002563BC">
      <w:pPr>
        <w:jc w:val="both"/>
        <w:rPr>
          <w:rFonts w:ascii="Arial" w:hAnsi="Arial" w:cs="Arial"/>
          <w:sz w:val="20"/>
          <w:szCs w:val="20"/>
        </w:rPr>
      </w:pPr>
    </w:p>
    <w:p w:rsidR="009829BC" w:rsidRPr="002563BC" w:rsidRDefault="009829BC" w:rsidP="002563BC">
      <w:pPr>
        <w:jc w:val="both"/>
        <w:rPr>
          <w:rFonts w:ascii="Arial" w:hAnsi="Arial" w:cs="Arial"/>
          <w:b/>
          <w:sz w:val="20"/>
          <w:szCs w:val="20"/>
        </w:rPr>
      </w:pPr>
      <w:r w:rsidRPr="002563BC">
        <w:rPr>
          <w:rFonts w:ascii="Arial" w:hAnsi="Arial" w:cs="Arial"/>
          <w:b/>
          <w:sz w:val="20"/>
          <w:szCs w:val="20"/>
        </w:rPr>
        <w:t xml:space="preserve">Risk Management </w:t>
      </w:r>
    </w:p>
    <w:p w:rsidR="00B85444" w:rsidRPr="002563BC" w:rsidRDefault="00B85444" w:rsidP="002563BC">
      <w:pPr>
        <w:jc w:val="both"/>
        <w:rPr>
          <w:rFonts w:ascii="Arial" w:hAnsi="Arial" w:cs="Arial"/>
          <w:sz w:val="20"/>
          <w:szCs w:val="20"/>
        </w:rPr>
      </w:pPr>
      <w:r w:rsidRPr="002563BC">
        <w:rPr>
          <w:rFonts w:ascii="Arial" w:hAnsi="Arial" w:cs="Arial"/>
          <w:sz w:val="20"/>
          <w:szCs w:val="20"/>
        </w:rPr>
        <w:t>Under the current HKEX Listing Rules, issuers are required to disclose the pro</w:t>
      </w:r>
      <w:r w:rsidR="003520BC" w:rsidRPr="002563BC">
        <w:rPr>
          <w:rFonts w:ascii="Arial" w:hAnsi="Arial" w:cs="Arial"/>
          <w:sz w:val="20"/>
          <w:szCs w:val="20"/>
        </w:rPr>
        <w:t>cess used to evaluate, prioritis</w:t>
      </w:r>
      <w:r w:rsidR="003816C3">
        <w:rPr>
          <w:rFonts w:ascii="Arial" w:hAnsi="Arial" w:cs="Arial"/>
          <w:sz w:val="20"/>
          <w:szCs w:val="20"/>
        </w:rPr>
        <w:t>e</w:t>
      </w:r>
      <w:r w:rsidRPr="002563BC">
        <w:rPr>
          <w:rFonts w:ascii="Arial" w:hAnsi="Arial" w:cs="Arial"/>
          <w:sz w:val="20"/>
          <w:szCs w:val="20"/>
        </w:rPr>
        <w:t xml:space="preserve"> and manage material ESG-related issues, </w:t>
      </w:r>
      <w:r w:rsidR="003520BC" w:rsidRPr="002563BC">
        <w:rPr>
          <w:rFonts w:ascii="Arial" w:hAnsi="Arial" w:cs="Arial"/>
          <w:sz w:val="20"/>
          <w:szCs w:val="20"/>
        </w:rPr>
        <w:t xml:space="preserve">and the effectiveness of their risk management and internal control systems. </w:t>
      </w:r>
      <w:r w:rsidRPr="002563BC">
        <w:rPr>
          <w:rFonts w:ascii="Arial" w:hAnsi="Arial" w:cs="Arial"/>
          <w:sz w:val="20"/>
          <w:szCs w:val="20"/>
        </w:rPr>
        <w:t>There is no specific requirement, however, to disclose the risk assessment process.</w:t>
      </w:r>
    </w:p>
    <w:p w:rsidR="003520BC" w:rsidRPr="002563BC" w:rsidRDefault="00B85444" w:rsidP="002563BC">
      <w:pPr>
        <w:jc w:val="both"/>
        <w:rPr>
          <w:rFonts w:ascii="Arial" w:hAnsi="Arial" w:cs="Arial"/>
          <w:sz w:val="20"/>
          <w:szCs w:val="20"/>
        </w:rPr>
      </w:pPr>
      <w:r w:rsidRPr="002563BC">
        <w:rPr>
          <w:rFonts w:ascii="Arial" w:hAnsi="Arial" w:cs="Arial"/>
          <w:sz w:val="20"/>
          <w:szCs w:val="20"/>
        </w:rPr>
        <w:t xml:space="preserve">The proposed amendments to the </w:t>
      </w:r>
      <w:r w:rsidR="003816C3">
        <w:rPr>
          <w:rFonts w:ascii="Arial" w:hAnsi="Arial" w:cs="Arial"/>
          <w:sz w:val="20"/>
          <w:szCs w:val="20"/>
        </w:rPr>
        <w:t xml:space="preserve">HKEX </w:t>
      </w:r>
      <w:r w:rsidR="003520BC" w:rsidRPr="002563BC">
        <w:rPr>
          <w:rFonts w:ascii="Arial" w:hAnsi="Arial" w:cs="Arial"/>
          <w:sz w:val="20"/>
          <w:szCs w:val="20"/>
        </w:rPr>
        <w:t>Listing Rules</w:t>
      </w:r>
      <w:r w:rsidRPr="002563BC">
        <w:rPr>
          <w:rFonts w:ascii="Arial" w:hAnsi="Arial" w:cs="Arial"/>
          <w:sz w:val="20"/>
          <w:szCs w:val="20"/>
        </w:rPr>
        <w:t xml:space="preserve">, which largely incorporate the ISSB Climate Standard, aim to enable investors to better understand and assess how a company identifies, evaluates, and addresses climate-related risks that may </w:t>
      </w:r>
      <w:r w:rsidR="003520BC" w:rsidRPr="002563BC">
        <w:rPr>
          <w:rFonts w:ascii="Arial" w:hAnsi="Arial" w:cs="Arial"/>
          <w:sz w:val="20"/>
          <w:szCs w:val="20"/>
        </w:rPr>
        <w:t>materially impact its business.</w:t>
      </w:r>
      <w:r w:rsidR="00063EF8">
        <w:rPr>
          <w:rFonts w:ascii="Arial" w:hAnsi="Arial" w:cs="Arial"/>
          <w:sz w:val="20"/>
          <w:szCs w:val="20"/>
        </w:rPr>
        <w:t xml:space="preserve"> </w:t>
      </w:r>
      <w:r w:rsidR="003816C3">
        <w:rPr>
          <w:rFonts w:ascii="Arial" w:hAnsi="Arial" w:cs="Arial"/>
          <w:sz w:val="20"/>
          <w:szCs w:val="20"/>
        </w:rPr>
        <w:t>The</w:t>
      </w:r>
      <w:r w:rsidR="003520BC" w:rsidRPr="002563BC">
        <w:rPr>
          <w:rFonts w:ascii="Arial" w:hAnsi="Arial" w:cs="Arial"/>
          <w:sz w:val="20"/>
          <w:szCs w:val="20"/>
        </w:rPr>
        <w:t xml:space="preserve"> disclosure</w:t>
      </w:r>
      <w:r w:rsidR="003816C3">
        <w:rPr>
          <w:rFonts w:ascii="Arial" w:hAnsi="Arial" w:cs="Arial"/>
          <w:sz w:val="20"/>
          <w:szCs w:val="20"/>
        </w:rPr>
        <w:t>s w</w:t>
      </w:r>
      <w:r w:rsidR="003520BC" w:rsidRPr="002563BC">
        <w:rPr>
          <w:rFonts w:ascii="Arial" w:hAnsi="Arial" w:cs="Arial"/>
          <w:sz w:val="20"/>
          <w:szCs w:val="20"/>
        </w:rPr>
        <w:t>ould include:</w:t>
      </w:r>
    </w:p>
    <w:p w:rsidR="003520BC" w:rsidRPr="002563BC" w:rsidRDefault="00F27B5E" w:rsidP="002563BC">
      <w:pPr>
        <w:pStyle w:val="a4"/>
        <w:numPr>
          <w:ilvl w:val="0"/>
          <w:numId w:val="23"/>
        </w:numPr>
        <w:jc w:val="both"/>
        <w:rPr>
          <w:rFonts w:ascii="Arial" w:hAnsi="Arial" w:cs="Arial"/>
          <w:sz w:val="20"/>
          <w:szCs w:val="20"/>
        </w:rPr>
      </w:pPr>
      <w:r w:rsidRPr="002563BC">
        <w:rPr>
          <w:rFonts w:ascii="Arial" w:hAnsi="Arial" w:cs="Arial"/>
          <w:sz w:val="20"/>
          <w:szCs w:val="20"/>
        </w:rPr>
        <w:t>how the issuer assesses the likelihood and effects associated with such risks;</w:t>
      </w:r>
    </w:p>
    <w:p w:rsidR="003520BC" w:rsidRPr="002563BC" w:rsidRDefault="00F27B5E" w:rsidP="002563BC">
      <w:pPr>
        <w:pStyle w:val="a4"/>
        <w:numPr>
          <w:ilvl w:val="0"/>
          <w:numId w:val="23"/>
        </w:numPr>
        <w:jc w:val="both"/>
        <w:rPr>
          <w:rFonts w:ascii="Arial" w:hAnsi="Arial" w:cs="Arial"/>
          <w:sz w:val="20"/>
          <w:szCs w:val="20"/>
        </w:rPr>
      </w:pPr>
      <w:r w:rsidRPr="002563BC">
        <w:rPr>
          <w:rFonts w:ascii="Arial" w:hAnsi="Arial" w:cs="Arial"/>
          <w:sz w:val="20"/>
          <w:szCs w:val="20"/>
        </w:rPr>
        <w:t xml:space="preserve">how the issuer prioritises climate-related risks relative to other types of risks, including the use of risk-assessment tools; </w:t>
      </w:r>
    </w:p>
    <w:p w:rsidR="003520BC" w:rsidRPr="002563BC" w:rsidRDefault="00F27B5E" w:rsidP="002563BC">
      <w:pPr>
        <w:pStyle w:val="a4"/>
        <w:numPr>
          <w:ilvl w:val="0"/>
          <w:numId w:val="23"/>
        </w:numPr>
        <w:jc w:val="both"/>
        <w:rPr>
          <w:rFonts w:ascii="Arial" w:hAnsi="Arial" w:cs="Arial"/>
          <w:sz w:val="20"/>
          <w:szCs w:val="20"/>
        </w:rPr>
      </w:pPr>
      <w:r w:rsidRPr="002563BC">
        <w:rPr>
          <w:rFonts w:ascii="Arial" w:hAnsi="Arial" w:cs="Arial"/>
          <w:sz w:val="20"/>
          <w:szCs w:val="20"/>
        </w:rPr>
        <w:t xml:space="preserve">how the issuer monitors and manages its climate-related risks; </w:t>
      </w:r>
    </w:p>
    <w:p w:rsidR="003520BC" w:rsidRPr="002563BC" w:rsidRDefault="00F27B5E" w:rsidP="002563BC">
      <w:pPr>
        <w:pStyle w:val="a4"/>
        <w:numPr>
          <w:ilvl w:val="0"/>
          <w:numId w:val="23"/>
        </w:numPr>
        <w:jc w:val="both"/>
        <w:rPr>
          <w:rFonts w:ascii="Arial" w:hAnsi="Arial" w:cs="Arial"/>
          <w:sz w:val="20"/>
          <w:szCs w:val="20"/>
        </w:rPr>
      </w:pPr>
      <w:r w:rsidRPr="002563BC">
        <w:rPr>
          <w:rFonts w:ascii="Arial" w:hAnsi="Arial" w:cs="Arial"/>
          <w:sz w:val="20"/>
          <w:szCs w:val="20"/>
        </w:rPr>
        <w:t xml:space="preserve">how the process is integrated into the issuer’s overall risk management process; and </w:t>
      </w:r>
    </w:p>
    <w:p w:rsidR="003520BC" w:rsidRPr="002563BC" w:rsidRDefault="00F27B5E" w:rsidP="002563BC">
      <w:pPr>
        <w:pStyle w:val="a4"/>
        <w:numPr>
          <w:ilvl w:val="0"/>
          <w:numId w:val="23"/>
        </w:numPr>
        <w:jc w:val="both"/>
        <w:rPr>
          <w:rFonts w:ascii="Arial" w:hAnsi="Arial" w:cs="Arial"/>
          <w:sz w:val="20"/>
          <w:szCs w:val="20"/>
        </w:rPr>
      </w:pPr>
      <w:r w:rsidRPr="002563BC">
        <w:rPr>
          <w:rFonts w:ascii="Arial" w:hAnsi="Arial" w:cs="Arial"/>
          <w:sz w:val="20"/>
          <w:szCs w:val="20"/>
        </w:rPr>
        <w:t xml:space="preserve">any </w:t>
      </w:r>
      <w:r w:rsidR="003520BC" w:rsidRPr="002563BC">
        <w:rPr>
          <w:rFonts w:ascii="Arial" w:hAnsi="Arial" w:cs="Arial"/>
          <w:sz w:val="20"/>
          <w:szCs w:val="20"/>
        </w:rPr>
        <w:t>changes in the processes compared to the prior reporting period.</w:t>
      </w:r>
    </w:p>
    <w:p w:rsidR="00B85444" w:rsidRPr="002563BC" w:rsidRDefault="003520BC" w:rsidP="002563BC">
      <w:pPr>
        <w:jc w:val="both"/>
        <w:rPr>
          <w:rFonts w:ascii="Arial" w:hAnsi="Arial" w:cs="Arial"/>
          <w:sz w:val="20"/>
          <w:szCs w:val="20"/>
        </w:rPr>
      </w:pPr>
      <w:r w:rsidRPr="002563BC">
        <w:rPr>
          <w:rFonts w:ascii="Arial" w:hAnsi="Arial" w:cs="Arial"/>
          <w:sz w:val="20"/>
          <w:szCs w:val="20"/>
        </w:rPr>
        <w:t>Issuers may also choose to describe any process used to identify, assess, and manage climate-related opportunities in respect of the provisions mentioned above.</w:t>
      </w:r>
    </w:p>
    <w:p w:rsidR="00F27B5E" w:rsidRPr="002563BC" w:rsidRDefault="00F27B5E" w:rsidP="002563BC">
      <w:pPr>
        <w:jc w:val="both"/>
        <w:rPr>
          <w:rFonts w:ascii="Arial" w:hAnsi="Arial" w:cs="Arial"/>
          <w:b/>
          <w:sz w:val="20"/>
          <w:szCs w:val="20"/>
        </w:rPr>
      </w:pPr>
      <w:r w:rsidRPr="002563BC">
        <w:rPr>
          <w:rFonts w:ascii="Arial" w:hAnsi="Arial" w:cs="Arial"/>
          <w:b/>
          <w:sz w:val="20"/>
          <w:szCs w:val="20"/>
        </w:rPr>
        <w:t>Metrics and targets</w:t>
      </w:r>
    </w:p>
    <w:p w:rsidR="007462E5" w:rsidRPr="002563BC" w:rsidRDefault="007462E5" w:rsidP="002563BC">
      <w:pPr>
        <w:jc w:val="both"/>
        <w:rPr>
          <w:rFonts w:ascii="Arial" w:hAnsi="Arial" w:cs="Arial"/>
          <w:sz w:val="20"/>
          <w:szCs w:val="20"/>
        </w:rPr>
      </w:pPr>
      <w:r w:rsidRPr="002563BC">
        <w:rPr>
          <w:rFonts w:ascii="Arial" w:hAnsi="Arial" w:cs="Arial"/>
          <w:sz w:val="20"/>
          <w:szCs w:val="20"/>
        </w:rPr>
        <w:t xml:space="preserve">Under the current HKEX </w:t>
      </w:r>
      <w:r w:rsidR="000C3C24" w:rsidRPr="002563BC">
        <w:rPr>
          <w:rFonts w:ascii="Arial" w:hAnsi="Arial" w:cs="Arial"/>
          <w:sz w:val="20"/>
          <w:szCs w:val="20"/>
        </w:rPr>
        <w:t>Listing Rules</w:t>
      </w:r>
      <w:r w:rsidRPr="002563BC">
        <w:rPr>
          <w:rFonts w:ascii="Arial" w:hAnsi="Arial" w:cs="Arial"/>
          <w:sz w:val="20"/>
          <w:szCs w:val="20"/>
        </w:rPr>
        <w:t>, issuers are required to disclose c</w:t>
      </w:r>
      <w:r w:rsidR="006E7A1F" w:rsidRPr="002563BC">
        <w:rPr>
          <w:rFonts w:ascii="Arial" w:hAnsi="Arial" w:cs="Arial"/>
          <w:sz w:val="20"/>
          <w:szCs w:val="20"/>
        </w:rPr>
        <w:t>ertain environmental KPIs on a “comply or explain”</w:t>
      </w:r>
      <w:r w:rsidRPr="002563BC">
        <w:rPr>
          <w:rFonts w:ascii="Arial" w:hAnsi="Arial" w:cs="Arial"/>
          <w:sz w:val="20"/>
          <w:szCs w:val="20"/>
        </w:rPr>
        <w:t xml:space="preserve"> basis. However, the HKEX recogni</w:t>
      </w:r>
      <w:r w:rsidR="00C33B89">
        <w:rPr>
          <w:rFonts w:ascii="Arial" w:hAnsi="Arial" w:cs="Arial"/>
          <w:sz w:val="20"/>
          <w:szCs w:val="20"/>
        </w:rPr>
        <w:t>s</w:t>
      </w:r>
      <w:r w:rsidRPr="002563BC">
        <w:rPr>
          <w:rFonts w:ascii="Arial" w:hAnsi="Arial" w:cs="Arial"/>
          <w:sz w:val="20"/>
          <w:szCs w:val="20"/>
        </w:rPr>
        <w:t xml:space="preserve">es the need for more comprehensive information </w:t>
      </w:r>
      <w:r w:rsidR="006E7A1F" w:rsidRPr="002563BC">
        <w:rPr>
          <w:rFonts w:ascii="Arial" w:hAnsi="Arial" w:cs="Arial"/>
          <w:sz w:val="20"/>
          <w:szCs w:val="20"/>
        </w:rPr>
        <w:t>for investors to evaluate the carbon footprint and transition risks faced by companies</w:t>
      </w:r>
      <w:r w:rsidRPr="002563BC">
        <w:rPr>
          <w:rFonts w:ascii="Arial" w:hAnsi="Arial" w:cs="Arial"/>
          <w:sz w:val="20"/>
          <w:szCs w:val="20"/>
        </w:rPr>
        <w:t xml:space="preserve">. Therefore, the HKEX </w:t>
      </w:r>
      <w:r w:rsidR="006E7A1F" w:rsidRPr="002563BC">
        <w:rPr>
          <w:rFonts w:ascii="Arial" w:hAnsi="Arial" w:cs="Arial"/>
          <w:sz w:val="20"/>
          <w:szCs w:val="20"/>
        </w:rPr>
        <w:lastRenderedPageBreak/>
        <w:t>proposes</w:t>
      </w:r>
      <w:r w:rsidRPr="002563BC">
        <w:rPr>
          <w:rFonts w:ascii="Arial" w:hAnsi="Arial" w:cs="Arial"/>
          <w:sz w:val="20"/>
          <w:szCs w:val="20"/>
        </w:rPr>
        <w:t xml:space="preserve"> </w:t>
      </w:r>
      <w:r w:rsidR="005A6A38">
        <w:rPr>
          <w:rFonts w:ascii="Arial" w:hAnsi="Arial" w:cs="Arial"/>
          <w:sz w:val="20"/>
          <w:szCs w:val="20"/>
        </w:rPr>
        <w:t>upgrading the</w:t>
      </w:r>
      <w:r w:rsidRPr="002563BC">
        <w:rPr>
          <w:rFonts w:ascii="Arial" w:hAnsi="Arial" w:cs="Arial"/>
          <w:sz w:val="20"/>
          <w:szCs w:val="20"/>
        </w:rPr>
        <w:t xml:space="preserve"> reporting obligation for scope 1 and 2 emis</w:t>
      </w:r>
      <w:r w:rsidR="005A6A38">
        <w:rPr>
          <w:rFonts w:ascii="Arial" w:hAnsi="Arial" w:cs="Arial"/>
          <w:sz w:val="20"/>
          <w:szCs w:val="20"/>
        </w:rPr>
        <w:t>sions to mandatory and including</w:t>
      </w:r>
      <w:r w:rsidRPr="002563BC">
        <w:rPr>
          <w:rFonts w:ascii="Arial" w:hAnsi="Arial" w:cs="Arial"/>
          <w:sz w:val="20"/>
          <w:szCs w:val="20"/>
        </w:rPr>
        <w:t xml:space="preserve"> </w:t>
      </w:r>
      <w:r w:rsidR="006E7A1F" w:rsidRPr="002563BC">
        <w:rPr>
          <w:rFonts w:ascii="Arial" w:hAnsi="Arial" w:cs="Arial"/>
          <w:sz w:val="20"/>
          <w:szCs w:val="20"/>
        </w:rPr>
        <w:t xml:space="preserve">the </w:t>
      </w:r>
      <w:r w:rsidRPr="002563BC">
        <w:rPr>
          <w:rFonts w:ascii="Arial" w:hAnsi="Arial" w:cs="Arial"/>
          <w:sz w:val="20"/>
          <w:szCs w:val="20"/>
        </w:rPr>
        <w:t>disclosure s</w:t>
      </w:r>
      <w:r w:rsidR="003816C3">
        <w:rPr>
          <w:rFonts w:ascii="Arial" w:hAnsi="Arial" w:cs="Arial"/>
          <w:sz w:val="20"/>
          <w:szCs w:val="20"/>
        </w:rPr>
        <w:t>tandards for scope 3 emissions.</w:t>
      </w:r>
      <w:r w:rsidR="001C2002" w:rsidRPr="002563BC">
        <w:rPr>
          <w:rStyle w:val="a7"/>
          <w:rFonts w:ascii="Arial" w:hAnsi="Arial" w:cs="Arial"/>
          <w:sz w:val="20"/>
          <w:szCs w:val="20"/>
        </w:rPr>
        <w:footnoteReference w:id="8"/>
      </w:r>
    </w:p>
    <w:p w:rsidR="007462E5" w:rsidRPr="002563BC" w:rsidRDefault="007462E5" w:rsidP="002563BC">
      <w:pPr>
        <w:jc w:val="both"/>
        <w:rPr>
          <w:rFonts w:ascii="Arial" w:hAnsi="Arial" w:cs="Arial"/>
          <w:sz w:val="20"/>
          <w:szCs w:val="20"/>
        </w:rPr>
      </w:pPr>
      <w:r w:rsidRPr="002563BC">
        <w:rPr>
          <w:rFonts w:ascii="Arial" w:hAnsi="Arial" w:cs="Arial"/>
          <w:sz w:val="20"/>
          <w:szCs w:val="20"/>
        </w:rPr>
        <w:t xml:space="preserve">For scope 3 emissions, the HKEX </w:t>
      </w:r>
      <w:r w:rsidR="00C42F21">
        <w:rPr>
          <w:rFonts w:ascii="Arial" w:hAnsi="Arial" w:cs="Arial"/>
          <w:sz w:val="20"/>
          <w:szCs w:val="20"/>
        </w:rPr>
        <w:t>acknowledges</w:t>
      </w:r>
      <w:r w:rsidRPr="002563BC">
        <w:rPr>
          <w:rFonts w:ascii="Arial" w:hAnsi="Arial" w:cs="Arial"/>
          <w:sz w:val="20"/>
          <w:szCs w:val="20"/>
        </w:rPr>
        <w:t xml:space="preserve"> the practical challenges faced by issuers in collecting data </w:t>
      </w:r>
      <w:r w:rsidR="003B088F" w:rsidRPr="002563BC">
        <w:rPr>
          <w:rFonts w:ascii="Arial" w:hAnsi="Arial" w:cs="Arial"/>
          <w:sz w:val="20"/>
          <w:szCs w:val="20"/>
        </w:rPr>
        <w:t>from upstream and downstream</w:t>
      </w:r>
      <w:r w:rsidR="003816C3">
        <w:rPr>
          <w:rFonts w:ascii="Arial" w:hAnsi="Arial" w:cs="Arial"/>
          <w:sz w:val="20"/>
          <w:szCs w:val="20"/>
        </w:rPr>
        <w:t xml:space="preserve"> stakeholders which they have no control over</w:t>
      </w:r>
      <w:r w:rsidRPr="002563BC">
        <w:rPr>
          <w:rFonts w:ascii="Arial" w:hAnsi="Arial" w:cs="Arial"/>
          <w:sz w:val="20"/>
          <w:szCs w:val="20"/>
        </w:rPr>
        <w:t xml:space="preserve">. </w:t>
      </w:r>
      <w:r w:rsidR="0018486E">
        <w:rPr>
          <w:rFonts w:ascii="Arial" w:hAnsi="Arial" w:cs="Arial"/>
          <w:sz w:val="20"/>
          <w:szCs w:val="20"/>
        </w:rPr>
        <w:t>The HKEX</w:t>
      </w:r>
      <w:r w:rsidR="003B088F" w:rsidRPr="002563BC">
        <w:rPr>
          <w:rFonts w:ascii="Arial" w:hAnsi="Arial" w:cs="Arial"/>
          <w:sz w:val="20"/>
          <w:szCs w:val="20"/>
        </w:rPr>
        <w:t xml:space="preserve"> </w:t>
      </w:r>
      <w:r w:rsidR="0018486E">
        <w:rPr>
          <w:rFonts w:ascii="Arial" w:hAnsi="Arial" w:cs="Arial"/>
          <w:sz w:val="20"/>
          <w:szCs w:val="20"/>
        </w:rPr>
        <w:t xml:space="preserve">also </w:t>
      </w:r>
      <w:r w:rsidR="003B088F" w:rsidRPr="002563BC">
        <w:rPr>
          <w:rFonts w:ascii="Arial" w:hAnsi="Arial" w:cs="Arial"/>
          <w:sz w:val="20"/>
          <w:szCs w:val="20"/>
        </w:rPr>
        <w:t xml:space="preserve">considers that </w:t>
      </w:r>
      <w:r w:rsidRPr="002563BC">
        <w:rPr>
          <w:rFonts w:ascii="Arial" w:hAnsi="Arial" w:cs="Arial"/>
          <w:sz w:val="20"/>
          <w:szCs w:val="20"/>
        </w:rPr>
        <w:t>more time may be required for issuers to analy</w:t>
      </w:r>
      <w:r w:rsidR="003B088F" w:rsidRPr="002563BC">
        <w:rPr>
          <w:rFonts w:ascii="Arial" w:hAnsi="Arial" w:cs="Arial"/>
          <w:sz w:val="20"/>
          <w:szCs w:val="20"/>
        </w:rPr>
        <w:t>se their value chain, identify significant scope 3 activities, collect data, and build appropriate calculation models.</w:t>
      </w:r>
    </w:p>
    <w:p w:rsidR="007462E5" w:rsidRPr="002563BC" w:rsidRDefault="007462E5" w:rsidP="002563BC">
      <w:pPr>
        <w:jc w:val="both"/>
        <w:rPr>
          <w:rFonts w:ascii="Arial" w:hAnsi="Arial" w:cs="Arial"/>
          <w:sz w:val="20"/>
          <w:szCs w:val="20"/>
        </w:rPr>
      </w:pPr>
      <w:r w:rsidRPr="002563BC">
        <w:rPr>
          <w:rFonts w:ascii="Arial" w:hAnsi="Arial" w:cs="Arial"/>
          <w:sz w:val="20"/>
          <w:szCs w:val="20"/>
        </w:rPr>
        <w:t xml:space="preserve">In light of </w:t>
      </w:r>
      <w:r w:rsidR="002D0B7B">
        <w:rPr>
          <w:rFonts w:ascii="Arial" w:hAnsi="Arial" w:cs="Arial"/>
          <w:sz w:val="20"/>
          <w:szCs w:val="20"/>
        </w:rPr>
        <w:t>th</w:t>
      </w:r>
      <w:r w:rsidRPr="002563BC">
        <w:rPr>
          <w:rFonts w:ascii="Arial" w:hAnsi="Arial" w:cs="Arial"/>
          <w:sz w:val="20"/>
          <w:szCs w:val="20"/>
        </w:rPr>
        <w:t xml:space="preserve">e </w:t>
      </w:r>
      <w:r w:rsidR="002D0B7B">
        <w:rPr>
          <w:rFonts w:ascii="Arial" w:hAnsi="Arial" w:cs="Arial"/>
          <w:sz w:val="20"/>
          <w:szCs w:val="20"/>
        </w:rPr>
        <w:t xml:space="preserve">above </w:t>
      </w:r>
      <w:r w:rsidRPr="002563BC">
        <w:rPr>
          <w:rFonts w:ascii="Arial" w:hAnsi="Arial" w:cs="Arial"/>
          <w:sz w:val="20"/>
          <w:szCs w:val="20"/>
        </w:rPr>
        <w:t>considerations, the HKEX is proposing the following amendments:</w:t>
      </w:r>
    </w:p>
    <w:tbl>
      <w:tblPr>
        <w:tblStyle w:val="a8"/>
        <w:tblW w:w="9918" w:type="dxa"/>
        <w:tblLook w:val="04A0" w:firstRow="1" w:lastRow="0" w:firstColumn="1" w:lastColumn="0" w:noHBand="0" w:noVBand="1"/>
      </w:tblPr>
      <w:tblGrid>
        <w:gridCol w:w="1106"/>
        <w:gridCol w:w="5839"/>
        <w:gridCol w:w="2973"/>
      </w:tblGrid>
      <w:tr w:rsidR="007462E5" w:rsidRPr="002563BC" w:rsidTr="001C2002">
        <w:tc>
          <w:tcPr>
            <w:tcW w:w="1106" w:type="dxa"/>
          </w:tcPr>
          <w:p w:rsidR="007462E5" w:rsidRPr="002563BC" w:rsidRDefault="007462E5" w:rsidP="002563BC">
            <w:pPr>
              <w:jc w:val="both"/>
              <w:rPr>
                <w:rFonts w:ascii="Arial" w:hAnsi="Arial" w:cs="Arial"/>
                <w:sz w:val="20"/>
                <w:szCs w:val="20"/>
              </w:rPr>
            </w:pPr>
            <w:r w:rsidRPr="002563BC">
              <w:rPr>
                <w:rFonts w:ascii="Arial" w:hAnsi="Arial" w:cs="Arial"/>
                <w:sz w:val="20"/>
                <w:szCs w:val="20"/>
              </w:rPr>
              <w:t>Aspect</w:t>
            </w:r>
          </w:p>
        </w:tc>
        <w:tc>
          <w:tcPr>
            <w:tcW w:w="5839" w:type="dxa"/>
          </w:tcPr>
          <w:p w:rsidR="007462E5" w:rsidRPr="002563BC" w:rsidRDefault="007462E5" w:rsidP="002563BC">
            <w:pPr>
              <w:jc w:val="both"/>
              <w:rPr>
                <w:rFonts w:ascii="Arial" w:hAnsi="Arial" w:cs="Arial"/>
                <w:sz w:val="20"/>
                <w:szCs w:val="20"/>
              </w:rPr>
            </w:pPr>
            <w:r w:rsidRPr="002563BC">
              <w:rPr>
                <w:rFonts w:ascii="Arial" w:hAnsi="Arial" w:cs="Arial"/>
                <w:sz w:val="20"/>
                <w:szCs w:val="20"/>
              </w:rPr>
              <w:t>Requirements</w:t>
            </w:r>
          </w:p>
        </w:tc>
        <w:tc>
          <w:tcPr>
            <w:tcW w:w="2973" w:type="dxa"/>
          </w:tcPr>
          <w:p w:rsidR="007462E5" w:rsidRPr="002563BC" w:rsidRDefault="007462E5" w:rsidP="002563BC">
            <w:pPr>
              <w:jc w:val="both"/>
              <w:rPr>
                <w:rFonts w:ascii="Arial" w:hAnsi="Arial" w:cs="Arial"/>
                <w:sz w:val="20"/>
                <w:szCs w:val="20"/>
              </w:rPr>
            </w:pPr>
            <w:r w:rsidRPr="002563BC">
              <w:rPr>
                <w:rFonts w:ascii="Arial" w:hAnsi="Arial" w:cs="Arial"/>
                <w:sz w:val="20"/>
                <w:szCs w:val="20"/>
              </w:rPr>
              <w:t>Interim Provisions</w:t>
            </w:r>
          </w:p>
        </w:tc>
      </w:tr>
      <w:tr w:rsidR="007462E5" w:rsidRPr="002563BC" w:rsidTr="001C2002">
        <w:tc>
          <w:tcPr>
            <w:tcW w:w="1106" w:type="dxa"/>
          </w:tcPr>
          <w:p w:rsidR="007462E5" w:rsidRPr="002563BC" w:rsidRDefault="007462E5" w:rsidP="002563BC">
            <w:pPr>
              <w:jc w:val="both"/>
              <w:rPr>
                <w:rFonts w:ascii="Arial" w:hAnsi="Arial" w:cs="Arial"/>
                <w:sz w:val="20"/>
                <w:szCs w:val="20"/>
              </w:rPr>
            </w:pPr>
            <w:r w:rsidRPr="002563BC">
              <w:rPr>
                <w:rFonts w:ascii="Arial" w:hAnsi="Arial" w:cs="Arial"/>
                <w:sz w:val="20"/>
                <w:szCs w:val="20"/>
              </w:rPr>
              <w:t>GHG emissions</w:t>
            </w:r>
          </w:p>
        </w:tc>
        <w:tc>
          <w:tcPr>
            <w:tcW w:w="5839" w:type="dxa"/>
          </w:tcPr>
          <w:p w:rsidR="007462E5" w:rsidRDefault="007462E5" w:rsidP="002563BC">
            <w:pPr>
              <w:jc w:val="both"/>
              <w:rPr>
                <w:rFonts w:ascii="Arial" w:hAnsi="Arial" w:cs="Arial"/>
                <w:sz w:val="20"/>
                <w:szCs w:val="20"/>
              </w:rPr>
            </w:pPr>
            <w:r w:rsidRPr="002563BC">
              <w:rPr>
                <w:rFonts w:ascii="Arial" w:hAnsi="Arial" w:cs="Arial"/>
                <w:sz w:val="20"/>
                <w:szCs w:val="20"/>
              </w:rPr>
              <w:t>Disclose absolute gross GHG emissions generated during the reporting period, expressed as metric tons of CO</w:t>
            </w:r>
            <w:r w:rsidR="001C2002" w:rsidRPr="002563BC">
              <w:rPr>
                <w:rFonts w:ascii="Arial" w:hAnsi="Arial" w:cs="Arial"/>
                <w:sz w:val="20"/>
                <w:szCs w:val="20"/>
              </w:rPr>
              <w:t>2</w:t>
            </w:r>
            <w:r w:rsidRPr="002563BC">
              <w:rPr>
                <w:rFonts w:ascii="Arial" w:hAnsi="Arial" w:cs="Arial"/>
                <w:sz w:val="20"/>
                <w:szCs w:val="20"/>
              </w:rPr>
              <w:t xml:space="preserve"> equivalent, classified as:</w:t>
            </w:r>
          </w:p>
          <w:p w:rsidR="007F1BB4" w:rsidRPr="002563BC" w:rsidRDefault="007F1BB4" w:rsidP="002563BC">
            <w:pPr>
              <w:jc w:val="both"/>
              <w:rPr>
                <w:rFonts w:ascii="Arial" w:hAnsi="Arial" w:cs="Arial"/>
                <w:sz w:val="20"/>
                <w:szCs w:val="20"/>
              </w:rPr>
            </w:pPr>
          </w:p>
          <w:p w:rsidR="007462E5" w:rsidRPr="002563BC" w:rsidRDefault="007462E5" w:rsidP="002563BC">
            <w:pPr>
              <w:pStyle w:val="a4"/>
              <w:numPr>
                <w:ilvl w:val="0"/>
                <w:numId w:val="27"/>
              </w:numPr>
              <w:jc w:val="both"/>
              <w:rPr>
                <w:rFonts w:ascii="Arial" w:hAnsi="Arial" w:cs="Arial"/>
                <w:sz w:val="20"/>
                <w:szCs w:val="20"/>
              </w:rPr>
            </w:pPr>
            <w:r w:rsidRPr="002563BC">
              <w:rPr>
                <w:rFonts w:ascii="Arial" w:hAnsi="Arial" w:cs="Arial"/>
                <w:sz w:val="20"/>
                <w:szCs w:val="20"/>
              </w:rPr>
              <w:t>scope 1 emissions;</w:t>
            </w:r>
          </w:p>
          <w:p w:rsidR="007462E5" w:rsidRPr="002563BC" w:rsidRDefault="007462E5" w:rsidP="002563BC">
            <w:pPr>
              <w:pStyle w:val="a4"/>
              <w:numPr>
                <w:ilvl w:val="0"/>
                <w:numId w:val="27"/>
              </w:numPr>
              <w:jc w:val="both"/>
              <w:rPr>
                <w:rFonts w:ascii="Arial" w:hAnsi="Arial" w:cs="Arial"/>
                <w:sz w:val="20"/>
                <w:szCs w:val="20"/>
              </w:rPr>
            </w:pPr>
            <w:r w:rsidRPr="002563BC">
              <w:rPr>
                <w:rFonts w:ascii="Arial" w:hAnsi="Arial" w:cs="Arial"/>
                <w:sz w:val="20"/>
                <w:szCs w:val="20"/>
              </w:rPr>
              <w:t>scope 2 emissions; and</w:t>
            </w:r>
          </w:p>
          <w:p w:rsidR="007462E5" w:rsidRPr="002563BC" w:rsidRDefault="007462E5" w:rsidP="002563BC">
            <w:pPr>
              <w:pStyle w:val="a4"/>
              <w:numPr>
                <w:ilvl w:val="0"/>
                <w:numId w:val="27"/>
              </w:numPr>
              <w:jc w:val="both"/>
              <w:rPr>
                <w:rFonts w:ascii="Arial" w:hAnsi="Arial" w:cs="Arial"/>
                <w:sz w:val="20"/>
                <w:szCs w:val="20"/>
              </w:rPr>
            </w:pPr>
            <w:r w:rsidRPr="002563BC">
              <w:rPr>
                <w:rFonts w:ascii="Arial" w:hAnsi="Arial" w:cs="Arial"/>
                <w:sz w:val="20"/>
                <w:szCs w:val="20"/>
              </w:rPr>
              <w:t>scope 3 emissions.</w:t>
            </w:r>
          </w:p>
          <w:p w:rsidR="001C2002" w:rsidRPr="002563BC" w:rsidRDefault="001C2002" w:rsidP="002563BC">
            <w:pPr>
              <w:pStyle w:val="a4"/>
              <w:jc w:val="both"/>
              <w:rPr>
                <w:rFonts w:ascii="Arial" w:hAnsi="Arial" w:cs="Arial"/>
                <w:sz w:val="20"/>
                <w:szCs w:val="20"/>
              </w:rPr>
            </w:pPr>
          </w:p>
          <w:p w:rsidR="007462E5" w:rsidRDefault="001C2002" w:rsidP="002563BC">
            <w:pPr>
              <w:jc w:val="both"/>
              <w:rPr>
                <w:rFonts w:ascii="Arial" w:hAnsi="Arial" w:cs="Arial"/>
                <w:sz w:val="20"/>
                <w:szCs w:val="20"/>
              </w:rPr>
            </w:pPr>
            <w:r w:rsidRPr="002563BC">
              <w:rPr>
                <w:rFonts w:ascii="Arial" w:hAnsi="Arial" w:cs="Arial"/>
                <w:sz w:val="20"/>
                <w:szCs w:val="20"/>
              </w:rPr>
              <w:t xml:space="preserve">Disclose the following </w:t>
            </w:r>
            <w:r w:rsidR="007462E5" w:rsidRPr="002563BC">
              <w:rPr>
                <w:rFonts w:ascii="Arial" w:hAnsi="Arial" w:cs="Arial"/>
                <w:sz w:val="20"/>
                <w:szCs w:val="20"/>
              </w:rPr>
              <w:t>information in relation to GHG emissions:</w:t>
            </w:r>
          </w:p>
          <w:p w:rsidR="007F1BB4" w:rsidRPr="002563BC" w:rsidRDefault="007F1BB4" w:rsidP="002563BC">
            <w:pPr>
              <w:jc w:val="both"/>
              <w:rPr>
                <w:rFonts w:ascii="Arial" w:hAnsi="Arial" w:cs="Arial"/>
                <w:sz w:val="20"/>
                <w:szCs w:val="20"/>
              </w:rPr>
            </w:pPr>
          </w:p>
          <w:p w:rsidR="001C2002" w:rsidRPr="002563BC" w:rsidRDefault="007462E5" w:rsidP="002563BC">
            <w:pPr>
              <w:pStyle w:val="a4"/>
              <w:numPr>
                <w:ilvl w:val="0"/>
                <w:numId w:val="34"/>
              </w:numPr>
              <w:jc w:val="both"/>
              <w:rPr>
                <w:rFonts w:ascii="Arial" w:hAnsi="Arial" w:cs="Arial"/>
                <w:sz w:val="20"/>
                <w:szCs w:val="20"/>
              </w:rPr>
            </w:pPr>
            <w:r w:rsidRPr="002563BC">
              <w:rPr>
                <w:rFonts w:ascii="Arial" w:hAnsi="Arial" w:cs="Arial"/>
                <w:sz w:val="20"/>
                <w:szCs w:val="20"/>
              </w:rPr>
              <w:t>a statement describing the standard in accordance with which the issuer’s GHG emissions have been measured, which must be either (i) the GHG Protocol; or (ii) the protocol that the issuer is required to use by local legislation for measuring GHG emissions;</w:t>
            </w:r>
          </w:p>
          <w:p w:rsidR="001C2002" w:rsidRPr="002563BC" w:rsidRDefault="007462E5" w:rsidP="002563BC">
            <w:pPr>
              <w:pStyle w:val="a4"/>
              <w:numPr>
                <w:ilvl w:val="0"/>
                <w:numId w:val="34"/>
              </w:numPr>
              <w:jc w:val="both"/>
              <w:rPr>
                <w:rFonts w:ascii="Arial" w:hAnsi="Arial" w:cs="Arial"/>
                <w:sz w:val="20"/>
                <w:szCs w:val="20"/>
              </w:rPr>
            </w:pPr>
            <w:r w:rsidRPr="002563BC">
              <w:rPr>
                <w:rFonts w:ascii="Arial" w:hAnsi="Arial" w:cs="Arial"/>
                <w:sz w:val="20"/>
                <w:szCs w:val="20"/>
              </w:rPr>
              <w:t>the GHG emissions consolidation approach used: equity share, financial control, or operational control; and</w:t>
            </w:r>
          </w:p>
          <w:p w:rsidR="007462E5" w:rsidRPr="002563BC" w:rsidRDefault="007462E5" w:rsidP="002563BC">
            <w:pPr>
              <w:pStyle w:val="a4"/>
              <w:numPr>
                <w:ilvl w:val="0"/>
                <w:numId w:val="34"/>
              </w:numPr>
              <w:jc w:val="both"/>
              <w:rPr>
                <w:rFonts w:ascii="Arial" w:hAnsi="Arial" w:cs="Arial"/>
                <w:sz w:val="20"/>
                <w:szCs w:val="20"/>
              </w:rPr>
            </w:pPr>
            <w:r w:rsidRPr="002563BC">
              <w:rPr>
                <w:rFonts w:ascii="Arial" w:hAnsi="Arial" w:cs="Arial"/>
                <w:sz w:val="20"/>
                <w:szCs w:val="20"/>
              </w:rPr>
              <w:t>a summary of specific exclusion of sources, facilities and/or operations with a justification for their exclusion.</w:t>
            </w:r>
          </w:p>
          <w:p w:rsidR="007462E5" w:rsidRPr="002563BC" w:rsidRDefault="007462E5" w:rsidP="002563BC">
            <w:pPr>
              <w:jc w:val="both"/>
              <w:rPr>
                <w:rFonts w:ascii="Arial" w:hAnsi="Arial" w:cs="Arial"/>
                <w:sz w:val="20"/>
                <w:szCs w:val="20"/>
              </w:rPr>
            </w:pPr>
          </w:p>
          <w:p w:rsidR="007462E5" w:rsidRPr="002563BC" w:rsidRDefault="007462E5" w:rsidP="002563BC">
            <w:pPr>
              <w:jc w:val="both"/>
              <w:rPr>
                <w:rFonts w:ascii="Arial" w:hAnsi="Arial" w:cs="Arial"/>
                <w:sz w:val="20"/>
                <w:szCs w:val="20"/>
              </w:rPr>
            </w:pPr>
            <w:r w:rsidRPr="002563BC">
              <w:rPr>
                <w:rFonts w:ascii="Arial" w:hAnsi="Arial" w:cs="Arial"/>
                <w:sz w:val="20"/>
                <w:szCs w:val="20"/>
              </w:rPr>
              <w:t>In relation to scope 3 emissions,</w:t>
            </w:r>
            <w:r w:rsidR="001420AE" w:rsidRPr="002563BC">
              <w:rPr>
                <w:rFonts w:ascii="Arial" w:hAnsi="Arial" w:cs="Arial"/>
                <w:sz w:val="20"/>
                <w:szCs w:val="20"/>
              </w:rPr>
              <w:t xml:space="preserve"> </w:t>
            </w:r>
            <w:r w:rsidRPr="002563BC">
              <w:rPr>
                <w:rFonts w:ascii="Arial" w:hAnsi="Arial" w:cs="Arial"/>
                <w:sz w:val="20"/>
                <w:szCs w:val="20"/>
              </w:rPr>
              <w:t>disclose:</w:t>
            </w:r>
          </w:p>
          <w:p w:rsidR="001C2002" w:rsidRPr="002563BC" w:rsidRDefault="001C2002" w:rsidP="002563BC">
            <w:pPr>
              <w:jc w:val="both"/>
              <w:rPr>
                <w:rFonts w:ascii="Arial" w:hAnsi="Arial" w:cs="Arial"/>
                <w:sz w:val="20"/>
                <w:szCs w:val="20"/>
              </w:rPr>
            </w:pPr>
          </w:p>
          <w:p w:rsidR="007462E5" w:rsidRPr="002563BC" w:rsidRDefault="007462E5" w:rsidP="002563BC">
            <w:pPr>
              <w:pStyle w:val="a4"/>
              <w:numPr>
                <w:ilvl w:val="0"/>
                <w:numId w:val="33"/>
              </w:numPr>
              <w:jc w:val="both"/>
              <w:rPr>
                <w:rFonts w:ascii="Arial" w:hAnsi="Arial" w:cs="Arial"/>
                <w:sz w:val="20"/>
                <w:szCs w:val="20"/>
              </w:rPr>
            </w:pPr>
            <w:r w:rsidRPr="002563BC">
              <w:rPr>
                <w:rFonts w:ascii="Arial" w:hAnsi="Arial" w:cs="Arial"/>
                <w:sz w:val="20"/>
                <w:szCs w:val="20"/>
              </w:rPr>
              <w:t>the categories of significant upstream or downstream activities along the value chain that have been included in the calculation;</w:t>
            </w:r>
          </w:p>
          <w:p w:rsidR="007462E5" w:rsidRPr="002563BC" w:rsidRDefault="007462E5" w:rsidP="002563BC">
            <w:pPr>
              <w:pStyle w:val="a4"/>
              <w:numPr>
                <w:ilvl w:val="0"/>
                <w:numId w:val="33"/>
              </w:numPr>
              <w:jc w:val="both"/>
              <w:rPr>
                <w:rFonts w:ascii="Arial" w:hAnsi="Arial" w:cs="Arial"/>
                <w:sz w:val="20"/>
                <w:szCs w:val="20"/>
              </w:rPr>
            </w:pPr>
            <w:r w:rsidRPr="002563BC">
              <w:rPr>
                <w:rFonts w:ascii="Arial" w:hAnsi="Arial" w:cs="Arial"/>
                <w:sz w:val="20"/>
                <w:szCs w:val="20"/>
              </w:rPr>
              <w:t>the basis for selecting such upstream or downstream activities;</w:t>
            </w:r>
          </w:p>
          <w:p w:rsidR="007462E5" w:rsidRPr="002563BC" w:rsidRDefault="007462E5" w:rsidP="002563BC">
            <w:pPr>
              <w:pStyle w:val="a4"/>
              <w:numPr>
                <w:ilvl w:val="0"/>
                <w:numId w:val="33"/>
              </w:numPr>
              <w:jc w:val="both"/>
              <w:rPr>
                <w:rFonts w:ascii="Arial" w:hAnsi="Arial" w:cs="Arial"/>
                <w:sz w:val="20"/>
                <w:szCs w:val="20"/>
              </w:rPr>
            </w:pPr>
            <w:r w:rsidRPr="002563BC">
              <w:rPr>
                <w:rFonts w:ascii="Arial" w:hAnsi="Arial" w:cs="Arial"/>
                <w:sz w:val="20"/>
                <w:szCs w:val="20"/>
              </w:rPr>
              <w:t>the basis for its measurement of scope 3 emissions when it includes information provided by entities in its value chain; and</w:t>
            </w:r>
          </w:p>
          <w:p w:rsidR="007462E5" w:rsidRPr="002563BC" w:rsidRDefault="007462E5" w:rsidP="002563BC">
            <w:pPr>
              <w:pStyle w:val="a4"/>
              <w:numPr>
                <w:ilvl w:val="0"/>
                <w:numId w:val="33"/>
              </w:numPr>
              <w:jc w:val="both"/>
              <w:rPr>
                <w:rFonts w:ascii="Arial" w:hAnsi="Arial" w:cs="Arial"/>
                <w:sz w:val="20"/>
                <w:szCs w:val="20"/>
              </w:rPr>
            </w:pPr>
            <w:r w:rsidRPr="002563BC">
              <w:rPr>
                <w:rFonts w:ascii="Arial" w:hAnsi="Arial" w:cs="Arial"/>
                <w:sz w:val="20"/>
                <w:szCs w:val="20"/>
              </w:rPr>
              <w:t xml:space="preserve">the reasons for omission if it excludes those GHG emissions in </w:t>
            </w:r>
            <w:r w:rsidR="001C2002" w:rsidRPr="002563BC">
              <w:rPr>
                <w:rFonts w:ascii="Arial" w:hAnsi="Arial" w:cs="Arial"/>
                <w:sz w:val="20"/>
                <w:szCs w:val="20"/>
              </w:rPr>
              <w:t>(iv) above</w:t>
            </w:r>
            <w:r w:rsidRPr="002563BC">
              <w:rPr>
                <w:rFonts w:ascii="Arial" w:hAnsi="Arial" w:cs="Arial"/>
                <w:sz w:val="20"/>
                <w:szCs w:val="20"/>
              </w:rPr>
              <w:t>.</w:t>
            </w:r>
          </w:p>
        </w:tc>
        <w:tc>
          <w:tcPr>
            <w:tcW w:w="2973" w:type="dxa"/>
          </w:tcPr>
          <w:p w:rsidR="007462E5" w:rsidRPr="002563BC" w:rsidRDefault="007462E5" w:rsidP="002563BC">
            <w:pPr>
              <w:jc w:val="both"/>
              <w:rPr>
                <w:rFonts w:ascii="Arial" w:hAnsi="Arial" w:cs="Arial"/>
                <w:sz w:val="20"/>
                <w:szCs w:val="20"/>
              </w:rPr>
            </w:pPr>
            <w:r w:rsidRPr="002563BC">
              <w:rPr>
                <w:rFonts w:ascii="Arial" w:hAnsi="Arial" w:cs="Arial"/>
                <w:sz w:val="20"/>
                <w:szCs w:val="20"/>
              </w:rPr>
              <w:t>During the Interim Period, issuers who have yet to disclose all information in relation to scope 3 emissions should disclose:</w:t>
            </w:r>
          </w:p>
          <w:p w:rsidR="001C2002" w:rsidRPr="002563BC" w:rsidRDefault="001C2002" w:rsidP="002563BC">
            <w:pPr>
              <w:jc w:val="both"/>
              <w:rPr>
                <w:rFonts w:ascii="Arial" w:hAnsi="Arial" w:cs="Arial"/>
                <w:sz w:val="20"/>
                <w:szCs w:val="20"/>
              </w:rPr>
            </w:pPr>
          </w:p>
          <w:p w:rsidR="007462E5" w:rsidRPr="002563BC" w:rsidRDefault="007462E5" w:rsidP="002563BC">
            <w:pPr>
              <w:jc w:val="both"/>
              <w:rPr>
                <w:rFonts w:ascii="Arial" w:hAnsi="Arial" w:cs="Arial"/>
                <w:sz w:val="20"/>
                <w:szCs w:val="20"/>
              </w:rPr>
            </w:pPr>
            <w:r w:rsidRPr="002563BC">
              <w:rPr>
                <w:rFonts w:ascii="Arial" w:hAnsi="Arial" w:cs="Arial"/>
                <w:sz w:val="20"/>
                <w:szCs w:val="20"/>
              </w:rPr>
              <w:t>information, to the extent reasonably available, that may enable investors to understand the issuers’ relevant upstream or downstream activities along the value chain; and</w:t>
            </w:r>
          </w:p>
          <w:p w:rsidR="007462E5" w:rsidRPr="002563BC" w:rsidRDefault="007462E5" w:rsidP="002563BC">
            <w:pPr>
              <w:jc w:val="both"/>
              <w:rPr>
                <w:rFonts w:ascii="Arial" w:hAnsi="Arial" w:cs="Arial"/>
                <w:sz w:val="20"/>
                <w:szCs w:val="20"/>
              </w:rPr>
            </w:pPr>
          </w:p>
          <w:p w:rsidR="007462E5" w:rsidRPr="002563BC" w:rsidRDefault="007462E5" w:rsidP="002563BC">
            <w:pPr>
              <w:jc w:val="both"/>
              <w:rPr>
                <w:rFonts w:ascii="Arial" w:hAnsi="Arial" w:cs="Arial"/>
                <w:sz w:val="20"/>
                <w:szCs w:val="20"/>
              </w:rPr>
            </w:pPr>
            <w:r w:rsidRPr="002563BC">
              <w:rPr>
                <w:rFonts w:ascii="Arial" w:hAnsi="Arial" w:cs="Arial"/>
                <w:sz w:val="20"/>
                <w:szCs w:val="20"/>
              </w:rPr>
              <w:t>the work plan, progress and timetable for making the required disclosure.</w:t>
            </w:r>
          </w:p>
        </w:tc>
      </w:tr>
    </w:tbl>
    <w:p w:rsidR="001C2002" w:rsidRPr="002563BC" w:rsidRDefault="001C2002" w:rsidP="002563BC">
      <w:pPr>
        <w:jc w:val="both"/>
        <w:rPr>
          <w:rFonts w:ascii="Arial" w:hAnsi="Arial" w:cs="Arial"/>
          <w:sz w:val="20"/>
          <w:szCs w:val="20"/>
          <w:u w:val="single"/>
        </w:rPr>
      </w:pPr>
    </w:p>
    <w:p w:rsidR="001C2002" w:rsidRPr="002563BC" w:rsidRDefault="001C2002" w:rsidP="002563BC">
      <w:pPr>
        <w:jc w:val="both"/>
        <w:rPr>
          <w:rFonts w:ascii="Arial" w:hAnsi="Arial" w:cs="Arial"/>
          <w:sz w:val="20"/>
          <w:szCs w:val="20"/>
          <w:u w:val="single"/>
        </w:rPr>
      </w:pPr>
      <w:r w:rsidRPr="002563BC">
        <w:rPr>
          <w:rFonts w:ascii="Arial" w:hAnsi="Arial" w:cs="Arial"/>
          <w:sz w:val="20"/>
          <w:szCs w:val="20"/>
          <w:u w:val="single"/>
        </w:rPr>
        <w:t>Other cross-industry metrics</w:t>
      </w:r>
    </w:p>
    <w:p w:rsidR="001C2002" w:rsidRPr="002563BC" w:rsidRDefault="001C2002" w:rsidP="002563BC">
      <w:pPr>
        <w:jc w:val="both"/>
        <w:rPr>
          <w:rFonts w:ascii="Arial" w:hAnsi="Arial" w:cs="Arial"/>
          <w:sz w:val="20"/>
          <w:szCs w:val="20"/>
        </w:rPr>
      </w:pPr>
      <w:r w:rsidRPr="002563BC">
        <w:rPr>
          <w:rFonts w:ascii="Arial" w:hAnsi="Arial" w:cs="Arial"/>
          <w:sz w:val="20"/>
          <w:szCs w:val="20"/>
        </w:rPr>
        <w:t xml:space="preserve">The HKEX also proposes disclosure of </w:t>
      </w:r>
      <w:r w:rsidR="009A6746" w:rsidRPr="002563BC">
        <w:rPr>
          <w:rFonts w:ascii="Arial" w:hAnsi="Arial" w:cs="Arial"/>
          <w:sz w:val="20"/>
          <w:szCs w:val="20"/>
        </w:rPr>
        <w:t>the following</w:t>
      </w:r>
      <w:r w:rsidRPr="002563BC">
        <w:rPr>
          <w:rFonts w:ascii="Arial" w:hAnsi="Arial" w:cs="Arial"/>
          <w:sz w:val="20"/>
          <w:szCs w:val="20"/>
        </w:rPr>
        <w:t xml:space="preserve"> cross-industry metrics</w:t>
      </w:r>
      <w:r w:rsidR="003B3A35" w:rsidRPr="002563BC">
        <w:rPr>
          <w:rFonts w:ascii="Arial" w:hAnsi="Arial" w:cs="Arial"/>
          <w:sz w:val="20"/>
          <w:szCs w:val="20"/>
        </w:rPr>
        <w:t>, subject to an interim provision</w:t>
      </w:r>
      <w:r w:rsidR="009A6746" w:rsidRPr="002563BC">
        <w:rPr>
          <w:rFonts w:ascii="Arial" w:hAnsi="Arial" w:cs="Arial"/>
          <w:sz w:val="20"/>
          <w:szCs w:val="20"/>
        </w:rPr>
        <w:t>:</w:t>
      </w:r>
    </w:p>
    <w:tbl>
      <w:tblPr>
        <w:tblStyle w:val="a8"/>
        <w:tblW w:w="9918" w:type="dxa"/>
        <w:tblLook w:val="04A0" w:firstRow="1" w:lastRow="0" w:firstColumn="1" w:lastColumn="0" w:noHBand="0" w:noVBand="1"/>
      </w:tblPr>
      <w:tblGrid>
        <w:gridCol w:w="1362"/>
        <w:gridCol w:w="8556"/>
      </w:tblGrid>
      <w:tr w:rsidR="001C2002" w:rsidRPr="002563BC" w:rsidTr="001C2002">
        <w:tc>
          <w:tcPr>
            <w:tcW w:w="1362"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Aspect</w:t>
            </w:r>
          </w:p>
        </w:tc>
        <w:tc>
          <w:tcPr>
            <w:tcW w:w="8556"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Requirements</w:t>
            </w:r>
          </w:p>
        </w:tc>
      </w:tr>
      <w:tr w:rsidR="001C2002" w:rsidRPr="002563BC" w:rsidTr="009A6746">
        <w:trPr>
          <w:trHeight w:val="279"/>
        </w:trPr>
        <w:tc>
          <w:tcPr>
            <w:tcW w:w="1362"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lastRenderedPageBreak/>
              <w:t xml:space="preserve">Transition risks </w:t>
            </w:r>
          </w:p>
        </w:tc>
        <w:tc>
          <w:tcPr>
            <w:tcW w:w="8556"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Disclose the amount and percentage of assets or business activities vulnerable to transition risk.</w:t>
            </w:r>
          </w:p>
        </w:tc>
      </w:tr>
      <w:tr w:rsidR="001C2002" w:rsidRPr="002563BC" w:rsidTr="001C2002">
        <w:tc>
          <w:tcPr>
            <w:tcW w:w="1362"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Physical risks</w:t>
            </w:r>
          </w:p>
        </w:tc>
        <w:tc>
          <w:tcPr>
            <w:tcW w:w="8556"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Disclose the amount and percentage of assets or business activities vulnerable to physical risk.</w:t>
            </w:r>
          </w:p>
        </w:tc>
      </w:tr>
      <w:tr w:rsidR="001C2002" w:rsidRPr="002563BC" w:rsidTr="001C2002">
        <w:tc>
          <w:tcPr>
            <w:tcW w:w="1362"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Climate-related opportunities</w:t>
            </w:r>
          </w:p>
        </w:tc>
        <w:tc>
          <w:tcPr>
            <w:tcW w:w="8556"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Disclose the amount and percentage of assets or business activities aligned with climate-related opportunities.</w:t>
            </w:r>
          </w:p>
        </w:tc>
      </w:tr>
      <w:tr w:rsidR="001C2002" w:rsidRPr="002563BC" w:rsidTr="001C2002">
        <w:tc>
          <w:tcPr>
            <w:tcW w:w="1362"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Capital deployment</w:t>
            </w:r>
          </w:p>
        </w:tc>
        <w:tc>
          <w:tcPr>
            <w:tcW w:w="8556" w:type="dxa"/>
          </w:tcPr>
          <w:p w:rsidR="001C2002" w:rsidRPr="002563BC" w:rsidRDefault="001C2002" w:rsidP="002563BC">
            <w:pPr>
              <w:jc w:val="both"/>
              <w:rPr>
                <w:rFonts w:ascii="Arial" w:hAnsi="Arial" w:cs="Arial"/>
                <w:sz w:val="20"/>
                <w:szCs w:val="20"/>
              </w:rPr>
            </w:pPr>
            <w:r w:rsidRPr="002563BC">
              <w:rPr>
                <w:rFonts w:ascii="Arial" w:hAnsi="Arial" w:cs="Arial"/>
                <w:sz w:val="20"/>
                <w:szCs w:val="20"/>
              </w:rPr>
              <w:t>Disclose the amount of capital expenditure, financing or investment deployed towards climate-related risks and opportunities.</w:t>
            </w:r>
          </w:p>
        </w:tc>
      </w:tr>
    </w:tbl>
    <w:p w:rsidR="009A6746" w:rsidRPr="002563BC" w:rsidRDefault="009A6746" w:rsidP="002563BC">
      <w:pPr>
        <w:spacing w:after="0" w:line="240" w:lineRule="auto"/>
        <w:jc w:val="both"/>
        <w:rPr>
          <w:rFonts w:ascii="Arial" w:hAnsi="Arial" w:cs="Arial"/>
          <w:sz w:val="20"/>
          <w:szCs w:val="20"/>
        </w:rPr>
      </w:pPr>
    </w:p>
    <w:p w:rsidR="009A6746" w:rsidRPr="002563BC" w:rsidRDefault="003B3A35" w:rsidP="002563BC">
      <w:pPr>
        <w:spacing w:after="0" w:line="240" w:lineRule="auto"/>
        <w:jc w:val="both"/>
        <w:rPr>
          <w:rFonts w:ascii="Arial" w:hAnsi="Arial" w:cs="Arial"/>
          <w:sz w:val="20"/>
          <w:szCs w:val="20"/>
        </w:rPr>
      </w:pPr>
      <w:r w:rsidRPr="002563BC">
        <w:rPr>
          <w:rFonts w:ascii="Arial" w:hAnsi="Arial" w:cs="Arial"/>
          <w:sz w:val="20"/>
          <w:szCs w:val="20"/>
        </w:rPr>
        <w:t xml:space="preserve">During an Interim Period, </w:t>
      </w:r>
      <w:r w:rsidR="009A6746" w:rsidRPr="002563BC">
        <w:rPr>
          <w:rFonts w:ascii="Arial" w:hAnsi="Arial" w:cs="Arial"/>
          <w:sz w:val="20"/>
          <w:szCs w:val="20"/>
        </w:rPr>
        <w:t xml:space="preserve">an issuer who has yet to make quantitative disclosures in respect of the above metrics </w:t>
      </w:r>
      <w:r w:rsidRPr="002563BC">
        <w:rPr>
          <w:rFonts w:ascii="Arial" w:hAnsi="Arial" w:cs="Arial"/>
          <w:sz w:val="20"/>
          <w:szCs w:val="20"/>
        </w:rPr>
        <w:t>is required to</w:t>
      </w:r>
      <w:r w:rsidR="009A6746" w:rsidRPr="002563BC">
        <w:rPr>
          <w:rFonts w:ascii="Arial" w:hAnsi="Arial" w:cs="Arial"/>
          <w:sz w:val="20"/>
          <w:szCs w:val="20"/>
        </w:rPr>
        <w:t xml:space="preserve"> disclose:</w:t>
      </w:r>
    </w:p>
    <w:p w:rsidR="009A6746" w:rsidRPr="002563BC" w:rsidRDefault="009A6746" w:rsidP="002563BC">
      <w:pPr>
        <w:spacing w:after="0" w:line="240" w:lineRule="auto"/>
        <w:jc w:val="both"/>
        <w:rPr>
          <w:rFonts w:ascii="Arial" w:hAnsi="Arial" w:cs="Arial"/>
          <w:sz w:val="20"/>
          <w:szCs w:val="20"/>
        </w:rPr>
      </w:pPr>
    </w:p>
    <w:p w:rsidR="009A6746" w:rsidRPr="002563BC" w:rsidRDefault="009A6746" w:rsidP="002563BC">
      <w:pPr>
        <w:pStyle w:val="a4"/>
        <w:numPr>
          <w:ilvl w:val="0"/>
          <w:numId w:val="35"/>
        </w:numPr>
        <w:spacing w:after="0" w:line="240" w:lineRule="auto"/>
        <w:jc w:val="both"/>
        <w:rPr>
          <w:rFonts w:ascii="Arial" w:hAnsi="Arial" w:cs="Arial"/>
          <w:sz w:val="20"/>
          <w:szCs w:val="20"/>
        </w:rPr>
      </w:pPr>
      <w:r w:rsidRPr="002563BC">
        <w:rPr>
          <w:rFonts w:ascii="Arial" w:hAnsi="Arial" w:cs="Arial"/>
          <w:sz w:val="20"/>
          <w:szCs w:val="20"/>
        </w:rPr>
        <w:t>a description of</w:t>
      </w:r>
      <w:r w:rsidR="003816C3">
        <w:rPr>
          <w:rFonts w:ascii="Arial" w:hAnsi="Arial" w:cs="Arial"/>
          <w:sz w:val="20"/>
          <w:szCs w:val="20"/>
        </w:rPr>
        <w:t>:</w:t>
      </w:r>
      <w:r w:rsidRPr="002563BC">
        <w:rPr>
          <w:rFonts w:ascii="Arial" w:hAnsi="Arial" w:cs="Arial"/>
          <w:sz w:val="20"/>
          <w:szCs w:val="20"/>
        </w:rPr>
        <w:t xml:space="preserve"> (i) the assets or business activities identified to be vulnerable to transition risks/physical risks or aligned with climate-related opportunities; or (ii) the types of activities requiring capital expenditure, financing or investment towards climate-related risks and opportunities; and</w:t>
      </w:r>
    </w:p>
    <w:p w:rsidR="003B3A35" w:rsidRPr="002563BC" w:rsidRDefault="003B3A35" w:rsidP="002563BC">
      <w:pPr>
        <w:pStyle w:val="a4"/>
        <w:spacing w:after="0" w:line="240" w:lineRule="auto"/>
        <w:ind w:left="1080"/>
        <w:jc w:val="both"/>
        <w:rPr>
          <w:rFonts w:ascii="Arial" w:hAnsi="Arial" w:cs="Arial"/>
          <w:sz w:val="20"/>
          <w:szCs w:val="20"/>
        </w:rPr>
      </w:pPr>
    </w:p>
    <w:p w:rsidR="00E421A3" w:rsidRPr="00E421A3" w:rsidRDefault="003B3A35" w:rsidP="00E421A3">
      <w:pPr>
        <w:pStyle w:val="a4"/>
        <w:numPr>
          <w:ilvl w:val="0"/>
          <w:numId w:val="35"/>
        </w:numPr>
        <w:spacing w:after="0" w:line="240" w:lineRule="auto"/>
        <w:jc w:val="both"/>
        <w:rPr>
          <w:rFonts w:ascii="Arial" w:hAnsi="Arial" w:cs="Arial"/>
          <w:sz w:val="20"/>
          <w:szCs w:val="20"/>
          <w:u w:val="single"/>
        </w:rPr>
      </w:pPr>
      <w:r w:rsidRPr="002563BC">
        <w:rPr>
          <w:rFonts w:ascii="Arial" w:hAnsi="Arial" w:cs="Arial"/>
          <w:sz w:val="20"/>
          <w:szCs w:val="20"/>
        </w:rPr>
        <w:t>the work plan, progress and timetable for making the required disclosure.</w:t>
      </w:r>
    </w:p>
    <w:p w:rsidR="00E421A3" w:rsidRDefault="00E421A3" w:rsidP="00E421A3">
      <w:pPr>
        <w:spacing w:after="0" w:line="240" w:lineRule="auto"/>
        <w:jc w:val="both"/>
        <w:rPr>
          <w:rFonts w:ascii="Arial" w:hAnsi="Arial" w:cs="Arial"/>
          <w:sz w:val="20"/>
          <w:szCs w:val="20"/>
          <w:u w:val="single"/>
        </w:rPr>
      </w:pPr>
    </w:p>
    <w:p w:rsidR="003B3A35" w:rsidRPr="00E421A3" w:rsidRDefault="003B3A35" w:rsidP="00E421A3">
      <w:pPr>
        <w:spacing w:after="0" w:line="240" w:lineRule="auto"/>
        <w:contextualSpacing/>
        <w:jc w:val="both"/>
        <w:rPr>
          <w:rFonts w:ascii="Arial" w:hAnsi="Arial" w:cs="Arial"/>
          <w:sz w:val="20"/>
          <w:szCs w:val="20"/>
          <w:u w:val="single"/>
        </w:rPr>
      </w:pPr>
      <w:r w:rsidRPr="00E421A3">
        <w:rPr>
          <w:rFonts w:ascii="Arial" w:hAnsi="Arial" w:cs="Arial"/>
          <w:sz w:val="20"/>
          <w:szCs w:val="20"/>
          <w:u w:val="single"/>
        </w:rPr>
        <w:t xml:space="preserve">Internal carbon price </w:t>
      </w:r>
    </w:p>
    <w:p w:rsidR="00E421A3" w:rsidRDefault="00E421A3" w:rsidP="00E421A3">
      <w:pPr>
        <w:spacing w:after="0" w:line="240" w:lineRule="auto"/>
        <w:contextualSpacing/>
        <w:jc w:val="both"/>
        <w:rPr>
          <w:rFonts w:ascii="Arial" w:hAnsi="Arial" w:cs="Arial"/>
          <w:sz w:val="20"/>
          <w:szCs w:val="20"/>
        </w:rPr>
      </w:pPr>
    </w:p>
    <w:p w:rsidR="003B3A35" w:rsidRDefault="003B3A35" w:rsidP="00E421A3">
      <w:pPr>
        <w:spacing w:after="0" w:line="240" w:lineRule="auto"/>
        <w:contextualSpacing/>
        <w:jc w:val="both"/>
        <w:rPr>
          <w:rFonts w:ascii="Arial" w:hAnsi="Arial" w:cs="Arial"/>
          <w:sz w:val="20"/>
          <w:szCs w:val="20"/>
        </w:rPr>
      </w:pPr>
      <w:r w:rsidRPr="002563BC">
        <w:rPr>
          <w:rFonts w:ascii="Arial" w:hAnsi="Arial" w:cs="Arial"/>
          <w:sz w:val="20"/>
          <w:szCs w:val="20"/>
        </w:rPr>
        <w:t xml:space="preserve">Internal carbon pricing is a </w:t>
      </w:r>
      <w:r w:rsidR="00E0093E" w:rsidRPr="002563BC">
        <w:rPr>
          <w:rFonts w:ascii="Arial" w:hAnsi="Arial" w:cs="Arial"/>
          <w:sz w:val="20"/>
          <w:szCs w:val="20"/>
        </w:rPr>
        <w:t>planning tool</w:t>
      </w:r>
      <w:r w:rsidRPr="002563BC">
        <w:rPr>
          <w:rFonts w:ascii="Arial" w:hAnsi="Arial" w:cs="Arial"/>
          <w:sz w:val="20"/>
          <w:szCs w:val="20"/>
        </w:rPr>
        <w:t xml:space="preserve"> used by companies to assess the financial implications of climate-related risks and opportunities. </w:t>
      </w:r>
      <w:r w:rsidR="00E0093E" w:rsidRPr="002563BC">
        <w:rPr>
          <w:rFonts w:ascii="Arial" w:hAnsi="Arial" w:cs="Arial"/>
          <w:sz w:val="20"/>
          <w:szCs w:val="20"/>
        </w:rPr>
        <w:t>Given the absence of a mature carbon market, establishing an internal carbon price can be challenging. Therefore, the HKEX</w:t>
      </w:r>
      <w:r w:rsidR="003816C3">
        <w:rPr>
          <w:rFonts w:ascii="Arial" w:hAnsi="Arial" w:cs="Arial"/>
          <w:sz w:val="20"/>
          <w:szCs w:val="20"/>
        </w:rPr>
        <w:t xml:space="preserve"> has</w:t>
      </w:r>
      <w:r w:rsidR="00E0093E" w:rsidRPr="002563BC">
        <w:rPr>
          <w:rFonts w:ascii="Arial" w:hAnsi="Arial" w:cs="Arial"/>
          <w:sz w:val="20"/>
          <w:szCs w:val="20"/>
        </w:rPr>
        <w:t xml:space="preserve"> </w:t>
      </w:r>
      <w:r w:rsidR="003816C3">
        <w:rPr>
          <w:rFonts w:ascii="Arial" w:hAnsi="Arial" w:cs="Arial"/>
          <w:sz w:val="20"/>
          <w:szCs w:val="20"/>
        </w:rPr>
        <w:t>decided</w:t>
      </w:r>
      <w:r w:rsidR="00702E07">
        <w:rPr>
          <w:rFonts w:ascii="Arial" w:hAnsi="Arial" w:cs="Arial"/>
          <w:sz w:val="20"/>
          <w:szCs w:val="20"/>
        </w:rPr>
        <w:t xml:space="preserve"> not to</w:t>
      </w:r>
      <w:r w:rsidR="00E0093E" w:rsidRPr="002563BC">
        <w:rPr>
          <w:rFonts w:ascii="Arial" w:hAnsi="Arial" w:cs="Arial"/>
          <w:sz w:val="20"/>
          <w:szCs w:val="20"/>
        </w:rPr>
        <w:t xml:space="preserve"> mandate issuers </w:t>
      </w:r>
      <w:r w:rsidR="00EC65E0">
        <w:rPr>
          <w:rFonts w:ascii="Arial" w:hAnsi="Arial" w:cs="Arial"/>
          <w:sz w:val="20"/>
          <w:szCs w:val="20"/>
        </w:rPr>
        <w:t xml:space="preserve">to </w:t>
      </w:r>
      <w:r w:rsidR="00E0093E" w:rsidRPr="002563BC">
        <w:rPr>
          <w:rFonts w:ascii="Arial" w:hAnsi="Arial" w:cs="Arial"/>
          <w:sz w:val="20"/>
          <w:szCs w:val="20"/>
        </w:rPr>
        <w:t>maintain an internal carbon price at this stage.</w:t>
      </w:r>
    </w:p>
    <w:p w:rsidR="00E421A3" w:rsidRPr="002563BC" w:rsidRDefault="00E421A3" w:rsidP="00E421A3">
      <w:pPr>
        <w:spacing w:after="0" w:line="240" w:lineRule="auto"/>
        <w:contextualSpacing/>
        <w:jc w:val="both"/>
        <w:rPr>
          <w:rFonts w:ascii="Arial" w:hAnsi="Arial" w:cs="Arial"/>
          <w:sz w:val="20"/>
          <w:szCs w:val="20"/>
        </w:rPr>
      </w:pPr>
    </w:p>
    <w:p w:rsidR="003B3A35" w:rsidRPr="002563BC" w:rsidRDefault="003B3A35" w:rsidP="002563BC">
      <w:pPr>
        <w:jc w:val="both"/>
        <w:rPr>
          <w:rFonts w:ascii="Arial" w:hAnsi="Arial" w:cs="Arial"/>
          <w:sz w:val="20"/>
          <w:szCs w:val="20"/>
        </w:rPr>
      </w:pPr>
      <w:r w:rsidRPr="002563BC">
        <w:rPr>
          <w:rFonts w:ascii="Arial" w:hAnsi="Arial" w:cs="Arial"/>
          <w:sz w:val="20"/>
          <w:szCs w:val="20"/>
        </w:rPr>
        <w:t xml:space="preserve">In respect of issuers who maintain an internal carbon price, </w:t>
      </w:r>
      <w:r w:rsidR="003F3E02" w:rsidRPr="002563BC">
        <w:rPr>
          <w:rFonts w:ascii="Arial" w:hAnsi="Arial" w:cs="Arial"/>
          <w:sz w:val="20"/>
          <w:szCs w:val="20"/>
        </w:rPr>
        <w:t xml:space="preserve">the HKEX requires them to </w:t>
      </w:r>
      <w:r w:rsidRPr="002563BC">
        <w:rPr>
          <w:rFonts w:ascii="Arial" w:hAnsi="Arial" w:cs="Arial"/>
          <w:sz w:val="20"/>
          <w:szCs w:val="20"/>
        </w:rPr>
        <w:t>disclose:</w:t>
      </w:r>
    </w:p>
    <w:p w:rsidR="003B3A35" w:rsidRPr="002563BC" w:rsidRDefault="003B3A35" w:rsidP="002563BC">
      <w:pPr>
        <w:pStyle w:val="a4"/>
        <w:numPr>
          <w:ilvl w:val="0"/>
          <w:numId w:val="36"/>
        </w:numPr>
        <w:jc w:val="both"/>
        <w:rPr>
          <w:rFonts w:ascii="Arial" w:hAnsi="Arial" w:cs="Arial"/>
          <w:sz w:val="20"/>
          <w:szCs w:val="20"/>
        </w:rPr>
      </w:pPr>
      <w:r w:rsidRPr="002563BC">
        <w:rPr>
          <w:rFonts w:ascii="Arial" w:hAnsi="Arial" w:cs="Arial"/>
          <w:sz w:val="20"/>
          <w:szCs w:val="20"/>
        </w:rPr>
        <w:t>the price for each metric tonne of GHG emissions that the issuer uses to assess the costs of its emissions; and</w:t>
      </w:r>
    </w:p>
    <w:p w:rsidR="003B3A35" w:rsidRPr="002563BC" w:rsidRDefault="003B3A35" w:rsidP="002563BC">
      <w:pPr>
        <w:pStyle w:val="a4"/>
        <w:numPr>
          <w:ilvl w:val="0"/>
          <w:numId w:val="36"/>
        </w:numPr>
        <w:jc w:val="both"/>
        <w:rPr>
          <w:rFonts w:ascii="Arial" w:hAnsi="Arial" w:cs="Arial"/>
          <w:sz w:val="20"/>
          <w:szCs w:val="20"/>
        </w:rPr>
      </w:pPr>
      <w:r w:rsidRPr="002563BC">
        <w:rPr>
          <w:rFonts w:ascii="Arial" w:hAnsi="Arial" w:cs="Arial"/>
          <w:sz w:val="20"/>
          <w:szCs w:val="20"/>
        </w:rPr>
        <w:t>an explanation of how the issuer is applying the carbon price in decision-making (for example, investment decisions, transfer pricing, and scenario analysis)</w:t>
      </w:r>
      <w:r w:rsidR="00D851E5">
        <w:rPr>
          <w:rFonts w:ascii="Arial" w:hAnsi="Arial" w:cs="Arial"/>
          <w:sz w:val="20"/>
          <w:szCs w:val="20"/>
        </w:rPr>
        <w:t xml:space="preserve">. </w:t>
      </w:r>
    </w:p>
    <w:p w:rsidR="003F3E02" w:rsidRPr="002563BC" w:rsidRDefault="003F3E02" w:rsidP="002563BC">
      <w:pPr>
        <w:jc w:val="both"/>
        <w:rPr>
          <w:rFonts w:ascii="Arial" w:hAnsi="Arial" w:cs="Arial"/>
          <w:sz w:val="20"/>
          <w:szCs w:val="20"/>
          <w:u w:val="single"/>
        </w:rPr>
      </w:pPr>
      <w:r w:rsidRPr="002563BC">
        <w:rPr>
          <w:rFonts w:ascii="Arial" w:hAnsi="Arial" w:cs="Arial"/>
          <w:sz w:val="20"/>
          <w:szCs w:val="20"/>
          <w:u w:val="single"/>
        </w:rPr>
        <w:t>Remuneration</w:t>
      </w:r>
    </w:p>
    <w:p w:rsidR="006900F8" w:rsidRPr="002563BC" w:rsidRDefault="003A3531" w:rsidP="002563BC">
      <w:pPr>
        <w:jc w:val="both"/>
        <w:rPr>
          <w:rFonts w:ascii="Arial" w:hAnsi="Arial" w:cs="Arial"/>
          <w:sz w:val="20"/>
          <w:szCs w:val="20"/>
        </w:rPr>
      </w:pPr>
      <w:r w:rsidRPr="002563BC">
        <w:rPr>
          <w:rFonts w:ascii="Arial" w:hAnsi="Arial" w:cs="Arial"/>
          <w:sz w:val="20"/>
          <w:szCs w:val="20"/>
        </w:rPr>
        <w:t xml:space="preserve">The HKEX </w:t>
      </w:r>
      <w:r w:rsidR="007E5B64" w:rsidRPr="002563BC">
        <w:rPr>
          <w:rFonts w:ascii="Arial" w:hAnsi="Arial" w:cs="Arial"/>
          <w:sz w:val="20"/>
          <w:szCs w:val="20"/>
        </w:rPr>
        <w:t xml:space="preserve">proposes to incorporate </w:t>
      </w:r>
      <w:r w:rsidRPr="002563BC">
        <w:rPr>
          <w:rFonts w:ascii="Arial" w:hAnsi="Arial" w:cs="Arial"/>
          <w:sz w:val="20"/>
          <w:szCs w:val="20"/>
        </w:rPr>
        <w:t>ISSB Climate Standard requirements</w:t>
      </w:r>
      <w:r w:rsidR="007E5B64" w:rsidRPr="002563BC">
        <w:rPr>
          <w:rFonts w:ascii="Arial" w:hAnsi="Arial" w:cs="Arial"/>
          <w:sz w:val="20"/>
          <w:szCs w:val="20"/>
        </w:rPr>
        <w:t xml:space="preserve"> in respect of remuneration</w:t>
      </w:r>
      <w:r w:rsidRPr="002563BC">
        <w:rPr>
          <w:rFonts w:ascii="Arial" w:hAnsi="Arial" w:cs="Arial"/>
          <w:sz w:val="20"/>
          <w:szCs w:val="20"/>
        </w:rPr>
        <w:t xml:space="preserve"> into Appendix 27 of the </w:t>
      </w:r>
      <w:r w:rsidR="007E5B64" w:rsidRPr="002563BC">
        <w:rPr>
          <w:rFonts w:ascii="Arial" w:hAnsi="Arial" w:cs="Arial"/>
          <w:sz w:val="20"/>
          <w:szCs w:val="20"/>
        </w:rPr>
        <w:t>Listing Rules.</w:t>
      </w:r>
      <w:r w:rsidRPr="002563BC">
        <w:rPr>
          <w:rFonts w:ascii="Arial" w:hAnsi="Arial" w:cs="Arial"/>
          <w:sz w:val="20"/>
          <w:szCs w:val="20"/>
        </w:rPr>
        <w:t xml:space="preserve"> </w:t>
      </w:r>
      <w:r w:rsidR="007E5B64" w:rsidRPr="002563BC">
        <w:rPr>
          <w:rFonts w:ascii="Arial" w:hAnsi="Arial" w:cs="Arial"/>
          <w:sz w:val="20"/>
          <w:szCs w:val="20"/>
        </w:rPr>
        <w:t xml:space="preserve">However, </w:t>
      </w:r>
      <w:r w:rsidR="00F01306" w:rsidRPr="002563BC">
        <w:rPr>
          <w:rFonts w:ascii="Arial" w:hAnsi="Arial" w:cs="Arial"/>
          <w:sz w:val="20"/>
          <w:szCs w:val="20"/>
        </w:rPr>
        <w:t>it</w:t>
      </w:r>
      <w:r w:rsidR="007E5B64" w:rsidRPr="002563BC">
        <w:rPr>
          <w:rFonts w:ascii="Arial" w:hAnsi="Arial" w:cs="Arial"/>
          <w:sz w:val="20"/>
          <w:szCs w:val="20"/>
        </w:rPr>
        <w:t xml:space="preserve"> has decided not to </w:t>
      </w:r>
      <w:r w:rsidR="00F01306" w:rsidRPr="002563BC">
        <w:rPr>
          <w:rFonts w:ascii="Arial" w:hAnsi="Arial" w:cs="Arial"/>
          <w:sz w:val="20"/>
          <w:szCs w:val="20"/>
        </w:rPr>
        <w:t>require</w:t>
      </w:r>
      <w:r w:rsidR="007E5B64" w:rsidRPr="002563BC">
        <w:rPr>
          <w:rFonts w:ascii="Arial" w:hAnsi="Arial" w:cs="Arial"/>
          <w:sz w:val="20"/>
          <w:szCs w:val="20"/>
        </w:rPr>
        <w:t xml:space="preserve"> issuers to disclose the percentage of remuneration linked to climate-related considerations as it may not always be practical to </w:t>
      </w:r>
      <w:r w:rsidR="00F01306" w:rsidRPr="002563BC">
        <w:rPr>
          <w:rFonts w:ascii="Arial" w:hAnsi="Arial" w:cs="Arial"/>
          <w:sz w:val="20"/>
          <w:szCs w:val="20"/>
        </w:rPr>
        <w:t>do so</w:t>
      </w:r>
      <w:r w:rsidR="007E5B64" w:rsidRPr="002563BC">
        <w:rPr>
          <w:rFonts w:ascii="Arial" w:hAnsi="Arial" w:cs="Arial"/>
          <w:sz w:val="20"/>
          <w:szCs w:val="20"/>
        </w:rPr>
        <w:t>.</w:t>
      </w:r>
      <w:r w:rsidR="00F01306" w:rsidRPr="002563BC">
        <w:rPr>
          <w:rFonts w:ascii="Arial" w:hAnsi="Arial" w:cs="Arial"/>
          <w:sz w:val="20"/>
          <w:szCs w:val="20"/>
        </w:rPr>
        <w:t xml:space="preserve"> The requirements are modified such that issuers are required </w:t>
      </w:r>
      <w:r w:rsidRPr="002563BC">
        <w:rPr>
          <w:rFonts w:ascii="Arial" w:hAnsi="Arial" w:cs="Arial"/>
          <w:sz w:val="20"/>
          <w:szCs w:val="20"/>
        </w:rPr>
        <w:t xml:space="preserve">to disclose how climate-related considerations are factored into their remuneration policy. </w:t>
      </w:r>
    </w:p>
    <w:p w:rsidR="003F3E02" w:rsidRPr="002563BC" w:rsidRDefault="003F3E02" w:rsidP="002563BC">
      <w:pPr>
        <w:jc w:val="both"/>
        <w:rPr>
          <w:rFonts w:ascii="Arial" w:hAnsi="Arial" w:cs="Arial"/>
          <w:sz w:val="20"/>
          <w:szCs w:val="20"/>
          <w:u w:val="single"/>
        </w:rPr>
      </w:pPr>
      <w:r w:rsidRPr="002563BC">
        <w:rPr>
          <w:rFonts w:ascii="Arial" w:hAnsi="Arial" w:cs="Arial"/>
          <w:sz w:val="20"/>
          <w:szCs w:val="20"/>
          <w:u w:val="single"/>
        </w:rPr>
        <w:t xml:space="preserve">Industry-based metrics </w:t>
      </w:r>
    </w:p>
    <w:p w:rsidR="00F01306" w:rsidRPr="002563BC" w:rsidRDefault="00DA2222" w:rsidP="002563BC">
      <w:pPr>
        <w:jc w:val="both"/>
        <w:rPr>
          <w:rFonts w:ascii="Arial" w:hAnsi="Arial" w:cs="Arial"/>
          <w:sz w:val="20"/>
          <w:szCs w:val="20"/>
        </w:rPr>
      </w:pPr>
      <w:r w:rsidRPr="002563BC">
        <w:rPr>
          <w:rFonts w:ascii="Arial" w:hAnsi="Arial" w:cs="Arial"/>
          <w:sz w:val="20"/>
          <w:szCs w:val="20"/>
        </w:rPr>
        <w:t>Due to the evolving nature of international ESG frameworks, the HKEX will not mandate industry-based metrics at this stage. Instead, it encourages issuers to use other international ESG reporting framework</w:t>
      </w:r>
      <w:r w:rsidR="00B20008" w:rsidRPr="002563BC">
        <w:rPr>
          <w:rFonts w:ascii="Arial" w:hAnsi="Arial" w:cs="Arial"/>
          <w:sz w:val="20"/>
          <w:szCs w:val="20"/>
        </w:rPr>
        <w:t>s</w:t>
      </w:r>
      <w:r w:rsidRPr="002563BC">
        <w:rPr>
          <w:rFonts w:ascii="Arial" w:hAnsi="Arial" w:cs="Arial"/>
          <w:sz w:val="20"/>
          <w:szCs w:val="20"/>
        </w:rPr>
        <w:t xml:space="preserve"> such as the SASB Standard and the GRI Standards as references for industry-specific disclosures. </w:t>
      </w:r>
    </w:p>
    <w:p w:rsidR="00F109D9" w:rsidRPr="002D15BB" w:rsidRDefault="00F109D9" w:rsidP="00F109D9">
      <w:pPr>
        <w:jc w:val="both"/>
        <w:rPr>
          <w:rFonts w:ascii="Arial" w:hAnsi="Arial" w:cs="Arial"/>
          <w:sz w:val="20"/>
          <w:szCs w:val="20"/>
        </w:rPr>
      </w:pPr>
    </w:p>
    <w:p w:rsidR="00F109D9" w:rsidRPr="00A41F57" w:rsidRDefault="00F109D9" w:rsidP="00F109D9">
      <w:pPr>
        <w:pStyle w:val="DisclaimerBold"/>
        <w:numPr>
          <w:ilvl w:val="0"/>
          <w:numId w:val="39"/>
        </w:numPr>
        <w:rPr>
          <w:rFonts w:ascii="Helvetica" w:hAnsi="Helvetica"/>
        </w:rPr>
      </w:pPr>
      <w:r w:rsidRPr="00F05494">
        <w:rPr>
          <w:rFonts w:ascii="Helvetica" w:hAnsi="Helvetica"/>
        </w:rPr>
        <w:t>This newsletter is for information purposes only.</w:t>
      </w:r>
    </w:p>
    <w:p w:rsidR="00F109D9" w:rsidRPr="00F05494" w:rsidRDefault="00F109D9" w:rsidP="00F109D9">
      <w:pPr>
        <w:pStyle w:val="Disclaimer"/>
        <w:numPr>
          <w:ilvl w:val="0"/>
          <w:numId w:val="39"/>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F109D9" w:rsidRPr="00F05494" w:rsidRDefault="00F109D9" w:rsidP="00F109D9">
      <w:pPr>
        <w:pStyle w:val="Disclaimer"/>
        <w:numPr>
          <w:ilvl w:val="0"/>
          <w:numId w:val="39"/>
        </w:numPr>
        <w:rPr>
          <w:rFonts w:ascii="Helvetica" w:hAnsi="Helvetica"/>
        </w:rPr>
      </w:pPr>
      <w:r w:rsidRPr="00F05494">
        <w:rPr>
          <w:rFonts w:ascii="Helvetica" w:hAnsi="Helvetica"/>
        </w:rPr>
        <w:lastRenderedPageBreak/>
        <w:t>Transmission of this information is not intended to create and receipt does not constitute a lawyer-client relationship between Charltons and the user or browser.</w:t>
      </w:r>
    </w:p>
    <w:p w:rsidR="00F109D9" w:rsidRPr="00F05494" w:rsidRDefault="00F109D9" w:rsidP="00F109D9">
      <w:pPr>
        <w:pStyle w:val="Disclaimer"/>
        <w:numPr>
          <w:ilvl w:val="0"/>
          <w:numId w:val="39"/>
        </w:numP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rsidR="00F109D9" w:rsidRPr="00F05494" w:rsidRDefault="00F109D9" w:rsidP="00F109D9">
      <w:pPr>
        <w:pStyle w:val="Disclaimer"/>
        <w:numPr>
          <w:ilvl w:val="0"/>
          <w:numId w:val="39"/>
        </w:numPr>
        <w:rPr>
          <w:rFonts w:ascii="Helvetica" w:hAnsi="Helvetica"/>
        </w:rPr>
      </w:pPr>
      <w:r w:rsidRPr="00F05494">
        <w:rPr>
          <w:rFonts w:ascii="Helvetica" w:hAnsi="Helvetica"/>
        </w:rPr>
        <w:t xml:space="preserve">If you do not wish to receive this newsletter please let us know by emailing us at  </w:t>
      </w:r>
      <w:hyperlink r:id="rId12">
        <w:r w:rsidRPr="00F05494">
          <w:rPr>
            <w:rFonts w:ascii="Helvetica" w:hAnsi="Helvetica"/>
          </w:rPr>
          <w:t>unsubscribe@charltonslaw.com</w:t>
        </w:r>
      </w:hyperlink>
    </w:p>
    <w:p w:rsidR="00F109D9" w:rsidRPr="008524CA" w:rsidRDefault="00F109D9" w:rsidP="00F109D9">
      <w:pPr>
        <w:pStyle w:val="BlackStrips"/>
        <w:numPr>
          <w:ilvl w:val="0"/>
          <w:numId w:val="39"/>
        </w:numPr>
        <w:rPr>
          <w:rFonts w:ascii="Helvetica" w:hAnsi="Helvetica"/>
        </w:rPr>
      </w:pPr>
      <w:r w:rsidRPr="00F05494">
        <w:rPr>
          <w:rFonts w:ascii="Helvetica" w:hAnsi="Helvetica"/>
        </w:rPr>
        <w:t xml:space="preserve">Charltons - Hong Kong Law - </w:t>
      </w:r>
      <w:r>
        <w:rPr>
          <w:rFonts w:ascii="Helvetica" w:hAnsi="Helvetica"/>
        </w:rPr>
        <w:t>1</w:t>
      </w:r>
      <w:r w:rsidR="00661D01">
        <w:rPr>
          <w:rFonts w:ascii="Helvetica" w:hAnsi="Helvetica"/>
          <w:lang w:val="ru-RU"/>
        </w:rPr>
        <w:t>5</w:t>
      </w:r>
      <w:r w:rsidRPr="00F05494">
        <w:rPr>
          <w:rFonts w:ascii="Helvetica" w:hAnsi="Helvetica"/>
        </w:rPr>
        <w:t xml:space="preserve"> </w:t>
      </w:r>
      <w:r>
        <w:rPr>
          <w:rFonts w:ascii="Helvetica" w:hAnsi="Helvetica"/>
        </w:rPr>
        <w:t>May</w:t>
      </w:r>
      <w:r w:rsidRPr="00F05494">
        <w:rPr>
          <w:rFonts w:ascii="Helvetica" w:hAnsi="Helvetica"/>
        </w:rPr>
        <w:t xml:space="preserve"> 202</w:t>
      </w:r>
      <w:r w:rsidRPr="008524CA">
        <w:rPr>
          <w:rFonts w:ascii="Helvetica" w:hAnsi="Helvetica"/>
        </w:rPr>
        <w:t>3</w:t>
      </w:r>
    </w:p>
    <w:p w:rsidR="00494A0C" w:rsidRPr="002563BC" w:rsidRDefault="00494A0C" w:rsidP="002563BC">
      <w:pPr>
        <w:jc w:val="both"/>
        <w:rPr>
          <w:rFonts w:ascii="Arial" w:hAnsi="Arial" w:cs="Arial"/>
          <w:sz w:val="20"/>
          <w:szCs w:val="20"/>
        </w:rPr>
      </w:pPr>
    </w:p>
    <w:sectPr w:rsidR="00494A0C" w:rsidRPr="00256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6C3" w:rsidRDefault="006A16C3" w:rsidP="00FA01C2">
      <w:pPr>
        <w:spacing w:after="0" w:line="240" w:lineRule="auto"/>
      </w:pPr>
      <w:r>
        <w:separator/>
      </w:r>
    </w:p>
  </w:endnote>
  <w:endnote w:type="continuationSeparator" w:id="0">
    <w:p w:rsidR="006A16C3" w:rsidRDefault="006A16C3" w:rsidP="00FA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6C3" w:rsidRDefault="006A16C3" w:rsidP="00FA01C2">
      <w:pPr>
        <w:spacing w:after="0" w:line="240" w:lineRule="auto"/>
      </w:pPr>
      <w:r>
        <w:separator/>
      </w:r>
    </w:p>
  </w:footnote>
  <w:footnote w:type="continuationSeparator" w:id="0">
    <w:p w:rsidR="006A16C3" w:rsidRDefault="006A16C3" w:rsidP="00FA01C2">
      <w:pPr>
        <w:spacing w:after="0" w:line="240" w:lineRule="auto"/>
      </w:pPr>
      <w:r>
        <w:continuationSeparator/>
      </w:r>
    </w:p>
  </w:footnote>
  <w:footnote w:id="1">
    <w:p w:rsidR="006A279D" w:rsidRDefault="006A279D">
      <w:pPr>
        <w:pStyle w:val="a5"/>
      </w:pPr>
      <w:r>
        <w:rPr>
          <w:rStyle w:val="a7"/>
        </w:rPr>
        <w:footnoteRef/>
      </w:r>
      <w:r>
        <w:t xml:space="preserve"> The IFRS S2 Climate-related Disclosures Exposure Draft, as supplemented or modified by deliberations of the ISSB</w:t>
      </w:r>
      <w:r w:rsidR="002734BE">
        <w:t>. The ISSB has indicated its intention to publish the final standards by the end of the second quarter of 2023</w:t>
      </w:r>
      <w:r>
        <w:t xml:space="preserve"> </w:t>
      </w:r>
    </w:p>
  </w:footnote>
  <w:footnote w:id="2">
    <w:p w:rsidR="00282EB9" w:rsidRPr="00FE6265" w:rsidRDefault="00282EB9">
      <w:pPr>
        <w:pStyle w:val="a5"/>
      </w:pPr>
      <w:r>
        <w:rPr>
          <w:rStyle w:val="a7"/>
        </w:rPr>
        <w:footnoteRef/>
      </w:r>
      <w:r>
        <w:t xml:space="preserve"> These include </w:t>
      </w:r>
      <w:r w:rsidRPr="00FE6265">
        <w:t>Emissions, Use of Resources, The Environment and Natur</w:t>
      </w:r>
      <w:r w:rsidR="007B2C77">
        <w:t>al Resources and Climate Change</w:t>
      </w:r>
    </w:p>
  </w:footnote>
  <w:footnote w:id="3">
    <w:p w:rsidR="007B2C77" w:rsidRDefault="007B2C77" w:rsidP="007B2C77">
      <w:pPr>
        <w:pStyle w:val="a5"/>
      </w:pPr>
      <w:r>
        <w:rPr>
          <w:rStyle w:val="a7"/>
        </w:rPr>
        <w:footnoteRef/>
      </w:r>
      <w:r>
        <w:t xml:space="preserve"> These include </w:t>
      </w:r>
      <w:r w:rsidRPr="00FE6265">
        <w:t>Employment, Health and Safety, Development and Training, Labour Standards, Supply Chain Management, Product Responsibility, Anti-corr</w:t>
      </w:r>
      <w:r>
        <w:t>uption and Community Investment</w:t>
      </w:r>
    </w:p>
  </w:footnote>
  <w:footnote w:id="4">
    <w:p w:rsidR="00AC5031" w:rsidRDefault="00AC5031" w:rsidP="00AC5031">
      <w:pPr>
        <w:pStyle w:val="a5"/>
      </w:pPr>
      <w:r>
        <w:rPr>
          <w:rStyle w:val="a7"/>
        </w:rPr>
        <w:footnoteRef/>
      </w:r>
      <w:r>
        <w:t xml:space="preserve"> KPIs A1.5 (emission targets), A1.6 (waste reduction targets), A2.3 (energy use efficiency targets) and A2.4 </w:t>
      </w:r>
    </w:p>
    <w:p w:rsidR="00AC5031" w:rsidRDefault="00525347" w:rsidP="00AC5031">
      <w:pPr>
        <w:pStyle w:val="a5"/>
      </w:pPr>
      <w:r>
        <w:t>(water efficiency targets)</w:t>
      </w:r>
    </w:p>
  </w:footnote>
  <w:footnote w:id="5">
    <w:p w:rsidR="005F1D69" w:rsidRDefault="005F1D69">
      <w:pPr>
        <w:pStyle w:val="a5"/>
      </w:pPr>
      <w:r>
        <w:rPr>
          <w:rStyle w:val="a7"/>
        </w:rPr>
        <w:footnoteRef/>
      </w:r>
      <w:r>
        <w:t xml:space="preserve"> </w:t>
      </w:r>
      <w:r w:rsidRPr="005F1D69">
        <w:t xml:space="preserve">Scenario analysis is a tool used to </w:t>
      </w:r>
      <w:r w:rsidR="002211E6">
        <w:t xml:space="preserve">identify and </w:t>
      </w:r>
      <w:r w:rsidRPr="005F1D69">
        <w:t xml:space="preserve">evaluate a range of hypothetical </w:t>
      </w:r>
      <w:r w:rsidR="006F6F61">
        <w:t xml:space="preserve">climate-related </w:t>
      </w:r>
      <w:r w:rsidRPr="005F1D69">
        <w:t>outcomes</w:t>
      </w:r>
      <w:r w:rsidR="00BD4B81">
        <w:t xml:space="preserve"> in the fu</w:t>
      </w:r>
      <w:r w:rsidR="00261FD0">
        <w:t>ture</w:t>
      </w:r>
      <w:r w:rsidRPr="005F1D69">
        <w:t xml:space="preserve"> </w:t>
      </w:r>
      <w:r w:rsidR="002211E6">
        <w:t>under</w:t>
      </w:r>
      <w:r w:rsidRPr="005F1D69">
        <w:t xml:space="preserve"> </w:t>
      </w:r>
      <w:r w:rsidR="00261FD0">
        <w:t>conditions of uncertainty</w:t>
      </w:r>
    </w:p>
  </w:footnote>
  <w:footnote w:id="6">
    <w:p w:rsidR="00E012B3" w:rsidRDefault="00E012B3">
      <w:pPr>
        <w:pStyle w:val="a5"/>
      </w:pPr>
      <w:r>
        <w:rPr>
          <w:rStyle w:val="a7"/>
        </w:rPr>
        <w:footnoteRef/>
      </w:r>
      <w:r>
        <w:t xml:space="preserve"> Scenarios may include a 1.5 degree Celsius</w:t>
      </w:r>
      <w:r w:rsidR="00757157">
        <w:t xml:space="preserve"> climate-</w:t>
      </w:r>
      <w:r w:rsidRPr="00E012B3">
        <w:t>related scenario an</w:t>
      </w:r>
      <w:r>
        <w:t>d a 2 degree Celsius</w:t>
      </w:r>
      <w:r w:rsidRPr="00E012B3">
        <w:t xml:space="preserve"> or greater climate-related scenario</w:t>
      </w:r>
      <w:r>
        <w:t>. The HKEX will include suggestions in the Implementation Guidance</w:t>
      </w:r>
      <w:r w:rsidR="002012A9">
        <w:t xml:space="preserve"> to be issued in due course</w:t>
      </w:r>
    </w:p>
  </w:footnote>
  <w:footnote w:id="7">
    <w:p w:rsidR="00C12C1D" w:rsidRDefault="00C12C1D">
      <w:pPr>
        <w:pStyle w:val="a5"/>
      </w:pPr>
      <w:r>
        <w:rPr>
          <w:rStyle w:val="a7"/>
        </w:rPr>
        <w:footnoteRef/>
      </w:r>
      <w:r>
        <w:t xml:space="preserve"> </w:t>
      </w:r>
      <w:r w:rsidRPr="00C12C1D">
        <w:t xml:space="preserve">Issuers should account for climate-related matters in their financial statements in accordance with HKFRS, IFRS, CASBE, or an alternative overseas financial reporting standard acceptable to the </w:t>
      </w:r>
      <w:r>
        <w:t>HKEX</w:t>
      </w:r>
      <w:r w:rsidRPr="00C12C1D">
        <w:t>. If the quantitative information is not expressed as a standalone item in the financial statements, the issuer must explain how such information is reflec</w:t>
      </w:r>
      <w:r w:rsidR="00063EF8">
        <w:t>ted in its financial statements</w:t>
      </w:r>
    </w:p>
  </w:footnote>
  <w:footnote w:id="8">
    <w:p w:rsidR="001C2002" w:rsidRDefault="001C2002">
      <w:pPr>
        <w:pStyle w:val="a5"/>
      </w:pPr>
      <w:r>
        <w:rPr>
          <w:rStyle w:val="a7"/>
        </w:rPr>
        <w:footnoteRef/>
      </w:r>
      <w:r>
        <w:t xml:space="preserve"> </w:t>
      </w:r>
      <w:r w:rsidRPr="001C2002">
        <w:t>Scope 1 emissions cover direct GHG emissions that occur from sources that are contr</w:t>
      </w:r>
      <w:r w:rsidR="009F3457">
        <w:t xml:space="preserve">olled or owned by a </w:t>
      </w:r>
      <w:r>
        <w:t>company. S</w:t>
      </w:r>
      <w:r w:rsidRPr="001C2002">
        <w:t>cope 2 emissions cover indirect emissions from purchased electricity, heat, steam and cooling. Scope 3 emissions include all other indirect emissions that occur in a company’s value chain such as business travel, purchased goods and services, waste disposal and employee commuting.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111"/>
    <w:multiLevelType w:val="hybridMultilevel"/>
    <w:tmpl w:val="CED8F39A"/>
    <w:lvl w:ilvl="0" w:tplc="16787E9A">
      <w:start w:val="13"/>
      <w:numFmt w:val="decimal"/>
      <w:lvlText w:val="%1."/>
      <w:lvlJc w:val="left"/>
      <w:pPr>
        <w:ind w:left="429" w:hanging="360"/>
      </w:pPr>
      <w:rPr>
        <w:rFonts w:ascii="Arial MT" w:eastAsia="Arial MT" w:hAnsi="Arial MT" w:cs="Arial MT" w:hint="default"/>
        <w:b w:val="0"/>
        <w:bCs w:val="0"/>
        <w:i w:val="0"/>
        <w:iCs w:val="0"/>
        <w:spacing w:val="-1"/>
        <w:w w:val="100"/>
        <w:sz w:val="22"/>
        <w:szCs w:val="22"/>
        <w:u w:val="single" w:color="000000"/>
        <w:lang w:val="en-US" w:eastAsia="en-US" w:bidi="ar-SA"/>
      </w:rPr>
    </w:lvl>
    <w:lvl w:ilvl="1" w:tplc="4CA83494">
      <w:start w:val="1"/>
      <w:numFmt w:val="lowerLetter"/>
      <w:lvlText w:val="(%2)"/>
      <w:lvlJc w:val="left"/>
      <w:pPr>
        <w:ind w:left="1010" w:hanging="567"/>
      </w:pPr>
      <w:rPr>
        <w:rFonts w:ascii="Arial MT" w:eastAsia="Arial MT" w:hAnsi="Arial MT" w:cs="Arial MT" w:hint="default"/>
        <w:b w:val="0"/>
        <w:bCs w:val="0"/>
        <w:i w:val="0"/>
        <w:iCs w:val="0"/>
        <w:spacing w:val="-1"/>
        <w:w w:val="100"/>
        <w:sz w:val="22"/>
        <w:szCs w:val="22"/>
        <w:u w:val="single" w:color="000000"/>
        <w:lang w:val="en-US" w:eastAsia="en-US" w:bidi="ar-SA"/>
      </w:rPr>
    </w:lvl>
    <w:lvl w:ilvl="2" w:tplc="827892DC">
      <w:numFmt w:val="bullet"/>
      <w:lvlText w:val="•"/>
      <w:lvlJc w:val="left"/>
      <w:pPr>
        <w:ind w:left="1637" w:hanging="567"/>
      </w:pPr>
      <w:rPr>
        <w:rFonts w:hint="default"/>
        <w:lang w:val="en-US" w:eastAsia="en-US" w:bidi="ar-SA"/>
      </w:rPr>
    </w:lvl>
    <w:lvl w:ilvl="3" w:tplc="A4A4BDF2">
      <w:numFmt w:val="bullet"/>
      <w:lvlText w:val="•"/>
      <w:lvlJc w:val="left"/>
      <w:pPr>
        <w:ind w:left="2254" w:hanging="567"/>
      </w:pPr>
      <w:rPr>
        <w:rFonts w:hint="default"/>
        <w:lang w:val="en-US" w:eastAsia="en-US" w:bidi="ar-SA"/>
      </w:rPr>
    </w:lvl>
    <w:lvl w:ilvl="4" w:tplc="7448898C">
      <w:numFmt w:val="bullet"/>
      <w:lvlText w:val="•"/>
      <w:lvlJc w:val="left"/>
      <w:pPr>
        <w:ind w:left="2871" w:hanging="567"/>
      </w:pPr>
      <w:rPr>
        <w:rFonts w:hint="default"/>
        <w:lang w:val="en-US" w:eastAsia="en-US" w:bidi="ar-SA"/>
      </w:rPr>
    </w:lvl>
    <w:lvl w:ilvl="5" w:tplc="61D21DCE">
      <w:numFmt w:val="bullet"/>
      <w:lvlText w:val="•"/>
      <w:lvlJc w:val="left"/>
      <w:pPr>
        <w:ind w:left="3488" w:hanging="567"/>
      </w:pPr>
      <w:rPr>
        <w:rFonts w:hint="default"/>
        <w:lang w:val="en-US" w:eastAsia="en-US" w:bidi="ar-SA"/>
      </w:rPr>
    </w:lvl>
    <w:lvl w:ilvl="6" w:tplc="EB98E3F4">
      <w:numFmt w:val="bullet"/>
      <w:lvlText w:val="•"/>
      <w:lvlJc w:val="left"/>
      <w:pPr>
        <w:ind w:left="4106" w:hanging="567"/>
      </w:pPr>
      <w:rPr>
        <w:rFonts w:hint="default"/>
        <w:lang w:val="en-US" w:eastAsia="en-US" w:bidi="ar-SA"/>
      </w:rPr>
    </w:lvl>
    <w:lvl w:ilvl="7" w:tplc="B420D49A">
      <w:numFmt w:val="bullet"/>
      <w:lvlText w:val="•"/>
      <w:lvlJc w:val="left"/>
      <w:pPr>
        <w:ind w:left="4723" w:hanging="567"/>
      </w:pPr>
      <w:rPr>
        <w:rFonts w:hint="default"/>
        <w:lang w:val="en-US" w:eastAsia="en-US" w:bidi="ar-SA"/>
      </w:rPr>
    </w:lvl>
    <w:lvl w:ilvl="8" w:tplc="A358DFB0">
      <w:numFmt w:val="bullet"/>
      <w:lvlText w:val="•"/>
      <w:lvlJc w:val="left"/>
      <w:pPr>
        <w:ind w:left="5340" w:hanging="567"/>
      </w:pPr>
      <w:rPr>
        <w:rFonts w:hint="default"/>
        <w:lang w:val="en-US" w:eastAsia="en-US" w:bidi="ar-SA"/>
      </w:rPr>
    </w:lvl>
  </w:abstractNum>
  <w:abstractNum w:abstractNumId="1" w15:restartNumberingAfterBreak="0">
    <w:nsid w:val="06162586"/>
    <w:multiLevelType w:val="hybridMultilevel"/>
    <w:tmpl w:val="78FC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0C39"/>
    <w:multiLevelType w:val="hybridMultilevel"/>
    <w:tmpl w:val="3C6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B7460"/>
    <w:multiLevelType w:val="hybridMultilevel"/>
    <w:tmpl w:val="0FFC9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1A46"/>
    <w:multiLevelType w:val="hybridMultilevel"/>
    <w:tmpl w:val="71E28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53CC"/>
    <w:multiLevelType w:val="hybridMultilevel"/>
    <w:tmpl w:val="FCBE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F7E74"/>
    <w:multiLevelType w:val="hybridMultilevel"/>
    <w:tmpl w:val="E3446570"/>
    <w:lvl w:ilvl="0" w:tplc="15BE6848">
      <w:start w:val="1"/>
      <w:numFmt w:val="decimal"/>
      <w:lvlText w:val="(%1)"/>
      <w:lvlJc w:val="left"/>
      <w:pPr>
        <w:ind w:left="468" w:hanging="360"/>
      </w:pPr>
      <w:rPr>
        <w:rFonts w:ascii="Arial MT" w:eastAsia="Arial MT" w:hAnsi="Arial MT" w:cs="Arial MT" w:hint="default"/>
        <w:b w:val="0"/>
        <w:bCs w:val="0"/>
        <w:i w:val="0"/>
        <w:iCs w:val="0"/>
        <w:spacing w:val="-1"/>
        <w:w w:val="100"/>
        <w:sz w:val="22"/>
        <w:szCs w:val="22"/>
        <w:u w:val="single" w:color="000000"/>
        <w:lang w:val="en-US" w:eastAsia="en-US" w:bidi="ar-SA"/>
      </w:rPr>
    </w:lvl>
    <w:lvl w:ilvl="1" w:tplc="2E54B590">
      <w:numFmt w:val="bullet"/>
      <w:lvlText w:val="•"/>
      <w:lvlJc w:val="left"/>
      <w:pPr>
        <w:ind w:left="1071" w:hanging="360"/>
      </w:pPr>
      <w:rPr>
        <w:rFonts w:hint="default"/>
        <w:lang w:val="en-US" w:eastAsia="en-US" w:bidi="ar-SA"/>
      </w:rPr>
    </w:lvl>
    <w:lvl w:ilvl="2" w:tplc="053C2DB6">
      <w:numFmt w:val="bullet"/>
      <w:lvlText w:val="•"/>
      <w:lvlJc w:val="left"/>
      <w:pPr>
        <w:ind w:left="1683" w:hanging="360"/>
      </w:pPr>
      <w:rPr>
        <w:rFonts w:hint="default"/>
        <w:lang w:val="en-US" w:eastAsia="en-US" w:bidi="ar-SA"/>
      </w:rPr>
    </w:lvl>
    <w:lvl w:ilvl="3" w:tplc="E8603D98">
      <w:numFmt w:val="bullet"/>
      <w:lvlText w:val="•"/>
      <w:lvlJc w:val="left"/>
      <w:pPr>
        <w:ind w:left="2294" w:hanging="360"/>
      </w:pPr>
      <w:rPr>
        <w:rFonts w:hint="default"/>
        <w:lang w:val="en-US" w:eastAsia="en-US" w:bidi="ar-SA"/>
      </w:rPr>
    </w:lvl>
    <w:lvl w:ilvl="4" w:tplc="849496A2">
      <w:numFmt w:val="bullet"/>
      <w:lvlText w:val="•"/>
      <w:lvlJc w:val="left"/>
      <w:pPr>
        <w:ind w:left="2906" w:hanging="360"/>
      </w:pPr>
      <w:rPr>
        <w:rFonts w:hint="default"/>
        <w:lang w:val="en-US" w:eastAsia="en-US" w:bidi="ar-SA"/>
      </w:rPr>
    </w:lvl>
    <w:lvl w:ilvl="5" w:tplc="733098EA">
      <w:numFmt w:val="bullet"/>
      <w:lvlText w:val="•"/>
      <w:lvlJc w:val="left"/>
      <w:pPr>
        <w:ind w:left="3517" w:hanging="360"/>
      </w:pPr>
      <w:rPr>
        <w:rFonts w:hint="default"/>
        <w:lang w:val="en-US" w:eastAsia="en-US" w:bidi="ar-SA"/>
      </w:rPr>
    </w:lvl>
    <w:lvl w:ilvl="6" w:tplc="EAA6AB6C">
      <w:numFmt w:val="bullet"/>
      <w:lvlText w:val="•"/>
      <w:lvlJc w:val="left"/>
      <w:pPr>
        <w:ind w:left="4129" w:hanging="360"/>
      </w:pPr>
      <w:rPr>
        <w:rFonts w:hint="default"/>
        <w:lang w:val="en-US" w:eastAsia="en-US" w:bidi="ar-SA"/>
      </w:rPr>
    </w:lvl>
    <w:lvl w:ilvl="7" w:tplc="CF84B8A2">
      <w:numFmt w:val="bullet"/>
      <w:lvlText w:val="•"/>
      <w:lvlJc w:val="left"/>
      <w:pPr>
        <w:ind w:left="4740" w:hanging="360"/>
      </w:pPr>
      <w:rPr>
        <w:rFonts w:hint="default"/>
        <w:lang w:val="en-US" w:eastAsia="en-US" w:bidi="ar-SA"/>
      </w:rPr>
    </w:lvl>
    <w:lvl w:ilvl="8" w:tplc="931655D4">
      <w:numFmt w:val="bullet"/>
      <w:lvlText w:val="•"/>
      <w:lvlJc w:val="left"/>
      <w:pPr>
        <w:ind w:left="5352" w:hanging="360"/>
      </w:pPr>
      <w:rPr>
        <w:rFonts w:hint="default"/>
        <w:lang w:val="en-US" w:eastAsia="en-US" w:bidi="ar-SA"/>
      </w:rPr>
    </w:lvl>
  </w:abstractNum>
  <w:abstractNum w:abstractNumId="7" w15:restartNumberingAfterBreak="0">
    <w:nsid w:val="1943468E"/>
    <w:multiLevelType w:val="hybridMultilevel"/>
    <w:tmpl w:val="FC1A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D4410"/>
    <w:multiLevelType w:val="hybridMultilevel"/>
    <w:tmpl w:val="ACA47B88"/>
    <w:lvl w:ilvl="0" w:tplc="24E481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8134D"/>
    <w:multiLevelType w:val="hybridMultilevel"/>
    <w:tmpl w:val="4776040E"/>
    <w:lvl w:ilvl="0" w:tplc="04090001">
      <w:start w:val="1"/>
      <w:numFmt w:val="bullet"/>
      <w:lvlText w:val=""/>
      <w:lvlJc w:val="left"/>
      <w:pPr>
        <w:ind w:left="360" w:hanging="360"/>
      </w:pPr>
      <w:rPr>
        <w:rFonts w:ascii="Symbol" w:hAnsi="Symbol" w:hint="default"/>
      </w:rPr>
    </w:lvl>
    <w:lvl w:ilvl="1" w:tplc="D2742F7A">
      <w:start w:val="3"/>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5A4250"/>
    <w:multiLevelType w:val="hybridMultilevel"/>
    <w:tmpl w:val="75B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97D2A"/>
    <w:multiLevelType w:val="hybridMultilevel"/>
    <w:tmpl w:val="E9D2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55D5F"/>
    <w:multiLevelType w:val="hybridMultilevel"/>
    <w:tmpl w:val="C1928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F25B4"/>
    <w:multiLevelType w:val="hybridMultilevel"/>
    <w:tmpl w:val="3FC6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67FAF"/>
    <w:multiLevelType w:val="hybridMultilevel"/>
    <w:tmpl w:val="8ECA5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C4387"/>
    <w:multiLevelType w:val="hybridMultilevel"/>
    <w:tmpl w:val="9C561F2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0416A"/>
    <w:multiLevelType w:val="hybridMultilevel"/>
    <w:tmpl w:val="7BC2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A4ADE"/>
    <w:multiLevelType w:val="hybridMultilevel"/>
    <w:tmpl w:val="C84A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D05B1"/>
    <w:multiLevelType w:val="hybridMultilevel"/>
    <w:tmpl w:val="ED8230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E5AED"/>
    <w:multiLevelType w:val="hybridMultilevel"/>
    <w:tmpl w:val="88D602FC"/>
    <w:lvl w:ilvl="0" w:tplc="DA14EF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02B60"/>
    <w:multiLevelType w:val="hybridMultilevel"/>
    <w:tmpl w:val="5DC2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218BF"/>
    <w:multiLevelType w:val="hybridMultilevel"/>
    <w:tmpl w:val="24BA60CC"/>
    <w:lvl w:ilvl="0" w:tplc="D2742F7A">
      <w:start w:val="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09062E"/>
    <w:multiLevelType w:val="hybridMultilevel"/>
    <w:tmpl w:val="6976313E"/>
    <w:lvl w:ilvl="0" w:tplc="A1829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A58B9"/>
    <w:multiLevelType w:val="hybridMultilevel"/>
    <w:tmpl w:val="7DF0C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B43BE"/>
    <w:multiLevelType w:val="hybridMultilevel"/>
    <w:tmpl w:val="4A9C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96952"/>
    <w:multiLevelType w:val="hybridMultilevel"/>
    <w:tmpl w:val="90D4961C"/>
    <w:lvl w:ilvl="0" w:tplc="13EA7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A0612"/>
    <w:multiLevelType w:val="hybridMultilevel"/>
    <w:tmpl w:val="845A0972"/>
    <w:lvl w:ilvl="0" w:tplc="20E67B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961F9"/>
    <w:multiLevelType w:val="hybridMultilevel"/>
    <w:tmpl w:val="68EA4F7E"/>
    <w:lvl w:ilvl="0" w:tplc="815E66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25A7B"/>
    <w:multiLevelType w:val="hybridMultilevel"/>
    <w:tmpl w:val="0414D1A2"/>
    <w:lvl w:ilvl="0" w:tplc="588A4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94445"/>
    <w:multiLevelType w:val="hybridMultilevel"/>
    <w:tmpl w:val="4900E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D7B33"/>
    <w:multiLevelType w:val="hybridMultilevel"/>
    <w:tmpl w:val="58BC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7485"/>
    <w:multiLevelType w:val="hybridMultilevel"/>
    <w:tmpl w:val="1E609914"/>
    <w:lvl w:ilvl="0" w:tplc="50DEE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14A13"/>
    <w:multiLevelType w:val="hybridMultilevel"/>
    <w:tmpl w:val="01B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C7683"/>
    <w:multiLevelType w:val="hybridMultilevel"/>
    <w:tmpl w:val="E2CC3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4D04EE"/>
    <w:multiLevelType w:val="hybridMultilevel"/>
    <w:tmpl w:val="80B4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E3471"/>
    <w:multiLevelType w:val="hybridMultilevel"/>
    <w:tmpl w:val="78C6AEDC"/>
    <w:lvl w:ilvl="0" w:tplc="0F0C80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439CF"/>
    <w:multiLevelType w:val="hybridMultilevel"/>
    <w:tmpl w:val="4DF41A1E"/>
    <w:lvl w:ilvl="0" w:tplc="E5AEBF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794F1AD3"/>
    <w:multiLevelType w:val="hybridMultilevel"/>
    <w:tmpl w:val="EF7AC496"/>
    <w:lvl w:ilvl="0" w:tplc="0CB24A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86678">
    <w:abstractNumId w:val="5"/>
  </w:num>
  <w:num w:numId="2" w16cid:durableId="882329511">
    <w:abstractNumId w:val="31"/>
  </w:num>
  <w:num w:numId="3" w16cid:durableId="137845682">
    <w:abstractNumId w:val="32"/>
  </w:num>
  <w:num w:numId="4" w16cid:durableId="271523701">
    <w:abstractNumId w:val="25"/>
  </w:num>
  <w:num w:numId="5" w16cid:durableId="1436092038">
    <w:abstractNumId w:val="23"/>
  </w:num>
  <w:num w:numId="6" w16cid:durableId="259796048">
    <w:abstractNumId w:val="28"/>
  </w:num>
  <w:num w:numId="7" w16cid:durableId="1127316925">
    <w:abstractNumId w:val="16"/>
  </w:num>
  <w:num w:numId="8" w16cid:durableId="764422896">
    <w:abstractNumId w:val="12"/>
  </w:num>
  <w:num w:numId="9" w16cid:durableId="1443063911">
    <w:abstractNumId w:val="37"/>
  </w:num>
  <w:num w:numId="10" w16cid:durableId="600379691">
    <w:abstractNumId w:val="27"/>
  </w:num>
  <w:num w:numId="11" w16cid:durableId="914126183">
    <w:abstractNumId w:val="34"/>
  </w:num>
  <w:num w:numId="12" w16cid:durableId="1277638648">
    <w:abstractNumId w:val="7"/>
  </w:num>
  <w:num w:numId="13" w16cid:durableId="1580676829">
    <w:abstractNumId w:val="30"/>
  </w:num>
  <w:num w:numId="14" w16cid:durableId="2080131888">
    <w:abstractNumId w:val="2"/>
  </w:num>
  <w:num w:numId="15" w16cid:durableId="133378300">
    <w:abstractNumId w:val="4"/>
  </w:num>
  <w:num w:numId="16" w16cid:durableId="87966607">
    <w:abstractNumId w:val="1"/>
  </w:num>
  <w:num w:numId="17" w16cid:durableId="236406822">
    <w:abstractNumId w:val="29"/>
  </w:num>
  <w:num w:numId="18" w16cid:durableId="461535673">
    <w:abstractNumId w:val="24"/>
  </w:num>
  <w:num w:numId="19" w16cid:durableId="962540210">
    <w:abstractNumId w:val="14"/>
  </w:num>
  <w:num w:numId="20" w16cid:durableId="1739135039">
    <w:abstractNumId w:val="9"/>
  </w:num>
  <w:num w:numId="21" w16cid:durableId="1472207933">
    <w:abstractNumId w:val="8"/>
  </w:num>
  <w:num w:numId="22" w16cid:durableId="693767833">
    <w:abstractNumId w:val="33"/>
  </w:num>
  <w:num w:numId="23" w16cid:durableId="1494950879">
    <w:abstractNumId w:val="10"/>
  </w:num>
  <w:num w:numId="24" w16cid:durableId="82454438">
    <w:abstractNumId w:val="3"/>
  </w:num>
  <w:num w:numId="25" w16cid:durableId="1534460998">
    <w:abstractNumId w:val="6"/>
  </w:num>
  <w:num w:numId="26" w16cid:durableId="1578586186">
    <w:abstractNumId w:val="0"/>
  </w:num>
  <w:num w:numId="27" w16cid:durableId="544367046">
    <w:abstractNumId w:val="11"/>
  </w:num>
  <w:num w:numId="28" w16cid:durableId="1557741033">
    <w:abstractNumId w:val="35"/>
  </w:num>
  <w:num w:numId="29" w16cid:durableId="1579091066">
    <w:abstractNumId w:val="20"/>
  </w:num>
  <w:num w:numId="30" w16cid:durableId="1649093439">
    <w:abstractNumId w:val="26"/>
  </w:num>
  <w:num w:numId="31" w16cid:durableId="1750612578">
    <w:abstractNumId w:val="13"/>
  </w:num>
  <w:num w:numId="32" w16cid:durableId="239102382">
    <w:abstractNumId w:val="38"/>
  </w:num>
  <w:num w:numId="33" w16cid:durableId="437989354">
    <w:abstractNumId w:val="18"/>
  </w:num>
  <w:num w:numId="34" w16cid:durableId="1949845085">
    <w:abstractNumId w:val="15"/>
  </w:num>
  <w:num w:numId="35" w16cid:durableId="1239174865">
    <w:abstractNumId w:val="19"/>
  </w:num>
  <w:num w:numId="36" w16cid:durableId="1717002858">
    <w:abstractNumId w:val="17"/>
  </w:num>
  <w:num w:numId="37" w16cid:durableId="1673029165">
    <w:abstractNumId w:val="22"/>
  </w:num>
  <w:num w:numId="38" w16cid:durableId="487290777">
    <w:abstractNumId w:val="21"/>
  </w:num>
  <w:num w:numId="39" w16cid:durableId="1337656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s7A0MLM0NjW2sDRV0lEKTi0uzszPAykwrgUAYCb9ciwAAAA="/>
  </w:docVars>
  <w:rsids>
    <w:rsidRoot w:val="001E710E"/>
    <w:rsid w:val="000124D2"/>
    <w:rsid w:val="0002140B"/>
    <w:rsid w:val="000343FA"/>
    <w:rsid w:val="00036644"/>
    <w:rsid w:val="00063EF8"/>
    <w:rsid w:val="00064BA3"/>
    <w:rsid w:val="00084240"/>
    <w:rsid w:val="000A06D8"/>
    <w:rsid w:val="000A0BF2"/>
    <w:rsid w:val="000C33F1"/>
    <w:rsid w:val="000C3C24"/>
    <w:rsid w:val="000D7CDA"/>
    <w:rsid w:val="000E7A68"/>
    <w:rsid w:val="000F3548"/>
    <w:rsid w:val="001043C8"/>
    <w:rsid w:val="001220E5"/>
    <w:rsid w:val="0012226E"/>
    <w:rsid w:val="00132AB3"/>
    <w:rsid w:val="001346C0"/>
    <w:rsid w:val="001420AE"/>
    <w:rsid w:val="00150856"/>
    <w:rsid w:val="0016637A"/>
    <w:rsid w:val="00173E42"/>
    <w:rsid w:val="0018486E"/>
    <w:rsid w:val="00193D36"/>
    <w:rsid w:val="001C2002"/>
    <w:rsid w:val="001E710E"/>
    <w:rsid w:val="001F78FF"/>
    <w:rsid w:val="002012A9"/>
    <w:rsid w:val="002211E6"/>
    <w:rsid w:val="00230AB1"/>
    <w:rsid w:val="00233688"/>
    <w:rsid w:val="00247E7A"/>
    <w:rsid w:val="00255734"/>
    <w:rsid w:val="002563BC"/>
    <w:rsid w:val="00261FD0"/>
    <w:rsid w:val="00270F06"/>
    <w:rsid w:val="002734BE"/>
    <w:rsid w:val="00282EB9"/>
    <w:rsid w:val="002C2CC4"/>
    <w:rsid w:val="002C4B72"/>
    <w:rsid w:val="002D0B7B"/>
    <w:rsid w:val="002D49C7"/>
    <w:rsid w:val="00300A4B"/>
    <w:rsid w:val="0030372F"/>
    <w:rsid w:val="0032126C"/>
    <w:rsid w:val="00323507"/>
    <w:rsid w:val="003261F0"/>
    <w:rsid w:val="0033142A"/>
    <w:rsid w:val="00342E2D"/>
    <w:rsid w:val="00346AA7"/>
    <w:rsid w:val="003520BC"/>
    <w:rsid w:val="003522EC"/>
    <w:rsid w:val="003816C3"/>
    <w:rsid w:val="003A3531"/>
    <w:rsid w:val="003A67DD"/>
    <w:rsid w:val="003B088F"/>
    <w:rsid w:val="003B3A35"/>
    <w:rsid w:val="003C2A9E"/>
    <w:rsid w:val="003E08FE"/>
    <w:rsid w:val="003F3E02"/>
    <w:rsid w:val="00400BA1"/>
    <w:rsid w:val="004045CD"/>
    <w:rsid w:val="004236EB"/>
    <w:rsid w:val="00444CFB"/>
    <w:rsid w:val="004667F9"/>
    <w:rsid w:val="00472326"/>
    <w:rsid w:val="00494A0C"/>
    <w:rsid w:val="004B0E83"/>
    <w:rsid w:val="004C2610"/>
    <w:rsid w:val="004C6A2D"/>
    <w:rsid w:val="00505EB6"/>
    <w:rsid w:val="0051264D"/>
    <w:rsid w:val="00525347"/>
    <w:rsid w:val="00530B51"/>
    <w:rsid w:val="00545271"/>
    <w:rsid w:val="00557435"/>
    <w:rsid w:val="00571839"/>
    <w:rsid w:val="005A644E"/>
    <w:rsid w:val="005A6A38"/>
    <w:rsid w:val="005B229A"/>
    <w:rsid w:val="005B270E"/>
    <w:rsid w:val="005B63E6"/>
    <w:rsid w:val="005B78E0"/>
    <w:rsid w:val="005E167A"/>
    <w:rsid w:val="005E52A8"/>
    <w:rsid w:val="005E7183"/>
    <w:rsid w:val="005F1D69"/>
    <w:rsid w:val="005F59A9"/>
    <w:rsid w:val="00615DB2"/>
    <w:rsid w:val="00661D01"/>
    <w:rsid w:val="00662BC6"/>
    <w:rsid w:val="00675843"/>
    <w:rsid w:val="0067676C"/>
    <w:rsid w:val="006900F8"/>
    <w:rsid w:val="006A0662"/>
    <w:rsid w:val="006A16C3"/>
    <w:rsid w:val="006A279D"/>
    <w:rsid w:val="006A503F"/>
    <w:rsid w:val="006D728D"/>
    <w:rsid w:val="006D7494"/>
    <w:rsid w:val="006E01AF"/>
    <w:rsid w:val="006E7A1F"/>
    <w:rsid w:val="006F6F61"/>
    <w:rsid w:val="0070071D"/>
    <w:rsid w:val="00702E07"/>
    <w:rsid w:val="00744774"/>
    <w:rsid w:val="007462E5"/>
    <w:rsid w:val="00753D0A"/>
    <w:rsid w:val="00757157"/>
    <w:rsid w:val="00766350"/>
    <w:rsid w:val="007B2C77"/>
    <w:rsid w:val="007B488A"/>
    <w:rsid w:val="007B599F"/>
    <w:rsid w:val="007C0A94"/>
    <w:rsid w:val="007D155F"/>
    <w:rsid w:val="007E5B64"/>
    <w:rsid w:val="007F1BB4"/>
    <w:rsid w:val="00814064"/>
    <w:rsid w:val="008216D6"/>
    <w:rsid w:val="008510B5"/>
    <w:rsid w:val="00852259"/>
    <w:rsid w:val="00861E3B"/>
    <w:rsid w:val="008741FE"/>
    <w:rsid w:val="00874B0C"/>
    <w:rsid w:val="00886557"/>
    <w:rsid w:val="008A39E0"/>
    <w:rsid w:val="008A5330"/>
    <w:rsid w:val="009637B3"/>
    <w:rsid w:val="009755BE"/>
    <w:rsid w:val="00981257"/>
    <w:rsid w:val="009829BC"/>
    <w:rsid w:val="00987C64"/>
    <w:rsid w:val="00997108"/>
    <w:rsid w:val="009A0954"/>
    <w:rsid w:val="009A4DB7"/>
    <w:rsid w:val="009A6746"/>
    <w:rsid w:val="009B3794"/>
    <w:rsid w:val="009D5599"/>
    <w:rsid w:val="009D6C4A"/>
    <w:rsid w:val="009F3457"/>
    <w:rsid w:val="00A052FB"/>
    <w:rsid w:val="00A570F1"/>
    <w:rsid w:val="00A66094"/>
    <w:rsid w:val="00A80339"/>
    <w:rsid w:val="00A80454"/>
    <w:rsid w:val="00A87FD1"/>
    <w:rsid w:val="00A9337B"/>
    <w:rsid w:val="00AC5031"/>
    <w:rsid w:val="00AD7D88"/>
    <w:rsid w:val="00AE244C"/>
    <w:rsid w:val="00AF2939"/>
    <w:rsid w:val="00B20008"/>
    <w:rsid w:val="00B43880"/>
    <w:rsid w:val="00B67AB2"/>
    <w:rsid w:val="00B85444"/>
    <w:rsid w:val="00B90022"/>
    <w:rsid w:val="00BB5C5D"/>
    <w:rsid w:val="00BD4B81"/>
    <w:rsid w:val="00BE0C70"/>
    <w:rsid w:val="00BE6A08"/>
    <w:rsid w:val="00C12C1D"/>
    <w:rsid w:val="00C20DDC"/>
    <w:rsid w:val="00C255BA"/>
    <w:rsid w:val="00C33B89"/>
    <w:rsid w:val="00C35E36"/>
    <w:rsid w:val="00C42F21"/>
    <w:rsid w:val="00C90F65"/>
    <w:rsid w:val="00C91A7A"/>
    <w:rsid w:val="00C96281"/>
    <w:rsid w:val="00C965E4"/>
    <w:rsid w:val="00CA1957"/>
    <w:rsid w:val="00CE2AD2"/>
    <w:rsid w:val="00CE2F2F"/>
    <w:rsid w:val="00CF24BA"/>
    <w:rsid w:val="00D22454"/>
    <w:rsid w:val="00D367DD"/>
    <w:rsid w:val="00D62631"/>
    <w:rsid w:val="00D638EC"/>
    <w:rsid w:val="00D720A1"/>
    <w:rsid w:val="00D851E5"/>
    <w:rsid w:val="00DA2222"/>
    <w:rsid w:val="00DB0A3D"/>
    <w:rsid w:val="00DB5A0A"/>
    <w:rsid w:val="00DD4C45"/>
    <w:rsid w:val="00DF3C7F"/>
    <w:rsid w:val="00E0093E"/>
    <w:rsid w:val="00E012B3"/>
    <w:rsid w:val="00E17CCB"/>
    <w:rsid w:val="00E36B35"/>
    <w:rsid w:val="00E421A3"/>
    <w:rsid w:val="00E427AE"/>
    <w:rsid w:val="00E87FCB"/>
    <w:rsid w:val="00E9076E"/>
    <w:rsid w:val="00EA0578"/>
    <w:rsid w:val="00EB4F15"/>
    <w:rsid w:val="00EC65E0"/>
    <w:rsid w:val="00ED51CC"/>
    <w:rsid w:val="00F00FB3"/>
    <w:rsid w:val="00F01306"/>
    <w:rsid w:val="00F109D9"/>
    <w:rsid w:val="00F112B2"/>
    <w:rsid w:val="00F2478E"/>
    <w:rsid w:val="00F27B5E"/>
    <w:rsid w:val="00F362CA"/>
    <w:rsid w:val="00F41AC4"/>
    <w:rsid w:val="00F42CBE"/>
    <w:rsid w:val="00F452C5"/>
    <w:rsid w:val="00F7234E"/>
    <w:rsid w:val="00FA01C2"/>
    <w:rsid w:val="00FA1013"/>
    <w:rsid w:val="00FC1C2F"/>
    <w:rsid w:val="00FC705B"/>
    <w:rsid w:val="00FD4F21"/>
    <w:rsid w:val="00FE6265"/>
    <w:rsid w:val="00FE6E5B"/>
    <w:rsid w:val="00FF1D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2526"/>
  <w15:chartTrackingRefBased/>
  <w15:docId w15:val="{66143593-287A-4D1C-A4FB-3581EB9E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7494"/>
    <w:rPr>
      <w:color w:val="0563C1" w:themeColor="hyperlink"/>
      <w:u w:val="single"/>
    </w:rPr>
  </w:style>
  <w:style w:type="paragraph" w:styleId="a4">
    <w:name w:val="List Paragraph"/>
    <w:basedOn w:val="a"/>
    <w:uiPriority w:val="34"/>
    <w:qFormat/>
    <w:rsid w:val="00F7234E"/>
    <w:pPr>
      <w:ind w:left="720"/>
      <w:contextualSpacing/>
    </w:pPr>
  </w:style>
  <w:style w:type="paragraph" w:styleId="a5">
    <w:name w:val="footnote text"/>
    <w:basedOn w:val="a"/>
    <w:link w:val="a6"/>
    <w:uiPriority w:val="99"/>
    <w:semiHidden/>
    <w:unhideWhenUsed/>
    <w:rsid w:val="00FA01C2"/>
    <w:pPr>
      <w:spacing w:after="0" w:line="240" w:lineRule="auto"/>
    </w:pPr>
    <w:rPr>
      <w:sz w:val="20"/>
      <w:szCs w:val="20"/>
    </w:rPr>
  </w:style>
  <w:style w:type="character" w:customStyle="1" w:styleId="a6">
    <w:name w:val="Текст сноски Знак"/>
    <w:basedOn w:val="a0"/>
    <w:link w:val="a5"/>
    <w:uiPriority w:val="99"/>
    <w:semiHidden/>
    <w:rsid w:val="00FA01C2"/>
    <w:rPr>
      <w:sz w:val="20"/>
      <w:szCs w:val="20"/>
    </w:rPr>
  </w:style>
  <w:style w:type="character" w:styleId="a7">
    <w:name w:val="footnote reference"/>
    <w:basedOn w:val="a0"/>
    <w:uiPriority w:val="99"/>
    <w:semiHidden/>
    <w:unhideWhenUsed/>
    <w:rsid w:val="00FA01C2"/>
    <w:rPr>
      <w:vertAlign w:val="superscript"/>
    </w:rPr>
  </w:style>
  <w:style w:type="table" w:styleId="a8">
    <w:name w:val="Table Grid"/>
    <w:basedOn w:val="a1"/>
    <w:uiPriority w:val="39"/>
    <w:rsid w:val="004C6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462E5"/>
    <w:pPr>
      <w:widowControl w:val="0"/>
      <w:autoSpaceDE w:val="0"/>
      <w:autoSpaceDN w:val="0"/>
      <w:spacing w:after="0" w:line="240" w:lineRule="auto"/>
      <w:ind w:left="107"/>
    </w:pPr>
    <w:rPr>
      <w:rFonts w:ascii="Arial MT" w:eastAsia="Arial MT" w:hAnsi="Arial MT" w:cs="Arial MT"/>
      <w:lang w:eastAsia="en-US"/>
    </w:rPr>
  </w:style>
  <w:style w:type="character" w:styleId="a9">
    <w:name w:val="FollowedHyperlink"/>
    <w:basedOn w:val="a0"/>
    <w:uiPriority w:val="99"/>
    <w:semiHidden/>
    <w:unhideWhenUsed/>
    <w:rsid w:val="009A6746"/>
    <w:rPr>
      <w:color w:val="954F72" w:themeColor="followedHyperlink"/>
      <w:u w:val="single"/>
    </w:rPr>
  </w:style>
  <w:style w:type="paragraph" w:customStyle="1" w:styleId="Disclaimer">
    <w:name w:val="Disclaimer"/>
    <w:basedOn w:val="a"/>
    <w:qFormat/>
    <w:rsid w:val="00F109D9"/>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F109D9"/>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F109D9"/>
    <w:pPr>
      <w:jc w:val="left"/>
    </w:pPr>
    <w:rPr>
      <w:b/>
    </w:rPr>
  </w:style>
  <w:style w:type="paragraph" w:styleId="aa">
    <w:name w:val="Revision"/>
    <w:hidden/>
    <w:uiPriority w:val="99"/>
    <w:semiHidden/>
    <w:rsid w:val="00104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5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consults-on-mandatory-climate-disclosures-in-esg-repor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rs.org/content/dam/ifrs/project/climate-related-disclosures/issb-exposure-draft-2022-2-climate-related-disclosures.pdf" TargetMode="External"/><Relationship Id="rId5" Type="http://schemas.openxmlformats.org/officeDocument/2006/relationships/webSettings" Target="webSettings.xml"/><Relationship Id="rId10" Type="http://schemas.openxmlformats.org/officeDocument/2006/relationships/hyperlink" Target="https://www.hkex.com.hk/-/media/HKEX-Market/Listing/Rules-and-Guidance/Listing-Rules-Contingency/Main-Board-Listing-Rules/Appendices/appendix_27.pdf"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April-2023-Climate-related-Disclosures/Consultation-Paper/cp20230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6DFF-E9A4-426D-B97B-3B50F559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5</cp:revision>
  <dcterms:created xsi:type="dcterms:W3CDTF">2023-05-11T08:53:00Z</dcterms:created>
  <dcterms:modified xsi:type="dcterms:W3CDTF">2023-05-15T07:57:00Z</dcterms:modified>
</cp:coreProperties>
</file>