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DCA2" w14:textId="4CBD7947" w:rsidR="004B5136" w:rsidRPr="008524CA" w:rsidRDefault="004B5136" w:rsidP="004B5136">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- 1</w:t>
      </w:r>
      <w:r w:rsidR="00935A54">
        <w:rPr>
          <w:rFonts w:ascii="Cambria" w:eastAsia="Cambria" w:hAnsi="Cambria" w:cs="Times New Roman"/>
          <w:color w:val="FFFFFF"/>
          <w:sz w:val="24"/>
          <w:szCs w:val="24"/>
        </w:rPr>
        <w:t>3</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April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14:paraId="74EC2C07" w14:textId="09E56DCC" w:rsidR="004B5136" w:rsidRPr="004B5136" w:rsidRDefault="00000000" w:rsidP="004B5136">
      <w:pPr>
        <w:spacing w:after="200"/>
        <w:jc w:val="center"/>
        <w:rPr>
          <w:rFonts w:ascii="Cambria" w:eastAsia="Cambria" w:hAnsi="Cambria" w:cs="Times New Roman"/>
          <w:color w:val="00000A"/>
          <w:sz w:val="28"/>
          <w:szCs w:val="24"/>
          <w:u w:val="single"/>
        </w:rPr>
      </w:pPr>
      <w:hyperlink r:id="rId8" w:history="1">
        <w:r w:rsidR="004B5136" w:rsidRPr="00365171">
          <w:rPr>
            <w:rStyle w:val="a7"/>
            <w:rFonts w:ascii="Cambria" w:eastAsia="Cambria" w:hAnsi="Cambria"/>
            <w:sz w:val="28"/>
            <w:szCs w:val="24"/>
          </w:rPr>
          <w:t>online version</w:t>
        </w:r>
      </w:hyperlink>
    </w:p>
    <w:p w14:paraId="547DCF2A" w14:textId="349C8D79" w:rsidR="00851D14" w:rsidRPr="004B5136" w:rsidRDefault="00851D14" w:rsidP="00C6367C">
      <w:pPr>
        <w:jc w:val="center"/>
        <w:rPr>
          <w:rFonts w:ascii="Arial" w:hAnsi="Arial" w:cs="Arial"/>
          <w:b/>
          <w:color w:val="FF0000"/>
          <w:sz w:val="20"/>
          <w:szCs w:val="20"/>
        </w:rPr>
      </w:pPr>
      <w:r w:rsidRPr="004B5136">
        <w:rPr>
          <w:rFonts w:ascii="Arial" w:hAnsi="Arial" w:cs="Arial"/>
          <w:b/>
          <w:color w:val="FF0000"/>
          <w:sz w:val="20"/>
          <w:szCs w:val="20"/>
        </w:rPr>
        <w:t xml:space="preserve">New </w:t>
      </w:r>
      <w:r w:rsidR="00C6367C" w:rsidRPr="00C6367C">
        <w:rPr>
          <w:rFonts w:ascii="Arial" w:hAnsi="Arial" w:cs="Arial"/>
          <w:b/>
          <w:color w:val="FF0000"/>
          <w:sz w:val="20"/>
          <w:szCs w:val="20"/>
        </w:rPr>
        <w:t xml:space="preserve">HKEX </w:t>
      </w:r>
      <w:r w:rsidRPr="004B5136">
        <w:rPr>
          <w:rFonts w:ascii="Arial" w:hAnsi="Arial" w:cs="Arial"/>
          <w:b/>
          <w:color w:val="FF0000"/>
          <w:sz w:val="20"/>
          <w:szCs w:val="20"/>
        </w:rPr>
        <w:t>Listing Regime for Specialist Technology Companies</w:t>
      </w:r>
      <w:r w:rsidR="00C6367C" w:rsidRPr="00C6367C">
        <w:rPr>
          <w:rFonts w:ascii="Arial" w:hAnsi="Arial" w:cs="Arial"/>
          <w:b/>
          <w:color w:val="FF0000"/>
          <w:sz w:val="20"/>
          <w:szCs w:val="20"/>
        </w:rPr>
        <w:t xml:space="preserve"> Launches 31 March 2023</w:t>
      </w:r>
    </w:p>
    <w:p w14:paraId="79814EBA" w14:textId="77777777" w:rsidR="00EF27AF" w:rsidRPr="004B5136" w:rsidRDefault="00EF27AF" w:rsidP="006154E0">
      <w:pPr>
        <w:jc w:val="both"/>
        <w:rPr>
          <w:rFonts w:ascii="Arial" w:hAnsi="Arial" w:cs="Arial"/>
          <w:sz w:val="20"/>
          <w:szCs w:val="20"/>
        </w:rPr>
      </w:pPr>
      <w:r w:rsidRPr="004B5136">
        <w:rPr>
          <w:rFonts w:ascii="Arial" w:hAnsi="Arial" w:cs="Arial"/>
          <w:sz w:val="20"/>
          <w:szCs w:val="20"/>
        </w:rPr>
        <w:t>On 24 March 2023, the Stock Exchange of Hong Kong Limited (</w:t>
      </w:r>
      <w:r w:rsidRPr="004B5136">
        <w:rPr>
          <w:rFonts w:ascii="Arial" w:hAnsi="Arial" w:cs="Arial"/>
          <w:b/>
          <w:sz w:val="20"/>
          <w:szCs w:val="20"/>
        </w:rPr>
        <w:t>HKEX</w:t>
      </w:r>
      <w:r w:rsidRPr="004B5136">
        <w:rPr>
          <w:rFonts w:ascii="Arial" w:hAnsi="Arial" w:cs="Arial"/>
          <w:sz w:val="20"/>
          <w:szCs w:val="20"/>
        </w:rPr>
        <w:t xml:space="preserve">) published </w:t>
      </w:r>
      <w:hyperlink r:id="rId9" w:history="1">
        <w:r w:rsidR="00F03AA3" w:rsidRPr="004B5136">
          <w:rPr>
            <w:rStyle w:val="a7"/>
            <w:rFonts w:ascii="Arial" w:hAnsi="Arial" w:cs="Arial"/>
            <w:sz w:val="20"/>
            <w:szCs w:val="20"/>
          </w:rPr>
          <w:t>Consultation Conclusions</w:t>
        </w:r>
      </w:hyperlink>
      <w:r w:rsidRPr="004B5136">
        <w:rPr>
          <w:rFonts w:ascii="Arial" w:hAnsi="Arial" w:cs="Arial"/>
          <w:sz w:val="20"/>
          <w:szCs w:val="20"/>
        </w:rPr>
        <w:t xml:space="preserve"> on its proposals to </w:t>
      </w:r>
      <w:r w:rsidR="003E727D" w:rsidRPr="004B5136">
        <w:rPr>
          <w:rFonts w:ascii="Arial" w:hAnsi="Arial" w:cs="Arial"/>
          <w:sz w:val="20"/>
          <w:szCs w:val="20"/>
        </w:rPr>
        <w:t>expand Hong Kong’</w:t>
      </w:r>
      <w:r w:rsidR="007B0578" w:rsidRPr="004B5136">
        <w:rPr>
          <w:rFonts w:ascii="Arial" w:hAnsi="Arial" w:cs="Arial"/>
          <w:sz w:val="20"/>
          <w:szCs w:val="20"/>
        </w:rPr>
        <w:t xml:space="preserve">s listing framework </w:t>
      </w:r>
      <w:r w:rsidR="00A6039B">
        <w:rPr>
          <w:rFonts w:ascii="Arial" w:hAnsi="Arial" w:cs="Arial"/>
          <w:sz w:val="20"/>
          <w:szCs w:val="20"/>
        </w:rPr>
        <w:t xml:space="preserve">to allow </w:t>
      </w:r>
      <w:r w:rsidR="007B0578" w:rsidRPr="004B5136">
        <w:rPr>
          <w:rFonts w:ascii="Arial" w:hAnsi="Arial" w:cs="Arial"/>
          <w:sz w:val="20"/>
          <w:szCs w:val="20"/>
        </w:rPr>
        <w:t>Specialist Technology Companies</w:t>
      </w:r>
      <w:r w:rsidR="00A6039B">
        <w:rPr>
          <w:rFonts w:ascii="Arial" w:hAnsi="Arial" w:cs="Arial"/>
          <w:sz w:val="20"/>
          <w:szCs w:val="20"/>
        </w:rPr>
        <w:t xml:space="preserve"> to list on its Main Board under new Chapter 18C of the </w:t>
      </w:r>
      <w:r w:rsidR="00A6039B" w:rsidRPr="004B5136">
        <w:rPr>
          <w:rFonts w:ascii="Arial" w:hAnsi="Arial" w:cs="Arial"/>
          <w:sz w:val="20"/>
          <w:szCs w:val="20"/>
        </w:rPr>
        <w:t xml:space="preserve">Rules Governing the Listing of Securities on the HKEX (the </w:t>
      </w:r>
      <w:r w:rsidR="00A6039B" w:rsidRPr="004B5136">
        <w:rPr>
          <w:rFonts w:ascii="Arial" w:hAnsi="Arial" w:cs="Arial"/>
          <w:b/>
          <w:sz w:val="20"/>
          <w:szCs w:val="20"/>
        </w:rPr>
        <w:t>HKEX Listing Rules</w:t>
      </w:r>
      <w:r w:rsidR="00A6039B" w:rsidRPr="004B5136">
        <w:rPr>
          <w:rFonts w:ascii="Arial" w:hAnsi="Arial" w:cs="Arial"/>
          <w:sz w:val="20"/>
          <w:szCs w:val="20"/>
        </w:rPr>
        <w:t>)</w:t>
      </w:r>
      <w:r w:rsidRPr="004B5136">
        <w:rPr>
          <w:rFonts w:ascii="Arial" w:hAnsi="Arial" w:cs="Arial"/>
          <w:sz w:val="20"/>
          <w:szCs w:val="20"/>
        </w:rPr>
        <w:t xml:space="preserve">. For a summary of the original </w:t>
      </w:r>
      <w:r w:rsidR="00B378E4" w:rsidRPr="004B5136">
        <w:rPr>
          <w:rFonts w:ascii="Arial" w:hAnsi="Arial" w:cs="Arial"/>
          <w:sz w:val="20"/>
          <w:szCs w:val="20"/>
        </w:rPr>
        <w:t>Consultation Paper</w:t>
      </w:r>
      <w:r w:rsidRPr="004B5136">
        <w:rPr>
          <w:rFonts w:ascii="Arial" w:hAnsi="Arial" w:cs="Arial"/>
          <w:sz w:val="20"/>
          <w:szCs w:val="20"/>
        </w:rPr>
        <w:t xml:space="preserve">, please see </w:t>
      </w:r>
      <w:proofErr w:type="spellStart"/>
      <w:r w:rsidRPr="004B5136">
        <w:rPr>
          <w:rFonts w:ascii="Arial" w:hAnsi="Arial" w:cs="Arial"/>
          <w:sz w:val="20"/>
          <w:szCs w:val="20"/>
        </w:rPr>
        <w:t>Charltons</w:t>
      </w:r>
      <w:proofErr w:type="spellEnd"/>
      <w:r w:rsidRPr="004B5136">
        <w:rPr>
          <w:rFonts w:ascii="Arial" w:hAnsi="Arial" w:cs="Arial"/>
          <w:sz w:val="20"/>
          <w:szCs w:val="20"/>
        </w:rPr>
        <w:t xml:space="preserve">’ </w:t>
      </w:r>
      <w:hyperlink r:id="rId10" w:history="1">
        <w:r w:rsidRPr="004B5136">
          <w:rPr>
            <w:rStyle w:val="a7"/>
            <w:rFonts w:ascii="Arial" w:hAnsi="Arial" w:cs="Arial"/>
            <w:sz w:val="20"/>
            <w:szCs w:val="20"/>
          </w:rPr>
          <w:t>October 2022 newsletter</w:t>
        </w:r>
      </w:hyperlink>
      <w:r w:rsidRPr="004B5136">
        <w:rPr>
          <w:rFonts w:ascii="Arial" w:hAnsi="Arial" w:cs="Arial"/>
          <w:sz w:val="20"/>
          <w:szCs w:val="20"/>
        </w:rPr>
        <w:t>.</w:t>
      </w:r>
    </w:p>
    <w:p w14:paraId="70B638EB" w14:textId="1345F3D6" w:rsidR="00980EC3" w:rsidRPr="004B5136" w:rsidRDefault="00EF27AF" w:rsidP="006154E0">
      <w:pPr>
        <w:jc w:val="both"/>
        <w:rPr>
          <w:rFonts w:ascii="Arial" w:hAnsi="Arial" w:cs="Arial"/>
          <w:sz w:val="20"/>
          <w:szCs w:val="20"/>
        </w:rPr>
      </w:pPr>
      <w:r w:rsidRPr="004B5136">
        <w:rPr>
          <w:rFonts w:ascii="Arial" w:hAnsi="Arial" w:cs="Arial"/>
          <w:sz w:val="20"/>
          <w:szCs w:val="20"/>
        </w:rPr>
        <w:t>During the consultation period, the HKEX received 90 submissions from various stakeholders</w:t>
      </w:r>
      <w:r w:rsidR="00B95344" w:rsidRPr="004B5136">
        <w:rPr>
          <w:rFonts w:ascii="Arial" w:hAnsi="Arial" w:cs="Arial"/>
          <w:sz w:val="20"/>
          <w:szCs w:val="20"/>
        </w:rPr>
        <w:t xml:space="preserve"> and, a</w:t>
      </w:r>
      <w:r w:rsidR="00DF48F8" w:rsidRPr="004B5136">
        <w:rPr>
          <w:rFonts w:ascii="Arial" w:hAnsi="Arial" w:cs="Arial"/>
          <w:sz w:val="20"/>
          <w:szCs w:val="20"/>
        </w:rPr>
        <w:t xml:space="preserve">fter reviewing the feedback, the HKEX has decided to implement the proposals </w:t>
      </w:r>
      <w:r w:rsidR="00DA5878" w:rsidRPr="004B5136">
        <w:rPr>
          <w:rFonts w:ascii="Arial" w:hAnsi="Arial" w:cs="Arial"/>
          <w:sz w:val="20"/>
          <w:szCs w:val="20"/>
        </w:rPr>
        <w:t xml:space="preserve">as set out in the Consultation Paper, </w:t>
      </w:r>
      <w:r w:rsidR="00DF48F8" w:rsidRPr="004B5136">
        <w:rPr>
          <w:rFonts w:ascii="Arial" w:hAnsi="Arial" w:cs="Arial"/>
          <w:sz w:val="20"/>
          <w:szCs w:val="20"/>
        </w:rPr>
        <w:t>with some a</w:t>
      </w:r>
      <w:r w:rsidR="001A0270" w:rsidRPr="004B5136">
        <w:rPr>
          <w:rFonts w:ascii="Arial" w:hAnsi="Arial" w:cs="Arial"/>
          <w:sz w:val="20"/>
          <w:szCs w:val="20"/>
        </w:rPr>
        <w:t>mendments</w:t>
      </w:r>
      <w:r w:rsidR="00DF48F8" w:rsidRPr="004B5136">
        <w:rPr>
          <w:rFonts w:ascii="Arial" w:hAnsi="Arial" w:cs="Arial"/>
          <w:sz w:val="20"/>
          <w:szCs w:val="20"/>
        </w:rPr>
        <w:t xml:space="preserve"> and clarifications</w:t>
      </w:r>
      <w:r w:rsidR="00783DC3" w:rsidRPr="004B5136">
        <w:rPr>
          <w:rFonts w:ascii="Arial" w:hAnsi="Arial" w:cs="Arial"/>
          <w:sz w:val="20"/>
          <w:szCs w:val="20"/>
        </w:rPr>
        <w:t xml:space="preserve">. </w:t>
      </w:r>
      <w:r w:rsidR="00633DE2" w:rsidRPr="00273819">
        <w:rPr>
          <w:rFonts w:ascii="Arial" w:hAnsi="Arial" w:cs="Arial"/>
          <w:sz w:val="20"/>
          <w:szCs w:val="20"/>
        </w:rPr>
        <w:t xml:space="preserve">Specifically, the HKEX has lowered the market </w:t>
      </w:r>
      <w:proofErr w:type="spellStart"/>
      <w:r w:rsidR="00633DE2" w:rsidRPr="00273819">
        <w:rPr>
          <w:rFonts w:ascii="Arial" w:hAnsi="Arial" w:cs="Arial"/>
          <w:sz w:val="20"/>
          <w:szCs w:val="20"/>
        </w:rPr>
        <w:t>capitalisation</w:t>
      </w:r>
      <w:proofErr w:type="spellEnd"/>
      <w:r w:rsidR="00633DE2" w:rsidRPr="00273819">
        <w:rPr>
          <w:rFonts w:ascii="Arial" w:hAnsi="Arial" w:cs="Arial"/>
          <w:sz w:val="20"/>
          <w:szCs w:val="20"/>
        </w:rPr>
        <w:t xml:space="preserve"> thresholds </w:t>
      </w:r>
      <w:r w:rsidR="00A42C9F" w:rsidRPr="00273819">
        <w:rPr>
          <w:rFonts w:ascii="Arial" w:hAnsi="Arial" w:cs="Arial"/>
          <w:sz w:val="20"/>
          <w:szCs w:val="20"/>
        </w:rPr>
        <w:t xml:space="preserve">for all </w:t>
      </w:r>
      <w:r w:rsidR="00632C27">
        <w:rPr>
          <w:rFonts w:ascii="Arial" w:hAnsi="Arial" w:cs="Arial"/>
          <w:sz w:val="20"/>
          <w:szCs w:val="20"/>
        </w:rPr>
        <w:t xml:space="preserve">applicants </w:t>
      </w:r>
      <w:r w:rsidR="00633DE2" w:rsidRPr="00273819">
        <w:rPr>
          <w:rFonts w:ascii="Arial" w:hAnsi="Arial" w:cs="Arial"/>
          <w:sz w:val="20"/>
          <w:szCs w:val="20"/>
        </w:rPr>
        <w:t xml:space="preserve">and reduced the minimum </w:t>
      </w:r>
      <w:r w:rsidR="0095463F" w:rsidRPr="00273819">
        <w:rPr>
          <w:rFonts w:ascii="Arial" w:hAnsi="Arial" w:cs="Arial"/>
          <w:sz w:val="20"/>
          <w:szCs w:val="20"/>
        </w:rPr>
        <w:t>Research and Development (</w:t>
      </w:r>
      <w:r w:rsidR="0095463F" w:rsidRPr="00C6367C">
        <w:rPr>
          <w:rFonts w:ascii="Arial" w:hAnsi="Arial" w:cs="Arial"/>
          <w:b/>
          <w:sz w:val="20"/>
          <w:szCs w:val="20"/>
        </w:rPr>
        <w:t>R&amp;D</w:t>
      </w:r>
      <w:r w:rsidR="0095463F" w:rsidRPr="00273819">
        <w:rPr>
          <w:rFonts w:ascii="Arial" w:hAnsi="Arial" w:cs="Arial"/>
          <w:sz w:val="20"/>
          <w:szCs w:val="20"/>
        </w:rPr>
        <w:t>) Expenditure Ratio</w:t>
      </w:r>
      <w:r w:rsidR="00633DE2" w:rsidRPr="00273819">
        <w:rPr>
          <w:rFonts w:ascii="Arial" w:hAnsi="Arial" w:cs="Arial"/>
          <w:sz w:val="20"/>
          <w:szCs w:val="20"/>
        </w:rPr>
        <w:t xml:space="preserve"> </w:t>
      </w:r>
      <w:r w:rsidR="0095463F" w:rsidRPr="00273819">
        <w:rPr>
          <w:rFonts w:ascii="Arial" w:hAnsi="Arial" w:cs="Arial"/>
          <w:sz w:val="20"/>
          <w:szCs w:val="20"/>
        </w:rPr>
        <w:t xml:space="preserve">requirement </w:t>
      </w:r>
      <w:r w:rsidR="00633DE2" w:rsidRPr="00273819">
        <w:rPr>
          <w:rFonts w:ascii="Arial" w:hAnsi="Arial" w:cs="Arial"/>
          <w:sz w:val="20"/>
          <w:szCs w:val="20"/>
        </w:rPr>
        <w:t>for specific Pre-Commercial Companies within a certain revenue range.</w:t>
      </w:r>
      <w:r w:rsidR="00876714" w:rsidRPr="004B5136">
        <w:rPr>
          <w:rStyle w:val="a6"/>
          <w:rFonts w:ascii="Arial" w:hAnsi="Arial" w:cs="Arial"/>
          <w:sz w:val="20"/>
          <w:szCs w:val="20"/>
        </w:rPr>
        <w:footnoteReference w:id="1"/>
      </w:r>
      <w:r w:rsidR="00633DE2" w:rsidRPr="00273819">
        <w:rPr>
          <w:rFonts w:ascii="Arial" w:hAnsi="Arial" w:cs="Arial"/>
          <w:sz w:val="20"/>
          <w:szCs w:val="20"/>
        </w:rPr>
        <w:t xml:space="preserve"> </w:t>
      </w:r>
      <w:r w:rsidR="00B95344" w:rsidRPr="004B5136">
        <w:rPr>
          <w:rFonts w:ascii="Arial" w:hAnsi="Arial" w:cs="Arial"/>
          <w:sz w:val="20"/>
          <w:szCs w:val="20"/>
        </w:rPr>
        <w:t>The changes to the</w:t>
      </w:r>
      <w:r w:rsidR="00A6039B">
        <w:rPr>
          <w:rFonts w:ascii="Arial" w:hAnsi="Arial" w:cs="Arial"/>
          <w:sz w:val="20"/>
          <w:szCs w:val="20"/>
        </w:rPr>
        <w:t xml:space="preserve"> HKEX Listing Rules </w:t>
      </w:r>
      <w:r w:rsidR="00841012">
        <w:rPr>
          <w:rFonts w:ascii="Arial" w:hAnsi="Arial" w:cs="Arial"/>
          <w:sz w:val="20"/>
          <w:szCs w:val="20"/>
        </w:rPr>
        <w:t>took</w:t>
      </w:r>
      <w:r w:rsidR="00DF48F8" w:rsidRPr="004B5136">
        <w:rPr>
          <w:rFonts w:ascii="Arial" w:hAnsi="Arial" w:cs="Arial"/>
          <w:sz w:val="20"/>
          <w:szCs w:val="20"/>
        </w:rPr>
        <w:t xml:space="preserve"> effect on 31 March</w:t>
      </w:r>
      <w:r w:rsidRPr="004B5136">
        <w:rPr>
          <w:rFonts w:ascii="Arial" w:hAnsi="Arial" w:cs="Arial"/>
          <w:sz w:val="20"/>
          <w:szCs w:val="20"/>
        </w:rPr>
        <w:t xml:space="preserve"> 2023.  </w:t>
      </w:r>
      <w:r w:rsidR="00A97E4E" w:rsidRPr="004B5136">
        <w:rPr>
          <w:rFonts w:ascii="Arial" w:hAnsi="Arial" w:cs="Arial"/>
          <w:sz w:val="20"/>
          <w:szCs w:val="20"/>
        </w:rPr>
        <w:t xml:space="preserve"> </w:t>
      </w:r>
    </w:p>
    <w:p w14:paraId="19B2793F" w14:textId="77777777" w:rsidR="000C4FF4" w:rsidRPr="004B5136" w:rsidRDefault="000C4FF4" w:rsidP="006154E0">
      <w:pPr>
        <w:jc w:val="both"/>
        <w:rPr>
          <w:rFonts w:ascii="Arial" w:hAnsi="Arial" w:cs="Arial"/>
          <w:b/>
          <w:color w:val="FF0000"/>
          <w:sz w:val="20"/>
          <w:szCs w:val="20"/>
        </w:rPr>
      </w:pPr>
      <w:r w:rsidRPr="004B5136">
        <w:rPr>
          <w:rFonts w:ascii="Arial" w:hAnsi="Arial" w:cs="Arial"/>
          <w:b/>
          <w:color w:val="FF0000"/>
          <w:sz w:val="20"/>
          <w:szCs w:val="20"/>
        </w:rPr>
        <w:t>Defining Specialist Technology Companies</w:t>
      </w:r>
    </w:p>
    <w:p w14:paraId="6EE232B0" w14:textId="436FF45D" w:rsidR="000C4FF4" w:rsidRDefault="00B95344" w:rsidP="006154E0">
      <w:pPr>
        <w:jc w:val="both"/>
        <w:rPr>
          <w:rFonts w:ascii="Arial" w:hAnsi="Arial" w:cs="Arial"/>
          <w:sz w:val="20"/>
          <w:szCs w:val="20"/>
        </w:rPr>
      </w:pPr>
      <w:r w:rsidRPr="004B5136">
        <w:rPr>
          <w:rFonts w:ascii="Arial" w:hAnsi="Arial" w:cs="Arial"/>
          <w:sz w:val="20"/>
          <w:szCs w:val="20"/>
        </w:rPr>
        <w:t>Under the HKEX Listing Rules, a</w:t>
      </w:r>
      <w:r w:rsidR="00980EC3" w:rsidRPr="004B5136">
        <w:rPr>
          <w:rFonts w:ascii="Arial" w:hAnsi="Arial" w:cs="Arial"/>
          <w:sz w:val="20"/>
          <w:szCs w:val="20"/>
        </w:rPr>
        <w:t xml:space="preserve"> </w:t>
      </w:r>
      <w:r w:rsidRPr="004B5136">
        <w:rPr>
          <w:rFonts w:ascii="Arial" w:hAnsi="Arial" w:cs="Arial"/>
          <w:sz w:val="20"/>
          <w:szCs w:val="20"/>
        </w:rPr>
        <w:t>“</w:t>
      </w:r>
      <w:r w:rsidR="00980EC3" w:rsidRPr="004B5136">
        <w:rPr>
          <w:rFonts w:ascii="Arial" w:hAnsi="Arial" w:cs="Arial"/>
          <w:sz w:val="20"/>
          <w:szCs w:val="20"/>
        </w:rPr>
        <w:t>Specialist Technology Company</w:t>
      </w:r>
      <w:r w:rsidRPr="004B5136">
        <w:rPr>
          <w:rFonts w:ascii="Arial" w:hAnsi="Arial" w:cs="Arial"/>
          <w:sz w:val="20"/>
          <w:szCs w:val="20"/>
        </w:rPr>
        <w:t>”</w:t>
      </w:r>
      <w:r w:rsidR="00980EC3" w:rsidRPr="004B5136">
        <w:rPr>
          <w:rFonts w:ascii="Arial" w:hAnsi="Arial" w:cs="Arial"/>
          <w:sz w:val="20"/>
          <w:szCs w:val="20"/>
        </w:rPr>
        <w:t xml:space="preserve"> is </w:t>
      </w:r>
      <w:r w:rsidR="00C6367C">
        <w:rPr>
          <w:rFonts w:ascii="Arial" w:hAnsi="Arial" w:cs="Arial"/>
          <w:sz w:val="20"/>
          <w:szCs w:val="20"/>
        </w:rPr>
        <w:t xml:space="preserve">a company </w:t>
      </w:r>
      <w:r w:rsidR="00980EC3" w:rsidRPr="004B5136">
        <w:rPr>
          <w:rFonts w:ascii="Arial" w:hAnsi="Arial" w:cs="Arial"/>
          <w:sz w:val="20"/>
          <w:szCs w:val="20"/>
        </w:rPr>
        <w:t xml:space="preserve">primarily engaged </w:t>
      </w:r>
      <w:r w:rsidR="00AF729D">
        <w:rPr>
          <w:rFonts w:ascii="Arial" w:hAnsi="Arial" w:cs="Arial"/>
          <w:sz w:val="20"/>
          <w:szCs w:val="20"/>
        </w:rPr>
        <w:t xml:space="preserve">(whether directly or through its subsidiaries) </w:t>
      </w:r>
      <w:r w:rsidR="00980EC3" w:rsidRPr="004B5136">
        <w:rPr>
          <w:rFonts w:ascii="Arial" w:hAnsi="Arial" w:cs="Arial"/>
          <w:sz w:val="20"/>
          <w:szCs w:val="20"/>
        </w:rPr>
        <w:t xml:space="preserve">in the research and development of, and the </w:t>
      </w:r>
      <w:proofErr w:type="spellStart"/>
      <w:r w:rsidR="00A853FE" w:rsidRPr="004B5136">
        <w:rPr>
          <w:rFonts w:ascii="Arial" w:hAnsi="Arial" w:cs="Arial"/>
          <w:sz w:val="20"/>
          <w:szCs w:val="20"/>
        </w:rPr>
        <w:t>commercialisation</w:t>
      </w:r>
      <w:proofErr w:type="spellEnd"/>
      <w:r w:rsidR="00A853FE" w:rsidRPr="004B5136">
        <w:rPr>
          <w:rFonts w:ascii="Arial" w:hAnsi="Arial" w:cs="Arial"/>
          <w:sz w:val="20"/>
          <w:szCs w:val="20"/>
        </w:rPr>
        <w:t xml:space="preserve"> </w:t>
      </w:r>
      <w:r w:rsidR="00980EC3" w:rsidRPr="004B5136">
        <w:rPr>
          <w:rFonts w:ascii="Arial" w:hAnsi="Arial" w:cs="Arial"/>
          <w:sz w:val="20"/>
          <w:szCs w:val="20"/>
        </w:rPr>
        <w:t>and/or sales of, product</w:t>
      </w:r>
      <w:r w:rsidR="00AF729D">
        <w:rPr>
          <w:rFonts w:ascii="Arial" w:hAnsi="Arial" w:cs="Arial"/>
          <w:sz w:val="20"/>
          <w:szCs w:val="20"/>
        </w:rPr>
        <w:t>(</w:t>
      </w:r>
      <w:r w:rsidR="00980EC3" w:rsidRPr="004B5136">
        <w:rPr>
          <w:rFonts w:ascii="Arial" w:hAnsi="Arial" w:cs="Arial"/>
          <w:sz w:val="20"/>
          <w:szCs w:val="20"/>
        </w:rPr>
        <w:t>s</w:t>
      </w:r>
      <w:r w:rsidR="00AF729D">
        <w:rPr>
          <w:rFonts w:ascii="Arial" w:hAnsi="Arial" w:cs="Arial"/>
          <w:sz w:val="20"/>
          <w:szCs w:val="20"/>
        </w:rPr>
        <w:t>)</w:t>
      </w:r>
      <w:r w:rsidR="00980EC3" w:rsidRPr="004B5136">
        <w:rPr>
          <w:rFonts w:ascii="Arial" w:hAnsi="Arial" w:cs="Arial"/>
          <w:sz w:val="20"/>
          <w:szCs w:val="20"/>
        </w:rPr>
        <w:t xml:space="preserve"> and/or service</w:t>
      </w:r>
      <w:r w:rsidR="00AF729D">
        <w:rPr>
          <w:rFonts w:ascii="Arial" w:hAnsi="Arial" w:cs="Arial"/>
          <w:sz w:val="20"/>
          <w:szCs w:val="20"/>
        </w:rPr>
        <w:t>(</w:t>
      </w:r>
      <w:r w:rsidR="00980EC3" w:rsidRPr="004B5136">
        <w:rPr>
          <w:rFonts w:ascii="Arial" w:hAnsi="Arial" w:cs="Arial"/>
          <w:sz w:val="20"/>
          <w:szCs w:val="20"/>
        </w:rPr>
        <w:t>s</w:t>
      </w:r>
      <w:r w:rsidR="00AF729D">
        <w:rPr>
          <w:rFonts w:ascii="Arial" w:hAnsi="Arial" w:cs="Arial"/>
          <w:sz w:val="20"/>
          <w:szCs w:val="20"/>
        </w:rPr>
        <w:t>)</w:t>
      </w:r>
      <w:r w:rsidR="00980EC3" w:rsidRPr="004B5136">
        <w:rPr>
          <w:rFonts w:ascii="Arial" w:hAnsi="Arial" w:cs="Arial"/>
          <w:sz w:val="20"/>
          <w:szCs w:val="20"/>
        </w:rPr>
        <w:t xml:space="preserve"> that apply science and/or technology within an acceptable sector of a </w:t>
      </w:r>
      <w:r w:rsidRPr="004B5136">
        <w:rPr>
          <w:rFonts w:ascii="Arial" w:hAnsi="Arial" w:cs="Arial"/>
          <w:sz w:val="20"/>
          <w:szCs w:val="20"/>
        </w:rPr>
        <w:t>“</w:t>
      </w:r>
      <w:r w:rsidR="00980EC3" w:rsidRPr="004B5136">
        <w:rPr>
          <w:rFonts w:ascii="Arial" w:hAnsi="Arial" w:cs="Arial"/>
          <w:sz w:val="20"/>
          <w:szCs w:val="20"/>
        </w:rPr>
        <w:t>Specialist Technology Industry</w:t>
      </w:r>
      <w:r w:rsidRPr="004B5136">
        <w:rPr>
          <w:rFonts w:ascii="Arial" w:hAnsi="Arial" w:cs="Arial"/>
          <w:sz w:val="20"/>
          <w:szCs w:val="20"/>
        </w:rPr>
        <w:t>”</w:t>
      </w:r>
      <w:r w:rsidR="00980EC3" w:rsidRPr="004B5136">
        <w:rPr>
          <w:rFonts w:ascii="Arial" w:hAnsi="Arial" w:cs="Arial"/>
          <w:sz w:val="20"/>
          <w:szCs w:val="20"/>
        </w:rPr>
        <w:t xml:space="preserve"> (</w:t>
      </w:r>
      <w:r w:rsidR="00A97E4E" w:rsidRPr="004B5136">
        <w:rPr>
          <w:rFonts w:ascii="Arial" w:hAnsi="Arial" w:cs="Arial"/>
          <w:b/>
          <w:sz w:val="20"/>
          <w:szCs w:val="20"/>
        </w:rPr>
        <w:t>Specialist Technology Products</w:t>
      </w:r>
      <w:r w:rsidR="00A97E4E" w:rsidRPr="004B5136">
        <w:rPr>
          <w:rFonts w:ascii="Arial" w:hAnsi="Arial" w:cs="Arial"/>
          <w:sz w:val="20"/>
          <w:szCs w:val="20"/>
        </w:rPr>
        <w:t>)</w:t>
      </w:r>
      <w:r w:rsidR="00980EC3" w:rsidRPr="004B5136">
        <w:rPr>
          <w:rFonts w:ascii="Arial" w:hAnsi="Arial" w:cs="Arial"/>
          <w:sz w:val="20"/>
          <w:szCs w:val="20"/>
        </w:rPr>
        <w:t xml:space="preserve">. </w:t>
      </w:r>
    </w:p>
    <w:p w14:paraId="76BF6ABE" w14:textId="77777777" w:rsidR="006E570A" w:rsidRPr="004B5136" w:rsidRDefault="006E570A" w:rsidP="006154E0">
      <w:pPr>
        <w:jc w:val="both"/>
        <w:rPr>
          <w:rFonts w:ascii="Arial" w:hAnsi="Arial" w:cs="Arial"/>
          <w:b/>
          <w:sz w:val="20"/>
          <w:szCs w:val="20"/>
        </w:rPr>
      </w:pPr>
      <w:r>
        <w:rPr>
          <w:rFonts w:ascii="Arial" w:hAnsi="Arial" w:cs="Arial"/>
          <w:b/>
          <w:sz w:val="20"/>
          <w:szCs w:val="20"/>
        </w:rPr>
        <w:t>Specialist Technology Industries and Acceptable Sectors</w:t>
      </w:r>
    </w:p>
    <w:p w14:paraId="286EEEF0" w14:textId="77777777" w:rsidR="000C4FF4" w:rsidRPr="004B5136" w:rsidRDefault="00AE2484" w:rsidP="006154E0">
      <w:pPr>
        <w:jc w:val="both"/>
        <w:rPr>
          <w:rFonts w:ascii="Arial" w:hAnsi="Arial" w:cs="Arial"/>
          <w:sz w:val="20"/>
          <w:szCs w:val="20"/>
        </w:rPr>
      </w:pPr>
      <w:r w:rsidRPr="00273819">
        <w:rPr>
          <w:rFonts w:ascii="Arial" w:hAnsi="Arial" w:cs="Arial"/>
          <w:sz w:val="20"/>
          <w:szCs w:val="20"/>
        </w:rPr>
        <w:t xml:space="preserve">The Specialist Technology Industries and acceptable sectors are listed in </w:t>
      </w:r>
      <w:r w:rsidR="00AF729D">
        <w:rPr>
          <w:rFonts w:ascii="Arial" w:hAnsi="Arial" w:cs="Arial"/>
          <w:sz w:val="20"/>
          <w:szCs w:val="20"/>
        </w:rPr>
        <w:t>new</w:t>
      </w:r>
      <w:r w:rsidRPr="00273819">
        <w:rPr>
          <w:rFonts w:ascii="Arial" w:hAnsi="Arial" w:cs="Arial"/>
          <w:sz w:val="20"/>
          <w:szCs w:val="20"/>
        </w:rPr>
        <w:t xml:space="preserve"> </w:t>
      </w:r>
      <w:r w:rsidR="00AF729D">
        <w:rPr>
          <w:rFonts w:ascii="Arial" w:hAnsi="Arial" w:cs="Arial"/>
          <w:sz w:val="20"/>
          <w:szCs w:val="20"/>
        </w:rPr>
        <w:t>G</w:t>
      </w:r>
      <w:r w:rsidRPr="00273819">
        <w:rPr>
          <w:rFonts w:ascii="Arial" w:hAnsi="Arial" w:cs="Arial"/>
          <w:sz w:val="20"/>
          <w:szCs w:val="20"/>
        </w:rPr>
        <w:t xml:space="preserve">uidance </w:t>
      </w:r>
      <w:r w:rsidR="00AF729D">
        <w:rPr>
          <w:rFonts w:ascii="Arial" w:hAnsi="Arial" w:cs="Arial"/>
          <w:sz w:val="20"/>
          <w:szCs w:val="20"/>
        </w:rPr>
        <w:t>L</w:t>
      </w:r>
      <w:r w:rsidRPr="00273819">
        <w:rPr>
          <w:rFonts w:ascii="Arial" w:hAnsi="Arial" w:cs="Arial"/>
          <w:sz w:val="20"/>
          <w:szCs w:val="20"/>
        </w:rPr>
        <w:t>etter</w:t>
      </w:r>
      <w:r w:rsidR="00AF729D">
        <w:rPr>
          <w:rFonts w:ascii="Arial" w:hAnsi="Arial" w:cs="Arial"/>
          <w:sz w:val="20"/>
          <w:szCs w:val="20"/>
        </w:rPr>
        <w:t xml:space="preserve"> </w:t>
      </w:r>
      <w:hyperlink r:id="rId11" w:history="1">
        <w:r w:rsidR="00A64C9E" w:rsidRPr="00A64C9E">
          <w:rPr>
            <w:rStyle w:val="a7"/>
            <w:rFonts w:ascii="Arial" w:hAnsi="Arial" w:cs="Arial"/>
            <w:sz w:val="20"/>
            <w:szCs w:val="20"/>
          </w:rPr>
          <w:t>HKEX-GL115-23</w:t>
        </w:r>
      </w:hyperlink>
      <w:r w:rsidR="00A64C9E">
        <w:rPr>
          <w:rFonts w:ascii="Arial" w:hAnsi="Arial" w:cs="Arial"/>
          <w:sz w:val="20"/>
          <w:szCs w:val="20"/>
        </w:rPr>
        <w:t xml:space="preserve"> on </w:t>
      </w:r>
      <w:r w:rsidR="00AF729D">
        <w:rPr>
          <w:rFonts w:ascii="Arial" w:hAnsi="Arial" w:cs="Arial"/>
          <w:sz w:val="20"/>
          <w:szCs w:val="20"/>
        </w:rPr>
        <w:t>Specialist Technology Companies</w:t>
      </w:r>
      <w:r w:rsidRPr="00273819">
        <w:rPr>
          <w:rFonts w:ascii="Arial" w:hAnsi="Arial" w:cs="Arial"/>
          <w:sz w:val="20"/>
          <w:szCs w:val="20"/>
        </w:rPr>
        <w:t xml:space="preserve"> and include (among others):</w:t>
      </w:r>
      <w:r w:rsidR="00CF465B" w:rsidRPr="00273819">
        <w:rPr>
          <w:rStyle w:val="a6"/>
          <w:rFonts w:ascii="Arial" w:hAnsi="Arial" w:cs="Arial"/>
          <w:sz w:val="20"/>
          <w:szCs w:val="20"/>
        </w:rPr>
        <w:footnoteReference w:id="2"/>
      </w:r>
    </w:p>
    <w:p w14:paraId="42D14707" w14:textId="77777777" w:rsidR="000C4FF4" w:rsidRPr="004B5136" w:rsidRDefault="000C4FF4" w:rsidP="004B5136">
      <w:pPr>
        <w:pStyle w:val="a3"/>
        <w:numPr>
          <w:ilvl w:val="0"/>
          <w:numId w:val="19"/>
        </w:numPr>
        <w:jc w:val="both"/>
        <w:rPr>
          <w:rFonts w:ascii="Arial" w:hAnsi="Arial" w:cs="Arial"/>
          <w:sz w:val="20"/>
          <w:szCs w:val="20"/>
        </w:rPr>
      </w:pPr>
      <w:r w:rsidRPr="004B5136">
        <w:rPr>
          <w:rFonts w:ascii="Arial" w:hAnsi="Arial" w:cs="Arial"/>
          <w:sz w:val="20"/>
          <w:szCs w:val="20"/>
        </w:rPr>
        <w:t>Next-generation information technology – (</w:t>
      </w:r>
      <w:proofErr w:type="gramStart"/>
      <w:r w:rsidRPr="004B5136">
        <w:rPr>
          <w:rFonts w:ascii="Arial" w:hAnsi="Arial" w:cs="Arial"/>
          <w:sz w:val="20"/>
          <w:szCs w:val="20"/>
        </w:rPr>
        <w:t>e.g.</w:t>
      </w:r>
      <w:proofErr w:type="gramEnd"/>
      <w:r w:rsidRPr="004B5136">
        <w:rPr>
          <w:rFonts w:ascii="Arial" w:hAnsi="Arial" w:cs="Arial"/>
          <w:sz w:val="20"/>
          <w:szCs w:val="20"/>
        </w:rPr>
        <w:t xml:space="preserve"> cloud-based services and AI);</w:t>
      </w:r>
    </w:p>
    <w:p w14:paraId="719EA936" w14:textId="77777777" w:rsidR="000C4FF4" w:rsidRPr="004B5136" w:rsidRDefault="000C4FF4" w:rsidP="004B5136">
      <w:pPr>
        <w:pStyle w:val="a3"/>
        <w:numPr>
          <w:ilvl w:val="0"/>
          <w:numId w:val="19"/>
        </w:numPr>
        <w:jc w:val="both"/>
        <w:rPr>
          <w:rFonts w:ascii="Arial" w:hAnsi="Arial" w:cs="Arial"/>
          <w:sz w:val="20"/>
          <w:szCs w:val="20"/>
        </w:rPr>
      </w:pPr>
      <w:r w:rsidRPr="004B5136">
        <w:rPr>
          <w:rFonts w:ascii="Arial" w:hAnsi="Arial" w:cs="Arial"/>
          <w:sz w:val="20"/>
          <w:szCs w:val="20"/>
        </w:rPr>
        <w:t>Advanced hardware</w:t>
      </w:r>
      <w:r w:rsidR="00033040" w:rsidRPr="00273819">
        <w:rPr>
          <w:rFonts w:ascii="Arial" w:hAnsi="Arial" w:cs="Arial"/>
          <w:sz w:val="20"/>
          <w:szCs w:val="20"/>
        </w:rPr>
        <w:t xml:space="preserve"> and software</w:t>
      </w:r>
      <w:r w:rsidRPr="004B5136">
        <w:rPr>
          <w:rFonts w:ascii="Arial" w:hAnsi="Arial" w:cs="Arial"/>
          <w:sz w:val="20"/>
          <w:szCs w:val="20"/>
        </w:rPr>
        <w:t xml:space="preserve"> – (</w:t>
      </w:r>
      <w:proofErr w:type="gramStart"/>
      <w:r w:rsidRPr="004B5136">
        <w:rPr>
          <w:rFonts w:ascii="Arial" w:hAnsi="Arial" w:cs="Arial"/>
          <w:sz w:val="20"/>
          <w:szCs w:val="20"/>
        </w:rPr>
        <w:t>e.g.</w:t>
      </w:r>
      <w:proofErr w:type="gramEnd"/>
      <w:r w:rsidRPr="004B5136">
        <w:rPr>
          <w:rFonts w:ascii="Arial" w:hAnsi="Arial" w:cs="Arial"/>
          <w:sz w:val="20"/>
          <w:szCs w:val="20"/>
        </w:rPr>
        <w:t xml:space="preserve"> robotics and automation, semiconductors, advanced communication and transportation technology, aerospace technology, advanced manufacturing, electric and autonomous vehicles, quantum </w:t>
      </w:r>
      <w:r w:rsidR="0040595D" w:rsidRPr="004B5136">
        <w:rPr>
          <w:rFonts w:ascii="Arial" w:hAnsi="Arial" w:cs="Arial"/>
          <w:sz w:val="20"/>
          <w:szCs w:val="20"/>
        </w:rPr>
        <w:t xml:space="preserve">information technology and </w:t>
      </w:r>
      <w:r w:rsidRPr="004B5136">
        <w:rPr>
          <w:rFonts w:ascii="Arial" w:hAnsi="Arial" w:cs="Arial"/>
          <w:sz w:val="20"/>
          <w:szCs w:val="20"/>
        </w:rPr>
        <w:t>computing</w:t>
      </w:r>
      <w:r w:rsidR="00224E80" w:rsidRPr="00273819">
        <w:rPr>
          <w:rFonts w:ascii="Arial" w:hAnsi="Arial" w:cs="Arial"/>
          <w:sz w:val="20"/>
          <w:szCs w:val="20"/>
        </w:rPr>
        <w:t>,</w:t>
      </w:r>
      <w:r w:rsidRPr="004B5136">
        <w:rPr>
          <w:rFonts w:ascii="Arial" w:hAnsi="Arial" w:cs="Arial"/>
          <w:sz w:val="20"/>
          <w:szCs w:val="20"/>
        </w:rPr>
        <w:t xml:space="preserve"> and metaverse technology);</w:t>
      </w:r>
    </w:p>
    <w:p w14:paraId="6ECE7C5E" w14:textId="77777777" w:rsidR="000C4FF4" w:rsidRPr="004B5136" w:rsidRDefault="000C4FF4" w:rsidP="004B5136">
      <w:pPr>
        <w:pStyle w:val="a3"/>
        <w:numPr>
          <w:ilvl w:val="0"/>
          <w:numId w:val="19"/>
        </w:numPr>
        <w:jc w:val="both"/>
        <w:rPr>
          <w:rFonts w:ascii="Arial" w:hAnsi="Arial" w:cs="Arial"/>
          <w:sz w:val="20"/>
          <w:szCs w:val="20"/>
        </w:rPr>
      </w:pPr>
      <w:r w:rsidRPr="004B5136">
        <w:rPr>
          <w:rFonts w:ascii="Arial" w:hAnsi="Arial" w:cs="Arial"/>
          <w:sz w:val="20"/>
          <w:szCs w:val="20"/>
        </w:rPr>
        <w:t>Advanced materials – (</w:t>
      </w:r>
      <w:proofErr w:type="gramStart"/>
      <w:r w:rsidRPr="004B5136">
        <w:rPr>
          <w:rFonts w:ascii="Arial" w:hAnsi="Arial" w:cs="Arial"/>
          <w:sz w:val="20"/>
          <w:szCs w:val="20"/>
        </w:rPr>
        <w:t>e.g.</w:t>
      </w:r>
      <w:proofErr w:type="gramEnd"/>
      <w:r w:rsidRPr="004B5136">
        <w:rPr>
          <w:rFonts w:ascii="Arial" w:hAnsi="Arial" w:cs="Arial"/>
          <w:sz w:val="20"/>
          <w:szCs w:val="20"/>
        </w:rPr>
        <w:t xml:space="preserve"> synthetic biological materials, </w:t>
      </w:r>
      <w:r w:rsidR="00713F0E" w:rsidRPr="004B5136">
        <w:rPr>
          <w:rFonts w:ascii="Arial" w:hAnsi="Arial" w:cs="Arial"/>
          <w:sz w:val="20"/>
          <w:szCs w:val="20"/>
        </w:rPr>
        <w:t>advanced inorganic materials</w:t>
      </w:r>
      <w:r w:rsidRPr="004B5136">
        <w:rPr>
          <w:rFonts w:ascii="Arial" w:hAnsi="Arial" w:cs="Arial"/>
          <w:sz w:val="20"/>
          <w:szCs w:val="20"/>
        </w:rPr>
        <w:t xml:space="preserve"> and nanomaterials);</w:t>
      </w:r>
    </w:p>
    <w:p w14:paraId="028616D1" w14:textId="77777777" w:rsidR="000C4FF4" w:rsidRPr="004B5136" w:rsidRDefault="000C4FF4" w:rsidP="004B5136">
      <w:pPr>
        <w:pStyle w:val="a3"/>
        <w:numPr>
          <w:ilvl w:val="0"/>
          <w:numId w:val="19"/>
        </w:numPr>
        <w:jc w:val="both"/>
        <w:rPr>
          <w:rFonts w:ascii="Arial" w:hAnsi="Arial" w:cs="Arial"/>
          <w:sz w:val="20"/>
          <w:szCs w:val="20"/>
        </w:rPr>
      </w:pPr>
      <w:r w:rsidRPr="004B5136">
        <w:rPr>
          <w:rFonts w:ascii="Arial" w:hAnsi="Arial" w:cs="Arial"/>
          <w:sz w:val="20"/>
          <w:szCs w:val="20"/>
        </w:rPr>
        <w:t>New energy and environmental protection – (</w:t>
      </w:r>
      <w:proofErr w:type="gramStart"/>
      <w:r w:rsidRPr="004B5136">
        <w:rPr>
          <w:rFonts w:ascii="Arial" w:hAnsi="Arial" w:cs="Arial"/>
          <w:sz w:val="20"/>
          <w:szCs w:val="20"/>
        </w:rPr>
        <w:t>e.g.</w:t>
      </w:r>
      <w:proofErr w:type="gramEnd"/>
      <w:r w:rsidRPr="004B5136">
        <w:rPr>
          <w:rFonts w:ascii="Arial" w:hAnsi="Arial" w:cs="Arial"/>
          <w:sz w:val="20"/>
          <w:szCs w:val="20"/>
        </w:rPr>
        <w:t xml:space="preserve"> new energy generation, storage and transmission technology and new green technology); and</w:t>
      </w:r>
    </w:p>
    <w:p w14:paraId="6D25FC5B" w14:textId="77777777" w:rsidR="000C4FF4" w:rsidRDefault="000C4FF4" w:rsidP="004B5136">
      <w:pPr>
        <w:pStyle w:val="a3"/>
        <w:numPr>
          <w:ilvl w:val="0"/>
          <w:numId w:val="19"/>
        </w:numPr>
        <w:jc w:val="both"/>
        <w:rPr>
          <w:rFonts w:ascii="Arial" w:hAnsi="Arial" w:cs="Arial"/>
          <w:sz w:val="20"/>
          <w:szCs w:val="20"/>
        </w:rPr>
      </w:pPr>
      <w:r w:rsidRPr="004B5136">
        <w:rPr>
          <w:rFonts w:ascii="Arial" w:hAnsi="Arial" w:cs="Arial"/>
          <w:sz w:val="20"/>
          <w:szCs w:val="20"/>
        </w:rPr>
        <w:t>New food and agriculture technologies – (</w:t>
      </w:r>
      <w:proofErr w:type="gramStart"/>
      <w:r w:rsidRPr="004B5136">
        <w:rPr>
          <w:rFonts w:ascii="Arial" w:hAnsi="Arial" w:cs="Arial"/>
          <w:sz w:val="20"/>
          <w:szCs w:val="20"/>
        </w:rPr>
        <w:t>e.g.</w:t>
      </w:r>
      <w:proofErr w:type="gramEnd"/>
      <w:r w:rsidRPr="004B5136">
        <w:rPr>
          <w:rFonts w:ascii="Arial" w:hAnsi="Arial" w:cs="Arial"/>
          <w:sz w:val="20"/>
          <w:szCs w:val="20"/>
        </w:rPr>
        <w:t xml:space="preserve"> </w:t>
      </w:r>
      <w:r w:rsidR="00713F0E" w:rsidRPr="004B5136">
        <w:rPr>
          <w:rFonts w:ascii="Arial" w:hAnsi="Arial" w:cs="Arial"/>
          <w:sz w:val="20"/>
          <w:szCs w:val="20"/>
        </w:rPr>
        <w:t>agricultural synthetic biology</w:t>
      </w:r>
      <w:r w:rsidRPr="004B5136">
        <w:rPr>
          <w:rFonts w:ascii="Arial" w:hAnsi="Arial" w:cs="Arial"/>
          <w:sz w:val="20"/>
          <w:szCs w:val="20"/>
        </w:rPr>
        <w:t>, agricultural biotechnology and crop efficiency technology, and farming technology).</w:t>
      </w:r>
    </w:p>
    <w:p w14:paraId="654F243F" w14:textId="77777777" w:rsidR="004B6BBA" w:rsidRDefault="00B71BF0" w:rsidP="006154E0">
      <w:pPr>
        <w:jc w:val="both"/>
        <w:rPr>
          <w:rFonts w:ascii="Arial" w:hAnsi="Arial" w:cs="Arial"/>
          <w:sz w:val="20"/>
          <w:szCs w:val="20"/>
        </w:rPr>
      </w:pPr>
      <w:r>
        <w:rPr>
          <w:rFonts w:ascii="Arial" w:hAnsi="Arial" w:cs="Arial"/>
          <w:sz w:val="20"/>
          <w:szCs w:val="20"/>
        </w:rPr>
        <w:t>The HKEX declined various suggested amendments to the list of Specialist Technology Industries. It rejected suggestions to include “big data analytics” and FinTech as separate Specialist Technology Industries or acceptable sectors on the basis that many of these businesses involve the “downstream” application of Specialist Technology (</w:t>
      </w:r>
      <w:proofErr w:type="gramStart"/>
      <w:r>
        <w:rPr>
          <w:rFonts w:ascii="Arial" w:hAnsi="Arial" w:cs="Arial"/>
          <w:sz w:val="20"/>
          <w:szCs w:val="20"/>
        </w:rPr>
        <w:t>e.g.</w:t>
      </w:r>
      <w:proofErr w:type="gramEnd"/>
      <w:r>
        <w:rPr>
          <w:rFonts w:ascii="Arial" w:hAnsi="Arial" w:cs="Arial"/>
          <w:sz w:val="20"/>
          <w:szCs w:val="20"/>
        </w:rPr>
        <w:t xml:space="preserve"> cloud-based services and artificial intelligence technology) to the Specialist Technology Products (e.g. big data analytics solutions or FinTech software) they sell. On that basis, </w:t>
      </w:r>
      <w:r w:rsidR="004B6BBA">
        <w:rPr>
          <w:rFonts w:ascii="Arial" w:hAnsi="Arial" w:cs="Arial"/>
          <w:sz w:val="20"/>
          <w:szCs w:val="20"/>
        </w:rPr>
        <w:t>“</w:t>
      </w:r>
      <w:r>
        <w:rPr>
          <w:rFonts w:ascii="Arial" w:hAnsi="Arial" w:cs="Arial"/>
          <w:sz w:val="20"/>
          <w:szCs w:val="20"/>
        </w:rPr>
        <w:t xml:space="preserve">big data analytics” and FinTech </w:t>
      </w:r>
      <w:r w:rsidR="004B6BBA">
        <w:rPr>
          <w:rFonts w:ascii="Arial" w:hAnsi="Arial" w:cs="Arial"/>
          <w:sz w:val="20"/>
          <w:szCs w:val="20"/>
        </w:rPr>
        <w:t xml:space="preserve">would already be included within the regime. The HKEX also noted </w:t>
      </w:r>
      <w:r w:rsidR="004B6BBA">
        <w:rPr>
          <w:rFonts w:ascii="Arial" w:hAnsi="Arial" w:cs="Arial"/>
          <w:sz w:val="20"/>
          <w:szCs w:val="20"/>
        </w:rPr>
        <w:lastRenderedPageBreak/>
        <w:t>that companies (including some types of FinTech companies) that facilitate transac</w:t>
      </w:r>
      <w:r w:rsidR="00526699">
        <w:rPr>
          <w:rFonts w:ascii="Arial" w:hAnsi="Arial" w:cs="Arial"/>
          <w:sz w:val="20"/>
          <w:szCs w:val="20"/>
        </w:rPr>
        <w:t xml:space="preserve">tions between </w:t>
      </w:r>
      <w:r w:rsidR="004B6BBA">
        <w:rPr>
          <w:rFonts w:ascii="Arial" w:hAnsi="Arial" w:cs="Arial"/>
          <w:sz w:val="20"/>
          <w:szCs w:val="20"/>
        </w:rPr>
        <w:t>service providers/</w:t>
      </w:r>
      <w:r w:rsidR="004B6BBA" w:rsidRPr="004B6BBA">
        <w:rPr>
          <w:rFonts w:ascii="Arial" w:hAnsi="Arial" w:cs="Arial"/>
          <w:sz w:val="20"/>
          <w:szCs w:val="20"/>
        </w:rPr>
        <w:t xml:space="preserve">product suppliers and customers and that generate revenue on a commission or transaction fee basis </w:t>
      </w:r>
      <w:r w:rsidR="004B6BBA">
        <w:rPr>
          <w:rFonts w:ascii="Arial" w:hAnsi="Arial" w:cs="Arial"/>
          <w:sz w:val="20"/>
          <w:szCs w:val="20"/>
        </w:rPr>
        <w:t xml:space="preserve">are not </w:t>
      </w:r>
      <w:r w:rsidR="004B6BBA" w:rsidRPr="004B6BBA">
        <w:rPr>
          <w:rFonts w:ascii="Arial" w:hAnsi="Arial" w:cs="Arial"/>
          <w:sz w:val="20"/>
          <w:szCs w:val="20"/>
        </w:rPr>
        <w:t xml:space="preserve">included under the Specialist Technology Regime, as such revenue </w:t>
      </w:r>
      <w:r w:rsidR="004B6BBA">
        <w:rPr>
          <w:rFonts w:ascii="Arial" w:hAnsi="Arial" w:cs="Arial"/>
          <w:sz w:val="20"/>
          <w:szCs w:val="20"/>
        </w:rPr>
        <w:t>can</w:t>
      </w:r>
      <w:r w:rsidR="004B6BBA" w:rsidRPr="004B6BBA">
        <w:rPr>
          <w:rFonts w:ascii="Arial" w:hAnsi="Arial" w:cs="Arial"/>
          <w:sz w:val="20"/>
          <w:szCs w:val="20"/>
        </w:rPr>
        <w:t xml:space="preserve">not be regarded as revenue arising from the applicant’s Specialist Technology business segment (see Note to </w:t>
      </w:r>
      <w:r w:rsidR="00481D73">
        <w:rPr>
          <w:rFonts w:ascii="Arial" w:hAnsi="Arial" w:cs="Arial"/>
          <w:sz w:val="20"/>
          <w:szCs w:val="20"/>
        </w:rPr>
        <w:t xml:space="preserve">HKEX Listing </w:t>
      </w:r>
      <w:r w:rsidR="004B6BBA" w:rsidRPr="004B6BBA">
        <w:rPr>
          <w:rFonts w:ascii="Arial" w:hAnsi="Arial" w:cs="Arial"/>
          <w:sz w:val="20"/>
          <w:szCs w:val="20"/>
        </w:rPr>
        <w:t>Rule 18C.03(4)). This is bec</w:t>
      </w:r>
      <w:r w:rsidR="004B6BBA">
        <w:rPr>
          <w:rFonts w:ascii="Arial" w:hAnsi="Arial" w:cs="Arial"/>
          <w:sz w:val="20"/>
          <w:szCs w:val="20"/>
        </w:rPr>
        <w:t>ause the business models of these</w:t>
      </w:r>
      <w:r w:rsidR="004B6BBA" w:rsidRPr="004B6BBA">
        <w:rPr>
          <w:rFonts w:ascii="Arial" w:hAnsi="Arial" w:cs="Arial"/>
          <w:sz w:val="20"/>
          <w:szCs w:val="20"/>
        </w:rPr>
        <w:t xml:space="preserve"> companies are primarily based on their matching services and not the sale of Specialist Technology Products</w:t>
      </w:r>
      <w:r w:rsidR="004B6BBA">
        <w:rPr>
          <w:rFonts w:ascii="Arial" w:hAnsi="Arial" w:cs="Arial"/>
          <w:sz w:val="20"/>
          <w:szCs w:val="20"/>
        </w:rPr>
        <w:t xml:space="preserve">. </w:t>
      </w:r>
    </w:p>
    <w:p w14:paraId="282E791A" w14:textId="77777777" w:rsidR="00B71BF0" w:rsidRDefault="004B6BBA" w:rsidP="006154E0">
      <w:pPr>
        <w:jc w:val="both"/>
        <w:rPr>
          <w:rFonts w:ascii="Arial" w:hAnsi="Arial" w:cs="Arial"/>
          <w:sz w:val="20"/>
          <w:szCs w:val="20"/>
        </w:rPr>
      </w:pPr>
      <w:r>
        <w:rPr>
          <w:rFonts w:ascii="Arial" w:hAnsi="Arial" w:cs="Arial"/>
          <w:sz w:val="20"/>
          <w:szCs w:val="20"/>
        </w:rPr>
        <w:t xml:space="preserve">The HKEX also declined to include </w:t>
      </w:r>
      <w:r w:rsidR="00526699">
        <w:rPr>
          <w:rFonts w:ascii="Arial" w:hAnsi="Arial" w:cs="Arial"/>
          <w:sz w:val="20"/>
          <w:szCs w:val="20"/>
        </w:rPr>
        <w:t>blockchain and digital asset-</w:t>
      </w:r>
      <w:r w:rsidRPr="004B6BBA">
        <w:rPr>
          <w:rFonts w:ascii="Arial" w:hAnsi="Arial" w:cs="Arial"/>
          <w:sz w:val="20"/>
          <w:szCs w:val="20"/>
        </w:rPr>
        <w:t>related businesses in the list of Specialist Technology Industries and ac</w:t>
      </w:r>
      <w:r>
        <w:rPr>
          <w:rFonts w:ascii="Arial" w:hAnsi="Arial" w:cs="Arial"/>
          <w:sz w:val="20"/>
          <w:szCs w:val="20"/>
        </w:rPr>
        <w:t>ceptable sectors due to its research findings</w:t>
      </w:r>
      <w:r w:rsidRPr="004B6BBA">
        <w:rPr>
          <w:rFonts w:ascii="Arial" w:hAnsi="Arial" w:cs="Arial"/>
          <w:sz w:val="20"/>
          <w:szCs w:val="20"/>
        </w:rPr>
        <w:t xml:space="preserve"> that many </w:t>
      </w:r>
      <w:r>
        <w:rPr>
          <w:rFonts w:ascii="Arial" w:hAnsi="Arial" w:cs="Arial"/>
          <w:sz w:val="20"/>
          <w:szCs w:val="20"/>
        </w:rPr>
        <w:t xml:space="preserve">US-listed </w:t>
      </w:r>
      <w:r w:rsidRPr="004B6BBA">
        <w:rPr>
          <w:rFonts w:ascii="Arial" w:hAnsi="Arial" w:cs="Arial"/>
          <w:sz w:val="20"/>
          <w:szCs w:val="20"/>
        </w:rPr>
        <w:t xml:space="preserve">blockchain technology companies </w:t>
      </w:r>
      <w:r>
        <w:rPr>
          <w:rFonts w:ascii="Arial" w:hAnsi="Arial" w:cs="Arial"/>
          <w:sz w:val="20"/>
          <w:szCs w:val="20"/>
        </w:rPr>
        <w:t xml:space="preserve">have </w:t>
      </w:r>
      <w:r w:rsidRPr="004B6BBA">
        <w:rPr>
          <w:rFonts w:ascii="Arial" w:hAnsi="Arial" w:cs="Arial"/>
          <w:sz w:val="20"/>
          <w:szCs w:val="20"/>
        </w:rPr>
        <w:t xml:space="preserve">features that </w:t>
      </w:r>
      <w:r>
        <w:rPr>
          <w:rFonts w:ascii="Arial" w:hAnsi="Arial" w:cs="Arial"/>
          <w:sz w:val="20"/>
          <w:szCs w:val="20"/>
        </w:rPr>
        <w:t>it considers to be inconsistent with the HKEX</w:t>
      </w:r>
      <w:r w:rsidRPr="004B6BBA">
        <w:rPr>
          <w:rFonts w:ascii="Arial" w:hAnsi="Arial" w:cs="Arial"/>
          <w:sz w:val="20"/>
          <w:szCs w:val="20"/>
        </w:rPr>
        <w:t xml:space="preserve"> Specialist Technology </w:t>
      </w:r>
      <w:r>
        <w:rPr>
          <w:rFonts w:ascii="Arial" w:hAnsi="Arial" w:cs="Arial"/>
          <w:sz w:val="20"/>
          <w:szCs w:val="20"/>
        </w:rPr>
        <w:t xml:space="preserve">regime. For example, it </w:t>
      </w:r>
      <w:r w:rsidRPr="004B6BBA">
        <w:rPr>
          <w:rFonts w:ascii="Arial" w:hAnsi="Arial" w:cs="Arial"/>
          <w:sz w:val="20"/>
          <w:szCs w:val="20"/>
        </w:rPr>
        <w:t>noted that a large number of blockchain companies engage in crypto asset mining</w:t>
      </w:r>
      <w:r>
        <w:rPr>
          <w:rFonts w:ascii="Arial" w:hAnsi="Arial" w:cs="Arial"/>
          <w:sz w:val="20"/>
          <w:szCs w:val="20"/>
        </w:rPr>
        <w:t xml:space="preserve"> and that the success of these companies </w:t>
      </w:r>
      <w:r w:rsidRPr="004B6BBA">
        <w:rPr>
          <w:rFonts w:ascii="Arial" w:hAnsi="Arial" w:cs="Arial"/>
          <w:sz w:val="20"/>
          <w:szCs w:val="20"/>
        </w:rPr>
        <w:t xml:space="preserve">is generally attributable to the expansion of mining capacity, rather than the application of new technology. Also, R&amp;D does not appear to contribute significantly to </w:t>
      </w:r>
      <w:r>
        <w:rPr>
          <w:rFonts w:ascii="Arial" w:hAnsi="Arial" w:cs="Arial"/>
          <w:sz w:val="20"/>
          <w:szCs w:val="20"/>
        </w:rPr>
        <w:t xml:space="preserve">these </w:t>
      </w:r>
      <w:r w:rsidRPr="004B6BBA">
        <w:rPr>
          <w:rFonts w:ascii="Arial" w:hAnsi="Arial" w:cs="Arial"/>
          <w:sz w:val="20"/>
          <w:szCs w:val="20"/>
        </w:rPr>
        <w:t>companies’ expected value nor constitute a ma</w:t>
      </w:r>
      <w:r>
        <w:rPr>
          <w:rFonts w:ascii="Arial" w:hAnsi="Arial" w:cs="Arial"/>
          <w:sz w:val="20"/>
          <w:szCs w:val="20"/>
        </w:rPr>
        <w:t>jor activity and expense of these</w:t>
      </w:r>
      <w:r w:rsidRPr="004B6BBA">
        <w:rPr>
          <w:rFonts w:ascii="Arial" w:hAnsi="Arial" w:cs="Arial"/>
          <w:sz w:val="20"/>
          <w:szCs w:val="20"/>
        </w:rPr>
        <w:t xml:space="preserve"> companies. Instead, they tend to have high costs of sales, </w:t>
      </w:r>
      <w:r>
        <w:rPr>
          <w:rFonts w:ascii="Arial" w:hAnsi="Arial" w:cs="Arial"/>
          <w:sz w:val="20"/>
          <w:szCs w:val="20"/>
        </w:rPr>
        <w:t>primarily comprising:</w:t>
      </w:r>
      <w:r w:rsidRPr="004B6BBA">
        <w:rPr>
          <w:rFonts w:ascii="Arial" w:hAnsi="Arial" w:cs="Arial"/>
          <w:sz w:val="20"/>
          <w:szCs w:val="20"/>
        </w:rPr>
        <w:t xml:space="preserve"> (a) energy and infrastructure costs; (b) depreciation and </w:t>
      </w:r>
      <w:proofErr w:type="spellStart"/>
      <w:r w:rsidRPr="004B6BBA">
        <w:rPr>
          <w:rFonts w:ascii="Arial" w:hAnsi="Arial" w:cs="Arial"/>
          <w:sz w:val="20"/>
          <w:szCs w:val="20"/>
        </w:rPr>
        <w:t>amortisation</w:t>
      </w:r>
      <w:proofErr w:type="spellEnd"/>
      <w:r w:rsidRPr="004B6BBA">
        <w:rPr>
          <w:rFonts w:ascii="Arial" w:hAnsi="Arial" w:cs="Arial"/>
          <w:sz w:val="20"/>
          <w:szCs w:val="20"/>
        </w:rPr>
        <w:t xml:space="preserve"> of fixed assets such as mining facilities; and (c) selling and marketing expenses.</w:t>
      </w:r>
    </w:p>
    <w:p w14:paraId="19E8A9B9" w14:textId="77777777" w:rsidR="00481D73" w:rsidRDefault="00481D73" w:rsidP="006154E0">
      <w:pPr>
        <w:jc w:val="both"/>
        <w:rPr>
          <w:rFonts w:ascii="Arial" w:hAnsi="Arial" w:cs="Arial"/>
          <w:sz w:val="20"/>
          <w:szCs w:val="20"/>
        </w:rPr>
      </w:pPr>
      <w:r>
        <w:rPr>
          <w:rFonts w:ascii="Arial" w:hAnsi="Arial" w:cs="Arial"/>
          <w:sz w:val="20"/>
          <w:szCs w:val="20"/>
        </w:rPr>
        <w:t>The G</w:t>
      </w:r>
      <w:r w:rsidRPr="00273819">
        <w:rPr>
          <w:rFonts w:ascii="Arial" w:hAnsi="Arial" w:cs="Arial"/>
          <w:sz w:val="20"/>
          <w:szCs w:val="20"/>
        </w:rPr>
        <w:t xml:space="preserve">uidance </w:t>
      </w:r>
      <w:r>
        <w:rPr>
          <w:rFonts w:ascii="Arial" w:hAnsi="Arial" w:cs="Arial"/>
          <w:sz w:val="20"/>
          <w:szCs w:val="20"/>
        </w:rPr>
        <w:t>L</w:t>
      </w:r>
      <w:r w:rsidRPr="00273819">
        <w:rPr>
          <w:rFonts w:ascii="Arial" w:hAnsi="Arial" w:cs="Arial"/>
          <w:sz w:val="20"/>
          <w:szCs w:val="20"/>
        </w:rPr>
        <w:t>etter</w:t>
      </w:r>
      <w:r>
        <w:rPr>
          <w:rFonts w:ascii="Arial" w:hAnsi="Arial" w:cs="Arial"/>
          <w:sz w:val="20"/>
          <w:szCs w:val="20"/>
        </w:rPr>
        <w:t xml:space="preserve"> for Specialist Technology Companies</w:t>
      </w:r>
      <w:r>
        <w:rPr>
          <w:rStyle w:val="a6"/>
          <w:rFonts w:ascii="Arial" w:hAnsi="Arial" w:cs="Arial"/>
          <w:sz w:val="20"/>
          <w:szCs w:val="20"/>
        </w:rPr>
        <w:footnoteReference w:id="3"/>
      </w:r>
      <w:r>
        <w:rPr>
          <w:rFonts w:ascii="Arial" w:hAnsi="Arial" w:cs="Arial"/>
          <w:sz w:val="20"/>
          <w:szCs w:val="20"/>
        </w:rPr>
        <w:t xml:space="preserve"> provides that a biotech company that does base its listing application on a Regulated Product (as defined in Chapter 18A of the HKEX Listing Rules) can apply to list under Chapter 18C if it meets the definition of a </w:t>
      </w:r>
      <w:r w:rsidRPr="004B5136">
        <w:rPr>
          <w:rFonts w:ascii="Arial" w:hAnsi="Arial" w:cs="Arial"/>
          <w:sz w:val="20"/>
          <w:szCs w:val="20"/>
        </w:rPr>
        <w:t>Specialist Technology Company</w:t>
      </w:r>
      <w:r>
        <w:rPr>
          <w:rFonts w:ascii="Arial" w:hAnsi="Arial" w:cs="Arial"/>
          <w:sz w:val="20"/>
          <w:szCs w:val="20"/>
        </w:rPr>
        <w:t>.</w:t>
      </w:r>
    </w:p>
    <w:p w14:paraId="0DC3D86E" w14:textId="77777777" w:rsidR="00481D73" w:rsidRPr="00481D73" w:rsidRDefault="00481D73" w:rsidP="006154E0">
      <w:pPr>
        <w:jc w:val="both"/>
        <w:rPr>
          <w:rFonts w:ascii="Arial" w:hAnsi="Arial" w:cs="Arial"/>
          <w:b/>
          <w:sz w:val="20"/>
          <w:szCs w:val="20"/>
        </w:rPr>
      </w:pPr>
      <w:r w:rsidRPr="00481D73">
        <w:rPr>
          <w:rFonts w:ascii="Arial" w:hAnsi="Arial" w:cs="Arial"/>
          <w:b/>
          <w:sz w:val="20"/>
          <w:szCs w:val="20"/>
        </w:rPr>
        <w:t xml:space="preserve">Eligibility for Listing of Companies outside the List of Specialist Technology Industries and Acceptable Sectors </w:t>
      </w:r>
    </w:p>
    <w:p w14:paraId="2D52AC9C" w14:textId="77777777" w:rsidR="000A16DF" w:rsidRPr="00273819" w:rsidRDefault="00225FB2" w:rsidP="006154E0">
      <w:pPr>
        <w:jc w:val="both"/>
        <w:rPr>
          <w:rFonts w:ascii="Arial" w:hAnsi="Arial" w:cs="Arial"/>
          <w:sz w:val="20"/>
          <w:szCs w:val="20"/>
        </w:rPr>
      </w:pPr>
      <w:r>
        <w:rPr>
          <w:rFonts w:ascii="Arial" w:hAnsi="Arial" w:cs="Arial"/>
          <w:sz w:val="20"/>
          <w:szCs w:val="20"/>
        </w:rPr>
        <w:t>A</w:t>
      </w:r>
      <w:r w:rsidR="000A16DF" w:rsidRPr="00273819">
        <w:rPr>
          <w:rFonts w:ascii="Arial" w:hAnsi="Arial" w:cs="Arial"/>
          <w:sz w:val="20"/>
          <w:szCs w:val="20"/>
        </w:rPr>
        <w:t>pplicants</w:t>
      </w:r>
      <w:r w:rsidR="00632C27">
        <w:rPr>
          <w:rFonts w:ascii="Arial" w:hAnsi="Arial" w:cs="Arial"/>
          <w:sz w:val="20"/>
          <w:szCs w:val="20"/>
        </w:rPr>
        <w:t xml:space="preserve"> falling</w:t>
      </w:r>
      <w:r w:rsidR="000A16DF" w:rsidRPr="00273819">
        <w:rPr>
          <w:rFonts w:ascii="Arial" w:hAnsi="Arial" w:cs="Arial"/>
          <w:sz w:val="20"/>
          <w:szCs w:val="20"/>
        </w:rPr>
        <w:t xml:space="preserve"> outside the existing list of Specialist Technology Indust</w:t>
      </w:r>
      <w:r>
        <w:rPr>
          <w:rFonts w:ascii="Arial" w:hAnsi="Arial" w:cs="Arial"/>
          <w:sz w:val="20"/>
          <w:szCs w:val="20"/>
        </w:rPr>
        <w:t>ries or acceptable sectors</w:t>
      </w:r>
      <w:r w:rsidR="000A16DF" w:rsidRPr="00273819">
        <w:rPr>
          <w:rFonts w:ascii="Arial" w:hAnsi="Arial" w:cs="Arial"/>
          <w:sz w:val="20"/>
          <w:szCs w:val="20"/>
        </w:rPr>
        <w:t xml:space="preserve"> may still be eligible for listing if they meet the following criteria:</w:t>
      </w:r>
      <w:r w:rsidR="007D55AC" w:rsidRPr="00273819">
        <w:rPr>
          <w:rStyle w:val="a6"/>
          <w:rFonts w:ascii="Arial" w:hAnsi="Arial" w:cs="Arial"/>
          <w:sz w:val="20"/>
          <w:szCs w:val="20"/>
        </w:rPr>
        <w:footnoteReference w:id="4"/>
      </w:r>
    </w:p>
    <w:p w14:paraId="57B49C6F" w14:textId="77777777" w:rsidR="000A16DF" w:rsidRPr="00273819" w:rsidRDefault="00225FB2" w:rsidP="006154E0">
      <w:pPr>
        <w:pStyle w:val="a3"/>
        <w:numPr>
          <w:ilvl w:val="0"/>
          <w:numId w:val="23"/>
        </w:numPr>
        <w:jc w:val="both"/>
        <w:rPr>
          <w:rFonts w:ascii="Arial" w:hAnsi="Arial" w:cs="Arial"/>
          <w:sz w:val="20"/>
          <w:szCs w:val="20"/>
        </w:rPr>
      </w:pPr>
      <w:r>
        <w:rPr>
          <w:rFonts w:ascii="Arial" w:hAnsi="Arial" w:cs="Arial"/>
          <w:sz w:val="20"/>
          <w:szCs w:val="20"/>
        </w:rPr>
        <w:t xml:space="preserve">they </w:t>
      </w:r>
      <w:r w:rsidR="00DA3EDB">
        <w:rPr>
          <w:rFonts w:ascii="Arial" w:hAnsi="Arial" w:cs="Arial"/>
          <w:sz w:val="20"/>
          <w:szCs w:val="20"/>
        </w:rPr>
        <w:t xml:space="preserve">have </w:t>
      </w:r>
      <w:r w:rsidR="000A16DF" w:rsidRPr="00273819">
        <w:rPr>
          <w:rFonts w:ascii="Arial" w:hAnsi="Arial" w:cs="Arial"/>
          <w:sz w:val="20"/>
          <w:szCs w:val="20"/>
        </w:rPr>
        <w:t>high growth potential;</w:t>
      </w:r>
    </w:p>
    <w:p w14:paraId="46E23E44" w14:textId="77777777" w:rsidR="000A16DF" w:rsidRPr="00273819" w:rsidRDefault="008716AC" w:rsidP="006154E0">
      <w:pPr>
        <w:pStyle w:val="a3"/>
        <w:numPr>
          <w:ilvl w:val="0"/>
          <w:numId w:val="23"/>
        </w:numPr>
        <w:jc w:val="both"/>
        <w:rPr>
          <w:rFonts w:ascii="Arial" w:hAnsi="Arial" w:cs="Arial"/>
          <w:sz w:val="20"/>
          <w:szCs w:val="20"/>
        </w:rPr>
      </w:pPr>
      <w:r>
        <w:rPr>
          <w:rFonts w:ascii="Arial" w:hAnsi="Arial" w:cs="Arial"/>
          <w:sz w:val="20"/>
          <w:szCs w:val="20"/>
        </w:rPr>
        <w:t>their</w:t>
      </w:r>
      <w:r w:rsidR="000A16DF" w:rsidRPr="00273819">
        <w:rPr>
          <w:rFonts w:ascii="Arial" w:hAnsi="Arial" w:cs="Arial"/>
          <w:sz w:val="20"/>
          <w:szCs w:val="20"/>
        </w:rPr>
        <w:t xml:space="preserve"> success can be attributed to the application</w:t>
      </w:r>
      <w:r w:rsidR="00225FB2">
        <w:rPr>
          <w:rFonts w:ascii="Arial" w:hAnsi="Arial" w:cs="Arial"/>
          <w:sz w:val="20"/>
          <w:szCs w:val="20"/>
        </w:rPr>
        <w:t>, to their core business,</w:t>
      </w:r>
      <w:r w:rsidR="000A16DF" w:rsidRPr="00273819">
        <w:rPr>
          <w:rFonts w:ascii="Arial" w:hAnsi="Arial" w:cs="Arial"/>
          <w:sz w:val="20"/>
          <w:szCs w:val="20"/>
        </w:rPr>
        <w:t xml:space="preserve"> of new technologies and/or </w:t>
      </w:r>
      <w:r w:rsidR="00225FB2">
        <w:rPr>
          <w:rFonts w:ascii="Arial" w:hAnsi="Arial" w:cs="Arial"/>
          <w:sz w:val="20"/>
          <w:szCs w:val="20"/>
        </w:rPr>
        <w:t xml:space="preserve">the application of the </w:t>
      </w:r>
      <w:r w:rsidR="000A16DF" w:rsidRPr="00273819">
        <w:rPr>
          <w:rFonts w:ascii="Arial" w:hAnsi="Arial" w:cs="Arial"/>
          <w:sz w:val="20"/>
          <w:szCs w:val="20"/>
        </w:rPr>
        <w:t xml:space="preserve">relevant science and/or technology within </w:t>
      </w:r>
      <w:r w:rsidR="00DA3EDB">
        <w:rPr>
          <w:rFonts w:ascii="Arial" w:hAnsi="Arial" w:cs="Arial"/>
          <w:sz w:val="20"/>
          <w:szCs w:val="20"/>
        </w:rPr>
        <w:t>their</w:t>
      </w:r>
      <w:r w:rsidR="000A16DF" w:rsidRPr="00273819">
        <w:rPr>
          <w:rFonts w:ascii="Arial" w:hAnsi="Arial" w:cs="Arial"/>
          <w:sz w:val="20"/>
          <w:szCs w:val="20"/>
        </w:rPr>
        <w:t xml:space="preserve"> sector to a new business model that differentiates them from traditional market participants;</w:t>
      </w:r>
      <w:r w:rsidR="00632C27">
        <w:rPr>
          <w:rFonts w:ascii="Arial" w:hAnsi="Arial" w:cs="Arial"/>
          <w:sz w:val="20"/>
          <w:szCs w:val="20"/>
        </w:rPr>
        <w:t xml:space="preserve"> and</w:t>
      </w:r>
    </w:p>
    <w:p w14:paraId="707B9EC7" w14:textId="77777777" w:rsidR="000A16DF" w:rsidRPr="00273819" w:rsidRDefault="003C2728" w:rsidP="00DA3EDB">
      <w:pPr>
        <w:pStyle w:val="a3"/>
        <w:numPr>
          <w:ilvl w:val="0"/>
          <w:numId w:val="23"/>
        </w:numPr>
        <w:jc w:val="both"/>
        <w:rPr>
          <w:rFonts w:ascii="Arial" w:hAnsi="Arial" w:cs="Arial"/>
          <w:sz w:val="20"/>
          <w:szCs w:val="20"/>
        </w:rPr>
      </w:pPr>
      <w:r>
        <w:rPr>
          <w:rFonts w:ascii="Arial" w:hAnsi="Arial" w:cs="Arial"/>
          <w:sz w:val="20"/>
          <w:szCs w:val="20"/>
        </w:rPr>
        <w:t>R&amp;D</w:t>
      </w:r>
      <w:r w:rsidR="00DA3EDB" w:rsidRPr="00DA3EDB">
        <w:rPr>
          <w:rFonts w:ascii="Arial" w:hAnsi="Arial" w:cs="Arial"/>
          <w:sz w:val="20"/>
          <w:szCs w:val="20"/>
        </w:rPr>
        <w:t xml:space="preserve"> significantly contributes to the</w:t>
      </w:r>
      <w:r w:rsidR="0014696E">
        <w:rPr>
          <w:rFonts w:ascii="Arial" w:hAnsi="Arial" w:cs="Arial"/>
          <w:sz w:val="20"/>
          <w:szCs w:val="20"/>
        </w:rPr>
        <w:t>ir</w:t>
      </w:r>
      <w:r w:rsidR="00DA3EDB" w:rsidRPr="00DA3EDB">
        <w:rPr>
          <w:rFonts w:ascii="Arial" w:hAnsi="Arial" w:cs="Arial"/>
          <w:sz w:val="20"/>
          <w:szCs w:val="20"/>
        </w:rPr>
        <w:t xml:space="preserve"> expected value and constitutes a major activity and expense </w:t>
      </w:r>
      <w:r w:rsidR="00BE789F" w:rsidRPr="00BE789F">
        <w:rPr>
          <w:rFonts w:ascii="Arial" w:hAnsi="Arial" w:cs="Arial"/>
          <w:sz w:val="20"/>
          <w:szCs w:val="20"/>
        </w:rPr>
        <w:t>(</w:t>
      </w:r>
      <w:r w:rsidR="00BE789F" w:rsidRPr="00225FB2">
        <w:rPr>
          <w:rFonts w:ascii="Arial" w:hAnsi="Arial" w:cs="Arial"/>
          <w:b/>
          <w:sz w:val="20"/>
          <w:szCs w:val="20"/>
        </w:rPr>
        <w:t>Principles for Listing Specialist Technology Companies</w:t>
      </w:r>
      <w:r w:rsidR="00BE789F" w:rsidRPr="00BE789F">
        <w:rPr>
          <w:rFonts w:ascii="Arial" w:hAnsi="Arial" w:cs="Arial"/>
          <w:sz w:val="20"/>
          <w:szCs w:val="20"/>
        </w:rPr>
        <w:t>)</w:t>
      </w:r>
      <w:r w:rsidR="000A16DF" w:rsidRPr="00273819">
        <w:rPr>
          <w:rFonts w:ascii="Arial" w:hAnsi="Arial" w:cs="Arial"/>
          <w:sz w:val="20"/>
          <w:szCs w:val="20"/>
        </w:rPr>
        <w:t>.</w:t>
      </w:r>
    </w:p>
    <w:p w14:paraId="51871D98" w14:textId="77777777" w:rsidR="00BE789F" w:rsidRDefault="000A16DF" w:rsidP="006154E0">
      <w:pPr>
        <w:jc w:val="both"/>
        <w:rPr>
          <w:rFonts w:ascii="Arial" w:hAnsi="Arial" w:cs="Arial"/>
          <w:sz w:val="20"/>
          <w:szCs w:val="20"/>
        </w:rPr>
      </w:pPr>
      <w:r w:rsidRPr="00273819">
        <w:rPr>
          <w:rFonts w:ascii="Arial" w:hAnsi="Arial" w:cs="Arial"/>
          <w:sz w:val="20"/>
          <w:szCs w:val="20"/>
        </w:rPr>
        <w:t>Before submitting a listing application under Chapter 18C</w:t>
      </w:r>
      <w:r w:rsidR="00CF465B" w:rsidRPr="00273819">
        <w:rPr>
          <w:rFonts w:ascii="Arial" w:hAnsi="Arial" w:cs="Arial"/>
          <w:sz w:val="20"/>
          <w:szCs w:val="20"/>
        </w:rPr>
        <w:t xml:space="preserve"> of </w:t>
      </w:r>
      <w:r w:rsidR="00CF465B" w:rsidRPr="004B5136">
        <w:rPr>
          <w:rFonts w:ascii="Arial" w:hAnsi="Arial" w:cs="Arial"/>
          <w:sz w:val="20"/>
          <w:szCs w:val="20"/>
        </w:rPr>
        <w:t>the HKEX Listing Rules</w:t>
      </w:r>
      <w:r w:rsidRPr="00273819">
        <w:rPr>
          <w:rFonts w:ascii="Arial" w:hAnsi="Arial" w:cs="Arial"/>
          <w:sz w:val="20"/>
          <w:szCs w:val="20"/>
        </w:rPr>
        <w:t xml:space="preserve">, </w:t>
      </w:r>
      <w:r w:rsidR="00225FB2">
        <w:rPr>
          <w:rFonts w:ascii="Arial" w:hAnsi="Arial" w:cs="Arial"/>
          <w:sz w:val="20"/>
          <w:szCs w:val="20"/>
        </w:rPr>
        <w:t xml:space="preserve">these </w:t>
      </w:r>
      <w:r w:rsidRPr="00273819">
        <w:rPr>
          <w:rFonts w:ascii="Arial" w:hAnsi="Arial" w:cs="Arial"/>
          <w:sz w:val="20"/>
          <w:szCs w:val="20"/>
        </w:rPr>
        <w:t xml:space="preserve">applicants must submit a pre-IPO enquiry to </w:t>
      </w:r>
      <w:r w:rsidR="00CF465B" w:rsidRPr="00273819">
        <w:rPr>
          <w:rFonts w:ascii="Arial" w:hAnsi="Arial" w:cs="Arial"/>
          <w:sz w:val="20"/>
          <w:szCs w:val="20"/>
        </w:rPr>
        <w:t>the HKEX</w:t>
      </w:r>
      <w:r w:rsidRPr="00273819">
        <w:rPr>
          <w:rFonts w:ascii="Arial" w:hAnsi="Arial" w:cs="Arial"/>
          <w:sz w:val="20"/>
          <w:szCs w:val="20"/>
        </w:rPr>
        <w:t xml:space="preserve"> for confidential guidance on </w:t>
      </w:r>
      <w:r w:rsidR="00CF465B" w:rsidRPr="00273819">
        <w:rPr>
          <w:rFonts w:ascii="Arial" w:hAnsi="Arial" w:cs="Arial"/>
          <w:sz w:val="20"/>
          <w:szCs w:val="20"/>
        </w:rPr>
        <w:t>whether they can be considered “</w:t>
      </w:r>
      <w:r w:rsidRPr="00273819">
        <w:rPr>
          <w:rFonts w:ascii="Arial" w:hAnsi="Arial" w:cs="Arial"/>
          <w:sz w:val="20"/>
          <w:szCs w:val="20"/>
        </w:rPr>
        <w:t>within an acceptable sector of a Specialist Technology Indust</w:t>
      </w:r>
      <w:r w:rsidR="00225FB2">
        <w:rPr>
          <w:rFonts w:ascii="Arial" w:hAnsi="Arial" w:cs="Arial"/>
          <w:sz w:val="20"/>
          <w:szCs w:val="20"/>
        </w:rPr>
        <w:t>ry</w:t>
      </w:r>
      <w:r w:rsidR="00CF465B" w:rsidRPr="00273819">
        <w:rPr>
          <w:rFonts w:ascii="Arial" w:hAnsi="Arial" w:cs="Arial"/>
          <w:sz w:val="20"/>
          <w:szCs w:val="20"/>
        </w:rPr>
        <w:t>”</w:t>
      </w:r>
      <w:r w:rsidR="00225FB2">
        <w:rPr>
          <w:rFonts w:ascii="Arial" w:hAnsi="Arial" w:cs="Arial"/>
          <w:sz w:val="20"/>
          <w:szCs w:val="20"/>
        </w:rPr>
        <w:t>.</w:t>
      </w:r>
      <w:r w:rsidR="006E570A">
        <w:rPr>
          <w:rFonts w:ascii="Arial" w:hAnsi="Arial" w:cs="Arial"/>
          <w:sz w:val="20"/>
          <w:szCs w:val="20"/>
        </w:rPr>
        <w:t xml:space="preserve"> The HKEX will consult with the SFC to obtain its approval before determining that the applicant is within an acceptable sector of a </w:t>
      </w:r>
      <w:r w:rsidR="006E570A" w:rsidRPr="00273819">
        <w:rPr>
          <w:rFonts w:ascii="Arial" w:hAnsi="Arial" w:cs="Arial"/>
          <w:sz w:val="20"/>
          <w:szCs w:val="20"/>
        </w:rPr>
        <w:t>Specialist Technology Indust</w:t>
      </w:r>
      <w:r w:rsidR="006E570A">
        <w:rPr>
          <w:rFonts w:ascii="Arial" w:hAnsi="Arial" w:cs="Arial"/>
          <w:sz w:val="20"/>
          <w:szCs w:val="20"/>
        </w:rPr>
        <w:t xml:space="preserve">ry and thus eligible to apply for listing under </w:t>
      </w:r>
      <w:r w:rsidR="006E570A" w:rsidRPr="00273819">
        <w:rPr>
          <w:rFonts w:ascii="Arial" w:hAnsi="Arial" w:cs="Arial"/>
          <w:sz w:val="20"/>
          <w:szCs w:val="20"/>
        </w:rPr>
        <w:t>Chapter 18C</w:t>
      </w:r>
      <w:r w:rsidR="006E570A">
        <w:rPr>
          <w:rFonts w:ascii="Arial" w:hAnsi="Arial" w:cs="Arial"/>
          <w:sz w:val="20"/>
          <w:szCs w:val="20"/>
        </w:rPr>
        <w:t>.</w:t>
      </w:r>
      <w:r w:rsidR="006E570A" w:rsidRPr="00273819">
        <w:rPr>
          <w:rFonts w:ascii="Arial" w:hAnsi="Arial" w:cs="Arial"/>
          <w:sz w:val="20"/>
          <w:szCs w:val="20"/>
        </w:rPr>
        <w:t xml:space="preserve"> </w:t>
      </w:r>
      <w:r w:rsidRPr="00273819">
        <w:rPr>
          <w:rFonts w:ascii="Arial" w:hAnsi="Arial" w:cs="Arial"/>
          <w:sz w:val="20"/>
          <w:szCs w:val="20"/>
        </w:rPr>
        <w:t xml:space="preserve"> </w:t>
      </w:r>
    </w:p>
    <w:p w14:paraId="4787403D" w14:textId="77777777" w:rsidR="00B71BF0" w:rsidRPr="00273819" w:rsidRDefault="007F6B18" w:rsidP="006154E0">
      <w:pPr>
        <w:jc w:val="both"/>
        <w:rPr>
          <w:rFonts w:ascii="Arial" w:hAnsi="Arial" w:cs="Arial"/>
          <w:sz w:val="20"/>
          <w:szCs w:val="20"/>
        </w:rPr>
      </w:pPr>
      <w:r>
        <w:rPr>
          <w:rFonts w:ascii="Arial" w:hAnsi="Arial" w:cs="Arial"/>
          <w:sz w:val="20"/>
          <w:szCs w:val="20"/>
        </w:rPr>
        <w:t xml:space="preserve">The HKEX will update the list of </w:t>
      </w:r>
      <w:r w:rsidRPr="00273819">
        <w:rPr>
          <w:rFonts w:ascii="Arial" w:hAnsi="Arial" w:cs="Arial"/>
          <w:sz w:val="20"/>
          <w:szCs w:val="20"/>
        </w:rPr>
        <w:t>Specialist Technology Indust</w:t>
      </w:r>
      <w:r>
        <w:rPr>
          <w:rFonts w:ascii="Arial" w:hAnsi="Arial" w:cs="Arial"/>
          <w:sz w:val="20"/>
          <w:szCs w:val="20"/>
        </w:rPr>
        <w:t>ries and acceptable sectors from time to time with the approval of the SFC. For example, it may update the list after, or at the same time as, an applicant from a new industry or sector is listed, but reserves the right not to do so if the applicant has characteristics that are not typical of other companies in the industry or sector.</w:t>
      </w:r>
    </w:p>
    <w:p w14:paraId="2AB82CD8" w14:textId="77777777" w:rsidR="006E570A" w:rsidRPr="006E570A" w:rsidRDefault="006E570A" w:rsidP="006154E0">
      <w:pPr>
        <w:jc w:val="both"/>
        <w:rPr>
          <w:rFonts w:ascii="Arial" w:hAnsi="Arial" w:cs="Arial"/>
          <w:b/>
          <w:sz w:val="20"/>
          <w:szCs w:val="20"/>
        </w:rPr>
      </w:pPr>
      <w:r>
        <w:rPr>
          <w:rFonts w:ascii="Arial" w:hAnsi="Arial" w:cs="Arial"/>
          <w:b/>
          <w:sz w:val="20"/>
          <w:szCs w:val="20"/>
        </w:rPr>
        <w:t>HKEX Listing Applicants with Multiple Business Segments</w:t>
      </w:r>
    </w:p>
    <w:p w14:paraId="769D1549" w14:textId="77777777" w:rsidR="006B4BAB" w:rsidRPr="00273819" w:rsidRDefault="006E570A" w:rsidP="006154E0">
      <w:pPr>
        <w:jc w:val="both"/>
        <w:rPr>
          <w:rFonts w:ascii="Arial" w:hAnsi="Arial" w:cs="Arial"/>
          <w:sz w:val="20"/>
          <w:szCs w:val="20"/>
        </w:rPr>
      </w:pPr>
      <w:r>
        <w:rPr>
          <w:rFonts w:ascii="Arial" w:hAnsi="Arial" w:cs="Arial"/>
          <w:sz w:val="20"/>
          <w:szCs w:val="20"/>
        </w:rPr>
        <w:lastRenderedPageBreak/>
        <w:t>Listing</w:t>
      </w:r>
      <w:r w:rsidR="00D92186">
        <w:rPr>
          <w:rFonts w:ascii="Arial" w:hAnsi="Arial" w:cs="Arial"/>
          <w:sz w:val="20"/>
          <w:szCs w:val="20"/>
        </w:rPr>
        <w:t xml:space="preserve"> </w:t>
      </w:r>
      <w:r w:rsidR="00DE24A8" w:rsidRPr="00DE24A8">
        <w:rPr>
          <w:rFonts w:ascii="Arial" w:hAnsi="Arial" w:cs="Arial"/>
          <w:sz w:val="20"/>
          <w:szCs w:val="20"/>
        </w:rPr>
        <w:t>applicant</w:t>
      </w:r>
      <w:r w:rsidR="00D92186">
        <w:rPr>
          <w:rFonts w:ascii="Arial" w:hAnsi="Arial" w:cs="Arial"/>
          <w:sz w:val="20"/>
          <w:szCs w:val="20"/>
        </w:rPr>
        <w:t>s</w:t>
      </w:r>
      <w:r w:rsidR="00DE24A8" w:rsidRPr="00DE24A8">
        <w:rPr>
          <w:rFonts w:ascii="Arial" w:hAnsi="Arial" w:cs="Arial"/>
          <w:sz w:val="20"/>
          <w:szCs w:val="20"/>
        </w:rPr>
        <w:t xml:space="preserve"> with </w:t>
      </w:r>
      <w:r w:rsidR="00DE24A8">
        <w:rPr>
          <w:rFonts w:ascii="Arial" w:hAnsi="Arial" w:cs="Arial"/>
          <w:sz w:val="20"/>
          <w:szCs w:val="20"/>
        </w:rPr>
        <w:t>multiple</w:t>
      </w:r>
      <w:r w:rsidR="00DE24A8" w:rsidRPr="00DE24A8">
        <w:rPr>
          <w:rFonts w:ascii="Arial" w:hAnsi="Arial" w:cs="Arial"/>
          <w:sz w:val="20"/>
          <w:szCs w:val="20"/>
        </w:rPr>
        <w:t xml:space="preserve"> business segments, </w:t>
      </w:r>
      <w:r w:rsidR="00DE24A8">
        <w:rPr>
          <w:rFonts w:ascii="Arial" w:hAnsi="Arial" w:cs="Arial"/>
          <w:sz w:val="20"/>
          <w:szCs w:val="20"/>
        </w:rPr>
        <w:t>some of which</w:t>
      </w:r>
      <w:r w:rsidR="00DE24A8" w:rsidRPr="00DE24A8">
        <w:rPr>
          <w:rFonts w:ascii="Arial" w:hAnsi="Arial" w:cs="Arial"/>
          <w:sz w:val="20"/>
          <w:szCs w:val="20"/>
        </w:rPr>
        <w:t xml:space="preserve"> do not </w:t>
      </w:r>
      <w:r w:rsidR="009D0905">
        <w:rPr>
          <w:rFonts w:ascii="Arial" w:hAnsi="Arial" w:cs="Arial"/>
          <w:sz w:val="20"/>
          <w:szCs w:val="20"/>
        </w:rPr>
        <w:t>fall within</w:t>
      </w:r>
      <w:r w:rsidR="00DE24A8">
        <w:rPr>
          <w:rFonts w:ascii="Arial" w:hAnsi="Arial" w:cs="Arial"/>
          <w:sz w:val="20"/>
          <w:szCs w:val="20"/>
        </w:rPr>
        <w:t xml:space="preserve"> one or more </w:t>
      </w:r>
      <w:r w:rsidR="005E09BB">
        <w:rPr>
          <w:rFonts w:ascii="Arial" w:hAnsi="Arial" w:cs="Arial"/>
          <w:sz w:val="20"/>
          <w:szCs w:val="20"/>
        </w:rPr>
        <w:t xml:space="preserve">acceptable sectors of the </w:t>
      </w:r>
      <w:r w:rsidR="00DE24A8" w:rsidRPr="00DE24A8">
        <w:rPr>
          <w:rFonts w:ascii="Arial" w:hAnsi="Arial" w:cs="Arial"/>
          <w:sz w:val="20"/>
          <w:szCs w:val="20"/>
        </w:rPr>
        <w:t>Specialist Technology Industries</w:t>
      </w:r>
      <w:r w:rsidR="00D92186">
        <w:rPr>
          <w:rFonts w:ascii="Arial" w:hAnsi="Arial" w:cs="Arial"/>
          <w:sz w:val="20"/>
          <w:szCs w:val="20"/>
        </w:rPr>
        <w:t xml:space="preserve">, </w:t>
      </w:r>
      <w:r w:rsidR="00CF465B" w:rsidRPr="00273819">
        <w:rPr>
          <w:rFonts w:ascii="Arial" w:hAnsi="Arial" w:cs="Arial"/>
          <w:sz w:val="20"/>
          <w:szCs w:val="20"/>
        </w:rPr>
        <w:t xml:space="preserve">must </w:t>
      </w:r>
      <w:r w:rsidR="00172ACA">
        <w:rPr>
          <w:rFonts w:ascii="Arial" w:hAnsi="Arial" w:cs="Arial"/>
          <w:sz w:val="20"/>
          <w:szCs w:val="20"/>
        </w:rPr>
        <w:t xml:space="preserve">demonstrate that they </w:t>
      </w:r>
      <w:r w:rsidR="00CF465B" w:rsidRPr="00273819">
        <w:rPr>
          <w:rFonts w:ascii="Arial" w:hAnsi="Arial" w:cs="Arial"/>
          <w:sz w:val="20"/>
          <w:szCs w:val="20"/>
        </w:rPr>
        <w:t xml:space="preserve">primarily engage in </w:t>
      </w:r>
      <w:r w:rsidR="006B4BAB" w:rsidRPr="00273819">
        <w:rPr>
          <w:rFonts w:ascii="Arial" w:hAnsi="Arial" w:cs="Arial"/>
          <w:sz w:val="20"/>
          <w:szCs w:val="20"/>
        </w:rPr>
        <w:t>specialist technology business</w:t>
      </w:r>
      <w:r w:rsidR="00CF465B" w:rsidRPr="00273819">
        <w:rPr>
          <w:rFonts w:ascii="Arial" w:hAnsi="Arial" w:cs="Arial"/>
          <w:sz w:val="20"/>
          <w:szCs w:val="20"/>
        </w:rPr>
        <w:t>.</w:t>
      </w:r>
      <w:r w:rsidR="006B4BAB" w:rsidRPr="00273819">
        <w:rPr>
          <w:rFonts w:ascii="Arial" w:hAnsi="Arial" w:cs="Arial"/>
          <w:sz w:val="20"/>
          <w:szCs w:val="20"/>
        </w:rPr>
        <w:t xml:space="preserve"> </w:t>
      </w:r>
      <w:r w:rsidR="005E09BB">
        <w:rPr>
          <w:rFonts w:ascii="Arial" w:hAnsi="Arial" w:cs="Arial"/>
          <w:sz w:val="20"/>
          <w:szCs w:val="20"/>
        </w:rPr>
        <w:t>In determining the issue of primary engagement, t</w:t>
      </w:r>
      <w:r w:rsidR="00AB2C00">
        <w:rPr>
          <w:rFonts w:ascii="Arial" w:hAnsi="Arial" w:cs="Arial"/>
          <w:sz w:val="20"/>
          <w:szCs w:val="20"/>
        </w:rPr>
        <w:t xml:space="preserve">he </w:t>
      </w:r>
      <w:r w:rsidR="006B4BAB" w:rsidRPr="00273819">
        <w:rPr>
          <w:rFonts w:ascii="Arial" w:hAnsi="Arial" w:cs="Arial"/>
          <w:sz w:val="20"/>
          <w:szCs w:val="20"/>
        </w:rPr>
        <w:t>HKEX will consider:</w:t>
      </w:r>
      <w:r w:rsidR="00F71E4A">
        <w:rPr>
          <w:rStyle w:val="a6"/>
          <w:rFonts w:ascii="Arial" w:hAnsi="Arial" w:cs="Arial"/>
          <w:sz w:val="20"/>
          <w:szCs w:val="20"/>
        </w:rPr>
        <w:footnoteReference w:id="5"/>
      </w:r>
    </w:p>
    <w:p w14:paraId="034681EA" w14:textId="77777777" w:rsidR="006B4BAB" w:rsidRDefault="0076440A" w:rsidP="006154E0">
      <w:pPr>
        <w:pStyle w:val="a3"/>
        <w:numPr>
          <w:ilvl w:val="0"/>
          <w:numId w:val="24"/>
        </w:numPr>
        <w:jc w:val="both"/>
        <w:rPr>
          <w:rFonts w:ascii="Arial" w:hAnsi="Arial" w:cs="Arial"/>
          <w:sz w:val="20"/>
          <w:szCs w:val="20"/>
        </w:rPr>
      </w:pPr>
      <w:r>
        <w:rPr>
          <w:rFonts w:ascii="Arial" w:hAnsi="Arial" w:cs="Arial"/>
          <w:sz w:val="20"/>
          <w:szCs w:val="20"/>
        </w:rPr>
        <w:t xml:space="preserve">whether </w:t>
      </w:r>
      <w:r w:rsidR="005E09BB">
        <w:rPr>
          <w:rFonts w:ascii="Arial" w:hAnsi="Arial" w:cs="Arial"/>
          <w:sz w:val="20"/>
          <w:szCs w:val="20"/>
        </w:rPr>
        <w:t>a substantial</w:t>
      </w:r>
      <w:r w:rsidR="006B4BAB" w:rsidRPr="00273819">
        <w:rPr>
          <w:rFonts w:ascii="Arial" w:hAnsi="Arial" w:cs="Arial"/>
          <w:sz w:val="20"/>
          <w:szCs w:val="20"/>
        </w:rPr>
        <w:t xml:space="preserve"> portion of the company’s total operating expenditure and staff resources </w:t>
      </w:r>
      <w:r w:rsidR="005E09BB">
        <w:rPr>
          <w:rFonts w:ascii="Arial" w:hAnsi="Arial" w:cs="Arial"/>
          <w:sz w:val="20"/>
          <w:szCs w:val="20"/>
        </w:rPr>
        <w:t xml:space="preserve">(including their time and the number of staff with relevant expertise and experience) was </w:t>
      </w:r>
      <w:r w:rsidR="006B4BAB" w:rsidRPr="00273819">
        <w:rPr>
          <w:rFonts w:ascii="Arial" w:hAnsi="Arial" w:cs="Arial"/>
          <w:sz w:val="20"/>
          <w:szCs w:val="20"/>
        </w:rPr>
        <w:t>allocated to</w:t>
      </w:r>
      <w:r w:rsidR="005E09BB">
        <w:rPr>
          <w:rFonts w:ascii="Arial" w:hAnsi="Arial" w:cs="Arial"/>
          <w:sz w:val="20"/>
          <w:szCs w:val="20"/>
        </w:rPr>
        <w:t xml:space="preserve"> the</w:t>
      </w:r>
      <w:r w:rsidR="006B4BAB" w:rsidRPr="00273819">
        <w:rPr>
          <w:rFonts w:ascii="Arial" w:hAnsi="Arial" w:cs="Arial"/>
          <w:sz w:val="20"/>
          <w:szCs w:val="20"/>
        </w:rPr>
        <w:t xml:space="preserve"> research and development</w:t>
      </w:r>
      <w:r w:rsidR="00472735">
        <w:rPr>
          <w:rFonts w:ascii="Arial" w:hAnsi="Arial" w:cs="Arial"/>
          <w:sz w:val="20"/>
          <w:szCs w:val="20"/>
        </w:rPr>
        <w:t xml:space="preserve"> of</w:t>
      </w:r>
      <w:r w:rsidR="006B4BAB" w:rsidRPr="00273819">
        <w:rPr>
          <w:rFonts w:ascii="Arial" w:hAnsi="Arial" w:cs="Arial"/>
          <w:sz w:val="20"/>
          <w:szCs w:val="20"/>
        </w:rPr>
        <w:t xml:space="preserve">, </w:t>
      </w:r>
      <w:r w:rsidR="005E09BB">
        <w:rPr>
          <w:rFonts w:ascii="Arial" w:hAnsi="Arial" w:cs="Arial"/>
          <w:sz w:val="20"/>
          <w:szCs w:val="20"/>
        </w:rPr>
        <w:t xml:space="preserve">and the </w:t>
      </w:r>
      <w:proofErr w:type="spellStart"/>
      <w:r w:rsidR="005E09BB">
        <w:rPr>
          <w:rFonts w:ascii="Arial" w:hAnsi="Arial" w:cs="Arial"/>
          <w:sz w:val="20"/>
          <w:szCs w:val="20"/>
        </w:rPr>
        <w:t>commercialis</w:t>
      </w:r>
      <w:r w:rsidR="00472735">
        <w:rPr>
          <w:rFonts w:ascii="Arial" w:hAnsi="Arial" w:cs="Arial"/>
          <w:sz w:val="20"/>
          <w:szCs w:val="20"/>
        </w:rPr>
        <w:t>ation</w:t>
      </w:r>
      <w:proofErr w:type="spellEnd"/>
      <w:r w:rsidR="00472735">
        <w:rPr>
          <w:rFonts w:ascii="Arial" w:hAnsi="Arial" w:cs="Arial"/>
          <w:sz w:val="20"/>
          <w:szCs w:val="20"/>
        </w:rPr>
        <w:t xml:space="preserve"> </w:t>
      </w:r>
      <w:r w:rsidR="006B4BAB" w:rsidRPr="00273819">
        <w:rPr>
          <w:rFonts w:ascii="Arial" w:hAnsi="Arial" w:cs="Arial"/>
          <w:sz w:val="20"/>
          <w:szCs w:val="20"/>
        </w:rPr>
        <w:t>and/or sales of</w:t>
      </w:r>
      <w:r w:rsidR="00472735">
        <w:rPr>
          <w:rFonts w:ascii="Arial" w:hAnsi="Arial" w:cs="Arial"/>
          <w:sz w:val="20"/>
          <w:szCs w:val="20"/>
        </w:rPr>
        <w:t>,</w:t>
      </w:r>
      <w:r w:rsidR="006B4BAB" w:rsidRPr="00273819">
        <w:rPr>
          <w:rFonts w:ascii="Arial" w:hAnsi="Arial" w:cs="Arial"/>
          <w:sz w:val="20"/>
          <w:szCs w:val="20"/>
        </w:rPr>
        <w:t xml:space="preserve"> Spe</w:t>
      </w:r>
      <w:r w:rsidR="005E09BB">
        <w:rPr>
          <w:rFonts w:ascii="Arial" w:hAnsi="Arial" w:cs="Arial"/>
          <w:sz w:val="20"/>
          <w:szCs w:val="20"/>
        </w:rPr>
        <w:t xml:space="preserve">cialist Technology Products </w:t>
      </w:r>
      <w:r w:rsidR="006B4BAB" w:rsidRPr="00273819">
        <w:rPr>
          <w:rFonts w:ascii="Arial" w:hAnsi="Arial" w:cs="Arial"/>
          <w:sz w:val="20"/>
          <w:szCs w:val="20"/>
        </w:rPr>
        <w:t xml:space="preserve">in the </w:t>
      </w:r>
      <w:r>
        <w:rPr>
          <w:rFonts w:ascii="Arial" w:hAnsi="Arial" w:cs="Arial"/>
          <w:sz w:val="20"/>
          <w:szCs w:val="20"/>
        </w:rPr>
        <w:t xml:space="preserve">company’s </w:t>
      </w:r>
      <w:r w:rsidR="006B4BAB" w:rsidRPr="00273819">
        <w:rPr>
          <w:rFonts w:ascii="Arial" w:hAnsi="Arial" w:cs="Arial"/>
          <w:sz w:val="20"/>
          <w:szCs w:val="20"/>
        </w:rPr>
        <w:t>Specialist Technology business segment</w:t>
      </w:r>
      <w:r>
        <w:rPr>
          <w:rFonts w:ascii="Arial" w:hAnsi="Arial" w:cs="Arial"/>
          <w:sz w:val="20"/>
          <w:szCs w:val="20"/>
        </w:rPr>
        <w:t>(s)</w:t>
      </w:r>
      <w:r w:rsidR="006B4BAB" w:rsidRPr="00273819">
        <w:rPr>
          <w:rFonts w:ascii="Arial" w:hAnsi="Arial" w:cs="Arial"/>
          <w:sz w:val="20"/>
          <w:szCs w:val="20"/>
        </w:rPr>
        <w:t xml:space="preserve"> for at least three financial years prior to listing;</w:t>
      </w:r>
    </w:p>
    <w:p w14:paraId="42F2B32B" w14:textId="77777777" w:rsidR="0076440A" w:rsidRDefault="0076440A" w:rsidP="0076440A">
      <w:pPr>
        <w:pStyle w:val="a3"/>
        <w:jc w:val="both"/>
        <w:rPr>
          <w:rFonts w:ascii="Arial" w:hAnsi="Arial" w:cs="Arial"/>
          <w:sz w:val="20"/>
          <w:szCs w:val="20"/>
        </w:rPr>
      </w:pPr>
    </w:p>
    <w:p w14:paraId="73D04533" w14:textId="77777777" w:rsidR="0076440A" w:rsidRDefault="0076440A" w:rsidP="006154E0">
      <w:pPr>
        <w:pStyle w:val="a3"/>
        <w:numPr>
          <w:ilvl w:val="0"/>
          <w:numId w:val="24"/>
        </w:numPr>
        <w:jc w:val="both"/>
        <w:rPr>
          <w:rFonts w:ascii="Arial" w:hAnsi="Arial" w:cs="Arial"/>
          <w:sz w:val="20"/>
          <w:szCs w:val="20"/>
        </w:rPr>
      </w:pPr>
      <w:r>
        <w:rPr>
          <w:rFonts w:ascii="Arial" w:hAnsi="Arial" w:cs="Arial"/>
          <w:sz w:val="20"/>
          <w:szCs w:val="20"/>
        </w:rPr>
        <w:t xml:space="preserve">whether </w:t>
      </w:r>
      <w:r w:rsidR="00472735">
        <w:rPr>
          <w:rFonts w:ascii="Arial" w:hAnsi="Arial" w:cs="Arial"/>
          <w:sz w:val="20"/>
          <w:szCs w:val="20"/>
        </w:rPr>
        <w:t>investor</w:t>
      </w:r>
      <w:r w:rsidR="006B4BAB" w:rsidRPr="00273819">
        <w:rPr>
          <w:rFonts w:ascii="Arial" w:hAnsi="Arial" w:cs="Arial"/>
          <w:sz w:val="20"/>
          <w:szCs w:val="20"/>
        </w:rPr>
        <w:t>s</w:t>
      </w:r>
      <w:r>
        <w:rPr>
          <w:rFonts w:ascii="Arial" w:hAnsi="Arial" w:cs="Arial"/>
          <w:sz w:val="20"/>
          <w:szCs w:val="20"/>
        </w:rPr>
        <w:t>’</w:t>
      </w:r>
      <w:r w:rsidR="006B4BAB" w:rsidRPr="00273819">
        <w:rPr>
          <w:rFonts w:ascii="Arial" w:hAnsi="Arial" w:cs="Arial"/>
          <w:sz w:val="20"/>
          <w:szCs w:val="20"/>
        </w:rPr>
        <w:t xml:space="preserve"> valuation and expected market </w:t>
      </w:r>
      <w:proofErr w:type="spellStart"/>
      <w:r w:rsidR="006B4BAB" w:rsidRPr="00273819">
        <w:rPr>
          <w:rFonts w:ascii="Arial" w:hAnsi="Arial" w:cs="Arial"/>
          <w:sz w:val="20"/>
          <w:szCs w:val="20"/>
        </w:rPr>
        <w:t>capitalisation</w:t>
      </w:r>
      <w:proofErr w:type="spellEnd"/>
      <w:r w:rsidR="006B4BAB" w:rsidRPr="00273819">
        <w:rPr>
          <w:rFonts w:ascii="Arial" w:hAnsi="Arial" w:cs="Arial"/>
          <w:sz w:val="20"/>
          <w:szCs w:val="20"/>
        </w:rPr>
        <w:t xml:space="preserve"> </w:t>
      </w:r>
      <w:r w:rsidR="00472735">
        <w:rPr>
          <w:rFonts w:ascii="Arial" w:hAnsi="Arial" w:cs="Arial"/>
          <w:sz w:val="20"/>
          <w:szCs w:val="20"/>
        </w:rPr>
        <w:t xml:space="preserve">of the company </w:t>
      </w:r>
      <w:r w:rsidR="006B4BAB" w:rsidRPr="00273819">
        <w:rPr>
          <w:rFonts w:ascii="Arial" w:hAnsi="Arial" w:cs="Arial"/>
          <w:sz w:val="20"/>
          <w:szCs w:val="20"/>
        </w:rPr>
        <w:t xml:space="preserve">is based </w:t>
      </w:r>
      <w:r>
        <w:rPr>
          <w:rFonts w:ascii="Arial" w:hAnsi="Arial" w:cs="Arial"/>
          <w:sz w:val="20"/>
          <w:szCs w:val="20"/>
        </w:rPr>
        <w:t xml:space="preserve">primarily </w:t>
      </w:r>
      <w:r w:rsidR="006B4BAB" w:rsidRPr="00273819">
        <w:rPr>
          <w:rFonts w:ascii="Arial" w:hAnsi="Arial" w:cs="Arial"/>
          <w:sz w:val="20"/>
          <w:szCs w:val="20"/>
        </w:rPr>
        <w:t>on its Specialist Technology business segment</w:t>
      </w:r>
      <w:r>
        <w:rPr>
          <w:rFonts w:ascii="Arial" w:hAnsi="Arial" w:cs="Arial"/>
          <w:sz w:val="20"/>
          <w:szCs w:val="20"/>
        </w:rPr>
        <w:t>(s)</w:t>
      </w:r>
      <w:r w:rsidR="00472735">
        <w:rPr>
          <w:rFonts w:ascii="Arial" w:hAnsi="Arial" w:cs="Arial"/>
          <w:sz w:val="20"/>
          <w:szCs w:val="20"/>
        </w:rPr>
        <w:t>;</w:t>
      </w:r>
    </w:p>
    <w:p w14:paraId="17FB986F" w14:textId="77777777" w:rsidR="006B4BAB" w:rsidRPr="00273819" w:rsidRDefault="00472735" w:rsidP="0076440A">
      <w:pPr>
        <w:pStyle w:val="a3"/>
        <w:jc w:val="both"/>
        <w:rPr>
          <w:rFonts w:ascii="Arial" w:hAnsi="Arial" w:cs="Arial"/>
          <w:sz w:val="20"/>
          <w:szCs w:val="20"/>
        </w:rPr>
      </w:pPr>
      <w:r>
        <w:rPr>
          <w:rFonts w:ascii="Arial" w:hAnsi="Arial" w:cs="Arial"/>
          <w:sz w:val="20"/>
          <w:szCs w:val="20"/>
        </w:rPr>
        <w:t xml:space="preserve"> </w:t>
      </w:r>
    </w:p>
    <w:p w14:paraId="2A13AB2C" w14:textId="77777777" w:rsidR="00AF37F3" w:rsidRDefault="00AF37F3" w:rsidP="006154E0">
      <w:pPr>
        <w:pStyle w:val="a3"/>
        <w:numPr>
          <w:ilvl w:val="0"/>
          <w:numId w:val="24"/>
        </w:numPr>
        <w:jc w:val="both"/>
        <w:rPr>
          <w:rFonts w:ascii="Arial" w:hAnsi="Arial" w:cs="Arial"/>
          <w:sz w:val="20"/>
          <w:szCs w:val="20"/>
        </w:rPr>
      </w:pPr>
      <w:r w:rsidRPr="00273819">
        <w:rPr>
          <w:rFonts w:ascii="Arial" w:hAnsi="Arial" w:cs="Arial"/>
          <w:sz w:val="20"/>
          <w:szCs w:val="20"/>
        </w:rPr>
        <w:t>whether the proposed use of proceeds for listing would primarily be applied to its Specialist Technology business segment</w:t>
      </w:r>
      <w:r w:rsidR="0076440A">
        <w:rPr>
          <w:rFonts w:ascii="Arial" w:hAnsi="Arial" w:cs="Arial"/>
          <w:sz w:val="20"/>
          <w:szCs w:val="20"/>
        </w:rPr>
        <w:t>(s)</w:t>
      </w:r>
      <w:r w:rsidRPr="00273819">
        <w:rPr>
          <w:rFonts w:ascii="Arial" w:hAnsi="Arial" w:cs="Arial"/>
          <w:sz w:val="20"/>
          <w:szCs w:val="20"/>
        </w:rPr>
        <w:t xml:space="preserve">; </w:t>
      </w:r>
    </w:p>
    <w:p w14:paraId="4F9A9073" w14:textId="77777777" w:rsidR="0076440A" w:rsidRPr="00273819" w:rsidRDefault="0076440A" w:rsidP="0076440A">
      <w:pPr>
        <w:pStyle w:val="a3"/>
        <w:jc w:val="both"/>
        <w:rPr>
          <w:rFonts w:ascii="Arial" w:hAnsi="Arial" w:cs="Arial"/>
          <w:sz w:val="20"/>
          <w:szCs w:val="20"/>
        </w:rPr>
      </w:pPr>
    </w:p>
    <w:p w14:paraId="77A460F8" w14:textId="77777777" w:rsidR="0076440A" w:rsidRDefault="00AF37F3" w:rsidP="006154E0">
      <w:pPr>
        <w:pStyle w:val="a3"/>
        <w:numPr>
          <w:ilvl w:val="0"/>
          <w:numId w:val="24"/>
        </w:numPr>
        <w:jc w:val="both"/>
        <w:rPr>
          <w:rFonts w:ascii="Arial" w:hAnsi="Arial" w:cs="Arial"/>
          <w:sz w:val="20"/>
          <w:szCs w:val="20"/>
        </w:rPr>
      </w:pPr>
      <w:r w:rsidRPr="00273819">
        <w:rPr>
          <w:rFonts w:ascii="Arial" w:hAnsi="Arial" w:cs="Arial"/>
          <w:sz w:val="20"/>
          <w:szCs w:val="20"/>
        </w:rPr>
        <w:t>the proportion of the revenue (if any) generated by the Specialis</w:t>
      </w:r>
      <w:r w:rsidR="00472735">
        <w:rPr>
          <w:rFonts w:ascii="Arial" w:hAnsi="Arial" w:cs="Arial"/>
          <w:sz w:val="20"/>
          <w:szCs w:val="20"/>
        </w:rPr>
        <w:t>t Technology business segment</w:t>
      </w:r>
      <w:r w:rsidRPr="00273819">
        <w:rPr>
          <w:rFonts w:ascii="Arial" w:hAnsi="Arial" w:cs="Arial"/>
          <w:sz w:val="20"/>
          <w:szCs w:val="20"/>
        </w:rPr>
        <w:t xml:space="preserve"> relative to the total revenue of the company</w:t>
      </w:r>
      <w:r w:rsidR="0076440A">
        <w:rPr>
          <w:rFonts w:ascii="Arial" w:hAnsi="Arial" w:cs="Arial"/>
          <w:sz w:val="20"/>
          <w:szCs w:val="20"/>
        </w:rPr>
        <w:t>; and</w:t>
      </w:r>
    </w:p>
    <w:p w14:paraId="7828F816" w14:textId="77777777" w:rsidR="0076440A" w:rsidRPr="0076440A" w:rsidRDefault="0076440A" w:rsidP="0076440A">
      <w:pPr>
        <w:pStyle w:val="a3"/>
        <w:rPr>
          <w:rFonts w:ascii="Arial" w:hAnsi="Arial" w:cs="Arial"/>
          <w:sz w:val="20"/>
          <w:szCs w:val="20"/>
        </w:rPr>
      </w:pPr>
    </w:p>
    <w:p w14:paraId="56C256B5" w14:textId="77777777" w:rsidR="00CF465B" w:rsidRDefault="0076440A" w:rsidP="006154E0">
      <w:pPr>
        <w:pStyle w:val="a3"/>
        <w:numPr>
          <w:ilvl w:val="0"/>
          <w:numId w:val="24"/>
        </w:numPr>
        <w:jc w:val="both"/>
        <w:rPr>
          <w:rFonts w:ascii="Arial" w:hAnsi="Arial" w:cs="Arial"/>
          <w:sz w:val="20"/>
          <w:szCs w:val="20"/>
        </w:rPr>
      </w:pPr>
      <w:r>
        <w:rPr>
          <w:rFonts w:ascii="Arial" w:hAnsi="Arial" w:cs="Arial"/>
          <w:sz w:val="20"/>
          <w:szCs w:val="20"/>
        </w:rPr>
        <w:t>the reason for retaining the non-Specialist Technology business(s) and the history of the company’s operations.</w:t>
      </w:r>
      <w:r w:rsidR="00472735">
        <w:rPr>
          <w:rFonts w:ascii="Arial" w:hAnsi="Arial" w:cs="Arial"/>
          <w:sz w:val="20"/>
          <w:szCs w:val="20"/>
        </w:rPr>
        <w:t xml:space="preserve"> </w:t>
      </w:r>
    </w:p>
    <w:p w14:paraId="78853B30" w14:textId="77777777" w:rsidR="00BE789F" w:rsidRPr="00BE789F" w:rsidRDefault="00BE789F" w:rsidP="00BE789F">
      <w:pPr>
        <w:jc w:val="both"/>
        <w:rPr>
          <w:rFonts w:ascii="Arial" w:hAnsi="Arial" w:cs="Arial"/>
          <w:b/>
          <w:sz w:val="20"/>
          <w:szCs w:val="20"/>
        </w:rPr>
      </w:pPr>
      <w:r w:rsidRPr="00BE789F">
        <w:rPr>
          <w:rFonts w:ascii="Arial" w:hAnsi="Arial" w:cs="Arial"/>
          <w:b/>
          <w:sz w:val="20"/>
          <w:szCs w:val="20"/>
        </w:rPr>
        <w:t>HKEX’s Right to Reject a Listing Application</w:t>
      </w:r>
    </w:p>
    <w:p w14:paraId="2A3C8DAF" w14:textId="77777777" w:rsidR="00BE789F" w:rsidRPr="004B5136" w:rsidRDefault="00BE789F" w:rsidP="00BE789F">
      <w:pPr>
        <w:jc w:val="both"/>
        <w:rPr>
          <w:rFonts w:ascii="Arial" w:hAnsi="Arial" w:cs="Arial"/>
          <w:sz w:val="20"/>
          <w:szCs w:val="20"/>
        </w:rPr>
      </w:pPr>
      <w:r w:rsidRPr="00273819">
        <w:rPr>
          <w:rFonts w:ascii="Arial" w:hAnsi="Arial" w:cs="Arial"/>
          <w:sz w:val="20"/>
          <w:szCs w:val="20"/>
        </w:rPr>
        <w:t>The HKEX will have the discretion to reject a listing application from an applicant within an acceptable sector which has features that are inconsistent with the Principles for Listing Specialist Technology Companies.</w:t>
      </w:r>
    </w:p>
    <w:p w14:paraId="7014461E" w14:textId="77777777" w:rsidR="000C4FF4" w:rsidRPr="004B5136" w:rsidRDefault="000C4FF4" w:rsidP="006154E0">
      <w:pPr>
        <w:jc w:val="both"/>
        <w:rPr>
          <w:rFonts w:ascii="Arial" w:hAnsi="Arial" w:cs="Arial"/>
          <w:b/>
          <w:color w:val="FF0000"/>
          <w:sz w:val="20"/>
          <w:szCs w:val="20"/>
        </w:rPr>
      </w:pPr>
      <w:r w:rsidRPr="004B5136">
        <w:rPr>
          <w:rFonts w:ascii="Arial" w:hAnsi="Arial" w:cs="Arial"/>
          <w:b/>
          <w:color w:val="FF0000"/>
          <w:sz w:val="20"/>
          <w:szCs w:val="20"/>
        </w:rPr>
        <w:t>Commercial and Pre-Commercial Specialist Technology Companies</w:t>
      </w:r>
    </w:p>
    <w:p w14:paraId="54D2DB0B" w14:textId="20994E4C" w:rsidR="00980EC3" w:rsidRPr="004B5136" w:rsidRDefault="0076440A" w:rsidP="006154E0">
      <w:pPr>
        <w:jc w:val="both"/>
        <w:rPr>
          <w:rFonts w:ascii="Arial" w:hAnsi="Arial" w:cs="Arial"/>
          <w:sz w:val="20"/>
          <w:szCs w:val="20"/>
        </w:rPr>
      </w:pPr>
      <w:r>
        <w:rPr>
          <w:rFonts w:ascii="Arial" w:hAnsi="Arial" w:cs="Arial"/>
          <w:sz w:val="20"/>
          <w:szCs w:val="20"/>
        </w:rPr>
        <w:t>T</w:t>
      </w:r>
      <w:r w:rsidR="00980EC3" w:rsidRPr="004B5136">
        <w:rPr>
          <w:rFonts w:ascii="Arial" w:hAnsi="Arial" w:cs="Arial"/>
          <w:sz w:val="20"/>
          <w:szCs w:val="20"/>
        </w:rPr>
        <w:t xml:space="preserve">here are two </w:t>
      </w:r>
      <w:r w:rsidR="00B95344" w:rsidRPr="004B5136">
        <w:rPr>
          <w:rFonts w:ascii="Arial" w:hAnsi="Arial" w:cs="Arial"/>
          <w:sz w:val="20"/>
          <w:szCs w:val="20"/>
        </w:rPr>
        <w:t xml:space="preserve">categories </w:t>
      </w:r>
      <w:r w:rsidR="00980EC3" w:rsidRPr="004B5136">
        <w:rPr>
          <w:rFonts w:ascii="Arial" w:hAnsi="Arial" w:cs="Arial"/>
          <w:sz w:val="20"/>
          <w:szCs w:val="20"/>
        </w:rPr>
        <w:t>of Specialist Technology Companies</w:t>
      </w:r>
      <w:r w:rsidR="00CC5B96" w:rsidRPr="004B5136">
        <w:rPr>
          <w:rFonts w:ascii="Arial" w:hAnsi="Arial" w:cs="Arial"/>
          <w:sz w:val="20"/>
          <w:szCs w:val="20"/>
        </w:rPr>
        <w:t xml:space="preserve"> with more stringent requirements for Pre-Commercial Companies given their risk profile</w:t>
      </w:r>
      <w:r w:rsidR="00980EC3" w:rsidRPr="004B5136">
        <w:rPr>
          <w:rFonts w:ascii="Arial" w:hAnsi="Arial" w:cs="Arial"/>
          <w:sz w:val="20"/>
          <w:szCs w:val="20"/>
        </w:rPr>
        <w:t>:</w:t>
      </w:r>
    </w:p>
    <w:p w14:paraId="382A0F6F" w14:textId="090C6417" w:rsidR="00980EC3" w:rsidRDefault="00980EC3" w:rsidP="006154E0">
      <w:pPr>
        <w:pStyle w:val="a3"/>
        <w:numPr>
          <w:ilvl w:val="0"/>
          <w:numId w:val="6"/>
        </w:numPr>
        <w:jc w:val="both"/>
        <w:rPr>
          <w:rFonts w:ascii="Arial" w:hAnsi="Arial" w:cs="Arial"/>
          <w:sz w:val="20"/>
          <w:szCs w:val="20"/>
        </w:rPr>
      </w:pPr>
      <w:r w:rsidRPr="004B5136">
        <w:rPr>
          <w:rFonts w:ascii="Arial" w:hAnsi="Arial" w:cs="Arial"/>
          <w:sz w:val="20"/>
          <w:szCs w:val="20"/>
        </w:rPr>
        <w:t>Commercial Compan</w:t>
      </w:r>
      <w:r w:rsidR="0076440A">
        <w:rPr>
          <w:rFonts w:ascii="Arial" w:hAnsi="Arial" w:cs="Arial"/>
          <w:sz w:val="20"/>
          <w:szCs w:val="20"/>
        </w:rPr>
        <w:t>ies</w:t>
      </w:r>
      <w:r w:rsidRPr="004B5136">
        <w:rPr>
          <w:rFonts w:ascii="Arial" w:hAnsi="Arial" w:cs="Arial"/>
          <w:sz w:val="20"/>
          <w:szCs w:val="20"/>
        </w:rPr>
        <w:t xml:space="preserve">: Specialist </w:t>
      </w:r>
      <w:r w:rsidR="0076440A">
        <w:rPr>
          <w:rFonts w:ascii="Arial" w:hAnsi="Arial" w:cs="Arial"/>
          <w:sz w:val="20"/>
          <w:szCs w:val="20"/>
        </w:rPr>
        <w:t>Technology Companies that have</w:t>
      </w:r>
      <w:r w:rsidRPr="004B5136">
        <w:rPr>
          <w:rFonts w:ascii="Arial" w:hAnsi="Arial" w:cs="Arial"/>
          <w:sz w:val="20"/>
          <w:szCs w:val="20"/>
        </w:rPr>
        <w:t xml:space="preserve"> revenue of</w:t>
      </w:r>
      <w:r w:rsidR="0076440A">
        <w:rPr>
          <w:rFonts w:ascii="Arial" w:hAnsi="Arial" w:cs="Arial"/>
          <w:sz w:val="20"/>
          <w:szCs w:val="20"/>
        </w:rPr>
        <w:t xml:space="preserve"> at least HK$250 million for their</w:t>
      </w:r>
      <w:r w:rsidRPr="004B5136">
        <w:rPr>
          <w:rFonts w:ascii="Arial" w:hAnsi="Arial" w:cs="Arial"/>
          <w:sz w:val="20"/>
          <w:szCs w:val="20"/>
        </w:rPr>
        <w:t xml:space="preserve"> most recent audited financial year (</w:t>
      </w:r>
      <w:proofErr w:type="spellStart"/>
      <w:r w:rsidR="00A853FE" w:rsidRPr="004B5136">
        <w:rPr>
          <w:rFonts w:ascii="Arial" w:hAnsi="Arial" w:cs="Arial"/>
          <w:b/>
          <w:sz w:val="20"/>
          <w:szCs w:val="20"/>
        </w:rPr>
        <w:t>Commercialisation</w:t>
      </w:r>
      <w:proofErr w:type="spellEnd"/>
      <w:r w:rsidR="00A853FE" w:rsidRPr="004B5136">
        <w:rPr>
          <w:rFonts w:ascii="Arial" w:hAnsi="Arial" w:cs="Arial"/>
          <w:b/>
          <w:sz w:val="20"/>
          <w:szCs w:val="20"/>
        </w:rPr>
        <w:t xml:space="preserve"> </w:t>
      </w:r>
      <w:r w:rsidRPr="004B5136">
        <w:rPr>
          <w:rFonts w:ascii="Arial" w:hAnsi="Arial" w:cs="Arial"/>
          <w:b/>
          <w:sz w:val="20"/>
          <w:szCs w:val="20"/>
        </w:rPr>
        <w:t>Revenue Threshold</w:t>
      </w:r>
      <w:r w:rsidRPr="004B5136">
        <w:rPr>
          <w:rFonts w:ascii="Arial" w:hAnsi="Arial" w:cs="Arial"/>
          <w:sz w:val="20"/>
          <w:szCs w:val="20"/>
        </w:rPr>
        <w:t>)</w:t>
      </w:r>
      <w:r w:rsidR="005C33DF">
        <w:rPr>
          <w:rFonts w:ascii="Arial" w:hAnsi="Arial" w:cs="Arial"/>
          <w:sz w:val="20"/>
          <w:szCs w:val="20"/>
        </w:rPr>
        <w:t>; and</w:t>
      </w:r>
    </w:p>
    <w:p w14:paraId="409EF861" w14:textId="77777777" w:rsidR="0076440A" w:rsidRPr="004B5136" w:rsidRDefault="0076440A" w:rsidP="0076440A">
      <w:pPr>
        <w:pStyle w:val="a3"/>
        <w:jc w:val="both"/>
        <w:rPr>
          <w:rFonts w:ascii="Arial" w:hAnsi="Arial" w:cs="Arial"/>
          <w:sz w:val="20"/>
          <w:szCs w:val="20"/>
        </w:rPr>
      </w:pPr>
    </w:p>
    <w:p w14:paraId="2DAB8006" w14:textId="3466D769" w:rsidR="00412E72" w:rsidRPr="004B5136" w:rsidRDefault="00980EC3" w:rsidP="004B5136">
      <w:pPr>
        <w:pStyle w:val="a3"/>
        <w:numPr>
          <w:ilvl w:val="0"/>
          <w:numId w:val="6"/>
        </w:numPr>
        <w:jc w:val="both"/>
        <w:rPr>
          <w:rFonts w:ascii="Arial" w:hAnsi="Arial" w:cs="Arial"/>
          <w:sz w:val="20"/>
          <w:szCs w:val="20"/>
        </w:rPr>
      </w:pPr>
      <w:r w:rsidRPr="004B5136">
        <w:rPr>
          <w:rFonts w:ascii="Arial" w:hAnsi="Arial" w:cs="Arial"/>
          <w:sz w:val="20"/>
          <w:szCs w:val="20"/>
        </w:rPr>
        <w:t>Pre-Commercial Compan</w:t>
      </w:r>
      <w:r w:rsidR="005C33DF">
        <w:rPr>
          <w:rFonts w:ascii="Arial" w:hAnsi="Arial" w:cs="Arial"/>
          <w:sz w:val="20"/>
          <w:szCs w:val="20"/>
        </w:rPr>
        <w:t>ies</w:t>
      </w:r>
      <w:r w:rsidRPr="004B5136">
        <w:rPr>
          <w:rFonts w:ascii="Arial" w:hAnsi="Arial" w:cs="Arial"/>
          <w:sz w:val="20"/>
          <w:szCs w:val="20"/>
        </w:rPr>
        <w:t xml:space="preserve">: </w:t>
      </w:r>
      <w:r w:rsidR="005C33DF">
        <w:rPr>
          <w:rFonts w:ascii="Arial" w:hAnsi="Arial" w:cs="Arial"/>
          <w:sz w:val="20"/>
          <w:szCs w:val="20"/>
        </w:rPr>
        <w:t xml:space="preserve">Specialist Technology Companies that have </w:t>
      </w:r>
      <w:r w:rsidR="005C33DF" w:rsidRPr="004B5136">
        <w:rPr>
          <w:rFonts w:ascii="Arial" w:hAnsi="Arial" w:cs="Arial"/>
          <w:sz w:val="20"/>
          <w:szCs w:val="20"/>
        </w:rPr>
        <w:t>revenue of</w:t>
      </w:r>
      <w:r w:rsidR="005C33DF">
        <w:rPr>
          <w:rFonts w:ascii="Arial" w:hAnsi="Arial" w:cs="Arial"/>
          <w:sz w:val="20"/>
          <w:szCs w:val="20"/>
        </w:rPr>
        <w:t xml:space="preserve"> less than HK$250 million for their</w:t>
      </w:r>
      <w:r w:rsidR="005C33DF" w:rsidRPr="004B5136">
        <w:rPr>
          <w:rFonts w:ascii="Arial" w:hAnsi="Arial" w:cs="Arial"/>
          <w:sz w:val="20"/>
          <w:szCs w:val="20"/>
        </w:rPr>
        <w:t xml:space="preserve"> most recent audited financial year</w:t>
      </w:r>
      <w:r w:rsidRPr="004B5136">
        <w:rPr>
          <w:rFonts w:ascii="Arial" w:hAnsi="Arial" w:cs="Arial"/>
          <w:sz w:val="20"/>
          <w:szCs w:val="20"/>
        </w:rPr>
        <w:t>.</w:t>
      </w:r>
    </w:p>
    <w:p w14:paraId="275B3767" w14:textId="6862AB96" w:rsidR="003058BE" w:rsidRPr="004B5136" w:rsidRDefault="00412E72" w:rsidP="004B5136">
      <w:pPr>
        <w:jc w:val="both"/>
        <w:rPr>
          <w:rFonts w:ascii="Arial" w:hAnsi="Arial" w:cs="Arial"/>
          <w:b/>
          <w:color w:val="FF0000"/>
          <w:sz w:val="20"/>
          <w:szCs w:val="20"/>
        </w:rPr>
      </w:pPr>
      <w:r w:rsidRPr="004B5136">
        <w:rPr>
          <w:rFonts w:ascii="Arial" w:hAnsi="Arial" w:cs="Arial"/>
          <w:b/>
          <w:color w:val="FF0000"/>
          <w:sz w:val="20"/>
          <w:szCs w:val="20"/>
        </w:rPr>
        <w:t xml:space="preserve">Qualifications for Listing on </w:t>
      </w:r>
      <w:r w:rsidR="00F2151F" w:rsidRPr="005C33DF">
        <w:rPr>
          <w:rFonts w:ascii="Arial" w:hAnsi="Arial" w:cs="Arial"/>
          <w:b/>
          <w:color w:val="FF0000"/>
          <w:sz w:val="20"/>
          <w:szCs w:val="20"/>
        </w:rPr>
        <w:t xml:space="preserve">the </w:t>
      </w:r>
      <w:r w:rsidRPr="004B5136">
        <w:rPr>
          <w:rFonts w:ascii="Arial" w:hAnsi="Arial" w:cs="Arial"/>
          <w:b/>
          <w:color w:val="FF0000"/>
          <w:sz w:val="20"/>
          <w:szCs w:val="20"/>
        </w:rPr>
        <w:t>HKEX</w:t>
      </w:r>
    </w:p>
    <w:p w14:paraId="7169405C" w14:textId="1C31C69C" w:rsidR="003058BE" w:rsidRPr="004B5136" w:rsidRDefault="003058BE" w:rsidP="004B5136">
      <w:pPr>
        <w:jc w:val="both"/>
        <w:rPr>
          <w:rFonts w:ascii="Arial" w:hAnsi="Arial" w:cs="Arial"/>
          <w:b/>
          <w:sz w:val="20"/>
          <w:szCs w:val="20"/>
        </w:rPr>
      </w:pPr>
      <w:r w:rsidRPr="004B5136">
        <w:rPr>
          <w:rFonts w:ascii="Arial" w:hAnsi="Arial" w:cs="Arial"/>
          <w:b/>
          <w:sz w:val="20"/>
          <w:szCs w:val="20"/>
        </w:rPr>
        <w:t xml:space="preserve">Market </w:t>
      </w:r>
      <w:proofErr w:type="spellStart"/>
      <w:r w:rsidRPr="004B5136">
        <w:rPr>
          <w:rFonts w:ascii="Arial" w:hAnsi="Arial" w:cs="Arial"/>
          <w:b/>
          <w:sz w:val="20"/>
          <w:szCs w:val="20"/>
        </w:rPr>
        <w:t>Capitali</w:t>
      </w:r>
      <w:r w:rsidR="00B95344" w:rsidRPr="004B5136">
        <w:rPr>
          <w:rFonts w:ascii="Arial" w:hAnsi="Arial" w:cs="Arial"/>
          <w:b/>
          <w:sz w:val="20"/>
          <w:szCs w:val="20"/>
        </w:rPr>
        <w:t>s</w:t>
      </w:r>
      <w:r w:rsidRPr="004B5136">
        <w:rPr>
          <w:rFonts w:ascii="Arial" w:hAnsi="Arial" w:cs="Arial"/>
          <w:b/>
          <w:sz w:val="20"/>
          <w:szCs w:val="20"/>
        </w:rPr>
        <w:t>ation</w:t>
      </w:r>
      <w:proofErr w:type="spellEnd"/>
    </w:p>
    <w:p w14:paraId="6DD6F05F" w14:textId="77777777" w:rsidR="0069577C" w:rsidRDefault="0069577C" w:rsidP="006154E0">
      <w:pPr>
        <w:jc w:val="both"/>
        <w:rPr>
          <w:rFonts w:ascii="Arial" w:hAnsi="Arial" w:cs="Arial"/>
          <w:sz w:val="20"/>
          <w:szCs w:val="20"/>
        </w:rPr>
      </w:pPr>
      <w:r>
        <w:rPr>
          <w:rFonts w:ascii="Arial" w:hAnsi="Arial" w:cs="Arial"/>
          <w:sz w:val="20"/>
          <w:szCs w:val="20"/>
        </w:rPr>
        <w:t xml:space="preserve">The minimum expected market </w:t>
      </w:r>
      <w:proofErr w:type="spellStart"/>
      <w:r>
        <w:rPr>
          <w:rFonts w:ascii="Arial" w:hAnsi="Arial" w:cs="Arial"/>
          <w:sz w:val="20"/>
          <w:szCs w:val="20"/>
        </w:rPr>
        <w:t>capitalisation</w:t>
      </w:r>
      <w:proofErr w:type="spellEnd"/>
      <w:r>
        <w:rPr>
          <w:rFonts w:ascii="Arial" w:hAnsi="Arial" w:cs="Arial"/>
          <w:sz w:val="20"/>
          <w:szCs w:val="20"/>
        </w:rPr>
        <w:t xml:space="preserve"> required at the time of listing is:</w:t>
      </w:r>
    </w:p>
    <w:p w14:paraId="69D05C87" w14:textId="77777777" w:rsidR="0069577C" w:rsidRDefault="0069577C" w:rsidP="0069577C">
      <w:pPr>
        <w:pStyle w:val="a3"/>
        <w:numPr>
          <w:ilvl w:val="0"/>
          <w:numId w:val="41"/>
        </w:numPr>
        <w:jc w:val="both"/>
        <w:rPr>
          <w:rFonts w:ascii="Arial" w:hAnsi="Arial" w:cs="Arial"/>
          <w:sz w:val="20"/>
          <w:szCs w:val="20"/>
        </w:rPr>
      </w:pPr>
      <w:r w:rsidRPr="0069577C">
        <w:rPr>
          <w:rFonts w:ascii="Arial" w:hAnsi="Arial" w:cs="Arial"/>
          <w:sz w:val="20"/>
          <w:szCs w:val="20"/>
        </w:rPr>
        <w:t xml:space="preserve">HK$6 billion </w:t>
      </w:r>
      <w:r>
        <w:rPr>
          <w:rFonts w:ascii="Arial" w:hAnsi="Arial" w:cs="Arial"/>
          <w:sz w:val="20"/>
          <w:szCs w:val="20"/>
        </w:rPr>
        <w:t xml:space="preserve">for </w:t>
      </w:r>
      <w:r w:rsidRPr="0069577C">
        <w:rPr>
          <w:rFonts w:ascii="Arial" w:hAnsi="Arial" w:cs="Arial"/>
          <w:sz w:val="20"/>
          <w:szCs w:val="20"/>
        </w:rPr>
        <w:t>Commercial Companies (reduced from HK$8 billion under the original proposals)</w:t>
      </w:r>
      <w:r>
        <w:rPr>
          <w:rFonts w:ascii="Arial" w:hAnsi="Arial" w:cs="Arial"/>
          <w:sz w:val="20"/>
          <w:szCs w:val="20"/>
        </w:rPr>
        <w:t>; and</w:t>
      </w:r>
    </w:p>
    <w:p w14:paraId="797A9629" w14:textId="77777777" w:rsidR="00A5671F" w:rsidRPr="004B5136" w:rsidRDefault="0069577C" w:rsidP="004B5136">
      <w:pPr>
        <w:pStyle w:val="a3"/>
        <w:numPr>
          <w:ilvl w:val="0"/>
          <w:numId w:val="41"/>
        </w:numPr>
        <w:jc w:val="both"/>
        <w:rPr>
          <w:rFonts w:ascii="Arial" w:hAnsi="Arial" w:cs="Arial"/>
          <w:sz w:val="20"/>
          <w:szCs w:val="20"/>
        </w:rPr>
      </w:pPr>
      <w:r w:rsidRPr="00273819">
        <w:rPr>
          <w:rFonts w:ascii="Arial" w:hAnsi="Arial" w:cs="Arial"/>
          <w:sz w:val="20"/>
          <w:szCs w:val="20"/>
        </w:rPr>
        <w:t>HK$10 billion</w:t>
      </w:r>
      <w:r>
        <w:rPr>
          <w:rFonts w:ascii="Arial" w:hAnsi="Arial" w:cs="Arial"/>
          <w:sz w:val="20"/>
          <w:szCs w:val="20"/>
        </w:rPr>
        <w:t xml:space="preserve"> for </w:t>
      </w:r>
      <w:r w:rsidR="005C1D04">
        <w:rPr>
          <w:rFonts w:ascii="Arial" w:hAnsi="Arial" w:cs="Arial"/>
          <w:sz w:val="20"/>
          <w:szCs w:val="20"/>
        </w:rPr>
        <w:t>Pre-Commercial Companies</w:t>
      </w:r>
      <w:r w:rsidRPr="0069577C">
        <w:rPr>
          <w:rFonts w:ascii="Arial" w:hAnsi="Arial" w:cs="Arial"/>
          <w:sz w:val="20"/>
          <w:szCs w:val="20"/>
        </w:rPr>
        <w:t xml:space="preserve"> </w:t>
      </w:r>
      <w:r>
        <w:rPr>
          <w:rFonts w:ascii="Arial" w:hAnsi="Arial" w:cs="Arial"/>
          <w:sz w:val="20"/>
          <w:szCs w:val="20"/>
        </w:rPr>
        <w:t xml:space="preserve">(reduced from the originally proposed </w:t>
      </w:r>
      <w:r w:rsidR="00D36E1F" w:rsidRPr="00273819">
        <w:rPr>
          <w:rFonts w:ascii="Arial" w:hAnsi="Arial" w:cs="Arial"/>
          <w:sz w:val="20"/>
          <w:szCs w:val="20"/>
        </w:rPr>
        <w:t>HK$15 billion</w:t>
      </w:r>
      <w:r>
        <w:rPr>
          <w:rFonts w:ascii="Arial" w:hAnsi="Arial" w:cs="Arial"/>
          <w:sz w:val="20"/>
          <w:szCs w:val="20"/>
        </w:rPr>
        <w:t>)</w:t>
      </w:r>
      <w:r w:rsidR="00D36E1F" w:rsidRPr="00273819">
        <w:rPr>
          <w:rFonts w:ascii="Arial" w:hAnsi="Arial" w:cs="Arial"/>
          <w:sz w:val="20"/>
          <w:szCs w:val="20"/>
        </w:rPr>
        <w:t xml:space="preserve">. </w:t>
      </w:r>
    </w:p>
    <w:p w14:paraId="6EDF8B0B" w14:textId="77777777" w:rsidR="0009613B" w:rsidRPr="004B5136" w:rsidRDefault="0009613B" w:rsidP="006154E0">
      <w:pPr>
        <w:jc w:val="both"/>
        <w:rPr>
          <w:rFonts w:ascii="Arial" w:hAnsi="Arial" w:cs="Arial"/>
          <w:b/>
          <w:sz w:val="20"/>
          <w:szCs w:val="20"/>
        </w:rPr>
      </w:pPr>
      <w:r w:rsidRPr="004B5136">
        <w:rPr>
          <w:rFonts w:ascii="Arial" w:hAnsi="Arial" w:cs="Arial"/>
          <w:b/>
          <w:sz w:val="20"/>
          <w:szCs w:val="20"/>
        </w:rPr>
        <w:t>Revenue Requirements</w:t>
      </w:r>
    </w:p>
    <w:p w14:paraId="10E6116C" w14:textId="77777777" w:rsidR="00117B6B" w:rsidRDefault="0009613B" w:rsidP="004B5136">
      <w:pPr>
        <w:jc w:val="both"/>
        <w:rPr>
          <w:rFonts w:ascii="Arial" w:hAnsi="Arial" w:cs="Arial"/>
          <w:sz w:val="20"/>
          <w:szCs w:val="20"/>
        </w:rPr>
      </w:pPr>
      <w:r w:rsidRPr="004B5136">
        <w:rPr>
          <w:rFonts w:ascii="Arial" w:hAnsi="Arial" w:cs="Arial"/>
          <w:sz w:val="20"/>
          <w:szCs w:val="20"/>
        </w:rPr>
        <w:t xml:space="preserve">Commercial Companies </w:t>
      </w:r>
      <w:r w:rsidR="005C33DF">
        <w:rPr>
          <w:rFonts w:ascii="Arial" w:hAnsi="Arial" w:cs="Arial"/>
          <w:sz w:val="20"/>
          <w:szCs w:val="20"/>
        </w:rPr>
        <w:t xml:space="preserve">are </w:t>
      </w:r>
      <w:r w:rsidRPr="004B5136">
        <w:rPr>
          <w:rFonts w:ascii="Arial" w:hAnsi="Arial" w:cs="Arial"/>
          <w:sz w:val="20"/>
          <w:szCs w:val="20"/>
        </w:rPr>
        <w:t xml:space="preserve">required to have revenue of at least HK$250 million for the most recent audited financial year. There </w:t>
      </w:r>
      <w:r w:rsidR="005C33DF">
        <w:rPr>
          <w:rFonts w:ascii="Arial" w:hAnsi="Arial" w:cs="Arial"/>
          <w:sz w:val="20"/>
          <w:szCs w:val="20"/>
        </w:rPr>
        <w:t xml:space="preserve">is </w:t>
      </w:r>
      <w:r w:rsidRPr="004B5136">
        <w:rPr>
          <w:rFonts w:ascii="Arial" w:hAnsi="Arial" w:cs="Arial"/>
          <w:sz w:val="20"/>
          <w:szCs w:val="20"/>
        </w:rPr>
        <w:t>no revenue requirement for Pre-Commercial Companies.</w:t>
      </w:r>
    </w:p>
    <w:p w14:paraId="6537096A" w14:textId="77777777" w:rsidR="00E00BAE" w:rsidRPr="00273819" w:rsidRDefault="00E00BAE" w:rsidP="00E00BAE">
      <w:pPr>
        <w:jc w:val="both"/>
        <w:rPr>
          <w:rFonts w:ascii="Arial" w:hAnsi="Arial" w:cs="Arial"/>
          <w:sz w:val="20"/>
          <w:szCs w:val="20"/>
        </w:rPr>
      </w:pPr>
      <w:r w:rsidRPr="00E00BAE">
        <w:rPr>
          <w:rFonts w:ascii="Arial" w:hAnsi="Arial" w:cs="Arial"/>
          <w:sz w:val="20"/>
          <w:szCs w:val="20"/>
        </w:rPr>
        <w:lastRenderedPageBreak/>
        <w:t>In determining whether a company meets the minimum revenue threshold, only revenue arising from the company’s Specialis</w:t>
      </w:r>
      <w:r w:rsidR="00472735">
        <w:rPr>
          <w:rFonts w:ascii="Arial" w:hAnsi="Arial" w:cs="Arial"/>
          <w:sz w:val="20"/>
          <w:szCs w:val="20"/>
        </w:rPr>
        <w:t>t Technology business segment</w:t>
      </w:r>
      <w:r w:rsidR="0023270B">
        <w:rPr>
          <w:rFonts w:ascii="Arial" w:hAnsi="Arial" w:cs="Arial"/>
          <w:sz w:val="20"/>
          <w:szCs w:val="20"/>
        </w:rPr>
        <w:t>(s)</w:t>
      </w:r>
      <w:r w:rsidRPr="00E00BAE">
        <w:rPr>
          <w:rFonts w:ascii="Arial" w:hAnsi="Arial" w:cs="Arial"/>
          <w:sz w:val="20"/>
          <w:szCs w:val="20"/>
        </w:rPr>
        <w:t xml:space="preserve"> (and not any inter-segmental revenue from its other business segments) will be </w:t>
      </w:r>
      <w:proofErr w:type="spellStart"/>
      <w:r w:rsidRPr="00E00BAE">
        <w:rPr>
          <w:rFonts w:ascii="Arial" w:hAnsi="Arial" w:cs="Arial"/>
          <w:sz w:val="20"/>
          <w:szCs w:val="20"/>
        </w:rPr>
        <w:t>recognised</w:t>
      </w:r>
      <w:proofErr w:type="spellEnd"/>
      <w:r w:rsidRPr="00E00BAE">
        <w:rPr>
          <w:rFonts w:ascii="Arial" w:hAnsi="Arial" w:cs="Arial"/>
          <w:sz w:val="20"/>
          <w:szCs w:val="20"/>
        </w:rPr>
        <w:t>. Revenue arising from “book” transactions, such as banner barter transactions, the writing back of accounting provisions and other similar activities resulting from mere book entries, must also be disregarded.</w:t>
      </w:r>
      <w:r w:rsidR="00472735">
        <w:rPr>
          <w:rStyle w:val="a6"/>
          <w:rFonts w:ascii="Arial" w:hAnsi="Arial" w:cs="Arial"/>
          <w:sz w:val="20"/>
          <w:szCs w:val="20"/>
        </w:rPr>
        <w:footnoteReference w:id="6"/>
      </w:r>
    </w:p>
    <w:p w14:paraId="1E93B14A" w14:textId="4CDA506F" w:rsidR="0009613B" w:rsidRPr="004B5136" w:rsidRDefault="00117B6B" w:rsidP="004B5136">
      <w:pPr>
        <w:jc w:val="both"/>
        <w:rPr>
          <w:rFonts w:ascii="Arial" w:hAnsi="Arial" w:cs="Arial"/>
          <w:sz w:val="20"/>
          <w:szCs w:val="20"/>
        </w:rPr>
      </w:pPr>
      <w:r w:rsidRPr="00273819">
        <w:rPr>
          <w:rFonts w:ascii="Arial" w:hAnsi="Arial" w:cs="Arial"/>
          <w:sz w:val="20"/>
          <w:szCs w:val="20"/>
        </w:rPr>
        <w:t xml:space="preserve">The HKEX also requires Commercial Companies </w:t>
      </w:r>
      <w:r w:rsidR="00CD10EE" w:rsidRPr="00273819">
        <w:rPr>
          <w:rFonts w:ascii="Arial" w:hAnsi="Arial" w:cs="Arial"/>
          <w:sz w:val="20"/>
          <w:szCs w:val="20"/>
        </w:rPr>
        <w:t>to</w:t>
      </w:r>
      <w:r w:rsidRPr="00273819">
        <w:rPr>
          <w:rFonts w:ascii="Arial" w:hAnsi="Arial" w:cs="Arial"/>
          <w:sz w:val="20"/>
          <w:szCs w:val="20"/>
        </w:rPr>
        <w:t xml:space="preserve"> demonstrate a year-on-year growth of revenue throughout the trac</w:t>
      </w:r>
      <w:r w:rsidR="0023270B">
        <w:rPr>
          <w:rFonts w:ascii="Arial" w:hAnsi="Arial" w:cs="Arial"/>
          <w:sz w:val="20"/>
          <w:szCs w:val="20"/>
        </w:rPr>
        <w:t xml:space="preserve">k record period, but makes allowances </w:t>
      </w:r>
      <w:r w:rsidRPr="00273819">
        <w:rPr>
          <w:rFonts w:ascii="Arial" w:hAnsi="Arial" w:cs="Arial"/>
          <w:sz w:val="20"/>
          <w:szCs w:val="20"/>
        </w:rPr>
        <w:t xml:space="preserve">for temporary declines </w:t>
      </w:r>
      <w:r w:rsidR="0023270B">
        <w:rPr>
          <w:rFonts w:ascii="Arial" w:hAnsi="Arial" w:cs="Arial"/>
          <w:sz w:val="20"/>
          <w:szCs w:val="20"/>
        </w:rPr>
        <w:t xml:space="preserve">in revenue </w:t>
      </w:r>
      <w:r w:rsidRPr="00273819">
        <w:rPr>
          <w:rFonts w:ascii="Arial" w:hAnsi="Arial" w:cs="Arial"/>
          <w:sz w:val="20"/>
          <w:szCs w:val="20"/>
        </w:rPr>
        <w:t>due to factors</w:t>
      </w:r>
      <w:r w:rsidR="00E76B55">
        <w:rPr>
          <w:rFonts w:ascii="Arial" w:hAnsi="Arial" w:cs="Arial"/>
          <w:sz w:val="20"/>
          <w:szCs w:val="20"/>
        </w:rPr>
        <w:t xml:space="preserve"> beyond the applicant’s control (</w:t>
      </w:r>
      <w:proofErr w:type="gramStart"/>
      <w:r w:rsidR="00E76B55">
        <w:rPr>
          <w:rFonts w:ascii="Arial" w:hAnsi="Arial" w:cs="Arial"/>
          <w:sz w:val="20"/>
          <w:szCs w:val="20"/>
        </w:rPr>
        <w:t>e.g.</w:t>
      </w:r>
      <w:proofErr w:type="gramEnd"/>
      <w:r w:rsidR="00E76B55">
        <w:rPr>
          <w:rFonts w:ascii="Arial" w:hAnsi="Arial" w:cs="Arial"/>
          <w:sz w:val="20"/>
          <w:szCs w:val="20"/>
        </w:rPr>
        <w:t xml:space="preserve"> economic, market or industry-wide conditions)</w:t>
      </w:r>
      <w:r w:rsidRPr="00273819">
        <w:rPr>
          <w:rFonts w:ascii="Arial" w:hAnsi="Arial" w:cs="Arial"/>
          <w:sz w:val="20"/>
          <w:szCs w:val="20"/>
        </w:rPr>
        <w:t xml:space="preserve">. </w:t>
      </w:r>
      <w:r w:rsidR="00BE789F" w:rsidRPr="00BE789F">
        <w:rPr>
          <w:rFonts w:ascii="Arial" w:hAnsi="Arial" w:cs="Arial"/>
          <w:color w:val="2B2B2B"/>
          <w:sz w:val="20"/>
          <w:szCs w:val="20"/>
          <w:shd w:val="clear" w:color="auto" w:fill="FFFFFF"/>
        </w:rPr>
        <w:t>Commercial company applicants will be required to explain to the HKEX’s satisfaction, and disclose in their listing documents, the reasons for, and the remedial steps taken (or to be taken) to address, a downward trend in their annual revenue</w:t>
      </w:r>
      <w:r w:rsidR="00BE789F">
        <w:rPr>
          <w:rFonts w:ascii="Inter" w:hAnsi="Inter"/>
          <w:color w:val="2B2B2B"/>
          <w:sz w:val="21"/>
          <w:szCs w:val="21"/>
          <w:shd w:val="clear" w:color="auto" w:fill="FFFFFF"/>
        </w:rPr>
        <w:t>.</w:t>
      </w:r>
      <w:r w:rsidR="00A675F0" w:rsidRPr="00273819">
        <w:rPr>
          <w:rStyle w:val="a6"/>
          <w:rFonts w:ascii="Arial" w:hAnsi="Arial" w:cs="Arial"/>
          <w:sz w:val="20"/>
          <w:szCs w:val="20"/>
        </w:rPr>
        <w:footnoteReference w:id="7"/>
      </w:r>
    </w:p>
    <w:p w14:paraId="2305345C" w14:textId="77777777" w:rsidR="003058BE" w:rsidRPr="004B5136" w:rsidRDefault="003058BE" w:rsidP="004B5136">
      <w:pPr>
        <w:jc w:val="both"/>
        <w:rPr>
          <w:rFonts w:ascii="Arial" w:hAnsi="Arial" w:cs="Arial"/>
          <w:sz w:val="20"/>
          <w:szCs w:val="20"/>
        </w:rPr>
      </w:pPr>
      <w:r w:rsidRPr="004B5136">
        <w:rPr>
          <w:rFonts w:ascii="Arial" w:hAnsi="Arial" w:cs="Arial"/>
          <w:b/>
          <w:sz w:val="20"/>
          <w:szCs w:val="20"/>
        </w:rPr>
        <w:t xml:space="preserve">Research and Development (R&amp;D) </w:t>
      </w:r>
      <w:r w:rsidR="00E76B55">
        <w:rPr>
          <w:rFonts w:ascii="Arial" w:hAnsi="Arial" w:cs="Arial"/>
          <w:b/>
          <w:sz w:val="20"/>
          <w:szCs w:val="20"/>
        </w:rPr>
        <w:t>Expenditure</w:t>
      </w:r>
    </w:p>
    <w:p w14:paraId="19B6640C" w14:textId="77777777" w:rsidR="00307B86" w:rsidRPr="00273819" w:rsidRDefault="00E76B55" w:rsidP="00307B86">
      <w:pPr>
        <w:jc w:val="both"/>
        <w:rPr>
          <w:rFonts w:ascii="Arial" w:hAnsi="Arial" w:cs="Arial"/>
          <w:sz w:val="20"/>
          <w:szCs w:val="20"/>
        </w:rPr>
      </w:pPr>
      <w:r>
        <w:rPr>
          <w:rFonts w:ascii="Arial" w:hAnsi="Arial" w:cs="Arial"/>
          <w:sz w:val="20"/>
          <w:szCs w:val="20"/>
        </w:rPr>
        <w:t>The HKEX requires</w:t>
      </w:r>
      <w:r w:rsidR="00307B86" w:rsidRPr="00273819">
        <w:rPr>
          <w:rFonts w:ascii="Arial" w:hAnsi="Arial" w:cs="Arial"/>
          <w:sz w:val="20"/>
          <w:szCs w:val="20"/>
        </w:rPr>
        <w:t xml:space="preserve"> </w:t>
      </w:r>
      <w:r>
        <w:rPr>
          <w:rFonts w:ascii="Arial" w:hAnsi="Arial" w:cs="Arial"/>
          <w:sz w:val="20"/>
          <w:szCs w:val="20"/>
        </w:rPr>
        <w:t xml:space="preserve">listing </w:t>
      </w:r>
      <w:r w:rsidR="00307B86" w:rsidRPr="00273819">
        <w:rPr>
          <w:rFonts w:ascii="Arial" w:hAnsi="Arial" w:cs="Arial"/>
          <w:sz w:val="20"/>
          <w:szCs w:val="20"/>
        </w:rPr>
        <w:t>applicant</w:t>
      </w:r>
      <w:r>
        <w:rPr>
          <w:rFonts w:ascii="Arial" w:hAnsi="Arial" w:cs="Arial"/>
          <w:sz w:val="20"/>
          <w:szCs w:val="20"/>
        </w:rPr>
        <w:t>s</w:t>
      </w:r>
      <w:r w:rsidR="00307B86" w:rsidRPr="00273819">
        <w:rPr>
          <w:rFonts w:ascii="Arial" w:hAnsi="Arial" w:cs="Arial"/>
          <w:sz w:val="20"/>
          <w:szCs w:val="20"/>
        </w:rPr>
        <w:t xml:space="preserve"> to have engaged in the </w:t>
      </w:r>
      <w:r w:rsidR="00AD401F" w:rsidRPr="004B5136">
        <w:rPr>
          <w:rFonts w:ascii="Arial" w:hAnsi="Arial" w:cs="Arial"/>
          <w:sz w:val="20"/>
          <w:szCs w:val="20"/>
        </w:rPr>
        <w:t xml:space="preserve">R&amp;D </w:t>
      </w:r>
      <w:r w:rsidR="00307B86" w:rsidRPr="00273819">
        <w:rPr>
          <w:rFonts w:ascii="Arial" w:hAnsi="Arial" w:cs="Arial"/>
          <w:sz w:val="20"/>
          <w:szCs w:val="20"/>
        </w:rPr>
        <w:t xml:space="preserve">of its Specialist Technology Product(s) for at least three financial years prior to listing. </w:t>
      </w:r>
    </w:p>
    <w:p w14:paraId="0528E3CC" w14:textId="77777777" w:rsidR="00A5671F" w:rsidRPr="004B5136" w:rsidRDefault="00A5671F" w:rsidP="004B5136">
      <w:pPr>
        <w:jc w:val="both"/>
        <w:rPr>
          <w:rFonts w:ascii="Arial" w:hAnsi="Arial" w:cs="Arial"/>
          <w:sz w:val="20"/>
          <w:szCs w:val="20"/>
        </w:rPr>
      </w:pPr>
      <w:r w:rsidRPr="004B5136">
        <w:rPr>
          <w:rFonts w:ascii="Arial" w:hAnsi="Arial" w:cs="Arial"/>
          <w:sz w:val="20"/>
          <w:szCs w:val="20"/>
        </w:rPr>
        <w:t xml:space="preserve">For Commercial Companies, R&amp;D </w:t>
      </w:r>
      <w:r w:rsidR="00E76B55">
        <w:rPr>
          <w:rFonts w:ascii="Arial" w:hAnsi="Arial" w:cs="Arial"/>
          <w:sz w:val="20"/>
          <w:szCs w:val="20"/>
        </w:rPr>
        <w:t xml:space="preserve">expenditure </w:t>
      </w:r>
      <w:r w:rsidRPr="004B5136">
        <w:rPr>
          <w:rFonts w:ascii="Arial" w:hAnsi="Arial" w:cs="Arial"/>
          <w:sz w:val="20"/>
          <w:szCs w:val="20"/>
        </w:rPr>
        <w:t xml:space="preserve">must constitute at least 15% of total operating expenditure. </w:t>
      </w:r>
    </w:p>
    <w:p w14:paraId="0CB7CEDF" w14:textId="77777777" w:rsidR="00A5671F" w:rsidRPr="004B5136" w:rsidRDefault="00A5671F" w:rsidP="004B5136">
      <w:pPr>
        <w:jc w:val="both"/>
        <w:rPr>
          <w:rFonts w:ascii="Arial" w:hAnsi="Arial" w:cs="Arial"/>
          <w:sz w:val="20"/>
          <w:szCs w:val="20"/>
        </w:rPr>
      </w:pPr>
      <w:r w:rsidRPr="004B5136">
        <w:rPr>
          <w:rFonts w:ascii="Arial" w:hAnsi="Arial" w:cs="Arial"/>
          <w:sz w:val="20"/>
          <w:szCs w:val="20"/>
        </w:rPr>
        <w:t xml:space="preserve">For Pre-Commercial Companies with </w:t>
      </w:r>
      <w:r w:rsidR="00E76B55">
        <w:rPr>
          <w:rFonts w:ascii="Arial" w:hAnsi="Arial" w:cs="Arial"/>
          <w:sz w:val="20"/>
          <w:szCs w:val="20"/>
        </w:rPr>
        <w:t xml:space="preserve">revenue </w:t>
      </w:r>
      <w:r w:rsidR="00BD29B6">
        <w:rPr>
          <w:rFonts w:ascii="Arial" w:hAnsi="Arial" w:cs="Arial"/>
          <w:sz w:val="20"/>
          <w:szCs w:val="20"/>
        </w:rPr>
        <w:t xml:space="preserve">below </w:t>
      </w:r>
      <w:r w:rsidRPr="004B5136">
        <w:rPr>
          <w:rFonts w:ascii="Arial" w:hAnsi="Arial" w:cs="Arial"/>
          <w:sz w:val="20"/>
          <w:szCs w:val="20"/>
        </w:rPr>
        <w:t>HK$150 million for the most recent audited financial year</w:t>
      </w:r>
      <w:r w:rsidR="00A853FE" w:rsidRPr="004B5136">
        <w:rPr>
          <w:rFonts w:ascii="Arial" w:hAnsi="Arial" w:cs="Arial"/>
          <w:sz w:val="20"/>
          <w:szCs w:val="20"/>
        </w:rPr>
        <w:t xml:space="preserve">, R&amp;D </w:t>
      </w:r>
      <w:r w:rsidR="00BD29B6">
        <w:rPr>
          <w:rFonts w:ascii="Arial" w:hAnsi="Arial" w:cs="Arial"/>
          <w:sz w:val="20"/>
          <w:szCs w:val="20"/>
        </w:rPr>
        <w:t>expenditure</w:t>
      </w:r>
      <w:r w:rsidR="00BD29B6" w:rsidRPr="00273819">
        <w:rPr>
          <w:rFonts w:ascii="Arial" w:hAnsi="Arial" w:cs="Arial"/>
          <w:sz w:val="20"/>
          <w:szCs w:val="20"/>
        </w:rPr>
        <w:t xml:space="preserve"> </w:t>
      </w:r>
      <w:r w:rsidR="00A853FE" w:rsidRPr="004B5136">
        <w:rPr>
          <w:rFonts w:ascii="Arial" w:hAnsi="Arial" w:cs="Arial"/>
          <w:sz w:val="20"/>
          <w:szCs w:val="20"/>
        </w:rPr>
        <w:t>must constitute at least 50% of total operating expenditure.</w:t>
      </w:r>
    </w:p>
    <w:p w14:paraId="3D778C02" w14:textId="50ECD0E3" w:rsidR="00BB5FE7" w:rsidRPr="00273819" w:rsidRDefault="00A5671F" w:rsidP="006154E0">
      <w:pPr>
        <w:jc w:val="both"/>
        <w:rPr>
          <w:rFonts w:ascii="Arial" w:hAnsi="Arial" w:cs="Arial"/>
          <w:sz w:val="20"/>
          <w:szCs w:val="20"/>
        </w:rPr>
      </w:pPr>
      <w:r w:rsidRPr="004B5136">
        <w:rPr>
          <w:rFonts w:ascii="Arial" w:hAnsi="Arial" w:cs="Arial"/>
          <w:sz w:val="20"/>
          <w:szCs w:val="20"/>
        </w:rPr>
        <w:t xml:space="preserve">For Pre-Commercial Companies with revenue of between HK$150 million and HK$250 million for the most recent audited financial year, </w:t>
      </w:r>
      <w:r w:rsidR="002646FE" w:rsidRPr="00273819">
        <w:rPr>
          <w:rFonts w:ascii="Arial" w:hAnsi="Arial" w:cs="Arial"/>
          <w:sz w:val="20"/>
          <w:szCs w:val="20"/>
        </w:rPr>
        <w:t xml:space="preserve">the amended requirements lower the </w:t>
      </w:r>
      <w:r w:rsidR="00BD29B6">
        <w:rPr>
          <w:rFonts w:ascii="Arial" w:hAnsi="Arial" w:cs="Arial"/>
          <w:sz w:val="20"/>
          <w:szCs w:val="20"/>
        </w:rPr>
        <w:t>minimum threshold for</w:t>
      </w:r>
      <w:r w:rsidR="002646FE" w:rsidRPr="00273819">
        <w:rPr>
          <w:rFonts w:ascii="Arial" w:hAnsi="Arial" w:cs="Arial"/>
          <w:sz w:val="20"/>
          <w:szCs w:val="20"/>
        </w:rPr>
        <w:t xml:space="preserve"> </w:t>
      </w:r>
      <w:r w:rsidRPr="004B5136">
        <w:rPr>
          <w:rFonts w:ascii="Arial" w:hAnsi="Arial" w:cs="Arial"/>
          <w:sz w:val="20"/>
          <w:szCs w:val="20"/>
        </w:rPr>
        <w:t xml:space="preserve">R&amp;D </w:t>
      </w:r>
      <w:r w:rsidR="00BD29B6">
        <w:rPr>
          <w:rFonts w:ascii="Arial" w:hAnsi="Arial" w:cs="Arial"/>
          <w:sz w:val="20"/>
          <w:szCs w:val="20"/>
        </w:rPr>
        <w:t>expenditure</w:t>
      </w:r>
      <w:r w:rsidR="00BD29B6" w:rsidRPr="00273819">
        <w:rPr>
          <w:rFonts w:ascii="Arial" w:hAnsi="Arial" w:cs="Arial"/>
          <w:sz w:val="20"/>
          <w:szCs w:val="20"/>
        </w:rPr>
        <w:t xml:space="preserve"> </w:t>
      </w:r>
      <w:r w:rsidR="002646FE" w:rsidRPr="00273819">
        <w:rPr>
          <w:rFonts w:ascii="Arial" w:hAnsi="Arial" w:cs="Arial"/>
          <w:sz w:val="20"/>
          <w:szCs w:val="20"/>
        </w:rPr>
        <w:t>to</w:t>
      </w:r>
      <w:r w:rsidRPr="004B5136">
        <w:rPr>
          <w:rFonts w:ascii="Arial" w:hAnsi="Arial" w:cs="Arial"/>
          <w:sz w:val="20"/>
          <w:szCs w:val="20"/>
        </w:rPr>
        <w:t xml:space="preserve"> 30% </w:t>
      </w:r>
      <w:r w:rsidR="00455FA1">
        <w:rPr>
          <w:rFonts w:ascii="Arial" w:hAnsi="Arial" w:cs="Arial"/>
          <w:sz w:val="20"/>
          <w:szCs w:val="20"/>
        </w:rPr>
        <w:t xml:space="preserve">(from the proposed 50%) </w:t>
      </w:r>
      <w:r w:rsidRPr="004B5136">
        <w:rPr>
          <w:rFonts w:ascii="Arial" w:hAnsi="Arial" w:cs="Arial"/>
          <w:sz w:val="20"/>
          <w:szCs w:val="20"/>
        </w:rPr>
        <w:t>of total operating expenditure</w:t>
      </w:r>
      <w:r w:rsidR="002646FE" w:rsidRPr="00273819">
        <w:rPr>
          <w:rFonts w:ascii="Arial" w:hAnsi="Arial" w:cs="Arial"/>
          <w:sz w:val="20"/>
          <w:szCs w:val="20"/>
        </w:rPr>
        <w:t xml:space="preserve"> to accommodate Pre-Commercial Companies in the initial stages of </w:t>
      </w:r>
      <w:proofErr w:type="spellStart"/>
      <w:r w:rsidR="002646FE" w:rsidRPr="00273819">
        <w:rPr>
          <w:rFonts w:ascii="Arial" w:hAnsi="Arial" w:cs="Arial"/>
          <w:sz w:val="20"/>
          <w:szCs w:val="20"/>
        </w:rPr>
        <w:t>commerciali</w:t>
      </w:r>
      <w:r w:rsidR="00A5186E">
        <w:rPr>
          <w:rFonts w:ascii="Arial" w:hAnsi="Arial" w:cs="Arial"/>
          <w:sz w:val="20"/>
          <w:szCs w:val="20"/>
        </w:rPr>
        <w:t>s</w:t>
      </w:r>
      <w:r w:rsidR="00BD29B6">
        <w:rPr>
          <w:rFonts w:ascii="Arial" w:hAnsi="Arial" w:cs="Arial"/>
          <w:sz w:val="20"/>
          <w:szCs w:val="20"/>
        </w:rPr>
        <w:t>ation</w:t>
      </w:r>
      <w:proofErr w:type="spellEnd"/>
      <w:r w:rsidR="00BD29B6">
        <w:rPr>
          <w:rFonts w:ascii="Arial" w:hAnsi="Arial" w:cs="Arial"/>
          <w:sz w:val="20"/>
          <w:szCs w:val="20"/>
        </w:rPr>
        <w:t>.</w:t>
      </w:r>
      <w:r w:rsidR="00472735">
        <w:rPr>
          <w:rStyle w:val="a6"/>
          <w:rFonts w:ascii="Arial" w:hAnsi="Arial" w:cs="Arial"/>
          <w:sz w:val="20"/>
          <w:szCs w:val="20"/>
        </w:rPr>
        <w:footnoteReference w:id="8"/>
      </w:r>
    </w:p>
    <w:p w14:paraId="2E42FC33" w14:textId="77777777" w:rsidR="002646FE" w:rsidRPr="00BD29B6" w:rsidRDefault="002646FE" w:rsidP="006154E0">
      <w:pPr>
        <w:jc w:val="both"/>
        <w:rPr>
          <w:rFonts w:ascii="Arial" w:hAnsi="Arial" w:cs="Arial"/>
          <w:sz w:val="20"/>
          <w:szCs w:val="20"/>
          <w:u w:val="single"/>
        </w:rPr>
      </w:pPr>
      <w:r w:rsidRPr="00BD29B6">
        <w:rPr>
          <w:rFonts w:ascii="Arial" w:hAnsi="Arial" w:cs="Arial"/>
          <w:sz w:val="20"/>
          <w:szCs w:val="20"/>
          <w:u w:val="single"/>
        </w:rPr>
        <w:t xml:space="preserve">Period of Application </w:t>
      </w:r>
    </w:p>
    <w:p w14:paraId="5AD1F157" w14:textId="77777777" w:rsidR="002646FE" w:rsidRPr="00455FA1" w:rsidRDefault="002646FE" w:rsidP="00455FA1">
      <w:pPr>
        <w:jc w:val="both"/>
        <w:rPr>
          <w:rFonts w:ascii="Arial" w:hAnsi="Arial" w:cs="Arial"/>
          <w:sz w:val="20"/>
          <w:szCs w:val="20"/>
        </w:rPr>
      </w:pPr>
      <w:r w:rsidRPr="00455FA1">
        <w:rPr>
          <w:rFonts w:ascii="Arial" w:hAnsi="Arial" w:cs="Arial"/>
          <w:sz w:val="20"/>
          <w:szCs w:val="20"/>
        </w:rPr>
        <w:t xml:space="preserve">The original proposals required the </w:t>
      </w:r>
      <w:r w:rsidR="00455FA1">
        <w:rPr>
          <w:rFonts w:ascii="Arial" w:hAnsi="Arial" w:cs="Arial"/>
          <w:sz w:val="20"/>
          <w:szCs w:val="20"/>
        </w:rPr>
        <w:t xml:space="preserve">minimum R&amp;D expenditure requirement </w:t>
      </w:r>
      <w:r w:rsidRPr="00455FA1">
        <w:rPr>
          <w:rFonts w:ascii="Arial" w:hAnsi="Arial" w:cs="Arial"/>
          <w:sz w:val="20"/>
          <w:szCs w:val="20"/>
        </w:rPr>
        <w:t>to be met for each of the three financial years prior to listing.</w:t>
      </w:r>
    </w:p>
    <w:p w14:paraId="43247504" w14:textId="77777777" w:rsidR="002646FE" w:rsidRPr="00455FA1" w:rsidRDefault="002646FE" w:rsidP="00455FA1">
      <w:pPr>
        <w:jc w:val="both"/>
        <w:rPr>
          <w:rFonts w:ascii="Arial" w:hAnsi="Arial" w:cs="Arial"/>
          <w:sz w:val="20"/>
          <w:szCs w:val="20"/>
        </w:rPr>
      </w:pPr>
      <w:r w:rsidRPr="00455FA1">
        <w:rPr>
          <w:rFonts w:ascii="Arial" w:hAnsi="Arial" w:cs="Arial"/>
          <w:sz w:val="20"/>
          <w:szCs w:val="20"/>
        </w:rPr>
        <w:t xml:space="preserve">To account for possible fluctuations in R&amp;D </w:t>
      </w:r>
      <w:r w:rsidR="00BD29B6" w:rsidRPr="00455FA1">
        <w:rPr>
          <w:rFonts w:ascii="Arial" w:hAnsi="Arial" w:cs="Arial"/>
          <w:sz w:val="20"/>
          <w:szCs w:val="20"/>
        </w:rPr>
        <w:t xml:space="preserve">and operating expenditures, the </w:t>
      </w:r>
      <w:proofErr w:type="spellStart"/>
      <w:r w:rsidR="00BD29B6" w:rsidRPr="00455FA1">
        <w:rPr>
          <w:rFonts w:ascii="Arial" w:hAnsi="Arial" w:cs="Arial"/>
          <w:sz w:val="20"/>
          <w:szCs w:val="20"/>
        </w:rPr>
        <w:t>finalised</w:t>
      </w:r>
      <w:proofErr w:type="spellEnd"/>
      <w:r w:rsidR="00BD29B6" w:rsidRPr="00455FA1">
        <w:rPr>
          <w:rFonts w:ascii="Arial" w:hAnsi="Arial" w:cs="Arial"/>
          <w:sz w:val="20"/>
          <w:szCs w:val="20"/>
        </w:rPr>
        <w:t xml:space="preserve"> Chapter 18C requires </w:t>
      </w:r>
      <w:r w:rsidRPr="00455FA1">
        <w:rPr>
          <w:rFonts w:ascii="Arial" w:hAnsi="Arial" w:cs="Arial"/>
          <w:sz w:val="20"/>
          <w:szCs w:val="20"/>
        </w:rPr>
        <w:t xml:space="preserve">the </w:t>
      </w:r>
      <w:r w:rsidR="00455FA1">
        <w:rPr>
          <w:rFonts w:ascii="Arial" w:hAnsi="Arial" w:cs="Arial"/>
          <w:sz w:val="20"/>
          <w:szCs w:val="20"/>
        </w:rPr>
        <w:t xml:space="preserve">minimum R&amp;D expenditure requirement </w:t>
      </w:r>
      <w:r w:rsidR="00BD29B6" w:rsidRPr="00455FA1">
        <w:rPr>
          <w:rFonts w:ascii="Arial" w:hAnsi="Arial" w:cs="Arial"/>
          <w:sz w:val="20"/>
          <w:szCs w:val="20"/>
        </w:rPr>
        <w:t xml:space="preserve">to </w:t>
      </w:r>
      <w:r w:rsidRPr="00455FA1">
        <w:rPr>
          <w:rFonts w:ascii="Arial" w:hAnsi="Arial" w:cs="Arial"/>
          <w:sz w:val="20"/>
          <w:szCs w:val="20"/>
        </w:rPr>
        <w:t xml:space="preserve">be met on a yearly basis for at least two of the three financial years prior to listing, as well as on an aggregate basis over all three financial years prior to listing. </w:t>
      </w:r>
    </w:p>
    <w:p w14:paraId="68A9EF32" w14:textId="77777777" w:rsidR="00876714" w:rsidRDefault="00455FA1" w:rsidP="006154E0">
      <w:pPr>
        <w:jc w:val="both"/>
        <w:rPr>
          <w:rFonts w:ascii="Arial" w:hAnsi="Arial" w:cs="Arial"/>
          <w:sz w:val="20"/>
          <w:szCs w:val="20"/>
        </w:rPr>
      </w:pPr>
      <w:r>
        <w:rPr>
          <w:rFonts w:ascii="Arial" w:hAnsi="Arial" w:cs="Arial"/>
          <w:sz w:val="20"/>
          <w:szCs w:val="20"/>
        </w:rPr>
        <w:t>The amount of R&amp;D expenditure</w:t>
      </w:r>
      <w:r w:rsidR="00876714" w:rsidRPr="00876714">
        <w:rPr>
          <w:rFonts w:ascii="Arial" w:hAnsi="Arial" w:cs="Arial"/>
          <w:sz w:val="20"/>
          <w:szCs w:val="20"/>
        </w:rPr>
        <w:t xml:space="preserve"> will include costs that are directly attributable to the Specialist Technology Companies’ R&amp;D activities including development costs that have been </w:t>
      </w:r>
      <w:proofErr w:type="spellStart"/>
      <w:r w:rsidR="00876714" w:rsidRPr="00876714">
        <w:rPr>
          <w:rFonts w:ascii="Arial" w:hAnsi="Arial" w:cs="Arial"/>
          <w:sz w:val="20"/>
          <w:szCs w:val="20"/>
        </w:rPr>
        <w:t>capitalised</w:t>
      </w:r>
      <w:proofErr w:type="spellEnd"/>
      <w:r w:rsidR="00876714" w:rsidRPr="00876714">
        <w:rPr>
          <w:rFonts w:ascii="Arial" w:hAnsi="Arial" w:cs="Arial"/>
          <w:sz w:val="20"/>
          <w:szCs w:val="20"/>
        </w:rPr>
        <w:t xml:space="preserve"> as intangible assets for accounting purposes, but excluding administrative and general costs not clearly related to R&amp;D. </w:t>
      </w:r>
    </w:p>
    <w:p w14:paraId="5A4A3BB6" w14:textId="77777777" w:rsidR="00876714" w:rsidRDefault="00876714" w:rsidP="006154E0">
      <w:pPr>
        <w:jc w:val="both"/>
        <w:rPr>
          <w:rFonts w:ascii="Arial" w:hAnsi="Arial" w:cs="Arial"/>
          <w:sz w:val="20"/>
          <w:szCs w:val="20"/>
        </w:rPr>
      </w:pPr>
      <w:r>
        <w:rPr>
          <w:rFonts w:ascii="Arial" w:hAnsi="Arial" w:cs="Arial"/>
          <w:sz w:val="20"/>
          <w:szCs w:val="20"/>
        </w:rPr>
        <w:t xml:space="preserve">In addition, </w:t>
      </w:r>
      <w:r w:rsidR="00472735">
        <w:rPr>
          <w:rFonts w:ascii="Arial" w:hAnsi="Arial" w:cs="Arial"/>
          <w:sz w:val="20"/>
          <w:szCs w:val="20"/>
        </w:rPr>
        <w:t>t</w:t>
      </w:r>
      <w:r w:rsidRPr="00876714">
        <w:rPr>
          <w:rFonts w:ascii="Arial" w:hAnsi="Arial" w:cs="Arial"/>
          <w:sz w:val="20"/>
          <w:szCs w:val="20"/>
        </w:rPr>
        <w:t xml:space="preserve">he HKEX expects the amount of R&amp;D </w:t>
      </w:r>
      <w:r w:rsidR="007F06CF">
        <w:rPr>
          <w:rFonts w:ascii="Arial" w:hAnsi="Arial" w:cs="Arial"/>
          <w:sz w:val="20"/>
          <w:szCs w:val="20"/>
        </w:rPr>
        <w:t>expenditure</w:t>
      </w:r>
      <w:r w:rsidR="007F06CF" w:rsidRPr="00876714">
        <w:rPr>
          <w:rFonts w:ascii="Arial" w:hAnsi="Arial" w:cs="Arial"/>
          <w:sz w:val="20"/>
          <w:szCs w:val="20"/>
        </w:rPr>
        <w:t xml:space="preserve"> </w:t>
      </w:r>
      <w:r w:rsidRPr="00876714">
        <w:rPr>
          <w:rFonts w:ascii="Arial" w:hAnsi="Arial" w:cs="Arial"/>
          <w:sz w:val="20"/>
          <w:szCs w:val="20"/>
        </w:rPr>
        <w:t xml:space="preserve">to consist primarily of the following costs: </w:t>
      </w:r>
    </w:p>
    <w:p w14:paraId="6CE19A31" w14:textId="77777777" w:rsidR="00876714" w:rsidRPr="00472735" w:rsidRDefault="00876714" w:rsidP="00472735">
      <w:pPr>
        <w:pStyle w:val="a3"/>
        <w:numPr>
          <w:ilvl w:val="0"/>
          <w:numId w:val="37"/>
        </w:numPr>
        <w:jc w:val="both"/>
        <w:rPr>
          <w:rFonts w:ascii="Arial" w:hAnsi="Arial" w:cs="Arial"/>
          <w:sz w:val="20"/>
          <w:szCs w:val="20"/>
        </w:rPr>
      </w:pPr>
      <w:r w:rsidRPr="00472735">
        <w:rPr>
          <w:rFonts w:ascii="Arial" w:hAnsi="Arial" w:cs="Arial"/>
          <w:sz w:val="20"/>
          <w:szCs w:val="20"/>
        </w:rPr>
        <w:t xml:space="preserve">the costs of personnel engaged in R&amp;D activities; </w:t>
      </w:r>
    </w:p>
    <w:p w14:paraId="25E54B47" w14:textId="77777777" w:rsidR="00876714" w:rsidRPr="00472735" w:rsidRDefault="00876714" w:rsidP="00472735">
      <w:pPr>
        <w:pStyle w:val="a3"/>
        <w:numPr>
          <w:ilvl w:val="0"/>
          <w:numId w:val="37"/>
        </w:numPr>
        <w:jc w:val="both"/>
        <w:rPr>
          <w:rFonts w:ascii="Arial" w:hAnsi="Arial" w:cs="Arial"/>
          <w:sz w:val="20"/>
          <w:szCs w:val="20"/>
        </w:rPr>
      </w:pPr>
      <w:r w:rsidRPr="00472735">
        <w:rPr>
          <w:rFonts w:ascii="Arial" w:hAnsi="Arial" w:cs="Arial"/>
          <w:sz w:val="20"/>
          <w:szCs w:val="20"/>
        </w:rPr>
        <w:t xml:space="preserve">depreciation, service fees or other costs directly attributable to the equipment or facilities used in R&amp;D activities; </w:t>
      </w:r>
    </w:p>
    <w:p w14:paraId="6885B7D6" w14:textId="77777777" w:rsidR="00876714" w:rsidRPr="00472735" w:rsidRDefault="00876714" w:rsidP="00472735">
      <w:pPr>
        <w:pStyle w:val="a3"/>
        <w:numPr>
          <w:ilvl w:val="0"/>
          <w:numId w:val="37"/>
        </w:numPr>
        <w:jc w:val="both"/>
        <w:rPr>
          <w:rFonts w:ascii="Arial" w:hAnsi="Arial" w:cs="Arial"/>
          <w:sz w:val="20"/>
          <w:szCs w:val="20"/>
        </w:rPr>
      </w:pPr>
      <w:proofErr w:type="spellStart"/>
      <w:r w:rsidRPr="00472735">
        <w:rPr>
          <w:rFonts w:ascii="Arial" w:hAnsi="Arial" w:cs="Arial"/>
          <w:sz w:val="20"/>
          <w:szCs w:val="20"/>
        </w:rPr>
        <w:t>amortisation</w:t>
      </w:r>
      <w:proofErr w:type="spellEnd"/>
      <w:r w:rsidRPr="00472735">
        <w:rPr>
          <w:rFonts w:ascii="Arial" w:hAnsi="Arial" w:cs="Arial"/>
          <w:sz w:val="20"/>
          <w:szCs w:val="20"/>
        </w:rPr>
        <w:t xml:space="preserve"> of intangibles used in R&amp;D activities</w:t>
      </w:r>
      <w:r w:rsidRPr="00876714">
        <w:t xml:space="preserve"> </w:t>
      </w:r>
      <w:r>
        <w:t>(</w:t>
      </w:r>
      <w:r w:rsidRPr="00472735">
        <w:rPr>
          <w:rFonts w:ascii="Arial" w:hAnsi="Arial" w:cs="Arial"/>
          <w:sz w:val="20"/>
          <w:szCs w:val="20"/>
        </w:rPr>
        <w:t xml:space="preserve">to the extent the related R&amp;D costs being </w:t>
      </w:r>
      <w:proofErr w:type="spellStart"/>
      <w:r w:rsidRPr="00472735">
        <w:rPr>
          <w:rFonts w:ascii="Arial" w:hAnsi="Arial" w:cs="Arial"/>
          <w:sz w:val="20"/>
          <w:szCs w:val="20"/>
        </w:rPr>
        <w:t>capitalised</w:t>
      </w:r>
      <w:proofErr w:type="spellEnd"/>
      <w:r w:rsidRPr="00472735">
        <w:rPr>
          <w:rFonts w:ascii="Arial" w:hAnsi="Arial" w:cs="Arial"/>
          <w:sz w:val="20"/>
          <w:szCs w:val="20"/>
        </w:rPr>
        <w:t xml:space="preserve"> as intangibles have not been included in the development costs mentioned above); and </w:t>
      </w:r>
    </w:p>
    <w:p w14:paraId="6CEA6CCC" w14:textId="77777777" w:rsidR="002646FE" w:rsidRPr="004B5136" w:rsidRDefault="00876714" w:rsidP="00472735">
      <w:pPr>
        <w:pStyle w:val="a3"/>
        <w:numPr>
          <w:ilvl w:val="0"/>
          <w:numId w:val="37"/>
        </w:numPr>
        <w:jc w:val="both"/>
        <w:rPr>
          <w:rFonts w:ascii="Arial" w:hAnsi="Arial" w:cs="Arial"/>
          <w:sz w:val="20"/>
          <w:szCs w:val="20"/>
        </w:rPr>
      </w:pPr>
      <w:r w:rsidRPr="00472735">
        <w:rPr>
          <w:rFonts w:ascii="Arial" w:hAnsi="Arial" w:cs="Arial"/>
          <w:sz w:val="20"/>
          <w:szCs w:val="20"/>
        </w:rPr>
        <w:t>the costs of materials consumed in R&amp;D activities.</w:t>
      </w:r>
    </w:p>
    <w:p w14:paraId="785CC910" w14:textId="77777777" w:rsidR="00BB5FE7" w:rsidRPr="004B5136" w:rsidRDefault="00BB5FE7" w:rsidP="004B5136">
      <w:pPr>
        <w:jc w:val="both"/>
        <w:rPr>
          <w:rFonts w:ascii="Arial" w:hAnsi="Arial" w:cs="Arial"/>
          <w:b/>
          <w:sz w:val="20"/>
          <w:szCs w:val="20"/>
        </w:rPr>
      </w:pPr>
      <w:r w:rsidRPr="004B5136">
        <w:rPr>
          <w:rFonts w:ascii="Arial" w:hAnsi="Arial" w:cs="Arial"/>
          <w:b/>
          <w:sz w:val="20"/>
          <w:szCs w:val="20"/>
        </w:rPr>
        <w:t>Track Record, Management and Ownership Continuity</w:t>
      </w:r>
    </w:p>
    <w:p w14:paraId="1A9A6DDD" w14:textId="77777777" w:rsidR="005010EA" w:rsidRDefault="00BB5FE7" w:rsidP="004B5136">
      <w:pPr>
        <w:jc w:val="both"/>
        <w:rPr>
          <w:rFonts w:ascii="Arial" w:hAnsi="Arial" w:cs="Arial"/>
          <w:sz w:val="20"/>
          <w:szCs w:val="20"/>
        </w:rPr>
      </w:pPr>
      <w:r w:rsidRPr="00273819">
        <w:rPr>
          <w:rFonts w:ascii="Arial" w:hAnsi="Arial" w:cs="Arial"/>
          <w:sz w:val="20"/>
          <w:szCs w:val="20"/>
        </w:rPr>
        <w:lastRenderedPageBreak/>
        <w:t xml:space="preserve">In line with the criteria applicable to other Main Board listing applicants, Specialist Technology Companies are required to demonstrate a minimum of three financial years of operation in their current line of business under substantially the same management. In exceptional cases, the HKEX may consider a </w:t>
      </w:r>
      <w:r w:rsidR="00B70E04" w:rsidRPr="00273819">
        <w:rPr>
          <w:rFonts w:ascii="Arial" w:hAnsi="Arial" w:cs="Arial"/>
          <w:sz w:val="20"/>
          <w:szCs w:val="20"/>
        </w:rPr>
        <w:t>shorter trading period</w:t>
      </w:r>
      <w:r w:rsidRPr="00273819">
        <w:rPr>
          <w:rFonts w:ascii="Arial" w:hAnsi="Arial" w:cs="Arial"/>
          <w:sz w:val="20"/>
          <w:szCs w:val="20"/>
        </w:rPr>
        <w:t xml:space="preserve"> of at least two financial years. </w:t>
      </w:r>
      <w:r w:rsidR="00B70E04" w:rsidRPr="00273819">
        <w:rPr>
          <w:rFonts w:ascii="Arial" w:hAnsi="Arial" w:cs="Arial"/>
          <w:sz w:val="20"/>
          <w:szCs w:val="20"/>
        </w:rPr>
        <w:t>Specialist Technology Companies will also require ownership continuity and control for at least 12 months before listing, and up until the time immediately before the offering and/or placing becomes unconditional.</w:t>
      </w:r>
      <w:r w:rsidR="004C6D17">
        <w:rPr>
          <w:rStyle w:val="a6"/>
          <w:rFonts w:ascii="Arial" w:hAnsi="Arial" w:cs="Arial"/>
          <w:sz w:val="20"/>
          <w:szCs w:val="20"/>
        </w:rPr>
        <w:footnoteReference w:id="9"/>
      </w:r>
      <w:r w:rsidR="004C6D17">
        <w:rPr>
          <w:rFonts w:ascii="Arial" w:hAnsi="Arial" w:cs="Arial"/>
          <w:sz w:val="20"/>
          <w:szCs w:val="20"/>
        </w:rPr>
        <w:t xml:space="preserve"> The new Guidance Letter for Specialist Technology Companies</w:t>
      </w:r>
      <w:r w:rsidR="004C6D17" w:rsidRPr="00273819">
        <w:rPr>
          <w:rFonts w:ascii="Arial" w:hAnsi="Arial" w:cs="Arial"/>
          <w:sz w:val="20"/>
          <w:szCs w:val="20"/>
        </w:rPr>
        <w:t xml:space="preserve"> </w:t>
      </w:r>
      <w:r w:rsidR="004C6D17">
        <w:rPr>
          <w:rFonts w:ascii="Arial" w:hAnsi="Arial" w:cs="Arial"/>
          <w:sz w:val="20"/>
          <w:szCs w:val="20"/>
        </w:rPr>
        <w:t xml:space="preserve">provides that the HKEX will apply its guidance on the ownership continuity and control requirement under HKEX Listing Rule 8.05 (as set out in Guidance Letter </w:t>
      </w:r>
      <w:hyperlink r:id="rId12" w:history="1">
        <w:r w:rsidR="004C6D17" w:rsidRPr="004C6D17">
          <w:rPr>
            <w:rStyle w:val="a7"/>
          </w:rPr>
          <w:t>HKEX-GL89-16</w:t>
        </w:r>
      </w:hyperlink>
      <w:r w:rsidR="004C6D17">
        <w:t xml:space="preserve">) </w:t>
      </w:r>
      <w:r w:rsidR="004C6D17">
        <w:rPr>
          <w:rFonts w:ascii="Arial" w:hAnsi="Arial" w:cs="Arial"/>
          <w:sz w:val="20"/>
          <w:szCs w:val="20"/>
        </w:rPr>
        <w:t xml:space="preserve">to the ownership continuity and control requirement for Specialist Technology Companies. </w:t>
      </w:r>
      <w:r w:rsidR="005010EA">
        <w:rPr>
          <w:rFonts w:ascii="Arial" w:hAnsi="Arial" w:cs="Arial"/>
          <w:sz w:val="20"/>
          <w:szCs w:val="20"/>
        </w:rPr>
        <w:t>This means that:</w:t>
      </w:r>
    </w:p>
    <w:p w14:paraId="31758549" w14:textId="77777777" w:rsidR="005010EA" w:rsidRDefault="005010EA" w:rsidP="005010EA">
      <w:pPr>
        <w:pStyle w:val="a3"/>
        <w:numPr>
          <w:ilvl w:val="0"/>
          <w:numId w:val="37"/>
        </w:numPr>
        <w:jc w:val="both"/>
        <w:rPr>
          <w:rFonts w:ascii="Arial" w:hAnsi="Arial" w:cs="Arial"/>
          <w:sz w:val="20"/>
          <w:szCs w:val="20"/>
        </w:rPr>
      </w:pPr>
      <w:r>
        <w:rPr>
          <w:rFonts w:ascii="Arial" w:hAnsi="Arial" w:cs="Arial"/>
          <w:sz w:val="20"/>
          <w:szCs w:val="20"/>
        </w:rPr>
        <w:t>if a Specialist Technology Company does not have a controlling shareholder, the ownership continuity requirement will be assessed by reference to the single largest shareholder; and</w:t>
      </w:r>
    </w:p>
    <w:p w14:paraId="04871EBC" w14:textId="77777777" w:rsidR="005010EA" w:rsidRDefault="005010EA" w:rsidP="005010EA">
      <w:pPr>
        <w:pStyle w:val="a3"/>
        <w:jc w:val="both"/>
        <w:rPr>
          <w:rFonts w:ascii="Arial" w:hAnsi="Arial" w:cs="Arial"/>
          <w:sz w:val="20"/>
          <w:szCs w:val="20"/>
        </w:rPr>
      </w:pPr>
    </w:p>
    <w:p w14:paraId="4EB2C446" w14:textId="77777777" w:rsidR="005010EA" w:rsidRDefault="005010EA" w:rsidP="005010EA">
      <w:pPr>
        <w:pStyle w:val="a3"/>
        <w:numPr>
          <w:ilvl w:val="0"/>
          <w:numId w:val="37"/>
        </w:numPr>
        <w:jc w:val="both"/>
        <w:rPr>
          <w:rFonts w:ascii="Arial" w:hAnsi="Arial" w:cs="Arial"/>
          <w:sz w:val="20"/>
          <w:szCs w:val="20"/>
        </w:rPr>
      </w:pPr>
      <w:r w:rsidRPr="005010EA">
        <w:rPr>
          <w:rFonts w:ascii="Arial" w:hAnsi="Arial" w:cs="Arial"/>
          <w:sz w:val="20"/>
          <w:szCs w:val="20"/>
        </w:rPr>
        <w:t xml:space="preserve">a change in controlling shareholder(s) </w:t>
      </w:r>
      <w:r>
        <w:rPr>
          <w:rFonts w:ascii="Arial" w:hAnsi="Arial" w:cs="Arial"/>
          <w:sz w:val="20"/>
          <w:szCs w:val="20"/>
        </w:rPr>
        <w:t>does not necessarily render a</w:t>
      </w:r>
      <w:r w:rsidRPr="005010EA">
        <w:rPr>
          <w:rFonts w:ascii="Arial" w:hAnsi="Arial" w:cs="Arial"/>
          <w:sz w:val="20"/>
          <w:szCs w:val="20"/>
        </w:rPr>
        <w:t xml:space="preserve"> listing applicant ineligible for listing. I</w:t>
      </w:r>
      <w:r>
        <w:rPr>
          <w:rFonts w:ascii="Arial" w:hAnsi="Arial" w:cs="Arial"/>
          <w:sz w:val="20"/>
          <w:szCs w:val="20"/>
        </w:rPr>
        <w:t xml:space="preserve">f the </w:t>
      </w:r>
      <w:r w:rsidRPr="005010EA">
        <w:rPr>
          <w:rFonts w:ascii="Arial" w:hAnsi="Arial" w:cs="Arial"/>
          <w:sz w:val="20"/>
          <w:szCs w:val="20"/>
        </w:rPr>
        <w:t>chan</w:t>
      </w:r>
      <w:r>
        <w:rPr>
          <w:rFonts w:ascii="Arial" w:hAnsi="Arial" w:cs="Arial"/>
          <w:sz w:val="20"/>
          <w:szCs w:val="20"/>
        </w:rPr>
        <w:t xml:space="preserve">ge in ownership continuity </w:t>
      </w:r>
      <w:r w:rsidRPr="005010EA">
        <w:rPr>
          <w:rFonts w:ascii="Arial" w:hAnsi="Arial" w:cs="Arial"/>
          <w:sz w:val="20"/>
          <w:szCs w:val="20"/>
        </w:rPr>
        <w:t>result</w:t>
      </w:r>
      <w:r>
        <w:rPr>
          <w:rFonts w:ascii="Arial" w:hAnsi="Arial" w:cs="Arial"/>
          <w:sz w:val="20"/>
          <w:szCs w:val="20"/>
        </w:rPr>
        <w:t>s from the dilution of a shareholding, the</w:t>
      </w:r>
      <w:r w:rsidRPr="005010EA">
        <w:rPr>
          <w:rFonts w:ascii="Arial" w:hAnsi="Arial" w:cs="Arial"/>
          <w:sz w:val="20"/>
          <w:szCs w:val="20"/>
        </w:rPr>
        <w:t xml:space="preserve"> listing applicant can rebut the presumption that there has been a material change in influence on management by demonstrating that there was no such change</w:t>
      </w:r>
      <w:r>
        <w:rPr>
          <w:rFonts w:ascii="Arial" w:hAnsi="Arial" w:cs="Arial"/>
          <w:sz w:val="20"/>
          <w:szCs w:val="20"/>
        </w:rPr>
        <w:t>.</w:t>
      </w:r>
    </w:p>
    <w:p w14:paraId="3B209130" w14:textId="77777777" w:rsidR="000C3129" w:rsidRDefault="000C3129" w:rsidP="000C3129">
      <w:pPr>
        <w:rPr>
          <w:rFonts w:ascii="Arial" w:hAnsi="Arial" w:cs="Arial"/>
          <w:b/>
          <w:sz w:val="20"/>
          <w:szCs w:val="20"/>
        </w:rPr>
      </w:pPr>
      <w:r w:rsidRPr="000C3129">
        <w:rPr>
          <w:rFonts w:ascii="Arial" w:hAnsi="Arial" w:cs="Arial"/>
          <w:b/>
          <w:sz w:val="20"/>
          <w:szCs w:val="20"/>
        </w:rPr>
        <w:t>Minimum Third Party Investment</w:t>
      </w:r>
    </w:p>
    <w:p w14:paraId="6B6EBD85" w14:textId="77777777" w:rsidR="00F64651" w:rsidRPr="00F64651" w:rsidRDefault="00F64651" w:rsidP="000C3129">
      <w:pPr>
        <w:rPr>
          <w:rFonts w:ascii="Arial" w:hAnsi="Arial" w:cs="Arial"/>
          <w:sz w:val="20"/>
          <w:szCs w:val="20"/>
          <w:u w:val="single"/>
        </w:rPr>
      </w:pPr>
      <w:r>
        <w:rPr>
          <w:rFonts w:ascii="Arial" w:hAnsi="Arial" w:cs="Arial"/>
          <w:sz w:val="20"/>
          <w:szCs w:val="20"/>
          <w:u w:val="single"/>
        </w:rPr>
        <w:t>Investment from Pathfinder SIIs</w:t>
      </w:r>
    </w:p>
    <w:p w14:paraId="356EBDEE" w14:textId="77777777" w:rsidR="000C3A90" w:rsidRPr="00273819" w:rsidRDefault="000C3129" w:rsidP="006154E0">
      <w:pPr>
        <w:jc w:val="both"/>
        <w:rPr>
          <w:rFonts w:ascii="Arial" w:hAnsi="Arial" w:cs="Arial"/>
          <w:sz w:val="20"/>
          <w:szCs w:val="20"/>
        </w:rPr>
      </w:pPr>
      <w:r>
        <w:rPr>
          <w:rFonts w:ascii="Arial" w:hAnsi="Arial" w:cs="Arial"/>
          <w:sz w:val="20"/>
          <w:szCs w:val="20"/>
        </w:rPr>
        <w:t xml:space="preserve">A </w:t>
      </w:r>
      <w:r w:rsidR="000C3A90" w:rsidRPr="00273819">
        <w:rPr>
          <w:rFonts w:ascii="Arial" w:hAnsi="Arial" w:cs="Arial"/>
          <w:sz w:val="20"/>
          <w:szCs w:val="20"/>
        </w:rPr>
        <w:t>Specialist Technology Company must have received meaningful investment from sophisticated independent investors</w:t>
      </w:r>
      <w:r>
        <w:rPr>
          <w:rFonts w:ascii="Arial" w:hAnsi="Arial" w:cs="Arial"/>
          <w:sz w:val="20"/>
          <w:szCs w:val="20"/>
        </w:rPr>
        <w:t xml:space="preserve"> </w:t>
      </w:r>
      <w:r w:rsidR="000C3A90" w:rsidRPr="00273819">
        <w:rPr>
          <w:rFonts w:ascii="Arial" w:hAnsi="Arial" w:cs="Arial"/>
          <w:sz w:val="20"/>
          <w:szCs w:val="20"/>
        </w:rPr>
        <w:t>(</w:t>
      </w:r>
      <w:r w:rsidR="000C3A90" w:rsidRPr="000C3129">
        <w:rPr>
          <w:rFonts w:ascii="Arial" w:hAnsi="Arial" w:cs="Arial"/>
          <w:b/>
          <w:sz w:val="20"/>
          <w:szCs w:val="20"/>
        </w:rPr>
        <w:t>SIIs</w:t>
      </w:r>
      <w:r w:rsidR="000C3A90" w:rsidRPr="00273819">
        <w:rPr>
          <w:rFonts w:ascii="Arial" w:hAnsi="Arial" w:cs="Arial"/>
          <w:sz w:val="20"/>
          <w:szCs w:val="20"/>
        </w:rPr>
        <w:t xml:space="preserve">). To address concerns about </w:t>
      </w:r>
      <w:r w:rsidR="00632C27">
        <w:rPr>
          <w:rFonts w:ascii="Arial" w:hAnsi="Arial" w:cs="Arial"/>
          <w:sz w:val="20"/>
          <w:szCs w:val="20"/>
        </w:rPr>
        <w:t xml:space="preserve">difficulty in </w:t>
      </w:r>
      <w:r w:rsidR="000C3A90" w:rsidRPr="00273819">
        <w:rPr>
          <w:rFonts w:ascii="Arial" w:hAnsi="Arial" w:cs="Arial"/>
          <w:sz w:val="20"/>
          <w:szCs w:val="20"/>
        </w:rPr>
        <w:t>meeting the proposed indicative benchmark on meaningful investment from Pathfinder SIIs (</w:t>
      </w:r>
      <w:proofErr w:type="gramStart"/>
      <w:r w:rsidR="000C3A90" w:rsidRPr="00273819">
        <w:rPr>
          <w:rFonts w:ascii="Arial" w:hAnsi="Arial" w:cs="Arial"/>
          <w:sz w:val="20"/>
          <w:szCs w:val="20"/>
        </w:rPr>
        <w:t>i.e.</w:t>
      </w:r>
      <w:proofErr w:type="gramEnd"/>
      <w:r w:rsidR="000C3A90" w:rsidRPr="00273819">
        <w:rPr>
          <w:rFonts w:ascii="Arial" w:hAnsi="Arial" w:cs="Arial"/>
          <w:sz w:val="20"/>
          <w:szCs w:val="20"/>
        </w:rPr>
        <w:t xml:space="preserve"> two Pathfinder SIIs holding shares or convertible securities equivalent to 5% or more of the issued share capital of the listing applicant), the HKEX has revised the benchmark.</w:t>
      </w:r>
    </w:p>
    <w:p w14:paraId="747915C5" w14:textId="77777777" w:rsidR="002F3F60" w:rsidRPr="004B5136" w:rsidRDefault="000C3129" w:rsidP="006154E0">
      <w:pPr>
        <w:jc w:val="both"/>
        <w:rPr>
          <w:rFonts w:ascii="Arial" w:hAnsi="Arial" w:cs="Arial"/>
          <w:sz w:val="20"/>
          <w:szCs w:val="20"/>
        </w:rPr>
      </w:pPr>
      <w:r>
        <w:rPr>
          <w:rFonts w:ascii="Arial" w:hAnsi="Arial" w:cs="Arial"/>
          <w:sz w:val="20"/>
          <w:szCs w:val="20"/>
        </w:rPr>
        <w:t>Under t</w:t>
      </w:r>
      <w:r w:rsidR="000C3A90" w:rsidRPr="00273819">
        <w:rPr>
          <w:rFonts w:ascii="Arial" w:hAnsi="Arial" w:cs="Arial"/>
          <w:sz w:val="20"/>
          <w:szCs w:val="20"/>
        </w:rPr>
        <w:t>he revised benchmark</w:t>
      </w:r>
      <w:r>
        <w:rPr>
          <w:rFonts w:ascii="Arial" w:hAnsi="Arial" w:cs="Arial"/>
          <w:sz w:val="20"/>
          <w:szCs w:val="20"/>
        </w:rPr>
        <w:t xml:space="preserve">, the </w:t>
      </w:r>
      <w:r w:rsidR="00554D40">
        <w:rPr>
          <w:rFonts w:ascii="Arial" w:hAnsi="Arial" w:cs="Arial"/>
          <w:sz w:val="20"/>
          <w:szCs w:val="20"/>
        </w:rPr>
        <w:t xml:space="preserve">requirement for a </w:t>
      </w:r>
      <w:r w:rsidR="00554D40" w:rsidRPr="00273819">
        <w:rPr>
          <w:rFonts w:ascii="Arial" w:hAnsi="Arial" w:cs="Arial"/>
          <w:sz w:val="20"/>
          <w:szCs w:val="20"/>
        </w:rPr>
        <w:t xml:space="preserve">Specialist Technology Company </w:t>
      </w:r>
      <w:r w:rsidR="00554D40">
        <w:rPr>
          <w:rFonts w:ascii="Arial" w:hAnsi="Arial" w:cs="Arial"/>
          <w:sz w:val="20"/>
          <w:szCs w:val="20"/>
        </w:rPr>
        <w:t xml:space="preserve">to have received meaningful investment from SIIs under HKEX Listing Rule 18C.05 will be met if the </w:t>
      </w:r>
      <w:r w:rsidR="00554D40" w:rsidRPr="00273819">
        <w:rPr>
          <w:rFonts w:ascii="Arial" w:hAnsi="Arial" w:cs="Arial"/>
          <w:sz w:val="20"/>
          <w:szCs w:val="20"/>
        </w:rPr>
        <w:t xml:space="preserve">Specialist Technology Company </w:t>
      </w:r>
      <w:r w:rsidR="00554D40">
        <w:rPr>
          <w:rFonts w:ascii="Arial" w:hAnsi="Arial" w:cs="Arial"/>
          <w:sz w:val="20"/>
          <w:szCs w:val="20"/>
        </w:rPr>
        <w:t xml:space="preserve">has received investments from </w:t>
      </w:r>
      <w:r w:rsidR="000C3A90" w:rsidRPr="00273819">
        <w:rPr>
          <w:rFonts w:ascii="Arial" w:hAnsi="Arial" w:cs="Arial"/>
          <w:sz w:val="20"/>
          <w:szCs w:val="20"/>
        </w:rPr>
        <w:t xml:space="preserve">a group of two to five SIIs at least 12 months before the date of the listing application </w:t>
      </w:r>
      <w:r w:rsidR="00554D40">
        <w:rPr>
          <w:rFonts w:ascii="Arial" w:hAnsi="Arial" w:cs="Arial"/>
          <w:sz w:val="20"/>
          <w:szCs w:val="20"/>
        </w:rPr>
        <w:t>(</w:t>
      </w:r>
      <w:r w:rsidR="00554D40" w:rsidRPr="00554D40">
        <w:rPr>
          <w:rFonts w:ascii="Arial" w:hAnsi="Arial" w:cs="Arial"/>
          <w:b/>
          <w:sz w:val="20"/>
          <w:szCs w:val="20"/>
        </w:rPr>
        <w:t>Pathfinder SIIs</w:t>
      </w:r>
      <w:r w:rsidR="00554D40">
        <w:rPr>
          <w:rFonts w:ascii="Arial" w:hAnsi="Arial" w:cs="Arial"/>
          <w:sz w:val="20"/>
          <w:szCs w:val="20"/>
        </w:rPr>
        <w:t>) who</w:t>
      </w:r>
      <w:r w:rsidR="000C3A90" w:rsidRPr="00273819">
        <w:rPr>
          <w:rFonts w:ascii="Arial" w:hAnsi="Arial" w:cs="Arial"/>
          <w:sz w:val="20"/>
          <w:szCs w:val="20"/>
        </w:rPr>
        <w:t>:</w:t>
      </w:r>
      <w:r w:rsidR="00A31B25">
        <w:rPr>
          <w:rStyle w:val="a6"/>
          <w:rFonts w:ascii="Arial" w:hAnsi="Arial" w:cs="Arial"/>
          <w:sz w:val="20"/>
          <w:szCs w:val="20"/>
        </w:rPr>
        <w:footnoteReference w:id="10"/>
      </w:r>
    </w:p>
    <w:p w14:paraId="64451D40" w14:textId="77777777" w:rsidR="00A5671F" w:rsidRPr="004B5136" w:rsidRDefault="00A5671F" w:rsidP="006154E0">
      <w:pPr>
        <w:ind w:left="720"/>
        <w:jc w:val="both"/>
        <w:rPr>
          <w:rFonts w:ascii="Arial" w:hAnsi="Arial" w:cs="Arial"/>
          <w:sz w:val="20"/>
          <w:szCs w:val="20"/>
        </w:rPr>
      </w:pPr>
      <w:r w:rsidRPr="004B5136">
        <w:rPr>
          <w:rFonts w:ascii="Arial" w:hAnsi="Arial" w:cs="Arial"/>
          <w:sz w:val="20"/>
          <w:szCs w:val="20"/>
        </w:rPr>
        <w:t>(a) in aggregate</w:t>
      </w:r>
      <w:r w:rsidR="00554D40">
        <w:rPr>
          <w:rFonts w:ascii="Arial" w:hAnsi="Arial" w:cs="Arial"/>
          <w:sz w:val="20"/>
          <w:szCs w:val="20"/>
        </w:rPr>
        <w:t>,</w:t>
      </w:r>
      <w:r w:rsidRPr="004B5136">
        <w:rPr>
          <w:rFonts w:ascii="Arial" w:hAnsi="Arial" w:cs="Arial"/>
          <w:sz w:val="20"/>
          <w:szCs w:val="20"/>
        </w:rPr>
        <w:t xml:space="preserve"> hold shares or securities convertible into shares equivalent to 10% or more of the listing applicant’s issued share capital as at the date of </w:t>
      </w:r>
      <w:r w:rsidR="00554D40">
        <w:rPr>
          <w:rFonts w:ascii="Arial" w:hAnsi="Arial" w:cs="Arial"/>
          <w:sz w:val="20"/>
          <w:szCs w:val="20"/>
        </w:rPr>
        <w:t xml:space="preserve">its </w:t>
      </w:r>
      <w:r w:rsidRPr="004B5136">
        <w:rPr>
          <w:rFonts w:ascii="Arial" w:hAnsi="Arial" w:cs="Arial"/>
          <w:sz w:val="20"/>
          <w:szCs w:val="20"/>
        </w:rPr>
        <w:t>listing application and throughout the pre-application 12-month period; or</w:t>
      </w:r>
    </w:p>
    <w:p w14:paraId="4A8015AA" w14:textId="77777777" w:rsidR="00A5671F" w:rsidRPr="004B5136" w:rsidRDefault="00A5671F" w:rsidP="006154E0">
      <w:pPr>
        <w:ind w:left="720"/>
        <w:jc w:val="both"/>
        <w:rPr>
          <w:rFonts w:ascii="Arial" w:hAnsi="Arial" w:cs="Arial"/>
          <w:sz w:val="20"/>
          <w:szCs w:val="20"/>
        </w:rPr>
      </w:pPr>
      <w:r w:rsidRPr="004B5136">
        <w:rPr>
          <w:rFonts w:ascii="Arial" w:hAnsi="Arial" w:cs="Arial"/>
          <w:sz w:val="20"/>
          <w:szCs w:val="20"/>
        </w:rPr>
        <w:t>(b) have invested an aggregate sum of at least HK$1.5 billion in the shares or securities convertible into shares of the applicant at least 12 months prior to the date of the listing application (excluding any subsequent divestments made on or before the date of the listing application).</w:t>
      </w:r>
    </w:p>
    <w:p w14:paraId="2ECBE670" w14:textId="77777777" w:rsidR="00A5671F" w:rsidRPr="004B5136" w:rsidRDefault="00F64651" w:rsidP="004B5136">
      <w:pPr>
        <w:jc w:val="both"/>
        <w:rPr>
          <w:rFonts w:ascii="Arial" w:hAnsi="Arial" w:cs="Arial"/>
          <w:sz w:val="20"/>
          <w:szCs w:val="20"/>
        </w:rPr>
      </w:pPr>
      <w:r>
        <w:rPr>
          <w:rFonts w:ascii="Arial" w:hAnsi="Arial" w:cs="Arial"/>
          <w:sz w:val="20"/>
          <w:szCs w:val="20"/>
        </w:rPr>
        <w:t>In addition, a</w:t>
      </w:r>
      <w:r w:rsidR="00A5671F" w:rsidRPr="004B5136">
        <w:rPr>
          <w:rFonts w:ascii="Arial" w:hAnsi="Arial" w:cs="Arial"/>
          <w:sz w:val="20"/>
          <w:szCs w:val="20"/>
        </w:rPr>
        <w:t xml:space="preserve">t least two Pathfinder SIIs must meet </w:t>
      </w:r>
      <w:r>
        <w:rPr>
          <w:rFonts w:ascii="Arial" w:hAnsi="Arial" w:cs="Arial"/>
          <w:sz w:val="20"/>
          <w:szCs w:val="20"/>
        </w:rPr>
        <w:t xml:space="preserve">one </w:t>
      </w:r>
      <w:r w:rsidR="00A5671F" w:rsidRPr="004B5136">
        <w:rPr>
          <w:rFonts w:ascii="Arial" w:hAnsi="Arial" w:cs="Arial"/>
          <w:sz w:val="20"/>
          <w:szCs w:val="20"/>
        </w:rPr>
        <w:t>of the</w:t>
      </w:r>
      <w:r>
        <w:rPr>
          <w:rFonts w:ascii="Arial" w:hAnsi="Arial" w:cs="Arial"/>
          <w:sz w:val="20"/>
          <w:szCs w:val="20"/>
        </w:rPr>
        <w:t xml:space="preserve"> following</w:t>
      </w:r>
      <w:r w:rsidR="00A5671F" w:rsidRPr="004B5136">
        <w:rPr>
          <w:rFonts w:ascii="Arial" w:hAnsi="Arial" w:cs="Arial"/>
          <w:sz w:val="20"/>
          <w:szCs w:val="20"/>
        </w:rPr>
        <w:t xml:space="preserve"> conditions: </w:t>
      </w:r>
    </w:p>
    <w:p w14:paraId="5F541BB2" w14:textId="77777777" w:rsidR="00A5671F" w:rsidRPr="004B5136" w:rsidRDefault="00A5671F" w:rsidP="006154E0">
      <w:pPr>
        <w:ind w:left="720"/>
        <w:jc w:val="both"/>
        <w:rPr>
          <w:rFonts w:ascii="Arial" w:hAnsi="Arial" w:cs="Arial"/>
          <w:sz w:val="20"/>
          <w:szCs w:val="20"/>
        </w:rPr>
      </w:pPr>
      <w:r w:rsidRPr="004B5136">
        <w:rPr>
          <w:rFonts w:ascii="Arial" w:hAnsi="Arial" w:cs="Arial"/>
          <w:sz w:val="20"/>
          <w:szCs w:val="20"/>
        </w:rPr>
        <w:t>(a) each holds shares or securities convertible into shares equivalent to 3% or more of the applicant’s issued share capital as at the date of listing application and throughout the pre-application 12-month period; or</w:t>
      </w:r>
    </w:p>
    <w:p w14:paraId="38B760AB" w14:textId="77777777" w:rsidR="00F73845" w:rsidRPr="00273819" w:rsidRDefault="00A5671F" w:rsidP="00A31B25">
      <w:pPr>
        <w:ind w:left="720"/>
        <w:jc w:val="both"/>
        <w:rPr>
          <w:rFonts w:ascii="Arial" w:hAnsi="Arial" w:cs="Arial"/>
          <w:sz w:val="20"/>
          <w:szCs w:val="20"/>
        </w:rPr>
      </w:pPr>
      <w:r w:rsidRPr="004B5136">
        <w:rPr>
          <w:rFonts w:ascii="Arial" w:hAnsi="Arial" w:cs="Arial"/>
          <w:sz w:val="20"/>
          <w:szCs w:val="20"/>
        </w:rPr>
        <w:t>(b) each has invested at least HK$450 million in the shares or securities convertible into shares of the applicant at least 12 months prior to the date of the listing application (excluding any subsequent divestments made on or before the date of the listing application).</w:t>
      </w:r>
    </w:p>
    <w:p w14:paraId="6E045443" w14:textId="77777777" w:rsidR="00F73845" w:rsidRPr="00273819" w:rsidRDefault="00F73845" w:rsidP="006154E0">
      <w:pPr>
        <w:jc w:val="both"/>
        <w:rPr>
          <w:rFonts w:ascii="Arial" w:hAnsi="Arial" w:cs="Arial"/>
          <w:sz w:val="20"/>
          <w:szCs w:val="20"/>
        </w:rPr>
      </w:pPr>
      <w:r w:rsidRPr="00273819">
        <w:rPr>
          <w:rFonts w:ascii="Arial" w:hAnsi="Arial" w:cs="Arial"/>
          <w:sz w:val="20"/>
          <w:szCs w:val="20"/>
        </w:rPr>
        <w:lastRenderedPageBreak/>
        <w:t xml:space="preserve">It </w:t>
      </w:r>
      <w:r w:rsidR="00A31B25">
        <w:rPr>
          <w:rFonts w:ascii="Arial" w:hAnsi="Arial" w:cs="Arial"/>
          <w:sz w:val="20"/>
          <w:szCs w:val="20"/>
        </w:rPr>
        <w:t>is important</w:t>
      </w:r>
      <w:r w:rsidRPr="00273819">
        <w:rPr>
          <w:rFonts w:ascii="Arial" w:hAnsi="Arial" w:cs="Arial"/>
          <w:sz w:val="20"/>
          <w:szCs w:val="20"/>
        </w:rPr>
        <w:t xml:space="preserve"> to note that the HKEX may allow fluctuations in the shareholding of the Pathfinder SIIs based on the specific c</w:t>
      </w:r>
      <w:r w:rsidR="00AF729D">
        <w:rPr>
          <w:rFonts w:ascii="Arial" w:hAnsi="Arial" w:cs="Arial"/>
          <w:sz w:val="20"/>
          <w:szCs w:val="20"/>
        </w:rPr>
        <w:t>ircumstances of each case. The Guidance L</w:t>
      </w:r>
      <w:r w:rsidRPr="00273819">
        <w:rPr>
          <w:rFonts w:ascii="Arial" w:hAnsi="Arial" w:cs="Arial"/>
          <w:sz w:val="20"/>
          <w:szCs w:val="20"/>
        </w:rPr>
        <w:t xml:space="preserve">etter </w:t>
      </w:r>
      <w:r w:rsidR="00AF729D">
        <w:rPr>
          <w:rFonts w:ascii="Arial" w:hAnsi="Arial" w:cs="Arial"/>
          <w:sz w:val="20"/>
          <w:szCs w:val="20"/>
        </w:rPr>
        <w:t>for Specialist Technology Companies</w:t>
      </w:r>
      <w:r w:rsidR="00AF729D" w:rsidRPr="00273819">
        <w:rPr>
          <w:rFonts w:ascii="Arial" w:hAnsi="Arial" w:cs="Arial"/>
          <w:sz w:val="20"/>
          <w:szCs w:val="20"/>
        </w:rPr>
        <w:t xml:space="preserve"> </w:t>
      </w:r>
      <w:r w:rsidRPr="00273819">
        <w:rPr>
          <w:rFonts w:ascii="Arial" w:hAnsi="Arial" w:cs="Arial"/>
          <w:sz w:val="20"/>
          <w:szCs w:val="20"/>
        </w:rPr>
        <w:t>has been revised to incorporate the following non-exhaustive instances where such fluctuations may be permitted:</w:t>
      </w:r>
      <w:r w:rsidR="00A31B25">
        <w:rPr>
          <w:rStyle w:val="a6"/>
          <w:rFonts w:ascii="Arial" w:hAnsi="Arial" w:cs="Arial"/>
          <w:sz w:val="20"/>
          <w:szCs w:val="20"/>
        </w:rPr>
        <w:footnoteReference w:id="11"/>
      </w:r>
    </w:p>
    <w:p w14:paraId="37218DDE" w14:textId="77777777" w:rsidR="000F6777" w:rsidRDefault="00F73845" w:rsidP="000F6777">
      <w:pPr>
        <w:pStyle w:val="a3"/>
        <w:numPr>
          <w:ilvl w:val="0"/>
          <w:numId w:val="26"/>
        </w:numPr>
        <w:ind w:left="851" w:hanging="425"/>
        <w:jc w:val="both"/>
        <w:rPr>
          <w:rFonts w:ascii="Arial" w:hAnsi="Arial" w:cs="Arial"/>
          <w:sz w:val="20"/>
          <w:szCs w:val="20"/>
        </w:rPr>
      </w:pPr>
      <w:r w:rsidRPr="00273819">
        <w:rPr>
          <w:rFonts w:ascii="Arial" w:hAnsi="Arial" w:cs="Arial"/>
          <w:sz w:val="20"/>
          <w:szCs w:val="20"/>
        </w:rPr>
        <w:t xml:space="preserve">Temporary dilution during the </w:t>
      </w:r>
      <w:r w:rsidR="0001468C">
        <w:rPr>
          <w:rFonts w:ascii="Arial" w:hAnsi="Arial" w:cs="Arial"/>
          <w:sz w:val="20"/>
          <w:szCs w:val="20"/>
        </w:rPr>
        <w:t xml:space="preserve">pre-application </w:t>
      </w:r>
      <w:r w:rsidRPr="00273819">
        <w:rPr>
          <w:rFonts w:ascii="Arial" w:hAnsi="Arial" w:cs="Arial"/>
          <w:sz w:val="20"/>
          <w:szCs w:val="20"/>
        </w:rPr>
        <w:t>12-month period is accepted if the Pathfinder SII(s)’ shareholding meets the relevant threshold at the time of listing application and on average (</w:t>
      </w:r>
      <w:proofErr w:type="gramStart"/>
      <w:r w:rsidRPr="00273819">
        <w:rPr>
          <w:rFonts w:ascii="Arial" w:hAnsi="Arial" w:cs="Arial"/>
          <w:sz w:val="20"/>
          <w:szCs w:val="20"/>
        </w:rPr>
        <w:t>i.e.</w:t>
      </w:r>
      <w:proofErr w:type="gramEnd"/>
      <w:r w:rsidRPr="00273819">
        <w:rPr>
          <w:rFonts w:ascii="Arial" w:hAnsi="Arial" w:cs="Arial"/>
          <w:sz w:val="20"/>
          <w:szCs w:val="20"/>
        </w:rPr>
        <w:t xml:space="preserve"> 12-month average of the shareholding as</w:t>
      </w:r>
      <w:r w:rsidR="00A31B25">
        <w:rPr>
          <w:rFonts w:ascii="Arial" w:hAnsi="Arial" w:cs="Arial"/>
          <w:sz w:val="20"/>
          <w:szCs w:val="20"/>
        </w:rPr>
        <w:t xml:space="preserve"> of each month-end) throughout </w:t>
      </w:r>
      <w:r w:rsidR="00F64651">
        <w:rPr>
          <w:rFonts w:ascii="Arial" w:hAnsi="Arial" w:cs="Arial"/>
          <w:sz w:val="20"/>
          <w:szCs w:val="20"/>
        </w:rPr>
        <w:t>the</w:t>
      </w:r>
      <w:r w:rsidR="00F64651" w:rsidRPr="00273819">
        <w:rPr>
          <w:rFonts w:ascii="Arial" w:hAnsi="Arial" w:cs="Arial"/>
          <w:sz w:val="20"/>
          <w:szCs w:val="20"/>
        </w:rPr>
        <w:t xml:space="preserve"> </w:t>
      </w:r>
      <w:r w:rsidR="00F64651">
        <w:rPr>
          <w:rFonts w:ascii="Arial" w:hAnsi="Arial" w:cs="Arial"/>
          <w:sz w:val="20"/>
          <w:szCs w:val="20"/>
        </w:rPr>
        <w:t xml:space="preserve">pre-application </w:t>
      </w:r>
      <w:r w:rsidR="00F64651" w:rsidRPr="00273819">
        <w:rPr>
          <w:rFonts w:ascii="Arial" w:hAnsi="Arial" w:cs="Arial"/>
          <w:sz w:val="20"/>
          <w:szCs w:val="20"/>
        </w:rPr>
        <w:t xml:space="preserve">12-month </w:t>
      </w:r>
      <w:r w:rsidRPr="00273819">
        <w:rPr>
          <w:rFonts w:ascii="Arial" w:hAnsi="Arial" w:cs="Arial"/>
          <w:sz w:val="20"/>
          <w:szCs w:val="20"/>
        </w:rPr>
        <w:t xml:space="preserve">period; and </w:t>
      </w:r>
    </w:p>
    <w:p w14:paraId="1D4C5D7C" w14:textId="77777777" w:rsidR="000F6777" w:rsidRDefault="000F6777" w:rsidP="000F6777">
      <w:pPr>
        <w:pStyle w:val="a3"/>
        <w:ind w:left="851"/>
        <w:jc w:val="both"/>
        <w:rPr>
          <w:rFonts w:ascii="Arial" w:hAnsi="Arial" w:cs="Arial"/>
          <w:sz w:val="20"/>
          <w:szCs w:val="20"/>
        </w:rPr>
      </w:pPr>
    </w:p>
    <w:p w14:paraId="15AB1DBD" w14:textId="77777777" w:rsidR="00F73845" w:rsidRPr="000F6777" w:rsidRDefault="00F73845" w:rsidP="000F6777">
      <w:pPr>
        <w:pStyle w:val="a3"/>
        <w:numPr>
          <w:ilvl w:val="0"/>
          <w:numId w:val="26"/>
        </w:numPr>
        <w:ind w:left="851" w:hanging="425"/>
        <w:jc w:val="both"/>
        <w:rPr>
          <w:rFonts w:ascii="Arial" w:hAnsi="Arial" w:cs="Arial"/>
          <w:sz w:val="20"/>
          <w:szCs w:val="20"/>
        </w:rPr>
      </w:pPr>
      <w:r w:rsidRPr="000F6777">
        <w:rPr>
          <w:rFonts w:ascii="Arial" w:hAnsi="Arial" w:cs="Arial"/>
          <w:sz w:val="20"/>
          <w:szCs w:val="20"/>
        </w:rPr>
        <w:t>Temporary dilution pending top-up investment is allowed if</w:t>
      </w:r>
      <w:r w:rsidR="00DA429D">
        <w:rPr>
          <w:rFonts w:ascii="Arial" w:hAnsi="Arial" w:cs="Arial"/>
          <w:sz w:val="20"/>
          <w:szCs w:val="20"/>
        </w:rPr>
        <w:t>: (</w:t>
      </w:r>
      <w:proofErr w:type="spellStart"/>
      <w:r w:rsidR="00DA429D">
        <w:rPr>
          <w:rFonts w:ascii="Arial" w:hAnsi="Arial" w:cs="Arial"/>
          <w:sz w:val="20"/>
          <w:szCs w:val="20"/>
        </w:rPr>
        <w:t>i</w:t>
      </w:r>
      <w:proofErr w:type="spellEnd"/>
      <w:r w:rsidR="00DA429D">
        <w:rPr>
          <w:rFonts w:ascii="Arial" w:hAnsi="Arial" w:cs="Arial"/>
          <w:sz w:val="20"/>
          <w:szCs w:val="20"/>
        </w:rPr>
        <w:t>)</w:t>
      </w:r>
      <w:r w:rsidR="006E5716" w:rsidRPr="000F6777">
        <w:rPr>
          <w:rFonts w:ascii="Arial" w:hAnsi="Arial" w:cs="Arial"/>
          <w:sz w:val="20"/>
          <w:szCs w:val="20"/>
        </w:rPr>
        <w:t xml:space="preserve"> the Pathfinder SII(s)’ shareholding is diluted due to investments made by other investors during the pre-</w:t>
      </w:r>
      <w:r w:rsidR="00A31B25" w:rsidRPr="000F6777">
        <w:rPr>
          <w:rFonts w:ascii="Arial" w:hAnsi="Arial" w:cs="Arial"/>
          <w:sz w:val="20"/>
          <w:szCs w:val="20"/>
        </w:rPr>
        <w:t>application 12-month period</w:t>
      </w:r>
      <w:r w:rsidR="00DA429D">
        <w:rPr>
          <w:rFonts w:ascii="Arial" w:hAnsi="Arial" w:cs="Arial"/>
          <w:sz w:val="20"/>
          <w:szCs w:val="20"/>
        </w:rPr>
        <w:t>; (ii)</w:t>
      </w:r>
      <w:r w:rsidR="00584EAD">
        <w:rPr>
          <w:rFonts w:ascii="Arial" w:hAnsi="Arial" w:cs="Arial"/>
          <w:sz w:val="20"/>
          <w:szCs w:val="20"/>
        </w:rPr>
        <w:t xml:space="preserve"> the relevant Pathfinder SII (or in the case of the aggregate group threshold, at least one Pathfinder SII within the group  has</w:t>
      </w:r>
      <w:r w:rsidR="006E5716" w:rsidRPr="000F6777">
        <w:rPr>
          <w:rFonts w:ascii="Arial" w:hAnsi="Arial" w:cs="Arial"/>
          <w:sz w:val="20"/>
          <w:szCs w:val="20"/>
        </w:rPr>
        <w:t xml:space="preserve"> co</w:t>
      </w:r>
      <w:r w:rsidR="00F64651" w:rsidRPr="000F6777">
        <w:rPr>
          <w:rFonts w:ascii="Arial" w:hAnsi="Arial" w:cs="Arial"/>
          <w:sz w:val="20"/>
          <w:szCs w:val="20"/>
        </w:rPr>
        <w:t>mmi</w:t>
      </w:r>
      <w:r w:rsidR="00584EAD">
        <w:rPr>
          <w:rFonts w:ascii="Arial" w:hAnsi="Arial" w:cs="Arial"/>
          <w:sz w:val="20"/>
          <w:szCs w:val="20"/>
        </w:rPr>
        <w:t>tted irrevocably to top up its</w:t>
      </w:r>
      <w:r w:rsidR="006E5716" w:rsidRPr="000F6777">
        <w:rPr>
          <w:rFonts w:ascii="Arial" w:hAnsi="Arial" w:cs="Arial"/>
          <w:sz w:val="20"/>
          <w:szCs w:val="20"/>
        </w:rPr>
        <w:t xml:space="preserve"> investment before the listing application</w:t>
      </w:r>
      <w:r w:rsidR="00DA429D">
        <w:rPr>
          <w:rFonts w:ascii="Arial" w:hAnsi="Arial" w:cs="Arial"/>
          <w:sz w:val="20"/>
          <w:szCs w:val="20"/>
        </w:rPr>
        <w:t xml:space="preserve"> by an amount</w:t>
      </w:r>
      <w:r w:rsidR="006E5716" w:rsidRPr="000F6777">
        <w:rPr>
          <w:rFonts w:ascii="Arial" w:hAnsi="Arial" w:cs="Arial"/>
          <w:sz w:val="20"/>
          <w:szCs w:val="20"/>
        </w:rPr>
        <w:t xml:space="preserve"> that would </w:t>
      </w:r>
      <w:r w:rsidR="00DA429D">
        <w:rPr>
          <w:rFonts w:ascii="Arial" w:hAnsi="Arial" w:cs="Arial"/>
          <w:sz w:val="20"/>
          <w:szCs w:val="20"/>
        </w:rPr>
        <w:t xml:space="preserve">have </w:t>
      </w:r>
      <w:r w:rsidR="006E5716" w:rsidRPr="000F6777">
        <w:rPr>
          <w:rFonts w:ascii="Arial" w:hAnsi="Arial" w:cs="Arial"/>
          <w:sz w:val="20"/>
          <w:szCs w:val="20"/>
        </w:rPr>
        <w:t>result</w:t>
      </w:r>
      <w:r w:rsidR="00DA429D">
        <w:rPr>
          <w:rFonts w:ascii="Arial" w:hAnsi="Arial" w:cs="Arial"/>
          <w:sz w:val="20"/>
          <w:szCs w:val="20"/>
        </w:rPr>
        <w:t>ed</w:t>
      </w:r>
      <w:r w:rsidR="006E5716" w:rsidRPr="000F6777">
        <w:rPr>
          <w:rFonts w:ascii="Arial" w:hAnsi="Arial" w:cs="Arial"/>
          <w:sz w:val="20"/>
          <w:szCs w:val="20"/>
        </w:rPr>
        <w:t xml:space="preserve"> in </w:t>
      </w:r>
      <w:r w:rsidR="00584EAD" w:rsidRPr="000F6777">
        <w:rPr>
          <w:rFonts w:ascii="Arial" w:hAnsi="Arial" w:cs="Arial"/>
          <w:sz w:val="20"/>
          <w:szCs w:val="20"/>
        </w:rPr>
        <w:t>the Pathfinder SII(s)</w:t>
      </w:r>
      <w:r w:rsidR="00584EAD">
        <w:rPr>
          <w:rFonts w:ascii="Arial" w:hAnsi="Arial" w:cs="Arial"/>
          <w:sz w:val="20"/>
          <w:szCs w:val="20"/>
        </w:rPr>
        <w:t xml:space="preserve"> </w:t>
      </w:r>
      <w:r w:rsidR="006E5716" w:rsidRPr="000F6777">
        <w:rPr>
          <w:rFonts w:ascii="Arial" w:hAnsi="Arial" w:cs="Arial"/>
          <w:sz w:val="20"/>
          <w:szCs w:val="20"/>
        </w:rPr>
        <w:t>meeting the</w:t>
      </w:r>
      <w:r w:rsidR="00A31B25" w:rsidRPr="000F6777">
        <w:rPr>
          <w:rFonts w:ascii="Arial" w:hAnsi="Arial" w:cs="Arial"/>
          <w:sz w:val="20"/>
          <w:szCs w:val="20"/>
        </w:rPr>
        <w:t xml:space="preserve"> relevant indicative b</w:t>
      </w:r>
      <w:r w:rsidR="006E5716" w:rsidRPr="000F6777">
        <w:rPr>
          <w:rFonts w:ascii="Arial" w:hAnsi="Arial" w:cs="Arial"/>
          <w:sz w:val="20"/>
          <w:szCs w:val="20"/>
        </w:rPr>
        <w:t xml:space="preserve">enchmark </w:t>
      </w:r>
      <w:r w:rsidR="00A31B25" w:rsidRPr="000F6777">
        <w:rPr>
          <w:rFonts w:ascii="Arial" w:hAnsi="Arial" w:cs="Arial"/>
          <w:sz w:val="20"/>
          <w:szCs w:val="20"/>
        </w:rPr>
        <w:t xml:space="preserve">as </w:t>
      </w:r>
      <w:r w:rsidR="006E5716" w:rsidRPr="000F6777">
        <w:rPr>
          <w:rFonts w:ascii="Arial" w:hAnsi="Arial" w:cs="Arial"/>
          <w:sz w:val="20"/>
          <w:szCs w:val="20"/>
        </w:rPr>
        <w:t>at the date of listing application</w:t>
      </w:r>
      <w:r w:rsidR="00584EAD">
        <w:rPr>
          <w:rFonts w:ascii="Arial" w:hAnsi="Arial" w:cs="Arial"/>
          <w:sz w:val="20"/>
          <w:szCs w:val="20"/>
        </w:rPr>
        <w:t xml:space="preserve"> if the top-up had been completed;</w:t>
      </w:r>
      <w:r w:rsidR="006E5716" w:rsidRPr="000F6777">
        <w:rPr>
          <w:rFonts w:ascii="Arial" w:hAnsi="Arial" w:cs="Arial"/>
          <w:sz w:val="20"/>
          <w:szCs w:val="20"/>
        </w:rPr>
        <w:t xml:space="preserve"> and </w:t>
      </w:r>
      <w:r w:rsidR="00584EAD">
        <w:rPr>
          <w:rFonts w:ascii="Arial" w:hAnsi="Arial" w:cs="Arial"/>
          <w:sz w:val="20"/>
          <w:szCs w:val="20"/>
        </w:rPr>
        <w:t xml:space="preserve">(iii) </w:t>
      </w:r>
      <w:r w:rsidR="006E5716" w:rsidRPr="000F6777">
        <w:rPr>
          <w:rFonts w:ascii="Arial" w:hAnsi="Arial" w:cs="Arial"/>
          <w:sz w:val="20"/>
          <w:szCs w:val="20"/>
        </w:rPr>
        <w:t xml:space="preserve">the top-up will be completed before the </w:t>
      </w:r>
      <w:r w:rsidR="00F64651" w:rsidRPr="000F6777">
        <w:rPr>
          <w:rFonts w:ascii="Arial" w:hAnsi="Arial" w:cs="Arial"/>
          <w:sz w:val="20"/>
          <w:szCs w:val="20"/>
        </w:rPr>
        <w:t xml:space="preserve">listing </w:t>
      </w:r>
      <w:r w:rsidR="00A31B25" w:rsidRPr="000F6777">
        <w:rPr>
          <w:rFonts w:ascii="Arial" w:hAnsi="Arial" w:cs="Arial"/>
          <w:sz w:val="20"/>
          <w:szCs w:val="20"/>
        </w:rPr>
        <w:t>date</w:t>
      </w:r>
      <w:r w:rsidR="006E5716" w:rsidRPr="000F6777">
        <w:rPr>
          <w:rFonts w:ascii="Arial" w:hAnsi="Arial" w:cs="Arial"/>
          <w:sz w:val="20"/>
          <w:szCs w:val="20"/>
        </w:rPr>
        <w:t xml:space="preserve">.  </w:t>
      </w:r>
    </w:p>
    <w:p w14:paraId="60A09E45" w14:textId="77777777" w:rsidR="000F6777" w:rsidRDefault="00E7025E" w:rsidP="000F6777">
      <w:pPr>
        <w:rPr>
          <w:rFonts w:ascii="Arial" w:hAnsi="Arial" w:cs="Arial"/>
          <w:sz w:val="20"/>
          <w:szCs w:val="20"/>
        </w:rPr>
      </w:pPr>
      <w:r>
        <w:rPr>
          <w:rFonts w:ascii="Arial" w:hAnsi="Arial" w:cs="Arial"/>
          <w:sz w:val="20"/>
          <w:szCs w:val="20"/>
        </w:rPr>
        <w:t>The HKEX has clarified in the Guidance Letter for Specialist Technology C</w:t>
      </w:r>
      <w:r w:rsidR="000F6777">
        <w:rPr>
          <w:rFonts w:ascii="Arial" w:hAnsi="Arial" w:cs="Arial"/>
          <w:sz w:val="20"/>
          <w:szCs w:val="20"/>
        </w:rPr>
        <w:t>ompanies that:</w:t>
      </w:r>
    </w:p>
    <w:p w14:paraId="0CE4A944" w14:textId="77777777" w:rsidR="000F6777" w:rsidRDefault="000F6777" w:rsidP="000F6777">
      <w:pPr>
        <w:pStyle w:val="a3"/>
        <w:numPr>
          <w:ilvl w:val="0"/>
          <w:numId w:val="45"/>
        </w:numPr>
        <w:jc w:val="both"/>
        <w:rPr>
          <w:rFonts w:ascii="Arial" w:hAnsi="Arial" w:cs="Arial"/>
          <w:sz w:val="20"/>
          <w:szCs w:val="20"/>
        </w:rPr>
      </w:pPr>
      <w:r>
        <w:rPr>
          <w:rFonts w:ascii="Arial" w:hAnsi="Arial" w:cs="Arial"/>
          <w:sz w:val="20"/>
          <w:szCs w:val="20"/>
        </w:rPr>
        <w:t>it will consider case-by-case whether investments in a listing applicant made by different funds managed by the same fund manager, or by different entities wholly-owned by the same inve</w:t>
      </w:r>
      <w:r w:rsidR="00584EAD">
        <w:rPr>
          <w:rFonts w:ascii="Arial" w:hAnsi="Arial" w:cs="Arial"/>
          <w:sz w:val="20"/>
          <w:szCs w:val="20"/>
        </w:rPr>
        <w:t>stor, can be aggregated as inve</w:t>
      </w:r>
      <w:r>
        <w:rPr>
          <w:rFonts w:ascii="Arial" w:hAnsi="Arial" w:cs="Arial"/>
          <w:sz w:val="20"/>
          <w:szCs w:val="20"/>
        </w:rPr>
        <w:t>stments made by one Pathfinder SII; and</w:t>
      </w:r>
    </w:p>
    <w:p w14:paraId="3B3E5445" w14:textId="77777777" w:rsidR="000F6777" w:rsidRDefault="000F6777" w:rsidP="000F6777">
      <w:pPr>
        <w:pStyle w:val="a3"/>
        <w:ind w:left="776"/>
        <w:jc w:val="both"/>
        <w:rPr>
          <w:rFonts w:ascii="Arial" w:hAnsi="Arial" w:cs="Arial"/>
          <w:sz w:val="20"/>
          <w:szCs w:val="20"/>
        </w:rPr>
      </w:pPr>
      <w:r>
        <w:rPr>
          <w:rFonts w:ascii="Arial" w:hAnsi="Arial" w:cs="Arial"/>
          <w:sz w:val="20"/>
          <w:szCs w:val="20"/>
        </w:rPr>
        <w:t xml:space="preserve">  </w:t>
      </w:r>
    </w:p>
    <w:p w14:paraId="6133A83E" w14:textId="77777777" w:rsidR="000F6777" w:rsidRPr="000F6777" w:rsidRDefault="000F6777" w:rsidP="000F6777">
      <w:pPr>
        <w:pStyle w:val="a3"/>
        <w:numPr>
          <w:ilvl w:val="0"/>
          <w:numId w:val="45"/>
        </w:numPr>
        <w:jc w:val="both"/>
        <w:rPr>
          <w:rFonts w:ascii="Arial" w:hAnsi="Arial" w:cs="Arial"/>
          <w:sz w:val="20"/>
          <w:szCs w:val="20"/>
        </w:rPr>
      </w:pPr>
      <w:r w:rsidRPr="000F6777">
        <w:rPr>
          <w:rFonts w:ascii="Arial" w:hAnsi="Arial" w:cs="Arial"/>
          <w:sz w:val="20"/>
          <w:szCs w:val="20"/>
        </w:rPr>
        <w:t>if an SII holds securities convertible into the shares of a listing applicant (</w:t>
      </w:r>
      <w:proofErr w:type="gramStart"/>
      <w:r>
        <w:rPr>
          <w:rFonts w:ascii="Arial" w:hAnsi="Arial" w:cs="Arial"/>
          <w:sz w:val="20"/>
          <w:szCs w:val="20"/>
        </w:rPr>
        <w:t>e.g.</w:t>
      </w:r>
      <w:proofErr w:type="gramEnd"/>
      <w:r>
        <w:rPr>
          <w:rFonts w:ascii="Arial" w:hAnsi="Arial" w:cs="Arial"/>
          <w:sz w:val="20"/>
          <w:szCs w:val="20"/>
        </w:rPr>
        <w:t xml:space="preserve"> convertible or exchangeable bonds, notes or loans or convertible preference shares), only the investment in the securities to be converted at, or before, listing will be counted in determining whether the meaningful investment requirement is met. This information must also be disclosed in the applicant’s listing document.  </w:t>
      </w:r>
    </w:p>
    <w:p w14:paraId="15CA2FD0" w14:textId="77777777" w:rsidR="00F64651" w:rsidRPr="004B5136" w:rsidRDefault="00F64651" w:rsidP="00F64651">
      <w:pPr>
        <w:jc w:val="both"/>
        <w:rPr>
          <w:rFonts w:ascii="Arial" w:hAnsi="Arial" w:cs="Arial"/>
          <w:sz w:val="20"/>
          <w:szCs w:val="20"/>
          <w:u w:val="single"/>
        </w:rPr>
      </w:pPr>
      <w:r w:rsidRPr="00F64651">
        <w:rPr>
          <w:rFonts w:ascii="Arial" w:hAnsi="Arial" w:cs="Arial"/>
          <w:sz w:val="20"/>
          <w:szCs w:val="20"/>
          <w:u w:val="single"/>
        </w:rPr>
        <w:t>Investment from all SIIs</w:t>
      </w:r>
    </w:p>
    <w:p w14:paraId="0898F783" w14:textId="77777777" w:rsidR="00173366" w:rsidRPr="00273819" w:rsidRDefault="001A5B87" w:rsidP="004B5136">
      <w:pPr>
        <w:jc w:val="both"/>
        <w:rPr>
          <w:rFonts w:ascii="Arial" w:hAnsi="Arial" w:cs="Arial"/>
          <w:sz w:val="20"/>
          <w:szCs w:val="20"/>
        </w:rPr>
      </w:pPr>
      <w:r w:rsidRPr="004B5136">
        <w:rPr>
          <w:rFonts w:ascii="Arial" w:hAnsi="Arial" w:cs="Arial"/>
          <w:sz w:val="20"/>
          <w:szCs w:val="20"/>
        </w:rPr>
        <w:t>Specialist Technology Compan</w:t>
      </w:r>
      <w:r w:rsidR="00F72AD2">
        <w:rPr>
          <w:rFonts w:ascii="Arial" w:hAnsi="Arial" w:cs="Arial"/>
          <w:sz w:val="20"/>
          <w:szCs w:val="20"/>
        </w:rPr>
        <w:t>ies</w:t>
      </w:r>
      <w:r w:rsidRPr="004B5136">
        <w:rPr>
          <w:rFonts w:ascii="Arial" w:hAnsi="Arial" w:cs="Arial"/>
          <w:sz w:val="20"/>
          <w:szCs w:val="20"/>
        </w:rPr>
        <w:t xml:space="preserve"> must also have </w:t>
      </w:r>
      <w:r w:rsidR="00E35EDF">
        <w:rPr>
          <w:rFonts w:ascii="Arial" w:hAnsi="Arial" w:cs="Arial"/>
          <w:sz w:val="20"/>
          <w:szCs w:val="20"/>
        </w:rPr>
        <w:t>received</w:t>
      </w:r>
      <w:r w:rsidRPr="004B5136">
        <w:rPr>
          <w:rFonts w:ascii="Arial" w:hAnsi="Arial" w:cs="Arial"/>
          <w:sz w:val="20"/>
          <w:szCs w:val="20"/>
        </w:rPr>
        <w:t xml:space="preserve"> aggregate investment from all </w:t>
      </w:r>
      <w:r w:rsidR="006B4A8D" w:rsidRPr="00273819">
        <w:rPr>
          <w:rFonts w:ascii="Arial" w:hAnsi="Arial" w:cs="Arial"/>
          <w:sz w:val="20"/>
          <w:szCs w:val="20"/>
        </w:rPr>
        <w:t>SIIs</w:t>
      </w:r>
      <w:r w:rsidRPr="004B5136">
        <w:rPr>
          <w:rFonts w:ascii="Arial" w:hAnsi="Arial" w:cs="Arial"/>
          <w:sz w:val="20"/>
          <w:szCs w:val="20"/>
        </w:rPr>
        <w:t xml:space="preserve"> meeting a prescribed minimum percentage of th</w:t>
      </w:r>
      <w:r w:rsidR="00F72AD2">
        <w:rPr>
          <w:rFonts w:ascii="Arial" w:hAnsi="Arial" w:cs="Arial"/>
          <w:sz w:val="20"/>
          <w:szCs w:val="20"/>
        </w:rPr>
        <w:t>eir</w:t>
      </w:r>
      <w:r w:rsidRPr="004B5136">
        <w:rPr>
          <w:rFonts w:ascii="Arial" w:hAnsi="Arial" w:cs="Arial"/>
          <w:sz w:val="20"/>
          <w:szCs w:val="20"/>
        </w:rPr>
        <w:t xml:space="preserve"> issued share capital (before </w:t>
      </w:r>
      <w:r w:rsidR="000F6777">
        <w:rPr>
          <w:rFonts w:ascii="Arial" w:hAnsi="Arial" w:cs="Arial"/>
          <w:sz w:val="20"/>
          <w:szCs w:val="20"/>
        </w:rPr>
        <w:t xml:space="preserve">the </w:t>
      </w:r>
      <w:r w:rsidRPr="004B5136">
        <w:rPr>
          <w:rFonts w:ascii="Arial" w:hAnsi="Arial" w:cs="Arial"/>
          <w:sz w:val="20"/>
          <w:szCs w:val="20"/>
        </w:rPr>
        <w:t>exercise of any overallotment option) at the time of listing. Depending on the</w:t>
      </w:r>
      <w:r w:rsidR="00F72AD2">
        <w:rPr>
          <w:rFonts w:ascii="Arial" w:hAnsi="Arial" w:cs="Arial"/>
          <w:sz w:val="20"/>
          <w:szCs w:val="20"/>
        </w:rPr>
        <w:t xml:space="preserve">ir </w:t>
      </w:r>
      <w:r w:rsidRPr="004B5136">
        <w:rPr>
          <w:rFonts w:ascii="Arial" w:hAnsi="Arial" w:cs="Arial"/>
          <w:sz w:val="20"/>
          <w:szCs w:val="20"/>
        </w:rPr>
        <w:t>expe</w:t>
      </w:r>
      <w:r w:rsidR="00841012">
        <w:rPr>
          <w:rFonts w:ascii="Arial" w:hAnsi="Arial" w:cs="Arial"/>
          <w:sz w:val="20"/>
          <w:szCs w:val="20"/>
        </w:rPr>
        <w:t>c</w:t>
      </w:r>
      <w:r w:rsidRPr="004B5136">
        <w:rPr>
          <w:rFonts w:ascii="Arial" w:hAnsi="Arial" w:cs="Arial"/>
          <w:sz w:val="20"/>
          <w:szCs w:val="20"/>
        </w:rPr>
        <w:t xml:space="preserve">ted market </w:t>
      </w:r>
      <w:proofErr w:type="spellStart"/>
      <w:r w:rsidRPr="004B5136">
        <w:rPr>
          <w:rFonts w:ascii="Arial" w:hAnsi="Arial" w:cs="Arial"/>
          <w:sz w:val="20"/>
          <w:szCs w:val="20"/>
        </w:rPr>
        <w:t>capitalisation</w:t>
      </w:r>
      <w:proofErr w:type="spellEnd"/>
      <w:r w:rsidRPr="004B5136">
        <w:rPr>
          <w:rFonts w:ascii="Arial" w:hAnsi="Arial" w:cs="Arial"/>
          <w:sz w:val="20"/>
          <w:szCs w:val="20"/>
        </w:rPr>
        <w:t xml:space="preserve"> at listing, the minimum percentage ranges from 10% to 20% for Commercial Companies and 15% to 25% for Pre-Commercial Companies. </w:t>
      </w:r>
      <w:r w:rsidR="00DB4ABD" w:rsidRPr="00273819">
        <w:rPr>
          <w:rFonts w:ascii="Arial" w:hAnsi="Arial" w:cs="Arial"/>
          <w:sz w:val="20"/>
          <w:szCs w:val="20"/>
        </w:rPr>
        <w:t xml:space="preserve">However, the HKEX has adjusted the expected market </w:t>
      </w:r>
      <w:proofErr w:type="spellStart"/>
      <w:r w:rsidR="00DB4ABD" w:rsidRPr="00273819">
        <w:rPr>
          <w:rFonts w:ascii="Arial" w:hAnsi="Arial" w:cs="Arial"/>
          <w:sz w:val="20"/>
          <w:szCs w:val="20"/>
        </w:rPr>
        <w:t>capitalisation</w:t>
      </w:r>
      <w:proofErr w:type="spellEnd"/>
      <w:r w:rsidR="00DB4ABD" w:rsidRPr="00273819">
        <w:rPr>
          <w:rFonts w:ascii="Arial" w:hAnsi="Arial" w:cs="Arial"/>
          <w:sz w:val="20"/>
          <w:szCs w:val="20"/>
        </w:rPr>
        <w:t xml:space="preserve"> tiers as follows: </w:t>
      </w:r>
    </w:p>
    <w:tbl>
      <w:tblPr>
        <w:tblW w:w="9574" w:type="dxa"/>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926"/>
        <w:gridCol w:w="2836"/>
        <w:gridCol w:w="2812"/>
      </w:tblGrid>
      <w:tr w:rsidR="005773C2" w:rsidRPr="00273819" w14:paraId="48B7188A" w14:textId="77777777" w:rsidTr="00025EDC">
        <w:trPr>
          <w:trHeight w:val="537"/>
        </w:trPr>
        <w:tc>
          <w:tcPr>
            <w:tcW w:w="3926" w:type="dxa"/>
            <w:vMerge w:val="restart"/>
            <w:shd w:val="clear" w:color="auto" w:fill="FFFFFF" w:themeFill="background1"/>
          </w:tcPr>
          <w:p w14:paraId="6F5C11DC" w14:textId="77777777" w:rsidR="005773C2" w:rsidRPr="00273819" w:rsidRDefault="005773C2" w:rsidP="00F72AD2">
            <w:pPr>
              <w:pStyle w:val="TableParagraph"/>
              <w:jc w:val="center"/>
              <w:rPr>
                <w:rFonts w:ascii="Arial" w:hAnsi="Arial" w:cs="Arial"/>
                <w:b/>
                <w:sz w:val="20"/>
                <w:szCs w:val="20"/>
              </w:rPr>
            </w:pPr>
          </w:p>
          <w:p w14:paraId="3A262ABF" w14:textId="77777777" w:rsidR="005773C2" w:rsidRPr="00273819" w:rsidRDefault="00E35EDF" w:rsidP="00F72AD2">
            <w:pPr>
              <w:pStyle w:val="TableParagraph"/>
              <w:ind w:left="541" w:right="156" w:hanging="356"/>
              <w:jc w:val="center"/>
              <w:rPr>
                <w:rFonts w:ascii="Arial" w:hAnsi="Arial" w:cs="Arial"/>
                <w:b/>
                <w:sz w:val="20"/>
                <w:szCs w:val="20"/>
              </w:rPr>
            </w:pPr>
            <w:r>
              <w:rPr>
                <w:rFonts w:ascii="Arial" w:hAnsi="Arial" w:cs="Arial"/>
                <w:b/>
                <w:sz w:val="20"/>
                <w:szCs w:val="20"/>
              </w:rPr>
              <w:t>Applicant’s e</w:t>
            </w:r>
            <w:r w:rsidR="00025EDC" w:rsidRPr="00273819">
              <w:rPr>
                <w:rFonts w:ascii="Arial" w:hAnsi="Arial" w:cs="Arial"/>
                <w:b/>
                <w:sz w:val="20"/>
                <w:szCs w:val="20"/>
              </w:rPr>
              <w:t xml:space="preserve">xpected market </w:t>
            </w:r>
            <w:proofErr w:type="spellStart"/>
            <w:r w:rsidR="00025EDC" w:rsidRPr="00273819">
              <w:rPr>
                <w:rFonts w:ascii="Arial" w:hAnsi="Arial" w:cs="Arial"/>
                <w:b/>
                <w:sz w:val="20"/>
                <w:szCs w:val="20"/>
              </w:rPr>
              <w:t>capitalisation</w:t>
            </w:r>
            <w:proofErr w:type="spellEnd"/>
            <w:r>
              <w:rPr>
                <w:rFonts w:ascii="Arial" w:hAnsi="Arial" w:cs="Arial"/>
                <w:b/>
                <w:sz w:val="20"/>
                <w:szCs w:val="20"/>
              </w:rPr>
              <w:t xml:space="preserve"> at listing</w:t>
            </w:r>
          </w:p>
        </w:tc>
        <w:tc>
          <w:tcPr>
            <w:tcW w:w="5648" w:type="dxa"/>
            <w:gridSpan w:val="2"/>
            <w:tcBorders>
              <w:bottom w:val="single" w:sz="4" w:space="0" w:color="000000"/>
            </w:tcBorders>
            <w:shd w:val="clear" w:color="auto" w:fill="FFFFFF" w:themeFill="background1"/>
          </w:tcPr>
          <w:p w14:paraId="6542A4BF" w14:textId="77777777" w:rsidR="005773C2" w:rsidRPr="00273819" w:rsidRDefault="005773C2" w:rsidP="00F72AD2">
            <w:pPr>
              <w:pStyle w:val="TableParagraph"/>
              <w:spacing w:before="116"/>
              <w:ind w:left="318" w:right="309"/>
              <w:jc w:val="center"/>
              <w:rPr>
                <w:rFonts w:ascii="Arial" w:hAnsi="Arial" w:cs="Arial"/>
                <w:b/>
                <w:sz w:val="20"/>
                <w:szCs w:val="20"/>
              </w:rPr>
            </w:pPr>
            <w:r w:rsidRPr="00273819">
              <w:rPr>
                <w:rFonts w:ascii="Arial" w:hAnsi="Arial" w:cs="Arial"/>
                <w:b/>
                <w:sz w:val="20"/>
                <w:szCs w:val="20"/>
              </w:rPr>
              <w:t>Minimum total investment</w:t>
            </w:r>
            <w:r w:rsidR="00E35EDF">
              <w:rPr>
                <w:rFonts w:ascii="Arial" w:hAnsi="Arial" w:cs="Arial"/>
                <w:b/>
                <w:sz w:val="20"/>
                <w:szCs w:val="20"/>
              </w:rPr>
              <w:t xml:space="preserve"> from all SIIs</w:t>
            </w:r>
          </w:p>
        </w:tc>
      </w:tr>
      <w:tr w:rsidR="005773C2" w:rsidRPr="00273819" w14:paraId="413779C5" w14:textId="77777777" w:rsidTr="005773C2">
        <w:trPr>
          <w:trHeight w:val="459"/>
        </w:trPr>
        <w:tc>
          <w:tcPr>
            <w:tcW w:w="3926" w:type="dxa"/>
            <w:vMerge/>
            <w:tcBorders>
              <w:top w:val="nil"/>
            </w:tcBorders>
            <w:shd w:val="clear" w:color="auto" w:fill="FFFFFF" w:themeFill="background1"/>
          </w:tcPr>
          <w:p w14:paraId="33354837" w14:textId="77777777" w:rsidR="005773C2" w:rsidRPr="00273819" w:rsidRDefault="005773C2" w:rsidP="00F72AD2">
            <w:pPr>
              <w:jc w:val="center"/>
              <w:rPr>
                <w:rFonts w:ascii="Arial" w:hAnsi="Arial" w:cs="Arial"/>
                <w:sz w:val="20"/>
                <w:szCs w:val="20"/>
              </w:rPr>
            </w:pPr>
          </w:p>
        </w:tc>
        <w:tc>
          <w:tcPr>
            <w:tcW w:w="2836" w:type="dxa"/>
            <w:tcBorders>
              <w:top w:val="single" w:sz="4" w:space="0" w:color="000000"/>
              <w:right w:val="single" w:sz="4" w:space="0" w:color="000000"/>
            </w:tcBorders>
            <w:shd w:val="clear" w:color="auto" w:fill="FFFFFF" w:themeFill="background1"/>
          </w:tcPr>
          <w:p w14:paraId="1E2036E8" w14:textId="77777777" w:rsidR="005773C2" w:rsidRPr="003027A3" w:rsidRDefault="005773C2" w:rsidP="00F72AD2">
            <w:pPr>
              <w:pStyle w:val="TableParagraph"/>
              <w:spacing w:before="107"/>
              <w:ind w:left="323" w:right="324"/>
              <w:jc w:val="center"/>
              <w:rPr>
                <w:rFonts w:ascii="Arial" w:hAnsi="Arial" w:cs="Arial"/>
                <w:sz w:val="20"/>
                <w:szCs w:val="20"/>
              </w:rPr>
            </w:pPr>
            <w:r w:rsidRPr="003027A3">
              <w:rPr>
                <w:rFonts w:ascii="Arial" w:hAnsi="Arial" w:cs="Arial"/>
                <w:sz w:val="20"/>
                <w:szCs w:val="20"/>
              </w:rPr>
              <w:t>Commercial</w:t>
            </w:r>
            <w:r w:rsidRPr="003027A3">
              <w:rPr>
                <w:rFonts w:ascii="Arial" w:hAnsi="Arial" w:cs="Arial"/>
                <w:spacing w:val="-6"/>
                <w:sz w:val="20"/>
                <w:szCs w:val="20"/>
              </w:rPr>
              <w:t xml:space="preserve"> </w:t>
            </w:r>
            <w:r w:rsidRPr="003027A3">
              <w:rPr>
                <w:rFonts w:ascii="Arial" w:hAnsi="Arial" w:cs="Arial"/>
                <w:sz w:val="20"/>
                <w:szCs w:val="20"/>
              </w:rPr>
              <w:t>Companies</w:t>
            </w:r>
          </w:p>
        </w:tc>
        <w:tc>
          <w:tcPr>
            <w:tcW w:w="2812" w:type="dxa"/>
            <w:tcBorders>
              <w:top w:val="single" w:sz="4" w:space="0" w:color="000000"/>
              <w:left w:val="single" w:sz="4" w:space="0" w:color="000000"/>
            </w:tcBorders>
            <w:shd w:val="clear" w:color="auto" w:fill="FFFFFF" w:themeFill="background1"/>
          </w:tcPr>
          <w:p w14:paraId="54E71C5A" w14:textId="77777777" w:rsidR="005773C2" w:rsidRPr="003027A3" w:rsidRDefault="005773C2" w:rsidP="00F72AD2">
            <w:pPr>
              <w:pStyle w:val="TableParagraph"/>
              <w:spacing w:before="107"/>
              <w:ind w:left="129" w:right="116"/>
              <w:jc w:val="center"/>
              <w:rPr>
                <w:rFonts w:ascii="Arial" w:hAnsi="Arial" w:cs="Arial"/>
                <w:sz w:val="20"/>
                <w:szCs w:val="20"/>
              </w:rPr>
            </w:pPr>
            <w:r w:rsidRPr="003027A3">
              <w:rPr>
                <w:rFonts w:ascii="Arial" w:hAnsi="Arial" w:cs="Arial"/>
                <w:sz w:val="20"/>
                <w:szCs w:val="20"/>
              </w:rPr>
              <w:t>Pre-Commercial</w:t>
            </w:r>
            <w:r w:rsidRPr="003027A3">
              <w:rPr>
                <w:rFonts w:ascii="Arial" w:hAnsi="Arial" w:cs="Arial"/>
                <w:spacing w:val="-6"/>
                <w:sz w:val="20"/>
                <w:szCs w:val="20"/>
              </w:rPr>
              <w:t xml:space="preserve"> </w:t>
            </w:r>
            <w:r w:rsidRPr="003027A3">
              <w:rPr>
                <w:rFonts w:ascii="Arial" w:hAnsi="Arial" w:cs="Arial"/>
                <w:sz w:val="20"/>
                <w:szCs w:val="20"/>
              </w:rPr>
              <w:t>Companies</w:t>
            </w:r>
          </w:p>
        </w:tc>
      </w:tr>
      <w:tr w:rsidR="005773C2" w:rsidRPr="00273819" w14:paraId="24E1CE63" w14:textId="77777777" w:rsidTr="005773C2">
        <w:trPr>
          <w:trHeight w:val="557"/>
        </w:trPr>
        <w:tc>
          <w:tcPr>
            <w:tcW w:w="3926" w:type="dxa"/>
            <w:tcBorders>
              <w:bottom w:val="single" w:sz="4" w:space="0" w:color="000000"/>
            </w:tcBorders>
            <w:shd w:val="clear" w:color="auto" w:fill="FFFFFF" w:themeFill="background1"/>
          </w:tcPr>
          <w:p w14:paraId="08474294" w14:textId="77777777" w:rsidR="005773C2" w:rsidRDefault="005773C2" w:rsidP="00F72AD2">
            <w:pPr>
              <w:pStyle w:val="TableParagraph"/>
              <w:spacing w:before="119"/>
              <w:ind w:right="107"/>
              <w:jc w:val="center"/>
              <w:rPr>
                <w:rFonts w:ascii="Arial" w:hAnsi="Arial" w:cs="Arial"/>
                <w:sz w:val="20"/>
                <w:szCs w:val="20"/>
              </w:rPr>
            </w:pPr>
            <w:r w:rsidRPr="00273819">
              <w:rPr>
                <w:rFonts w:ascii="Arial" w:hAnsi="Arial" w:cs="Arial"/>
                <w:sz w:val="20"/>
                <w:szCs w:val="20"/>
              </w:rPr>
              <w:t>≥ HK$6bn and &lt; HK$15bn</w:t>
            </w:r>
          </w:p>
          <w:p w14:paraId="30D1CA3C" w14:textId="77777777" w:rsidR="00E35EDF" w:rsidRPr="00273819" w:rsidRDefault="00E35EDF" w:rsidP="00F72AD2">
            <w:pPr>
              <w:pStyle w:val="TableParagraph"/>
              <w:spacing w:before="119"/>
              <w:ind w:right="107"/>
              <w:jc w:val="center"/>
              <w:rPr>
                <w:rFonts w:ascii="Arial" w:hAnsi="Arial" w:cs="Arial"/>
                <w:i/>
                <w:sz w:val="20"/>
                <w:szCs w:val="20"/>
              </w:rPr>
            </w:pPr>
            <w:r>
              <w:rPr>
                <w:rFonts w:ascii="Arial" w:hAnsi="Arial" w:cs="Arial"/>
                <w:sz w:val="20"/>
                <w:szCs w:val="20"/>
              </w:rPr>
              <w:t>Commercial Companies</w:t>
            </w:r>
          </w:p>
        </w:tc>
        <w:tc>
          <w:tcPr>
            <w:tcW w:w="2836" w:type="dxa"/>
            <w:tcBorders>
              <w:bottom w:val="single" w:sz="4" w:space="0" w:color="000000"/>
              <w:right w:val="single" w:sz="4" w:space="0" w:color="000000"/>
            </w:tcBorders>
            <w:shd w:val="clear" w:color="auto" w:fill="FFFFFF" w:themeFill="background1"/>
          </w:tcPr>
          <w:p w14:paraId="7B48288D" w14:textId="77777777" w:rsidR="005773C2" w:rsidRPr="00273819" w:rsidRDefault="005773C2" w:rsidP="00F72AD2">
            <w:pPr>
              <w:pStyle w:val="TableParagraph"/>
              <w:jc w:val="center"/>
              <w:rPr>
                <w:rFonts w:ascii="Arial" w:hAnsi="Arial" w:cs="Arial"/>
                <w:b/>
                <w:sz w:val="20"/>
                <w:szCs w:val="20"/>
              </w:rPr>
            </w:pPr>
          </w:p>
          <w:p w14:paraId="1A489160" w14:textId="77777777" w:rsidR="005773C2" w:rsidRPr="00273819" w:rsidRDefault="005773C2" w:rsidP="00F72AD2">
            <w:pPr>
              <w:pStyle w:val="TableParagraph"/>
              <w:spacing w:before="134"/>
              <w:ind w:left="322" w:right="324"/>
              <w:jc w:val="center"/>
              <w:rPr>
                <w:rFonts w:ascii="Arial" w:hAnsi="Arial" w:cs="Arial"/>
                <w:sz w:val="20"/>
                <w:szCs w:val="20"/>
              </w:rPr>
            </w:pPr>
            <w:r w:rsidRPr="00273819">
              <w:rPr>
                <w:rFonts w:ascii="Arial" w:hAnsi="Arial" w:cs="Arial"/>
                <w:sz w:val="20"/>
                <w:szCs w:val="20"/>
              </w:rPr>
              <w:t>20%</w:t>
            </w:r>
          </w:p>
        </w:tc>
        <w:tc>
          <w:tcPr>
            <w:tcW w:w="2812" w:type="dxa"/>
            <w:tcBorders>
              <w:left w:val="single" w:sz="4" w:space="0" w:color="000000"/>
              <w:bottom w:val="single" w:sz="4" w:space="0" w:color="000000"/>
            </w:tcBorders>
            <w:shd w:val="clear" w:color="auto" w:fill="FFFFFF" w:themeFill="background1"/>
          </w:tcPr>
          <w:p w14:paraId="6CFDD5EE" w14:textId="77777777" w:rsidR="005773C2" w:rsidRPr="00273819" w:rsidRDefault="005773C2" w:rsidP="00F72AD2">
            <w:pPr>
              <w:pStyle w:val="TableParagraph"/>
              <w:jc w:val="center"/>
              <w:rPr>
                <w:rFonts w:ascii="Arial" w:hAnsi="Arial" w:cs="Arial"/>
                <w:b/>
                <w:sz w:val="20"/>
                <w:szCs w:val="20"/>
              </w:rPr>
            </w:pPr>
          </w:p>
          <w:p w14:paraId="6105054B" w14:textId="77777777" w:rsidR="005773C2" w:rsidRPr="00273819" w:rsidRDefault="005773C2" w:rsidP="00F72AD2">
            <w:pPr>
              <w:pStyle w:val="TableParagraph"/>
              <w:jc w:val="center"/>
              <w:rPr>
                <w:rFonts w:ascii="Arial" w:hAnsi="Arial" w:cs="Arial"/>
                <w:b/>
                <w:sz w:val="20"/>
                <w:szCs w:val="20"/>
              </w:rPr>
            </w:pPr>
          </w:p>
          <w:p w14:paraId="18A8F593" w14:textId="77777777" w:rsidR="005773C2" w:rsidRPr="00273819" w:rsidRDefault="005773C2" w:rsidP="00F72AD2">
            <w:pPr>
              <w:pStyle w:val="TableParagraph"/>
              <w:spacing w:before="134"/>
              <w:ind w:left="128" w:right="116"/>
              <w:jc w:val="center"/>
              <w:rPr>
                <w:rFonts w:ascii="Arial" w:hAnsi="Arial" w:cs="Arial"/>
                <w:sz w:val="20"/>
                <w:szCs w:val="20"/>
              </w:rPr>
            </w:pPr>
          </w:p>
        </w:tc>
      </w:tr>
      <w:tr w:rsidR="005773C2" w:rsidRPr="00273819" w14:paraId="5775572F" w14:textId="77777777" w:rsidTr="005773C2">
        <w:trPr>
          <w:trHeight w:val="819"/>
        </w:trPr>
        <w:tc>
          <w:tcPr>
            <w:tcW w:w="3926" w:type="dxa"/>
            <w:tcBorders>
              <w:bottom w:val="single" w:sz="4" w:space="0" w:color="000000"/>
            </w:tcBorders>
            <w:shd w:val="clear" w:color="auto" w:fill="FFFFFF" w:themeFill="background1"/>
          </w:tcPr>
          <w:p w14:paraId="05B77878" w14:textId="77777777" w:rsidR="005773C2" w:rsidRDefault="005773C2" w:rsidP="00F72AD2">
            <w:pPr>
              <w:pStyle w:val="TableParagraph"/>
              <w:spacing w:before="119"/>
              <w:ind w:right="107"/>
              <w:jc w:val="center"/>
              <w:rPr>
                <w:rFonts w:ascii="Arial" w:hAnsi="Arial" w:cs="Arial"/>
                <w:sz w:val="20"/>
                <w:szCs w:val="20"/>
              </w:rPr>
            </w:pPr>
            <w:r w:rsidRPr="00273819">
              <w:rPr>
                <w:rFonts w:ascii="Arial" w:hAnsi="Arial" w:cs="Arial"/>
                <w:sz w:val="20"/>
                <w:szCs w:val="20"/>
              </w:rPr>
              <w:t>≥ HK$10bn and &lt; HK$15bn</w:t>
            </w:r>
          </w:p>
          <w:p w14:paraId="6A955887" w14:textId="77777777" w:rsidR="00E35EDF" w:rsidRPr="00273819" w:rsidRDefault="00E35EDF" w:rsidP="00F72AD2">
            <w:pPr>
              <w:pStyle w:val="TableParagraph"/>
              <w:spacing w:before="119"/>
              <w:ind w:right="107"/>
              <w:jc w:val="center"/>
              <w:rPr>
                <w:rFonts w:ascii="Arial" w:hAnsi="Arial" w:cs="Arial"/>
                <w:sz w:val="20"/>
                <w:szCs w:val="20"/>
              </w:rPr>
            </w:pPr>
            <w:r>
              <w:rPr>
                <w:rFonts w:ascii="Arial" w:hAnsi="Arial" w:cs="Arial"/>
                <w:sz w:val="20"/>
                <w:szCs w:val="20"/>
              </w:rPr>
              <w:t>Pre-Commercial Companies</w:t>
            </w:r>
          </w:p>
        </w:tc>
        <w:tc>
          <w:tcPr>
            <w:tcW w:w="2836" w:type="dxa"/>
            <w:tcBorders>
              <w:bottom w:val="single" w:sz="4" w:space="0" w:color="000000"/>
              <w:right w:val="single" w:sz="4" w:space="0" w:color="000000"/>
            </w:tcBorders>
            <w:shd w:val="clear" w:color="auto" w:fill="FFFFFF" w:themeFill="background1"/>
          </w:tcPr>
          <w:p w14:paraId="7E721113" w14:textId="77777777" w:rsidR="005773C2" w:rsidRPr="00273819" w:rsidRDefault="005773C2" w:rsidP="00F72AD2">
            <w:pPr>
              <w:pStyle w:val="TableParagraph"/>
              <w:jc w:val="center"/>
              <w:rPr>
                <w:rFonts w:ascii="Arial" w:hAnsi="Arial" w:cs="Arial"/>
                <w:b/>
                <w:sz w:val="20"/>
                <w:szCs w:val="20"/>
              </w:rPr>
            </w:pPr>
          </w:p>
        </w:tc>
        <w:tc>
          <w:tcPr>
            <w:tcW w:w="2812" w:type="dxa"/>
            <w:tcBorders>
              <w:left w:val="single" w:sz="4" w:space="0" w:color="000000"/>
              <w:bottom w:val="single" w:sz="4" w:space="0" w:color="000000"/>
            </w:tcBorders>
            <w:shd w:val="clear" w:color="auto" w:fill="FFFFFF" w:themeFill="background1"/>
          </w:tcPr>
          <w:p w14:paraId="79060487" w14:textId="77777777" w:rsidR="005773C2" w:rsidRPr="00273819" w:rsidRDefault="005773C2" w:rsidP="00F72AD2">
            <w:pPr>
              <w:pStyle w:val="TableParagraph"/>
              <w:jc w:val="center"/>
              <w:rPr>
                <w:rFonts w:ascii="Arial" w:hAnsi="Arial" w:cs="Arial"/>
                <w:b/>
                <w:sz w:val="20"/>
                <w:szCs w:val="20"/>
              </w:rPr>
            </w:pPr>
          </w:p>
          <w:p w14:paraId="76E8AE58" w14:textId="77777777" w:rsidR="005773C2" w:rsidRPr="00273819" w:rsidRDefault="005773C2" w:rsidP="00F72AD2">
            <w:pPr>
              <w:pStyle w:val="TableParagraph"/>
              <w:spacing w:before="134"/>
              <w:ind w:left="128" w:right="116"/>
              <w:jc w:val="center"/>
              <w:rPr>
                <w:rFonts w:ascii="Arial" w:hAnsi="Arial" w:cs="Arial"/>
                <w:sz w:val="20"/>
                <w:szCs w:val="20"/>
              </w:rPr>
            </w:pPr>
            <w:r w:rsidRPr="00273819">
              <w:rPr>
                <w:rFonts w:ascii="Arial" w:hAnsi="Arial" w:cs="Arial"/>
                <w:sz w:val="20"/>
                <w:szCs w:val="20"/>
              </w:rPr>
              <w:t>25%</w:t>
            </w:r>
          </w:p>
        </w:tc>
      </w:tr>
      <w:tr w:rsidR="005773C2" w:rsidRPr="00273819" w14:paraId="5E59E68E" w14:textId="77777777" w:rsidTr="005773C2">
        <w:trPr>
          <w:trHeight w:val="700"/>
        </w:trPr>
        <w:tc>
          <w:tcPr>
            <w:tcW w:w="3926" w:type="dxa"/>
            <w:tcBorders>
              <w:top w:val="single" w:sz="4" w:space="0" w:color="000000"/>
              <w:bottom w:val="single" w:sz="4" w:space="0" w:color="000000"/>
            </w:tcBorders>
            <w:shd w:val="clear" w:color="auto" w:fill="FFFFFF" w:themeFill="background1"/>
          </w:tcPr>
          <w:p w14:paraId="4B9E9199" w14:textId="77777777" w:rsidR="005773C2" w:rsidRPr="00273819" w:rsidRDefault="005773C2" w:rsidP="00F72AD2">
            <w:pPr>
              <w:pStyle w:val="TableParagraph"/>
              <w:spacing w:before="119"/>
              <w:ind w:right="356"/>
              <w:jc w:val="center"/>
              <w:rPr>
                <w:rFonts w:ascii="Arial" w:hAnsi="Arial" w:cs="Arial"/>
                <w:sz w:val="20"/>
                <w:szCs w:val="20"/>
              </w:rPr>
            </w:pPr>
            <w:r w:rsidRPr="00273819">
              <w:rPr>
                <w:rFonts w:ascii="Arial" w:hAnsi="Arial" w:cs="Arial"/>
                <w:sz w:val="20"/>
                <w:szCs w:val="20"/>
              </w:rPr>
              <w:t>≥ HK$15bn and &lt; HK$30bn</w:t>
            </w:r>
          </w:p>
        </w:tc>
        <w:tc>
          <w:tcPr>
            <w:tcW w:w="2836" w:type="dxa"/>
            <w:tcBorders>
              <w:top w:val="single" w:sz="4" w:space="0" w:color="000000"/>
              <w:bottom w:val="single" w:sz="4" w:space="0" w:color="000000"/>
              <w:right w:val="single" w:sz="4" w:space="0" w:color="000000"/>
            </w:tcBorders>
            <w:shd w:val="clear" w:color="auto" w:fill="FFFFFF" w:themeFill="background1"/>
          </w:tcPr>
          <w:p w14:paraId="1D446729" w14:textId="77777777" w:rsidR="005773C2" w:rsidRPr="00273819" w:rsidRDefault="005773C2" w:rsidP="00F72AD2">
            <w:pPr>
              <w:pStyle w:val="TableParagraph"/>
              <w:spacing w:before="7"/>
              <w:jc w:val="center"/>
              <w:rPr>
                <w:rFonts w:ascii="Arial" w:hAnsi="Arial" w:cs="Arial"/>
                <w:b/>
                <w:sz w:val="20"/>
                <w:szCs w:val="20"/>
              </w:rPr>
            </w:pPr>
          </w:p>
          <w:p w14:paraId="64365BCC" w14:textId="77777777" w:rsidR="005773C2" w:rsidRPr="00273819" w:rsidRDefault="005773C2" w:rsidP="00F72AD2">
            <w:pPr>
              <w:pStyle w:val="TableParagraph"/>
              <w:ind w:left="322" w:right="324"/>
              <w:jc w:val="center"/>
              <w:rPr>
                <w:rFonts w:ascii="Arial" w:hAnsi="Arial" w:cs="Arial"/>
                <w:sz w:val="20"/>
                <w:szCs w:val="20"/>
              </w:rPr>
            </w:pPr>
            <w:r w:rsidRPr="00273819">
              <w:rPr>
                <w:rFonts w:ascii="Arial" w:hAnsi="Arial" w:cs="Arial"/>
                <w:sz w:val="20"/>
                <w:szCs w:val="20"/>
              </w:rPr>
              <w:t>15%</w:t>
            </w:r>
          </w:p>
        </w:tc>
        <w:tc>
          <w:tcPr>
            <w:tcW w:w="2812" w:type="dxa"/>
            <w:tcBorders>
              <w:top w:val="single" w:sz="4" w:space="0" w:color="000000"/>
              <w:left w:val="single" w:sz="4" w:space="0" w:color="000000"/>
              <w:bottom w:val="single" w:sz="4" w:space="0" w:color="000000"/>
            </w:tcBorders>
            <w:shd w:val="clear" w:color="auto" w:fill="FFFFFF" w:themeFill="background1"/>
          </w:tcPr>
          <w:p w14:paraId="146C7B07" w14:textId="77777777" w:rsidR="005773C2" w:rsidRPr="00273819" w:rsidRDefault="005773C2" w:rsidP="00F72AD2">
            <w:pPr>
              <w:pStyle w:val="TableParagraph"/>
              <w:spacing w:before="7"/>
              <w:jc w:val="center"/>
              <w:rPr>
                <w:rFonts w:ascii="Arial" w:hAnsi="Arial" w:cs="Arial"/>
                <w:b/>
                <w:sz w:val="20"/>
                <w:szCs w:val="20"/>
              </w:rPr>
            </w:pPr>
          </w:p>
          <w:p w14:paraId="20B86DD2" w14:textId="77777777" w:rsidR="005773C2" w:rsidRPr="00273819" w:rsidRDefault="005773C2" w:rsidP="00F72AD2">
            <w:pPr>
              <w:pStyle w:val="TableParagraph"/>
              <w:ind w:left="128" w:right="116"/>
              <w:jc w:val="center"/>
              <w:rPr>
                <w:rFonts w:ascii="Arial" w:hAnsi="Arial" w:cs="Arial"/>
                <w:sz w:val="20"/>
                <w:szCs w:val="20"/>
              </w:rPr>
            </w:pPr>
            <w:r w:rsidRPr="00273819">
              <w:rPr>
                <w:rFonts w:ascii="Arial" w:hAnsi="Arial" w:cs="Arial"/>
                <w:sz w:val="20"/>
                <w:szCs w:val="20"/>
              </w:rPr>
              <w:t>20%</w:t>
            </w:r>
          </w:p>
        </w:tc>
      </w:tr>
      <w:tr w:rsidR="005773C2" w:rsidRPr="00273819" w14:paraId="4DA43A21" w14:textId="77777777" w:rsidTr="005773C2">
        <w:trPr>
          <w:trHeight w:val="471"/>
        </w:trPr>
        <w:tc>
          <w:tcPr>
            <w:tcW w:w="3926" w:type="dxa"/>
            <w:tcBorders>
              <w:top w:val="single" w:sz="4" w:space="0" w:color="000000"/>
            </w:tcBorders>
            <w:shd w:val="clear" w:color="auto" w:fill="FFFFFF" w:themeFill="background1"/>
          </w:tcPr>
          <w:p w14:paraId="39EECA8D" w14:textId="77777777" w:rsidR="005773C2" w:rsidRPr="00273819" w:rsidRDefault="005773C2" w:rsidP="00F72AD2">
            <w:pPr>
              <w:pStyle w:val="TableParagraph"/>
              <w:spacing w:before="119"/>
              <w:jc w:val="center"/>
              <w:rPr>
                <w:rFonts w:ascii="Arial" w:hAnsi="Arial" w:cs="Arial"/>
                <w:sz w:val="20"/>
                <w:szCs w:val="20"/>
              </w:rPr>
            </w:pPr>
            <w:r w:rsidRPr="00273819">
              <w:rPr>
                <w:rFonts w:ascii="Arial" w:hAnsi="Arial" w:cs="Arial"/>
                <w:sz w:val="20"/>
                <w:szCs w:val="20"/>
              </w:rPr>
              <w:lastRenderedPageBreak/>
              <w:t>≥ HK$30bn</w:t>
            </w:r>
          </w:p>
        </w:tc>
        <w:tc>
          <w:tcPr>
            <w:tcW w:w="2836" w:type="dxa"/>
            <w:tcBorders>
              <w:top w:val="single" w:sz="4" w:space="0" w:color="000000"/>
              <w:right w:val="single" w:sz="4" w:space="0" w:color="000000"/>
            </w:tcBorders>
            <w:shd w:val="clear" w:color="auto" w:fill="FFFFFF" w:themeFill="background1"/>
          </w:tcPr>
          <w:p w14:paraId="18DD4B75" w14:textId="77777777" w:rsidR="005773C2" w:rsidRPr="00273819" w:rsidRDefault="005773C2" w:rsidP="00F72AD2">
            <w:pPr>
              <w:pStyle w:val="TableParagraph"/>
              <w:spacing w:before="119"/>
              <w:ind w:left="322" w:right="324"/>
              <w:jc w:val="center"/>
              <w:rPr>
                <w:rFonts w:ascii="Arial" w:hAnsi="Arial" w:cs="Arial"/>
                <w:sz w:val="20"/>
                <w:szCs w:val="20"/>
              </w:rPr>
            </w:pPr>
            <w:r w:rsidRPr="00273819">
              <w:rPr>
                <w:rFonts w:ascii="Arial" w:hAnsi="Arial" w:cs="Arial"/>
                <w:sz w:val="20"/>
                <w:szCs w:val="20"/>
              </w:rPr>
              <w:t>10%</w:t>
            </w:r>
          </w:p>
        </w:tc>
        <w:tc>
          <w:tcPr>
            <w:tcW w:w="2812" w:type="dxa"/>
            <w:tcBorders>
              <w:top w:val="single" w:sz="4" w:space="0" w:color="000000"/>
              <w:left w:val="single" w:sz="4" w:space="0" w:color="000000"/>
            </w:tcBorders>
            <w:shd w:val="clear" w:color="auto" w:fill="FFFFFF" w:themeFill="background1"/>
          </w:tcPr>
          <w:p w14:paraId="7CA47EDF" w14:textId="77777777" w:rsidR="005773C2" w:rsidRPr="00273819" w:rsidRDefault="005773C2" w:rsidP="00F72AD2">
            <w:pPr>
              <w:pStyle w:val="TableParagraph"/>
              <w:spacing w:before="119"/>
              <w:ind w:left="128" w:right="116"/>
              <w:jc w:val="center"/>
              <w:rPr>
                <w:rFonts w:ascii="Arial" w:hAnsi="Arial" w:cs="Arial"/>
                <w:sz w:val="20"/>
                <w:szCs w:val="20"/>
              </w:rPr>
            </w:pPr>
            <w:r w:rsidRPr="00273819">
              <w:rPr>
                <w:rFonts w:ascii="Arial" w:hAnsi="Arial" w:cs="Arial"/>
                <w:sz w:val="20"/>
                <w:szCs w:val="20"/>
              </w:rPr>
              <w:t>15%</w:t>
            </w:r>
          </w:p>
        </w:tc>
      </w:tr>
    </w:tbl>
    <w:p w14:paraId="3056ED6A" w14:textId="77777777" w:rsidR="00577239" w:rsidRDefault="00577239" w:rsidP="006154E0">
      <w:pPr>
        <w:jc w:val="both"/>
        <w:rPr>
          <w:rFonts w:ascii="Arial" w:hAnsi="Arial" w:cs="Arial"/>
          <w:sz w:val="20"/>
          <w:szCs w:val="20"/>
        </w:rPr>
      </w:pPr>
    </w:p>
    <w:p w14:paraId="11DEC4CA" w14:textId="77777777" w:rsidR="007919A3" w:rsidRDefault="007919A3" w:rsidP="006154E0">
      <w:pPr>
        <w:jc w:val="both"/>
        <w:rPr>
          <w:rFonts w:ascii="Arial" w:hAnsi="Arial" w:cs="Arial"/>
          <w:sz w:val="20"/>
          <w:szCs w:val="20"/>
        </w:rPr>
      </w:pPr>
      <w:r>
        <w:rPr>
          <w:rFonts w:ascii="Arial" w:hAnsi="Arial" w:cs="Arial"/>
          <w:sz w:val="20"/>
          <w:szCs w:val="20"/>
        </w:rPr>
        <w:t>The Guidance Letter for Specialist Technology Companies also clarifies that the Aggregate Investment Benchmark can be met by the issue of offer shares to SIIs in the IPO, irrespective of whether they held securities in the Specialist Technology Company before listing.</w:t>
      </w:r>
    </w:p>
    <w:p w14:paraId="2A304596" w14:textId="77777777" w:rsidR="007919A3" w:rsidRPr="00273819" w:rsidRDefault="007919A3" w:rsidP="006154E0">
      <w:pPr>
        <w:jc w:val="both"/>
        <w:rPr>
          <w:rFonts w:ascii="Arial" w:hAnsi="Arial" w:cs="Arial"/>
          <w:sz w:val="20"/>
          <w:szCs w:val="20"/>
        </w:rPr>
      </w:pPr>
      <w:r w:rsidRPr="007919A3">
        <w:rPr>
          <w:rFonts w:ascii="Arial" w:hAnsi="Arial" w:cs="Arial"/>
          <w:sz w:val="20"/>
          <w:szCs w:val="20"/>
        </w:rPr>
        <w:t xml:space="preserve">Where pre-IPO and cornerstone investments made </w:t>
      </w:r>
      <w:r>
        <w:rPr>
          <w:rFonts w:ascii="Arial" w:hAnsi="Arial" w:cs="Arial"/>
          <w:sz w:val="20"/>
          <w:szCs w:val="20"/>
        </w:rPr>
        <w:t xml:space="preserve">SIIs </w:t>
      </w:r>
      <w:r w:rsidRPr="007919A3">
        <w:rPr>
          <w:rFonts w:ascii="Arial" w:hAnsi="Arial" w:cs="Arial"/>
          <w:sz w:val="20"/>
          <w:szCs w:val="20"/>
        </w:rPr>
        <w:t xml:space="preserve">are insufficient to satisfy the Aggregate Investment Benchmark, the </w:t>
      </w:r>
      <w:r>
        <w:rPr>
          <w:rFonts w:ascii="Arial" w:hAnsi="Arial" w:cs="Arial"/>
          <w:sz w:val="20"/>
          <w:szCs w:val="20"/>
        </w:rPr>
        <w:t xml:space="preserve">HKEX </w:t>
      </w:r>
      <w:r w:rsidRPr="007919A3">
        <w:rPr>
          <w:rFonts w:ascii="Arial" w:hAnsi="Arial" w:cs="Arial"/>
          <w:sz w:val="20"/>
          <w:szCs w:val="20"/>
        </w:rPr>
        <w:t>would allow an applicant to lis</w:t>
      </w:r>
      <w:r w:rsidR="00A40C63">
        <w:rPr>
          <w:rFonts w:ascii="Arial" w:hAnsi="Arial" w:cs="Arial"/>
          <w:sz w:val="20"/>
          <w:szCs w:val="20"/>
        </w:rPr>
        <w:t>t</w:t>
      </w:r>
      <w:r w:rsidRPr="007919A3">
        <w:rPr>
          <w:rFonts w:ascii="Arial" w:hAnsi="Arial" w:cs="Arial"/>
          <w:sz w:val="20"/>
          <w:szCs w:val="20"/>
        </w:rPr>
        <w:t xml:space="preserve"> on the condition that sufficient offer shares would be allocated to </w:t>
      </w:r>
      <w:r>
        <w:rPr>
          <w:rFonts w:ascii="Arial" w:hAnsi="Arial" w:cs="Arial"/>
          <w:sz w:val="20"/>
          <w:szCs w:val="20"/>
        </w:rPr>
        <w:t>SII</w:t>
      </w:r>
      <w:r w:rsidRPr="007919A3">
        <w:rPr>
          <w:rFonts w:ascii="Arial" w:hAnsi="Arial" w:cs="Arial"/>
          <w:sz w:val="20"/>
          <w:szCs w:val="20"/>
        </w:rPr>
        <w:t xml:space="preserve">s participating as </w:t>
      </w:r>
      <w:proofErr w:type="spellStart"/>
      <w:r w:rsidRPr="007919A3">
        <w:rPr>
          <w:rFonts w:ascii="Arial" w:hAnsi="Arial" w:cs="Arial"/>
          <w:sz w:val="20"/>
          <w:szCs w:val="20"/>
        </w:rPr>
        <w:t>placees</w:t>
      </w:r>
      <w:proofErr w:type="spellEnd"/>
      <w:r w:rsidRPr="007919A3">
        <w:rPr>
          <w:rFonts w:ascii="Arial" w:hAnsi="Arial" w:cs="Arial"/>
          <w:sz w:val="20"/>
          <w:szCs w:val="20"/>
        </w:rPr>
        <w:t xml:space="preserve"> under the placing tranche to satisfy the Aggregate Invest</w:t>
      </w:r>
      <w:r w:rsidR="00A40C63">
        <w:rPr>
          <w:rFonts w:ascii="Arial" w:hAnsi="Arial" w:cs="Arial"/>
          <w:sz w:val="20"/>
          <w:szCs w:val="20"/>
        </w:rPr>
        <w:t xml:space="preserve">ment Benchmark (referred to as </w:t>
      </w:r>
      <w:r w:rsidRPr="00A40C63">
        <w:rPr>
          <w:rFonts w:ascii="Arial" w:hAnsi="Arial" w:cs="Arial"/>
          <w:b/>
          <w:sz w:val="20"/>
          <w:szCs w:val="20"/>
        </w:rPr>
        <w:t xml:space="preserve">SII </w:t>
      </w:r>
      <w:proofErr w:type="spellStart"/>
      <w:r w:rsidRPr="00A40C63">
        <w:rPr>
          <w:rFonts w:ascii="Arial" w:hAnsi="Arial" w:cs="Arial"/>
          <w:b/>
          <w:sz w:val="20"/>
          <w:szCs w:val="20"/>
        </w:rPr>
        <w:t>Placees</w:t>
      </w:r>
      <w:proofErr w:type="spellEnd"/>
      <w:r w:rsidRPr="007919A3">
        <w:rPr>
          <w:rFonts w:ascii="Arial" w:hAnsi="Arial" w:cs="Arial"/>
          <w:sz w:val="20"/>
          <w:szCs w:val="20"/>
        </w:rPr>
        <w:t xml:space="preserve">), in which case the listing applicant, the overall coordinator(s) and the sponsor(s) should </w:t>
      </w:r>
      <w:r w:rsidR="00A40C63">
        <w:rPr>
          <w:rFonts w:ascii="Arial" w:hAnsi="Arial" w:cs="Arial"/>
          <w:sz w:val="20"/>
          <w:szCs w:val="20"/>
        </w:rPr>
        <w:t xml:space="preserve">give an </w:t>
      </w:r>
      <w:r w:rsidRPr="007919A3">
        <w:rPr>
          <w:rFonts w:ascii="Arial" w:hAnsi="Arial" w:cs="Arial"/>
          <w:sz w:val="20"/>
          <w:szCs w:val="20"/>
        </w:rPr>
        <w:t>und</w:t>
      </w:r>
      <w:r w:rsidR="00A40C63">
        <w:rPr>
          <w:rFonts w:ascii="Arial" w:hAnsi="Arial" w:cs="Arial"/>
          <w:sz w:val="20"/>
          <w:szCs w:val="20"/>
        </w:rPr>
        <w:t>ertaking in this regard and that un</w:t>
      </w:r>
      <w:r w:rsidRPr="007919A3">
        <w:rPr>
          <w:rFonts w:ascii="Arial" w:hAnsi="Arial" w:cs="Arial"/>
          <w:sz w:val="20"/>
          <w:szCs w:val="20"/>
        </w:rPr>
        <w:t>dertaking should be disclos</w:t>
      </w:r>
      <w:r w:rsidR="00A40C63">
        <w:rPr>
          <w:rFonts w:ascii="Arial" w:hAnsi="Arial" w:cs="Arial"/>
          <w:sz w:val="20"/>
          <w:szCs w:val="20"/>
        </w:rPr>
        <w:t>ed in the listing document. In these</w:t>
      </w:r>
      <w:r w:rsidR="005C6F8B">
        <w:rPr>
          <w:rFonts w:ascii="Arial" w:hAnsi="Arial" w:cs="Arial"/>
          <w:sz w:val="20"/>
          <w:szCs w:val="20"/>
        </w:rPr>
        <w:t xml:space="preserve"> cases,</w:t>
      </w:r>
      <w:r w:rsidR="00A40C63">
        <w:rPr>
          <w:rFonts w:ascii="Arial" w:hAnsi="Arial" w:cs="Arial"/>
          <w:sz w:val="20"/>
          <w:szCs w:val="20"/>
        </w:rPr>
        <w:t xml:space="preserve"> the HKEX</w:t>
      </w:r>
      <w:r w:rsidRPr="007919A3">
        <w:rPr>
          <w:rFonts w:ascii="Arial" w:hAnsi="Arial" w:cs="Arial"/>
          <w:sz w:val="20"/>
          <w:szCs w:val="20"/>
        </w:rPr>
        <w:t xml:space="preserve"> will only accept </w:t>
      </w:r>
      <w:proofErr w:type="spellStart"/>
      <w:r w:rsidRPr="007919A3">
        <w:rPr>
          <w:rFonts w:ascii="Arial" w:hAnsi="Arial" w:cs="Arial"/>
          <w:sz w:val="20"/>
          <w:szCs w:val="20"/>
        </w:rPr>
        <w:t>placees</w:t>
      </w:r>
      <w:proofErr w:type="spellEnd"/>
      <w:r w:rsidRPr="007919A3">
        <w:rPr>
          <w:rFonts w:ascii="Arial" w:hAnsi="Arial" w:cs="Arial"/>
          <w:sz w:val="20"/>
          <w:szCs w:val="20"/>
        </w:rPr>
        <w:t xml:space="preserve"> that clearly fall withi</w:t>
      </w:r>
      <w:r w:rsidR="00A40C63">
        <w:rPr>
          <w:rFonts w:ascii="Arial" w:hAnsi="Arial" w:cs="Arial"/>
          <w:sz w:val="20"/>
          <w:szCs w:val="20"/>
        </w:rPr>
        <w:t>n the illustrative examples of</w:t>
      </w:r>
      <w:r w:rsidRPr="007919A3">
        <w:rPr>
          <w:rFonts w:ascii="Arial" w:hAnsi="Arial" w:cs="Arial"/>
          <w:sz w:val="20"/>
          <w:szCs w:val="20"/>
        </w:rPr>
        <w:t xml:space="preserve"> </w:t>
      </w:r>
      <w:r w:rsidR="00A40C63">
        <w:rPr>
          <w:rFonts w:ascii="Arial" w:hAnsi="Arial" w:cs="Arial"/>
          <w:sz w:val="20"/>
          <w:szCs w:val="20"/>
        </w:rPr>
        <w:t xml:space="preserve">SIIs </w:t>
      </w:r>
      <w:r w:rsidRPr="007919A3">
        <w:rPr>
          <w:rFonts w:ascii="Arial" w:hAnsi="Arial" w:cs="Arial"/>
          <w:sz w:val="20"/>
          <w:szCs w:val="20"/>
        </w:rPr>
        <w:t>(as set out in paragraph 32 of the Guidance Letter</w:t>
      </w:r>
      <w:r w:rsidR="00A40C63">
        <w:rPr>
          <w:rFonts w:ascii="Arial" w:hAnsi="Arial" w:cs="Arial"/>
          <w:sz w:val="20"/>
          <w:szCs w:val="20"/>
        </w:rPr>
        <w:t xml:space="preserve"> for Specialist Technology Companies</w:t>
      </w:r>
      <w:r w:rsidRPr="007919A3">
        <w:rPr>
          <w:rFonts w:ascii="Arial" w:hAnsi="Arial" w:cs="Arial"/>
          <w:sz w:val="20"/>
          <w:szCs w:val="20"/>
        </w:rPr>
        <w:t>). To avoid any delay to listing, where an applicant plans to rely on an allocation to be made to a</w:t>
      </w:r>
      <w:r w:rsidR="00A40C63">
        <w:rPr>
          <w:rFonts w:ascii="Arial" w:hAnsi="Arial" w:cs="Arial"/>
          <w:sz w:val="20"/>
          <w:szCs w:val="20"/>
        </w:rPr>
        <w:t>n SII</w:t>
      </w:r>
      <w:r w:rsidRPr="007919A3">
        <w:rPr>
          <w:rFonts w:ascii="Arial" w:hAnsi="Arial" w:cs="Arial"/>
          <w:sz w:val="20"/>
          <w:szCs w:val="20"/>
        </w:rPr>
        <w:t xml:space="preserve"> which is a key market participant (as referred to in paragraph 32(d) of the Guidance Letter</w:t>
      </w:r>
      <w:r w:rsidR="00A40C63">
        <w:rPr>
          <w:rFonts w:ascii="Arial" w:hAnsi="Arial" w:cs="Arial"/>
          <w:sz w:val="20"/>
          <w:szCs w:val="20"/>
        </w:rPr>
        <w:t xml:space="preserve"> for Specialist Technology Companies</w:t>
      </w:r>
      <w:r w:rsidRPr="007919A3">
        <w:rPr>
          <w:rFonts w:ascii="Arial" w:hAnsi="Arial" w:cs="Arial"/>
          <w:sz w:val="20"/>
          <w:szCs w:val="20"/>
        </w:rPr>
        <w:t xml:space="preserve">), the listing applicant must submit </w:t>
      </w:r>
      <w:r w:rsidR="00A40C63">
        <w:rPr>
          <w:rFonts w:ascii="Arial" w:hAnsi="Arial" w:cs="Arial"/>
          <w:sz w:val="20"/>
          <w:szCs w:val="20"/>
        </w:rPr>
        <w:t>the relevant information on the</w:t>
      </w:r>
      <w:r w:rsidRPr="007919A3">
        <w:rPr>
          <w:rFonts w:ascii="Arial" w:hAnsi="Arial" w:cs="Arial"/>
          <w:sz w:val="20"/>
          <w:szCs w:val="20"/>
        </w:rPr>
        <w:t xml:space="preserve"> </w:t>
      </w:r>
      <w:r w:rsidR="00A40C63">
        <w:rPr>
          <w:rFonts w:ascii="Arial" w:hAnsi="Arial" w:cs="Arial"/>
          <w:sz w:val="20"/>
          <w:szCs w:val="20"/>
        </w:rPr>
        <w:t>SII(</w:t>
      </w:r>
      <w:r w:rsidRPr="007919A3">
        <w:rPr>
          <w:rFonts w:ascii="Arial" w:hAnsi="Arial" w:cs="Arial"/>
          <w:sz w:val="20"/>
          <w:szCs w:val="20"/>
        </w:rPr>
        <w:t xml:space="preserve">s) to which it intends to allocate offer shares as </w:t>
      </w:r>
      <w:proofErr w:type="spellStart"/>
      <w:r w:rsidRPr="007919A3">
        <w:rPr>
          <w:rFonts w:ascii="Arial" w:hAnsi="Arial" w:cs="Arial"/>
          <w:sz w:val="20"/>
          <w:szCs w:val="20"/>
        </w:rPr>
        <w:t>placees</w:t>
      </w:r>
      <w:proofErr w:type="spellEnd"/>
      <w:r w:rsidRPr="007919A3">
        <w:rPr>
          <w:rFonts w:ascii="Arial" w:hAnsi="Arial" w:cs="Arial"/>
          <w:sz w:val="20"/>
          <w:szCs w:val="20"/>
        </w:rPr>
        <w:t xml:space="preserve"> for the above purpose well in advance so that the </w:t>
      </w:r>
      <w:r w:rsidR="00A40C63">
        <w:rPr>
          <w:rFonts w:ascii="Arial" w:hAnsi="Arial" w:cs="Arial"/>
          <w:sz w:val="20"/>
          <w:szCs w:val="20"/>
        </w:rPr>
        <w:t>HKEX has enough time to assess whether the places can be regarded as SIIs.</w:t>
      </w:r>
      <w:r w:rsidRPr="007919A3">
        <w:rPr>
          <w:rFonts w:ascii="Arial" w:hAnsi="Arial" w:cs="Arial"/>
          <w:sz w:val="20"/>
          <w:szCs w:val="20"/>
        </w:rPr>
        <w:t xml:space="preserve"> </w:t>
      </w:r>
      <w:r w:rsidR="005C6F8B">
        <w:rPr>
          <w:rFonts w:ascii="Arial" w:hAnsi="Arial" w:cs="Arial"/>
          <w:sz w:val="20"/>
          <w:szCs w:val="20"/>
        </w:rPr>
        <w:t>T</w:t>
      </w:r>
      <w:r w:rsidRPr="007919A3">
        <w:rPr>
          <w:rFonts w:ascii="Arial" w:hAnsi="Arial" w:cs="Arial"/>
          <w:sz w:val="20"/>
          <w:szCs w:val="20"/>
        </w:rPr>
        <w:t xml:space="preserve">he Specialist Technology Company must </w:t>
      </w:r>
      <w:r w:rsidR="005C6F8B">
        <w:rPr>
          <w:rFonts w:ascii="Arial" w:hAnsi="Arial" w:cs="Arial"/>
          <w:sz w:val="20"/>
          <w:szCs w:val="20"/>
        </w:rPr>
        <w:t xml:space="preserve">also </w:t>
      </w:r>
      <w:r w:rsidRPr="007919A3">
        <w:rPr>
          <w:rFonts w:ascii="Arial" w:hAnsi="Arial" w:cs="Arial"/>
          <w:sz w:val="20"/>
          <w:szCs w:val="20"/>
        </w:rPr>
        <w:t xml:space="preserve">confirm in the allotment results announcement that the investment from all </w:t>
      </w:r>
      <w:r w:rsidR="005C6F8B">
        <w:rPr>
          <w:rFonts w:ascii="Arial" w:hAnsi="Arial" w:cs="Arial"/>
          <w:sz w:val="20"/>
          <w:szCs w:val="20"/>
        </w:rPr>
        <w:t xml:space="preserve">SIIs </w:t>
      </w:r>
      <w:r w:rsidRPr="007919A3">
        <w:rPr>
          <w:rFonts w:ascii="Arial" w:hAnsi="Arial" w:cs="Arial"/>
          <w:sz w:val="20"/>
          <w:szCs w:val="20"/>
        </w:rPr>
        <w:t>has met the Aggregate Investment Benchmark</w:t>
      </w:r>
      <w:r w:rsidR="005C6F8B">
        <w:rPr>
          <w:rFonts w:ascii="Arial" w:hAnsi="Arial" w:cs="Arial"/>
          <w:sz w:val="20"/>
          <w:szCs w:val="20"/>
        </w:rPr>
        <w:t xml:space="preserve"> and </w:t>
      </w:r>
      <w:r w:rsidRPr="007919A3">
        <w:rPr>
          <w:rFonts w:ascii="Arial" w:hAnsi="Arial" w:cs="Arial"/>
          <w:sz w:val="20"/>
          <w:szCs w:val="20"/>
        </w:rPr>
        <w:t xml:space="preserve">disclose the identities of the SII </w:t>
      </w:r>
      <w:proofErr w:type="spellStart"/>
      <w:r w:rsidRPr="007919A3">
        <w:rPr>
          <w:rFonts w:ascii="Arial" w:hAnsi="Arial" w:cs="Arial"/>
          <w:sz w:val="20"/>
          <w:szCs w:val="20"/>
        </w:rPr>
        <w:t>Placees</w:t>
      </w:r>
      <w:proofErr w:type="spellEnd"/>
      <w:r w:rsidRPr="007919A3">
        <w:rPr>
          <w:rFonts w:ascii="Arial" w:hAnsi="Arial" w:cs="Arial"/>
          <w:sz w:val="20"/>
          <w:szCs w:val="20"/>
        </w:rPr>
        <w:t xml:space="preserve">, the number of shares held by them, and other relevant information of the SII </w:t>
      </w:r>
      <w:proofErr w:type="spellStart"/>
      <w:r w:rsidRPr="007919A3">
        <w:rPr>
          <w:rFonts w:ascii="Arial" w:hAnsi="Arial" w:cs="Arial"/>
          <w:sz w:val="20"/>
          <w:szCs w:val="20"/>
        </w:rPr>
        <w:t>Placees</w:t>
      </w:r>
      <w:proofErr w:type="spellEnd"/>
      <w:r w:rsidRPr="007919A3">
        <w:rPr>
          <w:rFonts w:ascii="Arial" w:hAnsi="Arial" w:cs="Arial"/>
          <w:sz w:val="20"/>
          <w:szCs w:val="20"/>
        </w:rPr>
        <w:t xml:space="preserve"> as</w:t>
      </w:r>
      <w:r w:rsidR="005C6F8B">
        <w:rPr>
          <w:rFonts w:ascii="Arial" w:hAnsi="Arial" w:cs="Arial"/>
          <w:sz w:val="20"/>
          <w:szCs w:val="20"/>
        </w:rPr>
        <w:t xml:space="preserve"> required to be disclosed in a listing d</w:t>
      </w:r>
      <w:r w:rsidRPr="007919A3">
        <w:rPr>
          <w:rFonts w:ascii="Arial" w:hAnsi="Arial" w:cs="Arial"/>
          <w:sz w:val="20"/>
          <w:szCs w:val="20"/>
        </w:rPr>
        <w:t xml:space="preserve">ocument (see paragraph 36 of the </w:t>
      </w:r>
      <w:r w:rsidR="005C6F8B">
        <w:rPr>
          <w:rFonts w:ascii="Arial" w:hAnsi="Arial" w:cs="Arial"/>
          <w:sz w:val="20"/>
          <w:szCs w:val="20"/>
        </w:rPr>
        <w:t>Guidance L</w:t>
      </w:r>
      <w:r w:rsidR="005C6F8B" w:rsidRPr="00273819">
        <w:rPr>
          <w:rFonts w:ascii="Arial" w:hAnsi="Arial" w:cs="Arial"/>
          <w:sz w:val="20"/>
          <w:szCs w:val="20"/>
        </w:rPr>
        <w:t xml:space="preserve">etter </w:t>
      </w:r>
      <w:r w:rsidR="005C6F8B">
        <w:rPr>
          <w:rFonts w:ascii="Arial" w:hAnsi="Arial" w:cs="Arial"/>
          <w:sz w:val="20"/>
          <w:szCs w:val="20"/>
        </w:rPr>
        <w:t>for Specialist Technology Companies)</w:t>
      </w:r>
      <w:r w:rsidR="005C6F8B" w:rsidRPr="00273819">
        <w:rPr>
          <w:rFonts w:ascii="Arial" w:hAnsi="Arial" w:cs="Arial"/>
          <w:sz w:val="20"/>
          <w:szCs w:val="20"/>
        </w:rPr>
        <w:t xml:space="preserve"> </w:t>
      </w:r>
      <w:r w:rsidRPr="007919A3">
        <w:rPr>
          <w:rFonts w:ascii="Arial" w:hAnsi="Arial" w:cs="Arial"/>
          <w:sz w:val="20"/>
          <w:szCs w:val="20"/>
        </w:rPr>
        <w:t>to substantiate that they have the relevant investment experience, knowledge and expertise to be considered sophisticated. This information should be given as of a date that is no more than six months prior to the date of listing.</w:t>
      </w:r>
    </w:p>
    <w:p w14:paraId="18EA5AEB" w14:textId="77777777" w:rsidR="000B6CDD" w:rsidRPr="00273819" w:rsidRDefault="000B6CDD" w:rsidP="006154E0">
      <w:pPr>
        <w:jc w:val="both"/>
        <w:rPr>
          <w:rFonts w:ascii="Arial" w:hAnsi="Arial" w:cs="Arial"/>
          <w:b/>
          <w:sz w:val="20"/>
          <w:szCs w:val="20"/>
        </w:rPr>
      </w:pPr>
      <w:r w:rsidRPr="00273819">
        <w:rPr>
          <w:rFonts w:ascii="Arial" w:hAnsi="Arial" w:cs="Arial"/>
          <w:b/>
          <w:sz w:val="20"/>
          <w:szCs w:val="20"/>
        </w:rPr>
        <w:t>Sophisticated Independent Investors</w:t>
      </w:r>
    </w:p>
    <w:p w14:paraId="71AEB186" w14:textId="77777777" w:rsidR="000B6CDD" w:rsidRPr="00273819" w:rsidRDefault="000B6CDD" w:rsidP="006154E0">
      <w:pPr>
        <w:jc w:val="both"/>
        <w:rPr>
          <w:rFonts w:ascii="Arial" w:hAnsi="Arial" w:cs="Arial"/>
          <w:sz w:val="20"/>
          <w:szCs w:val="20"/>
        </w:rPr>
      </w:pPr>
      <w:r w:rsidRPr="00273819">
        <w:rPr>
          <w:rFonts w:ascii="Arial" w:hAnsi="Arial" w:cs="Arial"/>
          <w:sz w:val="20"/>
          <w:szCs w:val="20"/>
        </w:rPr>
        <w:t>A core connected person of the listing applicant cannot be a Sophisticated Independent Investor. A substantial shareholder may qualify as a Sophisticated Independent Investor if it is a core connected person only by virtue of the size of its shareholding in the Specialist Technology Company, but a controlling shareholder, the founders and their respective close associates of the listing applicant cannot be a Soph</w:t>
      </w:r>
      <w:r w:rsidR="00E35EDF">
        <w:rPr>
          <w:rFonts w:ascii="Arial" w:hAnsi="Arial" w:cs="Arial"/>
          <w:sz w:val="20"/>
          <w:szCs w:val="20"/>
        </w:rPr>
        <w:t>isticated Independent Investor.</w:t>
      </w:r>
      <w:r w:rsidR="008809FC">
        <w:rPr>
          <w:rStyle w:val="a6"/>
          <w:rFonts w:ascii="Arial" w:hAnsi="Arial" w:cs="Arial"/>
          <w:sz w:val="20"/>
          <w:szCs w:val="20"/>
        </w:rPr>
        <w:footnoteReference w:id="12"/>
      </w:r>
      <w:r w:rsidRPr="00273819">
        <w:rPr>
          <w:rFonts w:ascii="Arial" w:hAnsi="Arial" w:cs="Arial"/>
          <w:sz w:val="20"/>
          <w:szCs w:val="20"/>
        </w:rPr>
        <w:t>The HKEX will consider whether an investor qualifies as a Sophisticated Independent Investor on a case-by-case basis by reference to its relevant investment experience, knowledge and expertise in the relevant field</w:t>
      </w:r>
      <w:r w:rsidR="008809FC">
        <w:rPr>
          <w:rFonts w:ascii="Arial" w:hAnsi="Arial" w:cs="Arial"/>
          <w:sz w:val="20"/>
          <w:szCs w:val="20"/>
        </w:rPr>
        <w:t>,</w:t>
      </w:r>
      <w:r w:rsidRPr="00273819">
        <w:rPr>
          <w:rFonts w:ascii="Arial" w:hAnsi="Arial" w:cs="Arial"/>
          <w:sz w:val="20"/>
          <w:szCs w:val="20"/>
        </w:rPr>
        <w:t xml:space="preserve"> which could be demonstrated by its net assets, assets under management (</w:t>
      </w:r>
      <w:r w:rsidRPr="00E35EDF">
        <w:rPr>
          <w:rFonts w:ascii="Arial" w:hAnsi="Arial" w:cs="Arial"/>
          <w:b/>
          <w:sz w:val="20"/>
          <w:szCs w:val="20"/>
        </w:rPr>
        <w:t>AUM</w:t>
      </w:r>
      <w:r w:rsidRPr="00273819">
        <w:rPr>
          <w:rFonts w:ascii="Arial" w:hAnsi="Arial" w:cs="Arial"/>
          <w:sz w:val="20"/>
          <w:szCs w:val="20"/>
        </w:rPr>
        <w:t>), size of its investment portfolio or track record of investments.</w:t>
      </w:r>
      <w:r w:rsidR="00E507B0">
        <w:rPr>
          <w:rFonts w:ascii="Arial" w:hAnsi="Arial" w:cs="Arial"/>
          <w:sz w:val="20"/>
          <w:szCs w:val="20"/>
        </w:rPr>
        <w:t xml:space="preserve"> The independence of an SII is determined at the date of signing the definitive agreement for investment in the listing applicant, and up to the date of listing.</w:t>
      </w:r>
    </w:p>
    <w:p w14:paraId="55DD5ECF" w14:textId="77777777" w:rsidR="000B6CDD" w:rsidRPr="00273819" w:rsidRDefault="00AF729D" w:rsidP="006154E0">
      <w:pPr>
        <w:jc w:val="both"/>
        <w:rPr>
          <w:rFonts w:ascii="Arial" w:hAnsi="Arial" w:cs="Arial"/>
          <w:sz w:val="20"/>
          <w:szCs w:val="20"/>
        </w:rPr>
      </w:pPr>
      <w:r>
        <w:rPr>
          <w:rFonts w:ascii="Arial" w:hAnsi="Arial" w:cs="Arial"/>
          <w:sz w:val="20"/>
          <w:szCs w:val="20"/>
        </w:rPr>
        <w:t>The Guidance L</w:t>
      </w:r>
      <w:r w:rsidR="000B6CDD" w:rsidRPr="00273819">
        <w:rPr>
          <w:rFonts w:ascii="Arial" w:hAnsi="Arial" w:cs="Arial"/>
          <w:sz w:val="20"/>
          <w:szCs w:val="20"/>
        </w:rPr>
        <w:t xml:space="preserve">etter </w:t>
      </w:r>
      <w:r>
        <w:rPr>
          <w:rFonts w:ascii="Arial" w:hAnsi="Arial" w:cs="Arial"/>
          <w:sz w:val="20"/>
          <w:szCs w:val="20"/>
        </w:rPr>
        <w:t>for Specialist Technology Companies</w:t>
      </w:r>
      <w:r w:rsidRPr="00273819">
        <w:rPr>
          <w:rFonts w:ascii="Arial" w:hAnsi="Arial" w:cs="Arial"/>
          <w:sz w:val="20"/>
          <w:szCs w:val="20"/>
        </w:rPr>
        <w:t xml:space="preserve"> </w:t>
      </w:r>
      <w:r w:rsidR="000B6CDD" w:rsidRPr="00273819">
        <w:rPr>
          <w:rFonts w:ascii="Arial" w:hAnsi="Arial" w:cs="Arial"/>
          <w:sz w:val="20"/>
          <w:szCs w:val="20"/>
        </w:rPr>
        <w:t xml:space="preserve">gives the following illustrative examples of </w:t>
      </w:r>
      <w:r w:rsidR="008809FC">
        <w:rPr>
          <w:rFonts w:ascii="Arial" w:hAnsi="Arial" w:cs="Arial"/>
          <w:sz w:val="20"/>
          <w:szCs w:val="20"/>
        </w:rPr>
        <w:t>sophisticated investors</w:t>
      </w:r>
      <w:r w:rsidR="000B6CDD" w:rsidRPr="00273819">
        <w:rPr>
          <w:rFonts w:ascii="Arial" w:hAnsi="Arial" w:cs="Arial"/>
          <w:sz w:val="20"/>
          <w:szCs w:val="20"/>
        </w:rPr>
        <w:t>:</w:t>
      </w:r>
    </w:p>
    <w:p w14:paraId="288B123A" w14:textId="77777777" w:rsidR="000B6CDD" w:rsidRDefault="000B6CDD" w:rsidP="008809FC">
      <w:pPr>
        <w:pStyle w:val="a3"/>
        <w:numPr>
          <w:ilvl w:val="0"/>
          <w:numId w:val="38"/>
        </w:numPr>
        <w:jc w:val="both"/>
        <w:rPr>
          <w:rFonts w:ascii="Arial" w:hAnsi="Arial" w:cs="Arial"/>
          <w:sz w:val="20"/>
          <w:szCs w:val="20"/>
        </w:rPr>
      </w:pPr>
      <w:r w:rsidRPr="00273819">
        <w:rPr>
          <w:rFonts w:ascii="Arial" w:hAnsi="Arial" w:cs="Arial"/>
          <w:sz w:val="20"/>
          <w:szCs w:val="20"/>
        </w:rPr>
        <w:t>an asset management firm with AUM of, or a fund wi</w:t>
      </w:r>
      <w:r w:rsidR="008809FC">
        <w:rPr>
          <w:rFonts w:ascii="Arial" w:hAnsi="Arial" w:cs="Arial"/>
          <w:sz w:val="20"/>
          <w:szCs w:val="20"/>
        </w:rPr>
        <w:t>th a fund size of, at least HK$</w:t>
      </w:r>
      <w:r w:rsidRPr="00273819">
        <w:rPr>
          <w:rFonts w:ascii="Arial" w:hAnsi="Arial" w:cs="Arial"/>
          <w:sz w:val="20"/>
          <w:szCs w:val="20"/>
        </w:rPr>
        <w:t>15 billion;</w:t>
      </w:r>
    </w:p>
    <w:p w14:paraId="7A470B8A" w14:textId="77777777" w:rsidR="003E4351" w:rsidRPr="00273819" w:rsidRDefault="003E4351" w:rsidP="003E4351">
      <w:pPr>
        <w:pStyle w:val="a3"/>
        <w:jc w:val="both"/>
        <w:rPr>
          <w:rFonts w:ascii="Arial" w:hAnsi="Arial" w:cs="Arial"/>
          <w:sz w:val="20"/>
          <w:szCs w:val="20"/>
        </w:rPr>
      </w:pPr>
    </w:p>
    <w:p w14:paraId="1292B07C" w14:textId="77777777" w:rsidR="000B6CDD" w:rsidRDefault="000B6CDD" w:rsidP="008809FC">
      <w:pPr>
        <w:pStyle w:val="a3"/>
        <w:numPr>
          <w:ilvl w:val="0"/>
          <w:numId w:val="38"/>
        </w:numPr>
        <w:jc w:val="both"/>
        <w:rPr>
          <w:rFonts w:ascii="Arial" w:hAnsi="Arial" w:cs="Arial"/>
          <w:sz w:val="20"/>
          <w:szCs w:val="20"/>
        </w:rPr>
      </w:pPr>
      <w:r w:rsidRPr="00273819">
        <w:rPr>
          <w:rFonts w:ascii="Arial" w:hAnsi="Arial" w:cs="Arial"/>
          <w:sz w:val="20"/>
          <w:szCs w:val="20"/>
        </w:rPr>
        <w:t xml:space="preserve">a company with a diverse investment </w:t>
      </w:r>
      <w:r w:rsidR="008809FC">
        <w:rPr>
          <w:rFonts w:ascii="Arial" w:hAnsi="Arial" w:cs="Arial"/>
          <w:sz w:val="20"/>
          <w:szCs w:val="20"/>
        </w:rPr>
        <w:t>portfolio size of at least HK$</w:t>
      </w:r>
      <w:r w:rsidRPr="00273819">
        <w:rPr>
          <w:rFonts w:ascii="Arial" w:hAnsi="Arial" w:cs="Arial"/>
          <w:sz w:val="20"/>
          <w:szCs w:val="20"/>
        </w:rPr>
        <w:t>15 billion;</w:t>
      </w:r>
      <w:r w:rsidR="008809FC">
        <w:rPr>
          <w:rStyle w:val="a6"/>
          <w:rFonts w:ascii="Arial" w:hAnsi="Arial" w:cs="Arial"/>
          <w:sz w:val="20"/>
          <w:szCs w:val="20"/>
        </w:rPr>
        <w:footnoteReference w:id="13"/>
      </w:r>
    </w:p>
    <w:p w14:paraId="2089488F" w14:textId="77777777" w:rsidR="003E4351" w:rsidRPr="00273819" w:rsidRDefault="003E4351" w:rsidP="003E4351">
      <w:pPr>
        <w:pStyle w:val="a3"/>
        <w:jc w:val="both"/>
        <w:rPr>
          <w:rFonts w:ascii="Arial" w:hAnsi="Arial" w:cs="Arial"/>
          <w:sz w:val="20"/>
          <w:szCs w:val="20"/>
        </w:rPr>
      </w:pPr>
    </w:p>
    <w:p w14:paraId="4DB162AD" w14:textId="77777777" w:rsidR="000B6CDD" w:rsidRDefault="000B6CDD" w:rsidP="008809FC">
      <w:pPr>
        <w:pStyle w:val="a3"/>
        <w:numPr>
          <w:ilvl w:val="0"/>
          <w:numId w:val="38"/>
        </w:numPr>
        <w:jc w:val="both"/>
        <w:rPr>
          <w:rFonts w:ascii="Arial" w:hAnsi="Arial" w:cs="Arial"/>
          <w:sz w:val="20"/>
          <w:szCs w:val="20"/>
        </w:rPr>
      </w:pPr>
      <w:r w:rsidRPr="00273819">
        <w:rPr>
          <w:rFonts w:ascii="Arial" w:hAnsi="Arial" w:cs="Arial"/>
          <w:sz w:val="20"/>
          <w:szCs w:val="20"/>
        </w:rPr>
        <w:t xml:space="preserve">an investor within </w:t>
      </w:r>
      <w:r w:rsidR="008809FC">
        <w:rPr>
          <w:rFonts w:ascii="Arial" w:hAnsi="Arial" w:cs="Arial"/>
          <w:sz w:val="20"/>
          <w:szCs w:val="20"/>
        </w:rPr>
        <w:t>(</w:t>
      </w:r>
      <w:r w:rsidRPr="00273819">
        <w:rPr>
          <w:rFonts w:ascii="Arial" w:hAnsi="Arial" w:cs="Arial"/>
          <w:sz w:val="20"/>
          <w:szCs w:val="20"/>
        </w:rPr>
        <w:t xml:space="preserve">a) or </w:t>
      </w:r>
      <w:r w:rsidR="008809FC">
        <w:rPr>
          <w:rFonts w:ascii="Arial" w:hAnsi="Arial" w:cs="Arial"/>
          <w:sz w:val="20"/>
          <w:szCs w:val="20"/>
        </w:rPr>
        <w:t>(</w:t>
      </w:r>
      <w:r w:rsidRPr="00273819">
        <w:rPr>
          <w:rFonts w:ascii="Arial" w:hAnsi="Arial" w:cs="Arial"/>
          <w:sz w:val="20"/>
          <w:szCs w:val="20"/>
        </w:rPr>
        <w:t>b) with an AUM, fund size or investment</w:t>
      </w:r>
      <w:r w:rsidR="008809FC">
        <w:rPr>
          <w:rFonts w:ascii="Arial" w:hAnsi="Arial" w:cs="Arial"/>
          <w:sz w:val="20"/>
          <w:szCs w:val="20"/>
        </w:rPr>
        <w:t xml:space="preserve"> portfolio size of at least HK$</w:t>
      </w:r>
      <w:r w:rsidRPr="00273819">
        <w:rPr>
          <w:rFonts w:ascii="Arial" w:hAnsi="Arial" w:cs="Arial"/>
          <w:sz w:val="20"/>
          <w:szCs w:val="20"/>
        </w:rPr>
        <w:t>5 billion derived primarily from Specialist Technology investments; and</w:t>
      </w:r>
    </w:p>
    <w:p w14:paraId="292360B0" w14:textId="77777777" w:rsidR="003E4351" w:rsidRPr="00273819" w:rsidRDefault="003E4351" w:rsidP="003E4351">
      <w:pPr>
        <w:pStyle w:val="a3"/>
        <w:jc w:val="both"/>
        <w:rPr>
          <w:rFonts w:ascii="Arial" w:hAnsi="Arial" w:cs="Arial"/>
          <w:sz w:val="20"/>
          <w:szCs w:val="20"/>
        </w:rPr>
      </w:pPr>
    </w:p>
    <w:p w14:paraId="4D41119C" w14:textId="77777777" w:rsidR="000B6CDD" w:rsidRPr="00273819" w:rsidRDefault="000B6CDD" w:rsidP="008809FC">
      <w:pPr>
        <w:pStyle w:val="a3"/>
        <w:numPr>
          <w:ilvl w:val="0"/>
          <w:numId w:val="38"/>
        </w:numPr>
        <w:jc w:val="both"/>
        <w:rPr>
          <w:rFonts w:ascii="Arial" w:hAnsi="Arial" w:cs="Arial"/>
          <w:sz w:val="20"/>
          <w:szCs w:val="20"/>
        </w:rPr>
      </w:pPr>
      <w:r w:rsidRPr="00273819">
        <w:rPr>
          <w:rFonts w:ascii="Arial" w:hAnsi="Arial" w:cs="Arial"/>
          <w:sz w:val="20"/>
          <w:szCs w:val="20"/>
        </w:rPr>
        <w:lastRenderedPageBreak/>
        <w:t xml:space="preserve">a key participant in the relevant upstream or downstream industry </w:t>
      </w:r>
      <w:r w:rsidR="00FD1A70" w:rsidRPr="00273819">
        <w:rPr>
          <w:rFonts w:ascii="Arial" w:hAnsi="Arial" w:cs="Arial"/>
          <w:sz w:val="20"/>
          <w:szCs w:val="20"/>
        </w:rPr>
        <w:t>with a meaningful</w:t>
      </w:r>
      <w:r w:rsidRPr="00273819">
        <w:rPr>
          <w:rFonts w:ascii="Arial" w:hAnsi="Arial" w:cs="Arial"/>
          <w:sz w:val="20"/>
          <w:szCs w:val="20"/>
        </w:rPr>
        <w:t xml:space="preserve"> market share and size, as supported by appropriate independent market or operational data.</w:t>
      </w:r>
    </w:p>
    <w:p w14:paraId="544D670F" w14:textId="77777777" w:rsidR="004F6693" w:rsidRPr="00273819" w:rsidRDefault="004F6693" w:rsidP="006154E0">
      <w:pPr>
        <w:jc w:val="both"/>
        <w:rPr>
          <w:rFonts w:ascii="Arial" w:hAnsi="Arial" w:cs="Arial"/>
          <w:sz w:val="20"/>
          <w:szCs w:val="20"/>
        </w:rPr>
      </w:pPr>
      <w:r w:rsidRPr="00273819">
        <w:rPr>
          <w:rFonts w:ascii="Arial" w:hAnsi="Arial" w:cs="Arial"/>
          <w:sz w:val="20"/>
          <w:szCs w:val="20"/>
        </w:rPr>
        <w:t>The applicant is also required to disclose the size (and the basis for de</w:t>
      </w:r>
      <w:r w:rsidR="003F4837">
        <w:rPr>
          <w:rFonts w:ascii="Arial" w:hAnsi="Arial" w:cs="Arial"/>
          <w:sz w:val="20"/>
          <w:szCs w:val="20"/>
        </w:rPr>
        <w:t>termination) of the SIIs’</w:t>
      </w:r>
      <w:r w:rsidR="003E4351">
        <w:rPr>
          <w:rFonts w:ascii="Arial" w:hAnsi="Arial" w:cs="Arial"/>
          <w:sz w:val="20"/>
          <w:szCs w:val="20"/>
        </w:rPr>
        <w:t xml:space="preserve"> AUM, fund</w:t>
      </w:r>
      <w:r w:rsidRPr="00273819">
        <w:rPr>
          <w:rFonts w:ascii="Arial" w:hAnsi="Arial" w:cs="Arial"/>
          <w:sz w:val="20"/>
          <w:szCs w:val="20"/>
        </w:rPr>
        <w:t xml:space="preserve"> or investment portfolio, and other relevant in</w:t>
      </w:r>
      <w:r w:rsidR="003E4351">
        <w:rPr>
          <w:rFonts w:ascii="Arial" w:hAnsi="Arial" w:cs="Arial"/>
          <w:sz w:val="20"/>
          <w:szCs w:val="20"/>
        </w:rPr>
        <w:t>formation in its listing document</w:t>
      </w:r>
      <w:r w:rsidRPr="00273819">
        <w:rPr>
          <w:rFonts w:ascii="Arial" w:hAnsi="Arial" w:cs="Arial"/>
          <w:sz w:val="20"/>
          <w:szCs w:val="20"/>
        </w:rPr>
        <w:t xml:space="preserve"> to demonstrate their relevant i</w:t>
      </w:r>
      <w:r w:rsidR="003E4351">
        <w:rPr>
          <w:rFonts w:ascii="Arial" w:hAnsi="Arial" w:cs="Arial"/>
          <w:sz w:val="20"/>
          <w:szCs w:val="20"/>
        </w:rPr>
        <w:t xml:space="preserve">nvestment experience, knowledge and expertise. If that </w:t>
      </w:r>
      <w:r w:rsidRPr="00273819">
        <w:rPr>
          <w:rFonts w:ascii="Arial" w:hAnsi="Arial" w:cs="Arial"/>
          <w:sz w:val="20"/>
          <w:szCs w:val="20"/>
        </w:rPr>
        <w:t xml:space="preserve">information cannot be disclosed due to confidentiality, the HKEX may consider accepting alternative disclosures on a case-by-case basis. </w:t>
      </w:r>
      <w:r w:rsidR="003E4351">
        <w:rPr>
          <w:rFonts w:ascii="Arial" w:hAnsi="Arial" w:cs="Arial"/>
          <w:sz w:val="20"/>
          <w:szCs w:val="20"/>
        </w:rPr>
        <w:t xml:space="preserve">This </w:t>
      </w:r>
      <w:r w:rsidRPr="00273819">
        <w:rPr>
          <w:rFonts w:ascii="Arial" w:hAnsi="Arial" w:cs="Arial"/>
          <w:sz w:val="20"/>
          <w:szCs w:val="20"/>
        </w:rPr>
        <w:t xml:space="preserve">information should be given </w:t>
      </w:r>
      <w:r w:rsidR="000F6777">
        <w:rPr>
          <w:rFonts w:ascii="Arial" w:hAnsi="Arial" w:cs="Arial"/>
          <w:sz w:val="20"/>
          <w:szCs w:val="20"/>
        </w:rPr>
        <w:t>as of</w:t>
      </w:r>
      <w:r w:rsidR="003F4837">
        <w:rPr>
          <w:rFonts w:ascii="Arial" w:hAnsi="Arial" w:cs="Arial"/>
          <w:sz w:val="20"/>
          <w:szCs w:val="20"/>
        </w:rPr>
        <w:t>: (</w:t>
      </w:r>
      <w:proofErr w:type="spellStart"/>
      <w:r w:rsidR="003F4837">
        <w:rPr>
          <w:rFonts w:ascii="Arial" w:hAnsi="Arial" w:cs="Arial"/>
          <w:sz w:val="20"/>
          <w:szCs w:val="20"/>
        </w:rPr>
        <w:t>i</w:t>
      </w:r>
      <w:proofErr w:type="spellEnd"/>
      <w:r w:rsidR="003F4837">
        <w:rPr>
          <w:rFonts w:ascii="Arial" w:hAnsi="Arial" w:cs="Arial"/>
          <w:sz w:val="20"/>
          <w:szCs w:val="20"/>
        </w:rPr>
        <w:t>)</w:t>
      </w:r>
      <w:r w:rsidR="000F6777">
        <w:rPr>
          <w:rFonts w:ascii="Arial" w:hAnsi="Arial" w:cs="Arial"/>
          <w:sz w:val="20"/>
          <w:szCs w:val="20"/>
        </w:rPr>
        <w:t xml:space="preserve"> a date which is no more than </w:t>
      </w:r>
      <w:r w:rsidRPr="00273819">
        <w:rPr>
          <w:rFonts w:ascii="Arial" w:hAnsi="Arial" w:cs="Arial"/>
          <w:sz w:val="20"/>
          <w:szCs w:val="20"/>
        </w:rPr>
        <w:t xml:space="preserve">six months </w:t>
      </w:r>
      <w:r w:rsidR="003F4837">
        <w:rPr>
          <w:rFonts w:ascii="Arial" w:hAnsi="Arial" w:cs="Arial"/>
          <w:sz w:val="20"/>
          <w:szCs w:val="20"/>
        </w:rPr>
        <w:t xml:space="preserve">before </w:t>
      </w:r>
      <w:r w:rsidRPr="00273819">
        <w:rPr>
          <w:rFonts w:ascii="Arial" w:hAnsi="Arial" w:cs="Arial"/>
          <w:sz w:val="20"/>
          <w:szCs w:val="20"/>
        </w:rPr>
        <w:t>the date of signing of the definitive agreement for the investors’ relevant investment in the applicant</w:t>
      </w:r>
      <w:r w:rsidR="003F4837">
        <w:rPr>
          <w:rFonts w:ascii="Arial" w:hAnsi="Arial" w:cs="Arial"/>
          <w:sz w:val="20"/>
          <w:szCs w:val="20"/>
        </w:rPr>
        <w:t>;</w:t>
      </w:r>
      <w:r w:rsidRPr="00273819">
        <w:rPr>
          <w:rFonts w:ascii="Arial" w:hAnsi="Arial" w:cs="Arial"/>
          <w:sz w:val="20"/>
          <w:szCs w:val="20"/>
        </w:rPr>
        <w:t xml:space="preserve"> and </w:t>
      </w:r>
      <w:r w:rsidR="003F4837">
        <w:rPr>
          <w:rFonts w:ascii="Arial" w:hAnsi="Arial" w:cs="Arial"/>
          <w:sz w:val="20"/>
          <w:szCs w:val="20"/>
        </w:rPr>
        <w:t xml:space="preserve">(ii) a date which is no more than </w:t>
      </w:r>
      <w:r w:rsidR="003F4837" w:rsidRPr="00273819">
        <w:rPr>
          <w:rFonts w:ascii="Arial" w:hAnsi="Arial" w:cs="Arial"/>
          <w:sz w:val="20"/>
          <w:szCs w:val="20"/>
        </w:rPr>
        <w:t xml:space="preserve">six months </w:t>
      </w:r>
      <w:r w:rsidR="003F4837">
        <w:rPr>
          <w:rFonts w:ascii="Arial" w:hAnsi="Arial" w:cs="Arial"/>
          <w:sz w:val="20"/>
          <w:szCs w:val="20"/>
        </w:rPr>
        <w:t xml:space="preserve">before </w:t>
      </w:r>
      <w:r w:rsidRPr="00273819">
        <w:rPr>
          <w:rFonts w:ascii="Arial" w:hAnsi="Arial" w:cs="Arial"/>
          <w:sz w:val="20"/>
          <w:szCs w:val="20"/>
        </w:rPr>
        <w:t>the</w:t>
      </w:r>
      <w:r w:rsidR="007039FA">
        <w:rPr>
          <w:rFonts w:ascii="Arial" w:hAnsi="Arial" w:cs="Arial"/>
          <w:sz w:val="20"/>
          <w:szCs w:val="20"/>
        </w:rPr>
        <w:t xml:space="preserve"> date of</w:t>
      </w:r>
      <w:r w:rsidRPr="00273819">
        <w:rPr>
          <w:rFonts w:ascii="Arial" w:hAnsi="Arial" w:cs="Arial"/>
          <w:sz w:val="20"/>
          <w:szCs w:val="20"/>
        </w:rPr>
        <w:t xml:space="preserve"> listing application.  </w:t>
      </w:r>
    </w:p>
    <w:p w14:paraId="38779F0A" w14:textId="77777777" w:rsidR="000C3A90" w:rsidRPr="00E7025E" w:rsidRDefault="000C3A90" w:rsidP="006154E0">
      <w:pPr>
        <w:jc w:val="both"/>
        <w:rPr>
          <w:rFonts w:ascii="Arial" w:hAnsi="Arial" w:cs="Arial"/>
          <w:b/>
          <w:color w:val="FF0000"/>
          <w:sz w:val="20"/>
          <w:szCs w:val="20"/>
        </w:rPr>
      </w:pPr>
      <w:r w:rsidRPr="00526699">
        <w:rPr>
          <w:rFonts w:ascii="Arial" w:hAnsi="Arial" w:cs="Arial"/>
          <w:b/>
          <w:color w:val="FF0000"/>
          <w:sz w:val="20"/>
          <w:szCs w:val="20"/>
        </w:rPr>
        <w:t>Additional Qualification Requirements for Pre-Commercial Companies</w:t>
      </w:r>
    </w:p>
    <w:p w14:paraId="601D0E62" w14:textId="77777777" w:rsidR="00412E72" w:rsidRPr="004B5136" w:rsidRDefault="00412E72" w:rsidP="006154E0">
      <w:pPr>
        <w:jc w:val="both"/>
        <w:rPr>
          <w:rFonts w:ascii="Arial" w:hAnsi="Arial" w:cs="Arial"/>
          <w:b/>
          <w:sz w:val="20"/>
          <w:szCs w:val="20"/>
        </w:rPr>
      </w:pPr>
      <w:r w:rsidRPr="004B5136">
        <w:rPr>
          <w:rFonts w:ascii="Arial" w:hAnsi="Arial" w:cs="Arial"/>
          <w:b/>
          <w:sz w:val="20"/>
          <w:szCs w:val="20"/>
        </w:rPr>
        <w:t xml:space="preserve">Path to Achieving the </w:t>
      </w:r>
      <w:proofErr w:type="spellStart"/>
      <w:r w:rsidRPr="004B5136">
        <w:rPr>
          <w:rFonts w:ascii="Arial" w:hAnsi="Arial" w:cs="Arial"/>
          <w:b/>
          <w:sz w:val="20"/>
          <w:szCs w:val="20"/>
        </w:rPr>
        <w:t>Commercialisation</w:t>
      </w:r>
      <w:proofErr w:type="spellEnd"/>
      <w:r w:rsidRPr="004B5136">
        <w:rPr>
          <w:rFonts w:ascii="Arial" w:hAnsi="Arial" w:cs="Arial"/>
          <w:b/>
          <w:sz w:val="20"/>
          <w:szCs w:val="20"/>
        </w:rPr>
        <w:t xml:space="preserve"> Revenue Threshold</w:t>
      </w:r>
    </w:p>
    <w:p w14:paraId="55BDB7F1" w14:textId="77777777" w:rsidR="00E507B0" w:rsidRPr="004B5136" w:rsidRDefault="00B92B0E" w:rsidP="006154E0">
      <w:pPr>
        <w:jc w:val="both"/>
        <w:rPr>
          <w:rFonts w:ascii="Arial" w:hAnsi="Arial" w:cs="Arial"/>
          <w:sz w:val="20"/>
          <w:szCs w:val="20"/>
        </w:rPr>
      </w:pPr>
      <w:r w:rsidRPr="004B5136">
        <w:rPr>
          <w:rFonts w:ascii="Arial" w:hAnsi="Arial" w:cs="Arial"/>
          <w:sz w:val="20"/>
          <w:szCs w:val="20"/>
        </w:rPr>
        <w:t xml:space="preserve">Pre-Commercial Companies </w:t>
      </w:r>
      <w:r w:rsidR="00E7025E">
        <w:rPr>
          <w:rFonts w:ascii="Arial" w:hAnsi="Arial" w:cs="Arial"/>
          <w:sz w:val="20"/>
          <w:szCs w:val="20"/>
        </w:rPr>
        <w:t xml:space="preserve">are </w:t>
      </w:r>
      <w:r w:rsidRPr="004B5136">
        <w:rPr>
          <w:rFonts w:ascii="Arial" w:hAnsi="Arial" w:cs="Arial"/>
          <w:sz w:val="20"/>
          <w:szCs w:val="20"/>
        </w:rPr>
        <w:t xml:space="preserve">required to demonstrate to the HKEX, and disclose in their listing documents, a credible path to achieving the </w:t>
      </w:r>
      <w:proofErr w:type="spellStart"/>
      <w:r w:rsidRPr="004B5136">
        <w:rPr>
          <w:rFonts w:ascii="Arial" w:hAnsi="Arial" w:cs="Arial"/>
          <w:sz w:val="20"/>
          <w:szCs w:val="20"/>
        </w:rPr>
        <w:t>Commercialisation</w:t>
      </w:r>
      <w:proofErr w:type="spellEnd"/>
      <w:r w:rsidRPr="004B5136">
        <w:rPr>
          <w:rFonts w:ascii="Arial" w:hAnsi="Arial" w:cs="Arial"/>
          <w:sz w:val="20"/>
          <w:szCs w:val="20"/>
        </w:rPr>
        <w:t xml:space="preserve"> Revenue Threshold which means a credible path to achieving the </w:t>
      </w:r>
      <w:proofErr w:type="spellStart"/>
      <w:r w:rsidRPr="004B5136">
        <w:rPr>
          <w:rFonts w:ascii="Arial" w:hAnsi="Arial" w:cs="Arial"/>
          <w:sz w:val="20"/>
          <w:szCs w:val="20"/>
        </w:rPr>
        <w:t>commercialisation</w:t>
      </w:r>
      <w:proofErr w:type="spellEnd"/>
      <w:r w:rsidRPr="004B5136">
        <w:rPr>
          <w:rFonts w:ascii="Arial" w:hAnsi="Arial" w:cs="Arial"/>
          <w:sz w:val="20"/>
          <w:szCs w:val="20"/>
        </w:rPr>
        <w:t xml:space="preserve"> of their Specialist Technology Product(s) such that they achieve revenue of at least HK$250 million from their Specialist Technology business segment for the relevant audited financial year.</w:t>
      </w:r>
      <w:r w:rsidR="00846978">
        <w:rPr>
          <w:rStyle w:val="a6"/>
          <w:rFonts w:ascii="Arial" w:hAnsi="Arial" w:cs="Arial"/>
          <w:sz w:val="20"/>
          <w:szCs w:val="20"/>
        </w:rPr>
        <w:footnoteReference w:id="14"/>
      </w:r>
    </w:p>
    <w:p w14:paraId="6A46796E" w14:textId="77777777" w:rsidR="00412E72" w:rsidRPr="004B5136" w:rsidRDefault="00D720C5" w:rsidP="006154E0">
      <w:pPr>
        <w:jc w:val="both"/>
        <w:rPr>
          <w:rFonts w:ascii="Arial" w:hAnsi="Arial" w:cs="Arial"/>
          <w:sz w:val="20"/>
          <w:szCs w:val="20"/>
        </w:rPr>
      </w:pPr>
      <w:r w:rsidRPr="004B5136">
        <w:rPr>
          <w:rFonts w:ascii="Arial" w:hAnsi="Arial" w:cs="Arial"/>
          <w:sz w:val="20"/>
          <w:szCs w:val="20"/>
        </w:rPr>
        <w:t>Pre-Commercial Compan</w:t>
      </w:r>
      <w:r w:rsidR="00FD5D33" w:rsidRPr="004B5136">
        <w:rPr>
          <w:rFonts w:ascii="Arial" w:hAnsi="Arial" w:cs="Arial"/>
          <w:sz w:val="20"/>
          <w:szCs w:val="20"/>
        </w:rPr>
        <w:t>ies</w:t>
      </w:r>
      <w:r w:rsidR="00412E72" w:rsidRPr="004B5136">
        <w:rPr>
          <w:rFonts w:ascii="Arial" w:hAnsi="Arial" w:cs="Arial"/>
          <w:sz w:val="20"/>
          <w:szCs w:val="20"/>
        </w:rPr>
        <w:t xml:space="preserve"> must be cautious when disclosing</w:t>
      </w:r>
      <w:r w:rsidR="00CE322C" w:rsidRPr="00273819">
        <w:rPr>
          <w:rFonts w:ascii="Arial" w:hAnsi="Arial" w:cs="Arial"/>
          <w:sz w:val="20"/>
          <w:szCs w:val="20"/>
        </w:rPr>
        <w:t xml:space="preserve"> timeframes and paths to achieving</w:t>
      </w:r>
      <w:r w:rsidR="00412E72" w:rsidRPr="004B5136">
        <w:rPr>
          <w:rFonts w:ascii="Arial" w:hAnsi="Arial" w:cs="Arial"/>
          <w:sz w:val="20"/>
          <w:szCs w:val="20"/>
        </w:rPr>
        <w:t xml:space="preserve"> the </w:t>
      </w:r>
      <w:proofErr w:type="spellStart"/>
      <w:r w:rsidR="00B92B0E" w:rsidRPr="004B5136">
        <w:rPr>
          <w:rFonts w:ascii="Arial" w:hAnsi="Arial" w:cs="Arial"/>
          <w:sz w:val="20"/>
          <w:szCs w:val="20"/>
        </w:rPr>
        <w:t>Commercialisation</w:t>
      </w:r>
      <w:proofErr w:type="spellEnd"/>
      <w:r w:rsidR="00B92B0E" w:rsidRPr="004B5136">
        <w:rPr>
          <w:rFonts w:ascii="Arial" w:hAnsi="Arial" w:cs="Arial"/>
          <w:sz w:val="20"/>
          <w:szCs w:val="20"/>
        </w:rPr>
        <w:t xml:space="preserve"> Revenue Threshold</w:t>
      </w:r>
      <w:r w:rsidR="00412E72" w:rsidRPr="004B5136">
        <w:rPr>
          <w:rFonts w:ascii="Arial" w:hAnsi="Arial" w:cs="Arial"/>
          <w:sz w:val="20"/>
          <w:szCs w:val="20"/>
        </w:rPr>
        <w:t>, ensuring clear disclosure of risks, impediments and material assumptions</w:t>
      </w:r>
      <w:r w:rsidR="00173366" w:rsidRPr="004B5136">
        <w:rPr>
          <w:rFonts w:ascii="Arial" w:hAnsi="Arial" w:cs="Arial"/>
          <w:sz w:val="20"/>
          <w:szCs w:val="20"/>
        </w:rPr>
        <w:t xml:space="preserve"> involved in making such statements</w:t>
      </w:r>
      <w:r w:rsidR="00412E72" w:rsidRPr="004B5136">
        <w:rPr>
          <w:rFonts w:ascii="Arial" w:hAnsi="Arial" w:cs="Arial"/>
          <w:sz w:val="20"/>
          <w:szCs w:val="20"/>
        </w:rPr>
        <w:t xml:space="preserve"> to avoid misleading information.</w:t>
      </w:r>
    </w:p>
    <w:p w14:paraId="2CAD6BD8" w14:textId="77777777" w:rsidR="008F26EC" w:rsidRPr="00273819" w:rsidRDefault="00A90226" w:rsidP="006154E0">
      <w:pPr>
        <w:jc w:val="both"/>
        <w:rPr>
          <w:rFonts w:ascii="Arial" w:hAnsi="Arial" w:cs="Arial"/>
          <w:sz w:val="20"/>
          <w:szCs w:val="20"/>
        </w:rPr>
      </w:pPr>
      <w:r>
        <w:rPr>
          <w:rFonts w:ascii="Arial" w:hAnsi="Arial" w:cs="Arial"/>
          <w:sz w:val="20"/>
          <w:szCs w:val="20"/>
        </w:rPr>
        <w:t>According to t</w:t>
      </w:r>
      <w:r w:rsidR="001113F8">
        <w:rPr>
          <w:rFonts w:ascii="Arial" w:hAnsi="Arial" w:cs="Arial"/>
          <w:sz w:val="20"/>
          <w:szCs w:val="20"/>
        </w:rPr>
        <w:t xml:space="preserve">he </w:t>
      </w:r>
      <w:r w:rsidR="00AE083F">
        <w:rPr>
          <w:rFonts w:ascii="Arial" w:hAnsi="Arial" w:cs="Arial"/>
          <w:sz w:val="20"/>
          <w:szCs w:val="20"/>
        </w:rPr>
        <w:t xml:space="preserve">new </w:t>
      </w:r>
      <w:r w:rsidR="001113F8">
        <w:rPr>
          <w:rFonts w:ascii="Arial" w:hAnsi="Arial" w:cs="Arial"/>
          <w:sz w:val="20"/>
          <w:szCs w:val="20"/>
        </w:rPr>
        <w:t>Guidance L</w:t>
      </w:r>
      <w:r w:rsidR="001113F8" w:rsidRPr="00273819">
        <w:rPr>
          <w:rFonts w:ascii="Arial" w:hAnsi="Arial" w:cs="Arial"/>
          <w:sz w:val="20"/>
          <w:szCs w:val="20"/>
        </w:rPr>
        <w:t xml:space="preserve">etter </w:t>
      </w:r>
      <w:r w:rsidR="001113F8">
        <w:rPr>
          <w:rFonts w:ascii="Arial" w:hAnsi="Arial" w:cs="Arial"/>
          <w:sz w:val="20"/>
          <w:szCs w:val="20"/>
        </w:rPr>
        <w:t>for Specialist Technology Companies</w:t>
      </w:r>
      <w:r>
        <w:rPr>
          <w:rFonts w:ascii="Arial" w:hAnsi="Arial" w:cs="Arial"/>
          <w:sz w:val="20"/>
          <w:szCs w:val="20"/>
        </w:rPr>
        <w:t>,</w:t>
      </w:r>
      <w:r w:rsidR="00E507B0">
        <w:rPr>
          <w:rFonts w:ascii="Arial" w:hAnsi="Arial" w:cs="Arial"/>
          <w:sz w:val="20"/>
          <w:szCs w:val="20"/>
        </w:rPr>
        <w:t xml:space="preserve"> non-exhaustive examples of</w:t>
      </w:r>
      <w:r w:rsidR="001113F8" w:rsidRPr="00273819">
        <w:rPr>
          <w:rFonts w:ascii="Arial" w:hAnsi="Arial" w:cs="Arial"/>
          <w:sz w:val="20"/>
          <w:szCs w:val="20"/>
        </w:rPr>
        <w:t xml:space="preserve"> </w:t>
      </w:r>
      <w:r w:rsidR="00E507B0">
        <w:rPr>
          <w:rFonts w:ascii="Arial" w:hAnsi="Arial" w:cs="Arial"/>
          <w:sz w:val="20"/>
          <w:szCs w:val="20"/>
        </w:rPr>
        <w:t xml:space="preserve">how </w:t>
      </w:r>
      <w:r w:rsidR="00AE083F">
        <w:rPr>
          <w:rFonts w:ascii="Arial" w:hAnsi="Arial" w:cs="Arial"/>
          <w:sz w:val="20"/>
          <w:szCs w:val="20"/>
        </w:rPr>
        <w:t>a</w:t>
      </w:r>
      <w:r w:rsidR="00412E72" w:rsidRPr="004B5136">
        <w:rPr>
          <w:rFonts w:ascii="Arial" w:hAnsi="Arial" w:cs="Arial"/>
          <w:sz w:val="20"/>
          <w:szCs w:val="20"/>
        </w:rPr>
        <w:t xml:space="preserve"> credible path to achieving the </w:t>
      </w:r>
      <w:proofErr w:type="spellStart"/>
      <w:r w:rsidR="00412E72" w:rsidRPr="004B5136">
        <w:rPr>
          <w:rFonts w:ascii="Arial" w:hAnsi="Arial" w:cs="Arial"/>
          <w:sz w:val="20"/>
          <w:szCs w:val="20"/>
        </w:rPr>
        <w:t>Commercialisation</w:t>
      </w:r>
      <w:proofErr w:type="spellEnd"/>
      <w:r w:rsidR="00412E72" w:rsidRPr="004B5136">
        <w:rPr>
          <w:rFonts w:ascii="Arial" w:hAnsi="Arial" w:cs="Arial"/>
          <w:sz w:val="20"/>
          <w:szCs w:val="20"/>
        </w:rPr>
        <w:t xml:space="preserve"> Revenue Threshold may be demonstrated</w:t>
      </w:r>
      <w:r>
        <w:rPr>
          <w:rFonts w:ascii="Arial" w:hAnsi="Arial" w:cs="Arial"/>
          <w:sz w:val="20"/>
          <w:szCs w:val="20"/>
        </w:rPr>
        <w:t xml:space="preserve"> include</w:t>
      </w:r>
      <w:r w:rsidR="00412E72" w:rsidRPr="004B5136">
        <w:rPr>
          <w:rFonts w:ascii="Arial" w:hAnsi="Arial" w:cs="Arial"/>
          <w:sz w:val="20"/>
          <w:szCs w:val="20"/>
        </w:rPr>
        <w:t xml:space="preserve"> binding contracts or non-binding framework agreements</w:t>
      </w:r>
      <w:r>
        <w:rPr>
          <w:rFonts w:ascii="Arial" w:hAnsi="Arial" w:cs="Arial"/>
          <w:sz w:val="20"/>
          <w:szCs w:val="20"/>
        </w:rPr>
        <w:t xml:space="preserve">, with </w:t>
      </w:r>
      <w:r w:rsidR="00412E72" w:rsidRPr="004B5136">
        <w:rPr>
          <w:rFonts w:ascii="Arial" w:hAnsi="Arial" w:cs="Arial"/>
          <w:sz w:val="20"/>
          <w:szCs w:val="20"/>
        </w:rPr>
        <w:t xml:space="preserve">details of the timeframe and milestones for </w:t>
      </w:r>
      <w:proofErr w:type="spellStart"/>
      <w:r w:rsidR="00412E72" w:rsidRPr="004B5136">
        <w:rPr>
          <w:rFonts w:ascii="Arial" w:hAnsi="Arial" w:cs="Arial"/>
          <w:sz w:val="20"/>
          <w:szCs w:val="20"/>
        </w:rPr>
        <w:t>commercialisation</w:t>
      </w:r>
      <w:proofErr w:type="spellEnd"/>
      <w:r w:rsidR="00412E72" w:rsidRPr="004B5136">
        <w:rPr>
          <w:rFonts w:ascii="Arial" w:hAnsi="Arial" w:cs="Arial"/>
          <w:sz w:val="20"/>
          <w:szCs w:val="20"/>
        </w:rPr>
        <w:t xml:space="preserve"> of the applicant</w:t>
      </w:r>
      <w:r w:rsidR="00F97707">
        <w:rPr>
          <w:rFonts w:ascii="Arial" w:hAnsi="Arial" w:cs="Arial"/>
          <w:sz w:val="20"/>
          <w:szCs w:val="20"/>
        </w:rPr>
        <w:t>’</w:t>
      </w:r>
      <w:r w:rsidR="00412E72" w:rsidRPr="004B5136">
        <w:rPr>
          <w:rFonts w:ascii="Arial" w:hAnsi="Arial" w:cs="Arial"/>
          <w:sz w:val="20"/>
          <w:szCs w:val="20"/>
        </w:rPr>
        <w:t xml:space="preserve">s Specialist Technology Product(s). </w:t>
      </w:r>
      <w:r w:rsidR="008F26EC" w:rsidRPr="00273819">
        <w:rPr>
          <w:rFonts w:ascii="Arial" w:hAnsi="Arial" w:cs="Arial"/>
          <w:sz w:val="20"/>
          <w:szCs w:val="20"/>
        </w:rPr>
        <w:t>These binding contracts or non-binding framework agreements should have as counterparties a reasonable number of independent customers and should relate to the devel</w:t>
      </w:r>
      <w:r w:rsidR="00D0207F">
        <w:rPr>
          <w:rFonts w:ascii="Arial" w:hAnsi="Arial" w:cs="Arial"/>
          <w:sz w:val="20"/>
          <w:szCs w:val="20"/>
        </w:rPr>
        <w:t>opment, testing or sales of the</w:t>
      </w:r>
      <w:r w:rsidR="008F26EC" w:rsidRPr="00273819">
        <w:rPr>
          <w:rFonts w:ascii="Arial" w:hAnsi="Arial" w:cs="Arial"/>
          <w:sz w:val="20"/>
          <w:szCs w:val="20"/>
        </w:rPr>
        <w:t xml:space="preserve"> Specialist Technology Product(s), with a substantial potential aggregate contract value </w:t>
      </w:r>
      <w:proofErr w:type="spellStart"/>
      <w:r w:rsidR="008F26EC" w:rsidRPr="00273819">
        <w:rPr>
          <w:rFonts w:ascii="Arial" w:hAnsi="Arial" w:cs="Arial"/>
          <w:sz w:val="20"/>
          <w:szCs w:val="20"/>
        </w:rPr>
        <w:t>realisable</w:t>
      </w:r>
      <w:proofErr w:type="spellEnd"/>
      <w:r w:rsidR="008F26EC" w:rsidRPr="00273819">
        <w:rPr>
          <w:rFonts w:ascii="Arial" w:hAnsi="Arial" w:cs="Arial"/>
          <w:sz w:val="20"/>
          <w:szCs w:val="20"/>
        </w:rPr>
        <w:t xml:space="preserve"> within 24 months from the date of listing. A binding contract or non-binding framework agreement with an expected timeframe of more than 24 months may be accepted by the HKEX in exceptional circumstances where the counterparty is an independ</w:t>
      </w:r>
      <w:r w:rsidR="00F97707">
        <w:rPr>
          <w:rFonts w:ascii="Arial" w:hAnsi="Arial" w:cs="Arial"/>
          <w:sz w:val="20"/>
          <w:szCs w:val="20"/>
        </w:rPr>
        <w:t>ent, highly reputable customer.</w:t>
      </w:r>
      <w:r w:rsidR="00876714">
        <w:rPr>
          <w:rStyle w:val="a6"/>
          <w:rFonts w:ascii="Arial" w:hAnsi="Arial" w:cs="Arial"/>
          <w:sz w:val="20"/>
          <w:szCs w:val="20"/>
        </w:rPr>
        <w:footnoteReference w:id="15"/>
      </w:r>
    </w:p>
    <w:p w14:paraId="140F131D" w14:textId="77777777" w:rsidR="008F26EC" w:rsidRPr="00273819" w:rsidRDefault="00D0207F" w:rsidP="006154E0">
      <w:pPr>
        <w:jc w:val="both"/>
        <w:rPr>
          <w:rFonts w:ascii="Arial" w:hAnsi="Arial" w:cs="Arial"/>
          <w:sz w:val="20"/>
          <w:szCs w:val="20"/>
        </w:rPr>
      </w:pPr>
      <w:r>
        <w:rPr>
          <w:rFonts w:ascii="Arial" w:hAnsi="Arial" w:cs="Arial"/>
          <w:sz w:val="20"/>
          <w:szCs w:val="20"/>
        </w:rPr>
        <w:t>The</w:t>
      </w:r>
      <w:r w:rsidR="008F26EC" w:rsidRPr="00273819">
        <w:rPr>
          <w:rFonts w:ascii="Arial" w:hAnsi="Arial" w:cs="Arial"/>
          <w:sz w:val="20"/>
          <w:szCs w:val="20"/>
        </w:rPr>
        <w:t xml:space="preserve"> independence </w:t>
      </w:r>
      <w:r>
        <w:rPr>
          <w:rFonts w:ascii="Arial" w:hAnsi="Arial" w:cs="Arial"/>
          <w:sz w:val="20"/>
          <w:szCs w:val="20"/>
        </w:rPr>
        <w:t xml:space="preserve">of a customer </w:t>
      </w:r>
      <w:r w:rsidR="008F26EC" w:rsidRPr="00273819">
        <w:rPr>
          <w:rFonts w:ascii="Arial" w:hAnsi="Arial" w:cs="Arial"/>
          <w:sz w:val="20"/>
          <w:szCs w:val="20"/>
        </w:rPr>
        <w:t xml:space="preserve">will be evaluated using the same criteria applied to Sophisticated Independent Investors. </w:t>
      </w:r>
      <w:r w:rsidR="00A90226">
        <w:rPr>
          <w:rFonts w:ascii="Arial" w:hAnsi="Arial" w:cs="Arial"/>
          <w:sz w:val="20"/>
          <w:szCs w:val="20"/>
        </w:rPr>
        <w:t>The HKEX will assess whether a customer is a</w:t>
      </w:r>
      <w:r w:rsidR="008F26EC" w:rsidRPr="00273819">
        <w:rPr>
          <w:rFonts w:ascii="Arial" w:hAnsi="Arial" w:cs="Arial"/>
          <w:sz w:val="20"/>
          <w:szCs w:val="20"/>
        </w:rPr>
        <w:t xml:space="preserve"> “highly reputable customer</w:t>
      </w:r>
      <w:r w:rsidR="00D61741">
        <w:rPr>
          <w:rFonts w:ascii="Arial" w:hAnsi="Arial" w:cs="Arial"/>
          <w:sz w:val="20"/>
          <w:szCs w:val="20"/>
        </w:rPr>
        <w:t>”</w:t>
      </w:r>
      <w:r w:rsidR="008F26EC" w:rsidRPr="00273819">
        <w:rPr>
          <w:rFonts w:ascii="Arial" w:hAnsi="Arial" w:cs="Arial"/>
          <w:sz w:val="20"/>
          <w:szCs w:val="20"/>
        </w:rPr>
        <w:t xml:space="preserve"> </w:t>
      </w:r>
      <w:r w:rsidR="00A90226">
        <w:rPr>
          <w:rFonts w:ascii="Arial" w:hAnsi="Arial" w:cs="Arial"/>
          <w:sz w:val="20"/>
          <w:szCs w:val="20"/>
        </w:rPr>
        <w:t>on a case-by-case basis, but would generally consider</w:t>
      </w:r>
      <w:r w:rsidR="00E22F09">
        <w:rPr>
          <w:rFonts w:ascii="Arial" w:hAnsi="Arial" w:cs="Arial"/>
          <w:sz w:val="20"/>
          <w:szCs w:val="20"/>
        </w:rPr>
        <w:t xml:space="preserve"> the following to be within the definition</w:t>
      </w:r>
      <w:r w:rsidR="00B95DF4">
        <w:rPr>
          <w:rFonts w:ascii="Arial" w:hAnsi="Arial" w:cs="Arial"/>
          <w:sz w:val="20"/>
          <w:szCs w:val="20"/>
        </w:rPr>
        <w:t>:</w:t>
      </w:r>
      <w:r w:rsidR="008F26EC" w:rsidRPr="00273819">
        <w:rPr>
          <w:rFonts w:ascii="Arial" w:hAnsi="Arial" w:cs="Arial"/>
          <w:sz w:val="20"/>
          <w:szCs w:val="20"/>
        </w:rPr>
        <w:t xml:space="preserve"> (</w:t>
      </w:r>
      <w:proofErr w:type="spellStart"/>
      <w:r w:rsidR="008F26EC" w:rsidRPr="00273819">
        <w:rPr>
          <w:rFonts w:ascii="Arial" w:hAnsi="Arial" w:cs="Arial"/>
          <w:sz w:val="20"/>
          <w:szCs w:val="20"/>
        </w:rPr>
        <w:t>i</w:t>
      </w:r>
      <w:proofErr w:type="spellEnd"/>
      <w:r w:rsidR="008F26EC" w:rsidRPr="00273819">
        <w:rPr>
          <w:rFonts w:ascii="Arial" w:hAnsi="Arial" w:cs="Arial"/>
          <w:sz w:val="20"/>
          <w:szCs w:val="20"/>
        </w:rPr>
        <w:t xml:space="preserve">) a </w:t>
      </w:r>
      <w:r w:rsidR="00D03BDD" w:rsidRPr="00273819">
        <w:rPr>
          <w:rFonts w:ascii="Arial" w:hAnsi="Arial" w:cs="Arial"/>
          <w:sz w:val="20"/>
          <w:szCs w:val="20"/>
        </w:rPr>
        <w:t>key market</w:t>
      </w:r>
      <w:r w:rsidR="008F26EC" w:rsidRPr="00273819">
        <w:rPr>
          <w:rFonts w:ascii="Arial" w:hAnsi="Arial" w:cs="Arial"/>
          <w:sz w:val="20"/>
          <w:szCs w:val="20"/>
        </w:rPr>
        <w:t xml:space="preserve"> player in the relevant upstream or downstream industry with a </w:t>
      </w:r>
      <w:r w:rsidR="00D03BDD" w:rsidRPr="00273819">
        <w:rPr>
          <w:rFonts w:ascii="Arial" w:hAnsi="Arial" w:cs="Arial"/>
          <w:sz w:val="20"/>
          <w:szCs w:val="20"/>
        </w:rPr>
        <w:t>meaningful</w:t>
      </w:r>
      <w:r w:rsidR="008F26EC" w:rsidRPr="00273819">
        <w:rPr>
          <w:rFonts w:ascii="Arial" w:hAnsi="Arial" w:cs="Arial"/>
          <w:sz w:val="20"/>
          <w:szCs w:val="20"/>
        </w:rPr>
        <w:t xml:space="preserve"> market share</w:t>
      </w:r>
      <w:r w:rsidR="00D03BDD" w:rsidRPr="00273819">
        <w:rPr>
          <w:rFonts w:ascii="Arial" w:hAnsi="Arial" w:cs="Arial"/>
          <w:sz w:val="20"/>
          <w:szCs w:val="20"/>
        </w:rPr>
        <w:t xml:space="preserve"> and size</w:t>
      </w:r>
      <w:r w:rsidR="008F26EC" w:rsidRPr="00273819">
        <w:rPr>
          <w:rFonts w:ascii="Arial" w:hAnsi="Arial" w:cs="Arial"/>
          <w:sz w:val="20"/>
          <w:szCs w:val="20"/>
        </w:rPr>
        <w:t xml:space="preserve">, as substantiated by </w:t>
      </w:r>
      <w:r w:rsidR="00D03BDD" w:rsidRPr="00273819">
        <w:rPr>
          <w:rFonts w:ascii="Arial" w:hAnsi="Arial" w:cs="Arial"/>
          <w:sz w:val="20"/>
          <w:szCs w:val="20"/>
        </w:rPr>
        <w:t xml:space="preserve">appropriate independent market or operational data; or (ii) a State or State corporation as defined in the HKEX Listing Rules. </w:t>
      </w:r>
    </w:p>
    <w:p w14:paraId="215D0A9E" w14:textId="77777777" w:rsidR="008F26EC" w:rsidRDefault="008F26EC" w:rsidP="006154E0">
      <w:pPr>
        <w:jc w:val="both"/>
        <w:rPr>
          <w:rFonts w:ascii="Arial" w:hAnsi="Arial" w:cs="Arial"/>
          <w:sz w:val="20"/>
          <w:szCs w:val="20"/>
        </w:rPr>
      </w:pPr>
      <w:r w:rsidRPr="004B5136">
        <w:rPr>
          <w:rFonts w:ascii="Arial" w:hAnsi="Arial" w:cs="Arial"/>
          <w:sz w:val="20"/>
          <w:szCs w:val="20"/>
        </w:rPr>
        <w:t xml:space="preserve">If the illustrative examples set out in the </w:t>
      </w:r>
      <w:r w:rsidR="00A40C4B">
        <w:rPr>
          <w:rFonts w:ascii="Arial" w:hAnsi="Arial" w:cs="Arial"/>
          <w:sz w:val="20"/>
          <w:szCs w:val="20"/>
        </w:rPr>
        <w:t>Guidance</w:t>
      </w:r>
      <w:r w:rsidR="00562F25">
        <w:rPr>
          <w:rFonts w:ascii="Arial" w:hAnsi="Arial" w:cs="Arial"/>
          <w:sz w:val="20"/>
          <w:szCs w:val="20"/>
        </w:rPr>
        <w:t xml:space="preserve"> Letter </w:t>
      </w:r>
      <w:r w:rsidRPr="004B5136">
        <w:rPr>
          <w:rFonts w:ascii="Arial" w:hAnsi="Arial" w:cs="Arial"/>
          <w:sz w:val="20"/>
          <w:szCs w:val="20"/>
        </w:rPr>
        <w:t>do no</w:t>
      </w:r>
      <w:r w:rsidRPr="00273819">
        <w:rPr>
          <w:rFonts w:ascii="Arial" w:hAnsi="Arial" w:cs="Arial"/>
          <w:sz w:val="20"/>
          <w:szCs w:val="20"/>
        </w:rPr>
        <w:t xml:space="preserve">t suit </w:t>
      </w:r>
      <w:r w:rsidR="00C521D4">
        <w:rPr>
          <w:rFonts w:ascii="Arial" w:hAnsi="Arial" w:cs="Arial"/>
          <w:sz w:val="20"/>
          <w:szCs w:val="20"/>
        </w:rPr>
        <w:t>a</w:t>
      </w:r>
      <w:r w:rsidRPr="00273819">
        <w:rPr>
          <w:rFonts w:ascii="Arial" w:hAnsi="Arial" w:cs="Arial"/>
          <w:sz w:val="20"/>
          <w:szCs w:val="20"/>
        </w:rPr>
        <w:t xml:space="preserve"> Pre-Commercial Company’</w:t>
      </w:r>
      <w:r w:rsidRPr="004B5136">
        <w:rPr>
          <w:rFonts w:ascii="Arial" w:hAnsi="Arial" w:cs="Arial"/>
          <w:sz w:val="20"/>
          <w:szCs w:val="20"/>
        </w:rPr>
        <w:t xml:space="preserve">s circumstances, it may demonstrate its path to </w:t>
      </w:r>
      <w:proofErr w:type="spellStart"/>
      <w:r w:rsidRPr="004B5136">
        <w:rPr>
          <w:rFonts w:ascii="Arial" w:hAnsi="Arial" w:cs="Arial"/>
          <w:sz w:val="20"/>
          <w:szCs w:val="20"/>
        </w:rPr>
        <w:t>commercialisation</w:t>
      </w:r>
      <w:proofErr w:type="spellEnd"/>
      <w:r w:rsidRPr="004B5136">
        <w:rPr>
          <w:rFonts w:ascii="Arial" w:hAnsi="Arial" w:cs="Arial"/>
          <w:sz w:val="20"/>
          <w:szCs w:val="20"/>
        </w:rPr>
        <w:t xml:space="preserve"> through other means with alternative evidence.</w:t>
      </w:r>
      <w:r w:rsidRPr="00273819">
        <w:rPr>
          <w:rFonts w:ascii="Arial" w:hAnsi="Arial" w:cs="Arial"/>
          <w:sz w:val="20"/>
          <w:szCs w:val="20"/>
        </w:rPr>
        <w:t xml:space="preserve"> </w:t>
      </w:r>
      <w:r w:rsidR="00876714" w:rsidRPr="00876714">
        <w:rPr>
          <w:rFonts w:ascii="Arial" w:hAnsi="Arial" w:cs="Arial"/>
          <w:sz w:val="20"/>
          <w:szCs w:val="20"/>
        </w:rPr>
        <w:t>To demonstrate a credible path towards meeting</w:t>
      </w:r>
      <w:r w:rsidR="00B95DF4">
        <w:rPr>
          <w:rFonts w:ascii="Arial" w:hAnsi="Arial" w:cs="Arial"/>
          <w:sz w:val="20"/>
          <w:szCs w:val="20"/>
        </w:rPr>
        <w:t xml:space="preserve"> the</w:t>
      </w:r>
      <w:r w:rsidR="00876714" w:rsidRPr="00876714">
        <w:rPr>
          <w:rFonts w:ascii="Arial" w:hAnsi="Arial" w:cs="Arial"/>
          <w:sz w:val="20"/>
          <w:szCs w:val="20"/>
        </w:rPr>
        <w:t xml:space="preserve"> </w:t>
      </w:r>
      <w:proofErr w:type="spellStart"/>
      <w:r w:rsidR="00876714" w:rsidRPr="004B5136">
        <w:rPr>
          <w:rFonts w:ascii="Arial" w:hAnsi="Arial" w:cs="Arial"/>
          <w:sz w:val="20"/>
          <w:szCs w:val="20"/>
        </w:rPr>
        <w:t>Commercialisation</w:t>
      </w:r>
      <w:proofErr w:type="spellEnd"/>
      <w:r w:rsidR="00876714" w:rsidRPr="004B5136">
        <w:rPr>
          <w:rFonts w:ascii="Arial" w:hAnsi="Arial" w:cs="Arial"/>
          <w:sz w:val="20"/>
          <w:szCs w:val="20"/>
        </w:rPr>
        <w:t xml:space="preserve"> Revenue Threshold</w:t>
      </w:r>
      <w:r w:rsidR="00876714" w:rsidRPr="00876714">
        <w:rPr>
          <w:rFonts w:ascii="Arial" w:hAnsi="Arial" w:cs="Arial"/>
          <w:sz w:val="20"/>
          <w:szCs w:val="20"/>
        </w:rPr>
        <w:t xml:space="preserve">, </w:t>
      </w:r>
      <w:r w:rsidR="00876714" w:rsidRPr="00273819">
        <w:rPr>
          <w:rFonts w:ascii="Arial" w:hAnsi="Arial" w:cs="Arial"/>
          <w:sz w:val="20"/>
          <w:szCs w:val="20"/>
        </w:rPr>
        <w:t>Pre-Commercial Compan</w:t>
      </w:r>
      <w:r w:rsidR="00876714">
        <w:rPr>
          <w:rFonts w:ascii="Arial" w:hAnsi="Arial" w:cs="Arial"/>
          <w:sz w:val="20"/>
          <w:szCs w:val="20"/>
        </w:rPr>
        <w:t xml:space="preserve">ies targeting retail customers could </w:t>
      </w:r>
      <w:r w:rsidR="00876714" w:rsidRPr="00876714">
        <w:rPr>
          <w:rFonts w:ascii="Arial" w:hAnsi="Arial" w:cs="Arial"/>
          <w:sz w:val="20"/>
          <w:szCs w:val="20"/>
        </w:rPr>
        <w:t xml:space="preserve">provide evidence of </w:t>
      </w:r>
      <w:r w:rsidR="003027A3">
        <w:rPr>
          <w:rFonts w:ascii="Arial" w:hAnsi="Arial" w:cs="Arial"/>
          <w:sz w:val="20"/>
          <w:szCs w:val="20"/>
        </w:rPr>
        <w:t xml:space="preserve">the </w:t>
      </w:r>
      <w:r w:rsidR="00876714">
        <w:rPr>
          <w:rFonts w:ascii="Arial" w:hAnsi="Arial" w:cs="Arial"/>
          <w:sz w:val="20"/>
          <w:szCs w:val="20"/>
        </w:rPr>
        <w:t>number of retail customer</w:t>
      </w:r>
      <w:r w:rsidR="003027A3">
        <w:rPr>
          <w:rFonts w:ascii="Arial" w:hAnsi="Arial" w:cs="Arial"/>
          <w:sz w:val="20"/>
          <w:szCs w:val="20"/>
        </w:rPr>
        <w:t>s</w:t>
      </w:r>
      <w:r w:rsidR="00876714">
        <w:rPr>
          <w:rFonts w:ascii="Arial" w:hAnsi="Arial" w:cs="Arial"/>
          <w:sz w:val="20"/>
          <w:szCs w:val="20"/>
        </w:rPr>
        <w:t xml:space="preserve"> indicating </w:t>
      </w:r>
      <w:r w:rsidR="00D0207F">
        <w:rPr>
          <w:rFonts w:ascii="Arial" w:hAnsi="Arial" w:cs="Arial"/>
          <w:sz w:val="20"/>
          <w:szCs w:val="20"/>
        </w:rPr>
        <w:t xml:space="preserve">their </w:t>
      </w:r>
      <w:r w:rsidR="00876714">
        <w:rPr>
          <w:rFonts w:ascii="Arial" w:hAnsi="Arial" w:cs="Arial"/>
          <w:sz w:val="20"/>
          <w:szCs w:val="20"/>
        </w:rPr>
        <w:t>interest</w:t>
      </w:r>
      <w:r w:rsidR="00D0207F">
        <w:rPr>
          <w:rFonts w:ascii="Arial" w:hAnsi="Arial" w:cs="Arial"/>
          <w:sz w:val="20"/>
          <w:szCs w:val="20"/>
        </w:rPr>
        <w:t xml:space="preserve"> in the </w:t>
      </w:r>
      <w:proofErr w:type="spellStart"/>
      <w:r w:rsidR="00B95DF4">
        <w:rPr>
          <w:rFonts w:ascii="Arial" w:hAnsi="Arial" w:cs="Arial"/>
          <w:sz w:val="20"/>
          <w:szCs w:val="20"/>
        </w:rPr>
        <w:t>Specialis</w:t>
      </w:r>
      <w:r w:rsidR="00876714">
        <w:rPr>
          <w:rFonts w:ascii="Arial" w:hAnsi="Arial" w:cs="Arial"/>
          <w:sz w:val="20"/>
          <w:szCs w:val="20"/>
        </w:rPr>
        <w:t>ed</w:t>
      </w:r>
      <w:proofErr w:type="spellEnd"/>
      <w:r w:rsidR="00876714">
        <w:rPr>
          <w:rFonts w:ascii="Arial" w:hAnsi="Arial" w:cs="Arial"/>
          <w:sz w:val="20"/>
          <w:szCs w:val="20"/>
        </w:rPr>
        <w:t xml:space="preserve"> Technology Product(s)</w:t>
      </w:r>
      <w:r w:rsidR="00562F25">
        <w:rPr>
          <w:rFonts w:ascii="Arial" w:hAnsi="Arial" w:cs="Arial"/>
          <w:sz w:val="20"/>
          <w:szCs w:val="20"/>
        </w:rPr>
        <w:t>, as supported by evidence such as confirmed orders</w:t>
      </w:r>
      <w:r w:rsidR="00876714">
        <w:rPr>
          <w:rFonts w:ascii="Arial" w:hAnsi="Arial" w:cs="Arial"/>
          <w:sz w:val="20"/>
          <w:szCs w:val="20"/>
        </w:rPr>
        <w:t xml:space="preserve">. </w:t>
      </w:r>
    </w:p>
    <w:p w14:paraId="096D0307" w14:textId="77777777" w:rsidR="00D61741" w:rsidRPr="00D61741" w:rsidRDefault="00D61741" w:rsidP="006154E0">
      <w:pPr>
        <w:jc w:val="both"/>
        <w:rPr>
          <w:rFonts w:ascii="Arial" w:hAnsi="Arial" w:cs="Arial"/>
          <w:b/>
          <w:sz w:val="20"/>
          <w:szCs w:val="20"/>
        </w:rPr>
      </w:pPr>
      <w:r>
        <w:rPr>
          <w:rFonts w:ascii="Arial" w:hAnsi="Arial" w:cs="Arial"/>
          <w:b/>
          <w:sz w:val="20"/>
          <w:szCs w:val="20"/>
        </w:rPr>
        <w:t>Working Capital Requirement</w:t>
      </w:r>
    </w:p>
    <w:p w14:paraId="3619DCCA" w14:textId="77777777" w:rsidR="00D61741" w:rsidRPr="004B5136" w:rsidRDefault="00D81600" w:rsidP="00D61741">
      <w:pPr>
        <w:jc w:val="both"/>
        <w:rPr>
          <w:rFonts w:ascii="Arial" w:hAnsi="Arial" w:cs="Arial"/>
          <w:sz w:val="20"/>
          <w:szCs w:val="20"/>
        </w:rPr>
      </w:pPr>
      <w:r>
        <w:rPr>
          <w:rFonts w:ascii="Arial" w:hAnsi="Arial" w:cs="Arial"/>
          <w:sz w:val="20"/>
          <w:szCs w:val="20"/>
        </w:rPr>
        <w:lastRenderedPageBreak/>
        <w:t xml:space="preserve">A </w:t>
      </w:r>
      <w:r w:rsidR="00D61741">
        <w:rPr>
          <w:rFonts w:ascii="Arial" w:hAnsi="Arial" w:cs="Arial"/>
          <w:sz w:val="20"/>
          <w:szCs w:val="20"/>
        </w:rPr>
        <w:t>Pre-Commercial C</w:t>
      </w:r>
      <w:r>
        <w:rPr>
          <w:rFonts w:ascii="Arial" w:hAnsi="Arial" w:cs="Arial"/>
          <w:sz w:val="20"/>
          <w:szCs w:val="20"/>
        </w:rPr>
        <w:t>ompany</w:t>
      </w:r>
      <w:r w:rsidR="00D61741">
        <w:rPr>
          <w:rFonts w:ascii="Arial" w:hAnsi="Arial" w:cs="Arial"/>
          <w:sz w:val="20"/>
          <w:szCs w:val="20"/>
        </w:rPr>
        <w:t xml:space="preserve"> </w:t>
      </w:r>
      <w:r w:rsidR="00D61741" w:rsidRPr="004B5136">
        <w:rPr>
          <w:rFonts w:ascii="Arial" w:hAnsi="Arial" w:cs="Arial"/>
          <w:sz w:val="20"/>
          <w:szCs w:val="20"/>
        </w:rPr>
        <w:t xml:space="preserve">will also be required to have available </w:t>
      </w:r>
      <w:r>
        <w:rPr>
          <w:rFonts w:ascii="Arial" w:hAnsi="Arial" w:cs="Arial"/>
          <w:sz w:val="20"/>
          <w:szCs w:val="20"/>
        </w:rPr>
        <w:t xml:space="preserve">sufficient </w:t>
      </w:r>
      <w:r w:rsidR="00D61741" w:rsidRPr="004B5136">
        <w:rPr>
          <w:rFonts w:ascii="Arial" w:hAnsi="Arial" w:cs="Arial"/>
          <w:sz w:val="20"/>
          <w:szCs w:val="20"/>
        </w:rPr>
        <w:t>working capital (</w:t>
      </w:r>
      <w:r>
        <w:rPr>
          <w:rFonts w:ascii="Arial" w:hAnsi="Arial" w:cs="Arial"/>
          <w:sz w:val="20"/>
          <w:szCs w:val="20"/>
        </w:rPr>
        <w:t xml:space="preserve">including the </w:t>
      </w:r>
      <w:r w:rsidR="00D61741" w:rsidRPr="004B5136">
        <w:rPr>
          <w:rFonts w:ascii="Arial" w:hAnsi="Arial" w:cs="Arial"/>
          <w:sz w:val="20"/>
          <w:szCs w:val="20"/>
        </w:rPr>
        <w:t xml:space="preserve">IPO proceeds) to cover at least 125% of </w:t>
      </w:r>
      <w:r>
        <w:rPr>
          <w:rFonts w:ascii="Arial" w:hAnsi="Arial" w:cs="Arial"/>
          <w:sz w:val="20"/>
          <w:szCs w:val="20"/>
        </w:rPr>
        <w:t xml:space="preserve">its </w:t>
      </w:r>
      <w:r w:rsidR="00D61741" w:rsidRPr="004B5136">
        <w:rPr>
          <w:rFonts w:ascii="Arial" w:hAnsi="Arial" w:cs="Arial"/>
          <w:sz w:val="20"/>
          <w:szCs w:val="20"/>
        </w:rPr>
        <w:t>group</w:t>
      </w:r>
      <w:r>
        <w:rPr>
          <w:rFonts w:ascii="Arial" w:hAnsi="Arial" w:cs="Arial"/>
          <w:sz w:val="20"/>
          <w:szCs w:val="20"/>
        </w:rPr>
        <w:t>’s</w:t>
      </w:r>
      <w:r w:rsidR="00D61741" w:rsidRPr="004B5136">
        <w:rPr>
          <w:rFonts w:ascii="Arial" w:hAnsi="Arial" w:cs="Arial"/>
          <w:sz w:val="20"/>
          <w:szCs w:val="20"/>
        </w:rPr>
        <w:t xml:space="preserve"> costs (which should substantially consist of general, administrative and operating costs, and R&amp;D costs) for at least 12 months </w:t>
      </w:r>
      <w:r>
        <w:rPr>
          <w:rFonts w:ascii="Arial" w:hAnsi="Arial" w:cs="Arial"/>
          <w:sz w:val="20"/>
          <w:szCs w:val="20"/>
        </w:rPr>
        <w:t xml:space="preserve">from the date of listing </w:t>
      </w:r>
      <w:r w:rsidR="00D61741" w:rsidRPr="004B5136">
        <w:rPr>
          <w:rFonts w:ascii="Arial" w:hAnsi="Arial" w:cs="Arial"/>
          <w:sz w:val="20"/>
          <w:szCs w:val="20"/>
        </w:rPr>
        <w:t>to mitigate the risk of insufficient funding for operations.</w:t>
      </w:r>
      <w:r>
        <w:rPr>
          <w:rStyle w:val="a6"/>
          <w:rFonts w:ascii="Arial" w:hAnsi="Arial" w:cs="Arial"/>
          <w:sz w:val="20"/>
          <w:szCs w:val="20"/>
        </w:rPr>
        <w:footnoteReference w:id="16"/>
      </w:r>
    </w:p>
    <w:p w14:paraId="19380288" w14:textId="77777777" w:rsidR="000C3A90" w:rsidRPr="00273819" w:rsidRDefault="000C3A90" w:rsidP="006154E0">
      <w:pPr>
        <w:jc w:val="both"/>
        <w:rPr>
          <w:rFonts w:ascii="Arial" w:hAnsi="Arial" w:cs="Arial"/>
          <w:b/>
          <w:sz w:val="20"/>
          <w:szCs w:val="20"/>
        </w:rPr>
      </w:pPr>
      <w:r w:rsidRPr="00273819">
        <w:rPr>
          <w:rFonts w:ascii="Arial" w:hAnsi="Arial" w:cs="Arial"/>
          <w:b/>
          <w:sz w:val="20"/>
          <w:szCs w:val="20"/>
        </w:rPr>
        <w:t xml:space="preserve">Use of proceeds </w:t>
      </w:r>
    </w:p>
    <w:p w14:paraId="14C5EA62" w14:textId="77777777" w:rsidR="00D770A9" w:rsidRPr="00273819" w:rsidRDefault="000C3A90" w:rsidP="00D770A9">
      <w:pPr>
        <w:jc w:val="both"/>
        <w:rPr>
          <w:rFonts w:ascii="Arial" w:hAnsi="Arial" w:cs="Arial"/>
          <w:sz w:val="20"/>
          <w:szCs w:val="20"/>
        </w:rPr>
      </w:pPr>
      <w:r w:rsidRPr="00273819">
        <w:rPr>
          <w:rFonts w:ascii="Arial" w:hAnsi="Arial" w:cs="Arial"/>
          <w:sz w:val="20"/>
          <w:szCs w:val="20"/>
        </w:rPr>
        <w:t xml:space="preserve">In order to be eligible for listing </w:t>
      </w:r>
      <w:r w:rsidR="00D0207F">
        <w:rPr>
          <w:rFonts w:ascii="Arial" w:hAnsi="Arial" w:cs="Arial"/>
          <w:sz w:val="20"/>
          <w:szCs w:val="20"/>
        </w:rPr>
        <w:t xml:space="preserve">as a </w:t>
      </w:r>
      <w:r w:rsidRPr="00273819">
        <w:rPr>
          <w:rFonts w:ascii="Arial" w:hAnsi="Arial" w:cs="Arial"/>
          <w:sz w:val="20"/>
          <w:szCs w:val="20"/>
        </w:rPr>
        <w:t xml:space="preserve">Pre-Commercial Company, the primary purpose </w:t>
      </w:r>
      <w:r w:rsidR="00EB6675">
        <w:rPr>
          <w:rFonts w:ascii="Arial" w:hAnsi="Arial" w:cs="Arial"/>
          <w:sz w:val="20"/>
          <w:szCs w:val="20"/>
        </w:rPr>
        <w:t xml:space="preserve">of listing </w:t>
      </w:r>
      <w:r w:rsidRPr="00273819">
        <w:rPr>
          <w:rFonts w:ascii="Arial" w:hAnsi="Arial" w:cs="Arial"/>
          <w:sz w:val="20"/>
          <w:szCs w:val="20"/>
        </w:rPr>
        <w:t xml:space="preserve">must be to raise capital for the </w:t>
      </w:r>
      <w:r w:rsidR="00D0207F">
        <w:rPr>
          <w:rFonts w:ascii="Arial" w:hAnsi="Arial" w:cs="Arial"/>
          <w:sz w:val="20"/>
          <w:szCs w:val="20"/>
        </w:rPr>
        <w:t>R&amp;D</w:t>
      </w:r>
      <w:r w:rsidRPr="00273819">
        <w:rPr>
          <w:rFonts w:ascii="Arial" w:hAnsi="Arial" w:cs="Arial"/>
          <w:sz w:val="20"/>
          <w:szCs w:val="20"/>
        </w:rPr>
        <w:t xml:space="preserve"> of, and the manufacturing and/or sales and marketing of, its Specialist Technology Product(s), with the ultimate goal of achieving </w:t>
      </w:r>
      <w:proofErr w:type="spellStart"/>
      <w:r w:rsidRPr="00273819">
        <w:rPr>
          <w:rFonts w:ascii="Arial" w:hAnsi="Arial" w:cs="Arial"/>
          <w:sz w:val="20"/>
          <w:szCs w:val="20"/>
        </w:rPr>
        <w:t>commerciali</w:t>
      </w:r>
      <w:r w:rsidR="00D60DC6" w:rsidRPr="00273819">
        <w:rPr>
          <w:rFonts w:ascii="Arial" w:hAnsi="Arial" w:cs="Arial"/>
          <w:sz w:val="20"/>
          <w:szCs w:val="20"/>
        </w:rPr>
        <w:t>s</w:t>
      </w:r>
      <w:r w:rsidRPr="00273819">
        <w:rPr>
          <w:rFonts w:ascii="Arial" w:hAnsi="Arial" w:cs="Arial"/>
          <w:sz w:val="20"/>
          <w:szCs w:val="20"/>
        </w:rPr>
        <w:t>ation</w:t>
      </w:r>
      <w:proofErr w:type="spellEnd"/>
      <w:r w:rsidRPr="00273819">
        <w:rPr>
          <w:rFonts w:ascii="Arial" w:hAnsi="Arial" w:cs="Arial"/>
          <w:sz w:val="20"/>
          <w:szCs w:val="20"/>
        </w:rPr>
        <w:t xml:space="preserve"> and meeting the </w:t>
      </w:r>
      <w:proofErr w:type="spellStart"/>
      <w:r w:rsidRPr="004B5136">
        <w:rPr>
          <w:rFonts w:ascii="Arial" w:hAnsi="Arial" w:cs="Arial"/>
          <w:sz w:val="20"/>
          <w:szCs w:val="20"/>
        </w:rPr>
        <w:t>Commercialisation</w:t>
      </w:r>
      <w:proofErr w:type="spellEnd"/>
      <w:r w:rsidRPr="004B5136">
        <w:rPr>
          <w:rFonts w:ascii="Arial" w:hAnsi="Arial" w:cs="Arial"/>
          <w:sz w:val="20"/>
          <w:szCs w:val="20"/>
        </w:rPr>
        <w:t xml:space="preserve"> Revenue Threshold</w:t>
      </w:r>
      <w:r w:rsidRPr="00273819">
        <w:rPr>
          <w:rFonts w:ascii="Arial" w:hAnsi="Arial" w:cs="Arial"/>
          <w:sz w:val="20"/>
          <w:szCs w:val="20"/>
        </w:rPr>
        <w:t>.</w:t>
      </w:r>
      <w:r w:rsidR="00EB6675">
        <w:rPr>
          <w:rStyle w:val="a6"/>
          <w:rFonts w:ascii="Arial" w:hAnsi="Arial" w:cs="Arial"/>
          <w:sz w:val="20"/>
          <w:szCs w:val="20"/>
        </w:rPr>
        <w:footnoteReference w:id="17"/>
      </w:r>
      <w:r w:rsidRPr="00273819">
        <w:rPr>
          <w:rFonts w:ascii="Arial" w:hAnsi="Arial" w:cs="Arial"/>
          <w:sz w:val="20"/>
          <w:szCs w:val="20"/>
        </w:rPr>
        <w:t xml:space="preserve"> </w:t>
      </w:r>
    </w:p>
    <w:p w14:paraId="07BD7651" w14:textId="77777777" w:rsidR="00DB4918" w:rsidRPr="00273819" w:rsidRDefault="00DB4918" w:rsidP="00D770A9">
      <w:pPr>
        <w:jc w:val="both"/>
        <w:rPr>
          <w:rFonts w:ascii="Arial" w:hAnsi="Arial" w:cs="Arial"/>
          <w:b/>
          <w:sz w:val="20"/>
          <w:szCs w:val="20"/>
        </w:rPr>
      </w:pPr>
      <w:r w:rsidRPr="00273819">
        <w:rPr>
          <w:rFonts w:ascii="Arial" w:hAnsi="Arial" w:cs="Arial"/>
          <w:b/>
          <w:sz w:val="20"/>
          <w:szCs w:val="20"/>
        </w:rPr>
        <w:t>Specialist Technology Companies with a WVR Structure</w:t>
      </w:r>
    </w:p>
    <w:p w14:paraId="6539CDE5" w14:textId="3F766F7F" w:rsidR="00A42D93" w:rsidRPr="004B5136" w:rsidRDefault="00DB4918" w:rsidP="004B5136">
      <w:pPr>
        <w:jc w:val="both"/>
        <w:rPr>
          <w:rFonts w:ascii="Arial" w:hAnsi="Arial" w:cs="Arial"/>
          <w:color w:val="FF0000"/>
          <w:sz w:val="20"/>
          <w:szCs w:val="20"/>
        </w:rPr>
      </w:pPr>
      <w:r w:rsidRPr="00273819">
        <w:rPr>
          <w:rFonts w:ascii="Arial" w:hAnsi="Arial" w:cs="Arial"/>
          <w:sz w:val="20"/>
          <w:szCs w:val="20"/>
        </w:rPr>
        <w:t xml:space="preserve">The HKEX proposed </w:t>
      </w:r>
      <w:r w:rsidR="00133DBC" w:rsidRPr="00273819">
        <w:rPr>
          <w:rFonts w:ascii="Arial" w:hAnsi="Arial" w:cs="Arial"/>
          <w:sz w:val="20"/>
          <w:szCs w:val="20"/>
        </w:rPr>
        <w:t xml:space="preserve">in the Consultation Paper </w:t>
      </w:r>
      <w:r w:rsidRPr="00273819">
        <w:rPr>
          <w:rFonts w:ascii="Arial" w:hAnsi="Arial" w:cs="Arial"/>
          <w:sz w:val="20"/>
          <w:szCs w:val="20"/>
        </w:rPr>
        <w:t>that Specialist Technology Companies seeking t</w:t>
      </w:r>
      <w:r w:rsidR="0090283F">
        <w:rPr>
          <w:rFonts w:ascii="Arial" w:hAnsi="Arial" w:cs="Arial"/>
          <w:sz w:val="20"/>
          <w:szCs w:val="20"/>
        </w:rPr>
        <w:t>o list with a WVR structure should</w:t>
      </w:r>
      <w:r w:rsidRPr="00273819">
        <w:rPr>
          <w:rFonts w:ascii="Arial" w:hAnsi="Arial" w:cs="Arial"/>
          <w:sz w:val="20"/>
          <w:szCs w:val="20"/>
        </w:rPr>
        <w:t xml:space="preserve"> adhere to </w:t>
      </w:r>
      <w:r w:rsidR="0090283F">
        <w:rPr>
          <w:rFonts w:ascii="Arial" w:hAnsi="Arial" w:cs="Arial"/>
          <w:sz w:val="20"/>
          <w:szCs w:val="20"/>
        </w:rPr>
        <w:t xml:space="preserve">the </w:t>
      </w:r>
      <w:r w:rsidRPr="00273819">
        <w:rPr>
          <w:rFonts w:ascii="Arial" w:hAnsi="Arial" w:cs="Arial"/>
          <w:sz w:val="20"/>
          <w:szCs w:val="20"/>
        </w:rPr>
        <w:t>existing WVR Listing Rule requirements, wh</w:t>
      </w:r>
      <w:r w:rsidR="000D6AC8">
        <w:rPr>
          <w:rFonts w:ascii="Arial" w:hAnsi="Arial" w:cs="Arial"/>
          <w:sz w:val="20"/>
          <w:szCs w:val="20"/>
        </w:rPr>
        <w:t>ich include hav</w:t>
      </w:r>
      <w:r w:rsidRPr="00273819">
        <w:rPr>
          <w:rFonts w:ascii="Arial" w:hAnsi="Arial" w:cs="Arial"/>
          <w:sz w:val="20"/>
          <w:szCs w:val="20"/>
        </w:rPr>
        <w:t xml:space="preserve">ing a market </w:t>
      </w:r>
      <w:proofErr w:type="spellStart"/>
      <w:r w:rsidRPr="00273819">
        <w:rPr>
          <w:rFonts w:ascii="Arial" w:hAnsi="Arial" w:cs="Arial"/>
          <w:sz w:val="20"/>
          <w:szCs w:val="20"/>
        </w:rPr>
        <w:t>capitali</w:t>
      </w:r>
      <w:r w:rsidR="00ED1A03" w:rsidRPr="00273819">
        <w:rPr>
          <w:rFonts w:ascii="Arial" w:hAnsi="Arial" w:cs="Arial"/>
          <w:sz w:val="20"/>
          <w:szCs w:val="20"/>
        </w:rPr>
        <w:t>s</w:t>
      </w:r>
      <w:r w:rsidRPr="00273819">
        <w:rPr>
          <w:rFonts w:ascii="Arial" w:hAnsi="Arial" w:cs="Arial"/>
          <w:sz w:val="20"/>
          <w:szCs w:val="20"/>
        </w:rPr>
        <w:t>ation</w:t>
      </w:r>
      <w:proofErr w:type="spellEnd"/>
      <w:r w:rsidRPr="00273819">
        <w:rPr>
          <w:rFonts w:ascii="Arial" w:hAnsi="Arial" w:cs="Arial"/>
          <w:sz w:val="20"/>
          <w:szCs w:val="20"/>
        </w:rPr>
        <w:t xml:space="preserve"> of HK$40 billion</w:t>
      </w:r>
      <w:r w:rsidR="0090283F">
        <w:rPr>
          <w:rFonts w:ascii="Arial" w:hAnsi="Arial" w:cs="Arial"/>
          <w:sz w:val="20"/>
          <w:szCs w:val="20"/>
        </w:rPr>
        <w:t xml:space="preserve"> if they do not have revenue of HK$1 billion for the most recent audited financial year which allows them to have a market </w:t>
      </w:r>
      <w:proofErr w:type="spellStart"/>
      <w:r w:rsidR="0090283F">
        <w:rPr>
          <w:rFonts w:ascii="Arial" w:hAnsi="Arial" w:cs="Arial"/>
          <w:sz w:val="20"/>
          <w:szCs w:val="20"/>
        </w:rPr>
        <w:t>capitalisation</w:t>
      </w:r>
      <w:proofErr w:type="spellEnd"/>
      <w:r w:rsidR="0090283F">
        <w:rPr>
          <w:rFonts w:ascii="Arial" w:hAnsi="Arial" w:cs="Arial"/>
          <w:sz w:val="20"/>
          <w:szCs w:val="20"/>
        </w:rPr>
        <w:t xml:space="preserve"> of HK$</w:t>
      </w:r>
      <w:r w:rsidR="001D0952">
        <w:rPr>
          <w:rFonts w:ascii="Arial" w:hAnsi="Arial" w:cs="Arial"/>
          <w:sz w:val="20"/>
          <w:szCs w:val="20"/>
        </w:rPr>
        <w:t>10 billion</w:t>
      </w:r>
      <w:r w:rsidRPr="00273819">
        <w:rPr>
          <w:rFonts w:ascii="Arial" w:hAnsi="Arial" w:cs="Arial"/>
          <w:sz w:val="20"/>
          <w:szCs w:val="20"/>
        </w:rPr>
        <w:t>.</w:t>
      </w:r>
      <w:r w:rsidR="001D0952">
        <w:rPr>
          <w:rStyle w:val="a6"/>
          <w:rFonts w:ascii="Arial" w:hAnsi="Arial" w:cs="Arial"/>
          <w:sz w:val="20"/>
          <w:szCs w:val="20"/>
        </w:rPr>
        <w:footnoteReference w:id="18"/>
      </w:r>
      <w:r w:rsidRPr="00273819">
        <w:rPr>
          <w:rFonts w:ascii="Arial" w:hAnsi="Arial" w:cs="Arial"/>
          <w:sz w:val="20"/>
          <w:szCs w:val="20"/>
        </w:rPr>
        <w:t xml:space="preserve"> </w:t>
      </w:r>
      <w:r w:rsidR="0090283F">
        <w:rPr>
          <w:rFonts w:ascii="Arial" w:hAnsi="Arial" w:cs="Arial"/>
          <w:sz w:val="20"/>
          <w:szCs w:val="20"/>
        </w:rPr>
        <w:t>Despite suggestions from s</w:t>
      </w:r>
      <w:r w:rsidRPr="00273819">
        <w:rPr>
          <w:rFonts w:ascii="Arial" w:hAnsi="Arial" w:cs="Arial"/>
          <w:sz w:val="20"/>
          <w:szCs w:val="20"/>
        </w:rPr>
        <w:t>ome</w:t>
      </w:r>
      <w:r w:rsidR="0090283F">
        <w:rPr>
          <w:rFonts w:ascii="Arial" w:hAnsi="Arial" w:cs="Arial"/>
          <w:sz w:val="20"/>
          <w:szCs w:val="20"/>
        </w:rPr>
        <w:t xml:space="preserve"> consultation</w:t>
      </w:r>
      <w:r w:rsidRPr="00273819">
        <w:rPr>
          <w:rFonts w:ascii="Arial" w:hAnsi="Arial" w:cs="Arial"/>
          <w:sz w:val="20"/>
          <w:szCs w:val="20"/>
        </w:rPr>
        <w:t xml:space="preserve"> respondents that this threshold would be too high</w:t>
      </w:r>
      <w:r w:rsidR="00133DBC" w:rsidRPr="00273819">
        <w:rPr>
          <w:rFonts w:ascii="Arial" w:hAnsi="Arial" w:cs="Arial"/>
          <w:sz w:val="20"/>
          <w:szCs w:val="20"/>
        </w:rPr>
        <w:t>, the HKEX</w:t>
      </w:r>
      <w:r w:rsidRPr="00273819">
        <w:rPr>
          <w:rFonts w:ascii="Arial" w:hAnsi="Arial" w:cs="Arial"/>
          <w:sz w:val="20"/>
          <w:szCs w:val="20"/>
        </w:rPr>
        <w:t xml:space="preserve"> </w:t>
      </w:r>
      <w:r w:rsidR="0090283F">
        <w:rPr>
          <w:rFonts w:ascii="Arial" w:hAnsi="Arial" w:cs="Arial"/>
          <w:sz w:val="20"/>
          <w:szCs w:val="20"/>
        </w:rPr>
        <w:t>insisted</w:t>
      </w:r>
      <w:r w:rsidR="000B6D90">
        <w:rPr>
          <w:rFonts w:ascii="Arial" w:hAnsi="Arial" w:cs="Arial"/>
          <w:sz w:val="20"/>
          <w:szCs w:val="20"/>
        </w:rPr>
        <w:t xml:space="preserve"> </w:t>
      </w:r>
      <w:r w:rsidR="0090283F">
        <w:rPr>
          <w:rFonts w:ascii="Arial" w:hAnsi="Arial" w:cs="Arial"/>
          <w:sz w:val="20"/>
          <w:szCs w:val="20"/>
        </w:rPr>
        <w:t xml:space="preserve">that the WVR requirements apply to all listing applicants with WVR structures, including Biotech Companies which are also at a relatively early stage of their development.  </w:t>
      </w:r>
      <w:r w:rsidR="000A4B42">
        <w:rPr>
          <w:rFonts w:ascii="Arial" w:hAnsi="Arial" w:cs="Arial"/>
          <w:sz w:val="20"/>
          <w:szCs w:val="20"/>
        </w:rPr>
        <w:t>T</w:t>
      </w:r>
      <w:r w:rsidR="000B6D90">
        <w:rPr>
          <w:rFonts w:ascii="Arial" w:hAnsi="Arial" w:cs="Arial"/>
          <w:sz w:val="20"/>
          <w:szCs w:val="20"/>
        </w:rPr>
        <w:t>hus</w:t>
      </w:r>
      <w:r w:rsidR="000A4B42">
        <w:rPr>
          <w:rFonts w:ascii="Arial" w:hAnsi="Arial" w:cs="Arial"/>
          <w:sz w:val="20"/>
          <w:szCs w:val="20"/>
        </w:rPr>
        <w:t xml:space="preserve">, </w:t>
      </w:r>
      <w:r w:rsidR="000A4B42" w:rsidRPr="00273819">
        <w:rPr>
          <w:rFonts w:ascii="Arial" w:hAnsi="Arial" w:cs="Arial"/>
          <w:sz w:val="20"/>
          <w:szCs w:val="20"/>
        </w:rPr>
        <w:t>Specialist Technology</w:t>
      </w:r>
      <w:r w:rsidR="000A4B42">
        <w:rPr>
          <w:rFonts w:ascii="Arial" w:hAnsi="Arial" w:cs="Arial"/>
          <w:sz w:val="20"/>
          <w:szCs w:val="20"/>
        </w:rPr>
        <w:t xml:space="preserve"> C</w:t>
      </w:r>
      <w:r w:rsidRPr="00273819">
        <w:rPr>
          <w:rFonts w:ascii="Arial" w:hAnsi="Arial" w:cs="Arial"/>
          <w:sz w:val="20"/>
          <w:szCs w:val="20"/>
        </w:rPr>
        <w:t xml:space="preserve">ompanies wishing to list with a WVR structure must meet the HK$40 billion market </w:t>
      </w:r>
      <w:proofErr w:type="spellStart"/>
      <w:r w:rsidRPr="00273819">
        <w:rPr>
          <w:rFonts w:ascii="Arial" w:hAnsi="Arial" w:cs="Arial"/>
          <w:sz w:val="20"/>
          <w:szCs w:val="20"/>
        </w:rPr>
        <w:t>capitali</w:t>
      </w:r>
      <w:r w:rsidR="0025040F" w:rsidRPr="00273819">
        <w:rPr>
          <w:rFonts w:ascii="Arial" w:hAnsi="Arial" w:cs="Arial"/>
          <w:sz w:val="20"/>
          <w:szCs w:val="20"/>
        </w:rPr>
        <w:t>s</w:t>
      </w:r>
      <w:r w:rsidRPr="00273819">
        <w:rPr>
          <w:rFonts w:ascii="Arial" w:hAnsi="Arial" w:cs="Arial"/>
          <w:sz w:val="20"/>
          <w:szCs w:val="20"/>
        </w:rPr>
        <w:t>ation</w:t>
      </w:r>
      <w:proofErr w:type="spellEnd"/>
      <w:r w:rsidRPr="00273819">
        <w:rPr>
          <w:rFonts w:ascii="Arial" w:hAnsi="Arial" w:cs="Arial"/>
          <w:sz w:val="20"/>
          <w:szCs w:val="20"/>
        </w:rPr>
        <w:t xml:space="preserve"> threshold</w:t>
      </w:r>
      <w:r w:rsidR="000A4B42">
        <w:rPr>
          <w:rFonts w:ascii="Arial" w:hAnsi="Arial" w:cs="Arial"/>
          <w:sz w:val="20"/>
          <w:szCs w:val="20"/>
        </w:rPr>
        <w:t xml:space="preserve"> if they do not have revenue of HK$1 billion for the most recent audited financial year</w:t>
      </w:r>
      <w:r w:rsidR="00B674D1" w:rsidRPr="00273819">
        <w:rPr>
          <w:rFonts w:ascii="Arial" w:hAnsi="Arial" w:cs="Arial"/>
          <w:sz w:val="20"/>
          <w:szCs w:val="20"/>
        </w:rPr>
        <w:t xml:space="preserve">. </w:t>
      </w:r>
    </w:p>
    <w:p w14:paraId="759CA7B3" w14:textId="77777777" w:rsidR="00A5671F" w:rsidRPr="004B5136" w:rsidRDefault="00A5671F" w:rsidP="006154E0">
      <w:pPr>
        <w:jc w:val="both"/>
        <w:rPr>
          <w:rFonts w:ascii="Arial" w:hAnsi="Arial" w:cs="Arial"/>
          <w:b/>
          <w:color w:val="FF0000"/>
          <w:sz w:val="20"/>
          <w:szCs w:val="20"/>
        </w:rPr>
      </w:pPr>
      <w:r w:rsidRPr="004B5136">
        <w:rPr>
          <w:rFonts w:ascii="Arial" w:hAnsi="Arial" w:cs="Arial"/>
          <w:b/>
          <w:color w:val="FF0000"/>
          <w:sz w:val="20"/>
          <w:szCs w:val="20"/>
        </w:rPr>
        <w:t xml:space="preserve">IPO </w:t>
      </w:r>
      <w:r w:rsidR="00FB4A09" w:rsidRPr="004B5136">
        <w:rPr>
          <w:rFonts w:ascii="Arial" w:hAnsi="Arial" w:cs="Arial"/>
          <w:b/>
          <w:color w:val="FF0000"/>
          <w:sz w:val="20"/>
          <w:szCs w:val="20"/>
        </w:rPr>
        <w:t>R</w:t>
      </w:r>
      <w:r w:rsidRPr="004B5136">
        <w:rPr>
          <w:rFonts w:ascii="Arial" w:hAnsi="Arial" w:cs="Arial"/>
          <w:b/>
          <w:color w:val="FF0000"/>
          <w:sz w:val="20"/>
          <w:szCs w:val="20"/>
        </w:rPr>
        <w:t xml:space="preserve">equirements </w:t>
      </w:r>
    </w:p>
    <w:p w14:paraId="15DA723E" w14:textId="77777777" w:rsidR="00A3141E" w:rsidRPr="00273819" w:rsidRDefault="008716AC" w:rsidP="006154E0">
      <w:pPr>
        <w:jc w:val="both"/>
        <w:rPr>
          <w:rFonts w:ascii="Arial" w:hAnsi="Arial" w:cs="Arial"/>
          <w:b/>
          <w:sz w:val="20"/>
          <w:szCs w:val="20"/>
        </w:rPr>
      </w:pPr>
      <w:r w:rsidRPr="00273819">
        <w:rPr>
          <w:rFonts w:ascii="Arial" w:hAnsi="Arial" w:cs="Arial"/>
          <w:b/>
          <w:sz w:val="20"/>
          <w:szCs w:val="20"/>
        </w:rPr>
        <w:t xml:space="preserve">Minimum Allocation </w:t>
      </w:r>
      <w:r w:rsidR="00A3141E" w:rsidRPr="00273819">
        <w:rPr>
          <w:rFonts w:ascii="Arial" w:hAnsi="Arial" w:cs="Arial"/>
          <w:b/>
          <w:sz w:val="20"/>
          <w:szCs w:val="20"/>
        </w:rPr>
        <w:t xml:space="preserve">to </w:t>
      </w:r>
      <w:r w:rsidRPr="00273819">
        <w:rPr>
          <w:rFonts w:ascii="Arial" w:hAnsi="Arial" w:cs="Arial"/>
          <w:b/>
          <w:sz w:val="20"/>
          <w:szCs w:val="20"/>
        </w:rPr>
        <w:t>Independent Price Setting Investors</w:t>
      </w:r>
    </w:p>
    <w:p w14:paraId="785D83DF" w14:textId="02A6D3BD" w:rsidR="00BC51B2" w:rsidRPr="00273819" w:rsidRDefault="00A5671F" w:rsidP="00A3141E">
      <w:pPr>
        <w:jc w:val="both"/>
        <w:rPr>
          <w:rFonts w:ascii="Arial" w:hAnsi="Arial" w:cs="Arial"/>
          <w:sz w:val="20"/>
          <w:szCs w:val="20"/>
        </w:rPr>
      </w:pPr>
      <w:r w:rsidRPr="004B5136">
        <w:rPr>
          <w:rFonts w:ascii="Arial" w:hAnsi="Arial" w:cs="Arial"/>
          <w:sz w:val="20"/>
          <w:szCs w:val="20"/>
        </w:rPr>
        <w:t>Specialist Technology Companies will be required to</w:t>
      </w:r>
      <w:r w:rsidR="00A3141E" w:rsidRPr="00273819">
        <w:rPr>
          <w:rFonts w:ascii="Arial" w:hAnsi="Arial" w:cs="Arial"/>
          <w:sz w:val="20"/>
          <w:szCs w:val="20"/>
        </w:rPr>
        <w:t xml:space="preserve"> </w:t>
      </w:r>
      <w:r w:rsidRPr="004B5136">
        <w:rPr>
          <w:rFonts w:ascii="Arial" w:hAnsi="Arial" w:cs="Arial"/>
          <w:sz w:val="20"/>
          <w:szCs w:val="20"/>
        </w:rPr>
        <w:t xml:space="preserve">allocate at least 50% of the total number of shares offered in the IPO (excluding shares to be issued on the exercise of any over-allotment option) to </w:t>
      </w:r>
      <w:r w:rsidR="00605EDE">
        <w:rPr>
          <w:rFonts w:ascii="Arial" w:hAnsi="Arial" w:cs="Arial"/>
          <w:sz w:val="20"/>
          <w:szCs w:val="20"/>
        </w:rPr>
        <w:t>i</w:t>
      </w:r>
      <w:r w:rsidRPr="004B5136">
        <w:rPr>
          <w:rFonts w:ascii="Arial" w:hAnsi="Arial" w:cs="Arial"/>
          <w:sz w:val="20"/>
          <w:szCs w:val="20"/>
        </w:rPr>
        <w:t xml:space="preserve">ndependent </w:t>
      </w:r>
      <w:r w:rsidR="00605EDE">
        <w:rPr>
          <w:rFonts w:ascii="Arial" w:hAnsi="Arial" w:cs="Arial"/>
          <w:sz w:val="20"/>
          <w:szCs w:val="20"/>
        </w:rPr>
        <w:t>p</w:t>
      </w:r>
      <w:r w:rsidRPr="004B5136">
        <w:rPr>
          <w:rFonts w:ascii="Arial" w:hAnsi="Arial" w:cs="Arial"/>
          <w:sz w:val="20"/>
          <w:szCs w:val="20"/>
        </w:rPr>
        <w:t xml:space="preserve">rice </w:t>
      </w:r>
      <w:r w:rsidR="00605EDE">
        <w:rPr>
          <w:rFonts w:ascii="Arial" w:hAnsi="Arial" w:cs="Arial"/>
          <w:sz w:val="20"/>
          <w:szCs w:val="20"/>
        </w:rPr>
        <w:t>s</w:t>
      </w:r>
      <w:r w:rsidRPr="004B5136">
        <w:rPr>
          <w:rFonts w:ascii="Arial" w:hAnsi="Arial" w:cs="Arial"/>
          <w:sz w:val="20"/>
          <w:szCs w:val="20"/>
        </w:rPr>
        <w:t xml:space="preserve">etting </w:t>
      </w:r>
      <w:r w:rsidR="00605EDE">
        <w:rPr>
          <w:rFonts w:ascii="Arial" w:hAnsi="Arial" w:cs="Arial"/>
          <w:sz w:val="20"/>
          <w:szCs w:val="20"/>
        </w:rPr>
        <w:t>i</w:t>
      </w:r>
      <w:r w:rsidRPr="004B5136">
        <w:rPr>
          <w:rFonts w:ascii="Arial" w:hAnsi="Arial" w:cs="Arial"/>
          <w:sz w:val="20"/>
          <w:szCs w:val="20"/>
        </w:rPr>
        <w:t>nvestors</w:t>
      </w:r>
      <w:r w:rsidR="00CD29F0">
        <w:rPr>
          <w:rFonts w:ascii="Arial" w:hAnsi="Arial" w:cs="Arial"/>
          <w:sz w:val="20"/>
          <w:szCs w:val="20"/>
        </w:rPr>
        <w:t xml:space="preserve"> in the placing tranche</w:t>
      </w:r>
      <w:r w:rsidR="00A3141E" w:rsidRPr="00273819">
        <w:rPr>
          <w:rFonts w:ascii="Arial" w:hAnsi="Arial" w:cs="Arial"/>
          <w:sz w:val="20"/>
          <w:szCs w:val="20"/>
        </w:rPr>
        <w:t>.</w:t>
      </w:r>
      <w:r w:rsidR="00CD29F0">
        <w:rPr>
          <w:rStyle w:val="a6"/>
          <w:rFonts w:ascii="Arial" w:hAnsi="Arial" w:cs="Arial"/>
          <w:sz w:val="20"/>
          <w:szCs w:val="20"/>
        </w:rPr>
        <w:footnoteReference w:id="19"/>
      </w:r>
      <w:r w:rsidRPr="004B5136">
        <w:rPr>
          <w:rFonts w:ascii="Arial" w:hAnsi="Arial" w:cs="Arial"/>
          <w:sz w:val="20"/>
          <w:szCs w:val="20"/>
        </w:rPr>
        <w:t xml:space="preserve"> </w:t>
      </w:r>
      <w:r w:rsidR="00BC51B2" w:rsidRPr="00BC51B2">
        <w:rPr>
          <w:rFonts w:ascii="Arial" w:hAnsi="Arial" w:cs="Arial"/>
          <w:sz w:val="20"/>
          <w:szCs w:val="20"/>
        </w:rPr>
        <w:t xml:space="preserve">Independent </w:t>
      </w:r>
      <w:r w:rsidR="00605EDE">
        <w:rPr>
          <w:rFonts w:ascii="Arial" w:hAnsi="Arial" w:cs="Arial"/>
          <w:sz w:val="20"/>
          <w:szCs w:val="20"/>
        </w:rPr>
        <w:t>p</w:t>
      </w:r>
      <w:r w:rsidR="00BC51B2" w:rsidRPr="00BC51B2">
        <w:rPr>
          <w:rFonts w:ascii="Arial" w:hAnsi="Arial" w:cs="Arial"/>
          <w:sz w:val="20"/>
          <w:szCs w:val="20"/>
        </w:rPr>
        <w:t xml:space="preserve">rice </w:t>
      </w:r>
      <w:r w:rsidR="00605EDE">
        <w:rPr>
          <w:rFonts w:ascii="Arial" w:hAnsi="Arial" w:cs="Arial"/>
          <w:sz w:val="20"/>
          <w:szCs w:val="20"/>
        </w:rPr>
        <w:t>s</w:t>
      </w:r>
      <w:r w:rsidR="00BC51B2" w:rsidRPr="00BC51B2">
        <w:rPr>
          <w:rFonts w:ascii="Arial" w:hAnsi="Arial" w:cs="Arial"/>
          <w:sz w:val="20"/>
          <w:szCs w:val="20"/>
        </w:rPr>
        <w:t xml:space="preserve">etting </w:t>
      </w:r>
      <w:r w:rsidR="00605EDE">
        <w:rPr>
          <w:rFonts w:ascii="Arial" w:hAnsi="Arial" w:cs="Arial"/>
          <w:sz w:val="20"/>
          <w:szCs w:val="20"/>
        </w:rPr>
        <w:t>i</w:t>
      </w:r>
      <w:r w:rsidR="00BC51B2" w:rsidRPr="00BC51B2">
        <w:rPr>
          <w:rFonts w:ascii="Arial" w:hAnsi="Arial" w:cs="Arial"/>
          <w:sz w:val="20"/>
          <w:szCs w:val="20"/>
        </w:rPr>
        <w:t xml:space="preserve">nvestors </w:t>
      </w:r>
      <w:r w:rsidR="00CD29F0">
        <w:rPr>
          <w:rFonts w:ascii="Arial" w:hAnsi="Arial" w:cs="Arial"/>
          <w:sz w:val="20"/>
          <w:szCs w:val="20"/>
        </w:rPr>
        <w:t xml:space="preserve">are defined in the Guidance Letter for </w:t>
      </w:r>
      <w:r w:rsidR="00CD29F0" w:rsidRPr="00273819">
        <w:rPr>
          <w:rFonts w:ascii="Arial" w:hAnsi="Arial" w:cs="Arial"/>
          <w:sz w:val="20"/>
          <w:szCs w:val="20"/>
        </w:rPr>
        <w:t>Specialist Technology Companies</w:t>
      </w:r>
      <w:r w:rsidR="00CD29F0">
        <w:rPr>
          <w:rFonts w:ascii="Arial" w:hAnsi="Arial" w:cs="Arial"/>
          <w:sz w:val="20"/>
          <w:szCs w:val="20"/>
        </w:rPr>
        <w:t xml:space="preserve"> as</w:t>
      </w:r>
      <w:r w:rsidR="00BC51B2" w:rsidRPr="00BC51B2">
        <w:rPr>
          <w:rFonts w:ascii="Arial" w:hAnsi="Arial" w:cs="Arial"/>
          <w:sz w:val="20"/>
          <w:szCs w:val="20"/>
        </w:rPr>
        <w:t xml:space="preserve"> Institutional Professional Investors (</w:t>
      </w:r>
      <w:r w:rsidR="00CD29F0">
        <w:rPr>
          <w:rFonts w:ascii="Arial" w:hAnsi="Arial" w:cs="Arial"/>
          <w:sz w:val="20"/>
          <w:szCs w:val="20"/>
        </w:rPr>
        <w:t>i.e. institutional professional investors as set out in paragraphs (a) to (</w:t>
      </w:r>
      <w:proofErr w:type="spellStart"/>
      <w:r w:rsidR="00CD29F0">
        <w:rPr>
          <w:rFonts w:ascii="Arial" w:hAnsi="Arial" w:cs="Arial"/>
          <w:sz w:val="20"/>
          <w:szCs w:val="20"/>
        </w:rPr>
        <w:t>i</w:t>
      </w:r>
      <w:proofErr w:type="spellEnd"/>
      <w:r w:rsidR="00CD29F0">
        <w:rPr>
          <w:rFonts w:ascii="Arial" w:hAnsi="Arial" w:cs="Arial"/>
          <w:sz w:val="20"/>
          <w:szCs w:val="20"/>
        </w:rPr>
        <w:t>) of the definition of professional investor in section 1 of Part 1 of Schedule 1 to the SFO</w:t>
      </w:r>
      <w:r w:rsidR="00BC51B2" w:rsidRPr="00BC51B2">
        <w:rPr>
          <w:rFonts w:ascii="Arial" w:hAnsi="Arial" w:cs="Arial"/>
          <w:sz w:val="20"/>
          <w:szCs w:val="20"/>
        </w:rPr>
        <w:t>) and other types of investors with AUM, fund size or investment portfolio size of at least HK$1 billion</w:t>
      </w:r>
      <w:r w:rsidR="00BC51B2">
        <w:rPr>
          <w:rFonts w:ascii="Arial" w:hAnsi="Arial" w:cs="Arial"/>
          <w:sz w:val="20"/>
          <w:szCs w:val="20"/>
        </w:rPr>
        <w:t>.</w:t>
      </w:r>
      <w:r w:rsidR="00CD29F0">
        <w:rPr>
          <w:rFonts w:ascii="Arial" w:hAnsi="Arial" w:cs="Arial"/>
          <w:sz w:val="20"/>
          <w:szCs w:val="20"/>
        </w:rPr>
        <w:t xml:space="preserve"> A person will not qualify as an </w:t>
      </w:r>
      <w:r w:rsidR="00605EDE">
        <w:rPr>
          <w:rFonts w:ascii="Arial" w:hAnsi="Arial" w:cs="Arial"/>
          <w:sz w:val="20"/>
          <w:szCs w:val="20"/>
        </w:rPr>
        <w:t>i</w:t>
      </w:r>
      <w:r w:rsidR="00605EDE" w:rsidRPr="00BC51B2">
        <w:rPr>
          <w:rFonts w:ascii="Arial" w:hAnsi="Arial" w:cs="Arial"/>
          <w:sz w:val="20"/>
          <w:szCs w:val="20"/>
        </w:rPr>
        <w:t xml:space="preserve">ndependent </w:t>
      </w:r>
      <w:r w:rsidR="00605EDE">
        <w:rPr>
          <w:rFonts w:ascii="Arial" w:hAnsi="Arial" w:cs="Arial"/>
          <w:sz w:val="20"/>
          <w:szCs w:val="20"/>
        </w:rPr>
        <w:t>p</w:t>
      </w:r>
      <w:r w:rsidR="00605EDE" w:rsidRPr="00BC51B2">
        <w:rPr>
          <w:rFonts w:ascii="Arial" w:hAnsi="Arial" w:cs="Arial"/>
          <w:sz w:val="20"/>
          <w:szCs w:val="20"/>
        </w:rPr>
        <w:t xml:space="preserve">rice </w:t>
      </w:r>
      <w:r w:rsidR="00605EDE">
        <w:rPr>
          <w:rFonts w:ascii="Arial" w:hAnsi="Arial" w:cs="Arial"/>
          <w:sz w:val="20"/>
          <w:szCs w:val="20"/>
        </w:rPr>
        <w:t>s</w:t>
      </w:r>
      <w:r w:rsidR="00605EDE" w:rsidRPr="00BC51B2">
        <w:rPr>
          <w:rFonts w:ascii="Arial" w:hAnsi="Arial" w:cs="Arial"/>
          <w:sz w:val="20"/>
          <w:szCs w:val="20"/>
        </w:rPr>
        <w:t xml:space="preserve">etting </w:t>
      </w:r>
      <w:r w:rsidR="00605EDE">
        <w:rPr>
          <w:rFonts w:ascii="Arial" w:hAnsi="Arial" w:cs="Arial"/>
          <w:sz w:val="20"/>
          <w:szCs w:val="20"/>
        </w:rPr>
        <w:t>i</w:t>
      </w:r>
      <w:r w:rsidR="00605EDE" w:rsidRPr="00BC51B2">
        <w:rPr>
          <w:rFonts w:ascii="Arial" w:hAnsi="Arial" w:cs="Arial"/>
          <w:sz w:val="20"/>
          <w:szCs w:val="20"/>
        </w:rPr>
        <w:t>nvestor</w:t>
      </w:r>
      <w:r w:rsidR="00605EDE">
        <w:rPr>
          <w:rFonts w:ascii="Arial" w:hAnsi="Arial" w:cs="Arial"/>
          <w:sz w:val="20"/>
          <w:szCs w:val="20"/>
        </w:rPr>
        <w:t xml:space="preserve"> if they are an existing shareholder of the listing applicant or a close associate of an existing shareholder or a core connected person of the listing applicant.</w:t>
      </w:r>
    </w:p>
    <w:p w14:paraId="3698E990" w14:textId="77777777" w:rsidR="00A3141E" w:rsidRPr="004B5136" w:rsidRDefault="00605EDE" w:rsidP="00A3141E">
      <w:pPr>
        <w:jc w:val="both"/>
        <w:rPr>
          <w:rFonts w:ascii="Arial" w:hAnsi="Arial" w:cs="Arial"/>
          <w:b/>
          <w:sz w:val="20"/>
          <w:szCs w:val="20"/>
        </w:rPr>
      </w:pPr>
      <w:r>
        <w:rPr>
          <w:rFonts w:ascii="Arial" w:hAnsi="Arial" w:cs="Arial"/>
          <w:b/>
          <w:sz w:val="20"/>
          <w:szCs w:val="20"/>
        </w:rPr>
        <w:t xml:space="preserve">Minimum </w:t>
      </w:r>
      <w:r w:rsidR="008716AC" w:rsidRPr="00273819">
        <w:rPr>
          <w:rFonts w:ascii="Arial" w:hAnsi="Arial" w:cs="Arial"/>
          <w:b/>
          <w:sz w:val="20"/>
          <w:szCs w:val="20"/>
        </w:rPr>
        <w:t>Free Float</w:t>
      </w:r>
    </w:p>
    <w:p w14:paraId="2345145A" w14:textId="77777777" w:rsidR="00A3141E" w:rsidRPr="00273819" w:rsidRDefault="00FB7411" w:rsidP="00FB7411">
      <w:pPr>
        <w:jc w:val="both"/>
        <w:rPr>
          <w:rFonts w:ascii="Arial" w:hAnsi="Arial" w:cs="Arial"/>
          <w:sz w:val="20"/>
          <w:szCs w:val="20"/>
        </w:rPr>
      </w:pPr>
      <w:r w:rsidRPr="00273819">
        <w:rPr>
          <w:rFonts w:ascii="Arial" w:hAnsi="Arial" w:cs="Arial"/>
          <w:sz w:val="20"/>
          <w:szCs w:val="20"/>
        </w:rPr>
        <w:t xml:space="preserve">Specialist Technology Companies must ensure </w:t>
      </w:r>
      <w:r w:rsidR="00A5671F" w:rsidRPr="004B5136">
        <w:rPr>
          <w:rFonts w:ascii="Arial" w:hAnsi="Arial" w:cs="Arial"/>
          <w:sz w:val="20"/>
          <w:szCs w:val="20"/>
        </w:rPr>
        <w:t>a free float of at least HK$600 million upon listin</w:t>
      </w:r>
      <w:r w:rsidR="00F76EEF" w:rsidRPr="00273819">
        <w:rPr>
          <w:rFonts w:ascii="Arial" w:hAnsi="Arial" w:cs="Arial"/>
          <w:sz w:val="20"/>
          <w:szCs w:val="20"/>
        </w:rPr>
        <w:t>g that are not subject to any disposal restrictions (whether under contract, the HKEX Listing Rules or applicable laws)</w:t>
      </w:r>
      <w:r w:rsidR="00E41A5B" w:rsidRPr="00273819">
        <w:rPr>
          <w:rFonts w:ascii="Arial" w:hAnsi="Arial" w:cs="Arial"/>
          <w:sz w:val="20"/>
          <w:szCs w:val="20"/>
        </w:rPr>
        <w:t>.</w:t>
      </w:r>
      <w:r w:rsidR="00C521D4">
        <w:rPr>
          <w:rStyle w:val="a6"/>
          <w:rFonts w:ascii="Arial" w:hAnsi="Arial" w:cs="Arial"/>
          <w:sz w:val="20"/>
          <w:szCs w:val="20"/>
        </w:rPr>
        <w:footnoteReference w:id="20"/>
      </w:r>
      <w:r w:rsidR="00E41A5B" w:rsidRPr="00273819">
        <w:rPr>
          <w:rFonts w:ascii="Arial" w:hAnsi="Arial" w:cs="Arial"/>
          <w:sz w:val="20"/>
          <w:szCs w:val="20"/>
        </w:rPr>
        <w:t xml:space="preserve"> </w:t>
      </w:r>
    </w:p>
    <w:p w14:paraId="2C2A8EC6" w14:textId="77777777" w:rsidR="00A3141E" w:rsidRPr="00273819" w:rsidRDefault="008716AC" w:rsidP="00A3141E">
      <w:pPr>
        <w:jc w:val="both"/>
        <w:rPr>
          <w:rFonts w:ascii="Arial" w:hAnsi="Arial" w:cs="Arial"/>
          <w:b/>
          <w:sz w:val="20"/>
          <w:szCs w:val="20"/>
        </w:rPr>
      </w:pPr>
      <w:r w:rsidRPr="00273819">
        <w:rPr>
          <w:rFonts w:ascii="Arial" w:hAnsi="Arial" w:cs="Arial"/>
          <w:b/>
          <w:sz w:val="20"/>
          <w:szCs w:val="20"/>
        </w:rPr>
        <w:t xml:space="preserve">Offer Size </w:t>
      </w:r>
    </w:p>
    <w:p w14:paraId="77B3FFBE" w14:textId="77777777" w:rsidR="00A5671F" w:rsidRPr="00273819" w:rsidRDefault="00A3141E" w:rsidP="00E41A5B">
      <w:pPr>
        <w:jc w:val="both"/>
        <w:rPr>
          <w:rFonts w:ascii="Arial" w:hAnsi="Arial" w:cs="Arial"/>
          <w:sz w:val="20"/>
          <w:szCs w:val="20"/>
        </w:rPr>
      </w:pPr>
      <w:r w:rsidRPr="00273819">
        <w:rPr>
          <w:rFonts w:ascii="Arial" w:hAnsi="Arial" w:cs="Arial"/>
          <w:sz w:val="20"/>
          <w:szCs w:val="20"/>
        </w:rPr>
        <w:t xml:space="preserve">The HKEX requires a meaningful offer size, including both the placing tranche and public subscription tranche, for listing a Specialist Technology Company. It could disapprove a listing if </w:t>
      </w:r>
      <w:r w:rsidR="006E2FB8" w:rsidRPr="00273819">
        <w:rPr>
          <w:rFonts w:ascii="Arial" w:hAnsi="Arial" w:cs="Arial"/>
          <w:sz w:val="20"/>
          <w:szCs w:val="20"/>
        </w:rPr>
        <w:t xml:space="preserve">the </w:t>
      </w:r>
      <w:r w:rsidRPr="00273819">
        <w:rPr>
          <w:rFonts w:ascii="Arial" w:hAnsi="Arial" w:cs="Arial"/>
          <w:sz w:val="20"/>
          <w:szCs w:val="20"/>
        </w:rPr>
        <w:t xml:space="preserve">offer size </w:t>
      </w:r>
      <w:r w:rsidR="00C521D4">
        <w:rPr>
          <w:rFonts w:ascii="Arial" w:hAnsi="Arial" w:cs="Arial"/>
          <w:sz w:val="20"/>
          <w:szCs w:val="20"/>
        </w:rPr>
        <w:t xml:space="preserve">is </w:t>
      </w:r>
      <w:r w:rsidR="00C521D4">
        <w:rPr>
          <w:rFonts w:ascii="Arial" w:hAnsi="Arial" w:cs="Arial"/>
          <w:sz w:val="20"/>
          <w:szCs w:val="20"/>
        </w:rPr>
        <w:lastRenderedPageBreak/>
        <w:t>consider</w:t>
      </w:r>
      <w:r w:rsidR="006E2FB8" w:rsidRPr="00273819">
        <w:rPr>
          <w:rFonts w:ascii="Arial" w:hAnsi="Arial" w:cs="Arial"/>
          <w:sz w:val="20"/>
          <w:szCs w:val="20"/>
        </w:rPr>
        <w:t xml:space="preserve">ed </w:t>
      </w:r>
      <w:r w:rsidR="00C521D4">
        <w:rPr>
          <w:rFonts w:ascii="Arial" w:hAnsi="Arial" w:cs="Arial"/>
          <w:sz w:val="20"/>
          <w:szCs w:val="20"/>
        </w:rPr>
        <w:t xml:space="preserve">not </w:t>
      </w:r>
      <w:r w:rsidR="008C1FFF">
        <w:rPr>
          <w:rFonts w:ascii="Arial" w:hAnsi="Arial" w:cs="Arial"/>
          <w:sz w:val="20"/>
          <w:szCs w:val="20"/>
        </w:rPr>
        <w:t>significant</w:t>
      </w:r>
      <w:r w:rsidRPr="00273819">
        <w:rPr>
          <w:rFonts w:ascii="Arial" w:hAnsi="Arial" w:cs="Arial"/>
          <w:sz w:val="20"/>
          <w:szCs w:val="20"/>
        </w:rPr>
        <w:t xml:space="preserve"> </w:t>
      </w:r>
      <w:r w:rsidR="009709A3">
        <w:rPr>
          <w:rFonts w:ascii="Arial" w:hAnsi="Arial" w:cs="Arial"/>
          <w:sz w:val="20"/>
          <w:szCs w:val="20"/>
        </w:rPr>
        <w:t xml:space="preserve">enough </w:t>
      </w:r>
      <w:r w:rsidRPr="00273819">
        <w:rPr>
          <w:rFonts w:ascii="Arial" w:hAnsi="Arial" w:cs="Arial"/>
          <w:sz w:val="20"/>
          <w:szCs w:val="20"/>
        </w:rPr>
        <w:t>to facilitate price discovery</w:t>
      </w:r>
      <w:r w:rsidR="008C1FFF">
        <w:rPr>
          <w:rFonts w:ascii="Arial" w:hAnsi="Arial" w:cs="Arial"/>
          <w:sz w:val="20"/>
          <w:szCs w:val="20"/>
        </w:rPr>
        <w:t>,</w:t>
      </w:r>
      <w:r w:rsidRPr="00273819">
        <w:rPr>
          <w:rFonts w:ascii="Arial" w:hAnsi="Arial" w:cs="Arial"/>
          <w:sz w:val="20"/>
          <w:szCs w:val="20"/>
        </w:rPr>
        <w:t xml:space="preserve"> </w:t>
      </w:r>
      <w:r w:rsidR="009709A3">
        <w:rPr>
          <w:rFonts w:ascii="Arial" w:hAnsi="Arial" w:cs="Arial"/>
          <w:sz w:val="20"/>
          <w:szCs w:val="20"/>
        </w:rPr>
        <w:t>or to</w:t>
      </w:r>
      <w:r w:rsidR="008C1FFF">
        <w:rPr>
          <w:rFonts w:ascii="Arial" w:hAnsi="Arial" w:cs="Arial"/>
          <w:sz w:val="20"/>
          <w:szCs w:val="20"/>
        </w:rPr>
        <w:t xml:space="preserve"> </w:t>
      </w:r>
      <w:r w:rsidR="002C7A9D" w:rsidRPr="00273819">
        <w:rPr>
          <w:rFonts w:ascii="Arial" w:hAnsi="Arial" w:cs="Arial"/>
          <w:sz w:val="20"/>
          <w:szCs w:val="20"/>
        </w:rPr>
        <w:t>otherwise give rise to orderly market concerns</w:t>
      </w:r>
      <w:r w:rsidR="009709A3">
        <w:rPr>
          <w:rFonts w:ascii="Arial" w:hAnsi="Arial" w:cs="Arial"/>
          <w:sz w:val="20"/>
          <w:szCs w:val="20"/>
        </w:rPr>
        <w:t>.</w:t>
      </w:r>
      <w:r w:rsidR="008C1FFF">
        <w:rPr>
          <w:rStyle w:val="a6"/>
          <w:rFonts w:ascii="Arial" w:hAnsi="Arial" w:cs="Arial"/>
          <w:sz w:val="20"/>
          <w:szCs w:val="20"/>
        </w:rPr>
        <w:footnoteReference w:id="21"/>
      </w:r>
      <w:r w:rsidR="00F76EEF" w:rsidRPr="00273819">
        <w:rPr>
          <w:rFonts w:ascii="Arial" w:hAnsi="Arial" w:cs="Arial"/>
          <w:sz w:val="20"/>
          <w:szCs w:val="20"/>
        </w:rPr>
        <w:t xml:space="preserve"> </w:t>
      </w:r>
    </w:p>
    <w:p w14:paraId="4F67169B" w14:textId="77777777" w:rsidR="00A3141E" w:rsidRPr="004B5136" w:rsidRDefault="008716AC" w:rsidP="00A3141E">
      <w:pPr>
        <w:jc w:val="both"/>
        <w:rPr>
          <w:rFonts w:ascii="Arial" w:hAnsi="Arial" w:cs="Arial"/>
          <w:b/>
          <w:sz w:val="20"/>
          <w:szCs w:val="20"/>
        </w:rPr>
      </w:pPr>
      <w:r w:rsidRPr="00273819">
        <w:rPr>
          <w:rFonts w:ascii="Arial" w:hAnsi="Arial" w:cs="Arial"/>
          <w:b/>
          <w:sz w:val="20"/>
          <w:szCs w:val="20"/>
        </w:rPr>
        <w:t xml:space="preserve">Disclosure Requirements </w:t>
      </w:r>
    </w:p>
    <w:p w14:paraId="40DB1871" w14:textId="77777777" w:rsidR="00892A0A" w:rsidRDefault="00B7626B" w:rsidP="004B5136">
      <w:pPr>
        <w:jc w:val="both"/>
        <w:rPr>
          <w:rFonts w:ascii="Arial" w:hAnsi="Arial" w:cs="Arial"/>
          <w:sz w:val="20"/>
          <w:szCs w:val="20"/>
        </w:rPr>
      </w:pPr>
      <w:r w:rsidRPr="00273819">
        <w:rPr>
          <w:rFonts w:ascii="Arial" w:hAnsi="Arial" w:cs="Arial"/>
          <w:sz w:val="20"/>
          <w:szCs w:val="20"/>
        </w:rPr>
        <w:t>Specialist Technology Companies must</w:t>
      </w:r>
      <w:r w:rsidR="00A5671F" w:rsidRPr="004B5136">
        <w:rPr>
          <w:rFonts w:ascii="Arial" w:hAnsi="Arial" w:cs="Arial"/>
          <w:sz w:val="20"/>
          <w:szCs w:val="20"/>
        </w:rPr>
        <w:t xml:space="preserve"> include additional disclosures in their listing documents </w:t>
      </w:r>
      <w:r w:rsidR="009709A3">
        <w:rPr>
          <w:rFonts w:ascii="Arial" w:hAnsi="Arial" w:cs="Arial"/>
          <w:sz w:val="20"/>
          <w:szCs w:val="20"/>
        </w:rPr>
        <w:t xml:space="preserve">as set out in paragraph 70 of the Guidance Letter for Specialist Technology Companies. </w:t>
      </w:r>
      <w:r w:rsidR="00AC4015">
        <w:rPr>
          <w:rFonts w:ascii="Arial" w:hAnsi="Arial" w:cs="Arial"/>
          <w:sz w:val="20"/>
          <w:szCs w:val="20"/>
        </w:rPr>
        <w:t>The information required to be disclosed includes (among others) information on:</w:t>
      </w:r>
      <w:r w:rsidR="009709A3" w:rsidRPr="00273819">
        <w:rPr>
          <w:rFonts w:ascii="Arial" w:hAnsi="Arial" w:cs="Arial"/>
          <w:sz w:val="20"/>
          <w:szCs w:val="20"/>
        </w:rPr>
        <w:t xml:space="preserve"> </w:t>
      </w:r>
      <w:r w:rsidR="00A5671F" w:rsidRPr="004B5136">
        <w:rPr>
          <w:rFonts w:ascii="Arial" w:hAnsi="Arial" w:cs="Arial"/>
          <w:sz w:val="20"/>
          <w:szCs w:val="20"/>
        </w:rPr>
        <w:t>pre-IPO investments</w:t>
      </w:r>
      <w:r w:rsidR="00AC4015">
        <w:rPr>
          <w:rFonts w:ascii="Arial" w:hAnsi="Arial" w:cs="Arial"/>
          <w:sz w:val="20"/>
          <w:szCs w:val="20"/>
        </w:rPr>
        <w:t>; the company’s key Specialist Technology</w:t>
      </w:r>
      <w:r w:rsidR="00A5671F" w:rsidRPr="004B5136">
        <w:rPr>
          <w:rFonts w:ascii="Arial" w:hAnsi="Arial" w:cs="Arial"/>
          <w:sz w:val="20"/>
          <w:szCs w:val="20"/>
        </w:rPr>
        <w:t xml:space="preserve"> </w:t>
      </w:r>
      <w:r w:rsidR="00AC4015">
        <w:rPr>
          <w:rFonts w:ascii="Arial" w:hAnsi="Arial" w:cs="Arial"/>
          <w:sz w:val="20"/>
          <w:szCs w:val="20"/>
        </w:rPr>
        <w:t>P</w:t>
      </w:r>
      <w:r w:rsidR="00A5671F" w:rsidRPr="004B5136">
        <w:rPr>
          <w:rFonts w:ascii="Arial" w:hAnsi="Arial" w:cs="Arial"/>
          <w:sz w:val="20"/>
          <w:szCs w:val="20"/>
        </w:rPr>
        <w:t>roduct</w:t>
      </w:r>
      <w:r w:rsidR="00AC4015">
        <w:rPr>
          <w:rFonts w:ascii="Arial" w:hAnsi="Arial" w:cs="Arial"/>
          <w:sz w:val="20"/>
          <w:szCs w:val="20"/>
        </w:rPr>
        <w:t>(</w:t>
      </w:r>
      <w:r w:rsidR="00A5671F" w:rsidRPr="004B5136">
        <w:rPr>
          <w:rFonts w:ascii="Arial" w:hAnsi="Arial" w:cs="Arial"/>
          <w:sz w:val="20"/>
          <w:szCs w:val="20"/>
        </w:rPr>
        <w:t>s</w:t>
      </w:r>
      <w:r w:rsidR="00AC4015">
        <w:rPr>
          <w:rFonts w:ascii="Arial" w:hAnsi="Arial" w:cs="Arial"/>
          <w:sz w:val="20"/>
          <w:szCs w:val="20"/>
        </w:rPr>
        <w:t>);</w:t>
      </w:r>
      <w:r w:rsidR="00A5671F" w:rsidRPr="004B5136">
        <w:rPr>
          <w:rFonts w:ascii="Arial" w:hAnsi="Arial" w:cs="Arial"/>
          <w:sz w:val="20"/>
          <w:szCs w:val="20"/>
        </w:rPr>
        <w:t xml:space="preserve"> </w:t>
      </w:r>
      <w:r w:rsidR="00AC4015">
        <w:rPr>
          <w:rFonts w:ascii="Arial" w:hAnsi="Arial" w:cs="Arial"/>
          <w:sz w:val="20"/>
          <w:szCs w:val="20"/>
        </w:rPr>
        <w:t xml:space="preserve">the </w:t>
      </w:r>
      <w:proofErr w:type="spellStart"/>
      <w:r w:rsidR="00A5671F" w:rsidRPr="004B5136">
        <w:rPr>
          <w:rFonts w:ascii="Arial" w:hAnsi="Arial" w:cs="Arial"/>
          <w:sz w:val="20"/>
          <w:szCs w:val="20"/>
        </w:rPr>
        <w:t>commercialisation</w:t>
      </w:r>
      <w:proofErr w:type="spellEnd"/>
      <w:r w:rsidR="00A5671F" w:rsidRPr="004B5136">
        <w:rPr>
          <w:rFonts w:ascii="Arial" w:hAnsi="Arial" w:cs="Arial"/>
          <w:sz w:val="20"/>
          <w:szCs w:val="20"/>
        </w:rPr>
        <w:t xml:space="preserve"> status and prospects</w:t>
      </w:r>
      <w:r w:rsidR="00AC4015">
        <w:rPr>
          <w:rFonts w:ascii="Arial" w:hAnsi="Arial" w:cs="Arial"/>
          <w:sz w:val="20"/>
          <w:szCs w:val="20"/>
        </w:rPr>
        <w:t xml:space="preserve"> of each Specialist Technology</w:t>
      </w:r>
      <w:r w:rsidR="00AC4015" w:rsidRPr="004B5136">
        <w:rPr>
          <w:rFonts w:ascii="Arial" w:hAnsi="Arial" w:cs="Arial"/>
          <w:sz w:val="20"/>
          <w:szCs w:val="20"/>
        </w:rPr>
        <w:t xml:space="preserve"> </w:t>
      </w:r>
      <w:r w:rsidR="00AC4015">
        <w:rPr>
          <w:rFonts w:ascii="Arial" w:hAnsi="Arial" w:cs="Arial"/>
          <w:sz w:val="20"/>
          <w:szCs w:val="20"/>
        </w:rPr>
        <w:t>P</w:t>
      </w:r>
      <w:r w:rsidR="00AC4015" w:rsidRPr="004B5136">
        <w:rPr>
          <w:rFonts w:ascii="Arial" w:hAnsi="Arial" w:cs="Arial"/>
          <w:sz w:val="20"/>
          <w:szCs w:val="20"/>
        </w:rPr>
        <w:t>roduct</w:t>
      </w:r>
      <w:r w:rsidR="00A5671F" w:rsidRPr="004B5136">
        <w:rPr>
          <w:rFonts w:ascii="Arial" w:hAnsi="Arial" w:cs="Arial"/>
          <w:sz w:val="20"/>
          <w:szCs w:val="20"/>
        </w:rPr>
        <w:t>, R&amp;D</w:t>
      </w:r>
      <w:r w:rsidR="003E74E0" w:rsidRPr="004B5136">
        <w:rPr>
          <w:rFonts w:ascii="Arial" w:hAnsi="Arial" w:cs="Arial"/>
          <w:sz w:val="20"/>
          <w:szCs w:val="20"/>
        </w:rPr>
        <w:t xml:space="preserve"> expenditure, intellectual property</w:t>
      </w:r>
      <w:r w:rsidR="00195535" w:rsidRPr="00273819">
        <w:rPr>
          <w:rFonts w:ascii="Arial" w:hAnsi="Arial" w:cs="Arial"/>
          <w:sz w:val="20"/>
          <w:szCs w:val="20"/>
        </w:rPr>
        <w:t>,</w:t>
      </w:r>
      <w:r w:rsidR="00B9283C">
        <w:rPr>
          <w:rFonts w:ascii="Arial" w:hAnsi="Arial" w:cs="Arial"/>
          <w:sz w:val="20"/>
          <w:szCs w:val="20"/>
        </w:rPr>
        <w:t xml:space="preserve"> </w:t>
      </w:r>
      <w:r w:rsidR="00AC4015">
        <w:rPr>
          <w:rFonts w:ascii="Arial" w:hAnsi="Arial" w:cs="Arial"/>
          <w:sz w:val="20"/>
          <w:szCs w:val="20"/>
        </w:rPr>
        <w:t>risks and a</w:t>
      </w:r>
      <w:r w:rsidR="003E019C">
        <w:rPr>
          <w:rFonts w:ascii="Arial" w:hAnsi="Arial" w:cs="Arial"/>
          <w:sz w:val="20"/>
          <w:szCs w:val="20"/>
        </w:rPr>
        <w:t xml:space="preserve"> </w:t>
      </w:r>
      <w:r w:rsidR="00A5671F" w:rsidRPr="004B5136">
        <w:rPr>
          <w:rFonts w:ascii="Arial" w:hAnsi="Arial" w:cs="Arial"/>
          <w:sz w:val="20"/>
          <w:szCs w:val="20"/>
        </w:rPr>
        <w:t xml:space="preserve">specified warning </w:t>
      </w:r>
      <w:proofErr w:type="gramStart"/>
      <w:r w:rsidR="00A5671F" w:rsidRPr="004B5136">
        <w:rPr>
          <w:rFonts w:ascii="Arial" w:hAnsi="Arial" w:cs="Arial"/>
          <w:sz w:val="20"/>
          <w:szCs w:val="20"/>
        </w:rPr>
        <w:t>statement</w:t>
      </w:r>
      <w:r w:rsidR="00233CF8">
        <w:rPr>
          <w:rFonts w:ascii="Arial" w:hAnsi="Arial" w:cs="Arial"/>
          <w:sz w:val="20"/>
          <w:szCs w:val="20"/>
        </w:rPr>
        <w:t>s</w:t>
      </w:r>
      <w:proofErr w:type="gramEnd"/>
      <w:r w:rsidR="00A5671F" w:rsidRPr="004B5136">
        <w:rPr>
          <w:rFonts w:ascii="Arial" w:hAnsi="Arial" w:cs="Arial"/>
          <w:sz w:val="20"/>
          <w:szCs w:val="20"/>
        </w:rPr>
        <w:t>.</w:t>
      </w:r>
    </w:p>
    <w:p w14:paraId="3045829D" w14:textId="77777777" w:rsidR="0041311E" w:rsidRDefault="003A48FA" w:rsidP="0041311E">
      <w:pPr>
        <w:jc w:val="both"/>
        <w:rPr>
          <w:rFonts w:ascii="Arial" w:hAnsi="Arial" w:cs="Arial"/>
          <w:sz w:val="20"/>
          <w:szCs w:val="20"/>
        </w:rPr>
      </w:pPr>
      <w:r>
        <w:rPr>
          <w:rFonts w:ascii="Arial" w:hAnsi="Arial" w:cs="Arial"/>
          <w:sz w:val="20"/>
          <w:szCs w:val="20"/>
        </w:rPr>
        <w:t>Apart from the disclosure requirement</w:t>
      </w:r>
      <w:r w:rsidR="008A57E2">
        <w:rPr>
          <w:rFonts w:ascii="Arial" w:hAnsi="Arial" w:cs="Arial"/>
          <w:sz w:val="20"/>
          <w:szCs w:val="20"/>
        </w:rPr>
        <w:t>s</w:t>
      </w:r>
      <w:r>
        <w:rPr>
          <w:rFonts w:ascii="Arial" w:hAnsi="Arial" w:cs="Arial"/>
          <w:sz w:val="20"/>
          <w:szCs w:val="20"/>
        </w:rPr>
        <w:t xml:space="preserve"> set out in the HKEX Listing Rules and the </w:t>
      </w:r>
      <w:r w:rsidR="00AF729D">
        <w:rPr>
          <w:rFonts w:ascii="Arial" w:hAnsi="Arial" w:cs="Arial"/>
          <w:sz w:val="20"/>
          <w:szCs w:val="20"/>
        </w:rPr>
        <w:t>Guidance Letter for Specialist Technology Companies</w:t>
      </w:r>
      <w:r>
        <w:rPr>
          <w:rFonts w:ascii="Arial" w:hAnsi="Arial" w:cs="Arial"/>
          <w:sz w:val="20"/>
          <w:szCs w:val="20"/>
        </w:rPr>
        <w:t xml:space="preserve">, </w:t>
      </w:r>
      <w:r w:rsidRPr="003A48FA">
        <w:rPr>
          <w:rFonts w:ascii="Arial" w:hAnsi="Arial" w:cs="Arial"/>
          <w:sz w:val="20"/>
          <w:szCs w:val="20"/>
        </w:rPr>
        <w:t>Special</w:t>
      </w:r>
      <w:r>
        <w:rPr>
          <w:rFonts w:ascii="Arial" w:hAnsi="Arial" w:cs="Arial"/>
          <w:sz w:val="20"/>
          <w:szCs w:val="20"/>
        </w:rPr>
        <w:t>ist Technology Companies</w:t>
      </w:r>
      <w:r w:rsidRPr="003A48FA">
        <w:rPr>
          <w:rFonts w:ascii="Arial" w:hAnsi="Arial" w:cs="Arial"/>
          <w:sz w:val="20"/>
          <w:szCs w:val="20"/>
        </w:rPr>
        <w:t xml:space="preserve"> must</w:t>
      </w:r>
      <w:r>
        <w:rPr>
          <w:rFonts w:ascii="Arial" w:hAnsi="Arial" w:cs="Arial"/>
          <w:sz w:val="20"/>
          <w:szCs w:val="20"/>
        </w:rPr>
        <w:t xml:space="preserve"> also</w:t>
      </w:r>
      <w:r w:rsidRPr="003A48FA">
        <w:rPr>
          <w:rFonts w:ascii="Arial" w:hAnsi="Arial" w:cs="Arial"/>
          <w:sz w:val="20"/>
          <w:szCs w:val="20"/>
        </w:rPr>
        <w:t xml:space="preserve"> disclose all rele</w:t>
      </w:r>
      <w:r>
        <w:rPr>
          <w:rFonts w:ascii="Arial" w:hAnsi="Arial" w:cs="Arial"/>
          <w:sz w:val="20"/>
          <w:szCs w:val="20"/>
        </w:rPr>
        <w:t xml:space="preserve">vant information in the listing </w:t>
      </w:r>
      <w:r w:rsidRPr="003A48FA">
        <w:rPr>
          <w:rFonts w:ascii="Arial" w:hAnsi="Arial" w:cs="Arial"/>
          <w:sz w:val="20"/>
          <w:szCs w:val="20"/>
        </w:rPr>
        <w:t xml:space="preserve">document to demonstrate that </w:t>
      </w:r>
      <w:r>
        <w:rPr>
          <w:rFonts w:ascii="Arial" w:hAnsi="Arial" w:cs="Arial"/>
          <w:sz w:val="20"/>
          <w:szCs w:val="20"/>
        </w:rPr>
        <w:t>they meet the definition of Specialist Technology Companies</w:t>
      </w:r>
      <w:r w:rsidRPr="003A48FA">
        <w:rPr>
          <w:rFonts w:ascii="Arial" w:hAnsi="Arial" w:cs="Arial"/>
          <w:sz w:val="20"/>
          <w:szCs w:val="20"/>
        </w:rPr>
        <w:t>,</w:t>
      </w:r>
      <w:r>
        <w:rPr>
          <w:rFonts w:ascii="Arial" w:hAnsi="Arial" w:cs="Arial"/>
          <w:sz w:val="20"/>
          <w:szCs w:val="20"/>
        </w:rPr>
        <w:t xml:space="preserve"> </w:t>
      </w:r>
      <w:r w:rsidRPr="003A48FA">
        <w:rPr>
          <w:rFonts w:ascii="Arial" w:hAnsi="Arial" w:cs="Arial"/>
          <w:sz w:val="20"/>
          <w:szCs w:val="20"/>
        </w:rPr>
        <w:t xml:space="preserve">the suitability and eligibility criteria and the requirements for listing as </w:t>
      </w:r>
      <w:r w:rsidR="0041311E">
        <w:rPr>
          <w:rFonts w:ascii="Arial" w:hAnsi="Arial" w:cs="Arial"/>
          <w:sz w:val="20"/>
          <w:szCs w:val="20"/>
        </w:rPr>
        <w:t>specified</w:t>
      </w:r>
      <w:r w:rsidRPr="003A48FA">
        <w:rPr>
          <w:rFonts w:ascii="Arial" w:hAnsi="Arial" w:cs="Arial"/>
          <w:sz w:val="20"/>
          <w:szCs w:val="20"/>
        </w:rPr>
        <w:t xml:space="preserve"> in Chapter</w:t>
      </w:r>
      <w:r w:rsidR="0041311E">
        <w:rPr>
          <w:rFonts w:ascii="Arial" w:hAnsi="Arial" w:cs="Arial"/>
          <w:sz w:val="20"/>
          <w:szCs w:val="20"/>
        </w:rPr>
        <w:t xml:space="preserve"> 18C of the HKEX Listing Rules and the guidance letter. These include: </w:t>
      </w:r>
    </w:p>
    <w:p w14:paraId="75B09986" w14:textId="77777777" w:rsidR="0041311E" w:rsidRPr="007039FA" w:rsidRDefault="0041311E" w:rsidP="007039FA">
      <w:pPr>
        <w:pStyle w:val="a3"/>
        <w:numPr>
          <w:ilvl w:val="0"/>
          <w:numId w:val="39"/>
        </w:numPr>
        <w:jc w:val="both"/>
        <w:rPr>
          <w:rFonts w:ascii="Arial" w:hAnsi="Arial" w:cs="Arial"/>
          <w:sz w:val="20"/>
          <w:szCs w:val="20"/>
        </w:rPr>
      </w:pPr>
      <w:r w:rsidRPr="007039FA">
        <w:rPr>
          <w:rFonts w:ascii="Arial" w:hAnsi="Arial" w:cs="Arial"/>
          <w:sz w:val="20"/>
          <w:szCs w:val="20"/>
        </w:rPr>
        <w:t xml:space="preserve">the Specialist Technology Industry and the acceptable sector that they fall within; and </w:t>
      </w:r>
    </w:p>
    <w:p w14:paraId="12FE9761" w14:textId="77777777" w:rsidR="003A48FA" w:rsidRPr="007039FA" w:rsidRDefault="0041311E" w:rsidP="007039FA">
      <w:pPr>
        <w:pStyle w:val="a3"/>
        <w:numPr>
          <w:ilvl w:val="0"/>
          <w:numId w:val="39"/>
        </w:numPr>
        <w:jc w:val="both"/>
        <w:rPr>
          <w:rFonts w:ascii="Arial" w:hAnsi="Arial" w:cs="Arial"/>
          <w:sz w:val="20"/>
          <w:szCs w:val="20"/>
        </w:rPr>
      </w:pPr>
      <w:r w:rsidRPr="007039FA">
        <w:rPr>
          <w:rFonts w:ascii="Arial" w:hAnsi="Arial" w:cs="Arial"/>
          <w:sz w:val="20"/>
          <w:szCs w:val="20"/>
        </w:rPr>
        <w:t>the identity, timing of investment, shareholding and/or investment amount (where applicable) of the relevant sophisticated independent investors for the purpose of the third party investment</w:t>
      </w:r>
      <w:r w:rsidR="00E77869">
        <w:rPr>
          <w:rFonts w:ascii="Arial" w:hAnsi="Arial" w:cs="Arial"/>
          <w:sz w:val="20"/>
          <w:szCs w:val="20"/>
        </w:rPr>
        <w:t xml:space="preserve"> requirement</w:t>
      </w:r>
      <w:r w:rsidRPr="007039FA">
        <w:rPr>
          <w:rFonts w:ascii="Arial" w:hAnsi="Arial" w:cs="Arial"/>
          <w:sz w:val="20"/>
          <w:szCs w:val="20"/>
        </w:rPr>
        <w:t xml:space="preserve">. </w:t>
      </w:r>
    </w:p>
    <w:p w14:paraId="4C0214B7" w14:textId="77777777" w:rsidR="00233CF8" w:rsidRDefault="008716AC" w:rsidP="00951A26">
      <w:pPr>
        <w:jc w:val="both"/>
        <w:rPr>
          <w:rFonts w:ascii="Arial" w:hAnsi="Arial" w:cs="Arial"/>
          <w:b/>
          <w:sz w:val="20"/>
          <w:szCs w:val="20"/>
        </w:rPr>
      </w:pPr>
      <w:r w:rsidRPr="00034EF3">
        <w:rPr>
          <w:rFonts w:ascii="Arial" w:hAnsi="Arial" w:cs="Arial"/>
          <w:b/>
          <w:sz w:val="20"/>
          <w:szCs w:val="20"/>
        </w:rPr>
        <w:t xml:space="preserve">Liquidity Arrangements </w:t>
      </w:r>
      <w:r>
        <w:rPr>
          <w:rFonts w:ascii="Arial" w:hAnsi="Arial" w:cs="Arial"/>
          <w:b/>
          <w:sz w:val="20"/>
          <w:szCs w:val="20"/>
        </w:rPr>
        <w:t>f</w:t>
      </w:r>
      <w:r w:rsidRPr="00034EF3">
        <w:rPr>
          <w:rFonts w:ascii="Arial" w:hAnsi="Arial" w:cs="Arial"/>
          <w:b/>
          <w:sz w:val="20"/>
          <w:szCs w:val="20"/>
        </w:rPr>
        <w:t>or App</w:t>
      </w:r>
      <w:r>
        <w:rPr>
          <w:rFonts w:ascii="Arial" w:hAnsi="Arial" w:cs="Arial"/>
          <w:b/>
          <w:sz w:val="20"/>
          <w:szCs w:val="20"/>
        </w:rPr>
        <w:t xml:space="preserve">licants Listed on Another Stock </w:t>
      </w:r>
      <w:r w:rsidRPr="00034EF3">
        <w:rPr>
          <w:rFonts w:ascii="Arial" w:hAnsi="Arial" w:cs="Arial"/>
          <w:b/>
          <w:sz w:val="20"/>
          <w:szCs w:val="20"/>
        </w:rPr>
        <w:t>Exchange</w:t>
      </w:r>
    </w:p>
    <w:p w14:paraId="06E19E54" w14:textId="77777777" w:rsidR="00406ACA" w:rsidRPr="00233CF8" w:rsidRDefault="00406ACA" w:rsidP="00951A26">
      <w:pPr>
        <w:jc w:val="both"/>
        <w:rPr>
          <w:rFonts w:ascii="Arial" w:hAnsi="Arial" w:cs="Arial"/>
          <w:b/>
          <w:sz w:val="20"/>
          <w:szCs w:val="20"/>
        </w:rPr>
      </w:pPr>
      <w:r w:rsidRPr="00406ACA">
        <w:rPr>
          <w:rFonts w:ascii="Arial" w:hAnsi="Arial" w:cs="Arial"/>
          <w:sz w:val="20"/>
          <w:szCs w:val="20"/>
        </w:rPr>
        <w:t xml:space="preserve">When seeking to list </w:t>
      </w:r>
      <w:r>
        <w:rPr>
          <w:rFonts w:ascii="Arial" w:hAnsi="Arial" w:cs="Arial"/>
          <w:sz w:val="20"/>
          <w:szCs w:val="20"/>
        </w:rPr>
        <w:t>securities in Hong Kong</w:t>
      </w:r>
      <w:r w:rsidRPr="00406ACA">
        <w:rPr>
          <w:rFonts w:ascii="Arial" w:hAnsi="Arial" w:cs="Arial"/>
          <w:sz w:val="20"/>
          <w:szCs w:val="20"/>
        </w:rPr>
        <w:t>, whether accompanied by an offer or not, applicants who already have securities listed on another</w:t>
      </w:r>
      <w:r>
        <w:rPr>
          <w:rFonts w:ascii="Arial" w:hAnsi="Arial" w:cs="Arial"/>
          <w:sz w:val="20"/>
          <w:szCs w:val="20"/>
        </w:rPr>
        <w:t xml:space="preserve"> stock</w:t>
      </w:r>
      <w:r w:rsidRPr="00406ACA">
        <w:rPr>
          <w:rFonts w:ascii="Arial" w:hAnsi="Arial" w:cs="Arial"/>
          <w:sz w:val="20"/>
          <w:szCs w:val="20"/>
        </w:rPr>
        <w:t xml:space="preserve"> exchange</w:t>
      </w:r>
      <w:r w:rsidR="00951A26" w:rsidRPr="00951A26">
        <w:t xml:space="preserve"> </w:t>
      </w:r>
      <w:r w:rsidR="00951A26" w:rsidRPr="00951A26">
        <w:rPr>
          <w:rFonts w:ascii="Arial" w:hAnsi="Arial" w:cs="Arial"/>
          <w:sz w:val="20"/>
          <w:szCs w:val="20"/>
        </w:rPr>
        <w:t xml:space="preserve">(which are, or represent, shares in the same class as the shares </w:t>
      </w:r>
      <w:r w:rsidR="00951A26">
        <w:rPr>
          <w:rFonts w:ascii="Arial" w:hAnsi="Arial" w:cs="Arial"/>
          <w:sz w:val="20"/>
          <w:szCs w:val="20"/>
        </w:rPr>
        <w:t xml:space="preserve">for which listing is sought on </w:t>
      </w:r>
      <w:r w:rsidR="00951A26" w:rsidRPr="00951A26">
        <w:rPr>
          <w:rFonts w:ascii="Arial" w:hAnsi="Arial" w:cs="Arial"/>
          <w:sz w:val="20"/>
          <w:szCs w:val="20"/>
        </w:rPr>
        <w:t xml:space="preserve">the </w:t>
      </w:r>
      <w:r w:rsidR="00951A26">
        <w:rPr>
          <w:rFonts w:ascii="Arial" w:hAnsi="Arial" w:cs="Arial"/>
          <w:sz w:val="20"/>
          <w:szCs w:val="20"/>
        </w:rPr>
        <w:t>HKEX</w:t>
      </w:r>
      <w:r w:rsidR="00951A26" w:rsidRPr="00951A26">
        <w:rPr>
          <w:rFonts w:ascii="Arial" w:hAnsi="Arial" w:cs="Arial"/>
          <w:sz w:val="20"/>
          <w:szCs w:val="20"/>
        </w:rPr>
        <w:t>)</w:t>
      </w:r>
      <w:r w:rsidR="00951A26">
        <w:rPr>
          <w:rFonts w:ascii="Arial" w:hAnsi="Arial" w:cs="Arial"/>
          <w:sz w:val="20"/>
          <w:szCs w:val="20"/>
        </w:rPr>
        <w:t xml:space="preserve"> </w:t>
      </w:r>
      <w:r w:rsidRPr="00406ACA">
        <w:rPr>
          <w:rFonts w:ascii="Arial" w:hAnsi="Arial" w:cs="Arial"/>
          <w:sz w:val="20"/>
          <w:szCs w:val="20"/>
        </w:rPr>
        <w:t xml:space="preserve">must consider if there will be </w:t>
      </w:r>
      <w:r>
        <w:rPr>
          <w:rFonts w:ascii="Arial" w:hAnsi="Arial" w:cs="Arial"/>
          <w:sz w:val="20"/>
          <w:szCs w:val="20"/>
        </w:rPr>
        <w:t xml:space="preserve">an open market </w:t>
      </w:r>
      <w:r w:rsidRPr="00406ACA">
        <w:rPr>
          <w:rFonts w:ascii="Arial" w:hAnsi="Arial" w:cs="Arial"/>
          <w:sz w:val="20"/>
          <w:szCs w:val="20"/>
        </w:rPr>
        <w:t>in the securities for which listing is sought.</w:t>
      </w:r>
      <w:r>
        <w:rPr>
          <w:rFonts w:ascii="Arial" w:hAnsi="Arial" w:cs="Arial"/>
          <w:sz w:val="20"/>
          <w:szCs w:val="20"/>
        </w:rPr>
        <w:t xml:space="preserve"> </w:t>
      </w:r>
      <w:r w:rsidRPr="00406ACA">
        <w:rPr>
          <w:rFonts w:ascii="Arial" w:hAnsi="Arial" w:cs="Arial"/>
          <w:sz w:val="20"/>
          <w:szCs w:val="20"/>
        </w:rPr>
        <w:t xml:space="preserve">If necessary, suitable arrangements </w:t>
      </w:r>
      <w:r w:rsidR="00233CF8">
        <w:rPr>
          <w:rFonts w:ascii="Arial" w:hAnsi="Arial" w:cs="Arial"/>
          <w:sz w:val="20"/>
          <w:szCs w:val="20"/>
        </w:rPr>
        <w:t xml:space="preserve">to facilitate the liquidity of their share </w:t>
      </w:r>
      <w:r w:rsidRPr="00406ACA">
        <w:rPr>
          <w:rFonts w:ascii="Arial" w:hAnsi="Arial" w:cs="Arial"/>
          <w:sz w:val="20"/>
          <w:szCs w:val="20"/>
        </w:rPr>
        <w:t>s</w:t>
      </w:r>
      <w:r>
        <w:rPr>
          <w:rFonts w:ascii="Arial" w:hAnsi="Arial" w:cs="Arial"/>
          <w:sz w:val="20"/>
          <w:szCs w:val="20"/>
        </w:rPr>
        <w:t>hould be made to meet Hong Kong</w:t>
      </w:r>
      <w:r w:rsidRPr="00406ACA">
        <w:rPr>
          <w:rFonts w:ascii="Arial" w:hAnsi="Arial" w:cs="Arial"/>
          <w:sz w:val="20"/>
          <w:szCs w:val="20"/>
        </w:rPr>
        <w:t xml:space="preserve"> market demand.</w:t>
      </w:r>
      <w:r w:rsidR="0076296C">
        <w:rPr>
          <w:rFonts w:ascii="Arial" w:hAnsi="Arial" w:cs="Arial"/>
          <w:b/>
          <w:sz w:val="20"/>
          <w:szCs w:val="20"/>
        </w:rPr>
        <w:t xml:space="preserve"> </w:t>
      </w:r>
      <w:r w:rsidRPr="00406ACA">
        <w:rPr>
          <w:rFonts w:ascii="Arial" w:hAnsi="Arial" w:cs="Arial"/>
          <w:sz w:val="20"/>
          <w:szCs w:val="20"/>
        </w:rPr>
        <w:t>This requirement aims to ensure fair and orderly trading of the listed shares</w:t>
      </w:r>
      <w:r w:rsidR="0076296C">
        <w:rPr>
          <w:rFonts w:ascii="Arial" w:hAnsi="Arial" w:cs="Arial"/>
          <w:sz w:val="20"/>
          <w:szCs w:val="20"/>
        </w:rPr>
        <w:t>.</w:t>
      </w:r>
      <w:r w:rsidR="006724C2">
        <w:rPr>
          <w:rStyle w:val="a6"/>
          <w:rFonts w:ascii="Arial" w:hAnsi="Arial" w:cs="Arial"/>
          <w:sz w:val="20"/>
          <w:szCs w:val="20"/>
        </w:rPr>
        <w:footnoteReference w:id="22"/>
      </w:r>
    </w:p>
    <w:p w14:paraId="1883BAEF" w14:textId="77777777" w:rsidR="00034EF3" w:rsidRPr="004B5136" w:rsidRDefault="00406ACA" w:rsidP="00406ACA">
      <w:pPr>
        <w:jc w:val="both"/>
        <w:rPr>
          <w:rFonts w:ascii="Arial" w:hAnsi="Arial" w:cs="Arial"/>
          <w:sz w:val="20"/>
          <w:szCs w:val="20"/>
        </w:rPr>
      </w:pPr>
      <w:r w:rsidRPr="00406ACA">
        <w:rPr>
          <w:rFonts w:ascii="Arial" w:hAnsi="Arial" w:cs="Arial"/>
          <w:sz w:val="20"/>
          <w:szCs w:val="20"/>
        </w:rPr>
        <w:t xml:space="preserve">Specialist Technology Companies planning to list by introduction must comply with existing guidance on liquidity arrangements </w:t>
      </w:r>
      <w:r w:rsidR="00951A26">
        <w:rPr>
          <w:rFonts w:ascii="Arial" w:hAnsi="Arial" w:cs="Arial"/>
          <w:sz w:val="20"/>
          <w:szCs w:val="20"/>
        </w:rPr>
        <w:t>(</w:t>
      </w:r>
      <w:hyperlink r:id="rId13" w:history="1">
        <w:r w:rsidR="00951A26" w:rsidRPr="00951A26">
          <w:rPr>
            <w:rStyle w:val="a7"/>
            <w:rFonts w:ascii="Arial" w:hAnsi="Arial" w:cs="Arial"/>
            <w:sz w:val="20"/>
            <w:szCs w:val="20"/>
          </w:rPr>
          <w:t>Guidance Letter HKEX-GL53-13</w:t>
        </w:r>
      </w:hyperlink>
      <w:r w:rsidR="00951A26">
        <w:rPr>
          <w:rFonts w:ascii="Arial" w:hAnsi="Arial" w:cs="Arial"/>
          <w:sz w:val="20"/>
          <w:szCs w:val="20"/>
        </w:rPr>
        <w:t xml:space="preserve">) </w:t>
      </w:r>
      <w:r w:rsidRPr="00406ACA">
        <w:rPr>
          <w:rFonts w:ascii="Arial" w:hAnsi="Arial" w:cs="Arial"/>
          <w:sz w:val="20"/>
          <w:szCs w:val="20"/>
        </w:rPr>
        <w:t>during the initial l</w:t>
      </w:r>
      <w:r w:rsidR="00951A26">
        <w:rPr>
          <w:rFonts w:ascii="Arial" w:hAnsi="Arial" w:cs="Arial"/>
          <w:sz w:val="20"/>
          <w:szCs w:val="20"/>
        </w:rPr>
        <w:t>isting period to meet Hong Kong</w:t>
      </w:r>
      <w:r w:rsidRPr="00406ACA">
        <w:rPr>
          <w:rFonts w:ascii="Arial" w:hAnsi="Arial" w:cs="Arial"/>
          <w:sz w:val="20"/>
          <w:szCs w:val="20"/>
        </w:rPr>
        <w:t xml:space="preserve"> market demand.</w:t>
      </w:r>
      <w:r>
        <w:rPr>
          <w:rFonts w:ascii="Arial" w:hAnsi="Arial" w:cs="Arial"/>
          <w:sz w:val="20"/>
          <w:szCs w:val="20"/>
        </w:rPr>
        <w:t xml:space="preserve"> </w:t>
      </w:r>
    </w:p>
    <w:p w14:paraId="10A72211" w14:textId="77777777" w:rsidR="00B769F8" w:rsidRPr="00273819" w:rsidRDefault="008716AC" w:rsidP="006154E0">
      <w:pPr>
        <w:jc w:val="both"/>
        <w:rPr>
          <w:rFonts w:ascii="Arial" w:hAnsi="Arial" w:cs="Arial"/>
          <w:b/>
          <w:sz w:val="20"/>
          <w:szCs w:val="20"/>
        </w:rPr>
      </w:pPr>
      <w:r>
        <w:rPr>
          <w:rFonts w:ascii="Arial" w:hAnsi="Arial" w:cs="Arial"/>
          <w:b/>
          <w:sz w:val="20"/>
          <w:szCs w:val="20"/>
        </w:rPr>
        <w:t>Initial Retail Allocation a</w:t>
      </w:r>
      <w:r w:rsidRPr="00273819">
        <w:rPr>
          <w:rFonts w:ascii="Arial" w:hAnsi="Arial" w:cs="Arial"/>
          <w:b/>
          <w:sz w:val="20"/>
          <w:szCs w:val="20"/>
        </w:rPr>
        <w:t xml:space="preserve">nd </w:t>
      </w:r>
      <w:proofErr w:type="spellStart"/>
      <w:r w:rsidRPr="00273819">
        <w:rPr>
          <w:rFonts w:ascii="Arial" w:hAnsi="Arial" w:cs="Arial"/>
          <w:b/>
          <w:sz w:val="20"/>
          <w:szCs w:val="20"/>
        </w:rPr>
        <w:t>Clawback</w:t>
      </w:r>
      <w:proofErr w:type="spellEnd"/>
      <w:r w:rsidRPr="00273819">
        <w:rPr>
          <w:rFonts w:ascii="Arial" w:hAnsi="Arial" w:cs="Arial"/>
          <w:b/>
          <w:sz w:val="20"/>
          <w:szCs w:val="20"/>
        </w:rPr>
        <w:t xml:space="preserve"> Mechanism</w:t>
      </w:r>
    </w:p>
    <w:p w14:paraId="76D2A556" w14:textId="77777777" w:rsidR="00A01CB3" w:rsidRPr="00273819" w:rsidRDefault="00A01CB3" w:rsidP="006154E0">
      <w:pPr>
        <w:jc w:val="both"/>
        <w:rPr>
          <w:rFonts w:ascii="Arial" w:hAnsi="Arial" w:cs="Arial"/>
          <w:sz w:val="20"/>
          <w:szCs w:val="20"/>
        </w:rPr>
      </w:pPr>
      <w:r w:rsidRPr="00273819">
        <w:rPr>
          <w:rFonts w:ascii="Arial" w:hAnsi="Arial" w:cs="Arial"/>
          <w:sz w:val="20"/>
          <w:szCs w:val="20"/>
        </w:rPr>
        <w:t xml:space="preserve">A modified initial allocation and </w:t>
      </w:r>
      <w:proofErr w:type="spellStart"/>
      <w:r w:rsidRPr="00273819">
        <w:rPr>
          <w:rFonts w:ascii="Arial" w:hAnsi="Arial" w:cs="Arial"/>
          <w:sz w:val="20"/>
          <w:szCs w:val="20"/>
        </w:rPr>
        <w:t>clawback</w:t>
      </w:r>
      <w:proofErr w:type="spellEnd"/>
      <w:r w:rsidRPr="00273819">
        <w:rPr>
          <w:rFonts w:ascii="Arial" w:hAnsi="Arial" w:cs="Arial"/>
          <w:sz w:val="20"/>
          <w:szCs w:val="20"/>
        </w:rPr>
        <w:t xml:space="preserve"> mechanism will apply to Specialist Technology Companies as </w:t>
      </w:r>
      <w:proofErr w:type="spellStart"/>
      <w:r w:rsidRPr="00273819">
        <w:rPr>
          <w:rFonts w:ascii="Arial" w:hAnsi="Arial" w:cs="Arial"/>
          <w:sz w:val="20"/>
          <w:szCs w:val="20"/>
        </w:rPr>
        <w:t>summarised</w:t>
      </w:r>
      <w:proofErr w:type="spellEnd"/>
      <w:r w:rsidRPr="00273819">
        <w:rPr>
          <w:rFonts w:ascii="Arial" w:hAnsi="Arial" w:cs="Arial"/>
          <w:sz w:val="20"/>
          <w:szCs w:val="20"/>
        </w:rPr>
        <w:t xml:space="preserve"> in the table below:</w:t>
      </w:r>
    </w:p>
    <w:tbl>
      <w:tblPr>
        <w:tblStyle w:val="ac"/>
        <w:tblW w:w="9351" w:type="dxa"/>
        <w:tblBorders>
          <w:right w:val="none" w:sz="0" w:space="0" w:color="auto"/>
        </w:tblBorders>
        <w:tblLook w:val="04A0" w:firstRow="1" w:lastRow="0" w:firstColumn="1" w:lastColumn="0" w:noHBand="0" w:noVBand="1"/>
      </w:tblPr>
      <w:tblGrid>
        <w:gridCol w:w="3916"/>
        <w:gridCol w:w="739"/>
        <w:gridCol w:w="2300"/>
        <w:gridCol w:w="2396"/>
      </w:tblGrid>
      <w:tr w:rsidR="00A01CB3" w:rsidRPr="00273819" w14:paraId="02963E6D" w14:textId="77777777" w:rsidTr="00BB6621">
        <w:tc>
          <w:tcPr>
            <w:tcW w:w="3916" w:type="dxa"/>
            <w:vMerge w:val="restart"/>
          </w:tcPr>
          <w:p w14:paraId="0A1DD92B" w14:textId="77777777" w:rsidR="00A01CB3" w:rsidRPr="00273819" w:rsidRDefault="00A01CB3" w:rsidP="006154E0">
            <w:pPr>
              <w:jc w:val="both"/>
              <w:rPr>
                <w:rFonts w:ascii="Arial" w:hAnsi="Arial" w:cs="Arial"/>
                <w:sz w:val="20"/>
                <w:szCs w:val="20"/>
              </w:rPr>
            </w:pPr>
          </w:p>
        </w:tc>
        <w:tc>
          <w:tcPr>
            <w:tcW w:w="739" w:type="dxa"/>
            <w:vMerge w:val="restart"/>
          </w:tcPr>
          <w:p w14:paraId="36210317" w14:textId="77777777" w:rsidR="00A01CB3" w:rsidRPr="00273819" w:rsidRDefault="00A01CB3" w:rsidP="006154E0">
            <w:pPr>
              <w:jc w:val="both"/>
              <w:rPr>
                <w:rFonts w:ascii="Arial" w:hAnsi="Arial" w:cs="Arial"/>
                <w:b/>
                <w:sz w:val="20"/>
                <w:szCs w:val="20"/>
              </w:rPr>
            </w:pPr>
          </w:p>
          <w:p w14:paraId="2B80533D" w14:textId="77777777" w:rsidR="00A01CB3" w:rsidRPr="00273819" w:rsidRDefault="00A01CB3" w:rsidP="006154E0">
            <w:pPr>
              <w:jc w:val="both"/>
              <w:rPr>
                <w:rFonts w:ascii="Arial" w:hAnsi="Arial" w:cs="Arial"/>
                <w:b/>
                <w:sz w:val="20"/>
                <w:szCs w:val="20"/>
              </w:rPr>
            </w:pPr>
            <w:r w:rsidRPr="00273819">
              <w:rPr>
                <w:rFonts w:ascii="Arial" w:hAnsi="Arial" w:cs="Arial"/>
                <w:b/>
                <w:sz w:val="20"/>
                <w:szCs w:val="20"/>
              </w:rPr>
              <w:t>Initial</w:t>
            </w:r>
          </w:p>
        </w:tc>
        <w:tc>
          <w:tcPr>
            <w:tcW w:w="4696" w:type="dxa"/>
            <w:gridSpan w:val="2"/>
            <w:tcBorders>
              <w:right w:val="single" w:sz="4" w:space="0" w:color="auto"/>
            </w:tcBorders>
          </w:tcPr>
          <w:p w14:paraId="75060261" w14:textId="77777777" w:rsidR="00A01CB3" w:rsidRPr="00273819" w:rsidRDefault="00A01CB3" w:rsidP="006154E0">
            <w:pPr>
              <w:jc w:val="both"/>
              <w:rPr>
                <w:rFonts w:ascii="Arial" w:hAnsi="Arial" w:cs="Arial"/>
                <w:b/>
                <w:sz w:val="20"/>
                <w:szCs w:val="20"/>
              </w:rPr>
            </w:pPr>
            <w:r w:rsidRPr="00273819">
              <w:rPr>
                <w:rFonts w:ascii="Arial" w:hAnsi="Arial" w:cs="Arial"/>
                <w:b/>
                <w:sz w:val="20"/>
                <w:szCs w:val="20"/>
              </w:rPr>
              <w:t>No. of times (x) of over-subscription in the public placing tranche</w:t>
            </w:r>
          </w:p>
        </w:tc>
      </w:tr>
      <w:tr w:rsidR="00A01CB3" w:rsidRPr="00273819" w14:paraId="6F7ADA51" w14:textId="77777777" w:rsidTr="00BB6621">
        <w:tc>
          <w:tcPr>
            <w:tcW w:w="3916" w:type="dxa"/>
            <w:vMerge/>
          </w:tcPr>
          <w:p w14:paraId="58E58063" w14:textId="77777777" w:rsidR="00A01CB3" w:rsidRPr="00273819" w:rsidRDefault="00A01CB3" w:rsidP="006154E0">
            <w:pPr>
              <w:jc w:val="both"/>
              <w:rPr>
                <w:rFonts w:ascii="Arial" w:hAnsi="Arial" w:cs="Arial"/>
                <w:sz w:val="20"/>
                <w:szCs w:val="20"/>
              </w:rPr>
            </w:pPr>
          </w:p>
        </w:tc>
        <w:tc>
          <w:tcPr>
            <w:tcW w:w="739" w:type="dxa"/>
            <w:vMerge/>
          </w:tcPr>
          <w:p w14:paraId="777B36EC" w14:textId="77777777" w:rsidR="00A01CB3" w:rsidRPr="00273819" w:rsidRDefault="00A01CB3" w:rsidP="006154E0">
            <w:pPr>
              <w:jc w:val="both"/>
              <w:rPr>
                <w:rFonts w:ascii="Arial" w:hAnsi="Arial" w:cs="Arial"/>
                <w:sz w:val="20"/>
                <w:szCs w:val="20"/>
              </w:rPr>
            </w:pPr>
          </w:p>
        </w:tc>
        <w:tc>
          <w:tcPr>
            <w:tcW w:w="2300" w:type="dxa"/>
          </w:tcPr>
          <w:p w14:paraId="4CF6EE39" w14:textId="77777777" w:rsidR="00A01CB3" w:rsidRPr="00273819" w:rsidRDefault="00A01CB3" w:rsidP="00621B8D">
            <w:pPr>
              <w:jc w:val="center"/>
              <w:rPr>
                <w:rFonts w:ascii="Arial" w:hAnsi="Arial" w:cs="Arial"/>
                <w:b/>
                <w:sz w:val="20"/>
                <w:szCs w:val="20"/>
                <w:u w:val="single"/>
              </w:rPr>
            </w:pPr>
            <w:r w:rsidRPr="00273819">
              <w:rPr>
                <w:rFonts w:ascii="Arial" w:hAnsi="Arial" w:cs="Arial"/>
                <w:b/>
                <w:sz w:val="20"/>
                <w:szCs w:val="20"/>
                <w:u w:val="single"/>
              </w:rPr>
              <w:t>&gt;</w:t>
            </w:r>
            <w:r w:rsidRPr="00273819">
              <w:rPr>
                <w:rFonts w:ascii="Arial" w:hAnsi="Arial" w:cs="Arial"/>
                <w:b/>
                <w:sz w:val="20"/>
                <w:szCs w:val="20"/>
              </w:rPr>
              <w:t xml:space="preserve"> 10x to &lt; 50x</w:t>
            </w:r>
          </w:p>
        </w:tc>
        <w:tc>
          <w:tcPr>
            <w:tcW w:w="2396" w:type="dxa"/>
            <w:tcBorders>
              <w:right w:val="single" w:sz="4" w:space="0" w:color="auto"/>
            </w:tcBorders>
          </w:tcPr>
          <w:p w14:paraId="381DEF87" w14:textId="77777777" w:rsidR="00A01CB3" w:rsidRPr="00273819" w:rsidRDefault="00A01CB3" w:rsidP="00621B8D">
            <w:pPr>
              <w:jc w:val="center"/>
              <w:rPr>
                <w:rFonts w:ascii="Arial" w:hAnsi="Arial" w:cs="Arial"/>
                <w:b/>
                <w:sz w:val="20"/>
                <w:szCs w:val="20"/>
                <w:u w:val="single"/>
              </w:rPr>
            </w:pPr>
            <w:r w:rsidRPr="00273819">
              <w:rPr>
                <w:rFonts w:ascii="Arial" w:hAnsi="Arial" w:cs="Arial"/>
                <w:b/>
                <w:sz w:val="20"/>
                <w:szCs w:val="20"/>
                <w:u w:val="single"/>
              </w:rPr>
              <w:t>&gt;</w:t>
            </w:r>
            <w:r w:rsidRPr="00273819">
              <w:rPr>
                <w:rFonts w:ascii="Arial" w:hAnsi="Arial" w:cs="Arial"/>
                <w:b/>
                <w:sz w:val="20"/>
                <w:szCs w:val="20"/>
              </w:rPr>
              <w:t xml:space="preserve"> 50x</w:t>
            </w:r>
          </w:p>
        </w:tc>
      </w:tr>
      <w:tr w:rsidR="00A01CB3" w:rsidRPr="00273819" w14:paraId="6C884A8C" w14:textId="77777777" w:rsidTr="00BB6621">
        <w:tc>
          <w:tcPr>
            <w:tcW w:w="3916" w:type="dxa"/>
          </w:tcPr>
          <w:p w14:paraId="5716522E" w14:textId="77777777" w:rsidR="00A01CB3" w:rsidRPr="00273819" w:rsidRDefault="00A01CB3" w:rsidP="006154E0">
            <w:pPr>
              <w:jc w:val="both"/>
              <w:rPr>
                <w:rFonts w:ascii="Arial" w:hAnsi="Arial" w:cs="Arial"/>
                <w:b/>
                <w:sz w:val="20"/>
                <w:szCs w:val="20"/>
              </w:rPr>
            </w:pPr>
            <w:r w:rsidRPr="00273819">
              <w:rPr>
                <w:rFonts w:ascii="Arial" w:hAnsi="Arial" w:cs="Arial"/>
                <w:b/>
                <w:sz w:val="20"/>
                <w:szCs w:val="20"/>
              </w:rPr>
              <w:t>Minimum allocation to retail investors as % of total shares offered in IPO</w:t>
            </w:r>
          </w:p>
        </w:tc>
        <w:tc>
          <w:tcPr>
            <w:tcW w:w="739" w:type="dxa"/>
          </w:tcPr>
          <w:p w14:paraId="0E5B9930" w14:textId="77777777" w:rsidR="00A01CB3" w:rsidRPr="00273819" w:rsidRDefault="00A01CB3" w:rsidP="00621B8D">
            <w:pPr>
              <w:jc w:val="center"/>
              <w:rPr>
                <w:rFonts w:ascii="Arial" w:hAnsi="Arial" w:cs="Arial"/>
                <w:sz w:val="20"/>
                <w:szCs w:val="20"/>
              </w:rPr>
            </w:pPr>
          </w:p>
          <w:p w14:paraId="6B107E2F" w14:textId="77777777" w:rsidR="00A01CB3" w:rsidRPr="00273819" w:rsidRDefault="00A01CB3" w:rsidP="00621B8D">
            <w:pPr>
              <w:jc w:val="center"/>
              <w:rPr>
                <w:rFonts w:ascii="Arial" w:hAnsi="Arial" w:cs="Arial"/>
                <w:sz w:val="20"/>
                <w:szCs w:val="20"/>
              </w:rPr>
            </w:pPr>
            <w:r w:rsidRPr="00273819">
              <w:rPr>
                <w:rFonts w:ascii="Arial" w:hAnsi="Arial" w:cs="Arial"/>
                <w:sz w:val="20"/>
                <w:szCs w:val="20"/>
              </w:rPr>
              <w:t>5%</w:t>
            </w:r>
          </w:p>
        </w:tc>
        <w:tc>
          <w:tcPr>
            <w:tcW w:w="2300" w:type="dxa"/>
          </w:tcPr>
          <w:p w14:paraId="72C5B04E" w14:textId="77777777" w:rsidR="00A01CB3" w:rsidRPr="00273819" w:rsidRDefault="00A01CB3" w:rsidP="00621B8D">
            <w:pPr>
              <w:jc w:val="center"/>
              <w:rPr>
                <w:rFonts w:ascii="Arial" w:hAnsi="Arial" w:cs="Arial"/>
                <w:sz w:val="20"/>
                <w:szCs w:val="20"/>
              </w:rPr>
            </w:pPr>
          </w:p>
          <w:p w14:paraId="25099B72" w14:textId="77777777" w:rsidR="00A01CB3" w:rsidRPr="00273819" w:rsidRDefault="00A01CB3" w:rsidP="00621B8D">
            <w:pPr>
              <w:jc w:val="center"/>
              <w:rPr>
                <w:rFonts w:ascii="Arial" w:hAnsi="Arial" w:cs="Arial"/>
                <w:sz w:val="20"/>
                <w:szCs w:val="20"/>
              </w:rPr>
            </w:pPr>
            <w:r w:rsidRPr="00273819">
              <w:rPr>
                <w:rFonts w:ascii="Arial" w:hAnsi="Arial" w:cs="Arial"/>
                <w:sz w:val="20"/>
                <w:szCs w:val="20"/>
              </w:rPr>
              <w:t>10%</w:t>
            </w:r>
          </w:p>
        </w:tc>
        <w:tc>
          <w:tcPr>
            <w:tcW w:w="2396" w:type="dxa"/>
            <w:tcBorders>
              <w:right w:val="single" w:sz="4" w:space="0" w:color="auto"/>
            </w:tcBorders>
          </w:tcPr>
          <w:p w14:paraId="7C9D28AC" w14:textId="77777777" w:rsidR="00A01CB3" w:rsidRPr="00273819" w:rsidRDefault="00A01CB3" w:rsidP="00621B8D">
            <w:pPr>
              <w:jc w:val="center"/>
              <w:rPr>
                <w:rFonts w:ascii="Arial" w:hAnsi="Arial" w:cs="Arial"/>
                <w:sz w:val="20"/>
                <w:szCs w:val="20"/>
              </w:rPr>
            </w:pPr>
          </w:p>
          <w:p w14:paraId="342E3A88" w14:textId="77777777" w:rsidR="00A01CB3" w:rsidRPr="00273819" w:rsidRDefault="00A01CB3" w:rsidP="00621B8D">
            <w:pPr>
              <w:jc w:val="center"/>
              <w:rPr>
                <w:rFonts w:ascii="Arial" w:hAnsi="Arial" w:cs="Arial"/>
                <w:sz w:val="20"/>
                <w:szCs w:val="20"/>
              </w:rPr>
            </w:pPr>
            <w:r w:rsidRPr="00273819">
              <w:rPr>
                <w:rFonts w:ascii="Arial" w:hAnsi="Arial" w:cs="Arial"/>
                <w:sz w:val="20"/>
                <w:szCs w:val="20"/>
              </w:rPr>
              <w:t>20%</w:t>
            </w:r>
          </w:p>
        </w:tc>
      </w:tr>
    </w:tbl>
    <w:p w14:paraId="43A0C037" w14:textId="77777777" w:rsidR="00A01CB3" w:rsidRPr="00273819" w:rsidRDefault="00A01CB3" w:rsidP="006154E0">
      <w:pPr>
        <w:jc w:val="both"/>
        <w:rPr>
          <w:rFonts w:ascii="Arial" w:hAnsi="Arial" w:cs="Arial"/>
          <w:b/>
          <w:sz w:val="20"/>
          <w:szCs w:val="20"/>
        </w:rPr>
      </w:pPr>
    </w:p>
    <w:p w14:paraId="08FAD26E" w14:textId="77777777" w:rsidR="00B620E7" w:rsidRPr="00273819" w:rsidRDefault="00B620E7" w:rsidP="00B620E7">
      <w:pPr>
        <w:jc w:val="both"/>
        <w:rPr>
          <w:rFonts w:ascii="Arial" w:hAnsi="Arial" w:cs="Arial"/>
          <w:b/>
          <w:sz w:val="20"/>
          <w:szCs w:val="20"/>
        </w:rPr>
      </w:pPr>
      <w:r w:rsidRPr="00273819">
        <w:rPr>
          <w:rFonts w:ascii="Arial" w:hAnsi="Arial" w:cs="Arial"/>
          <w:b/>
          <w:sz w:val="20"/>
          <w:szCs w:val="20"/>
        </w:rPr>
        <w:t>Additional Disclosure Requirements for Pre-Commercial Companies</w:t>
      </w:r>
    </w:p>
    <w:p w14:paraId="19676E46" w14:textId="77777777" w:rsidR="00B620E7" w:rsidRPr="00273819" w:rsidRDefault="00B620E7" w:rsidP="00B620E7">
      <w:pPr>
        <w:jc w:val="both"/>
        <w:rPr>
          <w:rFonts w:ascii="Arial" w:hAnsi="Arial" w:cs="Arial"/>
          <w:sz w:val="20"/>
          <w:szCs w:val="20"/>
        </w:rPr>
      </w:pPr>
      <w:r w:rsidRPr="00273819">
        <w:rPr>
          <w:rFonts w:ascii="Arial" w:hAnsi="Arial" w:cs="Arial"/>
          <w:sz w:val="20"/>
          <w:szCs w:val="20"/>
        </w:rPr>
        <w:t>Pre-Commercial Companies will be required to make the following additional disclosures in their listing documents:</w:t>
      </w:r>
    </w:p>
    <w:p w14:paraId="2FFE42A1" w14:textId="77777777" w:rsidR="00B620E7" w:rsidRPr="00273819" w:rsidRDefault="00B620E7" w:rsidP="00B620E7">
      <w:pPr>
        <w:pStyle w:val="a3"/>
        <w:numPr>
          <w:ilvl w:val="0"/>
          <w:numId w:val="28"/>
        </w:numPr>
        <w:jc w:val="both"/>
        <w:rPr>
          <w:rFonts w:ascii="Arial" w:hAnsi="Arial" w:cs="Arial"/>
          <w:sz w:val="20"/>
          <w:szCs w:val="20"/>
        </w:rPr>
      </w:pPr>
      <w:r w:rsidRPr="00273819">
        <w:rPr>
          <w:rFonts w:ascii="Arial" w:hAnsi="Arial" w:cs="Arial"/>
          <w:sz w:val="20"/>
          <w:szCs w:val="20"/>
        </w:rPr>
        <w:t xml:space="preserve">the stage of </w:t>
      </w:r>
      <w:r w:rsidR="007002B5">
        <w:rPr>
          <w:rFonts w:ascii="Arial" w:hAnsi="Arial" w:cs="Arial"/>
          <w:sz w:val="20"/>
          <w:szCs w:val="20"/>
        </w:rPr>
        <w:t>R&amp;D</w:t>
      </w:r>
      <w:r w:rsidRPr="00273819">
        <w:rPr>
          <w:rFonts w:ascii="Arial" w:hAnsi="Arial" w:cs="Arial"/>
          <w:sz w:val="20"/>
          <w:szCs w:val="20"/>
        </w:rPr>
        <w:t xml:space="preserve"> for each Specialist Technology Product</w:t>
      </w:r>
      <w:r w:rsidR="0076760F">
        <w:rPr>
          <w:rFonts w:ascii="Arial" w:hAnsi="Arial" w:cs="Arial"/>
          <w:sz w:val="20"/>
          <w:szCs w:val="20"/>
        </w:rPr>
        <w:t>(s)</w:t>
      </w:r>
      <w:r w:rsidRPr="00273819">
        <w:rPr>
          <w:rFonts w:ascii="Arial" w:hAnsi="Arial" w:cs="Arial"/>
          <w:sz w:val="20"/>
          <w:szCs w:val="20"/>
        </w:rPr>
        <w:t>;</w:t>
      </w:r>
    </w:p>
    <w:p w14:paraId="484EF41A" w14:textId="77777777" w:rsidR="00B620E7" w:rsidRPr="00273819" w:rsidRDefault="00B620E7" w:rsidP="00B620E7">
      <w:pPr>
        <w:pStyle w:val="a3"/>
        <w:numPr>
          <w:ilvl w:val="0"/>
          <w:numId w:val="28"/>
        </w:numPr>
        <w:jc w:val="both"/>
        <w:rPr>
          <w:rFonts w:ascii="Arial" w:hAnsi="Arial" w:cs="Arial"/>
          <w:sz w:val="20"/>
          <w:szCs w:val="20"/>
        </w:rPr>
      </w:pPr>
      <w:r w:rsidRPr="00273819">
        <w:rPr>
          <w:rFonts w:ascii="Arial" w:hAnsi="Arial" w:cs="Arial"/>
          <w:sz w:val="20"/>
          <w:szCs w:val="20"/>
        </w:rPr>
        <w:lastRenderedPageBreak/>
        <w:t xml:space="preserve">development details by key stages and milestones for their </w:t>
      </w:r>
      <w:r w:rsidR="00DE34F9">
        <w:rPr>
          <w:rFonts w:ascii="Arial" w:hAnsi="Arial" w:cs="Arial"/>
          <w:sz w:val="20"/>
          <w:szCs w:val="20"/>
        </w:rPr>
        <w:t xml:space="preserve">key </w:t>
      </w:r>
      <w:r w:rsidRPr="00273819">
        <w:rPr>
          <w:rFonts w:ascii="Arial" w:hAnsi="Arial" w:cs="Arial"/>
          <w:sz w:val="20"/>
          <w:szCs w:val="20"/>
        </w:rPr>
        <w:t xml:space="preserve">Specialist Technology Product(s) to achieve the </w:t>
      </w:r>
      <w:proofErr w:type="spellStart"/>
      <w:r w:rsidRPr="00273819">
        <w:rPr>
          <w:rFonts w:ascii="Arial" w:hAnsi="Arial" w:cs="Arial"/>
          <w:sz w:val="20"/>
          <w:szCs w:val="20"/>
        </w:rPr>
        <w:t>Commercialisation</w:t>
      </w:r>
      <w:proofErr w:type="spellEnd"/>
      <w:r w:rsidRPr="00273819">
        <w:rPr>
          <w:rFonts w:ascii="Arial" w:hAnsi="Arial" w:cs="Arial"/>
          <w:sz w:val="20"/>
          <w:szCs w:val="20"/>
        </w:rPr>
        <w:t xml:space="preserve"> Revenue Threshold;</w:t>
      </w:r>
    </w:p>
    <w:p w14:paraId="17F76C94" w14:textId="77777777" w:rsidR="00B620E7" w:rsidRPr="00273819" w:rsidRDefault="00B620E7" w:rsidP="00B620E7">
      <w:pPr>
        <w:pStyle w:val="a3"/>
        <w:numPr>
          <w:ilvl w:val="0"/>
          <w:numId w:val="28"/>
        </w:numPr>
        <w:jc w:val="both"/>
        <w:rPr>
          <w:rFonts w:ascii="Arial" w:hAnsi="Arial" w:cs="Arial"/>
          <w:sz w:val="20"/>
          <w:szCs w:val="20"/>
        </w:rPr>
      </w:pPr>
      <w:r w:rsidRPr="00273819">
        <w:rPr>
          <w:rFonts w:ascii="Arial" w:hAnsi="Arial" w:cs="Arial"/>
          <w:sz w:val="20"/>
          <w:szCs w:val="20"/>
        </w:rPr>
        <w:t xml:space="preserve">all relevant risks associated with the </w:t>
      </w:r>
      <w:proofErr w:type="spellStart"/>
      <w:r w:rsidRPr="00273819">
        <w:rPr>
          <w:rFonts w:ascii="Arial" w:hAnsi="Arial" w:cs="Arial"/>
          <w:sz w:val="20"/>
          <w:szCs w:val="20"/>
        </w:rPr>
        <w:t>commercialisation</w:t>
      </w:r>
      <w:proofErr w:type="spellEnd"/>
      <w:r w:rsidRPr="00273819">
        <w:rPr>
          <w:rFonts w:ascii="Arial" w:hAnsi="Arial" w:cs="Arial"/>
          <w:sz w:val="20"/>
          <w:szCs w:val="20"/>
        </w:rPr>
        <w:t xml:space="preserve"> of each Specialist Technology Product</w:t>
      </w:r>
      <w:r w:rsidR="0076760F">
        <w:rPr>
          <w:rFonts w:ascii="Arial" w:hAnsi="Arial" w:cs="Arial"/>
          <w:sz w:val="20"/>
          <w:szCs w:val="20"/>
        </w:rPr>
        <w:t>(s)</w:t>
      </w:r>
      <w:r w:rsidRPr="00273819">
        <w:rPr>
          <w:rFonts w:ascii="Arial" w:hAnsi="Arial" w:cs="Arial"/>
          <w:sz w:val="20"/>
          <w:szCs w:val="20"/>
        </w:rPr>
        <w:t xml:space="preserve">; </w:t>
      </w:r>
    </w:p>
    <w:p w14:paraId="0A0D2929" w14:textId="77777777" w:rsidR="00B620E7" w:rsidRPr="00273819" w:rsidRDefault="00B620E7" w:rsidP="00B620E7">
      <w:pPr>
        <w:pStyle w:val="a3"/>
        <w:numPr>
          <w:ilvl w:val="0"/>
          <w:numId w:val="28"/>
        </w:numPr>
        <w:jc w:val="both"/>
        <w:rPr>
          <w:rFonts w:ascii="Arial" w:hAnsi="Arial" w:cs="Arial"/>
          <w:sz w:val="20"/>
          <w:szCs w:val="20"/>
        </w:rPr>
      </w:pPr>
      <w:r w:rsidRPr="00273819">
        <w:rPr>
          <w:rFonts w:ascii="Arial" w:hAnsi="Arial" w:cs="Arial"/>
          <w:sz w:val="20"/>
          <w:szCs w:val="20"/>
        </w:rPr>
        <w:t xml:space="preserve">an additional warning statement </w:t>
      </w:r>
      <w:r w:rsidR="0076760F">
        <w:rPr>
          <w:rFonts w:ascii="Arial" w:hAnsi="Arial" w:cs="Arial"/>
          <w:sz w:val="20"/>
          <w:szCs w:val="20"/>
        </w:rPr>
        <w:t>drawing</w:t>
      </w:r>
      <w:r w:rsidRPr="00273819">
        <w:rPr>
          <w:rFonts w:ascii="Arial" w:hAnsi="Arial" w:cs="Arial"/>
          <w:sz w:val="20"/>
          <w:szCs w:val="20"/>
        </w:rPr>
        <w:t xml:space="preserve"> investors’ attention to the risk that the company may not generate sufficient revenue to sustain its operations after listing and that it may fail due to a lack of available funds; and</w:t>
      </w:r>
    </w:p>
    <w:p w14:paraId="35F0B0A2" w14:textId="77777777" w:rsidR="00B620E7" w:rsidRPr="00273819" w:rsidRDefault="007002B5" w:rsidP="00B620E7">
      <w:pPr>
        <w:pStyle w:val="a3"/>
        <w:numPr>
          <w:ilvl w:val="0"/>
          <w:numId w:val="28"/>
        </w:numPr>
        <w:jc w:val="both"/>
        <w:rPr>
          <w:rFonts w:ascii="Arial" w:hAnsi="Arial" w:cs="Arial"/>
          <w:sz w:val="20"/>
          <w:szCs w:val="20"/>
        </w:rPr>
      </w:pPr>
      <w:r>
        <w:rPr>
          <w:rFonts w:ascii="Arial" w:hAnsi="Arial" w:cs="Arial"/>
          <w:sz w:val="20"/>
          <w:szCs w:val="20"/>
        </w:rPr>
        <w:t>t</w:t>
      </w:r>
      <w:r w:rsidR="00B620E7" w:rsidRPr="00273819">
        <w:rPr>
          <w:rFonts w:ascii="Arial" w:hAnsi="Arial" w:cs="Arial"/>
          <w:sz w:val="20"/>
          <w:szCs w:val="20"/>
        </w:rPr>
        <w:t>he potential earlier expiry of the lock-up periods applicable to the relevant shareholders in the case of the removal of designation as a Pre-Commercial Company</w:t>
      </w:r>
      <w:r w:rsidR="004C7931" w:rsidRPr="00273819">
        <w:rPr>
          <w:rFonts w:ascii="Arial" w:hAnsi="Arial" w:cs="Arial"/>
          <w:sz w:val="20"/>
          <w:szCs w:val="20"/>
        </w:rPr>
        <w:t xml:space="preserve">. </w:t>
      </w:r>
    </w:p>
    <w:p w14:paraId="6DB50D2B" w14:textId="77777777" w:rsidR="007002B5" w:rsidRPr="00273819" w:rsidRDefault="007002B5" w:rsidP="004B5136">
      <w:pPr>
        <w:jc w:val="both"/>
        <w:rPr>
          <w:rFonts w:ascii="Arial" w:hAnsi="Arial" w:cs="Arial"/>
          <w:b/>
          <w:sz w:val="20"/>
          <w:szCs w:val="20"/>
        </w:rPr>
      </w:pPr>
      <w:r w:rsidRPr="00273819">
        <w:rPr>
          <w:rFonts w:ascii="Arial" w:hAnsi="Arial" w:cs="Arial"/>
          <w:b/>
          <w:sz w:val="20"/>
          <w:szCs w:val="20"/>
        </w:rPr>
        <w:t>Subscription of IPO Shares by Existing Shareholders</w:t>
      </w:r>
    </w:p>
    <w:p w14:paraId="55C70E0D" w14:textId="77777777" w:rsidR="007002B5" w:rsidRPr="00A84CCF" w:rsidRDefault="007002B5" w:rsidP="00A84CCF">
      <w:pPr>
        <w:jc w:val="both"/>
        <w:rPr>
          <w:rFonts w:ascii="Arial" w:hAnsi="Arial" w:cs="Arial"/>
          <w:sz w:val="20"/>
          <w:szCs w:val="20"/>
        </w:rPr>
      </w:pPr>
      <w:r w:rsidRPr="00A84CCF">
        <w:rPr>
          <w:rFonts w:ascii="Arial" w:hAnsi="Arial" w:cs="Arial"/>
          <w:sz w:val="20"/>
          <w:szCs w:val="20"/>
        </w:rPr>
        <w:t xml:space="preserve">The HKEX </w:t>
      </w:r>
      <w:r w:rsidR="00DE34F9">
        <w:rPr>
          <w:rFonts w:ascii="Arial" w:hAnsi="Arial" w:cs="Arial"/>
          <w:sz w:val="20"/>
          <w:szCs w:val="20"/>
        </w:rPr>
        <w:t xml:space="preserve">will </w:t>
      </w:r>
      <w:r w:rsidRPr="00A84CCF">
        <w:rPr>
          <w:rFonts w:ascii="Arial" w:hAnsi="Arial" w:cs="Arial"/>
          <w:sz w:val="20"/>
          <w:szCs w:val="20"/>
        </w:rPr>
        <w:t xml:space="preserve">allow existing shareholders of Specialist Technology Companies to subscribe for their IPO </w:t>
      </w:r>
      <w:r w:rsidR="00A84CCF">
        <w:rPr>
          <w:rFonts w:ascii="Arial" w:hAnsi="Arial" w:cs="Arial"/>
          <w:sz w:val="20"/>
          <w:szCs w:val="20"/>
        </w:rPr>
        <w:t>shares provided that the companies meet</w:t>
      </w:r>
      <w:r w:rsidRPr="00A84CCF">
        <w:rPr>
          <w:rFonts w:ascii="Arial" w:hAnsi="Arial" w:cs="Arial"/>
          <w:sz w:val="20"/>
          <w:szCs w:val="20"/>
        </w:rPr>
        <w:t xml:space="preserve"> the public float requirement, the requirement for a minimum allocation to </w:t>
      </w:r>
      <w:r w:rsidR="00A84CCF" w:rsidRPr="00A84CCF">
        <w:rPr>
          <w:rFonts w:ascii="Arial" w:hAnsi="Arial" w:cs="Arial"/>
          <w:sz w:val="20"/>
          <w:szCs w:val="20"/>
        </w:rPr>
        <w:t xml:space="preserve">Independent Price Setting Investors </w:t>
      </w:r>
      <w:r w:rsidRPr="00A84CCF">
        <w:rPr>
          <w:rFonts w:ascii="Arial" w:hAnsi="Arial" w:cs="Arial"/>
          <w:sz w:val="20"/>
          <w:szCs w:val="20"/>
        </w:rPr>
        <w:t xml:space="preserve">and the minimum free float requirement. The “Existing Shareholder Conditions” set out in paragraph 4.20 of </w:t>
      </w:r>
      <w:hyperlink r:id="rId14" w:history="1">
        <w:r w:rsidRPr="00A84CCF">
          <w:rPr>
            <w:rStyle w:val="a7"/>
            <w:rFonts w:ascii="Arial" w:hAnsi="Arial" w:cs="Arial"/>
            <w:sz w:val="20"/>
            <w:szCs w:val="20"/>
          </w:rPr>
          <w:t>HKEX Guidance Letter HKEX-GL85-16</w:t>
        </w:r>
      </w:hyperlink>
      <w:r w:rsidRPr="00A84CCF">
        <w:rPr>
          <w:rFonts w:ascii="Arial" w:hAnsi="Arial" w:cs="Arial"/>
          <w:sz w:val="20"/>
          <w:szCs w:val="20"/>
        </w:rPr>
        <w:t xml:space="preserve"> will not apply to Specialist Te</w:t>
      </w:r>
      <w:r w:rsidR="00DE34F9">
        <w:rPr>
          <w:rFonts w:ascii="Arial" w:hAnsi="Arial" w:cs="Arial"/>
          <w:sz w:val="20"/>
          <w:szCs w:val="20"/>
        </w:rPr>
        <w:t>chnology Companies. Accordingly</w:t>
      </w:r>
      <w:r w:rsidRPr="00A84CCF">
        <w:rPr>
          <w:rFonts w:ascii="Arial" w:hAnsi="Arial" w:cs="Arial"/>
          <w:sz w:val="20"/>
          <w:szCs w:val="20"/>
        </w:rPr>
        <w:t>:</w:t>
      </w:r>
    </w:p>
    <w:p w14:paraId="5072E40F" w14:textId="77777777" w:rsidR="007002B5" w:rsidRDefault="007002B5" w:rsidP="007002B5">
      <w:pPr>
        <w:pStyle w:val="a3"/>
        <w:numPr>
          <w:ilvl w:val="0"/>
          <w:numId w:val="28"/>
        </w:numPr>
        <w:jc w:val="both"/>
        <w:rPr>
          <w:rFonts w:ascii="Arial" w:hAnsi="Arial" w:cs="Arial"/>
          <w:sz w:val="20"/>
          <w:szCs w:val="20"/>
        </w:rPr>
      </w:pPr>
      <w:r w:rsidRPr="00A84CCF">
        <w:rPr>
          <w:rFonts w:ascii="Arial" w:hAnsi="Arial" w:cs="Arial"/>
          <w:sz w:val="20"/>
          <w:szCs w:val="20"/>
        </w:rPr>
        <w:t xml:space="preserve">an existing shareholder holding less than 10% of the shares </w:t>
      </w:r>
      <w:r w:rsidR="00DE34F9">
        <w:rPr>
          <w:rFonts w:ascii="Arial" w:hAnsi="Arial" w:cs="Arial"/>
          <w:sz w:val="20"/>
          <w:szCs w:val="20"/>
        </w:rPr>
        <w:t>in a Specialist Technology Company</w:t>
      </w:r>
      <w:r w:rsidR="00DE34F9" w:rsidRPr="00A84CCF">
        <w:rPr>
          <w:rFonts w:ascii="Arial" w:hAnsi="Arial" w:cs="Arial"/>
          <w:sz w:val="20"/>
          <w:szCs w:val="20"/>
        </w:rPr>
        <w:t xml:space="preserve"> </w:t>
      </w:r>
      <w:r w:rsidRPr="00A84CCF">
        <w:rPr>
          <w:rFonts w:ascii="Arial" w:hAnsi="Arial" w:cs="Arial"/>
          <w:sz w:val="20"/>
          <w:szCs w:val="20"/>
        </w:rPr>
        <w:t xml:space="preserve">before listing in </w:t>
      </w:r>
      <w:r w:rsidR="007039FA">
        <w:rPr>
          <w:rFonts w:ascii="Arial" w:hAnsi="Arial" w:cs="Arial"/>
          <w:sz w:val="20"/>
          <w:szCs w:val="20"/>
        </w:rPr>
        <w:t>the</w:t>
      </w:r>
      <w:r w:rsidRPr="00A84CCF">
        <w:rPr>
          <w:rFonts w:ascii="Arial" w:hAnsi="Arial" w:cs="Arial"/>
          <w:sz w:val="20"/>
          <w:szCs w:val="20"/>
        </w:rPr>
        <w:t xml:space="preserve"> IPO </w:t>
      </w:r>
      <w:r w:rsidR="00DE34F9">
        <w:rPr>
          <w:rFonts w:ascii="Arial" w:hAnsi="Arial" w:cs="Arial"/>
          <w:sz w:val="20"/>
          <w:szCs w:val="20"/>
        </w:rPr>
        <w:t xml:space="preserve">can subscribe for shares in the IPO </w:t>
      </w:r>
      <w:r w:rsidRPr="00A84CCF">
        <w:rPr>
          <w:rFonts w:ascii="Arial" w:hAnsi="Arial" w:cs="Arial"/>
          <w:sz w:val="20"/>
          <w:szCs w:val="20"/>
        </w:rPr>
        <w:t>as either a corn</w:t>
      </w:r>
      <w:r w:rsidR="00DE34F9">
        <w:rPr>
          <w:rFonts w:ascii="Arial" w:hAnsi="Arial" w:cs="Arial"/>
          <w:sz w:val="20"/>
          <w:szCs w:val="20"/>
        </w:rPr>
        <w:t xml:space="preserve">erstone investor or as a </w:t>
      </w:r>
      <w:proofErr w:type="spellStart"/>
      <w:r w:rsidR="00DE34F9">
        <w:rPr>
          <w:rFonts w:ascii="Arial" w:hAnsi="Arial" w:cs="Arial"/>
          <w:sz w:val="20"/>
          <w:szCs w:val="20"/>
        </w:rPr>
        <w:t>placee</w:t>
      </w:r>
      <w:proofErr w:type="spellEnd"/>
      <w:r w:rsidR="00C21D19">
        <w:rPr>
          <w:rFonts w:ascii="Arial" w:hAnsi="Arial" w:cs="Arial"/>
          <w:sz w:val="20"/>
          <w:szCs w:val="20"/>
        </w:rPr>
        <w:t xml:space="preserve">. </w:t>
      </w:r>
      <w:r w:rsidR="00C21D19" w:rsidRPr="00A84CCF">
        <w:rPr>
          <w:rFonts w:ascii="Arial" w:hAnsi="Arial" w:cs="Arial"/>
          <w:sz w:val="20"/>
          <w:szCs w:val="20"/>
        </w:rPr>
        <w:t>Where an existing shareholder subscr</w:t>
      </w:r>
      <w:r w:rsidR="00C21D19">
        <w:rPr>
          <w:rFonts w:ascii="Arial" w:hAnsi="Arial" w:cs="Arial"/>
          <w:sz w:val="20"/>
          <w:szCs w:val="20"/>
        </w:rPr>
        <w:t xml:space="preserve">ibes as a </w:t>
      </w:r>
      <w:proofErr w:type="spellStart"/>
      <w:r w:rsidR="00C21D19">
        <w:rPr>
          <w:rFonts w:ascii="Arial" w:hAnsi="Arial" w:cs="Arial"/>
          <w:sz w:val="20"/>
          <w:szCs w:val="20"/>
        </w:rPr>
        <w:t>placee</w:t>
      </w:r>
      <w:proofErr w:type="spellEnd"/>
      <w:r w:rsidR="00C21D19">
        <w:rPr>
          <w:rFonts w:ascii="Arial" w:hAnsi="Arial" w:cs="Arial"/>
          <w:sz w:val="20"/>
          <w:szCs w:val="20"/>
        </w:rPr>
        <w:t xml:space="preserve">, the applicant, </w:t>
      </w:r>
      <w:r w:rsidR="00C21D19" w:rsidRPr="00A84CCF">
        <w:rPr>
          <w:rFonts w:ascii="Arial" w:hAnsi="Arial" w:cs="Arial"/>
          <w:sz w:val="20"/>
          <w:szCs w:val="20"/>
        </w:rPr>
        <w:t xml:space="preserve">its sponsor </w:t>
      </w:r>
      <w:r w:rsidR="00C21D19">
        <w:rPr>
          <w:rFonts w:ascii="Arial" w:hAnsi="Arial" w:cs="Arial"/>
          <w:sz w:val="20"/>
          <w:szCs w:val="20"/>
        </w:rPr>
        <w:t xml:space="preserve">and overall coordinator </w:t>
      </w:r>
      <w:r w:rsidR="00C21D19" w:rsidRPr="00A84CCF">
        <w:rPr>
          <w:rFonts w:ascii="Arial" w:hAnsi="Arial" w:cs="Arial"/>
          <w:sz w:val="20"/>
          <w:szCs w:val="20"/>
        </w:rPr>
        <w:t xml:space="preserve">must confirm that no </w:t>
      </w:r>
      <w:r w:rsidR="00C21D19">
        <w:rPr>
          <w:rFonts w:ascii="Arial" w:hAnsi="Arial" w:cs="Arial"/>
          <w:sz w:val="20"/>
          <w:szCs w:val="20"/>
        </w:rPr>
        <w:t xml:space="preserve">preference in </w:t>
      </w:r>
      <w:r w:rsidR="00C21D19" w:rsidRPr="00A84CCF">
        <w:rPr>
          <w:rFonts w:ascii="Arial" w:hAnsi="Arial" w:cs="Arial"/>
          <w:sz w:val="20"/>
          <w:szCs w:val="20"/>
        </w:rPr>
        <w:t xml:space="preserve">allocation </w:t>
      </w:r>
      <w:r w:rsidR="00C21D19">
        <w:rPr>
          <w:rFonts w:ascii="Arial" w:hAnsi="Arial" w:cs="Arial"/>
          <w:sz w:val="20"/>
          <w:szCs w:val="20"/>
        </w:rPr>
        <w:t>was given to the existing shareholder</w:t>
      </w:r>
      <w:r w:rsidR="00C21D19" w:rsidRPr="00A84CCF">
        <w:rPr>
          <w:rFonts w:ascii="Arial" w:hAnsi="Arial" w:cs="Arial"/>
          <w:sz w:val="20"/>
          <w:szCs w:val="20"/>
        </w:rPr>
        <w:t>. Where an existing shareholder subscribes as a cornerstone investor, confirmation must be given by the applicant and its sponsor that no preference was given to the existing shareholder other than an ensured entitlement at the IPO price and the terms of the subscription must be substantially the same as those of any other cornerstone investors</w:t>
      </w:r>
      <w:r w:rsidR="00DE34F9">
        <w:rPr>
          <w:rFonts w:ascii="Arial" w:hAnsi="Arial" w:cs="Arial"/>
          <w:sz w:val="20"/>
          <w:szCs w:val="20"/>
        </w:rPr>
        <w:t>; and</w:t>
      </w:r>
    </w:p>
    <w:p w14:paraId="62A3FD65" w14:textId="77777777" w:rsidR="00DE34F9" w:rsidRDefault="00DE34F9" w:rsidP="00DE34F9">
      <w:pPr>
        <w:pStyle w:val="a3"/>
        <w:jc w:val="both"/>
        <w:rPr>
          <w:rFonts w:ascii="Arial" w:hAnsi="Arial" w:cs="Arial"/>
          <w:sz w:val="20"/>
          <w:szCs w:val="20"/>
        </w:rPr>
      </w:pPr>
    </w:p>
    <w:p w14:paraId="483D05C0" w14:textId="77777777" w:rsidR="007002B5" w:rsidRPr="00C21D19" w:rsidRDefault="00DE34F9" w:rsidP="00C21D19">
      <w:pPr>
        <w:pStyle w:val="a3"/>
        <w:numPr>
          <w:ilvl w:val="0"/>
          <w:numId w:val="28"/>
        </w:numPr>
        <w:jc w:val="both"/>
        <w:rPr>
          <w:rFonts w:ascii="Arial" w:hAnsi="Arial" w:cs="Arial"/>
          <w:sz w:val="20"/>
          <w:szCs w:val="20"/>
        </w:rPr>
      </w:pPr>
      <w:r w:rsidRPr="00A84CCF">
        <w:rPr>
          <w:rFonts w:ascii="Arial" w:hAnsi="Arial" w:cs="Arial"/>
          <w:sz w:val="20"/>
          <w:szCs w:val="20"/>
        </w:rPr>
        <w:t xml:space="preserve">an existing shareholder holding 10% </w:t>
      </w:r>
      <w:r>
        <w:rPr>
          <w:rFonts w:ascii="Arial" w:hAnsi="Arial" w:cs="Arial"/>
          <w:sz w:val="20"/>
          <w:szCs w:val="20"/>
        </w:rPr>
        <w:t xml:space="preserve">or more </w:t>
      </w:r>
      <w:r w:rsidRPr="00A84CCF">
        <w:rPr>
          <w:rFonts w:ascii="Arial" w:hAnsi="Arial" w:cs="Arial"/>
          <w:sz w:val="20"/>
          <w:szCs w:val="20"/>
        </w:rPr>
        <w:t xml:space="preserve">of the shares </w:t>
      </w:r>
      <w:r>
        <w:rPr>
          <w:rFonts w:ascii="Arial" w:hAnsi="Arial" w:cs="Arial"/>
          <w:sz w:val="20"/>
          <w:szCs w:val="20"/>
        </w:rPr>
        <w:t>in a Specialist Technology Company</w:t>
      </w:r>
      <w:r w:rsidRPr="00A84CCF">
        <w:rPr>
          <w:rFonts w:ascii="Arial" w:hAnsi="Arial" w:cs="Arial"/>
          <w:sz w:val="20"/>
          <w:szCs w:val="20"/>
        </w:rPr>
        <w:t xml:space="preserve"> before listing </w:t>
      </w:r>
      <w:r>
        <w:rPr>
          <w:rFonts w:ascii="Arial" w:hAnsi="Arial" w:cs="Arial"/>
          <w:sz w:val="20"/>
          <w:szCs w:val="20"/>
        </w:rPr>
        <w:t xml:space="preserve">can subscribe for shares </w:t>
      </w:r>
      <w:r w:rsidRPr="00A84CCF">
        <w:rPr>
          <w:rFonts w:ascii="Arial" w:hAnsi="Arial" w:cs="Arial"/>
          <w:sz w:val="20"/>
          <w:szCs w:val="20"/>
        </w:rPr>
        <w:t xml:space="preserve">in </w:t>
      </w:r>
      <w:r>
        <w:rPr>
          <w:rFonts w:ascii="Arial" w:hAnsi="Arial" w:cs="Arial"/>
          <w:sz w:val="20"/>
          <w:szCs w:val="20"/>
        </w:rPr>
        <w:t xml:space="preserve">the IPO as </w:t>
      </w:r>
      <w:r w:rsidRPr="00A84CCF">
        <w:rPr>
          <w:rFonts w:ascii="Arial" w:hAnsi="Arial" w:cs="Arial"/>
          <w:sz w:val="20"/>
          <w:szCs w:val="20"/>
        </w:rPr>
        <w:t>a corn</w:t>
      </w:r>
      <w:r>
        <w:rPr>
          <w:rFonts w:ascii="Arial" w:hAnsi="Arial" w:cs="Arial"/>
          <w:sz w:val="20"/>
          <w:szCs w:val="20"/>
        </w:rPr>
        <w:t>erstone investor.</w:t>
      </w:r>
    </w:p>
    <w:p w14:paraId="68126C77" w14:textId="77777777" w:rsidR="00A01CB3" w:rsidRPr="004B5136" w:rsidRDefault="007002B5" w:rsidP="004B5136">
      <w:pPr>
        <w:jc w:val="both"/>
        <w:rPr>
          <w:rFonts w:ascii="Arial" w:hAnsi="Arial" w:cs="Arial"/>
          <w:sz w:val="20"/>
          <w:szCs w:val="20"/>
        </w:rPr>
      </w:pPr>
      <w:r w:rsidRPr="00A84CCF">
        <w:rPr>
          <w:rFonts w:ascii="Arial" w:hAnsi="Arial" w:cs="Arial"/>
          <w:sz w:val="20"/>
          <w:szCs w:val="20"/>
        </w:rPr>
        <w:t xml:space="preserve">If shares will be allocated to core connected persons, the Specialist Technology Company will need to apply for, and the HKEX will typically grant, a waiver from </w:t>
      </w:r>
      <w:r w:rsidR="00CC2E6B">
        <w:rPr>
          <w:rFonts w:ascii="Arial" w:hAnsi="Arial" w:cs="Arial"/>
          <w:sz w:val="20"/>
          <w:szCs w:val="20"/>
        </w:rPr>
        <w:t>HKEX</w:t>
      </w:r>
      <w:r w:rsidRPr="00A84CCF">
        <w:rPr>
          <w:rFonts w:ascii="Arial" w:hAnsi="Arial" w:cs="Arial"/>
          <w:sz w:val="20"/>
          <w:szCs w:val="20"/>
        </w:rPr>
        <w:t xml:space="preserve"> Listing Rule 9.09. Existing shareholders </w:t>
      </w:r>
      <w:r w:rsidR="00CC2E6B">
        <w:rPr>
          <w:rFonts w:ascii="Arial" w:hAnsi="Arial" w:cs="Arial"/>
          <w:sz w:val="20"/>
          <w:szCs w:val="20"/>
        </w:rPr>
        <w:t>who wish to exercise a</w:t>
      </w:r>
      <w:r w:rsidRPr="00A84CCF">
        <w:rPr>
          <w:rFonts w:ascii="Arial" w:hAnsi="Arial" w:cs="Arial"/>
          <w:sz w:val="20"/>
          <w:szCs w:val="20"/>
        </w:rPr>
        <w:t xml:space="preserve"> </w:t>
      </w:r>
      <w:r w:rsidR="008716AC">
        <w:rPr>
          <w:rFonts w:ascii="Arial" w:hAnsi="Arial" w:cs="Arial"/>
          <w:sz w:val="20"/>
          <w:szCs w:val="20"/>
        </w:rPr>
        <w:t>contractual anti-dilution right</w:t>
      </w:r>
      <w:r w:rsidRPr="00A84CCF">
        <w:rPr>
          <w:rFonts w:ascii="Arial" w:hAnsi="Arial" w:cs="Arial"/>
          <w:sz w:val="20"/>
          <w:szCs w:val="20"/>
        </w:rPr>
        <w:t xml:space="preserve"> will also be allowed to subscribe for IPO shares in accordance with paragraph 3.10 of </w:t>
      </w:r>
      <w:hyperlink r:id="rId15" w:history="1">
        <w:r w:rsidRPr="00A84CCF">
          <w:rPr>
            <w:rStyle w:val="a7"/>
            <w:rFonts w:ascii="Arial" w:hAnsi="Arial" w:cs="Arial"/>
            <w:sz w:val="20"/>
            <w:szCs w:val="20"/>
          </w:rPr>
          <w:t>Guidance Letter HKEX-GL43-12</w:t>
        </w:r>
      </w:hyperlink>
      <w:r w:rsidR="00C21D19">
        <w:rPr>
          <w:rFonts w:ascii="Arial" w:hAnsi="Arial" w:cs="Arial"/>
          <w:sz w:val="20"/>
          <w:szCs w:val="20"/>
        </w:rPr>
        <w:t>. The HKEX clarifies that these</w:t>
      </w:r>
      <w:r w:rsidRPr="00A84CCF">
        <w:rPr>
          <w:rFonts w:ascii="Arial" w:hAnsi="Arial" w:cs="Arial"/>
          <w:sz w:val="20"/>
          <w:szCs w:val="20"/>
        </w:rPr>
        <w:t xml:space="preserve"> existing shareholders may subscribe for further IPO shares to a level higher than his/her pre-IPO shareholding if the public float requirement, the requirement for a minimum allocation to </w:t>
      </w:r>
      <w:r w:rsidR="00A84CCF" w:rsidRPr="00A84CCF">
        <w:rPr>
          <w:rFonts w:ascii="Arial" w:hAnsi="Arial" w:cs="Arial"/>
          <w:sz w:val="20"/>
          <w:szCs w:val="20"/>
        </w:rPr>
        <w:t>Independent Price Setting Investors</w:t>
      </w:r>
      <w:r w:rsidR="008716AC">
        <w:rPr>
          <w:rFonts w:ascii="Arial" w:hAnsi="Arial" w:cs="Arial"/>
          <w:sz w:val="20"/>
          <w:szCs w:val="20"/>
        </w:rPr>
        <w:t>,</w:t>
      </w:r>
      <w:r w:rsidR="00A84CCF" w:rsidRPr="00A84CCF">
        <w:rPr>
          <w:rFonts w:ascii="Arial" w:hAnsi="Arial" w:cs="Arial"/>
          <w:sz w:val="20"/>
          <w:szCs w:val="20"/>
        </w:rPr>
        <w:t xml:space="preserve"> </w:t>
      </w:r>
      <w:r w:rsidRPr="00A84CCF">
        <w:rPr>
          <w:rFonts w:ascii="Arial" w:hAnsi="Arial" w:cs="Arial"/>
          <w:sz w:val="20"/>
          <w:szCs w:val="20"/>
        </w:rPr>
        <w:t xml:space="preserve">and the minimum free float requirement </w:t>
      </w:r>
      <w:r w:rsidR="00CC2E6B">
        <w:rPr>
          <w:rFonts w:ascii="Arial" w:hAnsi="Arial" w:cs="Arial"/>
          <w:sz w:val="20"/>
          <w:szCs w:val="20"/>
        </w:rPr>
        <w:t>are</w:t>
      </w:r>
      <w:r w:rsidRPr="00A84CCF">
        <w:rPr>
          <w:rFonts w:ascii="Arial" w:hAnsi="Arial" w:cs="Arial"/>
          <w:sz w:val="20"/>
          <w:szCs w:val="20"/>
        </w:rPr>
        <w:t xml:space="preserve"> met. </w:t>
      </w:r>
    </w:p>
    <w:p w14:paraId="25D809A4" w14:textId="77777777" w:rsidR="00F932FA" w:rsidRPr="004B5136" w:rsidRDefault="00F932FA" w:rsidP="006154E0">
      <w:pPr>
        <w:jc w:val="both"/>
        <w:rPr>
          <w:rFonts w:ascii="Arial" w:hAnsi="Arial" w:cs="Arial"/>
          <w:b/>
          <w:sz w:val="20"/>
          <w:szCs w:val="20"/>
        </w:rPr>
      </w:pPr>
      <w:r w:rsidRPr="004B5136">
        <w:rPr>
          <w:rFonts w:ascii="Arial" w:hAnsi="Arial" w:cs="Arial"/>
          <w:b/>
          <w:color w:val="FF0000"/>
          <w:sz w:val="20"/>
          <w:szCs w:val="20"/>
        </w:rPr>
        <w:t>Post-IPO Lock-ups</w:t>
      </w:r>
    </w:p>
    <w:p w14:paraId="6BF6AE72" w14:textId="77777777" w:rsidR="00F932FA" w:rsidRPr="004B5136" w:rsidRDefault="00F932FA" w:rsidP="006154E0">
      <w:pPr>
        <w:jc w:val="both"/>
        <w:rPr>
          <w:rFonts w:ascii="Arial" w:hAnsi="Arial" w:cs="Arial"/>
          <w:sz w:val="20"/>
          <w:szCs w:val="20"/>
        </w:rPr>
      </w:pPr>
      <w:r w:rsidRPr="004B5136">
        <w:rPr>
          <w:rFonts w:ascii="Arial" w:hAnsi="Arial" w:cs="Arial"/>
          <w:sz w:val="20"/>
          <w:szCs w:val="20"/>
        </w:rPr>
        <w:t>The listing regime impose</w:t>
      </w:r>
      <w:r w:rsidR="008D2CF9">
        <w:rPr>
          <w:rFonts w:ascii="Arial" w:hAnsi="Arial" w:cs="Arial"/>
          <w:sz w:val="20"/>
          <w:szCs w:val="20"/>
        </w:rPr>
        <w:t>s</w:t>
      </w:r>
      <w:r w:rsidRPr="004B5136">
        <w:rPr>
          <w:rFonts w:ascii="Arial" w:hAnsi="Arial" w:cs="Arial"/>
          <w:sz w:val="20"/>
          <w:szCs w:val="20"/>
        </w:rPr>
        <w:t xml:space="preserve"> post-IPO lock-ups on:</w:t>
      </w:r>
    </w:p>
    <w:p w14:paraId="718F2B65" w14:textId="77777777" w:rsidR="00F932FA" w:rsidRPr="004B5136" w:rsidRDefault="00F932FA" w:rsidP="004B5136">
      <w:pPr>
        <w:pStyle w:val="a3"/>
        <w:numPr>
          <w:ilvl w:val="0"/>
          <w:numId w:val="17"/>
        </w:numPr>
        <w:jc w:val="both"/>
        <w:rPr>
          <w:rFonts w:ascii="Arial" w:hAnsi="Arial" w:cs="Arial"/>
          <w:sz w:val="20"/>
          <w:szCs w:val="20"/>
        </w:rPr>
      </w:pPr>
      <w:r w:rsidRPr="004B5136">
        <w:rPr>
          <w:rFonts w:ascii="Arial" w:hAnsi="Arial" w:cs="Arial"/>
          <w:sz w:val="20"/>
          <w:szCs w:val="20"/>
        </w:rPr>
        <w:t>controlling shareholders;</w:t>
      </w:r>
    </w:p>
    <w:p w14:paraId="1C80B5C2" w14:textId="77777777" w:rsidR="00F932FA" w:rsidRPr="004B5136" w:rsidRDefault="00F932FA" w:rsidP="004B5136">
      <w:pPr>
        <w:pStyle w:val="a3"/>
        <w:numPr>
          <w:ilvl w:val="0"/>
          <w:numId w:val="17"/>
        </w:numPr>
        <w:jc w:val="both"/>
        <w:rPr>
          <w:rFonts w:ascii="Arial" w:hAnsi="Arial" w:cs="Arial"/>
          <w:sz w:val="20"/>
          <w:szCs w:val="20"/>
        </w:rPr>
      </w:pPr>
      <w:r w:rsidRPr="004B5136">
        <w:rPr>
          <w:rFonts w:ascii="Arial" w:hAnsi="Arial" w:cs="Arial"/>
          <w:sz w:val="20"/>
          <w:szCs w:val="20"/>
        </w:rPr>
        <w:t>key persons (including the founders, the beneficiaries of weighted voting rights, executive directors and senior management, and key personnel responsible for the technical operations and/or R&amp;D of the Specialist Technology Company) (</w:t>
      </w:r>
      <w:r w:rsidRPr="004B5136">
        <w:rPr>
          <w:rFonts w:ascii="Arial" w:hAnsi="Arial" w:cs="Arial"/>
          <w:b/>
          <w:sz w:val="20"/>
          <w:szCs w:val="20"/>
        </w:rPr>
        <w:t>Key Persons</w:t>
      </w:r>
      <w:r w:rsidRPr="004B5136">
        <w:rPr>
          <w:rFonts w:ascii="Arial" w:hAnsi="Arial" w:cs="Arial"/>
          <w:sz w:val="20"/>
          <w:szCs w:val="20"/>
        </w:rPr>
        <w:t>); and</w:t>
      </w:r>
    </w:p>
    <w:p w14:paraId="10C994E4" w14:textId="77777777" w:rsidR="008D2CF9" w:rsidRPr="008D2CF9" w:rsidRDefault="00F932FA" w:rsidP="008D2CF9">
      <w:pPr>
        <w:pStyle w:val="a3"/>
        <w:numPr>
          <w:ilvl w:val="0"/>
          <w:numId w:val="17"/>
        </w:numPr>
        <w:jc w:val="both"/>
        <w:rPr>
          <w:rFonts w:ascii="Arial" w:hAnsi="Arial" w:cs="Arial"/>
          <w:sz w:val="20"/>
          <w:szCs w:val="20"/>
        </w:rPr>
      </w:pPr>
      <w:r w:rsidRPr="004B5136">
        <w:rPr>
          <w:rFonts w:ascii="Arial" w:hAnsi="Arial" w:cs="Arial"/>
          <w:sz w:val="20"/>
          <w:szCs w:val="20"/>
        </w:rPr>
        <w:t>the Pathfinder SIIs.</w:t>
      </w:r>
      <w:r w:rsidR="003E019C">
        <w:rPr>
          <w:rStyle w:val="a6"/>
          <w:rFonts w:ascii="Arial" w:hAnsi="Arial" w:cs="Arial"/>
          <w:sz w:val="20"/>
          <w:szCs w:val="20"/>
        </w:rPr>
        <w:footnoteReference w:id="23"/>
      </w:r>
    </w:p>
    <w:p w14:paraId="2061B843" w14:textId="77777777" w:rsidR="003E74E0" w:rsidRPr="004B5136" w:rsidRDefault="008D2CF9" w:rsidP="004B5136">
      <w:pPr>
        <w:spacing w:after="150" w:line="240" w:lineRule="auto"/>
        <w:jc w:val="both"/>
        <w:textAlignment w:val="baseline"/>
        <w:rPr>
          <w:rFonts w:ascii="Arial" w:hAnsi="Arial" w:cs="Arial"/>
          <w:color w:val="2B2B2B"/>
          <w:sz w:val="20"/>
          <w:szCs w:val="20"/>
        </w:rPr>
      </w:pPr>
      <w:r>
        <w:rPr>
          <w:rFonts w:ascii="Arial" w:hAnsi="Arial" w:cs="Arial"/>
          <w:color w:val="2B2B2B"/>
          <w:sz w:val="20"/>
          <w:szCs w:val="20"/>
        </w:rPr>
        <w:lastRenderedPageBreak/>
        <w:t>The c</w:t>
      </w:r>
      <w:r w:rsidR="003E74E0" w:rsidRPr="004B5136">
        <w:rPr>
          <w:rFonts w:ascii="Arial" w:hAnsi="Arial" w:cs="Arial" w:hint="eastAsia"/>
          <w:color w:val="2B2B2B"/>
          <w:sz w:val="20"/>
          <w:szCs w:val="20"/>
        </w:rPr>
        <w:t xml:space="preserve">ontrolling shareholders of a Commercial Company </w:t>
      </w:r>
      <w:r>
        <w:rPr>
          <w:rFonts w:ascii="Arial" w:hAnsi="Arial" w:cs="Arial"/>
          <w:color w:val="2B2B2B"/>
          <w:sz w:val="20"/>
          <w:szCs w:val="20"/>
        </w:rPr>
        <w:t xml:space="preserve">are </w:t>
      </w:r>
      <w:r w:rsidR="003E74E0" w:rsidRPr="004B5136">
        <w:rPr>
          <w:rFonts w:ascii="Arial" w:hAnsi="Arial" w:cs="Arial" w:hint="eastAsia"/>
          <w:color w:val="2B2B2B"/>
          <w:sz w:val="20"/>
          <w:szCs w:val="20"/>
        </w:rPr>
        <w:t xml:space="preserve">subject to a 12-month lock-up period, while the controlling shareholders of a Pre-Commercial Company </w:t>
      </w:r>
      <w:r>
        <w:rPr>
          <w:rFonts w:ascii="Arial" w:hAnsi="Arial" w:cs="Arial"/>
          <w:color w:val="2B2B2B"/>
          <w:sz w:val="20"/>
          <w:szCs w:val="20"/>
        </w:rPr>
        <w:t xml:space="preserve">are </w:t>
      </w:r>
      <w:r w:rsidR="003E74E0" w:rsidRPr="004B5136">
        <w:rPr>
          <w:rFonts w:ascii="Arial" w:hAnsi="Arial" w:cs="Arial" w:hint="eastAsia"/>
          <w:color w:val="2B2B2B"/>
          <w:sz w:val="20"/>
          <w:szCs w:val="20"/>
        </w:rPr>
        <w:t>subject to a 24-month lock-up period</w:t>
      </w:r>
      <w:r>
        <w:rPr>
          <w:rFonts w:ascii="Arial" w:hAnsi="Arial" w:cs="Arial" w:hint="eastAsia"/>
          <w:color w:val="2B2B2B"/>
          <w:sz w:val="20"/>
          <w:szCs w:val="20"/>
        </w:rPr>
        <w:t>.</w:t>
      </w:r>
    </w:p>
    <w:p w14:paraId="5FE6961D" w14:textId="77777777" w:rsidR="003E74E0" w:rsidRPr="004B5136" w:rsidRDefault="008D2CF9" w:rsidP="004B5136">
      <w:pPr>
        <w:spacing w:after="150" w:line="240" w:lineRule="auto"/>
        <w:jc w:val="both"/>
        <w:textAlignment w:val="baseline"/>
        <w:rPr>
          <w:rFonts w:ascii="Arial" w:hAnsi="Arial" w:cs="Arial"/>
          <w:color w:val="2B2B2B"/>
          <w:sz w:val="20"/>
          <w:szCs w:val="20"/>
        </w:rPr>
      </w:pPr>
      <w:r>
        <w:rPr>
          <w:rFonts w:ascii="Arial" w:hAnsi="Arial" w:cs="Arial"/>
          <w:color w:val="2B2B2B"/>
          <w:sz w:val="20"/>
          <w:szCs w:val="20"/>
        </w:rPr>
        <w:t xml:space="preserve">The </w:t>
      </w:r>
      <w:r w:rsidR="003E74E0" w:rsidRPr="004B5136">
        <w:rPr>
          <w:rFonts w:ascii="Arial" w:hAnsi="Arial" w:cs="Arial" w:hint="eastAsia"/>
          <w:color w:val="2B2B2B"/>
          <w:sz w:val="20"/>
          <w:szCs w:val="20"/>
        </w:rPr>
        <w:t xml:space="preserve">Key Persons of a Commercial Company and their </w:t>
      </w:r>
      <w:r w:rsidR="002D6933" w:rsidRPr="008D2CF9">
        <w:rPr>
          <w:rFonts w:ascii="Arial" w:hAnsi="Arial" w:cs="Arial"/>
          <w:color w:val="2B2B2B"/>
          <w:sz w:val="20"/>
          <w:szCs w:val="20"/>
        </w:rPr>
        <w:t xml:space="preserve">close </w:t>
      </w:r>
      <w:r w:rsidR="003E74E0" w:rsidRPr="004B5136">
        <w:rPr>
          <w:rFonts w:ascii="Arial" w:hAnsi="Arial" w:cs="Arial" w:hint="eastAsia"/>
          <w:color w:val="2B2B2B"/>
          <w:sz w:val="20"/>
          <w:szCs w:val="20"/>
        </w:rPr>
        <w:t xml:space="preserve">associates </w:t>
      </w:r>
      <w:r>
        <w:rPr>
          <w:rFonts w:ascii="Arial" w:hAnsi="Arial" w:cs="Arial"/>
          <w:color w:val="2B2B2B"/>
          <w:sz w:val="20"/>
          <w:szCs w:val="20"/>
        </w:rPr>
        <w:t xml:space="preserve">are </w:t>
      </w:r>
      <w:r w:rsidR="003E74E0" w:rsidRPr="004B5136">
        <w:rPr>
          <w:rFonts w:ascii="Arial" w:hAnsi="Arial" w:cs="Arial" w:hint="eastAsia"/>
          <w:color w:val="2B2B2B"/>
          <w:sz w:val="20"/>
          <w:szCs w:val="20"/>
        </w:rPr>
        <w:t>subject to a 12-month lock-up period, while Key Persons of a Pre-Commercial Company</w:t>
      </w:r>
      <w:r w:rsidR="002D6933" w:rsidRPr="008D2CF9">
        <w:rPr>
          <w:rFonts w:ascii="Arial" w:hAnsi="Arial" w:cs="Arial"/>
          <w:color w:val="2B2B2B"/>
          <w:sz w:val="20"/>
          <w:szCs w:val="20"/>
        </w:rPr>
        <w:t xml:space="preserve"> </w:t>
      </w:r>
      <w:r w:rsidR="002D6933" w:rsidRPr="004B5136">
        <w:rPr>
          <w:rFonts w:ascii="Arial" w:hAnsi="Arial" w:cs="Arial" w:hint="eastAsia"/>
          <w:color w:val="2B2B2B"/>
          <w:sz w:val="20"/>
          <w:szCs w:val="20"/>
        </w:rPr>
        <w:t xml:space="preserve">and their </w:t>
      </w:r>
      <w:r w:rsidR="002D6933" w:rsidRPr="008D2CF9">
        <w:rPr>
          <w:rFonts w:ascii="Arial" w:hAnsi="Arial" w:cs="Arial"/>
          <w:color w:val="2B2B2B"/>
          <w:sz w:val="20"/>
          <w:szCs w:val="20"/>
        </w:rPr>
        <w:t xml:space="preserve">close </w:t>
      </w:r>
      <w:r w:rsidR="002D6933" w:rsidRPr="004B5136">
        <w:rPr>
          <w:rFonts w:ascii="Arial" w:hAnsi="Arial" w:cs="Arial" w:hint="eastAsia"/>
          <w:color w:val="2B2B2B"/>
          <w:sz w:val="20"/>
          <w:szCs w:val="20"/>
        </w:rPr>
        <w:t>associates</w:t>
      </w:r>
      <w:r w:rsidR="003E74E0" w:rsidRPr="004B5136">
        <w:rPr>
          <w:rFonts w:ascii="Arial" w:hAnsi="Arial" w:cs="Arial" w:hint="eastAsia"/>
          <w:color w:val="2B2B2B"/>
          <w:sz w:val="20"/>
          <w:szCs w:val="20"/>
        </w:rPr>
        <w:t xml:space="preserve"> </w:t>
      </w:r>
      <w:r>
        <w:rPr>
          <w:rFonts w:ascii="Arial" w:hAnsi="Arial" w:cs="Arial" w:hint="eastAsia"/>
          <w:color w:val="2B2B2B"/>
          <w:sz w:val="20"/>
          <w:szCs w:val="20"/>
        </w:rPr>
        <w:t>are</w:t>
      </w:r>
      <w:r w:rsidR="003E74E0" w:rsidRPr="004B5136">
        <w:rPr>
          <w:rFonts w:ascii="Arial" w:hAnsi="Arial" w:cs="Arial" w:hint="eastAsia"/>
          <w:color w:val="2B2B2B"/>
          <w:sz w:val="20"/>
          <w:szCs w:val="20"/>
        </w:rPr>
        <w:t xml:space="preserve"> subjec</w:t>
      </w:r>
      <w:r w:rsidR="00035706" w:rsidRPr="008D2CF9">
        <w:rPr>
          <w:rFonts w:ascii="Arial" w:hAnsi="Arial" w:cs="Arial"/>
          <w:color w:val="2B2B2B"/>
          <w:sz w:val="20"/>
          <w:szCs w:val="20"/>
        </w:rPr>
        <w:t>t to a 24-month lock-up period</w:t>
      </w:r>
      <w:r>
        <w:rPr>
          <w:rFonts w:ascii="Arial" w:hAnsi="Arial" w:cs="Arial"/>
          <w:color w:val="2B2B2B"/>
          <w:sz w:val="20"/>
          <w:szCs w:val="20"/>
        </w:rPr>
        <w:t>.</w:t>
      </w:r>
      <w:r w:rsidR="00035706" w:rsidRPr="008D2CF9">
        <w:rPr>
          <w:rFonts w:ascii="Arial" w:hAnsi="Arial" w:cs="Arial"/>
          <w:color w:val="2B2B2B"/>
          <w:sz w:val="20"/>
          <w:szCs w:val="20"/>
        </w:rPr>
        <w:t xml:space="preserve"> </w:t>
      </w:r>
    </w:p>
    <w:p w14:paraId="2C19C415" w14:textId="77777777" w:rsidR="008A2139" w:rsidRPr="008D2CF9" w:rsidRDefault="003E74E0" w:rsidP="004B5136">
      <w:pPr>
        <w:spacing w:after="150" w:line="240" w:lineRule="auto"/>
        <w:jc w:val="both"/>
        <w:textAlignment w:val="baseline"/>
        <w:rPr>
          <w:rFonts w:ascii="Arial" w:hAnsi="Arial" w:cs="Arial"/>
          <w:color w:val="2B2B2B"/>
          <w:sz w:val="20"/>
          <w:szCs w:val="20"/>
        </w:rPr>
      </w:pPr>
      <w:r w:rsidRPr="004B5136">
        <w:rPr>
          <w:rFonts w:ascii="Arial" w:hAnsi="Arial" w:cs="Arial" w:hint="eastAsia"/>
          <w:color w:val="2B2B2B"/>
          <w:sz w:val="20"/>
          <w:szCs w:val="20"/>
        </w:rPr>
        <w:t xml:space="preserve">Pathfinder SIIs </w:t>
      </w:r>
      <w:r w:rsidR="008D2CF9">
        <w:rPr>
          <w:rFonts w:ascii="Arial" w:hAnsi="Arial" w:cs="Arial"/>
          <w:color w:val="2B2B2B"/>
          <w:sz w:val="20"/>
          <w:szCs w:val="20"/>
        </w:rPr>
        <w:t xml:space="preserve">are </w:t>
      </w:r>
      <w:r w:rsidRPr="004B5136">
        <w:rPr>
          <w:rFonts w:ascii="Arial" w:hAnsi="Arial" w:cs="Arial" w:hint="eastAsia"/>
          <w:color w:val="2B2B2B"/>
          <w:sz w:val="20"/>
          <w:szCs w:val="20"/>
        </w:rPr>
        <w:t>subject to a 6-month lock-up period (for a Commercial Company) or a 12-month lock-up period (for a Pre-Commercial Company).</w:t>
      </w:r>
    </w:p>
    <w:p w14:paraId="73842288" w14:textId="77777777" w:rsidR="00621B8D" w:rsidRPr="005D5C6F" w:rsidRDefault="00621B8D" w:rsidP="00621B8D">
      <w:pPr>
        <w:rPr>
          <w:rFonts w:ascii="Arial" w:hAnsi="Arial" w:cs="Arial"/>
          <w:b/>
          <w:sz w:val="20"/>
          <w:szCs w:val="20"/>
        </w:rPr>
      </w:pPr>
      <w:r w:rsidRPr="005D5C6F">
        <w:rPr>
          <w:rFonts w:ascii="Arial" w:hAnsi="Arial" w:cs="Arial"/>
          <w:b/>
          <w:sz w:val="20"/>
          <w:szCs w:val="20"/>
        </w:rPr>
        <w:t>Securities Subject to Lock-ups</w:t>
      </w:r>
    </w:p>
    <w:p w14:paraId="2F2DB17F" w14:textId="77777777" w:rsidR="00621B8D" w:rsidRDefault="00621B8D" w:rsidP="00621B8D">
      <w:pPr>
        <w:jc w:val="both"/>
        <w:rPr>
          <w:rFonts w:ascii="Arial" w:hAnsi="Arial" w:cs="Arial"/>
          <w:sz w:val="20"/>
          <w:szCs w:val="20"/>
        </w:rPr>
      </w:pPr>
      <w:r>
        <w:rPr>
          <w:rFonts w:ascii="Arial" w:hAnsi="Arial" w:cs="Arial"/>
          <w:sz w:val="20"/>
          <w:szCs w:val="20"/>
        </w:rPr>
        <w:t>Shareholders subject to lock-up requirements will only need to comply with the restrictions on disposal in relation to the securities which the listing document shows to be beneficially owned by them. They will not be prevented from disposing of their shares before listing or from offering them for sale as part of the IPO. Only the securities held by relevant shareholders after listing will be subject to the lock-up requirements.</w:t>
      </w:r>
    </w:p>
    <w:p w14:paraId="06FF12CE" w14:textId="77777777" w:rsidR="00621B8D" w:rsidRPr="005D5C6F" w:rsidRDefault="00621B8D" w:rsidP="00621B8D">
      <w:pPr>
        <w:jc w:val="both"/>
        <w:rPr>
          <w:rFonts w:ascii="Arial" w:hAnsi="Arial" w:cs="Arial"/>
          <w:sz w:val="20"/>
          <w:szCs w:val="20"/>
        </w:rPr>
      </w:pPr>
      <w:r>
        <w:rPr>
          <w:rFonts w:ascii="Arial" w:hAnsi="Arial" w:cs="Arial"/>
          <w:sz w:val="20"/>
          <w:szCs w:val="20"/>
        </w:rPr>
        <w:t xml:space="preserve">Shareholders subject to lock-up requirements will also be allowed </w:t>
      </w:r>
      <w:r w:rsidR="007D573B">
        <w:rPr>
          <w:rFonts w:ascii="Arial" w:hAnsi="Arial" w:cs="Arial"/>
          <w:sz w:val="20"/>
          <w:szCs w:val="20"/>
        </w:rPr>
        <w:t xml:space="preserve">to purchase additional securities </w:t>
      </w:r>
      <w:r w:rsidR="008716AC">
        <w:rPr>
          <w:rFonts w:ascii="Arial" w:hAnsi="Arial" w:cs="Arial"/>
          <w:sz w:val="20"/>
          <w:szCs w:val="20"/>
        </w:rPr>
        <w:t xml:space="preserve">in the IPO and </w:t>
      </w:r>
      <w:r>
        <w:rPr>
          <w:rFonts w:ascii="Arial" w:hAnsi="Arial" w:cs="Arial"/>
          <w:sz w:val="20"/>
          <w:szCs w:val="20"/>
        </w:rPr>
        <w:t xml:space="preserve">dispose of them during the lock-up period, provided that the </w:t>
      </w:r>
      <w:r w:rsidR="00DB510B">
        <w:rPr>
          <w:rFonts w:ascii="Arial" w:hAnsi="Arial" w:cs="Arial"/>
          <w:sz w:val="20"/>
          <w:szCs w:val="20"/>
        </w:rPr>
        <w:t xml:space="preserve">listed company </w:t>
      </w:r>
      <w:r>
        <w:rPr>
          <w:rFonts w:ascii="Arial" w:hAnsi="Arial" w:cs="Arial"/>
          <w:sz w:val="20"/>
          <w:szCs w:val="20"/>
        </w:rPr>
        <w:t>continue</w:t>
      </w:r>
      <w:r w:rsidR="00DB510B">
        <w:rPr>
          <w:rFonts w:ascii="Arial" w:hAnsi="Arial" w:cs="Arial"/>
          <w:sz w:val="20"/>
          <w:szCs w:val="20"/>
        </w:rPr>
        <w:t>s</w:t>
      </w:r>
      <w:r>
        <w:rPr>
          <w:rFonts w:ascii="Arial" w:hAnsi="Arial" w:cs="Arial"/>
          <w:sz w:val="20"/>
          <w:szCs w:val="20"/>
        </w:rPr>
        <w:t xml:space="preserve"> to comply with the requirements of </w:t>
      </w:r>
      <w:r w:rsidR="007D573B">
        <w:rPr>
          <w:rFonts w:ascii="Arial" w:hAnsi="Arial" w:cs="Arial"/>
          <w:sz w:val="20"/>
          <w:szCs w:val="20"/>
        </w:rPr>
        <w:t xml:space="preserve">the </w:t>
      </w:r>
      <w:r>
        <w:rPr>
          <w:rFonts w:ascii="Arial" w:hAnsi="Arial" w:cs="Arial"/>
          <w:sz w:val="20"/>
          <w:szCs w:val="20"/>
        </w:rPr>
        <w:t xml:space="preserve">HKEX Listing Rule 8.08 to maintain an open market in the </w:t>
      </w:r>
      <w:r w:rsidR="007D573B">
        <w:rPr>
          <w:rFonts w:ascii="Arial" w:hAnsi="Arial" w:cs="Arial"/>
          <w:sz w:val="20"/>
          <w:szCs w:val="20"/>
        </w:rPr>
        <w:t>securitie</w:t>
      </w:r>
      <w:r>
        <w:rPr>
          <w:rFonts w:ascii="Arial" w:hAnsi="Arial" w:cs="Arial"/>
          <w:sz w:val="20"/>
          <w:szCs w:val="20"/>
        </w:rPr>
        <w:t xml:space="preserve">s and a sufficient public float. </w:t>
      </w:r>
    </w:p>
    <w:p w14:paraId="02812F1F" w14:textId="77777777" w:rsidR="007D573B" w:rsidRDefault="001E564D" w:rsidP="00DA3EDB">
      <w:pPr>
        <w:jc w:val="both"/>
        <w:rPr>
          <w:rFonts w:ascii="Arial" w:hAnsi="Arial" w:cs="Arial"/>
          <w:b/>
          <w:sz w:val="20"/>
          <w:szCs w:val="20"/>
        </w:rPr>
      </w:pPr>
      <w:r>
        <w:rPr>
          <w:rFonts w:ascii="Arial" w:hAnsi="Arial" w:cs="Arial"/>
          <w:b/>
          <w:sz w:val="20"/>
          <w:szCs w:val="20"/>
        </w:rPr>
        <w:t xml:space="preserve">Lock-ups: </w:t>
      </w:r>
      <w:r w:rsidR="00621B8D">
        <w:rPr>
          <w:rFonts w:ascii="Arial" w:hAnsi="Arial" w:cs="Arial"/>
          <w:b/>
          <w:sz w:val="20"/>
          <w:szCs w:val="20"/>
        </w:rPr>
        <w:t>Deemed Disposals of Securities</w:t>
      </w:r>
    </w:p>
    <w:p w14:paraId="30F97A46" w14:textId="77777777" w:rsidR="00621B8D" w:rsidRDefault="001E564D" w:rsidP="00DA3EDB">
      <w:pPr>
        <w:jc w:val="both"/>
        <w:rPr>
          <w:rFonts w:ascii="Arial" w:hAnsi="Arial" w:cs="Arial"/>
          <w:sz w:val="20"/>
          <w:szCs w:val="20"/>
        </w:rPr>
      </w:pPr>
      <w:r>
        <w:rPr>
          <w:rFonts w:ascii="Arial" w:hAnsi="Arial" w:cs="Arial"/>
          <w:sz w:val="20"/>
          <w:szCs w:val="20"/>
        </w:rPr>
        <w:t>A</w:t>
      </w:r>
      <w:r w:rsidR="00621B8D">
        <w:rPr>
          <w:rFonts w:ascii="Arial" w:hAnsi="Arial" w:cs="Arial"/>
          <w:sz w:val="20"/>
          <w:szCs w:val="20"/>
        </w:rPr>
        <w:t xml:space="preserve"> deemed disposal of securities by a person subject to the lock-up restrictions which result</w:t>
      </w:r>
      <w:r>
        <w:rPr>
          <w:rFonts w:ascii="Arial" w:hAnsi="Arial" w:cs="Arial"/>
          <w:sz w:val="20"/>
          <w:szCs w:val="20"/>
        </w:rPr>
        <w:t>s</w:t>
      </w:r>
      <w:r w:rsidR="00621B8D">
        <w:rPr>
          <w:rFonts w:ascii="Arial" w:hAnsi="Arial" w:cs="Arial"/>
          <w:sz w:val="20"/>
          <w:szCs w:val="20"/>
        </w:rPr>
        <w:t xml:space="preserve"> from the allotment, grant or issue of new securities by a Specialist Technology Company during a lock-up period, will not be regarded as a breach of the lock-up restrictions.</w:t>
      </w:r>
      <w:r>
        <w:rPr>
          <w:rFonts w:ascii="Arial" w:hAnsi="Arial" w:cs="Arial"/>
          <w:sz w:val="20"/>
          <w:szCs w:val="20"/>
        </w:rPr>
        <w:t xml:space="preserve"> </w:t>
      </w:r>
    </w:p>
    <w:p w14:paraId="6DD4AA3E" w14:textId="77777777" w:rsidR="001E564D" w:rsidRDefault="001E564D" w:rsidP="00DA3EDB">
      <w:pPr>
        <w:jc w:val="both"/>
        <w:rPr>
          <w:rFonts w:ascii="Arial" w:hAnsi="Arial" w:cs="Arial"/>
          <w:sz w:val="20"/>
          <w:szCs w:val="20"/>
        </w:rPr>
      </w:pPr>
      <w:r>
        <w:rPr>
          <w:rFonts w:ascii="Arial" w:hAnsi="Arial" w:cs="Arial"/>
          <w:b/>
          <w:sz w:val="20"/>
          <w:szCs w:val="20"/>
        </w:rPr>
        <w:t>Lock-ups: Lock-up Period upon removal of Designation as a Pre-Commercial Company</w:t>
      </w:r>
    </w:p>
    <w:p w14:paraId="12940310" w14:textId="77777777" w:rsidR="001E564D" w:rsidRPr="00273819" w:rsidRDefault="001E564D" w:rsidP="001E564D">
      <w:pPr>
        <w:spacing w:after="150" w:line="240" w:lineRule="auto"/>
        <w:jc w:val="both"/>
        <w:textAlignment w:val="baseline"/>
        <w:rPr>
          <w:rFonts w:ascii="Arial" w:hAnsi="Arial" w:cs="Arial"/>
          <w:color w:val="2B2B2B"/>
          <w:sz w:val="20"/>
          <w:szCs w:val="20"/>
        </w:rPr>
      </w:pPr>
      <w:r>
        <w:rPr>
          <w:rFonts w:ascii="Arial" w:hAnsi="Arial" w:cs="Arial"/>
          <w:sz w:val="20"/>
          <w:szCs w:val="20"/>
        </w:rPr>
        <w:t xml:space="preserve">The HKEX had proposed that any lock-up period in effect at the time of removal of designation as a Pre-Commercial Company would continue unchanged. </w:t>
      </w:r>
      <w:r w:rsidRPr="00273819">
        <w:rPr>
          <w:rFonts w:ascii="Arial" w:hAnsi="Arial" w:cs="Arial"/>
          <w:color w:val="2B2B2B"/>
          <w:sz w:val="20"/>
          <w:szCs w:val="20"/>
        </w:rPr>
        <w:t xml:space="preserve">In light of the feedback received from </w:t>
      </w:r>
      <w:r w:rsidR="00534594">
        <w:rPr>
          <w:rFonts w:ascii="Arial" w:hAnsi="Arial" w:cs="Arial"/>
          <w:color w:val="2B2B2B"/>
          <w:sz w:val="20"/>
          <w:szCs w:val="20"/>
        </w:rPr>
        <w:t xml:space="preserve">consultation </w:t>
      </w:r>
      <w:r w:rsidRPr="00273819">
        <w:rPr>
          <w:rFonts w:ascii="Arial" w:hAnsi="Arial" w:cs="Arial"/>
          <w:color w:val="2B2B2B"/>
          <w:sz w:val="20"/>
          <w:szCs w:val="20"/>
        </w:rPr>
        <w:t xml:space="preserve">respondents, the HKEX has modified the requirement </w:t>
      </w:r>
      <w:r w:rsidR="00534594">
        <w:rPr>
          <w:rFonts w:ascii="Arial" w:hAnsi="Arial" w:cs="Arial"/>
          <w:color w:val="2B2B2B"/>
          <w:sz w:val="20"/>
          <w:szCs w:val="20"/>
        </w:rPr>
        <w:t xml:space="preserve">so </w:t>
      </w:r>
      <w:r w:rsidRPr="00273819">
        <w:rPr>
          <w:rFonts w:ascii="Arial" w:hAnsi="Arial" w:cs="Arial"/>
          <w:color w:val="2B2B2B"/>
          <w:sz w:val="20"/>
          <w:szCs w:val="20"/>
        </w:rPr>
        <w:t xml:space="preserve">that if a Pre-Commercial Company achieves the </w:t>
      </w:r>
      <w:proofErr w:type="spellStart"/>
      <w:r w:rsidRPr="00273819">
        <w:rPr>
          <w:rFonts w:ascii="Arial" w:hAnsi="Arial" w:cs="Arial"/>
          <w:color w:val="2B2B2B"/>
          <w:sz w:val="20"/>
          <w:szCs w:val="20"/>
        </w:rPr>
        <w:t>Commercialisation</w:t>
      </w:r>
      <w:proofErr w:type="spellEnd"/>
      <w:r w:rsidRPr="00273819">
        <w:rPr>
          <w:rFonts w:ascii="Arial" w:hAnsi="Arial" w:cs="Arial"/>
          <w:color w:val="2B2B2B"/>
          <w:sz w:val="20"/>
          <w:szCs w:val="20"/>
        </w:rPr>
        <w:t xml:space="preserve"> Revenue Thre</w:t>
      </w:r>
      <w:r w:rsidR="00534594">
        <w:rPr>
          <w:rFonts w:ascii="Arial" w:hAnsi="Arial" w:cs="Arial"/>
          <w:color w:val="2B2B2B"/>
          <w:sz w:val="20"/>
          <w:szCs w:val="20"/>
        </w:rPr>
        <w:t>shold, the lock-up periods will</w:t>
      </w:r>
      <w:r w:rsidRPr="00273819">
        <w:rPr>
          <w:rFonts w:ascii="Arial" w:hAnsi="Arial" w:cs="Arial"/>
          <w:color w:val="2B2B2B"/>
          <w:sz w:val="20"/>
          <w:szCs w:val="20"/>
        </w:rPr>
        <w:t xml:space="preserve"> be shortened to end on the later of:</w:t>
      </w:r>
    </w:p>
    <w:p w14:paraId="53463E13" w14:textId="77777777" w:rsidR="001E564D" w:rsidRDefault="001E564D" w:rsidP="001E564D">
      <w:pPr>
        <w:pStyle w:val="a3"/>
        <w:numPr>
          <w:ilvl w:val="0"/>
          <w:numId w:val="29"/>
        </w:numPr>
        <w:spacing w:after="150" w:line="240" w:lineRule="auto"/>
        <w:jc w:val="both"/>
        <w:textAlignment w:val="baseline"/>
        <w:rPr>
          <w:rFonts w:ascii="Arial" w:hAnsi="Arial" w:cs="Arial"/>
          <w:color w:val="2B2B2B"/>
          <w:sz w:val="20"/>
          <w:szCs w:val="20"/>
        </w:rPr>
      </w:pPr>
      <w:r w:rsidRPr="00273819">
        <w:rPr>
          <w:rFonts w:ascii="Arial" w:hAnsi="Arial" w:cs="Arial"/>
          <w:color w:val="2B2B2B"/>
          <w:sz w:val="20"/>
          <w:szCs w:val="20"/>
        </w:rPr>
        <w:t>the date on which such lock-up periods would have ended if the issuer had applied for listing as a Commercial Company; and</w:t>
      </w:r>
    </w:p>
    <w:p w14:paraId="48C840C2" w14:textId="77777777" w:rsidR="00534594" w:rsidRPr="00273819" w:rsidRDefault="00534594" w:rsidP="00534594">
      <w:pPr>
        <w:pStyle w:val="a3"/>
        <w:spacing w:after="150" w:line="240" w:lineRule="auto"/>
        <w:jc w:val="both"/>
        <w:textAlignment w:val="baseline"/>
        <w:rPr>
          <w:rFonts w:ascii="Arial" w:hAnsi="Arial" w:cs="Arial"/>
          <w:color w:val="2B2B2B"/>
          <w:sz w:val="20"/>
          <w:szCs w:val="20"/>
        </w:rPr>
      </w:pPr>
    </w:p>
    <w:p w14:paraId="456934DB" w14:textId="77777777" w:rsidR="00321E8B" w:rsidRPr="00321E8B" w:rsidRDefault="001E564D" w:rsidP="00321E8B">
      <w:pPr>
        <w:pStyle w:val="a3"/>
        <w:numPr>
          <w:ilvl w:val="0"/>
          <w:numId w:val="29"/>
        </w:numPr>
        <w:spacing w:after="150" w:line="240" w:lineRule="auto"/>
        <w:jc w:val="both"/>
        <w:textAlignment w:val="baseline"/>
        <w:rPr>
          <w:rFonts w:ascii="Arial" w:hAnsi="Arial" w:cs="Arial"/>
          <w:color w:val="2B2B2B"/>
          <w:sz w:val="20"/>
          <w:szCs w:val="20"/>
        </w:rPr>
      </w:pPr>
      <w:r w:rsidRPr="003E6D97">
        <w:rPr>
          <w:rFonts w:ascii="Arial" w:hAnsi="Arial" w:cs="Arial"/>
          <w:color w:val="2B2B2B"/>
          <w:sz w:val="20"/>
          <w:szCs w:val="20"/>
        </w:rPr>
        <w:t>the date falling on the 30</w:t>
      </w:r>
      <w:r w:rsidRPr="003E6D97">
        <w:rPr>
          <w:rFonts w:ascii="Arial" w:hAnsi="Arial" w:cs="Arial"/>
          <w:color w:val="2B2B2B"/>
          <w:sz w:val="20"/>
          <w:szCs w:val="20"/>
          <w:vertAlign w:val="superscript"/>
        </w:rPr>
        <w:t>th</w:t>
      </w:r>
      <w:r w:rsidRPr="003E6D97">
        <w:rPr>
          <w:rFonts w:ascii="Arial" w:hAnsi="Arial" w:cs="Arial"/>
          <w:color w:val="2B2B2B"/>
          <w:sz w:val="20"/>
          <w:szCs w:val="20"/>
        </w:rPr>
        <w:t xml:space="preserve"> day after the announcement of the removal of designation as a Pre-Commercial Company.</w:t>
      </w:r>
      <w:r w:rsidR="00534594">
        <w:rPr>
          <w:rStyle w:val="a6"/>
          <w:rFonts w:ascii="Arial" w:hAnsi="Arial" w:cs="Arial"/>
          <w:color w:val="2B2B2B"/>
          <w:sz w:val="20"/>
          <w:szCs w:val="20"/>
        </w:rPr>
        <w:footnoteReference w:id="24"/>
      </w:r>
      <w:r w:rsidR="00321E8B" w:rsidRPr="003E6D97">
        <w:rPr>
          <w:rFonts w:ascii="Arial" w:hAnsi="Arial" w:cs="Arial"/>
          <w:b/>
          <w:color w:val="2B2B2B"/>
          <w:sz w:val="20"/>
          <w:szCs w:val="20"/>
        </w:rPr>
        <w:t xml:space="preserve"> </w:t>
      </w:r>
    </w:p>
    <w:p w14:paraId="701DA25A" w14:textId="77777777" w:rsidR="003E6D97" w:rsidRPr="00321E8B" w:rsidRDefault="003E6D97" w:rsidP="00321E8B">
      <w:pPr>
        <w:spacing w:after="150" w:line="240" w:lineRule="auto"/>
        <w:jc w:val="both"/>
        <w:textAlignment w:val="baseline"/>
        <w:rPr>
          <w:rFonts w:ascii="Arial" w:hAnsi="Arial" w:cs="Arial"/>
          <w:color w:val="2B2B2B"/>
          <w:sz w:val="20"/>
          <w:szCs w:val="20"/>
        </w:rPr>
      </w:pPr>
      <w:r w:rsidRPr="00321E8B">
        <w:rPr>
          <w:rFonts w:ascii="Arial" w:hAnsi="Arial" w:cs="Arial"/>
          <w:b/>
          <w:color w:val="2B2B2B"/>
          <w:sz w:val="20"/>
          <w:szCs w:val="20"/>
        </w:rPr>
        <w:t>Disclosure of Shareholdings</w:t>
      </w:r>
      <w:r w:rsidRPr="00321E8B">
        <w:rPr>
          <w:rFonts w:ascii="Arial" w:hAnsi="Arial" w:cs="Arial"/>
          <w:color w:val="2B2B2B"/>
          <w:sz w:val="20"/>
          <w:szCs w:val="20"/>
        </w:rPr>
        <w:t xml:space="preserve"> </w:t>
      </w:r>
    </w:p>
    <w:p w14:paraId="3BEA4D02" w14:textId="77777777" w:rsidR="003E6D97" w:rsidRPr="003E6D97" w:rsidRDefault="003E6D97" w:rsidP="002A7D06">
      <w:pPr>
        <w:jc w:val="both"/>
        <w:rPr>
          <w:rFonts w:ascii="Arial" w:hAnsi="Arial" w:cs="Arial"/>
          <w:b/>
          <w:color w:val="2B2B2B"/>
          <w:sz w:val="20"/>
          <w:szCs w:val="20"/>
        </w:rPr>
      </w:pPr>
      <w:r>
        <w:rPr>
          <w:rFonts w:ascii="Arial" w:hAnsi="Arial" w:cs="Arial"/>
          <w:color w:val="2B2B2B"/>
          <w:sz w:val="20"/>
          <w:szCs w:val="20"/>
        </w:rPr>
        <w:t>A</w:t>
      </w:r>
      <w:r w:rsidRPr="003E6D97">
        <w:rPr>
          <w:rFonts w:ascii="Arial" w:hAnsi="Arial" w:cs="Arial"/>
          <w:color w:val="2B2B2B"/>
          <w:sz w:val="20"/>
          <w:szCs w:val="20"/>
        </w:rPr>
        <w:t xml:space="preserve"> Specialist Technology Company</w:t>
      </w:r>
      <w:r w:rsidR="00321E8B">
        <w:rPr>
          <w:rFonts w:ascii="Arial" w:hAnsi="Arial" w:cs="Arial"/>
          <w:color w:val="2B2B2B"/>
          <w:sz w:val="20"/>
          <w:szCs w:val="20"/>
        </w:rPr>
        <w:t xml:space="preserve"> m</w:t>
      </w:r>
      <w:r w:rsidR="002A7D06">
        <w:rPr>
          <w:rFonts w:ascii="Arial" w:hAnsi="Arial" w:cs="Arial"/>
          <w:color w:val="2B2B2B"/>
          <w:sz w:val="20"/>
          <w:szCs w:val="20"/>
        </w:rPr>
        <w:t>ust set out it in its listing document the total number of its securities held by each person subject to the lock-up requirements.</w:t>
      </w:r>
      <w:r w:rsidR="002A7D06">
        <w:rPr>
          <w:rStyle w:val="a6"/>
          <w:rFonts w:ascii="Arial" w:hAnsi="Arial" w:cs="Arial"/>
          <w:color w:val="2B2B2B"/>
          <w:sz w:val="20"/>
          <w:szCs w:val="20"/>
        </w:rPr>
        <w:footnoteReference w:id="25"/>
      </w:r>
    </w:p>
    <w:p w14:paraId="26991860" w14:textId="77777777" w:rsidR="003E6D97" w:rsidRPr="003E6D97" w:rsidRDefault="003E6D97" w:rsidP="003E6D97">
      <w:pPr>
        <w:jc w:val="both"/>
        <w:rPr>
          <w:rFonts w:ascii="Arial" w:hAnsi="Arial" w:cs="Arial"/>
          <w:color w:val="2B2B2B"/>
          <w:sz w:val="20"/>
          <w:szCs w:val="20"/>
        </w:rPr>
      </w:pPr>
      <w:r w:rsidRPr="003E6D97">
        <w:rPr>
          <w:rFonts w:ascii="Arial" w:hAnsi="Arial" w:cs="Arial"/>
          <w:color w:val="2B2B2B"/>
          <w:sz w:val="20"/>
          <w:szCs w:val="20"/>
        </w:rPr>
        <w:t>According to Rule 18C.18 of the HKEX Listing Rules, a Specialist Technology Company is required to disclose in its interim and annual reports the total number of securities held by each person that is subject to the lock-up requirements, based on publicly available information or otherwise within the knowledge of the company’s directors, as of the latest practicable date prior to the report’s issue date. This disclosure must continue as long as the relevant person remains a shareholder.</w:t>
      </w:r>
    </w:p>
    <w:p w14:paraId="5A48DBC3" w14:textId="77777777" w:rsidR="003E6D97" w:rsidRPr="002A7D06" w:rsidRDefault="003E6D97" w:rsidP="002A7D06">
      <w:pPr>
        <w:spacing w:after="150" w:line="240" w:lineRule="auto"/>
        <w:jc w:val="both"/>
        <w:textAlignment w:val="baseline"/>
        <w:rPr>
          <w:rFonts w:ascii="Arial" w:hAnsi="Arial" w:cs="Arial"/>
          <w:color w:val="2B2B2B"/>
          <w:sz w:val="20"/>
          <w:szCs w:val="20"/>
        </w:rPr>
      </w:pPr>
      <w:r w:rsidRPr="002A7D06">
        <w:rPr>
          <w:rFonts w:ascii="Arial" w:hAnsi="Arial" w:cs="Arial"/>
          <w:color w:val="2B2B2B"/>
          <w:sz w:val="20"/>
          <w:szCs w:val="20"/>
        </w:rPr>
        <w:lastRenderedPageBreak/>
        <w:t xml:space="preserve">Additionally, a Specialist Technology Company must disclose the total number of securities in the issuer held by each person subject to </w:t>
      </w:r>
      <w:r w:rsidR="002A7D06">
        <w:rPr>
          <w:rFonts w:ascii="Arial" w:hAnsi="Arial" w:cs="Arial"/>
          <w:color w:val="2B2B2B"/>
          <w:sz w:val="20"/>
          <w:szCs w:val="20"/>
        </w:rPr>
        <w:t xml:space="preserve">the </w:t>
      </w:r>
      <w:r w:rsidRPr="002A7D06">
        <w:rPr>
          <w:rFonts w:ascii="Arial" w:hAnsi="Arial" w:cs="Arial"/>
          <w:color w:val="2B2B2B"/>
          <w:sz w:val="20"/>
          <w:szCs w:val="20"/>
        </w:rPr>
        <w:t>lock-up requirements who are employed by the company as at the latest practicable date prior to the issue of the relevant report.</w:t>
      </w:r>
      <w:r w:rsidR="002A7D06">
        <w:rPr>
          <w:rStyle w:val="a6"/>
          <w:rFonts w:ascii="Arial" w:hAnsi="Arial" w:cs="Arial"/>
          <w:color w:val="2B2B2B"/>
          <w:sz w:val="20"/>
          <w:szCs w:val="20"/>
        </w:rPr>
        <w:footnoteReference w:id="26"/>
      </w:r>
      <w:r w:rsidRPr="002A7D06">
        <w:rPr>
          <w:rFonts w:ascii="Arial" w:hAnsi="Arial" w:cs="Arial"/>
          <w:color w:val="2B2B2B"/>
          <w:sz w:val="20"/>
          <w:szCs w:val="20"/>
        </w:rPr>
        <w:t xml:space="preserve"> </w:t>
      </w:r>
    </w:p>
    <w:p w14:paraId="3823AD38" w14:textId="77777777" w:rsidR="003D53EC" w:rsidRPr="00321E8B" w:rsidRDefault="003D53EC" w:rsidP="003D53EC">
      <w:pPr>
        <w:spacing w:after="150" w:line="240" w:lineRule="auto"/>
        <w:jc w:val="both"/>
        <w:textAlignment w:val="baseline"/>
        <w:rPr>
          <w:rFonts w:ascii="Arial" w:hAnsi="Arial" w:cs="Arial"/>
          <w:b/>
          <w:color w:val="FF0000"/>
          <w:sz w:val="20"/>
          <w:szCs w:val="20"/>
        </w:rPr>
      </w:pPr>
      <w:r w:rsidRPr="00321E8B">
        <w:rPr>
          <w:rFonts w:ascii="Arial" w:hAnsi="Arial" w:cs="Arial"/>
          <w:b/>
          <w:color w:val="FF0000"/>
          <w:sz w:val="20"/>
          <w:szCs w:val="20"/>
        </w:rPr>
        <w:t>Additional Continuing Obligations for Pre-Commercial Companies</w:t>
      </w:r>
    </w:p>
    <w:p w14:paraId="4BB90DF7" w14:textId="77777777" w:rsidR="003D53EC" w:rsidRDefault="003D53EC" w:rsidP="003D53EC">
      <w:pPr>
        <w:spacing w:after="150" w:line="240" w:lineRule="auto"/>
        <w:jc w:val="both"/>
        <w:textAlignment w:val="baseline"/>
        <w:rPr>
          <w:rFonts w:ascii="Arial" w:hAnsi="Arial" w:cs="Arial"/>
          <w:color w:val="2B2B2B"/>
          <w:sz w:val="20"/>
          <w:szCs w:val="20"/>
        </w:rPr>
      </w:pPr>
      <w:r w:rsidRPr="003D53EC">
        <w:rPr>
          <w:rFonts w:ascii="Arial" w:hAnsi="Arial" w:cs="Arial"/>
          <w:color w:val="2B2B2B"/>
          <w:sz w:val="20"/>
          <w:szCs w:val="20"/>
        </w:rPr>
        <w:t xml:space="preserve">Pre-Commercial Companies will have </w:t>
      </w:r>
      <w:r w:rsidR="00A402DF">
        <w:rPr>
          <w:rFonts w:ascii="Arial" w:hAnsi="Arial" w:cs="Arial"/>
          <w:color w:val="2B2B2B"/>
          <w:sz w:val="20"/>
          <w:szCs w:val="20"/>
        </w:rPr>
        <w:t xml:space="preserve">a number of </w:t>
      </w:r>
      <w:r w:rsidRPr="003D53EC">
        <w:rPr>
          <w:rFonts w:ascii="Arial" w:hAnsi="Arial" w:cs="Arial"/>
          <w:color w:val="2B2B2B"/>
          <w:sz w:val="20"/>
          <w:szCs w:val="20"/>
        </w:rPr>
        <w:t xml:space="preserve">additional continuing obligations until they reach the </w:t>
      </w:r>
      <w:proofErr w:type="spellStart"/>
      <w:r w:rsidRPr="003D53EC">
        <w:rPr>
          <w:rFonts w:ascii="Arial" w:hAnsi="Arial" w:cs="Arial"/>
          <w:color w:val="2B2B2B"/>
          <w:sz w:val="20"/>
          <w:szCs w:val="20"/>
        </w:rPr>
        <w:t>Comm</w:t>
      </w:r>
      <w:r w:rsidR="007D573B">
        <w:rPr>
          <w:rFonts w:ascii="Arial" w:hAnsi="Arial" w:cs="Arial"/>
          <w:color w:val="2B2B2B"/>
          <w:sz w:val="20"/>
          <w:szCs w:val="20"/>
        </w:rPr>
        <w:t>ercialisation</w:t>
      </w:r>
      <w:proofErr w:type="spellEnd"/>
      <w:r w:rsidR="007D573B">
        <w:rPr>
          <w:rFonts w:ascii="Arial" w:hAnsi="Arial" w:cs="Arial"/>
          <w:color w:val="2B2B2B"/>
          <w:sz w:val="20"/>
          <w:szCs w:val="20"/>
        </w:rPr>
        <w:t xml:space="preserve"> Revenue Threshold. </w:t>
      </w:r>
      <w:r w:rsidR="00A402DF">
        <w:rPr>
          <w:rFonts w:ascii="Arial" w:hAnsi="Arial" w:cs="Arial"/>
          <w:color w:val="2B2B2B"/>
          <w:sz w:val="20"/>
          <w:szCs w:val="20"/>
        </w:rPr>
        <w:t>These include:</w:t>
      </w:r>
    </w:p>
    <w:p w14:paraId="1559A7A8" w14:textId="77777777" w:rsidR="003D53EC" w:rsidRDefault="00A402DF" w:rsidP="003D53EC">
      <w:pPr>
        <w:pStyle w:val="a3"/>
        <w:numPr>
          <w:ilvl w:val="0"/>
          <w:numId w:val="31"/>
        </w:numPr>
        <w:spacing w:after="150" w:line="240" w:lineRule="auto"/>
        <w:jc w:val="both"/>
        <w:textAlignment w:val="baseline"/>
        <w:rPr>
          <w:rFonts w:ascii="Arial" w:hAnsi="Arial" w:cs="Arial"/>
          <w:color w:val="2B2B2B"/>
          <w:sz w:val="20"/>
          <w:szCs w:val="20"/>
        </w:rPr>
      </w:pPr>
      <w:r>
        <w:rPr>
          <w:rFonts w:ascii="Arial" w:hAnsi="Arial" w:cs="Arial"/>
          <w:color w:val="2B2B2B"/>
          <w:sz w:val="20"/>
          <w:szCs w:val="20"/>
        </w:rPr>
        <w:t xml:space="preserve">an obligation to </w:t>
      </w:r>
      <w:r w:rsidR="003D53EC">
        <w:rPr>
          <w:rFonts w:ascii="Arial" w:hAnsi="Arial" w:cs="Arial"/>
          <w:color w:val="2B2B2B"/>
          <w:sz w:val="20"/>
          <w:szCs w:val="20"/>
        </w:rPr>
        <w:t>disclose</w:t>
      </w:r>
      <w:r w:rsidR="003D53EC" w:rsidRPr="003D53EC">
        <w:rPr>
          <w:rFonts w:ascii="Arial" w:hAnsi="Arial" w:cs="Arial"/>
          <w:color w:val="2B2B2B"/>
          <w:sz w:val="20"/>
          <w:szCs w:val="20"/>
        </w:rPr>
        <w:t xml:space="preserve"> in their interim and annual reports</w:t>
      </w:r>
      <w:r w:rsidR="003D53EC" w:rsidRPr="003D53EC">
        <w:t xml:space="preserve"> </w:t>
      </w:r>
      <w:r w:rsidR="003D53EC">
        <w:rPr>
          <w:rFonts w:ascii="Arial" w:hAnsi="Arial" w:cs="Arial"/>
          <w:color w:val="2B2B2B"/>
          <w:sz w:val="20"/>
          <w:szCs w:val="20"/>
        </w:rPr>
        <w:t>details of their</w:t>
      </w:r>
      <w:r w:rsidR="003D53EC" w:rsidRPr="003D53EC">
        <w:rPr>
          <w:rFonts w:ascii="Arial" w:hAnsi="Arial" w:cs="Arial"/>
          <w:color w:val="2B2B2B"/>
          <w:sz w:val="20"/>
          <w:szCs w:val="20"/>
        </w:rPr>
        <w:t xml:space="preserve"> </w:t>
      </w:r>
      <w:r w:rsidR="003D53EC">
        <w:rPr>
          <w:rFonts w:ascii="Arial" w:hAnsi="Arial" w:cs="Arial"/>
          <w:color w:val="2B2B2B"/>
          <w:sz w:val="20"/>
          <w:szCs w:val="20"/>
        </w:rPr>
        <w:t>R&amp;D</w:t>
      </w:r>
      <w:r w:rsidR="003D53EC" w:rsidRPr="003D53EC">
        <w:rPr>
          <w:rFonts w:ascii="Arial" w:hAnsi="Arial" w:cs="Arial"/>
          <w:color w:val="2B2B2B"/>
          <w:sz w:val="20"/>
          <w:szCs w:val="20"/>
        </w:rPr>
        <w:t xml:space="preserve"> </w:t>
      </w:r>
      <w:r w:rsidR="00271F8C" w:rsidRPr="003D53EC">
        <w:rPr>
          <w:rFonts w:ascii="Arial" w:hAnsi="Arial" w:cs="Arial"/>
          <w:color w:val="2B2B2B"/>
          <w:sz w:val="20"/>
          <w:szCs w:val="20"/>
        </w:rPr>
        <w:t xml:space="preserve">activities </w:t>
      </w:r>
      <w:r w:rsidR="003D53EC" w:rsidRPr="003D53EC">
        <w:rPr>
          <w:rFonts w:ascii="Arial" w:hAnsi="Arial" w:cs="Arial"/>
          <w:color w:val="2B2B2B"/>
          <w:sz w:val="20"/>
          <w:szCs w:val="20"/>
        </w:rPr>
        <w:t xml:space="preserve">and </w:t>
      </w:r>
      <w:proofErr w:type="spellStart"/>
      <w:r w:rsidR="00271F8C">
        <w:rPr>
          <w:rFonts w:ascii="Arial" w:hAnsi="Arial" w:cs="Arial"/>
          <w:color w:val="2B2B2B"/>
          <w:sz w:val="20"/>
          <w:szCs w:val="20"/>
        </w:rPr>
        <w:t>commerciali</w:t>
      </w:r>
      <w:r w:rsidR="007039FA">
        <w:rPr>
          <w:rFonts w:ascii="Arial" w:hAnsi="Arial" w:cs="Arial"/>
          <w:color w:val="2B2B2B"/>
          <w:sz w:val="20"/>
          <w:szCs w:val="20"/>
        </w:rPr>
        <w:t>s</w:t>
      </w:r>
      <w:r>
        <w:rPr>
          <w:rFonts w:ascii="Arial" w:hAnsi="Arial" w:cs="Arial"/>
          <w:color w:val="2B2B2B"/>
          <w:sz w:val="20"/>
          <w:szCs w:val="20"/>
        </w:rPr>
        <w:t>ation</w:t>
      </w:r>
      <w:proofErr w:type="spellEnd"/>
      <w:r>
        <w:rPr>
          <w:rFonts w:ascii="Arial" w:hAnsi="Arial" w:cs="Arial"/>
          <w:color w:val="2B2B2B"/>
          <w:sz w:val="20"/>
          <w:szCs w:val="20"/>
        </w:rPr>
        <w:t xml:space="preserve"> activities during the period</w:t>
      </w:r>
      <w:r w:rsidR="003D53EC" w:rsidRPr="003D53EC">
        <w:rPr>
          <w:rFonts w:ascii="Arial" w:hAnsi="Arial" w:cs="Arial"/>
          <w:color w:val="2B2B2B"/>
          <w:sz w:val="20"/>
          <w:szCs w:val="20"/>
        </w:rPr>
        <w:t>, including:</w:t>
      </w:r>
    </w:p>
    <w:p w14:paraId="2B81933A" w14:textId="77777777" w:rsidR="003D53EC" w:rsidRPr="003D53EC" w:rsidRDefault="003D53EC" w:rsidP="003D53EC">
      <w:pPr>
        <w:pStyle w:val="a3"/>
        <w:spacing w:after="150" w:line="240" w:lineRule="auto"/>
        <w:jc w:val="both"/>
        <w:textAlignment w:val="baseline"/>
        <w:rPr>
          <w:rFonts w:ascii="Arial" w:hAnsi="Arial" w:cs="Arial"/>
          <w:color w:val="2B2B2B"/>
          <w:sz w:val="20"/>
          <w:szCs w:val="20"/>
        </w:rPr>
      </w:pPr>
    </w:p>
    <w:p w14:paraId="24F9DE94" w14:textId="77777777" w:rsidR="003D53EC" w:rsidRPr="003D53EC" w:rsidRDefault="00A402DF" w:rsidP="003D53EC">
      <w:pPr>
        <w:pStyle w:val="a3"/>
        <w:numPr>
          <w:ilvl w:val="1"/>
          <w:numId w:val="31"/>
        </w:numPr>
        <w:spacing w:after="150" w:line="240" w:lineRule="auto"/>
        <w:jc w:val="both"/>
        <w:textAlignment w:val="baseline"/>
        <w:rPr>
          <w:rFonts w:ascii="Arial" w:hAnsi="Arial" w:cs="Arial"/>
          <w:color w:val="2B2B2B"/>
          <w:sz w:val="20"/>
          <w:szCs w:val="20"/>
        </w:rPr>
      </w:pPr>
      <w:r>
        <w:rPr>
          <w:rFonts w:ascii="Arial" w:hAnsi="Arial" w:cs="Arial"/>
          <w:color w:val="2B2B2B"/>
          <w:sz w:val="20"/>
          <w:szCs w:val="20"/>
        </w:rPr>
        <w:t xml:space="preserve">details of the </w:t>
      </w:r>
      <w:r w:rsidR="003D53EC" w:rsidRPr="003D53EC">
        <w:rPr>
          <w:rFonts w:ascii="Arial" w:hAnsi="Arial" w:cs="Arial"/>
          <w:color w:val="2B2B2B"/>
          <w:sz w:val="20"/>
          <w:szCs w:val="20"/>
        </w:rPr>
        <w:t>development progress of their Specialist Technology Product</w:t>
      </w:r>
      <w:r w:rsidR="003D53EC">
        <w:rPr>
          <w:rFonts w:ascii="Arial" w:hAnsi="Arial" w:cs="Arial"/>
          <w:color w:val="2B2B2B"/>
          <w:sz w:val="20"/>
          <w:szCs w:val="20"/>
        </w:rPr>
        <w:t>(s)</w:t>
      </w:r>
      <w:r w:rsidR="003D53EC" w:rsidRPr="003D53EC">
        <w:rPr>
          <w:rFonts w:ascii="Arial" w:hAnsi="Arial" w:cs="Arial"/>
          <w:color w:val="2B2B2B"/>
          <w:sz w:val="20"/>
          <w:szCs w:val="20"/>
        </w:rPr>
        <w:t>;</w:t>
      </w:r>
    </w:p>
    <w:p w14:paraId="20DCAAAF" w14:textId="77777777" w:rsidR="003D53EC" w:rsidRPr="003D53EC" w:rsidRDefault="00A402DF" w:rsidP="003D53EC">
      <w:pPr>
        <w:pStyle w:val="a3"/>
        <w:numPr>
          <w:ilvl w:val="1"/>
          <w:numId w:val="31"/>
        </w:numPr>
        <w:spacing w:after="150" w:line="240" w:lineRule="auto"/>
        <w:jc w:val="both"/>
        <w:textAlignment w:val="baseline"/>
        <w:rPr>
          <w:rFonts w:ascii="Arial" w:hAnsi="Arial" w:cs="Arial"/>
          <w:color w:val="2B2B2B"/>
          <w:sz w:val="20"/>
          <w:szCs w:val="20"/>
        </w:rPr>
      </w:pPr>
      <w:r>
        <w:rPr>
          <w:rFonts w:ascii="Arial" w:hAnsi="Arial" w:cs="Arial"/>
          <w:color w:val="2B2B2B"/>
          <w:sz w:val="20"/>
          <w:szCs w:val="20"/>
        </w:rPr>
        <w:t xml:space="preserve">the </w:t>
      </w:r>
      <w:r w:rsidR="003D53EC" w:rsidRPr="003D53EC">
        <w:rPr>
          <w:rFonts w:ascii="Arial" w:hAnsi="Arial" w:cs="Arial"/>
          <w:color w:val="2B2B2B"/>
          <w:sz w:val="20"/>
          <w:szCs w:val="20"/>
        </w:rPr>
        <w:t xml:space="preserve">timeframe </w:t>
      </w:r>
      <w:r>
        <w:rPr>
          <w:rFonts w:ascii="Arial" w:hAnsi="Arial" w:cs="Arial"/>
          <w:color w:val="2B2B2B"/>
          <w:sz w:val="20"/>
          <w:szCs w:val="20"/>
        </w:rPr>
        <w:t xml:space="preserve">for, </w:t>
      </w:r>
      <w:r w:rsidR="003D53EC" w:rsidRPr="003D53EC">
        <w:rPr>
          <w:rFonts w:ascii="Arial" w:hAnsi="Arial" w:cs="Arial"/>
          <w:color w:val="2B2B2B"/>
          <w:sz w:val="20"/>
          <w:szCs w:val="20"/>
        </w:rPr>
        <w:t xml:space="preserve">and </w:t>
      </w:r>
      <w:r>
        <w:rPr>
          <w:rFonts w:ascii="Arial" w:hAnsi="Arial" w:cs="Arial"/>
          <w:color w:val="2B2B2B"/>
          <w:sz w:val="20"/>
          <w:szCs w:val="20"/>
        </w:rPr>
        <w:t xml:space="preserve">any </w:t>
      </w:r>
      <w:r w:rsidR="003D53EC" w:rsidRPr="003D53EC">
        <w:rPr>
          <w:rFonts w:ascii="Arial" w:hAnsi="Arial" w:cs="Arial"/>
          <w:color w:val="2B2B2B"/>
          <w:sz w:val="20"/>
          <w:szCs w:val="20"/>
        </w:rPr>
        <w:t xml:space="preserve">progress </w:t>
      </w:r>
      <w:r>
        <w:rPr>
          <w:rFonts w:ascii="Arial" w:hAnsi="Arial" w:cs="Arial"/>
          <w:color w:val="2B2B2B"/>
          <w:sz w:val="20"/>
          <w:szCs w:val="20"/>
        </w:rPr>
        <w:t xml:space="preserve">made </w:t>
      </w:r>
      <w:r w:rsidR="003D53EC" w:rsidRPr="003D53EC">
        <w:rPr>
          <w:rFonts w:ascii="Arial" w:hAnsi="Arial" w:cs="Arial"/>
          <w:color w:val="2B2B2B"/>
          <w:sz w:val="20"/>
          <w:szCs w:val="20"/>
        </w:rPr>
        <w:t>towards</w:t>
      </w:r>
      <w:r>
        <w:rPr>
          <w:rFonts w:ascii="Arial" w:hAnsi="Arial" w:cs="Arial"/>
          <w:color w:val="2B2B2B"/>
          <w:sz w:val="20"/>
          <w:szCs w:val="20"/>
        </w:rPr>
        <w:t>,</w:t>
      </w:r>
      <w:r w:rsidR="003D53EC" w:rsidRPr="003D53EC">
        <w:rPr>
          <w:rFonts w:ascii="Arial" w:hAnsi="Arial" w:cs="Arial"/>
          <w:color w:val="2B2B2B"/>
          <w:sz w:val="20"/>
          <w:szCs w:val="20"/>
        </w:rPr>
        <w:t xml:space="preserve"> meeting the </w:t>
      </w:r>
      <w:proofErr w:type="spellStart"/>
      <w:r w:rsidR="003D53EC" w:rsidRPr="003D53EC">
        <w:rPr>
          <w:rFonts w:ascii="Arial" w:hAnsi="Arial" w:cs="Arial"/>
          <w:color w:val="2B2B2B"/>
          <w:sz w:val="20"/>
          <w:szCs w:val="20"/>
        </w:rPr>
        <w:t>Commercialisation</w:t>
      </w:r>
      <w:proofErr w:type="spellEnd"/>
      <w:r w:rsidR="003D53EC" w:rsidRPr="003D53EC">
        <w:rPr>
          <w:rFonts w:ascii="Arial" w:hAnsi="Arial" w:cs="Arial"/>
          <w:color w:val="2B2B2B"/>
          <w:sz w:val="20"/>
          <w:szCs w:val="20"/>
        </w:rPr>
        <w:t xml:space="preserve"> Revenue Threshold</w:t>
      </w:r>
      <w:r w:rsidR="003D53EC">
        <w:rPr>
          <w:rFonts w:ascii="Arial" w:hAnsi="Arial" w:cs="Arial"/>
          <w:color w:val="2B2B2B"/>
          <w:sz w:val="20"/>
          <w:szCs w:val="20"/>
        </w:rPr>
        <w:t xml:space="preserve">; </w:t>
      </w:r>
    </w:p>
    <w:p w14:paraId="4C8CCA06" w14:textId="77777777" w:rsidR="003D53EC" w:rsidRPr="00AA36A9" w:rsidRDefault="00AA36A9" w:rsidP="00AA36A9">
      <w:pPr>
        <w:pStyle w:val="a3"/>
        <w:numPr>
          <w:ilvl w:val="1"/>
          <w:numId w:val="31"/>
        </w:numPr>
        <w:spacing w:after="150" w:line="240" w:lineRule="auto"/>
        <w:jc w:val="both"/>
        <w:textAlignment w:val="baseline"/>
        <w:rPr>
          <w:rFonts w:ascii="Arial" w:hAnsi="Arial" w:cs="Arial"/>
          <w:color w:val="2B2B2B"/>
          <w:sz w:val="20"/>
          <w:szCs w:val="20"/>
        </w:rPr>
      </w:pPr>
      <w:r w:rsidRPr="00AA36A9">
        <w:rPr>
          <w:rFonts w:ascii="Arial" w:hAnsi="Arial" w:cs="Arial"/>
          <w:color w:val="2B2B2B"/>
          <w:sz w:val="20"/>
          <w:szCs w:val="20"/>
        </w:rPr>
        <w:t>updates on any revenue, profit and other business and financial estimates as</w:t>
      </w:r>
      <w:r>
        <w:rPr>
          <w:rFonts w:ascii="Arial" w:hAnsi="Arial" w:cs="Arial"/>
          <w:color w:val="2B2B2B"/>
          <w:sz w:val="20"/>
          <w:szCs w:val="20"/>
        </w:rPr>
        <w:t xml:space="preserve"> p</w:t>
      </w:r>
      <w:r w:rsidR="00A402DF">
        <w:rPr>
          <w:rFonts w:ascii="Arial" w:hAnsi="Arial" w:cs="Arial"/>
          <w:color w:val="2B2B2B"/>
          <w:sz w:val="20"/>
          <w:szCs w:val="20"/>
        </w:rPr>
        <w:t>rovided in the listing document</w:t>
      </w:r>
      <w:r>
        <w:rPr>
          <w:rFonts w:ascii="Arial" w:hAnsi="Arial" w:cs="Arial"/>
          <w:color w:val="2B2B2B"/>
          <w:sz w:val="20"/>
          <w:szCs w:val="20"/>
        </w:rPr>
        <w:t xml:space="preserve"> </w:t>
      </w:r>
      <w:r w:rsidRPr="00AA36A9">
        <w:rPr>
          <w:rFonts w:ascii="Arial" w:hAnsi="Arial" w:cs="Arial"/>
          <w:color w:val="2B2B2B"/>
          <w:sz w:val="20"/>
          <w:szCs w:val="20"/>
        </w:rPr>
        <w:t>and any subsequent update to those estimates as</w:t>
      </w:r>
      <w:r>
        <w:rPr>
          <w:rFonts w:ascii="Arial" w:hAnsi="Arial" w:cs="Arial"/>
          <w:color w:val="2B2B2B"/>
          <w:sz w:val="20"/>
          <w:szCs w:val="20"/>
        </w:rPr>
        <w:t xml:space="preserve"> </w:t>
      </w:r>
      <w:r w:rsidRPr="00AA36A9">
        <w:rPr>
          <w:rFonts w:ascii="Arial" w:hAnsi="Arial" w:cs="Arial"/>
          <w:color w:val="2B2B2B"/>
          <w:sz w:val="20"/>
          <w:szCs w:val="20"/>
        </w:rPr>
        <w:t>publish</w:t>
      </w:r>
      <w:r w:rsidR="007D573B">
        <w:rPr>
          <w:rFonts w:ascii="Arial" w:hAnsi="Arial" w:cs="Arial"/>
          <w:color w:val="2B2B2B"/>
          <w:sz w:val="20"/>
          <w:szCs w:val="20"/>
        </w:rPr>
        <w:t>ed by the Pre-Commercial Companies</w:t>
      </w:r>
      <w:r w:rsidR="003D53EC" w:rsidRPr="00AA36A9">
        <w:rPr>
          <w:rFonts w:ascii="Arial" w:hAnsi="Arial" w:cs="Arial"/>
          <w:color w:val="2B2B2B"/>
          <w:sz w:val="20"/>
          <w:szCs w:val="20"/>
        </w:rPr>
        <w:t>;</w:t>
      </w:r>
    </w:p>
    <w:p w14:paraId="502F28D6" w14:textId="77777777" w:rsidR="003D53EC" w:rsidRPr="003D53EC" w:rsidRDefault="003D53EC" w:rsidP="003D53EC">
      <w:pPr>
        <w:pStyle w:val="a3"/>
        <w:numPr>
          <w:ilvl w:val="1"/>
          <w:numId w:val="31"/>
        </w:numPr>
        <w:spacing w:after="150" w:line="240" w:lineRule="auto"/>
        <w:jc w:val="both"/>
        <w:textAlignment w:val="baseline"/>
        <w:rPr>
          <w:rFonts w:ascii="Arial" w:hAnsi="Arial" w:cs="Arial"/>
          <w:color w:val="2B2B2B"/>
          <w:sz w:val="20"/>
          <w:szCs w:val="20"/>
        </w:rPr>
      </w:pPr>
      <w:r w:rsidRPr="003D53EC">
        <w:rPr>
          <w:rFonts w:ascii="Arial" w:hAnsi="Arial" w:cs="Arial"/>
          <w:color w:val="2B2B2B"/>
          <w:sz w:val="20"/>
          <w:szCs w:val="20"/>
        </w:rPr>
        <w:t xml:space="preserve">summary of </w:t>
      </w:r>
      <w:r>
        <w:rPr>
          <w:rFonts w:ascii="Arial" w:hAnsi="Arial" w:cs="Arial"/>
          <w:color w:val="2B2B2B"/>
          <w:sz w:val="20"/>
          <w:szCs w:val="20"/>
        </w:rPr>
        <w:t>R</w:t>
      </w:r>
      <w:r w:rsidRPr="003D53EC">
        <w:rPr>
          <w:rFonts w:ascii="Arial" w:hAnsi="Arial" w:cs="Arial"/>
          <w:color w:val="2B2B2B"/>
          <w:sz w:val="20"/>
          <w:szCs w:val="20"/>
        </w:rPr>
        <w:t>&amp;</w:t>
      </w:r>
      <w:r>
        <w:rPr>
          <w:rFonts w:ascii="Arial" w:hAnsi="Arial" w:cs="Arial"/>
          <w:color w:val="2B2B2B"/>
          <w:sz w:val="20"/>
          <w:szCs w:val="20"/>
        </w:rPr>
        <w:t>D</w:t>
      </w:r>
      <w:r w:rsidRPr="003D53EC">
        <w:rPr>
          <w:rFonts w:ascii="Arial" w:hAnsi="Arial" w:cs="Arial"/>
          <w:color w:val="2B2B2B"/>
          <w:sz w:val="20"/>
          <w:szCs w:val="20"/>
        </w:rPr>
        <w:t xml:space="preserve"> expenditure;</w:t>
      </w:r>
      <w:r w:rsidR="007D573B">
        <w:rPr>
          <w:rFonts w:ascii="Arial" w:hAnsi="Arial" w:cs="Arial"/>
          <w:color w:val="2B2B2B"/>
          <w:sz w:val="20"/>
          <w:szCs w:val="20"/>
        </w:rPr>
        <w:t xml:space="preserve"> and </w:t>
      </w:r>
    </w:p>
    <w:p w14:paraId="3C3E7FB8" w14:textId="77777777" w:rsidR="003D53EC" w:rsidRDefault="00AA36A9" w:rsidP="00AA36A9">
      <w:pPr>
        <w:pStyle w:val="a3"/>
        <w:numPr>
          <w:ilvl w:val="1"/>
          <w:numId w:val="31"/>
        </w:numPr>
        <w:spacing w:after="150" w:line="240" w:lineRule="auto"/>
        <w:jc w:val="both"/>
        <w:textAlignment w:val="baseline"/>
        <w:rPr>
          <w:rFonts w:ascii="Arial" w:hAnsi="Arial" w:cs="Arial"/>
          <w:color w:val="2B2B2B"/>
          <w:sz w:val="20"/>
          <w:szCs w:val="20"/>
        </w:rPr>
      </w:pPr>
      <w:r w:rsidRPr="00AA36A9">
        <w:rPr>
          <w:rFonts w:ascii="Arial" w:hAnsi="Arial" w:cs="Arial"/>
          <w:color w:val="2B2B2B"/>
          <w:sz w:val="20"/>
          <w:szCs w:val="20"/>
        </w:rPr>
        <w:t>a promi</w:t>
      </w:r>
      <w:r w:rsidR="007D573B">
        <w:rPr>
          <w:rFonts w:ascii="Arial" w:hAnsi="Arial" w:cs="Arial"/>
          <w:color w:val="2B2B2B"/>
          <w:sz w:val="20"/>
          <w:szCs w:val="20"/>
        </w:rPr>
        <w:t>nently disclosed warning that the companies</w:t>
      </w:r>
      <w:r w:rsidRPr="00AA36A9">
        <w:rPr>
          <w:rFonts w:ascii="Arial" w:hAnsi="Arial" w:cs="Arial"/>
          <w:color w:val="2B2B2B"/>
          <w:sz w:val="20"/>
          <w:szCs w:val="20"/>
        </w:rPr>
        <w:t xml:space="preserve"> may not achieve </w:t>
      </w:r>
      <w:r>
        <w:rPr>
          <w:rFonts w:ascii="Arial" w:hAnsi="Arial" w:cs="Arial"/>
          <w:color w:val="2B2B2B"/>
          <w:sz w:val="20"/>
          <w:szCs w:val="20"/>
        </w:rPr>
        <w:t xml:space="preserve">the </w:t>
      </w:r>
      <w:proofErr w:type="spellStart"/>
      <w:r w:rsidRPr="003D53EC">
        <w:rPr>
          <w:rFonts w:ascii="Arial" w:hAnsi="Arial" w:cs="Arial"/>
          <w:color w:val="2B2B2B"/>
          <w:sz w:val="20"/>
          <w:szCs w:val="20"/>
        </w:rPr>
        <w:t>Commercialisation</w:t>
      </w:r>
      <w:proofErr w:type="spellEnd"/>
      <w:r w:rsidRPr="003D53EC">
        <w:rPr>
          <w:rFonts w:ascii="Arial" w:hAnsi="Arial" w:cs="Arial"/>
          <w:color w:val="2B2B2B"/>
          <w:sz w:val="20"/>
          <w:szCs w:val="20"/>
        </w:rPr>
        <w:t xml:space="preserve"> Revenue Threshold</w:t>
      </w:r>
      <w:r w:rsidR="00B7422E">
        <w:rPr>
          <w:rFonts w:ascii="Arial" w:hAnsi="Arial" w:cs="Arial"/>
          <w:color w:val="2B2B2B"/>
          <w:sz w:val="20"/>
          <w:szCs w:val="20"/>
        </w:rPr>
        <w:t xml:space="preserve">. </w:t>
      </w:r>
    </w:p>
    <w:p w14:paraId="44B697DA" w14:textId="77777777" w:rsidR="00B7422E" w:rsidRPr="003D53EC" w:rsidRDefault="00B7422E" w:rsidP="00B7422E">
      <w:pPr>
        <w:pStyle w:val="a3"/>
        <w:spacing w:after="150" w:line="240" w:lineRule="auto"/>
        <w:ind w:left="1440"/>
        <w:jc w:val="both"/>
        <w:textAlignment w:val="baseline"/>
        <w:rPr>
          <w:rFonts w:ascii="Arial" w:hAnsi="Arial" w:cs="Arial"/>
          <w:color w:val="2B2B2B"/>
          <w:sz w:val="20"/>
          <w:szCs w:val="20"/>
        </w:rPr>
      </w:pPr>
    </w:p>
    <w:p w14:paraId="2BEC5027" w14:textId="77777777" w:rsidR="003D53EC" w:rsidRDefault="002843CF" w:rsidP="003D53EC">
      <w:pPr>
        <w:pStyle w:val="a3"/>
        <w:numPr>
          <w:ilvl w:val="0"/>
          <w:numId w:val="31"/>
        </w:numPr>
        <w:spacing w:after="150" w:line="240" w:lineRule="auto"/>
        <w:jc w:val="both"/>
        <w:textAlignment w:val="baseline"/>
        <w:rPr>
          <w:rFonts w:ascii="Arial" w:hAnsi="Arial" w:cs="Arial"/>
          <w:color w:val="2B2B2B"/>
          <w:sz w:val="20"/>
          <w:szCs w:val="20"/>
        </w:rPr>
      </w:pPr>
      <w:r w:rsidRPr="003D53EC">
        <w:rPr>
          <w:rFonts w:ascii="Arial" w:hAnsi="Arial" w:cs="Arial"/>
          <w:color w:val="2B2B2B"/>
          <w:sz w:val="20"/>
          <w:szCs w:val="20"/>
        </w:rPr>
        <w:t>a 12-month (rather than the typical 18-month) remedial period for re-compliance with the sufficiency of operations requirement before delisting;</w:t>
      </w:r>
    </w:p>
    <w:p w14:paraId="23CBA65C" w14:textId="77777777" w:rsidR="00A402DF" w:rsidRDefault="00A402DF" w:rsidP="00A402DF">
      <w:pPr>
        <w:pStyle w:val="a3"/>
        <w:spacing w:after="150" w:line="240" w:lineRule="auto"/>
        <w:jc w:val="both"/>
        <w:textAlignment w:val="baseline"/>
        <w:rPr>
          <w:rFonts w:ascii="Arial" w:hAnsi="Arial" w:cs="Arial"/>
          <w:color w:val="2B2B2B"/>
          <w:sz w:val="20"/>
          <w:szCs w:val="20"/>
        </w:rPr>
      </w:pPr>
    </w:p>
    <w:p w14:paraId="56B9E81E" w14:textId="77777777" w:rsidR="003D53EC" w:rsidRDefault="002843CF" w:rsidP="003D53EC">
      <w:pPr>
        <w:pStyle w:val="a3"/>
        <w:numPr>
          <w:ilvl w:val="0"/>
          <w:numId w:val="31"/>
        </w:numPr>
        <w:spacing w:after="150" w:line="240" w:lineRule="auto"/>
        <w:jc w:val="both"/>
        <w:textAlignment w:val="baseline"/>
        <w:rPr>
          <w:rFonts w:ascii="Arial" w:hAnsi="Arial" w:cs="Arial"/>
          <w:color w:val="2B2B2B"/>
          <w:sz w:val="20"/>
          <w:szCs w:val="20"/>
        </w:rPr>
      </w:pPr>
      <w:r w:rsidRPr="003D53EC">
        <w:rPr>
          <w:rFonts w:ascii="Arial" w:hAnsi="Arial" w:cs="Arial"/>
          <w:color w:val="2B2B2B"/>
          <w:sz w:val="20"/>
          <w:szCs w:val="20"/>
        </w:rPr>
        <w:t>a restriction on effecting any transaction that would constitute a material cha</w:t>
      </w:r>
      <w:r w:rsidR="003C7A49">
        <w:rPr>
          <w:rFonts w:ascii="Arial" w:hAnsi="Arial" w:cs="Arial"/>
          <w:color w:val="2B2B2B"/>
          <w:sz w:val="20"/>
          <w:szCs w:val="20"/>
        </w:rPr>
        <w:t>nge of business without the HKEX</w:t>
      </w:r>
      <w:r w:rsidRPr="003D53EC">
        <w:rPr>
          <w:rFonts w:ascii="Arial" w:hAnsi="Arial" w:cs="Arial"/>
          <w:color w:val="2B2B2B"/>
          <w:sz w:val="20"/>
          <w:szCs w:val="20"/>
        </w:rPr>
        <w:t>’s prior consent; and</w:t>
      </w:r>
    </w:p>
    <w:p w14:paraId="350AB8CA" w14:textId="77777777" w:rsidR="00A402DF" w:rsidRPr="003D53EC" w:rsidRDefault="00A402DF" w:rsidP="00A402DF">
      <w:pPr>
        <w:pStyle w:val="a3"/>
        <w:spacing w:after="150" w:line="240" w:lineRule="auto"/>
        <w:jc w:val="both"/>
        <w:textAlignment w:val="baseline"/>
        <w:rPr>
          <w:rFonts w:ascii="Arial" w:hAnsi="Arial" w:cs="Arial"/>
          <w:color w:val="2B2B2B"/>
          <w:sz w:val="20"/>
          <w:szCs w:val="20"/>
        </w:rPr>
      </w:pPr>
    </w:p>
    <w:p w14:paraId="775FFAD1" w14:textId="77777777" w:rsidR="00853BCD" w:rsidRDefault="002843CF" w:rsidP="003D53EC">
      <w:pPr>
        <w:pStyle w:val="a3"/>
        <w:numPr>
          <w:ilvl w:val="0"/>
          <w:numId w:val="31"/>
        </w:numPr>
        <w:spacing w:after="150" w:line="240" w:lineRule="auto"/>
        <w:jc w:val="both"/>
        <w:textAlignment w:val="baseline"/>
        <w:rPr>
          <w:rFonts w:ascii="Arial" w:hAnsi="Arial" w:cs="Arial"/>
          <w:color w:val="2B2B2B"/>
          <w:sz w:val="20"/>
          <w:szCs w:val="20"/>
        </w:rPr>
      </w:pPr>
      <w:r w:rsidRPr="003D53EC">
        <w:rPr>
          <w:rFonts w:ascii="Arial" w:hAnsi="Arial" w:cs="Arial"/>
          <w:color w:val="2B2B2B"/>
          <w:sz w:val="20"/>
          <w:szCs w:val="20"/>
        </w:rPr>
        <w:t xml:space="preserve">identification </w:t>
      </w:r>
      <w:r w:rsidR="003D53EC" w:rsidRPr="003D53EC">
        <w:rPr>
          <w:rFonts w:ascii="Arial" w:hAnsi="Arial" w:cs="Arial"/>
          <w:color w:val="2B2B2B"/>
          <w:sz w:val="20"/>
          <w:szCs w:val="20"/>
        </w:rPr>
        <w:t>through a “PC” stock marker at the end of their stock names.</w:t>
      </w:r>
    </w:p>
    <w:p w14:paraId="3826112C" w14:textId="77777777" w:rsidR="00E1626F" w:rsidRPr="00E1626F" w:rsidRDefault="00E1626F" w:rsidP="00E1626F">
      <w:pPr>
        <w:rPr>
          <w:rFonts w:ascii="Arial" w:hAnsi="Arial" w:cs="Arial"/>
          <w:b/>
          <w:color w:val="2B2B2B"/>
          <w:sz w:val="20"/>
          <w:szCs w:val="20"/>
        </w:rPr>
      </w:pPr>
      <w:r w:rsidRPr="00E1626F">
        <w:rPr>
          <w:rFonts w:ascii="Arial" w:hAnsi="Arial" w:cs="Arial"/>
          <w:b/>
          <w:color w:val="2B2B2B"/>
          <w:sz w:val="20"/>
          <w:szCs w:val="20"/>
        </w:rPr>
        <w:t>Removal of Pre-Commercial Company Designation</w:t>
      </w:r>
    </w:p>
    <w:p w14:paraId="276D9888" w14:textId="77777777" w:rsidR="00E1626F" w:rsidRPr="004B5136" w:rsidRDefault="001975DC" w:rsidP="00E1626F">
      <w:pPr>
        <w:spacing w:after="150" w:line="240" w:lineRule="auto"/>
        <w:jc w:val="both"/>
        <w:textAlignment w:val="baseline"/>
        <w:rPr>
          <w:rFonts w:ascii="Arial" w:hAnsi="Arial" w:cs="Arial"/>
          <w:color w:val="2B2B2B"/>
          <w:sz w:val="20"/>
          <w:szCs w:val="20"/>
        </w:rPr>
      </w:pPr>
      <w:r w:rsidRPr="001975DC">
        <w:rPr>
          <w:rFonts w:ascii="Arial" w:hAnsi="Arial" w:cs="Arial"/>
          <w:color w:val="2B2B2B"/>
          <w:sz w:val="20"/>
          <w:szCs w:val="20"/>
        </w:rPr>
        <w:t xml:space="preserve">The additional continuing obligations for Pre-Commercial Companies will cease to apply once </w:t>
      </w:r>
      <w:r w:rsidR="00AC71F1">
        <w:rPr>
          <w:rFonts w:ascii="Arial" w:hAnsi="Arial" w:cs="Arial"/>
          <w:color w:val="2B2B2B"/>
          <w:sz w:val="20"/>
          <w:szCs w:val="20"/>
        </w:rPr>
        <w:t>they are</w:t>
      </w:r>
      <w:r w:rsidRPr="001975DC">
        <w:rPr>
          <w:rFonts w:ascii="Arial" w:hAnsi="Arial" w:cs="Arial"/>
          <w:color w:val="2B2B2B"/>
          <w:sz w:val="20"/>
          <w:szCs w:val="20"/>
        </w:rPr>
        <w:t xml:space="preserve"> able to demonstrate to the HKEX that </w:t>
      </w:r>
      <w:r w:rsidR="00AC71F1">
        <w:rPr>
          <w:rFonts w:ascii="Arial" w:hAnsi="Arial" w:cs="Arial"/>
          <w:color w:val="2B2B2B"/>
          <w:sz w:val="20"/>
          <w:szCs w:val="20"/>
        </w:rPr>
        <w:t>they meet</w:t>
      </w:r>
      <w:r w:rsidRPr="001975DC">
        <w:rPr>
          <w:rFonts w:ascii="Arial" w:hAnsi="Arial" w:cs="Arial"/>
          <w:color w:val="2B2B2B"/>
          <w:sz w:val="20"/>
          <w:szCs w:val="20"/>
        </w:rPr>
        <w:t xml:space="preserve"> the </w:t>
      </w:r>
      <w:proofErr w:type="spellStart"/>
      <w:r w:rsidRPr="001975DC">
        <w:rPr>
          <w:rFonts w:ascii="Arial" w:hAnsi="Arial" w:cs="Arial"/>
          <w:color w:val="2B2B2B"/>
          <w:sz w:val="20"/>
          <w:szCs w:val="20"/>
        </w:rPr>
        <w:t>Commercialisation</w:t>
      </w:r>
      <w:proofErr w:type="spellEnd"/>
      <w:r w:rsidRPr="001975DC">
        <w:rPr>
          <w:rFonts w:ascii="Arial" w:hAnsi="Arial" w:cs="Arial"/>
          <w:color w:val="2B2B2B"/>
          <w:sz w:val="20"/>
          <w:szCs w:val="20"/>
        </w:rPr>
        <w:t xml:space="preserve"> Revenue Threshold or at least one of the Main Board’s financial eligibility t</w:t>
      </w:r>
      <w:r w:rsidR="00C62D19">
        <w:rPr>
          <w:rFonts w:ascii="Arial" w:hAnsi="Arial" w:cs="Arial"/>
          <w:color w:val="2B2B2B"/>
          <w:sz w:val="20"/>
          <w:szCs w:val="20"/>
        </w:rPr>
        <w:t>ests. A Pre-Commercial Company</w:t>
      </w:r>
      <w:r w:rsidRPr="001975DC">
        <w:rPr>
          <w:rFonts w:ascii="Arial" w:hAnsi="Arial" w:cs="Arial"/>
          <w:color w:val="2B2B2B"/>
          <w:sz w:val="20"/>
          <w:szCs w:val="20"/>
        </w:rPr>
        <w:t xml:space="preserve"> will need to apply to</w:t>
      </w:r>
      <w:r w:rsidR="0058670C">
        <w:rPr>
          <w:rFonts w:ascii="Arial" w:hAnsi="Arial" w:cs="Arial"/>
          <w:color w:val="2B2B2B"/>
          <w:sz w:val="20"/>
          <w:szCs w:val="20"/>
        </w:rPr>
        <w:t xml:space="preserve"> the HK</w:t>
      </w:r>
      <w:r w:rsidR="00C62D19">
        <w:rPr>
          <w:rFonts w:ascii="Arial" w:hAnsi="Arial" w:cs="Arial"/>
          <w:color w:val="2B2B2B"/>
          <w:sz w:val="20"/>
          <w:szCs w:val="20"/>
        </w:rPr>
        <w:t>EX for the removal of its</w:t>
      </w:r>
      <w:r w:rsidRPr="001975DC">
        <w:rPr>
          <w:rFonts w:ascii="Arial" w:hAnsi="Arial" w:cs="Arial"/>
          <w:color w:val="2B2B2B"/>
          <w:sz w:val="20"/>
          <w:szCs w:val="20"/>
        </w:rPr>
        <w:t xml:space="preserve"> designation as a Pre-Commer</w:t>
      </w:r>
      <w:r w:rsidR="0058670C">
        <w:rPr>
          <w:rFonts w:ascii="Arial" w:hAnsi="Arial" w:cs="Arial"/>
          <w:color w:val="2B2B2B"/>
          <w:sz w:val="20"/>
          <w:szCs w:val="20"/>
        </w:rPr>
        <w:t xml:space="preserve">cial Company and must submit </w:t>
      </w:r>
      <w:r w:rsidR="00C62D19">
        <w:rPr>
          <w:rFonts w:ascii="Arial" w:hAnsi="Arial" w:cs="Arial"/>
          <w:color w:val="2B2B2B"/>
          <w:sz w:val="20"/>
          <w:szCs w:val="20"/>
        </w:rPr>
        <w:t xml:space="preserve">its </w:t>
      </w:r>
      <w:r w:rsidRPr="001975DC">
        <w:rPr>
          <w:rFonts w:ascii="Arial" w:hAnsi="Arial" w:cs="Arial"/>
          <w:color w:val="2B2B2B"/>
          <w:sz w:val="20"/>
          <w:szCs w:val="20"/>
        </w:rPr>
        <w:t>published audited financial statements in support of the application.</w:t>
      </w:r>
      <w:r>
        <w:rPr>
          <w:rFonts w:ascii="Arial" w:hAnsi="Arial" w:cs="Arial"/>
          <w:color w:val="2B2B2B"/>
          <w:sz w:val="20"/>
          <w:szCs w:val="20"/>
        </w:rPr>
        <w:t xml:space="preserve"> </w:t>
      </w:r>
      <w:r w:rsidRPr="001975DC">
        <w:rPr>
          <w:rFonts w:ascii="Arial" w:hAnsi="Arial" w:cs="Arial"/>
          <w:color w:val="2B2B2B"/>
          <w:sz w:val="20"/>
          <w:szCs w:val="20"/>
        </w:rPr>
        <w:t>Specialist Technology Compan</w:t>
      </w:r>
      <w:r w:rsidR="007039FA">
        <w:rPr>
          <w:rFonts w:ascii="Arial" w:hAnsi="Arial" w:cs="Arial"/>
          <w:color w:val="2B2B2B"/>
          <w:sz w:val="20"/>
          <w:szCs w:val="20"/>
        </w:rPr>
        <w:t>ies</w:t>
      </w:r>
      <w:r w:rsidRPr="001975DC">
        <w:rPr>
          <w:rFonts w:ascii="Arial" w:hAnsi="Arial" w:cs="Arial"/>
          <w:color w:val="2B2B2B"/>
          <w:sz w:val="20"/>
          <w:szCs w:val="20"/>
        </w:rPr>
        <w:t xml:space="preserve"> must</w:t>
      </w:r>
      <w:r>
        <w:rPr>
          <w:rFonts w:ascii="Arial" w:hAnsi="Arial" w:cs="Arial"/>
          <w:color w:val="2B2B2B"/>
          <w:sz w:val="20"/>
          <w:szCs w:val="20"/>
        </w:rPr>
        <w:t xml:space="preserve">, as soon as practicable after </w:t>
      </w:r>
      <w:r w:rsidR="0047644C">
        <w:rPr>
          <w:rFonts w:ascii="Arial" w:hAnsi="Arial" w:cs="Arial"/>
          <w:color w:val="2B2B2B"/>
          <w:sz w:val="20"/>
          <w:szCs w:val="20"/>
        </w:rPr>
        <w:t xml:space="preserve">receiving </w:t>
      </w:r>
      <w:r w:rsidR="00C62D19">
        <w:rPr>
          <w:rFonts w:ascii="Arial" w:hAnsi="Arial" w:cs="Arial"/>
          <w:color w:val="2B2B2B"/>
          <w:sz w:val="20"/>
          <w:szCs w:val="20"/>
        </w:rPr>
        <w:t>notification from</w:t>
      </w:r>
      <w:r>
        <w:rPr>
          <w:rFonts w:ascii="Arial" w:hAnsi="Arial" w:cs="Arial"/>
          <w:color w:val="2B2B2B"/>
          <w:sz w:val="20"/>
          <w:szCs w:val="20"/>
        </w:rPr>
        <w:t xml:space="preserve"> the HKEX confirming that they cease to be Pre-Commercial Companies, </w:t>
      </w:r>
      <w:r w:rsidR="00C62D19">
        <w:rPr>
          <w:rFonts w:ascii="Arial" w:hAnsi="Arial" w:cs="Arial"/>
          <w:color w:val="2B2B2B"/>
          <w:sz w:val="20"/>
          <w:szCs w:val="20"/>
        </w:rPr>
        <w:t>announce the</w:t>
      </w:r>
      <w:r w:rsidRPr="001975DC">
        <w:rPr>
          <w:rFonts w:ascii="Arial" w:hAnsi="Arial" w:cs="Arial"/>
          <w:color w:val="2B2B2B"/>
          <w:sz w:val="20"/>
          <w:szCs w:val="20"/>
        </w:rPr>
        <w:t xml:space="preserve"> removal </w:t>
      </w:r>
      <w:r w:rsidR="00D956CF">
        <w:rPr>
          <w:rFonts w:ascii="Arial" w:hAnsi="Arial" w:cs="Arial"/>
          <w:color w:val="2B2B2B"/>
          <w:sz w:val="20"/>
          <w:szCs w:val="20"/>
        </w:rPr>
        <w:t xml:space="preserve">of </w:t>
      </w:r>
      <w:r w:rsidR="00C62D19">
        <w:rPr>
          <w:rFonts w:ascii="Arial" w:hAnsi="Arial" w:cs="Arial"/>
          <w:color w:val="2B2B2B"/>
          <w:sz w:val="20"/>
          <w:szCs w:val="20"/>
        </w:rPr>
        <w:t xml:space="preserve">the </w:t>
      </w:r>
      <w:r w:rsidR="00D956CF">
        <w:rPr>
          <w:rFonts w:ascii="Arial" w:hAnsi="Arial" w:cs="Arial"/>
          <w:color w:val="2B2B2B"/>
          <w:sz w:val="20"/>
          <w:szCs w:val="20"/>
        </w:rPr>
        <w:t xml:space="preserve">designation </w:t>
      </w:r>
      <w:r w:rsidRPr="001975DC">
        <w:rPr>
          <w:rFonts w:ascii="Arial" w:hAnsi="Arial" w:cs="Arial"/>
          <w:color w:val="2B2B2B"/>
          <w:sz w:val="20"/>
          <w:szCs w:val="20"/>
        </w:rPr>
        <w:t xml:space="preserve">and the dates </w:t>
      </w:r>
      <w:r>
        <w:rPr>
          <w:rFonts w:ascii="Arial" w:hAnsi="Arial" w:cs="Arial"/>
          <w:color w:val="2B2B2B"/>
          <w:sz w:val="20"/>
          <w:szCs w:val="20"/>
        </w:rPr>
        <w:t xml:space="preserve">on which the </w:t>
      </w:r>
      <w:r w:rsidR="00D956CF" w:rsidRPr="004B5136">
        <w:rPr>
          <w:rFonts w:ascii="Arial" w:hAnsi="Arial" w:cs="Arial" w:hint="eastAsia"/>
          <w:color w:val="2B2B2B"/>
          <w:sz w:val="20"/>
          <w:szCs w:val="20"/>
        </w:rPr>
        <w:t>lock-up period</w:t>
      </w:r>
      <w:r w:rsidR="00C62D19">
        <w:rPr>
          <w:rFonts w:ascii="Arial" w:hAnsi="Arial" w:cs="Arial"/>
          <w:color w:val="2B2B2B"/>
          <w:sz w:val="20"/>
          <w:szCs w:val="20"/>
        </w:rPr>
        <w:t>s</w:t>
      </w:r>
      <w:r w:rsidR="00D956CF" w:rsidRPr="004B5136">
        <w:rPr>
          <w:rFonts w:ascii="Arial" w:hAnsi="Arial" w:cs="Arial" w:hint="eastAsia"/>
          <w:color w:val="2B2B2B"/>
          <w:sz w:val="20"/>
          <w:szCs w:val="20"/>
        </w:rPr>
        <w:t xml:space="preserve"> </w:t>
      </w:r>
      <w:r w:rsidR="00D956CF">
        <w:rPr>
          <w:rFonts w:ascii="Arial" w:hAnsi="Arial" w:cs="Arial"/>
          <w:color w:val="2B2B2B"/>
          <w:sz w:val="20"/>
          <w:szCs w:val="20"/>
        </w:rPr>
        <w:t xml:space="preserve">for </w:t>
      </w:r>
      <w:r>
        <w:rPr>
          <w:rFonts w:ascii="Arial" w:hAnsi="Arial" w:cs="Arial"/>
          <w:color w:val="2B2B2B"/>
          <w:sz w:val="20"/>
          <w:szCs w:val="20"/>
        </w:rPr>
        <w:t>relevant shareholders</w:t>
      </w:r>
      <w:r w:rsidRPr="001975DC">
        <w:rPr>
          <w:rFonts w:ascii="Arial" w:hAnsi="Arial" w:cs="Arial"/>
          <w:color w:val="2B2B2B"/>
          <w:sz w:val="20"/>
          <w:szCs w:val="20"/>
        </w:rPr>
        <w:t xml:space="preserve"> </w:t>
      </w:r>
      <w:r>
        <w:rPr>
          <w:rFonts w:ascii="Arial" w:hAnsi="Arial" w:cs="Arial"/>
          <w:color w:val="2B2B2B"/>
          <w:sz w:val="20"/>
          <w:szCs w:val="20"/>
        </w:rPr>
        <w:t xml:space="preserve">end. </w:t>
      </w:r>
    </w:p>
    <w:p w14:paraId="32816130" w14:textId="77777777" w:rsidR="00E62BDE" w:rsidRDefault="00E62BDE" w:rsidP="006154E0">
      <w:pPr>
        <w:jc w:val="both"/>
        <w:rPr>
          <w:rFonts w:ascii="Arial" w:hAnsi="Arial" w:cs="Arial"/>
          <w:sz w:val="20"/>
          <w:szCs w:val="20"/>
        </w:rPr>
      </w:pPr>
    </w:p>
    <w:p w14:paraId="4B5751A2" w14:textId="77777777" w:rsidR="004B5136" w:rsidRDefault="004B5136" w:rsidP="006154E0">
      <w:pPr>
        <w:jc w:val="both"/>
        <w:rPr>
          <w:rFonts w:ascii="Arial" w:hAnsi="Arial" w:cs="Arial"/>
          <w:sz w:val="20"/>
          <w:szCs w:val="20"/>
        </w:rPr>
      </w:pPr>
    </w:p>
    <w:p w14:paraId="0A817329" w14:textId="77777777" w:rsidR="004B5136" w:rsidRDefault="004B5136" w:rsidP="006154E0">
      <w:pPr>
        <w:jc w:val="both"/>
        <w:rPr>
          <w:rFonts w:ascii="Arial" w:hAnsi="Arial" w:cs="Arial"/>
          <w:sz w:val="20"/>
          <w:szCs w:val="20"/>
        </w:rPr>
      </w:pPr>
    </w:p>
    <w:p w14:paraId="593CDA6D" w14:textId="77777777" w:rsidR="004B5136" w:rsidRDefault="004B5136" w:rsidP="006154E0">
      <w:pPr>
        <w:jc w:val="both"/>
        <w:rPr>
          <w:rFonts w:ascii="Arial" w:hAnsi="Arial" w:cs="Arial"/>
          <w:sz w:val="20"/>
          <w:szCs w:val="20"/>
        </w:rPr>
      </w:pPr>
    </w:p>
    <w:p w14:paraId="6FD4DB8D" w14:textId="77777777" w:rsidR="004B5136" w:rsidRDefault="004B5136" w:rsidP="006154E0">
      <w:pPr>
        <w:jc w:val="both"/>
        <w:rPr>
          <w:rFonts w:ascii="Arial" w:hAnsi="Arial" w:cs="Arial"/>
          <w:sz w:val="20"/>
          <w:szCs w:val="20"/>
        </w:rPr>
      </w:pPr>
    </w:p>
    <w:p w14:paraId="5F99FE61" w14:textId="77777777" w:rsidR="004B5136" w:rsidRDefault="004B5136" w:rsidP="006154E0">
      <w:pPr>
        <w:jc w:val="both"/>
        <w:rPr>
          <w:rFonts w:ascii="Arial" w:hAnsi="Arial" w:cs="Arial"/>
          <w:sz w:val="20"/>
          <w:szCs w:val="20"/>
        </w:rPr>
      </w:pPr>
    </w:p>
    <w:p w14:paraId="1E1735DC" w14:textId="77777777" w:rsidR="004B5136" w:rsidRDefault="004B5136" w:rsidP="006154E0">
      <w:pPr>
        <w:jc w:val="both"/>
        <w:rPr>
          <w:rFonts w:ascii="Arial" w:hAnsi="Arial" w:cs="Arial"/>
          <w:sz w:val="20"/>
          <w:szCs w:val="20"/>
        </w:rPr>
      </w:pPr>
    </w:p>
    <w:p w14:paraId="1426206A" w14:textId="77777777" w:rsidR="004B5136" w:rsidRDefault="004B5136" w:rsidP="006154E0">
      <w:pPr>
        <w:jc w:val="both"/>
        <w:rPr>
          <w:rFonts w:ascii="Arial" w:hAnsi="Arial" w:cs="Arial"/>
          <w:sz w:val="20"/>
          <w:szCs w:val="20"/>
        </w:rPr>
      </w:pPr>
    </w:p>
    <w:p w14:paraId="033B96EE" w14:textId="77777777" w:rsidR="004B5136" w:rsidRPr="00A41F57" w:rsidRDefault="004B5136" w:rsidP="004B5136">
      <w:pPr>
        <w:pStyle w:val="DisclaimerBold"/>
        <w:numPr>
          <w:ilvl w:val="0"/>
          <w:numId w:val="46"/>
        </w:numPr>
        <w:rPr>
          <w:rFonts w:ascii="Helvetica" w:hAnsi="Helvetica"/>
        </w:rPr>
      </w:pPr>
      <w:r w:rsidRPr="00F05494">
        <w:rPr>
          <w:rFonts w:ascii="Helvetica" w:hAnsi="Helvetica"/>
        </w:rPr>
        <w:lastRenderedPageBreak/>
        <w:t>This newsletter is for information purposes only.</w:t>
      </w:r>
    </w:p>
    <w:p w14:paraId="2019E082" w14:textId="77777777" w:rsidR="004B5136" w:rsidRPr="00F05494" w:rsidRDefault="004B5136" w:rsidP="004B5136">
      <w:pPr>
        <w:pStyle w:val="Disclaimer"/>
        <w:numPr>
          <w:ilvl w:val="0"/>
          <w:numId w:val="46"/>
        </w:numPr>
        <w:rPr>
          <w:rFonts w:ascii="Helvetica" w:hAnsi="Helvetica"/>
        </w:rPr>
      </w:pPr>
      <w:r w:rsidRPr="00F05494">
        <w:rPr>
          <w:rFonts w:ascii="Helvetica" w:hAnsi="Helvetica"/>
        </w:rPr>
        <w:t>Its contents do not constitute legal advice and it should not be regarded as a substitute for detailed advice in individual cases.</w:t>
      </w:r>
    </w:p>
    <w:p w14:paraId="1BC6AFFA" w14:textId="77777777" w:rsidR="004B5136" w:rsidRPr="00F05494" w:rsidRDefault="004B5136" w:rsidP="004B5136">
      <w:pPr>
        <w:pStyle w:val="Disclaimer"/>
        <w:numPr>
          <w:ilvl w:val="0"/>
          <w:numId w:val="46"/>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3059BEA5" w14:textId="77777777" w:rsidR="004B5136" w:rsidRPr="00F05494" w:rsidRDefault="004B5136" w:rsidP="004B5136">
      <w:pPr>
        <w:pStyle w:val="Disclaimer"/>
        <w:numPr>
          <w:ilvl w:val="0"/>
          <w:numId w:val="46"/>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third</w:t>
      </w:r>
      <w:r w:rsidRPr="00A41F57">
        <w:rPr>
          <w:rFonts w:ascii="Helvetica" w:hAnsi="Helvetica"/>
        </w:rPr>
        <w:t xml:space="preserve"> </w:t>
      </w:r>
      <w:r w:rsidRPr="00F05494">
        <w:rPr>
          <w:rFonts w:ascii="Helvetica" w:hAnsi="Helvetica"/>
        </w:rPr>
        <w:t>party content which can be accessed through the website.</w:t>
      </w:r>
    </w:p>
    <w:p w14:paraId="7DF39BF3" w14:textId="77777777" w:rsidR="004B5136" w:rsidRPr="00F05494" w:rsidRDefault="004B5136" w:rsidP="004B5136">
      <w:pPr>
        <w:pStyle w:val="Disclaimer"/>
        <w:numPr>
          <w:ilvl w:val="0"/>
          <w:numId w:val="46"/>
        </w:numPr>
        <w:rPr>
          <w:rFonts w:ascii="Helvetica" w:hAnsi="Helvetica"/>
        </w:rPr>
      </w:pPr>
      <w:r w:rsidRPr="00F05494">
        <w:rPr>
          <w:rFonts w:ascii="Helvetica" w:hAnsi="Helvetica"/>
        </w:rPr>
        <w:t xml:space="preserve">If you do not wish to receive this newsletter please let us know by emailing us at  </w:t>
      </w:r>
      <w:hyperlink r:id="rId16">
        <w:r w:rsidRPr="00F05494">
          <w:rPr>
            <w:rFonts w:ascii="Helvetica" w:hAnsi="Helvetica"/>
          </w:rPr>
          <w:t>unsubscribe@charltonslaw.com</w:t>
        </w:r>
      </w:hyperlink>
    </w:p>
    <w:p w14:paraId="05B2BB95" w14:textId="34008D0A" w:rsidR="004B5136" w:rsidRPr="008524CA" w:rsidRDefault="004B5136" w:rsidP="004B5136">
      <w:pPr>
        <w:pStyle w:val="BlackStrips"/>
        <w:ind w:left="360"/>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1</w:t>
      </w:r>
      <w:r w:rsidR="00935A54">
        <w:rPr>
          <w:rFonts w:ascii="Helvetica" w:hAnsi="Helvetica"/>
        </w:rPr>
        <w:t>3</w:t>
      </w:r>
      <w:r w:rsidRPr="00F05494">
        <w:rPr>
          <w:rFonts w:ascii="Helvetica" w:hAnsi="Helvetica"/>
        </w:rPr>
        <w:t xml:space="preserve"> </w:t>
      </w:r>
      <w:r>
        <w:rPr>
          <w:rFonts w:ascii="Helvetica" w:hAnsi="Helvetica"/>
        </w:rPr>
        <w:t>April</w:t>
      </w:r>
      <w:r w:rsidRPr="00F05494">
        <w:rPr>
          <w:rFonts w:ascii="Helvetica" w:hAnsi="Helvetica"/>
        </w:rPr>
        <w:t xml:space="preserve"> 202</w:t>
      </w:r>
      <w:r w:rsidRPr="008524CA">
        <w:rPr>
          <w:rFonts w:ascii="Helvetica" w:hAnsi="Helvetica"/>
        </w:rPr>
        <w:t>3</w:t>
      </w:r>
    </w:p>
    <w:p w14:paraId="487617E4" w14:textId="77777777" w:rsidR="004B5136" w:rsidRPr="004B5136" w:rsidRDefault="004B5136" w:rsidP="006154E0">
      <w:pPr>
        <w:jc w:val="both"/>
        <w:rPr>
          <w:rFonts w:ascii="Arial" w:hAnsi="Arial" w:cs="Arial"/>
          <w:sz w:val="20"/>
          <w:szCs w:val="20"/>
        </w:rPr>
      </w:pPr>
    </w:p>
    <w:sectPr w:rsidR="004B5136" w:rsidRPr="004B513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9046" w14:textId="77777777" w:rsidR="00066021" w:rsidRDefault="00066021" w:rsidP="008E28FC">
      <w:pPr>
        <w:spacing w:after="0" w:line="240" w:lineRule="auto"/>
      </w:pPr>
      <w:r>
        <w:separator/>
      </w:r>
    </w:p>
  </w:endnote>
  <w:endnote w:type="continuationSeparator" w:id="0">
    <w:p w14:paraId="56E04491" w14:textId="77777777" w:rsidR="00066021" w:rsidRDefault="00066021" w:rsidP="008E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MT">
    <w:altName w:val="Arial"/>
    <w:panose1 w:val="020B0604020202020204"/>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452759"/>
      <w:docPartObj>
        <w:docPartGallery w:val="Page Numbers (Bottom of Page)"/>
        <w:docPartUnique/>
      </w:docPartObj>
    </w:sdtPr>
    <w:sdtEndPr>
      <w:rPr>
        <w:noProof/>
      </w:rPr>
    </w:sdtEndPr>
    <w:sdtContent>
      <w:p w14:paraId="2430C6C6" w14:textId="77777777" w:rsidR="008D2CF9" w:rsidRDefault="008D2CF9">
        <w:pPr>
          <w:pStyle w:val="af"/>
          <w:jc w:val="center"/>
        </w:pPr>
        <w:r>
          <w:fldChar w:fldCharType="begin"/>
        </w:r>
        <w:r>
          <w:instrText xml:space="preserve"> PAGE   \* MERGEFORMAT </w:instrText>
        </w:r>
        <w:r>
          <w:fldChar w:fldCharType="separate"/>
        </w:r>
        <w:r w:rsidR="0081033D">
          <w:rPr>
            <w:noProof/>
          </w:rPr>
          <w:t>7</w:t>
        </w:r>
        <w:r>
          <w:rPr>
            <w:noProof/>
          </w:rPr>
          <w:fldChar w:fldCharType="end"/>
        </w:r>
      </w:p>
    </w:sdtContent>
  </w:sdt>
  <w:p w14:paraId="7E465DD9" w14:textId="77777777" w:rsidR="008D2CF9" w:rsidRDefault="008D2CF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365D" w14:textId="77777777" w:rsidR="00066021" w:rsidRDefault="00066021" w:rsidP="008E28FC">
      <w:pPr>
        <w:spacing w:after="0" w:line="240" w:lineRule="auto"/>
      </w:pPr>
      <w:r>
        <w:separator/>
      </w:r>
    </w:p>
  </w:footnote>
  <w:footnote w:type="continuationSeparator" w:id="0">
    <w:p w14:paraId="6EADEC22" w14:textId="77777777" w:rsidR="00066021" w:rsidRDefault="00066021" w:rsidP="008E28FC">
      <w:pPr>
        <w:spacing w:after="0" w:line="240" w:lineRule="auto"/>
      </w:pPr>
      <w:r>
        <w:continuationSeparator/>
      </w:r>
    </w:p>
  </w:footnote>
  <w:footnote w:id="1">
    <w:p w14:paraId="7AAE3325" w14:textId="77777777" w:rsidR="008D2CF9" w:rsidRDefault="008D2CF9" w:rsidP="00876714">
      <w:pPr>
        <w:pStyle w:val="a4"/>
      </w:pPr>
      <w:r>
        <w:rPr>
          <w:rStyle w:val="a6"/>
        </w:rPr>
        <w:footnoteRef/>
      </w:r>
      <w:r>
        <w:t xml:space="preserve"> </w:t>
      </w:r>
      <w:r w:rsidRPr="00444655">
        <w:t xml:space="preserve">The R&amp;D expenditure ratio is calculated as the total amount of an applicant’s expenditure on the R&amp;D of its Specialist Technology Product(s) incurred for the relevant period, divided by its total operating </w:t>
      </w:r>
      <w:r>
        <w:t>expenditure for the same period</w:t>
      </w:r>
    </w:p>
  </w:footnote>
  <w:footnote w:id="2">
    <w:p w14:paraId="07ED16EB" w14:textId="77777777" w:rsidR="008D2CF9" w:rsidRDefault="008D2CF9">
      <w:pPr>
        <w:pStyle w:val="a4"/>
      </w:pPr>
      <w:r>
        <w:rPr>
          <w:rStyle w:val="a6"/>
        </w:rPr>
        <w:footnoteRef/>
      </w:r>
      <w:r>
        <w:t xml:space="preserve"> </w:t>
      </w:r>
      <w:r w:rsidRPr="0023270B">
        <w:t xml:space="preserve">Guidance Letter </w:t>
      </w:r>
      <w:hyperlink r:id="rId1" w:history="1">
        <w:r w:rsidRPr="0023270B">
          <w:t>HKEX-GL115-23</w:t>
        </w:r>
      </w:hyperlink>
      <w:r w:rsidRPr="0023270B">
        <w:t xml:space="preserve"> on Specialist Technology Companies</w:t>
      </w:r>
      <w:r>
        <w:t xml:space="preserve"> at paragraph 7 </w:t>
      </w:r>
    </w:p>
  </w:footnote>
  <w:footnote w:id="3">
    <w:p w14:paraId="2D94EE3E" w14:textId="77777777" w:rsidR="008D2CF9" w:rsidRDefault="008D2CF9">
      <w:pPr>
        <w:pStyle w:val="a4"/>
      </w:pPr>
      <w:r>
        <w:rPr>
          <w:rStyle w:val="a6"/>
        </w:rPr>
        <w:footnoteRef/>
      </w:r>
      <w:r>
        <w:t xml:space="preserve"> </w:t>
      </w:r>
      <w:r w:rsidRPr="0023270B">
        <w:t xml:space="preserve">Guidance Letter </w:t>
      </w:r>
      <w:hyperlink r:id="rId2" w:history="1">
        <w:r w:rsidRPr="0023270B">
          <w:t>HKEX-GL115-23</w:t>
        </w:r>
      </w:hyperlink>
      <w:r w:rsidRPr="0023270B">
        <w:t xml:space="preserve"> on Specialist Technology Companies</w:t>
      </w:r>
      <w:r>
        <w:t xml:space="preserve"> at paragraph 9</w:t>
      </w:r>
    </w:p>
  </w:footnote>
  <w:footnote w:id="4">
    <w:p w14:paraId="45849531" w14:textId="77777777" w:rsidR="008D2CF9" w:rsidRDefault="008D2CF9">
      <w:pPr>
        <w:pStyle w:val="a4"/>
      </w:pPr>
      <w:r>
        <w:rPr>
          <w:rStyle w:val="a6"/>
        </w:rPr>
        <w:footnoteRef/>
      </w:r>
      <w:r>
        <w:t xml:space="preserve"> Ibid. at paragraph 10</w:t>
      </w:r>
    </w:p>
  </w:footnote>
  <w:footnote w:id="5">
    <w:p w14:paraId="0A5C5C62" w14:textId="77777777" w:rsidR="008D2CF9" w:rsidRPr="00F71E4A" w:rsidRDefault="008D2CF9">
      <w:pPr>
        <w:pStyle w:val="a4"/>
      </w:pPr>
      <w:r>
        <w:rPr>
          <w:rStyle w:val="a6"/>
        </w:rPr>
        <w:footnoteRef/>
      </w:r>
      <w:r>
        <w:t xml:space="preserve"> Ibid. at paragraph 16</w:t>
      </w:r>
    </w:p>
  </w:footnote>
  <w:footnote w:id="6">
    <w:p w14:paraId="1450DE71" w14:textId="77777777" w:rsidR="008D2CF9" w:rsidRPr="00472735" w:rsidRDefault="008D2CF9">
      <w:pPr>
        <w:pStyle w:val="a4"/>
      </w:pPr>
      <w:r>
        <w:rPr>
          <w:rStyle w:val="a6"/>
        </w:rPr>
        <w:footnoteRef/>
      </w:r>
      <w:r>
        <w:t xml:space="preserve"> HKEX Listing Rule </w:t>
      </w:r>
      <w:r w:rsidRPr="00472735">
        <w:t>18C.03</w:t>
      </w:r>
      <w:r>
        <w:t>(4)</w:t>
      </w:r>
    </w:p>
  </w:footnote>
  <w:footnote w:id="7">
    <w:p w14:paraId="7D72496C" w14:textId="77777777" w:rsidR="008D2CF9" w:rsidRDefault="008D2CF9">
      <w:pPr>
        <w:pStyle w:val="a4"/>
      </w:pPr>
      <w:r>
        <w:rPr>
          <w:rStyle w:val="a6"/>
        </w:rPr>
        <w:footnoteRef/>
      </w:r>
      <w:r>
        <w:t xml:space="preserve"> </w:t>
      </w:r>
      <w:r w:rsidRPr="0023270B">
        <w:t xml:space="preserve">Guidance Letter </w:t>
      </w:r>
      <w:hyperlink r:id="rId3" w:history="1">
        <w:r w:rsidRPr="0023270B">
          <w:t>HKEX-GL115-23</w:t>
        </w:r>
      </w:hyperlink>
      <w:r w:rsidRPr="0023270B">
        <w:t xml:space="preserve"> on Specialist Technology Companies</w:t>
      </w:r>
      <w:r>
        <w:t xml:space="preserve"> at paragraph 19(c) </w:t>
      </w:r>
    </w:p>
  </w:footnote>
  <w:footnote w:id="8">
    <w:p w14:paraId="2477B32A" w14:textId="77777777" w:rsidR="008D2CF9" w:rsidRDefault="008D2CF9">
      <w:pPr>
        <w:pStyle w:val="a4"/>
      </w:pPr>
      <w:r>
        <w:rPr>
          <w:rStyle w:val="a6"/>
        </w:rPr>
        <w:footnoteRef/>
      </w:r>
      <w:r>
        <w:t xml:space="preserve"> HKEX Listing Rules 18C.04(2)(b)</w:t>
      </w:r>
    </w:p>
  </w:footnote>
  <w:footnote w:id="9">
    <w:p w14:paraId="54F0A069" w14:textId="77777777" w:rsidR="008D2CF9" w:rsidRDefault="008D2CF9">
      <w:pPr>
        <w:pStyle w:val="a4"/>
      </w:pPr>
      <w:r>
        <w:rPr>
          <w:rStyle w:val="a6"/>
        </w:rPr>
        <w:footnoteRef/>
      </w:r>
      <w:r>
        <w:t xml:space="preserve"> </w:t>
      </w:r>
      <w:r w:rsidRPr="0023270B">
        <w:t xml:space="preserve">Guidance Letter </w:t>
      </w:r>
      <w:hyperlink r:id="rId4" w:history="1">
        <w:r w:rsidRPr="0023270B">
          <w:t>HKEX-GL115-23</w:t>
        </w:r>
      </w:hyperlink>
      <w:r w:rsidRPr="0023270B">
        <w:t xml:space="preserve"> on Specialist Technology Companies</w:t>
      </w:r>
      <w:r>
        <w:t xml:space="preserve"> at paragraph 19(b)</w:t>
      </w:r>
    </w:p>
  </w:footnote>
  <w:footnote w:id="10">
    <w:p w14:paraId="2E46C220" w14:textId="77777777" w:rsidR="008D2CF9" w:rsidRPr="00A31B25" w:rsidRDefault="008D2CF9">
      <w:pPr>
        <w:pStyle w:val="a4"/>
      </w:pPr>
      <w:r>
        <w:rPr>
          <w:rStyle w:val="a6"/>
        </w:rPr>
        <w:footnoteRef/>
      </w:r>
      <w:r>
        <w:t xml:space="preserve"> Ibid. at paragraph 37(a)</w:t>
      </w:r>
    </w:p>
  </w:footnote>
  <w:footnote w:id="11">
    <w:p w14:paraId="6B920144" w14:textId="77777777" w:rsidR="008D2CF9" w:rsidRPr="00A31B25" w:rsidRDefault="008D2CF9">
      <w:pPr>
        <w:pStyle w:val="a4"/>
      </w:pPr>
      <w:r>
        <w:rPr>
          <w:rStyle w:val="a6"/>
        </w:rPr>
        <w:footnoteRef/>
      </w:r>
      <w:r>
        <w:t xml:space="preserve"> Ibid. at paragraph 40</w:t>
      </w:r>
    </w:p>
  </w:footnote>
  <w:footnote w:id="12">
    <w:p w14:paraId="5B477E05" w14:textId="77777777" w:rsidR="008D2CF9" w:rsidRPr="008809FC" w:rsidRDefault="008D2CF9">
      <w:pPr>
        <w:pStyle w:val="a4"/>
      </w:pPr>
      <w:r>
        <w:rPr>
          <w:rStyle w:val="a6"/>
        </w:rPr>
        <w:footnoteRef/>
      </w:r>
      <w:r>
        <w:t xml:space="preserve"> Ibid. at paragraph 29</w:t>
      </w:r>
    </w:p>
  </w:footnote>
  <w:footnote w:id="13">
    <w:p w14:paraId="60BA6A72" w14:textId="77777777" w:rsidR="008D2CF9" w:rsidRPr="008809FC" w:rsidRDefault="008D2CF9" w:rsidP="00D61741">
      <w:pPr>
        <w:pStyle w:val="a4"/>
        <w:jc w:val="both"/>
      </w:pPr>
      <w:r>
        <w:rPr>
          <w:rStyle w:val="a6"/>
        </w:rPr>
        <w:footnoteRef/>
      </w:r>
      <w:r>
        <w:t xml:space="preserve"> I</w:t>
      </w:r>
      <w:r w:rsidRPr="008809FC">
        <w:t>nvestment portfolio</w:t>
      </w:r>
      <w:r>
        <w:t xml:space="preserve"> is</w:t>
      </w:r>
      <w:r w:rsidRPr="008809FC">
        <w:t xml:space="preserve"> defined as the aggregate value of investments in investee companies as determined under the </w:t>
      </w:r>
      <w:r>
        <w:t>prevailing accounting standards</w:t>
      </w:r>
    </w:p>
  </w:footnote>
  <w:footnote w:id="14">
    <w:p w14:paraId="6A926F14" w14:textId="77777777" w:rsidR="008D2CF9" w:rsidRPr="00846978" w:rsidRDefault="008D2CF9">
      <w:pPr>
        <w:pStyle w:val="a4"/>
      </w:pPr>
      <w:r>
        <w:rPr>
          <w:rStyle w:val="a6"/>
        </w:rPr>
        <w:footnoteRef/>
      </w:r>
      <w:r>
        <w:t xml:space="preserve"> HKEX Listing Rule 18C.06</w:t>
      </w:r>
    </w:p>
  </w:footnote>
  <w:footnote w:id="15">
    <w:p w14:paraId="0EBC400A" w14:textId="77777777" w:rsidR="008D2CF9" w:rsidRDefault="008D2CF9">
      <w:pPr>
        <w:pStyle w:val="a4"/>
      </w:pPr>
      <w:r>
        <w:rPr>
          <w:rStyle w:val="a6"/>
        </w:rPr>
        <w:footnoteRef/>
      </w:r>
      <w:r>
        <w:t xml:space="preserve"> </w:t>
      </w:r>
      <w:r w:rsidRPr="0023270B">
        <w:t xml:space="preserve">Guidance Letter </w:t>
      </w:r>
      <w:hyperlink r:id="rId5" w:history="1">
        <w:r w:rsidRPr="0023270B">
          <w:t>HKEX-GL115-23</w:t>
        </w:r>
      </w:hyperlink>
      <w:r w:rsidRPr="0023270B">
        <w:t xml:space="preserve"> on Specialist Technology Companies</w:t>
      </w:r>
      <w:r>
        <w:t xml:space="preserve"> at paragraph 49</w:t>
      </w:r>
    </w:p>
  </w:footnote>
  <w:footnote w:id="16">
    <w:p w14:paraId="66F17714" w14:textId="77777777" w:rsidR="008D2CF9" w:rsidRDefault="008D2CF9">
      <w:pPr>
        <w:pStyle w:val="a4"/>
      </w:pPr>
      <w:r>
        <w:rPr>
          <w:rStyle w:val="a6"/>
        </w:rPr>
        <w:footnoteRef/>
      </w:r>
      <w:r>
        <w:t xml:space="preserve"> HKEX Listing Rule 18C.07</w:t>
      </w:r>
    </w:p>
  </w:footnote>
  <w:footnote w:id="17">
    <w:p w14:paraId="587223FD" w14:textId="77777777" w:rsidR="008D2CF9" w:rsidRDefault="008D2CF9">
      <w:pPr>
        <w:pStyle w:val="a4"/>
      </w:pPr>
      <w:r>
        <w:rPr>
          <w:rStyle w:val="a6"/>
        </w:rPr>
        <w:footnoteRef/>
      </w:r>
      <w:r>
        <w:t xml:space="preserve"> </w:t>
      </w:r>
      <w:r w:rsidRPr="0023270B">
        <w:t xml:space="preserve">Guidance Letter </w:t>
      </w:r>
      <w:hyperlink r:id="rId6" w:history="1">
        <w:r w:rsidRPr="0023270B">
          <w:t>HKEX-GL115-23</w:t>
        </w:r>
      </w:hyperlink>
      <w:r w:rsidRPr="0023270B">
        <w:t xml:space="preserve"> on Specialist Technology Companies</w:t>
      </w:r>
      <w:r>
        <w:t xml:space="preserve"> at paragraph 19(a)</w:t>
      </w:r>
    </w:p>
  </w:footnote>
  <w:footnote w:id="18">
    <w:p w14:paraId="2DDB8611" w14:textId="77777777" w:rsidR="008D2CF9" w:rsidRDefault="008D2CF9">
      <w:pPr>
        <w:pStyle w:val="a4"/>
      </w:pPr>
      <w:r>
        <w:rPr>
          <w:rStyle w:val="a6"/>
        </w:rPr>
        <w:footnoteRef/>
      </w:r>
      <w:r>
        <w:t xml:space="preserve"> HKEX Listing Rule 8A.06 requires a listing applicant with a WVR to have: (</w:t>
      </w:r>
      <w:proofErr w:type="spellStart"/>
      <w:r>
        <w:t>i</w:t>
      </w:r>
      <w:proofErr w:type="spellEnd"/>
      <w:proofErr w:type="gramStart"/>
      <w:r>
        <w:t>)  a</w:t>
      </w:r>
      <w:proofErr w:type="gramEnd"/>
      <w:r>
        <w:t xml:space="preserve"> market </w:t>
      </w:r>
      <w:proofErr w:type="spellStart"/>
      <w:r>
        <w:t>capitalisation</w:t>
      </w:r>
      <w:proofErr w:type="spellEnd"/>
      <w:r>
        <w:t xml:space="preserve"> at listing of HK$40 billion; or (ii) a market </w:t>
      </w:r>
      <w:proofErr w:type="spellStart"/>
      <w:r>
        <w:t>capitalisation</w:t>
      </w:r>
      <w:proofErr w:type="spellEnd"/>
      <w:r>
        <w:t xml:space="preserve"> at listing of HK$10 billion and revenue of HK$1 billion for the most recent audited financial year;</w:t>
      </w:r>
    </w:p>
  </w:footnote>
  <w:footnote w:id="19">
    <w:p w14:paraId="59B2F5E4" w14:textId="77777777" w:rsidR="008D2CF9" w:rsidRDefault="008D2CF9">
      <w:pPr>
        <w:pStyle w:val="a4"/>
      </w:pPr>
      <w:r>
        <w:rPr>
          <w:rStyle w:val="a6"/>
        </w:rPr>
        <w:footnoteRef/>
      </w:r>
      <w:r>
        <w:t xml:space="preserve"> HKEX Listing Rule 18C.08</w:t>
      </w:r>
    </w:p>
  </w:footnote>
  <w:footnote w:id="20">
    <w:p w14:paraId="4190231D" w14:textId="77777777" w:rsidR="008D2CF9" w:rsidRDefault="008D2CF9">
      <w:pPr>
        <w:pStyle w:val="a4"/>
      </w:pPr>
      <w:r>
        <w:rPr>
          <w:rStyle w:val="a6"/>
        </w:rPr>
        <w:footnoteRef/>
      </w:r>
      <w:r>
        <w:t xml:space="preserve"> </w:t>
      </w:r>
      <w:r w:rsidRPr="00C521D4">
        <w:t>HKEX Listing Rule 18C.10</w:t>
      </w:r>
    </w:p>
  </w:footnote>
  <w:footnote w:id="21">
    <w:p w14:paraId="519FEFF8" w14:textId="77777777" w:rsidR="008D2CF9" w:rsidRPr="008C1FFF" w:rsidRDefault="008D2CF9">
      <w:pPr>
        <w:pStyle w:val="a4"/>
      </w:pPr>
      <w:r>
        <w:rPr>
          <w:rStyle w:val="a6"/>
        </w:rPr>
        <w:footnoteRef/>
      </w:r>
      <w:r>
        <w:t xml:space="preserve"> HKEX Listing Rule 18C.11</w:t>
      </w:r>
    </w:p>
  </w:footnote>
  <w:footnote w:id="22">
    <w:p w14:paraId="7FC5CE2A" w14:textId="77777777" w:rsidR="008D2CF9" w:rsidRPr="006724C2" w:rsidRDefault="008D2CF9">
      <w:pPr>
        <w:pStyle w:val="a4"/>
      </w:pPr>
      <w:r>
        <w:rPr>
          <w:rStyle w:val="a6"/>
        </w:rPr>
        <w:footnoteRef/>
      </w:r>
      <w:r>
        <w:t xml:space="preserve"> </w:t>
      </w:r>
      <w:r w:rsidRPr="0023270B">
        <w:t xml:space="preserve">Guidance Letter </w:t>
      </w:r>
      <w:hyperlink r:id="rId7" w:history="1">
        <w:r w:rsidRPr="0023270B">
          <w:t>HKEX-GL115-23</w:t>
        </w:r>
      </w:hyperlink>
      <w:r w:rsidRPr="0023270B">
        <w:t xml:space="preserve"> on Specialist Technology Companies</w:t>
      </w:r>
      <w:r>
        <w:t xml:space="preserve"> at paragraph 62</w:t>
      </w:r>
    </w:p>
  </w:footnote>
  <w:footnote w:id="23">
    <w:p w14:paraId="62830FA0" w14:textId="77777777" w:rsidR="008D2CF9" w:rsidRPr="003E019C" w:rsidRDefault="008D2CF9" w:rsidP="002D6933">
      <w:pPr>
        <w:autoSpaceDE w:val="0"/>
        <w:autoSpaceDN w:val="0"/>
        <w:adjustRightInd w:val="0"/>
        <w:spacing w:after="0" w:line="240" w:lineRule="auto"/>
        <w:jc w:val="both"/>
        <w:rPr>
          <w:rFonts w:ascii="Arial" w:hAnsi="Arial" w:cs="Arial"/>
          <w:sz w:val="20"/>
          <w:szCs w:val="20"/>
        </w:rPr>
      </w:pPr>
      <w:r>
        <w:rPr>
          <w:rStyle w:val="a6"/>
        </w:rPr>
        <w:footnoteRef/>
      </w:r>
      <w:r>
        <w:t xml:space="preserve"> </w:t>
      </w:r>
      <w:r w:rsidRPr="00621B8D">
        <w:rPr>
          <w:rFonts w:cstheme="minorHAnsi"/>
          <w:sz w:val="20"/>
          <w:szCs w:val="20"/>
        </w:rPr>
        <w:t xml:space="preserve">The lock-up restrictions </w:t>
      </w:r>
      <w:r>
        <w:rPr>
          <w:rFonts w:cstheme="minorHAnsi"/>
          <w:sz w:val="20"/>
          <w:szCs w:val="20"/>
        </w:rPr>
        <w:t xml:space="preserve">under HKEX Listing Rule 18C.14(2) </w:t>
      </w:r>
      <w:r w:rsidRPr="00621B8D">
        <w:rPr>
          <w:rFonts w:cstheme="minorHAnsi"/>
          <w:sz w:val="20"/>
          <w:szCs w:val="20"/>
        </w:rPr>
        <w:t xml:space="preserve">only apply to Pathfinder SIIs that satisfy the indicative minimum investment benchmarks. If </w:t>
      </w:r>
      <w:r>
        <w:rPr>
          <w:rFonts w:cstheme="minorHAnsi"/>
          <w:sz w:val="20"/>
          <w:szCs w:val="20"/>
        </w:rPr>
        <w:t xml:space="preserve">a listing applicant has more than </w:t>
      </w:r>
      <w:r w:rsidRPr="00621B8D">
        <w:rPr>
          <w:rFonts w:cstheme="minorHAnsi"/>
          <w:sz w:val="20"/>
          <w:szCs w:val="20"/>
        </w:rPr>
        <w:t xml:space="preserve">the </w:t>
      </w:r>
      <w:r>
        <w:rPr>
          <w:rFonts w:cstheme="minorHAnsi"/>
          <w:sz w:val="20"/>
          <w:szCs w:val="20"/>
        </w:rPr>
        <w:t xml:space="preserve">required </w:t>
      </w:r>
      <w:r w:rsidRPr="00621B8D">
        <w:rPr>
          <w:rFonts w:cstheme="minorHAnsi"/>
          <w:sz w:val="20"/>
          <w:szCs w:val="20"/>
        </w:rPr>
        <w:t xml:space="preserve">number of sophisticated independent investors </w:t>
      </w:r>
      <w:r>
        <w:rPr>
          <w:rFonts w:cstheme="minorHAnsi"/>
          <w:sz w:val="20"/>
          <w:szCs w:val="20"/>
        </w:rPr>
        <w:t xml:space="preserve">that meet </w:t>
      </w:r>
      <w:r w:rsidRPr="00621B8D">
        <w:rPr>
          <w:rFonts w:cstheme="minorHAnsi"/>
          <w:sz w:val="20"/>
          <w:szCs w:val="20"/>
        </w:rPr>
        <w:t xml:space="preserve">the minimum investment benchmarks for Pathfinder SIIs, the applicant would be free to decide, on a commercial basis, which of these investors are to be designated as the Pathfinder SIIs, who will then be subject </w:t>
      </w:r>
      <w:r>
        <w:rPr>
          <w:rFonts w:cstheme="minorHAnsi"/>
          <w:sz w:val="20"/>
          <w:szCs w:val="20"/>
        </w:rPr>
        <w:t>to the lock-up</w:t>
      </w:r>
      <w:r w:rsidRPr="00621B8D">
        <w:rPr>
          <w:rFonts w:cstheme="minorHAnsi"/>
          <w:sz w:val="20"/>
          <w:szCs w:val="20"/>
        </w:rPr>
        <w:t xml:space="preserve"> restrictions</w:t>
      </w:r>
      <w:r>
        <w:rPr>
          <w:rFonts w:cstheme="minorHAnsi"/>
          <w:sz w:val="20"/>
          <w:szCs w:val="20"/>
        </w:rPr>
        <w:t xml:space="preserve"> under HKEX Listing Rule 18C.14(2) (paragraph 81 of Guidance Letter 115-23)</w:t>
      </w:r>
      <w:r w:rsidRPr="00621B8D">
        <w:rPr>
          <w:rFonts w:cstheme="minorHAnsi"/>
          <w:sz w:val="20"/>
          <w:szCs w:val="20"/>
        </w:rPr>
        <w:t>.</w:t>
      </w:r>
      <w:r>
        <w:rPr>
          <w:rFonts w:ascii="Arial" w:hAnsi="Arial" w:cs="Arial"/>
          <w:sz w:val="20"/>
          <w:szCs w:val="20"/>
        </w:rPr>
        <w:t xml:space="preserve"> </w:t>
      </w:r>
    </w:p>
  </w:footnote>
  <w:footnote w:id="24">
    <w:p w14:paraId="58FB5C64" w14:textId="77777777" w:rsidR="00534594" w:rsidRDefault="00534594">
      <w:pPr>
        <w:pStyle w:val="a4"/>
      </w:pPr>
      <w:r>
        <w:rPr>
          <w:rStyle w:val="a6"/>
        </w:rPr>
        <w:footnoteRef/>
      </w:r>
      <w:r>
        <w:t xml:space="preserve"> Note 2 to HKEX Listing Rule 18C.23</w:t>
      </w:r>
    </w:p>
  </w:footnote>
  <w:footnote w:id="25">
    <w:p w14:paraId="3E145E6A" w14:textId="77777777" w:rsidR="002A7D06" w:rsidRDefault="002A7D06">
      <w:pPr>
        <w:pStyle w:val="a4"/>
      </w:pPr>
      <w:r>
        <w:rPr>
          <w:rStyle w:val="a6"/>
        </w:rPr>
        <w:footnoteRef/>
      </w:r>
      <w:r>
        <w:t xml:space="preserve"> HKEX Listing Rule 18C.17</w:t>
      </w:r>
    </w:p>
  </w:footnote>
  <w:footnote w:id="26">
    <w:p w14:paraId="2E76EC8A" w14:textId="77777777" w:rsidR="002A7D06" w:rsidRDefault="002A7D06">
      <w:pPr>
        <w:pStyle w:val="a4"/>
      </w:pPr>
      <w:r>
        <w:rPr>
          <w:rStyle w:val="a6"/>
        </w:rPr>
        <w:footnoteRef/>
      </w:r>
      <w:r>
        <w:t xml:space="preserve"> </w:t>
      </w:r>
      <w:r w:rsidRPr="0023270B">
        <w:t xml:space="preserve">Guidance Letter </w:t>
      </w:r>
      <w:hyperlink r:id="rId8" w:history="1">
        <w:r w:rsidRPr="0023270B">
          <w:t>HKEX-GL115-23</w:t>
        </w:r>
      </w:hyperlink>
      <w:r w:rsidRPr="0023270B">
        <w:t xml:space="preserve"> on Specialist Technology Companies</w:t>
      </w:r>
      <w:r>
        <w:t xml:space="preserve"> at paragraph 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1A"/>
    <w:multiLevelType w:val="hybridMultilevel"/>
    <w:tmpl w:val="A394E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A2586"/>
    <w:multiLevelType w:val="hybridMultilevel"/>
    <w:tmpl w:val="A11C236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B48"/>
    <w:multiLevelType w:val="hybridMultilevel"/>
    <w:tmpl w:val="1138F2E4"/>
    <w:lvl w:ilvl="0" w:tplc="6B60DA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75413"/>
    <w:multiLevelType w:val="hybridMultilevel"/>
    <w:tmpl w:val="27B80DCE"/>
    <w:lvl w:ilvl="0" w:tplc="95BA7BB2">
      <w:start w:val="1"/>
      <w:numFmt w:val="bullet"/>
      <w:lvlText w:val="•"/>
      <w:lvlJc w:val="left"/>
      <w:pPr>
        <w:ind w:left="832" w:hanging="360"/>
      </w:pPr>
      <w:rPr>
        <w:rFonts w:ascii="Times New Roman" w:hAnsi="Times New Roman" w:cs="Times New Roman"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04377015"/>
    <w:multiLevelType w:val="hybridMultilevel"/>
    <w:tmpl w:val="54D854B6"/>
    <w:lvl w:ilvl="0" w:tplc="6B60DA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A38B3"/>
    <w:multiLevelType w:val="hybridMultilevel"/>
    <w:tmpl w:val="E402C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F59BC"/>
    <w:multiLevelType w:val="hybridMultilevel"/>
    <w:tmpl w:val="929254BA"/>
    <w:lvl w:ilvl="0" w:tplc="04090003">
      <w:start w:val="1"/>
      <w:numFmt w:val="bullet"/>
      <w:lvlText w:val="o"/>
      <w:lvlJc w:val="left"/>
      <w:pPr>
        <w:ind w:left="1440" w:hanging="72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09290B"/>
    <w:multiLevelType w:val="hybridMultilevel"/>
    <w:tmpl w:val="BDEA7564"/>
    <w:lvl w:ilvl="0" w:tplc="EAF0A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8B2BAD"/>
    <w:multiLevelType w:val="hybridMultilevel"/>
    <w:tmpl w:val="E2580DBE"/>
    <w:lvl w:ilvl="0" w:tplc="6B60DA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93FEC"/>
    <w:multiLevelType w:val="hybridMultilevel"/>
    <w:tmpl w:val="FA9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60870"/>
    <w:multiLevelType w:val="hybridMultilevel"/>
    <w:tmpl w:val="77CE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1429F"/>
    <w:multiLevelType w:val="hybridMultilevel"/>
    <w:tmpl w:val="0AEA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2594B"/>
    <w:multiLevelType w:val="hybridMultilevel"/>
    <w:tmpl w:val="D0F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D0536"/>
    <w:multiLevelType w:val="hybridMultilevel"/>
    <w:tmpl w:val="22628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105FC"/>
    <w:multiLevelType w:val="hybridMultilevel"/>
    <w:tmpl w:val="3F089990"/>
    <w:lvl w:ilvl="0" w:tplc="07D26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5AD"/>
    <w:multiLevelType w:val="hybridMultilevel"/>
    <w:tmpl w:val="CAE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745BE"/>
    <w:multiLevelType w:val="hybridMultilevel"/>
    <w:tmpl w:val="894CC98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82ED6"/>
    <w:multiLevelType w:val="hybridMultilevel"/>
    <w:tmpl w:val="149E4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50C57"/>
    <w:multiLevelType w:val="hybridMultilevel"/>
    <w:tmpl w:val="0EA660BE"/>
    <w:lvl w:ilvl="0" w:tplc="6B60DA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407A8"/>
    <w:multiLevelType w:val="hybridMultilevel"/>
    <w:tmpl w:val="95963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A7043"/>
    <w:multiLevelType w:val="hybridMultilevel"/>
    <w:tmpl w:val="A52C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52C8C"/>
    <w:multiLevelType w:val="hybridMultilevel"/>
    <w:tmpl w:val="5054296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8D6D7D"/>
    <w:multiLevelType w:val="hybridMultilevel"/>
    <w:tmpl w:val="2D9A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82C66"/>
    <w:multiLevelType w:val="multilevel"/>
    <w:tmpl w:val="F832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96465"/>
    <w:multiLevelType w:val="hybridMultilevel"/>
    <w:tmpl w:val="727E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621D6"/>
    <w:multiLevelType w:val="hybridMultilevel"/>
    <w:tmpl w:val="A59E25AA"/>
    <w:lvl w:ilvl="0" w:tplc="04090001">
      <w:start w:val="1"/>
      <w:numFmt w:val="bullet"/>
      <w:lvlText w:val=""/>
      <w:lvlJc w:val="left"/>
      <w:pPr>
        <w:ind w:left="360" w:hanging="360"/>
      </w:pPr>
      <w:rPr>
        <w:rFonts w:ascii="Symbol" w:hAnsi="Symbol" w:hint="default"/>
      </w:rPr>
    </w:lvl>
    <w:lvl w:ilvl="1" w:tplc="D9A87D6E">
      <w:start w:val="1"/>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76044D"/>
    <w:multiLevelType w:val="hybridMultilevel"/>
    <w:tmpl w:val="34D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115F1"/>
    <w:multiLevelType w:val="multilevel"/>
    <w:tmpl w:val="E8A0F3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9B7A49"/>
    <w:multiLevelType w:val="hybridMultilevel"/>
    <w:tmpl w:val="41409E0A"/>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44E76"/>
    <w:multiLevelType w:val="hybridMultilevel"/>
    <w:tmpl w:val="24821916"/>
    <w:lvl w:ilvl="0" w:tplc="A0242C98">
      <w:start w:val="1"/>
      <w:numFmt w:val="lowerLetter"/>
      <w:lvlText w:val="(%1)"/>
      <w:lvlJc w:val="left"/>
      <w:pPr>
        <w:ind w:left="720" w:hanging="360"/>
      </w:pPr>
      <w:rPr>
        <w:rFonts w:ascii="Arial" w:eastAsia="Arial MT" w:hAnsi="Arial" w:cs="Arial" w:hint="default"/>
        <w:spacing w:val="-1"/>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E0939"/>
    <w:multiLevelType w:val="hybridMultilevel"/>
    <w:tmpl w:val="1362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00F86"/>
    <w:multiLevelType w:val="hybridMultilevel"/>
    <w:tmpl w:val="78A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E3F9B"/>
    <w:multiLevelType w:val="hybridMultilevel"/>
    <w:tmpl w:val="996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C39D0"/>
    <w:multiLevelType w:val="hybridMultilevel"/>
    <w:tmpl w:val="B7D6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C08CE"/>
    <w:multiLevelType w:val="multilevel"/>
    <w:tmpl w:val="DB5E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AD439A"/>
    <w:multiLevelType w:val="hybridMultilevel"/>
    <w:tmpl w:val="85102F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BE3572"/>
    <w:multiLevelType w:val="hybridMultilevel"/>
    <w:tmpl w:val="544A0014"/>
    <w:lvl w:ilvl="0" w:tplc="6B60DA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74271"/>
    <w:multiLevelType w:val="hybridMultilevel"/>
    <w:tmpl w:val="66FE88D2"/>
    <w:lvl w:ilvl="0" w:tplc="6B60DA9A">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FC0CA7"/>
    <w:multiLevelType w:val="hybridMultilevel"/>
    <w:tmpl w:val="BF3E50AE"/>
    <w:lvl w:ilvl="0" w:tplc="0409000F">
      <w:start w:val="1"/>
      <w:numFmt w:val="decimal"/>
      <w:lvlText w:val="%1."/>
      <w:lvlJc w:val="left"/>
      <w:pPr>
        <w:ind w:left="360" w:hanging="360"/>
      </w:pPr>
      <w:rPr>
        <w:rFonts w:hint="default"/>
      </w:rPr>
    </w:lvl>
    <w:lvl w:ilvl="1" w:tplc="A84CDE7E">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9620E0"/>
    <w:multiLevelType w:val="hybridMultilevel"/>
    <w:tmpl w:val="E0BC1C8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0" w15:restartNumberingAfterBreak="0">
    <w:nsid w:val="6C511E8E"/>
    <w:multiLevelType w:val="hybridMultilevel"/>
    <w:tmpl w:val="AB72C8FE"/>
    <w:lvl w:ilvl="0" w:tplc="6B60DA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8694B"/>
    <w:multiLevelType w:val="hybridMultilevel"/>
    <w:tmpl w:val="5A5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91A38"/>
    <w:multiLevelType w:val="hybridMultilevel"/>
    <w:tmpl w:val="5D748A9A"/>
    <w:lvl w:ilvl="0" w:tplc="28129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03743"/>
    <w:multiLevelType w:val="hybridMultilevel"/>
    <w:tmpl w:val="79EA67A2"/>
    <w:lvl w:ilvl="0" w:tplc="6B60DA9A">
      <w:numFmt w:val="bullet"/>
      <w:lvlText w:val="•"/>
      <w:lvlJc w:val="left"/>
      <w:pPr>
        <w:ind w:left="720" w:hanging="360"/>
      </w:pPr>
      <w:rPr>
        <w:rFonts w:ascii="Calibri" w:eastAsiaTheme="minorEastAsia" w:hAnsi="Calibri" w:cs="Calibri" w:hint="default"/>
      </w:rPr>
    </w:lvl>
    <w:lvl w:ilvl="1" w:tplc="A84CDE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E0ED7"/>
    <w:multiLevelType w:val="hybridMultilevel"/>
    <w:tmpl w:val="1C0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778318">
    <w:abstractNumId w:val="38"/>
  </w:num>
  <w:num w:numId="2" w16cid:durableId="497618960">
    <w:abstractNumId w:val="32"/>
  </w:num>
  <w:num w:numId="3" w16cid:durableId="2086797722">
    <w:abstractNumId w:val="13"/>
  </w:num>
  <w:num w:numId="4" w16cid:durableId="1557544753">
    <w:abstractNumId w:val="10"/>
  </w:num>
  <w:num w:numId="5" w16cid:durableId="1070422163">
    <w:abstractNumId w:val="22"/>
  </w:num>
  <w:num w:numId="6" w16cid:durableId="1497375567">
    <w:abstractNumId w:val="31"/>
  </w:num>
  <w:num w:numId="7" w16cid:durableId="1685593686">
    <w:abstractNumId w:val="30"/>
  </w:num>
  <w:num w:numId="8" w16cid:durableId="1163933416">
    <w:abstractNumId w:val="8"/>
  </w:num>
  <w:num w:numId="9" w16cid:durableId="1360163273">
    <w:abstractNumId w:val="40"/>
  </w:num>
  <w:num w:numId="10" w16cid:durableId="1343051805">
    <w:abstractNumId w:val="4"/>
  </w:num>
  <w:num w:numId="11" w16cid:durableId="1786653264">
    <w:abstractNumId w:val="44"/>
  </w:num>
  <w:num w:numId="12" w16cid:durableId="1325934069">
    <w:abstractNumId w:val="18"/>
  </w:num>
  <w:num w:numId="13" w16cid:durableId="1783920298">
    <w:abstractNumId w:val="36"/>
  </w:num>
  <w:num w:numId="14" w16cid:durableId="1598751572">
    <w:abstractNumId w:val="19"/>
  </w:num>
  <w:num w:numId="15" w16cid:durableId="2032686010">
    <w:abstractNumId w:val="35"/>
  </w:num>
  <w:num w:numId="16" w16cid:durableId="900598581">
    <w:abstractNumId w:val="37"/>
  </w:num>
  <w:num w:numId="17" w16cid:durableId="206531882">
    <w:abstractNumId w:val="2"/>
  </w:num>
  <w:num w:numId="18" w16cid:durableId="804782688">
    <w:abstractNumId w:val="14"/>
  </w:num>
  <w:num w:numId="19" w16cid:durableId="340742380">
    <w:abstractNumId w:val="45"/>
  </w:num>
  <w:num w:numId="20" w16cid:durableId="123043614">
    <w:abstractNumId w:val="23"/>
  </w:num>
  <w:num w:numId="21" w16cid:durableId="606544545">
    <w:abstractNumId w:val="34"/>
  </w:num>
  <w:num w:numId="22" w16cid:durableId="966424092">
    <w:abstractNumId w:val="26"/>
  </w:num>
  <w:num w:numId="23" w16cid:durableId="1248005377">
    <w:abstractNumId w:val="12"/>
  </w:num>
  <w:num w:numId="24" w16cid:durableId="1201700218">
    <w:abstractNumId w:val="15"/>
  </w:num>
  <w:num w:numId="25" w16cid:durableId="76489637">
    <w:abstractNumId w:val="24"/>
  </w:num>
  <w:num w:numId="26" w16cid:durableId="2058773471">
    <w:abstractNumId w:val="25"/>
  </w:num>
  <w:num w:numId="27" w16cid:durableId="1139567993">
    <w:abstractNumId w:val="5"/>
  </w:num>
  <w:num w:numId="28" w16cid:durableId="2030796464">
    <w:abstractNumId w:val="20"/>
  </w:num>
  <w:num w:numId="29" w16cid:durableId="914585647">
    <w:abstractNumId w:val="9"/>
  </w:num>
  <w:num w:numId="30" w16cid:durableId="1095131420">
    <w:abstractNumId w:val="7"/>
  </w:num>
  <w:num w:numId="31" w16cid:durableId="1077095077">
    <w:abstractNumId w:val="33"/>
  </w:num>
  <w:num w:numId="32" w16cid:durableId="1043335892">
    <w:abstractNumId w:val="27"/>
  </w:num>
  <w:num w:numId="33" w16cid:durableId="244992574">
    <w:abstractNumId w:val="42"/>
  </w:num>
  <w:num w:numId="34" w16cid:durableId="490875913">
    <w:abstractNumId w:val="17"/>
  </w:num>
  <w:num w:numId="35" w16cid:durableId="542793696">
    <w:abstractNumId w:val="6"/>
  </w:num>
  <w:num w:numId="36" w16cid:durableId="1912347704">
    <w:abstractNumId w:val="21"/>
  </w:num>
  <w:num w:numId="37" w16cid:durableId="826096973">
    <w:abstractNumId w:val="41"/>
  </w:num>
  <w:num w:numId="38" w16cid:durableId="2104103974">
    <w:abstractNumId w:val="29"/>
  </w:num>
  <w:num w:numId="39" w16cid:durableId="874657267">
    <w:abstractNumId w:val="11"/>
  </w:num>
  <w:num w:numId="40" w16cid:durableId="484207983">
    <w:abstractNumId w:val="16"/>
  </w:num>
  <w:num w:numId="41" w16cid:durableId="709770732">
    <w:abstractNumId w:val="28"/>
  </w:num>
  <w:num w:numId="42" w16cid:durableId="1818451347">
    <w:abstractNumId w:val="1"/>
  </w:num>
  <w:num w:numId="43" w16cid:durableId="696202220">
    <w:abstractNumId w:val="0"/>
  </w:num>
  <w:num w:numId="44" w16cid:durableId="1097486519">
    <w:abstractNumId w:val="3"/>
  </w:num>
  <w:num w:numId="45" w16cid:durableId="2118669284">
    <w:abstractNumId w:val="39"/>
  </w:num>
  <w:num w:numId="46" w16cid:durableId="78095483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MDM2MzAxNbM0NLRU0lEKTi0uzszPAykwrwUAaM8P2iwAAAA="/>
  </w:docVars>
  <w:rsids>
    <w:rsidRoot w:val="00201DE5"/>
    <w:rsid w:val="000116DD"/>
    <w:rsid w:val="0001468C"/>
    <w:rsid w:val="00025EDC"/>
    <w:rsid w:val="00033040"/>
    <w:rsid w:val="00034EF3"/>
    <w:rsid w:val="00035706"/>
    <w:rsid w:val="00066021"/>
    <w:rsid w:val="0009613B"/>
    <w:rsid w:val="000A16DF"/>
    <w:rsid w:val="000A4B42"/>
    <w:rsid w:val="000B1688"/>
    <w:rsid w:val="000B6CDD"/>
    <w:rsid w:val="000B6D90"/>
    <w:rsid w:val="000B6FFE"/>
    <w:rsid w:val="000C3129"/>
    <w:rsid w:val="000C3A90"/>
    <w:rsid w:val="000C4FF4"/>
    <w:rsid w:val="000D6AC8"/>
    <w:rsid w:val="000E191A"/>
    <w:rsid w:val="000F6777"/>
    <w:rsid w:val="00100CD9"/>
    <w:rsid w:val="001113F8"/>
    <w:rsid w:val="001146FC"/>
    <w:rsid w:val="00117B6B"/>
    <w:rsid w:val="00133DBC"/>
    <w:rsid w:val="00141B03"/>
    <w:rsid w:val="0014696E"/>
    <w:rsid w:val="00146AA5"/>
    <w:rsid w:val="00165ED1"/>
    <w:rsid w:val="00172ACA"/>
    <w:rsid w:val="00173366"/>
    <w:rsid w:val="00173E42"/>
    <w:rsid w:val="00180C6A"/>
    <w:rsid w:val="00184D1D"/>
    <w:rsid w:val="00195535"/>
    <w:rsid w:val="001975DC"/>
    <w:rsid w:val="001A0270"/>
    <w:rsid w:val="001A5B87"/>
    <w:rsid w:val="001D0952"/>
    <w:rsid w:val="001D792F"/>
    <w:rsid w:val="001E564D"/>
    <w:rsid w:val="00201DE5"/>
    <w:rsid w:val="00224E80"/>
    <w:rsid w:val="00225FB2"/>
    <w:rsid w:val="00231955"/>
    <w:rsid w:val="0023270B"/>
    <w:rsid w:val="00233CF8"/>
    <w:rsid w:val="002451CE"/>
    <w:rsid w:val="0025040F"/>
    <w:rsid w:val="002646FE"/>
    <w:rsid w:val="00271F8C"/>
    <w:rsid w:val="00273819"/>
    <w:rsid w:val="002843CF"/>
    <w:rsid w:val="00291D5C"/>
    <w:rsid w:val="002A7D06"/>
    <w:rsid w:val="002B167B"/>
    <w:rsid w:val="002B2881"/>
    <w:rsid w:val="002C4B72"/>
    <w:rsid w:val="002C7A9D"/>
    <w:rsid w:val="002D6933"/>
    <w:rsid w:val="002D73DD"/>
    <w:rsid w:val="002F3F60"/>
    <w:rsid w:val="002F6B86"/>
    <w:rsid w:val="003027A3"/>
    <w:rsid w:val="003058BE"/>
    <w:rsid w:val="00307B86"/>
    <w:rsid w:val="00321E8B"/>
    <w:rsid w:val="00332E87"/>
    <w:rsid w:val="003349EB"/>
    <w:rsid w:val="00342D1B"/>
    <w:rsid w:val="0036116C"/>
    <w:rsid w:val="003777E5"/>
    <w:rsid w:val="00393AAF"/>
    <w:rsid w:val="003A026D"/>
    <w:rsid w:val="003A48FA"/>
    <w:rsid w:val="003A67DD"/>
    <w:rsid w:val="003A6E9A"/>
    <w:rsid w:val="003C2728"/>
    <w:rsid w:val="003C7A49"/>
    <w:rsid w:val="003D144E"/>
    <w:rsid w:val="003D53EC"/>
    <w:rsid w:val="003E019C"/>
    <w:rsid w:val="003E4351"/>
    <w:rsid w:val="003E6D97"/>
    <w:rsid w:val="003E727D"/>
    <w:rsid w:val="003E74E0"/>
    <w:rsid w:val="003F4837"/>
    <w:rsid w:val="0040595D"/>
    <w:rsid w:val="00406ACA"/>
    <w:rsid w:val="00412E72"/>
    <w:rsid w:val="0041311E"/>
    <w:rsid w:val="00417308"/>
    <w:rsid w:val="0043751D"/>
    <w:rsid w:val="00444655"/>
    <w:rsid w:val="00455FA1"/>
    <w:rsid w:val="00472735"/>
    <w:rsid w:val="0047644C"/>
    <w:rsid w:val="00481D73"/>
    <w:rsid w:val="00485625"/>
    <w:rsid w:val="0049533C"/>
    <w:rsid w:val="004B5136"/>
    <w:rsid w:val="004B6BBA"/>
    <w:rsid w:val="004C25A5"/>
    <w:rsid w:val="004C6D17"/>
    <w:rsid w:val="004C7931"/>
    <w:rsid w:val="004E7D08"/>
    <w:rsid w:val="004F57CF"/>
    <w:rsid w:val="004F6693"/>
    <w:rsid w:val="005010EA"/>
    <w:rsid w:val="005208E4"/>
    <w:rsid w:val="00526699"/>
    <w:rsid w:val="00534594"/>
    <w:rsid w:val="00554D40"/>
    <w:rsid w:val="00562F25"/>
    <w:rsid w:val="00574AB8"/>
    <w:rsid w:val="00577239"/>
    <w:rsid w:val="005773C2"/>
    <w:rsid w:val="00584EAD"/>
    <w:rsid w:val="0058670C"/>
    <w:rsid w:val="00595487"/>
    <w:rsid w:val="005A0474"/>
    <w:rsid w:val="005C1D04"/>
    <w:rsid w:val="005C33DF"/>
    <w:rsid w:val="005C6F8B"/>
    <w:rsid w:val="005E09BB"/>
    <w:rsid w:val="005E52A8"/>
    <w:rsid w:val="00605EDE"/>
    <w:rsid w:val="00611D6C"/>
    <w:rsid w:val="006154E0"/>
    <w:rsid w:val="00621B8D"/>
    <w:rsid w:val="00632C27"/>
    <w:rsid w:val="00633DE2"/>
    <w:rsid w:val="006724C2"/>
    <w:rsid w:val="0069577C"/>
    <w:rsid w:val="006B4A8D"/>
    <w:rsid w:val="006B4BAB"/>
    <w:rsid w:val="006E2FB8"/>
    <w:rsid w:val="006E570A"/>
    <w:rsid w:val="006E5716"/>
    <w:rsid w:val="006F136C"/>
    <w:rsid w:val="006F30C5"/>
    <w:rsid w:val="007002B5"/>
    <w:rsid w:val="007039FA"/>
    <w:rsid w:val="00713F0E"/>
    <w:rsid w:val="00714992"/>
    <w:rsid w:val="00724949"/>
    <w:rsid w:val="00742232"/>
    <w:rsid w:val="00743A8B"/>
    <w:rsid w:val="00752A70"/>
    <w:rsid w:val="0076296C"/>
    <w:rsid w:val="0076440A"/>
    <w:rsid w:val="0076760F"/>
    <w:rsid w:val="00783DC3"/>
    <w:rsid w:val="007919A3"/>
    <w:rsid w:val="007A47FA"/>
    <w:rsid w:val="007A4CD3"/>
    <w:rsid w:val="007B0578"/>
    <w:rsid w:val="007B3A7B"/>
    <w:rsid w:val="007D02DC"/>
    <w:rsid w:val="007D55AC"/>
    <w:rsid w:val="007D573B"/>
    <w:rsid w:val="007F06CF"/>
    <w:rsid w:val="007F2664"/>
    <w:rsid w:val="007F6B18"/>
    <w:rsid w:val="0081033D"/>
    <w:rsid w:val="00814064"/>
    <w:rsid w:val="008239B9"/>
    <w:rsid w:val="00841012"/>
    <w:rsid w:val="00846978"/>
    <w:rsid w:val="008510B5"/>
    <w:rsid w:val="00851D14"/>
    <w:rsid w:val="00852259"/>
    <w:rsid w:val="00853BCD"/>
    <w:rsid w:val="008716AC"/>
    <w:rsid w:val="00876714"/>
    <w:rsid w:val="008809FC"/>
    <w:rsid w:val="00892A0A"/>
    <w:rsid w:val="008A2139"/>
    <w:rsid w:val="008A57E2"/>
    <w:rsid w:val="008C1FFF"/>
    <w:rsid w:val="008D2CF9"/>
    <w:rsid w:val="008E1132"/>
    <w:rsid w:val="008E28FC"/>
    <w:rsid w:val="008E47A2"/>
    <w:rsid w:val="008F26EC"/>
    <w:rsid w:val="0090283F"/>
    <w:rsid w:val="00935A54"/>
    <w:rsid w:val="00951A26"/>
    <w:rsid w:val="0095463F"/>
    <w:rsid w:val="009608BF"/>
    <w:rsid w:val="009672BD"/>
    <w:rsid w:val="009709A3"/>
    <w:rsid w:val="00980EC3"/>
    <w:rsid w:val="009B78A7"/>
    <w:rsid w:val="009D0905"/>
    <w:rsid w:val="009F0FD8"/>
    <w:rsid w:val="009F55E0"/>
    <w:rsid w:val="00A01CB3"/>
    <w:rsid w:val="00A3141E"/>
    <w:rsid w:val="00A31B25"/>
    <w:rsid w:val="00A402DF"/>
    <w:rsid w:val="00A40C4B"/>
    <w:rsid w:val="00A40C63"/>
    <w:rsid w:val="00A42C9F"/>
    <w:rsid w:val="00A42D93"/>
    <w:rsid w:val="00A51114"/>
    <w:rsid w:val="00A5186E"/>
    <w:rsid w:val="00A5671F"/>
    <w:rsid w:val="00A6039B"/>
    <w:rsid w:val="00A609D8"/>
    <w:rsid w:val="00A64C9E"/>
    <w:rsid w:val="00A675F0"/>
    <w:rsid w:val="00A84CCF"/>
    <w:rsid w:val="00A8509C"/>
    <w:rsid w:val="00A853FE"/>
    <w:rsid w:val="00A8712D"/>
    <w:rsid w:val="00A90226"/>
    <w:rsid w:val="00A97E4E"/>
    <w:rsid w:val="00AA046A"/>
    <w:rsid w:val="00AA36A9"/>
    <w:rsid w:val="00AB2C00"/>
    <w:rsid w:val="00AC3418"/>
    <w:rsid w:val="00AC4015"/>
    <w:rsid w:val="00AC71F1"/>
    <w:rsid w:val="00AD401F"/>
    <w:rsid w:val="00AE083F"/>
    <w:rsid w:val="00AE2484"/>
    <w:rsid w:val="00AF37F3"/>
    <w:rsid w:val="00AF729D"/>
    <w:rsid w:val="00B12B89"/>
    <w:rsid w:val="00B14E58"/>
    <w:rsid w:val="00B321E8"/>
    <w:rsid w:val="00B378E4"/>
    <w:rsid w:val="00B60018"/>
    <w:rsid w:val="00B620E7"/>
    <w:rsid w:val="00B674D1"/>
    <w:rsid w:val="00B70E04"/>
    <w:rsid w:val="00B71BF0"/>
    <w:rsid w:val="00B7422E"/>
    <w:rsid w:val="00B7626B"/>
    <w:rsid w:val="00B769F8"/>
    <w:rsid w:val="00B9283C"/>
    <w:rsid w:val="00B92B0E"/>
    <w:rsid w:val="00B95344"/>
    <w:rsid w:val="00B95DF4"/>
    <w:rsid w:val="00BB5FE7"/>
    <w:rsid w:val="00BB6621"/>
    <w:rsid w:val="00BC51B2"/>
    <w:rsid w:val="00BD29B6"/>
    <w:rsid w:val="00BD3C04"/>
    <w:rsid w:val="00BD558E"/>
    <w:rsid w:val="00BE789F"/>
    <w:rsid w:val="00C049E2"/>
    <w:rsid w:val="00C21D19"/>
    <w:rsid w:val="00C26968"/>
    <w:rsid w:val="00C521D4"/>
    <w:rsid w:val="00C62D19"/>
    <w:rsid w:val="00C6367C"/>
    <w:rsid w:val="00C77414"/>
    <w:rsid w:val="00CA1B48"/>
    <w:rsid w:val="00CA6055"/>
    <w:rsid w:val="00CC2E6B"/>
    <w:rsid w:val="00CC5B96"/>
    <w:rsid w:val="00CD10EE"/>
    <w:rsid w:val="00CD29F0"/>
    <w:rsid w:val="00CE322C"/>
    <w:rsid w:val="00CF3478"/>
    <w:rsid w:val="00CF465B"/>
    <w:rsid w:val="00D0207F"/>
    <w:rsid w:val="00D03BDD"/>
    <w:rsid w:val="00D14786"/>
    <w:rsid w:val="00D35A62"/>
    <w:rsid w:val="00D36E1F"/>
    <w:rsid w:val="00D55AAD"/>
    <w:rsid w:val="00D60DC6"/>
    <w:rsid w:val="00D61741"/>
    <w:rsid w:val="00D7162A"/>
    <w:rsid w:val="00D720C5"/>
    <w:rsid w:val="00D770A9"/>
    <w:rsid w:val="00D81600"/>
    <w:rsid w:val="00D92186"/>
    <w:rsid w:val="00D956CF"/>
    <w:rsid w:val="00DA3EDB"/>
    <w:rsid w:val="00DA429D"/>
    <w:rsid w:val="00DA5878"/>
    <w:rsid w:val="00DB3FE6"/>
    <w:rsid w:val="00DB4918"/>
    <w:rsid w:val="00DB4ABD"/>
    <w:rsid w:val="00DB510B"/>
    <w:rsid w:val="00DE24A8"/>
    <w:rsid w:val="00DE34F9"/>
    <w:rsid w:val="00DF48F8"/>
    <w:rsid w:val="00E00BAE"/>
    <w:rsid w:val="00E1626F"/>
    <w:rsid w:val="00E16CF2"/>
    <w:rsid w:val="00E22F09"/>
    <w:rsid w:val="00E35EDF"/>
    <w:rsid w:val="00E41A5B"/>
    <w:rsid w:val="00E507B0"/>
    <w:rsid w:val="00E51B7A"/>
    <w:rsid w:val="00E62BDE"/>
    <w:rsid w:val="00E66D9A"/>
    <w:rsid w:val="00E7025E"/>
    <w:rsid w:val="00E73BA5"/>
    <w:rsid w:val="00E76B55"/>
    <w:rsid w:val="00E77869"/>
    <w:rsid w:val="00EB6675"/>
    <w:rsid w:val="00EC03EC"/>
    <w:rsid w:val="00ED1A03"/>
    <w:rsid w:val="00ED32E2"/>
    <w:rsid w:val="00EE2FC9"/>
    <w:rsid w:val="00EF27AF"/>
    <w:rsid w:val="00F028AE"/>
    <w:rsid w:val="00F03AA3"/>
    <w:rsid w:val="00F15A7A"/>
    <w:rsid w:val="00F2151F"/>
    <w:rsid w:val="00F43027"/>
    <w:rsid w:val="00F64651"/>
    <w:rsid w:val="00F71E4A"/>
    <w:rsid w:val="00F726E1"/>
    <w:rsid w:val="00F72AD2"/>
    <w:rsid w:val="00F73845"/>
    <w:rsid w:val="00F76EEF"/>
    <w:rsid w:val="00F91CCB"/>
    <w:rsid w:val="00F932FA"/>
    <w:rsid w:val="00F951C8"/>
    <w:rsid w:val="00F97707"/>
    <w:rsid w:val="00FB4A09"/>
    <w:rsid w:val="00FB7411"/>
    <w:rsid w:val="00FD1A70"/>
    <w:rsid w:val="00FD5D33"/>
    <w:rsid w:val="00FD67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CAEB"/>
  <w15:chartTrackingRefBased/>
  <w15:docId w15:val="{5B6B978A-03DB-45CB-B460-EDAE44A1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8BE"/>
    <w:pPr>
      <w:ind w:left="720"/>
      <w:contextualSpacing/>
    </w:pPr>
  </w:style>
  <w:style w:type="paragraph" w:styleId="a4">
    <w:name w:val="footnote text"/>
    <w:basedOn w:val="a"/>
    <w:link w:val="a5"/>
    <w:uiPriority w:val="99"/>
    <w:semiHidden/>
    <w:unhideWhenUsed/>
    <w:rsid w:val="008E28FC"/>
    <w:pPr>
      <w:spacing w:after="0" w:line="240" w:lineRule="auto"/>
    </w:pPr>
    <w:rPr>
      <w:sz w:val="20"/>
      <w:szCs w:val="20"/>
    </w:rPr>
  </w:style>
  <w:style w:type="character" w:customStyle="1" w:styleId="a5">
    <w:name w:val="Текст сноски Знак"/>
    <w:basedOn w:val="a0"/>
    <w:link w:val="a4"/>
    <w:uiPriority w:val="99"/>
    <w:semiHidden/>
    <w:rsid w:val="008E28FC"/>
    <w:rPr>
      <w:sz w:val="20"/>
      <w:szCs w:val="20"/>
    </w:rPr>
  </w:style>
  <w:style w:type="character" w:styleId="a6">
    <w:name w:val="footnote reference"/>
    <w:basedOn w:val="a0"/>
    <w:uiPriority w:val="99"/>
    <w:semiHidden/>
    <w:unhideWhenUsed/>
    <w:rsid w:val="008E28FC"/>
    <w:rPr>
      <w:vertAlign w:val="superscript"/>
    </w:rPr>
  </w:style>
  <w:style w:type="character" w:styleId="a7">
    <w:name w:val="Hyperlink"/>
    <w:basedOn w:val="a0"/>
    <w:uiPriority w:val="99"/>
    <w:unhideWhenUsed/>
    <w:rsid w:val="00EF27AF"/>
    <w:rPr>
      <w:color w:val="0563C1" w:themeColor="hyperlink"/>
      <w:u w:val="single"/>
    </w:rPr>
  </w:style>
  <w:style w:type="paragraph" w:styleId="a8">
    <w:name w:val="Balloon Text"/>
    <w:basedOn w:val="a"/>
    <w:link w:val="a9"/>
    <w:uiPriority w:val="99"/>
    <w:semiHidden/>
    <w:unhideWhenUsed/>
    <w:rsid w:val="007B057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0578"/>
    <w:rPr>
      <w:rFonts w:ascii="Segoe UI" w:hAnsi="Segoe UI" w:cs="Segoe UI"/>
      <w:sz w:val="18"/>
      <w:szCs w:val="18"/>
    </w:rPr>
  </w:style>
  <w:style w:type="character" w:styleId="aa">
    <w:name w:val="FollowedHyperlink"/>
    <w:basedOn w:val="a0"/>
    <w:uiPriority w:val="99"/>
    <w:semiHidden/>
    <w:unhideWhenUsed/>
    <w:rsid w:val="00B378E4"/>
    <w:rPr>
      <w:color w:val="954F72" w:themeColor="followedHyperlink"/>
      <w:u w:val="single"/>
    </w:rPr>
  </w:style>
  <w:style w:type="paragraph" w:styleId="ab">
    <w:name w:val="Normal (Web)"/>
    <w:basedOn w:val="a"/>
    <w:uiPriority w:val="99"/>
    <w:semiHidden/>
    <w:unhideWhenUsed/>
    <w:rsid w:val="003E7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a"/>
    <w:rsid w:val="008A2139"/>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39"/>
    <w:rsid w:val="0057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773C2"/>
    <w:pPr>
      <w:widowControl w:val="0"/>
      <w:autoSpaceDE w:val="0"/>
      <w:autoSpaceDN w:val="0"/>
      <w:spacing w:after="0" w:line="240" w:lineRule="auto"/>
    </w:pPr>
    <w:rPr>
      <w:rFonts w:ascii="Arial MT" w:eastAsia="Arial MT" w:hAnsi="Arial MT" w:cs="Arial MT"/>
      <w:lang w:eastAsia="en-US"/>
    </w:rPr>
  </w:style>
  <w:style w:type="paragraph" w:styleId="ad">
    <w:name w:val="header"/>
    <w:basedOn w:val="a"/>
    <w:link w:val="ae"/>
    <w:uiPriority w:val="99"/>
    <w:unhideWhenUsed/>
    <w:rsid w:val="00E51B7A"/>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E51B7A"/>
  </w:style>
  <w:style w:type="paragraph" w:styleId="af">
    <w:name w:val="footer"/>
    <w:basedOn w:val="a"/>
    <w:link w:val="af0"/>
    <w:uiPriority w:val="99"/>
    <w:unhideWhenUsed/>
    <w:rsid w:val="00E51B7A"/>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E51B7A"/>
  </w:style>
  <w:style w:type="paragraph" w:styleId="af1">
    <w:name w:val="Revision"/>
    <w:hidden/>
    <w:uiPriority w:val="99"/>
    <w:semiHidden/>
    <w:rsid w:val="004B5136"/>
    <w:pPr>
      <w:spacing w:after="0" w:line="240" w:lineRule="auto"/>
    </w:pPr>
  </w:style>
  <w:style w:type="paragraph" w:customStyle="1" w:styleId="Disclaimer">
    <w:name w:val="Disclaimer"/>
    <w:basedOn w:val="a"/>
    <w:qFormat/>
    <w:rsid w:val="004B5136"/>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4B5136"/>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4B5136"/>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3264">
      <w:bodyDiv w:val="1"/>
      <w:marLeft w:val="0"/>
      <w:marRight w:val="0"/>
      <w:marTop w:val="0"/>
      <w:marBottom w:val="0"/>
      <w:divBdr>
        <w:top w:val="none" w:sz="0" w:space="0" w:color="auto"/>
        <w:left w:val="none" w:sz="0" w:space="0" w:color="auto"/>
        <w:bottom w:val="none" w:sz="0" w:space="0" w:color="auto"/>
        <w:right w:val="none" w:sz="0" w:space="0" w:color="auto"/>
      </w:divBdr>
    </w:div>
    <w:div w:id="265044619">
      <w:bodyDiv w:val="1"/>
      <w:marLeft w:val="0"/>
      <w:marRight w:val="0"/>
      <w:marTop w:val="0"/>
      <w:marBottom w:val="0"/>
      <w:divBdr>
        <w:top w:val="none" w:sz="0" w:space="0" w:color="auto"/>
        <w:left w:val="none" w:sz="0" w:space="0" w:color="auto"/>
        <w:bottom w:val="none" w:sz="0" w:space="0" w:color="auto"/>
        <w:right w:val="none" w:sz="0" w:space="0" w:color="auto"/>
      </w:divBdr>
    </w:div>
    <w:div w:id="608198011">
      <w:bodyDiv w:val="1"/>
      <w:marLeft w:val="0"/>
      <w:marRight w:val="0"/>
      <w:marTop w:val="0"/>
      <w:marBottom w:val="0"/>
      <w:divBdr>
        <w:top w:val="none" w:sz="0" w:space="0" w:color="auto"/>
        <w:left w:val="none" w:sz="0" w:space="0" w:color="auto"/>
        <w:bottom w:val="none" w:sz="0" w:space="0" w:color="auto"/>
        <w:right w:val="none" w:sz="0" w:space="0" w:color="auto"/>
      </w:divBdr>
    </w:div>
    <w:div w:id="1393194980">
      <w:bodyDiv w:val="1"/>
      <w:marLeft w:val="0"/>
      <w:marRight w:val="0"/>
      <w:marTop w:val="0"/>
      <w:marBottom w:val="0"/>
      <w:divBdr>
        <w:top w:val="none" w:sz="0" w:space="0" w:color="auto"/>
        <w:left w:val="none" w:sz="0" w:space="0" w:color="auto"/>
        <w:bottom w:val="none" w:sz="0" w:space="0" w:color="auto"/>
        <w:right w:val="none" w:sz="0" w:space="0" w:color="auto"/>
      </w:divBdr>
    </w:div>
    <w:div w:id="1493134704">
      <w:bodyDiv w:val="1"/>
      <w:marLeft w:val="0"/>
      <w:marRight w:val="0"/>
      <w:marTop w:val="0"/>
      <w:marBottom w:val="0"/>
      <w:divBdr>
        <w:top w:val="none" w:sz="0" w:space="0" w:color="auto"/>
        <w:left w:val="none" w:sz="0" w:space="0" w:color="auto"/>
        <w:bottom w:val="none" w:sz="0" w:space="0" w:color="auto"/>
        <w:right w:val="none" w:sz="0" w:space="0" w:color="auto"/>
      </w:divBdr>
    </w:div>
    <w:div w:id="19452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new-hkex-listing-regime-for-specialist-technology-companies-launches-31-march-2023/" TargetMode="External"/><Relationship Id="rId13" Type="http://schemas.openxmlformats.org/officeDocument/2006/relationships/hyperlink" Target="https://en-rules.hkex.com.hk/sites/default/files/net_file_store/gl531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rules.hkex.com.hk/sites/default/files/net_file_store/gl891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nsubscribe@charltonslaw.com?subject=unsubscribe%20-Hong%20Kong%20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rules.hkex.com.hk/sites/default/files/net_file_store/gl115-23.pdf" TargetMode="External"/><Relationship Id="rId5" Type="http://schemas.openxmlformats.org/officeDocument/2006/relationships/webSettings" Target="webSettings.xml"/><Relationship Id="rId15" Type="http://schemas.openxmlformats.org/officeDocument/2006/relationships/hyperlink" Target="https://en-rules.hkex.com.hk/pdf-manipulate?/sites/default/files/net_file_store/gl4312.pdf" TargetMode="External"/><Relationship Id="rId10" Type="http://schemas.openxmlformats.org/officeDocument/2006/relationships/hyperlink" Target="https://www.charltonslaw.com/hkex-consults-on-new-listing-regime-for-specialist-technology-compan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media/HKEX-Market/News/Market-Consultations/2016-Present/October-2022-Specialist-Technology-Co/Conclusions-(Mar-2023)/cp202210cc.pdf" TargetMode="External"/><Relationship Id="rId14" Type="http://schemas.openxmlformats.org/officeDocument/2006/relationships/hyperlink" Target="https://en-rules.hkex.com.hk/pdf-manipulate?/sites/default/files/net_file_store/gl8516.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rules.hkex.com.hk/sites/default/files/net_file_store/gl115-23.pdf" TargetMode="External"/><Relationship Id="rId3" Type="http://schemas.openxmlformats.org/officeDocument/2006/relationships/hyperlink" Target="https://en-rules.hkex.com.hk/sites/default/files/net_file_store/gl115-23.pdf" TargetMode="External"/><Relationship Id="rId7" Type="http://schemas.openxmlformats.org/officeDocument/2006/relationships/hyperlink" Target="https://en-rules.hkex.com.hk/sites/default/files/net_file_store/gl115-23.pdf" TargetMode="External"/><Relationship Id="rId2" Type="http://schemas.openxmlformats.org/officeDocument/2006/relationships/hyperlink" Target="https://en-rules.hkex.com.hk/sites/default/files/net_file_store/gl115-23.pdf" TargetMode="External"/><Relationship Id="rId1" Type="http://schemas.openxmlformats.org/officeDocument/2006/relationships/hyperlink" Target="https://en-rules.hkex.com.hk/sites/default/files/net_file_store/gl115-23.pdf" TargetMode="External"/><Relationship Id="rId6" Type="http://schemas.openxmlformats.org/officeDocument/2006/relationships/hyperlink" Target="https://en-rules.hkex.com.hk/sites/default/files/net_file_store/gl115-23.pdf" TargetMode="External"/><Relationship Id="rId5" Type="http://schemas.openxmlformats.org/officeDocument/2006/relationships/hyperlink" Target="https://en-rules.hkex.com.hk/sites/default/files/net_file_store/gl115-23.pdf" TargetMode="External"/><Relationship Id="rId4" Type="http://schemas.openxmlformats.org/officeDocument/2006/relationships/hyperlink" Target="https://en-rules.hkex.com.hk/sites/default/files/net_file_store/gl115-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6EFD-1900-48F7-AE13-E07C528A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5036</TotalTime>
  <Pages>14</Pages>
  <Words>6323</Words>
  <Characters>36043</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Microsoft Office User</cp:lastModifiedBy>
  <cp:revision>27</cp:revision>
  <cp:lastPrinted>2023-03-30T01:35:00Z</cp:lastPrinted>
  <dcterms:created xsi:type="dcterms:W3CDTF">2023-03-31T02:56:00Z</dcterms:created>
  <dcterms:modified xsi:type="dcterms:W3CDTF">2023-04-13T17:42:00Z</dcterms:modified>
</cp:coreProperties>
</file>