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975" w:rsidRPr="008524CA" w:rsidRDefault="00661975" w:rsidP="00661975">
      <w:pPr>
        <w:shd w:val="clear" w:color="auto" w:fill="000000"/>
        <w:spacing w:after="200"/>
        <w:jc w:val="center"/>
        <w:rPr>
          <w:rFonts w:ascii="Cambria" w:eastAsia="Cambria" w:hAnsi="Cambria" w:cs="Times New Roman"/>
          <w:color w:val="FFFFFF"/>
          <w:sz w:val="24"/>
          <w:szCs w:val="24"/>
        </w:rPr>
      </w:pPr>
      <w:proofErr w:type="spellStart"/>
      <w:r>
        <w:rPr>
          <w:rFonts w:ascii="Cambria" w:eastAsia="Cambria" w:hAnsi="Cambria" w:cs="Times New Roman"/>
          <w:color w:val="FFFFFF"/>
          <w:sz w:val="24"/>
          <w:szCs w:val="24"/>
        </w:rPr>
        <w:t>Charltons</w:t>
      </w:r>
      <w:proofErr w:type="spellEnd"/>
      <w:r>
        <w:rPr>
          <w:rFonts w:ascii="Cambria" w:eastAsia="Cambria" w:hAnsi="Cambria" w:cs="Times New Roman"/>
          <w:color w:val="FFFFFF"/>
          <w:sz w:val="24"/>
          <w:szCs w:val="24"/>
        </w:rPr>
        <w:t xml:space="preserve"> - Hong Kong Law - </w:t>
      </w:r>
      <w:r w:rsidRPr="009F225F">
        <w:rPr>
          <w:rFonts w:ascii="Cambria" w:eastAsia="Cambria" w:hAnsi="Cambria" w:cs="Times New Roman"/>
          <w:color w:val="FFFFFF"/>
          <w:sz w:val="24"/>
          <w:szCs w:val="24"/>
        </w:rPr>
        <w:t>2</w:t>
      </w:r>
      <w:r>
        <w:rPr>
          <w:rFonts w:ascii="Cambria" w:eastAsia="Cambria" w:hAnsi="Cambria" w:cs="Times New Roman"/>
          <w:color w:val="FFFFFF"/>
          <w:sz w:val="24"/>
          <w:szCs w:val="24"/>
        </w:rPr>
        <w:t>7</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March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661975" w:rsidRPr="00661975" w:rsidRDefault="00661975" w:rsidP="00661975">
      <w:pPr>
        <w:spacing w:after="200"/>
        <w:jc w:val="center"/>
        <w:rPr>
          <w:rFonts w:ascii="Cambria" w:eastAsia="Cambria" w:hAnsi="Cambria" w:cs="Times New Roman"/>
          <w:color w:val="00000A"/>
          <w:sz w:val="28"/>
          <w:szCs w:val="24"/>
          <w:u w:val="single"/>
        </w:rPr>
      </w:pPr>
      <w:hyperlink r:id="rId8" w:history="1">
        <w:r w:rsidRPr="00365171">
          <w:rPr>
            <w:rStyle w:val="a7"/>
            <w:rFonts w:ascii="Cambria" w:eastAsia="Cambria" w:hAnsi="Cambria"/>
            <w:sz w:val="28"/>
            <w:szCs w:val="24"/>
          </w:rPr>
          <w:t>online version</w:t>
        </w:r>
      </w:hyperlink>
    </w:p>
    <w:p w:rsidR="00851D14" w:rsidRPr="00CD58E4" w:rsidRDefault="00851D14" w:rsidP="00EF27AF">
      <w:pPr>
        <w:rPr>
          <w:rFonts w:ascii="Arial" w:hAnsi="Arial" w:cs="Arial"/>
          <w:color w:val="FF0000"/>
          <w:sz w:val="20"/>
          <w:szCs w:val="20"/>
        </w:rPr>
      </w:pPr>
      <w:r w:rsidRPr="00CD58E4">
        <w:rPr>
          <w:rFonts w:ascii="Arial" w:hAnsi="Arial" w:cs="Arial"/>
          <w:color w:val="FF0000"/>
          <w:sz w:val="20"/>
          <w:szCs w:val="20"/>
        </w:rPr>
        <w:t>HKEX Publishes Consultation Conclusions on New Listing Regime for Specialist Technology Companies</w:t>
      </w:r>
    </w:p>
    <w:p w:rsidR="00EF27AF" w:rsidRPr="00CD58E4" w:rsidRDefault="00EF27AF" w:rsidP="00EF27AF">
      <w:pPr>
        <w:rPr>
          <w:rFonts w:ascii="Arial" w:hAnsi="Arial" w:cs="Arial"/>
          <w:sz w:val="20"/>
          <w:szCs w:val="20"/>
        </w:rPr>
      </w:pPr>
      <w:r w:rsidRPr="00CD58E4">
        <w:rPr>
          <w:rFonts w:ascii="Arial" w:hAnsi="Arial" w:cs="Arial"/>
          <w:sz w:val="20"/>
          <w:szCs w:val="20"/>
        </w:rPr>
        <w:t xml:space="preserve">On 24 March 2023, the Stock Exchange of Hong Kong Limited (HKEX) published </w:t>
      </w:r>
      <w:hyperlink r:id="rId9" w:history="1">
        <w:r w:rsidR="00F03AA3" w:rsidRPr="00CD58E4">
          <w:rPr>
            <w:rStyle w:val="a7"/>
            <w:rFonts w:ascii="Arial" w:hAnsi="Arial" w:cs="Arial"/>
            <w:sz w:val="20"/>
            <w:szCs w:val="20"/>
          </w:rPr>
          <w:t>Consultation Conclusions</w:t>
        </w:r>
      </w:hyperlink>
      <w:r w:rsidRPr="00CD58E4">
        <w:rPr>
          <w:rFonts w:ascii="Arial" w:hAnsi="Arial" w:cs="Arial"/>
          <w:sz w:val="20"/>
          <w:szCs w:val="20"/>
        </w:rPr>
        <w:t xml:space="preserve"> on its proposals to </w:t>
      </w:r>
      <w:r w:rsidR="003E727D" w:rsidRPr="00CD58E4">
        <w:rPr>
          <w:rFonts w:ascii="Arial" w:hAnsi="Arial" w:cs="Arial"/>
          <w:sz w:val="20"/>
          <w:szCs w:val="20"/>
        </w:rPr>
        <w:t>expand Hong Kong’</w:t>
      </w:r>
      <w:r w:rsidR="007B0578" w:rsidRPr="00CD58E4">
        <w:rPr>
          <w:rFonts w:ascii="Arial" w:hAnsi="Arial" w:cs="Arial"/>
          <w:sz w:val="20"/>
          <w:szCs w:val="20"/>
        </w:rPr>
        <w:t>s listing framework for the listings of Specialist Technology Companies</w:t>
      </w:r>
      <w:r w:rsidRPr="00CD58E4">
        <w:rPr>
          <w:rFonts w:ascii="Arial" w:hAnsi="Arial" w:cs="Arial"/>
          <w:sz w:val="20"/>
          <w:szCs w:val="20"/>
        </w:rPr>
        <w:t xml:space="preserve">. For a summary of the original </w:t>
      </w:r>
      <w:r w:rsidR="00B378E4" w:rsidRPr="00CD58E4">
        <w:rPr>
          <w:rFonts w:ascii="Arial" w:hAnsi="Arial" w:cs="Arial"/>
          <w:sz w:val="20"/>
          <w:szCs w:val="20"/>
        </w:rPr>
        <w:t>Consultation Paper</w:t>
      </w:r>
      <w:r w:rsidRPr="00CD58E4">
        <w:rPr>
          <w:rFonts w:ascii="Arial" w:hAnsi="Arial" w:cs="Arial"/>
          <w:sz w:val="20"/>
          <w:szCs w:val="20"/>
        </w:rPr>
        <w:t xml:space="preserve">, please see </w:t>
      </w:r>
      <w:proofErr w:type="spellStart"/>
      <w:r w:rsidRPr="00CD58E4">
        <w:rPr>
          <w:rFonts w:ascii="Arial" w:hAnsi="Arial" w:cs="Arial"/>
          <w:sz w:val="20"/>
          <w:szCs w:val="20"/>
        </w:rPr>
        <w:t>Charltons</w:t>
      </w:r>
      <w:proofErr w:type="spellEnd"/>
      <w:r w:rsidRPr="00CD58E4">
        <w:rPr>
          <w:rFonts w:ascii="Arial" w:hAnsi="Arial" w:cs="Arial"/>
          <w:sz w:val="20"/>
          <w:szCs w:val="20"/>
        </w:rPr>
        <w:t xml:space="preserve">’ </w:t>
      </w:r>
      <w:hyperlink r:id="rId10" w:history="1">
        <w:r w:rsidRPr="00CD58E4">
          <w:rPr>
            <w:rStyle w:val="a7"/>
            <w:rFonts w:ascii="Arial" w:hAnsi="Arial" w:cs="Arial"/>
            <w:sz w:val="20"/>
            <w:szCs w:val="20"/>
          </w:rPr>
          <w:t>October 2022 newsletter</w:t>
        </w:r>
      </w:hyperlink>
      <w:r w:rsidRPr="00CD58E4">
        <w:rPr>
          <w:rFonts w:ascii="Arial" w:hAnsi="Arial" w:cs="Arial"/>
          <w:sz w:val="20"/>
          <w:szCs w:val="20"/>
        </w:rPr>
        <w:t>.</w:t>
      </w:r>
    </w:p>
    <w:p w:rsidR="00980EC3" w:rsidRPr="00CD58E4" w:rsidRDefault="00EF27AF" w:rsidP="003058BE">
      <w:pPr>
        <w:rPr>
          <w:rFonts w:ascii="Arial" w:hAnsi="Arial" w:cs="Arial"/>
          <w:sz w:val="20"/>
          <w:szCs w:val="20"/>
        </w:rPr>
      </w:pPr>
      <w:r w:rsidRPr="00CD58E4">
        <w:rPr>
          <w:rFonts w:ascii="Arial" w:hAnsi="Arial" w:cs="Arial"/>
          <w:sz w:val="20"/>
          <w:szCs w:val="20"/>
        </w:rPr>
        <w:t>During the consultation period, the HKEX received 90 submissions from various stakeholders</w:t>
      </w:r>
      <w:r w:rsidR="00B95344" w:rsidRPr="00CD58E4">
        <w:rPr>
          <w:rFonts w:ascii="Arial" w:hAnsi="Arial" w:cs="Arial"/>
          <w:sz w:val="20"/>
          <w:szCs w:val="20"/>
        </w:rPr>
        <w:t xml:space="preserve"> and, a</w:t>
      </w:r>
      <w:r w:rsidR="00DF48F8" w:rsidRPr="00CD58E4">
        <w:rPr>
          <w:rFonts w:ascii="Arial" w:hAnsi="Arial" w:cs="Arial"/>
          <w:sz w:val="20"/>
          <w:szCs w:val="20"/>
        </w:rPr>
        <w:t xml:space="preserve">fter reviewing the feedback, the HKEX has decided to implement the proposals </w:t>
      </w:r>
      <w:r w:rsidR="00DA5878" w:rsidRPr="00CD58E4">
        <w:rPr>
          <w:rFonts w:ascii="Arial" w:hAnsi="Arial" w:cs="Arial"/>
          <w:sz w:val="20"/>
          <w:szCs w:val="20"/>
        </w:rPr>
        <w:t xml:space="preserve">as set out in the Consultation Paper, </w:t>
      </w:r>
      <w:r w:rsidR="00DF48F8" w:rsidRPr="00CD58E4">
        <w:rPr>
          <w:rFonts w:ascii="Arial" w:hAnsi="Arial" w:cs="Arial"/>
          <w:sz w:val="20"/>
          <w:szCs w:val="20"/>
        </w:rPr>
        <w:t>with some a</w:t>
      </w:r>
      <w:r w:rsidR="001A0270" w:rsidRPr="00CD58E4">
        <w:rPr>
          <w:rFonts w:ascii="Arial" w:hAnsi="Arial" w:cs="Arial"/>
          <w:sz w:val="20"/>
          <w:szCs w:val="20"/>
        </w:rPr>
        <w:t>mendments</w:t>
      </w:r>
      <w:r w:rsidR="00DF48F8" w:rsidRPr="00CD58E4">
        <w:rPr>
          <w:rFonts w:ascii="Arial" w:hAnsi="Arial" w:cs="Arial"/>
          <w:sz w:val="20"/>
          <w:szCs w:val="20"/>
        </w:rPr>
        <w:t xml:space="preserve"> and clarifications</w:t>
      </w:r>
      <w:r w:rsidR="00783DC3" w:rsidRPr="00CD58E4">
        <w:rPr>
          <w:rFonts w:ascii="Arial" w:hAnsi="Arial" w:cs="Arial"/>
          <w:sz w:val="20"/>
          <w:szCs w:val="20"/>
        </w:rPr>
        <w:t xml:space="preserve">. </w:t>
      </w:r>
      <w:r w:rsidR="00633DE2" w:rsidRPr="00633DE2">
        <w:rPr>
          <w:rFonts w:ascii="Arial" w:hAnsi="Arial" w:cs="Arial"/>
          <w:sz w:val="20"/>
          <w:szCs w:val="20"/>
        </w:rPr>
        <w:t>Specifically,</w:t>
      </w:r>
      <w:r w:rsidR="00633DE2">
        <w:rPr>
          <w:rFonts w:ascii="Arial" w:hAnsi="Arial" w:cs="Arial"/>
          <w:sz w:val="20"/>
          <w:szCs w:val="20"/>
        </w:rPr>
        <w:t xml:space="preserve"> </w:t>
      </w:r>
      <w:r w:rsidR="00633DE2" w:rsidRPr="00633DE2">
        <w:rPr>
          <w:rFonts w:ascii="Arial" w:hAnsi="Arial" w:cs="Arial"/>
          <w:sz w:val="20"/>
          <w:szCs w:val="20"/>
        </w:rPr>
        <w:t xml:space="preserve">the HKEX has lowered the market </w:t>
      </w:r>
      <w:proofErr w:type="spellStart"/>
      <w:r w:rsidR="00633DE2" w:rsidRPr="00633DE2">
        <w:rPr>
          <w:rFonts w:ascii="Arial" w:hAnsi="Arial" w:cs="Arial"/>
          <w:sz w:val="20"/>
          <w:szCs w:val="20"/>
        </w:rPr>
        <w:t>capitali</w:t>
      </w:r>
      <w:r w:rsidR="00633DE2">
        <w:rPr>
          <w:rFonts w:ascii="Arial" w:hAnsi="Arial" w:cs="Arial"/>
          <w:sz w:val="20"/>
          <w:szCs w:val="20"/>
        </w:rPr>
        <w:t>s</w:t>
      </w:r>
      <w:r w:rsidR="00633DE2" w:rsidRPr="00633DE2">
        <w:rPr>
          <w:rFonts w:ascii="Arial" w:hAnsi="Arial" w:cs="Arial"/>
          <w:sz w:val="20"/>
          <w:szCs w:val="20"/>
        </w:rPr>
        <w:t>ation</w:t>
      </w:r>
      <w:proofErr w:type="spellEnd"/>
      <w:r w:rsidR="00633DE2" w:rsidRPr="00633DE2">
        <w:rPr>
          <w:rFonts w:ascii="Arial" w:hAnsi="Arial" w:cs="Arial"/>
          <w:sz w:val="20"/>
          <w:szCs w:val="20"/>
        </w:rPr>
        <w:t xml:space="preserve"> thresholds </w:t>
      </w:r>
      <w:r w:rsidR="00A42C9F">
        <w:rPr>
          <w:rFonts w:ascii="Arial" w:hAnsi="Arial" w:cs="Arial"/>
          <w:sz w:val="20"/>
          <w:szCs w:val="20"/>
        </w:rPr>
        <w:t>for all Specialist Technology Companies</w:t>
      </w:r>
      <w:r w:rsidR="00A42C9F" w:rsidRPr="00633DE2">
        <w:rPr>
          <w:rFonts w:ascii="Arial" w:hAnsi="Arial" w:cs="Arial"/>
          <w:sz w:val="20"/>
          <w:szCs w:val="20"/>
        </w:rPr>
        <w:t xml:space="preserve"> </w:t>
      </w:r>
      <w:r w:rsidR="00633DE2" w:rsidRPr="00633DE2">
        <w:rPr>
          <w:rFonts w:ascii="Arial" w:hAnsi="Arial" w:cs="Arial"/>
          <w:sz w:val="20"/>
          <w:szCs w:val="20"/>
        </w:rPr>
        <w:t xml:space="preserve">and reduced the minimum </w:t>
      </w:r>
      <w:r w:rsidR="0095463F" w:rsidRPr="0095463F">
        <w:rPr>
          <w:rFonts w:ascii="Arial" w:hAnsi="Arial" w:cs="Arial"/>
          <w:sz w:val="20"/>
          <w:szCs w:val="20"/>
        </w:rPr>
        <w:t>Research and Development (R&amp;D) Expenditure Ratio</w:t>
      </w:r>
      <w:r w:rsidR="00633DE2" w:rsidRPr="00633DE2">
        <w:rPr>
          <w:rFonts w:ascii="Arial" w:hAnsi="Arial" w:cs="Arial"/>
          <w:sz w:val="20"/>
          <w:szCs w:val="20"/>
        </w:rPr>
        <w:t xml:space="preserve"> </w:t>
      </w:r>
      <w:r w:rsidR="0095463F">
        <w:rPr>
          <w:rFonts w:ascii="Arial" w:hAnsi="Arial" w:cs="Arial"/>
          <w:sz w:val="20"/>
          <w:szCs w:val="20"/>
        </w:rPr>
        <w:t xml:space="preserve">requirement </w:t>
      </w:r>
      <w:r w:rsidR="00633DE2" w:rsidRPr="00633DE2">
        <w:rPr>
          <w:rFonts w:ascii="Arial" w:hAnsi="Arial" w:cs="Arial"/>
          <w:sz w:val="20"/>
          <w:szCs w:val="20"/>
        </w:rPr>
        <w:t>for specific Pre-Commercial Companies within a certain revenue range</w:t>
      </w:r>
      <w:r w:rsidR="00633DE2">
        <w:rPr>
          <w:rFonts w:ascii="Arial" w:hAnsi="Arial" w:cs="Arial"/>
          <w:sz w:val="20"/>
          <w:szCs w:val="20"/>
        </w:rPr>
        <w:t xml:space="preserve">. </w:t>
      </w:r>
      <w:r w:rsidR="00B95344" w:rsidRPr="00CD58E4">
        <w:rPr>
          <w:rFonts w:ascii="Arial" w:hAnsi="Arial" w:cs="Arial"/>
          <w:sz w:val="20"/>
          <w:szCs w:val="20"/>
        </w:rPr>
        <w:t xml:space="preserve">The changes to the Rules Governing the Listing of Securities on the HKEX (the HKEX Listing Rules) </w:t>
      </w:r>
      <w:r w:rsidR="00DF48F8" w:rsidRPr="00CD58E4">
        <w:rPr>
          <w:rFonts w:ascii="Arial" w:hAnsi="Arial" w:cs="Arial"/>
          <w:sz w:val="20"/>
          <w:szCs w:val="20"/>
        </w:rPr>
        <w:t>will take effect on 31 March</w:t>
      </w:r>
      <w:r w:rsidRPr="00CD58E4">
        <w:rPr>
          <w:rFonts w:ascii="Arial" w:hAnsi="Arial" w:cs="Arial"/>
          <w:sz w:val="20"/>
          <w:szCs w:val="20"/>
        </w:rPr>
        <w:t xml:space="preserve"> 2023.  </w:t>
      </w:r>
      <w:r w:rsidR="00A97E4E" w:rsidRPr="00CD58E4">
        <w:rPr>
          <w:rFonts w:ascii="Arial" w:hAnsi="Arial" w:cs="Arial"/>
          <w:sz w:val="20"/>
          <w:szCs w:val="20"/>
        </w:rPr>
        <w:t xml:space="preserve"> </w:t>
      </w:r>
    </w:p>
    <w:p w:rsidR="007B3A7B" w:rsidRPr="00CD58E4" w:rsidRDefault="007B3A7B" w:rsidP="003058BE">
      <w:pPr>
        <w:rPr>
          <w:rFonts w:ascii="Arial" w:hAnsi="Arial" w:cs="Arial"/>
          <w:sz w:val="20"/>
          <w:szCs w:val="20"/>
        </w:rPr>
      </w:pPr>
      <w:r w:rsidRPr="00CD58E4">
        <w:rPr>
          <w:rFonts w:ascii="Arial" w:hAnsi="Arial" w:cs="Arial"/>
          <w:sz w:val="20"/>
          <w:szCs w:val="20"/>
        </w:rPr>
        <w:t>Thi</w:t>
      </w:r>
      <w:r w:rsidR="00DB3FE6" w:rsidRPr="00CD58E4">
        <w:rPr>
          <w:rFonts w:ascii="Arial" w:hAnsi="Arial" w:cs="Arial"/>
          <w:sz w:val="20"/>
          <w:szCs w:val="20"/>
        </w:rPr>
        <w:t xml:space="preserve">s is the first of two </w:t>
      </w:r>
      <w:proofErr w:type="spellStart"/>
      <w:r w:rsidR="00DB3FE6" w:rsidRPr="00CD58E4">
        <w:rPr>
          <w:rFonts w:ascii="Arial" w:hAnsi="Arial" w:cs="Arial"/>
          <w:sz w:val="20"/>
          <w:szCs w:val="20"/>
        </w:rPr>
        <w:t>Charltons</w:t>
      </w:r>
      <w:proofErr w:type="spellEnd"/>
      <w:r w:rsidR="00DB3FE6" w:rsidRPr="00CD58E4">
        <w:rPr>
          <w:rFonts w:ascii="Arial" w:hAnsi="Arial" w:cs="Arial"/>
          <w:sz w:val="20"/>
          <w:szCs w:val="20"/>
        </w:rPr>
        <w:t>’</w:t>
      </w:r>
      <w:r w:rsidRPr="00CD58E4">
        <w:rPr>
          <w:rFonts w:ascii="Arial" w:hAnsi="Arial" w:cs="Arial"/>
          <w:sz w:val="20"/>
          <w:szCs w:val="20"/>
        </w:rPr>
        <w:t xml:space="preserve"> newsletters of the Consultation Conclusions on the New Listing Regime for Specialist Technology Companies, in which</w:t>
      </w:r>
      <w:r w:rsidR="00DA5878" w:rsidRPr="00CD58E4">
        <w:rPr>
          <w:rFonts w:ascii="Arial" w:hAnsi="Arial" w:cs="Arial"/>
          <w:sz w:val="20"/>
          <w:szCs w:val="20"/>
        </w:rPr>
        <w:t xml:space="preserve"> the</w:t>
      </w:r>
      <w:r w:rsidRPr="00CD58E4">
        <w:rPr>
          <w:rFonts w:ascii="Arial" w:hAnsi="Arial" w:cs="Arial"/>
          <w:sz w:val="20"/>
          <w:szCs w:val="20"/>
        </w:rPr>
        <w:t xml:space="preserve"> </w:t>
      </w:r>
      <w:r w:rsidR="00AE2484">
        <w:rPr>
          <w:rFonts w:ascii="Arial" w:hAnsi="Arial" w:cs="Arial"/>
          <w:sz w:val="20"/>
          <w:szCs w:val="20"/>
        </w:rPr>
        <w:t xml:space="preserve">overview of the </w:t>
      </w:r>
      <w:r w:rsidRPr="00CD58E4">
        <w:rPr>
          <w:rFonts w:ascii="Arial" w:hAnsi="Arial" w:cs="Arial"/>
          <w:sz w:val="20"/>
          <w:szCs w:val="20"/>
        </w:rPr>
        <w:t xml:space="preserve">key </w:t>
      </w:r>
      <w:r w:rsidR="00EE2FC9" w:rsidRPr="00CD58E4">
        <w:rPr>
          <w:rFonts w:ascii="Arial" w:hAnsi="Arial" w:cs="Arial"/>
          <w:sz w:val="20"/>
          <w:szCs w:val="20"/>
        </w:rPr>
        <w:t xml:space="preserve">listing </w:t>
      </w:r>
      <w:r w:rsidR="00714992" w:rsidRPr="00CD58E4">
        <w:rPr>
          <w:rFonts w:ascii="Arial" w:hAnsi="Arial" w:cs="Arial"/>
          <w:sz w:val="20"/>
          <w:szCs w:val="20"/>
        </w:rPr>
        <w:t>requirements</w:t>
      </w:r>
      <w:r w:rsidR="00100CD9" w:rsidRPr="00CD58E4">
        <w:rPr>
          <w:rFonts w:ascii="Arial" w:hAnsi="Arial" w:cs="Arial"/>
          <w:sz w:val="20"/>
          <w:szCs w:val="20"/>
        </w:rPr>
        <w:t xml:space="preserve"> </w:t>
      </w:r>
      <w:r w:rsidR="00AE2484" w:rsidRPr="00450CE9">
        <w:rPr>
          <w:rFonts w:ascii="Arial" w:hAnsi="Arial" w:cs="Arial"/>
          <w:sz w:val="20"/>
          <w:szCs w:val="20"/>
        </w:rPr>
        <w:t>for Specialist Technology Companies</w:t>
      </w:r>
      <w:r w:rsidR="00AE2484" w:rsidRPr="00CE322C">
        <w:rPr>
          <w:rFonts w:ascii="Arial" w:hAnsi="Arial" w:cs="Arial"/>
          <w:sz w:val="20"/>
          <w:szCs w:val="20"/>
        </w:rPr>
        <w:t xml:space="preserve"> </w:t>
      </w:r>
      <w:r w:rsidR="00AE2484">
        <w:rPr>
          <w:rFonts w:ascii="Arial" w:hAnsi="Arial" w:cs="Arial"/>
          <w:sz w:val="20"/>
          <w:szCs w:val="20"/>
        </w:rPr>
        <w:t>is</w:t>
      </w:r>
      <w:r w:rsidR="00AE2484" w:rsidRPr="00CD58E4">
        <w:rPr>
          <w:rFonts w:ascii="Arial" w:hAnsi="Arial" w:cs="Arial"/>
          <w:sz w:val="20"/>
          <w:szCs w:val="20"/>
        </w:rPr>
        <w:t xml:space="preserve"> </w:t>
      </w:r>
      <w:r w:rsidR="00AE2484">
        <w:rPr>
          <w:rFonts w:ascii="Arial" w:hAnsi="Arial" w:cs="Arial"/>
          <w:sz w:val="20"/>
          <w:szCs w:val="20"/>
        </w:rPr>
        <w:t>provided</w:t>
      </w:r>
      <w:r w:rsidRPr="00CD58E4">
        <w:rPr>
          <w:rFonts w:ascii="Arial" w:hAnsi="Arial" w:cs="Arial"/>
          <w:sz w:val="20"/>
          <w:szCs w:val="20"/>
        </w:rPr>
        <w:t>. A more detailed analysis will follow in the second newsletter to be published shortly.</w:t>
      </w:r>
    </w:p>
    <w:p w:rsidR="000C4FF4" w:rsidRPr="00CD58E4" w:rsidRDefault="000C4FF4" w:rsidP="003058BE">
      <w:pPr>
        <w:rPr>
          <w:rFonts w:ascii="Arial" w:hAnsi="Arial" w:cs="Arial"/>
          <w:color w:val="FF0000"/>
          <w:sz w:val="20"/>
          <w:szCs w:val="20"/>
        </w:rPr>
      </w:pPr>
      <w:r w:rsidRPr="00CD58E4">
        <w:rPr>
          <w:rFonts w:ascii="Arial" w:hAnsi="Arial" w:cs="Arial"/>
          <w:color w:val="FF0000"/>
          <w:sz w:val="20"/>
          <w:szCs w:val="20"/>
        </w:rPr>
        <w:t>Defining Specialist Technology Companies</w:t>
      </w:r>
    </w:p>
    <w:p w:rsidR="000C4FF4" w:rsidRPr="00CD58E4" w:rsidRDefault="00B95344" w:rsidP="000C4FF4">
      <w:pPr>
        <w:rPr>
          <w:rFonts w:ascii="Arial" w:hAnsi="Arial" w:cs="Arial"/>
          <w:sz w:val="20"/>
          <w:szCs w:val="20"/>
        </w:rPr>
      </w:pPr>
      <w:r w:rsidRPr="00CD58E4">
        <w:rPr>
          <w:rFonts w:ascii="Arial" w:hAnsi="Arial" w:cs="Arial"/>
          <w:sz w:val="20"/>
          <w:szCs w:val="20"/>
        </w:rPr>
        <w:t>Under the HKEX Listing Rules, a</w:t>
      </w:r>
      <w:r w:rsidR="00980EC3" w:rsidRPr="00CD58E4">
        <w:rPr>
          <w:rFonts w:ascii="Arial" w:hAnsi="Arial" w:cs="Arial"/>
          <w:sz w:val="20"/>
          <w:szCs w:val="20"/>
        </w:rPr>
        <w:t xml:space="preserve"> </w:t>
      </w:r>
      <w:r w:rsidRPr="00CD58E4">
        <w:rPr>
          <w:rFonts w:ascii="Arial" w:hAnsi="Arial" w:cs="Arial"/>
          <w:sz w:val="20"/>
          <w:szCs w:val="20"/>
        </w:rPr>
        <w:t>“</w:t>
      </w:r>
      <w:r w:rsidR="00980EC3" w:rsidRPr="00CD58E4">
        <w:rPr>
          <w:rFonts w:ascii="Arial" w:hAnsi="Arial" w:cs="Arial"/>
          <w:sz w:val="20"/>
          <w:szCs w:val="20"/>
        </w:rPr>
        <w:t>Specialist Technology Company</w:t>
      </w:r>
      <w:r w:rsidRPr="00CD58E4">
        <w:rPr>
          <w:rFonts w:ascii="Arial" w:hAnsi="Arial" w:cs="Arial"/>
          <w:sz w:val="20"/>
          <w:szCs w:val="20"/>
        </w:rPr>
        <w:t>”</w:t>
      </w:r>
      <w:r w:rsidR="00980EC3" w:rsidRPr="00CD58E4">
        <w:rPr>
          <w:rFonts w:ascii="Arial" w:hAnsi="Arial" w:cs="Arial"/>
          <w:sz w:val="20"/>
          <w:szCs w:val="20"/>
        </w:rPr>
        <w:t xml:space="preserve"> is primarily engaged in the research and development of, and the </w:t>
      </w:r>
      <w:proofErr w:type="spellStart"/>
      <w:r w:rsidR="00A853FE" w:rsidRPr="00CD58E4">
        <w:rPr>
          <w:rFonts w:ascii="Arial" w:hAnsi="Arial" w:cs="Arial"/>
          <w:sz w:val="20"/>
          <w:szCs w:val="20"/>
        </w:rPr>
        <w:t>commercialisation</w:t>
      </w:r>
      <w:proofErr w:type="spellEnd"/>
      <w:r w:rsidR="00A853FE" w:rsidRPr="00CD58E4">
        <w:rPr>
          <w:rFonts w:ascii="Arial" w:hAnsi="Arial" w:cs="Arial"/>
          <w:sz w:val="20"/>
          <w:szCs w:val="20"/>
        </w:rPr>
        <w:t xml:space="preserve"> </w:t>
      </w:r>
      <w:r w:rsidR="00980EC3" w:rsidRPr="00CD58E4">
        <w:rPr>
          <w:rFonts w:ascii="Arial" w:hAnsi="Arial" w:cs="Arial"/>
          <w:sz w:val="20"/>
          <w:szCs w:val="20"/>
        </w:rPr>
        <w:t xml:space="preserve">and/or sales of, products and/or services that apply science and/or technology within an acceptable sector of a </w:t>
      </w:r>
      <w:r w:rsidRPr="00CD58E4">
        <w:rPr>
          <w:rFonts w:ascii="Arial" w:hAnsi="Arial" w:cs="Arial"/>
          <w:sz w:val="20"/>
          <w:szCs w:val="20"/>
        </w:rPr>
        <w:t>“</w:t>
      </w:r>
      <w:r w:rsidR="00980EC3" w:rsidRPr="00CD58E4">
        <w:rPr>
          <w:rFonts w:ascii="Arial" w:hAnsi="Arial" w:cs="Arial"/>
          <w:sz w:val="20"/>
          <w:szCs w:val="20"/>
        </w:rPr>
        <w:t>Specialist Technology Industry</w:t>
      </w:r>
      <w:r w:rsidRPr="00CD58E4">
        <w:rPr>
          <w:rFonts w:ascii="Arial" w:hAnsi="Arial" w:cs="Arial"/>
          <w:sz w:val="20"/>
          <w:szCs w:val="20"/>
        </w:rPr>
        <w:t>”</w:t>
      </w:r>
      <w:r w:rsidR="00980EC3" w:rsidRPr="00CD58E4">
        <w:rPr>
          <w:rFonts w:ascii="Arial" w:hAnsi="Arial" w:cs="Arial"/>
          <w:sz w:val="20"/>
          <w:szCs w:val="20"/>
        </w:rPr>
        <w:t xml:space="preserve"> (</w:t>
      </w:r>
      <w:r w:rsidR="00A97E4E" w:rsidRPr="00CD58E4">
        <w:rPr>
          <w:rFonts w:ascii="Arial" w:hAnsi="Arial" w:cs="Arial"/>
          <w:sz w:val="20"/>
          <w:szCs w:val="20"/>
        </w:rPr>
        <w:t>Specialist Technology Products)</w:t>
      </w:r>
      <w:r w:rsidR="00980EC3" w:rsidRPr="00CD58E4">
        <w:rPr>
          <w:rFonts w:ascii="Arial" w:hAnsi="Arial" w:cs="Arial"/>
          <w:sz w:val="20"/>
          <w:szCs w:val="20"/>
        </w:rPr>
        <w:t xml:space="preserve">. </w:t>
      </w:r>
    </w:p>
    <w:p w:rsidR="000C4FF4" w:rsidRPr="00CD58E4" w:rsidRDefault="00AE2484" w:rsidP="000C4FF4">
      <w:pPr>
        <w:rPr>
          <w:rFonts w:ascii="Arial" w:hAnsi="Arial" w:cs="Arial"/>
          <w:sz w:val="20"/>
          <w:szCs w:val="20"/>
        </w:rPr>
      </w:pPr>
      <w:r w:rsidRPr="00AE2484">
        <w:rPr>
          <w:rFonts w:ascii="Arial" w:hAnsi="Arial" w:cs="Arial"/>
          <w:sz w:val="20"/>
          <w:szCs w:val="20"/>
        </w:rPr>
        <w:t xml:space="preserve">The Specialist Technology Industries and acceptable sectors are listed in the guidance letter (see </w:t>
      </w:r>
      <w:hyperlink r:id="rId11" w:history="1">
        <w:r w:rsidRPr="00671637">
          <w:rPr>
            <w:rStyle w:val="a7"/>
            <w:rFonts w:ascii="Arial" w:hAnsi="Arial" w:cs="Arial"/>
            <w:sz w:val="20"/>
            <w:szCs w:val="20"/>
          </w:rPr>
          <w:t>Appendix V</w:t>
        </w:r>
      </w:hyperlink>
      <w:r w:rsidRPr="00AE2484">
        <w:rPr>
          <w:rFonts w:ascii="Arial" w:hAnsi="Arial" w:cs="Arial"/>
          <w:sz w:val="20"/>
          <w:szCs w:val="20"/>
        </w:rPr>
        <w:t xml:space="preserve"> to the </w:t>
      </w:r>
      <w:r>
        <w:rPr>
          <w:rFonts w:ascii="Arial" w:hAnsi="Arial" w:cs="Arial"/>
          <w:sz w:val="20"/>
          <w:szCs w:val="20"/>
        </w:rPr>
        <w:t>Consultation Conclusions</w:t>
      </w:r>
      <w:r w:rsidRPr="00AE2484">
        <w:rPr>
          <w:rFonts w:ascii="Arial" w:hAnsi="Arial" w:cs="Arial"/>
          <w:sz w:val="20"/>
          <w:szCs w:val="20"/>
        </w:rPr>
        <w:t>) and include (among others):</w:t>
      </w:r>
      <w:r>
        <w:rPr>
          <w:rFonts w:ascii="Arial" w:hAnsi="Arial" w:cs="Arial"/>
          <w:sz w:val="20"/>
          <w:szCs w:val="20"/>
        </w:rPr>
        <w:t xml:space="preserve"> </w:t>
      </w:r>
    </w:p>
    <w:p w:rsidR="000C4FF4" w:rsidRPr="00CD58E4" w:rsidRDefault="000C4FF4" w:rsidP="00CD58E4">
      <w:pPr>
        <w:pStyle w:val="a3"/>
        <w:numPr>
          <w:ilvl w:val="0"/>
          <w:numId w:val="19"/>
        </w:numPr>
        <w:rPr>
          <w:rFonts w:ascii="Arial" w:hAnsi="Arial" w:cs="Arial"/>
          <w:sz w:val="20"/>
          <w:szCs w:val="20"/>
        </w:rPr>
      </w:pPr>
      <w:r w:rsidRPr="00CD58E4">
        <w:rPr>
          <w:rFonts w:ascii="Arial" w:hAnsi="Arial" w:cs="Arial"/>
          <w:sz w:val="20"/>
          <w:szCs w:val="20"/>
        </w:rPr>
        <w:t>Next-generation information technology – (e.g. cloud-based services and AI);</w:t>
      </w:r>
    </w:p>
    <w:p w:rsidR="000C4FF4" w:rsidRPr="00CD58E4" w:rsidRDefault="000C4FF4" w:rsidP="00CD58E4">
      <w:pPr>
        <w:pStyle w:val="a3"/>
        <w:numPr>
          <w:ilvl w:val="0"/>
          <w:numId w:val="19"/>
        </w:numPr>
        <w:rPr>
          <w:rFonts w:ascii="Arial" w:hAnsi="Arial" w:cs="Arial"/>
          <w:sz w:val="20"/>
          <w:szCs w:val="20"/>
        </w:rPr>
      </w:pPr>
      <w:r w:rsidRPr="00CD58E4">
        <w:rPr>
          <w:rFonts w:ascii="Arial" w:hAnsi="Arial" w:cs="Arial"/>
          <w:sz w:val="20"/>
          <w:szCs w:val="20"/>
        </w:rPr>
        <w:t>Advanced hardware</w:t>
      </w:r>
      <w:r w:rsidR="00033040">
        <w:rPr>
          <w:rFonts w:ascii="Arial" w:hAnsi="Arial" w:cs="Arial"/>
          <w:sz w:val="20"/>
          <w:szCs w:val="20"/>
        </w:rPr>
        <w:t xml:space="preserve"> and software</w:t>
      </w:r>
      <w:r w:rsidRPr="00CD58E4">
        <w:rPr>
          <w:rFonts w:ascii="Arial" w:hAnsi="Arial" w:cs="Arial"/>
          <w:sz w:val="20"/>
          <w:szCs w:val="20"/>
        </w:rPr>
        <w:t xml:space="preserve"> – (e.g. robotics and automation, semiconductors, advanced communication and transportation technology, aerospace technology, advanced manufacturing, electric and autonomous vehicles, quantum </w:t>
      </w:r>
      <w:r w:rsidR="0040595D" w:rsidRPr="00CD58E4">
        <w:rPr>
          <w:rFonts w:ascii="Arial" w:hAnsi="Arial" w:cs="Arial"/>
          <w:sz w:val="20"/>
          <w:szCs w:val="20"/>
        </w:rPr>
        <w:t xml:space="preserve">information technology and </w:t>
      </w:r>
      <w:r w:rsidRPr="00CD58E4">
        <w:rPr>
          <w:rFonts w:ascii="Arial" w:hAnsi="Arial" w:cs="Arial"/>
          <w:sz w:val="20"/>
          <w:szCs w:val="20"/>
        </w:rPr>
        <w:t>computing</w:t>
      </w:r>
      <w:r w:rsidR="00224E80">
        <w:rPr>
          <w:rFonts w:ascii="Arial" w:hAnsi="Arial" w:cs="Arial"/>
          <w:sz w:val="20"/>
          <w:szCs w:val="20"/>
        </w:rPr>
        <w:t>,</w:t>
      </w:r>
      <w:r w:rsidRPr="00CD58E4">
        <w:rPr>
          <w:rFonts w:ascii="Arial" w:hAnsi="Arial" w:cs="Arial"/>
          <w:sz w:val="20"/>
          <w:szCs w:val="20"/>
        </w:rPr>
        <w:t xml:space="preserve"> and metaverse technology);</w:t>
      </w:r>
    </w:p>
    <w:p w:rsidR="000C4FF4" w:rsidRPr="00CD58E4" w:rsidRDefault="000C4FF4" w:rsidP="00CD58E4">
      <w:pPr>
        <w:pStyle w:val="a3"/>
        <w:numPr>
          <w:ilvl w:val="0"/>
          <w:numId w:val="19"/>
        </w:numPr>
        <w:rPr>
          <w:rFonts w:ascii="Arial" w:hAnsi="Arial" w:cs="Arial"/>
          <w:sz w:val="20"/>
          <w:szCs w:val="20"/>
        </w:rPr>
      </w:pPr>
      <w:r w:rsidRPr="00CD58E4">
        <w:rPr>
          <w:rFonts w:ascii="Arial" w:hAnsi="Arial" w:cs="Arial"/>
          <w:sz w:val="20"/>
          <w:szCs w:val="20"/>
        </w:rPr>
        <w:t xml:space="preserve">Advanced materials – (e.g. synthetic biological materials, </w:t>
      </w:r>
      <w:r w:rsidR="00713F0E" w:rsidRPr="00CD58E4">
        <w:rPr>
          <w:rFonts w:ascii="Arial" w:hAnsi="Arial" w:cs="Arial"/>
          <w:sz w:val="20"/>
          <w:szCs w:val="20"/>
        </w:rPr>
        <w:t>advanced inorganic materials</w:t>
      </w:r>
      <w:r w:rsidRPr="00CD58E4">
        <w:rPr>
          <w:rFonts w:ascii="Arial" w:hAnsi="Arial" w:cs="Arial"/>
          <w:sz w:val="20"/>
          <w:szCs w:val="20"/>
        </w:rPr>
        <w:t xml:space="preserve"> and nanomaterials);</w:t>
      </w:r>
    </w:p>
    <w:p w:rsidR="000C4FF4" w:rsidRPr="00CD58E4" w:rsidRDefault="000C4FF4" w:rsidP="00CD58E4">
      <w:pPr>
        <w:pStyle w:val="a3"/>
        <w:numPr>
          <w:ilvl w:val="0"/>
          <w:numId w:val="19"/>
        </w:numPr>
        <w:rPr>
          <w:rFonts w:ascii="Arial" w:hAnsi="Arial" w:cs="Arial"/>
          <w:sz w:val="20"/>
          <w:szCs w:val="20"/>
        </w:rPr>
      </w:pPr>
      <w:r w:rsidRPr="00CD58E4">
        <w:rPr>
          <w:rFonts w:ascii="Arial" w:hAnsi="Arial" w:cs="Arial"/>
          <w:sz w:val="20"/>
          <w:szCs w:val="20"/>
        </w:rPr>
        <w:t>New energy and environmental protection – (e.g. new energy generation, storage and transmission technology and new green technology); and</w:t>
      </w:r>
    </w:p>
    <w:p w:rsidR="000C4FF4" w:rsidRPr="00CD58E4" w:rsidRDefault="000C4FF4" w:rsidP="00CD58E4">
      <w:pPr>
        <w:pStyle w:val="a3"/>
        <w:numPr>
          <w:ilvl w:val="0"/>
          <w:numId w:val="19"/>
        </w:numPr>
        <w:rPr>
          <w:rFonts w:ascii="Arial" w:hAnsi="Arial" w:cs="Arial"/>
          <w:sz w:val="20"/>
          <w:szCs w:val="20"/>
        </w:rPr>
      </w:pPr>
      <w:r w:rsidRPr="00CD58E4">
        <w:rPr>
          <w:rFonts w:ascii="Arial" w:hAnsi="Arial" w:cs="Arial"/>
          <w:sz w:val="20"/>
          <w:szCs w:val="20"/>
        </w:rPr>
        <w:t xml:space="preserve">New food and agriculture technologies – (e.g. </w:t>
      </w:r>
      <w:r w:rsidR="00713F0E" w:rsidRPr="00CD58E4">
        <w:rPr>
          <w:rFonts w:ascii="Arial" w:hAnsi="Arial" w:cs="Arial"/>
          <w:sz w:val="20"/>
          <w:szCs w:val="20"/>
        </w:rPr>
        <w:t>agricultural synthetic biology</w:t>
      </w:r>
      <w:r w:rsidRPr="00CD58E4">
        <w:rPr>
          <w:rFonts w:ascii="Arial" w:hAnsi="Arial" w:cs="Arial"/>
          <w:sz w:val="20"/>
          <w:szCs w:val="20"/>
        </w:rPr>
        <w:t>, agricultural biotechnology and crop efficiency technology, and farming technology).</w:t>
      </w:r>
    </w:p>
    <w:p w:rsidR="000C4FF4" w:rsidRPr="00CD58E4" w:rsidRDefault="000C4FF4" w:rsidP="00980EC3">
      <w:pPr>
        <w:rPr>
          <w:rFonts w:ascii="Arial" w:hAnsi="Arial" w:cs="Arial"/>
          <w:color w:val="FF0000"/>
          <w:sz w:val="20"/>
          <w:szCs w:val="20"/>
        </w:rPr>
      </w:pPr>
      <w:r w:rsidRPr="00CD58E4">
        <w:rPr>
          <w:rFonts w:ascii="Arial" w:hAnsi="Arial" w:cs="Arial"/>
          <w:color w:val="FF0000"/>
          <w:sz w:val="20"/>
          <w:szCs w:val="20"/>
        </w:rPr>
        <w:t>Commercial and Pre-Commercial Specialist Technology Companies</w:t>
      </w:r>
    </w:p>
    <w:p w:rsidR="00980EC3" w:rsidRPr="00CD58E4" w:rsidRDefault="00B95344" w:rsidP="00980EC3">
      <w:pPr>
        <w:rPr>
          <w:rFonts w:ascii="Arial" w:hAnsi="Arial" w:cs="Arial"/>
          <w:sz w:val="20"/>
          <w:szCs w:val="20"/>
        </w:rPr>
      </w:pPr>
      <w:r w:rsidRPr="00CD58E4">
        <w:rPr>
          <w:rFonts w:ascii="Arial" w:hAnsi="Arial" w:cs="Arial"/>
          <w:sz w:val="20"/>
          <w:szCs w:val="20"/>
        </w:rPr>
        <w:t>Under the HKEX Listing Rules, t</w:t>
      </w:r>
      <w:r w:rsidR="00980EC3" w:rsidRPr="00CD58E4">
        <w:rPr>
          <w:rFonts w:ascii="Arial" w:hAnsi="Arial" w:cs="Arial"/>
          <w:sz w:val="20"/>
          <w:szCs w:val="20"/>
        </w:rPr>
        <w:t xml:space="preserve">here are two </w:t>
      </w:r>
      <w:r w:rsidRPr="00CD58E4">
        <w:rPr>
          <w:rFonts w:ascii="Arial" w:hAnsi="Arial" w:cs="Arial"/>
          <w:sz w:val="20"/>
          <w:szCs w:val="20"/>
        </w:rPr>
        <w:t xml:space="preserve">categories </w:t>
      </w:r>
      <w:r w:rsidR="00980EC3" w:rsidRPr="00CD58E4">
        <w:rPr>
          <w:rFonts w:ascii="Arial" w:hAnsi="Arial" w:cs="Arial"/>
          <w:sz w:val="20"/>
          <w:szCs w:val="20"/>
        </w:rPr>
        <w:t>of Specialist Technology Companies</w:t>
      </w:r>
      <w:r w:rsidR="00CC5B96" w:rsidRPr="00CD58E4">
        <w:rPr>
          <w:rFonts w:ascii="Arial" w:hAnsi="Arial" w:cs="Arial"/>
          <w:sz w:val="20"/>
          <w:szCs w:val="20"/>
        </w:rPr>
        <w:t>, with more stringent requirements for Pre-Commercial Companies given their risk profile</w:t>
      </w:r>
      <w:r w:rsidR="00980EC3" w:rsidRPr="00CD58E4">
        <w:rPr>
          <w:rFonts w:ascii="Arial" w:hAnsi="Arial" w:cs="Arial"/>
          <w:sz w:val="20"/>
          <w:szCs w:val="20"/>
        </w:rPr>
        <w:t>:</w:t>
      </w:r>
    </w:p>
    <w:p w:rsidR="00980EC3" w:rsidRPr="00CD58E4" w:rsidRDefault="00980EC3" w:rsidP="00980EC3">
      <w:pPr>
        <w:pStyle w:val="a3"/>
        <w:numPr>
          <w:ilvl w:val="0"/>
          <w:numId w:val="6"/>
        </w:numPr>
        <w:rPr>
          <w:rFonts w:ascii="Arial" w:hAnsi="Arial" w:cs="Arial"/>
          <w:sz w:val="20"/>
          <w:szCs w:val="20"/>
        </w:rPr>
      </w:pPr>
      <w:r w:rsidRPr="00CD58E4">
        <w:rPr>
          <w:rFonts w:ascii="Arial" w:hAnsi="Arial" w:cs="Arial"/>
          <w:sz w:val="20"/>
          <w:szCs w:val="20"/>
        </w:rPr>
        <w:t>Commercial Company: A Specialist Technology Company that has revenue of at least HK$250 million for its most recent audited financial year (</w:t>
      </w:r>
      <w:proofErr w:type="spellStart"/>
      <w:r w:rsidR="00A853FE" w:rsidRPr="00CD58E4">
        <w:rPr>
          <w:rFonts w:ascii="Arial" w:hAnsi="Arial" w:cs="Arial"/>
          <w:sz w:val="20"/>
          <w:szCs w:val="20"/>
        </w:rPr>
        <w:t>Commercialisation</w:t>
      </w:r>
      <w:proofErr w:type="spellEnd"/>
      <w:r w:rsidR="00A853FE" w:rsidRPr="00CD58E4">
        <w:rPr>
          <w:rFonts w:ascii="Arial" w:hAnsi="Arial" w:cs="Arial"/>
          <w:sz w:val="20"/>
          <w:szCs w:val="20"/>
        </w:rPr>
        <w:t xml:space="preserve"> </w:t>
      </w:r>
      <w:r w:rsidRPr="00CD58E4">
        <w:rPr>
          <w:rFonts w:ascii="Arial" w:hAnsi="Arial" w:cs="Arial"/>
          <w:sz w:val="20"/>
          <w:szCs w:val="20"/>
        </w:rPr>
        <w:t>Revenue Threshold).</w:t>
      </w:r>
    </w:p>
    <w:p w:rsidR="00980EC3" w:rsidRPr="00CD58E4" w:rsidRDefault="00980EC3" w:rsidP="00980EC3">
      <w:pPr>
        <w:pStyle w:val="a3"/>
        <w:numPr>
          <w:ilvl w:val="0"/>
          <w:numId w:val="6"/>
        </w:numPr>
        <w:rPr>
          <w:rFonts w:ascii="Arial" w:hAnsi="Arial" w:cs="Arial"/>
          <w:sz w:val="20"/>
          <w:szCs w:val="20"/>
        </w:rPr>
      </w:pPr>
      <w:r w:rsidRPr="00CD58E4">
        <w:rPr>
          <w:rFonts w:ascii="Arial" w:hAnsi="Arial" w:cs="Arial"/>
          <w:sz w:val="20"/>
          <w:szCs w:val="20"/>
        </w:rPr>
        <w:t xml:space="preserve">Pre-Commercial Company: A Specialist Technology Company that has not yet met the </w:t>
      </w:r>
      <w:proofErr w:type="spellStart"/>
      <w:r w:rsidRPr="00CD58E4">
        <w:rPr>
          <w:rFonts w:ascii="Arial" w:hAnsi="Arial" w:cs="Arial"/>
          <w:sz w:val="20"/>
          <w:szCs w:val="20"/>
        </w:rPr>
        <w:t>Commerciali</w:t>
      </w:r>
      <w:r w:rsidR="00B95344" w:rsidRPr="00CD58E4">
        <w:rPr>
          <w:rFonts w:ascii="Arial" w:hAnsi="Arial" w:cs="Arial"/>
          <w:sz w:val="20"/>
          <w:szCs w:val="20"/>
        </w:rPr>
        <w:t>s</w:t>
      </w:r>
      <w:r w:rsidRPr="00CD58E4">
        <w:rPr>
          <w:rFonts w:ascii="Arial" w:hAnsi="Arial" w:cs="Arial"/>
          <w:sz w:val="20"/>
          <w:szCs w:val="20"/>
        </w:rPr>
        <w:t>ation</w:t>
      </w:r>
      <w:proofErr w:type="spellEnd"/>
      <w:r w:rsidRPr="00CD58E4">
        <w:rPr>
          <w:rFonts w:ascii="Arial" w:hAnsi="Arial" w:cs="Arial"/>
          <w:sz w:val="20"/>
          <w:szCs w:val="20"/>
        </w:rPr>
        <w:t xml:space="preserve"> Revenue Threshold at the time of listing.</w:t>
      </w:r>
    </w:p>
    <w:p w:rsidR="00412E72" w:rsidRPr="00CD58E4" w:rsidRDefault="00412E72" w:rsidP="00CD58E4">
      <w:pPr>
        <w:rPr>
          <w:rFonts w:ascii="Arial" w:hAnsi="Arial" w:cs="Arial"/>
          <w:sz w:val="20"/>
          <w:szCs w:val="20"/>
        </w:rPr>
      </w:pPr>
    </w:p>
    <w:p w:rsidR="003058BE" w:rsidRPr="00CD58E4" w:rsidRDefault="00412E72" w:rsidP="00CD58E4">
      <w:pPr>
        <w:rPr>
          <w:rFonts w:ascii="Arial" w:hAnsi="Arial" w:cs="Arial"/>
          <w:color w:val="FF0000"/>
          <w:sz w:val="20"/>
          <w:szCs w:val="20"/>
        </w:rPr>
      </w:pPr>
      <w:r w:rsidRPr="00CD58E4">
        <w:rPr>
          <w:rFonts w:ascii="Arial" w:hAnsi="Arial" w:cs="Arial"/>
          <w:color w:val="FF0000"/>
          <w:sz w:val="20"/>
          <w:szCs w:val="20"/>
        </w:rPr>
        <w:t xml:space="preserve">Qualifications for Listing on </w:t>
      </w:r>
      <w:r w:rsidR="00F2151F">
        <w:rPr>
          <w:rFonts w:ascii="Arial" w:hAnsi="Arial" w:cs="Arial"/>
          <w:color w:val="FF0000"/>
          <w:sz w:val="20"/>
          <w:szCs w:val="20"/>
        </w:rPr>
        <w:t xml:space="preserve">the </w:t>
      </w:r>
      <w:r w:rsidRPr="00CD58E4">
        <w:rPr>
          <w:rFonts w:ascii="Arial" w:hAnsi="Arial" w:cs="Arial"/>
          <w:color w:val="FF0000"/>
          <w:sz w:val="20"/>
          <w:szCs w:val="20"/>
        </w:rPr>
        <w:t>HKEX</w:t>
      </w:r>
    </w:p>
    <w:p w:rsidR="003058BE" w:rsidRPr="00CD58E4" w:rsidRDefault="003058BE" w:rsidP="00CD58E4">
      <w:pPr>
        <w:rPr>
          <w:rFonts w:ascii="Arial" w:hAnsi="Arial" w:cs="Arial"/>
          <w:b/>
          <w:sz w:val="20"/>
          <w:szCs w:val="20"/>
        </w:rPr>
      </w:pPr>
      <w:r w:rsidRPr="00CD58E4">
        <w:rPr>
          <w:rFonts w:ascii="Arial" w:hAnsi="Arial" w:cs="Arial"/>
          <w:b/>
          <w:sz w:val="20"/>
          <w:szCs w:val="20"/>
        </w:rPr>
        <w:t xml:space="preserve">Market </w:t>
      </w:r>
      <w:proofErr w:type="spellStart"/>
      <w:r w:rsidRPr="00CD58E4">
        <w:rPr>
          <w:rFonts w:ascii="Arial" w:hAnsi="Arial" w:cs="Arial"/>
          <w:b/>
          <w:sz w:val="20"/>
          <w:szCs w:val="20"/>
        </w:rPr>
        <w:t>Capitali</w:t>
      </w:r>
      <w:r w:rsidR="00B95344" w:rsidRPr="00CD58E4">
        <w:rPr>
          <w:rFonts w:ascii="Arial" w:hAnsi="Arial" w:cs="Arial"/>
          <w:b/>
          <w:sz w:val="20"/>
          <w:szCs w:val="20"/>
        </w:rPr>
        <w:t>s</w:t>
      </w:r>
      <w:r w:rsidRPr="00CD58E4">
        <w:rPr>
          <w:rFonts w:ascii="Arial" w:hAnsi="Arial" w:cs="Arial"/>
          <w:b/>
          <w:sz w:val="20"/>
          <w:szCs w:val="20"/>
        </w:rPr>
        <w:t>ation</w:t>
      </w:r>
      <w:proofErr w:type="spellEnd"/>
    </w:p>
    <w:p w:rsidR="00A5671F" w:rsidRPr="00CD58E4" w:rsidRDefault="00A5671F" w:rsidP="00CD58E4">
      <w:pPr>
        <w:rPr>
          <w:rFonts w:ascii="Arial" w:hAnsi="Arial" w:cs="Arial"/>
          <w:sz w:val="20"/>
          <w:szCs w:val="20"/>
        </w:rPr>
      </w:pPr>
      <w:r w:rsidRPr="00CD58E4">
        <w:rPr>
          <w:rFonts w:ascii="Arial" w:hAnsi="Arial" w:cs="Arial"/>
          <w:sz w:val="20"/>
          <w:szCs w:val="20"/>
        </w:rPr>
        <w:t xml:space="preserve">The expected market </w:t>
      </w:r>
      <w:proofErr w:type="spellStart"/>
      <w:r w:rsidRPr="00CD58E4">
        <w:rPr>
          <w:rFonts w:ascii="Arial" w:hAnsi="Arial" w:cs="Arial"/>
          <w:sz w:val="20"/>
          <w:szCs w:val="20"/>
        </w:rPr>
        <w:t>capitalisation</w:t>
      </w:r>
      <w:proofErr w:type="spellEnd"/>
      <w:r w:rsidRPr="00CD58E4">
        <w:rPr>
          <w:rFonts w:ascii="Arial" w:hAnsi="Arial" w:cs="Arial"/>
          <w:sz w:val="20"/>
          <w:szCs w:val="20"/>
        </w:rPr>
        <w:t xml:space="preserve"> for Commercial Companies will be at least HK$ 6 billion at the time of listing.</w:t>
      </w:r>
    </w:p>
    <w:p w:rsidR="00A5671F" w:rsidRPr="00CD58E4" w:rsidRDefault="00A5671F" w:rsidP="00CD58E4">
      <w:pPr>
        <w:rPr>
          <w:rFonts w:ascii="Arial" w:hAnsi="Arial" w:cs="Arial"/>
          <w:sz w:val="20"/>
          <w:szCs w:val="20"/>
        </w:rPr>
      </w:pPr>
      <w:r w:rsidRPr="00CD58E4">
        <w:rPr>
          <w:rFonts w:ascii="Arial" w:hAnsi="Arial" w:cs="Arial"/>
          <w:sz w:val="20"/>
          <w:szCs w:val="20"/>
        </w:rPr>
        <w:t xml:space="preserve">Pre-Commercial Companies will be required to have a market </w:t>
      </w:r>
      <w:proofErr w:type="spellStart"/>
      <w:r w:rsidRPr="00CD58E4">
        <w:rPr>
          <w:rFonts w:ascii="Arial" w:hAnsi="Arial" w:cs="Arial"/>
          <w:sz w:val="20"/>
          <w:szCs w:val="20"/>
        </w:rPr>
        <w:t>c</w:t>
      </w:r>
      <w:r w:rsidR="00A853FE" w:rsidRPr="00CD58E4">
        <w:rPr>
          <w:rFonts w:ascii="Arial" w:hAnsi="Arial" w:cs="Arial"/>
          <w:sz w:val="20"/>
          <w:szCs w:val="20"/>
        </w:rPr>
        <w:t>apitalisation</w:t>
      </w:r>
      <w:proofErr w:type="spellEnd"/>
      <w:r w:rsidR="00A853FE" w:rsidRPr="00CD58E4">
        <w:rPr>
          <w:rFonts w:ascii="Arial" w:hAnsi="Arial" w:cs="Arial"/>
          <w:sz w:val="20"/>
          <w:szCs w:val="20"/>
        </w:rPr>
        <w:t xml:space="preserve"> of at least HK$ 10</w:t>
      </w:r>
      <w:r w:rsidRPr="00CD58E4">
        <w:rPr>
          <w:rFonts w:ascii="Arial" w:hAnsi="Arial" w:cs="Arial"/>
          <w:sz w:val="20"/>
          <w:szCs w:val="20"/>
        </w:rPr>
        <w:t xml:space="preserve"> billion at the time of listing. </w:t>
      </w:r>
    </w:p>
    <w:p w:rsidR="0009613B" w:rsidRPr="00CD58E4" w:rsidRDefault="0009613B" w:rsidP="0009613B">
      <w:pPr>
        <w:rPr>
          <w:rFonts w:ascii="Arial" w:hAnsi="Arial" w:cs="Arial"/>
          <w:b/>
          <w:sz w:val="20"/>
          <w:szCs w:val="20"/>
        </w:rPr>
      </w:pPr>
      <w:r w:rsidRPr="00CD58E4">
        <w:rPr>
          <w:rFonts w:ascii="Arial" w:hAnsi="Arial" w:cs="Arial"/>
          <w:b/>
          <w:sz w:val="20"/>
          <w:szCs w:val="20"/>
        </w:rPr>
        <w:t>Revenue Requirements</w:t>
      </w:r>
    </w:p>
    <w:p w:rsidR="0009613B" w:rsidRPr="00CD58E4" w:rsidRDefault="0009613B" w:rsidP="00CD58E4">
      <w:pPr>
        <w:rPr>
          <w:rFonts w:ascii="Arial" w:hAnsi="Arial" w:cs="Arial"/>
          <w:sz w:val="20"/>
          <w:szCs w:val="20"/>
        </w:rPr>
      </w:pPr>
      <w:r w:rsidRPr="00CD58E4">
        <w:rPr>
          <w:rFonts w:ascii="Arial" w:hAnsi="Arial" w:cs="Arial"/>
          <w:sz w:val="20"/>
          <w:szCs w:val="20"/>
        </w:rPr>
        <w:t>Commercial Companies will be required to have revenue of at least HK$ 250 million for the most recent audited financial year. There will be no revenue requirement for Pre-Commercial Companies.</w:t>
      </w:r>
    </w:p>
    <w:p w:rsidR="003058BE" w:rsidRPr="00CD58E4" w:rsidRDefault="003058BE" w:rsidP="00CD58E4">
      <w:pPr>
        <w:rPr>
          <w:rFonts w:ascii="Arial" w:hAnsi="Arial" w:cs="Arial"/>
          <w:sz w:val="20"/>
          <w:szCs w:val="20"/>
        </w:rPr>
      </w:pPr>
      <w:r w:rsidRPr="00CD58E4">
        <w:rPr>
          <w:rFonts w:ascii="Arial" w:hAnsi="Arial" w:cs="Arial"/>
          <w:b/>
          <w:sz w:val="20"/>
          <w:szCs w:val="20"/>
        </w:rPr>
        <w:t>Research and Development (R&amp;D) Expenditure Ratio</w:t>
      </w:r>
      <w:r w:rsidR="00444655" w:rsidRPr="00CD58E4">
        <w:rPr>
          <w:rFonts w:ascii="Arial" w:hAnsi="Arial" w:cs="Arial"/>
          <w:sz w:val="20"/>
          <w:szCs w:val="20"/>
        </w:rPr>
        <w:t xml:space="preserve"> </w:t>
      </w:r>
      <w:r w:rsidR="00444655" w:rsidRPr="00CD58E4">
        <w:rPr>
          <w:rStyle w:val="a6"/>
          <w:rFonts w:ascii="Arial" w:hAnsi="Arial" w:cs="Arial"/>
          <w:sz w:val="20"/>
          <w:szCs w:val="20"/>
        </w:rPr>
        <w:footnoteReference w:id="1"/>
      </w:r>
    </w:p>
    <w:p w:rsidR="00A5671F" w:rsidRPr="00CD58E4" w:rsidRDefault="00A5671F" w:rsidP="00CD58E4">
      <w:pPr>
        <w:rPr>
          <w:rFonts w:ascii="Arial" w:hAnsi="Arial" w:cs="Arial"/>
          <w:sz w:val="20"/>
          <w:szCs w:val="20"/>
        </w:rPr>
      </w:pPr>
      <w:r w:rsidRPr="00CD58E4">
        <w:rPr>
          <w:rFonts w:ascii="Arial" w:hAnsi="Arial" w:cs="Arial"/>
          <w:sz w:val="20"/>
          <w:szCs w:val="20"/>
        </w:rPr>
        <w:t xml:space="preserve">For Commercial Companies, R&amp;D investment must constitute at least 15% of total operating expenditure. </w:t>
      </w:r>
    </w:p>
    <w:p w:rsidR="00A5671F" w:rsidRPr="00CD58E4" w:rsidRDefault="00A5671F" w:rsidP="00CD58E4">
      <w:pPr>
        <w:rPr>
          <w:rFonts w:ascii="Arial" w:hAnsi="Arial" w:cs="Arial"/>
          <w:sz w:val="20"/>
          <w:szCs w:val="20"/>
        </w:rPr>
      </w:pPr>
      <w:r w:rsidRPr="00CD58E4">
        <w:rPr>
          <w:rFonts w:ascii="Arial" w:hAnsi="Arial" w:cs="Arial"/>
          <w:sz w:val="20"/>
          <w:szCs w:val="20"/>
        </w:rPr>
        <w:t>For Pre-Commercial Companies with less than HK$150 million revenue for the most recent audited financial year</w:t>
      </w:r>
      <w:r w:rsidR="00A853FE" w:rsidRPr="00CD58E4">
        <w:rPr>
          <w:rFonts w:ascii="Arial" w:hAnsi="Arial" w:cs="Arial"/>
          <w:sz w:val="20"/>
          <w:szCs w:val="20"/>
        </w:rPr>
        <w:t>, R&amp;D investment must constitute at least 50% of total operating expenditure.</w:t>
      </w:r>
    </w:p>
    <w:p w:rsidR="00A5671F" w:rsidRPr="00CD58E4" w:rsidRDefault="00A5671F" w:rsidP="00CD58E4">
      <w:pPr>
        <w:rPr>
          <w:rFonts w:ascii="Arial" w:hAnsi="Arial" w:cs="Arial"/>
          <w:sz w:val="20"/>
          <w:szCs w:val="20"/>
        </w:rPr>
      </w:pPr>
      <w:r w:rsidRPr="00CD58E4">
        <w:rPr>
          <w:rFonts w:ascii="Arial" w:hAnsi="Arial" w:cs="Arial"/>
          <w:sz w:val="20"/>
          <w:szCs w:val="20"/>
        </w:rPr>
        <w:t>For Pre-Commercial Companies with revenue of between HK$150 million and HK$250 million for the most recent audited financial year, R&amp;D investment must constitute at least 30% of total operating expenditure.</w:t>
      </w:r>
    </w:p>
    <w:p w:rsidR="00173366" w:rsidRPr="00CD58E4" w:rsidRDefault="00A5671F" w:rsidP="00A5671F">
      <w:pPr>
        <w:rPr>
          <w:rFonts w:ascii="Arial" w:hAnsi="Arial" w:cs="Arial"/>
          <w:sz w:val="20"/>
          <w:szCs w:val="20"/>
        </w:rPr>
      </w:pPr>
      <w:r w:rsidRPr="00CD58E4">
        <w:rPr>
          <w:rFonts w:ascii="Arial" w:hAnsi="Arial" w:cs="Arial"/>
          <w:sz w:val="20"/>
          <w:szCs w:val="20"/>
        </w:rPr>
        <w:t xml:space="preserve">All Specialist Technology Companies will be required to meet </w:t>
      </w:r>
      <w:r w:rsidR="00173366" w:rsidRPr="00CD58E4">
        <w:rPr>
          <w:rFonts w:ascii="Arial" w:hAnsi="Arial" w:cs="Arial"/>
          <w:sz w:val="20"/>
          <w:szCs w:val="20"/>
        </w:rPr>
        <w:t>the</w:t>
      </w:r>
      <w:r w:rsidRPr="00CD58E4">
        <w:rPr>
          <w:rFonts w:ascii="Arial" w:hAnsi="Arial" w:cs="Arial"/>
          <w:sz w:val="20"/>
          <w:szCs w:val="20"/>
        </w:rPr>
        <w:t xml:space="preserve"> ratio</w:t>
      </w:r>
      <w:r w:rsidR="00173366" w:rsidRPr="00CD58E4">
        <w:rPr>
          <w:rFonts w:ascii="Arial" w:hAnsi="Arial" w:cs="Arial"/>
          <w:sz w:val="20"/>
          <w:szCs w:val="20"/>
        </w:rPr>
        <w:t xml:space="preserve">: </w:t>
      </w:r>
    </w:p>
    <w:p w:rsidR="00173366" w:rsidRPr="00CD58E4" w:rsidRDefault="00A5671F" w:rsidP="00CD58E4">
      <w:pPr>
        <w:pStyle w:val="a3"/>
        <w:numPr>
          <w:ilvl w:val="0"/>
          <w:numId w:val="18"/>
        </w:numPr>
        <w:rPr>
          <w:rFonts w:ascii="Arial" w:hAnsi="Arial" w:cs="Arial"/>
          <w:sz w:val="20"/>
          <w:szCs w:val="20"/>
        </w:rPr>
      </w:pPr>
      <w:r w:rsidRPr="00CD58E4">
        <w:rPr>
          <w:rFonts w:ascii="Arial" w:hAnsi="Arial" w:cs="Arial"/>
          <w:sz w:val="20"/>
          <w:szCs w:val="20"/>
        </w:rPr>
        <w:t>on a yearly basis for at least two of the three financial years prior to listing</w:t>
      </w:r>
      <w:r w:rsidR="00173366" w:rsidRPr="00CD58E4">
        <w:rPr>
          <w:rFonts w:ascii="Arial" w:hAnsi="Arial" w:cs="Arial"/>
          <w:sz w:val="20"/>
          <w:szCs w:val="20"/>
        </w:rPr>
        <w:t xml:space="preserve">; and </w:t>
      </w:r>
    </w:p>
    <w:p w:rsidR="00BB5FE7" w:rsidRPr="00CD58E4" w:rsidRDefault="00A5671F" w:rsidP="00CD58E4">
      <w:pPr>
        <w:pStyle w:val="a3"/>
        <w:numPr>
          <w:ilvl w:val="0"/>
          <w:numId w:val="18"/>
        </w:numPr>
        <w:rPr>
          <w:rFonts w:ascii="Arial" w:hAnsi="Arial" w:cs="Arial"/>
          <w:sz w:val="20"/>
          <w:szCs w:val="20"/>
        </w:rPr>
      </w:pPr>
      <w:r w:rsidRPr="00CD58E4">
        <w:rPr>
          <w:rFonts w:ascii="Arial" w:hAnsi="Arial" w:cs="Arial"/>
          <w:sz w:val="20"/>
          <w:szCs w:val="20"/>
        </w:rPr>
        <w:t>on an aggregate basis over all three financial years prior to listing.</w:t>
      </w:r>
    </w:p>
    <w:p w:rsidR="00BB5FE7" w:rsidRPr="00CD58E4" w:rsidRDefault="00BB5FE7" w:rsidP="00CD58E4">
      <w:pPr>
        <w:rPr>
          <w:rFonts w:ascii="Arial" w:hAnsi="Arial" w:cs="Arial"/>
          <w:b/>
          <w:sz w:val="20"/>
          <w:szCs w:val="20"/>
        </w:rPr>
      </w:pPr>
      <w:r w:rsidRPr="00CD58E4">
        <w:rPr>
          <w:rFonts w:ascii="Arial" w:hAnsi="Arial" w:cs="Arial"/>
          <w:b/>
          <w:sz w:val="20"/>
          <w:szCs w:val="20"/>
        </w:rPr>
        <w:t>Track Record, Management and Ownership Continuity</w:t>
      </w:r>
    </w:p>
    <w:p w:rsidR="00A8509C" w:rsidRPr="003E74E0" w:rsidRDefault="00BB5FE7" w:rsidP="00CD58E4">
      <w:r w:rsidRPr="00BB5FE7">
        <w:rPr>
          <w:rFonts w:ascii="Arial" w:hAnsi="Arial" w:cs="Arial"/>
          <w:sz w:val="20"/>
          <w:szCs w:val="20"/>
        </w:rPr>
        <w:t xml:space="preserve">In line with the criteria applicable to other Main Board listing applicants, Specialist Technology Companies are required to demonstrate a minimum of three financial years of operation in their </w:t>
      </w:r>
      <w:r>
        <w:rPr>
          <w:rFonts w:ascii="Arial" w:hAnsi="Arial" w:cs="Arial"/>
          <w:sz w:val="20"/>
          <w:szCs w:val="20"/>
        </w:rPr>
        <w:t xml:space="preserve">current line of business </w:t>
      </w:r>
      <w:r w:rsidRPr="00BB5FE7">
        <w:rPr>
          <w:rFonts w:ascii="Arial" w:hAnsi="Arial" w:cs="Arial"/>
          <w:sz w:val="20"/>
          <w:szCs w:val="20"/>
        </w:rPr>
        <w:t>under</w:t>
      </w:r>
      <w:r w:rsidRPr="00BB5FE7">
        <w:t xml:space="preserve"> </w:t>
      </w:r>
      <w:r w:rsidRPr="00BB5FE7">
        <w:rPr>
          <w:rFonts w:ascii="Arial" w:hAnsi="Arial" w:cs="Arial"/>
          <w:sz w:val="20"/>
          <w:szCs w:val="20"/>
        </w:rPr>
        <w:t xml:space="preserve">substantially the same management. In exceptional cases, the HKEX may consider a </w:t>
      </w:r>
      <w:r w:rsidR="00B70E04">
        <w:rPr>
          <w:rFonts w:ascii="Arial" w:hAnsi="Arial" w:cs="Arial"/>
          <w:sz w:val="20"/>
          <w:szCs w:val="20"/>
        </w:rPr>
        <w:t>shorter trading period</w:t>
      </w:r>
      <w:r w:rsidRPr="00BB5FE7">
        <w:rPr>
          <w:rFonts w:ascii="Arial" w:hAnsi="Arial" w:cs="Arial"/>
          <w:sz w:val="20"/>
          <w:szCs w:val="20"/>
        </w:rPr>
        <w:t xml:space="preserve"> of at least two financial years. </w:t>
      </w:r>
      <w:r w:rsidR="00B70E04" w:rsidRPr="00B70E04">
        <w:rPr>
          <w:rFonts w:ascii="Arial" w:hAnsi="Arial" w:cs="Arial"/>
          <w:sz w:val="20"/>
          <w:szCs w:val="20"/>
        </w:rPr>
        <w:t>Specialist Technology Companies will also require ownership continuity and control for at lea</w:t>
      </w:r>
      <w:r w:rsidR="00B70E04">
        <w:rPr>
          <w:rFonts w:ascii="Arial" w:hAnsi="Arial" w:cs="Arial"/>
          <w:sz w:val="20"/>
          <w:szCs w:val="20"/>
        </w:rPr>
        <w:t xml:space="preserve">st 12 months before listing, </w:t>
      </w:r>
      <w:r w:rsidR="00B70E04" w:rsidRPr="00B70E04">
        <w:rPr>
          <w:rFonts w:ascii="Arial" w:hAnsi="Arial" w:cs="Arial"/>
          <w:sz w:val="20"/>
          <w:szCs w:val="20"/>
        </w:rPr>
        <w:t xml:space="preserve">and up until the time </w:t>
      </w:r>
      <w:r w:rsidR="00B70E04">
        <w:rPr>
          <w:rFonts w:ascii="Arial" w:hAnsi="Arial" w:cs="Arial"/>
          <w:sz w:val="20"/>
          <w:szCs w:val="20"/>
        </w:rPr>
        <w:t xml:space="preserve">immediately before the offering </w:t>
      </w:r>
      <w:r w:rsidR="00B70E04" w:rsidRPr="00B70E04">
        <w:rPr>
          <w:rFonts w:ascii="Arial" w:hAnsi="Arial" w:cs="Arial"/>
          <w:sz w:val="20"/>
          <w:szCs w:val="20"/>
        </w:rPr>
        <w:t>and/or placing becomes unconditional.</w:t>
      </w:r>
    </w:p>
    <w:p w:rsidR="00A5671F" w:rsidRPr="00CD58E4" w:rsidRDefault="00A5671F" w:rsidP="00A5671F">
      <w:pPr>
        <w:rPr>
          <w:rFonts w:ascii="Arial" w:hAnsi="Arial" w:cs="Arial"/>
          <w:b/>
          <w:sz w:val="20"/>
          <w:szCs w:val="20"/>
        </w:rPr>
      </w:pPr>
      <w:r w:rsidRPr="00CD58E4">
        <w:rPr>
          <w:rFonts w:ascii="Arial" w:hAnsi="Arial" w:cs="Arial"/>
          <w:b/>
          <w:sz w:val="20"/>
          <w:szCs w:val="20"/>
        </w:rPr>
        <w:t xml:space="preserve">Requirement for Third Party Investment </w:t>
      </w:r>
    </w:p>
    <w:p w:rsidR="00A5671F" w:rsidRPr="00CD58E4" w:rsidRDefault="00595487" w:rsidP="00A5671F">
      <w:pPr>
        <w:rPr>
          <w:rFonts w:ascii="Arial" w:hAnsi="Arial" w:cs="Arial"/>
          <w:sz w:val="20"/>
          <w:szCs w:val="20"/>
        </w:rPr>
      </w:pPr>
      <w:r>
        <w:rPr>
          <w:rFonts w:ascii="Arial" w:hAnsi="Arial" w:cs="Arial"/>
          <w:sz w:val="20"/>
          <w:szCs w:val="20"/>
        </w:rPr>
        <w:t>There is a</w:t>
      </w:r>
      <w:r w:rsidR="00724949">
        <w:rPr>
          <w:rFonts w:ascii="Arial" w:hAnsi="Arial" w:cs="Arial"/>
          <w:sz w:val="20"/>
          <w:szCs w:val="20"/>
        </w:rPr>
        <w:t xml:space="preserve"> </w:t>
      </w:r>
      <w:r w:rsidR="00A5671F" w:rsidRPr="00CD58E4">
        <w:rPr>
          <w:rFonts w:ascii="Arial" w:hAnsi="Arial" w:cs="Arial"/>
          <w:sz w:val="20"/>
          <w:szCs w:val="20"/>
        </w:rPr>
        <w:t>requirement that a Specialist Technology Company</w:t>
      </w:r>
      <w:r w:rsidR="00173366" w:rsidRPr="00CD58E4">
        <w:rPr>
          <w:rFonts w:ascii="Arial" w:hAnsi="Arial" w:cs="Arial"/>
          <w:sz w:val="20"/>
          <w:szCs w:val="20"/>
        </w:rPr>
        <w:t xml:space="preserve"> must have received meaningful </w:t>
      </w:r>
      <w:r w:rsidR="00A5671F" w:rsidRPr="00CD58E4">
        <w:rPr>
          <w:rFonts w:ascii="Arial" w:hAnsi="Arial" w:cs="Arial"/>
          <w:sz w:val="20"/>
          <w:szCs w:val="20"/>
        </w:rPr>
        <w:t>investment from a group of two to five sophisticated independent investors (Pathfinder SIIs)</w:t>
      </w:r>
      <w:r w:rsidR="00BD3C04" w:rsidRPr="00CD58E4">
        <w:rPr>
          <w:rFonts w:ascii="Arial" w:hAnsi="Arial" w:cs="Arial"/>
          <w:sz w:val="20"/>
          <w:szCs w:val="20"/>
        </w:rPr>
        <w:t>, each having invested in the applicant</w:t>
      </w:r>
      <w:r w:rsidR="00A5671F" w:rsidRPr="00CD58E4">
        <w:rPr>
          <w:rFonts w:ascii="Arial" w:hAnsi="Arial" w:cs="Arial"/>
          <w:sz w:val="20"/>
          <w:szCs w:val="20"/>
        </w:rPr>
        <w:t xml:space="preserve"> at least 12 months before the date of the listing application and meet the following criteria:</w:t>
      </w:r>
    </w:p>
    <w:p w:rsidR="00A5671F" w:rsidRPr="00CD58E4" w:rsidRDefault="00A5671F" w:rsidP="00A5671F">
      <w:pPr>
        <w:ind w:left="720"/>
        <w:rPr>
          <w:rFonts w:ascii="Arial" w:hAnsi="Arial" w:cs="Arial"/>
          <w:sz w:val="20"/>
          <w:szCs w:val="20"/>
        </w:rPr>
      </w:pPr>
      <w:r w:rsidRPr="00CD58E4">
        <w:rPr>
          <w:rFonts w:ascii="Arial" w:hAnsi="Arial" w:cs="Arial"/>
          <w:sz w:val="20"/>
          <w:szCs w:val="20"/>
        </w:rPr>
        <w:t>(a) in aggregate hold such amount of shares or securities convertible into shares equivalent to 10% or more of the listing applicant’s issued share capital as at the date of listing application and throughout the pre-application 12-month period; or</w:t>
      </w:r>
    </w:p>
    <w:p w:rsidR="00A5671F" w:rsidRPr="00CD58E4" w:rsidRDefault="00A5671F" w:rsidP="00A5671F">
      <w:pPr>
        <w:ind w:left="720"/>
        <w:rPr>
          <w:rFonts w:ascii="Arial" w:hAnsi="Arial" w:cs="Arial"/>
          <w:sz w:val="20"/>
          <w:szCs w:val="20"/>
        </w:rPr>
      </w:pPr>
      <w:r w:rsidRPr="00CD58E4">
        <w:rPr>
          <w:rFonts w:ascii="Arial" w:hAnsi="Arial" w:cs="Arial"/>
          <w:sz w:val="20"/>
          <w:szCs w:val="20"/>
        </w:rPr>
        <w:t xml:space="preserve">(b) have invested an aggregate sum of at least HK$1.5 billion in the shares or securities convertible into shares of the applicant at least 12 months prior to the date of the listing </w:t>
      </w:r>
      <w:r w:rsidRPr="00CD58E4">
        <w:rPr>
          <w:rFonts w:ascii="Arial" w:hAnsi="Arial" w:cs="Arial"/>
          <w:sz w:val="20"/>
          <w:szCs w:val="20"/>
        </w:rPr>
        <w:lastRenderedPageBreak/>
        <w:t>application (excluding any subsequent divestments made on or before the date of the listing application).</w:t>
      </w:r>
    </w:p>
    <w:p w:rsidR="00A5671F" w:rsidRPr="00CD58E4" w:rsidRDefault="00A5671F" w:rsidP="00CD58E4">
      <w:pPr>
        <w:rPr>
          <w:rFonts w:ascii="Arial" w:hAnsi="Arial" w:cs="Arial"/>
          <w:sz w:val="20"/>
          <w:szCs w:val="20"/>
        </w:rPr>
      </w:pPr>
      <w:r w:rsidRPr="00CD58E4">
        <w:rPr>
          <w:rFonts w:ascii="Arial" w:hAnsi="Arial" w:cs="Arial"/>
          <w:sz w:val="20"/>
          <w:szCs w:val="20"/>
        </w:rPr>
        <w:t xml:space="preserve">At least two Pathfinder SIIs must meet either of these conditions: </w:t>
      </w:r>
    </w:p>
    <w:p w:rsidR="00A5671F" w:rsidRPr="00CD58E4" w:rsidRDefault="00A5671F" w:rsidP="00A5671F">
      <w:pPr>
        <w:ind w:left="720"/>
        <w:rPr>
          <w:rFonts w:ascii="Arial" w:hAnsi="Arial" w:cs="Arial"/>
          <w:sz w:val="20"/>
          <w:szCs w:val="20"/>
        </w:rPr>
      </w:pPr>
      <w:r w:rsidRPr="00CD58E4">
        <w:rPr>
          <w:rFonts w:ascii="Arial" w:hAnsi="Arial" w:cs="Arial"/>
          <w:sz w:val="20"/>
          <w:szCs w:val="20"/>
        </w:rPr>
        <w:t>(a) each holds such amount of shares or securities convertible into shares equivalent to 3% or more of the applicant’s issued share capital as at the date of listing application and throughout the pre-application 12-month period; or</w:t>
      </w:r>
    </w:p>
    <w:p w:rsidR="00A5671F" w:rsidRPr="00CD58E4" w:rsidRDefault="00A5671F" w:rsidP="00EE2FC9">
      <w:pPr>
        <w:ind w:left="720"/>
        <w:rPr>
          <w:rFonts w:ascii="Arial" w:hAnsi="Arial" w:cs="Arial"/>
          <w:sz w:val="20"/>
          <w:szCs w:val="20"/>
        </w:rPr>
      </w:pPr>
      <w:r w:rsidRPr="00CD58E4">
        <w:rPr>
          <w:rFonts w:ascii="Arial" w:hAnsi="Arial" w:cs="Arial"/>
          <w:sz w:val="20"/>
          <w:szCs w:val="20"/>
        </w:rPr>
        <w:t>(b) each has invested at least HK$450 million in the shares or securities convertible into shares of the applicant at least 12 months prior to the date of the listing application (excluding any subsequent divestments made on or before the date of the listing application).</w:t>
      </w:r>
    </w:p>
    <w:p w:rsidR="00173366" w:rsidRPr="00CD58E4" w:rsidRDefault="001A5B87" w:rsidP="00CD58E4">
      <w:pPr>
        <w:rPr>
          <w:rFonts w:ascii="Arial" w:hAnsi="Arial" w:cs="Arial"/>
          <w:sz w:val="20"/>
          <w:szCs w:val="20"/>
        </w:rPr>
      </w:pPr>
      <w:r w:rsidRPr="00CD58E4">
        <w:rPr>
          <w:rFonts w:ascii="Arial" w:hAnsi="Arial" w:cs="Arial"/>
          <w:sz w:val="20"/>
          <w:szCs w:val="20"/>
        </w:rPr>
        <w:t xml:space="preserve">The Specialist Technology Company must also have an aggregate investment from all </w:t>
      </w:r>
      <w:r w:rsidR="006B4A8D" w:rsidRPr="00450CE9">
        <w:rPr>
          <w:rFonts w:ascii="Arial" w:hAnsi="Arial" w:cs="Arial"/>
          <w:sz w:val="20"/>
          <w:szCs w:val="20"/>
        </w:rPr>
        <w:t>SIIs</w:t>
      </w:r>
      <w:r w:rsidRPr="00CD58E4">
        <w:rPr>
          <w:rFonts w:ascii="Arial" w:hAnsi="Arial" w:cs="Arial"/>
          <w:sz w:val="20"/>
          <w:szCs w:val="20"/>
        </w:rPr>
        <w:t xml:space="preserve"> meeting a prescribed minimum percentage of the applicant’s issued share capital (before exercise of any overallotment option) at the time of listing. Depending on the Specialist Technology Company’s expected market </w:t>
      </w:r>
      <w:proofErr w:type="spellStart"/>
      <w:r w:rsidRPr="00CD58E4">
        <w:rPr>
          <w:rFonts w:ascii="Arial" w:hAnsi="Arial" w:cs="Arial"/>
          <w:sz w:val="20"/>
          <w:szCs w:val="20"/>
        </w:rPr>
        <w:t>capitalisation</w:t>
      </w:r>
      <w:proofErr w:type="spellEnd"/>
      <w:r w:rsidRPr="00CD58E4">
        <w:rPr>
          <w:rFonts w:ascii="Arial" w:hAnsi="Arial" w:cs="Arial"/>
          <w:sz w:val="20"/>
          <w:szCs w:val="20"/>
        </w:rPr>
        <w:t xml:space="preserve"> at listing, the minimum percentage ranges from 10% to 20% for Commercial Companies and 15% to 25% for Pre-Commercial Companies. </w:t>
      </w:r>
    </w:p>
    <w:p w:rsidR="00412E72" w:rsidRPr="00CD58E4" w:rsidRDefault="00412E72" w:rsidP="00412E72">
      <w:pPr>
        <w:rPr>
          <w:rFonts w:ascii="Arial" w:hAnsi="Arial" w:cs="Arial"/>
          <w:b/>
          <w:sz w:val="20"/>
          <w:szCs w:val="20"/>
        </w:rPr>
      </w:pPr>
      <w:r w:rsidRPr="00CD58E4">
        <w:rPr>
          <w:rFonts w:ascii="Arial" w:hAnsi="Arial" w:cs="Arial"/>
          <w:b/>
          <w:sz w:val="20"/>
          <w:szCs w:val="20"/>
        </w:rPr>
        <w:t xml:space="preserve">Path to Achieving the </w:t>
      </w:r>
      <w:proofErr w:type="spellStart"/>
      <w:r w:rsidRPr="00CD58E4">
        <w:rPr>
          <w:rFonts w:ascii="Arial" w:hAnsi="Arial" w:cs="Arial"/>
          <w:b/>
          <w:sz w:val="20"/>
          <w:szCs w:val="20"/>
        </w:rPr>
        <w:t>Commercialisation</w:t>
      </w:r>
      <w:proofErr w:type="spellEnd"/>
      <w:r w:rsidRPr="00CD58E4">
        <w:rPr>
          <w:rFonts w:ascii="Arial" w:hAnsi="Arial" w:cs="Arial"/>
          <w:b/>
          <w:sz w:val="20"/>
          <w:szCs w:val="20"/>
        </w:rPr>
        <w:t xml:space="preserve"> Revenue Threshold</w:t>
      </w:r>
    </w:p>
    <w:p w:rsidR="00B92B0E" w:rsidRPr="00CD58E4" w:rsidRDefault="00B92B0E" w:rsidP="00173366">
      <w:pPr>
        <w:rPr>
          <w:rFonts w:ascii="Arial" w:hAnsi="Arial" w:cs="Arial"/>
          <w:sz w:val="20"/>
          <w:szCs w:val="20"/>
        </w:rPr>
      </w:pPr>
      <w:r w:rsidRPr="00CD58E4">
        <w:rPr>
          <w:rFonts w:ascii="Arial" w:hAnsi="Arial" w:cs="Arial"/>
          <w:sz w:val="20"/>
          <w:szCs w:val="20"/>
        </w:rPr>
        <w:t xml:space="preserve">Pre-Commercial Companies will be required to demonstrate to the HKEX, and disclose in their listing documents, a credible path to achieving the </w:t>
      </w:r>
      <w:proofErr w:type="spellStart"/>
      <w:r w:rsidRPr="00CD58E4">
        <w:rPr>
          <w:rFonts w:ascii="Arial" w:hAnsi="Arial" w:cs="Arial"/>
          <w:sz w:val="20"/>
          <w:szCs w:val="20"/>
        </w:rPr>
        <w:t>Commercialisation</w:t>
      </w:r>
      <w:proofErr w:type="spellEnd"/>
      <w:r w:rsidRPr="00CD58E4">
        <w:rPr>
          <w:rFonts w:ascii="Arial" w:hAnsi="Arial" w:cs="Arial"/>
          <w:sz w:val="20"/>
          <w:szCs w:val="20"/>
        </w:rPr>
        <w:t xml:space="preserve"> Revenue Threshold which means a credible path to achieving the </w:t>
      </w:r>
      <w:proofErr w:type="spellStart"/>
      <w:r w:rsidRPr="00CD58E4">
        <w:rPr>
          <w:rFonts w:ascii="Arial" w:hAnsi="Arial" w:cs="Arial"/>
          <w:sz w:val="20"/>
          <w:szCs w:val="20"/>
        </w:rPr>
        <w:t>commercialisation</w:t>
      </w:r>
      <w:proofErr w:type="spellEnd"/>
      <w:r w:rsidRPr="00CD58E4">
        <w:rPr>
          <w:rFonts w:ascii="Arial" w:hAnsi="Arial" w:cs="Arial"/>
          <w:sz w:val="20"/>
          <w:szCs w:val="20"/>
        </w:rPr>
        <w:t xml:space="preserve"> of their Specialist Technology Product(s) such that they achieve revenue of at least HK$ 250 million from their Specialist Technology business segment for the relevant audited financial year.</w:t>
      </w:r>
    </w:p>
    <w:p w:rsidR="00B92B0E" w:rsidRPr="00CD58E4" w:rsidRDefault="00B92B0E" w:rsidP="00173366">
      <w:pPr>
        <w:rPr>
          <w:rFonts w:ascii="Arial" w:hAnsi="Arial" w:cs="Arial"/>
          <w:sz w:val="20"/>
          <w:szCs w:val="20"/>
        </w:rPr>
      </w:pPr>
      <w:r w:rsidRPr="00CD58E4">
        <w:rPr>
          <w:rFonts w:ascii="Arial" w:hAnsi="Arial" w:cs="Arial"/>
          <w:sz w:val="20"/>
          <w:szCs w:val="20"/>
        </w:rPr>
        <w:t>They will also be required to have available working capital (inclusive of expected IPO proceeds) to cover at least 125% of their group costs (which should substantially consist of general, administrative and operating costs, and R&amp;D costs) for at least the next 12 months to mitigate the risk of insufficient funding for operations.</w:t>
      </w:r>
    </w:p>
    <w:p w:rsidR="00412E72" w:rsidRPr="00CD58E4" w:rsidRDefault="00D720C5" w:rsidP="00173366">
      <w:pPr>
        <w:rPr>
          <w:rFonts w:ascii="Arial" w:hAnsi="Arial" w:cs="Arial"/>
          <w:sz w:val="20"/>
          <w:szCs w:val="20"/>
        </w:rPr>
      </w:pPr>
      <w:r w:rsidRPr="00CD58E4">
        <w:rPr>
          <w:rFonts w:ascii="Arial" w:hAnsi="Arial" w:cs="Arial"/>
          <w:sz w:val="20"/>
          <w:szCs w:val="20"/>
        </w:rPr>
        <w:t>Pre-Commercial Compan</w:t>
      </w:r>
      <w:r w:rsidR="00FD5D33" w:rsidRPr="00CD58E4">
        <w:rPr>
          <w:rFonts w:ascii="Arial" w:hAnsi="Arial" w:cs="Arial"/>
          <w:sz w:val="20"/>
          <w:szCs w:val="20"/>
        </w:rPr>
        <w:t>ies</w:t>
      </w:r>
      <w:r w:rsidR="00412E72" w:rsidRPr="00CD58E4">
        <w:rPr>
          <w:rFonts w:ascii="Arial" w:hAnsi="Arial" w:cs="Arial"/>
          <w:sz w:val="20"/>
          <w:szCs w:val="20"/>
        </w:rPr>
        <w:t xml:space="preserve"> must be cautious when disclosing</w:t>
      </w:r>
      <w:r w:rsidR="00CE322C">
        <w:rPr>
          <w:rFonts w:ascii="Arial" w:hAnsi="Arial" w:cs="Arial"/>
          <w:sz w:val="20"/>
          <w:szCs w:val="20"/>
        </w:rPr>
        <w:t xml:space="preserve"> timeframes and paths to achieving</w:t>
      </w:r>
      <w:r w:rsidR="00412E72" w:rsidRPr="00CD58E4">
        <w:rPr>
          <w:rFonts w:ascii="Arial" w:hAnsi="Arial" w:cs="Arial"/>
          <w:sz w:val="20"/>
          <w:szCs w:val="20"/>
        </w:rPr>
        <w:t xml:space="preserve"> the </w:t>
      </w:r>
      <w:proofErr w:type="spellStart"/>
      <w:r w:rsidR="00B92B0E" w:rsidRPr="00CD58E4">
        <w:rPr>
          <w:rFonts w:ascii="Arial" w:hAnsi="Arial" w:cs="Arial"/>
          <w:sz w:val="20"/>
          <w:szCs w:val="20"/>
        </w:rPr>
        <w:t>Commercialisation</w:t>
      </w:r>
      <w:proofErr w:type="spellEnd"/>
      <w:r w:rsidR="00B92B0E" w:rsidRPr="00CD58E4">
        <w:rPr>
          <w:rFonts w:ascii="Arial" w:hAnsi="Arial" w:cs="Arial"/>
          <w:sz w:val="20"/>
          <w:szCs w:val="20"/>
        </w:rPr>
        <w:t xml:space="preserve"> Revenue Threshold</w:t>
      </w:r>
      <w:r w:rsidR="00412E72" w:rsidRPr="00CD58E4">
        <w:rPr>
          <w:rFonts w:ascii="Arial" w:hAnsi="Arial" w:cs="Arial"/>
          <w:sz w:val="20"/>
          <w:szCs w:val="20"/>
        </w:rPr>
        <w:t>, ensuring clear disclosure of risks, impediments, and material assumptions</w:t>
      </w:r>
      <w:r w:rsidR="00173366" w:rsidRPr="00CD58E4">
        <w:rPr>
          <w:rFonts w:ascii="Arial" w:hAnsi="Arial" w:cs="Arial"/>
          <w:sz w:val="20"/>
          <w:szCs w:val="20"/>
        </w:rPr>
        <w:t xml:space="preserve"> involved in making such statements</w:t>
      </w:r>
      <w:r w:rsidR="00412E72" w:rsidRPr="00CD58E4">
        <w:rPr>
          <w:rFonts w:ascii="Arial" w:hAnsi="Arial" w:cs="Arial"/>
          <w:sz w:val="20"/>
          <w:szCs w:val="20"/>
        </w:rPr>
        <w:t xml:space="preserve"> to avoid misleading information.</w:t>
      </w:r>
    </w:p>
    <w:p w:rsidR="00A42D93" w:rsidRPr="00CD58E4" w:rsidRDefault="00412E72" w:rsidP="00CD58E4">
      <w:pPr>
        <w:rPr>
          <w:rFonts w:ascii="Arial" w:hAnsi="Arial" w:cs="Arial"/>
          <w:sz w:val="20"/>
          <w:szCs w:val="20"/>
        </w:rPr>
      </w:pPr>
      <w:r w:rsidRPr="00CD58E4">
        <w:rPr>
          <w:rFonts w:ascii="Arial" w:hAnsi="Arial" w:cs="Arial"/>
          <w:sz w:val="20"/>
          <w:szCs w:val="20"/>
        </w:rPr>
        <w:t xml:space="preserve">A credible path to achieving the </w:t>
      </w:r>
      <w:proofErr w:type="spellStart"/>
      <w:r w:rsidRPr="00CD58E4">
        <w:rPr>
          <w:rFonts w:ascii="Arial" w:hAnsi="Arial" w:cs="Arial"/>
          <w:sz w:val="20"/>
          <w:szCs w:val="20"/>
        </w:rPr>
        <w:t>Commercialisation</w:t>
      </w:r>
      <w:proofErr w:type="spellEnd"/>
      <w:r w:rsidRPr="00CD58E4">
        <w:rPr>
          <w:rFonts w:ascii="Arial" w:hAnsi="Arial" w:cs="Arial"/>
          <w:sz w:val="20"/>
          <w:szCs w:val="20"/>
        </w:rPr>
        <w:t xml:space="preserve"> Revenue Threshold may be demonstrated, for example, by binding contracts or non-binding framework agreements, and details of the timeframe and milestones for </w:t>
      </w:r>
      <w:proofErr w:type="spellStart"/>
      <w:r w:rsidRPr="00CD58E4">
        <w:rPr>
          <w:rFonts w:ascii="Arial" w:hAnsi="Arial" w:cs="Arial"/>
          <w:sz w:val="20"/>
          <w:szCs w:val="20"/>
        </w:rPr>
        <w:t>commercialisation</w:t>
      </w:r>
      <w:proofErr w:type="spellEnd"/>
      <w:r w:rsidRPr="00CD58E4">
        <w:rPr>
          <w:rFonts w:ascii="Arial" w:hAnsi="Arial" w:cs="Arial"/>
          <w:sz w:val="20"/>
          <w:szCs w:val="20"/>
        </w:rPr>
        <w:t xml:space="preserve"> of the applicant’s Specialist Technology Product(s). If the </w:t>
      </w:r>
      <w:r w:rsidR="008E47A2" w:rsidRPr="00CD58E4">
        <w:rPr>
          <w:rFonts w:ascii="Arial" w:hAnsi="Arial" w:cs="Arial"/>
          <w:sz w:val="20"/>
          <w:szCs w:val="20"/>
        </w:rPr>
        <w:t xml:space="preserve">illustrative </w:t>
      </w:r>
      <w:r w:rsidRPr="00CD58E4">
        <w:rPr>
          <w:rFonts w:ascii="Arial" w:hAnsi="Arial" w:cs="Arial"/>
          <w:sz w:val="20"/>
          <w:szCs w:val="20"/>
        </w:rPr>
        <w:t xml:space="preserve">examples </w:t>
      </w:r>
      <w:r w:rsidR="008E47A2" w:rsidRPr="00CD58E4">
        <w:rPr>
          <w:rFonts w:ascii="Arial" w:hAnsi="Arial" w:cs="Arial"/>
          <w:sz w:val="20"/>
          <w:szCs w:val="20"/>
        </w:rPr>
        <w:t xml:space="preserve">set out in the Consultation Paper </w:t>
      </w:r>
      <w:r w:rsidRPr="00CD58E4">
        <w:rPr>
          <w:rFonts w:ascii="Arial" w:hAnsi="Arial" w:cs="Arial"/>
          <w:sz w:val="20"/>
          <w:szCs w:val="20"/>
        </w:rPr>
        <w:t>do no</w:t>
      </w:r>
      <w:r w:rsidR="00CE322C">
        <w:rPr>
          <w:rFonts w:ascii="Arial" w:hAnsi="Arial" w:cs="Arial"/>
          <w:sz w:val="20"/>
          <w:szCs w:val="20"/>
        </w:rPr>
        <w:t>t suit a Pre-Commercial Company’</w:t>
      </w:r>
      <w:r w:rsidRPr="00CD58E4">
        <w:rPr>
          <w:rFonts w:ascii="Arial" w:hAnsi="Arial" w:cs="Arial"/>
          <w:sz w:val="20"/>
          <w:szCs w:val="20"/>
        </w:rPr>
        <w:t xml:space="preserve">s circumstances, it may demonstrate its path to </w:t>
      </w:r>
      <w:proofErr w:type="spellStart"/>
      <w:r w:rsidRPr="00CD58E4">
        <w:rPr>
          <w:rFonts w:ascii="Arial" w:hAnsi="Arial" w:cs="Arial"/>
          <w:sz w:val="20"/>
          <w:szCs w:val="20"/>
        </w:rPr>
        <w:t>commercialisation</w:t>
      </w:r>
      <w:proofErr w:type="spellEnd"/>
      <w:r w:rsidRPr="00CD58E4">
        <w:rPr>
          <w:rFonts w:ascii="Arial" w:hAnsi="Arial" w:cs="Arial"/>
          <w:sz w:val="20"/>
          <w:szCs w:val="20"/>
        </w:rPr>
        <w:t xml:space="preserve"> through other means with alternative evidence to support its credibility.</w:t>
      </w:r>
    </w:p>
    <w:p w:rsidR="00A5671F" w:rsidRPr="00CD58E4" w:rsidRDefault="00A5671F" w:rsidP="00A5671F">
      <w:pPr>
        <w:rPr>
          <w:rFonts w:ascii="Arial" w:hAnsi="Arial" w:cs="Arial"/>
          <w:color w:val="FF0000"/>
          <w:sz w:val="20"/>
          <w:szCs w:val="20"/>
        </w:rPr>
      </w:pPr>
      <w:r w:rsidRPr="00CD58E4">
        <w:rPr>
          <w:rFonts w:ascii="Arial" w:hAnsi="Arial" w:cs="Arial"/>
          <w:color w:val="FF0000"/>
          <w:sz w:val="20"/>
          <w:szCs w:val="20"/>
        </w:rPr>
        <w:t xml:space="preserve">IPO </w:t>
      </w:r>
      <w:r w:rsidR="00FB4A09" w:rsidRPr="00CD58E4">
        <w:rPr>
          <w:rFonts w:ascii="Arial" w:hAnsi="Arial" w:cs="Arial"/>
          <w:color w:val="FF0000"/>
          <w:sz w:val="20"/>
          <w:szCs w:val="20"/>
        </w:rPr>
        <w:t>R</w:t>
      </w:r>
      <w:r w:rsidRPr="00CD58E4">
        <w:rPr>
          <w:rFonts w:ascii="Arial" w:hAnsi="Arial" w:cs="Arial"/>
          <w:color w:val="FF0000"/>
          <w:sz w:val="20"/>
          <w:szCs w:val="20"/>
        </w:rPr>
        <w:t xml:space="preserve">equirements </w:t>
      </w:r>
    </w:p>
    <w:p w:rsidR="00A5671F" w:rsidRPr="00CD58E4" w:rsidRDefault="00A5671F" w:rsidP="00A5671F">
      <w:pPr>
        <w:rPr>
          <w:rFonts w:ascii="Arial" w:hAnsi="Arial" w:cs="Arial"/>
          <w:sz w:val="20"/>
          <w:szCs w:val="20"/>
        </w:rPr>
      </w:pPr>
      <w:r w:rsidRPr="00CD58E4">
        <w:rPr>
          <w:rFonts w:ascii="Arial" w:hAnsi="Arial" w:cs="Arial"/>
          <w:sz w:val="20"/>
          <w:szCs w:val="20"/>
        </w:rPr>
        <w:t>Specialist Technology Companies will be required to:</w:t>
      </w:r>
    </w:p>
    <w:p w:rsidR="00A5671F" w:rsidRPr="00CD58E4" w:rsidRDefault="00A5671F" w:rsidP="00A5671F">
      <w:pPr>
        <w:pStyle w:val="a3"/>
        <w:numPr>
          <w:ilvl w:val="0"/>
          <w:numId w:val="10"/>
        </w:numPr>
        <w:rPr>
          <w:rFonts w:ascii="Arial" w:hAnsi="Arial" w:cs="Arial"/>
          <w:sz w:val="20"/>
          <w:szCs w:val="20"/>
        </w:rPr>
      </w:pPr>
      <w:r w:rsidRPr="00CD58E4">
        <w:rPr>
          <w:rFonts w:ascii="Arial" w:hAnsi="Arial" w:cs="Arial"/>
          <w:sz w:val="20"/>
          <w:szCs w:val="20"/>
        </w:rPr>
        <w:t>allocate at least 50% of the total number of shares offered in the IPO (excluding shares to be issued on the exercise of any over-allotment option) to Independent Price Setting Investors</w:t>
      </w:r>
      <w:r w:rsidR="00E66D9A" w:rsidRPr="00CD58E4">
        <w:rPr>
          <w:rFonts w:ascii="Arial" w:hAnsi="Arial" w:cs="Arial"/>
          <w:sz w:val="20"/>
          <w:szCs w:val="20"/>
        </w:rPr>
        <w:t>;</w:t>
      </w:r>
      <w:r w:rsidRPr="00CD58E4">
        <w:rPr>
          <w:rFonts w:ascii="Arial" w:hAnsi="Arial" w:cs="Arial"/>
          <w:sz w:val="20"/>
          <w:szCs w:val="20"/>
        </w:rPr>
        <w:t xml:space="preserve"> </w:t>
      </w:r>
      <w:r w:rsidRPr="00CD58E4">
        <w:rPr>
          <w:rStyle w:val="a6"/>
          <w:rFonts w:ascii="Arial" w:hAnsi="Arial" w:cs="Arial"/>
          <w:sz w:val="20"/>
          <w:szCs w:val="20"/>
        </w:rPr>
        <w:footnoteReference w:id="2"/>
      </w:r>
      <w:r w:rsidRPr="00CD58E4">
        <w:rPr>
          <w:rFonts w:ascii="Arial" w:hAnsi="Arial" w:cs="Arial"/>
          <w:sz w:val="20"/>
          <w:szCs w:val="20"/>
        </w:rPr>
        <w:t xml:space="preserve">  </w:t>
      </w:r>
    </w:p>
    <w:p w:rsidR="00A5671F" w:rsidRPr="00CD58E4" w:rsidRDefault="00A5671F" w:rsidP="00A5671F">
      <w:pPr>
        <w:pStyle w:val="a3"/>
        <w:numPr>
          <w:ilvl w:val="0"/>
          <w:numId w:val="10"/>
        </w:numPr>
        <w:rPr>
          <w:rFonts w:ascii="Arial" w:hAnsi="Arial" w:cs="Arial"/>
          <w:sz w:val="20"/>
          <w:szCs w:val="20"/>
        </w:rPr>
      </w:pPr>
      <w:r w:rsidRPr="00CD58E4">
        <w:rPr>
          <w:rFonts w:ascii="Arial" w:hAnsi="Arial" w:cs="Arial"/>
          <w:sz w:val="20"/>
          <w:szCs w:val="20"/>
        </w:rPr>
        <w:t>have a free float of at least HK$ 600 million upon listing;</w:t>
      </w:r>
      <w:r w:rsidR="00E66D9A" w:rsidRPr="00CD58E4">
        <w:rPr>
          <w:rFonts w:ascii="Arial" w:hAnsi="Arial" w:cs="Arial"/>
          <w:sz w:val="20"/>
          <w:szCs w:val="20"/>
        </w:rPr>
        <w:t xml:space="preserve"> and</w:t>
      </w:r>
    </w:p>
    <w:p w:rsidR="00892A0A" w:rsidRPr="00CD58E4" w:rsidRDefault="00A5671F" w:rsidP="00CD58E4">
      <w:pPr>
        <w:pStyle w:val="a3"/>
        <w:numPr>
          <w:ilvl w:val="0"/>
          <w:numId w:val="10"/>
        </w:numPr>
        <w:rPr>
          <w:rFonts w:ascii="Arial" w:hAnsi="Arial" w:cs="Arial"/>
          <w:sz w:val="20"/>
          <w:szCs w:val="20"/>
        </w:rPr>
      </w:pPr>
      <w:r w:rsidRPr="00CD58E4">
        <w:rPr>
          <w:rFonts w:ascii="Arial" w:hAnsi="Arial" w:cs="Arial"/>
          <w:sz w:val="20"/>
          <w:szCs w:val="20"/>
        </w:rPr>
        <w:lastRenderedPageBreak/>
        <w:t xml:space="preserve">to include additional disclosures in their listing documents on pre-IPO investments, products and </w:t>
      </w:r>
      <w:proofErr w:type="spellStart"/>
      <w:r w:rsidRPr="00CD58E4">
        <w:rPr>
          <w:rFonts w:ascii="Arial" w:hAnsi="Arial" w:cs="Arial"/>
          <w:sz w:val="20"/>
          <w:szCs w:val="20"/>
        </w:rPr>
        <w:t>commercialisation</w:t>
      </w:r>
      <w:proofErr w:type="spellEnd"/>
      <w:r w:rsidRPr="00CD58E4">
        <w:rPr>
          <w:rFonts w:ascii="Arial" w:hAnsi="Arial" w:cs="Arial"/>
          <w:sz w:val="20"/>
          <w:szCs w:val="20"/>
        </w:rPr>
        <w:t xml:space="preserve"> status and prospects, R&amp;D</w:t>
      </w:r>
      <w:r w:rsidR="003E74E0" w:rsidRPr="00CD58E4">
        <w:rPr>
          <w:rFonts w:ascii="Arial" w:hAnsi="Arial" w:cs="Arial"/>
          <w:sz w:val="20"/>
          <w:szCs w:val="20"/>
        </w:rPr>
        <w:t xml:space="preserve"> expenditure, intellectual property</w:t>
      </w:r>
      <w:r w:rsidR="00195535">
        <w:rPr>
          <w:rFonts w:ascii="Arial" w:hAnsi="Arial" w:cs="Arial"/>
          <w:sz w:val="20"/>
          <w:szCs w:val="20"/>
        </w:rPr>
        <w:t>,</w:t>
      </w:r>
      <w:r w:rsidR="003E74E0" w:rsidRPr="00CD58E4">
        <w:rPr>
          <w:rFonts w:ascii="Arial" w:hAnsi="Arial" w:cs="Arial"/>
          <w:sz w:val="20"/>
          <w:szCs w:val="20"/>
        </w:rPr>
        <w:t xml:space="preserve"> and </w:t>
      </w:r>
      <w:r w:rsidRPr="00CD58E4">
        <w:rPr>
          <w:rFonts w:ascii="Arial" w:hAnsi="Arial" w:cs="Arial"/>
          <w:sz w:val="20"/>
          <w:szCs w:val="20"/>
        </w:rPr>
        <w:t>a specified warning statement.</w:t>
      </w:r>
    </w:p>
    <w:p w:rsidR="00B769F8" w:rsidRPr="00CD58E4" w:rsidRDefault="00B769F8" w:rsidP="00CD58E4">
      <w:pPr>
        <w:pStyle w:val="a3"/>
        <w:rPr>
          <w:rFonts w:ascii="Arial" w:hAnsi="Arial" w:cs="Arial"/>
          <w:sz w:val="20"/>
          <w:szCs w:val="20"/>
        </w:rPr>
      </w:pPr>
    </w:p>
    <w:p w:rsidR="00F932FA" w:rsidRPr="00CD58E4" w:rsidRDefault="00F932FA" w:rsidP="00F932FA">
      <w:pPr>
        <w:rPr>
          <w:rFonts w:ascii="Arial" w:hAnsi="Arial" w:cs="Arial"/>
          <w:sz w:val="20"/>
          <w:szCs w:val="20"/>
        </w:rPr>
      </w:pPr>
      <w:r w:rsidRPr="00CD58E4">
        <w:rPr>
          <w:rFonts w:ascii="Arial" w:hAnsi="Arial" w:cs="Arial"/>
          <w:color w:val="FF0000"/>
          <w:sz w:val="20"/>
          <w:szCs w:val="20"/>
        </w:rPr>
        <w:t>Post-IPO Lock-ups</w:t>
      </w:r>
    </w:p>
    <w:p w:rsidR="00F932FA" w:rsidRPr="00CD58E4" w:rsidRDefault="00F932FA" w:rsidP="00F932FA">
      <w:pPr>
        <w:rPr>
          <w:rFonts w:ascii="Arial" w:hAnsi="Arial" w:cs="Arial"/>
          <w:sz w:val="20"/>
          <w:szCs w:val="20"/>
        </w:rPr>
      </w:pPr>
      <w:r w:rsidRPr="00CD58E4">
        <w:rPr>
          <w:rFonts w:ascii="Arial" w:hAnsi="Arial" w:cs="Arial"/>
          <w:sz w:val="20"/>
          <w:szCs w:val="20"/>
        </w:rPr>
        <w:t>The proposed listing regime will impose post-IPO lock-ups on:</w:t>
      </w:r>
    </w:p>
    <w:p w:rsidR="00F932FA" w:rsidRPr="00CD58E4" w:rsidRDefault="00F932FA" w:rsidP="00CD58E4">
      <w:pPr>
        <w:pStyle w:val="a3"/>
        <w:numPr>
          <w:ilvl w:val="0"/>
          <w:numId w:val="17"/>
        </w:numPr>
        <w:rPr>
          <w:rFonts w:ascii="Arial" w:hAnsi="Arial" w:cs="Arial"/>
          <w:sz w:val="20"/>
          <w:szCs w:val="20"/>
        </w:rPr>
      </w:pPr>
      <w:r w:rsidRPr="00CD58E4">
        <w:rPr>
          <w:rFonts w:ascii="Arial" w:hAnsi="Arial" w:cs="Arial"/>
          <w:sz w:val="20"/>
          <w:szCs w:val="20"/>
        </w:rPr>
        <w:t>controlling shareholders;</w:t>
      </w:r>
    </w:p>
    <w:p w:rsidR="00F932FA" w:rsidRPr="00CD58E4" w:rsidRDefault="00F932FA" w:rsidP="00CD58E4">
      <w:pPr>
        <w:pStyle w:val="a3"/>
        <w:numPr>
          <w:ilvl w:val="0"/>
          <w:numId w:val="17"/>
        </w:numPr>
        <w:rPr>
          <w:rFonts w:ascii="Arial" w:hAnsi="Arial" w:cs="Arial"/>
          <w:sz w:val="20"/>
          <w:szCs w:val="20"/>
        </w:rPr>
      </w:pPr>
      <w:r w:rsidRPr="00CD58E4">
        <w:rPr>
          <w:rFonts w:ascii="Arial" w:hAnsi="Arial" w:cs="Arial"/>
          <w:sz w:val="20"/>
          <w:szCs w:val="20"/>
        </w:rPr>
        <w:t>key persons (including the founders, the beneficiaries of weighted voting rights, executive directors and senior management, and key personnel responsible for the technical operations and/or R&amp;D of the Specialist Technology Company) (Key Persons); and</w:t>
      </w:r>
    </w:p>
    <w:p w:rsidR="00F932FA" w:rsidRPr="00CD58E4" w:rsidRDefault="00F932FA" w:rsidP="00CD58E4">
      <w:pPr>
        <w:pStyle w:val="a3"/>
        <w:numPr>
          <w:ilvl w:val="0"/>
          <w:numId w:val="17"/>
        </w:numPr>
        <w:rPr>
          <w:rFonts w:ascii="Arial" w:hAnsi="Arial" w:cs="Arial"/>
          <w:sz w:val="20"/>
          <w:szCs w:val="20"/>
        </w:rPr>
      </w:pPr>
      <w:r w:rsidRPr="00CD58E4">
        <w:rPr>
          <w:rFonts w:ascii="Arial" w:hAnsi="Arial" w:cs="Arial"/>
          <w:sz w:val="20"/>
          <w:szCs w:val="20"/>
        </w:rPr>
        <w:t>the Pathfinder SIIs.</w:t>
      </w:r>
    </w:p>
    <w:p w:rsidR="00035706" w:rsidRDefault="003E74E0" w:rsidP="00CD58E4">
      <w:pPr>
        <w:pStyle w:val="ab"/>
        <w:shd w:val="clear" w:color="auto" w:fill="FFFFFF"/>
        <w:spacing w:before="0" w:beforeAutospacing="0" w:after="0" w:afterAutospacing="0"/>
        <w:jc w:val="both"/>
        <w:textAlignment w:val="baseline"/>
        <w:rPr>
          <w:rFonts w:ascii="Arial" w:hAnsi="Arial" w:cs="Arial"/>
          <w:color w:val="2B2B2B"/>
          <w:sz w:val="20"/>
          <w:szCs w:val="20"/>
        </w:rPr>
      </w:pPr>
      <w:r w:rsidRPr="00CD58E4">
        <w:rPr>
          <w:rFonts w:ascii="Arial" w:hAnsi="Arial" w:cs="Arial"/>
          <w:color w:val="2B2B2B"/>
          <w:sz w:val="20"/>
          <w:szCs w:val="20"/>
        </w:rPr>
        <w:t>It is proposed that:</w:t>
      </w:r>
    </w:p>
    <w:p w:rsidR="00035706" w:rsidRPr="00CD58E4" w:rsidRDefault="00035706" w:rsidP="00CD58E4">
      <w:pPr>
        <w:pStyle w:val="ab"/>
        <w:shd w:val="clear" w:color="auto" w:fill="FFFFFF"/>
        <w:spacing w:before="0" w:beforeAutospacing="0" w:after="0" w:afterAutospacing="0"/>
        <w:jc w:val="both"/>
        <w:textAlignment w:val="baseline"/>
        <w:rPr>
          <w:rFonts w:ascii="Arial" w:hAnsi="Arial" w:cs="Arial"/>
          <w:color w:val="2B2B2B"/>
          <w:sz w:val="20"/>
          <w:szCs w:val="20"/>
        </w:rPr>
      </w:pPr>
    </w:p>
    <w:p w:rsidR="003E74E0" w:rsidRPr="00CD58E4" w:rsidRDefault="003E74E0" w:rsidP="00CD58E4">
      <w:pPr>
        <w:pStyle w:val="a3"/>
        <w:numPr>
          <w:ilvl w:val="0"/>
          <w:numId w:val="22"/>
        </w:numPr>
        <w:spacing w:after="150" w:line="240" w:lineRule="auto"/>
        <w:jc w:val="both"/>
        <w:textAlignment w:val="baseline"/>
        <w:rPr>
          <w:rFonts w:ascii="Arial" w:hAnsi="Arial" w:cs="Arial"/>
          <w:color w:val="2B2B2B"/>
          <w:sz w:val="20"/>
          <w:szCs w:val="20"/>
        </w:rPr>
      </w:pPr>
      <w:r w:rsidRPr="00CD58E4">
        <w:rPr>
          <w:rFonts w:ascii="Arial" w:hAnsi="Arial" w:cs="Arial" w:hint="eastAsia"/>
          <w:color w:val="2B2B2B"/>
          <w:sz w:val="20"/>
          <w:szCs w:val="20"/>
        </w:rPr>
        <w:t>Controlling shareholders of a Commercial Company will be subject to a 12-month lock-up period, while the controlling shareholders of a Pre-Commercial Company will be subject to a 24-month lock-up period;</w:t>
      </w:r>
    </w:p>
    <w:p w:rsidR="003E74E0" w:rsidRPr="00CD58E4" w:rsidRDefault="003E74E0" w:rsidP="00CD58E4">
      <w:pPr>
        <w:pStyle w:val="a3"/>
        <w:numPr>
          <w:ilvl w:val="0"/>
          <w:numId w:val="22"/>
        </w:numPr>
        <w:spacing w:after="150" w:line="240" w:lineRule="auto"/>
        <w:jc w:val="both"/>
        <w:textAlignment w:val="baseline"/>
        <w:rPr>
          <w:rFonts w:ascii="Arial" w:hAnsi="Arial" w:cs="Arial"/>
          <w:color w:val="2B2B2B"/>
          <w:sz w:val="20"/>
          <w:szCs w:val="20"/>
        </w:rPr>
      </w:pPr>
      <w:r w:rsidRPr="00CD58E4">
        <w:rPr>
          <w:rFonts w:ascii="Arial" w:hAnsi="Arial" w:cs="Arial" w:hint="eastAsia"/>
          <w:color w:val="2B2B2B"/>
          <w:sz w:val="20"/>
          <w:szCs w:val="20"/>
        </w:rPr>
        <w:t>Key Persons of a Commercial Company and their associates will be subject to a 12-month lock-up period, while Key Persons of a Pre-Commercial Company will be subjec</w:t>
      </w:r>
      <w:r w:rsidR="00035706">
        <w:rPr>
          <w:rFonts w:ascii="Arial" w:hAnsi="Arial" w:cs="Arial"/>
          <w:color w:val="2B2B2B"/>
          <w:sz w:val="20"/>
          <w:szCs w:val="20"/>
        </w:rPr>
        <w:t xml:space="preserve">t to a 24-month lock-up period; and </w:t>
      </w:r>
    </w:p>
    <w:p w:rsidR="008A2139" w:rsidRPr="00CD58E4" w:rsidRDefault="003E74E0" w:rsidP="00CD58E4">
      <w:pPr>
        <w:pStyle w:val="a3"/>
        <w:numPr>
          <w:ilvl w:val="0"/>
          <w:numId w:val="22"/>
        </w:numPr>
        <w:spacing w:after="150" w:line="240" w:lineRule="auto"/>
        <w:jc w:val="both"/>
        <w:textAlignment w:val="baseline"/>
        <w:rPr>
          <w:rFonts w:ascii="Arial" w:hAnsi="Arial" w:cs="Arial"/>
          <w:color w:val="2B2B2B"/>
          <w:sz w:val="20"/>
          <w:szCs w:val="20"/>
        </w:rPr>
      </w:pPr>
      <w:r w:rsidRPr="00CD58E4">
        <w:rPr>
          <w:rFonts w:ascii="Arial" w:hAnsi="Arial" w:cs="Arial" w:hint="eastAsia"/>
          <w:color w:val="2B2B2B"/>
          <w:sz w:val="20"/>
          <w:szCs w:val="20"/>
        </w:rPr>
        <w:t>Pathfinder SIIs will be subject to a 6-month lock-up period (for a Commercial Company) or a 12-month lock-up period (for a Pre-Commercial Company).</w:t>
      </w:r>
    </w:p>
    <w:p w:rsidR="00A97E4E" w:rsidRPr="00CD58E4" w:rsidRDefault="00A97E4E" w:rsidP="00A97E4E">
      <w:pPr>
        <w:rPr>
          <w:rFonts w:ascii="Arial" w:hAnsi="Arial" w:cs="Arial"/>
          <w:color w:val="FF0000"/>
          <w:sz w:val="20"/>
          <w:szCs w:val="20"/>
        </w:rPr>
      </w:pPr>
      <w:r w:rsidRPr="00CD58E4">
        <w:rPr>
          <w:rFonts w:ascii="Arial" w:hAnsi="Arial" w:cs="Arial"/>
          <w:color w:val="FF0000"/>
          <w:sz w:val="20"/>
          <w:szCs w:val="20"/>
        </w:rPr>
        <w:t>Listing Applications and Enquiries</w:t>
      </w:r>
    </w:p>
    <w:p w:rsidR="004F57CF" w:rsidRPr="00CD58E4" w:rsidRDefault="00F03AA3" w:rsidP="00CD58E4">
      <w:pPr>
        <w:rPr>
          <w:rFonts w:ascii="Arial" w:hAnsi="Arial" w:cs="Arial"/>
          <w:sz w:val="20"/>
          <w:szCs w:val="20"/>
        </w:rPr>
      </w:pPr>
      <w:r w:rsidRPr="00CD58E4">
        <w:rPr>
          <w:rFonts w:ascii="Arial" w:hAnsi="Arial" w:cs="Arial"/>
          <w:sz w:val="20"/>
          <w:szCs w:val="20"/>
        </w:rPr>
        <w:t xml:space="preserve">Specialist Technology Companies and their respective sponsors may now submit official pre-IPO </w:t>
      </w:r>
      <w:r w:rsidR="00ED32E2" w:rsidRPr="00CD58E4">
        <w:rPr>
          <w:rFonts w:ascii="Arial" w:hAnsi="Arial" w:cs="Arial"/>
          <w:sz w:val="20"/>
          <w:szCs w:val="20"/>
        </w:rPr>
        <w:t>e</w:t>
      </w:r>
      <w:r w:rsidRPr="00CD58E4">
        <w:rPr>
          <w:rFonts w:ascii="Arial" w:hAnsi="Arial" w:cs="Arial"/>
          <w:sz w:val="20"/>
          <w:szCs w:val="20"/>
        </w:rPr>
        <w:t xml:space="preserve">nquiries </w:t>
      </w:r>
      <w:r w:rsidR="009608BF" w:rsidRPr="00CD58E4">
        <w:rPr>
          <w:rFonts w:ascii="Arial" w:hAnsi="Arial" w:cs="Arial"/>
          <w:sz w:val="20"/>
          <w:szCs w:val="20"/>
        </w:rPr>
        <w:t>in relation to</w:t>
      </w:r>
      <w:r w:rsidRPr="00CD58E4">
        <w:rPr>
          <w:rFonts w:ascii="Arial" w:hAnsi="Arial" w:cs="Arial"/>
          <w:sz w:val="20"/>
          <w:szCs w:val="20"/>
        </w:rPr>
        <w:t xml:space="preserve"> the interpretation of the Rules and </w:t>
      </w:r>
      <w:r w:rsidR="003D144E" w:rsidRPr="00CD58E4">
        <w:rPr>
          <w:rFonts w:ascii="Arial" w:hAnsi="Arial" w:cs="Arial"/>
          <w:sz w:val="20"/>
          <w:szCs w:val="20"/>
        </w:rPr>
        <w:t>their application to the prospecti</w:t>
      </w:r>
      <w:r w:rsidR="00E73BA5" w:rsidRPr="00CD58E4">
        <w:rPr>
          <w:rFonts w:ascii="Arial" w:hAnsi="Arial" w:cs="Arial"/>
          <w:sz w:val="20"/>
          <w:szCs w:val="20"/>
        </w:rPr>
        <w:t>ve listing applicant’</w:t>
      </w:r>
      <w:r w:rsidR="003D144E" w:rsidRPr="00CD58E4">
        <w:rPr>
          <w:rFonts w:ascii="Arial" w:hAnsi="Arial" w:cs="Arial"/>
          <w:sz w:val="20"/>
          <w:szCs w:val="20"/>
        </w:rPr>
        <w:t>s circumstances</w:t>
      </w:r>
      <w:r w:rsidRPr="00CD58E4">
        <w:rPr>
          <w:rFonts w:ascii="Arial" w:hAnsi="Arial" w:cs="Arial"/>
          <w:sz w:val="20"/>
          <w:szCs w:val="20"/>
        </w:rPr>
        <w:t xml:space="preserve">. Formal applications for listing under the new </w:t>
      </w:r>
      <w:r w:rsidR="003D144E" w:rsidRPr="00CD58E4">
        <w:rPr>
          <w:rFonts w:ascii="Arial" w:hAnsi="Arial" w:cs="Arial"/>
          <w:sz w:val="20"/>
          <w:szCs w:val="20"/>
        </w:rPr>
        <w:t xml:space="preserve">regime </w:t>
      </w:r>
      <w:r w:rsidRPr="00CD58E4">
        <w:rPr>
          <w:rFonts w:ascii="Arial" w:hAnsi="Arial" w:cs="Arial"/>
          <w:sz w:val="20"/>
          <w:szCs w:val="20"/>
        </w:rPr>
        <w:t xml:space="preserve">will be accepted on or after </w:t>
      </w:r>
      <w:r w:rsidR="007A47FA" w:rsidRPr="00CD58E4">
        <w:rPr>
          <w:rFonts w:ascii="Arial" w:hAnsi="Arial" w:cs="Arial"/>
          <w:sz w:val="20"/>
          <w:szCs w:val="20"/>
        </w:rPr>
        <w:t>31 March</w:t>
      </w:r>
      <w:r w:rsidRPr="00CD58E4">
        <w:rPr>
          <w:rFonts w:ascii="Arial" w:hAnsi="Arial" w:cs="Arial"/>
          <w:sz w:val="20"/>
          <w:szCs w:val="20"/>
        </w:rPr>
        <w:t xml:space="preserve"> 2023. </w:t>
      </w:r>
      <w:r w:rsidR="00A97E4E" w:rsidRPr="00CD58E4">
        <w:rPr>
          <w:rFonts w:ascii="Arial" w:hAnsi="Arial" w:cs="Arial"/>
          <w:sz w:val="20"/>
          <w:szCs w:val="20"/>
        </w:rPr>
        <w:t xml:space="preserve"> </w:t>
      </w:r>
    </w:p>
    <w:p w:rsidR="00661975" w:rsidRPr="00A41F57" w:rsidRDefault="00A5671F" w:rsidP="00661975">
      <w:pPr>
        <w:pStyle w:val="DisclaimerBold"/>
        <w:numPr>
          <w:ilvl w:val="0"/>
          <w:numId w:val="23"/>
        </w:numPr>
        <w:rPr>
          <w:rFonts w:ascii="Helvetica" w:hAnsi="Helvetica"/>
        </w:rPr>
      </w:pPr>
      <w:r w:rsidRPr="00CD58E4">
        <w:rPr>
          <w:rFonts w:ascii="Arial" w:hAnsi="Arial" w:cs="Arial"/>
          <w:sz w:val="20"/>
          <w:szCs w:val="20"/>
        </w:rPr>
        <w:t xml:space="preserve"> </w:t>
      </w:r>
      <w:r w:rsidR="00661975" w:rsidRPr="00F05494">
        <w:rPr>
          <w:rFonts w:ascii="Helvetica" w:hAnsi="Helvetica"/>
        </w:rPr>
        <w:t>This newsletter is for information purposes only.</w:t>
      </w:r>
    </w:p>
    <w:p w:rsidR="00661975" w:rsidRPr="00F05494" w:rsidRDefault="00661975" w:rsidP="00661975">
      <w:pPr>
        <w:pStyle w:val="Disclaimer"/>
        <w:numPr>
          <w:ilvl w:val="0"/>
          <w:numId w:val="23"/>
        </w:numPr>
        <w:rPr>
          <w:rFonts w:ascii="Helvetica" w:hAnsi="Helvetica"/>
        </w:rPr>
      </w:pPr>
      <w:r w:rsidRPr="00F05494">
        <w:rPr>
          <w:rFonts w:ascii="Helvetica" w:hAnsi="Helvetica"/>
        </w:rPr>
        <w:t>Its contents do not constitute legal advice and it should not be regarded as a substitute for detailed advice in individual cases.</w:t>
      </w:r>
    </w:p>
    <w:p w:rsidR="00661975" w:rsidRPr="00F05494" w:rsidRDefault="00661975" w:rsidP="00661975">
      <w:pPr>
        <w:pStyle w:val="Disclaimer"/>
        <w:numPr>
          <w:ilvl w:val="0"/>
          <w:numId w:val="23"/>
        </w:numP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661975" w:rsidRPr="00F05494" w:rsidRDefault="00661975" w:rsidP="00661975">
      <w:pPr>
        <w:pStyle w:val="Disclaimer"/>
        <w:numPr>
          <w:ilvl w:val="0"/>
          <w:numId w:val="23"/>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661975" w:rsidRPr="00F05494" w:rsidRDefault="00661975" w:rsidP="00661975">
      <w:pPr>
        <w:pStyle w:val="Disclaimer"/>
        <w:numPr>
          <w:ilvl w:val="0"/>
          <w:numId w:val="23"/>
        </w:numP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2">
        <w:r w:rsidRPr="00F05494">
          <w:rPr>
            <w:rFonts w:ascii="Helvetica" w:hAnsi="Helvetica"/>
          </w:rPr>
          <w:t>unsubscribe@charltonslaw.com</w:t>
        </w:r>
      </w:hyperlink>
    </w:p>
    <w:p w:rsidR="00661975" w:rsidRPr="008524CA" w:rsidRDefault="00661975" w:rsidP="00661975">
      <w:pPr>
        <w:pStyle w:val="BlackStrips"/>
        <w:numPr>
          <w:ilvl w:val="0"/>
          <w:numId w:val="23"/>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sidRPr="00EF4020">
        <w:rPr>
          <w:rFonts w:ascii="Helvetica" w:hAnsi="Helvetica"/>
        </w:rPr>
        <w:t>2</w:t>
      </w:r>
      <w:r>
        <w:rPr>
          <w:rFonts w:ascii="Helvetica" w:hAnsi="Helvetica"/>
        </w:rPr>
        <w:t>7</w:t>
      </w:r>
      <w:r w:rsidRPr="00F05494">
        <w:rPr>
          <w:rFonts w:ascii="Helvetica" w:hAnsi="Helvetica"/>
        </w:rPr>
        <w:t xml:space="preserve"> </w:t>
      </w:r>
      <w:r>
        <w:rPr>
          <w:rFonts w:ascii="Helvetica" w:hAnsi="Helvetica"/>
        </w:rPr>
        <w:t>March</w:t>
      </w:r>
      <w:r w:rsidRPr="00F05494">
        <w:rPr>
          <w:rFonts w:ascii="Helvetica" w:hAnsi="Helvetica"/>
        </w:rPr>
        <w:t xml:space="preserve"> 202</w:t>
      </w:r>
      <w:r w:rsidRPr="008524CA">
        <w:rPr>
          <w:rFonts w:ascii="Helvetica" w:hAnsi="Helvetica"/>
        </w:rPr>
        <w:t>3</w:t>
      </w:r>
    </w:p>
    <w:p w:rsidR="009672BD" w:rsidRPr="00CD58E4" w:rsidRDefault="009672BD" w:rsidP="00CD58E4">
      <w:pPr>
        <w:rPr>
          <w:rFonts w:ascii="Arial" w:hAnsi="Arial" w:cs="Arial"/>
          <w:sz w:val="20"/>
          <w:szCs w:val="20"/>
        </w:rPr>
      </w:pPr>
    </w:p>
    <w:p w:rsidR="00D14786" w:rsidRPr="00CD58E4" w:rsidRDefault="00D14786" w:rsidP="00CD58E4">
      <w:pPr>
        <w:rPr>
          <w:rFonts w:ascii="Arial" w:hAnsi="Arial" w:cs="Arial"/>
          <w:sz w:val="20"/>
          <w:szCs w:val="20"/>
        </w:rPr>
      </w:pPr>
    </w:p>
    <w:p w:rsidR="00D14786" w:rsidRPr="00CD58E4" w:rsidRDefault="00D14786" w:rsidP="00CD58E4">
      <w:pPr>
        <w:rPr>
          <w:rFonts w:ascii="Arial" w:hAnsi="Arial" w:cs="Arial"/>
          <w:sz w:val="20"/>
          <w:szCs w:val="20"/>
        </w:rPr>
      </w:pPr>
    </w:p>
    <w:p w:rsidR="00E62BDE" w:rsidRPr="00CD58E4" w:rsidRDefault="00E62BDE" w:rsidP="00A97E4E">
      <w:pPr>
        <w:rPr>
          <w:rFonts w:ascii="Arial" w:hAnsi="Arial" w:cs="Arial"/>
          <w:sz w:val="20"/>
          <w:szCs w:val="20"/>
        </w:rPr>
      </w:pPr>
    </w:p>
    <w:sectPr w:rsidR="00E62BDE" w:rsidRPr="00CD58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5231" w:rsidRDefault="00A45231" w:rsidP="008E28FC">
      <w:pPr>
        <w:spacing w:after="0" w:line="240" w:lineRule="auto"/>
      </w:pPr>
      <w:r>
        <w:separator/>
      </w:r>
    </w:p>
  </w:endnote>
  <w:endnote w:type="continuationSeparator" w:id="0">
    <w:p w:rsidR="00A45231" w:rsidRDefault="00A45231" w:rsidP="008E2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5231" w:rsidRDefault="00A45231" w:rsidP="008E28FC">
      <w:pPr>
        <w:spacing w:after="0" w:line="240" w:lineRule="auto"/>
      </w:pPr>
      <w:r>
        <w:separator/>
      </w:r>
    </w:p>
  </w:footnote>
  <w:footnote w:type="continuationSeparator" w:id="0">
    <w:p w:rsidR="00A45231" w:rsidRDefault="00A45231" w:rsidP="008E28FC">
      <w:pPr>
        <w:spacing w:after="0" w:line="240" w:lineRule="auto"/>
      </w:pPr>
      <w:r>
        <w:continuationSeparator/>
      </w:r>
    </w:p>
  </w:footnote>
  <w:footnote w:id="1">
    <w:p w:rsidR="00444655" w:rsidRDefault="00444655">
      <w:pPr>
        <w:pStyle w:val="a4"/>
      </w:pPr>
      <w:r>
        <w:rPr>
          <w:rStyle w:val="a6"/>
        </w:rPr>
        <w:footnoteRef/>
      </w:r>
      <w:r>
        <w:t xml:space="preserve"> </w:t>
      </w:r>
      <w:r w:rsidRPr="00444655">
        <w:t>The R&amp;D expenditure ratio is calculated as the total amount of an applicant’s expenditure on the R&amp;D of its Specialist Technology Product(s) incurred for the relevant period, divided by its total operating expenditure for the same period.</w:t>
      </w:r>
    </w:p>
  </w:footnote>
  <w:footnote w:id="2">
    <w:p w:rsidR="00A5671F" w:rsidRDefault="00A5671F" w:rsidP="00A5671F">
      <w:pPr>
        <w:pStyle w:val="a4"/>
      </w:pPr>
      <w:r>
        <w:rPr>
          <w:rStyle w:val="a6"/>
        </w:rPr>
        <w:footnoteRef/>
      </w:r>
      <w:r>
        <w:t xml:space="preserve"> </w:t>
      </w:r>
      <w:r w:rsidRPr="001146FC">
        <w:t>Independent Price Setting Investors</w:t>
      </w:r>
      <w:r>
        <w:t xml:space="preserve"> include independent Institutional Professional Investors (as contemplated in the Consultation Paper) and other types of independent investors with AUM, fund size, or investment portfolio size of at least HK$1 billion.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B48"/>
    <w:multiLevelType w:val="hybridMultilevel"/>
    <w:tmpl w:val="1138F2E4"/>
    <w:lvl w:ilvl="0" w:tplc="6B60DA9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7015"/>
    <w:multiLevelType w:val="hybridMultilevel"/>
    <w:tmpl w:val="54D854B6"/>
    <w:lvl w:ilvl="0" w:tplc="6B60DA9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B2BAD"/>
    <w:multiLevelType w:val="hybridMultilevel"/>
    <w:tmpl w:val="E2580DBE"/>
    <w:lvl w:ilvl="0" w:tplc="6B60DA9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60870"/>
    <w:multiLevelType w:val="hybridMultilevel"/>
    <w:tmpl w:val="77CE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D0536"/>
    <w:multiLevelType w:val="hybridMultilevel"/>
    <w:tmpl w:val="22628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105FC"/>
    <w:multiLevelType w:val="hybridMultilevel"/>
    <w:tmpl w:val="3F089990"/>
    <w:lvl w:ilvl="0" w:tplc="07D26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50C57"/>
    <w:multiLevelType w:val="hybridMultilevel"/>
    <w:tmpl w:val="0EA660BE"/>
    <w:lvl w:ilvl="0" w:tplc="6B60DA9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407A8"/>
    <w:multiLevelType w:val="hybridMultilevel"/>
    <w:tmpl w:val="95963D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D6D7D"/>
    <w:multiLevelType w:val="hybridMultilevel"/>
    <w:tmpl w:val="2D9A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82C66"/>
    <w:multiLevelType w:val="multilevel"/>
    <w:tmpl w:val="F832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76044D"/>
    <w:multiLevelType w:val="hybridMultilevel"/>
    <w:tmpl w:val="34D6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E0939"/>
    <w:multiLevelType w:val="hybridMultilevel"/>
    <w:tmpl w:val="1362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00F86"/>
    <w:multiLevelType w:val="hybridMultilevel"/>
    <w:tmpl w:val="78A0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E3F9B"/>
    <w:multiLevelType w:val="hybridMultilevel"/>
    <w:tmpl w:val="996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6C08CE"/>
    <w:multiLevelType w:val="multilevel"/>
    <w:tmpl w:val="DB5E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AD439A"/>
    <w:multiLevelType w:val="hybridMultilevel"/>
    <w:tmpl w:val="85102F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BE3572"/>
    <w:multiLevelType w:val="hybridMultilevel"/>
    <w:tmpl w:val="544A0014"/>
    <w:lvl w:ilvl="0" w:tplc="6B60DA9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74271"/>
    <w:multiLevelType w:val="hybridMultilevel"/>
    <w:tmpl w:val="66FE88D2"/>
    <w:lvl w:ilvl="0" w:tplc="6B60DA9A">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FC0CA7"/>
    <w:multiLevelType w:val="hybridMultilevel"/>
    <w:tmpl w:val="BF3E50AE"/>
    <w:lvl w:ilvl="0" w:tplc="0409000F">
      <w:start w:val="1"/>
      <w:numFmt w:val="decimal"/>
      <w:lvlText w:val="%1."/>
      <w:lvlJc w:val="left"/>
      <w:pPr>
        <w:ind w:left="360" w:hanging="360"/>
      </w:pPr>
      <w:rPr>
        <w:rFonts w:hint="default"/>
      </w:rPr>
    </w:lvl>
    <w:lvl w:ilvl="1" w:tplc="A84CDE7E">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511E8E"/>
    <w:multiLevelType w:val="hybridMultilevel"/>
    <w:tmpl w:val="AB72C8FE"/>
    <w:lvl w:ilvl="0" w:tplc="6B60DA9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03743"/>
    <w:multiLevelType w:val="hybridMultilevel"/>
    <w:tmpl w:val="79EA67A2"/>
    <w:lvl w:ilvl="0" w:tplc="6B60DA9A">
      <w:numFmt w:val="bullet"/>
      <w:lvlText w:val="•"/>
      <w:lvlJc w:val="left"/>
      <w:pPr>
        <w:ind w:left="720" w:hanging="360"/>
      </w:pPr>
      <w:rPr>
        <w:rFonts w:ascii="Calibri" w:eastAsiaTheme="minorEastAsia" w:hAnsi="Calibri" w:cs="Calibri" w:hint="default"/>
      </w:rPr>
    </w:lvl>
    <w:lvl w:ilvl="1" w:tplc="A84CDE7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9E0ED7"/>
    <w:multiLevelType w:val="hybridMultilevel"/>
    <w:tmpl w:val="1C0C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937876">
    <w:abstractNumId w:val="18"/>
  </w:num>
  <w:num w:numId="2" w16cid:durableId="1940142847">
    <w:abstractNumId w:val="13"/>
  </w:num>
  <w:num w:numId="3" w16cid:durableId="1199733956">
    <w:abstractNumId w:val="4"/>
  </w:num>
  <w:num w:numId="4" w16cid:durableId="588586037">
    <w:abstractNumId w:val="3"/>
  </w:num>
  <w:num w:numId="5" w16cid:durableId="1273632263">
    <w:abstractNumId w:val="8"/>
  </w:num>
  <w:num w:numId="6" w16cid:durableId="1290863131">
    <w:abstractNumId w:val="12"/>
  </w:num>
  <w:num w:numId="7" w16cid:durableId="1922642278">
    <w:abstractNumId w:val="11"/>
  </w:num>
  <w:num w:numId="8" w16cid:durableId="1975601252">
    <w:abstractNumId w:val="2"/>
  </w:num>
  <w:num w:numId="9" w16cid:durableId="1641416554">
    <w:abstractNumId w:val="19"/>
  </w:num>
  <w:num w:numId="10" w16cid:durableId="614408561">
    <w:abstractNumId w:val="1"/>
  </w:num>
  <w:num w:numId="11" w16cid:durableId="416364517">
    <w:abstractNumId w:val="21"/>
  </w:num>
  <w:num w:numId="12" w16cid:durableId="2024015167">
    <w:abstractNumId w:val="6"/>
  </w:num>
  <w:num w:numId="13" w16cid:durableId="477066629">
    <w:abstractNumId w:val="16"/>
  </w:num>
  <w:num w:numId="14" w16cid:durableId="1599213624">
    <w:abstractNumId w:val="7"/>
  </w:num>
  <w:num w:numId="15" w16cid:durableId="1249270100">
    <w:abstractNumId w:val="15"/>
  </w:num>
  <w:num w:numId="16" w16cid:durableId="157890011">
    <w:abstractNumId w:val="17"/>
  </w:num>
  <w:num w:numId="17" w16cid:durableId="71778827">
    <w:abstractNumId w:val="0"/>
  </w:num>
  <w:num w:numId="18" w16cid:durableId="631713932">
    <w:abstractNumId w:val="5"/>
  </w:num>
  <w:num w:numId="19" w16cid:durableId="1976794743">
    <w:abstractNumId w:val="22"/>
  </w:num>
  <w:num w:numId="20" w16cid:durableId="602541907">
    <w:abstractNumId w:val="9"/>
  </w:num>
  <w:num w:numId="21" w16cid:durableId="1407000115">
    <w:abstractNumId w:val="14"/>
  </w:num>
  <w:num w:numId="22" w16cid:durableId="1528719101">
    <w:abstractNumId w:val="10"/>
  </w:num>
  <w:num w:numId="23" w16cid:durableId="16613040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MDM2MzAxNbM0NLRU0lEKTi0uzszPAykwrQUA6q056CwAAAA="/>
  </w:docVars>
  <w:rsids>
    <w:rsidRoot w:val="00201DE5"/>
    <w:rsid w:val="000116DD"/>
    <w:rsid w:val="00033040"/>
    <w:rsid w:val="00035706"/>
    <w:rsid w:val="0009613B"/>
    <w:rsid w:val="000C4FF4"/>
    <w:rsid w:val="00100CD9"/>
    <w:rsid w:val="001146FC"/>
    <w:rsid w:val="00141B03"/>
    <w:rsid w:val="00173366"/>
    <w:rsid w:val="00173E42"/>
    <w:rsid w:val="00195535"/>
    <w:rsid w:val="001A0270"/>
    <w:rsid w:val="001A5B87"/>
    <w:rsid w:val="00200630"/>
    <w:rsid w:val="00201DE5"/>
    <w:rsid w:val="00224E80"/>
    <w:rsid w:val="002B167B"/>
    <w:rsid w:val="002B2881"/>
    <w:rsid w:val="002C4B72"/>
    <w:rsid w:val="003058BE"/>
    <w:rsid w:val="00332E87"/>
    <w:rsid w:val="0036116C"/>
    <w:rsid w:val="003777E5"/>
    <w:rsid w:val="003A026D"/>
    <w:rsid w:val="003A67DD"/>
    <w:rsid w:val="003A6E9A"/>
    <w:rsid w:val="003D144E"/>
    <w:rsid w:val="003E727D"/>
    <w:rsid w:val="003E74E0"/>
    <w:rsid w:val="0040595D"/>
    <w:rsid w:val="00412E72"/>
    <w:rsid w:val="00417308"/>
    <w:rsid w:val="00444655"/>
    <w:rsid w:val="00485625"/>
    <w:rsid w:val="0049533C"/>
    <w:rsid w:val="004C25A5"/>
    <w:rsid w:val="004F57CF"/>
    <w:rsid w:val="005208E4"/>
    <w:rsid w:val="00595487"/>
    <w:rsid w:val="005A0474"/>
    <w:rsid w:val="005E52A8"/>
    <w:rsid w:val="00611D6C"/>
    <w:rsid w:val="00633DE2"/>
    <w:rsid w:val="00661975"/>
    <w:rsid w:val="00671637"/>
    <w:rsid w:val="006B4A8D"/>
    <w:rsid w:val="006F136C"/>
    <w:rsid w:val="00713F0E"/>
    <w:rsid w:val="00714992"/>
    <w:rsid w:val="00724949"/>
    <w:rsid w:val="00742232"/>
    <w:rsid w:val="00743A8B"/>
    <w:rsid w:val="00752A70"/>
    <w:rsid w:val="00783DC3"/>
    <w:rsid w:val="007A47FA"/>
    <w:rsid w:val="007B0578"/>
    <w:rsid w:val="007B3A7B"/>
    <w:rsid w:val="00814064"/>
    <w:rsid w:val="008510B5"/>
    <w:rsid w:val="00851D14"/>
    <w:rsid w:val="00852259"/>
    <w:rsid w:val="008765D0"/>
    <w:rsid w:val="00892A0A"/>
    <w:rsid w:val="008A2139"/>
    <w:rsid w:val="008E28FC"/>
    <w:rsid w:val="008E47A2"/>
    <w:rsid w:val="0095463F"/>
    <w:rsid w:val="009608BF"/>
    <w:rsid w:val="009672BD"/>
    <w:rsid w:val="00980EC3"/>
    <w:rsid w:val="009B78A7"/>
    <w:rsid w:val="00A42C9F"/>
    <w:rsid w:val="00A42D93"/>
    <w:rsid w:val="00A45231"/>
    <w:rsid w:val="00A51114"/>
    <w:rsid w:val="00A5671F"/>
    <w:rsid w:val="00A8509C"/>
    <w:rsid w:val="00A853FE"/>
    <w:rsid w:val="00A8712D"/>
    <w:rsid w:val="00A97E4E"/>
    <w:rsid w:val="00AA046A"/>
    <w:rsid w:val="00AC3418"/>
    <w:rsid w:val="00AE2484"/>
    <w:rsid w:val="00B12B89"/>
    <w:rsid w:val="00B14E58"/>
    <w:rsid w:val="00B321E8"/>
    <w:rsid w:val="00B378E4"/>
    <w:rsid w:val="00B60018"/>
    <w:rsid w:val="00B70E04"/>
    <w:rsid w:val="00B769F8"/>
    <w:rsid w:val="00B92B0E"/>
    <w:rsid w:val="00B95344"/>
    <w:rsid w:val="00BB5FE7"/>
    <w:rsid w:val="00BD3C04"/>
    <w:rsid w:val="00C049E2"/>
    <w:rsid w:val="00C26968"/>
    <w:rsid w:val="00C77414"/>
    <w:rsid w:val="00CA1B48"/>
    <w:rsid w:val="00CC5B96"/>
    <w:rsid w:val="00CD58E4"/>
    <w:rsid w:val="00CE322C"/>
    <w:rsid w:val="00CF3478"/>
    <w:rsid w:val="00D14786"/>
    <w:rsid w:val="00D35A62"/>
    <w:rsid w:val="00D720C5"/>
    <w:rsid w:val="00DA5878"/>
    <w:rsid w:val="00DB3FE6"/>
    <w:rsid w:val="00DF48F8"/>
    <w:rsid w:val="00E62BDE"/>
    <w:rsid w:val="00E66D9A"/>
    <w:rsid w:val="00E73BA5"/>
    <w:rsid w:val="00EC03EC"/>
    <w:rsid w:val="00ED32E2"/>
    <w:rsid w:val="00EE2FC9"/>
    <w:rsid w:val="00EF27AF"/>
    <w:rsid w:val="00F03AA3"/>
    <w:rsid w:val="00F15A7A"/>
    <w:rsid w:val="00F2151F"/>
    <w:rsid w:val="00F726E1"/>
    <w:rsid w:val="00F932FA"/>
    <w:rsid w:val="00FB4A09"/>
    <w:rsid w:val="00FD5D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B978A-03DB-45CB-B460-EDAE44A1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8BE"/>
    <w:pPr>
      <w:ind w:left="720"/>
      <w:contextualSpacing/>
    </w:pPr>
  </w:style>
  <w:style w:type="paragraph" w:styleId="a4">
    <w:name w:val="footnote text"/>
    <w:basedOn w:val="a"/>
    <w:link w:val="a5"/>
    <w:uiPriority w:val="99"/>
    <w:semiHidden/>
    <w:unhideWhenUsed/>
    <w:rsid w:val="008E28FC"/>
    <w:pPr>
      <w:spacing w:after="0" w:line="240" w:lineRule="auto"/>
    </w:pPr>
    <w:rPr>
      <w:sz w:val="20"/>
      <w:szCs w:val="20"/>
    </w:rPr>
  </w:style>
  <w:style w:type="character" w:customStyle="1" w:styleId="a5">
    <w:name w:val="Текст сноски Знак"/>
    <w:basedOn w:val="a0"/>
    <w:link w:val="a4"/>
    <w:uiPriority w:val="99"/>
    <w:semiHidden/>
    <w:rsid w:val="008E28FC"/>
    <w:rPr>
      <w:sz w:val="20"/>
      <w:szCs w:val="20"/>
    </w:rPr>
  </w:style>
  <w:style w:type="character" w:styleId="a6">
    <w:name w:val="footnote reference"/>
    <w:basedOn w:val="a0"/>
    <w:uiPriority w:val="99"/>
    <w:semiHidden/>
    <w:unhideWhenUsed/>
    <w:rsid w:val="008E28FC"/>
    <w:rPr>
      <w:vertAlign w:val="superscript"/>
    </w:rPr>
  </w:style>
  <w:style w:type="character" w:styleId="a7">
    <w:name w:val="Hyperlink"/>
    <w:basedOn w:val="a0"/>
    <w:uiPriority w:val="99"/>
    <w:unhideWhenUsed/>
    <w:rsid w:val="00EF27AF"/>
    <w:rPr>
      <w:color w:val="0563C1" w:themeColor="hyperlink"/>
      <w:u w:val="single"/>
    </w:rPr>
  </w:style>
  <w:style w:type="paragraph" w:styleId="a8">
    <w:name w:val="Balloon Text"/>
    <w:basedOn w:val="a"/>
    <w:link w:val="a9"/>
    <w:uiPriority w:val="99"/>
    <w:semiHidden/>
    <w:unhideWhenUsed/>
    <w:rsid w:val="007B057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B0578"/>
    <w:rPr>
      <w:rFonts w:ascii="Segoe UI" w:hAnsi="Segoe UI" w:cs="Segoe UI"/>
      <w:sz w:val="18"/>
      <w:szCs w:val="18"/>
    </w:rPr>
  </w:style>
  <w:style w:type="character" w:styleId="aa">
    <w:name w:val="FollowedHyperlink"/>
    <w:basedOn w:val="a0"/>
    <w:uiPriority w:val="99"/>
    <w:semiHidden/>
    <w:unhideWhenUsed/>
    <w:rsid w:val="00B378E4"/>
    <w:rPr>
      <w:color w:val="954F72" w:themeColor="followedHyperlink"/>
      <w:u w:val="single"/>
    </w:rPr>
  </w:style>
  <w:style w:type="paragraph" w:styleId="ab">
    <w:name w:val="Normal (Web)"/>
    <w:basedOn w:val="a"/>
    <w:uiPriority w:val="99"/>
    <w:semiHidden/>
    <w:unhideWhenUsed/>
    <w:rsid w:val="003E7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a"/>
    <w:rsid w:val="008A21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a"/>
    <w:qFormat/>
    <w:rsid w:val="00661975"/>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661975"/>
    <w:pPr>
      <w:shd w:val="clear" w:color="auto" w:fill="000000"/>
      <w:spacing w:after="200" w:line="240" w:lineRule="auto"/>
      <w:jc w:val="center"/>
    </w:pPr>
    <w:rPr>
      <w:rFonts w:eastAsiaTheme="minorHAnsi"/>
      <w:color w:val="FFFFFF"/>
      <w:sz w:val="24"/>
      <w:szCs w:val="24"/>
      <w:lang w:eastAsia="en-US"/>
    </w:rPr>
  </w:style>
  <w:style w:type="paragraph" w:customStyle="1" w:styleId="DisclaimerBold">
    <w:name w:val="Disclaimer Bold"/>
    <w:basedOn w:val="Disclaimer"/>
    <w:qFormat/>
    <w:rsid w:val="00661975"/>
    <w:pPr>
      <w:jc w:val="left"/>
    </w:pPr>
    <w:rPr>
      <w:b/>
    </w:rPr>
  </w:style>
  <w:style w:type="character" w:styleId="ac">
    <w:name w:val="Unresolved Mention"/>
    <w:basedOn w:val="a0"/>
    <w:uiPriority w:val="99"/>
    <w:semiHidden/>
    <w:unhideWhenUsed/>
    <w:rsid w:val="00671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4619">
      <w:bodyDiv w:val="1"/>
      <w:marLeft w:val="0"/>
      <w:marRight w:val="0"/>
      <w:marTop w:val="0"/>
      <w:marBottom w:val="0"/>
      <w:divBdr>
        <w:top w:val="none" w:sz="0" w:space="0" w:color="auto"/>
        <w:left w:val="none" w:sz="0" w:space="0" w:color="auto"/>
        <w:bottom w:val="none" w:sz="0" w:space="0" w:color="auto"/>
        <w:right w:val="none" w:sz="0" w:space="0" w:color="auto"/>
      </w:divBdr>
    </w:div>
    <w:div w:id="1393194980">
      <w:bodyDiv w:val="1"/>
      <w:marLeft w:val="0"/>
      <w:marRight w:val="0"/>
      <w:marTop w:val="0"/>
      <w:marBottom w:val="0"/>
      <w:divBdr>
        <w:top w:val="none" w:sz="0" w:space="0" w:color="auto"/>
        <w:left w:val="none" w:sz="0" w:space="0" w:color="auto"/>
        <w:bottom w:val="none" w:sz="0" w:space="0" w:color="auto"/>
        <w:right w:val="none" w:sz="0" w:space="0" w:color="auto"/>
      </w:divBdr>
    </w:div>
    <w:div w:id="194526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publishes-consultation-conclusions-on-new-listing-regime-for-specialist-technology-compan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subscribe@charltonslaw.com?subject=unsubscribe%20-Hong%20Kong%20L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ex.com.hk/-/media/HKEX-Market/News/Market-Consultations/2016-Present/October-2022-Specialist-Technology-Co/Conclusions-(Mar-2023)/cp202210cc.pdf" TargetMode="External"/><Relationship Id="rId5" Type="http://schemas.openxmlformats.org/officeDocument/2006/relationships/webSettings" Target="webSettings.xml"/><Relationship Id="rId10" Type="http://schemas.openxmlformats.org/officeDocument/2006/relationships/hyperlink" Target="https://www.charltonslaw.com/hkex-consults-on-new-listing-regime-for-specialist-technology-companies/" TargetMode="External"/><Relationship Id="rId4" Type="http://schemas.openxmlformats.org/officeDocument/2006/relationships/settings" Target="settings.xml"/><Relationship Id="rId9" Type="http://schemas.openxmlformats.org/officeDocument/2006/relationships/hyperlink" Target="https://www.hkex.com.hk/-/media/HKEX-Market/News/Market-Consultations/2016-Present/October-2022-Specialist-Technology-Co/Conclusions-(Mar-2023)/cp202210c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077A4-A0EA-49F5-A62F-DF1E54B9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Tuen</dc:creator>
  <cp:keywords/>
  <dc:description/>
  <cp:lastModifiedBy>Александр Пирогов</cp:lastModifiedBy>
  <cp:revision>6</cp:revision>
  <cp:lastPrinted>2023-03-25T03:22:00Z</cp:lastPrinted>
  <dcterms:created xsi:type="dcterms:W3CDTF">2023-03-25T04:12:00Z</dcterms:created>
  <dcterms:modified xsi:type="dcterms:W3CDTF">2023-03-27T08:56:00Z</dcterms:modified>
</cp:coreProperties>
</file>