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90F" w:rsidRPr="008524CA" w:rsidRDefault="002D190F" w:rsidP="002D190F">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sidR="008C479F">
        <w:rPr>
          <w:rFonts w:ascii="Cambria" w:eastAsia="Cambria" w:hAnsi="Cambria" w:cs="Times New Roman"/>
          <w:color w:val="FFFFFF"/>
          <w:sz w:val="24"/>
          <w:szCs w:val="24"/>
        </w:rPr>
        <w:t>20</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February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2D190F" w:rsidRPr="002D190F" w:rsidRDefault="00000000" w:rsidP="002D190F">
      <w:pPr>
        <w:spacing w:after="200"/>
        <w:jc w:val="center"/>
        <w:rPr>
          <w:rFonts w:ascii="Cambria" w:eastAsia="Cambria" w:hAnsi="Cambria" w:cs="Times New Roman"/>
          <w:color w:val="00000A"/>
          <w:sz w:val="28"/>
          <w:szCs w:val="24"/>
          <w:u w:val="single"/>
        </w:rPr>
      </w:pPr>
      <w:hyperlink r:id="rId8" w:history="1">
        <w:r w:rsidR="002D190F" w:rsidRPr="00365171">
          <w:rPr>
            <w:rStyle w:val="a3"/>
            <w:rFonts w:ascii="Cambria" w:eastAsia="Cambria" w:hAnsi="Cambria"/>
            <w:sz w:val="28"/>
            <w:szCs w:val="24"/>
          </w:rPr>
          <w:t>online version</w:t>
        </w:r>
      </w:hyperlink>
    </w:p>
    <w:p w:rsidR="004A6F2A" w:rsidRPr="00D47AD0" w:rsidRDefault="003C4732" w:rsidP="001E490B">
      <w:pPr>
        <w:jc w:val="center"/>
        <w:rPr>
          <w:rFonts w:ascii="Arial" w:hAnsi="Arial" w:cs="Arial"/>
          <w:b/>
          <w:color w:val="FF0000"/>
          <w:sz w:val="20"/>
          <w:szCs w:val="20"/>
        </w:rPr>
      </w:pPr>
      <w:proofErr w:type="spellStart"/>
      <w:r w:rsidRPr="00D47AD0">
        <w:rPr>
          <w:rFonts w:ascii="Arial" w:hAnsi="Arial" w:cs="Arial"/>
          <w:b/>
          <w:color w:val="FF0000"/>
          <w:sz w:val="20"/>
          <w:szCs w:val="20"/>
        </w:rPr>
        <w:t>HKEx</w:t>
      </w:r>
      <w:proofErr w:type="spellEnd"/>
      <w:r w:rsidRPr="00D47AD0">
        <w:rPr>
          <w:rFonts w:ascii="Arial" w:hAnsi="Arial" w:cs="Arial"/>
          <w:b/>
          <w:color w:val="FF0000"/>
          <w:sz w:val="20"/>
          <w:szCs w:val="20"/>
        </w:rPr>
        <w:t xml:space="preserve"> </w:t>
      </w:r>
      <w:r w:rsidR="001E490B">
        <w:rPr>
          <w:rFonts w:ascii="Arial" w:hAnsi="Arial" w:cs="Arial"/>
          <w:b/>
          <w:color w:val="FF0000"/>
          <w:sz w:val="20"/>
          <w:szCs w:val="20"/>
        </w:rPr>
        <w:t>Issues 7</w:t>
      </w:r>
      <w:r w:rsidR="001E490B" w:rsidRPr="001E490B">
        <w:rPr>
          <w:rFonts w:ascii="Arial" w:hAnsi="Arial" w:cs="Arial"/>
          <w:b/>
          <w:color w:val="FF0000"/>
          <w:sz w:val="20"/>
          <w:szCs w:val="20"/>
          <w:vertAlign w:val="superscript"/>
        </w:rPr>
        <w:t>th</w:t>
      </w:r>
      <w:r w:rsidR="001E490B">
        <w:rPr>
          <w:rFonts w:ascii="Arial" w:hAnsi="Arial" w:cs="Arial"/>
          <w:b/>
          <w:color w:val="FF0000"/>
          <w:sz w:val="20"/>
          <w:szCs w:val="20"/>
        </w:rPr>
        <w:t xml:space="preserve"> </w:t>
      </w:r>
      <w:r w:rsidRPr="00D47AD0">
        <w:rPr>
          <w:rFonts w:ascii="Arial" w:hAnsi="Arial" w:cs="Arial"/>
          <w:b/>
          <w:color w:val="FF0000"/>
          <w:sz w:val="20"/>
          <w:szCs w:val="20"/>
        </w:rPr>
        <w:t>Listed Issuer Regulation Newsletter</w:t>
      </w:r>
    </w:p>
    <w:p w:rsidR="00811512" w:rsidRPr="00D47AD0" w:rsidRDefault="001E490B" w:rsidP="00D47AD0">
      <w:pPr>
        <w:jc w:val="both"/>
        <w:rPr>
          <w:rFonts w:ascii="Arial" w:hAnsi="Arial" w:cs="Arial"/>
          <w:sz w:val="20"/>
          <w:szCs w:val="20"/>
        </w:rPr>
      </w:pPr>
      <w:r>
        <w:rPr>
          <w:rFonts w:ascii="Arial" w:hAnsi="Arial" w:cs="Arial"/>
          <w:sz w:val="20"/>
          <w:szCs w:val="20"/>
        </w:rPr>
        <w:t>T</w:t>
      </w:r>
      <w:r w:rsidR="00CB72F5" w:rsidRPr="00D47AD0">
        <w:rPr>
          <w:rFonts w:ascii="Arial" w:hAnsi="Arial" w:cs="Arial"/>
          <w:sz w:val="20"/>
          <w:szCs w:val="20"/>
        </w:rPr>
        <w:t xml:space="preserve">he Hong Kong </w:t>
      </w:r>
      <w:r>
        <w:rPr>
          <w:rFonts w:ascii="Arial" w:hAnsi="Arial" w:cs="Arial"/>
          <w:sz w:val="20"/>
          <w:szCs w:val="20"/>
        </w:rPr>
        <w:t xml:space="preserve">Stock </w:t>
      </w:r>
      <w:r w:rsidR="00CB72F5" w:rsidRPr="00D47AD0">
        <w:rPr>
          <w:rFonts w:ascii="Arial" w:hAnsi="Arial" w:cs="Arial"/>
          <w:sz w:val="20"/>
          <w:szCs w:val="20"/>
        </w:rPr>
        <w:t>Exchange (</w:t>
      </w:r>
      <w:r w:rsidR="00CB72F5" w:rsidRPr="00D47AD0">
        <w:rPr>
          <w:rFonts w:ascii="Arial" w:hAnsi="Arial" w:cs="Arial"/>
          <w:b/>
          <w:sz w:val="20"/>
          <w:szCs w:val="20"/>
        </w:rPr>
        <w:t>HKEx</w:t>
      </w:r>
      <w:r w:rsidR="00CB72F5" w:rsidRPr="00D47AD0">
        <w:rPr>
          <w:rFonts w:ascii="Arial" w:hAnsi="Arial" w:cs="Arial"/>
          <w:sz w:val="20"/>
          <w:szCs w:val="20"/>
        </w:rPr>
        <w:t xml:space="preserve">) published its </w:t>
      </w:r>
      <w:hyperlink r:id="rId9" w:history="1">
        <w:r w:rsidR="002B6535" w:rsidRPr="00D47AD0">
          <w:rPr>
            <w:rStyle w:val="a3"/>
            <w:rFonts w:ascii="Arial" w:hAnsi="Arial" w:cs="Arial"/>
            <w:sz w:val="20"/>
            <w:szCs w:val="20"/>
          </w:rPr>
          <w:t>7</w:t>
        </w:r>
        <w:r w:rsidR="002B6535" w:rsidRPr="00D47AD0">
          <w:rPr>
            <w:rStyle w:val="a3"/>
            <w:rFonts w:ascii="Arial" w:hAnsi="Arial" w:cs="Arial"/>
            <w:sz w:val="20"/>
            <w:szCs w:val="20"/>
            <w:vertAlign w:val="superscript"/>
          </w:rPr>
          <w:t>th</w:t>
        </w:r>
        <w:r w:rsidR="002B6535" w:rsidRPr="00D47AD0">
          <w:rPr>
            <w:rStyle w:val="a3"/>
            <w:rFonts w:ascii="Arial" w:hAnsi="Arial" w:cs="Arial"/>
            <w:sz w:val="20"/>
            <w:szCs w:val="20"/>
          </w:rPr>
          <w:t xml:space="preserve"> </w:t>
        </w:r>
        <w:r w:rsidR="00CB72F5" w:rsidRPr="00D47AD0">
          <w:rPr>
            <w:rStyle w:val="a3"/>
            <w:rFonts w:ascii="Arial" w:hAnsi="Arial" w:cs="Arial"/>
            <w:sz w:val="20"/>
            <w:szCs w:val="20"/>
          </w:rPr>
          <w:t>Listed Issuer Regulation Newsletter</w:t>
        </w:r>
      </w:hyperlink>
      <w:r w:rsidR="007517C3" w:rsidRPr="00D47AD0">
        <w:rPr>
          <w:rFonts w:ascii="Arial" w:hAnsi="Arial" w:cs="Arial"/>
          <w:sz w:val="20"/>
          <w:szCs w:val="20"/>
        </w:rPr>
        <w:t xml:space="preserve"> (the</w:t>
      </w:r>
      <w:r w:rsidR="00D47AD0" w:rsidRPr="00D47AD0">
        <w:rPr>
          <w:rFonts w:ascii="Arial" w:hAnsi="Arial" w:cs="Arial"/>
          <w:sz w:val="20"/>
          <w:szCs w:val="20"/>
        </w:rPr>
        <w:t xml:space="preserve"> </w:t>
      </w:r>
      <w:r w:rsidR="00EB6360">
        <w:rPr>
          <w:rFonts w:ascii="Arial" w:hAnsi="Arial" w:cs="Arial"/>
          <w:b/>
          <w:sz w:val="20"/>
          <w:szCs w:val="20"/>
        </w:rPr>
        <w:t>HKE</w:t>
      </w:r>
      <w:r w:rsidR="00D47AD0" w:rsidRPr="00D47AD0">
        <w:rPr>
          <w:rFonts w:ascii="Arial" w:hAnsi="Arial" w:cs="Arial"/>
          <w:b/>
          <w:sz w:val="20"/>
          <w:szCs w:val="20"/>
        </w:rPr>
        <w:t>x</w:t>
      </w:r>
      <w:r w:rsidR="007517C3" w:rsidRPr="00D47AD0">
        <w:rPr>
          <w:rFonts w:ascii="Arial" w:hAnsi="Arial" w:cs="Arial"/>
          <w:b/>
          <w:sz w:val="20"/>
          <w:szCs w:val="20"/>
        </w:rPr>
        <w:t xml:space="preserve"> Newsletter</w:t>
      </w:r>
      <w:r w:rsidR="007517C3" w:rsidRPr="00D47AD0">
        <w:rPr>
          <w:rFonts w:ascii="Arial" w:hAnsi="Arial" w:cs="Arial"/>
          <w:sz w:val="20"/>
          <w:szCs w:val="20"/>
        </w:rPr>
        <w:t>)</w:t>
      </w:r>
      <w:r w:rsidR="00CB72F5" w:rsidRPr="00D47AD0">
        <w:rPr>
          <w:rFonts w:ascii="Arial" w:hAnsi="Arial" w:cs="Arial"/>
          <w:sz w:val="20"/>
          <w:szCs w:val="20"/>
        </w:rPr>
        <w:t xml:space="preserve"> </w:t>
      </w:r>
      <w:r>
        <w:rPr>
          <w:rFonts w:ascii="Arial" w:hAnsi="Arial" w:cs="Arial"/>
          <w:sz w:val="20"/>
          <w:szCs w:val="20"/>
        </w:rPr>
        <w:t xml:space="preserve">in </w:t>
      </w:r>
      <w:r w:rsidRPr="00D47AD0">
        <w:rPr>
          <w:rFonts w:ascii="Arial" w:hAnsi="Arial" w:cs="Arial"/>
          <w:sz w:val="20"/>
          <w:szCs w:val="20"/>
        </w:rPr>
        <w:t xml:space="preserve">December 2022 </w:t>
      </w:r>
      <w:r w:rsidR="00CB72F5" w:rsidRPr="00D47AD0">
        <w:rPr>
          <w:rFonts w:ascii="Arial" w:hAnsi="Arial" w:cs="Arial"/>
          <w:sz w:val="20"/>
          <w:szCs w:val="20"/>
        </w:rPr>
        <w:t>covering</w:t>
      </w:r>
      <w:r w:rsidR="00D47AD0" w:rsidRPr="00D47AD0">
        <w:rPr>
          <w:rFonts w:ascii="Arial" w:hAnsi="Arial" w:cs="Arial"/>
          <w:sz w:val="20"/>
          <w:szCs w:val="20"/>
        </w:rPr>
        <w:t xml:space="preserve"> </w:t>
      </w:r>
      <w:r w:rsidR="00EB6360">
        <w:rPr>
          <w:rFonts w:ascii="Arial" w:hAnsi="Arial" w:cs="Arial"/>
          <w:sz w:val="20"/>
          <w:szCs w:val="20"/>
        </w:rPr>
        <w:t>the</w:t>
      </w:r>
      <w:r w:rsidR="00CB72F5" w:rsidRPr="00D47AD0">
        <w:rPr>
          <w:rFonts w:ascii="Arial" w:hAnsi="Arial" w:cs="Arial"/>
          <w:sz w:val="20"/>
          <w:szCs w:val="20"/>
        </w:rPr>
        <w:t xml:space="preserve"> amendments to the </w:t>
      </w:r>
      <w:proofErr w:type="spellStart"/>
      <w:r w:rsidR="00E151FF">
        <w:rPr>
          <w:rFonts w:ascii="Arial" w:hAnsi="Arial" w:cs="Arial"/>
          <w:sz w:val="20"/>
          <w:szCs w:val="20"/>
        </w:rPr>
        <w:t>HKEx</w:t>
      </w:r>
      <w:proofErr w:type="spellEnd"/>
      <w:r w:rsidR="00E151FF">
        <w:rPr>
          <w:rFonts w:ascii="Arial" w:hAnsi="Arial" w:cs="Arial"/>
          <w:sz w:val="20"/>
          <w:szCs w:val="20"/>
        </w:rPr>
        <w:t xml:space="preserve"> </w:t>
      </w:r>
      <w:r w:rsidR="007517C3" w:rsidRPr="00D47AD0">
        <w:rPr>
          <w:rFonts w:ascii="Arial" w:hAnsi="Arial" w:cs="Arial"/>
          <w:sz w:val="20"/>
          <w:szCs w:val="20"/>
        </w:rPr>
        <w:t xml:space="preserve">Listing Rules </w:t>
      </w:r>
      <w:r w:rsidR="002B6535" w:rsidRPr="00D47AD0">
        <w:rPr>
          <w:rFonts w:ascii="Arial" w:hAnsi="Arial" w:cs="Arial"/>
          <w:sz w:val="20"/>
          <w:szCs w:val="20"/>
        </w:rPr>
        <w:t xml:space="preserve">on </w:t>
      </w:r>
      <w:r w:rsidR="00223582">
        <w:rPr>
          <w:rFonts w:ascii="Arial" w:hAnsi="Arial" w:cs="Arial"/>
          <w:sz w:val="20"/>
          <w:szCs w:val="20"/>
        </w:rPr>
        <w:t>share option</w:t>
      </w:r>
      <w:r w:rsidR="00CB72F5" w:rsidRPr="00D47AD0">
        <w:rPr>
          <w:rFonts w:ascii="Arial" w:hAnsi="Arial" w:cs="Arial"/>
          <w:sz w:val="20"/>
          <w:szCs w:val="20"/>
        </w:rPr>
        <w:t xml:space="preserve"> and share award schemes</w:t>
      </w:r>
      <w:r w:rsidR="00057EB5" w:rsidRPr="00D47AD0">
        <w:rPr>
          <w:rFonts w:ascii="Arial" w:hAnsi="Arial" w:cs="Arial"/>
          <w:sz w:val="20"/>
          <w:szCs w:val="20"/>
        </w:rPr>
        <w:t xml:space="preserve"> </w:t>
      </w:r>
      <w:r w:rsidR="00223582">
        <w:rPr>
          <w:rFonts w:ascii="Arial" w:hAnsi="Arial" w:cs="Arial"/>
          <w:sz w:val="20"/>
          <w:szCs w:val="20"/>
        </w:rPr>
        <w:t>(</w:t>
      </w:r>
      <w:r w:rsidR="00223582" w:rsidRPr="00223582">
        <w:rPr>
          <w:rFonts w:ascii="Arial" w:hAnsi="Arial" w:cs="Arial"/>
          <w:b/>
          <w:sz w:val="20"/>
          <w:szCs w:val="20"/>
        </w:rPr>
        <w:t>Share Schemes</w:t>
      </w:r>
      <w:r w:rsidR="00223582">
        <w:rPr>
          <w:rFonts w:ascii="Arial" w:hAnsi="Arial" w:cs="Arial"/>
          <w:sz w:val="20"/>
          <w:szCs w:val="20"/>
        </w:rPr>
        <w:t xml:space="preserve">) </w:t>
      </w:r>
      <w:r w:rsidR="002B6535" w:rsidRPr="00D47AD0">
        <w:rPr>
          <w:rFonts w:ascii="Arial" w:hAnsi="Arial" w:cs="Arial"/>
          <w:sz w:val="20"/>
          <w:szCs w:val="20"/>
        </w:rPr>
        <w:t>of listed issuers and their principal subsidiaries</w:t>
      </w:r>
      <w:r w:rsidR="00CB72F5" w:rsidRPr="00D47AD0">
        <w:rPr>
          <w:rFonts w:ascii="Arial" w:hAnsi="Arial" w:cs="Arial"/>
          <w:sz w:val="20"/>
          <w:szCs w:val="20"/>
        </w:rPr>
        <w:t xml:space="preserve">, </w:t>
      </w:r>
      <w:r w:rsidR="002B6535" w:rsidRPr="00D47AD0">
        <w:rPr>
          <w:rFonts w:ascii="Arial" w:hAnsi="Arial" w:cs="Arial"/>
          <w:sz w:val="20"/>
          <w:szCs w:val="20"/>
        </w:rPr>
        <w:t>matters</w:t>
      </w:r>
      <w:r w:rsidR="006358FE" w:rsidRPr="00D47AD0">
        <w:rPr>
          <w:rFonts w:ascii="Arial" w:hAnsi="Arial" w:cs="Arial"/>
          <w:sz w:val="20"/>
          <w:szCs w:val="20"/>
        </w:rPr>
        <w:t xml:space="preserve"> and measures</w:t>
      </w:r>
      <w:r w:rsidR="002B6535" w:rsidRPr="00D47AD0">
        <w:rPr>
          <w:rFonts w:ascii="Arial" w:hAnsi="Arial" w:cs="Arial"/>
          <w:sz w:val="20"/>
          <w:szCs w:val="20"/>
        </w:rPr>
        <w:t xml:space="preserve"> </w:t>
      </w:r>
      <w:r w:rsidR="006415B1">
        <w:rPr>
          <w:rFonts w:ascii="Arial" w:hAnsi="Arial" w:cs="Arial"/>
          <w:sz w:val="20"/>
          <w:szCs w:val="20"/>
        </w:rPr>
        <w:t>that listed i</w:t>
      </w:r>
      <w:r w:rsidR="002B6535" w:rsidRPr="00D47AD0">
        <w:rPr>
          <w:rFonts w:ascii="Arial" w:hAnsi="Arial" w:cs="Arial"/>
          <w:sz w:val="20"/>
          <w:szCs w:val="20"/>
        </w:rPr>
        <w:t xml:space="preserve">ssuers may be required to implement and/or address in </w:t>
      </w:r>
      <w:r>
        <w:rPr>
          <w:rFonts w:ascii="Arial" w:hAnsi="Arial" w:cs="Arial"/>
          <w:sz w:val="20"/>
          <w:szCs w:val="20"/>
        </w:rPr>
        <w:t>prepari</w:t>
      </w:r>
      <w:r w:rsidR="002B6535" w:rsidRPr="00D47AD0">
        <w:rPr>
          <w:rFonts w:ascii="Arial" w:hAnsi="Arial" w:cs="Arial"/>
          <w:sz w:val="20"/>
          <w:szCs w:val="20"/>
        </w:rPr>
        <w:t>n</w:t>
      </w:r>
      <w:r>
        <w:rPr>
          <w:rFonts w:ascii="Arial" w:hAnsi="Arial" w:cs="Arial"/>
          <w:sz w:val="20"/>
          <w:szCs w:val="20"/>
        </w:rPr>
        <w:t xml:space="preserve">g </w:t>
      </w:r>
      <w:r w:rsidR="002B6535" w:rsidRPr="00D47AD0">
        <w:rPr>
          <w:rFonts w:ascii="Arial" w:hAnsi="Arial" w:cs="Arial"/>
          <w:sz w:val="20"/>
          <w:szCs w:val="20"/>
        </w:rPr>
        <w:t>f</w:t>
      </w:r>
      <w:r>
        <w:rPr>
          <w:rFonts w:ascii="Arial" w:hAnsi="Arial" w:cs="Arial"/>
          <w:sz w:val="20"/>
          <w:szCs w:val="20"/>
        </w:rPr>
        <w:t>or</w:t>
      </w:r>
      <w:r w:rsidR="002B6535" w:rsidRPr="00D47AD0">
        <w:rPr>
          <w:rFonts w:ascii="Arial" w:hAnsi="Arial" w:cs="Arial"/>
          <w:sz w:val="20"/>
          <w:szCs w:val="20"/>
        </w:rPr>
        <w:t xml:space="preserve"> their upcoming fin</w:t>
      </w:r>
      <w:r w:rsidR="006358FE" w:rsidRPr="00D47AD0">
        <w:rPr>
          <w:rFonts w:ascii="Arial" w:hAnsi="Arial" w:cs="Arial"/>
          <w:sz w:val="20"/>
          <w:szCs w:val="20"/>
        </w:rPr>
        <w:t>ancial year-end reporting and</w:t>
      </w:r>
      <w:r w:rsidR="002B6535" w:rsidRPr="00D47AD0">
        <w:rPr>
          <w:rFonts w:ascii="Arial" w:hAnsi="Arial" w:cs="Arial"/>
          <w:sz w:val="20"/>
          <w:szCs w:val="20"/>
        </w:rPr>
        <w:t xml:space="preserve"> annual general meetings</w:t>
      </w:r>
      <w:r w:rsidR="00CC6072">
        <w:rPr>
          <w:rFonts w:ascii="Arial" w:hAnsi="Arial" w:cs="Arial"/>
          <w:sz w:val="20"/>
          <w:szCs w:val="20"/>
        </w:rPr>
        <w:t>,</w:t>
      </w:r>
      <w:r w:rsidR="00253EF2">
        <w:rPr>
          <w:rFonts w:ascii="Arial" w:hAnsi="Arial" w:cs="Arial"/>
          <w:sz w:val="20"/>
          <w:szCs w:val="20"/>
        </w:rPr>
        <w:t xml:space="preserve"> </w:t>
      </w:r>
      <w:r w:rsidR="002B6535" w:rsidRPr="00D47AD0">
        <w:rPr>
          <w:rFonts w:ascii="Arial" w:hAnsi="Arial" w:cs="Arial"/>
          <w:sz w:val="20"/>
          <w:szCs w:val="20"/>
        </w:rPr>
        <w:t>and the regulatory an</w:t>
      </w:r>
      <w:r w:rsidR="002B5D9B">
        <w:rPr>
          <w:rFonts w:ascii="Arial" w:hAnsi="Arial" w:cs="Arial"/>
          <w:sz w:val="20"/>
          <w:szCs w:val="20"/>
        </w:rPr>
        <w:t>d compliance issues a secondary-</w:t>
      </w:r>
      <w:r w:rsidR="002B6535" w:rsidRPr="00D47AD0">
        <w:rPr>
          <w:rFonts w:ascii="Arial" w:hAnsi="Arial" w:cs="Arial"/>
          <w:sz w:val="20"/>
          <w:szCs w:val="20"/>
        </w:rPr>
        <w:t xml:space="preserve">listed </w:t>
      </w:r>
      <w:r>
        <w:rPr>
          <w:rFonts w:ascii="Arial" w:hAnsi="Arial" w:cs="Arial"/>
          <w:sz w:val="20"/>
          <w:szCs w:val="20"/>
        </w:rPr>
        <w:t>issuer seeking to relocate its</w:t>
      </w:r>
      <w:r w:rsidR="002B6535" w:rsidRPr="00D47AD0">
        <w:rPr>
          <w:rFonts w:ascii="Arial" w:hAnsi="Arial" w:cs="Arial"/>
          <w:sz w:val="20"/>
          <w:szCs w:val="20"/>
        </w:rPr>
        <w:t xml:space="preserve"> primary listing to the HKEx</w:t>
      </w:r>
      <w:r w:rsidR="00D47AD0" w:rsidRPr="00D47AD0">
        <w:rPr>
          <w:rFonts w:ascii="Arial" w:hAnsi="Arial" w:cs="Arial"/>
          <w:sz w:val="20"/>
          <w:szCs w:val="20"/>
        </w:rPr>
        <w:t xml:space="preserve"> may face</w:t>
      </w:r>
      <w:r w:rsidR="002B6535" w:rsidRPr="00D47AD0">
        <w:rPr>
          <w:rFonts w:ascii="Arial" w:hAnsi="Arial" w:cs="Arial"/>
          <w:sz w:val="20"/>
          <w:szCs w:val="20"/>
        </w:rPr>
        <w:t>.</w:t>
      </w:r>
      <w:r w:rsidR="00CB72F5" w:rsidRPr="00D47AD0">
        <w:rPr>
          <w:rFonts w:ascii="Arial" w:hAnsi="Arial" w:cs="Arial"/>
          <w:sz w:val="20"/>
          <w:szCs w:val="20"/>
        </w:rPr>
        <w:t xml:space="preserve"> </w:t>
      </w:r>
    </w:p>
    <w:p w:rsidR="003C4732" w:rsidRPr="00D47AD0" w:rsidRDefault="003C4732" w:rsidP="00D47AD0">
      <w:pPr>
        <w:jc w:val="both"/>
        <w:rPr>
          <w:rFonts w:ascii="Arial" w:hAnsi="Arial" w:cs="Arial"/>
          <w:b/>
          <w:color w:val="FF0000"/>
          <w:sz w:val="20"/>
          <w:szCs w:val="20"/>
        </w:rPr>
      </w:pPr>
      <w:r w:rsidRPr="00D47AD0">
        <w:rPr>
          <w:rFonts w:ascii="Arial" w:hAnsi="Arial" w:cs="Arial"/>
          <w:b/>
          <w:color w:val="FF0000"/>
          <w:sz w:val="20"/>
          <w:szCs w:val="20"/>
        </w:rPr>
        <w:t xml:space="preserve">Amended HKEx Listing Rules on Share Schemes </w:t>
      </w:r>
    </w:p>
    <w:p w:rsidR="00BA317F" w:rsidRPr="00D47AD0" w:rsidRDefault="004438F6" w:rsidP="00D47AD0">
      <w:pPr>
        <w:jc w:val="both"/>
        <w:rPr>
          <w:rFonts w:ascii="Arial" w:hAnsi="Arial" w:cs="Arial"/>
          <w:sz w:val="20"/>
          <w:szCs w:val="20"/>
        </w:rPr>
      </w:pPr>
      <w:r w:rsidRPr="00D47AD0">
        <w:rPr>
          <w:rFonts w:ascii="Arial" w:hAnsi="Arial" w:cs="Arial"/>
          <w:sz w:val="20"/>
          <w:szCs w:val="20"/>
        </w:rPr>
        <w:t>Having published the consultation conclusion</w:t>
      </w:r>
      <w:r w:rsidR="006415B1">
        <w:rPr>
          <w:rFonts w:ascii="Arial" w:hAnsi="Arial" w:cs="Arial"/>
          <w:sz w:val="20"/>
          <w:szCs w:val="20"/>
        </w:rPr>
        <w:t>s on</w:t>
      </w:r>
      <w:r w:rsidRPr="00D47AD0">
        <w:rPr>
          <w:rFonts w:ascii="Arial" w:hAnsi="Arial" w:cs="Arial"/>
          <w:sz w:val="20"/>
          <w:szCs w:val="20"/>
        </w:rPr>
        <w:t xml:space="preserve"> the Proposed Amendments to </w:t>
      </w:r>
      <w:r w:rsidR="00D47AD0" w:rsidRPr="00D47AD0">
        <w:rPr>
          <w:rFonts w:ascii="Arial" w:hAnsi="Arial" w:cs="Arial"/>
          <w:sz w:val="20"/>
          <w:szCs w:val="20"/>
        </w:rPr>
        <w:t xml:space="preserve">the Hong Kong </w:t>
      </w:r>
      <w:r w:rsidRPr="00D47AD0">
        <w:rPr>
          <w:rFonts w:ascii="Arial" w:hAnsi="Arial" w:cs="Arial"/>
          <w:sz w:val="20"/>
          <w:szCs w:val="20"/>
        </w:rPr>
        <w:t>Listing</w:t>
      </w:r>
      <w:r w:rsidR="008F59B4" w:rsidRPr="00D47AD0">
        <w:rPr>
          <w:rFonts w:ascii="Arial" w:hAnsi="Arial" w:cs="Arial"/>
          <w:sz w:val="20"/>
          <w:szCs w:val="20"/>
        </w:rPr>
        <w:t xml:space="preserve"> R</w:t>
      </w:r>
      <w:r w:rsidRPr="00D47AD0">
        <w:rPr>
          <w:rFonts w:ascii="Arial" w:hAnsi="Arial" w:cs="Arial"/>
          <w:sz w:val="20"/>
          <w:szCs w:val="20"/>
        </w:rPr>
        <w:t>ules relating to Share Scheme</w:t>
      </w:r>
      <w:r w:rsidR="00E151FF">
        <w:rPr>
          <w:rFonts w:ascii="Arial" w:hAnsi="Arial" w:cs="Arial"/>
          <w:sz w:val="20"/>
          <w:szCs w:val="20"/>
        </w:rPr>
        <w:t>s</w:t>
      </w:r>
      <w:r w:rsidRPr="00D47AD0">
        <w:rPr>
          <w:rFonts w:ascii="Arial" w:hAnsi="Arial" w:cs="Arial"/>
          <w:sz w:val="20"/>
          <w:szCs w:val="20"/>
        </w:rPr>
        <w:t xml:space="preserve"> of Listed Issuers in July 2022 (see </w:t>
      </w:r>
      <w:hyperlink r:id="rId10" w:history="1">
        <w:r w:rsidRPr="00D47AD0">
          <w:rPr>
            <w:rStyle w:val="a3"/>
            <w:rFonts w:ascii="Arial" w:hAnsi="Arial" w:cs="Arial"/>
            <w:sz w:val="20"/>
            <w:szCs w:val="20"/>
          </w:rPr>
          <w:t>New HKEX Listing Rules on Listed Issuers’ Share Schemes</w:t>
        </w:r>
      </w:hyperlink>
      <w:r w:rsidRPr="00D47AD0">
        <w:rPr>
          <w:rFonts w:ascii="Arial" w:hAnsi="Arial" w:cs="Arial"/>
          <w:bCs/>
          <w:sz w:val="20"/>
          <w:szCs w:val="20"/>
        </w:rPr>
        <w:t xml:space="preserve">), </w:t>
      </w:r>
      <w:r w:rsidR="002B6535" w:rsidRPr="00D47AD0">
        <w:rPr>
          <w:rFonts w:ascii="Arial" w:hAnsi="Arial" w:cs="Arial"/>
          <w:bCs/>
          <w:sz w:val="20"/>
          <w:szCs w:val="20"/>
        </w:rPr>
        <w:t>t</w:t>
      </w:r>
      <w:r w:rsidRPr="00D47AD0">
        <w:rPr>
          <w:rFonts w:ascii="Arial" w:hAnsi="Arial" w:cs="Arial"/>
          <w:sz w:val="20"/>
          <w:szCs w:val="20"/>
        </w:rPr>
        <w:t>he HKEx</w:t>
      </w:r>
      <w:r w:rsidR="006415B1">
        <w:rPr>
          <w:rFonts w:ascii="Arial" w:hAnsi="Arial" w:cs="Arial"/>
          <w:sz w:val="20"/>
          <w:szCs w:val="20"/>
        </w:rPr>
        <w:t xml:space="preserve"> reminded listed i</w:t>
      </w:r>
      <w:r w:rsidRPr="00D47AD0">
        <w:rPr>
          <w:rFonts w:ascii="Arial" w:hAnsi="Arial" w:cs="Arial"/>
          <w:sz w:val="20"/>
          <w:szCs w:val="20"/>
        </w:rPr>
        <w:t xml:space="preserve">ssuers </w:t>
      </w:r>
      <w:r w:rsidR="006415B1">
        <w:rPr>
          <w:rFonts w:ascii="Arial" w:hAnsi="Arial" w:cs="Arial"/>
          <w:sz w:val="20"/>
          <w:szCs w:val="20"/>
        </w:rPr>
        <w:t xml:space="preserve">that the amendments to Chapter 17 of the Main Board Rules and Chapter 23 of the GEM Rules would take effect on 1 </w:t>
      </w:r>
      <w:r w:rsidR="00381603" w:rsidRPr="00D47AD0">
        <w:rPr>
          <w:rFonts w:ascii="Arial" w:hAnsi="Arial" w:cs="Arial"/>
          <w:sz w:val="20"/>
          <w:szCs w:val="20"/>
        </w:rPr>
        <w:t>January 2023 and reiterated t</w:t>
      </w:r>
      <w:r w:rsidR="00BA317F" w:rsidRPr="00D47AD0">
        <w:rPr>
          <w:rFonts w:ascii="Arial" w:hAnsi="Arial" w:cs="Arial"/>
          <w:sz w:val="20"/>
          <w:szCs w:val="20"/>
        </w:rPr>
        <w:t>he key changes</w:t>
      </w:r>
      <w:r w:rsidR="002B6535" w:rsidRPr="00D47AD0">
        <w:rPr>
          <w:rFonts w:ascii="Arial" w:hAnsi="Arial" w:cs="Arial"/>
          <w:sz w:val="20"/>
          <w:szCs w:val="20"/>
        </w:rPr>
        <w:t xml:space="preserve"> </w:t>
      </w:r>
      <w:r w:rsidR="00381603" w:rsidRPr="00D47AD0">
        <w:rPr>
          <w:rFonts w:ascii="Arial" w:hAnsi="Arial" w:cs="Arial"/>
          <w:sz w:val="20"/>
          <w:szCs w:val="20"/>
        </w:rPr>
        <w:t xml:space="preserve">which </w:t>
      </w:r>
      <w:r w:rsidR="00BA317F" w:rsidRPr="00D47AD0">
        <w:rPr>
          <w:rFonts w:ascii="Arial" w:hAnsi="Arial" w:cs="Arial"/>
          <w:sz w:val="20"/>
          <w:szCs w:val="20"/>
        </w:rPr>
        <w:t>are as follows:</w:t>
      </w:r>
    </w:p>
    <w:p w:rsidR="00617276" w:rsidRPr="00D47AD0" w:rsidRDefault="00A54133" w:rsidP="00D47AD0">
      <w:pPr>
        <w:pStyle w:val="a8"/>
        <w:numPr>
          <w:ilvl w:val="0"/>
          <w:numId w:val="4"/>
        </w:numPr>
        <w:jc w:val="both"/>
        <w:rPr>
          <w:rFonts w:ascii="Arial" w:hAnsi="Arial" w:cs="Arial"/>
          <w:sz w:val="20"/>
          <w:szCs w:val="20"/>
        </w:rPr>
      </w:pPr>
      <w:r>
        <w:rPr>
          <w:rFonts w:ascii="Arial" w:hAnsi="Arial" w:cs="Arial"/>
          <w:sz w:val="20"/>
          <w:szCs w:val="20"/>
        </w:rPr>
        <w:t>eligible p</w:t>
      </w:r>
      <w:r w:rsidR="00617276" w:rsidRPr="00D47AD0">
        <w:rPr>
          <w:rFonts w:ascii="Arial" w:hAnsi="Arial" w:cs="Arial"/>
          <w:sz w:val="20"/>
          <w:szCs w:val="20"/>
        </w:rPr>
        <w:t>articipants</w:t>
      </w:r>
      <w:r w:rsidR="00CE55DC">
        <w:rPr>
          <w:rFonts w:ascii="Arial" w:hAnsi="Arial" w:cs="Arial"/>
          <w:sz w:val="20"/>
          <w:szCs w:val="20"/>
        </w:rPr>
        <w:t xml:space="preserve"> </w:t>
      </w:r>
      <w:r w:rsidR="00A54539">
        <w:rPr>
          <w:rFonts w:ascii="Arial" w:hAnsi="Arial" w:cs="Arial"/>
          <w:sz w:val="20"/>
          <w:szCs w:val="20"/>
        </w:rPr>
        <w:t>– only</w:t>
      </w:r>
      <w:r w:rsidR="00617276" w:rsidRPr="00D47AD0">
        <w:rPr>
          <w:rFonts w:ascii="Arial" w:hAnsi="Arial" w:cs="Arial"/>
          <w:sz w:val="20"/>
          <w:szCs w:val="20"/>
        </w:rPr>
        <w:t xml:space="preserve"> </w:t>
      </w:r>
      <w:r w:rsidR="00843AE3">
        <w:rPr>
          <w:rFonts w:ascii="Arial" w:hAnsi="Arial" w:cs="Arial"/>
          <w:sz w:val="20"/>
          <w:szCs w:val="20"/>
        </w:rPr>
        <w:t>directors and employees of the i</w:t>
      </w:r>
      <w:r w:rsidR="00617276" w:rsidRPr="00D47AD0">
        <w:rPr>
          <w:rFonts w:ascii="Arial" w:hAnsi="Arial" w:cs="Arial"/>
          <w:sz w:val="20"/>
          <w:szCs w:val="20"/>
        </w:rPr>
        <w:t>ssuer group (</w:t>
      </w:r>
      <w:r w:rsidR="00617276" w:rsidRPr="00D47AD0">
        <w:rPr>
          <w:rFonts w:ascii="Arial" w:hAnsi="Arial" w:cs="Arial"/>
          <w:b/>
          <w:sz w:val="20"/>
          <w:szCs w:val="20"/>
        </w:rPr>
        <w:t>Employee Participants</w:t>
      </w:r>
      <w:r w:rsidR="00617276" w:rsidRPr="00D47AD0">
        <w:rPr>
          <w:rFonts w:ascii="Arial" w:hAnsi="Arial" w:cs="Arial"/>
          <w:sz w:val="20"/>
          <w:szCs w:val="20"/>
        </w:rPr>
        <w:t>), directors and employees of its holding companies or associated companies and service providers will be considered Eligible Participants. As to who qualifies as a service provider</w:t>
      </w:r>
      <w:r w:rsidR="002B6535" w:rsidRPr="00D47AD0">
        <w:rPr>
          <w:rFonts w:ascii="Arial" w:hAnsi="Arial" w:cs="Arial"/>
          <w:sz w:val="20"/>
          <w:szCs w:val="20"/>
        </w:rPr>
        <w:t>, this</w:t>
      </w:r>
      <w:r w:rsidR="00617276" w:rsidRPr="00D47AD0">
        <w:rPr>
          <w:rFonts w:ascii="Arial" w:hAnsi="Arial" w:cs="Arial"/>
          <w:sz w:val="20"/>
          <w:szCs w:val="20"/>
        </w:rPr>
        <w:t xml:space="preserve"> will generally </w:t>
      </w:r>
      <w:r w:rsidR="00843AE3">
        <w:rPr>
          <w:rFonts w:ascii="Arial" w:hAnsi="Arial" w:cs="Arial"/>
          <w:sz w:val="20"/>
          <w:szCs w:val="20"/>
        </w:rPr>
        <w:t>mean</w:t>
      </w:r>
      <w:r w:rsidR="008F0D72">
        <w:rPr>
          <w:rFonts w:ascii="Arial" w:hAnsi="Arial" w:cs="Arial"/>
          <w:sz w:val="20"/>
          <w:szCs w:val="20"/>
        </w:rPr>
        <w:t xml:space="preserve"> </w:t>
      </w:r>
      <w:r w:rsidR="00057EB5" w:rsidRPr="00D47AD0">
        <w:rPr>
          <w:rFonts w:ascii="Arial" w:hAnsi="Arial" w:cs="Arial"/>
          <w:sz w:val="20"/>
          <w:szCs w:val="20"/>
        </w:rPr>
        <w:t xml:space="preserve">“persons who </w:t>
      </w:r>
      <w:r w:rsidR="00617276" w:rsidRPr="00D47AD0">
        <w:rPr>
          <w:rFonts w:ascii="Arial" w:hAnsi="Arial" w:cs="Arial"/>
          <w:sz w:val="20"/>
          <w:szCs w:val="20"/>
        </w:rPr>
        <w:t>provide services to the issuer group on a continuing and recurring basis in its ordinary and usual course of business which are in the interest of the long-term growth of the issuer group”</w:t>
      </w:r>
      <w:r w:rsidR="006415B1">
        <w:rPr>
          <w:rFonts w:ascii="Arial" w:hAnsi="Arial" w:cs="Arial"/>
          <w:sz w:val="20"/>
          <w:szCs w:val="20"/>
        </w:rPr>
        <w:t>.</w:t>
      </w:r>
      <w:r w:rsidR="00D47AD0" w:rsidRPr="00D47AD0">
        <w:rPr>
          <w:rStyle w:val="a7"/>
          <w:rFonts w:ascii="Arial" w:hAnsi="Arial" w:cs="Arial"/>
          <w:sz w:val="20"/>
          <w:szCs w:val="20"/>
        </w:rPr>
        <w:footnoteReference w:id="1"/>
      </w:r>
      <w:r w:rsidR="00617276" w:rsidRPr="00D47AD0">
        <w:rPr>
          <w:rFonts w:ascii="Arial" w:hAnsi="Arial" w:cs="Arial"/>
          <w:sz w:val="20"/>
          <w:szCs w:val="20"/>
        </w:rPr>
        <w:t xml:space="preserve"> </w:t>
      </w:r>
      <w:r w:rsidR="002B6535" w:rsidRPr="00D47AD0">
        <w:rPr>
          <w:rFonts w:ascii="Arial" w:hAnsi="Arial" w:cs="Arial"/>
          <w:sz w:val="20"/>
          <w:szCs w:val="20"/>
        </w:rPr>
        <w:t>However</w:t>
      </w:r>
      <w:r w:rsidR="00843AE3">
        <w:rPr>
          <w:rFonts w:ascii="Arial" w:hAnsi="Arial" w:cs="Arial"/>
          <w:sz w:val="20"/>
          <w:szCs w:val="20"/>
        </w:rPr>
        <w:t>,</w:t>
      </w:r>
      <w:r w:rsidR="002B6535" w:rsidRPr="00D47AD0">
        <w:rPr>
          <w:rFonts w:ascii="Arial" w:hAnsi="Arial" w:cs="Arial"/>
          <w:sz w:val="20"/>
          <w:szCs w:val="20"/>
        </w:rPr>
        <w:t xml:space="preserve"> </w:t>
      </w:r>
      <w:r w:rsidR="000F2FAF">
        <w:rPr>
          <w:rFonts w:ascii="Arial" w:hAnsi="Arial" w:cs="Arial"/>
          <w:sz w:val="20"/>
          <w:szCs w:val="20"/>
        </w:rPr>
        <w:t xml:space="preserve">listed issuers </w:t>
      </w:r>
      <w:r w:rsidR="00617276" w:rsidRPr="00D47AD0">
        <w:rPr>
          <w:rFonts w:ascii="Arial" w:hAnsi="Arial" w:cs="Arial"/>
          <w:sz w:val="20"/>
          <w:szCs w:val="20"/>
        </w:rPr>
        <w:t>must state the specific criteria</w:t>
      </w:r>
      <w:r w:rsidR="00057EB5" w:rsidRPr="00D47AD0">
        <w:rPr>
          <w:rFonts w:ascii="Arial" w:hAnsi="Arial" w:cs="Arial"/>
          <w:sz w:val="20"/>
          <w:szCs w:val="20"/>
        </w:rPr>
        <w:t xml:space="preserve"> for qualification as a service provider</w:t>
      </w:r>
      <w:r w:rsidR="00617276" w:rsidRPr="00D47AD0">
        <w:rPr>
          <w:rFonts w:ascii="Arial" w:hAnsi="Arial" w:cs="Arial"/>
          <w:sz w:val="20"/>
          <w:szCs w:val="20"/>
        </w:rPr>
        <w:t xml:space="preserve"> in their </w:t>
      </w:r>
      <w:r w:rsidR="00C47A00">
        <w:rPr>
          <w:rFonts w:ascii="Arial" w:hAnsi="Arial" w:cs="Arial"/>
          <w:sz w:val="20"/>
          <w:szCs w:val="20"/>
        </w:rPr>
        <w:t>scheme document;</w:t>
      </w:r>
    </w:p>
    <w:p w:rsidR="00617276" w:rsidRPr="00E337BA" w:rsidRDefault="00617276" w:rsidP="00D47AD0">
      <w:pPr>
        <w:pStyle w:val="a8"/>
        <w:jc w:val="both"/>
        <w:rPr>
          <w:rFonts w:ascii="Arial" w:hAnsi="Arial" w:cs="Arial"/>
          <w:sz w:val="16"/>
          <w:szCs w:val="16"/>
        </w:rPr>
      </w:pPr>
    </w:p>
    <w:p w:rsidR="002B6535" w:rsidRPr="00D47AD0" w:rsidRDefault="00A54133" w:rsidP="00D47AD0">
      <w:pPr>
        <w:pStyle w:val="a8"/>
        <w:numPr>
          <w:ilvl w:val="0"/>
          <w:numId w:val="4"/>
        </w:numPr>
        <w:jc w:val="both"/>
        <w:rPr>
          <w:rFonts w:ascii="Arial" w:hAnsi="Arial" w:cs="Arial"/>
          <w:sz w:val="20"/>
          <w:szCs w:val="20"/>
        </w:rPr>
      </w:pPr>
      <w:r>
        <w:rPr>
          <w:rFonts w:ascii="Arial" w:hAnsi="Arial" w:cs="Arial"/>
          <w:sz w:val="20"/>
          <w:szCs w:val="20"/>
        </w:rPr>
        <w:t>terms of g</w:t>
      </w:r>
      <w:r w:rsidR="002B6535" w:rsidRPr="00D47AD0">
        <w:rPr>
          <w:rFonts w:ascii="Arial" w:hAnsi="Arial" w:cs="Arial"/>
          <w:sz w:val="20"/>
          <w:szCs w:val="20"/>
        </w:rPr>
        <w:t>rants</w:t>
      </w:r>
      <w:r w:rsidR="00CE55DC">
        <w:rPr>
          <w:rFonts w:ascii="Arial" w:hAnsi="Arial" w:cs="Arial"/>
          <w:sz w:val="20"/>
          <w:szCs w:val="20"/>
        </w:rPr>
        <w:t xml:space="preserve"> – </w:t>
      </w:r>
      <w:r w:rsidR="00617276" w:rsidRPr="00D47AD0">
        <w:rPr>
          <w:rFonts w:ascii="Arial" w:hAnsi="Arial" w:cs="Arial"/>
          <w:sz w:val="20"/>
          <w:szCs w:val="20"/>
        </w:rPr>
        <w:t>the min</w:t>
      </w:r>
      <w:r w:rsidR="002B6535" w:rsidRPr="00D47AD0">
        <w:rPr>
          <w:rFonts w:ascii="Arial" w:hAnsi="Arial" w:cs="Arial"/>
          <w:sz w:val="20"/>
          <w:szCs w:val="20"/>
        </w:rPr>
        <w:t xml:space="preserve">imum vesting period </w:t>
      </w:r>
      <w:r w:rsidR="00B45C67">
        <w:rPr>
          <w:rFonts w:ascii="Arial" w:hAnsi="Arial" w:cs="Arial"/>
          <w:sz w:val="20"/>
          <w:szCs w:val="20"/>
        </w:rPr>
        <w:t xml:space="preserve">is </w:t>
      </w:r>
      <w:r w:rsidR="002B6535" w:rsidRPr="00D47AD0">
        <w:rPr>
          <w:rFonts w:ascii="Arial" w:hAnsi="Arial" w:cs="Arial"/>
          <w:sz w:val="20"/>
          <w:szCs w:val="20"/>
        </w:rPr>
        <w:t>12 months</w:t>
      </w:r>
      <w:r w:rsidR="00B45C67">
        <w:rPr>
          <w:rFonts w:ascii="Arial" w:hAnsi="Arial" w:cs="Arial"/>
          <w:sz w:val="20"/>
          <w:szCs w:val="20"/>
        </w:rPr>
        <w:t xml:space="preserve">, although grants to Employee Participants may </w:t>
      </w:r>
      <w:r w:rsidR="00617276" w:rsidRPr="00D47AD0">
        <w:rPr>
          <w:rFonts w:ascii="Arial" w:hAnsi="Arial" w:cs="Arial"/>
          <w:sz w:val="20"/>
          <w:szCs w:val="20"/>
        </w:rPr>
        <w:t xml:space="preserve">have a shorter </w:t>
      </w:r>
      <w:r w:rsidR="00B45C67">
        <w:rPr>
          <w:rFonts w:ascii="Arial" w:hAnsi="Arial" w:cs="Arial"/>
          <w:sz w:val="20"/>
          <w:szCs w:val="20"/>
        </w:rPr>
        <w:t>vesting period if</w:t>
      </w:r>
      <w:r w:rsidR="00617276" w:rsidRPr="00D47AD0">
        <w:rPr>
          <w:rFonts w:ascii="Arial" w:hAnsi="Arial" w:cs="Arial"/>
          <w:sz w:val="20"/>
          <w:szCs w:val="20"/>
        </w:rPr>
        <w:t xml:space="preserve"> the circumstances for the shortened vesting period </w:t>
      </w:r>
      <w:r w:rsidR="00B45C67">
        <w:rPr>
          <w:rFonts w:ascii="Arial" w:hAnsi="Arial" w:cs="Arial"/>
          <w:sz w:val="20"/>
          <w:szCs w:val="20"/>
        </w:rPr>
        <w:t xml:space="preserve">are </w:t>
      </w:r>
      <w:r w:rsidR="002B6535" w:rsidRPr="00D47AD0">
        <w:rPr>
          <w:rFonts w:ascii="Arial" w:hAnsi="Arial" w:cs="Arial"/>
          <w:sz w:val="20"/>
          <w:szCs w:val="20"/>
        </w:rPr>
        <w:t>clearly stated in the scheme document</w:t>
      </w:r>
      <w:r w:rsidR="00617276" w:rsidRPr="00D47AD0">
        <w:rPr>
          <w:rFonts w:ascii="Arial" w:hAnsi="Arial" w:cs="Arial"/>
          <w:sz w:val="20"/>
          <w:szCs w:val="20"/>
        </w:rPr>
        <w:t>.</w:t>
      </w:r>
      <w:r w:rsidR="002B6535" w:rsidRPr="00D47AD0">
        <w:rPr>
          <w:rFonts w:ascii="Arial" w:hAnsi="Arial" w:cs="Arial"/>
          <w:sz w:val="20"/>
          <w:szCs w:val="20"/>
        </w:rPr>
        <w:t xml:space="preserve"> </w:t>
      </w:r>
      <w:r w:rsidR="00617276" w:rsidRPr="00D47AD0">
        <w:rPr>
          <w:rFonts w:ascii="Arial" w:hAnsi="Arial" w:cs="Arial"/>
          <w:sz w:val="20"/>
          <w:szCs w:val="20"/>
        </w:rPr>
        <w:t>The scheme document should disclose</w:t>
      </w:r>
      <w:r w:rsidR="002B6535" w:rsidRPr="00D47AD0">
        <w:rPr>
          <w:rFonts w:ascii="Arial" w:hAnsi="Arial" w:cs="Arial"/>
          <w:sz w:val="20"/>
          <w:szCs w:val="20"/>
        </w:rPr>
        <w:t xml:space="preserve"> t</w:t>
      </w:r>
      <w:r w:rsidR="00617276" w:rsidRPr="00D47AD0">
        <w:rPr>
          <w:rFonts w:ascii="Arial" w:hAnsi="Arial" w:cs="Arial"/>
          <w:sz w:val="20"/>
          <w:szCs w:val="20"/>
        </w:rPr>
        <w:t>he performance targets attached to the grants</w:t>
      </w:r>
      <w:r w:rsidR="00B45C67">
        <w:rPr>
          <w:rFonts w:ascii="Arial" w:hAnsi="Arial" w:cs="Arial"/>
          <w:sz w:val="20"/>
          <w:szCs w:val="20"/>
        </w:rPr>
        <w:t xml:space="preserve"> and</w:t>
      </w:r>
      <w:r w:rsidR="00D47AD0">
        <w:rPr>
          <w:rFonts w:ascii="Arial" w:hAnsi="Arial" w:cs="Arial"/>
          <w:sz w:val="20"/>
          <w:szCs w:val="20"/>
        </w:rPr>
        <w:t xml:space="preserve"> </w:t>
      </w:r>
      <w:r w:rsidR="002B6535" w:rsidRPr="00D47AD0">
        <w:rPr>
          <w:rFonts w:ascii="Arial" w:hAnsi="Arial" w:cs="Arial"/>
          <w:sz w:val="20"/>
          <w:szCs w:val="20"/>
        </w:rPr>
        <w:t>t</w:t>
      </w:r>
      <w:r w:rsidR="00617276" w:rsidRPr="00D47AD0">
        <w:rPr>
          <w:rFonts w:ascii="Arial" w:hAnsi="Arial" w:cs="Arial"/>
          <w:sz w:val="20"/>
          <w:szCs w:val="20"/>
        </w:rPr>
        <w:t>he clawback mechanism</w:t>
      </w:r>
      <w:r w:rsidR="00057EB5" w:rsidRPr="00D47AD0">
        <w:rPr>
          <w:rFonts w:ascii="Arial" w:hAnsi="Arial" w:cs="Arial"/>
          <w:sz w:val="20"/>
          <w:szCs w:val="20"/>
        </w:rPr>
        <w:t>,</w:t>
      </w:r>
      <w:r w:rsidR="002B6535" w:rsidRPr="00D47AD0">
        <w:rPr>
          <w:rFonts w:ascii="Arial" w:hAnsi="Arial" w:cs="Arial"/>
          <w:sz w:val="20"/>
          <w:szCs w:val="20"/>
        </w:rPr>
        <w:t xml:space="preserve"> or a</w:t>
      </w:r>
      <w:r w:rsidR="00C922B2">
        <w:rPr>
          <w:rFonts w:ascii="Arial" w:hAnsi="Arial" w:cs="Arial"/>
          <w:sz w:val="20"/>
          <w:szCs w:val="20"/>
        </w:rPr>
        <w:t xml:space="preserve"> negative</w:t>
      </w:r>
      <w:r w:rsidR="002B6535" w:rsidRPr="00D47AD0">
        <w:rPr>
          <w:rFonts w:ascii="Arial" w:hAnsi="Arial" w:cs="Arial"/>
          <w:sz w:val="20"/>
          <w:szCs w:val="20"/>
        </w:rPr>
        <w:t xml:space="preserve"> statement </w:t>
      </w:r>
      <w:r w:rsidR="00057EB5" w:rsidRPr="00D47AD0">
        <w:rPr>
          <w:rFonts w:ascii="Arial" w:hAnsi="Arial" w:cs="Arial"/>
          <w:sz w:val="20"/>
          <w:szCs w:val="20"/>
        </w:rPr>
        <w:t xml:space="preserve">indicating </w:t>
      </w:r>
      <w:r w:rsidR="00C922B2">
        <w:rPr>
          <w:rFonts w:ascii="Arial" w:hAnsi="Arial" w:cs="Arial"/>
          <w:sz w:val="20"/>
          <w:szCs w:val="20"/>
        </w:rPr>
        <w:t xml:space="preserve">that </w:t>
      </w:r>
      <w:r w:rsidR="002B5D9B">
        <w:rPr>
          <w:rFonts w:ascii="Arial" w:hAnsi="Arial" w:cs="Arial"/>
          <w:sz w:val="20"/>
          <w:szCs w:val="20"/>
        </w:rPr>
        <w:t xml:space="preserve">the </w:t>
      </w:r>
      <w:r w:rsidR="00B45C67">
        <w:rPr>
          <w:rFonts w:ascii="Arial" w:hAnsi="Arial" w:cs="Arial"/>
          <w:sz w:val="20"/>
          <w:szCs w:val="20"/>
        </w:rPr>
        <w:t>listed issuer’s scheme</w:t>
      </w:r>
      <w:r w:rsidR="00057EB5" w:rsidRPr="00D47AD0">
        <w:rPr>
          <w:rFonts w:ascii="Arial" w:hAnsi="Arial" w:cs="Arial"/>
          <w:sz w:val="20"/>
          <w:szCs w:val="20"/>
        </w:rPr>
        <w:t xml:space="preserve"> contain</w:t>
      </w:r>
      <w:r w:rsidR="00B45C67">
        <w:rPr>
          <w:rFonts w:ascii="Arial" w:hAnsi="Arial" w:cs="Arial"/>
          <w:sz w:val="20"/>
          <w:szCs w:val="20"/>
        </w:rPr>
        <w:t>s</w:t>
      </w:r>
      <w:r w:rsidR="00057EB5" w:rsidRPr="00D47AD0">
        <w:rPr>
          <w:rFonts w:ascii="Arial" w:hAnsi="Arial" w:cs="Arial"/>
          <w:sz w:val="20"/>
          <w:szCs w:val="20"/>
        </w:rPr>
        <w:t xml:space="preserve"> neither</w:t>
      </w:r>
      <w:r w:rsidR="00B45C67">
        <w:rPr>
          <w:rFonts w:ascii="Arial" w:hAnsi="Arial" w:cs="Arial"/>
          <w:sz w:val="20"/>
          <w:szCs w:val="20"/>
        </w:rPr>
        <w:t>. For share awards, there is no restriction on the share grant price</w:t>
      </w:r>
      <w:r w:rsidR="00C47A00">
        <w:rPr>
          <w:rFonts w:ascii="Arial" w:hAnsi="Arial" w:cs="Arial"/>
          <w:sz w:val="20"/>
          <w:szCs w:val="20"/>
        </w:rPr>
        <w:t>;</w:t>
      </w:r>
    </w:p>
    <w:p w:rsidR="002B6535" w:rsidRPr="00E337BA" w:rsidRDefault="002B6535" w:rsidP="00D47AD0">
      <w:pPr>
        <w:pStyle w:val="a8"/>
        <w:jc w:val="both"/>
        <w:rPr>
          <w:rFonts w:ascii="Arial" w:hAnsi="Arial" w:cs="Arial"/>
          <w:sz w:val="16"/>
          <w:szCs w:val="16"/>
        </w:rPr>
      </w:pPr>
    </w:p>
    <w:p w:rsidR="00414625" w:rsidRDefault="00A54133" w:rsidP="00D47AD0">
      <w:pPr>
        <w:pStyle w:val="a8"/>
        <w:numPr>
          <w:ilvl w:val="0"/>
          <w:numId w:val="4"/>
        </w:numPr>
        <w:jc w:val="both"/>
        <w:rPr>
          <w:rFonts w:ascii="Arial" w:hAnsi="Arial" w:cs="Arial"/>
          <w:sz w:val="20"/>
          <w:szCs w:val="20"/>
        </w:rPr>
      </w:pPr>
      <w:r>
        <w:rPr>
          <w:rFonts w:ascii="Arial" w:hAnsi="Arial" w:cs="Arial"/>
          <w:sz w:val="20"/>
          <w:szCs w:val="20"/>
        </w:rPr>
        <w:t>approval r</w:t>
      </w:r>
      <w:r w:rsidR="00617276" w:rsidRPr="00D47AD0">
        <w:rPr>
          <w:rFonts w:ascii="Arial" w:hAnsi="Arial" w:cs="Arial"/>
          <w:sz w:val="20"/>
          <w:szCs w:val="20"/>
        </w:rPr>
        <w:t>equirements</w:t>
      </w:r>
      <w:r w:rsidR="00CE55DC">
        <w:rPr>
          <w:rFonts w:ascii="Arial" w:hAnsi="Arial" w:cs="Arial"/>
          <w:sz w:val="20"/>
          <w:szCs w:val="20"/>
        </w:rPr>
        <w:t xml:space="preserve"> –</w:t>
      </w:r>
      <w:r w:rsidR="00B45C67">
        <w:rPr>
          <w:rFonts w:ascii="Arial" w:hAnsi="Arial" w:cs="Arial"/>
          <w:sz w:val="20"/>
          <w:szCs w:val="20"/>
        </w:rPr>
        <w:t xml:space="preserve"> </w:t>
      </w:r>
      <w:r w:rsidR="002B6535" w:rsidRPr="00D47AD0">
        <w:rPr>
          <w:rFonts w:ascii="Arial" w:hAnsi="Arial" w:cs="Arial"/>
          <w:sz w:val="20"/>
          <w:szCs w:val="20"/>
        </w:rPr>
        <w:t>s</w:t>
      </w:r>
      <w:r w:rsidR="00365205" w:rsidRPr="00D47AD0">
        <w:rPr>
          <w:rFonts w:ascii="Arial" w:hAnsi="Arial" w:cs="Arial"/>
          <w:sz w:val="20"/>
          <w:szCs w:val="20"/>
        </w:rPr>
        <w:t xml:space="preserve">hareholders must approve the scheme mandate limit </w:t>
      </w:r>
      <w:r w:rsidR="00223582">
        <w:rPr>
          <w:rFonts w:ascii="Arial" w:hAnsi="Arial" w:cs="Arial"/>
          <w:sz w:val="20"/>
          <w:szCs w:val="20"/>
        </w:rPr>
        <w:t>(of not exceeding 10% of the issuer’s issued shares for all its Share Schemes)</w:t>
      </w:r>
      <w:r w:rsidR="00414625">
        <w:rPr>
          <w:rFonts w:ascii="Arial" w:hAnsi="Arial" w:cs="Arial"/>
          <w:sz w:val="20"/>
          <w:szCs w:val="20"/>
        </w:rPr>
        <w:t xml:space="preserve"> and </w:t>
      </w:r>
      <w:r w:rsidR="00365205" w:rsidRPr="00D47AD0">
        <w:rPr>
          <w:rFonts w:ascii="Arial" w:hAnsi="Arial" w:cs="Arial"/>
          <w:sz w:val="20"/>
          <w:szCs w:val="20"/>
        </w:rPr>
        <w:t>a service provider sublimit</w:t>
      </w:r>
      <w:r w:rsidR="00414625">
        <w:rPr>
          <w:rFonts w:ascii="Arial" w:hAnsi="Arial" w:cs="Arial"/>
          <w:sz w:val="20"/>
          <w:szCs w:val="20"/>
        </w:rPr>
        <w:t>. Shareholders’ approval is also required for</w:t>
      </w:r>
      <w:r w:rsidR="002B6535" w:rsidRPr="00D47AD0">
        <w:rPr>
          <w:rFonts w:ascii="Arial" w:hAnsi="Arial" w:cs="Arial"/>
          <w:sz w:val="20"/>
          <w:szCs w:val="20"/>
        </w:rPr>
        <w:t xml:space="preserve"> grants to</w:t>
      </w:r>
      <w:r w:rsidR="00414625">
        <w:rPr>
          <w:rFonts w:ascii="Arial" w:hAnsi="Arial" w:cs="Arial"/>
          <w:sz w:val="20"/>
          <w:szCs w:val="20"/>
        </w:rPr>
        <w:t>:</w:t>
      </w:r>
      <w:r w:rsidR="00365205" w:rsidRPr="00D47AD0">
        <w:rPr>
          <w:rFonts w:ascii="Arial" w:hAnsi="Arial" w:cs="Arial"/>
          <w:sz w:val="20"/>
          <w:szCs w:val="20"/>
        </w:rPr>
        <w:t xml:space="preserve"> </w:t>
      </w:r>
      <w:r w:rsidR="00414625">
        <w:rPr>
          <w:rFonts w:ascii="Arial" w:hAnsi="Arial" w:cs="Arial"/>
          <w:sz w:val="20"/>
          <w:szCs w:val="20"/>
        </w:rPr>
        <w:t xml:space="preserve">(i) </w:t>
      </w:r>
      <w:r w:rsidR="00365205" w:rsidRPr="00D47AD0">
        <w:rPr>
          <w:rFonts w:ascii="Arial" w:hAnsi="Arial" w:cs="Arial"/>
          <w:sz w:val="20"/>
          <w:szCs w:val="20"/>
        </w:rPr>
        <w:t>a</w:t>
      </w:r>
      <w:r w:rsidR="002B6535" w:rsidRPr="00D47AD0">
        <w:rPr>
          <w:rFonts w:ascii="Arial" w:hAnsi="Arial" w:cs="Arial"/>
          <w:sz w:val="20"/>
          <w:szCs w:val="20"/>
        </w:rPr>
        <w:t>n Eligible P</w:t>
      </w:r>
      <w:r w:rsidR="00365205" w:rsidRPr="00D47AD0">
        <w:rPr>
          <w:rFonts w:ascii="Arial" w:hAnsi="Arial" w:cs="Arial"/>
          <w:sz w:val="20"/>
          <w:szCs w:val="20"/>
        </w:rPr>
        <w:t>articipant exceeding the 1% individual limit</w:t>
      </w:r>
      <w:r w:rsidR="002B6535" w:rsidRPr="00D47AD0">
        <w:rPr>
          <w:rFonts w:ascii="Arial" w:hAnsi="Arial" w:cs="Arial"/>
          <w:sz w:val="20"/>
          <w:szCs w:val="20"/>
        </w:rPr>
        <w:t xml:space="preserve"> </w:t>
      </w:r>
      <w:r w:rsidR="00365205" w:rsidRPr="00D47AD0">
        <w:rPr>
          <w:rFonts w:ascii="Arial" w:hAnsi="Arial" w:cs="Arial"/>
          <w:sz w:val="20"/>
          <w:szCs w:val="20"/>
        </w:rPr>
        <w:t>or</w:t>
      </w:r>
      <w:r w:rsidR="002B6535" w:rsidRPr="00D47AD0">
        <w:rPr>
          <w:rFonts w:ascii="Arial" w:hAnsi="Arial" w:cs="Arial"/>
          <w:sz w:val="20"/>
          <w:szCs w:val="20"/>
        </w:rPr>
        <w:t xml:space="preserve"> </w:t>
      </w:r>
      <w:r w:rsidR="00414625">
        <w:rPr>
          <w:rFonts w:ascii="Arial" w:hAnsi="Arial" w:cs="Arial"/>
          <w:sz w:val="20"/>
          <w:szCs w:val="20"/>
        </w:rPr>
        <w:t xml:space="preserve">(ii) to </w:t>
      </w:r>
      <w:r w:rsidR="00365205" w:rsidRPr="00D47AD0">
        <w:rPr>
          <w:rFonts w:ascii="Arial" w:hAnsi="Arial" w:cs="Arial"/>
          <w:sz w:val="20"/>
          <w:szCs w:val="20"/>
        </w:rPr>
        <w:t>a connect</w:t>
      </w:r>
      <w:r w:rsidR="00283B38" w:rsidRPr="00D47AD0">
        <w:rPr>
          <w:rFonts w:ascii="Arial" w:hAnsi="Arial" w:cs="Arial"/>
          <w:sz w:val="20"/>
          <w:szCs w:val="20"/>
        </w:rPr>
        <w:t>ed</w:t>
      </w:r>
      <w:r w:rsidR="00365205" w:rsidRPr="00D47AD0">
        <w:rPr>
          <w:rFonts w:ascii="Arial" w:hAnsi="Arial" w:cs="Arial"/>
          <w:sz w:val="20"/>
          <w:szCs w:val="20"/>
        </w:rPr>
        <w:t xml:space="preserve"> person exce</w:t>
      </w:r>
      <w:r w:rsidR="00414625">
        <w:rPr>
          <w:rFonts w:ascii="Arial" w:hAnsi="Arial" w:cs="Arial"/>
          <w:sz w:val="20"/>
          <w:szCs w:val="20"/>
        </w:rPr>
        <w:t>eding the following de minimi</w:t>
      </w:r>
      <w:r w:rsidR="00CC6072">
        <w:rPr>
          <w:rFonts w:ascii="Arial" w:hAnsi="Arial" w:cs="Arial"/>
          <w:sz w:val="20"/>
          <w:szCs w:val="20"/>
        </w:rPr>
        <w:t>s threshold</w:t>
      </w:r>
      <w:r w:rsidR="00414625">
        <w:rPr>
          <w:rFonts w:ascii="Arial" w:hAnsi="Arial" w:cs="Arial"/>
          <w:sz w:val="20"/>
          <w:szCs w:val="20"/>
        </w:rPr>
        <w:t xml:space="preserve">s: </w:t>
      </w:r>
    </w:p>
    <w:p w:rsidR="00414625" w:rsidRPr="00414625" w:rsidRDefault="00414625" w:rsidP="00414625">
      <w:pPr>
        <w:pStyle w:val="a8"/>
        <w:rPr>
          <w:rFonts w:ascii="Arial" w:hAnsi="Arial" w:cs="Arial"/>
          <w:sz w:val="20"/>
          <w:szCs w:val="20"/>
        </w:rPr>
      </w:pPr>
    </w:p>
    <w:p w:rsidR="00CE55DC" w:rsidRDefault="00414625" w:rsidP="00414625">
      <w:pPr>
        <w:pStyle w:val="a8"/>
        <w:numPr>
          <w:ilvl w:val="0"/>
          <w:numId w:val="10"/>
        </w:numPr>
        <w:jc w:val="both"/>
        <w:rPr>
          <w:rFonts w:ascii="Arial" w:hAnsi="Arial" w:cs="Arial"/>
          <w:sz w:val="20"/>
          <w:szCs w:val="20"/>
        </w:rPr>
      </w:pPr>
      <w:r>
        <w:rPr>
          <w:rFonts w:ascii="Arial" w:hAnsi="Arial" w:cs="Arial"/>
          <w:sz w:val="20"/>
          <w:szCs w:val="20"/>
        </w:rPr>
        <w:t xml:space="preserve">for </w:t>
      </w:r>
      <w:r w:rsidR="00CE55DC">
        <w:rPr>
          <w:rFonts w:ascii="Arial" w:hAnsi="Arial" w:cs="Arial"/>
          <w:sz w:val="20"/>
          <w:szCs w:val="20"/>
        </w:rPr>
        <w:t>directors</w:t>
      </w:r>
      <w:r>
        <w:rPr>
          <w:rFonts w:ascii="Arial" w:hAnsi="Arial" w:cs="Arial"/>
          <w:sz w:val="20"/>
          <w:szCs w:val="20"/>
        </w:rPr>
        <w:t xml:space="preserve"> (other than </w:t>
      </w:r>
      <w:r w:rsidRPr="00D47AD0">
        <w:rPr>
          <w:rFonts w:ascii="Arial" w:hAnsi="Arial" w:cs="Arial"/>
          <w:sz w:val="20"/>
          <w:szCs w:val="20"/>
        </w:rPr>
        <w:t>Independent Non-executive D</w:t>
      </w:r>
      <w:r>
        <w:rPr>
          <w:rFonts w:ascii="Arial" w:hAnsi="Arial" w:cs="Arial"/>
          <w:sz w:val="20"/>
          <w:szCs w:val="20"/>
        </w:rPr>
        <w:t>irector</w:t>
      </w:r>
      <w:r w:rsidR="00CE55DC">
        <w:rPr>
          <w:rFonts w:ascii="Arial" w:hAnsi="Arial" w:cs="Arial"/>
          <w:sz w:val="20"/>
          <w:szCs w:val="20"/>
        </w:rPr>
        <w:t>s</w:t>
      </w:r>
      <w:r>
        <w:rPr>
          <w:rFonts w:ascii="Arial" w:hAnsi="Arial" w:cs="Arial"/>
          <w:sz w:val="20"/>
          <w:szCs w:val="20"/>
        </w:rPr>
        <w:t xml:space="preserve"> </w:t>
      </w:r>
      <w:r w:rsidRPr="00D47AD0">
        <w:rPr>
          <w:rFonts w:ascii="Arial" w:hAnsi="Arial" w:cs="Arial"/>
          <w:sz w:val="20"/>
          <w:szCs w:val="20"/>
        </w:rPr>
        <w:t>(</w:t>
      </w:r>
      <w:r w:rsidR="00CE55DC">
        <w:rPr>
          <w:rFonts w:ascii="Arial" w:hAnsi="Arial" w:cs="Arial"/>
          <w:b/>
          <w:sz w:val="20"/>
          <w:szCs w:val="20"/>
        </w:rPr>
        <w:t>INEDs</w:t>
      </w:r>
      <w:r>
        <w:rPr>
          <w:rFonts w:ascii="Arial" w:hAnsi="Arial" w:cs="Arial"/>
          <w:sz w:val="20"/>
          <w:szCs w:val="20"/>
        </w:rPr>
        <w:t xml:space="preserve">) </w:t>
      </w:r>
      <w:r w:rsidR="00CE55DC">
        <w:rPr>
          <w:rFonts w:ascii="Arial" w:hAnsi="Arial" w:cs="Arial"/>
          <w:sz w:val="20"/>
          <w:szCs w:val="20"/>
        </w:rPr>
        <w:t>–</w:t>
      </w:r>
      <w:r w:rsidR="00CC6072">
        <w:rPr>
          <w:rFonts w:ascii="Arial" w:hAnsi="Arial" w:cs="Arial"/>
          <w:sz w:val="20"/>
          <w:szCs w:val="20"/>
        </w:rPr>
        <w:t xml:space="preserve"> </w:t>
      </w:r>
      <w:r w:rsidR="00CE55DC">
        <w:rPr>
          <w:rFonts w:ascii="Arial" w:hAnsi="Arial" w:cs="Arial"/>
          <w:sz w:val="20"/>
          <w:szCs w:val="20"/>
        </w:rPr>
        <w:t>grants of</w:t>
      </w:r>
      <w:r w:rsidR="002B6535" w:rsidRPr="00D47AD0">
        <w:rPr>
          <w:rFonts w:ascii="Arial" w:hAnsi="Arial" w:cs="Arial"/>
          <w:sz w:val="20"/>
          <w:szCs w:val="20"/>
        </w:rPr>
        <w:t xml:space="preserve"> </w:t>
      </w:r>
      <w:r w:rsidR="00EB1241" w:rsidRPr="00D47AD0">
        <w:rPr>
          <w:rFonts w:ascii="Arial" w:hAnsi="Arial" w:cs="Arial"/>
          <w:sz w:val="20"/>
          <w:szCs w:val="20"/>
        </w:rPr>
        <w:t>share awards over 0.1</w:t>
      </w:r>
      <w:r w:rsidR="00365205" w:rsidRPr="00D47AD0">
        <w:rPr>
          <w:rFonts w:ascii="Arial" w:hAnsi="Arial" w:cs="Arial"/>
          <w:sz w:val="20"/>
          <w:szCs w:val="20"/>
        </w:rPr>
        <w:t xml:space="preserve">% of </w:t>
      </w:r>
      <w:r w:rsidR="00CE55DC">
        <w:rPr>
          <w:rFonts w:ascii="Arial" w:hAnsi="Arial" w:cs="Arial"/>
          <w:sz w:val="20"/>
          <w:szCs w:val="20"/>
        </w:rPr>
        <w:t>an i</w:t>
      </w:r>
      <w:r w:rsidR="00EB1241" w:rsidRPr="00D47AD0">
        <w:rPr>
          <w:rFonts w:ascii="Arial" w:hAnsi="Arial" w:cs="Arial"/>
          <w:sz w:val="20"/>
          <w:szCs w:val="20"/>
        </w:rPr>
        <w:t xml:space="preserve">ssuer’s </w:t>
      </w:r>
      <w:r w:rsidR="00365205" w:rsidRPr="00D47AD0">
        <w:rPr>
          <w:rFonts w:ascii="Arial" w:hAnsi="Arial" w:cs="Arial"/>
          <w:sz w:val="20"/>
          <w:szCs w:val="20"/>
        </w:rPr>
        <w:t xml:space="preserve">issued shares over a 12 month period </w:t>
      </w:r>
      <w:r w:rsidR="00EB1241" w:rsidRPr="00D47AD0">
        <w:rPr>
          <w:rFonts w:ascii="Arial" w:hAnsi="Arial" w:cs="Arial"/>
          <w:sz w:val="20"/>
          <w:szCs w:val="20"/>
        </w:rPr>
        <w:t xml:space="preserve">(the </w:t>
      </w:r>
      <w:r w:rsidR="00EB1241" w:rsidRPr="00D47AD0">
        <w:rPr>
          <w:rFonts w:ascii="Arial" w:hAnsi="Arial" w:cs="Arial"/>
          <w:b/>
          <w:sz w:val="20"/>
          <w:szCs w:val="20"/>
        </w:rPr>
        <w:t>0.1% Limit</w:t>
      </w:r>
      <w:r w:rsidR="00EB1241" w:rsidRPr="00D47AD0">
        <w:rPr>
          <w:rFonts w:ascii="Arial" w:hAnsi="Arial" w:cs="Arial"/>
          <w:sz w:val="20"/>
          <w:szCs w:val="20"/>
        </w:rPr>
        <w:t>)</w:t>
      </w:r>
      <w:r w:rsidR="00CE55DC">
        <w:rPr>
          <w:rFonts w:ascii="Arial" w:hAnsi="Arial" w:cs="Arial"/>
          <w:sz w:val="20"/>
          <w:szCs w:val="20"/>
        </w:rPr>
        <w:t>;</w:t>
      </w:r>
    </w:p>
    <w:p w:rsidR="00CE55DC" w:rsidRDefault="00CE55DC" w:rsidP="00CE55DC">
      <w:pPr>
        <w:pStyle w:val="a8"/>
        <w:ind w:left="1440"/>
        <w:jc w:val="both"/>
        <w:rPr>
          <w:rFonts w:ascii="Arial" w:hAnsi="Arial" w:cs="Arial"/>
          <w:sz w:val="20"/>
          <w:szCs w:val="20"/>
        </w:rPr>
      </w:pPr>
    </w:p>
    <w:p w:rsidR="00CE55DC" w:rsidRDefault="00CE55DC" w:rsidP="00414625">
      <w:pPr>
        <w:pStyle w:val="a8"/>
        <w:numPr>
          <w:ilvl w:val="0"/>
          <w:numId w:val="10"/>
        </w:numPr>
        <w:jc w:val="both"/>
        <w:rPr>
          <w:rFonts w:ascii="Arial" w:hAnsi="Arial" w:cs="Arial"/>
          <w:sz w:val="20"/>
          <w:szCs w:val="20"/>
        </w:rPr>
      </w:pPr>
      <w:r>
        <w:rPr>
          <w:rFonts w:ascii="Arial" w:hAnsi="Arial" w:cs="Arial"/>
          <w:sz w:val="20"/>
          <w:szCs w:val="20"/>
        </w:rPr>
        <w:t>for INEDs and substantial shareholders –</w:t>
      </w:r>
      <w:r w:rsidR="00283B38" w:rsidRPr="00D47AD0">
        <w:rPr>
          <w:rFonts w:ascii="Arial" w:hAnsi="Arial" w:cs="Arial"/>
          <w:sz w:val="20"/>
          <w:szCs w:val="20"/>
        </w:rPr>
        <w:t xml:space="preserve"> </w:t>
      </w:r>
      <w:r>
        <w:rPr>
          <w:rFonts w:ascii="Arial" w:hAnsi="Arial" w:cs="Arial"/>
          <w:sz w:val="20"/>
          <w:szCs w:val="20"/>
        </w:rPr>
        <w:t>grants of</w:t>
      </w:r>
      <w:r w:rsidR="002B6535" w:rsidRPr="00D47AD0">
        <w:rPr>
          <w:rFonts w:ascii="Arial" w:hAnsi="Arial" w:cs="Arial"/>
          <w:sz w:val="20"/>
          <w:szCs w:val="20"/>
        </w:rPr>
        <w:t xml:space="preserve"> </w:t>
      </w:r>
      <w:r w:rsidR="00EB1241" w:rsidRPr="00D47AD0">
        <w:rPr>
          <w:rFonts w:ascii="Arial" w:hAnsi="Arial" w:cs="Arial"/>
          <w:sz w:val="20"/>
          <w:szCs w:val="20"/>
        </w:rPr>
        <w:t xml:space="preserve">share awards and </w:t>
      </w:r>
      <w:r>
        <w:rPr>
          <w:rFonts w:ascii="Arial" w:hAnsi="Arial" w:cs="Arial"/>
          <w:sz w:val="20"/>
          <w:szCs w:val="20"/>
        </w:rPr>
        <w:t xml:space="preserve">share </w:t>
      </w:r>
      <w:r w:rsidR="00EB1241" w:rsidRPr="00D47AD0">
        <w:rPr>
          <w:rFonts w:ascii="Arial" w:hAnsi="Arial" w:cs="Arial"/>
          <w:sz w:val="20"/>
          <w:szCs w:val="20"/>
        </w:rPr>
        <w:t>options over the 0.1% Limit</w:t>
      </w:r>
      <w:r w:rsidR="002B6535" w:rsidRPr="00D47AD0">
        <w:rPr>
          <w:rFonts w:ascii="Arial" w:hAnsi="Arial" w:cs="Arial"/>
          <w:sz w:val="20"/>
          <w:szCs w:val="20"/>
        </w:rPr>
        <w:t>.</w:t>
      </w:r>
      <w:r w:rsidR="00EB1241" w:rsidRPr="00D47AD0">
        <w:rPr>
          <w:rFonts w:ascii="Arial" w:hAnsi="Arial" w:cs="Arial"/>
          <w:sz w:val="20"/>
          <w:szCs w:val="20"/>
        </w:rPr>
        <w:t xml:space="preserve"> </w:t>
      </w:r>
    </w:p>
    <w:p w:rsidR="00EB1241" w:rsidRPr="00CE55DC" w:rsidRDefault="00EB1241" w:rsidP="00CE55DC">
      <w:pPr>
        <w:ind w:left="720"/>
        <w:jc w:val="both"/>
        <w:rPr>
          <w:rFonts w:ascii="Arial" w:hAnsi="Arial" w:cs="Arial"/>
          <w:sz w:val="20"/>
          <w:szCs w:val="20"/>
        </w:rPr>
      </w:pPr>
      <w:r w:rsidRPr="00CE55DC">
        <w:rPr>
          <w:rFonts w:ascii="Arial" w:hAnsi="Arial" w:cs="Arial"/>
          <w:sz w:val="20"/>
          <w:szCs w:val="20"/>
        </w:rPr>
        <w:t>INEDs</w:t>
      </w:r>
      <w:r w:rsidR="00CE55DC">
        <w:rPr>
          <w:rFonts w:ascii="Arial" w:hAnsi="Arial" w:cs="Arial"/>
          <w:sz w:val="20"/>
          <w:szCs w:val="20"/>
        </w:rPr>
        <w:t>’</w:t>
      </w:r>
      <w:r w:rsidR="002B6535" w:rsidRPr="00CE55DC">
        <w:rPr>
          <w:rFonts w:ascii="Arial" w:hAnsi="Arial" w:cs="Arial"/>
          <w:sz w:val="20"/>
          <w:szCs w:val="20"/>
        </w:rPr>
        <w:t xml:space="preserve"> approval will suffice for</w:t>
      </w:r>
      <w:r w:rsidRPr="00CE55DC">
        <w:rPr>
          <w:rFonts w:ascii="Arial" w:hAnsi="Arial" w:cs="Arial"/>
          <w:sz w:val="20"/>
          <w:szCs w:val="20"/>
        </w:rPr>
        <w:t xml:space="preserve"> </w:t>
      </w:r>
      <w:r w:rsidR="00CE55DC">
        <w:rPr>
          <w:rFonts w:ascii="Arial" w:hAnsi="Arial" w:cs="Arial"/>
          <w:sz w:val="20"/>
          <w:szCs w:val="20"/>
        </w:rPr>
        <w:t xml:space="preserve">grants </w:t>
      </w:r>
      <w:r w:rsidR="00632F9F">
        <w:rPr>
          <w:rFonts w:ascii="Arial" w:hAnsi="Arial" w:cs="Arial"/>
          <w:sz w:val="20"/>
          <w:szCs w:val="20"/>
        </w:rPr>
        <w:t xml:space="preserve">below the 0.1% limit and for grants of </w:t>
      </w:r>
      <w:r w:rsidRPr="00CE55DC">
        <w:rPr>
          <w:rFonts w:ascii="Arial" w:hAnsi="Arial" w:cs="Arial"/>
          <w:sz w:val="20"/>
          <w:szCs w:val="20"/>
        </w:rPr>
        <w:t xml:space="preserve">share options </w:t>
      </w:r>
      <w:r w:rsidR="00283B38" w:rsidRPr="00CE55DC">
        <w:rPr>
          <w:rFonts w:ascii="Arial" w:hAnsi="Arial" w:cs="Arial"/>
          <w:sz w:val="20"/>
          <w:szCs w:val="20"/>
        </w:rPr>
        <w:t>to directors</w:t>
      </w:r>
      <w:r w:rsidR="002B6535" w:rsidRPr="00CE55DC">
        <w:rPr>
          <w:rFonts w:ascii="Arial" w:hAnsi="Arial" w:cs="Arial"/>
          <w:sz w:val="20"/>
          <w:szCs w:val="20"/>
        </w:rPr>
        <w:t>. However, t</w:t>
      </w:r>
      <w:r w:rsidRPr="00CE55DC">
        <w:rPr>
          <w:rFonts w:ascii="Arial" w:hAnsi="Arial" w:cs="Arial"/>
          <w:sz w:val="20"/>
          <w:szCs w:val="20"/>
        </w:rPr>
        <w:t>he Remuneration Committee must provide its</w:t>
      </w:r>
      <w:r w:rsidR="002B6535" w:rsidRPr="00CE55DC">
        <w:rPr>
          <w:rFonts w:ascii="Arial" w:hAnsi="Arial" w:cs="Arial"/>
          <w:sz w:val="20"/>
          <w:szCs w:val="20"/>
        </w:rPr>
        <w:t xml:space="preserve"> views on grants to director</w:t>
      </w:r>
      <w:r w:rsidR="00283B38" w:rsidRPr="00CE55DC">
        <w:rPr>
          <w:rFonts w:ascii="Arial" w:hAnsi="Arial" w:cs="Arial"/>
          <w:sz w:val="20"/>
          <w:szCs w:val="20"/>
        </w:rPr>
        <w:t>s</w:t>
      </w:r>
      <w:r w:rsidR="002B6535" w:rsidRPr="00CE55DC">
        <w:rPr>
          <w:rFonts w:ascii="Arial" w:hAnsi="Arial" w:cs="Arial"/>
          <w:sz w:val="20"/>
          <w:szCs w:val="20"/>
        </w:rPr>
        <w:t xml:space="preserve"> or </w:t>
      </w:r>
      <w:r w:rsidRPr="00CE55DC">
        <w:rPr>
          <w:rFonts w:ascii="Arial" w:hAnsi="Arial" w:cs="Arial"/>
          <w:sz w:val="20"/>
          <w:szCs w:val="20"/>
        </w:rPr>
        <w:t xml:space="preserve">senior managers where the vesting period is </w:t>
      </w:r>
      <w:r w:rsidR="002B6535" w:rsidRPr="00CE55DC">
        <w:rPr>
          <w:rFonts w:ascii="Arial" w:hAnsi="Arial" w:cs="Arial"/>
          <w:sz w:val="20"/>
          <w:szCs w:val="20"/>
        </w:rPr>
        <w:t>less than 12 months or</w:t>
      </w:r>
      <w:r w:rsidRPr="00CE55DC">
        <w:rPr>
          <w:rFonts w:ascii="Arial" w:hAnsi="Arial" w:cs="Arial"/>
          <w:sz w:val="20"/>
          <w:szCs w:val="20"/>
        </w:rPr>
        <w:t xml:space="preserve"> </w:t>
      </w:r>
      <w:r w:rsidR="002B6535" w:rsidRPr="00CE55DC">
        <w:rPr>
          <w:rFonts w:ascii="Arial" w:hAnsi="Arial" w:cs="Arial"/>
          <w:sz w:val="20"/>
          <w:szCs w:val="20"/>
        </w:rPr>
        <w:t>where there is no performance target and/</w:t>
      </w:r>
      <w:r w:rsidR="00C47A00" w:rsidRPr="00CE55DC">
        <w:rPr>
          <w:rFonts w:ascii="Arial" w:hAnsi="Arial" w:cs="Arial"/>
          <w:sz w:val="20"/>
          <w:szCs w:val="20"/>
        </w:rPr>
        <w:t>or clawback mechanism; and</w:t>
      </w:r>
      <w:r w:rsidR="002B6535" w:rsidRPr="00CE55DC">
        <w:rPr>
          <w:rFonts w:ascii="Arial" w:hAnsi="Arial" w:cs="Arial"/>
          <w:sz w:val="20"/>
          <w:szCs w:val="20"/>
        </w:rPr>
        <w:t xml:space="preserve">  </w:t>
      </w:r>
    </w:p>
    <w:p w:rsidR="008F59B4" w:rsidRPr="00D47AD0" w:rsidRDefault="00A54133" w:rsidP="00D47AD0">
      <w:pPr>
        <w:pStyle w:val="a8"/>
        <w:numPr>
          <w:ilvl w:val="0"/>
          <w:numId w:val="4"/>
        </w:numPr>
        <w:jc w:val="both"/>
        <w:rPr>
          <w:rFonts w:ascii="Arial" w:hAnsi="Arial" w:cs="Arial"/>
          <w:sz w:val="20"/>
          <w:szCs w:val="20"/>
        </w:rPr>
      </w:pPr>
      <w:r>
        <w:rPr>
          <w:rFonts w:ascii="Arial" w:hAnsi="Arial" w:cs="Arial"/>
          <w:sz w:val="20"/>
          <w:szCs w:val="20"/>
        </w:rPr>
        <w:lastRenderedPageBreak/>
        <w:t>r</w:t>
      </w:r>
      <w:r w:rsidR="00617276" w:rsidRPr="00D47AD0">
        <w:rPr>
          <w:rFonts w:ascii="Arial" w:hAnsi="Arial" w:cs="Arial"/>
          <w:sz w:val="20"/>
          <w:szCs w:val="20"/>
        </w:rPr>
        <w:t>equi</w:t>
      </w:r>
      <w:r w:rsidR="000A3130">
        <w:rPr>
          <w:rFonts w:ascii="Arial" w:hAnsi="Arial" w:cs="Arial"/>
          <w:sz w:val="20"/>
          <w:szCs w:val="20"/>
        </w:rPr>
        <w:t>rements for other Share S</w:t>
      </w:r>
      <w:r w:rsidR="00253EF2">
        <w:rPr>
          <w:rFonts w:ascii="Arial" w:hAnsi="Arial" w:cs="Arial"/>
          <w:sz w:val="20"/>
          <w:szCs w:val="20"/>
        </w:rPr>
        <w:t>chemes</w:t>
      </w:r>
      <w:r w:rsidR="000A3130">
        <w:rPr>
          <w:rFonts w:ascii="Arial" w:hAnsi="Arial" w:cs="Arial"/>
          <w:sz w:val="20"/>
          <w:szCs w:val="20"/>
        </w:rPr>
        <w:t xml:space="preserve"> – </w:t>
      </w:r>
      <w:r w:rsidR="00843AE3">
        <w:rPr>
          <w:rFonts w:ascii="Arial" w:hAnsi="Arial" w:cs="Arial"/>
          <w:sz w:val="20"/>
          <w:szCs w:val="20"/>
        </w:rPr>
        <w:t>f</w:t>
      </w:r>
      <w:r w:rsidR="000A3130">
        <w:rPr>
          <w:rFonts w:ascii="Arial" w:hAnsi="Arial" w:cs="Arial"/>
          <w:sz w:val="20"/>
          <w:szCs w:val="20"/>
        </w:rPr>
        <w:t>or Share S</w:t>
      </w:r>
      <w:r w:rsidR="008F59B4" w:rsidRPr="00D47AD0">
        <w:rPr>
          <w:rFonts w:ascii="Arial" w:hAnsi="Arial" w:cs="Arial"/>
          <w:sz w:val="20"/>
          <w:szCs w:val="20"/>
        </w:rPr>
        <w:t>chemes funded by existing shares</w:t>
      </w:r>
      <w:r w:rsidR="00283B38" w:rsidRPr="00D47AD0">
        <w:rPr>
          <w:rFonts w:ascii="Arial" w:hAnsi="Arial" w:cs="Arial"/>
          <w:sz w:val="20"/>
          <w:szCs w:val="20"/>
        </w:rPr>
        <w:t>,</w:t>
      </w:r>
      <w:r w:rsidR="000A3130">
        <w:rPr>
          <w:rFonts w:ascii="Arial" w:hAnsi="Arial" w:cs="Arial"/>
          <w:sz w:val="20"/>
          <w:szCs w:val="20"/>
        </w:rPr>
        <w:t xml:space="preserve"> i</w:t>
      </w:r>
      <w:r w:rsidR="008F59B4" w:rsidRPr="00D47AD0">
        <w:rPr>
          <w:rFonts w:ascii="Arial" w:hAnsi="Arial" w:cs="Arial"/>
          <w:sz w:val="20"/>
          <w:szCs w:val="20"/>
        </w:rPr>
        <w:t>ssuers will be required to make certain disclosures in their annual reports</w:t>
      </w:r>
      <w:r w:rsidR="002B6535" w:rsidRPr="00D47AD0">
        <w:rPr>
          <w:rFonts w:ascii="Arial" w:hAnsi="Arial" w:cs="Arial"/>
          <w:sz w:val="20"/>
          <w:szCs w:val="20"/>
        </w:rPr>
        <w:t xml:space="preserve">. </w:t>
      </w:r>
      <w:r w:rsidR="008F59B4" w:rsidRPr="00D47AD0">
        <w:rPr>
          <w:rFonts w:ascii="Arial" w:hAnsi="Arial" w:cs="Arial"/>
          <w:sz w:val="20"/>
          <w:szCs w:val="20"/>
        </w:rPr>
        <w:t xml:space="preserve">The </w:t>
      </w:r>
      <w:r w:rsidR="000A3130">
        <w:rPr>
          <w:rFonts w:ascii="Arial" w:hAnsi="Arial" w:cs="Arial"/>
          <w:sz w:val="20"/>
          <w:szCs w:val="20"/>
        </w:rPr>
        <w:t xml:space="preserve">abovementioned Listing Rule </w:t>
      </w:r>
      <w:r w:rsidR="008F59B4" w:rsidRPr="00D47AD0">
        <w:rPr>
          <w:rFonts w:ascii="Arial" w:hAnsi="Arial" w:cs="Arial"/>
          <w:sz w:val="20"/>
          <w:szCs w:val="20"/>
        </w:rPr>
        <w:t>amendm</w:t>
      </w:r>
      <w:r w:rsidR="00283B38" w:rsidRPr="00D47AD0">
        <w:rPr>
          <w:rFonts w:ascii="Arial" w:hAnsi="Arial" w:cs="Arial"/>
          <w:sz w:val="20"/>
          <w:szCs w:val="20"/>
        </w:rPr>
        <w:t xml:space="preserve">ents only apply to </w:t>
      </w:r>
      <w:r w:rsidR="000A3130">
        <w:rPr>
          <w:rFonts w:ascii="Arial" w:hAnsi="Arial" w:cs="Arial"/>
          <w:sz w:val="20"/>
          <w:szCs w:val="20"/>
        </w:rPr>
        <w:t>the Share Schemes of a listed i</w:t>
      </w:r>
      <w:r w:rsidR="008F59B4" w:rsidRPr="00D47AD0">
        <w:rPr>
          <w:rFonts w:ascii="Arial" w:hAnsi="Arial" w:cs="Arial"/>
          <w:sz w:val="20"/>
          <w:szCs w:val="20"/>
        </w:rPr>
        <w:t xml:space="preserve">ssuer’s principal subsidiaries (meaning those </w:t>
      </w:r>
      <w:r w:rsidR="00843AE3">
        <w:rPr>
          <w:rFonts w:ascii="Arial" w:hAnsi="Arial" w:cs="Arial"/>
          <w:sz w:val="20"/>
          <w:szCs w:val="20"/>
        </w:rPr>
        <w:t xml:space="preserve">subsidiaries </w:t>
      </w:r>
      <w:r w:rsidR="008F59B4" w:rsidRPr="00D47AD0">
        <w:rPr>
          <w:rFonts w:ascii="Arial" w:hAnsi="Arial" w:cs="Arial"/>
          <w:sz w:val="20"/>
          <w:szCs w:val="20"/>
        </w:rPr>
        <w:t xml:space="preserve">whose revenue, </w:t>
      </w:r>
      <w:r w:rsidR="004315C4">
        <w:rPr>
          <w:rFonts w:ascii="Arial" w:hAnsi="Arial" w:cs="Arial"/>
          <w:sz w:val="20"/>
          <w:szCs w:val="20"/>
        </w:rPr>
        <w:t>profit or total assets account</w:t>
      </w:r>
      <w:r w:rsidR="000A3130">
        <w:rPr>
          <w:rFonts w:ascii="Arial" w:hAnsi="Arial" w:cs="Arial"/>
          <w:sz w:val="20"/>
          <w:szCs w:val="20"/>
        </w:rPr>
        <w:t>ed</w:t>
      </w:r>
      <w:r w:rsidR="008F59B4" w:rsidRPr="00D47AD0">
        <w:rPr>
          <w:rFonts w:ascii="Arial" w:hAnsi="Arial" w:cs="Arial"/>
          <w:sz w:val="20"/>
          <w:szCs w:val="20"/>
        </w:rPr>
        <w:t xml:space="preserve"> for 75% or more </w:t>
      </w:r>
      <w:r w:rsidR="000A3130">
        <w:rPr>
          <w:rFonts w:ascii="Arial" w:hAnsi="Arial" w:cs="Arial"/>
          <w:sz w:val="20"/>
          <w:szCs w:val="20"/>
        </w:rPr>
        <w:t>of</w:t>
      </w:r>
      <w:r w:rsidR="002B5D9B">
        <w:rPr>
          <w:rFonts w:ascii="Arial" w:hAnsi="Arial" w:cs="Arial"/>
          <w:sz w:val="20"/>
          <w:szCs w:val="20"/>
        </w:rPr>
        <w:t xml:space="preserve"> that </w:t>
      </w:r>
      <w:r w:rsidR="008F59B4" w:rsidRPr="00D47AD0">
        <w:rPr>
          <w:rFonts w:ascii="Arial" w:hAnsi="Arial" w:cs="Arial"/>
          <w:sz w:val="20"/>
          <w:szCs w:val="20"/>
        </w:rPr>
        <w:t xml:space="preserve">of </w:t>
      </w:r>
      <w:r w:rsidR="000A3130">
        <w:rPr>
          <w:rFonts w:ascii="Arial" w:hAnsi="Arial" w:cs="Arial"/>
          <w:sz w:val="20"/>
          <w:szCs w:val="20"/>
        </w:rPr>
        <w:t>the i</w:t>
      </w:r>
      <w:r w:rsidR="008F59B4" w:rsidRPr="00D47AD0">
        <w:rPr>
          <w:rFonts w:ascii="Arial" w:hAnsi="Arial" w:cs="Arial"/>
          <w:sz w:val="20"/>
          <w:szCs w:val="20"/>
        </w:rPr>
        <w:t>ssuer</w:t>
      </w:r>
      <w:r w:rsidR="00843AE3">
        <w:rPr>
          <w:rFonts w:ascii="Arial" w:hAnsi="Arial" w:cs="Arial"/>
          <w:sz w:val="20"/>
          <w:szCs w:val="20"/>
        </w:rPr>
        <w:t xml:space="preserve"> under the percentage ratio</w:t>
      </w:r>
      <w:r w:rsidR="008F59B4" w:rsidRPr="00D47AD0">
        <w:rPr>
          <w:rFonts w:ascii="Arial" w:hAnsi="Arial" w:cs="Arial"/>
          <w:sz w:val="20"/>
          <w:szCs w:val="20"/>
        </w:rPr>
        <w:t>s in any of th</w:t>
      </w:r>
      <w:r w:rsidR="000A3130">
        <w:rPr>
          <w:rFonts w:ascii="Arial" w:hAnsi="Arial" w:cs="Arial"/>
          <w:sz w:val="20"/>
          <w:szCs w:val="20"/>
        </w:rPr>
        <w:t xml:space="preserve">e latest three financial years). </w:t>
      </w:r>
      <w:r w:rsidR="002B6535" w:rsidRPr="00D47AD0">
        <w:rPr>
          <w:rFonts w:ascii="Arial" w:hAnsi="Arial" w:cs="Arial"/>
          <w:sz w:val="20"/>
          <w:szCs w:val="20"/>
        </w:rPr>
        <w:t xml:space="preserve"> </w:t>
      </w:r>
      <w:r w:rsidR="000A3130">
        <w:rPr>
          <w:rFonts w:ascii="Arial" w:hAnsi="Arial" w:cs="Arial"/>
          <w:sz w:val="20"/>
          <w:szCs w:val="20"/>
        </w:rPr>
        <w:t xml:space="preserve">Other </w:t>
      </w:r>
      <w:r w:rsidR="00C47A00">
        <w:rPr>
          <w:rFonts w:ascii="Arial" w:hAnsi="Arial" w:cs="Arial"/>
          <w:sz w:val="20"/>
          <w:szCs w:val="20"/>
        </w:rPr>
        <w:t>subsidiaries’ shares or options grants</w:t>
      </w:r>
      <w:r w:rsidR="002B6535" w:rsidRPr="00D47AD0">
        <w:rPr>
          <w:rFonts w:ascii="Arial" w:hAnsi="Arial" w:cs="Arial"/>
          <w:sz w:val="20"/>
          <w:szCs w:val="20"/>
        </w:rPr>
        <w:t xml:space="preserve"> </w:t>
      </w:r>
      <w:r w:rsidR="000A3130">
        <w:rPr>
          <w:rFonts w:ascii="Arial" w:hAnsi="Arial" w:cs="Arial"/>
          <w:sz w:val="20"/>
          <w:szCs w:val="20"/>
        </w:rPr>
        <w:t xml:space="preserve">may be </w:t>
      </w:r>
      <w:r w:rsidR="002B6535" w:rsidRPr="00D47AD0">
        <w:rPr>
          <w:rFonts w:ascii="Arial" w:hAnsi="Arial" w:cs="Arial"/>
          <w:sz w:val="20"/>
          <w:szCs w:val="20"/>
        </w:rPr>
        <w:t>notifiable transaction</w:t>
      </w:r>
      <w:r w:rsidR="00283B38" w:rsidRPr="00D47AD0">
        <w:rPr>
          <w:rFonts w:ascii="Arial" w:hAnsi="Arial" w:cs="Arial"/>
          <w:sz w:val="20"/>
          <w:szCs w:val="20"/>
        </w:rPr>
        <w:t>s</w:t>
      </w:r>
      <w:r w:rsidR="002B6535" w:rsidRPr="00D47AD0">
        <w:rPr>
          <w:rFonts w:ascii="Arial" w:hAnsi="Arial" w:cs="Arial"/>
          <w:sz w:val="20"/>
          <w:szCs w:val="20"/>
        </w:rPr>
        <w:t xml:space="preserve"> under </w:t>
      </w:r>
      <w:r w:rsidR="00283B38" w:rsidRPr="00D47AD0">
        <w:rPr>
          <w:rFonts w:ascii="Arial" w:hAnsi="Arial" w:cs="Arial"/>
          <w:sz w:val="20"/>
          <w:szCs w:val="20"/>
        </w:rPr>
        <w:t xml:space="preserve">Chapter 14 of the </w:t>
      </w:r>
      <w:r w:rsidR="000A3130">
        <w:rPr>
          <w:rFonts w:ascii="Arial" w:hAnsi="Arial" w:cs="Arial"/>
          <w:sz w:val="20"/>
          <w:szCs w:val="20"/>
        </w:rPr>
        <w:t xml:space="preserve">Main Board </w:t>
      </w:r>
      <w:r w:rsidR="002B6535" w:rsidRPr="00D47AD0">
        <w:rPr>
          <w:rFonts w:ascii="Arial" w:hAnsi="Arial" w:cs="Arial"/>
          <w:sz w:val="20"/>
          <w:szCs w:val="20"/>
        </w:rPr>
        <w:t>Listing Rules</w:t>
      </w:r>
      <w:r w:rsidR="00124660">
        <w:rPr>
          <w:rFonts w:ascii="Arial" w:hAnsi="Arial" w:cs="Arial"/>
          <w:sz w:val="20"/>
          <w:szCs w:val="20"/>
        </w:rPr>
        <w:t xml:space="preserve"> (Chapter 19 of the GEM Listing Rules)</w:t>
      </w:r>
      <w:r w:rsidR="002B6535" w:rsidRPr="00D47AD0">
        <w:rPr>
          <w:rFonts w:ascii="Arial" w:hAnsi="Arial" w:cs="Arial"/>
          <w:sz w:val="20"/>
          <w:szCs w:val="20"/>
        </w:rPr>
        <w:t xml:space="preserve">. </w:t>
      </w:r>
    </w:p>
    <w:p w:rsidR="002B6535" w:rsidRPr="00D47AD0" w:rsidRDefault="00124660" w:rsidP="00D47AD0">
      <w:pPr>
        <w:jc w:val="both"/>
        <w:rPr>
          <w:rFonts w:ascii="Arial" w:hAnsi="Arial" w:cs="Arial"/>
          <w:sz w:val="20"/>
          <w:szCs w:val="20"/>
        </w:rPr>
      </w:pPr>
      <w:r>
        <w:rPr>
          <w:rFonts w:ascii="Arial" w:hAnsi="Arial" w:cs="Arial"/>
          <w:sz w:val="20"/>
          <w:szCs w:val="20"/>
        </w:rPr>
        <w:t>The HKEx also noted that a listed i</w:t>
      </w:r>
      <w:r w:rsidR="00474484" w:rsidRPr="00D47AD0">
        <w:rPr>
          <w:rFonts w:ascii="Arial" w:hAnsi="Arial" w:cs="Arial"/>
          <w:sz w:val="20"/>
          <w:szCs w:val="20"/>
        </w:rPr>
        <w:t>ssuer can continue to grant shares or option</w:t>
      </w:r>
      <w:r w:rsidR="007E6A1B">
        <w:rPr>
          <w:rFonts w:ascii="Arial" w:hAnsi="Arial" w:cs="Arial"/>
          <w:sz w:val="20"/>
          <w:szCs w:val="20"/>
        </w:rPr>
        <w:t>s</w:t>
      </w:r>
      <w:r w:rsidR="00474484" w:rsidRPr="00D47AD0">
        <w:rPr>
          <w:rFonts w:ascii="Arial" w:hAnsi="Arial" w:cs="Arial"/>
          <w:sz w:val="20"/>
          <w:szCs w:val="20"/>
        </w:rPr>
        <w:t xml:space="preserve"> under its existing schemes if, in the case of a share option scheme, there is an unused scheme mandate limit, or</w:t>
      </w:r>
      <w:r w:rsidR="007E6A1B">
        <w:rPr>
          <w:rFonts w:ascii="Arial" w:hAnsi="Arial" w:cs="Arial"/>
          <w:sz w:val="20"/>
          <w:szCs w:val="20"/>
        </w:rPr>
        <w:t>,</w:t>
      </w:r>
      <w:r w:rsidR="00474484" w:rsidRPr="00D47AD0">
        <w:rPr>
          <w:rFonts w:ascii="Arial" w:hAnsi="Arial" w:cs="Arial"/>
          <w:sz w:val="20"/>
          <w:szCs w:val="20"/>
        </w:rPr>
        <w:t xml:space="preserve"> in the case of a sha</w:t>
      </w:r>
      <w:r w:rsidR="000B0A3E" w:rsidRPr="00D47AD0">
        <w:rPr>
          <w:rFonts w:ascii="Arial" w:hAnsi="Arial" w:cs="Arial"/>
          <w:sz w:val="20"/>
          <w:szCs w:val="20"/>
        </w:rPr>
        <w:t>re award scheme, there is</w:t>
      </w:r>
      <w:r w:rsidR="00474484" w:rsidRPr="00D47AD0">
        <w:rPr>
          <w:rFonts w:ascii="Arial" w:hAnsi="Arial" w:cs="Arial"/>
          <w:sz w:val="20"/>
          <w:szCs w:val="20"/>
        </w:rPr>
        <w:t xml:space="preserve"> an</w:t>
      </w:r>
      <w:r w:rsidR="000B0A3E" w:rsidRPr="00D47AD0">
        <w:rPr>
          <w:rFonts w:ascii="Arial" w:hAnsi="Arial" w:cs="Arial"/>
          <w:sz w:val="20"/>
          <w:szCs w:val="20"/>
        </w:rPr>
        <w:t xml:space="preserve"> unutilised advance shareholders</w:t>
      </w:r>
      <w:r w:rsidR="00C47A00">
        <w:rPr>
          <w:rFonts w:ascii="Arial" w:hAnsi="Arial" w:cs="Arial"/>
          <w:sz w:val="20"/>
          <w:szCs w:val="20"/>
        </w:rPr>
        <w:t>’</w:t>
      </w:r>
      <w:r w:rsidR="000B0A3E" w:rsidRPr="00D47AD0">
        <w:rPr>
          <w:rFonts w:ascii="Arial" w:hAnsi="Arial" w:cs="Arial"/>
          <w:sz w:val="20"/>
          <w:szCs w:val="20"/>
        </w:rPr>
        <w:t xml:space="preserve"> </w:t>
      </w:r>
      <w:r w:rsidR="00474484" w:rsidRPr="00D47AD0">
        <w:rPr>
          <w:rFonts w:ascii="Arial" w:hAnsi="Arial" w:cs="Arial"/>
          <w:sz w:val="20"/>
          <w:szCs w:val="20"/>
        </w:rPr>
        <w:t>mandate</w:t>
      </w:r>
      <w:r w:rsidR="002B6535" w:rsidRPr="00D47AD0">
        <w:rPr>
          <w:rFonts w:ascii="Arial" w:hAnsi="Arial" w:cs="Arial"/>
          <w:sz w:val="20"/>
          <w:szCs w:val="20"/>
        </w:rPr>
        <w:t>. In the case of a</w:t>
      </w:r>
      <w:r w:rsidR="000B0A3E" w:rsidRPr="00D47AD0">
        <w:rPr>
          <w:rFonts w:ascii="Arial" w:hAnsi="Arial" w:cs="Arial"/>
          <w:sz w:val="20"/>
          <w:szCs w:val="20"/>
        </w:rPr>
        <w:t>n existing</w:t>
      </w:r>
      <w:r w:rsidR="002B6535" w:rsidRPr="00D47AD0">
        <w:rPr>
          <w:rFonts w:ascii="Arial" w:hAnsi="Arial" w:cs="Arial"/>
          <w:sz w:val="20"/>
          <w:szCs w:val="20"/>
        </w:rPr>
        <w:t xml:space="preserve"> share award scheme w</w:t>
      </w:r>
      <w:r>
        <w:rPr>
          <w:rFonts w:ascii="Arial" w:hAnsi="Arial" w:cs="Arial"/>
          <w:sz w:val="20"/>
          <w:szCs w:val="20"/>
        </w:rPr>
        <w:t>h</w:t>
      </w:r>
      <w:r w:rsidR="002B6535" w:rsidRPr="00D47AD0">
        <w:rPr>
          <w:rFonts w:ascii="Arial" w:hAnsi="Arial" w:cs="Arial"/>
          <w:sz w:val="20"/>
          <w:szCs w:val="20"/>
        </w:rPr>
        <w:t xml:space="preserve">ere </w:t>
      </w:r>
      <w:r w:rsidR="00474484" w:rsidRPr="00D47AD0">
        <w:rPr>
          <w:rFonts w:ascii="Arial" w:hAnsi="Arial" w:cs="Arial"/>
          <w:sz w:val="20"/>
          <w:szCs w:val="20"/>
        </w:rPr>
        <w:t xml:space="preserve">new shares </w:t>
      </w:r>
      <w:r w:rsidR="002B6535" w:rsidRPr="00D47AD0">
        <w:rPr>
          <w:rFonts w:ascii="Arial" w:hAnsi="Arial" w:cs="Arial"/>
          <w:sz w:val="20"/>
          <w:szCs w:val="20"/>
        </w:rPr>
        <w:t>are</w:t>
      </w:r>
      <w:r w:rsidR="00474484" w:rsidRPr="00D47AD0">
        <w:rPr>
          <w:rFonts w:ascii="Arial" w:hAnsi="Arial" w:cs="Arial"/>
          <w:sz w:val="20"/>
          <w:szCs w:val="20"/>
        </w:rPr>
        <w:t xml:space="preserve"> granted using a genera</w:t>
      </w:r>
      <w:r w:rsidR="002B6535" w:rsidRPr="00D47AD0">
        <w:rPr>
          <w:rFonts w:ascii="Arial" w:hAnsi="Arial" w:cs="Arial"/>
          <w:sz w:val="20"/>
          <w:szCs w:val="20"/>
        </w:rPr>
        <w:t>l mandate</w:t>
      </w:r>
      <w:r w:rsidR="000B0A3E" w:rsidRPr="00D47AD0">
        <w:rPr>
          <w:rFonts w:ascii="Arial" w:hAnsi="Arial" w:cs="Arial"/>
          <w:sz w:val="20"/>
          <w:szCs w:val="20"/>
        </w:rPr>
        <w:t>,</w:t>
      </w:r>
      <w:r w:rsidR="002B6535" w:rsidRPr="00D47AD0">
        <w:rPr>
          <w:rFonts w:ascii="Arial" w:hAnsi="Arial" w:cs="Arial"/>
          <w:sz w:val="20"/>
          <w:szCs w:val="20"/>
        </w:rPr>
        <w:t xml:space="preserve"> </w:t>
      </w:r>
      <w:r>
        <w:rPr>
          <w:rFonts w:ascii="Arial" w:hAnsi="Arial" w:cs="Arial"/>
          <w:sz w:val="20"/>
          <w:szCs w:val="20"/>
        </w:rPr>
        <w:t>an i</w:t>
      </w:r>
      <w:r w:rsidR="00474484" w:rsidRPr="00D47AD0">
        <w:rPr>
          <w:rFonts w:ascii="Arial" w:hAnsi="Arial" w:cs="Arial"/>
          <w:sz w:val="20"/>
          <w:szCs w:val="20"/>
        </w:rPr>
        <w:t xml:space="preserve">ssuer may continue to </w:t>
      </w:r>
      <w:r w:rsidR="000B0A3E" w:rsidRPr="00D47AD0">
        <w:rPr>
          <w:rFonts w:ascii="Arial" w:hAnsi="Arial" w:cs="Arial"/>
          <w:sz w:val="20"/>
          <w:szCs w:val="20"/>
        </w:rPr>
        <w:t>grant new shares under it</w:t>
      </w:r>
      <w:r w:rsidR="00474484" w:rsidRPr="00D47AD0">
        <w:rPr>
          <w:rFonts w:ascii="Arial" w:hAnsi="Arial" w:cs="Arial"/>
          <w:sz w:val="20"/>
          <w:szCs w:val="20"/>
        </w:rPr>
        <w:t xml:space="preserve"> until its second AGM after 1 January 2023</w:t>
      </w:r>
      <w:r w:rsidR="000452F9" w:rsidRPr="00D47AD0">
        <w:rPr>
          <w:rFonts w:ascii="Arial" w:hAnsi="Arial" w:cs="Arial"/>
          <w:sz w:val="20"/>
          <w:szCs w:val="20"/>
        </w:rPr>
        <w:t xml:space="preserve">. </w:t>
      </w:r>
    </w:p>
    <w:p w:rsidR="003C4732" w:rsidRPr="00D47AD0" w:rsidRDefault="003C4732" w:rsidP="00D47AD0">
      <w:pPr>
        <w:jc w:val="both"/>
        <w:rPr>
          <w:rFonts w:ascii="Arial" w:hAnsi="Arial" w:cs="Arial"/>
          <w:b/>
          <w:color w:val="FF0000"/>
          <w:sz w:val="20"/>
          <w:szCs w:val="20"/>
        </w:rPr>
      </w:pPr>
      <w:r w:rsidRPr="00D47AD0">
        <w:rPr>
          <w:rFonts w:ascii="Arial" w:hAnsi="Arial" w:cs="Arial"/>
          <w:b/>
          <w:color w:val="FF0000"/>
          <w:sz w:val="20"/>
          <w:szCs w:val="20"/>
        </w:rPr>
        <w:t>Preparation for Financial Year-End Reporting a</w:t>
      </w:r>
      <w:r w:rsidR="00A54133">
        <w:rPr>
          <w:rFonts w:ascii="Arial" w:hAnsi="Arial" w:cs="Arial"/>
          <w:b/>
          <w:color w:val="FF0000"/>
          <w:sz w:val="20"/>
          <w:szCs w:val="20"/>
        </w:rPr>
        <w:t xml:space="preserve">nd Annual General Meetings </w:t>
      </w:r>
      <w:r w:rsidR="001A79C4">
        <w:rPr>
          <w:rFonts w:ascii="Arial" w:hAnsi="Arial" w:cs="Arial"/>
          <w:b/>
          <w:color w:val="FF0000"/>
          <w:sz w:val="20"/>
          <w:szCs w:val="20"/>
        </w:rPr>
        <w:t xml:space="preserve">for Hong Kong Issuers </w:t>
      </w:r>
      <w:r w:rsidRPr="00D47AD0">
        <w:rPr>
          <w:rFonts w:ascii="Arial" w:hAnsi="Arial" w:cs="Arial"/>
          <w:b/>
          <w:color w:val="FF0000"/>
          <w:sz w:val="20"/>
          <w:szCs w:val="20"/>
        </w:rPr>
        <w:t xml:space="preserve"> </w:t>
      </w:r>
    </w:p>
    <w:p w:rsidR="003C4732" w:rsidRPr="00D47AD0" w:rsidRDefault="003C4732" w:rsidP="00D47AD0">
      <w:pPr>
        <w:jc w:val="both"/>
        <w:rPr>
          <w:rFonts w:ascii="Arial" w:hAnsi="Arial" w:cs="Arial"/>
          <w:b/>
          <w:sz w:val="20"/>
          <w:szCs w:val="20"/>
        </w:rPr>
      </w:pPr>
      <w:r w:rsidRPr="00D47AD0">
        <w:rPr>
          <w:rFonts w:ascii="Arial" w:hAnsi="Arial" w:cs="Arial"/>
          <w:b/>
          <w:sz w:val="20"/>
          <w:szCs w:val="20"/>
        </w:rPr>
        <w:t xml:space="preserve">Change of </w:t>
      </w:r>
      <w:r w:rsidR="004315C4">
        <w:rPr>
          <w:rFonts w:ascii="Arial" w:hAnsi="Arial" w:cs="Arial"/>
          <w:b/>
          <w:sz w:val="20"/>
          <w:szCs w:val="20"/>
        </w:rPr>
        <w:t xml:space="preserve">Hong Kong Issuers’ </w:t>
      </w:r>
      <w:r w:rsidRPr="00D47AD0">
        <w:rPr>
          <w:rFonts w:ascii="Arial" w:hAnsi="Arial" w:cs="Arial"/>
          <w:b/>
          <w:sz w:val="20"/>
          <w:szCs w:val="20"/>
        </w:rPr>
        <w:t xml:space="preserve">Auditors </w:t>
      </w:r>
    </w:p>
    <w:p w:rsidR="00B65812" w:rsidRPr="00D47AD0" w:rsidRDefault="00381603" w:rsidP="00D47AD0">
      <w:pPr>
        <w:jc w:val="both"/>
        <w:rPr>
          <w:rFonts w:ascii="Arial" w:hAnsi="Arial" w:cs="Arial"/>
          <w:sz w:val="20"/>
          <w:szCs w:val="20"/>
        </w:rPr>
      </w:pPr>
      <w:r w:rsidRPr="00D47AD0">
        <w:rPr>
          <w:rFonts w:ascii="Arial" w:hAnsi="Arial" w:cs="Arial"/>
          <w:sz w:val="20"/>
          <w:szCs w:val="20"/>
        </w:rPr>
        <w:t xml:space="preserve">There was a marked increase in the </w:t>
      </w:r>
      <w:r w:rsidR="000B0A3E" w:rsidRPr="00D47AD0">
        <w:rPr>
          <w:rFonts w:ascii="Arial" w:hAnsi="Arial" w:cs="Arial"/>
          <w:sz w:val="20"/>
          <w:szCs w:val="20"/>
        </w:rPr>
        <w:t xml:space="preserve">number of issuers announcing a change of </w:t>
      </w:r>
      <w:r w:rsidRPr="00D47AD0">
        <w:rPr>
          <w:rFonts w:ascii="Arial" w:hAnsi="Arial" w:cs="Arial"/>
          <w:sz w:val="20"/>
          <w:szCs w:val="20"/>
        </w:rPr>
        <w:t>auditor</w:t>
      </w:r>
      <w:r w:rsidR="00B65812" w:rsidRPr="00D47AD0">
        <w:rPr>
          <w:rFonts w:ascii="Arial" w:hAnsi="Arial" w:cs="Arial"/>
          <w:sz w:val="20"/>
          <w:szCs w:val="20"/>
        </w:rPr>
        <w:t>s in 2022. The HK</w:t>
      </w:r>
      <w:r w:rsidR="000B0A3E" w:rsidRPr="00D47AD0">
        <w:rPr>
          <w:rFonts w:ascii="Arial" w:hAnsi="Arial" w:cs="Arial"/>
          <w:sz w:val="20"/>
          <w:szCs w:val="20"/>
        </w:rPr>
        <w:t>Ex noted the most common reason</w:t>
      </w:r>
      <w:r w:rsidR="00B65812" w:rsidRPr="00D47AD0">
        <w:rPr>
          <w:rFonts w:ascii="Arial" w:hAnsi="Arial" w:cs="Arial"/>
          <w:sz w:val="20"/>
          <w:szCs w:val="20"/>
        </w:rPr>
        <w:t xml:space="preserve"> </w:t>
      </w:r>
      <w:r w:rsidR="002B6535" w:rsidRPr="00D47AD0">
        <w:rPr>
          <w:rFonts w:ascii="Arial" w:hAnsi="Arial" w:cs="Arial"/>
          <w:sz w:val="20"/>
          <w:szCs w:val="20"/>
        </w:rPr>
        <w:t>for change was</w:t>
      </w:r>
      <w:r w:rsidR="00B65812" w:rsidRPr="00D47AD0">
        <w:rPr>
          <w:rFonts w:ascii="Arial" w:hAnsi="Arial" w:cs="Arial"/>
          <w:sz w:val="20"/>
          <w:szCs w:val="20"/>
        </w:rPr>
        <w:t xml:space="preserve"> the inability to agree on either the audit fee or audit timetable </w:t>
      </w:r>
      <w:r w:rsidR="007E6A1B">
        <w:rPr>
          <w:rFonts w:ascii="Arial" w:hAnsi="Arial" w:cs="Arial"/>
          <w:sz w:val="20"/>
          <w:szCs w:val="20"/>
        </w:rPr>
        <w:t>(caused</w:t>
      </w:r>
      <w:r w:rsidR="00124660">
        <w:rPr>
          <w:rFonts w:ascii="Arial" w:hAnsi="Arial" w:cs="Arial"/>
          <w:sz w:val="20"/>
          <w:szCs w:val="20"/>
        </w:rPr>
        <w:t>, in some cases,</w:t>
      </w:r>
      <w:r w:rsidR="007E6A1B">
        <w:rPr>
          <w:rFonts w:ascii="Arial" w:hAnsi="Arial" w:cs="Arial"/>
          <w:sz w:val="20"/>
          <w:szCs w:val="20"/>
        </w:rPr>
        <w:t xml:space="preserve"> by</w:t>
      </w:r>
      <w:r w:rsidR="00124660">
        <w:rPr>
          <w:rFonts w:ascii="Arial" w:hAnsi="Arial" w:cs="Arial"/>
          <w:sz w:val="20"/>
          <w:szCs w:val="20"/>
        </w:rPr>
        <w:t xml:space="preserve"> the increase in cost</w:t>
      </w:r>
      <w:r w:rsidR="00B65812" w:rsidRPr="00D47AD0">
        <w:rPr>
          <w:rFonts w:ascii="Arial" w:hAnsi="Arial" w:cs="Arial"/>
          <w:sz w:val="20"/>
          <w:szCs w:val="20"/>
        </w:rPr>
        <w:t xml:space="preserve"> and duration of the audit process due to the pandemic</w:t>
      </w:r>
      <w:r w:rsidR="007E6A1B">
        <w:rPr>
          <w:rFonts w:ascii="Arial" w:hAnsi="Arial" w:cs="Arial"/>
          <w:sz w:val="20"/>
          <w:szCs w:val="20"/>
        </w:rPr>
        <w:t>)</w:t>
      </w:r>
      <w:r w:rsidR="00B65812" w:rsidRPr="00D47AD0">
        <w:rPr>
          <w:rFonts w:ascii="Arial" w:hAnsi="Arial" w:cs="Arial"/>
          <w:sz w:val="20"/>
          <w:szCs w:val="20"/>
        </w:rPr>
        <w:t xml:space="preserve">. It </w:t>
      </w:r>
      <w:r w:rsidR="002B6535" w:rsidRPr="00D47AD0">
        <w:rPr>
          <w:rFonts w:ascii="Arial" w:hAnsi="Arial" w:cs="Arial"/>
          <w:sz w:val="20"/>
          <w:szCs w:val="20"/>
        </w:rPr>
        <w:t>noted that some auditor resignations close to or after an</w:t>
      </w:r>
      <w:r w:rsidR="00124660">
        <w:rPr>
          <w:rFonts w:ascii="Arial" w:hAnsi="Arial" w:cs="Arial"/>
          <w:sz w:val="20"/>
          <w:szCs w:val="20"/>
        </w:rPr>
        <w:t xml:space="preserve"> i</w:t>
      </w:r>
      <w:r w:rsidR="00B65812" w:rsidRPr="00D47AD0">
        <w:rPr>
          <w:rFonts w:ascii="Arial" w:hAnsi="Arial" w:cs="Arial"/>
          <w:sz w:val="20"/>
          <w:szCs w:val="20"/>
        </w:rPr>
        <w:t xml:space="preserve">ssuer’s financial year end caused delays in audits </w:t>
      </w:r>
      <w:r w:rsidR="000B0A3E" w:rsidRPr="00D47AD0">
        <w:rPr>
          <w:rFonts w:ascii="Arial" w:hAnsi="Arial" w:cs="Arial"/>
          <w:sz w:val="20"/>
          <w:szCs w:val="20"/>
        </w:rPr>
        <w:t xml:space="preserve">or even trading suspensions. The HKEx </w:t>
      </w:r>
      <w:r w:rsidR="00B65812" w:rsidRPr="00D47AD0">
        <w:rPr>
          <w:rFonts w:ascii="Arial" w:hAnsi="Arial" w:cs="Arial"/>
          <w:sz w:val="20"/>
          <w:szCs w:val="20"/>
        </w:rPr>
        <w:t xml:space="preserve">thus reiterated its expectations for an audit committee to: </w:t>
      </w:r>
    </w:p>
    <w:p w:rsidR="00B65812" w:rsidRDefault="007E6A1B" w:rsidP="00D47AD0">
      <w:pPr>
        <w:pStyle w:val="a8"/>
        <w:numPr>
          <w:ilvl w:val="0"/>
          <w:numId w:val="5"/>
        </w:numPr>
        <w:jc w:val="both"/>
        <w:rPr>
          <w:rFonts w:ascii="Arial" w:hAnsi="Arial" w:cs="Arial"/>
          <w:sz w:val="20"/>
          <w:szCs w:val="20"/>
        </w:rPr>
      </w:pPr>
      <w:r>
        <w:rPr>
          <w:rFonts w:ascii="Arial" w:hAnsi="Arial" w:cs="Arial"/>
          <w:sz w:val="20"/>
          <w:szCs w:val="20"/>
        </w:rPr>
        <w:t>m</w:t>
      </w:r>
      <w:r w:rsidR="00B65812" w:rsidRPr="00D47AD0">
        <w:rPr>
          <w:rFonts w:ascii="Arial" w:hAnsi="Arial" w:cs="Arial"/>
          <w:sz w:val="20"/>
          <w:szCs w:val="20"/>
        </w:rPr>
        <w:t xml:space="preserve">aintain a dialogue with the auditors throughout the </w:t>
      </w:r>
      <w:r w:rsidR="00C84AFD" w:rsidRPr="00D47AD0">
        <w:rPr>
          <w:rFonts w:ascii="Arial" w:hAnsi="Arial" w:cs="Arial"/>
          <w:sz w:val="20"/>
          <w:szCs w:val="20"/>
        </w:rPr>
        <w:t xml:space="preserve">audit process and keep </w:t>
      </w:r>
      <w:r w:rsidR="000B0A3E" w:rsidRPr="00D47AD0">
        <w:rPr>
          <w:rFonts w:ascii="Arial" w:hAnsi="Arial" w:cs="Arial"/>
          <w:sz w:val="20"/>
          <w:szCs w:val="20"/>
        </w:rPr>
        <w:t xml:space="preserve">itself </w:t>
      </w:r>
      <w:r w:rsidR="00C84AFD" w:rsidRPr="00D47AD0">
        <w:rPr>
          <w:rFonts w:ascii="Arial" w:hAnsi="Arial" w:cs="Arial"/>
          <w:sz w:val="20"/>
          <w:szCs w:val="20"/>
        </w:rPr>
        <w:t>appraise</w:t>
      </w:r>
      <w:r w:rsidR="000B0A3E" w:rsidRPr="00D47AD0">
        <w:rPr>
          <w:rFonts w:ascii="Arial" w:hAnsi="Arial" w:cs="Arial"/>
          <w:sz w:val="20"/>
          <w:szCs w:val="20"/>
        </w:rPr>
        <w:t>d</w:t>
      </w:r>
      <w:r w:rsidR="00C84AFD" w:rsidRPr="00D47AD0">
        <w:rPr>
          <w:rFonts w:ascii="Arial" w:hAnsi="Arial" w:cs="Arial"/>
          <w:sz w:val="20"/>
          <w:szCs w:val="20"/>
        </w:rPr>
        <w:t xml:space="preserve"> </w:t>
      </w:r>
      <w:r w:rsidR="00124660">
        <w:rPr>
          <w:rFonts w:ascii="Arial" w:hAnsi="Arial" w:cs="Arial"/>
          <w:sz w:val="20"/>
          <w:szCs w:val="20"/>
        </w:rPr>
        <w:t>of any contentious audit issues</w:t>
      </w:r>
      <w:r w:rsidR="000B0A3E" w:rsidRPr="00D47AD0">
        <w:rPr>
          <w:rFonts w:ascii="Arial" w:hAnsi="Arial" w:cs="Arial"/>
          <w:sz w:val="20"/>
          <w:szCs w:val="20"/>
        </w:rPr>
        <w:t>;</w:t>
      </w:r>
    </w:p>
    <w:p w:rsidR="00C47A00" w:rsidRPr="00C47A00" w:rsidRDefault="00C47A00" w:rsidP="00C47A00">
      <w:pPr>
        <w:pStyle w:val="a8"/>
        <w:jc w:val="both"/>
        <w:rPr>
          <w:rFonts w:ascii="Arial" w:hAnsi="Arial" w:cs="Arial"/>
          <w:sz w:val="16"/>
          <w:szCs w:val="16"/>
        </w:rPr>
      </w:pPr>
    </w:p>
    <w:p w:rsidR="00C47A00" w:rsidRDefault="001C6B41" w:rsidP="00C47A00">
      <w:pPr>
        <w:pStyle w:val="a8"/>
        <w:numPr>
          <w:ilvl w:val="0"/>
          <w:numId w:val="5"/>
        </w:numPr>
        <w:jc w:val="both"/>
        <w:rPr>
          <w:rFonts w:ascii="Arial" w:hAnsi="Arial" w:cs="Arial"/>
          <w:sz w:val="20"/>
          <w:szCs w:val="20"/>
        </w:rPr>
      </w:pPr>
      <w:r w:rsidRPr="00D47AD0">
        <w:rPr>
          <w:rFonts w:ascii="Arial" w:hAnsi="Arial" w:cs="Arial"/>
          <w:sz w:val="20"/>
          <w:szCs w:val="20"/>
        </w:rPr>
        <w:t>h</w:t>
      </w:r>
      <w:r w:rsidR="00C84AFD" w:rsidRPr="00D47AD0">
        <w:rPr>
          <w:rFonts w:ascii="Arial" w:hAnsi="Arial" w:cs="Arial"/>
          <w:sz w:val="20"/>
          <w:szCs w:val="20"/>
        </w:rPr>
        <w:t>ave a clear understanding of the underlying reason</w:t>
      </w:r>
      <w:r w:rsidR="001635B8">
        <w:rPr>
          <w:rFonts w:ascii="Arial" w:hAnsi="Arial" w:cs="Arial"/>
          <w:sz w:val="20"/>
          <w:szCs w:val="20"/>
        </w:rPr>
        <w:t>s</w:t>
      </w:r>
      <w:r w:rsidR="00C84AFD" w:rsidRPr="00D47AD0">
        <w:rPr>
          <w:rFonts w:ascii="Arial" w:hAnsi="Arial" w:cs="Arial"/>
          <w:sz w:val="20"/>
          <w:szCs w:val="20"/>
        </w:rPr>
        <w:t xml:space="preserve"> for </w:t>
      </w:r>
      <w:r w:rsidR="002B5D9B">
        <w:rPr>
          <w:rFonts w:ascii="Arial" w:hAnsi="Arial" w:cs="Arial"/>
          <w:sz w:val="20"/>
          <w:szCs w:val="20"/>
        </w:rPr>
        <w:t>the auditor</w:t>
      </w:r>
      <w:r w:rsidR="00C84AFD" w:rsidRPr="00D47AD0">
        <w:rPr>
          <w:rFonts w:ascii="Arial" w:hAnsi="Arial" w:cs="Arial"/>
          <w:sz w:val="20"/>
          <w:szCs w:val="20"/>
        </w:rPr>
        <w:t>s</w:t>
      </w:r>
      <w:r w:rsidR="002B5D9B">
        <w:rPr>
          <w:rFonts w:ascii="Arial" w:hAnsi="Arial" w:cs="Arial"/>
          <w:sz w:val="20"/>
          <w:szCs w:val="20"/>
        </w:rPr>
        <w:t>’</w:t>
      </w:r>
      <w:r w:rsidR="00C84AFD" w:rsidRPr="00D47AD0">
        <w:rPr>
          <w:rFonts w:ascii="Arial" w:hAnsi="Arial" w:cs="Arial"/>
          <w:sz w:val="20"/>
          <w:szCs w:val="20"/>
        </w:rPr>
        <w:t xml:space="preserve"> resignation, inclusive of:</w:t>
      </w:r>
    </w:p>
    <w:p w:rsidR="00C47A00" w:rsidRPr="00C47A00" w:rsidRDefault="00C47A00" w:rsidP="00C47A00">
      <w:pPr>
        <w:pStyle w:val="a8"/>
        <w:rPr>
          <w:rFonts w:ascii="Arial" w:hAnsi="Arial" w:cs="Arial"/>
          <w:sz w:val="10"/>
          <w:szCs w:val="10"/>
        </w:rPr>
      </w:pPr>
    </w:p>
    <w:p w:rsidR="00C84AFD" w:rsidRPr="00D47AD0" w:rsidRDefault="001C6B41" w:rsidP="00A54133">
      <w:pPr>
        <w:pStyle w:val="a8"/>
        <w:numPr>
          <w:ilvl w:val="1"/>
          <w:numId w:val="5"/>
        </w:numPr>
        <w:jc w:val="both"/>
        <w:rPr>
          <w:rFonts w:ascii="Arial" w:hAnsi="Arial" w:cs="Arial"/>
          <w:sz w:val="20"/>
          <w:szCs w:val="20"/>
        </w:rPr>
      </w:pPr>
      <w:r w:rsidRPr="00D47AD0">
        <w:rPr>
          <w:rFonts w:ascii="Arial" w:hAnsi="Arial" w:cs="Arial"/>
          <w:sz w:val="20"/>
          <w:szCs w:val="20"/>
        </w:rPr>
        <w:t>h</w:t>
      </w:r>
      <w:r w:rsidR="00C84AFD" w:rsidRPr="00D47AD0">
        <w:rPr>
          <w:rFonts w:ascii="Arial" w:hAnsi="Arial" w:cs="Arial"/>
          <w:sz w:val="20"/>
          <w:szCs w:val="20"/>
        </w:rPr>
        <w:t xml:space="preserve">olding a private meeting with outgoing auditors to discuss </w:t>
      </w:r>
      <w:r w:rsidR="000B0A3E" w:rsidRPr="00D47AD0">
        <w:rPr>
          <w:rFonts w:ascii="Arial" w:hAnsi="Arial" w:cs="Arial"/>
          <w:sz w:val="20"/>
          <w:szCs w:val="20"/>
        </w:rPr>
        <w:t xml:space="preserve">any </w:t>
      </w:r>
      <w:r w:rsidR="00A54133" w:rsidRPr="00A54133">
        <w:rPr>
          <w:rFonts w:ascii="Arial" w:hAnsi="Arial" w:cs="Arial"/>
          <w:sz w:val="20"/>
          <w:szCs w:val="20"/>
        </w:rPr>
        <w:t>contentious</w:t>
      </w:r>
      <w:r w:rsidR="00C84AFD" w:rsidRPr="00D47AD0">
        <w:rPr>
          <w:rFonts w:ascii="Arial" w:hAnsi="Arial" w:cs="Arial"/>
          <w:sz w:val="20"/>
          <w:szCs w:val="20"/>
        </w:rPr>
        <w:t xml:space="preserve"> audit issues raised</w:t>
      </w:r>
      <w:r w:rsidR="000B0A3E" w:rsidRPr="00D47AD0">
        <w:rPr>
          <w:rFonts w:ascii="Arial" w:hAnsi="Arial" w:cs="Arial"/>
          <w:sz w:val="20"/>
          <w:szCs w:val="20"/>
        </w:rPr>
        <w:t xml:space="preserve"> during the course of the audit;</w:t>
      </w:r>
    </w:p>
    <w:p w:rsidR="00C84AFD" w:rsidRPr="00D47AD0" w:rsidRDefault="001C6B41" w:rsidP="00D47AD0">
      <w:pPr>
        <w:pStyle w:val="a8"/>
        <w:numPr>
          <w:ilvl w:val="1"/>
          <w:numId w:val="5"/>
        </w:numPr>
        <w:jc w:val="both"/>
        <w:rPr>
          <w:rFonts w:ascii="Arial" w:hAnsi="Arial" w:cs="Arial"/>
          <w:sz w:val="20"/>
          <w:szCs w:val="20"/>
        </w:rPr>
      </w:pPr>
      <w:r w:rsidRPr="00D47AD0">
        <w:rPr>
          <w:rFonts w:ascii="Arial" w:hAnsi="Arial" w:cs="Arial"/>
          <w:sz w:val="20"/>
          <w:szCs w:val="20"/>
        </w:rPr>
        <w:t>en</w:t>
      </w:r>
      <w:r w:rsidR="006E1E8E" w:rsidRPr="00D47AD0">
        <w:rPr>
          <w:rFonts w:ascii="Arial" w:hAnsi="Arial" w:cs="Arial"/>
          <w:sz w:val="20"/>
          <w:szCs w:val="20"/>
        </w:rPr>
        <w:t>suring the auditor</w:t>
      </w:r>
      <w:r w:rsidR="00C84AFD" w:rsidRPr="00D47AD0">
        <w:rPr>
          <w:rFonts w:ascii="Arial" w:hAnsi="Arial" w:cs="Arial"/>
          <w:sz w:val="20"/>
          <w:szCs w:val="20"/>
        </w:rPr>
        <w:t>s</w:t>
      </w:r>
      <w:r w:rsidR="006E1E8E" w:rsidRPr="00D47AD0">
        <w:rPr>
          <w:rFonts w:ascii="Arial" w:hAnsi="Arial" w:cs="Arial"/>
          <w:sz w:val="20"/>
          <w:szCs w:val="20"/>
        </w:rPr>
        <w:t>’</w:t>
      </w:r>
      <w:r w:rsidR="00C84AFD" w:rsidRPr="00D47AD0">
        <w:rPr>
          <w:rFonts w:ascii="Arial" w:hAnsi="Arial" w:cs="Arial"/>
          <w:sz w:val="20"/>
          <w:szCs w:val="20"/>
        </w:rPr>
        <w:t xml:space="preserve"> resignation letter clearly reflects the reason</w:t>
      </w:r>
      <w:r w:rsidR="001635B8">
        <w:rPr>
          <w:rFonts w:ascii="Arial" w:hAnsi="Arial" w:cs="Arial"/>
          <w:sz w:val="20"/>
          <w:szCs w:val="20"/>
        </w:rPr>
        <w:t>s</w:t>
      </w:r>
      <w:r w:rsidR="00C84AFD" w:rsidRPr="00D47AD0">
        <w:rPr>
          <w:rFonts w:ascii="Arial" w:hAnsi="Arial" w:cs="Arial"/>
          <w:sz w:val="20"/>
          <w:szCs w:val="20"/>
        </w:rPr>
        <w:t xml:space="preserve"> for their resignation</w:t>
      </w:r>
      <w:r w:rsidR="006E1E8E" w:rsidRPr="00D47AD0">
        <w:rPr>
          <w:rFonts w:ascii="Arial" w:hAnsi="Arial" w:cs="Arial"/>
          <w:sz w:val="20"/>
          <w:szCs w:val="20"/>
        </w:rPr>
        <w:t>; and</w:t>
      </w:r>
      <w:r w:rsidR="00C84AFD" w:rsidRPr="00D47AD0">
        <w:rPr>
          <w:rFonts w:ascii="Arial" w:hAnsi="Arial" w:cs="Arial"/>
          <w:sz w:val="20"/>
          <w:szCs w:val="20"/>
        </w:rPr>
        <w:t xml:space="preserve"> </w:t>
      </w:r>
    </w:p>
    <w:p w:rsidR="00C84AFD" w:rsidRDefault="001C6B41" w:rsidP="00D47AD0">
      <w:pPr>
        <w:pStyle w:val="a8"/>
        <w:numPr>
          <w:ilvl w:val="1"/>
          <w:numId w:val="5"/>
        </w:numPr>
        <w:jc w:val="both"/>
        <w:rPr>
          <w:rFonts w:ascii="Arial" w:hAnsi="Arial" w:cs="Arial"/>
          <w:sz w:val="20"/>
          <w:szCs w:val="20"/>
        </w:rPr>
      </w:pPr>
      <w:r w:rsidRPr="00D47AD0">
        <w:rPr>
          <w:rFonts w:ascii="Arial" w:hAnsi="Arial" w:cs="Arial"/>
          <w:sz w:val="20"/>
          <w:szCs w:val="20"/>
        </w:rPr>
        <w:t>p</w:t>
      </w:r>
      <w:r w:rsidR="00E57894">
        <w:rPr>
          <w:rFonts w:ascii="Arial" w:hAnsi="Arial" w:cs="Arial"/>
          <w:sz w:val="20"/>
          <w:szCs w:val="20"/>
        </w:rPr>
        <w:t>rocuring</w:t>
      </w:r>
      <w:r w:rsidR="001635B8">
        <w:rPr>
          <w:rFonts w:ascii="Arial" w:hAnsi="Arial" w:cs="Arial"/>
          <w:sz w:val="20"/>
          <w:szCs w:val="20"/>
        </w:rPr>
        <w:t xml:space="preserve"> the i</w:t>
      </w:r>
      <w:r w:rsidR="006E1E8E" w:rsidRPr="00D47AD0">
        <w:rPr>
          <w:rFonts w:ascii="Arial" w:hAnsi="Arial" w:cs="Arial"/>
          <w:sz w:val="20"/>
          <w:szCs w:val="20"/>
        </w:rPr>
        <w:t>ssuer’</w:t>
      </w:r>
      <w:r w:rsidR="00C84AFD" w:rsidRPr="00D47AD0">
        <w:rPr>
          <w:rFonts w:ascii="Arial" w:hAnsi="Arial" w:cs="Arial"/>
          <w:sz w:val="20"/>
          <w:szCs w:val="20"/>
        </w:rPr>
        <w:t>s bo</w:t>
      </w:r>
      <w:r w:rsidR="006E1E8E" w:rsidRPr="00D47AD0">
        <w:rPr>
          <w:rFonts w:ascii="Arial" w:hAnsi="Arial" w:cs="Arial"/>
          <w:sz w:val="20"/>
          <w:szCs w:val="20"/>
        </w:rPr>
        <w:t>ard to announce, in the auditor</w:t>
      </w:r>
      <w:r w:rsidR="00C84AFD" w:rsidRPr="00D47AD0">
        <w:rPr>
          <w:rFonts w:ascii="Arial" w:hAnsi="Arial" w:cs="Arial"/>
          <w:sz w:val="20"/>
          <w:szCs w:val="20"/>
        </w:rPr>
        <w:t>s</w:t>
      </w:r>
      <w:r w:rsidR="006E1E8E" w:rsidRPr="00D47AD0">
        <w:rPr>
          <w:rFonts w:ascii="Arial" w:hAnsi="Arial" w:cs="Arial"/>
          <w:sz w:val="20"/>
          <w:szCs w:val="20"/>
        </w:rPr>
        <w:t>’</w:t>
      </w:r>
      <w:r w:rsidR="00C84AFD" w:rsidRPr="00D47AD0">
        <w:rPr>
          <w:rFonts w:ascii="Arial" w:hAnsi="Arial" w:cs="Arial"/>
          <w:sz w:val="20"/>
          <w:szCs w:val="20"/>
        </w:rPr>
        <w:t xml:space="preserve"> resignation</w:t>
      </w:r>
      <w:r w:rsidR="006E1E8E" w:rsidRPr="00D47AD0">
        <w:rPr>
          <w:rFonts w:ascii="Arial" w:hAnsi="Arial" w:cs="Arial"/>
          <w:sz w:val="20"/>
          <w:szCs w:val="20"/>
        </w:rPr>
        <w:t xml:space="preserve"> announcement</w:t>
      </w:r>
      <w:r w:rsidR="00C84AFD" w:rsidRPr="00D47AD0">
        <w:rPr>
          <w:rFonts w:ascii="Arial" w:hAnsi="Arial" w:cs="Arial"/>
          <w:sz w:val="20"/>
          <w:szCs w:val="20"/>
        </w:rPr>
        <w:t xml:space="preserve">, anything that needs to be brought to the shareholders’ attention </w:t>
      </w:r>
      <w:r w:rsidR="00A54133">
        <w:rPr>
          <w:rFonts w:ascii="Arial" w:hAnsi="Arial" w:cs="Arial"/>
          <w:sz w:val="20"/>
          <w:szCs w:val="20"/>
        </w:rPr>
        <w:t>reg</w:t>
      </w:r>
      <w:r w:rsidR="004315C4">
        <w:rPr>
          <w:rFonts w:ascii="Arial" w:hAnsi="Arial" w:cs="Arial"/>
          <w:sz w:val="20"/>
          <w:szCs w:val="20"/>
        </w:rPr>
        <w:t>a</w:t>
      </w:r>
      <w:r w:rsidR="00A54133">
        <w:rPr>
          <w:rFonts w:ascii="Arial" w:hAnsi="Arial" w:cs="Arial"/>
          <w:sz w:val="20"/>
          <w:szCs w:val="20"/>
        </w:rPr>
        <w:t>rding</w:t>
      </w:r>
      <w:r w:rsidR="00C84AFD" w:rsidRPr="00D47AD0">
        <w:rPr>
          <w:rFonts w:ascii="Arial" w:hAnsi="Arial" w:cs="Arial"/>
          <w:sz w:val="20"/>
          <w:szCs w:val="20"/>
        </w:rPr>
        <w:t xml:space="preserve"> issues or matters affecting the audit process</w:t>
      </w:r>
      <w:r w:rsidR="006E1E8E" w:rsidRPr="00D47AD0">
        <w:rPr>
          <w:rFonts w:ascii="Arial" w:hAnsi="Arial" w:cs="Arial"/>
          <w:sz w:val="20"/>
          <w:szCs w:val="20"/>
        </w:rPr>
        <w:t xml:space="preserve"> or </w:t>
      </w:r>
      <w:r w:rsidR="00C84AFD" w:rsidRPr="00D47AD0">
        <w:rPr>
          <w:rFonts w:ascii="Arial" w:hAnsi="Arial" w:cs="Arial"/>
          <w:sz w:val="20"/>
          <w:szCs w:val="20"/>
        </w:rPr>
        <w:t>fee</w:t>
      </w:r>
      <w:r w:rsidR="006E1E8E" w:rsidRPr="00D47AD0">
        <w:rPr>
          <w:rFonts w:ascii="Arial" w:hAnsi="Arial" w:cs="Arial"/>
          <w:sz w:val="20"/>
          <w:szCs w:val="20"/>
        </w:rPr>
        <w:t>s,</w:t>
      </w:r>
      <w:r w:rsidR="001635B8">
        <w:rPr>
          <w:rFonts w:ascii="Arial" w:hAnsi="Arial" w:cs="Arial"/>
          <w:sz w:val="20"/>
          <w:szCs w:val="20"/>
        </w:rPr>
        <w:t xml:space="preserve"> or the i</w:t>
      </w:r>
      <w:r w:rsidR="00C84AFD" w:rsidRPr="00D47AD0">
        <w:rPr>
          <w:rFonts w:ascii="Arial" w:hAnsi="Arial" w:cs="Arial"/>
          <w:sz w:val="20"/>
          <w:szCs w:val="20"/>
        </w:rPr>
        <w:t>ssuer’s relationship with the auditors</w:t>
      </w:r>
      <w:r w:rsidR="006E1E8E" w:rsidRPr="00D47AD0">
        <w:rPr>
          <w:rFonts w:ascii="Arial" w:hAnsi="Arial" w:cs="Arial"/>
          <w:sz w:val="20"/>
          <w:szCs w:val="20"/>
        </w:rPr>
        <w:t>;</w:t>
      </w:r>
      <w:r w:rsidR="00C84AFD" w:rsidRPr="00D47AD0">
        <w:rPr>
          <w:rFonts w:ascii="Arial" w:hAnsi="Arial" w:cs="Arial"/>
          <w:sz w:val="20"/>
          <w:szCs w:val="20"/>
        </w:rPr>
        <w:t xml:space="preserve"> </w:t>
      </w:r>
    </w:p>
    <w:p w:rsidR="00C47A00" w:rsidRPr="00C47A00" w:rsidRDefault="00C47A00" w:rsidP="00C47A00">
      <w:pPr>
        <w:pStyle w:val="a8"/>
        <w:ind w:left="1440"/>
        <w:jc w:val="both"/>
        <w:rPr>
          <w:rFonts w:ascii="Arial" w:hAnsi="Arial" w:cs="Arial"/>
          <w:sz w:val="16"/>
          <w:szCs w:val="16"/>
        </w:rPr>
      </w:pPr>
    </w:p>
    <w:p w:rsidR="00C84AFD" w:rsidRDefault="001C6B41" w:rsidP="00D47AD0">
      <w:pPr>
        <w:pStyle w:val="a8"/>
        <w:numPr>
          <w:ilvl w:val="0"/>
          <w:numId w:val="5"/>
        </w:numPr>
        <w:jc w:val="both"/>
        <w:rPr>
          <w:rFonts w:ascii="Arial" w:hAnsi="Arial" w:cs="Arial"/>
          <w:sz w:val="20"/>
          <w:szCs w:val="20"/>
        </w:rPr>
      </w:pPr>
      <w:r w:rsidRPr="00D47AD0">
        <w:rPr>
          <w:rFonts w:ascii="Arial" w:hAnsi="Arial" w:cs="Arial"/>
          <w:sz w:val="20"/>
          <w:szCs w:val="20"/>
        </w:rPr>
        <w:t>e</w:t>
      </w:r>
      <w:r w:rsidR="00C84AFD" w:rsidRPr="00D47AD0">
        <w:rPr>
          <w:rFonts w:ascii="Arial" w:hAnsi="Arial" w:cs="Arial"/>
          <w:sz w:val="20"/>
          <w:szCs w:val="20"/>
        </w:rPr>
        <w:t>nsure that the</w:t>
      </w:r>
      <w:r w:rsidR="006E1E8E" w:rsidRPr="00D47AD0">
        <w:rPr>
          <w:rFonts w:ascii="Arial" w:hAnsi="Arial" w:cs="Arial"/>
          <w:sz w:val="20"/>
          <w:szCs w:val="20"/>
        </w:rPr>
        <w:t xml:space="preserve"> incoming auditor</w:t>
      </w:r>
      <w:r w:rsidRPr="00D47AD0">
        <w:rPr>
          <w:rFonts w:ascii="Arial" w:hAnsi="Arial" w:cs="Arial"/>
          <w:sz w:val="20"/>
          <w:szCs w:val="20"/>
        </w:rPr>
        <w:t>s</w:t>
      </w:r>
      <w:r w:rsidR="006E1E8E" w:rsidRPr="00D47AD0">
        <w:rPr>
          <w:rFonts w:ascii="Arial" w:hAnsi="Arial" w:cs="Arial"/>
          <w:sz w:val="20"/>
          <w:szCs w:val="20"/>
        </w:rPr>
        <w:t>’</w:t>
      </w:r>
      <w:r w:rsidR="00C84AFD" w:rsidRPr="00D47AD0">
        <w:rPr>
          <w:rFonts w:ascii="Arial" w:hAnsi="Arial" w:cs="Arial"/>
          <w:sz w:val="20"/>
          <w:szCs w:val="20"/>
        </w:rPr>
        <w:t xml:space="preserve"> audit fees </w:t>
      </w:r>
      <w:r w:rsidR="001635B8">
        <w:rPr>
          <w:rFonts w:ascii="Arial" w:hAnsi="Arial" w:cs="Arial"/>
          <w:sz w:val="20"/>
          <w:szCs w:val="20"/>
        </w:rPr>
        <w:t xml:space="preserve">are </w:t>
      </w:r>
      <w:r w:rsidR="00C84AFD" w:rsidRPr="00D47AD0">
        <w:rPr>
          <w:rFonts w:ascii="Arial" w:hAnsi="Arial" w:cs="Arial"/>
          <w:sz w:val="20"/>
          <w:szCs w:val="20"/>
        </w:rPr>
        <w:t xml:space="preserve">commensurate with the extent of the audit work required and </w:t>
      </w:r>
      <w:r w:rsidR="006E1E8E" w:rsidRPr="00D47AD0">
        <w:rPr>
          <w:rFonts w:ascii="Arial" w:hAnsi="Arial" w:cs="Arial"/>
          <w:sz w:val="20"/>
          <w:szCs w:val="20"/>
        </w:rPr>
        <w:t xml:space="preserve">critically </w:t>
      </w:r>
      <w:r w:rsidR="00C84AFD" w:rsidRPr="00D47AD0">
        <w:rPr>
          <w:rFonts w:ascii="Arial" w:hAnsi="Arial" w:cs="Arial"/>
          <w:sz w:val="20"/>
          <w:szCs w:val="20"/>
        </w:rPr>
        <w:t>review the</w:t>
      </w:r>
      <w:r w:rsidRPr="00D47AD0">
        <w:rPr>
          <w:rFonts w:ascii="Arial" w:hAnsi="Arial" w:cs="Arial"/>
          <w:sz w:val="20"/>
          <w:szCs w:val="20"/>
        </w:rPr>
        <w:t>ir</w:t>
      </w:r>
      <w:r w:rsidR="00C84AFD" w:rsidRPr="00D47AD0">
        <w:rPr>
          <w:rFonts w:ascii="Arial" w:hAnsi="Arial" w:cs="Arial"/>
          <w:sz w:val="20"/>
          <w:szCs w:val="20"/>
        </w:rPr>
        <w:t xml:space="preserve"> capabilities and resources</w:t>
      </w:r>
      <w:r w:rsidR="006E1E8E" w:rsidRPr="00D47AD0">
        <w:rPr>
          <w:rFonts w:ascii="Arial" w:hAnsi="Arial" w:cs="Arial"/>
          <w:sz w:val="20"/>
          <w:szCs w:val="20"/>
        </w:rPr>
        <w:t>;</w:t>
      </w:r>
    </w:p>
    <w:p w:rsidR="00C47A00" w:rsidRPr="00C47A00" w:rsidRDefault="00C47A00" w:rsidP="00C47A00">
      <w:pPr>
        <w:pStyle w:val="a8"/>
        <w:jc w:val="both"/>
        <w:rPr>
          <w:rFonts w:ascii="Arial" w:hAnsi="Arial" w:cs="Arial"/>
          <w:sz w:val="16"/>
          <w:szCs w:val="16"/>
        </w:rPr>
      </w:pPr>
    </w:p>
    <w:p w:rsidR="001C6B41" w:rsidRDefault="001C6B41" w:rsidP="00D47AD0">
      <w:pPr>
        <w:pStyle w:val="a8"/>
        <w:numPr>
          <w:ilvl w:val="0"/>
          <w:numId w:val="5"/>
        </w:numPr>
        <w:jc w:val="both"/>
        <w:rPr>
          <w:rFonts w:ascii="Arial" w:hAnsi="Arial" w:cs="Arial"/>
          <w:sz w:val="20"/>
          <w:szCs w:val="20"/>
        </w:rPr>
      </w:pPr>
      <w:r w:rsidRPr="00D47AD0">
        <w:rPr>
          <w:rFonts w:ascii="Arial" w:hAnsi="Arial" w:cs="Arial"/>
          <w:sz w:val="20"/>
          <w:szCs w:val="20"/>
        </w:rPr>
        <w:t xml:space="preserve">assess whether the incoming auditors clearly understand the reasons </w:t>
      </w:r>
      <w:r w:rsidR="002B5D9B">
        <w:rPr>
          <w:rFonts w:ascii="Arial" w:hAnsi="Arial" w:cs="Arial"/>
          <w:sz w:val="20"/>
          <w:szCs w:val="20"/>
        </w:rPr>
        <w:t>leading to the outgoing auditor</w:t>
      </w:r>
      <w:r w:rsidRPr="00D47AD0">
        <w:rPr>
          <w:rFonts w:ascii="Arial" w:hAnsi="Arial" w:cs="Arial"/>
          <w:sz w:val="20"/>
          <w:szCs w:val="20"/>
        </w:rPr>
        <w:t>s</w:t>
      </w:r>
      <w:r w:rsidR="002B5D9B">
        <w:rPr>
          <w:rFonts w:ascii="Arial" w:hAnsi="Arial" w:cs="Arial"/>
          <w:sz w:val="20"/>
          <w:szCs w:val="20"/>
        </w:rPr>
        <w:t>’</w:t>
      </w:r>
      <w:r w:rsidRPr="00D47AD0">
        <w:rPr>
          <w:rFonts w:ascii="Arial" w:hAnsi="Arial" w:cs="Arial"/>
          <w:sz w:val="20"/>
          <w:szCs w:val="20"/>
        </w:rPr>
        <w:t xml:space="preserve"> resignation</w:t>
      </w:r>
      <w:r w:rsidR="006E1E8E" w:rsidRPr="00D47AD0">
        <w:rPr>
          <w:rFonts w:ascii="Arial" w:hAnsi="Arial" w:cs="Arial"/>
          <w:sz w:val="20"/>
          <w:szCs w:val="20"/>
        </w:rPr>
        <w:t>; and</w:t>
      </w:r>
      <w:r w:rsidRPr="00D47AD0">
        <w:rPr>
          <w:rFonts w:ascii="Arial" w:hAnsi="Arial" w:cs="Arial"/>
          <w:sz w:val="20"/>
          <w:szCs w:val="20"/>
        </w:rPr>
        <w:t xml:space="preserve"> </w:t>
      </w:r>
    </w:p>
    <w:p w:rsidR="00C47A00" w:rsidRPr="00C47A00" w:rsidRDefault="00C47A00" w:rsidP="00C47A00">
      <w:pPr>
        <w:pStyle w:val="a8"/>
        <w:rPr>
          <w:rFonts w:ascii="Arial" w:hAnsi="Arial" w:cs="Arial"/>
          <w:sz w:val="16"/>
          <w:szCs w:val="16"/>
        </w:rPr>
      </w:pPr>
    </w:p>
    <w:p w:rsidR="001C6B41" w:rsidRPr="00D47AD0" w:rsidRDefault="001635B8" w:rsidP="00D47AD0">
      <w:pPr>
        <w:pStyle w:val="a8"/>
        <w:numPr>
          <w:ilvl w:val="0"/>
          <w:numId w:val="5"/>
        </w:numPr>
        <w:jc w:val="both"/>
        <w:rPr>
          <w:rFonts w:ascii="Arial" w:hAnsi="Arial" w:cs="Arial"/>
          <w:sz w:val="20"/>
          <w:szCs w:val="20"/>
        </w:rPr>
      </w:pPr>
      <w:r>
        <w:rPr>
          <w:rFonts w:ascii="Arial" w:hAnsi="Arial" w:cs="Arial"/>
          <w:sz w:val="20"/>
          <w:szCs w:val="20"/>
        </w:rPr>
        <w:t xml:space="preserve">discuss with the incoming auditors </w:t>
      </w:r>
      <w:r w:rsidR="001C6B41" w:rsidRPr="00D47AD0">
        <w:rPr>
          <w:rFonts w:ascii="Arial" w:hAnsi="Arial" w:cs="Arial"/>
          <w:sz w:val="20"/>
          <w:szCs w:val="20"/>
        </w:rPr>
        <w:t>how</w:t>
      </w:r>
      <w:r w:rsidR="006E1E8E" w:rsidRPr="00D47AD0">
        <w:rPr>
          <w:rFonts w:ascii="Arial" w:hAnsi="Arial" w:cs="Arial"/>
          <w:sz w:val="20"/>
          <w:szCs w:val="20"/>
        </w:rPr>
        <w:t xml:space="preserve"> </w:t>
      </w:r>
      <w:r>
        <w:rPr>
          <w:rFonts w:ascii="Arial" w:hAnsi="Arial" w:cs="Arial"/>
          <w:sz w:val="20"/>
          <w:szCs w:val="20"/>
        </w:rPr>
        <w:t xml:space="preserve">their </w:t>
      </w:r>
      <w:r w:rsidR="001C6B41" w:rsidRPr="00D47AD0">
        <w:rPr>
          <w:rFonts w:ascii="Arial" w:hAnsi="Arial" w:cs="Arial"/>
          <w:sz w:val="20"/>
          <w:szCs w:val="20"/>
        </w:rPr>
        <w:t xml:space="preserve">proposed </w:t>
      </w:r>
      <w:r w:rsidR="006E1E8E" w:rsidRPr="00D47AD0">
        <w:rPr>
          <w:rFonts w:ascii="Arial" w:hAnsi="Arial" w:cs="Arial"/>
          <w:sz w:val="20"/>
          <w:szCs w:val="20"/>
        </w:rPr>
        <w:t>audit procedures can address those</w:t>
      </w:r>
      <w:r w:rsidR="001C6B41" w:rsidRPr="00D47AD0">
        <w:rPr>
          <w:rFonts w:ascii="Arial" w:hAnsi="Arial" w:cs="Arial"/>
          <w:sz w:val="20"/>
          <w:szCs w:val="20"/>
        </w:rPr>
        <w:t xml:space="preserve"> prior issues </w:t>
      </w:r>
      <w:r w:rsidR="00416A70" w:rsidRPr="00D47AD0">
        <w:rPr>
          <w:rFonts w:ascii="Arial" w:hAnsi="Arial" w:cs="Arial"/>
          <w:sz w:val="20"/>
          <w:szCs w:val="20"/>
        </w:rPr>
        <w:t>so that they can</w:t>
      </w:r>
      <w:r w:rsidR="002B5D9B">
        <w:rPr>
          <w:rFonts w:ascii="Arial" w:hAnsi="Arial" w:cs="Arial"/>
          <w:sz w:val="20"/>
          <w:szCs w:val="20"/>
        </w:rPr>
        <w:t xml:space="preserve"> </w:t>
      </w:r>
      <w:r w:rsidR="001C6B41" w:rsidRPr="00D47AD0">
        <w:rPr>
          <w:rFonts w:ascii="Arial" w:hAnsi="Arial" w:cs="Arial"/>
          <w:sz w:val="20"/>
          <w:szCs w:val="20"/>
        </w:rPr>
        <w:t xml:space="preserve">obtain </w:t>
      </w:r>
      <w:r w:rsidR="007E6A1B">
        <w:rPr>
          <w:rFonts w:ascii="Arial" w:hAnsi="Arial" w:cs="Arial"/>
          <w:sz w:val="20"/>
          <w:szCs w:val="20"/>
        </w:rPr>
        <w:t>“</w:t>
      </w:r>
      <w:r w:rsidR="001C6B41" w:rsidRPr="00D47AD0">
        <w:rPr>
          <w:rFonts w:ascii="Arial" w:hAnsi="Arial" w:cs="Arial"/>
          <w:sz w:val="20"/>
          <w:szCs w:val="20"/>
        </w:rPr>
        <w:t>sufficient appropriate audit evidence to draw a reasonable conclusion on which the audit opinion is based</w:t>
      </w:r>
      <w:r w:rsidR="007E6A1B">
        <w:rPr>
          <w:rFonts w:ascii="Arial" w:hAnsi="Arial" w:cs="Arial"/>
          <w:sz w:val="20"/>
          <w:szCs w:val="20"/>
        </w:rPr>
        <w:t>”</w:t>
      </w:r>
      <w:r w:rsidR="001C6B41" w:rsidRPr="00D47AD0">
        <w:rPr>
          <w:rFonts w:ascii="Arial" w:hAnsi="Arial" w:cs="Arial"/>
          <w:sz w:val="20"/>
          <w:szCs w:val="20"/>
        </w:rPr>
        <w:t>.</w:t>
      </w:r>
    </w:p>
    <w:p w:rsidR="003C4732" w:rsidRPr="00E43DFC" w:rsidRDefault="003C4732" w:rsidP="00D47AD0">
      <w:pPr>
        <w:jc w:val="both"/>
        <w:rPr>
          <w:rFonts w:ascii="Arial" w:hAnsi="Arial" w:cs="Arial"/>
          <w:b/>
          <w:sz w:val="20"/>
          <w:szCs w:val="20"/>
        </w:rPr>
      </w:pPr>
      <w:r w:rsidRPr="00E43DFC">
        <w:rPr>
          <w:rFonts w:ascii="Arial" w:hAnsi="Arial" w:cs="Arial"/>
          <w:b/>
          <w:sz w:val="20"/>
          <w:szCs w:val="20"/>
        </w:rPr>
        <w:t>Co</w:t>
      </w:r>
      <w:r w:rsidR="00CF37FC" w:rsidRPr="00E43DFC">
        <w:rPr>
          <w:rFonts w:ascii="Arial" w:hAnsi="Arial" w:cs="Arial"/>
          <w:b/>
          <w:sz w:val="20"/>
          <w:szCs w:val="20"/>
        </w:rPr>
        <w:t>mpliance with Core Standards by</w:t>
      </w:r>
      <w:r w:rsidR="001A79C4" w:rsidRPr="00E43DFC">
        <w:rPr>
          <w:rFonts w:ascii="Arial" w:hAnsi="Arial" w:cs="Arial"/>
          <w:b/>
          <w:sz w:val="20"/>
          <w:szCs w:val="20"/>
        </w:rPr>
        <w:t xml:space="preserve"> I</w:t>
      </w:r>
      <w:r w:rsidRPr="00E43DFC">
        <w:rPr>
          <w:rFonts w:ascii="Arial" w:hAnsi="Arial" w:cs="Arial"/>
          <w:b/>
          <w:sz w:val="20"/>
          <w:szCs w:val="20"/>
        </w:rPr>
        <w:t xml:space="preserve">ssuers incorporated in Bermuda and Cayman Islands </w:t>
      </w:r>
    </w:p>
    <w:p w:rsidR="005157F2" w:rsidRPr="00D47AD0" w:rsidRDefault="0010549A" w:rsidP="00D47AD0">
      <w:pPr>
        <w:jc w:val="both"/>
        <w:rPr>
          <w:rFonts w:ascii="Arial" w:hAnsi="Arial" w:cs="Arial"/>
          <w:bCs/>
          <w:sz w:val="20"/>
          <w:szCs w:val="20"/>
        </w:rPr>
      </w:pPr>
      <w:r w:rsidRPr="00D47AD0">
        <w:rPr>
          <w:rFonts w:ascii="Arial" w:hAnsi="Arial" w:cs="Arial"/>
          <w:sz w:val="20"/>
          <w:szCs w:val="20"/>
        </w:rPr>
        <w:t xml:space="preserve">The HKEx drew </w:t>
      </w:r>
      <w:r w:rsidR="00F55F37">
        <w:rPr>
          <w:rFonts w:ascii="Arial" w:hAnsi="Arial" w:cs="Arial"/>
          <w:sz w:val="20"/>
          <w:szCs w:val="20"/>
        </w:rPr>
        <w:t>i</w:t>
      </w:r>
      <w:r w:rsidR="005157F2" w:rsidRPr="00D47AD0">
        <w:rPr>
          <w:rFonts w:ascii="Arial" w:hAnsi="Arial" w:cs="Arial"/>
          <w:sz w:val="20"/>
          <w:szCs w:val="20"/>
        </w:rPr>
        <w:t>ssuers</w:t>
      </w:r>
      <w:r w:rsidR="00E62153">
        <w:rPr>
          <w:rFonts w:ascii="Arial" w:hAnsi="Arial" w:cs="Arial"/>
          <w:sz w:val="20"/>
          <w:szCs w:val="20"/>
        </w:rPr>
        <w:t>’</w:t>
      </w:r>
      <w:r w:rsidR="005157F2" w:rsidRPr="00D47AD0">
        <w:rPr>
          <w:rFonts w:ascii="Arial" w:hAnsi="Arial" w:cs="Arial"/>
          <w:sz w:val="20"/>
          <w:szCs w:val="20"/>
        </w:rPr>
        <w:t xml:space="preserve"> </w:t>
      </w:r>
      <w:r w:rsidRPr="00D47AD0">
        <w:rPr>
          <w:rFonts w:ascii="Arial" w:hAnsi="Arial" w:cs="Arial"/>
          <w:sz w:val="20"/>
          <w:szCs w:val="20"/>
        </w:rPr>
        <w:t xml:space="preserve">attention to the requirement to </w:t>
      </w:r>
      <w:r w:rsidR="00F55F37">
        <w:rPr>
          <w:rFonts w:ascii="Arial" w:hAnsi="Arial" w:cs="Arial"/>
          <w:sz w:val="20"/>
          <w:szCs w:val="20"/>
        </w:rPr>
        <w:t xml:space="preserve">adopt </w:t>
      </w:r>
      <w:r w:rsidRPr="00D47AD0">
        <w:rPr>
          <w:rFonts w:ascii="Arial" w:hAnsi="Arial" w:cs="Arial"/>
          <w:sz w:val="20"/>
          <w:szCs w:val="20"/>
        </w:rPr>
        <w:t xml:space="preserve">the </w:t>
      </w:r>
      <w:r w:rsidR="00F55F37" w:rsidRPr="00D47AD0">
        <w:rPr>
          <w:rFonts w:ascii="Arial" w:hAnsi="Arial" w:cs="Arial"/>
          <w:sz w:val="20"/>
          <w:szCs w:val="20"/>
        </w:rPr>
        <w:t>Core Shareholder Protection Standards</w:t>
      </w:r>
      <w:r w:rsidR="00F55F37">
        <w:rPr>
          <w:rFonts w:ascii="Arial" w:hAnsi="Arial" w:cs="Arial"/>
          <w:sz w:val="20"/>
          <w:szCs w:val="20"/>
        </w:rPr>
        <w:t xml:space="preserve"> (</w:t>
      </w:r>
      <w:r w:rsidR="00F55F37" w:rsidRPr="00D47AD0">
        <w:rPr>
          <w:rFonts w:ascii="Arial" w:hAnsi="Arial" w:cs="Arial"/>
          <w:sz w:val="20"/>
          <w:szCs w:val="20"/>
        </w:rPr>
        <w:t xml:space="preserve">the </w:t>
      </w:r>
      <w:r w:rsidR="00F55F37" w:rsidRPr="00D47AD0">
        <w:rPr>
          <w:rFonts w:ascii="Arial" w:hAnsi="Arial" w:cs="Arial"/>
          <w:b/>
          <w:sz w:val="20"/>
          <w:szCs w:val="20"/>
        </w:rPr>
        <w:t>Core Standards</w:t>
      </w:r>
      <w:r w:rsidR="00F55F37" w:rsidRPr="00D47AD0">
        <w:rPr>
          <w:rFonts w:ascii="Arial" w:hAnsi="Arial" w:cs="Arial"/>
          <w:sz w:val="20"/>
          <w:szCs w:val="20"/>
        </w:rPr>
        <w:t>)</w:t>
      </w:r>
      <w:r w:rsidR="00F55F37">
        <w:rPr>
          <w:rFonts w:ascii="Arial" w:hAnsi="Arial" w:cs="Arial"/>
          <w:sz w:val="20"/>
          <w:szCs w:val="20"/>
        </w:rPr>
        <w:t xml:space="preserve"> set out in </w:t>
      </w:r>
      <w:r w:rsidR="00AF293D" w:rsidRPr="00D47AD0">
        <w:rPr>
          <w:rFonts w:ascii="Arial" w:hAnsi="Arial" w:cs="Arial"/>
          <w:sz w:val="20"/>
          <w:szCs w:val="20"/>
        </w:rPr>
        <w:t xml:space="preserve">Appendix 3 to the Hong Kong Listing Rules </w:t>
      </w:r>
      <w:r w:rsidR="00F55F37">
        <w:rPr>
          <w:rFonts w:ascii="Arial" w:hAnsi="Arial" w:cs="Arial"/>
          <w:sz w:val="20"/>
          <w:szCs w:val="20"/>
        </w:rPr>
        <w:t>by an i</w:t>
      </w:r>
      <w:r w:rsidR="00AF293D" w:rsidRPr="00D47AD0">
        <w:rPr>
          <w:rFonts w:ascii="Arial" w:hAnsi="Arial" w:cs="Arial"/>
          <w:sz w:val="20"/>
          <w:szCs w:val="20"/>
        </w:rPr>
        <w:t>ssuer’s second AGM</w:t>
      </w:r>
      <w:r w:rsidRPr="00D47AD0">
        <w:rPr>
          <w:rFonts w:ascii="Arial" w:hAnsi="Arial" w:cs="Arial"/>
          <w:sz w:val="20"/>
          <w:szCs w:val="20"/>
        </w:rPr>
        <w:t xml:space="preserve"> </w:t>
      </w:r>
      <w:r w:rsidR="00AF293D" w:rsidRPr="00D47AD0">
        <w:rPr>
          <w:rFonts w:ascii="Arial" w:hAnsi="Arial" w:cs="Arial"/>
          <w:sz w:val="20"/>
          <w:szCs w:val="20"/>
        </w:rPr>
        <w:t xml:space="preserve">following 1 January 2022 (See </w:t>
      </w:r>
      <w:hyperlink r:id="rId11" w:history="1">
        <w:r w:rsidR="00AF293D" w:rsidRPr="00D47AD0">
          <w:rPr>
            <w:rStyle w:val="a3"/>
            <w:rFonts w:ascii="Arial" w:hAnsi="Arial" w:cs="Arial"/>
            <w:bCs/>
            <w:sz w:val="20"/>
            <w:szCs w:val="20"/>
          </w:rPr>
          <w:t>HKEX’s New Listing Regime for Overseas Issuers Effective 1 January 2022</w:t>
        </w:r>
      </w:hyperlink>
      <w:r w:rsidR="00AF293D" w:rsidRPr="00D47AD0">
        <w:rPr>
          <w:rFonts w:ascii="Arial" w:hAnsi="Arial" w:cs="Arial"/>
          <w:bCs/>
          <w:sz w:val="20"/>
          <w:szCs w:val="20"/>
        </w:rPr>
        <w:t>)</w:t>
      </w:r>
      <w:r w:rsidR="005157F2" w:rsidRPr="00D47AD0">
        <w:rPr>
          <w:rFonts w:ascii="Arial" w:hAnsi="Arial" w:cs="Arial"/>
          <w:bCs/>
          <w:sz w:val="20"/>
          <w:szCs w:val="20"/>
        </w:rPr>
        <w:t>.</w:t>
      </w:r>
    </w:p>
    <w:p w:rsidR="00A6598A" w:rsidRDefault="005157F2" w:rsidP="00D47AD0">
      <w:pPr>
        <w:jc w:val="both"/>
        <w:rPr>
          <w:rFonts w:ascii="Arial" w:hAnsi="Arial" w:cs="Arial"/>
          <w:bCs/>
          <w:sz w:val="20"/>
          <w:szCs w:val="20"/>
        </w:rPr>
      </w:pPr>
      <w:r w:rsidRPr="00D47AD0">
        <w:rPr>
          <w:rFonts w:ascii="Arial" w:hAnsi="Arial" w:cs="Arial"/>
          <w:bCs/>
          <w:sz w:val="20"/>
          <w:szCs w:val="20"/>
        </w:rPr>
        <w:lastRenderedPageBreak/>
        <w:t>It noted</w:t>
      </w:r>
      <w:r w:rsidR="00CF37FC">
        <w:rPr>
          <w:rFonts w:ascii="Arial" w:hAnsi="Arial" w:cs="Arial"/>
          <w:bCs/>
          <w:sz w:val="20"/>
          <w:szCs w:val="20"/>
        </w:rPr>
        <w:t xml:space="preserve"> that</w:t>
      </w:r>
      <w:r w:rsidR="00AF293D" w:rsidRPr="00D47AD0">
        <w:rPr>
          <w:rFonts w:ascii="Arial" w:hAnsi="Arial" w:cs="Arial"/>
          <w:bCs/>
          <w:sz w:val="20"/>
          <w:szCs w:val="20"/>
        </w:rPr>
        <w:t xml:space="preserve"> Bermuda and </w:t>
      </w:r>
      <w:r w:rsidRPr="00D47AD0">
        <w:rPr>
          <w:rFonts w:ascii="Arial" w:hAnsi="Arial" w:cs="Arial"/>
          <w:bCs/>
          <w:sz w:val="20"/>
          <w:szCs w:val="20"/>
        </w:rPr>
        <w:t xml:space="preserve">the Cayman </w:t>
      </w:r>
      <w:r w:rsidR="00CF37FC">
        <w:rPr>
          <w:rFonts w:ascii="Arial" w:hAnsi="Arial" w:cs="Arial"/>
          <w:bCs/>
          <w:sz w:val="20"/>
          <w:szCs w:val="20"/>
        </w:rPr>
        <w:t>Islands, where the majority of listed i</w:t>
      </w:r>
      <w:r w:rsidRPr="00D47AD0">
        <w:rPr>
          <w:rFonts w:ascii="Arial" w:hAnsi="Arial" w:cs="Arial"/>
          <w:bCs/>
          <w:sz w:val="20"/>
          <w:szCs w:val="20"/>
        </w:rPr>
        <w:t xml:space="preserve">ssuers are incorporated, </w:t>
      </w:r>
      <w:r w:rsidR="00F81DC5" w:rsidRPr="00D47AD0">
        <w:rPr>
          <w:rFonts w:ascii="Arial" w:hAnsi="Arial" w:cs="Arial"/>
          <w:bCs/>
          <w:sz w:val="20"/>
          <w:szCs w:val="20"/>
        </w:rPr>
        <w:t>do not have certain Core S</w:t>
      </w:r>
      <w:r w:rsidR="00AF293D" w:rsidRPr="00D47AD0">
        <w:rPr>
          <w:rFonts w:ascii="Arial" w:hAnsi="Arial" w:cs="Arial"/>
          <w:bCs/>
          <w:sz w:val="20"/>
          <w:szCs w:val="20"/>
        </w:rPr>
        <w:t>tandards</w:t>
      </w:r>
      <w:r w:rsidR="00F81DC5" w:rsidRPr="00D47AD0">
        <w:rPr>
          <w:rStyle w:val="a7"/>
          <w:rFonts w:ascii="Arial" w:hAnsi="Arial" w:cs="Arial"/>
          <w:bCs/>
          <w:sz w:val="20"/>
          <w:szCs w:val="20"/>
        </w:rPr>
        <w:footnoteReference w:id="2"/>
      </w:r>
      <w:r w:rsidR="00AF293D" w:rsidRPr="00D47AD0">
        <w:rPr>
          <w:rFonts w:ascii="Arial" w:hAnsi="Arial" w:cs="Arial"/>
          <w:bCs/>
          <w:sz w:val="20"/>
          <w:szCs w:val="20"/>
        </w:rPr>
        <w:t xml:space="preserve"> built into their</w:t>
      </w:r>
      <w:r w:rsidRPr="00D47AD0">
        <w:rPr>
          <w:rFonts w:ascii="Arial" w:hAnsi="Arial" w:cs="Arial"/>
          <w:bCs/>
          <w:sz w:val="20"/>
          <w:szCs w:val="20"/>
        </w:rPr>
        <w:t xml:space="preserve"> jurisdictions’</w:t>
      </w:r>
      <w:r w:rsidR="00AF293D" w:rsidRPr="00D47AD0">
        <w:rPr>
          <w:rFonts w:ascii="Arial" w:hAnsi="Arial" w:cs="Arial"/>
          <w:bCs/>
          <w:sz w:val="20"/>
          <w:szCs w:val="20"/>
        </w:rPr>
        <w:t xml:space="preserve"> </w:t>
      </w:r>
      <w:r w:rsidR="002B5D9B">
        <w:rPr>
          <w:rFonts w:ascii="Arial" w:hAnsi="Arial" w:cs="Arial"/>
          <w:bCs/>
          <w:sz w:val="20"/>
          <w:szCs w:val="20"/>
        </w:rPr>
        <w:t xml:space="preserve">company laws. </w:t>
      </w:r>
      <w:r w:rsidR="00A6598A">
        <w:rPr>
          <w:rFonts w:ascii="Arial" w:hAnsi="Arial" w:cs="Arial"/>
          <w:bCs/>
          <w:sz w:val="20"/>
          <w:szCs w:val="20"/>
        </w:rPr>
        <w:t>In particular, the laws of Bermuda and the Cayman Islands do not provide for:</w:t>
      </w:r>
    </w:p>
    <w:p w:rsidR="00A6598A" w:rsidRDefault="00A6598A" w:rsidP="00A6598A">
      <w:pPr>
        <w:pStyle w:val="a8"/>
        <w:numPr>
          <w:ilvl w:val="0"/>
          <w:numId w:val="5"/>
        </w:numPr>
        <w:jc w:val="both"/>
        <w:rPr>
          <w:rFonts w:ascii="Arial" w:hAnsi="Arial" w:cs="Arial"/>
          <w:sz w:val="20"/>
          <w:szCs w:val="20"/>
        </w:rPr>
      </w:pPr>
      <w:r w:rsidRPr="00A6598A">
        <w:rPr>
          <w:rFonts w:ascii="Arial" w:hAnsi="Arial" w:cs="Arial"/>
          <w:sz w:val="20"/>
          <w:szCs w:val="20"/>
        </w:rPr>
        <w:t>Core Standard 5 – the requirement for listed issuers to provide members with the right to speak at general meetings; and</w:t>
      </w:r>
    </w:p>
    <w:p w:rsidR="004E42BD" w:rsidRDefault="004E42BD" w:rsidP="004E42BD">
      <w:pPr>
        <w:pStyle w:val="a8"/>
        <w:jc w:val="both"/>
        <w:rPr>
          <w:rFonts w:ascii="Arial" w:hAnsi="Arial" w:cs="Arial"/>
          <w:sz w:val="20"/>
          <w:szCs w:val="20"/>
        </w:rPr>
      </w:pPr>
    </w:p>
    <w:p w:rsidR="004E42BD" w:rsidRDefault="004E42BD" w:rsidP="00A6598A">
      <w:pPr>
        <w:pStyle w:val="a8"/>
        <w:numPr>
          <w:ilvl w:val="0"/>
          <w:numId w:val="5"/>
        </w:numPr>
        <w:jc w:val="both"/>
        <w:rPr>
          <w:rFonts w:ascii="Arial" w:hAnsi="Arial" w:cs="Arial"/>
          <w:sz w:val="20"/>
          <w:szCs w:val="20"/>
        </w:rPr>
      </w:pPr>
      <w:r>
        <w:rPr>
          <w:rFonts w:ascii="Arial" w:hAnsi="Arial" w:cs="Arial"/>
          <w:sz w:val="20"/>
          <w:szCs w:val="20"/>
        </w:rPr>
        <w:t xml:space="preserve">Core Standard 14 </w:t>
      </w:r>
      <w:r w:rsidRPr="00A6598A">
        <w:rPr>
          <w:rFonts w:ascii="Arial" w:hAnsi="Arial" w:cs="Arial"/>
          <w:sz w:val="20"/>
          <w:szCs w:val="20"/>
        </w:rPr>
        <w:t>– the requirement</w:t>
      </w:r>
      <w:r>
        <w:rPr>
          <w:rFonts w:ascii="Arial" w:hAnsi="Arial" w:cs="Arial"/>
          <w:sz w:val="20"/>
          <w:szCs w:val="20"/>
        </w:rPr>
        <w:t xml:space="preserve"> for a listed issuer’s voluntary winding up to be approved by a super-majority vote of its members in a general meeting.</w:t>
      </w:r>
    </w:p>
    <w:p w:rsidR="004E42BD" w:rsidRDefault="004E42BD" w:rsidP="004E42BD">
      <w:pPr>
        <w:rPr>
          <w:rFonts w:ascii="Arial" w:hAnsi="Arial" w:cs="Arial"/>
          <w:sz w:val="20"/>
          <w:szCs w:val="20"/>
        </w:rPr>
      </w:pPr>
      <w:r>
        <w:rPr>
          <w:rFonts w:ascii="Arial" w:hAnsi="Arial" w:cs="Arial"/>
          <w:sz w:val="20"/>
          <w:szCs w:val="20"/>
        </w:rPr>
        <w:t>The laws of the Cayman Islands also fail to make provision for:</w:t>
      </w:r>
    </w:p>
    <w:p w:rsidR="006F4DB4" w:rsidRDefault="004E42BD" w:rsidP="00824FFC">
      <w:pPr>
        <w:pStyle w:val="a8"/>
        <w:numPr>
          <w:ilvl w:val="0"/>
          <w:numId w:val="5"/>
        </w:numPr>
        <w:jc w:val="both"/>
        <w:rPr>
          <w:rFonts w:ascii="Arial" w:hAnsi="Arial" w:cs="Arial"/>
          <w:sz w:val="20"/>
          <w:szCs w:val="20"/>
        </w:rPr>
      </w:pPr>
      <w:r w:rsidRPr="004E42BD">
        <w:rPr>
          <w:rFonts w:ascii="Arial" w:hAnsi="Arial" w:cs="Arial"/>
          <w:sz w:val="20"/>
          <w:szCs w:val="20"/>
        </w:rPr>
        <w:t xml:space="preserve">Core Standard 7 – the requirement </w:t>
      </w:r>
      <w:r>
        <w:rPr>
          <w:rFonts w:ascii="Arial" w:hAnsi="Arial" w:cs="Arial"/>
          <w:sz w:val="20"/>
          <w:szCs w:val="20"/>
        </w:rPr>
        <w:t xml:space="preserve">that minority shareholders </w:t>
      </w:r>
      <w:r w:rsidR="006F4DB4">
        <w:rPr>
          <w:rFonts w:ascii="Arial" w:hAnsi="Arial" w:cs="Arial"/>
          <w:sz w:val="20"/>
          <w:szCs w:val="20"/>
        </w:rPr>
        <w:t xml:space="preserve">(for which the qualifying stake must be no more than 10% of the voting rights) </w:t>
      </w:r>
      <w:r>
        <w:rPr>
          <w:rFonts w:ascii="Arial" w:hAnsi="Arial" w:cs="Arial"/>
          <w:sz w:val="20"/>
          <w:szCs w:val="20"/>
        </w:rPr>
        <w:t xml:space="preserve">should be able to convene an extraordinary general meeting and </w:t>
      </w:r>
      <w:r w:rsidR="006F4DB4">
        <w:rPr>
          <w:rFonts w:ascii="Arial" w:hAnsi="Arial" w:cs="Arial"/>
          <w:sz w:val="20"/>
          <w:szCs w:val="20"/>
        </w:rPr>
        <w:t>add resolutions to a meeting agenda; and</w:t>
      </w:r>
    </w:p>
    <w:p w:rsidR="004E42BD" w:rsidRDefault="006F4DB4" w:rsidP="006F4DB4">
      <w:pPr>
        <w:pStyle w:val="a8"/>
        <w:jc w:val="both"/>
        <w:rPr>
          <w:rFonts w:ascii="Arial" w:hAnsi="Arial" w:cs="Arial"/>
          <w:sz w:val="20"/>
          <w:szCs w:val="20"/>
        </w:rPr>
      </w:pPr>
      <w:r>
        <w:rPr>
          <w:rFonts w:ascii="Arial" w:hAnsi="Arial" w:cs="Arial"/>
          <w:sz w:val="20"/>
          <w:szCs w:val="20"/>
        </w:rPr>
        <w:t xml:space="preserve"> </w:t>
      </w:r>
    </w:p>
    <w:p w:rsidR="00A6598A" w:rsidRPr="004E42BD" w:rsidRDefault="00A6598A" w:rsidP="00824FFC">
      <w:pPr>
        <w:pStyle w:val="a8"/>
        <w:numPr>
          <w:ilvl w:val="0"/>
          <w:numId w:val="5"/>
        </w:numPr>
        <w:jc w:val="both"/>
        <w:rPr>
          <w:rFonts w:ascii="Arial" w:hAnsi="Arial" w:cs="Arial"/>
          <w:sz w:val="20"/>
          <w:szCs w:val="20"/>
        </w:rPr>
      </w:pPr>
      <w:r w:rsidRPr="004E42BD">
        <w:rPr>
          <w:rFonts w:ascii="Arial" w:hAnsi="Arial" w:cs="Arial"/>
          <w:sz w:val="20"/>
          <w:szCs w:val="20"/>
        </w:rPr>
        <w:t xml:space="preserve">Core Standard 10 – the requirement for the appointment, removal and remuneration of a listed issuer’s auditors to be approved </w:t>
      </w:r>
      <w:r w:rsidR="004E42BD" w:rsidRPr="004E42BD">
        <w:rPr>
          <w:rFonts w:ascii="Arial" w:hAnsi="Arial" w:cs="Arial"/>
          <w:sz w:val="20"/>
          <w:szCs w:val="20"/>
        </w:rPr>
        <w:t>by a majority of its members or another body that is independent of the board</w:t>
      </w:r>
      <w:r w:rsidRPr="004E42BD">
        <w:rPr>
          <w:rFonts w:ascii="Arial" w:hAnsi="Arial" w:cs="Arial"/>
          <w:sz w:val="20"/>
          <w:szCs w:val="20"/>
        </w:rPr>
        <w:t>.</w:t>
      </w:r>
    </w:p>
    <w:p w:rsidR="006F4DB4" w:rsidRDefault="006F4DB4" w:rsidP="00A6598A">
      <w:pPr>
        <w:jc w:val="both"/>
        <w:rPr>
          <w:rFonts w:ascii="Arial" w:hAnsi="Arial" w:cs="Arial"/>
          <w:sz w:val="20"/>
          <w:szCs w:val="20"/>
        </w:rPr>
      </w:pPr>
      <w:r>
        <w:rPr>
          <w:rFonts w:ascii="Arial" w:hAnsi="Arial" w:cs="Arial"/>
          <w:sz w:val="20"/>
          <w:szCs w:val="20"/>
        </w:rPr>
        <w:t>Responding to issuer enquiries, the HKEx noted that:</w:t>
      </w:r>
    </w:p>
    <w:p w:rsidR="00A6598A" w:rsidRDefault="006F4DB4" w:rsidP="006F4DB4">
      <w:pPr>
        <w:pStyle w:val="a8"/>
        <w:numPr>
          <w:ilvl w:val="0"/>
          <w:numId w:val="13"/>
        </w:numPr>
        <w:jc w:val="both"/>
        <w:rPr>
          <w:rFonts w:ascii="Arial" w:hAnsi="Arial" w:cs="Arial"/>
          <w:sz w:val="20"/>
          <w:szCs w:val="20"/>
        </w:rPr>
      </w:pPr>
      <w:r>
        <w:rPr>
          <w:rFonts w:ascii="Arial" w:hAnsi="Arial" w:cs="Arial"/>
          <w:sz w:val="20"/>
          <w:szCs w:val="20"/>
        </w:rPr>
        <w:t>With respect to Core Standard 5, the fact that Cayman and Bermuda laws do not restrict shareholders’ right to speak at general meetings is not sufficient to ensure compliance with the Core Standard. Issuers incorporated in Cayman and Bermuda</w:t>
      </w:r>
      <w:r w:rsidR="00614C7B">
        <w:rPr>
          <w:rFonts w:ascii="Arial" w:hAnsi="Arial" w:cs="Arial"/>
          <w:sz w:val="20"/>
          <w:szCs w:val="20"/>
        </w:rPr>
        <w:t xml:space="preserve"> therefore need to amend their a</w:t>
      </w:r>
      <w:r>
        <w:rPr>
          <w:rFonts w:ascii="Arial" w:hAnsi="Arial" w:cs="Arial"/>
          <w:sz w:val="20"/>
          <w:szCs w:val="20"/>
        </w:rPr>
        <w:t>rticles to include a right for members to speak at general meetings;</w:t>
      </w:r>
    </w:p>
    <w:p w:rsidR="006F4DB4" w:rsidRDefault="006F4DB4" w:rsidP="006F4DB4">
      <w:pPr>
        <w:pStyle w:val="a8"/>
        <w:ind w:left="782"/>
        <w:jc w:val="both"/>
        <w:rPr>
          <w:rFonts w:ascii="Arial" w:hAnsi="Arial" w:cs="Arial"/>
          <w:sz w:val="20"/>
          <w:szCs w:val="20"/>
        </w:rPr>
      </w:pPr>
    </w:p>
    <w:p w:rsidR="006F4DB4" w:rsidRPr="006F4DB4" w:rsidRDefault="006F4DB4" w:rsidP="006F4DB4">
      <w:pPr>
        <w:pStyle w:val="a8"/>
        <w:numPr>
          <w:ilvl w:val="0"/>
          <w:numId w:val="13"/>
        </w:numPr>
        <w:jc w:val="both"/>
        <w:rPr>
          <w:rFonts w:ascii="Arial" w:hAnsi="Arial" w:cs="Arial"/>
          <w:sz w:val="20"/>
          <w:szCs w:val="20"/>
        </w:rPr>
      </w:pPr>
      <w:r>
        <w:rPr>
          <w:rFonts w:ascii="Arial" w:hAnsi="Arial" w:cs="Arial"/>
          <w:sz w:val="20"/>
          <w:szCs w:val="20"/>
        </w:rPr>
        <w:t xml:space="preserve">With respect to Core Standard 10, </w:t>
      </w:r>
      <w:r w:rsidR="00614C7B">
        <w:rPr>
          <w:rFonts w:ascii="Arial" w:hAnsi="Arial" w:cs="Arial"/>
          <w:sz w:val="20"/>
          <w:szCs w:val="20"/>
        </w:rPr>
        <w:t>setting a higher threshold (i.e. by a special resolution) for removing an issuer’s auditors will not comply with the Core Standard since this requires removal by an ordinary resolution.</w:t>
      </w:r>
      <w:r>
        <w:rPr>
          <w:rFonts w:ascii="Arial" w:hAnsi="Arial" w:cs="Arial"/>
          <w:sz w:val="20"/>
          <w:szCs w:val="20"/>
        </w:rPr>
        <w:t xml:space="preserve"> </w:t>
      </w:r>
    </w:p>
    <w:p w:rsidR="00AF293D" w:rsidRPr="00D47AD0" w:rsidRDefault="00614C7B" w:rsidP="00614C7B">
      <w:pPr>
        <w:jc w:val="both"/>
        <w:rPr>
          <w:rFonts w:ascii="Arial" w:hAnsi="Arial" w:cs="Arial"/>
          <w:color w:val="2B2B2B"/>
          <w:sz w:val="20"/>
          <w:szCs w:val="20"/>
          <w:lang w:val="en-US"/>
        </w:rPr>
      </w:pPr>
      <w:r>
        <w:rPr>
          <w:rFonts w:ascii="Arial" w:hAnsi="Arial" w:cs="Arial"/>
          <w:bCs/>
          <w:sz w:val="20"/>
          <w:szCs w:val="20"/>
        </w:rPr>
        <w:t xml:space="preserve">It also recommended issuers to make </w:t>
      </w:r>
      <w:r w:rsidR="005311BA" w:rsidRPr="00D47AD0">
        <w:rPr>
          <w:rFonts w:ascii="Arial" w:hAnsi="Arial" w:cs="Arial"/>
          <w:bCs/>
          <w:sz w:val="20"/>
          <w:szCs w:val="20"/>
        </w:rPr>
        <w:t xml:space="preserve">clear disclosure in the shareholders’ </w:t>
      </w:r>
      <w:r w:rsidR="00160A4D" w:rsidRPr="00D47AD0">
        <w:rPr>
          <w:rFonts w:ascii="Arial" w:hAnsi="Arial" w:cs="Arial"/>
          <w:bCs/>
          <w:sz w:val="20"/>
          <w:szCs w:val="20"/>
        </w:rPr>
        <w:t>circular on the reasons for, and the effects of</w:t>
      </w:r>
      <w:r w:rsidR="00E57894">
        <w:rPr>
          <w:rFonts w:ascii="Arial" w:hAnsi="Arial" w:cs="Arial"/>
          <w:bCs/>
          <w:sz w:val="20"/>
          <w:szCs w:val="20"/>
        </w:rPr>
        <w:t>,</w:t>
      </w:r>
      <w:r w:rsidR="00160A4D" w:rsidRPr="00D47AD0">
        <w:rPr>
          <w:rFonts w:ascii="Arial" w:hAnsi="Arial" w:cs="Arial"/>
          <w:bCs/>
          <w:sz w:val="20"/>
          <w:szCs w:val="20"/>
        </w:rPr>
        <w:t xml:space="preserve"> the proposed amendment</w:t>
      </w:r>
      <w:r>
        <w:rPr>
          <w:rFonts w:ascii="Arial" w:hAnsi="Arial" w:cs="Arial"/>
          <w:bCs/>
          <w:sz w:val="20"/>
          <w:szCs w:val="20"/>
        </w:rPr>
        <w:t>s</w:t>
      </w:r>
      <w:r w:rsidR="00160A4D" w:rsidRPr="00D47AD0">
        <w:rPr>
          <w:rFonts w:ascii="Arial" w:hAnsi="Arial" w:cs="Arial"/>
          <w:bCs/>
          <w:sz w:val="20"/>
          <w:szCs w:val="20"/>
        </w:rPr>
        <w:t xml:space="preserve"> and, where nece</w:t>
      </w:r>
      <w:r w:rsidR="005157F2" w:rsidRPr="00D47AD0">
        <w:rPr>
          <w:rFonts w:ascii="Arial" w:hAnsi="Arial" w:cs="Arial"/>
          <w:bCs/>
          <w:sz w:val="20"/>
          <w:szCs w:val="20"/>
        </w:rPr>
        <w:t xml:space="preserve">ssary, </w:t>
      </w:r>
      <w:r w:rsidR="00E57894">
        <w:rPr>
          <w:rFonts w:ascii="Arial" w:hAnsi="Arial" w:cs="Arial"/>
          <w:bCs/>
          <w:sz w:val="20"/>
          <w:szCs w:val="20"/>
        </w:rPr>
        <w:t xml:space="preserve">to </w:t>
      </w:r>
      <w:r w:rsidR="005157F2" w:rsidRPr="00D47AD0">
        <w:rPr>
          <w:rFonts w:ascii="Arial" w:hAnsi="Arial" w:cs="Arial"/>
          <w:bCs/>
          <w:sz w:val="20"/>
          <w:szCs w:val="20"/>
        </w:rPr>
        <w:t>engage with shareholders</w:t>
      </w:r>
      <w:r w:rsidR="00160A4D" w:rsidRPr="00D47AD0">
        <w:rPr>
          <w:rFonts w:ascii="Arial" w:hAnsi="Arial" w:cs="Arial"/>
          <w:bCs/>
          <w:sz w:val="20"/>
          <w:szCs w:val="20"/>
        </w:rPr>
        <w:t xml:space="preserve"> prior to the </w:t>
      </w:r>
      <w:r>
        <w:rPr>
          <w:rFonts w:ascii="Arial" w:hAnsi="Arial" w:cs="Arial"/>
          <w:bCs/>
          <w:sz w:val="20"/>
          <w:szCs w:val="20"/>
        </w:rPr>
        <w:t xml:space="preserve">general meeting </w:t>
      </w:r>
      <w:r w:rsidR="00160A4D" w:rsidRPr="00D47AD0">
        <w:rPr>
          <w:rFonts w:ascii="Arial" w:hAnsi="Arial" w:cs="Arial"/>
          <w:bCs/>
          <w:sz w:val="20"/>
          <w:szCs w:val="20"/>
        </w:rPr>
        <w:t>to avoid shareholders voting down the proposed amendments due to</w:t>
      </w:r>
      <w:r w:rsidR="005157F2" w:rsidRPr="00D47AD0">
        <w:rPr>
          <w:rFonts w:ascii="Arial" w:hAnsi="Arial" w:cs="Arial"/>
          <w:bCs/>
          <w:sz w:val="20"/>
          <w:szCs w:val="20"/>
        </w:rPr>
        <w:t xml:space="preserve"> a</w:t>
      </w:r>
      <w:r w:rsidR="00160A4D" w:rsidRPr="00D47AD0">
        <w:rPr>
          <w:rFonts w:ascii="Arial" w:hAnsi="Arial" w:cs="Arial"/>
          <w:bCs/>
          <w:sz w:val="20"/>
          <w:szCs w:val="20"/>
        </w:rPr>
        <w:t xml:space="preserve"> lack of understanding of </w:t>
      </w:r>
      <w:r>
        <w:rPr>
          <w:rFonts w:ascii="Arial" w:hAnsi="Arial" w:cs="Arial"/>
          <w:bCs/>
          <w:sz w:val="20"/>
          <w:szCs w:val="20"/>
        </w:rPr>
        <w:t>their</w:t>
      </w:r>
      <w:r w:rsidR="00160A4D" w:rsidRPr="00D47AD0">
        <w:rPr>
          <w:rFonts w:ascii="Arial" w:hAnsi="Arial" w:cs="Arial"/>
          <w:bCs/>
          <w:sz w:val="20"/>
          <w:szCs w:val="20"/>
        </w:rPr>
        <w:t xml:space="preserve"> rational</w:t>
      </w:r>
      <w:r>
        <w:rPr>
          <w:rFonts w:ascii="Arial" w:hAnsi="Arial" w:cs="Arial"/>
          <w:bCs/>
          <w:sz w:val="20"/>
          <w:szCs w:val="20"/>
        </w:rPr>
        <w:t>e</w:t>
      </w:r>
      <w:r w:rsidR="00160A4D" w:rsidRPr="00D47AD0">
        <w:rPr>
          <w:rFonts w:ascii="Arial" w:hAnsi="Arial" w:cs="Arial"/>
          <w:bCs/>
          <w:sz w:val="20"/>
          <w:szCs w:val="20"/>
        </w:rPr>
        <w:t xml:space="preserve"> and effects</w:t>
      </w:r>
      <w:r>
        <w:rPr>
          <w:rFonts w:ascii="Arial" w:hAnsi="Arial" w:cs="Arial"/>
          <w:bCs/>
          <w:sz w:val="20"/>
          <w:szCs w:val="20"/>
        </w:rPr>
        <w:t>. It also advised issuers to</w:t>
      </w:r>
      <w:r w:rsidR="00160A4D" w:rsidRPr="00D47AD0">
        <w:rPr>
          <w:rFonts w:ascii="Arial" w:hAnsi="Arial" w:cs="Arial"/>
          <w:bCs/>
          <w:sz w:val="20"/>
          <w:szCs w:val="20"/>
        </w:rPr>
        <w:t xml:space="preserve"> avoid bundling resolution</w:t>
      </w:r>
      <w:r>
        <w:rPr>
          <w:rFonts w:ascii="Arial" w:hAnsi="Arial" w:cs="Arial"/>
          <w:bCs/>
          <w:sz w:val="20"/>
          <w:szCs w:val="20"/>
        </w:rPr>
        <w:t>s</w:t>
      </w:r>
      <w:r w:rsidR="00160A4D" w:rsidRPr="00D47AD0">
        <w:rPr>
          <w:rFonts w:ascii="Arial" w:hAnsi="Arial" w:cs="Arial"/>
          <w:bCs/>
          <w:sz w:val="20"/>
          <w:szCs w:val="20"/>
        </w:rPr>
        <w:t xml:space="preserve"> with unrelated amendments.</w:t>
      </w:r>
    </w:p>
    <w:p w:rsidR="003C4732" w:rsidRPr="00E43DFC" w:rsidRDefault="003C4732" w:rsidP="00D47AD0">
      <w:pPr>
        <w:jc w:val="both"/>
        <w:rPr>
          <w:rFonts w:ascii="Arial" w:hAnsi="Arial" w:cs="Arial"/>
          <w:b/>
          <w:sz w:val="20"/>
          <w:szCs w:val="20"/>
        </w:rPr>
      </w:pPr>
      <w:r w:rsidRPr="00E43DFC">
        <w:rPr>
          <w:rFonts w:ascii="Arial" w:hAnsi="Arial" w:cs="Arial"/>
          <w:b/>
          <w:sz w:val="20"/>
          <w:szCs w:val="20"/>
        </w:rPr>
        <w:t xml:space="preserve">New Corporate </w:t>
      </w:r>
      <w:r w:rsidR="001A79C4" w:rsidRPr="00E43DFC">
        <w:rPr>
          <w:rFonts w:ascii="Arial" w:hAnsi="Arial" w:cs="Arial"/>
          <w:b/>
          <w:sz w:val="20"/>
          <w:szCs w:val="20"/>
        </w:rPr>
        <w:t xml:space="preserve">Governance and ESG Requirements under the HKEx Listing Rules </w:t>
      </w:r>
    </w:p>
    <w:p w:rsidR="003922F4" w:rsidRPr="00D47AD0" w:rsidRDefault="00642654" w:rsidP="00D47AD0">
      <w:pPr>
        <w:jc w:val="both"/>
        <w:rPr>
          <w:rFonts w:ascii="Arial" w:hAnsi="Arial" w:cs="Arial"/>
          <w:sz w:val="20"/>
          <w:szCs w:val="20"/>
        </w:rPr>
      </w:pPr>
      <w:r w:rsidRPr="00D47AD0">
        <w:rPr>
          <w:rFonts w:ascii="Arial" w:hAnsi="Arial" w:cs="Arial"/>
          <w:sz w:val="20"/>
          <w:szCs w:val="20"/>
        </w:rPr>
        <w:t>Following the revisions made to the Corporate Governance Code and the HKEx Listing Rules</w:t>
      </w:r>
      <w:r w:rsidR="003922F4" w:rsidRPr="00D47AD0">
        <w:rPr>
          <w:rFonts w:ascii="Arial" w:hAnsi="Arial" w:cs="Arial"/>
          <w:sz w:val="20"/>
          <w:szCs w:val="20"/>
        </w:rPr>
        <w:t xml:space="preserve">, which came into effect last year (see </w:t>
      </w:r>
      <w:hyperlink r:id="rId12" w:history="1">
        <w:r w:rsidR="003922F4" w:rsidRPr="00D47AD0">
          <w:rPr>
            <w:rStyle w:val="a3"/>
            <w:rFonts w:ascii="Arial" w:hAnsi="Arial" w:cs="Arial"/>
            <w:sz w:val="20"/>
            <w:szCs w:val="20"/>
          </w:rPr>
          <w:t>HKEX Corporate Governance Code and Listing Rule Changes Effective 1 Jan 2022</w:t>
        </w:r>
      </w:hyperlink>
      <w:r w:rsidR="00C11570">
        <w:rPr>
          <w:rFonts w:ascii="Arial" w:hAnsi="Arial" w:cs="Arial"/>
          <w:sz w:val="20"/>
          <w:szCs w:val="20"/>
        </w:rPr>
        <w:t>), the HKEx reminded i</w:t>
      </w:r>
      <w:r w:rsidR="003922F4" w:rsidRPr="00D47AD0">
        <w:rPr>
          <w:rFonts w:ascii="Arial" w:hAnsi="Arial" w:cs="Arial"/>
          <w:sz w:val="20"/>
          <w:szCs w:val="20"/>
        </w:rPr>
        <w:t>ssuers to take the following steps</w:t>
      </w:r>
      <w:r w:rsidR="00CD56DD" w:rsidRPr="00D47AD0">
        <w:rPr>
          <w:rFonts w:ascii="Arial" w:hAnsi="Arial" w:cs="Arial"/>
          <w:sz w:val="20"/>
          <w:szCs w:val="20"/>
        </w:rPr>
        <w:t>, if they have not already done so,</w:t>
      </w:r>
      <w:r w:rsidR="003922F4" w:rsidRPr="00D47AD0">
        <w:rPr>
          <w:rFonts w:ascii="Arial" w:hAnsi="Arial" w:cs="Arial"/>
          <w:sz w:val="20"/>
          <w:szCs w:val="20"/>
        </w:rPr>
        <w:t xml:space="preserve"> to ensure they are in compliance with the new requirements regarding the appointment of directors and </w:t>
      </w:r>
      <w:r w:rsidR="00E005C6">
        <w:rPr>
          <w:rFonts w:ascii="Arial" w:hAnsi="Arial" w:cs="Arial"/>
          <w:sz w:val="20"/>
          <w:szCs w:val="20"/>
        </w:rPr>
        <w:t>publication of reports</w:t>
      </w:r>
      <w:r w:rsidR="003922F4" w:rsidRPr="00D47AD0">
        <w:rPr>
          <w:rFonts w:ascii="Arial" w:hAnsi="Arial" w:cs="Arial"/>
          <w:sz w:val="20"/>
          <w:szCs w:val="20"/>
        </w:rPr>
        <w:t xml:space="preserve">: </w:t>
      </w:r>
    </w:p>
    <w:p w:rsidR="003922F4" w:rsidRDefault="00C11570" w:rsidP="00D47AD0">
      <w:pPr>
        <w:pStyle w:val="a8"/>
        <w:numPr>
          <w:ilvl w:val="0"/>
          <w:numId w:val="6"/>
        </w:numPr>
        <w:jc w:val="both"/>
        <w:rPr>
          <w:rFonts w:ascii="Arial" w:hAnsi="Arial" w:cs="Arial"/>
          <w:sz w:val="20"/>
          <w:szCs w:val="20"/>
        </w:rPr>
      </w:pPr>
      <w:r>
        <w:rPr>
          <w:rFonts w:ascii="Arial" w:hAnsi="Arial" w:cs="Arial"/>
          <w:sz w:val="20"/>
          <w:szCs w:val="20"/>
        </w:rPr>
        <w:t xml:space="preserve">to </w:t>
      </w:r>
      <w:r w:rsidR="00CD56DD" w:rsidRPr="00D47AD0">
        <w:rPr>
          <w:rFonts w:ascii="Arial" w:hAnsi="Arial" w:cs="Arial"/>
          <w:sz w:val="20"/>
          <w:szCs w:val="20"/>
        </w:rPr>
        <w:t xml:space="preserve">appoint a new INED no later than their AGM to be held in 2023 if all </w:t>
      </w:r>
      <w:r>
        <w:rPr>
          <w:rFonts w:ascii="Arial" w:hAnsi="Arial" w:cs="Arial"/>
          <w:sz w:val="20"/>
          <w:szCs w:val="20"/>
        </w:rPr>
        <w:t xml:space="preserve">their </w:t>
      </w:r>
      <w:r w:rsidR="00CD56DD" w:rsidRPr="00D47AD0">
        <w:rPr>
          <w:rFonts w:ascii="Arial" w:hAnsi="Arial" w:cs="Arial"/>
          <w:sz w:val="20"/>
          <w:szCs w:val="20"/>
        </w:rPr>
        <w:t>INED</w:t>
      </w:r>
      <w:r>
        <w:rPr>
          <w:rFonts w:ascii="Arial" w:hAnsi="Arial" w:cs="Arial"/>
          <w:sz w:val="20"/>
          <w:szCs w:val="20"/>
        </w:rPr>
        <w:t>s</w:t>
      </w:r>
      <w:r w:rsidR="00D43422" w:rsidRPr="00D47AD0">
        <w:rPr>
          <w:rFonts w:ascii="Arial" w:hAnsi="Arial" w:cs="Arial"/>
          <w:sz w:val="20"/>
          <w:szCs w:val="20"/>
        </w:rPr>
        <w:t xml:space="preserve"> h</w:t>
      </w:r>
      <w:r w:rsidR="00CD56DD" w:rsidRPr="00D47AD0">
        <w:rPr>
          <w:rFonts w:ascii="Arial" w:hAnsi="Arial" w:cs="Arial"/>
          <w:sz w:val="20"/>
          <w:szCs w:val="20"/>
        </w:rPr>
        <w:t xml:space="preserve">ave served for more than nine years; </w:t>
      </w:r>
    </w:p>
    <w:p w:rsidR="00253EF2" w:rsidRPr="00253EF2" w:rsidRDefault="00253EF2" w:rsidP="00253EF2">
      <w:pPr>
        <w:pStyle w:val="a8"/>
        <w:jc w:val="both"/>
        <w:rPr>
          <w:rFonts w:ascii="Arial" w:hAnsi="Arial" w:cs="Arial"/>
          <w:sz w:val="16"/>
          <w:szCs w:val="16"/>
        </w:rPr>
      </w:pPr>
    </w:p>
    <w:p w:rsidR="00455D77" w:rsidRDefault="00455D77" w:rsidP="00D47AD0">
      <w:pPr>
        <w:pStyle w:val="a8"/>
        <w:numPr>
          <w:ilvl w:val="0"/>
          <w:numId w:val="6"/>
        </w:numPr>
        <w:jc w:val="both"/>
        <w:rPr>
          <w:rFonts w:ascii="Arial" w:hAnsi="Arial" w:cs="Arial"/>
          <w:sz w:val="20"/>
          <w:szCs w:val="20"/>
        </w:rPr>
      </w:pPr>
      <w:r w:rsidRPr="00D47AD0">
        <w:rPr>
          <w:rFonts w:ascii="Arial" w:hAnsi="Arial" w:cs="Arial"/>
          <w:sz w:val="20"/>
          <w:szCs w:val="20"/>
        </w:rPr>
        <w:t xml:space="preserve">to make the </w:t>
      </w:r>
      <w:r w:rsidR="00C11570">
        <w:rPr>
          <w:rFonts w:ascii="Arial" w:hAnsi="Arial" w:cs="Arial"/>
          <w:sz w:val="20"/>
          <w:szCs w:val="20"/>
        </w:rPr>
        <w:t xml:space="preserve">mandatory </w:t>
      </w:r>
      <w:r w:rsidRPr="00D47AD0">
        <w:rPr>
          <w:rFonts w:ascii="Arial" w:hAnsi="Arial" w:cs="Arial"/>
          <w:sz w:val="20"/>
          <w:szCs w:val="20"/>
        </w:rPr>
        <w:t>disclosures on diversity</w:t>
      </w:r>
      <w:r w:rsidR="00C11570">
        <w:rPr>
          <w:rFonts w:ascii="Arial" w:hAnsi="Arial" w:cs="Arial"/>
          <w:sz w:val="20"/>
          <w:szCs w:val="20"/>
        </w:rPr>
        <w:t xml:space="preserve"> (including the </w:t>
      </w:r>
      <w:r w:rsidRPr="00D47AD0">
        <w:rPr>
          <w:rFonts w:ascii="Arial" w:hAnsi="Arial" w:cs="Arial"/>
          <w:sz w:val="20"/>
          <w:szCs w:val="20"/>
        </w:rPr>
        <w:t xml:space="preserve">targets </w:t>
      </w:r>
      <w:r w:rsidR="00185503" w:rsidRPr="00D47AD0">
        <w:rPr>
          <w:rFonts w:ascii="Arial" w:hAnsi="Arial" w:cs="Arial"/>
          <w:sz w:val="20"/>
          <w:szCs w:val="20"/>
        </w:rPr>
        <w:t xml:space="preserve">and timelines </w:t>
      </w:r>
      <w:r w:rsidR="00C11570">
        <w:rPr>
          <w:rFonts w:ascii="Arial" w:hAnsi="Arial" w:cs="Arial"/>
          <w:sz w:val="20"/>
          <w:szCs w:val="20"/>
        </w:rPr>
        <w:t xml:space="preserve">for board gender diversity </w:t>
      </w:r>
      <w:r w:rsidR="00185503" w:rsidRPr="00D47AD0">
        <w:rPr>
          <w:rFonts w:ascii="Arial" w:hAnsi="Arial" w:cs="Arial"/>
          <w:sz w:val="20"/>
          <w:szCs w:val="20"/>
        </w:rPr>
        <w:t xml:space="preserve">and </w:t>
      </w:r>
      <w:r w:rsidR="00C11570">
        <w:rPr>
          <w:rFonts w:ascii="Arial" w:hAnsi="Arial" w:cs="Arial"/>
          <w:sz w:val="20"/>
          <w:szCs w:val="20"/>
        </w:rPr>
        <w:t xml:space="preserve">workforce gender ratio) and </w:t>
      </w:r>
      <w:r w:rsidR="00185503" w:rsidRPr="00D47AD0">
        <w:rPr>
          <w:rFonts w:ascii="Arial" w:hAnsi="Arial" w:cs="Arial"/>
          <w:sz w:val="20"/>
          <w:szCs w:val="20"/>
        </w:rPr>
        <w:t xml:space="preserve">shareholders </w:t>
      </w:r>
      <w:r w:rsidRPr="00D47AD0">
        <w:rPr>
          <w:rFonts w:ascii="Arial" w:hAnsi="Arial" w:cs="Arial"/>
          <w:sz w:val="20"/>
          <w:szCs w:val="20"/>
        </w:rPr>
        <w:t xml:space="preserve">communication policy </w:t>
      </w:r>
      <w:r w:rsidR="00C11570">
        <w:rPr>
          <w:rFonts w:ascii="Arial" w:hAnsi="Arial" w:cs="Arial"/>
          <w:sz w:val="20"/>
          <w:szCs w:val="20"/>
        </w:rPr>
        <w:t xml:space="preserve">(including </w:t>
      </w:r>
      <w:r w:rsidR="00C11570">
        <w:rPr>
          <w:rFonts w:ascii="Arial" w:hAnsi="Arial" w:cs="Arial"/>
          <w:sz w:val="20"/>
          <w:szCs w:val="20"/>
        </w:rPr>
        <w:lastRenderedPageBreak/>
        <w:t xml:space="preserve">two-way communication channels and review of their effectiveness) </w:t>
      </w:r>
      <w:r w:rsidRPr="00D47AD0">
        <w:rPr>
          <w:rFonts w:ascii="Arial" w:hAnsi="Arial" w:cs="Arial"/>
          <w:sz w:val="20"/>
          <w:szCs w:val="20"/>
        </w:rPr>
        <w:t>in their Co</w:t>
      </w:r>
      <w:r w:rsidR="00C11570">
        <w:rPr>
          <w:rFonts w:ascii="Arial" w:hAnsi="Arial" w:cs="Arial"/>
          <w:sz w:val="20"/>
          <w:szCs w:val="20"/>
        </w:rPr>
        <w:t xml:space="preserve">rporate Governance reports for </w:t>
      </w:r>
      <w:r w:rsidRPr="00D47AD0">
        <w:rPr>
          <w:rFonts w:ascii="Arial" w:hAnsi="Arial" w:cs="Arial"/>
          <w:sz w:val="20"/>
          <w:szCs w:val="20"/>
        </w:rPr>
        <w:t>financial year</w:t>
      </w:r>
      <w:r w:rsidR="00C11570">
        <w:rPr>
          <w:rFonts w:ascii="Arial" w:hAnsi="Arial" w:cs="Arial"/>
          <w:sz w:val="20"/>
          <w:szCs w:val="20"/>
        </w:rPr>
        <w:t>s</w:t>
      </w:r>
      <w:r w:rsidRPr="00D47AD0">
        <w:rPr>
          <w:rFonts w:ascii="Arial" w:hAnsi="Arial" w:cs="Arial"/>
          <w:sz w:val="20"/>
          <w:szCs w:val="20"/>
        </w:rPr>
        <w:t xml:space="preserve"> commencing on or after 1 January 2022</w:t>
      </w:r>
      <w:r w:rsidR="001B665F" w:rsidRPr="00D47AD0">
        <w:rPr>
          <w:rFonts w:ascii="Arial" w:hAnsi="Arial" w:cs="Arial"/>
          <w:sz w:val="20"/>
          <w:szCs w:val="20"/>
        </w:rPr>
        <w:t>;</w:t>
      </w:r>
    </w:p>
    <w:p w:rsidR="00253EF2" w:rsidRPr="00253EF2" w:rsidRDefault="00253EF2" w:rsidP="00253EF2">
      <w:pPr>
        <w:pStyle w:val="a8"/>
        <w:rPr>
          <w:rFonts w:ascii="Arial" w:hAnsi="Arial" w:cs="Arial"/>
          <w:sz w:val="16"/>
          <w:szCs w:val="16"/>
        </w:rPr>
      </w:pPr>
    </w:p>
    <w:p w:rsidR="00253EF2" w:rsidRDefault="00BC18F2" w:rsidP="00253EF2">
      <w:pPr>
        <w:pStyle w:val="a8"/>
        <w:numPr>
          <w:ilvl w:val="0"/>
          <w:numId w:val="6"/>
        </w:numPr>
        <w:jc w:val="both"/>
        <w:rPr>
          <w:rFonts w:ascii="Arial" w:hAnsi="Arial" w:cs="Arial"/>
          <w:sz w:val="20"/>
          <w:szCs w:val="20"/>
        </w:rPr>
      </w:pPr>
      <w:r>
        <w:rPr>
          <w:rFonts w:ascii="Arial" w:hAnsi="Arial" w:cs="Arial"/>
          <w:sz w:val="20"/>
          <w:szCs w:val="20"/>
        </w:rPr>
        <w:t xml:space="preserve">to </w:t>
      </w:r>
      <w:r w:rsidR="001B665F" w:rsidRPr="00D47AD0">
        <w:rPr>
          <w:rFonts w:ascii="Arial" w:hAnsi="Arial" w:cs="Arial"/>
          <w:sz w:val="20"/>
          <w:szCs w:val="20"/>
        </w:rPr>
        <w:t>appoint a director of a different ge</w:t>
      </w:r>
      <w:r w:rsidR="00185503" w:rsidRPr="00D47AD0">
        <w:rPr>
          <w:rFonts w:ascii="Arial" w:hAnsi="Arial" w:cs="Arial"/>
          <w:sz w:val="20"/>
          <w:szCs w:val="20"/>
        </w:rPr>
        <w:t xml:space="preserve">nder by 31 December 2024 if </w:t>
      </w:r>
      <w:r>
        <w:rPr>
          <w:rFonts w:ascii="Arial" w:hAnsi="Arial" w:cs="Arial"/>
          <w:sz w:val="20"/>
          <w:szCs w:val="20"/>
        </w:rPr>
        <w:t xml:space="preserve">their </w:t>
      </w:r>
      <w:r w:rsidR="001B665F" w:rsidRPr="00D47AD0">
        <w:rPr>
          <w:rFonts w:ascii="Arial" w:hAnsi="Arial" w:cs="Arial"/>
          <w:sz w:val="20"/>
          <w:szCs w:val="20"/>
        </w:rPr>
        <w:t>board is still a single-gender board; and</w:t>
      </w:r>
    </w:p>
    <w:p w:rsidR="00253EF2" w:rsidRPr="00253EF2" w:rsidRDefault="00253EF2" w:rsidP="00253EF2">
      <w:pPr>
        <w:pStyle w:val="a8"/>
        <w:rPr>
          <w:rFonts w:ascii="Arial" w:hAnsi="Arial" w:cs="Arial"/>
          <w:sz w:val="16"/>
          <w:szCs w:val="16"/>
        </w:rPr>
      </w:pPr>
    </w:p>
    <w:p w:rsidR="001B665F" w:rsidRPr="00D47AD0" w:rsidRDefault="00BC18F2" w:rsidP="00D47AD0">
      <w:pPr>
        <w:pStyle w:val="a8"/>
        <w:numPr>
          <w:ilvl w:val="0"/>
          <w:numId w:val="6"/>
        </w:numPr>
        <w:jc w:val="both"/>
        <w:rPr>
          <w:rFonts w:ascii="Arial" w:hAnsi="Arial" w:cs="Arial"/>
          <w:sz w:val="20"/>
          <w:szCs w:val="20"/>
        </w:rPr>
      </w:pPr>
      <w:r>
        <w:rPr>
          <w:rFonts w:ascii="Arial" w:hAnsi="Arial" w:cs="Arial"/>
          <w:sz w:val="20"/>
          <w:szCs w:val="20"/>
        </w:rPr>
        <w:t xml:space="preserve">to </w:t>
      </w:r>
      <w:r w:rsidR="001B665F" w:rsidRPr="00D47AD0">
        <w:rPr>
          <w:rFonts w:ascii="Arial" w:hAnsi="Arial" w:cs="Arial"/>
          <w:sz w:val="20"/>
          <w:szCs w:val="20"/>
        </w:rPr>
        <w:t xml:space="preserve">publish their ESG reports for the financial years commencing on or after 1 January 2022 at the same time as their annual reports. </w:t>
      </w:r>
    </w:p>
    <w:p w:rsidR="003C4732" w:rsidRPr="00D47AD0" w:rsidRDefault="003C4732" w:rsidP="00D47AD0">
      <w:pPr>
        <w:jc w:val="both"/>
        <w:rPr>
          <w:rFonts w:ascii="Arial" w:hAnsi="Arial" w:cs="Arial"/>
          <w:b/>
          <w:color w:val="FF0000"/>
          <w:sz w:val="20"/>
          <w:szCs w:val="20"/>
        </w:rPr>
      </w:pPr>
      <w:r w:rsidRPr="00D47AD0">
        <w:rPr>
          <w:rFonts w:ascii="Arial" w:hAnsi="Arial" w:cs="Arial"/>
          <w:b/>
          <w:color w:val="FF0000"/>
          <w:sz w:val="20"/>
          <w:szCs w:val="20"/>
        </w:rPr>
        <w:t xml:space="preserve">Arranging Secondary-Listed Issuers’ Conversion to HKEx </w:t>
      </w:r>
      <w:r w:rsidR="009C1C94" w:rsidRPr="00D47AD0">
        <w:rPr>
          <w:rFonts w:ascii="Arial" w:hAnsi="Arial" w:cs="Arial"/>
          <w:b/>
          <w:color w:val="FF0000"/>
          <w:sz w:val="20"/>
          <w:szCs w:val="20"/>
        </w:rPr>
        <w:t>Primary</w:t>
      </w:r>
      <w:r w:rsidR="009C1C94">
        <w:rPr>
          <w:rFonts w:ascii="Arial" w:hAnsi="Arial" w:cs="Arial"/>
          <w:b/>
          <w:color w:val="FF0000"/>
          <w:sz w:val="20"/>
          <w:szCs w:val="20"/>
        </w:rPr>
        <w:t xml:space="preserve"> Listing</w:t>
      </w:r>
    </w:p>
    <w:p w:rsidR="00B85571" w:rsidRPr="00D47AD0" w:rsidRDefault="005D4283" w:rsidP="00D47AD0">
      <w:pPr>
        <w:jc w:val="both"/>
        <w:rPr>
          <w:rFonts w:ascii="Arial" w:hAnsi="Arial" w:cs="Arial"/>
          <w:sz w:val="20"/>
          <w:szCs w:val="20"/>
        </w:rPr>
      </w:pPr>
      <w:r>
        <w:rPr>
          <w:rFonts w:ascii="Arial" w:hAnsi="Arial" w:cs="Arial"/>
          <w:sz w:val="20"/>
          <w:szCs w:val="20"/>
        </w:rPr>
        <w:t>In 2022</w:t>
      </w:r>
      <w:r w:rsidR="009C1C94">
        <w:rPr>
          <w:rFonts w:ascii="Arial" w:hAnsi="Arial" w:cs="Arial"/>
          <w:sz w:val="20"/>
          <w:szCs w:val="20"/>
        </w:rPr>
        <w:t>,</w:t>
      </w:r>
      <w:r>
        <w:rPr>
          <w:rFonts w:ascii="Arial" w:hAnsi="Arial" w:cs="Arial"/>
          <w:sz w:val="20"/>
          <w:szCs w:val="20"/>
        </w:rPr>
        <w:t xml:space="preserve"> a number of secondary-</w:t>
      </w:r>
      <w:r w:rsidR="0060305A" w:rsidRPr="00D47AD0">
        <w:rPr>
          <w:rFonts w:ascii="Arial" w:hAnsi="Arial" w:cs="Arial"/>
          <w:sz w:val="20"/>
          <w:szCs w:val="20"/>
        </w:rPr>
        <w:t xml:space="preserve">listed issuers </w:t>
      </w:r>
      <w:r w:rsidR="009C1C94">
        <w:rPr>
          <w:rFonts w:ascii="Arial" w:hAnsi="Arial" w:cs="Arial"/>
          <w:sz w:val="20"/>
          <w:szCs w:val="20"/>
        </w:rPr>
        <w:t xml:space="preserve">converted to a primary listing on the HKEx or </w:t>
      </w:r>
      <w:r w:rsidR="0060305A" w:rsidRPr="00D47AD0">
        <w:rPr>
          <w:rFonts w:ascii="Arial" w:hAnsi="Arial" w:cs="Arial"/>
          <w:sz w:val="20"/>
          <w:szCs w:val="20"/>
        </w:rPr>
        <w:t>expressed an intention to</w:t>
      </w:r>
      <w:r w:rsidR="009C1C94">
        <w:rPr>
          <w:rFonts w:ascii="Arial" w:hAnsi="Arial" w:cs="Arial"/>
          <w:sz w:val="20"/>
          <w:szCs w:val="20"/>
        </w:rPr>
        <w:t xml:space="preserve"> do so</w:t>
      </w:r>
      <w:r w:rsidR="00185503" w:rsidRPr="00D47AD0">
        <w:rPr>
          <w:rFonts w:ascii="Arial" w:hAnsi="Arial" w:cs="Arial"/>
          <w:sz w:val="20"/>
          <w:szCs w:val="20"/>
        </w:rPr>
        <w:t xml:space="preserve">. </w:t>
      </w:r>
      <w:r w:rsidR="00E005C6">
        <w:rPr>
          <w:rFonts w:ascii="Arial" w:hAnsi="Arial" w:cs="Arial"/>
          <w:sz w:val="20"/>
          <w:szCs w:val="20"/>
        </w:rPr>
        <w:t>The HKEx</w:t>
      </w:r>
      <w:r w:rsidR="00185503" w:rsidRPr="00D47AD0">
        <w:rPr>
          <w:rFonts w:ascii="Arial" w:hAnsi="Arial" w:cs="Arial"/>
          <w:sz w:val="20"/>
          <w:szCs w:val="20"/>
        </w:rPr>
        <w:t xml:space="preserve"> </w:t>
      </w:r>
      <w:r w:rsidR="0060305A" w:rsidRPr="00D47AD0">
        <w:rPr>
          <w:rFonts w:ascii="Arial" w:hAnsi="Arial" w:cs="Arial"/>
          <w:sz w:val="20"/>
          <w:szCs w:val="20"/>
        </w:rPr>
        <w:t>sin</w:t>
      </w:r>
      <w:r w:rsidR="00185503" w:rsidRPr="00D47AD0">
        <w:rPr>
          <w:rFonts w:ascii="Arial" w:hAnsi="Arial" w:cs="Arial"/>
          <w:sz w:val="20"/>
          <w:szCs w:val="20"/>
        </w:rPr>
        <w:t xml:space="preserve">gled out the following areas </w:t>
      </w:r>
      <w:r w:rsidR="00E62153">
        <w:rPr>
          <w:rFonts w:ascii="Arial" w:hAnsi="Arial" w:cs="Arial"/>
          <w:sz w:val="20"/>
          <w:szCs w:val="20"/>
        </w:rPr>
        <w:t xml:space="preserve">for </w:t>
      </w:r>
      <w:r w:rsidR="009C1C94">
        <w:rPr>
          <w:rFonts w:ascii="Arial" w:hAnsi="Arial" w:cs="Arial"/>
          <w:sz w:val="20"/>
          <w:szCs w:val="20"/>
        </w:rPr>
        <w:t>i</w:t>
      </w:r>
      <w:r w:rsidR="00E62153">
        <w:rPr>
          <w:rFonts w:ascii="Arial" w:hAnsi="Arial" w:cs="Arial"/>
          <w:sz w:val="20"/>
          <w:szCs w:val="20"/>
        </w:rPr>
        <w:t xml:space="preserve">ssuers </w:t>
      </w:r>
      <w:r w:rsidR="0060305A" w:rsidRPr="00D47AD0">
        <w:rPr>
          <w:rFonts w:ascii="Arial" w:hAnsi="Arial" w:cs="Arial"/>
          <w:sz w:val="20"/>
          <w:szCs w:val="20"/>
        </w:rPr>
        <w:t>to plan for</w:t>
      </w:r>
      <w:r w:rsidR="00185503" w:rsidRPr="00D47AD0">
        <w:rPr>
          <w:rFonts w:ascii="Arial" w:hAnsi="Arial" w:cs="Arial"/>
          <w:sz w:val="20"/>
          <w:szCs w:val="20"/>
        </w:rPr>
        <w:t xml:space="preserve"> and note</w:t>
      </w:r>
      <w:r w:rsidR="0060305A" w:rsidRPr="00D47AD0">
        <w:rPr>
          <w:rFonts w:ascii="Arial" w:hAnsi="Arial" w:cs="Arial"/>
          <w:sz w:val="20"/>
          <w:szCs w:val="20"/>
        </w:rPr>
        <w:t xml:space="preserve">: </w:t>
      </w:r>
    </w:p>
    <w:p w:rsidR="0060305A" w:rsidRDefault="00185503" w:rsidP="00D47AD0">
      <w:pPr>
        <w:pStyle w:val="a8"/>
        <w:numPr>
          <w:ilvl w:val="0"/>
          <w:numId w:val="7"/>
        </w:numPr>
        <w:jc w:val="both"/>
        <w:rPr>
          <w:rFonts w:ascii="Arial" w:hAnsi="Arial" w:cs="Arial"/>
          <w:sz w:val="20"/>
          <w:szCs w:val="20"/>
        </w:rPr>
      </w:pPr>
      <w:r w:rsidRPr="00D47AD0">
        <w:rPr>
          <w:rFonts w:ascii="Arial" w:hAnsi="Arial" w:cs="Arial"/>
          <w:sz w:val="20"/>
          <w:szCs w:val="20"/>
        </w:rPr>
        <w:t>i</w:t>
      </w:r>
      <w:r w:rsidR="005D4283">
        <w:rPr>
          <w:rFonts w:ascii="Arial" w:hAnsi="Arial" w:cs="Arial"/>
          <w:sz w:val="20"/>
          <w:szCs w:val="20"/>
        </w:rPr>
        <w:t>dentifying applicable r</w:t>
      </w:r>
      <w:r w:rsidR="0060305A" w:rsidRPr="00D47AD0">
        <w:rPr>
          <w:rFonts w:ascii="Arial" w:hAnsi="Arial" w:cs="Arial"/>
          <w:sz w:val="20"/>
          <w:szCs w:val="20"/>
        </w:rPr>
        <w:t>ules and establishing controls</w:t>
      </w:r>
      <w:r w:rsidR="009C1C94">
        <w:rPr>
          <w:rFonts w:ascii="Arial" w:hAnsi="Arial" w:cs="Arial"/>
          <w:sz w:val="20"/>
          <w:szCs w:val="20"/>
        </w:rPr>
        <w:t xml:space="preserve"> </w:t>
      </w:r>
      <w:r w:rsidR="009C1C94" w:rsidRPr="004E42BD">
        <w:rPr>
          <w:rFonts w:ascii="Arial" w:hAnsi="Arial" w:cs="Arial"/>
          <w:sz w:val="20"/>
          <w:szCs w:val="20"/>
        </w:rPr>
        <w:t xml:space="preserve">– </w:t>
      </w:r>
      <w:r w:rsidR="0060305A" w:rsidRPr="00D47AD0">
        <w:rPr>
          <w:rFonts w:ascii="Arial" w:hAnsi="Arial" w:cs="Arial"/>
          <w:sz w:val="20"/>
          <w:szCs w:val="20"/>
        </w:rPr>
        <w:t>the disclosure and other requirement</w:t>
      </w:r>
      <w:r w:rsidR="00F744A3" w:rsidRPr="00D47AD0">
        <w:rPr>
          <w:rFonts w:ascii="Arial" w:hAnsi="Arial" w:cs="Arial"/>
          <w:sz w:val="20"/>
          <w:szCs w:val="20"/>
        </w:rPr>
        <w:t xml:space="preserve">s under </w:t>
      </w:r>
      <w:r w:rsidR="009C1C94">
        <w:rPr>
          <w:rFonts w:ascii="Arial" w:hAnsi="Arial" w:cs="Arial"/>
          <w:sz w:val="20"/>
          <w:szCs w:val="20"/>
        </w:rPr>
        <w:t>the HKEx</w:t>
      </w:r>
      <w:r w:rsidR="00F744A3" w:rsidRPr="00D47AD0">
        <w:rPr>
          <w:rFonts w:ascii="Arial" w:hAnsi="Arial" w:cs="Arial"/>
          <w:sz w:val="20"/>
          <w:szCs w:val="20"/>
        </w:rPr>
        <w:t xml:space="preserve"> Li</w:t>
      </w:r>
      <w:r w:rsidR="009C1C94">
        <w:rPr>
          <w:rFonts w:ascii="Arial" w:hAnsi="Arial" w:cs="Arial"/>
          <w:sz w:val="20"/>
          <w:szCs w:val="20"/>
        </w:rPr>
        <w:t>sting Rules for</w:t>
      </w:r>
      <w:r w:rsidR="00051C74" w:rsidRPr="00D47AD0">
        <w:rPr>
          <w:rFonts w:ascii="Arial" w:hAnsi="Arial" w:cs="Arial"/>
          <w:sz w:val="20"/>
          <w:szCs w:val="20"/>
        </w:rPr>
        <w:t xml:space="preserve"> secondary-</w:t>
      </w:r>
      <w:r w:rsidR="00F744A3" w:rsidRPr="00D47AD0">
        <w:rPr>
          <w:rFonts w:ascii="Arial" w:hAnsi="Arial" w:cs="Arial"/>
          <w:sz w:val="20"/>
          <w:szCs w:val="20"/>
        </w:rPr>
        <w:t xml:space="preserve">listed issuers are </w:t>
      </w:r>
      <w:r w:rsidRPr="00D47AD0">
        <w:rPr>
          <w:rFonts w:ascii="Arial" w:hAnsi="Arial" w:cs="Arial"/>
          <w:sz w:val="20"/>
          <w:szCs w:val="20"/>
        </w:rPr>
        <w:t xml:space="preserve">comparatively </w:t>
      </w:r>
      <w:r w:rsidR="00F744A3" w:rsidRPr="00D47AD0">
        <w:rPr>
          <w:rFonts w:ascii="Arial" w:hAnsi="Arial" w:cs="Arial"/>
          <w:sz w:val="20"/>
          <w:szCs w:val="20"/>
        </w:rPr>
        <w:t>‘light touch’</w:t>
      </w:r>
      <w:r w:rsidRPr="00D47AD0">
        <w:rPr>
          <w:rFonts w:ascii="Arial" w:hAnsi="Arial" w:cs="Arial"/>
          <w:sz w:val="20"/>
          <w:szCs w:val="20"/>
        </w:rPr>
        <w:t>. T</w:t>
      </w:r>
      <w:r w:rsidR="00F744A3" w:rsidRPr="00D47AD0">
        <w:rPr>
          <w:rFonts w:ascii="Arial" w:hAnsi="Arial" w:cs="Arial"/>
          <w:sz w:val="20"/>
          <w:szCs w:val="20"/>
        </w:rPr>
        <w:t>herefore</w:t>
      </w:r>
      <w:r w:rsidRPr="00D47AD0">
        <w:rPr>
          <w:rFonts w:ascii="Arial" w:hAnsi="Arial" w:cs="Arial"/>
          <w:sz w:val="20"/>
          <w:szCs w:val="20"/>
        </w:rPr>
        <w:t xml:space="preserve">, </w:t>
      </w:r>
      <w:r w:rsidR="009C1C94">
        <w:rPr>
          <w:rFonts w:ascii="Arial" w:hAnsi="Arial" w:cs="Arial"/>
          <w:sz w:val="20"/>
          <w:szCs w:val="20"/>
        </w:rPr>
        <w:t>i</w:t>
      </w:r>
      <w:r w:rsidR="00F744A3" w:rsidRPr="00D47AD0">
        <w:rPr>
          <w:rFonts w:ascii="Arial" w:hAnsi="Arial" w:cs="Arial"/>
          <w:sz w:val="20"/>
          <w:szCs w:val="20"/>
        </w:rPr>
        <w:t xml:space="preserve">ssuers who </w:t>
      </w:r>
      <w:r w:rsidR="009C1C94">
        <w:rPr>
          <w:rFonts w:ascii="Arial" w:hAnsi="Arial" w:cs="Arial"/>
          <w:sz w:val="20"/>
          <w:szCs w:val="20"/>
        </w:rPr>
        <w:t xml:space="preserve">plan </w:t>
      </w:r>
      <w:r w:rsidR="00F744A3" w:rsidRPr="00D47AD0">
        <w:rPr>
          <w:rFonts w:ascii="Arial" w:hAnsi="Arial" w:cs="Arial"/>
          <w:sz w:val="20"/>
          <w:szCs w:val="20"/>
        </w:rPr>
        <w:t>to convert to</w:t>
      </w:r>
      <w:r w:rsidR="00253EF2">
        <w:rPr>
          <w:rFonts w:ascii="Arial" w:hAnsi="Arial" w:cs="Arial"/>
          <w:sz w:val="20"/>
          <w:szCs w:val="20"/>
        </w:rPr>
        <w:t xml:space="preserve"> </w:t>
      </w:r>
      <w:r w:rsidR="009C1C94">
        <w:rPr>
          <w:rFonts w:ascii="Arial" w:hAnsi="Arial" w:cs="Arial"/>
          <w:sz w:val="20"/>
          <w:szCs w:val="20"/>
        </w:rPr>
        <w:t xml:space="preserve">a primary listing on </w:t>
      </w:r>
      <w:r w:rsidR="00253EF2">
        <w:rPr>
          <w:rFonts w:ascii="Arial" w:hAnsi="Arial" w:cs="Arial"/>
          <w:sz w:val="20"/>
          <w:szCs w:val="20"/>
        </w:rPr>
        <w:t>the</w:t>
      </w:r>
      <w:r w:rsidR="00F744A3" w:rsidRPr="00D47AD0">
        <w:rPr>
          <w:rFonts w:ascii="Arial" w:hAnsi="Arial" w:cs="Arial"/>
          <w:sz w:val="20"/>
          <w:szCs w:val="20"/>
        </w:rPr>
        <w:t xml:space="preserve"> HKEx should be aware that some corporate actions commonly undertaken in</w:t>
      </w:r>
      <w:r w:rsidR="00253EF2">
        <w:rPr>
          <w:rFonts w:ascii="Arial" w:hAnsi="Arial" w:cs="Arial"/>
          <w:sz w:val="20"/>
          <w:szCs w:val="20"/>
        </w:rPr>
        <w:t xml:space="preserve"> the</w:t>
      </w:r>
      <w:r w:rsidR="00F744A3" w:rsidRPr="00D47AD0">
        <w:rPr>
          <w:rFonts w:ascii="Arial" w:hAnsi="Arial" w:cs="Arial"/>
          <w:sz w:val="20"/>
          <w:szCs w:val="20"/>
        </w:rPr>
        <w:t xml:space="preserve"> capital market of their current</w:t>
      </w:r>
      <w:r w:rsidR="005D4283">
        <w:rPr>
          <w:rFonts w:ascii="Arial" w:hAnsi="Arial" w:cs="Arial"/>
          <w:sz w:val="20"/>
          <w:szCs w:val="20"/>
        </w:rPr>
        <w:t xml:space="preserve"> </w:t>
      </w:r>
      <w:r w:rsidR="009C1C94">
        <w:rPr>
          <w:rFonts w:ascii="Arial" w:hAnsi="Arial" w:cs="Arial"/>
          <w:sz w:val="20"/>
          <w:szCs w:val="20"/>
        </w:rPr>
        <w:t xml:space="preserve">primary </w:t>
      </w:r>
      <w:r w:rsidR="005D4283">
        <w:rPr>
          <w:rFonts w:ascii="Arial" w:hAnsi="Arial" w:cs="Arial"/>
          <w:sz w:val="20"/>
          <w:szCs w:val="20"/>
        </w:rPr>
        <w:t>listing</w:t>
      </w:r>
      <w:r w:rsidR="00F744A3" w:rsidRPr="00D47AD0">
        <w:rPr>
          <w:rFonts w:ascii="Arial" w:hAnsi="Arial" w:cs="Arial"/>
          <w:sz w:val="20"/>
          <w:szCs w:val="20"/>
        </w:rPr>
        <w:t xml:space="preserve"> jurisdiction</w:t>
      </w:r>
      <w:r w:rsidR="00051C74" w:rsidRPr="00D47AD0">
        <w:rPr>
          <w:rFonts w:ascii="Arial" w:hAnsi="Arial" w:cs="Arial"/>
          <w:sz w:val="20"/>
          <w:szCs w:val="20"/>
        </w:rPr>
        <w:t xml:space="preserve"> (</w:t>
      </w:r>
      <w:r w:rsidR="009C1C94">
        <w:rPr>
          <w:rFonts w:ascii="Arial" w:hAnsi="Arial" w:cs="Arial"/>
          <w:sz w:val="20"/>
          <w:szCs w:val="20"/>
        </w:rPr>
        <w:t>such as mergers and acquisitions</w:t>
      </w:r>
      <w:r w:rsidR="00051C74" w:rsidRPr="00D47AD0">
        <w:rPr>
          <w:rFonts w:ascii="Arial" w:hAnsi="Arial" w:cs="Arial"/>
          <w:sz w:val="20"/>
          <w:szCs w:val="20"/>
        </w:rPr>
        <w:t>, related party transactions, equity fundraisings and employee incentive programs</w:t>
      </w:r>
      <w:r w:rsidR="009C1C94">
        <w:rPr>
          <w:rFonts w:ascii="Arial" w:hAnsi="Arial" w:cs="Arial"/>
          <w:sz w:val="20"/>
          <w:szCs w:val="20"/>
        </w:rPr>
        <w:t xml:space="preserve"> for US-listed i</w:t>
      </w:r>
      <w:r w:rsidR="005D4283">
        <w:rPr>
          <w:rFonts w:ascii="Arial" w:hAnsi="Arial" w:cs="Arial"/>
          <w:sz w:val="20"/>
          <w:szCs w:val="20"/>
        </w:rPr>
        <w:t>ssuers</w:t>
      </w:r>
      <w:r w:rsidR="00051C74" w:rsidRPr="00D47AD0">
        <w:rPr>
          <w:rFonts w:ascii="Arial" w:hAnsi="Arial" w:cs="Arial"/>
          <w:sz w:val="20"/>
          <w:szCs w:val="20"/>
        </w:rPr>
        <w:t>)</w:t>
      </w:r>
      <w:r w:rsidR="00F744A3" w:rsidRPr="00D47AD0">
        <w:rPr>
          <w:rFonts w:ascii="Arial" w:hAnsi="Arial" w:cs="Arial"/>
          <w:sz w:val="20"/>
          <w:szCs w:val="20"/>
        </w:rPr>
        <w:t xml:space="preserve"> may be subject to disclosure and other requirement</w:t>
      </w:r>
      <w:r w:rsidRPr="00D47AD0">
        <w:rPr>
          <w:rFonts w:ascii="Arial" w:hAnsi="Arial" w:cs="Arial"/>
          <w:sz w:val="20"/>
          <w:szCs w:val="20"/>
        </w:rPr>
        <w:t>s</w:t>
      </w:r>
      <w:r w:rsidR="00F744A3" w:rsidRPr="00D47AD0">
        <w:rPr>
          <w:rFonts w:ascii="Arial" w:hAnsi="Arial" w:cs="Arial"/>
          <w:sz w:val="20"/>
          <w:szCs w:val="20"/>
        </w:rPr>
        <w:t xml:space="preserve"> </w:t>
      </w:r>
      <w:r w:rsidR="009C1C94">
        <w:rPr>
          <w:rFonts w:ascii="Arial" w:hAnsi="Arial" w:cs="Arial"/>
          <w:sz w:val="20"/>
          <w:szCs w:val="20"/>
        </w:rPr>
        <w:t xml:space="preserve">(such as requirements for shareholders’ approval) </w:t>
      </w:r>
      <w:r w:rsidR="00F744A3" w:rsidRPr="00D47AD0">
        <w:rPr>
          <w:rFonts w:ascii="Arial" w:hAnsi="Arial" w:cs="Arial"/>
          <w:sz w:val="20"/>
          <w:szCs w:val="20"/>
        </w:rPr>
        <w:t xml:space="preserve">under </w:t>
      </w:r>
      <w:r w:rsidRPr="00D47AD0">
        <w:rPr>
          <w:rFonts w:ascii="Arial" w:hAnsi="Arial" w:cs="Arial"/>
          <w:sz w:val="20"/>
          <w:szCs w:val="20"/>
        </w:rPr>
        <w:t xml:space="preserve">the </w:t>
      </w:r>
      <w:proofErr w:type="spellStart"/>
      <w:r w:rsidR="00E57894">
        <w:rPr>
          <w:rFonts w:ascii="Arial" w:hAnsi="Arial" w:cs="Arial"/>
          <w:sz w:val="20"/>
          <w:szCs w:val="20"/>
        </w:rPr>
        <w:t>HKEx</w:t>
      </w:r>
      <w:proofErr w:type="spellEnd"/>
      <w:r w:rsidR="00E57894">
        <w:rPr>
          <w:rFonts w:ascii="Arial" w:hAnsi="Arial" w:cs="Arial"/>
          <w:sz w:val="20"/>
          <w:szCs w:val="20"/>
        </w:rPr>
        <w:t xml:space="preserve"> </w:t>
      </w:r>
      <w:r w:rsidR="00F744A3" w:rsidRPr="00D47AD0">
        <w:rPr>
          <w:rFonts w:ascii="Arial" w:hAnsi="Arial" w:cs="Arial"/>
          <w:sz w:val="20"/>
          <w:szCs w:val="20"/>
        </w:rPr>
        <w:t xml:space="preserve">Listing Rules. </w:t>
      </w:r>
      <w:r w:rsidRPr="00D47AD0">
        <w:rPr>
          <w:rFonts w:ascii="Arial" w:hAnsi="Arial" w:cs="Arial"/>
          <w:sz w:val="20"/>
          <w:szCs w:val="20"/>
        </w:rPr>
        <w:t>Issuers</w:t>
      </w:r>
      <w:r w:rsidR="00F744A3" w:rsidRPr="00D47AD0">
        <w:rPr>
          <w:rFonts w:ascii="Arial" w:hAnsi="Arial" w:cs="Arial"/>
          <w:sz w:val="20"/>
          <w:szCs w:val="20"/>
        </w:rPr>
        <w:t xml:space="preserve"> should also establish internal control systems </w:t>
      </w:r>
      <w:r w:rsidR="00253EF2" w:rsidRPr="00D47AD0">
        <w:rPr>
          <w:rFonts w:ascii="Arial" w:hAnsi="Arial" w:cs="Arial"/>
          <w:sz w:val="20"/>
          <w:szCs w:val="20"/>
        </w:rPr>
        <w:t xml:space="preserve">(i.e governance structures and relevant procedures) </w:t>
      </w:r>
      <w:r w:rsidR="00F744A3" w:rsidRPr="00D47AD0">
        <w:rPr>
          <w:rFonts w:ascii="Arial" w:hAnsi="Arial" w:cs="Arial"/>
          <w:sz w:val="20"/>
          <w:szCs w:val="20"/>
        </w:rPr>
        <w:t xml:space="preserve">to ensure the identification of </w:t>
      </w:r>
      <w:r w:rsidR="005D4283">
        <w:rPr>
          <w:rFonts w:ascii="Arial" w:hAnsi="Arial" w:cs="Arial"/>
          <w:sz w:val="20"/>
          <w:szCs w:val="20"/>
        </w:rPr>
        <w:t>those corporate</w:t>
      </w:r>
      <w:r w:rsidR="00F744A3" w:rsidRPr="00D47AD0">
        <w:rPr>
          <w:rFonts w:ascii="Arial" w:hAnsi="Arial" w:cs="Arial"/>
          <w:sz w:val="20"/>
          <w:szCs w:val="20"/>
        </w:rPr>
        <w:t xml:space="preserve"> actions and timely compliance </w:t>
      </w:r>
      <w:r w:rsidR="00CC3F4E">
        <w:rPr>
          <w:rFonts w:ascii="Arial" w:hAnsi="Arial" w:cs="Arial"/>
          <w:sz w:val="20"/>
          <w:szCs w:val="20"/>
        </w:rPr>
        <w:t xml:space="preserve">with the </w:t>
      </w:r>
      <w:proofErr w:type="spellStart"/>
      <w:r w:rsidR="00E57894">
        <w:rPr>
          <w:rFonts w:ascii="Arial" w:hAnsi="Arial" w:cs="Arial"/>
          <w:sz w:val="20"/>
          <w:szCs w:val="20"/>
        </w:rPr>
        <w:t>HKEx</w:t>
      </w:r>
      <w:proofErr w:type="spellEnd"/>
      <w:r w:rsidR="00E57894">
        <w:rPr>
          <w:rFonts w:ascii="Arial" w:hAnsi="Arial" w:cs="Arial"/>
          <w:sz w:val="20"/>
          <w:szCs w:val="20"/>
        </w:rPr>
        <w:t xml:space="preserve"> </w:t>
      </w:r>
      <w:r w:rsidR="00CC3F4E">
        <w:rPr>
          <w:rFonts w:ascii="Arial" w:hAnsi="Arial" w:cs="Arial"/>
          <w:sz w:val="20"/>
          <w:szCs w:val="20"/>
        </w:rPr>
        <w:t xml:space="preserve">Listing Rules </w:t>
      </w:r>
      <w:r w:rsidR="00F744A3" w:rsidRPr="00D47AD0">
        <w:rPr>
          <w:rFonts w:ascii="Arial" w:hAnsi="Arial" w:cs="Arial"/>
          <w:sz w:val="20"/>
          <w:szCs w:val="20"/>
        </w:rPr>
        <w:t>before their conversion</w:t>
      </w:r>
      <w:r w:rsidR="00253EF2">
        <w:rPr>
          <w:rFonts w:ascii="Arial" w:hAnsi="Arial" w:cs="Arial"/>
          <w:sz w:val="20"/>
          <w:szCs w:val="20"/>
        </w:rPr>
        <w:t xml:space="preserve">; and </w:t>
      </w:r>
    </w:p>
    <w:p w:rsidR="00253EF2" w:rsidRPr="00253EF2" w:rsidRDefault="00253EF2" w:rsidP="00253EF2">
      <w:pPr>
        <w:pStyle w:val="a8"/>
        <w:jc w:val="both"/>
        <w:rPr>
          <w:rFonts w:ascii="Arial" w:hAnsi="Arial" w:cs="Arial"/>
          <w:sz w:val="16"/>
          <w:szCs w:val="16"/>
        </w:rPr>
      </w:pPr>
    </w:p>
    <w:p w:rsidR="00253EF2" w:rsidRDefault="00051C74" w:rsidP="00253EF2">
      <w:pPr>
        <w:pStyle w:val="a8"/>
        <w:numPr>
          <w:ilvl w:val="0"/>
          <w:numId w:val="7"/>
        </w:numPr>
        <w:jc w:val="both"/>
        <w:rPr>
          <w:rFonts w:ascii="Arial" w:hAnsi="Arial" w:cs="Arial"/>
          <w:sz w:val="20"/>
          <w:szCs w:val="20"/>
        </w:rPr>
      </w:pPr>
      <w:r w:rsidRPr="00D47AD0">
        <w:rPr>
          <w:rFonts w:ascii="Arial" w:hAnsi="Arial" w:cs="Arial"/>
          <w:sz w:val="20"/>
          <w:szCs w:val="20"/>
        </w:rPr>
        <w:t>d</w:t>
      </w:r>
      <w:r w:rsidR="005D4283">
        <w:rPr>
          <w:rFonts w:ascii="Arial" w:hAnsi="Arial" w:cs="Arial"/>
          <w:sz w:val="20"/>
          <w:szCs w:val="20"/>
        </w:rPr>
        <w:t>ispensation of rule r</w:t>
      </w:r>
      <w:r w:rsidR="0060305A" w:rsidRPr="00D47AD0">
        <w:rPr>
          <w:rFonts w:ascii="Arial" w:hAnsi="Arial" w:cs="Arial"/>
          <w:sz w:val="20"/>
          <w:szCs w:val="20"/>
        </w:rPr>
        <w:t>equirements</w:t>
      </w:r>
      <w:r w:rsidR="00CC3F4E">
        <w:rPr>
          <w:rFonts w:ascii="Arial" w:hAnsi="Arial" w:cs="Arial"/>
          <w:sz w:val="20"/>
          <w:szCs w:val="20"/>
        </w:rPr>
        <w:t xml:space="preserve"> </w:t>
      </w:r>
      <w:r w:rsidR="00CC3F4E" w:rsidRPr="004E42BD">
        <w:rPr>
          <w:rFonts w:ascii="Arial" w:hAnsi="Arial" w:cs="Arial"/>
          <w:sz w:val="20"/>
          <w:szCs w:val="20"/>
        </w:rPr>
        <w:t>–</w:t>
      </w:r>
      <w:r w:rsidR="00CC3F4E">
        <w:rPr>
          <w:rFonts w:ascii="Arial" w:hAnsi="Arial" w:cs="Arial"/>
          <w:sz w:val="20"/>
          <w:szCs w:val="20"/>
        </w:rPr>
        <w:t xml:space="preserve"> </w:t>
      </w:r>
      <w:r w:rsidR="00253EF2">
        <w:rPr>
          <w:rFonts w:ascii="Arial" w:hAnsi="Arial" w:cs="Arial"/>
          <w:sz w:val="20"/>
          <w:szCs w:val="20"/>
        </w:rPr>
        <w:t>t</w:t>
      </w:r>
      <w:r w:rsidR="00CC3F4E">
        <w:rPr>
          <w:rFonts w:ascii="Arial" w:hAnsi="Arial" w:cs="Arial"/>
          <w:sz w:val="20"/>
          <w:szCs w:val="20"/>
        </w:rPr>
        <w:t>he HKEx</w:t>
      </w:r>
      <w:r w:rsidRPr="00D47AD0">
        <w:rPr>
          <w:rFonts w:ascii="Arial" w:hAnsi="Arial" w:cs="Arial"/>
          <w:sz w:val="20"/>
          <w:szCs w:val="20"/>
        </w:rPr>
        <w:t xml:space="preserve"> understand</w:t>
      </w:r>
      <w:r w:rsidR="00CC3F4E">
        <w:rPr>
          <w:rFonts w:ascii="Arial" w:hAnsi="Arial" w:cs="Arial"/>
          <w:sz w:val="20"/>
          <w:szCs w:val="20"/>
        </w:rPr>
        <w:t>s</w:t>
      </w:r>
      <w:r w:rsidRPr="00D47AD0">
        <w:rPr>
          <w:rFonts w:ascii="Arial" w:hAnsi="Arial" w:cs="Arial"/>
          <w:sz w:val="20"/>
          <w:szCs w:val="20"/>
        </w:rPr>
        <w:t xml:space="preserve"> that secondary-</w:t>
      </w:r>
      <w:r w:rsidR="00F744A3" w:rsidRPr="00D47AD0">
        <w:rPr>
          <w:rFonts w:ascii="Arial" w:hAnsi="Arial" w:cs="Arial"/>
          <w:sz w:val="20"/>
          <w:szCs w:val="20"/>
        </w:rPr>
        <w:t>listed issuers may have adopted arra</w:t>
      </w:r>
      <w:r w:rsidR="00CC3F4E">
        <w:rPr>
          <w:rFonts w:ascii="Arial" w:hAnsi="Arial" w:cs="Arial"/>
          <w:sz w:val="20"/>
          <w:szCs w:val="20"/>
        </w:rPr>
        <w:t>ngements in their primary listing</w:t>
      </w:r>
      <w:r w:rsidR="00F744A3" w:rsidRPr="00D47AD0">
        <w:rPr>
          <w:rFonts w:ascii="Arial" w:hAnsi="Arial" w:cs="Arial"/>
          <w:sz w:val="20"/>
          <w:szCs w:val="20"/>
        </w:rPr>
        <w:t xml:space="preserve"> jurisdictions that would</w:t>
      </w:r>
      <w:r w:rsidR="006748A1">
        <w:rPr>
          <w:rFonts w:ascii="Arial" w:hAnsi="Arial" w:cs="Arial"/>
          <w:sz w:val="20"/>
          <w:szCs w:val="20"/>
        </w:rPr>
        <w:t xml:space="preserve"> be unduly burdensome to remove</w:t>
      </w:r>
      <w:r w:rsidR="00F744A3" w:rsidRPr="00D47AD0">
        <w:rPr>
          <w:rFonts w:ascii="Arial" w:hAnsi="Arial" w:cs="Arial"/>
          <w:sz w:val="20"/>
          <w:szCs w:val="20"/>
        </w:rPr>
        <w:t xml:space="preserve">. </w:t>
      </w:r>
      <w:r w:rsidRPr="00D47AD0">
        <w:rPr>
          <w:rFonts w:ascii="Arial" w:hAnsi="Arial" w:cs="Arial"/>
          <w:sz w:val="20"/>
          <w:szCs w:val="20"/>
        </w:rPr>
        <w:t>S</w:t>
      </w:r>
      <w:r w:rsidR="00F744A3" w:rsidRPr="00D47AD0">
        <w:rPr>
          <w:rFonts w:ascii="Arial" w:hAnsi="Arial" w:cs="Arial"/>
          <w:sz w:val="20"/>
          <w:szCs w:val="20"/>
        </w:rPr>
        <w:t xml:space="preserve">o </w:t>
      </w:r>
      <w:r w:rsidR="004F1011" w:rsidRPr="00D47AD0">
        <w:rPr>
          <w:rFonts w:ascii="Arial" w:hAnsi="Arial" w:cs="Arial"/>
          <w:sz w:val="20"/>
          <w:szCs w:val="20"/>
        </w:rPr>
        <w:t>long</w:t>
      </w:r>
      <w:r w:rsidR="00F744A3" w:rsidRPr="00D47AD0">
        <w:rPr>
          <w:rFonts w:ascii="Arial" w:hAnsi="Arial" w:cs="Arial"/>
          <w:sz w:val="20"/>
          <w:szCs w:val="20"/>
        </w:rPr>
        <w:t xml:space="preserve"> as those arrangements do not pose undue risk to shareholders</w:t>
      </w:r>
      <w:r w:rsidR="00CC3F4E">
        <w:rPr>
          <w:rFonts w:ascii="Arial" w:hAnsi="Arial" w:cs="Arial"/>
          <w:sz w:val="20"/>
          <w:szCs w:val="20"/>
        </w:rPr>
        <w:t>,</w:t>
      </w:r>
      <w:r w:rsidR="00F744A3" w:rsidRPr="00D47AD0">
        <w:rPr>
          <w:rFonts w:ascii="Arial" w:hAnsi="Arial" w:cs="Arial"/>
          <w:sz w:val="20"/>
          <w:szCs w:val="20"/>
        </w:rPr>
        <w:t xml:space="preserve"> the HKEx may consider</w:t>
      </w:r>
      <w:r w:rsidR="00CC3F4E">
        <w:rPr>
          <w:rFonts w:ascii="Arial" w:hAnsi="Arial" w:cs="Arial"/>
          <w:sz w:val="20"/>
          <w:szCs w:val="20"/>
        </w:rPr>
        <w:t xml:space="preserve"> granting dispensation from the HKEx</w:t>
      </w:r>
      <w:r w:rsidR="00F744A3" w:rsidRPr="00D47AD0">
        <w:rPr>
          <w:rFonts w:ascii="Arial" w:hAnsi="Arial" w:cs="Arial"/>
          <w:sz w:val="20"/>
          <w:szCs w:val="20"/>
        </w:rPr>
        <w:t xml:space="preserve"> Listing Rules. </w:t>
      </w:r>
      <w:r w:rsidR="00CC3F4E">
        <w:rPr>
          <w:rFonts w:ascii="Arial" w:hAnsi="Arial" w:cs="Arial"/>
          <w:sz w:val="20"/>
          <w:szCs w:val="20"/>
        </w:rPr>
        <w:t>Examples of s</w:t>
      </w:r>
      <w:r w:rsidR="00F744A3" w:rsidRPr="00D47AD0">
        <w:rPr>
          <w:rFonts w:ascii="Arial" w:hAnsi="Arial" w:cs="Arial"/>
          <w:sz w:val="20"/>
          <w:szCs w:val="20"/>
        </w:rPr>
        <w:t>uch arrangements</w:t>
      </w:r>
      <w:r w:rsidRPr="00D47AD0">
        <w:rPr>
          <w:rFonts w:ascii="Arial" w:hAnsi="Arial" w:cs="Arial"/>
          <w:sz w:val="20"/>
          <w:szCs w:val="20"/>
        </w:rPr>
        <w:t xml:space="preserve"> </w:t>
      </w:r>
      <w:r w:rsidR="00253EF2">
        <w:rPr>
          <w:rFonts w:ascii="Arial" w:hAnsi="Arial" w:cs="Arial"/>
          <w:sz w:val="20"/>
          <w:szCs w:val="20"/>
        </w:rPr>
        <w:t>include</w:t>
      </w:r>
      <w:r w:rsidR="00F744A3" w:rsidRPr="00D47AD0">
        <w:rPr>
          <w:rFonts w:ascii="Arial" w:hAnsi="Arial" w:cs="Arial"/>
          <w:sz w:val="20"/>
          <w:szCs w:val="20"/>
        </w:rPr>
        <w:t>:</w:t>
      </w:r>
    </w:p>
    <w:p w:rsidR="00253EF2" w:rsidRPr="00253EF2" w:rsidRDefault="00253EF2" w:rsidP="00253EF2">
      <w:pPr>
        <w:pStyle w:val="a8"/>
        <w:rPr>
          <w:rFonts w:ascii="Arial" w:hAnsi="Arial" w:cs="Arial"/>
          <w:sz w:val="10"/>
          <w:szCs w:val="10"/>
        </w:rPr>
      </w:pPr>
    </w:p>
    <w:p w:rsidR="00F744A3" w:rsidRDefault="004F1011" w:rsidP="00D47AD0">
      <w:pPr>
        <w:pStyle w:val="a8"/>
        <w:numPr>
          <w:ilvl w:val="1"/>
          <w:numId w:val="7"/>
        </w:numPr>
        <w:jc w:val="both"/>
        <w:rPr>
          <w:rFonts w:ascii="Arial" w:hAnsi="Arial" w:cs="Arial"/>
          <w:sz w:val="20"/>
          <w:szCs w:val="20"/>
        </w:rPr>
      </w:pPr>
      <w:r w:rsidRPr="00D47AD0">
        <w:rPr>
          <w:rFonts w:ascii="Arial" w:hAnsi="Arial" w:cs="Arial"/>
          <w:sz w:val="20"/>
          <w:szCs w:val="20"/>
        </w:rPr>
        <w:t>t</w:t>
      </w:r>
      <w:r w:rsidR="00F744A3" w:rsidRPr="00D47AD0">
        <w:rPr>
          <w:rFonts w:ascii="Arial" w:hAnsi="Arial" w:cs="Arial"/>
          <w:sz w:val="20"/>
          <w:szCs w:val="20"/>
        </w:rPr>
        <w:t>he continued use of US GAAP</w:t>
      </w:r>
      <w:r w:rsidR="00CC3F4E">
        <w:rPr>
          <w:rFonts w:ascii="Arial" w:hAnsi="Arial" w:cs="Arial"/>
          <w:sz w:val="20"/>
          <w:szCs w:val="20"/>
        </w:rPr>
        <w:t xml:space="preserve"> as the </w:t>
      </w:r>
      <w:r w:rsidR="006748A1">
        <w:rPr>
          <w:rFonts w:ascii="Arial" w:hAnsi="Arial" w:cs="Arial"/>
          <w:sz w:val="20"/>
          <w:szCs w:val="20"/>
        </w:rPr>
        <w:t xml:space="preserve">accounting standard </w:t>
      </w:r>
      <w:r w:rsidR="00CC3F4E">
        <w:rPr>
          <w:rFonts w:ascii="Arial" w:hAnsi="Arial" w:cs="Arial"/>
          <w:sz w:val="20"/>
          <w:szCs w:val="20"/>
        </w:rPr>
        <w:t xml:space="preserve">for an issuer with a dual listing in the US </w:t>
      </w:r>
      <w:r w:rsidR="006618DD" w:rsidRPr="00D47AD0">
        <w:rPr>
          <w:rFonts w:ascii="Arial" w:hAnsi="Arial" w:cs="Arial"/>
          <w:sz w:val="20"/>
          <w:szCs w:val="20"/>
        </w:rPr>
        <w:t xml:space="preserve">provided </w:t>
      </w:r>
      <w:r w:rsidR="00051C74" w:rsidRPr="00D47AD0">
        <w:rPr>
          <w:rFonts w:ascii="Arial" w:hAnsi="Arial" w:cs="Arial"/>
          <w:sz w:val="20"/>
          <w:szCs w:val="20"/>
        </w:rPr>
        <w:t xml:space="preserve">the </w:t>
      </w:r>
      <w:r w:rsidR="006618DD" w:rsidRPr="00D47AD0">
        <w:rPr>
          <w:rFonts w:ascii="Arial" w:hAnsi="Arial" w:cs="Arial"/>
          <w:sz w:val="20"/>
          <w:szCs w:val="20"/>
        </w:rPr>
        <w:t>relevant key differences between US GAAP an</w:t>
      </w:r>
      <w:r w:rsidR="00051C74" w:rsidRPr="00D47AD0">
        <w:rPr>
          <w:rFonts w:ascii="Arial" w:hAnsi="Arial" w:cs="Arial"/>
          <w:sz w:val="20"/>
          <w:szCs w:val="20"/>
        </w:rPr>
        <w:t>d IFRS</w:t>
      </w:r>
      <w:r w:rsidR="006618DD" w:rsidRPr="00D47AD0">
        <w:rPr>
          <w:rFonts w:ascii="Arial" w:hAnsi="Arial" w:cs="Arial"/>
          <w:sz w:val="20"/>
          <w:szCs w:val="20"/>
        </w:rPr>
        <w:t xml:space="preserve"> a</w:t>
      </w:r>
      <w:r w:rsidR="00051C74" w:rsidRPr="00D47AD0">
        <w:rPr>
          <w:rFonts w:ascii="Arial" w:hAnsi="Arial" w:cs="Arial"/>
          <w:sz w:val="20"/>
          <w:szCs w:val="20"/>
        </w:rPr>
        <w:t xml:space="preserve">nd a reconciliation statement </w:t>
      </w:r>
      <w:r w:rsidR="00E005C6">
        <w:rPr>
          <w:rFonts w:ascii="Arial" w:hAnsi="Arial" w:cs="Arial"/>
          <w:sz w:val="20"/>
          <w:szCs w:val="20"/>
        </w:rPr>
        <w:t>are</w:t>
      </w:r>
      <w:r w:rsidR="00051C74" w:rsidRPr="00D47AD0">
        <w:rPr>
          <w:rFonts w:ascii="Arial" w:hAnsi="Arial" w:cs="Arial"/>
          <w:sz w:val="20"/>
          <w:szCs w:val="20"/>
        </w:rPr>
        <w:t xml:space="preserve"> included in</w:t>
      </w:r>
      <w:r w:rsidR="006618DD" w:rsidRPr="00D47AD0">
        <w:rPr>
          <w:rFonts w:ascii="Arial" w:hAnsi="Arial" w:cs="Arial"/>
          <w:sz w:val="20"/>
          <w:szCs w:val="20"/>
        </w:rPr>
        <w:t xml:space="preserve"> its interim and annual reports;</w:t>
      </w:r>
    </w:p>
    <w:p w:rsidR="00CC3F4E" w:rsidRPr="00D47AD0" w:rsidRDefault="00CC3F4E" w:rsidP="00CC3F4E">
      <w:pPr>
        <w:pStyle w:val="a8"/>
        <w:ind w:left="1440"/>
        <w:jc w:val="both"/>
        <w:rPr>
          <w:rFonts w:ascii="Arial" w:hAnsi="Arial" w:cs="Arial"/>
          <w:sz w:val="20"/>
          <w:szCs w:val="20"/>
        </w:rPr>
      </w:pPr>
    </w:p>
    <w:p w:rsidR="006618DD" w:rsidRDefault="004F1011" w:rsidP="00D47AD0">
      <w:pPr>
        <w:pStyle w:val="a8"/>
        <w:numPr>
          <w:ilvl w:val="1"/>
          <w:numId w:val="7"/>
        </w:numPr>
        <w:jc w:val="both"/>
        <w:rPr>
          <w:rFonts w:ascii="Arial" w:hAnsi="Arial" w:cs="Arial"/>
          <w:sz w:val="20"/>
          <w:szCs w:val="20"/>
        </w:rPr>
      </w:pPr>
      <w:r w:rsidRPr="00D47AD0">
        <w:rPr>
          <w:rFonts w:ascii="Arial" w:hAnsi="Arial" w:cs="Arial"/>
          <w:sz w:val="20"/>
          <w:szCs w:val="20"/>
        </w:rPr>
        <w:t>t</w:t>
      </w:r>
      <w:r w:rsidR="006618DD" w:rsidRPr="00D47AD0">
        <w:rPr>
          <w:rFonts w:ascii="Arial" w:hAnsi="Arial" w:cs="Arial"/>
          <w:sz w:val="20"/>
          <w:szCs w:val="20"/>
        </w:rPr>
        <w:t>he continuation</w:t>
      </w:r>
      <w:r w:rsidR="00DB67CD">
        <w:rPr>
          <w:rFonts w:ascii="Arial" w:hAnsi="Arial" w:cs="Arial"/>
          <w:sz w:val="20"/>
          <w:szCs w:val="20"/>
        </w:rPr>
        <w:t xml:space="preserve"> by an issuer with a dual listing in the US</w:t>
      </w:r>
      <w:r w:rsidR="006618DD" w:rsidRPr="00D47AD0">
        <w:rPr>
          <w:rFonts w:ascii="Arial" w:hAnsi="Arial" w:cs="Arial"/>
          <w:sz w:val="20"/>
          <w:szCs w:val="20"/>
        </w:rPr>
        <w:t xml:space="preserve"> of non-discretionary share repurchase plans and directors’ trading plans for securities dealings during blac</w:t>
      </w:r>
      <w:r w:rsidR="00253EF2">
        <w:rPr>
          <w:rFonts w:ascii="Arial" w:hAnsi="Arial" w:cs="Arial"/>
          <w:sz w:val="20"/>
          <w:szCs w:val="20"/>
        </w:rPr>
        <w:t xml:space="preserve">k-out periods </w:t>
      </w:r>
      <w:r w:rsidR="00E005C6">
        <w:rPr>
          <w:rFonts w:ascii="Arial" w:hAnsi="Arial" w:cs="Arial"/>
          <w:sz w:val="20"/>
          <w:szCs w:val="20"/>
        </w:rPr>
        <w:t>since</w:t>
      </w:r>
      <w:r w:rsidR="00253EF2">
        <w:rPr>
          <w:rFonts w:ascii="Arial" w:hAnsi="Arial" w:cs="Arial"/>
          <w:sz w:val="20"/>
          <w:szCs w:val="20"/>
        </w:rPr>
        <w:t xml:space="preserve"> </w:t>
      </w:r>
      <w:r w:rsidR="00DB67CD">
        <w:rPr>
          <w:rFonts w:ascii="Arial" w:hAnsi="Arial" w:cs="Arial"/>
          <w:sz w:val="20"/>
          <w:szCs w:val="20"/>
        </w:rPr>
        <w:t>US</w:t>
      </w:r>
      <w:r w:rsidR="006618DD" w:rsidRPr="00D47AD0">
        <w:rPr>
          <w:rFonts w:ascii="Arial" w:hAnsi="Arial" w:cs="Arial"/>
          <w:sz w:val="20"/>
          <w:szCs w:val="20"/>
        </w:rPr>
        <w:t xml:space="preserve"> regulations provide equivalent safeguards to prevent the use of inside i</w:t>
      </w:r>
      <w:r w:rsidR="00DB67CD">
        <w:rPr>
          <w:rFonts w:ascii="Arial" w:hAnsi="Arial" w:cs="Arial"/>
          <w:sz w:val="20"/>
          <w:szCs w:val="20"/>
        </w:rPr>
        <w:t>nformation when dealing in an i</w:t>
      </w:r>
      <w:r w:rsidR="006618DD" w:rsidRPr="00D47AD0">
        <w:rPr>
          <w:rFonts w:ascii="Arial" w:hAnsi="Arial" w:cs="Arial"/>
          <w:sz w:val="20"/>
          <w:szCs w:val="20"/>
        </w:rPr>
        <w:t>ssuer’s securities;</w:t>
      </w:r>
      <w:r w:rsidR="00051C74" w:rsidRPr="00D47AD0">
        <w:rPr>
          <w:rFonts w:ascii="Arial" w:hAnsi="Arial" w:cs="Arial"/>
          <w:sz w:val="20"/>
          <w:szCs w:val="20"/>
        </w:rPr>
        <w:t xml:space="preserve"> and</w:t>
      </w:r>
    </w:p>
    <w:p w:rsidR="00DB67CD" w:rsidRPr="00D47AD0" w:rsidRDefault="00DB67CD" w:rsidP="00DB67CD">
      <w:pPr>
        <w:pStyle w:val="a8"/>
        <w:ind w:left="1440"/>
        <w:jc w:val="both"/>
        <w:rPr>
          <w:rFonts w:ascii="Arial" w:hAnsi="Arial" w:cs="Arial"/>
          <w:sz w:val="20"/>
          <w:szCs w:val="20"/>
        </w:rPr>
      </w:pPr>
    </w:p>
    <w:p w:rsidR="006618DD" w:rsidRDefault="004F1011" w:rsidP="00D47AD0">
      <w:pPr>
        <w:pStyle w:val="a8"/>
        <w:numPr>
          <w:ilvl w:val="1"/>
          <w:numId w:val="7"/>
        </w:numPr>
        <w:jc w:val="both"/>
        <w:rPr>
          <w:rFonts w:ascii="Arial" w:hAnsi="Arial" w:cs="Arial"/>
          <w:sz w:val="20"/>
          <w:szCs w:val="20"/>
        </w:rPr>
      </w:pPr>
      <w:r w:rsidRPr="00D47AD0">
        <w:rPr>
          <w:rFonts w:ascii="Arial" w:hAnsi="Arial" w:cs="Arial"/>
          <w:sz w:val="20"/>
          <w:szCs w:val="20"/>
        </w:rPr>
        <w:t xml:space="preserve">the continuation of variable interest entity structures </w:t>
      </w:r>
      <w:r w:rsidR="00DB67CD">
        <w:rPr>
          <w:rFonts w:ascii="Arial" w:hAnsi="Arial" w:cs="Arial"/>
          <w:sz w:val="20"/>
          <w:szCs w:val="20"/>
        </w:rPr>
        <w:t xml:space="preserve">by </w:t>
      </w:r>
      <w:r w:rsidR="00E57894">
        <w:rPr>
          <w:rFonts w:ascii="Arial" w:hAnsi="Arial" w:cs="Arial"/>
          <w:sz w:val="20"/>
          <w:szCs w:val="20"/>
        </w:rPr>
        <w:t>a PRC-based technology issuer</w:t>
      </w:r>
      <w:r w:rsidR="00DB67CD">
        <w:rPr>
          <w:rFonts w:ascii="Arial" w:hAnsi="Arial" w:cs="Arial"/>
          <w:sz w:val="20"/>
          <w:szCs w:val="20"/>
        </w:rPr>
        <w:t xml:space="preserve"> </w:t>
      </w:r>
      <w:r w:rsidRPr="00D47AD0">
        <w:rPr>
          <w:rFonts w:ascii="Arial" w:hAnsi="Arial" w:cs="Arial"/>
          <w:sz w:val="20"/>
          <w:szCs w:val="20"/>
        </w:rPr>
        <w:t xml:space="preserve">and the waiver of certain connected transactions requirements due to </w:t>
      </w:r>
      <w:r w:rsidR="00E005C6">
        <w:rPr>
          <w:rFonts w:ascii="Arial" w:hAnsi="Arial" w:cs="Arial"/>
          <w:sz w:val="20"/>
          <w:szCs w:val="20"/>
        </w:rPr>
        <w:t>the perceived</w:t>
      </w:r>
      <w:r w:rsidR="00EC5507" w:rsidRPr="00D47AD0">
        <w:rPr>
          <w:rFonts w:ascii="Arial" w:hAnsi="Arial" w:cs="Arial"/>
          <w:sz w:val="20"/>
          <w:szCs w:val="20"/>
        </w:rPr>
        <w:t xml:space="preserve"> low risk of abuse;</w:t>
      </w:r>
      <w:r w:rsidR="00253EF2">
        <w:rPr>
          <w:rFonts w:ascii="Arial" w:hAnsi="Arial" w:cs="Arial"/>
          <w:sz w:val="20"/>
          <w:szCs w:val="20"/>
        </w:rPr>
        <w:t xml:space="preserve"> and</w:t>
      </w:r>
    </w:p>
    <w:p w:rsidR="00253EF2" w:rsidRPr="00E337BA" w:rsidRDefault="00253EF2" w:rsidP="00253EF2">
      <w:pPr>
        <w:pStyle w:val="a8"/>
        <w:ind w:left="1440"/>
        <w:jc w:val="both"/>
        <w:rPr>
          <w:rFonts w:ascii="Arial" w:hAnsi="Arial" w:cs="Arial"/>
          <w:sz w:val="10"/>
          <w:szCs w:val="10"/>
        </w:rPr>
      </w:pPr>
    </w:p>
    <w:p w:rsidR="00276555" w:rsidRPr="00CD6A55" w:rsidRDefault="00253EF2" w:rsidP="00276555">
      <w:pPr>
        <w:pStyle w:val="a8"/>
        <w:numPr>
          <w:ilvl w:val="0"/>
          <w:numId w:val="7"/>
        </w:numPr>
        <w:jc w:val="both"/>
        <w:rPr>
          <w:rFonts w:ascii="Arial" w:hAnsi="Arial" w:cs="Arial"/>
          <w:b/>
          <w:color w:val="FF0000"/>
          <w:sz w:val="20"/>
          <w:szCs w:val="20"/>
        </w:rPr>
      </w:pPr>
      <w:r w:rsidRPr="00276555">
        <w:rPr>
          <w:rFonts w:ascii="Arial" w:hAnsi="Arial" w:cs="Arial"/>
          <w:sz w:val="20"/>
          <w:szCs w:val="20"/>
        </w:rPr>
        <w:t>s</w:t>
      </w:r>
      <w:r w:rsidR="00EC5507" w:rsidRPr="00276555">
        <w:rPr>
          <w:rFonts w:ascii="Arial" w:hAnsi="Arial" w:cs="Arial"/>
          <w:sz w:val="20"/>
          <w:szCs w:val="20"/>
        </w:rPr>
        <w:t>eeking shareholders’ advance mandate on corporate actions</w:t>
      </w:r>
      <w:r w:rsidR="00DB67CD" w:rsidRPr="00276555">
        <w:rPr>
          <w:rFonts w:ascii="Arial" w:hAnsi="Arial" w:cs="Arial"/>
          <w:sz w:val="20"/>
          <w:szCs w:val="20"/>
        </w:rPr>
        <w:t xml:space="preserve"> – </w:t>
      </w:r>
      <w:r w:rsidRPr="00276555">
        <w:rPr>
          <w:rFonts w:ascii="Arial" w:hAnsi="Arial" w:cs="Arial"/>
          <w:sz w:val="20"/>
          <w:szCs w:val="20"/>
        </w:rPr>
        <w:t>g</w:t>
      </w:r>
      <w:r w:rsidR="00EC5507" w:rsidRPr="00276555">
        <w:rPr>
          <w:rFonts w:ascii="Arial" w:hAnsi="Arial" w:cs="Arial"/>
          <w:sz w:val="20"/>
          <w:szCs w:val="20"/>
        </w:rPr>
        <w:t xml:space="preserve">iven </w:t>
      </w:r>
      <w:r w:rsidR="00276555">
        <w:rPr>
          <w:rFonts w:ascii="Arial" w:hAnsi="Arial" w:cs="Arial"/>
          <w:sz w:val="20"/>
          <w:szCs w:val="20"/>
        </w:rPr>
        <w:t>the differences between the regulatory requirements of issuers’ jurisdictions of primary listing and those of Hong Kong, the HKEx advises converting issuers to plan for their future corporate actions and where necessary, seek shareholders’ approval in a general meeting. For example,</w:t>
      </w:r>
      <w:r w:rsidR="00EC5507" w:rsidRPr="00276555">
        <w:rPr>
          <w:rFonts w:ascii="Arial" w:hAnsi="Arial" w:cs="Arial"/>
          <w:sz w:val="20"/>
          <w:szCs w:val="20"/>
        </w:rPr>
        <w:t xml:space="preserve"> the </w:t>
      </w:r>
      <w:r w:rsidR="00F238AA" w:rsidRPr="00276555">
        <w:rPr>
          <w:rFonts w:ascii="Arial" w:hAnsi="Arial" w:cs="Arial"/>
          <w:sz w:val="20"/>
          <w:szCs w:val="20"/>
        </w:rPr>
        <w:t xml:space="preserve">HKEx </w:t>
      </w:r>
      <w:r w:rsidR="00EC5507" w:rsidRPr="00276555">
        <w:rPr>
          <w:rFonts w:ascii="Arial" w:hAnsi="Arial" w:cs="Arial"/>
          <w:sz w:val="20"/>
          <w:szCs w:val="20"/>
        </w:rPr>
        <w:t>L</w:t>
      </w:r>
      <w:r w:rsidR="00F238AA" w:rsidRPr="00276555">
        <w:rPr>
          <w:rFonts w:ascii="Arial" w:hAnsi="Arial" w:cs="Arial"/>
          <w:sz w:val="20"/>
          <w:szCs w:val="20"/>
        </w:rPr>
        <w:t>isting Rules require all issu</w:t>
      </w:r>
      <w:r w:rsidR="00EC5507" w:rsidRPr="00276555">
        <w:rPr>
          <w:rFonts w:ascii="Arial" w:hAnsi="Arial" w:cs="Arial"/>
          <w:sz w:val="20"/>
          <w:szCs w:val="20"/>
        </w:rPr>
        <w:t>e</w:t>
      </w:r>
      <w:r w:rsidR="00F238AA" w:rsidRPr="00276555">
        <w:rPr>
          <w:rFonts w:ascii="Arial" w:hAnsi="Arial" w:cs="Arial"/>
          <w:sz w:val="20"/>
          <w:szCs w:val="20"/>
        </w:rPr>
        <w:t>s</w:t>
      </w:r>
      <w:r w:rsidR="00EC5507" w:rsidRPr="00276555">
        <w:rPr>
          <w:rFonts w:ascii="Arial" w:hAnsi="Arial" w:cs="Arial"/>
          <w:sz w:val="20"/>
          <w:szCs w:val="20"/>
        </w:rPr>
        <w:t xml:space="preserve"> of securities to be made either on a pre-emptive basis or </w:t>
      </w:r>
      <w:r w:rsidR="00F238AA" w:rsidRPr="00276555">
        <w:rPr>
          <w:rFonts w:ascii="Arial" w:hAnsi="Arial" w:cs="Arial"/>
          <w:sz w:val="20"/>
          <w:szCs w:val="20"/>
        </w:rPr>
        <w:t xml:space="preserve">with </w:t>
      </w:r>
      <w:r w:rsidR="00EC5507" w:rsidRPr="00276555">
        <w:rPr>
          <w:rFonts w:ascii="Arial" w:hAnsi="Arial" w:cs="Arial"/>
          <w:sz w:val="20"/>
          <w:szCs w:val="20"/>
        </w:rPr>
        <w:t>shareholders’ approva</w:t>
      </w:r>
      <w:r w:rsidRPr="00276555">
        <w:rPr>
          <w:rFonts w:ascii="Arial" w:hAnsi="Arial" w:cs="Arial"/>
          <w:sz w:val="20"/>
          <w:szCs w:val="20"/>
        </w:rPr>
        <w:t>l</w:t>
      </w:r>
      <w:r w:rsidR="00276555">
        <w:rPr>
          <w:rFonts w:ascii="Arial" w:hAnsi="Arial" w:cs="Arial"/>
          <w:sz w:val="20"/>
          <w:szCs w:val="20"/>
        </w:rPr>
        <w:t>. T</w:t>
      </w:r>
      <w:r w:rsidRPr="00276555">
        <w:rPr>
          <w:rFonts w:ascii="Arial" w:hAnsi="Arial" w:cs="Arial"/>
          <w:sz w:val="20"/>
          <w:szCs w:val="20"/>
        </w:rPr>
        <w:t>he HKEx suggest</w:t>
      </w:r>
      <w:r w:rsidR="00E005C6" w:rsidRPr="00276555">
        <w:rPr>
          <w:rFonts w:ascii="Arial" w:hAnsi="Arial" w:cs="Arial"/>
          <w:sz w:val="20"/>
          <w:szCs w:val="20"/>
        </w:rPr>
        <w:t>s</w:t>
      </w:r>
      <w:r w:rsidR="00F238AA" w:rsidRPr="00276555">
        <w:rPr>
          <w:rFonts w:ascii="Arial" w:hAnsi="Arial" w:cs="Arial"/>
          <w:sz w:val="20"/>
          <w:szCs w:val="20"/>
        </w:rPr>
        <w:t xml:space="preserve"> </w:t>
      </w:r>
      <w:r w:rsidR="00276555">
        <w:rPr>
          <w:rFonts w:ascii="Arial" w:hAnsi="Arial" w:cs="Arial"/>
          <w:sz w:val="20"/>
          <w:szCs w:val="20"/>
        </w:rPr>
        <w:t xml:space="preserve">that </w:t>
      </w:r>
      <w:r w:rsidR="00F238AA" w:rsidRPr="00276555">
        <w:rPr>
          <w:rFonts w:ascii="Arial" w:hAnsi="Arial" w:cs="Arial"/>
          <w:sz w:val="20"/>
          <w:szCs w:val="20"/>
        </w:rPr>
        <w:t>converting i</w:t>
      </w:r>
      <w:r w:rsidR="00276555">
        <w:rPr>
          <w:rFonts w:ascii="Arial" w:hAnsi="Arial" w:cs="Arial"/>
          <w:sz w:val="20"/>
          <w:szCs w:val="20"/>
        </w:rPr>
        <w:t>ssuers</w:t>
      </w:r>
      <w:r w:rsidR="00EC5507" w:rsidRPr="00276555">
        <w:rPr>
          <w:rFonts w:ascii="Arial" w:hAnsi="Arial" w:cs="Arial"/>
          <w:sz w:val="20"/>
          <w:szCs w:val="20"/>
        </w:rPr>
        <w:t xml:space="preserve"> seek a gene</w:t>
      </w:r>
      <w:r w:rsidR="00051C74" w:rsidRPr="00276555">
        <w:rPr>
          <w:rFonts w:ascii="Arial" w:hAnsi="Arial" w:cs="Arial"/>
          <w:sz w:val="20"/>
          <w:szCs w:val="20"/>
        </w:rPr>
        <w:t xml:space="preserve">ral mandate for share issuance </w:t>
      </w:r>
      <w:r w:rsidR="00EC5507" w:rsidRPr="00276555">
        <w:rPr>
          <w:rFonts w:ascii="Arial" w:hAnsi="Arial" w:cs="Arial"/>
          <w:sz w:val="20"/>
          <w:szCs w:val="20"/>
        </w:rPr>
        <w:t xml:space="preserve">in the upcoming year. </w:t>
      </w:r>
    </w:p>
    <w:p w:rsidR="00CD6A55" w:rsidRDefault="00CD6A55" w:rsidP="00CD6A55">
      <w:pPr>
        <w:jc w:val="both"/>
        <w:rPr>
          <w:rFonts w:ascii="Arial" w:hAnsi="Arial" w:cs="Arial"/>
          <w:b/>
          <w:color w:val="FF0000"/>
          <w:sz w:val="20"/>
          <w:szCs w:val="20"/>
        </w:rPr>
      </w:pPr>
    </w:p>
    <w:p w:rsidR="00CD6A55" w:rsidRPr="00CD6A55" w:rsidRDefault="00CD6A55" w:rsidP="00CD6A55">
      <w:pPr>
        <w:jc w:val="both"/>
        <w:rPr>
          <w:rFonts w:ascii="Arial" w:hAnsi="Arial" w:cs="Arial"/>
          <w:b/>
          <w:color w:val="FF0000"/>
          <w:sz w:val="20"/>
          <w:szCs w:val="20"/>
        </w:rPr>
      </w:pPr>
    </w:p>
    <w:p w:rsidR="004F1011" w:rsidRPr="00276555" w:rsidRDefault="00276555" w:rsidP="00276555">
      <w:pPr>
        <w:jc w:val="both"/>
        <w:rPr>
          <w:rFonts w:ascii="Arial" w:hAnsi="Arial" w:cs="Arial"/>
          <w:b/>
          <w:color w:val="FF0000"/>
          <w:sz w:val="20"/>
          <w:szCs w:val="20"/>
        </w:rPr>
      </w:pPr>
      <w:r>
        <w:rPr>
          <w:rFonts w:ascii="Arial" w:hAnsi="Arial" w:cs="Arial"/>
          <w:b/>
          <w:color w:val="FF0000"/>
          <w:sz w:val="20"/>
          <w:szCs w:val="20"/>
        </w:rPr>
        <w:lastRenderedPageBreak/>
        <w:t>Release of new e-Forms</w:t>
      </w:r>
      <w:r w:rsidR="00AD619C" w:rsidRPr="00276555">
        <w:rPr>
          <w:rFonts w:ascii="Arial" w:hAnsi="Arial" w:cs="Arial"/>
          <w:b/>
          <w:color w:val="FF0000"/>
          <w:sz w:val="20"/>
          <w:szCs w:val="20"/>
        </w:rPr>
        <w:t xml:space="preserve"> </w:t>
      </w:r>
    </w:p>
    <w:p w:rsidR="00C70FB2" w:rsidRPr="00D47AD0" w:rsidRDefault="000C3D36" w:rsidP="00D47AD0">
      <w:pPr>
        <w:jc w:val="both"/>
        <w:rPr>
          <w:rFonts w:ascii="Arial" w:hAnsi="Arial" w:cs="Arial"/>
          <w:sz w:val="20"/>
          <w:szCs w:val="20"/>
        </w:rPr>
      </w:pPr>
      <w:r w:rsidRPr="00D47AD0">
        <w:rPr>
          <w:rFonts w:ascii="Arial" w:hAnsi="Arial" w:cs="Arial"/>
          <w:sz w:val="20"/>
          <w:szCs w:val="20"/>
        </w:rPr>
        <w:t>The HKEx</w:t>
      </w:r>
      <w:r w:rsidR="00276555">
        <w:rPr>
          <w:rFonts w:ascii="Arial" w:hAnsi="Arial" w:cs="Arial"/>
          <w:sz w:val="20"/>
          <w:szCs w:val="20"/>
        </w:rPr>
        <w:t xml:space="preserve"> also reminded i</w:t>
      </w:r>
      <w:r w:rsidR="00AD619C" w:rsidRPr="00D47AD0">
        <w:rPr>
          <w:rFonts w:ascii="Arial" w:hAnsi="Arial" w:cs="Arial"/>
          <w:sz w:val="20"/>
          <w:szCs w:val="20"/>
        </w:rPr>
        <w:t xml:space="preserve">ssuers </w:t>
      </w:r>
      <w:r w:rsidR="00E43DFC">
        <w:rPr>
          <w:rFonts w:ascii="Arial" w:hAnsi="Arial" w:cs="Arial"/>
          <w:sz w:val="20"/>
          <w:szCs w:val="20"/>
        </w:rPr>
        <w:t>that</w:t>
      </w:r>
      <w:r w:rsidR="00AD619C" w:rsidRPr="00D47AD0">
        <w:rPr>
          <w:rFonts w:ascii="Arial" w:hAnsi="Arial" w:cs="Arial"/>
          <w:sz w:val="20"/>
          <w:szCs w:val="20"/>
        </w:rPr>
        <w:t xml:space="preserve"> updated </w:t>
      </w:r>
      <w:r w:rsidR="00E43DFC">
        <w:rPr>
          <w:rFonts w:ascii="Arial" w:hAnsi="Arial" w:cs="Arial"/>
          <w:sz w:val="20"/>
          <w:szCs w:val="20"/>
        </w:rPr>
        <w:t xml:space="preserve">versions of its </w:t>
      </w:r>
      <w:r w:rsidR="00AD619C" w:rsidRPr="00D47AD0">
        <w:rPr>
          <w:rFonts w:ascii="Arial" w:hAnsi="Arial" w:cs="Arial"/>
          <w:sz w:val="20"/>
          <w:szCs w:val="20"/>
        </w:rPr>
        <w:t xml:space="preserve">e-Forms </w:t>
      </w:r>
      <w:r w:rsidR="00276555">
        <w:rPr>
          <w:rFonts w:ascii="Arial" w:hAnsi="Arial" w:cs="Arial"/>
          <w:sz w:val="20"/>
          <w:szCs w:val="20"/>
        </w:rPr>
        <w:t xml:space="preserve">can be downloaded on </w:t>
      </w:r>
      <w:r w:rsidR="00AD619C" w:rsidRPr="00D47AD0">
        <w:rPr>
          <w:rFonts w:ascii="Arial" w:hAnsi="Arial" w:cs="Arial"/>
          <w:sz w:val="20"/>
          <w:szCs w:val="20"/>
        </w:rPr>
        <w:t>its E-submission System</w:t>
      </w:r>
      <w:r w:rsidR="00E43DFC">
        <w:rPr>
          <w:rFonts w:ascii="Arial" w:hAnsi="Arial" w:cs="Arial"/>
          <w:sz w:val="20"/>
          <w:szCs w:val="20"/>
        </w:rPr>
        <w:t>.</w:t>
      </w:r>
      <w:r w:rsidR="00AD619C" w:rsidRPr="00D47AD0">
        <w:rPr>
          <w:rFonts w:ascii="Arial" w:hAnsi="Arial" w:cs="Arial"/>
          <w:sz w:val="20"/>
          <w:szCs w:val="20"/>
        </w:rPr>
        <w:t xml:space="preserve"> </w:t>
      </w:r>
      <w:r w:rsidR="00E43DFC">
        <w:rPr>
          <w:rFonts w:ascii="Arial" w:hAnsi="Arial" w:cs="Arial"/>
          <w:sz w:val="20"/>
          <w:szCs w:val="20"/>
        </w:rPr>
        <w:t xml:space="preserve">The previous version of its </w:t>
      </w:r>
      <w:r w:rsidR="00E43DFC" w:rsidRPr="00D47AD0">
        <w:rPr>
          <w:rFonts w:ascii="Arial" w:hAnsi="Arial" w:cs="Arial"/>
          <w:sz w:val="20"/>
          <w:szCs w:val="20"/>
        </w:rPr>
        <w:t xml:space="preserve">e-Forms </w:t>
      </w:r>
      <w:r w:rsidR="00E43DFC">
        <w:rPr>
          <w:rFonts w:ascii="Arial" w:hAnsi="Arial" w:cs="Arial"/>
          <w:sz w:val="20"/>
          <w:szCs w:val="20"/>
        </w:rPr>
        <w:t xml:space="preserve">ceased to be acceptable on </w:t>
      </w:r>
      <w:r w:rsidR="00AD619C" w:rsidRPr="00D47AD0">
        <w:rPr>
          <w:rFonts w:ascii="Arial" w:hAnsi="Arial" w:cs="Arial"/>
          <w:sz w:val="20"/>
          <w:szCs w:val="20"/>
        </w:rPr>
        <w:t xml:space="preserve">7 January 2023. </w:t>
      </w:r>
    </w:p>
    <w:p w:rsidR="00E43DFC" w:rsidRPr="00E43DFC" w:rsidRDefault="00E43DFC" w:rsidP="00D47AD0">
      <w:pPr>
        <w:jc w:val="both"/>
        <w:rPr>
          <w:rFonts w:ascii="Arial" w:hAnsi="Arial" w:cs="Arial"/>
          <w:b/>
          <w:color w:val="FF0000"/>
          <w:sz w:val="20"/>
          <w:szCs w:val="20"/>
        </w:rPr>
      </w:pPr>
      <w:r>
        <w:rPr>
          <w:rFonts w:ascii="Arial" w:hAnsi="Arial" w:cs="Arial"/>
          <w:b/>
          <w:color w:val="FF0000"/>
          <w:sz w:val="20"/>
          <w:szCs w:val="20"/>
        </w:rPr>
        <w:t>Other recent publications</w:t>
      </w:r>
    </w:p>
    <w:p w:rsidR="00CB7F39" w:rsidRDefault="000C3D36" w:rsidP="00D47AD0">
      <w:pPr>
        <w:jc w:val="both"/>
        <w:rPr>
          <w:rFonts w:ascii="Arial" w:hAnsi="Arial" w:cs="Arial"/>
          <w:sz w:val="20"/>
          <w:szCs w:val="20"/>
        </w:rPr>
      </w:pPr>
      <w:r w:rsidRPr="00D47AD0">
        <w:rPr>
          <w:rFonts w:ascii="Arial" w:hAnsi="Arial" w:cs="Arial"/>
          <w:sz w:val="20"/>
          <w:szCs w:val="20"/>
        </w:rPr>
        <w:t>In the latter half of 2022 the HKEx publish</w:t>
      </w:r>
      <w:r w:rsidR="00CB7F39">
        <w:rPr>
          <w:rFonts w:ascii="Arial" w:hAnsi="Arial" w:cs="Arial"/>
          <w:sz w:val="20"/>
          <w:szCs w:val="20"/>
        </w:rPr>
        <w:t>ed:</w:t>
      </w:r>
    </w:p>
    <w:p w:rsidR="00CB7F39" w:rsidRDefault="00CB7F39" w:rsidP="00CB7F39">
      <w:pPr>
        <w:pStyle w:val="a8"/>
        <w:numPr>
          <w:ilvl w:val="0"/>
          <w:numId w:val="9"/>
        </w:numPr>
        <w:jc w:val="both"/>
        <w:rPr>
          <w:rFonts w:ascii="Arial" w:hAnsi="Arial" w:cs="Arial"/>
          <w:sz w:val="20"/>
          <w:szCs w:val="20"/>
        </w:rPr>
      </w:pPr>
      <w:r>
        <w:rPr>
          <w:rFonts w:ascii="Arial" w:hAnsi="Arial" w:cs="Arial"/>
          <w:sz w:val="20"/>
          <w:szCs w:val="20"/>
        </w:rPr>
        <w:t>two listing decisions</w:t>
      </w:r>
      <w:r w:rsidR="00E43DFC">
        <w:rPr>
          <w:rFonts w:ascii="Arial" w:hAnsi="Arial" w:cs="Arial"/>
          <w:sz w:val="20"/>
          <w:szCs w:val="20"/>
        </w:rPr>
        <w:t xml:space="preserve"> </w:t>
      </w:r>
      <w:r w:rsidR="00E43DFC" w:rsidRPr="00276555">
        <w:rPr>
          <w:rFonts w:ascii="Arial" w:hAnsi="Arial" w:cs="Arial"/>
          <w:sz w:val="20"/>
          <w:szCs w:val="20"/>
        </w:rPr>
        <w:t xml:space="preserve">– </w:t>
      </w:r>
      <w:r>
        <w:rPr>
          <w:rFonts w:ascii="Arial" w:hAnsi="Arial" w:cs="Arial"/>
          <w:sz w:val="20"/>
          <w:szCs w:val="20"/>
        </w:rPr>
        <w:t xml:space="preserve">one </w:t>
      </w:r>
      <w:r w:rsidR="00E43DFC">
        <w:rPr>
          <w:rFonts w:ascii="Arial" w:hAnsi="Arial" w:cs="Arial"/>
          <w:sz w:val="20"/>
          <w:szCs w:val="20"/>
        </w:rPr>
        <w:t>relati</w:t>
      </w:r>
      <w:r w:rsidR="000C3D36" w:rsidRPr="00CB7F39">
        <w:rPr>
          <w:rFonts w:ascii="Arial" w:hAnsi="Arial" w:cs="Arial"/>
          <w:sz w:val="20"/>
          <w:szCs w:val="20"/>
        </w:rPr>
        <w:t>n</w:t>
      </w:r>
      <w:r w:rsidR="00E43DFC">
        <w:rPr>
          <w:rFonts w:ascii="Arial" w:hAnsi="Arial" w:cs="Arial"/>
          <w:sz w:val="20"/>
          <w:szCs w:val="20"/>
        </w:rPr>
        <w:t>g</w:t>
      </w:r>
      <w:r w:rsidR="000C3D36" w:rsidRPr="00CB7F39">
        <w:rPr>
          <w:rFonts w:ascii="Arial" w:hAnsi="Arial" w:cs="Arial"/>
          <w:sz w:val="20"/>
          <w:szCs w:val="20"/>
        </w:rPr>
        <w:t xml:space="preserve"> to wh</w:t>
      </w:r>
      <w:r w:rsidR="00E62153">
        <w:rPr>
          <w:rFonts w:ascii="Arial" w:hAnsi="Arial" w:cs="Arial"/>
          <w:sz w:val="20"/>
          <w:szCs w:val="20"/>
        </w:rPr>
        <w:t>ether an acquisition constituting</w:t>
      </w:r>
      <w:r w:rsidR="000C3D36" w:rsidRPr="00CB7F39">
        <w:rPr>
          <w:rFonts w:ascii="Arial" w:hAnsi="Arial" w:cs="Arial"/>
          <w:sz w:val="20"/>
          <w:szCs w:val="20"/>
        </w:rPr>
        <w:t xml:space="preserve"> a </w:t>
      </w:r>
      <w:r w:rsidR="00C70FB2" w:rsidRPr="00CB7F39">
        <w:rPr>
          <w:rFonts w:ascii="Arial" w:hAnsi="Arial" w:cs="Arial"/>
          <w:sz w:val="20"/>
          <w:szCs w:val="20"/>
        </w:rPr>
        <w:t>disclosable</w:t>
      </w:r>
      <w:r w:rsidR="000C3D36" w:rsidRPr="00CB7F39">
        <w:rPr>
          <w:rFonts w:ascii="Arial" w:hAnsi="Arial" w:cs="Arial"/>
          <w:sz w:val="20"/>
          <w:szCs w:val="20"/>
        </w:rPr>
        <w:t xml:space="preserve"> transaction amounted to a reverse takeover </w:t>
      </w:r>
      <w:r w:rsidR="00005FE3" w:rsidRPr="00CB7F39">
        <w:rPr>
          <w:rFonts w:ascii="Arial" w:hAnsi="Arial" w:cs="Arial"/>
          <w:sz w:val="20"/>
          <w:szCs w:val="20"/>
        </w:rPr>
        <w:t>(</w:t>
      </w:r>
      <w:hyperlink r:id="rId13" w:history="1">
        <w:r w:rsidR="00005FE3" w:rsidRPr="00CB7F39">
          <w:rPr>
            <w:rStyle w:val="a3"/>
            <w:rFonts w:ascii="Arial" w:hAnsi="Arial" w:cs="Arial"/>
            <w:sz w:val="20"/>
            <w:szCs w:val="20"/>
          </w:rPr>
          <w:t>LD136-2022</w:t>
        </w:r>
      </w:hyperlink>
      <w:r w:rsidR="00005FE3" w:rsidRPr="00CB7F39">
        <w:rPr>
          <w:rFonts w:ascii="Arial" w:hAnsi="Arial" w:cs="Arial"/>
          <w:sz w:val="20"/>
          <w:szCs w:val="20"/>
        </w:rPr>
        <w:t>)</w:t>
      </w:r>
      <w:r w:rsidR="00E005C6">
        <w:rPr>
          <w:rFonts w:ascii="Arial" w:hAnsi="Arial" w:cs="Arial"/>
          <w:sz w:val="20"/>
          <w:szCs w:val="20"/>
        </w:rPr>
        <w:t xml:space="preserve"> </w:t>
      </w:r>
      <w:r w:rsidR="000C3D36" w:rsidRPr="00CB7F39">
        <w:rPr>
          <w:rFonts w:ascii="Arial" w:hAnsi="Arial" w:cs="Arial"/>
          <w:sz w:val="20"/>
          <w:szCs w:val="20"/>
        </w:rPr>
        <w:t xml:space="preserve">and </w:t>
      </w:r>
      <w:r>
        <w:rPr>
          <w:rFonts w:ascii="Arial" w:hAnsi="Arial" w:cs="Arial"/>
          <w:sz w:val="20"/>
          <w:szCs w:val="20"/>
        </w:rPr>
        <w:t xml:space="preserve">the other </w:t>
      </w:r>
      <w:r w:rsidR="00E43DFC">
        <w:rPr>
          <w:rFonts w:ascii="Arial" w:hAnsi="Arial" w:cs="Arial"/>
          <w:sz w:val="20"/>
          <w:szCs w:val="20"/>
        </w:rPr>
        <w:t>relati</w:t>
      </w:r>
      <w:r w:rsidR="00E005C6">
        <w:rPr>
          <w:rFonts w:ascii="Arial" w:hAnsi="Arial" w:cs="Arial"/>
          <w:sz w:val="20"/>
          <w:szCs w:val="20"/>
        </w:rPr>
        <w:t>n</w:t>
      </w:r>
      <w:r w:rsidR="00E43DFC">
        <w:rPr>
          <w:rFonts w:ascii="Arial" w:hAnsi="Arial" w:cs="Arial"/>
          <w:sz w:val="20"/>
          <w:szCs w:val="20"/>
        </w:rPr>
        <w:t>g</w:t>
      </w:r>
      <w:r w:rsidR="00E005C6">
        <w:rPr>
          <w:rFonts w:ascii="Arial" w:hAnsi="Arial" w:cs="Arial"/>
          <w:sz w:val="20"/>
          <w:szCs w:val="20"/>
        </w:rPr>
        <w:t xml:space="preserve"> to </w:t>
      </w:r>
      <w:r w:rsidR="00E43DFC">
        <w:rPr>
          <w:rFonts w:ascii="Arial" w:hAnsi="Arial" w:cs="Arial"/>
          <w:sz w:val="20"/>
          <w:szCs w:val="20"/>
        </w:rPr>
        <w:t>whether an i</w:t>
      </w:r>
      <w:r w:rsidR="000C3D36" w:rsidRPr="00CB7F39">
        <w:rPr>
          <w:rFonts w:ascii="Arial" w:hAnsi="Arial" w:cs="Arial"/>
          <w:sz w:val="20"/>
          <w:szCs w:val="20"/>
        </w:rPr>
        <w:t xml:space="preserve">ssuer could proceed with a proposed </w:t>
      </w:r>
      <w:r w:rsidR="00E43DFC">
        <w:rPr>
          <w:rFonts w:ascii="Arial" w:hAnsi="Arial" w:cs="Arial"/>
          <w:sz w:val="20"/>
          <w:szCs w:val="20"/>
        </w:rPr>
        <w:t>share issu</w:t>
      </w:r>
      <w:r w:rsidR="000C3D36" w:rsidRPr="00CB7F39">
        <w:rPr>
          <w:rFonts w:ascii="Arial" w:hAnsi="Arial" w:cs="Arial"/>
          <w:sz w:val="20"/>
          <w:szCs w:val="20"/>
        </w:rPr>
        <w:t>e that was highly dilutive</w:t>
      </w:r>
      <w:r w:rsidR="00005FE3" w:rsidRPr="00CB7F39">
        <w:rPr>
          <w:rFonts w:ascii="Arial" w:hAnsi="Arial" w:cs="Arial"/>
          <w:sz w:val="20"/>
          <w:szCs w:val="20"/>
        </w:rPr>
        <w:t xml:space="preserve"> (</w:t>
      </w:r>
      <w:hyperlink r:id="rId14" w:history="1">
        <w:r w:rsidR="00005FE3" w:rsidRPr="00CB7F39">
          <w:rPr>
            <w:rStyle w:val="a3"/>
            <w:rFonts w:ascii="Arial" w:hAnsi="Arial" w:cs="Arial"/>
            <w:sz w:val="20"/>
            <w:szCs w:val="20"/>
          </w:rPr>
          <w:t>LD137-2022</w:t>
        </w:r>
      </w:hyperlink>
      <w:r w:rsidR="00005FE3" w:rsidRPr="00CB7F39">
        <w:rPr>
          <w:rFonts w:ascii="Arial" w:hAnsi="Arial" w:cs="Arial"/>
          <w:sz w:val="20"/>
          <w:szCs w:val="20"/>
        </w:rPr>
        <w:t>)</w:t>
      </w:r>
      <w:r>
        <w:rPr>
          <w:rFonts w:ascii="Arial" w:hAnsi="Arial" w:cs="Arial"/>
          <w:sz w:val="20"/>
          <w:szCs w:val="20"/>
        </w:rPr>
        <w:t>;</w:t>
      </w:r>
    </w:p>
    <w:p w:rsidR="00CB7F39" w:rsidRPr="00CB7F39" w:rsidRDefault="00CB7F39" w:rsidP="00CB7F39">
      <w:pPr>
        <w:pStyle w:val="a8"/>
        <w:jc w:val="both"/>
        <w:rPr>
          <w:rFonts w:ascii="Arial" w:hAnsi="Arial" w:cs="Arial"/>
          <w:sz w:val="16"/>
          <w:szCs w:val="16"/>
        </w:rPr>
      </w:pPr>
    </w:p>
    <w:p w:rsidR="00CB7F39" w:rsidRDefault="000C3D36" w:rsidP="00CB7F39">
      <w:pPr>
        <w:pStyle w:val="a8"/>
        <w:numPr>
          <w:ilvl w:val="0"/>
          <w:numId w:val="9"/>
        </w:numPr>
        <w:jc w:val="both"/>
        <w:rPr>
          <w:rFonts w:ascii="Arial" w:hAnsi="Arial" w:cs="Arial"/>
          <w:sz w:val="20"/>
          <w:szCs w:val="20"/>
        </w:rPr>
      </w:pPr>
      <w:r w:rsidRPr="00CB7F39">
        <w:rPr>
          <w:rFonts w:ascii="Arial" w:hAnsi="Arial" w:cs="Arial"/>
          <w:sz w:val="20"/>
          <w:szCs w:val="20"/>
        </w:rPr>
        <w:t>a</w:t>
      </w:r>
      <w:r w:rsidR="00E005C6">
        <w:rPr>
          <w:rFonts w:ascii="Arial" w:hAnsi="Arial" w:cs="Arial"/>
          <w:sz w:val="20"/>
          <w:szCs w:val="20"/>
        </w:rPr>
        <w:t>n</w:t>
      </w:r>
      <w:r w:rsidRPr="00CB7F39">
        <w:rPr>
          <w:rFonts w:ascii="Arial" w:hAnsi="Arial" w:cs="Arial"/>
          <w:sz w:val="20"/>
          <w:szCs w:val="20"/>
        </w:rPr>
        <w:t xml:space="preserve"> FAQ on Special Purpose Acquisition Companies (</w:t>
      </w:r>
      <w:r w:rsidRPr="00CB7F39">
        <w:rPr>
          <w:rFonts w:ascii="Arial" w:hAnsi="Arial" w:cs="Arial"/>
          <w:b/>
          <w:sz w:val="20"/>
          <w:szCs w:val="20"/>
        </w:rPr>
        <w:t>SPACS</w:t>
      </w:r>
      <w:r w:rsidR="00C70FB2" w:rsidRPr="00CB7F39">
        <w:rPr>
          <w:rFonts w:ascii="Arial" w:hAnsi="Arial" w:cs="Arial"/>
          <w:sz w:val="20"/>
          <w:szCs w:val="20"/>
        </w:rPr>
        <w:t>)</w:t>
      </w:r>
      <w:r w:rsidR="00FA2834">
        <w:rPr>
          <w:rFonts w:ascii="Arial" w:hAnsi="Arial" w:cs="Arial"/>
          <w:sz w:val="20"/>
          <w:szCs w:val="20"/>
        </w:rPr>
        <w:t xml:space="preserve"> </w:t>
      </w:r>
      <w:r w:rsidR="00C70FB2" w:rsidRPr="00CB7F39">
        <w:rPr>
          <w:rFonts w:ascii="Arial" w:hAnsi="Arial" w:cs="Arial"/>
          <w:sz w:val="20"/>
          <w:szCs w:val="20"/>
        </w:rPr>
        <w:t>(</w:t>
      </w:r>
      <w:hyperlink r:id="rId15" w:history="1">
        <w:r w:rsidR="00C70FB2" w:rsidRPr="00CB7F39">
          <w:rPr>
            <w:rStyle w:val="a3"/>
            <w:rFonts w:ascii="Arial" w:hAnsi="Arial" w:cs="Arial"/>
            <w:sz w:val="20"/>
            <w:szCs w:val="20"/>
          </w:rPr>
          <w:t>FAQ No. 102-2022 to 117-2022</w:t>
        </w:r>
      </w:hyperlink>
      <w:r w:rsidR="00CB7F39">
        <w:rPr>
          <w:rFonts w:ascii="Arial" w:hAnsi="Arial" w:cs="Arial"/>
          <w:sz w:val="20"/>
          <w:szCs w:val="20"/>
        </w:rPr>
        <w:t>);</w:t>
      </w:r>
    </w:p>
    <w:p w:rsidR="00CB7F39" w:rsidRPr="00CB7F39" w:rsidRDefault="00CB7F39" w:rsidP="00CB7F39">
      <w:pPr>
        <w:pStyle w:val="a8"/>
        <w:jc w:val="both"/>
        <w:rPr>
          <w:rFonts w:ascii="Arial" w:hAnsi="Arial" w:cs="Arial"/>
          <w:sz w:val="16"/>
          <w:szCs w:val="16"/>
        </w:rPr>
      </w:pPr>
    </w:p>
    <w:p w:rsidR="00CB7F39" w:rsidRDefault="000C3D36" w:rsidP="00CB7F39">
      <w:pPr>
        <w:pStyle w:val="a8"/>
        <w:numPr>
          <w:ilvl w:val="0"/>
          <w:numId w:val="9"/>
        </w:numPr>
        <w:jc w:val="both"/>
        <w:rPr>
          <w:rFonts w:ascii="Arial" w:hAnsi="Arial" w:cs="Arial"/>
          <w:sz w:val="20"/>
          <w:szCs w:val="20"/>
        </w:rPr>
      </w:pPr>
      <w:r w:rsidRPr="00CB7F39">
        <w:rPr>
          <w:rFonts w:ascii="Arial" w:hAnsi="Arial" w:cs="Arial"/>
          <w:sz w:val="20"/>
          <w:szCs w:val="20"/>
        </w:rPr>
        <w:t>a revised guidance letter</w:t>
      </w:r>
      <w:r w:rsidR="00005FE3" w:rsidRPr="00CB7F39">
        <w:rPr>
          <w:rFonts w:ascii="Arial" w:hAnsi="Arial" w:cs="Arial"/>
          <w:sz w:val="20"/>
          <w:szCs w:val="20"/>
        </w:rPr>
        <w:t xml:space="preserve"> </w:t>
      </w:r>
      <w:r w:rsidR="00E43DFC">
        <w:rPr>
          <w:rFonts w:ascii="Arial" w:hAnsi="Arial" w:cs="Arial"/>
          <w:sz w:val="20"/>
          <w:szCs w:val="20"/>
        </w:rPr>
        <w:t xml:space="preserve">on </w:t>
      </w:r>
      <w:r w:rsidR="00E62153">
        <w:rPr>
          <w:rFonts w:ascii="Arial" w:hAnsi="Arial" w:cs="Arial"/>
          <w:sz w:val="20"/>
          <w:szCs w:val="20"/>
        </w:rPr>
        <w:t>matters relating to</w:t>
      </w:r>
      <w:r w:rsidR="00005FE3" w:rsidRPr="00CB7F39">
        <w:rPr>
          <w:rFonts w:ascii="Arial" w:hAnsi="Arial" w:cs="Arial"/>
          <w:sz w:val="20"/>
          <w:szCs w:val="20"/>
        </w:rPr>
        <w:t xml:space="preserve"> long suspension and delisting</w:t>
      </w:r>
      <w:r w:rsidR="00C70FB2" w:rsidRPr="00CB7F39">
        <w:rPr>
          <w:rFonts w:ascii="Arial" w:hAnsi="Arial" w:cs="Arial"/>
          <w:sz w:val="20"/>
          <w:szCs w:val="20"/>
        </w:rPr>
        <w:t xml:space="preserve"> (</w:t>
      </w:r>
      <w:hyperlink r:id="rId16" w:history="1">
        <w:r w:rsidR="00C70FB2" w:rsidRPr="00CB7F39">
          <w:rPr>
            <w:rStyle w:val="a3"/>
            <w:rFonts w:ascii="Arial" w:hAnsi="Arial" w:cs="Arial"/>
            <w:sz w:val="20"/>
            <w:szCs w:val="20"/>
          </w:rPr>
          <w:t>GL</w:t>
        </w:r>
        <w:r w:rsidR="00C70FB2" w:rsidRPr="00CB7F39">
          <w:rPr>
            <w:rStyle w:val="a3"/>
            <w:rFonts w:ascii="Arial" w:hAnsi="Arial" w:cs="Arial"/>
            <w:sz w:val="20"/>
            <w:szCs w:val="20"/>
          </w:rPr>
          <w:t>9</w:t>
        </w:r>
        <w:r w:rsidR="00C70FB2" w:rsidRPr="00CB7F39">
          <w:rPr>
            <w:rStyle w:val="a3"/>
            <w:rFonts w:ascii="Arial" w:hAnsi="Arial" w:cs="Arial"/>
            <w:sz w:val="20"/>
            <w:szCs w:val="20"/>
          </w:rPr>
          <w:t>5-18</w:t>
        </w:r>
      </w:hyperlink>
      <w:r w:rsidR="00C70FB2" w:rsidRPr="00CB7F39">
        <w:rPr>
          <w:rFonts w:ascii="Arial" w:hAnsi="Arial" w:cs="Arial"/>
          <w:sz w:val="20"/>
          <w:szCs w:val="20"/>
        </w:rPr>
        <w:t>)</w:t>
      </w:r>
      <w:r w:rsidR="00CB7F39">
        <w:rPr>
          <w:rFonts w:ascii="Arial" w:hAnsi="Arial" w:cs="Arial"/>
          <w:sz w:val="20"/>
          <w:szCs w:val="20"/>
        </w:rPr>
        <w:t>; and</w:t>
      </w:r>
    </w:p>
    <w:p w:rsidR="00CB7F39" w:rsidRPr="00CB7F39" w:rsidRDefault="00CB7F39" w:rsidP="00CB7F39">
      <w:pPr>
        <w:pStyle w:val="a8"/>
        <w:jc w:val="both"/>
        <w:rPr>
          <w:rFonts w:ascii="Arial" w:hAnsi="Arial" w:cs="Arial"/>
          <w:sz w:val="16"/>
          <w:szCs w:val="16"/>
        </w:rPr>
      </w:pPr>
    </w:p>
    <w:p w:rsidR="00AD619C" w:rsidRPr="00CB7F39" w:rsidRDefault="000C3D36" w:rsidP="00CB7F39">
      <w:pPr>
        <w:pStyle w:val="a8"/>
        <w:numPr>
          <w:ilvl w:val="0"/>
          <w:numId w:val="9"/>
        </w:numPr>
        <w:jc w:val="both"/>
        <w:rPr>
          <w:rFonts w:ascii="Arial" w:hAnsi="Arial" w:cs="Arial"/>
          <w:sz w:val="20"/>
          <w:szCs w:val="20"/>
        </w:rPr>
      </w:pPr>
      <w:r w:rsidRPr="00CB7F39">
        <w:rPr>
          <w:rFonts w:ascii="Arial" w:hAnsi="Arial" w:cs="Arial"/>
          <w:sz w:val="20"/>
          <w:szCs w:val="20"/>
        </w:rPr>
        <w:t>a consultation paper on Specialist Technology Companies</w:t>
      </w:r>
      <w:r w:rsidR="00E62153">
        <w:rPr>
          <w:rFonts w:ascii="Arial" w:hAnsi="Arial" w:cs="Arial"/>
          <w:sz w:val="20"/>
          <w:szCs w:val="20"/>
        </w:rPr>
        <w:t xml:space="preserve"> in Hong Kong </w:t>
      </w:r>
      <w:r w:rsidR="00005FE3" w:rsidRPr="00CB7F39">
        <w:rPr>
          <w:rFonts w:ascii="Arial" w:hAnsi="Arial" w:cs="Arial"/>
          <w:sz w:val="20"/>
          <w:szCs w:val="20"/>
        </w:rPr>
        <w:t xml:space="preserve">(see </w:t>
      </w:r>
      <w:hyperlink r:id="rId17" w:history="1">
        <w:r w:rsidR="00005FE3" w:rsidRPr="00CB7F39">
          <w:rPr>
            <w:rStyle w:val="a3"/>
            <w:rFonts w:ascii="Arial" w:hAnsi="Arial" w:cs="Arial"/>
            <w:sz w:val="20"/>
            <w:szCs w:val="20"/>
          </w:rPr>
          <w:t>HKEX Consults on New Listing Regime for Specialist Technology Companies</w:t>
        </w:r>
      </w:hyperlink>
      <w:r w:rsidR="00CB7F39">
        <w:rPr>
          <w:rFonts w:ascii="Arial" w:hAnsi="Arial" w:cs="Arial"/>
          <w:sz w:val="20"/>
          <w:szCs w:val="20"/>
        </w:rPr>
        <w:t>)</w:t>
      </w:r>
      <w:r w:rsidR="00CB7F39" w:rsidRPr="00E62153">
        <w:rPr>
          <w:rFonts w:ascii="Arial" w:hAnsi="Arial" w:cs="Arial"/>
          <w:sz w:val="20"/>
          <w:szCs w:val="20"/>
        </w:rPr>
        <w:t>.</w:t>
      </w:r>
    </w:p>
    <w:p w:rsidR="002D190F" w:rsidRPr="00A41F57" w:rsidRDefault="002D190F" w:rsidP="002D190F">
      <w:pPr>
        <w:pStyle w:val="DisclaimerBold"/>
        <w:numPr>
          <w:ilvl w:val="0"/>
          <w:numId w:val="9"/>
        </w:numPr>
        <w:rPr>
          <w:rFonts w:ascii="Helvetica" w:hAnsi="Helvetica"/>
        </w:rPr>
      </w:pPr>
      <w:r w:rsidRPr="00F05494">
        <w:rPr>
          <w:rFonts w:ascii="Helvetica" w:hAnsi="Helvetica"/>
        </w:rPr>
        <w:t>This newsletter is for information purposes only.</w:t>
      </w:r>
    </w:p>
    <w:p w:rsidR="002D190F" w:rsidRPr="00F05494" w:rsidRDefault="002D190F" w:rsidP="002D190F">
      <w:pPr>
        <w:pStyle w:val="Disclaimer"/>
        <w:numPr>
          <w:ilvl w:val="0"/>
          <w:numId w:val="9"/>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2D190F" w:rsidRPr="00F05494" w:rsidRDefault="002D190F" w:rsidP="002D190F">
      <w:pPr>
        <w:pStyle w:val="Disclaimer"/>
        <w:numPr>
          <w:ilvl w:val="0"/>
          <w:numId w:val="9"/>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2D190F" w:rsidRPr="00F05494" w:rsidRDefault="002D190F" w:rsidP="002D190F">
      <w:pPr>
        <w:pStyle w:val="Disclaimer"/>
        <w:numPr>
          <w:ilvl w:val="0"/>
          <w:numId w:val="9"/>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2D190F" w:rsidRPr="00F05494" w:rsidRDefault="002D190F" w:rsidP="002D190F">
      <w:pPr>
        <w:pStyle w:val="Disclaimer"/>
        <w:numPr>
          <w:ilvl w:val="0"/>
          <w:numId w:val="9"/>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8">
        <w:r w:rsidRPr="00F05494">
          <w:rPr>
            <w:rFonts w:ascii="Helvetica" w:hAnsi="Helvetica"/>
          </w:rPr>
          <w:t>unsubscribe@charltonslaw.com</w:t>
        </w:r>
      </w:hyperlink>
    </w:p>
    <w:p w:rsidR="002D190F" w:rsidRPr="008524CA" w:rsidRDefault="002D190F" w:rsidP="002D190F">
      <w:pPr>
        <w:pStyle w:val="BlackStrips"/>
        <w:numPr>
          <w:ilvl w:val="0"/>
          <w:numId w:val="9"/>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008C479F">
        <w:rPr>
          <w:rFonts w:ascii="Helvetica" w:hAnsi="Helvetica"/>
        </w:rPr>
        <w:t>20</w:t>
      </w:r>
      <w:r w:rsidRPr="00F05494">
        <w:rPr>
          <w:rFonts w:ascii="Helvetica" w:hAnsi="Helvetica"/>
        </w:rPr>
        <w:t xml:space="preserve"> </w:t>
      </w:r>
      <w:r>
        <w:rPr>
          <w:rFonts w:ascii="Helvetica" w:hAnsi="Helvetica"/>
        </w:rPr>
        <w:t>February</w:t>
      </w:r>
      <w:r w:rsidRPr="00F05494">
        <w:rPr>
          <w:rFonts w:ascii="Helvetica" w:hAnsi="Helvetica"/>
        </w:rPr>
        <w:t xml:space="preserve"> 202</w:t>
      </w:r>
      <w:r w:rsidRPr="008524CA">
        <w:rPr>
          <w:rFonts w:ascii="Helvetica" w:hAnsi="Helvetica"/>
        </w:rPr>
        <w:t>3</w:t>
      </w:r>
    </w:p>
    <w:p w:rsidR="003C4732" w:rsidRPr="00D47AD0" w:rsidRDefault="003C4732" w:rsidP="00D47AD0">
      <w:pPr>
        <w:jc w:val="both"/>
        <w:rPr>
          <w:rFonts w:ascii="Arial" w:hAnsi="Arial" w:cs="Arial"/>
          <w:sz w:val="20"/>
          <w:szCs w:val="20"/>
        </w:rPr>
      </w:pPr>
    </w:p>
    <w:p w:rsidR="003C4732" w:rsidRPr="00D47AD0" w:rsidRDefault="003C4732" w:rsidP="00D47AD0">
      <w:pPr>
        <w:jc w:val="both"/>
        <w:rPr>
          <w:rFonts w:ascii="Arial" w:hAnsi="Arial" w:cs="Arial"/>
          <w:sz w:val="20"/>
          <w:szCs w:val="20"/>
        </w:rPr>
      </w:pPr>
    </w:p>
    <w:p w:rsidR="003C4732" w:rsidRPr="00D47AD0" w:rsidRDefault="003C4732" w:rsidP="00D47AD0">
      <w:pPr>
        <w:jc w:val="both"/>
        <w:rPr>
          <w:rFonts w:ascii="Arial" w:hAnsi="Arial" w:cs="Arial"/>
          <w:sz w:val="20"/>
          <w:szCs w:val="20"/>
        </w:rPr>
      </w:pPr>
    </w:p>
    <w:sectPr w:rsidR="003C4732" w:rsidRPr="00D47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90B" w:rsidRDefault="0004790B" w:rsidP="00C6010E">
      <w:pPr>
        <w:spacing w:after="0" w:line="240" w:lineRule="auto"/>
      </w:pPr>
      <w:r>
        <w:separator/>
      </w:r>
    </w:p>
  </w:endnote>
  <w:endnote w:type="continuationSeparator" w:id="0">
    <w:p w:rsidR="0004790B" w:rsidRDefault="0004790B" w:rsidP="00C6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90B" w:rsidRDefault="0004790B" w:rsidP="00C6010E">
      <w:pPr>
        <w:spacing w:after="0" w:line="240" w:lineRule="auto"/>
      </w:pPr>
      <w:r>
        <w:separator/>
      </w:r>
    </w:p>
  </w:footnote>
  <w:footnote w:type="continuationSeparator" w:id="0">
    <w:p w:rsidR="0004790B" w:rsidRDefault="0004790B" w:rsidP="00C6010E">
      <w:pPr>
        <w:spacing w:after="0" w:line="240" w:lineRule="auto"/>
      </w:pPr>
      <w:r>
        <w:continuationSeparator/>
      </w:r>
    </w:p>
  </w:footnote>
  <w:footnote w:id="1">
    <w:p w:rsidR="00D47AD0" w:rsidRPr="00D47AD0" w:rsidRDefault="00D47AD0">
      <w:pPr>
        <w:pStyle w:val="a5"/>
        <w:rPr>
          <w:lang w:val="en-US"/>
        </w:rPr>
      </w:pPr>
      <w:r w:rsidRPr="000A5D60">
        <w:rPr>
          <w:rStyle w:val="a7"/>
          <w:rFonts w:ascii="Arial" w:hAnsi="Arial" w:cs="Arial"/>
          <w:sz w:val="16"/>
          <w:szCs w:val="16"/>
        </w:rPr>
        <w:footnoteRef/>
      </w:r>
      <w:r w:rsidRPr="000A5D60">
        <w:rPr>
          <w:rFonts w:ascii="Arial" w:hAnsi="Arial" w:cs="Arial"/>
          <w:sz w:val="16"/>
          <w:szCs w:val="16"/>
        </w:rPr>
        <w:t xml:space="preserve"> </w:t>
      </w:r>
      <w:r w:rsidRPr="000A5D60">
        <w:rPr>
          <w:rFonts w:ascii="Arial" w:hAnsi="Arial" w:cs="Arial"/>
          <w:sz w:val="16"/>
          <w:szCs w:val="16"/>
          <w:lang w:val="en-US"/>
        </w:rPr>
        <w:t>All further quotations are taken from the HKEx Newsletter</w:t>
      </w:r>
      <w:r>
        <w:rPr>
          <w:lang w:val="en-US"/>
        </w:rPr>
        <w:t xml:space="preserve"> </w:t>
      </w:r>
    </w:p>
  </w:footnote>
  <w:footnote w:id="2">
    <w:p w:rsidR="00CF37FC" w:rsidRDefault="002B6535">
      <w:pPr>
        <w:pStyle w:val="a5"/>
      </w:pPr>
      <w:r>
        <w:rPr>
          <w:rStyle w:val="a7"/>
        </w:rPr>
        <w:footnoteRef/>
      </w:r>
      <w:r>
        <w:t xml:space="preserve"> </w:t>
      </w:r>
      <w:r w:rsidR="000A5D60">
        <w:t>Hon</w:t>
      </w:r>
      <w:r w:rsidR="00CF37FC">
        <w:t>g Kong Listing Rules Appendix 3 at:</w:t>
      </w:r>
      <w:r w:rsidR="000A5D60">
        <w:t xml:space="preserve"> </w:t>
      </w:r>
      <w:r w:rsidR="00E57894" w:rsidRPr="00CF37FC">
        <w:t>https://en-rules.hkex.com.hk/sites/default/files/net_file_store/HKEX4476_3753_VER18435.pdf</w:t>
      </w:r>
    </w:p>
    <w:p w:rsidR="002B6535" w:rsidRPr="000A5D60" w:rsidRDefault="002B6535">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E3"/>
    <w:multiLevelType w:val="hybridMultilevel"/>
    <w:tmpl w:val="0E8A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064D"/>
    <w:multiLevelType w:val="hybridMultilevel"/>
    <w:tmpl w:val="AAE825B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 w15:restartNumberingAfterBreak="0">
    <w:nsid w:val="135B428F"/>
    <w:multiLevelType w:val="hybridMultilevel"/>
    <w:tmpl w:val="47BE9E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3671A"/>
    <w:multiLevelType w:val="hybridMultilevel"/>
    <w:tmpl w:val="4E88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B0244"/>
    <w:multiLevelType w:val="hybridMultilevel"/>
    <w:tmpl w:val="13AE625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FFB6334"/>
    <w:multiLevelType w:val="hybridMultilevel"/>
    <w:tmpl w:val="ECDA2380"/>
    <w:lvl w:ilvl="0" w:tplc="2D00B18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60119"/>
    <w:multiLevelType w:val="hybridMultilevel"/>
    <w:tmpl w:val="7EA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652AE"/>
    <w:multiLevelType w:val="hybridMultilevel"/>
    <w:tmpl w:val="4A8C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B79A3"/>
    <w:multiLevelType w:val="hybridMultilevel"/>
    <w:tmpl w:val="58B0D16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815F9"/>
    <w:multiLevelType w:val="hybridMultilevel"/>
    <w:tmpl w:val="5FA4A7A8"/>
    <w:lvl w:ilvl="0" w:tplc="95BA7BB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68665E"/>
    <w:multiLevelType w:val="hybridMultilevel"/>
    <w:tmpl w:val="0524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A59D2"/>
    <w:multiLevelType w:val="hybridMultilevel"/>
    <w:tmpl w:val="3A2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881568">
    <w:abstractNumId w:val="12"/>
  </w:num>
  <w:num w:numId="2" w16cid:durableId="2112816573">
    <w:abstractNumId w:val="7"/>
  </w:num>
  <w:num w:numId="3" w16cid:durableId="1387679177">
    <w:abstractNumId w:val="0"/>
  </w:num>
  <w:num w:numId="4" w16cid:durableId="799885899">
    <w:abstractNumId w:val="2"/>
  </w:num>
  <w:num w:numId="5" w16cid:durableId="1969704996">
    <w:abstractNumId w:val="11"/>
  </w:num>
  <w:num w:numId="6" w16cid:durableId="1084691341">
    <w:abstractNumId w:val="3"/>
  </w:num>
  <w:num w:numId="7" w16cid:durableId="832380146">
    <w:abstractNumId w:val="5"/>
  </w:num>
  <w:num w:numId="8" w16cid:durableId="2058820906">
    <w:abstractNumId w:val="4"/>
  </w:num>
  <w:num w:numId="9" w16cid:durableId="1154906349">
    <w:abstractNumId w:val="8"/>
  </w:num>
  <w:num w:numId="10" w16cid:durableId="429861872">
    <w:abstractNumId w:val="10"/>
  </w:num>
  <w:num w:numId="11" w16cid:durableId="1883788746">
    <w:abstractNumId w:val="9"/>
  </w:num>
  <w:num w:numId="12" w16cid:durableId="1525707413">
    <w:abstractNumId w:val="6"/>
  </w:num>
  <w:num w:numId="13" w16cid:durableId="67030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32"/>
    <w:rsid w:val="00005FE3"/>
    <w:rsid w:val="00037240"/>
    <w:rsid w:val="000452F9"/>
    <w:rsid w:val="0004790B"/>
    <w:rsid w:val="00051C74"/>
    <w:rsid w:val="00057EB5"/>
    <w:rsid w:val="000A3130"/>
    <w:rsid w:val="000A4192"/>
    <w:rsid w:val="000A5D60"/>
    <w:rsid w:val="000B0A3E"/>
    <w:rsid w:val="000C3D36"/>
    <w:rsid w:val="000F18CC"/>
    <w:rsid w:val="000F2FAF"/>
    <w:rsid w:val="0010549A"/>
    <w:rsid w:val="00124660"/>
    <w:rsid w:val="00160A4D"/>
    <w:rsid w:val="001635B8"/>
    <w:rsid w:val="00185503"/>
    <w:rsid w:val="001A79C4"/>
    <w:rsid w:val="001B665F"/>
    <w:rsid w:val="001C6B41"/>
    <w:rsid w:val="001E490B"/>
    <w:rsid w:val="00223582"/>
    <w:rsid w:val="00251364"/>
    <w:rsid w:val="00253EF2"/>
    <w:rsid w:val="00261447"/>
    <w:rsid w:val="00276555"/>
    <w:rsid w:val="00283B38"/>
    <w:rsid w:val="002A3F0B"/>
    <w:rsid w:val="002B3CD4"/>
    <w:rsid w:val="002B5D9B"/>
    <w:rsid w:val="002B6535"/>
    <w:rsid w:val="002D190F"/>
    <w:rsid w:val="00365205"/>
    <w:rsid w:val="00381603"/>
    <w:rsid w:val="003922F4"/>
    <w:rsid w:val="003C4732"/>
    <w:rsid w:val="00414625"/>
    <w:rsid w:val="00416A70"/>
    <w:rsid w:val="004315C4"/>
    <w:rsid w:val="004438F6"/>
    <w:rsid w:val="00455D77"/>
    <w:rsid w:val="00474484"/>
    <w:rsid w:val="00483747"/>
    <w:rsid w:val="004955EF"/>
    <w:rsid w:val="004A1A8F"/>
    <w:rsid w:val="004A6F2A"/>
    <w:rsid w:val="004C00A3"/>
    <w:rsid w:val="004E42BD"/>
    <w:rsid w:val="004F1011"/>
    <w:rsid w:val="005157F2"/>
    <w:rsid w:val="005311BA"/>
    <w:rsid w:val="005859D1"/>
    <w:rsid w:val="005D4283"/>
    <w:rsid w:val="0060305A"/>
    <w:rsid w:val="00614C7B"/>
    <w:rsid w:val="00617276"/>
    <w:rsid w:val="00632F9F"/>
    <w:rsid w:val="006358FE"/>
    <w:rsid w:val="006415B1"/>
    <w:rsid w:val="00642654"/>
    <w:rsid w:val="006470FA"/>
    <w:rsid w:val="006618DD"/>
    <w:rsid w:val="006748A1"/>
    <w:rsid w:val="006D0D70"/>
    <w:rsid w:val="006D44A3"/>
    <w:rsid w:val="006E1E8E"/>
    <w:rsid w:val="006F4DB4"/>
    <w:rsid w:val="007517C3"/>
    <w:rsid w:val="007E6A1B"/>
    <w:rsid w:val="00811512"/>
    <w:rsid w:val="00843AE3"/>
    <w:rsid w:val="008C479F"/>
    <w:rsid w:val="008F0D72"/>
    <w:rsid w:val="008F59B4"/>
    <w:rsid w:val="0095019D"/>
    <w:rsid w:val="009C1C94"/>
    <w:rsid w:val="00A54133"/>
    <w:rsid w:val="00A54539"/>
    <w:rsid w:val="00A6598A"/>
    <w:rsid w:val="00AD619C"/>
    <w:rsid w:val="00AF293D"/>
    <w:rsid w:val="00B45C67"/>
    <w:rsid w:val="00B65812"/>
    <w:rsid w:val="00B85571"/>
    <w:rsid w:val="00BA317F"/>
    <w:rsid w:val="00BC18F2"/>
    <w:rsid w:val="00C11570"/>
    <w:rsid w:val="00C47A00"/>
    <w:rsid w:val="00C6010E"/>
    <w:rsid w:val="00C70FB2"/>
    <w:rsid w:val="00C84AFD"/>
    <w:rsid w:val="00C922B2"/>
    <w:rsid w:val="00CB72F5"/>
    <w:rsid w:val="00CB7F39"/>
    <w:rsid w:val="00CC3F4E"/>
    <w:rsid w:val="00CC6072"/>
    <w:rsid w:val="00CD56DD"/>
    <w:rsid w:val="00CD6A55"/>
    <w:rsid w:val="00CE55DC"/>
    <w:rsid w:val="00CF37FC"/>
    <w:rsid w:val="00CF7DE1"/>
    <w:rsid w:val="00D43422"/>
    <w:rsid w:val="00D47AD0"/>
    <w:rsid w:val="00D97F57"/>
    <w:rsid w:val="00DB67CD"/>
    <w:rsid w:val="00E00269"/>
    <w:rsid w:val="00E005C6"/>
    <w:rsid w:val="00E151FF"/>
    <w:rsid w:val="00E337BA"/>
    <w:rsid w:val="00E43DFC"/>
    <w:rsid w:val="00E57894"/>
    <w:rsid w:val="00E62153"/>
    <w:rsid w:val="00EB1241"/>
    <w:rsid w:val="00EB6360"/>
    <w:rsid w:val="00EC5507"/>
    <w:rsid w:val="00EF51C5"/>
    <w:rsid w:val="00F108A8"/>
    <w:rsid w:val="00F238AA"/>
    <w:rsid w:val="00F55F37"/>
    <w:rsid w:val="00F744A3"/>
    <w:rsid w:val="00F81DC5"/>
    <w:rsid w:val="00FA2834"/>
    <w:rsid w:val="00FF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BD48"/>
  <w15:chartTrackingRefBased/>
  <w15:docId w15:val="{DF676B00-F31D-496D-827D-F3AF4B2E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link w:val="10"/>
    <w:uiPriority w:val="9"/>
    <w:qFormat/>
    <w:rsid w:val="004438F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8F6"/>
    <w:rPr>
      <w:rFonts w:ascii="Times New Roman" w:eastAsia="Times New Roman" w:hAnsi="Times New Roman" w:cs="Times New Roman"/>
      <w:b/>
      <w:bCs/>
      <w:kern w:val="36"/>
      <w:sz w:val="48"/>
      <w:szCs w:val="48"/>
    </w:rPr>
  </w:style>
  <w:style w:type="character" w:styleId="a3">
    <w:name w:val="Hyperlink"/>
    <w:basedOn w:val="a0"/>
    <w:uiPriority w:val="99"/>
    <w:unhideWhenUsed/>
    <w:rsid w:val="00BA317F"/>
    <w:rPr>
      <w:color w:val="0563C1" w:themeColor="hyperlink"/>
      <w:u w:val="single"/>
    </w:rPr>
  </w:style>
  <w:style w:type="table" w:styleId="a4">
    <w:name w:val="Table Grid"/>
    <w:basedOn w:val="a1"/>
    <w:uiPriority w:val="39"/>
    <w:rsid w:val="00BA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6010E"/>
    <w:pPr>
      <w:spacing w:after="0" w:line="240" w:lineRule="auto"/>
    </w:pPr>
    <w:rPr>
      <w:sz w:val="20"/>
      <w:szCs w:val="20"/>
    </w:rPr>
  </w:style>
  <w:style w:type="character" w:customStyle="1" w:styleId="a6">
    <w:name w:val="Текст сноски Знак"/>
    <w:basedOn w:val="a0"/>
    <w:link w:val="a5"/>
    <w:uiPriority w:val="99"/>
    <w:semiHidden/>
    <w:rsid w:val="00C6010E"/>
    <w:rPr>
      <w:sz w:val="20"/>
      <w:szCs w:val="20"/>
      <w:lang w:val="en-GB"/>
    </w:rPr>
  </w:style>
  <w:style w:type="character" w:styleId="a7">
    <w:name w:val="footnote reference"/>
    <w:basedOn w:val="a0"/>
    <w:uiPriority w:val="99"/>
    <w:semiHidden/>
    <w:unhideWhenUsed/>
    <w:rsid w:val="00C6010E"/>
    <w:rPr>
      <w:vertAlign w:val="superscript"/>
    </w:rPr>
  </w:style>
  <w:style w:type="paragraph" w:styleId="a8">
    <w:name w:val="List Paragraph"/>
    <w:basedOn w:val="a"/>
    <w:uiPriority w:val="34"/>
    <w:qFormat/>
    <w:rsid w:val="00617276"/>
    <w:pPr>
      <w:ind w:left="720"/>
      <w:contextualSpacing/>
    </w:pPr>
  </w:style>
  <w:style w:type="character" w:styleId="a9">
    <w:name w:val="FollowedHyperlink"/>
    <w:basedOn w:val="a0"/>
    <w:uiPriority w:val="99"/>
    <w:semiHidden/>
    <w:unhideWhenUsed/>
    <w:rsid w:val="00365205"/>
    <w:rPr>
      <w:color w:val="954F72" w:themeColor="followedHyperlink"/>
      <w:u w:val="single"/>
    </w:rPr>
  </w:style>
  <w:style w:type="paragraph" w:styleId="aa">
    <w:name w:val="Balloon Text"/>
    <w:basedOn w:val="a"/>
    <w:link w:val="ab"/>
    <w:uiPriority w:val="99"/>
    <w:semiHidden/>
    <w:unhideWhenUsed/>
    <w:rsid w:val="002B65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535"/>
    <w:rPr>
      <w:rFonts w:ascii="Segoe UI" w:hAnsi="Segoe UI" w:cs="Segoe UI"/>
      <w:sz w:val="18"/>
      <w:szCs w:val="18"/>
      <w:lang w:val="en-GB"/>
    </w:rPr>
  </w:style>
  <w:style w:type="paragraph" w:customStyle="1" w:styleId="Disclaimer">
    <w:name w:val="Disclaimer"/>
    <w:basedOn w:val="a"/>
    <w:qFormat/>
    <w:rsid w:val="002D190F"/>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2D190F"/>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2D190F"/>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07125">
      <w:bodyDiv w:val="1"/>
      <w:marLeft w:val="0"/>
      <w:marRight w:val="0"/>
      <w:marTop w:val="0"/>
      <w:marBottom w:val="0"/>
      <w:divBdr>
        <w:top w:val="none" w:sz="0" w:space="0" w:color="auto"/>
        <w:left w:val="none" w:sz="0" w:space="0" w:color="auto"/>
        <w:bottom w:val="none" w:sz="0" w:space="0" w:color="auto"/>
        <w:right w:val="none" w:sz="0" w:space="0" w:color="auto"/>
      </w:divBdr>
    </w:div>
    <w:div w:id="21352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issues-7th-listed-issuer-regulation-newsletter/" TargetMode="External"/><Relationship Id="rId13" Type="http://schemas.openxmlformats.org/officeDocument/2006/relationships/hyperlink" Target="https://en-rules.hkex.com.hk/pdf-manipulate?/sites/default/files/net_file_store/LD136-2022.pdf" TargetMode="External"/><Relationship Id="rId18"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rltonslaw.com/hkex-corporate-governance-code-and-listing-rule-changes-effective-1-jan-2022/" TargetMode="External"/><Relationship Id="rId17" Type="http://schemas.openxmlformats.org/officeDocument/2006/relationships/hyperlink" Target="https://www.charltonslaw.com/hkex-consults-on-new-listing-regime-for-specialist-technology-companies/" TargetMode="External"/><Relationship Id="rId2" Type="http://schemas.openxmlformats.org/officeDocument/2006/relationships/numbering" Target="numbering.xml"/><Relationship Id="rId16" Type="http://schemas.openxmlformats.org/officeDocument/2006/relationships/hyperlink" Target="https://en-rules.hkex.com.hk/pdf-manipulate?/sites/default/files/net_file_store/GL95-1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hkexs-new-listing-regime-for-overseas-issuers-effective-1-january-2022/" TargetMode="External"/><Relationship Id="rId5" Type="http://schemas.openxmlformats.org/officeDocument/2006/relationships/webSettings" Target="webSettings.xml"/><Relationship Id="rId15" Type="http://schemas.openxmlformats.org/officeDocument/2006/relationships/hyperlink" Target="https://en-rules.hkex.com.hk/pdf-manipulate?/sites/default/files/net_file_store/FAQ_102to117_2022.pdf" TargetMode="External"/><Relationship Id="rId10" Type="http://schemas.openxmlformats.org/officeDocument/2006/relationships/hyperlink" Target="https://www.charltonslaw.com/new-hkex-listing-rules-on-listed-issuers-share-schemes-to-take-effect-1-january-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kex.com.hk/-/media/HKEX-Market/Listing/Rules-and-Guidance/Other-Resources/Listed-Issuers/LIR-Newsletter/newsletter_202212.pdf" TargetMode="External"/><Relationship Id="rId14" Type="http://schemas.openxmlformats.org/officeDocument/2006/relationships/hyperlink" Target="https://en-rules.hkex.com.hk/pdf-manipulate?/sites/default/files/net_file_store/LD137-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C3B1-7B89-478D-92E9-576F39E8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2346</Words>
  <Characters>13373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6</cp:revision>
  <cp:lastPrinted>2022-12-14T04:09:00Z</cp:lastPrinted>
  <dcterms:created xsi:type="dcterms:W3CDTF">2023-02-15T08:57:00Z</dcterms:created>
  <dcterms:modified xsi:type="dcterms:W3CDTF">2023-02-20T06:01:00Z</dcterms:modified>
</cp:coreProperties>
</file>