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33B5" w14:textId="3C49A6B2" w:rsidR="00386701" w:rsidRPr="00C13D3D" w:rsidRDefault="00386701" w:rsidP="00386701">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Pr="00CA0AFC">
        <w:rPr>
          <w:rFonts w:ascii="Cambria" w:eastAsia="Cambria" w:hAnsi="Cambria" w:cs="Times New Roman"/>
          <w:color w:val="FFFFFF"/>
          <w:sz w:val="24"/>
          <w:szCs w:val="24"/>
        </w:rPr>
        <w:t>3</w:t>
      </w:r>
      <w:r>
        <w:rPr>
          <w:rFonts w:ascii="Cambria" w:eastAsia="Cambria" w:hAnsi="Cambria" w:cs="Times New Roman"/>
          <w:color w:val="FFFFFF"/>
          <w:sz w:val="24"/>
          <w:szCs w:val="24"/>
        </w:rPr>
        <w:t>0</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December </w:t>
      </w:r>
      <w:r w:rsidRPr="00C13D3D">
        <w:rPr>
          <w:rFonts w:ascii="Cambria" w:eastAsia="Cambria" w:hAnsi="Cambria" w:cs="Times New Roman"/>
          <w:color w:val="FFFFFF"/>
          <w:sz w:val="24"/>
          <w:szCs w:val="24"/>
        </w:rPr>
        <w:t>2022</w:t>
      </w:r>
    </w:p>
    <w:p w14:paraId="400B2235" w14:textId="46AFBD5D" w:rsidR="00386701" w:rsidRPr="00386701" w:rsidRDefault="00000000" w:rsidP="00386701">
      <w:pPr>
        <w:spacing w:after="200"/>
        <w:jc w:val="center"/>
        <w:rPr>
          <w:rFonts w:ascii="Cambria" w:eastAsia="Cambria" w:hAnsi="Cambria" w:cs="Times New Roman"/>
          <w:color w:val="00000A"/>
          <w:sz w:val="28"/>
          <w:szCs w:val="24"/>
          <w:u w:val="single"/>
        </w:rPr>
      </w:pPr>
      <w:hyperlink r:id="rId8" w:history="1">
        <w:r w:rsidR="00386701" w:rsidRPr="00365171">
          <w:rPr>
            <w:rStyle w:val="a7"/>
            <w:rFonts w:ascii="Cambria" w:eastAsia="Cambria" w:hAnsi="Cambria"/>
            <w:sz w:val="28"/>
            <w:szCs w:val="24"/>
          </w:rPr>
          <w:t>online version</w:t>
        </w:r>
      </w:hyperlink>
    </w:p>
    <w:p w14:paraId="00DA9B05" w14:textId="77777777" w:rsidR="005C69C2" w:rsidRPr="001E5654" w:rsidRDefault="005C69C2" w:rsidP="005C69C2">
      <w:pPr>
        <w:rPr>
          <w:rFonts w:ascii="Arial" w:hAnsi="Arial" w:cs="Arial"/>
          <w:b/>
          <w:color w:val="FF0000"/>
          <w:sz w:val="20"/>
          <w:szCs w:val="20"/>
          <w:lang w:val="en-GB"/>
        </w:rPr>
      </w:pPr>
      <w:r w:rsidRPr="001E5654">
        <w:rPr>
          <w:rFonts w:ascii="Arial" w:hAnsi="Arial" w:cs="Arial"/>
          <w:b/>
          <w:color w:val="FF0000"/>
          <w:sz w:val="20"/>
          <w:szCs w:val="20"/>
          <w:lang w:val="en-GB"/>
        </w:rPr>
        <w:t xml:space="preserve">Hong Kong Legislative Council delays the Implementation Timetable of the Hong Kong Virtual Asset Service Provider Regime and the Hong Kong Securities and Futures Commission Statement on Virtual Assets </w:t>
      </w:r>
    </w:p>
    <w:p w14:paraId="3F4A2AFA" w14:textId="5034DF48" w:rsidR="002F0FF7" w:rsidRPr="001E5654" w:rsidRDefault="002F0FF7" w:rsidP="002F0FF7">
      <w:pPr>
        <w:jc w:val="both"/>
        <w:rPr>
          <w:rFonts w:ascii="Arial" w:hAnsi="Arial" w:cs="Arial"/>
          <w:b/>
          <w:color w:val="FF0000"/>
          <w:sz w:val="20"/>
          <w:szCs w:val="20"/>
          <w:lang w:val="en-GB"/>
        </w:rPr>
      </w:pPr>
      <w:r w:rsidRPr="001E5654">
        <w:rPr>
          <w:rFonts w:ascii="Arial" w:hAnsi="Arial" w:cs="Arial"/>
          <w:b/>
          <w:color w:val="FF0000"/>
          <w:sz w:val="20"/>
          <w:szCs w:val="20"/>
          <w:lang w:val="en-GB"/>
        </w:rPr>
        <w:t>Hong Kong Legislative Council delays the Implementation Timetable of the Hong Kong Virtual Asset Service Provider Regime under the Anti- Money Laundering and Counter- Terrorist Financing (Amendment) Bill 2022</w:t>
      </w:r>
    </w:p>
    <w:p w14:paraId="1B5F877F" w14:textId="3C929FDB" w:rsidR="002F0FF7" w:rsidRPr="001E5654" w:rsidRDefault="002F0FF7" w:rsidP="002F0FF7">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On 7 December 2022, the Hong Kong Legislative Council (HK Legco) published its “</w:t>
      </w:r>
      <w:hyperlink r:id="rId9" w:history="1">
        <w:r w:rsidR="00CA5CF9">
          <w:rPr>
            <w:rStyle w:val="a7"/>
            <w:rFonts w:ascii="Arial" w:hAnsi="Arial" w:cs="Arial"/>
            <w:sz w:val="20"/>
            <w:szCs w:val="20"/>
            <w:lang w:val="en-GB"/>
          </w:rPr>
          <w:t>Report of the Bills Committee on Anti-Money Laundering and Counter-Terrorist Financing (Amendment) Bill 2022 (the HK  AML/CTF (Amendment) Bill 2022)</w:t>
        </w:r>
      </w:hyperlink>
      <w:r w:rsidRPr="001E5654">
        <w:rPr>
          <w:rFonts w:ascii="Arial" w:hAnsi="Arial" w:cs="Arial"/>
          <w:color w:val="000000" w:themeColor="text1"/>
          <w:sz w:val="20"/>
          <w:szCs w:val="20"/>
          <w:lang w:val="en-GB"/>
        </w:rPr>
        <w:t>”</w:t>
      </w:r>
      <w:r w:rsidR="00B97CAE">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 xml:space="preserve">and stated its intention to postpone the commencement of the </w:t>
      </w:r>
      <w:r w:rsidR="00EE6CBC" w:rsidRPr="001E5654">
        <w:rPr>
          <w:rFonts w:ascii="Arial" w:hAnsi="Arial" w:cs="Arial"/>
          <w:color w:val="000000" w:themeColor="text1"/>
          <w:sz w:val="20"/>
          <w:szCs w:val="20"/>
          <w:lang w:val="en-GB"/>
        </w:rPr>
        <w:t xml:space="preserve">HK </w:t>
      </w:r>
      <w:r w:rsidRPr="001E5654">
        <w:rPr>
          <w:rFonts w:ascii="Arial" w:hAnsi="Arial" w:cs="Arial"/>
          <w:color w:val="000000" w:themeColor="text1"/>
          <w:sz w:val="20"/>
          <w:szCs w:val="20"/>
          <w:lang w:val="en-GB"/>
        </w:rPr>
        <w:t>AML/CTF</w:t>
      </w:r>
      <w:r w:rsidR="00C17C28" w:rsidRPr="001E5654">
        <w:rPr>
          <w:rFonts w:ascii="Arial" w:hAnsi="Arial" w:cs="Arial"/>
          <w:color w:val="000000" w:themeColor="text1"/>
          <w:sz w:val="20"/>
          <w:szCs w:val="20"/>
          <w:lang w:val="en-GB"/>
        </w:rPr>
        <w:t xml:space="preserve"> (Amendment)</w:t>
      </w:r>
      <w:r w:rsidRPr="001E5654">
        <w:rPr>
          <w:rFonts w:ascii="Arial" w:hAnsi="Arial" w:cs="Arial"/>
          <w:color w:val="000000" w:themeColor="text1"/>
          <w:sz w:val="20"/>
          <w:szCs w:val="20"/>
          <w:lang w:val="en-GB"/>
        </w:rPr>
        <w:t xml:space="preserve"> Bill </w:t>
      </w:r>
      <w:r w:rsidR="00EE6CBC" w:rsidRPr="001E5654">
        <w:rPr>
          <w:rFonts w:ascii="Arial" w:hAnsi="Arial" w:cs="Arial"/>
          <w:color w:val="000000" w:themeColor="text1"/>
          <w:sz w:val="20"/>
          <w:szCs w:val="20"/>
          <w:lang w:val="en-GB"/>
        </w:rPr>
        <w:t xml:space="preserve">2022 </w:t>
      </w:r>
      <w:r w:rsidRPr="001E5654">
        <w:rPr>
          <w:rFonts w:ascii="Arial" w:hAnsi="Arial" w:cs="Arial"/>
          <w:color w:val="000000" w:themeColor="text1"/>
          <w:sz w:val="20"/>
          <w:szCs w:val="20"/>
          <w:lang w:val="en-GB"/>
        </w:rPr>
        <w:t>to allow the Administration and the SFC more time “to work out the implementation details of the new regime”</w:t>
      </w:r>
      <w:r w:rsidRPr="001E5654">
        <w:rPr>
          <w:rStyle w:val="a6"/>
          <w:rFonts w:ascii="Arial" w:hAnsi="Arial" w:cs="Arial"/>
          <w:color w:val="000000" w:themeColor="text1"/>
          <w:sz w:val="20"/>
          <w:szCs w:val="20"/>
          <w:lang w:val="en-GB"/>
        </w:rPr>
        <w:footnoteReference w:id="1"/>
      </w:r>
      <w:r w:rsidRPr="001E5654">
        <w:rPr>
          <w:rFonts w:ascii="Arial" w:hAnsi="Arial" w:cs="Arial"/>
          <w:color w:val="000000" w:themeColor="text1"/>
          <w:sz w:val="20"/>
          <w:szCs w:val="20"/>
          <w:lang w:val="en-GB"/>
        </w:rPr>
        <w:t>, including time for the SFC to conduct market and public consultation on  Hong Kong Virtual Asset Service Provider (</w:t>
      </w:r>
      <w:r w:rsidRPr="001E5654">
        <w:rPr>
          <w:rFonts w:ascii="Arial" w:hAnsi="Arial" w:cs="Arial"/>
          <w:b/>
          <w:color w:val="000000" w:themeColor="text1"/>
          <w:sz w:val="20"/>
          <w:szCs w:val="20"/>
          <w:lang w:val="en-GB"/>
        </w:rPr>
        <w:t>HK</w:t>
      </w:r>
      <w:r w:rsidRPr="001E5654">
        <w:rPr>
          <w:rFonts w:ascii="Arial" w:hAnsi="Arial" w:cs="Arial"/>
          <w:color w:val="000000" w:themeColor="text1"/>
          <w:sz w:val="20"/>
          <w:szCs w:val="20"/>
          <w:lang w:val="en-GB"/>
        </w:rPr>
        <w:t xml:space="preserve"> </w:t>
      </w:r>
      <w:r w:rsidRPr="001E5654">
        <w:rPr>
          <w:rFonts w:ascii="Arial" w:hAnsi="Arial" w:cs="Arial"/>
          <w:b/>
          <w:color w:val="000000" w:themeColor="text1"/>
          <w:sz w:val="20"/>
          <w:szCs w:val="20"/>
          <w:lang w:val="en-GB"/>
        </w:rPr>
        <w:t>VASPs</w:t>
      </w:r>
      <w:r w:rsidRPr="001E5654">
        <w:rPr>
          <w:rFonts w:ascii="Arial" w:hAnsi="Arial" w:cs="Arial"/>
          <w:color w:val="000000" w:themeColor="text1"/>
          <w:sz w:val="20"/>
          <w:szCs w:val="20"/>
          <w:lang w:val="en-GB"/>
        </w:rPr>
        <w:t>) regulatory requirements</w:t>
      </w:r>
      <w:r w:rsidRPr="001E5654">
        <w:rPr>
          <w:rStyle w:val="a6"/>
          <w:rFonts w:ascii="Arial" w:hAnsi="Arial" w:cs="Arial"/>
          <w:color w:val="000000" w:themeColor="text1"/>
          <w:sz w:val="20"/>
          <w:szCs w:val="20"/>
          <w:lang w:val="en-GB"/>
        </w:rPr>
        <w:footnoteReference w:id="2"/>
      </w:r>
      <w:r w:rsidRPr="001E5654">
        <w:rPr>
          <w:rFonts w:ascii="Arial" w:hAnsi="Arial" w:cs="Arial"/>
          <w:color w:val="000000" w:themeColor="text1"/>
          <w:sz w:val="20"/>
          <w:szCs w:val="20"/>
          <w:lang w:val="en-GB"/>
        </w:rPr>
        <w:t>.</w:t>
      </w:r>
    </w:p>
    <w:p w14:paraId="3ADDE256" w14:textId="77777777" w:rsidR="002F0FF7" w:rsidRPr="001E5654" w:rsidRDefault="002F0FF7" w:rsidP="002F0FF7">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The new commencement date of the HK AML/CTF Bill</w:t>
      </w:r>
      <w:r w:rsidR="00EE6CBC" w:rsidRPr="001E5654">
        <w:rPr>
          <w:rFonts w:ascii="Arial" w:hAnsi="Arial" w:cs="Arial"/>
          <w:color w:val="000000" w:themeColor="text1"/>
          <w:sz w:val="20"/>
          <w:szCs w:val="20"/>
          <w:lang w:val="en-GB"/>
        </w:rPr>
        <w:t xml:space="preserve"> 2022</w:t>
      </w:r>
      <w:r w:rsidRPr="001E5654">
        <w:rPr>
          <w:rFonts w:ascii="Arial" w:hAnsi="Arial" w:cs="Arial"/>
          <w:color w:val="000000" w:themeColor="text1"/>
          <w:sz w:val="20"/>
          <w:szCs w:val="20"/>
          <w:lang w:val="en-GB"/>
        </w:rPr>
        <w:t xml:space="preserve"> will be 1 April 2023 rather than 1 January 2023, while the commencement date for provisions on: </w:t>
      </w:r>
    </w:p>
    <w:p w14:paraId="6D40D6DB" w14:textId="77777777" w:rsidR="002F0FF7" w:rsidRPr="001E5654" w:rsidRDefault="002F0FF7" w:rsidP="002F0FF7">
      <w:pPr>
        <w:pStyle w:val="a3"/>
        <w:numPr>
          <w:ilvl w:val="0"/>
          <w:numId w:val="2"/>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the restrictions on a business of providing virtual asset service;</w:t>
      </w:r>
      <w:r w:rsidRPr="001E5654">
        <w:rPr>
          <w:rStyle w:val="a6"/>
          <w:rFonts w:ascii="Arial" w:hAnsi="Arial" w:cs="Arial"/>
          <w:color w:val="000000" w:themeColor="text1"/>
          <w:sz w:val="20"/>
          <w:szCs w:val="20"/>
          <w:lang w:val="en-GB"/>
        </w:rPr>
        <w:footnoteReference w:id="3"/>
      </w:r>
      <w:r w:rsidRPr="001E5654">
        <w:rPr>
          <w:rFonts w:ascii="Arial" w:hAnsi="Arial" w:cs="Arial"/>
          <w:color w:val="000000" w:themeColor="text1"/>
          <w:sz w:val="20"/>
          <w:szCs w:val="20"/>
          <w:lang w:val="en-GB"/>
        </w:rPr>
        <w:t xml:space="preserve"> </w:t>
      </w:r>
    </w:p>
    <w:p w14:paraId="6B7F72B0" w14:textId="77777777" w:rsidR="002F0FF7" w:rsidRPr="001E5654" w:rsidRDefault="002F0FF7" w:rsidP="002F0FF7">
      <w:pPr>
        <w:pStyle w:val="a3"/>
        <w:numPr>
          <w:ilvl w:val="0"/>
          <w:numId w:val="2"/>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the transitional arrangements for the licensing requirements of HK VASPs</w:t>
      </w:r>
      <w:r w:rsidRPr="001E5654">
        <w:rPr>
          <w:rStyle w:val="a6"/>
          <w:rFonts w:ascii="Arial" w:hAnsi="Arial" w:cs="Arial"/>
          <w:color w:val="000000" w:themeColor="text1"/>
          <w:sz w:val="20"/>
          <w:szCs w:val="20"/>
          <w:lang w:val="en-GB"/>
        </w:rPr>
        <w:footnoteReference w:id="4"/>
      </w:r>
      <w:r w:rsidRPr="001E5654">
        <w:rPr>
          <w:rFonts w:ascii="Arial" w:hAnsi="Arial" w:cs="Arial"/>
          <w:color w:val="000000" w:themeColor="text1"/>
          <w:sz w:val="20"/>
          <w:szCs w:val="20"/>
          <w:lang w:val="en-GB"/>
        </w:rPr>
        <w:t xml:space="preserve">; and </w:t>
      </w:r>
    </w:p>
    <w:p w14:paraId="135FAFC5" w14:textId="77777777" w:rsidR="002F0FF7" w:rsidRPr="001E5654" w:rsidRDefault="002F0FF7" w:rsidP="002F0FF7">
      <w:pPr>
        <w:pStyle w:val="a3"/>
        <w:numPr>
          <w:ilvl w:val="0"/>
          <w:numId w:val="2"/>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“Politically Exposed Persons (PEPs), former PEPs and “beneficial owners in relation to trusts” etc”;</w:t>
      </w:r>
    </w:p>
    <w:p w14:paraId="58E6C659" w14:textId="77777777" w:rsidR="002F0FF7" w:rsidRPr="001E5654" w:rsidRDefault="002F0FF7" w:rsidP="002F0FF7">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will be 1 June 2023 rather than 1 March 2023.</w:t>
      </w:r>
    </w:p>
    <w:p w14:paraId="28541D80" w14:textId="0126F869" w:rsidR="002F0FF7" w:rsidRPr="001E5654" w:rsidRDefault="002F0FF7" w:rsidP="002F0FF7">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Existing HK VASPs may continue to operate without a VASP licence for up to 12 months from the commencement date of the relevant provisions, meaning until the 31 May 2024 (the </w:t>
      </w:r>
      <w:r w:rsidRPr="001E5654">
        <w:rPr>
          <w:rFonts w:ascii="Arial" w:hAnsi="Arial" w:cs="Arial"/>
          <w:b/>
          <w:color w:val="000000" w:themeColor="text1"/>
          <w:sz w:val="20"/>
          <w:szCs w:val="20"/>
          <w:lang w:val="en-GB"/>
        </w:rPr>
        <w:t>HK VASP</w:t>
      </w:r>
      <w:r w:rsidRPr="001E5654">
        <w:rPr>
          <w:rFonts w:ascii="Arial" w:hAnsi="Arial" w:cs="Arial"/>
          <w:color w:val="000000" w:themeColor="text1"/>
          <w:sz w:val="20"/>
          <w:szCs w:val="20"/>
          <w:lang w:val="en-GB"/>
        </w:rPr>
        <w:t xml:space="preserve"> </w:t>
      </w:r>
      <w:r w:rsidRPr="001E5654">
        <w:rPr>
          <w:rFonts w:ascii="Arial" w:hAnsi="Arial" w:cs="Arial"/>
          <w:b/>
          <w:sz w:val="20"/>
          <w:szCs w:val="20"/>
          <w:lang w:val="en-GB"/>
        </w:rPr>
        <w:t>Transitional Period</w:t>
      </w:r>
      <w:r w:rsidRPr="001E5654">
        <w:rPr>
          <w:rFonts w:ascii="Arial" w:hAnsi="Arial" w:cs="Arial"/>
          <w:color w:val="000000" w:themeColor="text1"/>
          <w:sz w:val="20"/>
          <w:szCs w:val="20"/>
          <w:lang w:val="en-GB"/>
        </w:rPr>
        <w:t>). In order to qualify as a deemed licensee or be granted deemed approval beyond the expiration of the HK VASP Transitional Period, an existing HK VASP must submit its licence application to the Hong Kong Securities and Futures C</w:t>
      </w:r>
      <w:r w:rsidR="00EE6CBC" w:rsidRPr="001E5654">
        <w:rPr>
          <w:rFonts w:ascii="Arial" w:hAnsi="Arial" w:cs="Arial"/>
          <w:color w:val="000000" w:themeColor="text1"/>
          <w:sz w:val="20"/>
          <w:szCs w:val="20"/>
          <w:lang w:val="en-GB"/>
        </w:rPr>
        <w:t xml:space="preserve">ommission (the </w:t>
      </w:r>
      <w:r w:rsidRPr="001E5654">
        <w:rPr>
          <w:rFonts w:ascii="Arial" w:hAnsi="Arial" w:cs="Arial"/>
          <w:b/>
          <w:color w:val="000000" w:themeColor="text1"/>
          <w:sz w:val="20"/>
          <w:szCs w:val="20"/>
          <w:lang w:val="en-GB"/>
        </w:rPr>
        <w:t>SFC</w:t>
      </w:r>
      <w:r w:rsidRPr="001E5654">
        <w:rPr>
          <w:rFonts w:ascii="Arial" w:hAnsi="Arial" w:cs="Arial"/>
          <w:color w:val="000000" w:themeColor="text1"/>
          <w:sz w:val="20"/>
          <w:szCs w:val="20"/>
          <w:lang w:val="en-GB"/>
        </w:rPr>
        <w:t>) by no later than 29 February 2024, after which their status as a deemed licensee or granting of deemed approval will continue until the earlier of:(</w:t>
      </w:r>
      <w:proofErr w:type="spellStart"/>
      <w:r w:rsidRPr="001E5654">
        <w:rPr>
          <w:rFonts w:ascii="Arial" w:hAnsi="Arial" w:cs="Arial"/>
          <w:color w:val="000000" w:themeColor="text1"/>
          <w:sz w:val="20"/>
          <w:szCs w:val="20"/>
          <w:lang w:val="en-GB"/>
        </w:rPr>
        <w:t>i</w:t>
      </w:r>
      <w:proofErr w:type="spellEnd"/>
      <w:r w:rsidRPr="001E5654">
        <w:rPr>
          <w:rFonts w:ascii="Arial" w:hAnsi="Arial" w:cs="Arial"/>
          <w:color w:val="000000" w:themeColor="text1"/>
          <w:sz w:val="20"/>
          <w:szCs w:val="20"/>
          <w:lang w:val="en-GB"/>
        </w:rPr>
        <w:t xml:space="preserve">) the SFC’s grant or refusal of its licence; or (ii) the withdrawal of the licence application. (Note </w:t>
      </w:r>
      <w:r w:rsidR="00EE6CBC" w:rsidRPr="001E5654">
        <w:rPr>
          <w:rFonts w:ascii="Arial" w:hAnsi="Arial" w:cs="Arial"/>
          <w:color w:val="000000" w:themeColor="text1"/>
          <w:sz w:val="20"/>
          <w:szCs w:val="20"/>
          <w:lang w:val="en-GB"/>
        </w:rPr>
        <w:t xml:space="preserve">for the deemed licence or approval status of the existing HK VASP to be successfully conferred it must have received an application confirmation receipt </w:t>
      </w:r>
      <w:r w:rsidRPr="001E5654">
        <w:rPr>
          <w:rFonts w:ascii="Arial" w:hAnsi="Arial" w:cs="Arial"/>
          <w:color w:val="000000" w:themeColor="text1"/>
          <w:sz w:val="20"/>
          <w:szCs w:val="20"/>
          <w:lang w:val="en-GB"/>
        </w:rPr>
        <w:t>in writing from the SFC)</w:t>
      </w:r>
      <w:r w:rsidRPr="001E5654">
        <w:rPr>
          <w:rStyle w:val="a6"/>
          <w:rFonts w:ascii="Arial" w:hAnsi="Arial" w:cs="Arial"/>
          <w:color w:val="000000" w:themeColor="text1"/>
          <w:sz w:val="20"/>
          <w:szCs w:val="20"/>
          <w:lang w:val="en-GB"/>
        </w:rPr>
        <w:footnoteReference w:id="5"/>
      </w:r>
      <w:r w:rsidRPr="001E5654">
        <w:rPr>
          <w:rFonts w:ascii="Arial" w:hAnsi="Arial" w:cs="Arial"/>
          <w:color w:val="000000" w:themeColor="text1"/>
          <w:sz w:val="20"/>
          <w:szCs w:val="20"/>
          <w:lang w:val="en-GB"/>
        </w:rPr>
        <w:t>.</w:t>
      </w:r>
    </w:p>
    <w:p w14:paraId="3DFC70D2" w14:textId="77777777" w:rsidR="004A6F2A" w:rsidRPr="001E5654" w:rsidRDefault="00EE6CBC" w:rsidP="003317DE">
      <w:pPr>
        <w:jc w:val="both"/>
        <w:rPr>
          <w:rFonts w:ascii="Arial" w:hAnsi="Arial" w:cs="Arial"/>
          <w:b/>
          <w:color w:val="FF0000"/>
          <w:sz w:val="20"/>
          <w:szCs w:val="20"/>
          <w:lang w:val="en-GB"/>
        </w:rPr>
      </w:pPr>
      <w:r w:rsidRPr="001E5654">
        <w:rPr>
          <w:rFonts w:ascii="Arial" w:hAnsi="Arial" w:cs="Arial"/>
          <w:b/>
          <w:color w:val="FF0000"/>
          <w:sz w:val="20"/>
          <w:szCs w:val="20"/>
          <w:lang w:val="en-GB"/>
        </w:rPr>
        <w:t xml:space="preserve">SFC </w:t>
      </w:r>
      <w:r w:rsidR="00806C10" w:rsidRPr="001E5654">
        <w:rPr>
          <w:rFonts w:ascii="Arial" w:hAnsi="Arial" w:cs="Arial"/>
          <w:b/>
          <w:color w:val="FF0000"/>
          <w:sz w:val="20"/>
          <w:szCs w:val="20"/>
          <w:lang w:val="en-GB"/>
        </w:rPr>
        <w:t>Statement on Virtual Asset Arrangements Claiming to Offer Returns to Investors</w:t>
      </w:r>
      <w:r w:rsidR="0092177F" w:rsidRPr="001E5654">
        <w:rPr>
          <w:rFonts w:ascii="Arial" w:hAnsi="Arial" w:cs="Arial"/>
          <w:b/>
          <w:color w:val="FF0000"/>
          <w:sz w:val="20"/>
          <w:szCs w:val="20"/>
          <w:lang w:val="en-GB"/>
        </w:rPr>
        <w:t xml:space="preserve"> in Hong Kong</w:t>
      </w:r>
    </w:p>
    <w:p w14:paraId="18810068" w14:textId="0D20B13C" w:rsidR="00892DC7" w:rsidRPr="001E5654" w:rsidRDefault="00EE6CBC" w:rsidP="003317DE">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On </w:t>
      </w:r>
      <w:r w:rsidR="00386201" w:rsidRPr="001E5654">
        <w:rPr>
          <w:rFonts w:ascii="Arial" w:hAnsi="Arial" w:cs="Arial"/>
          <w:color w:val="000000" w:themeColor="text1"/>
          <w:sz w:val="20"/>
          <w:szCs w:val="20"/>
          <w:lang w:val="en-GB"/>
        </w:rPr>
        <w:t xml:space="preserve">13 December 2022, </w:t>
      </w:r>
      <w:r w:rsidRPr="001E5654">
        <w:rPr>
          <w:rFonts w:ascii="Arial" w:hAnsi="Arial" w:cs="Arial"/>
          <w:color w:val="000000" w:themeColor="text1"/>
          <w:sz w:val="20"/>
          <w:szCs w:val="20"/>
          <w:lang w:val="en-GB"/>
        </w:rPr>
        <w:t>the SFC</w:t>
      </w:r>
      <w:r w:rsidR="00A05FFB"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issued</w:t>
      </w:r>
      <w:r w:rsidR="00A05FFB" w:rsidRPr="001E5654">
        <w:rPr>
          <w:rFonts w:ascii="Arial" w:hAnsi="Arial" w:cs="Arial"/>
          <w:color w:val="000000" w:themeColor="text1"/>
          <w:sz w:val="20"/>
          <w:szCs w:val="20"/>
          <w:lang w:val="en-GB"/>
        </w:rPr>
        <w:t xml:space="preserve"> a </w:t>
      </w:r>
      <w:hyperlink r:id="rId10" w:history="1">
        <w:r w:rsidR="00A05FFB" w:rsidRPr="001E5654">
          <w:rPr>
            <w:rStyle w:val="a7"/>
            <w:rFonts w:ascii="Arial" w:hAnsi="Arial" w:cs="Arial"/>
            <w:sz w:val="20"/>
            <w:szCs w:val="20"/>
            <w:lang w:val="en-GB"/>
          </w:rPr>
          <w:t>S</w:t>
        </w:r>
        <w:r w:rsidR="00386201" w:rsidRPr="001E5654">
          <w:rPr>
            <w:rStyle w:val="a7"/>
            <w:rFonts w:ascii="Arial" w:hAnsi="Arial" w:cs="Arial"/>
            <w:sz w:val="20"/>
            <w:szCs w:val="20"/>
            <w:lang w:val="en-GB"/>
          </w:rPr>
          <w:t>tatement</w:t>
        </w:r>
        <w:r w:rsidR="00A05FFB" w:rsidRPr="001E5654">
          <w:rPr>
            <w:rStyle w:val="a7"/>
            <w:rFonts w:ascii="Arial" w:hAnsi="Arial" w:cs="Arial"/>
            <w:sz w:val="20"/>
            <w:szCs w:val="20"/>
            <w:lang w:val="en-GB"/>
          </w:rPr>
          <w:t xml:space="preserve"> on Virtual Asset Arrangements claiming to offer Returns to I</w:t>
        </w:r>
        <w:r w:rsidR="00386201" w:rsidRPr="001E5654">
          <w:rPr>
            <w:rStyle w:val="a7"/>
            <w:rFonts w:ascii="Arial" w:hAnsi="Arial" w:cs="Arial"/>
            <w:sz w:val="20"/>
            <w:szCs w:val="20"/>
            <w:lang w:val="en-GB"/>
          </w:rPr>
          <w:t>nvest</w:t>
        </w:r>
        <w:r w:rsidR="00892DC7" w:rsidRPr="001E5654">
          <w:rPr>
            <w:rStyle w:val="a7"/>
            <w:rFonts w:ascii="Arial" w:hAnsi="Arial" w:cs="Arial"/>
            <w:sz w:val="20"/>
            <w:szCs w:val="20"/>
            <w:lang w:val="en-GB"/>
          </w:rPr>
          <w:t>ors</w:t>
        </w:r>
      </w:hyperlink>
      <w:r w:rsidR="00BF5CCA" w:rsidRPr="001E5654">
        <w:rPr>
          <w:rStyle w:val="a7"/>
          <w:rFonts w:ascii="Arial" w:hAnsi="Arial" w:cs="Arial"/>
          <w:sz w:val="20"/>
          <w:szCs w:val="20"/>
          <w:u w:val="none"/>
          <w:lang w:val="en-GB"/>
        </w:rPr>
        <w:t xml:space="preserve"> </w:t>
      </w:r>
      <w:r w:rsidR="00BF5CCA" w:rsidRPr="001E5654">
        <w:rPr>
          <w:rStyle w:val="a7"/>
          <w:rFonts w:ascii="Arial" w:hAnsi="Arial" w:cs="Arial"/>
          <w:color w:val="auto"/>
          <w:sz w:val="20"/>
          <w:szCs w:val="20"/>
          <w:u w:val="none"/>
          <w:lang w:val="en-GB"/>
        </w:rPr>
        <w:t xml:space="preserve">(the </w:t>
      </w:r>
      <w:r w:rsidRPr="001E5654">
        <w:rPr>
          <w:rStyle w:val="a7"/>
          <w:rFonts w:ascii="Arial" w:hAnsi="Arial" w:cs="Arial"/>
          <w:b/>
          <w:color w:val="auto"/>
          <w:sz w:val="20"/>
          <w:szCs w:val="20"/>
          <w:u w:val="none"/>
          <w:lang w:val="en-GB"/>
        </w:rPr>
        <w:t>SFC Virtual Assets</w:t>
      </w:r>
      <w:r w:rsidRPr="001E5654">
        <w:rPr>
          <w:rStyle w:val="a7"/>
          <w:rFonts w:ascii="Arial" w:hAnsi="Arial" w:cs="Arial"/>
          <w:color w:val="auto"/>
          <w:sz w:val="20"/>
          <w:szCs w:val="20"/>
          <w:u w:val="none"/>
          <w:lang w:val="en-GB"/>
        </w:rPr>
        <w:t xml:space="preserve"> </w:t>
      </w:r>
      <w:r w:rsidR="00BF5CCA" w:rsidRPr="001E5654">
        <w:rPr>
          <w:rStyle w:val="a7"/>
          <w:rFonts w:ascii="Arial" w:hAnsi="Arial" w:cs="Arial"/>
          <w:b/>
          <w:color w:val="auto"/>
          <w:sz w:val="20"/>
          <w:szCs w:val="20"/>
          <w:u w:val="none"/>
          <w:lang w:val="en-GB"/>
        </w:rPr>
        <w:t>Statement</w:t>
      </w:r>
      <w:r w:rsidR="00BF5CCA" w:rsidRPr="001E5654">
        <w:rPr>
          <w:rStyle w:val="a7"/>
          <w:rFonts w:ascii="Arial" w:hAnsi="Arial" w:cs="Arial"/>
          <w:color w:val="auto"/>
          <w:sz w:val="20"/>
          <w:szCs w:val="20"/>
          <w:u w:val="none"/>
          <w:lang w:val="en-GB"/>
        </w:rPr>
        <w:t>),</w:t>
      </w:r>
      <w:r w:rsidR="00892DC7"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 xml:space="preserve">regarding </w:t>
      </w:r>
      <w:r w:rsidR="00892DC7" w:rsidRPr="001E5654">
        <w:rPr>
          <w:rFonts w:ascii="Arial" w:hAnsi="Arial" w:cs="Arial"/>
          <w:color w:val="000000" w:themeColor="text1"/>
          <w:sz w:val="20"/>
          <w:szCs w:val="20"/>
          <w:lang w:val="en-GB"/>
        </w:rPr>
        <w:t xml:space="preserve">the </w:t>
      </w:r>
      <w:r w:rsidR="0040680F" w:rsidRPr="001E5654">
        <w:rPr>
          <w:rFonts w:ascii="Arial" w:hAnsi="Arial" w:cs="Arial"/>
          <w:color w:val="000000" w:themeColor="text1"/>
          <w:sz w:val="20"/>
          <w:szCs w:val="20"/>
          <w:lang w:val="en-GB"/>
        </w:rPr>
        <w:t xml:space="preserve">risks associated with </w:t>
      </w:r>
      <w:r w:rsidRPr="001E5654">
        <w:rPr>
          <w:rFonts w:ascii="Arial" w:hAnsi="Arial" w:cs="Arial"/>
          <w:color w:val="000000" w:themeColor="text1"/>
          <w:sz w:val="20"/>
          <w:szCs w:val="20"/>
          <w:lang w:val="en-GB"/>
        </w:rPr>
        <w:t xml:space="preserve">Hong Kong </w:t>
      </w:r>
      <w:r w:rsidR="0040680F" w:rsidRPr="001E5654">
        <w:rPr>
          <w:rFonts w:ascii="Arial" w:hAnsi="Arial" w:cs="Arial"/>
          <w:color w:val="000000" w:themeColor="text1"/>
          <w:sz w:val="20"/>
          <w:szCs w:val="20"/>
          <w:lang w:val="en-GB"/>
        </w:rPr>
        <w:t xml:space="preserve">virtual asset platforms offering </w:t>
      </w:r>
      <w:r w:rsidR="00892DC7" w:rsidRPr="001E5654">
        <w:rPr>
          <w:rFonts w:ascii="Arial" w:hAnsi="Arial" w:cs="Arial"/>
          <w:color w:val="000000" w:themeColor="text1"/>
          <w:sz w:val="20"/>
          <w:szCs w:val="20"/>
          <w:lang w:val="en-GB"/>
        </w:rPr>
        <w:t>“virtual asset</w:t>
      </w:r>
      <w:r w:rsidR="0040680F" w:rsidRPr="001E5654">
        <w:rPr>
          <w:rFonts w:ascii="Arial" w:hAnsi="Arial" w:cs="Arial"/>
          <w:color w:val="000000" w:themeColor="text1"/>
          <w:sz w:val="20"/>
          <w:szCs w:val="20"/>
          <w:lang w:val="en-GB"/>
        </w:rPr>
        <w:t xml:space="preserve"> “deposits”, “savings”, “earnings” or “staking” services (</w:t>
      </w:r>
      <w:r w:rsidR="0040680F" w:rsidRPr="001E5654">
        <w:rPr>
          <w:rFonts w:ascii="Arial" w:hAnsi="Arial" w:cs="Arial"/>
          <w:b/>
          <w:color w:val="000000" w:themeColor="text1"/>
          <w:sz w:val="20"/>
          <w:szCs w:val="20"/>
          <w:lang w:val="en-GB"/>
        </w:rPr>
        <w:t>VA Arrangements</w:t>
      </w:r>
      <w:r w:rsidR="0040680F" w:rsidRPr="001E5654">
        <w:rPr>
          <w:rFonts w:ascii="Arial" w:hAnsi="Arial" w:cs="Arial"/>
          <w:color w:val="000000" w:themeColor="text1"/>
          <w:sz w:val="20"/>
          <w:szCs w:val="20"/>
          <w:lang w:val="en-GB"/>
        </w:rPr>
        <w:t>)</w:t>
      </w:r>
      <w:r w:rsidR="00A05FFB" w:rsidRPr="001E5654">
        <w:rPr>
          <w:rStyle w:val="a6"/>
          <w:rFonts w:ascii="Arial" w:hAnsi="Arial" w:cs="Arial"/>
          <w:color w:val="000000" w:themeColor="text1"/>
          <w:sz w:val="20"/>
          <w:szCs w:val="20"/>
          <w:lang w:val="en-GB"/>
        </w:rPr>
        <w:footnoteReference w:id="6"/>
      </w:r>
      <w:r w:rsidR="00892DC7" w:rsidRPr="001E5654">
        <w:rPr>
          <w:rFonts w:ascii="Arial" w:hAnsi="Arial" w:cs="Arial"/>
          <w:color w:val="000000" w:themeColor="text1"/>
          <w:sz w:val="20"/>
          <w:szCs w:val="20"/>
          <w:lang w:val="en-GB"/>
        </w:rPr>
        <w:t xml:space="preserve"> </w:t>
      </w:r>
      <w:r w:rsidR="0089722F">
        <w:rPr>
          <w:rFonts w:ascii="Arial" w:hAnsi="Arial" w:cs="Arial"/>
          <w:color w:val="000000" w:themeColor="text1"/>
          <w:sz w:val="20"/>
          <w:szCs w:val="20"/>
          <w:lang w:val="en-GB"/>
        </w:rPr>
        <w:t>“</w:t>
      </w:r>
      <w:r w:rsidR="007D595B" w:rsidRPr="001E5654">
        <w:rPr>
          <w:rFonts w:ascii="Arial" w:hAnsi="Arial" w:cs="Arial"/>
          <w:color w:val="000000" w:themeColor="text1"/>
          <w:sz w:val="20"/>
          <w:szCs w:val="20"/>
          <w:lang w:val="en-GB"/>
        </w:rPr>
        <w:t>in light of</w:t>
      </w:r>
      <w:r w:rsidR="0040680F" w:rsidRPr="001E5654">
        <w:rPr>
          <w:rFonts w:ascii="Arial" w:hAnsi="Arial" w:cs="Arial"/>
          <w:color w:val="000000" w:themeColor="text1"/>
          <w:sz w:val="20"/>
          <w:szCs w:val="20"/>
          <w:lang w:val="en-GB"/>
        </w:rPr>
        <w:t xml:space="preserve"> the</w:t>
      </w:r>
      <w:r w:rsidR="00892DC7" w:rsidRPr="001E5654">
        <w:rPr>
          <w:rFonts w:ascii="Arial" w:hAnsi="Arial" w:cs="Arial"/>
          <w:color w:val="000000" w:themeColor="text1"/>
          <w:sz w:val="20"/>
          <w:szCs w:val="20"/>
          <w:lang w:val="en-GB"/>
        </w:rPr>
        <w:t>ir</w:t>
      </w:r>
      <w:r w:rsidR="0040680F" w:rsidRPr="001E5654">
        <w:rPr>
          <w:rFonts w:ascii="Arial" w:hAnsi="Arial" w:cs="Arial"/>
          <w:color w:val="000000" w:themeColor="text1"/>
          <w:sz w:val="20"/>
          <w:szCs w:val="20"/>
          <w:lang w:val="en-GB"/>
        </w:rPr>
        <w:t xml:space="preserve"> continued prevalence</w:t>
      </w:r>
      <w:r w:rsidR="00890A35" w:rsidRPr="001E5654">
        <w:rPr>
          <w:rFonts w:ascii="Arial" w:hAnsi="Arial" w:cs="Arial"/>
          <w:color w:val="000000" w:themeColor="text1"/>
          <w:sz w:val="20"/>
          <w:szCs w:val="20"/>
          <w:lang w:val="en-GB"/>
        </w:rPr>
        <w:t xml:space="preserve"> </w:t>
      </w:r>
      <w:r w:rsidR="008314A9" w:rsidRPr="001E5654">
        <w:rPr>
          <w:rFonts w:ascii="Arial" w:hAnsi="Arial" w:cs="Arial"/>
          <w:color w:val="000000" w:themeColor="text1"/>
          <w:sz w:val="20"/>
          <w:szCs w:val="20"/>
          <w:lang w:val="en-GB"/>
        </w:rPr>
        <w:t xml:space="preserve">[…] </w:t>
      </w:r>
      <w:r w:rsidR="0089722F">
        <w:rPr>
          <w:rFonts w:ascii="Arial" w:hAnsi="Arial" w:cs="Arial"/>
          <w:color w:val="000000" w:themeColor="text1"/>
          <w:sz w:val="20"/>
          <w:szCs w:val="20"/>
          <w:lang w:val="en-GB"/>
        </w:rPr>
        <w:t xml:space="preserve">and </w:t>
      </w:r>
      <w:r w:rsidR="00890A35" w:rsidRPr="001E5654">
        <w:rPr>
          <w:rFonts w:ascii="Arial" w:hAnsi="Arial" w:cs="Arial"/>
          <w:color w:val="000000" w:themeColor="text1"/>
          <w:sz w:val="20"/>
          <w:szCs w:val="20"/>
          <w:lang w:val="en-GB"/>
        </w:rPr>
        <w:t>recent event</w:t>
      </w:r>
      <w:r w:rsidR="00A05FFB" w:rsidRPr="001E5654">
        <w:rPr>
          <w:rFonts w:ascii="Arial" w:hAnsi="Arial" w:cs="Arial"/>
          <w:color w:val="000000" w:themeColor="text1"/>
          <w:sz w:val="20"/>
          <w:szCs w:val="20"/>
          <w:lang w:val="en-GB"/>
        </w:rPr>
        <w:t>s</w:t>
      </w:r>
      <w:r w:rsidR="00890A35" w:rsidRPr="001E5654">
        <w:rPr>
          <w:rFonts w:ascii="Arial" w:hAnsi="Arial" w:cs="Arial"/>
          <w:color w:val="000000" w:themeColor="text1"/>
          <w:sz w:val="20"/>
          <w:szCs w:val="20"/>
          <w:lang w:val="en-GB"/>
        </w:rPr>
        <w:t xml:space="preserve"> in the virtual asset</w:t>
      </w:r>
      <w:r w:rsidR="00582843" w:rsidRPr="001E5654">
        <w:rPr>
          <w:rFonts w:ascii="Arial" w:hAnsi="Arial" w:cs="Arial"/>
          <w:color w:val="000000" w:themeColor="text1"/>
          <w:sz w:val="20"/>
          <w:szCs w:val="20"/>
          <w:lang w:val="en-GB"/>
        </w:rPr>
        <w:t xml:space="preserve"> industry</w:t>
      </w:r>
      <w:r w:rsidR="00892DC7" w:rsidRPr="001E5654">
        <w:rPr>
          <w:rFonts w:ascii="Arial" w:hAnsi="Arial" w:cs="Arial"/>
          <w:color w:val="000000" w:themeColor="text1"/>
          <w:sz w:val="20"/>
          <w:szCs w:val="20"/>
          <w:lang w:val="en-GB"/>
        </w:rPr>
        <w:t>”</w:t>
      </w:r>
      <w:r w:rsidR="00BF5CCA" w:rsidRPr="001E5654">
        <w:rPr>
          <w:rStyle w:val="a6"/>
          <w:rFonts w:ascii="Arial" w:hAnsi="Arial" w:cs="Arial"/>
          <w:color w:val="000000" w:themeColor="text1"/>
          <w:sz w:val="20"/>
          <w:szCs w:val="20"/>
          <w:lang w:val="en-GB"/>
        </w:rPr>
        <w:footnoteReference w:id="7"/>
      </w:r>
      <w:r w:rsidR="00440598" w:rsidRPr="001E5654">
        <w:rPr>
          <w:rFonts w:ascii="Arial" w:hAnsi="Arial" w:cs="Arial"/>
          <w:color w:val="000000" w:themeColor="text1"/>
          <w:sz w:val="20"/>
          <w:szCs w:val="20"/>
          <w:lang w:val="en-GB"/>
        </w:rPr>
        <w:t>(the collapse of FTX, Terraform Labs and Celsius Network</w:t>
      </w:r>
      <w:r w:rsidR="00BC6386" w:rsidRPr="001E5654">
        <w:rPr>
          <w:rFonts w:ascii="Arial" w:hAnsi="Arial" w:cs="Arial"/>
          <w:color w:val="000000" w:themeColor="text1"/>
          <w:sz w:val="20"/>
          <w:szCs w:val="20"/>
          <w:lang w:val="en-GB"/>
        </w:rPr>
        <w:t>, among others</w:t>
      </w:r>
      <w:r w:rsidR="00417878" w:rsidRPr="001E5654">
        <w:rPr>
          <w:rFonts w:ascii="Arial" w:hAnsi="Arial" w:cs="Arial"/>
          <w:color w:val="000000" w:themeColor="text1"/>
          <w:sz w:val="20"/>
          <w:szCs w:val="20"/>
          <w:lang w:val="en-GB"/>
        </w:rPr>
        <w:t>)</w:t>
      </w:r>
      <w:r w:rsidR="00002727" w:rsidRPr="001E5654">
        <w:rPr>
          <w:rFonts w:ascii="Arial" w:hAnsi="Arial" w:cs="Arial"/>
          <w:color w:val="000000" w:themeColor="text1"/>
          <w:sz w:val="20"/>
          <w:szCs w:val="20"/>
          <w:lang w:val="en-GB"/>
        </w:rPr>
        <w:t>.</w:t>
      </w:r>
    </w:p>
    <w:p w14:paraId="27F960A3" w14:textId="77777777" w:rsidR="0040680F" w:rsidRPr="001E5654" w:rsidRDefault="0040680F" w:rsidP="003317DE">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lastRenderedPageBreak/>
        <w:t>Th</w:t>
      </w:r>
      <w:r w:rsidR="00892DC7" w:rsidRPr="001E5654">
        <w:rPr>
          <w:rFonts w:ascii="Arial" w:hAnsi="Arial" w:cs="Arial"/>
          <w:color w:val="000000" w:themeColor="text1"/>
          <w:sz w:val="20"/>
          <w:szCs w:val="20"/>
          <w:lang w:val="en-GB"/>
        </w:rPr>
        <w:t>e s</w:t>
      </w:r>
      <w:r w:rsidRPr="001E5654">
        <w:rPr>
          <w:rFonts w:ascii="Arial" w:hAnsi="Arial" w:cs="Arial"/>
          <w:color w:val="000000" w:themeColor="text1"/>
          <w:sz w:val="20"/>
          <w:szCs w:val="20"/>
          <w:lang w:val="en-GB"/>
        </w:rPr>
        <w:t xml:space="preserve">ignificant </w:t>
      </w:r>
      <w:r w:rsidR="00F45BEF" w:rsidRPr="001E5654">
        <w:rPr>
          <w:rFonts w:ascii="Arial" w:hAnsi="Arial" w:cs="Arial"/>
          <w:color w:val="000000" w:themeColor="text1"/>
          <w:sz w:val="20"/>
          <w:szCs w:val="20"/>
          <w:lang w:val="en-GB"/>
        </w:rPr>
        <w:t xml:space="preserve">investor </w:t>
      </w:r>
      <w:r w:rsidRPr="001E5654">
        <w:rPr>
          <w:rFonts w:ascii="Arial" w:hAnsi="Arial" w:cs="Arial"/>
          <w:color w:val="000000" w:themeColor="text1"/>
          <w:sz w:val="20"/>
          <w:szCs w:val="20"/>
          <w:lang w:val="en-GB"/>
        </w:rPr>
        <w:t>risks</w:t>
      </w:r>
      <w:r w:rsidR="00892DC7" w:rsidRPr="001E5654">
        <w:rPr>
          <w:rFonts w:ascii="Arial" w:hAnsi="Arial" w:cs="Arial"/>
          <w:color w:val="000000" w:themeColor="text1"/>
          <w:sz w:val="20"/>
          <w:szCs w:val="20"/>
          <w:lang w:val="en-GB"/>
        </w:rPr>
        <w:t xml:space="preserve"> highlighted by the SFC</w:t>
      </w:r>
      <w:r w:rsidR="00BF5CCA" w:rsidRPr="001E5654">
        <w:rPr>
          <w:rFonts w:ascii="Arial" w:hAnsi="Arial" w:cs="Arial"/>
          <w:color w:val="000000" w:themeColor="text1"/>
          <w:sz w:val="20"/>
          <w:szCs w:val="20"/>
          <w:lang w:val="en-GB"/>
        </w:rPr>
        <w:t xml:space="preserve"> in the</w:t>
      </w:r>
      <w:r w:rsidR="007459DA" w:rsidRPr="001E5654">
        <w:rPr>
          <w:rFonts w:ascii="Arial" w:hAnsi="Arial" w:cs="Arial"/>
          <w:color w:val="000000" w:themeColor="text1"/>
          <w:sz w:val="20"/>
          <w:szCs w:val="20"/>
          <w:lang w:val="en-GB"/>
        </w:rPr>
        <w:t xml:space="preserve"> SFC Virtual Asset</w:t>
      </w:r>
      <w:r w:rsidR="00BF5CCA" w:rsidRPr="001E5654">
        <w:rPr>
          <w:rFonts w:ascii="Arial" w:hAnsi="Arial" w:cs="Arial"/>
          <w:color w:val="000000" w:themeColor="text1"/>
          <w:sz w:val="20"/>
          <w:szCs w:val="20"/>
          <w:lang w:val="en-GB"/>
        </w:rPr>
        <w:t xml:space="preserve"> Statement</w:t>
      </w:r>
      <w:r w:rsidRPr="001E5654">
        <w:rPr>
          <w:rFonts w:ascii="Arial" w:hAnsi="Arial" w:cs="Arial"/>
          <w:color w:val="000000" w:themeColor="text1"/>
          <w:sz w:val="20"/>
          <w:szCs w:val="20"/>
          <w:lang w:val="en-GB"/>
        </w:rPr>
        <w:t xml:space="preserve"> include:</w:t>
      </w:r>
    </w:p>
    <w:p w14:paraId="24FD124D" w14:textId="77777777" w:rsidR="0040680F" w:rsidRPr="001E5654" w:rsidRDefault="00892DC7" w:rsidP="003317DE">
      <w:pPr>
        <w:pStyle w:val="a3"/>
        <w:numPr>
          <w:ilvl w:val="0"/>
          <w:numId w:val="1"/>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no </w:t>
      </w:r>
      <w:r w:rsidR="0040680F" w:rsidRPr="001E5654">
        <w:rPr>
          <w:rFonts w:ascii="Arial" w:hAnsi="Arial" w:cs="Arial"/>
          <w:color w:val="000000" w:themeColor="text1"/>
          <w:sz w:val="20"/>
          <w:szCs w:val="20"/>
          <w:lang w:val="en-GB"/>
        </w:rPr>
        <w:t>investor protections in terms of VA</w:t>
      </w:r>
      <w:r w:rsidRPr="001E5654">
        <w:rPr>
          <w:rFonts w:ascii="Arial" w:hAnsi="Arial" w:cs="Arial"/>
          <w:color w:val="000000" w:themeColor="text1"/>
          <w:sz w:val="20"/>
          <w:szCs w:val="20"/>
          <w:lang w:val="en-GB"/>
        </w:rPr>
        <w:t xml:space="preserve"> Arrangements </w:t>
      </w:r>
      <w:r w:rsidR="0092177F" w:rsidRPr="001E5654">
        <w:rPr>
          <w:rFonts w:ascii="Arial" w:hAnsi="Arial" w:cs="Arial"/>
          <w:color w:val="000000" w:themeColor="text1"/>
          <w:sz w:val="20"/>
          <w:szCs w:val="20"/>
          <w:lang w:val="en-GB"/>
        </w:rPr>
        <w:t xml:space="preserve">in Hong Kong </w:t>
      </w:r>
      <w:r w:rsidRPr="001E5654">
        <w:rPr>
          <w:rFonts w:ascii="Arial" w:hAnsi="Arial" w:cs="Arial"/>
          <w:color w:val="000000" w:themeColor="text1"/>
          <w:sz w:val="20"/>
          <w:szCs w:val="20"/>
          <w:lang w:val="en-GB"/>
        </w:rPr>
        <w:t>marketed or labelled as</w:t>
      </w:r>
      <w:r w:rsidR="0040680F" w:rsidRPr="001E5654">
        <w:rPr>
          <w:rFonts w:ascii="Arial" w:hAnsi="Arial" w:cs="Arial"/>
          <w:color w:val="000000" w:themeColor="text1"/>
          <w:sz w:val="20"/>
          <w:szCs w:val="20"/>
          <w:lang w:val="en-GB"/>
        </w:rPr>
        <w:t xml:space="preserve"> “deposits” or “saving” products as they are “not regulated and are not the same as bank deposits”</w:t>
      </w:r>
      <w:r w:rsidR="00A05FFB" w:rsidRPr="001E5654">
        <w:rPr>
          <w:rFonts w:ascii="Arial" w:hAnsi="Arial" w:cs="Arial"/>
          <w:color w:val="000000" w:themeColor="text1"/>
          <w:sz w:val="20"/>
          <w:szCs w:val="20"/>
          <w:lang w:val="en-GB"/>
        </w:rPr>
        <w:t>;</w:t>
      </w:r>
    </w:p>
    <w:p w14:paraId="1BB3D995" w14:textId="77777777" w:rsidR="0040680F" w:rsidRPr="001E5654" w:rsidRDefault="00004560" w:rsidP="00440598">
      <w:pPr>
        <w:pStyle w:val="a3"/>
        <w:numPr>
          <w:ilvl w:val="0"/>
          <w:numId w:val="1"/>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virtual asset</w:t>
      </w:r>
      <w:r w:rsidR="0040680F" w:rsidRPr="001E5654">
        <w:rPr>
          <w:rFonts w:ascii="Arial" w:hAnsi="Arial" w:cs="Arial"/>
          <w:color w:val="000000" w:themeColor="text1"/>
          <w:sz w:val="20"/>
          <w:szCs w:val="20"/>
          <w:lang w:val="en-GB"/>
        </w:rPr>
        <w:t xml:space="preserve"> platforms’ lack of transparency in terms of their </w:t>
      </w:r>
      <w:r w:rsidRPr="001E5654">
        <w:rPr>
          <w:rFonts w:ascii="Arial" w:hAnsi="Arial" w:cs="Arial"/>
          <w:color w:val="000000" w:themeColor="text1"/>
          <w:sz w:val="20"/>
          <w:szCs w:val="20"/>
          <w:lang w:val="en-GB"/>
        </w:rPr>
        <w:t>operations and</w:t>
      </w:r>
      <w:r w:rsidR="00A124D7" w:rsidRPr="001E5654">
        <w:rPr>
          <w:rFonts w:ascii="Arial" w:hAnsi="Arial" w:cs="Arial"/>
          <w:color w:val="000000" w:themeColor="text1"/>
          <w:sz w:val="20"/>
          <w:szCs w:val="20"/>
          <w:lang w:val="en-GB"/>
        </w:rPr>
        <w:t xml:space="preserve"> </w:t>
      </w:r>
      <w:r w:rsidR="00440598" w:rsidRPr="001E5654">
        <w:rPr>
          <w:rFonts w:ascii="Arial" w:hAnsi="Arial" w:cs="Arial"/>
          <w:color w:val="000000" w:themeColor="text1"/>
          <w:sz w:val="20"/>
          <w:szCs w:val="20"/>
          <w:lang w:val="en-GB"/>
        </w:rPr>
        <w:t>the fact that their fitness and properness,</w:t>
      </w:r>
      <w:r w:rsidR="00C57D2B" w:rsidRPr="001E5654">
        <w:rPr>
          <w:rFonts w:ascii="Arial" w:hAnsi="Arial" w:cs="Arial"/>
          <w:color w:val="000000" w:themeColor="text1"/>
          <w:sz w:val="20"/>
          <w:szCs w:val="20"/>
          <w:lang w:val="en-GB"/>
        </w:rPr>
        <w:t xml:space="preserve"> </w:t>
      </w:r>
      <w:r w:rsidR="00A05FFB" w:rsidRPr="001E5654">
        <w:rPr>
          <w:rFonts w:ascii="Arial" w:hAnsi="Arial" w:cs="Arial"/>
          <w:color w:val="000000" w:themeColor="text1"/>
          <w:sz w:val="20"/>
          <w:szCs w:val="20"/>
          <w:lang w:val="en-GB"/>
        </w:rPr>
        <w:t>inclusive of their fina</w:t>
      </w:r>
      <w:r w:rsidR="00440598" w:rsidRPr="001E5654">
        <w:rPr>
          <w:rFonts w:ascii="Arial" w:hAnsi="Arial" w:cs="Arial"/>
          <w:color w:val="000000" w:themeColor="text1"/>
          <w:sz w:val="20"/>
          <w:szCs w:val="20"/>
          <w:lang w:val="en-GB"/>
        </w:rPr>
        <w:t xml:space="preserve">ncial soundness and competence, </w:t>
      </w:r>
      <w:r w:rsidRPr="001E5654">
        <w:rPr>
          <w:rFonts w:ascii="Arial" w:hAnsi="Arial" w:cs="Arial"/>
          <w:color w:val="000000" w:themeColor="text1"/>
          <w:sz w:val="20"/>
          <w:szCs w:val="20"/>
          <w:lang w:val="en-GB"/>
        </w:rPr>
        <w:t>are not</w:t>
      </w:r>
      <w:r w:rsidR="00890A35" w:rsidRPr="001E5654">
        <w:rPr>
          <w:rFonts w:ascii="Arial" w:hAnsi="Arial" w:cs="Arial"/>
          <w:color w:val="000000" w:themeColor="text1"/>
          <w:sz w:val="20"/>
          <w:szCs w:val="20"/>
          <w:lang w:val="en-GB"/>
        </w:rPr>
        <w:t xml:space="preserve"> subject to </w:t>
      </w:r>
      <w:r w:rsidR="007928B1" w:rsidRPr="001E5654">
        <w:rPr>
          <w:rFonts w:ascii="Arial" w:hAnsi="Arial" w:cs="Arial"/>
          <w:color w:val="000000" w:themeColor="text1"/>
          <w:sz w:val="20"/>
          <w:szCs w:val="20"/>
          <w:lang w:val="en-GB"/>
        </w:rPr>
        <w:t>any regulation</w:t>
      </w:r>
      <w:r w:rsidR="00890A35" w:rsidRPr="001E5654">
        <w:rPr>
          <w:rFonts w:ascii="Arial" w:hAnsi="Arial" w:cs="Arial"/>
          <w:color w:val="000000" w:themeColor="text1"/>
          <w:sz w:val="20"/>
          <w:szCs w:val="20"/>
          <w:lang w:val="en-GB"/>
        </w:rPr>
        <w:t xml:space="preserve">, </w:t>
      </w:r>
      <w:r w:rsidR="00440598" w:rsidRPr="001E5654">
        <w:rPr>
          <w:rFonts w:ascii="Arial" w:hAnsi="Arial" w:cs="Arial"/>
          <w:color w:val="000000" w:themeColor="text1"/>
          <w:sz w:val="20"/>
          <w:szCs w:val="20"/>
          <w:lang w:val="en-GB"/>
        </w:rPr>
        <w:t xml:space="preserve">including prudential regulation. In particular, </w:t>
      </w:r>
      <w:r w:rsidR="00E05904" w:rsidRPr="001E5654">
        <w:rPr>
          <w:rFonts w:ascii="Arial" w:hAnsi="Arial" w:cs="Arial"/>
          <w:color w:val="000000" w:themeColor="text1"/>
          <w:sz w:val="20"/>
          <w:szCs w:val="20"/>
          <w:lang w:val="en-GB"/>
        </w:rPr>
        <w:t>where the investor</w:t>
      </w:r>
      <w:r w:rsidR="00BC097D" w:rsidRPr="001E5654">
        <w:rPr>
          <w:rFonts w:ascii="Arial" w:hAnsi="Arial" w:cs="Arial"/>
          <w:color w:val="000000" w:themeColor="text1"/>
          <w:sz w:val="20"/>
          <w:szCs w:val="20"/>
          <w:lang w:val="en-GB"/>
        </w:rPr>
        <w:t>s</w:t>
      </w:r>
      <w:r w:rsidR="00E05904" w:rsidRPr="001E5654">
        <w:rPr>
          <w:rFonts w:ascii="Arial" w:hAnsi="Arial" w:cs="Arial"/>
          <w:color w:val="000000" w:themeColor="text1"/>
          <w:sz w:val="20"/>
          <w:szCs w:val="20"/>
          <w:lang w:val="en-GB"/>
        </w:rPr>
        <w:t>’</w:t>
      </w:r>
      <w:r w:rsidR="00812044" w:rsidRPr="001E5654">
        <w:rPr>
          <w:rFonts w:ascii="Arial" w:hAnsi="Arial" w:cs="Arial"/>
          <w:color w:val="000000" w:themeColor="text1"/>
          <w:sz w:val="20"/>
          <w:szCs w:val="20"/>
          <w:lang w:val="en-GB"/>
        </w:rPr>
        <w:t xml:space="preserve"> virtual assets under </w:t>
      </w:r>
      <w:r w:rsidR="00BC097D" w:rsidRPr="001E5654">
        <w:rPr>
          <w:rFonts w:ascii="Arial" w:hAnsi="Arial" w:cs="Arial"/>
          <w:color w:val="000000" w:themeColor="text1"/>
          <w:sz w:val="20"/>
          <w:szCs w:val="20"/>
          <w:lang w:val="en-GB"/>
        </w:rPr>
        <w:t>VA Arrangemen</w:t>
      </w:r>
      <w:r w:rsidRPr="001E5654">
        <w:rPr>
          <w:rFonts w:ascii="Arial" w:hAnsi="Arial" w:cs="Arial"/>
          <w:color w:val="000000" w:themeColor="text1"/>
          <w:sz w:val="20"/>
          <w:szCs w:val="20"/>
          <w:lang w:val="en-GB"/>
        </w:rPr>
        <w:t>t</w:t>
      </w:r>
      <w:r w:rsidR="00812044" w:rsidRPr="001E5654">
        <w:rPr>
          <w:rFonts w:ascii="Arial" w:hAnsi="Arial" w:cs="Arial"/>
          <w:color w:val="000000" w:themeColor="text1"/>
          <w:sz w:val="20"/>
          <w:szCs w:val="20"/>
          <w:lang w:val="en-GB"/>
        </w:rPr>
        <w:t>s</w:t>
      </w:r>
      <w:r w:rsidRPr="001E5654">
        <w:rPr>
          <w:rFonts w:ascii="Arial" w:hAnsi="Arial" w:cs="Arial"/>
          <w:color w:val="000000" w:themeColor="text1"/>
          <w:sz w:val="20"/>
          <w:szCs w:val="20"/>
          <w:lang w:val="en-GB"/>
        </w:rPr>
        <w:t xml:space="preserve"> are on-lend</w:t>
      </w:r>
      <w:r w:rsidR="00A05FFB" w:rsidRPr="001E5654">
        <w:rPr>
          <w:rFonts w:ascii="Arial" w:hAnsi="Arial" w:cs="Arial"/>
          <w:color w:val="000000" w:themeColor="text1"/>
          <w:sz w:val="20"/>
          <w:szCs w:val="20"/>
          <w:lang w:val="en-GB"/>
        </w:rPr>
        <w:t xml:space="preserve">, investors </w:t>
      </w:r>
      <w:r w:rsidR="00440598" w:rsidRPr="001E5654">
        <w:rPr>
          <w:rFonts w:ascii="Arial" w:hAnsi="Arial" w:cs="Arial"/>
          <w:color w:val="000000" w:themeColor="text1"/>
          <w:sz w:val="20"/>
          <w:szCs w:val="20"/>
          <w:lang w:val="en-GB"/>
        </w:rPr>
        <w:t>may lose</w:t>
      </w:r>
      <w:r w:rsidR="00BC097D" w:rsidRPr="001E5654">
        <w:rPr>
          <w:rFonts w:ascii="Arial" w:hAnsi="Arial" w:cs="Arial"/>
          <w:color w:val="000000" w:themeColor="text1"/>
          <w:sz w:val="20"/>
          <w:szCs w:val="20"/>
          <w:lang w:val="en-GB"/>
        </w:rPr>
        <w:t xml:space="preserve"> the entirely</w:t>
      </w:r>
      <w:r w:rsidR="00440598" w:rsidRPr="001E5654">
        <w:rPr>
          <w:rFonts w:ascii="Arial" w:hAnsi="Arial" w:cs="Arial"/>
          <w:color w:val="000000" w:themeColor="text1"/>
          <w:sz w:val="20"/>
          <w:szCs w:val="20"/>
          <w:lang w:val="en-GB"/>
        </w:rPr>
        <w:t xml:space="preserve"> of their investment held on a</w:t>
      </w:r>
      <w:r w:rsidR="00BC097D" w:rsidRPr="001E5654">
        <w:rPr>
          <w:rFonts w:ascii="Arial" w:hAnsi="Arial" w:cs="Arial"/>
          <w:color w:val="000000" w:themeColor="text1"/>
          <w:sz w:val="20"/>
          <w:szCs w:val="20"/>
          <w:lang w:val="en-GB"/>
        </w:rPr>
        <w:t xml:space="preserve"> platform</w:t>
      </w:r>
      <w:r w:rsidR="00A124D7" w:rsidRPr="001E5654">
        <w:rPr>
          <w:rFonts w:ascii="Arial" w:hAnsi="Arial" w:cs="Arial"/>
          <w:color w:val="000000" w:themeColor="text1"/>
          <w:sz w:val="20"/>
          <w:szCs w:val="20"/>
          <w:lang w:val="en-GB"/>
        </w:rPr>
        <w:t xml:space="preserve"> with no hope of re</w:t>
      </w:r>
      <w:r w:rsidRPr="001E5654">
        <w:rPr>
          <w:rFonts w:ascii="Arial" w:hAnsi="Arial" w:cs="Arial"/>
          <w:color w:val="000000" w:themeColor="text1"/>
          <w:sz w:val="20"/>
          <w:szCs w:val="20"/>
          <w:lang w:val="en-GB"/>
        </w:rPr>
        <w:t>cuperation</w:t>
      </w:r>
      <w:r w:rsidR="007D595B" w:rsidRPr="001E5654">
        <w:rPr>
          <w:rFonts w:ascii="Arial" w:hAnsi="Arial" w:cs="Arial"/>
          <w:color w:val="000000" w:themeColor="text1"/>
          <w:sz w:val="20"/>
          <w:szCs w:val="20"/>
          <w:lang w:val="en-GB"/>
        </w:rPr>
        <w:t xml:space="preserve"> in the</w:t>
      </w:r>
      <w:r w:rsidR="00A124D7" w:rsidRPr="001E5654">
        <w:rPr>
          <w:rFonts w:ascii="Arial" w:hAnsi="Arial" w:cs="Arial"/>
          <w:color w:val="000000" w:themeColor="text1"/>
          <w:sz w:val="20"/>
          <w:szCs w:val="20"/>
          <w:lang w:val="en-GB"/>
        </w:rPr>
        <w:t xml:space="preserve"> event</w:t>
      </w:r>
      <w:r w:rsidR="00BC097D" w:rsidRPr="001E5654">
        <w:rPr>
          <w:rFonts w:ascii="Arial" w:hAnsi="Arial" w:cs="Arial"/>
          <w:color w:val="000000" w:themeColor="text1"/>
          <w:sz w:val="20"/>
          <w:szCs w:val="20"/>
          <w:lang w:val="en-GB"/>
        </w:rPr>
        <w:t xml:space="preserve"> </w:t>
      </w:r>
      <w:r w:rsidR="00E05904" w:rsidRPr="001E5654">
        <w:rPr>
          <w:rFonts w:ascii="Arial" w:hAnsi="Arial" w:cs="Arial"/>
          <w:color w:val="000000" w:themeColor="text1"/>
          <w:sz w:val="20"/>
          <w:szCs w:val="20"/>
          <w:lang w:val="en-GB"/>
        </w:rPr>
        <w:t>the</w:t>
      </w:r>
      <w:r w:rsidR="00440598" w:rsidRPr="001E5654">
        <w:rPr>
          <w:rFonts w:ascii="Arial" w:hAnsi="Arial" w:cs="Arial"/>
          <w:color w:val="000000" w:themeColor="text1"/>
          <w:sz w:val="20"/>
          <w:szCs w:val="20"/>
          <w:lang w:val="en-GB"/>
        </w:rPr>
        <w:t xml:space="preserve"> relevant</w:t>
      </w:r>
      <w:r w:rsidR="00BC097D"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virtual asset</w:t>
      </w:r>
      <w:r w:rsidR="00BC097D" w:rsidRPr="001E5654">
        <w:rPr>
          <w:rFonts w:ascii="Arial" w:hAnsi="Arial" w:cs="Arial"/>
          <w:color w:val="000000" w:themeColor="text1"/>
          <w:sz w:val="20"/>
          <w:szCs w:val="20"/>
          <w:lang w:val="en-GB"/>
        </w:rPr>
        <w:t xml:space="preserve"> platform or </w:t>
      </w:r>
      <w:r w:rsidR="00643EB7" w:rsidRPr="001E5654">
        <w:rPr>
          <w:rFonts w:ascii="Arial" w:hAnsi="Arial" w:cs="Arial"/>
          <w:color w:val="000000" w:themeColor="text1"/>
          <w:sz w:val="20"/>
          <w:szCs w:val="20"/>
          <w:lang w:val="en-GB"/>
        </w:rPr>
        <w:t xml:space="preserve">the </w:t>
      </w:r>
      <w:r w:rsidR="00BC097D" w:rsidRPr="001E5654">
        <w:rPr>
          <w:rFonts w:ascii="Arial" w:hAnsi="Arial" w:cs="Arial"/>
          <w:color w:val="000000" w:themeColor="text1"/>
          <w:sz w:val="20"/>
          <w:szCs w:val="20"/>
          <w:lang w:val="en-GB"/>
        </w:rPr>
        <w:t>counterparty</w:t>
      </w:r>
      <w:r w:rsidR="00643EB7" w:rsidRPr="001E5654">
        <w:rPr>
          <w:rFonts w:ascii="Arial" w:hAnsi="Arial" w:cs="Arial"/>
          <w:color w:val="000000" w:themeColor="text1"/>
          <w:sz w:val="20"/>
          <w:szCs w:val="20"/>
          <w:lang w:val="en-GB"/>
        </w:rPr>
        <w:t xml:space="preserve"> the investor</w:t>
      </w:r>
      <w:r w:rsidRPr="001E5654">
        <w:rPr>
          <w:rFonts w:ascii="Arial" w:hAnsi="Arial" w:cs="Arial"/>
          <w:color w:val="000000" w:themeColor="text1"/>
          <w:sz w:val="20"/>
          <w:szCs w:val="20"/>
          <w:lang w:val="en-GB"/>
        </w:rPr>
        <w:t>s</w:t>
      </w:r>
      <w:r w:rsidR="00E05904" w:rsidRPr="001E5654">
        <w:rPr>
          <w:rFonts w:ascii="Arial" w:hAnsi="Arial" w:cs="Arial"/>
          <w:color w:val="000000" w:themeColor="text1"/>
          <w:sz w:val="20"/>
          <w:szCs w:val="20"/>
          <w:lang w:val="en-GB"/>
        </w:rPr>
        <w:t>’</w:t>
      </w:r>
      <w:r w:rsidR="00D940A0" w:rsidRPr="001E5654">
        <w:rPr>
          <w:rFonts w:ascii="Arial" w:hAnsi="Arial" w:cs="Arial"/>
          <w:color w:val="000000" w:themeColor="text1"/>
          <w:sz w:val="20"/>
          <w:szCs w:val="20"/>
          <w:lang w:val="en-GB"/>
        </w:rPr>
        <w:t xml:space="preserve"> virtual assets are on-</w:t>
      </w:r>
      <w:r w:rsidRPr="001E5654">
        <w:rPr>
          <w:rFonts w:ascii="Arial" w:hAnsi="Arial" w:cs="Arial"/>
          <w:color w:val="000000" w:themeColor="text1"/>
          <w:sz w:val="20"/>
          <w:szCs w:val="20"/>
          <w:lang w:val="en-GB"/>
        </w:rPr>
        <w:t>lend</w:t>
      </w:r>
      <w:r w:rsidR="00643EB7" w:rsidRPr="001E5654">
        <w:rPr>
          <w:rFonts w:ascii="Arial" w:hAnsi="Arial" w:cs="Arial"/>
          <w:color w:val="000000" w:themeColor="text1"/>
          <w:sz w:val="20"/>
          <w:szCs w:val="20"/>
          <w:lang w:val="en-GB"/>
        </w:rPr>
        <w:t xml:space="preserve"> to</w:t>
      </w:r>
      <w:r w:rsidR="00BC097D" w:rsidRPr="001E5654">
        <w:rPr>
          <w:rFonts w:ascii="Arial" w:hAnsi="Arial" w:cs="Arial"/>
          <w:color w:val="000000" w:themeColor="text1"/>
          <w:sz w:val="20"/>
          <w:szCs w:val="20"/>
          <w:lang w:val="en-GB"/>
        </w:rPr>
        <w:t xml:space="preserve"> ceases operation, collapses, or</w:t>
      </w:r>
      <w:r w:rsidR="00002727" w:rsidRPr="001E5654">
        <w:rPr>
          <w:rFonts w:ascii="Arial" w:hAnsi="Arial" w:cs="Arial"/>
          <w:color w:val="000000" w:themeColor="text1"/>
          <w:sz w:val="20"/>
          <w:szCs w:val="20"/>
          <w:lang w:val="en-GB"/>
        </w:rPr>
        <w:t xml:space="preserve"> is hacked or exposed to fraud;</w:t>
      </w:r>
    </w:p>
    <w:p w14:paraId="5DAEF927" w14:textId="77777777" w:rsidR="00890A35" w:rsidRPr="001E5654" w:rsidRDefault="00A124D7" w:rsidP="003317DE">
      <w:pPr>
        <w:pStyle w:val="a3"/>
        <w:numPr>
          <w:ilvl w:val="0"/>
          <w:numId w:val="1"/>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virtual assets’</w:t>
      </w:r>
      <w:r w:rsidR="00890A35" w:rsidRPr="001E5654">
        <w:rPr>
          <w:rFonts w:ascii="Arial" w:hAnsi="Arial" w:cs="Arial"/>
          <w:color w:val="000000" w:themeColor="text1"/>
          <w:sz w:val="20"/>
          <w:szCs w:val="20"/>
          <w:lang w:val="en-GB"/>
        </w:rPr>
        <w:t xml:space="preserve"> heightened risks relating to “insufficient liquidity, high price volatility, opaque pricing, potential market manipulation, hacking and fraud”</w:t>
      </w:r>
      <w:r w:rsidRPr="001E5654">
        <w:rPr>
          <w:rFonts w:ascii="Arial" w:hAnsi="Arial" w:cs="Arial"/>
          <w:color w:val="000000" w:themeColor="text1"/>
          <w:sz w:val="20"/>
          <w:szCs w:val="20"/>
          <w:lang w:val="en-GB"/>
        </w:rPr>
        <w:t xml:space="preserve"> meaning a virtual asset</w:t>
      </w:r>
      <w:r w:rsidR="00890A35" w:rsidRPr="001E5654">
        <w:rPr>
          <w:rFonts w:ascii="Arial" w:hAnsi="Arial" w:cs="Arial"/>
          <w:color w:val="000000" w:themeColor="text1"/>
          <w:sz w:val="20"/>
          <w:szCs w:val="20"/>
          <w:lang w:val="en-GB"/>
        </w:rPr>
        <w:t xml:space="preserve"> could lose all value</w:t>
      </w:r>
      <w:r w:rsidR="00DB3242" w:rsidRPr="001E5654">
        <w:rPr>
          <w:rFonts w:ascii="Arial" w:hAnsi="Arial" w:cs="Arial"/>
          <w:color w:val="000000" w:themeColor="text1"/>
          <w:sz w:val="20"/>
          <w:szCs w:val="20"/>
          <w:lang w:val="en-GB"/>
        </w:rPr>
        <w:t>;</w:t>
      </w:r>
      <w:r w:rsidR="00D940A0" w:rsidRPr="001E5654">
        <w:rPr>
          <w:rFonts w:ascii="Arial" w:hAnsi="Arial" w:cs="Arial"/>
          <w:color w:val="000000" w:themeColor="text1"/>
          <w:sz w:val="20"/>
          <w:szCs w:val="20"/>
          <w:lang w:val="en-GB"/>
        </w:rPr>
        <w:t xml:space="preserve"> and</w:t>
      </w:r>
    </w:p>
    <w:p w14:paraId="1C9926B6" w14:textId="77777777" w:rsidR="00890A35" w:rsidRPr="001E5654" w:rsidRDefault="00890A35" w:rsidP="003317DE">
      <w:pPr>
        <w:pStyle w:val="a3"/>
        <w:numPr>
          <w:ilvl w:val="0"/>
          <w:numId w:val="1"/>
        </w:num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VA Arrangements potentially being </w:t>
      </w:r>
      <w:r w:rsidR="007D595B" w:rsidRPr="001E5654">
        <w:rPr>
          <w:rFonts w:ascii="Arial" w:hAnsi="Arial" w:cs="Arial"/>
          <w:color w:val="000000" w:themeColor="text1"/>
          <w:sz w:val="20"/>
          <w:szCs w:val="20"/>
          <w:lang w:val="en-GB"/>
        </w:rPr>
        <w:t xml:space="preserve">an </w:t>
      </w:r>
      <w:r w:rsidR="00F45BEF" w:rsidRPr="001E5654">
        <w:rPr>
          <w:rFonts w:ascii="Arial" w:hAnsi="Arial" w:cs="Arial"/>
          <w:color w:val="000000" w:themeColor="text1"/>
          <w:sz w:val="20"/>
          <w:szCs w:val="20"/>
          <w:lang w:val="en-GB"/>
        </w:rPr>
        <w:t>unauthoris</w:t>
      </w:r>
      <w:r w:rsidRPr="001E5654">
        <w:rPr>
          <w:rFonts w:ascii="Arial" w:hAnsi="Arial" w:cs="Arial"/>
          <w:color w:val="000000" w:themeColor="text1"/>
          <w:sz w:val="20"/>
          <w:szCs w:val="20"/>
          <w:lang w:val="en-GB"/>
        </w:rPr>
        <w:t xml:space="preserve">ed </w:t>
      </w:r>
      <w:r w:rsidR="007D595B" w:rsidRPr="001E5654">
        <w:rPr>
          <w:rFonts w:ascii="Arial" w:hAnsi="Arial" w:cs="Arial"/>
          <w:color w:val="000000" w:themeColor="text1"/>
          <w:sz w:val="20"/>
          <w:szCs w:val="20"/>
          <w:lang w:val="en-GB"/>
        </w:rPr>
        <w:t>Collective Investment Scheme</w:t>
      </w:r>
      <w:r w:rsidR="00A124D7" w:rsidRPr="001E5654">
        <w:rPr>
          <w:rFonts w:ascii="Arial" w:hAnsi="Arial" w:cs="Arial"/>
          <w:color w:val="000000" w:themeColor="text1"/>
          <w:sz w:val="20"/>
          <w:szCs w:val="20"/>
          <w:lang w:val="en-GB"/>
        </w:rPr>
        <w:t xml:space="preserve"> (</w:t>
      </w:r>
      <w:r w:rsidR="00A124D7" w:rsidRPr="001E5654">
        <w:rPr>
          <w:rFonts w:ascii="Arial" w:hAnsi="Arial" w:cs="Arial"/>
          <w:b/>
          <w:color w:val="000000" w:themeColor="text1"/>
          <w:sz w:val="20"/>
          <w:szCs w:val="20"/>
          <w:lang w:val="en-GB"/>
        </w:rPr>
        <w:t>CIS</w:t>
      </w:r>
      <w:r w:rsidR="00A124D7" w:rsidRPr="001E5654">
        <w:rPr>
          <w:rFonts w:ascii="Arial" w:hAnsi="Arial" w:cs="Arial"/>
          <w:color w:val="000000" w:themeColor="text1"/>
          <w:sz w:val="20"/>
          <w:szCs w:val="20"/>
          <w:lang w:val="en-GB"/>
        </w:rPr>
        <w:t>)</w:t>
      </w:r>
      <w:r w:rsidR="003C2065" w:rsidRPr="001E5654">
        <w:rPr>
          <w:rFonts w:ascii="Arial" w:hAnsi="Arial" w:cs="Arial"/>
          <w:color w:val="000000" w:themeColor="text1"/>
          <w:sz w:val="20"/>
          <w:szCs w:val="20"/>
          <w:lang w:val="en-GB"/>
        </w:rPr>
        <w:t xml:space="preserve"> </w:t>
      </w:r>
      <w:r w:rsidR="0092177F" w:rsidRPr="001E5654">
        <w:rPr>
          <w:rFonts w:ascii="Arial" w:hAnsi="Arial" w:cs="Arial"/>
          <w:color w:val="000000" w:themeColor="text1"/>
          <w:sz w:val="20"/>
          <w:szCs w:val="20"/>
          <w:lang w:val="en-GB"/>
        </w:rPr>
        <w:t xml:space="preserve">in Hong Kong </w:t>
      </w:r>
      <w:r w:rsidR="00417878" w:rsidRPr="001E5654">
        <w:rPr>
          <w:rFonts w:ascii="Arial" w:hAnsi="Arial" w:cs="Arial"/>
          <w:color w:val="000000" w:themeColor="text1"/>
          <w:sz w:val="20"/>
          <w:szCs w:val="20"/>
          <w:lang w:val="en-GB"/>
        </w:rPr>
        <w:t xml:space="preserve">and </w:t>
      </w:r>
      <w:r w:rsidRPr="001E5654">
        <w:rPr>
          <w:rFonts w:ascii="Arial" w:hAnsi="Arial" w:cs="Arial"/>
          <w:color w:val="000000" w:themeColor="text1"/>
          <w:sz w:val="20"/>
          <w:szCs w:val="20"/>
          <w:lang w:val="en-GB"/>
        </w:rPr>
        <w:t xml:space="preserve">thus </w:t>
      </w:r>
      <w:r w:rsidR="00440598" w:rsidRPr="001E5654">
        <w:rPr>
          <w:rFonts w:ascii="Arial" w:hAnsi="Arial" w:cs="Arial"/>
          <w:color w:val="000000" w:themeColor="text1"/>
          <w:sz w:val="20"/>
          <w:szCs w:val="20"/>
          <w:lang w:val="en-GB"/>
        </w:rPr>
        <w:t xml:space="preserve">highly risky as the VA Arrangements </w:t>
      </w:r>
      <w:r w:rsidR="00892DC7" w:rsidRPr="001E5654">
        <w:rPr>
          <w:rFonts w:ascii="Arial" w:hAnsi="Arial" w:cs="Arial"/>
          <w:color w:val="000000" w:themeColor="text1"/>
          <w:sz w:val="20"/>
          <w:szCs w:val="20"/>
          <w:lang w:val="en-GB"/>
        </w:rPr>
        <w:t xml:space="preserve">will </w:t>
      </w:r>
      <w:r w:rsidR="00DB3242" w:rsidRPr="001E5654">
        <w:rPr>
          <w:rFonts w:ascii="Arial" w:hAnsi="Arial" w:cs="Arial"/>
          <w:color w:val="000000" w:themeColor="text1"/>
          <w:sz w:val="20"/>
          <w:szCs w:val="20"/>
          <w:lang w:val="en-GB"/>
        </w:rPr>
        <w:t xml:space="preserve">not </w:t>
      </w:r>
      <w:r w:rsidR="00004560" w:rsidRPr="001E5654">
        <w:rPr>
          <w:rFonts w:ascii="Arial" w:hAnsi="Arial" w:cs="Arial"/>
          <w:color w:val="000000" w:themeColor="text1"/>
          <w:sz w:val="20"/>
          <w:szCs w:val="20"/>
          <w:lang w:val="en-GB"/>
        </w:rPr>
        <w:t>have been</w:t>
      </w:r>
      <w:r w:rsidR="00A124D7" w:rsidRPr="001E5654">
        <w:rPr>
          <w:rFonts w:ascii="Arial" w:hAnsi="Arial" w:cs="Arial"/>
          <w:color w:val="000000" w:themeColor="text1"/>
          <w:sz w:val="20"/>
          <w:szCs w:val="20"/>
          <w:lang w:val="en-GB"/>
        </w:rPr>
        <w:t xml:space="preserve"> </w:t>
      </w:r>
      <w:r w:rsidR="00DB3242" w:rsidRPr="001E5654">
        <w:rPr>
          <w:rFonts w:ascii="Arial" w:hAnsi="Arial" w:cs="Arial"/>
          <w:color w:val="000000" w:themeColor="text1"/>
          <w:sz w:val="20"/>
          <w:szCs w:val="20"/>
          <w:lang w:val="en-GB"/>
        </w:rPr>
        <w:t>vetted by the SFC</w:t>
      </w:r>
      <w:r w:rsidR="007D595B" w:rsidRPr="001E5654">
        <w:rPr>
          <w:rFonts w:ascii="Arial" w:hAnsi="Arial" w:cs="Arial"/>
          <w:color w:val="000000" w:themeColor="text1"/>
          <w:sz w:val="20"/>
          <w:szCs w:val="20"/>
          <w:lang w:val="en-GB"/>
        </w:rPr>
        <w:t>,</w:t>
      </w:r>
      <w:r w:rsidRPr="001E5654">
        <w:rPr>
          <w:rFonts w:ascii="Arial" w:hAnsi="Arial" w:cs="Arial"/>
          <w:color w:val="000000" w:themeColor="text1"/>
          <w:sz w:val="20"/>
          <w:szCs w:val="20"/>
          <w:lang w:val="en-GB"/>
        </w:rPr>
        <w:t xml:space="preserve"> </w:t>
      </w:r>
      <w:r w:rsidR="007D595B" w:rsidRPr="001E5654">
        <w:rPr>
          <w:rFonts w:ascii="Arial" w:hAnsi="Arial" w:cs="Arial"/>
          <w:color w:val="000000" w:themeColor="text1"/>
          <w:sz w:val="20"/>
          <w:szCs w:val="20"/>
          <w:lang w:val="en-GB"/>
        </w:rPr>
        <w:t>n</w:t>
      </w:r>
      <w:r w:rsidR="00DB3242" w:rsidRPr="001E5654">
        <w:rPr>
          <w:rFonts w:ascii="Arial" w:hAnsi="Arial" w:cs="Arial"/>
          <w:color w:val="000000" w:themeColor="text1"/>
          <w:sz w:val="20"/>
          <w:szCs w:val="20"/>
          <w:lang w:val="en-GB"/>
        </w:rPr>
        <w:t>or will</w:t>
      </w:r>
      <w:r w:rsidRPr="001E5654">
        <w:rPr>
          <w:rFonts w:ascii="Arial" w:hAnsi="Arial" w:cs="Arial"/>
          <w:color w:val="000000" w:themeColor="text1"/>
          <w:sz w:val="20"/>
          <w:szCs w:val="20"/>
          <w:lang w:val="en-GB"/>
        </w:rPr>
        <w:t xml:space="preserve"> </w:t>
      </w:r>
      <w:r w:rsidR="00DB3242" w:rsidRPr="001E5654">
        <w:rPr>
          <w:rFonts w:ascii="Arial" w:hAnsi="Arial" w:cs="Arial"/>
          <w:color w:val="000000" w:themeColor="text1"/>
          <w:sz w:val="20"/>
          <w:szCs w:val="20"/>
          <w:lang w:val="en-GB"/>
        </w:rPr>
        <w:t xml:space="preserve">their </w:t>
      </w:r>
      <w:r w:rsidRPr="001E5654">
        <w:rPr>
          <w:rFonts w:ascii="Arial" w:hAnsi="Arial" w:cs="Arial"/>
          <w:color w:val="000000" w:themeColor="text1"/>
          <w:sz w:val="20"/>
          <w:szCs w:val="20"/>
          <w:lang w:val="en-GB"/>
        </w:rPr>
        <w:t>offer and marketing materials</w:t>
      </w:r>
      <w:r w:rsidR="00DB3242" w:rsidRPr="001E5654">
        <w:rPr>
          <w:rFonts w:ascii="Arial" w:hAnsi="Arial" w:cs="Arial"/>
          <w:color w:val="000000" w:themeColor="text1"/>
          <w:sz w:val="20"/>
          <w:szCs w:val="20"/>
          <w:lang w:val="en-GB"/>
        </w:rPr>
        <w:t xml:space="preserve"> have been review</w:t>
      </w:r>
      <w:r w:rsidR="00A124D7" w:rsidRPr="001E5654">
        <w:rPr>
          <w:rFonts w:ascii="Arial" w:hAnsi="Arial" w:cs="Arial"/>
          <w:color w:val="000000" w:themeColor="text1"/>
          <w:sz w:val="20"/>
          <w:szCs w:val="20"/>
          <w:lang w:val="en-GB"/>
        </w:rPr>
        <w:t>ed by the SFC</w:t>
      </w:r>
      <w:r w:rsidR="00440598" w:rsidRPr="001E5654">
        <w:rPr>
          <w:rFonts w:ascii="Arial" w:hAnsi="Arial" w:cs="Arial"/>
          <w:color w:val="000000" w:themeColor="text1"/>
          <w:sz w:val="20"/>
          <w:szCs w:val="20"/>
          <w:lang w:val="en-GB"/>
        </w:rPr>
        <w:t>. I</w:t>
      </w:r>
      <w:r w:rsidR="00004560" w:rsidRPr="001E5654">
        <w:rPr>
          <w:rFonts w:ascii="Arial" w:hAnsi="Arial" w:cs="Arial"/>
          <w:color w:val="000000" w:themeColor="text1"/>
          <w:sz w:val="20"/>
          <w:szCs w:val="20"/>
          <w:lang w:val="en-GB"/>
        </w:rPr>
        <w:t>nvestors will</w:t>
      </w:r>
      <w:r w:rsidR="00440598" w:rsidRPr="001E5654">
        <w:rPr>
          <w:rFonts w:ascii="Arial" w:hAnsi="Arial" w:cs="Arial"/>
          <w:color w:val="000000" w:themeColor="text1"/>
          <w:sz w:val="20"/>
          <w:szCs w:val="20"/>
          <w:lang w:val="en-GB"/>
        </w:rPr>
        <w:t xml:space="preserve"> also</w:t>
      </w:r>
      <w:r w:rsidR="00DB3242"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 xml:space="preserve">have no protection under the </w:t>
      </w:r>
      <w:r w:rsidR="0092177F" w:rsidRPr="001E5654">
        <w:rPr>
          <w:rFonts w:ascii="Arial" w:hAnsi="Arial" w:cs="Arial"/>
          <w:color w:val="000000" w:themeColor="text1"/>
          <w:sz w:val="20"/>
          <w:szCs w:val="20"/>
          <w:lang w:val="en-GB"/>
        </w:rPr>
        <w:t>SFO</w:t>
      </w:r>
      <w:r w:rsidR="00002727" w:rsidRPr="001E5654">
        <w:rPr>
          <w:rFonts w:ascii="Arial" w:hAnsi="Arial" w:cs="Arial"/>
          <w:color w:val="000000" w:themeColor="text1"/>
          <w:sz w:val="20"/>
          <w:szCs w:val="20"/>
          <w:lang w:val="en-GB"/>
        </w:rPr>
        <w:t>.</w:t>
      </w:r>
    </w:p>
    <w:p w14:paraId="3A6EC9EB" w14:textId="77777777" w:rsidR="00890A35" w:rsidRPr="001E5654" w:rsidRDefault="00890A35" w:rsidP="003317DE">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The SFC also cautioned </w:t>
      </w:r>
      <w:r w:rsidR="00E05904" w:rsidRPr="001E5654">
        <w:rPr>
          <w:rFonts w:ascii="Arial" w:hAnsi="Arial" w:cs="Arial"/>
          <w:color w:val="000000" w:themeColor="text1"/>
          <w:sz w:val="20"/>
          <w:szCs w:val="20"/>
          <w:lang w:val="en-GB"/>
        </w:rPr>
        <w:t xml:space="preserve">investors </w:t>
      </w:r>
      <w:r w:rsidRPr="001E5654">
        <w:rPr>
          <w:rFonts w:ascii="Arial" w:hAnsi="Arial" w:cs="Arial"/>
          <w:color w:val="000000" w:themeColor="text1"/>
          <w:sz w:val="20"/>
          <w:szCs w:val="20"/>
          <w:lang w:val="en-GB"/>
        </w:rPr>
        <w:t xml:space="preserve">that if </w:t>
      </w:r>
      <w:r w:rsidR="00204325" w:rsidRPr="001E5654">
        <w:rPr>
          <w:rFonts w:ascii="Arial" w:hAnsi="Arial" w:cs="Arial"/>
          <w:color w:val="000000" w:themeColor="text1"/>
          <w:sz w:val="20"/>
          <w:szCs w:val="20"/>
          <w:lang w:val="en-GB"/>
        </w:rPr>
        <w:t>investors</w:t>
      </w:r>
      <w:r w:rsidRPr="001E5654">
        <w:rPr>
          <w:rFonts w:ascii="Arial" w:hAnsi="Arial" w:cs="Arial"/>
          <w:color w:val="000000" w:themeColor="text1"/>
          <w:sz w:val="20"/>
          <w:szCs w:val="20"/>
          <w:lang w:val="en-GB"/>
        </w:rPr>
        <w:t xml:space="preserve"> are</w:t>
      </w:r>
      <w:r w:rsidR="00440598" w:rsidRPr="001E5654">
        <w:rPr>
          <w:rFonts w:ascii="Arial" w:hAnsi="Arial" w:cs="Arial"/>
          <w:color w:val="000000" w:themeColor="text1"/>
          <w:sz w:val="20"/>
          <w:szCs w:val="20"/>
          <w:lang w:val="en-GB"/>
        </w:rPr>
        <w:t xml:space="preserve"> unable to fully understand the </w:t>
      </w:r>
      <w:r w:rsidRPr="001E5654">
        <w:rPr>
          <w:rFonts w:ascii="Arial" w:hAnsi="Arial" w:cs="Arial"/>
          <w:color w:val="000000" w:themeColor="text1"/>
          <w:sz w:val="20"/>
          <w:szCs w:val="20"/>
          <w:lang w:val="en-GB"/>
        </w:rPr>
        <w:t xml:space="preserve">VA Arrangements they are investing in or cannot bear the potential significant or total losses, “they </w:t>
      </w:r>
      <w:r w:rsidR="00002727" w:rsidRPr="001E5654">
        <w:rPr>
          <w:rFonts w:ascii="Arial" w:hAnsi="Arial" w:cs="Arial"/>
          <w:color w:val="000000" w:themeColor="text1"/>
          <w:sz w:val="20"/>
          <w:szCs w:val="20"/>
          <w:lang w:val="en-GB"/>
        </w:rPr>
        <w:t>should not make an investment”.</w:t>
      </w:r>
    </w:p>
    <w:p w14:paraId="4744FFE2" w14:textId="77777777" w:rsidR="00582843" w:rsidRPr="001E5654" w:rsidRDefault="00582843" w:rsidP="003317DE">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P</w:t>
      </w:r>
      <w:r w:rsidR="00DB3242" w:rsidRPr="001E5654">
        <w:rPr>
          <w:rFonts w:ascii="Arial" w:hAnsi="Arial" w:cs="Arial"/>
          <w:color w:val="000000" w:themeColor="text1"/>
          <w:sz w:val="20"/>
          <w:szCs w:val="20"/>
          <w:lang w:val="en-GB"/>
        </w:rPr>
        <w:t>arties engag</w:t>
      </w:r>
      <w:r w:rsidR="007D595B" w:rsidRPr="001E5654">
        <w:rPr>
          <w:rFonts w:ascii="Arial" w:hAnsi="Arial" w:cs="Arial"/>
          <w:color w:val="000000" w:themeColor="text1"/>
          <w:sz w:val="20"/>
          <w:szCs w:val="20"/>
          <w:lang w:val="en-GB"/>
        </w:rPr>
        <w:t>ing in VA Arrangements</w:t>
      </w:r>
      <w:r w:rsidR="00F90D63" w:rsidRPr="001E5654">
        <w:rPr>
          <w:rFonts w:ascii="Arial" w:hAnsi="Arial" w:cs="Arial"/>
          <w:color w:val="000000" w:themeColor="text1"/>
          <w:sz w:val="20"/>
          <w:szCs w:val="20"/>
          <w:lang w:val="en-GB"/>
        </w:rPr>
        <w:t xml:space="preserve"> in Hong Kong</w:t>
      </w:r>
      <w:r w:rsidR="007D595B"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 xml:space="preserve">including </w:t>
      </w:r>
      <w:r w:rsidR="00004560" w:rsidRPr="001E5654">
        <w:rPr>
          <w:rFonts w:ascii="Arial" w:hAnsi="Arial" w:cs="Arial"/>
          <w:color w:val="000000" w:themeColor="text1"/>
          <w:sz w:val="20"/>
          <w:szCs w:val="20"/>
          <w:lang w:val="en-GB"/>
        </w:rPr>
        <w:t>virtual asset p</w:t>
      </w:r>
      <w:r w:rsidRPr="001E5654">
        <w:rPr>
          <w:rFonts w:ascii="Arial" w:hAnsi="Arial" w:cs="Arial"/>
          <w:color w:val="000000" w:themeColor="text1"/>
          <w:sz w:val="20"/>
          <w:szCs w:val="20"/>
          <w:lang w:val="en-GB"/>
        </w:rPr>
        <w:t xml:space="preserve">latforms, </w:t>
      </w:r>
      <w:r w:rsidR="00DB3242" w:rsidRPr="001E5654">
        <w:rPr>
          <w:rFonts w:ascii="Arial" w:hAnsi="Arial" w:cs="Arial"/>
          <w:color w:val="000000" w:themeColor="text1"/>
          <w:sz w:val="20"/>
          <w:szCs w:val="20"/>
          <w:lang w:val="en-GB"/>
        </w:rPr>
        <w:t>were also reminded that</w:t>
      </w:r>
      <w:r w:rsidR="00F90D63" w:rsidRPr="001E5654">
        <w:rPr>
          <w:rFonts w:ascii="Arial" w:hAnsi="Arial" w:cs="Arial"/>
          <w:color w:val="000000" w:themeColor="text1"/>
          <w:sz w:val="20"/>
          <w:szCs w:val="20"/>
          <w:lang w:val="en-GB"/>
        </w:rPr>
        <w:t xml:space="preserve"> those</w:t>
      </w:r>
      <w:r w:rsidR="00DB3242" w:rsidRPr="001E5654">
        <w:rPr>
          <w:rFonts w:ascii="Arial" w:hAnsi="Arial" w:cs="Arial"/>
          <w:color w:val="000000" w:themeColor="text1"/>
          <w:sz w:val="20"/>
          <w:szCs w:val="20"/>
          <w:lang w:val="en-GB"/>
        </w:rPr>
        <w:t xml:space="preserve"> </w:t>
      </w:r>
      <w:r w:rsidRPr="001E5654">
        <w:rPr>
          <w:rFonts w:ascii="Arial" w:hAnsi="Arial" w:cs="Arial"/>
          <w:color w:val="000000" w:themeColor="text1"/>
          <w:sz w:val="20"/>
          <w:szCs w:val="20"/>
          <w:lang w:val="en-GB"/>
        </w:rPr>
        <w:t xml:space="preserve">VA Arrangements </w:t>
      </w:r>
      <w:r w:rsidR="007D595B" w:rsidRPr="001E5654">
        <w:rPr>
          <w:rFonts w:ascii="Arial" w:hAnsi="Arial" w:cs="Arial"/>
          <w:color w:val="000000" w:themeColor="text1"/>
          <w:sz w:val="20"/>
          <w:szCs w:val="20"/>
          <w:lang w:val="en-GB"/>
        </w:rPr>
        <w:t xml:space="preserve">could amount to a </w:t>
      </w:r>
      <w:r w:rsidR="00DB3242" w:rsidRPr="001E5654">
        <w:rPr>
          <w:rFonts w:ascii="Arial" w:hAnsi="Arial" w:cs="Arial"/>
          <w:color w:val="000000" w:themeColor="text1"/>
          <w:sz w:val="20"/>
          <w:szCs w:val="20"/>
          <w:lang w:val="en-GB"/>
        </w:rPr>
        <w:t>CIS</w:t>
      </w:r>
      <w:r w:rsidR="005F7A26" w:rsidRPr="001E5654">
        <w:rPr>
          <w:rFonts w:ascii="Arial" w:hAnsi="Arial" w:cs="Arial"/>
          <w:color w:val="000000" w:themeColor="text1"/>
          <w:sz w:val="20"/>
          <w:szCs w:val="20"/>
          <w:lang w:val="en-GB"/>
        </w:rPr>
        <w:t xml:space="preserve"> in Hong Kong</w:t>
      </w:r>
      <w:r w:rsidR="00DB3242" w:rsidRPr="001E5654">
        <w:rPr>
          <w:rFonts w:ascii="Arial" w:hAnsi="Arial" w:cs="Arial"/>
          <w:color w:val="000000" w:themeColor="text1"/>
          <w:sz w:val="20"/>
          <w:szCs w:val="20"/>
          <w:lang w:val="en-GB"/>
        </w:rPr>
        <w:t xml:space="preserve"> and that it is an offence</w:t>
      </w:r>
      <w:r w:rsidR="000833FC" w:rsidRPr="001E5654">
        <w:rPr>
          <w:rFonts w:ascii="Arial" w:hAnsi="Arial" w:cs="Arial"/>
          <w:color w:val="000000" w:themeColor="text1"/>
          <w:sz w:val="20"/>
          <w:szCs w:val="20"/>
          <w:lang w:val="en-GB"/>
        </w:rPr>
        <w:t xml:space="preserve"> under the </w:t>
      </w:r>
      <w:r w:rsidR="00F90D63" w:rsidRPr="001E5654">
        <w:rPr>
          <w:rFonts w:ascii="Arial" w:hAnsi="Arial" w:cs="Arial"/>
          <w:color w:val="000000" w:themeColor="text1"/>
          <w:sz w:val="20"/>
          <w:szCs w:val="20"/>
          <w:lang w:val="en-GB"/>
        </w:rPr>
        <w:t xml:space="preserve">HK </w:t>
      </w:r>
      <w:r w:rsidR="000833FC" w:rsidRPr="001E5654">
        <w:rPr>
          <w:rFonts w:ascii="Arial" w:hAnsi="Arial" w:cs="Arial"/>
          <w:color w:val="000000" w:themeColor="text1"/>
          <w:sz w:val="20"/>
          <w:szCs w:val="20"/>
          <w:lang w:val="en-GB"/>
        </w:rPr>
        <w:t>SFO for any person</w:t>
      </w:r>
      <w:r w:rsidR="00DB3242" w:rsidRPr="001E5654">
        <w:rPr>
          <w:rFonts w:ascii="Arial" w:hAnsi="Arial" w:cs="Arial"/>
          <w:color w:val="000000" w:themeColor="text1"/>
          <w:sz w:val="20"/>
          <w:szCs w:val="20"/>
          <w:lang w:val="en-GB"/>
        </w:rPr>
        <w:t xml:space="preserve"> </w:t>
      </w:r>
      <w:r w:rsidR="00004560" w:rsidRPr="001E5654">
        <w:rPr>
          <w:rFonts w:ascii="Arial" w:hAnsi="Arial" w:cs="Arial"/>
          <w:color w:val="000000" w:themeColor="text1"/>
          <w:sz w:val="20"/>
          <w:szCs w:val="20"/>
          <w:lang w:val="en-GB"/>
        </w:rPr>
        <w:t>“</w:t>
      </w:r>
      <w:r w:rsidR="00C400AB" w:rsidRPr="001E5654">
        <w:rPr>
          <w:rFonts w:ascii="Arial" w:hAnsi="Arial" w:cs="Arial"/>
          <w:color w:val="000000" w:themeColor="text1"/>
          <w:sz w:val="20"/>
          <w:szCs w:val="20"/>
          <w:lang w:val="en-GB"/>
        </w:rPr>
        <w:t>to issue an</w:t>
      </w:r>
      <w:r w:rsidR="00DB3242" w:rsidRPr="001E5654">
        <w:rPr>
          <w:rFonts w:ascii="Arial" w:hAnsi="Arial" w:cs="Arial"/>
          <w:color w:val="000000" w:themeColor="text1"/>
          <w:sz w:val="20"/>
          <w:szCs w:val="20"/>
          <w:lang w:val="en-GB"/>
        </w:rPr>
        <w:t xml:space="preserve"> advertisement, invitation or d</w:t>
      </w:r>
      <w:r w:rsidR="007D595B" w:rsidRPr="001E5654">
        <w:rPr>
          <w:rFonts w:ascii="Arial" w:hAnsi="Arial" w:cs="Arial"/>
          <w:color w:val="000000" w:themeColor="text1"/>
          <w:sz w:val="20"/>
          <w:szCs w:val="20"/>
          <w:lang w:val="en-GB"/>
        </w:rPr>
        <w:t>ocument which is or contains</w:t>
      </w:r>
      <w:r w:rsidR="00B402C4" w:rsidRPr="001E5654">
        <w:rPr>
          <w:rFonts w:ascii="Arial" w:hAnsi="Arial" w:cs="Arial"/>
          <w:color w:val="000000" w:themeColor="text1"/>
          <w:sz w:val="20"/>
          <w:szCs w:val="20"/>
          <w:lang w:val="en-GB"/>
        </w:rPr>
        <w:t xml:space="preserve"> </w:t>
      </w:r>
      <w:r w:rsidR="007D595B" w:rsidRPr="001E5654">
        <w:rPr>
          <w:rFonts w:ascii="Arial" w:hAnsi="Arial" w:cs="Arial"/>
          <w:color w:val="000000" w:themeColor="text1"/>
          <w:sz w:val="20"/>
          <w:szCs w:val="20"/>
          <w:lang w:val="en-GB"/>
        </w:rPr>
        <w:t>an</w:t>
      </w:r>
      <w:r w:rsidR="00DB3242" w:rsidRPr="001E5654">
        <w:rPr>
          <w:rFonts w:ascii="Arial" w:hAnsi="Arial" w:cs="Arial"/>
          <w:color w:val="000000" w:themeColor="text1"/>
          <w:sz w:val="20"/>
          <w:szCs w:val="20"/>
          <w:lang w:val="en-GB"/>
        </w:rPr>
        <w:t xml:space="preserve"> invitation to the</w:t>
      </w:r>
      <w:r w:rsidR="00C07682" w:rsidRPr="001E5654">
        <w:rPr>
          <w:rFonts w:ascii="Arial" w:hAnsi="Arial" w:cs="Arial"/>
          <w:color w:val="000000" w:themeColor="text1"/>
          <w:sz w:val="20"/>
          <w:szCs w:val="20"/>
          <w:lang w:val="en-GB"/>
        </w:rPr>
        <w:t xml:space="preserve"> Hong Kong public to acquire an</w:t>
      </w:r>
      <w:r w:rsidR="00DB3242" w:rsidRPr="001E5654">
        <w:rPr>
          <w:rFonts w:ascii="Arial" w:hAnsi="Arial" w:cs="Arial"/>
          <w:color w:val="000000" w:themeColor="text1"/>
          <w:sz w:val="20"/>
          <w:szCs w:val="20"/>
          <w:lang w:val="en-GB"/>
        </w:rPr>
        <w:t xml:space="preserve"> interest in or participate in</w:t>
      </w:r>
      <w:r w:rsidRPr="001E5654">
        <w:rPr>
          <w:rFonts w:ascii="Arial" w:hAnsi="Arial" w:cs="Arial"/>
          <w:color w:val="000000" w:themeColor="text1"/>
          <w:sz w:val="20"/>
          <w:szCs w:val="20"/>
          <w:lang w:val="en-GB"/>
        </w:rPr>
        <w:t xml:space="preserve"> </w:t>
      </w:r>
      <w:r w:rsidR="005F7A26" w:rsidRPr="001E5654">
        <w:rPr>
          <w:rFonts w:ascii="Arial" w:hAnsi="Arial" w:cs="Arial"/>
          <w:color w:val="000000" w:themeColor="text1"/>
          <w:sz w:val="20"/>
          <w:szCs w:val="20"/>
          <w:lang w:val="en-GB"/>
        </w:rPr>
        <w:t>the</w:t>
      </w:r>
      <w:r w:rsidRPr="001E5654">
        <w:rPr>
          <w:rFonts w:ascii="Arial" w:hAnsi="Arial" w:cs="Arial"/>
          <w:color w:val="000000" w:themeColor="text1"/>
          <w:sz w:val="20"/>
          <w:szCs w:val="20"/>
          <w:lang w:val="en-GB"/>
        </w:rPr>
        <w:t xml:space="preserve"> CIS</w:t>
      </w:r>
      <w:r w:rsidR="00004560" w:rsidRPr="001E5654">
        <w:rPr>
          <w:rFonts w:ascii="Arial" w:hAnsi="Arial" w:cs="Arial"/>
          <w:color w:val="000000" w:themeColor="text1"/>
          <w:sz w:val="20"/>
          <w:szCs w:val="20"/>
          <w:lang w:val="en-GB"/>
        </w:rPr>
        <w:t>”</w:t>
      </w:r>
      <w:r w:rsidR="00417878" w:rsidRPr="001E5654">
        <w:rPr>
          <w:rStyle w:val="a6"/>
          <w:rFonts w:ascii="Arial" w:hAnsi="Arial" w:cs="Arial"/>
          <w:color w:val="000000" w:themeColor="text1"/>
          <w:sz w:val="20"/>
          <w:szCs w:val="20"/>
          <w:lang w:val="en-GB"/>
        </w:rPr>
        <w:footnoteReference w:id="8"/>
      </w:r>
      <w:r w:rsidR="007D595B" w:rsidRPr="001E5654">
        <w:rPr>
          <w:rFonts w:ascii="Arial" w:hAnsi="Arial" w:cs="Arial"/>
          <w:color w:val="000000" w:themeColor="text1"/>
          <w:sz w:val="20"/>
          <w:szCs w:val="20"/>
          <w:lang w:val="en-GB"/>
        </w:rPr>
        <w:t xml:space="preserve"> unless authorised or exempted, </w:t>
      </w:r>
      <w:r w:rsidRPr="001E5654">
        <w:rPr>
          <w:rFonts w:ascii="Arial" w:hAnsi="Arial" w:cs="Arial"/>
          <w:color w:val="000000" w:themeColor="text1"/>
          <w:sz w:val="20"/>
          <w:szCs w:val="20"/>
          <w:lang w:val="en-GB"/>
        </w:rPr>
        <w:t xml:space="preserve">and </w:t>
      </w:r>
      <w:r w:rsidR="000833FC" w:rsidRPr="001E5654">
        <w:rPr>
          <w:rFonts w:ascii="Arial" w:hAnsi="Arial" w:cs="Arial"/>
          <w:color w:val="000000" w:themeColor="text1"/>
          <w:sz w:val="20"/>
          <w:szCs w:val="20"/>
          <w:lang w:val="en-GB"/>
        </w:rPr>
        <w:t>“</w:t>
      </w:r>
      <w:r w:rsidRPr="001E5654">
        <w:rPr>
          <w:rFonts w:ascii="Arial" w:hAnsi="Arial" w:cs="Arial"/>
          <w:color w:val="000000" w:themeColor="text1"/>
          <w:sz w:val="20"/>
          <w:szCs w:val="20"/>
          <w:lang w:val="en-GB"/>
        </w:rPr>
        <w:t>to carry on a business of marketing or distributing interests in a CIS in Hong Kong or targeting Hong Kong investors without an SFC</w:t>
      </w:r>
      <w:r w:rsidR="00C07682" w:rsidRPr="001E5654">
        <w:rPr>
          <w:rFonts w:ascii="Arial" w:hAnsi="Arial" w:cs="Arial"/>
          <w:color w:val="000000" w:themeColor="text1"/>
          <w:sz w:val="20"/>
          <w:szCs w:val="20"/>
          <w:lang w:val="en-GB"/>
        </w:rPr>
        <w:t xml:space="preserve"> licenc</w:t>
      </w:r>
      <w:r w:rsidRPr="001E5654">
        <w:rPr>
          <w:rFonts w:ascii="Arial" w:hAnsi="Arial" w:cs="Arial"/>
          <w:color w:val="000000" w:themeColor="text1"/>
          <w:sz w:val="20"/>
          <w:szCs w:val="20"/>
          <w:lang w:val="en-GB"/>
        </w:rPr>
        <w:t>e</w:t>
      </w:r>
      <w:r w:rsidR="00004560" w:rsidRPr="001E5654">
        <w:rPr>
          <w:rFonts w:ascii="Arial" w:hAnsi="Arial" w:cs="Arial"/>
          <w:color w:val="000000" w:themeColor="text1"/>
          <w:sz w:val="20"/>
          <w:szCs w:val="20"/>
          <w:lang w:val="en-GB"/>
        </w:rPr>
        <w:t>”</w:t>
      </w:r>
      <w:r w:rsidR="00417878" w:rsidRPr="001E5654">
        <w:rPr>
          <w:rStyle w:val="a6"/>
          <w:rFonts w:ascii="Arial" w:hAnsi="Arial" w:cs="Arial"/>
          <w:color w:val="000000" w:themeColor="text1"/>
          <w:sz w:val="20"/>
          <w:szCs w:val="20"/>
          <w:lang w:val="en-GB"/>
        </w:rPr>
        <w:footnoteReference w:id="9"/>
      </w:r>
      <w:r w:rsidR="007D595B" w:rsidRPr="001E5654">
        <w:rPr>
          <w:rFonts w:ascii="Arial" w:hAnsi="Arial" w:cs="Arial"/>
          <w:color w:val="000000" w:themeColor="text1"/>
          <w:sz w:val="20"/>
          <w:szCs w:val="20"/>
          <w:lang w:val="en-GB"/>
        </w:rPr>
        <w:t xml:space="preserve"> unless exempted</w:t>
      </w:r>
      <w:r w:rsidR="00002727" w:rsidRPr="001E5654">
        <w:rPr>
          <w:rFonts w:ascii="Arial" w:hAnsi="Arial" w:cs="Arial"/>
          <w:color w:val="000000" w:themeColor="text1"/>
          <w:sz w:val="20"/>
          <w:szCs w:val="20"/>
          <w:lang w:val="en-GB"/>
        </w:rPr>
        <w:t>.</w:t>
      </w:r>
    </w:p>
    <w:p w14:paraId="3D194DD4" w14:textId="77777777" w:rsidR="00DB3242" w:rsidRPr="003317DE" w:rsidRDefault="00582843" w:rsidP="003317DE">
      <w:pPr>
        <w:jc w:val="both"/>
        <w:rPr>
          <w:rFonts w:ascii="Arial" w:hAnsi="Arial" w:cs="Arial"/>
          <w:color w:val="000000" w:themeColor="text1"/>
          <w:sz w:val="20"/>
          <w:szCs w:val="20"/>
          <w:lang w:val="en-GB"/>
        </w:rPr>
      </w:pPr>
      <w:r w:rsidRPr="001E5654">
        <w:rPr>
          <w:rFonts w:ascii="Arial" w:hAnsi="Arial" w:cs="Arial"/>
          <w:color w:val="000000" w:themeColor="text1"/>
          <w:sz w:val="20"/>
          <w:szCs w:val="20"/>
          <w:lang w:val="en-GB"/>
        </w:rPr>
        <w:t xml:space="preserve">The SFC also </w:t>
      </w:r>
      <w:r w:rsidR="007E6A80" w:rsidRPr="001E5654">
        <w:rPr>
          <w:rFonts w:ascii="Arial" w:hAnsi="Arial" w:cs="Arial"/>
          <w:color w:val="000000" w:themeColor="text1"/>
          <w:sz w:val="20"/>
          <w:szCs w:val="20"/>
          <w:lang w:val="en-GB"/>
        </w:rPr>
        <w:t>expressed</w:t>
      </w:r>
      <w:r w:rsidRPr="001E5654">
        <w:rPr>
          <w:rFonts w:ascii="Arial" w:hAnsi="Arial" w:cs="Arial"/>
          <w:color w:val="000000" w:themeColor="text1"/>
          <w:sz w:val="20"/>
          <w:szCs w:val="20"/>
          <w:lang w:val="en-GB"/>
        </w:rPr>
        <w:t xml:space="preserve"> its commitment to “take robust enforcement action promptly to safeguard investors’ interests” and advised both investors and parties engaging in VA Arrangements</w:t>
      </w:r>
      <w:r w:rsidR="0092177F" w:rsidRPr="001E5654">
        <w:rPr>
          <w:rFonts w:ascii="Arial" w:hAnsi="Arial" w:cs="Arial"/>
          <w:color w:val="000000" w:themeColor="text1"/>
          <w:sz w:val="20"/>
          <w:szCs w:val="20"/>
          <w:lang w:val="en-GB"/>
        </w:rPr>
        <w:t xml:space="preserve"> in Hong Kong</w:t>
      </w:r>
      <w:r w:rsidRPr="001E5654">
        <w:rPr>
          <w:rFonts w:ascii="Arial" w:hAnsi="Arial" w:cs="Arial"/>
          <w:color w:val="000000" w:themeColor="text1"/>
          <w:sz w:val="20"/>
          <w:szCs w:val="20"/>
          <w:lang w:val="en-GB"/>
        </w:rPr>
        <w:t xml:space="preserve"> to seek professional advice if they are in doubt about their</w:t>
      </w:r>
      <w:r w:rsidR="00204325" w:rsidRPr="001E5654">
        <w:rPr>
          <w:rFonts w:ascii="Arial" w:hAnsi="Arial" w:cs="Arial"/>
          <w:color w:val="000000" w:themeColor="text1"/>
          <w:sz w:val="20"/>
          <w:szCs w:val="20"/>
          <w:lang w:val="en-GB"/>
        </w:rPr>
        <w:t xml:space="preserve"> VA Arrangements’</w:t>
      </w:r>
      <w:r w:rsidRPr="001E5654">
        <w:rPr>
          <w:rFonts w:ascii="Arial" w:hAnsi="Arial" w:cs="Arial"/>
          <w:color w:val="000000" w:themeColor="text1"/>
          <w:sz w:val="20"/>
          <w:szCs w:val="20"/>
          <w:lang w:val="en-GB"/>
        </w:rPr>
        <w:t xml:space="preserve"> n</w:t>
      </w:r>
      <w:r w:rsidR="00002727" w:rsidRPr="001E5654">
        <w:rPr>
          <w:rFonts w:ascii="Arial" w:hAnsi="Arial" w:cs="Arial"/>
          <w:color w:val="000000" w:themeColor="text1"/>
          <w:sz w:val="20"/>
          <w:szCs w:val="20"/>
          <w:lang w:val="en-GB"/>
        </w:rPr>
        <w:t>ature and/or regulatory status</w:t>
      </w:r>
      <w:r w:rsidR="005F7A26" w:rsidRPr="001E5654">
        <w:rPr>
          <w:rFonts w:ascii="Arial" w:hAnsi="Arial" w:cs="Arial"/>
          <w:color w:val="000000" w:themeColor="text1"/>
          <w:sz w:val="20"/>
          <w:szCs w:val="20"/>
          <w:lang w:val="en-GB"/>
        </w:rPr>
        <w:t xml:space="preserve"> in Hong Kong</w:t>
      </w:r>
      <w:r w:rsidR="00002727" w:rsidRPr="001E5654">
        <w:rPr>
          <w:rFonts w:ascii="Arial" w:hAnsi="Arial" w:cs="Arial"/>
          <w:color w:val="000000" w:themeColor="text1"/>
          <w:sz w:val="20"/>
          <w:szCs w:val="20"/>
          <w:lang w:val="en-GB"/>
        </w:rPr>
        <w:t>.</w:t>
      </w:r>
    </w:p>
    <w:p w14:paraId="687AAF70" w14:textId="77777777" w:rsidR="00386701" w:rsidRPr="00A41F57" w:rsidRDefault="00386701" w:rsidP="00386701">
      <w:pPr>
        <w:pStyle w:val="DisclaimerBold"/>
        <w:rPr>
          <w:rFonts w:ascii="Helvetica" w:hAnsi="Helvetica"/>
        </w:rPr>
      </w:pPr>
      <w:r w:rsidRPr="00F05494">
        <w:rPr>
          <w:rFonts w:ascii="Helvetica" w:hAnsi="Helvetica"/>
        </w:rPr>
        <w:t>This newsletter is for information purposes only.</w:t>
      </w:r>
    </w:p>
    <w:p w14:paraId="45A94D47" w14:textId="77777777" w:rsidR="00386701" w:rsidRPr="00F05494" w:rsidRDefault="00386701" w:rsidP="00386701">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0B0684B9" w14:textId="77777777" w:rsidR="00386701" w:rsidRPr="00F05494" w:rsidRDefault="00386701" w:rsidP="00386701">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141E5E37" w14:textId="77777777" w:rsidR="00386701" w:rsidRPr="00F05494" w:rsidRDefault="00386701" w:rsidP="00386701">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6C110F83" w14:textId="77777777" w:rsidR="00386701" w:rsidRPr="00F05494" w:rsidRDefault="00386701" w:rsidP="00386701">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1">
        <w:r w:rsidRPr="00F05494">
          <w:rPr>
            <w:rFonts w:ascii="Helvetica" w:hAnsi="Helvetica"/>
          </w:rPr>
          <w:t>unsubscribe@charltonslaw.com</w:t>
        </w:r>
      </w:hyperlink>
    </w:p>
    <w:p w14:paraId="0ECB97DC" w14:textId="2D487611" w:rsidR="002F0FF7" w:rsidRPr="00386701" w:rsidRDefault="00386701" w:rsidP="00386701">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89722F">
        <w:rPr>
          <w:rFonts w:ascii="Helvetica" w:hAnsi="Helvetica"/>
        </w:rPr>
        <w:t>30</w:t>
      </w:r>
      <w:r w:rsidRPr="00F05494">
        <w:rPr>
          <w:rFonts w:ascii="Helvetica" w:hAnsi="Helvetica"/>
        </w:rPr>
        <w:t xml:space="preserve"> </w:t>
      </w:r>
      <w:r>
        <w:rPr>
          <w:rFonts w:ascii="Helvetica" w:hAnsi="Helvetica"/>
        </w:rPr>
        <w:t>December</w:t>
      </w:r>
      <w:r w:rsidRPr="00F05494">
        <w:rPr>
          <w:rFonts w:ascii="Helvetica" w:hAnsi="Helvetica"/>
        </w:rPr>
        <w:t xml:space="preserve"> 202</w:t>
      </w:r>
      <w:r>
        <w:rPr>
          <w:rFonts w:ascii="Helvetica" w:hAnsi="Helvetica"/>
        </w:rPr>
        <w:t>2</w:t>
      </w:r>
    </w:p>
    <w:sectPr w:rsidR="002F0FF7" w:rsidRPr="003867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7DA6" w14:textId="77777777" w:rsidR="00186B4C" w:rsidRDefault="00186B4C" w:rsidP="00A05FFB">
      <w:pPr>
        <w:spacing w:after="0" w:line="240" w:lineRule="auto"/>
      </w:pPr>
      <w:r>
        <w:separator/>
      </w:r>
    </w:p>
  </w:endnote>
  <w:endnote w:type="continuationSeparator" w:id="0">
    <w:p w14:paraId="3FCD8422" w14:textId="77777777" w:rsidR="00186B4C" w:rsidRDefault="00186B4C" w:rsidP="00A0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58CC" w14:textId="77777777" w:rsidR="00186B4C" w:rsidRDefault="00186B4C" w:rsidP="00A05FFB">
      <w:pPr>
        <w:spacing w:after="0" w:line="240" w:lineRule="auto"/>
      </w:pPr>
      <w:r>
        <w:separator/>
      </w:r>
    </w:p>
  </w:footnote>
  <w:footnote w:type="continuationSeparator" w:id="0">
    <w:p w14:paraId="73BF0D96" w14:textId="77777777" w:rsidR="00186B4C" w:rsidRDefault="00186B4C" w:rsidP="00A05FFB">
      <w:pPr>
        <w:spacing w:after="0" w:line="240" w:lineRule="auto"/>
      </w:pPr>
      <w:r>
        <w:continuationSeparator/>
      </w:r>
    </w:p>
  </w:footnote>
  <w:footnote w:id="1">
    <w:p w14:paraId="6A58C483" w14:textId="77777777" w:rsidR="002F0FF7" w:rsidRDefault="002F0FF7" w:rsidP="002F0FF7">
      <w:pPr>
        <w:pStyle w:val="a4"/>
      </w:pPr>
      <w:r w:rsidRPr="00E63A74">
        <w:rPr>
          <w:rStyle w:val="a6"/>
          <w:sz w:val="16"/>
          <w:szCs w:val="16"/>
        </w:rPr>
        <w:footnoteRef/>
      </w:r>
      <w:r>
        <w:t xml:space="preserve"> </w:t>
      </w:r>
      <w:r w:rsidRPr="00E63A74">
        <w:rPr>
          <w:rFonts w:ascii="Arial" w:hAnsi="Arial" w:cs="Arial"/>
          <w:color w:val="000000" w:themeColor="text1"/>
          <w:sz w:val="16"/>
          <w:szCs w:val="16"/>
        </w:rPr>
        <w:t>All quotations taken from this section are from the Report</w:t>
      </w:r>
    </w:p>
  </w:footnote>
  <w:footnote w:id="2">
    <w:p w14:paraId="6A77CD06" w14:textId="77777777" w:rsidR="002F0FF7" w:rsidRDefault="002F0FF7" w:rsidP="002F0FF7">
      <w:pPr>
        <w:pStyle w:val="a4"/>
      </w:pPr>
      <w:r>
        <w:rPr>
          <w:rStyle w:val="a6"/>
        </w:rPr>
        <w:footnoteRef/>
      </w:r>
      <w:r>
        <w:t xml:space="preserve"> </w:t>
      </w:r>
      <w:r>
        <w:rPr>
          <w:rFonts w:ascii="Arial" w:hAnsi="Arial" w:cs="Arial"/>
          <w:color w:val="000000" w:themeColor="text1"/>
          <w:sz w:val="16"/>
          <w:szCs w:val="16"/>
        </w:rPr>
        <w:t>F</w:t>
      </w:r>
      <w:r w:rsidRPr="00FD062F">
        <w:rPr>
          <w:rFonts w:ascii="Arial" w:hAnsi="Arial" w:cs="Arial"/>
          <w:color w:val="000000" w:themeColor="text1"/>
          <w:sz w:val="16"/>
          <w:szCs w:val="16"/>
        </w:rPr>
        <w:t xml:space="preserve">or details of the </w:t>
      </w:r>
      <w:hyperlink r:id="rId1" w:history="1">
        <w:r w:rsidRPr="00FD062F">
          <w:rPr>
            <w:rStyle w:val="a7"/>
            <w:rFonts w:ascii="Arial" w:hAnsi="Arial" w:cs="Arial"/>
            <w:sz w:val="16"/>
            <w:szCs w:val="16"/>
          </w:rPr>
          <w:t>VASP requirements please see Hong Kong Licensing Regime for Virtual Asset Exchanges to Take Effect on 1 March 2023</w:t>
        </w:r>
      </w:hyperlink>
      <w:r>
        <w:rPr>
          <w:rFonts w:ascii="Arial" w:hAnsi="Arial" w:cs="Arial"/>
          <w:color w:val="000000" w:themeColor="text1"/>
          <w:sz w:val="16"/>
          <w:szCs w:val="16"/>
        </w:rPr>
        <w:t xml:space="preserve"> </w:t>
      </w:r>
    </w:p>
  </w:footnote>
  <w:footnote w:id="3">
    <w:p w14:paraId="11014D8D" w14:textId="72C64D73" w:rsidR="002F0FF7" w:rsidRPr="003C2065" w:rsidRDefault="002F0FF7" w:rsidP="002F0FF7">
      <w:pPr>
        <w:pStyle w:val="a4"/>
        <w:rPr>
          <w:rFonts w:ascii="Arial" w:hAnsi="Arial" w:cs="Arial"/>
          <w:sz w:val="16"/>
          <w:szCs w:val="16"/>
        </w:rPr>
      </w:pPr>
      <w:r w:rsidRPr="003C2065">
        <w:rPr>
          <w:rStyle w:val="a6"/>
          <w:rFonts w:ascii="Arial" w:hAnsi="Arial" w:cs="Arial"/>
          <w:sz w:val="16"/>
          <w:szCs w:val="16"/>
        </w:rPr>
        <w:footnoteRef/>
      </w:r>
      <w:r w:rsidRPr="003C2065">
        <w:rPr>
          <w:rFonts w:ascii="Arial" w:hAnsi="Arial" w:cs="Arial"/>
          <w:sz w:val="16"/>
          <w:szCs w:val="16"/>
        </w:rPr>
        <w:t xml:space="preserve"> </w:t>
      </w:r>
      <w:r>
        <w:rPr>
          <w:rFonts w:ascii="Arial" w:hAnsi="Arial" w:cs="Arial"/>
          <w:color w:val="000000" w:themeColor="text1"/>
          <w:sz w:val="16"/>
          <w:szCs w:val="16"/>
        </w:rPr>
        <w:t>See the proposed S</w:t>
      </w:r>
      <w:r w:rsidRPr="003C2065">
        <w:rPr>
          <w:rFonts w:ascii="Arial" w:hAnsi="Arial" w:cs="Arial"/>
          <w:color w:val="000000" w:themeColor="text1"/>
          <w:sz w:val="16"/>
          <w:szCs w:val="16"/>
        </w:rPr>
        <w:t xml:space="preserve">ections 53ZRD to 53ZRG of the </w:t>
      </w:r>
      <w:r>
        <w:rPr>
          <w:rFonts w:ascii="Arial" w:hAnsi="Arial" w:cs="Arial"/>
          <w:color w:val="000000" w:themeColor="text1"/>
          <w:sz w:val="16"/>
          <w:szCs w:val="16"/>
        </w:rPr>
        <w:t>HK AML/CTF</w:t>
      </w:r>
      <w:r w:rsidR="00C17C28">
        <w:rPr>
          <w:rFonts w:ascii="Arial" w:hAnsi="Arial" w:cs="Arial"/>
          <w:color w:val="000000" w:themeColor="text1"/>
          <w:sz w:val="16"/>
          <w:szCs w:val="16"/>
        </w:rPr>
        <w:t xml:space="preserve"> (Amendment)</w:t>
      </w:r>
      <w:r>
        <w:rPr>
          <w:rFonts w:ascii="Arial" w:hAnsi="Arial" w:cs="Arial"/>
          <w:color w:val="000000" w:themeColor="text1"/>
          <w:sz w:val="16"/>
          <w:szCs w:val="16"/>
        </w:rPr>
        <w:t xml:space="preserve"> Bill</w:t>
      </w:r>
      <w:r w:rsidR="00EE6CBC">
        <w:rPr>
          <w:rFonts w:ascii="Arial" w:hAnsi="Arial" w:cs="Arial"/>
          <w:color w:val="000000" w:themeColor="text1"/>
          <w:sz w:val="16"/>
          <w:szCs w:val="16"/>
        </w:rPr>
        <w:t xml:space="preserve"> 2022</w:t>
      </w:r>
    </w:p>
  </w:footnote>
  <w:footnote w:id="4">
    <w:p w14:paraId="7A08E30D" w14:textId="14EA263C" w:rsidR="002F0FF7" w:rsidRDefault="002F0FF7" w:rsidP="002F0FF7">
      <w:pPr>
        <w:pStyle w:val="a4"/>
      </w:pPr>
      <w:r w:rsidRPr="003C2065">
        <w:rPr>
          <w:rStyle w:val="a6"/>
          <w:rFonts w:ascii="Arial" w:hAnsi="Arial" w:cs="Arial"/>
          <w:sz w:val="16"/>
          <w:szCs w:val="16"/>
        </w:rPr>
        <w:footnoteRef/>
      </w:r>
      <w:r w:rsidRPr="003C2065">
        <w:rPr>
          <w:rFonts w:ascii="Arial" w:hAnsi="Arial" w:cs="Arial"/>
          <w:sz w:val="16"/>
          <w:szCs w:val="16"/>
        </w:rPr>
        <w:t xml:space="preserve"> </w:t>
      </w:r>
      <w:r>
        <w:rPr>
          <w:rFonts w:ascii="Arial" w:hAnsi="Arial" w:cs="Arial"/>
          <w:color w:val="000000" w:themeColor="text1"/>
          <w:sz w:val="16"/>
          <w:szCs w:val="16"/>
        </w:rPr>
        <w:t>See the proposed S</w:t>
      </w:r>
      <w:r w:rsidRPr="003C2065">
        <w:rPr>
          <w:rFonts w:ascii="Arial" w:hAnsi="Arial" w:cs="Arial"/>
          <w:color w:val="000000" w:themeColor="text1"/>
          <w:sz w:val="16"/>
          <w:szCs w:val="16"/>
        </w:rPr>
        <w:t xml:space="preserve">ections  53ZTX and Schedule 3G of the </w:t>
      </w:r>
      <w:r>
        <w:rPr>
          <w:rFonts w:ascii="Arial" w:hAnsi="Arial" w:cs="Arial"/>
          <w:color w:val="000000" w:themeColor="text1"/>
          <w:sz w:val="16"/>
          <w:szCs w:val="16"/>
        </w:rPr>
        <w:t>HK AML/CTF</w:t>
      </w:r>
      <w:r w:rsidR="00C17C28">
        <w:rPr>
          <w:rFonts w:ascii="Arial" w:hAnsi="Arial" w:cs="Arial"/>
          <w:color w:val="000000" w:themeColor="text1"/>
          <w:sz w:val="16"/>
          <w:szCs w:val="16"/>
        </w:rPr>
        <w:t xml:space="preserve"> (Amendment) </w:t>
      </w:r>
      <w:r w:rsidRPr="003C2065">
        <w:rPr>
          <w:rFonts w:ascii="Arial" w:hAnsi="Arial" w:cs="Arial"/>
          <w:color w:val="000000" w:themeColor="text1"/>
          <w:sz w:val="16"/>
          <w:szCs w:val="16"/>
        </w:rPr>
        <w:t>Bill</w:t>
      </w:r>
      <w:r w:rsidR="00EE6CBC">
        <w:rPr>
          <w:rFonts w:ascii="Arial" w:hAnsi="Arial" w:cs="Arial"/>
          <w:color w:val="000000" w:themeColor="text1"/>
          <w:sz w:val="16"/>
          <w:szCs w:val="16"/>
        </w:rPr>
        <w:t xml:space="preserve"> 2022</w:t>
      </w:r>
      <w:r>
        <w:rPr>
          <w:color w:val="000000" w:themeColor="text1"/>
        </w:rPr>
        <w:t xml:space="preserve"> </w:t>
      </w:r>
    </w:p>
  </w:footnote>
  <w:footnote w:id="5">
    <w:p w14:paraId="41FB58D7" w14:textId="38608421" w:rsidR="002F0FF7" w:rsidRDefault="002F0FF7" w:rsidP="002F0FF7">
      <w:pPr>
        <w:pStyle w:val="a4"/>
      </w:pPr>
      <w:r>
        <w:rPr>
          <w:rStyle w:val="a6"/>
        </w:rPr>
        <w:footnoteRef/>
      </w:r>
      <w:r>
        <w:t xml:space="preserve"> </w:t>
      </w:r>
      <w:r w:rsidRPr="00002727">
        <w:rPr>
          <w:rFonts w:ascii="Arial" w:hAnsi="Arial" w:cs="Arial"/>
          <w:color w:val="000000" w:themeColor="text1"/>
          <w:sz w:val="16"/>
          <w:szCs w:val="16"/>
        </w:rPr>
        <w:t xml:space="preserve">See the proposed Schedule 3G, Part 3(2) of the </w:t>
      </w:r>
      <w:r>
        <w:rPr>
          <w:rFonts w:ascii="Arial" w:hAnsi="Arial" w:cs="Arial"/>
          <w:color w:val="000000" w:themeColor="text1"/>
          <w:sz w:val="16"/>
          <w:szCs w:val="16"/>
        </w:rPr>
        <w:t xml:space="preserve">HK AML/CTF </w:t>
      </w:r>
      <w:r w:rsidR="00C17C28">
        <w:rPr>
          <w:rFonts w:ascii="Arial" w:hAnsi="Arial" w:cs="Arial"/>
          <w:color w:val="000000" w:themeColor="text1"/>
          <w:sz w:val="16"/>
          <w:szCs w:val="16"/>
        </w:rPr>
        <w:t xml:space="preserve">( Amendment) </w:t>
      </w:r>
      <w:r>
        <w:rPr>
          <w:rFonts w:ascii="Arial" w:hAnsi="Arial" w:cs="Arial"/>
          <w:color w:val="000000" w:themeColor="text1"/>
          <w:sz w:val="16"/>
          <w:szCs w:val="16"/>
        </w:rPr>
        <w:t>Bill</w:t>
      </w:r>
      <w:r w:rsidR="00EE6CBC">
        <w:rPr>
          <w:rFonts w:ascii="Arial" w:hAnsi="Arial" w:cs="Arial"/>
          <w:color w:val="000000" w:themeColor="text1"/>
          <w:sz w:val="16"/>
          <w:szCs w:val="16"/>
        </w:rPr>
        <w:t xml:space="preserve"> 2022</w:t>
      </w:r>
    </w:p>
  </w:footnote>
  <w:footnote w:id="6">
    <w:p w14:paraId="628C1854" w14:textId="77777777" w:rsidR="00A05FFB" w:rsidRPr="00C07682" w:rsidRDefault="00A05FFB">
      <w:pPr>
        <w:pStyle w:val="a4"/>
        <w:rPr>
          <w:rFonts w:ascii="Arial" w:hAnsi="Arial" w:cs="Arial"/>
          <w:sz w:val="16"/>
          <w:szCs w:val="16"/>
        </w:rPr>
      </w:pPr>
      <w:r w:rsidRPr="00C07682">
        <w:rPr>
          <w:rStyle w:val="a6"/>
          <w:rFonts w:ascii="Arial" w:hAnsi="Arial" w:cs="Arial"/>
          <w:sz w:val="16"/>
          <w:szCs w:val="16"/>
        </w:rPr>
        <w:footnoteRef/>
      </w:r>
      <w:r w:rsidRPr="00C07682">
        <w:rPr>
          <w:rFonts w:ascii="Arial" w:hAnsi="Arial" w:cs="Arial"/>
          <w:sz w:val="16"/>
          <w:szCs w:val="16"/>
        </w:rPr>
        <w:t xml:space="preserve"> </w:t>
      </w:r>
      <w:r w:rsidR="00BF5CCA" w:rsidRPr="00C07682">
        <w:rPr>
          <w:rFonts w:ascii="Arial" w:hAnsi="Arial" w:cs="Arial"/>
          <w:sz w:val="16"/>
          <w:szCs w:val="16"/>
        </w:rPr>
        <w:t>In particular those offering high interest rates or a “daily generation of additional virtual assets at a guaranteed fixed rate” where deposits are subsequently put on-lend to third parties for use in investments or other activities.</w:t>
      </w:r>
    </w:p>
  </w:footnote>
  <w:footnote w:id="7">
    <w:p w14:paraId="338E41C2" w14:textId="75C98EEE" w:rsidR="00BF5CCA" w:rsidRPr="00C07682" w:rsidRDefault="00BF5CCA">
      <w:pPr>
        <w:pStyle w:val="a4"/>
        <w:rPr>
          <w:rFonts w:ascii="Arial" w:hAnsi="Arial" w:cs="Arial"/>
          <w:sz w:val="16"/>
          <w:szCs w:val="16"/>
        </w:rPr>
      </w:pPr>
      <w:r w:rsidRPr="00C07682">
        <w:rPr>
          <w:rStyle w:val="a6"/>
          <w:rFonts w:ascii="Arial" w:hAnsi="Arial" w:cs="Arial"/>
          <w:sz w:val="16"/>
          <w:szCs w:val="16"/>
        </w:rPr>
        <w:footnoteRef/>
      </w:r>
      <w:r w:rsidRPr="00C07682">
        <w:rPr>
          <w:rFonts w:ascii="Arial" w:hAnsi="Arial" w:cs="Arial"/>
          <w:sz w:val="16"/>
          <w:szCs w:val="16"/>
        </w:rPr>
        <w:t xml:space="preserve"> All quotations are taken from the SFC Statement </w:t>
      </w:r>
    </w:p>
  </w:footnote>
  <w:footnote w:id="8">
    <w:p w14:paraId="737D70E3" w14:textId="77777777" w:rsidR="00E05904" w:rsidRPr="00C07682" w:rsidRDefault="00417878">
      <w:pPr>
        <w:pStyle w:val="a4"/>
        <w:rPr>
          <w:rFonts w:ascii="Arial" w:hAnsi="Arial" w:cs="Arial"/>
          <w:sz w:val="16"/>
          <w:szCs w:val="16"/>
        </w:rPr>
      </w:pPr>
      <w:r w:rsidRPr="00C07682">
        <w:rPr>
          <w:rStyle w:val="a6"/>
          <w:rFonts w:ascii="Arial" w:hAnsi="Arial" w:cs="Arial"/>
          <w:sz w:val="16"/>
          <w:szCs w:val="16"/>
        </w:rPr>
        <w:footnoteRef/>
      </w:r>
      <w:r w:rsidRPr="00C07682">
        <w:rPr>
          <w:rFonts w:ascii="Arial" w:hAnsi="Arial" w:cs="Arial"/>
          <w:sz w:val="16"/>
          <w:szCs w:val="16"/>
        </w:rPr>
        <w:t xml:space="preserve"> </w:t>
      </w:r>
      <w:r w:rsidR="00E05904" w:rsidRPr="00C07682">
        <w:rPr>
          <w:rFonts w:ascii="Arial" w:hAnsi="Arial" w:cs="Arial"/>
          <w:sz w:val="16"/>
          <w:szCs w:val="16"/>
        </w:rPr>
        <w:t>Section 103(1)(b) of the</w:t>
      </w:r>
      <w:r w:rsidR="00F90D63">
        <w:rPr>
          <w:rFonts w:ascii="Arial" w:hAnsi="Arial" w:cs="Arial"/>
          <w:sz w:val="16"/>
          <w:szCs w:val="16"/>
        </w:rPr>
        <w:t xml:space="preserve"> HK</w:t>
      </w:r>
      <w:r w:rsidR="00E05904" w:rsidRPr="00C07682">
        <w:rPr>
          <w:rFonts w:ascii="Arial" w:hAnsi="Arial" w:cs="Arial"/>
          <w:sz w:val="16"/>
          <w:szCs w:val="16"/>
        </w:rPr>
        <w:t xml:space="preserve"> SFO </w:t>
      </w:r>
    </w:p>
  </w:footnote>
  <w:footnote w:id="9">
    <w:p w14:paraId="2E60A442" w14:textId="77777777" w:rsidR="00417878" w:rsidRPr="00C07682" w:rsidRDefault="00417878">
      <w:pPr>
        <w:pStyle w:val="a4"/>
        <w:rPr>
          <w:rFonts w:ascii="Arial" w:hAnsi="Arial" w:cs="Arial"/>
          <w:sz w:val="16"/>
          <w:szCs w:val="16"/>
        </w:rPr>
      </w:pPr>
      <w:r w:rsidRPr="00C07682">
        <w:rPr>
          <w:rStyle w:val="a6"/>
          <w:rFonts w:ascii="Arial" w:hAnsi="Arial" w:cs="Arial"/>
          <w:sz w:val="16"/>
          <w:szCs w:val="16"/>
        </w:rPr>
        <w:footnoteRef/>
      </w:r>
      <w:r w:rsidRPr="00C07682">
        <w:rPr>
          <w:rFonts w:ascii="Arial" w:hAnsi="Arial" w:cs="Arial"/>
          <w:sz w:val="16"/>
          <w:szCs w:val="16"/>
        </w:rPr>
        <w:t xml:space="preserve"> </w:t>
      </w:r>
      <w:r w:rsidR="00E05904" w:rsidRPr="00C07682">
        <w:rPr>
          <w:rFonts w:ascii="Arial" w:hAnsi="Arial" w:cs="Arial"/>
          <w:sz w:val="16"/>
          <w:szCs w:val="16"/>
        </w:rPr>
        <w:t xml:space="preserve">Section 114 of the </w:t>
      </w:r>
      <w:r w:rsidR="00F90D63">
        <w:rPr>
          <w:rFonts w:ascii="Arial" w:hAnsi="Arial" w:cs="Arial"/>
          <w:sz w:val="16"/>
          <w:szCs w:val="16"/>
        </w:rPr>
        <w:t xml:space="preserve">HK </w:t>
      </w:r>
      <w:r w:rsidR="00E05904" w:rsidRPr="00C07682">
        <w:rPr>
          <w:rFonts w:ascii="Arial" w:hAnsi="Arial" w:cs="Arial"/>
          <w:sz w:val="16"/>
          <w:szCs w:val="16"/>
        </w:rPr>
        <w:t xml:space="preserve">SFO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7E31"/>
    <w:multiLevelType w:val="hybridMultilevel"/>
    <w:tmpl w:val="F7D2BB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F02612F"/>
    <w:multiLevelType w:val="hybridMultilevel"/>
    <w:tmpl w:val="283A9D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43606837">
    <w:abstractNumId w:val="1"/>
  </w:num>
  <w:num w:numId="2" w16cid:durableId="1342389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C10"/>
    <w:rsid w:val="00002727"/>
    <w:rsid w:val="00004560"/>
    <w:rsid w:val="0003250A"/>
    <w:rsid w:val="000758BE"/>
    <w:rsid w:val="000833FC"/>
    <w:rsid w:val="000A0B1D"/>
    <w:rsid w:val="00126411"/>
    <w:rsid w:val="00143F45"/>
    <w:rsid w:val="00186B4C"/>
    <w:rsid w:val="001C2438"/>
    <w:rsid w:val="001E5654"/>
    <w:rsid w:val="001F5BAE"/>
    <w:rsid w:val="00204325"/>
    <w:rsid w:val="002F0FF7"/>
    <w:rsid w:val="003317DE"/>
    <w:rsid w:val="00386201"/>
    <w:rsid w:val="00386701"/>
    <w:rsid w:val="003C2065"/>
    <w:rsid w:val="003D66B1"/>
    <w:rsid w:val="0040680F"/>
    <w:rsid w:val="004114D4"/>
    <w:rsid w:val="00417878"/>
    <w:rsid w:val="00440598"/>
    <w:rsid w:val="00493AF4"/>
    <w:rsid w:val="00497CDB"/>
    <w:rsid w:val="004A6F2A"/>
    <w:rsid w:val="004B0F53"/>
    <w:rsid w:val="00537F3D"/>
    <w:rsid w:val="00557DFA"/>
    <w:rsid w:val="00582843"/>
    <w:rsid w:val="005A7BE0"/>
    <w:rsid w:val="005C69C2"/>
    <w:rsid w:val="005E778C"/>
    <w:rsid w:val="005F7A26"/>
    <w:rsid w:val="00603A4F"/>
    <w:rsid w:val="00643EB7"/>
    <w:rsid w:val="007459DA"/>
    <w:rsid w:val="0079217B"/>
    <w:rsid w:val="007928B1"/>
    <w:rsid w:val="007D595B"/>
    <w:rsid w:val="007E6A80"/>
    <w:rsid w:val="00800C3A"/>
    <w:rsid w:val="00806C10"/>
    <w:rsid w:val="00812044"/>
    <w:rsid w:val="00814D23"/>
    <w:rsid w:val="008314A9"/>
    <w:rsid w:val="00884067"/>
    <w:rsid w:val="00890A35"/>
    <w:rsid w:val="00892DC7"/>
    <w:rsid w:val="0089722F"/>
    <w:rsid w:val="0092177F"/>
    <w:rsid w:val="009246BF"/>
    <w:rsid w:val="009F1E2A"/>
    <w:rsid w:val="00A05FFB"/>
    <w:rsid w:val="00A124D7"/>
    <w:rsid w:val="00A2762C"/>
    <w:rsid w:val="00B11762"/>
    <w:rsid w:val="00B402C4"/>
    <w:rsid w:val="00B40A35"/>
    <w:rsid w:val="00B46352"/>
    <w:rsid w:val="00B70878"/>
    <w:rsid w:val="00B97CAE"/>
    <w:rsid w:val="00BA6ADC"/>
    <w:rsid w:val="00BC097D"/>
    <w:rsid w:val="00BC6386"/>
    <w:rsid w:val="00BF5CCA"/>
    <w:rsid w:val="00C07682"/>
    <w:rsid w:val="00C17C28"/>
    <w:rsid w:val="00C400AB"/>
    <w:rsid w:val="00C57D2B"/>
    <w:rsid w:val="00CA5CF9"/>
    <w:rsid w:val="00D22E35"/>
    <w:rsid w:val="00D7582C"/>
    <w:rsid w:val="00D8498F"/>
    <w:rsid w:val="00D940A0"/>
    <w:rsid w:val="00DB3242"/>
    <w:rsid w:val="00DE1243"/>
    <w:rsid w:val="00E05904"/>
    <w:rsid w:val="00E63A74"/>
    <w:rsid w:val="00EE6CBC"/>
    <w:rsid w:val="00F0651D"/>
    <w:rsid w:val="00F45BEF"/>
    <w:rsid w:val="00F90D63"/>
    <w:rsid w:val="00FB5C53"/>
    <w:rsid w:val="00FD0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FD30"/>
  <w15:chartTrackingRefBased/>
  <w15:docId w15:val="{EDF435DF-C420-4EC5-9740-817A81F1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80F"/>
    <w:pPr>
      <w:ind w:left="720"/>
      <w:contextualSpacing/>
    </w:pPr>
  </w:style>
  <w:style w:type="paragraph" w:styleId="a4">
    <w:name w:val="footnote text"/>
    <w:basedOn w:val="a"/>
    <w:link w:val="a5"/>
    <w:uiPriority w:val="99"/>
    <w:semiHidden/>
    <w:unhideWhenUsed/>
    <w:rsid w:val="00A05FFB"/>
    <w:pPr>
      <w:spacing w:after="0" w:line="240" w:lineRule="auto"/>
    </w:pPr>
    <w:rPr>
      <w:sz w:val="20"/>
      <w:szCs w:val="20"/>
    </w:rPr>
  </w:style>
  <w:style w:type="character" w:customStyle="1" w:styleId="a5">
    <w:name w:val="Текст сноски Знак"/>
    <w:basedOn w:val="a0"/>
    <w:link w:val="a4"/>
    <w:uiPriority w:val="99"/>
    <w:semiHidden/>
    <w:rsid w:val="00A05FFB"/>
    <w:rPr>
      <w:sz w:val="20"/>
      <w:szCs w:val="20"/>
    </w:rPr>
  </w:style>
  <w:style w:type="character" w:styleId="a6">
    <w:name w:val="footnote reference"/>
    <w:basedOn w:val="a0"/>
    <w:uiPriority w:val="99"/>
    <w:semiHidden/>
    <w:unhideWhenUsed/>
    <w:rsid w:val="00A05FFB"/>
    <w:rPr>
      <w:vertAlign w:val="superscript"/>
    </w:rPr>
  </w:style>
  <w:style w:type="character" w:styleId="a7">
    <w:name w:val="Hyperlink"/>
    <w:basedOn w:val="a0"/>
    <w:uiPriority w:val="99"/>
    <w:unhideWhenUsed/>
    <w:rsid w:val="00417878"/>
    <w:rPr>
      <w:color w:val="0563C1" w:themeColor="hyperlink"/>
      <w:u w:val="single"/>
    </w:rPr>
  </w:style>
  <w:style w:type="character" w:styleId="a8">
    <w:name w:val="annotation reference"/>
    <w:basedOn w:val="a0"/>
    <w:uiPriority w:val="99"/>
    <w:semiHidden/>
    <w:unhideWhenUsed/>
    <w:rsid w:val="003317DE"/>
    <w:rPr>
      <w:sz w:val="16"/>
      <w:szCs w:val="16"/>
    </w:rPr>
  </w:style>
  <w:style w:type="paragraph" w:styleId="a9">
    <w:name w:val="annotation text"/>
    <w:basedOn w:val="a"/>
    <w:link w:val="aa"/>
    <w:uiPriority w:val="99"/>
    <w:semiHidden/>
    <w:unhideWhenUsed/>
    <w:rsid w:val="003317DE"/>
    <w:pPr>
      <w:spacing w:line="240" w:lineRule="auto"/>
    </w:pPr>
    <w:rPr>
      <w:sz w:val="20"/>
      <w:szCs w:val="20"/>
    </w:rPr>
  </w:style>
  <w:style w:type="character" w:customStyle="1" w:styleId="aa">
    <w:name w:val="Текст примечания Знак"/>
    <w:basedOn w:val="a0"/>
    <w:link w:val="a9"/>
    <w:uiPriority w:val="99"/>
    <w:semiHidden/>
    <w:rsid w:val="003317DE"/>
    <w:rPr>
      <w:sz w:val="20"/>
      <w:szCs w:val="20"/>
    </w:rPr>
  </w:style>
  <w:style w:type="paragraph" w:styleId="ab">
    <w:name w:val="annotation subject"/>
    <w:basedOn w:val="a9"/>
    <w:next w:val="a9"/>
    <w:link w:val="ac"/>
    <w:uiPriority w:val="99"/>
    <w:semiHidden/>
    <w:unhideWhenUsed/>
    <w:rsid w:val="003317DE"/>
    <w:rPr>
      <w:b/>
      <w:bCs/>
    </w:rPr>
  </w:style>
  <w:style w:type="character" w:customStyle="1" w:styleId="ac">
    <w:name w:val="Тема примечания Знак"/>
    <w:basedOn w:val="aa"/>
    <w:link w:val="ab"/>
    <w:uiPriority w:val="99"/>
    <w:semiHidden/>
    <w:rsid w:val="003317DE"/>
    <w:rPr>
      <w:b/>
      <w:bCs/>
      <w:sz w:val="20"/>
      <w:szCs w:val="20"/>
    </w:rPr>
  </w:style>
  <w:style w:type="paragraph" w:styleId="ad">
    <w:name w:val="Balloon Text"/>
    <w:basedOn w:val="a"/>
    <w:link w:val="ae"/>
    <w:uiPriority w:val="99"/>
    <w:semiHidden/>
    <w:unhideWhenUsed/>
    <w:rsid w:val="003317D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317DE"/>
    <w:rPr>
      <w:rFonts w:ascii="Segoe UI" w:hAnsi="Segoe UI" w:cs="Segoe UI"/>
      <w:sz w:val="18"/>
      <w:szCs w:val="18"/>
    </w:rPr>
  </w:style>
  <w:style w:type="character" w:styleId="af">
    <w:name w:val="FollowedHyperlink"/>
    <w:basedOn w:val="a0"/>
    <w:uiPriority w:val="99"/>
    <w:semiHidden/>
    <w:unhideWhenUsed/>
    <w:rsid w:val="00B40A35"/>
    <w:rPr>
      <w:color w:val="954F72" w:themeColor="followedHyperlink"/>
      <w:u w:val="single"/>
    </w:rPr>
  </w:style>
  <w:style w:type="paragraph" w:customStyle="1" w:styleId="Disclaimer">
    <w:name w:val="Disclaimer"/>
    <w:basedOn w:val="a"/>
    <w:qFormat/>
    <w:rsid w:val="00386701"/>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386701"/>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386701"/>
    <w:pPr>
      <w:jc w:val="left"/>
    </w:pPr>
    <w:rPr>
      <w:b/>
    </w:rPr>
  </w:style>
  <w:style w:type="paragraph" w:styleId="af0">
    <w:name w:val="Revision"/>
    <w:hidden/>
    <w:uiPriority w:val="99"/>
    <w:semiHidden/>
    <w:rsid w:val="00800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2023-timetable-HK-VASP-regime-SFC-VA-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apps.sfc.hk/edistributionWeb/gateway/EN/news-and-announcements/news/doc?refNo=22PR103" TargetMode="External"/><Relationship Id="rId4" Type="http://schemas.openxmlformats.org/officeDocument/2006/relationships/settings" Target="settings.xml"/><Relationship Id="rId9" Type="http://schemas.openxmlformats.org/officeDocument/2006/relationships/hyperlink" Target="https://www.legco.gov.hk/yr2022/english/bc/bc05/reports/bc0520221207cb1-855-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arltonslaw.com/hong-kong-licensing-regime-for-virtual-asset-exchanges-to-take-effect-on-1-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53A5-9D7D-4F08-A46A-F46D8C21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970</Words>
  <Characters>5535</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8</cp:revision>
  <cp:lastPrinted>2022-12-28T07:14:00Z</cp:lastPrinted>
  <dcterms:created xsi:type="dcterms:W3CDTF">2022-12-30T04:28:00Z</dcterms:created>
  <dcterms:modified xsi:type="dcterms:W3CDTF">2022-12-30T12:20:00Z</dcterms:modified>
</cp:coreProperties>
</file>