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30A" w:rsidRPr="00C13D3D" w:rsidRDefault="00D6430A" w:rsidP="00D6430A">
      <w:pPr>
        <w:shd w:val="clear" w:color="auto" w:fill="000000"/>
        <w:spacing w:after="200"/>
        <w:jc w:val="center"/>
        <w:rPr>
          <w:rFonts w:ascii="Cambria" w:eastAsia="Cambria" w:hAnsi="Cambria" w:cs="Times New Roman"/>
          <w:color w:val="FFFFFF"/>
          <w:sz w:val="24"/>
          <w:szCs w:val="24"/>
          <w:lang w:eastAsia="en-US"/>
        </w:rPr>
      </w:pPr>
      <w:r>
        <w:rPr>
          <w:rFonts w:ascii="Cambria" w:eastAsia="Cambria" w:hAnsi="Cambria" w:cs="Times New Roman"/>
          <w:color w:val="FFFFFF"/>
          <w:sz w:val="24"/>
          <w:szCs w:val="24"/>
          <w:lang w:eastAsia="en-US"/>
        </w:rPr>
        <w:t>Charltons - Hong Kong Law - 0</w:t>
      </w:r>
      <w:r w:rsidR="004D290A" w:rsidRPr="004D290A">
        <w:rPr>
          <w:rFonts w:ascii="Cambria" w:eastAsia="Cambria" w:hAnsi="Cambria" w:cs="Times New Roman"/>
          <w:color w:val="FFFFFF"/>
          <w:sz w:val="24"/>
          <w:szCs w:val="24"/>
          <w:lang w:eastAsia="en-US"/>
        </w:rPr>
        <w:t>7</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 xml:space="preserve">December </w:t>
      </w:r>
      <w:r w:rsidRPr="00C13D3D">
        <w:rPr>
          <w:rFonts w:ascii="Cambria" w:eastAsia="Cambria" w:hAnsi="Cambria" w:cs="Times New Roman"/>
          <w:color w:val="FFFFFF"/>
          <w:sz w:val="24"/>
          <w:szCs w:val="24"/>
          <w:lang w:eastAsia="en-US"/>
        </w:rPr>
        <w:t>2022</w:t>
      </w:r>
    </w:p>
    <w:p w:rsidR="00D6430A" w:rsidRPr="00D6430A" w:rsidRDefault="00000000" w:rsidP="00D6430A">
      <w:pPr>
        <w:spacing w:after="200"/>
        <w:jc w:val="center"/>
        <w:rPr>
          <w:rFonts w:ascii="Cambria" w:eastAsia="Cambria" w:hAnsi="Cambria" w:cs="Times New Roman"/>
          <w:color w:val="00000A"/>
          <w:sz w:val="28"/>
          <w:szCs w:val="24"/>
          <w:u w:val="single"/>
          <w:lang w:eastAsia="en-US"/>
        </w:rPr>
      </w:pPr>
      <w:hyperlink r:id="rId8" w:history="1">
        <w:r w:rsidR="00D6430A" w:rsidRPr="00365171">
          <w:rPr>
            <w:rStyle w:val="a3"/>
            <w:rFonts w:ascii="Cambria" w:eastAsia="Cambria" w:hAnsi="Cambria"/>
            <w:sz w:val="28"/>
            <w:szCs w:val="24"/>
            <w:lang w:eastAsia="en-US"/>
          </w:rPr>
          <w:t>online version</w:t>
        </w:r>
      </w:hyperlink>
    </w:p>
    <w:p w:rsidR="004A6F2A" w:rsidRPr="001C5E0F" w:rsidRDefault="00B60F8D" w:rsidP="00D6430A">
      <w:pPr>
        <w:jc w:val="center"/>
        <w:rPr>
          <w:rFonts w:ascii="Arial" w:hAnsi="Arial" w:cs="Arial"/>
          <w:b/>
          <w:color w:val="FF0000"/>
          <w:sz w:val="20"/>
          <w:szCs w:val="20"/>
          <w:lang w:val="en-GB"/>
        </w:rPr>
      </w:pPr>
      <w:r w:rsidRPr="001C5E0F">
        <w:rPr>
          <w:rFonts w:ascii="Arial" w:hAnsi="Arial" w:cs="Arial"/>
          <w:b/>
          <w:color w:val="FF0000"/>
          <w:sz w:val="20"/>
          <w:szCs w:val="20"/>
          <w:lang w:val="en-GB"/>
        </w:rPr>
        <w:t>HKEx</w:t>
      </w:r>
      <w:r w:rsidR="00245AFC">
        <w:rPr>
          <w:rFonts w:ascii="Arial" w:hAnsi="Arial" w:cs="Arial"/>
          <w:b/>
          <w:color w:val="FF0000"/>
          <w:sz w:val="20"/>
          <w:szCs w:val="20"/>
          <w:lang w:val="en-GB"/>
        </w:rPr>
        <w:t xml:space="preserve"> and </w:t>
      </w:r>
      <w:r w:rsidR="00C32AF4" w:rsidRPr="001C5E0F">
        <w:rPr>
          <w:rFonts w:ascii="Arial" w:hAnsi="Arial" w:cs="Arial"/>
          <w:b/>
          <w:color w:val="FF0000"/>
          <w:sz w:val="20"/>
          <w:szCs w:val="20"/>
          <w:lang w:val="en-GB"/>
        </w:rPr>
        <w:t>SFC Disciplinary Actions of</w:t>
      </w:r>
      <w:r w:rsidRPr="001C5E0F">
        <w:rPr>
          <w:rFonts w:ascii="Arial" w:hAnsi="Arial" w:cs="Arial"/>
          <w:b/>
          <w:color w:val="FF0000"/>
          <w:sz w:val="20"/>
          <w:szCs w:val="20"/>
          <w:lang w:val="en-GB"/>
        </w:rPr>
        <w:t xml:space="preserve"> October 2022</w:t>
      </w:r>
    </w:p>
    <w:p w:rsidR="00720A3B" w:rsidRPr="001C5E0F" w:rsidRDefault="00B60F8D" w:rsidP="00813E7F">
      <w:pPr>
        <w:jc w:val="both"/>
        <w:rPr>
          <w:rFonts w:ascii="Arial" w:hAnsi="Arial" w:cs="Arial"/>
          <w:sz w:val="20"/>
          <w:szCs w:val="20"/>
          <w:lang w:val="en-GB"/>
        </w:rPr>
      </w:pPr>
      <w:r w:rsidRPr="001C5E0F">
        <w:rPr>
          <w:rFonts w:ascii="Arial" w:hAnsi="Arial" w:cs="Arial"/>
          <w:sz w:val="20"/>
          <w:szCs w:val="20"/>
          <w:lang w:val="en-GB"/>
        </w:rPr>
        <w:t xml:space="preserve">In October 2022, the Stock </w:t>
      </w:r>
      <w:r w:rsidR="000D3A2B" w:rsidRPr="001C5E0F">
        <w:rPr>
          <w:rFonts w:ascii="Arial" w:hAnsi="Arial" w:cs="Arial"/>
          <w:sz w:val="20"/>
          <w:szCs w:val="20"/>
          <w:lang w:val="en-GB"/>
        </w:rPr>
        <w:t>Exchange</w:t>
      </w:r>
      <w:r w:rsidRPr="001C5E0F">
        <w:rPr>
          <w:rFonts w:ascii="Arial" w:hAnsi="Arial" w:cs="Arial"/>
          <w:sz w:val="20"/>
          <w:szCs w:val="20"/>
          <w:lang w:val="en-GB"/>
        </w:rPr>
        <w:t xml:space="preserve"> of Hong Kong Limited (the </w:t>
      </w:r>
      <w:r w:rsidRPr="001C5E0F">
        <w:rPr>
          <w:rFonts w:ascii="Arial" w:hAnsi="Arial" w:cs="Arial"/>
          <w:b/>
          <w:sz w:val="20"/>
          <w:szCs w:val="20"/>
          <w:lang w:val="en-GB"/>
        </w:rPr>
        <w:t>HKEx</w:t>
      </w:r>
      <w:r w:rsidRPr="001C5E0F">
        <w:rPr>
          <w:rFonts w:ascii="Arial" w:hAnsi="Arial" w:cs="Arial"/>
          <w:sz w:val="20"/>
          <w:szCs w:val="20"/>
          <w:lang w:val="en-GB"/>
        </w:rPr>
        <w:t xml:space="preserve">) published two disciplinary actions. The first involved </w:t>
      </w:r>
      <w:r w:rsidR="00720A3B" w:rsidRPr="001C5E0F">
        <w:rPr>
          <w:rFonts w:ascii="Arial" w:hAnsi="Arial" w:cs="Arial"/>
          <w:sz w:val="20"/>
          <w:szCs w:val="20"/>
          <w:lang w:val="en-GB"/>
        </w:rPr>
        <w:t>the imposition of a Director Unsuitability S</w:t>
      </w:r>
      <w:r w:rsidR="001D77CE" w:rsidRPr="001C5E0F">
        <w:rPr>
          <w:rFonts w:ascii="Arial" w:hAnsi="Arial" w:cs="Arial"/>
          <w:sz w:val="20"/>
          <w:szCs w:val="20"/>
          <w:lang w:val="en-GB"/>
        </w:rPr>
        <w:t xml:space="preserve">tatement against a former executive director and chairman of Good Resources Holdings Limited and the censure of the company </w:t>
      </w:r>
      <w:r w:rsidR="00501B19">
        <w:rPr>
          <w:rFonts w:ascii="Arial" w:hAnsi="Arial" w:cs="Arial"/>
          <w:sz w:val="20"/>
          <w:szCs w:val="20"/>
          <w:lang w:val="en-GB"/>
        </w:rPr>
        <w:t xml:space="preserve">for </w:t>
      </w:r>
      <w:r w:rsidR="0028739A">
        <w:rPr>
          <w:rFonts w:ascii="Arial" w:hAnsi="Arial" w:cs="Arial"/>
          <w:sz w:val="20"/>
          <w:szCs w:val="20"/>
          <w:lang w:val="en-GB"/>
        </w:rPr>
        <w:t>breaches of the HKEx Listing Rules</w:t>
      </w:r>
      <w:r w:rsidR="00501B19">
        <w:rPr>
          <w:rFonts w:ascii="Arial" w:hAnsi="Arial" w:cs="Arial"/>
          <w:sz w:val="20"/>
          <w:szCs w:val="20"/>
          <w:lang w:val="en-GB"/>
        </w:rPr>
        <w:t xml:space="preserve"> relati</w:t>
      </w:r>
      <w:r w:rsidR="0028739A">
        <w:rPr>
          <w:rFonts w:ascii="Arial" w:hAnsi="Arial" w:cs="Arial"/>
          <w:sz w:val="20"/>
          <w:szCs w:val="20"/>
          <w:lang w:val="en-GB"/>
        </w:rPr>
        <w:t>n</w:t>
      </w:r>
      <w:r w:rsidR="00501B19">
        <w:rPr>
          <w:rFonts w:ascii="Arial" w:hAnsi="Arial" w:cs="Arial"/>
          <w:sz w:val="20"/>
          <w:szCs w:val="20"/>
          <w:lang w:val="en-GB"/>
        </w:rPr>
        <w:t>g</w:t>
      </w:r>
      <w:r w:rsidR="0028739A">
        <w:rPr>
          <w:rFonts w:ascii="Arial" w:hAnsi="Arial" w:cs="Arial"/>
          <w:sz w:val="20"/>
          <w:szCs w:val="20"/>
          <w:lang w:val="en-GB"/>
        </w:rPr>
        <w:t xml:space="preserve"> to transactions entered into by the company’s subsidiary</w:t>
      </w:r>
      <w:r w:rsidR="00D84C88" w:rsidRPr="001C5E0F">
        <w:rPr>
          <w:rFonts w:ascii="Arial" w:hAnsi="Arial" w:cs="Arial"/>
          <w:sz w:val="20"/>
          <w:szCs w:val="20"/>
          <w:lang w:val="en-GB"/>
        </w:rPr>
        <w:t>.</w:t>
      </w:r>
    </w:p>
    <w:p w:rsidR="00B60F8D" w:rsidRPr="001C5E0F" w:rsidRDefault="00B60F8D" w:rsidP="00813E7F">
      <w:pPr>
        <w:jc w:val="both"/>
        <w:rPr>
          <w:rFonts w:ascii="Arial" w:hAnsi="Arial" w:cs="Arial"/>
          <w:sz w:val="20"/>
          <w:szCs w:val="20"/>
          <w:lang w:val="en-GB"/>
        </w:rPr>
      </w:pPr>
      <w:r w:rsidRPr="001C5E0F">
        <w:rPr>
          <w:rFonts w:ascii="Arial" w:hAnsi="Arial" w:cs="Arial"/>
          <w:sz w:val="20"/>
          <w:szCs w:val="20"/>
          <w:lang w:val="en-GB"/>
        </w:rPr>
        <w:t xml:space="preserve">The second </w:t>
      </w:r>
      <w:r w:rsidR="00A35170" w:rsidRPr="001C5E0F">
        <w:rPr>
          <w:rFonts w:ascii="Arial" w:hAnsi="Arial" w:cs="Arial"/>
          <w:sz w:val="20"/>
          <w:szCs w:val="20"/>
          <w:lang w:val="en-GB"/>
        </w:rPr>
        <w:t>HKEx disciplinary action related</w:t>
      </w:r>
      <w:r w:rsidRPr="001C5E0F">
        <w:rPr>
          <w:rFonts w:ascii="Arial" w:hAnsi="Arial" w:cs="Arial"/>
          <w:sz w:val="20"/>
          <w:szCs w:val="20"/>
          <w:lang w:val="en-GB"/>
        </w:rPr>
        <w:t xml:space="preserve"> to </w:t>
      </w:r>
      <w:r w:rsidR="00D84C88" w:rsidRPr="001C5E0F">
        <w:rPr>
          <w:rFonts w:ascii="Arial" w:hAnsi="Arial" w:cs="Arial"/>
          <w:sz w:val="20"/>
          <w:szCs w:val="20"/>
          <w:lang w:val="en-GB"/>
        </w:rPr>
        <w:t xml:space="preserve">the issuance of a public censure and Director </w:t>
      </w:r>
      <w:r w:rsidR="00A35170" w:rsidRPr="001C5E0F">
        <w:rPr>
          <w:rFonts w:ascii="Arial" w:hAnsi="Arial" w:cs="Arial"/>
          <w:sz w:val="20"/>
          <w:szCs w:val="20"/>
          <w:lang w:val="en-GB"/>
        </w:rPr>
        <w:t>U</w:t>
      </w:r>
      <w:r w:rsidR="00D84C88" w:rsidRPr="001C5E0F">
        <w:rPr>
          <w:rFonts w:ascii="Arial" w:hAnsi="Arial" w:cs="Arial"/>
          <w:sz w:val="20"/>
          <w:szCs w:val="20"/>
          <w:lang w:val="en-GB"/>
        </w:rPr>
        <w:t>nsuitability</w:t>
      </w:r>
      <w:r w:rsidR="00A35170" w:rsidRPr="001C5E0F">
        <w:rPr>
          <w:rFonts w:ascii="Arial" w:hAnsi="Arial" w:cs="Arial"/>
          <w:sz w:val="20"/>
          <w:szCs w:val="20"/>
          <w:lang w:val="en-GB"/>
        </w:rPr>
        <w:t xml:space="preserve"> S</w:t>
      </w:r>
      <w:r w:rsidR="00D84C88" w:rsidRPr="001C5E0F">
        <w:rPr>
          <w:rFonts w:ascii="Arial" w:hAnsi="Arial" w:cs="Arial"/>
          <w:sz w:val="20"/>
          <w:szCs w:val="20"/>
          <w:lang w:val="en-GB"/>
        </w:rPr>
        <w:t>tat</w:t>
      </w:r>
      <w:r w:rsidR="00A35170" w:rsidRPr="001C5E0F">
        <w:rPr>
          <w:rFonts w:ascii="Arial" w:hAnsi="Arial" w:cs="Arial"/>
          <w:sz w:val="20"/>
          <w:szCs w:val="20"/>
          <w:lang w:val="en-GB"/>
        </w:rPr>
        <w:t xml:space="preserve">ement against two directors of </w:t>
      </w:r>
      <w:r w:rsidR="00D84C88" w:rsidRPr="001C5E0F">
        <w:rPr>
          <w:rFonts w:ascii="Arial" w:hAnsi="Arial" w:cs="Arial"/>
          <w:sz w:val="20"/>
          <w:szCs w:val="20"/>
          <w:lang w:val="en-GB"/>
        </w:rPr>
        <w:t>Biosino Bio-Technology and Science Incorporation</w:t>
      </w:r>
      <w:r w:rsidR="0028739A">
        <w:rPr>
          <w:rFonts w:ascii="Arial" w:hAnsi="Arial" w:cs="Arial"/>
          <w:sz w:val="20"/>
          <w:szCs w:val="20"/>
          <w:lang w:val="en-GB"/>
        </w:rPr>
        <w:t xml:space="preserve"> for their failure </w:t>
      </w:r>
      <w:r w:rsidR="0028739A" w:rsidRPr="001C5E0F">
        <w:rPr>
          <w:rFonts w:ascii="Arial" w:hAnsi="Arial" w:cs="Arial"/>
          <w:sz w:val="20"/>
          <w:szCs w:val="20"/>
          <w:lang w:val="en-GB"/>
        </w:rPr>
        <w:t xml:space="preserve">to cooperate </w:t>
      </w:r>
      <w:r w:rsidR="0028739A">
        <w:rPr>
          <w:rFonts w:ascii="Arial" w:hAnsi="Arial" w:cs="Arial"/>
          <w:sz w:val="20"/>
          <w:szCs w:val="20"/>
          <w:lang w:val="en-GB"/>
        </w:rPr>
        <w:t>in an i</w:t>
      </w:r>
      <w:r w:rsidR="0028739A" w:rsidRPr="001C5E0F">
        <w:rPr>
          <w:rFonts w:ascii="Arial" w:hAnsi="Arial" w:cs="Arial"/>
          <w:sz w:val="20"/>
          <w:szCs w:val="20"/>
          <w:lang w:val="en-GB"/>
        </w:rPr>
        <w:t xml:space="preserve">nvestigation </w:t>
      </w:r>
      <w:r w:rsidR="0028739A">
        <w:rPr>
          <w:rFonts w:ascii="Arial" w:hAnsi="Arial" w:cs="Arial"/>
          <w:sz w:val="20"/>
          <w:szCs w:val="20"/>
          <w:lang w:val="en-GB"/>
        </w:rPr>
        <w:t xml:space="preserve">by the </w:t>
      </w:r>
      <w:r w:rsidR="0028739A" w:rsidRPr="001C5E0F">
        <w:rPr>
          <w:rFonts w:ascii="Arial" w:hAnsi="Arial" w:cs="Arial"/>
          <w:sz w:val="20"/>
          <w:szCs w:val="20"/>
          <w:lang w:val="en-GB"/>
        </w:rPr>
        <w:t>HKEx</w:t>
      </w:r>
      <w:r w:rsidR="001C2294">
        <w:rPr>
          <w:rFonts w:ascii="Arial" w:hAnsi="Arial" w:cs="Arial"/>
          <w:sz w:val="20"/>
          <w:szCs w:val="20"/>
          <w:lang w:val="en-GB"/>
        </w:rPr>
        <w:t>.</w:t>
      </w:r>
      <w:r w:rsidR="00D84C88" w:rsidRPr="001C5E0F">
        <w:rPr>
          <w:rFonts w:ascii="Arial" w:hAnsi="Arial" w:cs="Arial"/>
          <w:sz w:val="20"/>
          <w:szCs w:val="20"/>
          <w:lang w:val="en-GB"/>
        </w:rPr>
        <w:t xml:space="preserve"> </w:t>
      </w:r>
    </w:p>
    <w:p w:rsidR="00720A3B" w:rsidRPr="001C5E0F" w:rsidRDefault="00B60F8D" w:rsidP="00813E7F">
      <w:pPr>
        <w:jc w:val="both"/>
        <w:rPr>
          <w:rFonts w:ascii="Arial" w:hAnsi="Arial" w:cs="Arial"/>
          <w:sz w:val="20"/>
          <w:szCs w:val="20"/>
          <w:lang w:val="en-GB"/>
        </w:rPr>
      </w:pPr>
      <w:r w:rsidRPr="001C5E0F">
        <w:rPr>
          <w:rFonts w:ascii="Arial" w:hAnsi="Arial" w:cs="Arial"/>
          <w:sz w:val="20"/>
          <w:szCs w:val="20"/>
          <w:lang w:val="en-GB"/>
        </w:rPr>
        <w:t>The Securities and Fu</w:t>
      </w:r>
      <w:r w:rsidR="00643E21" w:rsidRPr="001C5E0F">
        <w:rPr>
          <w:rFonts w:ascii="Arial" w:hAnsi="Arial" w:cs="Arial"/>
          <w:sz w:val="20"/>
          <w:szCs w:val="20"/>
          <w:lang w:val="en-GB"/>
        </w:rPr>
        <w:t>tures Commission of Hong Kong (</w:t>
      </w:r>
      <w:r w:rsidRPr="001C5E0F">
        <w:rPr>
          <w:rFonts w:ascii="Arial" w:hAnsi="Arial" w:cs="Arial"/>
          <w:sz w:val="20"/>
          <w:szCs w:val="20"/>
          <w:lang w:val="en-GB"/>
        </w:rPr>
        <w:t xml:space="preserve">the </w:t>
      </w:r>
      <w:r w:rsidRPr="001C5E0F">
        <w:rPr>
          <w:rFonts w:ascii="Arial" w:hAnsi="Arial" w:cs="Arial"/>
          <w:b/>
          <w:sz w:val="20"/>
          <w:szCs w:val="20"/>
          <w:lang w:val="en-GB"/>
        </w:rPr>
        <w:t>SFC</w:t>
      </w:r>
      <w:r w:rsidR="00720A3B" w:rsidRPr="001C5E0F">
        <w:rPr>
          <w:rFonts w:ascii="Arial" w:hAnsi="Arial" w:cs="Arial"/>
          <w:sz w:val="20"/>
          <w:szCs w:val="20"/>
          <w:lang w:val="en-GB"/>
        </w:rPr>
        <w:t xml:space="preserve">) published the results </w:t>
      </w:r>
      <w:r w:rsidRPr="001C5E0F">
        <w:rPr>
          <w:rFonts w:ascii="Arial" w:hAnsi="Arial" w:cs="Arial"/>
          <w:sz w:val="20"/>
          <w:szCs w:val="20"/>
          <w:lang w:val="en-GB"/>
        </w:rPr>
        <w:t>o</w:t>
      </w:r>
      <w:r w:rsidR="00720A3B" w:rsidRPr="001C5E0F">
        <w:rPr>
          <w:rFonts w:ascii="Arial" w:hAnsi="Arial" w:cs="Arial"/>
          <w:sz w:val="20"/>
          <w:szCs w:val="20"/>
          <w:lang w:val="en-GB"/>
        </w:rPr>
        <w:t>f</w:t>
      </w:r>
      <w:r w:rsidRPr="001C5E0F">
        <w:rPr>
          <w:rFonts w:ascii="Arial" w:hAnsi="Arial" w:cs="Arial"/>
          <w:sz w:val="20"/>
          <w:szCs w:val="20"/>
          <w:lang w:val="en-GB"/>
        </w:rPr>
        <w:t xml:space="preserve"> </w:t>
      </w:r>
      <w:r w:rsidR="00643E21" w:rsidRPr="001C5E0F">
        <w:rPr>
          <w:rFonts w:ascii="Arial" w:hAnsi="Arial" w:cs="Arial"/>
          <w:sz w:val="20"/>
          <w:szCs w:val="20"/>
          <w:lang w:val="en-GB"/>
        </w:rPr>
        <w:t>actions against i</w:t>
      </w:r>
      <w:r w:rsidR="00720A3B" w:rsidRPr="001C5E0F">
        <w:rPr>
          <w:rFonts w:ascii="Arial" w:hAnsi="Arial" w:cs="Arial"/>
          <w:sz w:val="20"/>
          <w:szCs w:val="20"/>
          <w:lang w:val="en-GB"/>
        </w:rPr>
        <w:t xml:space="preserve">ndividuals for securities fraud, </w:t>
      </w:r>
      <w:r w:rsidR="00643E21" w:rsidRPr="001C5E0F">
        <w:rPr>
          <w:rFonts w:ascii="Arial" w:hAnsi="Arial" w:cs="Arial"/>
          <w:sz w:val="20"/>
          <w:szCs w:val="20"/>
          <w:lang w:val="en-GB"/>
        </w:rPr>
        <w:t xml:space="preserve">obstruction of </w:t>
      </w:r>
      <w:r w:rsidR="00855A3F">
        <w:rPr>
          <w:rFonts w:ascii="Arial" w:hAnsi="Arial" w:cs="Arial"/>
          <w:sz w:val="20"/>
          <w:szCs w:val="20"/>
          <w:lang w:val="en-GB"/>
        </w:rPr>
        <w:t xml:space="preserve">the </w:t>
      </w:r>
      <w:r w:rsidR="00643E21" w:rsidRPr="001C5E0F">
        <w:rPr>
          <w:rFonts w:ascii="Arial" w:hAnsi="Arial" w:cs="Arial"/>
          <w:sz w:val="20"/>
          <w:szCs w:val="20"/>
          <w:lang w:val="en-GB"/>
        </w:rPr>
        <w:t>SFC’s search operation</w:t>
      </w:r>
      <w:r w:rsidR="00501B19">
        <w:rPr>
          <w:rFonts w:ascii="Arial" w:hAnsi="Arial" w:cs="Arial"/>
          <w:sz w:val="20"/>
          <w:szCs w:val="20"/>
          <w:lang w:val="en-GB"/>
        </w:rPr>
        <w:t>,</w:t>
      </w:r>
      <w:r w:rsidR="00643E21" w:rsidRPr="001C5E0F">
        <w:rPr>
          <w:rFonts w:ascii="Arial" w:hAnsi="Arial" w:cs="Arial"/>
          <w:sz w:val="20"/>
          <w:szCs w:val="20"/>
          <w:lang w:val="en-GB"/>
        </w:rPr>
        <w:t xml:space="preserve"> illegal short selling</w:t>
      </w:r>
      <w:r w:rsidR="00501B19">
        <w:rPr>
          <w:rFonts w:ascii="Arial" w:hAnsi="Arial" w:cs="Arial"/>
          <w:sz w:val="20"/>
          <w:szCs w:val="20"/>
          <w:lang w:val="en-GB"/>
        </w:rPr>
        <w:t>,</w:t>
      </w:r>
      <w:r w:rsidR="00501B19" w:rsidRPr="00501B19">
        <w:rPr>
          <w:rFonts w:ascii="Arial" w:hAnsi="Arial" w:cs="Arial"/>
          <w:sz w:val="20"/>
          <w:szCs w:val="20"/>
          <w:lang w:val="en-GB"/>
        </w:rPr>
        <w:t xml:space="preserve"> </w:t>
      </w:r>
      <w:r w:rsidR="00501B19">
        <w:rPr>
          <w:rFonts w:ascii="Arial" w:hAnsi="Arial" w:cs="Arial"/>
          <w:sz w:val="20"/>
          <w:szCs w:val="20"/>
          <w:lang w:val="en-GB"/>
        </w:rPr>
        <w:t>non-compliance with the European Union’s short selling requirements and securities dealing conducted in breach of the licensed corporation’s staff dealing policy</w:t>
      </w:r>
      <w:r w:rsidR="00643E21" w:rsidRPr="001C5E0F">
        <w:rPr>
          <w:rFonts w:ascii="Arial" w:hAnsi="Arial" w:cs="Arial"/>
          <w:sz w:val="20"/>
          <w:szCs w:val="20"/>
          <w:lang w:val="en-GB"/>
        </w:rPr>
        <w:t>.</w:t>
      </w:r>
      <w:r w:rsidR="005E7E3A">
        <w:rPr>
          <w:rFonts w:ascii="Arial" w:hAnsi="Arial" w:cs="Arial"/>
          <w:sz w:val="20"/>
          <w:szCs w:val="20"/>
          <w:lang w:val="en-GB"/>
        </w:rPr>
        <w:t xml:space="preserve"> </w:t>
      </w:r>
      <w:r w:rsidR="005E7E3A" w:rsidRPr="005E7E3A">
        <w:rPr>
          <w:rFonts w:ascii="Arial" w:hAnsi="Arial" w:cs="Arial"/>
          <w:sz w:val="20"/>
          <w:szCs w:val="20"/>
          <w:lang w:val="en-GB"/>
        </w:rPr>
        <w:t>It also published a public criticism against a company for its breaches of the Hong Kong Takeovers Code</w:t>
      </w:r>
      <w:r w:rsidR="009D7520">
        <w:rPr>
          <w:rFonts w:ascii="Arial" w:hAnsi="Arial" w:cs="Arial"/>
          <w:sz w:val="20"/>
          <w:szCs w:val="20"/>
          <w:lang w:val="en-GB"/>
        </w:rPr>
        <w:t>.</w:t>
      </w:r>
      <w:r w:rsidR="00643E21" w:rsidRPr="001C5E0F">
        <w:rPr>
          <w:rFonts w:ascii="Arial" w:hAnsi="Arial" w:cs="Arial"/>
          <w:sz w:val="20"/>
          <w:szCs w:val="20"/>
          <w:lang w:val="en-GB"/>
        </w:rPr>
        <w:t xml:space="preserve"> </w:t>
      </w:r>
    </w:p>
    <w:p w:rsidR="00B60F8D" w:rsidRPr="001C5E0F" w:rsidRDefault="00501B19" w:rsidP="00813E7F">
      <w:pPr>
        <w:jc w:val="both"/>
        <w:rPr>
          <w:rFonts w:ascii="Arial" w:hAnsi="Arial" w:cs="Arial"/>
          <w:sz w:val="20"/>
          <w:szCs w:val="20"/>
          <w:lang w:val="en-GB"/>
        </w:rPr>
      </w:pPr>
      <w:r>
        <w:rPr>
          <w:rFonts w:ascii="Arial" w:hAnsi="Arial" w:cs="Arial"/>
          <w:sz w:val="20"/>
          <w:szCs w:val="20"/>
          <w:lang w:val="en-GB"/>
        </w:rPr>
        <w:t xml:space="preserve">A further disciplinary action resulted in the making of </w:t>
      </w:r>
      <w:r w:rsidR="0051559A">
        <w:rPr>
          <w:rFonts w:ascii="Arial" w:hAnsi="Arial" w:cs="Arial"/>
          <w:sz w:val="20"/>
          <w:szCs w:val="20"/>
          <w:lang w:val="en-GB"/>
        </w:rPr>
        <w:t xml:space="preserve">an order by the Court of First Instance </w:t>
      </w:r>
      <w:r w:rsidR="00B60F8D" w:rsidRPr="001C5E0F">
        <w:rPr>
          <w:rFonts w:ascii="Arial" w:hAnsi="Arial" w:cs="Arial"/>
          <w:sz w:val="20"/>
          <w:szCs w:val="20"/>
          <w:lang w:val="en-GB"/>
        </w:rPr>
        <w:t>under s</w:t>
      </w:r>
      <w:r w:rsidR="0051559A">
        <w:rPr>
          <w:rFonts w:ascii="Arial" w:hAnsi="Arial" w:cs="Arial"/>
          <w:sz w:val="20"/>
          <w:szCs w:val="20"/>
          <w:lang w:val="en-GB"/>
        </w:rPr>
        <w:t xml:space="preserve">ection </w:t>
      </w:r>
      <w:r w:rsidR="00B60F8D" w:rsidRPr="001C5E0F">
        <w:rPr>
          <w:rFonts w:ascii="Arial" w:hAnsi="Arial" w:cs="Arial"/>
          <w:sz w:val="20"/>
          <w:szCs w:val="20"/>
          <w:lang w:val="en-GB"/>
        </w:rPr>
        <w:t>214 of the S</w:t>
      </w:r>
      <w:r w:rsidR="004F7129" w:rsidRPr="001C5E0F">
        <w:rPr>
          <w:rFonts w:ascii="Arial" w:hAnsi="Arial" w:cs="Arial"/>
          <w:sz w:val="20"/>
          <w:szCs w:val="20"/>
          <w:lang w:val="en-GB"/>
        </w:rPr>
        <w:t xml:space="preserve">ecurities and Futures Ordinance (the </w:t>
      </w:r>
      <w:r w:rsidR="004F7129" w:rsidRPr="001C5E0F">
        <w:rPr>
          <w:rFonts w:ascii="Arial" w:hAnsi="Arial" w:cs="Arial"/>
          <w:b/>
          <w:sz w:val="20"/>
          <w:szCs w:val="20"/>
          <w:lang w:val="en-GB"/>
        </w:rPr>
        <w:t>S</w:t>
      </w:r>
      <w:r w:rsidR="00B60F8D" w:rsidRPr="001C5E0F">
        <w:rPr>
          <w:rFonts w:ascii="Arial" w:hAnsi="Arial" w:cs="Arial"/>
          <w:b/>
          <w:sz w:val="20"/>
          <w:szCs w:val="20"/>
          <w:lang w:val="en-GB"/>
        </w:rPr>
        <w:t>FO</w:t>
      </w:r>
      <w:r w:rsidR="004F7129" w:rsidRPr="001C5E0F">
        <w:rPr>
          <w:rFonts w:ascii="Arial" w:hAnsi="Arial" w:cs="Arial"/>
          <w:sz w:val="20"/>
          <w:szCs w:val="20"/>
          <w:lang w:val="en-GB"/>
        </w:rPr>
        <w:t>)</w:t>
      </w:r>
      <w:r w:rsidR="00B60F8D" w:rsidRPr="001C5E0F">
        <w:rPr>
          <w:rFonts w:ascii="Arial" w:hAnsi="Arial" w:cs="Arial"/>
          <w:sz w:val="20"/>
          <w:szCs w:val="20"/>
          <w:lang w:val="en-GB"/>
        </w:rPr>
        <w:t xml:space="preserve"> for the chairman and executive director of </w:t>
      </w:r>
      <w:r w:rsidR="0051559A">
        <w:rPr>
          <w:rFonts w:ascii="Arial" w:hAnsi="Arial" w:cs="Arial"/>
          <w:sz w:val="20"/>
          <w:szCs w:val="20"/>
          <w:lang w:val="en-GB"/>
        </w:rPr>
        <w:t xml:space="preserve">Sound Global Ltd. </w:t>
      </w:r>
      <w:r w:rsidR="00B60F8D" w:rsidRPr="001C5E0F">
        <w:rPr>
          <w:rFonts w:ascii="Arial" w:hAnsi="Arial" w:cs="Arial"/>
          <w:sz w:val="20"/>
          <w:szCs w:val="20"/>
          <w:lang w:val="en-GB"/>
        </w:rPr>
        <w:t xml:space="preserve">to purchase </w:t>
      </w:r>
      <w:r w:rsidR="0051559A">
        <w:rPr>
          <w:rFonts w:ascii="Arial" w:hAnsi="Arial" w:cs="Arial"/>
          <w:sz w:val="20"/>
          <w:szCs w:val="20"/>
          <w:lang w:val="en-GB"/>
        </w:rPr>
        <w:t xml:space="preserve">the </w:t>
      </w:r>
      <w:r w:rsidR="00B60F8D" w:rsidRPr="001C5E0F">
        <w:rPr>
          <w:rFonts w:ascii="Arial" w:hAnsi="Arial" w:cs="Arial"/>
          <w:sz w:val="20"/>
          <w:szCs w:val="20"/>
          <w:lang w:val="en-GB"/>
        </w:rPr>
        <w:t>shares</w:t>
      </w:r>
      <w:r w:rsidR="0051559A">
        <w:rPr>
          <w:rFonts w:ascii="Arial" w:hAnsi="Arial" w:cs="Arial"/>
          <w:sz w:val="20"/>
          <w:szCs w:val="20"/>
          <w:lang w:val="en-GB"/>
        </w:rPr>
        <w:t xml:space="preserve"> of the company’s other shareholders</w:t>
      </w:r>
      <w:r w:rsidR="00B60F8D" w:rsidRPr="001C5E0F">
        <w:rPr>
          <w:rFonts w:ascii="Arial" w:hAnsi="Arial" w:cs="Arial"/>
          <w:sz w:val="20"/>
          <w:szCs w:val="20"/>
          <w:lang w:val="en-GB"/>
        </w:rPr>
        <w:t xml:space="preserve">. </w:t>
      </w:r>
      <w:r w:rsidR="0051559A">
        <w:rPr>
          <w:rFonts w:ascii="Arial" w:hAnsi="Arial" w:cs="Arial"/>
          <w:sz w:val="20"/>
          <w:szCs w:val="20"/>
          <w:lang w:val="en-GB"/>
        </w:rPr>
        <w:t xml:space="preserve">This was the first order of its kind made under section 214 and is the subject of a separate newsletter. </w:t>
      </w:r>
      <w:r w:rsidR="00B60F8D" w:rsidRPr="001C5E0F">
        <w:rPr>
          <w:rFonts w:ascii="Arial" w:hAnsi="Arial" w:cs="Arial"/>
          <w:sz w:val="20"/>
          <w:szCs w:val="20"/>
          <w:lang w:val="en-GB"/>
        </w:rPr>
        <w:t xml:space="preserve">See </w:t>
      </w:r>
      <w:hyperlink r:id="rId9" w:history="1">
        <w:r w:rsidR="00B60F8D" w:rsidRPr="0051559A">
          <w:rPr>
            <w:rStyle w:val="a3"/>
            <w:rFonts w:ascii="Arial" w:hAnsi="Arial" w:cs="Arial"/>
            <w:sz w:val="20"/>
            <w:szCs w:val="20"/>
            <w:lang w:val="en-GB"/>
          </w:rPr>
          <w:t xml:space="preserve">Court Orders Sound Global Chairman to Purchase </w:t>
        </w:r>
        <w:r w:rsidR="0051559A" w:rsidRPr="0051559A">
          <w:rPr>
            <w:rStyle w:val="a3"/>
            <w:rFonts w:ascii="Arial" w:hAnsi="Arial" w:cs="Arial"/>
            <w:sz w:val="20"/>
            <w:szCs w:val="20"/>
            <w:lang w:val="en-GB"/>
          </w:rPr>
          <w:t xml:space="preserve">Investors’ </w:t>
        </w:r>
        <w:r w:rsidR="00B60F8D" w:rsidRPr="0051559A">
          <w:rPr>
            <w:rStyle w:val="a3"/>
            <w:rFonts w:ascii="Arial" w:hAnsi="Arial" w:cs="Arial"/>
            <w:sz w:val="20"/>
            <w:szCs w:val="20"/>
            <w:lang w:val="en-GB"/>
          </w:rPr>
          <w:t>Shares</w:t>
        </w:r>
      </w:hyperlink>
      <w:r w:rsidR="00B60F8D" w:rsidRPr="00EA2638">
        <w:rPr>
          <w:rFonts w:ascii="Arial" w:hAnsi="Arial" w:cs="Arial"/>
          <w:sz w:val="20"/>
          <w:szCs w:val="20"/>
          <w:lang w:val="en-GB"/>
        </w:rPr>
        <w:t>.</w:t>
      </w:r>
      <w:r w:rsidR="00B60F8D" w:rsidRPr="001C5E0F">
        <w:rPr>
          <w:rFonts w:ascii="Arial" w:hAnsi="Arial" w:cs="Arial"/>
          <w:sz w:val="20"/>
          <w:szCs w:val="20"/>
          <w:lang w:val="en-GB"/>
        </w:rPr>
        <w:t xml:space="preserve"> </w:t>
      </w:r>
    </w:p>
    <w:p w:rsidR="00B60F8D" w:rsidRPr="001C5E0F" w:rsidRDefault="000D3A2B" w:rsidP="00813E7F">
      <w:pPr>
        <w:jc w:val="both"/>
        <w:rPr>
          <w:rFonts w:ascii="Arial" w:hAnsi="Arial" w:cs="Arial"/>
          <w:b/>
          <w:color w:val="FF0000"/>
          <w:sz w:val="20"/>
          <w:szCs w:val="20"/>
          <w:lang w:val="en-GB"/>
        </w:rPr>
      </w:pPr>
      <w:r w:rsidRPr="001C5E0F">
        <w:rPr>
          <w:rFonts w:ascii="Arial" w:hAnsi="Arial" w:cs="Arial"/>
          <w:b/>
          <w:color w:val="FF0000"/>
          <w:sz w:val="20"/>
          <w:szCs w:val="20"/>
          <w:lang w:val="en-GB"/>
        </w:rPr>
        <w:t>HKEx</w:t>
      </w:r>
      <w:r w:rsidR="00C32AF4" w:rsidRPr="001C5E0F">
        <w:rPr>
          <w:rFonts w:ascii="Arial" w:hAnsi="Arial" w:cs="Arial"/>
          <w:b/>
          <w:color w:val="FF0000"/>
          <w:sz w:val="20"/>
          <w:szCs w:val="20"/>
          <w:lang w:val="en-GB"/>
        </w:rPr>
        <w:t>’s Disciplinary Action against Good Resour</w:t>
      </w:r>
      <w:r w:rsidR="00B60F8D" w:rsidRPr="001C5E0F">
        <w:rPr>
          <w:rFonts w:ascii="Arial" w:hAnsi="Arial" w:cs="Arial"/>
          <w:b/>
          <w:color w:val="FF0000"/>
          <w:sz w:val="20"/>
          <w:szCs w:val="20"/>
          <w:lang w:val="en-GB"/>
        </w:rPr>
        <w:t xml:space="preserve">ces Holding Limited (Delisted) </w:t>
      </w:r>
    </w:p>
    <w:p w:rsidR="00A27D88" w:rsidRPr="001C5E0F" w:rsidRDefault="001D77CE" w:rsidP="00813E7F">
      <w:pPr>
        <w:jc w:val="both"/>
        <w:rPr>
          <w:rFonts w:ascii="Arial" w:hAnsi="Arial" w:cs="Arial"/>
          <w:sz w:val="20"/>
          <w:szCs w:val="20"/>
          <w:lang w:val="en-GB"/>
        </w:rPr>
      </w:pPr>
      <w:r w:rsidRPr="001C5E0F">
        <w:rPr>
          <w:rFonts w:ascii="Arial" w:hAnsi="Arial" w:cs="Arial"/>
          <w:sz w:val="20"/>
          <w:szCs w:val="20"/>
          <w:lang w:val="en-GB"/>
        </w:rPr>
        <w:t xml:space="preserve">On 5 October 2022, the HKEx publically censured and imposed a Director Unsuitability Statement against </w:t>
      </w:r>
      <w:r w:rsidR="00E84B0F" w:rsidRPr="001C5E0F">
        <w:rPr>
          <w:rFonts w:ascii="Arial" w:hAnsi="Arial" w:cs="Arial"/>
          <w:sz w:val="20"/>
          <w:szCs w:val="20"/>
          <w:lang w:val="en-GB"/>
        </w:rPr>
        <w:t>Mr Chen Chuanjin (</w:t>
      </w:r>
      <w:r w:rsidR="00E84B0F" w:rsidRPr="001C5E0F">
        <w:rPr>
          <w:rFonts w:ascii="Arial" w:hAnsi="Arial" w:cs="Arial"/>
          <w:b/>
          <w:sz w:val="20"/>
          <w:szCs w:val="20"/>
          <w:lang w:val="en-GB"/>
        </w:rPr>
        <w:t>Chen</w:t>
      </w:r>
      <w:r w:rsidR="00E84B0F" w:rsidRPr="001C5E0F">
        <w:rPr>
          <w:rFonts w:ascii="Arial" w:hAnsi="Arial" w:cs="Arial"/>
          <w:sz w:val="20"/>
          <w:szCs w:val="20"/>
          <w:lang w:val="en-GB"/>
        </w:rPr>
        <w:t>)</w:t>
      </w:r>
      <w:r w:rsidR="00E84B0F">
        <w:rPr>
          <w:rFonts w:ascii="Arial" w:hAnsi="Arial" w:cs="Arial"/>
          <w:sz w:val="20"/>
          <w:szCs w:val="20"/>
          <w:lang w:val="en-GB"/>
        </w:rPr>
        <w:t xml:space="preserve">, </w:t>
      </w:r>
      <w:r w:rsidRPr="001C5E0F">
        <w:rPr>
          <w:rFonts w:ascii="Arial" w:hAnsi="Arial" w:cs="Arial"/>
          <w:sz w:val="20"/>
          <w:szCs w:val="20"/>
          <w:lang w:val="en-GB"/>
        </w:rPr>
        <w:t>the former executive director and chairman of Good Resources Holdings Limited (</w:t>
      </w:r>
      <w:r w:rsidRPr="001C5E0F">
        <w:rPr>
          <w:rFonts w:ascii="Arial" w:hAnsi="Arial" w:cs="Arial"/>
          <w:b/>
          <w:sz w:val="20"/>
          <w:szCs w:val="20"/>
          <w:lang w:val="en-GB"/>
        </w:rPr>
        <w:t>Good Resources</w:t>
      </w:r>
      <w:r w:rsidRPr="001C5E0F">
        <w:rPr>
          <w:rFonts w:ascii="Arial" w:hAnsi="Arial" w:cs="Arial"/>
          <w:sz w:val="20"/>
          <w:szCs w:val="20"/>
          <w:lang w:val="en-GB"/>
        </w:rPr>
        <w:t>)</w:t>
      </w:r>
      <w:r w:rsidR="00B51813" w:rsidRPr="001C5E0F">
        <w:rPr>
          <w:rFonts w:ascii="Arial" w:hAnsi="Arial" w:cs="Arial"/>
          <w:sz w:val="20"/>
          <w:szCs w:val="20"/>
          <w:lang w:val="en-GB"/>
        </w:rPr>
        <w:t xml:space="preserve"> a company listed on the Hong Kong Stock Exchange, now delisted</w:t>
      </w:r>
      <w:r w:rsidR="00A27D88" w:rsidRPr="001C5E0F">
        <w:rPr>
          <w:rFonts w:ascii="Arial" w:hAnsi="Arial" w:cs="Arial"/>
          <w:sz w:val="20"/>
          <w:szCs w:val="20"/>
          <w:lang w:val="en-GB"/>
        </w:rPr>
        <w:t>. The Listing Committee found</w:t>
      </w:r>
      <w:r w:rsidR="00E84B0F">
        <w:rPr>
          <w:rFonts w:ascii="Arial" w:hAnsi="Arial" w:cs="Arial"/>
          <w:sz w:val="20"/>
          <w:szCs w:val="20"/>
          <w:lang w:val="en-GB"/>
        </w:rPr>
        <w:t xml:space="preserve"> that</w:t>
      </w:r>
      <w:r w:rsidR="00A27D88" w:rsidRPr="001C5E0F">
        <w:rPr>
          <w:rFonts w:ascii="Arial" w:hAnsi="Arial" w:cs="Arial"/>
          <w:sz w:val="20"/>
          <w:szCs w:val="20"/>
          <w:lang w:val="en-GB"/>
        </w:rPr>
        <w:t xml:space="preserve">: </w:t>
      </w:r>
    </w:p>
    <w:p w:rsidR="00A27D88" w:rsidRPr="001C5E0F" w:rsidRDefault="009C52D3" w:rsidP="00813E7F">
      <w:pPr>
        <w:pStyle w:val="a4"/>
        <w:numPr>
          <w:ilvl w:val="0"/>
          <w:numId w:val="1"/>
        </w:numPr>
        <w:jc w:val="both"/>
        <w:rPr>
          <w:rFonts w:ascii="Arial" w:hAnsi="Arial" w:cs="Arial"/>
          <w:sz w:val="20"/>
          <w:szCs w:val="20"/>
          <w:lang w:val="en-GB"/>
        </w:rPr>
      </w:pPr>
      <w:r w:rsidRPr="001C5E0F">
        <w:rPr>
          <w:rFonts w:ascii="Arial" w:hAnsi="Arial" w:cs="Arial"/>
          <w:sz w:val="20"/>
          <w:szCs w:val="20"/>
          <w:lang w:val="en-GB"/>
        </w:rPr>
        <w:t>Good Resources</w:t>
      </w:r>
      <w:r w:rsidR="001D77CE" w:rsidRPr="001C5E0F">
        <w:rPr>
          <w:rFonts w:ascii="Arial" w:hAnsi="Arial" w:cs="Arial"/>
          <w:sz w:val="20"/>
          <w:szCs w:val="20"/>
          <w:lang w:val="en-GB"/>
        </w:rPr>
        <w:t xml:space="preserve"> </w:t>
      </w:r>
      <w:r w:rsidR="00A35170" w:rsidRPr="001C5E0F">
        <w:rPr>
          <w:rFonts w:ascii="Arial" w:hAnsi="Arial" w:cs="Arial"/>
          <w:sz w:val="20"/>
          <w:szCs w:val="20"/>
          <w:lang w:val="en-GB"/>
        </w:rPr>
        <w:t>ha</w:t>
      </w:r>
      <w:r w:rsidR="00E84B0F">
        <w:rPr>
          <w:rFonts w:ascii="Arial" w:hAnsi="Arial" w:cs="Arial"/>
          <w:sz w:val="20"/>
          <w:szCs w:val="20"/>
          <w:lang w:val="en-GB"/>
        </w:rPr>
        <w:t>d</w:t>
      </w:r>
      <w:r w:rsidR="00A35170" w:rsidRPr="001C5E0F">
        <w:rPr>
          <w:rFonts w:ascii="Arial" w:hAnsi="Arial" w:cs="Arial"/>
          <w:sz w:val="20"/>
          <w:szCs w:val="20"/>
          <w:lang w:val="en-GB"/>
        </w:rPr>
        <w:t xml:space="preserve"> </w:t>
      </w:r>
      <w:r w:rsidR="001D77CE" w:rsidRPr="001C5E0F">
        <w:rPr>
          <w:rFonts w:ascii="Arial" w:hAnsi="Arial" w:cs="Arial"/>
          <w:sz w:val="20"/>
          <w:szCs w:val="20"/>
          <w:lang w:val="en-GB"/>
        </w:rPr>
        <w:t>breached</w:t>
      </w:r>
      <w:r w:rsidR="00A35170" w:rsidRPr="001C5E0F">
        <w:rPr>
          <w:rFonts w:ascii="Arial" w:hAnsi="Arial" w:cs="Arial"/>
          <w:sz w:val="20"/>
          <w:szCs w:val="20"/>
          <w:lang w:val="en-GB"/>
        </w:rPr>
        <w:t xml:space="preserve"> the HKEx</w:t>
      </w:r>
      <w:r w:rsidR="001D77CE" w:rsidRPr="001C5E0F">
        <w:rPr>
          <w:rFonts w:ascii="Arial" w:hAnsi="Arial" w:cs="Arial"/>
          <w:sz w:val="20"/>
          <w:szCs w:val="20"/>
          <w:lang w:val="en-GB"/>
        </w:rPr>
        <w:t xml:space="preserve"> </w:t>
      </w:r>
      <w:r w:rsidR="00A35170" w:rsidRPr="001C5E0F">
        <w:rPr>
          <w:rFonts w:ascii="Arial" w:hAnsi="Arial" w:cs="Arial"/>
          <w:sz w:val="20"/>
          <w:szCs w:val="20"/>
          <w:lang w:val="en-GB"/>
        </w:rPr>
        <w:t xml:space="preserve">Listing Rules relating </w:t>
      </w:r>
      <w:r w:rsidR="00B51813" w:rsidRPr="001C5E0F">
        <w:rPr>
          <w:rFonts w:ascii="Arial" w:hAnsi="Arial" w:cs="Arial"/>
          <w:sz w:val="20"/>
          <w:szCs w:val="20"/>
          <w:lang w:val="en-GB"/>
        </w:rPr>
        <w:t xml:space="preserve">to </w:t>
      </w:r>
      <w:r w:rsidR="00E84B0F">
        <w:rPr>
          <w:rFonts w:ascii="Arial" w:hAnsi="Arial" w:cs="Arial"/>
          <w:sz w:val="20"/>
          <w:szCs w:val="20"/>
          <w:lang w:val="en-GB"/>
        </w:rPr>
        <w:t>n</w:t>
      </w:r>
      <w:r w:rsidR="00B51813" w:rsidRPr="001C5E0F">
        <w:rPr>
          <w:rFonts w:ascii="Arial" w:hAnsi="Arial" w:cs="Arial"/>
          <w:sz w:val="20"/>
          <w:szCs w:val="20"/>
          <w:lang w:val="en-GB"/>
        </w:rPr>
        <w:t xml:space="preserve">otifiable </w:t>
      </w:r>
      <w:r w:rsidR="00E84B0F">
        <w:rPr>
          <w:rFonts w:ascii="Arial" w:hAnsi="Arial" w:cs="Arial"/>
          <w:sz w:val="20"/>
          <w:szCs w:val="20"/>
          <w:lang w:val="en-GB"/>
        </w:rPr>
        <w:t>t</w:t>
      </w:r>
      <w:r w:rsidR="00B51813" w:rsidRPr="001C5E0F">
        <w:rPr>
          <w:rFonts w:ascii="Arial" w:hAnsi="Arial" w:cs="Arial"/>
          <w:sz w:val="20"/>
          <w:szCs w:val="20"/>
          <w:lang w:val="en-GB"/>
        </w:rPr>
        <w:t>ransactions</w:t>
      </w:r>
      <w:r w:rsidR="00A27D88" w:rsidRPr="001C5E0F">
        <w:rPr>
          <w:rFonts w:ascii="Arial" w:hAnsi="Arial" w:cs="Arial"/>
          <w:sz w:val="20"/>
          <w:szCs w:val="20"/>
          <w:lang w:val="en-GB"/>
        </w:rPr>
        <w:t>; and</w:t>
      </w:r>
    </w:p>
    <w:p w:rsidR="00A27D88" w:rsidRPr="001C5E0F" w:rsidRDefault="00A27D88" w:rsidP="00813E7F">
      <w:pPr>
        <w:pStyle w:val="a4"/>
        <w:numPr>
          <w:ilvl w:val="0"/>
          <w:numId w:val="1"/>
        </w:numPr>
        <w:jc w:val="both"/>
        <w:rPr>
          <w:rFonts w:ascii="Arial" w:hAnsi="Arial" w:cs="Arial"/>
          <w:sz w:val="20"/>
          <w:szCs w:val="20"/>
          <w:lang w:val="en-GB"/>
        </w:rPr>
      </w:pPr>
      <w:r w:rsidRPr="001C5E0F">
        <w:rPr>
          <w:rFonts w:ascii="Arial" w:hAnsi="Arial" w:cs="Arial"/>
          <w:sz w:val="20"/>
          <w:szCs w:val="20"/>
          <w:lang w:val="en-GB"/>
        </w:rPr>
        <w:t>Chen ha</w:t>
      </w:r>
      <w:r w:rsidR="00E84B0F">
        <w:rPr>
          <w:rFonts w:ascii="Arial" w:hAnsi="Arial" w:cs="Arial"/>
          <w:sz w:val="20"/>
          <w:szCs w:val="20"/>
          <w:lang w:val="en-GB"/>
        </w:rPr>
        <w:t>d</w:t>
      </w:r>
      <w:r w:rsidRPr="001C5E0F">
        <w:rPr>
          <w:rFonts w:ascii="Arial" w:hAnsi="Arial" w:cs="Arial"/>
          <w:sz w:val="20"/>
          <w:szCs w:val="20"/>
          <w:lang w:val="en-GB"/>
        </w:rPr>
        <w:t xml:space="preserve"> breached his director’s duties under </w:t>
      </w:r>
      <w:r w:rsidR="00707F74" w:rsidRPr="001C5E0F">
        <w:rPr>
          <w:rFonts w:ascii="Arial" w:hAnsi="Arial" w:cs="Arial"/>
          <w:sz w:val="20"/>
          <w:szCs w:val="20"/>
          <w:lang w:val="en-GB"/>
        </w:rPr>
        <w:t xml:space="preserve">HKEx Listing </w:t>
      </w:r>
      <w:r w:rsidRPr="001C5E0F">
        <w:rPr>
          <w:rFonts w:ascii="Arial" w:hAnsi="Arial" w:cs="Arial"/>
          <w:sz w:val="20"/>
          <w:szCs w:val="20"/>
          <w:lang w:val="en-GB"/>
        </w:rPr>
        <w:t>Rule 3.08 and his Director’s Undertaking</w:t>
      </w:r>
      <w:r w:rsidR="008D7227" w:rsidRPr="001C5E0F">
        <w:rPr>
          <w:rFonts w:ascii="Arial" w:hAnsi="Arial" w:cs="Arial"/>
          <w:sz w:val="20"/>
          <w:szCs w:val="20"/>
          <w:lang w:val="en-GB"/>
        </w:rPr>
        <w:t>.</w:t>
      </w:r>
      <w:r w:rsidRPr="001C5E0F">
        <w:rPr>
          <w:rFonts w:ascii="Arial" w:hAnsi="Arial" w:cs="Arial"/>
          <w:sz w:val="20"/>
          <w:szCs w:val="20"/>
          <w:lang w:val="en-GB"/>
        </w:rPr>
        <w:t xml:space="preserve"> </w:t>
      </w:r>
    </w:p>
    <w:p w:rsidR="001D77CE" w:rsidRPr="001C5E0F" w:rsidRDefault="000D3A2B" w:rsidP="00813E7F">
      <w:pPr>
        <w:jc w:val="both"/>
        <w:rPr>
          <w:rFonts w:ascii="Arial" w:hAnsi="Arial" w:cs="Arial"/>
          <w:b/>
          <w:sz w:val="20"/>
          <w:szCs w:val="20"/>
          <w:lang w:val="en-GB"/>
        </w:rPr>
      </w:pPr>
      <w:r w:rsidRPr="001C5E0F">
        <w:rPr>
          <w:rFonts w:ascii="Arial" w:hAnsi="Arial" w:cs="Arial"/>
          <w:b/>
          <w:sz w:val="20"/>
          <w:szCs w:val="20"/>
          <w:lang w:val="en-GB"/>
        </w:rPr>
        <w:t xml:space="preserve">Breach of </w:t>
      </w:r>
      <w:r w:rsidR="00501B19">
        <w:rPr>
          <w:rFonts w:ascii="Arial" w:hAnsi="Arial" w:cs="Arial"/>
          <w:b/>
          <w:sz w:val="20"/>
          <w:szCs w:val="20"/>
          <w:lang w:val="en-GB"/>
        </w:rPr>
        <w:t xml:space="preserve">HKEx </w:t>
      </w:r>
      <w:r w:rsidRPr="001C5E0F">
        <w:rPr>
          <w:rFonts w:ascii="Arial" w:hAnsi="Arial" w:cs="Arial"/>
          <w:b/>
          <w:sz w:val="20"/>
          <w:szCs w:val="20"/>
          <w:lang w:val="en-GB"/>
        </w:rPr>
        <w:t xml:space="preserve">Notifiable Transactions Rules </w:t>
      </w:r>
    </w:p>
    <w:p w:rsidR="00523994" w:rsidRPr="001C5E0F" w:rsidRDefault="00523994" w:rsidP="00813E7F">
      <w:pPr>
        <w:jc w:val="both"/>
        <w:rPr>
          <w:rFonts w:ascii="Arial" w:hAnsi="Arial" w:cs="Arial"/>
          <w:sz w:val="20"/>
          <w:szCs w:val="20"/>
          <w:lang w:val="en-GB"/>
        </w:rPr>
      </w:pPr>
      <w:r w:rsidRPr="001C5E0F">
        <w:rPr>
          <w:rFonts w:ascii="Arial" w:hAnsi="Arial" w:cs="Arial"/>
          <w:sz w:val="20"/>
          <w:szCs w:val="20"/>
          <w:lang w:val="en-GB"/>
        </w:rPr>
        <w:t xml:space="preserve">The </w:t>
      </w:r>
      <w:r w:rsidR="00C61721">
        <w:rPr>
          <w:rFonts w:ascii="Arial" w:hAnsi="Arial" w:cs="Arial"/>
          <w:sz w:val="20"/>
          <w:szCs w:val="20"/>
          <w:lang w:val="en-GB"/>
        </w:rPr>
        <w:t xml:space="preserve">HKEx </w:t>
      </w:r>
      <w:r w:rsidRPr="001C5E0F">
        <w:rPr>
          <w:rFonts w:ascii="Arial" w:hAnsi="Arial" w:cs="Arial"/>
          <w:sz w:val="20"/>
          <w:szCs w:val="20"/>
          <w:lang w:val="en-GB"/>
        </w:rPr>
        <w:t>Listing Committee</w:t>
      </w:r>
      <w:r w:rsidR="008D7227" w:rsidRPr="001C5E0F">
        <w:rPr>
          <w:rFonts w:ascii="Arial" w:hAnsi="Arial" w:cs="Arial"/>
          <w:sz w:val="20"/>
          <w:szCs w:val="20"/>
          <w:lang w:val="en-GB"/>
        </w:rPr>
        <w:t xml:space="preserve"> determined</w:t>
      </w:r>
      <w:r w:rsidR="00E84B0F">
        <w:rPr>
          <w:rFonts w:ascii="Arial" w:hAnsi="Arial" w:cs="Arial"/>
          <w:sz w:val="20"/>
          <w:szCs w:val="20"/>
          <w:lang w:val="en-GB"/>
        </w:rPr>
        <w:t xml:space="preserve"> that</w:t>
      </w:r>
      <w:r w:rsidR="008D7227" w:rsidRPr="001C5E0F">
        <w:rPr>
          <w:rFonts w:ascii="Arial" w:hAnsi="Arial" w:cs="Arial"/>
          <w:sz w:val="20"/>
          <w:szCs w:val="20"/>
          <w:lang w:val="en-GB"/>
        </w:rPr>
        <w:t xml:space="preserve"> </w:t>
      </w:r>
      <w:r w:rsidR="009C52D3" w:rsidRPr="001C5E0F">
        <w:rPr>
          <w:rFonts w:ascii="Arial" w:hAnsi="Arial" w:cs="Arial"/>
          <w:sz w:val="20"/>
          <w:szCs w:val="20"/>
          <w:lang w:val="en-GB"/>
        </w:rPr>
        <w:t>Good Resources’</w:t>
      </w:r>
      <w:r w:rsidR="00F46B8B">
        <w:rPr>
          <w:rFonts w:ascii="Arial" w:hAnsi="Arial" w:cs="Arial"/>
          <w:sz w:val="20"/>
          <w:szCs w:val="20"/>
          <w:lang w:val="en-GB"/>
        </w:rPr>
        <w:t xml:space="preserve"> </w:t>
      </w:r>
      <w:r w:rsidR="00E84B0F">
        <w:rPr>
          <w:rFonts w:ascii="Arial" w:hAnsi="Arial" w:cs="Arial"/>
          <w:sz w:val="20"/>
          <w:szCs w:val="20"/>
          <w:lang w:val="en-GB"/>
        </w:rPr>
        <w:t>s</w:t>
      </w:r>
      <w:r w:rsidRPr="001C5E0F">
        <w:rPr>
          <w:rFonts w:ascii="Arial" w:hAnsi="Arial" w:cs="Arial"/>
          <w:sz w:val="20"/>
          <w:szCs w:val="20"/>
          <w:lang w:val="en-GB"/>
        </w:rPr>
        <w:t>ubsidiary</w:t>
      </w:r>
      <w:r w:rsidR="009C52D3" w:rsidRPr="001C5E0F">
        <w:rPr>
          <w:rFonts w:ascii="Arial" w:hAnsi="Arial" w:cs="Arial"/>
          <w:sz w:val="20"/>
          <w:szCs w:val="20"/>
          <w:lang w:val="en-GB"/>
        </w:rPr>
        <w:t xml:space="preserve"> (the </w:t>
      </w:r>
      <w:r w:rsidR="009C52D3" w:rsidRPr="001C5E0F">
        <w:rPr>
          <w:rFonts w:ascii="Arial" w:hAnsi="Arial" w:cs="Arial"/>
          <w:b/>
          <w:sz w:val="20"/>
          <w:szCs w:val="20"/>
          <w:lang w:val="en-GB"/>
        </w:rPr>
        <w:t>Subsidiary</w:t>
      </w:r>
      <w:r w:rsidR="009C52D3" w:rsidRPr="001C5E0F">
        <w:rPr>
          <w:rFonts w:ascii="Arial" w:hAnsi="Arial" w:cs="Arial"/>
          <w:sz w:val="20"/>
          <w:szCs w:val="20"/>
          <w:lang w:val="en-GB"/>
        </w:rPr>
        <w:t>)</w:t>
      </w:r>
      <w:r w:rsidRPr="001C5E0F">
        <w:rPr>
          <w:rFonts w:ascii="Arial" w:hAnsi="Arial" w:cs="Arial"/>
          <w:sz w:val="20"/>
          <w:szCs w:val="20"/>
          <w:lang w:val="en-GB"/>
        </w:rPr>
        <w:t xml:space="preserve"> had engaged in several transactions and practices </w:t>
      </w:r>
      <w:r w:rsidR="00245AFC">
        <w:rPr>
          <w:rFonts w:ascii="Arial" w:hAnsi="Arial" w:cs="Arial"/>
          <w:sz w:val="20"/>
          <w:szCs w:val="20"/>
          <w:lang w:val="en-GB"/>
        </w:rPr>
        <w:t xml:space="preserve">of concern </w:t>
      </w:r>
      <w:r w:rsidRPr="001C5E0F">
        <w:rPr>
          <w:rFonts w:ascii="Arial" w:hAnsi="Arial" w:cs="Arial"/>
          <w:sz w:val="20"/>
          <w:szCs w:val="20"/>
          <w:lang w:val="en-GB"/>
        </w:rPr>
        <w:t>between 2019 and 2020</w:t>
      </w:r>
      <w:r w:rsidR="00325299">
        <w:rPr>
          <w:rFonts w:ascii="Arial" w:hAnsi="Arial" w:cs="Arial"/>
          <w:sz w:val="20"/>
          <w:szCs w:val="20"/>
          <w:lang w:val="en-GB"/>
        </w:rPr>
        <w:t>,</w:t>
      </w:r>
      <w:r w:rsidR="007F3121" w:rsidRPr="001C5E0F">
        <w:rPr>
          <w:rFonts w:ascii="Arial" w:hAnsi="Arial" w:cs="Arial"/>
          <w:sz w:val="20"/>
          <w:szCs w:val="20"/>
          <w:lang w:val="en-GB"/>
        </w:rPr>
        <w:t xml:space="preserve"> having</w:t>
      </w:r>
      <w:r w:rsidRPr="001C5E0F">
        <w:rPr>
          <w:rFonts w:ascii="Arial" w:hAnsi="Arial" w:cs="Arial"/>
          <w:sz w:val="20"/>
          <w:szCs w:val="20"/>
          <w:lang w:val="en-GB"/>
        </w:rPr>
        <w:t xml:space="preserve">: </w:t>
      </w:r>
    </w:p>
    <w:p w:rsidR="007F3121" w:rsidRPr="001C5E0F" w:rsidRDefault="00B51813">
      <w:pPr>
        <w:pStyle w:val="a4"/>
        <w:numPr>
          <w:ilvl w:val="0"/>
          <w:numId w:val="2"/>
        </w:numPr>
        <w:jc w:val="both"/>
        <w:rPr>
          <w:rFonts w:ascii="Arial" w:hAnsi="Arial" w:cs="Arial"/>
          <w:b/>
          <w:sz w:val="20"/>
          <w:szCs w:val="20"/>
          <w:lang w:val="en-GB"/>
        </w:rPr>
      </w:pPr>
      <w:r w:rsidRPr="001C5E0F">
        <w:rPr>
          <w:rFonts w:ascii="Arial" w:hAnsi="Arial" w:cs="Arial"/>
          <w:sz w:val="20"/>
          <w:szCs w:val="20"/>
          <w:lang w:val="en-GB"/>
        </w:rPr>
        <w:t>entered</w:t>
      </w:r>
      <w:r w:rsidR="00523994" w:rsidRPr="001C5E0F">
        <w:rPr>
          <w:rFonts w:ascii="Arial" w:hAnsi="Arial" w:cs="Arial"/>
          <w:sz w:val="20"/>
          <w:szCs w:val="20"/>
          <w:lang w:val="en-GB"/>
        </w:rPr>
        <w:t xml:space="preserve"> into loan agreements</w:t>
      </w:r>
      <w:r w:rsidR="004B214B">
        <w:rPr>
          <w:rFonts w:ascii="Arial" w:hAnsi="Arial" w:cs="Arial"/>
          <w:sz w:val="20"/>
          <w:szCs w:val="20"/>
          <w:lang w:val="en-GB"/>
        </w:rPr>
        <w:t xml:space="preserve"> </w:t>
      </w:r>
      <w:r w:rsidR="004B214B" w:rsidRPr="001C5E0F">
        <w:rPr>
          <w:rFonts w:ascii="Arial" w:hAnsi="Arial" w:cs="Arial"/>
          <w:sz w:val="20"/>
          <w:szCs w:val="20"/>
          <w:lang w:val="en-GB"/>
        </w:rPr>
        <w:t xml:space="preserve">(the </w:t>
      </w:r>
      <w:r w:rsidR="004B214B" w:rsidRPr="001C5E0F">
        <w:rPr>
          <w:rFonts w:ascii="Arial" w:hAnsi="Arial" w:cs="Arial"/>
          <w:b/>
          <w:sz w:val="20"/>
          <w:szCs w:val="20"/>
          <w:lang w:val="en-GB"/>
        </w:rPr>
        <w:t>Loan Agreements</w:t>
      </w:r>
      <w:r w:rsidR="004B214B" w:rsidRPr="001C5E0F">
        <w:rPr>
          <w:rFonts w:ascii="Arial" w:hAnsi="Arial" w:cs="Arial"/>
          <w:sz w:val="20"/>
          <w:szCs w:val="20"/>
          <w:lang w:val="en-GB"/>
        </w:rPr>
        <w:t>)</w:t>
      </w:r>
      <w:r w:rsidR="004B214B">
        <w:rPr>
          <w:rFonts w:ascii="Arial" w:hAnsi="Arial" w:cs="Arial"/>
          <w:sz w:val="20"/>
          <w:szCs w:val="20"/>
          <w:lang w:val="en-GB"/>
        </w:rPr>
        <w:t xml:space="preserve"> with, and pledge contracts </w:t>
      </w:r>
      <w:r w:rsidR="004B214B" w:rsidRPr="001C5E0F">
        <w:rPr>
          <w:rFonts w:ascii="Arial" w:hAnsi="Arial" w:cs="Arial"/>
          <w:sz w:val="20"/>
          <w:szCs w:val="20"/>
          <w:lang w:val="en-GB"/>
        </w:rPr>
        <w:t xml:space="preserve">(the </w:t>
      </w:r>
      <w:r w:rsidR="004B214B" w:rsidRPr="001C5E0F">
        <w:rPr>
          <w:rFonts w:ascii="Arial" w:hAnsi="Arial" w:cs="Arial"/>
          <w:b/>
          <w:sz w:val="20"/>
          <w:szCs w:val="20"/>
          <w:lang w:val="en-GB"/>
        </w:rPr>
        <w:t>Pledge Contracts</w:t>
      </w:r>
      <w:r w:rsidR="004B214B" w:rsidRPr="001C5E0F">
        <w:rPr>
          <w:rFonts w:ascii="Arial" w:hAnsi="Arial" w:cs="Arial"/>
          <w:sz w:val="20"/>
          <w:szCs w:val="20"/>
          <w:lang w:val="en-GB"/>
        </w:rPr>
        <w:t>)</w:t>
      </w:r>
      <w:r w:rsidR="004B214B">
        <w:rPr>
          <w:rFonts w:ascii="Arial" w:hAnsi="Arial" w:cs="Arial"/>
          <w:sz w:val="20"/>
          <w:szCs w:val="20"/>
          <w:lang w:val="en-GB"/>
        </w:rPr>
        <w:t xml:space="preserve"> to secure the loan obligations of, companies connected with </w:t>
      </w:r>
      <w:r w:rsidR="004B214B" w:rsidRPr="001C5E0F">
        <w:rPr>
          <w:rFonts w:ascii="Arial" w:hAnsi="Arial" w:cs="Arial"/>
          <w:sz w:val="20"/>
          <w:szCs w:val="20"/>
          <w:lang w:val="en-GB"/>
        </w:rPr>
        <w:t>Good Resources</w:t>
      </w:r>
      <w:r w:rsidR="004B214B">
        <w:rPr>
          <w:rFonts w:ascii="Arial" w:hAnsi="Arial" w:cs="Arial"/>
          <w:sz w:val="20"/>
          <w:szCs w:val="20"/>
          <w:lang w:val="en-GB"/>
        </w:rPr>
        <w:t>’ controlling shareholder.</w:t>
      </w:r>
      <w:r w:rsidR="004B214B" w:rsidRPr="001C5E0F">
        <w:rPr>
          <w:rFonts w:ascii="Arial" w:hAnsi="Arial" w:cs="Arial"/>
          <w:sz w:val="20"/>
          <w:szCs w:val="20"/>
          <w:lang w:val="en-GB"/>
        </w:rPr>
        <w:t xml:space="preserve"> </w:t>
      </w:r>
      <w:r w:rsidR="008F73F5" w:rsidRPr="001C5E0F">
        <w:rPr>
          <w:rFonts w:ascii="Arial" w:hAnsi="Arial" w:cs="Arial"/>
          <w:sz w:val="20"/>
          <w:szCs w:val="20"/>
          <w:lang w:val="en-GB"/>
        </w:rPr>
        <w:t>The p</w:t>
      </w:r>
      <w:r w:rsidR="007F3121" w:rsidRPr="001C5E0F">
        <w:rPr>
          <w:rFonts w:ascii="Arial" w:hAnsi="Arial" w:cs="Arial"/>
          <w:sz w:val="20"/>
          <w:szCs w:val="20"/>
          <w:lang w:val="en-GB"/>
        </w:rPr>
        <w:t xml:space="preserve">ledges were enforced </w:t>
      </w:r>
      <w:r w:rsidR="007E3F1B" w:rsidRPr="001C5E0F">
        <w:rPr>
          <w:rFonts w:ascii="Arial" w:hAnsi="Arial" w:cs="Arial"/>
          <w:sz w:val="20"/>
          <w:szCs w:val="20"/>
          <w:lang w:val="en-GB"/>
        </w:rPr>
        <w:t>in September-November 2019</w:t>
      </w:r>
      <w:r w:rsidR="004B214B">
        <w:rPr>
          <w:rFonts w:ascii="Arial" w:hAnsi="Arial" w:cs="Arial"/>
          <w:sz w:val="20"/>
          <w:szCs w:val="20"/>
          <w:lang w:val="en-GB"/>
        </w:rPr>
        <w:t xml:space="preserve"> and </w:t>
      </w:r>
      <w:r w:rsidR="004B214B" w:rsidRPr="001C5E0F">
        <w:rPr>
          <w:rFonts w:ascii="Arial" w:hAnsi="Arial" w:cs="Arial"/>
          <w:sz w:val="20"/>
          <w:szCs w:val="20"/>
          <w:lang w:val="en-GB"/>
        </w:rPr>
        <w:t>the beneficiary</w:t>
      </w:r>
      <w:r w:rsidR="004B214B">
        <w:rPr>
          <w:rFonts w:ascii="Arial" w:hAnsi="Arial" w:cs="Arial"/>
          <w:sz w:val="20"/>
          <w:szCs w:val="20"/>
          <w:lang w:val="en-GB"/>
        </w:rPr>
        <w:t xml:space="preserve"> bank</w:t>
      </w:r>
      <w:r w:rsidR="007F3121" w:rsidRPr="001C5E0F">
        <w:rPr>
          <w:rFonts w:ascii="Arial" w:hAnsi="Arial" w:cs="Arial"/>
          <w:sz w:val="20"/>
          <w:szCs w:val="20"/>
          <w:lang w:val="en-GB"/>
        </w:rPr>
        <w:t xml:space="preserve"> </w:t>
      </w:r>
      <w:r w:rsidR="004B214B">
        <w:rPr>
          <w:rFonts w:ascii="Arial" w:hAnsi="Arial" w:cs="Arial"/>
          <w:sz w:val="20"/>
          <w:szCs w:val="20"/>
          <w:lang w:val="en-GB"/>
        </w:rPr>
        <w:t xml:space="preserve">deducted the pledged deposits </w:t>
      </w:r>
      <w:r w:rsidR="007F3121" w:rsidRPr="001C5E0F">
        <w:rPr>
          <w:rFonts w:ascii="Arial" w:hAnsi="Arial" w:cs="Arial"/>
          <w:sz w:val="20"/>
          <w:szCs w:val="20"/>
          <w:lang w:val="en-GB"/>
        </w:rPr>
        <w:t>of approximately RMB 981.6 million</w:t>
      </w:r>
      <w:r w:rsidR="004B214B">
        <w:rPr>
          <w:rFonts w:ascii="Arial" w:hAnsi="Arial" w:cs="Arial"/>
          <w:sz w:val="20"/>
          <w:szCs w:val="20"/>
          <w:lang w:val="en-GB"/>
        </w:rPr>
        <w:t>;</w:t>
      </w:r>
      <w:r w:rsidR="007F3121" w:rsidRPr="001C5E0F">
        <w:rPr>
          <w:rFonts w:ascii="Arial" w:hAnsi="Arial" w:cs="Arial"/>
          <w:sz w:val="20"/>
          <w:szCs w:val="20"/>
          <w:lang w:val="en-GB"/>
        </w:rPr>
        <w:t xml:space="preserve"> </w:t>
      </w:r>
      <w:r w:rsidR="00E20508" w:rsidRPr="001C5E0F">
        <w:rPr>
          <w:rFonts w:ascii="Arial" w:hAnsi="Arial" w:cs="Arial"/>
          <w:sz w:val="20"/>
          <w:szCs w:val="20"/>
          <w:lang w:val="en-GB"/>
        </w:rPr>
        <w:t>and</w:t>
      </w:r>
    </w:p>
    <w:p w:rsidR="003B7E90" w:rsidRPr="001C5E0F" w:rsidRDefault="003B7E90" w:rsidP="00813E7F">
      <w:pPr>
        <w:pStyle w:val="a4"/>
        <w:jc w:val="both"/>
        <w:rPr>
          <w:rFonts w:ascii="Arial" w:hAnsi="Arial" w:cs="Arial"/>
          <w:b/>
          <w:sz w:val="20"/>
          <w:szCs w:val="20"/>
          <w:lang w:val="en-GB"/>
        </w:rPr>
      </w:pPr>
    </w:p>
    <w:p w:rsidR="00B55D5B" w:rsidRPr="001C5E0F" w:rsidRDefault="007A3982" w:rsidP="00813E7F">
      <w:pPr>
        <w:pStyle w:val="a4"/>
        <w:numPr>
          <w:ilvl w:val="0"/>
          <w:numId w:val="2"/>
        </w:numPr>
        <w:jc w:val="both"/>
        <w:rPr>
          <w:rFonts w:ascii="Arial" w:hAnsi="Arial" w:cs="Arial"/>
          <w:sz w:val="20"/>
          <w:szCs w:val="20"/>
          <w:lang w:val="en-GB"/>
        </w:rPr>
      </w:pPr>
      <w:r>
        <w:rPr>
          <w:rFonts w:ascii="Arial" w:hAnsi="Arial" w:cs="Arial"/>
          <w:sz w:val="20"/>
          <w:szCs w:val="20"/>
          <w:lang w:val="en-GB"/>
        </w:rPr>
        <w:t>conducted circular payments</w:t>
      </w:r>
      <w:r w:rsidRPr="007A3982">
        <w:rPr>
          <w:rFonts w:ascii="Arial" w:hAnsi="Arial" w:cs="Arial"/>
          <w:sz w:val="20"/>
          <w:szCs w:val="20"/>
          <w:lang w:val="en-GB"/>
        </w:rPr>
        <w:t xml:space="preserve"> </w:t>
      </w:r>
      <w:r w:rsidRPr="001C5E0F">
        <w:rPr>
          <w:rFonts w:ascii="Arial" w:hAnsi="Arial" w:cs="Arial"/>
          <w:sz w:val="20"/>
          <w:szCs w:val="20"/>
          <w:lang w:val="en-GB"/>
        </w:rPr>
        <w:t>of</w:t>
      </w:r>
      <w:r>
        <w:rPr>
          <w:rFonts w:ascii="Arial" w:hAnsi="Arial" w:cs="Arial"/>
          <w:sz w:val="20"/>
          <w:szCs w:val="20"/>
          <w:lang w:val="en-GB"/>
        </w:rPr>
        <w:t xml:space="preserve"> </w:t>
      </w:r>
      <w:r w:rsidRPr="001C5E0F">
        <w:rPr>
          <w:rFonts w:ascii="Arial" w:hAnsi="Arial" w:cs="Arial"/>
          <w:sz w:val="20"/>
          <w:szCs w:val="20"/>
          <w:lang w:val="en-GB"/>
        </w:rPr>
        <w:t>RMB 378 million</w:t>
      </w:r>
      <w:r>
        <w:rPr>
          <w:rFonts w:ascii="Arial" w:hAnsi="Arial" w:cs="Arial"/>
          <w:sz w:val="20"/>
          <w:szCs w:val="20"/>
          <w:lang w:val="en-GB"/>
        </w:rPr>
        <w:t xml:space="preserve"> </w:t>
      </w:r>
      <w:r w:rsidR="00B55D5B" w:rsidRPr="001C5E0F">
        <w:rPr>
          <w:rFonts w:ascii="Arial" w:hAnsi="Arial" w:cs="Arial"/>
          <w:sz w:val="20"/>
          <w:szCs w:val="20"/>
          <w:lang w:val="en-GB"/>
        </w:rPr>
        <w:t xml:space="preserve">on either side of </w:t>
      </w:r>
      <w:r w:rsidR="009C52D3" w:rsidRPr="001C5E0F">
        <w:rPr>
          <w:rFonts w:ascii="Arial" w:hAnsi="Arial" w:cs="Arial"/>
          <w:sz w:val="20"/>
          <w:szCs w:val="20"/>
          <w:lang w:val="en-GB"/>
        </w:rPr>
        <w:t>Good Resources’</w:t>
      </w:r>
      <w:r w:rsidR="00B55D5B" w:rsidRPr="001C5E0F">
        <w:rPr>
          <w:rFonts w:ascii="Arial" w:hAnsi="Arial" w:cs="Arial"/>
          <w:sz w:val="20"/>
          <w:szCs w:val="20"/>
          <w:lang w:val="en-GB"/>
        </w:rPr>
        <w:t xml:space="preserve"> end o</w:t>
      </w:r>
      <w:r w:rsidR="00377180">
        <w:rPr>
          <w:rFonts w:ascii="Arial" w:hAnsi="Arial" w:cs="Arial"/>
          <w:sz w:val="20"/>
          <w:szCs w:val="20"/>
          <w:lang w:val="en-GB"/>
        </w:rPr>
        <w:t>f year financial reporting point</w:t>
      </w:r>
      <w:r w:rsidR="008D7227" w:rsidRPr="001C5E0F">
        <w:rPr>
          <w:rFonts w:ascii="Arial" w:hAnsi="Arial" w:cs="Arial"/>
          <w:sz w:val="20"/>
          <w:szCs w:val="20"/>
          <w:lang w:val="en-GB"/>
        </w:rPr>
        <w:t xml:space="preserve">. The sum was transferred from one of </w:t>
      </w:r>
      <w:r w:rsidR="004B214B">
        <w:rPr>
          <w:rFonts w:ascii="Arial" w:hAnsi="Arial" w:cs="Arial"/>
          <w:sz w:val="20"/>
          <w:szCs w:val="20"/>
          <w:lang w:val="en-GB"/>
        </w:rPr>
        <w:t xml:space="preserve">the companies connected with the controlling shareholder </w:t>
      </w:r>
      <w:r w:rsidR="008D7227" w:rsidRPr="001C5E0F">
        <w:rPr>
          <w:rFonts w:ascii="Arial" w:hAnsi="Arial" w:cs="Arial"/>
          <w:sz w:val="20"/>
          <w:szCs w:val="20"/>
          <w:lang w:val="en-GB"/>
        </w:rPr>
        <w:t xml:space="preserve">on 30 June 2020 to the Subsidiary and </w:t>
      </w:r>
      <w:r w:rsidR="00B55D5B" w:rsidRPr="001C5E0F">
        <w:rPr>
          <w:rFonts w:ascii="Arial" w:hAnsi="Arial" w:cs="Arial"/>
          <w:sz w:val="20"/>
          <w:szCs w:val="20"/>
          <w:lang w:val="en-GB"/>
        </w:rPr>
        <w:t>return</w:t>
      </w:r>
      <w:r w:rsidR="008D7227" w:rsidRPr="001C5E0F">
        <w:rPr>
          <w:rFonts w:ascii="Arial" w:hAnsi="Arial" w:cs="Arial"/>
          <w:sz w:val="20"/>
          <w:szCs w:val="20"/>
          <w:lang w:val="en-GB"/>
        </w:rPr>
        <w:t xml:space="preserve">ed </w:t>
      </w:r>
      <w:r w:rsidR="00B55D5B" w:rsidRPr="001C5E0F">
        <w:rPr>
          <w:rFonts w:ascii="Arial" w:hAnsi="Arial" w:cs="Arial"/>
          <w:sz w:val="20"/>
          <w:szCs w:val="20"/>
          <w:lang w:val="en-GB"/>
        </w:rPr>
        <w:t xml:space="preserve">one day later (the </w:t>
      </w:r>
      <w:r w:rsidR="00B55D5B" w:rsidRPr="001C5E0F">
        <w:rPr>
          <w:rFonts w:ascii="Arial" w:hAnsi="Arial" w:cs="Arial"/>
          <w:b/>
          <w:sz w:val="20"/>
          <w:szCs w:val="20"/>
          <w:lang w:val="en-GB"/>
        </w:rPr>
        <w:t>Immediate Remittances</w:t>
      </w:r>
      <w:r w:rsidR="00B55D5B" w:rsidRPr="001C5E0F">
        <w:rPr>
          <w:rFonts w:ascii="Arial" w:hAnsi="Arial" w:cs="Arial"/>
          <w:sz w:val="20"/>
          <w:szCs w:val="20"/>
          <w:lang w:val="en-GB"/>
        </w:rPr>
        <w:t>)</w:t>
      </w:r>
      <w:r w:rsidR="00586A20" w:rsidRPr="001C5E0F">
        <w:rPr>
          <w:rFonts w:ascii="Arial" w:hAnsi="Arial" w:cs="Arial"/>
          <w:sz w:val="20"/>
          <w:szCs w:val="20"/>
          <w:lang w:val="en-GB"/>
        </w:rPr>
        <w:t>. The Subsidiary had claimed the Immediate Remittances were an operation error bu</w:t>
      </w:r>
      <w:r w:rsidR="008D7227" w:rsidRPr="001C5E0F">
        <w:rPr>
          <w:rFonts w:ascii="Arial" w:hAnsi="Arial" w:cs="Arial"/>
          <w:sz w:val="20"/>
          <w:szCs w:val="20"/>
          <w:lang w:val="en-GB"/>
        </w:rPr>
        <w:t>t the forensic reviewer found this to be</w:t>
      </w:r>
      <w:r w:rsidR="00586A20" w:rsidRPr="001C5E0F">
        <w:rPr>
          <w:rFonts w:ascii="Arial" w:hAnsi="Arial" w:cs="Arial"/>
          <w:sz w:val="20"/>
          <w:szCs w:val="20"/>
          <w:lang w:val="en-GB"/>
        </w:rPr>
        <w:t xml:space="preserve"> unlikely</w:t>
      </w:r>
      <w:r w:rsidR="00E20508">
        <w:rPr>
          <w:rFonts w:ascii="Arial" w:hAnsi="Arial" w:cs="Arial"/>
          <w:sz w:val="20"/>
          <w:szCs w:val="20"/>
          <w:lang w:val="en-GB"/>
        </w:rPr>
        <w:t>.</w:t>
      </w:r>
      <w:r w:rsidR="003B7E90" w:rsidRPr="001C5E0F">
        <w:rPr>
          <w:rFonts w:ascii="Arial" w:hAnsi="Arial" w:cs="Arial"/>
          <w:sz w:val="20"/>
          <w:szCs w:val="20"/>
          <w:lang w:val="en-GB"/>
        </w:rPr>
        <w:t xml:space="preserve"> </w:t>
      </w:r>
    </w:p>
    <w:p w:rsidR="00B55D5B" w:rsidRPr="00D6430A" w:rsidRDefault="00E20508" w:rsidP="00D6430A">
      <w:pPr>
        <w:jc w:val="both"/>
        <w:rPr>
          <w:rFonts w:ascii="Arial" w:hAnsi="Arial" w:cs="Arial"/>
          <w:sz w:val="20"/>
          <w:szCs w:val="20"/>
          <w:lang w:val="en-GB"/>
        </w:rPr>
      </w:pPr>
      <w:r>
        <w:rPr>
          <w:rFonts w:ascii="Arial" w:hAnsi="Arial" w:cs="Arial"/>
          <w:sz w:val="20"/>
          <w:szCs w:val="20"/>
          <w:lang w:val="en-GB"/>
        </w:rPr>
        <w:lastRenderedPageBreak/>
        <w:t>In addition, p</w:t>
      </w:r>
      <w:r w:rsidR="00B55D5B" w:rsidRPr="00D6430A">
        <w:rPr>
          <w:rFonts w:ascii="Arial" w:hAnsi="Arial" w:cs="Arial"/>
          <w:sz w:val="20"/>
          <w:szCs w:val="20"/>
          <w:lang w:val="en-GB"/>
        </w:rPr>
        <w:t xml:space="preserve">rovision of the </w:t>
      </w:r>
      <w:r w:rsidR="009C52D3" w:rsidRPr="00D6430A">
        <w:rPr>
          <w:rFonts w:ascii="Arial" w:hAnsi="Arial" w:cs="Arial"/>
          <w:sz w:val="20"/>
          <w:szCs w:val="20"/>
          <w:lang w:val="en-GB"/>
        </w:rPr>
        <w:t>Subsidiary</w:t>
      </w:r>
      <w:r w:rsidR="00B55D5B" w:rsidRPr="00D6430A">
        <w:rPr>
          <w:rFonts w:ascii="Arial" w:hAnsi="Arial" w:cs="Arial"/>
          <w:sz w:val="20"/>
          <w:szCs w:val="20"/>
          <w:lang w:val="en-GB"/>
        </w:rPr>
        <w:t xml:space="preserve">’s financial statements </w:t>
      </w:r>
      <w:r w:rsidR="00707F74" w:rsidRPr="00D6430A">
        <w:rPr>
          <w:rFonts w:ascii="Arial" w:hAnsi="Arial" w:cs="Arial"/>
          <w:sz w:val="20"/>
          <w:szCs w:val="20"/>
          <w:lang w:val="en-GB"/>
        </w:rPr>
        <w:t xml:space="preserve">as at 30 June 2020 </w:t>
      </w:r>
      <w:r w:rsidR="00B55D5B" w:rsidRPr="00D6430A">
        <w:rPr>
          <w:rFonts w:ascii="Arial" w:hAnsi="Arial" w:cs="Arial"/>
          <w:sz w:val="20"/>
          <w:szCs w:val="20"/>
          <w:lang w:val="en-GB"/>
        </w:rPr>
        <w:t>show</w:t>
      </w:r>
      <w:r>
        <w:rPr>
          <w:rFonts w:ascii="Arial" w:hAnsi="Arial" w:cs="Arial"/>
          <w:sz w:val="20"/>
          <w:szCs w:val="20"/>
          <w:lang w:val="en-GB"/>
        </w:rPr>
        <w:t>ed</w:t>
      </w:r>
      <w:r w:rsidR="00B55D5B" w:rsidRPr="00D6430A">
        <w:rPr>
          <w:rFonts w:ascii="Arial" w:hAnsi="Arial" w:cs="Arial"/>
          <w:sz w:val="20"/>
          <w:szCs w:val="20"/>
          <w:lang w:val="en-GB"/>
        </w:rPr>
        <w:t xml:space="preserve"> a subscription for certain wealth management products with a reported value of RMB</w:t>
      </w:r>
      <w:r>
        <w:rPr>
          <w:rFonts w:ascii="Arial" w:hAnsi="Arial" w:cs="Arial"/>
          <w:sz w:val="20"/>
          <w:szCs w:val="20"/>
          <w:lang w:val="en-GB"/>
        </w:rPr>
        <w:t xml:space="preserve"> </w:t>
      </w:r>
      <w:r w:rsidR="00B55D5B" w:rsidRPr="00D6430A">
        <w:rPr>
          <w:rFonts w:ascii="Arial" w:hAnsi="Arial" w:cs="Arial"/>
          <w:sz w:val="20"/>
          <w:szCs w:val="20"/>
          <w:lang w:val="en-GB"/>
        </w:rPr>
        <w:t>602.</w:t>
      </w:r>
      <w:r w:rsidR="00707F74" w:rsidRPr="00D6430A">
        <w:rPr>
          <w:rFonts w:ascii="Arial" w:hAnsi="Arial" w:cs="Arial"/>
          <w:sz w:val="20"/>
          <w:szCs w:val="20"/>
          <w:lang w:val="en-GB"/>
        </w:rPr>
        <w:t>9</w:t>
      </w:r>
      <w:r w:rsidR="00B55D5B" w:rsidRPr="00D6430A">
        <w:rPr>
          <w:rFonts w:ascii="Arial" w:hAnsi="Arial" w:cs="Arial"/>
          <w:sz w:val="20"/>
          <w:szCs w:val="20"/>
          <w:lang w:val="en-GB"/>
        </w:rPr>
        <w:t xml:space="preserve">8 million </w:t>
      </w:r>
      <w:r w:rsidR="00BE6BA7" w:rsidRPr="00D6430A">
        <w:rPr>
          <w:rFonts w:ascii="Arial" w:hAnsi="Arial" w:cs="Arial"/>
          <w:sz w:val="20"/>
          <w:szCs w:val="20"/>
          <w:lang w:val="en-GB"/>
        </w:rPr>
        <w:t xml:space="preserve">(the </w:t>
      </w:r>
      <w:r w:rsidR="00BE6BA7" w:rsidRPr="00D6430A">
        <w:rPr>
          <w:rFonts w:ascii="Arial" w:hAnsi="Arial" w:cs="Arial"/>
          <w:b/>
          <w:sz w:val="20"/>
          <w:szCs w:val="20"/>
          <w:lang w:val="en-GB"/>
        </w:rPr>
        <w:t>Purported Subscription</w:t>
      </w:r>
      <w:r w:rsidR="00BE6BA7" w:rsidRPr="00D6430A">
        <w:rPr>
          <w:rFonts w:ascii="Arial" w:hAnsi="Arial" w:cs="Arial"/>
          <w:sz w:val="20"/>
          <w:szCs w:val="20"/>
          <w:lang w:val="en-GB"/>
        </w:rPr>
        <w:t>)</w:t>
      </w:r>
      <w:r w:rsidR="00B51813" w:rsidRPr="00D6430A">
        <w:rPr>
          <w:rFonts w:ascii="Arial" w:hAnsi="Arial" w:cs="Arial"/>
          <w:sz w:val="20"/>
          <w:szCs w:val="20"/>
          <w:lang w:val="en-GB"/>
        </w:rPr>
        <w:t>. U</w:t>
      </w:r>
      <w:r w:rsidR="00B55D5B" w:rsidRPr="00D6430A">
        <w:rPr>
          <w:rFonts w:ascii="Arial" w:hAnsi="Arial" w:cs="Arial"/>
          <w:sz w:val="20"/>
          <w:szCs w:val="20"/>
          <w:lang w:val="en-GB"/>
        </w:rPr>
        <w:t>pon independent forensic review</w:t>
      </w:r>
      <w:r>
        <w:rPr>
          <w:rFonts w:ascii="Arial" w:hAnsi="Arial" w:cs="Arial"/>
          <w:sz w:val="20"/>
          <w:szCs w:val="20"/>
          <w:lang w:val="en-GB"/>
        </w:rPr>
        <w:t>,</w:t>
      </w:r>
      <w:r w:rsidR="00B55D5B" w:rsidRPr="00D6430A">
        <w:rPr>
          <w:rFonts w:ascii="Arial" w:hAnsi="Arial" w:cs="Arial"/>
          <w:sz w:val="20"/>
          <w:szCs w:val="20"/>
          <w:lang w:val="en-GB"/>
        </w:rPr>
        <w:t xml:space="preserve"> </w:t>
      </w:r>
      <w:r w:rsidR="00B51813" w:rsidRPr="00D6430A">
        <w:rPr>
          <w:rFonts w:ascii="Arial" w:hAnsi="Arial" w:cs="Arial"/>
          <w:sz w:val="20"/>
          <w:szCs w:val="20"/>
          <w:lang w:val="en-GB"/>
        </w:rPr>
        <w:t xml:space="preserve">it was discovered </w:t>
      </w:r>
      <w:r>
        <w:rPr>
          <w:rFonts w:ascii="Arial" w:hAnsi="Arial" w:cs="Arial"/>
          <w:sz w:val="20"/>
          <w:szCs w:val="20"/>
          <w:lang w:val="en-GB"/>
        </w:rPr>
        <w:t xml:space="preserve">that </w:t>
      </w:r>
      <w:r w:rsidR="00B51813" w:rsidRPr="00D6430A">
        <w:rPr>
          <w:rFonts w:ascii="Arial" w:hAnsi="Arial" w:cs="Arial"/>
          <w:sz w:val="20"/>
          <w:szCs w:val="20"/>
          <w:lang w:val="en-GB"/>
        </w:rPr>
        <w:t>the Purported S</w:t>
      </w:r>
      <w:r w:rsidR="00B55D5B" w:rsidRPr="00D6430A">
        <w:rPr>
          <w:rFonts w:ascii="Arial" w:hAnsi="Arial" w:cs="Arial"/>
          <w:sz w:val="20"/>
          <w:szCs w:val="20"/>
          <w:lang w:val="en-GB"/>
        </w:rPr>
        <w:t xml:space="preserve">ubscription never occurred. The forensic reviewer did not accept the </w:t>
      </w:r>
      <w:r w:rsidR="009C52D3" w:rsidRPr="00D6430A">
        <w:rPr>
          <w:rFonts w:ascii="Arial" w:hAnsi="Arial" w:cs="Arial"/>
          <w:sz w:val="20"/>
          <w:szCs w:val="20"/>
          <w:lang w:val="en-GB"/>
        </w:rPr>
        <w:t>Subsidiary’s</w:t>
      </w:r>
      <w:r w:rsidR="00B55D5B" w:rsidRPr="00D6430A">
        <w:rPr>
          <w:rFonts w:ascii="Arial" w:hAnsi="Arial" w:cs="Arial"/>
          <w:sz w:val="20"/>
          <w:szCs w:val="20"/>
          <w:lang w:val="en-GB"/>
        </w:rPr>
        <w:t xml:space="preserve"> explana</w:t>
      </w:r>
      <w:r w:rsidR="009C52D3" w:rsidRPr="00D6430A">
        <w:rPr>
          <w:rFonts w:ascii="Arial" w:hAnsi="Arial" w:cs="Arial"/>
          <w:sz w:val="20"/>
          <w:szCs w:val="20"/>
          <w:lang w:val="en-GB"/>
        </w:rPr>
        <w:t xml:space="preserve">tion of a misunderstanding and </w:t>
      </w:r>
      <w:r w:rsidR="00B55D5B" w:rsidRPr="00D6430A">
        <w:rPr>
          <w:rFonts w:ascii="Arial" w:hAnsi="Arial" w:cs="Arial"/>
          <w:sz w:val="20"/>
          <w:szCs w:val="20"/>
          <w:lang w:val="en-GB"/>
        </w:rPr>
        <w:t xml:space="preserve">doubted the authenticity of certain </w:t>
      </w:r>
      <w:r w:rsidR="00707F74" w:rsidRPr="00D6430A">
        <w:rPr>
          <w:rFonts w:ascii="Arial" w:hAnsi="Arial" w:cs="Arial"/>
          <w:sz w:val="20"/>
          <w:szCs w:val="20"/>
          <w:lang w:val="en-GB"/>
        </w:rPr>
        <w:t>purported subscription records</w:t>
      </w:r>
      <w:r w:rsidR="00B55D5B" w:rsidRPr="00D6430A">
        <w:rPr>
          <w:rFonts w:ascii="Arial" w:hAnsi="Arial" w:cs="Arial"/>
          <w:sz w:val="20"/>
          <w:szCs w:val="20"/>
          <w:lang w:val="en-GB"/>
        </w:rPr>
        <w:t xml:space="preserve">. </w:t>
      </w:r>
      <w:r>
        <w:rPr>
          <w:rFonts w:ascii="Arial" w:hAnsi="Arial" w:cs="Arial"/>
          <w:sz w:val="20"/>
          <w:szCs w:val="20"/>
          <w:lang w:val="en-GB"/>
        </w:rPr>
        <w:t>It was also</w:t>
      </w:r>
      <w:r w:rsidR="00B51813" w:rsidRPr="00D6430A">
        <w:rPr>
          <w:rFonts w:ascii="Arial" w:hAnsi="Arial" w:cs="Arial"/>
          <w:sz w:val="20"/>
          <w:szCs w:val="20"/>
          <w:lang w:val="en-GB"/>
        </w:rPr>
        <w:t xml:space="preserve"> suspected </w:t>
      </w:r>
      <w:r>
        <w:rPr>
          <w:rFonts w:ascii="Arial" w:hAnsi="Arial" w:cs="Arial"/>
          <w:sz w:val="20"/>
          <w:szCs w:val="20"/>
          <w:lang w:val="en-GB"/>
        </w:rPr>
        <w:t xml:space="preserve">that </w:t>
      </w:r>
      <w:r w:rsidR="00B51813" w:rsidRPr="00D6430A">
        <w:rPr>
          <w:rFonts w:ascii="Arial" w:hAnsi="Arial" w:cs="Arial"/>
          <w:sz w:val="20"/>
          <w:szCs w:val="20"/>
          <w:lang w:val="en-GB"/>
        </w:rPr>
        <w:t xml:space="preserve">the Purported Subscription and the Immediate Remittances were carried out to hide the enforcement of the Pledge Contracts as the sum of the </w:t>
      </w:r>
      <w:r w:rsidR="00707F74" w:rsidRPr="00D6430A">
        <w:rPr>
          <w:rFonts w:ascii="Arial" w:hAnsi="Arial" w:cs="Arial"/>
          <w:sz w:val="20"/>
          <w:szCs w:val="20"/>
          <w:lang w:val="en-GB"/>
        </w:rPr>
        <w:t>Purported Subscription and Immediate R</w:t>
      </w:r>
      <w:r w:rsidR="00B51813" w:rsidRPr="00D6430A">
        <w:rPr>
          <w:rFonts w:ascii="Arial" w:hAnsi="Arial" w:cs="Arial"/>
          <w:sz w:val="20"/>
          <w:szCs w:val="20"/>
          <w:lang w:val="en-GB"/>
        </w:rPr>
        <w:t>emittance</w:t>
      </w:r>
      <w:r>
        <w:rPr>
          <w:rFonts w:ascii="Arial" w:hAnsi="Arial" w:cs="Arial"/>
          <w:sz w:val="20"/>
          <w:szCs w:val="20"/>
          <w:lang w:val="en-GB"/>
        </w:rPr>
        <w:t>s</w:t>
      </w:r>
      <w:r w:rsidR="00B51813" w:rsidRPr="00D6430A">
        <w:rPr>
          <w:rFonts w:ascii="Arial" w:hAnsi="Arial" w:cs="Arial"/>
          <w:sz w:val="20"/>
          <w:szCs w:val="20"/>
          <w:lang w:val="en-GB"/>
        </w:rPr>
        <w:t xml:space="preserve"> added up to RMB</w:t>
      </w:r>
      <w:r w:rsidR="004F7129" w:rsidRPr="00D6430A">
        <w:rPr>
          <w:rFonts w:ascii="Arial" w:hAnsi="Arial" w:cs="Arial"/>
          <w:sz w:val="20"/>
          <w:szCs w:val="20"/>
          <w:lang w:val="en-GB"/>
        </w:rPr>
        <w:t xml:space="preserve"> </w:t>
      </w:r>
      <w:r w:rsidR="00B51813" w:rsidRPr="00D6430A">
        <w:rPr>
          <w:rFonts w:ascii="Arial" w:hAnsi="Arial" w:cs="Arial"/>
          <w:sz w:val="20"/>
          <w:szCs w:val="20"/>
          <w:lang w:val="en-GB"/>
        </w:rPr>
        <w:t>980.98 million.</w:t>
      </w:r>
    </w:p>
    <w:p w:rsidR="00B51813" w:rsidRPr="001C5E0F" w:rsidRDefault="00F01343" w:rsidP="00813E7F">
      <w:pPr>
        <w:jc w:val="both"/>
        <w:rPr>
          <w:rFonts w:ascii="Arial" w:hAnsi="Arial" w:cs="Arial"/>
          <w:sz w:val="20"/>
          <w:szCs w:val="20"/>
          <w:lang w:val="en-GB"/>
        </w:rPr>
      </w:pPr>
      <w:r w:rsidRPr="001C5E0F">
        <w:rPr>
          <w:rFonts w:ascii="Arial" w:hAnsi="Arial" w:cs="Arial"/>
          <w:sz w:val="20"/>
          <w:szCs w:val="20"/>
          <w:lang w:val="en-GB"/>
        </w:rPr>
        <w:t>The</w:t>
      </w:r>
      <w:r w:rsidR="00E20508">
        <w:rPr>
          <w:rFonts w:ascii="Arial" w:hAnsi="Arial" w:cs="Arial"/>
          <w:sz w:val="20"/>
          <w:szCs w:val="20"/>
          <w:lang w:val="en-GB"/>
        </w:rPr>
        <w:t xml:space="preserve"> </w:t>
      </w:r>
      <w:r w:rsidR="00C61721">
        <w:rPr>
          <w:rFonts w:ascii="Arial" w:hAnsi="Arial" w:cs="Arial"/>
          <w:sz w:val="20"/>
          <w:szCs w:val="20"/>
          <w:lang w:val="en-GB"/>
        </w:rPr>
        <w:t xml:space="preserve">HKEx </w:t>
      </w:r>
      <w:r w:rsidR="00E20508">
        <w:rPr>
          <w:rFonts w:ascii="Arial" w:hAnsi="Arial" w:cs="Arial"/>
          <w:sz w:val="20"/>
          <w:szCs w:val="20"/>
          <w:lang w:val="en-GB"/>
        </w:rPr>
        <w:t>Listing Committee</w:t>
      </w:r>
      <w:r w:rsidRPr="001C5E0F">
        <w:rPr>
          <w:rFonts w:ascii="Arial" w:hAnsi="Arial" w:cs="Arial"/>
          <w:sz w:val="20"/>
          <w:szCs w:val="20"/>
          <w:lang w:val="en-GB"/>
        </w:rPr>
        <w:t xml:space="preserve"> determined th</w:t>
      </w:r>
      <w:r w:rsidR="00E20508">
        <w:rPr>
          <w:rFonts w:ascii="Arial" w:hAnsi="Arial" w:cs="Arial"/>
          <w:sz w:val="20"/>
          <w:szCs w:val="20"/>
          <w:lang w:val="en-GB"/>
        </w:rPr>
        <w:t>at</w:t>
      </w:r>
      <w:r w:rsidRPr="001C5E0F">
        <w:rPr>
          <w:rFonts w:ascii="Arial" w:hAnsi="Arial" w:cs="Arial"/>
          <w:sz w:val="20"/>
          <w:szCs w:val="20"/>
          <w:lang w:val="en-GB"/>
        </w:rPr>
        <w:t xml:space="preserve"> Good Resources had</w:t>
      </w:r>
      <w:r w:rsidR="00065F14" w:rsidRPr="001C5E0F">
        <w:rPr>
          <w:rFonts w:ascii="Arial" w:hAnsi="Arial" w:cs="Arial"/>
          <w:sz w:val="20"/>
          <w:szCs w:val="20"/>
          <w:lang w:val="en-GB"/>
        </w:rPr>
        <w:t xml:space="preserve">, </w:t>
      </w:r>
      <w:r w:rsidR="005245E3">
        <w:rPr>
          <w:rFonts w:ascii="Arial" w:hAnsi="Arial" w:cs="Arial"/>
          <w:sz w:val="20"/>
          <w:szCs w:val="20"/>
          <w:lang w:val="en-GB"/>
        </w:rPr>
        <w:t>in</w:t>
      </w:r>
      <w:r w:rsidR="00065F14" w:rsidRPr="001C5E0F">
        <w:rPr>
          <w:rFonts w:ascii="Arial" w:hAnsi="Arial" w:cs="Arial"/>
          <w:sz w:val="20"/>
          <w:szCs w:val="20"/>
          <w:lang w:val="en-GB"/>
        </w:rPr>
        <w:t xml:space="preserve"> relation to the Loan Agreements,</w:t>
      </w:r>
      <w:r w:rsidRPr="001C5E0F">
        <w:rPr>
          <w:rFonts w:ascii="Arial" w:hAnsi="Arial" w:cs="Arial"/>
          <w:sz w:val="20"/>
          <w:szCs w:val="20"/>
          <w:lang w:val="en-GB"/>
        </w:rPr>
        <w:t xml:space="preserve"> failed</w:t>
      </w:r>
      <w:r w:rsidR="00B51813" w:rsidRPr="001C5E0F">
        <w:rPr>
          <w:rFonts w:ascii="Arial" w:hAnsi="Arial" w:cs="Arial"/>
          <w:sz w:val="20"/>
          <w:szCs w:val="20"/>
          <w:lang w:val="en-GB"/>
        </w:rPr>
        <w:t xml:space="preserve"> to:</w:t>
      </w:r>
    </w:p>
    <w:p w:rsidR="00B51813" w:rsidRPr="001C5E0F" w:rsidRDefault="00F01343" w:rsidP="00813E7F">
      <w:pPr>
        <w:pStyle w:val="a4"/>
        <w:numPr>
          <w:ilvl w:val="0"/>
          <w:numId w:val="11"/>
        </w:numPr>
        <w:jc w:val="both"/>
        <w:rPr>
          <w:rFonts w:ascii="Arial" w:hAnsi="Arial" w:cs="Arial"/>
          <w:sz w:val="20"/>
          <w:szCs w:val="20"/>
          <w:lang w:val="en-GB"/>
        </w:rPr>
      </w:pPr>
      <w:r w:rsidRPr="001C5E0F">
        <w:rPr>
          <w:rFonts w:ascii="Arial" w:hAnsi="Arial" w:cs="Arial"/>
          <w:sz w:val="20"/>
          <w:szCs w:val="20"/>
          <w:lang w:val="en-GB"/>
        </w:rPr>
        <w:t xml:space="preserve">publish an announcement as soon as possible after the </w:t>
      </w:r>
      <w:r w:rsidR="00065F14" w:rsidRPr="001C5E0F">
        <w:rPr>
          <w:rFonts w:ascii="Arial" w:hAnsi="Arial" w:cs="Arial"/>
          <w:sz w:val="20"/>
          <w:szCs w:val="20"/>
          <w:lang w:val="en-GB"/>
        </w:rPr>
        <w:t>terms</w:t>
      </w:r>
      <w:r w:rsidRPr="001C5E0F">
        <w:rPr>
          <w:rFonts w:ascii="Arial" w:hAnsi="Arial" w:cs="Arial"/>
          <w:sz w:val="20"/>
          <w:szCs w:val="20"/>
          <w:lang w:val="en-GB"/>
        </w:rPr>
        <w:t xml:space="preserve"> of a notifiable transaction had been finali</w:t>
      </w:r>
      <w:r w:rsidR="00E20508">
        <w:rPr>
          <w:rFonts w:ascii="Arial" w:hAnsi="Arial" w:cs="Arial"/>
          <w:sz w:val="20"/>
          <w:szCs w:val="20"/>
          <w:lang w:val="en-GB"/>
        </w:rPr>
        <w:t>s</w:t>
      </w:r>
      <w:r w:rsidRPr="001C5E0F">
        <w:rPr>
          <w:rFonts w:ascii="Arial" w:hAnsi="Arial" w:cs="Arial"/>
          <w:sz w:val="20"/>
          <w:szCs w:val="20"/>
          <w:lang w:val="en-GB"/>
        </w:rPr>
        <w:t xml:space="preserve">ed </w:t>
      </w:r>
      <w:r w:rsidR="00065F14" w:rsidRPr="001C5E0F">
        <w:rPr>
          <w:rFonts w:ascii="Arial" w:hAnsi="Arial" w:cs="Arial"/>
          <w:sz w:val="20"/>
          <w:szCs w:val="20"/>
          <w:lang w:val="en-GB"/>
        </w:rPr>
        <w:t xml:space="preserve">in accordance with </w:t>
      </w:r>
      <w:r w:rsidR="00707F74" w:rsidRPr="001C5E0F">
        <w:rPr>
          <w:rFonts w:ascii="Arial" w:hAnsi="Arial" w:cs="Arial"/>
          <w:sz w:val="20"/>
          <w:szCs w:val="20"/>
          <w:lang w:val="en-GB"/>
        </w:rPr>
        <w:t xml:space="preserve">HKEx Listing </w:t>
      </w:r>
      <w:r w:rsidRPr="001C5E0F">
        <w:rPr>
          <w:rFonts w:ascii="Arial" w:hAnsi="Arial" w:cs="Arial"/>
          <w:sz w:val="20"/>
          <w:szCs w:val="20"/>
          <w:lang w:val="en-GB"/>
        </w:rPr>
        <w:t xml:space="preserve">Rule </w:t>
      </w:r>
      <w:r w:rsidR="00065F14" w:rsidRPr="001C5E0F">
        <w:rPr>
          <w:rFonts w:ascii="Arial" w:hAnsi="Arial" w:cs="Arial"/>
          <w:sz w:val="20"/>
          <w:szCs w:val="20"/>
          <w:lang w:val="en-GB"/>
        </w:rPr>
        <w:t>14:34</w:t>
      </w:r>
      <w:r w:rsidR="003B7E90" w:rsidRPr="001C5E0F">
        <w:rPr>
          <w:rFonts w:ascii="Arial" w:hAnsi="Arial" w:cs="Arial"/>
          <w:sz w:val="20"/>
          <w:szCs w:val="20"/>
          <w:lang w:val="en-GB"/>
        </w:rPr>
        <w:t>;</w:t>
      </w:r>
    </w:p>
    <w:p w:rsidR="003B7E90" w:rsidRPr="001C5E0F" w:rsidRDefault="003B7E90" w:rsidP="00813E7F">
      <w:pPr>
        <w:pStyle w:val="a4"/>
        <w:ind w:left="780"/>
        <w:jc w:val="both"/>
        <w:rPr>
          <w:rFonts w:ascii="Arial" w:hAnsi="Arial" w:cs="Arial"/>
          <w:sz w:val="20"/>
          <w:szCs w:val="20"/>
          <w:lang w:val="en-GB"/>
        </w:rPr>
      </w:pPr>
    </w:p>
    <w:p w:rsidR="00B51813" w:rsidRDefault="00065F14" w:rsidP="00813E7F">
      <w:pPr>
        <w:pStyle w:val="a4"/>
        <w:numPr>
          <w:ilvl w:val="0"/>
          <w:numId w:val="11"/>
        </w:numPr>
        <w:jc w:val="both"/>
        <w:rPr>
          <w:rFonts w:ascii="Arial" w:hAnsi="Arial" w:cs="Arial"/>
          <w:sz w:val="20"/>
          <w:szCs w:val="20"/>
          <w:lang w:val="en-GB"/>
        </w:rPr>
      </w:pPr>
      <w:r w:rsidRPr="001C5E0F">
        <w:rPr>
          <w:rFonts w:ascii="Arial" w:hAnsi="Arial" w:cs="Arial"/>
          <w:sz w:val="20"/>
          <w:szCs w:val="20"/>
          <w:lang w:val="en-GB"/>
        </w:rPr>
        <w:t xml:space="preserve">publish and send a circular to its shareholders and the </w:t>
      </w:r>
      <w:r w:rsidR="000D3A2B" w:rsidRPr="001C5E0F">
        <w:rPr>
          <w:rFonts w:ascii="Arial" w:hAnsi="Arial" w:cs="Arial"/>
          <w:sz w:val="20"/>
          <w:szCs w:val="20"/>
          <w:lang w:val="en-GB"/>
        </w:rPr>
        <w:t>HKEx</w:t>
      </w:r>
      <w:r w:rsidRPr="001C5E0F">
        <w:rPr>
          <w:rFonts w:ascii="Arial" w:hAnsi="Arial" w:cs="Arial"/>
          <w:sz w:val="20"/>
          <w:szCs w:val="20"/>
          <w:lang w:val="en-GB"/>
        </w:rPr>
        <w:t xml:space="preserve"> with regards to major transaction</w:t>
      </w:r>
      <w:r w:rsidR="008149C6">
        <w:rPr>
          <w:rFonts w:ascii="Arial" w:hAnsi="Arial" w:cs="Arial"/>
          <w:sz w:val="20"/>
          <w:szCs w:val="20"/>
          <w:lang w:val="en-GB"/>
        </w:rPr>
        <w:t xml:space="preserve">s </w:t>
      </w:r>
      <w:r w:rsidRPr="001C5E0F">
        <w:rPr>
          <w:rFonts w:ascii="Arial" w:hAnsi="Arial" w:cs="Arial"/>
          <w:sz w:val="20"/>
          <w:szCs w:val="20"/>
          <w:lang w:val="en-GB"/>
        </w:rPr>
        <w:t xml:space="preserve">in </w:t>
      </w:r>
      <w:r w:rsidR="00B51813" w:rsidRPr="001C5E0F">
        <w:rPr>
          <w:rFonts w:ascii="Arial" w:hAnsi="Arial" w:cs="Arial"/>
          <w:sz w:val="20"/>
          <w:szCs w:val="20"/>
          <w:lang w:val="en-GB"/>
        </w:rPr>
        <w:t xml:space="preserve">accordance with </w:t>
      </w:r>
      <w:r w:rsidR="00707F74" w:rsidRPr="001C5E0F">
        <w:rPr>
          <w:rFonts w:ascii="Arial" w:hAnsi="Arial" w:cs="Arial"/>
          <w:sz w:val="20"/>
          <w:szCs w:val="20"/>
          <w:lang w:val="en-GB"/>
        </w:rPr>
        <w:t xml:space="preserve">HKEx Listing </w:t>
      </w:r>
      <w:r w:rsidR="00B51813" w:rsidRPr="001C5E0F">
        <w:rPr>
          <w:rFonts w:ascii="Arial" w:hAnsi="Arial" w:cs="Arial"/>
          <w:sz w:val="20"/>
          <w:szCs w:val="20"/>
          <w:lang w:val="en-GB"/>
        </w:rPr>
        <w:t>Rule 14:38A</w:t>
      </w:r>
      <w:r w:rsidR="003B7E90" w:rsidRPr="001C5E0F">
        <w:rPr>
          <w:rFonts w:ascii="Arial" w:hAnsi="Arial" w:cs="Arial"/>
          <w:sz w:val="20"/>
          <w:szCs w:val="20"/>
          <w:lang w:val="en-GB"/>
        </w:rPr>
        <w:t>; and</w:t>
      </w:r>
    </w:p>
    <w:p w:rsidR="009D121D" w:rsidRPr="001C5E0F" w:rsidRDefault="009D121D" w:rsidP="00D6430A">
      <w:pPr>
        <w:pStyle w:val="a4"/>
        <w:ind w:left="780"/>
        <w:jc w:val="both"/>
        <w:rPr>
          <w:rFonts w:ascii="Arial" w:hAnsi="Arial" w:cs="Arial"/>
          <w:sz w:val="20"/>
          <w:szCs w:val="20"/>
          <w:lang w:val="en-GB"/>
        </w:rPr>
      </w:pPr>
    </w:p>
    <w:p w:rsidR="009735BE" w:rsidRPr="001C5E0F" w:rsidRDefault="00065F14" w:rsidP="00813E7F">
      <w:pPr>
        <w:pStyle w:val="a4"/>
        <w:numPr>
          <w:ilvl w:val="0"/>
          <w:numId w:val="11"/>
        </w:numPr>
        <w:jc w:val="both"/>
        <w:rPr>
          <w:rFonts w:ascii="Arial" w:hAnsi="Arial" w:cs="Arial"/>
          <w:sz w:val="20"/>
          <w:szCs w:val="20"/>
          <w:lang w:val="en-GB"/>
        </w:rPr>
      </w:pPr>
      <w:r w:rsidRPr="001C5E0F">
        <w:rPr>
          <w:rFonts w:ascii="Arial" w:hAnsi="Arial" w:cs="Arial"/>
          <w:sz w:val="20"/>
          <w:szCs w:val="20"/>
          <w:lang w:val="en-GB"/>
        </w:rPr>
        <w:t xml:space="preserve">ensure </w:t>
      </w:r>
      <w:r w:rsidR="008149C6">
        <w:rPr>
          <w:rFonts w:ascii="Arial" w:hAnsi="Arial" w:cs="Arial"/>
          <w:sz w:val="20"/>
          <w:szCs w:val="20"/>
          <w:lang w:val="en-GB"/>
        </w:rPr>
        <w:t xml:space="preserve">that </w:t>
      </w:r>
      <w:r w:rsidRPr="001C5E0F">
        <w:rPr>
          <w:rFonts w:ascii="Arial" w:hAnsi="Arial" w:cs="Arial"/>
          <w:sz w:val="20"/>
          <w:szCs w:val="20"/>
          <w:lang w:val="en-GB"/>
        </w:rPr>
        <w:t xml:space="preserve">major transaction </w:t>
      </w:r>
      <w:r w:rsidR="008149C6">
        <w:rPr>
          <w:rFonts w:ascii="Arial" w:hAnsi="Arial" w:cs="Arial"/>
          <w:sz w:val="20"/>
          <w:szCs w:val="20"/>
          <w:lang w:val="en-GB"/>
        </w:rPr>
        <w:t>was</w:t>
      </w:r>
      <w:r w:rsidRPr="001C5E0F">
        <w:rPr>
          <w:rFonts w:ascii="Arial" w:hAnsi="Arial" w:cs="Arial"/>
          <w:sz w:val="20"/>
          <w:szCs w:val="20"/>
          <w:lang w:val="en-GB"/>
        </w:rPr>
        <w:t xml:space="preserve"> made conditional upon shareholder approval</w:t>
      </w:r>
      <w:r w:rsidR="009735BE" w:rsidRPr="001C5E0F">
        <w:rPr>
          <w:rFonts w:ascii="Arial" w:hAnsi="Arial" w:cs="Arial"/>
          <w:sz w:val="20"/>
          <w:szCs w:val="20"/>
          <w:lang w:val="en-GB"/>
        </w:rPr>
        <w:t xml:space="preserve"> in accordance with </w:t>
      </w:r>
      <w:r w:rsidR="00707F74" w:rsidRPr="001C5E0F">
        <w:rPr>
          <w:rFonts w:ascii="Arial" w:hAnsi="Arial" w:cs="Arial"/>
          <w:sz w:val="20"/>
          <w:szCs w:val="20"/>
          <w:lang w:val="en-GB"/>
        </w:rPr>
        <w:t xml:space="preserve">HKEx Listing </w:t>
      </w:r>
      <w:r w:rsidR="009735BE" w:rsidRPr="001C5E0F">
        <w:rPr>
          <w:rFonts w:ascii="Arial" w:hAnsi="Arial" w:cs="Arial"/>
          <w:sz w:val="20"/>
          <w:szCs w:val="20"/>
          <w:lang w:val="en-GB"/>
        </w:rPr>
        <w:t>Rule 14.40.</w:t>
      </w:r>
    </w:p>
    <w:p w:rsidR="00A27D88" w:rsidRPr="001C5E0F" w:rsidRDefault="00A27D88" w:rsidP="00813E7F">
      <w:pPr>
        <w:jc w:val="both"/>
        <w:rPr>
          <w:rFonts w:ascii="Arial" w:hAnsi="Arial" w:cs="Arial"/>
          <w:b/>
          <w:sz w:val="20"/>
          <w:szCs w:val="20"/>
          <w:lang w:val="en-GB"/>
        </w:rPr>
      </w:pPr>
      <w:r w:rsidRPr="001C5E0F">
        <w:rPr>
          <w:rFonts w:ascii="Arial" w:hAnsi="Arial" w:cs="Arial"/>
          <w:b/>
          <w:sz w:val="20"/>
          <w:szCs w:val="20"/>
          <w:lang w:val="en-GB"/>
        </w:rPr>
        <w:t xml:space="preserve">Chen’s breach of Director Duties and Director’s undertaking </w:t>
      </w:r>
    </w:p>
    <w:p w:rsidR="00A27D88" w:rsidRPr="001C5E0F" w:rsidRDefault="00065F14" w:rsidP="00813E7F">
      <w:pPr>
        <w:jc w:val="both"/>
        <w:rPr>
          <w:rFonts w:ascii="Arial" w:hAnsi="Arial" w:cs="Arial"/>
          <w:sz w:val="20"/>
          <w:szCs w:val="20"/>
          <w:lang w:val="en-GB"/>
        </w:rPr>
      </w:pPr>
      <w:r w:rsidRPr="001C5E0F">
        <w:rPr>
          <w:rFonts w:ascii="Arial" w:hAnsi="Arial" w:cs="Arial"/>
          <w:sz w:val="20"/>
          <w:szCs w:val="20"/>
          <w:lang w:val="en-GB"/>
        </w:rPr>
        <w:t xml:space="preserve">Chen was found to be in breach of </w:t>
      </w:r>
      <w:r w:rsidR="009D121D">
        <w:rPr>
          <w:rFonts w:ascii="Arial" w:hAnsi="Arial" w:cs="Arial"/>
          <w:sz w:val="20"/>
          <w:szCs w:val="20"/>
          <w:lang w:val="en-GB"/>
        </w:rPr>
        <w:t>his d</w:t>
      </w:r>
      <w:r w:rsidR="00B51813" w:rsidRPr="001C5E0F">
        <w:rPr>
          <w:rFonts w:ascii="Arial" w:hAnsi="Arial" w:cs="Arial"/>
          <w:sz w:val="20"/>
          <w:szCs w:val="20"/>
          <w:lang w:val="en-GB"/>
        </w:rPr>
        <w:t>irector</w:t>
      </w:r>
      <w:r w:rsidR="009D121D">
        <w:rPr>
          <w:rFonts w:ascii="Arial" w:hAnsi="Arial" w:cs="Arial"/>
          <w:sz w:val="20"/>
          <w:szCs w:val="20"/>
          <w:lang w:val="en-GB"/>
        </w:rPr>
        <w:t>’s</w:t>
      </w:r>
      <w:r w:rsidR="00B51813" w:rsidRPr="001C5E0F">
        <w:rPr>
          <w:rFonts w:ascii="Arial" w:hAnsi="Arial" w:cs="Arial"/>
          <w:sz w:val="20"/>
          <w:szCs w:val="20"/>
          <w:lang w:val="en-GB"/>
        </w:rPr>
        <w:t xml:space="preserve"> </w:t>
      </w:r>
      <w:r w:rsidR="009D121D">
        <w:rPr>
          <w:rFonts w:ascii="Arial" w:hAnsi="Arial" w:cs="Arial"/>
          <w:sz w:val="20"/>
          <w:szCs w:val="20"/>
          <w:lang w:val="en-GB"/>
        </w:rPr>
        <w:t>d</w:t>
      </w:r>
      <w:r w:rsidR="00B51813" w:rsidRPr="001C5E0F">
        <w:rPr>
          <w:rFonts w:ascii="Arial" w:hAnsi="Arial" w:cs="Arial"/>
          <w:sz w:val="20"/>
          <w:szCs w:val="20"/>
          <w:lang w:val="en-GB"/>
        </w:rPr>
        <w:t xml:space="preserve">uties under </w:t>
      </w:r>
      <w:r w:rsidR="00707F74" w:rsidRPr="001C5E0F">
        <w:rPr>
          <w:rFonts w:ascii="Arial" w:hAnsi="Arial" w:cs="Arial"/>
          <w:sz w:val="20"/>
          <w:szCs w:val="20"/>
          <w:lang w:val="en-GB"/>
        </w:rPr>
        <w:t xml:space="preserve">HKEx Listing </w:t>
      </w:r>
      <w:r w:rsidRPr="001C5E0F">
        <w:rPr>
          <w:rFonts w:ascii="Arial" w:hAnsi="Arial" w:cs="Arial"/>
          <w:sz w:val="20"/>
          <w:szCs w:val="20"/>
          <w:lang w:val="en-GB"/>
        </w:rPr>
        <w:t>Rule 3.08 and his Director</w:t>
      </w:r>
      <w:r w:rsidR="009D121D">
        <w:rPr>
          <w:rFonts w:ascii="Arial" w:hAnsi="Arial" w:cs="Arial"/>
          <w:sz w:val="20"/>
          <w:szCs w:val="20"/>
          <w:lang w:val="en-GB"/>
        </w:rPr>
        <w:t>’</w:t>
      </w:r>
      <w:r w:rsidRPr="001C5E0F">
        <w:rPr>
          <w:rFonts w:ascii="Arial" w:hAnsi="Arial" w:cs="Arial"/>
          <w:sz w:val="20"/>
          <w:szCs w:val="20"/>
          <w:lang w:val="en-GB"/>
        </w:rPr>
        <w:t xml:space="preserve">s Undertaking </w:t>
      </w:r>
      <w:r w:rsidR="00605887">
        <w:rPr>
          <w:rFonts w:ascii="Arial" w:hAnsi="Arial" w:cs="Arial"/>
          <w:sz w:val="20"/>
          <w:szCs w:val="20"/>
          <w:lang w:val="en-GB"/>
        </w:rPr>
        <w:t>in</w:t>
      </w:r>
      <w:r w:rsidRPr="001C5E0F">
        <w:rPr>
          <w:rFonts w:ascii="Arial" w:hAnsi="Arial" w:cs="Arial"/>
          <w:sz w:val="20"/>
          <w:szCs w:val="20"/>
          <w:lang w:val="en-GB"/>
        </w:rPr>
        <w:t xml:space="preserve">: </w:t>
      </w:r>
    </w:p>
    <w:p w:rsidR="00065F14" w:rsidRPr="001C5E0F" w:rsidRDefault="008F73F5" w:rsidP="00813E7F">
      <w:pPr>
        <w:pStyle w:val="a4"/>
        <w:numPr>
          <w:ilvl w:val="0"/>
          <w:numId w:val="3"/>
        </w:numPr>
        <w:jc w:val="both"/>
        <w:rPr>
          <w:rFonts w:ascii="Arial" w:hAnsi="Arial" w:cs="Arial"/>
          <w:sz w:val="20"/>
          <w:szCs w:val="20"/>
          <w:lang w:val="en-GB"/>
        </w:rPr>
      </w:pPr>
      <w:r w:rsidRPr="001C5E0F">
        <w:rPr>
          <w:rFonts w:ascii="Arial" w:hAnsi="Arial" w:cs="Arial"/>
          <w:sz w:val="20"/>
          <w:szCs w:val="20"/>
          <w:lang w:val="en-GB"/>
        </w:rPr>
        <w:t>failing to report the Loan Agreement</w:t>
      </w:r>
      <w:r w:rsidR="00605887">
        <w:rPr>
          <w:rFonts w:ascii="Arial" w:hAnsi="Arial" w:cs="Arial"/>
          <w:sz w:val="20"/>
          <w:szCs w:val="20"/>
          <w:lang w:val="en-GB"/>
        </w:rPr>
        <w:t>s</w:t>
      </w:r>
      <w:r w:rsidRPr="001C5E0F">
        <w:rPr>
          <w:rFonts w:ascii="Arial" w:hAnsi="Arial" w:cs="Arial"/>
          <w:sz w:val="20"/>
          <w:szCs w:val="20"/>
          <w:lang w:val="en-GB"/>
        </w:rPr>
        <w:t xml:space="preserve"> </w:t>
      </w:r>
      <w:r w:rsidR="00605887">
        <w:rPr>
          <w:rFonts w:ascii="Arial" w:hAnsi="Arial" w:cs="Arial"/>
          <w:sz w:val="20"/>
          <w:szCs w:val="20"/>
          <w:lang w:val="en-GB"/>
        </w:rPr>
        <w:t>and P</w:t>
      </w:r>
      <w:r w:rsidRPr="001C5E0F">
        <w:rPr>
          <w:rFonts w:ascii="Arial" w:hAnsi="Arial" w:cs="Arial"/>
          <w:sz w:val="20"/>
          <w:szCs w:val="20"/>
          <w:lang w:val="en-GB"/>
        </w:rPr>
        <w:t xml:space="preserve">ledge </w:t>
      </w:r>
      <w:r w:rsidR="00605887">
        <w:rPr>
          <w:rFonts w:ascii="Arial" w:hAnsi="Arial" w:cs="Arial"/>
          <w:sz w:val="20"/>
          <w:szCs w:val="20"/>
          <w:lang w:val="en-GB"/>
        </w:rPr>
        <w:t>C</w:t>
      </w:r>
      <w:r w:rsidRPr="001C5E0F">
        <w:rPr>
          <w:rFonts w:ascii="Arial" w:hAnsi="Arial" w:cs="Arial"/>
          <w:sz w:val="20"/>
          <w:szCs w:val="20"/>
          <w:lang w:val="en-GB"/>
        </w:rPr>
        <w:t xml:space="preserve">ontracts </w:t>
      </w:r>
      <w:r w:rsidR="00605887">
        <w:rPr>
          <w:rFonts w:ascii="Arial" w:hAnsi="Arial" w:cs="Arial"/>
          <w:sz w:val="20"/>
          <w:szCs w:val="20"/>
          <w:lang w:val="en-GB"/>
        </w:rPr>
        <w:t xml:space="preserve">to Good Resources </w:t>
      </w:r>
      <w:r w:rsidRPr="001C5E0F">
        <w:rPr>
          <w:rFonts w:ascii="Arial" w:hAnsi="Arial" w:cs="Arial"/>
          <w:sz w:val="20"/>
          <w:szCs w:val="20"/>
          <w:lang w:val="en-GB"/>
        </w:rPr>
        <w:t xml:space="preserve">and take steps to ensure </w:t>
      </w:r>
      <w:r w:rsidR="00BE6BA7" w:rsidRPr="001C5E0F">
        <w:rPr>
          <w:rFonts w:ascii="Arial" w:hAnsi="Arial" w:cs="Arial"/>
          <w:sz w:val="20"/>
          <w:szCs w:val="20"/>
          <w:lang w:val="en-GB"/>
        </w:rPr>
        <w:t>Good Resources</w:t>
      </w:r>
      <w:r w:rsidRPr="001C5E0F">
        <w:rPr>
          <w:rFonts w:ascii="Arial" w:hAnsi="Arial" w:cs="Arial"/>
          <w:sz w:val="20"/>
          <w:szCs w:val="20"/>
          <w:lang w:val="en-GB"/>
        </w:rPr>
        <w:t>’ rule c</w:t>
      </w:r>
      <w:r w:rsidR="00024052" w:rsidRPr="001C5E0F">
        <w:rPr>
          <w:rFonts w:ascii="Arial" w:hAnsi="Arial" w:cs="Arial"/>
          <w:sz w:val="20"/>
          <w:szCs w:val="20"/>
          <w:lang w:val="en-GB"/>
        </w:rPr>
        <w:t>ompliance</w:t>
      </w:r>
      <w:r w:rsidR="00605887">
        <w:rPr>
          <w:rFonts w:ascii="Arial" w:hAnsi="Arial" w:cs="Arial"/>
          <w:sz w:val="20"/>
          <w:szCs w:val="20"/>
          <w:lang w:val="en-GB"/>
        </w:rPr>
        <w:t>, despite his knowledge of the same</w:t>
      </w:r>
      <w:r w:rsidR="00024052" w:rsidRPr="001C5E0F">
        <w:rPr>
          <w:rFonts w:ascii="Arial" w:hAnsi="Arial" w:cs="Arial"/>
          <w:sz w:val="20"/>
          <w:szCs w:val="20"/>
          <w:lang w:val="en-GB"/>
        </w:rPr>
        <w:t xml:space="preserve">. The fact that his failure to report was due to personal matters </w:t>
      </w:r>
      <w:r w:rsidR="00D0599C" w:rsidRPr="001C5E0F">
        <w:rPr>
          <w:rFonts w:ascii="Arial" w:hAnsi="Arial" w:cs="Arial"/>
          <w:sz w:val="20"/>
          <w:szCs w:val="20"/>
          <w:lang w:val="en-GB"/>
        </w:rPr>
        <w:t xml:space="preserve">at the material time </w:t>
      </w:r>
      <w:r w:rsidR="00024052" w:rsidRPr="001C5E0F">
        <w:rPr>
          <w:rFonts w:ascii="Arial" w:hAnsi="Arial" w:cs="Arial"/>
          <w:sz w:val="20"/>
          <w:szCs w:val="20"/>
          <w:lang w:val="en-GB"/>
        </w:rPr>
        <w:t>was not a valid reason to excuse h</w:t>
      </w:r>
      <w:r w:rsidR="00BE6BA7" w:rsidRPr="001C5E0F">
        <w:rPr>
          <w:rFonts w:ascii="Arial" w:hAnsi="Arial" w:cs="Arial"/>
          <w:sz w:val="20"/>
          <w:szCs w:val="20"/>
          <w:lang w:val="en-GB"/>
        </w:rPr>
        <w:t>imself from his director</w:t>
      </w:r>
      <w:r w:rsidR="00605887">
        <w:rPr>
          <w:rFonts w:ascii="Arial" w:hAnsi="Arial" w:cs="Arial"/>
          <w:sz w:val="20"/>
          <w:szCs w:val="20"/>
          <w:lang w:val="en-GB"/>
        </w:rPr>
        <w:t>’s</w:t>
      </w:r>
      <w:r w:rsidR="00BE6BA7" w:rsidRPr="001C5E0F">
        <w:rPr>
          <w:rFonts w:ascii="Arial" w:hAnsi="Arial" w:cs="Arial"/>
          <w:sz w:val="20"/>
          <w:szCs w:val="20"/>
          <w:lang w:val="en-GB"/>
        </w:rPr>
        <w:t xml:space="preserve"> duties. H</w:t>
      </w:r>
      <w:r w:rsidR="00024052" w:rsidRPr="001C5E0F">
        <w:rPr>
          <w:rFonts w:ascii="Arial" w:hAnsi="Arial" w:cs="Arial"/>
          <w:sz w:val="20"/>
          <w:szCs w:val="20"/>
          <w:lang w:val="en-GB"/>
        </w:rPr>
        <w:t xml:space="preserve">is role as Chairman and Executive Director of Good Resources and Chairman and Legal Representative of the </w:t>
      </w:r>
      <w:r w:rsidR="00BE6BA7" w:rsidRPr="001C5E0F">
        <w:rPr>
          <w:rFonts w:ascii="Arial" w:hAnsi="Arial" w:cs="Arial"/>
          <w:sz w:val="20"/>
          <w:szCs w:val="20"/>
          <w:lang w:val="en-GB"/>
        </w:rPr>
        <w:t>Subsidiary</w:t>
      </w:r>
      <w:r w:rsidR="00D0599C" w:rsidRPr="001C5E0F">
        <w:rPr>
          <w:rFonts w:ascii="Arial" w:hAnsi="Arial" w:cs="Arial"/>
          <w:sz w:val="20"/>
          <w:szCs w:val="20"/>
          <w:lang w:val="en-GB"/>
        </w:rPr>
        <w:t xml:space="preserve"> aggravated his breaches</w:t>
      </w:r>
      <w:r w:rsidR="00605887">
        <w:rPr>
          <w:rFonts w:ascii="Arial" w:hAnsi="Arial" w:cs="Arial"/>
          <w:sz w:val="20"/>
          <w:szCs w:val="20"/>
          <w:lang w:val="en-GB"/>
        </w:rPr>
        <w:t xml:space="preserve">. His failures caused </w:t>
      </w:r>
      <w:r w:rsidR="00605887" w:rsidRPr="001C5E0F">
        <w:rPr>
          <w:rFonts w:ascii="Arial" w:hAnsi="Arial" w:cs="Arial"/>
          <w:sz w:val="20"/>
          <w:szCs w:val="20"/>
          <w:lang w:val="en-GB"/>
        </w:rPr>
        <w:t xml:space="preserve">Good Resources’ </w:t>
      </w:r>
      <w:r w:rsidR="00D0599C" w:rsidRPr="001C5E0F">
        <w:rPr>
          <w:rFonts w:ascii="Arial" w:hAnsi="Arial" w:cs="Arial"/>
          <w:sz w:val="20"/>
          <w:szCs w:val="20"/>
          <w:lang w:val="en-GB"/>
        </w:rPr>
        <w:t>belated discovery of the Loan Agreement</w:t>
      </w:r>
      <w:r w:rsidR="00605887">
        <w:rPr>
          <w:rFonts w:ascii="Arial" w:hAnsi="Arial" w:cs="Arial"/>
          <w:sz w:val="20"/>
          <w:szCs w:val="20"/>
          <w:lang w:val="en-GB"/>
        </w:rPr>
        <w:t>s</w:t>
      </w:r>
      <w:r w:rsidR="00D0599C" w:rsidRPr="001C5E0F">
        <w:rPr>
          <w:rFonts w:ascii="Arial" w:hAnsi="Arial" w:cs="Arial"/>
          <w:sz w:val="20"/>
          <w:szCs w:val="20"/>
          <w:lang w:val="en-GB"/>
        </w:rPr>
        <w:t>, Pledge Contracts, Immediate Remittance and Purported Subscription</w:t>
      </w:r>
      <w:r w:rsidR="00605887">
        <w:rPr>
          <w:rFonts w:ascii="Arial" w:hAnsi="Arial" w:cs="Arial"/>
          <w:sz w:val="20"/>
          <w:szCs w:val="20"/>
          <w:lang w:val="en-GB"/>
        </w:rPr>
        <w:t>;</w:t>
      </w:r>
      <w:r w:rsidR="00D0599C" w:rsidRPr="001C5E0F">
        <w:rPr>
          <w:rFonts w:ascii="Arial" w:hAnsi="Arial" w:cs="Arial"/>
          <w:sz w:val="20"/>
          <w:szCs w:val="20"/>
          <w:lang w:val="en-GB"/>
        </w:rPr>
        <w:t xml:space="preserve"> </w:t>
      </w:r>
    </w:p>
    <w:p w:rsidR="003B7E90" w:rsidRPr="001C5E0F" w:rsidRDefault="003B7E90" w:rsidP="00813E7F">
      <w:pPr>
        <w:pStyle w:val="a4"/>
        <w:jc w:val="both"/>
        <w:rPr>
          <w:rFonts w:ascii="Arial" w:hAnsi="Arial" w:cs="Arial"/>
          <w:sz w:val="20"/>
          <w:szCs w:val="20"/>
          <w:lang w:val="en-GB"/>
        </w:rPr>
      </w:pPr>
    </w:p>
    <w:p w:rsidR="003B7E90" w:rsidRPr="001C5E0F" w:rsidRDefault="00FF344D" w:rsidP="00813E7F">
      <w:pPr>
        <w:pStyle w:val="a4"/>
        <w:numPr>
          <w:ilvl w:val="0"/>
          <w:numId w:val="3"/>
        </w:numPr>
        <w:jc w:val="both"/>
        <w:rPr>
          <w:rFonts w:ascii="Arial" w:hAnsi="Arial" w:cs="Arial"/>
          <w:sz w:val="20"/>
          <w:szCs w:val="20"/>
          <w:lang w:val="en-GB"/>
        </w:rPr>
      </w:pPr>
      <w:r w:rsidRPr="001C5E0F">
        <w:rPr>
          <w:rFonts w:ascii="Arial" w:hAnsi="Arial" w:cs="Arial"/>
          <w:sz w:val="20"/>
          <w:szCs w:val="20"/>
          <w:lang w:val="en-GB"/>
        </w:rPr>
        <w:t>f</w:t>
      </w:r>
      <w:r w:rsidR="00024052" w:rsidRPr="001C5E0F">
        <w:rPr>
          <w:rFonts w:ascii="Arial" w:hAnsi="Arial" w:cs="Arial"/>
          <w:sz w:val="20"/>
          <w:szCs w:val="20"/>
          <w:lang w:val="en-GB"/>
        </w:rPr>
        <w:t>ailing to protect Good Resource</w:t>
      </w:r>
      <w:r w:rsidR="00BE6BA7" w:rsidRPr="001C5E0F">
        <w:rPr>
          <w:rFonts w:ascii="Arial" w:hAnsi="Arial" w:cs="Arial"/>
          <w:sz w:val="20"/>
          <w:szCs w:val="20"/>
          <w:lang w:val="en-GB"/>
        </w:rPr>
        <w:t>s</w:t>
      </w:r>
      <w:r w:rsidR="00024052" w:rsidRPr="001C5E0F">
        <w:rPr>
          <w:rFonts w:ascii="Arial" w:hAnsi="Arial" w:cs="Arial"/>
          <w:sz w:val="20"/>
          <w:szCs w:val="20"/>
          <w:lang w:val="en-GB"/>
        </w:rPr>
        <w:t>’ assets</w:t>
      </w:r>
      <w:r w:rsidR="00605887">
        <w:rPr>
          <w:rFonts w:ascii="Arial" w:hAnsi="Arial" w:cs="Arial"/>
          <w:sz w:val="20"/>
          <w:szCs w:val="20"/>
          <w:lang w:val="en-GB"/>
        </w:rPr>
        <w:t>, especially</w:t>
      </w:r>
      <w:r w:rsidR="00024052" w:rsidRPr="001C5E0F">
        <w:rPr>
          <w:rFonts w:ascii="Arial" w:hAnsi="Arial" w:cs="Arial"/>
          <w:sz w:val="20"/>
          <w:szCs w:val="20"/>
          <w:lang w:val="en-GB"/>
        </w:rPr>
        <w:t xml:space="preserve"> the deposits</w:t>
      </w:r>
      <w:r w:rsidR="00605887">
        <w:rPr>
          <w:rFonts w:ascii="Arial" w:hAnsi="Arial" w:cs="Arial"/>
          <w:sz w:val="20"/>
          <w:szCs w:val="20"/>
          <w:lang w:val="en-GB"/>
        </w:rPr>
        <w:t xml:space="preserve"> </w:t>
      </w:r>
      <w:r w:rsidR="00605887" w:rsidRPr="001C5E0F">
        <w:rPr>
          <w:rFonts w:ascii="Arial" w:hAnsi="Arial" w:cs="Arial"/>
          <w:sz w:val="20"/>
          <w:szCs w:val="20"/>
          <w:lang w:val="en-GB"/>
        </w:rPr>
        <w:t>pledged</w:t>
      </w:r>
      <w:r w:rsidR="00605887">
        <w:rPr>
          <w:rFonts w:ascii="Arial" w:hAnsi="Arial" w:cs="Arial"/>
          <w:sz w:val="20"/>
          <w:szCs w:val="20"/>
          <w:lang w:val="en-GB"/>
        </w:rPr>
        <w:t xml:space="preserve"> as security</w:t>
      </w:r>
      <w:r w:rsidRPr="001C5E0F">
        <w:rPr>
          <w:rFonts w:ascii="Arial" w:hAnsi="Arial" w:cs="Arial"/>
          <w:sz w:val="20"/>
          <w:szCs w:val="20"/>
          <w:lang w:val="en-GB"/>
        </w:rPr>
        <w:t>; and</w:t>
      </w:r>
      <w:r w:rsidR="00586A20" w:rsidRPr="001C5E0F">
        <w:rPr>
          <w:rFonts w:ascii="Arial" w:hAnsi="Arial" w:cs="Arial"/>
          <w:sz w:val="20"/>
          <w:szCs w:val="20"/>
          <w:lang w:val="en-GB"/>
        </w:rPr>
        <w:t xml:space="preserve"> </w:t>
      </w:r>
    </w:p>
    <w:p w:rsidR="003B7E90" w:rsidRPr="001C5E0F" w:rsidRDefault="003B7E90" w:rsidP="00813E7F">
      <w:pPr>
        <w:pStyle w:val="a4"/>
        <w:jc w:val="both"/>
        <w:rPr>
          <w:rFonts w:ascii="Arial" w:hAnsi="Arial" w:cs="Arial"/>
          <w:sz w:val="20"/>
          <w:szCs w:val="20"/>
          <w:lang w:val="en-GB"/>
        </w:rPr>
      </w:pPr>
    </w:p>
    <w:p w:rsidR="00024052" w:rsidRPr="001C5E0F" w:rsidRDefault="00FF344D" w:rsidP="00813E7F">
      <w:pPr>
        <w:pStyle w:val="a4"/>
        <w:numPr>
          <w:ilvl w:val="0"/>
          <w:numId w:val="3"/>
        </w:numPr>
        <w:jc w:val="both"/>
        <w:rPr>
          <w:rFonts w:ascii="Arial" w:hAnsi="Arial" w:cs="Arial"/>
          <w:sz w:val="20"/>
          <w:szCs w:val="20"/>
          <w:lang w:val="en-GB"/>
        </w:rPr>
      </w:pPr>
      <w:r w:rsidRPr="001C5E0F">
        <w:rPr>
          <w:rFonts w:ascii="Arial" w:hAnsi="Arial" w:cs="Arial"/>
          <w:sz w:val="20"/>
          <w:szCs w:val="20"/>
          <w:lang w:val="en-GB"/>
        </w:rPr>
        <w:t>f</w:t>
      </w:r>
      <w:r w:rsidR="00024052" w:rsidRPr="001C5E0F">
        <w:rPr>
          <w:rFonts w:ascii="Arial" w:hAnsi="Arial" w:cs="Arial"/>
          <w:sz w:val="20"/>
          <w:szCs w:val="20"/>
          <w:lang w:val="en-GB"/>
        </w:rPr>
        <w:t xml:space="preserve">ailing to cooperate with the </w:t>
      </w:r>
      <w:r w:rsidR="000D3A2B" w:rsidRPr="001C5E0F">
        <w:rPr>
          <w:rFonts w:ascii="Arial" w:hAnsi="Arial" w:cs="Arial"/>
          <w:sz w:val="20"/>
          <w:szCs w:val="20"/>
          <w:lang w:val="en-GB"/>
        </w:rPr>
        <w:t>HKEx</w:t>
      </w:r>
      <w:r w:rsidR="00377180">
        <w:rPr>
          <w:rFonts w:ascii="Arial" w:hAnsi="Arial" w:cs="Arial"/>
          <w:sz w:val="20"/>
          <w:szCs w:val="20"/>
          <w:lang w:val="en-GB"/>
        </w:rPr>
        <w:t>’</w:t>
      </w:r>
      <w:r w:rsidR="00024052" w:rsidRPr="001C5E0F">
        <w:rPr>
          <w:rFonts w:ascii="Arial" w:hAnsi="Arial" w:cs="Arial"/>
          <w:sz w:val="20"/>
          <w:szCs w:val="20"/>
          <w:lang w:val="en-GB"/>
        </w:rPr>
        <w:t>s investigation</w:t>
      </w:r>
      <w:r w:rsidR="009735BE" w:rsidRPr="001C5E0F">
        <w:rPr>
          <w:rFonts w:ascii="Arial" w:hAnsi="Arial" w:cs="Arial"/>
          <w:sz w:val="20"/>
          <w:szCs w:val="20"/>
          <w:lang w:val="en-GB"/>
        </w:rPr>
        <w:t>.</w:t>
      </w:r>
      <w:r w:rsidR="00024052" w:rsidRPr="001C5E0F">
        <w:rPr>
          <w:rFonts w:ascii="Arial" w:hAnsi="Arial" w:cs="Arial"/>
          <w:sz w:val="20"/>
          <w:szCs w:val="20"/>
          <w:lang w:val="en-GB"/>
        </w:rPr>
        <w:t xml:space="preserve"> </w:t>
      </w:r>
    </w:p>
    <w:p w:rsidR="00024052" w:rsidRPr="001C5E0F" w:rsidRDefault="00024052" w:rsidP="00813E7F">
      <w:pPr>
        <w:jc w:val="both"/>
        <w:rPr>
          <w:rFonts w:ascii="Arial" w:hAnsi="Arial" w:cs="Arial"/>
          <w:sz w:val="20"/>
          <w:szCs w:val="20"/>
          <w:lang w:val="en-GB"/>
        </w:rPr>
      </w:pPr>
      <w:r w:rsidRPr="001C5E0F">
        <w:rPr>
          <w:rFonts w:ascii="Arial" w:hAnsi="Arial" w:cs="Arial"/>
          <w:sz w:val="20"/>
          <w:szCs w:val="20"/>
          <w:lang w:val="en-GB"/>
        </w:rPr>
        <w:t xml:space="preserve">The </w:t>
      </w:r>
      <w:r w:rsidR="000D3A2B" w:rsidRPr="001C5E0F">
        <w:rPr>
          <w:rFonts w:ascii="Arial" w:hAnsi="Arial" w:cs="Arial"/>
          <w:sz w:val="20"/>
          <w:szCs w:val="20"/>
          <w:lang w:val="en-GB"/>
        </w:rPr>
        <w:t>HKEx</w:t>
      </w:r>
      <w:r w:rsidRPr="001C5E0F">
        <w:rPr>
          <w:rFonts w:ascii="Arial" w:hAnsi="Arial" w:cs="Arial"/>
          <w:sz w:val="20"/>
          <w:szCs w:val="20"/>
          <w:lang w:val="en-GB"/>
        </w:rPr>
        <w:t xml:space="preserve"> also note</w:t>
      </w:r>
      <w:r w:rsidR="009735BE" w:rsidRPr="001C5E0F">
        <w:rPr>
          <w:rFonts w:ascii="Arial" w:hAnsi="Arial" w:cs="Arial"/>
          <w:sz w:val="20"/>
          <w:szCs w:val="20"/>
          <w:lang w:val="en-GB"/>
        </w:rPr>
        <w:t>d</w:t>
      </w:r>
      <w:r w:rsidR="00605887">
        <w:rPr>
          <w:rFonts w:ascii="Arial" w:hAnsi="Arial" w:cs="Arial"/>
          <w:sz w:val="20"/>
          <w:szCs w:val="20"/>
          <w:lang w:val="en-GB"/>
        </w:rPr>
        <w:t xml:space="preserve"> that</w:t>
      </w:r>
      <w:r w:rsidRPr="001C5E0F">
        <w:rPr>
          <w:rFonts w:ascii="Arial" w:hAnsi="Arial" w:cs="Arial"/>
          <w:sz w:val="20"/>
          <w:szCs w:val="20"/>
          <w:lang w:val="en-GB"/>
        </w:rPr>
        <w:t xml:space="preserve"> his failure to discharge his</w:t>
      </w:r>
      <w:r w:rsidR="00605887">
        <w:rPr>
          <w:rFonts w:ascii="Arial" w:hAnsi="Arial" w:cs="Arial"/>
          <w:sz w:val="20"/>
          <w:szCs w:val="20"/>
          <w:lang w:val="en-GB"/>
        </w:rPr>
        <w:t xml:space="preserve"> Listing Rule</w:t>
      </w:r>
      <w:r w:rsidRPr="001C5E0F">
        <w:rPr>
          <w:rFonts w:ascii="Arial" w:hAnsi="Arial" w:cs="Arial"/>
          <w:sz w:val="20"/>
          <w:szCs w:val="20"/>
          <w:lang w:val="en-GB"/>
        </w:rPr>
        <w:t xml:space="preserve"> responsibilities was serious and/or repeated. </w:t>
      </w:r>
    </w:p>
    <w:p w:rsidR="00024052" w:rsidRPr="001C5E0F" w:rsidRDefault="00C2299A" w:rsidP="00813E7F">
      <w:pPr>
        <w:jc w:val="both"/>
        <w:rPr>
          <w:rFonts w:ascii="Arial" w:hAnsi="Arial" w:cs="Arial"/>
          <w:b/>
          <w:sz w:val="20"/>
          <w:szCs w:val="20"/>
          <w:lang w:val="en-GB"/>
        </w:rPr>
      </w:pPr>
      <w:r w:rsidRPr="001C5E0F">
        <w:rPr>
          <w:rFonts w:ascii="Arial" w:hAnsi="Arial" w:cs="Arial"/>
          <w:b/>
          <w:sz w:val="20"/>
          <w:szCs w:val="20"/>
          <w:lang w:val="en-GB"/>
        </w:rPr>
        <w:t xml:space="preserve">Delisting </w:t>
      </w:r>
      <w:r w:rsidR="009735BE" w:rsidRPr="001C5E0F">
        <w:rPr>
          <w:rFonts w:ascii="Arial" w:hAnsi="Arial" w:cs="Arial"/>
          <w:b/>
          <w:sz w:val="20"/>
          <w:szCs w:val="20"/>
          <w:lang w:val="en-GB"/>
        </w:rPr>
        <w:t>of Good Resources</w:t>
      </w:r>
      <w:r w:rsidR="00C61721">
        <w:rPr>
          <w:rFonts w:ascii="Arial" w:hAnsi="Arial" w:cs="Arial"/>
          <w:b/>
          <w:sz w:val="20"/>
          <w:szCs w:val="20"/>
          <w:lang w:val="en-GB"/>
        </w:rPr>
        <w:t xml:space="preserve"> from HKEx</w:t>
      </w:r>
    </w:p>
    <w:p w:rsidR="00C2299A" w:rsidRPr="001C5E0F" w:rsidRDefault="00C2299A" w:rsidP="00813E7F">
      <w:pPr>
        <w:jc w:val="both"/>
        <w:rPr>
          <w:rFonts w:ascii="Arial" w:hAnsi="Arial" w:cs="Arial"/>
          <w:sz w:val="20"/>
          <w:szCs w:val="20"/>
          <w:lang w:val="en-GB"/>
        </w:rPr>
      </w:pPr>
      <w:r w:rsidRPr="001C5E0F">
        <w:rPr>
          <w:rFonts w:ascii="Arial" w:hAnsi="Arial" w:cs="Arial"/>
          <w:sz w:val="20"/>
          <w:szCs w:val="20"/>
          <w:lang w:val="en-GB"/>
        </w:rPr>
        <w:t>Good Resources’ suspension of trading was due to the delayed publication of its annual results for its 2020</w:t>
      </w:r>
      <w:r w:rsidR="009B3B9A">
        <w:rPr>
          <w:rFonts w:ascii="Arial" w:hAnsi="Arial" w:cs="Arial"/>
          <w:sz w:val="20"/>
          <w:szCs w:val="20"/>
          <w:lang w:val="en-GB"/>
        </w:rPr>
        <w:t xml:space="preserve"> </w:t>
      </w:r>
      <w:r w:rsidRPr="001C5E0F">
        <w:rPr>
          <w:rFonts w:ascii="Arial" w:hAnsi="Arial" w:cs="Arial"/>
          <w:sz w:val="20"/>
          <w:szCs w:val="20"/>
          <w:lang w:val="en-GB"/>
        </w:rPr>
        <w:t xml:space="preserve">year end brought about by the aforementioned forensic review. </w:t>
      </w:r>
    </w:p>
    <w:p w:rsidR="00C2299A" w:rsidRPr="001C5E0F" w:rsidRDefault="00C13909" w:rsidP="00813E7F">
      <w:pPr>
        <w:jc w:val="both"/>
        <w:rPr>
          <w:rFonts w:ascii="Arial" w:hAnsi="Arial" w:cs="Arial"/>
          <w:sz w:val="20"/>
          <w:szCs w:val="20"/>
          <w:lang w:val="en-GB"/>
        </w:rPr>
      </w:pPr>
      <w:r w:rsidRPr="001C5E0F">
        <w:rPr>
          <w:rFonts w:ascii="Arial" w:hAnsi="Arial" w:cs="Arial"/>
          <w:sz w:val="20"/>
          <w:szCs w:val="20"/>
          <w:lang w:val="en-GB"/>
        </w:rPr>
        <w:t>Good Resources’</w:t>
      </w:r>
      <w:r>
        <w:rPr>
          <w:rFonts w:ascii="Arial" w:hAnsi="Arial" w:cs="Arial"/>
          <w:sz w:val="20"/>
          <w:szCs w:val="20"/>
          <w:lang w:val="en-GB"/>
        </w:rPr>
        <w:t xml:space="preserve"> listing </w:t>
      </w:r>
      <w:r w:rsidR="00C2299A" w:rsidRPr="001C5E0F">
        <w:rPr>
          <w:rFonts w:ascii="Arial" w:hAnsi="Arial" w:cs="Arial"/>
          <w:sz w:val="20"/>
          <w:szCs w:val="20"/>
          <w:lang w:val="en-GB"/>
        </w:rPr>
        <w:t xml:space="preserve">was </w:t>
      </w:r>
      <w:r>
        <w:rPr>
          <w:rFonts w:ascii="Arial" w:hAnsi="Arial" w:cs="Arial"/>
          <w:sz w:val="20"/>
          <w:szCs w:val="20"/>
          <w:lang w:val="en-GB"/>
        </w:rPr>
        <w:t xml:space="preserve">cancelled in May 2022 due to the company’s </w:t>
      </w:r>
      <w:r w:rsidR="00BE6BA7" w:rsidRPr="001C5E0F">
        <w:rPr>
          <w:rFonts w:ascii="Arial" w:hAnsi="Arial" w:cs="Arial"/>
          <w:sz w:val="20"/>
          <w:szCs w:val="20"/>
          <w:lang w:val="en-GB"/>
        </w:rPr>
        <w:t>failure</w:t>
      </w:r>
      <w:r w:rsidR="00C2299A" w:rsidRPr="001C5E0F">
        <w:rPr>
          <w:rFonts w:ascii="Arial" w:hAnsi="Arial" w:cs="Arial"/>
          <w:sz w:val="20"/>
          <w:szCs w:val="20"/>
          <w:lang w:val="en-GB"/>
        </w:rPr>
        <w:t xml:space="preserve"> to </w:t>
      </w:r>
      <w:r w:rsidR="00377180" w:rsidRPr="001C5E0F">
        <w:rPr>
          <w:rFonts w:ascii="Arial" w:hAnsi="Arial" w:cs="Arial"/>
          <w:sz w:val="20"/>
          <w:szCs w:val="20"/>
          <w:lang w:val="en-GB"/>
        </w:rPr>
        <w:t>fulfil</w:t>
      </w:r>
      <w:r w:rsidR="00C2299A" w:rsidRPr="001C5E0F">
        <w:rPr>
          <w:rFonts w:ascii="Arial" w:hAnsi="Arial" w:cs="Arial"/>
          <w:sz w:val="20"/>
          <w:szCs w:val="20"/>
          <w:lang w:val="en-GB"/>
        </w:rPr>
        <w:t xml:space="preserve"> all the resumption guidance imposed by the </w:t>
      </w:r>
      <w:r w:rsidR="000D3A2B" w:rsidRPr="001C5E0F">
        <w:rPr>
          <w:rFonts w:ascii="Arial" w:hAnsi="Arial" w:cs="Arial"/>
          <w:sz w:val="20"/>
          <w:szCs w:val="20"/>
          <w:lang w:val="en-GB"/>
        </w:rPr>
        <w:t>HKEx</w:t>
      </w:r>
      <w:r w:rsidR="00C2299A" w:rsidRPr="001C5E0F">
        <w:rPr>
          <w:rFonts w:ascii="Arial" w:hAnsi="Arial" w:cs="Arial"/>
          <w:sz w:val="20"/>
          <w:szCs w:val="20"/>
          <w:lang w:val="en-GB"/>
        </w:rPr>
        <w:t>, inclu</w:t>
      </w:r>
      <w:r>
        <w:rPr>
          <w:rFonts w:ascii="Arial" w:hAnsi="Arial" w:cs="Arial"/>
          <w:sz w:val="20"/>
          <w:szCs w:val="20"/>
          <w:lang w:val="en-GB"/>
        </w:rPr>
        <w:t>ding</w:t>
      </w:r>
      <w:r w:rsidR="00C2299A" w:rsidRPr="001C5E0F">
        <w:rPr>
          <w:rFonts w:ascii="Arial" w:hAnsi="Arial" w:cs="Arial"/>
          <w:sz w:val="20"/>
          <w:szCs w:val="20"/>
          <w:lang w:val="en-GB"/>
        </w:rPr>
        <w:t xml:space="preserve"> its failure to complete investigations </w:t>
      </w:r>
      <w:r>
        <w:rPr>
          <w:rFonts w:ascii="Arial" w:hAnsi="Arial" w:cs="Arial"/>
          <w:sz w:val="20"/>
          <w:szCs w:val="20"/>
          <w:lang w:val="en-GB"/>
        </w:rPr>
        <w:t>in relation to</w:t>
      </w:r>
      <w:r w:rsidR="00C2299A" w:rsidRPr="001C5E0F">
        <w:rPr>
          <w:rFonts w:ascii="Arial" w:hAnsi="Arial" w:cs="Arial"/>
          <w:sz w:val="20"/>
          <w:szCs w:val="20"/>
          <w:lang w:val="en-GB"/>
        </w:rPr>
        <w:t xml:space="preserve"> the </w:t>
      </w:r>
      <w:r w:rsidR="00605887">
        <w:rPr>
          <w:rFonts w:ascii="Arial" w:hAnsi="Arial" w:cs="Arial"/>
          <w:sz w:val="20"/>
          <w:szCs w:val="20"/>
          <w:lang w:val="en-GB"/>
        </w:rPr>
        <w:t>P</w:t>
      </w:r>
      <w:r w:rsidR="00C2299A" w:rsidRPr="001C5E0F">
        <w:rPr>
          <w:rFonts w:ascii="Arial" w:hAnsi="Arial" w:cs="Arial"/>
          <w:sz w:val="20"/>
          <w:szCs w:val="20"/>
          <w:lang w:val="en-GB"/>
        </w:rPr>
        <w:t xml:space="preserve">ledge </w:t>
      </w:r>
      <w:r w:rsidR="00605887">
        <w:rPr>
          <w:rFonts w:ascii="Arial" w:hAnsi="Arial" w:cs="Arial"/>
          <w:sz w:val="20"/>
          <w:szCs w:val="20"/>
          <w:lang w:val="en-GB"/>
        </w:rPr>
        <w:t>C</w:t>
      </w:r>
      <w:r w:rsidR="00C2299A" w:rsidRPr="001C5E0F">
        <w:rPr>
          <w:rFonts w:ascii="Arial" w:hAnsi="Arial" w:cs="Arial"/>
          <w:sz w:val="20"/>
          <w:szCs w:val="20"/>
          <w:lang w:val="en-GB"/>
        </w:rPr>
        <w:t xml:space="preserve">ontracts, </w:t>
      </w:r>
      <w:r>
        <w:rPr>
          <w:rFonts w:ascii="Arial" w:hAnsi="Arial" w:cs="Arial"/>
          <w:sz w:val="20"/>
          <w:szCs w:val="20"/>
          <w:lang w:val="en-GB"/>
        </w:rPr>
        <w:t xml:space="preserve">the </w:t>
      </w:r>
      <w:r w:rsidR="00C2299A" w:rsidRPr="001C5E0F">
        <w:rPr>
          <w:rFonts w:ascii="Arial" w:hAnsi="Arial" w:cs="Arial"/>
          <w:sz w:val="20"/>
          <w:szCs w:val="20"/>
          <w:lang w:val="en-GB"/>
        </w:rPr>
        <w:t>Loan Agreement</w:t>
      </w:r>
      <w:r>
        <w:rPr>
          <w:rFonts w:ascii="Arial" w:hAnsi="Arial" w:cs="Arial"/>
          <w:sz w:val="20"/>
          <w:szCs w:val="20"/>
          <w:lang w:val="en-GB"/>
        </w:rPr>
        <w:t>s</w:t>
      </w:r>
      <w:r w:rsidR="00C2299A" w:rsidRPr="001C5E0F">
        <w:rPr>
          <w:rFonts w:ascii="Arial" w:hAnsi="Arial" w:cs="Arial"/>
          <w:sz w:val="20"/>
          <w:szCs w:val="20"/>
          <w:lang w:val="en-GB"/>
        </w:rPr>
        <w:t>, the Purported Subscription and other material unauthori</w:t>
      </w:r>
      <w:r w:rsidR="00605887">
        <w:rPr>
          <w:rFonts w:ascii="Arial" w:hAnsi="Arial" w:cs="Arial"/>
          <w:sz w:val="20"/>
          <w:szCs w:val="20"/>
          <w:lang w:val="en-GB"/>
        </w:rPr>
        <w:t>s</w:t>
      </w:r>
      <w:r w:rsidR="00C2299A" w:rsidRPr="001C5E0F">
        <w:rPr>
          <w:rFonts w:ascii="Arial" w:hAnsi="Arial" w:cs="Arial"/>
          <w:sz w:val="20"/>
          <w:szCs w:val="20"/>
          <w:lang w:val="en-GB"/>
        </w:rPr>
        <w:t xml:space="preserve">ed financial assistance. </w:t>
      </w:r>
    </w:p>
    <w:p w:rsidR="001D77CE" w:rsidRPr="001C5E0F" w:rsidRDefault="008B4F87">
      <w:pPr>
        <w:jc w:val="both"/>
        <w:rPr>
          <w:rFonts w:ascii="Arial" w:hAnsi="Arial" w:cs="Arial"/>
          <w:b/>
          <w:color w:val="FF0000"/>
          <w:sz w:val="20"/>
          <w:szCs w:val="20"/>
          <w:lang w:val="en-GB"/>
        </w:rPr>
      </w:pPr>
      <w:r w:rsidRPr="001C5E0F">
        <w:rPr>
          <w:rFonts w:ascii="Arial" w:hAnsi="Arial" w:cs="Arial"/>
          <w:sz w:val="20"/>
          <w:szCs w:val="20"/>
          <w:lang w:val="en-GB"/>
        </w:rPr>
        <w:t>The HKEx’s Statement of Disciplinary Action is available on the HKEx website</w:t>
      </w:r>
      <w:r w:rsidR="007A3982">
        <w:rPr>
          <w:rFonts w:ascii="Arial" w:hAnsi="Arial" w:cs="Arial"/>
          <w:sz w:val="20"/>
          <w:szCs w:val="20"/>
          <w:lang w:val="en-GB"/>
        </w:rPr>
        <w:t xml:space="preserve"> </w:t>
      </w:r>
      <w:hyperlink r:id="rId10" w:history="1">
        <w:r w:rsidR="007A3982" w:rsidRPr="00377180">
          <w:rPr>
            <w:rStyle w:val="a3"/>
            <w:rFonts w:ascii="Arial" w:hAnsi="Arial" w:cs="Arial"/>
            <w:color w:val="FF0000"/>
            <w:sz w:val="20"/>
            <w:szCs w:val="20"/>
            <w:u w:val="none"/>
            <w:lang w:val="en-GB"/>
          </w:rPr>
          <w:t>here</w:t>
        </w:r>
      </w:hyperlink>
      <w:r w:rsidRPr="001C5E0F">
        <w:rPr>
          <w:rFonts w:ascii="Arial" w:hAnsi="Arial" w:cs="Arial"/>
          <w:sz w:val="20"/>
          <w:szCs w:val="20"/>
          <w:lang w:val="en-GB"/>
        </w:rPr>
        <w:t>.</w:t>
      </w:r>
    </w:p>
    <w:p w:rsidR="00C32AF4" w:rsidRPr="001C5E0F" w:rsidRDefault="000D3A2B" w:rsidP="00813E7F">
      <w:pPr>
        <w:jc w:val="both"/>
        <w:rPr>
          <w:rFonts w:ascii="Arial" w:hAnsi="Arial" w:cs="Arial"/>
          <w:b/>
          <w:color w:val="FF0000"/>
          <w:sz w:val="20"/>
          <w:szCs w:val="20"/>
          <w:lang w:val="en-GB"/>
        </w:rPr>
      </w:pPr>
      <w:r w:rsidRPr="001C5E0F">
        <w:rPr>
          <w:rFonts w:ascii="Arial" w:hAnsi="Arial" w:cs="Arial"/>
          <w:b/>
          <w:color w:val="FF0000"/>
          <w:sz w:val="20"/>
          <w:szCs w:val="20"/>
          <w:lang w:val="en-GB"/>
        </w:rPr>
        <w:t>HKEx</w:t>
      </w:r>
      <w:r w:rsidR="00C32AF4" w:rsidRPr="001C5E0F">
        <w:rPr>
          <w:rFonts w:ascii="Arial" w:hAnsi="Arial" w:cs="Arial"/>
          <w:b/>
          <w:color w:val="FF0000"/>
          <w:sz w:val="20"/>
          <w:szCs w:val="20"/>
          <w:lang w:val="en-GB"/>
        </w:rPr>
        <w:t>’s Disciplinary Action against Two Former Directors of Biosino Bio-Technol</w:t>
      </w:r>
      <w:r w:rsidR="00B60F8D" w:rsidRPr="001C5E0F">
        <w:rPr>
          <w:rFonts w:ascii="Arial" w:hAnsi="Arial" w:cs="Arial"/>
          <w:b/>
          <w:color w:val="FF0000"/>
          <w:sz w:val="20"/>
          <w:szCs w:val="20"/>
          <w:lang w:val="en-GB"/>
        </w:rPr>
        <w:t xml:space="preserve">ogy and Science Incorporation </w:t>
      </w:r>
    </w:p>
    <w:p w:rsidR="005F36E8" w:rsidRDefault="005F36E8" w:rsidP="00813E7F">
      <w:pPr>
        <w:jc w:val="both"/>
        <w:rPr>
          <w:rFonts w:ascii="Arial" w:hAnsi="Arial" w:cs="Arial"/>
          <w:sz w:val="20"/>
          <w:szCs w:val="20"/>
          <w:lang w:val="en-GB"/>
        </w:rPr>
      </w:pPr>
      <w:r w:rsidRPr="001C5E0F">
        <w:rPr>
          <w:rFonts w:ascii="Arial" w:hAnsi="Arial" w:cs="Arial"/>
          <w:sz w:val="20"/>
          <w:szCs w:val="20"/>
          <w:lang w:val="en-GB"/>
        </w:rPr>
        <w:lastRenderedPageBreak/>
        <w:t>On 24 October 2022</w:t>
      </w:r>
      <w:r w:rsidR="00AD6A25">
        <w:rPr>
          <w:rFonts w:ascii="Arial" w:hAnsi="Arial" w:cs="Arial"/>
          <w:sz w:val="20"/>
          <w:szCs w:val="20"/>
          <w:lang w:val="en-GB"/>
        </w:rPr>
        <w:t>,</w:t>
      </w:r>
      <w:r w:rsidRPr="001C5E0F">
        <w:rPr>
          <w:rFonts w:ascii="Arial" w:hAnsi="Arial" w:cs="Arial"/>
          <w:sz w:val="20"/>
          <w:szCs w:val="20"/>
          <w:lang w:val="en-GB"/>
        </w:rPr>
        <w:t xml:space="preserve"> the </w:t>
      </w:r>
      <w:r w:rsidR="000D3A2B" w:rsidRPr="001C5E0F">
        <w:rPr>
          <w:rFonts w:ascii="Arial" w:hAnsi="Arial" w:cs="Arial"/>
          <w:sz w:val="20"/>
          <w:szCs w:val="20"/>
          <w:lang w:val="en-GB"/>
        </w:rPr>
        <w:t>HKEx</w:t>
      </w:r>
      <w:r w:rsidR="004E43D8" w:rsidRPr="001C5E0F">
        <w:rPr>
          <w:rFonts w:ascii="Arial" w:hAnsi="Arial" w:cs="Arial"/>
          <w:sz w:val="20"/>
          <w:szCs w:val="20"/>
          <w:lang w:val="en-GB"/>
        </w:rPr>
        <w:t xml:space="preserve"> issued </w:t>
      </w:r>
      <w:r w:rsidRPr="001C5E0F">
        <w:rPr>
          <w:rFonts w:ascii="Arial" w:hAnsi="Arial" w:cs="Arial"/>
          <w:sz w:val="20"/>
          <w:szCs w:val="20"/>
          <w:lang w:val="en-GB"/>
        </w:rPr>
        <w:t>public censure</w:t>
      </w:r>
      <w:r w:rsidR="004E43D8" w:rsidRPr="001C5E0F">
        <w:rPr>
          <w:rFonts w:ascii="Arial" w:hAnsi="Arial" w:cs="Arial"/>
          <w:sz w:val="20"/>
          <w:szCs w:val="20"/>
          <w:lang w:val="en-GB"/>
        </w:rPr>
        <w:t>s and imposed</w:t>
      </w:r>
      <w:r w:rsidRPr="001C5E0F">
        <w:rPr>
          <w:rFonts w:ascii="Arial" w:hAnsi="Arial" w:cs="Arial"/>
          <w:sz w:val="20"/>
          <w:szCs w:val="20"/>
          <w:lang w:val="en-GB"/>
        </w:rPr>
        <w:t xml:space="preserve"> Director Unsuitab</w:t>
      </w:r>
      <w:r w:rsidR="00AD6A25">
        <w:rPr>
          <w:rFonts w:ascii="Arial" w:hAnsi="Arial" w:cs="Arial"/>
          <w:sz w:val="20"/>
          <w:szCs w:val="20"/>
          <w:lang w:val="en-GB"/>
        </w:rPr>
        <w:t>i</w:t>
      </w:r>
      <w:r w:rsidRPr="001C5E0F">
        <w:rPr>
          <w:rFonts w:ascii="Arial" w:hAnsi="Arial" w:cs="Arial"/>
          <w:sz w:val="20"/>
          <w:szCs w:val="20"/>
          <w:lang w:val="en-GB"/>
        </w:rPr>
        <w:t>l</w:t>
      </w:r>
      <w:r w:rsidR="00AD6A25">
        <w:rPr>
          <w:rFonts w:ascii="Arial" w:hAnsi="Arial" w:cs="Arial"/>
          <w:sz w:val="20"/>
          <w:szCs w:val="20"/>
          <w:lang w:val="en-GB"/>
        </w:rPr>
        <w:t>ity</w:t>
      </w:r>
      <w:r w:rsidRPr="001C5E0F">
        <w:rPr>
          <w:rFonts w:ascii="Arial" w:hAnsi="Arial" w:cs="Arial"/>
          <w:sz w:val="20"/>
          <w:szCs w:val="20"/>
          <w:lang w:val="en-GB"/>
        </w:rPr>
        <w:t xml:space="preserve"> Statement</w:t>
      </w:r>
      <w:r w:rsidR="004E43D8" w:rsidRPr="001C5E0F">
        <w:rPr>
          <w:rFonts w:ascii="Arial" w:hAnsi="Arial" w:cs="Arial"/>
          <w:sz w:val="20"/>
          <w:szCs w:val="20"/>
          <w:lang w:val="en-GB"/>
        </w:rPr>
        <w:t>s</w:t>
      </w:r>
      <w:r w:rsidRPr="001C5E0F">
        <w:rPr>
          <w:rFonts w:ascii="Arial" w:hAnsi="Arial" w:cs="Arial"/>
          <w:sz w:val="20"/>
          <w:szCs w:val="20"/>
          <w:lang w:val="en-GB"/>
        </w:rPr>
        <w:t xml:space="preserve"> against </w:t>
      </w:r>
      <w:r w:rsidR="00AD6A25">
        <w:rPr>
          <w:rFonts w:ascii="Arial" w:hAnsi="Arial" w:cs="Arial"/>
          <w:sz w:val="20"/>
          <w:szCs w:val="20"/>
          <w:lang w:val="en-GB"/>
        </w:rPr>
        <w:t xml:space="preserve">the </w:t>
      </w:r>
      <w:r w:rsidRPr="001C5E0F">
        <w:rPr>
          <w:rFonts w:ascii="Arial" w:hAnsi="Arial" w:cs="Arial"/>
          <w:sz w:val="20"/>
          <w:szCs w:val="20"/>
          <w:lang w:val="en-GB"/>
        </w:rPr>
        <w:t>former vice-chairman and executive director</w:t>
      </w:r>
      <w:r w:rsidR="00AD6A25">
        <w:rPr>
          <w:rFonts w:ascii="Arial" w:hAnsi="Arial" w:cs="Arial"/>
          <w:sz w:val="20"/>
          <w:szCs w:val="20"/>
          <w:lang w:val="en-GB"/>
        </w:rPr>
        <w:t>,</w:t>
      </w:r>
      <w:r w:rsidRPr="001C5E0F">
        <w:rPr>
          <w:rFonts w:ascii="Arial" w:hAnsi="Arial" w:cs="Arial"/>
          <w:sz w:val="20"/>
          <w:szCs w:val="20"/>
          <w:lang w:val="en-GB"/>
        </w:rPr>
        <w:t xml:space="preserve"> Mr Chen Jintian</w:t>
      </w:r>
      <w:r w:rsidR="00AD6A25">
        <w:rPr>
          <w:rFonts w:ascii="Arial" w:hAnsi="Arial" w:cs="Arial"/>
          <w:sz w:val="20"/>
          <w:szCs w:val="20"/>
          <w:lang w:val="en-GB"/>
        </w:rPr>
        <w:t>,</w:t>
      </w:r>
      <w:r w:rsidRPr="001C5E0F">
        <w:rPr>
          <w:rFonts w:ascii="Arial" w:hAnsi="Arial" w:cs="Arial"/>
          <w:sz w:val="20"/>
          <w:szCs w:val="20"/>
          <w:lang w:val="en-GB"/>
        </w:rPr>
        <w:t xml:space="preserve"> and former execu</w:t>
      </w:r>
      <w:r w:rsidR="004E43D8" w:rsidRPr="001C5E0F">
        <w:rPr>
          <w:rFonts w:ascii="Arial" w:hAnsi="Arial" w:cs="Arial"/>
          <w:sz w:val="20"/>
          <w:szCs w:val="20"/>
          <w:lang w:val="en-GB"/>
        </w:rPr>
        <w:t>tive director</w:t>
      </w:r>
      <w:r w:rsidR="00AD6A25">
        <w:rPr>
          <w:rFonts w:ascii="Arial" w:hAnsi="Arial" w:cs="Arial"/>
          <w:sz w:val="20"/>
          <w:szCs w:val="20"/>
          <w:lang w:val="en-GB"/>
        </w:rPr>
        <w:t>,</w:t>
      </w:r>
      <w:r w:rsidR="004E43D8" w:rsidRPr="001C5E0F">
        <w:rPr>
          <w:rFonts w:ascii="Arial" w:hAnsi="Arial" w:cs="Arial"/>
          <w:sz w:val="20"/>
          <w:szCs w:val="20"/>
          <w:lang w:val="en-GB"/>
        </w:rPr>
        <w:t xml:space="preserve"> Mr Chen Jianhua (c</w:t>
      </w:r>
      <w:r w:rsidRPr="001C5E0F">
        <w:rPr>
          <w:rFonts w:ascii="Arial" w:hAnsi="Arial" w:cs="Arial"/>
          <w:sz w:val="20"/>
          <w:szCs w:val="20"/>
          <w:lang w:val="en-GB"/>
        </w:rPr>
        <w:t xml:space="preserve">ollectively the </w:t>
      </w:r>
      <w:r w:rsidRPr="001C5E0F">
        <w:rPr>
          <w:rFonts w:ascii="Arial" w:hAnsi="Arial" w:cs="Arial"/>
          <w:b/>
          <w:sz w:val="20"/>
          <w:szCs w:val="20"/>
          <w:lang w:val="en-GB"/>
        </w:rPr>
        <w:t>Directors</w:t>
      </w:r>
      <w:r w:rsidRPr="001C5E0F">
        <w:rPr>
          <w:rFonts w:ascii="Arial" w:hAnsi="Arial" w:cs="Arial"/>
          <w:sz w:val="20"/>
          <w:szCs w:val="20"/>
          <w:lang w:val="en-GB"/>
        </w:rPr>
        <w:t>)</w:t>
      </w:r>
      <w:r w:rsidR="00AD6A25">
        <w:rPr>
          <w:rFonts w:ascii="Arial" w:hAnsi="Arial" w:cs="Arial"/>
          <w:sz w:val="20"/>
          <w:szCs w:val="20"/>
          <w:lang w:val="en-GB"/>
        </w:rPr>
        <w:t xml:space="preserve">, of </w:t>
      </w:r>
      <w:r w:rsidR="00AD6A25" w:rsidRPr="001C5E0F">
        <w:rPr>
          <w:rFonts w:ascii="Arial" w:hAnsi="Arial" w:cs="Arial"/>
          <w:sz w:val="20"/>
          <w:szCs w:val="20"/>
          <w:lang w:val="en-GB"/>
        </w:rPr>
        <w:t>Biosino Bio-Technology and Science Incorporation (</w:t>
      </w:r>
      <w:r w:rsidR="00AD6A25" w:rsidRPr="001C5E0F">
        <w:rPr>
          <w:rFonts w:ascii="Arial" w:hAnsi="Arial" w:cs="Arial"/>
          <w:b/>
          <w:sz w:val="20"/>
          <w:szCs w:val="20"/>
          <w:lang w:val="en-GB"/>
        </w:rPr>
        <w:t>Biosino</w:t>
      </w:r>
      <w:r w:rsidR="00AD6A25" w:rsidRPr="001C5E0F">
        <w:rPr>
          <w:rFonts w:ascii="Arial" w:hAnsi="Arial" w:cs="Arial"/>
          <w:sz w:val="20"/>
          <w:szCs w:val="20"/>
          <w:lang w:val="en-GB"/>
        </w:rPr>
        <w:t>)</w:t>
      </w:r>
      <w:r w:rsidR="00AD6A25">
        <w:rPr>
          <w:rFonts w:ascii="Arial" w:hAnsi="Arial" w:cs="Arial"/>
          <w:sz w:val="20"/>
          <w:szCs w:val="20"/>
          <w:lang w:val="en-GB"/>
        </w:rPr>
        <w:t>.</w:t>
      </w:r>
      <w:r w:rsidR="00AD6A25" w:rsidRPr="001C5E0F">
        <w:rPr>
          <w:rFonts w:ascii="Arial" w:hAnsi="Arial" w:cs="Arial"/>
          <w:sz w:val="20"/>
          <w:szCs w:val="20"/>
          <w:lang w:val="en-GB"/>
        </w:rPr>
        <w:t xml:space="preserve"> </w:t>
      </w:r>
      <w:r w:rsidRPr="001C5E0F">
        <w:rPr>
          <w:rFonts w:ascii="Arial" w:hAnsi="Arial" w:cs="Arial"/>
          <w:sz w:val="20"/>
          <w:szCs w:val="20"/>
          <w:lang w:val="en-GB"/>
        </w:rPr>
        <w:t xml:space="preserve"> </w:t>
      </w:r>
    </w:p>
    <w:p w:rsidR="00E83B9A" w:rsidRPr="001C5E0F" w:rsidRDefault="00E83B9A" w:rsidP="00813E7F">
      <w:pPr>
        <w:jc w:val="both"/>
        <w:rPr>
          <w:rFonts w:ascii="Arial" w:hAnsi="Arial" w:cs="Arial"/>
          <w:sz w:val="20"/>
          <w:szCs w:val="20"/>
          <w:lang w:val="en-GB"/>
        </w:rPr>
      </w:pPr>
      <w:r>
        <w:rPr>
          <w:rFonts w:ascii="Arial" w:hAnsi="Arial" w:cs="Arial"/>
          <w:sz w:val="20"/>
          <w:szCs w:val="20"/>
          <w:lang w:val="en-GB"/>
        </w:rPr>
        <w:t>The disciplinary action serves as a reminder that directors are under an obligation to cooperate with the HKEx in its enquiries, even after they have ceased to be directors.</w:t>
      </w:r>
    </w:p>
    <w:p w:rsidR="004E43D8" w:rsidRPr="001C5E0F" w:rsidRDefault="005F36E8" w:rsidP="00813E7F">
      <w:pPr>
        <w:jc w:val="both"/>
        <w:rPr>
          <w:rFonts w:ascii="Arial" w:hAnsi="Arial" w:cs="Arial"/>
          <w:sz w:val="20"/>
          <w:szCs w:val="20"/>
          <w:lang w:val="en-GB"/>
        </w:rPr>
      </w:pPr>
      <w:r w:rsidRPr="001C5E0F">
        <w:rPr>
          <w:rFonts w:ascii="Arial" w:hAnsi="Arial" w:cs="Arial"/>
          <w:sz w:val="20"/>
          <w:szCs w:val="20"/>
          <w:lang w:val="en-GB"/>
        </w:rPr>
        <w:t xml:space="preserve">The </w:t>
      </w:r>
      <w:r w:rsidR="000D3A2B" w:rsidRPr="001C5E0F">
        <w:rPr>
          <w:rFonts w:ascii="Arial" w:hAnsi="Arial" w:cs="Arial"/>
          <w:sz w:val="20"/>
          <w:szCs w:val="20"/>
          <w:lang w:val="en-GB"/>
        </w:rPr>
        <w:t>HKEx</w:t>
      </w:r>
      <w:r w:rsidRPr="001C5E0F">
        <w:rPr>
          <w:rFonts w:ascii="Arial" w:hAnsi="Arial" w:cs="Arial"/>
          <w:sz w:val="20"/>
          <w:szCs w:val="20"/>
          <w:lang w:val="en-GB"/>
        </w:rPr>
        <w:t xml:space="preserve"> had sent investigation letters and reminder letters to the Directors’ correspondence and email address</w:t>
      </w:r>
      <w:r w:rsidR="005B641D" w:rsidRPr="001C5E0F">
        <w:rPr>
          <w:rFonts w:ascii="Arial" w:hAnsi="Arial" w:cs="Arial"/>
          <w:sz w:val="20"/>
          <w:szCs w:val="20"/>
          <w:lang w:val="en-GB"/>
        </w:rPr>
        <w:t>es</w:t>
      </w:r>
      <w:r w:rsidRPr="001C5E0F">
        <w:rPr>
          <w:rFonts w:ascii="Arial" w:hAnsi="Arial" w:cs="Arial"/>
          <w:sz w:val="20"/>
          <w:szCs w:val="20"/>
          <w:lang w:val="en-GB"/>
        </w:rPr>
        <w:t xml:space="preserve"> </w:t>
      </w:r>
      <w:r w:rsidR="00E83B9A">
        <w:rPr>
          <w:rFonts w:ascii="Arial" w:hAnsi="Arial" w:cs="Arial"/>
          <w:sz w:val="20"/>
          <w:szCs w:val="20"/>
          <w:lang w:val="en-GB"/>
        </w:rPr>
        <w:t>in</w:t>
      </w:r>
      <w:r w:rsidRPr="001C5E0F">
        <w:rPr>
          <w:rFonts w:ascii="Arial" w:hAnsi="Arial" w:cs="Arial"/>
          <w:sz w:val="20"/>
          <w:szCs w:val="20"/>
          <w:lang w:val="en-GB"/>
        </w:rPr>
        <w:t xml:space="preserve"> relation to an investigation into whether the Directors had b</w:t>
      </w:r>
      <w:r w:rsidR="004E43D8" w:rsidRPr="001C5E0F">
        <w:rPr>
          <w:rFonts w:ascii="Arial" w:hAnsi="Arial" w:cs="Arial"/>
          <w:sz w:val="20"/>
          <w:szCs w:val="20"/>
          <w:lang w:val="en-GB"/>
        </w:rPr>
        <w:t>reached the GEM Listing Rules (</w:t>
      </w:r>
      <w:r w:rsidRPr="001C5E0F">
        <w:rPr>
          <w:rFonts w:ascii="Arial" w:hAnsi="Arial" w:cs="Arial"/>
          <w:sz w:val="20"/>
          <w:szCs w:val="20"/>
          <w:lang w:val="en-GB"/>
        </w:rPr>
        <w:t xml:space="preserve">the </w:t>
      </w:r>
      <w:r w:rsidRPr="001C5E0F">
        <w:rPr>
          <w:rFonts w:ascii="Arial" w:hAnsi="Arial" w:cs="Arial"/>
          <w:b/>
          <w:sz w:val="20"/>
          <w:szCs w:val="20"/>
          <w:lang w:val="en-GB"/>
        </w:rPr>
        <w:t>Investigation</w:t>
      </w:r>
      <w:r w:rsidR="004E43D8" w:rsidRPr="001C5E0F">
        <w:rPr>
          <w:rFonts w:ascii="Arial" w:hAnsi="Arial" w:cs="Arial"/>
          <w:sz w:val="20"/>
          <w:szCs w:val="20"/>
          <w:lang w:val="en-GB"/>
        </w:rPr>
        <w:t>). H</w:t>
      </w:r>
      <w:r w:rsidRPr="001C5E0F">
        <w:rPr>
          <w:rFonts w:ascii="Arial" w:hAnsi="Arial" w:cs="Arial"/>
          <w:sz w:val="20"/>
          <w:szCs w:val="20"/>
          <w:lang w:val="en-GB"/>
        </w:rPr>
        <w:t>owever</w:t>
      </w:r>
      <w:r w:rsidR="004E43D8" w:rsidRPr="001C5E0F">
        <w:rPr>
          <w:rFonts w:ascii="Arial" w:hAnsi="Arial" w:cs="Arial"/>
          <w:sz w:val="20"/>
          <w:szCs w:val="20"/>
          <w:lang w:val="en-GB"/>
        </w:rPr>
        <w:t>,</w:t>
      </w:r>
      <w:r w:rsidRPr="001C5E0F">
        <w:rPr>
          <w:rFonts w:ascii="Arial" w:hAnsi="Arial" w:cs="Arial"/>
          <w:sz w:val="20"/>
          <w:szCs w:val="20"/>
          <w:lang w:val="en-GB"/>
        </w:rPr>
        <w:t xml:space="preserve"> neither Director responded to the </w:t>
      </w:r>
      <w:r w:rsidR="000D3A2B" w:rsidRPr="001C5E0F">
        <w:rPr>
          <w:rFonts w:ascii="Arial" w:hAnsi="Arial" w:cs="Arial"/>
          <w:sz w:val="20"/>
          <w:szCs w:val="20"/>
          <w:lang w:val="en-GB"/>
        </w:rPr>
        <w:t>HKEx</w:t>
      </w:r>
      <w:r w:rsidRPr="001C5E0F">
        <w:rPr>
          <w:rFonts w:ascii="Arial" w:hAnsi="Arial" w:cs="Arial"/>
          <w:sz w:val="20"/>
          <w:szCs w:val="20"/>
          <w:lang w:val="en-GB"/>
        </w:rPr>
        <w:t xml:space="preserve">’s letters. </w:t>
      </w:r>
    </w:p>
    <w:p w:rsidR="005F36E8" w:rsidRPr="001C5E0F" w:rsidRDefault="009C52D3" w:rsidP="00813E7F">
      <w:pPr>
        <w:jc w:val="both"/>
        <w:rPr>
          <w:rFonts w:ascii="Arial" w:hAnsi="Arial" w:cs="Arial"/>
          <w:sz w:val="20"/>
          <w:szCs w:val="20"/>
          <w:lang w:val="en-GB"/>
        </w:rPr>
      </w:pPr>
      <w:r w:rsidRPr="001C5E0F">
        <w:rPr>
          <w:rFonts w:ascii="Arial" w:hAnsi="Arial" w:cs="Arial"/>
          <w:sz w:val="20"/>
          <w:szCs w:val="20"/>
          <w:lang w:val="en-GB"/>
        </w:rPr>
        <w:t>Both Directors were subsequently placed on the Request for Assistance List (</w:t>
      </w:r>
      <w:r w:rsidRPr="001C5E0F">
        <w:rPr>
          <w:rFonts w:ascii="Arial" w:hAnsi="Arial" w:cs="Arial"/>
          <w:b/>
          <w:sz w:val="20"/>
          <w:szCs w:val="20"/>
          <w:lang w:val="en-GB"/>
        </w:rPr>
        <w:t>RF</w:t>
      </w:r>
      <w:r w:rsidR="00E83B9A">
        <w:rPr>
          <w:rFonts w:ascii="Arial" w:hAnsi="Arial" w:cs="Arial"/>
          <w:b/>
          <w:sz w:val="20"/>
          <w:szCs w:val="20"/>
          <w:lang w:val="en-GB"/>
        </w:rPr>
        <w:t>A</w:t>
      </w:r>
      <w:r w:rsidRPr="001C5E0F">
        <w:rPr>
          <w:rFonts w:ascii="Arial" w:hAnsi="Arial" w:cs="Arial"/>
          <w:sz w:val="20"/>
          <w:szCs w:val="20"/>
          <w:lang w:val="en-GB"/>
        </w:rPr>
        <w:t>) on 25 February 2022, requesting that the Directors and</w:t>
      </w:r>
      <w:r w:rsidR="005F36E8" w:rsidRPr="001C5E0F">
        <w:rPr>
          <w:rFonts w:ascii="Arial" w:hAnsi="Arial" w:cs="Arial"/>
          <w:sz w:val="20"/>
          <w:szCs w:val="20"/>
          <w:lang w:val="en-GB"/>
        </w:rPr>
        <w:t xml:space="preserve"> persons having information about them contact the </w:t>
      </w:r>
      <w:r w:rsidR="000D3A2B" w:rsidRPr="001C5E0F">
        <w:rPr>
          <w:rFonts w:ascii="Arial" w:hAnsi="Arial" w:cs="Arial"/>
          <w:sz w:val="20"/>
          <w:szCs w:val="20"/>
          <w:lang w:val="en-GB"/>
        </w:rPr>
        <w:t>HKEx</w:t>
      </w:r>
      <w:r w:rsidR="005F36E8" w:rsidRPr="001C5E0F">
        <w:rPr>
          <w:rFonts w:ascii="Arial" w:hAnsi="Arial" w:cs="Arial"/>
          <w:sz w:val="20"/>
          <w:szCs w:val="20"/>
          <w:lang w:val="en-GB"/>
        </w:rPr>
        <w:t xml:space="preserve"> urgently. There was no response</w:t>
      </w:r>
      <w:r w:rsidR="00880E5A" w:rsidRPr="001C5E0F">
        <w:rPr>
          <w:rFonts w:ascii="Arial" w:hAnsi="Arial" w:cs="Arial"/>
          <w:sz w:val="20"/>
          <w:szCs w:val="20"/>
          <w:lang w:val="en-GB"/>
        </w:rPr>
        <w:t xml:space="preserve"> to the R</w:t>
      </w:r>
      <w:r w:rsidR="00E83B9A">
        <w:rPr>
          <w:rFonts w:ascii="Arial" w:hAnsi="Arial" w:cs="Arial"/>
          <w:sz w:val="20"/>
          <w:szCs w:val="20"/>
          <w:lang w:val="en-GB"/>
        </w:rPr>
        <w:t>FA</w:t>
      </w:r>
      <w:r w:rsidR="00880E5A" w:rsidRPr="001C5E0F">
        <w:rPr>
          <w:rFonts w:ascii="Arial" w:hAnsi="Arial" w:cs="Arial"/>
          <w:sz w:val="20"/>
          <w:szCs w:val="20"/>
          <w:lang w:val="en-GB"/>
        </w:rPr>
        <w:t xml:space="preserve"> </w:t>
      </w:r>
      <w:r w:rsidR="00E83B9A">
        <w:rPr>
          <w:rFonts w:ascii="Arial" w:hAnsi="Arial" w:cs="Arial"/>
          <w:sz w:val="20"/>
          <w:szCs w:val="20"/>
          <w:lang w:val="en-GB"/>
        </w:rPr>
        <w:t xml:space="preserve">from </w:t>
      </w:r>
      <w:r w:rsidR="004E43D8" w:rsidRPr="001C5E0F">
        <w:rPr>
          <w:rFonts w:ascii="Arial" w:hAnsi="Arial" w:cs="Arial"/>
          <w:sz w:val="20"/>
          <w:szCs w:val="20"/>
          <w:lang w:val="en-GB"/>
        </w:rPr>
        <w:t>the Directors or other persons</w:t>
      </w:r>
      <w:r w:rsidR="005F36E8" w:rsidRPr="001C5E0F">
        <w:rPr>
          <w:rFonts w:ascii="Arial" w:hAnsi="Arial" w:cs="Arial"/>
          <w:sz w:val="20"/>
          <w:szCs w:val="20"/>
          <w:lang w:val="en-GB"/>
        </w:rPr>
        <w:t xml:space="preserve">. </w:t>
      </w:r>
    </w:p>
    <w:p w:rsidR="00C2299A" w:rsidRPr="001C5E0F" w:rsidRDefault="005F36E8" w:rsidP="00813E7F">
      <w:pPr>
        <w:jc w:val="both"/>
        <w:rPr>
          <w:rFonts w:ascii="Arial" w:hAnsi="Arial" w:cs="Arial"/>
          <w:sz w:val="20"/>
          <w:szCs w:val="20"/>
          <w:lang w:val="en-GB"/>
        </w:rPr>
      </w:pPr>
      <w:r w:rsidRPr="001C5E0F">
        <w:rPr>
          <w:rFonts w:ascii="Arial" w:hAnsi="Arial" w:cs="Arial"/>
          <w:sz w:val="20"/>
          <w:szCs w:val="20"/>
          <w:lang w:val="en-GB"/>
        </w:rPr>
        <w:t>The Directors</w:t>
      </w:r>
      <w:r w:rsidR="00784625">
        <w:rPr>
          <w:rFonts w:ascii="Arial" w:hAnsi="Arial" w:cs="Arial"/>
          <w:sz w:val="20"/>
          <w:szCs w:val="20"/>
          <w:lang w:val="en-GB"/>
        </w:rPr>
        <w:t xml:space="preserve">’ failure </w:t>
      </w:r>
      <w:r w:rsidR="00784625" w:rsidRPr="001C5E0F">
        <w:rPr>
          <w:rFonts w:ascii="Arial" w:hAnsi="Arial" w:cs="Arial"/>
          <w:sz w:val="20"/>
          <w:szCs w:val="20"/>
          <w:lang w:val="en-GB"/>
        </w:rPr>
        <w:t>to cooperate with the HKEx with regards to the Investigation</w:t>
      </w:r>
      <w:r w:rsidRPr="001C5E0F">
        <w:rPr>
          <w:rFonts w:ascii="Arial" w:hAnsi="Arial" w:cs="Arial"/>
          <w:sz w:val="20"/>
          <w:szCs w:val="20"/>
          <w:lang w:val="en-GB"/>
        </w:rPr>
        <w:t xml:space="preserve"> </w:t>
      </w:r>
      <w:r w:rsidR="00784625">
        <w:rPr>
          <w:rFonts w:ascii="Arial" w:hAnsi="Arial" w:cs="Arial"/>
          <w:sz w:val="20"/>
          <w:szCs w:val="20"/>
          <w:lang w:val="en-GB"/>
        </w:rPr>
        <w:t xml:space="preserve">was </w:t>
      </w:r>
      <w:r w:rsidRPr="001C5E0F">
        <w:rPr>
          <w:rFonts w:ascii="Arial" w:hAnsi="Arial" w:cs="Arial"/>
          <w:sz w:val="20"/>
          <w:szCs w:val="20"/>
          <w:lang w:val="en-GB"/>
        </w:rPr>
        <w:t xml:space="preserve">determined to </w:t>
      </w:r>
      <w:r w:rsidR="00784625">
        <w:rPr>
          <w:rFonts w:ascii="Arial" w:hAnsi="Arial" w:cs="Arial"/>
          <w:sz w:val="20"/>
          <w:szCs w:val="20"/>
          <w:lang w:val="en-GB"/>
        </w:rPr>
        <w:t xml:space="preserve">constitute a </w:t>
      </w:r>
      <w:r w:rsidRPr="001C5E0F">
        <w:rPr>
          <w:rFonts w:ascii="Arial" w:hAnsi="Arial" w:cs="Arial"/>
          <w:sz w:val="20"/>
          <w:szCs w:val="20"/>
          <w:lang w:val="en-GB"/>
        </w:rPr>
        <w:t>breach</w:t>
      </w:r>
      <w:r w:rsidR="004D637D">
        <w:rPr>
          <w:rFonts w:ascii="Arial" w:hAnsi="Arial" w:cs="Arial"/>
          <w:sz w:val="20"/>
          <w:szCs w:val="20"/>
          <w:lang w:val="en-GB"/>
        </w:rPr>
        <w:t xml:space="preserve"> </w:t>
      </w:r>
      <w:r w:rsidR="00784625">
        <w:rPr>
          <w:rFonts w:ascii="Arial" w:hAnsi="Arial" w:cs="Arial"/>
          <w:sz w:val="20"/>
          <w:szCs w:val="20"/>
          <w:lang w:val="en-GB"/>
        </w:rPr>
        <w:t xml:space="preserve">of </w:t>
      </w:r>
      <w:r w:rsidR="004D637D" w:rsidRPr="001C5E0F">
        <w:rPr>
          <w:rFonts w:ascii="Arial" w:hAnsi="Arial" w:cs="Arial"/>
          <w:sz w:val="20"/>
          <w:szCs w:val="20"/>
          <w:lang w:val="en-GB"/>
        </w:rPr>
        <w:t>t</w:t>
      </w:r>
      <w:r w:rsidR="004D637D">
        <w:rPr>
          <w:rFonts w:ascii="Arial" w:hAnsi="Arial" w:cs="Arial"/>
          <w:sz w:val="20"/>
          <w:szCs w:val="20"/>
          <w:lang w:val="en-GB"/>
        </w:rPr>
        <w:t>he</w:t>
      </w:r>
      <w:r w:rsidR="00784625">
        <w:rPr>
          <w:rFonts w:ascii="Arial" w:hAnsi="Arial" w:cs="Arial"/>
          <w:sz w:val="20"/>
          <w:szCs w:val="20"/>
          <w:lang w:val="en-GB"/>
        </w:rPr>
        <w:t xml:space="preserve">ir </w:t>
      </w:r>
      <w:r w:rsidR="00784625" w:rsidRPr="001C5E0F">
        <w:rPr>
          <w:rFonts w:ascii="Arial" w:hAnsi="Arial" w:cs="Arial"/>
          <w:sz w:val="20"/>
          <w:szCs w:val="20"/>
          <w:lang w:val="en-GB"/>
        </w:rPr>
        <w:t>Director</w:t>
      </w:r>
      <w:r w:rsidR="00784625">
        <w:rPr>
          <w:rFonts w:ascii="Arial" w:hAnsi="Arial" w:cs="Arial"/>
          <w:sz w:val="20"/>
          <w:szCs w:val="20"/>
          <w:lang w:val="en-GB"/>
        </w:rPr>
        <w:t>’</w:t>
      </w:r>
      <w:r w:rsidR="00784625" w:rsidRPr="001C5E0F">
        <w:rPr>
          <w:rFonts w:ascii="Arial" w:hAnsi="Arial" w:cs="Arial"/>
          <w:sz w:val="20"/>
          <w:szCs w:val="20"/>
          <w:lang w:val="en-GB"/>
        </w:rPr>
        <w:t>s Undertaking</w:t>
      </w:r>
      <w:r w:rsidR="004D637D">
        <w:rPr>
          <w:rFonts w:ascii="Arial" w:hAnsi="Arial" w:cs="Arial"/>
          <w:sz w:val="20"/>
          <w:szCs w:val="20"/>
          <w:lang w:val="en-GB"/>
        </w:rPr>
        <w:t xml:space="preserve"> </w:t>
      </w:r>
      <w:r w:rsidR="00784625">
        <w:rPr>
          <w:rFonts w:ascii="Arial" w:hAnsi="Arial" w:cs="Arial"/>
          <w:sz w:val="20"/>
          <w:szCs w:val="20"/>
          <w:lang w:val="en-GB"/>
        </w:rPr>
        <w:t xml:space="preserve">and the </w:t>
      </w:r>
      <w:r w:rsidR="004D637D">
        <w:rPr>
          <w:rFonts w:ascii="Arial" w:hAnsi="Arial" w:cs="Arial"/>
          <w:sz w:val="20"/>
          <w:szCs w:val="20"/>
          <w:lang w:val="en-GB"/>
        </w:rPr>
        <w:t>GEM Listing Rules</w:t>
      </w:r>
      <w:r w:rsidR="00377180">
        <w:rPr>
          <w:rFonts w:ascii="Arial" w:hAnsi="Arial" w:cs="Arial"/>
          <w:sz w:val="20"/>
          <w:szCs w:val="20"/>
          <w:lang w:val="en-GB"/>
        </w:rPr>
        <w:t xml:space="preserve">. </w:t>
      </w:r>
      <w:r w:rsidR="00784625">
        <w:rPr>
          <w:rFonts w:ascii="Arial" w:hAnsi="Arial" w:cs="Arial"/>
          <w:sz w:val="20"/>
          <w:szCs w:val="20"/>
          <w:lang w:val="en-GB"/>
        </w:rPr>
        <w:t xml:space="preserve">Under the terms of their </w:t>
      </w:r>
      <w:r w:rsidRPr="001C5E0F">
        <w:rPr>
          <w:rFonts w:ascii="Arial" w:hAnsi="Arial" w:cs="Arial"/>
          <w:sz w:val="20"/>
          <w:szCs w:val="20"/>
          <w:lang w:val="en-GB"/>
        </w:rPr>
        <w:t>Director’s Undertaking</w:t>
      </w:r>
      <w:r w:rsidR="00784625">
        <w:rPr>
          <w:rFonts w:ascii="Arial" w:hAnsi="Arial" w:cs="Arial"/>
          <w:sz w:val="20"/>
          <w:szCs w:val="20"/>
          <w:lang w:val="en-GB"/>
        </w:rPr>
        <w:t>s, the Directors were under an obligation (among others)</w:t>
      </w:r>
      <w:r w:rsidRPr="001C5E0F">
        <w:rPr>
          <w:rFonts w:ascii="Arial" w:hAnsi="Arial" w:cs="Arial"/>
          <w:sz w:val="20"/>
          <w:szCs w:val="20"/>
          <w:lang w:val="en-GB"/>
        </w:rPr>
        <w:t xml:space="preserve"> to:</w:t>
      </w:r>
    </w:p>
    <w:p w:rsidR="005F36E8" w:rsidRPr="001C5E0F" w:rsidRDefault="009C52D3" w:rsidP="00813E7F">
      <w:pPr>
        <w:pStyle w:val="a4"/>
        <w:numPr>
          <w:ilvl w:val="0"/>
          <w:numId w:val="4"/>
        </w:numPr>
        <w:jc w:val="both"/>
        <w:rPr>
          <w:rFonts w:ascii="Arial" w:hAnsi="Arial" w:cs="Arial"/>
          <w:sz w:val="20"/>
          <w:szCs w:val="20"/>
          <w:lang w:val="en-GB"/>
        </w:rPr>
      </w:pPr>
      <w:r w:rsidRPr="001C5E0F">
        <w:rPr>
          <w:rFonts w:ascii="Arial" w:hAnsi="Arial" w:cs="Arial"/>
          <w:sz w:val="20"/>
          <w:szCs w:val="20"/>
          <w:lang w:val="en-GB"/>
        </w:rPr>
        <w:t>c</w:t>
      </w:r>
      <w:r w:rsidR="00D84C88" w:rsidRPr="001C5E0F">
        <w:rPr>
          <w:rFonts w:ascii="Arial" w:hAnsi="Arial" w:cs="Arial"/>
          <w:sz w:val="20"/>
          <w:szCs w:val="20"/>
          <w:lang w:val="en-GB"/>
        </w:rPr>
        <w:t xml:space="preserve">ooperate in any investigation conducted by the </w:t>
      </w:r>
      <w:r w:rsidR="004D637D">
        <w:rPr>
          <w:rFonts w:ascii="Arial" w:hAnsi="Arial" w:cs="Arial"/>
          <w:sz w:val="20"/>
          <w:szCs w:val="20"/>
          <w:lang w:val="en-GB"/>
        </w:rPr>
        <w:t xml:space="preserve">Listing Division or </w:t>
      </w:r>
      <w:r w:rsidR="00784625">
        <w:rPr>
          <w:rFonts w:ascii="Arial" w:hAnsi="Arial" w:cs="Arial"/>
          <w:sz w:val="20"/>
          <w:szCs w:val="20"/>
          <w:lang w:val="en-GB"/>
        </w:rPr>
        <w:t xml:space="preserve">the </w:t>
      </w:r>
      <w:r w:rsidR="00D84C88" w:rsidRPr="001C5E0F">
        <w:rPr>
          <w:rFonts w:ascii="Arial" w:hAnsi="Arial" w:cs="Arial"/>
          <w:sz w:val="20"/>
          <w:szCs w:val="20"/>
          <w:lang w:val="en-GB"/>
        </w:rPr>
        <w:t>Lis</w:t>
      </w:r>
      <w:r w:rsidRPr="001C5E0F">
        <w:rPr>
          <w:rFonts w:ascii="Arial" w:hAnsi="Arial" w:cs="Arial"/>
          <w:sz w:val="20"/>
          <w:szCs w:val="20"/>
          <w:lang w:val="en-GB"/>
        </w:rPr>
        <w:t>t</w:t>
      </w:r>
      <w:r w:rsidR="00D84C88" w:rsidRPr="001C5E0F">
        <w:rPr>
          <w:rFonts w:ascii="Arial" w:hAnsi="Arial" w:cs="Arial"/>
          <w:sz w:val="20"/>
          <w:szCs w:val="20"/>
          <w:lang w:val="en-GB"/>
        </w:rPr>
        <w:t>ing Committee o</w:t>
      </w:r>
      <w:r w:rsidR="00784625">
        <w:rPr>
          <w:rFonts w:ascii="Arial" w:hAnsi="Arial" w:cs="Arial"/>
          <w:sz w:val="20"/>
          <w:szCs w:val="20"/>
          <w:lang w:val="en-GB"/>
        </w:rPr>
        <w:t>f</w:t>
      </w:r>
      <w:r w:rsidR="00D84C88" w:rsidRPr="001C5E0F">
        <w:rPr>
          <w:rFonts w:ascii="Arial" w:hAnsi="Arial" w:cs="Arial"/>
          <w:sz w:val="20"/>
          <w:szCs w:val="20"/>
          <w:lang w:val="en-GB"/>
        </w:rPr>
        <w:t xml:space="preserve"> the </w:t>
      </w:r>
      <w:r w:rsidR="000D3A2B" w:rsidRPr="001C5E0F">
        <w:rPr>
          <w:rFonts w:ascii="Arial" w:hAnsi="Arial" w:cs="Arial"/>
          <w:sz w:val="20"/>
          <w:szCs w:val="20"/>
          <w:lang w:val="en-GB"/>
        </w:rPr>
        <w:t>HKEx</w:t>
      </w:r>
      <w:r w:rsidR="00D84C88" w:rsidRPr="001C5E0F">
        <w:rPr>
          <w:rFonts w:ascii="Arial" w:hAnsi="Arial" w:cs="Arial"/>
          <w:sz w:val="20"/>
          <w:szCs w:val="20"/>
          <w:lang w:val="en-GB"/>
        </w:rPr>
        <w:t>;</w:t>
      </w:r>
    </w:p>
    <w:p w:rsidR="003B7E90" w:rsidRPr="001C5E0F" w:rsidRDefault="003B7E90" w:rsidP="00813E7F">
      <w:pPr>
        <w:pStyle w:val="a4"/>
        <w:jc w:val="both"/>
        <w:rPr>
          <w:rFonts w:ascii="Arial" w:hAnsi="Arial" w:cs="Arial"/>
          <w:sz w:val="20"/>
          <w:szCs w:val="20"/>
          <w:lang w:val="en-GB"/>
        </w:rPr>
      </w:pPr>
    </w:p>
    <w:p w:rsidR="00D84C88" w:rsidRPr="001C5E0F" w:rsidRDefault="009C52D3" w:rsidP="00813E7F">
      <w:pPr>
        <w:pStyle w:val="a4"/>
        <w:numPr>
          <w:ilvl w:val="0"/>
          <w:numId w:val="4"/>
        </w:numPr>
        <w:jc w:val="both"/>
        <w:rPr>
          <w:rFonts w:ascii="Arial" w:hAnsi="Arial" w:cs="Arial"/>
          <w:sz w:val="20"/>
          <w:szCs w:val="20"/>
          <w:lang w:val="en-GB"/>
        </w:rPr>
      </w:pPr>
      <w:r w:rsidRPr="001C5E0F">
        <w:rPr>
          <w:rFonts w:ascii="Arial" w:hAnsi="Arial" w:cs="Arial"/>
          <w:sz w:val="20"/>
          <w:szCs w:val="20"/>
          <w:lang w:val="en-GB"/>
        </w:rPr>
        <w:t>p</w:t>
      </w:r>
      <w:r w:rsidR="00D84C88" w:rsidRPr="001C5E0F">
        <w:rPr>
          <w:rFonts w:ascii="Arial" w:hAnsi="Arial" w:cs="Arial"/>
          <w:sz w:val="20"/>
          <w:szCs w:val="20"/>
          <w:lang w:val="en-GB"/>
        </w:rPr>
        <w:t>romptly and openly answer any que</w:t>
      </w:r>
      <w:r w:rsidR="004E43D8" w:rsidRPr="001C5E0F">
        <w:rPr>
          <w:rFonts w:ascii="Arial" w:hAnsi="Arial" w:cs="Arial"/>
          <w:sz w:val="20"/>
          <w:szCs w:val="20"/>
          <w:lang w:val="en-GB"/>
        </w:rPr>
        <w:t>stions addressed to them</w:t>
      </w:r>
      <w:r w:rsidR="00D84C88" w:rsidRPr="001C5E0F">
        <w:rPr>
          <w:rFonts w:ascii="Arial" w:hAnsi="Arial" w:cs="Arial"/>
          <w:sz w:val="20"/>
          <w:szCs w:val="20"/>
          <w:lang w:val="en-GB"/>
        </w:rPr>
        <w:t>;</w:t>
      </w:r>
      <w:r w:rsidRPr="001C5E0F">
        <w:rPr>
          <w:rFonts w:ascii="Arial" w:hAnsi="Arial" w:cs="Arial"/>
          <w:sz w:val="20"/>
          <w:szCs w:val="20"/>
          <w:lang w:val="en-GB"/>
        </w:rPr>
        <w:t xml:space="preserve"> and</w:t>
      </w:r>
    </w:p>
    <w:p w:rsidR="003B7E90" w:rsidRPr="001C5E0F" w:rsidRDefault="003B7E90" w:rsidP="00813E7F">
      <w:pPr>
        <w:pStyle w:val="a4"/>
        <w:jc w:val="both"/>
        <w:rPr>
          <w:rFonts w:ascii="Arial" w:hAnsi="Arial" w:cs="Arial"/>
          <w:sz w:val="20"/>
          <w:szCs w:val="20"/>
          <w:lang w:val="en-GB"/>
        </w:rPr>
      </w:pPr>
    </w:p>
    <w:p w:rsidR="00D84C88" w:rsidRPr="001C5E0F" w:rsidRDefault="009C52D3" w:rsidP="00813E7F">
      <w:pPr>
        <w:pStyle w:val="a4"/>
        <w:numPr>
          <w:ilvl w:val="0"/>
          <w:numId w:val="4"/>
        </w:numPr>
        <w:jc w:val="both"/>
        <w:rPr>
          <w:rFonts w:ascii="Arial" w:hAnsi="Arial" w:cs="Arial"/>
          <w:sz w:val="20"/>
          <w:szCs w:val="20"/>
          <w:lang w:val="en-GB"/>
        </w:rPr>
      </w:pPr>
      <w:r w:rsidRPr="001C5E0F">
        <w:rPr>
          <w:rFonts w:ascii="Arial" w:hAnsi="Arial" w:cs="Arial"/>
          <w:sz w:val="20"/>
          <w:szCs w:val="20"/>
          <w:lang w:val="en-GB"/>
        </w:rPr>
        <w:t>p</w:t>
      </w:r>
      <w:r w:rsidR="00D84C88" w:rsidRPr="001C5E0F">
        <w:rPr>
          <w:rFonts w:ascii="Arial" w:hAnsi="Arial" w:cs="Arial"/>
          <w:sz w:val="20"/>
          <w:szCs w:val="20"/>
          <w:lang w:val="en-GB"/>
        </w:rPr>
        <w:t xml:space="preserve">rovide the </w:t>
      </w:r>
      <w:r w:rsidR="000D3A2B" w:rsidRPr="001C5E0F">
        <w:rPr>
          <w:rFonts w:ascii="Arial" w:hAnsi="Arial" w:cs="Arial"/>
          <w:sz w:val="20"/>
          <w:szCs w:val="20"/>
          <w:lang w:val="en-GB"/>
        </w:rPr>
        <w:t>HKEx</w:t>
      </w:r>
      <w:r w:rsidR="00D84C88" w:rsidRPr="001C5E0F">
        <w:rPr>
          <w:rFonts w:ascii="Arial" w:hAnsi="Arial" w:cs="Arial"/>
          <w:sz w:val="20"/>
          <w:szCs w:val="20"/>
          <w:lang w:val="en-GB"/>
        </w:rPr>
        <w:t xml:space="preserve"> with their up</w:t>
      </w:r>
      <w:r w:rsidR="00784625">
        <w:rPr>
          <w:rFonts w:ascii="Arial" w:hAnsi="Arial" w:cs="Arial"/>
          <w:sz w:val="20"/>
          <w:szCs w:val="20"/>
          <w:lang w:val="en-GB"/>
        </w:rPr>
        <w:t>-</w:t>
      </w:r>
      <w:r w:rsidR="00D84C88" w:rsidRPr="001C5E0F">
        <w:rPr>
          <w:rFonts w:ascii="Arial" w:hAnsi="Arial" w:cs="Arial"/>
          <w:sz w:val="20"/>
          <w:szCs w:val="20"/>
          <w:lang w:val="en-GB"/>
        </w:rPr>
        <w:t>to</w:t>
      </w:r>
      <w:r w:rsidR="00784625">
        <w:rPr>
          <w:rFonts w:ascii="Arial" w:hAnsi="Arial" w:cs="Arial"/>
          <w:sz w:val="20"/>
          <w:szCs w:val="20"/>
          <w:lang w:val="en-GB"/>
        </w:rPr>
        <w:t>-</w:t>
      </w:r>
      <w:r w:rsidR="00D84C88" w:rsidRPr="001C5E0F">
        <w:rPr>
          <w:rFonts w:ascii="Arial" w:hAnsi="Arial" w:cs="Arial"/>
          <w:sz w:val="20"/>
          <w:szCs w:val="20"/>
          <w:lang w:val="en-GB"/>
        </w:rPr>
        <w:t>date c</w:t>
      </w:r>
      <w:r w:rsidR="001305D4">
        <w:rPr>
          <w:rFonts w:ascii="Arial" w:hAnsi="Arial" w:cs="Arial"/>
          <w:sz w:val="20"/>
          <w:szCs w:val="20"/>
          <w:lang w:val="en-GB"/>
        </w:rPr>
        <w:t>ontact details for three</w:t>
      </w:r>
      <w:r w:rsidR="00D84C88" w:rsidRPr="001C5E0F">
        <w:rPr>
          <w:rFonts w:ascii="Arial" w:hAnsi="Arial" w:cs="Arial"/>
          <w:sz w:val="20"/>
          <w:szCs w:val="20"/>
          <w:lang w:val="en-GB"/>
        </w:rPr>
        <w:t xml:space="preserve"> years </w:t>
      </w:r>
      <w:r w:rsidR="00784625">
        <w:rPr>
          <w:rFonts w:ascii="Arial" w:hAnsi="Arial" w:cs="Arial"/>
          <w:sz w:val="20"/>
          <w:szCs w:val="20"/>
          <w:lang w:val="en-GB"/>
        </w:rPr>
        <w:t xml:space="preserve">after </w:t>
      </w:r>
      <w:r w:rsidR="00D84C88" w:rsidRPr="001C5E0F">
        <w:rPr>
          <w:rFonts w:ascii="Arial" w:hAnsi="Arial" w:cs="Arial"/>
          <w:sz w:val="20"/>
          <w:szCs w:val="20"/>
          <w:lang w:val="en-GB"/>
        </w:rPr>
        <w:t>the date they cease</w:t>
      </w:r>
      <w:r w:rsidR="00784625">
        <w:rPr>
          <w:rFonts w:ascii="Arial" w:hAnsi="Arial" w:cs="Arial"/>
          <w:sz w:val="20"/>
          <w:szCs w:val="20"/>
          <w:lang w:val="en-GB"/>
        </w:rPr>
        <w:t>d</w:t>
      </w:r>
      <w:r w:rsidR="00D84C88" w:rsidRPr="001C5E0F">
        <w:rPr>
          <w:rFonts w:ascii="Arial" w:hAnsi="Arial" w:cs="Arial"/>
          <w:sz w:val="20"/>
          <w:szCs w:val="20"/>
          <w:lang w:val="en-GB"/>
        </w:rPr>
        <w:t xml:space="preserve"> to be director</w:t>
      </w:r>
      <w:r w:rsidR="00784625">
        <w:rPr>
          <w:rFonts w:ascii="Arial" w:hAnsi="Arial" w:cs="Arial"/>
          <w:sz w:val="20"/>
          <w:szCs w:val="20"/>
          <w:lang w:val="en-GB"/>
        </w:rPr>
        <w:t>s</w:t>
      </w:r>
      <w:r w:rsidR="00D84C88" w:rsidRPr="001C5E0F">
        <w:rPr>
          <w:rFonts w:ascii="Arial" w:hAnsi="Arial" w:cs="Arial"/>
          <w:sz w:val="20"/>
          <w:szCs w:val="20"/>
          <w:lang w:val="en-GB"/>
        </w:rPr>
        <w:t xml:space="preserve"> of the </w:t>
      </w:r>
      <w:r w:rsidR="00784625">
        <w:rPr>
          <w:rFonts w:ascii="Arial" w:hAnsi="Arial" w:cs="Arial"/>
          <w:sz w:val="20"/>
          <w:szCs w:val="20"/>
          <w:lang w:val="en-GB"/>
        </w:rPr>
        <w:t>c</w:t>
      </w:r>
      <w:r w:rsidR="00D84C88" w:rsidRPr="001C5E0F">
        <w:rPr>
          <w:rFonts w:ascii="Arial" w:hAnsi="Arial" w:cs="Arial"/>
          <w:sz w:val="20"/>
          <w:szCs w:val="20"/>
          <w:lang w:val="en-GB"/>
        </w:rPr>
        <w:t xml:space="preserve">ompany. </w:t>
      </w:r>
    </w:p>
    <w:p w:rsidR="004E43D8" w:rsidRPr="001C5E0F" w:rsidRDefault="00784625" w:rsidP="00813E7F">
      <w:pPr>
        <w:jc w:val="both"/>
        <w:rPr>
          <w:rFonts w:ascii="Arial" w:hAnsi="Arial" w:cs="Arial"/>
          <w:sz w:val="20"/>
          <w:szCs w:val="20"/>
          <w:lang w:val="en-GB"/>
        </w:rPr>
      </w:pPr>
      <w:r>
        <w:rPr>
          <w:rFonts w:ascii="Arial" w:hAnsi="Arial" w:cs="Arial"/>
          <w:sz w:val="20"/>
          <w:szCs w:val="20"/>
          <w:lang w:val="en-GB"/>
        </w:rPr>
        <w:t xml:space="preserve">These </w:t>
      </w:r>
      <w:r w:rsidR="004E43D8" w:rsidRPr="001C5E0F">
        <w:rPr>
          <w:rFonts w:ascii="Arial" w:hAnsi="Arial" w:cs="Arial"/>
          <w:sz w:val="20"/>
          <w:szCs w:val="20"/>
          <w:lang w:val="en-GB"/>
        </w:rPr>
        <w:t>obligation</w:t>
      </w:r>
      <w:r>
        <w:rPr>
          <w:rFonts w:ascii="Arial" w:hAnsi="Arial" w:cs="Arial"/>
          <w:sz w:val="20"/>
          <w:szCs w:val="20"/>
          <w:lang w:val="en-GB"/>
        </w:rPr>
        <w:t>s</w:t>
      </w:r>
      <w:r w:rsidR="004E43D8" w:rsidRPr="001C5E0F">
        <w:rPr>
          <w:rFonts w:ascii="Arial" w:hAnsi="Arial" w:cs="Arial"/>
          <w:sz w:val="20"/>
          <w:szCs w:val="20"/>
          <w:lang w:val="en-GB"/>
        </w:rPr>
        <w:t xml:space="preserve"> </w:t>
      </w:r>
      <w:r>
        <w:rPr>
          <w:rFonts w:ascii="Arial" w:hAnsi="Arial" w:cs="Arial"/>
          <w:sz w:val="20"/>
          <w:szCs w:val="20"/>
          <w:lang w:val="en-GB"/>
        </w:rPr>
        <w:t>do</w:t>
      </w:r>
      <w:r w:rsidR="004E43D8" w:rsidRPr="001C5E0F">
        <w:rPr>
          <w:rFonts w:ascii="Arial" w:hAnsi="Arial" w:cs="Arial"/>
          <w:sz w:val="20"/>
          <w:szCs w:val="20"/>
          <w:lang w:val="en-GB"/>
        </w:rPr>
        <w:t xml:space="preserve"> not lapse after a </w:t>
      </w:r>
      <w:r>
        <w:rPr>
          <w:rFonts w:ascii="Arial" w:hAnsi="Arial" w:cs="Arial"/>
          <w:sz w:val="20"/>
          <w:szCs w:val="20"/>
          <w:lang w:val="en-GB"/>
        </w:rPr>
        <w:t xml:space="preserve">person ceases to be a </w:t>
      </w:r>
      <w:r w:rsidRPr="001C5E0F">
        <w:rPr>
          <w:rFonts w:ascii="Arial" w:hAnsi="Arial" w:cs="Arial"/>
          <w:sz w:val="20"/>
          <w:szCs w:val="20"/>
          <w:lang w:val="en-GB"/>
        </w:rPr>
        <w:t>director</w:t>
      </w:r>
      <w:r>
        <w:rPr>
          <w:rFonts w:ascii="Arial" w:hAnsi="Arial" w:cs="Arial"/>
          <w:sz w:val="20"/>
          <w:szCs w:val="20"/>
          <w:lang w:val="en-GB"/>
        </w:rPr>
        <w:t xml:space="preserve"> of a listed company</w:t>
      </w:r>
      <w:r w:rsidR="004E43D8" w:rsidRPr="001C5E0F">
        <w:rPr>
          <w:rFonts w:ascii="Arial" w:hAnsi="Arial" w:cs="Arial"/>
          <w:sz w:val="20"/>
          <w:szCs w:val="20"/>
          <w:lang w:val="en-GB"/>
        </w:rPr>
        <w:t>.</w:t>
      </w:r>
    </w:p>
    <w:p w:rsidR="00D84C88" w:rsidRPr="001C5E0F" w:rsidRDefault="004E43D8" w:rsidP="00813E7F">
      <w:pPr>
        <w:jc w:val="both"/>
        <w:rPr>
          <w:rFonts w:ascii="Arial" w:hAnsi="Arial" w:cs="Arial"/>
          <w:sz w:val="20"/>
          <w:szCs w:val="20"/>
          <w:lang w:val="en-GB"/>
        </w:rPr>
      </w:pPr>
      <w:r w:rsidRPr="001C5E0F">
        <w:rPr>
          <w:rFonts w:ascii="Arial" w:hAnsi="Arial" w:cs="Arial"/>
          <w:sz w:val="20"/>
          <w:szCs w:val="20"/>
          <w:lang w:val="en-GB"/>
        </w:rPr>
        <w:t xml:space="preserve">The </w:t>
      </w:r>
      <w:r w:rsidR="000D3A2B" w:rsidRPr="001C5E0F">
        <w:rPr>
          <w:rFonts w:ascii="Arial" w:hAnsi="Arial" w:cs="Arial"/>
          <w:sz w:val="20"/>
          <w:szCs w:val="20"/>
          <w:lang w:val="en-GB"/>
        </w:rPr>
        <w:t>HKEx</w:t>
      </w:r>
      <w:r w:rsidR="00D84C88" w:rsidRPr="001C5E0F">
        <w:rPr>
          <w:rFonts w:ascii="Arial" w:hAnsi="Arial" w:cs="Arial"/>
          <w:sz w:val="20"/>
          <w:szCs w:val="20"/>
          <w:lang w:val="en-GB"/>
        </w:rPr>
        <w:t xml:space="preserve"> also emphasi</w:t>
      </w:r>
      <w:r w:rsidR="00784625">
        <w:rPr>
          <w:rFonts w:ascii="Arial" w:hAnsi="Arial" w:cs="Arial"/>
          <w:sz w:val="20"/>
          <w:szCs w:val="20"/>
          <w:lang w:val="en-GB"/>
        </w:rPr>
        <w:t>s</w:t>
      </w:r>
      <w:r w:rsidR="00D84C88" w:rsidRPr="001C5E0F">
        <w:rPr>
          <w:rFonts w:ascii="Arial" w:hAnsi="Arial" w:cs="Arial"/>
          <w:sz w:val="20"/>
          <w:szCs w:val="20"/>
          <w:lang w:val="en-GB"/>
        </w:rPr>
        <w:t xml:space="preserve">ed that the Directors’ breach of their Undertakings was serious. </w:t>
      </w:r>
    </w:p>
    <w:p w:rsidR="001D77CE" w:rsidRPr="001C5E0F" w:rsidRDefault="008B4F87">
      <w:pPr>
        <w:jc w:val="both"/>
        <w:rPr>
          <w:rFonts w:ascii="Arial" w:hAnsi="Arial" w:cs="Arial"/>
          <w:b/>
          <w:color w:val="FF0000"/>
          <w:sz w:val="20"/>
          <w:szCs w:val="20"/>
          <w:lang w:val="en-GB"/>
        </w:rPr>
      </w:pPr>
      <w:r w:rsidRPr="001C5E0F">
        <w:rPr>
          <w:rFonts w:ascii="Arial" w:hAnsi="Arial" w:cs="Arial"/>
          <w:sz w:val="20"/>
          <w:szCs w:val="20"/>
          <w:lang w:val="en-GB"/>
        </w:rPr>
        <w:t xml:space="preserve">The HKEx’s Statement of Disciplinary Action is available on the HKEx website </w:t>
      </w:r>
      <w:hyperlink r:id="rId11" w:history="1">
        <w:r w:rsidRPr="001C5E0F">
          <w:rPr>
            <w:rStyle w:val="a3"/>
            <w:rFonts w:ascii="Arial" w:hAnsi="Arial" w:cs="Arial"/>
            <w:color w:val="FF0000"/>
            <w:sz w:val="20"/>
            <w:szCs w:val="20"/>
            <w:u w:val="none"/>
            <w:lang w:val="en-GB"/>
          </w:rPr>
          <w:t>here</w:t>
        </w:r>
        <w:r w:rsidRPr="001C5E0F">
          <w:rPr>
            <w:rStyle w:val="a3"/>
            <w:rFonts w:ascii="Arial" w:hAnsi="Arial" w:cs="Arial"/>
            <w:sz w:val="20"/>
            <w:szCs w:val="20"/>
            <w:u w:val="none"/>
            <w:lang w:val="en-GB"/>
          </w:rPr>
          <w:t>.</w:t>
        </w:r>
      </w:hyperlink>
    </w:p>
    <w:p w:rsidR="00C32AF4" w:rsidRPr="001C5E0F" w:rsidRDefault="008B4F87" w:rsidP="00813E7F">
      <w:pPr>
        <w:jc w:val="both"/>
        <w:rPr>
          <w:rFonts w:ascii="Arial" w:hAnsi="Arial" w:cs="Arial"/>
          <w:b/>
          <w:color w:val="FF0000"/>
          <w:sz w:val="20"/>
          <w:szCs w:val="20"/>
          <w:lang w:val="en-GB"/>
        </w:rPr>
      </w:pPr>
      <w:r w:rsidRPr="001C5E0F">
        <w:rPr>
          <w:rFonts w:ascii="Arial" w:hAnsi="Arial" w:cs="Arial"/>
          <w:b/>
          <w:color w:val="FF0000"/>
          <w:sz w:val="20"/>
          <w:szCs w:val="20"/>
          <w:lang w:val="en-GB"/>
        </w:rPr>
        <w:t>SFC Reprimands and F</w:t>
      </w:r>
      <w:r w:rsidR="00B60F8D" w:rsidRPr="001C5E0F">
        <w:rPr>
          <w:rFonts w:ascii="Arial" w:hAnsi="Arial" w:cs="Arial"/>
          <w:b/>
          <w:color w:val="FF0000"/>
          <w:sz w:val="20"/>
          <w:szCs w:val="20"/>
          <w:lang w:val="en-GB"/>
        </w:rPr>
        <w:t>ines Asia Research &amp; Capital Manage</w:t>
      </w:r>
      <w:r w:rsidRPr="001C5E0F">
        <w:rPr>
          <w:rFonts w:ascii="Arial" w:hAnsi="Arial" w:cs="Arial"/>
          <w:b/>
          <w:color w:val="FF0000"/>
          <w:sz w:val="20"/>
          <w:szCs w:val="20"/>
          <w:lang w:val="en-GB"/>
        </w:rPr>
        <w:t xml:space="preserve">ment Limited </w:t>
      </w:r>
      <w:r w:rsidR="00784625">
        <w:rPr>
          <w:rFonts w:ascii="Arial" w:hAnsi="Arial" w:cs="Arial"/>
          <w:b/>
          <w:color w:val="FF0000"/>
          <w:sz w:val="20"/>
          <w:szCs w:val="20"/>
          <w:lang w:val="en-GB"/>
        </w:rPr>
        <w:t>HK</w:t>
      </w:r>
      <w:r w:rsidRPr="001C5E0F">
        <w:rPr>
          <w:rFonts w:ascii="Arial" w:hAnsi="Arial" w:cs="Arial"/>
          <w:b/>
          <w:color w:val="FF0000"/>
          <w:sz w:val="20"/>
          <w:szCs w:val="20"/>
          <w:lang w:val="en-GB"/>
        </w:rPr>
        <w:t>$1.75 million and bans Former Senior E</w:t>
      </w:r>
      <w:r w:rsidR="00B60F8D" w:rsidRPr="001C5E0F">
        <w:rPr>
          <w:rFonts w:ascii="Arial" w:hAnsi="Arial" w:cs="Arial"/>
          <w:b/>
          <w:color w:val="FF0000"/>
          <w:sz w:val="20"/>
          <w:szCs w:val="20"/>
          <w:lang w:val="en-GB"/>
        </w:rPr>
        <w:t>x</w:t>
      </w:r>
      <w:r w:rsidRPr="001C5E0F">
        <w:rPr>
          <w:rFonts w:ascii="Arial" w:hAnsi="Arial" w:cs="Arial"/>
          <w:b/>
          <w:color w:val="FF0000"/>
          <w:sz w:val="20"/>
          <w:szCs w:val="20"/>
          <w:lang w:val="en-GB"/>
        </w:rPr>
        <w:t>ecutive Billy Wong Yim Chi for Two M</w:t>
      </w:r>
      <w:r w:rsidR="00B60F8D" w:rsidRPr="001C5E0F">
        <w:rPr>
          <w:rFonts w:ascii="Arial" w:hAnsi="Arial" w:cs="Arial"/>
          <w:b/>
          <w:color w:val="FF0000"/>
          <w:sz w:val="20"/>
          <w:szCs w:val="20"/>
          <w:lang w:val="en-GB"/>
        </w:rPr>
        <w:t xml:space="preserve">onths </w:t>
      </w:r>
    </w:p>
    <w:p w:rsidR="00052CE8" w:rsidRPr="001C5E0F" w:rsidRDefault="00052CE8" w:rsidP="00813E7F">
      <w:pPr>
        <w:jc w:val="both"/>
        <w:rPr>
          <w:rFonts w:ascii="Arial" w:hAnsi="Arial" w:cs="Arial"/>
          <w:sz w:val="20"/>
          <w:szCs w:val="20"/>
          <w:lang w:val="en-GB"/>
        </w:rPr>
      </w:pPr>
      <w:r w:rsidRPr="001C5E0F">
        <w:rPr>
          <w:rFonts w:ascii="Arial" w:hAnsi="Arial" w:cs="Arial"/>
          <w:sz w:val="20"/>
          <w:szCs w:val="20"/>
          <w:lang w:val="en-GB"/>
        </w:rPr>
        <w:t>On 31 October 2022</w:t>
      </w:r>
      <w:r w:rsidR="00BA51FE">
        <w:rPr>
          <w:rFonts w:ascii="Arial" w:hAnsi="Arial" w:cs="Arial"/>
          <w:sz w:val="20"/>
          <w:szCs w:val="20"/>
          <w:lang w:val="en-GB"/>
        </w:rPr>
        <w:t>,</w:t>
      </w:r>
      <w:r w:rsidRPr="001C5E0F">
        <w:rPr>
          <w:rFonts w:ascii="Arial" w:hAnsi="Arial" w:cs="Arial"/>
          <w:sz w:val="20"/>
          <w:szCs w:val="20"/>
          <w:lang w:val="en-GB"/>
        </w:rPr>
        <w:t xml:space="preserve"> the SFC reprimanded and fined Asia Research &amp; </w:t>
      </w:r>
      <w:r w:rsidR="006520AF" w:rsidRPr="001C5E0F">
        <w:rPr>
          <w:rFonts w:ascii="Arial" w:hAnsi="Arial" w:cs="Arial"/>
          <w:sz w:val="20"/>
          <w:szCs w:val="20"/>
          <w:lang w:val="en-GB"/>
        </w:rPr>
        <w:t>Capital</w:t>
      </w:r>
      <w:r w:rsidRPr="001C5E0F">
        <w:rPr>
          <w:rFonts w:ascii="Arial" w:hAnsi="Arial" w:cs="Arial"/>
          <w:sz w:val="20"/>
          <w:szCs w:val="20"/>
          <w:lang w:val="en-GB"/>
        </w:rPr>
        <w:t xml:space="preserve"> Management (</w:t>
      </w:r>
      <w:r w:rsidRPr="001C5E0F">
        <w:rPr>
          <w:rFonts w:ascii="Arial" w:hAnsi="Arial" w:cs="Arial"/>
          <w:b/>
          <w:sz w:val="20"/>
          <w:szCs w:val="20"/>
          <w:lang w:val="en-GB"/>
        </w:rPr>
        <w:t>ARCM</w:t>
      </w:r>
      <w:r w:rsidRPr="001C5E0F">
        <w:rPr>
          <w:rFonts w:ascii="Arial" w:hAnsi="Arial" w:cs="Arial"/>
          <w:sz w:val="20"/>
          <w:szCs w:val="20"/>
          <w:lang w:val="en-GB"/>
        </w:rPr>
        <w:t>)</w:t>
      </w:r>
      <w:r w:rsidR="00880E5A" w:rsidRPr="001C5E0F">
        <w:rPr>
          <w:rFonts w:ascii="Arial" w:hAnsi="Arial" w:cs="Arial"/>
          <w:sz w:val="20"/>
          <w:szCs w:val="20"/>
          <w:lang w:val="en-GB"/>
        </w:rPr>
        <w:t>, a Type 9 licensed co</w:t>
      </w:r>
      <w:r w:rsidR="00BA51FE">
        <w:rPr>
          <w:rFonts w:ascii="Arial" w:hAnsi="Arial" w:cs="Arial"/>
          <w:sz w:val="20"/>
          <w:szCs w:val="20"/>
          <w:lang w:val="en-GB"/>
        </w:rPr>
        <w:t>rporation</w:t>
      </w:r>
      <w:r w:rsidR="00880E5A" w:rsidRPr="001C5E0F">
        <w:rPr>
          <w:rFonts w:ascii="Arial" w:hAnsi="Arial" w:cs="Arial"/>
          <w:sz w:val="20"/>
          <w:szCs w:val="20"/>
          <w:lang w:val="en-GB"/>
        </w:rPr>
        <w:t>,</w:t>
      </w:r>
      <w:r w:rsidR="006E2641" w:rsidRPr="001C5E0F">
        <w:rPr>
          <w:rFonts w:ascii="Arial" w:hAnsi="Arial" w:cs="Arial"/>
          <w:sz w:val="20"/>
          <w:szCs w:val="20"/>
          <w:lang w:val="en-GB"/>
        </w:rPr>
        <w:t xml:space="preserve"> HK</w:t>
      </w:r>
      <w:r w:rsidR="00BA51FE">
        <w:rPr>
          <w:rFonts w:ascii="Arial" w:hAnsi="Arial" w:cs="Arial"/>
          <w:sz w:val="20"/>
          <w:szCs w:val="20"/>
          <w:lang w:val="en-GB"/>
        </w:rPr>
        <w:t>$</w:t>
      </w:r>
      <w:r w:rsidR="006E2641" w:rsidRPr="001C5E0F">
        <w:rPr>
          <w:rFonts w:ascii="Arial" w:hAnsi="Arial" w:cs="Arial"/>
          <w:sz w:val="20"/>
          <w:szCs w:val="20"/>
          <w:lang w:val="en-GB"/>
        </w:rPr>
        <w:t xml:space="preserve"> </w:t>
      </w:r>
      <w:r w:rsidRPr="001C5E0F">
        <w:rPr>
          <w:rFonts w:ascii="Arial" w:hAnsi="Arial" w:cs="Arial"/>
          <w:sz w:val="20"/>
          <w:szCs w:val="20"/>
          <w:lang w:val="en-GB"/>
        </w:rPr>
        <w:t xml:space="preserve">1.75 million for its failures </w:t>
      </w:r>
      <w:r w:rsidR="00BA51FE">
        <w:rPr>
          <w:rFonts w:ascii="Arial" w:hAnsi="Arial" w:cs="Arial"/>
          <w:sz w:val="20"/>
          <w:szCs w:val="20"/>
          <w:lang w:val="en-GB"/>
        </w:rPr>
        <w:t>in</w:t>
      </w:r>
      <w:r w:rsidRPr="001C5E0F">
        <w:rPr>
          <w:rFonts w:ascii="Arial" w:hAnsi="Arial" w:cs="Arial"/>
          <w:sz w:val="20"/>
          <w:szCs w:val="20"/>
          <w:lang w:val="en-GB"/>
        </w:rPr>
        <w:t xml:space="preserve"> relation to its non-compliance with </w:t>
      </w:r>
      <w:r w:rsidR="00BA51FE">
        <w:rPr>
          <w:rFonts w:ascii="Arial" w:hAnsi="Arial" w:cs="Arial"/>
          <w:sz w:val="20"/>
          <w:szCs w:val="20"/>
          <w:lang w:val="en-GB"/>
        </w:rPr>
        <w:t xml:space="preserve">the </w:t>
      </w:r>
      <w:r w:rsidR="006520AF" w:rsidRPr="001C5E0F">
        <w:rPr>
          <w:rFonts w:ascii="Arial" w:hAnsi="Arial" w:cs="Arial"/>
          <w:sz w:val="20"/>
          <w:szCs w:val="20"/>
          <w:lang w:val="en-GB"/>
        </w:rPr>
        <w:t>European</w:t>
      </w:r>
      <w:r w:rsidRPr="001C5E0F">
        <w:rPr>
          <w:rFonts w:ascii="Arial" w:hAnsi="Arial" w:cs="Arial"/>
          <w:sz w:val="20"/>
          <w:szCs w:val="20"/>
          <w:lang w:val="en-GB"/>
        </w:rPr>
        <w:t xml:space="preserve"> Union’s short selling reporting requirement</w:t>
      </w:r>
      <w:r w:rsidR="00BA51FE">
        <w:rPr>
          <w:rFonts w:ascii="Arial" w:hAnsi="Arial" w:cs="Arial"/>
          <w:sz w:val="20"/>
          <w:szCs w:val="20"/>
          <w:lang w:val="en-GB"/>
        </w:rPr>
        <w:t>s</w:t>
      </w:r>
      <w:r w:rsidRPr="001C5E0F">
        <w:rPr>
          <w:rFonts w:ascii="Arial" w:hAnsi="Arial" w:cs="Arial"/>
          <w:sz w:val="20"/>
          <w:szCs w:val="20"/>
          <w:lang w:val="en-GB"/>
        </w:rPr>
        <w:t xml:space="preserve"> (</w:t>
      </w:r>
      <w:r w:rsidR="00490D33">
        <w:rPr>
          <w:rFonts w:ascii="Arial" w:hAnsi="Arial" w:cs="Arial"/>
          <w:sz w:val="20"/>
          <w:szCs w:val="20"/>
          <w:lang w:val="en-GB"/>
        </w:rPr>
        <w:t xml:space="preserve">the </w:t>
      </w:r>
      <w:r w:rsidRPr="001C5E0F">
        <w:rPr>
          <w:rFonts w:ascii="Arial" w:hAnsi="Arial" w:cs="Arial"/>
          <w:b/>
          <w:sz w:val="20"/>
          <w:szCs w:val="20"/>
          <w:lang w:val="en-GB"/>
        </w:rPr>
        <w:t>EU Regulation</w:t>
      </w:r>
      <w:r w:rsidRPr="001C5E0F">
        <w:rPr>
          <w:rFonts w:ascii="Arial" w:hAnsi="Arial" w:cs="Arial"/>
          <w:sz w:val="20"/>
          <w:szCs w:val="20"/>
          <w:lang w:val="en-GB"/>
        </w:rPr>
        <w:t xml:space="preserve">) and </w:t>
      </w:r>
      <w:r w:rsidR="008C512D">
        <w:rPr>
          <w:rFonts w:ascii="Arial" w:hAnsi="Arial" w:cs="Arial"/>
          <w:sz w:val="20"/>
          <w:szCs w:val="20"/>
          <w:lang w:val="en-GB"/>
        </w:rPr>
        <w:t>its</w:t>
      </w:r>
      <w:r w:rsidR="00BA51FE">
        <w:rPr>
          <w:rFonts w:ascii="Arial" w:hAnsi="Arial" w:cs="Arial"/>
          <w:sz w:val="20"/>
          <w:szCs w:val="20"/>
          <w:lang w:val="en-GB"/>
        </w:rPr>
        <w:t xml:space="preserve"> obligation to </w:t>
      </w:r>
      <w:r w:rsidR="00BA51FE" w:rsidRPr="001C5E0F">
        <w:rPr>
          <w:rFonts w:ascii="Arial" w:hAnsi="Arial" w:cs="Arial"/>
          <w:sz w:val="20"/>
          <w:szCs w:val="20"/>
          <w:lang w:val="en-GB"/>
        </w:rPr>
        <w:t xml:space="preserve">promptly </w:t>
      </w:r>
      <w:r w:rsidRPr="001C5E0F">
        <w:rPr>
          <w:rFonts w:ascii="Arial" w:hAnsi="Arial" w:cs="Arial"/>
          <w:sz w:val="20"/>
          <w:szCs w:val="20"/>
          <w:lang w:val="en-GB"/>
        </w:rPr>
        <w:t>notify the SFC of its material regulatory breach</w:t>
      </w:r>
      <w:r w:rsidR="00E37ED7" w:rsidRPr="001C5E0F">
        <w:rPr>
          <w:rFonts w:ascii="Arial" w:hAnsi="Arial" w:cs="Arial"/>
          <w:sz w:val="20"/>
          <w:szCs w:val="20"/>
          <w:lang w:val="en-GB"/>
        </w:rPr>
        <w:t>.</w:t>
      </w:r>
      <w:r w:rsidRPr="001C5E0F">
        <w:rPr>
          <w:rFonts w:ascii="Arial" w:hAnsi="Arial" w:cs="Arial"/>
          <w:sz w:val="20"/>
          <w:szCs w:val="20"/>
          <w:lang w:val="en-GB"/>
        </w:rPr>
        <w:t xml:space="preserve"> ARCM’s former Head of Compliance and Operation</w:t>
      </w:r>
      <w:r w:rsidR="006520AF" w:rsidRPr="001C5E0F">
        <w:rPr>
          <w:rFonts w:ascii="Arial" w:hAnsi="Arial" w:cs="Arial"/>
          <w:sz w:val="20"/>
          <w:szCs w:val="20"/>
          <w:lang w:val="en-GB"/>
        </w:rPr>
        <w:t xml:space="preserve"> and Manager-In-Charge</w:t>
      </w:r>
      <w:r w:rsidR="001305D4">
        <w:rPr>
          <w:rFonts w:ascii="Arial" w:hAnsi="Arial" w:cs="Arial"/>
          <w:sz w:val="20"/>
          <w:szCs w:val="20"/>
          <w:lang w:val="en-GB"/>
        </w:rPr>
        <w:t xml:space="preserve"> </w:t>
      </w:r>
      <w:r w:rsidR="00BA51FE">
        <w:rPr>
          <w:rFonts w:ascii="Arial" w:hAnsi="Arial" w:cs="Arial"/>
          <w:sz w:val="20"/>
          <w:szCs w:val="20"/>
          <w:lang w:val="en-GB"/>
        </w:rPr>
        <w:t>for</w:t>
      </w:r>
      <w:r w:rsidR="001305D4">
        <w:rPr>
          <w:rFonts w:ascii="Arial" w:hAnsi="Arial" w:cs="Arial"/>
          <w:sz w:val="20"/>
          <w:szCs w:val="20"/>
          <w:lang w:val="en-GB"/>
        </w:rPr>
        <w:t xml:space="preserve"> Compliance</w:t>
      </w:r>
      <w:r w:rsidR="00BA51FE">
        <w:rPr>
          <w:rFonts w:ascii="Arial" w:hAnsi="Arial" w:cs="Arial"/>
          <w:sz w:val="20"/>
          <w:szCs w:val="20"/>
          <w:lang w:val="en-GB"/>
        </w:rPr>
        <w:t>,</w:t>
      </w:r>
      <w:r w:rsidR="006520AF" w:rsidRPr="001C5E0F">
        <w:rPr>
          <w:rFonts w:ascii="Arial" w:hAnsi="Arial" w:cs="Arial"/>
          <w:sz w:val="20"/>
          <w:szCs w:val="20"/>
          <w:lang w:val="en-GB"/>
        </w:rPr>
        <w:t xml:space="preserve"> Mr </w:t>
      </w:r>
      <w:r w:rsidR="000F1817" w:rsidRPr="001C5E0F">
        <w:rPr>
          <w:rFonts w:ascii="Arial" w:hAnsi="Arial" w:cs="Arial"/>
          <w:sz w:val="20"/>
          <w:szCs w:val="20"/>
          <w:lang w:val="en-GB"/>
        </w:rPr>
        <w:t xml:space="preserve">Wong </w:t>
      </w:r>
      <w:r w:rsidR="006520AF" w:rsidRPr="001C5E0F">
        <w:rPr>
          <w:rFonts w:ascii="Arial" w:hAnsi="Arial" w:cs="Arial"/>
          <w:sz w:val="20"/>
          <w:szCs w:val="20"/>
          <w:lang w:val="en-GB"/>
        </w:rPr>
        <w:t>Billy Yim Chi</w:t>
      </w:r>
      <w:r w:rsidR="00E37ED7" w:rsidRPr="001C5E0F">
        <w:rPr>
          <w:rFonts w:ascii="Arial" w:hAnsi="Arial" w:cs="Arial"/>
          <w:sz w:val="20"/>
          <w:szCs w:val="20"/>
          <w:lang w:val="en-GB"/>
        </w:rPr>
        <w:t xml:space="preserve"> (</w:t>
      </w:r>
      <w:r w:rsidR="00E37ED7" w:rsidRPr="001C5E0F">
        <w:rPr>
          <w:rFonts w:ascii="Arial" w:hAnsi="Arial" w:cs="Arial"/>
          <w:b/>
          <w:sz w:val="20"/>
          <w:szCs w:val="20"/>
          <w:lang w:val="en-GB"/>
        </w:rPr>
        <w:t>Wong</w:t>
      </w:r>
      <w:r w:rsidR="00E37ED7" w:rsidRPr="001C5E0F">
        <w:rPr>
          <w:rFonts w:ascii="Arial" w:hAnsi="Arial" w:cs="Arial"/>
          <w:sz w:val="20"/>
          <w:szCs w:val="20"/>
          <w:lang w:val="en-GB"/>
        </w:rPr>
        <w:t>)</w:t>
      </w:r>
      <w:r w:rsidR="00BA51FE">
        <w:rPr>
          <w:rFonts w:ascii="Arial" w:hAnsi="Arial" w:cs="Arial"/>
          <w:sz w:val="20"/>
          <w:szCs w:val="20"/>
          <w:lang w:val="en-GB"/>
        </w:rPr>
        <w:t>,</w:t>
      </w:r>
      <w:r w:rsidR="006520AF" w:rsidRPr="001C5E0F">
        <w:rPr>
          <w:rFonts w:ascii="Arial" w:hAnsi="Arial" w:cs="Arial"/>
          <w:sz w:val="20"/>
          <w:szCs w:val="20"/>
          <w:lang w:val="en-GB"/>
        </w:rPr>
        <w:t xml:space="preserve"> was also banned for two months. </w:t>
      </w:r>
      <w:r w:rsidRPr="001C5E0F">
        <w:rPr>
          <w:rFonts w:ascii="Arial" w:hAnsi="Arial" w:cs="Arial"/>
          <w:sz w:val="20"/>
          <w:szCs w:val="20"/>
          <w:lang w:val="en-GB"/>
        </w:rPr>
        <w:t xml:space="preserve">  </w:t>
      </w:r>
    </w:p>
    <w:p w:rsidR="00066A82" w:rsidRPr="001C5E0F" w:rsidRDefault="00B1604A" w:rsidP="00813E7F">
      <w:pPr>
        <w:jc w:val="both"/>
        <w:rPr>
          <w:rFonts w:ascii="Arial" w:hAnsi="Arial" w:cs="Arial"/>
          <w:sz w:val="20"/>
          <w:szCs w:val="20"/>
          <w:lang w:val="en-GB"/>
        </w:rPr>
      </w:pPr>
      <w:r w:rsidRPr="001C5E0F">
        <w:rPr>
          <w:rFonts w:ascii="Arial" w:hAnsi="Arial" w:cs="Arial"/>
          <w:sz w:val="20"/>
          <w:szCs w:val="20"/>
          <w:lang w:val="en-GB"/>
        </w:rPr>
        <w:t xml:space="preserve">The reprimand and fine was preceded by an enforcement action, issued in October 2020, against ARCM </w:t>
      </w:r>
      <w:r w:rsidR="00880E5A" w:rsidRPr="001C5E0F">
        <w:rPr>
          <w:rFonts w:ascii="Arial" w:hAnsi="Arial" w:cs="Arial"/>
          <w:sz w:val="20"/>
          <w:szCs w:val="20"/>
          <w:lang w:val="en-GB"/>
        </w:rPr>
        <w:t xml:space="preserve">for </w:t>
      </w:r>
      <w:r w:rsidR="00E37ED7" w:rsidRPr="001C5E0F">
        <w:rPr>
          <w:rFonts w:ascii="Arial" w:hAnsi="Arial" w:cs="Arial"/>
          <w:sz w:val="20"/>
          <w:szCs w:val="20"/>
          <w:lang w:val="en-GB"/>
        </w:rPr>
        <w:t>its breach</w:t>
      </w:r>
      <w:r w:rsidRPr="001C5E0F">
        <w:rPr>
          <w:rFonts w:ascii="Arial" w:hAnsi="Arial" w:cs="Arial"/>
          <w:sz w:val="20"/>
          <w:szCs w:val="20"/>
          <w:lang w:val="en-GB"/>
        </w:rPr>
        <w:t xml:space="preserve"> of </w:t>
      </w:r>
      <w:r w:rsidR="00490D33">
        <w:rPr>
          <w:rFonts w:ascii="Arial" w:hAnsi="Arial" w:cs="Arial"/>
          <w:sz w:val="20"/>
          <w:szCs w:val="20"/>
          <w:lang w:val="en-GB"/>
        </w:rPr>
        <w:t xml:space="preserve">the </w:t>
      </w:r>
      <w:r w:rsidRPr="001C5E0F">
        <w:rPr>
          <w:rFonts w:ascii="Arial" w:hAnsi="Arial" w:cs="Arial"/>
          <w:sz w:val="20"/>
          <w:szCs w:val="20"/>
          <w:lang w:val="en-GB"/>
        </w:rPr>
        <w:t>EU Regulation between February 2017 and December 2019. During this period</w:t>
      </w:r>
      <w:r w:rsidR="008C512D">
        <w:rPr>
          <w:rFonts w:ascii="Arial" w:hAnsi="Arial" w:cs="Arial"/>
          <w:sz w:val="20"/>
          <w:szCs w:val="20"/>
          <w:lang w:val="en-GB"/>
        </w:rPr>
        <w:t>,</w:t>
      </w:r>
      <w:r w:rsidRPr="001C5E0F">
        <w:rPr>
          <w:rFonts w:ascii="Arial" w:hAnsi="Arial" w:cs="Arial"/>
          <w:sz w:val="20"/>
          <w:szCs w:val="20"/>
          <w:lang w:val="en-GB"/>
        </w:rPr>
        <w:t xml:space="preserve"> ARCM failed to make a t</w:t>
      </w:r>
      <w:r w:rsidR="005B641D" w:rsidRPr="001C5E0F">
        <w:rPr>
          <w:rFonts w:ascii="Arial" w:hAnsi="Arial" w:cs="Arial"/>
          <w:sz w:val="20"/>
          <w:szCs w:val="20"/>
          <w:lang w:val="en-GB"/>
        </w:rPr>
        <w:t>otal o</w:t>
      </w:r>
      <w:r w:rsidR="00880E5A" w:rsidRPr="001C5E0F">
        <w:rPr>
          <w:rFonts w:ascii="Arial" w:hAnsi="Arial" w:cs="Arial"/>
          <w:sz w:val="20"/>
          <w:szCs w:val="20"/>
          <w:lang w:val="en-GB"/>
        </w:rPr>
        <w:t>f 155 notifications and 1</w:t>
      </w:r>
      <w:r w:rsidRPr="001C5E0F">
        <w:rPr>
          <w:rFonts w:ascii="Arial" w:hAnsi="Arial" w:cs="Arial"/>
          <w:sz w:val="20"/>
          <w:szCs w:val="20"/>
          <w:lang w:val="en-GB"/>
        </w:rPr>
        <w:t>5</w:t>
      </w:r>
      <w:r w:rsidR="00880E5A" w:rsidRPr="001C5E0F">
        <w:rPr>
          <w:rFonts w:ascii="Arial" w:hAnsi="Arial" w:cs="Arial"/>
          <w:sz w:val="20"/>
          <w:szCs w:val="20"/>
          <w:lang w:val="en-GB"/>
        </w:rPr>
        <w:t>3</w:t>
      </w:r>
      <w:r w:rsidRPr="001C5E0F">
        <w:rPr>
          <w:rFonts w:ascii="Arial" w:hAnsi="Arial" w:cs="Arial"/>
          <w:sz w:val="20"/>
          <w:szCs w:val="20"/>
          <w:lang w:val="en-GB"/>
        </w:rPr>
        <w:t xml:space="preserve"> public disclosures of its net short position in a company listed on the London Stock </w:t>
      </w:r>
      <w:r w:rsidR="000D3A2B" w:rsidRPr="001C5E0F">
        <w:rPr>
          <w:rFonts w:ascii="Arial" w:hAnsi="Arial" w:cs="Arial"/>
          <w:sz w:val="20"/>
          <w:szCs w:val="20"/>
          <w:lang w:val="en-GB"/>
        </w:rPr>
        <w:t>Exchange</w:t>
      </w:r>
      <w:r w:rsidR="001305D4">
        <w:rPr>
          <w:rFonts w:ascii="Arial" w:hAnsi="Arial" w:cs="Arial"/>
          <w:sz w:val="20"/>
          <w:szCs w:val="20"/>
          <w:lang w:val="en-GB"/>
        </w:rPr>
        <w:t xml:space="preserve">, </w:t>
      </w:r>
      <w:r w:rsidR="00880E5A" w:rsidRPr="001C5E0F">
        <w:rPr>
          <w:rFonts w:ascii="Arial" w:hAnsi="Arial" w:cs="Arial"/>
          <w:sz w:val="20"/>
          <w:szCs w:val="20"/>
          <w:lang w:val="en-GB"/>
        </w:rPr>
        <w:t xml:space="preserve">Premier Oil plc </w:t>
      </w:r>
      <w:r w:rsidR="00E37ED7" w:rsidRPr="001C5E0F">
        <w:rPr>
          <w:rFonts w:ascii="Arial" w:hAnsi="Arial" w:cs="Arial"/>
          <w:sz w:val="20"/>
          <w:szCs w:val="20"/>
          <w:lang w:val="en-GB"/>
        </w:rPr>
        <w:t>(</w:t>
      </w:r>
      <w:r w:rsidR="00E37ED7" w:rsidRPr="001C5E0F">
        <w:rPr>
          <w:rFonts w:ascii="Arial" w:hAnsi="Arial" w:cs="Arial"/>
          <w:b/>
          <w:sz w:val="20"/>
          <w:szCs w:val="20"/>
          <w:lang w:val="en-GB"/>
        </w:rPr>
        <w:t>Premier Oil</w:t>
      </w:r>
      <w:r w:rsidR="00E37ED7" w:rsidRPr="001C5E0F">
        <w:rPr>
          <w:rFonts w:ascii="Arial" w:hAnsi="Arial" w:cs="Arial"/>
          <w:sz w:val="20"/>
          <w:szCs w:val="20"/>
          <w:lang w:val="en-GB"/>
        </w:rPr>
        <w:t>)</w:t>
      </w:r>
      <w:r w:rsidR="001305D4">
        <w:rPr>
          <w:rFonts w:ascii="Arial" w:hAnsi="Arial" w:cs="Arial"/>
          <w:sz w:val="20"/>
          <w:szCs w:val="20"/>
          <w:lang w:val="en-GB"/>
        </w:rPr>
        <w:t>,</w:t>
      </w:r>
      <w:r w:rsidR="00E37ED7" w:rsidRPr="001C5E0F">
        <w:rPr>
          <w:rFonts w:ascii="Arial" w:hAnsi="Arial" w:cs="Arial"/>
          <w:sz w:val="20"/>
          <w:szCs w:val="20"/>
          <w:lang w:val="en-GB"/>
        </w:rPr>
        <w:t xml:space="preserve"> </w:t>
      </w:r>
      <w:r w:rsidR="005B641D" w:rsidRPr="001C5E0F">
        <w:rPr>
          <w:rFonts w:ascii="Arial" w:hAnsi="Arial" w:cs="Arial"/>
          <w:sz w:val="20"/>
          <w:szCs w:val="20"/>
          <w:lang w:val="en-GB"/>
        </w:rPr>
        <w:t>in breach</w:t>
      </w:r>
      <w:r w:rsidR="00490D33">
        <w:rPr>
          <w:rFonts w:ascii="Arial" w:hAnsi="Arial" w:cs="Arial"/>
          <w:sz w:val="20"/>
          <w:szCs w:val="20"/>
          <w:lang w:val="en-GB"/>
        </w:rPr>
        <w:t xml:space="preserve"> of</w:t>
      </w:r>
      <w:r w:rsidR="005B641D" w:rsidRPr="001C5E0F">
        <w:rPr>
          <w:rFonts w:ascii="Arial" w:hAnsi="Arial" w:cs="Arial"/>
          <w:sz w:val="20"/>
          <w:szCs w:val="20"/>
          <w:lang w:val="en-GB"/>
        </w:rPr>
        <w:t xml:space="preserve"> the EU Regulation</w:t>
      </w:r>
      <w:r w:rsidRPr="001C5E0F">
        <w:rPr>
          <w:rFonts w:ascii="Arial" w:hAnsi="Arial" w:cs="Arial"/>
          <w:sz w:val="20"/>
          <w:szCs w:val="20"/>
          <w:lang w:val="en-GB"/>
        </w:rPr>
        <w:t>. ARCM w</w:t>
      </w:r>
      <w:r w:rsidR="00880E5A" w:rsidRPr="001C5E0F">
        <w:rPr>
          <w:rFonts w:ascii="Arial" w:hAnsi="Arial" w:cs="Arial"/>
          <w:sz w:val="20"/>
          <w:szCs w:val="20"/>
          <w:lang w:val="en-GB"/>
        </w:rPr>
        <w:t>as fined GBP 873,118 by the Financial Conduct Authority (</w:t>
      </w:r>
      <w:r w:rsidR="00880E5A" w:rsidRPr="001C5E0F">
        <w:rPr>
          <w:rFonts w:ascii="Arial" w:hAnsi="Arial" w:cs="Arial"/>
          <w:b/>
          <w:sz w:val="20"/>
          <w:szCs w:val="20"/>
          <w:lang w:val="en-GB"/>
        </w:rPr>
        <w:t>FCA</w:t>
      </w:r>
      <w:r w:rsidR="00880E5A" w:rsidRPr="001C5E0F">
        <w:rPr>
          <w:rFonts w:ascii="Arial" w:hAnsi="Arial" w:cs="Arial"/>
          <w:sz w:val="20"/>
          <w:szCs w:val="20"/>
          <w:lang w:val="en-GB"/>
        </w:rPr>
        <w:t xml:space="preserve">) </w:t>
      </w:r>
      <w:r w:rsidRPr="001C5E0F">
        <w:rPr>
          <w:rFonts w:ascii="Arial" w:hAnsi="Arial" w:cs="Arial"/>
          <w:sz w:val="20"/>
          <w:szCs w:val="20"/>
          <w:lang w:val="en-GB"/>
        </w:rPr>
        <w:t xml:space="preserve">for the aforementioned breach. </w:t>
      </w:r>
    </w:p>
    <w:p w:rsidR="006520AF" w:rsidRPr="001C5E0F" w:rsidRDefault="001C0892" w:rsidP="00813E7F">
      <w:pPr>
        <w:jc w:val="both"/>
        <w:rPr>
          <w:rFonts w:ascii="Arial" w:hAnsi="Arial" w:cs="Arial"/>
          <w:b/>
          <w:sz w:val="20"/>
          <w:szCs w:val="20"/>
          <w:lang w:val="en-GB"/>
        </w:rPr>
      </w:pPr>
      <w:r w:rsidRPr="001C5E0F">
        <w:rPr>
          <w:rFonts w:ascii="Arial" w:hAnsi="Arial" w:cs="Arial"/>
          <w:b/>
          <w:sz w:val="20"/>
          <w:szCs w:val="20"/>
          <w:lang w:val="en-GB"/>
        </w:rPr>
        <w:t xml:space="preserve">Compliance Failures and Internal Control deficiencies </w:t>
      </w:r>
    </w:p>
    <w:p w:rsidR="00A7164B" w:rsidRPr="001C5E0F" w:rsidRDefault="00B1604A" w:rsidP="00813E7F">
      <w:pPr>
        <w:jc w:val="both"/>
        <w:rPr>
          <w:rFonts w:ascii="Arial" w:hAnsi="Arial" w:cs="Arial"/>
          <w:sz w:val="20"/>
          <w:szCs w:val="20"/>
          <w:lang w:val="en-GB"/>
        </w:rPr>
      </w:pPr>
      <w:r w:rsidRPr="001C5E0F">
        <w:rPr>
          <w:rFonts w:ascii="Arial" w:hAnsi="Arial" w:cs="Arial"/>
          <w:sz w:val="20"/>
          <w:szCs w:val="20"/>
          <w:lang w:val="en-GB"/>
        </w:rPr>
        <w:t xml:space="preserve">The SFC found </w:t>
      </w:r>
      <w:r w:rsidR="00066F68" w:rsidRPr="001C5E0F">
        <w:rPr>
          <w:rFonts w:ascii="Arial" w:hAnsi="Arial" w:cs="Arial"/>
          <w:sz w:val="20"/>
          <w:szCs w:val="20"/>
          <w:lang w:val="en-GB"/>
        </w:rPr>
        <w:t xml:space="preserve">ARCM </w:t>
      </w:r>
      <w:r w:rsidRPr="001C5E0F">
        <w:rPr>
          <w:rFonts w:ascii="Arial" w:hAnsi="Arial" w:cs="Arial"/>
          <w:sz w:val="20"/>
          <w:szCs w:val="20"/>
          <w:lang w:val="en-GB"/>
        </w:rPr>
        <w:t xml:space="preserve">to have </w:t>
      </w:r>
      <w:r w:rsidR="00A7164B" w:rsidRPr="001C5E0F">
        <w:rPr>
          <w:rFonts w:ascii="Arial" w:hAnsi="Arial" w:cs="Arial"/>
          <w:sz w:val="20"/>
          <w:szCs w:val="20"/>
          <w:lang w:val="en-GB"/>
        </w:rPr>
        <w:t>failed</w:t>
      </w:r>
      <w:r w:rsidRPr="001C5E0F">
        <w:rPr>
          <w:rFonts w:ascii="Arial" w:hAnsi="Arial" w:cs="Arial"/>
          <w:sz w:val="20"/>
          <w:szCs w:val="20"/>
          <w:lang w:val="en-GB"/>
        </w:rPr>
        <w:t xml:space="preserve"> to implement adequate measure</w:t>
      </w:r>
      <w:r w:rsidR="00066F68" w:rsidRPr="001C5E0F">
        <w:rPr>
          <w:rFonts w:ascii="Arial" w:hAnsi="Arial" w:cs="Arial"/>
          <w:sz w:val="20"/>
          <w:szCs w:val="20"/>
          <w:lang w:val="en-GB"/>
        </w:rPr>
        <w:t>s</w:t>
      </w:r>
      <w:r w:rsidRPr="001C5E0F">
        <w:rPr>
          <w:rFonts w:ascii="Arial" w:hAnsi="Arial" w:cs="Arial"/>
          <w:sz w:val="20"/>
          <w:szCs w:val="20"/>
          <w:lang w:val="en-GB"/>
        </w:rPr>
        <w:t xml:space="preserve"> to ensure compliance with the EU Regulation</w:t>
      </w:r>
      <w:r w:rsidR="00A7164B" w:rsidRPr="001C5E0F">
        <w:rPr>
          <w:rFonts w:ascii="Arial" w:hAnsi="Arial" w:cs="Arial"/>
          <w:sz w:val="20"/>
          <w:szCs w:val="20"/>
          <w:lang w:val="en-GB"/>
        </w:rPr>
        <w:t xml:space="preserve"> by: </w:t>
      </w:r>
    </w:p>
    <w:p w:rsidR="00A7164B" w:rsidRPr="001C5E0F" w:rsidRDefault="00490D33" w:rsidP="00813E7F">
      <w:pPr>
        <w:pStyle w:val="a4"/>
        <w:numPr>
          <w:ilvl w:val="0"/>
          <w:numId w:val="8"/>
        </w:numPr>
        <w:jc w:val="both"/>
        <w:rPr>
          <w:rFonts w:ascii="Arial" w:hAnsi="Arial" w:cs="Arial"/>
          <w:sz w:val="20"/>
          <w:szCs w:val="20"/>
          <w:lang w:val="en-GB"/>
        </w:rPr>
      </w:pPr>
      <w:r>
        <w:rPr>
          <w:rFonts w:ascii="Arial" w:hAnsi="Arial" w:cs="Arial"/>
          <w:sz w:val="20"/>
          <w:szCs w:val="20"/>
          <w:lang w:val="en-GB"/>
        </w:rPr>
        <w:t xml:space="preserve">failing to put a formal process </w:t>
      </w:r>
      <w:r w:rsidRPr="001C5E0F">
        <w:rPr>
          <w:rFonts w:ascii="Arial" w:hAnsi="Arial" w:cs="Arial"/>
          <w:sz w:val="20"/>
          <w:szCs w:val="20"/>
          <w:lang w:val="en-GB"/>
        </w:rPr>
        <w:t xml:space="preserve">in place </w:t>
      </w:r>
      <w:r w:rsidR="00A7164B" w:rsidRPr="001C5E0F">
        <w:rPr>
          <w:rFonts w:ascii="Arial" w:hAnsi="Arial" w:cs="Arial"/>
          <w:sz w:val="20"/>
          <w:szCs w:val="20"/>
          <w:lang w:val="en-GB"/>
        </w:rPr>
        <w:t>for its compliance framework</w:t>
      </w:r>
      <w:r w:rsidR="009A5C2F">
        <w:rPr>
          <w:rFonts w:ascii="Arial" w:hAnsi="Arial" w:cs="Arial"/>
          <w:sz w:val="20"/>
          <w:szCs w:val="20"/>
          <w:lang w:val="en-GB"/>
        </w:rPr>
        <w:t xml:space="preserve"> to</w:t>
      </w:r>
      <w:r w:rsidR="00A7164B" w:rsidRPr="001C5E0F">
        <w:rPr>
          <w:rFonts w:ascii="Arial" w:hAnsi="Arial" w:cs="Arial"/>
          <w:sz w:val="20"/>
          <w:szCs w:val="20"/>
          <w:lang w:val="en-GB"/>
        </w:rPr>
        <w:t>:</w:t>
      </w:r>
    </w:p>
    <w:p w:rsidR="003B7E90" w:rsidRPr="001C5E0F" w:rsidRDefault="003B7E90" w:rsidP="00813E7F">
      <w:pPr>
        <w:pStyle w:val="a4"/>
        <w:ind w:left="780"/>
        <w:jc w:val="both"/>
        <w:rPr>
          <w:rFonts w:ascii="Arial" w:hAnsi="Arial" w:cs="Arial"/>
          <w:sz w:val="20"/>
          <w:szCs w:val="20"/>
          <w:lang w:val="en-GB"/>
        </w:rPr>
      </w:pPr>
    </w:p>
    <w:p w:rsidR="00A7164B" w:rsidRPr="001C5E0F" w:rsidRDefault="00A7164B" w:rsidP="00813E7F">
      <w:pPr>
        <w:pStyle w:val="a4"/>
        <w:numPr>
          <w:ilvl w:val="1"/>
          <w:numId w:val="8"/>
        </w:numPr>
        <w:jc w:val="both"/>
        <w:rPr>
          <w:rFonts w:ascii="Arial" w:hAnsi="Arial" w:cs="Arial"/>
          <w:sz w:val="20"/>
          <w:szCs w:val="20"/>
          <w:lang w:val="en-GB"/>
        </w:rPr>
      </w:pPr>
      <w:r w:rsidRPr="001C5E0F">
        <w:rPr>
          <w:rFonts w:ascii="Arial" w:hAnsi="Arial" w:cs="Arial"/>
          <w:sz w:val="20"/>
          <w:szCs w:val="20"/>
          <w:lang w:val="en-GB"/>
        </w:rPr>
        <w:lastRenderedPageBreak/>
        <w:t>requir</w:t>
      </w:r>
      <w:r w:rsidR="009A5C2F">
        <w:rPr>
          <w:rFonts w:ascii="Arial" w:hAnsi="Arial" w:cs="Arial"/>
          <w:sz w:val="20"/>
          <w:szCs w:val="20"/>
          <w:lang w:val="en-GB"/>
        </w:rPr>
        <w:t>e</w:t>
      </w:r>
      <w:r w:rsidR="001C5E0F">
        <w:rPr>
          <w:rFonts w:ascii="Arial" w:hAnsi="Arial" w:cs="Arial"/>
          <w:sz w:val="20"/>
          <w:szCs w:val="20"/>
          <w:lang w:val="en-GB"/>
        </w:rPr>
        <w:t xml:space="preserve"> its staff members to analys</w:t>
      </w:r>
      <w:r w:rsidRPr="001C5E0F">
        <w:rPr>
          <w:rFonts w:ascii="Arial" w:hAnsi="Arial" w:cs="Arial"/>
          <w:sz w:val="20"/>
          <w:szCs w:val="20"/>
          <w:lang w:val="en-GB"/>
        </w:rPr>
        <w:t xml:space="preserve">e and understand applicable shareholding and short position </w:t>
      </w:r>
      <w:r w:rsidR="009A5C2F">
        <w:rPr>
          <w:rFonts w:ascii="Arial" w:hAnsi="Arial" w:cs="Arial"/>
          <w:sz w:val="20"/>
          <w:szCs w:val="20"/>
          <w:lang w:val="en-GB"/>
        </w:rPr>
        <w:t xml:space="preserve">reporting </w:t>
      </w:r>
      <w:r w:rsidRPr="001C5E0F">
        <w:rPr>
          <w:rFonts w:ascii="Arial" w:hAnsi="Arial" w:cs="Arial"/>
          <w:sz w:val="20"/>
          <w:szCs w:val="20"/>
          <w:lang w:val="en-GB"/>
        </w:rPr>
        <w:t>requirements when ARCM invests in a new jurisdiction</w:t>
      </w:r>
      <w:r w:rsidR="004A2336">
        <w:rPr>
          <w:rFonts w:ascii="Arial" w:hAnsi="Arial" w:cs="Arial"/>
          <w:sz w:val="20"/>
          <w:szCs w:val="20"/>
          <w:lang w:val="en-GB"/>
        </w:rPr>
        <w:t>;</w:t>
      </w:r>
      <w:r w:rsidRPr="001C5E0F">
        <w:rPr>
          <w:rFonts w:ascii="Arial" w:hAnsi="Arial" w:cs="Arial"/>
          <w:sz w:val="20"/>
          <w:szCs w:val="20"/>
          <w:lang w:val="en-GB"/>
        </w:rPr>
        <w:t xml:space="preserve"> and </w:t>
      </w:r>
    </w:p>
    <w:p w:rsidR="003B7E90" w:rsidRPr="001C5E0F" w:rsidRDefault="003B7E90" w:rsidP="00813E7F">
      <w:pPr>
        <w:pStyle w:val="a4"/>
        <w:ind w:left="1500"/>
        <w:jc w:val="both"/>
        <w:rPr>
          <w:rFonts w:ascii="Arial" w:hAnsi="Arial" w:cs="Arial"/>
          <w:sz w:val="20"/>
          <w:szCs w:val="20"/>
          <w:lang w:val="en-GB"/>
        </w:rPr>
      </w:pPr>
    </w:p>
    <w:p w:rsidR="003B7E90" w:rsidRPr="001C5E0F" w:rsidRDefault="00E37ED7" w:rsidP="00813E7F">
      <w:pPr>
        <w:pStyle w:val="a4"/>
        <w:numPr>
          <w:ilvl w:val="1"/>
          <w:numId w:val="8"/>
        </w:numPr>
        <w:jc w:val="both"/>
        <w:rPr>
          <w:rFonts w:ascii="Arial" w:hAnsi="Arial" w:cs="Arial"/>
          <w:sz w:val="20"/>
          <w:szCs w:val="20"/>
          <w:lang w:val="en-GB"/>
        </w:rPr>
      </w:pPr>
      <w:r w:rsidRPr="001C5E0F">
        <w:rPr>
          <w:rFonts w:ascii="Arial" w:hAnsi="Arial" w:cs="Arial"/>
          <w:sz w:val="20"/>
          <w:szCs w:val="20"/>
          <w:lang w:val="en-GB"/>
        </w:rPr>
        <w:t>incorporat</w:t>
      </w:r>
      <w:r w:rsidR="009A5C2F">
        <w:rPr>
          <w:rFonts w:ascii="Arial" w:hAnsi="Arial" w:cs="Arial"/>
          <w:sz w:val="20"/>
          <w:szCs w:val="20"/>
          <w:lang w:val="en-GB"/>
        </w:rPr>
        <w:t>e</w:t>
      </w:r>
      <w:r w:rsidR="00A7164B" w:rsidRPr="001C5E0F">
        <w:rPr>
          <w:rFonts w:ascii="Arial" w:hAnsi="Arial" w:cs="Arial"/>
          <w:sz w:val="20"/>
          <w:szCs w:val="20"/>
          <w:lang w:val="en-GB"/>
        </w:rPr>
        <w:t xml:space="preserve"> additional controls</w:t>
      </w:r>
      <w:r w:rsidRPr="001C5E0F">
        <w:rPr>
          <w:rFonts w:ascii="Arial" w:hAnsi="Arial" w:cs="Arial"/>
          <w:sz w:val="20"/>
          <w:szCs w:val="20"/>
          <w:lang w:val="en-GB"/>
        </w:rPr>
        <w:t xml:space="preserve"> </w:t>
      </w:r>
      <w:r w:rsidR="009A5C2F">
        <w:rPr>
          <w:rFonts w:ascii="Arial" w:hAnsi="Arial" w:cs="Arial"/>
          <w:sz w:val="20"/>
          <w:szCs w:val="20"/>
          <w:lang w:val="en-GB"/>
        </w:rPr>
        <w:t>t</w:t>
      </w:r>
      <w:r w:rsidRPr="001C5E0F">
        <w:rPr>
          <w:rFonts w:ascii="Arial" w:hAnsi="Arial" w:cs="Arial"/>
          <w:sz w:val="20"/>
          <w:szCs w:val="20"/>
          <w:lang w:val="en-GB"/>
        </w:rPr>
        <w:t>o</w:t>
      </w:r>
      <w:r w:rsidR="00A7164B" w:rsidRPr="001C5E0F">
        <w:rPr>
          <w:rFonts w:ascii="Arial" w:hAnsi="Arial" w:cs="Arial"/>
          <w:sz w:val="20"/>
          <w:szCs w:val="20"/>
          <w:lang w:val="en-GB"/>
        </w:rPr>
        <w:t xml:space="preserve"> ensur</w:t>
      </w:r>
      <w:r w:rsidR="009A5C2F">
        <w:rPr>
          <w:rFonts w:ascii="Arial" w:hAnsi="Arial" w:cs="Arial"/>
          <w:sz w:val="20"/>
          <w:szCs w:val="20"/>
          <w:lang w:val="en-GB"/>
        </w:rPr>
        <w:t>e</w:t>
      </w:r>
      <w:r w:rsidR="00A7164B" w:rsidRPr="001C5E0F">
        <w:rPr>
          <w:rFonts w:ascii="Arial" w:hAnsi="Arial" w:cs="Arial"/>
          <w:sz w:val="20"/>
          <w:szCs w:val="20"/>
          <w:lang w:val="en-GB"/>
        </w:rPr>
        <w:t xml:space="preserve"> compliance with </w:t>
      </w:r>
      <w:r w:rsidR="009A5C2F">
        <w:rPr>
          <w:rFonts w:ascii="Arial" w:hAnsi="Arial" w:cs="Arial"/>
          <w:sz w:val="20"/>
          <w:szCs w:val="20"/>
          <w:lang w:val="en-GB"/>
        </w:rPr>
        <w:t xml:space="preserve">those </w:t>
      </w:r>
      <w:r w:rsidR="00A7164B" w:rsidRPr="001C5E0F">
        <w:rPr>
          <w:rFonts w:ascii="Arial" w:hAnsi="Arial" w:cs="Arial"/>
          <w:sz w:val="20"/>
          <w:szCs w:val="20"/>
          <w:lang w:val="en-GB"/>
        </w:rPr>
        <w:t>obligations in new jurisdic</w:t>
      </w:r>
      <w:r w:rsidR="003B7E90" w:rsidRPr="001C5E0F">
        <w:rPr>
          <w:rFonts w:ascii="Arial" w:hAnsi="Arial" w:cs="Arial"/>
          <w:sz w:val="20"/>
          <w:szCs w:val="20"/>
          <w:lang w:val="en-GB"/>
        </w:rPr>
        <w:t>tion(s); and</w:t>
      </w:r>
    </w:p>
    <w:p w:rsidR="003B7E90" w:rsidRPr="001C5E0F" w:rsidRDefault="003B7E90" w:rsidP="00813E7F">
      <w:pPr>
        <w:pStyle w:val="a4"/>
        <w:jc w:val="both"/>
        <w:rPr>
          <w:rFonts w:ascii="Arial" w:hAnsi="Arial" w:cs="Arial"/>
          <w:sz w:val="20"/>
          <w:szCs w:val="20"/>
          <w:lang w:val="en-GB"/>
        </w:rPr>
      </w:pPr>
    </w:p>
    <w:p w:rsidR="00A7164B" w:rsidRPr="001C5E0F" w:rsidRDefault="00A7164B" w:rsidP="00813E7F">
      <w:pPr>
        <w:pStyle w:val="a4"/>
        <w:numPr>
          <w:ilvl w:val="0"/>
          <w:numId w:val="8"/>
        </w:numPr>
        <w:jc w:val="both"/>
        <w:rPr>
          <w:rFonts w:ascii="Arial" w:hAnsi="Arial" w:cs="Arial"/>
          <w:sz w:val="20"/>
          <w:szCs w:val="20"/>
          <w:lang w:val="en-GB"/>
        </w:rPr>
      </w:pPr>
      <w:r w:rsidRPr="00016A34">
        <w:rPr>
          <w:rFonts w:ascii="Arial" w:hAnsi="Arial" w:cs="Arial"/>
          <w:sz w:val="20"/>
          <w:szCs w:val="20"/>
          <w:lang w:val="en-GB"/>
        </w:rPr>
        <w:t>fail</w:t>
      </w:r>
      <w:r w:rsidR="009A5C2F" w:rsidRPr="00016A34">
        <w:rPr>
          <w:rFonts w:ascii="Arial" w:hAnsi="Arial" w:cs="Arial"/>
          <w:sz w:val="20"/>
          <w:szCs w:val="20"/>
          <w:lang w:val="en-GB"/>
        </w:rPr>
        <w:t>ing</w:t>
      </w:r>
      <w:r w:rsidRPr="00016A34">
        <w:rPr>
          <w:rFonts w:ascii="Arial" w:hAnsi="Arial" w:cs="Arial"/>
          <w:sz w:val="20"/>
          <w:szCs w:val="20"/>
          <w:lang w:val="en-GB"/>
        </w:rPr>
        <w:t xml:space="preserve"> to </w:t>
      </w:r>
      <w:r w:rsidR="00016A34">
        <w:rPr>
          <w:rFonts w:ascii="Arial" w:hAnsi="Arial" w:cs="Arial"/>
          <w:sz w:val="20"/>
          <w:szCs w:val="20"/>
          <w:lang w:val="en-GB"/>
        </w:rPr>
        <w:t>“</w:t>
      </w:r>
      <w:r w:rsidRPr="00DD25A9">
        <w:rPr>
          <w:rFonts w:ascii="Arial" w:hAnsi="Arial" w:cs="Arial"/>
          <w:sz w:val="20"/>
          <w:szCs w:val="20"/>
          <w:lang w:val="en-GB"/>
        </w:rPr>
        <w:t>implement any systems and controls in its compliance framework to monitor and ensure its portfolio positions in the EU markets complied with the reporting obligations under the EU Regulation</w:t>
      </w:r>
      <w:r w:rsidR="00016A34">
        <w:rPr>
          <w:rFonts w:ascii="Arial" w:hAnsi="Arial" w:cs="Arial"/>
          <w:sz w:val="20"/>
          <w:szCs w:val="20"/>
          <w:lang w:val="en-GB"/>
        </w:rPr>
        <w:t>”</w:t>
      </w:r>
      <w:r w:rsidR="00066F68" w:rsidRPr="00DD25A9">
        <w:rPr>
          <w:rFonts w:ascii="Arial" w:hAnsi="Arial" w:cs="Arial"/>
          <w:sz w:val="20"/>
          <w:szCs w:val="20"/>
          <w:lang w:val="en-GB"/>
        </w:rPr>
        <w:t>.</w:t>
      </w:r>
    </w:p>
    <w:p w:rsidR="00915AA7" w:rsidRPr="001C5E0F" w:rsidRDefault="009336B7" w:rsidP="00813E7F">
      <w:pPr>
        <w:jc w:val="both"/>
        <w:rPr>
          <w:rFonts w:ascii="Arial" w:hAnsi="Arial" w:cs="Arial"/>
          <w:sz w:val="20"/>
          <w:szCs w:val="20"/>
          <w:lang w:val="en-GB"/>
        </w:rPr>
      </w:pPr>
      <w:r>
        <w:rPr>
          <w:rFonts w:ascii="Arial" w:hAnsi="Arial" w:cs="Arial"/>
          <w:sz w:val="20"/>
          <w:szCs w:val="20"/>
          <w:lang w:val="en-GB"/>
        </w:rPr>
        <w:t>The SFC</w:t>
      </w:r>
      <w:r w:rsidR="00A7164B" w:rsidRPr="001C5E0F">
        <w:rPr>
          <w:rFonts w:ascii="Arial" w:hAnsi="Arial" w:cs="Arial"/>
          <w:sz w:val="20"/>
          <w:szCs w:val="20"/>
          <w:lang w:val="en-GB"/>
        </w:rPr>
        <w:t xml:space="preserve"> </w:t>
      </w:r>
      <w:r w:rsidR="00E37ED7" w:rsidRPr="001C5E0F">
        <w:rPr>
          <w:rFonts w:ascii="Arial" w:hAnsi="Arial" w:cs="Arial"/>
          <w:sz w:val="20"/>
          <w:szCs w:val="20"/>
          <w:lang w:val="en-GB"/>
        </w:rPr>
        <w:t>also</w:t>
      </w:r>
      <w:r w:rsidR="00A7164B" w:rsidRPr="001C5E0F">
        <w:rPr>
          <w:rFonts w:ascii="Arial" w:hAnsi="Arial" w:cs="Arial"/>
          <w:sz w:val="20"/>
          <w:szCs w:val="20"/>
          <w:lang w:val="en-GB"/>
        </w:rPr>
        <w:t xml:space="preserve"> </w:t>
      </w:r>
      <w:r>
        <w:rPr>
          <w:rFonts w:ascii="Arial" w:hAnsi="Arial" w:cs="Arial"/>
          <w:sz w:val="20"/>
          <w:szCs w:val="20"/>
          <w:lang w:val="en-GB"/>
        </w:rPr>
        <w:t>noted that</w:t>
      </w:r>
      <w:r w:rsidR="00A7164B" w:rsidRPr="001C5E0F">
        <w:rPr>
          <w:rFonts w:ascii="Arial" w:hAnsi="Arial" w:cs="Arial"/>
          <w:sz w:val="20"/>
          <w:szCs w:val="20"/>
          <w:lang w:val="en-GB"/>
        </w:rPr>
        <w:t xml:space="preserve"> ARCM had</w:t>
      </w:r>
      <w:r w:rsidR="00915AA7" w:rsidRPr="001C5E0F">
        <w:rPr>
          <w:rFonts w:ascii="Arial" w:hAnsi="Arial" w:cs="Arial"/>
          <w:sz w:val="20"/>
          <w:szCs w:val="20"/>
          <w:lang w:val="en-GB"/>
        </w:rPr>
        <w:t xml:space="preserve">, in spite of its unfamiliarity with the EU market, </w:t>
      </w:r>
      <w:r w:rsidR="00A7164B" w:rsidRPr="001C5E0F">
        <w:rPr>
          <w:rFonts w:ascii="Arial" w:hAnsi="Arial" w:cs="Arial"/>
          <w:sz w:val="20"/>
          <w:szCs w:val="20"/>
          <w:lang w:val="en-GB"/>
        </w:rPr>
        <w:t xml:space="preserve">failed to seek legal advice on its reporting </w:t>
      </w:r>
      <w:r w:rsidR="001305D4">
        <w:rPr>
          <w:rFonts w:ascii="Arial" w:hAnsi="Arial" w:cs="Arial"/>
          <w:sz w:val="20"/>
          <w:szCs w:val="20"/>
          <w:lang w:val="en-GB"/>
        </w:rPr>
        <w:t>obligations under EU regulations</w:t>
      </w:r>
      <w:r w:rsidR="00A7164B" w:rsidRPr="001C5E0F">
        <w:rPr>
          <w:rFonts w:ascii="Arial" w:hAnsi="Arial" w:cs="Arial"/>
          <w:sz w:val="20"/>
          <w:szCs w:val="20"/>
          <w:lang w:val="en-GB"/>
        </w:rPr>
        <w:t xml:space="preserve"> </w:t>
      </w:r>
      <w:r w:rsidR="00066F68" w:rsidRPr="001C5E0F">
        <w:rPr>
          <w:rFonts w:ascii="Arial" w:hAnsi="Arial" w:cs="Arial"/>
          <w:sz w:val="20"/>
          <w:szCs w:val="20"/>
          <w:lang w:val="en-GB"/>
        </w:rPr>
        <w:t xml:space="preserve">before entering into swap transactions and </w:t>
      </w:r>
      <w:r w:rsidR="00915AA7" w:rsidRPr="001C5E0F">
        <w:rPr>
          <w:rFonts w:ascii="Arial" w:hAnsi="Arial" w:cs="Arial"/>
          <w:sz w:val="20"/>
          <w:szCs w:val="20"/>
          <w:lang w:val="en-GB"/>
        </w:rPr>
        <w:t>establishing a short position in Premier Oil. It determined that had ARCM taken steps to check the EU regulations or sought legal advice on the matter</w:t>
      </w:r>
      <w:r w:rsidR="00E37ED7" w:rsidRPr="001C5E0F">
        <w:rPr>
          <w:rFonts w:ascii="Arial" w:hAnsi="Arial" w:cs="Arial"/>
          <w:sz w:val="20"/>
          <w:szCs w:val="20"/>
          <w:lang w:val="en-GB"/>
        </w:rPr>
        <w:t>,</w:t>
      </w:r>
      <w:r w:rsidR="00915AA7" w:rsidRPr="001C5E0F">
        <w:rPr>
          <w:rFonts w:ascii="Arial" w:hAnsi="Arial" w:cs="Arial"/>
          <w:sz w:val="20"/>
          <w:szCs w:val="20"/>
          <w:lang w:val="en-GB"/>
        </w:rPr>
        <w:t xml:space="preserve"> instead of relying on reference material</w:t>
      </w:r>
      <w:r>
        <w:rPr>
          <w:rFonts w:ascii="Arial" w:hAnsi="Arial" w:cs="Arial"/>
          <w:sz w:val="20"/>
          <w:szCs w:val="20"/>
          <w:lang w:val="en-GB"/>
        </w:rPr>
        <w:t>s</w:t>
      </w:r>
      <w:r w:rsidR="00915AA7" w:rsidRPr="001C5E0F">
        <w:rPr>
          <w:rFonts w:ascii="Arial" w:hAnsi="Arial" w:cs="Arial"/>
          <w:sz w:val="20"/>
          <w:szCs w:val="20"/>
          <w:lang w:val="en-GB"/>
        </w:rPr>
        <w:t xml:space="preserve"> provided by its prime brokers, it would have </w:t>
      </w:r>
      <w:r>
        <w:rPr>
          <w:rFonts w:ascii="Arial" w:hAnsi="Arial" w:cs="Arial"/>
          <w:sz w:val="20"/>
          <w:szCs w:val="20"/>
          <w:lang w:val="en-GB"/>
        </w:rPr>
        <w:t xml:space="preserve">been aware of </w:t>
      </w:r>
      <w:r w:rsidR="00915AA7" w:rsidRPr="001C5E0F">
        <w:rPr>
          <w:rFonts w:ascii="Arial" w:hAnsi="Arial" w:cs="Arial"/>
          <w:sz w:val="20"/>
          <w:szCs w:val="20"/>
          <w:lang w:val="en-GB"/>
        </w:rPr>
        <w:t>the</w:t>
      </w:r>
      <w:r w:rsidR="00066F68" w:rsidRPr="001C5E0F">
        <w:rPr>
          <w:rFonts w:ascii="Arial" w:hAnsi="Arial" w:cs="Arial"/>
          <w:sz w:val="20"/>
          <w:szCs w:val="20"/>
          <w:lang w:val="en-GB"/>
        </w:rPr>
        <w:t xml:space="preserve"> </w:t>
      </w:r>
      <w:r w:rsidR="00915AA7" w:rsidRPr="001C5E0F">
        <w:rPr>
          <w:rFonts w:ascii="Arial" w:hAnsi="Arial" w:cs="Arial"/>
          <w:sz w:val="20"/>
          <w:szCs w:val="20"/>
          <w:lang w:val="en-GB"/>
        </w:rPr>
        <w:t xml:space="preserve">reporting obligations </w:t>
      </w:r>
      <w:r>
        <w:rPr>
          <w:rFonts w:ascii="Arial" w:hAnsi="Arial" w:cs="Arial"/>
          <w:sz w:val="20"/>
          <w:szCs w:val="20"/>
          <w:lang w:val="en-GB"/>
        </w:rPr>
        <w:t xml:space="preserve">for short positions held through swap transactions </w:t>
      </w:r>
      <w:r w:rsidR="00915AA7" w:rsidRPr="001C5E0F">
        <w:rPr>
          <w:rFonts w:ascii="Arial" w:hAnsi="Arial" w:cs="Arial"/>
          <w:sz w:val="20"/>
          <w:szCs w:val="20"/>
          <w:lang w:val="en-GB"/>
        </w:rPr>
        <w:t xml:space="preserve">under the EU Regulation. </w:t>
      </w:r>
    </w:p>
    <w:p w:rsidR="00915AA7" w:rsidRPr="001C5E0F" w:rsidRDefault="00DB4491" w:rsidP="00813E7F">
      <w:pPr>
        <w:jc w:val="both"/>
        <w:rPr>
          <w:rFonts w:ascii="Arial" w:hAnsi="Arial" w:cs="Arial"/>
          <w:sz w:val="20"/>
          <w:szCs w:val="20"/>
          <w:lang w:val="en-GB"/>
        </w:rPr>
      </w:pPr>
      <w:r w:rsidRPr="001C5E0F">
        <w:rPr>
          <w:rFonts w:ascii="Arial" w:hAnsi="Arial" w:cs="Arial"/>
          <w:sz w:val="20"/>
          <w:szCs w:val="20"/>
          <w:lang w:val="en-GB"/>
        </w:rPr>
        <w:t>ARCM was thus determine</w:t>
      </w:r>
      <w:r w:rsidR="00E37ED7" w:rsidRPr="001C5E0F">
        <w:rPr>
          <w:rFonts w:ascii="Arial" w:hAnsi="Arial" w:cs="Arial"/>
          <w:sz w:val="20"/>
          <w:szCs w:val="20"/>
          <w:lang w:val="en-GB"/>
        </w:rPr>
        <w:t>d</w:t>
      </w:r>
      <w:r w:rsidRPr="001C5E0F">
        <w:rPr>
          <w:rFonts w:ascii="Arial" w:hAnsi="Arial" w:cs="Arial"/>
          <w:sz w:val="20"/>
          <w:szCs w:val="20"/>
          <w:lang w:val="en-GB"/>
        </w:rPr>
        <w:t xml:space="preserve"> to be in breach of General Principle 2 (Diligence) of the </w:t>
      </w:r>
      <w:r w:rsidR="00E37ED7" w:rsidRPr="001C5E0F">
        <w:rPr>
          <w:rFonts w:ascii="Arial" w:hAnsi="Arial" w:cs="Arial"/>
          <w:sz w:val="20"/>
          <w:szCs w:val="20"/>
          <w:lang w:val="en-GB"/>
        </w:rPr>
        <w:t>Code of Conduct for Persons License</w:t>
      </w:r>
      <w:r w:rsidR="009336B7">
        <w:rPr>
          <w:rFonts w:ascii="Arial" w:hAnsi="Arial" w:cs="Arial"/>
          <w:sz w:val="20"/>
          <w:szCs w:val="20"/>
          <w:lang w:val="en-GB"/>
        </w:rPr>
        <w:t>d</w:t>
      </w:r>
      <w:r w:rsidR="00E37ED7" w:rsidRPr="001C5E0F">
        <w:rPr>
          <w:rFonts w:ascii="Arial" w:hAnsi="Arial" w:cs="Arial"/>
          <w:sz w:val="20"/>
          <w:szCs w:val="20"/>
          <w:lang w:val="en-GB"/>
        </w:rPr>
        <w:t xml:space="preserve"> by or Registered with the SFC (the</w:t>
      </w:r>
      <w:r w:rsidR="00E37ED7" w:rsidRPr="001C5E0F">
        <w:rPr>
          <w:rFonts w:ascii="Arial" w:hAnsi="Arial" w:cs="Arial"/>
          <w:b/>
          <w:sz w:val="20"/>
          <w:szCs w:val="20"/>
          <w:lang w:val="en-GB"/>
        </w:rPr>
        <w:t xml:space="preserve"> </w:t>
      </w:r>
      <w:r w:rsidR="009336B7">
        <w:rPr>
          <w:rFonts w:ascii="Arial" w:hAnsi="Arial" w:cs="Arial"/>
          <w:b/>
          <w:sz w:val="20"/>
          <w:szCs w:val="20"/>
          <w:lang w:val="en-GB"/>
        </w:rPr>
        <w:t xml:space="preserve">SFC </w:t>
      </w:r>
      <w:r w:rsidR="00E37ED7" w:rsidRPr="001C5E0F">
        <w:rPr>
          <w:rFonts w:ascii="Arial" w:hAnsi="Arial" w:cs="Arial"/>
          <w:b/>
          <w:sz w:val="20"/>
          <w:szCs w:val="20"/>
          <w:lang w:val="en-GB"/>
        </w:rPr>
        <w:t>Code of Conduct</w:t>
      </w:r>
      <w:r w:rsidR="00E37ED7" w:rsidRPr="001C5E0F">
        <w:rPr>
          <w:rFonts w:ascii="Arial" w:hAnsi="Arial" w:cs="Arial"/>
          <w:sz w:val="20"/>
          <w:szCs w:val="20"/>
          <w:lang w:val="en-GB"/>
        </w:rPr>
        <w:t xml:space="preserve">) </w:t>
      </w:r>
      <w:r w:rsidRPr="001C5E0F">
        <w:rPr>
          <w:rFonts w:ascii="Arial" w:hAnsi="Arial" w:cs="Arial"/>
          <w:sz w:val="20"/>
          <w:szCs w:val="20"/>
          <w:lang w:val="en-GB"/>
        </w:rPr>
        <w:t xml:space="preserve">which requires licensed corporations to </w:t>
      </w:r>
      <w:r w:rsidR="00066F68" w:rsidRPr="001C5E0F">
        <w:rPr>
          <w:rFonts w:ascii="Arial" w:hAnsi="Arial" w:cs="Arial"/>
          <w:sz w:val="20"/>
          <w:szCs w:val="20"/>
          <w:lang w:val="en-GB"/>
        </w:rPr>
        <w:t>“</w:t>
      </w:r>
      <w:r w:rsidRPr="001C5E0F">
        <w:rPr>
          <w:rFonts w:ascii="Arial" w:hAnsi="Arial" w:cs="Arial"/>
          <w:sz w:val="20"/>
          <w:szCs w:val="20"/>
          <w:lang w:val="en-GB"/>
        </w:rPr>
        <w:t>act with due skill, care and diligence in the integrity of the market</w:t>
      </w:r>
      <w:r w:rsidR="00066F68" w:rsidRPr="001C5E0F">
        <w:rPr>
          <w:rFonts w:ascii="Arial" w:hAnsi="Arial" w:cs="Arial"/>
          <w:sz w:val="20"/>
          <w:szCs w:val="20"/>
          <w:lang w:val="en-GB"/>
        </w:rPr>
        <w:t>”,</w:t>
      </w:r>
      <w:r w:rsidRPr="001C5E0F">
        <w:rPr>
          <w:rFonts w:ascii="Arial" w:hAnsi="Arial" w:cs="Arial"/>
          <w:sz w:val="20"/>
          <w:szCs w:val="20"/>
          <w:lang w:val="en-GB"/>
        </w:rPr>
        <w:t xml:space="preserve"> and General Principle 7 </w:t>
      </w:r>
      <w:r w:rsidR="00FD18F6" w:rsidRPr="001C5E0F">
        <w:rPr>
          <w:rFonts w:ascii="Arial" w:hAnsi="Arial" w:cs="Arial"/>
          <w:sz w:val="20"/>
          <w:szCs w:val="20"/>
          <w:lang w:val="en-GB"/>
        </w:rPr>
        <w:t>(Compliance</w:t>
      </w:r>
      <w:r w:rsidRPr="001C5E0F">
        <w:rPr>
          <w:rFonts w:ascii="Arial" w:hAnsi="Arial" w:cs="Arial"/>
          <w:sz w:val="20"/>
          <w:szCs w:val="20"/>
          <w:lang w:val="en-GB"/>
        </w:rPr>
        <w:t>)</w:t>
      </w:r>
      <w:r w:rsidR="00E37ED7" w:rsidRPr="001C5E0F">
        <w:rPr>
          <w:rFonts w:ascii="Arial" w:hAnsi="Arial" w:cs="Arial"/>
          <w:sz w:val="20"/>
          <w:szCs w:val="20"/>
          <w:lang w:val="en-GB"/>
        </w:rPr>
        <w:t xml:space="preserve">, </w:t>
      </w:r>
      <w:r w:rsidR="009336B7">
        <w:rPr>
          <w:rFonts w:ascii="Arial" w:hAnsi="Arial" w:cs="Arial"/>
          <w:sz w:val="20"/>
          <w:szCs w:val="20"/>
          <w:lang w:val="en-GB"/>
        </w:rPr>
        <w:t xml:space="preserve">and </w:t>
      </w:r>
      <w:r w:rsidR="00E37ED7" w:rsidRPr="001C5E0F">
        <w:rPr>
          <w:rFonts w:ascii="Arial" w:hAnsi="Arial" w:cs="Arial"/>
          <w:sz w:val="20"/>
          <w:szCs w:val="20"/>
          <w:lang w:val="en-GB"/>
        </w:rPr>
        <w:t>p</w:t>
      </w:r>
      <w:r w:rsidRPr="001C5E0F">
        <w:rPr>
          <w:rFonts w:ascii="Arial" w:hAnsi="Arial" w:cs="Arial"/>
          <w:sz w:val="20"/>
          <w:szCs w:val="20"/>
          <w:lang w:val="en-GB"/>
        </w:rPr>
        <w:t>aragraph 12.1 (Compliance</w:t>
      </w:r>
      <w:r w:rsidR="00066F68" w:rsidRPr="001C5E0F">
        <w:rPr>
          <w:rFonts w:ascii="Arial" w:hAnsi="Arial" w:cs="Arial"/>
          <w:sz w:val="20"/>
          <w:szCs w:val="20"/>
          <w:lang w:val="en-GB"/>
        </w:rPr>
        <w:t>:</w:t>
      </w:r>
      <w:r w:rsidRPr="001C5E0F">
        <w:rPr>
          <w:rFonts w:ascii="Arial" w:hAnsi="Arial" w:cs="Arial"/>
          <w:sz w:val="20"/>
          <w:szCs w:val="20"/>
          <w:lang w:val="en-GB"/>
        </w:rPr>
        <w:t xml:space="preserve"> in general) of the </w:t>
      </w:r>
      <w:r w:rsidR="009336B7">
        <w:rPr>
          <w:rFonts w:ascii="Arial" w:hAnsi="Arial" w:cs="Arial"/>
          <w:sz w:val="20"/>
          <w:szCs w:val="20"/>
          <w:lang w:val="en-GB"/>
        </w:rPr>
        <w:t xml:space="preserve">SFC </w:t>
      </w:r>
      <w:r w:rsidRPr="001C5E0F">
        <w:rPr>
          <w:rFonts w:ascii="Arial" w:hAnsi="Arial" w:cs="Arial"/>
          <w:sz w:val="20"/>
          <w:szCs w:val="20"/>
          <w:lang w:val="en-GB"/>
        </w:rPr>
        <w:t xml:space="preserve">Code of </w:t>
      </w:r>
      <w:r w:rsidR="00FD18F6" w:rsidRPr="001C5E0F">
        <w:rPr>
          <w:rFonts w:ascii="Arial" w:hAnsi="Arial" w:cs="Arial"/>
          <w:sz w:val="20"/>
          <w:szCs w:val="20"/>
          <w:lang w:val="en-GB"/>
        </w:rPr>
        <w:t>Conduct</w:t>
      </w:r>
      <w:r w:rsidR="001305D4">
        <w:rPr>
          <w:rFonts w:ascii="Arial" w:hAnsi="Arial" w:cs="Arial"/>
          <w:sz w:val="20"/>
          <w:szCs w:val="20"/>
          <w:lang w:val="en-GB"/>
        </w:rPr>
        <w:t>,</w:t>
      </w:r>
      <w:r w:rsidRPr="001C5E0F">
        <w:rPr>
          <w:rFonts w:ascii="Arial" w:hAnsi="Arial" w:cs="Arial"/>
          <w:sz w:val="20"/>
          <w:szCs w:val="20"/>
          <w:lang w:val="en-GB"/>
        </w:rPr>
        <w:t xml:space="preserve"> requiring licensed corporation</w:t>
      </w:r>
      <w:r w:rsidR="005B641D" w:rsidRPr="001C5E0F">
        <w:rPr>
          <w:rFonts w:ascii="Arial" w:hAnsi="Arial" w:cs="Arial"/>
          <w:sz w:val="20"/>
          <w:szCs w:val="20"/>
          <w:lang w:val="en-GB"/>
        </w:rPr>
        <w:t>s</w:t>
      </w:r>
      <w:r w:rsidRPr="001C5E0F">
        <w:rPr>
          <w:rFonts w:ascii="Arial" w:hAnsi="Arial" w:cs="Arial"/>
          <w:sz w:val="20"/>
          <w:szCs w:val="20"/>
          <w:lang w:val="en-GB"/>
        </w:rPr>
        <w:t xml:space="preserve"> to comply with, implement and maintain measures appropriate to ensure compliance with</w:t>
      </w:r>
      <w:r w:rsidR="003F2B8B" w:rsidRPr="003F2B8B">
        <w:rPr>
          <w:rFonts w:ascii="Arial" w:hAnsi="Arial" w:cs="Arial"/>
          <w:sz w:val="20"/>
          <w:szCs w:val="20"/>
        </w:rPr>
        <w:t>,</w:t>
      </w:r>
      <w:r w:rsidRPr="001C5E0F">
        <w:rPr>
          <w:rFonts w:ascii="Arial" w:hAnsi="Arial" w:cs="Arial"/>
          <w:sz w:val="20"/>
          <w:szCs w:val="20"/>
          <w:lang w:val="en-GB"/>
        </w:rPr>
        <w:t xml:space="preserve"> relevant regulatory r</w:t>
      </w:r>
      <w:r w:rsidR="00FD18F6" w:rsidRPr="001C5E0F">
        <w:rPr>
          <w:rFonts w:ascii="Arial" w:hAnsi="Arial" w:cs="Arial"/>
          <w:sz w:val="20"/>
          <w:szCs w:val="20"/>
          <w:lang w:val="en-GB"/>
        </w:rPr>
        <w:t>equirements.</w:t>
      </w:r>
    </w:p>
    <w:p w:rsidR="001C0892" w:rsidRPr="001C5E0F" w:rsidRDefault="001C0892" w:rsidP="00813E7F">
      <w:pPr>
        <w:jc w:val="both"/>
        <w:rPr>
          <w:rFonts w:ascii="Arial" w:hAnsi="Arial" w:cs="Arial"/>
          <w:b/>
          <w:sz w:val="20"/>
          <w:szCs w:val="20"/>
          <w:lang w:val="en-GB"/>
        </w:rPr>
      </w:pPr>
      <w:r w:rsidRPr="001C5E0F">
        <w:rPr>
          <w:rFonts w:ascii="Arial" w:hAnsi="Arial" w:cs="Arial"/>
          <w:b/>
          <w:sz w:val="20"/>
          <w:szCs w:val="20"/>
          <w:lang w:val="en-GB"/>
        </w:rPr>
        <w:t xml:space="preserve">Delays in SFC Notification </w:t>
      </w:r>
    </w:p>
    <w:p w:rsidR="00B0640E" w:rsidRPr="001C5E0F" w:rsidRDefault="00FD18F6" w:rsidP="00813E7F">
      <w:pPr>
        <w:jc w:val="both"/>
        <w:rPr>
          <w:rFonts w:ascii="Arial" w:hAnsi="Arial" w:cs="Arial"/>
          <w:sz w:val="20"/>
          <w:szCs w:val="20"/>
          <w:lang w:val="en-GB"/>
        </w:rPr>
      </w:pPr>
      <w:r w:rsidRPr="001C5E0F">
        <w:rPr>
          <w:rFonts w:ascii="Arial" w:hAnsi="Arial" w:cs="Arial"/>
          <w:sz w:val="20"/>
          <w:szCs w:val="20"/>
          <w:lang w:val="en-GB"/>
        </w:rPr>
        <w:t xml:space="preserve">The SFC found ARCM to be in breach of Paragraph 12.5 (Notifications to the Commission) of the </w:t>
      </w:r>
      <w:r w:rsidR="001C5B12">
        <w:rPr>
          <w:rFonts w:ascii="Arial" w:hAnsi="Arial" w:cs="Arial"/>
          <w:sz w:val="20"/>
          <w:szCs w:val="20"/>
          <w:lang w:val="en-GB"/>
        </w:rPr>
        <w:t xml:space="preserve">SFC </w:t>
      </w:r>
      <w:r w:rsidRPr="001C5E0F">
        <w:rPr>
          <w:rFonts w:ascii="Arial" w:hAnsi="Arial" w:cs="Arial"/>
          <w:sz w:val="20"/>
          <w:szCs w:val="20"/>
          <w:lang w:val="en-GB"/>
        </w:rPr>
        <w:t xml:space="preserve">Code of Conduct </w:t>
      </w:r>
      <w:r w:rsidR="00A63268" w:rsidRPr="001C5E0F">
        <w:rPr>
          <w:rFonts w:ascii="Arial" w:hAnsi="Arial" w:cs="Arial"/>
          <w:sz w:val="20"/>
          <w:szCs w:val="20"/>
          <w:lang w:val="en-GB"/>
        </w:rPr>
        <w:t xml:space="preserve">in having delayed its reporting </w:t>
      </w:r>
      <w:r w:rsidR="00B0640E" w:rsidRPr="001C5E0F">
        <w:rPr>
          <w:rFonts w:ascii="Arial" w:hAnsi="Arial" w:cs="Arial"/>
          <w:sz w:val="20"/>
          <w:szCs w:val="20"/>
          <w:lang w:val="en-GB"/>
        </w:rPr>
        <w:t>of the material breach of</w:t>
      </w:r>
      <w:r w:rsidR="005B641D" w:rsidRPr="001C5E0F">
        <w:rPr>
          <w:rFonts w:ascii="Arial" w:hAnsi="Arial" w:cs="Arial"/>
          <w:sz w:val="20"/>
          <w:szCs w:val="20"/>
          <w:lang w:val="en-GB"/>
        </w:rPr>
        <w:t xml:space="preserve"> the</w:t>
      </w:r>
      <w:r w:rsidR="00B0640E" w:rsidRPr="001C5E0F">
        <w:rPr>
          <w:rFonts w:ascii="Arial" w:hAnsi="Arial" w:cs="Arial"/>
          <w:sz w:val="20"/>
          <w:szCs w:val="20"/>
          <w:lang w:val="en-GB"/>
        </w:rPr>
        <w:t xml:space="preserve"> EU Regulation </w:t>
      </w:r>
      <w:r w:rsidR="00A63268" w:rsidRPr="001C5E0F">
        <w:rPr>
          <w:rFonts w:ascii="Arial" w:hAnsi="Arial" w:cs="Arial"/>
          <w:sz w:val="20"/>
          <w:szCs w:val="20"/>
          <w:lang w:val="en-GB"/>
        </w:rPr>
        <w:t xml:space="preserve">to the SFC. </w:t>
      </w:r>
    </w:p>
    <w:p w:rsidR="00FD18F6" w:rsidRPr="001C5E0F" w:rsidRDefault="00B0640E" w:rsidP="00813E7F">
      <w:pPr>
        <w:jc w:val="both"/>
        <w:rPr>
          <w:rFonts w:ascii="Arial" w:hAnsi="Arial" w:cs="Arial"/>
          <w:sz w:val="20"/>
          <w:szCs w:val="20"/>
          <w:lang w:val="en-GB"/>
        </w:rPr>
      </w:pPr>
      <w:r w:rsidRPr="001C5E0F">
        <w:rPr>
          <w:rFonts w:ascii="Arial" w:hAnsi="Arial" w:cs="Arial"/>
          <w:sz w:val="20"/>
          <w:szCs w:val="20"/>
          <w:lang w:val="en-GB"/>
        </w:rPr>
        <w:t>In November 2019</w:t>
      </w:r>
      <w:r w:rsidR="001C5B12">
        <w:rPr>
          <w:rFonts w:ascii="Arial" w:hAnsi="Arial" w:cs="Arial"/>
          <w:sz w:val="20"/>
          <w:szCs w:val="20"/>
          <w:lang w:val="en-GB"/>
        </w:rPr>
        <w:t>,</w:t>
      </w:r>
      <w:r w:rsidRPr="001C5E0F">
        <w:rPr>
          <w:rFonts w:ascii="Arial" w:hAnsi="Arial" w:cs="Arial"/>
          <w:sz w:val="20"/>
          <w:szCs w:val="20"/>
          <w:lang w:val="en-GB"/>
        </w:rPr>
        <w:t xml:space="preserve"> </w:t>
      </w:r>
      <w:r w:rsidR="00A63268" w:rsidRPr="001C5E0F">
        <w:rPr>
          <w:rFonts w:ascii="Arial" w:hAnsi="Arial" w:cs="Arial"/>
          <w:sz w:val="20"/>
          <w:szCs w:val="20"/>
          <w:lang w:val="en-GB"/>
        </w:rPr>
        <w:t>ARCM</w:t>
      </w:r>
      <w:r w:rsidRPr="001C5E0F">
        <w:rPr>
          <w:rFonts w:ascii="Arial" w:hAnsi="Arial" w:cs="Arial"/>
          <w:sz w:val="20"/>
          <w:szCs w:val="20"/>
          <w:lang w:val="en-GB"/>
        </w:rPr>
        <w:t xml:space="preserve"> was alerted to the EU Regulation by its legal advis</w:t>
      </w:r>
      <w:r w:rsidR="001C5B12">
        <w:rPr>
          <w:rFonts w:ascii="Arial" w:hAnsi="Arial" w:cs="Arial"/>
          <w:sz w:val="20"/>
          <w:szCs w:val="20"/>
          <w:lang w:val="en-GB"/>
        </w:rPr>
        <w:t>e</w:t>
      </w:r>
      <w:r w:rsidRPr="001C5E0F">
        <w:rPr>
          <w:rFonts w:ascii="Arial" w:hAnsi="Arial" w:cs="Arial"/>
          <w:sz w:val="20"/>
          <w:szCs w:val="20"/>
          <w:lang w:val="en-GB"/>
        </w:rPr>
        <w:t>r and</w:t>
      </w:r>
      <w:r w:rsidR="00A63268" w:rsidRPr="001C5E0F">
        <w:rPr>
          <w:rFonts w:ascii="Arial" w:hAnsi="Arial" w:cs="Arial"/>
          <w:sz w:val="20"/>
          <w:szCs w:val="20"/>
          <w:lang w:val="en-GB"/>
        </w:rPr>
        <w:t xml:space="preserve"> became aware of its obligation to make disclosures</w:t>
      </w:r>
      <w:r w:rsidRPr="001C5E0F">
        <w:rPr>
          <w:rFonts w:ascii="Arial" w:hAnsi="Arial" w:cs="Arial"/>
          <w:sz w:val="20"/>
          <w:szCs w:val="20"/>
          <w:lang w:val="en-GB"/>
        </w:rPr>
        <w:t xml:space="preserve"> to the FCA. I</w:t>
      </w:r>
      <w:r w:rsidR="00A63268" w:rsidRPr="001C5E0F">
        <w:rPr>
          <w:rFonts w:ascii="Arial" w:hAnsi="Arial" w:cs="Arial"/>
          <w:sz w:val="20"/>
          <w:szCs w:val="20"/>
          <w:lang w:val="en-GB"/>
        </w:rPr>
        <w:t>t subsequently focused on the preparation of remedial filings and en</w:t>
      </w:r>
      <w:r w:rsidR="00E37ED7" w:rsidRPr="001C5E0F">
        <w:rPr>
          <w:rFonts w:ascii="Arial" w:hAnsi="Arial" w:cs="Arial"/>
          <w:sz w:val="20"/>
          <w:szCs w:val="20"/>
          <w:lang w:val="en-GB"/>
        </w:rPr>
        <w:t>suring the accuracy of the data</w:t>
      </w:r>
      <w:r w:rsidR="001305D4">
        <w:rPr>
          <w:rFonts w:ascii="Arial" w:hAnsi="Arial" w:cs="Arial"/>
          <w:sz w:val="20"/>
          <w:szCs w:val="20"/>
          <w:lang w:val="en-GB"/>
        </w:rPr>
        <w:t>, notifying</w:t>
      </w:r>
      <w:r w:rsidR="00A63268" w:rsidRPr="001C5E0F">
        <w:rPr>
          <w:rFonts w:ascii="Arial" w:hAnsi="Arial" w:cs="Arial"/>
          <w:sz w:val="20"/>
          <w:szCs w:val="20"/>
          <w:lang w:val="en-GB"/>
        </w:rPr>
        <w:t xml:space="preserve"> the FCA of the breach and submitted its remedial filings in late November 2019 and early December 2019</w:t>
      </w:r>
      <w:r w:rsidR="001C5B12">
        <w:rPr>
          <w:rFonts w:ascii="Arial" w:hAnsi="Arial" w:cs="Arial"/>
          <w:sz w:val="20"/>
          <w:szCs w:val="20"/>
          <w:lang w:val="en-GB"/>
        </w:rPr>
        <w:t>,</w:t>
      </w:r>
      <w:r w:rsidR="00A63268" w:rsidRPr="001C5E0F">
        <w:rPr>
          <w:rFonts w:ascii="Arial" w:hAnsi="Arial" w:cs="Arial"/>
          <w:sz w:val="20"/>
          <w:szCs w:val="20"/>
          <w:lang w:val="en-GB"/>
        </w:rPr>
        <w:t xml:space="preserve"> respectively. </w:t>
      </w:r>
      <w:r w:rsidR="00E37ED7" w:rsidRPr="001C5E0F">
        <w:rPr>
          <w:rFonts w:ascii="Arial" w:hAnsi="Arial" w:cs="Arial"/>
          <w:sz w:val="20"/>
          <w:szCs w:val="20"/>
          <w:lang w:val="en-GB"/>
        </w:rPr>
        <w:t>However, t</w:t>
      </w:r>
      <w:r w:rsidR="00A63268" w:rsidRPr="001C5E0F">
        <w:rPr>
          <w:rFonts w:ascii="Arial" w:hAnsi="Arial" w:cs="Arial"/>
          <w:sz w:val="20"/>
          <w:szCs w:val="20"/>
          <w:lang w:val="en-GB"/>
        </w:rPr>
        <w:t>he SFC was n</w:t>
      </w:r>
      <w:r w:rsidRPr="001C5E0F">
        <w:rPr>
          <w:rFonts w:ascii="Arial" w:hAnsi="Arial" w:cs="Arial"/>
          <w:sz w:val="20"/>
          <w:szCs w:val="20"/>
          <w:lang w:val="en-GB"/>
        </w:rPr>
        <w:t xml:space="preserve">ot notified until </w:t>
      </w:r>
      <w:r w:rsidR="00635D09">
        <w:rPr>
          <w:rFonts w:ascii="Arial" w:hAnsi="Arial" w:cs="Arial"/>
          <w:sz w:val="20"/>
          <w:szCs w:val="20"/>
          <w:lang w:val="en-GB"/>
        </w:rPr>
        <w:t xml:space="preserve">16 </w:t>
      </w:r>
      <w:r w:rsidRPr="001C5E0F">
        <w:rPr>
          <w:rFonts w:ascii="Arial" w:hAnsi="Arial" w:cs="Arial"/>
          <w:sz w:val="20"/>
          <w:szCs w:val="20"/>
          <w:lang w:val="en-GB"/>
        </w:rPr>
        <w:t xml:space="preserve">January 2020 and a written notification was not submitted until the day after. </w:t>
      </w:r>
    </w:p>
    <w:p w:rsidR="006520AF" w:rsidRPr="001C5E0F" w:rsidRDefault="006520AF" w:rsidP="00813E7F">
      <w:pPr>
        <w:jc w:val="both"/>
        <w:rPr>
          <w:rFonts w:ascii="Arial" w:hAnsi="Arial" w:cs="Arial"/>
          <w:b/>
          <w:sz w:val="20"/>
          <w:szCs w:val="20"/>
          <w:lang w:val="en-GB"/>
        </w:rPr>
      </w:pPr>
      <w:r w:rsidRPr="001C5E0F">
        <w:rPr>
          <w:rFonts w:ascii="Arial" w:hAnsi="Arial" w:cs="Arial"/>
          <w:b/>
          <w:sz w:val="20"/>
          <w:szCs w:val="20"/>
          <w:lang w:val="en-GB"/>
        </w:rPr>
        <w:t xml:space="preserve">Wong’s Breach </w:t>
      </w:r>
      <w:r w:rsidR="00C61721">
        <w:rPr>
          <w:rFonts w:ascii="Arial" w:hAnsi="Arial" w:cs="Arial"/>
          <w:b/>
          <w:sz w:val="20"/>
          <w:szCs w:val="20"/>
          <w:lang w:val="en-GB"/>
        </w:rPr>
        <w:t>of SFC Code of Conduct</w:t>
      </w:r>
    </w:p>
    <w:p w:rsidR="00B0640E" w:rsidRPr="001C5E0F" w:rsidRDefault="00B0640E" w:rsidP="00813E7F">
      <w:pPr>
        <w:jc w:val="both"/>
        <w:rPr>
          <w:rFonts w:ascii="Arial" w:hAnsi="Arial" w:cs="Arial"/>
          <w:sz w:val="20"/>
          <w:szCs w:val="20"/>
          <w:lang w:val="en-GB"/>
        </w:rPr>
      </w:pPr>
      <w:r w:rsidRPr="001C5E0F">
        <w:rPr>
          <w:rFonts w:ascii="Arial" w:hAnsi="Arial" w:cs="Arial"/>
          <w:sz w:val="20"/>
          <w:szCs w:val="20"/>
          <w:lang w:val="en-GB"/>
        </w:rPr>
        <w:t>Wong</w:t>
      </w:r>
      <w:r w:rsidR="00840F97">
        <w:rPr>
          <w:rFonts w:ascii="Arial" w:hAnsi="Arial" w:cs="Arial"/>
          <w:sz w:val="20"/>
          <w:szCs w:val="20"/>
          <w:lang w:val="en-GB"/>
        </w:rPr>
        <w:t xml:space="preserve"> was</w:t>
      </w:r>
      <w:r w:rsidRPr="001C5E0F">
        <w:rPr>
          <w:rFonts w:ascii="Arial" w:hAnsi="Arial" w:cs="Arial"/>
          <w:sz w:val="20"/>
          <w:szCs w:val="20"/>
          <w:lang w:val="en-GB"/>
        </w:rPr>
        <w:t xml:space="preserve"> </w:t>
      </w:r>
      <w:r w:rsidR="00840F97">
        <w:rPr>
          <w:rFonts w:ascii="Arial" w:hAnsi="Arial" w:cs="Arial"/>
          <w:sz w:val="20"/>
          <w:szCs w:val="20"/>
          <w:lang w:val="en-GB"/>
        </w:rPr>
        <w:t xml:space="preserve">ARCM’s Head of Compliance and Operations, </w:t>
      </w:r>
      <w:r w:rsidR="00E37ED7" w:rsidRPr="001C5E0F">
        <w:rPr>
          <w:rFonts w:ascii="Arial" w:hAnsi="Arial" w:cs="Arial"/>
          <w:sz w:val="20"/>
          <w:szCs w:val="20"/>
          <w:lang w:val="en-GB"/>
        </w:rPr>
        <w:t>Manager-In-</w:t>
      </w:r>
      <w:r w:rsidR="00A63268" w:rsidRPr="001C5E0F">
        <w:rPr>
          <w:rFonts w:ascii="Arial" w:hAnsi="Arial" w:cs="Arial"/>
          <w:sz w:val="20"/>
          <w:szCs w:val="20"/>
          <w:lang w:val="en-GB"/>
        </w:rPr>
        <w:t xml:space="preserve">Charge </w:t>
      </w:r>
      <w:r w:rsidR="00840F97">
        <w:rPr>
          <w:rFonts w:ascii="Arial" w:hAnsi="Arial" w:cs="Arial"/>
          <w:sz w:val="20"/>
          <w:szCs w:val="20"/>
          <w:lang w:val="en-GB"/>
        </w:rPr>
        <w:t xml:space="preserve">for </w:t>
      </w:r>
      <w:r w:rsidR="00A63268" w:rsidRPr="001C5E0F">
        <w:rPr>
          <w:rFonts w:ascii="Arial" w:hAnsi="Arial" w:cs="Arial"/>
          <w:sz w:val="20"/>
          <w:szCs w:val="20"/>
          <w:lang w:val="en-GB"/>
        </w:rPr>
        <w:t>Compliance</w:t>
      </w:r>
      <w:r w:rsidR="00840F97">
        <w:rPr>
          <w:rFonts w:ascii="Arial" w:hAnsi="Arial" w:cs="Arial"/>
          <w:sz w:val="20"/>
          <w:szCs w:val="20"/>
          <w:lang w:val="en-GB"/>
        </w:rPr>
        <w:t>,</w:t>
      </w:r>
      <w:r w:rsidR="00A63268" w:rsidRPr="001C5E0F">
        <w:rPr>
          <w:rFonts w:ascii="Arial" w:hAnsi="Arial" w:cs="Arial"/>
          <w:sz w:val="20"/>
          <w:szCs w:val="20"/>
          <w:lang w:val="en-GB"/>
        </w:rPr>
        <w:t xml:space="preserve"> and a member of its senior management </w:t>
      </w:r>
      <w:r w:rsidRPr="001C5E0F">
        <w:rPr>
          <w:rFonts w:ascii="Arial" w:hAnsi="Arial" w:cs="Arial"/>
          <w:sz w:val="20"/>
          <w:szCs w:val="20"/>
          <w:lang w:val="en-GB"/>
        </w:rPr>
        <w:t>during the relevant period</w:t>
      </w:r>
      <w:r w:rsidR="00840F97">
        <w:rPr>
          <w:rFonts w:ascii="Arial" w:hAnsi="Arial" w:cs="Arial"/>
          <w:sz w:val="20"/>
          <w:szCs w:val="20"/>
          <w:lang w:val="en-GB"/>
        </w:rPr>
        <w:t>. He</w:t>
      </w:r>
      <w:r w:rsidRPr="001C5E0F">
        <w:rPr>
          <w:rFonts w:ascii="Arial" w:hAnsi="Arial" w:cs="Arial"/>
          <w:sz w:val="20"/>
          <w:szCs w:val="20"/>
          <w:lang w:val="en-GB"/>
        </w:rPr>
        <w:t xml:space="preserve"> </w:t>
      </w:r>
      <w:r w:rsidR="00A63268" w:rsidRPr="001C5E0F">
        <w:rPr>
          <w:rFonts w:ascii="Arial" w:hAnsi="Arial" w:cs="Arial"/>
          <w:sz w:val="20"/>
          <w:szCs w:val="20"/>
          <w:lang w:val="en-GB"/>
        </w:rPr>
        <w:t xml:space="preserve">was found to be </w:t>
      </w:r>
      <w:r w:rsidRPr="001C5E0F">
        <w:rPr>
          <w:rFonts w:ascii="Arial" w:hAnsi="Arial" w:cs="Arial"/>
          <w:sz w:val="20"/>
          <w:szCs w:val="20"/>
          <w:lang w:val="en-GB"/>
        </w:rPr>
        <w:t>neglectful</w:t>
      </w:r>
      <w:r w:rsidR="00A63268" w:rsidRPr="001C5E0F">
        <w:rPr>
          <w:rFonts w:ascii="Arial" w:hAnsi="Arial" w:cs="Arial"/>
          <w:sz w:val="20"/>
          <w:szCs w:val="20"/>
          <w:lang w:val="en-GB"/>
        </w:rPr>
        <w:t xml:space="preserve"> in the discharge of his responsibilities, in particular he had failed</w:t>
      </w:r>
      <w:r w:rsidRPr="001C5E0F">
        <w:rPr>
          <w:rFonts w:ascii="Arial" w:hAnsi="Arial" w:cs="Arial"/>
          <w:sz w:val="20"/>
          <w:szCs w:val="20"/>
          <w:lang w:val="en-GB"/>
        </w:rPr>
        <w:t>:</w:t>
      </w:r>
    </w:p>
    <w:p w:rsidR="00B0640E" w:rsidRDefault="00B0640E" w:rsidP="00813E7F">
      <w:pPr>
        <w:pStyle w:val="a4"/>
        <w:numPr>
          <w:ilvl w:val="0"/>
          <w:numId w:val="12"/>
        </w:numPr>
        <w:jc w:val="both"/>
        <w:rPr>
          <w:rFonts w:ascii="Arial" w:hAnsi="Arial" w:cs="Arial"/>
          <w:sz w:val="20"/>
          <w:szCs w:val="20"/>
          <w:lang w:val="en-GB"/>
        </w:rPr>
      </w:pPr>
      <w:r w:rsidRPr="001C5E0F">
        <w:rPr>
          <w:rFonts w:ascii="Arial" w:hAnsi="Arial" w:cs="Arial"/>
          <w:sz w:val="20"/>
          <w:szCs w:val="20"/>
          <w:lang w:val="en-GB"/>
        </w:rPr>
        <w:t xml:space="preserve">to </w:t>
      </w:r>
      <w:r w:rsidR="00E37ED7" w:rsidRPr="001C5E0F">
        <w:rPr>
          <w:rFonts w:ascii="Arial" w:hAnsi="Arial" w:cs="Arial"/>
          <w:sz w:val="20"/>
          <w:szCs w:val="20"/>
          <w:lang w:val="en-GB"/>
        </w:rPr>
        <w:t>i</w:t>
      </w:r>
      <w:r w:rsidR="00A63268" w:rsidRPr="001C5E0F">
        <w:rPr>
          <w:rFonts w:ascii="Arial" w:hAnsi="Arial" w:cs="Arial"/>
          <w:sz w:val="20"/>
          <w:szCs w:val="20"/>
          <w:lang w:val="en-GB"/>
        </w:rPr>
        <w:t>mplement adequate systems and controls to ensure ARCM’s</w:t>
      </w:r>
      <w:r w:rsidR="00D370A4" w:rsidRPr="001C5E0F">
        <w:rPr>
          <w:rFonts w:ascii="Arial" w:hAnsi="Arial" w:cs="Arial"/>
          <w:sz w:val="20"/>
          <w:szCs w:val="20"/>
          <w:lang w:val="en-GB"/>
        </w:rPr>
        <w:t xml:space="preserve"> compliance with </w:t>
      </w:r>
      <w:r w:rsidR="00840F97">
        <w:rPr>
          <w:rFonts w:ascii="Arial" w:hAnsi="Arial" w:cs="Arial"/>
          <w:sz w:val="20"/>
          <w:szCs w:val="20"/>
          <w:lang w:val="en-GB"/>
        </w:rPr>
        <w:t xml:space="preserve">the </w:t>
      </w:r>
      <w:r w:rsidR="00D370A4" w:rsidRPr="001C5E0F">
        <w:rPr>
          <w:rFonts w:ascii="Arial" w:hAnsi="Arial" w:cs="Arial"/>
          <w:sz w:val="20"/>
          <w:szCs w:val="20"/>
          <w:lang w:val="en-GB"/>
        </w:rPr>
        <w:t>E</w:t>
      </w:r>
      <w:r w:rsidR="001305D4">
        <w:rPr>
          <w:rFonts w:ascii="Arial" w:hAnsi="Arial" w:cs="Arial"/>
          <w:sz w:val="20"/>
          <w:szCs w:val="20"/>
          <w:lang w:val="en-GB"/>
        </w:rPr>
        <w:t>U Regulation; and</w:t>
      </w:r>
    </w:p>
    <w:p w:rsidR="001305D4" w:rsidRPr="001C5E0F" w:rsidRDefault="001305D4" w:rsidP="00813E7F">
      <w:pPr>
        <w:pStyle w:val="a4"/>
        <w:jc w:val="both"/>
        <w:rPr>
          <w:rFonts w:ascii="Arial" w:hAnsi="Arial" w:cs="Arial"/>
          <w:sz w:val="20"/>
          <w:szCs w:val="20"/>
          <w:lang w:val="en-GB"/>
        </w:rPr>
      </w:pPr>
    </w:p>
    <w:p w:rsidR="00A63268" w:rsidRPr="001C5E0F" w:rsidRDefault="001305D4" w:rsidP="00813E7F">
      <w:pPr>
        <w:pStyle w:val="a4"/>
        <w:numPr>
          <w:ilvl w:val="0"/>
          <w:numId w:val="12"/>
        </w:numPr>
        <w:jc w:val="both"/>
        <w:rPr>
          <w:rFonts w:ascii="Arial" w:hAnsi="Arial" w:cs="Arial"/>
          <w:sz w:val="20"/>
          <w:szCs w:val="20"/>
          <w:lang w:val="en-GB"/>
        </w:rPr>
      </w:pPr>
      <w:r>
        <w:rPr>
          <w:rFonts w:ascii="Arial" w:hAnsi="Arial" w:cs="Arial"/>
          <w:sz w:val="20"/>
          <w:szCs w:val="20"/>
          <w:lang w:val="en-GB"/>
        </w:rPr>
        <w:t xml:space="preserve">to </w:t>
      </w:r>
      <w:r w:rsidR="00D370A4" w:rsidRPr="001C5E0F">
        <w:rPr>
          <w:rFonts w:ascii="Arial" w:hAnsi="Arial" w:cs="Arial"/>
          <w:sz w:val="20"/>
          <w:szCs w:val="20"/>
          <w:lang w:val="en-GB"/>
        </w:rPr>
        <w:t>s</w:t>
      </w:r>
      <w:r w:rsidR="00A63268" w:rsidRPr="001C5E0F">
        <w:rPr>
          <w:rFonts w:ascii="Arial" w:hAnsi="Arial" w:cs="Arial"/>
          <w:sz w:val="20"/>
          <w:szCs w:val="20"/>
          <w:lang w:val="en-GB"/>
        </w:rPr>
        <w:t>eek legal advice on the reporting obligations for ARCM in relation to the short position</w:t>
      </w:r>
      <w:r w:rsidR="00B0640E" w:rsidRPr="001C5E0F">
        <w:rPr>
          <w:rFonts w:ascii="Arial" w:hAnsi="Arial" w:cs="Arial"/>
          <w:sz w:val="20"/>
          <w:szCs w:val="20"/>
          <w:lang w:val="en-GB"/>
        </w:rPr>
        <w:t xml:space="preserve"> in Premier Oil</w:t>
      </w:r>
      <w:r w:rsidR="00A63268" w:rsidRPr="001C5E0F">
        <w:rPr>
          <w:rFonts w:ascii="Arial" w:hAnsi="Arial" w:cs="Arial"/>
          <w:sz w:val="20"/>
          <w:szCs w:val="20"/>
          <w:lang w:val="en-GB"/>
        </w:rPr>
        <w:t xml:space="preserve">, </w:t>
      </w:r>
      <w:r w:rsidR="008C512D">
        <w:rPr>
          <w:rFonts w:ascii="Arial" w:hAnsi="Arial" w:cs="Arial"/>
          <w:sz w:val="20"/>
          <w:szCs w:val="20"/>
          <w:lang w:val="en-GB"/>
        </w:rPr>
        <w:t xml:space="preserve">or to instruct the compliance and operations team to do so, </w:t>
      </w:r>
      <w:r w:rsidR="002212C0">
        <w:rPr>
          <w:rFonts w:ascii="Arial" w:hAnsi="Arial" w:cs="Arial"/>
          <w:sz w:val="20"/>
          <w:szCs w:val="20"/>
          <w:lang w:val="en-GB"/>
        </w:rPr>
        <w:t>de</w:t>
      </w:r>
      <w:r w:rsidR="00A63268" w:rsidRPr="001C5E0F">
        <w:rPr>
          <w:rFonts w:ascii="Arial" w:hAnsi="Arial" w:cs="Arial"/>
          <w:sz w:val="20"/>
          <w:szCs w:val="20"/>
          <w:lang w:val="en-GB"/>
        </w:rPr>
        <w:t xml:space="preserve">spite </w:t>
      </w:r>
      <w:r w:rsidR="002212C0">
        <w:rPr>
          <w:rFonts w:ascii="Arial" w:hAnsi="Arial" w:cs="Arial"/>
          <w:sz w:val="20"/>
          <w:szCs w:val="20"/>
          <w:lang w:val="en-GB"/>
        </w:rPr>
        <w:t>the investment being in a new jurisdiction and Wong and his team’s</w:t>
      </w:r>
      <w:r w:rsidR="00D370A4" w:rsidRPr="001C5E0F">
        <w:rPr>
          <w:rFonts w:ascii="Arial" w:hAnsi="Arial" w:cs="Arial"/>
          <w:sz w:val="20"/>
          <w:szCs w:val="20"/>
          <w:lang w:val="en-GB"/>
        </w:rPr>
        <w:t xml:space="preserve"> </w:t>
      </w:r>
      <w:r w:rsidR="00A63268" w:rsidRPr="001C5E0F">
        <w:rPr>
          <w:rFonts w:ascii="Arial" w:hAnsi="Arial" w:cs="Arial"/>
          <w:sz w:val="20"/>
          <w:szCs w:val="20"/>
          <w:lang w:val="en-GB"/>
        </w:rPr>
        <w:t>unfamiliarity with the reporting regime in the EU</w:t>
      </w:r>
      <w:r w:rsidR="002212C0">
        <w:rPr>
          <w:rFonts w:ascii="Arial" w:hAnsi="Arial" w:cs="Arial"/>
          <w:sz w:val="20"/>
          <w:szCs w:val="20"/>
          <w:lang w:val="en-GB"/>
        </w:rPr>
        <w:t>.</w:t>
      </w:r>
    </w:p>
    <w:p w:rsidR="00D370A4" w:rsidRDefault="00D370A4" w:rsidP="00813E7F">
      <w:pPr>
        <w:jc w:val="both"/>
        <w:rPr>
          <w:rFonts w:ascii="Arial" w:hAnsi="Arial" w:cs="Arial"/>
          <w:sz w:val="20"/>
          <w:szCs w:val="20"/>
          <w:lang w:val="en-GB"/>
        </w:rPr>
      </w:pPr>
      <w:r w:rsidRPr="001C5E0F">
        <w:rPr>
          <w:rFonts w:ascii="Arial" w:hAnsi="Arial" w:cs="Arial"/>
          <w:sz w:val="20"/>
          <w:szCs w:val="20"/>
          <w:lang w:val="en-GB"/>
        </w:rPr>
        <w:t>Wong had thus breached General Principle 9</w:t>
      </w:r>
      <w:r w:rsidR="002212C0">
        <w:rPr>
          <w:rFonts w:ascii="Arial" w:hAnsi="Arial" w:cs="Arial"/>
          <w:sz w:val="20"/>
          <w:szCs w:val="20"/>
          <w:lang w:val="en-GB"/>
        </w:rPr>
        <w:t xml:space="preserve"> </w:t>
      </w:r>
      <w:r w:rsidRPr="001C5E0F">
        <w:rPr>
          <w:rFonts w:ascii="Arial" w:hAnsi="Arial" w:cs="Arial"/>
          <w:sz w:val="20"/>
          <w:szCs w:val="20"/>
          <w:lang w:val="en-GB"/>
        </w:rPr>
        <w:t xml:space="preserve">(Responsibility of </w:t>
      </w:r>
      <w:r w:rsidR="002212C0">
        <w:rPr>
          <w:rFonts w:ascii="Arial" w:hAnsi="Arial" w:cs="Arial"/>
          <w:sz w:val="20"/>
          <w:szCs w:val="20"/>
          <w:lang w:val="en-GB"/>
        </w:rPr>
        <w:t>s</w:t>
      </w:r>
      <w:r w:rsidRPr="001C5E0F">
        <w:rPr>
          <w:rFonts w:ascii="Arial" w:hAnsi="Arial" w:cs="Arial"/>
          <w:sz w:val="20"/>
          <w:szCs w:val="20"/>
          <w:lang w:val="en-GB"/>
        </w:rPr>
        <w:t xml:space="preserve">enior </w:t>
      </w:r>
      <w:r w:rsidR="002212C0">
        <w:rPr>
          <w:rFonts w:ascii="Arial" w:hAnsi="Arial" w:cs="Arial"/>
          <w:sz w:val="20"/>
          <w:szCs w:val="20"/>
          <w:lang w:val="en-GB"/>
        </w:rPr>
        <w:t>m</w:t>
      </w:r>
      <w:r w:rsidRPr="001C5E0F">
        <w:rPr>
          <w:rFonts w:ascii="Arial" w:hAnsi="Arial" w:cs="Arial"/>
          <w:sz w:val="20"/>
          <w:szCs w:val="20"/>
          <w:lang w:val="en-GB"/>
        </w:rPr>
        <w:t xml:space="preserve">anagement) </w:t>
      </w:r>
      <w:r w:rsidR="00B0640E" w:rsidRPr="001C5E0F">
        <w:rPr>
          <w:rFonts w:ascii="Arial" w:hAnsi="Arial" w:cs="Arial"/>
          <w:sz w:val="20"/>
          <w:szCs w:val="20"/>
          <w:lang w:val="en-GB"/>
        </w:rPr>
        <w:t xml:space="preserve">of the </w:t>
      </w:r>
      <w:r w:rsidR="002212C0">
        <w:rPr>
          <w:rFonts w:ascii="Arial" w:hAnsi="Arial" w:cs="Arial"/>
          <w:sz w:val="20"/>
          <w:szCs w:val="20"/>
          <w:lang w:val="en-GB"/>
        </w:rPr>
        <w:t xml:space="preserve">SFC </w:t>
      </w:r>
      <w:r w:rsidR="00B0640E" w:rsidRPr="001C5E0F">
        <w:rPr>
          <w:rFonts w:ascii="Arial" w:hAnsi="Arial" w:cs="Arial"/>
          <w:sz w:val="20"/>
          <w:szCs w:val="20"/>
          <w:lang w:val="en-GB"/>
        </w:rPr>
        <w:t xml:space="preserve">Code of Conduct </w:t>
      </w:r>
      <w:r w:rsidRPr="001C5E0F">
        <w:rPr>
          <w:rFonts w:ascii="Arial" w:hAnsi="Arial" w:cs="Arial"/>
          <w:sz w:val="20"/>
          <w:szCs w:val="20"/>
          <w:lang w:val="en-GB"/>
        </w:rPr>
        <w:t xml:space="preserve">which requires </w:t>
      </w:r>
      <w:r w:rsidRPr="00DD25A9">
        <w:rPr>
          <w:rFonts w:ascii="Arial" w:hAnsi="Arial" w:cs="Arial"/>
          <w:sz w:val="20"/>
          <w:szCs w:val="20"/>
          <w:lang w:val="en-GB"/>
        </w:rPr>
        <w:t>senior management of a licensed corporation to bear primary responsibility for ensuring the maintenance of appropriate standards of conduct and adherence to proper procedures by the firm</w:t>
      </w:r>
      <w:r w:rsidR="00B0640E" w:rsidRPr="00016A34">
        <w:rPr>
          <w:rFonts w:ascii="Arial" w:hAnsi="Arial" w:cs="Arial"/>
          <w:sz w:val="20"/>
          <w:szCs w:val="20"/>
          <w:lang w:val="en-GB"/>
        </w:rPr>
        <w:t>,</w:t>
      </w:r>
      <w:r w:rsidR="00B0640E" w:rsidRPr="001C5E0F">
        <w:rPr>
          <w:rFonts w:ascii="Arial" w:hAnsi="Arial" w:cs="Arial"/>
          <w:sz w:val="20"/>
          <w:szCs w:val="20"/>
          <w:lang w:val="en-GB"/>
        </w:rPr>
        <w:t xml:space="preserve"> and Paragraph 14</w:t>
      </w:r>
      <w:r w:rsidRPr="001C5E0F">
        <w:rPr>
          <w:rFonts w:ascii="Arial" w:hAnsi="Arial" w:cs="Arial"/>
          <w:sz w:val="20"/>
          <w:szCs w:val="20"/>
          <w:lang w:val="en-GB"/>
        </w:rPr>
        <w:t>.1 (Resp</w:t>
      </w:r>
      <w:r w:rsidR="00493EA8" w:rsidRPr="001C5E0F">
        <w:rPr>
          <w:rFonts w:ascii="Arial" w:hAnsi="Arial" w:cs="Arial"/>
          <w:sz w:val="20"/>
          <w:szCs w:val="20"/>
          <w:lang w:val="en-GB"/>
        </w:rPr>
        <w:t xml:space="preserve">onsibility of </w:t>
      </w:r>
      <w:r w:rsidR="002212C0">
        <w:rPr>
          <w:rFonts w:ascii="Arial" w:hAnsi="Arial" w:cs="Arial"/>
          <w:sz w:val="20"/>
          <w:szCs w:val="20"/>
          <w:lang w:val="en-GB"/>
        </w:rPr>
        <w:t>s</w:t>
      </w:r>
      <w:r w:rsidR="00493EA8" w:rsidRPr="001C5E0F">
        <w:rPr>
          <w:rFonts w:ascii="Arial" w:hAnsi="Arial" w:cs="Arial"/>
          <w:sz w:val="20"/>
          <w:szCs w:val="20"/>
          <w:lang w:val="en-GB"/>
        </w:rPr>
        <w:t xml:space="preserve">enior </w:t>
      </w:r>
      <w:r w:rsidR="002212C0">
        <w:rPr>
          <w:rFonts w:ascii="Arial" w:hAnsi="Arial" w:cs="Arial"/>
          <w:sz w:val="20"/>
          <w:szCs w:val="20"/>
          <w:lang w:val="en-GB"/>
        </w:rPr>
        <w:t>m</w:t>
      </w:r>
      <w:r w:rsidR="00B0640E" w:rsidRPr="001C5E0F">
        <w:rPr>
          <w:rFonts w:ascii="Arial" w:hAnsi="Arial" w:cs="Arial"/>
          <w:sz w:val="20"/>
          <w:szCs w:val="20"/>
          <w:lang w:val="en-GB"/>
        </w:rPr>
        <w:t xml:space="preserve">anagement) of the </w:t>
      </w:r>
      <w:r w:rsidR="002212C0">
        <w:rPr>
          <w:rFonts w:ascii="Arial" w:hAnsi="Arial" w:cs="Arial"/>
          <w:sz w:val="20"/>
          <w:szCs w:val="20"/>
          <w:lang w:val="en-GB"/>
        </w:rPr>
        <w:t xml:space="preserve">SFC </w:t>
      </w:r>
      <w:r w:rsidR="00B0640E" w:rsidRPr="001C5E0F">
        <w:rPr>
          <w:rFonts w:ascii="Arial" w:hAnsi="Arial" w:cs="Arial"/>
          <w:sz w:val="20"/>
          <w:szCs w:val="20"/>
          <w:lang w:val="en-GB"/>
        </w:rPr>
        <w:t xml:space="preserve">Code of Conduct </w:t>
      </w:r>
      <w:r w:rsidRPr="001C5E0F">
        <w:rPr>
          <w:rFonts w:ascii="Arial" w:hAnsi="Arial" w:cs="Arial"/>
          <w:sz w:val="20"/>
          <w:szCs w:val="20"/>
          <w:lang w:val="en-GB"/>
        </w:rPr>
        <w:t>which requires senior management of a licensed corporation to properly manage the risks associated with the firm’s business</w:t>
      </w:r>
      <w:r w:rsidR="00B0640E" w:rsidRPr="001C5E0F">
        <w:rPr>
          <w:rFonts w:ascii="Arial" w:hAnsi="Arial" w:cs="Arial"/>
          <w:sz w:val="20"/>
          <w:szCs w:val="20"/>
          <w:lang w:val="en-GB"/>
        </w:rPr>
        <w:t>.</w:t>
      </w:r>
      <w:r w:rsidRPr="001C5E0F">
        <w:rPr>
          <w:rFonts w:ascii="Arial" w:hAnsi="Arial" w:cs="Arial"/>
          <w:sz w:val="20"/>
          <w:szCs w:val="20"/>
          <w:lang w:val="en-GB"/>
        </w:rPr>
        <w:t xml:space="preserve"> </w:t>
      </w:r>
    </w:p>
    <w:p w:rsidR="009C7CFC" w:rsidRPr="001C5E0F" w:rsidRDefault="009C7CFC" w:rsidP="00813E7F">
      <w:pPr>
        <w:jc w:val="both"/>
        <w:rPr>
          <w:rFonts w:ascii="Arial" w:hAnsi="Arial" w:cs="Arial"/>
          <w:sz w:val="20"/>
          <w:szCs w:val="20"/>
          <w:lang w:val="en-GB"/>
        </w:rPr>
      </w:pPr>
      <w:r>
        <w:rPr>
          <w:rFonts w:ascii="Arial" w:hAnsi="Arial" w:cs="Arial"/>
          <w:sz w:val="20"/>
          <w:szCs w:val="20"/>
          <w:lang w:val="en-GB"/>
        </w:rPr>
        <w:lastRenderedPageBreak/>
        <w:t xml:space="preserve">The SFC determined that the fitness and properness of ARCM and Wong to carry on regulated activities had been called into question.  </w:t>
      </w:r>
    </w:p>
    <w:p w:rsidR="00D370A4" w:rsidRPr="001C5E0F" w:rsidRDefault="00D370A4" w:rsidP="00813E7F">
      <w:pPr>
        <w:jc w:val="both"/>
        <w:rPr>
          <w:rFonts w:ascii="Arial" w:hAnsi="Arial" w:cs="Arial"/>
          <w:sz w:val="20"/>
          <w:szCs w:val="20"/>
          <w:lang w:val="en-GB"/>
        </w:rPr>
      </w:pPr>
      <w:r w:rsidRPr="001C5E0F">
        <w:rPr>
          <w:rFonts w:ascii="Arial" w:hAnsi="Arial" w:cs="Arial"/>
          <w:sz w:val="20"/>
          <w:szCs w:val="20"/>
          <w:lang w:val="en-GB"/>
        </w:rPr>
        <w:t xml:space="preserve">In reaching its decision to </w:t>
      </w:r>
      <w:r w:rsidR="009C52D3" w:rsidRPr="001C5E0F">
        <w:rPr>
          <w:rFonts w:ascii="Arial" w:hAnsi="Arial" w:cs="Arial"/>
          <w:sz w:val="20"/>
          <w:szCs w:val="20"/>
          <w:lang w:val="en-GB"/>
        </w:rPr>
        <w:t>reprimand and fine ARCM</w:t>
      </w:r>
      <w:r w:rsidRPr="001C5E0F">
        <w:rPr>
          <w:rFonts w:ascii="Arial" w:hAnsi="Arial" w:cs="Arial"/>
          <w:sz w:val="20"/>
          <w:szCs w:val="20"/>
          <w:lang w:val="en-GB"/>
        </w:rPr>
        <w:t xml:space="preserve"> and suspend Wong, the SFC took into account the following relevant circumstances: </w:t>
      </w:r>
    </w:p>
    <w:p w:rsidR="00D370A4" w:rsidRPr="001C5E0F" w:rsidRDefault="009C52D3" w:rsidP="00813E7F">
      <w:pPr>
        <w:pStyle w:val="a4"/>
        <w:numPr>
          <w:ilvl w:val="0"/>
          <w:numId w:val="6"/>
        </w:numPr>
        <w:jc w:val="both"/>
        <w:rPr>
          <w:rFonts w:ascii="Arial" w:hAnsi="Arial" w:cs="Arial"/>
          <w:sz w:val="20"/>
          <w:szCs w:val="20"/>
          <w:lang w:val="en-GB"/>
        </w:rPr>
      </w:pPr>
      <w:r w:rsidRPr="001C5E0F">
        <w:rPr>
          <w:rFonts w:ascii="Arial" w:hAnsi="Arial" w:cs="Arial"/>
          <w:sz w:val="20"/>
          <w:szCs w:val="20"/>
          <w:lang w:val="en-GB"/>
        </w:rPr>
        <w:t>ARCM’s and Wong’s</w:t>
      </w:r>
      <w:r w:rsidR="00D370A4" w:rsidRPr="001C5E0F">
        <w:rPr>
          <w:rFonts w:ascii="Arial" w:hAnsi="Arial" w:cs="Arial"/>
          <w:sz w:val="20"/>
          <w:szCs w:val="20"/>
          <w:lang w:val="en-GB"/>
        </w:rPr>
        <w:t xml:space="preserve"> clean SFC disciplinary record</w:t>
      </w:r>
      <w:r w:rsidRPr="001C5E0F">
        <w:rPr>
          <w:rFonts w:ascii="Arial" w:hAnsi="Arial" w:cs="Arial"/>
          <w:sz w:val="20"/>
          <w:szCs w:val="20"/>
          <w:lang w:val="en-GB"/>
        </w:rPr>
        <w:t>;</w:t>
      </w:r>
      <w:r w:rsidR="00D370A4" w:rsidRPr="001C5E0F">
        <w:rPr>
          <w:rFonts w:ascii="Arial" w:hAnsi="Arial" w:cs="Arial"/>
          <w:sz w:val="20"/>
          <w:szCs w:val="20"/>
          <w:lang w:val="en-GB"/>
        </w:rPr>
        <w:t xml:space="preserve"> </w:t>
      </w:r>
    </w:p>
    <w:p w:rsidR="003B7E90" w:rsidRPr="001C5E0F" w:rsidRDefault="003B7E90" w:rsidP="00813E7F">
      <w:pPr>
        <w:pStyle w:val="a4"/>
        <w:jc w:val="both"/>
        <w:rPr>
          <w:rFonts w:ascii="Arial" w:hAnsi="Arial" w:cs="Arial"/>
          <w:sz w:val="20"/>
          <w:szCs w:val="20"/>
          <w:lang w:val="en-GB"/>
        </w:rPr>
      </w:pPr>
    </w:p>
    <w:p w:rsidR="00D370A4" w:rsidRPr="001C5E0F" w:rsidRDefault="009C52D3" w:rsidP="00813E7F">
      <w:pPr>
        <w:pStyle w:val="a4"/>
        <w:numPr>
          <w:ilvl w:val="0"/>
          <w:numId w:val="6"/>
        </w:numPr>
        <w:jc w:val="both"/>
        <w:rPr>
          <w:rFonts w:ascii="Arial" w:hAnsi="Arial" w:cs="Arial"/>
          <w:sz w:val="20"/>
          <w:szCs w:val="20"/>
          <w:lang w:val="en-GB"/>
        </w:rPr>
      </w:pPr>
      <w:r w:rsidRPr="001C5E0F">
        <w:rPr>
          <w:rFonts w:ascii="Arial" w:hAnsi="Arial" w:cs="Arial"/>
          <w:sz w:val="20"/>
          <w:szCs w:val="20"/>
          <w:lang w:val="en-GB"/>
        </w:rPr>
        <w:t>t</w:t>
      </w:r>
      <w:r w:rsidR="00D370A4" w:rsidRPr="001C5E0F">
        <w:rPr>
          <w:rFonts w:ascii="Arial" w:hAnsi="Arial" w:cs="Arial"/>
          <w:sz w:val="20"/>
          <w:szCs w:val="20"/>
          <w:lang w:val="en-GB"/>
        </w:rPr>
        <w:t>he cooperation of ARCM and Wong in resolving the SFC’s concerns</w:t>
      </w:r>
      <w:r w:rsidRPr="001C5E0F">
        <w:rPr>
          <w:rFonts w:ascii="Arial" w:hAnsi="Arial" w:cs="Arial"/>
          <w:sz w:val="20"/>
          <w:szCs w:val="20"/>
          <w:lang w:val="en-GB"/>
        </w:rPr>
        <w:t>;</w:t>
      </w:r>
    </w:p>
    <w:p w:rsidR="003B7E90" w:rsidRPr="001C5E0F" w:rsidRDefault="003B7E90" w:rsidP="00813E7F">
      <w:pPr>
        <w:pStyle w:val="a4"/>
        <w:jc w:val="both"/>
        <w:rPr>
          <w:rFonts w:ascii="Arial" w:hAnsi="Arial" w:cs="Arial"/>
          <w:sz w:val="20"/>
          <w:szCs w:val="20"/>
          <w:lang w:val="en-GB"/>
        </w:rPr>
      </w:pPr>
    </w:p>
    <w:p w:rsidR="00D370A4" w:rsidRPr="001C5E0F" w:rsidRDefault="009C52D3" w:rsidP="00813E7F">
      <w:pPr>
        <w:pStyle w:val="a4"/>
        <w:numPr>
          <w:ilvl w:val="0"/>
          <w:numId w:val="6"/>
        </w:numPr>
        <w:jc w:val="both"/>
        <w:rPr>
          <w:rFonts w:ascii="Arial" w:hAnsi="Arial" w:cs="Arial"/>
          <w:sz w:val="20"/>
          <w:szCs w:val="20"/>
          <w:lang w:val="en-GB"/>
        </w:rPr>
      </w:pPr>
      <w:r w:rsidRPr="001C5E0F">
        <w:rPr>
          <w:rFonts w:ascii="Arial" w:hAnsi="Arial" w:cs="Arial"/>
          <w:sz w:val="20"/>
          <w:szCs w:val="20"/>
          <w:lang w:val="en-GB"/>
        </w:rPr>
        <w:t>t</w:t>
      </w:r>
      <w:r w:rsidR="00D370A4" w:rsidRPr="001C5E0F">
        <w:rPr>
          <w:rFonts w:ascii="Arial" w:hAnsi="Arial" w:cs="Arial"/>
          <w:sz w:val="20"/>
          <w:szCs w:val="20"/>
          <w:lang w:val="en-GB"/>
        </w:rPr>
        <w:t>he FCA penalty imposed on ARCM for its breach</w:t>
      </w:r>
      <w:r w:rsidR="000F1817" w:rsidRPr="001C5E0F">
        <w:rPr>
          <w:rFonts w:ascii="Arial" w:hAnsi="Arial" w:cs="Arial"/>
          <w:sz w:val="20"/>
          <w:szCs w:val="20"/>
          <w:lang w:val="en-GB"/>
        </w:rPr>
        <w:t>es</w:t>
      </w:r>
      <w:r w:rsidR="00D370A4" w:rsidRPr="001C5E0F">
        <w:rPr>
          <w:rFonts w:ascii="Arial" w:hAnsi="Arial" w:cs="Arial"/>
          <w:sz w:val="20"/>
          <w:szCs w:val="20"/>
          <w:lang w:val="en-GB"/>
        </w:rPr>
        <w:t xml:space="preserve"> of the EU Regulation</w:t>
      </w:r>
      <w:r w:rsidRPr="001C5E0F">
        <w:rPr>
          <w:rFonts w:ascii="Arial" w:hAnsi="Arial" w:cs="Arial"/>
          <w:sz w:val="20"/>
          <w:szCs w:val="20"/>
          <w:lang w:val="en-GB"/>
        </w:rPr>
        <w:t>; and</w:t>
      </w:r>
    </w:p>
    <w:p w:rsidR="003B7E90" w:rsidRPr="001C5E0F" w:rsidRDefault="003B7E90" w:rsidP="00813E7F">
      <w:pPr>
        <w:pStyle w:val="a4"/>
        <w:jc w:val="both"/>
        <w:rPr>
          <w:rFonts w:ascii="Arial" w:hAnsi="Arial" w:cs="Arial"/>
          <w:sz w:val="20"/>
          <w:szCs w:val="20"/>
          <w:lang w:val="en-GB"/>
        </w:rPr>
      </w:pPr>
    </w:p>
    <w:p w:rsidR="00D370A4" w:rsidRPr="001C5E0F" w:rsidRDefault="00D370A4" w:rsidP="00813E7F">
      <w:pPr>
        <w:pStyle w:val="a4"/>
        <w:numPr>
          <w:ilvl w:val="0"/>
          <w:numId w:val="6"/>
        </w:numPr>
        <w:jc w:val="both"/>
        <w:rPr>
          <w:rFonts w:ascii="Arial" w:hAnsi="Arial" w:cs="Arial"/>
          <w:sz w:val="20"/>
          <w:szCs w:val="20"/>
          <w:lang w:val="en-GB"/>
        </w:rPr>
      </w:pPr>
      <w:r w:rsidRPr="001C5E0F">
        <w:rPr>
          <w:rFonts w:ascii="Arial" w:hAnsi="Arial" w:cs="Arial"/>
          <w:sz w:val="20"/>
          <w:szCs w:val="20"/>
          <w:lang w:val="en-GB"/>
        </w:rPr>
        <w:t xml:space="preserve">ARCM had itself taken remedial steps to enhance internal controls to avoid recurrence of a similar breach. </w:t>
      </w:r>
    </w:p>
    <w:p w:rsidR="008F73F5" w:rsidRPr="001C5E0F" w:rsidRDefault="008B4F87">
      <w:pPr>
        <w:jc w:val="both"/>
        <w:rPr>
          <w:rFonts w:ascii="Arial" w:hAnsi="Arial" w:cs="Arial"/>
          <w:b/>
          <w:color w:val="FF0000"/>
          <w:sz w:val="20"/>
          <w:szCs w:val="20"/>
          <w:lang w:val="en-GB"/>
        </w:rPr>
      </w:pPr>
      <w:r w:rsidRPr="001C5E0F">
        <w:rPr>
          <w:rFonts w:ascii="Arial" w:hAnsi="Arial" w:cs="Arial"/>
          <w:sz w:val="20"/>
          <w:szCs w:val="20"/>
          <w:lang w:val="en-GB"/>
        </w:rPr>
        <w:t xml:space="preserve">The SFC’s Statement of Disciplinary Action is available on the SFC website </w:t>
      </w:r>
      <w:hyperlink r:id="rId12" w:history="1">
        <w:r w:rsidRPr="001C5E0F">
          <w:rPr>
            <w:rStyle w:val="a3"/>
            <w:rFonts w:ascii="Arial" w:hAnsi="Arial" w:cs="Arial"/>
            <w:color w:val="FF0000"/>
            <w:sz w:val="20"/>
            <w:szCs w:val="20"/>
            <w:u w:val="none"/>
            <w:lang w:val="en-GB"/>
          </w:rPr>
          <w:t>here</w:t>
        </w:r>
      </w:hyperlink>
      <w:r w:rsidRPr="001C5E0F">
        <w:rPr>
          <w:rFonts w:ascii="Arial" w:hAnsi="Arial" w:cs="Arial"/>
          <w:sz w:val="20"/>
          <w:szCs w:val="20"/>
          <w:lang w:val="en-GB"/>
        </w:rPr>
        <w:t>.</w:t>
      </w:r>
    </w:p>
    <w:p w:rsidR="008F73F5" w:rsidRPr="001C5E0F" w:rsidRDefault="008F73F5" w:rsidP="00813E7F">
      <w:pPr>
        <w:jc w:val="both"/>
        <w:rPr>
          <w:rFonts w:ascii="Arial" w:hAnsi="Arial" w:cs="Arial"/>
          <w:b/>
          <w:color w:val="FF0000"/>
          <w:sz w:val="20"/>
          <w:szCs w:val="20"/>
          <w:lang w:val="en-GB"/>
        </w:rPr>
      </w:pPr>
      <w:r w:rsidRPr="001C5E0F">
        <w:rPr>
          <w:rFonts w:ascii="Arial" w:hAnsi="Arial" w:cs="Arial"/>
          <w:b/>
          <w:color w:val="FF0000"/>
          <w:sz w:val="20"/>
          <w:szCs w:val="20"/>
          <w:lang w:val="en-GB"/>
        </w:rPr>
        <w:t xml:space="preserve">SFC Bans Tang Shiyi for 10 months </w:t>
      </w:r>
    </w:p>
    <w:p w:rsidR="00FD1DAB" w:rsidRPr="001C5E0F" w:rsidRDefault="00AE59D3" w:rsidP="00813E7F">
      <w:pPr>
        <w:jc w:val="both"/>
        <w:rPr>
          <w:rFonts w:ascii="Arial" w:hAnsi="Arial" w:cs="Arial"/>
          <w:sz w:val="20"/>
          <w:szCs w:val="20"/>
          <w:lang w:val="en-GB"/>
        </w:rPr>
      </w:pPr>
      <w:r w:rsidRPr="001C5E0F">
        <w:rPr>
          <w:rFonts w:ascii="Arial" w:hAnsi="Arial" w:cs="Arial"/>
          <w:sz w:val="20"/>
          <w:szCs w:val="20"/>
          <w:lang w:val="en-GB"/>
        </w:rPr>
        <w:t>On 31 October 2022</w:t>
      </w:r>
      <w:r w:rsidR="00F25D0F">
        <w:rPr>
          <w:rFonts w:ascii="Arial" w:hAnsi="Arial" w:cs="Arial"/>
          <w:sz w:val="20"/>
          <w:szCs w:val="20"/>
          <w:lang w:val="en-GB"/>
        </w:rPr>
        <w:t>,</w:t>
      </w:r>
      <w:r w:rsidRPr="001C5E0F">
        <w:rPr>
          <w:rFonts w:ascii="Arial" w:hAnsi="Arial" w:cs="Arial"/>
          <w:sz w:val="20"/>
          <w:szCs w:val="20"/>
          <w:lang w:val="en-GB"/>
        </w:rPr>
        <w:t xml:space="preserve"> the SFC announced that it </w:t>
      </w:r>
      <w:r w:rsidR="00FD1DAB" w:rsidRPr="001C5E0F">
        <w:rPr>
          <w:rFonts w:ascii="Arial" w:hAnsi="Arial" w:cs="Arial"/>
          <w:sz w:val="20"/>
          <w:szCs w:val="20"/>
          <w:lang w:val="en-GB"/>
        </w:rPr>
        <w:t>had suspended Ms Tang Shiyi</w:t>
      </w:r>
      <w:r w:rsidR="00A53B3D" w:rsidRPr="001C5E0F">
        <w:rPr>
          <w:rFonts w:ascii="Arial" w:hAnsi="Arial" w:cs="Arial"/>
          <w:sz w:val="20"/>
          <w:szCs w:val="20"/>
          <w:lang w:val="en-GB"/>
        </w:rPr>
        <w:t xml:space="preserve"> (</w:t>
      </w:r>
      <w:r w:rsidR="00A53B3D" w:rsidRPr="001C5E0F">
        <w:rPr>
          <w:rFonts w:ascii="Arial" w:hAnsi="Arial" w:cs="Arial"/>
          <w:b/>
          <w:sz w:val="20"/>
          <w:szCs w:val="20"/>
          <w:lang w:val="en-GB"/>
        </w:rPr>
        <w:t>Tang</w:t>
      </w:r>
      <w:r w:rsidR="00A53B3D" w:rsidRPr="001C5E0F">
        <w:rPr>
          <w:rFonts w:ascii="Arial" w:hAnsi="Arial" w:cs="Arial"/>
          <w:sz w:val="20"/>
          <w:szCs w:val="20"/>
          <w:lang w:val="en-GB"/>
        </w:rPr>
        <w:t>)</w:t>
      </w:r>
      <w:r w:rsidR="00FD1DAB" w:rsidRPr="001C5E0F">
        <w:rPr>
          <w:rFonts w:ascii="Arial" w:hAnsi="Arial" w:cs="Arial"/>
          <w:sz w:val="20"/>
          <w:szCs w:val="20"/>
          <w:lang w:val="en-GB"/>
        </w:rPr>
        <w:t xml:space="preserve">, a </w:t>
      </w:r>
      <w:r w:rsidR="001C5E0F" w:rsidRPr="001C5E0F">
        <w:rPr>
          <w:rFonts w:ascii="Arial" w:hAnsi="Arial" w:cs="Arial"/>
          <w:sz w:val="20"/>
          <w:szCs w:val="20"/>
          <w:lang w:val="en-GB"/>
        </w:rPr>
        <w:t xml:space="preserve">Type 1 </w:t>
      </w:r>
      <w:r w:rsidR="00FD1DAB" w:rsidRPr="001C5E0F">
        <w:rPr>
          <w:rFonts w:ascii="Arial" w:hAnsi="Arial" w:cs="Arial"/>
          <w:sz w:val="20"/>
          <w:szCs w:val="20"/>
          <w:lang w:val="en-GB"/>
        </w:rPr>
        <w:t>licensed representative of China Galaxy International Securities (Hong Kong) Co</w:t>
      </w:r>
      <w:r w:rsidR="00F25D0F">
        <w:rPr>
          <w:rFonts w:ascii="Arial" w:hAnsi="Arial" w:cs="Arial"/>
          <w:sz w:val="20"/>
          <w:szCs w:val="20"/>
          <w:lang w:val="en-GB"/>
        </w:rPr>
        <w:t xml:space="preserve">., </w:t>
      </w:r>
      <w:r w:rsidR="00FD1DAB" w:rsidRPr="001C5E0F">
        <w:rPr>
          <w:rFonts w:ascii="Arial" w:hAnsi="Arial" w:cs="Arial"/>
          <w:sz w:val="20"/>
          <w:szCs w:val="20"/>
          <w:lang w:val="en-GB"/>
        </w:rPr>
        <w:t>Limited</w:t>
      </w:r>
      <w:r w:rsidR="00A53B3D" w:rsidRPr="001C5E0F">
        <w:rPr>
          <w:rFonts w:ascii="Arial" w:hAnsi="Arial" w:cs="Arial"/>
          <w:sz w:val="20"/>
          <w:szCs w:val="20"/>
          <w:lang w:val="en-GB"/>
        </w:rPr>
        <w:t xml:space="preserve"> </w:t>
      </w:r>
      <w:r w:rsidR="00F25D0F">
        <w:rPr>
          <w:rFonts w:ascii="Arial" w:hAnsi="Arial" w:cs="Arial"/>
          <w:sz w:val="20"/>
          <w:szCs w:val="20"/>
          <w:lang w:val="en-GB"/>
        </w:rPr>
        <w:t xml:space="preserve">and China Galaxy International Futures (Hong Kong) Co., Limited, both subsidiaries of China Galaxy International Financial Holdings Limited </w:t>
      </w:r>
      <w:r w:rsidR="00A53B3D" w:rsidRPr="001C5E0F">
        <w:rPr>
          <w:rFonts w:ascii="Arial" w:hAnsi="Arial" w:cs="Arial"/>
          <w:sz w:val="20"/>
          <w:szCs w:val="20"/>
          <w:lang w:val="en-GB"/>
        </w:rPr>
        <w:t>(</w:t>
      </w:r>
      <w:r w:rsidR="00F25D0F">
        <w:rPr>
          <w:rFonts w:ascii="Arial" w:hAnsi="Arial" w:cs="Arial"/>
          <w:sz w:val="20"/>
          <w:szCs w:val="20"/>
          <w:lang w:val="en-GB"/>
        </w:rPr>
        <w:t xml:space="preserve">collectively, </w:t>
      </w:r>
      <w:r w:rsidR="00A53B3D" w:rsidRPr="001C5E0F">
        <w:rPr>
          <w:rFonts w:ascii="Arial" w:hAnsi="Arial" w:cs="Arial"/>
          <w:b/>
          <w:sz w:val="20"/>
          <w:szCs w:val="20"/>
          <w:lang w:val="en-GB"/>
        </w:rPr>
        <w:t>China Galaxy</w:t>
      </w:r>
      <w:r w:rsidR="00A53B3D" w:rsidRPr="001C5E0F">
        <w:rPr>
          <w:rFonts w:ascii="Arial" w:hAnsi="Arial" w:cs="Arial"/>
          <w:sz w:val="20"/>
          <w:szCs w:val="20"/>
          <w:lang w:val="en-GB"/>
        </w:rPr>
        <w:t>)</w:t>
      </w:r>
      <w:r w:rsidR="00FD1DAB" w:rsidRPr="001C5E0F">
        <w:rPr>
          <w:rFonts w:ascii="Arial" w:hAnsi="Arial" w:cs="Arial"/>
          <w:sz w:val="20"/>
          <w:szCs w:val="20"/>
          <w:lang w:val="en-GB"/>
        </w:rPr>
        <w:t xml:space="preserve"> for ten months from 29 October 2022. </w:t>
      </w:r>
    </w:p>
    <w:p w:rsidR="00FC3F97" w:rsidRPr="001C5E0F" w:rsidRDefault="00FC3F97" w:rsidP="00813E7F">
      <w:pPr>
        <w:jc w:val="both"/>
        <w:rPr>
          <w:rFonts w:ascii="Arial" w:hAnsi="Arial" w:cs="Arial"/>
          <w:sz w:val="20"/>
          <w:szCs w:val="20"/>
          <w:lang w:val="en-GB"/>
        </w:rPr>
      </w:pPr>
      <w:r w:rsidRPr="001C5E0F">
        <w:rPr>
          <w:rFonts w:ascii="Arial" w:hAnsi="Arial" w:cs="Arial"/>
          <w:sz w:val="20"/>
          <w:szCs w:val="20"/>
          <w:lang w:val="en-GB"/>
        </w:rPr>
        <w:t xml:space="preserve">The SFC found that between July 2019 and February 2021, Tang had breached </w:t>
      </w:r>
      <w:r w:rsidR="00A53B3D" w:rsidRPr="001C5E0F">
        <w:rPr>
          <w:rFonts w:ascii="Arial" w:hAnsi="Arial" w:cs="Arial"/>
          <w:sz w:val="20"/>
          <w:szCs w:val="20"/>
          <w:lang w:val="en-GB"/>
        </w:rPr>
        <w:t>China Galaxy</w:t>
      </w:r>
      <w:r w:rsidRPr="001C5E0F">
        <w:rPr>
          <w:rFonts w:ascii="Arial" w:hAnsi="Arial" w:cs="Arial"/>
          <w:sz w:val="20"/>
          <w:szCs w:val="20"/>
          <w:lang w:val="en-GB"/>
        </w:rPr>
        <w:t>’</w:t>
      </w:r>
      <w:r w:rsidR="00A53B3D" w:rsidRPr="001C5E0F">
        <w:rPr>
          <w:rFonts w:ascii="Arial" w:hAnsi="Arial" w:cs="Arial"/>
          <w:sz w:val="20"/>
          <w:szCs w:val="20"/>
          <w:lang w:val="en-GB"/>
        </w:rPr>
        <w:t>s staff dealing policy in:</w:t>
      </w:r>
    </w:p>
    <w:p w:rsidR="001C5E0F" w:rsidRDefault="00FC3F97" w:rsidP="00813E7F">
      <w:pPr>
        <w:pStyle w:val="a4"/>
        <w:numPr>
          <w:ilvl w:val="0"/>
          <w:numId w:val="5"/>
        </w:numPr>
        <w:jc w:val="both"/>
        <w:rPr>
          <w:rFonts w:ascii="Arial" w:hAnsi="Arial" w:cs="Arial"/>
          <w:sz w:val="20"/>
          <w:szCs w:val="20"/>
          <w:lang w:val="en-GB"/>
        </w:rPr>
      </w:pPr>
      <w:r w:rsidRPr="001C5E0F">
        <w:rPr>
          <w:rFonts w:ascii="Arial" w:hAnsi="Arial" w:cs="Arial"/>
          <w:sz w:val="20"/>
          <w:szCs w:val="20"/>
          <w:lang w:val="en-GB"/>
        </w:rPr>
        <w:t xml:space="preserve">failing to obtain </w:t>
      </w:r>
      <w:r w:rsidR="00952A58" w:rsidRPr="001C5E0F">
        <w:rPr>
          <w:rFonts w:ascii="Arial" w:hAnsi="Arial" w:cs="Arial"/>
          <w:sz w:val="20"/>
          <w:szCs w:val="20"/>
          <w:lang w:val="en-GB"/>
        </w:rPr>
        <w:t>China Galaxy</w:t>
      </w:r>
      <w:r w:rsidR="00952A58">
        <w:rPr>
          <w:rFonts w:ascii="Arial" w:hAnsi="Arial" w:cs="Arial"/>
          <w:sz w:val="20"/>
          <w:szCs w:val="20"/>
          <w:lang w:val="en-GB"/>
        </w:rPr>
        <w:t>’s</w:t>
      </w:r>
      <w:r w:rsidR="00952A58" w:rsidRPr="001C5E0F">
        <w:rPr>
          <w:rFonts w:ascii="Arial" w:hAnsi="Arial" w:cs="Arial"/>
          <w:sz w:val="20"/>
          <w:szCs w:val="20"/>
          <w:lang w:val="en-GB"/>
        </w:rPr>
        <w:t xml:space="preserve"> </w:t>
      </w:r>
      <w:r w:rsidRPr="001C5E0F">
        <w:rPr>
          <w:rFonts w:ascii="Arial" w:hAnsi="Arial" w:cs="Arial"/>
          <w:sz w:val="20"/>
          <w:szCs w:val="20"/>
          <w:lang w:val="en-GB"/>
        </w:rPr>
        <w:t>approval before opening two securities trading accounts</w:t>
      </w:r>
      <w:r w:rsidR="00EC1FD5" w:rsidRPr="001C5E0F">
        <w:rPr>
          <w:rFonts w:ascii="Arial" w:hAnsi="Arial" w:cs="Arial"/>
          <w:sz w:val="20"/>
          <w:szCs w:val="20"/>
          <w:lang w:val="en-GB"/>
        </w:rPr>
        <w:t xml:space="preserve"> </w:t>
      </w:r>
      <w:r w:rsidR="00742A17">
        <w:rPr>
          <w:rFonts w:ascii="Arial" w:hAnsi="Arial" w:cs="Arial"/>
          <w:sz w:val="20"/>
          <w:szCs w:val="20"/>
          <w:lang w:val="en-GB"/>
        </w:rPr>
        <w:t xml:space="preserve">with an external broker </w:t>
      </w:r>
      <w:r w:rsidR="00EC1FD5" w:rsidRPr="001C5E0F">
        <w:rPr>
          <w:rFonts w:ascii="Arial" w:hAnsi="Arial" w:cs="Arial"/>
          <w:sz w:val="20"/>
          <w:szCs w:val="20"/>
          <w:lang w:val="en-GB"/>
        </w:rPr>
        <w:t>(</w:t>
      </w:r>
      <w:r w:rsidR="006E2641" w:rsidRPr="001C5E0F">
        <w:rPr>
          <w:rFonts w:ascii="Arial" w:hAnsi="Arial" w:cs="Arial"/>
          <w:sz w:val="20"/>
          <w:szCs w:val="20"/>
          <w:lang w:val="en-GB"/>
        </w:rPr>
        <w:t xml:space="preserve">the </w:t>
      </w:r>
      <w:r w:rsidR="006E2641" w:rsidRPr="001C5E0F">
        <w:rPr>
          <w:rFonts w:ascii="Arial" w:hAnsi="Arial" w:cs="Arial"/>
          <w:b/>
          <w:sz w:val="20"/>
          <w:szCs w:val="20"/>
          <w:lang w:val="en-GB"/>
        </w:rPr>
        <w:t>Accounts</w:t>
      </w:r>
      <w:r w:rsidR="006E2641" w:rsidRPr="001C5E0F">
        <w:rPr>
          <w:rFonts w:ascii="Arial" w:hAnsi="Arial" w:cs="Arial"/>
          <w:sz w:val="20"/>
          <w:szCs w:val="20"/>
          <w:lang w:val="en-GB"/>
        </w:rPr>
        <w:t>)</w:t>
      </w:r>
      <w:r w:rsidRPr="001C5E0F">
        <w:rPr>
          <w:rFonts w:ascii="Arial" w:hAnsi="Arial" w:cs="Arial"/>
          <w:sz w:val="20"/>
          <w:szCs w:val="20"/>
          <w:lang w:val="en-GB"/>
        </w:rPr>
        <w:t xml:space="preserve"> and conducting </w:t>
      </w:r>
      <w:r w:rsidR="00952A58">
        <w:rPr>
          <w:rFonts w:ascii="Arial" w:hAnsi="Arial" w:cs="Arial"/>
          <w:sz w:val="20"/>
          <w:szCs w:val="20"/>
          <w:lang w:val="en-GB"/>
        </w:rPr>
        <w:t xml:space="preserve">148 </w:t>
      </w:r>
      <w:r w:rsidRPr="001C5E0F">
        <w:rPr>
          <w:rFonts w:ascii="Arial" w:hAnsi="Arial" w:cs="Arial"/>
          <w:sz w:val="20"/>
          <w:szCs w:val="20"/>
          <w:lang w:val="en-GB"/>
        </w:rPr>
        <w:t xml:space="preserve">personal trades </w:t>
      </w:r>
      <w:r w:rsidR="00952A58">
        <w:rPr>
          <w:rFonts w:ascii="Arial" w:hAnsi="Arial" w:cs="Arial"/>
          <w:sz w:val="20"/>
          <w:szCs w:val="20"/>
          <w:lang w:val="en-GB"/>
        </w:rPr>
        <w:t>in</w:t>
      </w:r>
      <w:r w:rsidRPr="001C5E0F">
        <w:rPr>
          <w:rFonts w:ascii="Arial" w:hAnsi="Arial" w:cs="Arial"/>
          <w:sz w:val="20"/>
          <w:szCs w:val="20"/>
          <w:lang w:val="en-GB"/>
        </w:rPr>
        <w:t xml:space="preserve"> those Accounts</w:t>
      </w:r>
      <w:r w:rsidR="001C5E0F" w:rsidRPr="001C5E0F">
        <w:rPr>
          <w:rFonts w:ascii="Arial" w:hAnsi="Arial" w:cs="Arial"/>
          <w:sz w:val="20"/>
          <w:szCs w:val="20"/>
          <w:lang w:val="en-GB"/>
        </w:rPr>
        <w:t xml:space="preserve">. </w:t>
      </w:r>
      <w:r w:rsidR="00282137" w:rsidRPr="001C5E0F">
        <w:rPr>
          <w:rFonts w:ascii="Arial" w:hAnsi="Arial" w:cs="Arial"/>
          <w:sz w:val="20"/>
          <w:szCs w:val="20"/>
          <w:lang w:val="en-GB"/>
        </w:rPr>
        <w:t xml:space="preserve">Under </w:t>
      </w:r>
      <w:r w:rsidR="00A53B3D" w:rsidRPr="001C5E0F">
        <w:rPr>
          <w:rFonts w:ascii="Arial" w:hAnsi="Arial" w:cs="Arial"/>
          <w:sz w:val="20"/>
          <w:szCs w:val="20"/>
          <w:lang w:val="en-GB"/>
        </w:rPr>
        <w:t>China Galaxy</w:t>
      </w:r>
      <w:r w:rsidR="00282137" w:rsidRPr="001C5E0F">
        <w:rPr>
          <w:rFonts w:ascii="Arial" w:hAnsi="Arial" w:cs="Arial"/>
          <w:sz w:val="20"/>
          <w:szCs w:val="20"/>
          <w:lang w:val="en-GB"/>
        </w:rPr>
        <w:t xml:space="preserve">’s </w:t>
      </w:r>
      <w:r w:rsidR="006E2641" w:rsidRPr="001C5E0F">
        <w:rPr>
          <w:rFonts w:ascii="Arial" w:hAnsi="Arial" w:cs="Arial"/>
          <w:sz w:val="20"/>
          <w:szCs w:val="20"/>
          <w:lang w:val="en-GB"/>
        </w:rPr>
        <w:t xml:space="preserve">staff dealing policy (the </w:t>
      </w:r>
      <w:r w:rsidR="00282137" w:rsidRPr="001C5E0F">
        <w:rPr>
          <w:rFonts w:ascii="Arial" w:hAnsi="Arial" w:cs="Arial"/>
          <w:b/>
          <w:sz w:val="20"/>
          <w:szCs w:val="20"/>
          <w:lang w:val="en-GB"/>
        </w:rPr>
        <w:t>Policy</w:t>
      </w:r>
      <w:r w:rsidR="006E2641" w:rsidRPr="001C5E0F">
        <w:rPr>
          <w:rFonts w:ascii="Arial" w:hAnsi="Arial" w:cs="Arial"/>
          <w:sz w:val="20"/>
          <w:szCs w:val="20"/>
          <w:lang w:val="en-GB"/>
        </w:rPr>
        <w:t>)</w:t>
      </w:r>
      <w:r w:rsidR="00952A58">
        <w:rPr>
          <w:rFonts w:ascii="Arial" w:hAnsi="Arial" w:cs="Arial"/>
          <w:sz w:val="20"/>
          <w:szCs w:val="20"/>
          <w:lang w:val="en-GB"/>
        </w:rPr>
        <w:t>,</w:t>
      </w:r>
      <w:r w:rsidR="001C5E0F" w:rsidRPr="001C5E0F">
        <w:rPr>
          <w:rFonts w:ascii="Arial" w:hAnsi="Arial" w:cs="Arial"/>
          <w:sz w:val="20"/>
          <w:szCs w:val="20"/>
          <w:lang w:val="en-GB"/>
        </w:rPr>
        <w:t xml:space="preserve"> all employees had to:</w:t>
      </w:r>
    </w:p>
    <w:p w:rsidR="00473158" w:rsidRPr="001C5E0F" w:rsidRDefault="00473158" w:rsidP="00D6430A">
      <w:pPr>
        <w:pStyle w:val="a4"/>
        <w:jc w:val="both"/>
        <w:rPr>
          <w:rFonts w:ascii="Arial" w:hAnsi="Arial" w:cs="Arial"/>
          <w:sz w:val="20"/>
          <w:szCs w:val="20"/>
          <w:lang w:val="en-GB"/>
        </w:rPr>
      </w:pPr>
    </w:p>
    <w:p w:rsidR="001C5E0F" w:rsidRDefault="00282137" w:rsidP="00813E7F">
      <w:pPr>
        <w:pStyle w:val="a4"/>
        <w:numPr>
          <w:ilvl w:val="1"/>
          <w:numId w:val="5"/>
        </w:numPr>
        <w:jc w:val="both"/>
        <w:rPr>
          <w:rFonts w:ascii="Arial" w:hAnsi="Arial" w:cs="Arial"/>
          <w:sz w:val="20"/>
          <w:szCs w:val="20"/>
          <w:lang w:val="en-GB"/>
        </w:rPr>
      </w:pPr>
      <w:r w:rsidRPr="001C5E0F">
        <w:rPr>
          <w:rFonts w:ascii="Arial" w:hAnsi="Arial" w:cs="Arial"/>
          <w:sz w:val="20"/>
          <w:szCs w:val="20"/>
          <w:lang w:val="en-GB"/>
        </w:rPr>
        <w:t xml:space="preserve">seek </w:t>
      </w:r>
      <w:r w:rsidR="00A53B3D" w:rsidRPr="001C5E0F">
        <w:rPr>
          <w:rFonts w:ascii="Arial" w:hAnsi="Arial" w:cs="Arial"/>
          <w:sz w:val="20"/>
          <w:szCs w:val="20"/>
          <w:lang w:val="en-GB"/>
        </w:rPr>
        <w:t>China Galaxy</w:t>
      </w:r>
      <w:r w:rsidRPr="001C5E0F">
        <w:rPr>
          <w:rFonts w:ascii="Arial" w:hAnsi="Arial" w:cs="Arial"/>
          <w:sz w:val="20"/>
          <w:szCs w:val="20"/>
          <w:lang w:val="en-GB"/>
        </w:rPr>
        <w:t>’s approval before opening and maintain</w:t>
      </w:r>
      <w:r w:rsidR="00952A58">
        <w:rPr>
          <w:rFonts w:ascii="Arial" w:hAnsi="Arial" w:cs="Arial"/>
          <w:sz w:val="20"/>
          <w:szCs w:val="20"/>
          <w:lang w:val="en-GB"/>
        </w:rPr>
        <w:t>ing</w:t>
      </w:r>
      <w:r w:rsidRPr="001C5E0F">
        <w:rPr>
          <w:rFonts w:ascii="Arial" w:hAnsi="Arial" w:cs="Arial"/>
          <w:sz w:val="20"/>
          <w:szCs w:val="20"/>
          <w:lang w:val="en-GB"/>
        </w:rPr>
        <w:t xml:space="preserve"> securities trading accounts with other licensed corporation</w:t>
      </w:r>
      <w:r w:rsidR="00952A58">
        <w:rPr>
          <w:rFonts w:ascii="Arial" w:hAnsi="Arial" w:cs="Arial"/>
          <w:sz w:val="20"/>
          <w:szCs w:val="20"/>
          <w:lang w:val="en-GB"/>
        </w:rPr>
        <w:t>s</w:t>
      </w:r>
      <w:r w:rsidRPr="001C5E0F">
        <w:rPr>
          <w:rFonts w:ascii="Arial" w:hAnsi="Arial" w:cs="Arial"/>
          <w:sz w:val="20"/>
          <w:szCs w:val="20"/>
          <w:lang w:val="en-GB"/>
        </w:rPr>
        <w:t xml:space="preserve"> or registered instructions and </w:t>
      </w:r>
      <w:r w:rsidR="00952A58">
        <w:rPr>
          <w:rFonts w:ascii="Arial" w:hAnsi="Arial" w:cs="Arial"/>
          <w:sz w:val="20"/>
          <w:szCs w:val="20"/>
          <w:lang w:val="en-GB"/>
        </w:rPr>
        <w:t xml:space="preserve">before </w:t>
      </w:r>
      <w:r w:rsidR="001C5E0F" w:rsidRPr="001C5E0F">
        <w:rPr>
          <w:rFonts w:ascii="Arial" w:hAnsi="Arial" w:cs="Arial"/>
          <w:sz w:val="20"/>
          <w:szCs w:val="20"/>
          <w:lang w:val="en-GB"/>
        </w:rPr>
        <w:t>conduct</w:t>
      </w:r>
      <w:r w:rsidR="00952A58">
        <w:rPr>
          <w:rFonts w:ascii="Arial" w:hAnsi="Arial" w:cs="Arial"/>
          <w:sz w:val="20"/>
          <w:szCs w:val="20"/>
          <w:lang w:val="en-GB"/>
        </w:rPr>
        <w:t>ing</w:t>
      </w:r>
      <w:r w:rsidR="001C5E0F" w:rsidRPr="001C5E0F">
        <w:rPr>
          <w:rFonts w:ascii="Arial" w:hAnsi="Arial" w:cs="Arial"/>
          <w:sz w:val="20"/>
          <w:szCs w:val="20"/>
          <w:lang w:val="en-GB"/>
        </w:rPr>
        <w:t xml:space="preserve"> trade</w:t>
      </w:r>
      <w:r w:rsidR="00952A58">
        <w:rPr>
          <w:rFonts w:ascii="Arial" w:hAnsi="Arial" w:cs="Arial"/>
          <w:sz w:val="20"/>
          <w:szCs w:val="20"/>
          <w:lang w:val="en-GB"/>
        </w:rPr>
        <w:t>s in any external accounts</w:t>
      </w:r>
      <w:r w:rsidR="001C5E0F" w:rsidRPr="001C5E0F">
        <w:rPr>
          <w:rFonts w:ascii="Arial" w:hAnsi="Arial" w:cs="Arial"/>
          <w:sz w:val="20"/>
          <w:szCs w:val="20"/>
          <w:lang w:val="en-GB"/>
        </w:rPr>
        <w:t>;</w:t>
      </w:r>
      <w:r w:rsidR="000F1817" w:rsidRPr="001C5E0F">
        <w:rPr>
          <w:rFonts w:ascii="Arial" w:hAnsi="Arial" w:cs="Arial"/>
          <w:sz w:val="20"/>
          <w:szCs w:val="20"/>
          <w:lang w:val="en-GB"/>
        </w:rPr>
        <w:t xml:space="preserve"> </w:t>
      </w:r>
      <w:r w:rsidRPr="001C5E0F">
        <w:rPr>
          <w:rFonts w:ascii="Arial" w:hAnsi="Arial" w:cs="Arial"/>
          <w:sz w:val="20"/>
          <w:szCs w:val="20"/>
          <w:lang w:val="en-GB"/>
        </w:rPr>
        <w:t xml:space="preserve">and </w:t>
      </w:r>
    </w:p>
    <w:p w:rsidR="00952A58" w:rsidRPr="001C5E0F" w:rsidRDefault="00952A58" w:rsidP="00D6430A">
      <w:pPr>
        <w:pStyle w:val="a4"/>
        <w:ind w:left="1440"/>
        <w:jc w:val="both"/>
        <w:rPr>
          <w:rFonts w:ascii="Arial" w:hAnsi="Arial" w:cs="Arial"/>
          <w:sz w:val="20"/>
          <w:szCs w:val="20"/>
          <w:lang w:val="en-GB"/>
        </w:rPr>
      </w:pPr>
    </w:p>
    <w:p w:rsidR="001C5E0F" w:rsidRDefault="00282137" w:rsidP="00813E7F">
      <w:pPr>
        <w:pStyle w:val="a4"/>
        <w:numPr>
          <w:ilvl w:val="1"/>
          <w:numId w:val="5"/>
        </w:numPr>
        <w:jc w:val="both"/>
        <w:rPr>
          <w:rFonts w:ascii="Arial" w:hAnsi="Arial" w:cs="Arial"/>
          <w:sz w:val="20"/>
          <w:szCs w:val="20"/>
          <w:lang w:val="en-GB"/>
        </w:rPr>
      </w:pPr>
      <w:r w:rsidRPr="001C5E0F">
        <w:rPr>
          <w:rFonts w:ascii="Arial" w:hAnsi="Arial" w:cs="Arial"/>
          <w:sz w:val="20"/>
          <w:szCs w:val="20"/>
          <w:lang w:val="en-GB"/>
        </w:rPr>
        <w:t>forward duplicates of their trade confirmation</w:t>
      </w:r>
      <w:r w:rsidR="00952A58">
        <w:rPr>
          <w:rFonts w:ascii="Arial" w:hAnsi="Arial" w:cs="Arial"/>
          <w:sz w:val="20"/>
          <w:szCs w:val="20"/>
          <w:lang w:val="en-GB"/>
        </w:rPr>
        <w:t>s</w:t>
      </w:r>
      <w:r w:rsidRPr="001C5E0F">
        <w:rPr>
          <w:rFonts w:ascii="Arial" w:hAnsi="Arial" w:cs="Arial"/>
          <w:sz w:val="20"/>
          <w:szCs w:val="20"/>
          <w:lang w:val="en-GB"/>
        </w:rPr>
        <w:t xml:space="preserve"> and monthly</w:t>
      </w:r>
      <w:r w:rsidR="00A53B3D" w:rsidRPr="001C5E0F">
        <w:rPr>
          <w:rFonts w:ascii="Arial" w:hAnsi="Arial" w:cs="Arial"/>
          <w:sz w:val="20"/>
          <w:szCs w:val="20"/>
          <w:lang w:val="en-GB"/>
        </w:rPr>
        <w:t xml:space="preserve"> statement</w:t>
      </w:r>
      <w:r w:rsidR="00952A58">
        <w:rPr>
          <w:rFonts w:ascii="Arial" w:hAnsi="Arial" w:cs="Arial"/>
          <w:sz w:val="20"/>
          <w:szCs w:val="20"/>
          <w:lang w:val="en-GB"/>
        </w:rPr>
        <w:t>s of external accounts to China Galaxy</w:t>
      </w:r>
      <w:r w:rsidR="00A53B3D" w:rsidRPr="001C5E0F">
        <w:rPr>
          <w:rFonts w:ascii="Arial" w:hAnsi="Arial" w:cs="Arial"/>
          <w:sz w:val="20"/>
          <w:szCs w:val="20"/>
          <w:lang w:val="en-GB"/>
        </w:rPr>
        <w:t xml:space="preserve"> within one month</w:t>
      </w:r>
      <w:r w:rsidR="00952A58">
        <w:rPr>
          <w:rFonts w:ascii="Arial" w:hAnsi="Arial" w:cs="Arial"/>
          <w:sz w:val="20"/>
          <w:szCs w:val="20"/>
          <w:lang w:val="en-GB"/>
        </w:rPr>
        <w:t xml:space="preserve"> from the date of the trade confirmation or monthly statement</w:t>
      </w:r>
      <w:r w:rsidRPr="001C5E0F">
        <w:rPr>
          <w:rFonts w:ascii="Arial" w:hAnsi="Arial" w:cs="Arial"/>
          <w:sz w:val="20"/>
          <w:szCs w:val="20"/>
          <w:lang w:val="en-GB"/>
        </w:rPr>
        <w:t xml:space="preserve">. </w:t>
      </w:r>
    </w:p>
    <w:p w:rsidR="00742A17" w:rsidRPr="001C5E0F" w:rsidRDefault="00742A17" w:rsidP="00D6430A">
      <w:pPr>
        <w:pStyle w:val="a4"/>
        <w:ind w:left="1440"/>
        <w:jc w:val="both"/>
        <w:rPr>
          <w:rFonts w:ascii="Arial" w:hAnsi="Arial" w:cs="Arial"/>
          <w:sz w:val="20"/>
          <w:szCs w:val="20"/>
          <w:lang w:val="en-GB"/>
        </w:rPr>
      </w:pPr>
    </w:p>
    <w:p w:rsidR="00FC3F97" w:rsidRPr="001C5E0F" w:rsidRDefault="00282137" w:rsidP="00813E7F">
      <w:pPr>
        <w:pStyle w:val="a4"/>
        <w:jc w:val="both"/>
        <w:rPr>
          <w:rFonts w:ascii="Arial" w:hAnsi="Arial" w:cs="Arial"/>
          <w:sz w:val="20"/>
          <w:szCs w:val="20"/>
          <w:lang w:val="en-GB"/>
        </w:rPr>
      </w:pPr>
      <w:r w:rsidRPr="001C5E0F">
        <w:rPr>
          <w:rFonts w:ascii="Arial" w:hAnsi="Arial" w:cs="Arial"/>
          <w:sz w:val="20"/>
          <w:szCs w:val="20"/>
          <w:lang w:val="en-GB"/>
        </w:rPr>
        <w:t xml:space="preserve">The fact </w:t>
      </w:r>
      <w:r w:rsidR="00A53B3D" w:rsidRPr="001C5E0F">
        <w:rPr>
          <w:rFonts w:ascii="Arial" w:hAnsi="Arial" w:cs="Arial"/>
          <w:sz w:val="20"/>
          <w:szCs w:val="20"/>
          <w:lang w:val="en-GB"/>
        </w:rPr>
        <w:t>Tang</w:t>
      </w:r>
      <w:r w:rsidRPr="001C5E0F">
        <w:rPr>
          <w:rFonts w:ascii="Arial" w:hAnsi="Arial" w:cs="Arial"/>
          <w:sz w:val="20"/>
          <w:szCs w:val="20"/>
          <w:lang w:val="en-GB"/>
        </w:rPr>
        <w:t xml:space="preserve"> </w:t>
      </w:r>
      <w:r w:rsidR="000F1817" w:rsidRPr="001C5E0F">
        <w:rPr>
          <w:rFonts w:ascii="Arial" w:hAnsi="Arial" w:cs="Arial"/>
          <w:sz w:val="20"/>
          <w:szCs w:val="20"/>
          <w:lang w:val="en-GB"/>
        </w:rPr>
        <w:t xml:space="preserve">only </w:t>
      </w:r>
      <w:r w:rsidRPr="001C5E0F">
        <w:rPr>
          <w:rFonts w:ascii="Arial" w:hAnsi="Arial" w:cs="Arial"/>
          <w:sz w:val="20"/>
          <w:szCs w:val="20"/>
          <w:lang w:val="en-GB"/>
        </w:rPr>
        <w:t>held a client-facing role in the office in August 2020 did not preclude t</w:t>
      </w:r>
      <w:r w:rsidR="006E2641" w:rsidRPr="001C5E0F">
        <w:rPr>
          <w:rFonts w:ascii="Arial" w:hAnsi="Arial" w:cs="Arial"/>
          <w:sz w:val="20"/>
          <w:szCs w:val="20"/>
          <w:lang w:val="en-GB"/>
        </w:rPr>
        <w:t xml:space="preserve">he applicability of the Policy; </w:t>
      </w:r>
    </w:p>
    <w:p w:rsidR="00282137" w:rsidRPr="001C5E0F" w:rsidRDefault="00282137" w:rsidP="00813E7F">
      <w:pPr>
        <w:pStyle w:val="a4"/>
        <w:jc w:val="both"/>
        <w:rPr>
          <w:rFonts w:ascii="Arial" w:hAnsi="Arial" w:cs="Arial"/>
          <w:sz w:val="20"/>
          <w:szCs w:val="20"/>
          <w:lang w:val="en-GB"/>
        </w:rPr>
      </w:pPr>
    </w:p>
    <w:p w:rsidR="00516468" w:rsidRPr="001C5E0F" w:rsidRDefault="001C5E0F" w:rsidP="00813E7F">
      <w:pPr>
        <w:pStyle w:val="a4"/>
        <w:numPr>
          <w:ilvl w:val="0"/>
          <w:numId w:val="5"/>
        </w:numPr>
        <w:jc w:val="both"/>
        <w:rPr>
          <w:rFonts w:ascii="Arial" w:hAnsi="Arial" w:cs="Arial"/>
          <w:sz w:val="20"/>
          <w:szCs w:val="20"/>
          <w:lang w:val="en-GB"/>
        </w:rPr>
      </w:pPr>
      <w:r w:rsidRPr="001C5E0F">
        <w:rPr>
          <w:rFonts w:ascii="Arial" w:hAnsi="Arial" w:cs="Arial"/>
          <w:sz w:val="20"/>
          <w:szCs w:val="20"/>
          <w:lang w:val="en-GB"/>
        </w:rPr>
        <w:t>c</w:t>
      </w:r>
      <w:r w:rsidR="00FC3F97" w:rsidRPr="001C5E0F">
        <w:rPr>
          <w:rFonts w:ascii="Arial" w:hAnsi="Arial" w:cs="Arial"/>
          <w:sz w:val="20"/>
          <w:szCs w:val="20"/>
          <w:lang w:val="en-GB"/>
        </w:rPr>
        <w:t xml:space="preserve">oncealing the opening and maintenance of the Accounts by making false declarations to </w:t>
      </w:r>
      <w:r w:rsidR="00A53B3D" w:rsidRPr="001C5E0F">
        <w:rPr>
          <w:rFonts w:ascii="Arial" w:hAnsi="Arial" w:cs="Arial"/>
          <w:sz w:val="20"/>
          <w:szCs w:val="20"/>
          <w:lang w:val="en-GB"/>
        </w:rPr>
        <w:t>China Galaxy</w:t>
      </w:r>
      <w:r w:rsidR="00380D6C" w:rsidRPr="001C5E0F">
        <w:rPr>
          <w:rFonts w:ascii="Arial" w:hAnsi="Arial" w:cs="Arial"/>
          <w:sz w:val="20"/>
          <w:szCs w:val="20"/>
          <w:lang w:val="en-GB"/>
        </w:rPr>
        <w:t>.</w:t>
      </w:r>
      <w:r w:rsidRPr="001C5E0F">
        <w:rPr>
          <w:rFonts w:ascii="Arial" w:hAnsi="Arial" w:cs="Arial"/>
          <w:sz w:val="20"/>
          <w:szCs w:val="20"/>
          <w:lang w:val="en-GB"/>
        </w:rPr>
        <w:t xml:space="preserve"> </w:t>
      </w:r>
      <w:r w:rsidR="00EC1FD5" w:rsidRPr="001C5E0F">
        <w:rPr>
          <w:rFonts w:ascii="Arial" w:hAnsi="Arial" w:cs="Arial"/>
          <w:sz w:val="20"/>
          <w:szCs w:val="20"/>
          <w:lang w:val="en-GB"/>
        </w:rPr>
        <w:t xml:space="preserve">Tang, contrary to </w:t>
      </w:r>
      <w:r w:rsidR="006E2641" w:rsidRPr="001C5E0F">
        <w:rPr>
          <w:rFonts w:ascii="Arial" w:hAnsi="Arial" w:cs="Arial"/>
          <w:sz w:val="20"/>
          <w:szCs w:val="20"/>
          <w:lang w:val="en-GB"/>
        </w:rPr>
        <w:t>the</w:t>
      </w:r>
      <w:r w:rsidR="00EC1FD5" w:rsidRPr="001C5E0F">
        <w:rPr>
          <w:rFonts w:ascii="Arial" w:hAnsi="Arial" w:cs="Arial"/>
          <w:sz w:val="20"/>
          <w:szCs w:val="20"/>
          <w:lang w:val="en-GB"/>
        </w:rPr>
        <w:t xml:space="preserve"> Policy</w:t>
      </w:r>
      <w:r w:rsidR="006E2641" w:rsidRPr="001C5E0F">
        <w:rPr>
          <w:rFonts w:ascii="Arial" w:hAnsi="Arial" w:cs="Arial"/>
          <w:sz w:val="20"/>
          <w:szCs w:val="20"/>
          <w:lang w:val="en-GB"/>
        </w:rPr>
        <w:t>,</w:t>
      </w:r>
      <w:r w:rsidR="00EC1FD5" w:rsidRPr="001C5E0F">
        <w:rPr>
          <w:rFonts w:ascii="Arial" w:hAnsi="Arial" w:cs="Arial"/>
          <w:sz w:val="20"/>
          <w:szCs w:val="20"/>
          <w:lang w:val="en-GB"/>
        </w:rPr>
        <w:t xml:space="preserve"> </w:t>
      </w:r>
      <w:r w:rsidR="00282137" w:rsidRPr="001C5E0F">
        <w:rPr>
          <w:rFonts w:ascii="Arial" w:hAnsi="Arial" w:cs="Arial"/>
          <w:sz w:val="20"/>
          <w:szCs w:val="20"/>
          <w:lang w:val="en-GB"/>
        </w:rPr>
        <w:t>did not disclose the Accounts until December 2020 and she did not disclose her personal trades at the time</w:t>
      </w:r>
      <w:r w:rsidR="00516468" w:rsidRPr="001C5E0F">
        <w:rPr>
          <w:rFonts w:ascii="Arial" w:hAnsi="Arial" w:cs="Arial"/>
          <w:sz w:val="20"/>
          <w:szCs w:val="20"/>
          <w:lang w:val="en-GB"/>
        </w:rPr>
        <w:t xml:space="preserve"> nor did she produce any </w:t>
      </w:r>
      <w:r w:rsidR="00A53B3D" w:rsidRPr="001C5E0F">
        <w:rPr>
          <w:rFonts w:ascii="Arial" w:hAnsi="Arial" w:cs="Arial"/>
          <w:sz w:val="20"/>
          <w:szCs w:val="20"/>
          <w:lang w:val="en-GB"/>
        </w:rPr>
        <w:t xml:space="preserve">relevant </w:t>
      </w:r>
      <w:r w:rsidR="00516468" w:rsidRPr="001C5E0F">
        <w:rPr>
          <w:rFonts w:ascii="Arial" w:hAnsi="Arial" w:cs="Arial"/>
          <w:sz w:val="20"/>
          <w:szCs w:val="20"/>
          <w:lang w:val="en-GB"/>
        </w:rPr>
        <w:t>statement</w:t>
      </w:r>
      <w:r w:rsidR="00A53B3D" w:rsidRPr="001C5E0F">
        <w:rPr>
          <w:rFonts w:ascii="Arial" w:hAnsi="Arial" w:cs="Arial"/>
          <w:sz w:val="20"/>
          <w:szCs w:val="20"/>
          <w:lang w:val="en-GB"/>
        </w:rPr>
        <w:t>s</w:t>
      </w:r>
      <w:r w:rsidR="00516468" w:rsidRPr="001C5E0F">
        <w:rPr>
          <w:rFonts w:ascii="Arial" w:hAnsi="Arial" w:cs="Arial"/>
          <w:sz w:val="20"/>
          <w:szCs w:val="20"/>
          <w:lang w:val="en-GB"/>
        </w:rPr>
        <w:t>.</w:t>
      </w:r>
      <w:r w:rsidR="00282137" w:rsidRPr="001C5E0F">
        <w:rPr>
          <w:rFonts w:ascii="Arial" w:hAnsi="Arial" w:cs="Arial"/>
          <w:sz w:val="20"/>
          <w:szCs w:val="20"/>
          <w:lang w:val="en-GB"/>
        </w:rPr>
        <w:t xml:space="preserve"> </w:t>
      </w:r>
      <w:r w:rsidR="00D85C66">
        <w:rPr>
          <w:rFonts w:ascii="Arial" w:hAnsi="Arial" w:cs="Arial"/>
          <w:sz w:val="20"/>
          <w:szCs w:val="20"/>
          <w:lang w:val="en-GB"/>
        </w:rPr>
        <w:t xml:space="preserve">She </w:t>
      </w:r>
      <w:r w:rsidR="00282137" w:rsidRPr="001C5E0F">
        <w:rPr>
          <w:rFonts w:ascii="Arial" w:hAnsi="Arial" w:cs="Arial"/>
          <w:sz w:val="20"/>
          <w:szCs w:val="20"/>
          <w:lang w:val="en-GB"/>
        </w:rPr>
        <w:t xml:space="preserve">only disclosed </w:t>
      </w:r>
      <w:r w:rsidR="00D85C66">
        <w:rPr>
          <w:rFonts w:ascii="Arial" w:hAnsi="Arial" w:cs="Arial"/>
          <w:sz w:val="20"/>
          <w:szCs w:val="20"/>
          <w:lang w:val="en-GB"/>
        </w:rPr>
        <w:t>her personal trades when</w:t>
      </w:r>
      <w:r w:rsidR="00282137" w:rsidRPr="001C5E0F">
        <w:rPr>
          <w:rFonts w:ascii="Arial" w:hAnsi="Arial" w:cs="Arial"/>
          <w:sz w:val="20"/>
          <w:szCs w:val="20"/>
          <w:lang w:val="en-GB"/>
        </w:rPr>
        <w:t xml:space="preserve"> </w:t>
      </w:r>
      <w:r w:rsidR="00A53B3D" w:rsidRPr="001C5E0F">
        <w:rPr>
          <w:rFonts w:ascii="Arial" w:hAnsi="Arial" w:cs="Arial"/>
          <w:sz w:val="20"/>
          <w:szCs w:val="20"/>
          <w:lang w:val="en-GB"/>
        </w:rPr>
        <w:t xml:space="preserve">China Galaxy </w:t>
      </w:r>
      <w:r w:rsidR="00282137" w:rsidRPr="001C5E0F">
        <w:rPr>
          <w:rFonts w:ascii="Arial" w:hAnsi="Arial" w:cs="Arial"/>
          <w:sz w:val="20"/>
          <w:szCs w:val="20"/>
          <w:lang w:val="en-GB"/>
        </w:rPr>
        <w:t>conducted an internal investigation in February 2021. The SFC subsequently discovered she conducted further person</w:t>
      </w:r>
      <w:r w:rsidR="00A53B3D" w:rsidRPr="001C5E0F">
        <w:rPr>
          <w:rFonts w:ascii="Arial" w:hAnsi="Arial" w:cs="Arial"/>
          <w:sz w:val="20"/>
          <w:szCs w:val="20"/>
          <w:lang w:val="en-GB"/>
        </w:rPr>
        <w:t>al</w:t>
      </w:r>
      <w:r w:rsidRPr="001C5E0F">
        <w:rPr>
          <w:rFonts w:ascii="Arial" w:hAnsi="Arial" w:cs="Arial"/>
          <w:sz w:val="20"/>
          <w:szCs w:val="20"/>
          <w:lang w:val="en-GB"/>
        </w:rPr>
        <w:t xml:space="preserve"> trades without</w:t>
      </w:r>
      <w:r w:rsidR="00282137" w:rsidRPr="001C5E0F">
        <w:rPr>
          <w:rFonts w:ascii="Arial" w:hAnsi="Arial" w:cs="Arial"/>
          <w:sz w:val="20"/>
          <w:szCs w:val="20"/>
          <w:lang w:val="en-GB"/>
        </w:rPr>
        <w:t xml:space="preserve"> approval even after she informed </w:t>
      </w:r>
      <w:r w:rsidR="00A53B3D" w:rsidRPr="001C5E0F">
        <w:rPr>
          <w:rFonts w:ascii="Arial" w:hAnsi="Arial" w:cs="Arial"/>
          <w:sz w:val="20"/>
          <w:szCs w:val="20"/>
          <w:lang w:val="en-GB"/>
        </w:rPr>
        <w:t xml:space="preserve">China Galaxy </w:t>
      </w:r>
      <w:r w:rsidR="006E2641" w:rsidRPr="001C5E0F">
        <w:rPr>
          <w:rFonts w:ascii="Arial" w:hAnsi="Arial" w:cs="Arial"/>
          <w:sz w:val="20"/>
          <w:szCs w:val="20"/>
          <w:lang w:val="en-GB"/>
        </w:rPr>
        <w:t xml:space="preserve">she would close the Accounts; and </w:t>
      </w:r>
      <w:r w:rsidR="00282137" w:rsidRPr="001C5E0F">
        <w:rPr>
          <w:rFonts w:ascii="Arial" w:hAnsi="Arial" w:cs="Arial"/>
          <w:sz w:val="20"/>
          <w:szCs w:val="20"/>
          <w:lang w:val="en-GB"/>
        </w:rPr>
        <w:t xml:space="preserve"> </w:t>
      </w:r>
    </w:p>
    <w:p w:rsidR="00516468" w:rsidRPr="001C5E0F" w:rsidRDefault="00516468" w:rsidP="00813E7F">
      <w:pPr>
        <w:pStyle w:val="a4"/>
        <w:jc w:val="both"/>
        <w:rPr>
          <w:rFonts w:ascii="Arial" w:hAnsi="Arial" w:cs="Arial"/>
          <w:sz w:val="20"/>
          <w:szCs w:val="20"/>
          <w:lang w:val="en-GB"/>
        </w:rPr>
      </w:pPr>
    </w:p>
    <w:p w:rsidR="00FC3F97" w:rsidRPr="001C5E0F" w:rsidRDefault="001C5E0F" w:rsidP="00813E7F">
      <w:pPr>
        <w:pStyle w:val="a4"/>
        <w:numPr>
          <w:ilvl w:val="0"/>
          <w:numId w:val="5"/>
        </w:numPr>
        <w:jc w:val="both"/>
        <w:rPr>
          <w:rFonts w:ascii="Arial" w:hAnsi="Arial" w:cs="Arial"/>
          <w:sz w:val="20"/>
          <w:szCs w:val="20"/>
          <w:lang w:val="en-GB"/>
        </w:rPr>
      </w:pPr>
      <w:r w:rsidRPr="001C5E0F">
        <w:rPr>
          <w:rFonts w:ascii="Arial" w:hAnsi="Arial" w:cs="Arial"/>
          <w:sz w:val="20"/>
          <w:szCs w:val="20"/>
          <w:lang w:val="en-GB"/>
        </w:rPr>
        <w:t>c</w:t>
      </w:r>
      <w:r w:rsidR="00FC3F97" w:rsidRPr="001C5E0F">
        <w:rPr>
          <w:rFonts w:ascii="Arial" w:hAnsi="Arial" w:cs="Arial"/>
          <w:sz w:val="20"/>
          <w:szCs w:val="20"/>
          <w:lang w:val="en-GB"/>
        </w:rPr>
        <w:t xml:space="preserve">onducting securities transactions that were prohibited by the Policy, </w:t>
      </w:r>
      <w:r w:rsidR="00282137" w:rsidRPr="001C5E0F">
        <w:rPr>
          <w:rFonts w:ascii="Arial" w:hAnsi="Arial" w:cs="Arial"/>
          <w:sz w:val="20"/>
          <w:szCs w:val="20"/>
          <w:lang w:val="en-GB"/>
        </w:rPr>
        <w:t>namely deal</w:t>
      </w:r>
      <w:r w:rsidR="00D85C66">
        <w:rPr>
          <w:rFonts w:ascii="Arial" w:hAnsi="Arial" w:cs="Arial"/>
          <w:sz w:val="20"/>
          <w:szCs w:val="20"/>
          <w:lang w:val="en-GB"/>
        </w:rPr>
        <w:t>ing</w:t>
      </w:r>
      <w:r w:rsidR="00282137" w:rsidRPr="001C5E0F">
        <w:rPr>
          <w:rFonts w:ascii="Arial" w:hAnsi="Arial" w:cs="Arial"/>
          <w:sz w:val="20"/>
          <w:szCs w:val="20"/>
          <w:lang w:val="en-GB"/>
        </w:rPr>
        <w:t xml:space="preserve"> in a stock on </w:t>
      </w:r>
      <w:r w:rsidR="00A53B3D" w:rsidRPr="001C5E0F">
        <w:rPr>
          <w:rFonts w:ascii="Arial" w:hAnsi="Arial" w:cs="Arial"/>
          <w:sz w:val="20"/>
          <w:szCs w:val="20"/>
          <w:lang w:val="en-GB"/>
        </w:rPr>
        <w:t>China Galaxy</w:t>
      </w:r>
      <w:r w:rsidR="00282137" w:rsidRPr="001C5E0F">
        <w:rPr>
          <w:rFonts w:ascii="Arial" w:hAnsi="Arial" w:cs="Arial"/>
          <w:sz w:val="20"/>
          <w:szCs w:val="20"/>
          <w:lang w:val="en-GB"/>
        </w:rPr>
        <w:t>’s restricted list and engaging in day trading on two occasions</w:t>
      </w:r>
      <w:r w:rsidR="00516468" w:rsidRPr="001C5E0F">
        <w:rPr>
          <w:rFonts w:ascii="Arial" w:hAnsi="Arial" w:cs="Arial"/>
          <w:sz w:val="20"/>
          <w:szCs w:val="20"/>
          <w:lang w:val="en-GB"/>
        </w:rPr>
        <w:t xml:space="preserve">.   </w:t>
      </w:r>
    </w:p>
    <w:p w:rsidR="00081061" w:rsidRPr="001C5E0F" w:rsidRDefault="00D85C66" w:rsidP="00813E7F">
      <w:pPr>
        <w:jc w:val="both"/>
        <w:rPr>
          <w:rFonts w:ascii="Arial" w:hAnsi="Arial" w:cs="Arial"/>
          <w:sz w:val="20"/>
          <w:szCs w:val="20"/>
          <w:lang w:val="en-GB"/>
        </w:rPr>
      </w:pPr>
      <w:r w:rsidRPr="001C5E0F">
        <w:rPr>
          <w:rFonts w:ascii="Arial" w:hAnsi="Arial" w:cs="Arial"/>
          <w:sz w:val="20"/>
          <w:szCs w:val="20"/>
          <w:lang w:val="en-GB"/>
        </w:rPr>
        <w:t xml:space="preserve">China Galaxy’s </w:t>
      </w:r>
      <w:r>
        <w:rPr>
          <w:rFonts w:ascii="Arial" w:hAnsi="Arial" w:cs="Arial"/>
          <w:sz w:val="20"/>
          <w:szCs w:val="20"/>
          <w:lang w:val="en-GB"/>
        </w:rPr>
        <w:t xml:space="preserve">Policy reflected the requirements of </w:t>
      </w:r>
      <w:r w:rsidR="00081061" w:rsidRPr="001C5E0F">
        <w:rPr>
          <w:rFonts w:ascii="Arial" w:hAnsi="Arial" w:cs="Arial"/>
          <w:sz w:val="20"/>
          <w:szCs w:val="20"/>
          <w:lang w:val="en-GB"/>
        </w:rPr>
        <w:t xml:space="preserve">paragraph 12.2 of the </w:t>
      </w:r>
      <w:r w:rsidR="00DB6DAE">
        <w:rPr>
          <w:rFonts w:ascii="Arial" w:hAnsi="Arial" w:cs="Arial"/>
          <w:sz w:val="20"/>
          <w:szCs w:val="20"/>
          <w:lang w:val="en-GB"/>
        </w:rPr>
        <w:t xml:space="preserve">SFC </w:t>
      </w:r>
      <w:r w:rsidR="00081061" w:rsidRPr="001C5E0F">
        <w:rPr>
          <w:rFonts w:ascii="Arial" w:hAnsi="Arial" w:cs="Arial"/>
          <w:sz w:val="20"/>
          <w:szCs w:val="20"/>
          <w:lang w:val="en-GB"/>
        </w:rPr>
        <w:t xml:space="preserve">Code of Conduct, </w:t>
      </w:r>
      <w:r w:rsidR="00DB6DAE">
        <w:rPr>
          <w:rFonts w:ascii="Arial" w:hAnsi="Arial" w:cs="Arial"/>
          <w:sz w:val="20"/>
          <w:szCs w:val="20"/>
          <w:lang w:val="en-GB"/>
        </w:rPr>
        <w:t xml:space="preserve">which requires </w:t>
      </w:r>
      <w:r w:rsidR="00081061" w:rsidRPr="001C5E0F">
        <w:rPr>
          <w:rFonts w:ascii="Arial" w:hAnsi="Arial" w:cs="Arial"/>
          <w:sz w:val="20"/>
          <w:szCs w:val="20"/>
          <w:lang w:val="en-GB"/>
        </w:rPr>
        <w:t xml:space="preserve">licensed corporations to implement procedures and policies on employee trading and </w:t>
      </w:r>
      <w:r w:rsidR="00DB6DAE">
        <w:rPr>
          <w:rFonts w:ascii="Arial" w:hAnsi="Arial" w:cs="Arial"/>
          <w:sz w:val="20"/>
          <w:szCs w:val="20"/>
          <w:lang w:val="en-GB"/>
        </w:rPr>
        <w:t xml:space="preserve">to </w:t>
      </w:r>
      <w:r w:rsidR="00081061" w:rsidRPr="001C5E0F">
        <w:rPr>
          <w:rFonts w:ascii="Arial" w:hAnsi="Arial" w:cs="Arial"/>
          <w:sz w:val="20"/>
          <w:szCs w:val="20"/>
          <w:lang w:val="en-GB"/>
        </w:rPr>
        <w:t xml:space="preserve">actively </w:t>
      </w:r>
      <w:r w:rsidR="00081061" w:rsidRPr="001C5E0F">
        <w:rPr>
          <w:rFonts w:ascii="Arial" w:hAnsi="Arial" w:cs="Arial"/>
          <w:sz w:val="20"/>
          <w:szCs w:val="20"/>
          <w:lang w:val="en-GB"/>
        </w:rPr>
        <w:lastRenderedPageBreak/>
        <w:t>monitor trading activities in their employees</w:t>
      </w:r>
      <w:r w:rsidR="00DB6DAE">
        <w:rPr>
          <w:rFonts w:ascii="Arial" w:hAnsi="Arial" w:cs="Arial"/>
          <w:sz w:val="20"/>
          <w:szCs w:val="20"/>
          <w:lang w:val="en-GB"/>
        </w:rPr>
        <w:t>’</w:t>
      </w:r>
      <w:r w:rsidR="00081061" w:rsidRPr="001C5E0F">
        <w:rPr>
          <w:rFonts w:ascii="Arial" w:hAnsi="Arial" w:cs="Arial"/>
          <w:sz w:val="20"/>
          <w:szCs w:val="20"/>
          <w:lang w:val="en-GB"/>
        </w:rPr>
        <w:t xml:space="preserve"> accounts and their related accounts</w:t>
      </w:r>
      <w:r w:rsidR="001C5E0F" w:rsidRPr="001C5E0F">
        <w:rPr>
          <w:rFonts w:ascii="Arial" w:hAnsi="Arial" w:cs="Arial"/>
          <w:sz w:val="20"/>
          <w:szCs w:val="20"/>
          <w:lang w:val="en-GB"/>
        </w:rPr>
        <w:t xml:space="preserve">. The SFC determined </w:t>
      </w:r>
      <w:r w:rsidR="00DB6DAE">
        <w:rPr>
          <w:rFonts w:ascii="Arial" w:hAnsi="Arial" w:cs="Arial"/>
          <w:sz w:val="20"/>
          <w:szCs w:val="20"/>
          <w:lang w:val="en-GB"/>
        </w:rPr>
        <w:t xml:space="preserve">that </w:t>
      </w:r>
      <w:r w:rsidR="00081061" w:rsidRPr="001C5E0F">
        <w:rPr>
          <w:rFonts w:ascii="Arial" w:hAnsi="Arial" w:cs="Arial"/>
          <w:sz w:val="20"/>
          <w:szCs w:val="20"/>
          <w:lang w:val="en-GB"/>
        </w:rPr>
        <w:t xml:space="preserve">Tang’s failure to disclose and obtain </w:t>
      </w:r>
      <w:r w:rsidR="00DB6DAE" w:rsidRPr="001C5E0F">
        <w:rPr>
          <w:rFonts w:ascii="Arial" w:hAnsi="Arial" w:cs="Arial"/>
          <w:sz w:val="20"/>
          <w:szCs w:val="20"/>
          <w:lang w:val="en-GB"/>
        </w:rPr>
        <w:t xml:space="preserve">China Galaxy’s </w:t>
      </w:r>
      <w:r w:rsidR="00081061" w:rsidRPr="001C5E0F">
        <w:rPr>
          <w:rFonts w:ascii="Arial" w:hAnsi="Arial" w:cs="Arial"/>
          <w:sz w:val="20"/>
          <w:szCs w:val="20"/>
          <w:lang w:val="en-GB"/>
        </w:rPr>
        <w:t>prior approval for opening and maint</w:t>
      </w:r>
      <w:r w:rsidR="00DB6DAE">
        <w:rPr>
          <w:rFonts w:ascii="Arial" w:hAnsi="Arial" w:cs="Arial"/>
          <w:sz w:val="20"/>
          <w:szCs w:val="20"/>
          <w:lang w:val="en-GB"/>
        </w:rPr>
        <w:t xml:space="preserve">aining </w:t>
      </w:r>
      <w:r w:rsidR="00081061" w:rsidRPr="001C5E0F">
        <w:rPr>
          <w:rFonts w:ascii="Arial" w:hAnsi="Arial" w:cs="Arial"/>
          <w:sz w:val="20"/>
          <w:szCs w:val="20"/>
          <w:lang w:val="en-GB"/>
        </w:rPr>
        <w:t xml:space="preserve">the Accounts enabled her to circumvent </w:t>
      </w:r>
      <w:r w:rsidR="00A53B3D" w:rsidRPr="001C5E0F">
        <w:rPr>
          <w:rFonts w:ascii="Arial" w:hAnsi="Arial" w:cs="Arial"/>
          <w:sz w:val="20"/>
          <w:szCs w:val="20"/>
          <w:lang w:val="en-GB"/>
        </w:rPr>
        <w:t>China Galaxy</w:t>
      </w:r>
      <w:r w:rsidR="00081061" w:rsidRPr="001C5E0F">
        <w:rPr>
          <w:rFonts w:ascii="Arial" w:hAnsi="Arial" w:cs="Arial"/>
          <w:sz w:val="20"/>
          <w:szCs w:val="20"/>
          <w:lang w:val="en-GB"/>
        </w:rPr>
        <w:t>’s internal</w:t>
      </w:r>
      <w:r w:rsidR="001C5E0F" w:rsidRPr="001C5E0F">
        <w:rPr>
          <w:rFonts w:ascii="Arial" w:hAnsi="Arial" w:cs="Arial"/>
          <w:sz w:val="20"/>
          <w:szCs w:val="20"/>
          <w:lang w:val="en-GB"/>
        </w:rPr>
        <w:t xml:space="preserve"> controls</w:t>
      </w:r>
      <w:r w:rsidR="00DB6DAE">
        <w:rPr>
          <w:rFonts w:ascii="Arial" w:hAnsi="Arial" w:cs="Arial"/>
          <w:sz w:val="20"/>
          <w:szCs w:val="20"/>
          <w:lang w:val="en-GB"/>
        </w:rPr>
        <w:t xml:space="preserve"> and evade its monitoring of her trading activities</w:t>
      </w:r>
      <w:r w:rsidR="001C5E0F" w:rsidRPr="001C5E0F">
        <w:rPr>
          <w:rFonts w:ascii="Arial" w:hAnsi="Arial" w:cs="Arial"/>
          <w:sz w:val="20"/>
          <w:szCs w:val="20"/>
          <w:lang w:val="en-GB"/>
        </w:rPr>
        <w:t>.</w:t>
      </w:r>
      <w:r w:rsidR="006E2641" w:rsidRPr="001C5E0F">
        <w:rPr>
          <w:rFonts w:ascii="Arial" w:hAnsi="Arial" w:cs="Arial"/>
          <w:sz w:val="20"/>
          <w:szCs w:val="20"/>
          <w:lang w:val="en-GB"/>
        </w:rPr>
        <w:t xml:space="preserve"> </w:t>
      </w:r>
      <w:r w:rsidR="00DB6DAE">
        <w:rPr>
          <w:rFonts w:ascii="Arial" w:hAnsi="Arial" w:cs="Arial"/>
          <w:sz w:val="20"/>
          <w:szCs w:val="20"/>
          <w:lang w:val="en-GB"/>
        </w:rPr>
        <w:t xml:space="preserve">This, together with </w:t>
      </w:r>
      <w:r w:rsidR="00EC1FD5" w:rsidRPr="001C5E0F">
        <w:rPr>
          <w:rFonts w:ascii="Arial" w:hAnsi="Arial" w:cs="Arial"/>
          <w:sz w:val="20"/>
          <w:szCs w:val="20"/>
          <w:lang w:val="en-GB"/>
        </w:rPr>
        <w:t>her false and misleading decl</w:t>
      </w:r>
      <w:r w:rsidR="00DB6DAE">
        <w:rPr>
          <w:rFonts w:ascii="Arial" w:hAnsi="Arial" w:cs="Arial"/>
          <w:sz w:val="20"/>
          <w:szCs w:val="20"/>
          <w:lang w:val="en-GB"/>
        </w:rPr>
        <w:t>a</w:t>
      </w:r>
      <w:r w:rsidR="00EC1FD5" w:rsidRPr="001C5E0F">
        <w:rPr>
          <w:rFonts w:ascii="Arial" w:hAnsi="Arial" w:cs="Arial"/>
          <w:sz w:val="20"/>
          <w:szCs w:val="20"/>
          <w:lang w:val="en-GB"/>
        </w:rPr>
        <w:t xml:space="preserve">ration and disregard </w:t>
      </w:r>
      <w:r w:rsidR="001305D4">
        <w:rPr>
          <w:rFonts w:ascii="Arial" w:hAnsi="Arial" w:cs="Arial"/>
          <w:sz w:val="20"/>
          <w:szCs w:val="20"/>
          <w:lang w:val="en-GB"/>
        </w:rPr>
        <w:t xml:space="preserve">of </w:t>
      </w:r>
      <w:r w:rsidR="006E2641" w:rsidRPr="001C5E0F">
        <w:rPr>
          <w:rFonts w:ascii="Arial" w:hAnsi="Arial" w:cs="Arial"/>
          <w:sz w:val="20"/>
          <w:szCs w:val="20"/>
          <w:lang w:val="en-GB"/>
        </w:rPr>
        <w:t>the Policy,</w:t>
      </w:r>
      <w:r w:rsidR="001C5E0F" w:rsidRPr="001C5E0F">
        <w:rPr>
          <w:rFonts w:ascii="Arial" w:hAnsi="Arial" w:cs="Arial"/>
          <w:sz w:val="20"/>
          <w:szCs w:val="20"/>
          <w:lang w:val="en-GB"/>
        </w:rPr>
        <w:t xml:space="preserve"> </w:t>
      </w:r>
      <w:r w:rsidR="00DB6DAE">
        <w:rPr>
          <w:rFonts w:ascii="Arial" w:hAnsi="Arial" w:cs="Arial"/>
          <w:sz w:val="20"/>
          <w:szCs w:val="20"/>
          <w:lang w:val="en-GB"/>
        </w:rPr>
        <w:t xml:space="preserve">formed the basis of </w:t>
      </w:r>
      <w:r w:rsidR="001C5E0F" w:rsidRPr="001C5E0F">
        <w:rPr>
          <w:rFonts w:ascii="Arial" w:hAnsi="Arial" w:cs="Arial"/>
          <w:sz w:val="20"/>
          <w:szCs w:val="20"/>
          <w:lang w:val="en-GB"/>
        </w:rPr>
        <w:t>the SFC</w:t>
      </w:r>
      <w:r w:rsidR="00DB6DAE">
        <w:rPr>
          <w:rFonts w:ascii="Arial" w:hAnsi="Arial" w:cs="Arial"/>
          <w:sz w:val="20"/>
          <w:szCs w:val="20"/>
          <w:lang w:val="en-GB"/>
        </w:rPr>
        <w:t>’s</w:t>
      </w:r>
      <w:r w:rsidR="001C5E0F" w:rsidRPr="001C5E0F">
        <w:rPr>
          <w:rFonts w:ascii="Arial" w:hAnsi="Arial" w:cs="Arial"/>
          <w:sz w:val="20"/>
          <w:szCs w:val="20"/>
          <w:lang w:val="en-GB"/>
        </w:rPr>
        <w:t xml:space="preserve"> de</w:t>
      </w:r>
      <w:r w:rsidR="00DB6DAE">
        <w:rPr>
          <w:rFonts w:ascii="Arial" w:hAnsi="Arial" w:cs="Arial"/>
          <w:sz w:val="20"/>
          <w:szCs w:val="20"/>
          <w:lang w:val="en-GB"/>
        </w:rPr>
        <w:t>t</w:t>
      </w:r>
      <w:r w:rsidR="001C5E0F" w:rsidRPr="001C5E0F">
        <w:rPr>
          <w:rFonts w:ascii="Arial" w:hAnsi="Arial" w:cs="Arial"/>
          <w:sz w:val="20"/>
          <w:szCs w:val="20"/>
          <w:lang w:val="en-GB"/>
        </w:rPr>
        <w:t>er</w:t>
      </w:r>
      <w:r w:rsidR="00DB6DAE">
        <w:rPr>
          <w:rFonts w:ascii="Arial" w:hAnsi="Arial" w:cs="Arial"/>
          <w:sz w:val="20"/>
          <w:szCs w:val="20"/>
          <w:lang w:val="en-GB"/>
        </w:rPr>
        <w:t>mination that her</w:t>
      </w:r>
      <w:r w:rsidR="001C5E0F" w:rsidRPr="001C5E0F">
        <w:rPr>
          <w:rFonts w:ascii="Arial" w:hAnsi="Arial" w:cs="Arial"/>
          <w:sz w:val="20"/>
          <w:szCs w:val="20"/>
          <w:lang w:val="en-GB"/>
        </w:rPr>
        <w:t xml:space="preserve"> conduct </w:t>
      </w:r>
      <w:r w:rsidR="00DB6DAE">
        <w:rPr>
          <w:rFonts w:ascii="Arial" w:hAnsi="Arial" w:cs="Arial"/>
          <w:sz w:val="20"/>
          <w:szCs w:val="20"/>
          <w:lang w:val="en-GB"/>
        </w:rPr>
        <w:t>was</w:t>
      </w:r>
      <w:r w:rsidR="001C5E0F" w:rsidRPr="001C5E0F">
        <w:rPr>
          <w:rFonts w:ascii="Arial" w:hAnsi="Arial" w:cs="Arial"/>
          <w:sz w:val="20"/>
          <w:szCs w:val="20"/>
          <w:lang w:val="en-GB"/>
        </w:rPr>
        <w:t xml:space="preserve"> </w:t>
      </w:r>
      <w:r w:rsidR="00081061" w:rsidRPr="001C5E0F">
        <w:rPr>
          <w:rFonts w:ascii="Arial" w:hAnsi="Arial" w:cs="Arial"/>
          <w:sz w:val="20"/>
          <w:szCs w:val="20"/>
          <w:lang w:val="en-GB"/>
        </w:rPr>
        <w:t>“</w:t>
      </w:r>
      <w:r w:rsidR="001C5E0F" w:rsidRPr="001C5E0F">
        <w:rPr>
          <w:rFonts w:ascii="Arial" w:hAnsi="Arial" w:cs="Arial"/>
          <w:sz w:val="20"/>
          <w:szCs w:val="20"/>
          <w:lang w:val="en-GB"/>
        </w:rPr>
        <w:t>wilful</w:t>
      </w:r>
      <w:r w:rsidR="006E2641" w:rsidRPr="001C5E0F">
        <w:rPr>
          <w:rFonts w:ascii="Arial" w:hAnsi="Arial" w:cs="Arial"/>
          <w:sz w:val="20"/>
          <w:szCs w:val="20"/>
          <w:lang w:val="en-GB"/>
        </w:rPr>
        <w:t xml:space="preserve"> </w:t>
      </w:r>
      <w:r w:rsidR="00081061" w:rsidRPr="001C5E0F">
        <w:rPr>
          <w:rFonts w:ascii="Arial" w:hAnsi="Arial" w:cs="Arial"/>
          <w:sz w:val="20"/>
          <w:szCs w:val="20"/>
          <w:lang w:val="en-GB"/>
        </w:rPr>
        <w:t xml:space="preserve">and dishonest”. </w:t>
      </w:r>
      <w:r w:rsidR="00DB6DAE">
        <w:rPr>
          <w:rFonts w:ascii="Arial" w:hAnsi="Arial" w:cs="Arial"/>
          <w:sz w:val="20"/>
          <w:szCs w:val="20"/>
          <w:lang w:val="en-GB"/>
        </w:rPr>
        <w:t>It thus reached the view that Tang was not a fit and proper person to be licensed</w:t>
      </w:r>
      <w:r w:rsidR="00271250">
        <w:rPr>
          <w:rFonts w:ascii="Arial" w:hAnsi="Arial" w:cs="Arial"/>
          <w:sz w:val="20"/>
          <w:szCs w:val="20"/>
          <w:lang w:val="en-GB"/>
        </w:rPr>
        <w:t xml:space="preserve">. </w:t>
      </w:r>
    </w:p>
    <w:p w:rsidR="00081061" w:rsidRPr="001C5E0F" w:rsidRDefault="00081061" w:rsidP="00813E7F">
      <w:pPr>
        <w:jc w:val="both"/>
        <w:rPr>
          <w:rFonts w:ascii="Arial" w:hAnsi="Arial" w:cs="Arial"/>
          <w:sz w:val="20"/>
          <w:szCs w:val="20"/>
          <w:lang w:val="en-GB"/>
        </w:rPr>
      </w:pPr>
      <w:r w:rsidRPr="001C5E0F">
        <w:rPr>
          <w:rFonts w:ascii="Arial" w:hAnsi="Arial" w:cs="Arial"/>
          <w:sz w:val="20"/>
          <w:szCs w:val="20"/>
          <w:lang w:val="en-GB"/>
        </w:rPr>
        <w:t>In reaching i</w:t>
      </w:r>
      <w:r w:rsidR="00C53188" w:rsidRPr="001C5E0F">
        <w:rPr>
          <w:rFonts w:ascii="Arial" w:hAnsi="Arial" w:cs="Arial"/>
          <w:sz w:val="20"/>
          <w:szCs w:val="20"/>
          <w:lang w:val="en-GB"/>
        </w:rPr>
        <w:t xml:space="preserve">ts decision to suspend Tang, the SFC took into account the following: </w:t>
      </w:r>
    </w:p>
    <w:p w:rsidR="0027381F" w:rsidRPr="001C5E0F" w:rsidRDefault="0027381F" w:rsidP="00813E7F">
      <w:pPr>
        <w:pStyle w:val="a4"/>
        <w:numPr>
          <w:ilvl w:val="0"/>
          <w:numId w:val="14"/>
        </w:numPr>
        <w:jc w:val="both"/>
        <w:rPr>
          <w:rFonts w:ascii="Arial" w:hAnsi="Arial" w:cs="Arial"/>
          <w:sz w:val="20"/>
          <w:szCs w:val="20"/>
          <w:lang w:val="en-GB"/>
        </w:rPr>
      </w:pPr>
      <w:r w:rsidRPr="001C5E0F">
        <w:rPr>
          <w:rFonts w:ascii="Arial" w:hAnsi="Arial" w:cs="Arial"/>
          <w:sz w:val="20"/>
          <w:szCs w:val="20"/>
          <w:lang w:val="en-GB"/>
        </w:rPr>
        <w:t>Tang’</w:t>
      </w:r>
      <w:r w:rsidR="00EC1FD5" w:rsidRPr="001C5E0F">
        <w:rPr>
          <w:rFonts w:ascii="Arial" w:hAnsi="Arial" w:cs="Arial"/>
          <w:sz w:val="20"/>
          <w:szCs w:val="20"/>
          <w:lang w:val="en-GB"/>
        </w:rPr>
        <w:t>s clean SFC disciplinary record;</w:t>
      </w:r>
    </w:p>
    <w:p w:rsidR="00B91847" w:rsidRPr="001C5E0F" w:rsidRDefault="00B91847" w:rsidP="00813E7F">
      <w:pPr>
        <w:pStyle w:val="a4"/>
        <w:jc w:val="both"/>
        <w:rPr>
          <w:rFonts w:ascii="Arial" w:hAnsi="Arial" w:cs="Arial"/>
          <w:sz w:val="20"/>
          <w:szCs w:val="20"/>
          <w:lang w:val="en-GB"/>
        </w:rPr>
      </w:pPr>
    </w:p>
    <w:p w:rsidR="0027381F" w:rsidRPr="001C5E0F" w:rsidRDefault="0027381F" w:rsidP="00813E7F">
      <w:pPr>
        <w:pStyle w:val="a4"/>
        <w:numPr>
          <w:ilvl w:val="0"/>
          <w:numId w:val="14"/>
        </w:numPr>
        <w:jc w:val="both"/>
        <w:rPr>
          <w:rFonts w:ascii="Arial" w:hAnsi="Arial" w:cs="Arial"/>
          <w:sz w:val="20"/>
          <w:szCs w:val="20"/>
          <w:lang w:val="en-GB"/>
        </w:rPr>
      </w:pPr>
      <w:r w:rsidRPr="001C5E0F">
        <w:rPr>
          <w:rFonts w:ascii="Arial" w:hAnsi="Arial" w:cs="Arial"/>
          <w:sz w:val="20"/>
          <w:szCs w:val="20"/>
          <w:lang w:val="en-GB"/>
        </w:rPr>
        <w:t>the need for a deterrent message</w:t>
      </w:r>
      <w:r w:rsidR="00EC1FD5" w:rsidRPr="001C5E0F">
        <w:rPr>
          <w:rFonts w:ascii="Arial" w:hAnsi="Arial" w:cs="Arial"/>
          <w:sz w:val="20"/>
          <w:szCs w:val="20"/>
          <w:lang w:val="en-GB"/>
        </w:rPr>
        <w:t xml:space="preserve"> to be sent to the market</w:t>
      </w:r>
      <w:r w:rsidRPr="001C5E0F">
        <w:rPr>
          <w:rFonts w:ascii="Arial" w:hAnsi="Arial" w:cs="Arial"/>
          <w:sz w:val="20"/>
          <w:szCs w:val="20"/>
          <w:lang w:val="en-GB"/>
        </w:rPr>
        <w:t xml:space="preserve"> that the SFC will not tolerate deliberate circumvention of internal control policies by licensed individuals</w:t>
      </w:r>
      <w:r w:rsidR="00EC1FD5" w:rsidRPr="001C5E0F">
        <w:rPr>
          <w:rFonts w:ascii="Arial" w:hAnsi="Arial" w:cs="Arial"/>
          <w:sz w:val="20"/>
          <w:szCs w:val="20"/>
          <w:lang w:val="en-GB"/>
        </w:rPr>
        <w:t>;</w:t>
      </w:r>
      <w:r w:rsidRPr="001C5E0F">
        <w:rPr>
          <w:rFonts w:ascii="Arial" w:hAnsi="Arial" w:cs="Arial"/>
          <w:sz w:val="20"/>
          <w:szCs w:val="20"/>
          <w:lang w:val="en-GB"/>
        </w:rPr>
        <w:t xml:space="preserve"> </w:t>
      </w:r>
    </w:p>
    <w:p w:rsidR="00B91847" w:rsidRPr="001C5E0F" w:rsidRDefault="00B91847" w:rsidP="00813E7F">
      <w:pPr>
        <w:pStyle w:val="a4"/>
        <w:jc w:val="both"/>
        <w:rPr>
          <w:rFonts w:ascii="Arial" w:hAnsi="Arial" w:cs="Arial"/>
          <w:sz w:val="20"/>
          <w:szCs w:val="20"/>
          <w:lang w:val="en-GB"/>
        </w:rPr>
      </w:pPr>
    </w:p>
    <w:p w:rsidR="00C53188" w:rsidRPr="001C5E0F" w:rsidRDefault="006E2641" w:rsidP="00813E7F">
      <w:pPr>
        <w:pStyle w:val="a4"/>
        <w:numPr>
          <w:ilvl w:val="0"/>
          <w:numId w:val="14"/>
        </w:numPr>
        <w:jc w:val="both"/>
        <w:rPr>
          <w:rFonts w:ascii="Arial" w:hAnsi="Arial" w:cs="Arial"/>
          <w:sz w:val="20"/>
          <w:szCs w:val="20"/>
          <w:lang w:val="en-GB"/>
        </w:rPr>
      </w:pPr>
      <w:r w:rsidRPr="001C5E0F">
        <w:rPr>
          <w:rFonts w:ascii="Arial" w:hAnsi="Arial" w:cs="Arial"/>
          <w:sz w:val="20"/>
          <w:szCs w:val="20"/>
          <w:lang w:val="en-GB"/>
        </w:rPr>
        <w:t xml:space="preserve">the duration of Tang’s breaches, </w:t>
      </w:r>
      <w:r w:rsidR="00C53188" w:rsidRPr="001C5E0F">
        <w:rPr>
          <w:rFonts w:ascii="Arial" w:hAnsi="Arial" w:cs="Arial"/>
          <w:sz w:val="20"/>
          <w:szCs w:val="20"/>
          <w:lang w:val="en-GB"/>
        </w:rPr>
        <w:t xml:space="preserve">which lasted over </w:t>
      </w:r>
      <w:r w:rsidR="00EC1FD5" w:rsidRPr="001C5E0F">
        <w:rPr>
          <w:rFonts w:ascii="Arial" w:hAnsi="Arial" w:cs="Arial"/>
          <w:sz w:val="20"/>
          <w:szCs w:val="20"/>
          <w:lang w:val="en-GB"/>
        </w:rPr>
        <w:t xml:space="preserve">one and a half years, involved </w:t>
      </w:r>
      <w:r w:rsidR="00C53188" w:rsidRPr="001C5E0F">
        <w:rPr>
          <w:rFonts w:ascii="Arial" w:hAnsi="Arial" w:cs="Arial"/>
          <w:sz w:val="20"/>
          <w:szCs w:val="20"/>
          <w:lang w:val="en-GB"/>
        </w:rPr>
        <w:t>148 transactions</w:t>
      </w:r>
      <w:r w:rsidR="00282137" w:rsidRPr="001C5E0F">
        <w:rPr>
          <w:rFonts w:ascii="Arial" w:hAnsi="Arial" w:cs="Arial"/>
          <w:sz w:val="20"/>
          <w:szCs w:val="20"/>
          <w:lang w:val="en-GB"/>
        </w:rPr>
        <w:t xml:space="preserve"> made between February 2020 and 2021</w:t>
      </w:r>
      <w:r w:rsidR="00C53188" w:rsidRPr="001C5E0F">
        <w:rPr>
          <w:rFonts w:ascii="Arial" w:hAnsi="Arial" w:cs="Arial"/>
          <w:sz w:val="20"/>
          <w:szCs w:val="20"/>
          <w:lang w:val="en-GB"/>
        </w:rPr>
        <w:t xml:space="preserve"> </w:t>
      </w:r>
      <w:r w:rsidR="00EC1FD5" w:rsidRPr="001C5E0F">
        <w:rPr>
          <w:rFonts w:ascii="Arial" w:hAnsi="Arial" w:cs="Arial"/>
          <w:sz w:val="20"/>
          <w:szCs w:val="20"/>
          <w:lang w:val="en-GB"/>
        </w:rPr>
        <w:t xml:space="preserve">and </w:t>
      </w:r>
      <w:r w:rsidR="00C53188" w:rsidRPr="001C5E0F">
        <w:rPr>
          <w:rFonts w:ascii="Arial" w:hAnsi="Arial" w:cs="Arial"/>
          <w:sz w:val="20"/>
          <w:szCs w:val="20"/>
          <w:lang w:val="en-GB"/>
        </w:rPr>
        <w:t>tota</w:t>
      </w:r>
      <w:r w:rsidR="001C5E0F" w:rsidRPr="001C5E0F">
        <w:rPr>
          <w:rFonts w:ascii="Arial" w:hAnsi="Arial" w:cs="Arial"/>
          <w:sz w:val="20"/>
          <w:szCs w:val="20"/>
          <w:lang w:val="en-GB"/>
        </w:rPr>
        <w:t>l</w:t>
      </w:r>
      <w:r w:rsidR="00C53188" w:rsidRPr="001C5E0F">
        <w:rPr>
          <w:rFonts w:ascii="Arial" w:hAnsi="Arial" w:cs="Arial"/>
          <w:sz w:val="20"/>
          <w:szCs w:val="20"/>
          <w:lang w:val="en-GB"/>
        </w:rPr>
        <w:t>l</w:t>
      </w:r>
      <w:r w:rsidR="00EC1FD5" w:rsidRPr="001C5E0F">
        <w:rPr>
          <w:rFonts w:ascii="Arial" w:hAnsi="Arial" w:cs="Arial"/>
          <w:sz w:val="20"/>
          <w:szCs w:val="20"/>
          <w:lang w:val="en-GB"/>
        </w:rPr>
        <w:t>ed</w:t>
      </w:r>
      <w:r w:rsidR="00005CE4">
        <w:rPr>
          <w:rFonts w:ascii="Arial" w:hAnsi="Arial" w:cs="Arial"/>
          <w:sz w:val="20"/>
          <w:szCs w:val="20"/>
          <w:lang w:val="en-GB"/>
        </w:rPr>
        <w:t xml:space="preserve"> over HK$</w:t>
      </w:r>
      <w:r w:rsidR="00C53188" w:rsidRPr="001C5E0F">
        <w:rPr>
          <w:rFonts w:ascii="Arial" w:hAnsi="Arial" w:cs="Arial"/>
          <w:sz w:val="20"/>
          <w:szCs w:val="20"/>
          <w:lang w:val="en-GB"/>
        </w:rPr>
        <w:t>1.7 million;</w:t>
      </w:r>
      <w:r w:rsidR="004A2336">
        <w:rPr>
          <w:rFonts w:ascii="Arial" w:hAnsi="Arial" w:cs="Arial"/>
          <w:sz w:val="20"/>
          <w:szCs w:val="20"/>
          <w:lang w:val="en-GB"/>
        </w:rPr>
        <w:t xml:space="preserve"> and</w:t>
      </w:r>
    </w:p>
    <w:p w:rsidR="00B91847" w:rsidRPr="001C5E0F" w:rsidRDefault="00B91847" w:rsidP="00813E7F">
      <w:pPr>
        <w:pStyle w:val="a4"/>
        <w:jc w:val="both"/>
        <w:rPr>
          <w:rFonts w:ascii="Arial" w:hAnsi="Arial" w:cs="Arial"/>
          <w:sz w:val="20"/>
          <w:szCs w:val="20"/>
          <w:lang w:val="en-GB"/>
        </w:rPr>
      </w:pPr>
    </w:p>
    <w:p w:rsidR="00C53188" w:rsidRPr="001C5E0F" w:rsidRDefault="00C53188" w:rsidP="00813E7F">
      <w:pPr>
        <w:pStyle w:val="a4"/>
        <w:numPr>
          <w:ilvl w:val="0"/>
          <w:numId w:val="14"/>
        </w:numPr>
        <w:jc w:val="both"/>
        <w:rPr>
          <w:rFonts w:ascii="Arial" w:hAnsi="Arial" w:cs="Arial"/>
          <w:sz w:val="20"/>
          <w:szCs w:val="20"/>
          <w:lang w:val="en-GB"/>
        </w:rPr>
      </w:pPr>
      <w:r w:rsidRPr="001C5E0F">
        <w:rPr>
          <w:rFonts w:ascii="Arial" w:hAnsi="Arial" w:cs="Arial"/>
          <w:sz w:val="20"/>
          <w:szCs w:val="20"/>
          <w:lang w:val="en-GB"/>
        </w:rPr>
        <w:t xml:space="preserve">the fact that her trading activities in the Accounts prejudiced neither the interest of </w:t>
      </w:r>
      <w:r w:rsidR="00E37ED7" w:rsidRPr="001C5E0F">
        <w:rPr>
          <w:rFonts w:ascii="Arial" w:hAnsi="Arial" w:cs="Arial"/>
          <w:sz w:val="20"/>
          <w:szCs w:val="20"/>
          <w:lang w:val="en-GB"/>
        </w:rPr>
        <w:t xml:space="preserve">China Galaxy’s </w:t>
      </w:r>
      <w:r w:rsidRPr="001C5E0F">
        <w:rPr>
          <w:rFonts w:ascii="Arial" w:hAnsi="Arial" w:cs="Arial"/>
          <w:sz w:val="20"/>
          <w:szCs w:val="20"/>
          <w:lang w:val="en-GB"/>
        </w:rPr>
        <w:t xml:space="preserve">clients </w:t>
      </w:r>
      <w:r w:rsidR="00E37ED7" w:rsidRPr="001C5E0F">
        <w:rPr>
          <w:rFonts w:ascii="Arial" w:hAnsi="Arial" w:cs="Arial"/>
          <w:sz w:val="20"/>
          <w:szCs w:val="20"/>
          <w:lang w:val="en-GB"/>
        </w:rPr>
        <w:t>n</w:t>
      </w:r>
      <w:r w:rsidRPr="001C5E0F">
        <w:rPr>
          <w:rFonts w:ascii="Arial" w:hAnsi="Arial" w:cs="Arial"/>
          <w:sz w:val="20"/>
          <w:szCs w:val="20"/>
          <w:lang w:val="en-GB"/>
        </w:rPr>
        <w:t>or</w:t>
      </w:r>
      <w:r w:rsidR="00EC1FD5" w:rsidRPr="001C5E0F">
        <w:rPr>
          <w:rFonts w:ascii="Arial" w:hAnsi="Arial" w:cs="Arial"/>
          <w:sz w:val="20"/>
          <w:szCs w:val="20"/>
          <w:lang w:val="en-GB"/>
        </w:rPr>
        <w:t xml:space="preserve"> </w:t>
      </w:r>
      <w:r w:rsidRPr="001C5E0F">
        <w:rPr>
          <w:rFonts w:ascii="Arial" w:hAnsi="Arial" w:cs="Arial"/>
          <w:sz w:val="20"/>
          <w:szCs w:val="20"/>
          <w:lang w:val="en-GB"/>
        </w:rPr>
        <w:t>market integrity</w:t>
      </w:r>
      <w:r w:rsidR="00B91847" w:rsidRPr="001C5E0F">
        <w:rPr>
          <w:rFonts w:ascii="Arial" w:hAnsi="Arial" w:cs="Arial"/>
          <w:sz w:val="20"/>
          <w:szCs w:val="20"/>
          <w:lang w:val="en-GB"/>
        </w:rPr>
        <w:t>.</w:t>
      </w:r>
      <w:r w:rsidRPr="001C5E0F">
        <w:rPr>
          <w:rFonts w:ascii="Arial" w:hAnsi="Arial" w:cs="Arial"/>
          <w:sz w:val="20"/>
          <w:szCs w:val="20"/>
          <w:lang w:val="en-GB"/>
        </w:rPr>
        <w:t xml:space="preserve"> </w:t>
      </w:r>
    </w:p>
    <w:p w:rsidR="008149C6" w:rsidRDefault="00FD1DAB" w:rsidP="00813E7F">
      <w:pPr>
        <w:jc w:val="both"/>
        <w:rPr>
          <w:rFonts w:ascii="Arial" w:hAnsi="Arial" w:cs="Arial"/>
          <w:color w:val="FF0000"/>
          <w:sz w:val="20"/>
          <w:szCs w:val="20"/>
          <w:lang w:val="en-GB"/>
        </w:rPr>
      </w:pPr>
      <w:r w:rsidRPr="001C5E0F">
        <w:rPr>
          <w:rFonts w:ascii="Arial" w:hAnsi="Arial" w:cs="Arial"/>
          <w:sz w:val="20"/>
          <w:szCs w:val="20"/>
          <w:lang w:val="en-GB"/>
        </w:rPr>
        <w:t xml:space="preserve">The SFC’s Statement of Disciplinary Action against Tang can be found on the SFC website </w:t>
      </w:r>
      <w:hyperlink r:id="rId13" w:history="1">
        <w:r w:rsidRPr="001C5E0F">
          <w:rPr>
            <w:rStyle w:val="a3"/>
            <w:rFonts w:ascii="Arial" w:hAnsi="Arial" w:cs="Arial"/>
            <w:color w:val="FF0000"/>
            <w:sz w:val="20"/>
            <w:szCs w:val="20"/>
            <w:u w:val="none"/>
            <w:lang w:val="en-GB"/>
          </w:rPr>
          <w:t>here</w:t>
        </w:r>
      </w:hyperlink>
      <w:r w:rsidR="00EC1FD5" w:rsidRPr="00F14E64">
        <w:rPr>
          <w:rFonts w:ascii="Arial" w:hAnsi="Arial" w:cs="Arial"/>
          <w:sz w:val="20"/>
          <w:szCs w:val="20"/>
          <w:lang w:val="en-GB"/>
        </w:rPr>
        <w:t>.</w:t>
      </w:r>
    </w:p>
    <w:p w:rsidR="008F73F5" w:rsidRPr="001C5E0F" w:rsidRDefault="008F73F5" w:rsidP="00813E7F">
      <w:pPr>
        <w:jc w:val="both"/>
        <w:rPr>
          <w:rFonts w:ascii="Arial" w:hAnsi="Arial" w:cs="Arial"/>
          <w:b/>
          <w:color w:val="FF0000"/>
          <w:sz w:val="20"/>
          <w:szCs w:val="20"/>
          <w:lang w:val="en-GB"/>
        </w:rPr>
      </w:pPr>
      <w:r w:rsidRPr="001C5E0F">
        <w:rPr>
          <w:rFonts w:ascii="Arial" w:hAnsi="Arial" w:cs="Arial"/>
          <w:b/>
          <w:color w:val="FF0000"/>
          <w:sz w:val="20"/>
          <w:szCs w:val="20"/>
          <w:lang w:val="en-GB"/>
        </w:rPr>
        <w:t xml:space="preserve">Former Account Executive of Fulbright Securities Limited Jailed for Securities Fraud </w:t>
      </w:r>
    </w:p>
    <w:p w:rsidR="0059666F" w:rsidRPr="001C5E0F" w:rsidRDefault="0059666F" w:rsidP="00813E7F">
      <w:pPr>
        <w:jc w:val="both"/>
        <w:rPr>
          <w:rFonts w:ascii="Arial" w:hAnsi="Arial" w:cs="Arial"/>
          <w:sz w:val="20"/>
          <w:szCs w:val="20"/>
          <w:lang w:val="en-GB"/>
        </w:rPr>
      </w:pPr>
      <w:r w:rsidRPr="001C5E0F">
        <w:rPr>
          <w:rFonts w:ascii="Arial" w:hAnsi="Arial" w:cs="Arial"/>
          <w:sz w:val="20"/>
          <w:szCs w:val="20"/>
          <w:lang w:val="en-GB"/>
        </w:rPr>
        <w:t xml:space="preserve">On 14 October 2022, </w:t>
      </w:r>
      <w:r w:rsidR="0009091A">
        <w:rPr>
          <w:rFonts w:ascii="Arial" w:hAnsi="Arial" w:cs="Arial"/>
          <w:sz w:val="20"/>
          <w:szCs w:val="20"/>
          <w:lang w:val="en-GB"/>
        </w:rPr>
        <w:t>a</w:t>
      </w:r>
      <w:r w:rsidR="00643E21" w:rsidRPr="001C5E0F">
        <w:rPr>
          <w:rFonts w:ascii="Arial" w:hAnsi="Arial" w:cs="Arial"/>
          <w:sz w:val="20"/>
          <w:szCs w:val="20"/>
          <w:lang w:val="en-GB"/>
        </w:rPr>
        <w:t xml:space="preserve"> former account executive of </w:t>
      </w:r>
      <w:r w:rsidRPr="001C5E0F">
        <w:rPr>
          <w:rFonts w:ascii="Arial" w:hAnsi="Arial" w:cs="Arial"/>
          <w:sz w:val="20"/>
          <w:szCs w:val="20"/>
          <w:lang w:val="en-GB"/>
        </w:rPr>
        <w:t>Fulbright</w:t>
      </w:r>
      <w:r w:rsidR="00643E21" w:rsidRPr="001C5E0F">
        <w:rPr>
          <w:rFonts w:ascii="Arial" w:hAnsi="Arial" w:cs="Arial"/>
          <w:sz w:val="20"/>
          <w:szCs w:val="20"/>
          <w:lang w:val="en-GB"/>
        </w:rPr>
        <w:t xml:space="preserve"> Securities Limited</w:t>
      </w:r>
      <w:r w:rsidR="008F18BE" w:rsidRPr="001C5E0F">
        <w:rPr>
          <w:rFonts w:ascii="Arial" w:hAnsi="Arial" w:cs="Arial"/>
          <w:sz w:val="20"/>
          <w:szCs w:val="20"/>
          <w:lang w:val="en-GB"/>
        </w:rPr>
        <w:t>, M</w:t>
      </w:r>
      <w:r w:rsidR="00643E21" w:rsidRPr="001C5E0F">
        <w:rPr>
          <w:rFonts w:ascii="Arial" w:hAnsi="Arial" w:cs="Arial"/>
          <w:sz w:val="20"/>
          <w:szCs w:val="20"/>
          <w:lang w:val="en-GB"/>
        </w:rPr>
        <w:t>r Danny Fung Kwok Shing</w:t>
      </w:r>
      <w:r w:rsidR="00A53B3D" w:rsidRPr="001C5E0F">
        <w:rPr>
          <w:rFonts w:ascii="Arial" w:hAnsi="Arial" w:cs="Arial"/>
          <w:sz w:val="20"/>
          <w:szCs w:val="20"/>
          <w:lang w:val="en-GB"/>
        </w:rPr>
        <w:t xml:space="preserve"> (</w:t>
      </w:r>
      <w:r w:rsidR="00A53B3D" w:rsidRPr="001C5E0F">
        <w:rPr>
          <w:rFonts w:ascii="Arial" w:hAnsi="Arial" w:cs="Arial"/>
          <w:b/>
          <w:sz w:val="20"/>
          <w:szCs w:val="20"/>
          <w:lang w:val="en-GB"/>
        </w:rPr>
        <w:t>Fung</w:t>
      </w:r>
      <w:r w:rsidR="00A53B3D" w:rsidRPr="001C5E0F">
        <w:rPr>
          <w:rFonts w:ascii="Arial" w:hAnsi="Arial" w:cs="Arial"/>
          <w:sz w:val="20"/>
          <w:szCs w:val="20"/>
          <w:lang w:val="en-GB"/>
        </w:rPr>
        <w:t>)</w:t>
      </w:r>
      <w:r w:rsidR="008F18BE" w:rsidRPr="001C5E0F">
        <w:rPr>
          <w:rFonts w:ascii="Arial" w:hAnsi="Arial" w:cs="Arial"/>
          <w:sz w:val="20"/>
          <w:szCs w:val="20"/>
          <w:lang w:val="en-GB"/>
        </w:rPr>
        <w:t>,</w:t>
      </w:r>
      <w:r w:rsidR="00643E21" w:rsidRPr="001C5E0F">
        <w:rPr>
          <w:rFonts w:ascii="Arial" w:hAnsi="Arial" w:cs="Arial"/>
          <w:sz w:val="20"/>
          <w:szCs w:val="20"/>
          <w:lang w:val="en-GB"/>
        </w:rPr>
        <w:t xml:space="preserve"> was convicted in the Eastern Magistrates’ Court </w:t>
      </w:r>
      <w:r w:rsidR="004C699E">
        <w:rPr>
          <w:rFonts w:ascii="Arial" w:hAnsi="Arial" w:cs="Arial"/>
          <w:sz w:val="20"/>
          <w:szCs w:val="20"/>
          <w:lang w:val="en-GB"/>
        </w:rPr>
        <w:t>of</w:t>
      </w:r>
      <w:r w:rsidR="00643E21" w:rsidRPr="001C5E0F">
        <w:rPr>
          <w:rFonts w:ascii="Arial" w:hAnsi="Arial" w:cs="Arial"/>
          <w:sz w:val="20"/>
          <w:szCs w:val="20"/>
          <w:lang w:val="en-GB"/>
        </w:rPr>
        <w:t xml:space="preserve"> employing a fraudulent scheme to effect </w:t>
      </w:r>
      <w:r w:rsidRPr="001C5E0F">
        <w:rPr>
          <w:rFonts w:ascii="Arial" w:hAnsi="Arial" w:cs="Arial"/>
          <w:sz w:val="20"/>
          <w:szCs w:val="20"/>
          <w:lang w:val="en-GB"/>
        </w:rPr>
        <w:t>securities</w:t>
      </w:r>
      <w:r w:rsidR="00643E21" w:rsidRPr="001C5E0F">
        <w:rPr>
          <w:rFonts w:ascii="Arial" w:hAnsi="Arial" w:cs="Arial"/>
          <w:sz w:val="20"/>
          <w:szCs w:val="20"/>
          <w:lang w:val="en-GB"/>
        </w:rPr>
        <w:t xml:space="preserve"> </w:t>
      </w:r>
      <w:r w:rsidRPr="001C5E0F">
        <w:rPr>
          <w:rFonts w:ascii="Arial" w:hAnsi="Arial" w:cs="Arial"/>
          <w:sz w:val="20"/>
          <w:szCs w:val="20"/>
          <w:lang w:val="en-GB"/>
        </w:rPr>
        <w:t>transactions</w:t>
      </w:r>
      <w:r w:rsidR="00643E21" w:rsidRPr="001C5E0F">
        <w:rPr>
          <w:rFonts w:ascii="Arial" w:hAnsi="Arial" w:cs="Arial"/>
          <w:sz w:val="20"/>
          <w:szCs w:val="20"/>
          <w:lang w:val="en-GB"/>
        </w:rPr>
        <w:t xml:space="preserve"> in eight stocks between two securities trading accounts under his control</w:t>
      </w:r>
      <w:r w:rsidR="00A53B3D" w:rsidRPr="001C5E0F">
        <w:rPr>
          <w:rFonts w:ascii="Arial" w:hAnsi="Arial" w:cs="Arial"/>
          <w:sz w:val="20"/>
          <w:szCs w:val="20"/>
          <w:lang w:val="en-GB"/>
        </w:rPr>
        <w:t xml:space="preserve"> (the </w:t>
      </w:r>
      <w:r w:rsidR="00A53B3D" w:rsidRPr="001C5E0F">
        <w:rPr>
          <w:rFonts w:ascii="Arial" w:hAnsi="Arial" w:cs="Arial"/>
          <w:b/>
          <w:sz w:val="20"/>
          <w:szCs w:val="20"/>
          <w:lang w:val="en-GB"/>
        </w:rPr>
        <w:t>Fraudulent Scheme</w:t>
      </w:r>
      <w:r w:rsidR="00A53B3D" w:rsidRPr="001C5E0F">
        <w:rPr>
          <w:rFonts w:ascii="Arial" w:hAnsi="Arial" w:cs="Arial"/>
          <w:sz w:val="20"/>
          <w:szCs w:val="20"/>
          <w:lang w:val="en-GB"/>
        </w:rPr>
        <w:t>). He was determined to have</w:t>
      </w:r>
      <w:r w:rsidR="00643E21" w:rsidRPr="001C5E0F">
        <w:rPr>
          <w:rFonts w:ascii="Arial" w:hAnsi="Arial" w:cs="Arial"/>
          <w:sz w:val="20"/>
          <w:szCs w:val="20"/>
          <w:lang w:val="en-GB"/>
        </w:rPr>
        <w:t xml:space="preserve"> </w:t>
      </w:r>
      <w:r w:rsidR="00A53B3D" w:rsidRPr="001C5E0F">
        <w:rPr>
          <w:rFonts w:ascii="Arial" w:hAnsi="Arial" w:cs="Arial"/>
          <w:sz w:val="20"/>
          <w:szCs w:val="20"/>
          <w:lang w:val="en-GB"/>
        </w:rPr>
        <w:t>effected</w:t>
      </w:r>
      <w:r w:rsidR="00643E21" w:rsidRPr="001C5E0F">
        <w:rPr>
          <w:rFonts w:ascii="Arial" w:hAnsi="Arial" w:cs="Arial"/>
          <w:sz w:val="20"/>
          <w:szCs w:val="20"/>
          <w:lang w:val="en-GB"/>
        </w:rPr>
        <w:t xml:space="preserve"> the transactions by dishonestly using </w:t>
      </w:r>
      <w:r w:rsidR="004C699E">
        <w:rPr>
          <w:rFonts w:ascii="Arial" w:hAnsi="Arial" w:cs="Arial"/>
          <w:sz w:val="20"/>
          <w:szCs w:val="20"/>
          <w:lang w:val="en-GB"/>
        </w:rPr>
        <w:t xml:space="preserve">his </w:t>
      </w:r>
      <w:r w:rsidR="00643E21" w:rsidRPr="001C5E0F">
        <w:rPr>
          <w:rFonts w:ascii="Arial" w:hAnsi="Arial" w:cs="Arial"/>
          <w:sz w:val="20"/>
          <w:szCs w:val="20"/>
          <w:lang w:val="en-GB"/>
        </w:rPr>
        <w:t>client</w:t>
      </w:r>
      <w:r w:rsidR="00A53B3D" w:rsidRPr="001C5E0F">
        <w:rPr>
          <w:rFonts w:ascii="Arial" w:hAnsi="Arial" w:cs="Arial"/>
          <w:sz w:val="20"/>
          <w:szCs w:val="20"/>
          <w:lang w:val="en-GB"/>
        </w:rPr>
        <w:t>’</w:t>
      </w:r>
      <w:r w:rsidR="00643E21" w:rsidRPr="001C5E0F">
        <w:rPr>
          <w:rFonts w:ascii="Arial" w:hAnsi="Arial" w:cs="Arial"/>
          <w:sz w:val="20"/>
          <w:szCs w:val="20"/>
          <w:lang w:val="en-GB"/>
        </w:rPr>
        <w:t xml:space="preserve">s fund and securities without </w:t>
      </w:r>
      <w:r w:rsidR="00005CE4">
        <w:rPr>
          <w:rFonts w:ascii="Arial" w:hAnsi="Arial" w:cs="Arial"/>
          <w:sz w:val="20"/>
          <w:szCs w:val="20"/>
          <w:lang w:val="en-GB"/>
        </w:rPr>
        <w:t>authori</w:t>
      </w:r>
      <w:r w:rsidR="0009091A">
        <w:rPr>
          <w:rFonts w:ascii="Arial" w:hAnsi="Arial" w:cs="Arial"/>
          <w:sz w:val="20"/>
          <w:szCs w:val="20"/>
          <w:lang w:val="en-GB"/>
        </w:rPr>
        <w:t>s</w:t>
      </w:r>
      <w:r w:rsidR="00005CE4">
        <w:rPr>
          <w:rFonts w:ascii="Arial" w:hAnsi="Arial" w:cs="Arial"/>
          <w:sz w:val="20"/>
          <w:szCs w:val="20"/>
          <w:lang w:val="en-GB"/>
        </w:rPr>
        <w:t>ation</w:t>
      </w:r>
      <w:r w:rsidRPr="001C5E0F">
        <w:rPr>
          <w:rFonts w:ascii="Arial" w:hAnsi="Arial" w:cs="Arial"/>
          <w:sz w:val="20"/>
          <w:szCs w:val="20"/>
          <w:lang w:val="en-GB"/>
        </w:rPr>
        <w:t xml:space="preserve">. </w:t>
      </w:r>
      <w:r w:rsidR="0009091A">
        <w:rPr>
          <w:rFonts w:ascii="Arial" w:hAnsi="Arial" w:cs="Arial"/>
          <w:sz w:val="20"/>
          <w:szCs w:val="20"/>
          <w:lang w:val="en-GB"/>
        </w:rPr>
        <w:t>Under section 300, i</w:t>
      </w:r>
      <w:r w:rsidR="003B7E90" w:rsidRPr="001C5E0F">
        <w:rPr>
          <w:rFonts w:ascii="Arial" w:hAnsi="Arial" w:cs="Arial"/>
          <w:sz w:val="20"/>
          <w:szCs w:val="20"/>
          <w:lang w:val="en-GB"/>
        </w:rPr>
        <w:t xml:space="preserve">t is an offence to engage in any act, practice or course of business which is fraudulent or deceptive in a transaction involving securities. </w:t>
      </w:r>
      <w:r w:rsidRPr="001C5E0F">
        <w:rPr>
          <w:rFonts w:ascii="Arial" w:hAnsi="Arial" w:cs="Arial"/>
          <w:sz w:val="20"/>
          <w:szCs w:val="20"/>
          <w:lang w:val="en-GB"/>
        </w:rPr>
        <w:t xml:space="preserve">The Fraudulent Scheme involved the use of </w:t>
      </w:r>
      <w:r w:rsidR="004C699E">
        <w:rPr>
          <w:rFonts w:ascii="Arial" w:hAnsi="Arial" w:cs="Arial"/>
          <w:sz w:val="20"/>
          <w:szCs w:val="20"/>
          <w:lang w:val="en-GB"/>
        </w:rPr>
        <w:t xml:space="preserve">a </w:t>
      </w:r>
      <w:r w:rsidRPr="001C5E0F">
        <w:rPr>
          <w:rFonts w:ascii="Arial" w:hAnsi="Arial" w:cs="Arial"/>
          <w:sz w:val="20"/>
          <w:szCs w:val="20"/>
          <w:lang w:val="en-GB"/>
        </w:rPr>
        <w:t>client’s fund</w:t>
      </w:r>
      <w:r w:rsidR="0009091A">
        <w:rPr>
          <w:rFonts w:ascii="Arial" w:hAnsi="Arial" w:cs="Arial"/>
          <w:sz w:val="20"/>
          <w:szCs w:val="20"/>
          <w:lang w:val="en-GB"/>
        </w:rPr>
        <w:t>s</w:t>
      </w:r>
      <w:r w:rsidRPr="001C5E0F">
        <w:rPr>
          <w:rFonts w:ascii="Arial" w:hAnsi="Arial" w:cs="Arial"/>
          <w:sz w:val="20"/>
          <w:szCs w:val="20"/>
          <w:lang w:val="en-GB"/>
        </w:rPr>
        <w:t xml:space="preserve"> to purchase shares at high prices from the market and selling the shares at low prices to </w:t>
      </w:r>
      <w:r w:rsidR="004C699E">
        <w:rPr>
          <w:rFonts w:ascii="Arial" w:hAnsi="Arial" w:cs="Arial"/>
          <w:sz w:val="20"/>
          <w:szCs w:val="20"/>
          <w:lang w:val="en-GB"/>
        </w:rPr>
        <w:t>his friend’s account</w:t>
      </w:r>
      <w:r w:rsidR="004A2336">
        <w:rPr>
          <w:rFonts w:ascii="Arial" w:hAnsi="Arial" w:cs="Arial"/>
          <w:sz w:val="20"/>
          <w:szCs w:val="20"/>
          <w:lang w:val="en-GB"/>
        </w:rPr>
        <w:t>,</w:t>
      </w:r>
      <w:r w:rsidR="004C699E">
        <w:rPr>
          <w:rFonts w:ascii="Arial" w:hAnsi="Arial" w:cs="Arial"/>
          <w:sz w:val="20"/>
          <w:szCs w:val="20"/>
          <w:lang w:val="en-GB"/>
        </w:rPr>
        <w:t xml:space="preserve"> </w:t>
      </w:r>
      <w:r w:rsidR="00A53B3D" w:rsidRPr="001C5E0F">
        <w:rPr>
          <w:rFonts w:ascii="Arial" w:hAnsi="Arial" w:cs="Arial"/>
          <w:sz w:val="20"/>
          <w:szCs w:val="20"/>
          <w:lang w:val="en-GB"/>
        </w:rPr>
        <w:t xml:space="preserve">or using </w:t>
      </w:r>
      <w:r w:rsidR="004C699E">
        <w:rPr>
          <w:rFonts w:ascii="Arial" w:hAnsi="Arial" w:cs="Arial"/>
          <w:sz w:val="20"/>
          <w:szCs w:val="20"/>
          <w:lang w:val="en-GB"/>
        </w:rPr>
        <w:t xml:space="preserve">the </w:t>
      </w:r>
      <w:r w:rsidR="00A53B3D" w:rsidRPr="001C5E0F">
        <w:rPr>
          <w:rFonts w:ascii="Arial" w:hAnsi="Arial" w:cs="Arial"/>
          <w:sz w:val="20"/>
          <w:szCs w:val="20"/>
          <w:lang w:val="en-GB"/>
        </w:rPr>
        <w:t xml:space="preserve">client’s </w:t>
      </w:r>
      <w:r w:rsidRPr="001C5E0F">
        <w:rPr>
          <w:rFonts w:ascii="Arial" w:hAnsi="Arial" w:cs="Arial"/>
          <w:sz w:val="20"/>
          <w:szCs w:val="20"/>
          <w:lang w:val="en-GB"/>
        </w:rPr>
        <w:t>funds to purchase shares at high prices from</w:t>
      </w:r>
      <w:r w:rsidR="004C699E">
        <w:rPr>
          <w:rFonts w:ascii="Arial" w:hAnsi="Arial" w:cs="Arial"/>
          <w:sz w:val="20"/>
          <w:szCs w:val="20"/>
          <w:lang w:val="en-GB"/>
        </w:rPr>
        <w:t xml:space="preserve"> his friend’s account</w:t>
      </w:r>
      <w:r w:rsidRPr="001C5E0F">
        <w:rPr>
          <w:rFonts w:ascii="Arial" w:hAnsi="Arial" w:cs="Arial"/>
          <w:sz w:val="20"/>
          <w:szCs w:val="20"/>
          <w:lang w:val="en-GB"/>
        </w:rPr>
        <w:t xml:space="preserve">. </w:t>
      </w:r>
    </w:p>
    <w:p w:rsidR="00643E21" w:rsidRPr="001C5E0F" w:rsidRDefault="0059666F" w:rsidP="00813E7F">
      <w:pPr>
        <w:jc w:val="both"/>
        <w:rPr>
          <w:rFonts w:ascii="Arial" w:hAnsi="Arial" w:cs="Arial"/>
          <w:sz w:val="20"/>
          <w:szCs w:val="20"/>
          <w:lang w:val="en-GB"/>
        </w:rPr>
      </w:pPr>
      <w:r w:rsidRPr="001C5E0F">
        <w:rPr>
          <w:rFonts w:ascii="Arial" w:hAnsi="Arial" w:cs="Arial"/>
          <w:sz w:val="20"/>
          <w:szCs w:val="20"/>
          <w:lang w:val="en-GB"/>
        </w:rPr>
        <w:t>The Eastern Magistrates’ Court sentence</w:t>
      </w:r>
      <w:r w:rsidR="004C699E">
        <w:rPr>
          <w:rFonts w:ascii="Arial" w:hAnsi="Arial" w:cs="Arial"/>
          <w:sz w:val="20"/>
          <w:szCs w:val="20"/>
          <w:lang w:val="en-GB"/>
        </w:rPr>
        <w:t>d</w:t>
      </w:r>
      <w:r w:rsidRPr="001C5E0F">
        <w:rPr>
          <w:rFonts w:ascii="Arial" w:hAnsi="Arial" w:cs="Arial"/>
          <w:sz w:val="20"/>
          <w:szCs w:val="20"/>
          <w:lang w:val="en-GB"/>
        </w:rPr>
        <w:t xml:space="preserve"> </w:t>
      </w:r>
      <w:r w:rsidR="004C699E" w:rsidRPr="001C5E0F">
        <w:rPr>
          <w:rFonts w:ascii="Arial" w:hAnsi="Arial" w:cs="Arial"/>
          <w:sz w:val="20"/>
          <w:szCs w:val="20"/>
          <w:lang w:val="en-GB"/>
        </w:rPr>
        <w:t xml:space="preserve">Fung </w:t>
      </w:r>
      <w:r w:rsidRPr="001C5E0F">
        <w:rPr>
          <w:rFonts w:ascii="Arial" w:hAnsi="Arial" w:cs="Arial"/>
          <w:sz w:val="20"/>
          <w:szCs w:val="20"/>
          <w:lang w:val="en-GB"/>
        </w:rPr>
        <w:t>on 27 October 2022 to two and a half month’s imprisonment. Fung is appealing the sentence and has bee</w:t>
      </w:r>
      <w:r w:rsidR="003B7E90" w:rsidRPr="001C5E0F">
        <w:rPr>
          <w:rFonts w:ascii="Arial" w:hAnsi="Arial" w:cs="Arial"/>
          <w:sz w:val="20"/>
          <w:szCs w:val="20"/>
          <w:lang w:val="en-GB"/>
        </w:rPr>
        <w:t xml:space="preserve">n granted bail in the interim. </w:t>
      </w:r>
    </w:p>
    <w:p w:rsidR="003B7E90" w:rsidRPr="001C5E0F" w:rsidRDefault="003B7E90" w:rsidP="00813E7F">
      <w:pPr>
        <w:jc w:val="both"/>
        <w:rPr>
          <w:rFonts w:ascii="Arial" w:hAnsi="Arial" w:cs="Arial"/>
          <w:sz w:val="20"/>
          <w:szCs w:val="20"/>
          <w:lang w:val="en-GB"/>
        </w:rPr>
      </w:pPr>
      <w:r w:rsidRPr="001C5E0F">
        <w:rPr>
          <w:rFonts w:ascii="Arial" w:hAnsi="Arial" w:cs="Arial"/>
          <w:sz w:val="20"/>
          <w:szCs w:val="20"/>
          <w:lang w:val="en-GB"/>
        </w:rPr>
        <w:t>The October conviction and sentence follow</w:t>
      </w:r>
      <w:r w:rsidR="00221EEB">
        <w:rPr>
          <w:rFonts w:ascii="Arial" w:hAnsi="Arial" w:cs="Arial"/>
          <w:sz w:val="20"/>
          <w:szCs w:val="20"/>
          <w:lang w:val="en-GB"/>
        </w:rPr>
        <w:t>ed</w:t>
      </w:r>
      <w:r w:rsidR="00052CE8" w:rsidRPr="001C5E0F">
        <w:rPr>
          <w:rFonts w:ascii="Arial" w:hAnsi="Arial" w:cs="Arial"/>
          <w:sz w:val="20"/>
          <w:szCs w:val="20"/>
          <w:lang w:val="en-GB"/>
        </w:rPr>
        <w:t xml:space="preserve"> a</w:t>
      </w:r>
      <w:r w:rsidR="00221EEB">
        <w:rPr>
          <w:rFonts w:ascii="Arial" w:hAnsi="Arial" w:cs="Arial"/>
          <w:sz w:val="20"/>
          <w:szCs w:val="20"/>
          <w:lang w:val="en-GB"/>
        </w:rPr>
        <w:t>n</w:t>
      </w:r>
      <w:r w:rsidR="00052CE8" w:rsidRPr="001C5E0F">
        <w:rPr>
          <w:rFonts w:ascii="Arial" w:hAnsi="Arial" w:cs="Arial"/>
          <w:sz w:val="20"/>
          <w:szCs w:val="20"/>
          <w:lang w:val="en-GB"/>
        </w:rPr>
        <w:t xml:space="preserve"> SFC disciplinary action </w:t>
      </w:r>
      <w:r w:rsidR="00221EEB">
        <w:rPr>
          <w:rFonts w:ascii="Arial" w:hAnsi="Arial" w:cs="Arial"/>
          <w:sz w:val="20"/>
          <w:szCs w:val="20"/>
          <w:lang w:val="en-GB"/>
        </w:rPr>
        <w:t>which resulted in the SFC</w:t>
      </w:r>
      <w:r w:rsidR="001C5E0F" w:rsidRPr="001C5E0F">
        <w:rPr>
          <w:rFonts w:ascii="Arial" w:hAnsi="Arial" w:cs="Arial"/>
          <w:sz w:val="20"/>
          <w:szCs w:val="20"/>
          <w:lang w:val="en-GB"/>
        </w:rPr>
        <w:t xml:space="preserve"> fin</w:t>
      </w:r>
      <w:r w:rsidR="00221EEB">
        <w:rPr>
          <w:rFonts w:ascii="Arial" w:hAnsi="Arial" w:cs="Arial"/>
          <w:sz w:val="20"/>
          <w:szCs w:val="20"/>
          <w:lang w:val="en-GB"/>
        </w:rPr>
        <w:t>ing</w:t>
      </w:r>
      <w:r w:rsidR="00BF7061">
        <w:rPr>
          <w:rFonts w:ascii="Arial" w:hAnsi="Arial" w:cs="Arial"/>
          <w:sz w:val="20"/>
          <w:szCs w:val="20"/>
          <w:lang w:val="en-GB"/>
        </w:rPr>
        <w:t xml:space="preserve"> him</w:t>
      </w:r>
      <w:r w:rsidR="003F2B8B" w:rsidRPr="003F2B8B">
        <w:rPr>
          <w:rFonts w:ascii="Arial" w:hAnsi="Arial" w:cs="Arial"/>
          <w:sz w:val="20"/>
          <w:szCs w:val="20"/>
        </w:rPr>
        <w:t xml:space="preserve"> </w:t>
      </w:r>
      <w:r w:rsidR="001C5E0F" w:rsidRPr="001C5E0F">
        <w:rPr>
          <w:rFonts w:ascii="Arial" w:hAnsi="Arial" w:cs="Arial"/>
          <w:sz w:val="20"/>
          <w:szCs w:val="20"/>
          <w:lang w:val="en-GB"/>
        </w:rPr>
        <w:t>HK$</w:t>
      </w:r>
      <w:r w:rsidR="004F7129" w:rsidRPr="001C5E0F">
        <w:rPr>
          <w:rFonts w:ascii="Arial" w:hAnsi="Arial" w:cs="Arial"/>
          <w:sz w:val="20"/>
          <w:szCs w:val="20"/>
          <w:lang w:val="en-GB"/>
        </w:rPr>
        <w:t xml:space="preserve"> </w:t>
      </w:r>
      <w:r w:rsidR="00052CE8" w:rsidRPr="001C5E0F">
        <w:rPr>
          <w:rFonts w:ascii="Arial" w:hAnsi="Arial" w:cs="Arial"/>
          <w:sz w:val="20"/>
          <w:szCs w:val="20"/>
          <w:lang w:val="en-GB"/>
        </w:rPr>
        <w:t xml:space="preserve">542,071 and </w:t>
      </w:r>
      <w:r w:rsidR="00221EEB">
        <w:rPr>
          <w:rFonts w:ascii="Arial" w:hAnsi="Arial" w:cs="Arial"/>
          <w:sz w:val="20"/>
          <w:szCs w:val="20"/>
          <w:lang w:val="en-GB"/>
        </w:rPr>
        <w:t xml:space="preserve">banning him from re-entering the industry for life on </w:t>
      </w:r>
      <w:r w:rsidR="00221EEB" w:rsidRPr="001C5E0F">
        <w:rPr>
          <w:rFonts w:ascii="Arial" w:hAnsi="Arial" w:cs="Arial"/>
          <w:sz w:val="20"/>
          <w:szCs w:val="20"/>
          <w:lang w:val="en-GB"/>
        </w:rPr>
        <w:t>23 November</w:t>
      </w:r>
      <w:r w:rsidR="00052CE8" w:rsidRPr="001C5E0F">
        <w:rPr>
          <w:rFonts w:ascii="Arial" w:hAnsi="Arial" w:cs="Arial"/>
          <w:sz w:val="20"/>
          <w:szCs w:val="20"/>
          <w:lang w:val="en-GB"/>
        </w:rPr>
        <w:t xml:space="preserve">. The SFC’s Statement of Disciplinary Action against Fung in 2017 can be found on the SFC website </w:t>
      </w:r>
      <w:hyperlink r:id="rId14" w:history="1">
        <w:r w:rsidR="00052CE8" w:rsidRPr="001C5E0F">
          <w:rPr>
            <w:rStyle w:val="a3"/>
            <w:rFonts w:ascii="Arial" w:hAnsi="Arial" w:cs="Arial"/>
            <w:color w:val="FF0000"/>
            <w:sz w:val="20"/>
            <w:szCs w:val="20"/>
            <w:u w:val="none"/>
            <w:lang w:val="en-GB"/>
          </w:rPr>
          <w:t>here</w:t>
        </w:r>
      </w:hyperlink>
      <w:r w:rsidR="00052CE8" w:rsidRPr="001C5E0F">
        <w:rPr>
          <w:rFonts w:ascii="Arial" w:hAnsi="Arial" w:cs="Arial"/>
          <w:sz w:val="20"/>
          <w:szCs w:val="20"/>
          <w:lang w:val="en-GB"/>
        </w:rPr>
        <w:t>.</w:t>
      </w:r>
    </w:p>
    <w:p w:rsidR="008F73F5" w:rsidRPr="001C5E0F" w:rsidRDefault="008F73F5" w:rsidP="00813E7F">
      <w:pPr>
        <w:jc w:val="both"/>
        <w:rPr>
          <w:rFonts w:ascii="Arial" w:hAnsi="Arial" w:cs="Arial"/>
          <w:b/>
          <w:color w:val="FF0000"/>
          <w:sz w:val="20"/>
          <w:szCs w:val="20"/>
          <w:lang w:val="en-GB"/>
        </w:rPr>
      </w:pPr>
      <w:r w:rsidRPr="001C5E0F">
        <w:rPr>
          <w:rFonts w:ascii="Arial" w:hAnsi="Arial" w:cs="Arial"/>
          <w:b/>
          <w:color w:val="FF0000"/>
          <w:sz w:val="20"/>
          <w:szCs w:val="20"/>
          <w:lang w:val="en-GB"/>
        </w:rPr>
        <w:t xml:space="preserve">Retail Investor Convicted and Fined for Illegal Short Selling </w:t>
      </w:r>
    </w:p>
    <w:p w:rsidR="0059666F" w:rsidRPr="001C5E0F" w:rsidRDefault="008F18BE" w:rsidP="00813E7F">
      <w:pPr>
        <w:jc w:val="both"/>
        <w:rPr>
          <w:rFonts w:ascii="Arial" w:hAnsi="Arial" w:cs="Arial"/>
          <w:sz w:val="20"/>
          <w:szCs w:val="20"/>
          <w:lang w:val="en-GB"/>
        </w:rPr>
      </w:pPr>
      <w:r w:rsidRPr="001C5E0F">
        <w:rPr>
          <w:rFonts w:ascii="Arial" w:hAnsi="Arial" w:cs="Arial"/>
          <w:sz w:val="20"/>
          <w:szCs w:val="20"/>
          <w:lang w:val="en-GB"/>
        </w:rPr>
        <w:t>Mr Lau Chi Ho</w:t>
      </w:r>
      <w:r w:rsidR="004F7129" w:rsidRPr="001C5E0F">
        <w:rPr>
          <w:rFonts w:ascii="Arial" w:hAnsi="Arial" w:cs="Arial"/>
          <w:sz w:val="20"/>
          <w:szCs w:val="20"/>
          <w:lang w:val="en-GB"/>
        </w:rPr>
        <w:t xml:space="preserve"> (</w:t>
      </w:r>
      <w:r w:rsidR="004F7129" w:rsidRPr="001C5E0F">
        <w:rPr>
          <w:rFonts w:ascii="Arial" w:hAnsi="Arial" w:cs="Arial"/>
          <w:b/>
          <w:sz w:val="20"/>
          <w:szCs w:val="20"/>
          <w:lang w:val="en-GB"/>
        </w:rPr>
        <w:t>Lau</w:t>
      </w:r>
      <w:r w:rsidR="004F7129" w:rsidRPr="001C5E0F">
        <w:rPr>
          <w:rFonts w:ascii="Arial" w:hAnsi="Arial" w:cs="Arial"/>
          <w:sz w:val="20"/>
          <w:szCs w:val="20"/>
          <w:lang w:val="en-GB"/>
        </w:rPr>
        <w:t>)</w:t>
      </w:r>
      <w:r w:rsidR="00A11FF4" w:rsidRPr="001C5E0F">
        <w:rPr>
          <w:rFonts w:ascii="Arial" w:hAnsi="Arial" w:cs="Arial"/>
          <w:sz w:val="20"/>
          <w:szCs w:val="20"/>
          <w:lang w:val="en-GB"/>
        </w:rPr>
        <w:t xml:space="preserve"> was convicted of illegal short selling after having pleaded gui</w:t>
      </w:r>
      <w:r w:rsidR="00005CE4">
        <w:rPr>
          <w:rFonts w:ascii="Arial" w:hAnsi="Arial" w:cs="Arial"/>
          <w:sz w:val="20"/>
          <w:szCs w:val="20"/>
          <w:lang w:val="en-GB"/>
        </w:rPr>
        <w:t xml:space="preserve">lty to the charge of breaching </w:t>
      </w:r>
      <w:r w:rsidR="00F25D0F">
        <w:rPr>
          <w:rFonts w:ascii="Arial" w:hAnsi="Arial" w:cs="Arial"/>
          <w:sz w:val="20"/>
          <w:szCs w:val="20"/>
          <w:lang w:val="en-GB"/>
        </w:rPr>
        <w:t>s</w:t>
      </w:r>
      <w:r w:rsidR="00A11FF4" w:rsidRPr="001C5E0F">
        <w:rPr>
          <w:rFonts w:ascii="Arial" w:hAnsi="Arial" w:cs="Arial"/>
          <w:sz w:val="20"/>
          <w:szCs w:val="20"/>
          <w:lang w:val="en-GB"/>
        </w:rPr>
        <w:t>ection 170(1) of the SFO</w:t>
      </w:r>
      <w:r w:rsidR="00B91847" w:rsidRPr="001C5E0F">
        <w:rPr>
          <w:rFonts w:ascii="Arial" w:hAnsi="Arial" w:cs="Arial"/>
          <w:sz w:val="20"/>
          <w:szCs w:val="20"/>
          <w:lang w:val="en-GB"/>
        </w:rPr>
        <w:t>,</w:t>
      </w:r>
      <w:r w:rsidR="00A11FF4" w:rsidRPr="001C5E0F">
        <w:rPr>
          <w:rFonts w:ascii="Arial" w:hAnsi="Arial" w:cs="Arial"/>
          <w:sz w:val="20"/>
          <w:szCs w:val="20"/>
          <w:lang w:val="en-GB"/>
        </w:rPr>
        <w:t xml:space="preserve"> </w:t>
      </w:r>
      <w:r w:rsidR="00221EEB">
        <w:rPr>
          <w:rFonts w:ascii="Arial" w:hAnsi="Arial" w:cs="Arial"/>
          <w:sz w:val="20"/>
          <w:szCs w:val="20"/>
          <w:lang w:val="en-GB"/>
        </w:rPr>
        <w:t xml:space="preserve">for </w:t>
      </w:r>
      <w:r w:rsidR="00A11FF4" w:rsidRPr="001C5E0F">
        <w:rPr>
          <w:rFonts w:ascii="Arial" w:hAnsi="Arial" w:cs="Arial"/>
          <w:sz w:val="20"/>
          <w:szCs w:val="20"/>
          <w:lang w:val="en-GB"/>
        </w:rPr>
        <w:t xml:space="preserve">placing orders to sell shares of two listed </w:t>
      </w:r>
      <w:r w:rsidR="00221EEB">
        <w:rPr>
          <w:rFonts w:ascii="Arial" w:hAnsi="Arial" w:cs="Arial"/>
          <w:sz w:val="20"/>
          <w:szCs w:val="20"/>
          <w:lang w:val="en-GB"/>
        </w:rPr>
        <w:t>compan</w:t>
      </w:r>
      <w:r w:rsidR="00A11FF4" w:rsidRPr="001C5E0F">
        <w:rPr>
          <w:rFonts w:ascii="Arial" w:hAnsi="Arial" w:cs="Arial"/>
          <w:sz w:val="20"/>
          <w:szCs w:val="20"/>
          <w:lang w:val="en-GB"/>
        </w:rPr>
        <w:t xml:space="preserve">ies on </w:t>
      </w:r>
      <w:r w:rsidR="00643BD2">
        <w:rPr>
          <w:rFonts w:ascii="Arial" w:hAnsi="Arial" w:cs="Arial"/>
          <w:sz w:val="20"/>
          <w:szCs w:val="20"/>
          <w:lang w:val="en-GB"/>
        </w:rPr>
        <w:t xml:space="preserve">the Hong Kong Stock Exchange </w:t>
      </w:r>
      <w:r w:rsidR="00A11FF4" w:rsidRPr="001C5E0F">
        <w:rPr>
          <w:rFonts w:ascii="Arial" w:hAnsi="Arial" w:cs="Arial"/>
          <w:sz w:val="20"/>
          <w:szCs w:val="20"/>
          <w:lang w:val="en-GB"/>
        </w:rPr>
        <w:t>when he did not have any of t</w:t>
      </w:r>
      <w:r w:rsidR="004F7129" w:rsidRPr="001C5E0F">
        <w:rPr>
          <w:rFonts w:ascii="Arial" w:hAnsi="Arial" w:cs="Arial"/>
          <w:sz w:val="20"/>
          <w:szCs w:val="20"/>
          <w:lang w:val="en-GB"/>
        </w:rPr>
        <w:t>hose shares.</w:t>
      </w:r>
    </w:p>
    <w:p w:rsidR="00A11FF4" w:rsidRPr="001C5E0F" w:rsidRDefault="00A11FF4" w:rsidP="00813E7F">
      <w:pPr>
        <w:jc w:val="both"/>
        <w:rPr>
          <w:rFonts w:ascii="Arial" w:hAnsi="Arial" w:cs="Arial"/>
          <w:sz w:val="20"/>
          <w:szCs w:val="20"/>
          <w:lang w:val="en-GB"/>
        </w:rPr>
      </w:pPr>
      <w:r w:rsidRPr="001C5E0F">
        <w:rPr>
          <w:rFonts w:ascii="Arial" w:hAnsi="Arial" w:cs="Arial"/>
          <w:sz w:val="20"/>
          <w:szCs w:val="20"/>
          <w:lang w:val="en-GB"/>
        </w:rPr>
        <w:t>Section 170(1)</w:t>
      </w:r>
      <w:r w:rsidR="008F18BE" w:rsidRPr="001C5E0F">
        <w:rPr>
          <w:rFonts w:ascii="Arial" w:hAnsi="Arial" w:cs="Arial"/>
          <w:sz w:val="20"/>
          <w:szCs w:val="20"/>
          <w:lang w:val="en-GB"/>
        </w:rPr>
        <w:t xml:space="preserve"> of the SFO</w:t>
      </w:r>
      <w:r w:rsidRPr="001C5E0F">
        <w:rPr>
          <w:rFonts w:ascii="Arial" w:hAnsi="Arial" w:cs="Arial"/>
          <w:sz w:val="20"/>
          <w:szCs w:val="20"/>
          <w:lang w:val="en-GB"/>
        </w:rPr>
        <w:t xml:space="preserve"> prohibits the sales of securities when the person does not have, or does not believe or does not have reasonable grounds to believe that he has</w:t>
      </w:r>
      <w:r w:rsidR="00643BD2">
        <w:rPr>
          <w:rFonts w:ascii="Arial" w:hAnsi="Arial" w:cs="Arial"/>
          <w:sz w:val="20"/>
          <w:szCs w:val="20"/>
          <w:lang w:val="en-GB"/>
        </w:rPr>
        <w:t>,</w:t>
      </w:r>
      <w:r w:rsidRPr="001C5E0F">
        <w:rPr>
          <w:rFonts w:ascii="Arial" w:hAnsi="Arial" w:cs="Arial"/>
          <w:sz w:val="20"/>
          <w:szCs w:val="20"/>
          <w:lang w:val="en-GB"/>
        </w:rPr>
        <w:t xml:space="preserve"> a presently exercisable and unconditional right to vest the securities in the purchaser of them</w:t>
      </w:r>
      <w:r w:rsidR="00B91847" w:rsidRPr="001C5E0F">
        <w:rPr>
          <w:rFonts w:ascii="Arial" w:hAnsi="Arial" w:cs="Arial"/>
          <w:sz w:val="20"/>
          <w:szCs w:val="20"/>
          <w:lang w:val="en-GB"/>
        </w:rPr>
        <w:t>.</w:t>
      </w:r>
    </w:p>
    <w:p w:rsidR="003B7E90" w:rsidRPr="001C5E0F" w:rsidRDefault="00A11FF4" w:rsidP="00813E7F">
      <w:pPr>
        <w:jc w:val="both"/>
        <w:rPr>
          <w:rFonts w:ascii="Arial" w:hAnsi="Arial" w:cs="Arial"/>
          <w:sz w:val="20"/>
          <w:szCs w:val="20"/>
          <w:lang w:val="en-GB"/>
        </w:rPr>
      </w:pPr>
      <w:r w:rsidRPr="001C5E0F">
        <w:rPr>
          <w:rFonts w:ascii="Arial" w:hAnsi="Arial" w:cs="Arial"/>
          <w:sz w:val="20"/>
          <w:szCs w:val="20"/>
          <w:lang w:val="en-GB"/>
        </w:rPr>
        <w:t>Lau was ordered to pay the SFC’s</w:t>
      </w:r>
      <w:r w:rsidR="004F7129" w:rsidRPr="001C5E0F">
        <w:rPr>
          <w:rFonts w:ascii="Arial" w:hAnsi="Arial" w:cs="Arial"/>
          <w:sz w:val="20"/>
          <w:szCs w:val="20"/>
          <w:lang w:val="en-GB"/>
        </w:rPr>
        <w:t xml:space="preserve"> i</w:t>
      </w:r>
      <w:r w:rsidR="001C5E0F" w:rsidRPr="001C5E0F">
        <w:rPr>
          <w:rFonts w:ascii="Arial" w:hAnsi="Arial" w:cs="Arial"/>
          <w:sz w:val="20"/>
          <w:szCs w:val="20"/>
          <w:lang w:val="en-GB"/>
        </w:rPr>
        <w:t>nvestigation costs and fined HK$</w:t>
      </w:r>
      <w:r w:rsidRPr="001C5E0F">
        <w:rPr>
          <w:rFonts w:ascii="Arial" w:hAnsi="Arial" w:cs="Arial"/>
          <w:sz w:val="20"/>
          <w:szCs w:val="20"/>
          <w:lang w:val="en-GB"/>
        </w:rPr>
        <w:t xml:space="preserve">20,000. </w:t>
      </w:r>
    </w:p>
    <w:p w:rsidR="00A11FF4" w:rsidRPr="001C5E0F" w:rsidRDefault="008F73F5" w:rsidP="00813E7F">
      <w:pPr>
        <w:jc w:val="both"/>
        <w:rPr>
          <w:rFonts w:ascii="Arial" w:hAnsi="Arial" w:cs="Arial"/>
          <w:b/>
          <w:color w:val="FF0000"/>
          <w:sz w:val="20"/>
          <w:szCs w:val="20"/>
          <w:lang w:val="en-GB"/>
        </w:rPr>
      </w:pPr>
      <w:r w:rsidRPr="001C5E0F">
        <w:rPr>
          <w:rFonts w:ascii="Arial" w:hAnsi="Arial" w:cs="Arial"/>
          <w:b/>
          <w:color w:val="FF0000"/>
          <w:sz w:val="20"/>
          <w:szCs w:val="20"/>
          <w:lang w:val="en-GB"/>
        </w:rPr>
        <w:t xml:space="preserve">Court Convicted Wong King Hoi for Obstruction of SFC’s Search Operation </w:t>
      </w:r>
    </w:p>
    <w:p w:rsidR="008F18BE" w:rsidRPr="001C5E0F" w:rsidRDefault="00643BD2" w:rsidP="00813E7F">
      <w:pPr>
        <w:jc w:val="both"/>
        <w:rPr>
          <w:rFonts w:ascii="Arial" w:hAnsi="Arial" w:cs="Arial"/>
          <w:sz w:val="20"/>
          <w:szCs w:val="20"/>
          <w:lang w:val="en-GB"/>
        </w:rPr>
      </w:pPr>
      <w:r w:rsidRPr="001C5E0F">
        <w:rPr>
          <w:rFonts w:ascii="Arial" w:hAnsi="Arial" w:cs="Arial"/>
          <w:sz w:val="20"/>
          <w:szCs w:val="20"/>
          <w:lang w:val="en-GB"/>
        </w:rPr>
        <w:lastRenderedPageBreak/>
        <w:t>Mr Wong King Hoi (</w:t>
      </w:r>
      <w:r w:rsidRPr="001C5E0F">
        <w:rPr>
          <w:rFonts w:ascii="Arial" w:hAnsi="Arial" w:cs="Arial"/>
          <w:b/>
          <w:sz w:val="20"/>
          <w:szCs w:val="20"/>
          <w:lang w:val="en-GB"/>
        </w:rPr>
        <w:t>Wong</w:t>
      </w:r>
      <w:r w:rsidRPr="001C5E0F">
        <w:rPr>
          <w:rFonts w:ascii="Arial" w:hAnsi="Arial" w:cs="Arial"/>
          <w:sz w:val="20"/>
          <w:szCs w:val="20"/>
          <w:lang w:val="en-GB"/>
        </w:rPr>
        <w:t xml:space="preserve">) </w:t>
      </w:r>
      <w:r>
        <w:rPr>
          <w:rFonts w:ascii="Arial" w:hAnsi="Arial" w:cs="Arial"/>
          <w:sz w:val="20"/>
          <w:szCs w:val="20"/>
          <w:lang w:val="en-GB"/>
        </w:rPr>
        <w:t xml:space="preserve">was convicted </w:t>
      </w:r>
      <w:r w:rsidR="00004333" w:rsidRPr="001C5E0F">
        <w:rPr>
          <w:rFonts w:ascii="Arial" w:hAnsi="Arial" w:cs="Arial"/>
          <w:sz w:val="20"/>
          <w:szCs w:val="20"/>
          <w:lang w:val="en-GB"/>
        </w:rPr>
        <w:t>of obstructing employees of the SFC in the execu</w:t>
      </w:r>
      <w:r w:rsidR="00005CE4">
        <w:rPr>
          <w:rFonts w:ascii="Arial" w:hAnsi="Arial" w:cs="Arial"/>
          <w:sz w:val="20"/>
          <w:szCs w:val="20"/>
          <w:lang w:val="en-GB"/>
        </w:rPr>
        <w:t xml:space="preserve">tion of a search warrant under Section </w:t>
      </w:r>
      <w:r w:rsidR="00004333" w:rsidRPr="001C5E0F">
        <w:rPr>
          <w:rFonts w:ascii="Arial" w:hAnsi="Arial" w:cs="Arial"/>
          <w:sz w:val="20"/>
          <w:szCs w:val="20"/>
          <w:lang w:val="en-GB"/>
        </w:rPr>
        <w:t>382</w:t>
      </w:r>
      <w:r w:rsidR="00F4521D" w:rsidRPr="001C5E0F">
        <w:rPr>
          <w:rFonts w:ascii="Arial" w:hAnsi="Arial" w:cs="Arial"/>
          <w:sz w:val="20"/>
          <w:szCs w:val="20"/>
          <w:lang w:val="en-GB"/>
        </w:rPr>
        <w:t xml:space="preserve"> of the SFO</w:t>
      </w:r>
      <w:r>
        <w:rPr>
          <w:rFonts w:ascii="Arial" w:hAnsi="Arial" w:cs="Arial"/>
          <w:sz w:val="20"/>
          <w:szCs w:val="20"/>
          <w:lang w:val="en-GB"/>
        </w:rPr>
        <w:t xml:space="preserve"> on </w:t>
      </w:r>
      <w:r w:rsidR="00382A26">
        <w:rPr>
          <w:rFonts w:ascii="Arial" w:hAnsi="Arial" w:cs="Arial"/>
          <w:sz w:val="20"/>
          <w:szCs w:val="20"/>
          <w:lang w:val="en-GB"/>
        </w:rPr>
        <w:t>27 October 2022</w:t>
      </w:r>
      <w:r w:rsidR="00004333" w:rsidRPr="001C5E0F">
        <w:rPr>
          <w:rFonts w:ascii="Arial" w:hAnsi="Arial" w:cs="Arial"/>
          <w:sz w:val="20"/>
          <w:szCs w:val="20"/>
          <w:lang w:val="en-GB"/>
        </w:rPr>
        <w:t xml:space="preserve">, after </w:t>
      </w:r>
      <w:r>
        <w:rPr>
          <w:rFonts w:ascii="Arial" w:hAnsi="Arial" w:cs="Arial"/>
          <w:sz w:val="20"/>
          <w:szCs w:val="20"/>
          <w:lang w:val="en-GB"/>
        </w:rPr>
        <w:t xml:space="preserve">pleading </w:t>
      </w:r>
      <w:r w:rsidR="00004333" w:rsidRPr="001C5E0F">
        <w:rPr>
          <w:rFonts w:ascii="Arial" w:hAnsi="Arial" w:cs="Arial"/>
          <w:sz w:val="20"/>
          <w:szCs w:val="20"/>
          <w:lang w:val="en-GB"/>
        </w:rPr>
        <w:t>guilty</w:t>
      </w:r>
      <w:r>
        <w:rPr>
          <w:rFonts w:ascii="Arial" w:hAnsi="Arial" w:cs="Arial"/>
          <w:sz w:val="20"/>
          <w:szCs w:val="20"/>
          <w:lang w:val="en-GB"/>
        </w:rPr>
        <w:t xml:space="preserve"> to the offence</w:t>
      </w:r>
      <w:r w:rsidR="00004333" w:rsidRPr="001C5E0F">
        <w:rPr>
          <w:rFonts w:ascii="Arial" w:hAnsi="Arial" w:cs="Arial"/>
          <w:sz w:val="20"/>
          <w:szCs w:val="20"/>
          <w:lang w:val="en-GB"/>
        </w:rPr>
        <w:t xml:space="preserve">. </w:t>
      </w:r>
      <w:r>
        <w:rPr>
          <w:rFonts w:ascii="Arial" w:hAnsi="Arial" w:cs="Arial"/>
          <w:sz w:val="20"/>
          <w:szCs w:val="20"/>
          <w:lang w:val="en-GB"/>
        </w:rPr>
        <w:t xml:space="preserve">He was sentenced to two weeks’ imprisonment on 10 November 2022. This is the first conviction of an individual </w:t>
      </w:r>
      <w:r w:rsidR="00382A26">
        <w:rPr>
          <w:rFonts w:ascii="Arial" w:hAnsi="Arial" w:cs="Arial"/>
          <w:sz w:val="20"/>
          <w:szCs w:val="20"/>
          <w:lang w:val="en-GB"/>
        </w:rPr>
        <w:t xml:space="preserve">under section 382 </w:t>
      </w:r>
      <w:r>
        <w:rPr>
          <w:rFonts w:ascii="Arial" w:hAnsi="Arial" w:cs="Arial"/>
          <w:sz w:val="20"/>
          <w:szCs w:val="20"/>
          <w:lang w:val="en-GB"/>
        </w:rPr>
        <w:t>for obstructing the SFC’s employees in the performance of their functions under the SFO</w:t>
      </w:r>
      <w:r w:rsidR="00004333" w:rsidRPr="001C5E0F">
        <w:rPr>
          <w:rFonts w:ascii="Arial" w:hAnsi="Arial" w:cs="Arial"/>
          <w:sz w:val="20"/>
          <w:szCs w:val="20"/>
          <w:lang w:val="en-GB"/>
        </w:rPr>
        <w:t xml:space="preserve"> </w:t>
      </w:r>
    </w:p>
    <w:p w:rsidR="008F18BE" w:rsidRPr="001C5E0F" w:rsidRDefault="00643BD2" w:rsidP="00813E7F">
      <w:pPr>
        <w:jc w:val="both"/>
        <w:rPr>
          <w:rFonts w:ascii="Arial" w:hAnsi="Arial" w:cs="Arial"/>
          <w:sz w:val="20"/>
          <w:szCs w:val="20"/>
          <w:lang w:val="en-GB"/>
        </w:rPr>
      </w:pPr>
      <w:r>
        <w:rPr>
          <w:rFonts w:ascii="Arial" w:hAnsi="Arial" w:cs="Arial"/>
          <w:sz w:val="20"/>
          <w:szCs w:val="20"/>
          <w:lang w:val="en-GB"/>
        </w:rPr>
        <w:t>It is an offence under s</w:t>
      </w:r>
      <w:r w:rsidR="008F18BE" w:rsidRPr="001C5E0F">
        <w:rPr>
          <w:rFonts w:ascii="Arial" w:hAnsi="Arial" w:cs="Arial"/>
          <w:sz w:val="20"/>
          <w:szCs w:val="20"/>
          <w:lang w:val="en-GB"/>
        </w:rPr>
        <w:t>ection 382 of the SFO</w:t>
      </w:r>
      <w:r>
        <w:rPr>
          <w:rFonts w:ascii="Arial" w:hAnsi="Arial" w:cs="Arial"/>
          <w:sz w:val="20"/>
          <w:szCs w:val="20"/>
          <w:lang w:val="en-GB"/>
        </w:rPr>
        <w:t xml:space="preserve"> for a person, without reasonable excuse, to </w:t>
      </w:r>
      <w:r w:rsidR="008F18BE" w:rsidRPr="001C5E0F">
        <w:rPr>
          <w:rFonts w:ascii="Arial" w:hAnsi="Arial" w:cs="Arial"/>
          <w:sz w:val="20"/>
          <w:szCs w:val="20"/>
          <w:lang w:val="en-GB"/>
        </w:rPr>
        <w:t>obstruct any specified person (</w:t>
      </w:r>
      <w:r>
        <w:rPr>
          <w:rFonts w:ascii="Arial" w:hAnsi="Arial" w:cs="Arial"/>
          <w:sz w:val="20"/>
          <w:szCs w:val="20"/>
          <w:lang w:val="en-GB"/>
        </w:rPr>
        <w:t xml:space="preserve">i.e. </w:t>
      </w:r>
      <w:r w:rsidR="008F18BE" w:rsidRPr="001C5E0F">
        <w:rPr>
          <w:rFonts w:ascii="Arial" w:hAnsi="Arial" w:cs="Arial"/>
          <w:sz w:val="20"/>
          <w:szCs w:val="20"/>
          <w:lang w:val="en-GB"/>
        </w:rPr>
        <w:t>the SFC and its employees or any person appointed to</w:t>
      </w:r>
      <w:r w:rsidR="00005CE4">
        <w:rPr>
          <w:rFonts w:ascii="Arial" w:hAnsi="Arial" w:cs="Arial"/>
          <w:sz w:val="20"/>
          <w:szCs w:val="20"/>
          <w:lang w:val="en-GB"/>
        </w:rPr>
        <w:t xml:space="preserve"> investigate any matter under Section</w:t>
      </w:r>
      <w:r>
        <w:rPr>
          <w:rFonts w:ascii="Arial" w:hAnsi="Arial" w:cs="Arial"/>
          <w:sz w:val="20"/>
          <w:szCs w:val="20"/>
          <w:lang w:val="en-GB"/>
        </w:rPr>
        <w:t xml:space="preserve"> </w:t>
      </w:r>
      <w:r w:rsidR="004F7129" w:rsidRPr="001C5E0F">
        <w:rPr>
          <w:rFonts w:ascii="Arial" w:hAnsi="Arial" w:cs="Arial"/>
          <w:sz w:val="20"/>
          <w:szCs w:val="20"/>
          <w:lang w:val="en-GB"/>
        </w:rPr>
        <w:t>1</w:t>
      </w:r>
      <w:r w:rsidR="008F18BE" w:rsidRPr="001C5E0F">
        <w:rPr>
          <w:rFonts w:ascii="Arial" w:hAnsi="Arial" w:cs="Arial"/>
          <w:sz w:val="20"/>
          <w:szCs w:val="20"/>
          <w:lang w:val="en-GB"/>
        </w:rPr>
        <w:t>82(1) of the SFO</w:t>
      </w:r>
      <w:r w:rsidR="004F7129" w:rsidRPr="001C5E0F">
        <w:rPr>
          <w:rFonts w:ascii="Arial" w:hAnsi="Arial" w:cs="Arial"/>
          <w:sz w:val="20"/>
          <w:szCs w:val="20"/>
          <w:lang w:val="en-GB"/>
        </w:rPr>
        <w:t>)</w:t>
      </w:r>
      <w:r w:rsidR="008F18BE" w:rsidRPr="001C5E0F">
        <w:rPr>
          <w:rFonts w:ascii="Arial" w:hAnsi="Arial" w:cs="Arial"/>
          <w:sz w:val="20"/>
          <w:szCs w:val="20"/>
          <w:lang w:val="en-GB"/>
        </w:rPr>
        <w:t xml:space="preserve"> in performing a function under the SFO</w:t>
      </w:r>
      <w:r>
        <w:rPr>
          <w:rFonts w:ascii="Arial" w:hAnsi="Arial" w:cs="Arial"/>
          <w:sz w:val="20"/>
          <w:szCs w:val="20"/>
          <w:lang w:val="en-GB"/>
        </w:rPr>
        <w:t xml:space="preserve">. </w:t>
      </w:r>
      <w:r w:rsidR="008F18BE" w:rsidRPr="001C5E0F">
        <w:rPr>
          <w:rFonts w:ascii="Arial" w:hAnsi="Arial" w:cs="Arial"/>
          <w:sz w:val="20"/>
          <w:szCs w:val="20"/>
          <w:lang w:val="en-GB"/>
        </w:rPr>
        <w:t xml:space="preserve"> </w:t>
      </w:r>
    </w:p>
    <w:p w:rsidR="00A11FF4" w:rsidRDefault="00382A26" w:rsidP="00813E7F">
      <w:pPr>
        <w:jc w:val="both"/>
        <w:rPr>
          <w:rFonts w:ascii="Arial" w:hAnsi="Arial" w:cs="Arial"/>
          <w:sz w:val="20"/>
          <w:szCs w:val="20"/>
          <w:lang w:val="en-GB"/>
        </w:rPr>
      </w:pPr>
      <w:r>
        <w:rPr>
          <w:rFonts w:ascii="Arial" w:hAnsi="Arial" w:cs="Arial"/>
          <w:sz w:val="20"/>
          <w:szCs w:val="20"/>
          <w:lang w:val="en-GB"/>
        </w:rPr>
        <w:t xml:space="preserve">The SFC had obtained a search warrant to search for, seize and remove from Wong’s residence records and documents relating to the SFC’s investigation into suspected market manipulation in the shares of a Hong Kong-listed company. </w:t>
      </w:r>
      <w:r w:rsidR="00004333" w:rsidRPr="001C5E0F">
        <w:rPr>
          <w:rFonts w:ascii="Arial" w:hAnsi="Arial" w:cs="Arial"/>
          <w:sz w:val="20"/>
          <w:szCs w:val="20"/>
          <w:lang w:val="en-GB"/>
        </w:rPr>
        <w:t>Wong had delayed the SFC search team’s access to his residence and attempted to dispose of two mobile phones and two notebooks.</w:t>
      </w:r>
    </w:p>
    <w:p w:rsidR="004B619E" w:rsidRPr="006D523F" w:rsidRDefault="004B619E" w:rsidP="004B619E">
      <w:pPr>
        <w:jc w:val="both"/>
        <w:rPr>
          <w:rFonts w:ascii="Arial" w:hAnsi="Arial" w:cs="Arial"/>
          <w:b/>
          <w:color w:val="FF0000"/>
          <w:sz w:val="20"/>
          <w:szCs w:val="20"/>
          <w:lang w:val="en-GB"/>
        </w:rPr>
      </w:pPr>
      <w:r w:rsidRPr="006D523F">
        <w:rPr>
          <w:rFonts w:ascii="Arial" w:hAnsi="Arial" w:cs="Arial"/>
          <w:b/>
          <w:color w:val="FF0000"/>
          <w:sz w:val="20"/>
          <w:szCs w:val="20"/>
          <w:lang w:val="en-GB"/>
        </w:rPr>
        <w:t>SFC publicly criticises Gold Dragon Worldwide Asset</w:t>
      </w:r>
      <w:r>
        <w:rPr>
          <w:rFonts w:ascii="Arial" w:hAnsi="Arial" w:cs="Arial"/>
          <w:b/>
          <w:color w:val="FF0000"/>
          <w:sz w:val="20"/>
          <w:szCs w:val="20"/>
          <w:lang w:val="en-GB"/>
        </w:rPr>
        <w:t xml:space="preserve"> Management Limited for breaches</w:t>
      </w:r>
      <w:r w:rsidRPr="006D523F">
        <w:rPr>
          <w:rFonts w:ascii="Arial" w:hAnsi="Arial" w:cs="Arial"/>
          <w:b/>
          <w:color w:val="FF0000"/>
          <w:sz w:val="20"/>
          <w:szCs w:val="20"/>
          <w:lang w:val="en-GB"/>
        </w:rPr>
        <w:t xml:space="preserve"> of </w:t>
      </w:r>
      <w:r>
        <w:rPr>
          <w:rFonts w:ascii="Arial" w:hAnsi="Arial" w:cs="Arial"/>
          <w:b/>
          <w:color w:val="FF0000"/>
          <w:sz w:val="20"/>
          <w:szCs w:val="20"/>
          <w:lang w:val="en-GB"/>
        </w:rPr>
        <w:t xml:space="preserve">Hong Kong </w:t>
      </w:r>
      <w:r w:rsidRPr="006D523F">
        <w:rPr>
          <w:rFonts w:ascii="Arial" w:hAnsi="Arial" w:cs="Arial"/>
          <w:b/>
          <w:color w:val="FF0000"/>
          <w:sz w:val="20"/>
          <w:szCs w:val="20"/>
          <w:lang w:val="en-GB"/>
        </w:rPr>
        <w:t xml:space="preserve">Takeovers Code </w:t>
      </w:r>
    </w:p>
    <w:p w:rsidR="004B619E" w:rsidRPr="006D523F" w:rsidRDefault="004B619E" w:rsidP="004B619E">
      <w:pPr>
        <w:jc w:val="both"/>
        <w:rPr>
          <w:rFonts w:ascii="Arial" w:hAnsi="Arial" w:cs="Arial"/>
          <w:sz w:val="20"/>
          <w:szCs w:val="20"/>
          <w:lang w:val="en-GB"/>
        </w:rPr>
      </w:pPr>
      <w:r w:rsidRPr="006D523F">
        <w:rPr>
          <w:rFonts w:ascii="Arial" w:hAnsi="Arial" w:cs="Arial"/>
          <w:sz w:val="20"/>
          <w:szCs w:val="20"/>
          <w:lang w:val="en-GB"/>
        </w:rPr>
        <w:t>On 28 October 2022, the SFC publicly critici</w:t>
      </w:r>
      <w:r>
        <w:rPr>
          <w:rFonts w:ascii="Arial" w:hAnsi="Arial" w:cs="Arial"/>
          <w:sz w:val="20"/>
          <w:szCs w:val="20"/>
          <w:lang w:val="en-GB"/>
        </w:rPr>
        <w:t>s</w:t>
      </w:r>
      <w:r w:rsidRPr="006D523F">
        <w:rPr>
          <w:rFonts w:ascii="Arial" w:hAnsi="Arial" w:cs="Arial"/>
          <w:sz w:val="20"/>
          <w:szCs w:val="20"/>
          <w:lang w:val="en-GB"/>
        </w:rPr>
        <w:t>ed Gold Dragon Worldwide Asset Management Limited (</w:t>
      </w:r>
      <w:r w:rsidRPr="006D523F">
        <w:rPr>
          <w:rFonts w:ascii="Arial" w:hAnsi="Arial" w:cs="Arial"/>
          <w:b/>
          <w:sz w:val="20"/>
          <w:szCs w:val="20"/>
          <w:lang w:val="en-GB"/>
        </w:rPr>
        <w:t>Gold Dragon</w:t>
      </w:r>
      <w:r w:rsidRPr="006D523F">
        <w:rPr>
          <w:rFonts w:ascii="Arial" w:hAnsi="Arial" w:cs="Arial"/>
          <w:sz w:val="20"/>
          <w:szCs w:val="20"/>
          <w:lang w:val="en-GB"/>
        </w:rPr>
        <w:t xml:space="preserve">) </w:t>
      </w:r>
      <w:r>
        <w:rPr>
          <w:rFonts w:ascii="Arial" w:hAnsi="Arial" w:cs="Arial"/>
          <w:sz w:val="20"/>
          <w:szCs w:val="20"/>
          <w:lang w:val="en-GB"/>
        </w:rPr>
        <w:t>for its failure</w:t>
      </w:r>
      <w:r w:rsidRPr="006D523F">
        <w:rPr>
          <w:rFonts w:ascii="Arial" w:hAnsi="Arial" w:cs="Arial"/>
          <w:sz w:val="20"/>
          <w:szCs w:val="20"/>
          <w:lang w:val="en-GB"/>
        </w:rPr>
        <w:t xml:space="preserve"> to</w:t>
      </w:r>
      <w:r>
        <w:rPr>
          <w:rFonts w:ascii="Arial" w:hAnsi="Arial" w:cs="Arial"/>
          <w:sz w:val="20"/>
          <w:szCs w:val="20"/>
          <w:lang w:val="en-GB"/>
        </w:rPr>
        <w:t xml:space="preserve"> </w:t>
      </w:r>
      <w:r w:rsidRPr="006D523F">
        <w:rPr>
          <w:rFonts w:ascii="Arial" w:hAnsi="Arial" w:cs="Arial"/>
          <w:sz w:val="20"/>
          <w:szCs w:val="20"/>
          <w:lang w:val="en-GB"/>
        </w:rPr>
        <w:t>disclose its dealings in the shares of Shanghai Dongzheng Automotive Finance Co., Limited (</w:t>
      </w:r>
      <w:r w:rsidRPr="006D523F">
        <w:rPr>
          <w:rFonts w:ascii="Arial" w:hAnsi="Arial" w:cs="Arial"/>
          <w:b/>
          <w:sz w:val="20"/>
          <w:szCs w:val="20"/>
          <w:lang w:val="en-GB"/>
        </w:rPr>
        <w:t>Shanghai Dongzheng</w:t>
      </w:r>
      <w:r w:rsidRPr="006D523F">
        <w:rPr>
          <w:rFonts w:ascii="Arial" w:hAnsi="Arial" w:cs="Arial"/>
          <w:sz w:val="20"/>
          <w:szCs w:val="20"/>
          <w:lang w:val="en-GB"/>
        </w:rPr>
        <w:t>)</w:t>
      </w:r>
      <w:r>
        <w:rPr>
          <w:rFonts w:ascii="Arial" w:hAnsi="Arial" w:cs="Arial"/>
          <w:sz w:val="20"/>
          <w:szCs w:val="20"/>
          <w:lang w:val="en-GB"/>
        </w:rPr>
        <w:t xml:space="preserve"> </w:t>
      </w:r>
      <w:r w:rsidRPr="006D523F">
        <w:rPr>
          <w:rFonts w:ascii="Arial" w:hAnsi="Arial" w:cs="Arial"/>
          <w:sz w:val="20"/>
          <w:szCs w:val="20"/>
          <w:lang w:val="en-GB"/>
        </w:rPr>
        <w:t xml:space="preserve">contravening Rule 22 and General Principle 6 of the </w:t>
      </w:r>
      <w:r>
        <w:rPr>
          <w:rFonts w:ascii="Arial" w:hAnsi="Arial" w:cs="Arial"/>
          <w:sz w:val="20"/>
          <w:szCs w:val="20"/>
          <w:lang w:val="en-GB"/>
        </w:rPr>
        <w:t xml:space="preserve">SFC’s </w:t>
      </w:r>
      <w:r w:rsidRPr="006D523F">
        <w:rPr>
          <w:rFonts w:ascii="Arial" w:hAnsi="Arial" w:cs="Arial"/>
          <w:sz w:val="20"/>
          <w:szCs w:val="20"/>
          <w:lang w:val="en-GB"/>
        </w:rPr>
        <w:t xml:space="preserve">Code on Takeovers and Mergers (the </w:t>
      </w:r>
      <w:r w:rsidRPr="00CA4515">
        <w:rPr>
          <w:rFonts w:ascii="Arial" w:hAnsi="Arial" w:cs="Arial"/>
          <w:b/>
          <w:sz w:val="20"/>
          <w:szCs w:val="20"/>
          <w:lang w:val="en-GB"/>
        </w:rPr>
        <w:t>Hong Kong</w:t>
      </w:r>
      <w:r>
        <w:rPr>
          <w:rFonts w:ascii="Arial" w:hAnsi="Arial" w:cs="Arial"/>
          <w:sz w:val="20"/>
          <w:szCs w:val="20"/>
          <w:lang w:val="en-GB"/>
        </w:rPr>
        <w:t xml:space="preserve"> </w:t>
      </w:r>
      <w:r w:rsidRPr="006D523F">
        <w:rPr>
          <w:rFonts w:ascii="Arial" w:hAnsi="Arial" w:cs="Arial"/>
          <w:b/>
          <w:sz w:val="20"/>
          <w:szCs w:val="20"/>
          <w:lang w:val="en-GB"/>
        </w:rPr>
        <w:t>Takeovers Code</w:t>
      </w:r>
      <w:r w:rsidRPr="006D523F">
        <w:rPr>
          <w:rFonts w:ascii="Arial" w:hAnsi="Arial" w:cs="Arial"/>
          <w:sz w:val="20"/>
          <w:szCs w:val="20"/>
          <w:lang w:val="en-GB"/>
        </w:rPr>
        <w:t>)</w:t>
      </w:r>
      <w:r>
        <w:rPr>
          <w:rFonts w:ascii="Arial" w:hAnsi="Arial" w:cs="Arial"/>
          <w:sz w:val="20"/>
          <w:szCs w:val="20"/>
          <w:lang w:val="en-GB"/>
        </w:rPr>
        <w:t>.</w:t>
      </w:r>
      <w:r w:rsidRPr="006D523F">
        <w:rPr>
          <w:rFonts w:ascii="Arial" w:hAnsi="Arial" w:cs="Arial"/>
          <w:sz w:val="20"/>
          <w:szCs w:val="20"/>
          <w:lang w:val="en-GB"/>
        </w:rPr>
        <w:t xml:space="preserve"> </w:t>
      </w:r>
    </w:p>
    <w:p w:rsidR="004B619E" w:rsidRPr="006D523F" w:rsidRDefault="004B619E" w:rsidP="004B619E">
      <w:pPr>
        <w:jc w:val="both"/>
        <w:rPr>
          <w:rFonts w:ascii="Arial" w:hAnsi="Arial" w:cs="Arial"/>
          <w:sz w:val="20"/>
          <w:szCs w:val="20"/>
          <w:lang w:val="en-GB"/>
        </w:rPr>
      </w:pPr>
      <w:r w:rsidRPr="006D523F">
        <w:rPr>
          <w:rFonts w:ascii="Arial" w:hAnsi="Arial" w:cs="Arial"/>
          <w:sz w:val="20"/>
          <w:szCs w:val="20"/>
          <w:lang w:val="en-GB"/>
        </w:rPr>
        <w:t>On 3 February 2021</w:t>
      </w:r>
      <w:r>
        <w:rPr>
          <w:rFonts w:ascii="Arial" w:hAnsi="Arial" w:cs="Arial"/>
          <w:sz w:val="20"/>
          <w:szCs w:val="20"/>
          <w:lang w:val="en-GB"/>
        </w:rPr>
        <w:t>,</w:t>
      </w:r>
      <w:r w:rsidRPr="006D523F">
        <w:rPr>
          <w:rFonts w:ascii="Arial" w:hAnsi="Arial" w:cs="Arial"/>
          <w:sz w:val="20"/>
          <w:szCs w:val="20"/>
          <w:lang w:val="en-GB"/>
        </w:rPr>
        <w:t xml:space="preserve"> an offer period commenced</w:t>
      </w:r>
      <w:r>
        <w:rPr>
          <w:rFonts w:ascii="Arial" w:hAnsi="Arial" w:cs="Arial"/>
          <w:sz w:val="20"/>
          <w:szCs w:val="20"/>
          <w:lang w:val="en-GB"/>
        </w:rPr>
        <w:t xml:space="preserve"> for </w:t>
      </w:r>
      <w:r w:rsidRPr="006D523F">
        <w:rPr>
          <w:rFonts w:ascii="Arial" w:hAnsi="Arial" w:cs="Arial"/>
          <w:sz w:val="20"/>
          <w:szCs w:val="20"/>
          <w:lang w:val="en-GB"/>
        </w:rPr>
        <w:t xml:space="preserve">Shanghai Dongzheng </w:t>
      </w:r>
      <w:r>
        <w:rPr>
          <w:rFonts w:ascii="Arial" w:hAnsi="Arial" w:cs="Arial"/>
          <w:sz w:val="20"/>
          <w:szCs w:val="20"/>
          <w:lang w:val="en-GB"/>
        </w:rPr>
        <w:t xml:space="preserve">when it </w:t>
      </w:r>
      <w:r w:rsidRPr="006D523F">
        <w:rPr>
          <w:rFonts w:ascii="Arial" w:hAnsi="Arial" w:cs="Arial"/>
          <w:sz w:val="20"/>
          <w:szCs w:val="20"/>
          <w:lang w:val="en-GB"/>
        </w:rPr>
        <w:t>announc</w:t>
      </w:r>
      <w:r>
        <w:rPr>
          <w:rFonts w:ascii="Arial" w:hAnsi="Arial" w:cs="Arial"/>
          <w:sz w:val="20"/>
          <w:szCs w:val="20"/>
          <w:lang w:val="en-GB"/>
        </w:rPr>
        <w:t>ed</w:t>
      </w:r>
      <w:r w:rsidRPr="006D523F">
        <w:rPr>
          <w:rFonts w:ascii="Arial" w:hAnsi="Arial" w:cs="Arial"/>
          <w:sz w:val="20"/>
          <w:szCs w:val="20"/>
          <w:lang w:val="en-GB"/>
        </w:rPr>
        <w:t xml:space="preserve"> a possible sale of 71.04% of </w:t>
      </w:r>
      <w:r>
        <w:rPr>
          <w:rFonts w:ascii="Arial" w:hAnsi="Arial" w:cs="Arial"/>
          <w:sz w:val="20"/>
          <w:szCs w:val="20"/>
          <w:lang w:val="en-GB"/>
        </w:rPr>
        <w:t xml:space="preserve">its </w:t>
      </w:r>
      <w:r w:rsidRPr="006D523F">
        <w:rPr>
          <w:rFonts w:ascii="Arial" w:hAnsi="Arial" w:cs="Arial"/>
          <w:sz w:val="20"/>
          <w:szCs w:val="20"/>
          <w:lang w:val="en-GB"/>
        </w:rPr>
        <w:t xml:space="preserve">issued share capital held by its controlling shareholder to a potential buyer under Rule 3.7 of the </w:t>
      </w:r>
      <w:r>
        <w:rPr>
          <w:rFonts w:ascii="Arial" w:hAnsi="Arial" w:cs="Arial"/>
          <w:sz w:val="20"/>
          <w:szCs w:val="20"/>
          <w:lang w:val="en-GB"/>
        </w:rPr>
        <w:t xml:space="preserve">Hong Kong </w:t>
      </w:r>
      <w:r w:rsidRPr="006D523F">
        <w:rPr>
          <w:rFonts w:ascii="Arial" w:hAnsi="Arial" w:cs="Arial"/>
          <w:sz w:val="20"/>
          <w:szCs w:val="20"/>
          <w:lang w:val="en-GB"/>
        </w:rPr>
        <w:t>Takeovers Code</w:t>
      </w:r>
      <w:r>
        <w:rPr>
          <w:rFonts w:ascii="Arial" w:hAnsi="Arial" w:cs="Arial"/>
          <w:sz w:val="20"/>
          <w:szCs w:val="20"/>
          <w:lang w:val="en-GB"/>
        </w:rPr>
        <w:t xml:space="preserve">. The announcement contained a clear reminder to its “associates” of their obligation to disclose their dealings in Shanghai Dongzheng’s relevant securities under Rule 22 of the Hong Kong Takeovers Code. </w:t>
      </w:r>
      <w:r w:rsidRPr="006D523F">
        <w:rPr>
          <w:rFonts w:ascii="Arial" w:hAnsi="Arial" w:cs="Arial"/>
          <w:sz w:val="20"/>
          <w:szCs w:val="20"/>
          <w:lang w:val="en-GB"/>
        </w:rPr>
        <w:t xml:space="preserve"> </w:t>
      </w:r>
    </w:p>
    <w:p w:rsidR="004B619E" w:rsidRPr="006D523F" w:rsidRDefault="004B619E" w:rsidP="004B619E">
      <w:pPr>
        <w:jc w:val="both"/>
        <w:rPr>
          <w:rFonts w:ascii="Arial" w:hAnsi="Arial" w:cs="Arial"/>
          <w:sz w:val="20"/>
          <w:szCs w:val="20"/>
          <w:lang w:val="en-GB"/>
        </w:rPr>
      </w:pPr>
      <w:r w:rsidRPr="006D523F">
        <w:rPr>
          <w:rFonts w:ascii="Arial" w:hAnsi="Arial" w:cs="Arial"/>
          <w:sz w:val="20"/>
          <w:szCs w:val="20"/>
          <w:lang w:val="en-GB"/>
        </w:rPr>
        <w:t>Between 12 March 2021 and 14 April 2022 (</w:t>
      </w:r>
      <w:r w:rsidRPr="006D523F">
        <w:rPr>
          <w:rFonts w:ascii="Arial" w:hAnsi="Arial" w:cs="Arial"/>
          <w:b/>
          <w:sz w:val="20"/>
          <w:szCs w:val="20"/>
          <w:lang w:val="en-GB"/>
        </w:rPr>
        <w:t>Relevant Period</w:t>
      </w:r>
      <w:r w:rsidRPr="006D523F">
        <w:rPr>
          <w:rFonts w:ascii="Arial" w:hAnsi="Arial" w:cs="Arial"/>
          <w:sz w:val="20"/>
          <w:szCs w:val="20"/>
          <w:lang w:val="en-GB"/>
        </w:rPr>
        <w:t>)</w:t>
      </w:r>
      <w:r>
        <w:rPr>
          <w:rFonts w:ascii="Arial" w:hAnsi="Arial" w:cs="Arial"/>
          <w:sz w:val="20"/>
          <w:szCs w:val="20"/>
          <w:lang w:val="en-GB"/>
        </w:rPr>
        <w:t>,</w:t>
      </w:r>
      <w:r w:rsidRPr="006D523F">
        <w:rPr>
          <w:rFonts w:ascii="Arial" w:hAnsi="Arial" w:cs="Arial"/>
          <w:sz w:val="20"/>
          <w:szCs w:val="20"/>
          <w:lang w:val="en-GB"/>
        </w:rPr>
        <w:t xml:space="preserve"> Gold Dragon</w:t>
      </w:r>
      <w:r>
        <w:rPr>
          <w:rFonts w:ascii="Arial" w:hAnsi="Arial" w:cs="Arial"/>
          <w:sz w:val="20"/>
          <w:szCs w:val="20"/>
          <w:lang w:val="en-GB"/>
        </w:rPr>
        <w:t>,</w:t>
      </w:r>
      <w:r w:rsidRPr="006D523F">
        <w:rPr>
          <w:rFonts w:ascii="Arial" w:hAnsi="Arial" w:cs="Arial"/>
          <w:sz w:val="20"/>
          <w:szCs w:val="20"/>
          <w:lang w:val="en-GB"/>
        </w:rPr>
        <w:t xml:space="preserve"> acting as the investment manager of Seahawk China Dynamic Fund (</w:t>
      </w:r>
      <w:r w:rsidRPr="006D523F">
        <w:rPr>
          <w:rFonts w:ascii="Arial" w:hAnsi="Arial" w:cs="Arial"/>
          <w:b/>
          <w:sz w:val="20"/>
          <w:szCs w:val="20"/>
          <w:lang w:val="en-GB"/>
        </w:rPr>
        <w:t>Seahawk Fund</w:t>
      </w:r>
      <w:r w:rsidRPr="006D523F">
        <w:rPr>
          <w:rFonts w:ascii="Arial" w:hAnsi="Arial" w:cs="Arial"/>
          <w:sz w:val="20"/>
          <w:szCs w:val="20"/>
          <w:lang w:val="en-GB"/>
        </w:rPr>
        <w:t>)</w:t>
      </w:r>
      <w:r>
        <w:rPr>
          <w:rFonts w:ascii="Arial" w:hAnsi="Arial" w:cs="Arial"/>
          <w:sz w:val="20"/>
          <w:szCs w:val="20"/>
          <w:lang w:val="en-GB"/>
        </w:rPr>
        <w:t>,</w:t>
      </w:r>
      <w:r w:rsidRPr="006D523F">
        <w:rPr>
          <w:rFonts w:ascii="Arial" w:hAnsi="Arial" w:cs="Arial"/>
          <w:sz w:val="20"/>
          <w:szCs w:val="20"/>
          <w:lang w:val="en-GB"/>
        </w:rPr>
        <w:t xml:space="preserve"> executed 53 trades in Shanghai Dongzheng’s H shares (</w:t>
      </w:r>
      <w:r w:rsidRPr="006D523F">
        <w:rPr>
          <w:rFonts w:ascii="Arial" w:hAnsi="Arial" w:cs="Arial"/>
          <w:b/>
          <w:sz w:val="20"/>
          <w:szCs w:val="20"/>
          <w:lang w:val="en-GB"/>
        </w:rPr>
        <w:t>Relevant Dealings</w:t>
      </w:r>
      <w:r w:rsidRPr="006D523F">
        <w:rPr>
          <w:rFonts w:ascii="Arial" w:hAnsi="Arial" w:cs="Arial"/>
          <w:sz w:val="20"/>
          <w:szCs w:val="20"/>
          <w:lang w:val="en-GB"/>
        </w:rPr>
        <w:t xml:space="preserve">) resulting in a decrease in the </w:t>
      </w:r>
      <w:r>
        <w:rPr>
          <w:rFonts w:ascii="Arial" w:hAnsi="Arial" w:cs="Arial"/>
          <w:sz w:val="20"/>
          <w:szCs w:val="20"/>
          <w:lang w:val="en-GB"/>
        </w:rPr>
        <w:t>percentage</w:t>
      </w:r>
      <w:r w:rsidRPr="006D523F">
        <w:rPr>
          <w:rFonts w:ascii="Arial" w:hAnsi="Arial" w:cs="Arial"/>
          <w:sz w:val="20"/>
          <w:szCs w:val="20"/>
          <w:lang w:val="en-GB"/>
        </w:rPr>
        <w:t xml:space="preserve"> of shares Seahawk Fund held in Shanghai Dongzheng from 6.45% to 4.75%. Both Gold Dragon and Seahawk Fund made </w:t>
      </w:r>
      <w:r>
        <w:rPr>
          <w:rFonts w:ascii="Arial" w:hAnsi="Arial" w:cs="Arial"/>
          <w:sz w:val="20"/>
          <w:szCs w:val="20"/>
          <w:lang w:val="en-GB"/>
        </w:rPr>
        <w:t xml:space="preserve">the </w:t>
      </w:r>
      <w:r w:rsidRPr="006D523F">
        <w:rPr>
          <w:rFonts w:ascii="Arial" w:hAnsi="Arial" w:cs="Arial"/>
          <w:sz w:val="20"/>
          <w:szCs w:val="20"/>
          <w:lang w:val="en-GB"/>
        </w:rPr>
        <w:t xml:space="preserve">relevant disclosures of interest under Part XV of the SFO but </w:t>
      </w:r>
      <w:r>
        <w:rPr>
          <w:rFonts w:ascii="Arial" w:hAnsi="Arial" w:cs="Arial"/>
          <w:sz w:val="20"/>
          <w:szCs w:val="20"/>
          <w:lang w:val="en-GB"/>
        </w:rPr>
        <w:t>failed to disclose the dealings as required by Rule 22 of</w:t>
      </w:r>
      <w:r w:rsidRPr="006D523F">
        <w:rPr>
          <w:rFonts w:ascii="Arial" w:hAnsi="Arial" w:cs="Arial"/>
          <w:sz w:val="20"/>
          <w:szCs w:val="20"/>
          <w:lang w:val="en-GB"/>
        </w:rPr>
        <w:t xml:space="preserve"> the </w:t>
      </w:r>
      <w:r>
        <w:rPr>
          <w:rFonts w:ascii="Arial" w:hAnsi="Arial" w:cs="Arial"/>
          <w:sz w:val="20"/>
          <w:szCs w:val="20"/>
          <w:lang w:val="en-GB"/>
        </w:rPr>
        <w:t xml:space="preserve">Hong Kong </w:t>
      </w:r>
      <w:r w:rsidRPr="006D523F">
        <w:rPr>
          <w:rFonts w:ascii="Arial" w:hAnsi="Arial" w:cs="Arial"/>
          <w:sz w:val="20"/>
          <w:szCs w:val="20"/>
          <w:lang w:val="en-GB"/>
        </w:rPr>
        <w:t>Takeovers Code.</w:t>
      </w:r>
    </w:p>
    <w:p w:rsidR="004B619E" w:rsidRPr="006D523F" w:rsidRDefault="004B619E" w:rsidP="004B619E">
      <w:pPr>
        <w:jc w:val="both"/>
        <w:rPr>
          <w:rFonts w:ascii="Arial" w:hAnsi="Arial" w:cs="Arial"/>
          <w:b/>
          <w:sz w:val="20"/>
          <w:szCs w:val="20"/>
          <w:lang w:val="en-GB"/>
        </w:rPr>
      </w:pPr>
      <w:r w:rsidRPr="006D523F">
        <w:rPr>
          <w:rFonts w:ascii="Arial" w:hAnsi="Arial" w:cs="Arial"/>
          <w:b/>
          <w:sz w:val="20"/>
          <w:szCs w:val="20"/>
          <w:lang w:val="en-GB"/>
        </w:rPr>
        <w:t xml:space="preserve">Rule 22 and General Principle 6 of the </w:t>
      </w:r>
      <w:r>
        <w:rPr>
          <w:rFonts w:ascii="Arial" w:hAnsi="Arial" w:cs="Arial"/>
          <w:b/>
          <w:sz w:val="20"/>
          <w:szCs w:val="20"/>
          <w:lang w:val="en-GB"/>
        </w:rPr>
        <w:t xml:space="preserve">Hong Kong </w:t>
      </w:r>
      <w:r w:rsidRPr="006D523F">
        <w:rPr>
          <w:rFonts w:ascii="Arial" w:hAnsi="Arial" w:cs="Arial"/>
          <w:b/>
          <w:sz w:val="20"/>
          <w:szCs w:val="20"/>
          <w:lang w:val="en-GB"/>
        </w:rPr>
        <w:t xml:space="preserve">Takeovers Code </w:t>
      </w:r>
    </w:p>
    <w:p w:rsidR="004B619E" w:rsidRPr="006D523F" w:rsidRDefault="004B619E" w:rsidP="004B619E">
      <w:pPr>
        <w:jc w:val="both"/>
        <w:rPr>
          <w:rFonts w:ascii="Arial" w:hAnsi="Arial" w:cs="Arial"/>
          <w:sz w:val="20"/>
          <w:szCs w:val="20"/>
          <w:lang w:val="en-GB"/>
        </w:rPr>
      </w:pPr>
      <w:r>
        <w:rPr>
          <w:rFonts w:ascii="Arial" w:hAnsi="Arial" w:cs="Arial"/>
          <w:sz w:val="20"/>
          <w:szCs w:val="20"/>
          <w:lang w:val="en-GB"/>
        </w:rPr>
        <w:t xml:space="preserve">Rule 22.1(a) </w:t>
      </w:r>
      <w:r w:rsidRPr="006D523F">
        <w:rPr>
          <w:rFonts w:ascii="Arial" w:hAnsi="Arial" w:cs="Arial"/>
          <w:sz w:val="20"/>
          <w:szCs w:val="20"/>
          <w:lang w:val="en-GB"/>
        </w:rPr>
        <w:t xml:space="preserve">of the </w:t>
      </w:r>
      <w:r>
        <w:rPr>
          <w:rFonts w:ascii="Arial" w:hAnsi="Arial" w:cs="Arial"/>
          <w:sz w:val="20"/>
          <w:szCs w:val="20"/>
          <w:lang w:val="en-GB"/>
        </w:rPr>
        <w:t xml:space="preserve">Hong Kong </w:t>
      </w:r>
      <w:r w:rsidRPr="006D523F">
        <w:rPr>
          <w:rFonts w:ascii="Arial" w:hAnsi="Arial" w:cs="Arial"/>
          <w:sz w:val="20"/>
          <w:szCs w:val="20"/>
          <w:lang w:val="en-GB"/>
        </w:rPr>
        <w:t xml:space="preserve">Takeovers Code </w:t>
      </w:r>
      <w:r>
        <w:rPr>
          <w:rFonts w:ascii="Arial" w:hAnsi="Arial" w:cs="Arial"/>
          <w:sz w:val="20"/>
          <w:szCs w:val="20"/>
          <w:lang w:val="en-GB"/>
        </w:rPr>
        <w:t xml:space="preserve">requires </w:t>
      </w:r>
      <w:r w:rsidRPr="006D523F">
        <w:rPr>
          <w:rFonts w:ascii="Arial" w:hAnsi="Arial" w:cs="Arial"/>
          <w:sz w:val="20"/>
          <w:szCs w:val="20"/>
          <w:lang w:val="en-GB"/>
        </w:rPr>
        <w:t>that</w:t>
      </w:r>
      <w:r>
        <w:rPr>
          <w:rFonts w:ascii="Arial" w:hAnsi="Arial" w:cs="Arial"/>
          <w:sz w:val="20"/>
          <w:szCs w:val="20"/>
          <w:lang w:val="en-GB"/>
        </w:rPr>
        <w:t xml:space="preserve"> all </w:t>
      </w:r>
      <w:r w:rsidRPr="006D523F">
        <w:rPr>
          <w:rFonts w:ascii="Arial" w:hAnsi="Arial" w:cs="Arial"/>
          <w:sz w:val="20"/>
          <w:szCs w:val="20"/>
          <w:lang w:val="en-GB"/>
        </w:rPr>
        <w:t xml:space="preserve">dealings in relevant securities by an offeror or the offeree company and </w:t>
      </w:r>
      <w:r>
        <w:rPr>
          <w:rFonts w:ascii="Arial" w:hAnsi="Arial" w:cs="Arial"/>
          <w:sz w:val="20"/>
          <w:szCs w:val="20"/>
          <w:lang w:val="en-GB"/>
        </w:rPr>
        <w:t xml:space="preserve">their </w:t>
      </w:r>
      <w:r w:rsidRPr="006D523F">
        <w:rPr>
          <w:rFonts w:ascii="Arial" w:hAnsi="Arial" w:cs="Arial"/>
          <w:sz w:val="20"/>
          <w:szCs w:val="20"/>
          <w:lang w:val="en-GB"/>
        </w:rPr>
        <w:t>associates for their own account during an offer period must be publicly disclosed. Associates include a</w:t>
      </w:r>
      <w:r>
        <w:rPr>
          <w:rFonts w:ascii="Arial" w:hAnsi="Arial" w:cs="Arial"/>
          <w:sz w:val="20"/>
          <w:szCs w:val="20"/>
          <w:lang w:val="en-GB"/>
        </w:rPr>
        <w:t>ny</w:t>
      </w:r>
      <w:r w:rsidRPr="006D523F">
        <w:rPr>
          <w:rFonts w:ascii="Arial" w:hAnsi="Arial" w:cs="Arial"/>
          <w:sz w:val="20"/>
          <w:szCs w:val="20"/>
          <w:lang w:val="en-GB"/>
        </w:rPr>
        <w:t xml:space="preserve"> person who owns or controls 5% or more of any class of relevant securities issued by an offeror or the offeree company, including a person who as a result of any transaction owns or controls 5% or more</w:t>
      </w:r>
      <w:r>
        <w:rPr>
          <w:rFonts w:ascii="Arial" w:hAnsi="Arial" w:cs="Arial"/>
          <w:sz w:val="20"/>
          <w:szCs w:val="20"/>
          <w:lang w:val="en-GB"/>
        </w:rPr>
        <w:t>.</w:t>
      </w:r>
    </w:p>
    <w:p w:rsidR="004B619E" w:rsidRPr="006D523F" w:rsidRDefault="004B619E" w:rsidP="004B619E">
      <w:pPr>
        <w:jc w:val="both"/>
        <w:rPr>
          <w:rFonts w:ascii="Arial" w:hAnsi="Arial" w:cs="Arial"/>
          <w:sz w:val="20"/>
          <w:szCs w:val="20"/>
          <w:lang w:val="en-GB"/>
        </w:rPr>
      </w:pPr>
      <w:r w:rsidRPr="006D523F">
        <w:rPr>
          <w:rFonts w:ascii="Arial" w:hAnsi="Arial" w:cs="Arial"/>
          <w:sz w:val="20"/>
          <w:szCs w:val="20"/>
          <w:lang w:val="en-GB"/>
        </w:rPr>
        <w:t xml:space="preserve">General Principle 6 of the </w:t>
      </w:r>
      <w:r>
        <w:rPr>
          <w:rFonts w:ascii="Arial" w:hAnsi="Arial" w:cs="Arial"/>
          <w:sz w:val="20"/>
          <w:szCs w:val="20"/>
          <w:lang w:val="en-GB"/>
        </w:rPr>
        <w:t xml:space="preserve">Hong Kong </w:t>
      </w:r>
      <w:r w:rsidRPr="006D523F">
        <w:rPr>
          <w:rFonts w:ascii="Arial" w:hAnsi="Arial" w:cs="Arial"/>
          <w:sz w:val="20"/>
          <w:szCs w:val="20"/>
          <w:lang w:val="en-GB"/>
        </w:rPr>
        <w:t>Takeovers Code states</w:t>
      </w:r>
      <w:r>
        <w:rPr>
          <w:rFonts w:ascii="Arial" w:hAnsi="Arial" w:cs="Arial"/>
          <w:sz w:val="20"/>
          <w:szCs w:val="20"/>
          <w:lang w:val="en-GB"/>
        </w:rPr>
        <w:t xml:space="preserve"> that</w:t>
      </w:r>
      <w:r w:rsidRPr="006D523F">
        <w:rPr>
          <w:rFonts w:ascii="Arial" w:hAnsi="Arial" w:cs="Arial"/>
          <w:sz w:val="20"/>
          <w:szCs w:val="20"/>
          <w:lang w:val="en-GB"/>
        </w:rPr>
        <w:t xml:space="preserve"> “All persons concerned with offers should make full and prompt disclosure of all relevant information and take every precaution to avoid the creation or continuance of a false market. Parties involved in offers must take care that statements are not made which may mislead shareholders or the market</w:t>
      </w:r>
      <w:r>
        <w:rPr>
          <w:rFonts w:ascii="Arial" w:hAnsi="Arial" w:cs="Arial"/>
          <w:sz w:val="20"/>
          <w:szCs w:val="20"/>
          <w:lang w:val="en-GB"/>
        </w:rPr>
        <w:t>.</w:t>
      </w:r>
      <w:r w:rsidRPr="006D523F">
        <w:rPr>
          <w:rFonts w:ascii="Arial" w:hAnsi="Arial" w:cs="Arial"/>
          <w:sz w:val="20"/>
          <w:szCs w:val="20"/>
          <w:lang w:val="en-GB"/>
        </w:rPr>
        <w:t>”</w:t>
      </w:r>
    </w:p>
    <w:p w:rsidR="004B619E" w:rsidRPr="006D523F" w:rsidRDefault="004B619E" w:rsidP="004B619E">
      <w:pPr>
        <w:jc w:val="both"/>
        <w:rPr>
          <w:rFonts w:ascii="Arial" w:hAnsi="Arial" w:cs="Arial"/>
          <w:b/>
          <w:sz w:val="20"/>
          <w:szCs w:val="20"/>
          <w:lang w:val="en-GB"/>
        </w:rPr>
      </w:pPr>
      <w:r w:rsidRPr="006D523F">
        <w:rPr>
          <w:rFonts w:ascii="Arial" w:hAnsi="Arial" w:cs="Arial"/>
          <w:b/>
          <w:sz w:val="20"/>
          <w:szCs w:val="20"/>
          <w:lang w:val="en-GB"/>
        </w:rPr>
        <w:t xml:space="preserve">Breach of </w:t>
      </w:r>
      <w:r>
        <w:rPr>
          <w:rFonts w:ascii="Arial" w:hAnsi="Arial" w:cs="Arial"/>
          <w:b/>
          <w:sz w:val="20"/>
          <w:szCs w:val="20"/>
          <w:lang w:val="en-GB"/>
        </w:rPr>
        <w:t xml:space="preserve">the Hong Kong </w:t>
      </w:r>
      <w:r w:rsidRPr="006D523F">
        <w:rPr>
          <w:rFonts w:ascii="Arial" w:hAnsi="Arial" w:cs="Arial"/>
          <w:b/>
          <w:sz w:val="20"/>
          <w:szCs w:val="20"/>
          <w:lang w:val="en-GB"/>
        </w:rPr>
        <w:t xml:space="preserve">Takeover Code </w:t>
      </w:r>
    </w:p>
    <w:p w:rsidR="004B619E" w:rsidRPr="006D523F" w:rsidRDefault="004B619E" w:rsidP="004B619E">
      <w:pPr>
        <w:jc w:val="both"/>
        <w:rPr>
          <w:rFonts w:ascii="Arial" w:hAnsi="Arial" w:cs="Arial"/>
          <w:sz w:val="20"/>
          <w:szCs w:val="20"/>
          <w:lang w:val="en-GB"/>
        </w:rPr>
      </w:pPr>
      <w:r w:rsidRPr="006D523F">
        <w:rPr>
          <w:rFonts w:ascii="Arial" w:hAnsi="Arial" w:cs="Arial"/>
          <w:sz w:val="20"/>
          <w:szCs w:val="20"/>
          <w:lang w:val="en-GB"/>
        </w:rPr>
        <w:t xml:space="preserve">The Takeovers Executive of the SFC (the </w:t>
      </w:r>
      <w:r>
        <w:rPr>
          <w:rFonts w:ascii="Arial" w:hAnsi="Arial" w:cs="Arial"/>
          <w:b/>
          <w:sz w:val="20"/>
          <w:szCs w:val="20"/>
          <w:lang w:val="en-GB"/>
        </w:rPr>
        <w:t>Executive</w:t>
      </w:r>
      <w:r w:rsidRPr="006D523F">
        <w:rPr>
          <w:rFonts w:ascii="Arial" w:hAnsi="Arial" w:cs="Arial"/>
          <w:sz w:val="20"/>
          <w:szCs w:val="20"/>
          <w:lang w:val="en-GB"/>
        </w:rPr>
        <w:t>)</w:t>
      </w:r>
      <w:r>
        <w:rPr>
          <w:rFonts w:ascii="Arial" w:hAnsi="Arial" w:cs="Arial"/>
          <w:sz w:val="20"/>
          <w:szCs w:val="20"/>
          <w:lang w:val="en-GB"/>
        </w:rPr>
        <w:t xml:space="preserve"> </w:t>
      </w:r>
      <w:r w:rsidRPr="006D523F">
        <w:rPr>
          <w:rFonts w:ascii="Arial" w:hAnsi="Arial" w:cs="Arial"/>
          <w:sz w:val="20"/>
          <w:szCs w:val="20"/>
          <w:lang w:val="en-GB"/>
        </w:rPr>
        <w:t xml:space="preserve">determined that Gold Dragon had breached Rule </w:t>
      </w:r>
      <w:r>
        <w:rPr>
          <w:rFonts w:ascii="Arial" w:hAnsi="Arial" w:cs="Arial"/>
          <w:sz w:val="20"/>
          <w:szCs w:val="20"/>
          <w:lang w:val="en-GB"/>
        </w:rPr>
        <w:t>22.1(a)</w:t>
      </w:r>
      <w:r w:rsidRPr="006D523F">
        <w:rPr>
          <w:rFonts w:ascii="Arial" w:hAnsi="Arial" w:cs="Arial"/>
          <w:sz w:val="20"/>
          <w:szCs w:val="20"/>
          <w:lang w:val="en-GB"/>
        </w:rPr>
        <w:t xml:space="preserve"> </w:t>
      </w:r>
      <w:r>
        <w:rPr>
          <w:rFonts w:ascii="Arial" w:hAnsi="Arial" w:cs="Arial"/>
          <w:sz w:val="20"/>
          <w:szCs w:val="20"/>
          <w:lang w:val="en-GB"/>
        </w:rPr>
        <w:t xml:space="preserve">of the Hong Kong Takeovers Code </w:t>
      </w:r>
      <w:r w:rsidRPr="006D523F">
        <w:rPr>
          <w:rFonts w:ascii="Arial" w:hAnsi="Arial" w:cs="Arial"/>
          <w:sz w:val="20"/>
          <w:szCs w:val="20"/>
          <w:lang w:val="en-GB"/>
        </w:rPr>
        <w:t>in failing to</w:t>
      </w:r>
      <w:r>
        <w:rPr>
          <w:rFonts w:ascii="Arial" w:hAnsi="Arial" w:cs="Arial"/>
          <w:sz w:val="20"/>
          <w:szCs w:val="20"/>
          <w:lang w:val="en-GB"/>
        </w:rPr>
        <w:t xml:space="preserve"> </w:t>
      </w:r>
      <w:r w:rsidRPr="006D523F">
        <w:rPr>
          <w:rFonts w:ascii="Arial" w:hAnsi="Arial" w:cs="Arial"/>
          <w:sz w:val="20"/>
          <w:szCs w:val="20"/>
          <w:lang w:val="en-GB"/>
        </w:rPr>
        <w:t>disclose the Relevant Dealings</w:t>
      </w:r>
      <w:r>
        <w:rPr>
          <w:rFonts w:ascii="Arial" w:hAnsi="Arial" w:cs="Arial"/>
          <w:sz w:val="20"/>
          <w:szCs w:val="20"/>
          <w:lang w:val="en-GB"/>
        </w:rPr>
        <w:t>.</w:t>
      </w:r>
      <w:r w:rsidRPr="006D523F">
        <w:rPr>
          <w:rFonts w:ascii="Arial" w:hAnsi="Arial" w:cs="Arial"/>
          <w:sz w:val="20"/>
          <w:szCs w:val="20"/>
          <w:lang w:val="en-GB"/>
        </w:rPr>
        <w:t xml:space="preserve"> Gold Dragon</w:t>
      </w:r>
      <w:r>
        <w:rPr>
          <w:rFonts w:ascii="Arial" w:hAnsi="Arial" w:cs="Arial"/>
          <w:sz w:val="20"/>
          <w:szCs w:val="20"/>
          <w:lang w:val="en-GB"/>
        </w:rPr>
        <w:t>,</w:t>
      </w:r>
      <w:r w:rsidRPr="006D523F">
        <w:rPr>
          <w:rFonts w:ascii="Arial" w:hAnsi="Arial" w:cs="Arial"/>
          <w:sz w:val="20"/>
          <w:szCs w:val="20"/>
          <w:lang w:val="en-GB"/>
        </w:rPr>
        <w:t xml:space="preserve"> as Seahawk Fund’s investment manager</w:t>
      </w:r>
      <w:r>
        <w:rPr>
          <w:rFonts w:ascii="Arial" w:hAnsi="Arial" w:cs="Arial"/>
          <w:sz w:val="20"/>
          <w:szCs w:val="20"/>
          <w:lang w:val="en-GB"/>
        </w:rPr>
        <w:t>,</w:t>
      </w:r>
      <w:r w:rsidRPr="006D523F">
        <w:rPr>
          <w:rFonts w:ascii="Arial" w:hAnsi="Arial" w:cs="Arial"/>
          <w:sz w:val="20"/>
          <w:szCs w:val="20"/>
          <w:lang w:val="en-GB"/>
        </w:rPr>
        <w:t xml:space="preserve"> owned or controlled more than 5% of Shanghai Dongzheng’s </w:t>
      </w:r>
      <w:r>
        <w:rPr>
          <w:rFonts w:ascii="Arial" w:hAnsi="Arial" w:cs="Arial"/>
          <w:sz w:val="20"/>
          <w:szCs w:val="20"/>
          <w:lang w:val="en-GB"/>
        </w:rPr>
        <w:t xml:space="preserve">H </w:t>
      </w:r>
      <w:r w:rsidRPr="006D523F">
        <w:rPr>
          <w:rFonts w:ascii="Arial" w:hAnsi="Arial" w:cs="Arial"/>
          <w:sz w:val="20"/>
          <w:szCs w:val="20"/>
          <w:lang w:val="en-GB"/>
        </w:rPr>
        <w:t>shares</w:t>
      </w:r>
      <w:r>
        <w:rPr>
          <w:rFonts w:ascii="Arial" w:hAnsi="Arial" w:cs="Arial"/>
          <w:sz w:val="20"/>
          <w:szCs w:val="20"/>
          <w:lang w:val="en-GB"/>
        </w:rPr>
        <w:t xml:space="preserve"> immediately before the commencement of the offer period in relation to Shanghai Dongzheng. It was </w:t>
      </w:r>
      <w:r w:rsidRPr="006D523F">
        <w:rPr>
          <w:rFonts w:ascii="Arial" w:hAnsi="Arial" w:cs="Arial"/>
          <w:sz w:val="20"/>
          <w:szCs w:val="20"/>
          <w:lang w:val="en-GB"/>
        </w:rPr>
        <w:t>thus an associate of Shanghai Dongzheng</w:t>
      </w:r>
      <w:r>
        <w:rPr>
          <w:rFonts w:ascii="Arial" w:hAnsi="Arial" w:cs="Arial"/>
          <w:sz w:val="20"/>
          <w:szCs w:val="20"/>
          <w:lang w:val="en-GB"/>
        </w:rPr>
        <w:t xml:space="preserve"> and required to disclose the Relevant Dealings which occurred during the offer period.</w:t>
      </w:r>
    </w:p>
    <w:p w:rsidR="004B619E" w:rsidRPr="006D523F" w:rsidRDefault="004B619E" w:rsidP="004B619E">
      <w:pPr>
        <w:jc w:val="both"/>
        <w:rPr>
          <w:rFonts w:ascii="Arial" w:hAnsi="Arial" w:cs="Arial"/>
          <w:sz w:val="20"/>
          <w:szCs w:val="20"/>
          <w:lang w:val="en-GB"/>
        </w:rPr>
      </w:pPr>
      <w:r>
        <w:rPr>
          <w:rFonts w:ascii="Arial" w:hAnsi="Arial" w:cs="Arial"/>
          <w:sz w:val="20"/>
          <w:szCs w:val="20"/>
          <w:lang w:val="en-GB"/>
        </w:rPr>
        <w:lastRenderedPageBreak/>
        <w:t>Whilst recognising Gold Dragon’s cooperation in the matter, the Executive, nonetheless, made the</w:t>
      </w:r>
      <w:r w:rsidRPr="006D523F">
        <w:rPr>
          <w:rFonts w:ascii="Arial" w:hAnsi="Arial" w:cs="Arial"/>
          <w:sz w:val="20"/>
          <w:szCs w:val="20"/>
          <w:lang w:val="en-GB"/>
        </w:rPr>
        <w:t xml:space="preserve"> decision to take disciplinary action</w:t>
      </w:r>
      <w:r>
        <w:rPr>
          <w:rFonts w:ascii="Arial" w:hAnsi="Arial" w:cs="Arial"/>
          <w:sz w:val="20"/>
          <w:szCs w:val="20"/>
          <w:lang w:val="en-GB"/>
        </w:rPr>
        <w:t xml:space="preserve"> given </w:t>
      </w:r>
      <w:r w:rsidRPr="006D523F">
        <w:rPr>
          <w:rFonts w:ascii="Arial" w:hAnsi="Arial" w:cs="Arial"/>
          <w:sz w:val="20"/>
          <w:szCs w:val="20"/>
          <w:lang w:val="en-GB"/>
        </w:rPr>
        <w:t xml:space="preserve">the “material deficiencies in Gold Dragon’s compliance systems” and its failure to put in place adequate systems to prevent the </w:t>
      </w:r>
      <w:r>
        <w:rPr>
          <w:rFonts w:ascii="Arial" w:hAnsi="Arial" w:cs="Arial"/>
          <w:sz w:val="20"/>
          <w:szCs w:val="20"/>
          <w:lang w:val="en-GB"/>
        </w:rPr>
        <w:t>breaches</w:t>
      </w:r>
      <w:r w:rsidRPr="006D523F">
        <w:rPr>
          <w:rFonts w:ascii="Arial" w:hAnsi="Arial" w:cs="Arial"/>
          <w:sz w:val="20"/>
          <w:szCs w:val="20"/>
          <w:lang w:val="en-GB"/>
        </w:rPr>
        <w:t>. Its explanation of stretched resources (</w:t>
      </w:r>
      <w:r>
        <w:rPr>
          <w:rFonts w:ascii="Arial" w:hAnsi="Arial" w:cs="Arial"/>
          <w:sz w:val="20"/>
          <w:szCs w:val="20"/>
          <w:lang w:val="en-GB"/>
        </w:rPr>
        <w:t>t</w:t>
      </w:r>
      <w:r w:rsidRPr="006D523F">
        <w:rPr>
          <w:rFonts w:ascii="Arial" w:hAnsi="Arial" w:cs="Arial"/>
          <w:sz w:val="20"/>
          <w:szCs w:val="20"/>
          <w:lang w:val="en-GB"/>
        </w:rPr>
        <w:t xml:space="preserve">he focus of </w:t>
      </w:r>
      <w:r>
        <w:rPr>
          <w:rFonts w:ascii="Arial" w:hAnsi="Arial" w:cs="Arial"/>
          <w:sz w:val="20"/>
          <w:szCs w:val="20"/>
          <w:lang w:val="en-GB"/>
        </w:rPr>
        <w:t>Gold Dragon’s</w:t>
      </w:r>
      <w:r w:rsidRPr="006D523F">
        <w:rPr>
          <w:rFonts w:ascii="Arial" w:hAnsi="Arial" w:cs="Arial"/>
          <w:sz w:val="20"/>
          <w:szCs w:val="20"/>
          <w:lang w:val="en-GB"/>
        </w:rPr>
        <w:t xml:space="preserve"> resources</w:t>
      </w:r>
      <w:r>
        <w:rPr>
          <w:rFonts w:ascii="Arial" w:hAnsi="Arial" w:cs="Arial"/>
          <w:sz w:val="20"/>
          <w:szCs w:val="20"/>
          <w:lang w:val="en-GB"/>
        </w:rPr>
        <w:t xml:space="preserve"> and manpower</w:t>
      </w:r>
      <w:r w:rsidRPr="006D523F">
        <w:rPr>
          <w:rFonts w:ascii="Arial" w:hAnsi="Arial" w:cs="Arial"/>
          <w:sz w:val="20"/>
          <w:szCs w:val="20"/>
          <w:lang w:val="en-GB"/>
        </w:rPr>
        <w:t xml:space="preserve"> </w:t>
      </w:r>
      <w:r>
        <w:rPr>
          <w:rFonts w:ascii="Arial" w:hAnsi="Arial" w:cs="Arial"/>
          <w:sz w:val="20"/>
          <w:szCs w:val="20"/>
          <w:lang w:val="en-GB"/>
        </w:rPr>
        <w:t xml:space="preserve">during the Relevant Period </w:t>
      </w:r>
      <w:r w:rsidRPr="006D523F">
        <w:rPr>
          <w:rFonts w:ascii="Arial" w:hAnsi="Arial" w:cs="Arial"/>
          <w:sz w:val="20"/>
          <w:szCs w:val="20"/>
          <w:lang w:val="en-GB"/>
        </w:rPr>
        <w:t>was on an investigation and civil proceeding</w:t>
      </w:r>
      <w:r>
        <w:rPr>
          <w:rFonts w:ascii="Arial" w:hAnsi="Arial" w:cs="Arial"/>
          <w:sz w:val="20"/>
          <w:szCs w:val="20"/>
          <w:lang w:val="en-GB"/>
        </w:rPr>
        <w:t>s</w:t>
      </w:r>
      <w:r w:rsidRPr="006D523F">
        <w:rPr>
          <w:rFonts w:ascii="Arial" w:hAnsi="Arial" w:cs="Arial"/>
          <w:sz w:val="20"/>
          <w:szCs w:val="20"/>
          <w:lang w:val="en-GB"/>
        </w:rPr>
        <w:t xml:space="preserve"> against its former </w:t>
      </w:r>
      <w:r>
        <w:rPr>
          <w:rFonts w:ascii="Arial" w:hAnsi="Arial" w:cs="Arial"/>
          <w:sz w:val="20"/>
          <w:szCs w:val="20"/>
          <w:lang w:val="en-GB"/>
        </w:rPr>
        <w:t xml:space="preserve">executive </w:t>
      </w:r>
      <w:r w:rsidRPr="006D523F">
        <w:rPr>
          <w:rFonts w:ascii="Arial" w:hAnsi="Arial" w:cs="Arial"/>
          <w:sz w:val="20"/>
          <w:szCs w:val="20"/>
          <w:lang w:val="en-GB"/>
        </w:rPr>
        <w:t xml:space="preserve">director, CEO and chief investment officer for their wrongdoings) for its failure to disclose under Rule </w:t>
      </w:r>
      <w:r>
        <w:rPr>
          <w:rFonts w:ascii="Arial" w:hAnsi="Arial" w:cs="Arial"/>
          <w:sz w:val="20"/>
          <w:szCs w:val="20"/>
          <w:lang w:val="en-GB"/>
        </w:rPr>
        <w:t xml:space="preserve">22.1(a) of the Hong Kong Takeovers Code </w:t>
      </w:r>
      <w:r w:rsidRPr="006D523F">
        <w:rPr>
          <w:rFonts w:ascii="Arial" w:hAnsi="Arial" w:cs="Arial"/>
          <w:sz w:val="20"/>
          <w:szCs w:val="20"/>
          <w:lang w:val="en-GB"/>
        </w:rPr>
        <w:t xml:space="preserve">was not accepted by the Executive. </w:t>
      </w:r>
    </w:p>
    <w:p w:rsidR="004B619E" w:rsidRPr="006D523F" w:rsidRDefault="004B619E" w:rsidP="004B619E">
      <w:pPr>
        <w:jc w:val="both"/>
        <w:rPr>
          <w:rFonts w:ascii="Arial" w:hAnsi="Arial" w:cs="Arial"/>
          <w:sz w:val="20"/>
          <w:szCs w:val="20"/>
          <w:lang w:val="en-GB"/>
        </w:rPr>
      </w:pPr>
      <w:r w:rsidRPr="006D523F">
        <w:rPr>
          <w:rFonts w:ascii="Arial" w:hAnsi="Arial" w:cs="Arial"/>
          <w:sz w:val="20"/>
          <w:szCs w:val="20"/>
          <w:lang w:val="en-GB"/>
        </w:rPr>
        <w:t xml:space="preserve">The Executive noted </w:t>
      </w:r>
      <w:r>
        <w:rPr>
          <w:rFonts w:ascii="Arial" w:hAnsi="Arial" w:cs="Arial"/>
          <w:sz w:val="20"/>
          <w:szCs w:val="20"/>
          <w:lang w:val="en-GB"/>
        </w:rPr>
        <w:t xml:space="preserve">that </w:t>
      </w:r>
      <w:r w:rsidRPr="006D523F">
        <w:rPr>
          <w:rFonts w:ascii="Arial" w:hAnsi="Arial" w:cs="Arial"/>
          <w:sz w:val="20"/>
          <w:szCs w:val="20"/>
          <w:lang w:val="en-GB"/>
        </w:rPr>
        <w:t xml:space="preserve">the </w:t>
      </w:r>
      <w:r>
        <w:rPr>
          <w:rFonts w:ascii="Arial" w:hAnsi="Arial" w:cs="Arial"/>
          <w:sz w:val="20"/>
          <w:szCs w:val="20"/>
          <w:lang w:val="en-GB"/>
        </w:rPr>
        <w:t xml:space="preserve">disclosure </w:t>
      </w:r>
      <w:r w:rsidRPr="006D523F">
        <w:rPr>
          <w:rFonts w:ascii="Arial" w:hAnsi="Arial" w:cs="Arial"/>
          <w:sz w:val="20"/>
          <w:szCs w:val="20"/>
          <w:lang w:val="en-GB"/>
        </w:rPr>
        <w:t xml:space="preserve">rules </w:t>
      </w:r>
      <w:r>
        <w:rPr>
          <w:rFonts w:ascii="Arial" w:hAnsi="Arial" w:cs="Arial"/>
          <w:sz w:val="20"/>
          <w:szCs w:val="20"/>
          <w:lang w:val="en-GB"/>
        </w:rPr>
        <w:t xml:space="preserve">under </w:t>
      </w:r>
      <w:r w:rsidRPr="006D523F">
        <w:rPr>
          <w:rFonts w:ascii="Arial" w:hAnsi="Arial" w:cs="Arial"/>
          <w:sz w:val="20"/>
          <w:szCs w:val="20"/>
          <w:lang w:val="en-GB"/>
        </w:rPr>
        <w:t xml:space="preserve">Rule </w:t>
      </w:r>
      <w:r>
        <w:rPr>
          <w:rFonts w:ascii="Arial" w:hAnsi="Arial" w:cs="Arial"/>
          <w:sz w:val="20"/>
          <w:szCs w:val="20"/>
          <w:lang w:val="en-GB"/>
        </w:rPr>
        <w:t>22.1(a) of the Hong Kong Takeovers Code</w:t>
      </w:r>
      <w:r w:rsidRPr="006D523F">
        <w:rPr>
          <w:rFonts w:ascii="Arial" w:hAnsi="Arial" w:cs="Arial"/>
          <w:sz w:val="20"/>
          <w:szCs w:val="20"/>
          <w:lang w:val="en-GB"/>
        </w:rPr>
        <w:t xml:space="preserve"> are particularly onerous to reflect the high degree of transparency that is essential for the efficient functioning of the market in an offeree company’s shares (and an offeror company’s shares in the case of a securities exchange offer) during the critical period of an offer or possible offer.</w:t>
      </w:r>
      <w:r>
        <w:rPr>
          <w:rFonts w:ascii="Arial" w:hAnsi="Arial" w:cs="Arial"/>
          <w:sz w:val="20"/>
          <w:szCs w:val="20"/>
          <w:lang w:val="en-GB"/>
        </w:rPr>
        <w:t xml:space="preserve"> Further, in line with General Principle 6 of the Hong Kong Takeovers Code, timely and accurate disclosure of information relating to dealings by associates play a fundamental role in ensuring takeovers</w:t>
      </w:r>
      <w:r w:rsidRPr="006D523F">
        <w:rPr>
          <w:rFonts w:ascii="Arial" w:hAnsi="Arial" w:cs="Arial"/>
          <w:sz w:val="20"/>
          <w:szCs w:val="20"/>
          <w:lang w:val="en-GB"/>
        </w:rPr>
        <w:t xml:space="preserve"> </w:t>
      </w:r>
      <w:r>
        <w:rPr>
          <w:rFonts w:ascii="Arial" w:hAnsi="Arial" w:cs="Arial"/>
          <w:sz w:val="20"/>
          <w:szCs w:val="20"/>
          <w:lang w:val="en-GB"/>
        </w:rPr>
        <w:t xml:space="preserve">take place under an orderly framework and market integrity is maintained. </w:t>
      </w:r>
    </w:p>
    <w:p w:rsidR="004B619E" w:rsidRPr="00957BBC" w:rsidRDefault="004B619E" w:rsidP="004B619E">
      <w:pPr>
        <w:jc w:val="both"/>
        <w:rPr>
          <w:rFonts w:ascii="Arial" w:hAnsi="Arial" w:cs="Arial"/>
          <w:b/>
          <w:sz w:val="20"/>
          <w:szCs w:val="20"/>
          <w:lang w:val="en-GB"/>
        </w:rPr>
      </w:pPr>
      <w:r w:rsidRPr="00957BBC">
        <w:rPr>
          <w:rFonts w:ascii="Arial" w:hAnsi="Arial" w:cs="Arial"/>
          <w:b/>
          <w:sz w:val="20"/>
          <w:szCs w:val="20"/>
          <w:lang w:val="en-GB"/>
        </w:rPr>
        <w:t xml:space="preserve">Gold Dragon’s Remedial Actions </w:t>
      </w:r>
    </w:p>
    <w:p w:rsidR="004B619E" w:rsidRDefault="004B619E" w:rsidP="004B619E">
      <w:pPr>
        <w:jc w:val="both"/>
        <w:rPr>
          <w:rFonts w:ascii="Arial" w:hAnsi="Arial" w:cs="Arial"/>
          <w:sz w:val="20"/>
          <w:szCs w:val="20"/>
          <w:lang w:val="en-GB"/>
        </w:rPr>
      </w:pPr>
      <w:r>
        <w:rPr>
          <w:rFonts w:ascii="Arial" w:hAnsi="Arial" w:cs="Arial"/>
          <w:sz w:val="20"/>
          <w:szCs w:val="20"/>
          <w:lang w:val="en-GB"/>
        </w:rPr>
        <w:t>Gold Dragon apologised for its breach of the Hong Kong Takeovers Code and, i</w:t>
      </w:r>
      <w:r w:rsidRPr="006D523F">
        <w:rPr>
          <w:rFonts w:ascii="Arial" w:hAnsi="Arial" w:cs="Arial"/>
          <w:sz w:val="20"/>
          <w:szCs w:val="20"/>
          <w:lang w:val="en-GB"/>
        </w:rPr>
        <w:t>n light of the disciplinary action</w:t>
      </w:r>
      <w:r>
        <w:rPr>
          <w:rFonts w:ascii="Arial" w:hAnsi="Arial" w:cs="Arial"/>
          <w:sz w:val="20"/>
          <w:szCs w:val="20"/>
          <w:lang w:val="en-GB"/>
        </w:rPr>
        <w:t>,</w:t>
      </w:r>
      <w:r w:rsidRPr="006D523F">
        <w:rPr>
          <w:rFonts w:ascii="Arial" w:hAnsi="Arial" w:cs="Arial"/>
          <w:sz w:val="20"/>
          <w:szCs w:val="20"/>
          <w:lang w:val="en-GB"/>
        </w:rPr>
        <w:t xml:space="preserve"> </w:t>
      </w:r>
      <w:r>
        <w:rPr>
          <w:rFonts w:ascii="Arial" w:hAnsi="Arial" w:cs="Arial"/>
          <w:sz w:val="20"/>
          <w:szCs w:val="20"/>
          <w:lang w:val="en-GB"/>
        </w:rPr>
        <w:t>it</w:t>
      </w:r>
      <w:r w:rsidRPr="006D523F">
        <w:rPr>
          <w:rFonts w:ascii="Arial" w:hAnsi="Arial" w:cs="Arial"/>
          <w:sz w:val="20"/>
          <w:szCs w:val="20"/>
          <w:lang w:val="en-GB"/>
        </w:rPr>
        <w:t xml:space="preserve"> implemented a number of enhancement</w:t>
      </w:r>
      <w:r>
        <w:rPr>
          <w:rFonts w:ascii="Arial" w:hAnsi="Arial" w:cs="Arial"/>
          <w:sz w:val="20"/>
          <w:szCs w:val="20"/>
          <w:lang w:val="en-GB"/>
        </w:rPr>
        <w:t>s</w:t>
      </w:r>
      <w:r w:rsidRPr="006D523F">
        <w:rPr>
          <w:rFonts w:ascii="Arial" w:hAnsi="Arial" w:cs="Arial"/>
          <w:sz w:val="20"/>
          <w:szCs w:val="20"/>
          <w:lang w:val="en-GB"/>
        </w:rPr>
        <w:t xml:space="preserve"> and remedial measure</w:t>
      </w:r>
      <w:r>
        <w:rPr>
          <w:rFonts w:ascii="Arial" w:hAnsi="Arial" w:cs="Arial"/>
          <w:sz w:val="20"/>
          <w:szCs w:val="20"/>
          <w:lang w:val="en-GB"/>
        </w:rPr>
        <w:t>s</w:t>
      </w:r>
      <w:r w:rsidRPr="006D523F">
        <w:rPr>
          <w:rFonts w:ascii="Arial" w:hAnsi="Arial" w:cs="Arial"/>
          <w:sz w:val="20"/>
          <w:szCs w:val="20"/>
          <w:lang w:val="en-GB"/>
        </w:rPr>
        <w:t xml:space="preserve"> to ensure future compliance with the </w:t>
      </w:r>
      <w:r>
        <w:rPr>
          <w:rFonts w:ascii="Arial" w:hAnsi="Arial" w:cs="Arial"/>
          <w:sz w:val="20"/>
          <w:szCs w:val="20"/>
          <w:lang w:val="en-GB"/>
        </w:rPr>
        <w:t xml:space="preserve">Hong Kong </w:t>
      </w:r>
      <w:r w:rsidRPr="006D523F">
        <w:rPr>
          <w:rFonts w:ascii="Arial" w:hAnsi="Arial" w:cs="Arial"/>
          <w:sz w:val="20"/>
          <w:szCs w:val="20"/>
          <w:lang w:val="en-GB"/>
        </w:rPr>
        <w:t>Takeovers Code</w:t>
      </w:r>
      <w:r>
        <w:rPr>
          <w:rFonts w:ascii="Arial" w:hAnsi="Arial" w:cs="Arial"/>
          <w:sz w:val="20"/>
          <w:szCs w:val="20"/>
          <w:lang w:val="en-GB"/>
        </w:rPr>
        <w:t xml:space="preserve">. These included: </w:t>
      </w:r>
    </w:p>
    <w:p w:rsidR="004B619E" w:rsidRDefault="004B619E" w:rsidP="004B619E">
      <w:pPr>
        <w:pStyle w:val="a4"/>
        <w:numPr>
          <w:ilvl w:val="0"/>
          <w:numId w:val="15"/>
        </w:numPr>
        <w:jc w:val="both"/>
        <w:rPr>
          <w:rFonts w:ascii="Arial" w:hAnsi="Arial" w:cs="Arial"/>
          <w:sz w:val="20"/>
          <w:szCs w:val="20"/>
          <w:lang w:val="en-GB"/>
        </w:rPr>
      </w:pPr>
      <w:r>
        <w:rPr>
          <w:rFonts w:ascii="Arial" w:hAnsi="Arial" w:cs="Arial"/>
          <w:sz w:val="20"/>
          <w:szCs w:val="20"/>
          <w:lang w:val="en-GB"/>
        </w:rPr>
        <w:t xml:space="preserve">assigning staff to regularly review: </w:t>
      </w:r>
    </w:p>
    <w:p w:rsidR="004B619E" w:rsidRPr="00EE2665" w:rsidRDefault="004B619E" w:rsidP="004B619E">
      <w:pPr>
        <w:pStyle w:val="a4"/>
        <w:jc w:val="both"/>
        <w:rPr>
          <w:rFonts w:ascii="Arial" w:hAnsi="Arial" w:cs="Arial"/>
          <w:sz w:val="16"/>
          <w:szCs w:val="16"/>
          <w:lang w:val="en-GB"/>
        </w:rPr>
      </w:pPr>
    </w:p>
    <w:p w:rsidR="004B619E" w:rsidRDefault="004B619E" w:rsidP="004B619E">
      <w:pPr>
        <w:pStyle w:val="a4"/>
        <w:numPr>
          <w:ilvl w:val="1"/>
          <w:numId w:val="15"/>
        </w:numPr>
        <w:jc w:val="both"/>
        <w:rPr>
          <w:rFonts w:ascii="Arial" w:hAnsi="Arial" w:cs="Arial"/>
          <w:sz w:val="20"/>
          <w:szCs w:val="20"/>
          <w:lang w:val="en-GB"/>
        </w:rPr>
      </w:pPr>
      <w:r>
        <w:rPr>
          <w:rFonts w:ascii="Arial" w:hAnsi="Arial" w:cs="Arial"/>
          <w:sz w:val="20"/>
          <w:szCs w:val="20"/>
          <w:lang w:val="en-GB"/>
        </w:rPr>
        <w:t>all stock positions of all securities under its existing portfolio;</w:t>
      </w:r>
    </w:p>
    <w:p w:rsidR="004B619E" w:rsidRDefault="004B619E" w:rsidP="004B619E">
      <w:pPr>
        <w:pStyle w:val="a4"/>
        <w:numPr>
          <w:ilvl w:val="1"/>
          <w:numId w:val="15"/>
        </w:numPr>
        <w:jc w:val="both"/>
        <w:rPr>
          <w:rFonts w:ascii="Arial" w:hAnsi="Arial" w:cs="Arial"/>
          <w:sz w:val="20"/>
          <w:szCs w:val="20"/>
          <w:lang w:val="en-GB"/>
        </w:rPr>
      </w:pPr>
      <w:r>
        <w:rPr>
          <w:rFonts w:ascii="Arial" w:hAnsi="Arial" w:cs="Arial"/>
          <w:sz w:val="20"/>
          <w:szCs w:val="20"/>
          <w:lang w:val="en-GB"/>
        </w:rPr>
        <w:t>whether any of its stock positions would render it an associate of any Hong Kong-listed company;</w:t>
      </w:r>
    </w:p>
    <w:p w:rsidR="004B619E" w:rsidRDefault="004B619E" w:rsidP="004B619E">
      <w:pPr>
        <w:pStyle w:val="a4"/>
        <w:numPr>
          <w:ilvl w:val="1"/>
          <w:numId w:val="15"/>
        </w:numPr>
        <w:jc w:val="both"/>
        <w:rPr>
          <w:rFonts w:ascii="Arial" w:hAnsi="Arial" w:cs="Arial"/>
          <w:sz w:val="20"/>
          <w:szCs w:val="20"/>
          <w:lang w:val="en-GB"/>
        </w:rPr>
      </w:pPr>
      <w:r>
        <w:rPr>
          <w:rFonts w:ascii="Arial" w:hAnsi="Arial" w:cs="Arial"/>
          <w:sz w:val="20"/>
          <w:szCs w:val="20"/>
          <w:lang w:val="en-GB"/>
        </w:rPr>
        <w:t>announcements published on Stock Exchange of Hong Kong’s website for all securities under its portfolio to see whether an announcement has been issued by, or in relation to, a relevant company that has commenced an offer period; and</w:t>
      </w:r>
    </w:p>
    <w:p w:rsidR="004B619E" w:rsidRDefault="004B619E" w:rsidP="004B619E">
      <w:pPr>
        <w:pStyle w:val="a4"/>
        <w:numPr>
          <w:ilvl w:val="1"/>
          <w:numId w:val="15"/>
        </w:numPr>
        <w:jc w:val="both"/>
        <w:rPr>
          <w:rFonts w:ascii="Arial" w:hAnsi="Arial" w:cs="Arial"/>
          <w:sz w:val="20"/>
          <w:szCs w:val="20"/>
          <w:lang w:val="en-GB"/>
        </w:rPr>
      </w:pPr>
      <w:r>
        <w:rPr>
          <w:rFonts w:ascii="Arial" w:hAnsi="Arial" w:cs="Arial"/>
          <w:sz w:val="20"/>
          <w:szCs w:val="20"/>
          <w:lang w:val="en-GB"/>
        </w:rPr>
        <w:t xml:space="preserve">the offer period tables published on the SFC’s website; </w:t>
      </w:r>
    </w:p>
    <w:p w:rsidR="004B619E" w:rsidRPr="00EE2665" w:rsidRDefault="004B619E" w:rsidP="004B619E">
      <w:pPr>
        <w:pStyle w:val="a4"/>
        <w:ind w:left="1440"/>
        <w:jc w:val="both"/>
        <w:rPr>
          <w:rFonts w:ascii="Arial" w:hAnsi="Arial" w:cs="Arial"/>
          <w:sz w:val="16"/>
          <w:szCs w:val="16"/>
          <w:lang w:val="en-GB"/>
        </w:rPr>
      </w:pPr>
    </w:p>
    <w:p w:rsidR="004B619E" w:rsidRDefault="004B619E" w:rsidP="004B619E">
      <w:pPr>
        <w:pStyle w:val="a4"/>
        <w:numPr>
          <w:ilvl w:val="0"/>
          <w:numId w:val="15"/>
        </w:numPr>
        <w:jc w:val="both"/>
        <w:rPr>
          <w:rFonts w:ascii="Arial" w:hAnsi="Arial" w:cs="Arial"/>
          <w:sz w:val="20"/>
          <w:szCs w:val="20"/>
          <w:lang w:val="en-GB"/>
        </w:rPr>
      </w:pPr>
      <w:r>
        <w:rPr>
          <w:rFonts w:ascii="Arial" w:hAnsi="Arial" w:cs="Arial"/>
          <w:sz w:val="20"/>
          <w:szCs w:val="20"/>
          <w:lang w:val="en-GB"/>
        </w:rPr>
        <w:t xml:space="preserve">assigning its Manager-in-Charge, together with other competent staff, to review: </w:t>
      </w:r>
    </w:p>
    <w:p w:rsidR="004B619E" w:rsidRPr="00EE2665" w:rsidRDefault="004B619E" w:rsidP="004B619E">
      <w:pPr>
        <w:pStyle w:val="a4"/>
        <w:jc w:val="both"/>
        <w:rPr>
          <w:rFonts w:ascii="Arial" w:hAnsi="Arial" w:cs="Arial"/>
          <w:sz w:val="16"/>
          <w:szCs w:val="16"/>
          <w:lang w:val="en-GB"/>
        </w:rPr>
      </w:pPr>
    </w:p>
    <w:p w:rsidR="004B619E" w:rsidRDefault="004B619E" w:rsidP="004B619E">
      <w:pPr>
        <w:pStyle w:val="a4"/>
        <w:numPr>
          <w:ilvl w:val="1"/>
          <w:numId w:val="15"/>
        </w:numPr>
        <w:jc w:val="both"/>
        <w:rPr>
          <w:rFonts w:ascii="Arial" w:hAnsi="Arial" w:cs="Arial"/>
          <w:sz w:val="20"/>
          <w:szCs w:val="20"/>
          <w:lang w:val="en-GB"/>
        </w:rPr>
      </w:pPr>
      <w:r>
        <w:rPr>
          <w:rFonts w:ascii="Arial" w:hAnsi="Arial" w:cs="Arial"/>
          <w:sz w:val="20"/>
          <w:szCs w:val="20"/>
          <w:lang w:val="en-GB"/>
        </w:rPr>
        <w:t xml:space="preserve">all existing positions in its fund portfolio, and </w:t>
      </w:r>
      <w:r w:rsidRPr="00FC3269">
        <w:rPr>
          <w:rFonts w:ascii="Arial" w:hAnsi="Arial" w:cs="Arial"/>
          <w:sz w:val="20"/>
          <w:szCs w:val="20"/>
          <w:lang w:val="en-GB"/>
        </w:rPr>
        <w:t xml:space="preserve">confirm that at the time of review, </w:t>
      </w:r>
      <w:r>
        <w:rPr>
          <w:rFonts w:ascii="Arial" w:hAnsi="Arial" w:cs="Arial"/>
          <w:sz w:val="20"/>
          <w:szCs w:val="20"/>
          <w:lang w:val="en-GB"/>
        </w:rPr>
        <w:t>it did not hold more than 5% of the issued share capital of any Hong Kong-listed companies</w:t>
      </w:r>
      <w:r w:rsidRPr="00FC3269">
        <w:rPr>
          <w:rFonts w:ascii="Arial" w:hAnsi="Arial" w:cs="Arial"/>
          <w:sz w:val="20"/>
          <w:szCs w:val="20"/>
          <w:lang w:val="en-GB"/>
        </w:rPr>
        <w:t xml:space="preserve">; and </w:t>
      </w:r>
    </w:p>
    <w:p w:rsidR="004B619E" w:rsidRPr="00FC3269" w:rsidRDefault="004B619E" w:rsidP="004B619E">
      <w:pPr>
        <w:pStyle w:val="a4"/>
        <w:ind w:left="1440"/>
        <w:jc w:val="both"/>
        <w:rPr>
          <w:rFonts w:ascii="Arial" w:hAnsi="Arial" w:cs="Arial"/>
          <w:sz w:val="20"/>
          <w:szCs w:val="20"/>
          <w:lang w:val="en-GB"/>
        </w:rPr>
      </w:pPr>
    </w:p>
    <w:p w:rsidR="004B619E" w:rsidRDefault="004B619E" w:rsidP="004B619E">
      <w:pPr>
        <w:pStyle w:val="a4"/>
        <w:numPr>
          <w:ilvl w:val="1"/>
          <w:numId w:val="15"/>
        </w:numPr>
        <w:jc w:val="both"/>
        <w:rPr>
          <w:rFonts w:ascii="Arial" w:hAnsi="Arial" w:cs="Arial"/>
          <w:sz w:val="20"/>
          <w:szCs w:val="20"/>
          <w:lang w:val="en-GB"/>
        </w:rPr>
      </w:pPr>
      <w:r>
        <w:rPr>
          <w:rFonts w:ascii="Arial" w:hAnsi="Arial" w:cs="Arial"/>
          <w:sz w:val="20"/>
          <w:szCs w:val="20"/>
          <w:lang w:val="en-GB"/>
        </w:rPr>
        <w:t xml:space="preserve">all internal compliance and procedural manuals, and confirm they are adequate in view of its asset management business and are in line with industry standards; and </w:t>
      </w:r>
    </w:p>
    <w:p w:rsidR="004B619E" w:rsidRPr="00FC3269" w:rsidRDefault="004B619E" w:rsidP="004B619E">
      <w:pPr>
        <w:pStyle w:val="a4"/>
        <w:ind w:left="1440"/>
        <w:jc w:val="both"/>
        <w:rPr>
          <w:rFonts w:ascii="Arial" w:hAnsi="Arial" w:cs="Arial"/>
          <w:sz w:val="16"/>
          <w:szCs w:val="16"/>
          <w:lang w:val="en-GB"/>
        </w:rPr>
      </w:pPr>
    </w:p>
    <w:p w:rsidR="004B619E" w:rsidRPr="00FC3269" w:rsidRDefault="004B619E" w:rsidP="004B619E">
      <w:pPr>
        <w:pStyle w:val="a4"/>
        <w:numPr>
          <w:ilvl w:val="0"/>
          <w:numId w:val="15"/>
        </w:numPr>
        <w:jc w:val="both"/>
        <w:rPr>
          <w:rFonts w:ascii="Arial" w:hAnsi="Arial" w:cs="Arial"/>
          <w:sz w:val="20"/>
          <w:szCs w:val="20"/>
          <w:lang w:val="en-GB"/>
        </w:rPr>
      </w:pPr>
      <w:r>
        <w:rPr>
          <w:rFonts w:ascii="Arial" w:hAnsi="Arial" w:cs="Arial"/>
          <w:sz w:val="20"/>
          <w:szCs w:val="20"/>
          <w:lang w:val="en-GB"/>
        </w:rPr>
        <w:t xml:space="preserve">regularly reviewing the procedures referred to under paragraph (b) above for as long as it continues its asset management business; and </w:t>
      </w:r>
    </w:p>
    <w:p w:rsidR="004B619E" w:rsidRPr="00EE2665" w:rsidRDefault="004B619E" w:rsidP="004B619E">
      <w:pPr>
        <w:pStyle w:val="a4"/>
        <w:ind w:left="1440"/>
        <w:jc w:val="both"/>
        <w:rPr>
          <w:rFonts w:ascii="Arial" w:hAnsi="Arial" w:cs="Arial"/>
          <w:sz w:val="16"/>
          <w:szCs w:val="16"/>
          <w:lang w:val="en-GB"/>
        </w:rPr>
      </w:pPr>
    </w:p>
    <w:p w:rsidR="004B619E" w:rsidRPr="00957BBC" w:rsidRDefault="004B619E" w:rsidP="004B619E">
      <w:pPr>
        <w:pStyle w:val="a4"/>
        <w:numPr>
          <w:ilvl w:val="0"/>
          <w:numId w:val="15"/>
        </w:numPr>
        <w:jc w:val="both"/>
        <w:rPr>
          <w:rFonts w:ascii="Arial" w:hAnsi="Arial" w:cs="Arial"/>
          <w:sz w:val="20"/>
          <w:szCs w:val="20"/>
          <w:lang w:val="en-GB"/>
        </w:rPr>
      </w:pPr>
      <w:r>
        <w:rPr>
          <w:rFonts w:ascii="Arial" w:hAnsi="Arial" w:cs="Arial"/>
          <w:sz w:val="20"/>
          <w:szCs w:val="20"/>
          <w:lang w:val="en-GB"/>
        </w:rPr>
        <w:t>subscribing to relevant alerts from the SFC, including the Takeovers Bulletin.</w:t>
      </w:r>
    </w:p>
    <w:p w:rsidR="004B619E" w:rsidRDefault="004B619E" w:rsidP="004B619E">
      <w:pPr>
        <w:jc w:val="both"/>
        <w:rPr>
          <w:rFonts w:ascii="Arial" w:hAnsi="Arial" w:cs="Arial"/>
          <w:sz w:val="20"/>
          <w:szCs w:val="20"/>
          <w:lang w:val="en-GB"/>
        </w:rPr>
      </w:pPr>
      <w:r>
        <w:rPr>
          <w:rFonts w:ascii="Arial" w:hAnsi="Arial" w:cs="Arial"/>
          <w:sz w:val="20"/>
          <w:szCs w:val="20"/>
          <w:lang w:val="en-GB"/>
        </w:rPr>
        <w:t>T</w:t>
      </w:r>
      <w:r w:rsidRPr="006D523F">
        <w:rPr>
          <w:rFonts w:ascii="Arial" w:hAnsi="Arial" w:cs="Arial"/>
          <w:sz w:val="20"/>
          <w:szCs w:val="20"/>
          <w:lang w:val="en-GB"/>
        </w:rPr>
        <w:t xml:space="preserve">he SFC reminded practitioners and parties who wish to take advantage of the securities markets in Hong Kong to conduct themselves in accordance with the </w:t>
      </w:r>
      <w:r>
        <w:rPr>
          <w:rFonts w:ascii="Arial" w:hAnsi="Arial" w:cs="Arial"/>
          <w:sz w:val="20"/>
          <w:szCs w:val="20"/>
          <w:lang w:val="en-GB"/>
        </w:rPr>
        <w:t xml:space="preserve">Hong Kong </w:t>
      </w:r>
      <w:r w:rsidRPr="006D523F">
        <w:rPr>
          <w:rFonts w:ascii="Arial" w:hAnsi="Arial" w:cs="Arial"/>
          <w:sz w:val="20"/>
          <w:szCs w:val="20"/>
          <w:lang w:val="en-GB"/>
        </w:rPr>
        <w:t>Takeovers Code on matters relating to takeovers and mergers.</w:t>
      </w:r>
    </w:p>
    <w:p w:rsidR="004B619E" w:rsidRDefault="004B619E" w:rsidP="00813E7F">
      <w:pPr>
        <w:jc w:val="both"/>
        <w:rPr>
          <w:rFonts w:ascii="Arial" w:hAnsi="Arial" w:cs="Arial"/>
          <w:sz w:val="20"/>
          <w:szCs w:val="20"/>
          <w:lang w:val="en-GB"/>
        </w:rPr>
      </w:pPr>
      <w:r w:rsidRPr="006D523F">
        <w:rPr>
          <w:rFonts w:ascii="Arial" w:hAnsi="Arial" w:cs="Arial"/>
          <w:sz w:val="20"/>
          <w:szCs w:val="20"/>
          <w:lang w:val="en-GB"/>
        </w:rPr>
        <w:t>The Executive</w:t>
      </w:r>
      <w:r>
        <w:rPr>
          <w:rFonts w:ascii="Arial" w:hAnsi="Arial" w:cs="Arial"/>
          <w:sz w:val="20"/>
          <w:szCs w:val="20"/>
          <w:lang w:val="en-GB"/>
        </w:rPr>
        <w:t>’s</w:t>
      </w:r>
      <w:r w:rsidRPr="006D523F">
        <w:rPr>
          <w:rFonts w:ascii="Arial" w:hAnsi="Arial" w:cs="Arial"/>
          <w:sz w:val="20"/>
          <w:szCs w:val="20"/>
          <w:lang w:val="en-GB"/>
        </w:rPr>
        <w:t xml:space="preserve"> Statement can be </w:t>
      </w:r>
      <w:r>
        <w:rPr>
          <w:rFonts w:ascii="Arial" w:hAnsi="Arial" w:cs="Arial"/>
          <w:sz w:val="20"/>
          <w:szCs w:val="20"/>
          <w:lang w:val="en-GB"/>
        </w:rPr>
        <w:t xml:space="preserve">viewed </w:t>
      </w:r>
      <w:hyperlink r:id="rId15" w:history="1">
        <w:r w:rsidRPr="006D523F">
          <w:rPr>
            <w:rStyle w:val="a3"/>
            <w:rFonts w:ascii="Arial" w:hAnsi="Arial" w:cs="Arial"/>
            <w:color w:val="FF0000"/>
            <w:sz w:val="20"/>
            <w:szCs w:val="20"/>
            <w:lang w:val="en-GB"/>
          </w:rPr>
          <w:t>here</w:t>
        </w:r>
      </w:hyperlink>
      <w:r w:rsidRPr="006D523F">
        <w:rPr>
          <w:rFonts w:ascii="Arial" w:hAnsi="Arial" w:cs="Arial"/>
          <w:sz w:val="20"/>
          <w:szCs w:val="20"/>
          <w:lang w:val="en-GB"/>
        </w:rPr>
        <w:t xml:space="preserve">. </w:t>
      </w:r>
    </w:p>
    <w:p w:rsidR="004B619E" w:rsidRPr="001C5E0F" w:rsidRDefault="004B619E" w:rsidP="00813E7F">
      <w:pPr>
        <w:jc w:val="both"/>
        <w:rPr>
          <w:rFonts w:ascii="Arial" w:hAnsi="Arial" w:cs="Arial"/>
          <w:sz w:val="20"/>
          <w:szCs w:val="20"/>
          <w:lang w:val="en-GB"/>
        </w:rPr>
      </w:pPr>
    </w:p>
    <w:p w:rsidR="00D6430A" w:rsidRPr="00A41F57" w:rsidRDefault="00D6430A" w:rsidP="00D6430A">
      <w:pPr>
        <w:pStyle w:val="DisclaimerBold"/>
        <w:rPr>
          <w:rFonts w:ascii="Helvetica" w:hAnsi="Helvetica"/>
        </w:rPr>
      </w:pPr>
      <w:r w:rsidRPr="00F05494">
        <w:rPr>
          <w:rFonts w:ascii="Helvetica" w:hAnsi="Helvetica"/>
        </w:rPr>
        <w:t>This newsletter is for information purposes only.</w:t>
      </w:r>
    </w:p>
    <w:p w:rsidR="00D6430A" w:rsidRPr="00F05494" w:rsidRDefault="00D6430A" w:rsidP="00D6430A">
      <w:pPr>
        <w:pStyle w:val="Disclaimer"/>
        <w:rPr>
          <w:rFonts w:ascii="Helvetica" w:hAnsi="Helvetica"/>
        </w:rPr>
      </w:pPr>
      <w:r w:rsidRPr="00F05494">
        <w:rPr>
          <w:rFonts w:ascii="Helvetica" w:hAnsi="Helvetica"/>
        </w:rPr>
        <w:lastRenderedPageBreak/>
        <w:t>Its contents do not constitute legal advice and it should not be regarded as a substitute for detailed advice in individual cases.</w:t>
      </w:r>
    </w:p>
    <w:p w:rsidR="00D6430A" w:rsidRPr="00F05494" w:rsidRDefault="00D6430A" w:rsidP="00D6430A">
      <w:pPr>
        <w:pStyle w:val="Disclaimer"/>
        <w:rPr>
          <w:rFonts w:ascii="Helvetica" w:hAnsi="Helvetica"/>
        </w:rPr>
      </w:pPr>
      <w:r w:rsidRPr="00F05494">
        <w:rPr>
          <w:rFonts w:ascii="Helvetica" w:hAnsi="Helvetica"/>
        </w:rPr>
        <w:t>Transmission of this information is not intended to create and receipt does not constitute a lawyer-client relationship between Charltons and the user or browser.</w:t>
      </w:r>
    </w:p>
    <w:p w:rsidR="00D6430A" w:rsidRPr="00F05494" w:rsidRDefault="00D6430A" w:rsidP="00D6430A">
      <w:pPr>
        <w:pStyle w:val="Disclaimer"/>
        <w:rPr>
          <w:rFonts w:ascii="Helvetica" w:hAnsi="Helvetica"/>
        </w:rPr>
      </w:pPr>
      <w:r w:rsidRPr="00F05494">
        <w:rPr>
          <w:rFonts w:ascii="Helvetica" w:hAnsi="Helvetica"/>
        </w:rPr>
        <w:t>Charltons is not responsible for any third</w:t>
      </w:r>
      <w:r w:rsidRPr="00A41F57">
        <w:rPr>
          <w:rFonts w:ascii="Helvetica" w:hAnsi="Helvetica"/>
        </w:rPr>
        <w:t xml:space="preserve"> </w:t>
      </w:r>
      <w:r w:rsidRPr="00F05494">
        <w:rPr>
          <w:rFonts w:ascii="Helvetica" w:hAnsi="Helvetica"/>
        </w:rPr>
        <w:t>party content which can be accessed through the website.</w:t>
      </w:r>
    </w:p>
    <w:p w:rsidR="00D6430A" w:rsidRPr="00F05494" w:rsidRDefault="00D6430A" w:rsidP="00D6430A">
      <w:pPr>
        <w:pStyle w:val="Disclaimer"/>
        <w:rPr>
          <w:rFonts w:ascii="Helvetica" w:hAnsi="Helvetica"/>
        </w:rPr>
      </w:pPr>
      <w:r w:rsidRPr="00F05494">
        <w:rPr>
          <w:rFonts w:ascii="Helvetica" w:hAnsi="Helvetica"/>
        </w:rPr>
        <w:t xml:space="preserve">If you do not wish to receive this newsletter please let us know by emailing us at  </w:t>
      </w:r>
      <w:hyperlink r:id="rId16">
        <w:r w:rsidRPr="00F05494">
          <w:rPr>
            <w:rFonts w:ascii="Helvetica" w:hAnsi="Helvetica"/>
          </w:rPr>
          <w:t>unsubscribe@charltonslaw.com</w:t>
        </w:r>
      </w:hyperlink>
    </w:p>
    <w:p w:rsidR="00D6430A" w:rsidRPr="000A1536" w:rsidRDefault="00D6430A" w:rsidP="00D6430A">
      <w:pPr>
        <w:pStyle w:val="BlackStrips"/>
        <w:rPr>
          <w:rFonts w:ascii="Helvetica" w:hAnsi="Helvetica"/>
        </w:rPr>
      </w:pPr>
      <w:r w:rsidRPr="00F05494">
        <w:rPr>
          <w:rFonts w:ascii="Helvetica" w:hAnsi="Helvetica"/>
        </w:rPr>
        <w:t xml:space="preserve">Charltons - Hong Kong Law - </w:t>
      </w:r>
      <w:r>
        <w:rPr>
          <w:rFonts w:ascii="Helvetica" w:hAnsi="Helvetica"/>
        </w:rPr>
        <w:t>0</w:t>
      </w:r>
      <w:r w:rsidR="004D290A" w:rsidRPr="005E7E3A">
        <w:rPr>
          <w:rFonts w:ascii="Helvetica" w:hAnsi="Helvetica"/>
        </w:rPr>
        <w:t>7</w:t>
      </w:r>
      <w:r w:rsidRPr="00F05494">
        <w:rPr>
          <w:rFonts w:ascii="Helvetica" w:hAnsi="Helvetica"/>
        </w:rPr>
        <w:t xml:space="preserve"> </w:t>
      </w:r>
      <w:r>
        <w:rPr>
          <w:rFonts w:ascii="Helvetica" w:hAnsi="Helvetica"/>
        </w:rPr>
        <w:t>December</w:t>
      </w:r>
      <w:r w:rsidRPr="00F05494">
        <w:rPr>
          <w:rFonts w:ascii="Helvetica" w:hAnsi="Helvetica"/>
        </w:rPr>
        <w:t xml:space="preserve"> 202</w:t>
      </w:r>
      <w:r>
        <w:rPr>
          <w:rFonts w:ascii="Helvetica" w:hAnsi="Helvetica"/>
        </w:rPr>
        <w:t>2</w:t>
      </w:r>
    </w:p>
    <w:p w:rsidR="008F73F5" w:rsidRPr="008B4F87" w:rsidRDefault="008F73F5" w:rsidP="008F73F5">
      <w:pPr>
        <w:rPr>
          <w:rFonts w:ascii="Arial" w:hAnsi="Arial" w:cs="Arial"/>
          <w:b/>
          <w:color w:val="FF0000"/>
          <w:sz w:val="20"/>
          <w:szCs w:val="20"/>
        </w:rPr>
      </w:pPr>
    </w:p>
    <w:sectPr w:rsidR="008F73F5" w:rsidRPr="008B4F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674" w:rsidRDefault="00401674" w:rsidP="009735BE">
      <w:pPr>
        <w:spacing w:after="0" w:line="240" w:lineRule="auto"/>
      </w:pPr>
      <w:r>
        <w:separator/>
      </w:r>
    </w:p>
  </w:endnote>
  <w:endnote w:type="continuationSeparator" w:id="0">
    <w:p w:rsidR="00401674" w:rsidRDefault="00401674" w:rsidP="0097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674" w:rsidRDefault="00401674" w:rsidP="009735BE">
      <w:pPr>
        <w:spacing w:after="0" w:line="240" w:lineRule="auto"/>
      </w:pPr>
      <w:r>
        <w:separator/>
      </w:r>
    </w:p>
  </w:footnote>
  <w:footnote w:type="continuationSeparator" w:id="0">
    <w:p w:rsidR="00401674" w:rsidRDefault="00401674" w:rsidP="00973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A52"/>
    <w:multiLevelType w:val="hybridMultilevel"/>
    <w:tmpl w:val="B75A9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4F4EAD"/>
    <w:multiLevelType w:val="hybridMultilevel"/>
    <w:tmpl w:val="3514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B33E8"/>
    <w:multiLevelType w:val="hybridMultilevel"/>
    <w:tmpl w:val="FA1CB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75BD6"/>
    <w:multiLevelType w:val="hybridMultilevel"/>
    <w:tmpl w:val="B3B0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B4E39"/>
    <w:multiLevelType w:val="hybridMultilevel"/>
    <w:tmpl w:val="6E16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900D9"/>
    <w:multiLevelType w:val="hybridMultilevel"/>
    <w:tmpl w:val="8884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41583"/>
    <w:multiLevelType w:val="hybridMultilevel"/>
    <w:tmpl w:val="2A6CC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86383"/>
    <w:multiLevelType w:val="hybridMultilevel"/>
    <w:tmpl w:val="24ECE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56E3B"/>
    <w:multiLevelType w:val="hybridMultilevel"/>
    <w:tmpl w:val="5A0C06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3EF3305"/>
    <w:multiLevelType w:val="hybridMultilevel"/>
    <w:tmpl w:val="EC66C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C77A5"/>
    <w:multiLevelType w:val="hybridMultilevel"/>
    <w:tmpl w:val="9FA0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81228"/>
    <w:multiLevelType w:val="hybridMultilevel"/>
    <w:tmpl w:val="9508D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830915"/>
    <w:multiLevelType w:val="hybridMultilevel"/>
    <w:tmpl w:val="49EC7644"/>
    <w:lvl w:ilvl="0" w:tplc="04090017">
      <w:start w:val="1"/>
      <w:numFmt w:val="lowerLetter"/>
      <w:lvlText w:val="%1)"/>
      <w:lvlJc w:val="left"/>
      <w:pPr>
        <w:ind w:left="720" w:hanging="360"/>
      </w:pPr>
    </w:lvl>
    <w:lvl w:ilvl="1" w:tplc="95BA7BB2">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15F91"/>
    <w:multiLevelType w:val="hybridMultilevel"/>
    <w:tmpl w:val="F4DE6B9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98953BC"/>
    <w:multiLevelType w:val="hybridMultilevel"/>
    <w:tmpl w:val="24ECE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444219">
    <w:abstractNumId w:val="4"/>
  </w:num>
  <w:num w:numId="2" w16cid:durableId="1758016152">
    <w:abstractNumId w:val="5"/>
  </w:num>
  <w:num w:numId="3" w16cid:durableId="894661767">
    <w:abstractNumId w:val="10"/>
  </w:num>
  <w:num w:numId="4" w16cid:durableId="1905867992">
    <w:abstractNumId w:val="6"/>
  </w:num>
  <w:num w:numId="5" w16cid:durableId="1958415487">
    <w:abstractNumId w:val="9"/>
  </w:num>
  <w:num w:numId="6" w16cid:durableId="2049452773">
    <w:abstractNumId w:val="14"/>
  </w:num>
  <w:num w:numId="7" w16cid:durableId="394164580">
    <w:abstractNumId w:val="1"/>
  </w:num>
  <w:num w:numId="8" w16cid:durableId="1756317207">
    <w:abstractNumId w:val="13"/>
  </w:num>
  <w:num w:numId="9" w16cid:durableId="1793668057">
    <w:abstractNumId w:val="2"/>
  </w:num>
  <w:num w:numId="10" w16cid:durableId="1980182457">
    <w:abstractNumId w:val="0"/>
  </w:num>
  <w:num w:numId="11" w16cid:durableId="1279336635">
    <w:abstractNumId w:val="8"/>
  </w:num>
  <w:num w:numId="12" w16cid:durableId="533612595">
    <w:abstractNumId w:val="3"/>
  </w:num>
  <w:num w:numId="13" w16cid:durableId="1192568176">
    <w:abstractNumId w:val="7"/>
  </w:num>
  <w:num w:numId="14" w16cid:durableId="105588426">
    <w:abstractNumId w:val="11"/>
  </w:num>
  <w:num w:numId="15" w16cid:durableId="17322689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F4"/>
    <w:rsid w:val="00004333"/>
    <w:rsid w:val="00005CE4"/>
    <w:rsid w:val="00016A34"/>
    <w:rsid w:val="00024052"/>
    <w:rsid w:val="00052CE8"/>
    <w:rsid w:val="00065F14"/>
    <w:rsid w:val="00066A82"/>
    <w:rsid w:val="00066F68"/>
    <w:rsid w:val="00081061"/>
    <w:rsid w:val="0009091A"/>
    <w:rsid w:val="000D3A2B"/>
    <w:rsid w:val="000F1817"/>
    <w:rsid w:val="00114157"/>
    <w:rsid w:val="001305D4"/>
    <w:rsid w:val="001C0892"/>
    <w:rsid w:val="001C2294"/>
    <w:rsid w:val="001C5B12"/>
    <w:rsid w:val="001C5E0F"/>
    <w:rsid w:val="001D77CE"/>
    <w:rsid w:val="001E3732"/>
    <w:rsid w:val="002212C0"/>
    <w:rsid w:val="00221EEB"/>
    <w:rsid w:val="0022428B"/>
    <w:rsid w:val="00245AFC"/>
    <w:rsid w:val="00271250"/>
    <w:rsid w:val="0027381F"/>
    <w:rsid w:val="00282137"/>
    <w:rsid w:val="0028739A"/>
    <w:rsid w:val="002E191D"/>
    <w:rsid w:val="003079E5"/>
    <w:rsid w:val="00325299"/>
    <w:rsid w:val="00377180"/>
    <w:rsid w:val="00380D6C"/>
    <w:rsid w:val="00382A26"/>
    <w:rsid w:val="003B7E90"/>
    <w:rsid w:val="003F2B8B"/>
    <w:rsid w:val="00401674"/>
    <w:rsid w:val="00403330"/>
    <w:rsid w:val="0042573F"/>
    <w:rsid w:val="00453E99"/>
    <w:rsid w:val="00473158"/>
    <w:rsid w:val="00490D33"/>
    <w:rsid w:val="00493EA8"/>
    <w:rsid w:val="004A2336"/>
    <w:rsid w:val="004A6F2A"/>
    <w:rsid w:val="004B214B"/>
    <w:rsid w:val="004B619E"/>
    <w:rsid w:val="004C699E"/>
    <w:rsid w:val="004D290A"/>
    <w:rsid w:val="004D637D"/>
    <w:rsid w:val="004E43D8"/>
    <w:rsid w:val="004F7129"/>
    <w:rsid w:val="00501B19"/>
    <w:rsid w:val="0051559A"/>
    <w:rsid w:val="00516468"/>
    <w:rsid w:val="00523994"/>
    <w:rsid w:val="005245E3"/>
    <w:rsid w:val="00586A20"/>
    <w:rsid w:val="0059666F"/>
    <w:rsid w:val="005B641D"/>
    <w:rsid w:val="005E7E3A"/>
    <w:rsid w:val="005F36E8"/>
    <w:rsid w:val="00605887"/>
    <w:rsid w:val="00635D09"/>
    <w:rsid w:val="00643BD2"/>
    <w:rsid w:val="00643E21"/>
    <w:rsid w:val="006520AF"/>
    <w:rsid w:val="00655BE8"/>
    <w:rsid w:val="0068532F"/>
    <w:rsid w:val="006E2641"/>
    <w:rsid w:val="00707F74"/>
    <w:rsid w:val="00720A3B"/>
    <w:rsid w:val="00742A17"/>
    <w:rsid w:val="00784625"/>
    <w:rsid w:val="007A3982"/>
    <w:rsid w:val="007E3F1B"/>
    <w:rsid w:val="007F3121"/>
    <w:rsid w:val="00813E7F"/>
    <w:rsid w:val="008149C6"/>
    <w:rsid w:val="00840F97"/>
    <w:rsid w:val="00855A3F"/>
    <w:rsid w:val="00860D98"/>
    <w:rsid w:val="00867655"/>
    <w:rsid w:val="008727A6"/>
    <w:rsid w:val="00880E5A"/>
    <w:rsid w:val="008B4F87"/>
    <w:rsid w:val="008C512D"/>
    <w:rsid w:val="008D7227"/>
    <w:rsid w:val="008F0ED1"/>
    <w:rsid w:val="008F18BE"/>
    <w:rsid w:val="008F73F5"/>
    <w:rsid w:val="008F7411"/>
    <w:rsid w:val="00915AA7"/>
    <w:rsid w:val="00926F77"/>
    <w:rsid w:val="009336B7"/>
    <w:rsid w:val="00952A58"/>
    <w:rsid w:val="009735BE"/>
    <w:rsid w:val="009A5C2F"/>
    <w:rsid w:val="009B3B9A"/>
    <w:rsid w:val="009C52D3"/>
    <w:rsid w:val="009C7CFC"/>
    <w:rsid w:val="009D121D"/>
    <w:rsid w:val="009D7520"/>
    <w:rsid w:val="00A11FF4"/>
    <w:rsid w:val="00A27D88"/>
    <w:rsid w:val="00A35170"/>
    <w:rsid w:val="00A53B3D"/>
    <w:rsid w:val="00A63268"/>
    <w:rsid w:val="00A7164B"/>
    <w:rsid w:val="00AD6A25"/>
    <w:rsid w:val="00AE59D3"/>
    <w:rsid w:val="00B0640E"/>
    <w:rsid w:val="00B1604A"/>
    <w:rsid w:val="00B51813"/>
    <w:rsid w:val="00B55D5B"/>
    <w:rsid w:val="00B60F8D"/>
    <w:rsid w:val="00B91847"/>
    <w:rsid w:val="00BA51FE"/>
    <w:rsid w:val="00BE6BA7"/>
    <w:rsid w:val="00BF7061"/>
    <w:rsid w:val="00C00083"/>
    <w:rsid w:val="00C13909"/>
    <w:rsid w:val="00C2299A"/>
    <w:rsid w:val="00C32AF4"/>
    <w:rsid w:val="00C53188"/>
    <w:rsid w:val="00C61721"/>
    <w:rsid w:val="00CD555A"/>
    <w:rsid w:val="00D0599C"/>
    <w:rsid w:val="00D272C9"/>
    <w:rsid w:val="00D370A4"/>
    <w:rsid w:val="00D6430A"/>
    <w:rsid w:val="00D84C88"/>
    <w:rsid w:val="00D85C66"/>
    <w:rsid w:val="00DB4491"/>
    <w:rsid w:val="00DB6DAE"/>
    <w:rsid w:val="00DD25A9"/>
    <w:rsid w:val="00DE474A"/>
    <w:rsid w:val="00E20508"/>
    <w:rsid w:val="00E37ED7"/>
    <w:rsid w:val="00E4288F"/>
    <w:rsid w:val="00E51D95"/>
    <w:rsid w:val="00E83B9A"/>
    <w:rsid w:val="00E84B0F"/>
    <w:rsid w:val="00E91C28"/>
    <w:rsid w:val="00E94F0C"/>
    <w:rsid w:val="00EA1415"/>
    <w:rsid w:val="00EA2638"/>
    <w:rsid w:val="00EC1FD5"/>
    <w:rsid w:val="00EC275F"/>
    <w:rsid w:val="00F01343"/>
    <w:rsid w:val="00F14E64"/>
    <w:rsid w:val="00F25D0F"/>
    <w:rsid w:val="00F4521D"/>
    <w:rsid w:val="00F46B8B"/>
    <w:rsid w:val="00F76F7F"/>
    <w:rsid w:val="00FC3F97"/>
    <w:rsid w:val="00FD18F6"/>
    <w:rsid w:val="00FD1DAB"/>
    <w:rsid w:val="00FF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08B9"/>
  <w15:chartTrackingRefBased/>
  <w15:docId w15:val="{CA2F4AE8-34F0-458E-8C77-132B79BE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4F87"/>
    <w:rPr>
      <w:color w:val="0000FF"/>
      <w:u w:val="single"/>
    </w:rPr>
  </w:style>
  <w:style w:type="paragraph" w:styleId="a4">
    <w:name w:val="List Paragraph"/>
    <w:basedOn w:val="a"/>
    <w:uiPriority w:val="34"/>
    <w:qFormat/>
    <w:rsid w:val="00A27D88"/>
    <w:pPr>
      <w:ind w:left="720"/>
      <w:contextualSpacing/>
    </w:pPr>
  </w:style>
  <w:style w:type="paragraph" w:styleId="a5">
    <w:name w:val="Balloon Text"/>
    <w:basedOn w:val="a"/>
    <w:link w:val="a6"/>
    <w:uiPriority w:val="99"/>
    <w:semiHidden/>
    <w:unhideWhenUsed/>
    <w:rsid w:val="00B518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1813"/>
    <w:rPr>
      <w:rFonts w:ascii="Segoe UI" w:hAnsi="Segoe UI" w:cs="Segoe UI"/>
      <w:sz w:val="18"/>
      <w:szCs w:val="18"/>
    </w:rPr>
  </w:style>
  <w:style w:type="paragraph" w:styleId="a7">
    <w:name w:val="footnote text"/>
    <w:basedOn w:val="a"/>
    <w:link w:val="a8"/>
    <w:uiPriority w:val="99"/>
    <w:semiHidden/>
    <w:unhideWhenUsed/>
    <w:rsid w:val="009735BE"/>
    <w:pPr>
      <w:spacing w:after="0" w:line="240" w:lineRule="auto"/>
    </w:pPr>
    <w:rPr>
      <w:sz w:val="20"/>
      <w:szCs w:val="20"/>
    </w:rPr>
  </w:style>
  <w:style w:type="character" w:customStyle="1" w:styleId="a8">
    <w:name w:val="Текст сноски Знак"/>
    <w:basedOn w:val="a0"/>
    <w:link w:val="a7"/>
    <w:uiPriority w:val="99"/>
    <w:semiHidden/>
    <w:rsid w:val="009735BE"/>
    <w:rPr>
      <w:sz w:val="20"/>
      <w:szCs w:val="20"/>
    </w:rPr>
  </w:style>
  <w:style w:type="character" w:styleId="a9">
    <w:name w:val="footnote reference"/>
    <w:basedOn w:val="a0"/>
    <w:uiPriority w:val="99"/>
    <w:semiHidden/>
    <w:unhideWhenUsed/>
    <w:rsid w:val="009735BE"/>
    <w:rPr>
      <w:vertAlign w:val="superscript"/>
    </w:rPr>
  </w:style>
  <w:style w:type="character" w:styleId="aa">
    <w:name w:val="FollowedHyperlink"/>
    <w:basedOn w:val="a0"/>
    <w:uiPriority w:val="99"/>
    <w:semiHidden/>
    <w:unhideWhenUsed/>
    <w:rsid w:val="005B641D"/>
    <w:rPr>
      <w:color w:val="954F72" w:themeColor="followedHyperlink"/>
      <w:u w:val="single"/>
    </w:rPr>
  </w:style>
  <w:style w:type="paragraph" w:styleId="ab">
    <w:name w:val="Revision"/>
    <w:hidden/>
    <w:uiPriority w:val="99"/>
    <w:semiHidden/>
    <w:rsid w:val="00D6430A"/>
    <w:pPr>
      <w:spacing w:after="0" w:line="240" w:lineRule="auto"/>
    </w:pPr>
  </w:style>
  <w:style w:type="paragraph" w:customStyle="1" w:styleId="Disclaimer">
    <w:name w:val="Disclaimer"/>
    <w:basedOn w:val="a"/>
    <w:qFormat/>
    <w:rsid w:val="00D6430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D6430A"/>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D6430A"/>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and-sfc-disciplinary-actions-of-october-2022/" TargetMode="External"/><Relationship Id="rId13" Type="http://schemas.openxmlformats.org/officeDocument/2006/relationships/hyperlink" Target="https://apps.sfc.hk/edistributionWeb/api/news/openAppendix?lang=EN&amp;refNo=22PR90&amp;appendix=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sfc.hk/edistributionWeb/api/news/openAppendix?lang=EN&amp;refNo=22PR79&amp;appendix=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ex.com.hk/-/media/HKEX-Market/Listing/Rules-and-Guidance/Disciplinary-and-Enforcement/Disciplinary-Sanctions/2022/221024_SoDA.pdf" TargetMode="External"/><Relationship Id="rId5" Type="http://schemas.openxmlformats.org/officeDocument/2006/relationships/webSettings" Target="webSettings.xml"/><Relationship Id="rId15" Type="http://schemas.openxmlformats.org/officeDocument/2006/relationships/hyperlink" Target="https://www.sfc.hk/-/media/EN/files/CF/pdf/Public_censure/Public-Statement_Eng_28-Oct-22.pdf?rev=673fcd3a54ad4794aa41968dd09c5c74&amp;hash=504870E2DEB07B32CE48A157D6FDC0FF" TargetMode="External"/><Relationship Id="rId10" Type="http://schemas.openxmlformats.org/officeDocument/2006/relationships/hyperlink" Target="https://www.hkex.com.hk/-/media/HKEX-Market/Listing/Rules-and-Guidance/Disciplinary-and-Enforcement/Disciplinary-Sanctions/2022/221005_SoDA.pdf" TargetMode="External"/><Relationship Id="rId4" Type="http://schemas.openxmlformats.org/officeDocument/2006/relationships/settings" Target="settings.xml"/><Relationship Id="rId9" Type="http://schemas.openxmlformats.org/officeDocument/2006/relationships/hyperlink" Target="https://www.charltonslaw.com/court-orders-sound-global-chairman-to-purchase-shares-from-investors/" TargetMode="External"/><Relationship Id="rId14" Type="http://schemas.openxmlformats.org/officeDocument/2006/relationships/hyperlink" Target="https://apps.sfc.hk/edistributionWeb/gateway/EN/news-and-announcements/news/enforcement-news/doc?refNo=17PR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3ECE-CE94-4761-9CFC-5F28F70B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4221</Words>
  <Characters>24060</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Александр Пирогов</cp:lastModifiedBy>
  <cp:revision>10</cp:revision>
  <cp:lastPrinted>2022-11-05T02:33:00Z</cp:lastPrinted>
  <dcterms:created xsi:type="dcterms:W3CDTF">2022-12-02T08:01:00Z</dcterms:created>
  <dcterms:modified xsi:type="dcterms:W3CDTF">2022-12-09T04:14:00Z</dcterms:modified>
</cp:coreProperties>
</file>