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536" w:rsidRPr="00C13D3D" w:rsidRDefault="000A1536" w:rsidP="000A1536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  <w:lang w:eastAsia="en-US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- Hong Kong Law -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01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December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2022</w:t>
      </w:r>
    </w:p>
    <w:p w:rsidR="000A1536" w:rsidRPr="000A1536" w:rsidRDefault="000A1536" w:rsidP="000A1536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  <w:lang w:eastAsia="en-US"/>
        </w:rPr>
      </w:pPr>
      <w:hyperlink r:id="rId8" w:history="1">
        <w:r w:rsidRPr="00365171">
          <w:rPr>
            <w:rStyle w:val="a9"/>
            <w:rFonts w:ascii="Cambria" w:eastAsia="Cambria" w:hAnsi="Cambria"/>
            <w:sz w:val="28"/>
            <w:szCs w:val="24"/>
            <w:lang w:eastAsia="en-US"/>
          </w:rPr>
          <w:t>online versi</w:t>
        </w:r>
        <w:r w:rsidRPr="00365171">
          <w:rPr>
            <w:rStyle w:val="a9"/>
            <w:rFonts w:ascii="Cambria" w:eastAsia="Cambria" w:hAnsi="Cambria"/>
            <w:sz w:val="28"/>
            <w:szCs w:val="24"/>
            <w:lang w:eastAsia="en-US"/>
          </w:rPr>
          <w:t>o</w:t>
        </w:r>
        <w:r w:rsidRPr="00365171">
          <w:rPr>
            <w:rStyle w:val="a9"/>
            <w:rFonts w:ascii="Cambria" w:eastAsia="Cambria" w:hAnsi="Cambria"/>
            <w:sz w:val="28"/>
            <w:szCs w:val="24"/>
            <w:lang w:eastAsia="en-US"/>
          </w:rPr>
          <w:t>n</w:t>
        </w:r>
      </w:hyperlink>
    </w:p>
    <w:p w:rsidR="00A13105" w:rsidRPr="008B3641" w:rsidRDefault="00E75B30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color w:val="FF0000"/>
          <w:sz w:val="20"/>
          <w:szCs w:val="20"/>
          <w:lang w:val="en-GB"/>
        </w:rPr>
        <w:t>SFC Practice Note 24</w:t>
      </w:r>
      <w:r w:rsidR="007A1AC2">
        <w:rPr>
          <w:rFonts w:ascii="Arial" w:hAnsi="Arial" w:cs="Arial"/>
          <w:b/>
          <w:color w:val="FF0000"/>
          <w:sz w:val="20"/>
          <w:szCs w:val="20"/>
          <w:lang w:val="en-GB"/>
        </w:rPr>
        <w:t>:</w:t>
      </w:r>
      <w:r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Receivers, L</w:t>
      </w:r>
      <w:r w:rsidR="00A13105" w:rsidRPr="008B364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iquidators and </w:t>
      </w:r>
      <w:r w:rsidR="007A1AC2">
        <w:rPr>
          <w:rFonts w:ascii="Arial" w:hAnsi="Arial" w:cs="Arial"/>
          <w:b/>
          <w:color w:val="FF0000"/>
          <w:sz w:val="20"/>
          <w:szCs w:val="20"/>
          <w:lang w:val="en-GB"/>
        </w:rPr>
        <w:t>C</w:t>
      </w:r>
      <w:r w:rsidR="00A13105" w:rsidRPr="008B3641">
        <w:rPr>
          <w:rFonts w:ascii="Arial" w:hAnsi="Arial" w:cs="Arial"/>
          <w:b/>
          <w:color w:val="FF0000"/>
          <w:sz w:val="20"/>
          <w:szCs w:val="20"/>
          <w:lang w:val="en-GB"/>
        </w:rPr>
        <w:t>ommence</w:t>
      </w:r>
      <w:r w:rsidR="007A1AC2">
        <w:rPr>
          <w:rFonts w:ascii="Arial" w:hAnsi="Arial" w:cs="Arial"/>
          <w:b/>
          <w:color w:val="FF0000"/>
          <w:sz w:val="20"/>
          <w:szCs w:val="20"/>
          <w:lang w:val="en-GB"/>
        </w:rPr>
        <w:t>ment of Offer Periods</w:t>
      </w:r>
      <w:r w:rsidR="00A13105" w:rsidRPr="008B364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</w:t>
      </w:r>
    </w:p>
    <w:p w:rsidR="00A13105" w:rsidRPr="008B3641" w:rsidRDefault="00B72462" w:rsidP="001B135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 xml:space="preserve">The </w:t>
      </w:r>
      <w:r w:rsidR="007A6F68">
        <w:rPr>
          <w:rFonts w:ascii="Arial" w:hAnsi="Arial" w:cs="Arial"/>
          <w:sz w:val="20"/>
          <w:szCs w:val="20"/>
          <w:lang w:val="en-GB"/>
        </w:rPr>
        <w:t xml:space="preserve">Executive of the </w:t>
      </w:r>
      <w:r w:rsidRPr="008B3641">
        <w:rPr>
          <w:rFonts w:ascii="Arial" w:hAnsi="Arial" w:cs="Arial"/>
          <w:sz w:val="20"/>
          <w:szCs w:val="20"/>
          <w:lang w:val="en-GB"/>
        </w:rPr>
        <w:t>S</w:t>
      </w:r>
      <w:r w:rsidR="00E92F15">
        <w:rPr>
          <w:rFonts w:ascii="Arial" w:hAnsi="Arial" w:cs="Arial"/>
          <w:sz w:val="20"/>
          <w:szCs w:val="20"/>
          <w:lang w:val="en-GB"/>
        </w:rPr>
        <w:t>ecurities and Futures Commission (</w:t>
      </w:r>
      <w:r w:rsidR="00E92F15" w:rsidRPr="00E92F15">
        <w:rPr>
          <w:rFonts w:ascii="Arial" w:hAnsi="Arial" w:cs="Arial"/>
          <w:b/>
          <w:sz w:val="20"/>
          <w:szCs w:val="20"/>
          <w:lang w:val="en-GB"/>
        </w:rPr>
        <w:t>SFC</w:t>
      </w:r>
      <w:r w:rsidR="00E92F15">
        <w:rPr>
          <w:rFonts w:ascii="Arial" w:hAnsi="Arial" w:cs="Arial"/>
          <w:sz w:val="20"/>
          <w:szCs w:val="20"/>
          <w:lang w:val="en-GB"/>
        </w:rPr>
        <w:t xml:space="preserve">) 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issued a new </w:t>
      </w:r>
      <w:hyperlink r:id="rId9" w:history="1">
        <w:r w:rsidRPr="00F547B6">
          <w:rPr>
            <w:rStyle w:val="a9"/>
            <w:rFonts w:ascii="Arial" w:hAnsi="Arial" w:cs="Arial"/>
            <w:sz w:val="20"/>
            <w:szCs w:val="20"/>
            <w:lang w:val="en-GB"/>
          </w:rPr>
          <w:t>P</w:t>
        </w:r>
        <w:r w:rsidR="00A13105" w:rsidRPr="00F547B6">
          <w:rPr>
            <w:rStyle w:val="a9"/>
            <w:rFonts w:ascii="Arial" w:hAnsi="Arial" w:cs="Arial"/>
            <w:sz w:val="20"/>
            <w:szCs w:val="20"/>
            <w:lang w:val="en-GB"/>
          </w:rPr>
          <w:t>racti</w:t>
        </w:r>
        <w:r w:rsidRPr="00F547B6">
          <w:rPr>
            <w:rStyle w:val="a9"/>
            <w:rFonts w:ascii="Arial" w:hAnsi="Arial" w:cs="Arial"/>
            <w:sz w:val="20"/>
            <w:szCs w:val="20"/>
            <w:lang w:val="en-GB"/>
          </w:rPr>
          <w:t>ce N</w:t>
        </w:r>
        <w:r w:rsidR="00A13105" w:rsidRPr="00F547B6">
          <w:rPr>
            <w:rStyle w:val="a9"/>
            <w:rFonts w:ascii="Arial" w:hAnsi="Arial" w:cs="Arial"/>
            <w:sz w:val="20"/>
            <w:szCs w:val="20"/>
            <w:lang w:val="en-GB"/>
          </w:rPr>
          <w:t>ote</w:t>
        </w:r>
        <w:r w:rsidR="007A1AC2" w:rsidRPr="00F547B6">
          <w:rPr>
            <w:rStyle w:val="a9"/>
            <w:rFonts w:ascii="Arial" w:hAnsi="Arial" w:cs="Arial"/>
            <w:sz w:val="20"/>
            <w:szCs w:val="20"/>
            <w:lang w:val="en-GB"/>
          </w:rPr>
          <w:t xml:space="preserve"> 24</w:t>
        </w:r>
      </w:hyperlink>
      <w:r w:rsidR="007A1AC2">
        <w:rPr>
          <w:rFonts w:ascii="Arial" w:hAnsi="Arial" w:cs="Arial"/>
          <w:sz w:val="20"/>
          <w:szCs w:val="20"/>
          <w:lang w:val="en-GB"/>
        </w:rPr>
        <w:t xml:space="preserve"> (</w:t>
      </w:r>
      <w:r w:rsidR="001632DC">
        <w:rPr>
          <w:rFonts w:ascii="Arial" w:hAnsi="Arial" w:cs="Arial"/>
          <w:b/>
          <w:sz w:val="20"/>
          <w:szCs w:val="20"/>
          <w:lang w:val="en-GB"/>
        </w:rPr>
        <w:t>PN</w:t>
      </w:r>
      <w:r w:rsidR="007A1AC2">
        <w:rPr>
          <w:rFonts w:ascii="Arial" w:hAnsi="Arial" w:cs="Arial"/>
          <w:b/>
          <w:sz w:val="20"/>
          <w:szCs w:val="20"/>
          <w:lang w:val="en-GB"/>
        </w:rPr>
        <w:t>24</w:t>
      </w:r>
      <w:r w:rsidRPr="008B3641">
        <w:rPr>
          <w:rFonts w:ascii="Arial" w:hAnsi="Arial" w:cs="Arial"/>
          <w:sz w:val="20"/>
          <w:szCs w:val="20"/>
          <w:lang w:val="en-GB"/>
        </w:rPr>
        <w:t>)</w:t>
      </w:r>
      <w:r w:rsidR="00A13105" w:rsidRPr="008B3641">
        <w:rPr>
          <w:rFonts w:ascii="Arial" w:hAnsi="Arial" w:cs="Arial"/>
          <w:sz w:val="20"/>
          <w:szCs w:val="20"/>
          <w:lang w:val="en-GB"/>
        </w:rPr>
        <w:t xml:space="preserve"> on 18 November 2022 </w:t>
      </w:r>
      <w:r w:rsidR="00431F1F" w:rsidRPr="008B3641">
        <w:rPr>
          <w:rFonts w:ascii="Arial" w:hAnsi="Arial" w:cs="Arial"/>
          <w:sz w:val="20"/>
          <w:szCs w:val="20"/>
          <w:lang w:val="en-GB"/>
        </w:rPr>
        <w:t>regarding</w:t>
      </w:r>
      <w:r w:rsidR="00A13105" w:rsidRPr="008B3641">
        <w:rPr>
          <w:rFonts w:ascii="Arial" w:hAnsi="Arial" w:cs="Arial"/>
          <w:sz w:val="20"/>
          <w:szCs w:val="20"/>
          <w:lang w:val="en-GB"/>
        </w:rPr>
        <w:t xml:space="preserve"> receivers, liquidators and when to commence offer period(s)</w:t>
      </w:r>
      <w:r w:rsidR="00B02E9E" w:rsidRPr="008B3641">
        <w:rPr>
          <w:rFonts w:ascii="Arial" w:hAnsi="Arial" w:cs="Arial"/>
          <w:sz w:val="20"/>
          <w:szCs w:val="20"/>
          <w:lang w:val="en-GB"/>
        </w:rPr>
        <w:t>.</w:t>
      </w:r>
    </w:p>
    <w:p w:rsidR="00AF41EF" w:rsidRPr="008B3641" w:rsidRDefault="00B02E9E" w:rsidP="0013243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In March 2020</w:t>
      </w:r>
      <w:r w:rsidR="007A1AC2">
        <w:rPr>
          <w:rFonts w:ascii="Arial" w:hAnsi="Arial" w:cs="Arial"/>
          <w:sz w:val="20"/>
          <w:szCs w:val="20"/>
          <w:lang w:val="en-GB"/>
        </w:rPr>
        <w:t>,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the SFC issued </w:t>
      </w:r>
      <w:hyperlink r:id="rId10" w:history="1">
        <w:r w:rsidRPr="00F547B6">
          <w:rPr>
            <w:rStyle w:val="a9"/>
            <w:rFonts w:ascii="Arial" w:hAnsi="Arial" w:cs="Arial"/>
            <w:sz w:val="20"/>
            <w:szCs w:val="20"/>
            <w:lang w:val="en-GB"/>
          </w:rPr>
          <w:t>Takeovers Bulletin No</w:t>
        </w:r>
        <w:r w:rsidR="007A1AC2" w:rsidRPr="00F547B6">
          <w:rPr>
            <w:rStyle w:val="a9"/>
            <w:rFonts w:ascii="Arial" w:hAnsi="Arial" w:cs="Arial"/>
            <w:sz w:val="20"/>
            <w:szCs w:val="20"/>
            <w:lang w:val="en-GB"/>
          </w:rPr>
          <w:t>.</w:t>
        </w:r>
        <w:r w:rsidRPr="00F547B6">
          <w:rPr>
            <w:rStyle w:val="a9"/>
            <w:rFonts w:ascii="Arial" w:hAnsi="Arial" w:cs="Arial"/>
            <w:sz w:val="20"/>
            <w:szCs w:val="20"/>
            <w:lang w:val="en-GB"/>
          </w:rPr>
          <w:t xml:space="preserve"> 52</w:t>
        </w:r>
      </w:hyperlink>
      <w:r w:rsidR="00AF41EF" w:rsidRPr="008B3641">
        <w:rPr>
          <w:rFonts w:ascii="Arial" w:hAnsi="Arial" w:cs="Arial"/>
          <w:sz w:val="20"/>
          <w:szCs w:val="20"/>
          <w:lang w:val="en-GB"/>
        </w:rPr>
        <w:t xml:space="preserve"> (the </w:t>
      </w:r>
      <w:r w:rsidR="00AF41EF" w:rsidRPr="008B3641">
        <w:rPr>
          <w:rFonts w:ascii="Arial" w:hAnsi="Arial" w:cs="Arial"/>
          <w:b/>
          <w:sz w:val="20"/>
          <w:szCs w:val="20"/>
          <w:lang w:val="en-GB"/>
        </w:rPr>
        <w:t>2020 Takeover</w:t>
      </w:r>
      <w:r w:rsidR="00406551" w:rsidRPr="008B3641">
        <w:rPr>
          <w:rFonts w:ascii="Arial" w:hAnsi="Arial" w:cs="Arial"/>
          <w:b/>
          <w:sz w:val="20"/>
          <w:szCs w:val="20"/>
          <w:lang w:val="en-GB"/>
        </w:rPr>
        <w:t>s</w:t>
      </w:r>
      <w:r w:rsidR="00AF41EF" w:rsidRPr="008B3641">
        <w:rPr>
          <w:rFonts w:ascii="Arial" w:hAnsi="Arial" w:cs="Arial"/>
          <w:b/>
          <w:sz w:val="20"/>
          <w:szCs w:val="20"/>
          <w:lang w:val="en-GB"/>
        </w:rPr>
        <w:t xml:space="preserve"> Bulletin</w:t>
      </w:r>
      <w:r w:rsidR="00AF41EF" w:rsidRPr="008B3641">
        <w:rPr>
          <w:rFonts w:ascii="Arial" w:hAnsi="Arial" w:cs="Arial"/>
          <w:sz w:val="20"/>
          <w:szCs w:val="20"/>
          <w:lang w:val="en-GB"/>
        </w:rPr>
        <w:t>)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7A6F68">
        <w:rPr>
          <w:rFonts w:ascii="Arial" w:hAnsi="Arial" w:cs="Arial"/>
          <w:sz w:val="20"/>
          <w:szCs w:val="20"/>
          <w:lang w:val="en-GB"/>
        </w:rPr>
        <w:t>which</w:t>
      </w:r>
      <w:r w:rsidR="00AF41EF" w:rsidRPr="008B3641">
        <w:rPr>
          <w:rFonts w:ascii="Arial" w:hAnsi="Arial" w:cs="Arial"/>
          <w:sz w:val="20"/>
          <w:szCs w:val="20"/>
          <w:lang w:val="en-GB"/>
        </w:rPr>
        <w:t xml:space="preserve"> stated </w:t>
      </w:r>
      <w:r w:rsidR="00C66B06">
        <w:rPr>
          <w:rFonts w:ascii="Arial" w:hAnsi="Arial" w:cs="Arial"/>
          <w:sz w:val="20"/>
          <w:szCs w:val="20"/>
          <w:lang w:val="en-GB"/>
        </w:rPr>
        <w:t xml:space="preserve">that </w:t>
      </w:r>
      <w:r w:rsidR="00AF41EF" w:rsidRPr="008B3641">
        <w:rPr>
          <w:rFonts w:ascii="Arial" w:hAnsi="Arial" w:cs="Arial"/>
          <w:sz w:val="20"/>
          <w:szCs w:val="20"/>
          <w:lang w:val="en-GB"/>
        </w:rPr>
        <w:t>where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an independent receiver or liquidator is appointe</w:t>
      </w:r>
      <w:r w:rsidR="008C04CC" w:rsidRPr="008B3641">
        <w:rPr>
          <w:rFonts w:ascii="Arial" w:hAnsi="Arial" w:cs="Arial"/>
          <w:sz w:val="20"/>
          <w:szCs w:val="20"/>
          <w:lang w:val="en-GB"/>
        </w:rPr>
        <w:t>d over a controlling interest (</w:t>
      </w:r>
      <w:r w:rsidR="00051528">
        <w:rPr>
          <w:rFonts w:ascii="Arial" w:hAnsi="Arial" w:cs="Arial"/>
          <w:sz w:val="20"/>
          <w:szCs w:val="20"/>
          <w:lang w:val="en-GB"/>
        </w:rPr>
        <w:t xml:space="preserve">i.e. </w:t>
      </w:r>
      <w:r w:rsidRPr="008B3641">
        <w:rPr>
          <w:rFonts w:ascii="Arial" w:hAnsi="Arial" w:cs="Arial"/>
          <w:sz w:val="20"/>
          <w:szCs w:val="20"/>
          <w:lang w:val="en-GB"/>
        </w:rPr>
        <w:t>30% or more of the voting right</w:t>
      </w:r>
      <w:r w:rsidR="008C04CC" w:rsidRPr="008B3641">
        <w:rPr>
          <w:rFonts w:ascii="Arial" w:hAnsi="Arial" w:cs="Arial"/>
          <w:sz w:val="20"/>
          <w:szCs w:val="20"/>
          <w:lang w:val="en-GB"/>
        </w:rPr>
        <w:t>s</w:t>
      </w:r>
      <w:r w:rsidRPr="008B3641">
        <w:rPr>
          <w:rFonts w:ascii="Arial" w:hAnsi="Arial" w:cs="Arial"/>
          <w:sz w:val="20"/>
          <w:szCs w:val="20"/>
          <w:lang w:val="en-GB"/>
        </w:rPr>
        <w:t>) in a Hong Kong public company</w:t>
      </w:r>
      <w:r w:rsidR="004251FE" w:rsidRPr="008B3641">
        <w:rPr>
          <w:rFonts w:ascii="Arial" w:hAnsi="Arial" w:cs="Arial"/>
          <w:sz w:val="20"/>
          <w:szCs w:val="20"/>
          <w:lang w:val="en-GB"/>
        </w:rPr>
        <w:t>,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this </w:t>
      </w:r>
      <w:r w:rsidR="007A6F68">
        <w:rPr>
          <w:rFonts w:ascii="Arial" w:hAnsi="Arial" w:cs="Arial"/>
          <w:sz w:val="20"/>
          <w:szCs w:val="20"/>
          <w:lang w:val="en-GB"/>
        </w:rPr>
        <w:t>will</w:t>
      </w:r>
      <w:r w:rsidR="004251FE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Pr="008B3641">
        <w:rPr>
          <w:rFonts w:ascii="Arial" w:hAnsi="Arial" w:cs="Arial"/>
          <w:sz w:val="20"/>
          <w:szCs w:val="20"/>
          <w:lang w:val="en-GB"/>
        </w:rPr>
        <w:t>give rise to</w:t>
      </w:r>
      <w:r w:rsidR="008C04CC" w:rsidRPr="008B3641">
        <w:rPr>
          <w:rFonts w:ascii="Arial" w:hAnsi="Arial" w:cs="Arial"/>
          <w:sz w:val="20"/>
          <w:szCs w:val="20"/>
          <w:lang w:val="en-GB"/>
        </w:rPr>
        <w:t xml:space="preserve"> a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possible offer </w:t>
      </w:r>
      <w:r w:rsidR="007A6F68">
        <w:rPr>
          <w:rFonts w:ascii="Arial" w:hAnsi="Arial" w:cs="Arial"/>
          <w:sz w:val="20"/>
          <w:szCs w:val="20"/>
          <w:lang w:val="en-GB"/>
        </w:rPr>
        <w:t xml:space="preserve">because of the </w:t>
      </w:r>
      <w:r w:rsidR="008C04CC" w:rsidRPr="008B3641">
        <w:rPr>
          <w:rFonts w:ascii="Arial" w:hAnsi="Arial" w:cs="Arial"/>
          <w:sz w:val="20"/>
          <w:szCs w:val="20"/>
          <w:lang w:val="en-GB"/>
        </w:rPr>
        <w:t>expectation that the receiv</w:t>
      </w:r>
      <w:r w:rsidR="007A1AC2">
        <w:rPr>
          <w:rFonts w:ascii="Arial" w:hAnsi="Arial" w:cs="Arial"/>
          <w:sz w:val="20"/>
          <w:szCs w:val="20"/>
          <w:lang w:val="en-GB"/>
        </w:rPr>
        <w:t>er or liquidator would act quick</w:t>
      </w:r>
      <w:r w:rsidR="008C04CC" w:rsidRPr="008B3641">
        <w:rPr>
          <w:rFonts w:ascii="Arial" w:hAnsi="Arial" w:cs="Arial"/>
          <w:sz w:val="20"/>
          <w:szCs w:val="20"/>
          <w:lang w:val="en-GB"/>
        </w:rPr>
        <w:t xml:space="preserve">ly to sell the shares. </w:t>
      </w:r>
      <w:r w:rsidR="00C66B06">
        <w:rPr>
          <w:rFonts w:ascii="Arial" w:hAnsi="Arial" w:cs="Arial"/>
          <w:sz w:val="20"/>
          <w:szCs w:val="20"/>
          <w:lang w:val="en-GB"/>
        </w:rPr>
        <w:t xml:space="preserve">An offer period would therefore commence as soon as </w:t>
      </w:r>
      <w:r w:rsidR="00C66B06" w:rsidRPr="008B3641">
        <w:rPr>
          <w:rFonts w:ascii="Arial" w:hAnsi="Arial" w:cs="Arial"/>
          <w:sz w:val="20"/>
          <w:szCs w:val="20"/>
          <w:lang w:val="en-GB"/>
        </w:rPr>
        <w:t xml:space="preserve">an independent receiver or liquidator </w:t>
      </w:r>
      <w:r w:rsidR="00E14BD3">
        <w:rPr>
          <w:rFonts w:ascii="Arial" w:hAnsi="Arial" w:cs="Arial"/>
          <w:sz w:val="20"/>
          <w:szCs w:val="20"/>
          <w:lang w:val="en-GB"/>
        </w:rPr>
        <w:t xml:space="preserve">took </w:t>
      </w:r>
      <w:r w:rsidR="00051528">
        <w:rPr>
          <w:rFonts w:ascii="Arial" w:hAnsi="Arial" w:cs="Arial"/>
          <w:sz w:val="20"/>
          <w:szCs w:val="20"/>
          <w:lang w:val="en-GB"/>
        </w:rPr>
        <w:t xml:space="preserve">control of </w:t>
      </w:r>
      <w:r w:rsidR="00E14BD3">
        <w:rPr>
          <w:rFonts w:ascii="Arial" w:hAnsi="Arial" w:cs="Arial"/>
          <w:sz w:val="20"/>
          <w:szCs w:val="20"/>
          <w:lang w:val="en-GB"/>
        </w:rPr>
        <w:t xml:space="preserve">30% or more of the voting rights in a public company. This would </w:t>
      </w:r>
      <w:r w:rsidR="008C04CC" w:rsidRPr="008B3641">
        <w:rPr>
          <w:rFonts w:ascii="Arial" w:hAnsi="Arial" w:cs="Arial"/>
          <w:sz w:val="20"/>
          <w:szCs w:val="20"/>
          <w:lang w:val="en-GB"/>
        </w:rPr>
        <w:t>tri</w:t>
      </w:r>
      <w:r w:rsidR="00E92F15">
        <w:rPr>
          <w:rFonts w:ascii="Arial" w:hAnsi="Arial" w:cs="Arial"/>
          <w:sz w:val="20"/>
          <w:szCs w:val="20"/>
          <w:lang w:val="en-GB"/>
        </w:rPr>
        <w:t xml:space="preserve">gger </w:t>
      </w:r>
      <w:r w:rsidR="00E14BD3">
        <w:rPr>
          <w:rFonts w:ascii="Arial" w:hAnsi="Arial" w:cs="Arial"/>
          <w:sz w:val="20"/>
          <w:szCs w:val="20"/>
          <w:lang w:val="en-GB"/>
        </w:rPr>
        <w:t>the requirement for publication of</w:t>
      </w:r>
      <w:r w:rsidR="00E14BD3" w:rsidRPr="008B3641">
        <w:rPr>
          <w:rFonts w:ascii="Arial" w:hAnsi="Arial" w:cs="Arial"/>
          <w:sz w:val="20"/>
          <w:szCs w:val="20"/>
          <w:lang w:val="en-GB"/>
        </w:rPr>
        <w:t xml:space="preserve"> an announcement of</w:t>
      </w:r>
      <w:r w:rsidR="00051528">
        <w:rPr>
          <w:rFonts w:ascii="Arial" w:hAnsi="Arial" w:cs="Arial"/>
          <w:sz w:val="20"/>
          <w:szCs w:val="20"/>
          <w:lang w:val="en-GB"/>
        </w:rPr>
        <w:t xml:space="preserve"> a</w:t>
      </w:r>
      <w:r w:rsidR="00E14BD3" w:rsidRPr="008B3641">
        <w:rPr>
          <w:rFonts w:ascii="Arial" w:hAnsi="Arial" w:cs="Arial"/>
          <w:sz w:val="20"/>
          <w:szCs w:val="20"/>
          <w:lang w:val="en-GB"/>
        </w:rPr>
        <w:t xml:space="preserve"> possible offer </w:t>
      </w:r>
      <w:r w:rsidR="00E14BD3">
        <w:rPr>
          <w:rFonts w:ascii="Arial" w:hAnsi="Arial" w:cs="Arial"/>
          <w:sz w:val="20"/>
          <w:szCs w:val="20"/>
          <w:lang w:val="en-GB"/>
        </w:rPr>
        <w:t xml:space="preserve">under </w:t>
      </w:r>
      <w:r w:rsidR="00E92F15">
        <w:rPr>
          <w:rFonts w:ascii="Arial" w:hAnsi="Arial" w:cs="Arial"/>
          <w:sz w:val="20"/>
          <w:szCs w:val="20"/>
          <w:lang w:val="en-GB"/>
        </w:rPr>
        <w:t>Rule 3.7 of t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he </w:t>
      </w:r>
      <w:r w:rsidR="00E14BD3">
        <w:rPr>
          <w:rFonts w:ascii="Arial" w:hAnsi="Arial" w:cs="Arial"/>
          <w:sz w:val="20"/>
          <w:szCs w:val="20"/>
          <w:lang w:val="en-GB"/>
        </w:rPr>
        <w:t>SFC</w:t>
      </w:r>
      <w:r w:rsidR="00E85944">
        <w:rPr>
          <w:rFonts w:ascii="Arial" w:hAnsi="Arial" w:cs="Arial"/>
          <w:sz w:val="20"/>
          <w:szCs w:val="20"/>
          <w:lang w:val="en-GB"/>
        </w:rPr>
        <w:t>’s</w:t>
      </w:r>
      <w:r w:rsidR="00E14BD3">
        <w:rPr>
          <w:rFonts w:ascii="Arial" w:hAnsi="Arial" w:cs="Arial"/>
          <w:sz w:val="20"/>
          <w:szCs w:val="20"/>
          <w:lang w:val="en-GB"/>
        </w:rPr>
        <w:t xml:space="preserve"> </w:t>
      </w:r>
      <w:r w:rsidR="00F92BC7" w:rsidRPr="008B3641">
        <w:rPr>
          <w:rFonts w:ascii="Arial" w:hAnsi="Arial" w:cs="Arial"/>
          <w:sz w:val="20"/>
          <w:szCs w:val="20"/>
          <w:lang w:val="en-GB"/>
        </w:rPr>
        <w:t>Codes on Takeovers and Mergers and Share Buy-backs (</w:t>
      </w:r>
      <w:r w:rsidR="00E85944">
        <w:rPr>
          <w:rFonts w:ascii="Arial" w:hAnsi="Arial" w:cs="Arial"/>
          <w:sz w:val="20"/>
          <w:szCs w:val="20"/>
          <w:lang w:val="en-GB"/>
        </w:rPr>
        <w:t xml:space="preserve">the </w:t>
      </w:r>
      <w:r w:rsidR="003C7DC8">
        <w:rPr>
          <w:rFonts w:ascii="Arial" w:hAnsi="Arial" w:cs="Arial"/>
          <w:b/>
          <w:sz w:val="20"/>
          <w:szCs w:val="20"/>
          <w:lang w:val="en-GB"/>
        </w:rPr>
        <w:t>Hong Kong</w:t>
      </w:r>
      <w:r w:rsidR="00E14BD3">
        <w:rPr>
          <w:rFonts w:ascii="Arial" w:hAnsi="Arial" w:cs="Arial"/>
          <w:sz w:val="20"/>
          <w:szCs w:val="20"/>
          <w:lang w:val="en-GB"/>
        </w:rPr>
        <w:t xml:space="preserve"> </w:t>
      </w:r>
      <w:r w:rsidR="00F92BC7" w:rsidRPr="008B3641">
        <w:rPr>
          <w:rFonts w:ascii="Arial" w:hAnsi="Arial" w:cs="Arial"/>
          <w:b/>
          <w:sz w:val="20"/>
          <w:szCs w:val="20"/>
          <w:lang w:val="en-GB"/>
        </w:rPr>
        <w:t>Takeovers C</w:t>
      </w:r>
      <w:r w:rsidR="008C04CC" w:rsidRPr="008B3641">
        <w:rPr>
          <w:rFonts w:ascii="Arial" w:hAnsi="Arial" w:cs="Arial"/>
          <w:b/>
          <w:sz w:val="20"/>
          <w:szCs w:val="20"/>
          <w:lang w:val="en-GB"/>
        </w:rPr>
        <w:t>ode</w:t>
      </w:r>
      <w:r w:rsidR="00F92BC7" w:rsidRPr="008B3641">
        <w:rPr>
          <w:rFonts w:ascii="Arial" w:hAnsi="Arial" w:cs="Arial"/>
          <w:sz w:val="20"/>
          <w:szCs w:val="20"/>
          <w:lang w:val="en-GB"/>
        </w:rPr>
        <w:t>)</w:t>
      </w:r>
      <w:r w:rsidR="008C04CC" w:rsidRPr="008B3641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132435" w:rsidRPr="008B3641" w:rsidRDefault="00132435" w:rsidP="0013243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 xml:space="preserve">Rule 3.7 of the </w:t>
      </w:r>
      <w:r w:rsidR="003C7DC8">
        <w:rPr>
          <w:rFonts w:ascii="Arial" w:hAnsi="Arial" w:cs="Arial"/>
          <w:sz w:val="20"/>
          <w:szCs w:val="20"/>
          <w:lang w:val="en-GB"/>
        </w:rPr>
        <w:t>Hong Kong</w:t>
      </w:r>
      <w:r w:rsidR="00051528">
        <w:rPr>
          <w:rFonts w:ascii="Arial" w:hAnsi="Arial" w:cs="Arial"/>
          <w:sz w:val="20"/>
          <w:szCs w:val="20"/>
          <w:lang w:val="en-GB"/>
        </w:rPr>
        <w:t xml:space="preserve"> 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Takeovers Code will be satisfied if either the potential offeror or offeree company </w:t>
      </w:r>
      <w:r w:rsidR="00AF41EF" w:rsidRPr="008B3641">
        <w:rPr>
          <w:rFonts w:ascii="Arial" w:hAnsi="Arial" w:cs="Arial"/>
          <w:sz w:val="20"/>
          <w:szCs w:val="20"/>
          <w:lang w:val="en-GB"/>
        </w:rPr>
        <w:t>makes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a brief announcement that talks are taking place or that a potential offeror is considering making an offer. Where no further announcement is made with</w:t>
      </w:r>
      <w:r w:rsidR="00932390" w:rsidRPr="008B3641">
        <w:rPr>
          <w:rFonts w:ascii="Arial" w:hAnsi="Arial" w:cs="Arial"/>
          <w:sz w:val="20"/>
          <w:szCs w:val="20"/>
          <w:lang w:val="en-GB"/>
        </w:rPr>
        <w:t>in a month of the first announcement, the potential offeror or offeree company must make a monthly announcement setting out the progress of the talks or the consideration of a possible offer</w:t>
      </w:r>
      <w:r w:rsidR="00AF41EF" w:rsidRPr="008B3641">
        <w:rPr>
          <w:rFonts w:ascii="Arial" w:hAnsi="Arial" w:cs="Arial"/>
          <w:sz w:val="20"/>
          <w:szCs w:val="20"/>
          <w:lang w:val="en-GB"/>
        </w:rPr>
        <w:t xml:space="preserve">, and must </w:t>
      </w:r>
      <w:r w:rsidR="00DC2781">
        <w:rPr>
          <w:rFonts w:ascii="Arial" w:hAnsi="Arial" w:cs="Arial"/>
          <w:sz w:val="20"/>
          <w:szCs w:val="20"/>
          <w:lang w:val="en-GB"/>
        </w:rPr>
        <w:t xml:space="preserve">continue to </w:t>
      </w:r>
      <w:r w:rsidR="00AF41EF" w:rsidRPr="008B3641">
        <w:rPr>
          <w:rFonts w:ascii="Arial" w:hAnsi="Arial" w:cs="Arial"/>
          <w:sz w:val="20"/>
          <w:szCs w:val="20"/>
          <w:lang w:val="en-GB"/>
        </w:rPr>
        <w:t>do so</w:t>
      </w:r>
      <w:r w:rsidR="00932390" w:rsidRPr="008B3641">
        <w:rPr>
          <w:rFonts w:ascii="Arial" w:hAnsi="Arial" w:cs="Arial"/>
          <w:sz w:val="20"/>
          <w:szCs w:val="20"/>
          <w:lang w:val="en-GB"/>
        </w:rPr>
        <w:t xml:space="preserve"> until the announcement of a firm intention to make an offer u</w:t>
      </w:r>
      <w:r w:rsidR="003C7DC8">
        <w:rPr>
          <w:rFonts w:ascii="Arial" w:hAnsi="Arial" w:cs="Arial"/>
          <w:sz w:val="20"/>
          <w:szCs w:val="20"/>
          <w:lang w:val="en-GB"/>
        </w:rPr>
        <w:t>nder Rule 3.5 of the Hong Kong</w:t>
      </w:r>
      <w:r w:rsidR="00DC2781">
        <w:rPr>
          <w:rFonts w:ascii="Arial" w:hAnsi="Arial" w:cs="Arial"/>
          <w:sz w:val="20"/>
          <w:szCs w:val="20"/>
          <w:lang w:val="en-GB"/>
        </w:rPr>
        <w:t xml:space="preserve"> Takeovers Code or a</w:t>
      </w:r>
      <w:r w:rsidR="00932390" w:rsidRPr="008B3641">
        <w:rPr>
          <w:rFonts w:ascii="Arial" w:hAnsi="Arial" w:cs="Arial"/>
          <w:sz w:val="20"/>
          <w:szCs w:val="20"/>
          <w:lang w:val="en-GB"/>
        </w:rPr>
        <w:t xml:space="preserve"> decision </w:t>
      </w:r>
      <w:r w:rsidR="00AF41EF" w:rsidRPr="008B3641">
        <w:rPr>
          <w:rFonts w:ascii="Arial" w:hAnsi="Arial" w:cs="Arial"/>
          <w:sz w:val="20"/>
          <w:szCs w:val="20"/>
          <w:lang w:val="en-GB"/>
        </w:rPr>
        <w:t>not to</w:t>
      </w:r>
      <w:r w:rsidR="00DC2781">
        <w:rPr>
          <w:rFonts w:ascii="Arial" w:hAnsi="Arial" w:cs="Arial"/>
          <w:sz w:val="20"/>
          <w:szCs w:val="20"/>
          <w:lang w:val="en-GB"/>
        </w:rPr>
        <w:t xml:space="preserve"> proceed with an offer</w:t>
      </w:r>
      <w:r w:rsidR="00932390" w:rsidRPr="008B3641">
        <w:rPr>
          <w:rFonts w:ascii="Arial" w:hAnsi="Arial" w:cs="Arial"/>
          <w:sz w:val="20"/>
          <w:szCs w:val="20"/>
          <w:lang w:val="en-GB"/>
        </w:rPr>
        <w:t>.</w:t>
      </w:r>
    </w:p>
    <w:p w:rsidR="008C04CC" w:rsidRPr="008B3641" w:rsidRDefault="008C04CC" w:rsidP="001B135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 xml:space="preserve">However, since </w:t>
      </w:r>
      <w:r w:rsidR="00DC2781">
        <w:rPr>
          <w:rFonts w:ascii="Arial" w:hAnsi="Arial" w:cs="Arial"/>
          <w:sz w:val="20"/>
          <w:szCs w:val="20"/>
          <w:lang w:val="en-GB"/>
        </w:rPr>
        <w:t xml:space="preserve">publishing </w:t>
      </w:r>
      <w:r w:rsidRPr="008B3641">
        <w:rPr>
          <w:rFonts w:ascii="Arial" w:hAnsi="Arial" w:cs="Arial"/>
          <w:sz w:val="20"/>
          <w:szCs w:val="20"/>
          <w:lang w:val="en-GB"/>
        </w:rPr>
        <w:t>the 2020 Takeover</w:t>
      </w:r>
      <w:r w:rsidR="00406551" w:rsidRPr="008B3641">
        <w:rPr>
          <w:rFonts w:ascii="Arial" w:hAnsi="Arial" w:cs="Arial"/>
          <w:sz w:val="20"/>
          <w:szCs w:val="20"/>
          <w:lang w:val="en-GB"/>
        </w:rPr>
        <w:t>s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Bulle</w:t>
      </w:r>
      <w:r w:rsidR="00932390" w:rsidRPr="008B3641">
        <w:rPr>
          <w:rFonts w:ascii="Arial" w:hAnsi="Arial" w:cs="Arial"/>
          <w:sz w:val="20"/>
          <w:szCs w:val="20"/>
          <w:lang w:val="en-GB"/>
        </w:rPr>
        <w:t>tin</w:t>
      </w:r>
      <w:r w:rsidR="00DC2781">
        <w:rPr>
          <w:rFonts w:ascii="Arial" w:hAnsi="Arial" w:cs="Arial"/>
          <w:sz w:val="20"/>
          <w:szCs w:val="20"/>
          <w:lang w:val="en-GB"/>
        </w:rPr>
        <w:t>,</w:t>
      </w:r>
      <w:r w:rsidR="00932390" w:rsidRPr="008B3641">
        <w:rPr>
          <w:rFonts w:ascii="Arial" w:hAnsi="Arial" w:cs="Arial"/>
          <w:sz w:val="20"/>
          <w:szCs w:val="20"/>
          <w:lang w:val="en-GB"/>
        </w:rPr>
        <w:t xml:space="preserve"> the Executive </w:t>
      </w:r>
      <w:r w:rsidR="00DC2781">
        <w:rPr>
          <w:rFonts w:ascii="Arial" w:hAnsi="Arial" w:cs="Arial"/>
          <w:sz w:val="20"/>
          <w:szCs w:val="20"/>
          <w:lang w:val="en-GB"/>
        </w:rPr>
        <w:t xml:space="preserve">has </w:t>
      </w:r>
      <w:r w:rsidR="007E6819" w:rsidRPr="008B3641">
        <w:rPr>
          <w:rFonts w:ascii="Arial" w:hAnsi="Arial" w:cs="Arial"/>
          <w:sz w:val="20"/>
          <w:szCs w:val="20"/>
          <w:lang w:val="en-GB"/>
        </w:rPr>
        <w:t>observed that</w:t>
      </w:r>
      <w:r w:rsidR="00F92BC7" w:rsidRPr="008B3641">
        <w:rPr>
          <w:rFonts w:ascii="Arial" w:hAnsi="Arial" w:cs="Arial"/>
          <w:sz w:val="20"/>
          <w:szCs w:val="20"/>
          <w:lang w:val="en-GB"/>
        </w:rPr>
        <w:t>:</w:t>
      </w:r>
    </w:p>
    <w:p w:rsidR="00F92BC7" w:rsidRPr="008B3641" w:rsidRDefault="00AF41EF" w:rsidP="001B135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a</w:t>
      </w:r>
      <w:r w:rsidR="00F92BC7" w:rsidRPr="008B3641">
        <w:rPr>
          <w:rFonts w:ascii="Arial" w:hAnsi="Arial" w:cs="Arial"/>
          <w:sz w:val="20"/>
          <w:szCs w:val="20"/>
          <w:lang w:val="en-GB"/>
        </w:rPr>
        <w:t>lthough receivers, liquidators and of</w:t>
      </w:r>
      <w:r w:rsidR="001E5CD0">
        <w:rPr>
          <w:rFonts w:ascii="Arial" w:hAnsi="Arial" w:cs="Arial"/>
          <w:sz w:val="20"/>
          <w:szCs w:val="20"/>
          <w:lang w:val="en-GB"/>
        </w:rPr>
        <w:t>feree companies generally complied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 with </w:t>
      </w:r>
      <w:r w:rsidR="00771A3B">
        <w:rPr>
          <w:rFonts w:ascii="Arial" w:hAnsi="Arial" w:cs="Arial"/>
          <w:sz w:val="20"/>
          <w:szCs w:val="20"/>
          <w:lang w:val="en-GB"/>
        </w:rPr>
        <w:t xml:space="preserve">the requirement to publish a possible offer announcement under 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Rule 3.7 </w:t>
      </w:r>
      <w:r w:rsidR="009E531B" w:rsidRPr="008B3641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3C7DC8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9E531B" w:rsidRPr="008B3641">
        <w:rPr>
          <w:rFonts w:ascii="Arial" w:hAnsi="Arial" w:cs="Arial"/>
          <w:sz w:val="20"/>
          <w:szCs w:val="20"/>
          <w:lang w:val="en-GB"/>
        </w:rPr>
        <w:t>T</w:t>
      </w:r>
      <w:r w:rsidR="00A65769" w:rsidRPr="008B3641">
        <w:rPr>
          <w:rFonts w:ascii="Arial" w:hAnsi="Arial" w:cs="Arial"/>
          <w:sz w:val="20"/>
          <w:szCs w:val="20"/>
          <w:lang w:val="en-GB"/>
        </w:rPr>
        <w:t>akeover</w:t>
      </w:r>
      <w:r w:rsidR="00431F1F" w:rsidRPr="008B3641">
        <w:rPr>
          <w:rFonts w:ascii="Arial" w:hAnsi="Arial" w:cs="Arial"/>
          <w:sz w:val="20"/>
          <w:szCs w:val="20"/>
          <w:lang w:val="en-GB"/>
        </w:rPr>
        <w:t>s</w:t>
      </w:r>
      <w:r w:rsidR="00E03300">
        <w:rPr>
          <w:rFonts w:ascii="Arial" w:hAnsi="Arial" w:cs="Arial"/>
          <w:sz w:val="20"/>
          <w:szCs w:val="20"/>
          <w:lang w:val="en-GB"/>
        </w:rPr>
        <w:t xml:space="preserve"> Code, in many cases</w:t>
      </w:r>
      <w:r w:rsidR="00771A3B">
        <w:rPr>
          <w:rFonts w:ascii="Arial" w:hAnsi="Arial" w:cs="Arial"/>
          <w:sz w:val="20"/>
          <w:szCs w:val="20"/>
          <w:lang w:val="en-GB"/>
        </w:rPr>
        <w:t>,</w:t>
      </w:r>
      <w:r w:rsidR="00E03300">
        <w:rPr>
          <w:rFonts w:ascii="Arial" w:hAnsi="Arial" w:cs="Arial"/>
          <w:sz w:val="20"/>
          <w:szCs w:val="20"/>
          <w:lang w:val="en-GB"/>
        </w:rPr>
        <w:t xml:space="preserve"> </w:t>
      </w:r>
      <w:r w:rsidR="00771A3B" w:rsidRPr="008B3641">
        <w:rPr>
          <w:rFonts w:ascii="Arial" w:hAnsi="Arial" w:cs="Arial"/>
          <w:sz w:val="20"/>
          <w:szCs w:val="20"/>
          <w:lang w:val="en-GB"/>
        </w:rPr>
        <w:t xml:space="preserve">the appointment </w:t>
      </w:r>
      <w:r w:rsidR="00771A3B">
        <w:rPr>
          <w:rFonts w:ascii="Arial" w:hAnsi="Arial" w:cs="Arial"/>
          <w:sz w:val="20"/>
          <w:szCs w:val="20"/>
          <w:lang w:val="en-GB"/>
        </w:rPr>
        <w:t xml:space="preserve">of a </w:t>
      </w:r>
      <w:r w:rsidR="00771A3B" w:rsidRPr="008B3641">
        <w:rPr>
          <w:rFonts w:ascii="Arial" w:hAnsi="Arial" w:cs="Arial"/>
          <w:sz w:val="20"/>
          <w:szCs w:val="20"/>
          <w:lang w:val="en-GB"/>
        </w:rPr>
        <w:t>receiver or liquidator</w:t>
      </w:r>
      <w:r w:rsidR="00771A3B">
        <w:rPr>
          <w:rFonts w:ascii="Arial" w:hAnsi="Arial" w:cs="Arial"/>
          <w:sz w:val="20"/>
          <w:szCs w:val="20"/>
          <w:lang w:val="en-GB"/>
        </w:rPr>
        <w:t xml:space="preserve"> was not followed by an </w:t>
      </w:r>
      <w:r w:rsidR="00F92BC7" w:rsidRPr="008B3641">
        <w:rPr>
          <w:rFonts w:ascii="Arial" w:hAnsi="Arial" w:cs="Arial"/>
          <w:sz w:val="20"/>
          <w:szCs w:val="20"/>
          <w:lang w:val="en-GB"/>
        </w:rPr>
        <w:t>offer or change of control</w:t>
      </w:r>
      <w:r w:rsidR="00771A3B">
        <w:rPr>
          <w:rFonts w:ascii="Arial" w:hAnsi="Arial" w:cs="Arial"/>
          <w:sz w:val="20"/>
          <w:szCs w:val="20"/>
          <w:lang w:val="en-GB"/>
        </w:rPr>
        <w:t>. In some cases, there were few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 or</w:t>
      </w:r>
      <w:r w:rsidR="009E531B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no developments for over two years </w:t>
      </w:r>
      <w:r w:rsidR="00771A3B">
        <w:rPr>
          <w:rFonts w:ascii="Arial" w:hAnsi="Arial" w:cs="Arial"/>
          <w:sz w:val="20"/>
          <w:szCs w:val="20"/>
          <w:lang w:val="en-GB"/>
        </w:rPr>
        <w:t xml:space="preserve">after </w:t>
      </w:r>
      <w:r w:rsidR="00F92BC7" w:rsidRPr="008B3641">
        <w:rPr>
          <w:rFonts w:ascii="Arial" w:hAnsi="Arial" w:cs="Arial"/>
          <w:sz w:val="20"/>
          <w:szCs w:val="20"/>
          <w:lang w:val="en-GB"/>
        </w:rPr>
        <w:t>the</w:t>
      </w:r>
      <w:r w:rsidR="009E531B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appointment </w:t>
      </w:r>
      <w:r w:rsidR="009E531B" w:rsidRPr="008B3641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063326" w:rsidRPr="008B3641">
        <w:rPr>
          <w:rFonts w:ascii="Arial" w:hAnsi="Arial" w:cs="Arial"/>
          <w:sz w:val="20"/>
          <w:szCs w:val="20"/>
          <w:lang w:val="en-GB"/>
        </w:rPr>
        <w:t xml:space="preserve">relevant </w:t>
      </w:r>
      <w:r w:rsidR="009E531B" w:rsidRPr="008B3641">
        <w:rPr>
          <w:rFonts w:ascii="Arial" w:hAnsi="Arial" w:cs="Arial"/>
          <w:sz w:val="20"/>
          <w:szCs w:val="20"/>
          <w:lang w:val="en-GB"/>
        </w:rPr>
        <w:t>receiver or liquidator</w:t>
      </w:r>
      <w:r w:rsidR="00771A3B">
        <w:rPr>
          <w:rFonts w:ascii="Arial" w:hAnsi="Arial" w:cs="Arial"/>
          <w:sz w:val="20"/>
          <w:szCs w:val="20"/>
          <w:lang w:val="en-GB"/>
        </w:rPr>
        <w:t xml:space="preserve">, contrary 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to the </w:t>
      </w:r>
      <w:r w:rsidR="00771A3B">
        <w:rPr>
          <w:rFonts w:ascii="Arial" w:hAnsi="Arial" w:cs="Arial"/>
          <w:sz w:val="20"/>
          <w:szCs w:val="20"/>
          <w:lang w:val="en-GB"/>
        </w:rPr>
        <w:t>expectation that the</w:t>
      </w:r>
      <w:r w:rsidR="001E5CD0">
        <w:rPr>
          <w:rFonts w:ascii="Arial" w:hAnsi="Arial" w:cs="Arial"/>
          <w:sz w:val="20"/>
          <w:szCs w:val="20"/>
          <w:lang w:val="en-GB"/>
        </w:rPr>
        <w:t>y</w:t>
      </w:r>
      <w:r w:rsidR="00771A3B">
        <w:rPr>
          <w:rFonts w:ascii="Arial" w:hAnsi="Arial" w:cs="Arial"/>
          <w:sz w:val="20"/>
          <w:szCs w:val="20"/>
          <w:lang w:val="en-GB"/>
        </w:rPr>
        <w:t xml:space="preserve"> would </w:t>
      </w:r>
      <w:r w:rsidR="001E5CD0">
        <w:rPr>
          <w:rFonts w:ascii="Arial" w:hAnsi="Arial" w:cs="Arial"/>
          <w:sz w:val="20"/>
          <w:szCs w:val="20"/>
          <w:lang w:val="en-GB"/>
        </w:rPr>
        <w:t xml:space="preserve">act </w:t>
      </w:r>
      <w:r w:rsidR="00E03300">
        <w:rPr>
          <w:rFonts w:ascii="Arial" w:hAnsi="Arial" w:cs="Arial"/>
          <w:sz w:val="20"/>
          <w:szCs w:val="20"/>
          <w:lang w:val="en-GB"/>
        </w:rPr>
        <w:t>quick</w:t>
      </w:r>
      <w:r w:rsidR="001E5CD0">
        <w:rPr>
          <w:rFonts w:ascii="Arial" w:hAnsi="Arial" w:cs="Arial"/>
          <w:sz w:val="20"/>
          <w:szCs w:val="20"/>
          <w:lang w:val="en-GB"/>
        </w:rPr>
        <w:t>ly to sell the</w:t>
      </w:r>
      <w:r w:rsidR="00DD69ED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C66E11">
        <w:rPr>
          <w:rFonts w:ascii="Arial" w:hAnsi="Arial" w:cs="Arial"/>
          <w:sz w:val="20"/>
          <w:szCs w:val="20"/>
          <w:lang w:val="en-GB"/>
        </w:rPr>
        <w:t>share</w:t>
      </w:r>
      <w:r w:rsidR="001E5CD0">
        <w:rPr>
          <w:rFonts w:ascii="Arial" w:hAnsi="Arial" w:cs="Arial"/>
          <w:sz w:val="20"/>
          <w:szCs w:val="20"/>
          <w:lang w:val="en-GB"/>
        </w:rPr>
        <w:t>s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; </w:t>
      </w:r>
    </w:p>
    <w:p w:rsidR="00F92BC7" w:rsidRPr="008B3641" w:rsidRDefault="00F92BC7" w:rsidP="001B1353">
      <w:pPr>
        <w:pStyle w:val="a3"/>
        <w:jc w:val="both"/>
        <w:rPr>
          <w:rFonts w:ascii="Arial" w:hAnsi="Arial" w:cs="Arial"/>
          <w:sz w:val="20"/>
          <w:szCs w:val="20"/>
          <w:lang w:val="en-GB"/>
        </w:rPr>
      </w:pPr>
    </w:p>
    <w:p w:rsidR="00F92BC7" w:rsidRPr="008B3641" w:rsidRDefault="00AF41EF" w:rsidP="001B135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i</w:t>
      </w:r>
      <w:r w:rsidR="00DD69ED" w:rsidRPr="008B3641">
        <w:rPr>
          <w:rFonts w:ascii="Arial" w:hAnsi="Arial" w:cs="Arial"/>
          <w:sz w:val="20"/>
          <w:szCs w:val="20"/>
          <w:lang w:val="en-GB"/>
        </w:rPr>
        <w:t>n many cases</w:t>
      </w:r>
      <w:r w:rsidR="001E5CD0">
        <w:rPr>
          <w:rFonts w:ascii="Arial" w:hAnsi="Arial" w:cs="Arial"/>
          <w:sz w:val="20"/>
          <w:szCs w:val="20"/>
          <w:lang w:val="en-GB"/>
        </w:rPr>
        <w:t>,</w:t>
      </w:r>
      <w:r w:rsidR="00DD69ED" w:rsidRPr="008B3641">
        <w:rPr>
          <w:rFonts w:ascii="Arial" w:hAnsi="Arial" w:cs="Arial"/>
          <w:sz w:val="20"/>
          <w:szCs w:val="20"/>
          <w:lang w:val="en-GB"/>
        </w:rPr>
        <w:t xml:space="preserve"> t</w:t>
      </w:r>
      <w:r w:rsidR="00F92BC7" w:rsidRPr="008B3641">
        <w:rPr>
          <w:rFonts w:ascii="Arial" w:hAnsi="Arial" w:cs="Arial"/>
          <w:sz w:val="20"/>
          <w:szCs w:val="20"/>
          <w:lang w:val="en-GB"/>
        </w:rPr>
        <w:t>he receive</w:t>
      </w:r>
      <w:r w:rsidR="00DD69ED" w:rsidRPr="008B3641">
        <w:rPr>
          <w:rFonts w:ascii="Arial" w:hAnsi="Arial" w:cs="Arial"/>
          <w:sz w:val="20"/>
          <w:szCs w:val="20"/>
          <w:lang w:val="en-GB"/>
        </w:rPr>
        <w:t>r or liquidator may not, in fact,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1E5CD0">
        <w:rPr>
          <w:rFonts w:ascii="Arial" w:hAnsi="Arial" w:cs="Arial"/>
          <w:sz w:val="20"/>
          <w:szCs w:val="20"/>
          <w:lang w:val="en-GB"/>
        </w:rPr>
        <w:t>actively seek or negotiate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 with a potential purchaser </w:t>
      </w:r>
      <w:r w:rsidR="00DD69ED" w:rsidRPr="008B3641">
        <w:rPr>
          <w:rFonts w:ascii="Arial" w:hAnsi="Arial" w:cs="Arial"/>
          <w:sz w:val="20"/>
          <w:szCs w:val="20"/>
          <w:lang w:val="en-GB"/>
        </w:rPr>
        <w:t>(</w:t>
      </w:r>
      <w:r w:rsidR="001E5CD0">
        <w:rPr>
          <w:rFonts w:ascii="Arial" w:hAnsi="Arial" w:cs="Arial"/>
          <w:sz w:val="20"/>
          <w:szCs w:val="20"/>
          <w:lang w:val="en-GB"/>
        </w:rPr>
        <w:t xml:space="preserve">possibly </w:t>
      </w:r>
      <w:r w:rsidR="00DD69ED" w:rsidRPr="008B3641">
        <w:rPr>
          <w:rFonts w:ascii="Arial" w:hAnsi="Arial" w:cs="Arial"/>
          <w:sz w:val="20"/>
          <w:szCs w:val="20"/>
          <w:lang w:val="en-GB"/>
        </w:rPr>
        <w:t>due to market factors or a lack of interest in the relevant assets)</w:t>
      </w:r>
      <w:r w:rsidR="00063326" w:rsidRPr="008B3641">
        <w:rPr>
          <w:rFonts w:ascii="Arial" w:hAnsi="Arial" w:cs="Arial"/>
          <w:sz w:val="20"/>
          <w:szCs w:val="20"/>
          <w:lang w:val="en-GB"/>
        </w:rPr>
        <w:t xml:space="preserve">. There have also been 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cases of </w:t>
      </w:r>
      <w:r w:rsidR="00F92BC7" w:rsidRPr="008B3641">
        <w:rPr>
          <w:rFonts w:ascii="Arial" w:hAnsi="Arial" w:cs="Arial"/>
          <w:sz w:val="20"/>
          <w:szCs w:val="20"/>
          <w:lang w:val="en-GB"/>
        </w:rPr>
        <w:t>settlement talks between the lender and borrower; and</w:t>
      </w:r>
    </w:p>
    <w:p w:rsidR="00F92BC7" w:rsidRPr="008B3641" w:rsidRDefault="00F92BC7" w:rsidP="001B1353">
      <w:pPr>
        <w:pStyle w:val="a3"/>
        <w:jc w:val="both"/>
        <w:rPr>
          <w:rFonts w:ascii="Arial" w:hAnsi="Arial" w:cs="Arial"/>
          <w:sz w:val="20"/>
          <w:szCs w:val="20"/>
          <w:lang w:val="en-GB"/>
        </w:rPr>
      </w:pPr>
    </w:p>
    <w:p w:rsidR="00F92BC7" w:rsidRPr="008B3641" w:rsidRDefault="00932390" w:rsidP="001B135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s</w:t>
      </w:r>
      <w:r w:rsidR="00F92BC7" w:rsidRPr="008B3641">
        <w:rPr>
          <w:rFonts w:ascii="Arial" w:hAnsi="Arial" w:cs="Arial"/>
          <w:sz w:val="20"/>
          <w:szCs w:val="20"/>
          <w:lang w:val="en-GB"/>
        </w:rPr>
        <w:t>ubjecting</w:t>
      </w:r>
      <w:r w:rsidR="001E5CD0">
        <w:rPr>
          <w:rFonts w:ascii="Arial" w:hAnsi="Arial" w:cs="Arial"/>
          <w:sz w:val="20"/>
          <w:szCs w:val="20"/>
          <w:lang w:val="en-GB"/>
        </w:rPr>
        <w:t xml:space="preserve"> </w:t>
      </w:r>
      <w:r w:rsidR="00F92BC7" w:rsidRPr="008B3641">
        <w:rPr>
          <w:rFonts w:ascii="Arial" w:hAnsi="Arial" w:cs="Arial"/>
          <w:sz w:val="20"/>
          <w:szCs w:val="20"/>
          <w:lang w:val="en-GB"/>
        </w:rPr>
        <w:t xml:space="preserve">offeree companies to the </w:t>
      </w:r>
      <w:r w:rsidR="001E5CD0">
        <w:rPr>
          <w:rFonts w:ascii="Arial" w:hAnsi="Arial" w:cs="Arial"/>
          <w:sz w:val="20"/>
          <w:szCs w:val="20"/>
          <w:lang w:val="en-GB"/>
        </w:rPr>
        <w:t xml:space="preserve">various </w:t>
      </w:r>
      <w:r w:rsidR="007E6819" w:rsidRPr="008B3641">
        <w:rPr>
          <w:rFonts w:ascii="Arial" w:hAnsi="Arial" w:cs="Arial"/>
          <w:sz w:val="20"/>
          <w:szCs w:val="20"/>
          <w:lang w:val="en-GB"/>
        </w:rPr>
        <w:t xml:space="preserve">restrictions </w:t>
      </w:r>
      <w:r w:rsidR="001E5CD0">
        <w:rPr>
          <w:rFonts w:ascii="Arial" w:hAnsi="Arial" w:cs="Arial"/>
          <w:sz w:val="20"/>
          <w:szCs w:val="20"/>
          <w:lang w:val="en-GB"/>
        </w:rPr>
        <w:t>applicable to them (s</w:t>
      </w:r>
      <w:r w:rsidR="003359DA" w:rsidRPr="008B3641">
        <w:rPr>
          <w:rFonts w:ascii="Arial" w:hAnsi="Arial" w:cs="Arial"/>
          <w:sz w:val="20"/>
          <w:szCs w:val="20"/>
          <w:lang w:val="en-GB"/>
        </w:rPr>
        <w:t xml:space="preserve">uch as Rule 4 of the </w:t>
      </w:r>
      <w:r w:rsidR="003C7DC8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3359DA" w:rsidRPr="008B3641">
        <w:rPr>
          <w:rFonts w:ascii="Arial" w:hAnsi="Arial" w:cs="Arial"/>
          <w:sz w:val="20"/>
          <w:szCs w:val="20"/>
          <w:lang w:val="en-GB"/>
        </w:rPr>
        <w:t xml:space="preserve">Takeovers Code with regards to no frustrating actions) </w:t>
      </w:r>
      <w:r w:rsidR="007E6819" w:rsidRPr="008B3641">
        <w:rPr>
          <w:rFonts w:ascii="Arial" w:hAnsi="Arial" w:cs="Arial"/>
          <w:sz w:val="20"/>
          <w:szCs w:val="20"/>
          <w:lang w:val="en-GB"/>
        </w:rPr>
        <w:t xml:space="preserve">and additional compliance </w:t>
      </w:r>
      <w:r w:rsidR="00BF14C3" w:rsidRPr="008B3641">
        <w:rPr>
          <w:rFonts w:ascii="Arial" w:hAnsi="Arial" w:cs="Arial"/>
          <w:sz w:val="20"/>
          <w:szCs w:val="20"/>
          <w:lang w:val="en-GB"/>
        </w:rPr>
        <w:t xml:space="preserve">requirements (such as additional reporting on profit forecasts as </w:t>
      </w:r>
      <w:r w:rsidR="001E5CD0">
        <w:rPr>
          <w:rFonts w:ascii="Arial" w:hAnsi="Arial" w:cs="Arial"/>
          <w:sz w:val="20"/>
          <w:szCs w:val="20"/>
          <w:lang w:val="en-GB"/>
        </w:rPr>
        <w:t xml:space="preserve">required by </w:t>
      </w:r>
      <w:r w:rsidR="00BF14C3" w:rsidRPr="008B3641">
        <w:rPr>
          <w:rFonts w:ascii="Arial" w:hAnsi="Arial" w:cs="Arial"/>
          <w:sz w:val="20"/>
          <w:szCs w:val="20"/>
          <w:lang w:val="en-GB"/>
        </w:rPr>
        <w:t xml:space="preserve">Rule 10.4 of the </w:t>
      </w:r>
      <w:r w:rsidR="00E85944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BF14C3" w:rsidRPr="008B3641">
        <w:rPr>
          <w:rFonts w:ascii="Arial" w:hAnsi="Arial" w:cs="Arial"/>
          <w:sz w:val="20"/>
          <w:szCs w:val="20"/>
          <w:lang w:val="en-GB"/>
        </w:rPr>
        <w:t>Takeovers Code</w:t>
      </w:r>
      <w:r w:rsidR="007E6819" w:rsidRPr="008B3641">
        <w:rPr>
          <w:rFonts w:ascii="Arial" w:hAnsi="Arial" w:cs="Arial"/>
          <w:sz w:val="20"/>
          <w:szCs w:val="20"/>
          <w:lang w:val="en-GB"/>
        </w:rPr>
        <w:t>)</w:t>
      </w:r>
      <w:r w:rsidR="00DD69ED" w:rsidRPr="008B3641">
        <w:rPr>
          <w:rFonts w:ascii="Arial" w:hAnsi="Arial" w:cs="Arial"/>
          <w:sz w:val="20"/>
          <w:szCs w:val="20"/>
          <w:lang w:val="en-GB"/>
        </w:rPr>
        <w:t xml:space="preserve">, </w:t>
      </w:r>
      <w:r w:rsidR="007E6819" w:rsidRPr="008B3641">
        <w:rPr>
          <w:rFonts w:ascii="Arial" w:hAnsi="Arial" w:cs="Arial"/>
          <w:sz w:val="20"/>
          <w:szCs w:val="20"/>
          <w:lang w:val="en-GB"/>
        </w:rPr>
        <w:t>when there are</w:t>
      </w:r>
      <w:r w:rsidR="00DD69ED" w:rsidRPr="008B3641">
        <w:rPr>
          <w:rFonts w:ascii="Arial" w:hAnsi="Arial" w:cs="Arial"/>
          <w:sz w:val="20"/>
          <w:szCs w:val="20"/>
          <w:lang w:val="en-GB"/>
        </w:rPr>
        <w:t xml:space="preserve"> either</w:t>
      </w:r>
      <w:r w:rsidR="007E6819" w:rsidRPr="008B3641">
        <w:rPr>
          <w:rFonts w:ascii="Arial" w:hAnsi="Arial" w:cs="Arial"/>
          <w:sz w:val="20"/>
          <w:szCs w:val="20"/>
          <w:lang w:val="en-GB"/>
        </w:rPr>
        <w:t xml:space="preserve"> no substantive developments o</w:t>
      </w:r>
      <w:r w:rsidR="00DD69ED" w:rsidRPr="008B3641">
        <w:rPr>
          <w:rFonts w:ascii="Arial" w:hAnsi="Arial" w:cs="Arial"/>
          <w:sz w:val="20"/>
          <w:szCs w:val="20"/>
          <w:lang w:val="en-GB"/>
        </w:rPr>
        <w:t>n</w:t>
      </w:r>
      <w:r w:rsidR="007E6819" w:rsidRPr="008B3641">
        <w:rPr>
          <w:rFonts w:ascii="Arial" w:hAnsi="Arial" w:cs="Arial"/>
          <w:sz w:val="20"/>
          <w:szCs w:val="20"/>
          <w:lang w:val="en-GB"/>
        </w:rPr>
        <w:t xml:space="preserve"> a possible offer and no real prospect of an offer</w:t>
      </w:r>
      <w:r w:rsidR="00DD69ED" w:rsidRPr="008B3641">
        <w:rPr>
          <w:rFonts w:ascii="Arial" w:hAnsi="Arial" w:cs="Arial"/>
          <w:sz w:val="20"/>
          <w:szCs w:val="20"/>
          <w:lang w:val="en-GB"/>
        </w:rPr>
        <w:t>,</w:t>
      </w:r>
      <w:r w:rsidR="007E6819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1E5CD0">
        <w:rPr>
          <w:rFonts w:ascii="Arial" w:hAnsi="Arial" w:cs="Arial"/>
          <w:sz w:val="20"/>
          <w:szCs w:val="20"/>
          <w:lang w:val="en-GB"/>
        </w:rPr>
        <w:t xml:space="preserve">may </w:t>
      </w:r>
      <w:r w:rsidR="007E6819" w:rsidRPr="008B3641">
        <w:rPr>
          <w:rFonts w:ascii="Arial" w:hAnsi="Arial" w:cs="Arial"/>
          <w:sz w:val="20"/>
          <w:szCs w:val="20"/>
          <w:lang w:val="en-GB"/>
        </w:rPr>
        <w:t xml:space="preserve">be unduly burdensome </w:t>
      </w:r>
      <w:r w:rsidR="00DD69ED" w:rsidRPr="008B3641">
        <w:rPr>
          <w:rFonts w:ascii="Arial" w:hAnsi="Arial" w:cs="Arial"/>
          <w:sz w:val="20"/>
          <w:szCs w:val="20"/>
          <w:lang w:val="en-GB"/>
        </w:rPr>
        <w:t xml:space="preserve">on the offeree company </w:t>
      </w:r>
      <w:r w:rsidR="007E6819" w:rsidRPr="008B3641">
        <w:rPr>
          <w:rFonts w:ascii="Arial" w:hAnsi="Arial" w:cs="Arial"/>
          <w:sz w:val="20"/>
          <w:szCs w:val="20"/>
          <w:lang w:val="en-GB"/>
        </w:rPr>
        <w:t>and may not be in the best interests of its</w:t>
      </w:r>
      <w:r w:rsidR="00DD69ED" w:rsidRPr="008B3641">
        <w:rPr>
          <w:rFonts w:ascii="Arial" w:hAnsi="Arial" w:cs="Arial"/>
          <w:sz w:val="20"/>
          <w:szCs w:val="20"/>
          <w:lang w:val="en-GB"/>
        </w:rPr>
        <w:t xml:space="preserve"> shareholders.</w:t>
      </w:r>
    </w:p>
    <w:p w:rsidR="007E6819" w:rsidRPr="008B3641" w:rsidRDefault="007E6819" w:rsidP="001B135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In light of the above observations</w:t>
      </w:r>
      <w:r w:rsidR="001E5CD0">
        <w:rPr>
          <w:rFonts w:ascii="Arial" w:hAnsi="Arial" w:cs="Arial"/>
          <w:sz w:val="20"/>
          <w:szCs w:val="20"/>
          <w:lang w:val="en-GB"/>
        </w:rPr>
        <w:t>,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th</w:t>
      </w:r>
      <w:r w:rsidR="001E5CD0">
        <w:rPr>
          <w:rFonts w:ascii="Arial" w:hAnsi="Arial" w:cs="Arial"/>
          <w:sz w:val="20"/>
          <w:szCs w:val="20"/>
          <w:lang w:val="en-GB"/>
        </w:rPr>
        <w:t>e Executive considers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it inappropriate to keep an offer period open or to commence an offer period where there is unlikely to be an imminent officer. It also </w:t>
      </w:r>
      <w:r w:rsidR="001632DC">
        <w:rPr>
          <w:rFonts w:ascii="Arial" w:hAnsi="Arial" w:cs="Arial"/>
          <w:sz w:val="20"/>
          <w:szCs w:val="20"/>
          <w:lang w:val="en-GB"/>
        </w:rPr>
        <w:t xml:space="preserve">notes 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that this could lead to potential false market concerns for </w:t>
      </w:r>
      <w:r w:rsidR="001B1353" w:rsidRPr="008B3641">
        <w:rPr>
          <w:rFonts w:ascii="Arial" w:hAnsi="Arial" w:cs="Arial"/>
          <w:sz w:val="20"/>
          <w:szCs w:val="20"/>
          <w:lang w:val="en-GB"/>
        </w:rPr>
        <w:t>an offeree company.</w:t>
      </w:r>
      <w:r w:rsidR="001632DC">
        <w:rPr>
          <w:rFonts w:ascii="Arial" w:hAnsi="Arial" w:cs="Arial"/>
          <w:sz w:val="20"/>
          <w:szCs w:val="20"/>
          <w:lang w:val="en-GB"/>
        </w:rPr>
        <w:t xml:space="preserve"> Accordingly, PN24 provides that</w:t>
      </w:r>
      <w:r w:rsidR="001B1353" w:rsidRPr="008B3641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1B1353" w:rsidRPr="008B3641" w:rsidRDefault="001632DC" w:rsidP="001B1353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</w:t>
      </w:r>
      <w:r w:rsidR="001B1353" w:rsidRPr="008B3641">
        <w:rPr>
          <w:rFonts w:ascii="Arial" w:hAnsi="Arial" w:cs="Arial"/>
          <w:sz w:val="20"/>
          <w:szCs w:val="20"/>
          <w:lang w:val="en-GB"/>
        </w:rPr>
        <w:t xml:space="preserve"> offer period will not commence upon the </w:t>
      </w:r>
      <w:r>
        <w:rPr>
          <w:rFonts w:ascii="Arial" w:hAnsi="Arial" w:cs="Arial"/>
          <w:sz w:val="20"/>
          <w:szCs w:val="20"/>
          <w:lang w:val="en-GB"/>
        </w:rPr>
        <w:t>a</w:t>
      </w:r>
      <w:r w:rsidR="00205854" w:rsidRPr="008B3641">
        <w:rPr>
          <w:rFonts w:ascii="Arial" w:hAnsi="Arial" w:cs="Arial"/>
          <w:sz w:val="20"/>
          <w:szCs w:val="20"/>
          <w:lang w:val="en-GB"/>
        </w:rPr>
        <w:t>ppointmen</w:t>
      </w:r>
      <w:r w:rsidR="00BF14C3" w:rsidRPr="008B3641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 xml:space="preserve"> of a </w:t>
      </w:r>
      <w:r w:rsidRPr="008B3641">
        <w:rPr>
          <w:rFonts w:ascii="Arial" w:hAnsi="Arial" w:cs="Arial"/>
          <w:sz w:val="20"/>
          <w:szCs w:val="20"/>
          <w:lang w:val="en-GB"/>
        </w:rPr>
        <w:t>receiver or liquidator</w:t>
      </w:r>
      <w:r w:rsidR="00BF14C3" w:rsidRPr="008B3641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>even if this</w:t>
      </w:r>
      <w:r w:rsidR="001B1353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may result</w:t>
      </w:r>
      <w:r w:rsidR="001B1353" w:rsidRPr="008B3641">
        <w:rPr>
          <w:rFonts w:ascii="Arial" w:hAnsi="Arial" w:cs="Arial"/>
          <w:sz w:val="20"/>
          <w:szCs w:val="20"/>
          <w:lang w:val="en-GB"/>
        </w:rPr>
        <w:t xml:space="preserve"> in a possible change of control</w:t>
      </w:r>
      <w:r w:rsidR="00BF14C3" w:rsidRPr="008B3641">
        <w:rPr>
          <w:rFonts w:ascii="Arial" w:hAnsi="Arial" w:cs="Arial"/>
          <w:sz w:val="20"/>
          <w:szCs w:val="20"/>
          <w:lang w:val="en-GB"/>
        </w:rPr>
        <w:t>,</w:t>
      </w:r>
      <w:r w:rsidR="001B1353" w:rsidRPr="008B3641">
        <w:rPr>
          <w:rFonts w:ascii="Arial" w:hAnsi="Arial" w:cs="Arial"/>
          <w:sz w:val="20"/>
          <w:szCs w:val="20"/>
          <w:lang w:val="en-GB"/>
        </w:rPr>
        <w:t xml:space="preserve"> unless the receiver or liquidator indicates</w:t>
      </w:r>
      <w:r w:rsidR="00BF14C3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that </w:t>
      </w:r>
      <w:r w:rsidR="00BF14C3" w:rsidRPr="008B3641">
        <w:rPr>
          <w:rFonts w:ascii="Arial" w:hAnsi="Arial" w:cs="Arial"/>
          <w:sz w:val="20"/>
          <w:szCs w:val="20"/>
          <w:lang w:val="en-GB"/>
        </w:rPr>
        <w:t>it is</w:t>
      </w:r>
      <w:r w:rsidR="001B1353" w:rsidRPr="008B3641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1B1353" w:rsidRPr="008B3641" w:rsidRDefault="001B1353" w:rsidP="001B1353">
      <w:pPr>
        <w:pStyle w:val="a3"/>
        <w:jc w:val="both"/>
        <w:rPr>
          <w:rFonts w:ascii="Arial" w:hAnsi="Arial" w:cs="Arial"/>
          <w:sz w:val="10"/>
          <w:szCs w:val="10"/>
          <w:lang w:val="en-GB"/>
        </w:rPr>
      </w:pPr>
    </w:p>
    <w:p w:rsidR="001B1353" w:rsidRDefault="001B1353" w:rsidP="001B1353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actively looking for a potential</w:t>
      </w:r>
      <w:r w:rsidR="00BF14C3" w:rsidRPr="008B3641">
        <w:rPr>
          <w:rFonts w:ascii="Arial" w:hAnsi="Arial" w:cs="Arial"/>
          <w:sz w:val="20"/>
          <w:szCs w:val="20"/>
          <w:lang w:val="en-GB"/>
        </w:rPr>
        <w:t xml:space="preserve"> purchase</w:t>
      </w:r>
      <w:r w:rsidR="001632DC">
        <w:rPr>
          <w:rFonts w:ascii="Arial" w:hAnsi="Arial" w:cs="Arial"/>
          <w:sz w:val="20"/>
          <w:szCs w:val="20"/>
          <w:lang w:val="en-GB"/>
        </w:rPr>
        <w:t>r</w:t>
      </w:r>
      <w:r w:rsidR="00BF14C3" w:rsidRPr="008B3641">
        <w:rPr>
          <w:rFonts w:ascii="Arial" w:hAnsi="Arial" w:cs="Arial"/>
          <w:sz w:val="20"/>
          <w:szCs w:val="20"/>
          <w:lang w:val="en-GB"/>
        </w:rPr>
        <w:t xml:space="preserve"> for </w:t>
      </w:r>
      <w:r w:rsidR="001632DC">
        <w:rPr>
          <w:rFonts w:ascii="Arial" w:hAnsi="Arial" w:cs="Arial"/>
          <w:sz w:val="20"/>
          <w:szCs w:val="20"/>
          <w:lang w:val="en-GB"/>
        </w:rPr>
        <w:t xml:space="preserve">the </w:t>
      </w:r>
      <w:r w:rsidR="00BF14C3" w:rsidRPr="008B3641">
        <w:rPr>
          <w:rFonts w:ascii="Arial" w:hAnsi="Arial" w:cs="Arial"/>
          <w:sz w:val="20"/>
          <w:szCs w:val="20"/>
          <w:lang w:val="en-GB"/>
        </w:rPr>
        <w:t>controlling stake; or</w:t>
      </w:r>
    </w:p>
    <w:p w:rsidR="001632DC" w:rsidRPr="008B3641" w:rsidRDefault="001632DC" w:rsidP="001632DC">
      <w:pPr>
        <w:pStyle w:val="a3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:rsidR="001B1353" w:rsidRPr="008B3641" w:rsidRDefault="001B1353" w:rsidP="001B1353">
      <w:pPr>
        <w:pStyle w:val="a3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already in a discussion with a potential purchaser over the controlling stake</w:t>
      </w:r>
      <w:r w:rsidR="007569C2">
        <w:rPr>
          <w:rFonts w:ascii="Arial" w:hAnsi="Arial" w:cs="Arial"/>
          <w:sz w:val="20"/>
          <w:szCs w:val="20"/>
          <w:lang w:val="en-GB"/>
        </w:rPr>
        <w:t>;</w:t>
      </w:r>
      <w:r w:rsidRPr="008B364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B1353" w:rsidRPr="008B3641" w:rsidRDefault="001B1353" w:rsidP="001B1353">
      <w:pPr>
        <w:pStyle w:val="a3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:rsidR="001B1353" w:rsidRPr="003F4B44" w:rsidRDefault="00BF14C3" w:rsidP="003F4B44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the offeree company should make appropriate enquires with the receiver or liquidator</w:t>
      </w:r>
      <w:r w:rsidR="00C66E11">
        <w:rPr>
          <w:rFonts w:ascii="Arial" w:hAnsi="Arial" w:cs="Arial"/>
          <w:sz w:val="20"/>
          <w:szCs w:val="20"/>
          <w:lang w:val="en-GB"/>
        </w:rPr>
        <w:t xml:space="preserve"> as to whether it proposes</w:t>
      </w:r>
      <w:r w:rsidR="003F4B44">
        <w:rPr>
          <w:rFonts w:ascii="Arial" w:hAnsi="Arial" w:cs="Arial"/>
          <w:sz w:val="20"/>
          <w:szCs w:val="20"/>
          <w:lang w:val="en-GB"/>
        </w:rPr>
        <w:t xml:space="preserve"> to sell the controlling stake. If the receiver is actively looking for a potential purchaser</w:t>
      </w:r>
      <w:r w:rsidR="0048513C" w:rsidRPr="003F4B44">
        <w:rPr>
          <w:rFonts w:ascii="Arial" w:hAnsi="Arial" w:cs="Arial"/>
          <w:sz w:val="20"/>
          <w:szCs w:val="20"/>
          <w:lang w:val="en-GB"/>
        </w:rPr>
        <w:t>,</w:t>
      </w:r>
      <w:r w:rsidR="003F4B44">
        <w:rPr>
          <w:rFonts w:ascii="Arial" w:hAnsi="Arial" w:cs="Arial"/>
          <w:sz w:val="20"/>
          <w:szCs w:val="20"/>
          <w:lang w:val="en-GB"/>
        </w:rPr>
        <w:t xml:space="preserve"> or already in discussion with </w:t>
      </w:r>
      <w:r w:rsidR="003F4B44" w:rsidRPr="008B3641">
        <w:rPr>
          <w:rFonts w:ascii="Arial" w:hAnsi="Arial" w:cs="Arial"/>
          <w:sz w:val="20"/>
          <w:szCs w:val="20"/>
          <w:lang w:val="en-GB"/>
        </w:rPr>
        <w:t>a potential purchaser over the controlling stake</w:t>
      </w:r>
      <w:r w:rsidR="003F4B44">
        <w:rPr>
          <w:rFonts w:ascii="Arial" w:hAnsi="Arial" w:cs="Arial"/>
          <w:sz w:val="20"/>
          <w:szCs w:val="20"/>
          <w:lang w:val="en-GB"/>
        </w:rPr>
        <w:t xml:space="preserve">, </w:t>
      </w:r>
      <w:r w:rsidR="001B1353" w:rsidRPr="003F4B44">
        <w:rPr>
          <w:rFonts w:ascii="Arial" w:hAnsi="Arial" w:cs="Arial"/>
          <w:sz w:val="20"/>
          <w:szCs w:val="20"/>
          <w:lang w:val="en-GB"/>
        </w:rPr>
        <w:t xml:space="preserve">the offeree company should submit a draft Rule 3.7 </w:t>
      </w:r>
      <w:r w:rsidR="00AF41EF" w:rsidRPr="003F4B44">
        <w:rPr>
          <w:rFonts w:ascii="Arial" w:hAnsi="Arial" w:cs="Arial"/>
          <w:sz w:val="20"/>
          <w:szCs w:val="20"/>
          <w:lang w:val="en-GB"/>
        </w:rPr>
        <w:t>announcement</w:t>
      </w:r>
      <w:r w:rsidRPr="003F4B44">
        <w:rPr>
          <w:rFonts w:ascii="Arial" w:hAnsi="Arial" w:cs="Arial"/>
          <w:sz w:val="20"/>
          <w:szCs w:val="20"/>
          <w:lang w:val="en-GB"/>
        </w:rPr>
        <w:t xml:space="preserve"> </w:t>
      </w:r>
      <w:r w:rsidR="001B1353" w:rsidRPr="003F4B44">
        <w:rPr>
          <w:rFonts w:ascii="Arial" w:hAnsi="Arial" w:cs="Arial"/>
          <w:sz w:val="20"/>
          <w:szCs w:val="20"/>
          <w:lang w:val="en-GB"/>
        </w:rPr>
        <w:t>to the Executive for vetting. The draft announcement should</w:t>
      </w:r>
      <w:r w:rsidRPr="003F4B44">
        <w:rPr>
          <w:rFonts w:ascii="Arial" w:hAnsi="Arial" w:cs="Arial"/>
          <w:sz w:val="20"/>
          <w:szCs w:val="20"/>
          <w:lang w:val="en-GB"/>
        </w:rPr>
        <w:t xml:space="preserve"> d</w:t>
      </w:r>
      <w:r w:rsidR="001B1353" w:rsidRPr="003F4B44">
        <w:rPr>
          <w:rFonts w:ascii="Arial" w:hAnsi="Arial" w:cs="Arial"/>
          <w:sz w:val="20"/>
          <w:szCs w:val="20"/>
          <w:lang w:val="en-GB"/>
        </w:rPr>
        <w:t xml:space="preserve">isclose the </w:t>
      </w:r>
      <w:r w:rsidR="003F4B44">
        <w:rPr>
          <w:rFonts w:ascii="Arial" w:hAnsi="Arial" w:cs="Arial"/>
          <w:sz w:val="20"/>
          <w:szCs w:val="20"/>
          <w:lang w:val="en-GB"/>
        </w:rPr>
        <w:t>a</w:t>
      </w:r>
      <w:r w:rsidR="00205854" w:rsidRPr="003F4B44">
        <w:rPr>
          <w:rFonts w:ascii="Arial" w:hAnsi="Arial" w:cs="Arial"/>
          <w:sz w:val="20"/>
          <w:szCs w:val="20"/>
          <w:lang w:val="en-GB"/>
        </w:rPr>
        <w:t xml:space="preserve">ppointment </w:t>
      </w:r>
      <w:r w:rsidR="003F4B44">
        <w:rPr>
          <w:rFonts w:ascii="Arial" w:hAnsi="Arial" w:cs="Arial"/>
          <w:sz w:val="20"/>
          <w:szCs w:val="20"/>
          <w:lang w:val="en-GB"/>
        </w:rPr>
        <w:t xml:space="preserve">of the receiver or liquidator </w:t>
      </w:r>
      <w:r w:rsidRPr="003F4B44">
        <w:rPr>
          <w:rFonts w:ascii="Arial" w:hAnsi="Arial" w:cs="Arial"/>
          <w:sz w:val="20"/>
          <w:szCs w:val="20"/>
          <w:lang w:val="en-GB"/>
        </w:rPr>
        <w:t xml:space="preserve">and </w:t>
      </w:r>
      <w:r w:rsidR="003F4B44">
        <w:rPr>
          <w:rFonts w:ascii="Arial" w:hAnsi="Arial" w:cs="Arial"/>
          <w:sz w:val="20"/>
          <w:szCs w:val="20"/>
          <w:lang w:val="en-GB"/>
        </w:rPr>
        <w:t xml:space="preserve">the </w:t>
      </w:r>
      <w:r w:rsidRPr="003F4B44">
        <w:rPr>
          <w:rFonts w:ascii="Arial" w:hAnsi="Arial" w:cs="Arial"/>
          <w:sz w:val="20"/>
          <w:szCs w:val="20"/>
          <w:lang w:val="en-GB"/>
        </w:rPr>
        <w:t>r</w:t>
      </w:r>
      <w:r w:rsidR="001B1353" w:rsidRPr="003F4B44">
        <w:rPr>
          <w:rFonts w:ascii="Arial" w:hAnsi="Arial" w:cs="Arial"/>
          <w:sz w:val="20"/>
          <w:szCs w:val="20"/>
          <w:lang w:val="en-GB"/>
        </w:rPr>
        <w:t>eason</w:t>
      </w:r>
      <w:r w:rsidR="003F4B44">
        <w:rPr>
          <w:rFonts w:ascii="Arial" w:hAnsi="Arial" w:cs="Arial"/>
          <w:sz w:val="20"/>
          <w:szCs w:val="20"/>
          <w:lang w:val="en-GB"/>
        </w:rPr>
        <w:t>(</w:t>
      </w:r>
      <w:r w:rsidR="001B1353" w:rsidRPr="003F4B44">
        <w:rPr>
          <w:rFonts w:ascii="Arial" w:hAnsi="Arial" w:cs="Arial"/>
          <w:sz w:val="20"/>
          <w:szCs w:val="20"/>
          <w:lang w:val="en-GB"/>
        </w:rPr>
        <w:t>s</w:t>
      </w:r>
      <w:r w:rsidR="003F4B44">
        <w:rPr>
          <w:rFonts w:ascii="Arial" w:hAnsi="Arial" w:cs="Arial"/>
          <w:sz w:val="20"/>
          <w:szCs w:val="20"/>
          <w:lang w:val="en-GB"/>
        </w:rPr>
        <w:t>)</w:t>
      </w:r>
      <w:r w:rsidR="001B1353" w:rsidRPr="003F4B44">
        <w:rPr>
          <w:rFonts w:ascii="Arial" w:hAnsi="Arial" w:cs="Arial"/>
          <w:sz w:val="20"/>
          <w:szCs w:val="20"/>
          <w:lang w:val="en-GB"/>
        </w:rPr>
        <w:t xml:space="preserve"> </w:t>
      </w:r>
      <w:r w:rsidRPr="003F4B44">
        <w:rPr>
          <w:rFonts w:ascii="Arial" w:hAnsi="Arial" w:cs="Arial"/>
          <w:sz w:val="20"/>
          <w:szCs w:val="20"/>
          <w:lang w:val="en-GB"/>
        </w:rPr>
        <w:t xml:space="preserve">for commencing an offer period. </w:t>
      </w:r>
      <w:r w:rsidR="003F4B44">
        <w:rPr>
          <w:rFonts w:ascii="Arial" w:hAnsi="Arial" w:cs="Arial"/>
          <w:sz w:val="20"/>
          <w:szCs w:val="20"/>
          <w:lang w:val="en-GB"/>
        </w:rPr>
        <w:t>T</w:t>
      </w:r>
      <w:r w:rsidR="001B1353" w:rsidRPr="003F4B44">
        <w:rPr>
          <w:rFonts w:ascii="Arial" w:hAnsi="Arial" w:cs="Arial"/>
          <w:sz w:val="20"/>
          <w:szCs w:val="20"/>
          <w:lang w:val="en-GB"/>
        </w:rPr>
        <w:t>he offeree company</w:t>
      </w:r>
      <w:r w:rsidR="003F4B44">
        <w:rPr>
          <w:rFonts w:ascii="Arial" w:hAnsi="Arial" w:cs="Arial"/>
          <w:sz w:val="20"/>
          <w:szCs w:val="20"/>
          <w:lang w:val="en-GB"/>
        </w:rPr>
        <w:t xml:space="preserve"> will also</w:t>
      </w:r>
      <w:r w:rsidR="001B1353" w:rsidRPr="003F4B44">
        <w:rPr>
          <w:rFonts w:ascii="Arial" w:hAnsi="Arial" w:cs="Arial"/>
          <w:sz w:val="20"/>
          <w:szCs w:val="20"/>
          <w:lang w:val="en-GB"/>
        </w:rPr>
        <w:t xml:space="preserve"> be required to publish monthly update announcements in line with existing practice and </w:t>
      </w:r>
      <w:r w:rsidR="003F4B44">
        <w:rPr>
          <w:rFonts w:ascii="Arial" w:hAnsi="Arial" w:cs="Arial"/>
          <w:sz w:val="20"/>
          <w:szCs w:val="20"/>
          <w:lang w:val="en-GB"/>
        </w:rPr>
        <w:t>as required by</w:t>
      </w:r>
      <w:r w:rsidR="001B1353" w:rsidRPr="003F4B44">
        <w:rPr>
          <w:rFonts w:ascii="Arial" w:hAnsi="Arial" w:cs="Arial"/>
          <w:sz w:val="20"/>
          <w:szCs w:val="20"/>
          <w:lang w:val="en-GB"/>
        </w:rPr>
        <w:t xml:space="preserve"> R</w:t>
      </w:r>
      <w:r w:rsidR="00063326" w:rsidRPr="003F4B44">
        <w:rPr>
          <w:rFonts w:ascii="Arial" w:hAnsi="Arial" w:cs="Arial"/>
          <w:sz w:val="20"/>
          <w:szCs w:val="20"/>
          <w:lang w:val="en-GB"/>
        </w:rPr>
        <w:t xml:space="preserve">ule </w:t>
      </w:r>
      <w:r w:rsidR="001B1353" w:rsidRPr="003F4B44">
        <w:rPr>
          <w:rFonts w:ascii="Arial" w:hAnsi="Arial" w:cs="Arial"/>
          <w:sz w:val="20"/>
          <w:szCs w:val="20"/>
          <w:lang w:val="en-GB"/>
        </w:rPr>
        <w:t xml:space="preserve">3.7 </w:t>
      </w:r>
      <w:r w:rsidRPr="003F4B44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E85944">
        <w:rPr>
          <w:rFonts w:ascii="Arial" w:hAnsi="Arial" w:cs="Arial"/>
          <w:sz w:val="20"/>
          <w:szCs w:val="20"/>
          <w:lang w:val="en-GB"/>
        </w:rPr>
        <w:t>Hong Kong</w:t>
      </w:r>
      <w:r w:rsidR="003F4B44">
        <w:rPr>
          <w:rFonts w:ascii="Arial" w:hAnsi="Arial" w:cs="Arial"/>
          <w:sz w:val="20"/>
          <w:szCs w:val="20"/>
          <w:lang w:val="en-GB"/>
        </w:rPr>
        <w:t xml:space="preserve"> </w:t>
      </w:r>
      <w:r w:rsidRPr="003F4B44">
        <w:rPr>
          <w:rFonts w:ascii="Arial" w:hAnsi="Arial" w:cs="Arial"/>
          <w:sz w:val="20"/>
          <w:szCs w:val="20"/>
          <w:lang w:val="en-GB"/>
        </w:rPr>
        <w:t>Takeovers Code</w:t>
      </w:r>
      <w:r w:rsidR="00AF41EF" w:rsidRPr="003F4B44">
        <w:rPr>
          <w:rFonts w:ascii="Arial" w:hAnsi="Arial" w:cs="Arial"/>
          <w:sz w:val="20"/>
          <w:szCs w:val="20"/>
          <w:lang w:val="en-GB"/>
        </w:rPr>
        <w:t>;</w:t>
      </w:r>
      <w:r w:rsidRPr="003F4B44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05854" w:rsidRPr="008B3641" w:rsidRDefault="00205854" w:rsidP="001B1353">
      <w:pPr>
        <w:pStyle w:val="a3"/>
        <w:jc w:val="both"/>
        <w:rPr>
          <w:rFonts w:ascii="Arial" w:hAnsi="Arial" w:cs="Arial"/>
          <w:sz w:val="20"/>
          <w:szCs w:val="20"/>
          <w:lang w:val="en-GB"/>
        </w:rPr>
      </w:pPr>
    </w:p>
    <w:p w:rsidR="00205854" w:rsidRPr="00004E02" w:rsidRDefault="00BF14C3" w:rsidP="00004E0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w</w:t>
      </w:r>
      <w:r w:rsidR="003F4B44">
        <w:rPr>
          <w:rFonts w:ascii="Arial" w:hAnsi="Arial" w:cs="Arial"/>
          <w:sz w:val="20"/>
          <w:szCs w:val="20"/>
          <w:lang w:val="en-GB"/>
        </w:rPr>
        <w:t>here the a</w:t>
      </w:r>
      <w:r w:rsidR="00205854" w:rsidRPr="008B3641">
        <w:rPr>
          <w:rFonts w:ascii="Arial" w:hAnsi="Arial" w:cs="Arial"/>
          <w:sz w:val="20"/>
          <w:szCs w:val="20"/>
          <w:lang w:val="en-GB"/>
        </w:rPr>
        <w:t xml:space="preserve">ppointment </w:t>
      </w:r>
      <w:r w:rsidR="003F4B44">
        <w:rPr>
          <w:rFonts w:ascii="Arial" w:hAnsi="Arial" w:cs="Arial"/>
          <w:sz w:val="20"/>
          <w:szCs w:val="20"/>
          <w:lang w:val="en-GB"/>
        </w:rPr>
        <w:t xml:space="preserve">of a receiver or liquidator </w:t>
      </w:r>
      <w:r w:rsidR="00287F82">
        <w:rPr>
          <w:rFonts w:ascii="Arial" w:hAnsi="Arial" w:cs="Arial"/>
          <w:sz w:val="20"/>
          <w:szCs w:val="20"/>
          <w:lang w:val="en-GB"/>
        </w:rPr>
        <w:t>does not initially result in the</w:t>
      </w:r>
      <w:r w:rsidR="00205854" w:rsidRPr="008B3641">
        <w:rPr>
          <w:rFonts w:ascii="Arial" w:hAnsi="Arial" w:cs="Arial"/>
          <w:sz w:val="20"/>
          <w:szCs w:val="20"/>
          <w:lang w:val="en-GB"/>
        </w:rPr>
        <w:t xml:space="preserve"> commencement of an offer period, the receiver or liquidator and any f</w:t>
      </w:r>
      <w:r w:rsidR="00EE38ED" w:rsidRPr="008B3641">
        <w:rPr>
          <w:rFonts w:ascii="Arial" w:hAnsi="Arial" w:cs="Arial"/>
          <w:sz w:val="20"/>
          <w:szCs w:val="20"/>
          <w:lang w:val="en-GB"/>
        </w:rPr>
        <w:t>uture potential purchase</w:t>
      </w:r>
      <w:r w:rsidR="00B341BD" w:rsidRPr="008B3641">
        <w:rPr>
          <w:rFonts w:ascii="Arial" w:hAnsi="Arial" w:cs="Arial"/>
          <w:sz w:val="20"/>
          <w:szCs w:val="20"/>
          <w:lang w:val="en-GB"/>
        </w:rPr>
        <w:t>r</w:t>
      </w:r>
      <w:r w:rsidR="00EE38ED" w:rsidRPr="008B3641">
        <w:rPr>
          <w:rFonts w:ascii="Arial" w:hAnsi="Arial" w:cs="Arial"/>
          <w:sz w:val="20"/>
          <w:szCs w:val="20"/>
          <w:lang w:val="en-GB"/>
        </w:rPr>
        <w:t xml:space="preserve"> should</w:t>
      </w:r>
      <w:r w:rsidR="00287F82">
        <w:rPr>
          <w:rFonts w:ascii="Arial" w:hAnsi="Arial" w:cs="Arial"/>
          <w:sz w:val="20"/>
          <w:szCs w:val="20"/>
          <w:lang w:val="en-GB"/>
        </w:rPr>
        <w:t xml:space="preserve"> </w:t>
      </w:r>
      <w:r w:rsidR="00287F82" w:rsidRPr="008B3641">
        <w:rPr>
          <w:rFonts w:ascii="Arial" w:hAnsi="Arial" w:cs="Arial"/>
          <w:sz w:val="20"/>
          <w:szCs w:val="20"/>
          <w:lang w:val="en-GB"/>
        </w:rPr>
        <w:t>take all necessary steps</w:t>
      </w:r>
      <w:r w:rsidR="00004E02">
        <w:rPr>
          <w:rFonts w:ascii="Arial" w:hAnsi="Arial" w:cs="Arial"/>
          <w:sz w:val="20"/>
          <w:szCs w:val="20"/>
          <w:lang w:val="en-GB"/>
        </w:rPr>
        <w:t xml:space="preserve"> to </w:t>
      </w:r>
      <w:r w:rsidR="00205854" w:rsidRPr="00004E02">
        <w:rPr>
          <w:rFonts w:ascii="Arial" w:hAnsi="Arial" w:cs="Arial"/>
          <w:sz w:val="20"/>
          <w:szCs w:val="20"/>
          <w:lang w:val="en-GB"/>
        </w:rPr>
        <w:t>maintain confidentiality of information relating to a poss</w:t>
      </w:r>
      <w:r w:rsidR="00B341BD" w:rsidRPr="00004E02">
        <w:rPr>
          <w:rFonts w:ascii="Arial" w:hAnsi="Arial" w:cs="Arial"/>
          <w:sz w:val="20"/>
          <w:szCs w:val="20"/>
          <w:lang w:val="en-GB"/>
        </w:rPr>
        <w:t>ible offer</w:t>
      </w:r>
      <w:r w:rsidR="00287F82" w:rsidRPr="00004E02">
        <w:rPr>
          <w:rFonts w:ascii="Arial" w:hAnsi="Arial" w:cs="Arial"/>
          <w:sz w:val="20"/>
          <w:szCs w:val="20"/>
          <w:lang w:val="en-GB"/>
        </w:rPr>
        <w:t xml:space="preserve"> (e.g. negotiations relating to the disposal of the controlling stake)</w:t>
      </w:r>
      <w:r w:rsidR="00B341BD" w:rsidRPr="00004E02">
        <w:rPr>
          <w:rFonts w:ascii="Arial" w:hAnsi="Arial" w:cs="Arial"/>
          <w:sz w:val="20"/>
          <w:szCs w:val="20"/>
          <w:lang w:val="en-GB"/>
        </w:rPr>
        <w:t xml:space="preserve"> and</w:t>
      </w:r>
      <w:r w:rsidR="00004E02">
        <w:rPr>
          <w:rFonts w:ascii="Arial" w:hAnsi="Arial" w:cs="Arial"/>
          <w:sz w:val="20"/>
          <w:szCs w:val="20"/>
          <w:lang w:val="en-GB"/>
        </w:rPr>
        <w:t xml:space="preserve"> </w:t>
      </w:r>
      <w:r w:rsidR="00EE38ED" w:rsidRPr="00004E02">
        <w:rPr>
          <w:rFonts w:ascii="Arial" w:hAnsi="Arial" w:cs="Arial"/>
          <w:sz w:val="20"/>
          <w:szCs w:val="20"/>
          <w:lang w:val="en-GB"/>
        </w:rPr>
        <w:t>e</w:t>
      </w:r>
      <w:r w:rsidR="00205854" w:rsidRPr="00004E02">
        <w:rPr>
          <w:rFonts w:ascii="Arial" w:hAnsi="Arial" w:cs="Arial"/>
          <w:sz w:val="20"/>
          <w:szCs w:val="20"/>
          <w:lang w:val="en-GB"/>
        </w:rPr>
        <w:t xml:space="preserve">nsure there is no leakage of information as </w:t>
      </w:r>
      <w:r w:rsidR="00004E02" w:rsidRPr="00004E02">
        <w:rPr>
          <w:rFonts w:ascii="Arial" w:hAnsi="Arial" w:cs="Arial"/>
          <w:sz w:val="20"/>
          <w:szCs w:val="20"/>
          <w:lang w:val="en-GB"/>
        </w:rPr>
        <w:t xml:space="preserve">required </w:t>
      </w:r>
      <w:r w:rsidR="00004E02">
        <w:rPr>
          <w:rFonts w:ascii="Arial" w:hAnsi="Arial" w:cs="Arial"/>
          <w:sz w:val="20"/>
          <w:szCs w:val="20"/>
          <w:lang w:val="en-GB"/>
        </w:rPr>
        <w:t>by</w:t>
      </w:r>
      <w:r w:rsidR="00205854" w:rsidRPr="00004E02">
        <w:rPr>
          <w:rFonts w:ascii="Arial" w:hAnsi="Arial" w:cs="Arial"/>
          <w:sz w:val="20"/>
          <w:szCs w:val="20"/>
          <w:lang w:val="en-GB"/>
        </w:rPr>
        <w:t xml:space="preserve"> Rule 1.4 of the </w:t>
      </w:r>
      <w:r w:rsidR="00E85944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205854" w:rsidRPr="00004E02">
        <w:rPr>
          <w:rFonts w:ascii="Arial" w:hAnsi="Arial" w:cs="Arial"/>
          <w:sz w:val="20"/>
          <w:szCs w:val="20"/>
          <w:lang w:val="en-GB"/>
        </w:rPr>
        <w:t>Takeovers Code</w:t>
      </w:r>
      <w:r w:rsidR="0048513C" w:rsidRPr="00004E02">
        <w:rPr>
          <w:rFonts w:ascii="Arial" w:hAnsi="Arial" w:cs="Arial"/>
          <w:sz w:val="20"/>
          <w:szCs w:val="20"/>
          <w:lang w:val="en-GB"/>
        </w:rPr>
        <w:t xml:space="preserve">. </w:t>
      </w:r>
      <w:r w:rsidR="00004E02">
        <w:rPr>
          <w:rFonts w:ascii="Arial" w:hAnsi="Arial" w:cs="Arial"/>
          <w:sz w:val="20"/>
          <w:szCs w:val="20"/>
          <w:lang w:val="en-GB"/>
        </w:rPr>
        <w:t>Under Rule 1.4,</w:t>
      </w:r>
      <w:r w:rsidR="00EE38ED" w:rsidRPr="00004E02">
        <w:rPr>
          <w:rFonts w:ascii="Arial" w:hAnsi="Arial" w:cs="Arial"/>
          <w:sz w:val="20"/>
          <w:szCs w:val="20"/>
          <w:lang w:val="en-GB"/>
        </w:rPr>
        <w:t xml:space="preserve"> all persons privy to confidential information, and particularly </w:t>
      </w:r>
      <w:r w:rsidR="00004E02">
        <w:rPr>
          <w:rFonts w:ascii="Arial" w:hAnsi="Arial" w:cs="Arial"/>
          <w:sz w:val="20"/>
          <w:szCs w:val="20"/>
          <w:lang w:val="en-GB"/>
        </w:rPr>
        <w:t>price-</w:t>
      </w:r>
      <w:r w:rsidR="00132435" w:rsidRPr="00004E02">
        <w:rPr>
          <w:rFonts w:ascii="Arial" w:hAnsi="Arial" w:cs="Arial"/>
          <w:sz w:val="20"/>
          <w:szCs w:val="20"/>
          <w:lang w:val="en-GB"/>
        </w:rPr>
        <w:t>sensitive information</w:t>
      </w:r>
      <w:r w:rsidR="00EE38ED" w:rsidRPr="00004E02">
        <w:rPr>
          <w:rFonts w:ascii="Arial" w:hAnsi="Arial" w:cs="Arial"/>
          <w:sz w:val="20"/>
          <w:szCs w:val="20"/>
          <w:lang w:val="en-GB"/>
        </w:rPr>
        <w:t xml:space="preserve">, concerning an offer or contemplated offer must treat that information as </w:t>
      </w:r>
      <w:r w:rsidR="00132435" w:rsidRPr="00004E02">
        <w:rPr>
          <w:rFonts w:ascii="Arial" w:hAnsi="Arial" w:cs="Arial"/>
          <w:sz w:val="20"/>
          <w:szCs w:val="20"/>
          <w:lang w:val="en-GB"/>
        </w:rPr>
        <w:t>secret</w:t>
      </w:r>
      <w:r w:rsidR="00EE38ED" w:rsidRPr="00004E02">
        <w:rPr>
          <w:rFonts w:ascii="Arial" w:hAnsi="Arial" w:cs="Arial"/>
          <w:sz w:val="20"/>
          <w:szCs w:val="20"/>
          <w:lang w:val="en-GB"/>
        </w:rPr>
        <w:t xml:space="preserve"> and may only pass it to another person if it is necessary to do so and if the other person understands the need for </w:t>
      </w:r>
      <w:r w:rsidR="00004E02">
        <w:rPr>
          <w:rFonts w:ascii="Arial" w:hAnsi="Arial" w:cs="Arial"/>
          <w:sz w:val="20"/>
          <w:szCs w:val="20"/>
          <w:lang w:val="en-GB"/>
        </w:rPr>
        <w:t>secrecy. An</w:t>
      </w:r>
      <w:r w:rsidR="00205854" w:rsidRPr="00004E02">
        <w:rPr>
          <w:rFonts w:ascii="Arial" w:hAnsi="Arial" w:cs="Arial"/>
          <w:sz w:val="20"/>
          <w:szCs w:val="20"/>
          <w:lang w:val="en-GB"/>
        </w:rPr>
        <w:t xml:space="preserve"> offer p</w:t>
      </w:r>
      <w:r w:rsidR="00004E02">
        <w:rPr>
          <w:rFonts w:ascii="Arial" w:hAnsi="Arial" w:cs="Arial"/>
          <w:sz w:val="20"/>
          <w:szCs w:val="20"/>
          <w:lang w:val="en-GB"/>
        </w:rPr>
        <w:t>eriod will thus only commence on the publication of</w:t>
      </w:r>
      <w:r w:rsidR="00205854" w:rsidRPr="00004E02">
        <w:rPr>
          <w:rFonts w:ascii="Arial" w:hAnsi="Arial" w:cs="Arial"/>
          <w:sz w:val="20"/>
          <w:szCs w:val="20"/>
          <w:lang w:val="en-GB"/>
        </w:rPr>
        <w:t xml:space="preserve">: </w:t>
      </w:r>
    </w:p>
    <w:p w:rsidR="00B341BD" w:rsidRPr="008B3641" w:rsidRDefault="00B341BD" w:rsidP="00B341BD">
      <w:pPr>
        <w:pStyle w:val="a3"/>
        <w:jc w:val="both"/>
        <w:rPr>
          <w:rFonts w:ascii="Arial" w:hAnsi="Arial" w:cs="Arial"/>
          <w:sz w:val="10"/>
          <w:szCs w:val="10"/>
          <w:lang w:val="en-GB"/>
        </w:rPr>
      </w:pPr>
    </w:p>
    <w:p w:rsidR="00205854" w:rsidRDefault="00004E02" w:rsidP="00B341B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an </w:t>
      </w:r>
      <w:r w:rsidR="00205854" w:rsidRPr="008B3641">
        <w:rPr>
          <w:rFonts w:ascii="Arial" w:hAnsi="Arial" w:cs="Arial"/>
          <w:sz w:val="20"/>
          <w:szCs w:val="20"/>
          <w:lang w:val="en-GB"/>
        </w:rPr>
        <w:t xml:space="preserve">announcement </w:t>
      </w:r>
      <w:r>
        <w:rPr>
          <w:rFonts w:ascii="Arial" w:hAnsi="Arial" w:cs="Arial"/>
          <w:sz w:val="20"/>
          <w:szCs w:val="20"/>
          <w:lang w:val="en-GB"/>
        </w:rPr>
        <w:t xml:space="preserve">of a firm intention to make an offer </w:t>
      </w:r>
      <w:r w:rsidR="00205854" w:rsidRPr="008B3641">
        <w:rPr>
          <w:rFonts w:ascii="Arial" w:hAnsi="Arial" w:cs="Arial"/>
          <w:sz w:val="20"/>
          <w:szCs w:val="20"/>
          <w:lang w:val="en-GB"/>
        </w:rPr>
        <w:t>under Rule 3.5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of the </w:t>
      </w:r>
      <w:r w:rsidR="00E85944">
        <w:rPr>
          <w:rFonts w:ascii="Arial" w:hAnsi="Arial" w:cs="Arial"/>
          <w:sz w:val="20"/>
          <w:szCs w:val="20"/>
          <w:lang w:val="en-GB"/>
        </w:rPr>
        <w:t>Hong Kong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70570" w:rsidRPr="008B3641">
        <w:rPr>
          <w:rFonts w:ascii="Arial" w:hAnsi="Arial" w:cs="Arial"/>
          <w:sz w:val="20"/>
          <w:szCs w:val="20"/>
          <w:lang w:val="en-GB"/>
        </w:rPr>
        <w:t>Takeover</w:t>
      </w:r>
      <w:r w:rsidR="00B341BD" w:rsidRPr="008B3641">
        <w:rPr>
          <w:rFonts w:ascii="Arial" w:hAnsi="Arial" w:cs="Arial"/>
          <w:sz w:val="20"/>
          <w:szCs w:val="20"/>
          <w:lang w:val="en-GB"/>
        </w:rPr>
        <w:t>s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Code</w:t>
      </w:r>
      <w:r w:rsidR="00132435" w:rsidRPr="008B3641">
        <w:rPr>
          <w:rFonts w:ascii="Arial" w:hAnsi="Arial" w:cs="Arial"/>
          <w:sz w:val="20"/>
          <w:szCs w:val="20"/>
          <w:lang w:val="en-GB"/>
        </w:rPr>
        <w:t>;</w:t>
      </w:r>
      <w:r w:rsidR="00205854" w:rsidRPr="008B3641">
        <w:rPr>
          <w:rFonts w:ascii="Arial" w:hAnsi="Arial" w:cs="Arial"/>
          <w:sz w:val="20"/>
          <w:szCs w:val="20"/>
          <w:lang w:val="en-GB"/>
        </w:rPr>
        <w:t xml:space="preserve"> or </w:t>
      </w:r>
    </w:p>
    <w:p w:rsidR="00004E02" w:rsidRPr="008B3641" w:rsidRDefault="00004E02" w:rsidP="00004E02">
      <w:pPr>
        <w:pStyle w:val="a3"/>
        <w:ind w:left="1440"/>
        <w:jc w:val="both"/>
        <w:rPr>
          <w:rFonts w:ascii="Arial" w:hAnsi="Arial" w:cs="Arial"/>
          <w:sz w:val="20"/>
          <w:szCs w:val="20"/>
          <w:lang w:val="en-GB"/>
        </w:rPr>
      </w:pPr>
    </w:p>
    <w:p w:rsidR="00205854" w:rsidRPr="008B3641" w:rsidRDefault="00AF41EF" w:rsidP="00B341B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a “talks”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announcement under Rule 3.7 of the </w:t>
      </w:r>
      <w:r w:rsidR="00E85944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770570" w:rsidRPr="008B3641">
        <w:rPr>
          <w:rFonts w:ascii="Arial" w:hAnsi="Arial" w:cs="Arial"/>
          <w:sz w:val="20"/>
          <w:szCs w:val="20"/>
          <w:lang w:val="en-GB"/>
        </w:rPr>
        <w:t>Takeover</w:t>
      </w:r>
      <w:r w:rsidR="00406551" w:rsidRPr="008B3641">
        <w:rPr>
          <w:rFonts w:ascii="Arial" w:hAnsi="Arial" w:cs="Arial"/>
          <w:sz w:val="20"/>
          <w:szCs w:val="20"/>
          <w:lang w:val="en-GB"/>
        </w:rPr>
        <w:t>s</w:t>
      </w:r>
      <w:r w:rsidR="00C26A7E">
        <w:rPr>
          <w:rFonts w:ascii="Arial" w:hAnsi="Arial" w:cs="Arial"/>
          <w:sz w:val="20"/>
          <w:szCs w:val="20"/>
          <w:lang w:val="en-GB"/>
        </w:rPr>
        <w:t xml:space="preserve"> Code.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 w:rsidR="00C26A7E">
        <w:rPr>
          <w:rFonts w:ascii="Arial" w:hAnsi="Arial" w:cs="Arial"/>
          <w:sz w:val="20"/>
          <w:szCs w:val="20"/>
          <w:lang w:val="en-GB"/>
        </w:rPr>
        <w:t xml:space="preserve">This should only be issued if an obligation to issue an announcement has arisen under </w:t>
      </w:r>
      <w:r w:rsidR="00B341BD" w:rsidRPr="008B3641">
        <w:rPr>
          <w:rFonts w:ascii="Arial" w:hAnsi="Arial" w:cs="Arial"/>
          <w:sz w:val="20"/>
          <w:szCs w:val="20"/>
          <w:lang w:val="en-GB"/>
        </w:rPr>
        <w:t>Rule 3.1</w:t>
      </w:r>
      <w:r w:rsidR="00770570" w:rsidRPr="008B3641">
        <w:rPr>
          <w:rFonts w:ascii="Arial" w:hAnsi="Arial" w:cs="Arial"/>
          <w:sz w:val="20"/>
          <w:szCs w:val="20"/>
          <w:lang w:val="en-GB"/>
        </w:rPr>
        <w:t>, Rule 3.2 o</w:t>
      </w:r>
      <w:r w:rsidR="00132435" w:rsidRPr="008B3641">
        <w:rPr>
          <w:rFonts w:ascii="Arial" w:hAnsi="Arial" w:cs="Arial"/>
          <w:sz w:val="20"/>
          <w:szCs w:val="20"/>
          <w:lang w:val="en-GB"/>
        </w:rPr>
        <w:t xml:space="preserve">r Rule 3.3 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of the </w:t>
      </w:r>
      <w:r w:rsidR="00E85944">
        <w:rPr>
          <w:rFonts w:ascii="Arial" w:hAnsi="Arial" w:cs="Arial"/>
          <w:sz w:val="20"/>
          <w:szCs w:val="20"/>
          <w:lang w:val="en-GB"/>
        </w:rPr>
        <w:t xml:space="preserve">Hong Kong </w:t>
      </w:r>
      <w:r w:rsidR="00770570" w:rsidRPr="008B3641">
        <w:rPr>
          <w:rFonts w:ascii="Arial" w:hAnsi="Arial" w:cs="Arial"/>
          <w:sz w:val="20"/>
          <w:szCs w:val="20"/>
          <w:lang w:val="en-GB"/>
        </w:rPr>
        <w:t>Takeover</w:t>
      </w:r>
      <w:r w:rsidR="00B341BD" w:rsidRPr="008B3641">
        <w:rPr>
          <w:rFonts w:ascii="Arial" w:hAnsi="Arial" w:cs="Arial"/>
          <w:sz w:val="20"/>
          <w:szCs w:val="20"/>
          <w:lang w:val="en-GB"/>
        </w:rPr>
        <w:t>s Cod</w:t>
      </w:r>
      <w:r w:rsidRPr="008B3641">
        <w:rPr>
          <w:rFonts w:ascii="Arial" w:hAnsi="Arial" w:cs="Arial"/>
          <w:sz w:val="20"/>
          <w:szCs w:val="20"/>
          <w:lang w:val="en-GB"/>
        </w:rPr>
        <w:t>e</w:t>
      </w:r>
      <w:r w:rsidR="0048513C">
        <w:rPr>
          <w:rFonts w:ascii="Arial" w:hAnsi="Arial" w:cs="Arial"/>
          <w:sz w:val="20"/>
          <w:szCs w:val="20"/>
          <w:lang w:val="en-GB"/>
        </w:rPr>
        <w:t xml:space="preserve">, </w:t>
      </w:r>
      <w:r w:rsidR="00063326" w:rsidRPr="008B3641">
        <w:rPr>
          <w:rFonts w:ascii="Arial" w:hAnsi="Arial" w:cs="Arial"/>
          <w:sz w:val="20"/>
          <w:szCs w:val="20"/>
          <w:lang w:val="en-GB"/>
        </w:rPr>
        <w:t>f</w:t>
      </w:r>
      <w:r w:rsidR="0048513C">
        <w:rPr>
          <w:rFonts w:ascii="Arial" w:hAnsi="Arial" w:cs="Arial"/>
          <w:sz w:val="20"/>
          <w:szCs w:val="20"/>
          <w:lang w:val="en-GB"/>
        </w:rPr>
        <w:t>or instance</w:t>
      </w:r>
      <w:r w:rsidR="00706B9C">
        <w:rPr>
          <w:rFonts w:ascii="Arial" w:hAnsi="Arial" w:cs="Arial"/>
          <w:sz w:val="20"/>
          <w:szCs w:val="20"/>
          <w:lang w:val="en-GB"/>
        </w:rPr>
        <w:t xml:space="preserve"> where the offeree company is the subject of</w:t>
      </w:r>
      <w:r w:rsidR="00A91A29" w:rsidRPr="008B3641">
        <w:rPr>
          <w:rFonts w:ascii="Arial" w:hAnsi="Arial" w:cs="Arial"/>
          <w:sz w:val="20"/>
          <w:szCs w:val="20"/>
          <w:lang w:val="en-GB"/>
        </w:rPr>
        <w:t xml:space="preserve"> a </w:t>
      </w:r>
      <w:r w:rsidR="008B3641" w:rsidRPr="008B3641">
        <w:rPr>
          <w:rFonts w:ascii="Arial" w:hAnsi="Arial" w:cs="Arial"/>
          <w:sz w:val="20"/>
          <w:szCs w:val="20"/>
          <w:lang w:val="en-GB"/>
        </w:rPr>
        <w:t>rumour</w:t>
      </w:r>
      <w:r w:rsidR="00A91A29" w:rsidRPr="008B3641">
        <w:rPr>
          <w:rFonts w:ascii="Arial" w:hAnsi="Arial" w:cs="Arial"/>
          <w:sz w:val="20"/>
          <w:szCs w:val="20"/>
          <w:lang w:val="en-GB"/>
        </w:rPr>
        <w:t xml:space="preserve"> or speculation about a possible offer or</w:t>
      </w:r>
      <w:r w:rsidR="00706B9C">
        <w:rPr>
          <w:rFonts w:ascii="Arial" w:hAnsi="Arial" w:cs="Arial"/>
          <w:sz w:val="20"/>
          <w:szCs w:val="20"/>
          <w:lang w:val="en-GB"/>
        </w:rPr>
        <w:t xml:space="preserve"> there is </w:t>
      </w:r>
      <w:r w:rsidR="00A91A29" w:rsidRPr="008B3641">
        <w:rPr>
          <w:rFonts w:ascii="Arial" w:hAnsi="Arial" w:cs="Arial"/>
          <w:sz w:val="20"/>
          <w:szCs w:val="20"/>
          <w:lang w:val="en-GB"/>
        </w:rPr>
        <w:t xml:space="preserve">undue movement in </w:t>
      </w:r>
      <w:r w:rsidR="00C273C2">
        <w:rPr>
          <w:rFonts w:ascii="Arial" w:hAnsi="Arial" w:cs="Arial"/>
          <w:sz w:val="20"/>
          <w:szCs w:val="20"/>
          <w:lang w:val="en-GB"/>
        </w:rPr>
        <w:t xml:space="preserve">its </w:t>
      </w:r>
      <w:r w:rsidR="00A91A29" w:rsidRPr="008B3641">
        <w:rPr>
          <w:rFonts w:ascii="Arial" w:hAnsi="Arial" w:cs="Arial"/>
          <w:sz w:val="20"/>
          <w:szCs w:val="20"/>
          <w:lang w:val="en-GB"/>
        </w:rPr>
        <w:t>share price</w:t>
      </w:r>
      <w:r w:rsidR="00A91A29" w:rsidRPr="008B3641">
        <w:rPr>
          <w:rStyle w:val="a6"/>
          <w:rFonts w:ascii="Arial" w:hAnsi="Arial" w:cs="Arial"/>
          <w:sz w:val="20"/>
          <w:szCs w:val="20"/>
          <w:lang w:val="en-GB"/>
        </w:rPr>
        <w:footnoteReference w:id="1"/>
      </w:r>
      <w:r w:rsidR="00063326" w:rsidRPr="008B3641">
        <w:rPr>
          <w:rFonts w:ascii="Arial" w:hAnsi="Arial" w:cs="Arial"/>
          <w:sz w:val="20"/>
          <w:szCs w:val="20"/>
          <w:lang w:val="en-GB"/>
        </w:rPr>
        <w:t>)</w:t>
      </w:r>
      <w:r w:rsidR="00B341BD" w:rsidRPr="008B3641">
        <w:rPr>
          <w:rFonts w:ascii="Arial" w:hAnsi="Arial" w:cs="Arial"/>
          <w:sz w:val="20"/>
          <w:szCs w:val="20"/>
          <w:lang w:val="en-GB"/>
        </w:rPr>
        <w:t xml:space="preserve">; and 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770570" w:rsidRPr="008B3641" w:rsidRDefault="00770570" w:rsidP="00770570">
      <w:pPr>
        <w:pStyle w:val="a3"/>
        <w:jc w:val="both"/>
        <w:rPr>
          <w:rFonts w:ascii="Arial" w:hAnsi="Arial" w:cs="Arial"/>
          <w:sz w:val="20"/>
          <w:szCs w:val="20"/>
          <w:lang w:val="en-GB"/>
        </w:rPr>
      </w:pPr>
    </w:p>
    <w:p w:rsidR="00770570" w:rsidRPr="008B3641" w:rsidRDefault="00B341BD" w:rsidP="00770570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8B3641">
        <w:rPr>
          <w:rFonts w:ascii="Arial" w:hAnsi="Arial" w:cs="Arial"/>
          <w:sz w:val="20"/>
          <w:szCs w:val="20"/>
          <w:lang w:val="en-GB"/>
        </w:rPr>
        <w:t>w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here the offer period has been open for some time following </w:t>
      </w:r>
      <w:r w:rsidR="00512724">
        <w:rPr>
          <w:rFonts w:ascii="Arial" w:hAnsi="Arial" w:cs="Arial"/>
          <w:sz w:val="20"/>
          <w:szCs w:val="20"/>
          <w:lang w:val="en-GB"/>
        </w:rPr>
        <w:t xml:space="preserve">the appointment of a receiver or liquidator, 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and the offeree company believes </w:t>
      </w:r>
      <w:r w:rsidR="00512724">
        <w:rPr>
          <w:rFonts w:ascii="Arial" w:hAnsi="Arial" w:cs="Arial"/>
          <w:sz w:val="20"/>
          <w:szCs w:val="20"/>
          <w:lang w:val="en-GB"/>
        </w:rPr>
        <w:t xml:space="preserve">that </w:t>
      </w:r>
      <w:r w:rsidR="00770570" w:rsidRPr="008B3641">
        <w:rPr>
          <w:rFonts w:ascii="Arial" w:hAnsi="Arial" w:cs="Arial"/>
          <w:sz w:val="20"/>
          <w:szCs w:val="20"/>
          <w:lang w:val="en-GB"/>
        </w:rPr>
        <w:t>it</w:t>
      </w:r>
      <w:r w:rsidR="00AF41EF" w:rsidRPr="008B3641">
        <w:rPr>
          <w:rFonts w:ascii="Arial" w:hAnsi="Arial" w:cs="Arial"/>
          <w:sz w:val="20"/>
          <w:szCs w:val="20"/>
          <w:lang w:val="en-GB"/>
        </w:rPr>
        <w:t xml:space="preserve"> i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s unlikely </w:t>
      </w:r>
      <w:r w:rsidR="00512724">
        <w:rPr>
          <w:rFonts w:ascii="Arial" w:hAnsi="Arial" w:cs="Arial"/>
          <w:sz w:val="20"/>
          <w:szCs w:val="20"/>
          <w:lang w:val="en-GB"/>
        </w:rPr>
        <w:t>that an offer will be made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imminent</w:t>
      </w:r>
      <w:r w:rsidR="00512724">
        <w:rPr>
          <w:rFonts w:ascii="Arial" w:hAnsi="Arial" w:cs="Arial"/>
          <w:sz w:val="20"/>
          <w:szCs w:val="20"/>
          <w:lang w:val="en-GB"/>
        </w:rPr>
        <w:t>ly</w:t>
      </w:r>
      <w:r w:rsidR="00406551" w:rsidRPr="008B3641">
        <w:rPr>
          <w:rFonts w:ascii="Arial" w:hAnsi="Arial" w:cs="Arial"/>
          <w:sz w:val="20"/>
          <w:szCs w:val="20"/>
          <w:lang w:val="en-GB"/>
        </w:rPr>
        <w:t>,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it is encouraged to consult with the Executive to end the offer period</w:t>
      </w:r>
      <w:r w:rsidR="00AF41EF" w:rsidRPr="008B3641">
        <w:rPr>
          <w:rFonts w:ascii="Arial" w:hAnsi="Arial" w:cs="Arial"/>
          <w:sz w:val="20"/>
          <w:szCs w:val="20"/>
          <w:lang w:val="en-GB"/>
        </w:rPr>
        <w:t>.</w:t>
      </w:r>
    </w:p>
    <w:p w:rsidR="001B1353" w:rsidRPr="008B3641" w:rsidRDefault="001B1353" w:rsidP="00205854">
      <w:pPr>
        <w:pStyle w:val="a3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770570" w:rsidRDefault="00512724" w:rsidP="00770570">
      <w:pPr>
        <w:pStyle w:val="a3"/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770570" w:rsidRPr="008B3641">
        <w:rPr>
          <w:rFonts w:ascii="Arial" w:hAnsi="Arial" w:cs="Arial"/>
          <w:sz w:val="20"/>
          <w:szCs w:val="20"/>
          <w:lang w:val="en-GB"/>
        </w:rPr>
        <w:t>Practice</w:t>
      </w:r>
      <w:r w:rsidR="00AF41EF" w:rsidRPr="008B3641">
        <w:rPr>
          <w:rFonts w:ascii="Arial" w:hAnsi="Arial" w:cs="Arial"/>
          <w:sz w:val="20"/>
          <w:szCs w:val="20"/>
          <w:lang w:val="en-GB"/>
        </w:rPr>
        <w:t xml:space="preserve"> Note will not affect a</w:t>
      </w:r>
      <w:r>
        <w:rPr>
          <w:rFonts w:ascii="Arial" w:hAnsi="Arial" w:cs="Arial"/>
          <w:sz w:val="20"/>
          <w:szCs w:val="20"/>
          <w:lang w:val="en-GB"/>
        </w:rPr>
        <w:t xml:space="preserve"> party’s obligation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to disclos</w:t>
      </w:r>
      <w:r w:rsidR="00770570" w:rsidRPr="008B3641">
        <w:rPr>
          <w:rFonts w:ascii="Arial" w:hAnsi="Arial" w:cs="Arial"/>
          <w:sz w:val="20"/>
          <w:szCs w:val="20"/>
          <w:lang w:val="en-GB"/>
        </w:rPr>
        <w:t xml:space="preserve">e </w:t>
      </w:r>
      <w:r>
        <w:rPr>
          <w:rFonts w:ascii="Arial" w:hAnsi="Arial" w:cs="Arial"/>
          <w:sz w:val="20"/>
          <w:szCs w:val="20"/>
          <w:lang w:val="en-GB"/>
        </w:rPr>
        <w:t xml:space="preserve">information which is </w:t>
      </w:r>
      <w:r w:rsidR="00770570" w:rsidRPr="008B3641">
        <w:rPr>
          <w:rFonts w:ascii="Arial" w:hAnsi="Arial" w:cs="Arial"/>
          <w:sz w:val="20"/>
          <w:szCs w:val="20"/>
          <w:lang w:val="en-GB"/>
        </w:rPr>
        <w:t>inside informa</w:t>
      </w:r>
      <w:r w:rsidR="00B72462" w:rsidRPr="008B3641">
        <w:rPr>
          <w:rFonts w:ascii="Arial" w:hAnsi="Arial" w:cs="Arial"/>
          <w:sz w:val="20"/>
          <w:szCs w:val="20"/>
          <w:lang w:val="en-GB"/>
        </w:rPr>
        <w:t>tion under Pa</w:t>
      </w:r>
      <w:r w:rsidR="003C7DC8">
        <w:rPr>
          <w:rFonts w:ascii="Arial" w:hAnsi="Arial" w:cs="Arial"/>
          <w:sz w:val="20"/>
          <w:szCs w:val="20"/>
          <w:lang w:val="en-GB"/>
        </w:rPr>
        <w:t>rt XIVA of Hong Kong’s</w:t>
      </w:r>
      <w:r w:rsidR="00132435" w:rsidRPr="008B3641">
        <w:rPr>
          <w:rFonts w:ascii="Arial" w:hAnsi="Arial" w:cs="Arial"/>
          <w:sz w:val="20"/>
          <w:szCs w:val="20"/>
          <w:lang w:val="en-GB"/>
        </w:rPr>
        <w:t xml:space="preserve"> S</w:t>
      </w:r>
      <w:r w:rsidR="007569C2">
        <w:rPr>
          <w:rFonts w:ascii="Arial" w:hAnsi="Arial" w:cs="Arial"/>
          <w:sz w:val="20"/>
          <w:szCs w:val="20"/>
          <w:lang w:val="en-GB"/>
        </w:rPr>
        <w:t xml:space="preserve">ecurities and </w:t>
      </w:r>
      <w:r w:rsidR="00132435" w:rsidRPr="008B3641">
        <w:rPr>
          <w:rFonts w:ascii="Arial" w:hAnsi="Arial" w:cs="Arial"/>
          <w:sz w:val="20"/>
          <w:szCs w:val="20"/>
          <w:lang w:val="en-GB"/>
        </w:rPr>
        <w:t>F</w:t>
      </w:r>
      <w:r w:rsidR="007569C2">
        <w:rPr>
          <w:rFonts w:ascii="Arial" w:hAnsi="Arial" w:cs="Arial"/>
          <w:sz w:val="20"/>
          <w:szCs w:val="20"/>
          <w:lang w:val="en-GB"/>
        </w:rPr>
        <w:t xml:space="preserve">utures </w:t>
      </w:r>
      <w:r w:rsidR="00132435" w:rsidRPr="008B3641">
        <w:rPr>
          <w:rFonts w:ascii="Arial" w:hAnsi="Arial" w:cs="Arial"/>
          <w:sz w:val="20"/>
          <w:szCs w:val="20"/>
          <w:lang w:val="en-GB"/>
        </w:rPr>
        <w:t>O</w:t>
      </w:r>
      <w:r w:rsidR="007569C2">
        <w:rPr>
          <w:rFonts w:ascii="Arial" w:hAnsi="Arial" w:cs="Arial"/>
          <w:sz w:val="20"/>
          <w:szCs w:val="20"/>
          <w:lang w:val="en-GB"/>
        </w:rPr>
        <w:t>rdinance</w:t>
      </w:r>
      <w:r w:rsidR="00132435" w:rsidRPr="008B3641"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0A1536" w:rsidRPr="00A41F57" w:rsidRDefault="000A1536" w:rsidP="000A1536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0A1536" w:rsidRPr="00F05494" w:rsidRDefault="000A1536" w:rsidP="000A1536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0A1536" w:rsidRPr="00F05494" w:rsidRDefault="000A1536" w:rsidP="000A1536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0A1536" w:rsidRPr="00F05494" w:rsidRDefault="000A1536" w:rsidP="000A1536">
      <w:pPr>
        <w:pStyle w:val="Disclaimer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0A1536" w:rsidRPr="00F05494" w:rsidRDefault="000A1536" w:rsidP="000A1536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1">
        <w:r w:rsidRPr="00F05494">
          <w:rPr>
            <w:rFonts w:ascii="Helvetica" w:hAnsi="Helvetica"/>
          </w:rPr>
          <w:t>unsubscribe@charltonslaw.com</w:t>
        </w:r>
      </w:hyperlink>
    </w:p>
    <w:p w:rsidR="000A1536" w:rsidRPr="000A1536" w:rsidRDefault="000A1536" w:rsidP="000A1536">
      <w:pPr>
        <w:pStyle w:val="BlackStrips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01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December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sectPr w:rsidR="000A1536" w:rsidRPr="000A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585" w:rsidRDefault="000F7585" w:rsidP="00932390">
      <w:pPr>
        <w:spacing w:after="0" w:line="240" w:lineRule="auto"/>
      </w:pPr>
      <w:r>
        <w:separator/>
      </w:r>
    </w:p>
  </w:endnote>
  <w:endnote w:type="continuationSeparator" w:id="0">
    <w:p w:rsidR="000F7585" w:rsidRDefault="000F7585" w:rsidP="0093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585" w:rsidRDefault="000F7585" w:rsidP="00932390">
      <w:pPr>
        <w:spacing w:after="0" w:line="240" w:lineRule="auto"/>
      </w:pPr>
      <w:r>
        <w:separator/>
      </w:r>
    </w:p>
  </w:footnote>
  <w:footnote w:type="continuationSeparator" w:id="0">
    <w:p w:rsidR="000F7585" w:rsidRDefault="000F7585" w:rsidP="00932390">
      <w:pPr>
        <w:spacing w:after="0" w:line="240" w:lineRule="auto"/>
      </w:pPr>
      <w:r>
        <w:continuationSeparator/>
      </w:r>
    </w:p>
  </w:footnote>
  <w:footnote w:id="1">
    <w:p w:rsidR="00A91A29" w:rsidRPr="00A91A29" w:rsidRDefault="00A91A29">
      <w:pPr>
        <w:pStyle w:val="a4"/>
        <w:rPr>
          <w:i/>
        </w:rPr>
      </w:pPr>
      <w:r>
        <w:rPr>
          <w:rStyle w:val="a6"/>
        </w:rPr>
        <w:footnoteRef/>
      </w:r>
      <w:r>
        <w:t xml:space="preserve"> Rule 3.2(b)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25D2"/>
    <w:multiLevelType w:val="hybridMultilevel"/>
    <w:tmpl w:val="EB282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30E1"/>
    <w:multiLevelType w:val="hybridMultilevel"/>
    <w:tmpl w:val="E9C2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2441"/>
    <w:multiLevelType w:val="hybridMultilevel"/>
    <w:tmpl w:val="F02ED518"/>
    <w:lvl w:ilvl="0" w:tplc="707823F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87261F"/>
    <w:multiLevelType w:val="hybridMultilevel"/>
    <w:tmpl w:val="8EC25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07823F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25CF2"/>
    <w:multiLevelType w:val="hybridMultilevel"/>
    <w:tmpl w:val="ED34A5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136449">
    <w:abstractNumId w:val="1"/>
  </w:num>
  <w:num w:numId="2" w16cid:durableId="1594318758">
    <w:abstractNumId w:val="0"/>
  </w:num>
  <w:num w:numId="3" w16cid:durableId="2053770874">
    <w:abstractNumId w:val="3"/>
  </w:num>
  <w:num w:numId="4" w16cid:durableId="1238591467">
    <w:abstractNumId w:val="4"/>
  </w:num>
  <w:num w:numId="5" w16cid:durableId="62161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5C"/>
    <w:rsid w:val="00004E02"/>
    <w:rsid w:val="00051528"/>
    <w:rsid w:val="00063326"/>
    <w:rsid w:val="000A1536"/>
    <w:rsid w:val="000F7585"/>
    <w:rsid w:val="00132435"/>
    <w:rsid w:val="001627E3"/>
    <w:rsid w:val="001632DC"/>
    <w:rsid w:val="001B1353"/>
    <w:rsid w:val="001E5CD0"/>
    <w:rsid w:val="00205854"/>
    <w:rsid w:val="002064BC"/>
    <w:rsid w:val="00287F82"/>
    <w:rsid w:val="003359DA"/>
    <w:rsid w:val="003C7DC8"/>
    <w:rsid w:val="003F4B44"/>
    <w:rsid w:val="00406551"/>
    <w:rsid w:val="004251FE"/>
    <w:rsid w:val="00431F1F"/>
    <w:rsid w:val="0048513C"/>
    <w:rsid w:val="004A6F2A"/>
    <w:rsid w:val="004C74FC"/>
    <w:rsid w:val="004F1C5C"/>
    <w:rsid w:val="00512724"/>
    <w:rsid w:val="00706B9C"/>
    <w:rsid w:val="007569C2"/>
    <w:rsid w:val="00770570"/>
    <w:rsid w:val="00771A3B"/>
    <w:rsid w:val="007A1AC2"/>
    <w:rsid w:val="007A6F68"/>
    <w:rsid w:val="007E6819"/>
    <w:rsid w:val="008B3641"/>
    <w:rsid w:val="008C04CC"/>
    <w:rsid w:val="00932390"/>
    <w:rsid w:val="009E531B"/>
    <w:rsid w:val="00A13105"/>
    <w:rsid w:val="00A31DE4"/>
    <w:rsid w:val="00A65769"/>
    <w:rsid w:val="00A91A29"/>
    <w:rsid w:val="00AE4261"/>
    <w:rsid w:val="00AF41EF"/>
    <w:rsid w:val="00B02E9E"/>
    <w:rsid w:val="00B04B1B"/>
    <w:rsid w:val="00B341BD"/>
    <w:rsid w:val="00B72462"/>
    <w:rsid w:val="00BF14C3"/>
    <w:rsid w:val="00C26A7E"/>
    <w:rsid w:val="00C273C2"/>
    <w:rsid w:val="00C66B06"/>
    <w:rsid w:val="00C66E11"/>
    <w:rsid w:val="00DC2781"/>
    <w:rsid w:val="00DD69ED"/>
    <w:rsid w:val="00E03300"/>
    <w:rsid w:val="00E14BD3"/>
    <w:rsid w:val="00E75B30"/>
    <w:rsid w:val="00E85944"/>
    <w:rsid w:val="00E92F15"/>
    <w:rsid w:val="00EE38ED"/>
    <w:rsid w:val="00F547B6"/>
    <w:rsid w:val="00F92BC7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8B63"/>
  <w15:chartTrackingRefBased/>
  <w15:docId w15:val="{F19A89C8-F131-4F01-8A98-5D7F424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92BC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323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23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239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F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1E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F547B6"/>
    <w:rPr>
      <w:color w:val="0563C1" w:themeColor="hyperlink"/>
      <w:u w:val="single"/>
    </w:rPr>
  </w:style>
  <w:style w:type="paragraph" w:customStyle="1" w:styleId="Disclaimer">
    <w:name w:val="Disclaimer"/>
    <w:basedOn w:val="a"/>
    <w:qFormat/>
    <w:rsid w:val="000A1536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0A1536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0A1536"/>
    <w:pPr>
      <w:jc w:val="left"/>
    </w:pPr>
    <w:rPr>
      <w:b/>
    </w:rPr>
  </w:style>
  <w:style w:type="character" w:styleId="aa">
    <w:name w:val="FollowedHyperlink"/>
    <w:basedOn w:val="a0"/>
    <w:uiPriority w:val="99"/>
    <w:semiHidden/>
    <w:unhideWhenUsed/>
    <w:rsid w:val="000A1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sfc-practice-note-24-receivers-liquidators-and-commencement-of-offer-period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subscribe@charltonslaw.com?subject=unsubscribe%20-Hong%20Kong%20Law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fc.hk/-/media/EN/files/CF/pdf/Takeovers-Bulletin/20200331-SFC-Takeover-Bulletine.pdf?rev=47fe5968bbd9422b9ff258d226b83194&amp;hash=89F3A2A095D953F9042B6868C5E84A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fc.hk/-/media/EN/files/CF/pdf/Practice_Notes/Practice-Note-24_EN_20221118.pdf?rev=0237b606a5154c7086713aac1869148a&amp;hash=77B9C064D325F7988E81C89BE2D59B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44D9-1B42-4CF6-BE28-14B7050A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</dc:creator>
  <cp:keywords/>
  <dc:description/>
  <cp:lastModifiedBy>Александр Пирогов</cp:lastModifiedBy>
  <cp:revision>9</cp:revision>
  <cp:lastPrinted>2022-11-26T01:34:00Z</cp:lastPrinted>
  <dcterms:created xsi:type="dcterms:W3CDTF">2022-11-28T03:37:00Z</dcterms:created>
  <dcterms:modified xsi:type="dcterms:W3CDTF">2022-12-01T07:24:00Z</dcterms:modified>
</cp:coreProperties>
</file>