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81C" w:rsidRPr="00C13D3D" w:rsidRDefault="0006681C" w:rsidP="0006681C">
      <w:pPr>
        <w:shd w:val="clear" w:color="auto" w:fill="000000"/>
        <w:spacing w:after="200"/>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- 1</w:t>
      </w:r>
      <w:r>
        <w:rPr>
          <w:rFonts w:ascii="Cambria" w:eastAsia="Cambria" w:hAnsi="Cambria" w:cs="Times New Roman"/>
          <w:color w:val="FFFFFF"/>
          <w:sz w:val="24"/>
          <w:szCs w:val="24"/>
          <w:lang w:eastAsia="en-US"/>
        </w:rPr>
        <w:t>4</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November </w:t>
      </w:r>
      <w:r w:rsidRPr="00C13D3D">
        <w:rPr>
          <w:rFonts w:ascii="Cambria" w:eastAsia="Cambria" w:hAnsi="Cambria" w:cs="Times New Roman"/>
          <w:color w:val="FFFFFF"/>
          <w:sz w:val="24"/>
          <w:szCs w:val="24"/>
          <w:lang w:eastAsia="en-US"/>
        </w:rPr>
        <w:t>2022</w:t>
      </w:r>
    </w:p>
    <w:p w:rsidR="0006681C" w:rsidRPr="0006681C" w:rsidRDefault="0006681C" w:rsidP="0006681C">
      <w:pPr>
        <w:spacing w:after="200"/>
        <w:jc w:val="center"/>
        <w:rPr>
          <w:rFonts w:ascii="Cambria" w:eastAsia="Cambria" w:hAnsi="Cambria" w:cs="Times New Roman"/>
          <w:color w:val="00000A"/>
          <w:sz w:val="28"/>
          <w:szCs w:val="24"/>
          <w:u w:val="single"/>
          <w:lang w:eastAsia="en-US"/>
        </w:rPr>
      </w:pPr>
      <w:hyperlink r:id="rId8" w:history="1">
        <w:r w:rsidRPr="00365171">
          <w:rPr>
            <w:rStyle w:val="a3"/>
            <w:rFonts w:ascii="Cambria" w:eastAsia="Cambria" w:hAnsi="Cambria" w:cs="Times New Roman"/>
            <w:sz w:val="28"/>
            <w:szCs w:val="24"/>
            <w:lang w:eastAsia="en-US"/>
          </w:rPr>
          <w:t>online version</w:t>
        </w:r>
      </w:hyperlink>
    </w:p>
    <w:p w:rsidR="002015E8" w:rsidRDefault="002015E8" w:rsidP="00CD64C8">
      <w:pPr>
        <w:jc w:val="center"/>
        <w:rPr>
          <w:rFonts w:ascii="Arial" w:hAnsi="Arial" w:cs="Arial"/>
          <w:b/>
          <w:color w:val="FF0000"/>
          <w:sz w:val="20"/>
          <w:szCs w:val="20"/>
        </w:rPr>
      </w:pPr>
      <w:r>
        <w:rPr>
          <w:rFonts w:ascii="Arial" w:hAnsi="Arial" w:cs="Arial"/>
          <w:b/>
          <w:color w:val="FF0000"/>
          <w:sz w:val="20"/>
          <w:szCs w:val="20"/>
        </w:rPr>
        <w:t>SFC Circular on Virtual Asset Futures Exchange Traded Funds</w:t>
      </w:r>
    </w:p>
    <w:p w:rsidR="004A6F2A" w:rsidRDefault="00DD614C" w:rsidP="00454A1B">
      <w:pPr>
        <w:jc w:val="both"/>
      </w:pPr>
      <w:r>
        <w:t>Shortly after</w:t>
      </w:r>
      <w:r w:rsidR="002015E8">
        <w:t xml:space="preserve"> </w:t>
      </w:r>
      <w:r w:rsidR="008B7D5F">
        <w:t xml:space="preserve">the </w:t>
      </w:r>
      <w:hyperlink r:id="rId9" w:history="1">
        <w:r w:rsidR="00E21C6E">
          <w:rPr>
            <w:rStyle w:val="a3"/>
            <w:color w:val="auto"/>
            <w:u w:val="none"/>
          </w:rPr>
          <w:t>Hong Kong Government</w:t>
        </w:r>
        <w:r w:rsidR="00A405CD" w:rsidRPr="00A405CD">
          <w:rPr>
            <w:rStyle w:val="a3"/>
            <w:color w:val="auto"/>
            <w:u w:val="none"/>
          </w:rPr>
          <w:t xml:space="preserve"> issued its </w:t>
        </w:r>
        <w:r w:rsidR="008B7D5F" w:rsidRPr="009A598B">
          <w:rPr>
            <w:rStyle w:val="a3"/>
            <w:color w:val="FF0000"/>
            <w:u w:val="none"/>
          </w:rPr>
          <w:t xml:space="preserve">Policy Statement on </w:t>
        </w:r>
        <w:r w:rsidR="009A598B" w:rsidRPr="009A598B">
          <w:rPr>
            <w:rStyle w:val="a3"/>
            <w:color w:val="FF0000"/>
            <w:u w:val="none"/>
          </w:rPr>
          <w:t xml:space="preserve">the </w:t>
        </w:r>
        <w:r w:rsidR="008B7D5F" w:rsidRPr="009A598B">
          <w:rPr>
            <w:rStyle w:val="a3"/>
            <w:color w:val="FF0000"/>
            <w:u w:val="none"/>
          </w:rPr>
          <w:t>development of Virtual Assets in Hong Kong</w:t>
        </w:r>
      </w:hyperlink>
      <w:r w:rsidR="008B7D5F" w:rsidRPr="008B7D5F">
        <w:rPr>
          <w:color w:val="FF0000"/>
        </w:rPr>
        <w:t xml:space="preserve"> </w:t>
      </w:r>
      <w:r w:rsidR="008B7D5F">
        <w:t>during Hong Kong Fintec</w:t>
      </w:r>
      <w:r>
        <w:t>h Week 2022 on 31 October 2022, t</w:t>
      </w:r>
      <w:r w:rsidR="008B7D5F">
        <w:t>he Securities and Futures Commission</w:t>
      </w:r>
      <w:r>
        <w:t xml:space="preserve"> (the </w:t>
      </w:r>
      <w:r w:rsidRPr="00DD614C">
        <w:rPr>
          <w:b/>
        </w:rPr>
        <w:t>SFC</w:t>
      </w:r>
      <w:r>
        <w:t>)</w:t>
      </w:r>
      <w:r w:rsidR="008B7D5F">
        <w:t xml:space="preserve"> issued its</w:t>
      </w:r>
      <w:r>
        <w:t xml:space="preserve"> own</w:t>
      </w:r>
      <w:r w:rsidR="00E21C6E">
        <w:t xml:space="preserve"> </w:t>
      </w:r>
      <w:hyperlink r:id="rId10" w:history="1">
        <w:r w:rsidR="00E21C6E" w:rsidRPr="00E21C6E">
          <w:rPr>
            <w:rStyle w:val="a3"/>
          </w:rPr>
          <w:t>Circular on Virtual Asset</w:t>
        </w:r>
        <w:r w:rsidR="008B7D5F" w:rsidRPr="00E21C6E">
          <w:rPr>
            <w:rStyle w:val="a3"/>
          </w:rPr>
          <w:t xml:space="preserve"> Futures Exchange Traded Funds</w:t>
        </w:r>
      </w:hyperlink>
      <w:r w:rsidR="009A598B">
        <w:t xml:space="preserve"> (</w:t>
      </w:r>
      <w:r w:rsidR="009A598B" w:rsidRPr="009A598B">
        <w:rPr>
          <w:b/>
        </w:rPr>
        <w:t>VA Futures ETF</w:t>
      </w:r>
      <w:r w:rsidR="00E21C6E">
        <w:rPr>
          <w:b/>
        </w:rPr>
        <w:t>s</w:t>
      </w:r>
      <w:r w:rsidR="009A598B">
        <w:t>)</w:t>
      </w:r>
      <w:r w:rsidR="00A405CD">
        <w:t xml:space="preserve">. The circular </w:t>
      </w:r>
      <w:r w:rsidR="008B7D5F">
        <w:t>set</w:t>
      </w:r>
      <w:r w:rsidR="00A405CD">
        <w:t xml:space="preserve">s </w:t>
      </w:r>
      <w:r w:rsidR="008B7D5F">
        <w:t>out the requirements under whic</w:t>
      </w:r>
      <w:r w:rsidR="00E21C6E">
        <w:t>h the SFC will consider authoris</w:t>
      </w:r>
      <w:r w:rsidR="008B7D5F">
        <w:t xml:space="preserve">ing </w:t>
      </w:r>
      <w:r w:rsidR="00405161">
        <w:t>ETFs</w:t>
      </w:r>
      <w:r w:rsidR="008B7D5F">
        <w:t xml:space="preserve"> </w:t>
      </w:r>
      <w:r w:rsidR="00E21C6E">
        <w:t xml:space="preserve">providing exposure to virtual assets </w:t>
      </w:r>
      <w:r>
        <w:t>(</w:t>
      </w:r>
      <w:r w:rsidR="00ED2B90">
        <w:t>primarily</w:t>
      </w:r>
      <w:r w:rsidR="009A598B">
        <w:t xml:space="preserve"> via</w:t>
      </w:r>
      <w:r w:rsidR="00ED2B90">
        <w:t xml:space="preserve"> VA</w:t>
      </w:r>
      <w:r w:rsidR="008B7D5F">
        <w:t xml:space="preserve"> Futures ETFs</w:t>
      </w:r>
      <w:r>
        <w:t>)</w:t>
      </w:r>
      <w:r w:rsidR="008B7D5F">
        <w:t xml:space="preserve"> fo</w:t>
      </w:r>
      <w:r w:rsidR="00CE24B7">
        <w:t xml:space="preserve">r public offering in Hong Kong under sections 104 and 105 of the Securities and Futures Ordinance. </w:t>
      </w:r>
    </w:p>
    <w:p w:rsidR="00655814" w:rsidRDefault="00655814" w:rsidP="00454A1B">
      <w:pPr>
        <w:jc w:val="both"/>
      </w:pPr>
      <w:r>
        <w:t xml:space="preserve">Initially, the SFC will only authorise VA Futures ETFs that have Bitcoin futures or Ether futures traded on the Chicago Mercantile Exchange as their underlying assets, although the SFC states in the Circular that it will keep this under review and may broaden the scope of eligible VA futures markets in future. </w:t>
      </w:r>
    </w:p>
    <w:p w:rsidR="008B7D5F" w:rsidRDefault="008B7D5F" w:rsidP="00454A1B">
      <w:pPr>
        <w:jc w:val="both"/>
      </w:pPr>
      <w:r>
        <w:t xml:space="preserve">The SFC has </w:t>
      </w:r>
      <w:r w:rsidR="00D25B23">
        <w:t>thus created a limited exception to</w:t>
      </w:r>
      <w:r w:rsidR="00A405CD">
        <w:t xml:space="preserve"> its professional investor</w:t>
      </w:r>
      <w:r>
        <w:t>s</w:t>
      </w:r>
      <w:r w:rsidR="00A405CD">
        <w:t>’</w:t>
      </w:r>
      <w:r>
        <w:t xml:space="preserve"> only stance</w:t>
      </w:r>
      <w:r w:rsidR="00ED2B90">
        <w:t xml:space="preserve"> towards virtual asset</w:t>
      </w:r>
      <w:r w:rsidR="00E21C6E">
        <w:t xml:space="preserve"> funds of</w:t>
      </w:r>
      <w:r>
        <w:t xml:space="preserve"> November 2018, citing an increased demand for such products in Hong Kong and the </w:t>
      </w:r>
      <w:r w:rsidR="00E21C6E">
        <w:t>ability of SFC-</w:t>
      </w:r>
      <w:r>
        <w:t>licensed and registered intermediaries to “offer tra</w:t>
      </w:r>
      <w:r w:rsidR="009A598B">
        <w:t>ding of eligible VA Futures ETF</w:t>
      </w:r>
      <w:r>
        <w:t>s to retail investors in Hong Kong</w:t>
      </w:r>
      <w:r w:rsidR="00405161">
        <w:t>”</w:t>
      </w:r>
      <w:r w:rsidR="00405161">
        <w:rPr>
          <w:rStyle w:val="a7"/>
        </w:rPr>
        <w:footnoteReference w:id="1"/>
      </w:r>
      <w:r>
        <w:t xml:space="preserve"> </w:t>
      </w:r>
      <w:r w:rsidR="00E21C6E">
        <w:t xml:space="preserve">under </w:t>
      </w:r>
      <w:r w:rsidR="00ED2B90">
        <w:t xml:space="preserve">the </w:t>
      </w:r>
      <w:hyperlink r:id="rId11" w:history="1">
        <w:r w:rsidR="00ED2B90" w:rsidRPr="009A598B">
          <w:rPr>
            <w:rStyle w:val="a3"/>
            <w:color w:val="FF0000"/>
            <w:u w:val="none"/>
          </w:rPr>
          <w:t>SFC and HKMA Joint Circular on Intermediaries’ Virtual Asset-related Activities</w:t>
        </w:r>
      </w:hyperlink>
      <w:r w:rsidR="00655814">
        <w:rPr>
          <w:rStyle w:val="a3"/>
          <w:color w:val="FF0000"/>
          <w:u w:val="none"/>
        </w:rPr>
        <w:t xml:space="preserve">  </w:t>
      </w:r>
      <w:r w:rsidR="00655814">
        <w:rPr>
          <w:rStyle w:val="a3"/>
          <w:color w:val="auto"/>
          <w:u w:val="none"/>
        </w:rPr>
        <w:t>issued in January 2022</w:t>
      </w:r>
      <w:r w:rsidR="00ED2B90">
        <w:t xml:space="preserve">. </w:t>
      </w:r>
      <w:r w:rsidR="00CD64C8">
        <w:t xml:space="preserve">It signaled that it is </w:t>
      </w:r>
      <w:r w:rsidR="00915BCB">
        <w:t xml:space="preserve">now </w:t>
      </w:r>
      <w:r w:rsidR="00ED2B90">
        <w:t xml:space="preserve">prepared to </w:t>
      </w:r>
      <w:r w:rsidR="00915BCB">
        <w:t>accept applications for authoris</w:t>
      </w:r>
      <w:r w:rsidR="00ED2B90">
        <w:t xml:space="preserve">ation of VA Futures ETFs. </w:t>
      </w:r>
    </w:p>
    <w:p w:rsidR="00ED2B90" w:rsidRPr="00115C4E" w:rsidRDefault="00ED2B90" w:rsidP="00454A1B">
      <w:pPr>
        <w:jc w:val="both"/>
        <w:rPr>
          <w:b/>
        </w:rPr>
      </w:pPr>
      <w:r w:rsidRPr="00115C4E">
        <w:rPr>
          <w:b/>
        </w:rPr>
        <w:t xml:space="preserve">Requirements on VA Futures ETFs </w:t>
      </w:r>
    </w:p>
    <w:p w:rsidR="00CD64C8" w:rsidRDefault="00626923" w:rsidP="00454A1B">
      <w:pPr>
        <w:jc w:val="both"/>
      </w:pPr>
      <w:r>
        <w:t>VA Future ETFs seeking authoris</w:t>
      </w:r>
      <w:r w:rsidR="00ED2B90">
        <w:t>ation for local public offering would still be required to meet the usual applicable requirements for ETF</w:t>
      </w:r>
      <w:r w:rsidR="00915BCB">
        <w:t>s</w:t>
      </w:r>
      <w:r w:rsidR="00ED2B90">
        <w:t xml:space="preserve"> </w:t>
      </w:r>
      <w:r w:rsidR="007E5F01">
        <w:t>meaning adherence to the</w:t>
      </w:r>
      <w:r w:rsidR="00915BCB">
        <w:t xml:space="preserve"> Overarching Principles Section and</w:t>
      </w:r>
      <w:r w:rsidR="007E5F01">
        <w:t xml:space="preserve"> the Code on Unit Trusts and Mutual Funds</w:t>
      </w:r>
      <w:r w:rsidR="00A84AC7">
        <w:t xml:space="preserve"> (the </w:t>
      </w:r>
      <w:r w:rsidR="00A84AC7" w:rsidRPr="00A84AC7">
        <w:rPr>
          <w:b/>
        </w:rPr>
        <w:t>UT Code</w:t>
      </w:r>
      <w:r w:rsidR="00A84AC7">
        <w:t>)</w:t>
      </w:r>
      <w:r w:rsidR="007E5F01">
        <w:t xml:space="preserve"> </w:t>
      </w:r>
      <w:r>
        <w:t xml:space="preserve">in </w:t>
      </w:r>
      <w:r w:rsidR="007E5F01">
        <w:t>the SFC Handbook for Unit Trust</w:t>
      </w:r>
      <w:r w:rsidR="00915BCB">
        <w:t>s and Mutual Funds, Investment-</w:t>
      </w:r>
      <w:r w:rsidR="007E5F01">
        <w:t>Linked Assurance Schemes and Unlisted Structured Investment</w:t>
      </w:r>
      <w:r w:rsidR="00EA47F3">
        <w:t xml:space="preserve"> </w:t>
      </w:r>
      <w:r w:rsidR="00DD614C">
        <w:t>Products</w:t>
      </w:r>
      <w:r w:rsidR="007E5F01">
        <w:t>.</w:t>
      </w:r>
    </w:p>
    <w:p w:rsidR="00ED2B90" w:rsidRDefault="00393598" w:rsidP="00454A1B">
      <w:pPr>
        <w:jc w:val="both"/>
      </w:pPr>
      <w:r>
        <w:t xml:space="preserve">VA Futures ETFs </w:t>
      </w:r>
      <w:r w:rsidR="00DD614C">
        <w:t xml:space="preserve">will </w:t>
      </w:r>
      <w:r w:rsidR="007E5F01">
        <w:t>also need to meet the following additional requirements</w:t>
      </w:r>
      <w:r w:rsidR="00915BCB">
        <w:t xml:space="preserve"> which </w:t>
      </w:r>
      <w:r w:rsidR="00115C4E">
        <w:t xml:space="preserve">are non-exhaustive and </w:t>
      </w:r>
      <w:r w:rsidR="00DD614C">
        <w:t>subject to the introduction of additional requirements as deemed necessary or appropriate by the SFC</w:t>
      </w:r>
      <w:r w:rsidR="007E5F01">
        <w:t xml:space="preserve">: </w:t>
      </w:r>
    </w:p>
    <w:p w:rsidR="00A84AC7" w:rsidRDefault="00393598" w:rsidP="00454A1B">
      <w:pPr>
        <w:pStyle w:val="a4"/>
        <w:numPr>
          <w:ilvl w:val="0"/>
          <w:numId w:val="2"/>
        </w:numPr>
        <w:jc w:val="both"/>
      </w:pPr>
      <w:r>
        <w:t xml:space="preserve">their </w:t>
      </w:r>
      <w:r w:rsidR="00CE24B7">
        <w:t>m</w:t>
      </w:r>
      <w:r w:rsidR="007175BC">
        <w:t>anagement companies</w:t>
      </w:r>
      <w:r>
        <w:t xml:space="preserve"> will </w:t>
      </w:r>
      <w:r w:rsidR="007175BC">
        <w:t>be required to</w:t>
      </w:r>
      <w:r w:rsidR="00A84AC7">
        <w:t>:</w:t>
      </w:r>
    </w:p>
    <w:p w:rsidR="00915BCB" w:rsidRDefault="00915BCB" w:rsidP="00915BCB">
      <w:pPr>
        <w:pStyle w:val="a4"/>
        <w:jc w:val="both"/>
      </w:pPr>
    </w:p>
    <w:p w:rsidR="00A84AC7" w:rsidRDefault="007175BC" w:rsidP="00454A1B">
      <w:pPr>
        <w:pStyle w:val="a4"/>
        <w:numPr>
          <w:ilvl w:val="1"/>
          <w:numId w:val="2"/>
        </w:numPr>
        <w:jc w:val="both"/>
      </w:pPr>
      <w:r>
        <w:t>have a good regulatory compliance track</w:t>
      </w:r>
      <w:r w:rsidR="00A84AC7">
        <w:t xml:space="preserve"> record; </w:t>
      </w:r>
      <w:r w:rsidR="00CE24B7">
        <w:t xml:space="preserve">and </w:t>
      </w:r>
    </w:p>
    <w:p w:rsidR="00AA354A" w:rsidRDefault="00DD614C" w:rsidP="00454A1B">
      <w:pPr>
        <w:pStyle w:val="a4"/>
        <w:numPr>
          <w:ilvl w:val="1"/>
          <w:numId w:val="2"/>
        </w:numPr>
        <w:jc w:val="both"/>
      </w:pPr>
      <w:r>
        <w:t xml:space="preserve">have </w:t>
      </w:r>
      <w:r w:rsidR="00CE24B7">
        <w:t>three</w:t>
      </w:r>
      <w:r w:rsidR="007175BC">
        <w:t xml:space="preserve"> years</w:t>
      </w:r>
      <w:r w:rsidR="00393598">
        <w:t>’</w:t>
      </w:r>
      <w:r w:rsidR="007175BC">
        <w:t xml:space="preserve"> prove</w:t>
      </w:r>
      <w:r w:rsidR="00CE24B7">
        <w:t>n track record in managing ETFs</w:t>
      </w:r>
      <w:r w:rsidR="00A84AC7">
        <w:t>.</w:t>
      </w:r>
    </w:p>
    <w:p w:rsidR="00915BCB" w:rsidRDefault="00915BCB" w:rsidP="00915BCB">
      <w:pPr>
        <w:pStyle w:val="a4"/>
        <w:ind w:left="1440"/>
        <w:jc w:val="both"/>
      </w:pPr>
    </w:p>
    <w:p w:rsidR="00A84AC7" w:rsidRDefault="00A84AC7" w:rsidP="00454A1B">
      <w:pPr>
        <w:pStyle w:val="a4"/>
        <w:jc w:val="both"/>
      </w:pPr>
      <w:r>
        <w:t>D</w:t>
      </w:r>
      <w:r w:rsidR="007175BC">
        <w:t xml:space="preserve">elegation or co-management may be permitted provided the management company </w:t>
      </w:r>
      <w:r w:rsidR="00393598">
        <w:t xml:space="preserve">(in the case of delegation) </w:t>
      </w:r>
      <w:r w:rsidR="007175BC">
        <w:t xml:space="preserve">or at least one of the management companies </w:t>
      </w:r>
      <w:r w:rsidR="00393598">
        <w:t>(in the case of co-management) fulfil</w:t>
      </w:r>
      <w:r>
        <w:t>s</w:t>
      </w:r>
      <w:r w:rsidR="007175BC">
        <w:t xml:space="preserve"> the </w:t>
      </w:r>
      <w:r w:rsidR="00CE24B7">
        <w:t>two criteria</w:t>
      </w:r>
      <w:r w:rsidR="00CD64C8">
        <w:t xml:space="preserve"> above</w:t>
      </w:r>
      <w:r w:rsidR="00CE24B7">
        <w:t xml:space="preserve">; </w:t>
      </w:r>
    </w:p>
    <w:p w:rsidR="00115C4E" w:rsidRDefault="00115C4E" w:rsidP="00454A1B">
      <w:pPr>
        <w:pStyle w:val="a4"/>
        <w:ind w:left="1440"/>
        <w:jc w:val="both"/>
      </w:pPr>
    </w:p>
    <w:p w:rsidR="00CE24B7" w:rsidRDefault="00393598" w:rsidP="00454A1B">
      <w:pPr>
        <w:pStyle w:val="a4"/>
        <w:numPr>
          <w:ilvl w:val="0"/>
          <w:numId w:val="2"/>
        </w:numPr>
        <w:jc w:val="both"/>
      </w:pPr>
      <w:r>
        <w:t xml:space="preserve">only VA futures traded on conventional regulated futures exchanges will be permitted. Initially, these will be restricted to </w:t>
      </w:r>
      <w:r w:rsidR="007175BC">
        <w:t xml:space="preserve">Bitcoin and Ether futures </w:t>
      </w:r>
      <w:r w:rsidR="00CE24B7">
        <w:t>trade</w:t>
      </w:r>
      <w:r w:rsidR="00A84AC7">
        <w:t xml:space="preserve">d on </w:t>
      </w:r>
      <w:r w:rsidR="00A621E7">
        <w:t xml:space="preserve">the </w:t>
      </w:r>
      <w:r w:rsidR="00A84AC7">
        <w:t>Chicago Mercantile Exchange</w:t>
      </w:r>
      <w:r w:rsidR="00CE24B7">
        <w:t>;</w:t>
      </w:r>
      <w:r w:rsidR="007175BC">
        <w:t xml:space="preserve"> </w:t>
      </w:r>
    </w:p>
    <w:p w:rsidR="00DD614C" w:rsidRDefault="00DD614C" w:rsidP="00454A1B">
      <w:pPr>
        <w:pStyle w:val="a4"/>
        <w:ind w:left="1440"/>
        <w:jc w:val="both"/>
      </w:pPr>
    </w:p>
    <w:p w:rsidR="00DD614C" w:rsidRDefault="00913830" w:rsidP="00454A1B">
      <w:pPr>
        <w:pStyle w:val="a4"/>
        <w:numPr>
          <w:ilvl w:val="0"/>
          <w:numId w:val="2"/>
        </w:numPr>
        <w:jc w:val="both"/>
      </w:pPr>
      <w:r>
        <w:t xml:space="preserve">management companies will be expected to adopt an active </w:t>
      </w:r>
      <w:r w:rsidR="00CD64C8">
        <w:t>investment strategy</w:t>
      </w:r>
      <w:r>
        <w:t xml:space="preserve"> to allow flexibility in portfolio composition (such as diversification of futures positions with multiple expiry dates), rolling strategy and dealing with market disruption events. The</w:t>
      </w:r>
      <w:r w:rsidR="00CD64C8">
        <w:t xml:space="preserve"> </w:t>
      </w:r>
      <w:r w:rsidR="00115C4E">
        <w:t>“net derivative exposure</w:t>
      </w:r>
      <w:r>
        <w:t>”</w:t>
      </w:r>
      <w:r w:rsidR="00115C4E">
        <w:t xml:space="preserve"> (</w:t>
      </w:r>
      <w:r w:rsidR="007175BC">
        <w:t>as defined under the UT Code) of a VA Futures ETF</w:t>
      </w:r>
      <w:r w:rsidR="009A598B">
        <w:t xml:space="preserve"> </w:t>
      </w:r>
      <w:r>
        <w:t>must</w:t>
      </w:r>
      <w:r w:rsidR="007175BC">
        <w:t xml:space="preserve"> not exceed 100% of the ETF’s total net asset value</w:t>
      </w:r>
      <w:r w:rsidR="00CE24B7">
        <w:t>;</w:t>
      </w:r>
    </w:p>
    <w:p w:rsidR="00DD614C" w:rsidRDefault="00DD614C" w:rsidP="00454A1B">
      <w:pPr>
        <w:pStyle w:val="a4"/>
        <w:ind w:left="1440"/>
        <w:jc w:val="both"/>
      </w:pPr>
    </w:p>
    <w:p w:rsidR="00DD614C" w:rsidRDefault="00115C4E" w:rsidP="00454A1B">
      <w:pPr>
        <w:pStyle w:val="a4"/>
        <w:numPr>
          <w:ilvl w:val="0"/>
          <w:numId w:val="2"/>
        </w:numPr>
        <w:jc w:val="both"/>
      </w:pPr>
      <w:r>
        <w:t>u</w:t>
      </w:r>
      <w:r w:rsidR="007175BC">
        <w:t xml:space="preserve">pfront disclosure </w:t>
      </w:r>
      <w:r w:rsidR="00913830">
        <w:t>in the product key facts statement of</w:t>
      </w:r>
      <w:r w:rsidR="007175BC">
        <w:t xml:space="preserve"> the </w:t>
      </w:r>
      <w:r w:rsidR="00D25B23">
        <w:t xml:space="preserve">ETF’s </w:t>
      </w:r>
      <w:r w:rsidR="007175BC">
        <w:t xml:space="preserve">investment objective and key risks associated with investment in </w:t>
      </w:r>
      <w:r w:rsidR="00913830">
        <w:t xml:space="preserve">virtual asset futures, </w:t>
      </w:r>
      <w:r w:rsidR="00DD614C">
        <w:t>for example</w:t>
      </w:r>
      <w:r>
        <w:t xml:space="preserve"> the:</w:t>
      </w:r>
    </w:p>
    <w:p w:rsidR="00913830" w:rsidRDefault="00913830" w:rsidP="00913830">
      <w:pPr>
        <w:pStyle w:val="a4"/>
        <w:jc w:val="both"/>
      </w:pPr>
    </w:p>
    <w:p w:rsidR="00913830" w:rsidRDefault="007175BC" w:rsidP="00913830">
      <w:pPr>
        <w:pStyle w:val="a4"/>
        <w:numPr>
          <w:ilvl w:val="1"/>
          <w:numId w:val="2"/>
        </w:numPr>
        <w:jc w:val="both"/>
      </w:pPr>
      <w:r>
        <w:t>potential</w:t>
      </w:r>
      <w:r w:rsidR="00913830">
        <w:t>ly</w:t>
      </w:r>
      <w:r>
        <w:t xml:space="preserve"> large roll</w:t>
      </w:r>
      <w:r w:rsidR="00DD614C">
        <w:t xml:space="preserve"> costs of virtual asset futures; </w:t>
      </w:r>
      <w:r>
        <w:t xml:space="preserve">and </w:t>
      </w:r>
    </w:p>
    <w:p w:rsidR="007175BC" w:rsidRDefault="007175BC" w:rsidP="00913830">
      <w:pPr>
        <w:pStyle w:val="a4"/>
        <w:numPr>
          <w:ilvl w:val="1"/>
          <w:numId w:val="2"/>
        </w:numPr>
        <w:jc w:val="both"/>
      </w:pPr>
      <w:r>
        <w:t>operation</w:t>
      </w:r>
      <w:r w:rsidR="00115C4E">
        <w:t>al</w:t>
      </w:r>
      <w:r>
        <w:t xml:space="preserve"> risks (</w:t>
      </w:r>
      <w:r w:rsidR="00913830">
        <w:t xml:space="preserve">eg </w:t>
      </w:r>
      <w:r>
        <w:t xml:space="preserve">margin risk and risks </w:t>
      </w:r>
      <w:r w:rsidR="00CD64C8">
        <w:t>associated with</w:t>
      </w:r>
      <w:r>
        <w:t xml:space="preserve"> mandatory measures imposed by relevant parties) related to virtual asset</w:t>
      </w:r>
      <w:r w:rsidR="00115C4E">
        <w:t xml:space="preserve"> futures;</w:t>
      </w:r>
    </w:p>
    <w:p w:rsidR="00CD64C8" w:rsidRDefault="00CD64C8" w:rsidP="00454A1B">
      <w:pPr>
        <w:pStyle w:val="a4"/>
        <w:ind w:left="1440"/>
        <w:jc w:val="both"/>
      </w:pPr>
    </w:p>
    <w:p w:rsidR="00EA47F3" w:rsidRDefault="00E36AB9" w:rsidP="00454A1B">
      <w:pPr>
        <w:pStyle w:val="a4"/>
        <w:numPr>
          <w:ilvl w:val="0"/>
          <w:numId w:val="2"/>
        </w:numPr>
        <w:jc w:val="both"/>
      </w:pPr>
      <w:r>
        <w:t>i</w:t>
      </w:r>
      <w:r w:rsidR="007175BC">
        <w:t>nterm</w:t>
      </w:r>
      <w:r w:rsidR="00EA47F3">
        <w:t xml:space="preserve">ediaries </w:t>
      </w:r>
      <w:r w:rsidR="00C4781A">
        <w:t xml:space="preserve">distributing VA Futures ETFs </w:t>
      </w:r>
      <w:r>
        <w:t xml:space="preserve">(which are both derivatives products and virtual asset-related products) </w:t>
      </w:r>
      <w:r w:rsidR="00EA47F3">
        <w:t xml:space="preserve">will need to comply with the </w:t>
      </w:r>
      <w:r>
        <w:t xml:space="preserve">requirements of paragraphs 5.1A and 5.3 of the SFC’s Code of Conduct for Persons Licensed by or Registered with the Securities and Futures Commission and the </w:t>
      </w:r>
      <w:r w:rsidR="00EA47F3">
        <w:t>virtual as</w:t>
      </w:r>
      <w:r>
        <w:t xml:space="preserve">set knowledge test requirement under the </w:t>
      </w:r>
      <w:r w:rsidRPr="00E36AB9">
        <w:t>SFC and HKMA Joint Circular on Intermediaries’ Virtual Asset-related Activities</w:t>
      </w:r>
      <w:r w:rsidR="00CE24B7">
        <w:t>; and</w:t>
      </w:r>
    </w:p>
    <w:p w:rsidR="00115C4E" w:rsidRDefault="00115C4E" w:rsidP="00454A1B">
      <w:pPr>
        <w:pStyle w:val="a4"/>
        <w:jc w:val="both"/>
      </w:pPr>
    </w:p>
    <w:p w:rsidR="00EA47F3" w:rsidRDefault="00CD64C8" w:rsidP="00454A1B">
      <w:pPr>
        <w:pStyle w:val="a4"/>
        <w:numPr>
          <w:ilvl w:val="0"/>
          <w:numId w:val="2"/>
        </w:numPr>
        <w:jc w:val="both"/>
      </w:pPr>
      <w:r>
        <w:t xml:space="preserve">the </w:t>
      </w:r>
      <w:r w:rsidR="00CE24B7">
        <w:t>m</w:t>
      </w:r>
      <w:r>
        <w:t xml:space="preserve">anagement companies will </w:t>
      </w:r>
      <w:r w:rsidR="00E36AB9">
        <w:t xml:space="preserve">be required to </w:t>
      </w:r>
      <w:r w:rsidR="00EA47F3">
        <w:t>carry out extensive investor edu</w:t>
      </w:r>
      <w:r w:rsidR="009A598B">
        <w:t>cation before launching the VA F</w:t>
      </w:r>
      <w:r w:rsidR="00EA47F3">
        <w:t>utures ETF</w:t>
      </w:r>
      <w:r w:rsidR="009A598B">
        <w:t xml:space="preserve"> </w:t>
      </w:r>
      <w:r w:rsidR="00E36AB9">
        <w:t>in Hong Kong</w:t>
      </w:r>
      <w:r w:rsidR="00EA47F3">
        <w:t xml:space="preserve">. </w:t>
      </w:r>
    </w:p>
    <w:p w:rsidR="0047630F" w:rsidRPr="008B4F87" w:rsidRDefault="0047630F" w:rsidP="00454A1B">
      <w:pPr>
        <w:jc w:val="both"/>
        <w:rPr>
          <w:rFonts w:ascii="Arial" w:hAnsi="Arial" w:cs="Arial"/>
          <w:sz w:val="20"/>
          <w:szCs w:val="20"/>
        </w:rPr>
      </w:pPr>
      <w:r w:rsidRPr="008B4F87">
        <w:rPr>
          <w:rFonts w:ascii="Arial" w:hAnsi="Arial" w:cs="Arial"/>
          <w:sz w:val="20"/>
          <w:szCs w:val="20"/>
        </w:rPr>
        <w:t xml:space="preserve">The </w:t>
      </w:r>
      <w:r>
        <w:rPr>
          <w:rFonts w:ascii="Arial" w:hAnsi="Arial" w:cs="Arial"/>
          <w:sz w:val="20"/>
          <w:szCs w:val="20"/>
        </w:rPr>
        <w:t>SFC</w:t>
      </w:r>
      <w:r w:rsidRPr="008B4F87">
        <w:rPr>
          <w:rFonts w:ascii="Arial" w:hAnsi="Arial" w:cs="Arial"/>
          <w:sz w:val="20"/>
          <w:szCs w:val="20"/>
        </w:rPr>
        <w:t xml:space="preserve">’s </w:t>
      </w:r>
      <w:r>
        <w:rPr>
          <w:rFonts w:ascii="Arial" w:hAnsi="Arial" w:cs="Arial"/>
          <w:sz w:val="20"/>
          <w:szCs w:val="20"/>
        </w:rPr>
        <w:t>Circular</w:t>
      </w:r>
      <w:r w:rsidRPr="008B4F87">
        <w:rPr>
          <w:rFonts w:ascii="Arial" w:hAnsi="Arial" w:cs="Arial"/>
          <w:sz w:val="20"/>
          <w:szCs w:val="20"/>
        </w:rPr>
        <w:t xml:space="preserve"> is available on the </w:t>
      </w:r>
      <w:r>
        <w:rPr>
          <w:rFonts w:ascii="Arial" w:hAnsi="Arial" w:cs="Arial"/>
          <w:sz w:val="20"/>
          <w:szCs w:val="20"/>
        </w:rPr>
        <w:t>SFC</w:t>
      </w:r>
      <w:r w:rsidRPr="008B4F87">
        <w:rPr>
          <w:rFonts w:ascii="Arial" w:hAnsi="Arial" w:cs="Arial"/>
          <w:sz w:val="20"/>
          <w:szCs w:val="20"/>
        </w:rPr>
        <w:t xml:space="preserve"> website </w:t>
      </w:r>
      <w:hyperlink r:id="rId12" w:history="1">
        <w:r w:rsidRPr="0047630F">
          <w:rPr>
            <w:rStyle w:val="a3"/>
            <w:rFonts w:ascii="Arial" w:hAnsi="Arial" w:cs="Arial"/>
            <w:color w:val="FF0000"/>
            <w:sz w:val="20"/>
            <w:szCs w:val="20"/>
            <w:u w:val="none"/>
          </w:rPr>
          <w:t>here</w:t>
        </w:r>
      </w:hyperlink>
      <w:r w:rsidRPr="0047630F">
        <w:rPr>
          <w:rFonts w:ascii="Arial" w:hAnsi="Arial" w:cs="Arial"/>
          <w:color w:val="FF0000"/>
          <w:sz w:val="20"/>
          <w:szCs w:val="20"/>
        </w:rPr>
        <w:t>.</w:t>
      </w:r>
    </w:p>
    <w:p w:rsidR="0006681C" w:rsidRPr="00A41F57" w:rsidRDefault="0006681C" w:rsidP="0006681C">
      <w:pPr>
        <w:pStyle w:val="DisclaimerBold"/>
        <w:rPr>
          <w:rFonts w:ascii="Helvetica" w:hAnsi="Helvetica"/>
        </w:rPr>
      </w:pPr>
      <w:r w:rsidRPr="00F05494">
        <w:rPr>
          <w:rFonts w:ascii="Helvetica" w:hAnsi="Helvetica"/>
        </w:rPr>
        <w:t>This newsletter is for information purposes only.</w:t>
      </w:r>
    </w:p>
    <w:p w:rsidR="0006681C" w:rsidRPr="00F05494" w:rsidRDefault="0006681C" w:rsidP="0006681C">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06681C" w:rsidRPr="00F05494" w:rsidRDefault="0006681C" w:rsidP="0006681C">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06681C" w:rsidRPr="00F05494" w:rsidRDefault="0006681C" w:rsidP="0006681C">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06681C" w:rsidRPr="00F05494" w:rsidRDefault="0006681C" w:rsidP="0006681C">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3">
        <w:r w:rsidRPr="00F05494">
          <w:rPr>
            <w:rFonts w:ascii="Helvetica" w:hAnsi="Helvetica"/>
          </w:rPr>
          <w:t>unsubscribe@charltonslaw.com</w:t>
        </w:r>
      </w:hyperlink>
    </w:p>
    <w:p w:rsidR="0006681C" w:rsidRPr="00CD0DE3" w:rsidRDefault="0006681C" w:rsidP="0006681C">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1</w:t>
      </w:r>
      <w:r>
        <w:rPr>
          <w:rFonts w:ascii="Helvetica" w:hAnsi="Helvetica"/>
        </w:rPr>
        <w:t>4</w:t>
      </w:r>
      <w:r w:rsidRPr="00F05494">
        <w:rPr>
          <w:rFonts w:ascii="Helvetica" w:hAnsi="Helvetica"/>
        </w:rPr>
        <w:t xml:space="preserve"> </w:t>
      </w:r>
      <w:r>
        <w:rPr>
          <w:rFonts w:ascii="Helvetica" w:hAnsi="Helvetica"/>
        </w:rPr>
        <w:t>November</w:t>
      </w:r>
      <w:r w:rsidRPr="00F05494">
        <w:rPr>
          <w:rFonts w:ascii="Helvetica" w:hAnsi="Helvetica"/>
        </w:rPr>
        <w:t xml:space="preserve"> 202</w:t>
      </w:r>
      <w:r>
        <w:rPr>
          <w:rFonts w:ascii="Helvetica" w:hAnsi="Helvetica"/>
        </w:rPr>
        <w:t>2</w:t>
      </w:r>
    </w:p>
    <w:p w:rsidR="0047630F" w:rsidRDefault="0047630F" w:rsidP="00454A1B">
      <w:pPr>
        <w:jc w:val="both"/>
      </w:pPr>
    </w:p>
    <w:sectPr w:rsidR="00476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522" w:rsidRDefault="006C1522" w:rsidP="00405161">
      <w:pPr>
        <w:spacing w:after="0" w:line="240" w:lineRule="auto"/>
      </w:pPr>
      <w:r>
        <w:separator/>
      </w:r>
    </w:p>
  </w:endnote>
  <w:endnote w:type="continuationSeparator" w:id="0">
    <w:p w:rsidR="006C1522" w:rsidRDefault="006C1522" w:rsidP="0040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522" w:rsidRDefault="006C1522" w:rsidP="00405161">
      <w:pPr>
        <w:spacing w:after="0" w:line="240" w:lineRule="auto"/>
      </w:pPr>
      <w:r>
        <w:separator/>
      </w:r>
    </w:p>
  </w:footnote>
  <w:footnote w:type="continuationSeparator" w:id="0">
    <w:p w:rsidR="006C1522" w:rsidRDefault="006C1522" w:rsidP="00405161">
      <w:pPr>
        <w:spacing w:after="0" w:line="240" w:lineRule="auto"/>
      </w:pPr>
      <w:r>
        <w:continuationSeparator/>
      </w:r>
    </w:p>
  </w:footnote>
  <w:footnote w:id="1">
    <w:p w:rsidR="00405161" w:rsidRPr="00405161" w:rsidRDefault="00405161">
      <w:pPr>
        <w:pStyle w:val="a5"/>
      </w:pPr>
      <w:r>
        <w:rPr>
          <w:rStyle w:val="a7"/>
        </w:rPr>
        <w:footnoteRef/>
      </w:r>
      <w:r>
        <w:t xml:space="preserve"> All quotes are taken from </w:t>
      </w:r>
      <w:r w:rsidR="00E21C6E">
        <w:t xml:space="preserve">the </w:t>
      </w:r>
      <w:r>
        <w:t>SFC</w:t>
      </w:r>
      <w:r>
        <w:rPr>
          <w:i/>
        </w:rPr>
        <w:t xml:space="preserve"> Circular on Virtual Asset Futures Exchange Traded Funds</w:t>
      </w:r>
      <w:r>
        <w:t xml:space="preserv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776BD"/>
    <w:multiLevelType w:val="hybridMultilevel"/>
    <w:tmpl w:val="E3D64E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C2ED3"/>
    <w:multiLevelType w:val="hybridMultilevel"/>
    <w:tmpl w:val="045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404037">
    <w:abstractNumId w:val="1"/>
  </w:num>
  <w:num w:numId="2" w16cid:durableId="48231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E8"/>
    <w:rsid w:val="0006681C"/>
    <w:rsid w:val="00115C4E"/>
    <w:rsid w:val="002015E8"/>
    <w:rsid w:val="00251D25"/>
    <w:rsid w:val="00393598"/>
    <w:rsid w:val="00405161"/>
    <w:rsid w:val="00454A1B"/>
    <w:rsid w:val="0047630F"/>
    <w:rsid w:val="004A6F2A"/>
    <w:rsid w:val="00626923"/>
    <w:rsid w:val="00655814"/>
    <w:rsid w:val="006C1522"/>
    <w:rsid w:val="007175BC"/>
    <w:rsid w:val="007E5F01"/>
    <w:rsid w:val="008B7D5F"/>
    <w:rsid w:val="00913830"/>
    <w:rsid w:val="00915BCB"/>
    <w:rsid w:val="00966986"/>
    <w:rsid w:val="009A598B"/>
    <w:rsid w:val="00A405CD"/>
    <w:rsid w:val="00A621E7"/>
    <w:rsid w:val="00A84AC7"/>
    <w:rsid w:val="00AA354A"/>
    <w:rsid w:val="00C4781A"/>
    <w:rsid w:val="00CD64C8"/>
    <w:rsid w:val="00CE24B7"/>
    <w:rsid w:val="00D25B23"/>
    <w:rsid w:val="00DD614C"/>
    <w:rsid w:val="00E21C6E"/>
    <w:rsid w:val="00E36AB9"/>
    <w:rsid w:val="00EA47F3"/>
    <w:rsid w:val="00ED2B90"/>
    <w:rsid w:val="00ED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1EEC"/>
  <w15:chartTrackingRefBased/>
  <w15:docId w15:val="{51B6A9A7-7336-4821-880E-0C7FA63C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7D5F"/>
    <w:rPr>
      <w:color w:val="0563C1" w:themeColor="hyperlink"/>
      <w:u w:val="single"/>
    </w:rPr>
  </w:style>
  <w:style w:type="paragraph" w:styleId="a4">
    <w:name w:val="List Paragraph"/>
    <w:basedOn w:val="a"/>
    <w:uiPriority w:val="34"/>
    <w:qFormat/>
    <w:rsid w:val="007E5F01"/>
    <w:pPr>
      <w:ind w:left="720"/>
      <w:contextualSpacing/>
    </w:pPr>
  </w:style>
  <w:style w:type="paragraph" w:styleId="a5">
    <w:name w:val="footnote text"/>
    <w:basedOn w:val="a"/>
    <w:link w:val="a6"/>
    <w:uiPriority w:val="99"/>
    <w:semiHidden/>
    <w:unhideWhenUsed/>
    <w:rsid w:val="00405161"/>
    <w:pPr>
      <w:spacing w:after="0" w:line="240" w:lineRule="auto"/>
    </w:pPr>
    <w:rPr>
      <w:sz w:val="20"/>
      <w:szCs w:val="20"/>
    </w:rPr>
  </w:style>
  <w:style w:type="character" w:customStyle="1" w:styleId="a6">
    <w:name w:val="Текст сноски Знак"/>
    <w:basedOn w:val="a0"/>
    <w:link w:val="a5"/>
    <w:uiPriority w:val="99"/>
    <w:semiHidden/>
    <w:rsid w:val="00405161"/>
    <w:rPr>
      <w:sz w:val="20"/>
      <w:szCs w:val="20"/>
    </w:rPr>
  </w:style>
  <w:style w:type="character" w:styleId="a7">
    <w:name w:val="footnote reference"/>
    <w:basedOn w:val="a0"/>
    <w:uiPriority w:val="99"/>
    <w:semiHidden/>
    <w:unhideWhenUsed/>
    <w:rsid w:val="00405161"/>
    <w:rPr>
      <w:vertAlign w:val="superscript"/>
    </w:rPr>
  </w:style>
  <w:style w:type="character" w:styleId="a8">
    <w:name w:val="FollowedHyperlink"/>
    <w:basedOn w:val="a0"/>
    <w:uiPriority w:val="99"/>
    <w:semiHidden/>
    <w:unhideWhenUsed/>
    <w:rsid w:val="0047630F"/>
    <w:rPr>
      <w:color w:val="954F72" w:themeColor="followedHyperlink"/>
      <w:u w:val="single"/>
    </w:rPr>
  </w:style>
  <w:style w:type="paragraph" w:customStyle="1" w:styleId="Disclaimer">
    <w:name w:val="Disclaimer"/>
    <w:basedOn w:val="a"/>
    <w:qFormat/>
    <w:rsid w:val="0006681C"/>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06681C"/>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06681C"/>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circular-on-virtual-asset-futures-exchange-traded-funds/"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sfc.hk/edistributionWeb/gateway/EN/circular/doc?refNo=22EC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sfc-and-hkma-issue-joint-circular-on-intermediaries-virtual-asset-related-activ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sfc.hk/edistributionWeb/gateway/EN/circular/doc?refNo=22EC60" TargetMode="External"/><Relationship Id="rId4" Type="http://schemas.openxmlformats.org/officeDocument/2006/relationships/settings" Target="settings.xml"/><Relationship Id="rId9" Type="http://schemas.openxmlformats.org/officeDocument/2006/relationships/hyperlink" Target="https://www.charltonslaw.com/hk-government-issues-policy-statement-on-development-of-virtual-assets-in-hong-ko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FD0F-D4B9-406F-88AF-9B52F55C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7</cp:revision>
  <dcterms:created xsi:type="dcterms:W3CDTF">2022-11-08T02:23:00Z</dcterms:created>
  <dcterms:modified xsi:type="dcterms:W3CDTF">2022-11-14T06:34:00Z</dcterms:modified>
</cp:coreProperties>
</file>