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1C2C" w:rsidRPr="00C13D3D" w:rsidRDefault="00151C2C" w:rsidP="00151C2C">
      <w:pPr>
        <w:shd w:val="clear" w:color="auto" w:fill="000000"/>
        <w:spacing w:after="200"/>
        <w:jc w:val="center"/>
        <w:rPr>
          <w:rFonts w:ascii="Cambria" w:eastAsia="Cambria" w:hAnsi="Cambria" w:cs="Times New Roman"/>
          <w:color w:val="FFFFFF"/>
          <w:sz w:val="24"/>
          <w:szCs w:val="24"/>
          <w:lang w:eastAsia="en-US"/>
        </w:rPr>
      </w:pPr>
      <w:proofErr w:type="spellStart"/>
      <w:r>
        <w:rPr>
          <w:rFonts w:ascii="Cambria" w:eastAsia="Cambria" w:hAnsi="Cambria" w:cs="Times New Roman"/>
          <w:color w:val="FFFFFF"/>
          <w:sz w:val="24"/>
          <w:szCs w:val="24"/>
          <w:lang w:eastAsia="en-US"/>
        </w:rPr>
        <w:t>Charltons</w:t>
      </w:r>
      <w:proofErr w:type="spellEnd"/>
      <w:r>
        <w:rPr>
          <w:rFonts w:ascii="Cambria" w:eastAsia="Cambria" w:hAnsi="Cambria" w:cs="Times New Roman"/>
          <w:color w:val="FFFFFF"/>
          <w:sz w:val="24"/>
          <w:szCs w:val="24"/>
          <w:lang w:eastAsia="en-US"/>
        </w:rPr>
        <w:t xml:space="preserve"> - Hong Kong Law - </w:t>
      </w:r>
      <w:r w:rsidR="00FE78F5">
        <w:rPr>
          <w:rFonts w:ascii="Cambria" w:eastAsia="Cambria" w:hAnsi="Cambria" w:cs="Times New Roman"/>
          <w:color w:val="FFFFFF"/>
          <w:sz w:val="24"/>
          <w:szCs w:val="24"/>
          <w:lang w:eastAsia="en-US"/>
        </w:rPr>
        <w:t>10</w:t>
      </w:r>
      <w:r w:rsidRPr="00C13D3D">
        <w:rPr>
          <w:rFonts w:ascii="Cambria" w:eastAsia="Cambria" w:hAnsi="Cambria" w:cs="Times New Roman"/>
          <w:color w:val="FFFFFF"/>
          <w:sz w:val="24"/>
          <w:szCs w:val="24"/>
          <w:lang w:eastAsia="en-US"/>
        </w:rPr>
        <w:t xml:space="preserve"> </w:t>
      </w:r>
      <w:r>
        <w:rPr>
          <w:rFonts w:ascii="Cambria" w:eastAsia="Cambria" w:hAnsi="Cambria" w:cs="Times New Roman"/>
          <w:color w:val="FFFFFF"/>
          <w:sz w:val="24"/>
          <w:szCs w:val="24"/>
          <w:lang w:eastAsia="en-US"/>
        </w:rPr>
        <w:t xml:space="preserve">November </w:t>
      </w:r>
      <w:r w:rsidRPr="00C13D3D">
        <w:rPr>
          <w:rFonts w:ascii="Cambria" w:eastAsia="Cambria" w:hAnsi="Cambria" w:cs="Times New Roman"/>
          <w:color w:val="FFFFFF"/>
          <w:sz w:val="24"/>
          <w:szCs w:val="24"/>
          <w:lang w:eastAsia="en-US"/>
        </w:rPr>
        <w:t>2022</w:t>
      </w:r>
    </w:p>
    <w:p w:rsidR="00151C2C" w:rsidRPr="00151C2C" w:rsidRDefault="00000000" w:rsidP="00151C2C">
      <w:pPr>
        <w:spacing w:after="200"/>
        <w:jc w:val="center"/>
        <w:rPr>
          <w:rFonts w:ascii="Cambria" w:eastAsia="Cambria" w:hAnsi="Cambria" w:cs="Times New Roman"/>
          <w:color w:val="00000A"/>
          <w:sz w:val="28"/>
          <w:szCs w:val="24"/>
          <w:u w:val="single"/>
          <w:lang w:eastAsia="en-US"/>
        </w:rPr>
      </w:pPr>
      <w:hyperlink r:id="rId8" w:history="1">
        <w:r w:rsidR="00151C2C" w:rsidRPr="00365171">
          <w:rPr>
            <w:rStyle w:val="a7"/>
            <w:rFonts w:ascii="Cambria" w:eastAsia="Cambria" w:hAnsi="Cambria" w:cs="Times New Roman"/>
            <w:sz w:val="28"/>
            <w:szCs w:val="24"/>
            <w:lang w:eastAsia="en-US"/>
          </w:rPr>
          <w:t>online version</w:t>
        </w:r>
      </w:hyperlink>
    </w:p>
    <w:p w:rsidR="004A6F2A" w:rsidRPr="00213A8F" w:rsidRDefault="00CC1FF8" w:rsidP="004077A4">
      <w:pPr>
        <w:jc w:val="center"/>
        <w:rPr>
          <w:b/>
          <w:color w:val="FF0000"/>
        </w:rPr>
      </w:pPr>
      <w:proofErr w:type="spellStart"/>
      <w:r>
        <w:rPr>
          <w:b/>
          <w:color w:val="FF0000"/>
        </w:rPr>
        <w:t>HKEx</w:t>
      </w:r>
      <w:proofErr w:type="spellEnd"/>
      <w:r w:rsidR="00E93925">
        <w:rPr>
          <w:b/>
          <w:color w:val="FF0000"/>
        </w:rPr>
        <w:t xml:space="preserve"> </w:t>
      </w:r>
      <w:r w:rsidR="007C0A4F">
        <w:rPr>
          <w:b/>
          <w:color w:val="FF0000"/>
        </w:rPr>
        <w:t>Issues Revised</w:t>
      </w:r>
      <w:r w:rsidR="006B3367" w:rsidRPr="00213A8F">
        <w:rPr>
          <w:b/>
          <w:color w:val="FF0000"/>
        </w:rPr>
        <w:t xml:space="preserve"> Enforcement Sanctions Statement</w:t>
      </w:r>
      <w:r w:rsidR="007C0A4F">
        <w:rPr>
          <w:b/>
          <w:color w:val="FF0000"/>
        </w:rPr>
        <w:t xml:space="preserve"> &amp; New Cooperation Guidance</w:t>
      </w:r>
    </w:p>
    <w:p w:rsidR="00DA693A" w:rsidRDefault="003249EE" w:rsidP="00CC1FF8">
      <w:pPr>
        <w:jc w:val="both"/>
      </w:pPr>
      <w:r>
        <w:t>On 25 October 2022</w:t>
      </w:r>
      <w:r w:rsidR="00CC1FF8">
        <w:t>,</w:t>
      </w:r>
      <w:r>
        <w:t xml:space="preserve"> the Hong Kong Stock </w:t>
      </w:r>
      <w:r w:rsidR="00CC1FF8">
        <w:t>Exchange</w:t>
      </w:r>
      <w:r>
        <w:t xml:space="preserve"> (the </w:t>
      </w:r>
      <w:proofErr w:type="spellStart"/>
      <w:r w:rsidR="00CC1FF8" w:rsidRPr="00CC1FF8">
        <w:rPr>
          <w:b/>
        </w:rPr>
        <w:t>HK</w:t>
      </w:r>
      <w:r w:rsidR="00CC1FF8">
        <w:rPr>
          <w:b/>
        </w:rPr>
        <w:t>Ex</w:t>
      </w:r>
      <w:proofErr w:type="spellEnd"/>
      <w:r w:rsidR="00CC1FF8">
        <w:t>) published its new G</w:t>
      </w:r>
      <w:r>
        <w:t xml:space="preserve">uidance </w:t>
      </w:r>
      <w:r w:rsidR="00CC1FF8">
        <w:t xml:space="preserve">Note </w:t>
      </w:r>
      <w:r>
        <w:t xml:space="preserve">on </w:t>
      </w:r>
      <w:r w:rsidR="00CC1FF8">
        <w:t>C</w:t>
      </w:r>
      <w:r w:rsidR="00F043C5">
        <w:t>ooperation</w:t>
      </w:r>
      <w:r>
        <w:t xml:space="preserve"> and updated </w:t>
      </w:r>
      <w:r w:rsidR="00F043C5">
        <w:t>its Enforcement Sanctions S</w:t>
      </w:r>
      <w:r>
        <w:t xml:space="preserve">tatement. </w:t>
      </w:r>
    </w:p>
    <w:p w:rsidR="004077A4" w:rsidRDefault="004077A4" w:rsidP="004077A4">
      <w:pPr>
        <w:rPr>
          <w:b/>
          <w:color w:val="FF0000"/>
        </w:rPr>
      </w:pPr>
      <w:r w:rsidRPr="009E1461">
        <w:rPr>
          <w:b/>
          <w:color w:val="FF0000"/>
        </w:rPr>
        <w:t xml:space="preserve">The </w:t>
      </w:r>
      <w:proofErr w:type="spellStart"/>
      <w:r w:rsidR="009E1461">
        <w:rPr>
          <w:b/>
          <w:color w:val="FF0000"/>
        </w:rPr>
        <w:t>HKEx</w:t>
      </w:r>
      <w:proofErr w:type="spellEnd"/>
      <w:r w:rsidR="009E1461">
        <w:rPr>
          <w:b/>
          <w:color w:val="FF0000"/>
        </w:rPr>
        <w:t xml:space="preserve"> </w:t>
      </w:r>
      <w:r w:rsidRPr="009E1461">
        <w:rPr>
          <w:b/>
          <w:color w:val="FF0000"/>
        </w:rPr>
        <w:t xml:space="preserve">Enforcement Sanctions Statement </w:t>
      </w:r>
    </w:p>
    <w:p w:rsidR="00205730" w:rsidRDefault="00205730" w:rsidP="00205730">
      <w:pPr>
        <w:jc w:val="both"/>
      </w:pPr>
      <w:r>
        <w:t xml:space="preserve">The </w:t>
      </w:r>
      <w:hyperlink r:id="rId9" w:history="1">
        <w:r w:rsidRPr="00CC1FF8">
          <w:rPr>
            <w:rStyle w:val="a7"/>
          </w:rPr>
          <w:t>Enforcement Sanctions Statement</w:t>
        </w:r>
      </w:hyperlink>
      <w:r>
        <w:t xml:space="preserve"> sets out the general principles and factors that a Disciplinary Committee or the Listing Review Committee (the </w:t>
      </w:r>
      <w:r w:rsidRPr="003249EE">
        <w:rPr>
          <w:b/>
        </w:rPr>
        <w:t>Committee</w:t>
      </w:r>
      <w:r>
        <w:t xml:space="preserve">) should generally take into account when considering and determining sanctions for breaches of the Main Board and GEM Listing Rules (the </w:t>
      </w:r>
      <w:proofErr w:type="spellStart"/>
      <w:r w:rsidRPr="00CC1FF8">
        <w:rPr>
          <w:b/>
        </w:rPr>
        <w:t>HKEx</w:t>
      </w:r>
      <w:proofErr w:type="spellEnd"/>
      <w:r w:rsidRPr="00CC1FF8">
        <w:rPr>
          <w:b/>
        </w:rPr>
        <w:t xml:space="preserve"> Listing</w:t>
      </w:r>
      <w:r>
        <w:t xml:space="preserve"> </w:t>
      </w:r>
      <w:r w:rsidRPr="00F50B70">
        <w:rPr>
          <w:b/>
        </w:rPr>
        <w:t>Rules</w:t>
      </w:r>
      <w:r>
        <w:t xml:space="preserve">). It serves to assist the Committee in achieving consistency when determining and imposing sanctions. </w:t>
      </w:r>
      <w:proofErr w:type="gramStart"/>
      <w:r>
        <w:t>However</w:t>
      </w:r>
      <w:proofErr w:type="gramEnd"/>
      <w:r>
        <w:t xml:space="preserve"> the factors and principles it sets out are not exhaustive. Nor does it allow the Committee to derogate from its obligation to have regard to all relevant circumstances of the individual case when determining the appropriate sanctions and directions. </w:t>
      </w:r>
    </w:p>
    <w:p w:rsidR="004077A4" w:rsidRPr="009E1461" w:rsidRDefault="004077A4">
      <w:pPr>
        <w:rPr>
          <w:b/>
        </w:rPr>
      </w:pPr>
      <w:r w:rsidRPr="009E1461">
        <w:rPr>
          <w:b/>
        </w:rPr>
        <w:t xml:space="preserve">The General Principles </w:t>
      </w:r>
    </w:p>
    <w:p w:rsidR="00F50B70" w:rsidRDefault="00F50B70" w:rsidP="00CC1FF8">
      <w:pPr>
        <w:jc w:val="both"/>
      </w:pPr>
      <w:r>
        <w:t xml:space="preserve">The Committee imposes disciplinary sanctions in order to protect the public and the integrity of the Hong Kong market and </w:t>
      </w:r>
      <w:r w:rsidR="009E1461">
        <w:t xml:space="preserve">its </w:t>
      </w:r>
      <w:r>
        <w:t>facilities with a view to:</w:t>
      </w:r>
    </w:p>
    <w:p w:rsidR="002B07EC" w:rsidRDefault="00702C59" w:rsidP="00CC1FF8">
      <w:pPr>
        <w:pStyle w:val="a3"/>
        <w:numPr>
          <w:ilvl w:val="0"/>
          <w:numId w:val="14"/>
        </w:numPr>
        <w:jc w:val="both"/>
      </w:pPr>
      <w:r>
        <w:t>d</w:t>
      </w:r>
      <w:r w:rsidR="00F50B70">
        <w:t>eter</w:t>
      </w:r>
      <w:r w:rsidR="009E1461">
        <w:t>ring</w:t>
      </w:r>
      <w:r w:rsidR="00F50B70">
        <w:t xml:space="preserve"> further breaches of the </w:t>
      </w:r>
      <w:proofErr w:type="spellStart"/>
      <w:r w:rsidR="009E1461">
        <w:t>HKEx</w:t>
      </w:r>
      <w:proofErr w:type="spellEnd"/>
      <w:r w:rsidR="009E1461">
        <w:t xml:space="preserve"> Listing </w:t>
      </w:r>
      <w:r w:rsidR="00F50B70">
        <w:t>Rules</w:t>
      </w:r>
      <w:r>
        <w:t xml:space="preserve"> by respondent(s);</w:t>
      </w:r>
    </w:p>
    <w:p w:rsidR="002B07EC" w:rsidRDefault="002B07EC" w:rsidP="00CC1FF8">
      <w:pPr>
        <w:pStyle w:val="a3"/>
        <w:ind w:left="765"/>
        <w:jc w:val="both"/>
      </w:pPr>
    </w:p>
    <w:p w:rsidR="00F50B70" w:rsidRDefault="00702C59" w:rsidP="00CC1FF8">
      <w:pPr>
        <w:pStyle w:val="a3"/>
        <w:numPr>
          <w:ilvl w:val="0"/>
          <w:numId w:val="14"/>
        </w:numPr>
        <w:jc w:val="both"/>
      </w:pPr>
      <w:r>
        <w:t>i</w:t>
      </w:r>
      <w:r w:rsidR="009E1461">
        <w:t>mproving</w:t>
      </w:r>
      <w:r w:rsidR="00F50B70">
        <w:t xml:space="preserve"> corporate governance</w:t>
      </w:r>
      <w:r w:rsidR="00FE78F5">
        <w:t>;</w:t>
      </w:r>
    </w:p>
    <w:p w:rsidR="002B07EC" w:rsidRDefault="002B07EC" w:rsidP="00CC1FF8">
      <w:pPr>
        <w:pStyle w:val="a3"/>
        <w:ind w:left="765"/>
        <w:jc w:val="both"/>
      </w:pPr>
    </w:p>
    <w:p w:rsidR="002B07EC" w:rsidRDefault="00702C59" w:rsidP="00CC1FF8">
      <w:pPr>
        <w:pStyle w:val="a3"/>
        <w:numPr>
          <w:ilvl w:val="0"/>
          <w:numId w:val="14"/>
        </w:numPr>
        <w:jc w:val="both"/>
      </w:pPr>
      <w:r>
        <w:t>r</w:t>
      </w:r>
      <w:r w:rsidR="00F50B70">
        <w:t>emedy</w:t>
      </w:r>
      <w:r w:rsidR="009E1461">
        <w:t>ing</w:t>
      </w:r>
      <w:r w:rsidR="00F50B70">
        <w:t xml:space="preserve"> conduct in breach of the </w:t>
      </w:r>
      <w:proofErr w:type="spellStart"/>
      <w:r w:rsidR="009E1461">
        <w:t>HKEx</w:t>
      </w:r>
      <w:proofErr w:type="spellEnd"/>
      <w:r w:rsidR="009E1461">
        <w:t xml:space="preserve"> Listing </w:t>
      </w:r>
      <w:r w:rsidR="00F50B70">
        <w:t>Rules</w:t>
      </w:r>
      <w:r>
        <w:t>; and</w:t>
      </w:r>
      <w:r w:rsidR="00F50B70">
        <w:t xml:space="preserve"> </w:t>
      </w:r>
    </w:p>
    <w:p w:rsidR="002B07EC" w:rsidRDefault="002B07EC" w:rsidP="00CC1FF8">
      <w:pPr>
        <w:pStyle w:val="a3"/>
        <w:ind w:left="765"/>
        <w:jc w:val="both"/>
      </w:pPr>
    </w:p>
    <w:p w:rsidR="00F50B70" w:rsidRDefault="00702C59" w:rsidP="00CC1FF8">
      <w:pPr>
        <w:pStyle w:val="a3"/>
        <w:numPr>
          <w:ilvl w:val="0"/>
          <w:numId w:val="14"/>
        </w:numPr>
        <w:jc w:val="both"/>
      </w:pPr>
      <w:r>
        <w:t>g</w:t>
      </w:r>
      <w:r w:rsidR="00F50B70">
        <w:t>enerally deter</w:t>
      </w:r>
      <w:r w:rsidR="009E1461">
        <w:t>ring</w:t>
      </w:r>
      <w:r w:rsidR="00F50B70">
        <w:t xml:space="preserve"> </w:t>
      </w:r>
      <w:proofErr w:type="gramStart"/>
      <w:r w:rsidR="00F50B70">
        <w:t>those subject</w:t>
      </w:r>
      <w:proofErr w:type="gramEnd"/>
      <w:r w:rsidR="00F50B70">
        <w:t xml:space="preserve"> to the </w:t>
      </w:r>
      <w:proofErr w:type="spellStart"/>
      <w:r w:rsidR="00CC1FF8">
        <w:t>HKEx</w:t>
      </w:r>
      <w:r w:rsidR="009E1461">
        <w:t>’s</w:t>
      </w:r>
      <w:proofErr w:type="spellEnd"/>
      <w:r w:rsidR="009E1461">
        <w:t xml:space="preserve"> disciplinary jurisdiction fr</w:t>
      </w:r>
      <w:r w:rsidR="00F50B70">
        <w:t>o</w:t>
      </w:r>
      <w:r w:rsidR="009E1461">
        <w:t>m engaging</w:t>
      </w:r>
      <w:r w:rsidR="00F50B70">
        <w:t xml:space="preserve"> in the same or similar misconduct</w:t>
      </w:r>
      <w:r>
        <w:t>.</w:t>
      </w:r>
    </w:p>
    <w:p w:rsidR="00702C59" w:rsidRDefault="009E1461" w:rsidP="00CC1FF8">
      <w:pPr>
        <w:jc w:val="both"/>
      </w:pPr>
      <w:r>
        <w:t>The Committee</w:t>
      </w:r>
      <w:r w:rsidR="00053041">
        <w:t xml:space="preserve"> will take into account the circumstances of the breach</w:t>
      </w:r>
      <w:r w:rsidR="009333B3">
        <w:t>, the seriousness of the misconduct and any mitigating or aggravating factors</w:t>
      </w:r>
      <w:r w:rsidR="00702C59">
        <w:t>,</w:t>
      </w:r>
      <w:r w:rsidR="009333B3">
        <w:t xml:space="preserve"> and</w:t>
      </w:r>
      <w:r w:rsidR="00053041">
        <w:t xml:space="preserve"> impose more sever</w:t>
      </w:r>
      <w:r w:rsidR="009333B3">
        <w:t>e</w:t>
      </w:r>
      <w:r w:rsidR="00053041">
        <w:t xml:space="preserve"> disciplinary sanctions for</w:t>
      </w:r>
      <w:r>
        <w:t xml:space="preserve"> repeated misconduct or where misconduct</w:t>
      </w:r>
      <w:r w:rsidR="00521C3C">
        <w:t xml:space="preserve"> “evidences an intentional, </w:t>
      </w:r>
      <w:proofErr w:type="spellStart"/>
      <w:r w:rsidR="00521C3C">
        <w:t>wil</w:t>
      </w:r>
      <w:r w:rsidR="00053041">
        <w:t>ful</w:t>
      </w:r>
      <w:proofErr w:type="spellEnd"/>
      <w:r w:rsidR="00053041">
        <w:t xml:space="preserve"> or reckless disregard</w:t>
      </w:r>
      <w:r>
        <w:t>”</w:t>
      </w:r>
      <w:r w:rsidR="00521C3C" w:rsidRPr="00521C3C">
        <w:rPr>
          <w:rStyle w:val="a6"/>
        </w:rPr>
        <w:t xml:space="preserve"> </w:t>
      </w:r>
      <w:r w:rsidR="00521C3C">
        <w:rPr>
          <w:rStyle w:val="a6"/>
        </w:rPr>
        <w:footnoteReference w:id="1"/>
      </w:r>
      <w:r>
        <w:t xml:space="preserve"> for the </w:t>
      </w:r>
      <w:proofErr w:type="spellStart"/>
      <w:r>
        <w:t>HKEx</w:t>
      </w:r>
      <w:proofErr w:type="spellEnd"/>
      <w:r>
        <w:t xml:space="preserve"> Listing Rules</w:t>
      </w:r>
      <w:r w:rsidR="00053041">
        <w:t>.</w:t>
      </w:r>
      <w:r w:rsidR="009333B3">
        <w:t xml:space="preserve"> </w:t>
      </w:r>
    </w:p>
    <w:p w:rsidR="001961B5" w:rsidRDefault="009333B3" w:rsidP="00CC1FF8">
      <w:pPr>
        <w:jc w:val="both"/>
      </w:pPr>
      <w:r>
        <w:t>The</w:t>
      </w:r>
      <w:r w:rsidR="00702C59">
        <w:t xml:space="preserve"> misconduct’s</w:t>
      </w:r>
      <w:r>
        <w:t xml:space="preserve"> level of ser</w:t>
      </w:r>
      <w:r w:rsidR="00702C59">
        <w:t xml:space="preserve">iousness will be considered </w:t>
      </w:r>
      <w:r w:rsidR="00F043C5">
        <w:t xml:space="preserve">with </w:t>
      </w:r>
      <w:r w:rsidR="00702C59">
        <w:t>reference to</w:t>
      </w:r>
      <w:r>
        <w:t xml:space="preserve"> the circumstances of the breach</w:t>
      </w:r>
      <w:r w:rsidR="001961B5">
        <w:t xml:space="preserve">, the conduct involved and the mitigating or aggravating factors below. </w:t>
      </w:r>
    </w:p>
    <w:p w:rsidR="001961B5" w:rsidRPr="009E1461" w:rsidRDefault="00F043C5" w:rsidP="00CC1FF8">
      <w:pPr>
        <w:jc w:val="both"/>
        <w:rPr>
          <w:b/>
        </w:rPr>
      </w:pPr>
      <w:r w:rsidRPr="009E1461">
        <w:rPr>
          <w:b/>
        </w:rPr>
        <w:t>The Mitigating or A</w:t>
      </w:r>
      <w:r w:rsidR="001961B5" w:rsidRPr="009E1461">
        <w:rPr>
          <w:b/>
        </w:rPr>
        <w:t xml:space="preserve">ggravating factors </w:t>
      </w:r>
    </w:p>
    <w:p w:rsidR="00901AA5" w:rsidRDefault="00901AA5" w:rsidP="00CC1FF8">
      <w:pPr>
        <w:jc w:val="both"/>
      </w:pPr>
      <w:r>
        <w:t>Factors that the Committee</w:t>
      </w:r>
      <w:r w:rsidR="00521C3C">
        <w:t xml:space="preserve"> may take into consideration include (among others)</w:t>
      </w:r>
      <w:r>
        <w:t xml:space="preserve">: </w:t>
      </w:r>
    </w:p>
    <w:p w:rsidR="00E12CA8" w:rsidRDefault="00F043C5" w:rsidP="00CC1FF8">
      <w:pPr>
        <w:pStyle w:val="a3"/>
        <w:numPr>
          <w:ilvl w:val="0"/>
          <w:numId w:val="8"/>
        </w:numPr>
        <w:jc w:val="both"/>
      </w:pPr>
      <w:r>
        <w:t>t</w:t>
      </w:r>
      <w:r w:rsidR="00E12CA8">
        <w:t>he respondent(s)</w:t>
      </w:r>
      <w:r w:rsidR="00E16606">
        <w:t>’</w:t>
      </w:r>
      <w:r w:rsidR="00E12CA8">
        <w:t xml:space="preserve"> compliance history</w:t>
      </w:r>
      <w:r w:rsidR="00702C59">
        <w:t>;</w:t>
      </w:r>
      <w:r w:rsidR="00E12CA8">
        <w:t xml:space="preserve"> </w:t>
      </w:r>
    </w:p>
    <w:p w:rsidR="002B07EC" w:rsidRDefault="002B07EC" w:rsidP="00CC1FF8">
      <w:pPr>
        <w:pStyle w:val="a3"/>
        <w:jc w:val="both"/>
      </w:pPr>
    </w:p>
    <w:p w:rsidR="002B07EC" w:rsidRDefault="00702C59" w:rsidP="00CC1FF8">
      <w:pPr>
        <w:pStyle w:val="a3"/>
        <w:numPr>
          <w:ilvl w:val="0"/>
          <w:numId w:val="8"/>
        </w:numPr>
        <w:jc w:val="both"/>
      </w:pPr>
      <w:r>
        <w:lastRenderedPageBreak/>
        <w:t>w</w:t>
      </w:r>
      <w:r w:rsidR="00E12CA8">
        <w:t xml:space="preserve">hat disciplinary </w:t>
      </w:r>
      <w:r w:rsidR="00350172">
        <w:t xml:space="preserve">sanctions were previously applied </w:t>
      </w:r>
      <w:r w:rsidR="00E12CA8">
        <w:t xml:space="preserve">by the </w:t>
      </w:r>
      <w:proofErr w:type="spellStart"/>
      <w:r w:rsidR="00CC1FF8">
        <w:t>HKEx</w:t>
      </w:r>
      <w:proofErr w:type="spellEnd"/>
      <w:r w:rsidR="00E12CA8">
        <w:t xml:space="preserve"> with regard to the same or similar types of breach, or </w:t>
      </w:r>
      <w:r>
        <w:t>in</w:t>
      </w:r>
      <w:r w:rsidR="00350172">
        <w:t xml:space="preserve"> </w:t>
      </w:r>
      <w:r w:rsidR="00E12CA8">
        <w:t>comparable circumstance</w:t>
      </w:r>
      <w:r w:rsidR="00350172">
        <w:t>s</w:t>
      </w:r>
      <w:r>
        <w:t>;</w:t>
      </w:r>
      <w:r w:rsidR="00E12CA8">
        <w:t xml:space="preserve"> </w:t>
      </w:r>
    </w:p>
    <w:p w:rsidR="002B07EC" w:rsidRDefault="002B07EC" w:rsidP="00CC1FF8">
      <w:pPr>
        <w:pStyle w:val="a3"/>
        <w:jc w:val="both"/>
      </w:pPr>
    </w:p>
    <w:p w:rsidR="00E12CA8" w:rsidRDefault="00702C59" w:rsidP="00CC1FF8">
      <w:pPr>
        <w:pStyle w:val="a3"/>
        <w:numPr>
          <w:ilvl w:val="0"/>
          <w:numId w:val="8"/>
        </w:numPr>
        <w:jc w:val="both"/>
      </w:pPr>
      <w:r>
        <w:t>t</w:t>
      </w:r>
      <w:r w:rsidR="00E12CA8">
        <w:t>he degree and extent of the respondent(s)</w:t>
      </w:r>
      <w:r w:rsidR="00E16606">
        <w:t>’</w:t>
      </w:r>
      <w:r w:rsidR="00E12CA8">
        <w:t xml:space="preserve"> cooperation</w:t>
      </w:r>
      <w:r w:rsidR="009E1461">
        <w:t xml:space="preserve"> (see the </w:t>
      </w:r>
      <w:r>
        <w:t>section</w:t>
      </w:r>
      <w:r w:rsidR="009E1461">
        <w:t xml:space="preserve"> on the </w:t>
      </w:r>
      <w:proofErr w:type="spellStart"/>
      <w:r w:rsidR="009E1461">
        <w:t>HKEx’s</w:t>
      </w:r>
      <w:proofErr w:type="spellEnd"/>
      <w:r w:rsidR="009E1461">
        <w:t xml:space="preserve"> Guidance Note on Cooperation below</w:t>
      </w:r>
      <w:r>
        <w:t xml:space="preserve">); </w:t>
      </w:r>
    </w:p>
    <w:p w:rsidR="002B07EC" w:rsidRDefault="002B07EC" w:rsidP="00CC1FF8">
      <w:pPr>
        <w:pStyle w:val="a3"/>
        <w:jc w:val="both"/>
      </w:pPr>
    </w:p>
    <w:p w:rsidR="00E16606" w:rsidRDefault="00E12CA8" w:rsidP="00CC1FF8">
      <w:pPr>
        <w:pStyle w:val="a3"/>
        <w:numPr>
          <w:ilvl w:val="0"/>
          <w:numId w:val="8"/>
        </w:numPr>
        <w:jc w:val="both"/>
      </w:pPr>
      <w:r>
        <w:t xml:space="preserve">the size of any commercial or financial benefit obtained </w:t>
      </w:r>
      <w:r w:rsidR="00F043C5">
        <w:t>as a result of</w:t>
      </w:r>
      <w:r>
        <w:t xml:space="preserve"> the misconduct</w:t>
      </w:r>
      <w:r w:rsidR="000C24A8">
        <w:t>;</w:t>
      </w:r>
    </w:p>
    <w:p w:rsidR="00E16606" w:rsidRDefault="00E16606" w:rsidP="00CC1FF8">
      <w:pPr>
        <w:pStyle w:val="a3"/>
        <w:jc w:val="both"/>
      </w:pPr>
    </w:p>
    <w:p w:rsidR="00E12CA8" w:rsidRDefault="000C24A8" w:rsidP="00CC1FF8">
      <w:pPr>
        <w:pStyle w:val="a3"/>
        <w:numPr>
          <w:ilvl w:val="0"/>
          <w:numId w:val="8"/>
        </w:numPr>
        <w:jc w:val="both"/>
      </w:pPr>
      <w:r>
        <w:t>w</w:t>
      </w:r>
      <w:r w:rsidR="00E12CA8">
        <w:t>hether the relevant conduct had th</w:t>
      </w:r>
      <w:r w:rsidR="00E16606">
        <w:t>e potential to damage or damage</w:t>
      </w:r>
      <w:r w:rsidR="00E12CA8">
        <w:t xml:space="preserve"> the </w:t>
      </w:r>
      <w:proofErr w:type="spellStart"/>
      <w:r w:rsidR="00CC1FF8">
        <w:t>HKEx</w:t>
      </w:r>
      <w:r w:rsidR="00E12CA8">
        <w:t>’s</w:t>
      </w:r>
      <w:proofErr w:type="spellEnd"/>
      <w:r w:rsidR="00E12CA8">
        <w:t xml:space="preserve"> reputation or the integrit</w:t>
      </w:r>
      <w:r>
        <w:t>y of the market and facilities operated by it;</w:t>
      </w:r>
    </w:p>
    <w:p w:rsidR="002B07EC" w:rsidRDefault="002B07EC" w:rsidP="00CC1FF8">
      <w:pPr>
        <w:pStyle w:val="a3"/>
        <w:jc w:val="both"/>
      </w:pPr>
    </w:p>
    <w:p w:rsidR="00E12CA8" w:rsidRDefault="00E12CA8" w:rsidP="00CC1FF8">
      <w:pPr>
        <w:pStyle w:val="a3"/>
        <w:numPr>
          <w:ilvl w:val="0"/>
          <w:numId w:val="8"/>
        </w:numPr>
        <w:jc w:val="both"/>
      </w:pPr>
      <w:r>
        <w:t>Whether the</w:t>
      </w:r>
      <w:r w:rsidR="00521C3C">
        <w:t xml:space="preserve"> misconduct</w:t>
      </w:r>
      <w:r w:rsidR="00E10087">
        <w:t>:</w:t>
      </w:r>
    </w:p>
    <w:p w:rsidR="00521C3C" w:rsidRDefault="00521C3C" w:rsidP="00521C3C">
      <w:pPr>
        <w:pStyle w:val="a3"/>
      </w:pPr>
    </w:p>
    <w:p w:rsidR="000C24A8" w:rsidRDefault="000C24A8" w:rsidP="00521C3C">
      <w:pPr>
        <w:pStyle w:val="a3"/>
        <w:numPr>
          <w:ilvl w:val="1"/>
          <w:numId w:val="8"/>
        </w:numPr>
        <w:ind w:left="1560" w:hanging="480"/>
        <w:jc w:val="both"/>
      </w:pPr>
      <w:r>
        <w:t>w</w:t>
      </w:r>
      <w:r w:rsidR="00E12CA8">
        <w:t xml:space="preserve">as </w:t>
      </w:r>
      <w:r>
        <w:t>“</w:t>
      </w:r>
      <w:r w:rsidR="00521C3C">
        <w:t xml:space="preserve">unintentional, negligent, </w:t>
      </w:r>
      <w:proofErr w:type="spellStart"/>
      <w:r w:rsidR="00521C3C">
        <w:t>wil</w:t>
      </w:r>
      <w:r w:rsidR="00E12CA8">
        <w:t>ful</w:t>
      </w:r>
      <w:proofErr w:type="spellEnd"/>
      <w:r w:rsidR="00E12CA8">
        <w:t>, reckless, intentional, deceptive, manipulative and/or fraudulent</w:t>
      </w:r>
      <w:r>
        <w:t>”;</w:t>
      </w:r>
    </w:p>
    <w:p w:rsidR="00E12CA8" w:rsidRDefault="000C24A8" w:rsidP="00521C3C">
      <w:pPr>
        <w:pStyle w:val="a3"/>
        <w:numPr>
          <w:ilvl w:val="1"/>
          <w:numId w:val="8"/>
        </w:numPr>
        <w:ind w:left="1560" w:hanging="480"/>
        <w:jc w:val="both"/>
      </w:pPr>
      <w:r>
        <w:t>was an isolated event or occurred over an extended period of time;</w:t>
      </w:r>
    </w:p>
    <w:p w:rsidR="00E12CA8" w:rsidRDefault="000C24A8" w:rsidP="00521C3C">
      <w:pPr>
        <w:pStyle w:val="a3"/>
        <w:numPr>
          <w:ilvl w:val="1"/>
          <w:numId w:val="8"/>
        </w:numPr>
        <w:ind w:left="1560" w:hanging="480"/>
        <w:jc w:val="both"/>
      </w:pPr>
      <w:r>
        <w:t>w</w:t>
      </w:r>
      <w:r w:rsidR="00E12CA8">
        <w:t xml:space="preserve">as systemic or indicative of a pattern of noncompliance with the </w:t>
      </w:r>
      <w:proofErr w:type="spellStart"/>
      <w:r w:rsidR="00521C3C">
        <w:t>HKEx</w:t>
      </w:r>
      <w:proofErr w:type="spellEnd"/>
      <w:r w:rsidR="00521C3C">
        <w:t xml:space="preserve"> Listing </w:t>
      </w:r>
      <w:r w:rsidR="00E12CA8">
        <w:t>Rules</w:t>
      </w:r>
      <w:r>
        <w:t>;</w:t>
      </w:r>
      <w:r w:rsidR="00E12CA8">
        <w:t xml:space="preserve"> </w:t>
      </w:r>
      <w:r>
        <w:t>and</w:t>
      </w:r>
    </w:p>
    <w:p w:rsidR="002B07EC" w:rsidRDefault="000C24A8" w:rsidP="00521C3C">
      <w:pPr>
        <w:pStyle w:val="a3"/>
        <w:numPr>
          <w:ilvl w:val="1"/>
          <w:numId w:val="8"/>
        </w:numPr>
        <w:ind w:left="1560" w:hanging="480"/>
        <w:jc w:val="both"/>
      </w:pPr>
      <w:r>
        <w:t>r</w:t>
      </w:r>
      <w:r w:rsidR="00E12CA8">
        <w:t>esulted in or had the potential to result in loss or injury to other parties (</w:t>
      </w:r>
      <w:r w:rsidR="00FC1ABF">
        <w:t>for example</w:t>
      </w:r>
      <w:r w:rsidR="00E12CA8">
        <w:t xml:space="preserve"> shareholders, the investing public, other market participants and creditors</w:t>
      </w:r>
      <w:r w:rsidR="00E10087">
        <w:t>)</w:t>
      </w:r>
      <w:r w:rsidR="00350172">
        <w:t>, and t</w:t>
      </w:r>
      <w:r w:rsidR="00E10087">
        <w:t>he nature and extent of the actual or potential loss or</w:t>
      </w:r>
      <w:r w:rsidR="00F043C5">
        <w:t xml:space="preserve"> injury.</w:t>
      </w:r>
    </w:p>
    <w:p w:rsidR="002B07EC" w:rsidRDefault="002B07EC" w:rsidP="00CC1FF8">
      <w:pPr>
        <w:pStyle w:val="a3"/>
        <w:jc w:val="both"/>
      </w:pPr>
    </w:p>
    <w:p w:rsidR="00E10087" w:rsidRDefault="00E10087" w:rsidP="00CC1FF8">
      <w:pPr>
        <w:pStyle w:val="a3"/>
        <w:numPr>
          <w:ilvl w:val="0"/>
          <w:numId w:val="8"/>
        </w:numPr>
        <w:jc w:val="both"/>
      </w:pPr>
      <w:r>
        <w:t xml:space="preserve">Whether </w:t>
      </w:r>
      <w:r w:rsidR="00E16606">
        <w:t>the respondent(s)</w:t>
      </w:r>
      <w:r w:rsidR="000C24A8">
        <w:t>;</w:t>
      </w:r>
      <w:r>
        <w:t xml:space="preserve"> </w:t>
      </w:r>
    </w:p>
    <w:p w:rsidR="00E10087" w:rsidRDefault="000C24A8" w:rsidP="00521C3C">
      <w:pPr>
        <w:pStyle w:val="a3"/>
        <w:numPr>
          <w:ilvl w:val="1"/>
          <w:numId w:val="8"/>
        </w:numPr>
        <w:ind w:left="1560" w:hanging="567"/>
        <w:jc w:val="both"/>
      </w:pPr>
      <w:r>
        <w:t>m</w:t>
      </w:r>
      <w:r w:rsidR="00E10087">
        <w:t>ade an early decision not to contest the case brought against them</w:t>
      </w:r>
      <w:r>
        <w:t xml:space="preserve"> (</w:t>
      </w:r>
      <w:r w:rsidR="00E10087">
        <w:t>inclusive of any recommendations as to sanctions/direction</w:t>
      </w:r>
      <w:r>
        <w:t xml:space="preserve">s); </w:t>
      </w:r>
    </w:p>
    <w:p w:rsidR="00E10087" w:rsidRDefault="000C24A8" w:rsidP="00521C3C">
      <w:pPr>
        <w:pStyle w:val="a3"/>
        <w:numPr>
          <w:ilvl w:val="1"/>
          <w:numId w:val="8"/>
        </w:numPr>
        <w:ind w:left="1560" w:hanging="567"/>
        <w:jc w:val="both"/>
      </w:pPr>
      <w:r>
        <w:t>self-reported</w:t>
      </w:r>
      <w:r w:rsidR="00E10087">
        <w:t xml:space="preserve"> the misconduct in a timely and cooperative manner</w:t>
      </w:r>
      <w:r w:rsidR="00F043C5">
        <w:t>,</w:t>
      </w:r>
      <w:r w:rsidR="00E10087">
        <w:t xml:space="preserve"> or there was a failure to report or attempts</w:t>
      </w:r>
      <w:r>
        <w:t xml:space="preserve"> to conceal it;</w:t>
      </w:r>
      <w:r w:rsidR="00E10087">
        <w:t xml:space="preserve"> </w:t>
      </w:r>
    </w:p>
    <w:p w:rsidR="00F043C5" w:rsidRDefault="000C24A8" w:rsidP="00521C3C">
      <w:pPr>
        <w:pStyle w:val="a3"/>
        <w:numPr>
          <w:ilvl w:val="1"/>
          <w:numId w:val="8"/>
        </w:numPr>
        <w:ind w:left="1560" w:hanging="567"/>
        <w:jc w:val="both"/>
      </w:pPr>
      <w:r>
        <w:t>t</w:t>
      </w:r>
      <w:r w:rsidR="00E10087">
        <w:t>ook any steps to remediate the breaches or redress any risk, loss or injury caused</w:t>
      </w:r>
      <w:r w:rsidR="00F043C5">
        <w:t>;</w:t>
      </w:r>
    </w:p>
    <w:p w:rsidR="00E10087" w:rsidRDefault="00F043C5" w:rsidP="00521C3C">
      <w:pPr>
        <w:pStyle w:val="a3"/>
        <w:numPr>
          <w:ilvl w:val="1"/>
          <w:numId w:val="8"/>
        </w:numPr>
        <w:ind w:left="1560" w:hanging="567"/>
        <w:jc w:val="both"/>
      </w:pPr>
      <w:r>
        <w:t>took</w:t>
      </w:r>
      <w:r w:rsidR="00E10087">
        <w:t xml:space="preserve"> steps or measures to prevent recurrence of the contravening conduct subsequent to the breach</w:t>
      </w:r>
      <w:r w:rsidR="000C24A8">
        <w:t>;</w:t>
      </w:r>
    </w:p>
    <w:p w:rsidR="00350172" w:rsidRDefault="000C24A8" w:rsidP="00521C3C">
      <w:pPr>
        <w:pStyle w:val="a3"/>
        <w:numPr>
          <w:ilvl w:val="1"/>
          <w:numId w:val="8"/>
        </w:numPr>
        <w:ind w:left="1560" w:hanging="567"/>
        <w:jc w:val="both"/>
      </w:pPr>
      <w:r>
        <w:t>p</w:t>
      </w:r>
      <w:r w:rsidR="00350172">
        <w:t>laced reasonable reliance on independent professional advice and consid</w:t>
      </w:r>
      <w:r>
        <w:t>ered accounting or legal advice;</w:t>
      </w:r>
    </w:p>
    <w:p w:rsidR="00E10087" w:rsidRDefault="000C24A8" w:rsidP="00521C3C">
      <w:pPr>
        <w:pStyle w:val="a3"/>
        <w:numPr>
          <w:ilvl w:val="1"/>
          <w:numId w:val="8"/>
        </w:numPr>
        <w:ind w:left="1560" w:hanging="567"/>
        <w:jc w:val="both"/>
      </w:pPr>
      <w:r>
        <w:t>h</w:t>
      </w:r>
      <w:r w:rsidR="00E10087">
        <w:t xml:space="preserve">ad, at the time of the breach, </w:t>
      </w:r>
      <w:r>
        <w:t>“</w:t>
      </w:r>
      <w:r w:rsidR="00E10087">
        <w:t>appropriate supervisory, risk management, operation or technical procedures and/or control</w:t>
      </w:r>
      <w:r w:rsidR="00F043C5">
        <w:t>s</w:t>
      </w:r>
      <w:r w:rsidR="00E10087">
        <w:t xml:space="preserve"> in place for procuring compliance with the Rules</w:t>
      </w:r>
      <w:r>
        <w:t>”;</w:t>
      </w:r>
    </w:p>
    <w:p w:rsidR="00E10087" w:rsidRDefault="000C24A8" w:rsidP="00521C3C">
      <w:pPr>
        <w:pStyle w:val="a3"/>
        <w:numPr>
          <w:ilvl w:val="1"/>
          <w:numId w:val="8"/>
        </w:numPr>
        <w:ind w:left="1560" w:hanging="567"/>
        <w:jc w:val="both"/>
      </w:pPr>
      <w:r>
        <w:t>p</w:t>
      </w:r>
      <w:r w:rsidR="00E10087">
        <w:t>articipated in the disciplinary proceedings by filing written submissions</w:t>
      </w:r>
      <w:r>
        <w:t>; and</w:t>
      </w:r>
      <w:r w:rsidR="00E10087">
        <w:t xml:space="preserve"> </w:t>
      </w:r>
    </w:p>
    <w:p w:rsidR="00E10087" w:rsidRDefault="000C24A8" w:rsidP="00521C3C">
      <w:pPr>
        <w:pStyle w:val="a3"/>
        <w:numPr>
          <w:ilvl w:val="1"/>
          <w:numId w:val="8"/>
        </w:numPr>
        <w:ind w:left="1560" w:hanging="567"/>
        <w:jc w:val="both"/>
      </w:pPr>
      <w:r>
        <w:t>except where attendance has been excused, a</w:t>
      </w:r>
      <w:r w:rsidR="00E10087">
        <w:t>ttended the disciplinary hearing</w:t>
      </w:r>
      <w:r>
        <w:t>.</w:t>
      </w:r>
    </w:p>
    <w:p w:rsidR="00053041" w:rsidRDefault="009333B3" w:rsidP="00CC1FF8">
      <w:pPr>
        <w:jc w:val="both"/>
      </w:pPr>
      <w:r>
        <w:t>Disciplinary sanctions will be determined on the basis of the evidence and su</w:t>
      </w:r>
      <w:r w:rsidR="001961B5">
        <w:t xml:space="preserve">bmissions before the Committee. Further, where </w:t>
      </w:r>
      <w:r w:rsidR="00521C3C">
        <w:t xml:space="preserve">a disciplinary action involves </w:t>
      </w:r>
      <w:r w:rsidR="001961B5">
        <w:t>multiple</w:t>
      </w:r>
      <w:r w:rsidR="0032536D">
        <w:t xml:space="preserve"> respondents, </w:t>
      </w:r>
      <w:proofErr w:type="gramStart"/>
      <w:r w:rsidR="0032536D">
        <w:t>e.g.</w:t>
      </w:r>
      <w:proofErr w:type="gramEnd"/>
      <w:r w:rsidR="0032536D">
        <w:t xml:space="preserve"> a number of</w:t>
      </w:r>
      <w:r w:rsidR="001961B5">
        <w:t xml:space="preserve"> directors of a listed company, the Committee will generally consider the extent and nature of </w:t>
      </w:r>
      <w:r w:rsidR="0032536D">
        <w:t xml:space="preserve">their </w:t>
      </w:r>
      <w:r w:rsidR="001961B5">
        <w:t xml:space="preserve">individual involvement to determine the sanction </w:t>
      </w:r>
      <w:r w:rsidR="00742D58">
        <w:t xml:space="preserve">to be </w:t>
      </w:r>
      <w:r w:rsidR="001961B5">
        <w:t>imposed.</w:t>
      </w:r>
    </w:p>
    <w:p w:rsidR="00901AA5" w:rsidRDefault="00742D58" w:rsidP="00CC1FF8">
      <w:pPr>
        <w:jc w:val="both"/>
      </w:pPr>
      <w:r>
        <w:t>B</w:t>
      </w:r>
      <w:r w:rsidR="00901AA5">
        <w:t>efore ordering a cancellation of listing, suspension of trading, or the denial of facilities</w:t>
      </w:r>
      <w:r w:rsidR="00F043C5">
        <w:t xml:space="preserve"> </w:t>
      </w:r>
      <w:r>
        <w:t xml:space="preserve">of the market </w:t>
      </w:r>
      <w:r w:rsidR="00F043C5">
        <w:t xml:space="preserve">under the </w:t>
      </w:r>
      <w:proofErr w:type="spellStart"/>
      <w:r w:rsidR="00521C3C">
        <w:t>HKEx</w:t>
      </w:r>
      <w:proofErr w:type="spellEnd"/>
      <w:r w:rsidR="00521C3C">
        <w:t xml:space="preserve"> Listing </w:t>
      </w:r>
      <w:r w:rsidR="00F043C5">
        <w:t xml:space="preserve">Rules, </w:t>
      </w:r>
      <w:r>
        <w:t>the Committee wi</w:t>
      </w:r>
      <w:r w:rsidR="00901AA5">
        <w:t xml:space="preserve">ll take into account the following non-exhaustive </w:t>
      </w:r>
      <w:r w:rsidR="000C24A8">
        <w:t>matters</w:t>
      </w:r>
      <w:r w:rsidR="00901AA5">
        <w:t xml:space="preserve">: </w:t>
      </w:r>
    </w:p>
    <w:p w:rsidR="00901AA5" w:rsidRDefault="000C24A8" w:rsidP="00CC1FF8">
      <w:pPr>
        <w:pStyle w:val="a3"/>
        <w:numPr>
          <w:ilvl w:val="0"/>
          <w:numId w:val="6"/>
        </w:numPr>
        <w:jc w:val="both"/>
      </w:pPr>
      <w:r>
        <w:lastRenderedPageBreak/>
        <w:t>t</w:t>
      </w:r>
      <w:r w:rsidR="00901AA5">
        <w:t xml:space="preserve">he seriousness of </w:t>
      </w:r>
      <w:r w:rsidR="00742D58">
        <w:t xml:space="preserve">the </w:t>
      </w:r>
      <w:r w:rsidR="00901AA5">
        <w:t>misconduct;</w:t>
      </w:r>
    </w:p>
    <w:p w:rsidR="002B07EC" w:rsidRDefault="002B07EC" w:rsidP="00CC1FF8">
      <w:pPr>
        <w:pStyle w:val="a3"/>
        <w:jc w:val="both"/>
      </w:pPr>
    </w:p>
    <w:p w:rsidR="00901AA5" w:rsidRDefault="000C24A8" w:rsidP="00CC1FF8">
      <w:pPr>
        <w:pStyle w:val="a3"/>
        <w:numPr>
          <w:ilvl w:val="0"/>
          <w:numId w:val="6"/>
        </w:numPr>
        <w:jc w:val="both"/>
      </w:pPr>
      <w:r>
        <w:t>t</w:t>
      </w:r>
      <w:r w:rsidR="00901AA5">
        <w:t>he relevant compliance history;</w:t>
      </w:r>
    </w:p>
    <w:p w:rsidR="002B07EC" w:rsidRDefault="002B07EC" w:rsidP="00CC1FF8">
      <w:pPr>
        <w:pStyle w:val="a3"/>
        <w:jc w:val="both"/>
      </w:pPr>
    </w:p>
    <w:p w:rsidR="00901AA5" w:rsidRDefault="000C24A8" w:rsidP="00CC1FF8">
      <w:pPr>
        <w:pStyle w:val="a3"/>
        <w:numPr>
          <w:ilvl w:val="0"/>
          <w:numId w:val="6"/>
        </w:numPr>
        <w:jc w:val="both"/>
      </w:pPr>
      <w:r>
        <w:t>w</w:t>
      </w:r>
      <w:r w:rsidR="00901AA5">
        <w:t xml:space="preserve">hether the concerns or issues identified by the </w:t>
      </w:r>
      <w:proofErr w:type="spellStart"/>
      <w:r w:rsidR="00CC1FF8">
        <w:t>HKEx</w:t>
      </w:r>
      <w:proofErr w:type="spellEnd"/>
      <w:r w:rsidR="00742D58">
        <w:t xml:space="preserve"> have been or can be satisfactorily addressed by remedial action</w:t>
      </w:r>
      <w:r w:rsidR="00901AA5">
        <w:t>;</w:t>
      </w:r>
      <w:r w:rsidR="00242640">
        <w:t xml:space="preserve"> and</w:t>
      </w:r>
    </w:p>
    <w:p w:rsidR="002B07EC" w:rsidRDefault="002B07EC" w:rsidP="00CC1FF8">
      <w:pPr>
        <w:pStyle w:val="a3"/>
        <w:jc w:val="both"/>
      </w:pPr>
    </w:p>
    <w:p w:rsidR="002B07EC" w:rsidRPr="00F043C5" w:rsidRDefault="00242640" w:rsidP="00CC1FF8">
      <w:pPr>
        <w:pStyle w:val="a3"/>
        <w:numPr>
          <w:ilvl w:val="0"/>
          <w:numId w:val="6"/>
        </w:numPr>
        <w:jc w:val="both"/>
      </w:pPr>
      <w:r>
        <w:t>t</w:t>
      </w:r>
      <w:r w:rsidR="00901AA5">
        <w:t xml:space="preserve">he order’s financial </w:t>
      </w:r>
      <w:r w:rsidR="00F043C5">
        <w:t>impact or likely impact on the r</w:t>
      </w:r>
      <w:r w:rsidR="00901AA5">
        <w:t>espondent</w:t>
      </w:r>
      <w:r w:rsidR="00E16606">
        <w:t>(s)</w:t>
      </w:r>
      <w:r w:rsidR="00901AA5">
        <w:t xml:space="preserve"> or any other parties. </w:t>
      </w:r>
    </w:p>
    <w:p w:rsidR="006B3367" w:rsidRPr="0032536D" w:rsidRDefault="006B3367" w:rsidP="00CC1FF8">
      <w:pPr>
        <w:jc w:val="both"/>
        <w:rPr>
          <w:b/>
          <w:color w:val="FF0000"/>
        </w:rPr>
      </w:pPr>
      <w:r w:rsidRPr="0032536D">
        <w:rPr>
          <w:b/>
          <w:color w:val="FF0000"/>
        </w:rPr>
        <w:t xml:space="preserve">Updates </w:t>
      </w:r>
      <w:r w:rsidR="00742D58" w:rsidRPr="0032536D">
        <w:rPr>
          <w:b/>
          <w:color w:val="FF0000"/>
        </w:rPr>
        <w:t xml:space="preserve">to the </w:t>
      </w:r>
      <w:proofErr w:type="spellStart"/>
      <w:r w:rsidR="00742D58" w:rsidRPr="0032536D">
        <w:rPr>
          <w:b/>
          <w:color w:val="FF0000"/>
        </w:rPr>
        <w:t>HKEx</w:t>
      </w:r>
      <w:proofErr w:type="spellEnd"/>
      <w:r w:rsidR="00742D58" w:rsidRPr="0032536D">
        <w:rPr>
          <w:b/>
          <w:color w:val="FF0000"/>
        </w:rPr>
        <w:t xml:space="preserve"> Enforcement Sanctions Statement</w:t>
      </w:r>
    </w:p>
    <w:p w:rsidR="00023B42" w:rsidRDefault="001961B5" w:rsidP="00CC1FF8">
      <w:pPr>
        <w:jc w:val="both"/>
      </w:pPr>
      <w:r>
        <w:t>In accordance with the</w:t>
      </w:r>
      <w:r w:rsidRPr="004A269B">
        <w:rPr>
          <w:color w:val="FF0000"/>
        </w:rPr>
        <w:t xml:space="preserve"> </w:t>
      </w:r>
      <w:hyperlink r:id="rId10" w:history="1">
        <w:proofErr w:type="spellStart"/>
        <w:r w:rsidR="004A269B" w:rsidRPr="004A269B">
          <w:rPr>
            <w:rStyle w:val="a7"/>
            <w:color w:val="FF0000"/>
            <w:u w:val="none"/>
          </w:rPr>
          <w:t>HKEx</w:t>
        </w:r>
        <w:proofErr w:type="spellEnd"/>
        <w:r w:rsidR="004A269B" w:rsidRPr="004A269B">
          <w:rPr>
            <w:rStyle w:val="a7"/>
            <w:color w:val="FF0000"/>
            <w:u w:val="none"/>
          </w:rPr>
          <w:t xml:space="preserve"> Listing Rule Changes on Disciplinary Powers and Sanctions effective 3 July 2021</w:t>
        </w:r>
      </w:hyperlink>
      <w:r>
        <w:t xml:space="preserve">, </w:t>
      </w:r>
      <w:r w:rsidR="004A269B">
        <w:t xml:space="preserve">the </w:t>
      </w:r>
      <w:proofErr w:type="spellStart"/>
      <w:r w:rsidR="00CC1FF8">
        <w:t>HKEx</w:t>
      </w:r>
      <w:proofErr w:type="spellEnd"/>
      <w:r w:rsidR="004A269B">
        <w:t xml:space="preserve"> recently published its update to the Enforcement Sanctions</w:t>
      </w:r>
      <w:r w:rsidR="005A75F5">
        <w:t xml:space="preserve"> S</w:t>
      </w:r>
      <w:r w:rsidR="004A269B">
        <w:t>tatement</w:t>
      </w:r>
      <w:r w:rsidR="005A75F5">
        <w:t xml:space="preserve"> in addition to a new Guidance Note on Cooperation</w:t>
      </w:r>
      <w:r w:rsidR="004A269B">
        <w:t xml:space="preserve">. </w:t>
      </w:r>
      <w:r w:rsidR="00742D58">
        <w:t>The u</w:t>
      </w:r>
      <w:r w:rsidR="00023B42">
        <w:t xml:space="preserve">pdates to the </w:t>
      </w:r>
      <w:proofErr w:type="spellStart"/>
      <w:r w:rsidR="00CC1FF8">
        <w:t>HKEx</w:t>
      </w:r>
      <w:r w:rsidR="00F77B43">
        <w:t>’s</w:t>
      </w:r>
      <w:proofErr w:type="spellEnd"/>
      <w:r w:rsidR="00023B42">
        <w:t xml:space="preserve"> </w:t>
      </w:r>
      <w:r w:rsidR="00742D58">
        <w:t xml:space="preserve">Enforcement </w:t>
      </w:r>
      <w:r w:rsidR="00023B42">
        <w:t>Sanctions Statement</w:t>
      </w:r>
      <w:r w:rsidR="00742D58">
        <w:t xml:space="preserve"> seek</w:t>
      </w:r>
      <w:r w:rsidR="00F77B43">
        <w:t xml:space="preserve"> to:</w:t>
      </w:r>
    </w:p>
    <w:p w:rsidR="00023B42" w:rsidRDefault="00DA693A" w:rsidP="00CC1FF8">
      <w:pPr>
        <w:pStyle w:val="a3"/>
        <w:numPr>
          <w:ilvl w:val="0"/>
          <w:numId w:val="2"/>
        </w:numPr>
        <w:jc w:val="both"/>
      </w:pPr>
      <w:r>
        <w:t>clarify</w:t>
      </w:r>
      <w:r w:rsidR="00023B42">
        <w:t xml:space="preserve"> expectations regarding cooperation; </w:t>
      </w:r>
    </w:p>
    <w:p w:rsidR="002B07EC" w:rsidRDefault="002B07EC" w:rsidP="00CC1FF8">
      <w:pPr>
        <w:pStyle w:val="a3"/>
        <w:ind w:left="765"/>
        <w:jc w:val="both"/>
      </w:pPr>
    </w:p>
    <w:p w:rsidR="00023B42" w:rsidRDefault="00023B42" w:rsidP="00CC1FF8">
      <w:pPr>
        <w:pStyle w:val="a3"/>
        <w:numPr>
          <w:ilvl w:val="0"/>
          <w:numId w:val="2"/>
        </w:numPr>
        <w:jc w:val="both"/>
      </w:pPr>
      <w:r>
        <w:t>p</w:t>
      </w:r>
      <w:r w:rsidR="00DA693A">
        <w:t>rovide</w:t>
      </w:r>
      <w:r>
        <w:t xml:space="preserve"> additional detailed guidance on a listed issuer’s internal controls; and</w:t>
      </w:r>
    </w:p>
    <w:p w:rsidR="002B07EC" w:rsidRDefault="002B07EC" w:rsidP="00CC1FF8">
      <w:pPr>
        <w:pStyle w:val="a3"/>
        <w:ind w:left="765"/>
        <w:jc w:val="both"/>
      </w:pPr>
    </w:p>
    <w:p w:rsidR="00023B42" w:rsidRPr="00023B42" w:rsidRDefault="00DA693A" w:rsidP="00CC1FF8">
      <w:pPr>
        <w:pStyle w:val="a3"/>
        <w:numPr>
          <w:ilvl w:val="0"/>
          <w:numId w:val="2"/>
        </w:numPr>
        <w:jc w:val="both"/>
      </w:pPr>
      <w:r>
        <w:t>clarify</w:t>
      </w:r>
      <w:r w:rsidR="00023B42">
        <w:t xml:space="preserve"> the extent to which an individual may rely on other</w:t>
      </w:r>
      <w:r w:rsidR="00742D58">
        <w:t>s</w:t>
      </w:r>
      <w:r w:rsidR="00023B42">
        <w:t xml:space="preserve"> in their discharge of duties</w:t>
      </w:r>
      <w:r w:rsidR="00F77B43">
        <w:t>.</w:t>
      </w:r>
    </w:p>
    <w:p w:rsidR="003249EE" w:rsidRPr="0032536D" w:rsidRDefault="002F2B42" w:rsidP="00CC1FF8">
      <w:pPr>
        <w:jc w:val="both"/>
        <w:rPr>
          <w:b/>
        </w:rPr>
      </w:pPr>
      <w:r w:rsidRPr="0032536D">
        <w:rPr>
          <w:b/>
        </w:rPr>
        <w:t>Paragraph 5 (</w:t>
      </w:r>
      <w:r w:rsidR="006B3367" w:rsidRPr="0032536D">
        <w:rPr>
          <w:b/>
        </w:rPr>
        <w:t>General Principles</w:t>
      </w:r>
      <w:r w:rsidRPr="0032536D">
        <w:rPr>
          <w:b/>
        </w:rPr>
        <w:t>) additions and amendments</w:t>
      </w:r>
    </w:p>
    <w:p w:rsidR="00416A96" w:rsidRDefault="00291537" w:rsidP="00CC1FF8">
      <w:pPr>
        <w:jc w:val="both"/>
      </w:pPr>
      <w:r>
        <w:t xml:space="preserve">The Statement added three new </w:t>
      </w:r>
      <w:r w:rsidR="00742D58">
        <w:t>sub-</w:t>
      </w:r>
      <w:r w:rsidR="002F2B42">
        <w:t xml:space="preserve">paragraphs to </w:t>
      </w:r>
      <w:r w:rsidR="00742D58">
        <w:t xml:space="preserve">the “General principles” set out in </w:t>
      </w:r>
      <w:r w:rsidR="00323E86">
        <w:t>p</w:t>
      </w:r>
      <w:r w:rsidR="002F2B42">
        <w:t>aragraph 5</w:t>
      </w:r>
      <w:r w:rsidR="00F77B43">
        <w:t>:</w:t>
      </w:r>
    </w:p>
    <w:p w:rsidR="00291537" w:rsidRDefault="00F77B43" w:rsidP="00CC1FF8">
      <w:pPr>
        <w:pStyle w:val="a3"/>
        <w:numPr>
          <w:ilvl w:val="0"/>
          <w:numId w:val="15"/>
        </w:numPr>
        <w:jc w:val="both"/>
      </w:pPr>
      <w:r>
        <w:t>5(a)</w:t>
      </w:r>
      <w:r w:rsidR="00742D58">
        <w:t xml:space="preserve"> </w:t>
      </w:r>
      <w:r>
        <w:t>-</w:t>
      </w:r>
      <w:r w:rsidR="00742D58">
        <w:t xml:space="preserve"> </w:t>
      </w:r>
      <w:r w:rsidR="00291537">
        <w:t xml:space="preserve">recognition that “Enforcement action and the imposition of disciplinary sanctions are essential elements of the </w:t>
      </w:r>
      <w:proofErr w:type="spellStart"/>
      <w:r w:rsidR="00CC1FF8">
        <w:t>HKEx</w:t>
      </w:r>
      <w:r w:rsidR="00291537">
        <w:t>’s</w:t>
      </w:r>
      <w:proofErr w:type="spellEnd"/>
      <w:r w:rsidR="00291537">
        <w:t xml:space="preserve"> focus on upholding compliance with the Rules, enhancing market quality and corporate governance, protecting investors, maintaining public confidence, and ensuring an or</w:t>
      </w:r>
      <w:r w:rsidR="00742D58">
        <w:t>derly, informed and fair market</w:t>
      </w:r>
      <w:r w:rsidR="00291537">
        <w:t>”</w:t>
      </w:r>
      <w:r w:rsidR="00FC1ABF">
        <w:t>;</w:t>
      </w:r>
    </w:p>
    <w:p w:rsidR="002B07EC" w:rsidRDefault="002B07EC" w:rsidP="00CC1FF8">
      <w:pPr>
        <w:pStyle w:val="a3"/>
        <w:jc w:val="both"/>
      </w:pPr>
    </w:p>
    <w:p w:rsidR="00291537" w:rsidRDefault="002F2B42" w:rsidP="00CC1FF8">
      <w:pPr>
        <w:pStyle w:val="a3"/>
        <w:numPr>
          <w:ilvl w:val="0"/>
          <w:numId w:val="15"/>
        </w:numPr>
        <w:jc w:val="both"/>
      </w:pPr>
      <w:r>
        <w:t>5(c)</w:t>
      </w:r>
      <w:r w:rsidR="00742D58">
        <w:t xml:space="preserve"> – a statement that t</w:t>
      </w:r>
      <w:r w:rsidR="00291537">
        <w:t xml:space="preserve">he range of breaches warranting the imposition of disciplinary sanctions includes both “active” and “passive” misconduct. Passive misconduct would include “a failure to take sufficient steps to discharge a duty”. It also adds that public sanctions will </w:t>
      </w:r>
      <w:r w:rsidR="0032536D">
        <w:t xml:space="preserve">often </w:t>
      </w:r>
      <w:r w:rsidR="00291537">
        <w:t>be appropriate where issuers or individuals are</w:t>
      </w:r>
      <w:r>
        <w:t xml:space="preserve"> found to be responsible for</w:t>
      </w:r>
      <w:r w:rsidR="00291537">
        <w:t xml:space="preserve"> control environment </w:t>
      </w:r>
      <w:r>
        <w:t>failings (</w:t>
      </w:r>
      <w:r w:rsidR="00291537">
        <w:t xml:space="preserve">including internal control deficiencies or insufficient </w:t>
      </w:r>
      <w:r>
        <w:t>oversight). The fact that the</w:t>
      </w:r>
      <w:r w:rsidR="0032536D">
        <w:t>se</w:t>
      </w:r>
      <w:r>
        <w:t xml:space="preserve"> failings do not directly lead to a</w:t>
      </w:r>
      <w:r w:rsidR="00242640">
        <w:t xml:space="preserve">ny other breaches of the </w:t>
      </w:r>
      <w:proofErr w:type="spellStart"/>
      <w:r w:rsidR="0032536D">
        <w:t>HKEx</w:t>
      </w:r>
      <w:proofErr w:type="spellEnd"/>
      <w:r w:rsidR="0032536D">
        <w:t xml:space="preserve"> Listing </w:t>
      </w:r>
      <w:r>
        <w:t xml:space="preserve">Rules or loss will </w:t>
      </w:r>
      <w:r w:rsidR="00242640">
        <w:t xml:space="preserve">not preclude a </w:t>
      </w:r>
      <w:r w:rsidR="00F043C5">
        <w:t>r</w:t>
      </w:r>
      <w:r w:rsidR="00242640">
        <w:t>espondent</w:t>
      </w:r>
      <w:r>
        <w:t xml:space="preserve"> from disciplinary </w:t>
      </w:r>
      <w:r w:rsidR="00FC1ABF">
        <w:t>sanctions; and</w:t>
      </w:r>
    </w:p>
    <w:p w:rsidR="002B07EC" w:rsidRDefault="002B07EC" w:rsidP="00CC1FF8">
      <w:pPr>
        <w:pStyle w:val="a3"/>
        <w:jc w:val="both"/>
      </w:pPr>
    </w:p>
    <w:p w:rsidR="002F2B42" w:rsidRDefault="00F77B43" w:rsidP="00CC1FF8">
      <w:pPr>
        <w:pStyle w:val="a3"/>
        <w:numPr>
          <w:ilvl w:val="0"/>
          <w:numId w:val="15"/>
        </w:numPr>
        <w:jc w:val="both"/>
      </w:pPr>
      <w:r>
        <w:t>5(d)</w:t>
      </w:r>
      <w:r w:rsidR="0032536D">
        <w:t xml:space="preserve"> </w:t>
      </w:r>
      <w:r>
        <w:t>-</w:t>
      </w:r>
      <w:r w:rsidR="0032536D">
        <w:t xml:space="preserve"> </w:t>
      </w:r>
      <w:r w:rsidR="00DC6BF6">
        <w:t>W</w:t>
      </w:r>
      <w:r w:rsidR="001961B5">
        <w:t xml:space="preserve">here there are multiple respondents, as stated above, </w:t>
      </w:r>
      <w:r w:rsidR="002F2B42">
        <w:t>the new sub</w:t>
      </w:r>
      <w:r w:rsidR="0032536D">
        <w:t>-</w:t>
      </w:r>
      <w:r w:rsidR="002F2B42">
        <w:t xml:space="preserve">paragraph (d) </w:t>
      </w:r>
      <w:r w:rsidR="004F5E59">
        <w:t xml:space="preserve">will now apply </w:t>
      </w:r>
      <w:r w:rsidR="002F2B42">
        <w:t xml:space="preserve">a </w:t>
      </w:r>
      <w:r w:rsidR="00242640">
        <w:t>“</w:t>
      </w:r>
      <w:r w:rsidR="002F2B42">
        <w:t xml:space="preserve">principle of collective </w:t>
      </w:r>
      <w:r w:rsidR="004F5E59">
        <w:t>and individual responsibility for Rule compliance</w:t>
      </w:r>
      <w:r w:rsidR="00242640">
        <w:t>”</w:t>
      </w:r>
      <w:r w:rsidR="004F5E59">
        <w:t>.</w:t>
      </w:r>
    </w:p>
    <w:p w:rsidR="004F5E59" w:rsidRPr="004C559C" w:rsidRDefault="004F5E59" w:rsidP="00CC1FF8">
      <w:pPr>
        <w:jc w:val="both"/>
      </w:pPr>
      <w:r>
        <w:t xml:space="preserve">The </w:t>
      </w:r>
      <w:r w:rsidR="0032536D">
        <w:t xml:space="preserve">revised Enforcement Sanctions </w:t>
      </w:r>
      <w:r>
        <w:t>Statement also added the principle of ‘educating the market’ in terms of the rational</w:t>
      </w:r>
      <w:r w:rsidR="0032536D">
        <w:t>e</w:t>
      </w:r>
      <w:r>
        <w:t xml:space="preserve"> for imposing</w:t>
      </w:r>
      <w:r w:rsidR="00F043C5">
        <w:t xml:space="preserve"> disciplinary sanctions in </w:t>
      </w:r>
      <w:r w:rsidR="00F77B43">
        <w:t>sub</w:t>
      </w:r>
      <w:r w:rsidR="0032536D">
        <w:t>-</w:t>
      </w:r>
      <w:r w:rsidR="00F77B43">
        <w:t>paragraph (b).</w:t>
      </w:r>
    </w:p>
    <w:p w:rsidR="00023B42" w:rsidRPr="0032536D" w:rsidRDefault="002F2B42" w:rsidP="00CC1FF8">
      <w:pPr>
        <w:jc w:val="both"/>
        <w:rPr>
          <w:b/>
        </w:rPr>
      </w:pPr>
      <w:r w:rsidRPr="0032536D">
        <w:rPr>
          <w:b/>
        </w:rPr>
        <w:t xml:space="preserve">New Paragraph 6 - </w:t>
      </w:r>
      <w:r w:rsidR="00023B42" w:rsidRPr="0032536D">
        <w:rPr>
          <w:b/>
        </w:rPr>
        <w:t xml:space="preserve">The Primary Disciplinary Sanctions </w:t>
      </w:r>
      <w:r w:rsidR="003249EE" w:rsidRPr="0032536D">
        <w:rPr>
          <w:b/>
        </w:rPr>
        <w:t xml:space="preserve">available to the </w:t>
      </w:r>
      <w:proofErr w:type="spellStart"/>
      <w:r w:rsidR="00CC1FF8" w:rsidRPr="0032536D">
        <w:rPr>
          <w:b/>
        </w:rPr>
        <w:t>HKEx</w:t>
      </w:r>
      <w:proofErr w:type="spellEnd"/>
      <w:r w:rsidR="003249EE" w:rsidRPr="0032536D">
        <w:rPr>
          <w:b/>
        </w:rPr>
        <w:t xml:space="preserve"> </w:t>
      </w:r>
    </w:p>
    <w:p w:rsidR="004F5E59" w:rsidRDefault="004F5E59" w:rsidP="00CC1FF8">
      <w:pPr>
        <w:jc w:val="both"/>
      </w:pPr>
      <w:r w:rsidRPr="004F5E59">
        <w:lastRenderedPageBreak/>
        <w:t xml:space="preserve">The new paragraph now explicitly states </w:t>
      </w:r>
      <w:r w:rsidR="0032536D">
        <w:t xml:space="preserve">that </w:t>
      </w:r>
      <w:r w:rsidRPr="004F5E59">
        <w:t xml:space="preserve">where the Committee finds </w:t>
      </w:r>
      <w:r w:rsidR="0032536D">
        <w:t>that the</w:t>
      </w:r>
      <w:r w:rsidR="009C24F3">
        <w:t>r</w:t>
      </w:r>
      <w:r w:rsidR="0032536D">
        <w:t xml:space="preserve">e has been </w:t>
      </w:r>
      <w:r w:rsidRPr="004F5E59">
        <w:t xml:space="preserve">a breach of the </w:t>
      </w:r>
      <w:proofErr w:type="spellStart"/>
      <w:r w:rsidR="0032536D">
        <w:t>HKEx</w:t>
      </w:r>
      <w:proofErr w:type="spellEnd"/>
      <w:r w:rsidR="0032536D">
        <w:t xml:space="preserve"> Listing R</w:t>
      </w:r>
      <w:r w:rsidRPr="004F5E59">
        <w:t xml:space="preserve">ules by any of the parties within the </w:t>
      </w:r>
      <w:proofErr w:type="spellStart"/>
      <w:r w:rsidR="00CC1FF8">
        <w:t>HKEx</w:t>
      </w:r>
      <w:r w:rsidRPr="004F5E59">
        <w:t>’s</w:t>
      </w:r>
      <w:proofErr w:type="spellEnd"/>
      <w:r w:rsidRPr="004F5E59">
        <w:t xml:space="preserve"> disciplinary jurisdiction</w:t>
      </w:r>
      <w:r w:rsidR="00242640">
        <w:t xml:space="preserve">, </w:t>
      </w:r>
      <w:r w:rsidR="0032536D">
        <w:t>it may impose</w:t>
      </w:r>
      <w:r w:rsidR="00F50B70">
        <w:t xml:space="preserve"> sanctions o</w:t>
      </w:r>
      <w:r w:rsidRPr="004F5E59">
        <w:t xml:space="preserve">n/or take actions in accordance with Rule </w:t>
      </w:r>
      <w:proofErr w:type="gramStart"/>
      <w:r w:rsidRPr="004F5E59">
        <w:t xml:space="preserve">2A.10 </w:t>
      </w:r>
      <w:r w:rsidR="00242640">
        <w:t xml:space="preserve"> of</w:t>
      </w:r>
      <w:proofErr w:type="gramEnd"/>
      <w:r w:rsidR="00242640">
        <w:t xml:space="preserve"> the Main Board Rules </w:t>
      </w:r>
      <w:r w:rsidRPr="004F5E59">
        <w:t xml:space="preserve">or Rule 3.11 of the GEM </w:t>
      </w:r>
      <w:r w:rsidR="00F77B43">
        <w:t>Rules.</w:t>
      </w:r>
    </w:p>
    <w:p w:rsidR="006B3367" w:rsidRPr="0032536D" w:rsidRDefault="002F2B42" w:rsidP="00CC1FF8">
      <w:pPr>
        <w:jc w:val="both"/>
        <w:rPr>
          <w:b/>
        </w:rPr>
      </w:pPr>
      <w:r w:rsidRPr="0032536D">
        <w:rPr>
          <w:b/>
        </w:rPr>
        <w:t>Paragraph 7 (</w:t>
      </w:r>
      <w:r w:rsidR="004077A4" w:rsidRPr="0032536D">
        <w:rPr>
          <w:b/>
        </w:rPr>
        <w:t>Principal</w:t>
      </w:r>
      <w:r w:rsidR="006B3367" w:rsidRPr="0032536D">
        <w:rPr>
          <w:b/>
        </w:rPr>
        <w:t xml:space="preserve"> Factors</w:t>
      </w:r>
      <w:r w:rsidRPr="0032536D">
        <w:rPr>
          <w:b/>
        </w:rPr>
        <w:t>)</w:t>
      </w:r>
      <w:r w:rsidR="004077A4" w:rsidRPr="0032536D">
        <w:rPr>
          <w:b/>
        </w:rPr>
        <w:t xml:space="preserve"> </w:t>
      </w:r>
      <w:r w:rsidRPr="0032536D">
        <w:rPr>
          <w:b/>
        </w:rPr>
        <w:t xml:space="preserve">amendments </w:t>
      </w:r>
      <w:r w:rsidR="00F77B43" w:rsidRPr="0032536D">
        <w:rPr>
          <w:b/>
        </w:rPr>
        <w:t>and additions</w:t>
      </w:r>
    </w:p>
    <w:p w:rsidR="00323E86" w:rsidRDefault="00323E86" w:rsidP="00CC1FF8">
      <w:pPr>
        <w:jc w:val="both"/>
      </w:pPr>
      <w:r>
        <w:t>Paragraph 7 of the Enforcement Sanctions Statement sets out the principal factors the Committee will take into account (in mitigation or aggravation) in determining an appropriate sanction. The changes that have been made are set out below.</w:t>
      </w:r>
    </w:p>
    <w:p w:rsidR="00242640" w:rsidRDefault="00F043C5" w:rsidP="00CC1FF8">
      <w:pPr>
        <w:jc w:val="both"/>
      </w:pPr>
      <w:r>
        <w:t>P</w:t>
      </w:r>
      <w:r w:rsidR="004077A4">
        <w:t xml:space="preserve">aragraph </w:t>
      </w:r>
      <w:r>
        <w:t>7</w:t>
      </w:r>
      <w:r w:rsidR="004077A4">
        <w:t xml:space="preserve">(m) broadens the scope of persons </w:t>
      </w:r>
      <w:r w:rsidR="003F2EED">
        <w:t xml:space="preserve">a respondent </w:t>
      </w:r>
      <w:r w:rsidR="00242640">
        <w:t>places reasonable reliance</w:t>
      </w:r>
      <w:r>
        <w:t xml:space="preserve"> upon to include</w:t>
      </w:r>
      <w:r w:rsidR="003F2EED">
        <w:t xml:space="preserve"> other directors, senior management </w:t>
      </w:r>
      <w:r w:rsidR="00323E86">
        <w:t>and staff members. The C</w:t>
      </w:r>
      <w:r w:rsidR="003F2EED">
        <w:t>ommittee will also consider whether such reliance was rea</w:t>
      </w:r>
      <w:r w:rsidR="00242640">
        <w:t>sonable in the circumstances, for example</w:t>
      </w:r>
      <w:r w:rsidR="003F2EED">
        <w:t xml:space="preserve"> whether the respondent</w:t>
      </w:r>
      <w:r w:rsidR="00E16606">
        <w:t>(s)</w:t>
      </w:r>
      <w:r w:rsidR="003F2EED">
        <w:t xml:space="preserve"> </w:t>
      </w:r>
      <w:r w:rsidR="00E16606">
        <w:t>has</w:t>
      </w:r>
      <w:r w:rsidR="00242640">
        <w:t xml:space="preserve"> continued to: </w:t>
      </w:r>
    </w:p>
    <w:p w:rsidR="00242640" w:rsidRDefault="003F2EED" w:rsidP="00CC1FF8">
      <w:pPr>
        <w:pStyle w:val="a3"/>
        <w:numPr>
          <w:ilvl w:val="0"/>
          <w:numId w:val="13"/>
        </w:numPr>
        <w:jc w:val="both"/>
      </w:pPr>
      <w:r>
        <w:t>give adequate oversight</w:t>
      </w:r>
      <w:r w:rsidR="00242640">
        <w:t>;</w:t>
      </w:r>
    </w:p>
    <w:p w:rsidR="002B07EC" w:rsidRDefault="002B07EC" w:rsidP="00CC1FF8">
      <w:pPr>
        <w:pStyle w:val="a3"/>
        <w:ind w:left="1080"/>
        <w:jc w:val="both"/>
      </w:pPr>
    </w:p>
    <w:p w:rsidR="00242640" w:rsidRDefault="003F2EED" w:rsidP="00CC1FF8">
      <w:pPr>
        <w:pStyle w:val="a3"/>
        <w:numPr>
          <w:ilvl w:val="0"/>
          <w:numId w:val="13"/>
        </w:numPr>
        <w:jc w:val="both"/>
      </w:pPr>
      <w:r>
        <w:t xml:space="preserve">apply professional </w:t>
      </w:r>
      <w:proofErr w:type="spellStart"/>
      <w:r w:rsidR="00323E86">
        <w:t>sc</w:t>
      </w:r>
      <w:r w:rsidR="00C36F12">
        <w:t>epticism</w:t>
      </w:r>
      <w:proofErr w:type="spellEnd"/>
      <w:r w:rsidR="00242640">
        <w:t>;</w:t>
      </w:r>
      <w:r w:rsidR="00F77B43">
        <w:t xml:space="preserve"> and</w:t>
      </w:r>
    </w:p>
    <w:p w:rsidR="002B07EC" w:rsidRDefault="002B07EC" w:rsidP="00CC1FF8">
      <w:pPr>
        <w:pStyle w:val="a3"/>
        <w:ind w:left="1080"/>
        <w:jc w:val="both"/>
      </w:pPr>
    </w:p>
    <w:p w:rsidR="004077A4" w:rsidRDefault="00F77B43" w:rsidP="00CC1FF8">
      <w:pPr>
        <w:pStyle w:val="a3"/>
        <w:numPr>
          <w:ilvl w:val="0"/>
          <w:numId w:val="13"/>
        </w:numPr>
        <w:jc w:val="both"/>
      </w:pPr>
      <w:r>
        <w:t>exercise independent judgement.</w:t>
      </w:r>
    </w:p>
    <w:p w:rsidR="003F2EED" w:rsidRDefault="003F2EED" w:rsidP="00CC1FF8">
      <w:pPr>
        <w:jc w:val="both"/>
      </w:pPr>
      <w:r>
        <w:t>In line with the addition of 5(c), amended sub</w:t>
      </w:r>
      <w:r w:rsidR="00323E86">
        <w:t>-</w:t>
      </w:r>
      <w:r>
        <w:t xml:space="preserve">paragraph (n) now specifies </w:t>
      </w:r>
      <w:r w:rsidR="00BD09C7">
        <w:t xml:space="preserve">what </w:t>
      </w:r>
      <w:r w:rsidR="008434FD">
        <w:t xml:space="preserve">constitutes having </w:t>
      </w:r>
      <w:r>
        <w:t>“</w:t>
      </w:r>
      <w:r w:rsidR="00C36F12">
        <w:t>appropriate supervisory</w:t>
      </w:r>
      <w:r w:rsidR="009B27D5">
        <w:t>, risk management, operational or technic</w:t>
      </w:r>
      <w:r w:rsidR="008238E1">
        <w:t xml:space="preserve">al procedures </w:t>
      </w:r>
      <w:r w:rsidR="009B27D5">
        <w:t>and/or controls</w:t>
      </w:r>
      <w:r w:rsidR="00A56A88">
        <w:t>”</w:t>
      </w:r>
      <w:r w:rsidR="00F043C5">
        <w:t xml:space="preserve">. They </w:t>
      </w:r>
      <w:r w:rsidR="00F77B43">
        <w:t>may include:</w:t>
      </w:r>
    </w:p>
    <w:p w:rsidR="00A56A88" w:rsidRDefault="00323E86" w:rsidP="00CC1FF8">
      <w:pPr>
        <w:pStyle w:val="a3"/>
        <w:numPr>
          <w:ilvl w:val="0"/>
          <w:numId w:val="4"/>
        </w:numPr>
        <w:jc w:val="both"/>
      </w:pPr>
      <w:r>
        <w:t xml:space="preserve">a </w:t>
      </w:r>
      <w:r w:rsidR="00A56A88">
        <w:t xml:space="preserve">robust and effective internal controls system covering </w:t>
      </w:r>
      <w:r w:rsidR="008434FD">
        <w:t>“</w:t>
      </w:r>
      <w:r w:rsidR="00A56A88">
        <w:t>the full control environment from policies through procedures and working practices</w:t>
      </w:r>
      <w:r w:rsidR="008434FD">
        <w:t>”</w:t>
      </w:r>
      <w:r w:rsidR="00A56A88">
        <w:t>;</w:t>
      </w:r>
    </w:p>
    <w:p w:rsidR="002B07EC" w:rsidRDefault="002B07EC" w:rsidP="00CC1FF8">
      <w:pPr>
        <w:pStyle w:val="a3"/>
        <w:jc w:val="both"/>
      </w:pPr>
    </w:p>
    <w:p w:rsidR="00A56A88" w:rsidRDefault="00A56A88" w:rsidP="00CC1FF8">
      <w:pPr>
        <w:pStyle w:val="a3"/>
        <w:numPr>
          <w:ilvl w:val="0"/>
          <w:numId w:val="4"/>
        </w:numPr>
        <w:jc w:val="both"/>
      </w:pPr>
      <w:r>
        <w:t>directors and staff members having the necessary skills, experience, resources and training on internal control</w:t>
      </w:r>
      <w:r w:rsidR="00F77B43">
        <w:t>s and risk management measures;</w:t>
      </w:r>
    </w:p>
    <w:p w:rsidR="002B07EC" w:rsidRDefault="002B07EC" w:rsidP="00CC1FF8">
      <w:pPr>
        <w:pStyle w:val="a3"/>
        <w:jc w:val="both"/>
      </w:pPr>
    </w:p>
    <w:p w:rsidR="00A56A88" w:rsidRDefault="00A56A88" w:rsidP="00CC1FF8">
      <w:pPr>
        <w:pStyle w:val="a3"/>
        <w:numPr>
          <w:ilvl w:val="0"/>
          <w:numId w:val="4"/>
        </w:numPr>
        <w:jc w:val="both"/>
      </w:pPr>
      <w:r>
        <w:t>a control environment that is regularly reviewed</w:t>
      </w:r>
      <w:r w:rsidR="00323E86">
        <w:t>,</w:t>
      </w:r>
      <w:r>
        <w:t xml:space="preserve"> maintained and updated, and</w:t>
      </w:r>
      <w:r w:rsidR="00F043C5">
        <w:t xml:space="preserve"> is</w:t>
      </w:r>
      <w:r>
        <w:t xml:space="preserve"> in compliance with the Corporate Governance Code; </w:t>
      </w:r>
      <w:r w:rsidR="008434FD">
        <w:t>and</w:t>
      </w:r>
    </w:p>
    <w:p w:rsidR="002B07EC" w:rsidRDefault="002B07EC" w:rsidP="00CC1FF8">
      <w:pPr>
        <w:pStyle w:val="a3"/>
        <w:jc w:val="both"/>
      </w:pPr>
    </w:p>
    <w:p w:rsidR="00A56A88" w:rsidRDefault="00A56A88" w:rsidP="00CC1FF8">
      <w:pPr>
        <w:pStyle w:val="a3"/>
        <w:numPr>
          <w:ilvl w:val="0"/>
          <w:numId w:val="4"/>
        </w:numPr>
        <w:jc w:val="both"/>
      </w:pPr>
      <w:r>
        <w:t>the existence of proper channels for</w:t>
      </w:r>
      <w:r w:rsidR="00F043C5">
        <w:t xml:space="preserve"> raising</w:t>
      </w:r>
      <w:r w:rsidR="00323E86">
        <w:t xml:space="preserve"> concerns in</w:t>
      </w:r>
      <w:r>
        <w:t xml:space="preserve"> relation to risk or </w:t>
      </w:r>
      <w:proofErr w:type="spellStart"/>
      <w:r w:rsidR="00323E86">
        <w:t>HKEx</w:t>
      </w:r>
      <w:proofErr w:type="spellEnd"/>
      <w:r w:rsidR="00323E86">
        <w:t xml:space="preserve"> Listing </w:t>
      </w:r>
      <w:r>
        <w:t>Rule</w:t>
      </w:r>
      <w:r w:rsidR="00FC1ABF">
        <w:t xml:space="preserve"> compliance matters</w:t>
      </w:r>
      <w:r>
        <w:t xml:space="preserve">, and </w:t>
      </w:r>
      <w:r w:rsidR="00323E86">
        <w:t xml:space="preserve">whether </w:t>
      </w:r>
      <w:r>
        <w:t>escalated con</w:t>
      </w:r>
      <w:r w:rsidR="002B07EC">
        <w:t xml:space="preserve">cerns are </w:t>
      </w:r>
      <w:r w:rsidR="00323E86">
        <w:t xml:space="preserve">then </w:t>
      </w:r>
      <w:r w:rsidR="002B07EC">
        <w:t>appropriately handled.</w:t>
      </w:r>
    </w:p>
    <w:p w:rsidR="00694F88" w:rsidRPr="0032536D" w:rsidRDefault="00323E86" w:rsidP="00CC1FF8">
      <w:pPr>
        <w:jc w:val="both"/>
        <w:rPr>
          <w:b/>
          <w:color w:val="FF0000"/>
        </w:rPr>
      </w:pPr>
      <w:proofErr w:type="spellStart"/>
      <w:r>
        <w:rPr>
          <w:b/>
          <w:color w:val="FF0000"/>
        </w:rPr>
        <w:t>HKEx</w:t>
      </w:r>
      <w:proofErr w:type="spellEnd"/>
      <w:r>
        <w:rPr>
          <w:b/>
          <w:color w:val="FF0000"/>
        </w:rPr>
        <w:t xml:space="preserve"> </w:t>
      </w:r>
      <w:r w:rsidR="00694F88" w:rsidRPr="0032536D">
        <w:rPr>
          <w:b/>
          <w:color w:val="FF0000"/>
        </w:rPr>
        <w:t xml:space="preserve">Guidance </w:t>
      </w:r>
      <w:r>
        <w:rPr>
          <w:b/>
          <w:color w:val="FF0000"/>
        </w:rPr>
        <w:t xml:space="preserve">Note </w:t>
      </w:r>
      <w:r w:rsidR="00694F88" w:rsidRPr="0032536D">
        <w:rPr>
          <w:b/>
          <w:color w:val="FF0000"/>
        </w:rPr>
        <w:t xml:space="preserve">on Cooperation </w:t>
      </w:r>
    </w:p>
    <w:p w:rsidR="00930A38" w:rsidRDefault="006437E5" w:rsidP="00CC1FF8">
      <w:pPr>
        <w:jc w:val="both"/>
      </w:pPr>
      <w:r>
        <w:t xml:space="preserve">The </w:t>
      </w:r>
      <w:proofErr w:type="spellStart"/>
      <w:r>
        <w:t>HKEx’s</w:t>
      </w:r>
      <w:proofErr w:type="spellEnd"/>
      <w:r>
        <w:t xml:space="preserve"> new </w:t>
      </w:r>
      <w:hyperlink r:id="rId11" w:history="1">
        <w:r w:rsidRPr="006437E5">
          <w:rPr>
            <w:rStyle w:val="a7"/>
          </w:rPr>
          <w:t>Guidance Note on Cooperation</w:t>
        </w:r>
      </w:hyperlink>
      <w:r>
        <w:t xml:space="preserve"> urges directors of listed companies and other relevant parties to cooperate in </w:t>
      </w:r>
      <w:proofErr w:type="spellStart"/>
      <w:r>
        <w:t>HKEx</w:t>
      </w:r>
      <w:proofErr w:type="spellEnd"/>
      <w:r>
        <w:t xml:space="preserve"> investigations and disciplinary actions. Listed company directors are in any event required to cooperate in any </w:t>
      </w:r>
      <w:proofErr w:type="spellStart"/>
      <w:r>
        <w:t>HKEx</w:t>
      </w:r>
      <w:proofErr w:type="spellEnd"/>
      <w:r>
        <w:t xml:space="preserve"> investigation under the terms of </w:t>
      </w:r>
      <w:r w:rsidR="00930A38">
        <w:t xml:space="preserve">the </w:t>
      </w:r>
      <w:hyperlink r:id="rId12" w:history="1">
        <w:r w:rsidR="00930A38" w:rsidRPr="00930A38">
          <w:rPr>
            <w:rStyle w:val="a7"/>
          </w:rPr>
          <w:t>Declaration and Undertaking with regard to Directors</w:t>
        </w:r>
      </w:hyperlink>
      <w:r w:rsidR="00930A38">
        <w:t xml:space="preserve">. </w:t>
      </w:r>
    </w:p>
    <w:p w:rsidR="00930A38" w:rsidRDefault="00930A38" w:rsidP="00CC1FF8">
      <w:pPr>
        <w:jc w:val="both"/>
      </w:pPr>
      <w:r>
        <w:t xml:space="preserve">The Guidance Note on Cooperation refers to the provisions of the </w:t>
      </w:r>
      <w:proofErr w:type="spellStart"/>
      <w:r>
        <w:t>HKEx</w:t>
      </w:r>
      <w:proofErr w:type="spellEnd"/>
      <w:r>
        <w:t xml:space="preserve"> Enforcement Sanctions Statement which </w:t>
      </w:r>
      <w:r w:rsidR="003C3418">
        <w:t xml:space="preserve">include </w:t>
      </w:r>
      <w:r>
        <w:t xml:space="preserve">the following </w:t>
      </w:r>
      <w:r w:rsidR="003C3418">
        <w:t xml:space="preserve">as </w:t>
      </w:r>
      <w:r>
        <w:t xml:space="preserve">matters </w:t>
      </w:r>
      <w:r w:rsidR="003C3418">
        <w:t xml:space="preserve">that </w:t>
      </w:r>
      <w:r>
        <w:t>will be taken into account as mitigating (or aggravating) factors by the Listing Committee and Listing Review Committee when determining appropriate sanctions:</w:t>
      </w:r>
    </w:p>
    <w:p w:rsidR="003C3418" w:rsidRDefault="00930A38" w:rsidP="00930A38">
      <w:pPr>
        <w:pStyle w:val="a3"/>
        <w:numPr>
          <w:ilvl w:val="0"/>
          <w:numId w:val="18"/>
        </w:numPr>
        <w:jc w:val="both"/>
      </w:pPr>
      <w:r>
        <w:lastRenderedPageBreak/>
        <w:t xml:space="preserve">whether the respondent(s) fully assisted and cooperated with the </w:t>
      </w:r>
      <w:proofErr w:type="spellStart"/>
      <w:r>
        <w:t>HKEx</w:t>
      </w:r>
      <w:proofErr w:type="spellEnd"/>
      <w:r>
        <w:t xml:space="preserve"> in its investigation, and whether the level of assistance and cooperation provided </w:t>
      </w:r>
      <w:proofErr w:type="spellStart"/>
      <w:r>
        <w:t>minimised</w:t>
      </w:r>
      <w:proofErr w:type="spellEnd"/>
      <w:r>
        <w:t xml:space="preserve"> the time and costs of the investigation (or conversely, whether the respondent(s) failed to fully assist or cooperate with the investigation)</w:t>
      </w:r>
      <w:r w:rsidR="003C3418">
        <w:t xml:space="preserve">; </w:t>
      </w:r>
    </w:p>
    <w:p w:rsidR="003C3418" w:rsidRDefault="003C3418" w:rsidP="003C3418">
      <w:pPr>
        <w:pStyle w:val="a3"/>
        <w:jc w:val="both"/>
      </w:pPr>
    </w:p>
    <w:p w:rsidR="003C3418" w:rsidRDefault="003C3418" w:rsidP="00930A38">
      <w:pPr>
        <w:pStyle w:val="a3"/>
        <w:numPr>
          <w:ilvl w:val="0"/>
          <w:numId w:val="18"/>
        </w:numPr>
        <w:jc w:val="both"/>
      </w:pPr>
      <w:r>
        <w:t>whether the respondent(s) made an early decision not to contest the case brought against it/them.</w:t>
      </w:r>
      <w:r>
        <w:rPr>
          <w:rStyle w:val="a6"/>
        </w:rPr>
        <w:footnoteReference w:id="2"/>
      </w:r>
    </w:p>
    <w:p w:rsidR="00694F88" w:rsidRDefault="00694F88" w:rsidP="003C3418">
      <w:pPr>
        <w:jc w:val="both"/>
      </w:pPr>
      <w:r>
        <w:t>With regards to the level of cooperation as a mitigating or aggravating factor</w:t>
      </w:r>
      <w:r w:rsidR="003C3418">
        <w:t>,</w:t>
      </w:r>
      <w:r>
        <w:t xml:space="preserve"> the guidance note </w:t>
      </w:r>
      <w:r w:rsidR="003C3418">
        <w:t>clarifies</w:t>
      </w:r>
      <w:r>
        <w:t xml:space="preserve"> wha</w:t>
      </w:r>
      <w:r w:rsidR="000C3000">
        <w:t xml:space="preserve">t will and will not constitute cooperation in the context of the </w:t>
      </w:r>
      <w:proofErr w:type="spellStart"/>
      <w:r w:rsidR="00CC1FF8">
        <w:t>HKEx</w:t>
      </w:r>
      <w:r w:rsidR="003C3418">
        <w:t>’</w:t>
      </w:r>
      <w:r w:rsidR="000C3000">
        <w:t>s</w:t>
      </w:r>
      <w:proofErr w:type="spellEnd"/>
      <w:r w:rsidR="000C3000">
        <w:t xml:space="preserve"> work</w:t>
      </w:r>
      <w:r w:rsidR="00FC1ABF">
        <w:t>,</w:t>
      </w:r>
      <w:r w:rsidR="000C3000">
        <w:t xml:space="preserve"> and the </w:t>
      </w:r>
      <w:proofErr w:type="spellStart"/>
      <w:r w:rsidR="00CC1FF8">
        <w:t>HKEx</w:t>
      </w:r>
      <w:r w:rsidR="000C3000">
        <w:t>’s</w:t>
      </w:r>
      <w:proofErr w:type="spellEnd"/>
      <w:r w:rsidR="000C3000">
        <w:t xml:space="preserve"> approach to cooperation</w:t>
      </w:r>
      <w:r w:rsidR="00123FE7">
        <w:t xml:space="preserve">. </w:t>
      </w:r>
    </w:p>
    <w:p w:rsidR="000C3000" w:rsidRDefault="000C3000" w:rsidP="00CC1FF8">
      <w:pPr>
        <w:jc w:val="both"/>
      </w:pPr>
      <w:r>
        <w:t>The Guidan</w:t>
      </w:r>
      <w:r w:rsidR="003C3418">
        <w:t>ce identifies the following non</w:t>
      </w:r>
      <w:r>
        <w:t xml:space="preserve">–exhaustive examples of cooperative </w:t>
      </w:r>
      <w:r w:rsidR="00E16606">
        <w:t>conduct</w:t>
      </w:r>
      <w:r>
        <w:t xml:space="preserve">: </w:t>
      </w:r>
    </w:p>
    <w:p w:rsidR="000C3000" w:rsidRDefault="008434FD" w:rsidP="00CC1FF8">
      <w:pPr>
        <w:pStyle w:val="a3"/>
        <w:numPr>
          <w:ilvl w:val="0"/>
          <w:numId w:val="16"/>
        </w:numPr>
        <w:jc w:val="both"/>
      </w:pPr>
      <w:r>
        <w:t>provision of</w:t>
      </w:r>
      <w:r w:rsidR="000C3000">
        <w:t xml:space="preserve"> true and complete information and document</w:t>
      </w:r>
      <w:r w:rsidR="00F043C5">
        <w:t>s</w:t>
      </w:r>
      <w:r w:rsidR="000C3000">
        <w:t xml:space="preserve"> </w:t>
      </w:r>
      <w:r w:rsidR="003C3418">
        <w:t xml:space="preserve">in </w:t>
      </w:r>
      <w:r w:rsidR="000C3000">
        <w:t xml:space="preserve">relation </w:t>
      </w:r>
      <w:r w:rsidR="00DC6BF6">
        <w:t>to</w:t>
      </w:r>
      <w:r w:rsidR="000C3000">
        <w:t xml:space="preserve"> the suspect</w:t>
      </w:r>
      <w:r w:rsidR="00DC6BF6">
        <w:t xml:space="preserve">ed breach of </w:t>
      </w:r>
      <w:r w:rsidR="003C3418">
        <w:t xml:space="preserve">the </w:t>
      </w:r>
      <w:proofErr w:type="spellStart"/>
      <w:r w:rsidR="003C3418">
        <w:t>HKEx</w:t>
      </w:r>
      <w:proofErr w:type="spellEnd"/>
      <w:r w:rsidR="003C3418">
        <w:t xml:space="preserve"> Listing </w:t>
      </w:r>
      <w:r w:rsidR="00DC6BF6">
        <w:t>Rules or</w:t>
      </w:r>
      <w:r w:rsidR="000C3000">
        <w:t xml:space="preserve"> misconduct</w:t>
      </w:r>
      <w:r w:rsidR="00F77B43">
        <w:t>;</w:t>
      </w:r>
    </w:p>
    <w:p w:rsidR="002B07EC" w:rsidRDefault="002B07EC" w:rsidP="00CC1FF8">
      <w:pPr>
        <w:pStyle w:val="a3"/>
        <w:jc w:val="both"/>
      </w:pPr>
    </w:p>
    <w:p w:rsidR="000C3000" w:rsidRDefault="000C3000" w:rsidP="00CC1FF8">
      <w:pPr>
        <w:pStyle w:val="a3"/>
        <w:numPr>
          <w:ilvl w:val="0"/>
          <w:numId w:val="16"/>
        </w:numPr>
        <w:jc w:val="both"/>
      </w:pPr>
      <w:r>
        <w:t>taking</w:t>
      </w:r>
      <w:r w:rsidR="008434FD">
        <w:t xml:space="preserve"> a</w:t>
      </w:r>
      <w:r w:rsidR="003C3418">
        <w:t xml:space="preserve"> proactive approach by demonstrating</w:t>
      </w:r>
      <w:r w:rsidR="00FC1ABF">
        <w:t xml:space="preserve"> </w:t>
      </w:r>
      <w:r w:rsidR="003C3418">
        <w:t>the p</w:t>
      </w:r>
      <w:r w:rsidR="00F043C5">
        <w:t>arty’s</w:t>
      </w:r>
      <w:r w:rsidR="008434FD">
        <w:t xml:space="preserve"> willingness to devote</w:t>
      </w:r>
      <w:r>
        <w:t xml:space="preserve"> resources to </w:t>
      </w:r>
      <w:r w:rsidR="008434FD">
        <w:t>the investigation</w:t>
      </w:r>
      <w:r w:rsidR="00B551C9">
        <w:t>,</w:t>
      </w:r>
      <w:r w:rsidR="003C3418">
        <w:t xml:space="preserve"> </w:t>
      </w:r>
      <w:proofErr w:type="spellStart"/>
      <w:r w:rsidR="003C3418">
        <w:t>prioritis</w:t>
      </w:r>
      <w:r>
        <w:t>ing</w:t>
      </w:r>
      <w:proofErr w:type="spellEnd"/>
      <w:r>
        <w:t xml:space="preserve"> the matter</w:t>
      </w:r>
      <w:r w:rsidR="00B551C9">
        <w:t xml:space="preserve"> and respond</w:t>
      </w:r>
      <w:r w:rsidR="003C3418">
        <w:t>ing</w:t>
      </w:r>
      <w:r w:rsidR="00B551C9">
        <w:t xml:space="preserve"> to the </w:t>
      </w:r>
      <w:proofErr w:type="spellStart"/>
      <w:r w:rsidR="00CC1FF8">
        <w:t>HKEx</w:t>
      </w:r>
      <w:r w:rsidR="0010259A">
        <w:t>’s</w:t>
      </w:r>
      <w:proofErr w:type="spellEnd"/>
      <w:r w:rsidR="0010259A">
        <w:t xml:space="preserve"> e</w:t>
      </w:r>
      <w:r w:rsidR="00B551C9">
        <w:t>nquiries</w:t>
      </w:r>
      <w:r w:rsidR="00FE78F5">
        <w:t>;</w:t>
      </w:r>
    </w:p>
    <w:p w:rsidR="002B07EC" w:rsidRDefault="002B07EC" w:rsidP="00CC1FF8">
      <w:pPr>
        <w:pStyle w:val="a3"/>
        <w:jc w:val="both"/>
      </w:pPr>
    </w:p>
    <w:p w:rsidR="000C3000" w:rsidRDefault="000C3000" w:rsidP="00CC1FF8">
      <w:pPr>
        <w:pStyle w:val="a3"/>
        <w:numPr>
          <w:ilvl w:val="0"/>
          <w:numId w:val="16"/>
        </w:numPr>
        <w:jc w:val="both"/>
      </w:pPr>
      <w:r>
        <w:t>early admission</w:t>
      </w:r>
      <w:r w:rsidR="008434FD">
        <w:t>, in writing, of the breaches;</w:t>
      </w:r>
      <w:r w:rsidR="002B07EC">
        <w:t xml:space="preserve"> and</w:t>
      </w:r>
    </w:p>
    <w:p w:rsidR="002B07EC" w:rsidRDefault="002B07EC" w:rsidP="00CC1FF8">
      <w:pPr>
        <w:pStyle w:val="a3"/>
        <w:jc w:val="both"/>
      </w:pPr>
    </w:p>
    <w:p w:rsidR="000C3000" w:rsidRDefault="000C3000" w:rsidP="00CC1FF8">
      <w:pPr>
        <w:pStyle w:val="a3"/>
        <w:numPr>
          <w:ilvl w:val="0"/>
          <w:numId w:val="16"/>
        </w:numPr>
        <w:jc w:val="both"/>
      </w:pPr>
      <w:r>
        <w:t>initiating settlement or accepting sanctions</w:t>
      </w:r>
      <w:r w:rsidR="008434FD">
        <w:t>.</w:t>
      </w:r>
    </w:p>
    <w:p w:rsidR="000C3000" w:rsidRDefault="000C3000" w:rsidP="00CC1FF8">
      <w:pPr>
        <w:jc w:val="both"/>
      </w:pPr>
      <w:r>
        <w:t>Conversely, the following are stated as examples of uncooperative conduct</w:t>
      </w:r>
      <w:r w:rsidR="008434FD">
        <w:t xml:space="preserve"> which can constitute an aggravating factor</w:t>
      </w:r>
      <w:r w:rsidR="00DC6BF6">
        <w:t>:</w:t>
      </w:r>
      <w:r>
        <w:t xml:space="preserve"> </w:t>
      </w:r>
    </w:p>
    <w:p w:rsidR="000C3000" w:rsidRDefault="000C3000" w:rsidP="00CC1FF8">
      <w:pPr>
        <w:pStyle w:val="a3"/>
        <w:numPr>
          <w:ilvl w:val="0"/>
          <w:numId w:val="17"/>
        </w:numPr>
        <w:jc w:val="both"/>
      </w:pPr>
      <w:r>
        <w:t xml:space="preserve">failure to respond to the </w:t>
      </w:r>
      <w:proofErr w:type="spellStart"/>
      <w:r w:rsidR="00CC1FF8">
        <w:t>HKEx</w:t>
      </w:r>
      <w:proofErr w:type="spellEnd"/>
      <w:r w:rsidR="00F043C5">
        <w:t>,</w:t>
      </w:r>
      <w:r>
        <w:t xml:space="preserve"> inclusive of failures to provide substantive responses to all or some of the </w:t>
      </w:r>
      <w:proofErr w:type="spellStart"/>
      <w:r w:rsidR="00CC1FF8">
        <w:t>HKEx</w:t>
      </w:r>
      <w:r>
        <w:t>’s</w:t>
      </w:r>
      <w:proofErr w:type="spellEnd"/>
      <w:r>
        <w:t xml:space="preserve"> enquiries</w:t>
      </w:r>
      <w:r w:rsidR="008434FD">
        <w:t>;</w:t>
      </w:r>
    </w:p>
    <w:p w:rsidR="002B07EC" w:rsidRDefault="002B07EC" w:rsidP="00CC1FF8">
      <w:pPr>
        <w:pStyle w:val="a3"/>
        <w:jc w:val="both"/>
      </w:pPr>
    </w:p>
    <w:p w:rsidR="000C3000" w:rsidRDefault="000C3000" w:rsidP="00CC1FF8">
      <w:pPr>
        <w:pStyle w:val="a3"/>
        <w:numPr>
          <w:ilvl w:val="0"/>
          <w:numId w:val="17"/>
        </w:numPr>
        <w:jc w:val="both"/>
      </w:pPr>
      <w:r>
        <w:t>providing inaccurate, incomplete or misleading information</w:t>
      </w:r>
      <w:r w:rsidR="008434FD">
        <w:t>;</w:t>
      </w:r>
    </w:p>
    <w:p w:rsidR="002B07EC" w:rsidRDefault="002B07EC" w:rsidP="00CC1FF8">
      <w:pPr>
        <w:pStyle w:val="a3"/>
        <w:jc w:val="both"/>
      </w:pPr>
    </w:p>
    <w:p w:rsidR="000C3000" w:rsidRDefault="000C3000" w:rsidP="00CC1FF8">
      <w:pPr>
        <w:pStyle w:val="a3"/>
        <w:numPr>
          <w:ilvl w:val="0"/>
          <w:numId w:val="17"/>
        </w:numPr>
        <w:jc w:val="both"/>
      </w:pPr>
      <w:r>
        <w:t>unnecessarily prolonging the</w:t>
      </w:r>
      <w:r w:rsidR="002B07EC">
        <w:t xml:space="preserve"> </w:t>
      </w:r>
      <w:proofErr w:type="spellStart"/>
      <w:r w:rsidR="00CC1FF8">
        <w:t>HKEx</w:t>
      </w:r>
      <w:r w:rsidR="002B07EC">
        <w:t>’s</w:t>
      </w:r>
      <w:proofErr w:type="spellEnd"/>
      <w:r>
        <w:t xml:space="preserve"> investigation</w:t>
      </w:r>
      <w:r w:rsidR="008434FD">
        <w:t>;</w:t>
      </w:r>
    </w:p>
    <w:p w:rsidR="002B07EC" w:rsidRDefault="002B07EC" w:rsidP="00CC1FF8">
      <w:pPr>
        <w:pStyle w:val="a3"/>
        <w:jc w:val="both"/>
      </w:pPr>
    </w:p>
    <w:p w:rsidR="000C3000" w:rsidRDefault="000C3000" w:rsidP="00CC1FF8">
      <w:pPr>
        <w:pStyle w:val="a3"/>
        <w:numPr>
          <w:ilvl w:val="0"/>
          <w:numId w:val="17"/>
        </w:numPr>
        <w:jc w:val="both"/>
      </w:pPr>
      <w:r>
        <w:t>where requested to</w:t>
      </w:r>
      <w:r w:rsidR="00B551C9">
        <w:t xml:space="preserve"> appear</w:t>
      </w:r>
      <w:r>
        <w:t>, failure to attend an interview or the disciplinary hearing</w:t>
      </w:r>
      <w:r w:rsidR="008434FD">
        <w:t>;</w:t>
      </w:r>
      <w:r w:rsidR="002B07EC">
        <w:t xml:space="preserve"> and</w:t>
      </w:r>
    </w:p>
    <w:p w:rsidR="002B07EC" w:rsidRDefault="002B07EC" w:rsidP="00CC1FF8">
      <w:pPr>
        <w:pStyle w:val="a3"/>
        <w:jc w:val="both"/>
      </w:pPr>
    </w:p>
    <w:p w:rsidR="000C3000" w:rsidRDefault="000C3000" w:rsidP="00CC1FF8">
      <w:pPr>
        <w:pStyle w:val="a3"/>
        <w:numPr>
          <w:ilvl w:val="0"/>
          <w:numId w:val="17"/>
        </w:numPr>
        <w:jc w:val="both"/>
      </w:pPr>
      <w:r>
        <w:t>providing late submission</w:t>
      </w:r>
      <w:r w:rsidR="008434FD">
        <w:t>s</w:t>
      </w:r>
      <w:r>
        <w:t>, evidence or documents</w:t>
      </w:r>
      <w:r w:rsidR="0010259A">
        <w:t>.</w:t>
      </w:r>
      <w:r w:rsidR="00DC6BF6">
        <w:rPr>
          <w:rStyle w:val="a6"/>
        </w:rPr>
        <w:footnoteReference w:id="3"/>
      </w:r>
    </w:p>
    <w:p w:rsidR="00694F88" w:rsidRPr="00901AA5" w:rsidRDefault="00694F88" w:rsidP="00CC1FF8">
      <w:pPr>
        <w:jc w:val="both"/>
      </w:pPr>
      <w:r>
        <w:t xml:space="preserve">The </w:t>
      </w:r>
      <w:r w:rsidR="002B07EC">
        <w:t>Guidance</w:t>
      </w:r>
      <w:r>
        <w:t xml:space="preserve"> also covers </w:t>
      </w:r>
      <w:r w:rsidR="0010259A">
        <w:t>a p</w:t>
      </w:r>
      <w:r w:rsidR="002B07EC">
        <w:t xml:space="preserve">arty’s right to </w:t>
      </w:r>
      <w:r>
        <w:t>legal professional privilege in this context stating “assertion of this right on a bona fide basis will not be regarded as uncooperative conduct”</w:t>
      </w:r>
      <w:r w:rsidR="0010259A">
        <w:t>,</w:t>
      </w:r>
      <w:r w:rsidR="00F043C5">
        <w:rPr>
          <w:rStyle w:val="a6"/>
        </w:rPr>
        <w:footnoteReference w:id="4"/>
      </w:r>
      <w:r w:rsidR="0010259A">
        <w:t xml:space="preserve"> although</w:t>
      </w:r>
      <w:r>
        <w:t xml:space="preserve"> voluntary waiver, even on a limited basis</w:t>
      </w:r>
      <w:r w:rsidR="00B551C9">
        <w:t>,</w:t>
      </w:r>
      <w:r w:rsidR="002B07EC">
        <w:t xml:space="preserve"> that assists the </w:t>
      </w:r>
      <w:proofErr w:type="spellStart"/>
      <w:r w:rsidR="00CC1FF8">
        <w:t>HKEx</w:t>
      </w:r>
      <w:r w:rsidR="002B07EC">
        <w:t>’s</w:t>
      </w:r>
      <w:proofErr w:type="spellEnd"/>
      <w:r w:rsidR="002B07EC">
        <w:t xml:space="preserve"> investigation </w:t>
      </w:r>
      <w:r>
        <w:t>will</w:t>
      </w:r>
      <w:r w:rsidR="00B551C9">
        <w:t xml:space="preserve"> be taken into consideration</w:t>
      </w:r>
      <w:r w:rsidR="0010259A">
        <w:t xml:space="preserve"> in the assessment of the extent of cooperation provided</w:t>
      </w:r>
      <w:r w:rsidR="00B551C9">
        <w:t xml:space="preserve">. </w:t>
      </w:r>
    </w:p>
    <w:p w:rsidR="00151C2C" w:rsidRPr="00A41F57" w:rsidRDefault="00151C2C" w:rsidP="00151C2C">
      <w:pPr>
        <w:pStyle w:val="DisclaimerBold"/>
        <w:rPr>
          <w:rFonts w:ascii="Helvetica" w:hAnsi="Helvetica"/>
        </w:rPr>
      </w:pPr>
      <w:r w:rsidRPr="00F05494">
        <w:rPr>
          <w:rFonts w:ascii="Helvetica" w:hAnsi="Helvetica"/>
        </w:rPr>
        <w:lastRenderedPageBreak/>
        <w:t>This newsletter is for information purposes only.</w:t>
      </w:r>
    </w:p>
    <w:p w:rsidR="00151C2C" w:rsidRPr="00F05494" w:rsidRDefault="00151C2C" w:rsidP="00151C2C">
      <w:pPr>
        <w:pStyle w:val="Disclaimer"/>
        <w:rPr>
          <w:rFonts w:ascii="Helvetica" w:hAnsi="Helvetica"/>
        </w:rPr>
      </w:pPr>
      <w:r w:rsidRPr="00F05494">
        <w:rPr>
          <w:rFonts w:ascii="Helvetica" w:hAnsi="Helvetica"/>
        </w:rPr>
        <w:t>Its contents do not constitute legal advice and it should not be regarded as a substitute for detailed advice in individual cases.</w:t>
      </w:r>
    </w:p>
    <w:p w:rsidR="00151C2C" w:rsidRPr="00F05494" w:rsidRDefault="00151C2C" w:rsidP="00151C2C">
      <w:pPr>
        <w:pStyle w:val="Disclaimer"/>
        <w:rPr>
          <w:rFonts w:ascii="Helvetica" w:hAnsi="Helvetica"/>
        </w:rPr>
      </w:pPr>
      <w:r w:rsidRPr="00F05494">
        <w:rPr>
          <w:rFonts w:ascii="Helvetica" w:hAnsi="Helvetica"/>
        </w:rPr>
        <w:t xml:space="preserve">Transmission of this information is not intended to create and receipt does not constitute a lawyer-client relationship between </w:t>
      </w:r>
      <w:proofErr w:type="spellStart"/>
      <w:r w:rsidRPr="00F05494">
        <w:rPr>
          <w:rFonts w:ascii="Helvetica" w:hAnsi="Helvetica"/>
        </w:rPr>
        <w:t>Charltons</w:t>
      </w:r>
      <w:proofErr w:type="spellEnd"/>
      <w:r w:rsidRPr="00F05494">
        <w:rPr>
          <w:rFonts w:ascii="Helvetica" w:hAnsi="Helvetica"/>
        </w:rPr>
        <w:t xml:space="preserve"> and the user or browser.</w:t>
      </w:r>
    </w:p>
    <w:p w:rsidR="00151C2C" w:rsidRPr="00F05494" w:rsidRDefault="00151C2C" w:rsidP="00151C2C">
      <w:pPr>
        <w:pStyle w:val="Disclaimer"/>
        <w:rPr>
          <w:rFonts w:ascii="Helvetica" w:hAnsi="Helvetica"/>
        </w:rPr>
      </w:pPr>
      <w:proofErr w:type="spellStart"/>
      <w:r w:rsidRPr="00F05494">
        <w:rPr>
          <w:rFonts w:ascii="Helvetica" w:hAnsi="Helvetica"/>
        </w:rPr>
        <w:t>Charltons</w:t>
      </w:r>
      <w:proofErr w:type="spellEnd"/>
      <w:r w:rsidRPr="00F05494">
        <w:rPr>
          <w:rFonts w:ascii="Helvetica" w:hAnsi="Helvetica"/>
        </w:rPr>
        <w:t xml:space="preserve"> is not responsible for any </w:t>
      </w:r>
      <w:proofErr w:type="gramStart"/>
      <w:r w:rsidRPr="00F05494">
        <w:rPr>
          <w:rFonts w:ascii="Helvetica" w:hAnsi="Helvetica"/>
        </w:rPr>
        <w:t>third</w:t>
      </w:r>
      <w:r w:rsidRPr="00A41F57">
        <w:rPr>
          <w:rFonts w:ascii="Helvetica" w:hAnsi="Helvetica"/>
        </w:rPr>
        <w:t xml:space="preserve"> </w:t>
      </w:r>
      <w:r w:rsidRPr="00F05494">
        <w:rPr>
          <w:rFonts w:ascii="Helvetica" w:hAnsi="Helvetica"/>
        </w:rPr>
        <w:t>party</w:t>
      </w:r>
      <w:proofErr w:type="gramEnd"/>
      <w:r w:rsidRPr="00F05494">
        <w:rPr>
          <w:rFonts w:ascii="Helvetica" w:hAnsi="Helvetica"/>
        </w:rPr>
        <w:t xml:space="preserve"> content which can be accessed through the website.</w:t>
      </w:r>
    </w:p>
    <w:p w:rsidR="00151C2C" w:rsidRPr="00F05494" w:rsidRDefault="00151C2C" w:rsidP="00151C2C">
      <w:pPr>
        <w:pStyle w:val="Disclaimer"/>
        <w:rPr>
          <w:rFonts w:ascii="Helvetica" w:hAnsi="Helvetica"/>
        </w:rPr>
      </w:pPr>
      <w:r w:rsidRPr="00F05494">
        <w:rPr>
          <w:rFonts w:ascii="Helvetica" w:hAnsi="Helvetica"/>
        </w:rPr>
        <w:t xml:space="preserve">If you do not wish to receive this </w:t>
      </w:r>
      <w:proofErr w:type="gramStart"/>
      <w:r w:rsidRPr="00F05494">
        <w:rPr>
          <w:rFonts w:ascii="Helvetica" w:hAnsi="Helvetica"/>
        </w:rPr>
        <w:t>newsletter</w:t>
      </w:r>
      <w:proofErr w:type="gramEnd"/>
      <w:r w:rsidRPr="00F05494">
        <w:rPr>
          <w:rFonts w:ascii="Helvetica" w:hAnsi="Helvetica"/>
        </w:rPr>
        <w:t xml:space="preserve"> please let us know by emailing us at  </w:t>
      </w:r>
      <w:hyperlink r:id="rId13">
        <w:r w:rsidRPr="00F05494">
          <w:rPr>
            <w:rFonts w:ascii="Helvetica" w:hAnsi="Helvetica"/>
          </w:rPr>
          <w:t>unsubscribe@charltonslaw.com</w:t>
        </w:r>
      </w:hyperlink>
    </w:p>
    <w:p w:rsidR="00151C2C" w:rsidRPr="00CD0DE3" w:rsidRDefault="00151C2C" w:rsidP="00151C2C">
      <w:pPr>
        <w:pStyle w:val="BlackStrips"/>
        <w:rPr>
          <w:rFonts w:ascii="Helvetica" w:hAnsi="Helvetica"/>
        </w:rPr>
      </w:pPr>
      <w:proofErr w:type="spellStart"/>
      <w:r w:rsidRPr="00F05494">
        <w:rPr>
          <w:rFonts w:ascii="Helvetica" w:hAnsi="Helvetica"/>
        </w:rPr>
        <w:t>Charltons</w:t>
      </w:r>
      <w:proofErr w:type="spellEnd"/>
      <w:r w:rsidRPr="00F05494">
        <w:rPr>
          <w:rFonts w:ascii="Helvetica" w:hAnsi="Helvetica"/>
        </w:rPr>
        <w:t xml:space="preserve"> - Hong Kong Law - </w:t>
      </w:r>
      <w:r w:rsidR="00FE78F5">
        <w:rPr>
          <w:rFonts w:ascii="Helvetica" w:hAnsi="Helvetica"/>
        </w:rPr>
        <w:t>10</w:t>
      </w:r>
      <w:r w:rsidRPr="00F05494">
        <w:rPr>
          <w:rFonts w:ascii="Helvetica" w:hAnsi="Helvetica"/>
        </w:rPr>
        <w:t xml:space="preserve"> </w:t>
      </w:r>
      <w:r>
        <w:rPr>
          <w:rFonts w:ascii="Helvetica" w:hAnsi="Helvetica"/>
        </w:rPr>
        <w:t>November</w:t>
      </w:r>
      <w:r w:rsidRPr="00F05494">
        <w:rPr>
          <w:rFonts w:ascii="Helvetica" w:hAnsi="Helvetica"/>
        </w:rPr>
        <w:t xml:space="preserve"> 202</w:t>
      </w:r>
      <w:r>
        <w:rPr>
          <w:rFonts w:ascii="Helvetica" w:hAnsi="Helvetica"/>
        </w:rPr>
        <w:t>2</w:t>
      </w:r>
    </w:p>
    <w:p w:rsidR="00350172" w:rsidRPr="004077A4" w:rsidRDefault="00350172" w:rsidP="00CC1FF8">
      <w:pPr>
        <w:jc w:val="both"/>
      </w:pPr>
    </w:p>
    <w:sectPr w:rsidR="00350172" w:rsidRPr="004077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1158" w:rsidRDefault="00171158" w:rsidP="00DA693A">
      <w:pPr>
        <w:spacing w:after="0" w:line="240" w:lineRule="auto"/>
      </w:pPr>
      <w:r>
        <w:separator/>
      </w:r>
    </w:p>
  </w:endnote>
  <w:endnote w:type="continuationSeparator" w:id="0">
    <w:p w:rsidR="00171158" w:rsidRDefault="00171158" w:rsidP="00DA69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1158" w:rsidRDefault="00171158" w:rsidP="00DA693A">
      <w:pPr>
        <w:spacing w:after="0" w:line="240" w:lineRule="auto"/>
      </w:pPr>
      <w:r>
        <w:separator/>
      </w:r>
    </w:p>
  </w:footnote>
  <w:footnote w:type="continuationSeparator" w:id="0">
    <w:p w:rsidR="00171158" w:rsidRDefault="00171158" w:rsidP="00DA693A">
      <w:pPr>
        <w:spacing w:after="0" w:line="240" w:lineRule="auto"/>
      </w:pPr>
      <w:r>
        <w:continuationSeparator/>
      </w:r>
    </w:p>
  </w:footnote>
  <w:footnote w:id="1">
    <w:p w:rsidR="00521C3C" w:rsidRPr="00F043C5" w:rsidRDefault="00521C3C" w:rsidP="00521C3C">
      <w:pPr>
        <w:pStyle w:val="a4"/>
      </w:pPr>
      <w:r>
        <w:rPr>
          <w:rStyle w:val="a6"/>
        </w:rPr>
        <w:footnoteRef/>
      </w:r>
      <w:r>
        <w:t xml:space="preserve"> All quotes are from Hong Kong Stock Exchange </w:t>
      </w:r>
      <w:r>
        <w:rPr>
          <w:i/>
        </w:rPr>
        <w:t>Enforcement Sanctions Statement</w:t>
      </w:r>
      <w:r>
        <w:t xml:space="preserve"> (25 Oct 2022)</w:t>
      </w:r>
    </w:p>
  </w:footnote>
  <w:footnote w:id="2">
    <w:p w:rsidR="003C3418" w:rsidRDefault="003C3418">
      <w:pPr>
        <w:pStyle w:val="a4"/>
      </w:pPr>
      <w:r>
        <w:rPr>
          <w:rStyle w:val="a6"/>
        </w:rPr>
        <w:footnoteRef/>
      </w:r>
      <w:r>
        <w:t xml:space="preserve"> </w:t>
      </w:r>
      <w:proofErr w:type="spellStart"/>
      <w:r>
        <w:t>HKEx</w:t>
      </w:r>
      <w:proofErr w:type="spellEnd"/>
      <w:r>
        <w:t xml:space="preserve"> Enforcement Sanctions Statement at paragraph 7(c) and (d) </w:t>
      </w:r>
    </w:p>
  </w:footnote>
  <w:footnote w:id="3">
    <w:p w:rsidR="00DC6BF6" w:rsidRDefault="00DC6BF6">
      <w:pPr>
        <w:pStyle w:val="a4"/>
      </w:pPr>
      <w:r>
        <w:rPr>
          <w:rStyle w:val="a6"/>
        </w:rPr>
        <w:footnoteRef/>
      </w:r>
      <w:r>
        <w:t xml:space="preserve"> See </w:t>
      </w:r>
      <w:r w:rsidR="00F043C5">
        <w:t xml:space="preserve">Hong Kong Stock Exchange </w:t>
      </w:r>
      <w:r w:rsidR="00F043C5">
        <w:rPr>
          <w:i/>
        </w:rPr>
        <w:t>Guidance on Cooperation</w:t>
      </w:r>
      <w:r w:rsidR="00F043C5">
        <w:t xml:space="preserve"> (25 October 2022)</w:t>
      </w:r>
      <w:r>
        <w:t xml:space="preserve"> paragraph 3.3 for details and 3.4 for consequences </w:t>
      </w:r>
    </w:p>
  </w:footnote>
  <w:footnote w:id="4">
    <w:p w:rsidR="00F043C5" w:rsidRPr="00F043C5" w:rsidRDefault="00F043C5">
      <w:pPr>
        <w:pStyle w:val="a4"/>
      </w:pPr>
      <w:r>
        <w:rPr>
          <w:rStyle w:val="a6"/>
        </w:rPr>
        <w:footnoteRef/>
      </w:r>
      <w:r w:rsidR="0010259A">
        <w:t xml:space="preserve"> 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F3062"/>
    <w:multiLevelType w:val="hybridMultilevel"/>
    <w:tmpl w:val="0BB2E9A4"/>
    <w:lvl w:ilvl="0" w:tplc="292E0E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B53982"/>
    <w:multiLevelType w:val="hybridMultilevel"/>
    <w:tmpl w:val="C7FE116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11D7104A"/>
    <w:multiLevelType w:val="hybridMultilevel"/>
    <w:tmpl w:val="4348B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31BB5"/>
    <w:multiLevelType w:val="hybridMultilevel"/>
    <w:tmpl w:val="339E7E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597B13"/>
    <w:multiLevelType w:val="hybridMultilevel"/>
    <w:tmpl w:val="CD90C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C2395E"/>
    <w:multiLevelType w:val="hybridMultilevel"/>
    <w:tmpl w:val="3A1CA0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3B340222"/>
    <w:multiLevelType w:val="hybridMultilevel"/>
    <w:tmpl w:val="E3EA43D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9774C2"/>
    <w:multiLevelType w:val="hybridMultilevel"/>
    <w:tmpl w:val="FECA24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16C1D36"/>
    <w:multiLevelType w:val="hybridMultilevel"/>
    <w:tmpl w:val="C470B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902E5B"/>
    <w:multiLevelType w:val="hybridMultilevel"/>
    <w:tmpl w:val="123CD48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325DF4"/>
    <w:multiLevelType w:val="hybridMultilevel"/>
    <w:tmpl w:val="68307B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AB1341D"/>
    <w:multiLevelType w:val="hybridMultilevel"/>
    <w:tmpl w:val="088C59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522BAE"/>
    <w:multiLevelType w:val="hybridMultilevel"/>
    <w:tmpl w:val="F4282E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FB19A6"/>
    <w:multiLevelType w:val="hybridMultilevel"/>
    <w:tmpl w:val="776CC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1A4CC5"/>
    <w:multiLevelType w:val="hybridMultilevel"/>
    <w:tmpl w:val="D6004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632C50"/>
    <w:multiLevelType w:val="hybridMultilevel"/>
    <w:tmpl w:val="84566F1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6DE53261"/>
    <w:multiLevelType w:val="hybridMultilevel"/>
    <w:tmpl w:val="C98487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F737F1"/>
    <w:multiLevelType w:val="hybridMultilevel"/>
    <w:tmpl w:val="5380CE5A"/>
    <w:lvl w:ilvl="0" w:tplc="04090017">
      <w:start w:val="1"/>
      <w:numFmt w:val="lowerLetter"/>
      <w:lvlText w:val="%1)"/>
      <w:lvlJc w:val="left"/>
      <w:pPr>
        <w:ind w:left="720" w:hanging="360"/>
      </w:pPr>
    </w:lvl>
    <w:lvl w:ilvl="1" w:tplc="707823F6">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5919132">
    <w:abstractNumId w:val="10"/>
  </w:num>
  <w:num w:numId="2" w16cid:durableId="16350361">
    <w:abstractNumId w:val="1"/>
  </w:num>
  <w:num w:numId="3" w16cid:durableId="1718048023">
    <w:abstractNumId w:val="4"/>
  </w:num>
  <w:num w:numId="4" w16cid:durableId="1334067047">
    <w:abstractNumId w:val="16"/>
  </w:num>
  <w:num w:numId="5" w16cid:durableId="470366893">
    <w:abstractNumId w:val="15"/>
  </w:num>
  <w:num w:numId="6" w16cid:durableId="480659039">
    <w:abstractNumId w:val="8"/>
  </w:num>
  <w:num w:numId="7" w16cid:durableId="542258180">
    <w:abstractNumId w:val="12"/>
  </w:num>
  <w:num w:numId="8" w16cid:durableId="1656907453">
    <w:abstractNumId w:val="17"/>
  </w:num>
  <w:num w:numId="9" w16cid:durableId="1022049761">
    <w:abstractNumId w:val="14"/>
  </w:num>
  <w:num w:numId="10" w16cid:durableId="635184285">
    <w:abstractNumId w:val="13"/>
  </w:num>
  <w:num w:numId="11" w16cid:durableId="902132163">
    <w:abstractNumId w:val="7"/>
  </w:num>
  <w:num w:numId="12" w16cid:durableId="1387412976">
    <w:abstractNumId w:val="2"/>
  </w:num>
  <w:num w:numId="13" w16cid:durableId="371538794">
    <w:abstractNumId w:val="0"/>
  </w:num>
  <w:num w:numId="14" w16cid:durableId="2061128333">
    <w:abstractNumId w:val="5"/>
  </w:num>
  <w:num w:numId="15" w16cid:durableId="1657031057">
    <w:abstractNumId w:val="3"/>
  </w:num>
  <w:num w:numId="16" w16cid:durableId="1391853890">
    <w:abstractNumId w:val="9"/>
  </w:num>
  <w:num w:numId="17" w16cid:durableId="682710551">
    <w:abstractNumId w:val="6"/>
  </w:num>
  <w:num w:numId="18" w16cid:durableId="13978174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367"/>
    <w:rsid w:val="00002524"/>
    <w:rsid w:val="00014E27"/>
    <w:rsid w:val="00023B42"/>
    <w:rsid w:val="00053041"/>
    <w:rsid w:val="000C24A8"/>
    <w:rsid w:val="000C3000"/>
    <w:rsid w:val="0010259A"/>
    <w:rsid w:val="00123FE7"/>
    <w:rsid w:val="00151C2C"/>
    <w:rsid w:val="00171158"/>
    <w:rsid w:val="001961B5"/>
    <w:rsid w:val="00205730"/>
    <w:rsid w:val="00213A8F"/>
    <w:rsid w:val="00242640"/>
    <w:rsid w:val="00291537"/>
    <w:rsid w:val="002B07EC"/>
    <w:rsid w:val="002F2B42"/>
    <w:rsid w:val="00323E86"/>
    <w:rsid w:val="003249EE"/>
    <w:rsid w:val="0032536D"/>
    <w:rsid w:val="00350172"/>
    <w:rsid w:val="003C3418"/>
    <w:rsid w:val="003F2EED"/>
    <w:rsid w:val="003F69D9"/>
    <w:rsid w:val="004077A4"/>
    <w:rsid w:val="00416A96"/>
    <w:rsid w:val="00457EF7"/>
    <w:rsid w:val="00481DC5"/>
    <w:rsid w:val="004A269B"/>
    <w:rsid w:val="004A6F2A"/>
    <w:rsid w:val="004C559C"/>
    <w:rsid w:val="004F5E59"/>
    <w:rsid w:val="004F6088"/>
    <w:rsid w:val="00521C3C"/>
    <w:rsid w:val="005A75F5"/>
    <w:rsid w:val="006437E5"/>
    <w:rsid w:val="00694F88"/>
    <w:rsid w:val="006B3367"/>
    <w:rsid w:val="006B4509"/>
    <w:rsid w:val="00702C59"/>
    <w:rsid w:val="00742D58"/>
    <w:rsid w:val="007C0A4F"/>
    <w:rsid w:val="007D6A1E"/>
    <w:rsid w:val="008238E1"/>
    <w:rsid w:val="008434FD"/>
    <w:rsid w:val="00901AA5"/>
    <w:rsid w:val="00916D70"/>
    <w:rsid w:val="00930A38"/>
    <w:rsid w:val="009333B3"/>
    <w:rsid w:val="00946147"/>
    <w:rsid w:val="009B27D5"/>
    <w:rsid w:val="009C24F3"/>
    <w:rsid w:val="009E1461"/>
    <w:rsid w:val="00A211B9"/>
    <w:rsid w:val="00A56A88"/>
    <w:rsid w:val="00B13C68"/>
    <w:rsid w:val="00B40A06"/>
    <w:rsid w:val="00B551C9"/>
    <w:rsid w:val="00BD09C7"/>
    <w:rsid w:val="00C14684"/>
    <w:rsid w:val="00C36F12"/>
    <w:rsid w:val="00C65A41"/>
    <w:rsid w:val="00CC1FF8"/>
    <w:rsid w:val="00DA693A"/>
    <w:rsid w:val="00DC6BF6"/>
    <w:rsid w:val="00DE32C3"/>
    <w:rsid w:val="00E10087"/>
    <w:rsid w:val="00E12CA8"/>
    <w:rsid w:val="00E16606"/>
    <w:rsid w:val="00E93925"/>
    <w:rsid w:val="00F043C5"/>
    <w:rsid w:val="00F50B70"/>
    <w:rsid w:val="00F77B43"/>
    <w:rsid w:val="00FC1ABF"/>
    <w:rsid w:val="00FE7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1631F"/>
  <w15:chartTrackingRefBased/>
  <w15:docId w15:val="{DD68BFE7-501D-45D9-8CF2-BDCBA734C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3A8F"/>
    <w:pPr>
      <w:ind w:left="720"/>
      <w:contextualSpacing/>
    </w:pPr>
  </w:style>
  <w:style w:type="paragraph" w:styleId="a4">
    <w:name w:val="footnote text"/>
    <w:basedOn w:val="a"/>
    <w:link w:val="a5"/>
    <w:uiPriority w:val="99"/>
    <w:semiHidden/>
    <w:unhideWhenUsed/>
    <w:rsid w:val="00DA693A"/>
    <w:pPr>
      <w:spacing w:after="0" w:line="240" w:lineRule="auto"/>
    </w:pPr>
    <w:rPr>
      <w:sz w:val="20"/>
      <w:szCs w:val="20"/>
    </w:rPr>
  </w:style>
  <w:style w:type="character" w:customStyle="1" w:styleId="a5">
    <w:name w:val="Текст сноски Знак"/>
    <w:basedOn w:val="a0"/>
    <w:link w:val="a4"/>
    <w:uiPriority w:val="99"/>
    <w:semiHidden/>
    <w:rsid w:val="00DA693A"/>
    <w:rPr>
      <w:sz w:val="20"/>
      <w:szCs w:val="20"/>
    </w:rPr>
  </w:style>
  <w:style w:type="character" w:styleId="a6">
    <w:name w:val="footnote reference"/>
    <w:basedOn w:val="a0"/>
    <w:uiPriority w:val="99"/>
    <w:semiHidden/>
    <w:unhideWhenUsed/>
    <w:rsid w:val="00DA693A"/>
    <w:rPr>
      <w:vertAlign w:val="superscript"/>
    </w:rPr>
  </w:style>
  <w:style w:type="character" w:styleId="a7">
    <w:name w:val="Hyperlink"/>
    <w:basedOn w:val="a0"/>
    <w:uiPriority w:val="99"/>
    <w:unhideWhenUsed/>
    <w:rsid w:val="00F50B70"/>
    <w:rPr>
      <w:color w:val="0563C1" w:themeColor="hyperlink"/>
      <w:u w:val="single"/>
    </w:rPr>
  </w:style>
  <w:style w:type="paragraph" w:styleId="a8">
    <w:name w:val="header"/>
    <w:basedOn w:val="a"/>
    <w:link w:val="a9"/>
    <w:uiPriority w:val="99"/>
    <w:unhideWhenUsed/>
    <w:rsid w:val="00123FE7"/>
    <w:pPr>
      <w:tabs>
        <w:tab w:val="center" w:pos="4680"/>
        <w:tab w:val="right" w:pos="9360"/>
      </w:tabs>
      <w:spacing w:after="0" w:line="240" w:lineRule="auto"/>
    </w:pPr>
  </w:style>
  <w:style w:type="character" w:customStyle="1" w:styleId="a9">
    <w:name w:val="Верхний колонтитул Знак"/>
    <w:basedOn w:val="a0"/>
    <w:link w:val="a8"/>
    <w:uiPriority w:val="99"/>
    <w:rsid w:val="00123FE7"/>
  </w:style>
  <w:style w:type="paragraph" w:styleId="aa">
    <w:name w:val="footer"/>
    <w:basedOn w:val="a"/>
    <w:link w:val="ab"/>
    <w:uiPriority w:val="99"/>
    <w:unhideWhenUsed/>
    <w:rsid w:val="00123FE7"/>
    <w:pPr>
      <w:tabs>
        <w:tab w:val="center" w:pos="4680"/>
        <w:tab w:val="right" w:pos="9360"/>
      </w:tabs>
      <w:spacing w:after="0" w:line="240" w:lineRule="auto"/>
    </w:pPr>
  </w:style>
  <w:style w:type="character" w:customStyle="1" w:styleId="ab">
    <w:name w:val="Нижний колонтитул Знак"/>
    <w:basedOn w:val="a0"/>
    <w:link w:val="aa"/>
    <w:uiPriority w:val="99"/>
    <w:rsid w:val="00123FE7"/>
  </w:style>
  <w:style w:type="paragraph" w:styleId="ac">
    <w:name w:val="Balloon Text"/>
    <w:basedOn w:val="a"/>
    <w:link w:val="ad"/>
    <w:uiPriority w:val="99"/>
    <w:semiHidden/>
    <w:unhideWhenUsed/>
    <w:rsid w:val="00F043C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F043C5"/>
    <w:rPr>
      <w:rFonts w:ascii="Segoe UI" w:hAnsi="Segoe UI" w:cs="Segoe UI"/>
      <w:sz w:val="18"/>
      <w:szCs w:val="18"/>
    </w:rPr>
  </w:style>
  <w:style w:type="character" w:styleId="ae">
    <w:name w:val="FollowedHyperlink"/>
    <w:basedOn w:val="a0"/>
    <w:uiPriority w:val="99"/>
    <w:semiHidden/>
    <w:unhideWhenUsed/>
    <w:rsid w:val="00B40A06"/>
    <w:rPr>
      <w:color w:val="954F72" w:themeColor="followedHyperlink"/>
      <w:u w:val="single"/>
    </w:rPr>
  </w:style>
  <w:style w:type="paragraph" w:customStyle="1" w:styleId="Disclaimer">
    <w:name w:val="Disclaimer"/>
    <w:basedOn w:val="a"/>
    <w:qFormat/>
    <w:rsid w:val="00151C2C"/>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a"/>
    <w:qFormat/>
    <w:rsid w:val="00151C2C"/>
    <w:pPr>
      <w:shd w:val="clear" w:color="auto" w:fill="000000"/>
      <w:spacing w:after="200" w:line="240" w:lineRule="auto"/>
      <w:jc w:val="center"/>
    </w:pPr>
    <w:rPr>
      <w:rFonts w:eastAsiaTheme="minorHAnsi"/>
      <w:color w:val="FFFFFF"/>
      <w:sz w:val="24"/>
      <w:szCs w:val="24"/>
      <w:lang w:eastAsia="en-US"/>
    </w:rPr>
  </w:style>
  <w:style w:type="paragraph" w:customStyle="1" w:styleId="DisclaimerBold">
    <w:name w:val="Disclaimer Bold"/>
    <w:basedOn w:val="Disclaimer"/>
    <w:qFormat/>
    <w:rsid w:val="00151C2C"/>
    <w:pPr>
      <w:jc w:val="lef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7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hkex-issues-revised-enforcement-sanctions-statement-and-new-cooperation-guidance/" TargetMode="External"/><Relationship Id="rId13" Type="http://schemas.openxmlformats.org/officeDocument/2006/relationships/hyperlink" Target="mailto:unsubscribe@charltonslaw.com?subject=unsubscribe%20-Hong%20Kong%20La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rules.hkex.com.hk/pdf-manipulate?/sites/default/files/net_file_store/HKEX4476_3758_VER1859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kex.com.hk/-/media/HKEX-Market/Listing/Rules-and-Guidance/Disciplinary-and-Enforcement/Disciplinary-Procedures-and-Enforcement-Guidance-Materials/guidance_cooperation.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harltonslaw.com/hkex-listing-rule-changes-on-disciplinary-powers-and-sanctions-effective-3-july-2021/" TargetMode="External"/><Relationship Id="rId4" Type="http://schemas.openxmlformats.org/officeDocument/2006/relationships/settings" Target="settings.xml"/><Relationship Id="rId9" Type="http://schemas.openxmlformats.org/officeDocument/2006/relationships/hyperlink" Target="https://www.hkex.com.hk/-/media/HKEX-Market/Listing/Rules-and-Guidance/Disciplinary-and-Enforcement/Disciplinary-Procedures-and-Enforcement-Guidance-Materials/enf_sanction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6786C-21A9-4258-B6A4-B8ECC28D0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6</Pages>
  <Words>1950</Words>
  <Characters>11117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13041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Chan</dc:creator>
  <cp:keywords/>
  <dc:description/>
  <cp:lastModifiedBy>Александр Пирогов</cp:lastModifiedBy>
  <cp:revision>10</cp:revision>
  <cp:lastPrinted>2022-11-03T06:25:00Z</cp:lastPrinted>
  <dcterms:created xsi:type="dcterms:W3CDTF">2022-11-07T02:01:00Z</dcterms:created>
  <dcterms:modified xsi:type="dcterms:W3CDTF">2022-11-10T05:18:00Z</dcterms:modified>
</cp:coreProperties>
</file>