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527F" w:rsidRPr="00C13D3D" w:rsidRDefault="00C0527F" w:rsidP="00C0527F">
      <w:pPr>
        <w:shd w:val="clear" w:color="auto" w:fill="000000"/>
        <w:spacing w:after="200" w:line="240" w:lineRule="auto"/>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sidR="009B202F">
        <w:rPr>
          <w:rFonts w:ascii="Cambria" w:eastAsia="Cambria" w:hAnsi="Cambria" w:cs="Times New Roman"/>
          <w:color w:val="FFFFFF"/>
          <w:sz w:val="24"/>
          <w:szCs w:val="24"/>
          <w:lang w:eastAsia="en-US"/>
        </w:rPr>
        <w:t>31</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October </w:t>
      </w:r>
      <w:r w:rsidRPr="00C13D3D">
        <w:rPr>
          <w:rFonts w:ascii="Cambria" w:eastAsia="Cambria" w:hAnsi="Cambria" w:cs="Times New Roman"/>
          <w:color w:val="FFFFFF"/>
          <w:sz w:val="24"/>
          <w:szCs w:val="24"/>
          <w:lang w:eastAsia="en-US"/>
        </w:rPr>
        <w:t>2022</w:t>
      </w:r>
    </w:p>
    <w:p w:rsidR="00C0527F" w:rsidRPr="00C0527F" w:rsidRDefault="00C0527F" w:rsidP="00C0527F">
      <w:pPr>
        <w:spacing w:after="200" w:line="240" w:lineRule="auto"/>
        <w:jc w:val="center"/>
        <w:rPr>
          <w:rFonts w:ascii="Cambria" w:eastAsia="Cambria" w:hAnsi="Cambria" w:cs="Times New Roman"/>
          <w:color w:val="00000A"/>
          <w:sz w:val="28"/>
          <w:szCs w:val="24"/>
          <w:u w:val="single"/>
          <w:lang w:eastAsia="en-US"/>
        </w:rPr>
      </w:pPr>
      <w:hyperlink r:id="rId8" w:history="1">
        <w:r w:rsidRPr="00365171">
          <w:rPr>
            <w:rStyle w:val="a4"/>
            <w:rFonts w:ascii="Cambria" w:eastAsia="Cambria" w:hAnsi="Cambria" w:cs="Times New Roman"/>
            <w:sz w:val="28"/>
            <w:szCs w:val="24"/>
            <w:lang w:eastAsia="en-US"/>
          </w:rPr>
          <w:t>online version</w:t>
        </w:r>
      </w:hyperlink>
    </w:p>
    <w:p w:rsidR="00DA14C3" w:rsidRPr="006E5EE6" w:rsidRDefault="00DA14C3" w:rsidP="00DA14C3">
      <w:pPr>
        <w:keepNext/>
        <w:keepLines/>
        <w:spacing w:before="480" w:after="240" w:line="240" w:lineRule="auto"/>
        <w:jc w:val="center"/>
        <w:rPr>
          <w:rFonts w:ascii="Arial" w:eastAsia="SimSun" w:hAnsi="Arial" w:cs="Arial"/>
          <w:b/>
          <w:bCs/>
          <w:color w:val="C0143C"/>
          <w:sz w:val="20"/>
          <w:szCs w:val="20"/>
          <w:lang w:eastAsia="en-US"/>
        </w:rPr>
      </w:pPr>
      <w:proofErr w:type="spellStart"/>
      <w:r w:rsidRPr="006E5EE6">
        <w:rPr>
          <w:rFonts w:ascii="Arial" w:eastAsia="SimSun" w:hAnsi="Arial" w:cs="Arial"/>
          <w:b/>
          <w:bCs/>
          <w:color w:val="C0143C"/>
          <w:sz w:val="20"/>
          <w:szCs w:val="20"/>
          <w:lang w:eastAsia="en-US"/>
        </w:rPr>
        <w:t>HKEx</w:t>
      </w:r>
      <w:proofErr w:type="spellEnd"/>
      <w:r w:rsidR="00A332CF">
        <w:rPr>
          <w:rFonts w:ascii="Arial" w:eastAsia="SimSun" w:hAnsi="Arial" w:cs="Arial"/>
          <w:b/>
          <w:bCs/>
          <w:color w:val="C0143C"/>
          <w:sz w:val="20"/>
          <w:szCs w:val="20"/>
          <w:lang w:eastAsia="en-US"/>
        </w:rPr>
        <w:t>,</w:t>
      </w:r>
      <w:r w:rsidRPr="006E5EE6">
        <w:rPr>
          <w:rFonts w:ascii="Arial" w:eastAsia="SimSun" w:hAnsi="Arial" w:cs="Arial"/>
          <w:b/>
          <w:bCs/>
          <w:color w:val="C0143C"/>
          <w:sz w:val="20"/>
          <w:szCs w:val="20"/>
          <w:lang w:eastAsia="en-US"/>
        </w:rPr>
        <w:t xml:space="preserve"> SFC </w:t>
      </w:r>
      <w:r w:rsidR="00A332CF">
        <w:rPr>
          <w:rFonts w:ascii="Arial" w:eastAsia="SimSun" w:hAnsi="Arial" w:cs="Arial"/>
          <w:b/>
          <w:bCs/>
          <w:color w:val="C0143C"/>
          <w:sz w:val="20"/>
          <w:szCs w:val="20"/>
          <w:lang w:eastAsia="en-US"/>
        </w:rPr>
        <w:t xml:space="preserve">and HKMA </w:t>
      </w:r>
      <w:r w:rsidRPr="006E5EE6">
        <w:rPr>
          <w:rFonts w:ascii="Arial" w:eastAsia="SimSun" w:hAnsi="Arial" w:cs="Arial"/>
          <w:b/>
          <w:bCs/>
          <w:color w:val="C0143C"/>
          <w:sz w:val="20"/>
          <w:szCs w:val="20"/>
          <w:lang w:eastAsia="en-US"/>
        </w:rPr>
        <w:t xml:space="preserve">Disciplinary Actions </w:t>
      </w:r>
      <w:r w:rsidR="00A332CF">
        <w:rPr>
          <w:rFonts w:ascii="Arial" w:eastAsia="SimSun" w:hAnsi="Arial" w:cs="Arial"/>
          <w:b/>
          <w:bCs/>
          <w:color w:val="C0143C"/>
          <w:sz w:val="20"/>
          <w:szCs w:val="20"/>
          <w:lang w:eastAsia="en-US"/>
        </w:rPr>
        <w:t xml:space="preserve">in </w:t>
      </w:r>
      <w:r w:rsidR="00572BA7" w:rsidRPr="006E5EE6">
        <w:rPr>
          <w:rFonts w:ascii="Arial" w:eastAsia="SimSun" w:hAnsi="Arial" w:cs="Arial"/>
          <w:b/>
          <w:bCs/>
          <w:color w:val="C0143C"/>
          <w:sz w:val="20"/>
          <w:szCs w:val="20"/>
          <w:lang w:eastAsia="en-US"/>
        </w:rPr>
        <w:t>September</w:t>
      </w:r>
      <w:r w:rsidRPr="006E5EE6">
        <w:rPr>
          <w:rFonts w:ascii="Arial" w:eastAsia="SimSun" w:hAnsi="Arial" w:cs="Arial"/>
          <w:b/>
          <w:bCs/>
          <w:color w:val="C0143C"/>
          <w:sz w:val="20"/>
          <w:szCs w:val="20"/>
          <w:lang w:eastAsia="en-US"/>
        </w:rPr>
        <w:t xml:space="preserve"> 2022</w:t>
      </w:r>
    </w:p>
    <w:p w:rsidR="00163FD4" w:rsidRPr="006E5EE6" w:rsidRDefault="00DA14C3" w:rsidP="009025BA">
      <w:pPr>
        <w:jc w:val="both"/>
        <w:rPr>
          <w:rFonts w:ascii="Arial" w:hAnsi="Arial" w:cs="Arial"/>
          <w:sz w:val="20"/>
          <w:szCs w:val="20"/>
        </w:rPr>
      </w:pPr>
      <w:r w:rsidRPr="006E5EE6">
        <w:rPr>
          <w:rFonts w:ascii="Arial" w:hAnsi="Arial" w:cs="Arial"/>
          <w:sz w:val="20"/>
          <w:szCs w:val="20"/>
        </w:rPr>
        <w:t xml:space="preserve">In </w:t>
      </w:r>
      <w:r w:rsidR="00280566" w:rsidRPr="006E5EE6">
        <w:rPr>
          <w:rFonts w:ascii="Arial" w:hAnsi="Arial" w:cs="Arial"/>
          <w:sz w:val="20"/>
          <w:szCs w:val="20"/>
        </w:rPr>
        <w:t>September</w:t>
      </w:r>
      <w:r w:rsidRPr="006E5EE6">
        <w:rPr>
          <w:rFonts w:ascii="Arial" w:hAnsi="Arial" w:cs="Arial"/>
          <w:sz w:val="20"/>
          <w:szCs w:val="20"/>
        </w:rPr>
        <w:t xml:space="preserve"> 2022, the Stock Exchange of Hong Kong Limited (the </w:t>
      </w:r>
      <w:r w:rsidRPr="006E5EE6">
        <w:rPr>
          <w:rFonts w:ascii="Arial" w:hAnsi="Arial" w:cs="Arial"/>
          <w:b/>
          <w:sz w:val="20"/>
          <w:szCs w:val="20"/>
        </w:rPr>
        <w:t>HKEx</w:t>
      </w:r>
      <w:r w:rsidRPr="006E5EE6">
        <w:rPr>
          <w:rFonts w:ascii="Arial" w:hAnsi="Arial" w:cs="Arial"/>
          <w:sz w:val="20"/>
          <w:szCs w:val="20"/>
        </w:rPr>
        <w:t xml:space="preserve">) published </w:t>
      </w:r>
      <w:r w:rsidR="008927E2" w:rsidRPr="006E5EE6">
        <w:rPr>
          <w:rFonts w:ascii="Arial" w:hAnsi="Arial" w:cs="Arial"/>
          <w:sz w:val="20"/>
          <w:szCs w:val="20"/>
        </w:rPr>
        <w:t>one</w:t>
      </w:r>
      <w:r w:rsidR="006D5462">
        <w:rPr>
          <w:rFonts w:ascii="Arial" w:hAnsi="Arial" w:cs="Arial"/>
          <w:sz w:val="20"/>
          <w:szCs w:val="20"/>
        </w:rPr>
        <w:t xml:space="preserve"> disciplinary action</w:t>
      </w:r>
      <w:r w:rsidRPr="006E5EE6">
        <w:rPr>
          <w:rFonts w:ascii="Arial" w:hAnsi="Arial" w:cs="Arial"/>
          <w:sz w:val="20"/>
          <w:szCs w:val="20"/>
        </w:rPr>
        <w:t xml:space="preserve"> against </w:t>
      </w:r>
      <w:r w:rsidR="002C3AE0" w:rsidRPr="006E5EE6">
        <w:rPr>
          <w:rFonts w:ascii="Arial" w:hAnsi="Arial" w:cs="Arial"/>
          <w:sz w:val="20"/>
          <w:szCs w:val="20"/>
        </w:rPr>
        <w:t>four d</w:t>
      </w:r>
      <w:r w:rsidR="000904CB" w:rsidRPr="006E5EE6">
        <w:rPr>
          <w:rFonts w:ascii="Arial" w:hAnsi="Arial" w:cs="Arial"/>
          <w:sz w:val="20"/>
          <w:szCs w:val="20"/>
        </w:rPr>
        <w:t>irectors of National Investments Fund Limited (</w:t>
      </w:r>
      <w:r w:rsidR="00E65EA7">
        <w:rPr>
          <w:rFonts w:ascii="Arial" w:hAnsi="Arial" w:cs="Arial"/>
          <w:sz w:val="20"/>
          <w:szCs w:val="20"/>
        </w:rPr>
        <w:t>now d</w:t>
      </w:r>
      <w:r w:rsidR="000904CB" w:rsidRPr="006E5EE6">
        <w:rPr>
          <w:rFonts w:ascii="Arial" w:hAnsi="Arial" w:cs="Arial"/>
          <w:sz w:val="20"/>
          <w:szCs w:val="20"/>
        </w:rPr>
        <w:t>elisted)</w:t>
      </w:r>
      <w:r w:rsidR="009025BA" w:rsidRPr="006E5EE6">
        <w:rPr>
          <w:rFonts w:ascii="Arial" w:hAnsi="Arial" w:cs="Arial"/>
          <w:sz w:val="20"/>
          <w:szCs w:val="20"/>
        </w:rPr>
        <w:t xml:space="preserve"> for failing to cooperate and respond to the HKEx’s enquiries.</w:t>
      </w:r>
    </w:p>
    <w:p w:rsidR="009A6C59" w:rsidRPr="006E5EE6" w:rsidRDefault="00235A06" w:rsidP="001D23C5">
      <w:pPr>
        <w:jc w:val="both"/>
        <w:rPr>
          <w:rFonts w:ascii="Arial" w:hAnsi="Arial" w:cs="Arial"/>
          <w:sz w:val="20"/>
          <w:szCs w:val="20"/>
        </w:rPr>
      </w:pPr>
      <w:r w:rsidRPr="006E5EE6">
        <w:rPr>
          <w:rFonts w:ascii="Arial" w:hAnsi="Arial" w:cs="Arial"/>
          <w:sz w:val="20"/>
          <w:szCs w:val="20"/>
        </w:rPr>
        <w:t xml:space="preserve">The Securities and Futures Commission of Hong Kong (the </w:t>
      </w:r>
      <w:r w:rsidRPr="006E5EE6">
        <w:rPr>
          <w:rFonts w:ascii="Arial" w:hAnsi="Arial" w:cs="Arial"/>
          <w:b/>
          <w:sz w:val="20"/>
          <w:szCs w:val="20"/>
        </w:rPr>
        <w:t>SFC</w:t>
      </w:r>
      <w:r w:rsidR="00997320" w:rsidRPr="006E5EE6">
        <w:rPr>
          <w:rFonts w:ascii="Arial" w:hAnsi="Arial" w:cs="Arial"/>
          <w:sz w:val="20"/>
          <w:szCs w:val="20"/>
        </w:rPr>
        <w:t>) published</w:t>
      </w:r>
      <w:r w:rsidR="00C12CDD" w:rsidRPr="006E5EE6">
        <w:rPr>
          <w:rFonts w:ascii="Arial" w:hAnsi="Arial" w:cs="Arial"/>
          <w:sz w:val="20"/>
          <w:szCs w:val="20"/>
        </w:rPr>
        <w:t xml:space="preserve"> </w:t>
      </w:r>
      <w:r w:rsidR="00814369" w:rsidRPr="006E5EE6">
        <w:rPr>
          <w:rFonts w:ascii="Arial" w:hAnsi="Arial" w:cs="Arial"/>
          <w:sz w:val="20"/>
          <w:szCs w:val="20"/>
        </w:rPr>
        <w:t>two</w:t>
      </w:r>
      <w:r w:rsidR="00C12CDD" w:rsidRPr="006E5EE6">
        <w:rPr>
          <w:rFonts w:ascii="Arial" w:hAnsi="Arial" w:cs="Arial"/>
          <w:sz w:val="20"/>
          <w:szCs w:val="20"/>
        </w:rPr>
        <w:t xml:space="preserve"> disciplinary actions in </w:t>
      </w:r>
      <w:r w:rsidR="00E53BFD" w:rsidRPr="006E5EE6">
        <w:rPr>
          <w:rFonts w:ascii="Arial" w:hAnsi="Arial" w:cs="Arial"/>
          <w:sz w:val="20"/>
          <w:szCs w:val="20"/>
        </w:rPr>
        <w:t>September</w:t>
      </w:r>
      <w:r w:rsidR="00C12CDD" w:rsidRPr="006E5EE6">
        <w:rPr>
          <w:rFonts w:ascii="Arial" w:hAnsi="Arial" w:cs="Arial"/>
          <w:sz w:val="20"/>
          <w:szCs w:val="20"/>
        </w:rPr>
        <w:t xml:space="preserve"> 2022. </w:t>
      </w:r>
      <w:r w:rsidR="00215006" w:rsidRPr="006E5EE6">
        <w:rPr>
          <w:rFonts w:ascii="Arial" w:hAnsi="Arial" w:cs="Arial"/>
          <w:sz w:val="20"/>
          <w:szCs w:val="20"/>
        </w:rPr>
        <w:t xml:space="preserve">The first </w:t>
      </w:r>
      <w:r w:rsidR="00E65EA7">
        <w:rPr>
          <w:rFonts w:ascii="Arial" w:hAnsi="Arial" w:cs="Arial"/>
          <w:sz w:val="20"/>
          <w:szCs w:val="20"/>
        </w:rPr>
        <w:t xml:space="preserve">involved the suspension of a responsible officer </w:t>
      </w:r>
      <w:r w:rsidR="00AD192F">
        <w:rPr>
          <w:rFonts w:ascii="Arial" w:hAnsi="Arial" w:cs="Arial"/>
          <w:sz w:val="20"/>
          <w:szCs w:val="20"/>
        </w:rPr>
        <w:t xml:space="preserve">for </w:t>
      </w:r>
      <w:r w:rsidR="001546EF" w:rsidRPr="006E5EE6">
        <w:rPr>
          <w:rFonts w:ascii="Arial" w:hAnsi="Arial" w:cs="Arial"/>
          <w:sz w:val="20"/>
          <w:szCs w:val="20"/>
        </w:rPr>
        <w:t xml:space="preserve">breaches </w:t>
      </w:r>
      <w:r w:rsidR="00BA16D5" w:rsidRPr="006E5EE6">
        <w:rPr>
          <w:rFonts w:ascii="Arial" w:hAnsi="Arial" w:cs="Arial"/>
          <w:sz w:val="20"/>
          <w:szCs w:val="20"/>
        </w:rPr>
        <w:t>of know-your-client, anti-money laundering a</w:t>
      </w:r>
      <w:r w:rsidR="00124C04" w:rsidRPr="006E5EE6">
        <w:rPr>
          <w:rFonts w:ascii="Arial" w:hAnsi="Arial" w:cs="Arial"/>
          <w:sz w:val="20"/>
          <w:szCs w:val="20"/>
        </w:rPr>
        <w:t>nd counter-terrorist financing</w:t>
      </w:r>
      <w:r w:rsidR="00BA16D5" w:rsidRPr="006E5EE6">
        <w:rPr>
          <w:rFonts w:ascii="Arial" w:hAnsi="Arial" w:cs="Arial"/>
          <w:sz w:val="20"/>
          <w:szCs w:val="20"/>
        </w:rPr>
        <w:t xml:space="preserve"> and other regulatory requirements.</w:t>
      </w:r>
      <w:r w:rsidR="004D53AE" w:rsidRPr="006E5EE6">
        <w:rPr>
          <w:rFonts w:ascii="Arial" w:hAnsi="Arial" w:cs="Arial"/>
          <w:sz w:val="20"/>
          <w:szCs w:val="20"/>
        </w:rPr>
        <w:t xml:space="preserve"> </w:t>
      </w:r>
      <w:r w:rsidR="009A6C59" w:rsidRPr="006E5EE6">
        <w:rPr>
          <w:rFonts w:ascii="Arial" w:hAnsi="Arial" w:cs="Arial"/>
          <w:sz w:val="20"/>
          <w:szCs w:val="20"/>
        </w:rPr>
        <w:t xml:space="preserve">The second </w:t>
      </w:r>
      <w:r w:rsidR="00AD192F">
        <w:rPr>
          <w:rFonts w:ascii="Arial" w:hAnsi="Arial" w:cs="Arial"/>
          <w:sz w:val="20"/>
          <w:szCs w:val="20"/>
        </w:rPr>
        <w:t xml:space="preserve">SFC </w:t>
      </w:r>
      <w:r w:rsidR="009A6C59" w:rsidRPr="006E5EE6">
        <w:rPr>
          <w:rFonts w:ascii="Arial" w:hAnsi="Arial" w:cs="Arial"/>
          <w:sz w:val="20"/>
          <w:szCs w:val="20"/>
        </w:rPr>
        <w:t xml:space="preserve">action </w:t>
      </w:r>
      <w:r w:rsidR="00AD192F">
        <w:rPr>
          <w:rFonts w:ascii="Arial" w:hAnsi="Arial" w:cs="Arial"/>
          <w:sz w:val="20"/>
          <w:szCs w:val="20"/>
        </w:rPr>
        <w:t>involved its suspension of</w:t>
      </w:r>
      <w:r w:rsidR="00C84DA9" w:rsidRPr="006E5EE6">
        <w:rPr>
          <w:rFonts w:ascii="Arial" w:hAnsi="Arial" w:cs="Arial"/>
          <w:sz w:val="20"/>
          <w:szCs w:val="20"/>
        </w:rPr>
        <w:t xml:space="preserve"> </w:t>
      </w:r>
      <w:r w:rsidR="00896FCB" w:rsidRPr="006E5EE6">
        <w:rPr>
          <w:rFonts w:ascii="Arial" w:hAnsi="Arial" w:cs="Arial"/>
          <w:sz w:val="20"/>
          <w:szCs w:val="20"/>
        </w:rPr>
        <w:t>Mr Christopher Jam</w:t>
      </w:r>
      <w:r w:rsidR="00C84DA9" w:rsidRPr="006E5EE6">
        <w:rPr>
          <w:rFonts w:ascii="Arial" w:hAnsi="Arial" w:cs="Arial"/>
          <w:sz w:val="20"/>
          <w:szCs w:val="20"/>
        </w:rPr>
        <w:t>es Aarons,</w:t>
      </w:r>
      <w:r w:rsidR="009025BA" w:rsidRPr="006E5EE6">
        <w:rPr>
          <w:rFonts w:ascii="Arial" w:hAnsi="Arial" w:cs="Arial"/>
          <w:sz w:val="20"/>
          <w:szCs w:val="20"/>
        </w:rPr>
        <w:t xml:space="preserve"> a</w:t>
      </w:r>
      <w:r w:rsidR="00C84DA9" w:rsidRPr="006E5EE6">
        <w:rPr>
          <w:rFonts w:ascii="Arial" w:hAnsi="Arial" w:cs="Arial"/>
          <w:sz w:val="20"/>
          <w:szCs w:val="20"/>
        </w:rPr>
        <w:t xml:space="preserve"> responsible officer </w:t>
      </w:r>
      <w:r w:rsidR="00896FCB" w:rsidRPr="006E5EE6">
        <w:rPr>
          <w:rFonts w:ascii="Arial" w:hAnsi="Arial" w:cs="Arial"/>
          <w:sz w:val="20"/>
          <w:szCs w:val="20"/>
        </w:rPr>
        <w:t>and chief executive officer of Trafalgar Capital Management (HK) Ltd.</w:t>
      </w:r>
      <w:r w:rsidR="00C84DA9" w:rsidRPr="006E5EE6">
        <w:rPr>
          <w:rFonts w:ascii="Arial" w:hAnsi="Arial" w:cs="Arial"/>
          <w:sz w:val="20"/>
          <w:szCs w:val="20"/>
        </w:rPr>
        <w:t xml:space="preserve">, for two years for breaches of the SFC’s Code of Conduct. </w:t>
      </w:r>
      <w:r w:rsidR="00896FCB" w:rsidRPr="006E5EE6">
        <w:rPr>
          <w:rFonts w:ascii="Arial" w:hAnsi="Arial" w:cs="Arial"/>
          <w:sz w:val="20"/>
          <w:szCs w:val="20"/>
        </w:rPr>
        <w:t xml:space="preserve"> </w:t>
      </w:r>
    </w:p>
    <w:p w:rsidR="00882A2C" w:rsidRPr="006E5EE6" w:rsidRDefault="00C6274C" w:rsidP="001D23C5">
      <w:pPr>
        <w:jc w:val="both"/>
        <w:rPr>
          <w:rFonts w:ascii="Arial" w:hAnsi="Arial" w:cs="Arial"/>
          <w:sz w:val="20"/>
          <w:szCs w:val="20"/>
        </w:rPr>
      </w:pPr>
      <w:r w:rsidRPr="006E5EE6">
        <w:rPr>
          <w:rFonts w:ascii="Arial" w:hAnsi="Arial" w:cs="Arial"/>
          <w:sz w:val="20"/>
          <w:szCs w:val="20"/>
        </w:rPr>
        <w:t xml:space="preserve">The </w:t>
      </w:r>
      <w:r w:rsidR="00C32E49" w:rsidRPr="006E5EE6">
        <w:rPr>
          <w:rFonts w:ascii="Arial" w:hAnsi="Arial" w:cs="Arial"/>
          <w:sz w:val="20"/>
          <w:szCs w:val="20"/>
        </w:rPr>
        <w:t>Hong Kong Monetary Authority (</w:t>
      </w:r>
      <w:r w:rsidR="00882A2C" w:rsidRPr="006E5EE6">
        <w:rPr>
          <w:rFonts w:ascii="Arial" w:hAnsi="Arial" w:cs="Arial"/>
          <w:b/>
          <w:sz w:val="20"/>
          <w:szCs w:val="20"/>
        </w:rPr>
        <w:t>HKMA</w:t>
      </w:r>
      <w:r w:rsidR="00C32E49" w:rsidRPr="006E5EE6">
        <w:rPr>
          <w:rFonts w:ascii="Arial" w:hAnsi="Arial" w:cs="Arial"/>
          <w:sz w:val="20"/>
          <w:szCs w:val="20"/>
        </w:rPr>
        <w:t>)</w:t>
      </w:r>
      <w:r w:rsidR="00882A2C" w:rsidRPr="006E5EE6">
        <w:rPr>
          <w:rFonts w:ascii="Arial" w:hAnsi="Arial" w:cs="Arial"/>
          <w:sz w:val="20"/>
          <w:szCs w:val="20"/>
        </w:rPr>
        <w:t xml:space="preserve"> </w:t>
      </w:r>
      <w:r w:rsidR="00AD192F">
        <w:rPr>
          <w:rFonts w:ascii="Arial" w:hAnsi="Arial" w:cs="Arial"/>
          <w:sz w:val="20"/>
          <w:szCs w:val="20"/>
        </w:rPr>
        <w:t>published the results of its</w:t>
      </w:r>
      <w:r w:rsidR="00882A2C" w:rsidRPr="006E5EE6">
        <w:rPr>
          <w:rFonts w:ascii="Arial" w:hAnsi="Arial" w:cs="Arial"/>
          <w:sz w:val="20"/>
          <w:szCs w:val="20"/>
        </w:rPr>
        <w:t xml:space="preserve"> </w:t>
      </w:r>
      <w:r w:rsidR="00903EA6" w:rsidRPr="006E5EE6">
        <w:rPr>
          <w:rFonts w:ascii="Arial" w:hAnsi="Arial" w:cs="Arial"/>
          <w:sz w:val="20"/>
          <w:szCs w:val="20"/>
        </w:rPr>
        <w:t xml:space="preserve">disciplinary </w:t>
      </w:r>
      <w:r w:rsidR="00882A2C" w:rsidRPr="006E5EE6">
        <w:rPr>
          <w:rFonts w:ascii="Arial" w:hAnsi="Arial" w:cs="Arial"/>
          <w:sz w:val="20"/>
          <w:szCs w:val="20"/>
        </w:rPr>
        <w:t xml:space="preserve">action against </w:t>
      </w:r>
      <w:r w:rsidR="00AD192F">
        <w:rPr>
          <w:rFonts w:ascii="Arial" w:hAnsi="Arial" w:cs="Arial"/>
          <w:sz w:val="20"/>
          <w:szCs w:val="20"/>
        </w:rPr>
        <w:t xml:space="preserve">Cathay United Bank Company </w:t>
      </w:r>
      <w:r w:rsidR="0023459A">
        <w:rPr>
          <w:rFonts w:ascii="Arial" w:hAnsi="Arial" w:cs="Arial"/>
          <w:sz w:val="20"/>
          <w:szCs w:val="20"/>
        </w:rPr>
        <w:t>(</w:t>
      </w:r>
      <w:r w:rsidR="0023459A" w:rsidRPr="0023459A">
        <w:rPr>
          <w:rFonts w:ascii="Arial" w:hAnsi="Arial" w:cs="Arial"/>
          <w:b/>
          <w:sz w:val="20"/>
          <w:szCs w:val="20"/>
        </w:rPr>
        <w:t>CUBC</w:t>
      </w:r>
      <w:r w:rsidR="0023459A">
        <w:rPr>
          <w:rFonts w:ascii="Arial" w:hAnsi="Arial" w:cs="Arial"/>
          <w:sz w:val="20"/>
          <w:szCs w:val="20"/>
        </w:rPr>
        <w:t xml:space="preserve">) </w:t>
      </w:r>
      <w:r w:rsidR="00AD192F">
        <w:rPr>
          <w:rFonts w:ascii="Arial" w:hAnsi="Arial" w:cs="Arial"/>
          <w:sz w:val="20"/>
          <w:szCs w:val="20"/>
        </w:rPr>
        <w:t>which fined</w:t>
      </w:r>
      <w:r w:rsidR="00572A1A" w:rsidRPr="006E5EE6">
        <w:rPr>
          <w:rFonts w:ascii="Arial" w:hAnsi="Arial" w:cs="Arial"/>
          <w:sz w:val="20"/>
          <w:szCs w:val="20"/>
        </w:rPr>
        <w:t xml:space="preserve"> </w:t>
      </w:r>
      <w:r w:rsidR="0023459A">
        <w:rPr>
          <w:rFonts w:ascii="Arial" w:hAnsi="Arial" w:cs="Arial"/>
          <w:sz w:val="20"/>
          <w:szCs w:val="20"/>
        </w:rPr>
        <w:t xml:space="preserve">CUBC </w:t>
      </w:r>
      <w:r w:rsidR="00572A1A" w:rsidRPr="006E5EE6">
        <w:rPr>
          <w:rFonts w:ascii="Arial" w:hAnsi="Arial" w:cs="Arial"/>
          <w:sz w:val="20"/>
          <w:szCs w:val="20"/>
        </w:rPr>
        <w:t xml:space="preserve">HK$11 million for </w:t>
      </w:r>
      <w:r w:rsidR="0023459A">
        <w:rPr>
          <w:rFonts w:ascii="Arial" w:hAnsi="Arial" w:cs="Arial"/>
          <w:sz w:val="20"/>
          <w:szCs w:val="20"/>
        </w:rPr>
        <w:t xml:space="preserve">breaches </w:t>
      </w:r>
      <w:r w:rsidR="00AD192F">
        <w:rPr>
          <w:rFonts w:ascii="Arial" w:hAnsi="Arial" w:cs="Arial"/>
          <w:sz w:val="20"/>
          <w:szCs w:val="20"/>
        </w:rPr>
        <w:t>of the Anti-money Laundering and C</w:t>
      </w:r>
      <w:r w:rsidR="0023459A">
        <w:rPr>
          <w:rFonts w:ascii="Arial" w:hAnsi="Arial" w:cs="Arial"/>
          <w:sz w:val="20"/>
          <w:szCs w:val="20"/>
        </w:rPr>
        <w:t>ounter-Terrorist Financing O</w:t>
      </w:r>
      <w:r w:rsidR="00572A1A" w:rsidRPr="006E5EE6">
        <w:rPr>
          <w:rFonts w:ascii="Arial" w:hAnsi="Arial" w:cs="Arial"/>
          <w:sz w:val="20"/>
          <w:szCs w:val="20"/>
        </w:rPr>
        <w:t xml:space="preserve">rdinance. </w:t>
      </w:r>
    </w:p>
    <w:p w:rsidR="00B20C6D" w:rsidRPr="006E5EE6" w:rsidRDefault="00B20C6D" w:rsidP="00B20C6D">
      <w:pPr>
        <w:jc w:val="both"/>
        <w:rPr>
          <w:rFonts w:ascii="Arial" w:hAnsi="Arial" w:cs="Arial"/>
          <w:b/>
          <w:color w:val="FF0000"/>
          <w:sz w:val="20"/>
          <w:szCs w:val="20"/>
        </w:rPr>
      </w:pPr>
      <w:r w:rsidRPr="006E5EE6">
        <w:rPr>
          <w:rFonts w:ascii="Arial" w:hAnsi="Arial" w:cs="Arial"/>
          <w:b/>
          <w:color w:val="FF0000"/>
          <w:sz w:val="20"/>
          <w:szCs w:val="20"/>
        </w:rPr>
        <w:t>HKEx Imposes Director Unsuitability Statement</w:t>
      </w:r>
      <w:r w:rsidR="002C3AE0" w:rsidRPr="006E5EE6">
        <w:rPr>
          <w:rFonts w:ascii="Arial" w:hAnsi="Arial" w:cs="Arial"/>
          <w:b/>
          <w:color w:val="FF0000"/>
          <w:sz w:val="20"/>
          <w:szCs w:val="20"/>
        </w:rPr>
        <w:t>s a</w:t>
      </w:r>
      <w:r w:rsidRPr="006E5EE6">
        <w:rPr>
          <w:rFonts w:ascii="Arial" w:hAnsi="Arial" w:cs="Arial"/>
          <w:b/>
          <w:color w:val="FF0000"/>
          <w:sz w:val="20"/>
          <w:szCs w:val="20"/>
        </w:rPr>
        <w:t>gainst Four Current and Former Directors of National Investments Fund Limited (Delisted)</w:t>
      </w:r>
    </w:p>
    <w:p w:rsidR="001230FB" w:rsidRPr="006E5EE6" w:rsidRDefault="00896AC6" w:rsidP="001D23C5">
      <w:pPr>
        <w:jc w:val="both"/>
        <w:rPr>
          <w:rFonts w:ascii="Arial" w:hAnsi="Arial" w:cs="Arial"/>
          <w:sz w:val="20"/>
          <w:szCs w:val="20"/>
        </w:rPr>
      </w:pPr>
      <w:r w:rsidRPr="006E5EE6">
        <w:rPr>
          <w:rFonts w:ascii="Arial" w:hAnsi="Arial" w:cs="Arial"/>
          <w:sz w:val="20"/>
          <w:szCs w:val="20"/>
        </w:rPr>
        <w:t xml:space="preserve">On 26 September 2022, the HKEx published a statement of disciplinary action </w:t>
      </w:r>
      <w:r w:rsidR="0012149F" w:rsidRPr="006E5EE6">
        <w:rPr>
          <w:rFonts w:ascii="Arial" w:hAnsi="Arial" w:cs="Arial"/>
          <w:sz w:val="20"/>
          <w:szCs w:val="20"/>
        </w:rPr>
        <w:t>publicly censuring and imposing a director unsuitability statement against four former and current directors of National Investments Fund Limited (Delisted) (</w:t>
      </w:r>
      <w:r w:rsidR="0012149F" w:rsidRPr="006E5EE6">
        <w:rPr>
          <w:rFonts w:ascii="Arial" w:hAnsi="Arial" w:cs="Arial"/>
          <w:b/>
          <w:sz w:val="20"/>
          <w:szCs w:val="20"/>
        </w:rPr>
        <w:t>NIFL</w:t>
      </w:r>
      <w:r w:rsidR="0012149F" w:rsidRPr="006E5EE6">
        <w:rPr>
          <w:rFonts w:ascii="Arial" w:hAnsi="Arial" w:cs="Arial"/>
          <w:sz w:val="20"/>
          <w:szCs w:val="20"/>
        </w:rPr>
        <w:t>)</w:t>
      </w:r>
      <w:r w:rsidR="00EC1D91">
        <w:rPr>
          <w:rFonts w:ascii="Arial" w:hAnsi="Arial" w:cs="Arial"/>
          <w:sz w:val="20"/>
          <w:szCs w:val="20"/>
        </w:rPr>
        <w:t xml:space="preserve"> for failure to cooperate in an investigation conducted by the HKEx Listing Division</w:t>
      </w:r>
      <w:r w:rsidR="00196D03" w:rsidRPr="006E5EE6">
        <w:rPr>
          <w:rFonts w:ascii="Arial" w:hAnsi="Arial" w:cs="Arial"/>
          <w:sz w:val="20"/>
          <w:szCs w:val="20"/>
        </w:rPr>
        <w:t xml:space="preserve">. </w:t>
      </w:r>
      <w:r w:rsidR="001230FB" w:rsidRPr="006E5EE6">
        <w:rPr>
          <w:rFonts w:ascii="Arial" w:hAnsi="Arial" w:cs="Arial"/>
          <w:sz w:val="20"/>
          <w:szCs w:val="20"/>
        </w:rPr>
        <w:t xml:space="preserve">The HKEx’s Statement of Disciplinary Action is available on the HKEx website </w:t>
      </w:r>
      <w:hyperlink r:id="rId9" w:history="1">
        <w:r w:rsidR="001230FB" w:rsidRPr="006E5EE6">
          <w:rPr>
            <w:rStyle w:val="a4"/>
            <w:rFonts w:ascii="Arial" w:hAnsi="Arial" w:cs="Arial"/>
            <w:sz w:val="20"/>
            <w:szCs w:val="20"/>
          </w:rPr>
          <w:t>here</w:t>
        </w:r>
      </w:hyperlink>
      <w:r w:rsidR="001230FB" w:rsidRPr="006E5EE6">
        <w:rPr>
          <w:rFonts w:ascii="Arial" w:hAnsi="Arial" w:cs="Arial"/>
          <w:sz w:val="20"/>
          <w:szCs w:val="20"/>
        </w:rPr>
        <w:t xml:space="preserve">. </w:t>
      </w:r>
    </w:p>
    <w:p w:rsidR="005A0A67" w:rsidRPr="006E5EE6" w:rsidRDefault="005A0A67" w:rsidP="00857839">
      <w:pPr>
        <w:jc w:val="both"/>
        <w:rPr>
          <w:rFonts w:ascii="Arial" w:hAnsi="Arial" w:cs="Arial"/>
          <w:b/>
          <w:sz w:val="20"/>
          <w:szCs w:val="20"/>
        </w:rPr>
      </w:pPr>
      <w:r w:rsidRPr="006E5EE6">
        <w:rPr>
          <w:rFonts w:ascii="Arial" w:hAnsi="Arial" w:cs="Arial"/>
          <w:b/>
          <w:sz w:val="20"/>
          <w:szCs w:val="20"/>
        </w:rPr>
        <w:t>Directors’ Failure to Cooperate in HKEx Investigation</w:t>
      </w:r>
    </w:p>
    <w:p w:rsidR="00C93461" w:rsidRPr="006E5EE6" w:rsidRDefault="005A0A67" w:rsidP="001D23C5">
      <w:pPr>
        <w:jc w:val="both"/>
        <w:rPr>
          <w:rFonts w:ascii="Arial" w:hAnsi="Arial" w:cs="Arial"/>
          <w:sz w:val="20"/>
          <w:szCs w:val="20"/>
        </w:rPr>
      </w:pPr>
      <w:r w:rsidRPr="006E5EE6">
        <w:rPr>
          <w:rFonts w:ascii="Arial" w:hAnsi="Arial" w:cs="Arial"/>
          <w:sz w:val="20"/>
          <w:szCs w:val="20"/>
        </w:rPr>
        <w:t xml:space="preserve">The HKEx sought to conduct an investigation into whether the four directors had breached the HKEx Listing Rules in relation to events </w:t>
      </w:r>
      <w:r w:rsidR="00E65EA7">
        <w:rPr>
          <w:rFonts w:ascii="Arial" w:hAnsi="Arial" w:cs="Arial"/>
          <w:sz w:val="20"/>
          <w:szCs w:val="20"/>
        </w:rPr>
        <w:t xml:space="preserve">that </w:t>
      </w:r>
      <w:r w:rsidRPr="006E5EE6">
        <w:rPr>
          <w:rFonts w:ascii="Arial" w:hAnsi="Arial" w:cs="Arial"/>
          <w:sz w:val="20"/>
          <w:szCs w:val="20"/>
        </w:rPr>
        <w:t xml:space="preserve">took place in 2019 and 2020. </w:t>
      </w:r>
      <w:r w:rsidR="00E24F2A" w:rsidRPr="006E5EE6">
        <w:rPr>
          <w:rFonts w:ascii="Arial" w:hAnsi="Arial" w:cs="Arial"/>
          <w:sz w:val="20"/>
          <w:szCs w:val="20"/>
        </w:rPr>
        <w:t xml:space="preserve">Despite the </w:t>
      </w:r>
      <w:r w:rsidRPr="006E5EE6">
        <w:rPr>
          <w:rFonts w:ascii="Arial" w:hAnsi="Arial" w:cs="Arial"/>
          <w:sz w:val="20"/>
          <w:szCs w:val="20"/>
        </w:rPr>
        <w:t xml:space="preserve">HKEx’s Listing Division </w:t>
      </w:r>
      <w:r w:rsidR="00E24F2A" w:rsidRPr="006E5EE6">
        <w:rPr>
          <w:rFonts w:ascii="Arial" w:hAnsi="Arial" w:cs="Arial"/>
          <w:sz w:val="20"/>
          <w:szCs w:val="20"/>
        </w:rPr>
        <w:t>having informed them of the investigation by letter and by phone</w:t>
      </w:r>
      <w:r w:rsidR="007A2B73" w:rsidRPr="006E5EE6">
        <w:rPr>
          <w:rFonts w:ascii="Arial" w:hAnsi="Arial" w:cs="Arial"/>
          <w:sz w:val="20"/>
          <w:szCs w:val="20"/>
        </w:rPr>
        <w:t xml:space="preserve">, the four directors did not respond to the HKEx’s enquiries. </w:t>
      </w:r>
      <w:r w:rsidR="001C6A77" w:rsidRPr="006E5EE6">
        <w:rPr>
          <w:rFonts w:ascii="Arial" w:hAnsi="Arial" w:cs="Arial"/>
          <w:sz w:val="20"/>
          <w:szCs w:val="20"/>
        </w:rPr>
        <w:t xml:space="preserve">Two of the four directors did eventually respond after the HKEx commenced disciplinary proceedings. </w:t>
      </w:r>
      <w:r w:rsidR="00E24F2A" w:rsidRPr="006E5EE6">
        <w:rPr>
          <w:rFonts w:ascii="Arial" w:hAnsi="Arial" w:cs="Arial"/>
          <w:sz w:val="20"/>
          <w:szCs w:val="20"/>
        </w:rPr>
        <w:t>T</w:t>
      </w:r>
      <w:r w:rsidR="009408CB" w:rsidRPr="006E5EE6">
        <w:rPr>
          <w:rFonts w:ascii="Arial" w:hAnsi="Arial" w:cs="Arial"/>
          <w:sz w:val="20"/>
          <w:szCs w:val="20"/>
        </w:rPr>
        <w:t xml:space="preserve">he reasons </w:t>
      </w:r>
      <w:r w:rsidR="00E24F2A" w:rsidRPr="006E5EE6">
        <w:rPr>
          <w:rFonts w:ascii="Arial" w:hAnsi="Arial" w:cs="Arial"/>
          <w:sz w:val="20"/>
          <w:szCs w:val="20"/>
        </w:rPr>
        <w:t xml:space="preserve">they gave for not responding </w:t>
      </w:r>
      <w:r w:rsidR="009408CB" w:rsidRPr="006E5EE6">
        <w:rPr>
          <w:rFonts w:ascii="Arial" w:hAnsi="Arial" w:cs="Arial"/>
          <w:sz w:val="20"/>
          <w:szCs w:val="20"/>
        </w:rPr>
        <w:t>included</w:t>
      </w:r>
      <w:r w:rsidR="00E24F2A" w:rsidRPr="006E5EE6">
        <w:rPr>
          <w:rFonts w:ascii="Arial" w:hAnsi="Arial" w:cs="Arial"/>
          <w:sz w:val="20"/>
          <w:szCs w:val="20"/>
        </w:rPr>
        <w:t>:</w:t>
      </w:r>
      <w:r w:rsidR="009408CB" w:rsidRPr="006E5EE6">
        <w:rPr>
          <w:rFonts w:ascii="Arial" w:hAnsi="Arial" w:cs="Arial"/>
          <w:sz w:val="20"/>
          <w:szCs w:val="20"/>
        </w:rPr>
        <w:t xml:space="preserve"> </w:t>
      </w:r>
      <w:r w:rsidR="00DC6E6C" w:rsidRPr="006E5EE6">
        <w:rPr>
          <w:rFonts w:ascii="Arial" w:hAnsi="Arial" w:cs="Arial"/>
          <w:sz w:val="20"/>
          <w:szCs w:val="20"/>
        </w:rPr>
        <w:t xml:space="preserve">(i) not regularly using or checking emails; (ii) forgetting to update the correspondence address notified to the </w:t>
      </w:r>
      <w:r w:rsidR="00CE0CA3" w:rsidRPr="006E5EE6">
        <w:rPr>
          <w:rFonts w:ascii="Arial" w:hAnsi="Arial" w:cs="Arial"/>
          <w:sz w:val="20"/>
          <w:szCs w:val="20"/>
        </w:rPr>
        <w:t>HKEx</w:t>
      </w:r>
      <w:r w:rsidR="00DC6E6C" w:rsidRPr="006E5EE6">
        <w:rPr>
          <w:rFonts w:ascii="Arial" w:hAnsi="Arial" w:cs="Arial"/>
          <w:sz w:val="20"/>
          <w:szCs w:val="20"/>
        </w:rPr>
        <w:t xml:space="preserve">; (iii) as liquidators had been appointed, they were no longer involved with the </w:t>
      </w:r>
      <w:r w:rsidR="00F15AB2" w:rsidRPr="006E5EE6">
        <w:rPr>
          <w:rFonts w:ascii="Arial" w:hAnsi="Arial" w:cs="Arial"/>
          <w:sz w:val="20"/>
          <w:szCs w:val="20"/>
        </w:rPr>
        <w:t>c</w:t>
      </w:r>
      <w:r w:rsidR="00DC6E6C" w:rsidRPr="006E5EE6">
        <w:rPr>
          <w:rFonts w:ascii="Arial" w:hAnsi="Arial" w:cs="Arial"/>
          <w:sz w:val="20"/>
          <w:szCs w:val="20"/>
        </w:rPr>
        <w:t xml:space="preserve">ompany, and they believed it was not necessary to respond to the </w:t>
      </w:r>
      <w:r w:rsidR="00CE0CA3" w:rsidRPr="006E5EE6">
        <w:rPr>
          <w:rFonts w:ascii="Arial" w:hAnsi="Arial" w:cs="Arial"/>
          <w:sz w:val="20"/>
          <w:szCs w:val="20"/>
        </w:rPr>
        <w:t>HKEx’</w:t>
      </w:r>
      <w:r w:rsidR="00DC6E6C" w:rsidRPr="006E5EE6">
        <w:rPr>
          <w:rFonts w:ascii="Arial" w:hAnsi="Arial" w:cs="Arial"/>
          <w:sz w:val="20"/>
          <w:szCs w:val="20"/>
        </w:rPr>
        <w:t xml:space="preserve">s enquiries; and (iv) as INEDs of the </w:t>
      </w:r>
      <w:r w:rsidR="00CE0CA3" w:rsidRPr="006E5EE6">
        <w:rPr>
          <w:rFonts w:ascii="Arial" w:hAnsi="Arial" w:cs="Arial"/>
          <w:sz w:val="20"/>
          <w:szCs w:val="20"/>
        </w:rPr>
        <w:t>c</w:t>
      </w:r>
      <w:r w:rsidR="00DC6E6C" w:rsidRPr="006E5EE6">
        <w:rPr>
          <w:rFonts w:ascii="Arial" w:hAnsi="Arial" w:cs="Arial"/>
          <w:sz w:val="20"/>
          <w:szCs w:val="20"/>
        </w:rPr>
        <w:t>ompany, they had no knowledge of the matters under investigation.</w:t>
      </w:r>
      <w:r w:rsidR="00655D2F" w:rsidRPr="006E5EE6">
        <w:rPr>
          <w:rFonts w:ascii="Arial" w:hAnsi="Arial" w:cs="Arial"/>
          <w:sz w:val="20"/>
          <w:szCs w:val="20"/>
        </w:rPr>
        <w:t xml:space="preserve"> </w:t>
      </w:r>
      <w:r w:rsidR="00E24F2A" w:rsidRPr="006E5EE6">
        <w:rPr>
          <w:rFonts w:ascii="Arial" w:hAnsi="Arial" w:cs="Arial"/>
          <w:sz w:val="20"/>
          <w:szCs w:val="20"/>
        </w:rPr>
        <w:t xml:space="preserve">The </w:t>
      </w:r>
      <w:r w:rsidR="00655D2F" w:rsidRPr="006E5EE6">
        <w:rPr>
          <w:rFonts w:ascii="Arial" w:hAnsi="Arial" w:cs="Arial"/>
          <w:sz w:val="20"/>
          <w:szCs w:val="20"/>
        </w:rPr>
        <w:t xml:space="preserve">HKEx </w:t>
      </w:r>
      <w:r w:rsidR="00E24F2A" w:rsidRPr="006E5EE6">
        <w:rPr>
          <w:rFonts w:ascii="Arial" w:hAnsi="Arial" w:cs="Arial"/>
          <w:sz w:val="20"/>
          <w:szCs w:val="20"/>
        </w:rPr>
        <w:t>did not consider that any of these explanations justified the directors’ failure to cooperate with the investigation</w:t>
      </w:r>
      <w:r w:rsidR="00655D2F" w:rsidRPr="006E5EE6">
        <w:rPr>
          <w:rFonts w:ascii="Arial" w:hAnsi="Arial" w:cs="Arial"/>
          <w:sz w:val="20"/>
          <w:szCs w:val="20"/>
        </w:rPr>
        <w:t>.</w:t>
      </w:r>
    </w:p>
    <w:p w:rsidR="005A0A67" w:rsidRPr="006E5EE6" w:rsidRDefault="005A0A67" w:rsidP="005A0A67">
      <w:pPr>
        <w:jc w:val="both"/>
        <w:rPr>
          <w:rFonts w:ascii="Arial" w:hAnsi="Arial" w:cs="Arial"/>
          <w:sz w:val="20"/>
          <w:szCs w:val="20"/>
        </w:rPr>
      </w:pPr>
      <w:r w:rsidRPr="006E5EE6">
        <w:rPr>
          <w:rFonts w:ascii="Arial" w:hAnsi="Arial" w:cs="Arial"/>
          <w:sz w:val="20"/>
          <w:szCs w:val="20"/>
        </w:rPr>
        <w:t>All four directors had signed and provided to the HKEx a Declaration and Undertaking with regard to Directors (</w:t>
      </w:r>
      <w:r w:rsidR="00E24F2A" w:rsidRPr="006E5EE6">
        <w:rPr>
          <w:rFonts w:ascii="Arial" w:hAnsi="Arial" w:cs="Arial"/>
          <w:b/>
          <w:sz w:val="20"/>
          <w:szCs w:val="20"/>
        </w:rPr>
        <w:t xml:space="preserve">Director’s </w:t>
      </w:r>
      <w:r w:rsidRPr="006E5EE6">
        <w:rPr>
          <w:rFonts w:ascii="Arial" w:hAnsi="Arial" w:cs="Arial"/>
          <w:b/>
          <w:sz w:val="20"/>
          <w:szCs w:val="20"/>
        </w:rPr>
        <w:t>Undertaking</w:t>
      </w:r>
      <w:r w:rsidRPr="006E5EE6">
        <w:rPr>
          <w:rFonts w:ascii="Arial" w:hAnsi="Arial" w:cs="Arial"/>
          <w:sz w:val="20"/>
          <w:szCs w:val="20"/>
        </w:rPr>
        <w:t xml:space="preserve">) in the </w:t>
      </w:r>
      <w:r w:rsidR="00E24F2A" w:rsidRPr="006E5EE6">
        <w:rPr>
          <w:rFonts w:ascii="Arial" w:hAnsi="Arial" w:cs="Arial"/>
          <w:sz w:val="20"/>
          <w:szCs w:val="20"/>
        </w:rPr>
        <w:t xml:space="preserve">standard </w:t>
      </w:r>
      <w:r w:rsidRPr="006E5EE6">
        <w:rPr>
          <w:rFonts w:ascii="Arial" w:hAnsi="Arial" w:cs="Arial"/>
          <w:sz w:val="20"/>
          <w:szCs w:val="20"/>
        </w:rPr>
        <w:t xml:space="preserve">form set out in Appendix 5B to the </w:t>
      </w:r>
      <w:r w:rsidR="00E24F2A" w:rsidRPr="006E5EE6">
        <w:rPr>
          <w:rFonts w:ascii="Arial" w:hAnsi="Arial" w:cs="Arial"/>
          <w:sz w:val="20"/>
          <w:szCs w:val="20"/>
        </w:rPr>
        <w:t xml:space="preserve">HKEx </w:t>
      </w:r>
      <w:r w:rsidRPr="006E5EE6">
        <w:rPr>
          <w:rFonts w:ascii="Arial" w:hAnsi="Arial" w:cs="Arial"/>
          <w:sz w:val="20"/>
          <w:szCs w:val="20"/>
        </w:rPr>
        <w:t xml:space="preserve">Listing Rules. The </w:t>
      </w:r>
      <w:r w:rsidR="00E24F2A" w:rsidRPr="006E5EE6">
        <w:rPr>
          <w:rFonts w:ascii="Arial" w:hAnsi="Arial" w:cs="Arial"/>
          <w:sz w:val="20"/>
          <w:szCs w:val="20"/>
        </w:rPr>
        <w:t xml:space="preserve">Director’s </w:t>
      </w:r>
      <w:r w:rsidRPr="006E5EE6">
        <w:rPr>
          <w:rFonts w:ascii="Arial" w:hAnsi="Arial" w:cs="Arial"/>
          <w:sz w:val="20"/>
          <w:szCs w:val="20"/>
        </w:rPr>
        <w:t xml:space="preserve">Undertaking </w:t>
      </w:r>
      <w:r w:rsidR="00D87A14" w:rsidRPr="006E5EE6">
        <w:rPr>
          <w:rFonts w:ascii="Arial" w:hAnsi="Arial" w:cs="Arial"/>
          <w:sz w:val="20"/>
          <w:szCs w:val="20"/>
        </w:rPr>
        <w:t>contains an undertaking to (among others):</w:t>
      </w:r>
      <w:r w:rsidRPr="006E5EE6">
        <w:rPr>
          <w:rFonts w:ascii="Arial" w:hAnsi="Arial" w:cs="Arial"/>
          <w:sz w:val="20"/>
          <w:szCs w:val="20"/>
        </w:rPr>
        <w:t xml:space="preserve"> (i) cooperate in any investigation conducted by the </w:t>
      </w:r>
      <w:r w:rsidR="00AC5E3D">
        <w:rPr>
          <w:rFonts w:ascii="Arial" w:hAnsi="Arial" w:cs="Arial"/>
          <w:sz w:val="20"/>
          <w:szCs w:val="20"/>
        </w:rPr>
        <w:t xml:space="preserve">HKEx </w:t>
      </w:r>
      <w:r w:rsidRPr="006E5EE6">
        <w:rPr>
          <w:rFonts w:ascii="Arial" w:hAnsi="Arial" w:cs="Arial"/>
          <w:sz w:val="20"/>
          <w:szCs w:val="20"/>
        </w:rPr>
        <w:t xml:space="preserve">Listing Division and/or the </w:t>
      </w:r>
      <w:r w:rsidR="00AC5E3D">
        <w:rPr>
          <w:rFonts w:ascii="Arial" w:hAnsi="Arial" w:cs="Arial"/>
          <w:sz w:val="20"/>
          <w:szCs w:val="20"/>
        </w:rPr>
        <w:t xml:space="preserve">HKEx </w:t>
      </w:r>
      <w:r w:rsidRPr="006E5EE6">
        <w:rPr>
          <w:rFonts w:ascii="Arial" w:hAnsi="Arial" w:cs="Arial"/>
          <w:sz w:val="20"/>
          <w:szCs w:val="20"/>
        </w:rPr>
        <w:t>Listing Committee; (ii) promptly and openly answer</w:t>
      </w:r>
      <w:r w:rsidR="00D87A14" w:rsidRPr="006E5EE6">
        <w:rPr>
          <w:rFonts w:ascii="Arial" w:hAnsi="Arial" w:cs="Arial"/>
          <w:sz w:val="20"/>
          <w:szCs w:val="20"/>
        </w:rPr>
        <w:t xml:space="preserve"> any questions addressed to the director</w:t>
      </w:r>
      <w:r w:rsidRPr="006E5EE6">
        <w:rPr>
          <w:rFonts w:ascii="Arial" w:hAnsi="Arial" w:cs="Arial"/>
          <w:sz w:val="20"/>
          <w:szCs w:val="20"/>
        </w:rPr>
        <w:t xml:space="preserve">; and (iii) provide their up-to-date contact details to the HKEx for a period of three years from the date on which they cease to be a director of the company, failing which any documents/notices sent by the HKEx </w:t>
      </w:r>
      <w:r w:rsidR="00AC5E3D">
        <w:rPr>
          <w:rFonts w:ascii="Arial" w:hAnsi="Arial" w:cs="Arial"/>
          <w:sz w:val="20"/>
          <w:szCs w:val="20"/>
        </w:rPr>
        <w:t>wi</w:t>
      </w:r>
      <w:r w:rsidRPr="006E5EE6">
        <w:rPr>
          <w:rFonts w:ascii="Arial" w:hAnsi="Arial" w:cs="Arial"/>
          <w:sz w:val="20"/>
          <w:szCs w:val="20"/>
        </w:rPr>
        <w:t>ll be deemed to have been served on them.</w:t>
      </w:r>
    </w:p>
    <w:p w:rsidR="00D87A14" w:rsidRPr="006E5EE6" w:rsidRDefault="00D87A14" w:rsidP="00D87A14">
      <w:pPr>
        <w:jc w:val="both"/>
        <w:rPr>
          <w:rFonts w:ascii="Arial" w:hAnsi="Arial" w:cs="Arial"/>
          <w:b/>
          <w:sz w:val="20"/>
          <w:szCs w:val="20"/>
        </w:rPr>
      </w:pPr>
      <w:r w:rsidRPr="006E5EE6">
        <w:rPr>
          <w:rFonts w:ascii="Arial" w:hAnsi="Arial" w:cs="Arial"/>
          <w:b/>
          <w:sz w:val="20"/>
          <w:szCs w:val="20"/>
        </w:rPr>
        <w:t>Listing Committee’s Findings of HKEx Listing Rule Breach</w:t>
      </w:r>
    </w:p>
    <w:p w:rsidR="00D87A14" w:rsidRPr="006E5EE6" w:rsidRDefault="00D87A14" w:rsidP="00D87A14">
      <w:pPr>
        <w:jc w:val="both"/>
        <w:rPr>
          <w:rFonts w:ascii="Arial" w:hAnsi="Arial" w:cs="Arial"/>
          <w:sz w:val="20"/>
          <w:szCs w:val="20"/>
        </w:rPr>
      </w:pPr>
      <w:r w:rsidRPr="006E5EE6">
        <w:rPr>
          <w:rFonts w:ascii="Arial" w:hAnsi="Arial" w:cs="Arial"/>
          <w:sz w:val="20"/>
          <w:szCs w:val="20"/>
        </w:rPr>
        <w:t xml:space="preserve">The Listing Committee found that the four directors had breached their Director’s Undertakings by failing to cooperate with the HKEx Listing Division in its investigation. This </w:t>
      </w:r>
      <w:r w:rsidR="00F84667" w:rsidRPr="006E5EE6">
        <w:rPr>
          <w:rFonts w:ascii="Arial" w:hAnsi="Arial" w:cs="Arial"/>
          <w:sz w:val="20"/>
          <w:szCs w:val="20"/>
        </w:rPr>
        <w:t xml:space="preserve">was regarded as a serious and/or repeated failure to discharge the directors’ responsibilities under </w:t>
      </w:r>
      <w:r w:rsidRPr="006E5EE6">
        <w:rPr>
          <w:rFonts w:ascii="Arial" w:hAnsi="Arial" w:cs="Arial"/>
          <w:sz w:val="20"/>
          <w:szCs w:val="20"/>
        </w:rPr>
        <w:t>the HKEx Listing Rules.</w:t>
      </w:r>
    </w:p>
    <w:p w:rsidR="00E44149" w:rsidRPr="006E5EE6" w:rsidRDefault="00D87A14" w:rsidP="00D87A14">
      <w:pPr>
        <w:jc w:val="both"/>
        <w:rPr>
          <w:rFonts w:ascii="Arial" w:hAnsi="Arial" w:cs="Arial"/>
          <w:sz w:val="20"/>
          <w:szCs w:val="20"/>
        </w:rPr>
      </w:pPr>
      <w:r w:rsidRPr="006E5EE6">
        <w:rPr>
          <w:rFonts w:ascii="Arial" w:hAnsi="Arial" w:cs="Arial"/>
          <w:sz w:val="20"/>
          <w:szCs w:val="20"/>
        </w:rPr>
        <w:lastRenderedPageBreak/>
        <w:t>The HKEx additionally noted that:</w:t>
      </w:r>
    </w:p>
    <w:p w:rsidR="00D87A14" w:rsidRPr="006E5EE6" w:rsidRDefault="00F84667" w:rsidP="00E44149">
      <w:pPr>
        <w:pStyle w:val="a3"/>
        <w:numPr>
          <w:ilvl w:val="0"/>
          <w:numId w:val="4"/>
        </w:numPr>
        <w:jc w:val="both"/>
        <w:rPr>
          <w:rFonts w:ascii="Arial" w:hAnsi="Arial" w:cs="Arial"/>
          <w:sz w:val="20"/>
          <w:szCs w:val="20"/>
        </w:rPr>
      </w:pPr>
      <w:r w:rsidRPr="006E5EE6">
        <w:rPr>
          <w:rFonts w:ascii="Arial" w:hAnsi="Arial" w:cs="Arial"/>
          <w:sz w:val="20"/>
          <w:szCs w:val="20"/>
        </w:rPr>
        <w:t>a</w:t>
      </w:r>
      <w:r w:rsidR="00E44149" w:rsidRPr="006E5EE6">
        <w:rPr>
          <w:rFonts w:ascii="Arial" w:hAnsi="Arial" w:cs="Arial"/>
          <w:sz w:val="20"/>
          <w:szCs w:val="20"/>
        </w:rPr>
        <w:t xml:space="preserve"> director’s obligation to provide information reasonably requested by the HKEx continues after the director ceases to be a director of the listed company;</w:t>
      </w:r>
    </w:p>
    <w:p w:rsidR="00E44149" w:rsidRPr="006E5EE6" w:rsidRDefault="00E44149" w:rsidP="00E44149">
      <w:pPr>
        <w:pStyle w:val="a3"/>
        <w:ind w:left="778"/>
        <w:jc w:val="both"/>
        <w:rPr>
          <w:rFonts w:ascii="Arial" w:hAnsi="Arial" w:cs="Arial"/>
          <w:sz w:val="20"/>
          <w:szCs w:val="20"/>
        </w:rPr>
      </w:pPr>
    </w:p>
    <w:p w:rsidR="00E44149" w:rsidRPr="006E5EE6" w:rsidRDefault="00F84667" w:rsidP="00E44149">
      <w:pPr>
        <w:pStyle w:val="a3"/>
        <w:numPr>
          <w:ilvl w:val="0"/>
          <w:numId w:val="4"/>
        </w:numPr>
        <w:jc w:val="both"/>
        <w:rPr>
          <w:rFonts w:ascii="Arial" w:hAnsi="Arial" w:cs="Arial"/>
          <w:sz w:val="20"/>
          <w:szCs w:val="20"/>
        </w:rPr>
      </w:pPr>
      <w:r w:rsidRPr="006E5EE6">
        <w:rPr>
          <w:rFonts w:ascii="Arial" w:hAnsi="Arial" w:cs="Arial"/>
          <w:sz w:val="20"/>
          <w:szCs w:val="20"/>
        </w:rPr>
        <w:t>t</w:t>
      </w:r>
      <w:r w:rsidR="00E44149" w:rsidRPr="006E5EE6">
        <w:rPr>
          <w:rFonts w:ascii="Arial" w:hAnsi="Arial" w:cs="Arial"/>
          <w:sz w:val="20"/>
          <w:szCs w:val="20"/>
        </w:rPr>
        <w:t>he obligation of listed company directors to cooperate in an investigation by the Listing Division or Listing Committee continues after the appointment of liquidators;</w:t>
      </w:r>
    </w:p>
    <w:p w:rsidR="00E44149" w:rsidRPr="006E5EE6" w:rsidRDefault="00E44149" w:rsidP="00E44149">
      <w:pPr>
        <w:pStyle w:val="a3"/>
        <w:ind w:left="778"/>
        <w:jc w:val="both"/>
        <w:rPr>
          <w:rFonts w:ascii="Arial" w:hAnsi="Arial" w:cs="Arial"/>
          <w:sz w:val="20"/>
          <w:szCs w:val="20"/>
        </w:rPr>
      </w:pPr>
      <w:r w:rsidRPr="006E5EE6">
        <w:rPr>
          <w:rFonts w:ascii="Arial" w:hAnsi="Arial" w:cs="Arial"/>
          <w:sz w:val="20"/>
          <w:szCs w:val="20"/>
        </w:rPr>
        <w:t xml:space="preserve"> </w:t>
      </w:r>
    </w:p>
    <w:p w:rsidR="00E44149" w:rsidRPr="006E5EE6" w:rsidRDefault="00F84667" w:rsidP="00E44149">
      <w:pPr>
        <w:pStyle w:val="a3"/>
        <w:numPr>
          <w:ilvl w:val="0"/>
          <w:numId w:val="4"/>
        </w:numPr>
        <w:jc w:val="both"/>
        <w:rPr>
          <w:rFonts w:ascii="Arial" w:hAnsi="Arial" w:cs="Arial"/>
          <w:sz w:val="20"/>
          <w:szCs w:val="20"/>
        </w:rPr>
      </w:pPr>
      <w:r w:rsidRPr="006E5EE6">
        <w:rPr>
          <w:rFonts w:ascii="Arial" w:hAnsi="Arial" w:cs="Arial"/>
          <w:sz w:val="20"/>
          <w:szCs w:val="20"/>
        </w:rPr>
        <w:t>d</w:t>
      </w:r>
      <w:r w:rsidR="00E44149" w:rsidRPr="006E5EE6">
        <w:rPr>
          <w:rFonts w:ascii="Arial" w:hAnsi="Arial" w:cs="Arial"/>
          <w:sz w:val="20"/>
          <w:szCs w:val="20"/>
        </w:rPr>
        <w:t>irectors are responsible for ensuring that they are contactable at the addresses and/or email addresses provided to the HKEx (even after they cease to be a director); and</w:t>
      </w:r>
    </w:p>
    <w:p w:rsidR="00E44149" w:rsidRPr="006E5EE6" w:rsidRDefault="00E44149" w:rsidP="00E44149">
      <w:pPr>
        <w:pStyle w:val="a3"/>
        <w:rPr>
          <w:rFonts w:ascii="Arial" w:hAnsi="Arial" w:cs="Arial"/>
          <w:sz w:val="20"/>
          <w:szCs w:val="20"/>
        </w:rPr>
      </w:pPr>
    </w:p>
    <w:p w:rsidR="00E44149" w:rsidRPr="006E5EE6" w:rsidRDefault="00F84667" w:rsidP="00E44149">
      <w:pPr>
        <w:pStyle w:val="a3"/>
        <w:numPr>
          <w:ilvl w:val="0"/>
          <w:numId w:val="4"/>
        </w:numPr>
        <w:jc w:val="both"/>
        <w:rPr>
          <w:rFonts w:ascii="Arial" w:hAnsi="Arial" w:cs="Arial"/>
          <w:sz w:val="20"/>
          <w:szCs w:val="20"/>
        </w:rPr>
      </w:pPr>
      <w:r w:rsidRPr="006E5EE6">
        <w:rPr>
          <w:rFonts w:ascii="Arial" w:hAnsi="Arial" w:cs="Arial"/>
          <w:sz w:val="20"/>
          <w:szCs w:val="20"/>
        </w:rPr>
        <w:t>d</w:t>
      </w:r>
      <w:r w:rsidR="00E44149" w:rsidRPr="006E5EE6">
        <w:rPr>
          <w:rFonts w:ascii="Arial" w:hAnsi="Arial" w:cs="Arial"/>
          <w:sz w:val="20"/>
          <w:szCs w:val="20"/>
        </w:rPr>
        <w:t xml:space="preserve">irectors are required to respond to enquiries from the HKEx Listing Division even if they consider that they have limited knowledge of the matters under investigation. Failure to respond will constitute non-cooperation and </w:t>
      </w:r>
      <w:r w:rsidRPr="006E5EE6">
        <w:rPr>
          <w:rFonts w:ascii="Arial" w:hAnsi="Arial" w:cs="Arial"/>
          <w:sz w:val="20"/>
          <w:szCs w:val="20"/>
        </w:rPr>
        <w:t>expose the director to the imposition of severe sanctions.</w:t>
      </w:r>
      <w:r w:rsidR="00E44149" w:rsidRPr="006E5EE6">
        <w:rPr>
          <w:rFonts w:ascii="Arial" w:hAnsi="Arial" w:cs="Arial"/>
          <w:sz w:val="20"/>
          <w:szCs w:val="20"/>
        </w:rPr>
        <w:t xml:space="preserve"> </w:t>
      </w:r>
    </w:p>
    <w:p w:rsidR="00512D4C" w:rsidRPr="006E5EE6" w:rsidRDefault="0030561C" w:rsidP="0030561C">
      <w:pPr>
        <w:jc w:val="both"/>
        <w:rPr>
          <w:rFonts w:ascii="Arial" w:hAnsi="Arial" w:cs="Arial"/>
          <w:b/>
          <w:color w:val="FF0000"/>
          <w:sz w:val="20"/>
          <w:szCs w:val="20"/>
        </w:rPr>
      </w:pPr>
      <w:r w:rsidRPr="006E5EE6">
        <w:rPr>
          <w:rFonts w:ascii="Arial" w:hAnsi="Arial" w:cs="Arial"/>
          <w:b/>
          <w:color w:val="FF0000"/>
          <w:sz w:val="20"/>
          <w:szCs w:val="20"/>
        </w:rPr>
        <w:t>SFC</w:t>
      </w:r>
      <w:r w:rsidR="00512D4C" w:rsidRPr="006E5EE6">
        <w:rPr>
          <w:rFonts w:ascii="Arial" w:hAnsi="Arial" w:cs="Arial"/>
          <w:b/>
          <w:color w:val="FF0000"/>
          <w:sz w:val="20"/>
          <w:szCs w:val="20"/>
        </w:rPr>
        <w:t xml:space="preserve"> Suspends Tang Kai S</w:t>
      </w:r>
      <w:r w:rsidR="00B32CA9" w:rsidRPr="006E5EE6">
        <w:rPr>
          <w:rFonts w:ascii="Arial" w:hAnsi="Arial" w:cs="Arial"/>
          <w:b/>
          <w:color w:val="FF0000"/>
          <w:sz w:val="20"/>
          <w:szCs w:val="20"/>
        </w:rPr>
        <w:t>h</w:t>
      </w:r>
      <w:r w:rsidR="00512D4C" w:rsidRPr="006E5EE6">
        <w:rPr>
          <w:rFonts w:ascii="Arial" w:hAnsi="Arial" w:cs="Arial"/>
          <w:b/>
          <w:color w:val="FF0000"/>
          <w:sz w:val="20"/>
          <w:szCs w:val="20"/>
        </w:rPr>
        <w:t>ing for Eight Months</w:t>
      </w:r>
    </w:p>
    <w:p w:rsidR="006D5462" w:rsidRDefault="007F0802" w:rsidP="006D5462">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On </w:t>
      </w:r>
      <w:r w:rsidR="00512D4C" w:rsidRPr="006E5EE6">
        <w:rPr>
          <w:rFonts w:ascii="Arial" w:hAnsi="Arial" w:cs="Arial"/>
          <w:color w:val="000000" w:themeColor="text1"/>
          <w:sz w:val="20"/>
          <w:szCs w:val="20"/>
        </w:rPr>
        <w:t xml:space="preserve">5 September 2022, </w:t>
      </w:r>
      <w:r w:rsidRPr="006E5EE6">
        <w:rPr>
          <w:rFonts w:ascii="Arial" w:hAnsi="Arial" w:cs="Arial"/>
          <w:color w:val="000000" w:themeColor="text1"/>
          <w:sz w:val="20"/>
          <w:szCs w:val="20"/>
        </w:rPr>
        <w:t xml:space="preserve">the SFC </w:t>
      </w:r>
      <w:r w:rsidR="00E53A76" w:rsidRPr="006E5EE6">
        <w:rPr>
          <w:rFonts w:ascii="Arial" w:hAnsi="Arial" w:cs="Arial"/>
          <w:color w:val="000000" w:themeColor="text1"/>
          <w:sz w:val="20"/>
          <w:szCs w:val="20"/>
        </w:rPr>
        <w:t>announced that it</w:t>
      </w:r>
      <w:r w:rsidR="00116156" w:rsidRPr="006E5EE6">
        <w:rPr>
          <w:rFonts w:ascii="Arial" w:hAnsi="Arial" w:cs="Arial"/>
          <w:color w:val="000000" w:themeColor="text1"/>
          <w:sz w:val="20"/>
          <w:szCs w:val="20"/>
        </w:rPr>
        <w:t xml:space="preserve"> had </w:t>
      </w:r>
      <w:r w:rsidR="001F7F61" w:rsidRPr="006E5EE6">
        <w:rPr>
          <w:rFonts w:ascii="Arial" w:hAnsi="Arial" w:cs="Arial"/>
          <w:color w:val="000000" w:themeColor="text1"/>
          <w:sz w:val="20"/>
          <w:szCs w:val="20"/>
        </w:rPr>
        <w:t>suspended Mr Tang Kai Shing, a responsible officer and managing director of Rifa Futures Limited (</w:t>
      </w:r>
      <w:r w:rsidR="001F7F61" w:rsidRPr="006E5EE6">
        <w:rPr>
          <w:rFonts w:ascii="Arial" w:hAnsi="Arial" w:cs="Arial"/>
          <w:b/>
          <w:color w:val="000000" w:themeColor="text1"/>
          <w:sz w:val="20"/>
          <w:szCs w:val="20"/>
        </w:rPr>
        <w:t>Rifa</w:t>
      </w:r>
      <w:r w:rsidR="001F7F61" w:rsidRPr="006E5EE6">
        <w:rPr>
          <w:rFonts w:ascii="Arial" w:hAnsi="Arial" w:cs="Arial"/>
          <w:color w:val="000000" w:themeColor="text1"/>
          <w:sz w:val="20"/>
          <w:szCs w:val="20"/>
        </w:rPr>
        <w:t>), for eight months</w:t>
      </w:r>
      <w:r w:rsidR="006E5EE6">
        <w:rPr>
          <w:rFonts w:ascii="Arial" w:hAnsi="Arial" w:cs="Arial"/>
          <w:color w:val="000000" w:themeColor="text1"/>
          <w:sz w:val="20"/>
          <w:szCs w:val="20"/>
        </w:rPr>
        <w:t xml:space="preserve"> from 2 September 2022</w:t>
      </w:r>
      <w:r w:rsidR="001F7F61" w:rsidRPr="006E5EE6">
        <w:rPr>
          <w:rFonts w:ascii="Arial" w:hAnsi="Arial" w:cs="Arial"/>
          <w:color w:val="000000" w:themeColor="text1"/>
          <w:sz w:val="20"/>
          <w:szCs w:val="20"/>
        </w:rPr>
        <w:t xml:space="preserve">. </w:t>
      </w:r>
      <w:r w:rsidR="006D5462" w:rsidRPr="00A0063E">
        <w:rPr>
          <w:rFonts w:ascii="Arial" w:hAnsi="Arial" w:cs="Arial"/>
          <w:color w:val="000000" w:themeColor="text1"/>
          <w:sz w:val="20"/>
          <w:szCs w:val="20"/>
        </w:rPr>
        <w:t xml:space="preserve">The SFC’s Statement of Disciplinary Action </w:t>
      </w:r>
      <w:r w:rsidR="00465139">
        <w:rPr>
          <w:rFonts w:ascii="Arial" w:hAnsi="Arial" w:cs="Arial"/>
          <w:color w:val="000000" w:themeColor="text1"/>
          <w:sz w:val="20"/>
          <w:szCs w:val="20"/>
        </w:rPr>
        <w:t xml:space="preserve">against Mr Tang </w:t>
      </w:r>
      <w:r w:rsidR="006D5462" w:rsidRPr="00A0063E">
        <w:rPr>
          <w:rFonts w:ascii="Arial" w:hAnsi="Arial" w:cs="Arial"/>
          <w:color w:val="000000" w:themeColor="text1"/>
          <w:sz w:val="20"/>
          <w:szCs w:val="20"/>
        </w:rPr>
        <w:t xml:space="preserve">can be found on the SFC website </w:t>
      </w:r>
      <w:hyperlink r:id="rId10" w:history="1">
        <w:r w:rsidR="006D5462" w:rsidRPr="00A0063E">
          <w:rPr>
            <w:rStyle w:val="a4"/>
            <w:rFonts w:ascii="Arial" w:hAnsi="Arial" w:cs="Arial"/>
            <w:sz w:val="20"/>
            <w:szCs w:val="20"/>
          </w:rPr>
          <w:t>here</w:t>
        </w:r>
      </w:hyperlink>
      <w:r w:rsidR="006D5462" w:rsidRPr="00A0063E">
        <w:rPr>
          <w:rFonts w:ascii="Arial" w:hAnsi="Arial" w:cs="Arial"/>
          <w:color w:val="000000" w:themeColor="text1"/>
          <w:sz w:val="20"/>
          <w:szCs w:val="20"/>
        </w:rPr>
        <w:t xml:space="preserve">. </w:t>
      </w:r>
    </w:p>
    <w:p w:rsidR="00A0063E" w:rsidRDefault="00080B81"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The </w:t>
      </w:r>
      <w:r w:rsidR="00AB2BA4" w:rsidRPr="006E5EE6">
        <w:rPr>
          <w:rFonts w:ascii="Arial" w:hAnsi="Arial" w:cs="Arial"/>
          <w:color w:val="000000" w:themeColor="text1"/>
          <w:sz w:val="20"/>
          <w:szCs w:val="20"/>
        </w:rPr>
        <w:t xml:space="preserve">SFC had </w:t>
      </w:r>
      <w:r w:rsidR="00465139">
        <w:rPr>
          <w:rFonts w:ascii="Arial" w:hAnsi="Arial" w:cs="Arial"/>
          <w:color w:val="000000" w:themeColor="text1"/>
          <w:sz w:val="20"/>
          <w:szCs w:val="20"/>
        </w:rPr>
        <w:t xml:space="preserve">previously </w:t>
      </w:r>
      <w:r w:rsidR="00AB2BA4" w:rsidRPr="006E5EE6">
        <w:rPr>
          <w:rFonts w:ascii="Arial" w:hAnsi="Arial" w:cs="Arial"/>
          <w:color w:val="000000" w:themeColor="text1"/>
          <w:sz w:val="20"/>
          <w:szCs w:val="20"/>
        </w:rPr>
        <w:t>found that between May 2016 and October 2018</w:t>
      </w:r>
      <w:r w:rsidR="00726438" w:rsidRPr="006E5EE6">
        <w:rPr>
          <w:rFonts w:ascii="Arial" w:hAnsi="Arial" w:cs="Arial"/>
          <w:color w:val="000000" w:themeColor="text1"/>
          <w:sz w:val="20"/>
          <w:szCs w:val="20"/>
        </w:rPr>
        <w:t>, Rifa had failed to</w:t>
      </w:r>
      <w:r w:rsidR="00A0063E">
        <w:rPr>
          <w:rFonts w:ascii="Arial" w:hAnsi="Arial" w:cs="Arial"/>
          <w:color w:val="000000" w:themeColor="text1"/>
          <w:sz w:val="20"/>
          <w:szCs w:val="20"/>
        </w:rPr>
        <w:t>:</w:t>
      </w:r>
      <w:r w:rsidR="00726438" w:rsidRPr="006E5EE6">
        <w:rPr>
          <w:rFonts w:ascii="Arial" w:hAnsi="Arial" w:cs="Arial"/>
          <w:color w:val="000000" w:themeColor="text1"/>
          <w:sz w:val="20"/>
          <w:szCs w:val="20"/>
        </w:rPr>
        <w:t xml:space="preserve"> </w:t>
      </w:r>
    </w:p>
    <w:p w:rsidR="006D5462" w:rsidRDefault="00D76BE8" w:rsidP="00A0063E">
      <w:pPr>
        <w:pStyle w:val="a3"/>
        <w:numPr>
          <w:ilvl w:val="0"/>
          <w:numId w:val="5"/>
        </w:numPr>
        <w:jc w:val="both"/>
        <w:rPr>
          <w:rFonts w:ascii="Arial" w:hAnsi="Arial" w:cs="Arial"/>
          <w:color w:val="000000" w:themeColor="text1"/>
          <w:sz w:val="20"/>
          <w:szCs w:val="20"/>
        </w:rPr>
      </w:pPr>
      <w:r w:rsidRPr="00A0063E">
        <w:rPr>
          <w:rFonts w:ascii="Arial" w:hAnsi="Arial" w:cs="Arial"/>
          <w:color w:val="000000" w:themeColor="text1"/>
          <w:sz w:val="20"/>
          <w:szCs w:val="20"/>
        </w:rPr>
        <w:t xml:space="preserve">perform adequate due diligence </w:t>
      </w:r>
      <w:r w:rsidR="00973E3D" w:rsidRPr="00A0063E">
        <w:rPr>
          <w:rFonts w:ascii="Arial" w:hAnsi="Arial" w:cs="Arial"/>
          <w:color w:val="000000" w:themeColor="text1"/>
          <w:sz w:val="20"/>
          <w:szCs w:val="20"/>
        </w:rPr>
        <w:t xml:space="preserve">on </w:t>
      </w:r>
      <w:r w:rsidR="006D5462">
        <w:rPr>
          <w:rFonts w:ascii="Arial" w:hAnsi="Arial" w:cs="Arial"/>
          <w:color w:val="000000" w:themeColor="text1"/>
          <w:sz w:val="20"/>
          <w:szCs w:val="20"/>
        </w:rPr>
        <w:t xml:space="preserve">the </w:t>
      </w:r>
      <w:r w:rsidR="00A0063E">
        <w:rPr>
          <w:rFonts w:ascii="Arial" w:hAnsi="Arial" w:cs="Arial"/>
          <w:color w:val="000000" w:themeColor="text1"/>
          <w:sz w:val="20"/>
          <w:szCs w:val="20"/>
        </w:rPr>
        <w:t>customer supplied systems</w:t>
      </w:r>
      <w:r w:rsidR="006D5462">
        <w:rPr>
          <w:rFonts w:ascii="Arial" w:hAnsi="Arial" w:cs="Arial"/>
          <w:color w:val="000000" w:themeColor="text1"/>
          <w:sz w:val="20"/>
          <w:szCs w:val="20"/>
        </w:rPr>
        <w:t xml:space="preserve"> used by clients for placing orders, and assess and manage the associated money laundering and terrorist financing (</w:t>
      </w:r>
      <w:r w:rsidR="006D5462" w:rsidRPr="006D5462">
        <w:rPr>
          <w:rFonts w:ascii="Arial" w:hAnsi="Arial" w:cs="Arial"/>
          <w:b/>
          <w:color w:val="000000" w:themeColor="text1"/>
          <w:sz w:val="20"/>
          <w:szCs w:val="20"/>
        </w:rPr>
        <w:t>ML/TF</w:t>
      </w:r>
      <w:r w:rsidR="006D5462">
        <w:rPr>
          <w:rFonts w:ascii="Arial" w:hAnsi="Arial" w:cs="Arial"/>
          <w:color w:val="000000" w:themeColor="text1"/>
          <w:sz w:val="20"/>
          <w:szCs w:val="20"/>
        </w:rPr>
        <w:t>) and other risks</w:t>
      </w:r>
      <w:r w:rsidR="00A0063E">
        <w:rPr>
          <w:rFonts w:ascii="Arial" w:hAnsi="Arial" w:cs="Arial"/>
          <w:color w:val="000000" w:themeColor="text1"/>
          <w:sz w:val="20"/>
          <w:szCs w:val="20"/>
        </w:rPr>
        <w:t>;</w:t>
      </w:r>
      <w:r w:rsidR="005D315A" w:rsidRPr="00A0063E">
        <w:rPr>
          <w:rFonts w:ascii="Arial" w:hAnsi="Arial" w:cs="Arial"/>
          <w:color w:val="000000" w:themeColor="text1"/>
          <w:sz w:val="20"/>
          <w:szCs w:val="20"/>
        </w:rPr>
        <w:t xml:space="preserve"> and</w:t>
      </w:r>
    </w:p>
    <w:p w:rsidR="00A0063E" w:rsidRDefault="005D315A" w:rsidP="006D5462">
      <w:pPr>
        <w:pStyle w:val="a3"/>
        <w:jc w:val="both"/>
        <w:rPr>
          <w:rFonts w:ascii="Arial" w:hAnsi="Arial" w:cs="Arial"/>
          <w:color w:val="000000" w:themeColor="text1"/>
          <w:sz w:val="20"/>
          <w:szCs w:val="20"/>
        </w:rPr>
      </w:pPr>
      <w:r w:rsidRPr="00A0063E">
        <w:rPr>
          <w:rFonts w:ascii="Arial" w:hAnsi="Arial" w:cs="Arial"/>
          <w:color w:val="000000" w:themeColor="text1"/>
          <w:sz w:val="20"/>
          <w:szCs w:val="20"/>
        </w:rPr>
        <w:t xml:space="preserve"> </w:t>
      </w:r>
    </w:p>
    <w:p w:rsidR="00A0063E" w:rsidRDefault="00CE1B69" w:rsidP="00A0063E">
      <w:pPr>
        <w:pStyle w:val="a3"/>
        <w:numPr>
          <w:ilvl w:val="0"/>
          <w:numId w:val="5"/>
        </w:numPr>
        <w:jc w:val="both"/>
        <w:rPr>
          <w:rFonts w:ascii="Arial" w:hAnsi="Arial" w:cs="Arial"/>
          <w:color w:val="000000" w:themeColor="text1"/>
          <w:sz w:val="20"/>
          <w:szCs w:val="20"/>
        </w:rPr>
      </w:pPr>
      <w:r w:rsidRPr="00A0063E">
        <w:rPr>
          <w:rFonts w:ascii="Arial" w:hAnsi="Arial" w:cs="Arial"/>
          <w:color w:val="000000" w:themeColor="text1"/>
          <w:sz w:val="20"/>
          <w:szCs w:val="20"/>
        </w:rPr>
        <w:t>conduct adequate ongoing monitoring of clients’</w:t>
      </w:r>
      <w:r w:rsidR="00F00026" w:rsidRPr="00A0063E">
        <w:rPr>
          <w:rFonts w:ascii="Arial" w:hAnsi="Arial" w:cs="Arial"/>
          <w:color w:val="000000" w:themeColor="text1"/>
          <w:sz w:val="20"/>
          <w:szCs w:val="20"/>
        </w:rPr>
        <w:t xml:space="preserve"> fund movements</w:t>
      </w:r>
      <w:r w:rsidR="006D5462">
        <w:rPr>
          <w:rFonts w:ascii="Arial" w:hAnsi="Arial" w:cs="Arial"/>
          <w:color w:val="000000" w:themeColor="text1"/>
          <w:sz w:val="20"/>
          <w:szCs w:val="20"/>
        </w:rPr>
        <w:t xml:space="preserve"> to ensure they were consistent with the clients’ nature of business, risk profile and source of funds</w:t>
      </w:r>
      <w:r w:rsidR="00F00026" w:rsidRPr="00A0063E">
        <w:rPr>
          <w:rFonts w:ascii="Arial" w:hAnsi="Arial" w:cs="Arial"/>
          <w:color w:val="000000" w:themeColor="text1"/>
          <w:sz w:val="20"/>
          <w:szCs w:val="20"/>
        </w:rPr>
        <w:t xml:space="preserve">. </w:t>
      </w:r>
    </w:p>
    <w:p w:rsidR="00A0063E" w:rsidRPr="00A0063E" w:rsidRDefault="00465139" w:rsidP="00A0063E">
      <w:pPr>
        <w:jc w:val="both"/>
        <w:rPr>
          <w:rFonts w:ascii="Arial" w:hAnsi="Arial" w:cs="Arial"/>
          <w:color w:val="000000" w:themeColor="text1"/>
          <w:sz w:val="20"/>
          <w:szCs w:val="20"/>
        </w:rPr>
      </w:pPr>
      <w:r>
        <w:rPr>
          <w:rFonts w:ascii="Arial" w:hAnsi="Arial" w:cs="Arial"/>
          <w:color w:val="000000" w:themeColor="text1"/>
          <w:sz w:val="20"/>
          <w:szCs w:val="20"/>
        </w:rPr>
        <w:t xml:space="preserve">The SFC </w:t>
      </w:r>
      <w:r w:rsidR="00A0063E">
        <w:rPr>
          <w:rFonts w:ascii="Arial" w:hAnsi="Arial" w:cs="Arial"/>
          <w:color w:val="000000" w:themeColor="text1"/>
          <w:sz w:val="20"/>
          <w:szCs w:val="20"/>
        </w:rPr>
        <w:t>fined Rifa HK$9 million</w:t>
      </w:r>
      <w:r w:rsidR="00AC5E3D">
        <w:rPr>
          <w:rFonts w:ascii="Arial" w:hAnsi="Arial" w:cs="Arial"/>
          <w:color w:val="000000" w:themeColor="text1"/>
          <w:sz w:val="20"/>
          <w:szCs w:val="20"/>
        </w:rPr>
        <w:t xml:space="preserve"> for the above failures</w:t>
      </w:r>
      <w:r>
        <w:rPr>
          <w:rFonts w:ascii="Arial" w:hAnsi="Arial" w:cs="Arial"/>
          <w:color w:val="000000" w:themeColor="text1"/>
          <w:sz w:val="20"/>
          <w:szCs w:val="20"/>
        </w:rPr>
        <w:t xml:space="preserve"> </w:t>
      </w:r>
      <w:r w:rsidRPr="00A0063E">
        <w:rPr>
          <w:rFonts w:ascii="Arial" w:hAnsi="Arial" w:cs="Arial"/>
          <w:color w:val="000000" w:themeColor="text1"/>
          <w:sz w:val="20"/>
          <w:szCs w:val="20"/>
        </w:rPr>
        <w:t>in July</w:t>
      </w:r>
      <w:r>
        <w:rPr>
          <w:rFonts w:ascii="Arial" w:hAnsi="Arial" w:cs="Arial"/>
          <w:color w:val="000000" w:themeColor="text1"/>
          <w:sz w:val="20"/>
          <w:szCs w:val="20"/>
        </w:rPr>
        <w:t xml:space="preserve"> 2022</w:t>
      </w:r>
      <w:r w:rsidR="00A0063E">
        <w:rPr>
          <w:rFonts w:ascii="Arial" w:hAnsi="Arial" w:cs="Arial"/>
          <w:color w:val="000000" w:themeColor="text1"/>
          <w:sz w:val="20"/>
          <w:szCs w:val="20"/>
        </w:rPr>
        <w:t xml:space="preserve">. For further </w:t>
      </w:r>
      <w:r w:rsidR="00A0063E" w:rsidRPr="00A0063E">
        <w:rPr>
          <w:rFonts w:ascii="Arial" w:hAnsi="Arial" w:cs="Arial"/>
          <w:color w:val="000000" w:themeColor="text1"/>
          <w:sz w:val="20"/>
          <w:szCs w:val="20"/>
        </w:rPr>
        <w:t xml:space="preserve">information </w:t>
      </w:r>
      <w:r w:rsidR="00A0063E">
        <w:rPr>
          <w:rFonts w:ascii="Arial" w:hAnsi="Arial" w:cs="Arial"/>
          <w:color w:val="000000" w:themeColor="text1"/>
          <w:sz w:val="20"/>
          <w:szCs w:val="20"/>
        </w:rPr>
        <w:t xml:space="preserve">on the SFC’s disciplinary action against Rifa, please see our </w:t>
      </w:r>
      <w:hyperlink r:id="rId11" w:history="1">
        <w:r w:rsidR="00A0063E" w:rsidRPr="00A0063E">
          <w:rPr>
            <w:rStyle w:val="a4"/>
            <w:rFonts w:ascii="Arial" w:hAnsi="Arial" w:cs="Arial"/>
            <w:sz w:val="20"/>
            <w:szCs w:val="20"/>
          </w:rPr>
          <w:t>newsletter</w:t>
        </w:r>
      </w:hyperlink>
      <w:r w:rsidR="00A0063E">
        <w:rPr>
          <w:rFonts w:ascii="Arial" w:hAnsi="Arial" w:cs="Arial"/>
          <w:color w:val="000000" w:themeColor="text1"/>
          <w:sz w:val="20"/>
          <w:szCs w:val="20"/>
        </w:rPr>
        <w:t xml:space="preserve"> and the </w:t>
      </w:r>
      <w:hyperlink r:id="rId12" w:history="1">
        <w:r w:rsidR="00A0063E" w:rsidRPr="00826B0F">
          <w:rPr>
            <w:rStyle w:val="a4"/>
            <w:rFonts w:ascii="Arial" w:hAnsi="Arial" w:cs="Arial"/>
            <w:sz w:val="20"/>
            <w:szCs w:val="20"/>
          </w:rPr>
          <w:t>SFC</w:t>
        </w:r>
        <w:r w:rsidR="00826B0F" w:rsidRPr="00826B0F">
          <w:rPr>
            <w:rStyle w:val="a4"/>
            <w:rFonts w:ascii="Arial" w:hAnsi="Arial" w:cs="Arial"/>
            <w:sz w:val="20"/>
            <w:szCs w:val="20"/>
          </w:rPr>
          <w:t>’s Statement of Disciplinary Action against Rifa</w:t>
        </w:r>
      </w:hyperlink>
      <w:r w:rsidR="00A0063E" w:rsidRPr="00A0063E">
        <w:rPr>
          <w:rFonts w:ascii="Arial" w:hAnsi="Arial" w:cs="Arial"/>
          <w:color w:val="000000" w:themeColor="text1"/>
          <w:sz w:val="20"/>
          <w:szCs w:val="20"/>
        </w:rPr>
        <w:t>.</w:t>
      </w:r>
    </w:p>
    <w:p w:rsidR="001F7F61" w:rsidRPr="006E5EE6" w:rsidRDefault="004329F5" w:rsidP="0030561C">
      <w:pPr>
        <w:jc w:val="both"/>
        <w:rPr>
          <w:rFonts w:ascii="Arial" w:hAnsi="Arial" w:cs="Arial"/>
          <w:b/>
          <w:color w:val="000000" w:themeColor="text1"/>
          <w:sz w:val="20"/>
          <w:szCs w:val="20"/>
        </w:rPr>
      </w:pPr>
      <w:r w:rsidRPr="006E5EE6">
        <w:rPr>
          <w:rFonts w:ascii="Arial" w:hAnsi="Arial" w:cs="Arial"/>
          <w:b/>
          <w:color w:val="000000" w:themeColor="text1"/>
          <w:sz w:val="20"/>
          <w:szCs w:val="20"/>
        </w:rPr>
        <w:t>Unauthorised Trading</w:t>
      </w:r>
    </w:p>
    <w:p w:rsidR="00D542EC" w:rsidRPr="006E5EE6" w:rsidRDefault="005F183A" w:rsidP="00D542EC">
      <w:pPr>
        <w:jc w:val="both"/>
        <w:rPr>
          <w:rFonts w:ascii="Arial" w:hAnsi="Arial" w:cs="Arial"/>
          <w:color w:val="000000" w:themeColor="text1"/>
          <w:sz w:val="20"/>
          <w:szCs w:val="20"/>
          <w:vertAlign w:val="superscript"/>
        </w:rPr>
      </w:pPr>
      <w:r w:rsidRPr="006E5EE6">
        <w:rPr>
          <w:rFonts w:ascii="Arial" w:hAnsi="Arial" w:cs="Arial"/>
          <w:color w:val="000000" w:themeColor="text1"/>
          <w:sz w:val="20"/>
          <w:szCs w:val="20"/>
        </w:rPr>
        <w:t xml:space="preserve">The SFC had received complaints </w:t>
      </w:r>
      <w:r w:rsidR="00E77705" w:rsidRPr="006E5EE6">
        <w:rPr>
          <w:rFonts w:ascii="Arial" w:hAnsi="Arial" w:cs="Arial"/>
          <w:color w:val="000000" w:themeColor="text1"/>
          <w:sz w:val="20"/>
          <w:szCs w:val="20"/>
        </w:rPr>
        <w:t>that</w:t>
      </w:r>
      <w:r w:rsidRPr="006E5EE6">
        <w:rPr>
          <w:rFonts w:ascii="Arial" w:hAnsi="Arial" w:cs="Arial"/>
          <w:color w:val="000000" w:themeColor="text1"/>
          <w:sz w:val="20"/>
          <w:szCs w:val="20"/>
        </w:rPr>
        <w:t xml:space="preserve"> various licenced corporations</w:t>
      </w:r>
      <w:r w:rsidR="00A44D62" w:rsidRPr="006E5EE6">
        <w:rPr>
          <w:rFonts w:ascii="Arial" w:hAnsi="Arial" w:cs="Arial"/>
          <w:color w:val="000000" w:themeColor="text1"/>
          <w:sz w:val="20"/>
          <w:szCs w:val="20"/>
        </w:rPr>
        <w:t xml:space="preserve"> allowed clients to place orders to their broker supplied systems through a software called Xinguanjia</w:t>
      </w:r>
      <w:r w:rsidR="004D3469" w:rsidRPr="006E5EE6">
        <w:rPr>
          <w:rFonts w:ascii="Arial" w:hAnsi="Arial" w:cs="Arial"/>
          <w:color w:val="000000" w:themeColor="text1"/>
          <w:sz w:val="20"/>
          <w:szCs w:val="20"/>
        </w:rPr>
        <w:t>, which allowed</w:t>
      </w:r>
      <w:r w:rsidR="00AF1C42" w:rsidRPr="006E5EE6">
        <w:rPr>
          <w:rFonts w:ascii="Arial" w:hAnsi="Arial" w:cs="Arial"/>
          <w:color w:val="000000" w:themeColor="text1"/>
          <w:sz w:val="20"/>
          <w:szCs w:val="20"/>
        </w:rPr>
        <w:t xml:space="preserve"> </w:t>
      </w:r>
      <w:r w:rsidR="004D11C0">
        <w:rPr>
          <w:rFonts w:ascii="Arial" w:hAnsi="Arial" w:cs="Arial"/>
          <w:color w:val="000000" w:themeColor="text1"/>
          <w:sz w:val="20"/>
          <w:szCs w:val="20"/>
        </w:rPr>
        <w:t xml:space="preserve">the </w:t>
      </w:r>
      <w:r w:rsidR="00AF1C42" w:rsidRPr="006E5EE6">
        <w:rPr>
          <w:rFonts w:ascii="Arial" w:hAnsi="Arial" w:cs="Arial"/>
          <w:color w:val="000000" w:themeColor="text1"/>
          <w:sz w:val="20"/>
          <w:szCs w:val="20"/>
        </w:rPr>
        <w:t>licensed corporations</w:t>
      </w:r>
      <w:r w:rsidR="000E40B5" w:rsidRPr="006E5EE6">
        <w:rPr>
          <w:rFonts w:ascii="Arial" w:hAnsi="Arial" w:cs="Arial"/>
          <w:color w:val="000000" w:themeColor="text1"/>
          <w:sz w:val="20"/>
          <w:szCs w:val="20"/>
        </w:rPr>
        <w:t>’ clients</w:t>
      </w:r>
      <w:r w:rsidR="004D11C0">
        <w:rPr>
          <w:rFonts w:ascii="Arial" w:hAnsi="Arial" w:cs="Arial"/>
          <w:color w:val="000000" w:themeColor="text1"/>
          <w:sz w:val="20"/>
          <w:szCs w:val="20"/>
        </w:rPr>
        <w:t xml:space="preserve"> to</w:t>
      </w:r>
      <w:r w:rsidR="00AF1C42" w:rsidRPr="006E5EE6">
        <w:rPr>
          <w:rFonts w:ascii="Arial" w:hAnsi="Arial" w:cs="Arial"/>
          <w:color w:val="000000" w:themeColor="text1"/>
          <w:sz w:val="20"/>
          <w:szCs w:val="20"/>
        </w:rPr>
        <w:t xml:space="preserve"> </w:t>
      </w:r>
      <w:r w:rsidR="004D3469" w:rsidRPr="006E5EE6">
        <w:rPr>
          <w:rFonts w:ascii="Arial" w:hAnsi="Arial" w:cs="Arial"/>
          <w:color w:val="000000" w:themeColor="text1"/>
          <w:sz w:val="20"/>
          <w:szCs w:val="20"/>
        </w:rPr>
        <w:t xml:space="preserve">solicit investors </w:t>
      </w:r>
      <w:r w:rsidR="00D542EC" w:rsidRPr="006E5EE6">
        <w:rPr>
          <w:rFonts w:ascii="Arial" w:hAnsi="Arial" w:cs="Arial"/>
          <w:color w:val="000000" w:themeColor="text1"/>
          <w:sz w:val="20"/>
          <w:szCs w:val="20"/>
        </w:rPr>
        <w:t xml:space="preserve">in Mainland China to trade through sub-accounts </w:t>
      </w:r>
      <w:r w:rsidR="004D11C0">
        <w:rPr>
          <w:rFonts w:ascii="Arial" w:hAnsi="Arial" w:cs="Arial"/>
          <w:color w:val="000000" w:themeColor="text1"/>
          <w:sz w:val="20"/>
          <w:szCs w:val="20"/>
        </w:rPr>
        <w:t xml:space="preserve">created under the clients’ accounts with licensed corporations </w:t>
      </w:r>
      <w:r w:rsidR="00D542EC" w:rsidRPr="006E5EE6">
        <w:rPr>
          <w:rFonts w:ascii="Arial" w:hAnsi="Arial" w:cs="Arial"/>
          <w:color w:val="000000" w:themeColor="text1"/>
          <w:sz w:val="20"/>
          <w:szCs w:val="20"/>
        </w:rPr>
        <w:t xml:space="preserve">via </w:t>
      </w:r>
      <w:r w:rsidR="00A17613" w:rsidRPr="006E5EE6">
        <w:rPr>
          <w:rFonts w:ascii="Arial" w:hAnsi="Arial" w:cs="Arial"/>
          <w:color w:val="000000" w:themeColor="text1"/>
          <w:sz w:val="20"/>
          <w:szCs w:val="20"/>
        </w:rPr>
        <w:t xml:space="preserve">Xinguanjia </w:t>
      </w:r>
      <w:r w:rsidR="00D542EC" w:rsidRPr="006E5EE6">
        <w:rPr>
          <w:rFonts w:ascii="Arial" w:hAnsi="Arial" w:cs="Arial"/>
          <w:color w:val="000000" w:themeColor="text1"/>
          <w:sz w:val="20"/>
          <w:szCs w:val="20"/>
        </w:rPr>
        <w:t xml:space="preserve">without having to open separate securities accounts with the </w:t>
      </w:r>
      <w:r w:rsidR="007C323E" w:rsidRPr="006E5EE6">
        <w:rPr>
          <w:rFonts w:ascii="Arial" w:hAnsi="Arial" w:cs="Arial"/>
          <w:color w:val="000000" w:themeColor="text1"/>
          <w:sz w:val="20"/>
          <w:szCs w:val="20"/>
        </w:rPr>
        <w:t>licenced corpora</w:t>
      </w:r>
      <w:r w:rsidR="00A17613" w:rsidRPr="006E5EE6">
        <w:rPr>
          <w:rFonts w:ascii="Arial" w:hAnsi="Arial" w:cs="Arial"/>
          <w:color w:val="000000" w:themeColor="text1"/>
          <w:sz w:val="20"/>
          <w:szCs w:val="20"/>
        </w:rPr>
        <w:t xml:space="preserve">tions </w:t>
      </w:r>
      <w:r w:rsidR="00D542EC" w:rsidRPr="006E5EE6">
        <w:rPr>
          <w:rFonts w:ascii="Arial" w:hAnsi="Arial" w:cs="Arial"/>
          <w:color w:val="000000" w:themeColor="text1"/>
          <w:sz w:val="20"/>
          <w:szCs w:val="20"/>
        </w:rPr>
        <w:t>in Hong Kong</w:t>
      </w:r>
      <w:r w:rsidR="00D86D98" w:rsidRPr="006E5EE6">
        <w:rPr>
          <w:rFonts w:ascii="Arial" w:hAnsi="Arial" w:cs="Arial"/>
          <w:color w:val="000000" w:themeColor="text1"/>
          <w:sz w:val="20"/>
          <w:szCs w:val="20"/>
        </w:rPr>
        <w:t xml:space="preserve">. </w:t>
      </w:r>
      <w:r w:rsidR="004D3469" w:rsidRPr="006E5EE6">
        <w:rPr>
          <w:rFonts w:ascii="Arial" w:hAnsi="Arial" w:cs="Arial"/>
          <w:color w:val="000000" w:themeColor="text1"/>
          <w:sz w:val="20"/>
          <w:szCs w:val="20"/>
        </w:rPr>
        <w:t>Rifa was one</w:t>
      </w:r>
      <w:r w:rsidR="00C829CA">
        <w:rPr>
          <w:rFonts w:ascii="Arial" w:hAnsi="Arial" w:cs="Arial"/>
          <w:color w:val="000000" w:themeColor="text1"/>
          <w:sz w:val="20"/>
          <w:szCs w:val="20"/>
        </w:rPr>
        <w:t xml:space="preserve"> of the licensed corporations the subject of</w:t>
      </w:r>
      <w:r w:rsidR="004D3469" w:rsidRPr="006E5EE6">
        <w:rPr>
          <w:rFonts w:ascii="Arial" w:hAnsi="Arial" w:cs="Arial"/>
          <w:color w:val="000000" w:themeColor="text1"/>
          <w:sz w:val="20"/>
          <w:szCs w:val="20"/>
        </w:rPr>
        <w:t xml:space="preserve"> the complaint. Between May 2016 and October 2018, Rifa permitted 310 clients to use customer supplied systems (including Xinguanjia) for placing orders.</w:t>
      </w:r>
    </w:p>
    <w:p w:rsidR="006E5F55" w:rsidRPr="006E5EE6" w:rsidRDefault="00B865D8" w:rsidP="00D542EC">
      <w:pPr>
        <w:jc w:val="both"/>
        <w:rPr>
          <w:rFonts w:ascii="Arial" w:hAnsi="Arial" w:cs="Arial"/>
          <w:color w:val="000000" w:themeColor="text1"/>
          <w:sz w:val="20"/>
          <w:szCs w:val="20"/>
        </w:rPr>
      </w:pPr>
      <w:r w:rsidRPr="006E5EE6">
        <w:rPr>
          <w:rFonts w:ascii="Arial" w:hAnsi="Arial" w:cs="Arial"/>
          <w:b/>
          <w:color w:val="000000" w:themeColor="text1"/>
          <w:sz w:val="20"/>
          <w:szCs w:val="20"/>
        </w:rPr>
        <w:t>Failure to Perform Adequate Due Diligence</w:t>
      </w:r>
      <w:r w:rsidR="00C829CA">
        <w:rPr>
          <w:rFonts w:ascii="Arial" w:hAnsi="Arial" w:cs="Arial"/>
          <w:b/>
          <w:color w:val="000000" w:themeColor="text1"/>
          <w:sz w:val="20"/>
          <w:szCs w:val="20"/>
        </w:rPr>
        <w:t xml:space="preserve"> on Customer Supplied Systems</w:t>
      </w:r>
    </w:p>
    <w:p w:rsidR="00CC3A76" w:rsidRPr="006E5EE6" w:rsidRDefault="00CC3A76" w:rsidP="00CC3A76">
      <w:pPr>
        <w:jc w:val="both"/>
        <w:rPr>
          <w:rFonts w:ascii="Arial" w:hAnsi="Arial" w:cs="Arial"/>
          <w:color w:val="000000" w:themeColor="text1"/>
          <w:sz w:val="20"/>
          <w:szCs w:val="20"/>
        </w:rPr>
      </w:pPr>
      <w:r w:rsidRPr="006E5EE6">
        <w:rPr>
          <w:rFonts w:ascii="Arial" w:hAnsi="Arial" w:cs="Arial"/>
          <w:color w:val="000000" w:themeColor="text1"/>
          <w:sz w:val="20"/>
          <w:szCs w:val="20"/>
        </w:rPr>
        <w:t>Before allowing customer supplied systems to be connected to its broker supplied systems, Rifa would require its clients to:</w:t>
      </w:r>
    </w:p>
    <w:p w:rsidR="00CC3A76" w:rsidRPr="006E5EE6" w:rsidRDefault="00C829CA" w:rsidP="00CC3A76">
      <w:pPr>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a</w:t>
      </w:r>
      <w:r w:rsidR="00CC3A76" w:rsidRPr="006E5EE6">
        <w:rPr>
          <w:rFonts w:ascii="Arial" w:hAnsi="Arial" w:cs="Arial"/>
          <w:color w:val="000000" w:themeColor="text1"/>
          <w:sz w:val="20"/>
          <w:szCs w:val="20"/>
        </w:rPr>
        <w:t xml:space="preserve">pply for a certificate from the vendor of the broker supplied systems; and </w:t>
      </w:r>
    </w:p>
    <w:p w:rsidR="00CC3A76" w:rsidRPr="006E5EE6" w:rsidRDefault="00C829CA" w:rsidP="00CC3A76">
      <w:pPr>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s</w:t>
      </w:r>
      <w:r w:rsidR="00CC3A76" w:rsidRPr="006E5EE6">
        <w:rPr>
          <w:rFonts w:ascii="Arial" w:hAnsi="Arial" w:cs="Arial"/>
          <w:color w:val="000000" w:themeColor="text1"/>
          <w:sz w:val="20"/>
          <w:szCs w:val="20"/>
        </w:rPr>
        <w:t>end a request to Rifa for final approval to u</w:t>
      </w:r>
      <w:r w:rsidR="00405E25" w:rsidRPr="006E5EE6">
        <w:rPr>
          <w:rFonts w:ascii="Arial" w:hAnsi="Arial" w:cs="Arial"/>
          <w:color w:val="000000" w:themeColor="text1"/>
          <w:sz w:val="20"/>
          <w:szCs w:val="20"/>
        </w:rPr>
        <w:t>se the customer supplied system</w:t>
      </w:r>
      <w:r w:rsidR="00CC3A76" w:rsidRPr="006E5EE6">
        <w:rPr>
          <w:rFonts w:ascii="Arial" w:hAnsi="Arial" w:cs="Arial"/>
          <w:color w:val="000000" w:themeColor="text1"/>
          <w:sz w:val="20"/>
          <w:szCs w:val="20"/>
        </w:rPr>
        <w:t xml:space="preserve">. </w:t>
      </w:r>
    </w:p>
    <w:p w:rsidR="00CC3A76" w:rsidRPr="006E5EE6" w:rsidRDefault="00CC3A76" w:rsidP="00CC3A76">
      <w:pPr>
        <w:jc w:val="both"/>
        <w:rPr>
          <w:rFonts w:ascii="Arial" w:hAnsi="Arial" w:cs="Arial"/>
          <w:color w:val="000000" w:themeColor="text1"/>
          <w:sz w:val="20"/>
          <w:szCs w:val="20"/>
        </w:rPr>
      </w:pPr>
      <w:r w:rsidRPr="006E5EE6">
        <w:rPr>
          <w:rFonts w:ascii="Arial" w:hAnsi="Arial" w:cs="Arial"/>
          <w:color w:val="000000" w:themeColor="text1"/>
          <w:sz w:val="20"/>
          <w:szCs w:val="20"/>
        </w:rPr>
        <w:t>However, Rifa did not perform any due diligence or testing on the customer supplied systems used by its clients</w:t>
      </w:r>
      <w:r w:rsidR="00E4267B" w:rsidRPr="006E5EE6">
        <w:rPr>
          <w:rFonts w:ascii="Arial" w:hAnsi="Arial" w:cs="Arial"/>
          <w:color w:val="000000" w:themeColor="text1"/>
          <w:sz w:val="20"/>
          <w:szCs w:val="20"/>
        </w:rPr>
        <w:t xml:space="preserve"> and</w:t>
      </w:r>
      <w:r w:rsidRPr="006E5EE6">
        <w:rPr>
          <w:rFonts w:ascii="Arial" w:hAnsi="Arial" w:cs="Arial"/>
          <w:color w:val="000000" w:themeColor="text1"/>
          <w:sz w:val="20"/>
          <w:szCs w:val="20"/>
        </w:rPr>
        <w:t xml:space="preserve"> only carried out a walkthrough test on the connectivity between the customer supplied systems and its broker supplied systems. Although Rifa claimed that it relied on the</w:t>
      </w:r>
      <w:r w:rsidR="00465139">
        <w:rPr>
          <w:rFonts w:ascii="Arial" w:hAnsi="Arial" w:cs="Arial"/>
          <w:color w:val="000000" w:themeColor="text1"/>
          <w:sz w:val="20"/>
          <w:szCs w:val="20"/>
        </w:rPr>
        <w:t xml:space="preserve"> </w:t>
      </w:r>
      <w:r w:rsidR="00465139" w:rsidRPr="006E5EE6">
        <w:rPr>
          <w:rFonts w:ascii="Arial" w:hAnsi="Arial" w:cs="Arial"/>
          <w:color w:val="000000" w:themeColor="text1"/>
          <w:sz w:val="20"/>
          <w:szCs w:val="20"/>
        </w:rPr>
        <w:t>vendor</w:t>
      </w:r>
      <w:r w:rsidR="00465139">
        <w:rPr>
          <w:rFonts w:ascii="Arial" w:hAnsi="Arial" w:cs="Arial"/>
          <w:color w:val="000000" w:themeColor="text1"/>
          <w:sz w:val="20"/>
          <w:szCs w:val="20"/>
        </w:rPr>
        <w:t xml:space="preserve"> of the </w:t>
      </w:r>
      <w:r w:rsidRPr="006E5EE6">
        <w:rPr>
          <w:rFonts w:ascii="Arial" w:hAnsi="Arial" w:cs="Arial"/>
          <w:color w:val="000000" w:themeColor="text1"/>
          <w:sz w:val="20"/>
          <w:szCs w:val="20"/>
        </w:rPr>
        <w:t>broker supplied system to conduct due diligence on the customer supplied systems, the br</w:t>
      </w:r>
      <w:r w:rsidR="00465139">
        <w:rPr>
          <w:rFonts w:ascii="Arial" w:hAnsi="Arial" w:cs="Arial"/>
          <w:color w:val="000000" w:themeColor="text1"/>
          <w:sz w:val="20"/>
          <w:szCs w:val="20"/>
        </w:rPr>
        <w:t>oker supplied system vendor claim</w:t>
      </w:r>
      <w:r w:rsidRPr="006E5EE6">
        <w:rPr>
          <w:rFonts w:ascii="Arial" w:hAnsi="Arial" w:cs="Arial"/>
          <w:color w:val="000000" w:themeColor="text1"/>
          <w:sz w:val="20"/>
          <w:szCs w:val="20"/>
        </w:rPr>
        <w:t>ed that Rifa had never instructed it to</w:t>
      </w:r>
      <w:r w:rsidR="00C829CA">
        <w:rPr>
          <w:rFonts w:ascii="Arial" w:hAnsi="Arial" w:cs="Arial"/>
          <w:color w:val="000000" w:themeColor="text1"/>
          <w:sz w:val="20"/>
          <w:szCs w:val="20"/>
        </w:rPr>
        <w:t xml:space="preserve"> conduct</w:t>
      </w:r>
      <w:r w:rsidRPr="006E5EE6">
        <w:rPr>
          <w:rFonts w:ascii="Arial" w:hAnsi="Arial" w:cs="Arial"/>
          <w:color w:val="000000" w:themeColor="text1"/>
          <w:sz w:val="20"/>
          <w:szCs w:val="20"/>
        </w:rPr>
        <w:t xml:space="preserve"> any due diligence or test on the </w:t>
      </w:r>
      <w:r w:rsidRPr="006E5EE6">
        <w:rPr>
          <w:rFonts w:ascii="Arial" w:hAnsi="Arial" w:cs="Arial"/>
          <w:color w:val="000000" w:themeColor="text1"/>
          <w:sz w:val="20"/>
          <w:szCs w:val="20"/>
        </w:rPr>
        <w:lastRenderedPageBreak/>
        <w:t>customer supplied system</w:t>
      </w:r>
      <w:r w:rsidR="00C829CA">
        <w:rPr>
          <w:rFonts w:ascii="Arial" w:hAnsi="Arial" w:cs="Arial"/>
          <w:color w:val="000000" w:themeColor="text1"/>
          <w:sz w:val="20"/>
          <w:szCs w:val="20"/>
        </w:rPr>
        <w:t>s</w:t>
      </w:r>
      <w:r w:rsidRPr="006E5EE6">
        <w:rPr>
          <w:rFonts w:ascii="Arial" w:hAnsi="Arial" w:cs="Arial"/>
          <w:color w:val="000000" w:themeColor="text1"/>
          <w:sz w:val="20"/>
          <w:szCs w:val="20"/>
        </w:rPr>
        <w:t xml:space="preserve"> to examine their design and functions</w:t>
      </w:r>
      <w:r w:rsidR="00465139">
        <w:rPr>
          <w:rFonts w:ascii="Arial" w:hAnsi="Arial" w:cs="Arial"/>
          <w:color w:val="000000" w:themeColor="text1"/>
          <w:sz w:val="20"/>
          <w:szCs w:val="20"/>
        </w:rPr>
        <w:t xml:space="preserve"> and it had not carried out any such due diligence or test</w:t>
      </w:r>
      <w:r w:rsidRPr="006E5EE6">
        <w:rPr>
          <w:rFonts w:ascii="Arial" w:hAnsi="Arial" w:cs="Arial"/>
          <w:color w:val="000000" w:themeColor="text1"/>
          <w:sz w:val="20"/>
          <w:szCs w:val="20"/>
        </w:rPr>
        <w:t xml:space="preserve">. </w:t>
      </w:r>
    </w:p>
    <w:p w:rsidR="00B865D8" w:rsidRDefault="00F24A36" w:rsidP="00CC3A76">
      <w:pPr>
        <w:jc w:val="both"/>
        <w:rPr>
          <w:rFonts w:ascii="Arial" w:hAnsi="Arial" w:cs="Arial"/>
          <w:color w:val="000000" w:themeColor="text1"/>
          <w:sz w:val="20"/>
          <w:szCs w:val="20"/>
        </w:rPr>
      </w:pPr>
      <w:r>
        <w:rPr>
          <w:rFonts w:ascii="Arial" w:hAnsi="Arial" w:cs="Arial"/>
          <w:color w:val="000000" w:themeColor="text1"/>
          <w:sz w:val="20"/>
          <w:szCs w:val="20"/>
        </w:rPr>
        <w:t xml:space="preserve">The SFC found that Rifa’s failure to conduct </w:t>
      </w:r>
      <w:r w:rsidR="00CC3A76" w:rsidRPr="006E5EE6">
        <w:rPr>
          <w:rFonts w:ascii="Arial" w:hAnsi="Arial" w:cs="Arial"/>
          <w:color w:val="000000" w:themeColor="text1"/>
          <w:sz w:val="20"/>
          <w:szCs w:val="20"/>
        </w:rPr>
        <w:t xml:space="preserve">due diligence </w:t>
      </w:r>
      <w:r w:rsidR="00C829CA">
        <w:rPr>
          <w:rFonts w:ascii="Arial" w:hAnsi="Arial" w:cs="Arial"/>
          <w:color w:val="000000" w:themeColor="text1"/>
          <w:sz w:val="20"/>
          <w:szCs w:val="20"/>
        </w:rPr>
        <w:t>on the features and functions of the</w:t>
      </w:r>
      <w:r w:rsidR="00CC3A76" w:rsidRPr="006E5EE6">
        <w:rPr>
          <w:rFonts w:ascii="Arial" w:hAnsi="Arial" w:cs="Arial"/>
          <w:color w:val="000000" w:themeColor="text1"/>
          <w:sz w:val="20"/>
          <w:szCs w:val="20"/>
        </w:rPr>
        <w:t xml:space="preserve"> customer supplied systems </w:t>
      </w:r>
      <w:r>
        <w:rPr>
          <w:rFonts w:ascii="Arial" w:hAnsi="Arial" w:cs="Arial"/>
          <w:color w:val="000000" w:themeColor="text1"/>
          <w:sz w:val="20"/>
          <w:szCs w:val="20"/>
        </w:rPr>
        <w:t xml:space="preserve">meant that it was not in a position to assess the ML/TF and other risks resulting from the use of the systems and implement appropriate controls to manage such risks. Without these controls, the SFC considered that Rifa had </w:t>
      </w:r>
      <w:r w:rsidR="00CC3A76" w:rsidRPr="006E5EE6">
        <w:rPr>
          <w:rFonts w:ascii="Arial" w:hAnsi="Arial" w:cs="Arial"/>
          <w:color w:val="000000" w:themeColor="text1"/>
          <w:sz w:val="20"/>
          <w:szCs w:val="20"/>
        </w:rPr>
        <w:t>expose</w:t>
      </w:r>
      <w:r>
        <w:rPr>
          <w:rFonts w:ascii="Arial" w:hAnsi="Arial" w:cs="Arial"/>
          <w:color w:val="000000" w:themeColor="text1"/>
          <w:sz w:val="20"/>
          <w:szCs w:val="20"/>
        </w:rPr>
        <w:t>d itself to risks relating to</w:t>
      </w:r>
      <w:r w:rsidR="00AD6946" w:rsidRPr="006E5EE6">
        <w:rPr>
          <w:rFonts w:ascii="Arial" w:hAnsi="Arial" w:cs="Arial"/>
          <w:color w:val="000000" w:themeColor="text1"/>
          <w:sz w:val="20"/>
          <w:szCs w:val="20"/>
        </w:rPr>
        <w:t xml:space="preserve"> unlicensed activities, money laundering, nominee account arrangement and unauthorised access to client accounts. </w:t>
      </w:r>
    </w:p>
    <w:p w:rsidR="00F24A36" w:rsidRPr="00F24A36" w:rsidRDefault="00F24A36" w:rsidP="00CC3A76">
      <w:pPr>
        <w:jc w:val="both"/>
        <w:rPr>
          <w:rFonts w:ascii="Arial" w:hAnsi="Arial" w:cs="Arial"/>
          <w:b/>
          <w:color w:val="000000" w:themeColor="text1"/>
          <w:sz w:val="20"/>
          <w:szCs w:val="20"/>
        </w:rPr>
      </w:pPr>
      <w:r>
        <w:rPr>
          <w:rFonts w:ascii="Arial" w:hAnsi="Arial" w:cs="Arial"/>
          <w:b/>
          <w:color w:val="000000" w:themeColor="text1"/>
          <w:sz w:val="20"/>
          <w:szCs w:val="20"/>
        </w:rPr>
        <w:t>Failure to Conduct Adequate Ongoing Monitoring of Clients’ Fund Movements</w:t>
      </w:r>
    </w:p>
    <w:p w:rsidR="005411DD" w:rsidRPr="006E5EE6" w:rsidRDefault="00F24A36" w:rsidP="0030561C">
      <w:pPr>
        <w:jc w:val="both"/>
        <w:rPr>
          <w:rFonts w:ascii="Arial" w:hAnsi="Arial" w:cs="Arial"/>
          <w:color w:val="000000" w:themeColor="text1"/>
          <w:sz w:val="20"/>
          <w:szCs w:val="20"/>
        </w:rPr>
      </w:pPr>
      <w:r>
        <w:rPr>
          <w:rFonts w:ascii="Arial" w:hAnsi="Arial" w:cs="Arial"/>
          <w:color w:val="000000" w:themeColor="text1"/>
          <w:sz w:val="20"/>
          <w:szCs w:val="20"/>
        </w:rPr>
        <w:t xml:space="preserve">The </w:t>
      </w:r>
      <w:r w:rsidR="00A27FA6" w:rsidRPr="006E5EE6">
        <w:rPr>
          <w:rFonts w:ascii="Arial" w:hAnsi="Arial" w:cs="Arial"/>
          <w:color w:val="000000" w:themeColor="text1"/>
          <w:sz w:val="20"/>
          <w:szCs w:val="20"/>
        </w:rPr>
        <w:t>amo</w:t>
      </w:r>
      <w:r>
        <w:rPr>
          <w:rFonts w:ascii="Arial" w:hAnsi="Arial" w:cs="Arial"/>
          <w:color w:val="000000" w:themeColor="text1"/>
          <w:sz w:val="20"/>
          <w:szCs w:val="20"/>
        </w:rPr>
        <w:t>unts of deposits made into the</w:t>
      </w:r>
      <w:r w:rsidR="00A27FA6" w:rsidRPr="006E5EE6">
        <w:rPr>
          <w:rFonts w:ascii="Arial" w:hAnsi="Arial" w:cs="Arial"/>
          <w:color w:val="000000" w:themeColor="text1"/>
          <w:sz w:val="20"/>
          <w:szCs w:val="20"/>
        </w:rPr>
        <w:t xml:space="preserve"> accounts </w:t>
      </w:r>
      <w:r>
        <w:rPr>
          <w:rFonts w:ascii="Arial" w:hAnsi="Arial" w:cs="Arial"/>
          <w:color w:val="000000" w:themeColor="text1"/>
          <w:sz w:val="20"/>
          <w:szCs w:val="20"/>
        </w:rPr>
        <w:t xml:space="preserve">of five clients were incommensurate with </w:t>
      </w:r>
      <w:r w:rsidR="0051751C">
        <w:rPr>
          <w:rFonts w:ascii="Arial" w:hAnsi="Arial" w:cs="Arial"/>
          <w:color w:val="000000" w:themeColor="text1"/>
          <w:sz w:val="20"/>
          <w:szCs w:val="20"/>
        </w:rPr>
        <w:t xml:space="preserve">their financial profiles and were thus </w:t>
      </w:r>
      <w:r w:rsidR="00A27FA6" w:rsidRPr="006E5EE6">
        <w:rPr>
          <w:rFonts w:ascii="Arial" w:hAnsi="Arial" w:cs="Arial"/>
          <w:color w:val="000000" w:themeColor="text1"/>
          <w:sz w:val="20"/>
          <w:szCs w:val="20"/>
        </w:rPr>
        <w:t xml:space="preserve">unusual </w:t>
      </w:r>
      <w:r w:rsidR="0051751C">
        <w:rPr>
          <w:rFonts w:ascii="Arial" w:hAnsi="Arial" w:cs="Arial"/>
          <w:color w:val="000000" w:themeColor="text1"/>
          <w:sz w:val="20"/>
          <w:szCs w:val="20"/>
        </w:rPr>
        <w:t>and/</w:t>
      </w:r>
      <w:r w:rsidR="00A27FA6" w:rsidRPr="006E5EE6">
        <w:rPr>
          <w:rFonts w:ascii="Arial" w:hAnsi="Arial" w:cs="Arial"/>
          <w:color w:val="000000" w:themeColor="text1"/>
          <w:sz w:val="20"/>
          <w:szCs w:val="20"/>
        </w:rPr>
        <w:t xml:space="preserve">or suspicious. </w:t>
      </w:r>
      <w:r w:rsidR="00597EDA" w:rsidRPr="006E5EE6">
        <w:rPr>
          <w:rFonts w:ascii="Arial" w:hAnsi="Arial" w:cs="Arial"/>
          <w:color w:val="000000" w:themeColor="text1"/>
          <w:sz w:val="20"/>
          <w:szCs w:val="20"/>
        </w:rPr>
        <w:t xml:space="preserve">Rifa had performed </w:t>
      </w:r>
      <w:r w:rsidR="00D76FAF">
        <w:rPr>
          <w:rFonts w:ascii="Arial" w:hAnsi="Arial" w:cs="Arial"/>
          <w:color w:val="000000" w:themeColor="text1"/>
          <w:sz w:val="20"/>
          <w:szCs w:val="20"/>
        </w:rPr>
        <w:t xml:space="preserve">quarterly </w:t>
      </w:r>
      <w:r w:rsidR="00597EDA" w:rsidRPr="006E5EE6">
        <w:rPr>
          <w:rFonts w:ascii="Arial" w:hAnsi="Arial" w:cs="Arial"/>
          <w:color w:val="000000" w:themeColor="text1"/>
          <w:sz w:val="20"/>
          <w:szCs w:val="20"/>
        </w:rPr>
        <w:t xml:space="preserve">reviews </w:t>
      </w:r>
      <w:r w:rsidR="00D76FAF">
        <w:rPr>
          <w:rFonts w:ascii="Arial" w:hAnsi="Arial" w:cs="Arial"/>
          <w:color w:val="000000" w:themeColor="text1"/>
          <w:sz w:val="20"/>
          <w:szCs w:val="20"/>
        </w:rPr>
        <w:t xml:space="preserve">on client fund movements, but only for </w:t>
      </w:r>
      <w:r w:rsidR="00DE7AAA" w:rsidRPr="006E5EE6">
        <w:rPr>
          <w:rFonts w:ascii="Arial" w:hAnsi="Arial" w:cs="Arial"/>
          <w:color w:val="000000" w:themeColor="text1"/>
          <w:sz w:val="20"/>
          <w:szCs w:val="20"/>
        </w:rPr>
        <w:t>its top 50 clients</w:t>
      </w:r>
      <w:r w:rsidR="00D76FAF">
        <w:rPr>
          <w:rFonts w:ascii="Arial" w:hAnsi="Arial" w:cs="Arial"/>
          <w:color w:val="000000" w:themeColor="text1"/>
          <w:sz w:val="20"/>
          <w:szCs w:val="20"/>
        </w:rPr>
        <w:t xml:space="preserve"> by trading volume</w:t>
      </w:r>
      <w:r w:rsidR="00DE7AAA" w:rsidRPr="006E5EE6">
        <w:rPr>
          <w:rFonts w:ascii="Arial" w:hAnsi="Arial" w:cs="Arial"/>
          <w:color w:val="000000" w:themeColor="text1"/>
          <w:sz w:val="20"/>
          <w:szCs w:val="20"/>
        </w:rPr>
        <w:t xml:space="preserve">. For </w:t>
      </w:r>
      <w:r w:rsidR="00D76FAF">
        <w:rPr>
          <w:rFonts w:ascii="Arial" w:hAnsi="Arial" w:cs="Arial"/>
          <w:color w:val="000000" w:themeColor="text1"/>
          <w:sz w:val="20"/>
          <w:szCs w:val="20"/>
        </w:rPr>
        <w:t>the five</w:t>
      </w:r>
      <w:r w:rsidR="00DE7AAA" w:rsidRPr="006E5EE6">
        <w:rPr>
          <w:rFonts w:ascii="Arial" w:hAnsi="Arial" w:cs="Arial"/>
          <w:color w:val="000000" w:themeColor="text1"/>
          <w:sz w:val="20"/>
          <w:szCs w:val="20"/>
        </w:rPr>
        <w:t xml:space="preserve"> clients</w:t>
      </w:r>
      <w:r w:rsidR="00D76FAF">
        <w:rPr>
          <w:rFonts w:ascii="Arial" w:hAnsi="Arial" w:cs="Arial"/>
          <w:color w:val="000000" w:themeColor="text1"/>
          <w:sz w:val="20"/>
          <w:szCs w:val="20"/>
        </w:rPr>
        <w:t xml:space="preserve"> in receipt of unusually large deposits</w:t>
      </w:r>
      <w:r w:rsidR="00DE7AAA" w:rsidRPr="006E5EE6">
        <w:rPr>
          <w:rFonts w:ascii="Arial" w:hAnsi="Arial" w:cs="Arial"/>
          <w:color w:val="000000" w:themeColor="text1"/>
          <w:sz w:val="20"/>
          <w:szCs w:val="20"/>
        </w:rPr>
        <w:t xml:space="preserve">, Rifa called </w:t>
      </w:r>
      <w:r w:rsidR="00D76FAF">
        <w:rPr>
          <w:rFonts w:ascii="Arial" w:hAnsi="Arial" w:cs="Arial"/>
          <w:color w:val="000000" w:themeColor="text1"/>
          <w:sz w:val="20"/>
          <w:szCs w:val="20"/>
        </w:rPr>
        <w:t xml:space="preserve">the clients informing them that the deposits </w:t>
      </w:r>
      <w:r w:rsidR="00D76FAF" w:rsidRPr="006E5EE6">
        <w:rPr>
          <w:rFonts w:ascii="Arial" w:hAnsi="Arial" w:cs="Arial"/>
          <w:color w:val="000000" w:themeColor="text1"/>
          <w:sz w:val="20"/>
          <w:szCs w:val="20"/>
        </w:rPr>
        <w:t xml:space="preserve">exceeded their </w:t>
      </w:r>
      <w:r w:rsidR="00D76FAF">
        <w:rPr>
          <w:rFonts w:ascii="Arial" w:hAnsi="Arial" w:cs="Arial"/>
          <w:color w:val="000000" w:themeColor="text1"/>
          <w:sz w:val="20"/>
          <w:szCs w:val="20"/>
        </w:rPr>
        <w:t xml:space="preserve">declared </w:t>
      </w:r>
      <w:r w:rsidR="00D76FAF" w:rsidRPr="006E5EE6">
        <w:rPr>
          <w:rFonts w:ascii="Arial" w:hAnsi="Arial" w:cs="Arial"/>
          <w:color w:val="000000" w:themeColor="text1"/>
          <w:sz w:val="20"/>
          <w:szCs w:val="20"/>
        </w:rPr>
        <w:t>net</w:t>
      </w:r>
      <w:r w:rsidR="00D76FAF">
        <w:rPr>
          <w:rFonts w:ascii="Arial" w:hAnsi="Arial" w:cs="Arial"/>
          <w:color w:val="000000" w:themeColor="text1"/>
          <w:sz w:val="20"/>
          <w:szCs w:val="20"/>
        </w:rPr>
        <w:t xml:space="preserve"> </w:t>
      </w:r>
      <w:r w:rsidR="00D76FAF" w:rsidRPr="006E5EE6">
        <w:rPr>
          <w:rFonts w:ascii="Arial" w:hAnsi="Arial" w:cs="Arial"/>
          <w:color w:val="000000" w:themeColor="text1"/>
          <w:sz w:val="20"/>
          <w:szCs w:val="20"/>
        </w:rPr>
        <w:t>worth</w:t>
      </w:r>
      <w:r w:rsidR="00D76FAF">
        <w:rPr>
          <w:rFonts w:ascii="Arial" w:hAnsi="Arial" w:cs="Arial"/>
          <w:color w:val="000000" w:themeColor="text1"/>
          <w:sz w:val="20"/>
          <w:szCs w:val="20"/>
        </w:rPr>
        <w:t xml:space="preserve">, but only asked four of the </w:t>
      </w:r>
      <w:r w:rsidR="00DE7AAA" w:rsidRPr="006E5EE6">
        <w:rPr>
          <w:rFonts w:ascii="Arial" w:hAnsi="Arial" w:cs="Arial"/>
          <w:color w:val="000000" w:themeColor="text1"/>
          <w:sz w:val="20"/>
          <w:szCs w:val="20"/>
        </w:rPr>
        <w:t>clients why the deposits had</w:t>
      </w:r>
      <w:r w:rsidR="00D76FAF">
        <w:rPr>
          <w:rFonts w:ascii="Arial" w:hAnsi="Arial" w:cs="Arial"/>
          <w:color w:val="000000" w:themeColor="text1"/>
          <w:sz w:val="20"/>
          <w:szCs w:val="20"/>
        </w:rPr>
        <w:t xml:space="preserve"> been made</w:t>
      </w:r>
      <w:r w:rsidR="00DE7AAA" w:rsidRPr="006E5EE6">
        <w:rPr>
          <w:rFonts w:ascii="Arial" w:hAnsi="Arial" w:cs="Arial"/>
          <w:color w:val="000000" w:themeColor="text1"/>
          <w:sz w:val="20"/>
          <w:szCs w:val="20"/>
        </w:rPr>
        <w:t xml:space="preserve">. The </w:t>
      </w:r>
      <w:r w:rsidR="00D76FAF">
        <w:rPr>
          <w:rFonts w:ascii="Arial" w:hAnsi="Arial" w:cs="Arial"/>
          <w:color w:val="000000" w:themeColor="text1"/>
          <w:sz w:val="20"/>
          <w:szCs w:val="20"/>
        </w:rPr>
        <w:t xml:space="preserve">clients responded that the amounts were due to an </w:t>
      </w:r>
      <w:r w:rsidR="005A0EDF">
        <w:rPr>
          <w:rFonts w:ascii="Arial" w:hAnsi="Arial" w:cs="Arial"/>
          <w:color w:val="000000" w:themeColor="text1"/>
          <w:sz w:val="20"/>
          <w:szCs w:val="20"/>
        </w:rPr>
        <w:t>increase in</w:t>
      </w:r>
      <w:r w:rsidR="00DE7AAA" w:rsidRPr="006E5EE6">
        <w:rPr>
          <w:rFonts w:ascii="Arial" w:hAnsi="Arial" w:cs="Arial"/>
          <w:color w:val="000000" w:themeColor="text1"/>
          <w:sz w:val="20"/>
          <w:szCs w:val="20"/>
        </w:rPr>
        <w:t xml:space="preserve"> income. </w:t>
      </w:r>
      <w:r w:rsidR="00940C78" w:rsidRPr="006E5EE6">
        <w:rPr>
          <w:rFonts w:ascii="Arial" w:hAnsi="Arial" w:cs="Arial"/>
          <w:color w:val="000000" w:themeColor="text1"/>
          <w:sz w:val="20"/>
          <w:szCs w:val="20"/>
        </w:rPr>
        <w:t xml:space="preserve">Rifa </w:t>
      </w:r>
      <w:r w:rsidR="005A0EDF">
        <w:rPr>
          <w:rFonts w:ascii="Arial" w:hAnsi="Arial" w:cs="Arial"/>
          <w:color w:val="000000" w:themeColor="text1"/>
          <w:sz w:val="20"/>
          <w:szCs w:val="20"/>
        </w:rPr>
        <w:t>accepted the clients’ explanations without further enquiry</w:t>
      </w:r>
      <w:r w:rsidR="00940C78" w:rsidRPr="006E5EE6">
        <w:rPr>
          <w:rFonts w:ascii="Arial" w:hAnsi="Arial" w:cs="Arial"/>
          <w:color w:val="000000" w:themeColor="text1"/>
          <w:sz w:val="20"/>
          <w:szCs w:val="20"/>
        </w:rPr>
        <w:t xml:space="preserve">. </w:t>
      </w:r>
      <w:r w:rsidR="005A0EDF">
        <w:rPr>
          <w:rFonts w:ascii="Arial" w:hAnsi="Arial" w:cs="Arial"/>
          <w:color w:val="000000" w:themeColor="text1"/>
          <w:sz w:val="20"/>
          <w:szCs w:val="20"/>
        </w:rPr>
        <w:t xml:space="preserve">The SFC considered that Rifa had failed to </w:t>
      </w:r>
      <w:r w:rsidR="001B64A1">
        <w:rPr>
          <w:rFonts w:ascii="Arial" w:hAnsi="Arial" w:cs="Arial"/>
          <w:color w:val="000000" w:themeColor="text1"/>
          <w:sz w:val="20"/>
          <w:szCs w:val="20"/>
        </w:rPr>
        <w:t xml:space="preserve">adequately monitor </w:t>
      </w:r>
      <w:r w:rsidR="005411DD" w:rsidRPr="006E5EE6">
        <w:rPr>
          <w:rFonts w:ascii="Arial" w:hAnsi="Arial" w:cs="Arial"/>
          <w:color w:val="000000" w:themeColor="text1"/>
          <w:sz w:val="20"/>
          <w:szCs w:val="20"/>
        </w:rPr>
        <w:t>the</w:t>
      </w:r>
      <w:r w:rsidR="000C2A2F" w:rsidRPr="006E5EE6">
        <w:rPr>
          <w:rFonts w:ascii="Arial" w:hAnsi="Arial" w:cs="Arial"/>
          <w:color w:val="000000" w:themeColor="text1"/>
          <w:sz w:val="20"/>
          <w:szCs w:val="20"/>
        </w:rPr>
        <w:t>ir</w:t>
      </w:r>
      <w:r w:rsidR="005411DD" w:rsidRPr="006E5EE6">
        <w:rPr>
          <w:rFonts w:ascii="Arial" w:hAnsi="Arial" w:cs="Arial"/>
          <w:color w:val="000000" w:themeColor="text1"/>
          <w:sz w:val="20"/>
          <w:szCs w:val="20"/>
        </w:rPr>
        <w:t xml:space="preserve"> </w:t>
      </w:r>
      <w:r w:rsidR="005A0EDF">
        <w:rPr>
          <w:rFonts w:ascii="Arial" w:hAnsi="Arial" w:cs="Arial"/>
          <w:color w:val="000000" w:themeColor="text1"/>
          <w:sz w:val="20"/>
          <w:szCs w:val="20"/>
        </w:rPr>
        <w:t>client</w:t>
      </w:r>
      <w:r w:rsidR="001B64A1">
        <w:rPr>
          <w:rFonts w:ascii="Arial" w:hAnsi="Arial" w:cs="Arial"/>
          <w:color w:val="000000" w:themeColor="text1"/>
          <w:sz w:val="20"/>
          <w:szCs w:val="20"/>
        </w:rPr>
        <w:t xml:space="preserve">s’ fund movements to ensure they were consistent with the clients’ nature of business, risk profile and source of funds. </w:t>
      </w:r>
      <w:r w:rsidR="005A0EDF">
        <w:rPr>
          <w:rFonts w:ascii="Arial" w:hAnsi="Arial" w:cs="Arial"/>
          <w:color w:val="000000" w:themeColor="text1"/>
          <w:sz w:val="20"/>
          <w:szCs w:val="20"/>
        </w:rPr>
        <w:t xml:space="preserve"> </w:t>
      </w:r>
      <w:r w:rsidR="005411DD" w:rsidRPr="006E5EE6">
        <w:rPr>
          <w:rFonts w:ascii="Arial" w:hAnsi="Arial" w:cs="Arial"/>
          <w:color w:val="000000" w:themeColor="text1"/>
          <w:sz w:val="20"/>
          <w:szCs w:val="20"/>
        </w:rPr>
        <w:t xml:space="preserve"> </w:t>
      </w:r>
    </w:p>
    <w:p w:rsidR="000C2A2F" w:rsidRPr="006E5EE6" w:rsidRDefault="00053BD9" w:rsidP="0030561C">
      <w:pPr>
        <w:jc w:val="both"/>
        <w:rPr>
          <w:rFonts w:ascii="Arial" w:hAnsi="Arial" w:cs="Arial"/>
          <w:b/>
          <w:color w:val="000000" w:themeColor="text1"/>
          <w:sz w:val="20"/>
          <w:szCs w:val="20"/>
        </w:rPr>
      </w:pPr>
      <w:r w:rsidRPr="006E5EE6">
        <w:rPr>
          <w:rFonts w:ascii="Arial" w:hAnsi="Arial" w:cs="Arial"/>
          <w:b/>
          <w:color w:val="000000" w:themeColor="text1"/>
          <w:sz w:val="20"/>
          <w:szCs w:val="20"/>
        </w:rPr>
        <w:t>Breach</w:t>
      </w:r>
      <w:r w:rsidR="005A0EDF">
        <w:rPr>
          <w:rFonts w:ascii="Arial" w:hAnsi="Arial" w:cs="Arial"/>
          <w:b/>
          <w:color w:val="000000" w:themeColor="text1"/>
          <w:sz w:val="20"/>
          <w:szCs w:val="20"/>
        </w:rPr>
        <w:t>es</w:t>
      </w:r>
      <w:r w:rsidRPr="006E5EE6">
        <w:rPr>
          <w:rFonts w:ascii="Arial" w:hAnsi="Arial" w:cs="Arial"/>
          <w:b/>
          <w:color w:val="000000" w:themeColor="text1"/>
          <w:sz w:val="20"/>
          <w:szCs w:val="20"/>
        </w:rPr>
        <w:t xml:space="preserve"> of the </w:t>
      </w:r>
      <w:r w:rsidR="005A0EDF">
        <w:rPr>
          <w:rFonts w:ascii="Arial" w:hAnsi="Arial" w:cs="Arial"/>
          <w:b/>
          <w:color w:val="000000" w:themeColor="text1"/>
          <w:sz w:val="20"/>
          <w:szCs w:val="20"/>
        </w:rPr>
        <w:t xml:space="preserve">SFC </w:t>
      </w:r>
      <w:r w:rsidRPr="006E5EE6">
        <w:rPr>
          <w:rFonts w:ascii="Arial" w:hAnsi="Arial" w:cs="Arial"/>
          <w:b/>
          <w:color w:val="000000" w:themeColor="text1"/>
          <w:sz w:val="20"/>
          <w:szCs w:val="20"/>
        </w:rPr>
        <w:t>Code of Conduct</w:t>
      </w:r>
    </w:p>
    <w:p w:rsidR="00CE7F6E" w:rsidRDefault="00326502"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The SFC</w:t>
      </w:r>
      <w:r w:rsidR="005A0EDF">
        <w:rPr>
          <w:rFonts w:ascii="Arial" w:hAnsi="Arial" w:cs="Arial"/>
          <w:color w:val="000000" w:themeColor="text1"/>
          <w:sz w:val="20"/>
          <w:szCs w:val="20"/>
        </w:rPr>
        <w:t xml:space="preserve"> </w:t>
      </w:r>
      <w:r w:rsidR="001B64A1">
        <w:rPr>
          <w:rFonts w:ascii="Arial" w:hAnsi="Arial" w:cs="Arial"/>
          <w:color w:val="000000" w:themeColor="text1"/>
          <w:sz w:val="20"/>
          <w:szCs w:val="20"/>
        </w:rPr>
        <w:t xml:space="preserve">found that Rifa’s failures constituted breaches of a number of provisions of the SFC’s </w:t>
      </w:r>
      <w:hyperlink r:id="rId13" w:history="1">
        <w:r w:rsidR="001B64A1" w:rsidRPr="001B64A1">
          <w:rPr>
            <w:rStyle w:val="a4"/>
            <w:rFonts w:ascii="Arial" w:hAnsi="Arial" w:cs="Arial"/>
            <w:sz w:val="20"/>
            <w:szCs w:val="20"/>
          </w:rPr>
          <w:t>Code of Conduct for Persons Licensed by or Registered with the Securities and Futures Commission</w:t>
        </w:r>
      </w:hyperlink>
      <w:r w:rsidR="001B64A1" w:rsidRPr="006E5EE6">
        <w:rPr>
          <w:rFonts w:ascii="Arial" w:hAnsi="Arial" w:cs="Arial"/>
          <w:color w:val="000000" w:themeColor="text1"/>
          <w:sz w:val="20"/>
          <w:szCs w:val="20"/>
        </w:rPr>
        <w:t xml:space="preserve"> (</w:t>
      </w:r>
      <w:r w:rsidR="001B64A1" w:rsidRPr="006E5EE6">
        <w:rPr>
          <w:rFonts w:ascii="Arial" w:hAnsi="Arial" w:cs="Arial"/>
          <w:b/>
          <w:color w:val="000000" w:themeColor="text1"/>
          <w:sz w:val="20"/>
          <w:szCs w:val="20"/>
        </w:rPr>
        <w:t>Code of Conduct</w:t>
      </w:r>
      <w:r w:rsidR="001B64A1" w:rsidRPr="006E5EE6">
        <w:rPr>
          <w:rFonts w:ascii="Arial" w:hAnsi="Arial" w:cs="Arial"/>
          <w:color w:val="000000" w:themeColor="text1"/>
          <w:sz w:val="20"/>
          <w:szCs w:val="20"/>
        </w:rPr>
        <w:t>)</w:t>
      </w:r>
      <w:r w:rsidR="001B64A1">
        <w:rPr>
          <w:rFonts w:ascii="Arial" w:hAnsi="Arial" w:cs="Arial"/>
          <w:color w:val="000000" w:themeColor="text1"/>
          <w:sz w:val="20"/>
          <w:szCs w:val="20"/>
        </w:rPr>
        <w:t xml:space="preserve"> including</w:t>
      </w:r>
      <w:r w:rsidR="00684C63" w:rsidRPr="006E5EE6">
        <w:rPr>
          <w:rFonts w:ascii="Arial" w:hAnsi="Arial" w:cs="Arial"/>
          <w:color w:val="000000" w:themeColor="text1"/>
          <w:sz w:val="20"/>
          <w:szCs w:val="20"/>
        </w:rPr>
        <w:t xml:space="preserve"> </w:t>
      </w:r>
      <w:r w:rsidR="00053BD9" w:rsidRPr="006E5EE6">
        <w:rPr>
          <w:rFonts w:ascii="Arial" w:hAnsi="Arial" w:cs="Arial"/>
          <w:color w:val="000000" w:themeColor="text1"/>
          <w:sz w:val="20"/>
          <w:szCs w:val="20"/>
        </w:rPr>
        <w:t>General Principle</w:t>
      </w:r>
      <w:r w:rsidR="001B64A1">
        <w:rPr>
          <w:rFonts w:ascii="Arial" w:hAnsi="Arial" w:cs="Arial"/>
          <w:color w:val="000000" w:themeColor="text1"/>
          <w:sz w:val="20"/>
          <w:szCs w:val="20"/>
        </w:rPr>
        <w:t>s</w:t>
      </w:r>
      <w:r w:rsidR="00053BD9" w:rsidRPr="006E5EE6">
        <w:rPr>
          <w:rFonts w:ascii="Arial" w:hAnsi="Arial" w:cs="Arial"/>
          <w:color w:val="000000" w:themeColor="text1"/>
          <w:sz w:val="20"/>
          <w:szCs w:val="20"/>
        </w:rPr>
        <w:t xml:space="preserve"> 2</w:t>
      </w:r>
      <w:r w:rsidR="006E2BFB" w:rsidRPr="006E5EE6">
        <w:rPr>
          <w:rFonts w:ascii="Arial" w:hAnsi="Arial" w:cs="Arial"/>
          <w:color w:val="000000" w:themeColor="text1"/>
          <w:sz w:val="20"/>
          <w:szCs w:val="20"/>
        </w:rPr>
        <w:t xml:space="preserve"> and 3</w:t>
      </w:r>
      <w:r w:rsidR="00684C63" w:rsidRPr="006E5EE6">
        <w:rPr>
          <w:rFonts w:ascii="Arial" w:hAnsi="Arial" w:cs="Arial"/>
          <w:color w:val="000000" w:themeColor="text1"/>
          <w:sz w:val="20"/>
          <w:szCs w:val="20"/>
        </w:rPr>
        <w:t xml:space="preserve"> and</w:t>
      </w:r>
      <w:r w:rsidR="00CE7F6E">
        <w:rPr>
          <w:rFonts w:ascii="Arial" w:hAnsi="Arial" w:cs="Arial"/>
          <w:color w:val="000000" w:themeColor="text1"/>
          <w:sz w:val="20"/>
          <w:szCs w:val="20"/>
        </w:rPr>
        <w:t>:</w:t>
      </w:r>
    </w:p>
    <w:p w:rsidR="00CE7F6E" w:rsidRDefault="00CE7F6E" w:rsidP="00CE7F6E">
      <w:pPr>
        <w:pStyle w:val="a3"/>
        <w:numPr>
          <w:ilvl w:val="0"/>
          <w:numId w:val="6"/>
        </w:numPr>
        <w:jc w:val="both"/>
        <w:rPr>
          <w:rFonts w:ascii="Arial" w:hAnsi="Arial" w:cs="Arial"/>
          <w:color w:val="000000" w:themeColor="text1"/>
          <w:sz w:val="20"/>
          <w:szCs w:val="20"/>
        </w:rPr>
      </w:pPr>
      <w:r>
        <w:rPr>
          <w:rFonts w:ascii="Arial" w:hAnsi="Arial" w:cs="Arial"/>
          <w:color w:val="000000" w:themeColor="text1"/>
          <w:sz w:val="20"/>
          <w:szCs w:val="20"/>
        </w:rPr>
        <w:t>Paragraph</w:t>
      </w:r>
      <w:r w:rsidR="00684C63" w:rsidRPr="00CE7F6E">
        <w:rPr>
          <w:rFonts w:ascii="Arial" w:hAnsi="Arial" w:cs="Arial"/>
          <w:color w:val="000000" w:themeColor="text1"/>
          <w:sz w:val="20"/>
          <w:szCs w:val="20"/>
        </w:rPr>
        <w:t xml:space="preserve"> 4.3</w:t>
      </w:r>
      <w:r>
        <w:rPr>
          <w:rFonts w:ascii="Arial" w:hAnsi="Arial" w:cs="Arial"/>
          <w:color w:val="000000" w:themeColor="text1"/>
          <w:sz w:val="20"/>
          <w:szCs w:val="20"/>
        </w:rPr>
        <w:t xml:space="preserve"> – the obligation to have </w:t>
      </w:r>
      <w:r w:rsidRPr="00CE7F6E">
        <w:rPr>
          <w:rFonts w:ascii="Arial" w:hAnsi="Arial" w:cs="Arial"/>
          <w:color w:val="000000" w:themeColor="text1"/>
          <w:sz w:val="20"/>
          <w:szCs w:val="20"/>
        </w:rPr>
        <w:t>internal control procedures and financial and operational capabilities which can be reasonably expected to protect</w:t>
      </w:r>
      <w:r>
        <w:rPr>
          <w:rFonts w:ascii="Arial" w:hAnsi="Arial" w:cs="Arial"/>
          <w:color w:val="000000" w:themeColor="text1"/>
          <w:sz w:val="20"/>
          <w:szCs w:val="20"/>
        </w:rPr>
        <w:t xml:space="preserve"> the licensed corporation’s/registered institution’s</w:t>
      </w:r>
      <w:r w:rsidRPr="00CE7F6E">
        <w:rPr>
          <w:rFonts w:ascii="Arial" w:hAnsi="Arial" w:cs="Arial"/>
          <w:color w:val="000000" w:themeColor="text1"/>
          <w:sz w:val="20"/>
          <w:szCs w:val="20"/>
        </w:rPr>
        <w:t xml:space="preserve"> operations, clients and other licensed or registered persons from financial loss arising from theft, fraud, and other dishonest acts, professional misconduct or omissions</w:t>
      </w:r>
      <w:r>
        <w:rPr>
          <w:rFonts w:ascii="Arial" w:hAnsi="Arial" w:cs="Arial"/>
          <w:color w:val="000000" w:themeColor="text1"/>
          <w:sz w:val="20"/>
          <w:szCs w:val="20"/>
        </w:rPr>
        <w:t>; and</w:t>
      </w:r>
    </w:p>
    <w:p w:rsidR="00CE7F6E" w:rsidRDefault="00CE7F6E" w:rsidP="00CE7F6E">
      <w:pPr>
        <w:pStyle w:val="a3"/>
        <w:ind w:left="778"/>
        <w:jc w:val="both"/>
        <w:rPr>
          <w:rFonts w:ascii="Arial" w:hAnsi="Arial" w:cs="Arial"/>
          <w:color w:val="000000" w:themeColor="text1"/>
          <w:sz w:val="20"/>
          <w:szCs w:val="20"/>
        </w:rPr>
      </w:pPr>
    </w:p>
    <w:p w:rsidR="00CE7F6E" w:rsidRDefault="00CE7F6E" w:rsidP="00CE7F6E">
      <w:pPr>
        <w:pStyle w:val="a3"/>
        <w:numPr>
          <w:ilvl w:val="0"/>
          <w:numId w:val="6"/>
        </w:numPr>
        <w:jc w:val="both"/>
        <w:rPr>
          <w:rFonts w:ascii="Arial" w:hAnsi="Arial" w:cs="Arial"/>
          <w:color w:val="000000" w:themeColor="text1"/>
          <w:sz w:val="20"/>
          <w:szCs w:val="20"/>
        </w:rPr>
      </w:pPr>
      <w:r>
        <w:rPr>
          <w:rFonts w:ascii="Arial" w:hAnsi="Arial" w:cs="Arial"/>
          <w:color w:val="000000" w:themeColor="text1"/>
          <w:sz w:val="20"/>
          <w:szCs w:val="20"/>
        </w:rPr>
        <w:t xml:space="preserve">Paragraph </w:t>
      </w:r>
      <w:r w:rsidR="00684C63" w:rsidRPr="00CE7F6E">
        <w:rPr>
          <w:rFonts w:ascii="Arial" w:hAnsi="Arial" w:cs="Arial"/>
          <w:color w:val="000000" w:themeColor="text1"/>
          <w:sz w:val="20"/>
          <w:szCs w:val="20"/>
        </w:rPr>
        <w:t>5.1</w:t>
      </w:r>
      <w:r>
        <w:rPr>
          <w:rFonts w:ascii="Arial" w:hAnsi="Arial" w:cs="Arial"/>
          <w:color w:val="000000" w:themeColor="text1"/>
          <w:sz w:val="20"/>
          <w:szCs w:val="20"/>
        </w:rPr>
        <w:t xml:space="preserve"> – </w:t>
      </w:r>
      <w:r w:rsidR="001B64A1" w:rsidRPr="00CE7F6E">
        <w:rPr>
          <w:rFonts w:ascii="Arial" w:hAnsi="Arial" w:cs="Arial"/>
          <w:color w:val="000000" w:themeColor="text1"/>
          <w:sz w:val="20"/>
          <w:szCs w:val="20"/>
        </w:rPr>
        <w:t xml:space="preserve">the obligation to take all reasonable steps </w:t>
      </w:r>
      <w:r>
        <w:rPr>
          <w:rFonts w:ascii="Arial" w:hAnsi="Arial" w:cs="Arial"/>
          <w:color w:val="000000" w:themeColor="text1"/>
          <w:sz w:val="20"/>
          <w:szCs w:val="20"/>
        </w:rPr>
        <w:t>to establish the identity of each client, its financial situation, investment experience, and investment objectives</w:t>
      </w:r>
      <w:r w:rsidR="00245197" w:rsidRPr="00CE7F6E">
        <w:rPr>
          <w:rFonts w:ascii="Arial" w:hAnsi="Arial" w:cs="Arial"/>
          <w:color w:val="000000" w:themeColor="text1"/>
          <w:sz w:val="20"/>
          <w:szCs w:val="20"/>
        </w:rPr>
        <w:t xml:space="preserve">. </w:t>
      </w:r>
    </w:p>
    <w:p w:rsidR="00CE7F6E" w:rsidRDefault="00245197" w:rsidP="00CE7F6E">
      <w:pPr>
        <w:jc w:val="both"/>
        <w:rPr>
          <w:rFonts w:ascii="Arial" w:hAnsi="Arial" w:cs="Arial"/>
          <w:color w:val="000000" w:themeColor="text1"/>
          <w:sz w:val="20"/>
          <w:szCs w:val="20"/>
        </w:rPr>
      </w:pPr>
      <w:r w:rsidRPr="00CE7F6E">
        <w:rPr>
          <w:rFonts w:ascii="Arial" w:hAnsi="Arial" w:cs="Arial"/>
          <w:color w:val="000000" w:themeColor="text1"/>
          <w:sz w:val="20"/>
          <w:szCs w:val="20"/>
        </w:rPr>
        <w:t xml:space="preserve">Rifa also breached </w:t>
      </w:r>
      <w:r w:rsidR="00CE7F6E">
        <w:rPr>
          <w:rFonts w:ascii="Arial" w:hAnsi="Arial" w:cs="Arial"/>
          <w:color w:val="000000" w:themeColor="text1"/>
          <w:sz w:val="20"/>
          <w:szCs w:val="20"/>
        </w:rPr>
        <w:t xml:space="preserve">various provisions of </w:t>
      </w:r>
      <w:r w:rsidR="00CE7F6E" w:rsidRPr="00CE7F6E">
        <w:rPr>
          <w:rFonts w:ascii="Arial" w:hAnsi="Arial" w:cs="Arial"/>
          <w:color w:val="000000" w:themeColor="text1"/>
          <w:sz w:val="20"/>
          <w:szCs w:val="20"/>
        </w:rPr>
        <w:t>the Anti-Money Laundering and Counter-Terrorist Financing Ordinance (</w:t>
      </w:r>
      <w:r w:rsidR="00CE7F6E" w:rsidRPr="00CE7F6E">
        <w:rPr>
          <w:rFonts w:ascii="Arial" w:hAnsi="Arial" w:cs="Arial"/>
          <w:b/>
          <w:color w:val="000000" w:themeColor="text1"/>
          <w:sz w:val="20"/>
          <w:szCs w:val="20"/>
        </w:rPr>
        <w:t>AMLO</w:t>
      </w:r>
      <w:r w:rsidR="00CE7F6E" w:rsidRPr="00CE7F6E">
        <w:rPr>
          <w:rFonts w:ascii="Arial" w:hAnsi="Arial" w:cs="Arial"/>
          <w:color w:val="000000" w:themeColor="text1"/>
          <w:sz w:val="20"/>
          <w:szCs w:val="20"/>
        </w:rPr>
        <w:t>)</w:t>
      </w:r>
      <w:r w:rsidR="00CE7F6E">
        <w:rPr>
          <w:rFonts w:ascii="Arial" w:hAnsi="Arial" w:cs="Arial"/>
          <w:color w:val="000000" w:themeColor="text1"/>
          <w:sz w:val="20"/>
          <w:szCs w:val="20"/>
        </w:rPr>
        <w:t xml:space="preserve"> and the </w:t>
      </w:r>
      <w:r w:rsidR="00CE7F6E" w:rsidRPr="00CE7F6E">
        <w:rPr>
          <w:rFonts w:ascii="Arial" w:hAnsi="Arial" w:cs="Arial"/>
          <w:color w:val="000000" w:themeColor="text1"/>
          <w:sz w:val="20"/>
          <w:szCs w:val="20"/>
        </w:rPr>
        <w:t>Guideline on Anti-Money Laundering and Counter-Terrorist Financing (</w:t>
      </w:r>
      <w:r w:rsidR="00CE7F6E" w:rsidRPr="00CE7F6E">
        <w:rPr>
          <w:rFonts w:ascii="Arial" w:hAnsi="Arial" w:cs="Arial"/>
          <w:b/>
          <w:color w:val="000000" w:themeColor="text1"/>
          <w:sz w:val="20"/>
          <w:szCs w:val="20"/>
        </w:rPr>
        <w:t>AML Guideline</w:t>
      </w:r>
      <w:r w:rsidR="00CE7F6E" w:rsidRPr="00CE7F6E">
        <w:rPr>
          <w:rFonts w:ascii="Arial" w:hAnsi="Arial" w:cs="Arial"/>
          <w:color w:val="000000" w:themeColor="text1"/>
          <w:sz w:val="20"/>
          <w:szCs w:val="20"/>
        </w:rPr>
        <w:t>)</w:t>
      </w:r>
      <w:r w:rsidR="00CE7F6E">
        <w:rPr>
          <w:rFonts w:ascii="Arial" w:hAnsi="Arial" w:cs="Arial"/>
          <w:color w:val="000000" w:themeColor="text1"/>
          <w:sz w:val="20"/>
          <w:szCs w:val="20"/>
        </w:rPr>
        <w:t xml:space="preserve"> including:</w:t>
      </w:r>
    </w:p>
    <w:p w:rsidR="00C0431F" w:rsidRDefault="00CE7F6E" w:rsidP="00CE7F6E">
      <w:pPr>
        <w:pStyle w:val="a3"/>
        <w:numPr>
          <w:ilvl w:val="0"/>
          <w:numId w:val="7"/>
        </w:numPr>
        <w:jc w:val="both"/>
        <w:rPr>
          <w:rFonts w:ascii="Arial" w:hAnsi="Arial" w:cs="Arial"/>
          <w:color w:val="000000" w:themeColor="text1"/>
          <w:sz w:val="20"/>
          <w:szCs w:val="20"/>
        </w:rPr>
      </w:pPr>
      <w:r>
        <w:rPr>
          <w:rFonts w:ascii="Arial" w:hAnsi="Arial" w:cs="Arial"/>
          <w:color w:val="000000" w:themeColor="text1"/>
          <w:sz w:val="20"/>
          <w:szCs w:val="20"/>
        </w:rPr>
        <w:t>S</w:t>
      </w:r>
      <w:r w:rsidR="00245197" w:rsidRPr="00CE7F6E">
        <w:rPr>
          <w:rFonts w:ascii="Arial" w:hAnsi="Arial" w:cs="Arial"/>
          <w:color w:val="000000" w:themeColor="text1"/>
          <w:sz w:val="20"/>
          <w:szCs w:val="20"/>
        </w:rPr>
        <w:t>ection 23 of Schedule 2</w:t>
      </w:r>
      <w:r w:rsidR="00F33EFD" w:rsidRPr="00CE7F6E">
        <w:rPr>
          <w:rFonts w:ascii="Arial" w:hAnsi="Arial" w:cs="Arial"/>
          <w:color w:val="000000" w:themeColor="text1"/>
          <w:sz w:val="20"/>
          <w:szCs w:val="20"/>
        </w:rPr>
        <w:t xml:space="preserve"> </w:t>
      </w:r>
      <w:r>
        <w:rPr>
          <w:rFonts w:ascii="Arial" w:hAnsi="Arial" w:cs="Arial"/>
          <w:color w:val="000000" w:themeColor="text1"/>
          <w:sz w:val="20"/>
          <w:szCs w:val="20"/>
        </w:rPr>
        <w:t xml:space="preserve">to the AMLO </w:t>
      </w:r>
      <w:r w:rsidR="00F33EFD" w:rsidRPr="00CE7F6E">
        <w:rPr>
          <w:rFonts w:ascii="Arial" w:hAnsi="Arial" w:cs="Arial"/>
          <w:color w:val="000000" w:themeColor="text1"/>
          <w:sz w:val="20"/>
          <w:szCs w:val="20"/>
        </w:rPr>
        <w:t xml:space="preserve">and </w:t>
      </w:r>
      <w:r>
        <w:rPr>
          <w:rFonts w:ascii="Arial" w:hAnsi="Arial" w:cs="Arial"/>
          <w:color w:val="000000" w:themeColor="text1"/>
          <w:sz w:val="20"/>
          <w:szCs w:val="20"/>
        </w:rPr>
        <w:t>paragraph 2.1 of the AML Guideline</w:t>
      </w:r>
      <w:r w:rsidR="00B8615A">
        <w:rPr>
          <w:rFonts w:ascii="Arial" w:hAnsi="Arial" w:cs="Arial"/>
          <w:color w:val="000000" w:themeColor="text1"/>
          <w:sz w:val="20"/>
          <w:szCs w:val="20"/>
        </w:rPr>
        <w:t xml:space="preserve"> which require licensed corporations</w:t>
      </w:r>
      <w:r>
        <w:rPr>
          <w:rFonts w:ascii="Arial" w:hAnsi="Arial" w:cs="Arial"/>
          <w:color w:val="000000" w:themeColor="text1"/>
          <w:sz w:val="20"/>
          <w:szCs w:val="20"/>
        </w:rPr>
        <w:t xml:space="preserve"> to</w:t>
      </w:r>
      <w:r w:rsidR="00C0431F">
        <w:rPr>
          <w:rFonts w:ascii="Arial" w:hAnsi="Arial" w:cs="Arial"/>
          <w:color w:val="000000" w:themeColor="text1"/>
          <w:sz w:val="20"/>
          <w:szCs w:val="20"/>
        </w:rPr>
        <w:t>: (a)</w:t>
      </w:r>
      <w:r>
        <w:rPr>
          <w:rFonts w:ascii="Arial" w:hAnsi="Arial" w:cs="Arial"/>
          <w:color w:val="000000" w:themeColor="text1"/>
          <w:sz w:val="20"/>
          <w:szCs w:val="20"/>
        </w:rPr>
        <w:t xml:space="preserve"> implement adequate anti-money laundering and counter-financing of terrorism policies, procedures and controls</w:t>
      </w:r>
      <w:r w:rsidR="00C0431F">
        <w:rPr>
          <w:rFonts w:ascii="Arial" w:hAnsi="Arial" w:cs="Arial"/>
          <w:color w:val="000000" w:themeColor="text1"/>
          <w:sz w:val="20"/>
          <w:szCs w:val="20"/>
        </w:rPr>
        <w:t>;</w:t>
      </w:r>
      <w:r>
        <w:rPr>
          <w:rFonts w:ascii="Arial" w:hAnsi="Arial" w:cs="Arial"/>
          <w:color w:val="000000" w:themeColor="text1"/>
          <w:sz w:val="20"/>
          <w:szCs w:val="20"/>
        </w:rPr>
        <w:t xml:space="preserve"> and </w:t>
      </w:r>
      <w:r w:rsidR="00C0431F">
        <w:rPr>
          <w:rFonts w:ascii="Arial" w:hAnsi="Arial" w:cs="Arial"/>
          <w:color w:val="000000" w:themeColor="text1"/>
          <w:sz w:val="20"/>
          <w:szCs w:val="20"/>
        </w:rPr>
        <w:t>(b)</w:t>
      </w:r>
      <w:r>
        <w:rPr>
          <w:rFonts w:ascii="Arial" w:hAnsi="Arial" w:cs="Arial"/>
          <w:color w:val="000000" w:themeColor="text1"/>
          <w:sz w:val="20"/>
          <w:szCs w:val="20"/>
        </w:rPr>
        <w:t xml:space="preserve"> </w:t>
      </w:r>
      <w:r w:rsidR="00C0431F">
        <w:rPr>
          <w:rFonts w:ascii="Arial" w:hAnsi="Arial" w:cs="Arial"/>
          <w:color w:val="000000" w:themeColor="text1"/>
          <w:sz w:val="20"/>
          <w:szCs w:val="20"/>
        </w:rPr>
        <w:t>assess the risks of new products and services before their introduction and ensure appropriate additional measures and con</w:t>
      </w:r>
      <w:r w:rsidR="00BC7AA4">
        <w:rPr>
          <w:rFonts w:ascii="Arial" w:hAnsi="Arial" w:cs="Arial"/>
          <w:color w:val="000000" w:themeColor="text1"/>
          <w:sz w:val="20"/>
          <w:szCs w:val="20"/>
        </w:rPr>
        <w:t>trols are implemented to manage</w:t>
      </w:r>
      <w:r w:rsidR="00C0431F">
        <w:rPr>
          <w:rFonts w:ascii="Arial" w:hAnsi="Arial" w:cs="Arial"/>
          <w:color w:val="000000" w:themeColor="text1"/>
          <w:sz w:val="20"/>
          <w:szCs w:val="20"/>
        </w:rPr>
        <w:t xml:space="preserve"> the associated ML/TF risks;</w:t>
      </w:r>
    </w:p>
    <w:p w:rsidR="00C0431F" w:rsidRDefault="00C0431F" w:rsidP="00C0431F">
      <w:pPr>
        <w:pStyle w:val="a3"/>
        <w:jc w:val="both"/>
        <w:rPr>
          <w:rFonts w:ascii="Arial" w:hAnsi="Arial" w:cs="Arial"/>
          <w:color w:val="000000" w:themeColor="text1"/>
          <w:sz w:val="20"/>
          <w:szCs w:val="20"/>
        </w:rPr>
      </w:pPr>
    </w:p>
    <w:p w:rsidR="00D20A55" w:rsidRDefault="00C0431F" w:rsidP="00BE6B80">
      <w:pPr>
        <w:pStyle w:val="a3"/>
        <w:numPr>
          <w:ilvl w:val="0"/>
          <w:numId w:val="7"/>
        </w:numPr>
        <w:jc w:val="both"/>
        <w:rPr>
          <w:rFonts w:ascii="Arial" w:hAnsi="Arial" w:cs="Arial"/>
          <w:color w:val="000000" w:themeColor="text1"/>
          <w:sz w:val="20"/>
          <w:szCs w:val="20"/>
        </w:rPr>
      </w:pPr>
      <w:r w:rsidRPr="00C0431F">
        <w:rPr>
          <w:rFonts w:ascii="Arial" w:hAnsi="Arial" w:cs="Arial"/>
          <w:color w:val="000000" w:themeColor="text1"/>
          <w:sz w:val="20"/>
          <w:szCs w:val="20"/>
        </w:rPr>
        <w:t>S</w:t>
      </w:r>
      <w:r w:rsidR="00D20A55">
        <w:rPr>
          <w:rFonts w:ascii="Arial" w:hAnsi="Arial" w:cs="Arial"/>
          <w:color w:val="000000" w:themeColor="text1"/>
          <w:sz w:val="20"/>
          <w:szCs w:val="20"/>
        </w:rPr>
        <w:t>ection</w:t>
      </w:r>
      <w:r w:rsidR="00F33EFD" w:rsidRPr="00C0431F">
        <w:rPr>
          <w:rFonts w:ascii="Arial" w:hAnsi="Arial" w:cs="Arial"/>
          <w:color w:val="000000" w:themeColor="text1"/>
          <w:sz w:val="20"/>
          <w:szCs w:val="20"/>
        </w:rPr>
        <w:t xml:space="preserve"> 5(1)(</w:t>
      </w:r>
      <w:r w:rsidRPr="00C0431F">
        <w:rPr>
          <w:rFonts w:ascii="Arial" w:hAnsi="Arial" w:cs="Arial"/>
          <w:color w:val="000000" w:themeColor="text1"/>
          <w:sz w:val="20"/>
          <w:szCs w:val="20"/>
        </w:rPr>
        <w:t>a)</w:t>
      </w:r>
      <w:r w:rsidR="00F33EFD" w:rsidRPr="00C0431F">
        <w:rPr>
          <w:rFonts w:ascii="Arial" w:hAnsi="Arial" w:cs="Arial"/>
          <w:color w:val="000000" w:themeColor="text1"/>
          <w:sz w:val="20"/>
          <w:szCs w:val="20"/>
        </w:rPr>
        <w:t xml:space="preserve"> of Schedule 2</w:t>
      </w:r>
      <w:r w:rsidR="00245197" w:rsidRPr="00C0431F">
        <w:rPr>
          <w:rFonts w:ascii="Arial" w:hAnsi="Arial" w:cs="Arial"/>
          <w:color w:val="000000" w:themeColor="text1"/>
          <w:sz w:val="20"/>
          <w:szCs w:val="20"/>
        </w:rPr>
        <w:t xml:space="preserve"> to</w:t>
      </w:r>
      <w:r w:rsidRPr="00C0431F">
        <w:rPr>
          <w:rFonts w:ascii="Arial" w:hAnsi="Arial" w:cs="Arial"/>
          <w:color w:val="000000" w:themeColor="text1"/>
          <w:sz w:val="20"/>
          <w:szCs w:val="20"/>
        </w:rPr>
        <w:t xml:space="preserve"> the AMLO and</w:t>
      </w:r>
      <w:r w:rsidR="00EB61C3" w:rsidRPr="00C0431F">
        <w:rPr>
          <w:rFonts w:ascii="Arial" w:hAnsi="Arial" w:cs="Arial"/>
          <w:color w:val="000000" w:themeColor="text1"/>
          <w:sz w:val="20"/>
          <w:szCs w:val="20"/>
        </w:rPr>
        <w:t xml:space="preserve"> </w:t>
      </w:r>
      <w:r w:rsidRPr="00C0431F">
        <w:rPr>
          <w:rFonts w:ascii="Arial" w:hAnsi="Arial" w:cs="Arial"/>
          <w:color w:val="000000" w:themeColor="text1"/>
          <w:sz w:val="20"/>
          <w:szCs w:val="20"/>
        </w:rPr>
        <w:t xml:space="preserve">paragraphs 4.7.12 and </w:t>
      </w:r>
      <w:r w:rsidR="00E866CD" w:rsidRPr="00C0431F">
        <w:rPr>
          <w:rFonts w:ascii="Arial" w:hAnsi="Arial" w:cs="Arial"/>
          <w:color w:val="000000" w:themeColor="text1"/>
          <w:sz w:val="20"/>
          <w:szCs w:val="20"/>
        </w:rPr>
        <w:t xml:space="preserve">5.1(a) </w:t>
      </w:r>
      <w:r>
        <w:rPr>
          <w:rFonts w:ascii="Arial" w:hAnsi="Arial" w:cs="Arial"/>
          <w:color w:val="000000" w:themeColor="text1"/>
          <w:sz w:val="20"/>
          <w:szCs w:val="20"/>
        </w:rPr>
        <w:t>of the AML Guideline</w:t>
      </w:r>
      <w:r w:rsidR="00BC7AA4">
        <w:rPr>
          <w:rFonts w:ascii="Arial" w:hAnsi="Arial" w:cs="Arial"/>
          <w:color w:val="000000" w:themeColor="text1"/>
          <w:sz w:val="20"/>
          <w:szCs w:val="20"/>
        </w:rPr>
        <w:t>, which require licensed corporations to review client information from time to time to ensure that it is up-to-date</w:t>
      </w:r>
      <w:r w:rsidR="00D20A55">
        <w:rPr>
          <w:rFonts w:ascii="Arial" w:hAnsi="Arial" w:cs="Arial"/>
          <w:color w:val="000000" w:themeColor="text1"/>
          <w:sz w:val="20"/>
          <w:szCs w:val="20"/>
        </w:rPr>
        <w:t>;</w:t>
      </w:r>
    </w:p>
    <w:p w:rsidR="00D20A55" w:rsidRPr="00D20A55" w:rsidRDefault="00D20A55" w:rsidP="00D20A55">
      <w:pPr>
        <w:pStyle w:val="a3"/>
        <w:rPr>
          <w:rFonts w:ascii="Arial" w:hAnsi="Arial" w:cs="Arial"/>
          <w:color w:val="000000" w:themeColor="text1"/>
          <w:sz w:val="20"/>
          <w:szCs w:val="20"/>
        </w:rPr>
      </w:pPr>
    </w:p>
    <w:p w:rsidR="00D20A55" w:rsidRDefault="00D20A55" w:rsidP="00D20A55">
      <w:pPr>
        <w:pStyle w:val="a3"/>
        <w:numPr>
          <w:ilvl w:val="0"/>
          <w:numId w:val="7"/>
        </w:numPr>
        <w:jc w:val="both"/>
        <w:rPr>
          <w:rFonts w:ascii="Arial" w:hAnsi="Arial" w:cs="Arial"/>
          <w:color w:val="000000" w:themeColor="text1"/>
          <w:sz w:val="20"/>
          <w:szCs w:val="20"/>
        </w:rPr>
      </w:pPr>
      <w:r w:rsidRPr="00C0431F">
        <w:rPr>
          <w:rFonts w:ascii="Arial" w:hAnsi="Arial" w:cs="Arial"/>
          <w:color w:val="000000" w:themeColor="text1"/>
          <w:sz w:val="20"/>
          <w:szCs w:val="20"/>
        </w:rPr>
        <w:t>S</w:t>
      </w:r>
      <w:r>
        <w:rPr>
          <w:rFonts w:ascii="Arial" w:hAnsi="Arial" w:cs="Arial"/>
          <w:color w:val="000000" w:themeColor="text1"/>
          <w:sz w:val="20"/>
          <w:szCs w:val="20"/>
        </w:rPr>
        <w:t>ection</w:t>
      </w:r>
      <w:r w:rsidRPr="00C0431F">
        <w:rPr>
          <w:rFonts w:ascii="Arial" w:hAnsi="Arial" w:cs="Arial"/>
          <w:color w:val="000000" w:themeColor="text1"/>
          <w:sz w:val="20"/>
          <w:szCs w:val="20"/>
        </w:rPr>
        <w:t xml:space="preserve"> 5(1)(</w:t>
      </w:r>
      <w:r>
        <w:rPr>
          <w:rFonts w:ascii="Arial" w:hAnsi="Arial" w:cs="Arial"/>
          <w:color w:val="000000" w:themeColor="text1"/>
          <w:sz w:val="20"/>
          <w:szCs w:val="20"/>
        </w:rPr>
        <w:t>b</w:t>
      </w:r>
      <w:r w:rsidRPr="00C0431F">
        <w:rPr>
          <w:rFonts w:ascii="Arial" w:hAnsi="Arial" w:cs="Arial"/>
          <w:color w:val="000000" w:themeColor="text1"/>
          <w:sz w:val="20"/>
          <w:szCs w:val="20"/>
        </w:rPr>
        <w:t>) of Schedule 2 to the AMLO and</w:t>
      </w:r>
      <w:r w:rsidR="00BC7AA4">
        <w:rPr>
          <w:rFonts w:ascii="Arial" w:hAnsi="Arial" w:cs="Arial"/>
          <w:color w:val="000000" w:themeColor="text1"/>
          <w:sz w:val="20"/>
          <w:szCs w:val="20"/>
        </w:rPr>
        <w:t xml:space="preserve"> </w:t>
      </w:r>
      <w:r>
        <w:rPr>
          <w:rFonts w:ascii="Arial" w:hAnsi="Arial" w:cs="Arial"/>
          <w:color w:val="000000" w:themeColor="text1"/>
          <w:sz w:val="20"/>
          <w:szCs w:val="20"/>
        </w:rPr>
        <w:t>paragraph 5.1(b</w:t>
      </w:r>
      <w:r w:rsidRPr="00C0431F">
        <w:rPr>
          <w:rFonts w:ascii="Arial" w:hAnsi="Arial" w:cs="Arial"/>
          <w:color w:val="000000" w:themeColor="text1"/>
          <w:sz w:val="20"/>
          <w:szCs w:val="20"/>
        </w:rPr>
        <w:t xml:space="preserve">) </w:t>
      </w:r>
      <w:r>
        <w:rPr>
          <w:rFonts w:ascii="Arial" w:hAnsi="Arial" w:cs="Arial"/>
          <w:color w:val="000000" w:themeColor="text1"/>
          <w:sz w:val="20"/>
          <w:szCs w:val="20"/>
        </w:rPr>
        <w:t>of the AML Guideline, which require licensed corporations to continuously monitor their business relationship with clients by monitoring their activities to ensure that they are consistent with their knowledge of the clients and the clients’ nature of business, risk profile and source of funds;</w:t>
      </w:r>
    </w:p>
    <w:p w:rsidR="00D20A55" w:rsidRPr="00D20A55" w:rsidRDefault="00D20A55" w:rsidP="00D20A55">
      <w:pPr>
        <w:pStyle w:val="a3"/>
        <w:rPr>
          <w:rFonts w:ascii="Arial" w:hAnsi="Arial" w:cs="Arial"/>
          <w:color w:val="000000" w:themeColor="text1"/>
          <w:sz w:val="20"/>
          <w:szCs w:val="20"/>
        </w:rPr>
      </w:pPr>
    </w:p>
    <w:p w:rsidR="00D20A55" w:rsidRDefault="00D20A55" w:rsidP="00D20A55">
      <w:pPr>
        <w:pStyle w:val="a3"/>
        <w:numPr>
          <w:ilvl w:val="0"/>
          <w:numId w:val="7"/>
        </w:numPr>
        <w:jc w:val="both"/>
        <w:rPr>
          <w:rFonts w:ascii="Arial" w:hAnsi="Arial" w:cs="Arial"/>
          <w:color w:val="000000" w:themeColor="text1"/>
          <w:sz w:val="20"/>
          <w:szCs w:val="20"/>
        </w:rPr>
      </w:pPr>
      <w:r w:rsidRPr="00C0431F">
        <w:rPr>
          <w:rFonts w:ascii="Arial" w:hAnsi="Arial" w:cs="Arial"/>
          <w:color w:val="000000" w:themeColor="text1"/>
          <w:sz w:val="20"/>
          <w:szCs w:val="20"/>
        </w:rPr>
        <w:t>S</w:t>
      </w:r>
      <w:r>
        <w:rPr>
          <w:rFonts w:ascii="Arial" w:hAnsi="Arial" w:cs="Arial"/>
          <w:color w:val="000000" w:themeColor="text1"/>
          <w:sz w:val="20"/>
          <w:szCs w:val="20"/>
        </w:rPr>
        <w:t>ection</w:t>
      </w:r>
      <w:r w:rsidRPr="00C0431F">
        <w:rPr>
          <w:rFonts w:ascii="Arial" w:hAnsi="Arial" w:cs="Arial"/>
          <w:color w:val="000000" w:themeColor="text1"/>
          <w:sz w:val="20"/>
          <w:szCs w:val="20"/>
        </w:rPr>
        <w:t xml:space="preserve"> 5(1)(</w:t>
      </w:r>
      <w:r>
        <w:rPr>
          <w:rFonts w:ascii="Arial" w:hAnsi="Arial" w:cs="Arial"/>
          <w:color w:val="000000" w:themeColor="text1"/>
          <w:sz w:val="20"/>
          <w:szCs w:val="20"/>
        </w:rPr>
        <w:t>c</w:t>
      </w:r>
      <w:r w:rsidRPr="00C0431F">
        <w:rPr>
          <w:rFonts w:ascii="Arial" w:hAnsi="Arial" w:cs="Arial"/>
          <w:color w:val="000000" w:themeColor="text1"/>
          <w:sz w:val="20"/>
          <w:szCs w:val="20"/>
        </w:rPr>
        <w:t>) of Schedule 2 to the AMLO and</w:t>
      </w:r>
      <w:r>
        <w:rPr>
          <w:rFonts w:ascii="Arial" w:hAnsi="Arial" w:cs="Arial"/>
          <w:color w:val="000000" w:themeColor="text1"/>
          <w:sz w:val="20"/>
          <w:szCs w:val="20"/>
        </w:rPr>
        <w:t xml:space="preserve"> paragraphs 5.1(c</w:t>
      </w:r>
      <w:r w:rsidRPr="00C0431F">
        <w:rPr>
          <w:rFonts w:ascii="Arial" w:hAnsi="Arial" w:cs="Arial"/>
          <w:color w:val="000000" w:themeColor="text1"/>
          <w:sz w:val="20"/>
          <w:szCs w:val="20"/>
        </w:rPr>
        <w:t>)</w:t>
      </w:r>
      <w:r>
        <w:rPr>
          <w:rFonts w:ascii="Arial" w:hAnsi="Arial" w:cs="Arial"/>
          <w:color w:val="000000" w:themeColor="text1"/>
          <w:sz w:val="20"/>
          <w:szCs w:val="20"/>
        </w:rPr>
        <w:t>, 5.10 and 5.11 of the AML Guideline, which require licensed corporations to identify transactions that are complex, large or unusual, make relevant enquiries to examine the background and purpose of the transactions, document the enquiries and results, and report the findings to the Joint Financial Intelligence Unit where there is any suspicion of ML/TF</w:t>
      </w:r>
      <w:r w:rsidR="00B8615A">
        <w:rPr>
          <w:rFonts w:ascii="Arial" w:hAnsi="Arial" w:cs="Arial"/>
          <w:color w:val="000000" w:themeColor="text1"/>
          <w:sz w:val="20"/>
          <w:szCs w:val="20"/>
        </w:rPr>
        <w:t xml:space="preserve">. Under paragraph 7.11 of the AML Guideline, a transaction that is inconsistent in amount, origin, destination, or type with a client’s </w:t>
      </w:r>
      <w:r w:rsidR="00B8615A">
        <w:rPr>
          <w:rFonts w:ascii="Arial" w:hAnsi="Arial" w:cs="Arial"/>
          <w:color w:val="000000" w:themeColor="text1"/>
          <w:sz w:val="20"/>
          <w:szCs w:val="20"/>
        </w:rPr>
        <w:lastRenderedPageBreak/>
        <w:t xml:space="preserve">known, legitimate or personal activities should be regarded as unusual and put the licensed corporation on alert. </w:t>
      </w:r>
      <w:r>
        <w:rPr>
          <w:rFonts w:ascii="Arial" w:hAnsi="Arial" w:cs="Arial"/>
          <w:color w:val="000000" w:themeColor="text1"/>
          <w:sz w:val="20"/>
          <w:szCs w:val="20"/>
        </w:rPr>
        <w:t xml:space="preserve">  </w:t>
      </w:r>
    </w:p>
    <w:p w:rsidR="00B247F0" w:rsidRDefault="009B202F" w:rsidP="00B8615A">
      <w:pPr>
        <w:jc w:val="both"/>
        <w:rPr>
          <w:rFonts w:ascii="Arial" w:hAnsi="Arial" w:cs="Arial"/>
          <w:color w:val="000000" w:themeColor="text1"/>
          <w:sz w:val="20"/>
          <w:szCs w:val="20"/>
        </w:rPr>
      </w:pPr>
      <w:r w:rsidRPr="009B202F">
        <w:rPr>
          <w:rFonts w:ascii="Arial" w:hAnsi="Arial" w:cs="Arial"/>
          <w:color w:val="000000" w:themeColor="text1"/>
          <w:sz w:val="20"/>
          <w:szCs w:val="20"/>
        </w:rPr>
        <w:t xml:space="preserve">As Mr Tang had been </w:t>
      </w:r>
      <w:proofErr w:type="spellStart"/>
      <w:r w:rsidRPr="009B202F">
        <w:rPr>
          <w:rFonts w:ascii="Arial" w:hAnsi="Arial" w:cs="Arial"/>
          <w:color w:val="000000" w:themeColor="text1"/>
          <w:sz w:val="20"/>
          <w:szCs w:val="20"/>
        </w:rPr>
        <w:t>Rifa’s</w:t>
      </w:r>
      <w:proofErr w:type="spellEnd"/>
      <w:r w:rsidRPr="009B202F">
        <w:rPr>
          <w:rFonts w:ascii="Arial" w:hAnsi="Arial" w:cs="Arial"/>
          <w:color w:val="000000" w:themeColor="text1"/>
          <w:sz w:val="20"/>
          <w:szCs w:val="20"/>
        </w:rPr>
        <w:t xml:space="preserve"> Managing Director since February 2015 and was the most senior member of </w:t>
      </w:r>
      <w:proofErr w:type="spellStart"/>
      <w:r w:rsidRPr="009B202F">
        <w:rPr>
          <w:rFonts w:ascii="Arial" w:hAnsi="Arial" w:cs="Arial"/>
          <w:color w:val="000000" w:themeColor="text1"/>
          <w:sz w:val="20"/>
          <w:szCs w:val="20"/>
        </w:rPr>
        <w:t>Rifa’s</w:t>
      </w:r>
      <w:proofErr w:type="spellEnd"/>
      <w:r w:rsidRPr="009B202F">
        <w:rPr>
          <w:rFonts w:ascii="Arial" w:hAnsi="Arial" w:cs="Arial"/>
          <w:color w:val="000000" w:themeColor="text1"/>
          <w:sz w:val="20"/>
          <w:szCs w:val="20"/>
        </w:rPr>
        <w:t xml:space="preserve"> management at the time of the breaches</w:t>
      </w:r>
      <w:r w:rsidR="00053921" w:rsidRPr="00B8615A">
        <w:rPr>
          <w:rFonts w:ascii="Arial" w:hAnsi="Arial" w:cs="Arial"/>
          <w:color w:val="000000" w:themeColor="text1"/>
          <w:sz w:val="20"/>
          <w:szCs w:val="20"/>
        </w:rPr>
        <w:t xml:space="preserve">, Mr Tang had ultimate responsibility </w:t>
      </w:r>
      <w:r w:rsidR="00FE2AB6" w:rsidRPr="00B8615A">
        <w:rPr>
          <w:rFonts w:ascii="Arial" w:hAnsi="Arial" w:cs="Arial"/>
          <w:color w:val="000000" w:themeColor="text1"/>
          <w:sz w:val="20"/>
          <w:szCs w:val="20"/>
        </w:rPr>
        <w:t xml:space="preserve">for the overall operation of Rifa. Rifa’s breaches were thus attributable to Mr Tang and his failure to discharge his duties as a responsible officer </w:t>
      </w:r>
      <w:r w:rsidR="00210591" w:rsidRPr="00B8615A">
        <w:rPr>
          <w:rFonts w:ascii="Arial" w:hAnsi="Arial" w:cs="Arial"/>
          <w:color w:val="000000" w:themeColor="text1"/>
          <w:sz w:val="20"/>
          <w:szCs w:val="20"/>
        </w:rPr>
        <w:t xml:space="preserve">and member of Rifa’s senior management. </w:t>
      </w:r>
      <w:r w:rsidR="00B247F0">
        <w:rPr>
          <w:rFonts w:ascii="Arial" w:hAnsi="Arial" w:cs="Arial"/>
          <w:color w:val="000000" w:themeColor="text1"/>
          <w:sz w:val="20"/>
          <w:szCs w:val="20"/>
        </w:rPr>
        <w:t>Mr Tang was found to have failed to:</w:t>
      </w:r>
    </w:p>
    <w:p w:rsidR="00B247F0" w:rsidRDefault="00B247F0" w:rsidP="00B247F0">
      <w:pPr>
        <w:pStyle w:val="a3"/>
        <w:numPr>
          <w:ilvl w:val="0"/>
          <w:numId w:val="8"/>
        </w:numPr>
        <w:jc w:val="both"/>
        <w:rPr>
          <w:rFonts w:ascii="Arial" w:hAnsi="Arial" w:cs="Arial"/>
          <w:color w:val="000000" w:themeColor="text1"/>
          <w:sz w:val="20"/>
          <w:szCs w:val="20"/>
        </w:rPr>
      </w:pPr>
      <w:r w:rsidRPr="00B247F0">
        <w:rPr>
          <w:rFonts w:ascii="Arial" w:hAnsi="Arial" w:cs="Arial"/>
          <w:color w:val="000000" w:themeColor="text1"/>
          <w:sz w:val="20"/>
          <w:szCs w:val="20"/>
        </w:rPr>
        <w:t>ensure Rifa’s maintenance of appropriate standards of conduct and adherence to proper procedures in breach of General Principle 9 of the SFC Code of Conduct</w:t>
      </w:r>
      <w:r>
        <w:rPr>
          <w:rFonts w:ascii="Arial" w:hAnsi="Arial" w:cs="Arial"/>
          <w:color w:val="000000" w:themeColor="text1"/>
          <w:sz w:val="20"/>
          <w:szCs w:val="20"/>
        </w:rPr>
        <w:t>;</w:t>
      </w:r>
    </w:p>
    <w:p w:rsidR="00B247F0" w:rsidRDefault="00B247F0" w:rsidP="00B247F0">
      <w:pPr>
        <w:pStyle w:val="a3"/>
        <w:ind w:left="778"/>
        <w:jc w:val="both"/>
        <w:rPr>
          <w:rFonts w:ascii="Arial" w:hAnsi="Arial" w:cs="Arial"/>
          <w:color w:val="000000" w:themeColor="text1"/>
          <w:sz w:val="20"/>
          <w:szCs w:val="20"/>
        </w:rPr>
      </w:pPr>
    </w:p>
    <w:p w:rsidR="00B247F0" w:rsidRDefault="00B247F0" w:rsidP="00B247F0">
      <w:pPr>
        <w:pStyle w:val="a3"/>
        <w:numPr>
          <w:ilvl w:val="0"/>
          <w:numId w:val="8"/>
        </w:numPr>
        <w:jc w:val="both"/>
        <w:rPr>
          <w:rFonts w:ascii="Arial" w:hAnsi="Arial" w:cs="Arial"/>
          <w:color w:val="000000" w:themeColor="text1"/>
          <w:sz w:val="20"/>
          <w:szCs w:val="20"/>
        </w:rPr>
      </w:pPr>
      <w:r>
        <w:rPr>
          <w:rFonts w:ascii="Arial" w:hAnsi="Arial" w:cs="Arial"/>
          <w:color w:val="000000" w:themeColor="text1"/>
          <w:sz w:val="20"/>
          <w:szCs w:val="20"/>
        </w:rPr>
        <w:t>properly manage the risks associated with Rifa’s business in breach of paragraph 14.1 of the SFC Code of Conduct.</w:t>
      </w:r>
    </w:p>
    <w:p w:rsidR="00FA27F2" w:rsidRPr="00B247F0" w:rsidRDefault="00B247F0" w:rsidP="00B247F0">
      <w:pPr>
        <w:jc w:val="both"/>
        <w:rPr>
          <w:rFonts w:ascii="Arial" w:hAnsi="Arial" w:cs="Arial"/>
          <w:color w:val="000000" w:themeColor="text1"/>
          <w:sz w:val="20"/>
          <w:szCs w:val="20"/>
        </w:rPr>
      </w:pPr>
      <w:r w:rsidRPr="00B247F0">
        <w:rPr>
          <w:rFonts w:ascii="Arial" w:hAnsi="Arial" w:cs="Arial"/>
          <w:color w:val="000000" w:themeColor="text1"/>
          <w:sz w:val="20"/>
          <w:szCs w:val="20"/>
        </w:rPr>
        <w:t xml:space="preserve">The </w:t>
      </w:r>
      <w:r w:rsidR="00EA06F4" w:rsidRPr="00B247F0">
        <w:rPr>
          <w:rFonts w:ascii="Arial" w:hAnsi="Arial" w:cs="Arial"/>
          <w:color w:val="000000" w:themeColor="text1"/>
          <w:sz w:val="20"/>
          <w:szCs w:val="20"/>
        </w:rPr>
        <w:t xml:space="preserve">SFC </w:t>
      </w:r>
      <w:r>
        <w:rPr>
          <w:rFonts w:ascii="Arial" w:hAnsi="Arial" w:cs="Arial"/>
          <w:color w:val="000000" w:themeColor="text1"/>
          <w:sz w:val="20"/>
          <w:szCs w:val="20"/>
        </w:rPr>
        <w:t>considered Tang to be guilty of misconduct and that his fitness and properness to carry on regulated activities had been called into question.</w:t>
      </w:r>
      <w:r w:rsidR="00EA06F4" w:rsidRPr="00B247F0">
        <w:rPr>
          <w:rFonts w:ascii="Arial" w:hAnsi="Arial" w:cs="Arial"/>
          <w:color w:val="000000" w:themeColor="text1"/>
          <w:sz w:val="20"/>
          <w:szCs w:val="20"/>
        </w:rPr>
        <w:t xml:space="preserve"> </w:t>
      </w:r>
      <w:r>
        <w:rPr>
          <w:rFonts w:ascii="Arial" w:hAnsi="Arial" w:cs="Arial"/>
          <w:color w:val="000000" w:themeColor="text1"/>
          <w:sz w:val="20"/>
          <w:szCs w:val="20"/>
        </w:rPr>
        <w:t xml:space="preserve">It therefore </w:t>
      </w:r>
      <w:r w:rsidR="00B16E69" w:rsidRPr="00B247F0">
        <w:rPr>
          <w:rFonts w:ascii="Arial" w:hAnsi="Arial" w:cs="Arial"/>
          <w:color w:val="000000" w:themeColor="text1"/>
          <w:sz w:val="20"/>
          <w:szCs w:val="20"/>
        </w:rPr>
        <w:t>suspend</w:t>
      </w:r>
      <w:r>
        <w:rPr>
          <w:rFonts w:ascii="Arial" w:hAnsi="Arial" w:cs="Arial"/>
          <w:color w:val="000000" w:themeColor="text1"/>
          <w:sz w:val="20"/>
          <w:szCs w:val="20"/>
        </w:rPr>
        <w:t>ed Mr Tang’s licenc</w:t>
      </w:r>
      <w:r w:rsidR="00B16E69" w:rsidRPr="00B247F0">
        <w:rPr>
          <w:rFonts w:ascii="Arial" w:hAnsi="Arial" w:cs="Arial"/>
          <w:color w:val="000000" w:themeColor="text1"/>
          <w:sz w:val="20"/>
          <w:szCs w:val="20"/>
        </w:rPr>
        <w:t xml:space="preserve">e for eight months from 2 September 2022 to 1 May 2023. </w:t>
      </w:r>
    </w:p>
    <w:p w:rsidR="003F38E8" w:rsidRPr="006E5EE6" w:rsidRDefault="003F38E8" w:rsidP="003F38E8">
      <w:pPr>
        <w:jc w:val="both"/>
        <w:rPr>
          <w:rFonts w:ascii="Arial" w:hAnsi="Arial" w:cs="Arial"/>
          <w:b/>
          <w:color w:val="FF0000"/>
          <w:sz w:val="20"/>
          <w:szCs w:val="20"/>
        </w:rPr>
      </w:pPr>
      <w:r w:rsidRPr="006E5EE6">
        <w:rPr>
          <w:rFonts w:ascii="Arial" w:hAnsi="Arial" w:cs="Arial"/>
          <w:b/>
          <w:color w:val="FF0000"/>
          <w:sz w:val="20"/>
          <w:szCs w:val="20"/>
        </w:rPr>
        <w:t xml:space="preserve">SFC Suspends Christopher James Aarons for two years for breaching </w:t>
      </w:r>
      <w:r w:rsidR="00AD192F">
        <w:rPr>
          <w:rFonts w:ascii="Arial" w:hAnsi="Arial" w:cs="Arial"/>
          <w:b/>
          <w:color w:val="FF0000"/>
          <w:sz w:val="20"/>
          <w:szCs w:val="20"/>
        </w:rPr>
        <w:t xml:space="preserve">the SFC </w:t>
      </w:r>
      <w:r w:rsidRPr="006E5EE6">
        <w:rPr>
          <w:rFonts w:ascii="Arial" w:hAnsi="Arial" w:cs="Arial"/>
          <w:b/>
          <w:color w:val="FF0000"/>
          <w:sz w:val="20"/>
          <w:szCs w:val="20"/>
        </w:rPr>
        <w:t>Code of Conduct</w:t>
      </w:r>
    </w:p>
    <w:p w:rsidR="00A229E3" w:rsidRPr="006E5EE6" w:rsidRDefault="003F38E8" w:rsidP="00B60D06">
      <w:pPr>
        <w:jc w:val="both"/>
        <w:rPr>
          <w:rFonts w:ascii="Arial" w:hAnsi="Arial" w:cs="Arial"/>
          <w:color w:val="000000" w:themeColor="text1"/>
          <w:sz w:val="20"/>
          <w:szCs w:val="20"/>
        </w:rPr>
      </w:pPr>
      <w:r w:rsidRPr="006E5EE6">
        <w:rPr>
          <w:rFonts w:ascii="Arial" w:hAnsi="Arial" w:cs="Arial"/>
          <w:color w:val="000000" w:themeColor="text1"/>
          <w:sz w:val="20"/>
          <w:szCs w:val="20"/>
        </w:rPr>
        <w:t>On 29 September 2022, the SFC announced that it had suspended Mr Christopher James Aarons</w:t>
      </w:r>
      <w:r w:rsidR="00B60D06" w:rsidRPr="006E5EE6">
        <w:rPr>
          <w:rFonts w:ascii="Arial" w:hAnsi="Arial" w:cs="Arial"/>
          <w:color w:val="000000" w:themeColor="text1"/>
          <w:sz w:val="20"/>
          <w:szCs w:val="20"/>
        </w:rPr>
        <w:t>, the Chief Executive Officer of Trafalgar Capital Management (HK) Ltd (</w:t>
      </w:r>
      <w:r w:rsidR="00B60D06" w:rsidRPr="006E5EE6">
        <w:rPr>
          <w:rFonts w:ascii="Arial" w:hAnsi="Arial" w:cs="Arial"/>
          <w:b/>
          <w:color w:val="000000" w:themeColor="text1"/>
          <w:sz w:val="20"/>
          <w:szCs w:val="20"/>
        </w:rPr>
        <w:t>Trafalgar</w:t>
      </w:r>
      <w:r w:rsidR="00B60D06" w:rsidRPr="006E5EE6">
        <w:rPr>
          <w:rFonts w:ascii="Arial" w:hAnsi="Arial" w:cs="Arial"/>
          <w:color w:val="000000" w:themeColor="text1"/>
          <w:sz w:val="20"/>
          <w:szCs w:val="20"/>
        </w:rPr>
        <w:t>)</w:t>
      </w:r>
      <w:r w:rsidR="00730BE3" w:rsidRPr="006E5EE6">
        <w:rPr>
          <w:rFonts w:ascii="Arial" w:hAnsi="Arial" w:cs="Arial"/>
          <w:color w:val="000000" w:themeColor="text1"/>
          <w:sz w:val="20"/>
          <w:szCs w:val="20"/>
        </w:rPr>
        <w:t>, for two years from 27 September 2022 to 26 September 2024 after the Securities and Futures Appeals Tribunal (</w:t>
      </w:r>
      <w:r w:rsidR="00730BE3" w:rsidRPr="006E5EE6">
        <w:rPr>
          <w:rFonts w:ascii="Arial" w:hAnsi="Arial" w:cs="Arial"/>
          <w:b/>
          <w:color w:val="000000" w:themeColor="text1"/>
          <w:sz w:val="20"/>
          <w:szCs w:val="20"/>
        </w:rPr>
        <w:t>SFAT</w:t>
      </w:r>
      <w:r w:rsidR="00730BE3" w:rsidRPr="006E5EE6">
        <w:rPr>
          <w:rFonts w:ascii="Arial" w:hAnsi="Arial" w:cs="Arial"/>
          <w:color w:val="000000" w:themeColor="text1"/>
          <w:sz w:val="20"/>
          <w:szCs w:val="20"/>
        </w:rPr>
        <w:t xml:space="preserve">) upheld the SFC’s disciplinary </w:t>
      </w:r>
      <w:r w:rsidR="0004157F" w:rsidRPr="006E5EE6">
        <w:rPr>
          <w:rFonts w:ascii="Arial" w:hAnsi="Arial" w:cs="Arial"/>
          <w:color w:val="000000" w:themeColor="text1"/>
          <w:sz w:val="20"/>
          <w:szCs w:val="20"/>
        </w:rPr>
        <w:t xml:space="preserve">action against Aarons for breaching the SFC’s Code of Conduct. </w:t>
      </w:r>
    </w:p>
    <w:p w:rsidR="003F38E8" w:rsidRPr="006E5EE6" w:rsidRDefault="00C05E38" w:rsidP="0053014E">
      <w:pPr>
        <w:jc w:val="both"/>
        <w:rPr>
          <w:rFonts w:ascii="Arial" w:hAnsi="Arial" w:cs="Arial"/>
          <w:color w:val="000000" w:themeColor="text1"/>
          <w:sz w:val="20"/>
          <w:szCs w:val="20"/>
        </w:rPr>
      </w:pPr>
      <w:r w:rsidRPr="006E5EE6">
        <w:rPr>
          <w:rFonts w:ascii="Arial" w:hAnsi="Arial" w:cs="Arial"/>
          <w:color w:val="000000" w:themeColor="text1"/>
          <w:sz w:val="20"/>
          <w:szCs w:val="20"/>
        </w:rPr>
        <w:t>The Securities and Futures Appeals Tribunal</w:t>
      </w:r>
      <w:r w:rsidR="001D132E" w:rsidRPr="006E5EE6">
        <w:rPr>
          <w:rFonts w:ascii="Arial" w:hAnsi="Arial" w:cs="Arial"/>
          <w:color w:val="000000" w:themeColor="text1"/>
          <w:sz w:val="20"/>
          <w:szCs w:val="20"/>
        </w:rPr>
        <w:t>’s</w:t>
      </w:r>
      <w:r w:rsidRPr="006E5EE6">
        <w:rPr>
          <w:rFonts w:ascii="Arial" w:hAnsi="Arial" w:cs="Arial"/>
          <w:color w:val="000000" w:themeColor="text1"/>
          <w:sz w:val="20"/>
          <w:szCs w:val="20"/>
        </w:rPr>
        <w:t xml:space="preserve"> </w:t>
      </w:r>
      <w:r w:rsidR="00A229E3" w:rsidRPr="006E5EE6">
        <w:rPr>
          <w:rFonts w:ascii="Arial" w:hAnsi="Arial" w:cs="Arial"/>
          <w:color w:val="000000" w:themeColor="text1"/>
          <w:sz w:val="20"/>
          <w:szCs w:val="20"/>
        </w:rPr>
        <w:t>(</w:t>
      </w:r>
      <w:r w:rsidR="00A229E3" w:rsidRPr="006E5EE6">
        <w:rPr>
          <w:rFonts w:ascii="Arial" w:hAnsi="Arial" w:cs="Arial"/>
          <w:b/>
          <w:color w:val="000000" w:themeColor="text1"/>
          <w:sz w:val="20"/>
          <w:szCs w:val="20"/>
        </w:rPr>
        <w:t>SFAT</w:t>
      </w:r>
      <w:r w:rsidR="008455BB">
        <w:rPr>
          <w:rFonts w:ascii="Arial" w:hAnsi="Arial" w:cs="Arial"/>
          <w:color w:val="000000" w:themeColor="text1"/>
          <w:sz w:val="20"/>
          <w:szCs w:val="20"/>
        </w:rPr>
        <w:t>) d</w:t>
      </w:r>
      <w:r w:rsidR="00A229E3" w:rsidRPr="006E5EE6">
        <w:rPr>
          <w:rFonts w:ascii="Arial" w:hAnsi="Arial" w:cs="Arial"/>
          <w:color w:val="000000" w:themeColor="text1"/>
          <w:sz w:val="20"/>
          <w:szCs w:val="20"/>
        </w:rPr>
        <w:t xml:space="preserve">etermination </w:t>
      </w:r>
      <w:r w:rsidR="008455BB">
        <w:rPr>
          <w:rFonts w:ascii="Arial" w:hAnsi="Arial" w:cs="Arial"/>
          <w:color w:val="000000" w:themeColor="text1"/>
          <w:sz w:val="20"/>
          <w:szCs w:val="20"/>
        </w:rPr>
        <w:t xml:space="preserve">(of SFAT Application No. 1 of 2021) </w:t>
      </w:r>
      <w:r w:rsidR="00A229E3" w:rsidRPr="006E5EE6">
        <w:rPr>
          <w:rFonts w:ascii="Arial" w:hAnsi="Arial" w:cs="Arial"/>
          <w:color w:val="000000" w:themeColor="text1"/>
          <w:sz w:val="20"/>
          <w:szCs w:val="20"/>
        </w:rPr>
        <w:t xml:space="preserve">is available on the SFAT website </w:t>
      </w:r>
      <w:hyperlink r:id="rId14" w:history="1">
        <w:r w:rsidR="00A229E3" w:rsidRPr="006E5EE6">
          <w:rPr>
            <w:rStyle w:val="a4"/>
            <w:rFonts w:ascii="Arial" w:hAnsi="Arial" w:cs="Arial"/>
            <w:sz w:val="20"/>
            <w:szCs w:val="20"/>
          </w:rPr>
          <w:t>here</w:t>
        </w:r>
      </w:hyperlink>
      <w:r w:rsidR="00A229E3" w:rsidRPr="006E5EE6">
        <w:rPr>
          <w:rFonts w:ascii="Arial" w:hAnsi="Arial" w:cs="Arial"/>
          <w:color w:val="000000" w:themeColor="text1"/>
          <w:sz w:val="20"/>
          <w:szCs w:val="20"/>
        </w:rPr>
        <w:t>.</w:t>
      </w:r>
    </w:p>
    <w:p w:rsidR="004216F3" w:rsidRDefault="004216F3" w:rsidP="0053014E">
      <w:pPr>
        <w:jc w:val="both"/>
        <w:rPr>
          <w:rFonts w:ascii="Arial" w:hAnsi="Arial" w:cs="Arial"/>
          <w:b/>
          <w:color w:val="000000" w:themeColor="text1"/>
          <w:sz w:val="20"/>
          <w:szCs w:val="20"/>
        </w:rPr>
      </w:pPr>
      <w:r>
        <w:rPr>
          <w:rFonts w:ascii="Arial" w:hAnsi="Arial" w:cs="Arial"/>
          <w:b/>
          <w:color w:val="000000" w:themeColor="text1"/>
          <w:sz w:val="20"/>
          <w:szCs w:val="20"/>
        </w:rPr>
        <w:t xml:space="preserve">Dealings in shares listed on the Korea Exchange based on material non-public information </w:t>
      </w:r>
    </w:p>
    <w:p w:rsidR="007710C0" w:rsidRPr="006E5EE6" w:rsidRDefault="0087783B" w:rsidP="0053014E">
      <w:pPr>
        <w:jc w:val="both"/>
        <w:rPr>
          <w:rFonts w:ascii="Arial" w:hAnsi="Arial" w:cs="Arial"/>
          <w:color w:val="000000" w:themeColor="text1"/>
          <w:sz w:val="20"/>
          <w:szCs w:val="20"/>
        </w:rPr>
      </w:pPr>
      <w:r>
        <w:rPr>
          <w:rFonts w:ascii="Arial" w:hAnsi="Arial" w:cs="Arial"/>
          <w:color w:val="000000" w:themeColor="text1"/>
          <w:sz w:val="20"/>
          <w:szCs w:val="20"/>
        </w:rPr>
        <w:t>The SFC’s disciplinary action followed</w:t>
      </w:r>
      <w:r w:rsidR="007710C0" w:rsidRPr="006E5EE6">
        <w:rPr>
          <w:rFonts w:ascii="Arial" w:hAnsi="Arial" w:cs="Arial"/>
          <w:color w:val="000000" w:themeColor="text1"/>
          <w:sz w:val="20"/>
          <w:szCs w:val="20"/>
        </w:rPr>
        <w:t xml:space="preserve"> Korean administrative proceedings </w:t>
      </w:r>
      <w:r w:rsidR="0020620F" w:rsidRPr="006E5EE6">
        <w:rPr>
          <w:rFonts w:ascii="Arial" w:hAnsi="Arial" w:cs="Arial"/>
          <w:color w:val="000000" w:themeColor="text1"/>
          <w:sz w:val="20"/>
          <w:szCs w:val="20"/>
        </w:rPr>
        <w:t xml:space="preserve">against Aarons after </w:t>
      </w:r>
      <w:r w:rsidR="000B092D" w:rsidRPr="006E5EE6">
        <w:rPr>
          <w:rFonts w:ascii="Arial" w:hAnsi="Arial" w:cs="Arial"/>
          <w:color w:val="000000" w:themeColor="text1"/>
          <w:sz w:val="20"/>
          <w:szCs w:val="20"/>
        </w:rPr>
        <w:t>South</w:t>
      </w:r>
      <w:r w:rsidR="0020620F" w:rsidRPr="006E5EE6">
        <w:rPr>
          <w:rFonts w:ascii="Arial" w:hAnsi="Arial" w:cs="Arial"/>
          <w:color w:val="000000" w:themeColor="text1"/>
          <w:sz w:val="20"/>
          <w:szCs w:val="20"/>
        </w:rPr>
        <w:t xml:space="preserve"> Korean regulatory authorities found that Aarons had breached Korean legislation by dealing in the shares of a securities company</w:t>
      </w:r>
      <w:r w:rsidR="008461D7" w:rsidRPr="006E5EE6">
        <w:rPr>
          <w:rStyle w:val="a7"/>
          <w:rFonts w:ascii="Arial" w:hAnsi="Arial" w:cs="Arial"/>
          <w:color w:val="000000" w:themeColor="text1"/>
          <w:sz w:val="20"/>
          <w:szCs w:val="20"/>
        </w:rPr>
        <w:footnoteReference w:id="1"/>
      </w:r>
      <w:r w:rsidR="0020620F" w:rsidRPr="006E5EE6">
        <w:rPr>
          <w:rFonts w:ascii="Arial" w:hAnsi="Arial" w:cs="Arial"/>
          <w:color w:val="000000" w:themeColor="text1"/>
          <w:sz w:val="20"/>
          <w:szCs w:val="20"/>
        </w:rPr>
        <w:t xml:space="preserve"> listed on the Korea Exchange </w:t>
      </w:r>
      <w:r w:rsidR="00374E25" w:rsidRPr="006E5EE6">
        <w:rPr>
          <w:rFonts w:ascii="Arial" w:hAnsi="Arial" w:cs="Arial"/>
          <w:color w:val="000000" w:themeColor="text1"/>
          <w:sz w:val="20"/>
          <w:szCs w:val="20"/>
        </w:rPr>
        <w:t>(</w:t>
      </w:r>
      <w:r w:rsidR="00374E25" w:rsidRPr="006E5EE6">
        <w:rPr>
          <w:rFonts w:ascii="Arial" w:hAnsi="Arial" w:cs="Arial"/>
          <w:b/>
          <w:color w:val="000000" w:themeColor="text1"/>
          <w:sz w:val="20"/>
          <w:szCs w:val="20"/>
        </w:rPr>
        <w:t>KRX</w:t>
      </w:r>
      <w:r w:rsidR="00374E25" w:rsidRPr="006E5EE6">
        <w:rPr>
          <w:rFonts w:ascii="Arial" w:hAnsi="Arial" w:cs="Arial"/>
          <w:color w:val="000000" w:themeColor="text1"/>
          <w:sz w:val="20"/>
          <w:szCs w:val="20"/>
        </w:rPr>
        <w:t xml:space="preserve">) </w:t>
      </w:r>
      <w:r w:rsidR="0020620F" w:rsidRPr="006E5EE6">
        <w:rPr>
          <w:rFonts w:ascii="Arial" w:hAnsi="Arial" w:cs="Arial"/>
          <w:color w:val="000000" w:themeColor="text1"/>
          <w:sz w:val="20"/>
          <w:szCs w:val="20"/>
        </w:rPr>
        <w:t xml:space="preserve">based on material non-public information in circumstances that prohibited such dealings. </w:t>
      </w:r>
    </w:p>
    <w:p w:rsidR="0020620F" w:rsidRPr="006E5EE6" w:rsidRDefault="00EB646B" w:rsidP="0053014E">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The </w:t>
      </w:r>
      <w:r w:rsidR="000D0EEC" w:rsidRPr="006E5EE6">
        <w:rPr>
          <w:rFonts w:ascii="Arial" w:hAnsi="Arial" w:cs="Arial"/>
          <w:color w:val="000000" w:themeColor="text1"/>
          <w:sz w:val="20"/>
          <w:szCs w:val="20"/>
        </w:rPr>
        <w:t xml:space="preserve">non-public </w:t>
      </w:r>
      <w:r w:rsidRPr="006E5EE6">
        <w:rPr>
          <w:rFonts w:ascii="Arial" w:hAnsi="Arial" w:cs="Arial"/>
          <w:color w:val="000000" w:themeColor="text1"/>
          <w:sz w:val="20"/>
          <w:szCs w:val="20"/>
        </w:rPr>
        <w:t xml:space="preserve">information </w:t>
      </w:r>
      <w:r w:rsidR="000D0EEC" w:rsidRPr="006E5EE6">
        <w:rPr>
          <w:rFonts w:ascii="Arial" w:hAnsi="Arial" w:cs="Arial"/>
          <w:color w:val="000000" w:themeColor="text1"/>
          <w:sz w:val="20"/>
          <w:szCs w:val="20"/>
        </w:rPr>
        <w:t>concerned a block trade of shares of</w:t>
      </w:r>
      <w:r w:rsidR="00CB1E08" w:rsidRPr="006E5EE6">
        <w:rPr>
          <w:rFonts w:ascii="Arial" w:hAnsi="Arial" w:cs="Arial"/>
          <w:color w:val="000000" w:themeColor="text1"/>
          <w:sz w:val="20"/>
          <w:szCs w:val="20"/>
        </w:rPr>
        <w:t xml:space="preserve"> a securities company listed on the KRX which Aarons had obtained from a sell-side broker during a “market sounding”</w:t>
      </w:r>
      <w:r w:rsidR="006070ED" w:rsidRPr="006E5EE6">
        <w:rPr>
          <w:rStyle w:val="a7"/>
          <w:rFonts w:ascii="Arial" w:hAnsi="Arial" w:cs="Arial"/>
          <w:color w:val="000000" w:themeColor="text1"/>
          <w:sz w:val="20"/>
          <w:szCs w:val="20"/>
        </w:rPr>
        <w:footnoteReference w:id="2"/>
      </w:r>
      <w:r w:rsidR="00CB1E08" w:rsidRPr="006E5EE6">
        <w:rPr>
          <w:rFonts w:ascii="Arial" w:hAnsi="Arial" w:cs="Arial"/>
          <w:color w:val="000000" w:themeColor="text1"/>
          <w:sz w:val="20"/>
          <w:szCs w:val="20"/>
        </w:rPr>
        <w:t xml:space="preserve"> call in January 2016 that preceded the public announcement of the block trade. </w:t>
      </w:r>
      <w:r w:rsidR="0087783B">
        <w:rPr>
          <w:rFonts w:ascii="Arial" w:hAnsi="Arial" w:cs="Arial"/>
          <w:color w:val="000000" w:themeColor="text1"/>
          <w:sz w:val="20"/>
          <w:szCs w:val="20"/>
        </w:rPr>
        <w:t>Alt</w:t>
      </w:r>
      <w:r w:rsidR="00E972FC" w:rsidRPr="006E5EE6">
        <w:rPr>
          <w:rFonts w:ascii="Arial" w:hAnsi="Arial" w:cs="Arial"/>
          <w:color w:val="000000" w:themeColor="text1"/>
          <w:sz w:val="20"/>
          <w:szCs w:val="20"/>
        </w:rPr>
        <w:t xml:space="preserve">hough the call </w:t>
      </w:r>
      <w:r w:rsidR="00915320" w:rsidRPr="006E5EE6">
        <w:rPr>
          <w:rFonts w:ascii="Arial" w:hAnsi="Arial" w:cs="Arial"/>
          <w:color w:val="000000" w:themeColor="text1"/>
          <w:sz w:val="20"/>
          <w:szCs w:val="20"/>
        </w:rPr>
        <w:t xml:space="preserve">with the broker </w:t>
      </w:r>
      <w:r w:rsidR="00E972FC" w:rsidRPr="006E5EE6">
        <w:rPr>
          <w:rFonts w:ascii="Arial" w:hAnsi="Arial" w:cs="Arial"/>
          <w:color w:val="000000" w:themeColor="text1"/>
          <w:sz w:val="20"/>
          <w:szCs w:val="20"/>
        </w:rPr>
        <w:t xml:space="preserve">did not mention any particular </w:t>
      </w:r>
      <w:r w:rsidR="00915320" w:rsidRPr="006E5EE6">
        <w:rPr>
          <w:rFonts w:ascii="Arial" w:hAnsi="Arial" w:cs="Arial"/>
          <w:color w:val="000000" w:themeColor="text1"/>
          <w:sz w:val="20"/>
          <w:szCs w:val="20"/>
        </w:rPr>
        <w:t>securities</w:t>
      </w:r>
      <w:r w:rsidR="00E972FC" w:rsidRPr="006E5EE6">
        <w:rPr>
          <w:rFonts w:ascii="Arial" w:hAnsi="Arial" w:cs="Arial"/>
          <w:color w:val="000000" w:themeColor="text1"/>
          <w:sz w:val="20"/>
          <w:szCs w:val="20"/>
        </w:rPr>
        <w:t xml:space="preserve"> </w:t>
      </w:r>
      <w:r w:rsidR="00915320" w:rsidRPr="006E5EE6">
        <w:rPr>
          <w:rFonts w:ascii="Arial" w:hAnsi="Arial" w:cs="Arial"/>
          <w:color w:val="000000" w:themeColor="text1"/>
          <w:sz w:val="20"/>
          <w:szCs w:val="20"/>
        </w:rPr>
        <w:t xml:space="preserve">company </w:t>
      </w:r>
      <w:r w:rsidR="00E972FC" w:rsidRPr="006E5EE6">
        <w:rPr>
          <w:rFonts w:ascii="Arial" w:hAnsi="Arial" w:cs="Arial"/>
          <w:color w:val="000000" w:themeColor="text1"/>
          <w:sz w:val="20"/>
          <w:szCs w:val="20"/>
        </w:rPr>
        <w:t xml:space="preserve">by name, the Korean proceedings found that there was sufficient particularity in the information </w:t>
      </w:r>
      <w:r w:rsidR="0087783B">
        <w:rPr>
          <w:rFonts w:ascii="Arial" w:hAnsi="Arial" w:cs="Arial"/>
          <w:color w:val="000000" w:themeColor="text1"/>
          <w:sz w:val="20"/>
          <w:szCs w:val="20"/>
        </w:rPr>
        <w:t>given to Aarons o</w:t>
      </w:r>
      <w:r w:rsidR="00E972FC" w:rsidRPr="006E5EE6">
        <w:rPr>
          <w:rFonts w:ascii="Arial" w:hAnsi="Arial" w:cs="Arial"/>
          <w:color w:val="000000" w:themeColor="text1"/>
          <w:sz w:val="20"/>
          <w:szCs w:val="20"/>
        </w:rPr>
        <w:t xml:space="preserve">n the call to enable </w:t>
      </w:r>
      <w:r w:rsidR="0087783B">
        <w:rPr>
          <w:rFonts w:ascii="Arial" w:hAnsi="Arial" w:cs="Arial"/>
          <w:color w:val="000000" w:themeColor="text1"/>
          <w:sz w:val="20"/>
          <w:szCs w:val="20"/>
        </w:rPr>
        <w:t xml:space="preserve">him </w:t>
      </w:r>
      <w:r w:rsidR="00E972FC" w:rsidRPr="006E5EE6">
        <w:rPr>
          <w:rFonts w:ascii="Arial" w:hAnsi="Arial" w:cs="Arial"/>
          <w:color w:val="000000" w:themeColor="text1"/>
          <w:sz w:val="20"/>
          <w:szCs w:val="20"/>
        </w:rPr>
        <w:t xml:space="preserve">to </w:t>
      </w:r>
      <w:r w:rsidR="0087783B">
        <w:rPr>
          <w:rFonts w:ascii="Arial" w:hAnsi="Arial" w:cs="Arial"/>
          <w:color w:val="000000" w:themeColor="text1"/>
          <w:sz w:val="20"/>
          <w:szCs w:val="20"/>
        </w:rPr>
        <w:t xml:space="preserve">conclude </w:t>
      </w:r>
      <w:r w:rsidR="00E972FC" w:rsidRPr="006E5EE6">
        <w:rPr>
          <w:rFonts w:ascii="Arial" w:hAnsi="Arial" w:cs="Arial"/>
          <w:color w:val="000000" w:themeColor="text1"/>
          <w:sz w:val="20"/>
          <w:szCs w:val="20"/>
        </w:rPr>
        <w:t>that the information must relate to</w:t>
      </w:r>
      <w:r w:rsidR="0087783B">
        <w:rPr>
          <w:rFonts w:ascii="Arial" w:hAnsi="Arial" w:cs="Arial"/>
          <w:color w:val="000000" w:themeColor="text1"/>
          <w:sz w:val="20"/>
          <w:szCs w:val="20"/>
        </w:rPr>
        <w:t xml:space="preserve"> </w:t>
      </w:r>
      <w:r w:rsidR="0087783B" w:rsidRPr="0087783B">
        <w:rPr>
          <w:rFonts w:ascii="Arial" w:hAnsi="Arial" w:cs="Arial"/>
          <w:color w:val="000000" w:themeColor="text1"/>
          <w:sz w:val="20"/>
          <w:szCs w:val="20"/>
        </w:rPr>
        <w:t>Hyundai Securities Co. Ltd</w:t>
      </w:r>
      <w:r w:rsidR="002F6123">
        <w:rPr>
          <w:rFonts w:ascii="Arial" w:hAnsi="Arial" w:cs="Arial"/>
          <w:color w:val="000000" w:themeColor="text1"/>
          <w:sz w:val="20"/>
          <w:szCs w:val="20"/>
        </w:rPr>
        <w:t xml:space="preserve"> (</w:t>
      </w:r>
      <w:r w:rsidR="002F6123" w:rsidRPr="002F6123">
        <w:rPr>
          <w:rFonts w:ascii="Arial" w:hAnsi="Arial" w:cs="Arial"/>
          <w:b/>
          <w:color w:val="000000" w:themeColor="text1"/>
          <w:sz w:val="20"/>
          <w:szCs w:val="20"/>
        </w:rPr>
        <w:t>Hyundai</w:t>
      </w:r>
      <w:r w:rsidR="002F6123">
        <w:rPr>
          <w:rFonts w:ascii="Arial" w:hAnsi="Arial" w:cs="Arial"/>
          <w:color w:val="000000" w:themeColor="text1"/>
          <w:sz w:val="20"/>
          <w:szCs w:val="20"/>
        </w:rPr>
        <w:t>)</w:t>
      </w:r>
      <w:r w:rsidR="0087783B" w:rsidRPr="0087783B">
        <w:rPr>
          <w:rFonts w:ascii="Arial" w:hAnsi="Arial" w:cs="Arial"/>
          <w:color w:val="000000" w:themeColor="text1"/>
          <w:sz w:val="20"/>
          <w:szCs w:val="20"/>
        </w:rPr>
        <w:t>.</w:t>
      </w:r>
      <w:r w:rsidR="00E972FC" w:rsidRPr="006E5EE6">
        <w:rPr>
          <w:rFonts w:ascii="Arial" w:hAnsi="Arial" w:cs="Arial"/>
          <w:color w:val="000000" w:themeColor="text1"/>
          <w:sz w:val="20"/>
          <w:szCs w:val="20"/>
        </w:rPr>
        <w:t xml:space="preserve"> </w:t>
      </w:r>
      <w:r w:rsidR="002F6015" w:rsidRPr="006E5EE6">
        <w:rPr>
          <w:rFonts w:ascii="Arial" w:hAnsi="Arial" w:cs="Arial"/>
          <w:color w:val="000000" w:themeColor="text1"/>
          <w:sz w:val="20"/>
          <w:szCs w:val="20"/>
        </w:rPr>
        <w:t>Aarons was not wall-crossed</w:t>
      </w:r>
      <w:r w:rsidR="008D031F" w:rsidRPr="006E5EE6">
        <w:rPr>
          <w:rStyle w:val="a7"/>
          <w:rFonts w:ascii="Arial" w:hAnsi="Arial" w:cs="Arial"/>
          <w:color w:val="000000" w:themeColor="text1"/>
          <w:sz w:val="20"/>
          <w:szCs w:val="20"/>
        </w:rPr>
        <w:footnoteReference w:id="3"/>
      </w:r>
      <w:r w:rsidR="002F6015" w:rsidRPr="006E5EE6">
        <w:rPr>
          <w:rFonts w:ascii="Arial" w:hAnsi="Arial" w:cs="Arial"/>
          <w:color w:val="000000" w:themeColor="text1"/>
          <w:sz w:val="20"/>
          <w:szCs w:val="20"/>
        </w:rPr>
        <w:t xml:space="preserve"> during the call but he cut short the call and arranged short swaps</w:t>
      </w:r>
      <w:r w:rsidR="008D031F" w:rsidRPr="006E5EE6">
        <w:rPr>
          <w:rStyle w:val="a7"/>
          <w:rFonts w:ascii="Arial" w:hAnsi="Arial" w:cs="Arial"/>
          <w:color w:val="000000" w:themeColor="text1"/>
          <w:sz w:val="20"/>
          <w:szCs w:val="20"/>
        </w:rPr>
        <w:footnoteReference w:id="4"/>
      </w:r>
      <w:r w:rsidR="002F6015" w:rsidRPr="006E5EE6">
        <w:rPr>
          <w:rFonts w:ascii="Arial" w:hAnsi="Arial" w:cs="Arial"/>
          <w:color w:val="000000" w:themeColor="text1"/>
          <w:sz w:val="20"/>
          <w:szCs w:val="20"/>
        </w:rPr>
        <w:t xml:space="preserve"> in the company’s shares about 20 to 25 minutes after he obtained the information from the broker. </w:t>
      </w:r>
    </w:p>
    <w:p w:rsidR="009E273A" w:rsidRPr="006E5EE6" w:rsidRDefault="0050780E" w:rsidP="0053014E">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In January 2021, </w:t>
      </w:r>
      <w:r w:rsidR="00921C4C" w:rsidRPr="006E5EE6">
        <w:rPr>
          <w:rFonts w:ascii="Arial" w:hAnsi="Arial" w:cs="Arial"/>
          <w:color w:val="000000" w:themeColor="text1"/>
          <w:sz w:val="20"/>
          <w:szCs w:val="20"/>
        </w:rPr>
        <w:t xml:space="preserve">based on the contravention of Korean legislation, </w:t>
      </w:r>
      <w:r w:rsidRPr="006E5EE6">
        <w:rPr>
          <w:rFonts w:ascii="Arial" w:hAnsi="Arial" w:cs="Arial"/>
          <w:color w:val="000000" w:themeColor="text1"/>
          <w:sz w:val="20"/>
          <w:szCs w:val="20"/>
        </w:rPr>
        <w:t xml:space="preserve">the SFC found </w:t>
      </w:r>
      <w:r w:rsidR="00921C4C" w:rsidRPr="006E5EE6">
        <w:rPr>
          <w:rFonts w:ascii="Arial" w:hAnsi="Arial" w:cs="Arial"/>
          <w:color w:val="000000" w:themeColor="text1"/>
          <w:sz w:val="20"/>
          <w:szCs w:val="20"/>
        </w:rPr>
        <w:t xml:space="preserve">that Aarons’ conduct </w:t>
      </w:r>
      <w:r w:rsidR="0087783B">
        <w:rPr>
          <w:rFonts w:ascii="Arial" w:hAnsi="Arial" w:cs="Arial"/>
          <w:color w:val="000000" w:themeColor="text1"/>
          <w:sz w:val="20"/>
          <w:szCs w:val="20"/>
        </w:rPr>
        <w:t>was such that he was not</w:t>
      </w:r>
      <w:r w:rsidR="00921C4C" w:rsidRPr="006E5EE6">
        <w:rPr>
          <w:rFonts w:ascii="Arial" w:hAnsi="Arial" w:cs="Arial"/>
          <w:color w:val="000000" w:themeColor="text1"/>
          <w:sz w:val="20"/>
          <w:szCs w:val="20"/>
        </w:rPr>
        <w:t xml:space="preserve"> a fit and proper person to continue to be licensed as a representative or to </w:t>
      </w:r>
      <w:r w:rsidR="00921C4C" w:rsidRPr="006E5EE6">
        <w:rPr>
          <w:rFonts w:ascii="Arial" w:hAnsi="Arial" w:cs="Arial"/>
          <w:color w:val="000000" w:themeColor="text1"/>
          <w:sz w:val="20"/>
          <w:szCs w:val="20"/>
        </w:rPr>
        <w:lastRenderedPageBreak/>
        <w:t xml:space="preserve">remain as a responsible officer </w:t>
      </w:r>
      <w:r w:rsidR="00C44878" w:rsidRPr="006E5EE6">
        <w:rPr>
          <w:rFonts w:ascii="Arial" w:hAnsi="Arial" w:cs="Arial"/>
          <w:color w:val="000000" w:themeColor="text1"/>
          <w:sz w:val="20"/>
          <w:szCs w:val="20"/>
        </w:rPr>
        <w:t xml:space="preserve">of Trafalgar </w:t>
      </w:r>
      <w:r w:rsidR="00DE7362" w:rsidRPr="006E5EE6">
        <w:rPr>
          <w:rFonts w:ascii="Arial" w:hAnsi="Arial" w:cs="Arial"/>
          <w:color w:val="000000" w:themeColor="text1"/>
          <w:sz w:val="20"/>
          <w:szCs w:val="20"/>
        </w:rPr>
        <w:t xml:space="preserve">having breached General Principles 1 (honesty and fairness) and 7 (compliance) of the </w:t>
      </w:r>
      <w:r w:rsidR="0086518C">
        <w:rPr>
          <w:rFonts w:ascii="Arial" w:hAnsi="Arial" w:cs="Arial"/>
          <w:color w:val="000000" w:themeColor="text1"/>
          <w:sz w:val="20"/>
          <w:szCs w:val="20"/>
        </w:rPr>
        <w:t xml:space="preserve">SFC </w:t>
      </w:r>
      <w:r w:rsidR="00DE7362" w:rsidRPr="006E5EE6">
        <w:rPr>
          <w:rFonts w:ascii="Arial" w:hAnsi="Arial" w:cs="Arial"/>
          <w:color w:val="000000" w:themeColor="text1"/>
          <w:sz w:val="20"/>
          <w:szCs w:val="20"/>
        </w:rPr>
        <w:t xml:space="preserve">Code of Conduct. </w:t>
      </w:r>
      <w:r w:rsidR="008455BB">
        <w:rPr>
          <w:rFonts w:ascii="Arial" w:hAnsi="Arial" w:cs="Arial"/>
          <w:color w:val="000000" w:themeColor="text1"/>
          <w:sz w:val="20"/>
          <w:szCs w:val="20"/>
        </w:rPr>
        <w:t xml:space="preserve">In the SFC proceedings, </w:t>
      </w:r>
      <w:r w:rsidR="004F2559" w:rsidRPr="006E5EE6">
        <w:rPr>
          <w:rFonts w:ascii="Arial" w:hAnsi="Arial" w:cs="Arial"/>
          <w:color w:val="000000" w:themeColor="text1"/>
          <w:sz w:val="20"/>
          <w:szCs w:val="20"/>
        </w:rPr>
        <w:t xml:space="preserve">Aarons denied </w:t>
      </w:r>
      <w:r w:rsidR="008455BB">
        <w:rPr>
          <w:rFonts w:ascii="Arial" w:hAnsi="Arial" w:cs="Arial"/>
          <w:color w:val="000000" w:themeColor="text1"/>
          <w:sz w:val="20"/>
          <w:szCs w:val="20"/>
        </w:rPr>
        <w:t xml:space="preserve">that his dealings in </w:t>
      </w:r>
      <w:r w:rsidR="002F6123">
        <w:rPr>
          <w:rFonts w:ascii="Arial" w:hAnsi="Arial" w:cs="Arial"/>
          <w:color w:val="000000" w:themeColor="text1"/>
          <w:sz w:val="20"/>
          <w:szCs w:val="20"/>
        </w:rPr>
        <w:t xml:space="preserve">Hyundai shares breached the SFC Code of Conduct </w:t>
      </w:r>
      <w:r w:rsidR="004F2559" w:rsidRPr="006E5EE6">
        <w:rPr>
          <w:rFonts w:ascii="Arial" w:hAnsi="Arial" w:cs="Arial"/>
          <w:color w:val="000000" w:themeColor="text1"/>
          <w:sz w:val="20"/>
          <w:szCs w:val="20"/>
        </w:rPr>
        <w:t xml:space="preserve">and appealed to </w:t>
      </w:r>
      <w:r w:rsidR="002F6123">
        <w:rPr>
          <w:rFonts w:ascii="Arial" w:hAnsi="Arial" w:cs="Arial"/>
          <w:color w:val="000000" w:themeColor="text1"/>
          <w:sz w:val="20"/>
          <w:szCs w:val="20"/>
        </w:rPr>
        <w:t xml:space="preserve">the </w:t>
      </w:r>
      <w:r w:rsidR="004F2559" w:rsidRPr="006E5EE6">
        <w:rPr>
          <w:rFonts w:ascii="Arial" w:hAnsi="Arial" w:cs="Arial"/>
          <w:color w:val="000000" w:themeColor="text1"/>
          <w:sz w:val="20"/>
          <w:szCs w:val="20"/>
        </w:rPr>
        <w:t>SFAT</w:t>
      </w:r>
      <w:r w:rsidR="001532CD" w:rsidRPr="006E5EE6">
        <w:rPr>
          <w:rFonts w:ascii="Arial" w:hAnsi="Arial" w:cs="Arial"/>
          <w:color w:val="000000" w:themeColor="text1"/>
          <w:sz w:val="20"/>
          <w:szCs w:val="20"/>
        </w:rPr>
        <w:t xml:space="preserve">. </w:t>
      </w:r>
      <w:r w:rsidR="002F6123">
        <w:rPr>
          <w:rFonts w:ascii="Arial" w:hAnsi="Arial" w:cs="Arial"/>
          <w:color w:val="000000" w:themeColor="text1"/>
          <w:sz w:val="20"/>
          <w:szCs w:val="20"/>
        </w:rPr>
        <w:t xml:space="preserve">The </w:t>
      </w:r>
      <w:r w:rsidR="00F031F7" w:rsidRPr="006E5EE6">
        <w:rPr>
          <w:rFonts w:ascii="Arial" w:hAnsi="Arial" w:cs="Arial"/>
          <w:color w:val="000000" w:themeColor="text1"/>
          <w:sz w:val="20"/>
          <w:szCs w:val="20"/>
        </w:rPr>
        <w:t>SFAT upheld the SFC’s de</w:t>
      </w:r>
      <w:r w:rsidR="002F6123">
        <w:rPr>
          <w:rFonts w:ascii="Arial" w:hAnsi="Arial" w:cs="Arial"/>
          <w:color w:val="000000" w:themeColor="text1"/>
          <w:sz w:val="20"/>
          <w:szCs w:val="20"/>
        </w:rPr>
        <w:t>cision to suspend Aarons’ licenc</w:t>
      </w:r>
      <w:r w:rsidR="00F031F7" w:rsidRPr="006E5EE6">
        <w:rPr>
          <w:rFonts w:ascii="Arial" w:hAnsi="Arial" w:cs="Arial"/>
          <w:color w:val="000000" w:themeColor="text1"/>
          <w:sz w:val="20"/>
          <w:szCs w:val="20"/>
        </w:rPr>
        <w:t>e to act as a representati</w:t>
      </w:r>
      <w:r w:rsidR="002F6123">
        <w:rPr>
          <w:rFonts w:ascii="Arial" w:hAnsi="Arial" w:cs="Arial"/>
          <w:color w:val="000000" w:themeColor="text1"/>
          <w:sz w:val="20"/>
          <w:szCs w:val="20"/>
        </w:rPr>
        <w:t>ve and his approval to act as a</w:t>
      </w:r>
      <w:r w:rsidR="00F031F7" w:rsidRPr="006E5EE6">
        <w:rPr>
          <w:rFonts w:ascii="Arial" w:hAnsi="Arial" w:cs="Arial"/>
          <w:color w:val="000000" w:themeColor="text1"/>
          <w:sz w:val="20"/>
          <w:szCs w:val="20"/>
        </w:rPr>
        <w:t xml:space="preserve"> R</w:t>
      </w:r>
      <w:r w:rsidR="002F6123">
        <w:rPr>
          <w:rFonts w:ascii="Arial" w:hAnsi="Arial" w:cs="Arial"/>
          <w:color w:val="000000" w:themeColor="text1"/>
          <w:sz w:val="20"/>
          <w:szCs w:val="20"/>
        </w:rPr>
        <w:t xml:space="preserve">esponsible </w:t>
      </w:r>
      <w:r w:rsidR="00F031F7" w:rsidRPr="006E5EE6">
        <w:rPr>
          <w:rFonts w:ascii="Arial" w:hAnsi="Arial" w:cs="Arial"/>
          <w:color w:val="000000" w:themeColor="text1"/>
          <w:sz w:val="20"/>
          <w:szCs w:val="20"/>
        </w:rPr>
        <w:t>O</w:t>
      </w:r>
      <w:r w:rsidR="002F6123">
        <w:rPr>
          <w:rFonts w:ascii="Arial" w:hAnsi="Arial" w:cs="Arial"/>
          <w:color w:val="000000" w:themeColor="text1"/>
          <w:sz w:val="20"/>
          <w:szCs w:val="20"/>
        </w:rPr>
        <w:t>fficer</w:t>
      </w:r>
      <w:r w:rsidR="00F031F7" w:rsidRPr="006E5EE6">
        <w:rPr>
          <w:rFonts w:ascii="Arial" w:hAnsi="Arial" w:cs="Arial"/>
          <w:color w:val="000000" w:themeColor="text1"/>
          <w:sz w:val="20"/>
          <w:szCs w:val="20"/>
        </w:rPr>
        <w:t>, but varied the period of the suspension from three years to two years.</w:t>
      </w:r>
      <w:r w:rsidR="0036756A" w:rsidRPr="006E5EE6">
        <w:rPr>
          <w:rFonts w:ascii="Arial" w:hAnsi="Arial" w:cs="Arial"/>
          <w:color w:val="000000" w:themeColor="text1"/>
          <w:sz w:val="20"/>
          <w:szCs w:val="20"/>
        </w:rPr>
        <w:t xml:space="preserve"> </w:t>
      </w:r>
    </w:p>
    <w:p w:rsidR="0053014E" w:rsidRPr="006E5EE6" w:rsidRDefault="0053014E" w:rsidP="0053014E">
      <w:pPr>
        <w:jc w:val="both"/>
        <w:rPr>
          <w:rFonts w:ascii="Arial" w:hAnsi="Arial" w:cs="Arial"/>
          <w:b/>
          <w:color w:val="FF0000"/>
          <w:sz w:val="20"/>
          <w:szCs w:val="20"/>
        </w:rPr>
      </w:pPr>
      <w:r w:rsidRPr="006E5EE6">
        <w:rPr>
          <w:rFonts w:ascii="Arial" w:hAnsi="Arial" w:cs="Arial"/>
          <w:b/>
          <w:color w:val="FF0000"/>
          <w:sz w:val="20"/>
          <w:szCs w:val="20"/>
        </w:rPr>
        <w:t>HKMA Fines Cathay United Bank Company, Limited, Hong Kong Branch HK$11 Million</w:t>
      </w:r>
    </w:p>
    <w:p w:rsidR="00FF1246" w:rsidRPr="006E5EE6" w:rsidRDefault="0053014E"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On 23 September 2022, the HKMA announced that it had completed an investigation and </w:t>
      </w:r>
      <w:r w:rsidR="00AB334C" w:rsidRPr="006E5EE6">
        <w:rPr>
          <w:rFonts w:ascii="Arial" w:hAnsi="Arial" w:cs="Arial"/>
          <w:color w:val="000000" w:themeColor="text1"/>
          <w:sz w:val="20"/>
          <w:szCs w:val="20"/>
        </w:rPr>
        <w:t>taken disciplinary action against Cathay United Bank Company, Limited, Hong Kong Branch (</w:t>
      </w:r>
      <w:r w:rsidR="00AB334C" w:rsidRPr="006E5EE6">
        <w:rPr>
          <w:rFonts w:ascii="Arial" w:hAnsi="Arial" w:cs="Arial"/>
          <w:b/>
          <w:color w:val="000000" w:themeColor="text1"/>
          <w:sz w:val="20"/>
          <w:szCs w:val="20"/>
        </w:rPr>
        <w:t>CUBC</w:t>
      </w:r>
      <w:r w:rsidR="00AB334C" w:rsidRPr="006E5EE6">
        <w:rPr>
          <w:rFonts w:ascii="Arial" w:hAnsi="Arial" w:cs="Arial"/>
          <w:color w:val="000000" w:themeColor="text1"/>
          <w:sz w:val="20"/>
          <w:szCs w:val="20"/>
        </w:rPr>
        <w:t xml:space="preserve">), </w:t>
      </w:r>
      <w:r w:rsidR="00E42302">
        <w:rPr>
          <w:rFonts w:ascii="Arial" w:hAnsi="Arial" w:cs="Arial"/>
          <w:color w:val="000000" w:themeColor="text1"/>
          <w:sz w:val="20"/>
          <w:szCs w:val="20"/>
        </w:rPr>
        <w:t xml:space="preserve">fining it </w:t>
      </w:r>
      <w:r w:rsidR="005563C8" w:rsidRPr="006E5EE6">
        <w:rPr>
          <w:rFonts w:ascii="Arial" w:hAnsi="Arial" w:cs="Arial"/>
          <w:color w:val="000000" w:themeColor="text1"/>
          <w:sz w:val="20"/>
          <w:szCs w:val="20"/>
        </w:rPr>
        <w:t xml:space="preserve">HK$11 million for </w:t>
      </w:r>
      <w:r w:rsidR="00B8777B" w:rsidRPr="006E5EE6">
        <w:rPr>
          <w:rFonts w:ascii="Arial" w:hAnsi="Arial" w:cs="Arial"/>
          <w:color w:val="000000" w:themeColor="text1"/>
          <w:sz w:val="20"/>
          <w:szCs w:val="20"/>
        </w:rPr>
        <w:t>deficiencies in on-going customer due diligence and e</w:t>
      </w:r>
      <w:r w:rsidR="006E1373" w:rsidRPr="006E5EE6">
        <w:rPr>
          <w:rFonts w:ascii="Arial" w:hAnsi="Arial" w:cs="Arial"/>
          <w:color w:val="000000" w:themeColor="text1"/>
          <w:sz w:val="20"/>
          <w:szCs w:val="20"/>
        </w:rPr>
        <w:t>nhanced customer due diligence during high risk situations between April 2012 and February 2016</w:t>
      </w:r>
      <w:r w:rsidR="00EB5B4E" w:rsidRPr="006E5EE6">
        <w:rPr>
          <w:rFonts w:ascii="Arial" w:hAnsi="Arial" w:cs="Arial"/>
          <w:color w:val="000000" w:themeColor="text1"/>
          <w:sz w:val="20"/>
          <w:szCs w:val="20"/>
        </w:rPr>
        <w:t xml:space="preserve"> (</w:t>
      </w:r>
      <w:r w:rsidR="00EB5B4E" w:rsidRPr="006E5EE6">
        <w:rPr>
          <w:rFonts w:ascii="Arial" w:hAnsi="Arial" w:cs="Arial"/>
          <w:b/>
          <w:color w:val="000000" w:themeColor="text1"/>
          <w:sz w:val="20"/>
          <w:szCs w:val="20"/>
        </w:rPr>
        <w:t>Relevant Period</w:t>
      </w:r>
      <w:r w:rsidR="00EB5B4E" w:rsidRPr="006E5EE6">
        <w:rPr>
          <w:rFonts w:ascii="Arial" w:hAnsi="Arial" w:cs="Arial"/>
          <w:color w:val="000000" w:themeColor="text1"/>
          <w:sz w:val="20"/>
          <w:szCs w:val="20"/>
        </w:rPr>
        <w:t>)</w:t>
      </w:r>
      <w:r w:rsidR="006E1373" w:rsidRPr="006E5EE6">
        <w:rPr>
          <w:rFonts w:ascii="Arial" w:hAnsi="Arial" w:cs="Arial"/>
          <w:color w:val="000000" w:themeColor="text1"/>
          <w:sz w:val="20"/>
          <w:szCs w:val="20"/>
        </w:rPr>
        <w:t xml:space="preserve">. </w:t>
      </w:r>
      <w:r w:rsidR="00C47EBA" w:rsidRPr="006E5EE6">
        <w:rPr>
          <w:rFonts w:ascii="Arial" w:hAnsi="Arial" w:cs="Arial"/>
          <w:color w:val="000000" w:themeColor="text1"/>
          <w:sz w:val="20"/>
          <w:szCs w:val="20"/>
        </w:rPr>
        <w:t>The Statement of Disciplinary Action can be found on the HKMA website</w:t>
      </w:r>
      <w:r w:rsidR="00FF1246" w:rsidRPr="006E5EE6">
        <w:rPr>
          <w:rFonts w:ascii="Arial" w:hAnsi="Arial" w:cs="Arial"/>
          <w:sz w:val="20"/>
          <w:szCs w:val="20"/>
        </w:rPr>
        <w:t xml:space="preserve"> </w:t>
      </w:r>
      <w:hyperlink r:id="rId15" w:history="1">
        <w:r w:rsidR="00FF1246" w:rsidRPr="006E5EE6">
          <w:rPr>
            <w:rStyle w:val="a4"/>
            <w:rFonts w:ascii="Arial" w:hAnsi="Arial" w:cs="Arial"/>
            <w:sz w:val="20"/>
            <w:szCs w:val="20"/>
          </w:rPr>
          <w:t>here</w:t>
        </w:r>
      </w:hyperlink>
      <w:r w:rsidR="00FF1246" w:rsidRPr="006E5EE6">
        <w:rPr>
          <w:rFonts w:ascii="Arial" w:hAnsi="Arial" w:cs="Arial"/>
          <w:sz w:val="20"/>
          <w:szCs w:val="20"/>
        </w:rPr>
        <w:t>.</w:t>
      </w:r>
    </w:p>
    <w:p w:rsidR="00997B86" w:rsidRPr="006E5EE6" w:rsidRDefault="001E5A1E" w:rsidP="0030561C">
      <w:pPr>
        <w:jc w:val="both"/>
        <w:rPr>
          <w:rFonts w:ascii="Arial" w:hAnsi="Arial" w:cs="Arial"/>
          <w:b/>
          <w:color w:val="000000" w:themeColor="text1"/>
          <w:sz w:val="20"/>
          <w:szCs w:val="20"/>
        </w:rPr>
      </w:pPr>
      <w:r w:rsidRPr="006E5EE6">
        <w:rPr>
          <w:rFonts w:ascii="Arial" w:hAnsi="Arial" w:cs="Arial"/>
          <w:b/>
          <w:color w:val="000000" w:themeColor="text1"/>
          <w:sz w:val="20"/>
          <w:szCs w:val="20"/>
        </w:rPr>
        <w:t>Contraventions of the Anti-</w:t>
      </w:r>
      <w:r w:rsidR="001038C5" w:rsidRPr="006E5EE6">
        <w:rPr>
          <w:rFonts w:ascii="Arial" w:hAnsi="Arial" w:cs="Arial"/>
          <w:b/>
          <w:color w:val="000000" w:themeColor="text1"/>
          <w:sz w:val="20"/>
          <w:szCs w:val="20"/>
        </w:rPr>
        <w:t xml:space="preserve">Money </w:t>
      </w:r>
      <w:r w:rsidRPr="006E5EE6">
        <w:rPr>
          <w:rFonts w:ascii="Arial" w:hAnsi="Arial" w:cs="Arial"/>
          <w:b/>
          <w:color w:val="000000" w:themeColor="text1"/>
          <w:sz w:val="20"/>
          <w:szCs w:val="20"/>
        </w:rPr>
        <w:t xml:space="preserve">Laundering </w:t>
      </w:r>
      <w:r w:rsidR="00B9148C" w:rsidRPr="006E5EE6">
        <w:rPr>
          <w:rFonts w:ascii="Arial" w:hAnsi="Arial" w:cs="Arial"/>
          <w:b/>
          <w:color w:val="000000" w:themeColor="text1"/>
          <w:sz w:val="20"/>
          <w:szCs w:val="20"/>
        </w:rPr>
        <w:t xml:space="preserve">and Counter-Terrorist Financing Ordinance </w:t>
      </w:r>
    </w:p>
    <w:p w:rsidR="006C459D" w:rsidRPr="006C459D" w:rsidRDefault="006C459D" w:rsidP="0030561C">
      <w:pPr>
        <w:jc w:val="both"/>
        <w:rPr>
          <w:rFonts w:ascii="Arial" w:hAnsi="Arial" w:cs="Arial"/>
          <w:b/>
          <w:i/>
          <w:color w:val="000000" w:themeColor="text1"/>
          <w:sz w:val="20"/>
          <w:szCs w:val="20"/>
        </w:rPr>
      </w:pPr>
      <w:r>
        <w:rPr>
          <w:rFonts w:ascii="Arial" w:hAnsi="Arial" w:cs="Arial"/>
          <w:b/>
          <w:i/>
          <w:color w:val="000000" w:themeColor="text1"/>
          <w:sz w:val="20"/>
          <w:szCs w:val="20"/>
        </w:rPr>
        <w:t>Failure to conduct on-going customer due diligence</w:t>
      </w:r>
    </w:p>
    <w:p w:rsidR="001635D9" w:rsidRDefault="008B4F36"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The HKMA determined that CUBC failed to conduct periodic reviews on 249 customers </w:t>
      </w:r>
      <w:r w:rsidR="00625C38" w:rsidRPr="006E5EE6">
        <w:rPr>
          <w:rFonts w:ascii="Arial" w:hAnsi="Arial" w:cs="Arial"/>
          <w:color w:val="000000" w:themeColor="text1"/>
          <w:sz w:val="20"/>
          <w:szCs w:val="20"/>
        </w:rPr>
        <w:t xml:space="preserve">to ensure that </w:t>
      </w:r>
      <w:r w:rsidR="00B778EE">
        <w:rPr>
          <w:rFonts w:ascii="Arial" w:hAnsi="Arial" w:cs="Arial"/>
          <w:color w:val="000000" w:themeColor="text1"/>
          <w:sz w:val="20"/>
          <w:szCs w:val="20"/>
        </w:rPr>
        <w:t xml:space="preserve">its </w:t>
      </w:r>
      <w:r w:rsidR="00625C38" w:rsidRPr="006E5EE6">
        <w:rPr>
          <w:rFonts w:ascii="Arial" w:hAnsi="Arial" w:cs="Arial"/>
          <w:color w:val="000000" w:themeColor="text1"/>
          <w:sz w:val="20"/>
          <w:szCs w:val="20"/>
        </w:rPr>
        <w:t xml:space="preserve">customer due diligence </w:t>
      </w:r>
      <w:r w:rsidR="00B778EE">
        <w:rPr>
          <w:rFonts w:ascii="Arial" w:hAnsi="Arial" w:cs="Arial"/>
          <w:color w:val="000000" w:themeColor="text1"/>
          <w:sz w:val="20"/>
          <w:szCs w:val="20"/>
        </w:rPr>
        <w:t xml:space="preserve">information </w:t>
      </w:r>
      <w:r w:rsidR="00625C38" w:rsidRPr="006E5EE6">
        <w:rPr>
          <w:rFonts w:ascii="Arial" w:hAnsi="Arial" w:cs="Arial"/>
          <w:color w:val="000000" w:themeColor="text1"/>
          <w:sz w:val="20"/>
          <w:szCs w:val="20"/>
        </w:rPr>
        <w:t>remained up-to-date and relevant</w:t>
      </w:r>
      <w:r w:rsidR="00B778EE">
        <w:rPr>
          <w:rFonts w:ascii="Arial" w:hAnsi="Arial" w:cs="Arial"/>
          <w:color w:val="000000" w:themeColor="text1"/>
          <w:sz w:val="20"/>
          <w:szCs w:val="20"/>
        </w:rPr>
        <w:t xml:space="preserve"> given that:</w:t>
      </w:r>
      <w:r w:rsidR="00625C38" w:rsidRPr="006E5EE6">
        <w:rPr>
          <w:rFonts w:ascii="Arial" w:hAnsi="Arial" w:cs="Arial"/>
          <w:color w:val="000000" w:themeColor="text1"/>
          <w:sz w:val="20"/>
          <w:szCs w:val="20"/>
        </w:rPr>
        <w:t xml:space="preserve"> (i) </w:t>
      </w:r>
      <w:r w:rsidR="00B778EE">
        <w:rPr>
          <w:rFonts w:ascii="Arial" w:hAnsi="Arial" w:cs="Arial"/>
          <w:color w:val="000000" w:themeColor="text1"/>
          <w:sz w:val="20"/>
          <w:szCs w:val="20"/>
        </w:rPr>
        <w:t xml:space="preserve">its </w:t>
      </w:r>
      <w:r w:rsidR="00625C38" w:rsidRPr="006E5EE6">
        <w:rPr>
          <w:rFonts w:ascii="Arial" w:hAnsi="Arial" w:cs="Arial"/>
          <w:color w:val="000000" w:themeColor="text1"/>
          <w:sz w:val="20"/>
          <w:szCs w:val="20"/>
        </w:rPr>
        <w:t xml:space="preserve">periodic reviews upon trigger events in respect of 246 customers </w:t>
      </w:r>
      <w:r w:rsidR="004E6197">
        <w:rPr>
          <w:rFonts w:ascii="Arial" w:hAnsi="Arial" w:cs="Arial"/>
          <w:color w:val="000000" w:themeColor="text1"/>
          <w:sz w:val="20"/>
          <w:szCs w:val="20"/>
        </w:rPr>
        <w:t xml:space="preserve">were </w:t>
      </w:r>
      <w:r w:rsidR="00625C38" w:rsidRPr="006E5EE6">
        <w:rPr>
          <w:rFonts w:ascii="Arial" w:hAnsi="Arial" w:cs="Arial"/>
          <w:color w:val="000000" w:themeColor="text1"/>
          <w:sz w:val="20"/>
          <w:szCs w:val="20"/>
        </w:rPr>
        <w:t xml:space="preserve">conducted by phone verification </w:t>
      </w:r>
      <w:r w:rsidR="00B778EE">
        <w:rPr>
          <w:rFonts w:ascii="Arial" w:hAnsi="Arial" w:cs="Arial"/>
          <w:color w:val="000000" w:themeColor="text1"/>
          <w:sz w:val="20"/>
          <w:szCs w:val="20"/>
        </w:rPr>
        <w:t xml:space="preserve">of a </w:t>
      </w:r>
      <w:r w:rsidR="00625C38" w:rsidRPr="006E5EE6">
        <w:rPr>
          <w:rFonts w:ascii="Arial" w:hAnsi="Arial" w:cs="Arial"/>
          <w:color w:val="000000" w:themeColor="text1"/>
          <w:sz w:val="20"/>
          <w:szCs w:val="20"/>
        </w:rPr>
        <w:t>very limited scope of information; and (ii) no annual periodic review was conducted in respec</w:t>
      </w:r>
      <w:r w:rsidR="0009672B" w:rsidRPr="006E5EE6">
        <w:rPr>
          <w:rFonts w:ascii="Arial" w:hAnsi="Arial" w:cs="Arial"/>
          <w:color w:val="000000" w:themeColor="text1"/>
          <w:sz w:val="20"/>
          <w:szCs w:val="20"/>
        </w:rPr>
        <w:t xml:space="preserve">t of three high risk customers. </w:t>
      </w:r>
      <w:r w:rsidR="001635D9" w:rsidRPr="006E5EE6">
        <w:rPr>
          <w:rFonts w:ascii="Arial" w:hAnsi="Arial" w:cs="Arial"/>
          <w:color w:val="000000" w:themeColor="text1"/>
          <w:sz w:val="20"/>
          <w:szCs w:val="20"/>
        </w:rPr>
        <w:t xml:space="preserve">CUBC also failed to take additional measures </w:t>
      </w:r>
      <w:r w:rsidR="00281B9F" w:rsidRPr="006E5EE6">
        <w:rPr>
          <w:rFonts w:ascii="Arial" w:hAnsi="Arial" w:cs="Arial"/>
          <w:color w:val="000000" w:themeColor="text1"/>
          <w:sz w:val="20"/>
          <w:szCs w:val="20"/>
        </w:rPr>
        <w:t xml:space="preserve">to compensate for the money laundering or terrorist financing risks caused by 17 high risk customers. </w:t>
      </w:r>
    </w:p>
    <w:p w:rsidR="006C459D" w:rsidRPr="006C459D" w:rsidRDefault="006C459D" w:rsidP="0030561C">
      <w:pPr>
        <w:jc w:val="both"/>
        <w:rPr>
          <w:rFonts w:ascii="Arial" w:hAnsi="Arial" w:cs="Arial"/>
          <w:b/>
          <w:i/>
          <w:color w:val="000000" w:themeColor="text1"/>
          <w:sz w:val="20"/>
          <w:szCs w:val="20"/>
        </w:rPr>
      </w:pPr>
      <w:r>
        <w:rPr>
          <w:rFonts w:ascii="Arial" w:hAnsi="Arial" w:cs="Arial"/>
          <w:b/>
          <w:i/>
          <w:color w:val="000000" w:themeColor="text1"/>
          <w:sz w:val="20"/>
          <w:szCs w:val="20"/>
        </w:rPr>
        <w:t>Failure to conduct enhanced due diligence in high risk situations</w:t>
      </w:r>
    </w:p>
    <w:p w:rsidR="0009672B" w:rsidRPr="006E5EE6" w:rsidRDefault="00A35D04"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Regarding enhanced customer due diligence, </w:t>
      </w:r>
      <w:r w:rsidR="009E36C3" w:rsidRPr="006E5EE6">
        <w:rPr>
          <w:rFonts w:ascii="Arial" w:hAnsi="Arial" w:cs="Arial"/>
          <w:color w:val="000000" w:themeColor="text1"/>
          <w:sz w:val="20"/>
          <w:szCs w:val="20"/>
        </w:rPr>
        <w:t xml:space="preserve">CUBC failed to take measures regarding the 17 high risk customers. It failed to obtain senior management approval to continue the business relationships and/or to take reasonable measures to establish the source of wealth and source of funds of the </w:t>
      </w:r>
      <w:r w:rsidR="009972ED" w:rsidRPr="006E5EE6">
        <w:rPr>
          <w:rFonts w:ascii="Arial" w:hAnsi="Arial" w:cs="Arial"/>
          <w:color w:val="000000" w:themeColor="text1"/>
          <w:sz w:val="20"/>
          <w:szCs w:val="20"/>
        </w:rPr>
        <w:t xml:space="preserve">customers or take additional measures to mitigate the </w:t>
      </w:r>
      <w:r w:rsidR="00894295" w:rsidRPr="006E5EE6">
        <w:rPr>
          <w:rFonts w:ascii="Arial" w:hAnsi="Arial" w:cs="Arial"/>
          <w:color w:val="000000" w:themeColor="text1"/>
          <w:sz w:val="20"/>
          <w:szCs w:val="20"/>
        </w:rPr>
        <w:t xml:space="preserve">money laundering or terrorist financing risks involved. </w:t>
      </w:r>
    </w:p>
    <w:p w:rsidR="00EB5B4E" w:rsidRDefault="006C459D" w:rsidP="005E2C7A">
      <w:pPr>
        <w:jc w:val="both"/>
        <w:rPr>
          <w:rFonts w:ascii="Arial" w:hAnsi="Arial" w:cs="Arial"/>
          <w:color w:val="000000" w:themeColor="text1"/>
          <w:sz w:val="20"/>
          <w:szCs w:val="20"/>
        </w:rPr>
      </w:pPr>
      <w:r>
        <w:rPr>
          <w:rFonts w:ascii="Arial" w:hAnsi="Arial" w:cs="Arial"/>
          <w:color w:val="000000" w:themeColor="text1"/>
          <w:sz w:val="20"/>
          <w:szCs w:val="20"/>
        </w:rPr>
        <w:t>As a result</w:t>
      </w:r>
      <w:r w:rsidR="003603DD" w:rsidRPr="006E5EE6">
        <w:rPr>
          <w:rFonts w:ascii="Arial" w:hAnsi="Arial" w:cs="Arial"/>
          <w:color w:val="000000" w:themeColor="text1"/>
          <w:sz w:val="20"/>
          <w:szCs w:val="20"/>
        </w:rPr>
        <w:t xml:space="preserve">, CUBC </w:t>
      </w:r>
      <w:r>
        <w:rPr>
          <w:rFonts w:ascii="Arial" w:hAnsi="Arial" w:cs="Arial"/>
          <w:color w:val="000000" w:themeColor="text1"/>
          <w:sz w:val="20"/>
          <w:szCs w:val="20"/>
        </w:rPr>
        <w:t xml:space="preserve">was found to have </w:t>
      </w:r>
      <w:r w:rsidR="003603DD" w:rsidRPr="006E5EE6">
        <w:rPr>
          <w:rFonts w:ascii="Arial" w:hAnsi="Arial" w:cs="Arial"/>
          <w:color w:val="000000" w:themeColor="text1"/>
          <w:sz w:val="20"/>
          <w:szCs w:val="20"/>
        </w:rPr>
        <w:t>breached s</w:t>
      </w:r>
      <w:r w:rsidR="00FA75A8" w:rsidRPr="006E5EE6">
        <w:rPr>
          <w:rFonts w:ascii="Arial" w:hAnsi="Arial" w:cs="Arial"/>
          <w:color w:val="000000" w:themeColor="text1"/>
          <w:sz w:val="20"/>
          <w:szCs w:val="20"/>
        </w:rPr>
        <w:t>ection</w:t>
      </w:r>
      <w:r w:rsidR="004E6197">
        <w:rPr>
          <w:rFonts w:ascii="Arial" w:hAnsi="Arial" w:cs="Arial"/>
          <w:color w:val="000000" w:themeColor="text1"/>
          <w:sz w:val="20"/>
          <w:szCs w:val="20"/>
        </w:rPr>
        <w:t>s</w:t>
      </w:r>
      <w:r w:rsidR="00FA75A8" w:rsidRPr="006E5EE6">
        <w:rPr>
          <w:rFonts w:ascii="Arial" w:hAnsi="Arial" w:cs="Arial"/>
          <w:color w:val="000000" w:themeColor="text1"/>
          <w:sz w:val="20"/>
          <w:szCs w:val="20"/>
        </w:rPr>
        <w:t xml:space="preserve"> 5(1)(a)</w:t>
      </w:r>
      <w:r w:rsidR="004E6197">
        <w:rPr>
          <w:rFonts w:ascii="Arial" w:hAnsi="Arial" w:cs="Arial"/>
          <w:color w:val="000000" w:themeColor="text1"/>
          <w:sz w:val="20"/>
          <w:szCs w:val="20"/>
        </w:rPr>
        <w:t>,</w:t>
      </w:r>
      <w:r w:rsidR="00FA75A8" w:rsidRPr="006E5EE6">
        <w:rPr>
          <w:rFonts w:ascii="Arial" w:hAnsi="Arial" w:cs="Arial"/>
          <w:color w:val="000000" w:themeColor="text1"/>
          <w:sz w:val="20"/>
          <w:szCs w:val="20"/>
        </w:rPr>
        <w:t xml:space="preserve"> 5(3)(c) </w:t>
      </w:r>
      <w:r w:rsidR="004E6197">
        <w:rPr>
          <w:rFonts w:ascii="Arial" w:hAnsi="Arial" w:cs="Arial"/>
          <w:color w:val="000000" w:themeColor="text1"/>
          <w:sz w:val="20"/>
          <w:szCs w:val="20"/>
        </w:rPr>
        <w:t xml:space="preserve">and </w:t>
      </w:r>
      <w:r w:rsidR="004E6197" w:rsidRPr="006E5EE6">
        <w:rPr>
          <w:rFonts w:ascii="Arial" w:hAnsi="Arial" w:cs="Arial"/>
          <w:color w:val="000000" w:themeColor="text1"/>
          <w:sz w:val="20"/>
          <w:szCs w:val="20"/>
        </w:rPr>
        <w:t xml:space="preserve">15(b) </w:t>
      </w:r>
      <w:r w:rsidR="00FA75A8" w:rsidRPr="006E5EE6">
        <w:rPr>
          <w:rFonts w:ascii="Arial" w:hAnsi="Arial" w:cs="Arial"/>
          <w:color w:val="000000" w:themeColor="text1"/>
          <w:sz w:val="20"/>
          <w:szCs w:val="20"/>
        </w:rPr>
        <w:t>of Schedule 2</w:t>
      </w:r>
      <w:r w:rsidR="004E6197">
        <w:rPr>
          <w:rFonts w:ascii="Arial" w:hAnsi="Arial" w:cs="Arial"/>
          <w:color w:val="000000" w:themeColor="text1"/>
          <w:sz w:val="20"/>
          <w:szCs w:val="20"/>
        </w:rPr>
        <w:t xml:space="preserve"> to</w:t>
      </w:r>
      <w:r w:rsidR="005E2C7A" w:rsidRPr="006E5EE6">
        <w:rPr>
          <w:rFonts w:ascii="Arial" w:hAnsi="Arial" w:cs="Arial"/>
          <w:color w:val="000000" w:themeColor="text1"/>
          <w:sz w:val="20"/>
          <w:szCs w:val="20"/>
        </w:rPr>
        <w:t xml:space="preserve"> the Anti-Money Laundering and Counter-Terrorist Financing Ordinance (</w:t>
      </w:r>
      <w:r w:rsidR="005E2C7A" w:rsidRPr="006E5EE6">
        <w:rPr>
          <w:rFonts w:ascii="Arial" w:hAnsi="Arial" w:cs="Arial"/>
          <w:b/>
          <w:color w:val="000000" w:themeColor="text1"/>
          <w:sz w:val="20"/>
          <w:szCs w:val="20"/>
        </w:rPr>
        <w:t>AMLO</w:t>
      </w:r>
      <w:r w:rsidR="005E2C7A" w:rsidRPr="006E5EE6">
        <w:rPr>
          <w:rFonts w:ascii="Arial" w:hAnsi="Arial" w:cs="Arial"/>
          <w:color w:val="000000" w:themeColor="text1"/>
          <w:sz w:val="20"/>
          <w:szCs w:val="20"/>
        </w:rPr>
        <w:t>)</w:t>
      </w:r>
      <w:r w:rsidR="00EB5B4E" w:rsidRPr="006E5EE6">
        <w:rPr>
          <w:rFonts w:ascii="Arial" w:hAnsi="Arial" w:cs="Arial"/>
          <w:color w:val="000000" w:themeColor="text1"/>
          <w:sz w:val="20"/>
          <w:szCs w:val="20"/>
        </w:rPr>
        <w:t>.</w:t>
      </w:r>
    </w:p>
    <w:p w:rsidR="006C459D" w:rsidRPr="006C459D" w:rsidRDefault="006C459D" w:rsidP="005E2C7A">
      <w:pPr>
        <w:jc w:val="both"/>
        <w:rPr>
          <w:rFonts w:ascii="Arial" w:hAnsi="Arial" w:cs="Arial"/>
          <w:b/>
          <w:i/>
          <w:color w:val="000000" w:themeColor="text1"/>
          <w:sz w:val="20"/>
          <w:szCs w:val="20"/>
        </w:rPr>
      </w:pPr>
      <w:r>
        <w:rPr>
          <w:rFonts w:ascii="Arial" w:hAnsi="Arial" w:cs="Arial"/>
          <w:b/>
          <w:i/>
          <w:color w:val="000000" w:themeColor="text1"/>
          <w:sz w:val="20"/>
          <w:szCs w:val="20"/>
        </w:rPr>
        <w:t>Failure to establish and maintain effective procedures</w:t>
      </w:r>
    </w:p>
    <w:p w:rsidR="004E3F47" w:rsidRPr="006E5EE6" w:rsidRDefault="004E3F47" w:rsidP="004E3F47">
      <w:pPr>
        <w:jc w:val="both"/>
        <w:rPr>
          <w:rFonts w:ascii="Arial" w:hAnsi="Arial" w:cs="Arial"/>
          <w:color w:val="000000" w:themeColor="text1"/>
          <w:sz w:val="20"/>
          <w:szCs w:val="20"/>
        </w:rPr>
      </w:pPr>
      <w:r w:rsidRPr="006E5EE6">
        <w:rPr>
          <w:rFonts w:ascii="Arial" w:hAnsi="Arial" w:cs="Arial"/>
          <w:color w:val="000000" w:themeColor="text1"/>
          <w:sz w:val="20"/>
          <w:szCs w:val="20"/>
        </w:rPr>
        <w:t xml:space="preserve">CUBC </w:t>
      </w:r>
      <w:r>
        <w:rPr>
          <w:rFonts w:ascii="Arial" w:hAnsi="Arial" w:cs="Arial"/>
          <w:color w:val="000000" w:themeColor="text1"/>
          <w:sz w:val="20"/>
          <w:szCs w:val="20"/>
        </w:rPr>
        <w:t xml:space="preserve">was found to have </w:t>
      </w:r>
      <w:r w:rsidRPr="006E5EE6">
        <w:rPr>
          <w:rFonts w:ascii="Arial" w:hAnsi="Arial" w:cs="Arial"/>
          <w:color w:val="000000" w:themeColor="text1"/>
          <w:sz w:val="20"/>
          <w:szCs w:val="20"/>
        </w:rPr>
        <w:t xml:space="preserve">contravened section 19(3) of Schedule 2 to the AMLO </w:t>
      </w:r>
      <w:r>
        <w:rPr>
          <w:rFonts w:ascii="Arial" w:hAnsi="Arial" w:cs="Arial"/>
          <w:color w:val="000000" w:themeColor="text1"/>
          <w:sz w:val="20"/>
          <w:szCs w:val="20"/>
        </w:rPr>
        <w:t xml:space="preserve">in </w:t>
      </w:r>
      <w:r w:rsidRPr="006E5EE6">
        <w:rPr>
          <w:rFonts w:ascii="Arial" w:hAnsi="Arial" w:cs="Arial"/>
          <w:color w:val="000000" w:themeColor="text1"/>
          <w:sz w:val="20"/>
          <w:szCs w:val="20"/>
        </w:rPr>
        <w:t>failing to establish and maintain effective procedures</w:t>
      </w:r>
      <w:r>
        <w:rPr>
          <w:rFonts w:ascii="Arial" w:hAnsi="Arial" w:cs="Arial"/>
          <w:color w:val="000000" w:themeColor="text1"/>
          <w:sz w:val="20"/>
          <w:szCs w:val="20"/>
        </w:rPr>
        <w:t xml:space="preserve"> for carrying out its duties under the AMLO in relation to on-going and enhanced</w:t>
      </w:r>
      <w:r w:rsidRPr="006E5EE6">
        <w:rPr>
          <w:rFonts w:ascii="Arial" w:hAnsi="Arial" w:cs="Arial"/>
          <w:color w:val="000000" w:themeColor="text1"/>
          <w:sz w:val="20"/>
          <w:szCs w:val="20"/>
        </w:rPr>
        <w:t xml:space="preserve"> customer due diligence during the Relevant Period. </w:t>
      </w:r>
    </w:p>
    <w:p w:rsidR="00917420" w:rsidRPr="006E5EE6" w:rsidRDefault="00BB62E6" w:rsidP="005E2C7A">
      <w:pPr>
        <w:jc w:val="both"/>
        <w:rPr>
          <w:rFonts w:ascii="Arial" w:hAnsi="Arial" w:cs="Arial"/>
          <w:color w:val="000000" w:themeColor="text1"/>
          <w:sz w:val="20"/>
          <w:szCs w:val="20"/>
        </w:rPr>
      </w:pPr>
      <w:r w:rsidRPr="006E5EE6">
        <w:rPr>
          <w:rFonts w:ascii="Arial" w:hAnsi="Arial" w:cs="Arial"/>
          <w:color w:val="000000" w:themeColor="text1"/>
          <w:sz w:val="20"/>
          <w:szCs w:val="20"/>
        </w:rPr>
        <w:t>CUBC</w:t>
      </w:r>
      <w:r w:rsidR="002B09D4" w:rsidRPr="006E5EE6">
        <w:rPr>
          <w:rFonts w:ascii="Arial" w:hAnsi="Arial" w:cs="Arial"/>
          <w:color w:val="000000" w:themeColor="text1"/>
          <w:sz w:val="20"/>
          <w:szCs w:val="20"/>
        </w:rPr>
        <w:t>’s</w:t>
      </w:r>
      <w:r w:rsidRPr="006E5EE6">
        <w:rPr>
          <w:rFonts w:ascii="Arial" w:hAnsi="Arial" w:cs="Arial"/>
          <w:color w:val="000000" w:themeColor="text1"/>
          <w:sz w:val="20"/>
          <w:szCs w:val="20"/>
        </w:rPr>
        <w:t xml:space="preserve"> customer risk classification framework </w:t>
      </w:r>
      <w:r w:rsidR="004E3F47">
        <w:rPr>
          <w:rFonts w:ascii="Arial" w:hAnsi="Arial" w:cs="Arial"/>
          <w:color w:val="000000" w:themeColor="text1"/>
          <w:sz w:val="20"/>
          <w:szCs w:val="20"/>
        </w:rPr>
        <w:t xml:space="preserve">was found to be </w:t>
      </w:r>
      <w:r w:rsidRPr="006E5EE6">
        <w:rPr>
          <w:rFonts w:ascii="Arial" w:hAnsi="Arial" w:cs="Arial"/>
          <w:color w:val="000000" w:themeColor="text1"/>
          <w:sz w:val="20"/>
          <w:szCs w:val="20"/>
        </w:rPr>
        <w:t>defective by design</w:t>
      </w:r>
      <w:r w:rsidR="002B09D4" w:rsidRPr="006E5EE6">
        <w:rPr>
          <w:rFonts w:ascii="Arial" w:hAnsi="Arial" w:cs="Arial"/>
          <w:color w:val="000000" w:themeColor="text1"/>
          <w:sz w:val="20"/>
          <w:szCs w:val="20"/>
        </w:rPr>
        <w:t>.</w:t>
      </w:r>
      <w:r w:rsidRPr="006E5EE6">
        <w:rPr>
          <w:rFonts w:ascii="Arial" w:hAnsi="Arial" w:cs="Arial"/>
          <w:color w:val="000000" w:themeColor="text1"/>
          <w:sz w:val="20"/>
          <w:szCs w:val="20"/>
        </w:rPr>
        <w:t xml:space="preserve"> </w:t>
      </w:r>
      <w:r w:rsidR="002B09D4" w:rsidRPr="006E5EE6">
        <w:rPr>
          <w:rFonts w:ascii="Arial" w:hAnsi="Arial" w:cs="Arial"/>
          <w:color w:val="000000" w:themeColor="text1"/>
          <w:sz w:val="20"/>
          <w:szCs w:val="20"/>
        </w:rPr>
        <w:t>A</w:t>
      </w:r>
      <w:r w:rsidR="00F75259" w:rsidRPr="006E5EE6">
        <w:rPr>
          <w:rFonts w:ascii="Arial" w:hAnsi="Arial" w:cs="Arial"/>
          <w:color w:val="000000" w:themeColor="text1"/>
          <w:sz w:val="20"/>
          <w:szCs w:val="20"/>
        </w:rPr>
        <w:t xml:space="preserve">ll customers who had business relationships with CUBC before September 2009 were automatically classified as low risk. Furthermore, customers, no matter their risk levels, were only subject to risk re-assessment after April 2015. </w:t>
      </w:r>
      <w:r w:rsidR="00C03F27" w:rsidRPr="006E5EE6">
        <w:rPr>
          <w:rFonts w:ascii="Arial" w:hAnsi="Arial" w:cs="Arial"/>
          <w:color w:val="000000" w:themeColor="text1"/>
          <w:sz w:val="20"/>
          <w:szCs w:val="20"/>
        </w:rPr>
        <w:t xml:space="preserve">Before July 2015, </w:t>
      </w:r>
      <w:r w:rsidR="00917420" w:rsidRPr="006E5EE6">
        <w:rPr>
          <w:rFonts w:ascii="Arial" w:hAnsi="Arial" w:cs="Arial"/>
          <w:color w:val="000000" w:themeColor="text1"/>
          <w:sz w:val="20"/>
          <w:szCs w:val="20"/>
        </w:rPr>
        <w:t>CUBC</w:t>
      </w:r>
      <w:r w:rsidR="004E3F47">
        <w:rPr>
          <w:rFonts w:ascii="Arial" w:hAnsi="Arial" w:cs="Arial"/>
          <w:color w:val="000000" w:themeColor="text1"/>
          <w:sz w:val="20"/>
          <w:szCs w:val="20"/>
        </w:rPr>
        <w:t xml:space="preserve"> </w:t>
      </w:r>
      <w:r w:rsidR="00F75259" w:rsidRPr="006E5EE6">
        <w:rPr>
          <w:rFonts w:ascii="Arial" w:hAnsi="Arial" w:cs="Arial"/>
          <w:color w:val="000000" w:themeColor="text1"/>
          <w:sz w:val="20"/>
          <w:szCs w:val="20"/>
        </w:rPr>
        <w:t>lack</w:t>
      </w:r>
      <w:r w:rsidR="004E3F47">
        <w:rPr>
          <w:rFonts w:ascii="Arial" w:hAnsi="Arial" w:cs="Arial"/>
          <w:color w:val="000000" w:themeColor="text1"/>
          <w:sz w:val="20"/>
          <w:szCs w:val="20"/>
        </w:rPr>
        <w:t>ed clear, sufficient</w:t>
      </w:r>
      <w:r w:rsidR="00F75259" w:rsidRPr="006E5EE6">
        <w:rPr>
          <w:rFonts w:ascii="Arial" w:hAnsi="Arial" w:cs="Arial"/>
          <w:color w:val="000000" w:themeColor="text1"/>
          <w:sz w:val="20"/>
          <w:szCs w:val="20"/>
        </w:rPr>
        <w:t xml:space="preserve"> and detailed policies and procedures on </w:t>
      </w:r>
      <w:r w:rsidR="004E3F47">
        <w:rPr>
          <w:rFonts w:ascii="Arial" w:hAnsi="Arial" w:cs="Arial"/>
          <w:color w:val="000000" w:themeColor="text1"/>
          <w:sz w:val="20"/>
          <w:szCs w:val="20"/>
        </w:rPr>
        <w:t>the conduct of</w:t>
      </w:r>
      <w:r w:rsidR="00F75259" w:rsidRPr="006E5EE6">
        <w:rPr>
          <w:rFonts w:ascii="Arial" w:hAnsi="Arial" w:cs="Arial"/>
          <w:color w:val="000000" w:themeColor="text1"/>
          <w:sz w:val="20"/>
          <w:szCs w:val="20"/>
        </w:rPr>
        <w:t xml:space="preserve"> p</w:t>
      </w:r>
      <w:r w:rsidR="00917420" w:rsidRPr="006E5EE6">
        <w:rPr>
          <w:rFonts w:ascii="Arial" w:hAnsi="Arial" w:cs="Arial"/>
          <w:color w:val="000000" w:themeColor="text1"/>
          <w:sz w:val="20"/>
          <w:szCs w:val="20"/>
        </w:rPr>
        <w:t>eriodic review</w:t>
      </w:r>
      <w:r w:rsidR="004E3F47">
        <w:rPr>
          <w:rFonts w:ascii="Arial" w:hAnsi="Arial" w:cs="Arial"/>
          <w:color w:val="000000" w:themeColor="text1"/>
          <w:sz w:val="20"/>
          <w:szCs w:val="20"/>
        </w:rPr>
        <w:t>s</w:t>
      </w:r>
      <w:r w:rsidR="005427E5" w:rsidRPr="006E5EE6">
        <w:rPr>
          <w:rFonts w:ascii="Arial" w:hAnsi="Arial" w:cs="Arial"/>
          <w:color w:val="000000" w:themeColor="text1"/>
          <w:sz w:val="20"/>
          <w:szCs w:val="20"/>
        </w:rPr>
        <w:t xml:space="preserve">. </w:t>
      </w:r>
      <w:r w:rsidR="004E3F47">
        <w:rPr>
          <w:rFonts w:ascii="Arial" w:hAnsi="Arial" w:cs="Arial"/>
          <w:color w:val="000000" w:themeColor="text1"/>
          <w:sz w:val="20"/>
          <w:szCs w:val="20"/>
        </w:rPr>
        <w:t xml:space="preserve">Its </w:t>
      </w:r>
      <w:r w:rsidR="00417784" w:rsidRPr="006E5EE6">
        <w:rPr>
          <w:rFonts w:ascii="Arial" w:hAnsi="Arial" w:cs="Arial"/>
          <w:color w:val="000000" w:themeColor="text1"/>
          <w:sz w:val="20"/>
          <w:szCs w:val="20"/>
        </w:rPr>
        <w:t xml:space="preserve">policies and procedures </w:t>
      </w:r>
      <w:r w:rsidR="004E3F47">
        <w:rPr>
          <w:rFonts w:ascii="Arial" w:hAnsi="Arial" w:cs="Arial"/>
          <w:color w:val="000000" w:themeColor="text1"/>
          <w:sz w:val="20"/>
          <w:szCs w:val="20"/>
        </w:rPr>
        <w:t xml:space="preserve">failed to set out the additional </w:t>
      </w:r>
      <w:r w:rsidR="003E3529">
        <w:rPr>
          <w:rFonts w:ascii="Arial" w:hAnsi="Arial" w:cs="Arial"/>
          <w:color w:val="000000" w:themeColor="text1"/>
          <w:sz w:val="20"/>
          <w:szCs w:val="20"/>
        </w:rPr>
        <w:t>measures that applied to</w:t>
      </w:r>
      <w:r w:rsidR="00417784" w:rsidRPr="006E5EE6">
        <w:rPr>
          <w:rFonts w:ascii="Arial" w:hAnsi="Arial" w:cs="Arial"/>
          <w:color w:val="000000" w:themeColor="text1"/>
          <w:sz w:val="20"/>
          <w:szCs w:val="20"/>
        </w:rPr>
        <w:t xml:space="preserve"> h</w:t>
      </w:r>
      <w:r w:rsidR="003E3529">
        <w:rPr>
          <w:rFonts w:ascii="Arial" w:hAnsi="Arial" w:cs="Arial"/>
          <w:color w:val="000000" w:themeColor="text1"/>
          <w:sz w:val="20"/>
          <w:szCs w:val="20"/>
        </w:rPr>
        <w:t>igh risk customers</w:t>
      </w:r>
      <w:r w:rsidR="00917420" w:rsidRPr="006E5EE6">
        <w:rPr>
          <w:rFonts w:ascii="Arial" w:hAnsi="Arial" w:cs="Arial"/>
          <w:color w:val="000000" w:themeColor="text1"/>
          <w:sz w:val="20"/>
          <w:szCs w:val="20"/>
        </w:rPr>
        <w:t xml:space="preserve"> </w:t>
      </w:r>
      <w:r w:rsidR="00417784" w:rsidRPr="006E5EE6">
        <w:rPr>
          <w:rFonts w:ascii="Arial" w:hAnsi="Arial" w:cs="Arial"/>
          <w:color w:val="000000" w:themeColor="text1"/>
          <w:sz w:val="20"/>
          <w:szCs w:val="20"/>
        </w:rPr>
        <w:t xml:space="preserve">and </w:t>
      </w:r>
      <w:r w:rsidR="005427E5" w:rsidRPr="006E5EE6">
        <w:rPr>
          <w:rFonts w:ascii="Arial" w:hAnsi="Arial" w:cs="Arial"/>
          <w:color w:val="000000" w:themeColor="text1"/>
          <w:sz w:val="20"/>
          <w:szCs w:val="20"/>
        </w:rPr>
        <w:t>there were no</w:t>
      </w:r>
      <w:r w:rsidR="00917420" w:rsidRPr="006E5EE6">
        <w:rPr>
          <w:rFonts w:ascii="Arial" w:hAnsi="Arial" w:cs="Arial"/>
          <w:color w:val="000000" w:themeColor="text1"/>
          <w:sz w:val="20"/>
          <w:szCs w:val="20"/>
        </w:rPr>
        <w:t xml:space="preserve"> </w:t>
      </w:r>
      <w:r w:rsidR="00417784" w:rsidRPr="006E5EE6">
        <w:rPr>
          <w:rFonts w:ascii="Arial" w:hAnsi="Arial" w:cs="Arial"/>
          <w:color w:val="000000" w:themeColor="text1"/>
          <w:sz w:val="20"/>
          <w:szCs w:val="20"/>
        </w:rPr>
        <w:t xml:space="preserve">clear policies and procedures on what enhanced customer due diligence </w:t>
      </w:r>
      <w:r w:rsidR="00C03F27" w:rsidRPr="006E5EE6">
        <w:rPr>
          <w:rFonts w:ascii="Arial" w:hAnsi="Arial" w:cs="Arial"/>
          <w:color w:val="000000" w:themeColor="text1"/>
          <w:sz w:val="20"/>
          <w:szCs w:val="20"/>
        </w:rPr>
        <w:t xml:space="preserve">measures should </w:t>
      </w:r>
      <w:r w:rsidR="003E3529">
        <w:rPr>
          <w:rFonts w:ascii="Arial" w:hAnsi="Arial" w:cs="Arial"/>
          <w:color w:val="000000" w:themeColor="text1"/>
          <w:sz w:val="20"/>
          <w:szCs w:val="20"/>
        </w:rPr>
        <w:t>be taken in relation to</w:t>
      </w:r>
      <w:r w:rsidR="0033449B" w:rsidRPr="006E5EE6">
        <w:rPr>
          <w:rFonts w:ascii="Arial" w:hAnsi="Arial" w:cs="Arial"/>
          <w:color w:val="000000" w:themeColor="text1"/>
          <w:sz w:val="20"/>
          <w:szCs w:val="20"/>
        </w:rPr>
        <w:t xml:space="preserve"> high risk customers</w:t>
      </w:r>
      <w:r w:rsidR="00C03F27" w:rsidRPr="006E5EE6">
        <w:rPr>
          <w:rFonts w:ascii="Arial" w:hAnsi="Arial" w:cs="Arial"/>
          <w:color w:val="000000" w:themeColor="text1"/>
          <w:sz w:val="20"/>
          <w:szCs w:val="20"/>
        </w:rPr>
        <w:t>.</w:t>
      </w:r>
      <w:r w:rsidR="0033449B" w:rsidRPr="006E5EE6">
        <w:rPr>
          <w:rFonts w:ascii="Arial" w:hAnsi="Arial" w:cs="Arial"/>
          <w:color w:val="000000" w:themeColor="text1"/>
          <w:sz w:val="20"/>
          <w:szCs w:val="20"/>
        </w:rPr>
        <w:t xml:space="preserve"> </w:t>
      </w:r>
    </w:p>
    <w:p w:rsidR="00CF4B66" w:rsidRDefault="002C7531" w:rsidP="0030561C">
      <w:pPr>
        <w:jc w:val="both"/>
        <w:rPr>
          <w:rFonts w:ascii="Arial" w:hAnsi="Arial" w:cs="Arial"/>
          <w:color w:val="000000" w:themeColor="text1"/>
          <w:sz w:val="20"/>
          <w:szCs w:val="20"/>
        </w:rPr>
      </w:pPr>
      <w:r w:rsidRPr="006E5EE6">
        <w:rPr>
          <w:rFonts w:ascii="Arial" w:hAnsi="Arial" w:cs="Arial"/>
          <w:color w:val="000000" w:themeColor="text1"/>
          <w:sz w:val="20"/>
          <w:szCs w:val="20"/>
        </w:rPr>
        <w:t>CUBC also contravened s</w:t>
      </w:r>
      <w:r w:rsidR="00CF4B66" w:rsidRPr="006E5EE6">
        <w:rPr>
          <w:rFonts w:ascii="Arial" w:hAnsi="Arial" w:cs="Arial"/>
          <w:color w:val="000000" w:themeColor="text1"/>
          <w:sz w:val="20"/>
          <w:szCs w:val="20"/>
        </w:rPr>
        <w:t xml:space="preserve">ection </w:t>
      </w:r>
      <w:r w:rsidR="002B393D" w:rsidRPr="006E5EE6">
        <w:rPr>
          <w:rFonts w:ascii="Arial" w:hAnsi="Arial" w:cs="Arial"/>
          <w:color w:val="000000" w:themeColor="text1"/>
          <w:sz w:val="20"/>
          <w:szCs w:val="20"/>
        </w:rPr>
        <w:t xml:space="preserve">23 of Schedule 2 </w:t>
      </w:r>
      <w:r w:rsidR="00236CFF" w:rsidRPr="006E5EE6">
        <w:rPr>
          <w:rFonts w:ascii="Arial" w:hAnsi="Arial" w:cs="Arial"/>
          <w:color w:val="000000" w:themeColor="text1"/>
          <w:sz w:val="20"/>
          <w:szCs w:val="20"/>
        </w:rPr>
        <w:t xml:space="preserve">to the AMLO </w:t>
      </w:r>
      <w:r w:rsidR="003E3529">
        <w:rPr>
          <w:rFonts w:ascii="Arial" w:hAnsi="Arial" w:cs="Arial"/>
          <w:color w:val="000000" w:themeColor="text1"/>
          <w:sz w:val="20"/>
          <w:szCs w:val="20"/>
        </w:rPr>
        <w:t>in</w:t>
      </w:r>
      <w:r w:rsidR="009D4B02" w:rsidRPr="006E5EE6">
        <w:rPr>
          <w:rFonts w:ascii="Arial" w:hAnsi="Arial" w:cs="Arial"/>
          <w:color w:val="000000" w:themeColor="text1"/>
          <w:sz w:val="20"/>
          <w:szCs w:val="20"/>
        </w:rPr>
        <w:t xml:space="preserve"> failing to </w:t>
      </w:r>
      <w:r w:rsidR="00187659" w:rsidRPr="006E5EE6">
        <w:rPr>
          <w:rFonts w:ascii="Arial" w:hAnsi="Arial" w:cs="Arial"/>
          <w:color w:val="000000" w:themeColor="text1"/>
          <w:sz w:val="20"/>
          <w:szCs w:val="20"/>
        </w:rPr>
        <w:t xml:space="preserve">take all reasonable measures </w:t>
      </w:r>
      <w:r w:rsidR="003E3529">
        <w:rPr>
          <w:rFonts w:ascii="Arial" w:hAnsi="Arial" w:cs="Arial"/>
          <w:color w:val="000000" w:themeColor="text1"/>
          <w:sz w:val="20"/>
          <w:szCs w:val="20"/>
        </w:rPr>
        <w:t xml:space="preserve">to ensure that </w:t>
      </w:r>
      <w:r w:rsidR="00187659" w:rsidRPr="006E5EE6">
        <w:rPr>
          <w:rFonts w:ascii="Arial" w:hAnsi="Arial" w:cs="Arial"/>
          <w:color w:val="000000" w:themeColor="text1"/>
          <w:sz w:val="20"/>
          <w:szCs w:val="20"/>
        </w:rPr>
        <w:t>proper safeguards</w:t>
      </w:r>
      <w:r w:rsidR="003E3529">
        <w:rPr>
          <w:rFonts w:ascii="Arial" w:hAnsi="Arial" w:cs="Arial"/>
          <w:color w:val="000000" w:themeColor="text1"/>
          <w:sz w:val="20"/>
          <w:szCs w:val="20"/>
        </w:rPr>
        <w:t xml:space="preserve"> were in place</w:t>
      </w:r>
      <w:r w:rsidR="00187659" w:rsidRPr="006E5EE6">
        <w:rPr>
          <w:rFonts w:ascii="Arial" w:hAnsi="Arial" w:cs="Arial"/>
          <w:color w:val="000000" w:themeColor="text1"/>
          <w:sz w:val="20"/>
          <w:szCs w:val="20"/>
        </w:rPr>
        <w:t xml:space="preserve"> to prevent the contraventions</w:t>
      </w:r>
      <w:r w:rsidR="003E3529">
        <w:rPr>
          <w:rFonts w:ascii="Arial" w:hAnsi="Arial" w:cs="Arial"/>
          <w:color w:val="000000" w:themeColor="text1"/>
          <w:sz w:val="20"/>
          <w:szCs w:val="20"/>
        </w:rPr>
        <w:t xml:space="preserve"> and to mitigate money laundering and terrorist financing risks</w:t>
      </w:r>
      <w:r w:rsidR="00187659" w:rsidRPr="006E5EE6">
        <w:rPr>
          <w:rFonts w:ascii="Arial" w:hAnsi="Arial" w:cs="Arial"/>
          <w:color w:val="000000" w:themeColor="text1"/>
          <w:sz w:val="20"/>
          <w:szCs w:val="20"/>
        </w:rPr>
        <w:t>. CUBC’s senior management had not reviewed the effectiveness of the anti-money laundering and counter-terroris</w:t>
      </w:r>
      <w:r w:rsidR="003E3529">
        <w:rPr>
          <w:rFonts w:ascii="Arial" w:hAnsi="Arial" w:cs="Arial"/>
          <w:color w:val="000000" w:themeColor="text1"/>
          <w:sz w:val="20"/>
          <w:szCs w:val="20"/>
        </w:rPr>
        <w:t xml:space="preserve">t financing </w:t>
      </w:r>
      <w:r w:rsidR="00B9363E">
        <w:rPr>
          <w:rFonts w:ascii="Arial" w:hAnsi="Arial" w:cs="Arial"/>
          <w:color w:val="000000" w:themeColor="text1"/>
          <w:sz w:val="20"/>
          <w:szCs w:val="20"/>
        </w:rPr>
        <w:t>(</w:t>
      </w:r>
      <w:r w:rsidR="00B9363E" w:rsidRPr="00B9363E">
        <w:rPr>
          <w:rFonts w:ascii="Arial" w:hAnsi="Arial" w:cs="Arial"/>
          <w:b/>
          <w:color w:val="000000" w:themeColor="text1"/>
          <w:sz w:val="20"/>
          <w:szCs w:val="20"/>
        </w:rPr>
        <w:t>AML/CFT</w:t>
      </w:r>
      <w:r w:rsidR="00B9363E">
        <w:rPr>
          <w:rFonts w:ascii="Arial" w:hAnsi="Arial" w:cs="Arial"/>
          <w:color w:val="000000" w:themeColor="text1"/>
          <w:sz w:val="20"/>
          <w:szCs w:val="20"/>
        </w:rPr>
        <w:t xml:space="preserve">) </w:t>
      </w:r>
      <w:r w:rsidR="003E3529">
        <w:rPr>
          <w:rFonts w:ascii="Arial" w:hAnsi="Arial" w:cs="Arial"/>
          <w:color w:val="000000" w:themeColor="text1"/>
          <w:sz w:val="20"/>
          <w:szCs w:val="20"/>
        </w:rPr>
        <w:t>controls or made necessary</w:t>
      </w:r>
      <w:r w:rsidR="00187659" w:rsidRPr="006E5EE6">
        <w:rPr>
          <w:rFonts w:ascii="Arial" w:hAnsi="Arial" w:cs="Arial"/>
          <w:color w:val="000000" w:themeColor="text1"/>
          <w:sz w:val="20"/>
          <w:szCs w:val="20"/>
        </w:rPr>
        <w:t xml:space="preserve"> enhancements. They also received insufficient information to discharge</w:t>
      </w:r>
      <w:r w:rsidR="003E3529">
        <w:rPr>
          <w:rFonts w:ascii="Arial" w:hAnsi="Arial" w:cs="Arial"/>
          <w:color w:val="000000" w:themeColor="text1"/>
          <w:sz w:val="20"/>
          <w:szCs w:val="20"/>
        </w:rPr>
        <w:t xml:space="preserve"> CUBC’s </w:t>
      </w:r>
      <w:r w:rsidR="00B9363E">
        <w:rPr>
          <w:rFonts w:ascii="Arial" w:hAnsi="Arial" w:cs="Arial"/>
          <w:color w:val="000000" w:themeColor="text1"/>
          <w:sz w:val="20"/>
          <w:szCs w:val="20"/>
        </w:rPr>
        <w:t xml:space="preserve">AML/CFT </w:t>
      </w:r>
      <w:r w:rsidR="003E3529">
        <w:rPr>
          <w:rFonts w:ascii="Arial" w:hAnsi="Arial" w:cs="Arial"/>
          <w:color w:val="000000" w:themeColor="text1"/>
          <w:sz w:val="20"/>
          <w:szCs w:val="20"/>
        </w:rPr>
        <w:t>obligations</w:t>
      </w:r>
      <w:r w:rsidR="00B9363E">
        <w:rPr>
          <w:rFonts w:ascii="Arial" w:hAnsi="Arial" w:cs="Arial"/>
          <w:color w:val="000000" w:themeColor="text1"/>
          <w:sz w:val="20"/>
          <w:szCs w:val="20"/>
        </w:rPr>
        <w:t>.</w:t>
      </w:r>
      <w:r w:rsidR="00187659" w:rsidRPr="006E5EE6">
        <w:rPr>
          <w:rFonts w:ascii="Arial" w:hAnsi="Arial" w:cs="Arial"/>
          <w:color w:val="000000" w:themeColor="text1"/>
          <w:sz w:val="20"/>
          <w:szCs w:val="20"/>
        </w:rPr>
        <w:t xml:space="preserve"> </w:t>
      </w:r>
      <w:r w:rsidR="00B9363E">
        <w:rPr>
          <w:rFonts w:ascii="Arial" w:hAnsi="Arial" w:cs="Arial"/>
          <w:color w:val="000000" w:themeColor="text1"/>
          <w:sz w:val="20"/>
          <w:szCs w:val="20"/>
        </w:rPr>
        <w:t>Relevant committee meetings failed to address fundamental AML/CFT control issues</w:t>
      </w:r>
      <w:r w:rsidR="00187659" w:rsidRPr="006E5EE6">
        <w:rPr>
          <w:rFonts w:ascii="Arial" w:hAnsi="Arial" w:cs="Arial"/>
          <w:color w:val="000000" w:themeColor="text1"/>
          <w:sz w:val="20"/>
          <w:szCs w:val="20"/>
        </w:rPr>
        <w:t>. Finally, the senior management failed to deploy sufficient resources for dealing with</w:t>
      </w:r>
      <w:r w:rsidR="00B9363E">
        <w:rPr>
          <w:rFonts w:ascii="Arial" w:hAnsi="Arial" w:cs="Arial"/>
          <w:color w:val="000000" w:themeColor="text1"/>
          <w:sz w:val="20"/>
          <w:szCs w:val="20"/>
        </w:rPr>
        <w:t xml:space="preserve"> AML/CFT matters</w:t>
      </w:r>
      <w:r w:rsidR="00187659" w:rsidRPr="006E5EE6">
        <w:rPr>
          <w:rFonts w:ascii="Arial" w:hAnsi="Arial" w:cs="Arial"/>
          <w:color w:val="000000" w:themeColor="text1"/>
          <w:sz w:val="20"/>
          <w:szCs w:val="20"/>
        </w:rPr>
        <w:t xml:space="preserve">. </w:t>
      </w:r>
    </w:p>
    <w:p w:rsidR="00C0527F" w:rsidRPr="00A41F57" w:rsidRDefault="00C0527F" w:rsidP="00C0527F">
      <w:pPr>
        <w:pStyle w:val="DisclaimerBold"/>
        <w:rPr>
          <w:rFonts w:ascii="Helvetica" w:hAnsi="Helvetica"/>
        </w:rPr>
      </w:pPr>
      <w:r w:rsidRPr="00F05494">
        <w:rPr>
          <w:rFonts w:ascii="Helvetica" w:hAnsi="Helvetica"/>
        </w:rPr>
        <w:t>This newsletter is for information purposes only.</w:t>
      </w:r>
    </w:p>
    <w:p w:rsidR="00C0527F" w:rsidRPr="00F05494" w:rsidRDefault="00C0527F" w:rsidP="00C0527F">
      <w:pPr>
        <w:pStyle w:val="Disclaimer"/>
        <w:rPr>
          <w:rFonts w:ascii="Helvetica" w:hAnsi="Helvetica"/>
        </w:rPr>
      </w:pPr>
      <w:r w:rsidRPr="00F05494">
        <w:rPr>
          <w:rFonts w:ascii="Helvetica" w:hAnsi="Helvetica"/>
        </w:rPr>
        <w:lastRenderedPageBreak/>
        <w:t>Its contents do not constitute legal advice and it should not be regarded as a substitute for detailed advice in individual cases.</w:t>
      </w:r>
    </w:p>
    <w:p w:rsidR="00C0527F" w:rsidRPr="00F05494" w:rsidRDefault="00C0527F" w:rsidP="00C0527F">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C0527F" w:rsidRPr="00F05494" w:rsidRDefault="00C0527F" w:rsidP="00C0527F">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C0527F" w:rsidRPr="00F05494" w:rsidRDefault="00C0527F" w:rsidP="00C0527F">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6">
        <w:r w:rsidRPr="00F05494">
          <w:rPr>
            <w:rFonts w:ascii="Helvetica" w:hAnsi="Helvetica"/>
          </w:rPr>
          <w:t>unsubscribe@charltonslaw.com</w:t>
        </w:r>
      </w:hyperlink>
    </w:p>
    <w:p w:rsidR="00C0527F" w:rsidRPr="00CD0DE3" w:rsidRDefault="00C0527F" w:rsidP="00C0527F">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9B202F">
        <w:rPr>
          <w:rFonts w:ascii="Helvetica" w:hAnsi="Helvetica"/>
        </w:rPr>
        <w:t>31</w:t>
      </w:r>
      <w:r w:rsidRPr="00F05494">
        <w:rPr>
          <w:rFonts w:ascii="Helvetica" w:hAnsi="Helvetica"/>
        </w:rPr>
        <w:t xml:space="preserve"> </w:t>
      </w:r>
      <w:r>
        <w:rPr>
          <w:rFonts w:ascii="Helvetica" w:hAnsi="Helvetica"/>
        </w:rPr>
        <w:t>October</w:t>
      </w:r>
      <w:r w:rsidRPr="00F05494">
        <w:rPr>
          <w:rFonts w:ascii="Helvetica" w:hAnsi="Helvetica"/>
        </w:rPr>
        <w:t xml:space="preserve"> 202</w:t>
      </w:r>
      <w:r>
        <w:rPr>
          <w:rFonts w:ascii="Helvetica" w:hAnsi="Helvetica"/>
        </w:rPr>
        <w:t>2</w:t>
      </w:r>
    </w:p>
    <w:p w:rsidR="00C0527F" w:rsidRPr="00C0527F" w:rsidRDefault="00C0527F" w:rsidP="0030561C">
      <w:pPr>
        <w:jc w:val="both"/>
        <w:rPr>
          <w:rFonts w:ascii="Arial" w:hAnsi="Arial" w:cs="Arial"/>
          <w:color w:val="000000" w:themeColor="text1"/>
          <w:sz w:val="20"/>
          <w:szCs w:val="20"/>
          <w:lang w:val="en-US"/>
        </w:rPr>
      </w:pPr>
    </w:p>
    <w:sectPr w:rsidR="00C0527F" w:rsidRPr="00C0527F" w:rsidSect="00BE23D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148" w:rsidRDefault="00395148" w:rsidP="00ED412C">
      <w:pPr>
        <w:spacing w:after="0" w:line="240" w:lineRule="auto"/>
      </w:pPr>
      <w:r>
        <w:separator/>
      </w:r>
    </w:p>
  </w:endnote>
  <w:endnote w:type="continuationSeparator" w:id="0">
    <w:p w:rsidR="00395148" w:rsidRDefault="00395148" w:rsidP="00ED4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148" w:rsidRDefault="00395148" w:rsidP="00ED412C">
      <w:pPr>
        <w:spacing w:after="0" w:line="240" w:lineRule="auto"/>
      </w:pPr>
      <w:r>
        <w:separator/>
      </w:r>
    </w:p>
  </w:footnote>
  <w:footnote w:type="continuationSeparator" w:id="0">
    <w:p w:rsidR="00395148" w:rsidRDefault="00395148" w:rsidP="00ED412C">
      <w:pPr>
        <w:spacing w:after="0" w:line="240" w:lineRule="auto"/>
      </w:pPr>
      <w:r>
        <w:continuationSeparator/>
      </w:r>
    </w:p>
  </w:footnote>
  <w:footnote w:id="1">
    <w:p w:rsidR="008461D7" w:rsidRPr="008461D7" w:rsidRDefault="008461D7" w:rsidP="008461D7">
      <w:pPr>
        <w:pStyle w:val="a5"/>
        <w:jc w:val="both"/>
        <w:rPr>
          <w:rFonts w:ascii="Cambria" w:hAnsi="Cambria"/>
        </w:rPr>
      </w:pPr>
      <w:r w:rsidRPr="008461D7">
        <w:rPr>
          <w:rStyle w:val="a7"/>
          <w:rFonts w:ascii="Cambria" w:hAnsi="Cambria"/>
        </w:rPr>
        <w:footnoteRef/>
      </w:r>
      <w:r w:rsidRPr="008461D7">
        <w:rPr>
          <w:rFonts w:ascii="Cambria" w:hAnsi="Cambria"/>
        </w:rPr>
        <w:t xml:space="preserve"> Hyundai Securities Co. Ltd.</w:t>
      </w:r>
    </w:p>
  </w:footnote>
  <w:footnote w:id="2">
    <w:p w:rsidR="006070ED" w:rsidRPr="008D031F" w:rsidRDefault="006070ED" w:rsidP="008D031F">
      <w:pPr>
        <w:pStyle w:val="a5"/>
        <w:jc w:val="both"/>
        <w:rPr>
          <w:rFonts w:ascii="Cambria" w:hAnsi="Cambria"/>
          <w:lang w:val="en-US"/>
        </w:rPr>
      </w:pPr>
      <w:r w:rsidRPr="008D031F">
        <w:rPr>
          <w:rStyle w:val="a7"/>
          <w:rFonts w:ascii="Cambria" w:hAnsi="Cambria"/>
        </w:rPr>
        <w:footnoteRef/>
      </w:r>
      <w:r w:rsidRPr="008D031F">
        <w:rPr>
          <w:rFonts w:ascii="Cambria" w:hAnsi="Cambria"/>
        </w:rPr>
        <w:t xml:space="preserve"> “Market sounding” </w:t>
      </w:r>
      <w:r w:rsidR="008B4FB2" w:rsidRPr="008D031F">
        <w:rPr>
          <w:rFonts w:ascii="Cambria" w:hAnsi="Cambria"/>
        </w:rPr>
        <w:t xml:space="preserve">is </w:t>
      </w:r>
      <w:r w:rsidRPr="008D031F">
        <w:rPr>
          <w:rFonts w:ascii="Cambria" w:hAnsi="Cambria"/>
        </w:rPr>
        <w:t>the communication of information, prior to the announcement of a transaction, in order to gauge the interest of potential investors in a possible transaction and the conditions relating to it, such as its potential size or pricing, to one or more potential investors. This process is typically done in connection with private placement arrangements and block trades.</w:t>
      </w:r>
    </w:p>
  </w:footnote>
  <w:footnote w:id="3">
    <w:p w:rsidR="008D031F" w:rsidRPr="008D031F" w:rsidRDefault="008D031F" w:rsidP="008D031F">
      <w:pPr>
        <w:pStyle w:val="a5"/>
        <w:jc w:val="both"/>
        <w:rPr>
          <w:rFonts w:ascii="Cambria" w:hAnsi="Cambria"/>
          <w:lang w:val="en-US"/>
        </w:rPr>
      </w:pPr>
      <w:r w:rsidRPr="008D031F">
        <w:rPr>
          <w:rStyle w:val="a7"/>
          <w:rFonts w:ascii="Cambria" w:hAnsi="Cambria"/>
        </w:rPr>
        <w:footnoteRef/>
      </w:r>
      <w:r w:rsidRPr="008D031F">
        <w:rPr>
          <w:rFonts w:ascii="Cambria" w:hAnsi="Cambria"/>
        </w:rPr>
        <w:t xml:space="preserve"> “Wall-crossing” refers to a process where a party provides advance or potential inside information to a third party who is then restricted from trading on the information until it is made public. To be wall-crossed in respect of a block trade is to be formally committed to confidentiality, including a commitment to refrain from dealing in the shares which are the subject of the block trade until that trade has been made known to the market.</w:t>
      </w:r>
    </w:p>
  </w:footnote>
  <w:footnote w:id="4">
    <w:p w:rsidR="008D031F" w:rsidRPr="008D031F" w:rsidRDefault="008D031F" w:rsidP="008D031F">
      <w:pPr>
        <w:pStyle w:val="a5"/>
        <w:jc w:val="both"/>
        <w:rPr>
          <w:lang w:val="en-US"/>
        </w:rPr>
      </w:pPr>
      <w:r w:rsidRPr="008D031F">
        <w:rPr>
          <w:rStyle w:val="a7"/>
          <w:rFonts w:ascii="Cambria" w:hAnsi="Cambria"/>
        </w:rPr>
        <w:footnoteRef/>
      </w:r>
      <w:r w:rsidRPr="008D031F">
        <w:rPr>
          <w:rFonts w:ascii="Cambria" w:hAnsi="Cambria"/>
        </w:rPr>
        <w:t xml:space="preserve"> “Short swap” is a way for an investor to enter into a short position of a stock by gaining synthetic exposure to the physical equity, which would allow him to profit from a decline in the price of the stock.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F7C09"/>
    <w:multiLevelType w:val="hybridMultilevel"/>
    <w:tmpl w:val="67AE0ACE"/>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CA037BF"/>
    <w:multiLevelType w:val="hybridMultilevel"/>
    <w:tmpl w:val="C84237CA"/>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15:restartNumberingAfterBreak="0">
    <w:nsid w:val="2E72096B"/>
    <w:multiLevelType w:val="hybridMultilevel"/>
    <w:tmpl w:val="34DEB800"/>
    <w:lvl w:ilvl="0" w:tplc="F5EE4C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826C0"/>
    <w:multiLevelType w:val="hybridMultilevel"/>
    <w:tmpl w:val="823CC1CC"/>
    <w:lvl w:ilvl="0" w:tplc="DA64B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70768"/>
    <w:multiLevelType w:val="hybridMultilevel"/>
    <w:tmpl w:val="B1EC4F1C"/>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47205805"/>
    <w:multiLevelType w:val="hybridMultilevel"/>
    <w:tmpl w:val="79ECE9B6"/>
    <w:lvl w:ilvl="0" w:tplc="D6B0D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97895"/>
    <w:multiLevelType w:val="hybridMultilevel"/>
    <w:tmpl w:val="980202B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D3513"/>
    <w:multiLevelType w:val="hybridMultilevel"/>
    <w:tmpl w:val="CC0EAA1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095979">
    <w:abstractNumId w:val="2"/>
  </w:num>
  <w:num w:numId="2" w16cid:durableId="1588885247">
    <w:abstractNumId w:val="5"/>
  </w:num>
  <w:num w:numId="3" w16cid:durableId="145321522">
    <w:abstractNumId w:val="3"/>
  </w:num>
  <w:num w:numId="4" w16cid:durableId="654339759">
    <w:abstractNumId w:val="1"/>
  </w:num>
  <w:num w:numId="5" w16cid:durableId="700327196">
    <w:abstractNumId w:val="7"/>
  </w:num>
  <w:num w:numId="6" w16cid:durableId="1945575665">
    <w:abstractNumId w:val="4"/>
  </w:num>
  <w:num w:numId="7" w16cid:durableId="289170746">
    <w:abstractNumId w:val="6"/>
  </w:num>
  <w:num w:numId="8" w16cid:durableId="184596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4C3"/>
    <w:rsid w:val="00011612"/>
    <w:rsid w:val="00012C38"/>
    <w:rsid w:val="000141CD"/>
    <w:rsid w:val="000268BF"/>
    <w:rsid w:val="00030A8B"/>
    <w:rsid w:val="00041307"/>
    <w:rsid w:val="0004157F"/>
    <w:rsid w:val="00053921"/>
    <w:rsid w:val="00053BD9"/>
    <w:rsid w:val="00062930"/>
    <w:rsid w:val="00070663"/>
    <w:rsid w:val="00074054"/>
    <w:rsid w:val="00077056"/>
    <w:rsid w:val="00080B81"/>
    <w:rsid w:val="00082C92"/>
    <w:rsid w:val="00085BB7"/>
    <w:rsid w:val="000860EE"/>
    <w:rsid w:val="0008651F"/>
    <w:rsid w:val="00087C95"/>
    <w:rsid w:val="0009002B"/>
    <w:rsid w:val="000904CB"/>
    <w:rsid w:val="0009672B"/>
    <w:rsid w:val="000A3232"/>
    <w:rsid w:val="000A5FE8"/>
    <w:rsid w:val="000A7554"/>
    <w:rsid w:val="000B0703"/>
    <w:rsid w:val="000B092D"/>
    <w:rsid w:val="000B16B0"/>
    <w:rsid w:val="000B1F9D"/>
    <w:rsid w:val="000B2CB3"/>
    <w:rsid w:val="000B44AE"/>
    <w:rsid w:val="000B531F"/>
    <w:rsid w:val="000C2256"/>
    <w:rsid w:val="000C2A2F"/>
    <w:rsid w:val="000C3558"/>
    <w:rsid w:val="000C5FEC"/>
    <w:rsid w:val="000D0E06"/>
    <w:rsid w:val="000D0EEC"/>
    <w:rsid w:val="000E40B5"/>
    <w:rsid w:val="000E70DC"/>
    <w:rsid w:val="000F4B2F"/>
    <w:rsid w:val="000F64C1"/>
    <w:rsid w:val="00100A16"/>
    <w:rsid w:val="0010243F"/>
    <w:rsid w:val="001038C5"/>
    <w:rsid w:val="00104924"/>
    <w:rsid w:val="0010780D"/>
    <w:rsid w:val="00116156"/>
    <w:rsid w:val="0011767E"/>
    <w:rsid w:val="001176E7"/>
    <w:rsid w:val="00117847"/>
    <w:rsid w:val="001202CC"/>
    <w:rsid w:val="0012149F"/>
    <w:rsid w:val="00121517"/>
    <w:rsid w:val="00122C93"/>
    <w:rsid w:val="001230FB"/>
    <w:rsid w:val="00124C04"/>
    <w:rsid w:val="001259C9"/>
    <w:rsid w:val="00127B5C"/>
    <w:rsid w:val="0013027C"/>
    <w:rsid w:val="00132B52"/>
    <w:rsid w:val="0013335A"/>
    <w:rsid w:val="001348B3"/>
    <w:rsid w:val="00150F0A"/>
    <w:rsid w:val="001520BE"/>
    <w:rsid w:val="001532CD"/>
    <w:rsid w:val="001546EF"/>
    <w:rsid w:val="0016260E"/>
    <w:rsid w:val="00163465"/>
    <w:rsid w:val="001635D9"/>
    <w:rsid w:val="00163FD4"/>
    <w:rsid w:val="0016721D"/>
    <w:rsid w:val="00167243"/>
    <w:rsid w:val="0016747C"/>
    <w:rsid w:val="001675E0"/>
    <w:rsid w:val="00173542"/>
    <w:rsid w:val="00180846"/>
    <w:rsid w:val="00186662"/>
    <w:rsid w:val="00187659"/>
    <w:rsid w:val="00190CF3"/>
    <w:rsid w:val="00196D03"/>
    <w:rsid w:val="001B3BF9"/>
    <w:rsid w:val="001B64A1"/>
    <w:rsid w:val="001C6A77"/>
    <w:rsid w:val="001D012B"/>
    <w:rsid w:val="001D1239"/>
    <w:rsid w:val="001D132E"/>
    <w:rsid w:val="001D23C5"/>
    <w:rsid w:val="001D7007"/>
    <w:rsid w:val="001E24F7"/>
    <w:rsid w:val="001E450F"/>
    <w:rsid w:val="001E45E7"/>
    <w:rsid w:val="001E5A1E"/>
    <w:rsid w:val="001E79E1"/>
    <w:rsid w:val="001F16EE"/>
    <w:rsid w:val="001F669D"/>
    <w:rsid w:val="001F7F61"/>
    <w:rsid w:val="002061D5"/>
    <w:rsid w:val="0020620F"/>
    <w:rsid w:val="00206A0E"/>
    <w:rsid w:val="00210591"/>
    <w:rsid w:val="00213265"/>
    <w:rsid w:val="002133FC"/>
    <w:rsid w:val="00214F59"/>
    <w:rsid w:val="00215006"/>
    <w:rsid w:val="00215FA1"/>
    <w:rsid w:val="00216675"/>
    <w:rsid w:val="00217959"/>
    <w:rsid w:val="00224090"/>
    <w:rsid w:val="002264D3"/>
    <w:rsid w:val="002270C8"/>
    <w:rsid w:val="0023459A"/>
    <w:rsid w:val="0023575D"/>
    <w:rsid w:val="00235A06"/>
    <w:rsid w:val="00236CFF"/>
    <w:rsid w:val="0023719E"/>
    <w:rsid w:val="002421A2"/>
    <w:rsid w:val="00243351"/>
    <w:rsid w:val="002433E4"/>
    <w:rsid w:val="00245197"/>
    <w:rsid w:val="00245D1A"/>
    <w:rsid w:val="00253C0C"/>
    <w:rsid w:val="0025455D"/>
    <w:rsid w:val="0027223C"/>
    <w:rsid w:val="002723B3"/>
    <w:rsid w:val="00274472"/>
    <w:rsid w:val="00276454"/>
    <w:rsid w:val="00276D41"/>
    <w:rsid w:val="00280566"/>
    <w:rsid w:val="00281B9F"/>
    <w:rsid w:val="00287257"/>
    <w:rsid w:val="00293F85"/>
    <w:rsid w:val="002A5169"/>
    <w:rsid w:val="002A7302"/>
    <w:rsid w:val="002B09D4"/>
    <w:rsid w:val="002B393D"/>
    <w:rsid w:val="002C17C9"/>
    <w:rsid w:val="002C1D43"/>
    <w:rsid w:val="002C2473"/>
    <w:rsid w:val="002C371B"/>
    <w:rsid w:val="002C3AE0"/>
    <w:rsid w:val="002C55E7"/>
    <w:rsid w:val="002C7531"/>
    <w:rsid w:val="002D0CB9"/>
    <w:rsid w:val="002D3696"/>
    <w:rsid w:val="002D44B6"/>
    <w:rsid w:val="002D7585"/>
    <w:rsid w:val="002E62CF"/>
    <w:rsid w:val="002F6015"/>
    <w:rsid w:val="002F6123"/>
    <w:rsid w:val="0030054F"/>
    <w:rsid w:val="00302844"/>
    <w:rsid w:val="0030561C"/>
    <w:rsid w:val="00307D4E"/>
    <w:rsid w:val="00310D13"/>
    <w:rsid w:val="00317028"/>
    <w:rsid w:val="0031751A"/>
    <w:rsid w:val="00323EB3"/>
    <w:rsid w:val="00326502"/>
    <w:rsid w:val="00330798"/>
    <w:rsid w:val="00330D9C"/>
    <w:rsid w:val="0033449B"/>
    <w:rsid w:val="00336043"/>
    <w:rsid w:val="00345046"/>
    <w:rsid w:val="003465F6"/>
    <w:rsid w:val="003471A3"/>
    <w:rsid w:val="00347B4B"/>
    <w:rsid w:val="00350035"/>
    <w:rsid w:val="00352929"/>
    <w:rsid w:val="00353E0A"/>
    <w:rsid w:val="003603DD"/>
    <w:rsid w:val="00360E12"/>
    <w:rsid w:val="0036756A"/>
    <w:rsid w:val="00367F2C"/>
    <w:rsid w:val="003710C3"/>
    <w:rsid w:val="00374E25"/>
    <w:rsid w:val="00374E38"/>
    <w:rsid w:val="0037502F"/>
    <w:rsid w:val="00376094"/>
    <w:rsid w:val="003810BF"/>
    <w:rsid w:val="00385982"/>
    <w:rsid w:val="003909B4"/>
    <w:rsid w:val="00395148"/>
    <w:rsid w:val="00395E25"/>
    <w:rsid w:val="00397CBC"/>
    <w:rsid w:val="003A64F1"/>
    <w:rsid w:val="003B0C1C"/>
    <w:rsid w:val="003B5D17"/>
    <w:rsid w:val="003C343D"/>
    <w:rsid w:val="003D333C"/>
    <w:rsid w:val="003D3EA9"/>
    <w:rsid w:val="003D5AC1"/>
    <w:rsid w:val="003D750E"/>
    <w:rsid w:val="003E226F"/>
    <w:rsid w:val="003E30C9"/>
    <w:rsid w:val="003E3529"/>
    <w:rsid w:val="003E4B57"/>
    <w:rsid w:val="003E5267"/>
    <w:rsid w:val="003F10F9"/>
    <w:rsid w:val="003F38E8"/>
    <w:rsid w:val="003F6239"/>
    <w:rsid w:val="003F6FBC"/>
    <w:rsid w:val="00400337"/>
    <w:rsid w:val="004026F3"/>
    <w:rsid w:val="00405531"/>
    <w:rsid w:val="00405E25"/>
    <w:rsid w:val="00414076"/>
    <w:rsid w:val="00417784"/>
    <w:rsid w:val="004216F3"/>
    <w:rsid w:val="00426FDD"/>
    <w:rsid w:val="00430674"/>
    <w:rsid w:val="004329F5"/>
    <w:rsid w:val="004365BB"/>
    <w:rsid w:val="00447829"/>
    <w:rsid w:val="00460A46"/>
    <w:rsid w:val="004617B6"/>
    <w:rsid w:val="004620F3"/>
    <w:rsid w:val="00465139"/>
    <w:rsid w:val="00466F07"/>
    <w:rsid w:val="0046797E"/>
    <w:rsid w:val="00477B66"/>
    <w:rsid w:val="00483CB7"/>
    <w:rsid w:val="00486403"/>
    <w:rsid w:val="00490B78"/>
    <w:rsid w:val="00491FF3"/>
    <w:rsid w:val="00494966"/>
    <w:rsid w:val="00495FF7"/>
    <w:rsid w:val="004A338C"/>
    <w:rsid w:val="004A6F41"/>
    <w:rsid w:val="004B1651"/>
    <w:rsid w:val="004B5D16"/>
    <w:rsid w:val="004C1F21"/>
    <w:rsid w:val="004C6364"/>
    <w:rsid w:val="004C72FA"/>
    <w:rsid w:val="004D0EF2"/>
    <w:rsid w:val="004D11C0"/>
    <w:rsid w:val="004D25BE"/>
    <w:rsid w:val="004D3469"/>
    <w:rsid w:val="004D3F90"/>
    <w:rsid w:val="004D53AE"/>
    <w:rsid w:val="004E03F7"/>
    <w:rsid w:val="004E0C3E"/>
    <w:rsid w:val="004E3F47"/>
    <w:rsid w:val="004E6197"/>
    <w:rsid w:val="004F0CC9"/>
    <w:rsid w:val="004F2559"/>
    <w:rsid w:val="0050780E"/>
    <w:rsid w:val="005128FE"/>
    <w:rsid w:val="00512D4C"/>
    <w:rsid w:val="005166F9"/>
    <w:rsid w:val="0051751C"/>
    <w:rsid w:val="005273D4"/>
    <w:rsid w:val="0053014E"/>
    <w:rsid w:val="00531B01"/>
    <w:rsid w:val="005411DD"/>
    <w:rsid w:val="005427E5"/>
    <w:rsid w:val="005537FD"/>
    <w:rsid w:val="005563C8"/>
    <w:rsid w:val="00557B37"/>
    <w:rsid w:val="0056263F"/>
    <w:rsid w:val="005675B8"/>
    <w:rsid w:val="00570AA3"/>
    <w:rsid w:val="00572A1A"/>
    <w:rsid w:val="00572BA7"/>
    <w:rsid w:val="005741B7"/>
    <w:rsid w:val="00574FE0"/>
    <w:rsid w:val="00576A49"/>
    <w:rsid w:val="00581FCE"/>
    <w:rsid w:val="00582032"/>
    <w:rsid w:val="00582477"/>
    <w:rsid w:val="005947A0"/>
    <w:rsid w:val="00597EDA"/>
    <w:rsid w:val="005A05FF"/>
    <w:rsid w:val="005A0792"/>
    <w:rsid w:val="005A0A67"/>
    <w:rsid w:val="005A0CE1"/>
    <w:rsid w:val="005A0EDF"/>
    <w:rsid w:val="005A69E9"/>
    <w:rsid w:val="005B4284"/>
    <w:rsid w:val="005C4692"/>
    <w:rsid w:val="005D14E1"/>
    <w:rsid w:val="005D1FC6"/>
    <w:rsid w:val="005D315A"/>
    <w:rsid w:val="005D3E71"/>
    <w:rsid w:val="005D44BF"/>
    <w:rsid w:val="005E1FBE"/>
    <w:rsid w:val="005E2C7A"/>
    <w:rsid w:val="005E3A4D"/>
    <w:rsid w:val="005E522C"/>
    <w:rsid w:val="005E5BB8"/>
    <w:rsid w:val="005E79A1"/>
    <w:rsid w:val="005E7A9F"/>
    <w:rsid w:val="005F1756"/>
    <w:rsid w:val="005F183A"/>
    <w:rsid w:val="005F4C33"/>
    <w:rsid w:val="005F7113"/>
    <w:rsid w:val="005F799D"/>
    <w:rsid w:val="005F7B40"/>
    <w:rsid w:val="00603E86"/>
    <w:rsid w:val="00605167"/>
    <w:rsid w:val="006070ED"/>
    <w:rsid w:val="00611E0C"/>
    <w:rsid w:val="0061233B"/>
    <w:rsid w:val="00616EF5"/>
    <w:rsid w:val="00620A84"/>
    <w:rsid w:val="00620C2D"/>
    <w:rsid w:val="0062232B"/>
    <w:rsid w:val="006235BE"/>
    <w:rsid w:val="006238C9"/>
    <w:rsid w:val="00625C38"/>
    <w:rsid w:val="006371BF"/>
    <w:rsid w:val="00643044"/>
    <w:rsid w:val="00646CB4"/>
    <w:rsid w:val="0065128F"/>
    <w:rsid w:val="00651570"/>
    <w:rsid w:val="00655D2F"/>
    <w:rsid w:val="0066717B"/>
    <w:rsid w:val="006751C0"/>
    <w:rsid w:val="00675B7F"/>
    <w:rsid w:val="006813C6"/>
    <w:rsid w:val="00684C63"/>
    <w:rsid w:val="006901DB"/>
    <w:rsid w:val="00691958"/>
    <w:rsid w:val="0069222A"/>
    <w:rsid w:val="006971CA"/>
    <w:rsid w:val="006A410C"/>
    <w:rsid w:val="006B09B4"/>
    <w:rsid w:val="006B4E1B"/>
    <w:rsid w:val="006C09D2"/>
    <w:rsid w:val="006C1E38"/>
    <w:rsid w:val="006C41D9"/>
    <w:rsid w:val="006C459D"/>
    <w:rsid w:val="006D3648"/>
    <w:rsid w:val="006D3943"/>
    <w:rsid w:val="006D5462"/>
    <w:rsid w:val="006E0041"/>
    <w:rsid w:val="006E1373"/>
    <w:rsid w:val="006E149C"/>
    <w:rsid w:val="006E2BFB"/>
    <w:rsid w:val="006E50D9"/>
    <w:rsid w:val="006E5EE6"/>
    <w:rsid w:val="006E5F55"/>
    <w:rsid w:val="006E6CC1"/>
    <w:rsid w:val="006F51A6"/>
    <w:rsid w:val="00705AF2"/>
    <w:rsid w:val="00705C93"/>
    <w:rsid w:val="007067D7"/>
    <w:rsid w:val="00713CA6"/>
    <w:rsid w:val="0071499B"/>
    <w:rsid w:val="00714D9D"/>
    <w:rsid w:val="00716B43"/>
    <w:rsid w:val="00720217"/>
    <w:rsid w:val="00721267"/>
    <w:rsid w:val="00726126"/>
    <w:rsid w:val="00726409"/>
    <w:rsid w:val="00726438"/>
    <w:rsid w:val="00730B3C"/>
    <w:rsid w:val="00730BE3"/>
    <w:rsid w:val="00733F78"/>
    <w:rsid w:val="00737511"/>
    <w:rsid w:val="00740808"/>
    <w:rsid w:val="007426B0"/>
    <w:rsid w:val="00745270"/>
    <w:rsid w:val="00745FB1"/>
    <w:rsid w:val="00753BD2"/>
    <w:rsid w:val="007551AE"/>
    <w:rsid w:val="00755E41"/>
    <w:rsid w:val="0076112B"/>
    <w:rsid w:val="00761FC9"/>
    <w:rsid w:val="007710C0"/>
    <w:rsid w:val="00774A74"/>
    <w:rsid w:val="0077772B"/>
    <w:rsid w:val="00777829"/>
    <w:rsid w:val="00787594"/>
    <w:rsid w:val="00790DCD"/>
    <w:rsid w:val="00795D97"/>
    <w:rsid w:val="00796084"/>
    <w:rsid w:val="007A2B73"/>
    <w:rsid w:val="007A5DBB"/>
    <w:rsid w:val="007A697B"/>
    <w:rsid w:val="007A6B84"/>
    <w:rsid w:val="007B59DD"/>
    <w:rsid w:val="007B7BD4"/>
    <w:rsid w:val="007C323E"/>
    <w:rsid w:val="007C6245"/>
    <w:rsid w:val="007D0534"/>
    <w:rsid w:val="007D0A6F"/>
    <w:rsid w:val="007D1ECD"/>
    <w:rsid w:val="007E3D06"/>
    <w:rsid w:val="007F0802"/>
    <w:rsid w:val="007F1A29"/>
    <w:rsid w:val="007F6BDB"/>
    <w:rsid w:val="008013A0"/>
    <w:rsid w:val="00802C07"/>
    <w:rsid w:val="00806371"/>
    <w:rsid w:val="00814369"/>
    <w:rsid w:val="00821A2E"/>
    <w:rsid w:val="00826B0F"/>
    <w:rsid w:val="00826CAD"/>
    <w:rsid w:val="00830F3A"/>
    <w:rsid w:val="00832315"/>
    <w:rsid w:val="008455BB"/>
    <w:rsid w:val="008461D7"/>
    <w:rsid w:val="00853D36"/>
    <w:rsid w:val="00857839"/>
    <w:rsid w:val="0086094E"/>
    <w:rsid w:val="00861869"/>
    <w:rsid w:val="0086518C"/>
    <w:rsid w:val="00866D62"/>
    <w:rsid w:val="0087697B"/>
    <w:rsid w:val="0087783B"/>
    <w:rsid w:val="00880562"/>
    <w:rsid w:val="00880659"/>
    <w:rsid w:val="00882A2C"/>
    <w:rsid w:val="00883A89"/>
    <w:rsid w:val="00886631"/>
    <w:rsid w:val="00891F86"/>
    <w:rsid w:val="0089221F"/>
    <w:rsid w:val="008927E2"/>
    <w:rsid w:val="00894295"/>
    <w:rsid w:val="0089493F"/>
    <w:rsid w:val="00896AC6"/>
    <w:rsid w:val="00896FCB"/>
    <w:rsid w:val="008A291F"/>
    <w:rsid w:val="008B111A"/>
    <w:rsid w:val="008B4F36"/>
    <w:rsid w:val="008B4FB2"/>
    <w:rsid w:val="008B717D"/>
    <w:rsid w:val="008C1099"/>
    <w:rsid w:val="008C65F5"/>
    <w:rsid w:val="008D031F"/>
    <w:rsid w:val="008D1314"/>
    <w:rsid w:val="008D293E"/>
    <w:rsid w:val="008D3212"/>
    <w:rsid w:val="008D7BCB"/>
    <w:rsid w:val="008F1723"/>
    <w:rsid w:val="008F33FC"/>
    <w:rsid w:val="009011DC"/>
    <w:rsid w:val="00901218"/>
    <w:rsid w:val="009025BA"/>
    <w:rsid w:val="00903EA6"/>
    <w:rsid w:val="0090506D"/>
    <w:rsid w:val="00905653"/>
    <w:rsid w:val="00907689"/>
    <w:rsid w:val="00912887"/>
    <w:rsid w:val="00915320"/>
    <w:rsid w:val="009156B3"/>
    <w:rsid w:val="00917420"/>
    <w:rsid w:val="009178E8"/>
    <w:rsid w:val="00921C4C"/>
    <w:rsid w:val="00925FAD"/>
    <w:rsid w:val="00930B3E"/>
    <w:rsid w:val="00933130"/>
    <w:rsid w:val="009408CB"/>
    <w:rsid w:val="00940C78"/>
    <w:rsid w:val="00942343"/>
    <w:rsid w:val="00944653"/>
    <w:rsid w:val="00946516"/>
    <w:rsid w:val="00950057"/>
    <w:rsid w:val="00950895"/>
    <w:rsid w:val="00951CCC"/>
    <w:rsid w:val="009574D0"/>
    <w:rsid w:val="00957726"/>
    <w:rsid w:val="00965C93"/>
    <w:rsid w:val="00971CFE"/>
    <w:rsid w:val="00973AC5"/>
    <w:rsid w:val="00973E3D"/>
    <w:rsid w:val="009776FB"/>
    <w:rsid w:val="009941C7"/>
    <w:rsid w:val="009972ED"/>
    <w:rsid w:val="00997320"/>
    <w:rsid w:val="00997B86"/>
    <w:rsid w:val="009A0150"/>
    <w:rsid w:val="009A5953"/>
    <w:rsid w:val="009A6C59"/>
    <w:rsid w:val="009B009B"/>
    <w:rsid w:val="009B0AB6"/>
    <w:rsid w:val="009B10C1"/>
    <w:rsid w:val="009B13D0"/>
    <w:rsid w:val="009B202F"/>
    <w:rsid w:val="009B307B"/>
    <w:rsid w:val="009B7A48"/>
    <w:rsid w:val="009C0D4A"/>
    <w:rsid w:val="009C6D67"/>
    <w:rsid w:val="009D0495"/>
    <w:rsid w:val="009D45E3"/>
    <w:rsid w:val="009D4B02"/>
    <w:rsid w:val="009E0DA4"/>
    <w:rsid w:val="009E1037"/>
    <w:rsid w:val="009E273A"/>
    <w:rsid w:val="009E36C3"/>
    <w:rsid w:val="009E3F83"/>
    <w:rsid w:val="009F6228"/>
    <w:rsid w:val="009F6EF6"/>
    <w:rsid w:val="009F7B2F"/>
    <w:rsid w:val="00A0063E"/>
    <w:rsid w:val="00A07AB1"/>
    <w:rsid w:val="00A133B3"/>
    <w:rsid w:val="00A13FA6"/>
    <w:rsid w:val="00A17176"/>
    <w:rsid w:val="00A17613"/>
    <w:rsid w:val="00A22160"/>
    <w:rsid w:val="00A229E3"/>
    <w:rsid w:val="00A24F93"/>
    <w:rsid w:val="00A27FA6"/>
    <w:rsid w:val="00A32859"/>
    <w:rsid w:val="00A33136"/>
    <w:rsid w:val="00A332CF"/>
    <w:rsid w:val="00A35D04"/>
    <w:rsid w:val="00A40A10"/>
    <w:rsid w:val="00A44551"/>
    <w:rsid w:val="00A44D62"/>
    <w:rsid w:val="00A51985"/>
    <w:rsid w:val="00A52C68"/>
    <w:rsid w:val="00A53D53"/>
    <w:rsid w:val="00A56439"/>
    <w:rsid w:val="00A61C4A"/>
    <w:rsid w:val="00A64066"/>
    <w:rsid w:val="00A702AB"/>
    <w:rsid w:val="00A72D1D"/>
    <w:rsid w:val="00A8349E"/>
    <w:rsid w:val="00A9229F"/>
    <w:rsid w:val="00A9293A"/>
    <w:rsid w:val="00A946F2"/>
    <w:rsid w:val="00A94D2C"/>
    <w:rsid w:val="00A9702D"/>
    <w:rsid w:val="00A97524"/>
    <w:rsid w:val="00AA3DE9"/>
    <w:rsid w:val="00AA3E2B"/>
    <w:rsid w:val="00AB2BA4"/>
    <w:rsid w:val="00AB334C"/>
    <w:rsid w:val="00AC0426"/>
    <w:rsid w:val="00AC0B43"/>
    <w:rsid w:val="00AC2B01"/>
    <w:rsid w:val="00AC5E3D"/>
    <w:rsid w:val="00AD192F"/>
    <w:rsid w:val="00AD1FDF"/>
    <w:rsid w:val="00AD2507"/>
    <w:rsid w:val="00AD6946"/>
    <w:rsid w:val="00AE4555"/>
    <w:rsid w:val="00AE494B"/>
    <w:rsid w:val="00AF1C42"/>
    <w:rsid w:val="00AF795E"/>
    <w:rsid w:val="00B02CF7"/>
    <w:rsid w:val="00B069EB"/>
    <w:rsid w:val="00B1102C"/>
    <w:rsid w:val="00B113EF"/>
    <w:rsid w:val="00B11B26"/>
    <w:rsid w:val="00B15395"/>
    <w:rsid w:val="00B16E69"/>
    <w:rsid w:val="00B17FFE"/>
    <w:rsid w:val="00B20C6D"/>
    <w:rsid w:val="00B21B02"/>
    <w:rsid w:val="00B22905"/>
    <w:rsid w:val="00B247F0"/>
    <w:rsid w:val="00B25068"/>
    <w:rsid w:val="00B2637A"/>
    <w:rsid w:val="00B263B9"/>
    <w:rsid w:val="00B26513"/>
    <w:rsid w:val="00B274E4"/>
    <w:rsid w:val="00B27C0A"/>
    <w:rsid w:val="00B30847"/>
    <w:rsid w:val="00B32CA9"/>
    <w:rsid w:val="00B4108F"/>
    <w:rsid w:val="00B46B3C"/>
    <w:rsid w:val="00B47E31"/>
    <w:rsid w:val="00B50594"/>
    <w:rsid w:val="00B560FE"/>
    <w:rsid w:val="00B57DB5"/>
    <w:rsid w:val="00B60D06"/>
    <w:rsid w:val="00B6272C"/>
    <w:rsid w:val="00B66AB6"/>
    <w:rsid w:val="00B72E13"/>
    <w:rsid w:val="00B74A67"/>
    <w:rsid w:val="00B778EE"/>
    <w:rsid w:val="00B8101B"/>
    <w:rsid w:val="00B82412"/>
    <w:rsid w:val="00B8615A"/>
    <w:rsid w:val="00B865D8"/>
    <w:rsid w:val="00B8777B"/>
    <w:rsid w:val="00B9148C"/>
    <w:rsid w:val="00B9363E"/>
    <w:rsid w:val="00B967B1"/>
    <w:rsid w:val="00BA16D5"/>
    <w:rsid w:val="00BA191F"/>
    <w:rsid w:val="00BA7841"/>
    <w:rsid w:val="00BB0738"/>
    <w:rsid w:val="00BB2D91"/>
    <w:rsid w:val="00BB62B1"/>
    <w:rsid w:val="00BB62E6"/>
    <w:rsid w:val="00BB6FF7"/>
    <w:rsid w:val="00BB794C"/>
    <w:rsid w:val="00BC00FC"/>
    <w:rsid w:val="00BC7AA4"/>
    <w:rsid w:val="00BD1B1E"/>
    <w:rsid w:val="00BD2AC2"/>
    <w:rsid w:val="00BE06ED"/>
    <w:rsid w:val="00BE0B00"/>
    <w:rsid w:val="00BE0D79"/>
    <w:rsid w:val="00BE1384"/>
    <w:rsid w:val="00BE23DC"/>
    <w:rsid w:val="00BE31DF"/>
    <w:rsid w:val="00BF2DAA"/>
    <w:rsid w:val="00BF4AEE"/>
    <w:rsid w:val="00BF539B"/>
    <w:rsid w:val="00BF5B16"/>
    <w:rsid w:val="00C03F27"/>
    <w:rsid w:val="00C0431F"/>
    <w:rsid w:val="00C0527F"/>
    <w:rsid w:val="00C05CB1"/>
    <w:rsid w:val="00C05E38"/>
    <w:rsid w:val="00C061DF"/>
    <w:rsid w:val="00C068F9"/>
    <w:rsid w:val="00C12CDD"/>
    <w:rsid w:val="00C144A8"/>
    <w:rsid w:val="00C1610F"/>
    <w:rsid w:val="00C16F98"/>
    <w:rsid w:val="00C17413"/>
    <w:rsid w:val="00C32E49"/>
    <w:rsid w:val="00C33291"/>
    <w:rsid w:val="00C413B8"/>
    <w:rsid w:val="00C44247"/>
    <w:rsid w:val="00C44878"/>
    <w:rsid w:val="00C46207"/>
    <w:rsid w:val="00C46CD7"/>
    <w:rsid w:val="00C47EBA"/>
    <w:rsid w:val="00C505EE"/>
    <w:rsid w:val="00C53512"/>
    <w:rsid w:val="00C53640"/>
    <w:rsid w:val="00C54C35"/>
    <w:rsid w:val="00C619B6"/>
    <w:rsid w:val="00C6274C"/>
    <w:rsid w:val="00C71125"/>
    <w:rsid w:val="00C74F04"/>
    <w:rsid w:val="00C800EF"/>
    <w:rsid w:val="00C81A13"/>
    <w:rsid w:val="00C829CA"/>
    <w:rsid w:val="00C846D1"/>
    <w:rsid w:val="00C84CC6"/>
    <w:rsid w:val="00C84DA9"/>
    <w:rsid w:val="00C85F58"/>
    <w:rsid w:val="00C8714A"/>
    <w:rsid w:val="00C918E1"/>
    <w:rsid w:val="00C91DDB"/>
    <w:rsid w:val="00C9250C"/>
    <w:rsid w:val="00C93461"/>
    <w:rsid w:val="00C977B4"/>
    <w:rsid w:val="00C97D16"/>
    <w:rsid w:val="00CA3B85"/>
    <w:rsid w:val="00CA7778"/>
    <w:rsid w:val="00CB1E08"/>
    <w:rsid w:val="00CC0704"/>
    <w:rsid w:val="00CC3A76"/>
    <w:rsid w:val="00CC5B44"/>
    <w:rsid w:val="00CD0776"/>
    <w:rsid w:val="00CD192C"/>
    <w:rsid w:val="00CD20AB"/>
    <w:rsid w:val="00CD2379"/>
    <w:rsid w:val="00CD7342"/>
    <w:rsid w:val="00CD7FFD"/>
    <w:rsid w:val="00CE040F"/>
    <w:rsid w:val="00CE0CA3"/>
    <w:rsid w:val="00CE1B69"/>
    <w:rsid w:val="00CE7E61"/>
    <w:rsid w:val="00CE7F6E"/>
    <w:rsid w:val="00CF4B66"/>
    <w:rsid w:val="00CF5104"/>
    <w:rsid w:val="00D00701"/>
    <w:rsid w:val="00D02041"/>
    <w:rsid w:val="00D020C7"/>
    <w:rsid w:val="00D02582"/>
    <w:rsid w:val="00D0291F"/>
    <w:rsid w:val="00D0496E"/>
    <w:rsid w:val="00D06C6D"/>
    <w:rsid w:val="00D17C1B"/>
    <w:rsid w:val="00D20294"/>
    <w:rsid w:val="00D20A55"/>
    <w:rsid w:val="00D21A4C"/>
    <w:rsid w:val="00D23B7C"/>
    <w:rsid w:val="00D26E3E"/>
    <w:rsid w:val="00D27ACD"/>
    <w:rsid w:val="00D36CB2"/>
    <w:rsid w:val="00D40B89"/>
    <w:rsid w:val="00D43EA6"/>
    <w:rsid w:val="00D455F5"/>
    <w:rsid w:val="00D542EC"/>
    <w:rsid w:val="00D57201"/>
    <w:rsid w:val="00D605D6"/>
    <w:rsid w:val="00D63EB6"/>
    <w:rsid w:val="00D72300"/>
    <w:rsid w:val="00D73B40"/>
    <w:rsid w:val="00D76BE8"/>
    <w:rsid w:val="00D76FAF"/>
    <w:rsid w:val="00D80334"/>
    <w:rsid w:val="00D837E0"/>
    <w:rsid w:val="00D86D98"/>
    <w:rsid w:val="00D87A14"/>
    <w:rsid w:val="00D91DB5"/>
    <w:rsid w:val="00DA14C3"/>
    <w:rsid w:val="00DA1A7C"/>
    <w:rsid w:val="00DA44AA"/>
    <w:rsid w:val="00DA4646"/>
    <w:rsid w:val="00DA47E5"/>
    <w:rsid w:val="00DA69D6"/>
    <w:rsid w:val="00DB1F0B"/>
    <w:rsid w:val="00DB2CE5"/>
    <w:rsid w:val="00DB4065"/>
    <w:rsid w:val="00DB4B41"/>
    <w:rsid w:val="00DC0C78"/>
    <w:rsid w:val="00DC6E6C"/>
    <w:rsid w:val="00DC7368"/>
    <w:rsid w:val="00DC773D"/>
    <w:rsid w:val="00DC7F4D"/>
    <w:rsid w:val="00DD2FFF"/>
    <w:rsid w:val="00DD6678"/>
    <w:rsid w:val="00DE45F1"/>
    <w:rsid w:val="00DE7362"/>
    <w:rsid w:val="00DE74F7"/>
    <w:rsid w:val="00DE7AAA"/>
    <w:rsid w:val="00DF2856"/>
    <w:rsid w:val="00DF4659"/>
    <w:rsid w:val="00E028A2"/>
    <w:rsid w:val="00E03A52"/>
    <w:rsid w:val="00E03B81"/>
    <w:rsid w:val="00E060D8"/>
    <w:rsid w:val="00E24F2A"/>
    <w:rsid w:val="00E3011B"/>
    <w:rsid w:val="00E42302"/>
    <w:rsid w:val="00E4267B"/>
    <w:rsid w:val="00E43FF3"/>
    <w:rsid w:val="00E44149"/>
    <w:rsid w:val="00E442FC"/>
    <w:rsid w:val="00E46056"/>
    <w:rsid w:val="00E47E9A"/>
    <w:rsid w:val="00E53184"/>
    <w:rsid w:val="00E53A76"/>
    <w:rsid w:val="00E53BFD"/>
    <w:rsid w:val="00E5469F"/>
    <w:rsid w:val="00E55B45"/>
    <w:rsid w:val="00E64697"/>
    <w:rsid w:val="00E65EA7"/>
    <w:rsid w:val="00E73709"/>
    <w:rsid w:val="00E74A59"/>
    <w:rsid w:val="00E74D17"/>
    <w:rsid w:val="00E77705"/>
    <w:rsid w:val="00E83384"/>
    <w:rsid w:val="00E8360C"/>
    <w:rsid w:val="00E84B38"/>
    <w:rsid w:val="00E866CD"/>
    <w:rsid w:val="00E908ED"/>
    <w:rsid w:val="00E935A8"/>
    <w:rsid w:val="00E93C0E"/>
    <w:rsid w:val="00E972FC"/>
    <w:rsid w:val="00E97D7A"/>
    <w:rsid w:val="00EA024B"/>
    <w:rsid w:val="00EA06F4"/>
    <w:rsid w:val="00EA5342"/>
    <w:rsid w:val="00EA7584"/>
    <w:rsid w:val="00EB50BF"/>
    <w:rsid w:val="00EB5565"/>
    <w:rsid w:val="00EB5B4E"/>
    <w:rsid w:val="00EB61C3"/>
    <w:rsid w:val="00EB646B"/>
    <w:rsid w:val="00EC0867"/>
    <w:rsid w:val="00EC1D91"/>
    <w:rsid w:val="00EC22DE"/>
    <w:rsid w:val="00ED412C"/>
    <w:rsid w:val="00ED5A99"/>
    <w:rsid w:val="00EE5766"/>
    <w:rsid w:val="00EF5AE5"/>
    <w:rsid w:val="00EF773A"/>
    <w:rsid w:val="00F00026"/>
    <w:rsid w:val="00F0213B"/>
    <w:rsid w:val="00F031F7"/>
    <w:rsid w:val="00F03DC3"/>
    <w:rsid w:val="00F0704C"/>
    <w:rsid w:val="00F15795"/>
    <w:rsid w:val="00F15AB2"/>
    <w:rsid w:val="00F21AB5"/>
    <w:rsid w:val="00F22939"/>
    <w:rsid w:val="00F24A36"/>
    <w:rsid w:val="00F30DCA"/>
    <w:rsid w:val="00F33EFD"/>
    <w:rsid w:val="00F4071B"/>
    <w:rsid w:val="00F45FA1"/>
    <w:rsid w:val="00F47006"/>
    <w:rsid w:val="00F475DA"/>
    <w:rsid w:val="00F710BF"/>
    <w:rsid w:val="00F722F8"/>
    <w:rsid w:val="00F75259"/>
    <w:rsid w:val="00F834BC"/>
    <w:rsid w:val="00F84667"/>
    <w:rsid w:val="00F85E6B"/>
    <w:rsid w:val="00F90E9C"/>
    <w:rsid w:val="00F92E47"/>
    <w:rsid w:val="00F93531"/>
    <w:rsid w:val="00F93B98"/>
    <w:rsid w:val="00F95B4F"/>
    <w:rsid w:val="00F97D10"/>
    <w:rsid w:val="00FA27F2"/>
    <w:rsid w:val="00FA2C2F"/>
    <w:rsid w:val="00FA75A8"/>
    <w:rsid w:val="00FB012F"/>
    <w:rsid w:val="00FB04BB"/>
    <w:rsid w:val="00FB0525"/>
    <w:rsid w:val="00FB09B6"/>
    <w:rsid w:val="00FB4852"/>
    <w:rsid w:val="00FD232B"/>
    <w:rsid w:val="00FD2339"/>
    <w:rsid w:val="00FD3F4E"/>
    <w:rsid w:val="00FD4265"/>
    <w:rsid w:val="00FE16BC"/>
    <w:rsid w:val="00FE2AB6"/>
    <w:rsid w:val="00FF0139"/>
    <w:rsid w:val="00FF092E"/>
    <w:rsid w:val="00FF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EC7C9"/>
  <w15:chartTrackingRefBased/>
  <w15:docId w15:val="{38EE7334-F965-4DA1-BCED-84F43E21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C3"/>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6A49"/>
    <w:pPr>
      <w:ind w:left="720"/>
      <w:contextualSpacing/>
    </w:pPr>
  </w:style>
  <w:style w:type="character" w:styleId="a4">
    <w:name w:val="Hyperlink"/>
    <w:basedOn w:val="a0"/>
    <w:uiPriority w:val="99"/>
    <w:unhideWhenUsed/>
    <w:rsid w:val="00DB4B41"/>
    <w:rPr>
      <w:color w:val="0563C1" w:themeColor="hyperlink"/>
      <w:u w:val="single"/>
    </w:rPr>
  </w:style>
  <w:style w:type="paragraph" w:styleId="a5">
    <w:name w:val="footnote text"/>
    <w:basedOn w:val="a"/>
    <w:link w:val="a6"/>
    <w:uiPriority w:val="99"/>
    <w:semiHidden/>
    <w:unhideWhenUsed/>
    <w:rsid w:val="00ED412C"/>
    <w:pPr>
      <w:spacing w:after="0" w:line="240" w:lineRule="auto"/>
    </w:pPr>
    <w:rPr>
      <w:sz w:val="20"/>
      <w:szCs w:val="20"/>
    </w:rPr>
  </w:style>
  <w:style w:type="character" w:customStyle="1" w:styleId="a6">
    <w:name w:val="Текст сноски Знак"/>
    <w:basedOn w:val="a0"/>
    <w:link w:val="a5"/>
    <w:uiPriority w:val="99"/>
    <w:semiHidden/>
    <w:rsid w:val="00ED412C"/>
    <w:rPr>
      <w:sz w:val="20"/>
      <w:szCs w:val="20"/>
      <w:lang w:val="en-GB"/>
    </w:rPr>
  </w:style>
  <w:style w:type="character" w:styleId="a7">
    <w:name w:val="footnote reference"/>
    <w:basedOn w:val="a0"/>
    <w:uiPriority w:val="99"/>
    <w:semiHidden/>
    <w:unhideWhenUsed/>
    <w:rsid w:val="00ED412C"/>
    <w:rPr>
      <w:vertAlign w:val="superscript"/>
    </w:rPr>
  </w:style>
  <w:style w:type="character" w:styleId="a8">
    <w:name w:val="FollowedHyperlink"/>
    <w:basedOn w:val="a0"/>
    <w:uiPriority w:val="99"/>
    <w:semiHidden/>
    <w:unhideWhenUsed/>
    <w:rsid w:val="00A0063E"/>
    <w:rPr>
      <w:color w:val="954F72" w:themeColor="followedHyperlink"/>
      <w:u w:val="single"/>
    </w:rPr>
  </w:style>
  <w:style w:type="paragraph" w:customStyle="1" w:styleId="Disclaimer">
    <w:name w:val="Disclaimer"/>
    <w:basedOn w:val="a"/>
    <w:qFormat/>
    <w:rsid w:val="00C0527F"/>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val="en-US" w:eastAsia="en-US"/>
    </w:rPr>
  </w:style>
  <w:style w:type="paragraph" w:customStyle="1" w:styleId="BlackStrips">
    <w:name w:val="Black Strips"/>
    <w:basedOn w:val="a"/>
    <w:qFormat/>
    <w:rsid w:val="00C0527F"/>
    <w:pPr>
      <w:shd w:val="clear" w:color="auto" w:fill="000000"/>
      <w:spacing w:after="200" w:line="240" w:lineRule="auto"/>
      <w:jc w:val="center"/>
    </w:pPr>
    <w:rPr>
      <w:rFonts w:eastAsiaTheme="minorHAnsi"/>
      <w:color w:val="FFFFFF"/>
      <w:sz w:val="24"/>
      <w:szCs w:val="24"/>
      <w:lang w:val="en-US" w:eastAsia="en-US"/>
    </w:rPr>
  </w:style>
  <w:style w:type="paragraph" w:customStyle="1" w:styleId="DisclaimerBold">
    <w:name w:val="Disclaimer Bold"/>
    <w:basedOn w:val="Disclaimer"/>
    <w:qFormat/>
    <w:rsid w:val="00C0527F"/>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83541">
      <w:bodyDiv w:val="1"/>
      <w:marLeft w:val="0"/>
      <w:marRight w:val="0"/>
      <w:marTop w:val="0"/>
      <w:marBottom w:val="0"/>
      <w:divBdr>
        <w:top w:val="none" w:sz="0" w:space="0" w:color="auto"/>
        <w:left w:val="none" w:sz="0" w:space="0" w:color="auto"/>
        <w:bottom w:val="none" w:sz="0" w:space="0" w:color="auto"/>
        <w:right w:val="none" w:sz="0" w:space="0" w:color="auto"/>
      </w:divBdr>
    </w:div>
    <w:div w:id="707685102">
      <w:bodyDiv w:val="1"/>
      <w:marLeft w:val="0"/>
      <w:marRight w:val="0"/>
      <w:marTop w:val="0"/>
      <w:marBottom w:val="0"/>
      <w:divBdr>
        <w:top w:val="none" w:sz="0" w:space="0" w:color="auto"/>
        <w:left w:val="none" w:sz="0" w:space="0" w:color="auto"/>
        <w:bottom w:val="none" w:sz="0" w:space="0" w:color="auto"/>
        <w:right w:val="none" w:sz="0" w:space="0" w:color="auto"/>
      </w:divBdr>
    </w:div>
    <w:div w:id="16834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sfc-and-hkma-disciplinary-actions-in-september-2022/" TargetMode="External"/><Relationship Id="rId13"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sfc.hk/edistributionWeb/api/news/openAppendix?lang=EN&amp;refNo=22PR55&amp;appendix=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nsubscribe@charltonslaw.com?subject=unsubscribe%20-Hong%20Kong%20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kex-and-sfc-disciplinary-actions-june-and-july-2022/" TargetMode="External"/><Relationship Id="rId5" Type="http://schemas.openxmlformats.org/officeDocument/2006/relationships/webSettings" Target="webSettings.xml"/><Relationship Id="rId15" Type="http://schemas.openxmlformats.org/officeDocument/2006/relationships/hyperlink" Target="https://www.hkma.gov.hk/media/eng/doc/key-information/press-release/2022/20220923e3a1.pdf" TargetMode="External"/><Relationship Id="rId10" Type="http://schemas.openxmlformats.org/officeDocument/2006/relationships/hyperlink" Target="https://apps.sfc.hk/edistributionWeb/api/news/openAppendix?lang=EN&amp;refNo=22PR69&amp;appendix=0" TargetMode="External"/><Relationship Id="rId4" Type="http://schemas.openxmlformats.org/officeDocument/2006/relationships/settings" Target="settings.xml"/><Relationship Id="rId9" Type="http://schemas.openxmlformats.org/officeDocument/2006/relationships/hyperlink" Target="https://www.hkex.com.hk/-/media/HKEX-Market/Listing/Rules-and-Guidance/Disciplinary-and-Enforcement/Disciplinary-Sanctions/2022/220926_SoDA.pdf" TargetMode="External"/><Relationship Id="rId14" Type="http://schemas.openxmlformats.org/officeDocument/2006/relationships/hyperlink" Target="https://www.sfat.gov.hk/files/SFAT%202021-1%20determin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A3384-3854-4F9F-A306-AD5065F3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Yuen</dc:creator>
  <cp:keywords/>
  <dc:description/>
  <cp:lastModifiedBy>Александр Пирогов</cp:lastModifiedBy>
  <cp:revision>13</cp:revision>
  <dcterms:created xsi:type="dcterms:W3CDTF">2022-10-19T07:51:00Z</dcterms:created>
  <dcterms:modified xsi:type="dcterms:W3CDTF">2022-10-31T06:36:00Z</dcterms:modified>
</cp:coreProperties>
</file>