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67DC" w:rsidRPr="00C13D3D" w:rsidRDefault="006967DC" w:rsidP="006967DC">
      <w:pPr>
        <w:shd w:val="clear" w:color="auto" w:fill="000000"/>
        <w:spacing w:after="200" w:line="240" w:lineRule="auto"/>
        <w:jc w:val="center"/>
        <w:rPr>
          <w:rFonts w:ascii="Cambria" w:eastAsia="Cambria" w:hAnsi="Cambria" w:cs="Times New Roman"/>
          <w:color w:val="FFFFFF"/>
          <w:sz w:val="24"/>
          <w:szCs w:val="24"/>
          <w:lang w:eastAsia="en-US"/>
        </w:rPr>
      </w:pPr>
      <w:r>
        <w:rPr>
          <w:rFonts w:ascii="Cambria" w:eastAsia="Cambria" w:hAnsi="Cambria" w:cs="Times New Roman"/>
          <w:color w:val="FFFFFF"/>
          <w:sz w:val="24"/>
          <w:szCs w:val="24"/>
          <w:lang w:eastAsia="en-US"/>
        </w:rPr>
        <w:t>Charltons - Hong Kong Law - 2</w:t>
      </w:r>
      <w:r w:rsidR="002E1B33" w:rsidRPr="002E1B33">
        <w:rPr>
          <w:rFonts w:ascii="Cambria" w:eastAsia="Cambria" w:hAnsi="Cambria" w:cs="Times New Roman"/>
          <w:color w:val="FFFFFF"/>
          <w:sz w:val="24"/>
          <w:szCs w:val="24"/>
          <w:lang w:val="en-US" w:eastAsia="en-US"/>
        </w:rPr>
        <w:t>7</w:t>
      </w:r>
      <w:r w:rsidRPr="00C13D3D">
        <w:rPr>
          <w:rFonts w:ascii="Cambria" w:eastAsia="Cambria" w:hAnsi="Cambria" w:cs="Times New Roman"/>
          <w:color w:val="FFFFFF"/>
          <w:sz w:val="24"/>
          <w:szCs w:val="24"/>
          <w:lang w:eastAsia="en-US"/>
        </w:rPr>
        <w:t xml:space="preserve"> </w:t>
      </w:r>
      <w:r>
        <w:rPr>
          <w:rFonts w:ascii="Cambria" w:eastAsia="Cambria" w:hAnsi="Cambria" w:cs="Times New Roman"/>
          <w:color w:val="FFFFFF"/>
          <w:sz w:val="24"/>
          <w:szCs w:val="24"/>
          <w:lang w:eastAsia="en-US"/>
        </w:rPr>
        <w:t xml:space="preserve">October </w:t>
      </w:r>
      <w:r w:rsidRPr="00C13D3D">
        <w:rPr>
          <w:rFonts w:ascii="Cambria" w:eastAsia="Cambria" w:hAnsi="Cambria" w:cs="Times New Roman"/>
          <w:color w:val="FFFFFF"/>
          <w:sz w:val="24"/>
          <w:szCs w:val="24"/>
          <w:lang w:eastAsia="en-US"/>
        </w:rPr>
        <w:t>2022</w:t>
      </w:r>
    </w:p>
    <w:p w:rsidR="006967DC" w:rsidRPr="006967DC" w:rsidRDefault="00000000" w:rsidP="006967DC">
      <w:pPr>
        <w:spacing w:after="200" w:line="240" w:lineRule="auto"/>
        <w:jc w:val="center"/>
        <w:rPr>
          <w:rFonts w:ascii="Cambria" w:eastAsia="Cambria" w:hAnsi="Cambria" w:cs="Times New Roman"/>
          <w:color w:val="00000A"/>
          <w:sz w:val="28"/>
          <w:szCs w:val="24"/>
          <w:u w:val="single"/>
          <w:lang w:eastAsia="en-US"/>
        </w:rPr>
      </w:pPr>
      <w:hyperlink r:id="rId6" w:history="1">
        <w:r w:rsidR="006967DC" w:rsidRPr="00365171">
          <w:rPr>
            <w:rStyle w:val="a3"/>
            <w:rFonts w:ascii="Cambria" w:eastAsia="Cambria" w:hAnsi="Cambria" w:cs="Times New Roman"/>
            <w:sz w:val="28"/>
            <w:szCs w:val="24"/>
            <w:lang w:eastAsia="en-US"/>
          </w:rPr>
          <w:t>online version</w:t>
        </w:r>
      </w:hyperlink>
    </w:p>
    <w:p w:rsidR="000E5F7D" w:rsidRPr="00C13D3D" w:rsidRDefault="00F704D8" w:rsidP="000E5F7D">
      <w:pPr>
        <w:keepNext/>
        <w:keepLines/>
        <w:spacing w:before="480" w:after="240" w:line="240" w:lineRule="auto"/>
        <w:jc w:val="center"/>
        <w:rPr>
          <w:rFonts w:ascii="Cambria" w:eastAsia="SimSun" w:hAnsi="Cambria" w:cs="Times New Roman"/>
          <w:b/>
          <w:bCs/>
          <w:color w:val="C0143C"/>
          <w:sz w:val="36"/>
          <w:szCs w:val="36"/>
          <w:lang w:eastAsia="en-US"/>
        </w:rPr>
      </w:pPr>
      <w:r>
        <w:rPr>
          <w:rFonts w:ascii="Cambria" w:eastAsia="SimSun" w:hAnsi="Cambria" w:cs="Times New Roman"/>
          <w:b/>
          <w:bCs/>
          <w:color w:val="C0143C"/>
          <w:sz w:val="36"/>
          <w:szCs w:val="36"/>
          <w:lang w:eastAsia="en-US"/>
        </w:rPr>
        <w:t>HKMA’s AML Regtech Lab Series u</w:t>
      </w:r>
      <w:r w:rsidR="000E5F7D">
        <w:rPr>
          <w:rFonts w:ascii="Cambria" w:eastAsia="SimSun" w:hAnsi="Cambria" w:cs="Times New Roman"/>
          <w:b/>
          <w:bCs/>
          <w:color w:val="C0143C"/>
          <w:sz w:val="36"/>
          <w:szCs w:val="36"/>
          <w:lang w:eastAsia="en-US"/>
        </w:rPr>
        <w:t>nder Fintech 2025</w:t>
      </w:r>
    </w:p>
    <w:p w:rsidR="001868E6" w:rsidRDefault="00395647" w:rsidP="001868E6">
      <w:pPr>
        <w:jc w:val="both"/>
        <w:rPr>
          <w:rFonts w:ascii="Arial" w:hAnsi="Arial" w:cs="Arial"/>
          <w:sz w:val="20"/>
          <w:szCs w:val="20"/>
        </w:rPr>
      </w:pPr>
      <w:r w:rsidRPr="00395647">
        <w:rPr>
          <w:rFonts w:ascii="Arial" w:hAnsi="Arial" w:cs="Arial"/>
          <w:sz w:val="20"/>
          <w:szCs w:val="20"/>
        </w:rPr>
        <w:t xml:space="preserve">On 29 September 2022, </w:t>
      </w:r>
      <w:r>
        <w:rPr>
          <w:rFonts w:ascii="Arial" w:hAnsi="Arial" w:cs="Arial"/>
          <w:sz w:val="20"/>
          <w:szCs w:val="20"/>
        </w:rPr>
        <w:t>the Hong Kong Monetary Authority (</w:t>
      </w:r>
      <w:r w:rsidRPr="00395647">
        <w:rPr>
          <w:rFonts w:ascii="Arial" w:hAnsi="Arial" w:cs="Arial"/>
          <w:b/>
          <w:sz w:val="20"/>
          <w:szCs w:val="20"/>
        </w:rPr>
        <w:t>HKMA</w:t>
      </w:r>
      <w:r>
        <w:rPr>
          <w:rFonts w:ascii="Arial" w:hAnsi="Arial" w:cs="Arial"/>
          <w:sz w:val="20"/>
          <w:szCs w:val="20"/>
        </w:rPr>
        <w:t xml:space="preserve">) published its </w:t>
      </w:r>
      <w:hyperlink r:id="rId7" w:history="1">
        <w:r w:rsidR="003852D6" w:rsidRPr="003F38D2">
          <w:rPr>
            <w:rStyle w:val="a3"/>
            <w:rFonts w:ascii="Arial" w:hAnsi="Arial" w:cs="Arial"/>
            <w:sz w:val="20"/>
            <w:szCs w:val="20"/>
          </w:rPr>
          <w:t>Q</w:t>
        </w:r>
        <w:r w:rsidRPr="003F38D2">
          <w:rPr>
            <w:rStyle w:val="a3"/>
            <w:rFonts w:ascii="Arial" w:hAnsi="Arial" w:cs="Arial"/>
            <w:sz w:val="20"/>
            <w:szCs w:val="20"/>
          </w:rPr>
          <w:t xml:space="preserve">uarterly </w:t>
        </w:r>
        <w:r w:rsidR="003852D6" w:rsidRPr="003F38D2">
          <w:rPr>
            <w:rStyle w:val="a3"/>
            <w:rFonts w:ascii="Arial" w:hAnsi="Arial" w:cs="Arial"/>
            <w:sz w:val="20"/>
            <w:szCs w:val="20"/>
          </w:rPr>
          <w:t>B</w:t>
        </w:r>
        <w:r w:rsidRPr="003F38D2">
          <w:rPr>
            <w:rStyle w:val="a3"/>
            <w:rFonts w:ascii="Arial" w:hAnsi="Arial" w:cs="Arial"/>
            <w:sz w:val="20"/>
            <w:szCs w:val="20"/>
          </w:rPr>
          <w:t>ulletin</w:t>
        </w:r>
      </w:hyperlink>
      <w:r>
        <w:rPr>
          <w:rFonts w:ascii="Arial" w:hAnsi="Arial" w:cs="Arial"/>
          <w:sz w:val="20"/>
          <w:szCs w:val="20"/>
        </w:rPr>
        <w:t xml:space="preserve"> issue number 112</w:t>
      </w:r>
      <w:r w:rsidR="003852D6">
        <w:rPr>
          <w:rFonts w:ascii="Arial" w:hAnsi="Arial" w:cs="Arial"/>
          <w:sz w:val="20"/>
          <w:szCs w:val="20"/>
        </w:rPr>
        <w:t xml:space="preserve"> (</w:t>
      </w:r>
      <w:r w:rsidR="003852D6" w:rsidRPr="00C65B7D">
        <w:rPr>
          <w:rFonts w:ascii="Arial" w:hAnsi="Arial" w:cs="Arial"/>
          <w:b/>
          <w:sz w:val="20"/>
          <w:szCs w:val="20"/>
        </w:rPr>
        <w:t xml:space="preserve">Quarterly </w:t>
      </w:r>
      <w:r w:rsidR="00C65B7D" w:rsidRPr="00C65B7D">
        <w:rPr>
          <w:rFonts w:ascii="Arial" w:hAnsi="Arial" w:cs="Arial"/>
          <w:b/>
          <w:sz w:val="20"/>
          <w:szCs w:val="20"/>
        </w:rPr>
        <w:t>Bulletin</w:t>
      </w:r>
      <w:r w:rsidR="00C65B7D">
        <w:rPr>
          <w:rFonts w:ascii="Arial" w:hAnsi="Arial" w:cs="Arial"/>
          <w:sz w:val="20"/>
          <w:szCs w:val="20"/>
        </w:rPr>
        <w:t>)</w:t>
      </w:r>
      <w:r w:rsidR="00E6486A">
        <w:rPr>
          <w:rFonts w:ascii="Arial" w:hAnsi="Arial" w:cs="Arial"/>
          <w:sz w:val="20"/>
          <w:szCs w:val="20"/>
        </w:rPr>
        <w:t>. Th</w:t>
      </w:r>
      <w:r w:rsidR="009475D8">
        <w:rPr>
          <w:rFonts w:ascii="Arial" w:hAnsi="Arial" w:cs="Arial"/>
          <w:sz w:val="20"/>
          <w:szCs w:val="20"/>
        </w:rPr>
        <w:t>e issue look</w:t>
      </w:r>
      <w:r w:rsidR="001977AE">
        <w:rPr>
          <w:rFonts w:ascii="Arial" w:hAnsi="Arial" w:cs="Arial"/>
          <w:sz w:val="20"/>
          <w:szCs w:val="20"/>
        </w:rPr>
        <w:t>s</w:t>
      </w:r>
      <w:r w:rsidR="009475D8">
        <w:rPr>
          <w:rFonts w:ascii="Arial" w:hAnsi="Arial" w:cs="Arial"/>
          <w:sz w:val="20"/>
          <w:szCs w:val="20"/>
        </w:rPr>
        <w:t xml:space="preserve"> at the HKMA’s Fintech 2025 strategy</w:t>
      </w:r>
      <w:r w:rsidR="001E52F3">
        <w:rPr>
          <w:rFonts w:ascii="Arial" w:hAnsi="Arial" w:cs="Arial"/>
          <w:sz w:val="20"/>
          <w:szCs w:val="20"/>
        </w:rPr>
        <w:t>,</w:t>
      </w:r>
      <w:r w:rsidR="00C933AD">
        <w:rPr>
          <w:rStyle w:val="a6"/>
          <w:rFonts w:ascii="Arial" w:hAnsi="Arial" w:cs="Arial"/>
          <w:sz w:val="20"/>
          <w:szCs w:val="20"/>
        </w:rPr>
        <w:footnoteReference w:id="1"/>
      </w:r>
      <w:r w:rsidR="001E52F3">
        <w:rPr>
          <w:rFonts w:ascii="Arial" w:hAnsi="Arial" w:cs="Arial"/>
          <w:sz w:val="20"/>
          <w:szCs w:val="20"/>
        </w:rPr>
        <w:t xml:space="preserve"> which encourages the adoptio</w:t>
      </w:r>
      <w:r w:rsidR="003F38D2">
        <w:rPr>
          <w:rFonts w:ascii="Arial" w:hAnsi="Arial" w:cs="Arial"/>
          <w:sz w:val="20"/>
          <w:szCs w:val="20"/>
        </w:rPr>
        <w:t>n of regulatory technology or “R</w:t>
      </w:r>
      <w:r w:rsidR="001E52F3">
        <w:rPr>
          <w:rFonts w:ascii="Arial" w:hAnsi="Arial" w:cs="Arial"/>
          <w:sz w:val="20"/>
          <w:szCs w:val="20"/>
        </w:rPr>
        <w:t>egtech”</w:t>
      </w:r>
      <w:r w:rsidR="001868E6">
        <w:rPr>
          <w:rFonts w:ascii="Arial" w:hAnsi="Arial" w:cs="Arial"/>
          <w:sz w:val="20"/>
          <w:szCs w:val="20"/>
        </w:rPr>
        <w:t xml:space="preserve"> and </w:t>
      </w:r>
      <w:r w:rsidR="003F38D2">
        <w:rPr>
          <w:rFonts w:ascii="Arial" w:hAnsi="Arial" w:cs="Arial"/>
          <w:sz w:val="20"/>
          <w:szCs w:val="20"/>
        </w:rPr>
        <w:t xml:space="preserve">highlights the importance of </w:t>
      </w:r>
      <w:r w:rsidR="00F11CB8">
        <w:rPr>
          <w:rFonts w:ascii="Arial" w:hAnsi="Arial" w:cs="Arial"/>
          <w:sz w:val="20"/>
          <w:szCs w:val="20"/>
        </w:rPr>
        <w:t xml:space="preserve">technology </w:t>
      </w:r>
      <w:r w:rsidR="003F38D2">
        <w:rPr>
          <w:rFonts w:ascii="Arial" w:hAnsi="Arial" w:cs="Arial"/>
          <w:sz w:val="20"/>
          <w:szCs w:val="20"/>
        </w:rPr>
        <w:t xml:space="preserve">in </w:t>
      </w:r>
      <w:r w:rsidR="00A828FF">
        <w:rPr>
          <w:rFonts w:ascii="Arial" w:hAnsi="Arial" w:cs="Arial"/>
          <w:sz w:val="20"/>
          <w:szCs w:val="20"/>
        </w:rPr>
        <w:t>improv</w:t>
      </w:r>
      <w:r w:rsidR="003F38D2">
        <w:rPr>
          <w:rFonts w:ascii="Arial" w:hAnsi="Arial" w:cs="Arial"/>
          <w:sz w:val="20"/>
          <w:szCs w:val="20"/>
        </w:rPr>
        <w:t>ing</w:t>
      </w:r>
      <w:r w:rsidR="00F11CB8">
        <w:rPr>
          <w:rFonts w:ascii="Arial" w:hAnsi="Arial" w:cs="Arial"/>
          <w:sz w:val="20"/>
          <w:szCs w:val="20"/>
        </w:rPr>
        <w:t xml:space="preserve"> the efficiency and effectiveness of anti-money laundering and counter-financing of terrorism </w:t>
      </w:r>
      <w:r w:rsidR="001868E6">
        <w:rPr>
          <w:rFonts w:ascii="Arial" w:hAnsi="Arial" w:cs="Arial"/>
          <w:sz w:val="20"/>
          <w:szCs w:val="20"/>
        </w:rPr>
        <w:t>(</w:t>
      </w:r>
      <w:r w:rsidR="001868E6" w:rsidRPr="001868E6">
        <w:rPr>
          <w:rFonts w:ascii="Arial" w:hAnsi="Arial" w:cs="Arial"/>
          <w:b/>
          <w:sz w:val="20"/>
          <w:szCs w:val="20"/>
        </w:rPr>
        <w:t>AML/CFT</w:t>
      </w:r>
      <w:r w:rsidR="001868E6">
        <w:rPr>
          <w:rFonts w:ascii="Arial" w:hAnsi="Arial" w:cs="Arial"/>
          <w:sz w:val="20"/>
          <w:szCs w:val="20"/>
        </w:rPr>
        <w:t xml:space="preserve">) </w:t>
      </w:r>
      <w:r w:rsidR="00F11CB8">
        <w:rPr>
          <w:rFonts w:ascii="Arial" w:hAnsi="Arial" w:cs="Arial"/>
          <w:sz w:val="20"/>
          <w:szCs w:val="20"/>
        </w:rPr>
        <w:t xml:space="preserve">work </w:t>
      </w:r>
      <w:r w:rsidR="001868E6">
        <w:rPr>
          <w:rFonts w:ascii="Arial" w:hAnsi="Arial" w:cs="Arial"/>
          <w:sz w:val="20"/>
          <w:szCs w:val="20"/>
        </w:rPr>
        <w:t xml:space="preserve">and financial crime </w:t>
      </w:r>
      <w:r w:rsidR="003F38D2">
        <w:rPr>
          <w:rFonts w:ascii="Arial" w:hAnsi="Arial" w:cs="Arial"/>
          <w:sz w:val="20"/>
          <w:szCs w:val="20"/>
        </w:rPr>
        <w:t xml:space="preserve">risk </w:t>
      </w:r>
      <w:r w:rsidR="001868E6">
        <w:rPr>
          <w:rFonts w:ascii="Arial" w:hAnsi="Arial" w:cs="Arial"/>
          <w:sz w:val="20"/>
          <w:szCs w:val="20"/>
        </w:rPr>
        <w:t xml:space="preserve">management. </w:t>
      </w:r>
      <w:r w:rsidR="001868E6" w:rsidRPr="006731AA">
        <w:rPr>
          <w:rFonts w:ascii="Arial" w:hAnsi="Arial" w:cs="Arial"/>
          <w:sz w:val="20"/>
          <w:szCs w:val="20"/>
        </w:rPr>
        <w:t xml:space="preserve">The Quarterly Bulletin </w:t>
      </w:r>
      <w:r w:rsidR="001868E6">
        <w:rPr>
          <w:rFonts w:ascii="Arial" w:hAnsi="Arial" w:cs="Arial"/>
          <w:sz w:val="20"/>
          <w:szCs w:val="20"/>
        </w:rPr>
        <w:t>also</w:t>
      </w:r>
      <w:r w:rsidR="001868E6" w:rsidRPr="006731AA">
        <w:rPr>
          <w:rFonts w:ascii="Arial" w:hAnsi="Arial" w:cs="Arial"/>
          <w:sz w:val="20"/>
          <w:szCs w:val="20"/>
        </w:rPr>
        <w:t xml:space="preserve"> </w:t>
      </w:r>
      <w:r w:rsidR="003F38D2">
        <w:rPr>
          <w:rFonts w:ascii="Arial" w:hAnsi="Arial" w:cs="Arial"/>
          <w:sz w:val="20"/>
          <w:szCs w:val="20"/>
        </w:rPr>
        <w:t>discusses the HKMA’s most recent initiative</w:t>
      </w:r>
      <w:r w:rsidR="001868E6" w:rsidRPr="006731AA">
        <w:rPr>
          <w:rFonts w:ascii="Arial" w:hAnsi="Arial" w:cs="Arial"/>
          <w:sz w:val="20"/>
          <w:szCs w:val="20"/>
        </w:rPr>
        <w:t xml:space="preserve"> under Fintech 2025,</w:t>
      </w:r>
      <w:r w:rsidR="00C86922">
        <w:rPr>
          <w:rFonts w:ascii="Arial" w:hAnsi="Arial" w:cs="Arial"/>
          <w:sz w:val="20"/>
          <w:szCs w:val="20"/>
        </w:rPr>
        <w:t xml:space="preserve"> AML Regtech Lab or</w:t>
      </w:r>
      <w:r w:rsidR="001868E6" w:rsidRPr="006731AA">
        <w:rPr>
          <w:rFonts w:ascii="Arial" w:hAnsi="Arial" w:cs="Arial"/>
          <w:sz w:val="20"/>
          <w:szCs w:val="20"/>
        </w:rPr>
        <w:t xml:space="preserve"> AMLab, which provides a collaborative platform helping the banking</w:t>
      </w:r>
      <w:r w:rsidR="003F38D2">
        <w:rPr>
          <w:rFonts w:ascii="Arial" w:hAnsi="Arial" w:cs="Arial"/>
          <w:sz w:val="20"/>
          <w:szCs w:val="20"/>
        </w:rPr>
        <w:t xml:space="preserve"> and </w:t>
      </w:r>
      <w:r w:rsidR="009F1095">
        <w:rPr>
          <w:rFonts w:ascii="Arial" w:hAnsi="Arial" w:cs="Arial"/>
          <w:sz w:val="20"/>
          <w:szCs w:val="20"/>
        </w:rPr>
        <w:t>F</w:t>
      </w:r>
      <w:r w:rsidR="003F38D2" w:rsidRPr="006731AA">
        <w:rPr>
          <w:rFonts w:ascii="Arial" w:hAnsi="Arial" w:cs="Arial"/>
          <w:sz w:val="20"/>
          <w:szCs w:val="20"/>
        </w:rPr>
        <w:t>intech</w:t>
      </w:r>
      <w:r w:rsidR="003F38D2">
        <w:rPr>
          <w:rFonts w:ascii="Arial" w:hAnsi="Arial" w:cs="Arial"/>
          <w:sz w:val="20"/>
          <w:szCs w:val="20"/>
        </w:rPr>
        <w:t xml:space="preserve"> industries</w:t>
      </w:r>
      <w:r w:rsidR="001868E6" w:rsidRPr="006731AA">
        <w:rPr>
          <w:rFonts w:ascii="Arial" w:hAnsi="Arial" w:cs="Arial"/>
          <w:sz w:val="20"/>
          <w:szCs w:val="20"/>
        </w:rPr>
        <w:t xml:space="preserve"> </w:t>
      </w:r>
      <w:r w:rsidR="003F38D2">
        <w:rPr>
          <w:rFonts w:ascii="Arial" w:hAnsi="Arial" w:cs="Arial"/>
          <w:sz w:val="20"/>
          <w:szCs w:val="20"/>
        </w:rPr>
        <w:t>explore R</w:t>
      </w:r>
      <w:r w:rsidR="001868E6" w:rsidRPr="006731AA">
        <w:rPr>
          <w:rFonts w:ascii="Arial" w:hAnsi="Arial" w:cs="Arial"/>
          <w:sz w:val="20"/>
          <w:szCs w:val="20"/>
        </w:rPr>
        <w:t>egtech solutions and improve AML/CFT controls</w:t>
      </w:r>
      <w:r w:rsidR="00C86922">
        <w:rPr>
          <w:rFonts w:ascii="Arial" w:hAnsi="Arial" w:cs="Arial"/>
          <w:sz w:val="20"/>
          <w:szCs w:val="20"/>
        </w:rPr>
        <w:t xml:space="preserve">. </w:t>
      </w:r>
    </w:p>
    <w:p w:rsidR="007C3B06" w:rsidRPr="00E45E0D" w:rsidRDefault="00E45E0D" w:rsidP="001E52F3">
      <w:pPr>
        <w:jc w:val="both"/>
        <w:rPr>
          <w:rFonts w:ascii="Arial" w:hAnsi="Arial" w:cs="Arial"/>
          <w:b/>
          <w:sz w:val="20"/>
          <w:szCs w:val="20"/>
        </w:rPr>
      </w:pPr>
      <w:r w:rsidRPr="00E45E0D">
        <w:rPr>
          <w:rFonts w:ascii="Arial" w:hAnsi="Arial" w:cs="Arial"/>
          <w:b/>
          <w:sz w:val="20"/>
          <w:szCs w:val="20"/>
        </w:rPr>
        <w:t>Money Laun</w:t>
      </w:r>
      <w:r w:rsidR="00F704D8">
        <w:rPr>
          <w:rFonts w:ascii="Arial" w:hAnsi="Arial" w:cs="Arial"/>
          <w:b/>
          <w:sz w:val="20"/>
          <w:szCs w:val="20"/>
        </w:rPr>
        <w:t>dering and Financial Crime Risk</w:t>
      </w:r>
      <w:r w:rsidRPr="00E45E0D">
        <w:rPr>
          <w:rFonts w:ascii="Arial" w:hAnsi="Arial" w:cs="Arial"/>
          <w:b/>
          <w:sz w:val="20"/>
          <w:szCs w:val="20"/>
        </w:rPr>
        <w:t xml:space="preserve"> in Hong Kong</w:t>
      </w:r>
    </w:p>
    <w:p w:rsidR="007C3B06" w:rsidRDefault="003C11AF" w:rsidP="001E52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Hong Kong government published its first Money Laundering and Terrorist Financing Risk Assessment Report in April 2018</w:t>
      </w:r>
      <w:r w:rsidR="00F704D8">
        <w:rPr>
          <w:rFonts w:ascii="Arial" w:hAnsi="Arial" w:cs="Arial"/>
          <w:sz w:val="20"/>
          <w:szCs w:val="20"/>
        </w:rPr>
        <w:t>,</w:t>
      </w:r>
      <w:r>
        <w:rPr>
          <w:rStyle w:val="a6"/>
          <w:rFonts w:ascii="Arial" w:hAnsi="Arial" w:cs="Arial"/>
          <w:sz w:val="20"/>
          <w:szCs w:val="20"/>
        </w:rPr>
        <w:footnoteReference w:id="2"/>
      </w:r>
      <w:r w:rsidR="000E67DA">
        <w:rPr>
          <w:rFonts w:ascii="Arial" w:hAnsi="Arial" w:cs="Arial"/>
          <w:sz w:val="20"/>
          <w:szCs w:val="20"/>
        </w:rPr>
        <w:t xml:space="preserve"> </w:t>
      </w:r>
      <w:r w:rsidR="00F704D8">
        <w:rPr>
          <w:rFonts w:ascii="Arial" w:hAnsi="Arial" w:cs="Arial"/>
          <w:sz w:val="20"/>
          <w:szCs w:val="20"/>
        </w:rPr>
        <w:t xml:space="preserve">which </w:t>
      </w:r>
      <w:r w:rsidR="000E67DA">
        <w:rPr>
          <w:rFonts w:ascii="Arial" w:hAnsi="Arial" w:cs="Arial"/>
          <w:sz w:val="20"/>
          <w:szCs w:val="20"/>
        </w:rPr>
        <w:t xml:space="preserve">found that Hong Kong’s banking system faced a high risk of exploitation for money laundering. </w:t>
      </w:r>
      <w:r w:rsidR="00BC6893">
        <w:rPr>
          <w:rFonts w:ascii="Arial" w:hAnsi="Arial" w:cs="Arial"/>
          <w:sz w:val="20"/>
          <w:szCs w:val="20"/>
        </w:rPr>
        <w:t>A follow-up assessment in July 2022</w:t>
      </w:r>
      <w:r w:rsidR="00BC6893">
        <w:rPr>
          <w:rStyle w:val="a6"/>
          <w:rFonts w:ascii="Arial" w:hAnsi="Arial" w:cs="Arial"/>
          <w:sz w:val="20"/>
          <w:szCs w:val="20"/>
        </w:rPr>
        <w:footnoteReference w:id="3"/>
      </w:r>
      <w:r w:rsidR="00BC6893">
        <w:rPr>
          <w:rFonts w:ascii="Arial" w:hAnsi="Arial" w:cs="Arial"/>
          <w:sz w:val="20"/>
          <w:szCs w:val="20"/>
        </w:rPr>
        <w:t xml:space="preserve"> </w:t>
      </w:r>
      <w:r w:rsidR="001977AE">
        <w:rPr>
          <w:rFonts w:ascii="Arial" w:hAnsi="Arial" w:cs="Arial"/>
          <w:sz w:val="20"/>
          <w:szCs w:val="20"/>
        </w:rPr>
        <w:t xml:space="preserve">reached </w:t>
      </w:r>
      <w:r w:rsidR="00BC6893">
        <w:rPr>
          <w:rFonts w:ascii="Arial" w:hAnsi="Arial" w:cs="Arial"/>
          <w:sz w:val="20"/>
          <w:szCs w:val="20"/>
        </w:rPr>
        <w:t xml:space="preserve">the same conclusion. </w:t>
      </w:r>
      <w:r w:rsidR="00042A2E">
        <w:rPr>
          <w:rFonts w:ascii="Arial" w:hAnsi="Arial" w:cs="Arial"/>
          <w:sz w:val="20"/>
          <w:szCs w:val="20"/>
        </w:rPr>
        <w:t>This is not to say that bank</w:t>
      </w:r>
      <w:r w:rsidR="008478D2">
        <w:rPr>
          <w:rFonts w:ascii="Arial" w:hAnsi="Arial" w:cs="Arial"/>
          <w:sz w:val="20"/>
          <w:szCs w:val="20"/>
        </w:rPr>
        <w:t>s</w:t>
      </w:r>
      <w:r w:rsidR="00042A2E">
        <w:rPr>
          <w:rFonts w:ascii="Arial" w:hAnsi="Arial" w:cs="Arial"/>
          <w:sz w:val="20"/>
          <w:szCs w:val="20"/>
        </w:rPr>
        <w:t xml:space="preserve"> in Hong Kong </w:t>
      </w:r>
      <w:r w:rsidR="00F704D8">
        <w:rPr>
          <w:rFonts w:ascii="Arial" w:hAnsi="Arial" w:cs="Arial"/>
          <w:sz w:val="20"/>
          <w:szCs w:val="20"/>
        </w:rPr>
        <w:t xml:space="preserve">have insufficient </w:t>
      </w:r>
      <w:r w:rsidR="00042A2E">
        <w:rPr>
          <w:rFonts w:ascii="Arial" w:hAnsi="Arial" w:cs="Arial"/>
          <w:sz w:val="20"/>
          <w:szCs w:val="20"/>
        </w:rPr>
        <w:t xml:space="preserve">AML/CFT controls or are </w:t>
      </w:r>
      <w:r w:rsidR="00F704D8">
        <w:rPr>
          <w:rFonts w:ascii="Arial" w:hAnsi="Arial" w:cs="Arial"/>
          <w:sz w:val="20"/>
          <w:szCs w:val="20"/>
        </w:rPr>
        <w:t>doing any</w:t>
      </w:r>
      <w:r w:rsidR="00AF6BE2">
        <w:rPr>
          <w:rFonts w:ascii="Arial" w:hAnsi="Arial" w:cs="Arial"/>
          <w:sz w:val="20"/>
          <w:szCs w:val="20"/>
        </w:rPr>
        <w:t>t</w:t>
      </w:r>
      <w:r w:rsidR="00A828FF">
        <w:rPr>
          <w:rFonts w:ascii="Arial" w:hAnsi="Arial" w:cs="Arial"/>
          <w:sz w:val="20"/>
          <w:szCs w:val="20"/>
        </w:rPr>
        <w:t>hing wrong. On the contrary, its</w:t>
      </w:r>
      <w:r w:rsidR="00AF6BE2">
        <w:rPr>
          <w:rFonts w:ascii="Arial" w:hAnsi="Arial" w:cs="Arial"/>
          <w:sz w:val="20"/>
          <w:szCs w:val="20"/>
        </w:rPr>
        <w:t xml:space="preserve"> ‘high’ risk </w:t>
      </w:r>
      <w:r w:rsidR="00A828FF">
        <w:rPr>
          <w:rFonts w:ascii="Arial" w:hAnsi="Arial" w:cs="Arial"/>
          <w:sz w:val="20"/>
          <w:szCs w:val="20"/>
        </w:rPr>
        <w:t xml:space="preserve">rating </w:t>
      </w:r>
      <w:r w:rsidR="00C564EB">
        <w:rPr>
          <w:rFonts w:ascii="Arial" w:hAnsi="Arial" w:cs="Arial"/>
          <w:sz w:val="20"/>
          <w:szCs w:val="20"/>
        </w:rPr>
        <w:t>simply reflects that Hong Kong i</w:t>
      </w:r>
      <w:r w:rsidR="00AF6BE2">
        <w:rPr>
          <w:rFonts w:ascii="Arial" w:hAnsi="Arial" w:cs="Arial"/>
          <w:sz w:val="20"/>
          <w:szCs w:val="20"/>
        </w:rPr>
        <w:t>s an international financial centre and regional trade hub</w:t>
      </w:r>
      <w:r w:rsidR="00A828FF">
        <w:rPr>
          <w:rFonts w:ascii="Arial" w:hAnsi="Arial" w:cs="Arial"/>
          <w:sz w:val="20"/>
          <w:szCs w:val="20"/>
        </w:rPr>
        <w:t xml:space="preserve"> with</w:t>
      </w:r>
      <w:r w:rsidR="00E425BF">
        <w:rPr>
          <w:rFonts w:ascii="Arial" w:hAnsi="Arial" w:cs="Arial"/>
          <w:sz w:val="20"/>
          <w:szCs w:val="20"/>
        </w:rPr>
        <w:t xml:space="preserve"> a sizeable banking sector</w:t>
      </w:r>
      <w:r w:rsidR="003C04CC">
        <w:rPr>
          <w:rFonts w:ascii="Arial" w:hAnsi="Arial" w:cs="Arial"/>
          <w:sz w:val="20"/>
          <w:szCs w:val="20"/>
        </w:rPr>
        <w:t xml:space="preserve">, making it a likely target for money launderers. </w:t>
      </w:r>
      <w:r w:rsidR="00A828FF">
        <w:rPr>
          <w:rFonts w:ascii="Arial" w:hAnsi="Arial" w:cs="Arial"/>
          <w:sz w:val="20"/>
          <w:szCs w:val="20"/>
        </w:rPr>
        <w:t xml:space="preserve">Seventy-eight </w:t>
      </w:r>
      <w:r w:rsidR="009872D4">
        <w:rPr>
          <w:rFonts w:ascii="Arial" w:hAnsi="Arial" w:cs="Arial"/>
          <w:sz w:val="20"/>
          <w:szCs w:val="20"/>
        </w:rPr>
        <w:t>of the world’s top 100 banks operate in Hong Kong and there were 188 institutions in 2021 authorised under the Banking Ordinance with total assets of HK$26.4 trillion.</w:t>
      </w:r>
    </w:p>
    <w:p w:rsidR="009872D4" w:rsidRDefault="003C04CC" w:rsidP="001F57F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Despite </w:t>
      </w:r>
      <w:r w:rsidR="003C352F">
        <w:rPr>
          <w:rFonts w:ascii="Arial" w:hAnsi="Arial" w:cs="Arial"/>
          <w:sz w:val="20"/>
          <w:szCs w:val="20"/>
        </w:rPr>
        <w:t xml:space="preserve">the global banking </w:t>
      </w:r>
      <w:r>
        <w:rPr>
          <w:rFonts w:ascii="Arial" w:hAnsi="Arial" w:cs="Arial"/>
          <w:sz w:val="20"/>
          <w:szCs w:val="20"/>
        </w:rPr>
        <w:t>and financial industries’</w:t>
      </w:r>
      <w:r w:rsidR="003C352F">
        <w:rPr>
          <w:rFonts w:ascii="Arial" w:hAnsi="Arial" w:cs="Arial"/>
          <w:sz w:val="20"/>
          <w:szCs w:val="20"/>
        </w:rPr>
        <w:t xml:space="preserve"> aware</w:t>
      </w:r>
      <w:r>
        <w:rPr>
          <w:rFonts w:ascii="Arial" w:hAnsi="Arial" w:cs="Arial"/>
          <w:sz w:val="20"/>
          <w:szCs w:val="20"/>
        </w:rPr>
        <w:t>ness</w:t>
      </w:r>
      <w:r w:rsidR="003C352F">
        <w:rPr>
          <w:rFonts w:ascii="Arial" w:hAnsi="Arial" w:cs="Arial"/>
          <w:sz w:val="20"/>
          <w:szCs w:val="20"/>
        </w:rPr>
        <w:t xml:space="preserve"> of the threat and</w:t>
      </w:r>
      <w:r w:rsidR="003C352F" w:rsidRPr="003C35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implementation of control measures</w:t>
      </w:r>
      <w:r w:rsidRPr="003C35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at the </w:t>
      </w:r>
      <w:r w:rsidR="003C352F" w:rsidRPr="003C352F">
        <w:rPr>
          <w:rFonts w:ascii="Arial" w:hAnsi="Arial" w:cs="Arial"/>
          <w:sz w:val="20"/>
          <w:szCs w:val="20"/>
        </w:rPr>
        <w:t>international, national, sectoral and individual institutional levels</w:t>
      </w:r>
      <w:r w:rsidR="003C352F">
        <w:rPr>
          <w:rFonts w:ascii="Arial" w:hAnsi="Arial" w:cs="Arial"/>
          <w:sz w:val="20"/>
          <w:szCs w:val="20"/>
        </w:rPr>
        <w:t xml:space="preserve">, criminals have proven adaptable in </w:t>
      </w:r>
      <w:r w:rsidR="005136DD" w:rsidRPr="005136DD">
        <w:rPr>
          <w:rFonts w:ascii="Arial" w:hAnsi="Arial" w:cs="Arial"/>
          <w:sz w:val="20"/>
          <w:szCs w:val="20"/>
        </w:rPr>
        <w:t>finding new ways to circumvent even the best controls</w:t>
      </w:r>
      <w:r w:rsidR="005136D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N</w:t>
      </w:r>
      <w:r w:rsidR="00DE1386">
        <w:rPr>
          <w:rFonts w:ascii="Arial" w:hAnsi="Arial" w:cs="Arial"/>
          <w:sz w:val="20"/>
          <w:szCs w:val="20"/>
        </w:rPr>
        <w:t xml:space="preserve">ew developments and technologies </w:t>
      </w:r>
      <w:r>
        <w:rPr>
          <w:rFonts w:ascii="Arial" w:hAnsi="Arial" w:cs="Arial"/>
          <w:sz w:val="20"/>
          <w:szCs w:val="20"/>
        </w:rPr>
        <w:t>offer</w:t>
      </w:r>
      <w:r w:rsidR="00DE1386">
        <w:rPr>
          <w:rFonts w:ascii="Arial" w:hAnsi="Arial" w:cs="Arial"/>
          <w:sz w:val="20"/>
          <w:szCs w:val="20"/>
        </w:rPr>
        <w:t xml:space="preserve">ing customers </w:t>
      </w:r>
      <w:r w:rsidR="001234AB">
        <w:rPr>
          <w:rFonts w:ascii="Arial" w:hAnsi="Arial" w:cs="Arial"/>
          <w:sz w:val="20"/>
          <w:szCs w:val="20"/>
        </w:rPr>
        <w:t xml:space="preserve">faster, </w:t>
      </w:r>
      <w:r w:rsidR="00DE1386">
        <w:rPr>
          <w:rFonts w:ascii="Arial" w:hAnsi="Arial" w:cs="Arial"/>
          <w:sz w:val="20"/>
          <w:szCs w:val="20"/>
        </w:rPr>
        <w:t xml:space="preserve">more </w:t>
      </w:r>
      <w:r w:rsidR="001234AB">
        <w:rPr>
          <w:rFonts w:ascii="Arial" w:hAnsi="Arial" w:cs="Arial"/>
          <w:sz w:val="20"/>
          <w:szCs w:val="20"/>
        </w:rPr>
        <w:t xml:space="preserve">accessible, and </w:t>
      </w:r>
      <w:r>
        <w:rPr>
          <w:rFonts w:ascii="Arial" w:hAnsi="Arial" w:cs="Arial"/>
          <w:sz w:val="20"/>
          <w:szCs w:val="20"/>
        </w:rPr>
        <w:t>more convenient services</w:t>
      </w:r>
      <w:r w:rsidR="001234AB">
        <w:rPr>
          <w:rFonts w:ascii="Arial" w:hAnsi="Arial" w:cs="Arial"/>
          <w:sz w:val="20"/>
          <w:szCs w:val="20"/>
        </w:rPr>
        <w:t xml:space="preserve"> </w:t>
      </w:r>
      <w:r w:rsidR="000C13C0">
        <w:rPr>
          <w:rFonts w:ascii="Arial" w:hAnsi="Arial" w:cs="Arial"/>
          <w:sz w:val="20"/>
          <w:szCs w:val="20"/>
        </w:rPr>
        <w:t>are also attracting</w:t>
      </w:r>
      <w:r w:rsidR="001234AB">
        <w:rPr>
          <w:rFonts w:ascii="Arial" w:hAnsi="Arial" w:cs="Arial"/>
          <w:sz w:val="20"/>
          <w:szCs w:val="20"/>
        </w:rPr>
        <w:t xml:space="preserve"> </w:t>
      </w:r>
      <w:r w:rsidR="001F57FF" w:rsidRPr="001F57FF">
        <w:rPr>
          <w:rFonts w:ascii="Arial" w:hAnsi="Arial" w:cs="Arial"/>
          <w:sz w:val="20"/>
          <w:szCs w:val="20"/>
        </w:rPr>
        <w:t>criminals seeking to exploit these services</w:t>
      </w:r>
      <w:r w:rsidR="00EC79EB">
        <w:rPr>
          <w:rFonts w:ascii="Arial" w:hAnsi="Arial" w:cs="Arial"/>
          <w:sz w:val="20"/>
          <w:szCs w:val="20"/>
        </w:rPr>
        <w:t xml:space="preserve">. </w:t>
      </w:r>
      <w:r w:rsidR="00E52D52">
        <w:rPr>
          <w:rFonts w:ascii="Arial" w:hAnsi="Arial" w:cs="Arial"/>
          <w:sz w:val="20"/>
          <w:szCs w:val="20"/>
        </w:rPr>
        <w:t>This makes it imperative that the</w:t>
      </w:r>
      <w:r w:rsidR="00EC79EB">
        <w:rPr>
          <w:rFonts w:ascii="Arial" w:hAnsi="Arial" w:cs="Arial"/>
          <w:sz w:val="20"/>
          <w:szCs w:val="20"/>
        </w:rPr>
        <w:t xml:space="preserve"> </w:t>
      </w:r>
      <w:r w:rsidR="002D29D0">
        <w:rPr>
          <w:rFonts w:ascii="Arial" w:hAnsi="Arial" w:cs="Arial"/>
          <w:sz w:val="20"/>
          <w:szCs w:val="20"/>
        </w:rPr>
        <w:t xml:space="preserve">opportunities </w:t>
      </w:r>
      <w:r w:rsidR="00E52D52">
        <w:rPr>
          <w:rFonts w:ascii="Arial" w:hAnsi="Arial" w:cs="Arial"/>
          <w:sz w:val="20"/>
          <w:szCs w:val="20"/>
        </w:rPr>
        <w:t xml:space="preserve">that technology provides to improve </w:t>
      </w:r>
      <w:r w:rsidR="002D29D0">
        <w:rPr>
          <w:rFonts w:ascii="Arial" w:hAnsi="Arial" w:cs="Arial"/>
          <w:sz w:val="20"/>
          <w:szCs w:val="20"/>
        </w:rPr>
        <w:t>AML/CFT controls</w:t>
      </w:r>
      <w:r w:rsidR="00E52D52">
        <w:rPr>
          <w:rFonts w:ascii="Arial" w:hAnsi="Arial" w:cs="Arial"/>
          <w:sz w:val="20"/>
          <w:szCs w:val="20"/>
        </w:rPr>
        <w:t xml:space="preserve"> are realised</w:t>
      </w:r>
      <w:r w:rsidR="002D29D0">
        <w:rPr>
          <w:rFonts w:ascii="Arial" w:hAnsi="Arial" w:cs="Arial"/>
          <w:sz w:val="20"/>
          <w:szCs w:val="20"/>
        </w:rPr>
        <w:t xml:space="preserve">. </w:t>
      </w:r>
    </w:p>
    <w:p w:rsidR="00C96321" w:rsidRPr="004B5E04" w:rsidRDefault="00C96321" w:rsidP="001E52F3">
      <w:pPr>
        <w:jc w:val="both"/>
        <w:rPr>
          <w:rFonts w:ascii="Arial" w:hAnsi="Arial" w:cs="Arial"/>
          <w:b/>
          <w:sz w:val="20"/>
          <w:szCs w:val="20"/>
        </w:rPr>
      </w:pPr>
      <w:r w:rsidRPr="004B5E04">
        <w:rPr>
          <w:rFonts w:ascii="Arial" w:hAnsi="Arial" w:cs="Arial"/>
          <w:b/>
          <w:sz w:val="20"/>
          <w:szCs w:val="20"/>
        </w:rPr>
        <w:t xml:space="preserve">AMLab </w:t>
      </w:r>
    </w:p>
    <w:p w:rsidR="00E45E0D" w:rsidRDefault="002C1877" w:rsidP="004360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HKMA’s “Fintech 2025” </w:t>
      </w:r>
      <w:r w:rsidR="003C01FA">
        <w:rPr>
          <w:rFonts w:ascii="Arial" w:hAnsi="Arial" w:cs="Arial"/>
          <w:sz w:val="20"/>
          <w:szCs w:val="20"/>
        </w:rPr>
        <w:t xml:space="preserve">drive for </w:t>
      </w:r>
      <w:r>
        <w:rPr>
          <w:rFonts w:ascii="Arial" w:hAnsi="Arial" w:cs="Arial"/>
          <w:sz w:val="20"/>
          <w:szCs w:val="20"/>
        </w:rPr>
        <w:t xml:space="preserve">banks </w:t>
      </w:r>
      <w:r w:rsidR="00C933AD">
        <w:rPr>
          <w:rFonts w:ascii="Arial" w:hAnsi="Arial" w:cs="Arial"/>
          <w:sz w:val="20"/>
          <w:szCs w:val="20"/>
        </w:rPr>
        <w:t xml:space="preserve">to </w:t>
      </w:r>
      <w:r w:rsidR="003C01FA">
        <w:rPr>
          <w:rFonts w:ascii="Arial" w:hAnsi="Arial" w:cs="Arial"/>
          <w:sz w:val="20"/>
          <w:szCs w:val="20"/>
        </w:rPr>
        <w:t>adopt</w:t>
      </w:r>
      <w:r w:rsidR="009F1095">
        <w:rPr>
          <w:rFonts w:ascii="Arial" w:hAnsi="Arial" w:cs="Arial"/>
          <w:sz w:val="20"/>
          <w:szCs w:val="20"/>
        </w:rPr>
        <w:t xml:space="preserve"> F</w:t>
      </w:r>
      <w:r w:rsidR="00CE4E1A">
        <w:rPr>
          <w:rFonts w:ascii="Arial" w:hAnsi="Arial" w:cs="Arial"/>
          <w:sz w:val="20"/>
          <w:szCs w:val="20"/>
        </w:rPr>
        <w:t xml:space="preserve">intech </w:t>
      </w:r>
      <w:r w:rsidR="00890CFE">
        <w:rPr>
          <w:rFonts w:ascii="Arial" w:hAnsi="Arial" w:cs="Arial"/>
          <w:sz w:val="20"/>
          <w:szCs w:val="20"/>
        </w:rPr>
        <w:t>included launching a series of AML Regtech Labs or “AMLabs”</w:t>
      </w:r>
      <w:r w:rsidR="003C01FA">
        <w:rPr>
          <w:rFonts w:ascii="Arial" w:hAnsi="Arial" w:cs="Arial"/>
          <w:sz w:val="20"/>
          <w:szCs w:val="20"/>
        </w:rPr>
        <w:t>,</w:t>
      </w:r>
      <w:r w:rsidR="004A2045">
        <w:rPr>
          <w:rFonts w:ascii="Arial" w:hAnsi="Arial" w:cs="Arial"/>
          <w:sz w:val="20"/>
          <w:szCs w:val="20"/>
        </w:rPr>
        <w:t xml:space="preserve"> which started in</w:t>
      </w:r>
      <w:r w:rsidR="00890CFE">
        <w:rPr>
          <w:rFonts w:ascii="Arial" w:hAnsi="Arial" w:cs="Arial"/>
          <w:sz w:val="20"/>
          <w:szCs w:val="20"/>
        </w:rPr>
        <w:t xml:space="preserve"> November 2021. </w:t>
      </w:r>
      <w:r w:rsidR="002E2451">
        <w:rPr>
          <w:rFonts w:ascii="Arial" w:hAnsi="Arial" w:cs="Arial"/>
          <w:sz w:val="20"/>
          <w:szCs w:val="20"/>
        </w:rPr>
        <w:t xml:space="preserve">The AMLab series </w:t>
      </w:r>
      <w:r w:rsidR="002C4692">
        <w:rPr>
          <w:rFonts w:ascii="Arial" w:hAnsi="Arial" w:cs="Arial"/>
          <w:sz w:val="20"/>
          <w:szCs w:val="20"/>
        </w:rPr>
        <w:t xml:space="preserve">aims to help banks explore and adopt Regtech solutions to enhance their AML/CFT work. </w:t>
      </w:r>
      <w:r w:rsidR="00D27869">
        <w:rPr>
          <w:rFonts w:ascii="Arial" w:hAnsi="Arial" w:cs="Arial"/>
          <w:sz w:val="20"/>
          <w:szCs w:val="20"/>
        </w:rPr>
        <w:t xml:space="preserve">Adopting these </w:t>
      </w:r>
      <w:r w:rsidR="00B7659C">
        <w:rPr>
          <w:rFonts w:ascii="Arial" w:hAnsi="Arial" w:cs="Arial"/>
          <w:sz w:val="20"/>
          <w:szCs w:val="20"/>
        </w:rPr>
        <w:t xml:space="preserve">tools </w:t>
      </w:r>
      <w:r w:rsidR="00D27869">
        <w:rPr>
          <w:rFonts w:ascii="Arial" w:hAnsi="Arial" w:cs="Arial"/>
          <w:sz w:val="20"/>
          <w:szCs w:val="20"/>
        </w:rPr>
        <w:t xml:space="preserve">can </w:t>
      </w:r>
      <w:r w:rsidR="009718CE">
        <w:rPr>
          <w:rFonts w:ascii="Arial" w:hAnsi="Arial" w:cs="Arial"/>
          <w:sz w:val="20"/>
          <w:szCs w:val="20"/>
        </w:rPr>
        <w:t xml:space="preserve">help </w:t>
      </w:r>
      <w:r w:rsidR="00E51621">
        <w:rPr>
          <w:rFonts w:ascii="Arial" w:hAnsi="Arial" w:cs="Arial"/>
          <w:sz w:val="20"/>
          <w:szCs w:val="20"/>
        </w:rPr>
        <w:t>banks</w:t>
      </w:r>
      <w:r w:rsidR="009718CE">
        <w:rPr>
          <w:rFonts w:ascii="Arial" w:hAnsi="Arial" w:cs="Arial"/>
          <w:sz w:val="20"/>
          <w:szCs w:val="20"/>
        </w:rPr>
        <w:t xml:space="preserve"> improve their defences against fraud and</w:t>
      </w:r>
      <w:r w:rsidR="00E51621">
        <w:rPr>
          <w:rFonts w:ascii="Arial" w:hAnsi="Arial" w:cs="Arial"/>
          <w:sz w:val="20"/>
          <w:szCs w:val="20"/>
        </w:rPr>
        <w:t xml:space="preserve"> other financial crime</w:t>
      </w:r>
      <w:r w:rsidR="001129AD">
        <w:rPr>
          <w:rFonts w:ascii="Arial" w:hAnsi="Arial" w:cs="Arial"/>
          <w:sz w:val="20"/>
          <w:szCs w:val="20"/>
        </w:rPr>
        <w:t xml:space="preserve">s. </w:t>
      </w:r>
      <w:r w:rsidR="00525323">
        <w:rPr>
          <w:rFonts w:ascii="Arial" w:hAnsi="Arial" w:cs="Arial"/>
          <w:sz w:val="20"/>
          <w:szCs w:val="20"/>
        </w:rPr>
        <w:t>The AMLab series provide</w:t>
      </w:r>
      <w:r w:rsidR="009718CE">
        <w:rPr>
          <w:rFonts w:ascii="Arial" w:hAnsi="Arial" w:cs="Arial"/>
          <w:sz w:val="20"/>
          <w:szCs w:val="20"/>
        </w:rPr>
        <w:t>s</w:t>
      </w:r>
      <w:r w:rsidR="00525323">
        <w:rPr>
          <w:rFonts w:ascii="Arial" w:hAnsi="Arial" w:cs="Arial"/>
          <w:sz w:val="20"/>
          <w:szCs w:val="20"/>
        </w:rPr>
        <w:t xml:space="preserve"> </w:t>
      </w:r>
      <w:r w:rsidR="00E27286">
        <w:rPr>
          <w:rFonts w:ascii="Arial" w:hAnsi="Arial" w:cs="Arial"/>
          <w:sz w:val="20"/>
          <w:szCs w:val="20"/>
        </w:rPr>
        <w:t xml:space="preserve">a collaborative platform for sharing </w:t>
      </w:r>
      <w:r w:rsidR="009718CE">
        <w:rPr>
          <w:rFonts w:ascii="Arial" w:hAnsi="Arial" w:cs="Arial"/>
          <w:sz w:val="20"/>
          <w:szCs w:val="20"/>
        </w:rPr>
        <w:t>experience of</w:t>
      </w:r>
      <w:r w:rsidR="00E27286">
        <w:rPr>
          <w:rFonts w:ascii="Arial" w:hAnsi="Arial" w:cs="Arial"/>
          <w:sz w:val="20"/>
          <w:szCs w:val="20"/>
        </w:rPr>
        <w:t xml:space="preserve"> Regtech approaches, </w:t>
      </w:r>
      <w:r w:rsidR="002547F1">
        <w:rPr>
          <w:rFonts w:ascii="Arial" w:hAnsi="Arial" w:cs="Arial"/>
          <w:sz w:val="20"/>
          <w:szCs w:val="20"/>
        </w:rPr>
        <w:t xml:space="preserve">focusing on </w:t>
      </w:r>
      <w:r w:rsidR="0043606B" w:rsidRPr="0043606B">
        <w:rPr>
          <w:rFonts w:ascii="Arial" w:hAnsi="Arial" w:cs="Arial"/>
          <w:sz w:val="20"/>
          <w:szCs w:val="20"/>
        </w:rPr>
        <w:t xml:space="preserve">solutions such as network analytics and easy-to-implement workflow automation. The </w:t>
      </w:r>
      <w:r w:rsidR="00B506B2">
        <w:rPr>
          <w:rFonts w:ascii="Arial" w:hAnsi="Arial" w:cs="Arial"/>
          <w:sz w:val="20"/>
          <w:szCs w:val="20"/>
        </w:rPr>
        <w:t>HKMA</w:t>
      </w:r>
      <w:r w:rsidR="009F1095">
        <w:rPr>
          <w:rFonts w:ascii="Arial" w:hAnsi="Arial" w:cs="Arial"/>
          <w:sz w:val="20"/>
          <w:szCs w:val="20"/>
        </w:rPr>
        <w:t>, banking industry and F</w:t>
      </w:r>
      <w:r w:rsidR="009718CE">
        <w:rPr>
          <w:rFonts w:ascii="Arial" w:hAnsi="Arial" w:cs="Arial"/>
          <w:sz w:val="20"/>
          <w:szCs w:val="20"/>
        </w:rPr>
        <w:t>intech community are collaborating to encourage</w:t>
      </w:r>
      <w:r w:rsidR="00B506B2">
        <w:rPr>
          <w:rFonts w:ascii="Arial" w:hAnsi="Arial" w:cs="Arial"/>
          <w:sz w:val="20"/>
          <w:szCs w:val="20"/>
        </w:rPr>
        <w:t xml:space="preserve"> the </w:t>
      </w:r>
      <w:r w:rsidR="0026235F">
        <w:rPr>
          <w:rFonts w:ascii="Arial" w:hAnsi="Arial" w:cs="Arial"/>
          <w:sz w:val="20"/>
          <w:szCs w:val="20"/>
        </w:rPr>
        <w:t xml:space="preserve">wider use of technology and data to improve </w:t>
      </w:r>
      <w:r w:rsidR="009718CE">
        <w:rPr>
          <w:rFonts w:ascii="Arial" w:hAnsi="Arial" w:cs="Arial"/>
          <w:sz w:val="20"/>
          <w:szCs w:val="20"/>
        </w:rPr>
        <w:t xml:space="preserve">the </w:t>
      </w:r>
      <w:r w:rsidR="0026235F">
        <w:rPr>
          <w:rFonts w:ascii="Arial" w:hAnsi="Arial" w:cs="Arial"/>
          <w:sz w:val="20"/>
          <w:szCs w:val="20"/>
        </w:rPr>
        <w:t xml:space="preserve">efficiency and effectiveness </w:t>
      </w:r>
      <w:r w:rsidR="00B506B2">
        <w:rPr>
          <w:rFonts w:ascii="Arial" w:hAnsi="Arial" w:cs="Arial"/>
          <w:sz w:val="20"/>
          <w:szCs w:val="20"/>
        </w:rPr>
        <w:t xml:space="preserve">of AML/CFT controls. </w:t>
      </w:r>
    </w:p>
    <w:p w:rsidR="00B5333D" w:rsidRPr="00B5333D" w:rsidRDefault="00B5333D" w:rsidP="0043606B">
      <w:pPr>
        <w:jc w:val="both"/>
        <w:rPr>
          <w:rFonts w:ascii="Arial" w:hAnsi="Arial" w:cs="Arial"/>
          <w:b/>
          <w:sz w:val="20"/>
          <w:szCs w:val="20"/>
        </w:rPr>
      </w:pPr>
      <w:r w:rsidRPr="00B5333D">
        <w:rPr>
          <w:rFonts w:ascii="Arial" w:hAnsi="Arial" w:cs="Arial"/>
          <w:b/>
          <w:sz w:val="20"/>
          <w:szCs w:val="20"/>
        </w:rPr>
        <w:t>AMLab 1: Network Analytics</w:t>
      </w:r>
    </w:p>
    <w:p w:rsidR="00C933AD" w:rsidRDefault="00A847B9" w:rsidP="005F6B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first AMLab focused</w:t>
      </w:r>
      <w:r w:rsidR="00B52C62">
        <w:rPr>
          <w:rFonts w:ascii="Arial" w:hAnsi="Arial" w:cs="Arial"/>
          <w:sz w:val="20"/>
          <w:szCs w:val="20"/>
        </w:rPr>
        <w:t xml:space="preserve"> on network analytics, </w:t>
      </w:r>
      <w:r w:rsidR="00E87452">
        <w:rPr>
          <w:rFonts w:ascii="Arial" w:hAnsi="Arial" w:cs="Arial"/>
          <w:sz w:val="20"/>
          <w:szCs w:val="20"/>
        </w:rPr>
        <w:t xml:space="preserve">a technology that has shown potential against fraud mule accounts. </w:t>
      </w:r>
      <w:r w:rsidR="005F6BC7">
        <w:rPr>
          <w:rFonts w:ascii="Arial" w:hAnsi="Arial" w:cs="Arial"/>
          <w:sz w:val="20"/>
          <w:szCs w:val="20"/>
        </w:rPr>
        <w:t xml:space="preserve">Fraud mule accounts are </w:t>
      </w:r>
      <w:r>
        <w:rPr>
          <w:rFonts w:ascii="Arial" w:hAnsi="Arial" w:cs="Arial"/>
          <w:sz w:val="20"/>
          <w:szCs w:val="20"/>
        </w:rPr>
        <w:t xml:space="preserve">opened by </w:t>
      </w:r>
      <w:r w:rsidR="005F6BC7">
        <w:rPr>
          <w:rFonts w:ascii="Arial" w:hAnsi="Arial" w:cs="Arial"/>
          <w:sz w:val="20"/>
          <w:szCs w:val="20"/>
        </w:rPr>
        <w:t>m</w:t>
      </w:r>
      <w:r w:rsidR="005F6BC7" w:rsidRPr="005F6BC7">
        <w:rPr>
          <w:rFonts w:ascii="Arial" w:hAnsi="Arial" w:cs="Arial"/>
          <w:sz w:val="20"/>
          <w:szCs w:val="20"/>
        </w:rPr>
        <w:t xml:space="preserve">oney launderers </w:t>
      </w:r>
      <w:r>
        <w:rPr>
          <w:rFonts w:ascii="Arial" w:hAnsi="Arial" w:cs="Arial"/>
          <w:sz w:val="20"/>
          <w:szCs w:val="20"/>
        </w:rPr>
        <w:t>to receive crime</w:t>
      </w:r>
      <w:r w:rsidR="005F6BC7" w:rsidRPr="005F6BC7">
        <w:rPr>
          <w:rFonts w:ascii="Arial" w:hAnsi="Arial" w:cs="Arial"/>
          <w:sz w:val="20"/>
          <w:szCs w:val="20"/>
        </w:rPr>
        <w:t xml:space="preserve"> proceeds, both as a point of entry into the banking system and then to quickly dissipate funds to multiple accounts to make them hard to trace.</w:t>
      </w:r>
      <w:r>
        <w:rPr>
          <w:rFonts w:ascii="Arial" w:hAnsi="Arial" w:cs="Arial"/>
          <w:sz w:val="20"/>
          <w:szCs w:val="20"/>
        </w:rPr>
        <w:t xml:space="preserve"> C</w:t>
      </w:r>
      <w:r w:rsidR="00A97483">
        <w:rPr>
          <w:rFonts w:ascii="Arial" w:hAnsi="Arial" w:cs="Arial"/>
          <w:sz w:val="20"/>
          <w:szCs w:val="20"/>
        </w:rPr>
        <w:t xml:space="preserve">riminals use various methods </w:t>
      </w:r>
      <w:r>
        <w:rPr>
          <w:rFonts w:ascii="Arial" w:hAnsi="Arial" w:cs="Arial"/>
          <w:sz w:val="20"/>
          <w:szCs w:val="20"/>
        </w:rPr>
        <w:t xml:space="preserve">to open accounts, </w:t>
      </w:r>
      <w:r w:rsidR="00A97483">
        <w:rPr>
          <w:rFonts w:ascii="Arial" w:hAnsi="Arial" w:cs="Arial"/>
          <w:sz w:val="20"/>
          <w:szCs w:val="20"/>
        </w:rPr>
        <w:t>such as opening accounts using fake identification, “stooge” accounts opened by accomplices, and shell</w:t>
      </w:r>
      <w:r w:rsidR="000757A1">
        <w:rPr>
          <w:rFonts w:ascii="Arial" w:hAnsi="Arial" w:cs="Arial"/>
          <w:sz w:val="20"/>
          <w:szCs w:val="20"/>
        </w:rPr>
        <w:t>-</w:t>
      </w:r>
      <w:r w:rsidR="00A97483">
        <w:rPr>
          <w:rFonts w:ascii="Arial" w:hAnsi="Arial" w:cs="Arial"/>
          <w:sz w:val="20"/>
          <w:szCs w:val="20"/>
        </w:rPr>
        <w:t>company accounts for</w:t>
      </w:r>
      <w:r>
        <w:rPr>
          <w:rFonts w:ascii="Arial" w:hAnsi="Arial" w:cs="Arial"/>
          <w:sz w:val="20"/>
          <w:szCs w:val="20"/>
        </w:rPr>
        <w:t xml:space="preserve"> what appear</w:t>
      </w:r>
      <w:r w:rsidR="00A97483">
        <w:rPr>
          <w:rFonts w:ascii="Arial" w:hAnsi="Arial" w:cs="Arial"/>
          <w:sz w:val="20"/>
          <w:szCs w:val="20"/>
        </w:rPr>
        <w:t xml:space="preserve"> to be legitimate businesses but often undertake no actual trading. </w:t>
      </w:r>
      <w:r w:rsidR="00CA73E2">
        <w:rPr>
          <w:rFonts w:ascii="Arial" w:hAnsi="Arial" w:cs="Arial"/>
          <w:sz w:val="20"/>
          <w:szCs w:val="20"/>
        </w:rPr>
        <w:t xml:space="preserve">Banks, accounts with payment service providers, and wallets provided by crypto-exchanges are targeted. </w:t>
      </w:r>
      <w:r w:rsidR="00FA36F7">
        <w:rPr>
          <w:rFonts w:ascii="Arial" w:hAnsi="Arial" w:cs="Arial"/>
          <w:sz w:val="20"/>
          <w:szCs w:val="20"/>
        </w:rPr>
        <w:t xml:space="preserve">Because newly opened </w:t>
      </w:r>
      <w:r w:rsidR="00FA36F7">
        <w:rPr>
          <w:rFonts w:ascii="Arial" w:hAnsi="Arial" w:cs="Arial"/>
          <w:sz w:val="20"/>
          <w:szCs w:val="20"/>
        </w:rPr>
        <w:lastRenderedPageBreak/>
        <w:t xml:space="preserve">accounts have no track record, it is very difficult for banks to notice </w:t>
      </w:r>
      <w:r w:rsidR="00C73D9C">
        <w:rPr>
          <w:rFonts w:ascii="Arial" w:hAnsi="Arial" w:cs="Arial"/>
          <w:sz w:val="20"/>
          <w:szCs w:val="20"/>
        </w:rPr>
        <w:t>that something</w:t>
      </w:r>
      <w:r w:rsidR="00FA36F7">
        <w:rPr>
          <w:rFonts w:ascii="Arial" w:hAnsi="Arial" w:cs="Arial"/>
          <w:sz w:val="20"/>
          <w:szCs w:val="20"/>
        </w:rPr>
        <w:t xml:space="preserve"> </w:t>
      </w:r>
      <w:r w:rsidR="00C73D9C">
        <w:rPr>
          <w:rFonts w:ascii="Arial" w:hAnsi="Arial" w:cs="Arial"/>
          <w:sz w:val="20"/>
          <w:szCs w:val="20"/>
        </w:rPr>
        <w:t>suspicious</w:t>
      </w:r>
      <w:r w:rsidR="00FA36F7">
        <w:rPr>
          <w:rFonts w:ascii="Arial" w:hAnsi="Arial" w:cs="Arial"/>
          <w:sz w:val="20"/>
          <w:szCs w:val="20"/>
        </w:rPr>
        <w:t xml:space="preserve"> has happened. </w:t>
      </w:r>
      <w:r w:rsidR="004A0E9E">
        <w:rPr>
          <w:rFonts w:ascii="Arial" w:hAnsi="Arial" w:cs="Arial"/>
          <w:sz w:val="20"/>
          <w:szCs w:val="20"/>
        </w:rPr>
        <w:t xml:space="preserve">As a result, significant resources are necessary for monitoring </w:t>
      </w:r>
      <w:r w:rsidR="00C44D5D">
        <w:rPr>
          <w:rFonts w:ascii="Arial" w:hAnsi="Arial" w:cs="Arial"/>
          <w:sz w:val="20"/>
          <w:szCs w:val="20"/>
        </w:rPr>
        <w:t>activities across all accounts. While this can be successful, it often creates many false alerts, wast</w:t>
      </w:r>
      <w:r w:rsidR="0093269F">
        <w:rPr>
          <w:rFonts w:ascii="Arial" w:hAnsi="Arial" w:cs="Arial"/>
          <w:sz w:val="20"/>
          <w:szCs w:val="20"/>
        </w:rPr>
        <w:t>es</w:t>
      </w:r>
      <w:r w:rsidR="00C44D5D">
        <w:rPr>
          <w:rFonts w:ascii="Arial" w:hAnsi="Arial" w:cs="Arial"/>
          <w:sz w:val="20"/>
          <w:szCs w:val="20"/>
        </w:rPr>
        <w:t xml:space="preserve"> time, effort, and money for financial institutions, </w:t>
      </w:r>
      <w:r>
        <w:rPr>
          <w:rFonts w:ascii="Arial" w:hAnsi="Arial" w:cs="Arial"/>
          <w:sz w:val="20"/>
          <w:szCs w:val="20"/>
        </w:rPr>
        <w:t xml:space="preserve">and </w:t>
      </w:r>
      <w:r w:rsidR="0093269F">
        <w:rPr>
          <w:rFonts w:ascii="Arial" w:hAnsi="Arial" w:cs="Arial"/>
          <w:sz w:val="20"/>
          <w:szCs w:val="20"/>
        </w:rPr>
        <w:t>can be an</w:t>
      </w:r>
      <w:r w:rsidR="00C44D5D">
        <w:rPr>
          <w:rFonts w:ascii="Arial" w:hAnsi="Arial" w:cs="Arial"/>
          <w:sz w:val="20"/>
          <w:szCs w:val="20"/>
        </w:rPr>
        <w:t xml:space="preserve"> inconvenience for legitimate customers. </w:t>
      </w:r>
    </w:p>
    <w:p w:rsidR="00736A62" w:rsidRDefault="00736A62" w:rsidP="005F6B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With banks always looking out</w:t>
      </w:r>
      <w:r w:rsidR="00246984">
        <w:rPr>
          <w:rFonts w:ascii="Arial" w:hAnsi="Arial" w:cs="Arial"/>
          <w:sz w:val="20"/>
          <w:szCs w:val="20"/>
        </w:rPr>
        <w:t xml:space="preserve"> for mule accounts</w:t>
      </w:r>
      <w:r>
        <w:rPr>
          <w:rFonts w:ascii="Arial" w:hAnsi="Arial" w:cs="Arial"/>
          <w:sz w:val="20"/>
          <w:szCs w:val="20"/>
        </w:rPr>
        <w:t xml:space="preserve">, </w:t>
      </w:r>
      <w:r w:rsidR="00460684">
        <w:rPr>
          <w:rFonts w:ascii="Arial" w:hAnsi="Arial" w:cs="Arial"/>
          <w:sz w:val="20"/>
          <w:szCs w:val="20"/>
        </w:rPr>
        <w:t>there is an incentive for specialised syndicates to have as many accounts as</w:t>
      </w:r>
      <w:r w:rsidR="00246984">
        <w:rPr>
          <w:rFonts w:ascii="Arial" w:hAnsi="Arial" w:cs="Arial"/>
          <w:sz w:val="20"/>
          <w:szCs w:val="20"/>
        </w:rPr>
        <w:t xml:space="preserve"> possible</w:t>
      </w:r>
      <w:r w:rsidR="00460684">
        <w:rPr>
          <w:rFonts w:ascii="Arial" w:hAnsi="Arial" w:cs="Arial"/>
          <w:sz w:val="20"/>
          <w:szCs w:val="20"/>
        </w:rPr>
        <w:t xml:space="preserve">. </w:t>
      </w:r>
      <w:r w:rsidR="00ED1ABC">
        <w:rPr>
          <w:rFonts w:ascii="Arial" w:hAnsi="Arial" w:cs="Arial"/>
          <w:sz w:val="20"/>
          <w:szCs w:val="20"/>
        </w:rPr>
        <w:t>It is not uncommon for criminals to use mule accou</w:t>
      </w:r>
      <w:r w:rsidR="00246984">
        <w:rPr>
          <w:rFonts w:ascii="Arial" w:hAnsi="Arial" w:cs="Arial"/>
          <w:sz w:val="20"/>
          <w:szCs w:val="20"/>
        </w:rPr>
        <w:t>nts just once before banks spot</w:t>
      </w:r>
      <w:r w:rsidR="00ED1ABC">
        <w:rPr>
          <w:rFonts w:ascii="Arial" w:hAnsi="Arial" w:cs="Arial"/>
          <w:sz w:val="20"/>
          <w:szCs w:val="20"/>
        </w:rPr>
        <w:t xml:space="preserve"> th</w:t>
      </w:r>
      <w:r w:rsidR="00246984">
        <w:rPr>
          <w:rFonts w:ascii="Arial" w:hAnsi="Arial" w:cs="Arial"/>
          <w:sz w:val="20"/>
          <w:szCs w:val="20"/>
        </w:rPr>
        <w:t>e suspicious activity and close the account</w:t>
      </w:r>
      <w:r w:rsidR="00ED1ABC">
        <w:rPr>
          <w:rFonts w:ascii="Arial" w:hAnsi="Arial" w:cs="Arial"/>
          <w:sz w:val="20"/>
          <w:szCs w:val="20"/>
        </w:rPr>
        <w:t xml:space="preserve">. </w:t>
      </w:r>
      <w:r w:rsidR="009338BB">
        <w:rPr>
          <w:rFonts w:ascii="Arial" w:hAnsi="Arial" w:cs="Arial"/>
          <w:sz w:val="20"/>
          <w:szCs w:val="20"/>
        </w:rPr>
        <w:t xml:space="preserve">Criminals therefore ideally have </w:t>
      </w:r>
      <w:r w:rsidR="00ED1ABC">
        <w:rPr>
          <w:rFonts w:ascii="Arial" w:hAnsi="Arial" w:cs="Arial"/>
          <w:sz w:val="20"/>
          <w:szCs w:val="20"/>
        </w:rPr>
        <w:t>a stock of accounts that can be activated once an account is shut down</w:t>
      </w:r>
      <w:r w:rsidR="00C21D54">
        <w:rPr>
          <w:rFonts w:ascii="Arial" w:hAnsi="Arial" w:cs="Arial"/>
          <w:sz w:val="20"/>
          <w:szCs w:val="20"/>
        </w:rPr>
        <w:t xml:space="preserve">, preferably maintained in several different jurisdictions </w:t>
      </w:r>
      <w:r w:rsidR="002A71D0">
        <w:rPr>
          <w:rFonts w:ascii="Arial" w:hAnsi="Arial" w:cs="Arial"/>
          <w:sz w:val="20"/>
          <w:szCs w:val="20"/>
        </w:rPr>
        <w:t>with</w:t>
      </w:r>
      <w:r w:rsidR="00246984">
        <w:rPr>
          <w:rFonts w:ascii="Arial" w:hAnsi="Arial" w:cs="Arial"/>
          <w:sz w:val="20"/>
          <w:szCs w:val="20"/>
        </w:rPr>
        <w:t xml:space="preserve"> </w:t>
      </w:r>
      <w:r w:rsidR="00C21D54">
        <w:rPr>
          <w:rFonts w:ascii="Arial" w:hAnsi="Arial" w:cs="Arial"/>
          <w:sz w:val="20"/>
          <w:szCs w:val="20"/>
        </w:rPr>
        <w:t xml:space="preserve">multiple networks of accounts. </w:t>
      </w:r>
    </w:p>
    <w:p w:rsidR="00C21D54" w:rsidRDefault="009338BB" w:rsidP="001846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0F5DCE">
        <w:rPr>
          <w:rFonts w:ascii="Arial" w:hAnsi="Arial" w:cs="Arial"/>
          <w:sz w:val="20"/>
          <w:szCs w:val="20"/>
        </w:rPr>
        <w:t>n addition to spotting individual mule accounts, banks also</w:t>
      </w:r>
      <w:r w:rsidR="00D849A4">
        <w:rPr>
          <w:rFonts w:ascii="Arial" w:hAnsi="Arial" w:cs="Arial"/>
          <w:sz w:val="20"/>
          <w:szCs w:val="20"/>
        </w:rPr>
        <w:t xml:space="preserve"> want to identify mule account networks. </w:t>
      </w:r>
      <w:r w:rsidR="00125855">
        <w:rPr>
          <w:rFonts w:ascii="Arial" w:hAnsi="Arial" w:cs="Arial"/>
          <w:sz w:val="20"/>
          <w:szCs w:val="20"/>
        </w:rPr>
        <w:t xml:space="preserve">Traditionally, this was done manually with experts searching for links </w:t>
      </w:r>
      <w:r w:rsidR="00246984">
        <w:rPr>
          <w:rFonts w:ascii="Arial" w:hAnsi="Arial" w:cs="Arial"/>
          <w:sz w:val="20"/>
          <w:szCs w:val="20"/>
        </w:rPr>
        <w:t xml:space="preserve">between accounts, and </w:t>
      </w:r>
      <w:r w:rsidR="00125855">
        <w:rPr>
          <w:rFonts w:ascii="Arial" w:hAnsi="Arial" w:cs="Arial"/>
          <w:sz w:val="20"/>
          <w:szCs w:val="20"/>
        </w:rPr>
        <w:t xml:space="preserve">through </w:t>
      </w:r>
      <w:r w:rsidR="00246984">
        <w:rPr>
          <w:rFonts w:ascii="Arial" w:hAnsi="Arial" w:cs="Arial"/>
          <w:sz w:val="20"/>
          <w:szCs w:val="20"/>
        </w:rPr>
        <w:t xml:space="preserve">transactions with other accounts, across </w:t>
      </w:r>
      <w:r w:rsidR="00125855">
        <w:rPr>
          <w:rFonts w:ascii="Arial" w:hAnsi="Arial" w:cs="Arial"/>
          <w:sz w:val="20"/>
          <w:szCs w:val="20"/>
        </w:rPr>
        <w:t xml:space="preserve">several banks. However now, </w:t>
      </w:r>
      <w:r w:rsidR="0041748B">
        <w:rPr>
          <w:rFonts w:ascii="Arial" w:hAnsi="Arial" w:cs="Arial"/>
          <w:sz w:val="20"/>
          <w:szCs w:val="20"/>
        </w:rPr>
        <w:t xml:space="preserve">banks are able to search </w:t>
      </w:r>
      <w:r w:rsidR="00246984">
        <w:rPr>
          <w:rFonts w:ascii="Arial" w:hAnsi="Arial" w:cs="Arial"/>
          <w:sz w:val="20"/>
          <w:szCs w:val="20"/>
        </w:rPr>
        <w:t xml:space="preserve">for mule account networks </w:t>
      </w:r>
      <w:r w:rsidR="0041748B">
        <w:rPr>
          <w:rFonts w:ascii="Arial" w:hAnsi="Arial" w:cs="Arial"/>
          <w:sz w:val="20"/>
          <w:szCs w:val="20"/>
        </w:rPr>
        <w:t>using specialised network analytics tools applied across larger data sets</w:t>
      </w:r>
      <w:r w:rsidR="0018462D">
        <w:rPr>
          <w:rFonts w:ascii="Arial" w:hAnsi="Arial" w:cs="Arial"/>
          <w:sz w:val="20"/>
          <w:szCs w:val="20"/>
        </w:rPr>
        <w:t xml:space="preserve">, searching through </w:t>
      </w:r>
      <w:r w:rsidR="0018462D" w:rsidRPr="0018462D">
        <w:rPr>
          <w:rFonts w:ascii="Arial" w:hAnsi="Arial" w:cs="Arial"/>
          <w:sz w:val="20"/>
          <w:szCs w:val="20"/>
        </w:rPr>
        <w:t xml:space="preserve">common characteristics and attributes (such as names of persons linked to the account, addresses and emails), </w:t>
      </w:r>
      <w:r w:rsidR="0018462D">
        <w:rPr>
          <w:rFonts w:ascii="Arial" w:hAnsi="Arial" w:cs="Arial"/>
          <w:sz w:val="20"/>
          <w:szCs w:val="20"/>
        </w:rPr>
        <w:t xml:space="preserve">and </w:t>
      </w:r>
      <w:r w:rsidR="0018462D" w:rsidRPr="0018462D">
        <w:rPr>
          <w:rFonts w:ascii="Arial" w:hAnsi="Arial" w:cs="Arial"/>
          <w:sz w:val="20"/>
          <w:szCs w:val="20"/>
        </w:rPr>
        <w:t xml:space="preserve">also new or other non-traditional data points </w:t>
      </w:r>
      <w:r w:rsidR="002A71D0" w:rsidRPr="002A71D0">
        <w:rPr>
          <w:rFonts w:ascii="Arial" w:hAnsi="Arial" w:cs="Arial"/>
          <w:sz w:val="20"/>
          <w:szCs w:val="20"/>
        </w:rPr>
        <w:t>such as</w:t>
      </w:r>
      <w:r w:rsidR="002A71D0">
        <w:rPr>
          <w:rFonts w:ascii="Arial" w:hAnsi="Arial" w:cs="Arial"/>
          <w:sz w:val="20"/>
          <w:szCs w:val="20"/>
        </w:rPr>
        <w:t xml:space="preserve"> </w:t>
      </w:r>
      <w:r w:rsidR="0018462D" w:rsidRPr="0018462D">
        <w:rPr>
          <w:rFonts w:ascii="Arial" w:hAnsi="Arial" w:cs="Arial"/>
          <w:sz w:val="20"/>
          <w:szCs w:val="20"/>
        </w:rPr>
        <w:t>IP addresses.</w:t>
      </w:r>
      <w:r w:rsidR="006C34E0">
        <w:rPr>
          <w:rFonts w:ascii="Arial" w:hAnsi="Arial" w:cs="Arial"/>
          <w:sz w:val="20"/>
          <w:szCs w:val="20"/>
        </w:rPr>
        <w:t xml:space="preserve"> </w:t>
      </w:r>
    </w:p>
    <w:p w:rsidR="006C34E0" w:rsidRDefault="006D111B" w:rsidP="000A75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Currently, the </w:t>
      </w:r>
      <w:r w:rsidR="00FA74C1">
        <w:rPr>
          <w:rFonts w:ascii="Arial" w:hAnsi="Arial" w:cs="Arial"/>
          <w:sz w:val="20"/>
          <w:szCs w:val="20"/>
        </w:rPr>
        <w:t xml:space="preserve">network analytics tools </w:t>
      </w:r>
      <w:r w:rsidR="002707D0">
        <w:rPr>
          <w:rFonts w:ascii="Arial" w:hAnsi="Arial" w:cs="Arial"/>
          <w:sz w:val="20"/>
          <w:szCs w:val="20"/>
        </w:rPr>
        <w:t xml:space="preserve">are mainly being used by </w:t>
      </w:r>
      <w:r w:rsidR="00FA74C1">
        <w:rPr>
          <w:rFonts w:ascii="Arial" w:hAnsi="Arial" w:cs="Arial"/>
          <w:sz w:val="20"/>
          <w:szCs w:val="20"/>
        </w:rPr>
        <w:t>banks to follow up on su</w:t>
      </w:r>
      <w:r w:rsidR="00365594">
        <w:rPr>
          <w:rFonts w:ascii="Arial" w:hAnsi="Arial" w:cs="Arial"/>
          <w:sz w:val="20"/>
          <w:szCs w:val="20"/>
        </w:rPr>
        <w:t xml:space="preserve">spicious activity </w:t>
      </w:r>
      <w:r w:rsidR="00795AB8">
        <w:rPr>
          <w:rFonts w:ascii="Arial" w:hAnsi="Arial" w:cs="Arial"/>
          <w:sz w:val="20"/>
          <w:szCs w:val="20"/>
        </w:rPr>
        <w:t xml:space="preserve">identified in accounts </w:t>
      </w:r>
      <w:r w:rsidR="002707D0">
        <w:rPr>
          <w:rFonts w:ascii="Arial" w:hAnsi="Arial" w:cs="Arial"/>
          <w:sz w:val="20"/>
          <w:szCs w:val="20"/>
        </w:rPr>
        <w:t xml:space="preserve">to identify linked </w:t>
      </w:r>
      <w:r w:rsidR="00795AB8">
        <w:rPr>
          <w:rFonts w:ascii="Arial" w:hAnsi="Arial" w:cs="Arial"/>
          <w:sz w:val="20"/>
          <w:szCs w:val="20"/>
        </w:rPr>
        <w:t>accounts and parties</w:t>
      </w:r>
      <w:r w:rsidR="002707D0">
        <w:rPr>
          <w:rFonts w:ascii="Arial" w:hAnsi="Arial" w:cs="Arial"/>
          <w:sz w:val="20"/>
          <w:szCs w:val="20"/>
        </w:rPr>
        <w:t>,</w:t>
      </w:r>
      <w:r w:rsidR="000A7575">
        <w:rPr>
          <w:rFonts w:ascii="Arial" w:hAnsi="Arial" w:cs="Arial"/>
          <w:sz w:val="20"/>
          <w:szCs w:val="20"/>
        </w:rPr>
        <w:t xml:space="preserve"> </w:t>
      </w:r>
      <w:r w:rsidR="000A7575" w:rsidRPr="000A7575">
        <w:rPr>
          <w:rFonts w:ascii="Arial" w:hAnsi="Arial" w:cs="Arial"/>
          <w:sz w:val="20"/>
          <w:szCs w:val="20"/>
        </w:rPr>
        <w:t>leading to suspicious transaction reports</w:t>
      </w:r>
      <w:r w:rsidR="000C7B5D">
        <w:rPr>
          <w:rFonts w:ascii="Arial" w:hAnsi="Arial" w:cs="Arial"/>
          <w:sz w:val="20"/>
          <w:szCs w:val="20"/>
        </w:rPr>
        <w:t xml:space="preserve"> </w:t>
      </w:r>
      <w:r w:rsidR="000A7575" w:rsidRPr="000A7575">
        <w:rPr>
          <w:rFonts w:ascii="Arial" w:hAnsi="Arial" w:cs="Arial"/>
          <w:sz w:val="20"/>
          <w:szCs w:val="20"/>
        </w:rPr>
        <w:t>to law enforcement</w:t>
      </w:r>
      <w:r w:rsidR="000C7B5D">
        <w:rPr>
          <w:rFonts w:ascii="Arial" w:hAnsi="Arial" w:cs="Arial"/>
          <w:sz w:val="20"/>
          <w:szCs w:val="20"/>
        </w:rPr>
        <w:t xml:space="preserve">. </w:t>
      </w:r>
      <w:r w:rsidR="001F305B">
        <w:rPr>
          <w:rFonts w:ascii="Arial" w:hAnsi="Arial" w:cs="Arial"/>
          <w:sz w:val="20"/>
          <w:szCs w:val="20"/>
        </w:rPr>
        <w:t xml:space="preserve">This </w:t>
      </w:r>
      <w:r w:rsidR="009F4D8E">
        <w:rPr>
          <w:rFonts w:ascii="Arial" w:hAnsi="Arial" w:cs="Arial"/>
          <w:sz w:val="20"/>
          <w:szCs w:val="20"/>
        </w:rPr>
        <w:t xml:space="preserve">network analytics approach </w:t>
      </w:r>
      <w:r w:rsidR="00A650C5">
        <w:rPr>
          <w:rFonts w:ascii="Arial" w:hAnsi="Arial" w:cs="Arial"/>
          <w:sz w:val="20"/>
          <w:szCs w:val="20"/>
        </w:rPr>
        <w:t xml:space="preserve">supports criminal investigations </w:t>
      </w:r>
      <w:r w:rsidR="002707D0">
        <w:rPr>
          <w:rFonts w:ascii="Arial" w:hAnsi="Arial" w:cs="Arial"/>
          <w:sz w:val="20"/>
          <w:szCs w:val="20"/>
        </w:rPr>
        <w:t xml:space="preserve">and sometimes results in </w:t>
      </w:r>
      <w:r w:rsidR="00A650C5">
        <w:rPr>
          <w:rFonts w:ascii="Arial" w:hAnsi="Arial" w:cs="Arial"/>
          <w:sz w:val="20"/>
          <w:szCs w:val="20"/>
        </w:rPr>
        <w:t xml:space="preserve">interception, restraint or confiscation of illicit funds, and </w:t>
      </w:r>
      <w:r w:rsidR="002707D0">
        <w:rPr>
          <w:rFonts w:ascii="Arial" w:hAnsi="Arial" w:cs="Arial"/>
          <w:sz w:val="20"/>
          <w:szCs w:val="20"/>
        </w:rPr>
        <w:t>their return</w:t>
      </w:r>
      <w:r w:rsidR="00A650C5">
        <w:rPr>
          <w:rFonts w:ascii="Arial" w:hAnsi="Arial" w:cs="Arial"/>
          <w:sz w:val="20"/>
          <w:szCs w:val="20"/>
        </w:rPr>
        <w:t xml:space="preserve"> to victims of fraud. </w:t>
      </w:r>
      <w:r w:rsidR="000C42ED">
        <w:rPr>
          <w:rFonts w:ascii="Arial" w:hAnsi="Arial" w:cs="Arial"/>
          <w:sz w:val="20"/>
          <w:szCs w:val="20"/>
        </w:rPr>
        <w:t xml:space="preserve">Entire networks may also be identified </w:t>
      </w:r>
      <w:r w:rsidR="00695B79">
        <w:rPr>
          <w:rFonts w:ascii="Arial" w:hAnsi="Arial" w:cs="Arial"/>
          <w:sz w:val="20"/>
          <w:szCs w:val="20"/>
        </w:rPr>
        <w:t xml:space="preserve">and </w:t>
      </w:r>
      <w:r w:rsidR="002707D0">
        <w:rPr>
          <w:rFonts w:ascii="Arial" w:hAnsi="Arial" w:cs="Arial"/>
          <w:sz w:val="20"/>
          <w:szCs w:val="20"/>
        </w:rPr>
        <w:t xml:space="preserve">suspicious </w:t>
      </w:r>
      <w:r w:rsidR="00695B79">
        <w:rPr>
          <w:rFonts w:ascii="Arial" w:hAnsi="Arial" w:cs="Arial"/>
          <w:sz w:val="20"/>
          <w:szCs w:val="20"/>
        </w:rPr>
        <w:t>accounts can be monitored or closed</w:t>
      </w:r>
      <w:r w:rsidR="002707D0">
        <w:rPr>
          <w:rFonts w:ascii="Arial" w:hAnsi="Arial" w:cs="Arial"/>
          <w:sz w:val="20"/>
          <w:szCs w:val="20"/>
        </w:rPr>
        <w:t>, sometimes even</w:t>
      </w:r>
      <w:r w:rsidR="00695B79">
        <w:rPr>
          <w:rFonts w:ascii="Arial" w:hAnsi="Arial" w:cs="Arial"/>
          <w:sz w:val="20"/>
          <w:szCs w:val="20"/>
        </w:rPr>
        <w:t xml:space="preserve"> before they can be used for money laundering. </w:t>
      </w:r>
      <w:r w:rsidR="00A45177">
        <w:rPr>
          <w:rFonts w:ascii="Arial" w:hAnsi="Arial" w:cs="Arial"/>
          <w:sz w:val="20"/>
          <w:szCs w:val="20"/>
        </w:rPr>
        <w:t xml:space="preserve">Tracing networks helps banks to identify </w:t>
      </w:r>
      <w:r w:rsidR="008F2504">
        <w:rPr>
          <w:rFonts w:ascii="Arial" w:hAnsi="Arial" w:cs="Arial"/>
          <w:sz w:val="20"/>
          <w:szCs w:val="20"/>
        </w:rPr>
        <w:t>the techniques that criminals use when o</w:t>
      </w:r>
      <w:r w:rsidR="00761675">
        <w:rPr>
          <w:rFonts w:ascii="Arial" w:hAnsi="Arial" w:cs="Arial"/>
          <w:sz w:val="20"/>
          <w:szCs w:val="20"/>
        </w:rPr>
        <w:t xml:space="preserve">pening and using mule accounts, providing for an algorithm for keeping them out in the first place. </w:t>
      </w:r>
      <w:r w:rsidR="00A67658">
        <w:rPr>
          <w:rFonts w:ascii="Arial" w:hAnsi="Arial" w:cs="Arial"/>
          <w:sz w:val="20"/>
          <w:szCs w:val="20"/>
        </w:rPr>
        <w:t>The most important advantage is that network analytics help banks identify connect</w:t>
      </w:r>
      <w:r w:rsidR="002707D0">
        <w:rPr>
          <w:rFonts w:ascii="Arial" w:hAnsi="Arial" w:cs="Arial"/>
          <w:sz w:val="20"/>
          <w:szCs w:val="20"/>
        </w:rPr>
        <w:t>ion</w:t>
      </w:r>
      <w:r w:rsidR="00A67658">
        <w:rPr>
          <w:rFonts w:ascii="Arial" w:hAnsi="Arial" w:cs="Arial"/>
          <w:sz w:val="20"/>
          <w:szCs w:val="20"/>
        </w:rPr>
        <w:t xml:space="preserve">s between accounts that were previously unknown and were hard to identify. </w:t>
      </w:r>
    </w:p>
    <w:p w:rsidR="007922D3" w:rsidRDefault="00063408" w:rsidP="007922D3">
      <w:pPr>
        <w:jc w:val="both"/>
        <w:rPr>
          <w:rFonts w:ascii="Arial" w:hAnsi="Arial" w:cs="Arial"/>
          <w:sz w:val="20"/>
          <w:szCs w:val="20"/>
        </w:rPr>
      </w:pPr>
      <w:r w:rsidRPr="00063408">
        <w:rPr>
          <w:rFonts w:ascii="Arial" w:hAnsi="Arial" w:cs="Arial"/>
          <w:sz w:val="20"/>
          <w:szCs w:val="20"/>
        </w:rPr>
        <w:t xml:space="preserve">Network analytics have come into </w:t>
      </w:r>
      <w:r w:rsidR="002707D0">
        <w:rPr>
          <w:rFonts w:ascii="Arial" w:hAnsi="Arial" w:cs="Arial"/>
          <w:sz w:val="20"/>
          <w:szCs w:val="20"/>
        </w:rPr>
        <w:t xml:space="preserve">use </w:t>
      </w:r>
      <w:r w:rsidRPr="00063408">
        <w:rPr>
          <w:rFonts w:ascii="Arial" w:hAnsi="Arial" w:cs="Arial"/>
          <w:sz w:val="20"/>
          <w:szCs w:val="20"/>
        </w:rPr>
        <w:t xml:space="preserve">in recent years and banks that have adopted this capability have had some </w:t>
      </w:r>
      <w:r>
        <w:rPr>
          <w:rFonts w:ascii="Arial" w:hAnsi="Arial" w:cs="Arial"/>
          <w:sz w:val="20"/>
          <w:szCs w:val="20"/>
        </w:rPr>
        <w:t>notable</w:t>
      </w:r>
      <w:r w:rsidRPr="00063408">
        <w:rPr>
          <w:rFonts w:ascii="Arial" w:hAnsi="Arial" w:cs="Arial"/>
          <w:sz w:val="20"/>
          <w:szCs w:val="20"/>
        </w:rPr>
        <w:t xml:space="preserve"> successes. </w:t>
      </w:r>
      <w:r w:rsidR="002707D0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ntil recently</w:t>
      </w:r>
      <w:r w:rsidR="00955EEE">
        <w:rPr>
          <w:rFonts w:ascii="Arial" w:hAnsi="Arial" w:cs="Arial"/>
          <w:sz w:val="20"/>
          <w:szCs w:val="20"/>
        </w:rPr>
        <w:t>, network analytics have been used mainly by</w:t>
      </w:r>
      <w:r>
        <w:rPr>
          <w:rFonts w:ascii="Arial" w:hAnsi="Arial" w:cs="Arial"/>
          <w:sz w:val="20"/>
          <w:szCs w:val="20"/>
        </w:rPr>
        <w:t xml:space="preserve"> larger banks </w:t>
      </w:r>
      <w:r w:rsidR="00955EEE">
        <w:rPr>
          <w:rFonts w:ascii="Arial" w:hAnsi="Arial" w:cs="Arial"/>
          <w:sz w:val="20"/>
          <w:szCs w:val="20"/>
        </w:rPr>
        <w:t>with bigger budgets and the ability to</w:t>
      </w:r>
      <w:r w:rsidRPr="00063408">
        <w:rPr>
          <w:rFonts w:ascii="Arial" w:hAnsi="Arial" w:cs="Arial"/>
          <w:sz w:val="20"/>
          <w:szCs w:val="20"/>
        </w:rPr>
        <w:t xml:space="preserve"> apply the techniques to large databases, sometimes across group entities operating in different countries</w:t>
      </w:r>
      <w:r>
        <w:rPr>
          <w:rFonts w:ascii="Arial" w:hAnsi="Arial" w:cs="Arial"/>
          <w:sz w:val="20"/>
          <w:szCs w:val="20"/>
        </w:rPr>
        <w:t xml:space="preserve">. </w:t>
      </w:r>
      <w:r w:rsidR="007922D3" w:rsidRPr="007922D3">
        <w:rPr>
          <w:rFonts w:ascii="Arial" w:hAnsi="Arial" w:cs="Arial"/>
          <w:sz w:val="20"/>
          <w:szCs w:val="20"/>
        </w:rPr>
        <w:t xml:space="preserve">However, </w:t>
      </w:r>
      <w:r w:rsidR="007922D3">
        <w:rPr>
          <w:rFonts w:ascii="Arial" w:hAnsi="Arial" w:cs="Arial"/>
          <w:sz w:val="20"/>
          <w:szCs w:val="20"/>
        </w:rPr>
        <w:t>m</w:t>
      </w:r>
      <w:r w:rsidR="007922D3" w:rsidRPr="007922D3">
        <w:rPr>
          <w:rFonts w:ascii="Arial" w:hAnsi="Arial" w:cs="Arial"/>
          <w:sz w:val="20"/>
          <w:szCs w:val="20"/>
        </w:rPr>
        <w:t xml:space="preserve">id-sized and even smaller banks can also achieve </w:t>
      </w:r>
      <w:r w:rsidR="007922D3">
        <w:rPr>
          <w:rFonts w:ascii="Arial" w:hAnsi="Arial" w:cs="Arial"/>
          <w:sz w:val="20"/>
          <w:szCs w:val="20"/>
        </w:rPr>
        <w:t xml:space="preserve">positive </w:t>
      </w:r>
      <w:r w:rsidR="007922D3" w:rsidRPr="007922D3">
        <w:rPr>
          <w:rFonts w:ascii="Arial" w:hAnsi="Arial" w:cs="Arial"/>
          <w:sz w:val="20"/>
          <w:szCs w:val="20"/>
        </w:rPr>
        <w:t xml:space="preserve">results by applying the same techniques to smaller data sets. </w:t>
      </w:r>
      <w:r w:rsidR="007922D3">
        <w:rPr>
          <w:rFonts w:ascii="Arial" w:hAnsi="Arial" w:cs="Arial"/>
          <w:sz w:val="20"/>
          <w:szCs w:val="20"/>
        </w:rPr>
        <w:t>C</w:t>
      </w:r>
      <w:r w:rsidR="007922D3" w:rsidRPr="007922D3">
        <w:rPr>
          <w:rFonts w:ascii="Arial" w:hAnsi="Arial" w:cs="Arial"/>
          <w:sz w:val="20"/>
          <w:szCs w:val="20"/>
        </w:rPr>
        <w:t xml:space="preserve">osts </w:t>
      </w:r>
      <w:r w:rsidR="007922D3">
        <w:rPr>
          <w:rFonts w:ascii="Arial" w:hAnsi="Arial" w:cs="Arial"/>
          <w:sz w:val="20"/>
          <w:szCs w:val="20"/>
        </w:rPr>
        <w:t xml:space="preserve">may not even be an issue </w:t>
      </w:r>
      <w:r w:rsidR="007922D3" w:rsidRPr="007922D3">
        <w:rPr>
          <w:rFonts w:ascii="Arial" w:hAnsi="Arial" w:cs="Arial"/>
          <w:sz w:val="20"/>
          <w:szCs w:val="20"/>
        </w:rPr>
        <w:t>especially when savings in the time and effort of highly trained AML specialists are taken into account.</w:t>
      </w:r>
    </w:p>
    <w:p w:rsidR="007922D3" w:rsidRDefault="00D000E4" w:rsidP="00187AFE">
      <w:pPr>
        <w:jc w:val="both"/>
        <w:rPr>
          <w:rFonts w:ascii="Arial" w:hAnsi="Arial" w:cs="Arial"/>
          <w:sz w:val="20"/>
          <w:szCs w:val="20"/>
        </w:rPr>
      </w:pPr>
      <w:r w:rsidRPr="00D000E4">
        <w:rPr>
          <w:rFonts w:ascii="Arial" w:hAnsi="Arial" w:cs="Arial"/>
          <w:sz w:val="20"/>
          <w:szCs w:val="20"/>
        </w:rPr>
        <w:t>The first AMLab session focuse</w:t>
      </w:r>
      <w:r w:rsidR="00955EEE">
        <w:rPr>
          <w:rFonts w:ascii="Arial" w:hAnsi="Arial" w:cs="Arial"/>
          <w:sz w:val="20"/>
          <w:szCs w:val="20"/>
        </w:rPr>
        <w:t>d</w:t>
      </w:r>
      <w:r w:rsidRPr="00D000E4">
        <w:rPr>
          <w:rFonts w:ascii="Arial" w:hAnsi="Arial" w:cs="Arial"/>
          <w:sz w:val="20"/>
          <w:szCs w:val="20"/>
        </w:rPr>
        <w:t xml:space="preserve"> on </w:t>
      </w:r>
      <w:r w:rsidR="00D46C9A">
        <w:rPr>
          <w:rFonts w:ascii="Arial" w:hAnsi="Arial" w:cs="Arial"/>
          <w:sz w:val="20"/>
          <w:szCs w:val="20"/>
        </w:rPr>
        <w:t xml:space="preserve">the use of </w:t>
      </w:r>
      <w:r w:rsidRPr="00D000E4">
        <w:rPr>
          <w:rFonts w:ascii="Arial" w:hAnsi="Arial" w:cs="Arial"/>
          <w:sz w:val="20"/>
          <w:szCs w:val="20"/>
        </w:rPr>
        <w:t>network analytics to address the risks of fraud-related mule accounts and</w:t>
      </w:r>
      <w:r w:rsidR="00F33933">
        <w:rPr>
          <w:rFonts w:ascii="Arial" w:hAnsi="Arial" w:cs="Arial"/>
          <w:sz w:val="20"/>
          <w:szCs w:val="20"/>
        </w:rPr>
        <w:t xml:space="preserve"> to</w:t>
      </w:r>
      <w:r w:rsidRPr="00D000E4">
        <w:rPr>
          <w:rFonts w:ascii="Arial" w:hAnsi="Arial" w:cs="Arial"/>
          <w:sz w:val="20"/>
          <w:szCs w:val="20"/>
        </w:rPr>
        <w:t xml:space="preserve"> enhance data and information sharing through AML public-private partnerships</w:t>
      </w:r>
      <w:r w:rsidR="00955EEE">
        <w:rPr>
          <w:rFonts w:ascii="Arial" w:hAnsi="Arial" w:cs="Arial"/>
          <w:sz w:val="20"/>
          <w:szCs w:val="20"/>
        </w:rPr>
        <w:t>,</w:t>
      </w:r>
      <w:r w:rsidRPr="00D000E4">
        <w:rPr>
          <w:rFonts w:ascii="Arial" w:hAnsi="Arial" w:cs="Arial"/>
          <w:sz w:val="20"/>
          <w:szCs w:val="20"/>
        </w:rPr>
        <w:t xml:space="preserve"> </w:t>
      </w:r>
      <w:r w:rsidR="0001019E">
        <w:rPr>
          <w:rFonts w:ascii="Arial" w:hAnsi="Arial" w:cs="Arial"/>
          <w:sz w:val="20"/>
          <w:szCs w:val="20"/>
        </w:rPr>
        <w:t xml:space="preserve">such as the Police-led </w:t>
      </w:r>
      <w:r w:rsidRPr="00D000E4">
        <w:rPr>
          <w:rFonts w:ascii="Arial" w:hAnsi="Arial" w:cs="Arial"/>
          <w:sz w:val="20"/>
          <w:szCs w:val="20"/>
        </w:rPr>
        <w:t xml:space="preserve">Fraud and Money Laundering Intelligence Taskforce. </w:t>
      </w:r>
      <w:r w:rsidR="00D46C9A">
        <w:rPr>
          <w:rFonts w:ascii="Arial" w:hAnsi="Arial" w:cs="Arial"/>
          <w:sz w:val="20"/>
          <w:szCs w:val="20"/>
        </w:rPr>
        <w:t xml:space="preserve">A group of participating banks, </w:t>
      </w:r>
      <w:r w:rsidRPr="00D000E4">
        <w:rPr>
          <w:rFonts w:ascii="Arial" w:hAnsi="Arial" w:cs="Arial"/>
          <w:sz w:val="20"/>
          <w:szCs w:val="20"/>
        </w:rPr>
        <w:t xml:space="preserve">with the assistance </w:t>
      </w:r>
      <w:r w:rsidR="00D46C9A">
        <w:rPr>
          <w:rFonts w:ascii="Arial" w:hAnsi="Arial" w:cs="Arial"/>
          <w:sz w:val="20"/>
          <w:szCs w:val="20"/>
        </w:rPr>
        <w:t>of data experts, used</w:t>
      </w:r>
      <w:r w:rsidRPr="00D000E4">
        <w:rPr>
          <w:rFonts w:ascii="Arial" w:hAnsi="Arial" w:cs="Arial"/>
          <w:sz w:val="20"/>
          <w:szCs w:val="20"/>
        </w:rPr>
        <w:t xml:space="preserve"> synthetic data to experiment with network diagrams in AMLab to identify suspected money-mule accounts and learn how to integrate alternative data, such as IP addresses, into more traditional data sets for analysis. </w:t>
      </w:r>
      <w:r w:rsidR="00D46C9A">
        <w:rPr>
          <w:rFonts w:ascii="Arial" w:hAnsi="Arial" w:cs="Arial"/>
          <w:sz w:val="20"/>
          <w:szCs w:val="20"/>
        </w:rPr>
        <w:t>This allowed the b</w:t>
      </w:r>
      <w:r w:rsidR="00187AFE">
        <w:rPr>
          <w:rFonts w:ascii="Arial" w:hAnsi="Arial" w:cs="Arial"/>
          <w:sz w:val="20"/>
          <w:szCs w:val="20"/>
        </w:rPr>
        <w:t xml:space="preserve">anks </w:t>
      </w:r>
      <w:r w:rsidR="00D46C9A">
        <w:rPr>
          <w:rFonts w:ascii="Arial" w:hAnsi="Arial" w:cs="Arial"/>
          <w:sz w:val="20"/>
          <w:szCs w:val="20"/>
        </w:rPr>
        <w:t xml:space="preserve">to develop skills in using network analytics to </w:t>
      </w:r>
      <w:r w:rsidR="00187AFE">
        <w:rPr>
          <w:rFonts w:ascii="Arial" w:hAnsi="Arial" w:cs="Arial"/>
          <w:sz w:val="20"/>
          <w:szCs w:val="20"/>
        </w:rPr>
        <w:t xml:space="preserve">identify </w:t>
      </w:r>
      <w:r w:rsidR="00D46C9A">
        <w:rPr>
          <w:rFonts w:ascii="Arial" w:hAnsi="Arial" w:cs="Arial"/>
          <w:sz w:val="20"/>
          <w:szCs w:val="20"/>
        </w:rPr>
        <w:t>previously</w:t>
      </w:r>
      <w:r w:rsidR="00187AFE">
        <w:rPr>
          <w:rFonts w:ascii="Arial" w:hAnsi="Arial" w:cs="Arial"/>
          <w:sz w:val="20"/>
          <w:szCs w:val="20"/>
        </w:rPr>
        <w:t xml:space="preserve"> hidden </w:t>
      </w:r>
      <w:r w:rsidR="00A70B14" w:rsidRPr="00A70B14">
        <w:rPr>
          <w:rFonts w:ascii="Arial" w:hAnsi="Arial" w:cs="Arial"/>
          <w:sz w:val="20"/>
          <w:szCs w:val="20"/>
        </w:rPr>
        <w:t xml:space="preserve">money-laundering risks. The first AMLab was well received by the participating banks and technology firms, and generated interest from others wishing to explore similar use cases. </w:t>
      </w:r>
      <w:r w:rsidR="00187AFE">
        <w:rPr>
          <w:rFonts w:ascii="Arial" w:hAnsi="Arial" w:cs="Arial"/>
          <w:sz w:val="20"/>
          <w:szCs w:val="20"/>
        </w:rPr>
        <w:t xml:space="preserve">The </w:t>
      </w:r>
      <w:r w:rsidR="00D46C9A">
        <w:rPr>
          <w:rFonts w:ascii="Arial" w:hAnsi="Arial" w:cs="Arial"/>
          <w:sz w:val="20"/>
          <w:szCs w:val="20"/>
        </w:rPr>
        <w:t xml:space="preserve">HKMA is planning to run this </w:t>
      </w:r>
      <w:r w:rsidR="00187AFE">
        <w:rPr>
          <w:rFonts w:ascii="Arial" w:hAnsi="Arial" w:cs="Arial"/>
          <w:sz w:val="20"/>
          <w:szCs w:val="20"/>
        </w:rPr>
        <w:t xml:space="preserve">AMLab theme </w:t>
      </w:r>
      <w:r w:rsidR="00D46C9A">
        <w:rPr>
          <w:rFonts w:ascii="Arial" w:hAnsi="Arial" w:cs="Arial"/>
          <w:sz w:val="20"/>
          <w:szCs w:val="20"/>
        </w:rPr>
        <w:t xml:space="preserve">again </w:t>
      </w:r>
      <w:r w:rsidR="00187AFE">
        <w:rPr>
          <w:rFonts w:ascii="Arial" w:hAnsi="Arial" w:cs="Arial"/>
          <w:sz w:val="20"/>
          <w:szCs w:val="20"/>
        </w:rPr>
        <w:t xml:space="preserve">later this </w:t>
      </w:r>
      <w:r w:rsidR="00A70B14" w:rsidRPr="00A70B14">
        <w:rPr>
          <w:rFonts w:ascii="Arial" w:hAnsi="Arial" w:cs="Arial"/>
          <w:sz w:val="20"/>
          <w:szCs w:val="20"/>
        </w:rPr>
        <w:t>year to give more banks an opportunity to take part.</w:t>
      </w:r>
    </w:p>
    <w:p w:rsidR="00187AFE" w:rsidRPr="00EA2800" w:rsidRDefault="00C522E5" w:rsidP="00187AFE">
      <w:pPr>
        <w:jc w:val="both"/>
        <w:rPr>
          <w:rFonts w:ascii="Arial" w:hAnsi="Arial" w:cs="Arial"/>
          <w:b/>
          <w:sz w:val="20"/>
          <w:szCs w:val="20"/>
        </w:rPr>
      </w:pPr>
      <w:r w:rsidRPr="00EA2800">
        <w:rPr>
          <w:rFonts w:ascii="Arial" w:hAnsi="Arial" w:cs="Arial"/>
          <w:b/>
          <w:sz w:val="20"/>
          <w:szCs w:val="20"/>
        </w:rPr>
        <w:t xml:space="preserve">AMLab 2: </w:t>
      </w:r>
      <w:r w:rsidR="00EA2800" w:rsidRPr="00EA2800">
        <w:rPr>
          <w:rFonts w:ascii="Arial" w:hAnsi="Arial" w:cs="Arial"/>
          <w:b/>
          <w:sz w:val="20"/>
          <w:szCs w:val="20"/>
        </w:rPr>
        <w:t>Easy-To-Implement Technologies</w:t>
      </w:r>
    </w:p>
    <w:p w:rsidR="00C933AD" w:rsidRDefault="00C729A2" w:rsidP="00B167A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547A65">
        <w:rPr>
          <w:rFonts w:ascii="Arial" w:hAnsi="Arial" w:cs="Arial"/>
          <w:sz w:val="20"/>
          <w:szCs w:val="20"/>
        </w:rPr>
        <w:t xml:space="preserve">he second AMLab </w:t>
      </w:r>
      <w:r w:rsidR="00C66C81">
        <w:rPr>
          <w:rFonts w:ascii="Arial" w:hAnsi="Arial" w:cs="Arial"/>
          <w:sz w:val="20"/>
          <w:szCs w:val="20"/>
        </w:rPr>
        <w:t>focused</w:t>
      </w:r>
      <w:r w:rsidR="00B167A8">
        <w:rPr>
          <w:rFonts w:ascii="Arial" w:hAnsi="Arial" w:cs="Arial"/>
          <w:sz w:val="20"/>
          <w:szCs w:val="20"/>
        </w:rPr>
        <w:t xml:space="preserve"> on “enabling technologies” such as </w:t>
      </w:r>
      <w:r w:rsidR="00B167A8" w:rsidRPr="00B167A8">
        <w:rPr>
          <w:rFonts w:ascii="Arial" w:hAnsi="Arial" w:cs="Arial"/>
          <w:sz w:val="20"/>
          <w:szCs w:val="20"/>
        </w:rPr>
        <w:t>robotic process automation, low-code/no-code platforms and visualisation tools designed to present complex data</w:t>
      </w:r>
      <w:r w:rsidR="00C66C81">
        <w:rPr>
          <w:rFonts w:ascii="Arial" w:hAnsi="Arial" w:cs="Arial"/>
          <w:sz w:val="20"/>
          <w:szCs w:val="20"/>
        </w:rPr>
        <w:t xml:space="preserve"> more simply</w:t>
      </w:r>
      <w:r w:rsidR="00B167A8">
        <w:rPr>
          <w:rFonts w:ascii="Arial" w:hAnsi="Arial" w:cs="Arial"/>
          <w:sz w:val="20"/>
          <w:szCs w:val="20"/>
        </w:rPr>
        <w:t xml:space="preserve">. </w:t>
      </w:r>
    </w:p>
    <w:p w:rsidR="005F3781" w:rsidRDefault="00C66C81" w:rsidP="00C13E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One</w:t>
      </w:r>
      <w:r w:rsidR="002C3FB8">
        <w:rPr>
          <w:rFonts w:ascii="Arial" w:hAnsi="Arial" w:cs="Arial"/>
          <w:sz w:val="20"/>
          <w:szCs w:val="20"/>
        </w:rPr>
        <w:t xml:space="preserve"> aim of this</w:t>
      </w:r>
      <w:r>
        <w:rPr>
          <w:rFonts w:ascii="Arial" w:hAnsi="Arial" w:cs="Arial"/>
          <w:sz w:val="20"/>
          <w:szCs w:val="20"/>
        </w:rPr>
        <w:t xml:space="preserve"> AMLab series was</w:t>
      </w:r>
      <w:r w:rsidR="00CC39F4">
        <w:rPr>
          <w:rFonts w:ascii="Arial" w:hAnsi="Arial" w:cs="Arial"/>
          <w:sz w:val="20"/>
          <w:szCs w:val="20"/>
        </w:rPr>
        <w:t xml:space="preserve"> to</w:t>
      </w:r>
      <w:r w:rsidR="005F3781" w:rsidRPr="005F3781">
        <w:rPr>
          <w:rFonts w:ascii="Arial" w:hAnsi="Arial" w:cs="Arial"/>
          <w:sz w:val="20"/>
          <w:szCs w:val="20"/>
        </w:rPr>
        <w:t xml:space="preserve"> </w:t>
      </w:r>
      <w:r w:rsidR="002C3FB8">
        <w:rPr>
          <w:rFonts w:ascii="Arial" w:hAnsi="Arial" w:cs="Arial"/>
          <w:sz w:val="20"/>
          <w:szCs w:val="20"/>
        </w:rPr>
        <w:t>change</w:t>
      </w:r>
      <w:r w:rsidR="00E7683A">
        <w:rPr>
          <w:rFonts w:ascii="Arial" w:hAnsi="Arial" w:cs="Arial"/>
          <w:sz w:val="20"/>
          <w:szCs w:val="20"/>
        </w:rPr>
        <w:t xml:space="preserve"> the perception that</w:t>
      </w:r>
      <w:r w:rsidR="002C3FB8">
        <w:rPr>
          <w:rFonts w:ascii="Arial" w:hAnsi="Arial" w:cs="Arial"/>
          <w:sz w:val="20"/>
          <w:szCs w:val="20"/>
        </w:rPr>
        <w:t xml:space="preserve"> Regtech </w:t>
      </w:r>
      <w:r w:rsidR="00CC39F4">
        <w:rPr>
          <w:rFonts w:ascii="Arial" w:hAnsi="Arial" w:cs="Arial"/>
          <w:sz w:val="20"/>
          <w:szCs w:val="20"/>
        </w:rPr>
        <w:t xml:space="preserve">is a </w:t>
      </w:r>
      <w:r w:rsidR="00C376D9">
        <w:rPr>
          <w:rFonts w:ascii="Arial" w:hAnsi="Arial" w:cs="Arial"/>
          <w:sz w:val="20"/>
          <w:szCs w:val="20"/>
        </w:rPr>
        <w:t xml:space="preserve">complex </w:t>
      </w:r>
      <w:r w:rsidR="00E7683A">
        <w:rPr>
          <w:rFonts w:ascii="Arial" w:hAnsi="Arial" w:cs="Arial"/>
          <w:sz w:val="20"/>
          <w:szCs w:val="20"/>
        </w:rPr>
        <w:t xml:space="preserve">and expensive </w:t>
      </w:r>
      <w:r w:rsidR="00C376D9">
        <w:rPr>
          <w:rFonts w:ascii="Arial" w:hAnsi="Arial" w:cs="Arial"/>
          <w:sz w:val="20"/>
          <w:szCs w:val="20"/>
        </w:rPr>
        <w:t xml:space="preserve">technology </w:t>
      </w:r>
      <w:r>
        <w:rPr>
          <w:rFonts w:ascii="Arial" w:hAnsi="Arial" w:cs="Arial"/>
          <w:sz w:val="20"/>
          <w:szCs w:val="20"/>
        </w:rPr>
        <w:t xml:space="preserve">that requires </w:t>
      </w:r>
      <w:r w:rsidR="005F3781" w:rsidRPr="005F3781">
        <w:rPr>
          <w:rFonts w:ascii="Arial" w:hAnsi="Arial" w:cs="Arial"/>
          <w:sz w:val="20"/>
          <w:szCs w:val="20"/>
        </w:rPr>
        <w:t>advanced coding and other skills and</w:t>
      </w:r>
      <w:r w:rsidR="00DD5F59">
        <w:rPr>
          <w:rFonts w:ascii="Arial" w:hAnsi="Arial" w:cs="Arial"/>
          <w:sz w:val="20"/>
          <w:szCs w:val="20"/>
        </w:rPr>
        <w:t xml:space="preserve"> is therefore only</w:t>
      </w:r>
      <w:r w:rsidR="005F3781" w:rsidRPr="005F3781">
        <w:rPr>
          <w:rFonts w:ascii="Arial" w:hAnsi="Arial" w:cs="Arial"/>
          <w:sz w:val="20"/>
          <w:szCs w:val="20"/>
        </w:rPr>
        <w:t xml:space="preserve"> for big banks with deep pockets that can afford teams of highly-skilled data scientists.</w:t>
      </w:r>
      <w:r w:rsidR="00DD5F59">
        <w:rPr>
          <w:rFonts w:ascii="Arial" w:hAnsi="Arial" w:cs="Arial"/>
          <w:sz w:val="20"/>
          <w:szCs w:val="20"/>
        </w:rPr>
        <w:t xml:space="preserve"> </w:t>
      </w:r>
      <w:r w:rsidR="005F3781" w:rsidRPr="005F3781">
        <w:rPr>
          <w:rFonts w:ascii="Arial" w:hAnsi="Arial" w:cs="Arial"/>
          <w:sz w:val="20"/>
          <w:szCs w:val="20"/>
        </w:rPr>
        <w:t xml:space="preserve">While advanced data analytics and data specialists have a role to play, there are other tools that AML/CFT specialists </w:t>
      </w:r>
      <w:r w:rsidR="00DD5F59">
        <w:rPr>
          <w:rFonts w:ascii="Arial" w:hAnsi="Arial" w:cs="Arial"/>
          <w:sz w:val="20"/>
          <w:szCs w:val="20"/>
        </w:rPr>
        <w:t>(</w:t>
      </w:r>
      <w:r w:rsidR="005F3781" w:rsidRPr="005F3781">
        <w:rPr>
          <w:rFonts w:ascii="Arial" w:hAnsi="Arial" w:cs="Arial"/>
          <w:sz w:val="20"/>
          <w:szCs w:val="20"/>
        </w:rPr>
        <w:t xml:space="preserve">who </w:t>
      </w:r>
      <w:r>
        <w:rPr>
          <w:rFonts w:ascii="Arial" w:hAnsi="Arial" w:cs="Arial"/>
          <w:sz w:val="20"/>
          <w:szCs w:val="20"/>
        </w:rPr>
        <w:t>are</w:t>
      </w:r>
      <w:r w:rsidR="00DD5F59">
        <w:rPr>
          <w:rFonts w:ascii="Arial" w:hAnsi="Arial" w:cs="Arial"/>
          <w:sz w:val="20"/>
          <w:szCs w:val="20"/>
        </w:rPr>
        <w:t xml:space="preserve"> </w:t>
      </w:r>
      <w:r w:rsidR="005F3781" w:rsidRPr="005F3781">
        <w:rPr>
          <w:rFonts w:ascii="Arial" w:hAnsi="Arial" w:cs="Arial"/>
          <w:sz w:val="20"/>
          <w:szCs w:val="20"/>
        </w:rPr>
        <w:t>themselves highly trained and experienced experts</w:t>
      </w:r>
      <w:r w:rsidR="00DD5F59">
        <w:rPr>
          <w:rFonts w:ascii="Arial" w:hAnsi="Arial" w:cs="Arial"/>
          <w:sz w:val="20"/>
          <w:szCs w:val="20"/>
        </w:rPr>
        <w:t>)</w:t>
      </w:r>
      <w:r w:rsidR="005F3781" w:rsidRPr="005F3781">
        <w:rPr>
          <w:rFonts w:ascii="Arial" w:hAnsi="Arial" w:cs="Arial"/>
          <w:sz w:val="20"/>
          <w:szCs w:val="20"/>
        </w:rPr>
        <w:t xml:space="preserve"> can use to support their work without </w:t>
      </w:r>
      <w:r w:rsidR="008A4B59">
        <w:rPr>
          <w:rFonts w:ascii="Arial" w:hAnsi="Arial" w:cs="Arial"/>
          <w:sz w:val="20"/>
          <w:szCs w:val="20"/>
        </w:rPr>
        <w:t>using</w:t>
      </w:r>
      <w:r w:rsidR="005F3781" w:rsidRPr="005F3781">
        <w:rPr>
          <w:rFonts w:ascii="Arial" w:hAnsi="Arial" w:cs="Arial"/>
          <w:sz w:val="20"/>
          <w:szCs w:val="20"/>
        </w:rPr>
        <w:t xml:space="preserve"> advanced coding skills. </w:t>
      </w:r>
      <w:r w:rsidR="00C13E9F">
        <w:rPr>
          <w:rFonts w:ascii="Arial" w:hAnsi="Arial" w:cs="Arial"/>
          <w:sz w:val="20"/>
          <w:szCs w:val="20"/>
        </w:rPr>
        <w:t>There are</w:t>
      </w:r>
      <w:r w:rsidR="005F3781" w:rsidRPr="005F3781">
        <w:rPr>
          <w:rFonts w:ascii="Arial" w:hAnsi="Arial" w:cs="Arial"/>
          <w:sz w:val="20"/>
          <w:szCs w:val="20"/>
        </w:rPr>
        <w:t xml:space="preserve"> easy-to-use tools </w:t>
      </w:r>
      <w:r w:rsidR="00C13E9F">
        <w:rPr>
          <w:rFonts w:ascii="Arial" w:hAnsi="Arial" w:cs="Arial"/>
          <w:sz w:val="20"/>
          <w:szCs w:val="20"/>
        </w:rPr>
        <w:t xml:space="preserve">that </w:t>
      </w:r>
      <w:r w:rsidR="005F3781" w:rsidRPr="005F3781">
        <w:rPr>
          <w:rFonts w:ascii="Arial" w:hAnsi="Arial" w:cs="Arial"/>
          <w:sz w:val="20"/>
          <w:szCs w:val="20"/>
        </w:rPr>
        <w:t>can</w:t>
      </w:r>
      <w:r w:rsidR="00C13E9F">
        <w:rPr>
          <w:rFonts w:ascii="Arial" w:hAnsi="Arial" w:cs="Arial"/>
          <w:sz w:val="20"/>
          <w:szCs w:val="20"/>
        </w:rPr>
        <w:t xml:space="preserve"> </w:t>
      </w:r>
      <w:r w:rsidR="005F3781" w:rsidRPr="005F3781">
        <w:rPr>
          <w:rFonts w:ascii="Arial" w:hAnsi="Arial" w:cs="Arial"/>
          <w:sz w:val="20"/>
          <w:szCs w:val="20"/>
        </w:rPr>
        <w:t>automate routine tasks</w:t>
      </w:r>
      <w:r>
        <w:rPr>
          <w:rFonts w:ascii="Arial" w:hAnsi="Arial" w:cs="Arial"/>
          <w:sz w:val="20"/>
          <w:szCs w:val="20"/>
        </w:rPr>
        <w:t>,</w:t>
      </w:r>
      <w:r w:rsidR="00C13E9F">
        <w:rPr>
          <w:rFonts w:ascii="Arial" w:hAnsi="Arial" w:cs="Arial"/>
          <w:sz w:val="20"/>
          <w:szCs w:val="20"/>
        </w:rPr>
        <w:t xml:space="preserve"> </w:t>
      </w:r>
      <w:r w:rsidR="005F3781" w:rsidRPr="005F3781">
        <w:rPr>
          <w:rFonts w:ascii="Arial" w:hAnsi="Arial" w:cs="Arial"/>
          <w:sz w:val="20"/>
          <w:szCs w:val="20"/>
        </w:rPr>
        <w:t>free</w:t>
      </w:r>
      <w:r>
        <w:rPr>
          <w:rFonts w:ascii="Arial" w:hAnsi="Arial" w:cs="Arial"/>
          <w:sz w:val="20"/>
          <w:szCs w:val="20"/>
        </w:rPr>
        <w:t xml:space="preserve">ing </w:t>
      </w:r>
      <w:r w:rsidR="005F3781" w:rsidRPr="005F3781">
        <w:rPr>
          <w:rFonts w:ascii="Arial" w:hAnsi="Arial" w:cs="Arial"/>
          <w:sz w:val="20"/>
          <w:szCs w:val="20"/>
        </w:rPr>
        <w:t xml:space="preserve">specialist staff to </w:t>
      </w:r>
      <w:r w:rsidR="00C13E9F">
        <w:rPr>
          <w:rFonts w:ascii="Arial" w:hAnsi="Arial" w:cs="Arial"/>
          <w:sz w:val="20"/>
          <w:szCs w:val="20"/>
        </w:rPr>
        <w:t xml:space="preserve">focus on more </w:t>
      </w:r>
      <w:r>
        <w:rPr>
          <w:rFonts w:ascii="Arial" w:hAnsi="Arial" w:cs="Arial"/>
          <w:sz w:val="20"/>
          <w:szCs w:val="20"/>
        </w:rPr>
        <w:t xml:space="preserve">value-added activities and presenting results to management </w:t>
      </w:r>
      <w:r w:rsidR="002A71D0" w:rsidRPr="002A71D0">
        <w:rPr>
          <w:rFonts w:ascii="Arial" w:hAnsi="Arial" w:cs="Arial"/>
          <w:sz w:val="20"/>
          <w:szCs w:val="20"/>
        </w:rPr>
        <w:t>in ways that are more easily understood</w:t>
      </w:r>
      <w:r w:rsidR="00C13E9F">
        <w:rPr>
          <w:rFonts w:ascii="Arial" w:hAnsi="Arial" w:cs="Arial"/>
          <w:sz w:val="20"/>
          <w:szCs w:val="20"/>
        </w:rPr>
        <w:t xml:space="preserve">. </w:t>
      </w:r>
    </w:p>
    <w:p w:rsidR="008240D9" w:rsidRDefault="001C4760" w:rsidP="00C9350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The second AMLab </w:t>
      </w:r>
      <w:r w:rsidR="00B459FC">
        <w:rPr>
          <w:rFonts w:ascii="Arial" w:hAnsi="Arial" w:cs="Arial"/>
          <w:sz w:val="20"/>
          <w:szCs w:val="20"/>
        </w:rPr>
        <w:t>adopted</w:t>
      </w:r>
      <w:r>
        <w:rPr>
          <w:rFonts w:ascii="Arial" w:hAnsi="Arial" w:cs="Arial"/>
          <w:sz w:val="20"/>
          <w:szCs w:val="20"/>
        </w:rPr>
        <w:t xml:space="preserve"> a “bottom-up” approach, </w:t>
      </w:r>
      <w:r w:rsidR="008240D9" w:rsidRPr="008240D9">
        <w:rPr>
          <w:rFonts w:ascii="Arial" w:hAnsi="Arial" w:cs="Arial"/>
          <w:sz w:val="20"/>
          <w:szCs w:val="20"/>
        </w:rPr>
        <w:t>target</w:t>
      </w:r>
      <w:r>
        <w:rPr>
          <w:rFonts w:ascii="Arial" w:hAnsi="Arial" w:cs="Arial"/>
          <w:sz w:val="20"/>
          <w:szCs w:val="20"/>
        </w:rPr>
        <w:t>ing</w:t>
      </w:r>
      <w:r w:rsidR="008240D9" w:rsidRPr="008240D9">
        <w:rPr>
          <w:rFonts w:ascii="Arial" w:hAnsi="Arial" w:cs="Arial"/>
          <w:sz w:val="20"/>
          <w:szCs w:val="20"/>
        </w:rPr>
        <w:t xml:space="preserve"> working-level </w:t>
      </w:r>
      <w:r w:rsidR="002B03FE">
        <w:rPr>
          <w:rFonts w:ascii="Arial" w:hAnsi="Arial" w:cs="Arial"/>
          <w:sz w:val="20"/>
          <w:szCs w:val="20"/>
        </w:rPr>
        <w:t xml:space="preserve">AML practitioners </w:t>
      </w:r>
      <w:r w:rsidR="00B459FC">
        <w:rPr>
          <w:rFonts w:ascii="Arial" w:hAnsi="Arial" w:cs="Arial"/>
          <w:sz w:val="20"/>
          <w:szCs w:val="20"/>
        </w:rPr>
        <w:t>to i</w:t>
      </w:r>
      <w:r w:rsidR="002B03FE">
        <w:rPr>
          <w:rFonts w:ascii="Arial" w:hAnsi="Arial" w:cs="Arial"/>
          <w:sz w:val="20"/>
          <w:szCs w:val="20"/>
        </w:rPr>
        <w:t xml:space="preserve">dentify and assess pain points </w:t>
      </w:r>
      <w:r w:rsidR="008718AD">
        <w:rPr>
          <w:rFonts w:ascii="Arial" w:hAnsi="Arial" w:cs="Arial"/>
          <w:sz w:val="20"/>
          <w:szCs w:val="20"/>
        </w:rPr>
        <w:t xml:space="preserve">and explore solutions that </w:t>
      </w:r>
      <w:r w:rsidR="009B72CA">
        <w:rPr>
          <w:rFonts w:ascii="Arial" w:hAnsi="Arial" w:cs="Arial"/>
          <w:sz w:val="20"/>
          <w:szCs w:val="20"/>
        </w:rPr>
        <w:t xml:space="preserve">may </w:t>
      </w:r>
      <w:r w:rsidR="00F17A70">
        <w:rPr>
          <w:rFonts w:ascii="Arial" w:hAnsi="Arial" w:cs="Arial"/>
          <w:sz w:val="20"/>
          <w:szCs w:val="20"/>
        </w:rPr>
        <w:t>help address issues</w:t>
      </w:r>
      <w:r w:rsidR="00B459FC">
        <w:rPr>
          <w:rFonts w:ascii="Arial" w:hAnsi="Arial" w:cs="Arial"/>
          <w:sz w:val="20"/>
          <w:szCs w:val="20"/>
        </w:rPr>
        <w:t>,</w:t>
      </w:r>
      <w:r w:rsidR="00F17A70">
        <w:rPr>
          <w:rFonts w:ascii="Arial" w:hAnsi="Arial" w:cs="Arial"/>
          <w:sz w:val="20"/>
          <w:szCs w:val="20"/>
        </w:rPr>
        <w:t xml:space="preserve"> as well as when and </w:t>
      </w:r>
      <w:r w:rsidR="00B459FC">
        <w:rPr>
          <w:rFonts w:ascii="Arial" w:hAnsi="Arial" w:cs="Arial"/>
          <w:sz w:val="20"/>
          <w:szCs w:val="20"/>
        </w:rPr>
        <w:t xml:space="preserve">how </w:t>
      </w:r>
      <w:r w:rsidR="00F17A70">
        <w:rPr>
          <w:rFonts w:ascii="Arial" w:hAnsi="Arial" w:cs="Arial"/>
          <w:sz w:val="20"/>
          <w:szCs w:val="20"/>
        </w:rPr>
        <w:t>to escalate matters for management</w:t>
      </w:r>
      <w:r w:rsidR="000C36B0">
        <w:rPr>
          <w:rFonts w:ascii="Arial" w:hAnsi="Arial" w:cs="Arial"/>
          <w:sz w:val="20"/>
          <w:szCs w:val="20"/>
        </w:rPr>
        <w:t>’s</w:t>
      </w:r>
      <w:r w:rsidR="00F17A70">
        <w:rPr>
          <w:rFonts w:ascii="Arial" w:hAnsi="Arial" w:cs="Arial"/>
          <w:sz w:val="20"/>
          <w:szCs w:val="20"/>
        </w:rPr>
        <w:t xml:space="preserve"> attention. </w:t>
      </w:r>
      <w:r w:rsidR="00D37686">
        <w:rPr>
          <w:rFonts w:ascii="Arial" w:hAnsi="Arial" w:cs="Arial"/>
          <w:sz w:val="20"/>
          <w:szCs w:val="20"/>
        </w:rPr>
        <w:t xml:space="preserve">This approach was adopted in contrast to the “top-down” approach </w:t>
      </w:r>
      <w:r w:rsidR="00B459FC">
        <w:rPr>
          <w:rFonts w:ascii="Arial" w:hAnsi="Arial" w:cs="Arial"/>
          <w:sz w:val="20"/>
          <w:szCs w:val="20"/>
        </w:rPr>
        <w:t>of relying on management to request the adoption of a particular technology that</w:t>
      </w:r>
      <w:r w:rsidR="00C93503">
        <w:rPr>
          <w:rFonts w:ascii="Arial" w:hAnsi="Arial" w:cs="Arial"/>
          <w:sz w:val="20"/>
          <w:szCs w:val="20"/>
        </w:rPr>
        <w:t xml:space="preserve"> may not fully address the pain points that practitioners face “on the ground”</w:t>
      </w:r>
      <w:r w:rsidR="0011186F">
        <w:rPr>
          <w:rFonts w:ascii="Arial" w:hAnsi="Arial" w:cs="Arial"/>
          <w:sz w:val="20"/>
          <w:szCs w:val="20"/>
        </w:rPr>
        <w:t>.</w:t>
      </w:r>
    </w:p>
    <w:p w:rsidR="00C93503" w:rsidRDefault="00B065D7" w:rsidP="00C9350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Similar to AMLab 1, </w:t>
      </w:r>
      <w:r w:rsidR="009C7E12">
        <w:rPr>
          <w:rFonts w:ascii="Arial" w:hAnsi="Arial" w:cs="Arial"/>
          <w:sz w:val="20"/>
          <w:szCs w:val="20"/>
        </w:rPr>
        <w:t xml:space="preserve">the five banks that participated in this session included small and medium-sized institutions </w:t>
      </w:r>
      <w:r w:rsidR="00CB703E">
        <w:rPr>
          <w:rFonts w:ascii="Arial" w:hAnsi="Arial" w:cs="Arial"/>
          <w:sz w:val="20"/>
          <w:szCs w:val="20"/>
        </w:rPr>
        <w:t xml:space="preserve">with the aim of demonstrating that Regtech tools </w:t>
      </w:r>
      <w:r w:rsidR="00A336EB">
        <w:rPr>
          <w:rFonts w:ascii="Arial" w:hAnsi="Arial" w:cs="Arial"/>
          <w:sz w:val="20"/>
          <w:szCs w:val="20"/>
        </w:rPr>
        <w:t xml:space="preserve">can be relevant to their businesses and </w:t>
      </w:r>
      <w:r w:rsidR="00B459FC">
        <w:rPr>
          <w:rFonts w:ascii="Arial" w:hAnsi="Arial" w:cs="Arial"/>
          <w:sz w:val="20"/>
          <w:szCs w:val="20"/>
        </w:rPr>
        <w:t xml:space="preserve">do not have to involve </w:t>
      </w:r>
      <w:r w:rsidR="00A336EB">
        <w:rPr>
          <w:rFonts w:ascii="Arial" w:hAnsi="Arial" w:cs="Arial"/>
          <w:sz w:val="20"/>
          <w:szCs w:val="20"/>
        </w:rPr>
        <w:t xml:space="preserve">astronomical costs. </w:t>
      </w:r>
      <w:r w:rsidR="00A177B7">
        <w:rPr>
          <w:rFonts w:ascii="Arial" w:hAnsi="Arial" w:cs="Arial"/>
          <w:sz w:val="20"/>
          <w:szCs w:val="20"/>
        </w:rPr>
        <w:t xml:space="preserve">A </w:t>
      </w:r>
      <w:r w:rsidR="00B459FC">
        <w:rPr>
          <w:rFonts w:ascii="Arial" w:hAnsi="Arial" w:cs="Arial"/>
          <w:sz w:val="20"/>
          <w:szCs w:val="20"/>
        </w:rPr>
        <w:t xml:space="preserve">particular </w:t>
      </w:r>
      <w:r w:rsidR="00A177B7">
        <w:rPr>
          <w:rFonts w:ascii="Arial" w:hAnsi="Arial" w:cs="Arial"/>
          <w:sz w:val="20"/>
          <w:szCs w:val="20"/>
        </w:rPr>
        <w:t>feature of AMLab 2 was a “Regtech Connect” session</w:t>
      </w:r>
      <w:r w:rsidR="00B459FC">
        <w:rPr>
          <w:rFonts w:ascii="Arial" w:hAnsi="Arial" w:cs="Arial"/>
          <w:sz w:val="20"/>
          <w:szCs w:val="20"/>
        </w:rPr>
        <w:t>, in which</w:t>
      </w:r>
      <w:r w:rsidR="00A177B7">
        <w:rPr>
          <w:rFonts w:ascii="Arial" w:hAnsi="Arial" w:cs="Arial"/>
          <w:sz w:val="20"/>
          <w:szCs w:val="20"/>
        </w:rPr>
        <w:t xml:space="preserve"> </w:t>
      </w:r>
      <w:r w:rsidR="00DB0FF2">
        <w:rPr>
          <w:rFonts w:ascii="Arial" w:hAnsi="Arial" w:cs="Arial"/>
          <w:sz w:val="20"/>
          <w:szCs w:val="20"/>
        </w:rPr>
        <w:t xml:space="preserve">technology companies demonstrated tools and services relevant to AML/CFT functions </w:t>
      </w:r>
      <w:r w:rsidR="00B459FC">
        <w:rPr>
          <w:rFonts w:ascii="Arial" w:hAnsi="Arial" w:cs="Arial"/>
          <w:sz w:val="20"/>
          <w:szCs w:val="20"/>
        </w:rPr>
        <w:t xml:space="preserve">in </w:t>
      </w:r>
      <w:r w:rsidR="00DB0FF2">
        <w:rPr>
          <w:rFonts w:ascii="Arial" w:hAnsi="Arial" w:cs="Arial"/>
          <w:sz w:val="20"/>
          <w:szCs w:val="20"/>
        </w:rPr>
        <w:t xml:space="preserve">discussions with the participating banks. </w:t>
      </w:r>
    </w:p>
    <w:p w:rsidR="004C3B0A" w:rsidRDefault="00797108" w:rsidP="00C93503">
      <w:pPr>
        <w:jc w:val="both"/>
        <w:rPr>
          <w:rFonts w:ascii="Arial" w:hAnsi="Arial" w:cs="Arial"/>
          <w:b/>
          <w:sz w:val="20"/>
          <w:szCs w:val="20"/>
        </w:rPr>
      </w:pPr>
      <w:r w:rsidRPr="00797108">
        <w:rPr>
          <w:rFonts w:ascii="Arial" w:hAnsi="Arial" w:cs="Arial"/>
          <w:b/>
          <w:sz w:val="20"/>
          <w:szCs w:val="20"/>
        </w:rPr>
        <w:t xml:space="preserve">Future AMLabs </w:t>
      </w:r>
    </w:p>
    <w:p w:rsidR="00326D8D" w:rsidRDefault="008C7189" w:rsidP="00C9350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Apart from another</w:t>
      </w:r>
      <w:r w:rsidR="00F55915">
        <w:rPr>
          <w:rFonts w:ascii="Arial" w:hAnsi="Arial" w:cs="Arial"/>
          <w:sz w:val="20"/>
          <w:szCs w:val="20"/>
        </w:rPr>
        <w:t xml:space="preserve"> </w:t>
      </w:r>
      <w:r w:rsidR="008C1C66">
        <w:rPr>
          <w:rFonts w:ascii="Arial" w:hAnsi="Arial" w:cs="Arial"/>
          <w:sz w:val="20"/>
          <w:szCs w:val="20"/>
        </w:rPr>
        <w:t>AMLab session on network analytics</w:t>
      </w:r>
      <w:r>
        <w:rPr>
          <w:rFonts w:ascii="Arial" w:hAnsi="Arial" w:cs="Arial"/>
          <w:sz w:val="20"/>
          <w:szCs w:val="20"/>
        </w:rPr>
        <w:t xml:space="preserve">, future </w:t>
      </w:r>
      <w:r w:rsidR="00F55915">
        <w:rPr>
          <w:rFonts w:ascii="Arial" w:hAnsi="Arial" w:cs="Arial"/>
          <w:sz w:val="20"/>
          <w:szCs w:val="20"/>
        </w:rPr>
        <w:t xml:space="preserve">AMLab sessions </w:t>
      </w:r>
      <w:r>
        <w:rPr>
          <w:rFonts w:ascii="Arial" w:hAnsi="Arial" w:cs="Arial"/>
          <w:sz w:val="20"/>
          <w:szCs w:val="20"/>
        </w:rPr>
        <w:t>will fo</w:t>
      </w:r>
      <w:r w:rsidR="00B459FC">
        <w:rPr>
          <w:rFonts w:ascii="Arial" w:hAnsi="Arial" w:cs="Arial"/>
          <w:sz w:val="20"/>
          <w:szCs w:val="20"/>
        </w:rPr>
        <w:t>cus on the technologies</w:t>
      </w:r>
      <w:r>
        <w:rPr>
          <w:rFonts w:ascii="Arial" w:hAnsi="Arial" w:cs="Arial"/>
          <w:sz w:val="20"/>
          <w:szCs w:val="20"/>
        </w:rPr>
        <w:t xml:space="preserve"> that are relevant to the AML/CFT work of the banking sector. </w:t>
      </w:r>
      <w:r w:rsidR="00B459FC">
        <w:rPr>
          <w:rFonts w:ascii="Arial" w:hAnsi="Arial" w:cs="Arial"/>
          <w:sz w:val="20"/>
          <w:szCs w:val="20"/>
        </w:rPr>
        <w:t xml:space="preserve">The HKMA will approach </w:t>
      </w:r>
      <w:r w:rsidR="00FA4832">
        <w:rPr>
          <w:rFonts w:ascii="Arial" w:hAnsi="Arial" w:cs="Arial"/>
          <w:sz w:val="20"/>
          <w:szCs w:val="20"/>
        </w:rPr>
        <w:t xml:space="preserve">AML specialists at banks </w:t>
      </w:r>
      <w:r w:rsidR="00B459FC">
        <w:rPr>
          <w:rFonts w:ascii="Arial" w:hAnsi="Arial" w:cs="Arial"/>
          <w:sz w:val="20"/>
          <w:szCs w:val="20"/>
        </w:rPr>
        <w:t xml:space="preserve">and ask them to </w:t>
      </w:r>
      <w:r w:rsidR="00FA4832">
        <w:rPr>
          <w:rFonts w:ascii="Arial" w:hAnsi="Arial" w:cs="Arial"/>
          <w:sz w:val="20"/>
          <w:szCs w:val="20"/>
        </w:rPr>
        <w:t>identify themes and topics they want future AMLabs to cover</w:t>
      </w:r>
      <w:r w:rsidR="0070443C">
        <w:rPr>
          <w:rFonts w:ascii="Arial" w:hAnsi="Arial" w:cs="Arial"/>
          <w:sz w:val="20"/>
          <w:szCs w:val="20"/>
        </w:rPr>
        <w:t xml:space="preserve">. </w:t>
      </w:r>
    </w:p>
    <w:p w:rsidR="00347C03" w:rsidRDefault="00326D8D" w:rsidP="00C9350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HKMA will p</w:t>
      </w:r>
      <w:r w:rsidR="0082405A">
        <w:rPr>
          <w:rFonts w:ascii="Arial" w:hAnsi="Arial" w:cs="Arial"/>
          <w:sz w:val="20"/>
          <w:szCs w:val="20"/>
        </w:rPr>
        <w:t xml:space="preserve">ublish a report later in the year to share with the industry some case studies </w:t>
      </w:r>
      <w:r w:rsidR="00347C03">
        <w:rPr>
          <w:rFonts w:ascii="Arial" w:hAnsi="Arial" w:cs="Arial"/>
          <w:sz w:val="20"/>
          <w:szCs w:val="20"/>
        </w:rPr>
        <w:t>where banks have adopted network analytics technology and thei</w:t>
      </w:r>
      <w:r w:rsidR="00B459FC">
        <w:rPr>
          <w:rFonts w:ascii="Arial" w:hAnsi="Arial" w:cs="Arial"/>
          <w:sz w:val="20"/>
          <w:szCs w:val="20"/>
        </w:rPr>
        <w:t>r experiences and lessons learned</w:t>
      </w:r>
      <w:r w:rsidR="00347C03">
        <w:rPr>
          <w:rFonts w:ascii="Arial" w:hAnsi="Arial" w:cs="Arial"/>
          <w:sz w:val="20"/>
          <w:szCs w:val="20"/>
        </w:rPr>
        <w:t xml:space="preserve">. </w:t>
      </w:r>
      <w:r w:rsidR="00465EF2">
        <w:rPr>
          <w:rFonts w:ascii="Arial" w:hAnsi="Arial" w:cs="Arial"/>
          <w:sz w:val="20"/>
          <w:szCs w:val="20"/>
        </w:rPr>
        <w:t xml:space="preserve">It is hoped that </w:t>
      </w:r>
      <w:r w:rsidR="008D6665">
        <w:rPr>
          <w:rFonts w:ascii="Arial" w:hAnsi="Arial" w:cs="Arial"/>
          <w:sz w:val="20"/>
          <w:szCs w:val="20"/>
        </w:rPr>
        <w:t xml:space="preserve">real-life experiences will help banks identify and adopt solutions suitable for individual operations. AMLabs </w:t>
      </w:r>
      <w:r w:rsidR="0052344D">
        <w:rPr>
          <w:rFonts w:ascii="Arial" w:hAnsi="Arial" w:cs="Arial"/>
          <w:sz w:val="20"/>
          <w:szCs w:val="20"/>
        </w:rPr>
        <w:t xml:space="preserve">puts the HKMA and the Hong Kong banking sector at the forefront of adopting </w:t>
      </w:r>
      <w:r w:rsidR="00D45986">
        <w:rPr>
          <w:rFonts w:ascii="Arial" w:hAnsi="Arial" w:cs="Arial"/>
          <w:sz w:val="20"/>
          <w:szCs w:val="20"/>
        </w:rPr>
        <w:t xml:space="preserve">AML Regtech and </w:t>
      </w:r>
      <w:r w:rsidR="00465EF2">
        <w:rPr>
          <w:rFonts w:ascii="Arial" w:hAnsi="Arial" w:cs="Arial"/>
          <w:sz w:val="20"/>
          <w:szCs w:val="20"/>
        </w:rPr>
        <w:t xml:space="preserve">will </w:t>
      </w:r>
      <w:r w:rsidR="00D45986">
        <w:rPr>
          <w:rFonts w:ascii="Arial" w:hAnsi="Arial" w:cs="Arial"/>
          <w:sz w:val="20"/>
          <w:szCs w:val="20"/>
        </w:rPr>
        <w:t xml:space="preserve">continue to explore new tools to </w:t>
      </w:r>
      <w:r w:rsidR="00465EF2">
        <w:rPr>
          <w:rFonts w:ascii="Arial" w:hAnsi="Arial" w:cs="Arial"/>
          <w:sz w:val="20"/>
          <w:szCs w:val="20"/>
        </w:rPr>
        <w:t xml:space="preserve">help </w:t>
      </w:r>
      <w:r w:rsidR="00D45986">
        <w:rPr>
          <w:rFonts w:ascii="Arial" w:hAnsi="Arial" w:cs="Arial"/>
          <w:sz w:val="20"/>
          <w:szCs w:val="20"/>
        </w:rPr>
        <w:t xml:space="preserve">make banks’ AML/CFT work more effective and efficient. </w:t>
      </w:r>
    </w:p>
    <w:p w:rsidR="006967DC" w:rsidRPr="00A41F57" w:rsidRDefault="00FA4832" w:rsidP="006967DC">
      <w:pPr>
        <w:pStyle w:val="DisclaimerBold"/>
        <w:rPr>
          <w:rFonts w:ascii="Helvetica" w:hAnsi="Helvetica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967DC" w:rsidRPr="00F05494">
        <w:rPr>
          <w:rFonts w:ascii="Helvetica" w:hAnsi="Helvetica"/>
        </w:rPr>
        <w:t>This newsletter is for information purposes only.</w:t>
      </w:r>
    </w:p>
    <w:p w:rsidR="006967DC" w:rsidRPr="00F05494" w:rsidRDefault="006967DC" w:rsidP="006967DC">
      <w:pPr>
        <w:pStyle w:val="Disclaimer"/>
        <w:rPr>
          <w:rFonts w:ascii="Helvetica" w:hAnsi="Helvetica"/>
        </w:rPr>
      </w:pPr>
      <w:r w:rsidRPr="00F05494">
        <w:rPr>
          <w:rFonts w:ascii="Helvetica" w:hAnsi="Helvetica"/>
        </w:rPr>
        <w:t>Its contents do not constitute legal advice and it should not be regarded as a substitute for detailed advice in individual cases.</w:t>
      </w:r>
    </w:p>
    <w:p w:rsidR="006967DC" w:rsidRPr="00F05494" w:rsidRDefault="006967DC" w:rsidP="006967DC">
      <w:pPr>
        <w:pStyle w:val="Disclaimer"/>
        <w:rPr>
          <w:rFonts w:ascii="Helvetica" w:hAnsi="Helvetica"/>
        </w:rPr>
      </w:pPr>
      <w:r w:rsidRPr="00F05494">
        <w:rPr>
          <w:rFonts w:ascii="Helvetica" w:hAnsi="Helvetica"/>
        </w:rPr>
        <w:t>Transmission of this information is not intended to create and receipt does not constitute a lawyer-client relationship between Charltons and the user or browser.</w:t>
      </w:r>
    </w:p>
    <w:p w:rsidR="006967DC" w:rsidRPr="00F05494" w:rsidRDefault="006967DC" w:rsidP="006967DC">
      <w:pPr>
        <w:pStyle w:val="Disclaimer"/>
        <w:rPr>
          <w:rFonts w:ascii="Helvetica" w:hAnsi="Helvetica"/>
        </w:rPr>
      </w:pPr>
      <w:r w:rsidRPr="00F05494">
        <w:rPr>
          <w:rFonts w:ascii="Helvetica" w:hAnsi="Helvetica"/>
        </w:rPr>
        <w:t>Charltons is not responsible for any third</w:t>
      </w:r>
      <w:r w:rsidRPr="00A41F57">
        <w:rPr>
          <w:rFonts w:ascii="Helvetica" w:hAnsi="Helvetica"/>
        </w:rPr>
        <w:t xml:space="preserve"> </w:t>
      </w:r>
      <w:r w:rsidRPr="00F05494">
        <w:rPr>
          <w:rFonts w:ascii="Helvetica" w:hAnsi="Helvetica"/>
        </w:rPr>
        <w:t>party content which can be accessed through the website.</w:t>
      </w:r>
    </w:p>
    <w:p w:rsidR="006967DC" w:rsidRPr="00F05494" w:rsidRDefault="006967DC" w:rsidP="006967DC">
      <w:pPr>
        <w:pStyle w:val="Disclaimer"/>
        <w:rPr>
          <w:rFonts w:ascii="Helvetica" w:hAnsi="Helvetica"/>
        </w:rPr>
      </w:pPr>
      <w:r w:rsidRPr="00F05494">
        <w:rPr>
          <w:rFonts w:ascii="Helvetica" w:hAnsi="Helvetica"/>
        </w:rPr>
        <w:t xml:space="preserve">If you do not wish to receive this newsletter please let us know by emailing us at  </w:t>
      </w:r>
      <w:hyperlink r:id="rId8">
        <w:r w:rsidRPr="00F05494">
          <w:rPr>
            <w:rFonts w:ascii="Helvetica" w:hAnsi="Helvetica"/>
          </w:rPr>
          <w:t>unsubscribe@charltonslaw.com</w:t>
        </w:r>
      </w:hyperlink>
    </w:p>
    <w:p w:rsidR="006967DC" w:rsidRPr="00CD0DE3" w:rsidRDefault="006967DC" w:rsidP="006967DC">
      <w:pPr>
        <w:pStyle w:val="BlackStrips"/>
        <w:rPr>
          <w:rFonts w:ascii="Helvetica" w:hAnsi="Helvetica"/>
        </w:rPr>
      </w:pPr>
      <w:r w:rsidRPr="00F05494">
        <w:rPr>
          <w:rFonts w:ascii="Helvetica" w:hAnsi="Helvetica"/>
        </w:rPr>
        <w:t xml:space="preserve">Charltons - Hong Kong Law - </w:t>
      </w:r>
      <w:r>
        <w:rPr>
          <w:rFonts w:ascii="Helvetica" w:hAnsi="Helvetica"/>
        </w:rPr>
        <w:t>2</w:t>
      </w:r>
      <w:r w:rsidR="002E1B33">
        <w:rPr>
          <w:rFonts w:ascii="Helvetica" w:hAnsi="Helvetica"/>
          <w:lang w:val="ru-RU"/>
        </w:rPr>
        <w:t>7</w:t>
      </w:r>
      <w:r w:rsidRPr="00F05494">
        <w:rPr>
          <w:rFonts w:ascii="Helvetica" w:hAnsi="Helvetica"/>
        </w:rPr>
        <w:t xml:space="preserve"> </w:t>
      </w:r>
      <w:r>
        <w:rPr>
          <w:rFonts w:ascii="Helvetica" w:hAnsi="Helvetica"/>
        </w:rPr>
        <w:t>October</w:t>
      </w:r>
      <w:r w:rsidRPr="00F05494">
        <w:rPr>
          <w:rFonts w:ascii="Helvetica" w:hAnsi="Helvetica"/>
        </w:rPr>
        <w:t xml:space="preserve"> 202</w:t>
      </w:r>
      <w:r>
        <w:rPr>
          <w:rFonts w:ascii="Helvetica" w:hAnsi="Helvetica"/>
        </w:rPr>
        <w:t>2</w:t>
      </w:r>
    </w:p>
    <w:p w:rsidR="00F55915" w:rsidRPr="006967DC" w:rsidRDefault="00F55915" w:rsidP="00C93503">
      <w:pPr>
        <w:jc w:val="both"/>
        <w:rPr>
          <w:rFonts w:ascii="Arial" w:hAnsi="Arial" w:cs="Arial"/>
          <w:sz w:val="20"/>
          <w:szCs w:val="20"/>
          <w:lang w:val="en-US"/>
        </w:rPr>
      </w:pPr>
    </w:p>
    <w:sectPr w:rsidR="00F55915" w:rsidRPr="006967DC" w:rsidSect="00BE23D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68FE" w:rsidRDefault="002268FE" w:rsidP="003C11AF">
      <w:pPr>
        <w:spacing w:after="0" w:line="240" w:lineRule="auto"/>
      </w:pPr>
      <w:r>
        <w:separator/>
      </w:r>
    </w:p>
  </w:endnote>
  <w:endnote w:type="continuationSeparator" w:id="0">
    <w:p w:rsidR="002268FE" w:rsidRDefault="002268FE" w:rsidP="003C1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68FE" w:rsidRDefault="002268FE" w:rsidP="003C11AF">
      <w:pPr>
        <w:spacing w:after="0" w:line="240" w:lineRule="auto"/>
      </w:pPr>
      <w:r>
        <w:separator/>
      </w:r>
    </w:p>
  </w:footnote>
  <w:footnote w:type="continuationSeparator" w:id="0">
    <w:p w:rsidR="002268FE" w:rsidRDefault="002268FE" w:rsidP="003C11AF">
      <w:pPr>
        <w:spacing w:after="0" w:line="240" w:lineRule="auto"/>
      </w:pPr>
      <w:r>
        <w:continuationSeparator/>
      </w:r>
    </w:p>
  </w:footnote>
  <w:footnote w:id="1">
    <w:p w:rsidR="00C933AD" w:rsidRPr="00C933AD" w:rsidRDefault="00C933AD">
      <w:pPr>
        <w:pStyle w:val="a4"/>
        <w:rPr>
          <w:rFonts w:ascii="Arial" w:hAnsi="Arial" w:cs="Arial"/>
          <w:sz w:val="16"/>
          <w:szCs w:val="16"/>
          <w:lang w:val="en-US"/>
        </w:rPr>
      </w:pPr>
      <w:r w:rsidRPr="00C933AD">
        <w:rPr>
          <w:rStyle w:val="a6"/>
          <w:rFonts w:ascii="Arial" w:hAnsi="Arial" w:cs="Arial"/>
          <w:sz w:val="16"/>
          <w:szCs w:val="16"/>
        </w:rPr>
        <w:footnoteRef/>
      </w:r>
      <w:r w:rsidRPr="00C933AD">
        <w:rPr>
          <w:rFonts w:ascii="Arial" w:hAnsi="Arial" w:cs="Arial"/>
          <w:sz w:val="16"/>
          <w:szCs w:val="16"/>
        </w:rPr>
        <w:t xml:space="preserve"> </w:t>
      </w:r>
      <w:hyperlink r:id="rId1" w:history="1">
        <w:r w:rsidRPr="00C933AD">
          <w:rPr>
            <w:rStyle w:val="a3"/>
            <w:rFonts w:ascii="Arial" w:hAnsi="Arial" w:cs="Arial"/>
            <w:sz w:val="16"/>
            <w:szCs w:val="16"/>
          </w:rPr>
          <w:t>https://www.hkma.gov.hk/eng/news-and-media/press-releases/2021/06/20210608-4/</w:t>
        </w:r>
      </w:hyperlink>
      <w:r w:rsidRPr="00C933AD">
        <w:rPr>
          <w:rFonts w:ascii="Arial" w:hAnsi="Arial" w:cs="Arial"/>
          <w:sz w:val="16"/>
          <w:szCs w:val="16"/>
        </w:rPr>
        <w:t xml:space="preserve"> </w:t>
      </w:r>
    </w:p>
  </w:footnote>
  <w:footnote w:id="2">
    <w:p w:rsidR="003C11AF" w:rsidRPr="00BC6893" w:rsidRDefault="003C11AF">
      <w:pPr>
        <w:pStyle w:val="a4"/>
        <w:rPr>
          <w:rFonts w:ascii="Arial" w:hAnsi="Arial" w:cs="Arial"/>
          <w:sz w:val="16"/>
          <w:szCs w:val="16"/>
          <w:lang w:val="en-US"/>
        </w:rPr>
      </w:pPr>
      <w:r w:rsidRPr="00BC6893">
        <w:rPr>
          <w:rStyle w:val="a6"/>
          <w:rFonts w:ascii="Arial" w:hAnsi="Arial" w:cs="Arial"/>
          <w:sz w:val="16"/>
          <w:szCs w:val="16"/>
        </w:rPr>
        <w:footnoteRef/>
      </w:r>
      <w:r w:rsidRPr="00BC6893">
        <w:rPr>
          <w:rFonts w:ascii="Arial" w:hAnsi="Arial" w:cs="Arial"/>
          <w:sz w:val="16"/>
          <w:szCs w:val="16"/>
        </w:rPr>
        <w:t xml:space="preserve"> </w:t>
      </w:r>
      <w:hyperlink r:id="rId2" w:history="1">
        <w:r w:rsidRPr="00BC6893">
          <w:rPr>
            <w:rStyle w:val="a3"/>
            <w:rFonts w:ascii="Arial" w:hAnsi="Arial" w:cs="Arial"/>
            <w:sz w:val="16"/>
            <w:szCs w:val="16"/>
          </w:rPr>
          <w:t>https://www.fstb.gov.hk/fsb/aml/en/doc/hk-risk-assessment-report_e.pdf</w:t>
        </w:r>
      </w:hyperlink>
      <w:r w:rsidRPr="00BC6893">
        <w:rPr>
          <w:rFonts w:ascii="Arial" w:hAnsi="Arial" w:cs="Arial"/>
          <w:sz w:val="16"/>
          <w:szCs w:val="16"/>
        </w:rPr>
        <w:t xml:space="preserve"> </w:t>
      </w:r>
    </w:p>
  </w:footnote>
  <w:footnote w:id="3">
    <w:p w:rsidR="00BC6893" w:rsidRPr="00BC6893" w:rsidRDefault="00BC6893">
      <w:pPr>
        <w:pStyle w:val="a4"/>
        <w:rPr>
          <w:rFonts w:ascii="Arial" w:hAnsi="Arial" w:cs="Arial"/>
          <w:sz w:val="16"/>
          <w:szCs w:val="16"/>
          <w:lang w:val="en-US"/>
        </w:rPr>
      </w:pPr>
      <w:r w:rsidRPr="00BC6893">
        <w:rPr>
          <w:rStyle w:val="a6"/>
          <w:rFonts w:ascii="Arial" w:hAnsi="Arial" w:cs="Arial"/>
          <w:sz w:val="16"/>
          <w:szCs w:val="16"/>
        </w:rPr>
        <w:footnoteRef/>
      </w:r>
      <w:r w:rsidRPr="00BC6893">
        <w:rPr>
          <w:rFonts w:ascii="Arial" w:hAnsi="Arial" w:cs="Arial"/>
          <w:sz w:val="16"/>
          <w:szCs w:val="16"/>
        </w:rPr>
        <w:t xml:space="preserve"> </w:t>
      </w:r>
      <w:hyperlink r:id="rId3" w:history="1">
        <w:r w:rsidRPr="00BC6893">
          <w:rPr>
            <w:rStyle w:val="a3"/>
            <w:rFonts w:ascii="Arial" w:hAnsi="Arial" w:cs="Arial"/>
            <w:sz w:val="16"/>
            <w:szCs w:val="16"/>
          </w:rPr>
          <w:t>https://www.fstb.gov.hk/fsb/aml/en/doc/2nd%20HK%20ML%20TF%20Risk%20Assessment%20Report_e.pdf</w:t>
        </w:r>
      </w:hyperlink>
      <w:r w:rsidRPr="00BC6893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F7D"/>
    <w:rsid w:val="0001019E"/>
    <w:rsid w:val="00042A2E"/>
    <w:rsid w:val="00051444"/>
    <w:rsid w:val="00063408"/>
    <w:rsid w:val="000757A1"/>
    <w:rsid w:val="000A7575"/>
    <w:rsid w:val="000C13C0"/>
    <w:rsid w:val="000C36B0"/>
    <w:rsid w:val="000C42ED"/>
    <w:rsid w:val="000C7B5D"/>
    <w:rsid w:val="000E5F7D"/>
    <w:rsid w:val="000E67DA"/>
    <w:rsid w:val="000F5DCE"/>
    <w:rsid w:val="0011186F"/>
    <w:rsid w:val="001129AD"/>
    <w:rsid w:val="001234AB"/>
    <w:rsid w:val="00125855"/>
    <w:rsid w:val="0018462D"/>
    <w:rsid w:val="001868E6"/>
    <w:rsid w:val="00187AFE"/>
    <w:rsid w:val="00193B0D"/>
    <w:rsid w:val="001977AE"/>
    <w:rsid w:val="001C4760"/>
    <w:rsid w:val="001E52F3"/>
    <w:rsid w:val="001F305B"/>
    <w:rsid w:val="001F57FF"/>
    <w:rsid w:val="00212528"/>
    <w:rsid w:val="002161CA"/>
    <w:rsid w:val="002268FE"/>
    <w:rsid w:val="00246984"/>
    <w:rsid w:val="002547F1"/>
    <w:rsid w:val="0026235F"/>
    <w:rsid w:val="002707D0"/>
    <w:rsid w:val="002A71D0"/>
    <w:rsid w:val="002B03FE"/>
    <w:rsid w:val="002C1877"/>
    <w:rsid w:val="002C3FB8"/>
    <w:rsid w:val="002C4692"/>
    <w:rsid w:val="002C60BE"/>
    <w:rsid w:val="002D29D0"/>
    <w:rsid w:val="002E1B33"/>
    <w:rsid w:val="002E2451"/>
    <w:rsid w:val="002E3C53"/>
    <w:rsid w:val="00326D8D"/>
    <w:rsid w:val="00347C03"/>
    <w:rsid w:val="00365594"/>
    <w:rsid w:val="003852D6"/>
    <w:rsid w:val="00395647"/>
    <w:rsid w:val="003A0BDC"/>
    <w:rsid w:val="003C01FA"/>
    <w:rsid w:val="003C04CC"/>
    <w:rsid w:val="003C11AF"/>
    <w:rsid w:val="003C352F"/>
    <w:rsid w:val="003D5F75"/>
    <w:rsid w:val="003D7721"/>
    <w:rsid w:val="003F38D2"/>
    <w:rsid w:val="0041748B"/>
    <w:rsid w:val="0043606B"/>
    <w:rsid w:val="00460684"/>
    <w:rsid w:val="00465EF2"/>
    <w:rsid w:val="00495093"/>
    <w:rsid w:val="004A0E9E"/>
    <w:rsid w:val="004A2045"/>
    <w:rsid w:val="004B5E04"/>
    <w:rsid w:val="004C3B0A"/>
    <w:rsid w:val="004E03A2"/>
    <w:rsid w:val="004E1FB1"/>
    <w:rsid w:val="005136DD"/>
    <w:rsid w:val="0052344D"/>
    <w:rsid w:val="0052394B"/>
    <w:rsid w:val="00525323"/>
    <w:rsid w:val="00532CA9"/>
    <w:rsid w:val="00547A65"/>
    <w:rsid w:val="005625D4"/>
    <w:rsid w:val="00593054"/>
    <w:rsid w:val="005D3E71"/>
    <w:rsid w:val="005F3781"/>
    <w:rsid w:val="005F5B51"/>
    <w:rsid w:val="005F6BC7"/>
    <w:rsid w:val="006301DB"/>
    <w:rsid w:val="006731AA"/>
    <w:rsid w:val="00695B79"/>
    <w:rsid w:val="006967DC"/>
    <w:rsid w:val="006C34E0"/>
    <w:rsid w:val="006D111B"/>
    <w:rsid w:val="0070443C"/>
    <w:rsid w:val="00711DB1"/>
    <w:rsid w:val="00736A62"/>
    <w:rsid w:val="00742ED0"/>
    <w:rsid w:val="00761675"/>
    <w:rsid w:val="007922D3"/>
    <w:rsid w:val="00795AB8"/>
    <w:rsid w:val="00797108"/>
    <w:rsid w:val="007C3B06"/>
    <w:rsid w:val="007C66E7"/>
    <w:rsid w:val="007D2030"/>
    <w:rsid w:val="0082405A"/>
    <w:rsid w:val="008240D9"/>
    <w:rsid w:val="008478D2"/>
    <w:rsid w:val="00870576"/>
    <w:rsid w:val="008718AD"/>
    <w:rsid w:val="00890CFE"/>
    <w:rsid w:val="008A4B59"/>
    <w:rsid w:val="008C1C66"/>
    <w:rsid w:val="008C7189"/>
    <w:rsid w:val="008D6665"/>
    <w:rsid w:val="008F2504"/>
    <w:rsid w:val="0093269F"/>
    <w:rsid w:val="009338BB"/>
    <w:rsid w:val="009475D8"/>
    <w:rsid w:val="00955EEE"/>
    <w:rsid w:val="009718CE"/>
    <w:rsid w:val="009872D4"/>
    <w:rsid w:val="009B72CA"/>
    <w:rsid w:val="009C6D67"/>
    <w:rsid w:val="009C7E12"/>
    <w:rsid w:val="009F1095"/>
    <w:rsid w:val="009F4D8E"/>
    <w:rsid w:val="00A177B7"/>
    <w:rsid w:val="00A336EB"/>
    <w:rsid w:val="00A36E27"/>
    <w:rsid w:val="00A45177"/>
    <w:rsid w:val="00A650C5"/>
    <w:rsid w:val="00A67658"/>
    <w:rsid w:val="00A70B14"/>
    <w:rsid w:val="00A828FF"/>
    <w:rsid w:val="00A847B9"/>
    <w:rsid w:val="00A87E25"/>
    <w:rsid w:val="00A97483"/>
    <w:rsid w:val="00AF6BE2"/>
    <w:rsid w:val="00B065D7"/>
    <w:rsid w:val="00B167A8"/>
    <w:rsid w:val="00B24A5F"/>
    <w:rsid w:val="00B459FC"/>
    <w:rsid w:val="00B506B2"/>
    <w:rsid w:val="00B52C62"/>
    <w:rsid w:val="00B5333D"/>
    <w:rsid w:val="00B7659C"/>
    <w:rsid w:val="00BC6893"/>
    <w:rsid w:val="00BE23DC"/>
    <w:rsid w:val="00C13E9F"/>
    <w:rsid w:val="00C21D54"/>
    <w:rsid w:val="00C376D9"/>
    <w:rsid w:val="00C44D5D"/>
    <w:rsid w:val="00C522E5"/>
    <w:rsid w:val="00C564EB"/>
    <w:rsid w:val="00C65B7D"/>
    <w:rsid w:val="00C66C81"/>
    <w:rsid w:val="00C729A2"/>
    <w:rsid w:val="00C73D9C"/>
    <w:rsid w:val="00C86922"/>
    <w:rsid w:val="00C933AD"/>
    <w:rsid w:val="00C93503"/>
    <w:rsid w:val="00C94AD7"/>
    <w:rsid w:val="00C96321"/>
    <w:rsid w:val="00CA73E2"/>
    <w:rsid w:val="00CB703E"/>
    <w:rsid w:val="00CC39F4"/>
    <w:rsid w:val="00CE4E1A"/>
    <w:rsid w:val="00D000E4"/>
    <w:rsid w:val="00D27869"/>
    <w:rsid w:val="00D37686"/>
    <w:rsid w:val="00D45986"/>
    <w:rsid w:val="00D46C9A"/>
    <w:rsid w:val="00D849A4"/>
    <w:rsid w:val="00D910D1"/>
    <w:rsid w:val="00DB0FF2"/>
    <w:rsid w:val="00DC1EFF"/>
    <w:rsid w:val="00DD5F59"/>
    <w:rsid w:val="00DE1386"/>
    <w:rsid w:val="00E27286"/>
    <w:rsid w:val="00E425BF"/>
    <w:rsid w:val="00E45E0D"/>
    <w:rsid w:val="00E51621"/>
    <w:rsid w:val="00E52D52"/>
    <w:rsid w:val="00E6486A"/>
    <w:rsid w:val="00E7683A"/>
    <w:rsid w:val="00E87452"/>
    <w:rsid w:val="00EA2800"/>
    <w:rsid w:val="00EA3165"/>
    <w:rsid w:val="00EC79EB"/>
    <w:rsid w:val="00ED1ABC"/>
    <w:rsid w:val="00ED5F7E"/>
    <w:rsid w:val="00EE3BAB"/>
    <w:rsid w:val="00F11CB8"/>
    <w:rsid w:val="00F17A70"/>
    <w:rsid w:val="00F33933"/>
    <w:rsid w:val="00F55915"/>
    <w:rsid w:val="00F704D8"/>
    <w:rsid w:val="00FA36F7"/>
    <w:rsid w:val="00FA4832"/>
    <w:rsid w:val="00FA74C1"/>
    <w:rsid w:val="00FE0928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DB0C4"/>
  <w15:chartTrackingRefBased/>
  <w15:docId w15:val="{40615B7C-DB4E-4380-90D5-B1B2E193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F7D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6922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3C11A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C11AF"/>
    <w:rPr>
      <w:sz w:val="20"/>
      <w:szCs w:val="20"/>
      <w:lang w:val="en-GB"/>
    </w:rPr>
  </w:style>
  <w:style w:type="character" w:styleId="a6">
    <w:name w:val="footnote reference"/>
    <w:basedOn w:val="a0"/>
    <w:uiPriority w:val="99"/>
    <w:semiHidden/>
    <w:unhideWhenUsed/>
    <w:rsid w:val="003C11AF"/>
    <w:rPr>
      <w:vertAlign w:val="superscript"/>
    </w:rPr>
  </w:style>
  <w:style w:type="character" w:styleId="a7">
    <w:name w:val="FollowedHyperlink"/>
    <w:basedOn w:val="a0"/>
    <w:uiPriority w:val="99"/>
    <w:semiHidden/>
    <w:unhideWhenUsed/>
    <w:rsid w:val="00B24A5F"/>
    <w:rPr>
      <w:color w:val="954F72" w:themeColor="followedHyperlink"/>
      <w:u w:val="single"/>
    </w:rPr>
  </w:style>
  <w:style w:type="paragraph" w:customStyle="1" w:styleId="Disclaimer">
    <w:name w:val="Disclaimer"/>
    <w:basedOn w:val="a"/>
    <w:qFormat/>
    <w:rsid w:val="006967DC"/>
    <w:pPr>
      <w:pBdr>
        <w:top w:val="single" w:sz="2" w:space="1" w:color="000001"/>
        <w:left w:val="single" w:sz="2" w:space="1" w:color="000001"/>
        <w:bottom w:val="single" w:sz="2" w:space="1" w:color="000001"/>
        <w:right w:val="single" w:sz="2" w:space="1" w:color="000001"/>
      </w:pBdr>
      <w:shd w:val="clear" w:color="auto" w:fill="DDDDDD"/>
      <w:spacing w:before="101" w:after="101" w:line="240" w:lineRule="auto"/>
      <w:jc w:val="both"/>
    </w:pPr>
    <w:rPr>
      <w:rFonts w:eastAsiaTheme="minorHAnsi"/>
      <w:color w:val="00000A"/>
      <w:sz w:val="24"/>
      <w:szCs w:val="24"/>
      <w:lang w:val="en-US" w:eastAsia="en-US"/>
    </w:rPr>
  </w:style>
  <w:style w:type="paragraph" w:customStyle="1" w:styleId="BlackStrips">
    <w:name w:val="Black Strips"/>
    <w:basedOn w:val="a"/>
    <w:qFormat/>
    <w:rsid w:val="006967DC"/>
    <w:pPr>
      <w:shd w:val="clear" w:color="auto" w:fill="000000"/>
      <w:spacing w:after="200" w:line="240" w:lineRule="auto"/>
      <w:jc w:val="center"/>
    </w:pPr>
    <w:rPr>
      <w:rFonts w:eastAsiaTheme="minorHAnsi"/>
      <w:color w:val="FFFFFF"/>
      <w:sz w:val="24"/>
      <w:szCs w:val="24"/>
      <w:lang w:val="en-US" w:eastAsia="en-US"/>
    </w:rPr>
  </w:style>
  <w:style w:type="paragraph" w:customStyle="1" w:styleId="DisclaimerBold">
    <w:name w:val="Disclaimer Bold"/>
    <w:basedOn w:val="Disclaimer"/>
    <w:qFormat/>
    <w:rsid w:val="006967DC"/>
    <w:pPr>
      <w:jc w:val="lef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subscribe@charltonslaw.com?subject=unsubscribe%20-Hong%20Kong%20Law-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kma.gov.hk/media/eng/publication-and-research/quarterly-bulletin/qb202209/fa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arltonslaw.com/hkmas-aml-regtech-lab-series-under-fintech-2025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stb.gov.hk/fsb/aml/en/doc/2nd%20HK%20ML%20TF%20Risk%20Assessment%20Report_e.pdf" TargetMode="External"/><Relationship Id="rId2" Type="http://schemas.openxmlformats.org/officeDocument/2006/relationships/hyperlink" Target="https://www.fstb.gov.hk/fsb/aml/en/doc/hk-risk-assessment-report_e.pdf" TargetMode="External"/><Relationship Id="rId1" Type="http://schemas.openxmlformats.org/officeDocument/2006/relationships/hyperlink" Target="https://www.hkma.gov.hk/eng/news-and-media/press-releases/2021/06/20210608-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1675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Charltons</Company>
  <LinksUpToDate>false</LinksUpToDate>
  <CharactersWithSpaces>11207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Yuen</dc:creator>
  <cp:keywords/>
  <dc:description/>
  <cp:lastModifiedBy>Александр Пирогов</cp:lastModifiedBy>
  <cp:revision>13</cp:revision>
  <dcterms:created xsi:type="dcterms:W3CDTF">2022-10-24T07:42:00Z</dcterms:created>
  <dcterms:modified xsi:type="dcterms:W3CDTF">2022-10-27T09:14:00Z</dcterms:modified>
</cp:coreProperties>
</file>