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7A8" w:rsidRPr="00C13D3D" w:rsidRDefault="00CF67A8" w:rsidP="00CF67A8">
      <w:pPr>
        <w:shd w:val="clear" w:color="auto" w:fill="000000"/>
        <w:spacing w:after="200" w:line="240" w:lineRule="auto"/>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Charltons - Hong Kong Law - 2</w:t>
      </w:r>
      <w:r w:rsidR="00F23BA3" w:rsidRPr="00F23BA3">
        <w:rPr>
          <w:rFonts w:ascii="Cambria" w:eastAsia="Cambria" w:hAnsi="Cambria" w:cs="Times New Roman"/>
          <w:color w:val="FFFFFF"/>
          <w:sz w:val="24"/>
          <w:szCs w:val="24"/>
          <w:lang w:val="en-US" w:eastAsia="en-US"/>
        </w:rPr>
        <w:t>3</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October </w:t>
      </w:r>
      <w:r w:rsidRPr="00C13D3D">
        <w:rPr>
          <w:rFonts w:ascii="Cambria" w:eastAsia="Cambria" w:hAnsi="Cambria" w:cs="Times New Roman"/>
          <w:color w:val="FFFFFF"/>
          <w:sz w:val="24"/>
          <w:szCs w:val="24"/>
          <w:lang w:eastAsia="en-US"/>
        </w:rPr>
        <w:t>2022</w:t>
      </w:r>
    </w:p>
    <w:p w:rsidR="00CF67A8" w:rsidRPr="00CF67A8" w:rsidRDefault="00000000" w:rsidP="00CF67A8">
      <w:pPr>
        <w:spacing w:after="200" w:line="240" w:lineRule="auto"/>
        <w:jc w:val="center"/>
        <w:rPr>
          <w:rFonts w:ascii="Cambria" w:eastAsia="Cambria" w:hAnsi="Cambria" w:cs="Times New Roman"/>
          <w:color w:val="00000A"/>
          <w:sz w:val="28"/>
          <w:szCs w:val="24"/>
          <w:u w:val="single"/>
          <w:lang w:eastAsia="en-US"/>
        </w:rPr>
      </w:pPr>
      <w:hyperlink r:id="rId8" w:history="1">
        <w:r w:rsidR="00CF67A8" w:rsidRPr="00365171">
          <w:rPr>
            <w:rStyle w:val="a9"/>
            <w:rFonts w:ascii="Cambria" w:eastAsia="Cambria" w:hAnsi="Cambria" w:cs="Times New Roman"/>
            <w:sz w:val="28"/>
            <w:szCs w:val="24"/>
            <w:lang w:eastAsia="en-US"/>
          </w:rPr>
          <w:t>online version</w:t>
        </w:r>
      </w:hyperlink>
    </w:p>
    <w:p w:rsidR="003F19D0" w:rsidRPr="008C098A" w:rsidRDefault="004354B7" w:rsidP="00E86216">
      <w:pPr>
        <w:jc w:val="center"/>
        <w:rPr>
          <w:rFonts w:ascii="Arial" w:eastAsia="Times New Roman" w:hAnsi="Arial" w:cs="Arial"/>
          <w:b/>
          <w:color w:val="FF0000"/>
          <w:sz w:val="20"/>
          <w:szCs w:val="20"/>
        </w:rPr>
      </w:pPr>
      <w:r>
        <w:rPr>
          <w:rFonts w:ascii="Arial" w:eastAsia="Times New Roman" w:hAnsi="Arial" w:cs="Arial"/>
          <w:b/>
          <w:color w:val="FF0000"/>
          <w:sz w:val="20"/>
          <w:szCs w:val="20"/>
        </w:rPr>
        <w:t xml:space="preserve">HKEX </w:t>
      </w:r>
      <w:r w:rsidR="008C098A">
        <w:rPr>
          <w:rFonts w:ascii="Arial" w:eastAsia="Times New Roman" w:hAnsi="Arial" w:cs="Arial"/>
          <w:b/>
          <w:color w:val="FF0000"/>
          <w:sz w:val="20"/>
          <w:szCs w:val="20"/>
        </w:rPr>
        <w:t>Consult</w:t>
      </w:r>
      <w:r w:rsidR="007B1733">
        <w:rPr>
          <w:rFonts w:ascii="Arial" w:eastAsia="Times New Roman" w:hAnsi="Arial" w:cs="Arial"/>
          <w:b/>
          <w:color w:val="FF0000"/>
          <w:sz w:val="20"/>
          <w:szCs w:val="20"/>
        </w:rPr>
        <w:t>s</w:t>
      </w:r>
      <w:r w:rsidR="008C098A">
        <w:rPr>
          <w:rFonts w:ascii="Arial" w:eastAsia="Times New Roman" w:hAnsi="Arial" w:cs="Arial"/>
          <w:b/>
          <w:color w:val="FF0000"/>
          <w:sz w:val="20"/>
          <w:szCs w:val="20"/>
        </w:rPr>
        <w:t xml:space="preserve"> on</w:t>
      </w:r>
      <w:r w:rsidR="003F19D0" w:rsidRPr="008C098A">
        <w:rPr>
          <w:rFonts w:ascii="Arial" w:eastAsia="Times New Roman" w:hAnsi="Arial" w:cs="Arial"/>
          <w:b/>
          <w:color w:val="FF0000"/>
          <w:sz w:val="20"/>
          <w:szCs w:val="20"/>
        </w:rPr>
        <w:t xml:space="preserve"> </w:t>
      </w:r>
      <w:r w:rsidR="007B1733">
        <w:rPr>
          <w:rFonts w:ascii="Arial" w:eastAsia="Times New Roman" w:hAnsi="Arial" w:cs="Arial"/>
          <w:b/>
          <w:color w:val="FF0000"/>
          <w:sz w:val="20"/>
          <w:szCs w:val="20"/>
        </w:rPr>
        <w:t xml:space="preserve">New </w:t>
      </w:r>
      <w:r w:rsidR="003F19D0" w:rsidRPr="008C098A">
        <w:rPr>
          <w:rFonts w:ascii="Arial" w:eastAsia="Times New Roman" w:hAnsi="Arial" w:cs="Arial"/>
          <w:b/>
          <w:color w:val="FF0000"/>
          <w:sz w:val="20"/>
          <w:szCs w:val="20"/>
        </w:rPr>
        <w:t xml:space="preserve">Listing </w:t>
      </w:r>
      <w:r w:rsidR="007B1733">
        <w:rPr>
          <w:rFonts w:ascii="Arial" w:eastAsia="Times New Roman" w:hAnsi="Arial" w:cs="Arial"/>
          <w:b/>
          <w:color w:val="FF0000"/>
          <w:sz w:val="20"/>
          <w:szCs w:val="20"/>
        </w:rPr>
        <w:t xml:space="preserve">Regime </w:t>
      </w:r>
      <w:r w:rsidR="003F19D0" w:rsidRPr="008C098A">
        <w:rPr>
          <w:rFonts w:ascii="Arial" w:eastAsia="Times New Roman" w:hAnsi="Arial" w:cs="Arial"/>
          <w:b/>
          <w:color w:val="FF0000"/>
          <w:sz w:val="20"/>
          <w:szCs w:val="20"/>
        </w:rPr>
        <w:t>for Specialist Technology Companies</w:t>
      </w:r>
    </w:p>
    <w:p w:rsidR="003F19D0" w:rsidRPr="00235DA2" w:rsidRDefault="00EF14CE" w:rsidP="003847FE">
      <w:pPr>
        <w:jc w:val="both"/>
        <w:rPr>
          <w:rFonts w:ascii="Arial" w:hAnsi="Arial" w:cs="Arial"/>
          <w:sz w:val="20"/>
          <w:szCs w:val="20"/>
        </w:rPr>
      </w:pPr>
      <w:r>
        <w:rPr>
          <w:rFonts w:ascii="Arial" w:hAnsi="Arial" w:cs="Arial"/>
          <w:sz w:val="20"/>
          <w:szCs w:val="20"/>
        </w:rPr>
        <w:t>T</w:t>
      </w:r>
      <w:r w:rsidR="003F19D0" w:rsidRPr="00235DA2">
        <w:rPr>
          <w:rFonts w:ascii="Arial" w:hAnsi="Arial" w:cs="Arial"/>
          <w:sz w:val="20"/>
          <w:szCs w:val="20"/>
        </w:rPr>
        <w:t xml:space="preserve">he Hong Kong </w:t>
      </w:r>
      <w:r>
        <w:rPr>
          <w:rFonts w:ascii="Arial" w:hAnsi="Arial" w:cs="Arial"/>
          <w:sz w:val="20"/>
          <w:szCs w:val="20"/>
        </w:rPr>
        <w:t xml:space="preserve">Stock </w:t>
      </w:r>
      <w:r w:rsidR="003F19D0" w:rsidRPr="00235DA2">
        <w:rPr>
          <w:rFonts w:ascii="Arial" w:hAnsi="Arial" w:cs="Arial"/>
          <w:sz w:val="20"/>
          <w:szCs w:val="20"/>
        </w:rPr>
        <w:t xml:space="preserve">Exchange </w:t>
      </w:r>
      <w:r>
        <w:rPr>
          <w:rFonts w:ascii="Arial" w:hAnsi="Arial" w:cs="Arial"/>
          <w:sz w:val="20"/>
          <w:szCs w:val="20"/>
        </w:rPr>
        <w:t>(</w:t>
      </w:r>
      <w:r w:rsidRPr="00EF14CE">
        <w:rPr>
          <w:rFonts w:ascii="Arial" w:hAnsi="Arial" w:cs="Arial"/>
          <w:b/>
          <w:sz w:val="20"/>
          <w:szCs w:val="20"/>
        </w:rPr>
        <w:t>HKEX</w:t>
      </w:r>
      <w:r>
        <w:rPr>
          <w:rFonts w:ascii="Arial" w:hAnsi="Arial" w:cs="Arial"/>
          <w:sz w:val="20"/>
          <w:szCs w:val="20"/>
        </w:rPr>
        <w:t xml:space="preserve">) has </w:t>
      </w:r>
      <w:r w:rsidR="003F19D0" w:rsidRPr="00235DA2">
        <w:rPr>
          <w:rFonts w:ascii="Arial" w:hAnsi="Arial" w:cs="Arial"/>
          <w:sz w:val="20"/>
          <w:szCs w:val="20"/>
        </w:rPr>
        <w:t>issued</w:t>
      </w:r>
      <w:r w:rsidR="00655E88" w:rsidRPr="00235DA2">
        <w:rPr>
          <w:rFonts w:ascii="Arial" w:hAnsi="Arial" w:cs="Arial"/>
          <w:sz w:val="20"/>
          <w:szCs w:val="20"/>
        </w:rPr>
        <w:t xml:space="preserve"> </w:t>
      </w:r>
      <w:r>
        <w:rPr>
          <w:rFonts w:ascii="Arial" w:hAnsi="Arial" w:cs="Arial"/>
          <w:sz w:val="20"/>
          <w:szCs w:val="20"/>
        </w:rPr>
        <w:t xml:space="preserve">a </w:t>
      </w:r>
      <w:r w:rsidR="00655E88" w:rsidRPr="00235DA2">
        <w:rPr>
          <w:rFonts w:ascii="Arial" w:hAnsi="Arial" w:cs="Arial"/>
          <w:sz w:val="20"/>
          <w:szCs w:val="20"/>
        </w:rPr>
        <w:t xml:space="preserve">consultation paper on </w:t>
      </w:r>
      <w:r w:rsidR="008C6A12">
        <w:rPr>
          <w:rFonts w:ascii="Arial" w:hAnsi="Arial" w:cs="Arial"/>
          <w:sz w:val="20"/>
          <w:szCs w:val="20"/>
        </w:rPr>
        <w:t>a new listing regime for Specialist Technology C</w:t>
      </w:r>
      <w:r w:rsidR="003F19D0" w:rsidRPr="00235DA2">
        <w:rPr>
          <w:rFonts w:ascii="Arial" w:hAnsi="Arial" w:cs="Arial"/>
          <w:sz w:val="20"/>
          <w:szCs w:val="20"/>
        </w:rPr>
        <w:t xml:space="preserve">ompanies on the Main Board of the </w:t>
      </w:r>
      <w:r w:rsidR="00977B23">
        <w:rPr>
          <w:rFonts w:ascii="Arial" w:hAnsi="Arial" w:cs="Arial"/>
          <w:sz w:val="20"/>
          <w:szCs w:val="20"/>
        </w:rPr>
        <w:t xml:space="preserve">HKEX </w:t>
      </w:r>
      <w:r w:rsidR="00655E88" w:rsidRPr="00235DA2">
        <w:rPr>
          <w:rFonts w:ascii="Arial" w:hAnsi="Arial" w:cs="Arial"/>
          <w:sz w:val="20"/>
          <w:szCs w:val="20"/>
        </w:rPr>
        <w:t>solicit</w:t>
      </w:r>
      <w:r w:rsidR="00977B23">
        <w:rPr>
          <w:rFonts w:ascii="Arial" w:hAnsi="Arial" w:cs="Arial"/>
          <w:sz w:val="20"/>
          <w:szCs w:val="20"/>
        </w:rPr>
        <w:t>ing</w:t>
      </w:r>
      <w:r w:rsidR="00655E88" w:rsidRPr="00235DA2">
        <w:rPr>
          <w:rFonts w:ascii="Arial" w:hAnsi="Arial" w:cs="Arial"/>
          <w:sz w:val="20"/>
          <w:szCs w:val="20"/>
        </w:rPr>
        <w:t xml:space="preserve"> </w:t>
      </w:r>
      <w:r w:rsidR="003F19D0" w:rsidRPr="00235DA2">
        <w:rPr>
          <w:rFonts w:ascii="Arial" w:hAnsi="Arial" w:cs="Arial"/>
          <w:sz w:val="20"/>
          <w:szCs w:val="20"/>
        </w:rPr>
        <w:t>market feedback on</w:t>
      </w:r>
      <w:r w:rsidR="00655E88" w:rsidRPr="00235DA2">
        <w:rPr>
          <w:rFonts w:ascii="Arial" w:hAnsi="Arial" w:cs="Arial"/>
          <w:sz w:val="20"/>
          <w:szCs w:val="20"/>
        </w:rPr>
        <w:t xml:space="preserve"> its</w:t>
      </w:r>
      <w:r w:rsidR="00977B23">
        <w:rPr>
          <w:rFonts w:ascii="Arial" w:hAnsi="Arial" w:cs="Arial"/>
          <w:sz w:val="20"/>
          <w:szCs w:val="20"/>
        </w:rPr>
        <w:t xml:space="preserve"> proposed</w:t>
      </w:r>
      <w:r w:rsidR="003F19D0" w:rsidRPr="00235DA2">
        <w:rPr>
          <w:rFonts w:ascii="Arial" w:hAnsi="Arial" w:cs="Arial"/>
          <w:sz w:val="20"/>
          <w:szCs w:val="20"/>
        </w:rPr>
        <w:t xml:space="preserve"> amend</w:t>
      </w:r>
      <w:r w:rsidR="00977B23">
        <w:rPr>
          <w:rFonts w:ascii="Arial" w:hAnsi="Arial" w:cs="Arial"/>
          <w:sz w:val="20"/>
          <w:szCs w:val="20"/>
        </w:rPr>
        <w:t>ments to</w:t>
      </w:r>
      <w:r w:rsidR="003F19D0" w:rsidRPr="00235DA2">
        <w:rPr>
          <w:rFonts w:ascii="Arial" w:hAnsi="Arial" w:cs="Arial"/>
          <w:sz w:val="20"/>
          <w:szCs w:val="20"/>
        </w:rPr>
        <w:t xml:space="preserve"> the </w:t>
      </w:r>
      <w:r w:rsidR="007B1733">
        <w:rPr>
          <w:rFonts w:ascii="Arial" w:hAnsi="Arial" w:cs="Arial"/>
          <w:sz w:val="20"/>
          <w:szCs w:val="20"/>
        </w:rPr>
        <w:t xml:space="preserve">HKEX </w:t>
      </w:r>
      <w:r w:rsidR="003F19D0" w:rsidRPr="00235DA2">
        <w:rPr>
          <w:rFonts w:ascii="Arial" w:hAnsi="Arial" w:cs="Arial"/>
          <w:sz w:val="20"/>
          <w:szCs w:val="20"/>
        </w:rPr>
        <w:t xml:space="preserve">Listing Rules. </w:t>
      </w:r>
      <w:r w:rsidR="00655E88" w:rsidRPr="00235DA2">
        <w:rPr>
          <w:rFonts w:ascii="Arial" w:hAnsi="Arial" w:cs="Arial"/>
          <w:sz w:val="20"/>
          <w:szCs w:val="20"/>
        </w:rPr>
        <w:t>The c</w:t>
      </w:r>
      <w:r w:rsidR="00977B23">
        <w:rPr>
          <w:rFonts w:ascii="Arial" w:hAnsi="Arial" w:cs="Arial"/>
          <w:sz w:val="20"/>
          <w:szCs w:val="20"/>
        </w:rPr>
        <w:t xml:space="preserve">onsultation period will end on </w:t>
      </w:r>
      <w:r w:rsidR="00655E88" w:rsidRPr="00235DA2">
        <w:rPr>
          <w:rFonts w:ascii="Arial" w:hAnsi="Arial" w:cs="Arial"/>
          <w:sz w:val="20"/>
          <w:szCs w:val="20"/>
        </w:rPr>
        <w:t xml:space="preserve">18 December 2022. </w:t>
      </w:r>
    </w:p>
    <w:p w:rsidR="00187703" w:rsidRPr="00235DA2" w:rsidRDefault="00187703" w:rsidP="003847FE">
      <w:pPr>
        <w:jc w:val="both"/>
        <w:rPr>
          <w:rFonts w:ascii="Arial" w:hAnsi="Arial" w:cs="Arial"/>
          <w:sz w:val="20"/>
          <w:szCs w:val="20"/>
        </w:rPr>
      </w:pPr>
      <w:r w:rsidRPr="00235DA2">
        <w:rPr>
          <w:rFonts w:ascii="Arial" w:hAnsi="Arial" w:cs="Arial"/>
          <w:sz w:val="20"/>
          <w:szCs w:val="20"/>
        </w:rPr>
        <w:t xml:space="preserve">The </w:t>
      </w:r>
      <w:hyperlink r:id="rId9" w:history="1">
        <w:r w:rsidRPr="00235DA2">
          <w:rPr>
            <w:rStyle w:val="a9"/>
            <w:rFonts w:ascii="Arial" w:hAnsi="Arial" w:cs="Arial"/>
            <w:sz w:val="20"/>
            <w:szCs w:val="20"/>
          </w:rPr>
          <w:t>consultation paper</w:t>
        </w:r>
      </w:hyperlink>
      <w:r w:rsidRPr="00235DA2">
        <w:rPr>
          <w:rFonts w:ascii="Arial" w:hAnsi="Arial" w:cs="Arial"/>
          <w:sz w:val="20"/>
          <w:szCs w:val="20"/>
        </w:rPr>
        <w:t xml:space="preserve"> is available on the Hong Kong Exchange website. </w:t>
      </w:r>
    </w:p>
    <w:p w:rsidR="00647F71" w:rsidRPr="002C635E" w:rsidRDefault="00647F71" w:rsidP="003847FE">
      <w:pPr>
        <w:jc w:val="both"/>
        <w:rPr>
          <w:rFonts w:ascii="Arial" w:hAnsi="Arial" w:cs="Arial"/>
          <w:b/>
          <w:color w:val="FF0000"/>
          <w:sz w:val="20"/>
          <w:szCs w:val="20"/>
        </w:rPr>
      </w:pPr>
      <w:r w:rsidRPr="002C635E">
        <w:rPr>
          <w:rFonts w:ascii="Arial" w:hAnsi="Arial" w:cs="Arial"/>
          <w:b/>
          <w:color w:val="FF0000"/>
          <w:sz w:val="20"/>
          <w:szCs w:val="20"/>
        </w:rPr>
        <w:t xml:space="preserve">New </w:t>
      </w:r>
      <w:r w:rsidR="00D4323A">
        <w:rPr>
          <w:rFonts w:ascii="Arial" w:hAnsi="Arial" w:cs="Arial"/>
          <w:b/>
          <w:color w:val="FF0000"/>
          <w:sz w:val="20"/>
          <w:szCs w:val="20"/>
        </w:rPr>
        <w:t xml:space="preserve">HKEX </w:t>
      </w:r>
      <w:r w:rsidRPr="002C635E">
        <w:rPr>
          <w:rFonts w:ascii="Arial" w:hAnsi="Arial" w:cs="Arial"/>
          <w:b/>
          <w:color w:val="FF0000"/>
          <w:sz w:val="20"/>
          <w:szCs w:val="20"/>
        </w:rPr>
        <w:t xml:space="preserve">Listing Regime for Specialist Technology Companies </w:t>
      </w:r>
    </w:p>
    <w:p w:rsidR="00C1236A" w:rsidRPr="00235DA2" w:rsidRDefault="007B1733" w:rsidP="003847FE">
      <w:pPr>
        <w:jc w:val="both"/>
        <w:rPr>
          <w:rFonts w:ascii="Arial" w:hAnsi="Arial" w:cs="Arial"/>
          <w:sz w:val="20"/>
          <w:szCs w:val="20"/>
        </w:rPr>
      </w:pPr>
      <w:r>
        <w:rPr>
          <w:rFonts w:ascii="Arial" w:hAnsi="Arial" w:cs="Arial"/>
          <w:sz w:val="20"/>
          <w:szCs w:val="20"/>
        </w:rPr>
        <w:t xml:space="preserve">The HKEX’s </w:t>
      </w:r>
      <w:r w:rsidR="001E3E1B" w:rsidRPr="00235DA2">
        <w:rPr>
          <w:rFonts w:ascii="Arial" w:hAnsi="Arial" w:cs="Arial"/>
          <w:sz w:val="20"/>
          <w:szCs w:val="20"/>
        </w:rPr>
        <w:t>2018</w:t>
      </w:r>
      <w:r>
        <w:rPr>
          <w:rFonts w:ascii="Arial" w:hAnsi="Arial" w:cs="Arial"/>
          <w:sz w:val="20"/>
          <w:szCs w:val="20"/>
        </w:rPr>
        <w:t xml:space="preserve"> listing reforms have enable</w:t>
      </w:r>
      <w:r w:rsidR="00641B5A">
        <w:rPr>
          <w:rFonts w:ascii="Arial" w:hAnsi="Arial" w:cs="Arial"/>
          <w:sz w:val="20"/>
          <w:szCs w:val="20"/>
        </w:rPr>
        <w:t>d</w:t>
      </w:r>
      <w:r>
        <w:rPr>
          <w:rFonts w:ascii="Arial" w:hAnsi="Arial" w:cs="Arial"/>
          <w:sz w:val="20"/>
          <w:szCs w:val="20"/>
        </w:rPr>
        <w:t xml:space="preserve"> it to</w:t>
      </w:r>
      <w:r w:rsidR="001E3E1B" w:rsidRPr="00235DA2">
        <w:rPr>
          <w:rFonts w:ascii="Arial" w:hAnsi="Arial" w:cs="Arial"/>
          <w:sz w:val="20"/>
          <w:szCs w:val="20"/>
        </w:rPr>
        <w:t xml:space="preserve"> </w:t>
      </w:r>
      <w:r>
        <w:rPr>
          <w:rFonts w:ascii="Arial" w:hAnsi="Arial" w:cs="Arial"/>
          <w:sz w:val="20"/>
          <w:szCs w:val="20"/>
        </w:rPr>
        <w:t>successfully diversify</w:t>
      </w:r>
      <w:r w:rsidR="00642CB3" w:rsidRPr="00235DA2">
        <w:rPr>
          <w:rFonts w:ascii="Arial" w:hAnsi="Arial" w:cs="Arial"/>
          <w:sz w:val="20"/>
          <w:szCs w:val="20"/>
        </w:rPr>
        <w:t xml:space="preserve"> the Hong Kong </w:t>
      </w:r>
      <w:r w:rsidR="00641B5A">
        <w:rPr>
          <w:rFonts w:ascii="Arial" w:hAnsi="Arial" w:cs="Arial"/>
          <w:sz w:val="20"/>
          <w:szCs w:val="20"/>
        </w:rPr>
        <w:t>stock market</w:t>
      </w:r>
      <w:r w:rsidR="00642CB3" w:rsidRPr="00235DA2">
        <w:rPr>
          <w:rFonts w:ascii="Arial" w:hAnsi="Arial" w:cs="Arial"/>
          <w:sz w:val="20"/>
          <w:szCs w:val="20"/>
        </w:rPr>
        <w:t xml:space="preserve"> into the Healthcare and Information Techn</w:t>
      </w:r>
      <w:r w:rsidR="008C6A12">
        <w:rPr>
          <w:rFonts w:ascii="Arial" w:hAnsi="Arial" w:cs="Arial"/>
          <w:sz w:val="20"/>
          <w:szCs w:val="20"/>
        </w:rPr>
        <w:t>olog</w:t>
      </w:r>
      <w:r w:rsidR="00326C4F">
        <w:rPr>
          <w:rFonts w:ascii="Arial" w:hAnsi="Arial" w:cs="Arial"/>
          <w:sz w:val="20"/>
          <w:szCs w:val="20"/>
        </w:rPr>
        <w:t>y</w:t>
      </w:r>
      <w:r w:rsidR="008C6A12">
        <w:rPr>
          <w:rFonts w:ascii="Arial" w:hAnsi="Arial" w:cs="Arial"/>
          <w:sz w:val="20"/>
          <w:szCs w:val="20"/>
        </w:rPr>
        <w:t xml:space="preserve"> industries</w:t>
      </w:r>
      <w:r w:rsidR="004C1303" w:rsidRPr="00235DA2">
        <w:rPr>
          <w:rFonts w:ascii="Arial" w:hAnsi="Arial" w:cs="Arial"/>
          <w:sz w:val="20"/>
          <w:szCs w:val="20"/>
        </w:rPr>
        <w:t>.</w:t>
      </w:r>
      <w:r w:rsidR="00642CB3" w:rsidRPr="00235DA2">
        <w:rPr>
          <w:rFonts w:ascii="Arial" w:hAnsi="Arial" w:cs="Arial"/>
          <w:sz w:val="20"/>
          <w:szCs w:val="20"/>
        </w:rPr>
        <w:t xml:space="preserve"> </w:t>
      </w:r>
      <w:r w:rsidR="00D74A32" w:rsidRPr="00235DA2">
        <w:rPr>
          <w:rFonts w:ascii="Arial" w:hAnsi="Arial" w:cs="Arial"/>
          <w:sz w:val="20"/>
          <w:szCs w:val="20"/>
        </w:rPr>
        <w:t>The Information Technology industr</w:t>
      </w:r>
      <w:r w:rsidR="00A5027B" w:rsidRPr="00235DA2">
        <w:rPr>
          <w:rFonts w:ascii="Arial" w:hAnsi="Arial" w:cs="Arial"/>
          <w:sz w:val="20"/>
          <w:szCs w:val="20"/>
        </w:rPr>
        <w:t xml:space="preserve">y, as of </w:t>
      </w:r>
      <w:r w:rsidR="002407AC">
        <w:rPr>
          <w:rFonts w:ascii="Arial" w:hAnsi="Arial" w:cs="Arial"/>
          <w:sz w:val="20"/>
          <w:szCs w:val="20"/>
        </w:rPr>
        <w:t xml:space="preserve">31 </w:t>
      </w:r>
      <w:r w:rsidR="00A5027B" w:rsidRPr="00235DA2">
        <w:rPr>
          <w:rFonts w:ascii="Arial" w:hAnsi="Arial" w:cs="Arial"/>
          <w:sz w:val="20"/>
          <w:szCs w:val="20"/>
        </w:rPr>
        <w:t>December 2021, represented</w:t>
      </w:r>
      <w:r w:rsidR="00D74A32" w:rsidRPr="00235DA2">
        <w:rPr>
          <w:rFonts w:ascii="Arial" w:hAnsi="Arial" w:cs="Arial"/>
          <w:sz w:val="20"/>
          <w:szCs w:val="20"/>
        </w:rPr>
        <w:t xml:space="preserve"> 30% of </w:t>
      </w:r>
      <w:r w:rsidR="00A5027B" w:rsidRPr="00235DA2">
        <w:rPr>
          <w:rFonts w:ascii="Arial" w:hAnsi="Arial" w:cs="Arial"/>
          <w:sz w:val="20"/>
          <w:szCs w:val="20"/>
        </w:rPr>
        <w:t xml:space="preserve">the </w:t>
      </w:r>
      <w:r w:rsidR="00D74A32" w:rsidRPr="00235DA2">
        <w:rPr>
          <w:rFonts w:ascii="Arial" w:hAnsi="Arial" w:cs="Arial"/>
          <w:sz w:val="20"/>
          <w:szCs w:val="20"/>
        </w:rPr>
        <w:t>total market capitalisation</w:t>
      </w:r>
      <w:r w:rsidR="00F9532D">
        <w:rPr>
          <w:rFonts w:ascii="Arial" w:hAnsi="Arial" w:cs="Arial"/>
          <w:sz w:val="20"/>
          <w:szCs w:val="20"/>
        </w:rPr>
        <w:t xml:space="preserve"> of the Hong Kong market</w:t>
      </w:r>
      <w:r w:rsidR="00A5027B" w:rsidRPr="00235DA2">
        <w:rPr>
          <w:rFonts w:ascii="Arial" w:hAnsi="Arial" w:cs="Arial"/>
          <w:sz w:val="20"/>
          <w:szCs w:val="20"/>
        </w:rPr>
        <w:t>,</w:t>
      </w:r>
      <w:r w:rsidR="00D74A32" w:rsidRPr="00235DA2">
        <w:rPr>
          <w:rFonts w:ascii="Arial" w:hAnsi="Arial" w:cs="Arial"/>
          <w:sz w:val="20"/>
          <w:szCs w:val="20"/>
        </w:rPr>
        <w:t xml:space="preserve"> up from </w:t>
      </w:r>
      <w:r w:rsidR="002407AC">
        <w:rPr>
          <w:rFonts w:ascii="Arial" w:hAnsi="Arial" w:cs="Arial"/>
          <w:sz w:val="20"/>
          <w:szCs w:val="20"/>
        </w:rPr>
        <w:t>15% before 2018</w:t>
      </w:r>
      <w:r w:rsidR="00A5027B" w:rsidRPr="00235DA2">
        <w:rPr>
          <w:rFonts w:ascii="Arial" w:hAnsi="Arial" w:cs="Arial"/>
          <w:sz w:val="20"/>
          <w:szCs w:val="20"/>
        </w:rPr>
        <w:t xml:space="preserve">, </w:t>
      </w:r>
      <w:r w:rsidR="004C1303" w:rsidRPr="00235DA2">
        <w:rPr>
          <w:rFonts w:ascii="Arial" w:hAnsi="Arial" w:cs="Arial"/>
          <w:sz w:val="20"/>
          <w:szCs w:val="20"/>
        </w:rPr>
        <w:t xml:space="preserve">and </w:t>
      </w:r>
      <w:r w:rsidR="00A5027B" w:rsidRPr="00235DA2">
        <w:rPr>
          <w:rFonts w:ascii="Arial" w:hAnsi="Arial" w:cs="Arial"/>
          <w:sz w:val="20"/>
          <w:szCs w:val="20"/>
        </w:rPr>
        <w:t xml:space="preserve">the </w:t>
      </w:r>
      <w:r w:rsidR="004C1303" w:rsidRPr="00235DA2">
        <w:rPr>
          <w:rFonts w:ascii="Arial" w:hAnsi="Arial" w:cs="Arial"/>
          <w:sz w:val="20"/>
          <w:szCs w:val="20"/>
        </w:rPr>
        <w:t xml:space="preserve">Healthcare sector </w:t>
      </w:r>
      <w:r w:rsidR="00D74A32" w:rsidRPr="00235DA2">
        <w:rPr>
          <w:rFonts w:ascii="Arial" w:hAnsi="Arial" w:cs="Arial"/>
          <w:sz w:val="20"/>
          <w:szCs w:val="20"/>
        </w:rPr>
        <w:t>now represents 7% of total market capitalisation</w:t>
      </w:r>
      <w:r w:rsidR="002407AC">
        <w:rPr>
          <w:rFonts w:ascii="Arial" w:hAnsi="Arial" w:cs="Arial"/>
          <w:sz w:val="20"/>
          <w:szCs w:val="20"/>
        </w:rPr>
        <w:t xml:space="preserve"> compared </w:t>
      </w:r>
      <w:r w:rsidR="00641B5A">
        <w:rPr>
          <w:rFonts w:ascii="Arial" w:hAnsi="Arial" w:cs="Arial"/>
          <w:sz w:val="20"/>
          <w:szCs w:val="20"/>
        </w:rPr>
        <w:t xml:space="preserve">to </w:t>
      </w:r>
      <w:r w:rsidR="002407AC">
        <w:rPr>
          <w:rFonts w:ascii="Arial" w:hAnsi="Arial" w:cs="Arial"/>
          <w:sz w:val="20"/>
          <w:szCs w:val="20"/>
        </w:rPr>
        <w:t>a negligible amount pre-</w:t>
      </w:r>
      <w:r w:rsidR="00C1236A" w:rsidRPr="00235DA2">
        <w:rPr>
          <w:rFonts w:ascii="Arial" w:hAnsi="Arial" w:cs="Arial"/>
          <w:sz w:val="20"/>
          <w:szCs w:val="20"/>
        </w:rPr>
        <w:t xml:space="preserve">2018. </w:t>
      </w:r>
    </w:p>
    <w:p w:rsidR="008540A5" w:rsidRDefault="00C1236A" w:rsidP="003847FE">
      <w:pPr>
        <w:jc w:val="both"/>
        <w:rPr>
          <w:rFonts w:ascii="Arial" w:hAnsi="Arial" w:cs="Arial"/>
          <w:sz w:val="20"/>
          <w:szCs w:val="20"/>
        </w:rPr>
      </w:pPr>
      <w:r w:rsidRPr="00235DA2">
        <w:rPr>
          <w:rFonts w:ascii="Arial" w:hAnsi="Arial" w:cs="Arial"/>
          <w:sz w:val="20"/>
          <w:szCs w:val="20"/>
        </w:rPr>
        <w:t>Nonetheless, t</w:t>
      </w:r>
      <w:r w:rsidR="00642CB3" w:rsidRPr="00235DA2">
        <w:rPr>
          <w:rFonts w:ascii="Arial" w:hAnsi="Arial" w:cs="Arial"/>
          <w:sz w:val="20"/>
          <w:szCs w:val="20"/>
        </w:rPr>
        <w:t>he HKEX no</w:t>
      </w:r>
      <w:r w:rsidR="00977B23">
        <w:rPr>
          <w:rFonts w:ascii="Arial" w:hAnsi="Arial" w:cs="Arial"/>
          <w:sz w:val="20"/>
          <w:szCs w:val="20"/>
        </w:rPr>
        <w:t>tes</w:t>
      </w:r>
      <w:r w:rsidR="00655E88" w:rsidRPr="00235DA2">
        <w:rPr>
          <w:rFonts w:ascii="Arial" w:hAnsi="Arial" w:cs="Arial"/>
          <w:sz w:val="20"/>
          <w:szCs w:val="20"/>
        </w:rPr>
        <w:t xml:space="preserve"> that Hong Kong still lags </w:t>
      </w:r>
      <w:r w:rsidR="00642CB3" w:rsidRPr="00235DA2">
        <w:rPr>
          <w:rFonts w:ascii="Arial" w:hAnsi="Arial" w:cs="Arial"/>
          <w:sz w:val="20"/>
          <w:szCs w:val="20"/>
        </w:rPr>
        <w:t>behind</w:t>
      </w:r>
      <w:r w:rsidR="00655E88" w:rsidRPr="00235DA2">
        <w:rPr>
          <w:rFonts w:ascii="Arial" w:hAnsi="Arial" w:cs="Arial"/>
          <w:sz w:val="20"/>
          <w:szCs w:val="20"/>
        </w:rPr>
        <w:t xml:space="preserve"> the</w:t>
      </w:r>
      <w:r w:rsidR="004C1303" w:rsidRPr="00235DA2">
        <w:rPr>
          <w:rFonts w:ascii="Arial" w:hAnsi="Arial" w:cs="Arial"/>
          <w:sz w:val="20"/>
          <w:szCs w:val="20"/>
        </w:rPr>
        <w:t xml:space="preserve"> US and Mainland China </w:t>
      </w:r>
      <w:r w:rsidR="00A5027B" w:rsidRPr="00235DA2">
        <w:rPr>
          <w:rFonts w:ascii="Arial" w:hAnsi="Arial" w:cs="Arial"/>
          <w:sz w:val="20"/>
          <w:szCs w:val="20"/>
        </w:rPr>
        <w:t xml:space="preserve">markets </w:t>
      </w:r>
      <w:r w:rsidR="004C1303" w:rsidRPr="00235DA2">
        <w:rPr>
          <w:rFonts w:ascii="Arial" w:hAnsi="Arial" w:cs="Arial"/>
          <w:sz w:val="20"/>
          <w:szCs w:val="20"/>
        </w:rPr>
        <w:t xml:space="preserve">in the </w:t>
      </w:r>
      <w:r w:rsidR="000E4B36">
        <w:rPr>
          <w:rFonts w:ascii="Arial" w:hAnsi="Arial" w:cs="Arial"/>
          <w:sz w:val="20"/>
          <w:szCs w:val="20"/>
        </w:rPr>
        <w:t xml:space="preserve">number and market capitalisation </w:t>
      </w:r>
      <w:r w:rsidR="00BD1C57">
        <w:rPr>
          <w:rFonts w:ascii="Arial" w:hAnsi="Arial" w:cs="Arial"/>
          <w:sz w:val="20"/>
          <w:szCs w:val="20"/>
        </w:rPr>
        <w:t xml:space="preserve">of </w:t>
      </w:r>
      <w:r w:rsidR="00F9532D">
        <w:rPr>
          <w:rFonts w:ascii="Arial" w:hAnsi="Arial" w:cs="Arial"/>
          <w:sz w:val="20"/>
          <w:szCs w:val="20"/>
        </w:rPr>
        <w:t xml:space="preserve">listed </w:t>
      </w:r>
      <w:r w:rsidR="00BD1C57">
        <w:rPr>
          <w:rFonts w:ascii="Arial" w:hAnsi="Arial" w:cs="Arial"/>
          <w:sz w:val="20"/>
          <w:szCs w:val="20"/>
        </w:rPr>
        <w:t xml:space="preserve">companies in </w:t>
      </w:r>
      <w:r w:rsidR="00434CBF">
        <w:rPr>
          <w:rFonts w:ascii="Arial" w:hAnsi="Arial" w:cs="Arial"/>
          <w:sz w:val="20"/>
          <w:szCs w:val="20"/>
        </w:rPr>
        <w:t xml:space="preserve">five </w:t>
      </w:r>
      <w:r w:rsidR="004C1303" w:rsidRPr="00235DA2">
        <w:rPr>
          <w:rFonts w:ascii="Arial" w:hAnsi="Arial" w:cs="Arial"/>
          <w:sz w:val="20"/>
          <w:szCs w:val="20"/>
        </w:rPr>
        <w:t>Specialist</w:t>
      </w:r>
      <w:r w:rsidR="00434CBF">
        <w:rPr>
          <w:rFonts w:ascii="Arial" w:hAnsi="Arial" w:cs="Arial"/>
          <w:sz w:val="20"/>
          <w:szCs w:val="20"/>
        </w:rPr>
        <w:t xml:space="preserve"> Technology Industries: next-generation information technology; advanced hardware; advanced materials; new energy and</w:t>
      </w:r>
      <w:r w:rsidR="00234A9F">
        <w:rPr>
          <w:rFonts w:ascii="Arial" w:hAnsi="Arial" w:cs="Arial"/>
          <w:sz w:val="20"/>
          <w:szCs w:val="20"/>
        </w:rPr>
        <w:t xml:space="preserve"> environmental protection; and new food and agriculture technologies</w:t>
      </w:r>
      <w:r w:rsidR="00642CB3" w:rsidRPr="00235DA2">
        <w:rPr>
          <w:rFonts w:ascii="Arial" w:hAnsi="Arial" w:cs="Arial"/>
          <w:sz w:val="20"/>
          <w:szCs w:val="20"/>
        </w:rPr>
        <w:t xml:space="preserve">. </w:t>
      </w:r>
      <w:r w:rsidR="004C1303" w:rsidRPr="00235DA2">
        <w:rPr>
          <w:rFonts w:ascii="Arial" w:hAnsi="Arial" w:cs="Arial"/>
          <w:sz w:val="20"/>
          <w:szCs w:val="20"/>
        </w:rPr>
        <w:t xml:space="preserve">As at September 2022, </w:t>
      </w:r>
      <w:r w:rsidR="00F9532D">
        <w:rPr>
          <w:rFonts w:ascii="Arial" w:hAnsi="Arial" w:cs="Arial"/>
          <w:sz w:val="20"/>
          <w:szCs w:val="20"/>
        </w:rPr>
        <w:t>Specialist T</w:t>
      </w:r>
      <w:r w:rsidRPr="00235DA2">
        <w:rPr>
          <w:rFonts w:ascii="Arial" w:hAnsi="Arial" w:cs="Arial"/>
          <w:sz w:val="20"/>
          <w:szCs w:val="20"/>
        </w:rPr>
        <w:t xml:space="preserve">echnology </w:t>
      </w:r>
      <w:r w:rsidR="00420899">
        <w:rPr>
          <w:rFonts w:ascii="Arial" w:hAnsi="Arial" w:cs="Arial"/>
          <w:sz w:val="20"/>
          <w:szCs w:val="20"/>
        </w:rPr>
        <w:t>companies listed in the US and Mainland China had a market capitalisation of HK$</w:t>
      </w:r>
      <w:r w:rsidR="006070E1">
        <w:rPr>
          <w:rFonts w:ascii="Arial" w:hAnsi="Arial" w:cs="Arial"/>
          <w:sz w:val="20"/>
          <w:szCs w:val="20"/>
        </w:rPr>
        <w:t xml:space="preserve"> </w:t>
      </w:r>
      <w:r w:rsidR="00420899">
        <w:rPr>
          <w:rFonts w:ascii="Arial" w:hAnsi="Arial" w:cs="Arial"/>
          <w:sz w:val="20"/>
          <w:szCs w:val="20"/>
        </w:rPr>
        <w:t>85.4 trillion and HK$</w:t>
      </w:r>
      <w:r w:rsidR="006070E1">
        <w:rPr>
          <w:rFonts w:ascii="Arial" w:hAnsi="Arial" w:cs="Arial"/>
          <w:sz w:val="20"/>
          <w:szCs w:val="20"/>
        </w:rPr>
        <w:t xml:space="preserve"> </w:t>
      </w:r>
      <w:r w:rsidRPr="00235DA2">
        <w:rPr>
          <w:rFonts w:ascii="Arial" w:hAnsi="Arial" w:cs="Arial"/>
          <w:sz w:val="20"/>
          <w:szCs w:val="20"/>
        </w:rPr>
        <w:t>15.3 trillion</w:t>
      </w:r>
      <w:r w:rsidR="00420899">
        <w:rPr>
          <w:rFonts w:ascii="Arial" w:hAnsi="Arial" w:cs="Arial"/>
          <w:sz w:val="20"/>
          <w:szCs w:val="20"/>
        </w:rPr>
        <w:t>,</w:t>
      </w:r>
      <w:r w:rsidRPr="00235DA2">
        <w:rPr>
          <w:rFonts w:ascii="Arial" w:hAnsi="Arial" w:cs="Arial"/>
          <w:sz w:val="20"/>
          <w:szCs w:val="20"/>
        </w:rPr>
        <w:t xml:space="preserve"> respectively</w:t>
      </w:r>
      <w:r w:rsidR="004C1303" w:rsidRPr="00235DA2">
        <w:rPr>
          <w:rFonts w:ascii="Arial" w:hAnsi="Arial" w:cs="Arial"/>
          <w:sz w:val="20"/>
          <w:szCs w:val="20"/>
        </w:rPr>
        <w:t>,</w:t>
      </w:r>
      <w:r w:rsidRPr="00235DA2">
        <w:rPr>
          <w:rFonts w:ascii="Arial" w:hAnsi="Arial" w:cs="Arial"/>
          <w:sz w:val="20"/>
          <w:szCs w:val="20"/>
        </w:rPr>
        <w:t xml:space="preserve"> </w:t>
      </w:r>
      <w:r w:rsidR="001E3E1B" w:rsidRPr="00235DA2">
        <w:rPr>
          <w:rFonts w:ascii="Arial" w:hAnsi="Arial" w:cs="Arial"/>
          <w:sz w:val="20"/>
          <w:szCs w:val="20"/>
        </w:rPr>
        <w:t xml:space="preserve">while the market capitalisation </w:t>
      </w:r>
      <w:r w:rsidR="00420899">
        <w:rPr>
          <w:rFonts w:ascii="Arial" w:hAnsi="Arial" w:cs="Arial"/>
          <w:sz w:val="20"/>
          <w:szCs w:val="20"/>
        </w:rPr>
        <w:t xml:space="preserve">of </w:t>
      </w:r>
      <w:r w:rsidR="001E3E1B" w:rsidRPr="00235DA2">
        <w:rPr>
          <w:rFonts w:ascii="Arial" w:hAnsi="Arial" w:cs="Arial"/>
          <w:sz w:val="20"/>
          <w:szCs w:val="20"/>
        </w:rPr>
        <w:t>Hong Kong</w:t>
      </w:r>
      <w:r w:rsidR="00641B5A">
        <w:rPr>
          <w:rFonts w:ascii="Arial" w:hAnsi="Arial" w:cs="Arial"/>
          <w:sz w:val="20"/>
          <w:szCs w:val="20"/>
        </w:rPr>
        <w:t>-listed Specialist T</w:t>
      </w:r>
      <w:r w:rsidR="00420899" w:rsidRPr="00235DA2">
        <w:rPr>
          <w:rFonts w:ascii="Arial" w:hAnsi="Arial" w:cs="Arial"/>
          <w:sz w:val="20"/>
          <w:szCs w:val="20"/>
        </w:rPr>
        <w:t xml:space="preserve">echnology </w:t>
      </w:r>
      <w:r w:rsidR="00420899">
        <w:rPr>
          <w:rFonts w:ascii="Arial" w:hAnsi="Arial" w:cs="Arial"/>
          <w:sz w:val="20"/>
          <w:szCs w:val="20"/>
        </w:rPr>
        <w:t>companies w</w:t>
      </w:r>
      <w:r w:rsidR="001E3E1B" w:rsidRPr="00235DA2">
        <w:rPr>
          <w:rFonts w:ascii="Arial" w:hAnsi="Arial" w:cs="Arial"/>
          <w:sz w:val="20"/>
          <w:szCs w:val="20"/>
        </w:rPr>
        <w:t>a</w:t>
      </w:r>
      <w:r w:rsidR="00420899">
        <w:rPr>
          <w:rFonts w:ascii="Arial" w:hAnsi="Arial" w:cs="Arial"/>
          <w:sz w:val="20"/>
          <w:szCs w:val="20"/>
        </w:rPr>
        <w:t>s a</w:t>
      </w:r>
      <w:r w:rsidR="001E3E1B" w:rsidRPr="00235DA2">
        <w:rPr>
          <w:rFonts w:ascii="Arial" w:hAnsi="Arial" w:cs="Arial"/>
          <w:sz w:val="20"/>
          <w:szCs w:val="20"/>
        </w:rPr>
        <w:t xml:space="preserve"> meagre </w:t>
      </w:r>
      <w:r w:rsidR="00420899">
        <w:rPr>
          <w:rFonts w:ascii="Arial" w:hAnsi="Arial" w:cs="Arial"/>
          <w:sz w:val="20"/>
          <w:szCs w:val="20"/>
        </w:rPr>
        <w:t>HK$</w:t>
      </w:r>
      <w:r w:rsidR="006070E1">
        <w:rPr>
          <w:rFonts w:ascii="Arial" w:hAnsi="Arial" w:cs="Arial"/>
          <w:sz w:val="20"/>
          <w:szCs w:val="20"/>
        </w:rPr>
        <w:t xml:space="preserve"> </w:t>
      </w:r>
      <w:r w:rsidR="001E3E1B" w:rsidRPr="00235DA2">
        <w:rPr>
          <w:rFonts w:ascii="Arial" w:hAnsi="Arial" w:cs="Arial"/>
          <w:sz w:val="20"/>
          <w:szCs w:val="20"/>
        </w:rPr>
        <w:t>3 trillion</w:t>
      </w:r>
      <w:r w:rsidR="00F9532D">
        <w:rPr>
          <w:rFonts w:ascii="Arial" w:hAnsi="Arial" w:cs="Arial"/>
          <w:sz w:val="20"/>
          <w:szCs w:val="20"/>
        </w:rPr>
        <w:t xml:space="preserve">. </w:t>
      </w:r>
    </w:p>
    <w:p w:rsidR="00F045C1" w:rsidRPr="00235DA2" w:rsidRDefault="00F9532D" w:rsidP="003847FE">
      <w:pPr>
        <w:jc w:val="both"/>
        <w:rPr>
          <w:rFonts w:ascii="Arial" w:hAnsi="Arial" w:cs="Arial"/>
          <w:i/>
          <w:sz w:val="20"/>
          <w:szCs w:val="20"/>
        </w:rPr>
      </w:pPr>
      <w:r>
        <w:rPr>
          <w:rFonts w:ascii="Arial" w:hAnsi="Arial" w:cs="Arial"/>
          <w:sz w:val="20"/>
          <w:szCs w:val="20"/>
        </w:rPr>
        <w:t>Specialist Technology</w:t>
      </w:r>
      <w:r w:rsidR="00C1236A" w:rsidRPr="00235DA2">
        <w:rPr>
          <w:rFonts w:ascii="Arial" w:hAnsi="Arial" w:cs="Arial"/>
          <w:sz w:val="20"/>
          <w:szCs w:val="20"/>
        </w:rPr>
        <w:t xml:space="preserve"> </w:t>
      </w:r>
      <w:r>
        <w:rPr>
          <w:rFonts w:ascii="Arial" w:hAnsi="Arial" w:cs="Arial"/>
          <w:sz w:val="20"/>
          <w:szCs w:val="20"/>
        </w:rPr>
        <w:t>companies face</w:t>
      </w:r>
      <w:r w:rsidR="00C1236A" w:rsidRPr="00235DA2">
        <w:rPr>
          <w:rFonts w:ascii="Arial" w:hAnsi="Arial" w:cs="Arial"/>
          <w:sz w:val="20"/>
          <w:szCs w:val="20"/>
        </w:rPr>
        <w:t xml:space="preserve"> difficulties in </w:t>
      </w:r>
      <w:r>
        <w:rPr>
          <w:rFonts w:ascii="Arial" w:hAnsi="Arial" w:cs="Arial"/>
          <w:sz w:val="20"/>
          <w:szCs w:val="20"/>
        </w:rPr>
        <w:t xml:space="preserve">meeting the </w:t>
      </w:r>
      <w:r w:rsidR="0041754D">
        <w:rPr>
          <w:rFonts w:ascii="Arial" w:hAnsi="Arial" w:cs="Arial"/>
          <w:sz w:val="20"/>
          <w:szCs w:val="20"/>
        </w:rPr>
        <w:t xml:space="preserve">HKEX’s </w:t>
      </w:r>
      <w:r>
        <w:rPr>
          <w:rFonts w:ascii="Arial" w:hAnsi="Arial" w:cs="Arial"/>
          <w:sz w:val="20"/>
          <w:szCs w:val="20"/>
        </w:rPr>
        <w:t>financial eligibility tests for listing</w:t>
      </w:r>
      <w:r w:rsidR="008540A5">
        <w:rPr>
          <w:rFonts w:ascii="Arial" w:hAnsi="Arial" w:cs="Arial"/>
          <w:sz w:val="20"/>
          <w:szCs w:val="20"/>
        </w:rPr>
        <w:t>.</w:t>
      </w:r>
      <w:r w:rsidR="00C1236A" w:rsidRPr="00235DA2">
        <w:rPr>
          <w:rFonts w:ascii="Arial" w:hAnsi="Arial" w:cs="Arial"/>
          <w:sz w:val="20"/>
          <w:szCs w:val="20"/>
        </w:rPr>
        <w:t xml:space="preserve"> </w:t>
      </w:r>
      <w:r w:rsidR="00392646">
        <w:rPr>
          <w:rFonts w:ascii="Arial" w:hAnsi="Arial" w:cs="Arial"/>
          <w:sz w:val="20"/>
          <w:szCs w:val="20"/>
        </w:rPr>
        <w:t xml:space="preserve">While some have valuations significantly higher than the minimum market capitalisation threshold for listing, they are typically unable to meet the revenue or cash flow requirements. </w:t>
      </w:r>
      <w:r w:rsidR="005916C4">
        <w:rPr>
          <w:rFonts w:ascii="Arial" w:hAnsi="Arial" w:cs="Arial"/>
          <w:sz w:val="20"/>
          <w:szCs w:val="20"/>
        </w:rPr>
        <w:t xml:space="preserve">42% of 507 Specialist Technology companies listed in the US and Mainland China </w:t>
      </w:r>
      <w:r w:rsidR="0041754D">
        <w:rPr>
          <w:rFonts w:ascii="Arial" w:hAnsi="Arial" w:cs="Arial"/>
          <w:sz w:val="20"/>
          <w:szCs w:val="20"/>
        </w:rPr>
        <w:t>analys</w:t>
      </w:r>
      <w:r w:rsidR="005916C4">
        <w:rPr>
          <w:rFonts w:ascii="Arial" w:hAnsi="Arial" w:cs="Arial"/>
          <w:sz w:val="20"/>
          <w:szCs w:val="20"/>
        </w:rPr>
        <w:t>ed by the HKEX</w:t>
      </w:r>
      <w:r w:rsidR="0041754D">
        <w:rPr>
          <w:rFonts w:ascii="Arial" w:hAnsi="Arial" w:cs="Arial"/>
          <w:sz w:val="20"/>
          <w:szCs w:val="20"/>
        </w:rPr>
        <w:t xml:space="preserve"> would not have met the Main Board’s financial eligibility tests</w:t>
      </w:r>
      <w:r w:rsidR="008540A5">
        <w:rPr>
          <w:rFonts w:ascii="Arial" w:hAnsi="Arial" w:cs="Arial"/>
          <w:sz w:val="20"/>
          <w:szCs w:val="20"/>
        </w:rPr>
        <w:t xml:space="preserve"> despite many of them having high growth potential</w:t>
      </w:r>
      <w:r w:rsidR="0041754D">
        <w:rPr>
          <w:rFonts w:ascii="Arial" w:hAnsi="Arial" w:cs="Arial"/>
          <w:sz w:val="20"/>
          <w:szCs w:val="20"/>
        </w:rPr>
        <w:t>.</w:t>
      </w:r>
      <w:r w:rsidR="005916C4">
        <w:rPr>
          <w:rFonts w:ascii="Arial" w:hAnsi="Arial" w:cs="Arial"/>
          <w:sz w:val="20"/>
          <w:szCs w:val="20"/>
        </w:rPr>
        <w:t xml:space="preserve"> </w:t>
      </w:r>
      <w:r w:rsidR="00C1236A" w:rsidRPr="00235DA2">
        <w:rPr>
          <w:rFonts w:ascii="Arial" w:hAnsi="Arial" w:cs="Arial"/>
          <w:sz w:val="20"/>
          <w:szCs w:val="20"/>
        </w:rPr>
        <w:t>The</w:t>
      </w:r>
      <w:r w:rsidR="008540A5">
        <w:rPr>
          <w:rFonts w:ascii="Arial" w:hAnsi="Arial" w:cs="Arial"/>
          <w:sz w:val="20"/>
          <w:szCs w:val="20"/>
        </w:rPr>
        <w:t xml:space="preserve"> HKEX identifies</w:t>
      </w:r>
      <w:r w:rsidR="008C098A">
        <w:rPr>
          <w:rFonts w:ascii="Arial" w:hAnsi="Arial" w:cs="Arial"/>
          <w:sz w:val="20"/>
          <w:szCs w:val="20"/>
        </w:rPr>
        <w:t xml:space="preserve"> the</w:t>
      </w:r>
      <w:r w:rsidR="00C1236A" w:rsidRPr="00235DA2">
        <w:rPr>
          <w:rFonts w:ascii="Arial" w:hAnsi="Arial" w:cs="Arial"/>
          <w:sz w:val="20"/>
          <w:szCs w:val="20"/>
        </w:rPr>
        <w:t xml:space="preserve"> main challenges</w:t>
      </w:r>
      <w:r w:rsidR="00641B5A">
        <w:rPr>
          <w:rFonts w:ascii="Arial" w:hAnsi="Arial" w:cs="Arial"/>
          <w:sz w:val="20"/>
          <w:szCs w:val="20"/>
        </w:rPr>
        <w:t xml:space="preserve"> </w:t>
      </w:r>
      <w:r w:rsidR="008540A5">
        <w:rPr>
          <w:rFonts w:ascii="Arial" w:hAnsi="Arial" w:cs="Arial"/>
          <w:sz w:val="20"/>
          <w:szCs w:val="20"/>
        </w:rPr>
        <w:t>for Specialist Technology c</w:t>
      </w:r>
      <w:r w:rsidR="001E3E1B" w:rsidRPr="00235DA2">
        <w:rPr>
          <w:rFonts w:ascii="Arial" w:hAnsi="Arial" w:cs="Arial"/>
          <w:sz w:val="20"/>
          <w:szCs w:val="20"/>
        </w:rPr>
        <w:t xml:space="preserve">ompanies </w:t>
      </w:r>
      <w:r w:rsidR="008C098A">
        <w:rPr>
          <w:rFonts w:ascii="Arial" w:hAnsi="Arial" w:cs="Arial"/>
          <w:sz w:val="20"/>
          <w:szCs w:val="20"/>
        </w:rPr>
        <w:t>as</w:t>
      </w:r>
      <w:r w:rsidR="00C1236A" w:rsidRPr="00235DA2">
        <w:rPr>
          <w:rFonts w:ascii="Arial" w:hAnsi="Arial" w:cs="Arial"/>
          <w:sz w:val="20"/>
          <w:szCs w:val="20"/>
        </w:rPr>
        <w:t xml:space="preserve"> </w:t>
      </w:r>
      <w:r w:rsidR="001E3E1B" w:rsidRPr="00235DA2">
        <w:rPr>
          <w:rFonts w:ascii="Arial" w:hAnsi="Arial" w:cs="Arial"/>
          <w:sz w:val="20"/>
          <w:szCs w:val="20"/>
        </w:rPr>
        <w:t>high R&amp;D costs to bring products</w:t>
      </w:r>
      <w:r w:rsidR="008540A5">
        <w:rPr>
          <w:rFonts w:ascii="Arial" w:hAnsi="Arial" w:cs="Arial"/>
          <w:sz w:val="20"/>
          <w:szCs w:val="20"/>
        </w:rPr>
        <w:t xml:space="preserve"> or services</w:t>
      </w:r>
      <w:r w:rsidR="001E3E1B" w:rsidRPr="00235DA2">
        <w:rPr>
          <w:rFonts w:ascii="Arial" w:hAnsi="Arial" w:cs="Arial"/>
          <w:sz w:val="20"/>
          <w:szCs w:val="20"/>
        </w:rPr>
        <w:t xml:space="preserve"> to commercialisation </w:t>
      </w:r>
      <w:r w:rsidR="00655E88" w:rsidRPr="00235DA2">
        <w:rPr>
          <w:rFonts w:ascii="Arial" w:hAnsi="Arial" w:cs="Arial"/>
          <w:sz w:val="20"/>
          <w:szCs w:val="20"/>
        </w:rPr>
        <w:t xml:space="preserve">and business models requiring more time to acquire customers. </w:t>
      </w:r>
      <w:r w:rsidR="008540A5">
        <w:rPr>
          <w:rFonts w:ascii="Arial" w:hAnsi="Arial" w:cs="Arial"/>
          <w:sz w:val="20"/>
          <w:szCs w:val="20"/>
        </w:rPr>
        <w:t>The HKEX concludes from this that its financial eligibility tests</w:t>
      </w:r>
      <w:r w:rsidR="00BC71C5">
        <w:rPr>
          <w:rFonts w:ascii="Arial" w:hAnsi="Arial" w:cs="Arial"/>
          <w:sz w:val="20"/>
          <w:szCs w:val="20"/>
        </w:rPr>
        <w:t xml:space="preserve"> are not appropriate for the listing of Specialist Technology companies.</w:t>
      </w:r>
      <w:r w:rsidR="008540A5">
        <w:rPr>
          <w:rFonts w:ascii="Arial" w:hAnsi="Arial" w:cs="Arial"/>
          <w:sz w:val="20"/>
          <w:szCs w:val="20"/>
        </w:rPr>
        <w:t xml:space="preserve"> </w:t>
      </w:r>
    </w:p>
    <w:p w:rsidR="00234A9F" w:rsidRPr="002C635E" w:rsidRDefault="00BC71C5" w:rsidP="00D4323A">
      <w:pPr>
        <w:jc w:val="both"/>
        <w:rPr>
          <w:rFonts w:ascii="Arial" w:hAnsi="Arial" w:cs="Arial"/>
          <w:sz w:val="20"/>
          <w:szCs w:val="20"/>
          <w:highlight w:val="green"/>
        </w:rPr>
      </w:pPr>
      <w:r>
        <w:rPr>
          <w:rFonts w:ascii="Arial" w:hAnsi="Arial" w:cs="Arial"/>
          <w:sz w:val="20"/>
          <w:szCs w:val="20"/>
        </w:rPr>
        <w:t xml:space="preserve">HKEX’s discussions with market participants indicated that Specialist Technology companies’ high growth potential </w:t>
      </w:r>
      <w:r w:rsidR="002C635E">
        <w:rPr>
          <w:rFonts w:ascii="Arial" w:hAnsi="Arial" w:cs="Arial"/>
          <w:sz w:val="20"/>
          <w:szCs w:val="20"/>
        </w:rPr>
        <w:t>means that there is likely to be strong</w:t>
      </w:r>
      <w:r w:rsidR="00326C4F">
        <w:rPr>
          <w:rFonts w:ascii="Arial" w:hAnsi="Arial" w:cs="Arial"/>
          <w:sz w:val="20"/>
          <w:szCs w:val="20"/>
        </w:rPr>
        <w:t xml:space="preserve"> </w:t>
      </w:r>
      <w:r w:rsidR="00326C4F" w:rsidRPr="00326C4F">
        <w:rPr>
          <w:rFonts w:ascii="Arial" w:hAnsi="Arial" w:cs="Arial"/>
          <w:sz w:val="20"/>
          <w:szCs w:val="20"/>
        </w:rPr>
        <w:t>investor</w:t>
      </w:r>
      <w:r w:rsidR="002C635E">
        <w:rPr>
          <w:rFonts w:ascii="Arial" w:hAnsi="Arial" w:cs="Arial"/>
          <w:sz w:val="20"/>
          <w:szCs w:val="20"/>
        </w:rPr>
        <w:t xml:space="preserve"> appetite for their listing in Hong Kong. T</w:t>
      </w:r>
      <w:r w:rsidR="00642CB3" w:rsidRPr="00235DA2">
        <w:rPr>
          <w:rFonts w:ascii="Arial" w:hAnsi="Arial" w:cs="Arial"/>
          <w:sz w:val="20"/>
          <w:szCs w:val="20"/>
        </w:rPr>
        <w:t>he HKEX</w:t>
      </w:r>
      <w:r w:rsidR="001E3E1B" w:rsidRPr="00235DA2">
        <w:rPr>
          <w:rFonts w:ascii="Arial" w:hAnsi="Arial" w:cs="Arial"/>
          <w:sz w:val="20"/>
          <w:szCs w:val="20"/>
        </w:rPr>
        <w:t xml:space="preserve"> </w:t>
      </w:r>
      <w:r w:rsidR="002C635E">
        <w:rPr>
          <w:rFonts w:ascii="Arial" w:hAnsi="Arial" w:cs="Arial"/>
          <w:sz w:val="20"/>
          <w:szCs w:val="20"/>
        </w:rPr>
        <w:t xml:space="preserve">therefore </w:t>
      </w:r>
      <w:r w:rsidR="001E3E1B" w:rsidRPr="00235DA2">
        <w:rPr>
          <w:rFonts w:ascii="Arial" w:hAnsi="Arial" w:cs="Arial"/>
          <w:sz w:val="20"/>
          <w:szCs w:val="20"/>
        </w:rPr>
        <w:t>propo</w:t>
      </w:r>
      <w:r w:rsidR="00655E88" w:rsidRPr="00235DA2">
        <w:rPr>
          <w:rFonts w:ascii="Arial" w:hAnsi="Arial" w:cs="Arial"/>
          <w:sz w:val="20"/>
          <w:szCs w:val="20"/>
        </w:rPr>
        <w:t>ses</w:t>
      </w:r>
      <w:r>
        <w:rPr>
          <w:rFonts w:ascii="Arial" w:hAnsi="Arial" w:cs="Arial"/>
          <w:sz w:val="20"/>
          <w:szCs w:val="20"/>
        </w:rPr>
        <w:t xml:space="preserve"> a new listing r</w:t>
      </w:r>
      <w:r w:rsidR="001E3E1B" w:rsidRPr="00235DA2">
        <w:rPr>
          <w:rFonts w:ascii="Arial" w:hAnsi="Arial" w:cs="Arial"/>
          <w:sz w:val="20"/>
          <w:szCs w:val="20"/>
        </w:rPr>
        <w:t xml:space="preserve">egime </w:t>
      </w:r>
      <w:r w:rsidR="002C635E">
        <w:rPr>
          <w:rFonts w:ascii="Arial" w:hAnsi="Arial" w:cs="Arial"/>
          <w:sz w:val="20"/>
          <w:szCs w:val="20"/>
        </w:rPr>
        <w:t xml:space="preserve">for </w:t>
      </w:r>
      <w:r>
        <w:rPr>
          <w:rFonts w:ascii="Arial" w:hAnsi="Arial" w:cs="Arial"/>
          <w:sz w:val="20"/>
          <w:szCs w:val="20"/>
        </w:rPr>
        <w:t>Specialist Technology companies</w:t>
      </w:r>
      <w:r w:rsidRPr="00235DA2">
        <w:rPr>
          <w:rFonts w:ascii="Arial" w:hAnsi="Arial" w:cs="Arial"/>
          <w:sz w:val="20"/>
          <w:szCs w:val="20"/>
        </w:rPr>
        <w:t xml:space="preserve"> </w:t>
      </w:r>
      <w:r w:rsidR="002C635E">
        <w:rPr>
          <w:rFonts w:ascii="Arial" w:hAnsi="Arial" w:cs="Arial"/>
          <w:sz w:val="20"/>
          <w:szCs w:val="20"/>
        </w:rPr>
        <w:t>which, in addition to setting alternative eligibility criteria, will</w:t>
      </w:r>
      <w:r>
        <w:rPr>
          <w:rFonts w:ascii="Arial" w:hAnsi="Arial" w:cs="Arial"/>
          <w:sz w:val="20"/>
          <w:szCs w:val="20"/>
        </w:rPr>
        <w:t xml:space="preserve"> </w:t>
      </w:r>
      <w:r w:rsidR="002C635E">
        <w:rPr>
          <w:rFonts w:ascii="Arial" w:hAnsi="Arial" w:cs="Arial"/>
          <w:sz w:val="20"/>
          <w:szCs w:val="20"/>
        </w:rPr>
        <w:t xml:space="preserve">address the various risks associated </w:t>
      </w:r>
      <w:r w:rsidR="00641B5A">
        <w:rPr>
          <w:rFonts w:ascii="Arial" w:hAnsi="Arial" w:cs="Arial"/>
          <w:sz w:val="20"/>
          <w:szCs w:val="20"/>
        </w:rPr>
        <w:t xml:space="preserve">particularly </w:t>
      </w:r>
      <w:r w:rsidR="002C635E">
        <w:rPr>
          <w:rFonts w:ascii="Arial" w:hAnsi="Arial" w:cs="Arial"/>
          <w:sz w:val="20"/>
          <w:szCs w:val="20"/>
        </w:rPr>
        <w:t>with</w:t>
      </w:r>
      <w:r w:rsidR="00641B5A">
        <w:rPr>
          <w:rFonts w:ascii="Arial" w:hAnsi="Arial" w:cs="Arial"/>
          <w:sz w:val="20"/>
          <w:szCs w:val="20"/>
        </w:rPr>
        <w:t xml:space="preserve"> Specialist Technology companies in the pre-commercial stage of development</w:t>
      </w:r>
      <w:r w:rsidR="00D4323A">
        <w:rPr>
          <w:rFonts w:ascii="Arial" w:hAnsi="Arial" w:cs="Arial"/>
          <w:sz w:val="20"/>
          <w:szCs w:val="20"/>
        </w:rPr>
        <w:t>.</w:t>
      </w:r>
      <w:r w:rsidR="002C635E">
        <w:rPr>
          <w:rFonts w:ascii="Arial" w:hAnsi="Arial" w:cs="Arial"/>
          <w:sz w:val="20"/>
          <w:szCs w:val="20"/>
        </w:rPr>
        <w:t xml:space="preserve"> </w:t>
      </w:r>
    </w:p>
    <w:p w:rsidR="004F0386" w:rsidRPr="00683B2C" w:rsidRDefault="004F0386" w:rsidP="003847FE">
      <w:pPr>
        <w:jc w:val="both"/>
        <w:rPr>
          <w:rFonts w:ascii="Arial" w:hAnsi="Arial" w:cs="Arial"/>
          <w:b/>
          <w:color w:val="FF0000"/>
          <w:sz w:val="20"/>
          <w:szCs w:val="20"/>
        </w:rPr>
      </w:pPr>
      <w:r w:rsidRPr="00683B2C">
        <w:rPr>
          <w:rFonts w:ascii="Arial" w:hAnsi="Arial" w:cs="Arial"/>
          <w:b/>
          <w:color w:val="FF0000"/>
          <w:sz w:val="20"/>
          <w:szCs w:val="20"/>
        </w:rPr>
        <w:t>Defining Specialist Technology Companies</w:t>
      </w:r>
    </w:p>
    <w:p w:rsidR="004F0386" w:rsidRDefault="004F0386" w:rsidP="003847FE">
      <w:pPr>
        <w:jc w:val="both"/>
        <w:rPr>
          <w:rFonts w:ascii="Arial" w:hAnsi="Arial" w:cs="Arial"/>
          <w:sz w:val="20"/>
          <w:szCs w:val="20"/>
        </w:rPr>
      </w:pPr>
      <w:r>
        <w:rPr>
          <w:rFonts w:ascii="Arial" w:hAnsi="Arial" w:cs="Arial"/>
          <w:sz w:val="20"/>
          <w:szCs w:val="20"/>
        </w:rPr>
        <w:t>Given the difficulties of formulating an exhaustive definition of “Specialist Technology” that will remain up-to-date and identify companies with strong growth potential, t</w:t>
      </w:r>
      <w:r w:rsidR="004E3928" w:rsidRPr="00235DA2">
        <w:rPr>
          <w:rFonts w:ascii="Arial" w:hAnsi="Arial" w:cs="Arial"/>
          <w:sz w:val="20"/>
          <w:szCs w:val="20"/>
        </w:rPr>
        <w:t xml:space="preserve">he HKEX </w:t>
      </w:r>
      <w:r>
        <w:rPr>
          <w:rFonts w:ascii="Arial" w:hAnsi="Arial" w:cs="Arial"/>
          <w:sz w:val="20"/>
          <w:szCs w:val="20"/>
        </w:rPr>
        <w:t>proposes to adopt a broad definition in the HKEX Listing Rules and issue a guidance letter on the industries and sectors falling within the definition.</w:t>
      </w:r>
    </w:p>
    <w:p w:rsidR="00A8228E" w:rsidRDefault="004F0386" w:rsidP="003847FE">
      <w:pPr>
        <w:jc w:val="both"/>
        <w:rPr>
          <w:rFonts w:ascii="Arial" w:hAnsi="Arial" w:cs="Arial"/>
          <w:sz w:val="20"/>
          <w:szCs w:val="20"/>
        </w:rPr>
      </w:pPr>
      <w:r>
        <w:rPr>
          <w:rFonts w:ascii="Arial" w:hAnsi="Arial" w:cs="Arial"/>
          <w:sz w:val="20"/>
          <w:szCs w:val="20"/>
        </w:rPr>
        <w:t xml:space="preserve">To be eligible for listing under the proposed regime, a listing applicant must be a Specialist Technology Company </w:t>
      </w:r>
      <w:r w:rsidR="00641B5A">
        <w:rPr>
          <w:rFonts w:ascii="Arial" w:hAnsi="Arial" w:cs="Arial"/>
          <w:sz w:val="20"/>
          <w:szCs w:val="20"/>
        </w:rPr>
        <w:t xml:space="preserve">which will </w:t>
      </w:r>
      <w:r>
        <w:rPr>
          <w:rFonts w:ascii="Arial" w:hAnsi="Arial" w:cs="Arial"/>
          <w:sz w:val="20"/>
          <w:szCs w:val="20"/>
        </w:rPr>
        <w:t xml:space="preserve">be defined </w:t>
      </w:r>
      <w:r w:rsidR="002C61FF" w:rsidRPr="00235DA2">
        <w:rPr>
          <w:rFonts w:ascii="Arial" w:hAnsi="Arial" w:cs="Arial"/>
          <w:sz w:val="20"/>
          <w:szCs w:val="20"/>
        </w:rPr>
        <w:t>as “a company primarily engaged (whether directly or through its subsidiaries) in the research and development of, and the commercialisation and/or sales of, Specialist Technology Products within an acceptable sector of a Specialist Technology Industry”</w:t>
      </w:r>
      <w:r w:rsidR="00A8228E">
        <w:rPr>
          <w:rFonts w:ascii="Arial" w:hAnsi="Arial" w:cs="Arial"/>
          <w:sz w:val="20"/>
          <w:szCs w:val="20"/>
        </w:rPr>
        <w:t>.</w:t>
      </w:r>
    </w:p>
    <w:p w:rsidR="00593797" w:rsidRPr="00683B2C" w:rsidRDefault="00593797" w:rsidP="003847FE">
      <w:pPr>
        <w:jc w:val="both"/>
        <w:rPr>
          <w:rFonts w:ascii="Arial" w:hAnsi="Arial" w:cs="Arial"/>
          <w:b/>
          <w:sz w:val="20"/>
          <w:szCs w:val="20"/>
        </w:rPr>
      </w:pPr>
      <w:r w:rsidRPr="00683B2C">
        <w:rPr>
          <w:rFonts w:ascii="Arial" w:hAnsi="Arial" w:cs="Arial"/>
          <w:b/>
          <w:sz w:val="20"/>
          <w:szCs w:val="20"/>
        </w:rPr>
        <w:lastRenderedPageBreak/>
        <w:t xml:space="preserve">Specialist Technology Products </w:t>
      </w:r>
    </w:p>
    <w:p w:rsidR="00593797" w:rsidRPr="00593797" w:rsidRDefault="00593797" w:rsidP="003847FE">
      <w:pPr>
        <w:jc w:val="both"/>
        <w:rPr>
          <w:rFonts w:ascii="Arial" w:hAnsi="Arial" w:cs="Arial"/>
          <w:sz w:val="20"/>
          <w:szCs w:val="20"/>
        </w:rPr>
      </w:pPr>
      <w:r>
        <w:rPr>
          <w:rFonts w:ascii="Arial" w:hAnsi="Arial" w:cs="Arial"/>
          <w:sz w:val="20"/>
          <w:szCs w:val="20"/>
        </w:rPr>
        <w:t>Specialist Technology Products will be defined as</w:t>
      </w:r>
      <w:r w:rsidRPr="00593797">
        <w:rPr>
          <w:rFonts w:ascii="Arial" w:hAnsi="Arial" w:cs="Arial"/>
          <w:sz w:val="20"/>
          <w:szCs w:val="20"/>
        </w:rPr>
        <w:t xml:space="preserve"> “a product and/or service (alone or together with other prod</w:t>
      </w:r>
      <w:r>
        <w:rPr>
          <w:rFonts w:ascii="Arial" w:hAnsi="Arial" w:cs="Arial"/>
          <w:sz w:val="20"/>
          <w:szCs w:val="20"/>
        </w:rPr>
        <w:t>ucts or services) that applies specialist t</w:t>
      </w:r>
      <w:r w:rsidRPr="00593797">
        <w:rPr>
          <w:rFonts w:ascii="Arial" w:hAnsi="Arial" w:cs="Arial"/>
          <w:sz w:val="20"/>
          <w:szCs w:val="20"/>
        </w:rPr>
        <w:t>echnology”</w:t>
      </w:r>
      <w:r w:rsidR="00C14D92">
        <w:rPr>
          <w:rFonts w:ascii="Arial" w:hAnsi="Arial" w:cs="Arial"/>
          <w:sz w:val="20"/>
          <w:szCs w:val="20"/>
        </w:rPr>
        <w:t>.</w:t>
      </w:r>
    </w:p>
    <w:p w:rsidR="00A8228E" w:rsidRPr="00D4323A" w:rsidRDefault="00A8228E" w:rsidP="00576703">
      <w:pPr>
        <w:jc w:val="both"/>
        <w:rPr>
          <w:rFonts w:ascii="Arial" w:hAnsi="Arial" w:cs="Arial"/>
          <w:b/>
          <w:sz w:val="20"/>
          <w:szCs w:val="20"/>
        </w:rPr>
      </w:pPr>
      <w:r w:rsidRPr="00D4323A">
        <w:rPr>
          <w:rFonts w:ascii="Arial" w:hAnsi="Arial" w:cs="Arial"/>
          <w:b/>
          <w:sz w:val="20"/>
          <w:szCs w:val="20"/>
        </w:rPr>
        <w:t>Specialist Technology Industries and Sectors</w:t>
      </w:r>
    </w:p>
    <w:p w:rsidR="00576703" w:rsidRPr="00235DA2" w:rsidRDefault="00576703" w:rsidP="00576703">
      <w:pPr>
        <w:jc w:val="both"/>
        <w:rPr>
          <w:rFonts w:ascii="Arial" w:hAnsi="Arial" w:cs="Arial"/>
          <w:sz w:val="20"/>
          <w:szCs w:val="20"/>
        </w:rPr>
      </w:pPr>
      <w:r w:rsidRPr="00235DA2">
        <w:rPr>
          <w:rFonts w:ascii="Arial" w:hAnsi="Arial" w:cs="Arial"/>
          <w:sz w:val="20"/>
          <w:szCs w:val="20"/>
        </w:rPr>
        <w:t xml:space="preserve">The Specialist Technology Industries </w:t>
      </w:r>
      <w:r w:rsidR="00A8228E">
        <w:rPr>
          <w:rFonts w:ascii="Arial" w:hAnsi="Arial" w:cs="Arial"/>
          <w:sz w:val="20"/>
          <w:szCs w:val="20"/>
        </w:rPr>
        <w:t xml:space="preserve">and acceptable sectors are listed in the draft guidance letter </w:t>
      </w:r>
      <w:r w:rsidR="00C14D92">
        <w:rPr>
          <w:rFonts w:ascii="Arial" w:hAnsi="Arial" w:cs="Arial"/>
          <w:sz w:val="20"/>
          <w:szCs w:val="20"/>
        </w:rPr>
        <w:t xml:space="preserve">(see </w:t>
      </w:r>
      <w:r w:rsidR="00A8228E">
        <w:rPr>
          <w:rFonts w:ascii="Arial" w:hAnsi="Arial" w:cs="Arial"/>
          <w:sz w:val="20"/>
          <w:szCs w:val="20"/>
        </w:rPr>
        <w:t>Appendix V to the consultation paper</w:t>
      </w:r>
      <w:r w:rsidR="00C14D92">
        <w:rPr>
          <w:rFonts w:ascii="Arial" w:hAnsi="Arial" w:cs="Arial"/>
          <w:sz w:val="20"/>
          <w:szCs w:val="20"/>
        </w:rPr>
        <w:t>)</w:t>
      </w:r>
      <w:r w:rsidR="00616C90">
        <w:rPr>
          <w:rFonts w:ascii="Arial" w:hAnsi="Arial" w:cs="Arial"/>
          <w:sz w:val="20"/>
          <w:szCs w:val="20"/>
        </w:rPr>
        <w:t xml:space="preserve"> and </w:t>
      </w:r>
      <w:r w:rsidR="004C1303" w:rsidRPr="00235DA2">
        <w:rPr>
          <w:rFonts w:ascii="Arial" w:hAnsi="Arial" w:cs="Arial"/>
          <w:sz w:val="20"/>
          <w:szCs w:val="20"/>
        </w:rPr>
        <w:t>include</w:t>
      </w:r>
      <w:r w:rsidR="00616C90">
        <w:rPr>
          <w:rFonts w:ascii="Arial" w:hAnsi="Arial" w:cs="Arial"/>
          <w:sz w:val="20"/>
          <w:szCs w:val="20"/>
        </w:rPr>
        <w:t xml:space="preserve"> (among others)</w:t>
      </w:r>
      <w:r w:rsidRPr="00235DA2">
        <w:rPr>
          <w:rFonts w:ascii="Arial" w:hAnsi="Arial" w:cs="Arial"/>
          <w:sz w:val="20"/>
          <w:szCs w:val="20"/>
        </w:rPr>
        <w:t xml:space="preserve">: </w:t>
      </w:r>
    </w:p>
    <w:p w:rsidR="00576703" w:rsidRDefault="00D87489" w:rsidP="00235DA2">
      <w:pPr>
        <w:pStyle w:val="a3"/>
        <w:numPr>
          <w:ilvl w:val="0"/>
          <w:numId w:val="20"/>
        </w:numPr>
        <w:ind w:left="851" w:hanging="433"/>
        <w:jc w:val="both"/>
        <w:rPr>
          <w:rFonts w:ascii="Arial" w:hAnsi="Arial" w:cs="Arial"/>
          <w:sz w:val="20"/>
          <w:szCs w:val="20"/>
        </w:rPr>
      </w:pPr>
      <w:r>
        <w:rPr>
          <w:rFonts w:ascii="Arial" w:hAnsi="Arial" w:cs="Arial"/>
          <w:sz w:val="20"/>
          <w:szCs w:val="20"/>
        </w:rPr>
        <w:t>Next-generation information t</w:t>
      </w:r>
      <w:r w:rsidR="00576703" w:rsidRPr="00235DA2">
        <w:rPr>
          <w:rFonts w:ascii="Arial" w:hAnsi="Arial" w:cs="Arial"/>
          <w:sz w:val="20"/>
          <w:szCs w:val="20"/>
        </w:rPr>
        <w:t xml:space="preserve">echnology </w:t>
      </w:r>
      <w:r w:rsidR="00616C90">
        <w:rPr>
          <w:rFonts w:ascii="Arial" w:hAnsi="Arial" w:cs="Arial"/>
          <w:sz w:val="20"/>
          <w:szCs w:val="20"/>
        </w:rPr>
        <w:t>– (e.</w:t>
      </w:r>
      <w:r w:rsidR="009B219C" w:rsidRPr="00235DA2">
        <w:rPr>
          <w:rFonts w:ascii="Arial" w:hAnsi="Arial" w:cs="Arial"/>
          <w:sz w:val="20"/>
          <w:szCs w:val="20"/>
        </w:rPr>
        <w:t>g</w:t>
      </w:r>
      <w:r w:rsidR="00616C90">
        <w:rPr>
          <w:rFonts w:ascii="Arial" w:hAnsi="Arial" w:cs="Arial"/>
          <w:sz w:val="20"/>
          <w:szCs w:val="20"/>
        </w:rPr>
        <w:t>.</w:t>
      </w:r>
      <w:r w:rsidR="00576703" w:rsidRPr="00235DA2">
        <w:rPr>
          <w:rFonts w:ascii="Arial" w:hAnsi="Arial" w:cs="Arial"/>
          <w:sz w:val="20"/>
          <w:szCs w:val="20"/>
        </w:rPr>
        <w:t xml:space="preserve"> cloud-based services and AI)</w:t>
      </w:r>
      <w:r w:rsidR="00616C90">
        <w:rPr>
          <w:rFonts w:ascii="Arial" w:hAnsi="Arial" w:cs="Arial"/>
          <w:sz w:val="20"/>
          <w:szCs w:val="20"/>
        </w:rPr>
        <w:t>;</w:t>
      </w:r>
      <w:r w:rsidR="00576703" w:rsidRPr="00235DA2">
        <w:rPr>
          <w:rFonts w:ascii="Arial" w:hAnsi="Arial" w:cs="Arial"/>
          <w:sz w:val="20"/>
          <w:szCs w:val="20"/>
        </w:rPr>
        <w:t xml:space="preserve"> </w:t>
      </w:r>
    </w:p>
    <w:p w:rsidR="007B2CB7" w:rsidRDefault="007B2CB7" w:rsidP="007B2CB7">
      <w:pPr>
        <w:pStyle w:val="a3"/>
        <w:ind w:left="851"/>
        <w:jc w:val="both"/>
        <w:rPr>
          <w:rFonts w:ascii="Arial" w:hAnsi="Arial" w:cs="Arial"/>
          <w:sz w:val="20"/>
          <w:szCs w:val="20"/>
        </w:rPr>
      </w:pPr>
    </w:p>
    <w:p w:rsidR="00235DA2" w:rsidRDefault="00576703" w:rsidP="00235DA2">
      <w:pPr>
        <w:pStyle w:val="a3"/>
        <w:numPr>
          <w:ilvl w:val="0"/>
          <w:numId w:val="20"/>
        </w:numPr>
        <w:ind w:left="851" w:hanging="433"/>
        <w:jc w:val="both"/>
        <w:rPr>
          <w:rFonts w:ascii="Arial" w:hAnsi="Arial" w:cs="Arial"/>
          <w:sz w:val="20"/>
          <w:szCs w:val="20"/>
        </w:rPr>
      </w:pPr>
      <w:r w:rsidRPr="00235DA2">
        <w:rPr>
          <w:rFonts w:ascii="Arial" w:hAnsi="Arial" w:cs="Arial"/>
          <w:sz w:val="20"/>
          <w:szCs w:val="20"/>
        </w:rPr>
        <w:t>Advance</w:t>
      </w:r>
      <w:r w:rsidR="00D87489">
        <w:rPr>
          <w:rFonts w:ascii="Arial" w:hAnsi="Arial" w:cs="Arial"/>
          <w:sz w:val="20"/>
          <w:szCs w:val="20"/>
        </w:rPr>
        <w:t>d h</w:t>
      </w:r>
      <w:r w:rsidRPr="00235DA2">
        <w:rPr>
          <w:rFonts w:ascii="Arial" w:hAnsi="Arial" w:cs="Arial"/>
          <w:sz w:val="20"/>
          <w:szCs w:val="20"/>
        </w:rPr>
        <w:t xml:space="preserve">ardware </w:t>
      </w:r>
      <w:r w:rsidR="009B219C" w:rsidRPr="00235DA2">
        <w:rPr>
          <w:rFonts w:ascii="Arial" w:hAnsi="Arial" w:cs="Arial"/>
          <w:sz w:val="20"/>
          <w:szCs w:val="20"/>
        </w:rPr>
        <w:t>–</w:t>
      </w:r>
      <w:r w:rsidR="00616C90">
        <w:rPr>
          <w:rFonts w:ascii="Arial" w:hAnsi="Arial" w:cs="Arial"/>
          <w:sz w:val="20"/>
          <w:szCs w:val="20"/>
        </w:rPr>
        <w:t xml:space="preserve"> </w:t>
      </w:r>
      <w:r w:rsidR="009B219C" w:rsidRPr="00235DA2">
        <w:rPr>
          <w:rFonts w:ascii="Arial" w:hAnsi="Arial" w:cs="Arial"/>
          <w:sz w:val="20"/>
          <w:szCs w:val="20"/>
        </w:rPr>
        <w:t>(e.g</w:t>
      </w:r>
      <w:r w:rsidR="00616C90">
        <w:rPr>
          <w:rFonts w:ascii="Arial" w:hAnsi="Arial" w:cs="Arial"/>
          <w:sz w:val="20"/>
          <w:szCs w:val="20"/>
        </w:rPr>
        <w:t>.</w:t>
      </w:r>
      <w:r w:rsidRPr="00235DA2">
        <w:rPr>
          <w:rFonts w:ascii="Arial" w:hAnsi="Arial" w:cs="Arial"/>
          <w:sz w:val="20"/>
          <w:szCs w:val="20"/>
        </w:rPr>
        <w:t xml:space="preserve"> robotics and automation, semiconductors, advance</w:t>
      </w:r>
      <w:r w:rsidR="00616C90">
        <w:rPr>
          <w:rFonts w:ascii="Arial" w:hAnsi="Arial" w:cs="Arial"/>
          <w:sz w:val="20"/>
          <w:szCs w:val="20"/>
        </w:rPr>
        <w:t>d</w:t>
      </w:r>
      <w:r w:rsidRPr="00235DA2">
        <w:rPr>
          <w:rFonts w:ascii="Arial" w:hAnsi="Arial" w:cs="Arial"/>
          <w:sz w:val="20"/>
          <w:szCs w:val="20"/>
        </w:rPr>
        <w:t xml:space="preserve"> communication and transportation technology, aerospace technology, advanced manufacturing, electric and autonomous vehicles, quantum computing and metaverse technology)</w:t>
      </w:r>
      <w:r w:rsidR="00616C90">
        <w:rPr>
          <w:rFonts w:ascii="Arial" w:hAnsi="Arial" w:cs="Arial"/>
          <w:sz w:val="20"/>
          <w:szCs w:val="20"/>
        </w:rPr>
        <w:t>;</w:t>
      </w:r>
    </w:p>
    <w:p w:rsidR="007B2CB7" w:rsidRPr="00235DA2" w:rsidRDefault="007B2CB7" w:rsidP="007B2CB7">
      <w:pPr>
        <w:pStyle w:val="a3"/>
        <w:ind w:left="851"/>
        <w:jc w:val="both"/>
        <w:rPr>
          <w:rFonts w:ascii="Arial" w:hAnsi="Arial" w:cs="Arial"/>
          <w:sz w:val="20"/>
          <w:szCs w:val="20"/>
        </w:rPr>
      </w:pPr>
    </w:p>
    <w:p w:rsidR="00235DA2" w:rsidRDefault="00D87489" w:rsidP="00235DA2">
      <w:pPr>
        <w:pStyle w:val="a3"/>
        <w:numPr>
          <w:ilvl w:val="0"/>
          <w:numId w:val="20"/>
        </w:numPr>
        <w:ind w:left="851" w:hanging="433"/>
        <w:jc w:val="both"/>
        <w:rPr>
          <w:rFonts w:ascii="Arial" w:hAnsi="Arial" w:cs="Arial"/>
          <w:sz w:val="20"/>
          <w:szCs w:val="20"/>
        </w:rPr>
      </w:pPr>
      <w:r>
        <w:rPr>
          <w:rFonts w:ascii="Arial" w:hAnsi="Arial" w:cs="Arial"/>
          <w:sz w:val="20"/>
          <w:szCs w:val="20"/>
        </w:rPr>
        <w:t>Advanced m</w:t>
      </w:r>
      <w:r w:rsidR="00616C90">
        <w:rPr>
          <w:rFonts w:ascii="Arial" w:hAnsi="Arial" w:cs="Arial"/>
          <w:sz w:val="20"/>
          <w:szCs w:val="20"/>
        </w:rPr>
        <w:t xml:space="preserve">aterials </w:t>
      </w:r>
      <w:r w:rsidR="00616C90" w:rsidRPr="00235DA2">
        <w:rPr>
          <w:rFonts w:ascii="Arial" w:hAnsi="Arial" w:cs="Arial"/>
          <w:sz w:val="20"/>
          <w:szCs w:val="20"/>
        </w:rPr>
        <w:t>–</w:t>
      </w:r>
      <w:r w:rsidR="00576703" w:rsidRPr="00235DA2">
        <w:rPr>
          <w:rFonts w:ascii="Arial" w:hAnsi="Arial" w:cs="Arial"/>
          <w:sz w:val="20"/>
          <w:szCs w:val="20"/>
        </w:rPr>
        <w:t xml:space="preserve"> (</w:t>
      </w:r>
      <w:r w:rsidR="009B219C" w:rsidRPr="00235DA2">
        <w:rPr>
          <w:rFonts w:ascii="Arial" w:hAnsi="Arial" w:cs="Arial"/>
          <w:sz w:val="20"/>
          <w:szCs w:val="20"/>
        </w:rPr>
        <w:t>e.g</w:t>
      </w:r>
      <w:r w:rsidR="00616C90">
        <w:rPr>
          <w:rFonts w:ascii="Arial" w:hAnsi="Arial" w:cs="Arial"/>
          <w:sz w:val="20"/>
          <w:szCs w:val="20"/>
        </w:rPr>
        <w:t>.</w:t>
      </w:r>
      <w:r w:rsidR="00576703" w:rsidRPr="00235DA2">
        <w:rPr>
          <w:rFonts w:ascii="Arial" w:hAnsi="Arial" w:cs="Arial"/>
          <w:sz w:val="20"/>
          <w:szCs w:val="20"/>
        </w:rPr>
        <w:t xml:space="preserve"> synthetic biological materials, smart glass and nanomaterials)</w:t>
      </w:r>
      <w:r w:rsidR="00616C90">
        <w:rPr>
          <w:rFonts w:ascii="Arial" w:hAnsi="Arial" w:cs="Arial"/>
          <w:sz w:val="20"/>
          <w:szCs w:val="20"/>
        </w:rPr>
        <w:t>;</w:t>
      </w:r>
    </w:p>
    <w:p w:rsidR="007B2CB7" w:rsidRDefault="007B2CB7" w:rsidP="007B2CB7">
      <w:pPr>
        <w:pStyle w:val="a3"/>
        <w:ind w:left="851"/>
        <w:jc w:val="both"/>
        <w:rPr>
          <w:rFonts w:ascii="Arial" w:hAnsi="Arial" w:cs="Arial"/>
          <w:sz w:val="20"/>
          <w:szCs w:val="20"/>
        </w:rPr>
      </w:pPr>
    </w:p>
    <w:p w:rsidR="00235DA2" w:rsidRDefault="00D87489" w:rsidP="00235DA2">
      <w:pPr>
        <w:pStyle w:val="a3"/>
        <w:numPr>
          <w:ilvl w:val="0"/>
          <w:numId w:val="20"/>
        </w:numPr>
        <w:ind w:left="851" w:hanging="433"/>
        <w:jc w:val="both"/>
        <w:rPr>
          <w:rFonts w:ascii="Arial" w:hAnsi="Arial" w:cs="Arial"/>
          <w:sz w:val="20"/>
          <w:szCs w:val="20"/>
        </w:rPr>
      </w:pPr>
      <w:r>
        <w:rPr>
          <w:rFonts w:ascii="Arial" w:hAnsi="Arial" w:cs="Arial"/>
          <w:sz w:val="20"/>
          <w:szCs w:val="20"/>
        </w:rPr>
        <w:t>New e</w:t>
      </w:r>
      <w:r w:rsidR="00576703" w:rsidRPr="00235DA2">
        <w:rPr>
          <w:rFonts w:ascii="Arial" w:hAnsi="Arial" w:cs="Arial"/>
          <w:sz w:val="20"/>
          <w:szCs w:val="20"/>
        </w:rPr>
        <w:t xml:space="preserve">nergy and </w:t>
      </w:r>
      <w:r>
        <w:rPr>
          <w:rFonts w:ascii="Arial" w:hAnsi="Arial" w:cs="Arial"/>
          <w:sz w:val="20"/>
          <w:szCs w:val="20"/>
        </w:rPr>
        <w:t>environmental p</w:t>
      </w:r>
      <w:r w:rsidR="00576703" w:rsidRPr="00235DA2">
        <w:rPr>
          <w:rFonts w:ascii="Arial" w:hAnsi="Arial" w:cs="Arial"/>
          <w:sz w:val="20"/>
          <w:szCs w:val="20"/>
        </w:rPr>
        <w:t>rotection</w:t>
      </w:r>
      <w:r w:rsidR="00616C90">
        <w:rPr>
          <w:rFonts w:ascii="Arial" w:hAnsi="Arial" w:cs="Arial"/>
          <w:sz w:val="20"/>
          <w:szCs w:val="20"/>
        </w:rPr>
        <w:t xml:space="preserve"> </w:t>
      </w:r>
      <w:r w:rsidR="00616C90" w:rsidRPr="00235DA2">
        <w:rPr>
          <w:rFonts w:ascii="Arial" w:hAnsi="Arial" w:cs="Arial"/>
          <w:sz w:val="20"/>
          <w:szCs w:val="20"/>
        </w:rPr>
        <w:t>–</w:t>
      </w:r>
      <w:r w:rsidR="009B219C" w:rsidRPr="00235DA2">
        <w:rPr>
          <w:rFonts w:ascii="Arial" w:hAnsi="Arial" w:cs="Arial"/>
          <w:sz w:val="20"/>
          <w:szCs w:val="20"/>
        </w:rPr>
        <w:t xml:space="preserve"> (e.g</w:t>
      </w:r>
      <w:r w:rsidR="00616C90">
        <w:rPr>
          <w:rFonts w:ascii="Arial" w:hAnsi="Arial" w:cs="Arial"/>
          <w:sz w:val="20"/>
          <w:szCs w:val="20"/>
        </w:rPr>
        <w:t>.</w:t>
      </w:r>
      <w:r w:rsidR="00576703" w:rsidRPr="00235DA2">
        <w:rPr>
          <w:rFonts w:ascii="Arial" w:hAnsi="Arial" w:cs="Arial"/>
          <w:sz w:val="20"/>
          <w:szCs w:val="20"/>
        </w:rPr>
        <w:t xml:space="preserve"> new energy generation, storage and transmission technology and new green technology); and</w:t>
      </w:r>
    </w:p>
    <w:p w:rsidR="007B2CB7" w:rsidRPr="00235DA2" w:rsidRDefault="007B2CB7" w:rsidP="007B2CB7">
      <w:pPr>
        <w:pStyle w:val="a3"/>
        <w:ind w:left="851"/>
        <w:jc w:val="both"/>
        <w:rPr>
          <w:rFonts w:ascii="Arial" w:hAnsi="Arial" w:cs="Arial"/>
          <w:sz w:val="20"/>
          <w:szCs w:val="20"/>
        </w:rPr>
      </w:pPr>
    </w:p>
    <w:p w:rsidR="00576703" w:rsidRPr="00235DA2" w:rsidRDefault="00D87489" w:rsidP="00235DA2">
      <w:pPr>
        <w:pStyle w:val="a3"/>
        <w:numPr>
          <w:ilvl w:val="0"/>
          <w:numId w:val="20"/>
        </w:numPr>
        <w:ind w:left="851" w:hanging="433"/>
        <w:jc w:val="both"/>
        <w:rPr>
          <w:rFonts w:ascii="Arial" w:hAnsi="Arial" w:cs="Arial"/>
          <w:sz w:val="20"/>
          <w:szCs w:val="20"/>
        </w:rPr>
      </w:pPr>
      <w:r>
        <w:rPr>
          <w:rFonts w:ascii="Arial" w:hAnsi="Arial" w:cs="Arial"/>
          <w:sz w:val="20"/>
          <w:szCs w:val="20"/>
        </w:rPr>
        <w:t>New food and agriculture t</w:t>
      </w:r>
      <w:r w:rsidR="00616C90">
        <w:rPr>
          <w:rFonts w:ascii="Arial" w:hAnsi="Arial" w:cs="Arial"/>
          <w:sz w:val="20"/>
          <w:szCs w:val="20"/>
        </w:rPr>
        <w:t xml:space="preserve">echnologies </w:t>
      </w:r>
      <w:r w:rsidR="00616C90" w:rsidRPr="00235DA2">
        <w:rPr>
          <w:rFonts w:ascii="Arial" w:hAnsi="Arial" w:cs="Arial"/>
          <w:sz w:val="20"/>
          <w:szCs w:val="20"/>
        </w:rPr>
        <w:t xml:space="preserve">– </w:t>
      </w:r>
      <w:r w:rsidR="009B219C" w:rsidRPr="00235DA2">
        <w:rPr>
          <w:rFonts w:ascii="Arial" w:hAnsi="Arial" w:cs="Arial"/>
          <w:sz w:val="20"/>
          <w:szCs w:val="20"/>
        </w:rPr>
        <w:t>(e.g</w:t>
      </w:r>
      <w:r w:rsidR="00616C90">
        <w:rPr>
          <w:rFonts w:ascii="Arial" w:hAnsi="Arial" w:cs="Arial"/>
          <w:sz w:val="20"/>
          <w:szCs w:val="20"/>
        </w:rPr>
        <w:t>.</w:t>
      </w:r>
      <w:r w:rsidR="009B219C" w:rsidRPr="00235DA2">
        <w:rPr>
          <w:rFonts w:ascii="Arial" w:hAnsi="Arial" w:cs="Arial"/>
          <w:sz w:val="20"/>
          <w:szCs w:val="20"/>
        </w:rPr>
        <w:t xml:space="preserve"> </w:t>
      </w:r>
      <w:r w:rsidR="00AD2A62" w:rsidRPr="00235DA2">
        <w:rPr>
          <w:rFonts w:ascii="Arial" w:hAnsi="Arial" w:cs="Arial"/>
          <w:sz w:val="20"/>
          <w:szCs w:val="20"/>
        </w:rPr>
        <w:t>synthetic biology in food technology, agricultural biotechnology and crop efficiency technology, and farming technology)</w:t>
      </w:r>
      <w:r w:rsidR="00616C90">
        <w:rPr>
          <w:rFonts w:ascii="Arial" w:hAnsi="Arial" w:cs="Arial"/>
          <w:sz w:val="20"/>
          <w:szCs w:val="20"/>
        </w:rPr>
        <w:t>.</w:t>
      </w:r>
      <w:r w:rsidR="00AD2A62" w:rsidRPr="00235DA2">
        <w:rPr>
          <w:rFonts w:ascii="Arial" w:hAnsi="Arial" w:cs="Arial"/>
          <w:sz w:val="20"/>
          <w:szCs w:val="20"/>
        </w:rPr>
        <w:t xml:space="preserve"> </w:t>
      </w:r>
    </w:p>
    <w:p w:rsidR="00A5027B" w:rsidRDefault="00576703" w:rsidP="00576703">
      <w:pPr>
        <w:jc w:val="both"/>
        <w:rPr>
          <w:rFonts w:ascii="Arial" w:hAnsi="Arial" w:cs="Arial"/>
          <w:sz w:val="20"/>
          <w:szCs w:val="20"/>
        </w:rPr>
      </w:pPr>
      <w:r w:rsidRPr="00235DA2">
        <w:rPr>
          <w:rFonts w:ascii="Arial" w:hAnsi="Arial" w:cs="Arial"/>
          <w:sz w:val="20"/>
          <w:szCs w:val="20"/>
        </w:rPr>
        <w:t>These</w:t>
      </w:r>
      <w:r w:rsidR="00A5027B" w:rsidRPr="00235DA2">
        <w:rPr>
          <w:rFonts w:ascii="Arial" w:hAnsi="Arial" w:cs="Arial"/>
          <w:sz w:val="20"/>
          <w:szCs w:val="20"/>
        </w:rPr>
        <w:t xml:space="preserve"> industries</w:t>
      </w:r>
      <w:r w:rsidRPr="00235DA2">
        <w:rPr>
          <w:rFonts w:ascii="Arial" w:hAnsi="Arial" w:cs="Arial"/>
          <w:sz w:val="20"/>
          <w:szCs w:val="20"/>
        </w:rPr>
        <w:t xml:space="preserve"> </w:t>
      </w:r>
      <w:r w:rsidR="00616C90">
        <w:rPr>
          <w:rFonts w:ascii="Arial" w:hAnsi="Arial" w:cs="Arial"/>
          <w:sz w:val="20"/>
          <w:szCs w:val="20"/>
        </w:rPr>
        <w:t xml:space="preserve">and sectors </w:t>
      </w:r>
      <w:r w:rsidRPr="00235DA2">
        <w:rPr>
          <w:rFonts w:ascii="Arial" w:hAnsi="Arial" w:cs="Arial"/>
          <w:sz w:val="20"/>
          <w:szCs w:val="20"/>
        </w:rPr>
        <w:t xml:space="preserve">are non-exhaustive and the scope may be </w:t>
      </w:r>
      <w:r w:rsidR="00616C90">
        <w:rPr>
          <w:rFonts w:ascii="Arial" w:hAnsi="Arial" w:cs="Arial"/>
          <w:sz w:val="20"/>
          <w:szCs w:val="20"/>
        </w:rPr>
        <w:t xml:space="preserve">updated </w:t>
      </w:r>
      <w:r w:rsidRPr="00235DA2">
        <w:rPr>
          <w:rFonts w:ascii="Arial" w:hAnsi="Arial" w:cs="Arial"/>
          <w:sz w:val="20"/>
          <w:szCs w:val="20"/>
        </w:rPr>
        <w:t>by the HKEX when deemed necessary</w:t>
      </w:r>
      <w:r w:rsidR="00593797">
        <w:rPr>
          <w:rFonts w:ascii="Arial" w:hAnsi="Arial" w:cs="Arial"/>
          <w:sz w:val="20"/>
          <w:szCs w:val="20"/>
        </w:rPr>
        <w:t xml:space="preserve"> with the approval of the Securities and Future Commission</w:t>
      </w:r>
      <w:r w:rsidRPr="00235DA2">
        <w:rPr>
          <w:rFonts w:ascii="Arial" w:hAnsi="Arial" w:cs="Arial"/>
          <w:sz w:val="20"/>
          <w:szCs w:val="20"/>
        </w:rPr>
        <w:t xml:space="preserve">. </w:t>
      </w:r>
      <w:r w:rsidR="00593797">
        <w:rPr>
          <w:rFonts w:ascii="Arial" w:hAnsi="Arial" w:cs="Arial"/>
          <w:sz w:val="20"/>
          <w:szCs w:val="20"/>
        </w:rPr>
        <w:t xml:space="preserve">In updating the list of </w:t>
      </w:r>
      <w:r w:rsidR="00593797" w:rsidRPr="00235DA2">
        <w:rPr>
          <w:rFonts w:ascii="Arial" w:hAnsi="Arial" w:cs="Arial"/>
          <w:sz w:val="20"/>
          <w:szCs w:val="20"/>
        </w:rPr>
        <w:t xml:space="preserve">Specialist Technology Industries </w:t>
      </w:r>
      <w:r w:rsidR="00593797">
        <w:rPr>
          <w:rFonts w:ascii="Arial" w:hAnsi="Arial" w:cs="Arial"/>
          <w:sz w:val="20"/>
          <w:szCs w:val="20"/>
        </w:rPr>
        <w:t>and acceptable sectors, the HKEX must have regard to the following principles:</w:t>
      </w:r>
    </w:p>
    <w:p w:rsidR="00593797" w:rsidRDefault="00593797" w:rsidP="00593797">
      <w:pPr>
        <w:pStyle w:val="a3"/>
        <w:numPr>
          <w:ilvl w:val="0"/>
          <w:numId w:val="22"/>
        </w:numPr>
        <w:jc w:val="both"/>
        <w:rPr>
          <w:rFonts w:ascii="Arial" w:hAnsi="Arial" w:cs="Arial"/>
          <w:sz w:val="20"/>
          <w:szCs w:val="20"/>
        </w:rPr>
      </w:pPr>
      <w:r>
        <w:rPr>
          <w:rFonts w:ascii="Arial" w:hAnsi="Arial" w:cs="Arial"/>
          <w:sz w:val="20"/>
          <w:szCs w:val="20"/>
        </w:rPr>
        <w:t>Participants in the relevant sector must have high growth potential;</w:t>
      </w:r>
    </w:p>
    <w:p w:rsidR="00593797" w:rsidRDefault="00593797" w:rsidP="00593797">
      <w:pPr>
        <w:pStyle w:val="a3"/>
        <w:jc w:val="both"/>
        <w:rPr>
          <w:rFonts w:ascii="Arial" w:hAnsi="Arial" w:cs="Arial"/>
          <w:sz w:val="20"/>
          <w:szCs w:val="20"/>
        </w:rPr>
      </w:pPr>
    </w:p>
    <w:p w:rsidR="00593797" w:rsidRDefault="00593797" w:rsidP="00593797">
      <w:pPr>
        <w:pStyle w:val="a3"/>
        <w:numPr>
          <w:ilvl w:val="0"/>
          <w:numId w:val="22"/>
        </w:numPr>
        <w:jc w:val="both"/>
        <w:rPr>
          <w:rFonts w:ascii="Arial" w:hAnsi="Arial" w:cs="Arial"/>
          <w:sz w:val="20"/>
          <w:szCs w:val="20"/>
        </w:rPr>
      </w:pPr>
      <w:r>
        <w:rPr>
          <w:rFonts w:ascii="Arial" w:hAnsi="Arial" w:cs="Arial"/>
          <w:sz w:val="20"/>
          <w:szCs w:val="20"/>
        </w:rPr>
        <w:t xml:space="preserve">The success of participants in the sector can be demonstrated to be attributable to the application, to their core business, of new technologies and/or the application of the relevant science </w:t>
      </w:r>
      <w:r w:rsidRPr="00A77E13">
        <w:rPr>
          <w:rFonts w:ascii="Arial" w:hAnsi="Arial" w:cs="Arial"/>
          <w:sz w:val="20"/>
          <w:szCs w:val="20"/>
        </w:rPr>
        <w:t xml:space="preserve">and/or technology within that sector to a new business model, </w:t>
      </w:r>
      <w:r w:rsidRPr="00593797">
        <w:rPr>
          <w:rFonts w:ascii="Arial" w:hAnsi="Arial" w:cs="Arial"/>
          <w:sz w:val="20"/>
          <w:szCs w:val="20"/>
        </w:rPr>
        <w:t>which also serves to differentiate them from traditional market participants serving simil</w:t>
      </w:r>
      <w:r>
        <w:rPr>
          <w:rFonts w:ascii="Arial" w:hAnsi="Arial" w:cs="Arial"/>
          <w:sz w:val="20"/>
          <w:szCs w:val="20"/>
        </w:rPr>
        <w:t xml:space="preserve">ar consumers or end users; and </w:t>
      </w:r>
    </w:p>
    <w:p w:rsidR="00593797" w:rsidRPr="00593797" w:rsidRDefault="00593797" w:rsidP="00593797">
      <w:pPr>
        <w:pStyle w:val="a3"/>
        <w:rPr>
          <w:rFonts w:ascii="Arial" w:hAnsi="Arial" w:cs="Arial"/>
          <w:sz w:val="20"/>
          <w:szCs w:val="20"/>
        </w:rPr>
      </w:pPr>
    </w:p>
    <w:p w:rsidR="00593797" w:rsidRPr="00593797" w:rsidRDefault="00593797" w:rsidP="00593797">
      <w:pPr>
        <w:pStyle w:val="a3"/>
        <w:numPr>
          <w:ilvl w:val="0"/>
          <w:numId w:val="22"/>
        </w:numPr>
        <w:jc w:val="both"/>
        <w:rPr>
          <w:rFonts w:ascii="Arial" w:hAnsi="Arial" w:cs="Arial"/>
          <w:sz w:val="20"/>
          <w:szCs w:val="20"/>
        </w:rPr>
      </w:pPr>
      <w:r>
        <w:rPr>
          <w:rFonts w:ascii="Arial" w:hAnsi="Arial" w:cs="Arial"/>
          <w:sz w:val="20"/>
          <w:szCs w:val="20"/>
        </w:rPr>
        <w:t>R</w:t>
      </w:r>
      <w:r w:rsidRPr="00593797">
        <w:rPr>
          <w:rFonts w:ascii="Arial" w:hAnsi="Arial" w:cs="Arial"/>
          <w:sz w:val="20"/>
          <w:szCs w:val="20"/>
        </w:rPr>
        <w:t xml:space="preserve">esearch and development significantly contributes to the expected value and constitutes a major activity and expense of </w:t>
      </w:r>
      <w:r>
        <w:rPr>
          <w:rFonts w:ascii="Arial" w:hAnsi="Arial" w:cs="Arial"/>
          <w:sz w:val="20"/>
          <w:szCs w:val="20"/>
        </w:rPr>
        <w:t xml:space="preserve">sector </w:t>
      </w:r>
      <w:r w:rsidRPr="00593797">
        <w:rPr>
          <w:rFonts w:ascii="Arial" w:hAnsi="Arial" w:cs="Arial"/>
          <w:sz w:val="20"/>
          <w:szCs w:val="20"/>
        </w:rPr>
        <w:t>participants</w:t>
      </w:r>
      <w:r w:rsidR="00C14D92">
        <w:rPr>
          <w:rFonts w:ascii="Arial" w:hAnsi="Arial" w:cs="Arial"/>
          <w:sz w:val="20"/>
          <w:szCs w:val="20"/>
        </w:rPr>
        <w:t xml:space="preserve"> (</w:t>
      </w:r>
      <w:r w:rsidR="00C14D92" w:rsidRPr="00C14D92">
        <w:rPr>
          <w:rFonts w:ascii="Arial" w:hAnsi="Arial" w:cs="Arial"/>
          <w:b/>
          <w:sz w:val="20"/>
          <w:szCs w:val="20"/>
        </w:rPr>
        <w:t>Principles for Listing Specialist Technology Companies</w:t>
      </w:r>
      <w:r w:rsidR="00C14D92">
        <w:rPr>
          <w:rFonts w:ascii="Arial" w:hAnsi="Arial" w:cs="Arial"/>
          <w:sz w:val="20"/>
          <w:szCs w:val="20"/>
        </w:rPr>
        <w:t>)</w:t>
      </w:r>
      <w:r w:rsidRPr="00593797">
        <w:rPr>
          <w:rFonts w:ascii="Arial" w:hAnsi="Arial" w:cs="Arial"/>
          <w:sz w:val="20"/>
          <w:szCs w:val="20"/>
        </w:rPr>
        <w:t>.</w:t>
      </w:r>
      <w:r>
        <w:rPr>
          <w:rFonts w:ascii="Arial" w:hAnsi="Arial" w:cs="Arial"/>
          <w:sz w:val="20"/>
          <w:szCs w:val="20"/>
        </w:rPr>
        <w:t xml:space="preserve"> </w:t>
      </w:r>
    </w:p>
    <w:p w:rsidR="00A8228E" w:rsidRDefault="00683B2C" w:rsidP="00A8228E">
      <w:pPr>
        <w:jc w:val="both"/>
        <w:rPr>
          <w:rFonts w:ascii="Arial" w:hAnsi="Arial" w:cs="Arial"/>
          <w:b/>
          <w:sz w:val="20"/>
          <w:szCs w:val="20"/>
        </w:rPr>
      </w:pPr>
      <w:r>
        <w:rPr>
          <w:rFonts w:ascii="Arial" w:hAnsi="Arial" w:cs="Arial"/>
          <w:b/>
          <w:sz w:val="20"/>
          <w:szCs w:val="20"/>
        </w:rPr>
        <w:t>HKEX’s Right to Reject a Listing Application</w:t>
      </w:r>
    </w:p>
    <w:p w:rsidR="00683B2C" w:rsidRDefault="00683B2C" w:rsidP="00A8228E">
      <w:pPr>
        <w:jc w:val="both"/>
        <w:rPr>
          <w:rFonts w:ascii="Arial" w:hAnsi="Arial" w:cs="Arial"/>
          <w:sz w:val="20"/>
          <w:szCs w:val="20"/>
        </w:rPr>
      </w:pPr>
      <w:r>
        <w:rPr>
          <w:rFonts w:ascii="Arial" w:hAnsi="Arial" w:cs="Arial"/>
          <w:sz w:val="20"/>
          <w:szCs w:val="20"/>
        </w:rPr>
        <w:t>The HKEX will have the discretion to reject a listing application from an applicant within an acceptable sector which has features that are inconsistent with the Principles for Listing Specialist Technology Companies.</w:t>
      </w:r>
    </w:p>
    <w:p w:rsidR="00683B2C" w:rsidRDefault="00683B2C" w:rsidP="00683B2C">
      <w:pPr>
        <w:jc w:val="both"/>
        <w:rPr>
          <w:rFonts w:ascii="Arial" w:hAnsi="Arial" w:cs="Arial"/>
          <w:b/>
          <w:sz w:val="20"/>
          <w:szCs w:val="20"/>
        </w:rPr>
      </w:pPr>
      <w:r>
        <w:rPr>
          <w:rFonts w:ascii="Arial" w:hAnsi="Arial" w:cs="Arial"/>
          <w:b/>
          <w:sz w:val="20"/>
          <w:szCs w:val="20"/>
        </w:rPr>
        <w:t>Companies with Multiple Business Segments</w:t>
      </w:r>
    </w:p>
    <w:p w:rsidR="00683B2C" w:rsidRPr="00235DA2" w:rsidRDefault="00C224EB" w:rsidP="00683B2C">
      <w:pPr>
        <w:jc w:val="both"/>
        <w:rPr>
          <w:rFonts w:ascii="Arial" w:hAnsi="Arial" w:cs="Arial"/>
          <w:sz w:val="20"/>
          <w:szCs w:val="20"/>
        </w:rPr>
      </w:pPr>
      <w:r>
        <w:rPr>
          <w:rFonts w:ascii="Arial" w:hAnsi="Arial" w:cs="Arial"/>
          <w:sz w:val="20"/>
          <w:szCs w:val="20"/>
        </w:rPr>
        <w:t>I</w:t>
      </w:r>
      <w:r w:rsidR="00683B2C">
        <w:rPr>
          <w:rFonts w:ascii="Arial" w:hAnsi="Arial" w:cs="Arial"/>
          <w:sz w:val="20"/>
          <w:szCs w:val="20"/>
        </w:rPr>
        <w:t xml:space="preserve">n considering </w:t>
      </w:r>
      <w:r w:rsidR="00683B2C" w:rsidRPr="00235DA2">
        <w:rPr>
          <w:rFonts w:ascii="Arial" w:hAnsi="Arial" w:cs="Arial"/>
          <w:sz w:val="20"/>
          <w:szCs w:val="20"/>
        </w:rPr>
        <w:t xml:space="preserve">whether </w:t>
      </w:r>
      <w:r>
        <w:rPr>
          <w:rFonts w:ascii="Arial" w:hAnsi="Arial" w:cs="Arial"/>
          <w:sz w:val="20"/>
          <w:szCs w:val="20"/>
        </w:rPr>
        <w:t xml:space="preserve">a </w:t>
      </w:r>
      <w:r w:rsidR="00683B2C" w:rsidRPr="00235DA2">
        <w:rPr>
          <w:rFonts w:ascii="Arial" w:hAnsi="Arial" w:cs="Arial"/>
          <w:sz w:val="20"/>
          <w:szCs w:val="20"/>
        </w:rPr>
        <w:t>c</w:t>
      </w:r>
      <w:r w:rsidR="00187520">
        <w:rPr>
          <w:rFonts w:ascii="Arial" w:hAnsi="Arial" w:cs="Arial"/>
          <w:sz w:val="20"/>
          <w:szCs w:val="20"/>
        </w:rPr>
        <w:t>ompany</w:t>
      </w:r>
      <w:r>
        <w:rPr>
          <w:rFonts w:ascii="Arial" w:hAnsi="Arial" w:cs="Arial"/>
          <w:sz w:val="20"/>
          <w:szCs w:val="20"/>
        </w:rPr>
        <w:t xml:space="preserve"> </w:t>
      </w:r>
      <w:r w:rsidRPr="00235DA2">
        <w:rPr>
          <w:rFonts w:ascii="Arial" w:hAnsi="Arial" w:cs="Arial"/>
          <w:sz w:val="20"/>
          <w:szCs w:val="20"/>
        </w:rPr>
        <w:t>with multiple business segments</w:t>
      </w:r>
      <w:r>
        <w:rPr>
          <w:rFonts w:ascii="Arial" w:hAnsi="Arial" w:cs="Arial"/>
          <w:sz w:val="20"/>
          <w:szCs w:val="20"/>
        </w:rPr>
        <w:t xml:space="preserve"> </w:t>
      </w:r>
      <w:r w:rsidR="00187520">
        <w:rPr>
          <w:rFonts w:ascii="Arial" w:hAnsi="Arial" w:cs="Arial"/>
          <w:sz w:val="20"/>
          <w:szCs w:val="20"/>
        </w:rPr>
        <w:t>is primarily engaged in the relevant</w:t>
      </w:r>
      <w:r w:rsidR="00683B2C" w:rsidRPr="00235DA2">
        <w:rPr>
          <w:rFonts w:ascii="Arial" w:hAnsi="Arial" w:cs="Arial"/>
          <w:sz w:val="20"/>
          <w:szCs w:val="20"/>
        </w:rPr>
        <w:t xml:space="preserve"> Specialist Technology</w:t>
      </w:r>
      <w:r w:rsidR="00187520">
        <w:rPr>
          <w:rFonts w:ascii="Arial" w:hAnsi="Arial" w:cs="Arial"/>
          <w:sz w:val="20"/>
          <w:szCs w:val="20"/>
        </w:rPr>
        <w:t xml:space="preserve"> business</w:t>
      </w:r>
      <w:r w:rsidR="00683B2C">
        <w:rPr>
          <w:rFonts w:ascii="Arial" w:hAnsi="Arial" w:cs="Arial"/>
          <w:sz w:val="20"/>
          <w:szCs w:val="20"/>
        </w:rPr>
        <w:t>,</w:t>
      </w:r>
      <w:r w:rsidR="00683B2C" w:rsidRPr="00235DA2">
        <w:rPr>
          <w:rFonts w:ascii="Arial" w:hAnsi="Arial" w:cs="Arial"/>
          <w:sz w:val="20"/>
          <w:szCs w:val="20"/>
        </w:rPr>
        <w:t xml:space="preserve"> </w:t>
      </w:r>
      <w:r w:rsidRPr="00235DA2">
        <w:rPr>
          <w:rFonts w:ascii="Arial" w:hAnsi="Arial" w:cs="Arial"/>
          <w:sz w:val="20"/>
          <w:szCs w:val="20"/>
        </w:rPr>
        <w:t xml:space="preserve">the HKEX </w:t>
      </w:r>
      <w:r w:rsidR="00683B2C">
        <w:rPr>
          <w:rFonts w:ascii="Arial" w:hAnsi="Arial" w:cs="Arial"/>
          <w:sz w:val="20"/>
          <w:szCs w:val="20"/>
        </w:rPr>
        <w:t>will look at whether</w:t>
      </w:r>
      <w:r w:rsidR="00683B2C" w:rsidRPr="00235DA2">
        <w:rPr>
          <w:rFonts w:ascii="Arial" w:hAnsi="Arial" w:cs="Arial"/>
          <w:sz w:val="20"/>
          <w:szCs w:val="20"/>
        </w:rPr>
        <w:t xml:space="preserve">: </w:t>
      </w:r>
    </w:p>
    <w:p w:rsidR="00683B2C" w:rsidRDefault="00683B2C" w:rsidP="00683B2C">
      <w:pPr>
        <w:pStyle w:val="a3"/>
        <w:numPr>
          <w:ilvl w:val="0"/>
          <w:numId w:val="14"/>
        </w:numPr>
        <w:spacing w:after="120" w:line="240" w:lineRule="auto"/>
        <w:jc w:val="both"/>
        <w:rPr>
          <w:rFonts w:ascii="Arial" w:hAnsi="Arial" w:cs="Arial"/>
          <w:sz w:val="20"/>
          <w:szCs w:val="20"/>
        </w:rPr>
      </w:pPr>
      <w:r w:rsidRPr="00235DA2">
        <w:rPr>
          <w:rFonts w:ascii="Arial" w:hAnsi="Arial" w:cs="Arial"/>
          <w:sz w:val="20"/>
          <w:szCs w:val="20"/>
        </w:rPr>
        <w:t xml:space="preserve">a substantial portion of the total operating expenditure of the </w:t>
      </w:r>
      <w:r w:rsidR="00187520">
        <w:rPr>
          <w:rFonts w:ascii="Arial" w:hAnsi="Arial" w:cs="Arial"/>
          <w:sz w:val="20"/>
          <w:szCs w:val="20"/>
        </w:rPr>
        <w:t>c</w:t>
      </w:r>
      <w:r w:rsidRPr="00235DA2">
        <w:rPr>
          <w:rFonts w:ascii="Arial" w:hAnsi="Arial" w:cs="Arial"/>
          <w:sz w:val="20"/>
          <w:szCs w:val="20"/>
        </w:rPr>
        <w:t xml:space="preserve">ompany and senior management resources </w:t>
      </w:r>
      <w:r w:rsidR="00187520">
        <w:rPr>
          <w:rFonts w:ascii="Arial" w:hAnsi="Arial" w:cs="Arial"/>
          <w:sz w:val="20"/>
          <w:szCs w:val="20"/>
        </w:rPr>
        <w:t xml:space="preserve">(including their time and number of directors and senior management personnel with relevant experience and expertise) </w:t>
      </w:r>
      <w:r w:rsidRPr="00235DA2">
        <w:rPr>
          <w:rFonts w:ascii="Arial" w:hAnsi="Arial" w:cs="Arial"/>
          <w:sz w:val="20"/>
          <w:szCs w:val="20"/>
        </w:rPr>
        <w:t xml:space="preserve">was </w:t>
      </w:r>
      <w:r w:rsidR="00A77E13">
        <w:rPr>
          <w:rFonts w:ascii="Arial" w:hAnsi="Arial" w:cs="Arial"/>
          <w:sz w:val="20"/>
          <w:szCs w:val="20"/>
        </w:rPr>
        <w:t xml:space="preserve">dedicated to </w:t>
      </w:r>
      <w:r w:rsidRPr="00235DA2">
        <w:rPr>
          <w:rFonts w:ascii="Arial" w:hAnsi="Arial" w:cs="Arial"/>
          <w:sz w:val="20"/>
          <w:szCs w:val="20"/>
        </w:rPr>
        <w:t>the research and development, and commercialisation and/or sales</w:t>
      </w:r>
      <w:r w:rsidR="00A77E13">
        <w:rPr>
          <w:rFonts w:ascii="Arial" w:hAnsi="Arial" w:cs="Arial"/>
          <w:sz w:val="20"/>
          <w:szCs w:val="20"/>
        </w:rPr>
        <w:t>, of</w:t>
      </w:r>
      <w:r w:rsidRPr="00235DA2">
        <w:rPr>
          <w:rFonts w:ascii="Arial" w:hAnsi="Arial" w:cs="Arial"/>
          <w:sz w:val="20"/>
          <w:szCs w:val="20"/>
        </w:rPr>
        <w:t xml:space="preserve"> Specialist Technology Product</w:t>
      </w:r>
      <w:r w:rsidR="00187520">
        <w:rPr>
          <w:rFonts w:ascii="Arial" w:hAnsi="Arial" w:cs="Arial"/>
          <w:sz w:val="20"/>
          <w:szCs w:val="20"/>
        </w:rPr>
        <w:t>(</w:t>
      </w:r>
      <w:r w:rsidRPr="00235DA2">
        <w:rPr>
          <w:rFonts w:ascii="Arial" w:hAnsi="Arial" w:cs="Arial"/>
          <w:sz w:val="20"/>
          <w:szCs w:val="20"/>
        </w:rPr>
        <w:t>s</w:t>
      </w:r>
      <w:r w:rsidR="00187520">
        <w:rPr>
          <w:rFonts w:ascii="Arial" w:hAnsi="Arial" w:cs="Arial"/>
          <w:sz w:val="20"/>
          <w:szCs w:val="20"/>
        </w:rPr>
        <w:t>)</w:t>
      </w:r>
      <w:r w:rsidRPr="00235DA2">
        <w:rPr>
          <w:rFonts w:ascii="Arial" w:hAnsi="Arial" w:cs="Arial"/>
          <w:sz w:val="20"/>
          <w:szCs w:val="20"/>
        </w:rPr>
        <w:t xml:space="preserve"> in its </w:t>
      </w:r>
      <w:r w:rsidR="00187520">
        <w:rPr>
          <w:rFonts w:ascii="Arial" w:hAnsi="Arial" w:cs="Arial"/>
          <w:sz w:val="20"/>
          <w:szCs w:val="20"/>
        </w:rPr>
        <w:t xml:space="preserve">Specialist Technology </w:t>
      </w:r>
      <w:r w:rsidRPr="00235DA2">
        <w:rPr>
          <w:rFonts w:ascii="Arial" w:hAnsi="Arial" w:cs="Arial"/>
          <w:sz w:val="20"/>
          <w:szCs w:val="20"/>
        </w:rPr>
        <w:t>business segment</w:t>
      </w:r>
      <w:r w:rsidR="00187520">
        <w:rPr>
          <w:rFonts w:ascii="Arial" w:hAnsi="Arial" w:cs="Arial"/>
          <w:sz w:val="20"/>
          <w:szCs w:val="20"/>
        </w:rPr>
        <w:t>(</w:t>
      </w:r>
      <w:r>
        <w:rPr>
          <w:rFonts w:ascii="Arial" w:hAnsi="Arial" w:cs="Arial"/>
          <w:sz w:val="20"/>
          <w:szCs w:val="20"/>
        </w:rPr>
        <w:t>s</w:t>
      </w:r>
      <w:r w:rsidR="00187520">
        <w:rPr>
          <w:rFonts w:ascii="Arial" w:hAnsi="Arial" w:cs="Arial"/>
          <w:sz w:val="20"/>
          <w:szCs w:val="20"/>
        </w:rPr>
        <w:t>)</w:t>
      </w:r>
      <w:r w:rsidR="00A77E13">
        <w:rPr>
          <w:rFonts w:ascii="Arial" w:hAnsi="Arial" w:cs="Arial"/>
          <w:sz w:val="20"/>
          <w:szCs w:val="20"/>
        </w:rPr>
        <w:t xml:space="preserve"> for at least three</w:t>
      </w:r>
      <w:r w:rsidRPr="00235DA2">
        <w:rPr>
          <w:rFonts w:ascii="Arial" w:hAnsi="Arial" w:cs="Arial"/>
          <w:sz w:val="20"/>
          <w:szCs w:val="20"/>
        </w:rPr>
        <w:t xml:space="preserve"> financial years prior to listing;</w:t>
      </w:r>
    </w:p>
    <w:p w:rsidR="00683B2C" w:rsidRPr="00235DA2" w:rsidRDefault="00683B2C" w:rsidP="00683B2C">
      <w:pPr>
        <w:pStyle w:val="a3"/>
        <w:spacing w:after="120" w:line="240" w:lineRule="auto"/>
        <w:jc w:val="both"/>
        <w:rPr>
          <w:rFonts w:ascii="Arial" w:hAnsi="Arial" w:cs="Arial"/>
          <w:sz w:val="20"/>
          <w:szCs w:val="20"/>
        </w:rPr>
      </w:pPr>
    </w:p>
    <w:p w:rsidR="00683B2C" w:rsidRDefault="00683B2C" w:rsidP="00683B2C">
      <w:pPr>
        <w:pStyle w:val="a3"/>
        <w:numPr>
          <w:ilvl w:val="0"/>
          <w:numId w:val="14"/>
        </w:numPr>
        <w:spacing w:after="120" w:line="240" w:lineRule="auto"/>
        <w:jc w:val="both"/>
        <w:rPr>
          <w:rFonts w:ascii="Arial" w:hAnsi="Arial" w:cs="Arial"/>
          <w:sz w:val="20"/>
          <w:szCs w:val="20"/>
        </w:rPr>
      </w:pPr>
      <w:r w:rsidRPr="00235DA2">
        <w:rPr>
          <w:rFonts w:ascii="Arial" w:hAnsi="Arial" w:cs="Arial"/>
          <w:sz w:val="20"/>
          <w:szCs w:val="20"/>
        </w:rPr>
        <w:t>the basis for investors’ valuation and its expected market capitalisation is based primarily on its Specialist Tech</w:t>
      </w:r>
      <w:r>
        <w:rPr>
          <w:rFonts w:ascii="Arial" w:hAnsi="Arial" w:cs="Arial"/>
          <w:sz w:val="20"/>
          <w:szCs w:val="20"/>
        </w:rPr>
        <w:t>nology business segment</w:t>
      </w:r>
      <w:r w:rsidR="00187520">
        <w:rPr>
          <w:rFonts w:ascii="Arial" w:hAnsi="Arial" w:cs="Arial"/>
          <w:sz w:val="20"/>
          <w:szCs w:val="20"/>
        </w:rPr>
        <w:t>(</w:t>
      </w:r>
      <w:r>
        <w:rPr>
          <w:rFonts w:ascii="Arial" w:hAnsi="Arial" w:cs="Arial"/>
          <w:sz w:val="20"/>
          <w:szCs w:val="20"/>
        </w:rPr>
        <w:t>s</w:t>
      </w:r>
      <w:r w:rsidR="00187520">
        <w:rPr>
          <w:rFonts w:ascii="Arial" w:hAnsi="Arial" w:cs="Arial"/>
          <w:sz w:val="20"/>
          <w:szCs w:val="20"/>
        </w:rPr>
        <w:t>)</w:t>
      </w:r>
      <w:r w:rsidRPr="00235DA2">
        <w:rPr>
          <w:rFonts w:ascii="Arial" w:hAnsi="Arial" w:cs="Arial"/>
          <w:sz w:val="20"/>
          <w:szCs w:val="20"/>
        </w:rPr>
        <w:t>; and</w:t>
      </w:r>
    </w:p>
    <w:p w:rsidR="00683B2C" w:rsidRPr="00235DA2" w:rsidRDefault="00683B2C" w:rsidP="00683B2C">
      <w:pPr>
        <w:pStyle w:val="a3"/>
        <w:spacing w:after="120" w:line="240" w:lineRule="auto"/>
        <w:jc w:val="both"/>
        <w:rPr>
          <w:rFonts w:ascii="Arial" w:hAnsi="Arial" w:cs="Arial"/>
          <w:sz w:val="20"/>
          <w:szCs w:val="20"/>
        </w:rPr>
      </w:pPr>
    </w:p>
    <w:p w:rsidR="00683B2C" w:rsidRPr="00235DA2" w:rsidRDefault="00683B2C" w:rsidP="00683B2C">
      <w:pPr>
        <w:pStyle w:val="a3"/>
        <w:numPr>
          <w:ilvl w:val="0"/>
          <w:numId w:val="14"/>
        </w:numPr>
        <w:spacing w:after="120" w:line="240" w:lineRule="auto"/>
        <w:jc w:val="both"/>
        <w:rPr>
          <w:rFonts w:ascii="Arial" w:hAnsi="Arial" w:cs="Arial"/>
          <w:sz w:val="20"/>
          <w:szCs w:val="20"/>
        </w:rPr>
      </w:pPr>
      <w:r w:rsidRPr="00235DA2">
        <w:rPr>
          <w:rFonts w:ascii="Arial" w:hAnsi="Arial" w:cs="Arial"/>
          <w:sz w:val="20"/>
          <w:szCs w:val="20"/>
        </w:rPr>
        <w:t>the proposed use of proceeds for listing would primarily be applied to its Specialist Tech</w:t>
      </w:r>
      <w:r>
        <w:rPr>
          <w:rFonts w:ascii="Arial" w:hAnsi="Arial" w:cs="Arial"/>
          <w:sz w:val="20"/>
          <w:szCs w:val="20"/>
        </w:rPr>
        <w:t>nology business segment</w:t>
      </w:r>
      <w:r w:rsidR="00187520">
        <w:rPr>
          <w:rFonts w:ascii="Arial" w:hAnsi="Arial" w:cs="Arial"/>
          <w:sz w:val="20"/>
          <w:szCs w:val="20"/>
        </w:rPr>
        <w:t>(</w:t>
      </w:r>
      <w:r>
        <w:rPr>
          <w:rFonts w:ascii="Arial" w:hAnsi="Arial" w:cs="Arial"/>
          <w:sz w:val="20"/>
          <w:szCs w:val="20"/>
        </w:rPr>
        <w:t>s</w:t>
      </w:r>
      <w:r w:rsidR="00187520">
        <w:rPr>
          <w:rFonts w:ascii="Arial" w:hAnsi="Arial" w:cs="Arial"/>
          <w:sz w:val="20"/>
          <w:szCs w:val="20"/>
        </w:rPr>
        <w:t>)</w:t>
      </w:r>
      <w:r w:rsidRPr="00235DA2">
        <w:rPr>
          <w:rFonts w:ascii="Arial" w:hAnsi="Arial" w:cs="Arial"/>
          <w:sz w:val="20"/>
          <w:szCs w:val="20"/>
        </w:rPr>
        <w:t>.</w:t>
      </w:r>
    </w:p>
    <w:p w:rsidR="00683B2C" w:rsidRDefault="00187520" w:rsidP="00A8228E">
      <w:pPr>
        <w:jc w:val="both"/>
        <w:rPr>
          <w:rFonts w:ascii="Arial" w:hAnsi="Arial" w:cs="Arial"/>
          <w:b/>
          <w:color w:val="FF0000"/>
          <w:sz w:val="20"/>
          <w:szCs w:val="20"/>
        </w:rPr>
      </w:pPr>
      <w:r w:rsidRPr="00187520">
        <w:rPr>
          <w:rFonts w:ascii="Arial" w:hAnsi="Arial" w:cs="Arial"/>
          <w:b/>
          <w:color w:val="FF0000"/>
          <w:sz w:val="20"/>
          <w:szCs w:val="20"/>
        </w:rPr>
        <w:t>Commercial and Pre-Commercial</w:t>
      </w:r>
      <w:r>
        <w:rPr>
          <w:rFonts w:ascii="Arial" w:hAnsi="Arial" w:cs="Arial"/>
          <w:color w:val="FF0000"/>
          <w:sz w:val="20"/>
          <w:szCs w:val="20"/>
        </w:rPr>
        <w:t xml:space="preserve"> </w:t>
      </w:r>
      <w:r w:rsidRPr="00683B2C">
        <w:rPr>
          <w:rFonts w:ascii="Arial" w:hAnsi="Arial" w:cs="Arial"/>
          <w:b/>
          <w:color w:val="FF0000"/>
          <w:sz w:val="20"/>
          <w:szCs w:val="20"/>
        </w:rPr>
        <w:t>Specialist Technology Companies</w:t>
      </w:r>
    </w:p>
    <w:p w:rsidR="00353ECC" w:rsidRDefault="00353ECC" w:rsidP="00A8228E">
      <w:pPr>
        <w:jc w:val="both"/>
        <w:rPr>
          <w:rFonts w:ascii="Arial" w:hAnsi="Arial" w:cs="Arial"/>
          <w:sz w:val="20"/>
          <w:szCs w:val="20"/>
        </w:rPr>
      </w:pPr>
      <w:r>
        <w:rPr>
          <w:rFonts w:ascii="Arial" w:hAnsi="Arial" w:cs="Arial"/>
          <w:sz w:val="20"/>
          <w:szCs w:val="20"/>
        </w:rPr>
        <w:t>Specialist Technology Companies will be divided into two categories:</w:t>
      </w:r>
    </w:p>
    <w:p w:rsidR="00A8228E" w:rsidRDefault="00A8228E" w:rsidP="00A8228E">
      <w:pPr>
        <w:pStyle w:val="a3"/>
        <w:numPr>
          <w:ilvl w:val="0"/>
          <w:numId w:val="20"/>
        </w:numPr>
        <w:ind w:left="851" w:hanging="433"/>
        <w:jc w:val="both"/>
        <w:rPr>
          <w:rFonts w:ascii="Arial" w:hAnsi="Arial" w:cs="Arial"/>
          <w:sz w:val="20"/>
          <w:szCs w:val="20"/>
        </w:rPr>
      </w:pPr>
      <w:r w:rsidRPr="00235DA2">
        <w:rPr>
          <w:rFonts w:ascii="Arial" w:hAnsi="Arial" w:cs="Arial"/>
          <w:sz w:val="20"/>
          <w:szCs w:val="20"/>
        </w:rPr>
        <w:t>Commercial Companies</w:t>
      </w:r>
      <w:r>
        <w:rPr>
          <w:rFonts w:ascii="Arial" w:hAnsi="Arial" w:cs="Arial"/>
          <w:sz w:val="20"/>
          <w:szCs w:val="20"/>
        </w:rPr>
        <w:t xml:space="preserve"> </w:t>
      </w:r>
      <w:r w:rsidRPr="00235DA2">
        <w:rPr>
          <w:rFonts w:ascii="Arial" w:hAnsi="Arial" w:cs="Arial"/>
          <w:sz w:val="20"/>
          <w:szCs w:val="20"/>
        </w:rPr>
        <w:t>- companies that have commercialised their Specialist Technology Products and have generated meaningful revenue; and</w:t>
      </w:r>
    </w:p>
    <w:p w:rsidR="00353ECC" w:rsidRPr="00235DA2" w:rsidRDefault="00353ECC" w:rsidP="00353ECC">
      <w:pPr>
        <w:pStyle w:val="a3"/>
        <w:ind w:left="851"/>
        <w:jc w:val="both"/>
        <w:rPr>
          <w:rFonts w:ascii="Arial" w:hAnsi="Arial" w:cs="Arial"/>
          <w:sz w:val="20"/>
          <w:szCs w:val="20"/>
        </w:rPr>
      </w:pPr>
    </w:p>
    <w:p w:rsidR="00A8228E" w:rsidRPr="00235DA2" w:rsidRDefault="00A8228E" w:rsidP="00A8228E">
      <w:pPr>
        <w:pStyle w:val="a3"/>
        <w:numPr>
          <w:ilvl w:val="0"/>
          <w:numId w:val="20"/>
        </w:numPr>
        <w:ind w:left="851" w:hanging="433"/>
        <w:jc w:val="both"/>
        <w:rPr>
          <w:rFonts w:ascii="Arial" w:hAnsi="Arial" w:cs="Arial"/>
          <w:sz w:val="20"/>
          <w:szCs w:val="20"/>
        </w:rPr>
      </w:pPr>
      <w:r w:rsidRPr="00235DA2">
        <w:rPr>
          <w:rFonts w:ascii="Arial" w:hAnsi="Arial" w:cs="Arial"/>
          <w:sz w:val="20"/>
          <w:szCs w:val="20"/>
        </w:rPr>
        <w:t xml:space="preserve">Pre-Commercial Companies - companies that are primarily engaged in R&amp;D and are raising funds to further their R&amp;D to commercialise their Specialist Technology Products, and/or have not yet generated meaningful revenue. </w:t>
      </w:r>
    </w:p>
    <w:p w:rsidR="00F53EF5" w:rsidRPr="00235DA2" w:rsidRDefault="00353ECC" w:rsidP="00F53EF5">
      <w:pPr>
        <w:jc w:val="both"/>
        <w:rPr>
          <w:rFonts w:ascii="Arial" w:hAnsi="Arial" w:cs="Arial"/>
          <w:sz w:val="20"/>
          <w:szCs w:val="20"/>
        </w:rPr>
      </w:pPr>
      <w:r>
        <w:rPr>
          <w:rFonts w:ascii="Arial" w:hAnsi="Arial" w:cs="Arial"/>
          <w:sz w:val="20"/>
          <w:szCs w:val="20"/>
        </w:rPr>
        <w:t xml:space="preserve">Given the higher risks associated with </w:t>
      </w:r>
      <w:r w:rsidR="00187703" w:rsidRPr="00235DA2">
        <w:rPr>
          <w:rFonts w:ascii="Arial" w:hAnsi="Arial" w:cs="Arial"/>
          <w:sz w:val="20"/>
          <w:szCs w:val="20"/>
        </w:rPr>
        <w:t xml:space="preserve">Pre-Commercial Companies </w:t>
      </w:r>
      <w:r>
        <w:rPr>
          <w:rFonts w:ascii="Arial" w:hAnsi="Arial" w:cs="Arial"/>
          <w:sz w:val="20"/>
          <w:szCs w:val="20"/>
        </w:rPr>
        <w:t>(</w:t>
      </w:r>
      <w:r w:rsidR="00A614DB">
        <w:rPr>
          <w:rFonts w:ascii="Arial" w:hAnsi="Arial" w:cs="Arial"/>
          <w:sz w:val="20"/>
          <w:szCs w:val="20"/>
        </w:rPr>
        <w:t xml:space="preserve">including </w:t>
      </w:r>
      <w:r w:rsidR="00F53EF5" w:rsidRPr="00235DA2">
        <w:rPr>
          <w:rFonts w:ascii="Arial" w:hAnsi="Arial" w:cs="Arial"/>
          <w:sz w:val="20"/>
          <w:szCs w:val="20"/>
        </w:rPr>
        <w:t>inability to commercialise their Specialist Technology Products, corporate failure due to insufficient funding for operations</w:t>
      </w:r>
      <w:r w:rsidR="00A5027B" w:rsidRPr="00235DA2">
        <w:rPr>
          <w:rFonts w:ascii="Arial" w:hAnsi="Arial" w:cs="Arial"/>
          <w:sz w:val="20"/>
          <w:szCs w:val="20"/>
        </w:rPr>
        <w:t>,</w:t>
      </w:r>
      <w:r w:rsidR="00F53EF5" w:rsidRPr="00235DA2">
        <w:rPr>
          <w:rFonts w:ascii="Arial" w:hAnsi="Arial" w:cs="Arial"/>
          <w:sz w:val="20"/>
          <w:szCs w:val="20"/>
        </w:rPr>
        <w:t xml:space="preserve"> and share price </w:t>
      </w:r>
      <w:r w:rsidR="00A614DB">
        <w:rPr>
          <w:rFonts w:ascii="Arial" w:hAnsi="Arial" w:cs="Arial"/>
          <w:sz w:val="20"/>
          <w:szCs w:val="20"/>
        </w:rPr>
        <w:t>volatility and trading illiquidity), t</w:t>
      </w:r>
      <w:r w:rsidR="00655E88" w:rsidRPr="00235DA2">
        <w:rPr>
          <w:rFonts w:ascii="Arial" w:hAnsi="Arial" w:cs="Arial"/>
          <w:sz w:val="20"/>
          <w:szCs w:val="20"/>
        </w:rPr>
        <w:t xml:space="preserve">he </w:t>
      </w:r>
      <w:r w:rsidR="00E86216">
        <w:rPr>
          <w:rFonts w:ascii="Arial" w:hAnsi="Arial" w:cs="Arial"/>
          <w:sz w:val="20"/>
          <w:szCs w:val="20"/>
        </w:rPr>
        <w:t xml:space="preserve">proposed </w:t>
      </w:r>
      <w:r w:rsidR="00655E88" w:rsidRPr="00235DA2">
        <w:rPr>
          <w:rFonts w:ascii="Arial" w:hAnsi="Arial" w:cs="Arial"/>
          <w:sz w:val="20"/>
          <w:szCs w:val="20"/>
        </w:rPr>
        <w:t>requirement</w:t>
      </w:r>
      <w:r w:rsidR="00A614DB">
        <w:rPr>
          <w:rFonts w:ascii="Arial" w:hAnsi="Arial" w:cs="Arial"/>
          <w:sz w:val="20"/>
          <w:szCs w:val="20"/>
        </w:rPr>
        <w:t>s</w:t>
      </w:r>
      <w:r w:rsidR="00655E88" w:rsidRPr="00235DA2">
        <w:rPr>
          <w:rFonts w:ascii="Arial" w:hAnsi="Arial" w:cs="Arial"/>
          <w:sz w:val="20"/>
          <w:szCs w:val="20"/>
        </w:rPr>
        <w:t xml:space="preserve"> for </w:t>
      </w:r>
      <w:r w:rsidR="00187703" w:rsidRPr="00235DA2">
        <w:rPr>
          <w:rFonts w:ascii="Arial" w:hAnsi="Arial" w:cs="Arial"/>
          <w:sz w:val="20"/>
          <w:szCs w:val="20"/>
        </w:rPr>
        <w:t xml:space="preserve">Pre-Commercial Companies </w:t>
      </w:r>
      <w:r w:rsidR="00A614DB">
        <w:rPr>
          <w:rFonts w:ascii="Arial" w:hAnsi="Arial" w:cs="Arial"/>
          <w:sz w:val="20"/>
          <w:szCs w:val="20"/>
        </w:rPr>
        <w:t>are</w:t>
      </w:r>
      <w:r w:rsidR="00655E88" w:rsidRPr="00235DA2">
        <w:rPr>
          <w:rFonts w:ascii="Arial" w:hAnsi="Arial" w:cs="Arial"/>
          <w:sz w:val="20"/>
          <w:szCs w:val="20"/>
        </w:rPr>
        <w:t xml:space="preserve"> more stringent</w:t>
      </w:r>
      <w:r w:rsidR="008F1DE6">
        <w:rPr>
          <w:rFonts w:ascii="Arial" w:hAnsi="Arial" w:cs="Arial"/>
          <w:sz w:val="20"/>
          <w:szCs w:val="20"/>
        </w:rPr>
        <w:t xml:space="preserve"> than for Commercial Companies</w:t>
      </w:r>
      <w:r w:rsidR="00655E88" w:rsidRPr="00235DA2">
        <w:rPr>
          <w:rFonts w:ascii="Arial" w:hAnsi="Arial" w:cs="Arial"/>
          <w:sz w:val="20"/>
          <w:szCs w:val="20"/>
        </w:rPr>
        <w:t>.</w:t>
      </w:r>
      <w:r w:rsidR="00F53EF5" w:rsidRPr="00235DA2">
        <w:rPr>
          <w:rFonts w:ascii="Arial" w:hAnsi="Arial" w:cs="Arial"/>
          <w:sz w:val="20"/>
          <w:szCs w:val="20"/>
        </w:rPr>
        <w:t xml:space="preserve"> </w:t>
      </w:r>
    </w:p>
    <w:p w:rsidR="004A6F2A" w:rsidRPr="00A614DB" w:rsidRDefault="00C23A5E" w:rsidP="003847FE">
      <w:pPr>
        <w:jc w:val="both"/>
        <w:rPr>
          <w:rFonts w:ascii="Arial" w:hAnsi="Arial" w:cs="Arial"/>
          <w:b/>
          <w:color w:val="FF0000"/>
          <w:sz w:val="20"/>
          <w:szCs w:val="20"/>
        </w:rPr>
      </w:pPr>
      <w:r w:rsidRPr="00A614DB">
        <w:rPr>
          <w:rFonts w:ascii="Arial" w:hAnsi="Arial" w:cs="Arial"/>
          <w:b/>
          <w:color w:val="FF0000"/>
          <w:sz w:val="20"/>
          <w:szCs w:val="20"/>
        </w:rPr>
        <w:t>Qualifications for L</w:t>
      </w:r>
      <w:r w:rsidR="003F19D0" w:rsidRPr="00A614DB">
        <w:rPr>
          <w:rFonts w:ascii="Arial" w:hAnsi="Arial" w:cs="Arial"/>
          <w:b/>
          <w:color w:val="FF0000"/>
          <w:sz w:val="20"/>
          <w:szCs w:val="20"/>
        </w:rPr>
        <w:t xml:space="preserve">isting </w:t>
      </w:r>
      <w:r w:rsidR="00A614DB">
        <w:rPr>
          <w:rFonts w:ascii="Arial" w:hAnsi="Arial" w:cs="Arial"/>
          <w:b/>
          <w:color w:val="FF0000"/>
          <w:sz w:val="20"/>
          <w:szCs w:val="20"/>
        </w:rPr>
        <w:t>on HKEX</w:t>
      </w:r>
    </w:p>
    <w:p w:rsidR="00344BDF" w:rsidRPr="00A614DB" w:rsidRDefault="00A614DB" w:rsidP="00F53EF5">
      <w:pPr>
        <w:jc w:val="both"/>
        <w:rPr>
          <w:rFonts w:ascii="Arial" w:hAnsi="Arial" w:cs="Arial"/>
          <w:b/>
          <w:sz w:val="20"/>
          <w:szCs w:val="20"/>
        </w:rPr>
      </w:pPr>
      <w:r>
        <w:rPr>
          <w:rFonts w:ascii="Arial" w:hAnsi="Arial" w:cs="Arial"/>
          <w:b/>
          <w:sz w:val="20"/>
          <w:szCs w:val="20"/>
        </w:rPr>
        <w:t xml:space="preserve">Minimum </w:t>
      </w:r>
      <w:r w:rsidR="00344BDF" w:rsidRPr="00A614DB">
        <w:rPr>
          <w:rFonts w:ascii="Arial" w:hAnsi="Arial" w:cs="Arial"/>
          <w:b/>
          <w:sz w:val="20"/>
          <w:szCs w:val="20"/>
        </w:rPr>
        <w:t xml:space="preserve">Expected Market Capitalisation </w:t>
      </w:r>
    </w:p>
    <w:p w:rsidR="00DA0683" w:rsidRPr="00235DA2" w:rsidRDefault="00F53EF5" w:rsidP="00F53EF5">
      <w:pPr>
        <w:jc w:val="both"/>
        <w:rPr>
          <w:rFonts w:ascii="Arial" w:hAnsi="Arial" w:cs="Arial"/>
          <w:sz w:val="20"/>
          <w:szCs w:val="20"/>
        </w:rPr>
      </w:pPr>
      <w:r w:rsidRPr="00235DA2">
        <w:rPr>
          <w:rFonts w:ascii="Arial" w:hAnsi="Arial" w:cs="Arial"/>
          <w:sz w:val="20"/>
          <w:szCs w:val="20"/>
        </w:rPr>
        <w:t xml:space="preserve">The </w:t>
      </w:r>
      <w:r w:rsidR="00E86216">
        <w:rPr>
          <w:rFonts w:ascii="Arial" w:hAnsi="Arial" w:cs="Arial"/>
          <w:sz w:val="20"/>
          <w:szCs w:val="20"/>
        </w:rPr>
        <w:t>e</w:t>
      </w:r>
      <w:r w:rsidR="00A614DB">
        <w:rPr>
          <w:rFonts w:ascii="Arial" w:hAnsi="Arial" w:cs="Arial"/>
          <w:sz w:val="20"/>
          <w:szCs w:val="20"/>
        </w:rPr>
        <w:t>xpected market capitalis</w:t>
      </w:r>
      <w:r w:rsidR="003F19D0" w:rsidRPr="00235DA2">
        <w:rPr>
          <w:rFonts w:ascii="Arial" w:hAnsi="Arial" w:cs="Arial"/>
          <w:sz w:val="20"/>
          <w:szCs w:val="20"/>
        </w:rPr>
        <w:t xml:space="preserve">ation </w:t>
      </w:r>
      <w:r w:rsidRPr="00235DA2">
        <w:rPr>
          <w:rFonts w:ascii="Arial" w:hAnsi="Arial" w:cs="Arial"/>
          <w:sz w:val="20"/>
          <w:szCs w:val="20"/>
        </w:rPr>
        <w:t xml:space="preserve">for </w:t>
      </w:r>
      <w:r w:rsidR="00DA0683" w:rsidRPr="00235DA2">
        <w:rPr>
          <w:rFonts w:ascii="Arial" w:hAnsi="Arial" w:cs="Arial"/>
          <w:sz w:val="20"/>
          <w:szCs w:val="20"/>
        </w:rPr>
        <w:t xml:space="preserve">Commercial Companies </w:t>
      </w:r>
      <w:r w:rsidR="008C098A">
        <w:rPr>
          <w:rFonts w:ascii="Arial" w:hAnsi="Arial" w:cs="Arial"/>
          <w:sz w:val="20"/>
          <w:szCs w:val="20"/>
        </w:rPr>
        <w:t xml:space="preserve">will be </w:t>
      </w:r>
      <w:r w:rsidRPr="00235DA2">
        <w:rPr>
          <w:rFonts w:ascii="Arial" w:hAnsi="Arial" w:cs="Arial"/>
          <w:sz w:val="20"/>
          <w:szCs w:val="20"/>
        </w:rPr>
        <w:t>a</w:t>
      </w:r>
      <w:r w:rsidR="00A614DB">
        <w:rPr>
          <w:rFonts w:ascii="Arial" w:hAnsi="Arial" w:cs="Arial"/>
          <w:sz w:val="20"/>
          <w:szCs w:val="20"/>
        </w:rPr>
        <w:t>t least HK$</w:t>
      </w:r>
      <w:r w:rsidR="00DA0683" w:rsidRPr="00235DA2">
        <w:rPr>
          <w:rFonts w:ascii="Arial" w:hAnsi="Arial" w:cs="Arial"/>
          <w:sz w:val="20"/>
          <w:szCs w:val="20"/>
        </w:rPr>
        <w:t xml:space="preserve"> 8</w:t>
      </w:r>
      <w:r w:rsidR="00A614DB">
        <w:rPr>
          <w:rFonts w:ascii="Arial" w:hAnsi="Arial" w:cs="Arial"/>
          <w:sz w:val="20"/>
          <w:szCs w:val="20"/>
        </w:rPr>
        <w:t xml:space="preserve"> b</w:t>
      </w:r>
      <w:r w:rsidRPr="00235DA2">
        <w:rPr>
          <w:rFonts w:ascii="Arial" w:hAnsi="Arial" w:cs="Arial"/>
          <w:sz w:val="20"/>
          <w:szCs w:val="20"/>
        </w:rPr>
        <w:t>illion at the time of listing</w:t>
      </w:r>
      <w:r w:rsidR="00A614DB">
        <w:rPr>
          <w:rFonts w:ascii="Arial" w:hAnsi="Arial" w:cs="Arial"/>
          <w:sz w:val="20"/>
          <w:szCs w:val="20"/>
        </w:rPr>
        <w:t>. This is the valuation generally associated with ‘unicorn’</w:t>
      </w:r>
      <w:r w:rsidR="00C770E3">
        <w:rPr>
          <w:rFonts w:ascii="Arial" w:hAnsi="Arial" w:cs="Arial"/>
          <w:sz w:val="20"/>
          <w:szCs w:val="20"/>
        </w:rPr>
        <w:t xml:space="preserve"> companies. </w:t>
      </w:r>
      <w:r w:rsidR="00DA0683" w:rsidRPr="00235DA2">
        <w:rPr>
          <w:rFonts w:ascii="Arial" w:hAnsi="Arial" w:cs="Arial"/>
          <w:sz w:val="20"/>
          <w:szCs w:val="20"/>
        </w:rPr>
        <w:t xml:space="preserve">Pre-Commercial Companies </w:t>
      </w:r>
      <w:r w:rsidR="00C770E3">
        <w:rPr>
          <w:rFonts w:ascii="Arial" w:hAnsi="Arial" w:cs="Arial"/>
          <w:sz w:val="20"/>
          <w:szCs w:val="20"/>
        </w:rPr>
        <w:t>will be required to</w:t>
      </w:r>
      <w:r w:rsidRPr="00235DA2">
        <w:rPr>
          <w:rFonts w:ascii="Arial" w:hAnsi="Arial" w:cs="Arial"/>
          <w:sz w:val="20"/>
          <w:szCs w:val="20"/>
        </w:rPr>
        <w:t xml:space="preserve"> have </w:t>
      </w:r>
      <w:r w:rsidR="00A614DB">
        <w:rPr>
          <w:rFonts w:ascii="Arial" w:hAnsi="Arial" w:cs="Arial"/>
          <w:sz w:val="20"/>
          <w:szCs w:val="20"/>
        </w:rPr>
        <w:t xml:space="preserve">a market capitalisation of </w:t>
      </w:r>
      <w:r w:rsidRPr="00235DA2">
        <w:rPr>
          <w:rFonts w:ascii="Arial" w:hAnsi="Arial" w:cs="Arial"/>
          <w:sz w:val="20"/>
          <w:szCs w:val="20"/>
        </w:rPr>
        <w:t>a</w:t>
      </w:r>
      <w:r w:rsidR="00A614DB">
        <w:rPr>
          <w:rFonts w:ascii="Arial" w:hAnsi="Arial" w:cs="Arial"/>
          <w:sz w:val="20"/>
          <w:szCs w:val="20"/>
        </w:rPr>
        <w:t xml:space="preserve">t least HK$ </w:t>
      </w:r>
      <w:r w:rsidR="00DA0683" w:rsidRPr="00235DA2">
        <w:rPr>
          <w:rFonts w:ascii="Arial" w:hAnsi="Arial" w:cs="Arial"/>
          <w:sz w:val="20"/>
          <w:szCs w:val="20"/>
        </w:rPr>
        <w:t>15 billion at the time of listing</w:t>
      </w:r>
      <w:r w:rsidRPr="00235DA2">
        <w:rPr>
          <w:rFonts w:ascii="Arial" w:hAnsi="Arial" w:cs="Arial"/>
          <w:sz w:val="20"/>
          <w:szCs w:val="20"/>
        </w:rPr>
        <w:t xml:space="preserve">. </w:t>
      </w:r>
    </w:p>
    <w:p w:rsidR="00344BDF" w:rsidRPr="00C770E3" w:rsidRDefault="00344BDF" w:rsidP="00F53EF5">
      <w:pPr>
        <w:jc w:val="both"/>
        <w:rPr>
          <w:rFonts w:ascii="Arial" w:hAnsi="Arial" w:cs="Arial"/>
          <w:b/>
          <w:sz w:val="20"/>
          <w:szCs w:val="20"/>
        </w:rPr>
      </w:pPr>
      <w:r w:rsidRPr="00C770E3">
        <w:rPr>
          <w:rFonts w:ascii="Arial" w:hAnsi="Arial" w:cs="Arial"/>
          <w:b/>
          <w:sz w:val="20"/>
          <w:szCs w:val="20"/>
        </w:rPr>
        <w:t>Revenue</w:t>
      </w:r>
      <w:r w:rsidR="00C770E3">
        <w:rPr>
          <w:rFonts w:ascii="Arial" w:hAnsi="Arial" w:cs="Arial"/>
          <w:b/>
          <w:sz w:val="20"/>
          <w:szCs w:val="20"/>
        </w:rPr>
        <w:t xml:space="preserve"> Requirements</w:t>
      </w:r>
    </w:p>
    <w:p w:rsidR="00C770E3" w:rsidRDefault="00C770E3" w:rsidP="00F53EF5">
      <w:pPr>
        <w:jc w:val="both"/>
        <w:rPr>
          <w:rFonts w:ascii="Arial" w:hAnsi="Arial" w:cs="Arial"/>
          <w:sz w:val="20"/>
          <w:szCs w:val="20"/>
        </w:rPr>
      </w:pPr>
      <w:r>
        <w:rPr>
          <w:rFonts w:ascii="Arial" w:hAnsi="Arial" w:cs="Arial"/>
          <w:b/>
          <w:i/>
          <w:sz w:val="20"/>
          <w:szCs w:val="20"/>
        </w:rPr>
        <w:t xml:space="preserve">Minimum revenue threshold: </w:t>
      </w:r>
      <w:r w:rsidR="00DA0683" w:rsidRPr="00235DA2">
        <w:rPr>
          <w:rFonts w:ascii="Arial" w:hAnsi="Arial" w:cs="Arial"/>
          <w:sz w:val="20"/>
          <w:szCs w:val="20"/>
        </w:rPr>
        <w:t xml:space="preserve">Commercial Companies </w:t>
      </w:r>
      <w:r w:rsidR="00AB6B29">
        <w:rPr>
          <w:rFonts w:ascii="Arial" w:hAnsi="Arial" w:cs="Arial"/>
          <w:sz w:val="20"/>
          <w:szCs w:val="20"/>
        </w:rPr>
        <w:t>will be</w:t>
      </w:r>
      <w:r w:rsidR="00E86216">
        <w:rPr>
          <w:rFonts w:ascii="Arial" w:hAnsi="Arial" w:cs="Arial"/>
          <w:sz w:val="20"/>
          <w:szCs w:val="20"/>
        </w:rPr>
        <w:t xml:space="preserve"> </w:t>
      </w:r>
      <w:r>
        <w:rPr>
          <w:rFonts w:ascii="Arial" w:hAnsi="Arial" w:cs="Arial"/>
          <w:sz w:val="20"/>
          <w:szCs w:val="20"/>
        </w:rPr>
        <w:t>required to have revenue of at least HK$</w:t>
      </w:r>
      <w:r w:rsidR="00E86216">
        <w:rPr>
          <w:rFonts w:ascii="Arial" w:hAnsi="Arial" w:cs="Arial"/>
          <w:sz w:val="20"/>
          <w:szCs w:val="20"/>
        </w:rPr>
        <w:t xml:space="preserve"> </w:t>
      </w:r>
      <w:r w:rsidR="00F53EF5" w:rsidRPr="00235DA2">
        <w:rPr>
          <w:rFonts w:ascii="Arial" w:hAnsi="Arial" w:cs="Arial"/>
          <w:sz w:val="20"/>
          <w:szCs w:val="20"/>
        </w:rPr>
        <w:t>250 million</w:t>
      </w:r>
      <w:r>
        <w:rPr>
          <w:rFonts w:ascii="Arial" w:hAnsi="Arial" w:cs="Arial"/>
          <w:sz w:val="20"/>
          <w:szCs w:val="20"/>
        </w:rPr>
        <w:t xml:space="preserve"> for the most recent audited financial year</w:t>
      </w:r>
      <w:r w:rsidR="00F53EF5" w:rsidRPr="00235DA2">
        <w:rPr>
          <w:rFonts w:ascii="Arial" w:hAnsi="Arial" w:cs="Arial"/>
          <w:sz w:val="20"/>
          <w:szCs w:val="20"/>
        </w:rPr>
        <w:t xml:space="preserve">. </w:t>
      </w:r>
      <w:r>
        <w:rPr>
          <w:rFonts w:ascii="Arial" w:hAnsi="Arial" w:cs="Arial"/>
          <w:sz w:val="20"/>
          <w:szCs w:val="20"/>
        </w:rPr>
        <w:t>T</w:t>
      </w:r>
      <w:r w:rsidR="00F53EF5" w:rsidRPr="00235DA2">
        <w:rPr>
          <w:rFonts w:ascii="Arial" w:hAnsi="Arial" w:cs="Arial"/>
          <w:sz w:val="20"/>
          <w:szCs w:val="20"/>
        </w:rPr>
        <w:t xml:space="preserve">here will be no </w:t>
      </w:r>
      <w:r>
        <w:rPr>
          <w:rFonts w:ascii="Arial" w:hAnsi="Arial" w:cs="Arial"/>
          <w:sz w:val="20"/>
          <w:szCs w:val="20"/>
        </w:rPr>
        <w:t xml:space="preserve">revenue </w:t>
      </w:r>
      <w:r w:rsidR="00F53EF5" w:rsidRPr="00235DA2">
        <w:rPr>
          <w:rFonts w:ascii="Arial" w:hAnsi="Arial" w:cs="Arial"/>
          <w:sz w:val="20"/>
          <w:szCs w:val="20"/>
        </w:rPr>
        <w:t xml:space="preserve">requirement for </w:t>
      </w:r>
      <w:r w:rsidR="00187703" w:rsidRPr="00235DA2">
        <w:rPr>
          <w:rFonts w:ascii="Arial" w:hAnsi="Arial" w:cs="Arial"/>
          <w:sz w:val="20"/>
          <w:szCs w:val="20"/>
        </w:rPr>
        <w:t>Pre-Commercial Companies</w:t>
      </w:r>
      <w:r>
        <w:rPr>
          <w:rFonts w:ascii="Arial" w:hAnsi="Arial" w:cs="Arial"/>
          <w:sz w:val="20"/>
          <w:szCs w:val="20"/>
        </w:rPr>
        <w:t>.</w:t>
      </w:r>
    </w:p>
    <w:p w:rsidR="00DA0683" w:rsidRDefault="00C770E3" w:rsidP="00F53EF5">
      <w:pPr>
        <w:jc w:val="both"/>
        <w:rPr>
          <w:rFonts w:ascii="Arial" w:hAnsi="Arial" w:cs="Arial"/>
          <w:sz w:val="20"/>
          <w:szCs w:val="20"/>
        </w:rPr>
      </w:pPr>
      <w:r>
        <w:rPr>
          <w:rFonts w:ascii="Arial" w:hAnsi="Arial" w:cs="Arial"/>
          <w:b/>
          <w:i/>
          <w:sz w:val="20"/>
          <w:szCs w:val="20"/>
        </w:rPr>
        <w:t>Source of revenue:</w:t>
      </w:r>
      <w:r w:rsidR="00187703" w:rsidRPr="00235DA2">
        <w:rPr>
          <w:rFonts w:ascii="Arial" w:hAnsi="Arial" w:cs="Arial"/>
          <w:sz w:val="20"/>
          <w:szCs w:val="20"/>
        </w:rPr>
        <w:t xml:space="preserve"> </w:t>
      </w:r>
      <w:r>
        <w:rPr>
          <w:rFonts w:ascii="Arial" w:hAnsi="Arial" w:cs="Arial"/>
          <w:sz w:val="20"/>
          <w:szCs w:val="20"/>
        </w:rPr>
        <w:t>In determining whether a company meets the minimum revenue threshold, only revenue arising from the</w:t>
      </w:r>
      <w:r w:rsidR="00660E9F" w:rsidRPr="00235DA2">
        <w:rPr>
          <w:rFonts w:ascii="Arial" w:hAnsi="Arial" w:cs="Arial"/>
          <w:sz w:val="20"/>
          <w:szCs w:val="20"/>
        </w:rPr>
        <w:t xml:space="preserve"> company’s Specialist Technology business segment</w:t>
      </w:r>
      <w:r>
        <w:rPr>
          <w:rFonts w:ascii="Arial" w:hAnsi="Arial" w:cs="Arial"/>
          <w:sz w:val="20"/>
          <w:szCs w:val="20"/>
        </w:rPr>
        <w:t>(s)</w:t>
      </w:r>
      <w:r w:rsidR="00660E9F" w:rsidRPr="00235DA2">
        <w:rPr>
          <w:rFonts w:ascii="Arial" w:hAnsi="Arial" w:cs="Arial"/>
          <w:sz w:val="20"/>
          <w:szCs w:val="20"/>
        </w:rPr>
        <w:t xml:space="preserve"> (and not any inter-segmental revenue from</w:t>
      </w:r>
      <w:r w:rsidR="00AA2920">
        <w:rPr>
          <w:rFonts w:ascii="Arial" w:hAnsi="Arial" w:cs="Arial"/>
          <w:sz w:val="20"/>
          <w:szCs w:val="20"/>
        </w:rPr>
        <w:t xml:space="preserve"> its</w:t>
      </w:r>
      <w:r w:rsidR="00660E9F" w:rsidRPr="00235DA2">
        <w:rPr>
          <w:rFonts w:ascii="Arial" w:hAnsi="Arial" w:cs="Arial"/>
          <w:sz w:val="20"/>
          <w:szCs w:val="20"/>
        </w:rPr>
        <w:t xml:space="preserve"> other business segments</w:t>
      </w:r>
      <w:r w:rsidR="00AA2920">
        <w:rPr>
          <w:rFonts w:ascii="Arial" w:hAnsi="Arial" w:cs="Arial"/>
          <w:sz w:val="20"/>
          <w:szCs w:val="20"/>
        </w:rPr>
        <w:t>)</w:t>
      </w:r>
      <w:r>
        <w:rPr>
          <w:rFonts w:ascii="Arial" w:hAnsi="Arial" w:cs="Arial"/>
          <w:sz w:val="20"/>
          <w:szCs w:val="20"/>
        </w:rPr>
        <w:t xml:space="preserve"> </w:t>
      </w:r>
      <w:r w:rsidR="00AA2920">
        <w:rPr>
          <w:rFonts w:ascii="Arial" w:hAnsi="Arial" w:cs="Arial"/>
          <w:sz w:val="20"/>
          <w:szCs w:val="20"/>
        </w:rPr>
        <w:t>will</w:t>
      </w:r>
      <w:r w:rsidR="00660E9F" w:rsidRPr="00235DA2">
        <w:rPr>
          <w:rFonts w:ascii="Arial" w:hAnsi="Arial" w:cs="Arial"/>
          <w:sz w:val="20"/>
          <w:szCs w:val="20"/>
        </w:rPr>
        <w:t xml:space="preserve"> be recognised</w:t>
      </w:r>
      <w:r w:rsidR="00AA2920">
        <w:rPr>
          <w:rFonts w:ascii="Arial" w:hAnsi="Arial" w:cs="Arial"/>
          <w:sz w:val="20"/>
          <w:szCs w:val="20"/>
        </w:rPr>
        <w:t>.</w:t>
      </w:r>
      <w:r w:rsidR="00AB6B29">
        <w:rPr>
          <w:rFonts w:ascii="Arial" w:hAnsi="Arial" w:cs="Arial"/>
          <w:sz w:val="20"/>
          <w:szCs w:val="20"/>
        </w:rPr>
        <w:t xml:space="preserve"> </w:t>
      </w:r>
      <w:r w:rsidR="00AA2920">
        <w:rPr>
          <w:rFonts w:ascii="Arial" w:hAnsi="Arial" w:cs="Arial"/>
          <w:sz w:val="20"/>
          <w:szCs w:val="20"/>
        </w:rPr>
        <w:t>R</w:t>
      </w:r>
      <w:r w:rsidR="00AA2920" w:rsidRPr="00AA2920">
        <w:rPr>
          <w:rFonts w:ascii="Arial" w:hAnsi="Arial" w:cs="Arial"/>
          <w:sz w:val="20"/>
          <w:szCs w:val="20"/>
        </w:rPr>
        <w:t xml:space="preserve">evenue arising from “book” transactions, such as banner barter transactions, the writing back of accounting provisions and other similar activities resulting from mere book entries, </w:t>
      </w:r>
      <w:r w:rsidR="00AA2920">
        <w:rPr>
          <w:rFonts w:ascii="Arial" w:hAnsi="Arial" w:cs="Arial"/>
          <w:sz w:val="20"/>
          <w:szCs w:val="20"/>
        </w:rPr>
        <w:t xml:space="preserve">must also </w:t>
      </w:r>
      <w:r w:rsidR="00AA2920" w:rsidRPr="00AA2920">
        <w:rPr>
          <w:rFonts w:ascii="Arial" w:hAnsi="Arial" w:cs="Arial"/>
          <w:sz w:val="20"/>
          <w:szCs w:val="20"/>
        </w:rPr>
        <w:t>be disregarded.</w:t>
      </w:r>
      <w:r w:rsidR="00AA2920">
        <w:rPr>
          <w:rFonts w:ascii="Arial" w:hAnsi="Arial" w:cs="Arial"/>
          <w:sz w:val="20"/>
          <w:szCs w:val="20"/>
        </w:rPr>
        <w:t xml:space="preserve"> </w:t>
      </w:r>
    </w:p>
    <w:p w:rsidR="00AA2920" w:rsidRPr="00AA2920" w:rsidRDefault="00AA2920" w:rsidP="00F53EF5">
      <w:pPr>
        <w:jc w:val="both"/>
        <w:rPr>
          <w:rFonts w:ascii="Arial" w:hAnsi="Arial" w:cs="Arial"/>
          <w:sz w:val="20"/>
          <w:szCs w:val="20"/>
        </w:rPr>
      </w:pPr>
      <w:r>
        <w:rPr>
          <w:rFonts w:ascii="Arial" w:hAnsi="Arial" w:cs="Arial"/>
          <w:b/>
          <w:i/>
          <w:sz w:val="20"/>
          <w:szCs w:val="20"/>
        </w:rPr>
        <w:t>Revenue growth:</w:t>
      </w:r>
      <w:r>
        <w:rPr>
          <w:rFonts w:ascii="Arial" w:hAnsi="Arial" w:cs="Arial"/>
          <w:sz w:val="20"/>
          <w:szCs w:val="20"/>
        </w:rPr>
        <w:t xml:space="preserve"> Commercial companies will be required to demonstrate year-on-year growth of revenue derived from the sales of Specialist Technology Product(s) </w:t>
      </w:r>
      <w:r w:rsidR="00A77E13">
        <w:rPr>
          <w:rFonts w:ascii="Arial" w:hAnsi="Arial" w:cs="Arial"/>
          <w:sz w:val="20"/>
          <w:szCs w:val="20"/>
        </w:rPr>
        <w:t xml:space="preserve">throughout </w:t>
      </w:r>
      <w:r>
        <w:rPr>
          <w:rFonts w:ascii="Arial" w:hAnsi="Arial" w:cs="Arial"/>
          <w:sz w:val="20"/>
          <w:szCs w:val="20"/>
        </w:rPr>
        <w:t xml:space="preserve">the track record period, although allowance will be made for temporary declines in revenue due to economic, market or industry-wide conditions. </w:t>
      </w:r>
      <w:r w:rsidR="00D4323A">
        <w:rPr>
          <w:rFonts w:ascii="Arial" w:hAnsi="Arial" w:cs="Arial"/>
          <w:sz w:val="20"/>
          <w:szCs w:val="20"/>
        </w:rPr>
        <w:t xml:space="preserve">Commercial company applicants will be required to explain to the HKEX’s satisfaction, and disclose in their listing documents, the reasons for, and the remedial steps taken (or to be taken) to address, a downward trend in their annual revenue.  </w:t>
      </w:r>
    </w:p>
    <w:p w:rsidR="00344BDF" w:rsidRPr="00D4323A" w:rsidRDefault="00344BDF" w:rsidP="00660E9F">
      <w:pPr>
        <w:jc w:val="both"/>
        <w:rPr>
          <w:rFonts w:ascii="Arial" w:hAnsi="Arial" w:cs="Arial"/>
          <w:b/>
          <w:sz w:val="20"/>
          <w:szCs w:val="20"/>
        </w:rPr>
      </w:pPr>
      <w:r w:rsidRPr="00D4323A">
        <w:rPr>
          <w:rFonts w:ascii="Arial" w:hAnsi="Arial" w:cs="Arial"/>
          <w:b/>
          <w:sz w:val="20"/>
          <w:szCs w:val="20"/>
        </w:rPr>
        <w:t>R&amp;D</w:t>
      </w:r>
      <w:r w:rsidR="00A77E13">
        <w:rPr>
          <w:rFonts w:ascii="Arial" w:hAnsi="Arial" w:cs="Arial"/>
          <w:b/>
          <w:sz w:val="20"/>
          <w:szCs w:val="20"/>
        </w:rPr>
        <w:t xml:space="preserve"> Investment</w:t>
      </w:r>
    </w:p>
    <w:p w:rsidR="006070E1" w:rsidRDefault="008F1DE6" w:rsidP="00660E9F">
      <w:pPr>
        <w:jc w:val="both"/>
        <w:rPr>
          <w:rFonts w:ascii="Arial" w:hAnsi="Arial" w:cs="Arial"/>
          <w:sz w:val="20"/>
          <w:szCs w:val="20"/>
        </w:rPr>
      </w:pPr>
      <w:r>
        <w:rPr>
          <w:rFonts w:ascii="Arial" w:hAnsi="Arial" w:cs="Arial"/>
          <w:sz w:val="20"/>
          <w:szCs w:val="20"/>
        </w:rPr>
        <w:t xml:space="preserve">All Specialist Technology Companies will be required to </w:t>
      </w:r>
      <w:r w:rsidR="00A5027B" w:rsidRPr="00235DA2">
        <w:rPr>
          <w:rFonts w:ascii="Arial" w:hAnsi="Arial" w:cs="Arial"/>
          <w:sz w:val="20"/>
          <w:szCs w:val="20"/>
        </w:rPr>
        <w:t>have</w:t>
      </w:r>
      <w:r w:rsidR="00DA0683" w:rsidRPr="00235DA2">
        <w:rPr>
          <w:rFonts w:ascii="Arial" w:hAnsi="Arial" w:cs="Arial"/>
          <w:sz w:val="20"/>
          <w:szCs w:val="20"/>
        </w:rPr>
        <w:t xml:space="preserve"> </w:t>
      </w:r>
      <w:r>
        <w:rPr>
          <w:rFonts w:ascii="Arial" w:hAnsi="Arial" w:cs="Arial"/>
          <w:sz w:val="20"/>
          <w:szCs w:val="20"/>
        </w:rPr>
        <w:t xml:space="preserve">been </w:t>
      </w:r>
      <w:r w:rsidR="00DA0683" w:rsidRPr="00235DA2">
        <w:rPr>
          <w:rFonts w:ascii="Arial" w:hAnsi="Arial" w:cs="Arial"/>
          <w:sz w:val="20"/>
          <w:szCs w:val="20"/>
        </w:rPr>
        <w:t xml:space="preserve">engaged in R&amp;D </w:t>
      </w:r>
      <w:r>
        <w:rPr>
          <w:rFonts w:ascii="Arial" w:hAnsi="Arial" w:cs="Arial"/>
          <w:sz w:val="20"/>
          <w:szCs w:val="20"/>
        </w:rPr>
        <w:t xml:space="preserve">to develop their Specialist Technology Product(s) </w:t>
      </w:r>
      <w:r w:rsidR="00DA0683" w:rsidRPr="00235DA2">
        <w:rPr>
          <w:rFonts w:ascii="Arial" w:hAnsi="Arial" w:cs="Arial"/>
          <w:sz w:val="20"/>
          <w:szCs w:val="20"/>
        </w:rPr>
        <w:t xml:space="preserve">for at least </w:t>
      </w:r>
      <w:r>
        <w:rPr>
          <w:rFonts w:ascii="Arial" w:hAnsi="Arial" w:cs="Arial"/>
          <w:sz w:val="20"/>
          <w:szCs w:val="20"/>
        </w:rPr>
        <w:t>three</w:t>
      </w:r>
      <w:r w:rsidR="00DA0683" w:rsidRPr="00235DA2">
        <w:rPr>
          <w:rFonts w:ascii="Arial" w:hAnsi="Arial" w:cs="Arial"/>
          <w:sz w:val="20"/>
          <w:szCs w:val="20"/>
        </w:rPr>
        <w:t xml:space="preserve"> financ</w:t>
      </w:r>
      <w:r w:rsidR="006070E1">
        <w:rPr>
          <w:rFonts w:ascii="Arial" w:hAnsi="Arial" w:cs="Arial"/>
          <w:sz w:val="20"/>
          <w:szCs w:val="20"/>
        </w:rPr>
        <w:t xml:space="preserve">ial years prior to listing. </w:t>
      </w:r>
    </w:p>
    <w:p w:rsidR="00660E9F" w:rsidRPr="00235DA2" w:rsidRDefault="008F1DE6" w:rsidP="00660E9F">
      <w:pPr>
        <w:jc w:val="both"/>
        <w:rPr>
          <w:rFonts w:ascii="Arial" w:hAnsi="Arial" w:cs="Arial"/>
          <w:sz w:val="20"/>
          <w:szCs w:val="20"/>
        </w:rPr>
      </w:pPr>
      <w:r>
        <w:rPr>
          <w:rFonts w:ascii="Arial" w:hAnsi="Arial" w:cs="Arial"/>
          <w:sz w:val="20"/>
          <w:szCs w:val="20"/>
        </w:rPr>
        <w:t xml:space="preserve">In addition, </w:t>
      </w:r>
      <w:r w:rsidR="00DA0683" w:rsidRPr="00235DA2">
        <w:rPr>
          <w:rFonts w:ascii="Arial" w:hAnsi="Arial" w:cs="Arial"/>
          <w:sz w:val="20"/>
          <w:szCs w:val="20"/>
        </w:rPr>
        <w:t xml:space="preserve">R&amp;D investment </w:t>
      </w:r>
      <w:r w:rsidR="00A5027B" w:rsidRPr="00235DA2">
        <w:rPr>
          <w:rFonts w:ascii="Arial" w:hAnsi="Arial" w:cs="Arial"/>
          <w:sz w:val="20"/>
          <w:szCs w:val="20"/>
        </w:rPr>
        <w:t>must constitute</w:t>
      </w:r>
      <w:r w:rsidR="00DA0683" w:rsidRPr="00235DA2">
        <w:rPr>
          <w:rFonts w:ascii="Arial" w:hAnsi="Arial" w:cs="Arial"/>
          <w:sz w:val="20"/>
          <w:szCs w:val="20"/>
        </w:rPr>
        <w:t xml:space="preserve"> at least 15% </w:t>
      </w:r>
      <w:r>
        <w:rPr>
          <w:rFonts w:ascii="Arial" w:hAnsi="Arial" w:cs="Arial"/>
          <w:sz w:val="20"/>
          <w:szCs w:val="20"/>
        </w:rPr>
        <w:t xml:space="preserve">(for Commercial Companies) or 50% (for </w:t>
      </w:r>
      <w:r w:rsidRPr="00235DA2">
        <w:rPr>
          <w:rFonts w:ascii="Arial" w:hAnsi="Arial" w:cs="Arial"/>
          <w:sz w:val="20"/>
          <w:szCs w:val="20"/>
        </w:rPr>
        <w:t>Pre-Commercial Companies</w:t>
      </w:r>
      <w:r>
        <w:rPr>
          <w:rFonts w:ascii="Arial" w:hAnsi="Arial" w:cs="Arial"/>
          <w:sz w:val="20"/>
          <w:szCs w:val="20"/>
        </w:rPr>
        <w:t>)</w:t>
      </w:r>
      <w:r w:rsidRPr="00235DA2">
        <w:rPr>
          <w:rFonts w:ascii="Arial" w:hAnsi="Arial" w:cs="Arial"/>
          <w:sz w:val="20"/>
          <w:szCs w:val="20"/>
        </w:rPr>
        <w:t xml:space="preserve"> </w:t>
      </w:r>
      <w:r w:rsidR="00DA0683" w:rsidRPr="00235DA2">
        <w:rPr>
          <w:rFonts w:ascii="Arial" w:hAnsi="Arial" w:cs="Arial"/>
          <w:sz w:val="20"/>
          <w:szCs w:val="20"/>
        </w:rPr>
        <w:t>of total operating expenditure for each of the three financial years prior to listing</w:t>
      </w:r>
      <w:r w:rsidR="00660E9F" w:rsidRPr="00235DA2">
        <w:rPr>
          <w:rFonts w:ascii="Arial" w:hAnsi="Arial" w:cs="Arial"/>
          <w:sz w:val="20"/>
          <w:szCs w:val="20"/>
        </w:rPr>
        <w:t>.</w:t>
      </w:r>
    </w:p>
    <w:p w:rsidR="00655E88" w:rsidRPr="00235DA2" w:rsidRDefault="00970BBE" w:rsidP="00660E9F">
      <w:pPr>
        <w:jc w:val="both"/>
        <w:rPr>
          <w:rFonts w:ascii="Arial" w:hAnsi="Arial" w:cs="Arial"/>
          <w:sz w:val="20"/>
          <w:szCs w:val="20"/>
        </w:rPr>
      </w:pPr>
      <w:r w:rsidRPr="00235DA2">
        <w:rPr>
          <w:rFonts w:ascii="Arial" w:hAnsi="Arial" w:cs="Arial"/>
          <w:sz w:val="20"/>
          <w:szCs w:val="20"/>
        </w:rPr>
        <w:lastRenderedPageBreak/>
        <w:t xml:space="preserve">The </w:t>
      </w:r>
      <w:r w:rsidR="00E34A1A">
        <w:rPr>
          <w:rFonts w:ascii="Arial" w:hAnsi="Arial" w:cs="Arial"/>
          <w:sz w:val="20"/>
          <w:szCs w:val="20"/>
        </w:rPr>
        <w:t xml:space="preserve">amount of R&amp;D investment will include costs that are directly attributable to the Specialist Technology Companies’ R&amp;D activities including development costs that have been capitalised as intangible assets for accounting purposes, but excluding administrative and general costs not clearly related to R&amp;D. The </w:t>
      </w:r>
      <w:r w:rsidRPr="00235DA2">
        <w:rPr>
          <w:rFonts w:ascii="Arial" w:hAnsi="Arial" w:cs="Arial"/>
          <w:sz w:val="20"/>
          <w:szCs w:val="20"/>
        </w:rPr>
        <w:t xml:space="preserve">HKEX expects the </w:t>
      </w:r>
      <w:r w:rsidR="00E34A1A">
        <w:rPr>
          <w:rFonts w:ascii="Arial" w:hAnsi="Arial" w:cs="Arial"/>
          <w:sz w:val="20"/>
          <w:szCs w:val="20"/>
        </w:rPr>
        <w:t>amount of R&amp;D investment</w:t>
      </w:r>
      <w:r w:rsidRPr="00235DA2">
        <w:rPr>
          <w:rFonts w:ascii="Arial" w:hAnsi="Arial" w:cs="Arial"/>
          <w:sz w:val="20"/>
          <w:szCs w:val="20"/>
        </w:rPr>
        <w:t xml:space="preserve"> to </w:t>
      </w:r>
      <w:r w:rsidR="008F1DE6">
        <w:rPr>
          <w:rFonts w:ascii="Arial" w:hAnsi="Arial" w:cs="Arial"/>
          <w:sz w:val="20"/>
          <w:szCs w:val="20"/>
        </w:rPr>
        <w:t xml:space="preserve">consist </w:t>
      </w:r>
      <w:r w:rsidRPr="00235DA2">
        <w:rPr>
          <w:rFonts w:ascii="Arial" w:hAnsi="Arial" w:cs="Arial"/>
          <w:sz w:val="20"/>
          <w:szCs w:val="20"/>
        </w:rPr>
        <w:t>primarily</w:t>
      </w:r>
      <w:r w:rsidR="008F1DE6">
        <w:rPr>
          <w:rFonts w:ascii="Arial" w:hAnsi="Arial" w:cs="Arial"/>
          <w:sz w:val="20"/>
          <w:szCs w:val="20"/>
        </w:rPr>
        <w:t xml:space="preserve"> </w:t>
      </w:r>
      <w:r w:rsidR="00E34A1A">
        <w:rPr>
          <w:rFonts w:ascii="Arial" w:hAnsi="Arial" w:cs="Arial"/>
          <w:sz w:val="20"/>
          <w:szCs w:val="20"/>
        </w:rPr>
        <w:t xml:space="preserve">of the following </w:t>
      </w:r>
      <w:r w:rsidRPr="00235DA2">
        <w:rPr>
          <w:rFonts w:ascii="Arial" w:hAnsi="Arial" w:cs="Arial"/>
          <w:sz w:val="20"/>
          <w:szCs w:val="20"/>
        </w:rPr>
        <w:t>costs</w:t>
      </w:r>
      <w:r w:rsidR="00E34A1A">
        <w:rPr>
          <w:rFonts w:ascii="Arial" w:hAnsi="Arial" w:cs="Arial"/>
          <w:sz w:val="20"/>
          <w:szCs w:val="20"/>
        </w:rPr>
        <w:t>: (i) the costs</w:t>
      </w:r>
      <w:r w:rsidRPr="00235DA2">
        <w:rPr>
          <w:rFonts w:ascii="Arial" w:hAnsi="Arial" w:cs="Arial"/>
          <w:sz w:val="20"/>
          <w:szCs w:val="20"/>
        </w:rPr>
        <w:t xml:space="preserve"> of personn</w:t>
      </w:r>
      <w:r w:rsidR="00E34A1A">
        <w:rPr>
          <w:rFonts w:ascii="Arial" w:hAnsi="Arial" w:cs="Arial"/>
          <w:sz w:val="20"/>
          <w:szCs w:val="20"/>
        </w:rPr>
        <w:t xml:space="preserve">el engaged in R&amp;D activities; (ii) the </w:t>
      </w:r>
      <w:r w:rsidR="00820D57" w:rsidRPr="00235DA2">
        <w:rPr>
          <w:rFonts w:ascii="Arial" w:hAnsi="Arial" w:cs="Arial"/>
          <w:sz w:val="20"/>
          <w:szCs w:val="20"/>
        </w:rPr>
        <w:t>cost</w:t>
      </w:r>
      <w:r w:rsidR="00E34A1A">
        <w:rPr>
          <w:rFonts w:ascii="Arial" w:hAnsi="Arial" w:cs="Arial"/>
          <w:sz w:val="20"/>
          <w:szCs w:val="20"/>
        </w:rPr>
        <w:t>s</w:t>
      </w:r>
      <w:r w:rsidR="00820D57" w:rsidRPr="00235DA2">
        <w:rPr>
          <w:rFonts w:ascii="Arial" w:hAnsi="Arial" w:cs="Arial"/>
          <w:sz w:val="20"/>
          <w:szCs w:val="20"/>
        </w:rPr>
        <w:t xml:space="preserve"> of</w:t>
      </w:r>
      <w:r w:rsidRPr="00235DA2">
        <w:rPr>
          <w:rFonts w:ascii="Arial" w:hAnsi="Arial" w:cs="Arial"/>
          <w:sz w:val="20"/>
          <w:szCs w:val="20"/>
        </w:rPr>
        <w:t xml:space="preserve"> R&amp;D conducted by</w:t>
      </w:r>
      <w:r w:rsidR="00E34A1A">
        <w:rPr>
          <w:rFonts w:ascii="Arial" w:hAnsi="Arial" w:cs="Arial"/>
          <w:sz w:val="20"/>
          <w:szCs w:val="20"/>
        </w:rPr>
        <w:t xml:space="preserve"> others on the company’s behalf;</w:t>
      </w:r>
      <w:r w:rsidRPr="00235DA2">
        <w:rPr>
          <w:rFonts w:ascii="Arial" w:hAnsi="Arial" w:cs="Arial"/>
          <w:sz w:val="20"/>
          <w:szCs w:val="20"/>
        </w:rPr>
        <w:t xml:space="preserve"> </w:t>
      </w:r>
      <w:r w:rsidR="00E34A1A">
        <w:rPr>
          <w:rFonts w:ascii="Arial" w:hAnsi="Arial" w:cs="Arial"/>
          <w:sz w:val="20"/>
          <w:szCs w:val="20"/>
        </w:rPr>
        <w:t xml:space="preserve">(iii) </w:t>
      </w:r>
      <w:r w:rsidRPr="00235DA2">
        <w:rPr>
          <w:rFonts w:ascii="Arial" w:hAnsi="Arial" w:cs="Arial"/>
          <w:sz w:val="20"/>
          <w:szCs w:val="20"/>
        </w:rPr>
        <w:t xml:space="preserve">depreciation, service fees or other </w:t>
      </w:r>
      <w:r w:rsidR="00E34A1A">
        <w:rPr>
          <w:rFonts w:ascii="Arial" w:hAnsi="Arial" w:cs="Arial"/>
          <w:sz w:val="20"/>
          <w:szCs w:val="20"/>
        </w:rPr>
        <w:t>cost</w:t>
      </w:r>
      <w:r w:rsidRPr="00235DA2">
        <w:rPr>
          <w:rFonts w:ascii="Arial" w:hAnsi="Arial" w:cs="Arial"/>
          <w:sz w:val="20"/>
          <w:szCs w:val="20"/>
        </w:rPr>
        <w:t>s directly attributable to the equipment or fa</w:t>
      </w:r>
      <w:r w:rsidR="00E34A1A">
        <w:rPr>
          <w:rFonts w:ascii="Arial" w:hAnsi="Arial" w:cs="Arial"/>
          <w:sz w:val="20"/>
          <w:szCs w:val="20"/>
        </w:rPr>
        <w:t>cilities used in R&amp;D activities; (iv)</w:t>
      </w:r>
      <w:r w:rsidRPr="00235DA2">
        <w:rPr>
          <w:rFonts w:ascii="Arial" w:hAnsi="Arial" w:cs="Arial"/>
          <w:sz w:val="20"/>
          <w:szCs w:val="20"/>
        </w:rPr>
        <w:t xml:space="preserve"> amortisation of intangibles used in R&amp;D activities</w:t>
      </w:r>
      <w:r w:rsidR="00E34A1A">
        <w:rPr>
          <w:rFonts w:ascii="Arial" w:hAnsi="Arial" w:cs="Arial"/>
          <w:sz w:val="20"/>
          <w:szCs w:val="20"/>
        </w:rPr>
        <w:t>;</w:t>
      </w:r>
      <w:r w:rsidRPr="00235DA2">
        <w:rPr>
          <w:rFonts w:ascii="Arial" w:hAnsi="Arial" w:cs="Arial"/>
          <w:sz w:val="20"/>
          <w:szCs w:val="20"/>
        </w:rPr>
        <w:t xml:space="preserve"> and </w:t>
      </w:r>
      <w:r w:rsidR="00E34A1A">
        <w:rPr>
          <w:rFonts w:ascii="Arial" w:hAnsi="Arial" w:cs="Arial"/>
          <w:sz w:val="20"/>
          <w:szCs w:val="20"/>
        </w:rPr>
        <w:t xml:space="preserve">(v) the </w:t>
      </w:r>
      <w:r w:rsidRPr="00235DA2">
        <w:rPr>
          <w:rFonts w:ascii="Arial" w:hAnsi="Arial" w:cs="Arial"/>
          <w:sz w:val="20"/>
          <w:szCs w:val="20"/>
        </w:rPr>
        <w:t>cost</w:t>
      </w:r>
      <w:r w:rsidR="00E34A1A">
        <w:rPr>
          <w:rFonts w:ascii="Arial" w:hAnsi="Arial" w:cs="Arial"/>
          <w:sz w:val="20"/>
          <w:szCs w:val="20"/>
        </w:rPr>
        <w:t>s</w:t>
      </w:r>
      <w:r w:rsidRPr="00235DA2">
        <w:rPr>
          <w:rFonts w:ascii="Arial" w:hAnsi="Arial" w:cs="Arial"/>
          <w:sz w:val="20"/>
          <w:szCs w:val="20"/>
        </w:rPr>
        <w:t xml:space="preserve"> of material</w:t>
      </w:r>
      <w:r w:rsidR="00E34A1A">
        <w:rPr>
          <w:rFonts w:ascii="Arial" w:hAnsi="Arial" w:cs="Arial"/>
          <w:sz w:val="20"/>
          <w:szCs w:val="20"/>
        </w:rPr>
        <w:t>s</w:t>
      </w:r>
      <w:r w:rsidRPr="00235DA2">
        <w:rPr>
          <w:rFonts w:ascii="Arial" w:hAnsi="Arial" w:cs="Arial"/>
          <w:sz w:val="20"/>
          <w:szCs w:val="20"/>
        </w:rPr>
        <w:t xml:space="preserve"> consumed </w:t>
      </w:r>
      <w:r w:rsidR="00E34A1A">
        <w:rPr>
          <w:rFonts w:ascii="Arial" w:hAnsi="Arial" w:cs="Arial"/>
          <w:sz w:val="20"/>
          <w:szCs w:val="20"/>
        </w:rPr>
        <w:t xml:space="preserve">in </w:t>
      </w:r>
      <w:r w:rsidRPr="00235DA2">
        <w:rPr>
          <w:rFonts w:ascii="Arial" w:hAnsi="Arial" w:cs="Arial"/>
          <w:sz w:val="20"/>
          <w:szCs w:val="20"/>
        </w:rPr>
        <w:t xml:space="preserve">R&amp;D activities. </w:t>
      </w:r>
    </w:p>
    <w:p w:rsidR="00344BDF" w:rsidRPr="00E34A1A" w:rsidRDefault="00344BDF" w:rsidP="00660E9F">
      <w:pPr>
        <w:jc w:val="both"/>
        <w:rPr>
          <w:rFonts w:ascii="Arial" w:hAnsi="Arial" w:cs="Arial"/>
          <w:b/>
          <w:sz w:val="20"/>
          <w:szCs w:val="20"/>
        </w:rPr>
      </w:pPr>
      <w:r w:rsidRPr="00E34A1A">
        <w:rPr>
          <w:rFonts w:ascii="Arial" w:hAnsi="Arial" w:cs="Arial"/>
          <w:b/>
          <w:sz w:val="20"/>
          <w:szCs w:val="20"/>
        </w:rPr>
        <w:t>Track Record</w:t>
      </w:r>
      <w:r w:rsidR="00A52062">
        <w:rPr>
          <w:rFonts w:ascii="Arial" w:hAnsi="Arial" w:cs="Arial"/>
          <w:b/>
          <w:sz w:val="20"/>
          <w:szCs w:val="20"/>
        </w:rPr>
        <w:t>, Management and Ownership Continuity</w:t>
      </w:r>
    </w:p>
    <w:p w:rsidR="003776CC" w:rsidRPr="00235DA2" w:rsidRDefault="00A52062" w:rsidP="00660E9F">
      <w:pPr>
        <w:jc w:val="both"/>
        <w:rPr>
          <w:rFonts w:ascii="Arial" w:hAnsi="Arial" w:cs="Arial"/>
          <w:sz w:val="20"/>
          <w:szCs w:val="20"/>
        </w:rPr>
      </w:pPr>
      <w:r>
        <w:rPr>
          <w:rFonts w:ascii="Arial" w:hAnsi="Arial" w:cs="Arial"/>
          <w:sz w:val="20"/>
          <w:szCs w:val="20"/>
        </w:rPr>
        <w:t>Consistent with the req</w:t>
      </w:r>
      <w:r w:rsidR="00CB5549">
        <w:rPr>
          <w:rFonts w:ascii="Arial" w:hAnsi="Arial" w:cs="Arial"/>
          <w:sz w:val="20"/>
          <w:szCs w:val="20"/>
        </w:rPr>
        <w:t>uirements for other Main Board l</w:t>
      </w:r>
      <w:r>
        <w:rPr>
          <w:rFonts w:ascii="Arial" w:hAnsi="Arial" w:cs="Arial"/>
          <w:sz w:val="20"/>
          <w:szCs w:val="20"/>
        </w:rPr>
        <w:t xml:space="preserve">isting applicants, Specialist Technology Companies will need to have </w:t>
      </w:r>
      <w:r w:rsidRPr="00A52062">
        <w:rPr>
          <w:rFonts w:ascii="Arial" w:hAnsi="Arial" w:cs="Arial"/>
          <w:sz w:val="20"/>
          <w:szCs w:val="20"/>
        </w:rPr>
        <w:t>been in operation in their current line of business for at least three financial years prior to listing under substantially the same management</w:t>
      </w:r>
      <w:r>
        <w:rPr>
          <w:rFonts w:ascii="Arial" w:hAnsi="Arial" w:cs="Arial"/>
          <w:sz w:val="20"/>
          <w:szCs w:val="20"/>
        </w:rPr>
        <w:t xml:space="preserve">. As with other issuers, the HKEX </w:t>
      </w:r>
      <w:r w:rsidR="00CB5549">
        <w:rPr>
          <w:rFonts w:ascii="Arial" w:hAnsi="Arial" w:cs="Arial"/>
          <w:sz w:val="20"/>
          <w:szCs w:val="20"/>
        </w:rPr>
        <w:t xml:space="preserve">may </w:t>
      </w:r>
      <w:r>
        <w:rPr>
          <w:rFonts w:ascii="Arial" w:hAnsi="Arial" w:cs="Arial"/>
          <w:sz w:val="20"/>
          <w:szCs w:val="20"/>
        </w:rPr>
        <w:t xml:space="preserve">accept a shorter trading period of at least two financial years in exceptional circumstances. Specialist Technology Companies will also require ownership continuity and control for at least the 12 months before listing. </w:t>
      </w:r>
      <w:r w:rsidRPr="00235DA2">
        <w:rPr>
          <w:rFonts w:ascii="Arial" w:hAnsi="Arial" w:cs="Arial"/>
          <w:sz w:val="20"/>
          <w:szCs w:val="20"/>
        </w:rPr>
        <w:t xml:space="preserve"> </w:t>
      </w:r>
      <w:r w:rsidR="00660E9F" w:rsidRPr="00235DA2">
        <w:rPr>
          <w:rFonts w:ascii="Arial" w:hAnsi="Arial" w:cs="Arial"/>
          <w:sz w:val="20"/>
          <w:szCs w:val="20"/>
        </w:rPr>
        <w:t xml:space="preserve"> </w:t>
      </w:r>
      <w:r w:rsidR="003776CC" w:rsidRPr="00235DA2">
        <w:rPr>
          <w:rFonts w:ascii="Arial" w:hAnsi="Arial" w:cs="Arial"/>
          <w:sz w:val="20"/>
          <w:szCs w:val="20"/>
        </w:rPr>
        <w:t xml:space="preserve"> </w:t>
      </w:r>
    </w:p>
    <w:p w:rsidR="00344BDF" w:rsidRPr="00A52062" w:rsidRDefault="00E27B43" w:rsidP="00344BDF">
      <w:pPr>
        <w:jc w:val="both"/>
        <w:rPr>
          <w:rFonts w:ascii="Arial" w:hAnsi="Arial" w:cs="Arial"/>
          <w:b/>
          <w:sz w:val="20"/>
          <w:szCs w:val="20"/>
        </w:rPr>
      </w:pPr>
      <w:r>
        <w:rPr>
          <w:rFonts w:ascii="Arial" w:hAnsi="Arial" w:cs="Arial"/>
          <w:b/>
          <w:sz w:val="20"/>
          <w:szCs w:val="20"/>
        </w:rPr>
        <w:t xml:space="preserve">Requirement for </w:t>
      </w:r>
      <w:r w:rsidR="00344BDF" w:rsidRPr="00A52062">
        <w:rPr>
          <w:rFonts w:ascii="Arial" w:hAnsi="Arial" w:cs="Arial"/>
          <w:b/>
          <w:sz w:val="20"/>
          <w:szCs w:val="20"/>
        </w:rPr>
        <w:t>Third Party Investment</w:t>
      </w:r>
      <w:r>
        <w:rPr>
          <w:rFonts w:ascii="Arial" w:hAnsi="Arial" w:cs="Arial"/>
          <w:b/>
          <w:sz w:val="20"/>
          <w:szCs w:val="20"/>
        </w:rPr>
        <w:t xml:space="preserve"> </w:t>
      </w:r>
    </w:p>
    <w:p w:rsidR="00AB6B29" w:rsidRDefault="00660E9F" w:rsidP="00344BDF">
      <w:pPr>
        <w:jc w:val="both"/>
        <w:rPr>
          <w:rFonts w:ascii="Arial" w:hAnsi="Arial" w:cs="Arial"/>
          <w:sz w:val="20"/>
          <w:szCs w:val="20"/>
        </w:rPr>
      </w:pPr>
      <w:r w:rsidRPr="00235DA2">
        <w:rPr>
          <w:rFonts w:ascii="Arial" w:hAnsi="Arial" w:cs="Arial"/>
          <w:sz w:val="20"/>
          <w:szCs w:val="20"/>
        </w:rPr>
        <w:t>In terms of t</w:t>
      </w:r>
      <w:r w:rsidR="003F19D0" w:rsidRPr="00235DA2">
        <w:rPr>
          <w:rFonts w:ascii="Arial" w:hAnsi="Arial" w:cs="Arial"/>
          <w:sz w:val="20"/>
          <w:szCs w:val="20"/>
        </w:rPr>
        <w:t>hird party investment</w:t>
      </w:r>
      <w:r w:rsidR="00A52062">
        <w:rPr>
          <w:rFonts w:ascii="Arial" w:hAnsi="Arial" w:cs="Arial"/>
          <w:sz w:val="20"/>
          <w:szCs w:val="20"/>
        </w:rPr>
        <w:t>,</w:t>
      </w:r>
      <w:r w:rsidR="003F19D0" w:rsidRPr="00235DA2">
        <w:rPr>
          <w:rFonts w:ascii="Arial" w:hAnsi="Arial" w:cs="Arial"/>
          <w:sz w:val="20"/>
          <w:szCs w:val="20"/>
        </w:rPr>
        <w:t xml:space="preserve"> </w:t>
      </w:r>
      <w:r w:rsidR="00A52062">
        <w:rPr>
          <w:rFonts w:ascii="Arial" w:hAnsi="Arial" w:cs="Arial"/>
          <w:sz w:val="20"/>
          <w:szCs w:val="20"/>
        </w:rPr>
        <w:t xml:space="preserve">the general requirement is that </w:t>
      </w:r>
      <w:r w:rsidR="00AB6B29">
        <w:rPr>
          <w:rFonts w:ascii="Arial" w:hAnsi="Arial" w:cs="Arial"/>
          <w:sz w:val="20"/>
          <w:szCs w:val="20"/>
        </w:rPr>
        <w:t xml:space="preserve">a </w:t>
      </w:r>
      <w:r w:rsidR="00820D57" w:rsidRPr="00235DA2">
        <w:rPr>
          <w:rFonts w:ascii="Arial" w:hAnsi="Arial" w:cs="Arial"/>
          <w:sz w:val="20"/>
          <w:szCs w:val="20"/>
        </w:rPr>
        <w:t>Specialist Technology Company</w:t>
      </w:r>
      <w:r w:rsidR="003776CC" w:rsidRPr="00235DA2">
        <w:rPr>
          <w:rFonts w:ascii="Arial" w:hAnsi="Arial" w:cs="Arial"/>
          <w:sz w:val="20"/>
          <w:szCs w:val="20"/>
        </w:rPr>
        <w:t xml:space="preserve"> must have received</w:t>
      </w:r>
      <w:r w:rsidR="00C46A5D" w:rsidRPr="00235DA2">
        <w:rPr>
          <w:rFonts w:ascii="Arial" w:hAnsi="Arial" w:cs="Arial"/>
          <w:sz w:val="20"/>
          <w:szCs w:val="20"/>
        </w:rPr>
        <w:t xml:space="preserve"> meaningful investment from at least two Sophisticated Independent Investors</w:t>
      </w:r>
      <w:r w:rsidRPr="00235DA2">
        <w:rPr>
          <w:rFonts w:ascii="Arial" w:hAnsi="Arial" w:cs="Arial"/>
          <w:sz w:val="20"/>
          <w:szCs w:val="20"/>
        </w:rPr>
        <w:t xml:space="preserve"> (</w:t>
      </w:r>
      <w:r w:rsidR="00344BDF" w:rsidRPr="00235DA2">
        <w:rPr>
          <w:rFonts w:ascii="Arial" w:hAnsi="Arial" w:cs="Arial"/>
          <w:b/>
          <w:sz w:val="20"/>
          <w:szCs w:val="20"/>
        </w:rPr>
        <w:t>Pathfinder S</w:t>
      </w:r>
      <w:r w:rsidR="00B322EB" w:rsidRPr="00235DA2">
        <w:rPr>
          <w:rFonts w:ascii="Arial" w:hAnsi="Arial" w:cs="Arial"/>
          <w:b/>
          <w:sz w:val="20"/>
          <w:szCs w:val="20"/>
        </w:rPr>
        <w:t>II</w:t>
      </w:r>
      <w:r w:rsidR="00326C4F">
        <w:rPr>
          <w:rFonts w:ascii="Arial" w:hAnsi="Arial" w:cs="Arial"/>
          <w:b/>
          <w:sz w:val="20"/>
          <w:szCs w:val="20"/>
        </w:rPr>
        <w:t>s</w:t>
      </w:r>
      <w:r w:rsidR="00344BDF" w:rsidRPr="00235DA2">
        <w:rPr>
          <w:rFonts w:ascii="Arial" w:hAnsi="Arial" w:cs="Arial"/>
          <w:sz w:val="20"/>
          <w:szCs w:val="20"/>
        </w:rPr>
        <w:t>)</w:t>
      </w:r>
      <w:r w:rsidR="00C46A5D" w:rsidRPr="00235DA2">
        <w:rPr>
          <w:rFonts w:ascii="Arial" w:hAnsi="Arial" w:cs="Arial"/>
          <w:sz w:val="20"/>
          <w:szCs w:val="20"/>
        </w:rPr>
        <w:t xml:space="preserve"> at least 12 months prior</w:t>
      </w:r>
      <w:r w:rsidR="00344BDF" w:rsidRPr="00235DA2">
        <w:rPr>
          <w:rFonts w:ascii="Arial" w:hAnsi="Arial" w:cs="Arial"/>
          <w:sz w:val="20"/>
          <w:szCs w:val="20"/>
        </w:rPr>
        <w:t xml:space="preserve"> to the date of the listing application. </w:t>
      </w:r>
    </w:p>
    <w:p w:rsidR="00B322EB" w:rsidRPr="00235DA2" w:rsidRDefault="007864B7" w:rsidP="00344BDF">
      <w:pPr>
        <w:jc w:val="both"/>
        <w:rPr>
          <w:rFonts w:ascii="Arial" w:hAnsi="Arial" w:cs="Arial"/>
          <w:sz w:val="20"/>
          <w:szCs w:val="20"/>
        </w:rPr>
      </w:pPr>
      <w:r>
        <w:rPr>
          <w:rFonts w:ascii="Arial" w:hAnsi="Arial" w:cs="Arial"/>
          <w:sz w:val="20"/>
          <w:szCs w:val="20"/>
        </w:rPr>
        <w:t xml:space="preserve">Each </w:t>
      </w:r>
      <w:r w:rsidR="00344BDF" w:rsidRPr="00235DA2">
        <w:rPr>
          <w:rFonts w:ascii="Arial" w:hAnsi="Arial" w:cs="Arial"/>
          <w:sz w:val="20"/>
          <w:szCs w:val="20"/>
        </w:rPr>
        <w:t xml:space="preserve">Pathfinder </w:t>
      </w:r>
      <w:r w:rsidR="00B322EB" w:rsidRPr="00235DA2">
        <w:rPr>
          <w:rFonts w:ascii="Arial" w:hAnsi="Arial" w:cs="Arial"/>
          <w:sz w:val="20"/>
          <w:szCs w:val="20"/>
        </w:rPr>
        <w:t>SII</w:t>
      </w:r>
      <w:r w:rsidR="00C46A5D" w:rsidRPr="00235DA2">
        <w:rPr>
          <w:rFonts w:ascii="Arial" w:hAnsi="Arial" w:cs="Arial"/>
          <w:sz w:val="20"/>
          <w:szCs w:val="20"/>
        </w:rPr>
        <w:t xml:space="preserve"> </w:t>
      </w:r>
      <w:r w:rsidR="00344BDF" w:rsidRPr="00235DA2">
        <w:rPr>
          <w:rFonts w:ascii="Arial" w:hAnsi="Arial" w:cs="Arial"/>
          <w:sz w:val="20"/>
          <w:szCs w:val="20"/>
        </w:rPr>
        <w:t xml:space="preserve">must hold </w:t>
      </w:r>
      <w:r w:rsidR="00C46A5D" w:rsidRPr="00235DA2">
        <w:rPr>
          <w:rFonts w:ascii="Arial" w:hAnsi="Arial" w:cs="Arial"/>
          <w:sz w:val="20"/>
          <w:szCs w:val="20"/>
        </w:rPr>
        <w:t xml:space="preserve">shares or securities convertible into shares equivalent to 5% or more of the issued share capital of the listing applicant as at </w:t>
      </w:r>
      <w:r w:rsidR="00B322EB" w:rsidRPr="00235DA2">
        <w:rPr>
          <w:rFonts w:ascii="Arial" w:hAnsi="Arial" w:cs="Arial"/>
          <w:sz w:val="20"/>
          <w:szCs w:val="20"/>
        </w:rPr>
        <w:t xml:space="preserve">the date of listing application, and continue to hold </w:t>
      </w:r>
      <w:r>
        <w:rPr>
          <w:rFonts w:ascii="Arial" w:hAnsi="Arial" w:cs="Arial"/>
          <w:sz w:val="20"/>
          <w:szCs w:val="20"/>
        </w:rPr>
        <w:t xml:space="preserve">such </w:t>
      </w:r>
      <w:r w:rsidR="00B322EB" w:rsidRPr="00235DA2">
        <w:rPr>
          <w:rFonts w:ascii="Arial" w:hAnsi="Arial" w:cs="Arial"/>
          <w:sz w:val="20"/>
          <w:szCs w:val="20"/>
        </w:rPr>
        <w:t xml:space="preserve">shares </w:t>
      </w:r>
      <w:r>
        <w:rPr>
          <w:rFonts w:ascii="Arial" w:hAnsi="Arial" w:cs="Arial"/>
          <w:sz w:val="20"/>
          <w:szCs w:val="20"/>
        </w:rPr>
        <w:t xml:space="preserve">or securities </w:t>
      </w:r>
      <w:r w:rsidR="00B322EB" w:rsidRPr="00235DA2">
        <w:rPr>
          <w:rFonts w:ascii="Arial" w:hAnsi="Arial" w:cs="Arial"/>
          <w:sz w:val="20"/>
          <w:szCs w:val="20"/>
        </w:rPr>
        <w:t xml:space="preserve">throughout the pre-application 12 month period. </w:t>
      </w:r>
    </w:p>
    <w:p w:rsidR="001134D8" w:rsidRDefault="00344BDF" w:rsidP="001134D8">
      <w:pPr>
        <w:jc w:val="both"/>
        <w:rPr>
          <w:rFonts w:ascii="Arial" w:hAnsi="Arial" w:cs="Arial"/>
          <w:sz w:val="20"/>
          <w:szCs w:val="20"/>
        </w:rPr>
      </w:pPr>
      <w:r w:rsidRPr="00235DA2">
        <w:rPr>
          <w:rFonts w:ascii="Arial" w:hAnsi="Arial" w:cs="Arial"/>
          <w:sz w:val="20"/>
          <w:szCs w:val="20"/>
        </w:rPr>
        <w:t xml:space="preserve">The Specialist Technology Company must also have an </w:t>
      </w:r>
      <w:r w:rsidR="00C46A5D" w:rsidRPr="00235DA2">
        <w:rPr>
          <w:rFonts w:ascii="Arial" w:hAnsi="Arial" w:cs="Arial"/>
          <w:sz w:val="20"/>
          <w:szCs w:val="20"/>
        </w:rPr>
        <w:t xml:space="preserve">aggregate investment from all Sophisticated Independent Investors meeting </w:t>
      </w:r>
      <w:r w:rsidRPr="00235DA2">
        <w:rPr>
          <w:rFonts w:ascii="Arial" w:hAnsi="Arial" w:cs="Arial"/>
          <w:sz w:val="20"/>
          <w:szCs w:val="20"/>
        </w:rPr>
        <w:t>a</w:t>
      </w:r>
      <w:r w:rsidR="00C46A5D" w:rsidRPr="00235DA2">
        <w:rPr>
          <w:rFonts w:ascii="Arial" w:hAnsi="Arial" w:cs="Arial"/>
          <w:sz w:val="20"/>
          <w:szCs w:val="20"/>
        </w:rPr>
        <w:t xml:space="preserve"> prescribed minimum percentage of </w:t>
      </w:r>
      <w:r w:rsidR="001134D8" w:rsidRPr="00235DA2">
        <w:rPr>
          <w:rFonts w:ascii="Arial" w:hAnsi="Arial" w:cs="Arial"/>
          <w:sz w:val="20"/>
          <w:szCs w:val="20"/>
        </w:rPr>
        <w:t>the applicant</w:t>
      </w:r>
      <w:r w:rsidR="001134D8">
        <w:rPr>
          <w:rFonts w:ascii="Arial" w:hAnsi="Arial" w:cs="Arial"/>
          <w:sz w:val="20"/>
          <w:szCs w:val="20"/>
        </w:rPr>
        <w:t>’s</w:t>
      </w:r>
      <w:r w:rsidR="001134D8" w:rsidRPr="00235DA2">
        <w:rPr>
          <w:rFonts w:ascii="Arial" w:hAnsi="Arial" w:cs="Arial"/>
          <w:sz w:val="20"/>
          <w:szCs w:val="20"/>
        </w:rPr>
        <w:t xml:space="preserve"> </w:t>
      </w:r>
      <w:r w:rsidR="00C46A5D" w:rsidRPr="00235DA2">
        <w:rPr>
          <w:rFonts w:ascii="Arial" w:hAnsi="Arial" w:cs="Arial"/>
          <w:sz w:val="20"/>
          <w:szCs w:val="20"/>
        </w:rPr>
        <w:t>issued share capital at the time of listing</w:t>
      </w:r>
      <w:r w:rsidRPr="00235DA2">
        <w:rPr>
          <w:rFonts w:ascii="Arial" w:hAnsi="Arial" w:cs="Arial"/>
          <w:sz w:val="20"/>
          <w:szCs w:val="20"/>
        </w:rPr>
        <w:t xml:space="preserve">. </w:t>
      </w:r>
      <w:r w:rsidR="001134D8">
        <w:rPr>
          <w:rFonts w:ascii="Arial" w:hAnsi="Arial" w:cs="Arial"/>
          <w:sz w:val="20"/>
          <w:szCs w:val="20"/>
        </w:rPr>
        <w:t>Depending</w:t>
      </w:r>
      <w:r w:rsidR="006070E1" w:rsidRPr="00235DA2">
        <w:rPr>
          <w:rFonts w:ascii="Arial" w:hAnsi="Arial" w:cs="Arial"/>
          <w:sz w:val="20"/>
          <w:szCs w:val="20"/>
        </w:rPr>
        <w:t xml:space="preserve"> on the Specialist Technology Company’s expected market capitalisation at listing</w:t>
      </w:r>
      <w:r w:rsidR="00AB6B29">
        <w:rPr>
          <w:rFonts w:ascii="Arial" w:hAnsi="Arial" w:cs="Arial"/>
          <w:sz w:val="20"/>
          <w:szCs w:val="20"/>
        </w:rPr>
        <w:t>, the minimum percentage</w:t>
      </w:r>
      <w:r w:rsidRPr="00235DA2">
        <w:rPr>
          <w:rFonts w:ascii="Arial" w:hAnsi="Arial" w:cs="Arial"/>
          <w:sz w:val="20"/>
          <w:szCs w:val="20"/>
        </w:rPr>
        <w:t xml:space="preserve"> ranges</w:t>
      </w:r>
      <w:r w:rsidR="00E27B43">
        <w:rPr>
          <w:rFonts w:ascii="Arial" w:hAnsi="Arial" w:cs="Arial"/>
          <w:sz w:val="20"/>
          <w:szCs w:val="20"/>
        </w:rPr>
        <w:t xml:space="preserve"> from 10</w:t>
      </w:r>
      <w:r w:rsidRPr="00235DA2">
        <w:rPr>
          <w:rFonts w:ascii="Arial" w:hAnsi="Arial" w:cs="Arial"/>
          <w:sz w:val="20"/>
          <w:szCs w:val="20"/>
        </w:rPr>
        <w:t>%</w:t>
      </w:r>
      <w:r w:rsidR="00E27B43">
        <w:rPr>
          <w:rFonts w:ascii="Arial" w:hAnsi="Arial" w:cs="Arial"/>
          <w:sz w:val="20"/>
          <w:szCs w:val="20"/>
        </w:rPr>
        <w:t xml:space="preserve"> to 20</w:t>
      </w:r>
      <w:r w:rsidRPr="00235DA2">
        <w:rPr>
          <w:rFonts w:ascii="Arial" w:hAnsi="Arial" w:cs="Arial"/>
          <w:sz w:val="20"/>
          <w:szCs w:val="20"/>
        </w:rPr>
        <w:t>% for Commercial Companies and</w:t>
      </w:r>
      <w:r w:rsidR="00E27B43">
        <w:rPr>
          <w:rFonts w:ascii="Arial" w:hAnsi="Arial" w:cs="Arial"/>
          <w:sz w:val="20"/>
          <w:szCs w:val="20"/>
        </w:rPr>
        <w:t xml:space="preserve"> 15</w:t>
      </w:r>
      <w:r w:rsidRPr="00235DA2">
        <w:rPr>
          <w:rFonts w:ascii="Arial" w:hAnsi="Arial" w:cs="Arial"/>
          <w:sz w:val="20"/>
          <w:szCs w:val="20"/>
        </w:rPr>
        <w:t>%</w:t>
      </w:r>
      <w:r w:rsidR="00E27B43">
        <w:rPr>
          <w:rFonts w:ascii="Arial" w:hAnsi="Arial" w:cs="Arial"/>
          <w:sz w:val="20"/>
          <w:szCs w:val="20"/>
        </w:rPr>
        <w:t xml:space="preserve"> to 25</w:t>
      </w:r>
      <w:r w:rsidRPr="00235DA2">
        <w:rPr>
          <w:rFonts w:ascii="Arial" w:hAnsi="Arial" w:cs="Arial"/>
          <w:sz w:val="20"/>
          <w:szCs w:val="20"/>
        </w:rPr>
        <w:t>% for Pre-Commercial Companies</w:t>
      </w:r>
      <w:r w:rsidR="006070E1">
        <w:rPr>
          <w:rFonts w:ascii="Arial" w:hAnsi="Arial" w:cs="Arial"/>
          <w:sz w:val="20"/>
          <w:szCs w:val="20"/>
        </w:rPr>
        <w:t>.</w:t>
      </w:r>
      <w:r w:rsidR="001134D8" w:rsidRPr="00235DA2">
        <w:rPr>
          <w:rFonts w:ascii="Arial" w:hAnsi="Arial" w:cs="Arial"/>
          <w:sz w:val="20"/>
          <w:szCs w:val="20"/>
        </w:rPr>
        <w:t xml:space="preserve"> </w:t>
      </w:r>
    </w:p>
    <w:p w:rsidR="00E27B43" w:rsidRPr="00E27B43" w:rsidRDefault="00E27B43" w:rsidP="001134D8">
      <w:pPr>
        <w:jc w:val="both"/>
        <w:rPr>
          <w:rFonts w:ascii="Arial" w:hAnsi="Arial" w:cs="Arial"/>
          <w:b/>
          <w:sz w:val="20"/>
          <w:szCs w:val="20"/>
        </w:rPr>
      </w:pPr>
      <w:r w:rsidRPr="00E27B43">
        <w:rPr>
          <w:rFonts w:ascii="Arial" w:hAnsi="Arial" w:cs="Arial"/>
          <w:b/>
          <w:sz w:val="20"/>
          <w:szCs w:val="20"/>
        </w:rPr>
        <w:t>Sophisticated Independent Investors</w:t>
      </w:r>
    </w:p>
    <w:p w:rsidR="00970BBE" w:rsidRDefault="00E27B43" w:rsidP="00344BDF">
      <w:pPr>
        <w:jc w:val="both"/>
        <w:rPr>
          <w:rFonts w:ascii="Arial" w:hAnsi="Arial" w:cs="Arial"/>
          <w:sz w:val="20"/>
          <w:szCs w:val="20"/>
        </w:rPr>
      </w:pPr>
      <w:r>
        <w:rPr>
          <w:rFonts w:ascii="Arial" w:hAnsi="Arial" w:cs="Arial"/>
          <w:sz w:val="20"/>
          <w:szCs w:val="20"/>
        </w:rPr>
        <w:t xml:space="preserve">A </w:t>
      </w:r>
      <w:r w:rsidR="00CB5549" w:rsidRPr="00235DA2">
        <w:rPr>
          <w:rFonts w:ascii="Arial" w:hAnsi="Arial" w:cs="Arial"/>
          <w:sz w:val="20"/>
          <w:szCs w:val="20"/>
        </w:rPr>
        <w:t>core connected person</w:t>
      </w:r>
      <w:r w:rsidR="00CB5549">
        <w:rPr>
          <w:rFonts w:ascii="Arial" w:hAnsi="Arial" w:cs="Arial"/>
          <w:sz w:val="20"/>
          <w:szCs w:val="20"/>
        </w:rPr>
        <w:t xml:space="preserve"> of the listing applicant</w:t>
      </w:r>
      <w:r w:rsidR="00CB5549" w:rsidRPr="00235DA2">
        <w:rPr>
          <w:rFonts w:ascii="Arial" w:hAnsi="Arial" w:cs="Arial"/>
          <w:sz w:val="20"/>
          <w:szCs w:val="20"/>
        </w:rPr>
        <w:t xml:space="preserve"> </w:t>
      </w:r>
      <w:r w:rsidR="00CB5549">
        <w:rPr>
          <w:rFonts w:ascii="Arial" w:hAnsi="Arial" w:cs="Arial"/>
          <w:sz w:val="20"/>
          <w:szCs w:val="20"/>
        </w:rPr>
        <w:t xml:space="preserve">cannot be a </w:t>
      </w:r>
      <w:r w:rsidR="00C46A5D" w:rsidRPr="00235DA2">
        <w:rPr>
          <w:rFonts w:ascii="Arial" w:hAnsi="Arial" w:cs="Arial"/>
          <w:sz w:val="20"/>
          <w:szCs w:val="20"/>
        </w:rPr>
        <w:t>Sophistic</w:t>
      </w:r>
      <w:r w:rsidR="00820D57" w:rsidRPr="00235DA2">
        <w:rPr>
          <w:rFonts w:ascii="Arial" w:hAnsi="Arial" w:cs="Arial"/>
          <w:sz w:val="20"/>
          <w:szCs w:val="20"/>
        </w:rPr>
        <w:t>ated Independent Investor</w:t>
      </w:r>
      <w:r w:rsidR="00CB5549">
        <w:rPr>
          <w:rFonts w:ascii="Arial" w:hAnsi="Arial" w:cs="Arial"/>
          <w:sz w:val="20"/>
          <w:szCs w:val="20"/>
        </w:rPr>
        <w:t>.</w:t>
      </w:r>
      <w:r w:rsidR="00820D57" w:rsidRPr="00235DA2">
        <w:rPr>
          <w:rFonts w:ascii="Arial" w:hAnsi="Arial" w:cs="Arial"/>
          <w:sz w:val="20"/>
          <w:szCs w:val="20"/>
        </w:rPr>
        <w:t xml:space="preserve"> </w:t>
      </w:r>
      <w:r>
        <w:rPr>
          <w:rFonts w:ascii="Arial" w:hAnsi="Arial" w:cs="Arial"/>
          <w:sz w:val="20"/>
          <w:szCs w:val="20"/>
        </w:rPr>
        <w:t xml:space="preserve">A substantial shareholder may qualify as a </w:t>
      </w:r>
      <w:r w:rsidRPr="00235DA2">
        <w:rPr>
          <w:rFonts w:ascii="Arial" w:hAnsi="Arial" w:cs="Arial"/>
          <w:sz w:val="20"/>
          <w:szCs w:val="20"/>
        </w:rPr>
        <w:t>Sophisticated Independent Investor</w:t>
      </w:r>
      <w:r w:rsidR="00576703" w:rsidRPr="00235DA2">
        <w:rPr>
          <w:rFonts w:ascii="Arial" w:hAnsi="Arial" w:cs="Arial"/>
          <w:sz w:val="20"/>
          <w:szCs w:val="20"/>
        </w:rPr>
        <w:t xml:space="preserve"> </w:t>
      </w:r>
      <w:r>
        <w:rPr>
          <w:rFonts w:ascii="Arial" w:hAnsi="Arial" w:cs="Arial"/>
          <w:sz w:val="20"/>
          <w:szCs w:val="20"/>
        </w:rPr>
        <w:t xml:space="preserve">if it is a </w:t>
      </w:r>
      <w:r w:rsidR="00576703" w:rsidRPr="00235DA2">
        <w:rPr>
          <w:rFonts w:ascii="Arial" w:hAnsi="Arial" w:cs="Arial"/>
          <w:sz w:val="20"/>
          <w:szCs w:val="20"/>
        </w:rPr>
        <w:t>core connected person only by virtue of the size of its shareholding in the Specialist Technology Company</w:t>
      </w:r>
      <w:r>
        <w:rPr>
          <w:rFonts w:ascii="Arial" w:hAnsi="Arial" w:cs="Arial"/>
          <w:sz w:val="20"/>
          <w:szCs w:val="20"/>
        </w:rPr>
        <w:t xml:space="preserve">, but a </w:t>
      </w:r>
      <w:r w:rsidR="00E63200" w:rsidRPr="00235DA2">
        <w:rPr>
          <w:rFonts w:ascii="Arial" w:hAnsi="Arial" w:cs="Arial"/>
          <w:sz w:val="20"/>
          <w:szCs w:val="20"/>
        </w:rPr>
        <w:t xml:space="preserve">controlling shareholder </w:t>
      </w:r>
      <w:r w:rsidR="003776CC" w:rsidRPr="00235DA2">
        <w:rPr>
          <w:rFonts w:ascii="Arial" w:hAnsi="Arial" w:cs="Arial"/>
          <w:sz w:val="20"/>
          <w:szCs w:val="20"/>
        </w:rPr>
        <w:t>of the l</w:t>
      </w:r>
      <w:r w:rsidR="00970BBE" w:rsidRPr="00235DA2">
        <w:rPr>
          <w:rFonts w:ascii="Arial" w:hAnsi="Arial" w:cs="Arial"/>
          <w:sz w:val="20"/>
          <w:szCs w:val="20"/>
        </w:rPr>
        <w:t>isting applicant</w:t>
      </w:r>
      <w:r>
        <w:rPr>
          <w:rFonts w:ascii="Arial" w:hAnsi="Arial" w:cs="Arial"/>
          <w:sz w:val="20"/>
          <w:szCs w:val="20"/>
        </w:rPr>
        <w:t xml:space="preserve"> cannot be a </w:t>
      </w:r>
      <w:r w:rsidRPr="00235DA2">
        <w:rPr>
          <w:rFonts w:ascii="Arial" w:hAnsi="Arial" w:cs="Arial"/>
          <w:sz w:val="20"/>
          <w:szCs w:val="20"/>
        </w:rPr>
        <w:t>Sophisticated Independent Investor</w:t>
      </w:r>
      <w:r>
        <w:rPr>
          <w:rFonts w:ascii="Arial" w:hAnsi="Arial" w:cs="Arial"/>
          <w:sz w:val="20"/>
          <w:szCs w:val="20"/>
        </w:rPr>
        <w:t xml:space="preserve">. The HKEX will consider whether an investor qualifies as a </w:t>
      </w:r>
      <w:r w:rsidRPr="00235DA2">
        <w:rPr>
          <w:rFonts w:ascii="Arial" w:hAnsi="Arial" w:cs="Arial"/>
          <w:sz w:val="20"/>
          <w:szCs w:val="20"/>
        </w:rPr>
        <w:t>Sophisticated Independent Investor</w:t>
      </w:r>
      <w:r>
        <w:rPr>
          <w:rFonts w:ascii="Arial" w:hAnsi="Arial" w:cs="Arial"/>
          <w:sz w:val="20"/>
          <w:szCs w:val="20"/>
        </w:rPr>
        <w:t xml:space="preserve"> </w:t>
      </w:r>
      <w:r w:rsidRPr="00E27B43">
        <w:rPr>
          <w:rFonts w:ascii="Arial" w:hAnsi="Arial" w:cs="Arial"/>
          <w:sz w:val="20"/>
          <w:szCs w:val="20"/>
        </w:rPr>
        <w:t>on a case-by</w:t>
      </w:r>
      <w:r>
        <w:rPr>
          <w:rFonts w:ascii="Arial" w:hAnsi="Arial" w:cs="Arial"/>
          <w:sz w:val="20"/>
          <w:szCs w:val="20"/>
        </w:rPr>
        <w:t>-</w:t>
      </w:r>
      <w:r w:rsidRPr="00E27B43">
        <w:rPr>
          <w:rFonts w:ascii="Arial" w:hAnsi="Arial" w:cs="Arial"/>
          <w:sz w:val="20"/>
          <w:szCs w:val="20"/>
        </w:rPr>
        <w:t xml:space="preserve">case basis by reference to its relevant investment experience, knowledge and expertise in the relevant field which could be demonstrated by its net assets, </w:t>
      </w:r>
      <w:r w:rsidR="00323436">
        <w:rPr>
          <w:rFonts w:ascii="Arial" w:hAnsi="Arial" w:cs="Arial"/>
          <w:sz w:val="20"/>
          <w:szCs w:val="20"/>
        </w:rPr>
        <w:t>assets under management (</w:t>
      </w:r>
      <w:r w:rsidRPr="00323436">
        <w:rPr>
          <w:rFonts w:ascii="Arial" w:hAnsi="Arial" w:cs="Arial"/>
          <w:b/>
          <w:sz w:val="20"/>
          <w:szCs w:val="20"/>
        </w:rPr>
        <w:t>AUM</w:t>
      </w:r>
      <w:r w:rsidR="00323436">
        <w:rPr>
          <w:rFonts w:ascii="Arial" w:hAnsi="Arial" w:cs="Arial"/>
          <w:sz w:val="20"/>
          <w:szCs w:val="20"/>
        </w:rPr>
        <w:t>)</w:t>
      </w:r>
      <w:r w:rsidRPr="00E27B43">
        <w:rPr>
          <w:rFonts w:ascii="Arial" w:hAnsi="Arial" w:cs="Arial"/>
          <w:sz w:val="20"/>
          <w:szCs w:val="20"/>
        </w:rPr>
        <w:t>, size of its investment portfolio or track record of investments</w:t>
      </w:r>
      <w:r>
        <w:rPr>
          <w:rFonts w:ascii="Arial" w:hAnsi="Arial" w:cs="Arial"/>
          <w:sz w:val="20"/>
          <w:szCs w:val="20"/>
        </w:rPr>
        <w:t>.</w:t>
      </w:r>
      <w:r w:rsidR="00970BBE" w:rsidRPr="00235DA2">
        <w:rPr>
          <w:rFonts w:ascii="Arial" w:hAnsi="Arial" w:cs="Arial"/>
          <w:sz w:val="20"/>
          <w:szCs w:val="20"/>
        </w:rPr>
        <w:t xml:space="preserve"> </w:t>
      </w:r>
    </w:p>
    <w:p w:rsidR="00E27B43" w:rsidRPr="00235DA2" w:rsidRDefault="00E27B43" w:rsidP="00344BDF">
      <w:pPr>
        <w:jc w:val="both"/>
        <w:rPr>
          <w:rFonts w:ascii="Arial" w:hAnsi="Arial" w:cs="Arial"/>
          <w:sz w:val="20"/>
          <w:szCs w:val="20"/>
        </w:rPr>
      </w:pPr>
      <w:r>
        <w:rPr>
          <w:rFonts w:ascii="Arial" w:hAnsi="Arial" w:cs="Arial"/>
          <w:sz w:val="20"/>
          <w:szCs w:val="20"/>
        </w:rPr>
        <w:t xml:space="preserve">The </w:t>
      </w:r>
      <w:r w:rsidR="00323436">
        <w:rPr>
          <w:rFonts w:ascii="Arial" w:hAnsi="Arial" w:cs="Arial"/>
          <w:sz w:val="20"/>
          <w:szCs w:val="20"/>
        </w:rPr>
        <w:t xml:space="preserve">draft guidance letter gives the following illustrative </w:t>
      </w:r>
      <w:r>
        <w:rPr>
          <w:rFonts w:ascii="Arial" w:hAnsi="Arial" w:cs="Arial"/>
          <w:sz w:val="20"/>
          <w:szCs w:val="20"/>
        </w:rPr>
        <w:t xml:space="preserve">examples of </w:t>
      </w:r>
      <w:r w:rsidR="00323436">
        <w:rPr>
          <w:rFonts w:ascii="Arial" w:hAnsi="Arial" w:cs="Arial"/>
          <w:sz w:val="20"/>
          <w:szCs w:val="20"/>
        </w:rPr>
        <w:t>those it would generally consider to be “sophisticated investors”:</w:t>
      </w:r>
    </w:p>
    <w:p w:rsidR="00970BBE" w:rsidRDefault="00843DA5" w:rsidP="00970BBE">
      <w:pPr>
        <w:pStyle w:val="a3"/>
        <w:numPr>
          <w:ilvl w:val="0"/>
          <w:numId w:val="9"/>
        </w:numPr>
        <w:jc w:val="both"/>
        <w:rPr>
          <w:rFonts w:ascii="Arial" w:hAnsi="Arial" w:cs="Arial"/>
          <w:sz w:val="20"/>
          <w:szCs w:val="20"/>
        </w:rPr>
      </w:pPr>
      <w:r w:rsidRPr="00235DA2">
        <w:rPr>
          <w:rFonts w:ascii="Arial" w:hAnsi="Arial" w:cs="Arial"/>
          <w:sz w:val="20"/>
          <w:szCs w:val="20"/>
        </w:rPr>
        <w:t xml:space="preserve">an asset management firm </w:t>
      </w:r>
      <w:r w:rsidR="003776CC" w:rsidRPr="00235DA2">
        <w:rPr>
          <w:rFonts w:ascii="Arial" w:hAnsi="Arial" w:cs="Arial"/>
          <w:sz w:val="20"/>
          <w:szCs w:val="20"/>
        </w:rPr>
        <w:t>with AUM</w:t>
      </w:r>
      <w:r w:rsidR="00970BBE" w:rsidRPr="00235DA2">
        <w:rPr>
          <w:rFonts w:ascii="Arial" w:hAnsi="Arial" w:cs="Arial"/>
          <w:sz w:val="20"/>
          <w:szCs w:val="20"/>
        </w:rPr>
        <w:t xml:space="preserve"> of</w:t>
      </w:r>
      <w:r w:rsidRPr="00235DA2">
        <w:rPr>
          <w:rFonts w:ascii="Arial" w:hAnsi="Arial" w:cs="Arial"/>
          <w:sz w:val="20"/>
          <w:szCs w:val="20"/>
        </w:rPr>
        <w:t>, or a fund with a fund size of,</w:t>
      </w:r>
      <w:r w:rsidR="00323436">
        <w:rPr>
          <w:rFonts w:ascii="Arial" w:hAnsi="Arial" w:cs="Arial"/>
          <w:sz w:val="20"/>
          <w:szCs w:val="20"/>
        </w:rPr>
        <w:t xml:space="preserve"> at least HK$</w:t>
      </w:r>
      <w:r w:rsidR="00820D57" w:rsidRPr="00235DA2">
        <w:rPr>
          <w:rFonts w:ascii="Arial" w:hAnsi="Arial" w:cs="Arial"/>
          <w:sz w:val="20"/>
          <w:szCs w:val="20"/>
        </w:rPr>
        <w:t xml:space="preserve"> 15 b</w:t>
      </w:r>
      <w:r w:rsidR="00970BBE" w:rsidRPr="00235DA2">
        <w:rPr>
          <w:rFonts w:ascii="Arial" w:hAnsi="Arial" w:cs="Arial"/>
          <w:sz w:val="20"/>
          <w:szCs w:val="20"/>
        </w:rPr>
        <w:t xml:space="preserve">illion; </w:t>
      </w:r>
    </w:p>
    <w:p w:rsidR="007B2CB7" w:rsidRPr="00235DA2" w:rsidRDefault="007B2CB7" w:rsidP="007B2CB7">
      <w:pPr>
        <w:pStyle w:val="a3"/>
        <w:ind w:left="781"/>
        <w:jc w:val="both"/>
        <w:rPr>
          <w:rFonts w:ascii="Arial" w:hAnsi="Arial" w:cs="Arial"/>
          <w:sz w:val="20"/>
          <w:szCs w:val="20"/>
        </w:rPr>
      </w:pPr>
    </w:p>
    <w:p w:rsidR="00970BBE" w:rsidRDefault="00FA7FA0" w:rsidP="00970BBE">
      <w:pPr>
        <w:pStyle w:val="a3"/>
        <w:numPr>
          <w:ilvl w:val="0"/>
          <w:numId w:val="9"/>
        </w:numPr>
        <w:jc w:val="both"/>
        <w:rPr>
          <w:rFonts w:ascii="Arial" w:hAnsi="Arial" w:cs="Arial"/>
          <w:sz w:val="20"/>
          <w:szCs w:val="20"/>
        </w:rPr>
      </w:pPr>
      <w:r w:rsidRPr="00235DA2">
        <w:rPr>
          <w:rFonts w:ascii="Arial" w:hAnsi="Arial" w:cs="Arial"/>
          <w:sz w:val="20"/>
          <w:szCs w:val="20"/>
        </w:rPr>
        <w:t>a company with a diverse investment portfolio</w:t>
      </w:r>
      <w:r w:rsidR="00843DA5" w:rsidRPr="00235DA2">
        <w:rPr>
          <w:rStyle w:val="a6"/>
          <w:rFonts w:ascii="Arial" w:hAnsi="Arial" w:cs="Arial"/>
          <w:sz w:val="20"/>
          <w:szCs w:val="20"/>
        </w:rPr>
        <w:footnoteReference w:id="1"/>
      </w:r>
      <w:r w:rsidR="00323436">
        <w:rPr>
          <w:rFonts w:ascii="Arial" w:hAnsi="Arial" w:cs="Arial"/>
          <w:sz w:val="20"/>
          <w:szCs w:val="20"/>
        </w:rPr>
        <w:t xml:space="preserve"> of at least HK$</w:t>
      </w:r>
      <w:r w:rsidR="00970BBE" w:rsidRPr="00235DA2">
        <w:rPr>
          <w:rFonts w:ascii="Arial" w:hAnsi="Arial" w:cs="Arial"/>
          <w:sz w:val="20"/>
          <w:szCs w:val="20"/>
        </w:rPr>
        <w:t xml:space="preserve"> 15 billion; </w:t>
      </w:r>
    </w:p>
    <w:p w:rsidR="007B2CB7" w:rsidRPr="00235DA2" w:rsidRDefault="007B2CB7" w:rsidP="007B2CB7">
      <w:pPr>
        <w:pStyle w:val="a3"/>
        <w:ind w:left="781"/>
        <w:jc w:val="both"/>
        <w:rPr>
          <w:rFonts w:ascii="Arial" w:hAnsi="Arial" w:cs="Arial"/>
          <w:sz w:val="20"/>
          <w:szCs w:val="20"/>
        </w:rPr>
      </w:pPr>
    </w:p>
    <w:p w:rsidR="00970BBE" w:rsidRDefault="00323436" w:rsidP="00970BBE">
      <w:pPr>
        <w:pStyle w:val="a3"/>
        <w:numPr>
          <w:ilvl w:val="0"/>
          <w:numId w:val="9"/>
        </w:numPr>
        <w:jc w:val="both"/>
        <w:rPr>
          <w:rFonts w:ascii="Arial" w:hAnsi="Arial" w:cs="Arial"/>
          <w:sz w:val="20"/>
          <w:szCs w:val="20"/>
        </w:rPr>
      </w:pPr>
      <w:r>
        <w:rPr>
          <w:rFonts w:ascii="Arial" w:hAnsi="Arial" w:cs="Arial"/>
          <w:sz w:val="20"/>
          <w:szCs w:val="20"/>
        </w:rPr>
        <w:t>an investor within</w:t>
      </w:r>
      <w:r w:rsidR="00843DA5" w:rsidRPr="00235DA2">
        <w:rPr>
          <w:rFonts w:ascii="Arial" w:hAnsi="Arial" w:cs="Arial"/>
          <w:sz w:val="20"/>
          <w:szCs w:val="20"/>
        </w:rPr>
        <w:t xml:space="preserve"> a) or b) with an AUM,</w:t>
      </w:r>
      <w:r w:rsidR="00B322EB" w:rsidRPr="00235DA2">
        <w:rPr>
          <w:rFonts w:ascii="Arial" w:hAnsi="Arial" w:cs="Arial"/>
          <w:sz w:val="20"/>
          <w:szCs w:val="20"/>
        </w:rPr>
        <w:t xml:space="preserve"> </w:t>
      </w:r>
      <w:r w:rsidR="00FA7FA0" w:rsidRPr="00235DA2">
        <w:rPr>
          <w:rFonts w:ascii="Arial" w:hAnsi="Arial" w:cs="Arial"/>
          <w:sz w:val="20"/>
          <w:szCs w:val="20"/>
        </w:rPr>
        <w:t xml:space="preserve">fund size or investment portfolio </w:t>
      </w:r>
      <w:r>
        <w:rPr>
          <w:rFonts w:ascii="Arial" w:hAnsi="Arial" w:cs="Arial"/>
          <w:sz w:val="20"/>
          <w:szCs w:val="20"/>
        </w:rPr>
        <w:t>size of at least HK$</w:t>
      </w:r>
      <w:r w:rsidR="00FA7FA0" w:rsidRPr="00235DA2">
        <w:rPr>
          <w:rFonts w:ascii="Arial" w:hAnsi="Arial" w:cs="Arial"/>
          <w:sz w:val="20"/>
          <w:szCs w:val="20"/>
        </w:rPr>
        <w:t xml:space="preserve"> 5 billion derived primarily from Sp</w:t>
      </w:r>
      <w:r w:rsidR="00970BBE" w:rsidRPr="00235DA2">
        <w:rPr>
          <w:rFonts w:ascii="Arial" w:hAnsi="Arial" w:cs="Arial"/>
          <w:sz w:val="20"/>
          <w:szCs w:val="20"/>
        </w:rPr>
        <w:t>ecial</w:t>
      </w:r>
      <w:r w:rsidR="00F03FD3">
        <w:rPr>
          <w:rFonts w:ascii="Arial" w:hAnsi="Arial" w:cs="Arial"/>
          <w:sz w:val="20"/>
          <w:szCs w:val="20"/>
        </w:rPr>
        <w:t>ist</w:t>
      </w:r>
      <w:r w:rsidR="00970BBE" w:rsidRPr="00235DA2">
        <w:rPr>
          <w:rFonts w:ascii="Arial" w:hAnsi="Arial" w:cs="Arial"/>
          <w:sz w:val="20"/>
          <w:szCs w:val="20"/>
        </w:rPr>
        <w:t xml:space="preserve"> Technology investments; and </w:t>
      </w:r>
    </w:p>
    <w:p w:rsidR="007B2CB7" w:rsidRPr="00235DA2" w:rsidRDefault="007B2CB7" w:rsidP="007B2CB7">
      <w:pPr>
        <w:pStyle w:val="a3"/>
        <w:ind w:left="781"/>
        <w:jc w:val="both"/>
        <w:rPr>
          <w:rFonts w:ascii="Arial" w:hAnsi="Arial" w:cs="Arial"/>
          <w:sz w:val="20"/>
          <w:szCs w:val="20"/>
        </w:rPr>
      </w:pPr>
    </w:p>
    <w:p w:rsidR="003776CC" w:rsidRPr="00235DA2" w:rsidRDefault="00C46A5D" w:rsidP="00970BBE">
      <w:pPr>
        <w:pStyle w:val="a3"/>
        <w:numPr>
          <w:ilvl w:val="0"/>
          <w:numId w:val="9"/>
        </w:numPr>
        <w:jc w:val="both"/>
        <w:rPr>
          <w:rFonts w:ascii="Arial" w:hAnsi="Arial" w:cs="Arial"/>
          <w:sz w:val="20"/>
          <w:szCs w:val="20"/>
        </w:rPr>
      </w:pPr>
      <w:r w:rsidRPr="00235DA2">
        <w:rPr>
          <w:rFonts w:ascii="Arial" w:hAnsi="Arial" w:cs="Arial"/>
          <w:sz w:val="20"/>
          <w:szCs w:val="20"/>
        </w:rPr>
        <w:t>a key participant in the relevant upstream or downstream industry with substantial market share and size, as supported by appropriate independe</w:t>
      </w:r>
      <w:r w:rsidR="00970BBE" w:rsidRPr="00235DA2">
        <w:rPr>
          <w:rFonts w:ascii="Arial" w:hAnsi="Arial" w:cs="Arial"/>
          <w:sz w:val="20"/>
          <w:szCs w:val="20"/>
        </w:rPr>
        <w:t>nt market or operational data</w:t>
      </w:r>
      <w:r w:rsidR="00323436">
        <w:rPr>
          <w:rFonts w:ascii="Arial" w:hAnsi="Arial" w:cs="Arial"/>
          <w:sz w:val="20"/>
          <w:szCs w:val="20"/>
        </w:rPr>
        <w:t>.</w:t>
      </w:r>
      <w:r w:rsidR="00970BBE" w:rsidRPr="00235DA2">
        <w:rPr>
          <w:rFonts w:ascii="Arial" w:hAnsi="Arial" w:cs="Arial"/>
          <w:sz w:val="20"/>
          <w:szCs w:val="20"/>
        </w:rPr>
        <w:t xml:space="preserve"> </w:t>
      </w:r>
    </w:p>
    <w:p w:rsidR="00B322EB" w:rsidRPr="00235DA2" w:rsidRDefault="00323436" w:rsidP="00B322EB">
      <w:pPr>
        <w:jc w:val="both"/>
        <w:rPr>
          <w:rFonts w:ascii="Arial" w:hAnsi="Arial" w:cs="Arial"/>
          <w:sz w:val="20"/>
          <w:szCs w:val="20"/>
        </w:rPr>
      </w:pPr>
      <w:r>
        <w:rPr>
          <w:rFonts w:ascii="Arial" w:hAnsi="Arial" w:cs="Arial"/>
          <w:sz w:val="20"/>
          <w:szCs w:val="20"/>
        </w:rPr>
        <w:t xml:space="preserve">The aim of the requirement for minimum investment from </w:t>
      </w:r>
      <w:r w:rsidR="00B322EB" w:rsidRPr="00235DA2">
        <w:rPr>
          <w:rFonts w:ascii="Arial" w:hAnsi="Arial" w:cs="Arial"/>
          <w:sz w:val="20"/>
          <w:szCs w:val="20"/>
        </w:rPr>
        <w:t xml:space="preserve">Pathfinder SIIs </w:t>
      </w:r>
      <w:r>
        <w:rPr>
          <w:rFonts w:ascii="Arial" w:hAnsi="Arial" w:cs="Arial"/>
          <w:sz w:val="20"/>
          <w:szCs w:val="20"/>
        </w:rPr>
        <w:t xml:space="preserve">is to </w:t>
      </w:r>
      <w:r w:rsidR="00B322EB" w:rsidRPr="00235DA2">
        <w:rPr>
          <w:rFonts w:ascii="Arial" w:hAnsi="Arial" w:cs="Arial"/>
          <w:sz w:val="20"/>
          <w:szCs w:val="20"/>
        </w:rPr>
        <w:t>ensure the Specialist Technology Company has been subjected to ext</w:t>
      </w:r>
      <w:r>
        <w:rPr>
          <w:rFonts w:ascii="Arial" w:hAnsi="Arial" w:cs="Arial"/>
          <w:sz w:val="20"/>
          <w:szCs w:val="20"/>
        </w:rPr>
        <w:t xml:space="preserve">ensive due diligence checks before </w:t>
      </w:r>
      <w:r w:rsidR="00B322EB" w:rsidRPr="00235DA2">
        <w:rPr>
          <w:rFonts w:ascii="Arial" w:hAnsi="Arial" w:cs="Arial"/>
          <w:sz w:val="20"/>
          <w:szCs w:val="20"/>
        </w:rPr>
        <w:t xml:space="preserve">listing </w:t>
      </w:r>
      <w:r>
        <w:rPr>
          <w:rFonts w:ascii="Arial" w:hAnsi="Arial" w:cs="Arial"/>
          <w:sz w:val="20"/>
          <w:szCs w:val="20"/>
        </w:rPr>
        <w:t>by investors who have taken significant investment risks</w:t>
      </w:r>
      <w:r w:rsidR="0089118E">
        <w:rPr>
          <w:rFonts w:ascii="Arial" w:hAnsi="Arial" w:cs="Arial"/>
          <w:sz w:val="20"/>
          <w:szCs w:val="20"/>
        </w:rPr>
        <w:t>. The third party investment requirement is also intended to</w:t>
      </w:r>
      <w:r w:rsidR="00B322EB" w:rsidRPr="00235DA2">
        <w:rPr>
          <w:rFonts w:ascii="Arial" w:hAnsi="Arial" w:cs="Arial"/>
          <w:sz w:val="20"/>
          <w:szCs w:val="20"/>
        </w:rPr>
        <w:t xml:space="preserve"> help provide independent third-party validation in the absence of a Competent Authority.  </w:t>
      </w:r>
    </w:p>
    <w:p w:rsidR="00344BDF" w:rsidRPr="00373FCA" w:rsidRDefault="00344BDF" w:rsidP="00344BDF">
      <w:pPr>
        <w:jc w:val="both"/>
        <w:rPr>
          <w:rFonts w:ascii="Arial" w:hAnsi="Arial" w:cs="Arial"/>
          <w:b/>
          <w:color w:val="FF0000"/>
          <w:sz w:val="20"/>
          <w:szCs w:val="20"/>
        </w:rPr>
      </w:pPr>
      <w:r w:rsidRPr="00373FCA">
        <w:rPr>
          <w:rFonts w:ascii="Arial" w:hAnsi="Arial" w:cs="Arial"/>
          <w:b/>
          <w:color w:val="FF0000"/>
          <w:sz w:val="20"/>
          <w:szCs w:val="20"/>
        </w:rPr>
        <w:t xml:space="preserve">Additional Qualification Requirements for </w:t>
      </w:r>
      <w:r w:rsidR="00187703" w:rsidRPr="00373FCA">
        <w:rPr>
          <w:rFonts w:ascii="Arial" w:hAnsi="Arial" w:cs="Arial"/>
          <w:b/>
          <w:color w:val="FF0000"/>
          <w:sz w:val="20"/>
          <w:szCs w:val="20"/>
        </w:rPr>
        <w:t xml:space="preserve">Pre-Commercial Companies </w:t>
      </w:r>
    </w:p>
    <w:p w:rsidR="00373FCA" w:rsidRPr="00373FCA" w:rsidRDefault="00373FCA" w:rsidP="00796D04">
      <w:pPr>
        <w:jc w:val="both"/>
        <w:rPr>
          <w:rFonts w:ascii="Arial" w:hAnsi="Arial" w:cs="Arial"/>
          <w:b/>
          <w:sz w:val="20"/>
          <w:szCs w:val="20"/>
        </w:rPr>
      </w:pPr>
      <w:r w:rsidRPr="00373FCA">
        <w:rPr>
          <w:rFonts w:ascii="Arial" w:hAnsi="Arial" w:cs="Arial"/>
          <w:b/>
          <w:sz w:val="20"/>
          <w:szCs w:val="20"/>
        </w:rPr>
        <w:t>Path to Achieving the Commercialisation Revenue Threshold</w:t>
      </w:r>
    </w:p>
    <w:p w:rsidR="00820D57" w:rsidRPr="00235DA2" w:rsidRDefault="00373FCA" w:rsidP="00796D04">
      <w:pPr>
        <w:jc w:val="both"/>
        <w:rPr>
          <w:rFonts w:ascii="Arial" w:hAnsi="Arial" w:cs="Arial"/>
          <w:sz w:val="20"/>
          <w:szCs w:val="20"/>
        </w:rPr>
      </w:pPr>
      <w:r>
        <w:rPr>
          <w:rFonts w:ascii="Arial" w:hAnsi="Arial" w:cs="Arial"/>
          <w:sz w:val="20"/>
          <w:szCs w:val="20"/>
        </w:rPr>
        <w:t>Pre-Commercial Companies will be required to demonstrate to the HKEX, and disclose in their listing documents,</w:t>
      </w:r>
      <w:r w:rsidR="00C46A5D" w:rsidRPr="00235DA2">
        <w:rPr>
          <w:rFonts w:ascii="Arial" w:hAnsi="Arial" w:cs="Arial"/>
          <w:sz w:val="20"/>
          <w:szCs w:val="20"/>
        </w:rPr>
        <w:t xml:space="preserve"> </w:t>
      </w:r>
      <w:r w:rsidR="003847FE" w:rsidRPr="00235DA2">
        <w:rPr>
          <w:rFonts w:ascii="Arial" w:hAnsi="Arial" w:cs="Arial"/>
          <w:sz w:val="20"/>
          <w:szCs w:val="20"/>
        </w:rPr>
        <w:t xml:space="preserve">a credible path to achieving the Commercialisation Revenue Threshold </w:t>
      </w:r>
      <w:r>
        <w:rPr>
          <w:rFonts w:ascii="Arial" w:hAnsi="Arial" w:cs="Arial"/>
          <w:sz w:val="20"/>
          <w:szCs w:val="20"/>
        </w:rPr>
        <w:t>which means a credible path to achieving the commercialisation of their Specialist Technology Product(s) such that they achieve revenue of at least HK$</w:t>
      </w:r>
      <w:r w:rsidR="006070E1">
        <w:rPr>
          <w:rFonts w:ascii="Arial" w:hAnsi="Arial" w:cs="Arial"/>
          <w:sz w:val="20"/>
          <w:szCs w:val="20"/>
        </w:rPr>
        <w:t xml:space="preserve"> </w:t>
      </w:r>
      <w:r w:rsidR="003847FE" w:rsidRPr="00235DA2">
        <w:rPr>
          <w:rFonts w:ascii="Arial" w:hAnsi="Arial" w:cs="Arial"/>
          <w:sz w:val="20"/>
          <w:szCs w:val="20"/>
        </w:rPr>
        <w:t>250 million from their Specialist Technology business segment for the re</w:t>
      </w:r>
      <w:r>
        <w:rPr>
          <w:rFonts w:ascii="Arial" w:hAnsi="Arial" w:cs="Arial"/>
          <w:sz w:val="20"/>
          <w:szCs w:val="20"/>
        </w:rPr>
        <w:t>levant</w:t>
      </w:r>
      <w:r w:rsidR="003847FE" w:rsidRPr="00235DA2">
        <w:rPr>
          <w:rFonts w:ascii="Arial" w:hAnsi="Arial" w:cs="Arial"/>
          <w:sz w:val="20"/>
          <w:szCs w:val="20"/>
        </w:rPr>
        <w:t xml:space="preserve"> audited financial year.</w:t>
      </w:r>
      <w:r w:rsidR="00344BDF" w:rsidRPr="00235DA2">
        <w:rPr>
          <w:rFonts w:ascii="Arial" w:hAnsi="Arial" w:cs="Arial"/>
          <w:sz w:val="20"/>
          <w:szCs w:val="20"/>
        </w:rPr>
        <w:t xml:space="preserve"> </w:t>
      </w:r>
    </w:p>
    <w:p w:rsidR="005C5B6B" w:rsidRDefault="00344BDF" w:rsidP="00796D04">
      <w:pPr>
        <w:jc w:val="both"/>
        <w:rPr>
          <w:rFonts w:ascii="Arial" w:hAnsi="Arial" w:cs="Arial"/>
          <w:sz w:val="20"/>
          <w:szCs w:val="20"/>
        </w:rPr>
      </w:pPr>
      <w:r w:rsidRPr="00235DA2">
        <w:rPr>
          <w:rFonts w:ascii="Arial" w:hAnsi="Arial" w:cs="Arial"/>
          <w:sz w:val="20"/>
          <w:szCs w:val="20"/>
        </w:rPr>
        <w:t>They will also be required to have available working capital (inclusive of expected IPO proceed</w:t>
      </w:r>
      <w:r w:rsidR="003405F1">
        <w:rPr>
          <w:rFonts w:ascii="Arial" w:hAnsi="Arial" w:cs="Arial"/>
          <w:sz w:val="20"/>
          <w:szCs w:val="20"/>
        </w:rPr>
        <w:t>s) to cover at least 125% of their</w:t>
      </w:r>
      <w:r w:rsidRPr="00235DA2">
        <w:rPr>
          <w:rFonts w:ascii="Arial" w:hAnsi="Arial" w:cs="Arial"/>
          <w:sz w:val="20"/>
          <w:szCs w:val="20"/>
        </w:rPr>
        <w:t xml:space="preserve"> group costs</w:t>
      </w:r>
      <w:r w:rsidR="006070E1">
        <w:rPr>
          <w:rFonts w:ascii="Arial" w:hAnsi="Arial" w:cs="Arial"/>
          <w:sz w:val="20"/>
          <w:szCs w:val="20"/>
        </w:rPr>
        <w:t xml:space="preserve"> (</w:t>
      </w:r>
      <w:r w:rsidR="00576703" w:rsidRPr="00235DA2">
        <w:rPr>
          <w:rFonts w:ascii="Arial" w:hAnsi="Arial" w:cs="Arial"/>
          <w:sz w:val="20"/>
          <w:szCs w:val="20"/>
        </w:rPr>
        <w:t>which should substantially consist of general, administrative and operating costs, and R&amp;D costs</w:t>
      </w:r>
      <w:r w:rsidR="006070E1">
        <w:rPr>
          <w:rFonts w:ascii="Arial" w:hAnsi="Arial" w:cs="Arial"/>
          <w:sz w:val="20"/>
          <w:szCs w:val="20"/>
        </w:rPr>
        <w:t>)</w:t>
      </w:r>
      <w:r w:rsidR="00576703" w:rsidRPr="00235DA2">
        <w:rPr>
          <w:rStyle w:val="a6"/>
          <w:rFonts w:ascii="Arial" w:hAnsi="Arial" w:cs="Arial"/>
          <w:sz w:val="20"/>
          <w:szCs w:val="20"/>
          <w:vertAlign w:val="baseline"/>
        </w:rPr>
        <w:t xml:space="preserve"> </w:t>
      </w:r>
      <w:r w:rsidRPr="00235DA2">
        <w:rPr>
          <w:rFonts w:ascii="Arial" w:hAnsi="Arial" w:cs="Arial"/>
          <w:sz w:val="20"/>
          <w:szCs w:val="20"/>
        </w:rPr>
        <w:t>f</w:t>
      </w:r>
      <w:r w:rsidR="005C5B6B" w:rsidRPr="00235DA2">
        <w:rPr>
          <w:rFonts w:ascii="Arial" w:hAnsi="Arial" w:cs="Arial"/>
          <w:sz w:val="20"/>
          <w:szCs w:val="20"/>
        </w:rPr>
        <w:t>or at least the next 12 months to mitigate the risk of insufficient funding for operations.</w:t>
      </w:r>
    </w:p>
    <w:p w:rsidR="00873290" w:rsidRDefault="00873290" w:rsidP="00796D04">
      <w:pPr>
        <w:jc w:val="both"/>
        <w:rPr>
          <w:rFonts w:ascii="Arial" w:hAnsi="Arial" w:cs="Arial"/>
          <w:sz w:val="20"/>
          <w:szCs w:val="20"/>
        </w:rPr>
      </w:pPr>
      <w:r>
        <w:rPr>
          <w:rFonts w:ascii="Arial" w:hAnsi="Arial" w:cs="Arial"/>
          <w:sz w:val="20"/>
          <w:szCs w:val="20"/>
        </w:rPr>
        <w:t>A credible</w:t>
      </w:r>
      <w:r w:rsidRPr="00873290">
        <w:rPr>
          <w:rFonts w:ascii="Arial" w:hAnsi="Arial" w:cs="Arial"/>
          <w:sz w:val="20"/>
          <w:szCs w:val="20"/>
        </w:rPr>
        <w:t xml:space="preserve"> path to achieving the Commercialisation Revenue Threshold </w:t>
      </w:r>
      <w:r>
        <w:rPr>
          <w:rFonts w:ascii="Arial" w:hAnsi="Arial" w:cs="Arial"/>
          <w:sz w:val="20"/>
          <w:szCs w:val="20"/>
        </w:rPr>
        <w:t xml:space="preserve">may </w:t>
      </w:r>
      <w:r w:rsidRPr="00873290">
        <w:rPr>
          <w:rFonts w:ascii="Arial" w:hAnsi="Arial" w:cs="Arial"/>
          <w:sz w:val="20"/>
          <w:szCs w:val="20"/>
        </w:rPr>
        <w:t xml:space="preserve">be demonstrated, for example, by binding contracts or non-binding framework agreements, </w:t>
      </w:r>
      <w:r w:rsidR="004A0474">
        <w:rPr>
          <w:rFonts w:ascii="Arial" w:hAnsi="Arial" w:cs="Arial"/>
          <w:sz w:val="20"/>
          <w:szCs w:val="20"/>
        </w:rPr>
        <w:t>and details of</w:t>
      </w:r>
      <w:r w:rsidRPr="00873290">
        <w:rPr>
          <w:rFonts w:ascii="Arial" w:hAnsi="Arial" w:cs="Arial"/>
          <w:sz w:val="20"/>
          <w:szCs w:val="20"/>
        </w:rPr>
        <w:t xml:space="preserve"> the timeframe and m</w:t>
      </w:r>
      <w:r w:rsidR="004A0474">
        <w:rPr>
          <w:rFonts w:ascii="Arial" w:hAnsi="Arial" w:cs="Arial"/>
          <w:sz w:val="20"/>
          <w:szCs w:val="20"/>
        </w:rPr>
        <w:t>ilestones for commercialisation</w:t>
      </w:r>
      <w:r w:rsidRPr="00873290">
        <w:rPr>
          <w:rFonts w:ascii="Arial" w:hAnsi="Arial" w:cs="Arial"/>
          <w:sz w:val="20"/>
          <w:szCs w:val="20"/>
        </w:rPr>
        <w:t xml:space="preserve"> of the </w:t>
      </w:r>
      <w:r w:rsidR="004A0474">
        <w:rPr>
          <w:rFonts w:ascii="Arial" w:hAnsi="Arial" w:cs="Arial"/>
          <w:sz w:val="20"/>
          <w:szCs w:val="20"/>
        </w:rPr>
        <w:t xml:space="preserve">applicant’s </w:t>
      </w:r>
      <w:r w:rsidRPr="00873290">
        <w:rPr>
          <w:rFonts w:ascii="Arial" w:hAnsi="Arial" w:cs="Arial"/>
          <w:sz w:val="20"/>
          <w:szCs w:val="20"/>
        </w:rPr>
        <w:t xml:space="preserve">Specialist Technology Product(s). </w:t>
      </w:r>
      <w:r>
        <w:rPr>
          <w:rFonts w:ascii="Arial" w:hAnsi="Arial" w:cs="Arial"/>
          <w:sz w:val="20"/>
          <w:szCs w:val="20"/>
        </w:rPr>
        <w:t xml:space="preserve">These </w:t>
      </w:r>
      <w:r w:rsidRPr="00873290">
        <w:rPr>
          <w:rFonts w:ascii="Arial" w:hAnsi="Arial" w:cs="Arial"/>
          <w:sz w:val="20"/>
          <w:szCs w:val="20"/>
        </w:rPr>
        <w:t xml:space="preserve">binding contracts or non-binding framework agreements should </w:t>
      </w:r>
      <w:r w:rsidR="004A0474">
        <w:rPr>
          <w:rFonts w:ascii="Arial" w:hAnsi="Arial" w:cs="Arial"/>
          <w:sz w:val="20"/>
          <w:szCs w:val="20"/>
        </w:rPr>
        <w:t xml:space="preserve">have as counterparties </w:t>
      </w:r>
      <w:r w:rsidRPr="00873290">
        <w:rPr>
          <w:rFonts w:ascii="Arial" w:hAnsi="Arial" w:cs="Arial"/>
          <w:sz w:val="20"/>
          <w:szCs w:val="20"/>
        </w:rPr>
        <w:t xml:space="preserve">a reasonable number of independent customers </w:t>
      </w:r>
      <w:r w:rsidR="004A0474">
        <w:rPr>
          <w:rFonts w:ascii="Arial" w:hAnsi="Arial" w:cs="Arial"/>
          <w:sz w:val="20"/>
          <w:szCs w:val="20"/>
        </w:rPr>
        <w:t xml:space="preserve">and should relate to </w:t>
      </w:r>
      <w:r w:rsidRPr="00873290">
        <w:rPr>
          <w:rFonts w:ascii="Arial" w:hAnsi="Arial" w:cs="Arial"/>
          <w:sz w:val="20"/>
          <w:szCs w:val="20"/>
        </w:rPr>
        <w:t>the development, testing or sales of the</w:t>
      </w:r>
      <w:r w:rsidR="004A0474">
        <w:rPr>
          <w:rFonts w:ascii="Arial" w:hAnsi="Arial" w:cs="Arial"/>
          <w:sz w:val="20"/>
          <w:szCs w:val="20"/>
        </w:rPr>
        <w:t xml:space="preserve"> applicant’s</w:t>
      </w:r>
      <w:r w:rsidRPr="00873290">
        <w:rPr>
          <w:rFonts w:ascii="Arial" w:hAnsi="Arial" w:cs="Arial"/>
          <w:sz w:val="20"/>
          <w:szCs w:val="20"/>
        </w:rPr>
        <w:t xml:space="preserve"> Specialist Technology Product(s), with a substantial potential aggregate contract value realisable within 24 months</w:t>
      </w:r>
      <w:r>
        <w:rPr>
          <w:rFonts w:ascii="Arial" w:hAnsi="Arial" w:cs="Arial"/>
          <w:sz w:val="20"/>
          <w:szCs w:val="20"/>
        </w:rPr>
        <w:t xml:space="preserve"> from the date of listing. A binding contract or non-binding framework agreement </w:t>
      </w:r>
      <w:r w:rsidRPr="00873290">
        <w:rPr>
          <w:rFonts w:ascii="Arial" w:hAnsi="Arial" w:cs="Arial"/>
          <w:sz w:val="20"/>
          <w:szCs w:val="20"/>
        </w:rPr>
        <w:t>with an expected t</w:t>
      </w:r>
      <w:r w:rsidR="00492C6B">
        <w:rPr>
          <w:rFonts w:ascii="Arial" w:hAnsi="Arial" w:cs="Arial"/>
          <w:sz w:val="20"/>
          <w:szCs w:val="20"/>
        </w:rPr>
        <w:t>imeframe of more than 24 months</w:t>
      </w:r>
      <w:r w:rsidRPr="00873290">
        <w:rPr>
          <w:rFonts w:ascii="Arial" w:hAnsi="Arial" w:cs="Arial"/>
          <w:sz w:val="20"/>
          <w:szCs w:val="20"/>
        </w:rPr>
        <w:t xml:space="preserve"> </w:t>
      </w:r>
      <w:r>
        <w:rPr>
          <w:rFonts w:ascii="Arial" w:hAnsi="Arial" w:cs="Arial"/>
          <w:sz w:val="20"/>
          <w:szCs w:val="20"/>
        </w:rPr>
        <w:t xml:space="preserve">may be accepted by the HKEX in exceptional </w:t>
      </w:r>
      <w:r w:rsidR="00492C6B">
        <w:rPr>
          <w:rFonts w:ascii="Arial" w:hAnsi="Arial" w:cs="Arial"/>
          <w:sz w:val="20"/>
          <w:szCs w:val="20"/>
        </w:rPr>
        <w:t>circumstances where the counter</w:t>
      </w:r>
      <w:r>
        <w:rPr>
          <w:rFonts w:ascii="Arial" w:hAnsi="Arial" w:cs="Arial"/>
          <w:sz w:val="20"/>
          <w:szCs w:val="20"/>
        </w:rPr>
        <w:t>party is an</w:t>
      </w:r>
      <w:r w:rsidRPr="00873290">
        <w:rPr>
          <w:rFonts w:ascii="Arial" w:hAnsi="Arial" w:cs="Arial"/>
          <w:sz w:val="20"/>
          <w:szCs w:val="20"/>
        </w:rPr>
        <w:t xml:space="preserve"> independent</w:t>
      </w:r>
      <w:r>
        <w:rPr>
          <w:rFonts w:ascii="Arial" w:hAnsi="Arial" w:cs="Arial"/>
          <w:sz w:val="20"/>
          <w:szCs w:val="20"/>
        </w:rPr>
        <w:t xml:space="preserve">, </w:t>
      </w:r>
      <w:r w:rsidRPr="00873290">
        <w:rPr>
          <w:rFonts w:ascii="Arial" w:hAnsi="Arial" w:cs="Arial"/>
          <w:sz w:val="20"/>
          <w:szCs w:val="20"/>
        </w:rPr>
        <w:t xml:space="preserve">highly reputable customer. </w:t>
      </w:r>
      <w:r w:rsidR="004A0474">
        <w:rPr>
          <w:rFonts w:ascii="Arial" w:hAnsi="Arial" w:cs="Arial"/>
          <w:sz w:val="20"/>
          <w:szCs w:val="20"/>
        </w:rPr>
        <w:t xml:space="preserve">The independence of </w:t>
      </w:r>
      <w:r>
        <w:rPr>
          <w:rFonts w:ascii="Arial" w:hAnsi="Arial" w:cs="Arial"/>
          <w:sz w:val="20"/>
          <w:szCs w:val="20"/>
        </w:rPr>
        <w:t xml:space="preserve">a </w:t>
      </w:r>
      <w:r w:rsidR="004A0474">
        <w:rPr>
          <w:rFonts w:ascii="Arial" w:hAnsi="Arial" w:cs="Arial"/>
          <w:sz w:val="20"/>
          <w:szCs w:val="20"/>
        </w:rPr>
        <w:t xml:space="preserve">customer </w:t>
      </w:r>
      <w:r>
        <w:rPr>
          <w:rFonts w:ascii="Arial" w:hAnsi="Arial" w:cs="Arial"/>
          <w:sz w:val="20"/>
          <w:szCs w:val="20"/>
        </w:rPr>
        <w:t xml:space="preserve">will be assessed in the same way as for </w:t>
      </w:r>
      <w:r w:rsidRPr="00873290">
        <w:rPr>
          <w:rFonts w:ascii="Arial" w:hAnsi="Arial" w:cs="Arial"/>
          <w:sz w:val="20"/>
          <w:szCs w:val="20"/>
        </w:rPr>
        <w:t>Sophisticated Independent Investor</w:t>
      </w:r>
      <w:r>
        <w:rPr>
          <w:rFonts w:ascii="Arial" w:hAnsi="Arial" w:cs="Arial"/>
          <w:sz w:val="20"/>
          <w:szCs w:val="20"/>
        </w:rPr>
        <w:t>s.</w:t>
      </w:r>
      <w:r w:rsidRPr="00873290">
        <w:rPr>
          <w:rFonts w:ascii="Arial" w:hAnsi="Arial" w:cs="Arial"/>
          <w:sz w:val="20"/>
          <w:szCs w:val="20"/>
        </w:rPr>
        <w:t xml:space="preserve"> </w:t>
      </w:r>
      <w:r>
        <w:rPr>
          <w:rFonts w:ascii="Arial" w:hAnsi="Arial" w:cs="Arial"/>
          <w:sz w:val="20"/>
          <w:szCs w:val="20"/>
        </w:rPr>
        <w:t>A</w:t>
      </w:r>
      <w:r w:rsidRPr="00873290">
        <w:rPr>
          <w:rFonts w:ascii="Arial" w:hAnsi="Arial" w:cs="Arial"/>
          <w:sz w:val="20"/>
          <w:szCs w:val="20"/>
        </w:rPr>
        <w:t xml:space="preserve"> “highly reputable customer” means: (i) a key market participant in the relevant upstream or downstream industry with substantial market share, as supported by appropriate independent market or ope</w:t>
      </w:r>
      <w:r w:rsidR="000A053E">
        <w:rPr>
          <w:rFonts w:ascii="Arial" w:hAnsi="Arial" w:cs="Arial"/>
          <w:sz w:val="20"/>
          <w:szCs w:val="20"/>
        </w:rPr>
        <w:t>rational data; or (ii) a State or State corporation</w:t>
      </w:r>
      <w:r w:rsidRPr="00873290">
        <w:rPr>
          <w:rFonts w:ascii="Arial" w:hAnsi="Arial" w:cs="Arial"/>
          <w:sz w:val="20"/>
          <w:szCs w:val="20"/>
        </w:rPr>
        <w:t xml:space="preserve"> as defined </w:t>
      </w:r>
      <w:r w:rsidR="00492C6B">
        <w:rPr>
          <w:rFonts w:ascii="Arial" w:hAnsi="Arial" w:cs="Arial"/>
          <w:sz w:val="20"/>
          <w:szCs w:val="20"/>
        </w:rPr>
        <w:t xml:space="preserve">in </w:t>
      </w:r>
      <w:r w:rsidRPr="00873290">
        <w:rPr>
          <w:rFonts w:ascii="Arial" w:hAnsi="Arial" w:cs="Arial"/>
          <w:sz w:val="20"/>
          <w:szCs w:val="20"/>
        </w:rPr>
        <w:t xml:space="preserve">the </w:t>
      </w:r>
      <w:r w:rsidR="000A053E">
        <w:rPr>
          <w:rFonts w:ascii="Arial" w:hAnsi="Arial" w:cs="Arial"/>
          <w:sz w:val="20"/>
          <w:szCs w:val="20"/>
        </w:rPr>
        <w:t xml:space="preserve">HKEX </w:t>
      </w:r>
      <w:r w:rsidRPr="00873290">
        <w:rPr>
          <w:rFonts w:ascii="Arial" w:hAnsi="Arial" w:cs="Arial"/>
          <w:sz w:val="20"/>
          <w:szCs w:val="20"/>
        </w:rPr>
        <w:t xml:space="preserve">Listing Rules. </w:t>
      </w:r>
    </w:p>
    <w:p w:rsidR="005C5B6B" w:rsidRPr="003405F1" w:rsidRDefault="005C5B6B" w:rsidP="00344BDF">
      <w:pPr>
        <w:jc w:val="both"/>
        <w:rPr>
          <w:rFonts w:ascii="Arial" w:hAnsi="Arial" w:cs="Arial"/>
          <w:b/>
          <w:sz w:val="20"/>
          <w:szCs w:val="20"/>
        </w:rPr>
      </w:pPr>
      <w:r w:rsidRPr="003405F1">
        <w:rPr>
          <w:rFonts w:ascii="Arial" w:hAnsi="Arial" w:cs="Arial"/>
          <w:b/>
          <w:sz w:val="20"/>
          <w:szCs w:val="20"/>
        </w:rPr>
        <w:t xml:space="preserve">Specialist Technology Companies with a WVR Structure </w:t>
      </w:r>
    </w:p>
    <w:p w:rsidR="00103EC7" w:rsidRDefault="00534830" w:rsidP="00344BDF">
      <w:pPr>
        <w:jc w:val="both"/>
        <w:rPr>
          <w:rFonts w:ascii="Arial" w:hAnsi="Arial" w:cs="Arial"/>
          <w:sz w:val="20"/>
          <w:szCs w:val="20"/>
        </w:rPr>
      </w:pPr>
      <w:r w:rsidRPr="00235DA2">
        <w:rPr>
          <w:rFonts w:ascii="Arial" w:hAnsi="Arial" w:cs="Arial"/>
          <w:sz w:val="20"/>
          <w:szCs w:val="20"/>
        </w:rPr>
        <w:t xml:space="preserve">The HKEX sees no new or exceptional circumstances arising from the Specialist Technology Company regime that would require any changes to the existing WVR Listing Rule requirements. This means a Specialist Technology Company </w:t>
      </w:r>
      <w:r w:rsidR="003405F1">
        <w:rPr>
          <w:rFonts w:ascii="Arial" w:hAnsi="Arial" w:cs="Arial"/>
          <w:sz w:val="20"/>
          <w:szCs w:val="20"/>
        </w:rPr>
        <w:t xml:space="preserve">listing with </w:t>
      </w:r>
      <w:r w:rsidRPr="00235DA2">
        <w:rPr>
          <w:rFonts w:ascii="Arial" w:hAnsi="Arial" w:cs="Arial"/>
          <w:sz w:val="20"/>
          <w:szCs w:val="20"/>
        </w:rPr>
        <w:t xml:space="preserve">a WVR structure will </w:t>
      </w:r>
      <w:r w:rsidR="003405F1">
        <w:rPr>
          <w:rFonts w:ascii="Arial" w:hAnsi="Arial" w:cs="Arial"/>
          <w:sz w:val="20"/>
          <w:szCs w:val="20"/>
        </w:rPr>
        <w:t>have to meet the HK$</w:t>
      </w:r>
      <w:r w:rsidR="006070E1">
        <w:rPr>
          <w:rFonts w:ascii="Arial" w:hAnsi="Arial" w:cs="Arial"/>
          <w:sz w:val="20"/>
          <w:szCs w:val="20"/>
        </w:rPr>
        <w:t xml:space="preserve"> </w:t>
      </w:r>
      <w:r w:rsidRPr="00235DA2">
        <w:rPr>
          <w:rFonts w:ascii="Arial" w:hAnsi="Arial" w:cs="Arial"/>
          <w:sz w:val="20"/>
          <w:szCs w:val="20"/>
        </w:rPr>
        <w:t xml:space="preserve">40 billion </w:t>
      </w:r>
      <w:r w:rsidR="003405F1">
        <w:rPr>
          <w:rFonts w:ascii="Arial" w:hAnsi="Arial" w:cs="Arial"/>
          <w:sz w:val="20"/>
          <w:szCs w:val="20"/>
        </w:rPr>
        <w:t xml:space="preserve">or HK$10 billion (if it has revenue of at least HK$ 1 billion in its most recent audited financial year) </w:t>
      </w:r>
      <w:r w:rsidRPr="00235DA2">
        <w:rPr>
          <w:rFonts w:ascii="Arial" w:hAnsi="Arial" w:cs="Arial"/>
          <w:sz w:val="20"/>
          <w:szCs w:val="20"/>
        </w:rPr>
        <w:t xml:space="preserve">market capitalisation </w:t>
      </w:r>
      <w:r w:rsidR="003405F1">
        <w:rPr>
          <w:rFonts w:ascii="Arial" w:hAnsi="Arial" w:cs="Arial"/>
          <w:sz w:val="20"/>
          <w:szCs w:val="20"/>
        </w:rPr>
        <w:t>requirement</w:t>
      </w:r>
      <w:r w:rsidRPr="00235DA2">
        <w:rPr>
          <w:rFonts w:ascii="Arial" w:hAnsi="Arial" w:cs="Arial"/>
          <w:sz w:val="20"/>
          <w:szCs w:val="20"/>
        </w:rPr>
        <w:t xml:space="preserve">. </w:t>
      </w:r>
      <w:r w:rsidR="00103EC7">
        <w:rPr>
          <w:rFonts w:ascii="Arial" w:hAnsi="Arial" w:cs="Arial"/>
          <w:sz w:val="20"/>
          <w:szCs w:val="20"/>
        </w:rPr>
        <w:t xml:space="preserve">Since </w:t>
      </w:r>
      <w:r w:rsidR="00103EC7" w:rsidRPr="00103EC7">
        <w:rPr>
          <w:rFonts w:ascii="Arial" w:hAnsi="Arial" w:cs="Arial"/>
          <w:sz w:val="20"/>
          <w:szCs w:val="20"/>
        </w:rPr>
        <w:t>applicants will be either Pre-Commercial Companies with less than HK$</w:t>
      </w:r>
      <w:r w:rsidR="00103EC7">
        <w:rPr>
          <w:rFonts w:ascii="Arial" w:hAnsi="Arial" w:cs="Arial"/>
          <w:sz w:val="20"/>
          <w:szCs w:val="20"/>
        </w:rPr>
        <w:t xml:space="preserve"> </w:t>
      </w:r>
      <w:r w:rsidR="00103EC7" w:rsidRPr="00103EC7">
        <w:rPr>
          <w:rFonts w:ascii="Arial" w:hAnsi="Arial" w:cs="Arial"/>
          <w:sz w:val="20"/>
          <w:szCs w:val="20"/>
        </w:rPr>
        <w:t xml:space="preserve">250 million in annual revenue or Commercial Companies that </w:t>
      </w:r>
      <w:r w:rsidR="00103EC7">
        <w:rPr>
          <w:rFonts w:ascii="Arial" w:hAnsi="Arial" w:cs="Arial"/>
          <w:sz w:val="20"/>
          <w:szCs w:val="20"/>
        </w:rPr>
        <w:t xml:space="preserve">are unable to </w:t>
      </w:r>
      <w:r w:rsidR="00103EC7" w:rsidRPr="00103EC7">
        <w:rPr>
          <w:rFonts w:ascii="Arial" w:hAnsi="Arial" w:cs="Arial"/>
          <w:sz w:val="20"/>
          <w:szCs w:val="20"/>
        </w:rPr>
        <w:t>meet the HK$</w:t>
      </w:r>
      <w:r w:rsidR="00103EC7">
        <w:rPr>
          <w:rFonts w:ascii="Arial" w:hAnsi="Arial" w:cs="Arial"/>
          <w:sz w:val="20"/>
          <w:szCs w:val="20"/>
        </w:rPr>
        <w:t xml:space="preserve"> </w:t>
      </w:r>
      <w:r w:rsidR="00103EC7" w:rsidRPr="00103EC7">
        <w:rPr>
          <w:rFonts w:ascii="Arial" w:hAnsi="Arial" w:cs="Arial"/>
          <w:sz w:val="20"/>
          <w:szCs w:val="20"/>
        </w:rPr>
        <w:t xml:space="preserve">500 million annual revenue requirement of the </w:t>
      </w:r>
      <w:r w:rsidR="00103EC7">
        <w:rPr>
          <w:rFonts w:ascii="Arial" w:hAnsi="Arial" w:cs="Arial"/>
          <w:sz w:val="20"/>
          <w:szCs w:val="20"/>
        </w:rPr>
        <w:t>Market Capitalisation/Revenue and Market Capitalisation/Revenue/Cash Flow</w:t>
      </w:r>
      <w:r w:rsidR="00103EC7" w:rsidRPr="00103EC7">
        <w:rPr>
          <w:rFonts w:ascii="Arial" w:hAnsi="Arial" w:cs="Arial"/>
          <w:sz w:val="20"/>
          <w:szCs w:val="20"/>
        </w:rPr>
        <w:t xml:space="preserve"> Tests, it is likely they will need to meet the HK$</w:t>
      </w:r>
      <w:r w:rsidR="00103EC7">
        <w:rPr>
          <w:rFonts w:ascii="Arial" w:hAnsi="Arial" w:cs="Arial"/>
          <w:sz w:val="20"/>
          <w:szCs w:val="20"/>
        </w:rPr>
        <w:t xml:space="preserve"> </w:t>
      </w:r>
      <w:r w:rsidR="00103EC7" w:rsidRPr="00103EC7">
        <w:rPr>
          <w:rFonts w:ascii="Arial" w:hAnsi="Arial" w:cs="Arial"/>
          <w:sz w:val="20"/>
          <w:szCs w:val="20"/>
        </w:rPr>
        <w:t>40 billion market capitalisation threshold to list with WVR.</w:t>
      </w:r>
      <w:r w:rsidR="00103EC7" w:rsidRPr="00235DA2">
        <w:rPr>
          <w:rFonts w:ascii="Arial" w:hAnsi="Arial" w:cs="Arial"/>
          <w:sz w:val="20"/>
          <w:szCs w:val="20"/>
        </w:rPr>
        <w:t xml:space="preserve"> </w:t>
      </w:r>
    </w:p>
    <w:p w:rsidR="005C5B6B" w:rsidRPr="00235DA2" w:rsidRDefault="00103EC7" w:rsidP="00344BDF">
      <w:pPr>
        <w:jc w:val="both"/>
        <w:rPr>
          <w:rFonts w:ascii="Arial" w:hAnsi="Arial" w:cs="Arial"/>
          <w:sz w:val="20"/>
          <w:szCs w:val="20"/>
        </w:rPr>
      </w:pPr>
      <w:r>
        <w:rPr>
          <w:rFonts w:ascii="Arial" w:hAnsi="Arial" w:cs="Arial"/>
          <w:sz w:val="20"/>
          <w:szCs w:val="20"/>
        </w:rPr>
        <w:t>T</w:t>
      </w:r>
      <w:r w:rsidR="00820D57" w:rsidRPr="00235DA2">
        <w:rPr>
          <w:rFonts w:ascii="Arial" w:hAnsi="Arial" w:cs="Arial"/>
          <w:sz w:val="20"/>
          <w:szCs w:val="20"/>
        </w:rPr>
        <w:t>he existin</w:t>
      </w:r>
      <w:r>
        <w:rPr>
          <w:rFonts w:ascii="Arial" w:hAnsi="Arial" w:cs="Arial"/>
          <w:sz w:val="20"/>
          <w:szCs w:val="20"/>
        </w:rPr>
        <w:t>g WVR Listing Rule requirements for</w:t>
      </w:r>
      <w:r w:rsidR="00820D57" w:rsidRPr="00235DA2">
        <w:rPr>
          <w:rFonts w:ascii="Arial" w:hAnsi="Arial" w:cs="Arial"/>
          <w:sz w:val="20"/>
          <w:szCs w:val="20"/>
        </w:rPr>
        <w:t xml:space="preserve"> e</w:t>
      </w:r>
      <w:r w:rsidR="00534830" w:rsidRPr="00235DA2">
        <w:rPr>
          <w:rFonts w:ascii="Arial" w:hAnsi="Arial" w:cs="Arial"/>
          <w:sz w:val="20"/>
          <w:szCs w:val="20"/>
        </w:rPr>
        <w:t xml:space="preserve">ach WVR beneficiary </w:t>
      </w:r>
      <w:r>
        <w:rPr>
          <w:rFonts w:ascii="Arial" w:hAnsi="Arial" w:cs="Arial"/>
          <w:sz w:val="20"/>
          <w:szCs w:val="20"/>
        </w:rPr>
        <w:t xml:space="preserve">to </w:t>
      </w:r>
      <w:r w:rsidR="00534830" w:rsidRPr="00235DA2">
        <w:rPr>
          <w:rFonts w:ascii="Arial" w:hAnsi="Arial" w:cs="Arial"/>
          <w:sz w:val="20"/>
          <w:szCs w:val="20"/>
        </w:rPr>
        <w:t>have been materially responsible for the growth of the business of</w:t>
      </w:r>
      <w:r w:rsidR="00634948">
        <w:rPr>
          <w:rFonts w:ascii="Arial" w:hAnsi="Arial" w:cs="Arial"/>
          <w:sz w:val="20"/>
          <w:szCs w:val="20"/>
        </w:rPr>
        <w:t xml:space="preserve"> a company listing with a WVR structure</w:t>
      </w:r>
      <w:r w:rsidR="00492C6B">
        <w:rPr>
          <w:rFonts w:ascii="Arial" w:hAnsi="Arial" w:cs="Arial"/>
          <w:sz w:val="20"/>
          <w:szCs w:val="20"/>
        </w:rPr>
        <w:t>,</w:t>
      </w:r>
      <w:r w:rsidR="00634948">
        <w:rPr>
          <w:rFonts w:ascii="Arial" w:hAnsi="Arial" w:cs="Arial"/>
          <w:sz w:val="20"/>
          <w:szCs w:val="20"/>
        </w:rPr>
        <w:t xml:space="preserve"> and for </w:t>
      </w:r>
      <w:r w:rsidR="00534830" w:rsidRPr="00235DA2">
        <w:rPr>
          <w:rFonts w:ascii="Arial" w:hAnsi="Arial" w:cs="Arial"/>
          <w:sz w:val="20"/>
          <w:szCs w:val="20"/>
        </w:rPr>
        <w:t xml:space="preserve">the company </w:t>
      </w:r>
      <w:r w:rsidR="00634948">
        <w:rPr>
          <w:rFonts w:ascii="Arial" w:hAnsi="Arial" w:cs="Arial"/>
          <w:sz w:val="20"/>
          <w:szCs w:val="20"/>
        </w:rPr>
        <w:t xml:space="preserve">to </w:t>
      </w:r>
      <w:r w:rsidR="00534830" w:rsidRPr="00235DA2">
        <w:rPr>
          <w:rFonts w:ascii="Arial" w:hAnsi="Arial" w:cs="Arial"/>
          <w:sz w:val="20"/>
          <w:szCs w:val="20"/>
        </w:rPr>
        <w:t>demonstrate a track record of high business growth</w:t>
      </w:r>
      <w:r w:rsidR="00634948">
        <w:rPr>
          <w:rFonts w:ascii="Arial" w:hAnsi="Arial" w:cs="Arial"/>
          <w:sz w:val="20"/>
          <w:szCs w:val="20"/>
        </w:rPr>
        <w:t xml:space="preserve"> which is expected to continue, will also apply to </w:t>
      </w:r>
      <w:r w:rsidR="00634948" w:rsidRPr="00235DA2">
        <w:rPr>
          <w:rFonts w:ascii="Arial" w:hAnsi="Arial" w:cs="Arial"/>
          <w:sz w:val="20"/>
          <w:szCs w:val="20"/>
        </w:rPr>
        <w:t>Specialist Technology Companies</w:t>
      </w:r>
      <w:r w:rsidR="00634948">
        <w:rPr>
          <w:rFonts w:ascii="Arial" w:hAnsi="Arial" w:cs="Arial"/>
          <w:sz w:val="20"/>
          <w:szCs w:val="20"/>
        </w:rPr>
        <w:t xml:space="preserve"> listing with a WVR structure</w:t>
      </w:r>
      <w:r w:rsidR="00EF022C" w:rsidRPr="00235DA2">
        <w:rPr>
          <w:rFonts w:ascii="Arial" w:hAnsi="Arial" w:cs="Arial"/>
          <w:sz w:val="20"/>
          <w:szCs w:val="20"/>
        </w:rPr>
        <w:t>.</w:t>
      </w:r>
      <w:r w:rsidR="00534830" w:rsidRPr="00235DA2">
        <w:rPr>
          <w:rFonts w:ascii="Arial" w:hAnsi="Arial" w:cs="Arial"/>
          <w:sz w:val="20"/>
          <w:szCs w:val="20"/>
        </w:rPr>
        <w:t xml:space="preserve"> </w:t>
      </w:r>
    </w:p>
    <w:p w:rsidR="003F19D0" w:rsidRPr="00451C53" w:rsidRDefault="00451C53" w:rsidP="003847FE">
      <w:pPr>
        <w:jc w:val="both"/>
        <w:rPr>
          <w:rFonts w:ascii="Arial" w:hAnsi="Arial" w:cs="Arial"/>
          <w:b/>
          <w:color w:val="FF0000"/>
          <w:sz w:val="20"/>
          <w:szCs w:val="20"/>
        </w:rPr>
      </w:pPr>
      <w:r>
        <w:rPr>
          <w:rFonts w:ascii="Arial" w:hAnsi="Arial" w:cs="Arial"/>
          <w:b/>
          <w:color w:val="FF0000"/>
          <w:sz w:val="20"/>
          <w:szCs w:val="20"/>
        </w:rPr>
        <w:t>IPO R</w:t>
      </w:r>
      <w:r w:rsidR="003F19D0" w:rsidRPr="00451C53">
        <w:rPr>
          <w:rFonts w:ascii="Arial" w:hAnsi="Arial" w:cs="Arial"/>
          <w:b/>
          <w:color w:val="FF0000"/>
          <w:sz w:val="20"/>
          <w:szCs w:val="20"/>
        </w:rPr>
        <w:t xml:space="preserve">equirements </w:t>
      </w:r>
    </w:p>
    <w:p w:rsidR="003847FE" w:rsidRPr="00235DA2" w:rsidRDefault="003847FE" w:rsidP="003847FE">
      <w:pPr>
        <w:jc w:val="both"/>
        <w:rPr>
          <w:rFonts w:ascii="Arial" w:hAnsi="Arial" w:cs="Arial"/>
          <w:sz w:val="20"/>
          <w:szCs w:val="20"/>
        </w:rPr>
      </w:pPr>
      <w:r w:rsidRPr="00235DA2">
        <w:rPr>
          <w:rFonts w:ascii="Arial" w:hAnsi="Arial" w:cs="Arial"/>
          <w:sz w:val="20"/>
          <w:szCs w:val="20"/>
        </w:rPr>
        <w:lastRenderedPageBreak/>
        <w:t>Specialist Technology Companies will be required to:</w:t>
      </w:r>
    </w:p>
    <w:p w:rsidR="003847FE" w:rsidRDefault="004A0474" w:rsidP="004C0F9B">
      <w:pPr>
        <w:pStyle w:val="a3"/>
        <w:numPr>
          <w:ilvl w:val="0"/>
          <w:numId w:val="20"/>
        </w:numPr>
        <w:ind w:left="851" w:hanging="433"/>
        <w:jc w:val="both"/>
        <w:rPr>
          <w:rFonts w:ascii="Arial" w:hAnsi="Arial" w:cs="Arial"/>
          <w:sz w:val="20"/>
          <w:szCs w:val="20"/>
        </w:rPr>
      </w:pPr>
      <w:r w:rsidRPr="003221BD">
        <w:rPr>
          <w:rFonts w:ascii="Arial" w:hAnsi="Arial" w:cs="Arial"/>
          <w:sz w:val="20"/>
          <w:szCs w:val="20"/>
        </w:rPr>
        <w:t>a</w:t>
      </w:r>
      <w:r w:rsidR="00D74A32" w:rsidRPr="003221BD">
        <w:rPr>
          <w:rFonts w:ascii="Arial" w:hAnsi="Arial" w:cs="Arial"/>
          <w:sz w:val="20"/>
          <w:szCs w:val="20"/>
        </w:rPr>
        <w:t>llocate</w:t>
      </w:r>
      <w:r w:rsidR="003847FE" w:rsidRPr="003221BD">
        <w:rPr>
          <w:rFonts w:ascii="Arial" w:hAnsi="Arial" w:cs="Arial"/>
          <w:sz w:val="20"/>
          <w:szCs w:val="20"/>
        </w:rPr>
        <w:t xml:space="preserve"> at least 50% of the total number of shares offered in the IPO </w:t>
      </w:r>
      <w:r w:rsidRPr="003221BD">
        <w:rPr>
          <w:rFonts w:ascii="Arial" w:hAnsi="Arial" w:cs="Arial"/>
          <w:sz w:val="20"/>
          <w:szCs w:val="20"/>
        </w:rPr>
        <w:t xml:space="preserve">(excluding shares to be issued on the exercise of any over-allotment option) </w:t>
      </w:r>
      <w:r w:rsidR="009A6C0B" w:rsidRPr="003221BD">
        <w:rPr>
          <w:rFonts w:ascii="Arial" w:hAnsi="Arial" w:cs="Arial"/>
          <w:sz w:val="20"/>
          <w:szCs w:val="20"/>
        </w:rPr>
        <w:t>to Independent Institutional Investors, that is Institutional Professional Investors</w:t>
      </w:r>
      <w:r w:rsidR="009A6C0B">
        <w:rPr>
          <w:rStyle w:val="a6"/>
          <w:rFonts w:ascii="Arial" w:hAnsi="Arial" w:cs="Arial"/>
          <w:sz w:val="20"/>
          <w:szCs w:val="20"/>
        </w:rPr>
        <w:footnoteReference w:id="2"/>
      </w:r>
      <w:r w:rsidR="009A6C0B" w:rsidRPr="003221BD">
        <w:rPr>
          <w:rFonts w:ascii="Arial" w:hAnsi="Arial" w:cs="Arial"/>
          <w:sz w:val="20"/>
          <w:szCs w:val="20"/>
        </w:rPr>
        <w:t xml:space="preserve"> that participate</w:t>
      </w:r>
      <w:r w:rsidR="0027229C" w:rsidRPr="003221BD">
        <w:rPr>
          <w:rFonts w:ascii="Arial" w:hAnsi="Arial" w:cs="Arial"/>
          <w:sz w:val="20"/>
          <w:szCs w:val="20"/>
        </w:rPr>
        <w:t xml:space="preserve"> in the placing tranche of an IPO </w:t>
      </w:r>
      <w:r w:rsidR="009A6C0B" w:rsidRPr="003221BD">
        <w:rPr>
          <w:rFonts w:ascii="Arial" w:hAnsi="Arial" w:cs="Arial"/>
          <w:sz w:val="20"/>
          <w:szCs w:val="20"/>
        </w:rPr>
        <w:t xml:space="preserve">(whether as cornerstone investors or otherwise) </w:t>
      </w:r>
      <w:r w:rsidR="0027229C" w:rsidRPr="003221BD">
        <w:rPr>
          <w:rFonts w:ascii="Arial" w:hAnsi="Arial" w:cs="Arial"/>
          <w:sz w:val="20"/>
          <w:szCs w:val="20"/>
        </w:rPr>
        <w:t xml:space="preserve">excluding existing shareholders </w:t>
      </w:r>
      <w:r w:rsidR="009A6C0B" w:rsidRPr="003221BD">
        <w:rPr>
          <w:rFonts w:ascii="Arial" w:hAnsi="Arial" w:cs="Arial"/>
          <w:sz w:val="20"/>
          <w:szCs w:val="20"/>
        </w:rPr>
        <w:t xml:space="preserve">and their close associates, </w:t>
      </w:r>
      <w:r w:rsidR="0027229C" w:rsidRPr="003221BD">
        <w:rPr>
          <w:rFonts w:ascii="Arial" w:hAnsi="Arial" w:cs="Arial"/>
          <w:sz w:val="20"/>
          <w:szCs w:val="20"/>
        </w:rPr>
        <w:t>and core connected persons of the Specialist Techno</w:t>
      </w:r>
      <w:r w:rsidR="009A6C0B" w:rsidRPr="003221BD">
        <w:rPr>
          <w:rFonts w:ascii="Arial" w:hAnsi="Arial" w:cs="Arial"/>
          <w:sz w:val="20"/>
          <w:szCs w:val="20"/>
        </w:rPr>
        <w:t>logy Company</w:t>
      </w:r>
      <w:r w:rsidR="0027229C" w:rsidRPr="003221BD">
        <w:rPr>
          <w:rFonts w:ascii="Arial" w:hAnsi="Arial" w:cs="Arial"/>
          <w:sz w:val="20"/>
          <w:szCs w:val="20"/>
        </w:rPr>
        <w:t>.</w:t>
      </w:r>
      <w:r w:rsidR="003221BD" w:rsidRPr="003221BD">
        <w:rPr>
          <w:rFonts w:ascii="Arial" w:hAnsi="Arial" w:cs="Arial"/>
          <w:sz w:val="20"/>
          <w:szCs w:val="20"/>
        </w:rPr>
        <w:t xml:space="preserve"> </w:t>
      </w:r>
      <w:r w:rsidR="0027229C" w:rsidRPr="003221BD">
        <w:rPr>
          <w:rFonts w:ascii="Arial" w:hAnsi="Arial" w:cs="Arial"/>
          <w:sz w:val="20"/>
          <w:szCs w:val="20"/>
        </w:rPr>
        <w:t>This requirement will also apply to a Specialist Technology Company listing by way of a De-SPAC Transaction</w:t>
      </w:r>
      <w:r w:rsidR="003221BD" w:rsidRPr="003221BD">
        <w:rPr>
          <w:rFonts w:ascii="Arial" w:hAnsi="Arial" w:cs="Arial"/>
          <w:sz w:val="20"/>
          <w:szCs w:val="20"/>
        </w:rPr>
        <w:t>.</w:t>
      </w:r>
      <w:r w:rsidR="0027229C" w:rsidRPr="003221BD">
        <w:rPr>
          <w:rFonts w:ascii="Arial" w:hAnsi="Arial" w:cs="Arial"/>
          <w:sz w:val="20"/>
          <w:szCs w:val="20"/>
        </w:rPr>
        <w:t xml:space="preserve"> </w:t>
      </w:r>
    </w:p>
    <w:p w:rsidR="003221BD" w:rsidRPr="003221BD" w:rsidRDefault="003221BD" w:rsidP="003221BD">
      <w:pPr>
        <w:pStyle w:val="a3"/>
        <w:ind w:left="851"/>
        <w:jc w:val="both"/>
        <w:rPr>
          <w:rFonts w:ascii="Arial" w:hAnsi="Arial" w:cs="Arial"/>
          <w:sz w:val="20"/>
          <w:szCs w:val="20"/>
        </w:rPr>
      </w:pPr>
    </w:p>
    <w:p w:rsidR="003847FE" w:rsidRDefault="003847FE" w:rsidP="00235DA2">
      <w:pPr>
        <w:pStyle w:val="a3"/>
        <w:numPr>
          <w:ilvl w:val="0"/>
          <w:numId w:val="20"/>
        </w:numPr>
        <w:ind w:left="851" w:hanging="433"/>
        <w:jc w:val="both"/>
        <w:rPr>
          <w:rFonts w:ascii="Arial" w:hAnsi="Arial" w:cs="Arial"/>
          <w:sz w:val="20"/>
          <w:szCs w:val="20"/>
        </w:rPr>
      </w:pPr>
      <w:r w:rsidRPr="00235DA2">
        <w:rPr>
          <w:rFonts w:ascii="Arial" w:hAnsi="Arial" w:cs="Arial"/>
          <w:sz w:val="20"/>
          <w:szCs w:val="20"/>
        </w:rPr>
        <w:t>h</w:t>
      </w:r>
      <w:r w:rsidR="003221BD">
        <w:rPr>
          <w:rFonts w:ascii="Arial" w:hAnsi="Arial" w:cs="Arial"/>
          <w:sz w:val="20"/>
          <w:szCs w:val="20"/>
        </w:rPr>
        <w:t>ave a free float (i.e. shares not subject to any restrictions on disposal) of at least HK$</w:t>
      </w:r>
      <w:r w:rsidRPr="00235DA2">
        <w:rPr>
          <w:rFonts w:ascii="Arial" w:hAnsi="Arial" w:cs="Arial"/>
          <w:sz w:val="20"/>
          <w:szCs w:val="20"/>
        </w:rPr>
        <w:t xml:space="preserve"> 600 million upon listing</w:t>
      </w:r>
      <w:r w:rsidR="00820D57" w:rsidRPr="00235DA2">
        <w:rPr>
          <w:rFonts w:ascii="Arial" w:hAnsi="Arial" w:cs="Arial"/>
          <w:sz w:val="20"/>
          <w:szCs w:val="20"/>
        </w:rPr>
        <w:t>;</w:t>
      </w:r>
      <w:r w:rsidRPr="00235DA2">
        <w:rPr>
          <w:rFonts w:ascii="Arial" w:hAnsi="Arial" w:cs="Arial"/>
          <w:sz w:val="20"/>
          <w:szCs w:val="20"/>
        </w:rPr>
        <w:t xml:space="preserve"> </w:t>
      </w:r>
      <w:r w:rsidR="003221BD">
        <w:rPr>
          <w:rFonts w:ascii="Arial" w:hAnsi="Arial" w:cs="Arial"/>
          <w:sz w:val="20"/>
          <w:szCs w:val="20"/>
        </w:rPr>
        <w:t xml:space="preserve"> </w:t>
      </w:r>
    </w:p>
    <w:p w:rsidR="007B2CB7" w:rsidRPr="00235DA2" w:rsidRDefault="007B2CB7" w:rsidP="007B2CB7">
      <w:pPr>
        <w:pStyle w:val="a3"/>
        <w:ind w:left="851"/>
        <w:jc w:val="both"/>
        <w:rPr>
          <w:rFonts w:ascii="Arial" w:hAnsi="Arial" w:cs="Arial"/>
          <w:sz w:val="20"/>
          <w:szCs w:val="20"/>
        </w:rPr>
      </w:pPr>
    </w:p>
    <w:p w:rsidR="00F143F8" w:rsidRDefault="003221BD" w:rsidP="00235DA2">
      <w:pPr>
        <w:pStyle w:val="a3"/>
        <w:numPr>
          <w:ilvl w:val="0"/>
          <w:numId w:val="20"/>
        </w:numPr>
        <w:ind w:left="851" w:hanging="433"/>
        <w:jc w:val="both"/>
        <w:rPr>
          <w:rFonts w:ascii="Arial" w:hAnsi="Arial" w:cs="Arial"/>
          <w:sz w:val="20"/>
          <w:szCs w:val="20"/>
        </w:rPr>
      </w:pPr>
      <w:r>
        <w:rPr>
          <w:rFonts w:ascii="Arial" w:hAnsi="Arial" w:cs="Arial"/>
          <w:sz w:val="20"/>
          <w:szCs w:val="20"/>
        </w:rPr>
        <w:t>make</w:t>
      </w:r>
      <w:r w:rsidR="00F143F8" w:rsidRPr="00235DA2">
        <w:rPr>
          <w:rFonts w:ascii="Arial" w:hAnsi="Arial" w:cs="Arial"/>
          <w:sz w:val="20"/>
          <w:szCs w:val="20"/>
        </w:rPr>
        <w:t xml:space="preserve"> an offer (including the </w:t>
      </w:r>
      <w:r w:rsidR="00492C6B">
        <w:rPr>
          <w:rFonts w:ascii="Arial" w:hAnsi="Arial" w:cs="Arial"/>
          <w:sz w:val="20"/>
          <w:szCs w:val="20"/>
        </w:rPr>
        <w:t xml:space="preserve">placing </w:t>
      </w:r>
      <w:r w:rsidR="00F143F8" w:rsidRPr="00235DA2">
        <w:rPr>
          <w:rFonts w:ascii="Arial" w:hAnsi="Arial" w:cs="Arial"/>
          <w:sz w:val="20"/>
          <w:szCs w:val="20"/>
        </w:rPr>
        <w:t>tranche and the public subscription tranche</w:t>
      </w:r>
      <w:r>
        <w:rPr>
          <w:rFonts w:ascii="Arial" w:hAnsi="Arial" w:cs="Arial"/>
          <w:sz w:val="20"/>
          <w:szCs w:val="20"/>
        </w:rPr>
        <w:t>)</w:t>
      </w:r>
      <w:r w:rsidR="00F143F8" w:rsidRPr="00235DA2">
        <w:rPr>
          <w:rFonts w:ascii="Arial" w:hAnsi="Arial" w:cs="Arial"/>
          <w:sz w:val="20"/>
          <w:szCs w:val="20"/>
        </w:rPr>
        <w:t xml:space="preserve"> of a meaningful size</w:t>
      </w:r>
      <w:r w:rsidR="00742C44">
        <w:rPr>
          <w:rFonts w:ascii="Arial" w:hAnsi="Arial" w:cs="Arial"/>
          <w:sz w:val="20"/>
          <w:szCs w:val="20"/>
        </w:rPr>
        <w:t>,</w:t>
      </w:r>
      <w:r w:rsidR="00F143F8" w:rsidRPr="00235DA2">
        <w:rPr>
          <w:rFonts w:ascii="Arial" w:hAnsi="Arial" w:cs="Arial"/>
          <w:sz w:val="20"/>
          <w:szCs w:val="20"/>
        </w:rPr>
        <w:t xml:space="preserve"> with the HKEX reserving the right to withhold approval </w:t>
      </w:r>
      <w:r w:rsidR="00742C44">
        <w:rPr>
          <w:rFonts w:ascii="Arial" w:hAnsi="Arial" w:cs="Arial"/>
          <w:sz w:val="20"/>
          <w:szCs w:val="20"/>
        </w:rPr>
        <w:t xml:space="preserve">of the listing </w:t>
      </w:r>
      <w:r w:rsidR="00F143F8" w:rsidRPr="00235DA2">
        <w:rPr>
          <w:rFonts w:ascii="Arial" w:hAnsi="Arial" w:cs="Arial"/>
          <w:sz w:val="20"/>
          <w:szCs w:val="20"/>
        </w:rPr>
        <w:t>if the offer size i</w:t>
      </w:r>
      <w:r w:rsidR="00742C44">
        <w:rPr>
          <w:rFonts w:ascii="Arial" w:hAnsi="Arial" w:cs="Arial"/>
          <w:sz w:val="20"/>
          <w:szCs w:val="20"/>
        </w:rPr>
        <w:t>s not significant enough to facilitate post-</w:t>
      </w:r>
      <w:r w:rsidR="00F143F8" w:rsidRPr="00235DA2">
        <w:rPr>
          <w:rFonts w:ascii="Arial" w:hAnsi="Arial" w:cs="Arial"/>
          <w:sz w:val="20"/>
          <w:szCs w:val="20"/>
        </w:rPr>
        <w:t>listing liquidity</w:t>
      </w:r>
      <w:r w:rsidR="00742C44">
        <w:rPr>
          <w:rFonts w:ascii="Arial" w:hAnsi="Arial" w:cs="Arial"/>
          <w:sz w:val="20"/>
          <w:szCs w:val="20"/>
        </w:rPr>
        <w:t>,</w:t>
      </w:r>
      <w:r w:rsidR="00F143F8" w:rsidRPr="00235DA2">
        <w:rPr>
          <w:rFonts w:ascii="Arial" w:hAnsi="Arial" w:cs="Arial"/>
          <w:sz w:val="20"/>
          <w:szCs w:val="20"/>
        </w:rPr>
        <w:t xml:space="preserve"> or </w:t>
      </w:r>
      <w:r w:rsidR="00742C44">
        <w:rPr>
          <w:rFonts w:ascii="Arial" w:hAnsi="Arial" w:cs="Arial"/>
          <w:sz w:val="20"/>
          <w:szCs w:val="20"/>
        </w:rPr>
        <w:t>otherwise gives</w:t>
      </w:r>
      <w:r w:rsidR="00F143F8" w:rsidRPr="00235DA2">
        <w:rPr>
          <w:rFonts w:ascii="Arial" w:hAnsi="Arial" w:cs="Arial"/>
          <w:sz w:val="20"/>
          <w:szCs w:val="20"/>
        </w:rPr>
        <w:t xml:space="preserve"> rise to orderly market concerns</w:t>
      </w:r>
      <w:r w:rsidR="00820D57" w:rsidRPr="00235DA2">
        <w:rPr>
          <w:rFonts w:ascii="Arial" w:hAnsi="Arial" w:cs="Arial"/>
          <w:sz w:val="20"/>
          <w:szCs w:val="20"/>
        </w:rPr>
        <w:t>; and</w:t>
      </w:r>
    </w:p>
    <w:p w:rsidR="007B2CB7" w:rsidRPr="00235DA2" w:rsidRDefault="007B2CB7" w:rsidP="007B2CB7">
      <w:pPr>
        <w:pStyle w:val="a3"/>
        <w:ind w:left="851"/>
        <w:jc w:val="both"/>
        <w:rPr>
          <w:rFonts w:ascii="Arial" w:hAnsi="Arial" w:cs="Arial"/>
          <w:sz w:val="20"/>
          <w:szCs w:val="20"/>
        </w:rPr>
      </w:pPr>
    </w:p>
    <w:p w:rsidR="001B5F54" w:rsidRDefault="003847FE" w:rsidP="00235DA2">
      <w:pPr>
        <w:pStyle w:val="a3"/>
        <w:numPr>
          <w:ilvl w:val="0"/>
          <w:numId w:val="20"/>
        </w:numPr>
        <w:ind w:left="851" w:hanging="433"/>
        <w:jc w:val="both"/>
        <w:rPr>
          <w:rFonts w:ascii="Arial" w:hAnsi="Arial" w:cs="Arial"/>
          <w:sz w:val="20"/>
          <w:szCs w:val="20"/>
        </w:rPr>
      </w:pPr>
      <w:r w:rsidRPr="00235DA2">
        <w:rPr>
          <w:rFonts w:ascii="Arial" w:hAnsi="Arial" w:cs="Arial"/>
          <w:sz w:val="20"/>
          <w:szCs w:val="20"/>
        </w:rPr>
        <w:t xml:space="preserve">to include </w:t>
      </w:r>
      <w:r w:rsidR="00742C44">
        <w:rPr>
          <w:rFonts w:ascii="Arial" w:hAnsi="Arial" w:cs="Arial"/>
          <w:sz w:val="20"/>
          <w:szCs w:val="20"/>
        </w:rPr>
        <w:t xml:space="preserve">additional disclosures in their listing documents </w:t>
      </w:r>
      <w:r w:rsidRPr="00235DA2">
        <w:rPr>
          <w:rFonts w:ascii="Arial" w:hAnsi="Arial" w:cs="Arial"/>
          <w:sz w:val="20"/>
          <w:szCs w:val="20"/>
        </w:rPr>
        <w:t>on pr</w:t>
      </w:r>
      <w:r w:rsidR="00796D04" w:rsidRPr="00235DA2">
        <w:rPr>
          <w:rFonts w:ascii="Arial" w:hAnsi="Arial" w:cs="Arial"/>
          <w:sz w:val="20"/>
          <w:szCs w:val="20"/>
        </w:rPr>
        <w:t>e-IPO investment</w:t>
      </w:r>
      <w:r w:rsidR="00742C44">
        <w:rPr>
          <w:rFonts w:ascii="Arial" w:hAnsi="Arial" w:cs="Arial"/>
          <w:sz w:val="20"/>
          <w:szCs w:val="20"/>
        </w:rPr>
        <w:t>s</w:t>
      </w:r>
      <w:r w:rsidR="00796D04" w:rsidRPr="00235DA2">
        <w:rPr>
          <w:rFonts w:ascii="Arial" w:hAnsi="Arial" w:cs="Arial"/>
          <w:sz w:val="20"/>
          <w:szCs w:val="20"/>
        </w:rPr>
        <w:t xml:space="preserve"> and cash flows (including burn rates and cash operating costs),</w:t>
      </w:r>
      <w:r w:rsidRPr="00235DA2">
        <w:rPr>
          <w:rFonts w:ascii="Arial" w:hAnsi="Arial" w:cs="Arial"/>
          <w:sz w:val="20"/>
          <w:szCs w:val="20"/>
        </w:rPr>
        <w:t xml:space="preserve"> products and commercialis</w:t>
      </w:r>
      <w:r w:rsidR="00742C44">
        <w:rPr>
          <w:rFonts w:ascii="Arial" w:hAnsi="Arial" w:cs="Arial"/>
          <w:sz w:val="20"/>
          <w:szCs w:val="20"/>
        </w:rPr>
        <w:t>ation status and prospects, R&amp;D</w:t>
      </w:r>
      <w:r w:rsidRPr="00235DA2">
        <w:rPr>
          <w:rFonts w:ascii="Arial" w:hAnsi="Arial" w:cs="Arial"/>
          <w:sz w:val="20"/>
          <w:szCs w:val="20"/>
        </w:rPr>
        <w:t>, industry specific information and intellectual property</w:t>
      </w:r>
      <w:r w:rsidR="001B5F54" w:rsidRPr="00235DA2">
        <w:rPr>
          <w:rFonts w:ascii="Arial" w:hAnsi="Arial" w:cs="Arial"/>
          <w:sz w:val="20"/>
          <w:szCs w:val="20"/>
        </w:rPr>
        <w:t xml:space="preserve">, as well as </w:t>
      </w:r>
      <w:r w:rsidR="00492C6B">
        <w:rPr>
          <w:rFonts w:ascii="Arial" w:hAnsi="Arial" w:cs="Arial"/>
          <w:sz w:val="20"/>
          <w:szCs w:val="20"/>
        </w:rPr>
        <w:t xml:space="preserve">a </w:t>
      </w:r>
      <w:r w:rsidR="00742C44">
        <w:rPr>
          <w:rFonts w:ascii="Arial" w:hAnsi="Arial" w:cs="Arial"/>
          <w:sz w:val="20"/>
          <w:szCs w:val="20"/>
        </w:rPr>
        <w:t xml:space="preserve">specified </w:t>
      </w:r>
      <w:r w:rsidR="001B5F54" w:rsidRPr="00235DA2">
        <w:rPr>
          <w:rFonts w:ascii="Arial" w:hAnsi="Arial" w:cs="Arial"/>
          <w:sz w:val="20"/>
          <w:szCs w:val="20"/>
        </w:rPr>
        <w:t>warning statement</w:t>
      </w:r>
      <w:r w:rsidR="00820D57" w:rsidRPr="00235DA2">
        <w:rPr>
          <w:rFonts w:ascii="Arial" w:hAnsi="Arial" w:cs="Arial"/>
          <w:sz w:val="20"/>
          <w:szCs w:val="20"/>
        </w:rPr>
        <w:t>.</w:t>
      </w:r>
      <w:r w:rsidR="001B5F54" w:rsidRPr="00235DA2">
        <w:rPr>
          <w:rFonts w:ascii="Arial" w:hAnsi="Arial" w:cs="Arial"/>
          <w:sz w:val="20"/>
          <w:szCs w:val="20"/>
        </w:rPr>
        <w:t xml:space="preserve"> </w:t>
      </w:r>
    </w:p>
    <w:p w:rsidR="003221BD" w:rsidRPr="003221BD" w:rsidRDefault="00492C6B" w:rsidP="003221BD">
      <w:pPr>
        <w:jc w:val="both"/>
        <w:rPr>
          <w:rFonts w:ascii="Arial" w:hAnsi="Arial" w:cs="Arial"/>
          <w:sz w:val="20"/>
          <w:szCs w:val="20"/>
        </w:rPr>
      </w:pPr>
      <w:r>
        <w:rPr>
          <w:rFonts w:ascii="Arial" w:hAnsi="Arial" w:cs="Arial"/>
          <w:sz w:val="20"/>
          <w:szCs w:val="20"/>
        </w:rPr>
        <w:t xml:space="preserve">A modified </w:t>
      </w:r>
      <w:r w:rsidR="003221BD" w:rsidRPr="003221BD">
        <w:rPr>
          <w:rFonts w:ascii="Arial" w:hAnsi="Arial" w:cs="Arial"/>
          <w:sz w:val="20"/>
          <w:szCs w:val="20"/>
        </w:rPr>
        <w:t>initial allocation and clawback mechanism</w:t>
      </w:r>
      <w:r w:rsidR="004C0F9B">
        <w:rPr>
          <w:rFonts w:ascii="Arial" w:hAnsi="Arial" w:cs="Arial"/>
          <w:sz w:val="20"/>
          <w:szCs w:val="20"/>
        </w:rPr>
        <w:t xml:space="preserve"> will apply to S</w:t>
      </w:r>
      <w:r>
        <w:rPr>
          <w:rFonts w:ascii="Arial" w:hAnsi="Arial" w:cs="Arial"/>
          <w:sz w:val="20"/>
          <w:szCs w:val="20"/>
        </w:rPr>
        <w:t>pecialist Technology Companies a</w:t>
      </w:r>
      <w:r w:rsidR="004C0F9B">
        <w:rPr>
          <w:rFonts w:ascii="Arial" w:hAnsi="Arial" w:cs="Arial"/>
          <w:sz w:val="20"/>
          <w:szCs w:val="20"/>
        </w:rPr>
        <w:t>s summarised in the table below:</w:t>
      </w:r>
    </w:p>
    <w:tbl>
      <w:tblPr>
        <w:tblStyle w:val="ab"/>
        <w:tblW w:w="0" w:type="auto"/>
        <w:tblLook w:val="04A0" w:firstRow="1" w:lastRow="0" w:firstColumn="1" w:lastColumn="0" w:noHBand="0" w:noVBand="1"/>
      </w:tblPr>
      <w:tblGrid>
        <w:gridCol w:w="3116"/>
        <w:gridCol w:w="1274"/>
        <w:gridCol w:w="2409"/>
        <w:gridCol w:w="2551"/>
      </w:tblGrid>
      <w:tr w:rsidR="000175FD" w:rsidTr="000175FD">
        <w:tc>
          <w:tcPr>
            <w:tcW w:w="3116" w:type="dxa"/>
            <w:vMerge w:val="restart"/>
          </w:tcPr>
          <w:p w:rsidR="000175FD" w:rsidRDefault="000175FD" w:rsidP="003221BD">
            <w:pPr>
              <w:jc w:val="both"/>
              <w:rPr>
                <w:rFonts w:ascii="Arial" w:hAnsi="Arial" w:cs="Arial"/>
                <w:sz w:val="20"/>
                <w:szCs w:val="20"/>
              </w:rPr>
            </w:pPr>
          </w:p>
        </w:tc>
        <w:tc>
          <w:tcPr>
            <w:tcW w:w="1274" w:type="dxa"/>
            <w:vMerge w:val="restart"/>
          </w:tcPr>
          <w:p w:rsidR="00492C6B" w:rsidRDefault="00492C6B" w:rsidP="00492C6B">
            <w:pPr>
              <w:jc w:val="center"/>
              <w:rPr>
                <w:rFonts w:ascii="Arial" w:hAnsi="Arial" w:cs="Arial"/>
                <w:b/>
                <w:sz w:val="20"/>
                <w:szCs w:val="20"/>
              </w:rPr>
            </w:pPr>
          </w:p>
          <w:p w:rsidR="000175FD" w:rsidRPr="004C0F9B" w:rsidRDefault="000175FD" w:rsidP="00492C6B">
            <w:pPr>
              <w:jc w:val="center"/>
              <w:rPr>
                <w:rFonts w:ascii="Arial" w:hAnsi="Arial" w:cs="Arial"/>
                <w:b/>
                <w:sz w:val="20"/>
                <w:szCs w:val="20"/>
              </w:rPr>
            </w:pPr>
            <w:r w:rsidRPr="004C0F9B">
              <w:rPr>
                <w:rFonts w:ascii="Arial" w:hAnsi="Arial" w:cs="Arial"/>
                <w:b/>
                <w:sz w:val="20"/>
                <w:szCs w:val="20"/>
              </w:rPr>
              <w:t>Initial</w:t>
            </w:r>
          </w:p>
        </w:tc>
        <w:tc>
          <w:tcPr>
            <w:tcW w:w="4960" w:type="dxa"/>
            <w:gridSpan w:val="2"/>
          </w:tcPr>
          <w:p w:rsidR="000175FD" w:rsidRPr="004C0F9B" w:rsidRDefault="000175FD" w:rsidP="003221BD">
            <w:pPr>
              <w:jc w:val="both"/>
              <w:rPr>
                <w:rFonts w:ascii="Arial" w:hAnsi="Arial" w:cs="Arial"/>
                <w:b/>
                <w:sz w:val="20"/>
                <w:szCs w:val="20"/>
              </w:rPr>
            </w:pPr>
            <w:r w:rsidRPr="004C0F9B">
              <w:rPr>
                <w:rFonts w:ascii="Arial" w:hAnsi="Arial" w:cs="Arial"/>
                <w:b/>
                <w:sz w:val="20"/>
                <w:szCs w:val="20"/>
              </w:rPr>
              <w:t>No. of times (x) of over-subscription in the public placing tranche</w:t>
            </w:r>
          </w:p>
        </w:tc>
      </w:tr>
      <w:tr w:rsidR="000175FD" w:rsidTr="000175FD">
        <w:tc>
          <w:tcPr>
            <w:tcW w:w="3116" w:type="dxa"/>
            <w:vMerge/>
          </w:tcPr>
          <w:p w:rsidR="000175FD" w:rsidRDefault="000175FD" w:rsidP="003221BD">
            <w:pPr>
              <w:jc w:val="both"/>
              <w:rPr>
                <w:rFonts w:ascii="Arial" w:hAnsi="Arial" w:cs="Arial"/>
                <w:sz w:val="20"/>
                <w:szCs w:val="20"/>
              </w:rPr>
            </w:pPr>
          </w:p>
        </w:tc>
        <w:tc>
          <w:tcPr>
            <w:tcW w:w="1274" w:type="dxa"/>
            <w:vMerge/>
          </w:tcPr>
          <w:p w:rsidR="000175FD" w:rsidRDefault="000175FD" w:rsidP="003221BD">
            <w:pPr>
              <w:jc w:val="both"/>
              <w:rPr>
                <w:rFonts w:ascii="Arial" w:hAnsi="Arial" w:cs="Arial"/>
                <w:sz w:val="20"/>
                <w:szCs w:val="20"/>
              </w:rPr>
            </w:pPr>
          </w:p>
        </w:tc>
        <w:tc>
          <w:tcPr>
            <w:tcW w:w="2409" w:type="dxa"/>
          </w:tcPr>
          <w:p w:rsidR="000175FD" w:rsidRPr="004C0F9B" w:rsidRDefault="000175FD" w:rsidP="000175FD">
            <w:pPr>
              <w:jc w:val="center"/>
              <w:rPr>
                <w:rFonts w:ascii="Arial" w:hAnsi="Arial" w:cs="Arial"/>
                <w:b/>
                <w:sz w:val="20"/>
                <w:szCs w:val="20"/>
                <w:u w:val="single"/>
              </w:rPr>
            </w:pPr>
            <w:r w:rsidRPr="004C0F9B">
              <w:rPr>
                <w:rFonts w:ascii="Arial" w:hAnsi="Arial" w:cs="Arial"/>
                <w:b/>
                <w:sz w:val="20"/>
                <w:szCs w:val="20"/>
                <w:u w:val="single"/>
              </w:rPr>
              <w:t>&gt;</w:t>
            </w:r>
            <w:r w:rsidRPr="004C0F9B">
              <w:rPr>
                <w:rFonts w:ascii="Arial" w:hAnsi="Arial" w:cs="Arial"/>
                <w:b/>
                <w:sz w:val="20"/>
                <w:szCs w:val="20"/>
              </w:rPr>
              <w:t xml:space="preserve"> 10x to &lt; 50x</w:t>
            </w:r>
          </w:p>
        </w:tc>
        <w:tc>
          <w:tcPr>
            <w:tcW w:w="2551" w:type="dxa"/>
          </w:tcPr>
          <w:p w:rsidR="000175FD" w:rsidRPr="004C0F9B" w:rsidRDefault="00492C6B" w:rsidP="004C0F9B">
            <w:pPr>
              <w:jc w:val="center"/>
              <w:rPr>
                <w:rFonts w:ascii="Arial" w:hAnsi="Arial" w:cs="Arial"/>
                <w:b/>
                <w:sz w:val="20"/>
                <w:szCs w:val="20"/>
                <w:u w:val="single"/>
              </w:rPr>
            </w:pPr>
            <w:r w:rsidRPr="004C0F9B">
              <w:rPr>
                <w:rFonts w:ascii="Arial" w:hAnsi="Arial" w:cs="Arial"/>
                <w:b/>
                <w:sz w:val="20"/>
                <w:szCs w:val="20"/>
                <w:u w:val="single"/>
              </w:rPr>
              <w:t>&gt;</w:t>
            </w:r>
            <w:r w:rsidRPr="00492C6B">
              <w:rPr>
                <w:rFonts w:ascii="Arial" w:hAnsi="Arial" w:cs="Arial"/>
                <w:b/>
                <w:sz w:val="20"/>
                <w:szCs w:val="20"/>
              </w:rPr>
              <w:t xml:space="preserve"> </w:t>
            </w:r>
            <w:r w:rsidR="000175FD" w:rsidRPr="004C0F9B">
              <w:rPr>
                <w:rFonts w:ascii="Arial" w:hAnsi="Arial" w:cs="Arial"/>
                <w:b/>
                <w:sz w:val="20"/>
                <w:szCs w:val="20"/>
              </w:rPr>
              <w:t>50x</w:t>
            </w:r>
          </w:p>
        </w:tc>
      </w:tr>
      <w:tr w:rsidR="004C0F9B" w:rsidTr="000175FD">
        <w:tc>
          <w:tcPr>
            <w:tcW w:w="3116" w:type="dxa"/>
          </w:tcPr>
          <w:p w:rsidR="004C0F9B" w:rsidRPr="000175FD" w:rsidRDefault="000175FD" w:rsidP="003221BD">
            <w:pPr>
              <w:jc w:val="both"/>
              <w:rPr>
                <w:rFonts w:ascii="Arial" w:hAnsi="Arial" w:cs="Arial"/>
                <w:b/>
                <w:sz w:val="20"/>
                <w:szCs w:val="20"/>
              </w:rPr>
            </w:pPr>
            <w:r w:rsidRPr="000175FD">
              <w:rPr>
                <w:rFonts w:ascii="Arial" w:hAnsi="Arial" w:cs="Arial"/>
                <w:b/>
                <w:sz w:val="20"/>
                <w:szCs w:val="20"/>
              </w:rPr>
              <w:t>Minimum allocation to retail investors as % of total shares offered in IPO</w:t>
            </w:r>
          </w:p>
        </w:tc>
        <w:tc>
          <w:tcPr>
            <w:tcW w:w="1274" w:type="dxa"/>
          </w:tcPr>
          <w:p w:rsidR="004C0F9B" w:rsidRDefault="004C0F9B" w:rsidP="003221BD">
            <w:pPr>
              <w:jc w:val="both"/>
              <w:rPr>
                <w:rFonts w:ascii="Arial" w:hAnsi="Arial" w:cs="Arial"/>
                <w:sz w:val="20"/>
                <w:szCs w:val="20"/>
              </w:rPr>
            </w:pPr>
          </w:p>
          <w:p w:rsidR="000175FD" w:rsidRDefault="000175FD" w:rsidP="000175FD">
            <w:pPr>
              <w:jc w:val="center"/>
              <w:rPr>
                <w:rFonts w:ascii="Arial" w:hAnsi="Arial" w:cs="Arial"/>
                <w:sz w:val="20"/>
                <w:szCs w:val="20"/>
              </w:rPr>
            </w:pPr>
            <w:r>
              <w:rPr>
                <w:rFonts w:ascii="Arial" w:hAnsi="Arial" w:cs="Arial"/>
                <w:sz w:val="20"/>
                <w:szCs w:val="20"/>
              </w:rPr>
              <w:t>5%</w:t>
            </w:r>
          </w:p>
        </w:tc>
        <w:tc>
          <w:tcPr>
            <w:tcW w:w="2409" w:type="dxa"/>
          </w:tcPr>
          <w:p w:rsidR="004C0F9B" w:rsidRDefault="004C0F9B" w:rsidP="003221BD">
            <w:pPr>
              <w:jc w:val="both"/>
              <w:rPr>
                <w:rFonts w:ascii="Arial" w:hAnsi="Arial" w:cs="Arial"/>
                <w:sz w:val="20"/>
                <w:szCs w:val="20"/>
              </w:rPr>
            </w:pPr>
          </w:p>
          <w:p w:rsidR="000175FD" w:rsidRDefault="000175FD" w:rsidP="000175FD">
            <w:pPr>
              <w:jc w:val="center"/>
              <w:rPr>
                <w:rFonts w:ascii="Arial" w:hAnsi="Arial" w:cs="Arial"/>
                <w:sz w:val="20"/>
                <w:szCs w:val="20"/>
              </w:rPr>
            </w:pPr>
            <w:r>
              <w:rPr>
                <w:rFonts w:ascii="Arial" w:hAnsi="Arial" w:cs="Arial"/>
                <w:sz w:val="20"/>
                <w:szCs w:val="20"/>
              </w:rPr>
              <w:t>10%</w:t>
            </w:r>
          </w:p>
        </w:tc>
        <w:tc>
          <w:tcPr>
            <w:tcW w:w="2551" w:type="dxa"/>
          </w:tcPr>
          <w:p w:rsidR="004C0F9B" w:rsidRDefault="004C0F9B" w:rsidP="003221BD">
            <w:pPr>
              <w:jc w:val="both"/>
              <w:rPr>
                <w:rFonts w:ascii="Arial" w:hAnsi="Arial" w:cs="Arial"/>
                <w:sz w:val="20"/>
                <w:szCs w:val="20"/>
              </w:rPr>
            </w:pPr>
          </w:p>
          <w:p w:rsidR="000175FD" w:rsidRDefault="000175FD" w:rsidP="000175FD">
            <w:pPr>
              <w:jc w:val="center"/>
              <w:rPr>
                <w:rFonts w:ascii="Arial" w:hAnsi="Arial" w:cs="Arial"/>
                <w:sz w:val="20"/>
                <w:szCs w:val="20"/>
              </w:rPr>
            </w:pPr>
            <w:r>
              <w:rPr>
                <w:rFonts w:ascii="Arial" w:hAnsi="Arial" w:cs="Arial"/>
                <w:sz w:val="20"/>
                <w:szCs w:val="20"/>
              </w:rPr>
              <w:t>20%</w:t>
            </w:r>
          </w:p>
        </w:tc>
      </w:tr>
    </w:tbl>
    <w:p w:rsidR="00492C6B" w:rsidRDefault="00492C6B" w:rsidP="00215E6A">
      <w:pPr>
        <w:jc w:val="both"/>
        <w:rPr>
          <w:rFonts w:ascii="Arial" w:hAnsi="Arial" w:cs="Arial"/>
          <w:b/>
          <w:sz w:val="20"/>
          <w:szCs w:val="20"/>
        </w:rPr>
      </w:pPr>
    </w:p>
    <w:p w:rsidR="00215E6A" w:rsidRPr="000175FD" w:rsidRDefault="00215E6A" w:rsidP="00215E6A">
      <w:pPr>
        <w:jc w:val="both"/>
        <w:rPr>
          <w:rFonts w:ascii="Arial" w:hAnsi="Arial" w:cs="Arial"/>
          <w:b/>
          <w:sz w:val="20"/>
          <w:szCs w:val="20"/>
        </w:rPr>
      </w:pPr>
      <w:r w:rsidRPr="000175FD">
        <w:rPr>
          <w:rFonts w:ascii="Arial" w:hAnsi="Arial" w:cs="Arial"/>
          <w:b/>
          <w:sz w:val="20"/>
          <w:szCs w:val="20"/>
        </w:rPr>
        <w:t>Additional Disclosure Requirements for Pre-Commercial Companies</w:t>
      </w:r>
    </w:p>
    <w:p w:rsidR="00215E6A" w:rsidRDefault="00215E6A" w:rsidP="00215E6A">
      <w:pPr>
        <w:jc w:val="both"/>
        <w:rPr>
          <w:rFonts w:ascii="Arial" w:hAnsi="Arial" w:cs="Arial"/>
          <w:sz w:val="20"/>
          <w:szCs w:val="20"/>
        </w:rPr>
      </w:pPr>
      <w:r w:rsidRPr="00235DA2">
        <w:rPr>
          <w:rFonts w:ascii="Arial" w:hAnsi="Arial" w:cs="Arial"/>
          <w:sz w:val="20"/>
          <w:szCs w:val="20"/>
        </w:rPr>
        <w:t xml:space="preserve">Pre-Commercial Companies will </w:t>
      </w:r>
      <w:r>
        <w:rPr>
          <w:rFonts w:ascii="Arial" w:hAnsi="Arial" w:cs="Arial"/>
          <w:sz w:val="20"/>
          <w:szCs w:val="20"/>
        </w:rPr>
        <w:t>be required to make the following additional disclosures in their listing d</w:t>
      </w:r>
      <w:r w:rsidRPr="00235DA2">
        <w:rPr>
          <w:rFonts w:ascii="Arial" w:hAnsi="Arial" w:cs="Arial"/>
          <w:sz w:val="20"/>
          <w:szCs w:val="20"/>
        </w:rPr>
        <w:t>ocument</w:t>
      </w:r>
      <w:r>
        <w:rPr>
          <w:rFonts w:ascii="Arial" w:hAnsi="Arial" w:cs="Arial"/>
          <w:sz w:val="20"/>
          <w:szCs w:val="20"/>
        </w:rPr>
        <w:t>s:</w:t>
      </w:r>
    </w:p>
    <w:p w:rsidR="00215E6A" w:rsidRDefault="00215E6A" w:rsidP="00215E6A">
      <w:pPr>
        <w:pStyle w:val="a3"/>
        <w:numPr>
          <w:ilvl w:val="0"/>
          <w:numId w:val="23"/>
        </w:numPr>
        <w:jc w:val="both"/>
        <w:rPr>
          <w:rFonts w:ascii="Arial" w:hAnsi="Arial" w:cs="Arial"/>
          <w:sz w:val="20"/>
          <w:szCs w:val="20"/>
        </w:rPr>
      </w:pPr>
      <w:r>
        <w:rPr>
          <w:rFonts w:ascii="Arial" w:hAnsi="Arial" w:cs="Arial"/>
          <w:sz w:val="20"/>
          <w:szCs w:val="20"/>
        </w:rPr>
        <w:t>the stage of research and development for each Specialist Technology Product;</w:t>
      </w:r>
    </w:p>
    <w:p w:rsidR="00215E6A" w:rsidRDefault="00215E6A" w:rsidP="00215E6A">
      <w:pPr>
        <w:pStyle w:val="a3"/>
        <w:ind w:left="778"/>
        <w:jc w:val="both"/>
        <w:rPr>
          <w:rFonts w:ascii="Arial" w:hAnsi="Arial" w:cs="Arial"/>
          <w:sz w:val="20"/>
          <w:szCs w:val="20"/>
        </w:rPr>
      </w:pPr>
    </w:p>
    <w:p w:rsidR="00215E6A" w:rsidRDefault="00215E6A" w:rsidP="00215E6A">
      <w:pPr>
        <w:pStyle w:val="a3"/>
        <w:numPr>
          <w:ilvl w:val="0"/>
          <w:numId w:val="23"/>
        </w:numPr>
        <w:jc w:val="both"/>
        <w:rPr>
          <w:rFonts w:ascii="Arial" w:hAnsi="Arial" w:cs="Arial"/>
          <w:sz w:val="20"/>
          <w:szCs w:val="20"/>
        </w:rPr>
      </w:pPr>
      <w:r>
        <w:rPr>
          <w:rFonts w:ascii="Arial" w:hAnsi="Arial" w:cs="Arial"/>
          <w:sz w:val="20"/>
          <w:szCs w:val="20"/>
        </w:rPr>
        <w:t xml:space="preserve">development details by key </w:t>
      </w:r>
      <w:r w:rsidRPr="00235DA2">
        <w:rPr>
          <w:rFonts w:ascii="Arial" w:hAnsi="Arial" w:cs="Arial"/>
          <w:sz w:val="20"/>
          <w:szCs w:val="20"/>
        </w:rPr>
        <w:t xml:space="preserve">stages and milestones for </w:t>
      </w:r>
      <w:r>
        <w:rPr>
          <w:rFonts w:ascii="Arial" w:hAnsi="Arial" w:cs="Arial"/>
          <w:sz w:val="20"/>
          <w:szCs w:val="20"/>
        </w:rPr>
        <w:t xml:space="preserve">their </w:t>
      </w:r>
      <w:r w:rsidRPr="00235DA2">
        <w:rPr>
          <w:rFonts w:ascii="Arial" w:hAnsi="Arial" w:cs="Arial"/>
          <w:sz w:val="20"/>
          <w:szCs w:val="20"/>
        </w:rPr>
        <w:t>S</w:t>
      </w:r>
      <w:r>
        <w:rPr>
          <w:rFonts w:ascii="Arial" w:hAnsi="Arial" w:cs="Arial"/>
          <w:sz w:val="20"/>
          <w:szCs w:val="20"/>
        </w:rPr>
        <w:t xml:space="preserve">pecialist Technology Product(s) </w:t>
      </w:r>
      <w:r w:rsidRPr="00235DA2">
        <w:rPr>
          <w:rFonts w:ascii="Arial" w:hAnsi="Arial" w:cs="Arial"/>
          <w:sz w:val="20"/>
          <w:szCs w:val="20"/>
        </w:rPr>
        <w:t>to achieve the Commercialisation Revenue Threshold</w:t>
      </w:r>
      <w:r>
        <w:rPr>
          <w:rFonts w:ascii="Arial" w:hAnsi="Arial" w:cs="Arial"/>
          <w:sz w:val="20"/>
          <w:szCs w:val="20"/>
        </w:rPr>
        <w:t>;</w:t>
      </w:r>
    </w:p>
    <w:p w:rsidR="00215E6A" w:rsidRPr="00215E6A" w:rsidRDefault="00215E6A" w:rsidP="00215E6A">
      <w:pPr>
        <w:pStyle w:val="a3"/>
        <w:rPr>
          <w:rFonts w:ascii="Arial" w:hAnsi="Arial" w:cs="Arial"/>
          <w:sz w:val="20"/>
          <w:szCs w:val="20"/>
        </w:rPr>
      </w:pPr>
    </w:p>
    <w:p w:rsidR="00215E6A" w:rsidRDefault="00215E6A" w:rsidP="00215E6A">
      <w:pPr>
        <w:pStyle w:val="a3"/>
        <w:numPr>
          <w:ilvl w:val="0"/>
          <w:numId w:val="23"/>
        </w:numPr>
        <w:jc w:val="both"/>
        <w:rPr>
          <w:rFonts w:ascii="Arial" w:hAnsi="Arial" w:cs="Arial"/>
          <w:sz w:val="20"/>
          <w:szCs w:val="20"/>
        </w:rPr>
      </w:pPr>
      <w:r w:rsidRPr="00215E6A">
        <w:rPr>
          <w:rFonts w:ascii="Arial" w:hAnsi="Arial" w:cs="Arial"/>
          <w:sz w:val="20"/>
          <w:szCs w:val="20"/>
        </w:rPr>
        <w:t>all relevant risks associated with th</w:t>
      </w:r>
      <w:r>
        <w:rPr>
          <w:rFonts w:ascii="Arial" w:hAnsi="Arial" w:cs="Arial"/>
          <w:sz w:val="20"/>
          <w:szCs w:val="20"/>
        </w:rPr>
        <w:t>e commercialisation of each Specialist Technology Product; and</w:t>
      </w:r>
    </w:p>
    <w:p w:rsidR="00215E6A" w:rsidRPr="00215E6A" w:rsidRDefault="00215E6A" w:rsidP="00215E6A">
      <w:pPr>
        <w:pStyle w:val="a3"/>
        <w:rPr>
          <w:rFonts w:ascii="Arial" w:hAnsi="Arial" w:cs="Arial"/>
          <w:sz w:val="20"/>
          <w:szCs w:val="20"/>
        </w:rPr>
      </w:pPr>
    </w:p>
    <w:p w:rsidR="00215E6A" w:rsidRPr="00215E6A" w:rsidRDefault="00215E6A" w:rsidP="00215E6A">
      <w:pPr>
        <w:pStyle w:val="a3"/>
        <w:numPr>
          <w:ilvl w:val="0"/>
          <w:numId w:val="23"/>
        </w:numPr>
        <w:jc w:val="both"/>
        <w:rPr>
          <w:rFonts w:ascii="Arial" w:hAnsi="Arial" w:cs="Arial"/>
          <w:sz w:val="20"/>
          <w:szCs w:val="20"/>
        </w:rPr>
      </w:pPr>
      <w:r>
        <w:rPr>
          <w:rFonts w:ascii="Arial" w:hAnsi="Arial" w:cs="Arial"/>
          <w:sz w:val="20"/>
          <w:szCs w:val="20"/>
        </w:rPr>
        <w:t>an</w:t>
      </w:r>
      <w:r w:rsidRPr="00215E6A">
        <w:rPr>
          <w:rFonts w:ascii="Arial" w:hAnsi="Arial" w:cs="Arial"/>
          <w:sz w:val="20"/>
          <w:szCs w:val="20"/>
        </w:rPr>
        <w:t xml:space="preserve"> additional warning statement must draw investors’ attention to the risk that the company may not generate sufficient revenue to sustain its operations after listing and that it may fail due to a lack of available funds.</w:t>
      </w:r>
    </w:p>
    <w:p w:rsidR="00215E6A" w:rsidRPr="00235DA2" w:rsidRDefault="00215E6A" w:rsidP="00215E6A">
      <w:pPr>
        <w:jc w:val="both"/>
        <w:rPr>
          <w:rFonts w:ascii="Arial" w:hAnsi="Arial" w:cs="Arial"/>
          <w:sz w:val="20"/>
          <w:szCs w:val="20"/>
        </w:rPr>
      </w:pPr>
    </w:p>
    <w:p w:rsidR="00215E6A" w:rsidRDefault="00215E6A" w:rsidP="001B5F54">
      <w:pPr>
        <w:jc w:val="both"/>
        <w:rPr>
          <w:rFonts w:ascii="Arial" w:hAnsi="Arial" w:cs="Arial"/>
          <w:sz w:val="20"/>
          <w:szCs w:val="20"/>
        </w:rPr>
      </w:pPr>
    </w:p>
    <w:p w:rsidR="00215E6A" w:rsidRDefault="00215E6A" w:rsidP="001B5F54">
      <w:pPr>
        <w:jc w:val="both"/>
        <w:rPr>
          <w:rFonts w:ascii="Arial" w:hAnsi="Arial" w:cs="Arial"/>
          <w:b/>
          <w:sz w:val="20"/>
          <w:szCs w:val="20"/>
        </w:rPr>
      </w:pPr>
      <w:r>
        <w:rPr>
          <w:rFonts w:ascii="Arial" w:hAnsi="Arial" w:cs="Arial"/>
          <w:b/>
          <w:sz w:val="20"/>
          <w:szCs w:val="20"/>
        </w:rPr>
        <w:t>Subscription of IPO Shares by Existing Shareholders</w:t>
      </w:r>
    </w:p>
    <w:p w:rsidR="00156357" w:rsidRDefault="003A1385" w:rsidP="001B5F54">
      <w:pPr>
        <w:jc w:val="both"/>
        <w:rPr>
          <w:rFonts w:ascii="Arial" w:hAnsi="Arial" w:cs="Arial"/>
          <w:sz w:val="20"/>
          <w:szCs w:val="20"/>
        </w:rPr>
      </w:pPr>
      <w:r>
        <w:rPr>
          <w:rFonts w:ascii="Arial" w:hAnsi="Arial" w:cs="Arial"/>
          <w:sz w:val="20"/>
          <w:szCs w:val="20"/>
        </w:rPr>
        <w:t xml:space="preserve">The HKEX proposes to allow existing shareholders of Specialist Technology Companies to subscribe for their IPO shares provided that the company meets the public float requirement, the requirement for a minimum allocation to Independent Institutional Investors and the minimum free float requirement. </w:t>
      </w:r>
      <w:r w:rsidR="00A851C7">
        <w:rPr>
          <w:rFonts w:ascii="Arial" w:hAnsi="Arial" w:cs="Arial"/>
          <w:sz w:val="20"/>
          <w:szCs w:val="20"/>
        </w:rPr>
        <w:t>The “</w:t>
      </w:r>
      <w:r w:rsidR="00AB6B29">
        <w:rPr>
          <w:rFonts w:ascii="Arial" w:hAnsi="Arial" w:cs="Arial"/>
          <w:sz w:val="20"/>
          <w:szCs w:val="20"/>
        </w:rPr>
        <w:t>E</w:t>
      </w:r>
      <w:r w:rsidR="00AB6B29" w:rsidRPr="00235DA2">
        <w:rPr>
          <w:rFonts w:ascii="Arial" w:hAnsi="Arial" w:cs="Arial"/>
          <w:sz w:val="20"/>
          <w:szCs w:val="20"/>
        </w:rPr>
        <w:t>xisting</w:t>
      </w:r>
      <w:r w:rsidR="00A851C7">
        <w:rPr>
          <w:rFonts w:ascii="Arial" w:hAnsi="Arial" w:cs="Arial"/>
          <w:sz w:val="20"/>
          <w:szCs w:val="20"/>
        </w:rPr>
        <w:t xml:space="preserve"> Shareholder Conditions” set out </w:t>
      </w:r>
      <w:r w:rsidR="00156357">
        <w:rPr>
          <w:rFonts w:ascii="Arial" w:hAnsi="Arial" w:cs="Arial"/>
          <w:sz w:val="20"/>
          <w:szCs w:val="20"/>
        </w:rPr>
        <w:t>at paragraph 4.20 of</w:t>
      </w:r>
      <w:r w:rsidR="00A851C7">
        <w:rPr>
          <w:rFonts w:ascii="Arial" w:hAnsi="Arial" w:cs="Arial"/>
          <w:sz w:val="20"/>
          <w:szCs w:val="20"/>
        </w:rPr>
        <w:t xml:space="preserve"> </w:t>
      </w:r>
      <w:hyperlink r:id="rId10" w:history="1">
        <w:r w:rsidR="00A851C7" w:rsidRPr="00A851C7">
          <w:rPr>
            <w:rStyle w:val="a9"/>
            <w:rFonts w:ascii="Arial" w:hAnsi="Arial" w:cs="Arial"/>
            <w:sz w:val="20"/>
            <w:szCs w:val="20"/>
          </w:rPr>
          <w:t>HKEX Guidance Letter HKEX-GL85-16</w:t>
        </w:r>
      </w:hyperlink>
      <w:r w:rsidR="00982712" w:rsidRPr="00235DA2">
        <w:rPr>
          <w:rFonts w:ascii="Arial" w:hAnsi="Arial" w:cs="Arial"/>
          <w:sz w:val="20"/>
          <w:szCs w:val="20"/>
        </w:rPr>
        <w:t xml:space="preserve"> </w:t>
      </w:r>
      <w:r w:rsidR="00156357">
        <w:rPr>
          <w:rFonts w:ascii="Arial" w:hAnsi="Arial" w:cs="Arial"/>
          <w:sz w:val="20"/>
          <w:szCs w:val="20"/>
        </w:rPr>
        <w:t>will not apply to Specialist Technology Companies. Accordingly, it is proposed that:</w:t>
      </w:r>
    </w:p>
    <w:p w:rsidR="00156357" w:rsidRDefault="00156357" w:rsidP="00156357">
      <w:pPr>
        <w:pStyle w:val="a3"/>
        <w:numPr>
          <w:ilvl w:val="0"/>
          <w:numId w:val="24"/>
        </w:numPr>
        <w:jc w:val="both"/>
        <w:rPr>
          <w:rFonts w:ascii="Arial" w:hAnsi="Arial" w:cs="Arial"/>
          <w:sz w:val="20"/>
          <w:szCs w:val="20"/>
        </w:rPr>
      </w:pPr>
      <w:r>
        <w:rPr>
          <w:rFonts w:ascii="Arial" w:hAnsi="Arial" w:cs="Arial"/>
          <w:sz w:val="20"/>
          <w:szCs w:val="20"/>
        </w:rPr>
        <w:t>an existing shareholder holding less than 10% of the applicant’s shares before listing will</w:t>
      </w:r>
      <w:r w:rsidR="00982712" w:rsidRPr="00156357">
        <w:rPr>
          <w:rFonts w:ascii="Arial" w:hAnsi="Arial" w:cs="Arial"/>
          <w:sz w:val="20"/>
          <w:szCs w:val="20"/>
        </w:rPr>
        <w:t xml:space="preserve"> be permitted to participate in its IPO </w:t>
      </w:r>
      <w:r>
        <w:rPr>
          <w:rFonts w:ascii="Arial" w:hAnsi="Arial" w:cs="Arial"/>
          <w:sz w:val="20"/>
          <w:szCs w:val="20"/>
        </w:rPr>
        <w:t xml:space="preserve">as either a cornerstone investor or as a placee. </w:t>
      </w:r>
    </w:p>
    <w:p w:rsidR="00156357" w:rsidRDefault="00156357" w:rsidP="00156357">
      <w:pPr>
        <w:pStyle w:val="a3"/>
        <w:ind w:left="835"/>
        <w:jc w:val="both"/>
        <w:rPr>
          <w:rFonts w:ascii="Arial" w:hAnsi="Arial" w:cs="Arial"/>
          <w:sz w:val="20"/>
          <w:szCs w:val="20"/>
        </w:rPr>
      </w:pPr>
    </w:p>
    <w:p w:rsidR="00156357" w:rsidRDefault="00156357" w:rsidP="00156357">
      <w:pPr>
        <w:pStyle w:val="a3"/>
        <w:ind w:left="835"/>
        <w:jc w:val="both"/>
        <w:rPr>
          <w:rFonts w:ascii="Arial" w:hAnsi="Arial" w:cs="Arial"/>
          <w:sz w:val="20"/>
          <w:szCs w:val="20"/>
        </w:rPr>
      </w:pPr>
      <w:r>
        <w:rPr>
          <w:rFonts w:ascii="Arial" w:hAnsi="Arial" w:cs="Arial"/>
          <w:sz w:val="20"/>
          <w:szCs w:val="20"/>
        </w:rPr>
        <w:t xml:space="preserve">Where an existing shareholder subscribes as a placee, the applicant and its sponsor must confirm that no allocation preference was made. Where an existing shareholder subscribes as a cornerstone investor, confirmation must be given by the applicant and its sponsor that </w:t>
      </w:r>
      <w:r w:rsidR="00515EDC">
        <w:rPr>
          <w:rFonts w:ascii="Arial" w:hAnsi="Arial" w:cs="Arial"/>
          <w:sz w:val="20"/>
          <w:szCs w:val="20"/>
        </w:rPr>
        <w:t>no preference was given to the existing shareholder other than an ensured entitlement at the IPO price and the terms of subscription must be substantially the same as those of any other cornerstone investors;</w:t>
      </w:r>
    </w:p>
    <w:p w:rsidR="00515EDC" w:rsidRDefault="00515EDC" w:rsidP="00156357">
      <w:pPr>
        <w:pStyle w:val="a3"/>
        <w:ind w:left="835"/>
        <w:jc w:val="both"/>
        <w:rPr>
          <w:rFonts w:ascii="Arial" w:hAnsi="Arial" w:cs="Arial"/>
          <w:sz w:val="20"/>
          <w:szCs w:val="20"/>
        </w:rPr>
      </w:pPr>
    </w:p>
    <w:p w:rsidR="00515EDC" w:rsidRPr="00515EDC" w:rsidRDefault="00515EDC" w:rsidP="00515EDC">
      <w:pPr>
        <w:pStyle w:val="a3"/>
        <w:numPr>
          <w:ilvl w:val="0"/>
          <w:numId w:val="24"/>
        </w:numPr>
        <w:jc w:val="both"/>
        <w:rPr>
          <w:rFonts w:ascii="Arial" w:hAnsi="Arial" w:cs="Arial"/>
          <w:sz w:val="20"/>
          <w:szCs w:val="20"/>
        </w:rPr>
      </w:pPr>
      <w:r>
        <w:rPr>
          <w:rFonts w:ascii="Arial" w:hAnsi="Arial" w:cs="Arial"/>
          <w:sz w:val="20"/>
          <w:szCs w:val="20"/>
        </w:rPr>
        <w:t>an existing shareholder holding 10% or more of the shares in a Specialist Technology Company will be able to participate in the IPO as a cornerstone investor.</w:t>
      </w:r>
    </w:p>
    <w:p w:rsidR="00156357" w:rsidRDefault="00515EDC" w:rsidP="00515EDC">
      <w:pPr>
        <w:jc w:val="both"/>
        <w:rPr>
          <w:rFonts w:ascii="Arial" w:hAnsi="Arial" w:cs="Arial"/>
          <w:sz w:val="20"/>
          <w:szCs w:val="20"/>
        </w:rPr>
      </w:pPr>
      <w:r>
        <w:rPr>
          <w:rFonts w:ascii="Arial" w:hAnsi="Arial" w:cs="Arial"/>
          <w:sz w:val="20"/>
          <w:szCs w:val="20"/>
        </w:rPr>
        <w:t xml:space="preserve">If shares will be allocated to core connected persons, the Specialist Technology Company will need to apply for, and the HKEX will typically grant, a waiver from Main Board Listing Rule 9.09. </w:t>
      </w:r>
      <w:r w:rsidR="003A1385">
        <w:rPr>
          <w:rFonts w:ascii="Arial" w:hAnsi="Arial" w:cs="Arial"/>
          <w:sz w:val="20"/>
          <w:szCs w:val="20"/>
        </w:rPr>
        <w:t xml:space="preserve">Existing shareholders with contractual anti-dilution rights will also be allowed to subscribe for IPO shares in accordance with paragraph 3.10 of </w:t>
      </w:r>
      <w:hyperlink r:id="rId11" w:history="1">
        <w:r w:rsidR="003A1385" w:rsidRPr="003A1385">
          <w:rPr>
            <w:rStyle w:val="a9"/>
            <w:rFonts w:ascii="Arial" w:hAnsi="Arial" w:cs="Arial"/>
            <w:sz w:val="20"/>
            <w:szCs w:val="20"/>
          </w:rPr>
          <w:t>Guidance Letter HKEX-GL43-12</w:t>
        </w:r>
      </w:hyperlink>
      <w:r w:rsidR="003A1385">
        <w:rPr>
          <w:rFonts w:ascii="Arial" w:hAnsi="Arial" w:cs="Arial"/>
          <w:sz w:val="20"/>
          <w:szCs w:val="20"/>
        </w:rPr>
        <w:t>.</w:t>
      </w:r>
    </w:p>
    <w:p w:rsidR="003A1385" w:rsidRPr="00515EDC" w:rsidRDefault="003A1385" w:rsidP="00515EDC">
      <w:pPr>
        <w:jc w:val="both"/>
        <w:rPr>
          <w:rFonts w:ascii="Arial" w:hAnsi="Arial" w:cs="Arial"/>
          <w:sz w:val="20"/>
          <w:szCs w:val="20"/>
        </w:rPr>
      </w:pPr>
      <w:r>
        <w:rPr>
          <w:rFonts w:ascii="Arial" w:hAnsi="Arial" w:cs="Arial"/>
          <w:sz w:val="20"/>
          <w:szCs w:val="20"/>
        </w:rPr>
        <w:t xml:space="preserve">Specialist Technology Company shares subscribed by existing shareholders will not count </w:t>
      </w:r>
      <w:r w:rsidR="004D2A9B">
        <w:rPr>
          <w:rFonts w:ascii="Arial" w:hAnsi="Arial" w:cs="Arial"/>
          <w:sz w:val="20"/>
          <w:szCs w:val="20"/>
        </w:rPr>
        <w:t>towards the required</w:t>
      </w:r>
      <w:r>
        <w:rPr>
          <w:rFonts w:ascii="Arial" w:hAnsi="Arial" w:cs="Arial"/>
          <w:sz w:val="20"/>
          <w:szCs w:val="20"/>
        </w:rPr>
        <w:t xml:space="preserve"> </w:t>
      </w:r>
      <w:r w:rsidR="004D2A9B">
        <w:rPr>
          <w:rFonts w:ascii="Arial" w:hAnsi="Arial" w:cs="Arial"/>
          <w:sz w:val="20"/>
          <w:szCs w:val="20"/>
        </w:rPr>
        <w:t>allocation of 50% of IPO shares to Independent Institutional Investors.</w:t>
      </w:r>
    </w:p>
    <w:p w:rsidR="004D2A9B" w:rsidRPr="00BB1956" w:rsidRDefault="004D2A9B" w:rsidP="00066226">
      <w:pPr>
        <w:jc w:val="both"/>
        <w:rPr>
          <w:rFonts w:ascii="Arial" w:hAnsi="Arial" w:cs="Arial"/>
          <w:b/>
          <w:color w:val="FF0000"/>
          <w:sz w:val="20"/>
          <w:szCs w:val="20"/>
        </w:rPr>
      </w:pPr>
      <w:r w:rsidRPr="00BB1956">
        <w:rPr>
          <w:rFonts w:ascii="Arial" w:hAnsi="Arial" w:cs="Arial"/>
          <w:b/>
          <w:color w:val="FF0000"/>
          <w:sz w:val="20"/>
          <w:szCs w:val="20"/>
        </w:rPr>
        <w:t xml:space="preserve">Post-IPO Lock-ups </w:t>
      </w:r>
    </w:p>
    <w:p w:rsidR="00C23A5E" w:rsidRDefault="004D2A9B" w:rsidP="00066226">
      <w:pPr>
        <w:jc w:val="both"/>
        <w:rPr>
          <w:rFonts w:ascii="Arial" w:hAnsi="Arial" w:cs="Arial"/>
          <w:sz w:val="20"/>
          <w:szCs w:val="20"/>
        </w:rPr>
      </w:pPr>
      <w:r>
        <w:rPr>
          <w:rFonts w:ascii="Arial" w:hAnsi="Arial" w:cs="Arial"/>
          <w:sz w:val="20"/>
          <w:szCs w:val="20"/>
        </w:rPr>
        <w:t>The proposed listing regime will impose post-</w:t>
      </w:r>
      <w:r w:rsidR="00982712" w:rsidRPr="00235DA2">
        <w:rPr>
          <w:rFonts w:ascii="Arial" w:hAnsi="Arial" w:cs="Arial"/>
          <w:sz w:val="20"/>
          <w:szCs w:val="20"/>
        </w:rPr>
        <w:t>IPO lock-ups on</w:t>
      </w:r>
      <w:r w:rsidR="00C23A5E">
        <w:rPr>
          <w:rFonts w:ascii="Arial" w:hAnsi="Arial" w:cs="Arial"/>
          <w:sz w:val="20"/>
          <w:szCs w:val="20"/>
        </w:rPr>
        <w:t>:</w:t>
      </w:r>
      <w:r w:rsidR="00982712" w:rsidRPr="00235DA2">
        <w:rPr>
          <w:rFonts w:ascii="Arial" w:hAnsi="Arial" w:cs="Arial"/>
          <w:sz w:val="20"/>
          <w:szCs w:val="20"/>
        </w:rPr>
        <w:t xml:space="preserve"> </w:t>
      </w:r>
    </w:p>
    <w:p w:rsidR="00C23A5E" w:rsidRDefault="00C23A5E" w:rsidP="00C23A5E">
      <w:pPr>
        <w:pStyle w:val="a3"/>
        <w:numPr>
          <w:ilvl w:val="0"/>
          <w:numId w:val="21"/>
        </w:numPr>
        <w:jc w:val="both"/>
        <w:rPr>
          <w:rFonts w:ascii="Arial" w:hAnsi="Arial" w:cs="Arial"/>
          <w:sz w:val="20"/>
          <w:szCs w:val="20"/>
        </w:rPr>
      </w:pPr>
      <w:r>
        <w:rPr>
          <w:rFonts w:ascii="Arial" w:hAnsi="Arial" w:cs="Arial"/>
          <w:sz w:val="20"/>
          <w:szCs w:val="20"/>
        </w:rPr>
        <w:t>controlling shareholders</w:t>
      </w:r>
      <w:r w:rsidR="00FA5262">
        <w:rPr>
          <w:rFonts w:ascii="Arial" w:hAnsi="Arial" w:cs="Arial"/>
          <w:sz w:val="20"/>
          <w:szCs w:val="20"/>
        </w:rPr>
        <w:t>;</w:t>
      </w:r>
      <w:r>
        <w:rPr>
          <w:rFonts w:ascii="Arial" w:hAnsi="Arial" w:cs="Arial"/>
          <w:sz w:val="20"/>
          <w:szCs w:val="20"/>
        </w:rPr>
        <w:t xml:space="preserve"> </w:t>
      </w:r>
    </w:p>
    <w:p w:rsidR="00C23A5E" w:rsidRDefault="00C23A5E" w:rsidP="00C23A5E">
      <w:pPr>
        <w:pStyle w:val="a3"/>
        <w:jc w:val="both"/>
        <w:rPr>
          <w:rFonts w:ascii="Arial" w:hAnsi="Arial" w:cs="Arial"/>
          <w:sz w:val="20"/>
          <w:szCs w:val="20"/>
        </w:rPr>
      </w:pPr>
    </w:p>
    <w:p w:rsidR="00C23A5E" w:rsidRDefault="001B5F54" w:rsidP="00C23A5E">
      <w:pPr>
        <w:pStyle w:val="a3"/>
        <w:numPr>
          <w:ilvl w:val="0"/>
          <w:numId w:val="21"/>
        </w:numPr>
        <w:jc w:val="both"/>
        <w:rPr>
          <w:rFonts w:ascii="Arial" w:hAnsi="Arial" w:cs="Arial"/>
          <w:sz w:val="20"/>
          <w:szCs w:val="20"/>
        </w:rPr>
      </w:pPr>
      <w:r w:rsidRPr="00C23A5E">
        <w:rPr>
          <w:rFonts w:ascii="Arial" w:hAnsi="Arial" w:cs="Arial"/>
          <w:sz w:val="20"/>
          <w:szCs w:val="20"/>
        </w:rPr>
        <w:t>key persons (</w:t>
      </w:r>
      <w:r w:rsidR="004D2A9B">
        <w:rPr>
          <w:rFonts w:ascii="Arial" w:hAnsi="Arial" w:cs="Arial"/>
          <w:sz w:val="20"/>
          <w:szCs w:val="20"/>
        </w:rPr>
        <w:t xml:space="preserve">including </w:t>
      </w:r>
      <w:r w:rsidR="00344BDF" w:rsidRPr="00C23A5E">
        <w:rPr>
          <w:rFonts w:ascii="Arial" w:hAnsi="Arial" w:cs="Arial"/>
          <w:sz w:val="20"/>
          <w:szCs w:val="20"/>
        </w:rPr>
        <w:t>the founders, the beneficiaries of weighted voting rights, executive directors and senior management, and key personnel responsible for the technical operations and/or R&amp;D of the Specialist Technology Company</w:t>
      </w:r>
      <w:r w:rsidR="00982712" w:rsidRPr="00C23A5E">
        <w:rPr>
          <w:rFonts w:ascii="Arial" w:hAnsi="Arial" w:cs="Arial"/>
          <w:sz w:val="20"/>
          <w:szCs w:val="20"/>
        </w:rPr>
        <w:t>)</w:t>
      </w:r>
      <w:r w:rsidR="005D4658">
        <w:rPr>
          <w:rFonts w:ascii="Arial" w:hAnsi="Arial" w:cs="Arial"/>
          <w:sz w:val="20"/>
          <w:szCs w:val="20"/>
        </w:rPr>
        <w:t xml:space="preserve"> (</w:t>
      </w:r>
      <w:r w:rsidR="005D4658" w:rsidRPr="005D4658">
        <w:rPr>
          <w:rFonts w:ascii="Arial" w:hAnsi="Arial" w:cs="Arial"/>
          <w:b/>
          <w:sz w:val="20"/>
          <w:szCs w:val="20"/>
        </w:rPr>
        <w:t>Key Persons</w:t>
      </w:r>
      <w:r w:rsidR="005D4658">
        <w:rPr>
          <w:rFonts w:ascii="Arial" w:hAnsi="Arial" w:cs="Arial"/>
          <w:sz w:val="20"/>
          <w:szCs w:val="20"/>
        </w:rPr>
        <w:t>)</w:t>
      </w:r>
      <w:r w:rsidR="00C23A5E">
        <w:rPr>
          <w:rFonts w:ascii="Arial" w:hAnsi="Arial" w:cs="Arial"/>
          <w:sz w:val="20"/>
          <w:szCs w:val="20"/>
        </w:rPr>
        <w:t xml:space="preserve">; </w:t>
      </w:r>
      <w:r w:rsidR="00982712" w:rsidRPr="00C23A5E">
        <w:rPr>
          <w:rFonts w:ascii="Arial" w:hAnsi="Arial" w:cs="Arial"/>
          <w:sz w:val="20"/>
          <w:szCs w:val="20"/>
        </w:rPr>
        <w:t>and</w:t>
      </w:r>
    </w:p>
    <w:p w:rsidR="00C23A5E" w:rsidRPr="00C23A5E" w:rsidRDefault="00C23A5E" w:rsidP="00C23A5E">
      <w:pPr>
        <w:pStyle w:val="a3"/>
        <w:jc w:val="both"/>
        <w:rPr>
          <w:rFonts w:ascii="Arial" w:hAnsi="Arial" w:cs="Arial"/>
          <w:sz w:val="20"/>
          <w:szCs w:val="20"/>
        </w:rPr>
      </w:pPr>
    </w:p>
    <w:p w:rsidR="00C23A5E" w:rsidRPr="00C23A5E" w:rsidRDefault="00982712" w:rsidP="00C23A5E">
      <w:pPr>
        <w:pStyle w:val="a3"/>
        <w:numPr>
          <w:ilvl w:val="0"/>
          <w:numId w:val="21"/>
        </w:numPr>
        <w:jc w:val="both"/>
        <w:rPr>
          <w:rFonts w:ascii="Arial" w:hAnsi="Arial" w:cs="Arial"/>
          <w:sz w:val="20"/>
          <w:szCs w:val="20"/>
        </w:rPr>
      </w:pPr>
      <w:r w:rsidRPr="00C23A5E">
        <w:rPr>
          <w:rFonts w:ascii="Arial" w:hAnsi="Arial" w:cs="Arial"/>
          <w:sz w:val="20"/>
          <w:szCs w:val="20"/>
        </w:rPr>
        <w:t xml:space="preserve">the Pathfinder SIIs. </w:t>
      </w:r>
    </w:p>
    <w:p w:rsidR="005D4658" w:rsidRDefault="005D4658" w:rsidP="00066226">
      <w:pPr>
        <w:jc w:val="both"/>
        <w:rPr>
          <w:rFonts w:ascii="Arial" w:hAnsi="Arial" w:cs="Arial"/>
          <w:sz w:val="20"/>
          <w:szCs w:val="20"/>
        </w:rPr>
      </w:pPr>
      <w:r>
        <w:rPr>
          <w:rFonts w:ascii="Arial" w:hAnsi="Arial" w:cs="Arial"/>
          <w:sz w:val="20"/>
          <w:szCs w:val="20"/>
        </w:rPr>
        <w:t>It is proposed that:</w:t>
      </w:r>
    </w:p>
    <w:p w:rsidR="005D4658" w:rsidRDefault="005D4658" w:rsidP="005D4658">
      <w:pPr>
        <w:pStyle w:val="a3"/>
        <w:numPr>
          <w:ilvl w:val="0"/>
          <w:numId w:val="24"/>
        </w:numPr>
        <w:jc w:val="both"/>
        <w:rPr>
          <w:rFonts w:ascii="Arial" w:hAnsi="Arial" w:cs="Arial"/>
          <w:sz w:val="20"/>
          <w:szCs w:val="20"/>
        </w:rPr>
      </w:pPr>
      <w:r>
        <w:rPr>
          <w:rFonts w:ascii="Arial" w:hAnsi="Arial" w:cs="Arial"/>
          <w:sz w:val="20"/>
          <w:szCs w:val="20"/>
        </w:rPr>
        <w:t xml:space="preserve">Controlling shareholders of a </w:t>
      </w:r>
      <w:r w:rsidRPr="005D4658">
        <w:rPr>
          <w:rFonts w:ascii="Arial" w:hAnsi="Arial" w:cs="Arial"/>
          <w:sz w:val="20"/>
          <w:szCs w:val="20"/>
        </w:rPr>
        <w:t xml:space="preserve">Commercial </w:t>
      </w:r>
      <w:r w:rsidRPr="00C23A5E">
        <w:rPr>
          <w:rFonts w:ascii="Arial" w:hAnsi="Arial" w:cs="Arial"/>
          <w:sz w:val="20"/>
          <w:szCs w:val="20"/>
        </w:rPr>
        <w:t>Company</w:t>
      </w:r>
      <w:r w:rsidRPr="005D4658">
        <w:rPr>
          <w:rFonts w:ascii="Arial" w:hAnsi="Arial" w:cs="Arial"/>
          <w:sz w:val="20"/>
          <w:szCs w:val="20"/>
        </w:rPr>
        <w:t xml:space="preserve"> </w:t>
      </w:r>
      <w:r>
        <w:rPr>
          <w:rFonts w:ascii="Arial" w:hAnsi="Arial" w:cs="Arial"/>
          <w:sz w:val="20"/>
          <w:szCs w:val="20"/>
        </w:rPr>
        <w:t>will be subject to a 12-month lock-up period, while the controlling shareholders of a Pre-</w:t>
      </w:r>
      <w:r w:rsidRPr="005D4658">
        <w:rPr>
          <w:rFonts w:ascii="Arial" w:hAnsi="Arial" w:cs="Arial"/>
          <w:sz w:val="20"/>
          <w:szCs w:val="20"/>
        </w:rPr>
        <w:t xml:space="preserve">Commercial </w:t>
      </w:r>
      <w:r w:rsidRPr="00C23A5E">
        <w:rPr>
          <w:rFonts w:ascii="Arial" w:hAnsi="Arial" w:cs="Arial"/>
          <w:sz w:val="20"/>
          <w:szCs w:val="20"/>
        </w:rPr>
        <w:t>Company</w:t>
      </w:r>
      <w:r>
        <w:rPr>
          <w:rFonts w:ascii="Arial" w:hAnsi="Arial" w:cs="Arial"/>
          <w:sz w:val="20"/>
          <w:szCs w:val="20"/>
        </w:rPr>
        <w:t xml:space="preserve"> will be subject to a 24-month lock-up period;</w:t>
      </w:r>
    </w:p>
    <w:p w:rsidR="005D4658" w:rsidRDefault="005D4658" w:rsidP="005D4658">
      <w:pPr>
        <w:pStyle w:val="a3"/>
        <w:ind w:left="835"/>
        <w:jc w:val="both"/>
        <w:rPr>
          <w:rFonts w:ascii="Arial" w:hAnsi="Arial" w:cs="Arial"/>
          <w:sz w:val="20"/>
          <w:szCs w:val="20"/>
        </w:rPr>
      </w:pPr>
    </w:p>
    <w:p w:rsidR="00A93E70" w:rsidRDefault="005D4658" w:rsidP="005D4658">
      <w:pPr>
        <w:pStyle w:val="a3"/>
        <w:numPr>
          <w:ilvl w:val="0"/>
          <w:numId w:val="24"/>
        </w:numPr>
        <w:jc w:val="both"/>
        <w:rPr>
          <w:rFonts w:ascii="Arial" w:hAnsi="Arial" w:cs="Arial"/>
          <w:sz w:val="20"/>
          <w:szCs w:val="20"/>
        </w:rPr>
      </w:pPr>
      <w:r>
        <w:rPr>
          <w:rFonts w:ascii="Arial" w:hAnsi="Arial" w:cs="Arial"/>
          <w:sz w:val="20"/>
          <w:szCs w:val="20"/>
        </w:rPr>
        <w:t xml:space="preserve">Key Persons of a </w:t>
      </w:r>
      <w:r w:rsidRPr="005D4658">
        <w:rPr>
          <w:rFonts w:ascii="Arial" w:hAnsi="Arial" w:cs="Arial"/>
          <w:sz w:val="20"/>
          <w:szCs w:val="20"/>
        </w:rPr>
        <w:t xml:space="preserve">Commercial </w:t>
      </w:r>
      <w:r w:rsidRPr="00C23A5E">
        <w:rPr>
          <w:rFonts w:ascii="Arial" w:hAnsi="Arial" w:cs="Arial"/>
          <w:sz w:val="20"/>
          <w:szCs w:val="20"/>
        </w:rPr>
        <w:t>Company</w:t>
      </w:r>
      <w:r w:rsidRPr="005D4658">
        <w:rPr>
          <w:rFonts w:ascii="Arial" w:hAnsi="Arial" w:cs="Arial"/>
          <w:sz w:val="20"/>
          <w:szCs w:val="20"/>
        </w:rPr>
        <w:t xml:space="preserve"> </w:t>
      </w:r>
      <w:r>
        <w:rPr>
          <w:rFonts w:ascii="Arial" w:hAnsi="Arial" w:cs="Arial"/>
          <w:sz w:val="20"/>
          <w:szCs w:val="20"/>
        </w:rPr>
        <w:t>and their associates will be subject to a 12-month lock-up period, while Key Persons of a</w:t>
      </w:r>
      <w:r w:rsidR="00982712" w:rsidRPr="005D4658">
        <w:rPr>
          <w:rFonts w:ascii="Arial" w:hAnsi="Arial" w:cs="Arial"/>
          <w:sz w:val="20"/>
          <w:szCs w:val="20"/>
        </w:rPr>
        <w:t xml:space="preserve"> </w:t>
      </w:r>
      <w:r>
        <w:rPr>
          <w:rFonts w:ascii="Arial" w:hAnsi="Arial" w:cs="Arial"/>
          <w:sz w:val="20"/>
          <w:szCs w:val="20"/>
        </w:rPr>
        <w:t>Pre-</w:t>
      </w:r>
      <w:r w:rsidRPr="005D4658">
        <w:rPr>
          <w:rFonts w:ascii="Arial" w:hAnsi="Arial" w:cs="Arial"/>
          <w:sz w:val="20"/>
          <w:szCs w:val="20"/>
        </w:rPr>
        <w:t xml:space="preserve">Commercial </w:t>
      </w:r>
      <w:r w:rsidRPr="00C23A5E">
        <w:rPr>
          <w:rFonts w:ascii="Arial" w:hAnsi="Arial" w:cs="Arial"/>
          <w:sz w:val="20"/>
          <w:szCs w:val="20"/>
        </w:rPr>
        <w:t>Company</w:t>
      </w:r>
      <w:r>
        <w:rPr>
          <w:rFonts w:ascii="Arial" w:hAnsi="Arial" w:cs="Arial"/>
          <w:sz w:val="20"/>
          <w:szCs w:val="20"/>
        </w:rPr>
        <w:t xml:space="preserve"> will be subject to a 24-month lock-up period. The </w:t>
      </w:r>
      <w:r w:rsidR="00A93E70">
        <w:rPr>
          <w:rFonts w:ascii="Arial" w:hAnsi="Arial" w:cs="Arial"/>
          <w:sz w:val="20"/>
          <w:szCs w:val="20"/>
        </w:rPr>
        <w:t xml:space="preserve">HKEX will reserve the right to deem any person to be a Key Person depending on the facts and circumstances. As an anti-avoidance provision, the </w:t>
      </w:r>
      <w:r>
        <w:rPr>
          <w:rFonts w:ascii="Arial" w:hAnsi="Arial" w:cs="Arial"/>
          <w:sz w:val="20"/>
          <w:szCs w:val="20"/>
        </w:rPr>
        <w:t xml:space="preserve">lock-up on </w:t>
      </w:r>
      <w:r w:rsidR="00A93E70">
        <w:rPr>
          <w:rFonts w:ascii="Arial" w:hAnsi="Arial" w:cs="Arial"/>
          <w:sz w:val="20"/>
          <w:szCs w:val="20"/>
        </w:rPr>
        <w:t xml:space="preserve">shares held by </w:t>
      </w:r>
      <w:r>
        <w:rPr>
          <w:rFonts w:ascii="Arial" w:hAnsi="Arial" w:cs="Arial"/>
          <w:sz w:val="20"/>
          <w:szCs w:val="20"/>
        </w:rPr>
        <w:t xml:space="preserve">Key Persons will continue </w:t>
      </w:r>
      <w:r w:rsidR="00A93E70">
        <w:rPr>
          <w:rFonts w:ascii="Arial" w:hAnsi="Arial" w:cs="Arial"/>
          <w:sz w:val="20"/>
          <w:szCs w:val="20"/>
        </w:rPr>
        <w:t>despite the person changing their position at the company or resigning from the company;</w:t>
      </w:r>
    </w:p>
    <w:p w:rsidR="00A93E70" w:rsidRPr="00A93E70" w:rsidRDefault="00A93E70" w:rsidP="00A93E70">
      <w:pPr>
        <w:pStyle w:val="a3"/>
        <w:rPr>
          <w:rFonts w:ascii="Arial" w:hAnsi="Arial" w:cs="Arial"/>
          <w:sz w:val="20"/>
          <w:szCs w:val="20"/>
        </w:rPr>
      </w:pPr>
    </w:p>
    <w:p w:rsidR="00AB6B29" w:rsidRDefault="00A93E70" w:rsidP="005D4658">
      <w:pPr>
        <w:pStyle w:val="a3"/>
        <w:numPr>
          <w:ilvl w:val="0"/>
          <w:numId w:val="24"/>
        </w:numPr>
        <w:jc w:val="both"/>
        <w:rPr>
          <w:rFonts w:ascii="Arial" w:hAnsi="Arial" w:cs="Arial"/>
          <w:sz w:val="20"/>
          <w:szCs w:val="20"/>
        </w:rPr>
      </w:pPr>
      <w:r>
        <w:rPr>
          <w:rFonts w:ascii="Arial" w:hAnsi="Arial" w:cs="Arial"/>
          <w:sz w:val="20"/>
          <w:szCs w:val="20"/>
        </w:rPr>
        <w:t>Pathfinder SIIs will be subject to a 6-month lock-up period (for a Commercial Company) or a 12-month lock-up period (for a Pre-</w:t>
      </w:r>
      <w:r w:rsidRPr="005D4658">
        <w:rPr>
          <w:rFonts w:ascii="Arial" w:hAnsi="Arial" w:cs="Arial"/>
          <w:sz w:val="20"/>
          <w:szCs w:val="20"/>
        </w:rPr>
        <w:t xml:space="preserve">Commercial </w:t>
      </w:r>
      <w:r w:rsidRPr="00C23A5E">
        <w:rPr>
          <w:rFonts w:ascii="Arial" w:hAnsi="Arial" w:cs="Arial"/>
          <w:sz w:val="20"/>
          <w:szCs w:val="20"/>
        </w:rPr>
        <w:t>Company</w:t>
      </w:r>
      <w:r>
        <w:rPr>
          <w:rFonts w:ascii="Arial" w:hAnsi="Arial" w:cs="Arial"/>
          <w:sz w:val="20"/>
          <w:szCs w:val="20"/>
        </w:rPr>
        <w:t>).</w:t>
      </w:r>
    </w:p>
    <w:p w:rsidR="005D5C6F" w:rsidRPr="005D5C6F" w:rsidRDefault="005D5C6F" w:rsidP="005D5C6F">
      <w:pPr>
        <w:rPr>
          <w:rFonts w:ascii="Arial" w:hAnsi="Arial" w:cs="Arial"/>
          <w:b/>
          <w:sz w:val="20"/>
          <w:szCs w:val="20"/>
        </w:rPr>
      </w:pPr>
      <w:r w:rsidRPr="005D5C6F">
        <w:rPr>
          <w:rFonts w:ascii="Arial" w:hAnsi="Arial" w:cs="Arial"/>
          <w:b/>
          <w:sz w:val="20"/>
          <w:szCs w:val="20"/>
        </w:rPr>
        <w:t>Securities Subject to Lock-ups</w:t>
      </w:r>
    </w:p>
    <w:p w:rsidR="005D5C6F" w:rsidRDefault="005D5C6F" w:rsidP="005D5C6F">
      <w:pPr>
        <w:jc w:val="both"/>
        <w:rPr>
          <w:rFonts w:ascii="Arial" w:hAnsi="Arial" w:cs="Arial"/>
          <w:sz w:val="20"/>
          <w:szCs w:val="20"/>
        </w:rPr>
      </w:pPr>
      <w:r>
        <w:rPr>
          <w:rFonts w:ascii="Arial" w:hAnsi="Arial" w:cs="Arial"/>
          <w:sz w:val="20"/>
          <w:szCs w:val="20"/>
        </w:rPr>
        <w:t>Shareholders subject to lock-up requirements will only need to comply with the restrictions on disposal in relation to the securities which the listing document shows to be beneficially owned by them. T</w:t>
      </w:r>
      <w:r w:rsidR="00FA5262">
        <w:rPr>
          <w:rFonts w:ascii="Arial" w:hAnsi="Arial" w:cs="Arial"/>
          <w:sz w:val="20"/>
          <w:szCs w:val="20"/>
        </w:rPr>
        <w:t>hey will</w:t>
      </w:r>
      <w:r>
        <w:rPr>
          <w:rFonts w:ascii="Arial" w:hAnsi="Arial" w:cs="Arial"/>
          <w:sz w:val="20"/>
          <w:szCs w:val="20"/>
        </w:rPr>
        <w:t xml:space="preserve"> not</w:t>
      </w:r>
      <w:r w:rsidR="00FA5262">
        <w:rPr>
          <w:rFonts w:ascii="Arial" w:hAnsi="Arial" w:cs="Arial"/>
          <w:sz w:val="20"/>
          <w:szCs w:val="20"/>
        </w:rPr>
        <w:t xml:space="preserve"> be</w:t>
      </w:r>
      <w:r>
        <w:rPr>
          <w:rFonts w:ascii="Arial" w:hAnsi="Arial" w:cs="Arial"/>
          <w:sz w:val="20"/>
          <w:szCs w:val="20"/>
        </w:rPr>
        <w:t xml:space="preserve"> prevented from disposing of their shares before listing or from offering them for sale as part of the IPO. Only the securities held by relevant shareholders after listing will be subject to the lock-up requirements.</w:t>
      </w:r>
    </w:p>
    <w:p w:rsidR="005D5C6F" w:rsidRPr="005D5C6F" w:rsidRDefault="005D5C6F" w:rsidP="005D5C6F">
      <w:pPr>
        <w:jc w:val="both"/>
        <w:rPr>
          <w:rFonts w:ascii="Arial" w:hAnsi="Arial" w:cs="Arial"/>
          <w:sz w:val="20"/>
          <w:szCs w:val="20"/>
        </w:rPr>
      </w:pPr>
      <w:r>
        <w:rPr>
          <w:rFonts w:ascii="Arial" w:hAnsi="Arial" w:cs="Arial"/>
          <w:sz w:val="20"/>
          <w:szCs w:val="20"/>
        </w:rPr>
        <w:t xml:space="preserve">Shareholders subject to lock-up requirements will also be allowed </w:t>
      </w:r>
      <w:r w:rsidR="00162CA8">
        <w:rPr>
          <w:rFonts w:ascii="Arial" w:hAnsi="Arial" w:cs="Arial"/>
          <w:sz w:val="20"/>
          <w:szCs w:val="20"/>
        </w:rPr>
        <w:t xml:space="preserve">to purchase additional shares in the IPO and to dispose of them during the lock-up period, provided that the company will continue to comply with the requirements of </w:t>
      </w:r>
      <w:r w:rsidR="00FA5262">
        <w:rPr>
          <w:rFonts w:ascii="Arial" w:hAnsi="Arial" w:cs="Arial"/>
          <w:sz w:val="20"/>
          <w:szCs w:val="20"/>
        </w:rPr>
        <w:t xml:space="preserve">HKEX </w:t>
      </w:r>
      <w:r w:rsidR="00162CA8">
        <w:rPr>
          <w:rFonts w:ascii="Arial" w:hAnsi="Arial" w:cs="Arial"/>
          <w:sz w:val="20"/>
          <w:szCs w:val="20"/>
        </w:rPr>
        <w:t xml:space="preserve">Listing Rule 8.08 to maintain an open market in the shares and a sufficient public float. </w:t>
      </w:r>
    </w:p>
    <w:p w:rsidR="00066226" w:rsidRPr="00235DA2" w:rsidRDefault="00823B8C" w:rsidP="00066226">
      <w:pPr>
        <w:jc w:val="both"/>
        <w:rPr>
          <w:rFonts w:ascii="Arial" w:hAnsi="Arial" w:cs="Arial"/>
          <w:sz w:val="20"/>
          <w:szCs w:val="20"/>
        </w:rPr>
      </w:pPr>
      <w:r>
        <w:rPr>
          <w:rFonts w:ascii="Arial" w:hAnsi="Arial" w:cs="Arial"/>
          <w:sz w:val="20"/>
          <w:szCs w:val="20"/>
        </w:rPr>
        <w:t xml:space="preserve">An existing shareholder holding 10% or more of the shares of a </w:t>
      </w:r>
      <w:r w:rsidRPr="00C23A5E">
        <w:rPr>
          <w:rFonts w:ascii="Arial" w:hAnsi="Arial" w:cs="Arial"/>
          <w:sz w:val="20"/>
          <w:szCs w:val="20"/>
        </w:rPr>
        <w:t>Specialist Technology Company</w:t>
      </w:r>
      <w:r w:rsidRPr="00235DA2">
        <w:rPr>
          <w:rFonts w:ascii="Arial" w:hAnsi="Arial" w:cs="Arial"/>
          <w:sz w:val="20"/>
          <w:szCs w:val="20"/>
        </w:rPr>
        <w:t xml:space="preserve"> </w:t>
      </w:r>
      <w:r>
        <w:rPr>
          <w:rFonts w:ascii="Arial" w:hAnsi="Arial" w:cs="Arial"/>
          <w:sz w:val="20"/>
          <w:szCs w:val="20"/>
        </w:rPr>
        <w:t>(before the listing) should subscribe as a cornerstone investor if they wish to acquire shares in the IPO. T</w:t>
      </w:r>
      <w:r w:rsidR="00066226" w:rsidRPr="00235DA2">
        <w:rPr>
          <w:rFonts w:ascii="Arial" w:hAnsi="Arial" w:cs="Arial"/>
          <w:sz w:val="20"/>
          <w:szCs w:val="20"/>
        </w:rPr>
        <w:t xml:space="preserve">he </w:t>
      </w:r>
      <w:r>
        <w:rPr>
          <w:rFonts w:ascii="Arial" w:hAnsi="Arial" w:cs="Arial"/>
          <w:sz w:val="20"/>
          <w:szCs w:val="20"/>
        </w:rPr>
        <w:t xml:space="preserve">existing shareholder will then be subject to the usual 6-month </w:t>
      </w:r>
      <w:r w:rsidR="00066226" w:rsidRPr="00235DA2">
        <w:rPr>
          <w:rFonts w:ascii="Arial" w:hAnsi="Arial" w:cs="Arial"/>
          <w:sz w:val="20"/>
          <w:szCs w:val="20"/>
        </w:rPr>
        <w:t xml:space="preserve">lock-up period </w:t>
      </w:r>
      <w:r>
        <w:rPr>
          <w:rFonts w:ascii="Arial" w:hAnsi="Arial" w:cs="Arial"/>
          <w:sz w:val="20"/>
          <w:szCs w:val="20"/>
        </w:rPr>
        <w:t>applicable to cornerstone investor</w:t>
      </w:r>
      <w:r w:rsidR="006E594B">
        <w:rPr>
          <w:rFonts w:ascii="Arial" w:hAnsi="Arial" w:cs="Arial"/>
          <w:sz w:val="20"/>
          <w:szCs w:val="20"/>
        </w:rPr>
        <w:t>s</w:t>
      </w:r>
      <w:r>
        <w:rPr>
          <w:rFonts w:ascii="Arial" w:hAnsi="Arial" w:cs="Arial"/>
          <w:sz w:val="20"/>
          <w:szCs w:val="20"/>
        </w:rPr>
        <w:t xml:space="preserve"> under paragraph 2.2(b) of </w:t>
      </w:r>
      <w:hyperlink r:id="rId12" w:history="1">
        <w:r w:rsidRPr="00823B8C">
          <w:rPr>
            <w:rStyle w:val="a9"/>
            <w:rFonts w:ascii="Arial" w:hAnsi="Arial" w:cs="Arial"/>
            <w:sz w:val="20"/>
            <w:szCs w:val="20"/>
          </w:rPr>
          <w:t>Guidance Letter HKEx-GL51-13</w:t>
        </w:r>
      </w:hyperlink>
      <w:r w:rsidR="00066226" w:rsidRPr="00235DA2">
        <w:rPr>
          <w:rFonts w:ascii="Arial" w:hAnsi="Arial" w:cs="Arial"/>
          <w:sz w:val="20"/>
          <w:szCs w:val="20"/>
        </w:rPr>
        <w:t xml:space="preserve">. </w:t>
      </w:r>
    </w:p>
    <w:p w:rsidR="000F288E" w:rsidRDefault="000F288E" w:rsidP="00647F71">
      <w:pPr>
        <w:jc w:val="both"/>
        <w:rPr>
          <w:rFonts w:ascii="Arial" w:hAnsi="Arial" w:cs="Arial"/>
          <w:b/>
          <w:sz w:val="20"/>
          <w:szCs w:val="20"/>
        </w:rPr>
      </w:pPr>
      <w:r>
        <w:rPr>
          <w:rFonts w:ascii="Arial" w:hAnsi="Arial" w:cs="Arial"/>
          <w:b/>
          <w:sz w:val="20"/>
          <w:szCs w:val="20"/>
        </w:rPr>
        <w:t>Deemed Disposals of Securities</w:t>
      </w:r>
    </w:p>
    <w:p w:rsidR="000F288E" w:rsidRDefault="000F288E" w:rsidP="00647F71">
      <w:pPr>
        <w:jc w:val="both"/>
        <w:rPr>
          <w:rFonts w:ascii="Arial" w:hAnsi="Arial" w:cs="Arial"/>
          <w:sz w:val="20"/>
          <w:szCs w:val="20"/>
        </w:rPr>
      </w:pPr>
      <w:r>
        <w:rPr>
          <w:rFonts w:ascii="Arial" w:hAnsi="Arial" w:cs="Arial"/>
          <w:sz w:val="20"/>
          <w:szCs w:val="20"/>
        </w:rPr>
        <w:t>The HKEX is proposing that a deemed disposal of securities by a person subject to the lock-up restrictions which results from the allotment, grant or issue of new securities by a Specialist Technology Company during a lock-up period</w:t>
      </w:r>
      <w:r w:rsidR="00FA5262">
        <w:rPr>
          <w:rFonts w:ascii="Arial" w:hAnsi="Arial" w:cs="Arial"/>
          <w:sz w:val="20"/>
          <w:szCs w:val="20"/>
        </w:rPr>
        <w:t>,</w:t>
      </w:r>
      <w:r>
        <w:rPr>
          <w:rFonts w:ascii="Arial" w:hAnsi="Arial" w:cs="Arial"/>
          <w:sz w:val="20"/>
          <w:szCs w:val="20"/>
        </w:rPr>
        <w:t xml:space="preserve"> will not be regarded as a breach of the lock-up restrictions. The proposal recognises that Specialist Technology Companies have significant funding needs and that they may want to raise funds through the issue of new securities once the Listing Rule prohibition on doing so expires six months after listing.</w:t>
      </w:r>
      <w:r>
        <w:rPr>
          <w:rStyle w:val="a6"/>
          <w:rFonts w:ascii="Arial" w:hAnsi="Arial" w:cs="Arial"/>
          <w:sz w:val="20"/>
          <w:szCs w:val="20"/>
        </w:rPr>
        <w:footnoteReference w:id="3"/>
      </w:r>
      <w:r w:rsidR="00BB1956">
        <w:rPr>
          <w:rFonts w:ascii="Arial" w:hAnsi="Arial" w:cs="Arial"/>
          <w:sz w:val="20"/>
          <w:szCs w:val="20"/>
        </w:rPr>
        <w:t xml:space="preserve"> </w:t>
      </w:r>
    </w:p>
    <w:p w:rsidR="004D172E" w:rsidRPr="004D172E" w:rsidRDefault="004D172E" w:rsidP="00647F71">
      <w:pPr>
        <w:jc w:val="both"/>
        <w:rPr>
          <w:rFonts w:ascii="Arial" w:hAnsi="Arial" w:cs="Arial"/>
          <w:b/>
          <w:sz w:val="20"/>
          <w:szCs w:val="20"/>
        </w:rPr>
      </w:pPr>
      <w:r w:rsidRPr="004D172E">
        <w:rPr>
          <w:rFonts w:ascii="Arial" w:hAnsi="Arial" w:cs="Arial"/>
          <w:b/>
          <w:sz w:val="20"/>
          <w:szCs w:val="20"/>
        </w:rPr>
        <w:t>Lock-ups to Continue upon Removal of Designation as a Pre-Commercial Company</w:t>
      </w:r>
    </w:p>
    <w:p w:rsidR="004D172E" w:rsidRDefault="004D172E" w:rsidP="004D172E">
      <w:pPr>
        <w:jc w:val="both"/>
        <w:rPr>
          <w:rFonts w:ascii="Arial" w:hAnsi="Arial" w:cs="Arial"/>
          <w:sz w:val="20"/>
          <w:szCs w:val="20"/>
        </w:rPr>
      </w:pPr>
      <w:r>
        <w:rPr>
          <w:rFonts w:ascii="Arial" w:hAnsi="Arial" w:cs="Arial"/>
          <w:sz w:val="20"/>
          <w:szCs w:val="20"/>
        </w:rPr>
        <w:t xml:space="preserve">Any lock-up period that is </w:t>
      </w:r>
      <w:r w:rsidRPr="00235DA2">
        <w:rPr>
          <w:rFonts w:ascii="Arial" w:hAnsi="Arial" w:cs="Arial"/>
          <w:sz w:val="20"/>
          <w:szCs w:val="20"/>
        </w:rPr>
        <w:t xml:space="preserve">still in force at the time the Pre-Commercial Company designation is removed, will continue to apply unchanged. </w:t>
      </w:r>
    </w:p>
    <w:p w:rsidR="00BE240D" w:rsidRDefault="00BE240D" w:rsidP="00647F71">
      <w:pPr>
        <w:jc w:val="both"/>
        <w:rPr>
          <w:rFonts w:ascii="Arial" w:hAnsi="Arial" w:cs="Arial"/>
          <w:b/>
          <w:sz w:val="20"/>
          <w:szCs w:val="20"/>
        </w:rPr>
      </w:pPr>
      <w:r>
        <w:rPr>
          <w:rFonts w:ascii="Arial" w:hAnsi="Arial" w:cs="Arial"/>
          <w:b/>
          <w:sz w:val="20"/>
          <w:szCs w:val="20"/>
        </w:rPr>
        <w:t>Disclosure of Persons Subject to Lock-ups</w:t>
      </w:r>
    </w:p>
    <w:p w:rsidR="00BE240D" w:rsidRPr="00BE240D" w:rsidRDefault="00BE240D" w:rsidP="00647F71">
      <w:pPr>
        <w:jc w:val="both"/>
        <w:rPr>
          <w:rFonts w:ascii="Arial" w:hAnsi="Arial" w:cs="Arial"/>
          <w:sz w:val="20"/>
          <w:szCs w:val="20"/>
        </w:rPr>
      </w:pPr>
      <w:r>
        <w:rPr>
          <w:rFonts w:ascii="Arial" w:hAnsi="Arial" w:cs="Arial"/>
          <w:sz w:val="20"/>
          <w:szCs w:val="20"/>
        </w:rPr>
        <w:t>Specialist Technology Companies will be required to disclose in their listing documents</w:t>
      </w:r>
      <w:r w:rsidR="00FA5262">
        <w:rPr>
          <w:rFonts w:ascii="Arial" w:hAnsi="Arial" w:cs="Arial"/>
          <w:sz w:val="20"/>
          <w:szCs w:val="20"/>
        </w:rPr>
        <w:t>,</w:t>
      </w:r>
      <w:r>
        <w:rPr>
          <w:rFonts w:ascii="Arial" w:hAnsi="Arial" w:cs="Arial"/>
          <w:sz w:val="20"/>
          <w:szCs w:val="20"/>
        </w:rPr>
        <w:t xml:space="preserve"> and interim and annual reports</w:t>
      </w:r>
      <w:r w:rsidR="00FA5262">
        <w:rPr>
          <w:rFonts w:ascii="Arial" w:hAnsi="Arial" w:cs="Arial"/>
          <w:sz w:val="20"/>
          <w:szCs w:val="20"/>
        </w:rPr>
        <w:t>,</w:t>
      </w:r>
      <w:r>
        <w:rPr>
          <w:rFonts w:ascii="Arial" w:hAnsi="Arial" w:cs="Arial"/>
          <w:sz w:val="20"/>
          <w:szCs w:val="20"/>
        </w:rPr>
        <w:t xml:space="preserve"> the total number of securities held by persons subject to </w:t>
      </w:r>
      <w:r w:rsidR="004D70E5">
        <w:rPr>
          <w:rFonts w:ascii="Arial" w:hAnsi="Arial" w:cs="Arial"/>
          <w:sz w:val="20"/>
          <w:szCs w:val="20"/>
        </w:rPr>
        <w:t xml:space="preserve">the Listing Rules’ </w:t>
      </w:r>
      <w:r>
        <w:rPr>
          <w:rFonts w:ascii="Arial" w:hAnsi="Arial" w:cs="Arial"/>
          <w:sz w:val="20"/>
          <w:szCs w:val="20"/>
        </w:rPr>
        <w:t>lock-up requirements</w:t>
      </w:r>
      <w:r w:rsidR="004D70E5">
        <w:rPr>
          <w:rFonts w:ascii="Arial" w:hAnsi="Arial" w:cs="Arial"/>
          <w:sz w:val="20"/>
          <w:szCs w:val="20"/>
        </w:rPr>
        <w:t xml:space="preserve">. The obligation will continue for as long as the relevant persons are shareholders, irrespective of whether the person has ceased to hold the relevant position (i.e. as a Key Person). </w:t>
      </w:r>
    </w:p>
    <w:p w:rsidR="00BB1956" w:rsidRPr="00BB1956" w:rsidRDefault="00BB1956" w:rsidP="00BB1956">
      <w:pPr>
        <w:jc w:val="both"/>
        <w:rPr>
          <w:rFonts w:ascii="Arial" w:hAnsi="Arial" w:cs="Arial"/>
          <w:b/>
          <w:color w:val="FF0000"/>
          <w:sz w:val="20"/>
          <w:szCs w:val="20"/>
        </w:rPr>
      </w:pPr>
      <w:r>
        <w:rPr>
          <w:rFonts w:ascii="Arial" w:hAnsi="Arial" w:cs="Arial"/>
          <w:b/>
          <w:color w:val="FF0000"/>
          <w:sz w:val="20"/>
          <w:szCs w:val="20"/>
        </w:rPr>
        <w:t>Additional Continuing Obligations for Pre-Commercial Companies</w:t>
      </w:r>
    </w:p>
    <w:p w:rsidR="00BB1956" w:rsidRDefault="00BB1956" w:rsidP="00BB1956">
      <w:pPr>
        <w:jc w:val="both"/>
        <w:rPr>
          <w:rFonts w:ascii="Arial" w:hAnsi="Arial" w:cs="Arial"/>
          <w:sz w:val="20"/>
          <w:szCs w:val="20"/>
        </w:rPr>
      </w:pPr>
      <w:r>
        <w:rPr>
          <w:rFonts w:ascii="Arial" w:hAnsi="Arial" w:cs="Arial"/>
          <w:sz w:val="20"/>
          <w:szCs w:val="20"/>
        </w:rPr>
        <w:t>Pre-</w:t>
      </w:r>
      <w:r w:rsidRPr="00235DA2">
        <w:rPr>
          <w:rFonts w:ascii="Arial" w:hAnsi="Arial" w:cs="Arial"/>
          <w:sz w:val="20"/>
          <w:szCs w:val="20"/>
        </w:rPr>
        <w:t xml:space="preserve">Commercial Companies </w:t>
      </w:r>
      <w:r>
        <w:rPr>
          <w:rFonts w:ascii="Arial" w:hAnsi="Arial" w:cs="Arial"/>
          <w:sz w:val="20"/>
          <w:szCs w:val="20"/>
        </w:rPr>
        <w:t xml:space="preserve">will have the following </w:t>
      </w:r>
      <w:r w:rsidRPr="00235DA2">
        <w:rPr>
          <w:rFonts w:ascii="Arial" w:hAnsi="Arial" w:cs="Arial"/>
          <w:sz w:val="20"/>
          <w:szCs w:val="20"/>
        </w:rPr>
        <w:t xml:space="preserve">additional </w:t>
      </w:r>
      <w:r>
        <w:rPr>
          <w:rFonts w:ascii="Arial" w:hAnsi="Arial" w:cs="Arial"/>
          <w:sz w:val="20"/>
          <w:szCs w:val="20"/>
        </w:rPr>
        <w:t xml:space="preserve">continuing obligations </w:t>
      </w:r>
      <w:r w:rsidRPr="00235DA2">
        <w:rPr>
          <w:rFonts w:ascii="Arial" w:hAnsi="Arial" w:cs="Arial"/>
          <w:sz w:val="20"/>
          <w:szCs w:val="20"/>
        </w:rPr>
        <w:t>until they reach the Commercialisation Revenue Threshold</w:t>
      </w:r>
      <w:r>
        <w:rPr>
          <w:rFonts w:ascii="Arial" w:hAnsi="Arial" w:cs="Arial"/>
          <w:sz w:val="20"/>
          <w:szCs w:val="20"/>
        </w:rPr>
        <w:t xml:space="preserve">: </w:t>
      </w:r>
    </w:p>
    <w:p w:rsidR="00BB1956" w:rsidRPr="00BB1956" w:rsidRDefault="00BE240D" w:rsidP="00BB1956">
      <w:pPr>
        <w:pStyle w:val="a3"/>
        <w:numPr>
          <w:ilvl w:val="0"/>
          <w:numId w:val="20"/>
        </w:numPr>
        <w:ind w:left="851" w:hanging="433"/>
        <w:jc w:val="both"/>
        <w:rPr>
          <w:rFonts w:ascii="Arial" w:hAnsi="Arial" w:cs="Arial"/>
          <w:sz w:val="20"/>
          <w:szCs w:val="20"/>
        </w:rPr>
      </w:pPr>
      <w:r>
        <w:rPr>
          <w:rFonts w:ascii="Arial" w:hAnsi="Arial" w:cs="Arial"/>
          <w:sz w:val="20"/>
          <w:szCs w:val="20"/>
        </w:rPr>
        <w:t>A</w:t>
      </w:r>
      <w:r w:rsidR="00BB1956" w:rsidRPr="00BB1956">
        <w:rPr>
          <w:rFonts w:ascii="Arial" w:hAnsi="Arial" w:cs="Arial"/>
          <w:sz w:val="20"/>
          <w:szCs w:val="20"/>
        </w:rPr>
        <w:t>dditional disc</w:t>
      </w:r>
      <w:r>
        <w:rPr>
          <w:rFonts w:ascii="Arial" w:hAnsi="Arial" w:cs="Arial"/>
          <w:sz w:val="20"/>
          <w:szCs w:val="20"/>
        </w:rPr>
        <w:t>losure</w:t>
      </w:r>
      <w:r w:rsidR="00BB1956" w:rsidRPr="00BB1956">
        <w:rPr>
          <w:rFonts w:ascii="Arial" w:hAnsi="Arial" w:cs="Arial"/>
          <w:sz w:val="20"/>
          <w:szCs w:val="20"/>
        </w:rPr>
        <w:t xml:space="preserve"> in </w:t>
      </w:r>
      <w:r>
        <w:rPr>
          <w:rFonts w:ascii="Arial" w:hAnsi="Arial" w:cs="Arial"/>
          <w:sz w:val="20"/>
          <w:szCs w:val="20"/>
        </w:rPr>
        <w:t xml:space="preserve">their </w:t>
      </w:r>
      <w:r w:rsidR="00BB1956" w:rsidRPr="00BB1956">
        <w:rPr>
          <w:rFonts w:ascii="Arial" w:hAnsi="Arial" w:cs="Arial"/>
          <w:sz w:val="20"/>
          <w:szCs w:val="20"/>
        </w:rPr>
        <w:t xml:space="preserve">interim and annual reports on the </w:t>
      </w:r>
      <w:r>
        <w:rPr>
          <w:rFonts w:ascii="Arial" w:hAnsi="Arial" w:cs="Arial"/>
          <w:sz w:val="20"/>
          <w:szCs w:val="20"/>
        </w:rPr>
        <w:t xml:space="preserve">timeframe for, and </w:t>
      </w:r>
      <w:r w:rsidR="00BB1956" w:rsidRPr="00BB1956">
        <w:rPr>
          <w:rFonts w:ascii="Arial" w:hAnsi="Arial" w:cs="Arial"/>
          <w:sz w:val="20"/>
          <w:szCs w:val="20"/>
        </w:rPr>
        <w:t xml:space="preserve">progress made </w:t>
      </w:r>
      <w:r>
        <w:rPr>
          <w:rFonts w:ascii="Arial" w:hAnsi="Arial" w:cs="Arial"/>
          <w:sz w:val="20"/>
          <w:szCs w:val="20"/>
        </w:rPr>
        <w:t>towards,</w:t>
      </w:r>
      <w:r w:rsidR="00BB1956" w:rsidRPr="00BB1956">
        <w:rPr>
          <w:rFonts w:ascii="Arial" w:hAnsi="Arial" w:cs="Arial"/>
          <w:sz w:val="20"/>
          <w:szCs w:val="20"/>
        </w:rPr>
        <w:t xml:space="preserve"> reaching the Commercialisation Revenue Threshold;</w:t>
      </w:r>
    </w:p>
    <w:p w:rsidR="00BB1956" w:rsidRPr="00235DA2" w:rsidRDefault="00BB1956" w:rsidP="00BB1956">
      <w:pPr>
        <w:pStyle w:val="a3"/>
        <w:ind w:left="851"/>
        <w:jc w:val="both"/>
        <w:rPr>
          <w:rFonts w:ascii="Arial" w:hAnsi="Arial" w:cs="Arial"/>
          <w:sz w:val="20"/>
          <w:szCs w:val="20"/>
        </w:rPr>
      </w:pPr>
    </w:p>
    <w:p w:rsidR="00BB1956" w:rsidRDefault="00BE240D" w:rsidP="00BB1956">
      <w:pPr>
        <w:pStyle w:val="a3"/>
        <w:numPr>
          <w:ilvl w:val="0"/>
          <w:numId w:val="20"/>
        </w:numPr>
        <w:ind w:left="851" w:hanging="433"/>
        <w:jc w:val="both"/>
        <w:rPr>
          <w:rFonts w:ascii="Arial" w:hAnsi="Arial" w:cs="Arial"/>
          <w:sz w:val="20"/>
          <w:szCs w:val="20"/>
        </w:rPr>
      </w:pPr>
      <w:r>
        <w:rPr>
          <w:rFonts w:ascii="Arial" w:hAnsi="Arial" w:cs="Arial"/>
          <w:sz w:val="20"/>
          <w:szCs w:val="20"/>
        </w:rPr>
        <w:t xml:space="preserve">A 12-month (rather than the typical 18-month) </w:t>
      </w:r>
      <w:r w:rsidR="00BB1956" w:rsidRPr="00235DA2">
        <w:rPr>
          <w:rFonts w:ascii="Arial" w:hAnsi="Arial" w:cs="Arial"/>
          <w:sz w:val="20"/>
          <w:szCs w:val="20"/>
        </w:rPr>
        <w:t>remedial period for re-compliance with the sufficiency of operations requirement before delisting;</w:t>
      </w:r>
    </w:p>
    <w:p w:rsidR="00BB1956" w:rsidRPr="00235DA2" w:rsidRDefault="00BB1956" w:rsidP="00BB1956">
      <w:pPr>
        <w:pStyle w:val="a3"/>
        <w:ind w:left="851"/>
        <w:jc w:val="both"/>
        <w:rPr>
          <w:rFonts w:ascii="Arial" w:hAnsi="Arial" w:cs="Arial"/>
          <w:sz w:val="20"/>
          <w:szCs w:val="20"/>
        </w:rPr>
      </w:pPr>
    </w:p>
    <w:p w:rsidR="00BB1956" w:rsidRDefault="00BE240D" w:rsidP="00BB1956">
      <w:pPr>
        <w:pStyle w:val="a3"/>
        <w:numPr>
          <w:ilvl w:val="0"/>
          <w:numId w:val="20"/>
        </w:numPr>
        <w:ind w:left="851" w:hanging="433"/>
        <w:jc w:val="both"/>
        <w:rPr>
          <w:rFonts w:ascii="Arial" w:hAnsi="Arial" w:cs="Arial"/>
          <w:sz w:val="20"/>
          <w:szCs w:val="20"/>
        </w:rPr>
      </w:pPr>
      <w:r>
        <w:rPr>
          <w:rFonts w:ascii="Arial" w:hAnsi="Arial" w:cs="Arial"/>
          <w:sz w:val="20"/>
          <w:szCs w:val="20"/>
        </w:rPr>
        <w:lastRenderedPageBreak/>
        <w:t>A restriction</w:t>
      </w:r>
      <w:r w:rsidR="00BB1956">
        <w:rPr>
          <w:rFonts w:ascii="Arial" w:hAnsi="Arial" w:cs="Arial"/>
          <w:sz w:val="20"/>
          <w:szCs w:val="20"/>
        </w:rPr>
        <w:t xml:space="preserve"> on e</w:t>
      </w:r>
      <w:r w:rsidR="00BB1956" w:rsidRPr="00235DA2">
        <w:rPr>
          <w:rFonts w:ascii="Arial" w:hAnsi="Arial" w:cs="Arial"/>
          <w:sz w:val="20"/>
          <w:szCs w:val="20"/>
        </w:rPr>
        <w:t xml:space="preserve">ffecting any transaction that would constitute a material change of business without </w:t>
      </w:r>
      <w:r w:rsidR="00BB1956">
        <w:rPr>
          <w:rFonts w:ascii="Arial" w:hAnsi="Arial" w:cs="Arial"/>
          <w:sz w:val="20"/>
          <w:szCs w:val="20"/>
        </w:rPr>
        <w:t xml:space="preserve">the HKEX’s </w:t>
      </w:r>
      <w:r w:rsidR="00BB1956" w:rsidRPr="00235DA2">
        <w:rPr>
          <w:rFonts w:ascii="Arial" w:hAnsi="Arial" w:cs="Arial"/>
          <w:sz w:val="20"/>
          <w:szCs w:val="20"/>
        </w:rPr>
        <w:t xml:space="preserve">prior consent; and </w:t>
      </w:r>
    </w:p>
    <w:p w:rsidR="00BB1956" w:rsidRPr="00235DA2" w:rsidRDefault="00BB1956" w:rsidP="00BB1956">
      <w:pPr>
        <w:pStyle w:val="a3"/>
        <w:ind w:left="851"/>
        <w:jc w:val="both"/>
        <w:rPr>
          <w:rFonts w:ascii="Arial" w:hAnsi="Arial" w:cs="Arial"/>
          <w:sz w:val="20"/>
          <w:szCs w:val="20"/>
        </w:rPr>
      </w:pPr>
    </w:p>
    <w:p w:rsidR="00BB1956" w:rsidRDefault="00BE240D" w:rsidP="00BB1956">
      <w:pPr>
        <w:pStyle w:val="a3"/>
        <w:numPr>
          <w:ilvl w:val="0"/>
          <w:numId w:val="20"/>
        </w:numPr>
        <w:ind w:left="851" w:hanging="433"/>
        <w:jc w:val="both"/>
        <w:rPr>
          <w:rFonts w:ascii="Arial" w:hAnsi="Arial" w:cs="Arial"/>
          <w:sz w:val="20"/>
          <w:szCs w:val="20"/>
        </w:rPr>
      </w:pPr>
      <w:r>
        <w:rPr>
          <w:rFonts w:ascii="Arial" w:hAnsi="Arial" w:cs="Arial"/>
          <w:sz w:val="20"/>
          <w:szCs w:val="20"/>
        </w:rPr>
        <w:t>I</w:t>
      </w:r>
      <w:r w:rsidR="00BB1956">
        <w:rPr>
          <w:rFonts w:ascii="Arial" w:hAnsi="Arial" w:cs="Arial"/>
          <w:sz w:val="20"/>
          <w:szCs w:val="20"/>
        </w:rPr>
        <w:t xml:space="preserve">dentification through </w:t>
      </w:r>
      <w:r w:rsidR="00BB1956" w:rsidRPr="00235DA2">
        <w:rPr>
          <w:rFonts w:ascii="Arial" w:hAnsi="Arial" w:cs="Arial"/>
          <w:sz w:val="20"/>
          <w:szCs w:val="20"/>
        </w:rPr>
        <w:t>a “PC</w:t>
      </w:r>
      <w:r w:rsidR="007B1733" w:rsidRPr="00235DA2">
        <w:rPr>
          <w:rFonts w:ascii="Arial" w:hAnsi="Arial" w:cs="Arial"/>
          <w:sz w:val="20"/>
          <w:szCs w:val="20"/>
        </w:rPr>
        <w:t>” stock</w:t>
      </w:r>
      <w:r w:rsidR="00BB1956" w:rsidRPr="00235DA2">
        <w:rPr>
          <w:rFonts w:ascii="Arial" w:hAnsi="Arial" w:cs="Arial"/>
          <w:sz w:val="20"/>
          <w:szCs w:val="20"/>
        </w:rPr>
        <w:t xml:space="preserve"> marker</w:t>
      </w:r>
      <w:r w:rsidR="004D70E5">
        <w:rPr>
          <w:rFonts w:ascii="Arial" w:hAnsi="Arial" w:cs="Arial"/>
          <w:sz w:val="20"/>
          <w:szCs w:val="20"/>
        </w:rPr>
        <w:t xml:space="preserve"> at the end of their stock names</w:t>
      </w:r>
      <w:r w:rsidR="00BB1956" w:rsidRPr="00235DA2">
        <w:rPr>
          <w:rFonts w:ascii="Arial" w:hAnsi="Arial" w:cs="Arial"/>
          <w:sz w:val="20"/>
          <w:szCs w:val="20"/>
        </w:rPr>
        <w:t xml:space="preserve">. </w:t>
      </w:r>
    </w:p>
    <w:p w:rsidR="00647F71" w:rsidRPr="004D70E5" w:rsidRDefault="00647F71" w:rsidP="00647F71">
      <w:pPr>
        <w:jc w:val="both"/>
        <w:rPr>
          <w:rFonts w:ascii="Arial" w:hAnsi="Arial" w:cs="Arial"/>
          <w:b/>
          <w:sz w:val="20"/>
          <w:szCs w:val="20"/>
        </w:rPr>
      </w:pPr>
      <w:r w:rsidRPr="004D70E5">
        <w:rPr>
          <w:rFonts w:ascii="Arial" w:hAnsi="Arial" w:cs="Arial"/>
          <w:b/>
          <w:sz w:val="20"/>
          <w:szCs w:val="20"/>
        </w:rPr>
        <w:t xml:space="preserve">Removal of Pre-Commercial Company Designation </w:t>
      </w:r>
    </w:p>
    <w:p w:rsidR="00647F71" w:rsidRPr="00235DA2" w:rsidRDefault="004D70E5" w:rsidP="00187703">
      <w:pPr>
        <w:jc w:val="both"/>
        <w:rPr>
          <w:rFonts w:ascii="Arial" w:hAnsi="Arial" w:cs="Arial"/>
          <w:sz w:val="20"/>
          <w:szCs w:val="20"/>
        </w:rPr>
      </w:pPr>
      <w:r>
        <w:rPr>
          <w:rFonts w:ascii="Arial" w:hAnsi="Arial" w:cs="Arial"/>
          <w:sz w:val="20"/>
          <w:szCs w:val="20"/>
        </w:rPr>
        <w:t>The a</w:t>
      </w:r>
      <w:r w:rsidR="00647F71" w:rsidRPr="00235DA2">
        <w:rPr>
          <w:rFonts w:ascii="Arial" w:hAnsi="Arial" w:cs="Arial"/>
          <w:sz w:val="20"/>
          <w:szCs w:val="20"/>
        </w:rPr>
        <w:t>dditional</w:t>
      </w:r>
      <w:r w:rsidR="00AB6B29">
        <w:rPr>
          <w:rFonts w:ascii="Arial" w:hAnsi="Arial" w:cs="Arial"/>
          <w:sz w:val="20"/>
          <w:szCs w:val="20"/>
        </w:rPr>
        <w:t xml:space="preserve"> </w:t>
      </w:r>
      <w:r>
        <w:rPr>
          <w:rFonts w:ascii="Arial" w:hAnsi="Arial" w:cs="Arial"/>
          <w:sz w:val="20"/>
          <w:szCs w:val="20"/>
        </w:rPr>
        <w:t xml:space="preserve">continuing obligations </w:t>
      </w:r>
      <w:r w:rsidR="00AB6B29">
        <w:rPr>
          <w:rFonts w:ascii="Arial" w:hAnsi="Arial" w:cs="Arial"/>
          <w:sz w:val="20"/>
          <w:szCs w:val="20"/>
        </w:rPr>
        <w:t>for Pre-</w:t>
      </w:r>
      <w:r>
        <w:rPr>
          <w:rFonts w:ascii="Arial" w:hAnsi="Arial" w:cs="Arial"/>
          <w:sz w:val="20"/>
          <w:szCs w:val="20"/>
        </w:rPr>
        <w:t>Commercial Companies will</w:t>
      </w:r>
      <w:r w:rsidR="00647F71" w:rsidRPr="00235DA2">
        <w:rPr>
          <w:rFonts w:ascii="Arial" w:hAnsi="Arial" w:cs="Arial"/>
          <w:sz w:val="20"/>
          <w:szCs w:val="20"/>
        </w:rPr>
        <w:t xml:space="preserve"> cease to apply once a Pre-Commercial Company </w:t>
      </w:r>
      <w:r w:rsidR="00407AD7">
        <w:rPr>
          <w:rFonts w:ascii="Arial" w:hAnsi="Arial" w:cs="Arial"/>
          <w:sz w:val="20"/>
          <w:szCs w:val="20"/>
        </w:rPr>
        <w:t xml:space="preserve">is able to demonstrate to the HKEX that it </w:t>
      </w:r>
      <w:r w:rsidR="00647F71" w:rsidRPr="00235DA2">
        <w:rPr>
          <w:rFonts w:ascii="Arial" w:hAnsi="Arial" w:cs="Arial"/>
          <w:sz w:val="20"/>
          <w:szCs w:val="20"/>
        </w:rPr>
        <w:t xml:space="preserve">meets the Commercialisation Revenue Threshold or at least one </w:t>
      </w:r>
      <w:r w:rsidR="00407AD7">
        <w:rPr>
          <w:rFonts w:ascii="Arial" w:hAnsi="Arial" w:cs="Arial"/>
          <w:sz w:val="20"/>
          <w:szCs w:val="20"/>
        </w:rPr>
        <w:t xml:space="preserve">of the </w:t>
      </w:r>
      <w:r w:rsidR="00647F71" w:rsidRPr="00235DA2">
        <w:rPr>
          <w:rFonts w:ascii="Arial" w:hAnsi="Arial" w:cs="Arial"/>
          <w:sz w:val="20"/>
          <w:szCs w:val="20"/>
        </w:rPr>
        <w:t>Main Board</w:t>
      </w:r>
      <w:r w:rsidR="00407AD7">
        <w:rPr>
          <w:rFonts w:ascii="Arial" w:hAnsi="Arial" w:cs="Arial"/>
          <w:sz w:val="20"/>
          <w:szCs w:val="20"/>
        </w:rPr>
        <w:t>’s</w:t>
      </w:r>
      <w:r w:rsidR="00647F71" w:rsidRPr="00235DA2">
        <w:rPr>
          <w:rFonts w:ascii="Arial" w:hAnsi="Arial" w:cs="Arial"/>
          <w:sz w:val="20"/>
          <w:szCs w:val="20"/>
        </w:rPr>
        <w:t xml:space="preserve"> </w:t>
      </w:r>
      <w:r w:rsidR="00407AD7">
        <w:rPr>
          <w:rFonts w:ascii="Arial" w:hAnsi="Arial" w:cs="Arial"/>
          <w:sz w:val="20"/>
          <w:szCs w:val="20"/>
        </w:rPr>
        <w:t>financial eligibility t</w:t>
      </w:r>
      <w:r w:rsidR="00647F71" w:rsidRPr="00235DA2">
        <w:rPr>
          <w:rFonts w:ascii="Arial" w:hAnsi="Arial" w:cs="Arial"/>
          <w:sz w:val="20"/>
          <w:szCs w:val="20"/>
        </w:rPr>
        <w:t>est</w:t>
      </w:r>
      <w:r w:rsidR="00407AD7">
        <w:rPr>
          <w:rFonts w:ascii="Arial" w:hAnsi="Arial" w:cs="Arial"/>
          <w:sz w:val="20"/>
          <w:szCs w:val="20"/>
        </w:rPr>
        <w:t>s</w:t>
      </w:r>
      <w:r w:rsidR="00647F71" w:rsidRPr="00235DA2">
        <w:rPr>
          <w:rFonts w:ascii="Arial" w:hAnsi="Arial" w:cs="Arial"/>
          <w:sz w:val="20"/>
          <w:szCs w:val="20"/>
        </w:rPr>
        <w:t>.</w:t>
      </w:r>
      <w:r w:rsidR="00AB6B29">
        <w:rPr>
          <w:rFonts w:ascii="Arial" w:hAnsi="Arial" w:cs="Arial"/>
          <w:sz w:val="20"/>
          <w:szCs w:val="20"/>
        </w:rPr>
        <w:t xml:space="preserve"> The Pre-</w:t>
      </w:r>
      <w:r w:rsidR="00647F71" w:rsidRPr="00235DA2">
        <w:rPr>
          <w:rFonts w:ascii="Arial" w:hAnsi="Arial" w:cs="Arial"/>
          <w:sz w:val="20"/>
          <w:szCs w:val="20"/>
        </w:rPr>
        <w:t xml:space="preserve">Commercial Company </w:t>
      </w:r>
      <w:r w:rsidR="00407AD7">
        <w:rPr>
          <w:rFonts w:ascii="Arial" w:hAnsi="Arial" w:cs="Arial"/>
          <w:sz w:val="20"/>
          <w:szCs w:val="20"/>
        </w:rPr>
        <w:t xml:space="preserve">will need to apply to the HKEX for the removal of its designation as a Pre-Commercial Company and </w:t>
      </w:r>
      <w:r w:rsidR="004D172E">
        <w:rPr>
          <w:rFonts w:ascii="Arial" w:hAnsi="Arial" w:cs="Arial"/>
          <w:sz w:val="20"/>
          <w:szCs w:val="20"/>
        </w:rPr>
        <w:t xml:space="preserve">must </w:t>
      </w:r>
      <w:r w:rsidR="00407AD7">
        <w:rPr>
          <w:rFonts w:ascii="Arial" w:hAnsi="Arial" w:cs="Arial"/>
          <w:sz w:val="20"/>
          <w:szCs w:val="20"/>
        </w:rPr>
        <w:t xml:space="preserve">submit its published audited financial statements in support of the application. It </w:t>
      </w:r>
      <w:r w:rsidR="00647F71" w:rsidRPr="00235DA2">
        <w:rPr>
          <w:rFonts w:ascii="Arial" w:hAnsi="Arial" w:cs="Arial"/>
          <w:sz w:val="20"/>
          <w:szCs w:val="20"/>
        </w:rPr>
        <w:t xml:space="preserve">must publish an announcement </w:t>
      </w:r>
      <w:r w:rsidR="00407AD7">
        <w:rPr>
          <w:rFonts w:ascii="Arial" w:hAnsi="Arial" w:cs="Arial"/>
          <w:sz w:val="20"/>
          <w:szCs w:val="20"/>
        </w:rPr>
        <w:t xml:space="preserve">when it receives confirmation from the </w:t>
      </w:r>
      <w:r w:rsidR="00647F71" w:rsidRPr="00235DA2">
        <w:rPr>
          <w:rFonts w:ascii="Arial" w:hAnsi="Arial" w:cs="Arial"/>
          <w:sz w:val="20"/>
          <w:szCs w:val="20"/>
        </w:rPr>
        <w:t>HKEX</w:t>
      </w:r>
      <w:r w:rsidR="00407AD7">
        <w:rPr>
          <w:rFonts w:ascii="Arial" w:hAnsi="Arial" w:cs="Arial"/>
          <w:sz w:val="20"/>
          <w:szCs w:val="20"/>
        </w:rPr>
        <w:t xml:space="preserve"> that it will no longer be regarded as a Pre-Commercial Company</w:t>
      </w:r>
      <w:r w:rsidR="004D172E">
        <w:rPr>
          <w:rFonts w:ascii="Arial" w:hAnsi="Arial" w:cs="Arial"/>
          <w:sz w:val="20"/>
          <w:szCs w:val="20"/>
        </w:rPr>
        <w:t xml:space="preserve">. The HKEX will remove the </w:t>
      </w:r>
      <w:r w:rsidR="00647F71" w:rsidRPr="00235DA2">
        <w:rPr>
          <w:rFonts w:ascii="Arial" w:hAnsi="Arial" w:cs="Arial"/>
          <w:sz w:val="20"/>
          <w:szCs w:val="20"/>
        </w:rPr>
        <w:t>“PC” stock marker</w:t>
      </w:r>
      <w:r w:rsidR="004D172E">
        <w:rPr>
          <w:rFonts w:ascii="Arial" w:hAnsi="Arial" w:cs="Arial"/>
          <w:sz w:val="20"/>
          <w:szCs w:val="20"/>
        </w:rPr>
        <w:t xml:space="preserve"> at the same time</w:t>
      </w:r>
      <w:r w:rsidR="00647F71" w:rsidRPr="00235DA2">
        <w:rPr>
          <w:rFonts w:ascii="Arial" w:hAnsi="Arial" w:cs="Arial"/>
          <w:sz w:val="20"/>
          <w:szCs w:val="20"/>
        </w:rPr>
        <w:t xml:space="preserve">.  </w:t>
      </w:r>
    </w:p>
    <w:p w:rsidR="008C6A12" w:rsidRPr="008C6A12" w:rsidRDefault="008C6A12" w:rsidP="00187703">
      <w:pPr>
        <w:jc w:val="both"/>
        <w:rPr>
          <w:rFonts w:ascii="Arial" w:hAnsi="Arial" w:cs="Arial"/>
          <w:b/>
          <w:sz w:val="20"/>
          <w:szCs w:val="20"/>
        </w:rPr>
      </w:pPr>
      <w:r w:rsidRPr="008C6A12">
        <w:rPr>
          <w:rFonts w:ascii="Arial" w:hAnsi="Arial" w:cs="Arial"/>
          <w:b/>
          <w:sz w:val="20"/>
          <w:szCs w:val="20"/>
        </w:rPr>
        <w:t>Responding to the Consultation</w:t>
      </w:r>
    </w:p>
    <w:p w:rsidR="00647F71" w:rsidRDefault="008C6A12" w:rsidP="00187703">
      <w:pPr>
        <w:jc w:val="both"/>
      </w:pPr>
      <w:r>
        <w:rPr>
          <w:rFonts w:ascii="Arial" w:hAnsi="Arial" w:cs="Arial"/>
          <w:sz w:val="20"/>
          <w:szCs w:val="20"/>
        </w:rPr>
        <w:t xml:space="preserve">Interested parties can respond to the consultation by completing and submitting the questionnaire available on the HKEX website at: </w:t>
      </w:r>
      <w:hyperlink r:id="rId13" w:history="1">
        <w:r w:rsidRPr="00CA2E1B">
          <w:rPr>
            <w:rStyle w:val="a9"/>
          </w:rPr>
          <w:t>https://surveys.hkex.com.hk/jfe/form/SV_41SJbQrjgDz54qO</w:t>
        </w:r>
      </w:hyperlink>
      <w:r>
        <w:t>.</w:t>
      </w:r>
    </w:p>
    <w:p w:rsidR="00CF67A8" w:rsidRPr="00A41F57" w:rsidRDefault="00CF67A8" w:rsidP="00CF67A8">
      <w:pPr>
        <w:pStyle w:val="DisclaimerBold"/>
        <w:rPr>
          <w:rFonts w:ascii="Helvetica" w:hAnsi="Helvetica"/>
        </w:rPr>
      </w:pPr>
      <w:r w:rsidRPr="00F05494">
        <w:rPr>
          <w:rFonts w:ascii="Helvetica" w:hAnsi="Helvetica"/>
        </w:rPr>
        <w:t>This newsletter is for information purposes only.</w:t>
      </w:r>
    </w:p>
    <w:p w:rsidR="00CF67A8" w:rsidRPr="00F05494" w:rsidRDefault="00CF67A8" w:rsidP="00CF67A8">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CF67A8" w:rsidRPr="00F05494" w:rsidRDefault="00CF67A8" w:rsidP="00CF67A8">
      <w:pPr>
        <w:pStyle w:val="Disclaime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rsidR="00CF67A8" w:rsidRPr="00F05494" w:rsidRDefault="00CF67A8" w:rsidP="00CF67A8">
      <w:pPr>
        <w:pStyle w:val="Disclaimer"/>
        <w:rPr>
          <w:rFonts w:ascii="Helvetica" w:hAnsi="Helvetica"/>
        </w:rPr>
      </w:pPr>
      <w:r w:rsidRPr="00F05494">
        <w:rPr>
          <w:rFonts w:ascii="Helvetica" w:hAnsi="Helvetica"/>
        </w:rPr>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rsidR="00CF67A8" w:rsidRPr="00F05494" w:rsidRDefault="00CF67A8" w:rsidP="00CF67A8">
      <w:pPr>
        <w:pStyle w:val="Disclaimer"/>
        <w:rPr>
          <w:rFonts w:ascii="Helvetica" w:hAnsi="Helvetica"/>
        </w:rPr>
      </w:pPr>
      <w:r w:rsidRPr="00F05494">
        <w:rPr>
          <w:rFonts w:ascii="Helvetica" w:hAnsi="Helvetica"/>
        </w:rPr>
        <w:t xml:space="preserve">If you do not wish to receive this newsletter please let us know by emailing us at  </w:t>
      </w:r>
      <w:hyperlink r:id="rId14">
        <w:r w:rsidRPr="00F05494">
          <w:rPr>
            <w:rFonts w:ascii="Helvetica" w:hAnsi="Helvetica"/>
          </w:rPr>
          <w:t>unsubscribe@charltonslaw.com</w:t>
        </w:r>
      </w:hyperlink>
    </w:p>
    <w:p w:rsidR="00CF67A8" w:rsidRPr="00CD0DE3" w:rsidRDefault="00CF67A8" w:rsidP="00CF67A8">
      <w:pPr>
        <w:pStyle w:val="BlackStrips"/>
        <w:rPr>
          <w:rFonts w:ascii="Helvetica" w:hAnsi="Helvetica"/>
        </w:rPr>
      </w:pPr>
      <w:r w:rsidRPr="00F05494">
        <w:rPr>
          <w:rFonts w:ascii="Helvetica" w:hAnsi="Helvetica"/>
        </w:rPr>
        <w:t xml:space="preserve">Charltons - Hong Kong Law - </w:t>
      </w:r>
      <w:r>
        <w:rPr>
          <w:rFonts w:ascii="Helvetica" w:hAnsi="Helvetica"/>
        </w:rPr>
        <w:t>2</w:t>
      </w:r>
      <w:r w:rsidR="00F23BA3">
        <w:rPr>
          <w:rFonts w:ascii="Helvetica" w:hAnsi="Helvetica"/>
          <w:lang w:val="ru-RU"/>
        </w:rPr>
        <w:t>3</w:t>
      </w:r>
      <w:r w:rsidRPr="00F05494">
        <w:rPr>
          <w:rFonts w:ascii="Helvetica" w:hAnsi="Helvetica"/>
        </w:rPr>
        <w:t xml:space="preserve"> </w:t>
      </w:r>
      <w:r>
        <w:rPr>
          <w:rFonts w:ascii="Helvetica" w:hAnsi="Helvetica"/>
        </w:rPr>
        <w:t>October</w:t>
      </w:r>
      <w:r w:rsidRPr="00F05494">
        <w:rPr>
          <w:rFonts w:ascii="Helvetica" w:hAnsi="Helvetica"/>
        </w:rPr>
        <w:t xml:space="preserve"> 202</w:t>
      </w:r>
      <w:r>
        <w:rPr>
          <w:rFonts w:ascii="Helvetica" w:hAnsi="Helvetica"/>
        </w:rPr>
        <w:t>2</w:t>
      </w:r>
    </w:p>
    <w:p w:rsidR="00CF67A8" w:rsidRDefault="00CF67A8" w:rsidP="00187703">
      <w:pPr>
        <w:jc w:val="both"/>
      </w:pPr>
    </w:p>
    <w:p w:rsidR="008C6A12" w:rsidRPr="00235DA2" w:rsidRDefault="008C6A12" w:rsidP="00187703">
      <w:pPr>
        <w:jc w:val="both"/>
        <w:rPr>
          <w:rFonts w:ascii="Arial" w:hAnsi="Arial" w:cs="Arial"/>
          <w:sz w:val="20"/>
          <w:szCs w:val="20"/>
        </w:rPr>
      </w:pPr>
    </w:p>
    <w:sectPr w:rsidR="008C6A12" w:rsidRPr="00235DA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040" w:rsidRDefault="00C06040" w:rsidP="00F045C1">
      <w:pPr>
        <w:spacing w:after="0" w:line="240" w:lineRule="auto"/>
      </w:pPr>
      <w:r>
        <w:separator/>
      </w:r>
    </w:p>
  </w:endnote>
  <w:endnote w:type="continuationSeparator" w:id="0">
    <w:p w:rsidR="00C06040" w:rsidRDefault="00C06040" w:rsidP="00F0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Microsoft YaHei"/>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440527"/>
      <w:docPartObj>
        <w:docPartGallery w:val="Page Numbers (Bottom of Page)"/>
        <w:docPartUnique/>
      </w:docPartObj>
    </w:sdtPr>
    <w:sdtEndPr>
      <w:rPr>
        <w:noProof/>
      </w:rPr>
    </w:sdtEndPr>
    <w:sdtContent>
      <w:p w:rsidR="004C0F9B" w:rsidRDefault="004C0F9B">
        <w:pPr>
          <w:pStyle w:val="ae"/>
          <w:jc w:val="center"/>
        </w:pPr>
        <w:r>
          <w:fldChar w:fldCharType="begin"/>
        </w:r>
        <w:r>
          <w:instrText xml:space="preserve"> PAGE   \* MERGEFORMAT </w:instrText>
        </w:r>
        <w:r>
          <w:fldChar w:fldCharType="separate"/>
        </w:r>
        <w:r w:rsidR="00FA5262">
          <w:rPr>
            <w:noProof/>
          </w:rPr>
          <w:t>1</w:t>
        </w:r>
        <w:r>
          <w:rPr>
            <w:noProof/>
          </w:rPr>
          <w:fldChar w:fldCharType="end"/>
        </w:r>
      </w:p>
    </w:sdtContent>
  </w:sdt>
  <w:p w:rsidR="004C0F9B" w:rsidRDefault="004C0F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040" w:rsidRDefault="00C06040" w:rsidP="00F045C1">
      <w:pPr>
        <w:spacing w:after="0" w:line="240" w:lineRule="auto"/>
      </w:pPr>
      <w:r>
        <w:separator/>
      </w:r>
    </w:p>
  </w:footnote>
  <w:footnote w:type="continuationSeparator" w:id="0">
    <w:p w:rsidR="00C06040" w:rsidRDefault="00C06040" w:rsidP="00F045C1">
      <w:pPr>
        <w:spacing w:after="0" w:line="240" w:lineRule="auto"/>
      </w:pPr>
      <w:r>
        <w:continuationSeparator/>
      </w:r>
    </w:p>
  </w:footnote>
  <w:footnote w:id="1">
    <w:p w:rsidR="004C0F9B" w:rsidRPr="007B1733" w:rsidRDefault="004C0F9B" w:rsidP="007B1733">
      <w:pPr>
        <w:pStyle w:val="a4"/>
        <w:jc w:val="both"/>
        <w:rPr>
          <w:rFonts w:ascii="Arial" w:hAnsi="Arial" w:cs="Arial"/>
          <w:sz w:val="16"/>
          <w:szCs w:val="16"/>
        </w:rPr>
      </w:pPr>
      <w:r w:rsidRPr="00323436">
        <w:rPr>
          <w:rStyle w:val="a6"/>
          <w:rFonts w:ascii="Arial" w:hAnsi="Arial" w:cs="Arial"/>
        </w:rPr>
        <w:footnoteRef/>
      </w:r>
      <w:r w:rsidRPr="00323436">
        <w:rPr>
          <w:rFonts w:ascii="Arial" w:hAnsi="Arial" w:cs="Arial"/>
        </w:rPr>
        <w:t xml:space="preserve"> </w:t>
      </w:r>
      <w:r w:rsidRPr="007B1733">
        <w:rPr>
          <w:rFonts w:ascii="Arial" w:hAnsi="Arial" w:cs="Arial"/>
          <w:sz w:val="16"/>
          <w:szCs w:val="16"/>
        </w:rPr>
        <w:t>“investment portfolio” will be defined as “the aggregate value of investments in investee companies as determined under the prevailing accounting standards”.</w:t>
      </w:r>
    </w:p>
  </w:footnote>
  <w:footnote w:id="2">
    <w:p w:rsidR="004C0F9B" w:rsidRPr="009A6C0B" w:rsidRDefault="004C0F9B">
      <w:pPr>
        <w:pStyle w:val="a4"/>
        <w:rPr>
          <w:lang w:val="en-US"/>
        </w:rPr>
      </w:pPr>
      <w:r>
        <w:rPr>
          <w:rStyle w:val="a6"/>
        </w:rPr>
        <w:footnoteRef/>
      </w:r>
      <w:r>
        <w:t xml:space="preserve"> </w:t>
      </w:r>
      <w:r w:rsidRPr="009A6C0B">
        <w:rPr>
          <w:rFonts w:ascii="Arial" w:hAnsi="Arial" w:cs="Arial"/>
          <w:sz w:val="16"/>
          <w:szCs w:val="16"/>
          <w:lang w:val="en-US"/>
        </w:rPr>
        <w:t xml:space="preserve">Institutional professional investors are those </w:t>
      </w:r>
      <w:r>
        <w:rPr>
          <w:rFonts w:ascii="Arial" w:hAnsi="Arial" w:cs="Arial"/>
          <w:sz w:val="16"/>
          <w:szCs w:val="16"/>
          <w:lang w:val="en-US"/>
        </w:rPr>
        <w:t>with</w:t>
      </w:r>
      <w:r w:rsidRPr="009A6C0B">
        <w:rPr>
          <w:rFonts w:ascii="Arial" w:hAnsi="Arial" w:cs="Arial"/>
          <w:sz w:val="16"/>
          <w:szCs w:val="16"/>
          <w:lang w:val="en-US"/>
        </w:rPr>
        <w:t>in paragraphs (a) to (i) of the definition of “professional investor” in</w:t>
      </w:r>
      <w:r>
        <w:rPr>
          <w:rFonts w:ascii="Arial" w:hAnsi="Arial" w:cs="Arial"/>
          <w:sz w:val="16"/>
          <w:szCs w:val="16"/>
          <w:lang w:val="en-US"/>
        </w:rPr>
        <w:t xml:space="preserve"> section 1 of</w:t>
      </w:r>
      <w:r w:rsidRPr="009A6C0B">
        <w:rPr>
          <w:rFonts w:ascii="Arial" w:hAnsi="Arial" w:cs="Arial"/>
          <w:sz w:val="16"/>
          <w:szCs w:val="16"/>
          <w:lang w:val="en-US"/>
        </w:rPr>
        <w:t xml:space="preserve"> Part 1 of Schedule 1 to the Securities and Futures Ordinance</w:t>
      </w:r>
    </w:p>
  </w:footnote>
  <w:footnote w:id="3">
    <w:p w:rsidR="000F288E" w:rsidRPr="000F288E" w:rsidRDefault="000F288E">
      <w:pPr>
        <w:pStyle w:val="a4"/>
        <w:rPr>
          <w:lang w:val="en-US"/>
        </w:rPr>
      </w:pPr>
      <w:r>
        <w:rPr>
          <w:rStyle w:val="a6"/>
        </w:rPr>
        <w:footnoteRef/>
      </w:r>
      <w:r>
        <w:t xml:space="preserve"> </w:t>
      </w:r>
      <w:r w:rsidRPr="000F288E">
        <w:rPr>
          <w:rFonts w:ascii="Arial" w:hAnsi="Arial" w:cs="Arial"/>
          <w:lang w:val="en-US"/>
        </w:rPr>
        <w:t>Main Board Listing Rule 10.08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9C"/>
    <w:multiLevelType w:val="hybridMultilevel"/>
    <w:tmpl w:val="D938F1DA"/>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3DE3"/>
    <w:multiLevelType w:val="hybridMultilevel"/>
    <w:tmpl w:val="F1AC0E8E"/>
    <w:lvl w:ilvl="0" w:tplc="CF1024A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E18B2"/>
    <w:multiLevelType w:val="hybridMultilevel"/>
    <w:tmpl w:val="3E4A295A"/>
    <w:lvl w:ilvl="0" w:tplc="CF1024A6">
      <w:numFmt w:val="bullet"/>
      <w:lvlText w:val="•"/>
      <w:lvlJc w:val="left"/>
      <w:pPr>
        <w:ind w:left="768" w:hanging="360"/>
      </w:pPr>
      <w:rPr>
        <w:rFonts w:ascii="Times New Roman" w:eastAsiaTheme="minorHAnsi"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B127604"/>
    <w:multiLevelType w:val="hybridMultilevel"/>
    <w:tmpl w:val="8CF07ED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A63A3"/>
    <w:multiLevelType w:val="hybridMultilevel"/>
    <w:tmpl w:val="7EF0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964E7"/>
    <w:multiLevelType w:val="hybridMultilevel"/>
    <w:tmpl w:val="8A7C5A00"/>
    <w:lvl w:ilvl="0" w:tplc="95BA7BB2">
      <w:start w:val="1"/>
      <w:numFmt w:val="bullet"/>
      <w:lvlText w:val="•"/>
      <w:lvlJc w:val="left"/>
      <w:pPr>
        <w:ind w:left="835" w:hanging="360"/>
      </w:pPr>
      <w:rPr>
        <w:rFonts w:ascii="Times New Roman" w:hAnsi="Times New Roman"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 w15:restartNumberingAfterBreak="0">
    <w:nsid w:val="169C02CC"/>
    <w:multiLevelType w:val="hybridMultilevel"/>
    <w:tmpl w:val="F18C1AA6"/>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C5D4521"/>
    <w:multiLevelType w:val="hybridMultilevel"/>
    <w:tmpl w:val="75A6EFB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24BE0"/>
    <w:multiLevelType w:val="hybridMultilevel"/>
    <w:tmpl w:val="0EB6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6763E"/>
    <w:multiLevelType w:val="hybridMultilevel"/>
    <w:tmpl w:val="FE78E03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827E7"/>
    <w:multiLevelType w:val="hybridMultilevel"/>
    <w:tmpl w:val="E8C08A74"/>
    <w:lvl w:ilvl="0" w:tplc="CF1024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350A"/>
    <w:multiLevelType w:val="hybridMultilevel"/>
    <w:tmpl w:val="ED84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15410"/>
    <w:multiLevelType w:val="hybridMultilevel"/>
    <w:tmpl w:val="78CCA7D4"/>
    <w:lvl w:ilvl="0" w:tplc="CF1024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B3F52"/>
    <w:multiLevelType w:val="hybridMultilevel"/>
    <w:tmpl w:val="B90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66FD6"/>
    <w:multiLevelType w:val="hybridMultilevel"/>
    <w:tmpl w:val="49A849DA"/>
    <w:lvl w:ilvl="0" w:tplc="63BA46C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75FAF"/>
    <w:multiLevelType w:val="hybridMultilevel"/>
    <w:tmpl w:val="18D645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3B573964"/>
    <w:multiLevelType w:val="hybridMultilevel"/>
    <w:tmpl w:val="0084010C"/>
    <w:lvl w:ilvl="0" w:tplc="04090017">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 w15:restartNumberingAfterBreak="0">
    <w:nsid w:val="3BCE000D"/>
    <w:multiLevelType w:val="hybridMultilevel"/>
    <w:tmpl w:val="410E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72823"/>
    <w:multiLevelType w:val="hybridMultilevel"/>
    <w:tmpl w:val="16F29A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CF3A1A"/>
    <w:multiLevelType w:val="hybridMultilevel"/>
    <w:tmpl w:val="030432BE"/>
    <w:lvl w:ilvl="0" w:tplc="63BA46C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71F16FE"/>
    <w:multiLevelType w:val="hybridMultilevel"/>
    <w:tmpl w:val="6AC0C5E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74BE2"/>
    <w:multiLevelType w:val="hybridMultilevel"/>
    <w:tmpl w:val="A2E22566"/>
    <w:lvl w:ilvl="0" w:tplc="CF1024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C45C0"/>
    <w:multiLevelType w:val="hybridMultilevel"/>
    <w:tmpl w:val="1F406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E3A21"/>
    <w:multiLevelType w:val="hybridMultilevel"/>
    <w:tmpl w:val="9F6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B74B4E"/>
    <w:multiLevelType w:val="hybridMultilevel"/>
    <w:tmpl w:val="530C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253275">
    <w:abstractNumId w:val="22"/>
  </w:num>
  <w:num w:numId="2" w16cid:durableId="1840195303">
    <w:abstractNumId w:val="17"/>
  </w:num>
  <w:num w:numId="3" w16cid:durableId="479420215">
    <w:abstractNumId w:val="8"/>
  </w:num>
  <w:num w:numId="4" w16cid:durableId="28452671">
    <w:abstractNumId w:val="13"/>
  </w:num>
  <w:num w:numId="5" w16cid:durableId="1310019969">
    <w:abstractNumId w:val="18"/>
  </w:num>
  <w:num w:numId="6" w16cid:durableId="599026859">
    <w:abstractNumId w:val="15"/>
  </w:num>
  <w:num w:numId="7" w16cid:durableId="762143380">
    <w:abstractNumId w:val="11"/>
  </w:num>
  <w:num w:numId="8" w16cid:durableId="1045838599">
    <w:abstractNumId w:val="4"/>
  </w:num>
  <w:num w:numId="9" w16cid:durableId="653066659">
    <w:abstractNumId w:val="16"/>
  </w:num>
  <w:num w:numId="10" w16cid:durableId="1759667804">
    <w:abstractNumId w:val="19"/>
  </w:num>
  <w:num w:numId="11" w16cid:durableId="1791706143">
    <w:abstractNumId w:val="24"/>
  </w:num>
  <w:num w:numId="12" w16cid:durableId="1082487117">
    <w:abstractNumId w:val="23"/>
  </w:num>
  <w:num w:numId="13" w16cid:durableId="1824933105">
    <w:abstractNumId w:val="14"/>
  </w:num>
  <w:num w:numId="14" w16cid:durableId="931206656">
    <w:abstractNumId w:val="7"/>
  </w:num>
  <w:num w:numId="15" w16cid:durableId="1152796456">
    <w:abstractNumId w:val="12"/>
  </w:num>
  <w:num w:numId="16" w16cid:durableId="2029090353">
    <w:abstractNumId w:val="10"/>
  </w:num>
  <w:num w:numId="17" w16cid:durableId="1722048538">
    <w:abstractNumId w:val="1"/>
  </w:num>
  <w:num w:numId="18" w16cid:durableId="1034384427">
    <w:abstractNumId w:val="2"/>
  </w:num>
  <w:num w:numId="19" w16cid:durableId="1810393999">
    <w:abstractNumId w:val="21"/>
  </w:num>
  <w:num w:numId="20" w16cid:durableId="1671641238">
    <w:abstractNumId w:val="20"/>
  </w:num>
  <w:num w:numId="21" w16cid:durableId="1379891555">
    <w:abstractNumId w:val="9"/>
  </w:num>
  <w:num w:numId="22" w16cid:durableId="1194266418">
    <w:abstractNumId w:val="3"/>
  </w:num>
  <w:num w:numId="23" w16cid:durableId="610893135">
    <w:abstractNumId w:val="6"/>
  </w:num>
  <w:num w:numId="24" w16cid:durableId="1871142620">
    <w:abstractNumId w:val="5"/>
  </w:num>
  <w:num w:numId="25" w16cid:durableId="42010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D0"/>
    <w:rsid w:val="000175FD"/>
    <w:rsid w:val="00066226"/>
    <w:rsid w:val="000A053E"/>
    <w:rsid w:val="000E4B36"/>
    <w:rsid w:val="000F288E"/>
    <w:rsid w:val="00103EC7"/>
    <w:rsid w:val="001134D8"/>
    <w:rsid w:val="00156357"/>
    <w:rsid w:val="00162CA8"/>
    <w:rsid w:val="00187520"/>
    <w:rsid w:val="00187703"/>
    <w:rsid w:val="001B5F54"/>
    <w:rsid w:val="001E3E1B"/>
    <w:rsid w:val="00215E6A"/>
    <w:rsid w:val="00234A9F"/>
    <w:rsid w:val="00235DA2"/>
    <w:rsid w:val="002407AC"/>
    <w:rsid w:val="0027229C"/>
    <w:rsid w:val="002C61FF"/>
    <w:rsid w:val="002C635E"/>
    <w:rsid w:val="002E692C"/>
    <w:rsid w:val="003221BD"/>
    <w:rsid w:val="00323436"/>
    <w:rsid w:val="00326C4F"/>
    <w:rsid w:val="003405F1"/>
    <w:rsid w:val="00344BDF"/>
    <w:rsid w:val="00353ECC"/>
    <w:rsid w:val="00373FCA"/>
    <w:rsid w:val="003776CC"/>
    <w:rsid w:val="003847FE"/>
    <w:rsid w:val="00392646"/>
    <w:rsid w:val="003A1385"/>
    <w:rsid w:val="003F19D0"/>
    <w:rsid w:val="00407AD7"/>
    <w:rsid w:val="0041754D"/>
    <w:rsid w:val="00420899"/>
    <w:rsid w:val="00434CBF"/>
    <w:rsid w:val="004354B7"/>
    <w:rsid w:val="00451C53"/>
    <w:rsid w:val="00492C6B"/>
    <w:rsid w:val="004A0474"/>
    <w:rsid w:val="004A6F2A"/>
    <w:rsid w:val="004C0F9B"/>
    <w:rsid w:val="004C1303"/>
    <w:rsid w:val="004D172E"/>
    <w:rsid w:val="004D2A9B"/>
    <w:rsid w:val="004D70E5"/>
    <w:rsid w:val="004E3483"/>
    <w:rsid w:val="004E3928"/>
    <w:rsid w:val="004F0386"/>
    <w:rsid w:val="00515EDC"/>
    <w:rsid w:val="00534830"/>
    <w:rsid w:val="0057515B"/>
    <w:rsid w:val="00576703"/>
    <w:rsid w:val="005916C4"/>
    <w:rsid w:val="00593797"/>
    <w:rsid w:val="005A0323"/>
    <w:rsid w:val="005C5B6B"/>
    <w:rsid w:val="005D4658"/>
    <w:rsid w:val="005D5C6F"/>
    <w:rsid w:val="006070E1"/>
    <w:rsid w:val="00616C90"/>
    <w:rsid w:val="00634948"/>
    <w:rsid w:val="006417E0"/>
    <w:rsid w:val="00641B5A"/>
    <w:rsid w:val="00642CB3"/>
    <w:rsid w:val="00647F71"/>
    <w:rsid w:val="00655E88"/>
    <w:rsid w:val="00660E9F"/>
    <w:rsid w:val="00683B2C"/>
    <w:rsid w:val="006E594B"/>
    <w:rsid w:val="00742C44"/>
    <w:rsid w:val="007864B7"/>
    <w:rsid w:val="00796D04"/>
    <w:rsid w:val="007B1733"/>
    <w:rsid w:val="007B2CB7"/>
    <w:rsid w:val="00820D57"/>
    <w:rsid w:val="00823B8C"/>
    <w:rsid w:val="00824B48"/>
    <w:rsid w:val="00836C4E"/>
    <w:rsid w:val="00843DA5"/>
    <w:rsid w:val="008540A5"/>
    <w:rsid w:val="00873290"/>
    <w:rsid w:val="0089118E"/>
    <w:rsid w:val="008C098A"/>
    <w:rsid w:val="008C6A12"/>
    <w:rsid w:val="008E4A41"/>
    <w:rsid w:val="008F1DE6"/>
    <w:rsid w:val="00970BBE"/>
    <w:rsid w:val="00977B23"/>
    <w:rsid w:val="00982712"/>
    <w:rsid w:val="009A6C0B"/>
    <w:rsid w:val="009B219C"/>
    <w:rsid w:val="00A5027B"/>
    <w:rsid w:val="00A52062"/>
    <w:rsid w:val="00A5297C"/>
    <w:rsid w:val="00A614DB"/>
    <w:rsid w:val="00A77E13"/>
    <w:rsid w:val="00A8228E"/>
    <w:rsid w:val="00A851C7"/>
    <w:rsid w:val="00A93E70"/>
    <w:rsid w:val="00AA2920"/>
    <w:rsid w:val="00AB6B29"/>
    <w:rsid w:val="00AD2A62"/>
    <w:rsid w:val="00B322EB"/>
    <w:rsid w:val="00BB1956"/>
    <w:rsid w:val="00BC38FD"/>
    <w:rsid w:val="00BC71C5"/>
    <w:rsid w:val="00BD1C57"/>
    <w:rsid w:val="00BE240D"/>
    <w:rsid w:val="00C06040"/>
    <w:rsid w:val="00C1236A"/>
    <w:rsid w:val="00C14D92"/>
    <w:rsid w:val="00C224EB"/>
    <w:rsid w:val="00C23A5E"/>
    <w:rsid w:val="00C46A5D"/>
    <w:rsid w:val="00C770E3"/>
    <w:rsid w:val="00CB5549"/>
    <w:rsid w:val="00CF67A8"/>
    <w:rsid w:val="00D4323A"/>
    <w:rsid w:val="00D74A32"/>
    <w:rsid w:val="00D87489"/>
    <w:rsid w:val="00DA0683"/>
    <w:rsid w:val="00E27B43"/>
    <w:rsid w:val="00E27EB2"/>
    <w:rsid w:val="00E335C7"/>
    <w:rsid w:val="00E34A1A"/>
    <w:rsid w:val="00E63200"/>
    <w:rsid w:val="00E86216"/>
    <w:rsid w:val="00EF022C"/>
    <w:rsid w:val="00EF14CE"/>
    <w:rsid w:val="00F03FD3"/>
    <w:rsid w:val="00F045C1"/>
    <w:rsid w:val="00F143F8"/>
    <w:rsid w:val="00F23BA3"/>
    <w:rsid w:val="00F53EF5"/>
    <w:rsid w:val="00F9532D"/>
    <w:rsid w:val="00FA5262"/>
    <w:rsid w:val="00FA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FDAD"/>
  <w15:chartTrackingRefBased/>
  <w15:docId w15:val="{480E5A20-F66F-460D-BC89-E2D98D80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9D0"/>
    <w:pPr>
      <w:ind w:left="720"/>
      <w:contextualSpacing/>
    </w:pPr>
  </w:style>
  <w:style w:type="paragraph" w:styleId="a4">
    <w:name w:val="footnote text"/>
    <w:basedOn w:val="a"/>
    <w:link w:val="a5"/>
    <w:uiPriority w:val="99"/>
    <w:semiHidden/>
    <w:unhideWhenUsed/>
    <w:rsid w:val="00F045C1"/>
    <w:pPr>
      <w:spacing w:after="0" w:line="240" w:lineRule="auto"/>
    </w:pPr>
    <w:rPr>
      <w:sz w:val="20"/>
      <w:szCs w:val="20"/>
    </w:rPr>
  </w:style>
  <w:style w:type="character" w:customStyle="1" w:styleId="a5">
    <w:name w:val="Текст сноски Знак"/>
    <w:basedOn w:val="a0"/>
    <w:link w:val="a4"/>
    <w:uiPriority w:val="99"/>
    <w:semiHidden/>
    <w:rsid w:val="00F045C1"/>
    <w:rPr>
      <w:sz w:val="20"/>
      <w:szCs w:val="20"/>
      <w:lang w:val="en-GB"/>
    </w:rPr>
  </w:style>
  <w:style w:type="character" w:styleId="a6">
    <w:name w:val="footnote reference"/>
    <w:basedOn w:val="a0"/>
    <w:uiPriority w:val="99"/>
    <w:semiHidden/>
    <w:unhideWhenUsed/>
    <w:rsid w:val="00F045C1"/>
    <w:rPr>
      <w:vertAlign w:val="superscript"/>
    </w:rPr>
  </w:style>
  <w:style w:type="paragraph" w:styleId="a7">
    <w:name w:val="Balloon Text"/>
    <w:basedOn w:val="a"/>
    <w:link w:val="a8"/>
    <w:uiPriority w:val="99"/>
    <w:semiHidden/>
    <w:unhideWhenUsed/>
    <w:rsid w:val="00655E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5E88"/>
    <w:rPr>
      <w:rFonts w:ascii="Segoe UI" w:hAnsi="Segoe UI" w:cs="Segoe UI"/>
      <w:sz w:val="18"/>
      <w:szCs w:val="18"/>
      <w:lang w:val="en-GB"/>
    </w:rPr>
  </w:style>
  <w:style w:type="character" w:styleId="a9">
    <w:name w:val="Hyperlink"/>
    <w:basedOn w:val="a0"/>
    <w:uiPriority w:val="99"/>
    <w:unhideWhenUsed/>
    <w:rsid w:val="00187703"/>
    <w:rPr>
      <w:color w:val="0563C1" w:themeColor="hyperlink"/>
      <w:u w:val="single"/>
    </w:rPr>
  </w:style>
  <w:style w:type="character" w:styleId="aa">
    <w:name w:val="FollowedHyperlink"/>
    <w:basedOn w:val="a0"/>
    <w:uiPriority w:val="99"/>
    <w:semiHidden/>
    <w:unhideWhenUsed/>
    <w:rsid w:val="00EF14CE"/>
    <w:rPr>
      <w:color w:val="954F72" w:themeColor="followedHyperlink"/>
      <w:u w:val="single"/>
    </w:rPr>
  </w:style>
  <w:style w:type="table" w:styleId="ab">
    <w:name w:val="Table Grid"/>
    <w:basedOn w:val="a1"/>
    <w:uiPriority w:val="39"/>
    <w:rsid w:val="00113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A053E"/>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0A053E"/>
    <w:rPr>
      <w:lang w:val="en-GB"/>
    </w:rPr>
  </w:style>
  <w:style w:type="paragraph" w:styleId="ae">
    <w:name w:val="footer"/>
    <w:basedOn w:val="a"/>
    <w:link w:val="af"/>
    <w:uiPriority w:val="99"/>
    <w:unhideWhenUsed/>
    <w:rsid w:val="000A053E"/>
    <w:pPr>
      <w:tabs>
        <w:tab w:val="center" w:pos="4680"/>
        <w:tab w:val="right" w:pos="9360"/>
      </w:tabs>
      <w:spacing w:after="0" w:line="240" w:lineRule="auto"/>
    </w:pPr>
  </w:style>
  <w:style w:type="character" w:customStyle="1" w:styleId="af">
    <w:name w:val="Нижний колонтитул Знак"/>
    <w:basedOn w:val="a0"/>
    <w:link w:val="ae"/>
    <w:uiPriority w:val="99"/>
    <w:rsid w:val="000A053E"/>
    <w:rPr>
      <w:lang w:val="en-GB"/>
    </w:rPr>
  </w:style>
  <w:style w:type="paragraph" w:customStyle="1" w:styleId="Disclaimer">
    <w:name w:val="Disclaimer"/>
    <w:basedOn w:val="a"/>
    <w:qFormat/>
    <w:rsid w:val="00CF67A8"/>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CF67A8"/>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CF67A8"/>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consults-on-new-listing-regime-for-specialist-technology-companies/" TargetMode="External"/><Relationship Id="rId13" Type="http://schemas.openxmlformats.org/officeDocument/2006/relationships/hyperlink" Target="https://surveys.hkex.com.hk/jfe/form/SV_41SJbQrjgDz54q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rules.hkex.com.hk/pdf-manipulate?/sites/default/files/net_file_store/gl51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rules.hkex.com.hk/pdf-manipulate?/sites/default/files/net_file_store/gl431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rules.hkex.com.hk/pdf-manipulate?/sites/default/files/net_file_store/gl8516.pdf"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October-2022-Specialist-Technology-Co/Consultation-Paper/cp202210.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26E0-AC4B-474C-A11F-006C3C2D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9</Pages>
  <Words>4271</Words>
  <Characters>24347</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17</cp:revision>
  <cp:lastPrinted>2022-10-20T06:21:00Z</cp:lastPrinted>
  <dcterms:created xsi:type="dcterms:W3CDTF">2022-10-20T10:10:00Z</dcterms:created>
  <dcterms:modified xsi:type="dcterms:W3CDTF">2022-10-23T08:25:00Z</dcterms:modified>
</cp:coreProperties>
</file>