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23C2" w:rsidRPr="00C13D3D" w:rsidRDefault="007F23C2" w:rsidP="007F23C2">
      <w:pPr>
        <w:shd w:val="clear" w:color="auto" w:fill="000000"/>
        <w:spacing w:after="200" w:line="240" w:lineRule="auto"/>
        <w:jc w:val="center"/>
        <w:rPr>
          <w:rFonts w:ascii="Cambria" w:eastAsia="Cambria" w:hAnsi="Cambria" w:cs="Times New Roman"/>
          <w:color w:val="FFFFFF"/>
          <w:sz w:val="24"/>
          <w:szCs w:val="24"/>
          <w:lang w:eastAsia="en-US"/>
        </w:rPr>
      </w:pPr>
      <w:proofErr w:type="spellStart"/>
      <w:r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>Charltons</w:t>
      </w:r>
      <w:proofErr w:type="spellEnd"/>
      <w:r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 xml:space="preserve"> - Hong Kong Law - 1</w:t>
      </w:r>
      <w:r w:rsidR="00362417" w:rsidRPr="00362417">
        <w:rPr>
          <w:rFonts w:ascii="Cambria" w:eastAsia="Cambria" w:hAnsi="Cambria" w:cs="Times New Roman"/>
          <w:color w:val="FFFFFF"/>
          <w:sz w:val="24"/>
          <w:szCs w:val="24"/>
          <w:lang w:val="en-US" w:eastAsia="en-US"/>
        </w:rPr>
        <w:t>7</w:t>
      </w:r>
      <w:r w:rsidRPr="00C13D3D"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 xml:space="preserve"> </w:t>
      </w:r>
      <w:r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 xml:space="preserve">October </w:t>
      </w:r>
      <w:r w:rsidRPr="00C13D3D"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>2022</w:t>
      </w:r>
    </w:p>
    <w:p w:rsidR="007F23C2" w:rsidRPr="007F23C2" w:rsidRDefault="00000000" w:rsidP="007F23C2">
      <w:pPr>
        <w:spacing w:after="200" w:line="240" w:lineRule="auto"/>
        <w:jc w:val="center"/>
        <w:rPr>
          <w:rFonts w:ascii="Cambria" w:eastAsia="Cambria" w:hAnsi="Cambria" w:cs="Times New Roman"/>
          <w:color w:val="00000A"/>
          <w:sz w:val="28"/>
          <w:szCs w:val="24"/>
          <w:u w:val="single"/>
          <w:lang w:eastAsia="en-US"/>
        </w:rPr>
      </w:pPr>
      <w:hyperlink r:id="rId7" w:history="1">
        <w:r w:rsidR="007F23C2" w:rsidRPr="00365171">
          <w:rPr>
            <w:rStyle w:val="a3"/>
            <w:rFonts w:ascii="Cambria" w:eastAsia="Cambria" w:hAnsi="Cambria" w:cs="Times New Roman"/>
            <w:sz w:val="28"/>
            <w:szCs w:val="24"/>
            <w:lang w:eastAsia="en-US"/>
          </w:rPr>
          <w:t>online version</w:t>
        </w:r>
      </w:hyperlink>
    </w:p>
    <w:p w:rsidR="00BD7C9F" w:rsidRPr="00C13D3D" w:rsidRDefault="00BD7C9F" w:rsidP="002F0C23">
      <w:pPr>
        <w:keepNext/>
        <w:keepLines/>
        <w:spacing w:before="480" w:after="240" w:line="240" w:lineRule="auto"/>
        <w:jc w:val="center"/>
        <w:rPr>
          <w:rFonts w:ascii="Cambria" w:eastAsia="SimSun" w:hAnsi="Cambria" w:cs="Times New Roman"/>
          <w:b/>
          <w:bCs/>
          <w:color w:val="C0143C"/>
          <w:sz w:val="36"/>
          <w:szCs w:val="36"/>
          <w:lang w:eastAsia="en-US"/>
        </w:rPr>
      </w:pPr>
      <w:r>
        <w:rPr>
          <w:rFonts w:ascii="Cambria" w:eastAsia="SimSun" w:hAnsi="Cambria" w:cs="Times New Roman"/>
          <w:b/>
          <w:bCs/>
          <w:color w:val="C0143C"/>
          <w:sz w:val="36"/>
          <w:szCs w:val="36"/>
          <w:lang w:eastAsia="en-US"/>
        </w:rPr>
        <w:t xml:space="preserve">SFC Takeovers Bulletin </w:t>
      </w:r>
      <w:r w:rsidR="00D35851">
        <w:rPr>
          <w:rFonts w:ascii="Cambria" w:eastAsia="SimSun" w:hAnsi="Cambria" w:cs="Times New Roman"/>
          <w:b/>
          <w:bCs/>
          <w:color w:val="C0143C"/>
          <w:sz w:val="36"/>
          <w:szCs w:val="36"/>
          <w:lang w:eastAsia="en-US"/>
        </w:rPr>
        <w:t>No. 62</w:t>
      </w:r>
    </w:p>
    <w:p w:rsidR="00F77BD1" w:rsidRDefault="00D35851" w:rsidP="003B679E">
      <w:pPr>
        <w:jc w:val="both"/>
      </w:pPr>
      <w:r w:rsidRPr="00D35851">
        <w:t>The Securities and Futures Commission of Hong Kong (</w:t>
      </w:r>
      <w:r w:rsidRPr="00D35851">
        <w:rPr>
          <w:b/>
        </w:rPr>
        <w:t>SFC</w:t>
      </w:r>
      <w:r w:rsidRPr="00D35851">
        <w:t xml:space="preserve">) published </w:t>
      </w:r>
      <w:hyperlink r:id="rId8" w:history="1">
        <w:r w:rsidRPr="00665407">
          <w:rPr>
            <w:rStyle w:val="a3"/>
          </w:rPr>
          <w:t xml:space="preserve">Takeovers Bulletin No. </w:t>
        </w:r>
        <w:r w:rsidR="00FD59DD" w:rsidRPr="00665407">
          <w:rPr>
            <w:rStyle w:val="a3"/>
          </w:rPr>
          <w:t>62</w:t>
        </w:r>
      </w:hyperlink>
      <w:r w:rsidRPr="00D35851">
        <w:t xml:space="preserve"> in </w:t>
      </w:r>
      <w:r w:rsidR="00FD59DD">
        <w:t xml:space="preserve">September 2022 </w:t>
      </w:r>
      <w:r w:rsidRPr="00D35851">
        <w:t>(</w:t>
      </w:r>
      <w:r w:rsidR="009776D5" w:rsidRPr="009776D5">
        <w:rPr>
          <w:b/>
        </w:rPr>
        <w:t xml:space="preserve">SFC </w:t>
      </w:r>
      <w:r w:rsidRPr="00FD59DD">
        <w:rPr>
          <w:b/>
        </w:rPr>
        <w:t xml:space="preserve">Takeovers Bulletin </w:t>
      </w:r>
      <w:r w:rsidR="00FD59DD" w:rsidRPr="00FD59DD">
        <w:rPr>
          <w:b/>
        </w:rPr>
        <w:t>62</w:t>
      </w:r>
      <w:r w:rsidR="00175699">
        <w:t>) covering</w:t>
      </w:r>
      <w:r w:rsidRPr="00D35851">
        <w:t xml:space="preserve"> recent </w:t>
      </w:r>
      <w:r w:rsidR="00175699">
        <w:t>decisions of the Hong Kong Takeovers</w:t>
      </w:r>
      <w:r w:rsidR="00D05B8F">
        <w:t xml:space="preserve"> </w:t>
      </w:r>
      <w:r w:rsidR="00175699">
        <w:t>Panel</w:t>
      </w:r>
      <w:r w:rsidR="00F77BD1">
        <w:t xml:space="preserve"> on </w:t>
      </w:r>
      <w:r w:rsidR="00D05B8F">
        <w:t>cases involving the grant of</w:t>
      </w:r>
      <w:r w:rsidR="00F77BD1">
        <w:t xml:space="preserve"> a special waiver from the general off</w:t>
      </w:r>
      <w:r w:rsidR="00D12388">
        <w:t>er</w:t>
      </w:r>
      <w:r w:rsidR="00F77BD1">
        <w:t xml:space="preserve"> obligation</w:t>
      </w:r>
      <w:r w:rsidR="00175699">
        <w:t xml:space="preserve"> and </w:t>
      </w:r>
      <w:r w:rsidR="00D05B8F">
        <w:t xml:space="preserve">the determination of </w:t>
      </w:r>
      <w:r w:rsidR="00F77BD1">
        <w:t>the offer price in a mandatory general offer</w:t>
      </w:r>
      <w:r w:rsidR="00D05B8F">
        <w:t>. It also provides</w:t>
      </w:r>
      <w:r w:rsidR="00F77BD1">
        <w:t xml:space="preserve"> </w:t>
      </w:r>
      <w:r w:rsidR="00175699">
        <w:t xml:space="preserve">a </w:t>
      </w:r>
      <w:r w:rsidR="00F77BD1">
        <w:t xml:space="preserve">quarterly update on the activities of the Takeovers Team. </w:t>
      </w:r>
    </w:p>
    <w:p w:rsidR="00F77BD1" w:rsidRPr="00175699" w:rsidRDefault="00D032CB" w:rsidP="003B679E">
      <w:pPr>
        <w:jc w:val="both"/>
        <w:rPr>
          <w:b/>
          <w:color w:val="FF0000"/>
        </w:rPr>
      </w:pPr>
      <w:r w:rsidRPr="00175699">
        <w:rPr>
          <w:b/>
          <w:color w:val="FF0000"/>
        </w:rPr>
        <w:t xml:space="preserve">Takeovers Panel’s Decision on Granting a Special Waiver from the </w:t>
      </w:r>
      <w:r w:rsidR="00722F75">
        <w:rPr>
          <w:b/>
          <w:color w:val="FF0000"/>
        </w:rPr>
        <w:t xml:space="preserve">Mandatory </w:t>
      </w:r>
      <w:r w:rsidRPr="00175699">
        <w:rPr>
          <w:b/>
          <w:color w:val="FF0000"/>
        </w:rPr>
        <w:t>General Offer Obligation</w:t>
      </w:r>
    </w:p>
    <w:p w:rsidR="005C6735" w:rsidRDefault="00F87819" w:rsidP="004C35EE">
      <w:pPr>
        <w:jc w:val="both"/>
      </w:pPr>
      <w:r>
        <w:t xml:space="preserve">Broad Gongga Investment Pte. Ltd. </w:t>
      </w:r>
      <w:r w:rsidR="00607FD2">
        <w:t>(</w:t>
      </w:r>
      <w:r w:rsidR="00607FD2" w:rsidRPr="00607FD2">
        <w:rPr>
          <w:b/>
        </w:rPr>
        <w:t>Broad Gongga</w:t>
      </w:r>
      <w:r w:rsidR="00607FD2">
        <w:t xml:space="preserve">) </w:t>
      </w:r>
      <w:r w:rsidR="00C9246D">
        <w:t>c</w:t>
      </w:r>
      <w:r w:rsidR="005C6735">
        <w:t>onsult</w:t>
      </w:r>
      <w:r>
        <w:t>ed</w:t>
      </w:r>
      <w:r w:rsidR="007168EE">
        <w:t xml:space="preserve"> the </w:t>
      </w:r>
      <w:r w:rsidR="00FD2D51">
        <w:t xml:space="preserve">SFC </w:t>
      </w:r>
      <w:r w:rsidR="002662D8">
        <w:t>on whether a</w:t>
      </w:r>
      <w:r w:rsidR="00C9246D">
        <w:t xml:space="preserve"> hypothetical </w:t>
      </w:r>
      <w:r w:rsidR="00042DA5">
        <w:t xml:space="preserve">foreclosure sale by third-party creditors </w:t>
      </w:r>
      <w:r w:rsidR="00C25978">
        <w:t>would trigger a mandatory general offer obligation</w:t>
      </w:r>
      <w:r w:rsidR="00042DA5">
        <w:t xml:space="preserve"> </w:t>
      </w:r>
      <w:r w:rsidR="009429B9">
        <w:t>on</w:t>
      </w:r>
      <w:r w:rsidR="00A957C5">
        <w:t xml:space="preserve"> the part of Broad Gongga </w:t>
      </w:r>
      <w:r w:rsidR="00042DA5">
        <w:t>under Rule 26.1 of the SFC Code on Takeovers and Mergers (</w:t>
      </w:r>
      <w:r w:rsidR="00042DA5" w:rsidRPr="00042DA5">
        <w:rPr>
          <w:b/>
        </w:rPr>
        <w:t>SFC Takeovers Code</w:t>
      </w:r>
      <w:r w:rsidR="00042DA5">
        <w:t>). T</w:t>
      </w:r>
      <w:r w:rsidR="003E6E56">
        <w:t>he Takeovers Panel ruled that a special waiver from the general offer may be granted</w:t>
      </w:r>
      <w:r w:rsidR="008559A8">
        <w:t xml:space="preserve"> as a result of a possible foreclosure sale</w:t>
      </w:r>
      <w:r w:rsidR="003E6E56">
        <w:t xml:space="preserve">. </w:t>
      </w:r>
    </w:p>
    <w:p w:rsidR="00DF456E" w:rsidRDefault="009429B9" w:rsidP="004C35EE">
      <w:pPr>
        <w:jc w:val="both"/>
      </w:pPr>
      <w:r>
        <w:t>Although t</w:t>
      </w:r>
      <w:r w:rsidR="00FD2D51">
        <w:t xml:space="preserve">he </w:t>
      </w:r>
      <w:r w:rsidR="00A81D4E">
        <w:t>Takeovers Panel does not u</w:t>
      </w:r>
      <w:r w:rsidR="00B05C51">
        <w:t>sually</w:t>
      </w:r>
      <w:r w:rsidR="00A81D4E">
        <w:t xml:space="preserve"> consi</w:t>
      </w:r>
      <w:r>
        <w:t xml:space="preserve">der hypothetical questions, </w:t>
      </w:r>
      <w:r w:rsidR="00A81D4E">
        <w:t xml:space="preserve">the matter was referred to the Panel </w:t>
      </w:r>
      <w:r w:rsidR="00FD2D51">
        <w:t xml:space="preserve">by the SFC </w:t>
      </w:r>
      <w:r w:rsidR="00A81D4E">
        <w:t>as there were novel, important</w:t>
      </w:r>
      <w:r w:rsidR="00DF456E">
        <w:t>,</w:t>
      </w:r>
      <w:r w:rsidR="00A81D4E">
        <w:t xml:space="preserve"> or difficult points at issue. The </w:t>
      </w:r>
      <w:r w:rsidR="00DF456E">
        <w:t xml:space="preserve">Takeovers </w:t>
      </w:r>
      <w:r w:rsidR="00A81D4E">
        <w:t>Panel</w:t>
      </w:r>
      <w:r w:rsidR="00DF456E">
        <w:t xml:space="preserve"> convened</w:t>
      </w:r>
      <w:r w:rsidR="00A81D4E">
        <w:t xml:space="preserve"> on 25 July 2022 to consider the case</w:t>
      </w:r>
      <w:r w:rsidR="00DF456E">
        <w:t xml:space="preserve"> and </w:t>
      </w:r>
      <w:r>
        <w:t>published its</w:t>
      </w:r>
      <w:r w:rsidR="002F66AD">
        <w:t xml:space="preserve"> </w:t>
      </w:r>
      <w:hyperlink r:id="rId9" w:history="1">
        <w:r w:rsidR="002F66AD" w:rsidRPr="009429B9">
          <w:rPr>
            <w:rStyle w:val="a3"/>
          </w:rPr>
          <w:t>decision</w:t>
        </w:r>
      </w:hyperlink>
      <w:r w:rsidR="002F66AD">
        <w:t xml:space="preserve"> on 30 August 2022</w:t>
      </w:r>
      <w:r w:rsidR="00D64852">
        <w:t>.</w:t>
      </w:r>
    </w:p>
    <w:p w:rsidR="00DF456E" w:rsidRDefault="001722FB" w:rsidP="004C35EE">
      <w:pPr>
        <w:jc w:val="both"/>
      </w:pPr>
      <w:r>
        <w:t>Broad G</w:t>
      </w:r>
      <w:r w:rsidR="0006508B">
        <w:t xml:space="preserve">ongga </w:t>
      </w:r>
      <w:r w:rsidR="00CA1577">
        <w:t>and Jinke Property</w:t>
      </w:r>
      <w:r w:rsidR="00607FD2">
        <w:t xml:space="preserve"> </w:t>
      </w:r>
      <w:r w:rsidR="00607FD2" w:rsidRPr="00607FD2">
        <w:t>Group Company Limited</w:t>
      </w:r>
      <w:r w:rsidR="00CA1577">
        <w:t xml:space="preserve"> </w:t>
      </w:r>
      <w:r w:rsidR="00607FD2">
        <w:t>(</w:t>
      </w:r>
      <w:r w:rsidR="00607FD2" w:rsidRPr="00607FD2">
        <w:rPr>
          <w:b/>
        </w:rPr>
        <w:t>Jinke Property</w:t>
      </w:r>
      <w:r w:rsidR="00607FD2">
        <w:t xml:space="preserve">) </w:t>
      </w:r>
      <w:r w:rsidR="00CA1577">
        <w:t xml:space="preserve">are shareholders of </w:t>
      </w:r>
      <w:r w:rsidR="00FF4887">
        <w:t xml:space="preserve">Jinke </w:t>
      </w:r>
      <w:r w:rsidR="00CA1577">
        <w:t xml:space="preserve">Smart Services </w:t>
      </w:r>
      <w:r w:rsidR="00042DA5">
        <w:t>Group Company Limited</w:t>
      </w:r>
      <w:r w:rsidR="00A957C5">
        <w:t xml:space="preserve"> (</w:t>
      </w:r>
      <w:r w:rsidR="00A957C5" w:rsidRPr="00A957C5">
        <w:rPr>
          <w:b/>
        </w:rPr>
        <w:t>Jinke Smart Services</w:t>
      </w:r>
      <w:r w:rsidR="00A957C5">
        <w:t>)</w:t>
      </w:r>
      <w:r w:rsidR="00042DA5">
        <w:t xml:space="preserve">, an H-share company </w:t>
      </w:r>
      <w:r w:rsidR="004A79E9">
        <w:t>listed</w:t>
      </w:r>
      <w:r w:rsidR="00042DA5">
        <w:t xml:space="preserve"> on the Stock Exc</w:t>
      </w:r>
      <w:r w:rsidR="00931D40">
        <w:t>hange of Hong Kong Limited, and</w:t>
      </w:r>
      <w:r w:rsidR="00CA1577">
        <w:t xml:space="preserve"> concert</w:t>
      </w:r>
      <w:r w:rsidR="00931D40">
        <w:t xml:space="preserve"> parties under class 1 of the Takeovers Code’s definition of “acting in concert”</w:t>
      </w:r>
      <w:r w:rsidR="00CA1577">
        <w:t xml:space="preserve">. </w:t>
      </w:r>
      <w:r w:rsidR="00766886">
        <w:t xml:space="preserve">In the event of a </w:t>
      </w:r>
      <w:r w:rsidR="009429B9">
        <w:t xml:space="preserve">foreclosure sale of Jinke Property’s shares in Jinke Smart Services by </w:t>
      </w:r>
      <w:r w:rsidR="00931D40">
        <w:t xml:space="preserve">creditors of </w:t>
      </w:r>
      <w:r w:rsidR="009429B9">
        <w:t>Jinke Property having security over those shares</w:t>
      </w:r>
      <w:r w:rsidR="00931D40">
        <w:t xml:space="preserve"> (a</w:t>
      </w:r>
      <w:r w:rsidR="00637C25">
        <w:t xml:space="preserve"> </w:t>
      </w:r>
      <w:r w:rsidR="00637C25">
        <w:rPr>
          <w:b/>
        </w:rPr>
        <w:t>Seller Forced Disposal</w:t>
      </w:r>
      <w:r w:rsidR="00637C25">
        <w:t>)</w:t>
      </w:r>
      <w:r w:rsidR="00766886">
        <w:t xml:space="preserve">, </w:t>
      </w:r>
      <w:r w:rsidR="00E15E5B">
        <w:t xml:space="preserve">Broad Gongga would become the single largest shareholder and the leader of the concert group. </w:t>
      </w:r>
      <w:r w:rsidR="00790D9C">
        <w:t>According to Note 1 of Rule 26.1 of the Takeovers Code,</w:t>
      </w:r>
      <w:r w:rsidR="00A0756B">
        <w:rPr>
          <w:rStyle w:val="a8"/>
        </w:rPr>
        <w:footnoteReference w:id="1"/>
      </w:r>
      <w:r w:rsidR="00931D40">
        <w:t xml:space="preserve"> the Seller Forced Disposal</w:t>
      </w:r>
      <w:r w:rsidR="00790D9C">
        <w:t xml:space="preserve"> would trigger a mandatory general offer on the part of Broad Gongga for Jinke Smart Services. </w:t>
      </w:r>
    </w:p>
    <w:p w:rsidR="006876C2" w:rsidRDefault="00931D40" w:rsidP="003B679E">
      <w:pPr>
        <w:jc w:val="both"/>
      </w:pPr>
      <w:r>
        <w:t>C</w:t>
      </w:r>
      <w:r w:rsidR="005F5B96">
        <w:t>onsidering the special</w:t>
      </w:r>
      <w:r>
        <w:t xml:space="preserve"> circumstances surrounding the Seller Forced D</w:t>
      </w:r>
      <w:r w:rsidR="005F5B96">
        <w:t xml:space="preserve">isposal, including the fact that Broad Gongga would have no control over the entire process, the Takeovers Panel </w:t>
      </w:r>
      <w:r w:rsidR="00477067">
        <w:t>decided that a special waiver from the general offer obligation would, in principle, be appropriate</w:t>
      </w:r>
      <w:r w:rsidR="00CB6A21">
        <w:t>. However,</w:t>
      </w:r>
      <w:r w:rsidR="00477067">
        <w:t xml:space="preserve"> </w:t>
      </w:r>
      <w:r w:rsidR="00E4281F">
        <w:t xml:space="preserve">as the </w:t>
      </w:r>
      <w:r>
        <w:t xml:space="preserve">Seller Forced Disposal </w:t>
      </w:r>
      <w:r w:rsidR="00E4281F">
        <w:t>had yet to occur, the Takeovers Panel did not cons</w:t>
      </w:r>
      <w:r w:rsidR="00A957C5">
        <w:t>ider it appropriate to grant a</w:t>
      </w:r>
      <w:r w:rsidR="00E4281F">
        <w:t xml:space="preserve"> waiver</w:t>
      </w:r>
      <w:r w:rsidR="00A957C5">
        <w:t xml:space="preserve"> at this stage</w:t>
      </w:r>
      <w:r w:rsidR="00E4281F">
        <w:t xml:space="preserve">. </w:t>
      </w:r>
      <w:r w:rsidR="00832940">
        <w:t xml:space="preserve">It was decided that if a </w:t>
      </w:r>
      <w:r>
        <w:t xml:space="preserve">Seller Forced Disposal </w:t>
      </w:r>
      <w:r w:rsidR="00A957C5">
        <w:t>occurs or becomes imminent</w:t>
      </w:r>
      <w:r w:rsidR="00832940">
        <w:t xml:space="preserve">, Broad Gongga should apply for a special waiver </w:t>
      </w:r>
      <w:r w:rsidR="005049EC">
        <w:t xml:space="preserve">and the Executive should consider </w:t>
      </w:r>
      <w:r w:rsidR="008C2C5B">
        <w:t xml:space="preserve">the </w:t>
      </w:r>
      <w:r w:rsidR="005049EC">
        <w:t xml:space="preserve">grant of a special waiver in accordance with the principles set out in the </w:t>
      </w:r>
      <w:r w:rsidR="008C2C5B">
        <w:t>Panel</w:t>
      </w:r>
      <w:r w:rsidR="005049EC">
        <w:t>’s</w:t>
      </w:r>
      <w:r w:rsidR="008C2C5B">
        <w:t xml:space="preserve"> decision. </w:t>
      </w:r>
    </w:p>
    <w:p w:rsidR="00D032CB" w:rsidRDefault="00DD204B" w:rsidP="003B679E">
      <w:pPr>
        <w:jc w:val="both"/>
      </w:pPr>
      <w:r w:rsidRPr="005049EC">
        <w:rPr>
          <w:b/>
          <w:color w:val="FF0000"/>
        </w:rPr>
        <w:t>Takeovers Panel’s Decision on the Offer Price in a Mandatory General Offer</w:t>
      </w:r>
      <w:r w:rsidR="005049EC" w:rsidRPr="005049EC">
        <w:rPr>
          <w:b/>
          <w:color w:val="FF0000"/>
        </w:rPr>
        <w:t xml:space="preserve"> under Rule 26</w:t>
      </w:r>
    </w:p>
    <w:p w:rsidR="005B40AD" w:rsidRDefault="00B35E16" w:rsidP="003B679E">
      <w:pPr>
        <w:jc w:val="both"/>
      </w:pPr>
      <w:r>
        <w:t xml:space="preserve">On 16 May 2022, </w:t>
      </w:r>
      <w:r w:rsidR="009D2A97">
        <w:t>the legal advisers to Major Success Group Limited</w:t>
      </w:r>
      <w:r w:rsidR="00D6545A">
        <w:t xml:space="preserve"> (</w:t>
      </w:r>
      <w:r w:rsidR="00D6545A" w:rsidRPr="00D6545A">
        <w:rPr>
          <w:b/>
        </w:rPr>
        <w:t>Major Success</w:t>
      </w:r>
      <w:r w:rsidR="00D6545A">
        <w:t>)</w:t>
      </w:r>
      <w:r w:rsidR="00B65C2E">
        <w:t xml:space="preserve"> </w:t>
      </w:r>
      <w:r w:rsidR="00F91EC7">
        <w:t xml:space="preserve">submitted a draft firm intention announcement to the </w:t>
      </w:r>
      <w:r w:rsidR="005049EC">
        <w:t xml:space="preserve">Executive </w:t>
      </w:r>
      <w:r w:rsidR="00DE5F24">
        <w:t xml:space="preserve">for vetting. </w:t>
      </w:r>
      <w:r w:rsidR="00B81EAE">
        <w:t xml:space="preserve">The </w:t>
      </w:r>
      <w:r w:rsidR="005049EC">
        <w:t xml:space="preserve">Executive </w:t>
      </w:r>
      <w:r w:rsidR="006A659E">
        <w:t xml:space="preserve">expressed concerns </w:t>
      </w:r>
      <w:r w:rsidR="006A659E">
        <w:lastRenderedPageBreak/>
        <w:t>regarding the offer price and how it was determined, and referred it to the Takeovers Panel</w:t>
      </w:r>
      <w:r w:rsidR="00E6120A">
        <w:t xml:space="preserve"> </w:t>
      </w:r>
      <w:r w:rsidR="005049EC">
        <w:t xml:space="preserve">as there were </w:t>
      </w:r>
      <w:r w:rsidR="00E6120A">
        <w:t xml:space="preserve">novel, important, or difficult points to consider. </w:t>
      </w:r>
      <w:r w:rsidR="00A62D4B">
        <w:t xml:space="preserve">The Takeovers Panel convened on 11 August 2022 to consider the </w:t>
      </w:r>
      <w:r w:rsidR="00B266D4">
        <w:t>referral</w:t>
      </w:r>
      <w:r w:rsidR="00A62D4B">
        <w:t xml:space="preserve"> and the decision was published on 7 September 2022</w:t>
      </w:r>
      <w:r w:rsidR="00D05B8F">
        <w:t>. The decision</w:t>
      </w:r>
      <w:r w:rsidR="00B266D4">
        <w:t xml:space="preserve"> is a</w:t>
      </w:r>
      <w:r w:rsidR="005B40AD">
        <w:t xml:space="preserve">vailable on the SFC’s website </w:t>
      </w:r>
      <w:hyperlink r:id="rId10" w:history="1">
        <w:r w:rsidR="005B40AD" w:rsidRPr="005B40AD">
          <w:rPr>
            <w:rStyle w:val="a3"/>
          </w:rPr>
          <w:t>here</w:t>
        </w:r>
      </w:hyperlink>
      <w:r w:rsidR="005B40AD">
        <w:t>.</w:t>
      </w:r>
    </w:p>
    <w:p w:rsidR="005C357A" w:rsidRDefault="00E31A4C" w:rsidP="00DA3CFA">
      <w:pPr>
        <w:jc w:val="both"/>
      </w:pPr>
      <w:r>
        <w:t>Champion Trade</w:t>
      </w:r>
      <w:r w:rsidR="005753C2">
        <w:t xml:space="preserve"> Group Limited (</w:t>
      </w:r>
      <w:r w:rsidR="005753C2" w:rsidRPr="005753C2">
        <w:rPr>
          <w:b/>
        </w:rPr>
        <w:t>Champion Trade</w:t>
      </w:r>
      <w:r w:rsidR="005753C2">
        <w:t>)</w:t>
      </w:r>
      <w:r>
        <w:t xml:space="preserve"> had taken assignment of an overdue loan extended by third parties to Star Soul </w:t>
      </w:r>
      <w:r w:rsidR="00C63B6C">
        <w:t>Investments Limited (</w:t>
      </w:r>
      <w:r w:rsidR="00C63B6C" w:rsidRPr="00C63B6C">
        <w:rPr>
          <w:b/>
        </w:rPr>
        <w:t>Star Soul</w:t>
      </w:r>
      <w:r w:rsidR="00C63B6C">
        <w:t xml:space="preserve">) </w:t>
      </w:r>
      <w:r>
        <w:t xml:space="preserve">with full rights and benefits of the securities for the loan which included </w:t>
      </w:r>
      <w:r w:rsidR="00B818D8">
        <w:t xml:space="preserve">a controlling stake in Suncity </w:t>
      </w:r>
      <w:r w:rsidR="00B51367">
        <w:t>Group Holdings Limited (</w:t>
      </w:r>
      <w:r w:rsidR="00B51367" w:rsidRPr="00B51367">
        <w:rPr>
          <w:b/>
        </w:rPr>
        <w:t>Suncity</w:t>
      </w:r>
      <w:r w:rsidR="00B51367">
        <w:t xml:space="preserve">) </w:t>
      </w:r>
      <w:r w:rsidR="00B818D8">
        <w:t xml:space="preserve">and other Suncity securities. </w:t>
      </w:r>
      <w:r w:rsidR="00982F2F">
        <w:t xml:space="preserve">Champion Trade then immediately sold all Suncity shares and other secured assets to Major Success </w:t>
      </w:r>
      <w:r w:rsidR="00D05B8F">
        <w:t>Group Limited (</w:t>
      </w:r>
      <w:r w:rsidR="00D05B8F" w:rsidRPr="00D05B8F">
        <w:rPr>
          <w:b/>
        </w:rPr>
        <w:t>Major Success</w:t>
      </w:r>
      <w:r w:rsidR="00D05B8F">
        <w:t xml:space="preserve">) </w:t>
      </w:r>
      <w:r w:rsidR="00C51B15">
        <w:t>triggering</w:t>
      </w:r>
      <w:r w:rsidR="00982F2F">
        <w:t xml:space="preserve"> </w:t>
      </w:r>
      <w:r w:rsidR="00C51B15">
        <w:t>a mandatory general offer</w:t>
      </w:r>
      <w:r w:rsidR="00537FD1">
        <w:t xml:space="preserve"> obligation on the part of Major Success</w:t>
      </w:r>
      <w:r w:rsidR="00D05B8F">
        <w:t xml:space="preserve"> to acquire the shares of Suncity</w:t>
      </w:r>
      <w:r w:rsidR="00C51B15">
        <w:t xml:space="preserve">. </w:t>
      </w:r>
      <w:r w:rsidR="0016547E">
        <w:t xml:space="preserve">Star Soul </w:t>
      </w:r>
      <w:r w:rsidR="00F1705E">
        <w:t xml:space="preserve">is owned by </w:t>
      </w:r>
      <w:r w:rsidR="00DA3CFA">
        <w:t xml:space="preserve">Chau Cheok Wa, the ex-chairman and </w:t>
      </w:r>
      <w:r w:rsidR="0084658A">
        <w:t xml:space="preserve">an </w:t>
      </w:r>
      <w:r w:rsidR="00DA3CFA">
        <w:t>ex-executive director of Suncity</w:t>
      </w:r>
      <w:r w:rsidR="0084658A">
        <w:t>, while</w:t>
      </w:r>
      <w:r w:rsidR="00DA3CFA">
        <w:t xml:space="preserve"> Major Success and Champion Trade are owned by Lo Kai Bong, an executive director of Suncity</w:t>
      </w:r>
      <w:r w:rsidR="0084658A">
        <w:t xml:space="preserve">. </w:t>
      </w:r>
    </w:p>
    <w:p w:rsidR="005C357A" w:rsidRDefault="005C357A" w:rsidP="00DA3CFA">
      <w:pPr>
        <w:jc w:val="both"/>
        <w:rPr>
          <w:b/>
        </w:rPr>
      </w:pPr>
      <w:r>
        <w:rPr>
          <w:b/>
        </w:rPr>
        <w:t xml:space="preserve">Special Deal under Rule 25 of the SFC Takeovers Code </w:t>
      </w:r>
    </w:p>
    <w:p w:rsidR="006B06F1" w:rsidRDefault="0084658A" w:rsidP="00DA3CFA">
      <w:pPr>
        <w:jc w:val="both"/>
      </w:pPr>
      <w:r>
        <w:t>T</w:t>
      </w:r>
      <w:r w:rsidR="00F1705E">
        <w:t xml:space="preserve">he </w:t>
      </w:r>
      <w:r w:rsidR="001E67F7">
        <w:t>Takeovers Panel considered that the transaction involved a discharge of Chau’s liability under the loan</w:t>
      </w:r>
      <w:r w:rsidR="006D4256">
        <w:t xml:space="preserve">. The transaction was </w:t>
      </w:r>
      <w:r w:rsidR="007A499D">
        <w:t xml:space="preserve">regarded as </w:t>
      </w:r>
      <w:r w:rsidR="006D4256">
        <w:t xml:space="preserve">favourable to him as a shareholder </w:t>
      </w:r>
      <w:r w:rsidR="007A499D">
        <w:t xml:space="preserve">which </w:t>
      </w:r>
      <w:r w:rsidR="006D4256">
        <w:t xml:space="preserve">constituted a special deal under the Takeovers Code. </w:t>
      </w:r>
      <w:r w:rsidR="007A499D">
        <w:t>T</w:t>
      </w:r>
      <w:r w:rsidR="000042A4">
        <w:t xml:space="preserve">he Takeovers Panel </w:t>
      </w:r>
      <w:r w:rsidR="007A499D">
        <w:t xml:space="preserve">noted </w:t>
      </w:r>
      <w:r w:rsidR="000042A4">
        <w:t>that it did not matter whether Chau</w:t>
      </w:r>
      <w:r w:rsidR="007A499D">
        <w:t xml:space="preserve"> made an overall gain or loss under</w:t>
      </w:r>
      <w:r w:rsidR="000042A4">
        <w:t xml:space="preserve"> the arrangement, or whether or not he </w:t>
      </w:r>
      <w:r w:rsidR="007A499D">
        <w:t xml:space="preserve">was involved in the negotiation of the transaction. </w:t>
      </w:r>
      <w:r w:rsidR="005B28A7">
        <w:t xml:space="preserve">The Panel’s decision refers to the </w:t>
      </w:r>
      <w:hyperlink r:id="rId11" w:history="1">
        <w:r w:rsidR="005B28A7" w:rsidRPr="005B28A7">
          <w:rPr>
            <w:rStyle w:val="a3"/>
          </w:rPr>
          <w:t>SFC’s Practice Note 17</w:t>
        </w:r>
      </w:hyperlink>
      <w:r w:rsidR="005B28A7">
        <w:t xml:space="preserve"> on issues relating to special deals and Rule 25 of the Takeovers Code. </w:t>
      </w:r>
      <w:r w:rsidR="006B06F1">
        <w:t>Practice Note 17 sets out the Executive’s approach to special deals which has been endorsed by the Takeovers Panel. It provides that:</w:t>
      </w:r>
    </w:p>
    <w:p w:rsidR="006B06F1" w:rsidRDefault="006B06F1" w:rsidP="006B06F1">
      <w:pPr>
        <w:pStyle w:val="aa"/>
        <w:numPr>
          <w:ilvl w:val="0"/>
          <w:numId w:val="1"/>
        </w:numPr>
        <w:jc w:val="both"/>
      </w:pPr>
      <w:r>
        <w:t>If a special deal arrangement is capable of being extended to all other shareholders, it should be so extended;</w:t>
      </w:r>
    </w:p>
    <w:p w:rsidR="006B06F1" w:rsidRDefault="006B06F1" w:rsidP="006B06F1">
      <w:pPr>
        <w:pStyle w:val="aa"/>
        <w:jc w:val="both"/>
      </w:pPr>
    </w:p>
    <w:p w:rsidR="006B06F1" w:rsidRDefault="006B06F1" w:rsidP="006B06F1">
      <w:pPr>
        <w:pStyle w:val="aa"/>
        <w:numPr>
          <w:ilvl w:val="0"/>
          <w:numId w:val="1"/>
        </w:numPr>
        <w:jc w:val="both"/>
      </w:pPr>
      <w:r>
        <w:t>If a special deal arrangement is not capable of being extended to all other shareholders, but the special benefit received by the counter-party shareholder(s) can be quantified, the value of the benefit should be appropriately reflected in the offer price; and</w:t>
      </w:r>
    </w:p>
    <w:p w:rsidR="006B06F1" w:rsidRDefault="006B06F1" w:rsidP="006B06F1">
      <w:pPr>
        <w:pStyle w:val="aa"/>
      </w:pPr>
    </w:p>
    <w:p w:rsidR="006B06F1" w:rsidRDefault="006B06F1" w:rsidP="006B06F1">
      <w:pPr>
        <w:pStyle w:val="aa"/>
        <w:numPr>
          <w:ilvl w:val="0"/>
          <w:numId w:val="1"/>
        </w:numPr>
        <w:jc w:val="both"/>
      </w:pPr>
      <w:r>
        <w:t>If a special deal arrangement is not capable of being extended to all other shareholders and the special benefit conferred on the counter-party shareholder(s) cannot be quantified, the Executive may consent to the special deal in appropriate circumstances subject to compliance with the requirements of Note 4 to Rule 25 of the Takeovers Code.</w:t>
      </w:r>
    </w:p>
    <w:p w:rsidR="00DA3CFA" w:rsidRDefault="006B06F1" w:rsidP="006B06F1">
      <w:pPr>
        <w:jc w:val="both"/>
      </w:pPr>
      <w:r>
        <w:t>The Takeovers Panel also</w:t>
      </w:r>
      <w:r w:rsidR="008E65A0">
        <w:t xml:space="preserve"> </w:t>
      </w:r>
      <w:r w:rsidR="005B28A7">
        <w:t xml:space="preserve">noted </w:t>
      </w:r>
      <w:r w:rsidR="008E65A0">
        <w:t xml:space="preserve">the Executive’s view </w:t>
      </w:r>
      <w:r w:rsidR="005B28A7">
        <w:t>that Note 5 to Rule 25 makes it clear that</w:t>
      </w:r>
      <w:r w:rsidR="008E65A0">
        <w:t xml:space="preserve"> repayment or assignment of a shareholders’ loan is a special deal. </w:t>
      </w:r>
      <w:r w:rsidR="007A499D">
        <w:t xml:space="preserve">The Takeovers Panel found that </w:t>
      </w:r>
      <w:r w:rsidR="008E65A0">
        <w:t xml:space="preserve">since </w:t>
      </w:r>
      <w:r w:rsidR="007A499D">
        <w:t xml:space="preserve">the favourable condition provided to </w:t>
      </w:r>
      <w:r w:rsidR="008E65A0">
        <w:t xml:space="preserve">Chau as a </w:t>
      </w:r>
      <w:r w:rsidR="007A499D">
        <w:t xml:space="preserve">shareholder was clearly </w:t>
      </w:r>
      <w:r w:rsidR="000042A4">
        <w:t xml:space="preserve">quantifiable </w:t>
      </w:r>
      <w:r w:rsidR="008E65A0">
        <w:t>(</w:t>
      </w:r>
      <w:r w:rsidR="007A499D">
        <w:t>as the amount of the liability discharged</w:t>
      </w:r>
      <w:r w:rsidR="008E65A0">
        <w:t>),</w:t>
      </w:r>
      <w:r w:rsidR="007A499D">
        <w:t xml:space="preserve"> it</w:t>
      </w:r>
      <w:r w:rsidR="00A64641">
        <w:t>s value</w:t>
      </w:r>
      <w:r w:rsidR="007A499D">
        <w:t xml:space="preserve"> </w:t>
      </w:r>
      <w:r>
        <w:t>should</w:t>
      </w:r>
      <w:r w:rsidR="000042A4">
        <w:t xml:space="preserve"> be reflected in the offer price. </w:t>
      </w:r>
    </w:p>
    <w:p w:rsidR="00AB1BAF" w:rsidRDefault="00E74A48" w:rsidP="003B679E">
      <w:pPr>
        <w:jc w:val="both"/>
      </w:pPr>
      <w:r>
        <w:t xml:space="preserve">Rule 25 of the Takeovers Code </w:t>
      </w:r>
      <w:r w:rsidR="00FF5116">
        <w:t>aim</w:t>
      </w:r>
      <w:r w:rsidR="007A499D">
        <w:t>s to prevent some</w:t>
      </w:r>
      <w:r w:rsidR="00FF5116">
        <w:t xml:space="preserve"> shareholder</w:t>
      </w:r>
      <w:r w:rsidR="007A499D">
        <w:t>s</w:t>
      </w:r>
      <w:r w:rsidR="00FF5116">
        <w:t xml:space="preserve"> from receiving </w:t>
      </w:r>
      <w:r w:rsidR="008968BB">
        <w:t>more than other</w:t>
      </w:r>
      <w:r w:rsidR="007A499D">
        <w:t>s</w:t>
      </w:r>
      <w:r w:rsidR="008968BB">
        <w:t xml:space="preserve"> </w:t>
      </w:r>
      <w:r w:rsidR="007A499D">
        <w:t>in the event of a takeover offer</w:t>
      </w:r>
      <w:r w:rsidR="00902CF5">
        <w:t>. It reflects the requirement of General Principle 1 that all shareholders should be treated equally</w:t>
      </w:r>
      <w:r w:rsidR="00EB20CB">
        <w:t xml:space="preserve">. </w:t>
      </w:r>
      <w:r w:rsidR="00902CF5">
        <w:t>H</w:t>
      </w:r>
      <w:r w:rsidR="009D5E77">
        <w:t>owever</w:t>
      </w:r>
      <w:r w:rsidR="00902CF5">
        <w:t xml:space="preserve">, </w:t>
      </w:r>
      <w:r w:rsidR="009D5E77">
        <w:t xml:space="preserve">not all special deals are prohibited </w:t>
      </w:r>
      <w:r w:rsidR="00902CF5">
        <w:t>and the Executive</w:t>
      </w:r>
      <w:r w:rsidR="00AA0C42">
        <w:t xml:space="preserve"> ma</w:t>
      </w:r>
      <w:r w:rsidR="00902CF5">
        <w:t xml:space="preserve">y </w:t>
      </w:r>
      <w:r w:rsidR="00C0758D">
        <w:t xml:space="preserve">consent to </w:t>
      </w:r>
      <w:r w:rsidR="00902CF5">
        <w:t xml:space="preserve">special deals subject to compliance with the </w:t>
      </w:r>
      <w:r w:rsidR="00AA0C42">
        <w:t>procedural safeguards</w:t>
      </w:r>
      <w:r w:rsidR="00C0758D">
        <w:t xml:space="preserve"> set out in the Notes to Rule 25 </w:t>
      </w:r>
      <w:r w:rsidR="00902CF5">
        <w:t xml:space="preserve">including </w:t>
      </w:r>
      <w:r w:rsidR="00537FD1">
        <w:t xml:space="preserve">obtaining </w:t>
      </w:r>
      <w:r w:rsidR="000D0D7F">
        <w:t>majority shareholders’ approval</w:t>
      </w:r>
      <w:r w:rsidR="00C0758D">
        <w:t xml:space="preserve"> and </w:t>
      </w:r>
      <w:r w:rsidR="005B28A7">
        <w:t>a statement by an independent financial adviser that the terms of the transaction are fair and reasonable</w:t>
      </w:r>
      <w:r w:rsidR="00AA0C42">
        <w:t xml:space="preserve">. </w:t>
      </w:r>
      <w:r w:rsidR="00537FD1">
        <w:t>The Takeovers Panel found that i</w:t>
      </w:r>
      <w:r w:rsidR="00902CF5">
        <w:t>n completing</w:t>
      </w:r>
      <w:r w:rsidR="00857479">
        <w:t xml:space="preserve"> the transaction, </w:t>
      </w:r>
      <w:r w:rsidR="00902CF5">
        <w:t xml:space="preserve">Major Success had already </w:t>
      </w:r>
      <w:r w:rsidR="00857479">
        <w:t xml:space="preserve">breached Rule 25 </w:t>
      </w:r>
      <w:r w:rsidR="00902CF5">
        <w:t xml:space="preserve">and </w:t>
      </w:r>
      <w:r w:rsidR="00857479">
        <w:t>the procedural safeguard</w:t>
      </w:r>
      <w:r w:rsidR="00CA58D8">
        <w:t>s</w:t>
      </w:r>
      <w:r w:rsidR="00857479">
        <w:t xml:space="preserve"> under the </w:t>
      </w:r>
      <w:r w:rsidR="003B1AC9">
        <w:t xml:space="preserve">Takeovers </w:t>
      </w:r>
      <w:r w:rsidR="00CA58D8">
        <w:t xml:space="preserve">Code were no longer available as they </w:t>
      </w:r>
      <w:r w:rsidR="00857479">
        <w:t>c</w:t>
      </w:r>
      <w:r w:rsidR="00CA58D8">
        <w:t>annot</w:t>
      </w:r>
      <w:r w:rsidR="00857479">
        <w:t xml:space="preserve"> be used t</w:t>
      </w:r>
      <w:r w:rsidR="00CA58D8">
        <w:t>o ratify a special deal that has</w:t>
      </w:r>
      <w:r w:rsidR="00857479">
        <w:t xml:space="preserve"> been completed. </w:t>
      </w:r>
    </w:p>
    <w:p w:rsidR="00C7770D" w:rsidRDefault="00C7770D" w:rsidP="00B07C42">
      <w:pPr>
        <w:jc w:val="both"/>
      </w:pPr>
      <w:r>
        <w:lastRenderedPageBreak/>
        <w:t xml:space="preserve">The Takeovers Panel decided that </w:t>
      </w:r>
      <w:r w:rsidR="00B43776">
        <w:t>in the mandatory general offer for Suncity</w:t>
      </w:r>
      <w:r w:rsidR="00B07C42">
        <w:t xml:space="preserve"> by Major Success</w:t>
      </w:r>
      <w:r w:rsidR="008073B5">
        <w:t>,</w:t>
      </w:r>
      <w:r w:rsidR="00B07C42">
        <w:t xml:space="preserve"> the appropriate offer price should be HK$0.0690 per share. This figure </w:t>
      </w:r>
      <w:r w:rsidR="00DE3440">
        <w:t xml:space="preserve">is derived from </w:t>
      </w:r>
      <w:r w:rsidR="00B07C42">
        <w:t xml:space="preserve">the total consideration paid by Major Success to Champion Trade for the acquisition of Suncity’s shares and </w:t>
      </w:r>
      <w:r w:rsidR="005644BF">
        <w:t xml:space="preserve">its </w:t>
      </w:r>
      <w:r w:rsidR="00B07C42">
        <w:t>other security assets, divided by the total number of Suncity shares acquired by Major Success</w:t>
      </w:r>
      <w:r w:rsidR="005644BF">
        <w:t xml:space="preserve">. </w:t>
      </w:r>
    </w:p>
    <w:p w:rsidR="00D35851" w:rsidRPr="00CA58D8" w:rsidRDefault="005478E5" w:rsidP="003B679E">
      <w:pPr>
        <w:jc w:val="both"/>
        <w:rPr>
          <w:b/>
          <w:color w:val="FF0000"/>
        </w:rPr>
      </w:pPr>
      <w:r w:rsidRPr="00CA58D8">
        <w:rPr>
          <w:b/>
          <w:color w:val="FF0000"/>
        </w:rPr>
        <w:t xml:space="preserve">Quarterly Update on the Activities of the </w:t>
      </w:r>
      <w:r w:rsidR="00CA58D8">
        <w:rPr>
          <w:b/>
          <w:color w:val="FF0000"/>
        </w:rPr>
        <w:t xml:space="preserve">SFC’s </w:t>
      </w:r>
      <w:r w:rsidRPr="00CA58D8">
        <w:rPr>
          <w:b/>
          <w:color w:val="FF0000"/>
        </w:rPr>
        <w:t xml:space="preserve">Takeovers Team </w:t>
      </w:r>
    </w:p>
    <w:p w:rsidR="005478E5" w:rsidRDefault="005478E5" w:rsidP="003B679E">
      <w:pPr>
        <w:jc w:val="both"/>
      </w:pPr>
      <w:r>
        <w:t xml:space="preserve">The </w:t>
      </w:r>
      <w:r w:rsidR="009776D5">
        <w:t xml:space="preserve">SFC </w:t>
      </w:r>
      <w:r>
        <w:t>Tak</w:t>
      </w:r>
      <w:r w:rsidR="00CA58D8">
        <w:t>eovers Bulletin 62 also provides</w:t>
      </w:r>
      <w:r>
        <w:t xml:space="preserve"> an update of the SFC’s wor</w:t>
      </w:r>
      <w:r w:rsidR="00CA58D8">
        <w:t>k in the third quarter of 2022. T</w:t>
      </w:r>
      <w:r>
        <w:t xml:space="preserve">he SFC received 10 takeovers-related cases (including privatisations, voluntary and mandatory general offers and off-market and </w:t>
      </w:r>
      <w:r w:rsidR="00A64641">
        <w:t>general-offer share buybacks), four</w:t>
      </w:r>
      <w:r>
        <w:t xml:space="preserve"> whitewashes and 65 ruling applications</w:t>
      </w:r>
      <w:r w:rsidR="00CA58D8">
        <w:t xml:space="preserve"> during the quarter</w:t>
      </w:r>
      <w:r>
        <w:t>.</w:t>
      </w:r>
    </w:p>
    <w:p w:rsidR="005478E5" w:rsidRPr="005478E5" w:rsidRDefault="005478E5" w:rsidP="003B679E">
      <w:pPr>
        <w:jc w:val="both"/>
      </w:pPr>
      <w:r>
        <w:t>If you have questions regarding the above and the Hong Kong Takeovers Code, please do not hesitate to</w:t>
      </w:r>
      <w:r w:rsidR="00A64641">
        <w:t xml:space="preserve"> contact us at </w:t>
      </w:r>
      <w:hyperlink r:id="rId12" w:history="1">
        <w:r w:rsidR="00A64641" w:rsidRPr="00A64641">
          <w:rPr>
            <w:rStyle w:val="a3"/>
            <w:rFonts w:cstheme="minorHAnsi"/>
            <w:color w:val="C0143C"/>
            <w:bdr w:val="none" w:sz="0" w:space="0" w:color="auto" w:frame="1"/>
            <w:shd w:val="clear" w:color="auto" w:fill="FFFFFF"/>
          </w:rPr>
          <w:t>enquiries@charltonslaw.com</w:t>
        </w:r>
      </w:hyperlink>
      <w:r>
        <w:t>.</w:t>
      </w:r>
    </w:p>
    <w:p w:rsidR="007F23C2" w:rsidRPr="00A41F57" w:rsidRDefault="007F23C2" w:rsidP="007F23C2">
      <w:pPr>
        <w:pStyle w:val="DisclaimerBold"/>
        <w:rPr>
          <w:rFonts w:ascii="Helvetica" w:hAnsi="Helvetica"/>
        </w:rPr>
      </w:pPr>
      <w:r w:rsidRPr="00F05494">
        <w:rPr>
          <w:rFonts w:ascii="Helvetica" w:hAnsi="Helvetica"/>
        </w:rPr>
        <w:t>This newsletter is for information purposes only.</w:t>
      </w:r>
    </w:p>
    <w:p w:rsidR="007F23C2" w:rsidRPr="00F05494" w:rsidRDefault="007F23C2" w:rsidP="007F23C2">
      <w:pPr>
        <w:pStyle w:val="Disclaimer"/>
        <w:rPr>
          <w:rFonts w:ascii="Helvetica" w:hAnsi="Helvetica"/>
        </w:rPr>
      </w:pPr>
      <w:r w:rsidRPr="00F05494">
        <w:rPr>
          <w:rFonts w:ascii="Helvetica" w:hAnsi="Helvetica"/>
        </w:rPr>
        <w:t>Its contents do not constitute legal advice and it should not be regarded as a substitute for detailed advice in individual cases.</w:t>
      </w:r>
    </w:p>
    <w:p w:rsidR="007F23C2" w:rsidRPr="00F05494" w:rsidRDefault="007F23C2" w:rsidP="007F23C2">
      <w:pPr>
        <w:pStyle w:val="Disclaimer"/>
        <w:rPr>
          <w:rFonts w:ascii="Helvetica" w:hAnsi="Helvetica"/>
        </w:rPr>
      </w:pPr>
      <w:r w:rsidRPr="00F05494">
        <w:rPr>
          <w:rFonts w:ascii="Helvetica" w:hAnsi="Helvetica"/>
        </w:rPr>
        <w:t xml:space="preserve">Transmission of this information is not intended to create and receipt does not constitute a lawyer-client relationship between </w:t>
      </w:r>
      <w:proofErr w:type="spellStart"/>
      <w:r w:rsidRPr="00F05494">
        <w:rPr>
          <w:rFonts w:ascii="Helvetica" w:hAnsi="Helvetica"/>
        </w:rPr>
        <w:t>Charltons</w:t>
      </w:r>
      <w:proofErr w:type="spellEnd"/>
      <w:r w:rsidRPr="00F05494">
        <w:rPr>
          <w:rFonts w:ascii="Helvetica" w:hAnsi="Helvetica"/>
        </w:rPr>
        <w:t xml:space="preserve"> and the user or browser.</w:t>
      </w:r>
    </w:p>
    <w:p w:rsidR="007F23C2" w:rsidRPr="00F05494" w:rsidRDefault="007F23C2" w:rsidP="007F23C2">
      <w:pPr>
        <w:pStyle w:val="Disclaimer"/>
        <w:rPr>
          <w:rFonts w:ascii="Helvetica" w:hAnsi="Helvetica"/>
        </w:rPr>
      </w:pPr>
      <w:proofErr w:type="spellStart"/>
      <w:r w:rsidRPr="00F05494">
        <w:rPr>
          <w:rFonts w:ascii="Helvetica" w:hAnsi="Helvetica"/>
        </w:rPr>
        <w:t>Charltons</w:t>
      </w:r>
      <w:proofErr w:type="spellEnd"/>
      <w:r w:rsidRPr="00F05494">
        <w:rPr>
          <w:rFonts w:ascii="Helvetica" w:hAnsi="Helvetica"/>
        </w:rPr>
        <w:t xml:space="preserve"> is not responsible for any </w:t>
      </w:r>
      <w:proofErr w:type="gramStart"/>
      <w:r w:rsidRPr="00F05494">
        <w:rPr>
          <w:rFonts w:ascii="Helvetica" w:hAnsi="Helvetica"/>
        </w:rPr>
        <w:t>third</w:t>
      </w:r>
      <w:r w:rsidRPr="00A41F57">
        <w:rPr>
          <w:rFonts w:ascii="Helvetica" w:hAnsi="Helvetica"/>
        </w:rPr>
        <w:t xml:space="preserve"> </w:t>
      </w:r>
      <w:r w:rsidRPr="00F05494">
        <w:rPr>
          <w:rFonts w:ascii="Helvetica" w:hAnsi="Helvetica"/>
        </w:rPr>
        <w:t>party</w:t>
      </w:r>
      <w:proofErr w:type="gramEnd"/>
      <w:r w:rsidRPr="00F05494">
        <w:rPr>
          <w:rFonts w:ascii="Helvetica" w:hAnsi="Helvetica"/>
        </w:rPr>
        <w:t xml:space="preserve"> content which can be accessed through the website.</w:t>
      </w:r>
    </w:p>
    <w:p w:rsidR="007F23C2" w:rsidRPr="00F05494" w:rsidRDefault="007F23C2" w:rsidP="007F23C2">
      <w:pPr>
        <w:pStyle w:val="Disclaimer"/>
        <w:rPr>
          <w:rFonts w:ascii="Helvetica" w:hAnsi="Helvetica"/>
        </w:rPr>
      </w:pPr>
      <w:r w:rsidRPr="00F05494">
        <w:rPr>
          <w:rFonts w:ascii="Helvetica" w:hAnsi="Helvetica"/>
        </w:rPr>
        <w:t xml:space="preserve">If you do not wish to receive this </w:t>
      </w:r>
      <w:proofErr w:type="gramStart"/>
      <w:r w:rsidRPr="00F05494">
        <w:rPr>
          <w:rFonts w:ascii="Helvetica" w:hAnsi="Helvetica"/>
        </w:rPr>
        <w:t>newsletter</w:t>
      </w:r>
      <w:proofErr w:type="gramEnd"/>
      <w:r w:rsidRPr="00F05494">
        <w:rPr>
          <w:rFonts w:ascii="Helvetica" w:hAnsi="Helvetica"/>
        </w:rPr>
        <w:t xml:space="preserve"> please let us know by emailing us at  </w:t>
      </w:r>
      <w:hyperlink r:id="rId13">
        <w:r w:rsidRPr="00F05494">
          <w:rPr>
            <w:rFonts w:ascii="Helvetica" w:hAnsi="Helvetica"/>
          </w:rPr>
          <w:t>unsubscribe@charltonslaw.com</w:t>
        </w:r>
      </w:hyperlink>
    </w:p>
    <w:p w:rsidR="007F23C2" w:rsidRPr="00CD0DE3" w:rsidRDefault="007F23C2" w:rsidP="007F23C2">
      <w:pPr>
        <w:pStyle w:val="BlackStrips"/>
        <w:rPr>
          <w:rFonts w:ascii="Helvetica" w:hAnsi="Helvetica"/>
        </w:rPr>
      </w:pPr>
      <w:proofErr w:type="spellStart"/>
      <w:r w:rsidRPr="00F05494">
        <w:rPr>
          <w:rFonts w:ascii="Helvetica" w:hAnsi="Helvetica"/>
        </w:rPr>
        <w:t>Charltons</w:t>
      </w:r>
      <w:proofErr w:type="spellEnd"/>
      <w:r w:rsidRPr="00F05494">
        <w:rPr>
          <w:rFonts w:ascii="Helvetica" w:hAnsi="Helvetica"/>
        </w:rPr>
        <w:t xml:space="preserve"> - Hong Kong Law - </w:t>
      </w:r>
      <w:r>
        <w:rPr>
          <w:rFonts w:ascii="Helvetica" w:hAnsi="Helvetica"/>
        </w:rPr>
        <w:t>1</w:t>
      </w:r>
      <w:r w:rsidR="00362417">
        <w:rPr>
          <w:rFonts w:ascii="Helvetica" w:hAnsi="Helvetica"/>
          <w:lang w:val="ru-RU"/>
        </w:rPr>
        <w:t>7</w:t>
      </w:r>
      <w:r w:rsidRPr="00F05494">
        <w:rPr>
          <w:rFonts w:ascii="Helvetica" w:hAnsi="Helvetica"/>
        </w:rPr>
        <w:t xml:space="preserve"> </w:t>
      </w:r>
      <w:r>
        <w:rPr>
          <w:rFonts w:ascii="Helvetica" w:hAnsi="Helvetica"/>
        </w:rPr>
        <w:t>October</w:t>
      </w:r>
      <w:r w:rsidRPr="00F05494">
        <w:rPr>
          <w:rFonts w:ascii="Helvetica" w:hAnsi="Helvetica"/>
        </w:rPr>
        <w:t xml:space="preserve"> 202</w:t>
      </w:r>
      <w:r>
        <w:rPr>
          <w:rFonts w:ascii="Helvetica" w:hAnsi="Helvetica"/>
        </w:rPr>
        <w:t>2</w:t>
      </w:r>
    </w:p>
    <w:p w:rsidR="00F50469" w:rsidRPr="007F23C2" w:rsidRDefault="00F50469" w:rsidP="003B679E">
      <w:pPr>
        <w:jc w:val="both"/>
        <w:rPr>
          <w:b/>
          <w:lang w:val="en-US"/>
        </w:rPr>
      </w:pPr>
    </w:p>
    <w:sectPr w:rsidR="00F50469" w:rsidRPr="007F23C2" w:rsidSect="00BE23D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35BD" w:rsidRDefault="006735BD" w:rsidP="00A0756B">
      <w:pPr>
        <w:spacing w:after="0" w:line="240" w:lineRule="auto"/>
      </w:pPr>
      <w:r>
        <w:separator/>
      </w:r>
    </w:p>
  </w:endnote>
  <w:endnote w:type="continuationSeparator" w:id="0">
    <w:p w:rsidR="006735BD" w:rsidRDefault="006735BD" w:rsidP="00A0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35BD" w:rsidRDefault="006735BD" w:rsidP="00A0756B">
      <w:pPr>
        <w:spacing w:after="0" w:line="240" w:lineRule="auto"/>
      </w:pPr>
      <w:r>
        <w:separator/>
      </w:r>
    </w:p>
  </w:footnote>
  <w:footnote w:type="continuationSeparator" w:id="0">
    <w:p w:rsidR="006735BD" w:rsidRDefault="006735BD" w:rsidP="00A0756B">
      <w:pPr>
        <w:spacing w:after="0" w:line="240" w:lineRule="auto"/>
      </w:pPr>
      <w:r>
        <w:continuationSeparator/>
      </w:r>
    </w:p>
  </w:footnote>
  <w:footnote w:id="1">
    <w:p w:rsidR="00A0756B" w:rsidRPr="00A0756B" w:rsidRDefault="00A0756B">
      <w:pPr>
        <w:pStyle w:val="a6"/>
        <w:rPr>
          <w:lang w:val="en-US"/>
        </w:rPr>
      </w:pPr>
      <w:r>
        <w:rPr>
          <w:rStyle w:val="a8"/>
        </w:rPr>
        <w:footnoteRef/>
      </w:r>
      <w:r>
        <w:t xml:space="preserve"> </w:t>
      </w:r>
      <w:hyperlink r:id="rId1" w:history="1">
        <w:r w:rsidRPr="00084771">
          <w:rPr>
            <w:rStyle w:val="a3"/>
          </w:rPr>
          <w:t>https://www.sfc.hk/-/media/EN/assets/components/codes/files-current/web/codes/the-codes-on-takeovers-and-mergers-and-share-buy-backs/the-codes-on-takeovers-and-mergers-and-share-buy-backs.pdf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41688"/>
    <w:multiLevelType w:val="hybridMultilevel"/>
    <w:tmpl w:val="085C25A4"/>
    <w:lvl w:ilvl="0" w:tplc="95BA7B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01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9F"/>
    <w:rsid w:val="000042A4"/>
    <w:rsid w:val="00026505"/>
    <w:rsid w:val="00042DA5"/>
    <w:rsid w:val="0006508B"/>
    <w:rsid w:val="00093E25"/>
    <w:rsid w:val="000A2305"/>
    <w:rsid w:val="000D0D7F"/>
    <w:rsid w:val="000E0296"/>
    <w:rsid w:val="001414F7"/>
    <w:rsid w:val="0016547E"/>
    <w:rsid w:val="00171DE8"/>
    <w:rsid w:val="001722FB"/>
    <w:rsid w:val="00175699"/>
    <w:rsid w:val="001801BA"/>
    <w:rsid w:val="001A4FCC"/>
    <w:rsid w:val="001E67F7"/>
    <w:rsid w:val="002662D8"/>
    <w:rsid w:val="0029570F"/>
    <w:rsid w:val="002F0C23"/>
    <w:rsid w:val="002F66AD"/>
    <w:rsid w:val="003305D8"/>
    <w:rsid w:val="00362417"/>
    <w:rsid w:val="003B0DCA"/>
    <w:rsid w:val="003B1AC9"/>
    <w:rsid w:val="003B679E"/>
    <w:rsid w:val="003E6E56"/>
    <w:rsid w:val="003F063E"/>
    <w:rsid w:val="00404B74"/>
    <w:rsid w:val="00420AD9"/>
    <w:rsid w:val="00422652"/>
    <w:rsid w:val="00464A41"/>
    <w:rsid w:val="00477067"/>
    <w:rsid w:val="004A79E9"/>
    <w:rsid w:val="004C35EE"/>
    <w:rsid w:val="004D7115"/>
    <w:rsid w:val="005049EC"/>
    <w:rsid w:val="00537FD1"/>
    <w:rsid w:val="005478E5"/>
    <w:rsid w:val="005644BF"/>
    <w:rsid w:val="005753C2"/>
    <w:rsid w:val="005B28A7"/>
    <w:rsid w:val="005B40AD"/>
    <w:rsid w:val="005C357A"/>
    <w:rsid w:val="005C6735"/>
    <w:rsid w:val="005D3E71"/>
    <w:rsid w:val="005F5B96"/>
    <w:rsid w:val="00607FD2"/>
    <w:rsid w:val="006130DE"/>
    <w:rsid w:val="00622D52"/>
    <w:rsid w:val="00637C25"/>
    <w:rsid w:val="00664029"/>
    <w:rsid w:val="00665407"/>
    <w:rsid w:val="006735BD"/>
    <w:rsid w:val="006876C2"/>
    <w:rsid w:val="006A659E"/>
    <w:rsid w:val="006B06F1"/>
    <w:rsid w:val="006D4256"/>
    <w:rsid w:val="006F45A2"/>
    <w:rsid w:val="00710EFB"/>
    <w:rsid w:val="007168EE"/>
    <w:rsid w:val="00722F75"/>
    <w:rsid w:val="00736C17"/>
    <w:rsid w:val="00766886"/>
    <w:rsid w:val="00782CEB"/>
    <w:rsid w:val="00790D9C"/>
    <w:rsid w:val="007A499D"/>
    <w:rsid w:val="007F23C2"/>
    <w:rsid w:val="008073B5"/>
    <w:rsid w:val="0082089B"/>
    <w:rsid w:val="00832940"/>
    <w:rsid w:val="0084658A"/>
    <w:rsid w:val="008559A8"/>
    <w:rsid w:val="0085619B"/>
    <w:rsid w:val="00857479"/>
    <w:rsid w:val="008776C6"/>
    <w:rsid w:val="00886B30"/>
    <w:rsid w:val="008968BB"/>
    <w:rsid w:val="008C2C5B"/>
    <w:rsid w:val="008E65A0"/>
    <w:rsid w:val="00902CF5"/>
    <w:rsid w:val="00931D40"/>
    <w:rsid w:val="009429B9"/>
    <w:rsid w:val="009776D5"/>
    <w:rsid w:val="00982F2F"/>
    <w:rsid w:val="009A0065"/>
    <w:rsid w:val="009C6D67"/>
    <w:rsid w:val="009D2A97"/>
    <w:rsid w:val="009D5E77"/>
    <w:rsid w:val="00A0756B"/>
    <w:rsid w:val="00A62D4B"/>
    <w:rsid w:val="00A64641"/>
    <w:rsid w:val="00A67627"/>
    <w:rsid w:val="00A81D4E"/>
    <w:rsid w:val="00A957C5"/>
    <w:rsid w:val="00AA0C42"/>
    <w:rsid w:val="00AA249F"/>
    <w:rsid w:val="00AB1887"/>
    <w:rsid w:val="00AB1BAF"/>
    <w:rsid w:val="00AB6A94"/>
    <w:rsid w:val="00B05C51"/>
    <w:rsid w:val="00B07C42"/>
    <w:rsid w:val="00B266D4"/>
    <w:rsid w:val="00B35E16"/>
    <w:rsid w:val="00B43776"/>
    <w:rsid w:val="00B51367"/>
    <w:rsid w:val="00B65C2E"/>
    <w:rsid w:val="00B818D8"/>
    <w:rsid w:val="00B81EAE"/>
    <w:rsid w:val="00B902E1"/>
    <w:rsid w:val="00BD7C9F"/>
    <w:rsid w:val="00BE23DC"/>
    <w:rsid w:val="00C0758D"/>
    <w:rsid w:val="00C078C0"/>
    <w:rsid w:val="00C25978"/>
    <w:rsid w:val="00C51B15"/>
    <w:rsid w:val="00C63B6C"/>
    <w:rsid w:val="00C7770D"/>
    <w:rsid w:val="00C9246D"/>
    <w:rsid w:val="00CA1577"/>
    <w:rsid w:val="00CA58D8"/>
    <w:rsid w:val="00CB6A21"/>
    <w:rsid w:val="00CD1473"/>
    <w:rsid w:val="00D032CB"/>
    <w:rsid w:val="00D05B8F"/>
    <w:rsid w:val="00D12388"/>
    <w:rsid w:val="00D35851"/>
    <w:rsid w:val="00D6215C"/>
    <w:rsid w:val="00D64852"/>
    <w:rsid w:val="00D6545A"/>
    <w:rsid w:val="00DA3CFA"/>
    <w:rsid w:val="00DD204B"/>
    <w:rsid w:val="00DE3440"/>
    <w:rsid w:val="00DE5F24"/>
    <w:rsid w:val="00DF456E"/>
    <w:rsid w:val="00E15E5B"/>
    <w:rsid w:val="00E20D05"/>
    <w:rsid w:val="00E31A4C"/>
    <w:rsid w:val="00E4281F"/>
    <w:rsid w:val="00E6120A"/>
    <w:rsid w:val="00E74A48"/>
    <w:rsid w:val="00E82EA6"/>
    <w:rsid w:val="00E8525D"/>
    <w:rsid w:val="00EB20CB"/>
    <w:rsid w:val="00F16E74"/>
    <w:rsid w:val="00F1705E"/>
    <w:rsid w:val="00F50469"/>
    <w:rsid w:val="00F767EF"/>
    <w:rsid w:val="00F77BD1"/>
    <w:rsid w:val="00F87819"/>
    <w:rsid w:val="00F91EC7"/>
    <w:rsid w:val="00FA058A"/>
    <w:rsid w:val="00FC27DA"/>
    <w:rsid w:val="00FD2D51"/>
    <w:rsid w:val="00FD59DD"/>
    <w:rsid w:val="00FE32A2"/>
    <w:rsid w:val="00FF4887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8E9D"/>
  <w15:chartTrackingRefBased/>
  <w15:docId w15:val="{45758798-6CAD-460B-B894-F4697D16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C9F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407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420AD9"/>
  </w:style>
  <w:style w:type="character" w:customStyle="1" w:styleId="a5">
    <w:name w:val="Дата Знак"/>
    <w:basedOn w:val="a0"/>
    <w:link w:val="a4"/>
    <w:uiPriority w:val="99"/>
    <w:semiHidden/>
    <w:rsid w:val="00420AD9"/>
    <w:rPr>
      <w:lang w:val="en-GB"/>
    </w:rPr>
  </w:style>
  <w:style w:type="paragraph" w:styleId="a6">
    <w:name w:val="footnote text"/>
    <w:basedOn w:val="a"/>
    <w:link w:val="a7"/>
    <w:uiPriority w:val="99"/>
    <w:semiHidden/>
    <w:unhideWhenUsed/>
    <w:rsid w:val="00A0756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0756B"/>
    <w:rPr>
      <w:sz w:val="20"/>
      <w:szCs w:val="20"/>
      <w:lang w:val="en-GB"/>
    </w:rPr>
  </w:style>
  <w:style w:type="character" w:styleId="a8">
    <w:name w:val="footnote reference"/>
    <w:basedOn w:val="a0"/>
    <w:uiPriority w:val="99"/>
    <w:semiHidden/>
    <w:unhideWhenUsed/>
    <w:rsid w:val="00A0756B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175699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6B06F1"/>
    <w:pPr>
      <w:ind w:left="720"/>
      <w:contextualSpacing/>
    </w:pPr>
  </w:style>
  <w:style w:type="paragraph" w:customStyle="1" w:styleId="Disclaimer">
    <w:name w:val="Disclaimer"/>
    <w:basedOn w:val="a"/>
    <w:qFormat/>
    <w:rsid w:val="007F23C2"/>
    <w:pPr>
      <w:pBdr>
        <w:top w:val="single" w:sz="2" w:space="1" w:color="000001"/>
        <w:left w:val="single" w:sz="2" w:space="1" w:color="000001"/>
        <w:bottom w:val="single" w:sz="2" w:space="1" w:color="000001"/>
        <w:right w:val="single" w:sz="2" w:space="1" w:color="000001"/>
      </w:pBdr>
      <w:shd w:val="clear" w:color="auto" w:fill="DDDDDD"/>
      <w:spacing w:before="101" w:after="101" w:line="240" w:lineRule="auto"/>
      <w:jc w:val="both"/>
    </w:pPr>
    <w:rPr>
      <w:rFonts w:eastAsiaTheme="minorHAnsi"/>
      <w:color w:val="00000A"/>
      <w:sz w:val="24"/>
      <w:szCs w:val="24"/>
      <w:lang w:val="en-US" w:eastAsia="en-US"/>
    </w:rPr>
  </w:style>
  <w:style w:type="paragraph" w:customStyle="1" w:styleId="BlackStrips">
    <w:name w:val="Black Strips"/>
    <w:basedOn w:val="a"/>
    <w:qFormat/>
    <w:rsid w:val="007F23C2"/>
    <w:pPr>
      <w:shd w:val="clear" w:color="auto" w:fill="000000"/>
      <w:spacing w:after="200" w:line="240" w:lineRule="auto"/>
      <w:jc w:val="center"/>
    </w:pPr>
    <w:rPr>
      <w:rFonts w:eastAsiaTheme="minorHAnsi"/>
      <w:color w:val="FFFFFF"/>
      <w:sz w:val="24"/>
      <w:szCs w:val="24"/>
      <w:lang w:val="en-US" w:eastAsia="en-US"/>
    </w:rPr>
  </w:style>
  <w:style w:type="paragraph" w:customStyle="1" w:styleId="DisclaimerBold">
    <w:name w:val="Disclaimer Bold"/>
    <w:basedOn w:val="Disclaimer"/>
    <w:qFormat/>
    <w:rsid w:val="007F23C2"/>
    <w:pPr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2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2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6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fc.hk/-/media/EN/files/CF/pdf/Takeovers-Bulletin/20220930SFC-Takeover-Bulletine.pdf" TargetMode="External"/><Relationship Id="rId13" Type="http://schemas.openxmlformats.org/officeDocument/2006/relationships/hyperlink" Target="mailto:unsubscribe@charltonslaw.com?subject=unsubscribe%20-Hong%20Kong%20Law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arltonslaw.com/sfc-issues-takeovers-bulletin-no-62/" TargetMode="External"/><Relationship Id="rId12" Type="http://schemas.openxmlformats.org/officeDocument/2006/relationships/hyperlink" Target="mailto:enquiries@charltonsl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fc.hk/-/media/SFC/doc/EN/cfd/mergers/practice_note/Practice-Note-17_EN_180609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fc.hk/-/media/EN/files/CF/pdf/Takeovers-and-Mergers-Panel---Panel-Decision/Suncity_Panel-decision_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fc.hk/-/media/EN/files/CF/pdf/Takeovers-and-Mergers-Panel---Panel-Decision/Jinke-Smart_Panel-Decision_EN_30-Aug-22.pdf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fc.hk/-/media/EN/assets/components/codes/files-current/web/codes/the-codes-on-takeovers-and-mergers-and-share-buy-backs/the-codes-on-takeovers-and-mergers-and-share-buy-back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Charltons</Company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Yuen</dc:creator>
  <cp:keywords/>
  <dc:description/>
  <cp:lastModifiedBy>Александр Пирогов</cp:lastModifiedBy>
  <cp:revision>12</cp:revision>
  <dcterms:created xsi:type="dcterms:W3CDTF">2022-10-10T08:55:00Z</dcterms:created>
  <dcterms:modified xsi:type="dcterms:W3CDTF">2022-10-17T05:42:00Z</dcterms:modified>
</cp:coreProperties>
</file>