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3AB7" w:rsidRPr="00C13D3D" w:rsidRDefault="005D3AB7" w:rsidP="005D3AB7">
      <w:pPr>
        <w:shd w:val="clear" w:color="auto" w:fill="000000"/>
        <w:spacing w:after="200" w:line="240" w:lineRule="auto"/>
        <w:jc w:val="center"/>
        <w:rPr>
          <w:rFonts w:ascii="Cambria" w:eastAsia="Cambria" w:hAnsi="Cambria" w:cs="Times New Roman"/>
          <w:color w:val="FFFFFF"/>
          <w:sz w:val="24"/>
          <w:szCs w:val="24"/>
          <w:lang w:eastAsia="en-US"/>
        </w:rPr>
      </w:pPr>
      <w:proofErr w:type="spellStart"/>
      <w:r>
        <w:rPr>
          <w:rFonts w:ascii="Cambria" w:eastAsia="Cambria" w:hAnsi="Cambria" w:cs="Times New Roman"/>
          <w:color w:val="FFFFFF"/>
          <w:sz w:val="24"/>
          <w:szCs w:val="24"/>
          <w:lang w:eastAsia="en-US"/>
        </w:rPr>
        <w:t>Charltons</w:t>
      </w:r>
      <w:proofErr w:type="spellEnd"/>
      <w:r>
        <w:rPr>
          <w:rFonts w:ascii="Cambria" w:eastAsia="Cambria" w:hAnsi="Cambria" w:cs="Times New Roman"/>
          <w:color w:val="FFFFFF"/>
          <w:sz w:val="24"/>
          <w:szCs w:val="24"/>
          <w:lang w:eastAsia="en-US"/>
        </w:rPr>
        <w:t xml:space="preserve"> - Hong Kong Law - </w:t>
      </w:r>
      <w:r>
        <w:rPr>
          <w:rFonts w:ascii="Cambria" w:eastAsia="Cambria" w:hAnsi="Cambria" w:cs="Times New Roman"/>
          <w:color w:val="FFFFFF"/>
          <w:sz w:val="24"/>
          <w:szCs w:val="24"/>
          <w:lang w:eastAsia="en-US"/>
        </w:rPr>
        <w:t>10</w:t>
      </w:r>
      <w:r w:rsidRPr="00C13D3D">
        <w:rPr>
          <w:rFonts w:ascii="Cambria" w:eastAsia="Cambria" w:hAnsi="Cambria" w:cs="Times New Roman"/>
          <w:color w:val="FFFFFF"/>
          <w:sz w:val="24"/>
          <w:szCs w:val="24"/>
          <w:lang w:eastAsia="en-US"/>
        </w:rPr>
        <w:t xml:space="preserve"> </w:t>
      </w:r>
      <w:r>
        <w:rPr>
          <w:rFonts w:ascii="Cambria" w:eastAsia="Cambria" w:hAnsi="Cambria" w:cs="Times New Roman"/>
          <w:color w:val="FFFFFF"/>
          <w:sz w:val="24"/>
          <w:szCs w:val="24"/>
          <w:lang w:eastAsia="en-US"/>
        </w:rPr>
        <w:t xml:space="preserve">October </w:t>
      </w:r>
      <w:r w:rsidRPr="00C13D3D">
        <w:rPr>
          <w:rFonts w:ascii="Cambria" w:eastAsia="Cambria" w:hAnsi="Cambria" w:cs="Times New Roman"/>
          <w:color w:val="FFFFFF"/>
          <w:sz w:val="24"/>
          <w:szCs w:val="24"/>
          <w:lang w:eastAsia="en-US"/>
        </w:rPr>
        <w:t>2022</w:t>
      </w:r>
    </w:p>
    <w:p w:rsidR="005D3AB7" w:rsidRPr="005D3AB7" w:rsidRDefault="005D3AB7" w:rsidP="005D3AB7">
      <w:pPr>
        <w:spacing w:after="200" w:line="240" w:lineRule="auto"/>
        <w:jc w:val="center"/>
        <w:rPr>
          <w:rFonts w:ascii="Cambria" w:eastAsia="Cambria" w:hAnsi="Cambria" w:cs="Times New Roman"/>
          <w:color w:val="00000A"/>
          <w:sz w:val="28"/>
          <w:szCs w:val="24"/>
          <w:u w:val="single"/>
          <w:lang w:eastAsia="en-US"/>
        </w:rPr>
      </w:pPr>
      <w:hyperlink r:id="rId8" w:history="1">
        <w:r w:rsidRPr="00365171">
          <w:rPr>
            <w:rStyle w:val="a6"/>
            <w:rFonts w:ascii="Cambria" w:eastAsia="Cambria" w:hAnsi="Cambria" w:cs="Times New Roman"/>
            <w:sz w:val="28"/>
            <w:szCs w:val="24"/>
            <w:lang w:eastAsia="en-US"/>
          </w:rPr>
          <w:t>online version</w:t>
        </w:r>
      </w:hyperlink>
    </w:p>
    <w:p w:rsidR="007F729A" w:rsidRPr="00567E9D" w:rsidRDefault="00B346C9" w:rsidP="007F729A">
      <w:pPr>
        <w:keepNext/>
        <w:keepLines/>
        <w:spacing w:before="480" w:after="240" w:line="240" w:lineRule="auto"/>
        <w:jc w:val="center"/>
        <w:rPr>
          <w:rFonts w:ascii="Cambria" w:eastAsia="SimSun" w:hAnsi="Cambria" w:cs="Times New Roman"/>
          <w:b/>
          <w:bCs/>
          <w:color w:val="C0143C"/>
          <w:sz w:val="36"/>
          <w:szCs w:val="36"/>
          <w:lang w:eastAsia="en-US"/>
        </w:rPr>
      </w:pPr>
      <w:r>
        <w:rPr>
          <w:rFonts w:ascii="Cambria" w:eastAsia="SimSun" w:hAnsi="Cambria" w:cs="Times New Roman"/>
          <w:b/>
          <w:bCs/>
          <w:color w:val="C0143C"/>
          <w:sz w:val="36"/>
          <w:szCs w:val="36"/>
          <w:lang w:eastAsia="en-US"/>
        </w:rPr>
        <w:t>SFC R</w:t>
      </w:r>
      <w:r w:rsidR="00D464DE" w:rsidRPr="00D464DE">
        <w:rPr>
          <w:rFonts w:ascii="Cambria" w:eastAsia="SimSun" w:hAnsi="Cambria" w:cs="Times New Roman"/>
          <w:b/>
          <w:bCs/>
          <w:color w:val="C0143C"/>
          <w:sz w:val="36"/>
          <w:szCs w:val="36"/>
          <w:lang w:eastAsia="en-US"/>
        </w:rPr>
        <w:t>eview</w:t>
      </w:r>
      <w:r w:rsidR="00AF1248">
        <w:rPr>
          <w:rFonts w:ascii="Cambria" w:eastAsia="SimSun" w:hAnsi="Cambria" w:cs="Times New Roman"/>
          <w:b/>
          <w:bCs/>
          <w:color w:val="C0143C"/>
          <w:sz w:val="36"/>
          <w:szCs w:val="36"/>
          <w:lang w:eastAsia="en-US"/>
        </w:rPr>
        <w:t>s</w:t>
      </w:r>
      <w:r>
        <w:rPr>
          <w:rFonts w:ascii="Cambria" w:eastAsia="SimSun" w:hAnsi="Cambria" w:cs="Times New Roman"/>
          <w:b/>
          <w:bCs/>
          <w:color w:val="C0143C"/>
          <w:sz w:val="36"/>
          <w:szCs w:val="36"/>
          <w:lang w:eastAsia="en-US"/>
        </w:rPr>
        <w:t xml:space="preserve"> Online Brokerage, Distribution and Advisory S</w:t>
      </w:r>
      <w:r w:rsidR="00D464DE" w:rsidRPr="00D464DE">
        <w:rPr>
          <w:rFonts w:ascii="Cambria" w:eastAsia="SimSun" w:hAnsi="Cambria" w:cs="Times New Roman"/>
          <w:b/>
          <w:bCs/>
          <w:color w:val="C0143C"/>
          <w:sz w:val="36"/>
          <w:szCs w:val="36"/>
          <w:lang w:eastAsia="en-US"/>
        </w:rPr>
        <w:t>ervices</w:t>
      </w:r>
    </w:p>
    <w:p w:rsidR="0049176B" w:rsidRDefault="00112AA1" w:rsidP="00112AA1">
      <w:pPr>
        <w:jc w:val="both"/>
        <w:rPr>
          <w:rFonts w:ascii="Cambria" w:hAnsi="Cambria"/>
          <w:sz w:val="24"/>
          <w:szCs w:val="24"/>
        </w:rPr>
      </w:pPr>
      <w:r w:rsidRPr="002B0A5B">
        <w:rPr>
          <w:rFonts w:ascii="Cambria" w:hAnsi="Cambria"/>
          <w:sz w:val="24"/>
          <w:szCs w:val="24"/>
        </w:rPr>
        <w:t>T</w:t>
      </w:r>
      <w:r w:rsidR="00A17105" w:rsidRPr="002B0A5B">
        <w:rPr>
          <w:rFonts w:ascii="Cambria" w:hAnsi="Cambria"/>
          <w:sz w:val="24"/>
          <w:szCs w:val="24"/>
        </w:rPr>
        <w:t xml:space="preserve">he </w:t>
      </w:r>
      <w:r w:rsidR="00EE416C" w:rsidRPr="002B0A5B">
        <w:rPr>
          <w:rFonts w:ascii="Cambria" w:hAnsi="Cambria"/>
          <w:sz w:val="24"/>
          <w:szCs w:val="24"/>
        </w:rPr>
        <w:t>Hong Kong Securities and Futures Commission (</w:t>
      </w:r>
      <w:r w:rsidR="00EE416C" w:rsidRPr="002B0A5B">
        <w:rPr>
          <w:rFonts w:ascii="Cambria" w:hAnsi="Cambria"/>
          <w:b/>
          <w:sz w:val="24"/>
          <w:szCs w:val="24"/>
        </w:rPr>
        <w:t>SFC</w:t>
      </w:r>
      <w:r w:rsidR="00EE416C" w:rsidRPr="002B0A5B">
        <w:rPr>
          <w:rFonts w:ascii="Cambria" w:hAnsi="Cambria"/>
          <w:sz w:val="24"/>
          <w:szCs w:val="24"/>
        </w:rPr>
        <w:t>)</w:t>
      </w:r>
      <w:r w:rsidRPr="002B0A5B">
        <w:rPr>
          <w:rFonts w:ascii="Cambria" w:hAnsi="Cambria"/>
          <w:sz w:val="24"/>
          <w:szCs w:val="24"/>
        </w:rPr>
        <w:t xml:space="preserve"> </w:t>
      </w:r>
      <w:r w:rsidR="00B346C9">
        <w:rPr>
          <w:rFonts w:ascii="Cambria" w:hAnsi="Cambria"/>
          <w:sz w:val="24"/>
          <w:szCs w:val="24"/>
        </w:rPr>
        <w:t xml:space="preserve">has </w:t>
      </w:r>
      <w:r w:rsidRPr="002B0A5B">
        <w:rPr>
          <w:rFonts w:ascii="Cambria" w:hAnsi="Cambria"/>
          <w:sz w:val="24"/>
          <w:szCs w:val="24"/>
        </w:rPr>
        <w:t xml:space="preserve">conducted a review of the business models of </w:t>
      </w:r>
      <w:r w:rsidR="00AF1248">
        <w:rPr>
          <w:rFonts w:ascii="Cambria" w:hAnsi="Cambria"/>
          <w:sz w:val="24"/>
          <w:szCs w:val="24"/>
        </w:rPr>
        <w:t>SFC-</w:t>
      </w:r>
      <w:r w:rsidRPr="002B0A5B">
        <w:rPr>
          <w:rFonts w:ascii="Cambria" w:hAnsi="Cambria"/>
          <w:sz w:val="24"/>
          <w:szCs w:val="24"/>
        </w:rPr>
        <w:t xml:space="preserve">licensed corporations </w:t>
      </w:r>
      <w:r w:rsidR="00AF1248">
        <w:rPr>
          <w:rFonts w:ascii="Cambria" w:hAnsi="Cambria"/>
          <w:sz w:val="24"/>
          <w:szCs w:val="24"/>
        </w:rPr>
        <w:t>providing</w:t>
      </w:r>
      <w:r w:rsidRPr="002B0A5B">
        <w:rPr>
          <w:rFonts w:ascii="Cambria" w:hAnsi="Cambria"/>
          <w:sz w:val="24"/>
          <w:szCs w:val="24"/>
        </w:rPr>
        <w:t xml:space="preserve"> online brokerage, distribution and advisory services and their compliance with regulatory requirements when </w:t>
      </w:r>
      <w:r w:rsidR="00364859" w:rsidRPr="002B0A5B">
        <w:rPr>
          <w:rFonts w:ascii="Cambria" w:hAnsi="Cambria"/>
          <w:sz w:val="24"/>
          <w:szCs w:val="24"/>
        </w:rPr>
        <w:t>onboarding</w:t>
      </w:r>
      <w:r w:rsidR="00D464DE" w:rsidRPr="002B0A5B">
        <w:rPr>
          <w:rFonts w:ascii="Cambria" w:hAnsi="Cambria"/>
          <w:sz w:val="24"/>
          <w:szCs w:val="24"/>
        </w:rPr>
        <w:t xml:space="preserve"> new</w:t>
      </w:r>
      <w:r w:rsidRPr="002B0A5B">
        <w:rPr>
          <w:rFonts w:ascii="Cambria" w:hAnsi="Cambria"/>
          <w:sz w:val="24"/>
          <w:szCs w:val="24"/>
        </w:rPr>
        <w:t xml:space="preserve"> clients and distributing or advising on investment products via their online platforms. </w:t>
      </w:r>
      <w:r w:rsidR="00D464DE" w:rsidRPr="002B0A5B">
        <w:rPr>
          <w:rFonts w:ascii="Cambria" w:hAnsi="Cambria"/>
          <w:sz w:val="24"/>
          <w:szCs w:val="24"/>
        </w:rPr>
        <w:t>The principal findings and compliance issues identified from the review are summarised in the</w:t>
      </w:r>
      <w:r w:rsidR="00B346C9">
        <w:rPr>
          <w:rFonts w:ascii="Cambria" w:hAnsi="Cambria"/>
          <w:sz w:val="24"/>
          <w:szCs w:val="24"/>
        </w:rPr>
        <w:t xml:space="preserve"> </w:t>
      </w:r>
      <w:hyperlink r:id="rId9" w:history="1">
        <w:r w:rsidR="00B346C9" w:rsidRPr="0031535B">
          <w:rPr>
            <w:rStyle w:val="a6"/>
            <w:rFonts w:ascii="Cambria" w:hAnsi="Cambria"/>
            <w:sz w:val="24"/>
            <w:szCs w:val="24"/>
          </w:rPr>
          <w:t>SFC’s C</w:t>
        </w:r>
        <w:r w:rsidR="00D464DE" w:rsidRPr="0031535B">
          <w:rPr>
            <w:rStyle w:val="a6"/>
            <w:rFonts w:ascii="Cambria" w:hAnsi="Cambria"/>
            <w:sz w:val="24"/>
            <w:szCs w:val="24"/>
          </w:rPr>
          <w:t>ircular</w:t>
        </w:r>
        <w:r w:rsidR="00B346C9" w:rsidRPr="0031535B">
          <w:rPr>
            <w:rStyle w:val="a6"/>
            <w:rFonts w:ascii="Cambria" w:hAnsi="Cambria"/>
            <w:sz w:val="24"/>
            <w:szCs w:val="24"/>
          </w:rPr>
          <w:t xml:space="preserve"> to Licensed Corporations</w:t>
        </w:r>
      </w:hyperlink>
      <w:r w:rsidR="00B346C9">
        <w:rPr>
          <w:rFonts w:ascii="Cambria" w:hAnsi="Cambria"/>
          <w:sz w:val="24"/>
          <w:szCs w:val="24"/>
        </w:rPr>
        <w:t xml:space="preserve"> dated 31 August 2022</w:t>
      </w:r>
      <w:r w:rsidR="00D464DE" w:rsidRPr="002B0A5B">
        <w:rPr>
          <w:rFonts w:ascii="Cambria" w:hAnsi="Cambria"/>
          <w:sz w:val="24"/>
          <w:szCs w:val="24"/>
        </w:rPr>
        <w:t xml:space="preserve">. </w:t>
      </w:r>
      <w:r w:rsidR="00B346C9">
        <w:rPr>
          <w:rFonts w:ascii="Cambria" w:hAnsi="Cambria"/>
          <w:sz w:val="24"/>
          <w:szCs w:val="24"/>
        </w:rPr>
        <w:t xml:space="preserve">Details of the review and the regulatory standards which SFC-licensed corporations are expected </w:t>
      </w:r>
      <w:r w:rsidR="00E50A1A">
        <w:rPr>
          <w:rFonts w:ascii="Cambria" w:hAnsi="Cambria"/>
          <w:sz w:val="24"/>
          <w:szCs w:val="24"/>
        </w:rPr>
        <w:t xml:space="preserve">to meet when providing online brokerage, distribution and advisory services are summarised in the </w:t>
      </w:r>
      <w:hyperlink r:id="rId10" w:history="1">
        <w:r w:rsidR="0031535B" w:rsidRPr="0031535B">
          <w:rPr>
            <w:rStyle w:val="a6"/>
            <w:rFonts w:ascii="Cambria" w:hAnsi="Cambria"/>
            <w:sz w:val="24"/>
            <w:szCs w:val="24"/>
          </w:rPr>
          <w:t>SFC’s report</w:t>
        </w:r>
      </w:hyperlink>
      <w:r w:rsidR="0031535B">
        <w:rPr>
          <w:rFonts w:ascii="Cambria" w:hAnsi="Cambria"/>
          <w:sz w:val="24"/>
          <w:szCs w:val="24"/>
        </w:rPr>
        <w:t xml:space="preserve"> annexed to the circular. The Hong Kong Monetary Authority </w:t>
      </w:r>
      <w:r w:rsidR="00B66900">
        <w:rPr>
          <w:rFonts w:ascii="Cambria" w:hAnsi="Cambria"/>
          <w:sz w:val="24"/>
          <w:szCs w:val="24"/>
        </w:rPr>
        <w:t>(</w:t>
      </w:r>
      <w:r w:rsidR="00B66900" w:rsidRPr="00B66900">
        <w:rPr>
          <w:rFonts w:ascii="Cambria" w:hAnsi="Cambria"/>
          <w:b/>
          <w:sz w:val="24"/>
          <w:szCs w:val="24"/>
        </w:rPr>
        <w:t>HKMA</w:t>
      </w:r>
      <w:r w:rsidR="00B66900">
        <w:rPr>
          <w:rFonts w:ascii="Cambria" w:hAnsi="Cambria"/>
          <w:sz w:val="24"/>
          <w:szCs w:val="24"/>
        </w:rPr>
        <w:t xml:space="preserve">) </w:t>
      </w:r>
      <w:r w:rsidR="00A15F40">
        <w:rPr>
          <w:rFonts w:ascii="Cambria" w:hAnsi="Cambria"/>
          <w:sz w:val="24"/>
          <w:szCs w:val="24"/>
        </w:rPr>
        <w:t xml:space="preserve">has </w:t>
      </w:r>
      <w:r w:rsidR="007C4D13">
        <w:rPr>
          <w:rFonts w:ascii="Cambria" w:hAnsi="Cambria"/>
          <w:sz w:val="24"/>
          <w:szCs w:val="24"/>
        </w:rPr>
        <w:t xml:space="preserve">also </w:t>
      </w:r>
      <w:r w:rsidR="0031535B">
        <w:rPr>
          <w:rFonts w:ascii="Cambria" w:hAnsi="Cambria"/>
          <w:sz w:val="24"/>
          <w:szCs w:val="24"/>
        </w:rPr>
        <w:t xml:space="preserve">issued a </w:t>
      </w:r>
      <w:hyperlink r:id="rId11" w:history="1">
        <w:r w:rsidR="007C4D13" w:rsidRPr="007C4D13">
          <w:rPr>
            <w:rStyle w:val="a6"/>
            <w:rFonts w:ascii="Cambria" w:hAnsi="Cambria"/>
            <w:sz w:val="24"/>
            <w:szCs w:val="24"/>
          </w:rPr>
          <w:t>Circular</w:t>
        </w:r>
      </w:hyperlink>
      <w:r w:rsidR="007C4D13">
        <w:rPr>
          <w:rFonts w:ascii="Cambria" w:hAnsi="Cambria"/>
          <w:sz w:val="24"/>
          <w:szCs w:val="24"/>
        </w:rPr>
        <w:t xml:space="preserve"> </w:t>
      </w:r>
      <w:r w:rsidR="0049176B">
        <w:rPr>
          <w:rFonts w:ascii="Cambria" w:hAnsi="Cambria"/>
          <w:sz w:val="24"/>
          <w:szCs w:val="24"/>
        </w:rPr>
        <w:t xml:space="preserve"> </w:t>
      </w:r>
      <w:r w:rsidR="007C4D13">
        <w:rPr>
          <w:rFonts w:ascii="Cambria" w:hAnsi="Cambria"/>
          <w:sz w:val="24"/>
          <w:szCs w:val="24"/>
        </w:rPr>
        <w:t xml:space="preserve">to </w:t>
      </w:r>
      <w:r w:rsidR="0049176B">
        <w:rPr>
          <w:rFonts w:ascii="Cambria" w:hAnsi="Cambria"/>
          <w:sz w:val="24"/>
          <w:szCs w:val="24"/>
        </w:rPr>
        <w:t xml:space="preserve">registered institutions </w:t>
      </w:r>
      <w:r w:rsidR="007C4D13">
        <w:rPr>
          <w:rFonts w:ascii="Cambria" w:hAnsi="Cambria"/>
          <w:sz w:val="24"/>
          <w:szCs w:val="24"/>
        </w:rPr>
        <w:t xml:space="preserve">drawing their attention to the </w:t>
      </w:r>
      <w:r w:rsidR="0049176B">
        <w:rPr>
          <w:rFonts w:ascii="Cambria" w:hAnsi="Cambria"/>
          <w:sz w:val="24"/>
          <w:szCs w:val="24"/>
        </w:rPr>
        <w:t>regulatory concerns and reminders of the regulatory requirements set out in the SFC circular.</w:t>
      </w:r>
    </w:p>
    <w:p w:rsidR="003563DD" w:rsidRPr="008720F8" w:rsidRDefault="00A15F40" w:rsidP="00112AA1">
      <w:pPr>
        <w:jc w:val="both"/>
        <w:rPr>
          <w:rFonts w:ascii="Cambria" w:hAnsi="Cambria"/>
          <w:sz w:val="24"/>
          <w:szCs w:val="24"/>
        </w:rPr>
      </w:pPr>
      <w:r>
        <w:rPr>
          <w:rFonts w:ascii="Cambria" w:hAnsi="Cambria"/>
          <w:sz w:val="24"/>
          <w:szCs w:val="24"/>
        </w:rPr>
        <w:t>The principal compliance deficiencies identified by the SFC are summarised below.</w:t>
      </w:r>
      <w:r w:rsidR="00A301BF" w:rsidRPr="008720F8">
        <w:rPr>
          <w:rFonts w:ascii="Cambria" w:hAnsi="Cambria"/>
          <w:sz w:val="24"/>
          <w:szCs w:val="24"/>
        </w:rPr>
        <w:t xml:space="preserve"> </w:t>
      </w:r>
    </w:p>
    <w:p w:rsidR="00975C9B" w:rsidRPr="003C6966" w:rsidRDefault="00302A14" w:rsidP="003C6966">
      <w:pPr>
        <w:jc w:val="both"/>
        <w:rPr>
          <w:rFonts w:ascii="Cambria" w:hAnsi="Cambria"/>
          <w:b/>
          <w:color w:val="FF0000"/>
          <w:sz w:val="24"/>
          <w:szCs w:val="24"/>
        </w:rPr>
      </w:pPr>
      <w:r w:rsidRPr="003C6966">
        <w:rPr>
          <w:rFonts w:ascii="Cambria" w:hAnsi="Cambria"/>
          <w:b/>
          <w:color w:val="FF0000"/>
          <w:sz w:val="24"/>
          <w:szCs w:val="24"/>
        </w:rPr>
        <w:t>C</w:t>
      </w:r>
      <w:r w:rsidR="00975C9B" w:rsidRPr="003C6966">
        <w:rPr>
          <w:rFonts w:ascii="Cambria" w:hAnsi="Cambria"/>
          <w:b/>
          <w:color w:val="FF0000"/>
          <w:sz w:val="24"/>
          <w:szCs w:val="24"/>
        </w:rPr>
        <w:t>lient onboarding</w:t>
      </w:r>
      <w:r w:rsidRPr="003C6966">
        <w:rPr>
          <w:rFonts w:ascii="Cambria" w:hAnsi="Cambria"/>
          <w:b/>
          <w:color w:val="FF0000"/>
          <w:sz w:val="24"/>
          <w:szCs w:val="24"/>
        </w:rPr>
        <w:t xml:space="preserve"> procedures</w:t>
      </w:r>
    </w:p>
    <w:p w:rsidR="00975C9B" w:rsidRPr="002B0A5B" w:rsidRDefault="00870812" w:rsidP="00112AA1">
      <w:pPr>
        <w:jc w:val="both"/>
        <w:rPr>
          <w:rFonts w:ascii="Cambria" w:hAnsi="Cambria"/>
          <w:sz w:val="24"/>
          <w:szCs w:val="24"/>
        </w:rPr>
      </w:pPr>
      <w:r w:rsidRPr="003563DD">
        <w:rPr>
          <w:rFonts w:ascii="Cambria" w:hAnsi="Cambria"/>
          <w:sz w:val="24"/>
          <w:szCs w:val="24"/>
        </w:rPr>
        <w:t>The review found that 96% of new accou</w:t>
      </w:r>
      <w:r>
        <w:rPr>
          <w:rFonts w:ascii="Cambria" w:hAnsi="Cambria"/>
          <w:sz w:val="24"/>
          <w:szCs w:val="24"/>
        </w:rPr>
        <w:t xml:space="preserve">nts opened by the </w:t>
      </w:r>
      <w:r w:rsidR="00302A14">
        <w:rPr>
          <w:rFonts w:ascii="Cambria" w:hAnsi="Cambria"/>
          <w:sz w:val="24"/>
          <w:szCs w:val="24"/>
        </w:rPr>
        <w:t>50 surveyed SFC-licensed corporations</w:t>
      </w:r>
      <w:r>
        <w:rPr>
          <w:rFonts w:ascii="Cambria" w:hAnsi="Cambria"/>
          <w:sz w:val="24"/>
          <w:szCs w:val="24"/>
        </w:rPr>
        <w:t xml:space="preserve"> </w:t>
      </w:r>
      <w:r w:rsidR="00A15F40">
        <w:rPr>
          <w:rFonts w:ascii="Cambria" w:hAnsi="Cambria"/>
          <w:sz w:val="24"/>
          <w:szCs w:val="24"/>
        </w:rPr>
        <w:t xml:space="preserve">over </w:t>
      </w:r>
      <w:r w:rsidRPr="003563DD">
        <w:rPr>
          <w:rFonts w:ascii="Cambria" w:hAnsi="Cambria"/>
          <w:sz w:val="24"/>
          <w:szCs w:val="24"/>
        </w:rPr>
        <w:t xml:space="preserve">a 12-month period </w:t>
      </w:r>
      <w:r w:rsidR="00302A14">
        <w:rPr>
          <w:rFonts w:ascii="Cambria" w:hAnsi="Cambria"/>
          <w:sz w:val="24"/>
          <w:szCs w:val="24"/>
        </w:rPr>
        <w:t xml:space="preserve">used </w:t>
      </w:r>
      <w:r w:rsidRPr="003563DD">
        <w:rPr>
          <w:rFonts w:ascii="Cambria" w:hAnsi="Cambria"/>
          <w:sz w:val="24"/>
          <w:szCs w:val="24"/>
        </w:rPr>
        <w:t>non-face-to-fa</w:t>
      </w:r>
      <w:r>
        <w:rPr>
          <w:rFonts w:ascii="Cambria" w:hAnsi="Cambria"/>
          <w:sz w:val="24"/>
          <w:szCs w:val="24"/>
        </w:rPr>
        <w:t>ce (</w:t>
      </w:r>
      <w:r w:rsidRPr="00DE496B">
        <w:rPr>
          <w:rFonts w:ascii="Cambria" w:hAnsi="Cambria"/>
          <w:b/>
          <w:sz w:val="24"/>
          <w:szCs w:val="24"/>
        </w:rPr>
        <w:t>Non-FTF</w:t>
      </w:r>
      <w:r>
        <w:rPr>
          <w:rFonts w:ascii="Cambria" w:hAnsi="Cambria"/>
          <w:sz w:val="24"/>
          <w:szCs w:val="24"/>
        </w:rPr>
        <w:t>) client onboarding</w:t>
      </w:r>
      <w:r w:rsidR="00302A14">
        <w:rPr>
          <w:rFonts w:ascii="Cambria" w:hAnsi="Cambria"/>
          <w:sz w:val="24"/>
          <w:szCs w:val="24"/>
        </w:rPr>
        <w:t xml:space="preserve"> procedures</w:t>
      </w:r>
      <w:r w:rsidRPr="003563DD">
        <w:rPr>
          <w:rFonts w:ascii="Cambria" w:hAnsi="Cambria"/>
          <w:sz w:val="24"/>
          <w:szCs w:val="24"/>
        </w:rPr>
        <w:t xml:space="preserve">. </w:t>
      </w:r>
      <w:r w:rsidR="00DE496B">
        <w:rPr>
          <w:rFonts w:ascii="Cambria" w:hAnsi="Cambria"/>
          <w:sz w:val="24"/>
          <w:szCs w:val="24"/>
        </w:rPr>
        <w:t>Some of these licensed corporations</w:t>
      </w:r>
      <w:r w:rsidR="00975C9B" w:rsidRPr="002B0A5B">
        <w:rPr>
          <w:rFonts w:ascii="Cambria" w:hAnsi="Cambria"/>
          <w:sz w:val="24"/>
          <w:szCs w:val="24"/>
        </w:rPr>
        <w:t xml:space="preserve"> failed to conduct proper client identity verification procedures. For example, there were deficiencies in recognising clients’ designated bank accounts in Hong Kong and some </w:t>
      </w:r>
      <w:r w:rsidR="00DE496B">
        <w:rPr>
          <w:rFonts w:ascii="Cambria" w:hAnsi="Cambria"/>
          <w:sz w:val="24"/>
          <w:szCs w:val="24"/>
        </w:rPr>
        <w:t>SFC-licensed corporations</w:t>
      </w:r>
      <w:r w:rsidR="00DE496B" w:rsidRPr="002B0A5B">
        <w:rPr>
          <w:rFonts w:ascii="Cambria" w:hAnsi="Cambria"/>
          <w:sz w:val="24"/>
          <w:szCs w:val="24"/>
        </w:rPr>
        <w:t xml:space="preserve"> </w:t>
      </w:r>
      <w:r w:rsidR="00975C9B" w:rsidRPr="002B0A5B">
        <w:rPr>
          <w:rFonts w:ascii="Cambria" w:hAnsi="Cambria"/>
          <w:sz w:val="24"/>
          <w:szCs w:val="24"/>
        </w:rPr>
        <w:t>failed to procure appropriate independent assessment for the facial recognition technologies they used to authenticate clients’ identities when onboarding overseas clients.</w:t>
      </w:r>
    </w:p>
    <w:p w:rsidR="00975C9B" w:rsidRDefault="00A676FA" w:rsidP="00112AA1">
      <w:pPr>
        <w:jc w:val="both"/>
        <w:rPr>
          <w:rFonts w:ascii="Cambria" w:hAnsi="Cambria"/>
          <w:sz w:val="24"/>
          <w:szCs w:val="24"/>
        </w:rPr>
      </w:pPr>
      <w:r>
        <w:rPr>
          <w:rFonts w:ascii="Cambria" w:hAnsi="Cambria"/>
          <w:sz w:val="24"/>
          <w:szCs w:val="24"/>
        </w:rPr>
        <w:t xml:space="preserve">The SFC notes that </w:t>
      </w:r>
      <w:r w:rsidR="00975C9B" w:rsidRPr="002B0A5B">
        <w:rPr>
          <w:rFonts w:ascii="Cambria" w:hAnsi="Cambria"/>
          <w:sz w:val="24"/>
          <w:szCs w:val="24"/>
        </w:rPr>
        <w:t xml:space="preserve">Non-FTF client onboarding generally poses a higher risk of impersonation. </w:t>
      </w:r>
      <w:r>
        <w:rPr>
          <w:rFonts w:ascii="Cambria" w:hAnsi="Cambria"/>
          <w:sz w:val="24"/>
          <w:szCs w:val="24"/>
        </w:rPr>
        <w:t>Licensed corporations are therefore required to conduct</w:t>
      </w:r>
      <w:r w:rsidR="00975C9B" w:rsidRPr="002B0A5B">
        <w:rPr>
          <w:rFonts w:ascii="Cambria" w:hAnsi="Cambria"/>
          <w:sz w:val="24"/>
          <w:szCs w:val="24"/>
        </w:rPr>
        <w:t xml:space="preserve"> the customer identity verification </w:t>
      </w:r>
      <w:r>
        <w:rPr>
          <w:rFonts w:ascii="Cambria" w:hAnsi="Cambria"/>
          <w:sz w:val="24"/>
          <w:szCs w:val="24"/>
        </w:rPr>
        <w:t xml:space="preserve">procedures </w:t>
      </w:r>
      <w:r w:rsidR="00975C9B" w:rsidRPr="002B0A5B">
        <w:rPr>
          <w:rFonts w:ascii="Cambria" w:hAnsi="Cambria"/>
          <w:sz w:val="24"/>
          <w:szCs w:val="24"/>
        </w:rPr>
        <w:t xml:space="preserve">specified in the </w:t>
      </w:r>
      <w:hyperlink r:id="rId12" w:history="1">
        <w:r w:rsidR="00975C9B" w:rsidRPr="00A676FA">
          <w:rPr>
            <w:rStyle w:val="a6"/>
            <w:rFonts w:ascii="Cambria" w:hAnsi="Cambria"/>
            <w:sz w:val="24"/>
            <w:szCs w:val="24"/>
          </w:rPr>
          <w:t>acceptable account opening approaches</w:t>
        </w:r>
      </w:hyperlink>
      <w:r w:rsidR="00975C9B" w:rsidRPr="002B0A5B">
        <w:rPr>
          <w:rFonts w:ascii="Cambria" w:hAnsi="Cambria"/>
          <w:sz w:val="24"/>
          <w:szCs w:val="24"/>
        </w:rPr>
        <w:t xml:space="preserve"> published on the SFC’s website</w:t>
      </w:r>
      <w:r w:rsidR="00CA080C">
        <w:rPr>
          <w:rFonts w:ascii="Cambria" w:hAnsi="Cambria"/>
          <w:sz w:val="24"/>
          <w:szCs w:val="24"/>
        </w:rPr>
        <w:t xml:space="preserve"> and the </w:t>
      </w:r>
      <w:hyperlink r:id="rId13" w:history="1">
        <w:r w:rsidR="00CA080C" w:rsidRPr="00CA080C">
          <w:rPr>
            <w:rStyle w:val="a6"/>
            <w:rFonts w:ascii="Cambria" w:hAnsi="Cambria"/>
            <w:sz w:val="24"/>
            <w:szCs w:val="24"/>
          </w:rPr>
          <w:t xml:space="preserve">SFC’s Circular </w:t>
        </w:r>
        <w:r w:rsidR="00232903">
          <w:rPr>
            <w:rStyle w:val="a6"/>
            <w:rFonts w:ascii="Cambria" w:hAnsi="Cambria"/>
            <w:sz w:val="24"/>
            <w:szCs w:val="24"/>
          </w:rPr>
          <w:t xml:space="preserve">to intermediaries </w:t>
        </w:r>
        <w:r w:rsidR="00CA080C" w:rsidRPr="00CA080C">
          <w:rPr>
            <w:rStyle w:val="a6"/>
            <w:rFonts w:ascii="Cambria" w:hAnsi="Cambria"/>
            <w:sz w:val="24"/>
            <w:szCs w:val="24"/>
          </w:rPr>
          <w:t>on remote onboarding of overseas individual clients</w:t>
        </w:r>
      </w:hyperlink>
      <w:r>
        <w:rPr>
          <w:rFonts w:ascii="Cambria" w:hAnsi="Cambria"/>
          <w:sz w:val="24"/>
          <w:szCs w:val="24"/>
        </w:rPr>
        <w:t xml:space="preserve"> to ensure their compliance with paragraph 1.1 of the SFC’s </w:t>
      </w:r>
      <w:hyperlink r:id="rId14" w:history="1">
        <w:r w:rsidRPr="00CA080C">
          <w:rPr>
            <w:rStyle w:val="a6"/>
            <w:rFonts w:ascii="Cambria" w:hAnsi="Cambria"/>
            <w:sz w:val="24"/>
            <w:szCs w:val="24"/>
          </w:rPr>
          <w:t xml:space="preserve">Code of Conduct for Persons Licensed by or Registered with the </w:t>
        </w:r>
        <w:r w:rsidR="00CA080C" w:rsidRPr="00CA080C">
          <w:rPr>
            <w:rStyle w:val="a6"/>
            <w:rFonts w:ascii="Cambria" w:hAnsi="Cambria"/>
            <w:sz w:val="24"/>
            <w:szCs w:val="24"/>
          </w:rPr>
          <w:t>Securities and Futures Commission</w:t>
        </w:r>
      </w:hyperlink>
      <w:r w:rsidR="00CA080C">
        <w:rPr>
          <w:rFonts w:ascii="Cambria" w:hAnsi="Cambria"/>
          <w:sz w:val="24"/>
          <w:szCs w:val="24"/>
        </w:rPr>
        <w:t xml:space="preserve"> </w:t>
      </w:r>
      <w:r>
        <w:rPr>
          <w:rFonts w:ascii="Cambria" w:hAnsi="Cambria"/>
          <w:sz w:val="24"/>
          <w:szCs w:val="24"/>
        </w:rPr>
        <w:t xml:space="preserve">(the </w:t>
      </w:r>
      <w:r>
        <w:rPr>
          <w:rFonts w:ascii="Cambria" w:hAnsi="Cambria"/>
          <w:b/>
          <w:sz w:val="24"/>
          <w:szCs w:val="24"/>
        </w:rPr>
        <w:t>SFC Code of Conduct</w:t>
      </w:r>
      <w:r>
        <w:rPr>
          <w:rFonts w:ascii="Cambria" w:hAnsi="Cambria"/>
          <w:sz w:val="24"/>
          <w:szCs w:val="24"/>
        </w:rPr>
        <w:t>)</w:t>
      </w:r>
      <w:r w:rsidR="00A8648C">
        <w:rPr>
          <w:rFonts w:ascii="Cambria" w:hAnsi="Cambria"/>
          <w:sz w:val="24"/>
          <w:szCs w:val="24"/>
        </w:rPr>
        <w:t xml:space="preserve">. </w:t>
      </w:r>
    </w:p>
    <w:p w:rsidR="00C71381" w:rsidRDefault="00C71381" w:rsidP="00112AA1">
      <w:pPr>
        <w:jc w:val="both"/>
        <w:rPr>
          <w:rFonts w:ascii="Cambria" w:hAnsi="Cambria"/>
          <w:sz w:val="24"/>
          <w:szCs w:val="24"/>
        </w:rPr>
      </w:pPr>
      <w:r>
        <w:rPr>
          <w:rFonts w:ascii="Cambria" w:hAnsi="Cambria"/>
          <w:sz w:val="24"/>
          <w:szCs w:val="24"/>
        </w:rPr>
        <w:t>The SFC also reminds SFC-licensed corporat</w:t>
      </w:r>
      <w:r w:rsidR="00D50878">
        <w:rPr>
          <w:rFonts w:ascii="Cambria" w:hAnsi="Cambria"/>
          <w:sz w:val="24"/>
          <w:szCs w:val="24"/>
        </w:rPr>
        <w:t xml:space="preserve">ions that they should complete the verification of clients’ identity and other KYC procedures </w:t>
      </w:r>
      <w:r w:rsidR="00D50878" w:rsidRPr="00D50878">
        <w:rPr>
          <w:rFonts w:ascii="Cambria" w:hAnsi="Cambria"/>
          <w:i/>
          <w:sz w:val="24"/>
          <w:szCs w:val="24"/>
        </w:rPr>
        <w:t>before</w:t>
      </w:r>
      <w:r w:rsidR="00D50878">
        <w:rPr>
          <w:rFonts w:ascii="Cambria" w:hAnsi="Cambria"/>
          <w:sz w:val="24"/>
          <w:szCs w:val="24"/>
        </w:rPr>
        <w:t xml:space="preserve"> approving the opening of new client accounts.</w:t>
      </w:r>
    </w:p>
    <w:p w:rsidR="005E36C2" w:rsidRPr="003C6966" w:rsidRDefault="005E36C2" w:rsidP="002446B1">
      <w:pPr>
        <w:jc w:val="both"/>
        <w:rPr>
          <w:rFonts w:ascii="Cambria" w:hAnsi="Cambria"/>
          <w:b/>
          <w:color w:val="FF0000"/>
          <w:sz w:val="24"/>
          <w:szCs w:val="24"/>
        </w:rPr>
      </w:pPr>
      <w:r w:rsidRPr="003C6966">
        <w:rPr>
          <w:rFonts w:ascii="Cambria" w:hAnsi="Cambria"/>
          <w:b/>
          <w:color w:val="FF0000"/>
          <w:sz w:val="24"/>
          <w:szCs w:val="24"/>
        </w:rPr>
        <w:t xml:space="preserve">Online trading, distribution and marketing </w:t>
      </w:r>
      <w:r w:rsidR="00A34823">
        <w:rPr>
          <w:rFonts w:ascii="Cambria" w:hAnsi="Cambria"/>
          <w:b/>
          <w:color w:val="FF0000"/>
          <w:sz w:val="24"/>
          <w:szCs w:val="24"/>
        </w:rPr>
        <w:t>by SFC-licensed corporations</w:t>
      </w:r>
    </w:p>
    <w:p w:rsidR="00AB115D" w:rsidRPr="003C6966" w:rsidRDefault="005E36C2" w:rsidP="002446B1">
      <w:pPr>
        <w:jc w:val="both"/>
        <w:rPr>
          <w:rFonts w:ascii="Cambria" w:hAnsi="Cambria"/>
          <w:b/>
          <w:sz w:val="24"/>
          <w:szCs w:val="24"/>
        </w:rPr>
      </w:pPr>
      <w:r w:rsidRPr="003C6966">
        <w:rPr>
          <w:rFonts w:ascii="Cambria" w:hAnsi="Cambria"/>
          <w:b/>
          <w:sz w:val="24"/>
          <w:szCs w:val="24"/>
        </w:rPr>
        <w:t>Clauses and statements which might have restri</w:t>
      </w:r>
      <w:r w:rsidR="003C6966">
        <w:rPr>
          <w:rFonts w:ascii="Cambria" w:hAnsi="Cambria"/>
          <w:b/>
          <w:sz w:val="24"/>
          <w:szCs w:val="24"/>
        </w:rPr>
        <w:t>cted client</w:t>
      </w:r>
      <w:r w:rsidR="00D50878" w:rsidRPr="003C6966">
        <w:rPr>
          <w:rFonts w:ascii="Cambria" w:hAnsi="Cambria"/>
          <w:b/>
          <w:sz w:val="24"/>
          <w:szCs w:val="24"/>
        </w:rPr>
        <w:t>s</w:t>
      </w:r>
      <w:r w:rsidR="003C6966">
        <w:rPr>
          <w:rFonts w:ascii="Cambria" w:hAnsi="Cambria"/>
          <w:b/>
          <w:sz w:val="24"/>
          <w:szCs w:val="24"/>
        </w:rPr>
        <w:t>’</w:t>
      </w:r>
      <w:r w:rsidR="00D50878" w:rsidRPr="003C6966">
        <w:rPr>
          <w:rFonts w:ascii="Cambria" w:hAnsi="Cambria"/>
          <w:b/>
          <w:sz w:val="24"/>
          <w:szCs w:val="24"/>
        </w:rPr>
        <w:t xml:space="preserve"> rights, excluded licensed corporations’</w:t>
      </w:r>
      <w:r w:rsidRPr="003C6966">
        <w:rPr>
          <w:rFonts w:ascii="Cambria" w:hAnsi="Cambria"/>
          <w:b/>
          <w:sz w:val="24"/>
          <w:szCs w:val="24"/>
        </w:rPr>
        <w:t xml:space="preserve"> obligations, or misdescribed </w:t>
      </w:r>
      <w:r w:rsidR="00D50878" w:rsidRPr="003C6966">
        <w:rPr>
          <w:rFonts w:ascii="Cambria" w:hAnsi="Cambria"/>
          <w:b/>
          <w:sz w:val="24"/>
          <w:szCs w:val="24"/>
        </w:rPr>
        <w:t>their</w:t>
      </w:r>
      <w:r w:rsidRPr="003C6966">
        <w:rPr>
          <w:rFonts w:ascii="Cambria" w:hAnsi="Cambria"/>
          <w:b/>
          <w:sz w:val="24"/>
          <w:szCs w:val="24"/>
        </w:rPr>
        <w:t xml:space="preserve"> services</w:t>
      </w:r>
    </w:p>
    <w:p w:rsidR="00CA080C" w:rsidRDefault="00D50878" w:rsidP="002446B1">
      <w:pPr>
        <w:jc w:val="both"/>
        <w:rPr>
          <w:rFonts w:ascii="Cambria" w:hAnsi="Cambria"/>
          <w:sz w:val="24"/>
          <w:szCs w:val="24"/>
        </w:rPr>
      </w:pPr>
      <w:r>
        <w:rPr>
          <w:rFonts w:ascii="Cambria" w:hAnsi="Cambria"/>
          <w:sz w:val="24"/>
          <w:szCs w:val="24"/>
        </w:rPr>
        <w:t>T</w:t>
      </w:r>
      <w:r w:rsidR="005E36C2" w:rsidRPr="002B0A5B">
        <w:rPr>
          <w:rFonts w:ascii="Cambria" w:hAnsi="Cambria"/>
          <w:sz w:val="24"/>
          <w:szCs w:val="24"/>
        </w:rPr>
        <w:t xml:space="preserve">he </w:t>
      </w:r>
      <w:r>
        <w:rPr>
          <w:rFonts w:ascii="Cambria" w:hAnsi="Cambria"/>
          <w:sz w:val="24"/>
          <w:szCs w:val="24"/>
        </w:rPr>
        <w:t xml:space="preserve">SFC’s </w:t>
      </w:r>
      <w:r w:rsidR="005E36C2" w:rsidRPr="002B0A5B">
        <w:rPr>
          <w:rFonts w:ascii="Cambria" w:hAnsi="Cambria"/>
          <w:sz w:val="24"/>
          <w:szCs w:val="24"/>
        </w:rPr>
        <w:t xml:space="preserve">review found that some </w:t>
      </w:r>
      <w:r>
        <w:rPr>
          <w:rFonts w:ascii="Cambria" w:hAnsi="Cambria"/>
          <w:sz w:val="24"/>
          <w:szCs w:val="24"/>
        </w:rPr>
        <w:t xml:space="preserve">SFC-licensed corporations </w:t>
      </w:r>
      <w:r w:rsidR="005E36C2" w:rsidRPr="002B0A5B">
        <w:rPr>
          <w:rFonts w:ascii="Cambria" w:hAnsi="Cambria"/>
          <w:sz w:val="24"/>
          <w:szCs w:val="24"/>
        </w:rPr>
        <w:t>appeared to have excluded the</w:t>
      </w:r>
      <w:r>
        <w:rPr>
          <w:rFonts w:ascii="Cambria" w:hAnsi="Cambria"/>
          <w:sz w:val="24"/>
          <w:szCs w:val="24"/>
        </w:rPr>
        <w:t>ir suitability obligations when</w:t>
      </w:r>
      <w:r w:rsidR="005E36C2" w:rsidRPr="002B0A5B">
        <w:rPr>
          <w:rFonts w:ascii="Cambria" w:hAnsi="Cambria"/>
          <w:sz w:val="24"/>
          <w:szCs w:val="24"/>
        </w:rPr>
        <w:t xml:space="preserve"> im</w:t>
      </w:r>
      <w:r>
        <w:rPr>
          <w:rFonts w:ascii="Cambria" w:hAnsi="Cambria"/>
          <w:sz w:val="24"/>
          <w:szCs w:val="24"/>
        </w:rPr>
        <w:t>plementing mechanisms purporting to fulfil</w:t>
      </w:r>
      <w:r w:rsidR="005E36C2" w:rsidRPr="002B0A5B">
        <w:rPr>
          <w:rFonts w:ascii="Cambria" w:hAnsi="Cambria"/>
          <w:sz w:val="24"/>
          <w:szCs w:val="24"/>
        </w:rPr>
        <w:t xml:space="preserve"> them by including clauses and statements in client agreements and risk disclosures, and requesting clients to </w:t>
      </w:r>
      <w:r w:rsidR="005E36C2" w:rsidRPr="002B0A5B">
        <w:rPr>
          <w:rFonts w:ascii="Cambria" w:hAnsi="Cambria"/>
          <w:sz w:val="24"/>
          <w:szCs w:val="24"/>
        </w:rPr>
        <w:lastRenderedPageBreak/>
        <w:t>make a blanket acknowledgment that no solicitation or recommendation was made by the</w:t>
      </w:r>
      <w:r>
        <w:rPr>
          <w:rFonts w:ascii="Cambria" w:hAnsi="Cambria"/>
          <w:sz w:val="24"/>
          <w:szCs w:val="24"/>
        </w:rPr>
        <w:t xml:space="preserve"> licensed corporation</w:t>
      </w:r>
      <w:r w:rsidR="005E36C2" w:rsidRPr="002B0A5B">
        <w:rPr>
          <w:rFonts w:ascii="Cambria" w:hAnsi="Cambria"/>
          <w:sz w:val="24"/>
          <w:szCs w:val="24"/>
        </w:rPr>
        <w:t xml:space="preserve">. This may </w:t>
      </w:r>
      <w:r w:rsidR="00CA080C">
        <w:rPr>
          <w:rFonts w:ascii="Cambria" w:hAnsi="Cambria"/>
          <w:sz w:val="24"/>
          <w:szCs w:val="24"/>
        </w:rPr>
        <w:t xml:space="preserve">constitute </w:t>
      </w:r>
      <w:r w:rsidR="005E36C2" w:rsidRPr="002B0A5B">
        <w:rPr>
          <w:rFonts w:ascii="Cambria" w:hAnsi="Cambria"/>
          <w:sz w:val="24"/>
          <w:szCs w:val="24"/>
        </w:rPr>
        <w:t xml:space="preserve">an attempt to </w:t>
      </w:r>
      <w:r w:rsidR="00A34823">
        <w:rPr>
          <w:rFonts w:ascii="Cambria" w:hAnsi="Cambria"/>
          <w:sz w:val="24"/>
          <w:szCs w:val="24"/>
        </w:rPr>
        <w:t>restrict clients’</w:t>
      </w:r>
      <w:r w:rsidR="00CA080C">
        <w:rPr>
          <w:rFonts w:ascii="Cambria" w:hAnsi="Cambria"/>
          <w:sz w:val="24"/>
          <w:szCs w:val="24"/>
        </w:rPr>
        <w:t xml:space="preserve"> rights, limit the obligations of SFC-licensed corporations</w:t>
      </w:r>
      <w:r w:rsidR="009F0670" w:rsidRPr="002B0A5B">
        <w:rPr>
          <w:rFonts w:ascii="Cambria" w:hAnsi="Cambria"/>
          <w:sz w:val="24"/>
          <w:szCs w:val="24"/>
        </w:rPr>
        <w:t xml:space="preserve">, or misdescribe </w:t>
      </w:r>
      <w:r w:rsidR="005E36C2" w:rsidRPr="002B0A5B">
        <w:rPr>
          <w:rFonts w:ascii="Cambria" w:hAnsi="Cambria"/>
          <w:sz w:val="24"/>
          <w:szCs w:val="24"/>
        </w:rPr>
        <w:t xml:space="preserve">the actual </w:t>
      </w:r>
      <w:r w:rsidR="00662AD5">
        <w:rPr>
          <w:rFonts w:ascii="Cambria" w:hAnsi="Cambria"/>
          <w:sz w:val="24"/>
          <w:szCs w:val="24"/>
        </w:rPr>
        <w:t xml:space="preserve">services offered to clients </w:t>
      </w:r>
      <w:r w:rsidR="006521A0">
        <w:rPr>
          <w:rFonts w:ascii="Cambria" w:hAnsi="Cambria"/>
          <w:sz w:val="24"/>
          <w:szCs w:val="24"/>
        </w:rPr>
        <w:t xml:space="preserve">in </w:t>
      </w:r>
      <w:r w:rsidR="00AD5E11">
        <w:rPr>
          <w:rFonts w:ascii="Cambria" w:hAnsi="Cambria"/>
          <w:sz w:val="24"/>
          <w:szCs w:val="24"/>
        </w:rPr>
        <w:t xml:space="preserve">breach of </w:t>
      </w:r>
      <w:r w:rsidR="00662AD5">
        <w:rPr>
          <w:rFonts w:ascii="Cambria" w:hAnsi="Cambria"/>
          <w:sz w:val="24"/>
          <w:szCs w:val="24"/>
        </w:rPr>
        <w:t>paragraph</w:t>
      </w:r>
      <w:r w:rsidR="00CA080C">
        <w:rPr>
          <w:rFonts w:ascii="Cambria" w:hAnsi="Cambria"/>
          <w:sz w:val="24"/>
          <w:szCs w:val="24"/>
        </w:rPr>
        <w:t>s</w:t>
      </w:r>
      <w:r w:rsidR="00662AD5">
        <w:rPr>
          <w:rFonts w:ascii="Cambria" w:hAnsi="Cambria"/>
          <w:sz w:val="24"/>
          <w:szCs w:val="24"/>
        </w:rPr>
        <w:t xml:space="preserve"> 6.3 and 6.5 of the </w:t>
      </w:r>
      <w:r w:rsidR="00CA080C">
        <w:rPr>
          <w:rFonts w:ascii="Cambria" w:hAnsi="Cambria"/>
          <w:sz w:val="24"/>
          <w:szCs w:val="24"/>
        </w:rPr>
        <w:t xml:space="preserve">SFC </w:t>
      </w:r>
      <w:r w:rsidR="00662AD5">
        <w:rPr>
          <w:rFonts w:ascii="Cambria" w:hAnsi="Cambria"/>
          <w:sz w:val="24"/>
          <w:szCs w:val="24"/>
        </w:rPr>
        <w:t xml:space="preserve">Code of Conduct. </w:t>
      </w:r>
    </w:p>
    <w:p w:rsidR="00CA080C" w:rsidRDefault="001F71ED" w:rsidP="002446B1">
      <w:pPr>
        <w:jc w:val="both"/>
        <w:rPr>
          <w:rFonts w:ascii="Cambria" w:hAnsi="Cambria"/>
          <w:sz w:val="24"/>
          <w:szCs w:val="24"/>
        </w:rPr>
      </w:pPr>
      <w:r>
        <w:rPr>
          <w:rFonts w:ascii="Cambria" w:hAnsi="Cambria"/>
          <w:sz w:val="24"/>
          <w:szCs w:val="24"/>
        </w:rPr>
        <w:t xml:space="preserve">Whether or not a solicitation or recommendation has been made is a question of fact which will be assessed based on the circumstances leading up to the point of sale or advice. The context (such as the manner of presentation) and content of product-specific materials posted on an online platform and the design and overall impression created by the online platform’s content will determine whether the suitability obligations are triggered (paragraph 5.3 of the </w:t>
      </w:r>
      <w:hyperlink r:id="rId15" w:history="1">
        <w:r w:rsidRPr="001F71ED">
          <w:rPr>
            <w:rStyle w:val="a6"/>
            <w:rFonts w:ascii="Cambria" w:hAnsi="Cambria"/>
            <w:sz w:val="24"/>
            <w:szCs w:val="24"/>
          </w:rPr>
          <w:t>SFC’s Guidelines on Online Distribution and Advisory Platforms</w:t>
        </w:r>
      </w:hyperlink>
      <w:r>
        <w:rPr>
          <w:rFonts w:ascii="Cambria" w:hAnsi="Cambria"/>
          <w:sz w:val="24"/>
          <w:szCs w:val="24"/>
        </w:rPr>
        <w:t xml:space="preserve">). </w:t>
      </w:r>
    </w:p>
    <w:p w:rsidR="00AD5E11" w:rsidRDefault="00AD5E11" w:rsidP="002446B1">
      <w:pPr>
        <w:jc w:val="both"/>
        <w:rPr>
          <w:rFonts w:ascii="Cambria" w:hAnsi="Cambria"/>
          <w:sz w:val="24"/>
          <w:szCs w:val="24"/>
        </w:rPr>
      </w:pPr>
      <w:r>
        <w:rPr>
          <w:rFonts w:ascii="Cambria" w:hAnsi="Cambria"/>
          <w:sz w:val="24"/>
          <w:szCs w:val="24"/>
        </w:rPr>
        <w:t xml:space="preserve">Clients should not be required to give blanket acknowledgements that no solicitation or recommendation has been made by the licensed corporation </w:t>
      </w:r>
      <w:r w:rsidR="006521A0">
        <w:rPr>
          <w:rFonts w:ascii="Cambria" w:hAnsi="Cambria"/>
          <w:sz w:val="24"/>
          <w:szCs w:val="24"/>
        </w:rPr>
        <w:t xml:space="preserve">if </w:t>
      </w:r>
      <w:r>
        <w:rPr>
          <w:rFonts w:ascii="Cambria" w:hAnsi="Cambria"/>
          <w:sz w:val="24"/>
          <w:szCs w:val="24"/>
        </w:rPr>
        <w:t xml:space="preserve">a solicitation or recommendation has in fact been made. Even </w:t>
      </w:r>
      <w:r w:rsidR="006521A0">
        <w:rPr>
          <w:rFonts w:ascii="Cambria" w:hAnsi="Cambria"/>
          <w:sz w:val="24"/>
          <w:szCs w:val="24"/>
        </w:rPr>
        <w:t xml:space="preserve">if </w:t>
      </w:r>
      <w:r>
        <w:rPr>
          <w:rFonts w:ascii="Cambria" w:hAnsi="Cambria"/>
          <w:sz w:val="24"/>
          <w:szCs w:val="24"/>
        </w:rPr>
        <w:t xml:space="preserve">no solicitation </w:t>
      </w:r>
      <w:r w:rsidR="006521A0">
        <w:rPr>
          <w:rFonts w:ascii="Cambria" w:hAnsi="Cambria"/>
          <w:sz w:val="24"/>
          <w:szCs w:val="24"/>
        </w:rPr>
        <w:t>or recommendation has been made</w:t>
      </w:r>
      <w:r>
        <w:rPr>
          <w:rFonts w:ascii="Cambria" w:hAnsi="Cambria"/>
          <w:sz w:val="24"/>
          <w:szCs w:val="24"/>
        </w:rPr>
        <w:t xml:space="preserve">, licensed corporations should </w:t>
      </w:r>
      <w:r w:rsidR="006521A0">
        <w:rPr>
          <w:rFonts w:ascii="Cambria" w:hAnsi="Cambria"/>
          <w:sz w:val="24"/>
          <w:szCs w:val="24"/>
        </w:rPr>
        <w:t>not state in client agreements or risk disclosure statements</w:t>
      </w:r>
      <w:r>
        <w:rPr>
          <w:rFonts w:ascii="Cambria" w:hAnsi="Cambria"/>
          <w:sz w:val="24"/>
          <w:szCs w:val="24"/>
        </w:rPr>
        <w:t xml:space="preserve"> that the information provided cannot be used as the basis for making investment decisions. Licensed corporations cannot limit clients’ rights to make an investment decision based on the information provided. </w:t>
      </w:r>
    </w:p>
    <w:p w:rsidR="00A301BF" w:rsidRPr="003C6966" w:rsidRDefault="002846B3" w:rsidP="002446B1">
      <w:pPr>
        <w:jc w:val="both"/>
        <w:rPr>
          <w:rFonts w:ascii="Cambria" w:hAnsi="Cambria"/>
          <w:b/>
          <w:sz w:val="24"/>
          <w:szCs w:val="24"/>
        </w:rPr>
      </w:pPr>
      <w:r w:rsidRPr="003C6966">
        <w:rPr>
          <w:rFonts w:ascii="Cambria" w:hAnsi="Cambria"/>
          <w:b/>
          <w:sz w:val="24"/>
          <w:szCs w:val="24"/>
        </w:rPr>
        <w:t xml:space="preserve">Insufficient product due diligence </w:t>
      </w:r>
      <w:r w:rsidR="00334F79" w:rsidRPr="003C6966">
        <w:rPr>
          <w:rFonts w:ascii="Cambria" w:hAnsi="Cambria"/>
          <w:b/>
          <w:sz w:val="24"/>
          <w:szCs w:val="24"/>
        </w:rPr>
        <w:t xml:space="preserve">on investment products </w:t>
      </w:r>
    </w:p>
    <w:p w:rsidR="00116D0E" w:rsidRDefault="00036DAE" w:rsidP="002446B1">
      <w:pPr>
        <w:jc w:val="both"/>
        <w:rPr>
          <w:rFonts w:ascii="Cambria" w:hAnsi="Cambria"/>
          <w:sz w:val="24"/>
          <w:szCs w:val="24"/>
        </w:rPr>
      </w:pPr>
      <w:r>
        <w:rPr>
          <w:rFonts w:ascii="Cambria" w:hAnsi="Cambria"/>
          <w:sz w:val="24"/>
          <w:szCs w:val="24"/>
        </w:rPr>
        <w:t>S</w:t>
      </w:r>
      <w:r w:rsidR="006521A0">
        <w:rPr>
          <w:rFonts w:ascii="Cambria" w:hAnsi="Cambria"/>
          <w:sz w:val="24"/>
          <w:szCs w:val="24"/>
        </w:rPr>
        <w:t xml:space="preserve">ome SFC-licensed corporations </w:t>
      </w:r>
      <w:r w:rsidR="002846B3" w:rsidRPr="002B0A5B">
        <w:rPr>
          <w:rFonts w:ascii="Cambria" w:hAnsi="Cambria"/>
          <w:sz w:val="24"/>
          <w:szCs w:val="24"/>
        </w:rPr>
        <w:t xml:space="preserve">failed to </w:t>
      </w:r>
      <w:r>
        <w:rPr>
          <w:rFonts w:ascii="Cambria" w:hAnsi="Cambria"/>
          <w:sz w:val="24"/>
          <w:szCs w:val="24"/>
        </w:rPr>
        <w:t xml:space="preserve">conduct </w:t>
      </w:r>
      <w:r w:rsidR="002846B3" w:rsidRPr="002B0A5B">
        <w:rPr>
          <w:rFonts w:ascii="Cambria" w:hAnsi="Cambria"/>
          <w:sz w:val="24"/>
          <w:szCs w:val="24"/>
        </w:rPr>
        <w:t xml:space="preserve">sufficient </w:t>
      </w:r>
      <w:r w:rsidR="006521A0">
        <w:rPr>
          <w:rFonts w:ascii="Cambria" w:hAnsi="Cambria"/>
          <w:sz w:val="24"/>
          <w:szCs w:val="24"/>
        </w:rPr>
        <w:t xml:space="preserve">product due diligence </w:t>
      </w:r>
      <w:r w:rsidR="002846B3" w:rsidRPr="002B0A5B">
        <w:rPr>
          <w:rFonts w:ascii="Cambria" w:hAnsi="Cambria"/>
          <w:sz w:val="24"/>
          <w:szCs w:val="24"/>
        </w:rPr>
        <w:t xml:space="preserve">to assess the key features and risks of </w:t>
      </w:r>
      <w:r>
        <w:rPr>
          <w:rFonts w:ascii="Cambria" w:hAnsi="Cambria"/>
          <w:sz w:val="24"/>
          <w:szCs w:val="24"/>
        </w:rPr>
        <w:t xml:space="preserve">investment </w:t>
      </w:r>
      <w:r w:rsidR="002846B3" w:rsidRPr="002B0A5B">
        <w:rPr>
          <w:rFonts w:ascii="Cambria" w:hAnsi="Cambria"/>
          <w:sz w:val="24"/>
          <w:szCs w:val="24"/>
        </w:rPr>
        <w:t xml:space="preserve">products </w:t>
      </w:r>
      <w:r w:rsidR="00346CE3">
        <w:rPr>
          <w:rFonts w:ascii="Cambria" w:hAnsi="Cambria"/>
          <w:sz w:val="24"/>
          <w:szCs w:val="24"/>
        </w:rPr>
        <w:t xml:space="preserve">to be made available on their platforms. The SFC reminds licensed corporations of the need to </w:t>
      </w:r>
      <w:r w:rsidR="00A34823">
        <w:rPr>
          <w:rFonts w:ascii="Cambria" w:hAnsi="Cambria"/>
          <w:sz w:val="24"/>
          <w:szCs w:val="24"/>
        </w:rPr>
        <w:t>conduct due diligence on investment products as required by</w:t>
      </w:r>
      <w:r w:rsidR="00346CE3">
        <w:rPr>
          <w:rFonts w:ascii="Cambria" w:hAnsi="Cambria"/>
          <w:sz w:val="24"/>
          <w:szCs w:val="24"/>
        </w:rPr>
        <w:t xml:space="preserve"> the </w:t>
      </w:r>
      <w:r w:rsidR="00346CE3" w:rsidRPr="00B66900">
        <w:rPr>
          <w:rFonts w:ascii="Cambria" w:hAnsi="Cambria"/>
          <w:sz w:val="24"/>
          <w:szCs w:val="24"/>
        </w:rPr>
        <w:t xml:space="preserve">answer to </w:t>
      </w:r>
      <w:hyperlink r:id="rId16" w:anchor="91597A38088043FD80864F6CAF7AF1EE" w:history="1">
        <w:r w:rsidR="00346CE3" w:rsidRPr="00B66900">
          <w:rPr>
            <w:rStyle w:val="a6"/>
            <w:rFonts w:ascii="Cambria" w:hAnsi="Cambria"/>
            <w:sz w:val="24"/>
            <w:szCs w:val="24"/>
          </w:rPr>
          <w:t>Question 4 of the SFC’s S</w:t>
        </w:r>
        <w:r w:rsidR="00B66900" w:rsidRPr="00B66900">
          <w:rPr>
            <w:rStyle w:val="a6"/>
            <w:rFonts w:ascii="Cambria" w:hAnsi="Cambria"/>
            <w:sz w:val="24"/>
            <w:szCs w:val="24"/>
          </w:rPr>
          <w:t>uitability FAQs</w:t>
        </w:r>
        <w:r w:rsidR="00346CE3" w:rsidRPr="00B66900">
          <w:rPr>
            <w:rStyle w:val="a6"/>
            <w:rFonts w:ascii="Cambria" w:hAnsi="Cambria"/>
            <w:sz w:val="24"/>
            <w:szCs w:val="24"/>
          </w:rPr>
          <w:t xml:space="preserve"> </w:t>
        </w:r>
        <w:r w:rsidR="00B66900" w:rsidRPr="00B66900">
          <w:rPr>
            <w:rStyle w:val="a6"/>
            <w:rFonts w:ascii="Cambria" w:hAnsi="Cambria"/>
            <w:sz w:val="24"/>
            <w:szCs w:val="24"/>
          </w:rPr>
          <w:t xml:space="preserve">on </w:t>
        </w:r>
        <w:r w:rsidR="00346CE3" w:rsidRPr="00B66900">
          <w:rPr>
            <w:rStyle w:val="a6"/>
            <w:rFonts w:ascii="Cambria" w:hAnsi="Cambria"/>
            <w:sz w:val="24"/>
            <w:szCs w:val="24"/>
          </w:rPr>
          <w:t>the conduct of due diligence on investment products</w:t>
        </w:r>
      </w:hyperlink>
      <w:r w:rsidR="00116D0E">
        <w:rPr>
          <w:rFonts w:ascii="Cambria" w:hAnsi="Cambria"/>
          <w:sz w:val="24"/>
          <w:szCs w:val="24"/>
        </w:rPr>
        <w:t xml:space="preserve"> and the </w:t>
      </w:r>
      <w:hyperlink r:id="rId17" w:history="1">
        <w:r w:rsidR="001A2EC7" w:rsidRPr="001A2EC7">
          <w:rPr>
            <w:rStyle w:val="a6"/>
            <w:rFonts w:ascii="Cambria" w:hAnsi="Cambria"/>
            <w:sz w:val="24"/>
            <w:szCs w:val="24"/>
          </w:rPr>
          <w:t>SFC’s Circular to intermediaries on distribution of complex and high-risk products</w:t>
        </w:r>
      </w:hyperlink>
      <w:r w:rsidR="001A2EC7" w:rsidRPr="001A2EC7">
        <w:rPr>
          <w:rFonts w:ascii="Cambria" w:hAnsi="Cambria"/>
          <w:sz w:val="24"/>
          <w:szCs w:val="24"/>
        </w:rPr>
        <w:t xml:space="preserve">. </w:t>
      </w:r>
    </w:p>
    <w:p w:rsidR="00334F79" w:rsidRPr="003C6966" w:rsidRDefault="00334F79" w:rsidP="002446B1">
      <w:pPr>
        <w:jc w:val="both"/>
        <w:rPr>
          <w:rFonts w:ascii="Cambria" w:hAnsi="Cambria"/>
          <w:b/>
          <w:sz w:val="24"/>
          <w:szCs w:val="24"/>
        </w:rPr>
      </w:pPr>
      <w:r w:rsidRPr="003C6966">
        <w:rPr>
          <w:rFonts w:ascii="Cambria" w:hAnsi="Cambria"/>
          <w:b/>
          <w:sz w:val="24"/>
          <w:szCs w:val="24"/>
        </w:rPr>
        <w:t>Failure to observe selling restrictions applicable to specific products</w:t>
      </w:r>
    </w:p>
    <w:p w:rsidR="002169CA" w:rsidRPr="00004C23" w:rsidRDefault="00116D0E" w:rsidP="002446B1">
      <w:pPr>
        <w:jc w:val="both"/>
        <w:rPr>
          <w:rFonts w:ascii="Cambria" w:hAnsi="Cambria"/>
          <w:i/>
          <w:sz w:val="24"/>
          <w:szCs w:val="24"/>
        </w:rPr>
      </w:pPr>
      <w:r>
        <w:rPr>
          <w:rFonts w:ascii="Cambria" w:hAnsi="Cambria"/>
          <w:sz w:val="24"/>
          <w:szCs w:val="24"/>
        </w:rPr>
        <w:t xml:space="preserve">The SFC also found that some SFC-licensed corporations failed to </w:t>
      </w:r>
      <w:r w:rsidR="00E84C97">
        <w:rPr>
          <w:rFonts w:ascii="Cambria" w:hAnsi="Cambria"/>
          <w:sz w:val="24"/>
          <w:szCs w:val="24"/>
        </w:rPr>
        <w:t>adhere to applicable</w:t>
      </w:r>
      <w:r w:rsidR="002846B3" w:rsidRPr="002B0A5B">
        <w:rPr>
          <w:rFonts w:ascii="Cambria" w:hAnsi="Cambria"/>
          <w:sz w:val="24"/>
          <w:szCs w:val="24"/>
        </w:rPr>
        <w:t xml:space="preserve"> selling restrictions</w:t>
      </w:r>
      <w:r w:rsidR="00334F79">
        <w:rPr>
          <w:rFonts w:ascii="Cambria" w:hAnsi="Cambria"/>
          <w:sz w:val="24"/>
          <w:szCs w:val="24"/>
        </w:rPr>
        <w:t xml:space="preserve"> and </w:t>
      </w:r>
      <w:r w:rsidR="00E84C97">
        <w:rPr>
          <w:rFonts w:ascii="Cambria" w:hAnsi="Cambria"/>
          <w:sz w:val="24"/>
          <w:szCs w:val="24"/>
        </w:rPr>
        <w:t xml:space="preserve">additional </w:t>
      </w:r>
      <w:r w:rsidR="00334F79">
        <w:rPr>
          <w:rFonts w:ascii="Cambria" w:hAnsi="Cambria"/>
          <w:sz w:val="24"/>
          <w:szCs w:val="24"/>
        </w:rPr>
        <w:t xml:space="preserve">regulatory requirements </w:t>
      </w:r>
      <w:r w:rsidR="00B66900">
        <w:rPr>
          <w:rFonts w:ascii="Cambria" w:hAnsi="Cambria"/>
          <w:sz w:val="24"/>
          <w:szCs w:val="24"/>
        </w:rPr>
        <w:t xml:space="preserve">when distributing </w:t>
      </w:r>
      <w:r w:rsidR="00334F79">
        <w:rPr>
          <w:rFonts w:ascii="Cambria" w:hAnsi="Cambria"/>
          <w:sz w:val="24"/>
          <w:szCs w:val="24"/>
        </w:rPr>
        <w:t>investment products not authorised by the SFC for retail distribution</w:t>
      </w:r>
      <w:r w:rsidR="00B66900">
        <w:rPr>
          <w:rFonts w:ascii="Cambria" w:hAnsi="Cambria"/>
          <w:sz w:val="24"/>
          <w:szCs w:val="24"/>
        </w:rPr>
        <w:t xml:space="preserve"> (</w:t>
      </w:r>
      <w:proofErr w:type="spellStart"/>
      <w:r w:rsidR="00B66900">
        <w:rPr>
          <w:rFonts w:ascii="Cambria" w:hAnsi="Cambria"/>
          <w:sz w:val="24"/>
          <w:szCs w:val="24"/>
        </w:rPr>
        <w:t>eg</w:t>
      </w:r>
      <w:proofErr w:type="spellEnd"/>
      <w:r w:rsidR="00B66900">
        <w:rPr>
          <w:rFonts w:ascii="Cambria" w:hAnsi="Cambria"/>
          <w:sz w:val="24"/>
          <w:szCs w:val="24"/>
        </w:rPr>
        <w:t xml:space="preserve"> private funds)</w:t>
      </w:r>
      <w:r w:rsidR="00334F79">
        <w:rPr>
          <w:rFonts w:ascii="Cambria" w:hAnsi="Cambria"/>
          <w:sz w:val="24"/>
          <w:szCs w:val="24"/>
        </w:rPr>
        <w:t>, com</w:t>
      </w:r>
      <w:r w:rsidR="00E84C97">
        <w:rPr>
          <w:rFonts w:ascii="Cambria" w:hAnsi="Cambria"/>
          <w:sz w:val="24"/>
          <w:szCs w:val="24"/>
        </w:rPr>
        <w:t>plex products and virtual asset-</w:t>
      </w:r>
      <w:r w:rsidR="00334F79">
        <w:rPr>
          <w:rFonts w:ascii="Cambria" w:hAnsi="Cambria"/>
          <w:sz w:val="24"/>
          <w:szCs w:val="24"/>
        </w:rPr>
        <w:t>related products</w:t>
      </w:r>
      <w:r w:rsidR="00B66900">
        <w:rPr>
          <w:rFonts w:ascii="Cambria" w:hAnsi="Cambria"/>
          <w:sz w:val="24"/>
          <w:szCs w:val="24"/>
        </w:rPr>
        <w:t xml:space="preserve">. SFC licensed corporations need to comply with the </w:t>
      </w:r>
      <w:hyperlink r:id="rId18" w:history="1">
        <w:r w:rsidR="00B66900" w:rsidRPr="00B66900">
          <w:rPr>
            <w:rStyle w:val="a6"/>
            <w:rFonts w:ascii="Cambria" w:hAnsi="Cambria"/>
            <w:sz w:val="24"/>
            <w:szCs w:val="24"/>
          </w:rPr>
          <w:t>SFC/HKMA Joint Circular on intermediaries’ virtual asset-related activities</w:t>
        </w:r>
      </w:hyperlink>
      <w:r w:rsidR="00E84C97">
        <w:rPr>
          <w:rFonts w:ascii="Cambria" w:hAnsi="Cambria"/>
          <w:sz w:val="24"/>
          <w:szCs w:val="24"/>
        </w:rPr>
        <w:t xml:space="preserve"> when distributing virtual asset-related products. </w:t>
      </w:r>
      <w:r w:rsidR="00B66900">
        <w:rPr>
          <w:rFonts w:ascii="Cambria" w:hAnsi="Cambria"/>
          <w:sz w:val="24"/>
          <w:szCs w:val="24"/>
        </w:rPr>
        <w:t xml:space="preserve">  </w:t>
      </w:r>
    </w:p>
    <w:p w:rsidR="002846B3" w:rsidRPr="003C6966" w:rsidRDefault="002846B3" w:rsidP="002446B1">
      <w:pPr>
        <w:jc w:val="both"/>
        <w:rPr>
          <w:rFonts w:ascii="Cambria" w:hAnsi="Cambria"/>
          <w:b/>
          <w:sz w:val="24"/>
          <w:szCs w:val="24"/>
        </w:rPr>
      </w:pPr>
      <w:r w:rsidRPr="003C6966">
        <w:rPr>
          <w:rFonts w:ascii="Cambria" w:hAnsi="Cambria"/>
          <w:b/>
          <w:sz w:val="24"/>
          <w:szCs w:val="24"/>
        </w:rPr>
        <w:t xml:space="preserve">Inadequate client risk profiling </w:t>
      </w:r>
    </w:p>
    <w:p w:rsidR="008163CD" w:rsidRDefault="002846B3" w:rsidP="002446B1">
      <w:pPr>
        <w:jc w:val="both"/>
        <w:rPr>
          <w:rFonts w:ascii="Cambria" w:hAnsi="Cambria"/>
          <w:sz w:val="24"/>
          <w:szCs w:val="24"/>
        </w:rPr>
      </w:pPr>
      <w:r w:rsidRPr="002B0A5B">
        <w:rPr>
          <w:rFonts w:ascii="Cambria" w:hAnsi="Cambria"/>
          <w:sz w:val="24"/>
          <w:szCs w:val="24"/>
        </w:rPr>
        <w:t xml:space="preserve">Certain </w:t>
      </w:r>
      <w:r w:rsidR="00E84C97">
        <w:rPr>
          <w:rFonts w:ascii="Cambria" w:hAnsi="Cambria"/>
          <w:sz w:val="24"/>
          <w:szCs w:val="24"/>
        </w:rPr>
        <w:t xml:space="preserve">SFC-licensed corporations </w:t>
      </w:r>
      <w:r w:rsidR="002169CA" w:rsidRPr="002B0A5B">
        <w:rPr>
          <w:rFonts w:ascii="Cambria" w:hAnsi="Cambria"/>
          <w:sz w:val="24"/>
          <w:szCs w:val="24"/>
        </w:rPr>
        <w:t>failed to</w:t>
      </w:r>
      <w:r w:rsidRPr="002B0A5B">
        <w:rPr>
          <w:rFonts w:ascii="Cambria" w:hAnsi="Cambria"/>
          <w:sz w:val="24"/>
          <w:szCs w:val="24"/>
        </w:rPr>
        <w:t xml:space="preserve"> </w:t>
      </w:r>
      <w:r w:rsidR="002169CA" w:rsidRPr="002B0A5B">
        <w:rPr>
          <w:rFonts w:ascii="Cambria" w:hAnsi="Cambria"/>
          <w:sz w:val="24"/>
          <w:szCs w:val="24"/>
        </w:rPr>
        <w:t>implement</w:t>
      </w:r>
      <w:r w:rsidRPr="002B0A5B">
        <w:rPr>
          <w:rFonts w:ascii="Cambria" w:hAnsi="Cambria"/>
          <w:sz w:val="24"/>
          <w:szCs w:val="24"/>
        </w:rPr>
        <w:t xml:space="preserve"> adequate measures to identify and </w:t>
      </w:r>
      <w:r w:rsidR="002169CA" w:rsidRPr="002B0A5B">
        <w:rPr>
          <w:rFonts w:ascii="Cambria" w:hAnsi="Cambria"/>
          <w:sz w:val="24"/>
          <w:szCs w:val="24"/>
        </w:rPr>
        <w:t xml:space="preserve">evaluate </w:t>
      </w:r>
      <w:r w:rsidRPr="002B0A5B">
        <w:rPr>
          <w:rFonts w:ascii="Cambria" w:hAnsi="Cambria"/>
          <w:sz w:val="24"/>
          <w:szCs w:val="24"/>
        </w:rPr>
        <w:t>inconsistent client information or to detect abnormal</w:t>
      </w:r>
      <w:r w:rsidR="00C34306">
        <w:rPr>
          <w:rFonts w:ascii="Cambria" w:hAnsi="Cambria"/>
          <w:sz w:val="24"/>
          <w:szCs w:val="24"/>
        </w:rPr>
        <w:t>ly</w:t>
      </w:r>
      <w:r w:rsidRPr="002B0A5B">
        <w:rPr>
          <w:rFonts w:ascii="Cambria" w:hAnsi="Cambria"/>
          <w:sz w:val="24"/>
          <w:szCs w:val="24"/>
        </w:rPr>
        <w:t xml:space="preserve"> frequent </w:t>
      </w:r>
      <w:r w:rsidR="002169CA" w:rsidRPr="002B0A5B">
        <w:rPr>
          <w:rFonts w:ascii="Cambria" w:hAnsi="Cambria"/>
          <w:sz w:val="24"/>
          <w:szCs w:val="24"/>
        </w:rPr>
        <w:t>modifications to</w:t>
      </w:r>
      <w:r w:rsidR="00E84C97">
        <w:rPr>
          <w:rFonts w:ascii="Cambria" w:hAnsi="Cambria"/>
          <w:sz w:val="24"/>
          <w:szCs w:val="24"/>
        </w:rPr>
        <w:t xml:space="preserve"> client</w:t>
      </w:r>
      <w:r w:rsidRPr="002B0A5B">
        <w:rPr>
          <w:rFonts w:ascii="Cambria" w:hAnsi="Cambria"/>
          <w:sz w:val="24"/>
          <w:szCs w:val="24"/>
        </w:rPr>
        <w:t>s</w:t>
      </w:r>
      <w:r w:rsidR="00E84C97">
        <w:rPr>
          <w:rFonts w:ascii="Cambria" w:hAnsi="Cambria"/>
          <w:sz w:val="24"/>
          <w:szCs w:val="24"/>
        </w:rPr>
        <w:t>’</w:t>
      </w:r>
      <w:r w:rsidRPr="002B0A5B">
        <w:rPr>
          <w:rFonts w:ascii="Cambria" w:hAnsi="Cambria"/>
          <w:sz w:val="24"/>
          <w:szCs w:val="24"/>
        </w:rPr>
        <w:t xml:space="preserve"> risk profile questionnaire</w:t>
      </w:r>
      <w:r w:rsidR="00E84C97">
        <w:rPr>
          <w:rFonts w:ascii="Cambria" w:hAnsi="Cambria"/>
          <w:sz w:val="24"/>
          <w:szCs w:val="24"/>
        </w:rPr>
        <w:t>s</w:t>
      </w:r>
      <w:r w:rsidRPr="002B0A5B">
        <w:rPr>
          <w:rFonts w:ascii="Cambria" w:hAnsi="Cambria"/>
          <w:sz w:val="24"/>
          <w:szCs w:val="24"/>
        </w:rPr>
        <w:t xml:space="preserve"> during the know-your-client process. </w:t>
      </w:r>
      <w:r w:rsidR="00E84C97">
        <w:rPr>
          <w:rFonts w:ascii="Cambria" w:hAnsi="Cambria"/>
          <w:sz w:val="24"/>
          <w:szCs w:val="24"/>
        </w:rPr>
        <w:t>O</w:t>
      </w:r>
      <w:r w:rsidR="002D78D9" w:rsidRPr="002B0A5B">
        <w:rPr>
          <w:rFonts w:ascii="Cambria" w:hAnsi="Cambria"/>
          <w:sz w:val="24"/>
          <w:szCs w:val="24"/>
        </w:rPr>
        <w:t xml:space="preserve">ne </w:t>
      </w:r>
      <w:r w:rsidR="00A34823">
        <w:rPr>
          <w:rFonts w:ascii="Cambria" w:hAnsi="Cambria"/>
          <w:sz w:val="24"/>
          <w:szCs w:val="24"/>
        </w:rPr>
        <w:t xml:space="preserve">extreme </w:t>
      </w:r>
      <w:r w:rsidR="002D78D9" w:rsidRPr="002B0A5B">
        <w:rPr>
          <w:rFonts w:ascii="Cambria" w:hAnsi="Cambria"/>
          <w:sz w:val="24"/>
          <w:szCs w:val="24"/>
        </w:rPr>
        <w:t xml:space="preserve">case </w:t>
      </w:r>
      <w:r w:rsidR="00E84C97">
        <w:rPr>
          <w:rFonts w:ascii="Cambria" w:hAnsi="Cambria"/>
          <w:sz w:val="24"/>
          <w:szCs w:val="24"/>
        </w:rPr>
        <w:t xml:space="preserve">involved </w:t>
      </w:r>
      <w:r w:rsidR="002D78D9" w:rsidRPr="002B0A5B">
        <w:rPr>
          <w:rFonts w:ascii="Cambria" w:hAnsi="Cambria"/>
          <w:sz w:val="24"/>
          <w:szCs w:val="24"/>
        </w:rPr>
        <w:t xml:space="preserve">a </w:t>
      </w:r>
      <w:r w:rsidR="00E84C97">
        <w:rPr>
          <w:rFonts w:ascii="Cambria" w:hAnsi="Cambria"/>
          <w:sz w:val="24"/>
          <w:szCs w:val="24"/>
        </w:rPr>
        <w:t>licensed corporation which failed</w:t>
      </w:r>
      <w:r w:rsidRPr="002B0A5B">
        <w:rPr>
          <w:rFonts w:ascii="Cambria" w:hAnsi="Cambria"/>
          <w:sz w:val="24"/>
          <w:szCs w:val="24"/>
        </w:rPr>
        <w:t xml:space="preserve"> to prevent an investor from revising, or detect that an investor had revised, the risk profile questionnaire eight times within one hour and provided inconsistent information in each</w:t>
      </w:r>
      <w:r w:rsidR="002D78D9" w:rsidRPr="002B0A5B">
        <w:rPr>
          <w:rFonts w:ascii="Cambria" w:hAnsi="Cambria"/>
          <w:sz w:val="24"/>
          <w:szCs w:val="24"/>
        </w:rPr>
        <w:t xml:space="preserve"> round of update. In the end, the investor was successful in obtaining a higher risk tolerance classification </w:t>
      </w:r>
      <w:r w:rsidR="00E84C97">
        <w:rPr>
          <w:rFonts w:ascii="Cambria" w:hAnsi="Cambria"/>
          <w:sz w:val="24"/>
          <w:szCs w:val="24"/>
        </w:rPr>
        <w:t xml:space="preserve">and </w:t>
      </w:r>
      <w:r w:rsidR="002D78D9" w:rsidRPr="002B0A5B">
        <w:rPr>
          <w:rFonts w:ascii="Cambria" w:hAnsi="Cambria"/>
          <w:sz w:val="24"/>
          <w:szCs w:val="24"/>
        </w:rPr>
        <w:t xml:space="preserve">purchasing investment products rated </w:t>
      </w:r>
      <w:r w:rsidR="00E84C97">
        <w:rPr>
          <w:rFonts w:ascii="Cambria" w:hAnsi="Cambria"/>
          <w:sz w:val="24"/>
          <w:szCs w:val="24"/>
        </w:rPr>
        <w:t xml:space="preserve">as </w:t>
      </w:r>
      <w:r w:rsidR="002D78D9" w:rsidRPr="002B0A5B">
        <w:rPr>
          <w:rFonts w:ascii="Cambria" w:hAnsi="Cambria"/>
          <w:sz w:val="24"/>
          <w:szCs w:val="24"/>
        </w:rPr>
        <w:t>higher risk.</w:t>
      </w:r>
      <w:r w:rsidR="008163CD">
        <w:rPr>
          <w:rFonts w:ascii="Cambria" w:hAnsi="Cambria"/>
          <w:sz w:val="24"/>
          <w:szCs w:val="24"/>
        </w:rPr>
        <w:t xml:space="preserve"> </w:t>
      </w:r>
    </w:p>
    <w:p w:rsidR="008163CD" w:rsidRDefault="008163CD" w:rsidP="002446B1">
      <w:pPr>
        <w:jc w:val="both"/>
        <w:rPr>
          <w:rFonts w:ascii="Cambria" w:hAnsi="Cambria"/>
          <w:sz w:val="24"/>
          <w:szCs w:val="24"/>
        </w:rPr>
      </w:pPr>
      <w:r>
        <w:rPr>
          <w:rFonts w:ascii="Cambria" w:hAnsi="Cambria"/>
          <w:sz w:val="24"/>
          <w:szCs w:val="24"/>
        </w:rPr>
        <w:t xml:space="preserve">The SFC reminds licensed corporations of their obligations </w:t>
      </w:r>
      <w:r w:rsidR="004E3E77">
        <w:rPr>
          <w:rFonts w:ascii="Cambria" w:hAnsi="Cambria"/>
          <w:sz w:val="24"/>
          <w:szCs w:val="24"/>
        </w:rPr>
        <w:t xml:space="preserve">under </w:t>
      </w:r>
      <w:hyperlink r:id="rId19" w:history="1">
        <w:r w:rsidR="004E3E77" w:rsidRPr="00004C23">
          <w:rPr>
            <w:rStyle w:val="a6"/>
            <w:rFonts w:ascii="Cambria" w:hAnsi="Cambria"/>
            <w:sz w:val="24"/>
            <w:szCs w:val="24"/>
          </w:rPr>
          <w:t>the Guidelines on Online Distribution and Advisory Platforms</w:t>
        </w:r>
      </w:hyperlink>
      <w:r w:rsidR="004E3E77">
        <w:rPr>
          <w:rStyle w:val="a6"/>
          <w:rFonts w:ascii="Cambria" w:hAnsi="Cambria"/>
          <w:sz w:val="24"/>
          <w:szCs w:val="24"/>
        </w:rPr>
        <w:t xml:space="preserve"> </w:t>
      </w:r>
      <w:r>
        <w:rPr>
          <w:rFonts w:ascii="Cambria" w:hAnsi="Cambria"/>
          <w:sz w:val="24"/>
          <w:szCs w:val="24"/>
        </w:rPr>
        <w:t>to:</w:t>
      </w:r>
    </w:p>
    <w:p w:rsidR="00A301BF" w:rsidRDefault="008163CD" w:rsidP="008163CD">
      <w:pPr>
        <w:pStyle w:val="a7"/>
        <w:numPr>
          <w:ilvl w:val="0"/>
          <w:numId w:val="12"/>
        </w:numPr>
        <w:jc w:val="both"/>
        <w:rPr>
          <w:rFonts w:ascii="Cambria" w:hAnsi="Cambria"/>
          <w:sz w:val="24"/>
          <w:szCs w:val="24"/>
        </w:rPr>
      </w:pPr>
      <w:r>
        <w:rPr>
          <w:rFonts w:ascii="Cambria" w:hAnsi="Cambria"/>
          <w:sz w:val="24"/>
          <w:szCs w:val="24"/>
        </w:rPr>
        <w:lastRenderedPageBreak/>
        <w:t>exercise due skill, care and diligence in ensuring the methodology for risk profiling clients is properly designed;</w:t>
      </w:r>
    </w:p>
    <w:p w:rsidR="008163CD" w:rsidRDefault="008163CD" w:rsidP="008163CD">
      <w:pPr>
        <w:pStyle w:val="a7"/>
        <w:ind w:left="778"/>
        <w:jc w:val="both"/>
        <w:rPr>
          <w:rFonts w:ascii="Cambria" w:hAnsi="Cambria"/>
          <w:sz w:val="24"/>
          <w:szCs w:val="24"/>
        </w:rPr>
      </w:pPr>
    </w:p>
    <w:p w:rsidR="008163CD" w:rsidRDefault="008163CD" w:rsidP="008163CD">
      <w:pPr>
        <w:pStyle w:val="a7"/>
        <w:numPr>
          <w:ilvl w:val="0"/>
          <w:numId w:val="12"/>
        </w:numPr>
        <w:jc w:val="both"/>
        <w:rPr>
          <w:rFonts w:ascii="Cambria" w:hAnsi="Cambria"/>
          <w:sz w:val="24"/>
          <w:szCs w:val="24"/>
        </w:rPr>
      </w:pPr>
      <w:r>
        <w:rPr>
          <w:rFonts w:ascii="Cambria" w:hAnsi="Cambria"/>
          <w:sz w:val="24"/>
          <w:szCs w:val="24"/>
        </w:rPr>
        <w:t>establish appropriate governance and supervisory mechanisms for the client profiling tool provided on their online platforms and identify the key elements of information required to accurately profile clients;</w:t>
      </w:r>
      <w:r w:rsidR="004E3E77">
        <w:rPr>
          <w:rFonts w:ascii="Cambria" w:hAnsi="Cambria"/>
          <w:sz w:val="24"/>
          <w:szCs w:val="24"/>
        </w:rPr>
        <w:t xml:space="preserve"> and</w:t>
      </w:r>
    </w:p>
    <w:p w:rsidR="008163CD" w:rsidRDefault="008163CD" w:rsidP="008163CD">
      <w:pPr>
        <w:pStyle w:val="a7"/>
        <w:ind w:left="778"/>
        <w:jc w:val="both"/>
        <w:rPr>
          <w:rFonts w:ascii="Cambria" w:hAnsi="Cambria"/>
          <w:sz w:val="24"/>
          <w:szCs w:val="24"/>
        </w:rPr>
      </w:pPr>
    </w:p>
    <w:p w:rsidR="008163CD" w:rsidRDefault="008163CD" w:rsidP="008163CD">
      <w:pPr>
        <w:pStyle w:val="a7"/>
        <w:numPr>
          <w:ilvl w:val="0"/>
          <w:numId w:val="12"/>
        </w:numPr>
        <w:jc w:val="both"/>
        <w:rPr>
          <w:rFonts w:ascii="Cambria" w:hAnsi="Cambria"/>
          <w:sz w:val="24"/>
          <w:szCs w:val="24"/>
        </w:rPr>
      </w:pPr>
      <w:r>
        <w:rPr>
          <w:rFonts w:ascii="Cambria" w:hAnsi="Cambria"/>
          <w:sz w:val="24"/>
          <w:szCs w:val="24"/>
        </w:rPr>
        <w:t>have a mechanism to detect</w:t>
      </w:r>
      <w:r w:rsidR="004E3E77">
        <w:rPr>
          <w:rFonts w:ascii="Cambria" w:hAnsi="Cambria"/>
          <w:sz w:val="24"/>
          <w:szCs w:val="24"/>
        </w:rPr>
        <w:t xml:space="preserve"> inconsistencies in the answers provided by clients in an online client profiling tool.</w:t>
      </w:r>
    </w:p>
    <w:p w:rsidR="004E3E77" w:rsidRPr="004E3E77" w:rsidRDefault="004E3E77" w:rsidP="00C34306">
      <w:pPr>
        <w:jc w:val="both"/>
        <w:rPr>
          <w:rFonts w:ascii="Cambria" w:hAnsi="Cambria"/>
          <w:sz w:val="24"/>
          <w:szCs w:val="24"/>
        </w:rPr>
      </w:pPr>
      <w:r>
        <w:rPr>
          <w:rFonts w:ascii="Cambria" w:hAnsi="Cambria"/>
          <w:sz w:val="24"/>
          <w:szCs w:val="24"/>
        </w:rPr>
        <w:t>Where clients provide inconsistent or incomplete information, licensed corporations should inform the client and seek clarification before conducting the suitability assessment (</w:t>
      </w:r>
      <w:hyperlink r:id="rId20" w:anchor="759450F3651D4BBF8AAA2F39C9F2BE88" w:history="1">
        <w:r w:rsidRPr="00C34306">
          <w:rPr>
            <w:rStyle w:val="a6"/>
            <w:rFonts w:ascii="Cambria" w:hAnsi="Cambria"/>
            <w:sz w:val="24"/>
            <w:szCs w:val="24"/>
          </w:rPr>
          <w:t>Answer to Question 2 of the SFC’s FAQs on Compliance with Suitability Obligations by Licensed or Registered Persons</w:t>
        </w:r>
      </w:hyperlink>
      <w:r>
        <w:rPr>
          <w:rFonts w:ascii="Cambria" w:hAnsi="Cambria"/>
          <w:sz w:val="24"/>
          <w:szCs w:val="24"/>
        </w:rPr>
        <w:t>)</w:t>
      </w:r>
      <w:r w:rsidR="00C34306">
        <w:rPr>
          <w:rFonts w:ascii="Cambria" w:hAnsi="Cambria"/>
          <w:sz w:val="24"/>
          <w:szCs w:val="24"/>
        </w:rPr>
        <w:t>.</w:t>
      </w:r>
      <w:r>
        <w:rPr>
          <w:rFonts w:ascii="Cambria" w:hAnsi="Cambria"/>
          <w:sz w:val="24"/>
          <w:szCs w:val="24"/>
        </w:rPr>
        <w:t xml:space="preserve"> </w:t>
      </w:r>
      <w:r w:rsidR="00C34306">
        <w:rPr>
          <w:rFonts w:ascii="Cambria" w:hAnsi="Cambria"/>
          <w:sz w:val="24"/>
          <w:szCs w:val="24"/>
        </w:rPr>
        <w:t xml:space="preserve">The SFC also states in its report that licensed corporations should have measures to identify abnormally frequent changes to client profiles and notes that some licensed corporations set a daily limit on the number of times a </w:t>
      </w:r>
      <w:r w:rsidR="00C34306" w:rsidRPr="002B0A5B">
        <w:rPr>
          <w:rFonts w:ascii="Cambria" w:hAnsi="Cambria"/>
          <w:sz w:val="24"/>
          <w:szCs w:val="24"/>
        </w:rPr>
        <w:t>risk profile questionnaire</w:t>
      </w:r>
      <w:r w:rsidR="00C34306">
        <w:rPr>
          <w:rFonts w:ascii="Cambria" w:hAnsi="Cambria"/>
          <w:sz w:val="24"/>
          <w:szCs w:val="24"/>
        </w:rPr>
        <w:t xml:space="preserve"> can be updated. </w:t>
      </w:r>
    </w:p>
    <w:p w:rsidR="00FF1431" w:rsidRPr="003C6966" w:rsidRDefault="00FF1431" w:rsidP="002446B1">
      <w:pPr>
        <w:jc w:val="both"/>
        <w:rPr>
          <w:rFonts w:ascii="Cambria" w:hAnsi="Cambria"/>
          <w:b/>
          <w:sz w:val="24"/>
          <w:szCs w:val="24"/>
        </w:rPr>
      </w:pPr>
      <w:r w:rsidRPr="003C6966">
        <w:rPr>
          <w:rFonts w:ascii="Cambria" w:hAnsi="Cambria"/>
          <w:b/>
          <w:sz w:val="24"/>
          <w:szCs w:val="24"/>
        </w:rPr>
        <w:t>Lack of monitoring of information and commentaries posted on platforms</w:t>
      </w:r>
    </w:p>
    <w:p w:rsidR="00FF1431" w:rsidRPr="002B0A5B" w:rsidRDefault="00484686" w:rsidP="002446B1">
      <w:pPr>
        <w:jc w:val="both"/>
        <w:rPr>
          <w:rFonts w:ascii="Cambria" w:hAnsi="Cambria"/>
          <w:sz w:val="24"/>
          <w:szCs w:val="24"/>
        </w:rPr>
      </w:pPr>
      <w:r>
        <w:rPr>
          <w:rFonts w:ascii="Cambria" w:hAnsi="Cambria"/>
          <w:sz w:val="24"/>
          <w:szCs w:val="24"/>
        </w:rPr>
        <w:t>T</w:t>
      </w:r>
      <w:r w:rsidR="00FF1431" w:rsidRPr="002B0A5B">
        <w:rPr>
          <w:rFonts w:ascii="Cambria" w:hAnsi="Cambria"/>
          <w:sz w:val="24"/>
          <w:szCs w:val="24"/>
        </w:rPr>
        <w:t xml:space="preserve">he </w:t>
      </w:r>
      <w:r>
        <w:rPr>
          <w:rFonts w:ascii="Cambria" w:hAnsi="Cambria"/>
          <w:sz w:val="24"/>
          <w:szCs w:val="24"/>
        </w:rPr>
        <w:t>SFC’s review</w:t>
      </w:r>
      <w:r w:rsidR="00FF1431" w:rsidRPr="002B0A5B">
        <w:rPr>
          <w:rFonts w:ascii="Cambria" w:hAnsi="Cambria"/>
          <w:sz w:val="24"/>
          <w:szCs w:val="24"/>
        </w:rPr>
        <w:t xml:space="preserve"> identified </w:t>
      </w:r>
      <w:r w:rsidR="003C6966">
        <w:rPr>
          <w:rFonts w:ascii="Cambria" w:hAnsi="Cambria"/>
          <w:sz w:val="24"/>
          <w:szCs w:val="24"/>
        </w:rPr>
        <w:t xml:space="preserve">one licensed corporation </w:t>
      </w:r>
      <w:r w:rsidR="00E2534A">
        <w:rPr>
          <w:rFonts w:ascii="Cambria" w:hAnsi="Cambria"/>
          <w:sz w:val="24"/>
          <w:szCs w:val="24"/>
        </w:rPr>
        <w:t>which failed</w:t>
      </w:r>
      <w:r w:rsidR="00FF1431" w:rsidRPr="002B0A5B">
        <w:rPr>
          <w:rFonts w:ascii="Cambria" w:hAnsi="Cambria"/>
          <w:sz w:val="24"/>
          <w:szCs w:val="24"/>
        </w:rPr>
        <w:t xml:space="preserve"> to implement proper monitoring mechanisms in reviewing information </w:t>
      </w:r>
      <w:r w:rsidR="003C6966">
        <w:rPr>
          <w:rFonts w:ascii="Cambria" w:hAnsi="Cambria"/>
          <w:sz w:val="24"/>
          <w:szCs w:val="24"/>
        </w:rPr>
        <w:t xml:space="preserve">and commentaries posted by the licensed corporation </w:t>
      </w:r>
      <w:r w:rsidR="00FF1431" w:rsidRPr="002B0A5B">
        <w:rPr>
          <w:rFonts w:ascii="Cambria" w:hAnsi="Cambria"/>
          <w:sz w:val="24"/>
          <w:szCs w:val="24"/>
        </w:rPr>
        <w:t>or its affiliates on the online platform so as to ensure that they are accurate and not misleading.</w:t>
      </w:r>
    </w:p>
    <w:p w:rsidR="003D3F5C" w:rsidRDefault="00222EDF" w:rsidP="00004C23">
      <w:pPr>
        <w:jc w:val="both"/>
        <w:rPr>
          <w:rFonts w:ascii="Cambria" w:hAnsi="Cambria"/>
          <w:sz w:val="24"/>
          <w:szCs w:val="24"/>
        </w:rPr>
      </w:pPr>
      <w:r>
        <w:rPr>
          <w:rFonts w:ascii="Cambria" w:hAnsi="Cambria"/>
          <w:sz w:val="24"/>
          <w:szCs w:val="24"/>
        </w:rPr>
        <w:t>Licensed corporations</w:t>
      </w:r>
      <w:r w:rsidR="00FF1431" w:rsidRPr="002B0A5B">
        <w:rPr>
          <w:rFonts w:ascii="Cambria" w:hAnsi="Cambria"/>
          <w:sz w:val="24"/>
          <w:szCs w:val="24"/>
        </w:rPr>
        <w:t xml:space="preserve"> that </w:t>
      </w:r>
      <w:r>
        <w:rPr>
          <w:rFonts w:ascii="Cambria" w:hAnsi="Cambria"/>
          <w:sz w:val="24"/>
          <w:szCs w:val="24"/>
        </w:rPr>
        <w:t>provide</w:t>
      </w:r>
      <w:r w:rsidR="00FF1431" w:rsidRPr="002B0A5B">
        <w:rPr>
          <w:rFonts w:ascii="Cambria" w:hAnsi="Cambria"/>
          <w:sz w:val="24"/>
          <w:szCs w:val="24"/>
        </w:rPr>
        <w:t xml:space="preserve"> order execu</w:t>
      </w:r>
      <w:r w:rsidR="005A6DA5" w:rsidRPr="002B0A5B">
        <w:rPr>
          <w:rFonts w:ascii="Cambria" w:hAnsi="Cambria"/>
          <w:sz w:val="24"/>
          <w:szCs w:val="24"/>
        </w:rPr>
        <w:t xml:space="preserve">tion, distribution or advisory </w:t>
      </w:r>
      <w:r w:rsidR="00FF1431" w:rsidRPr="002B0A5B">
        <w:rPr>
          <w:rFonts w:ascii="Cambria" w:hAnsi="Cambria"/>
          <w:sz w:val="24"/>
          <w:szCs w:val="24"/>
        </w:rPr>
        <w:t>services</w:t>
      </w:r>
      <w:r w:rsidR="00004C23">
        <w:rPr>
          <w:rFonts w:ascii="Cambria" w:hAnsi="Cambria"/>
          <w:sz w:val="24"/>
          <w:szCs w:val="24"/>
        </w:rPr>
        <w:t xml:space="preserve"> </w:t>
      </w:r>
      <w:r>
        <w:rPr>
          <w:rFonts w:ascii="Cambria" w:hAnsi="Cambria"/>
          <w:sz w:val="24"/>
          <w:szCs w:val="24"/>
        </w:rPr>
        <w:t>(including</w:t>
      </w:r>
      <w:r w:rsidR="00004C23">
        <w:rPr>
          <w:rFonts w:ascii="Cambria" w:hAnsi="Cambria"/>
          <w:sz w:val="24"/>
          <w:szCs w:val="24"/>
        </w:rPr>
        <w:t xml:space="preserve"> </w:t>
      </w:r>
      <w:r>
        <w:rPr>
          <w:rFonts w:ascii="Cambria" w:hAnsi="Cambria"/>
          <w:sz w:val="24"/>
          <w:szCs w:val="24"/>
        </w:rPr>
        <w:t xml:space="preserve">advisory </w:t>
      </w:r>
      <w:r w:rsidR="00004C23" w:rsidRPr="00004C23">
        <w:rPr>
          <w:rFonts w:ascii="Cambria" w:hAnsi="Cambria"/>
          <w:sz w:val="24"/>
          <w:szCs w:val="24"/>
        </w:rPr>
        <w:t xml:space="preserve">services provided on a discretionary </w:t>
      </w:r>
      <w:r w:rsidR="00004C23">
        <w:rPr>
          <w:rFonts w:ascii="Cambria" w:hAnsi="Cambria"/>
          <w:sz w:val="24"/>
          <w:szCs w:val="24"/>
        </w:rPr>
        <w:t>basis and automated/</w:t>
      </w:r>
      <w:r w:rsidR="00004C23" w:rsidRPr="00004C23">
        <w:rPr>
          <w:rFonts w:ascii="Cambria" w:hAnsi="Cambria"/>
          <w:sz w:val="24"/>
          <w:szCs w:val="24"/>
        </w:rPr>
        <w:t>robo-advice</w:t>
      </w:r>
      <w:r>
        <w:rPr>
          <w:rFonts w:ascii="Cambria" w:hAnsi="Cambria"/>
          <w:sz w:val="24"/>
          <w:szCs w:val="24"/>
        </w:rPr>
        <w:t>)</w:t>
      </w:r>
      <w:r w:rsidR="00004C23" w:rsidRPr="00004C23">
        <w:rPr>
          <w:rFonts w:ascii="Cambria" w:hAnsi="Cambria"/>
          <w:sz w:val="24"/>
          <w:szCs w:val="24"/>
        </w:rPr>
        <w:t xml:space="preserve"> </w:t>
      </w:r>
      <w:r w:rsidR="00FF1431" w:rsidRPr="00004C23">
        <w:rPr>
          <w:rFonts w:ascii="Cambria" w:hAnsi="Cambria"/>
          <w:sz w:val="24"/>
          <w:szCs w:val="24"/>
        </w:rPr>
        <w:t xml:space="preserve">in respect of investment products via online platforms are reminded to adhere to </w:t>
      </w:r>
      <w:hyperlink r:id="rId21" w:history="1">
        <w:r w:rsidR="00FF1431" w:rsidRPr="00004C23">
          <w:rPr>
            <w:rStyle w:val="a6"/>
            <w:rFonts w:ascii="Cambria" w:hAnsi="Cambria"/>
            <w:sz w:val="24"/>
            <w:szCs w:val="24"/>
          </w:rPr>
          <w:t>the Guidelines on Online Distribution and Advisory Platforms</w:t>
        </w:r>
      </w:hyperlink>
      <w:r w:rsidR="00FF1431" w:rsidRPr="00004C23">
        <w:rPr>
          <w:rFonts w:ascii="Cambria" w:hAnsi="Cambria"/>
          <w:sz w:val="24"/>
          <w:szCs w:val="24"/>
        </w:rPr>
        <w:t xml:space="preserve"> and</w:t>
      </w:r>
      <w:r w:rsidR="00004C23" w:rsidRPr="00004C23">
        <w:rPr>
          <w:rFonts w:ascii="Cambria" w:hAnsi="Cambria"/>
          <w:sz w:val="24"/>
          <w:szCs w:val="24"/>
        </w:rPr>
        <w:t xml:space="preserve"> related</w:t>
      </w:r>
      <w:r w:rsidR="00FF1431" w:rsidRPr="00004C23">
        <w:rPr>
          <w:rFonts w:ascii="Cambria" w:hAnsi="Cambria"/>
          <w:sz w:val="24"/>
          <w:szCs w:val="24"/>
        </w:rPr>
        <w:t xml:space="preserve"> </w:t>
      </w:r>
      <w:hyperlink r:id="rId22" w:history="1">
        <w:r w:rsidR="00FF1431" w:rsidRPr="003D3F5C">
          <w:rPr>
            <w:rStyle w:val="a6"/>
            <w:rFonts w:ascii="Cambria" w:hAnsi="Cambria"/>
            <w:sz w:val="24"/>
            <w:szCs w:val="24"/>
          </w:rPr>
          <w:t>Frequently</w:t>
        </w:r>
        <w:r w:rsidRPr="003D3F5C">
          <w:rPr>
            <w:rStyle w:val="a6"/>
            <w:rFonts w:ascii="Cambria" w:hAnsi="Cambria"/>
            <w:sz w:val="24"/>
            <w:szCs w:val="24"/>
          </w:rPr>
          <w:t xml:space="preserve"> Asked Questions</w:t>
        </w:r>
      </w:hyperlink>
      <w:r w:rsidR="00FF1431" w:rsidRPr="00004C23">
        <w:rPr>
          <w:rFonts w:ascii="Cambria" w:hAnsi="Cambria"/>
          <w:sz w:val="24"/>
          <w:szCs w:val="24"/>
        </w:rPr>
        <w:t>.</w:t>
      </w:r>
      <w:r w:rsidR="005A6DA5" w:rsidRPr="002B0A5B">
        <w:rPr>
          <w:rFonts w:ascii="Cambria" w:hAnsi="Cambria"/>
          <w:sz w:val="24"/>
          <w:szCs w:val="24"/>
        </w:rPr>
        <w:t xml:space="preserve"> </w:t>
      </w:r>
    </w:p>
    <w:p w:rsidR="00A301BF" w:rsidRPr="00004C23" w:rsidRDefault="005A6DA5" w:rsidP="00004C23">
      <w:pPr>
        <w:jc w:val="both"/>
        <w:rPr>
          <w:rFonts w:ascii="Cambria" w:hAnsi="Cambria"/>
          <w:sz w:val="24"/>
          <w:szCs w:val="24"/>
        </w:rPr>
      </w:pPr>
      <w:r w:rsidRPr="002B0A5B">
        <w:rPr>
          <w:rFonts w:ascii="Cambria" w:hAnsi="Cambria"/>
          <w:sz w:val="24"/>
          <w:szCs w:val="24"/>
        </w:rPr>
        <w:t xml:space="preserve">In addition, </w:t>
      </w:r>
      <w:r w:rsidR="003D3F5C">
        <w:rPr>
          <w:rFonts w:ascii="Cambria" w:hAnsi="Cambria"/>
          <w:sz w:val="24"/>
          <w:szCs w:val="24"/>
        </w:rPr>
        <w:t xml:space="preserve">SFC-licensed corporations </w:t>
      </w:r>
      <w:r w:rsidRPr="002B0A5B">
        <w:rPr>
          <w:rFonts w:ascii="Cambria" w:hAnsi="Cambria"/>
          <w:sz w:val="24"/>
          <w:szCs w:val="24"/>
        </w:rPr>
        <w:t xml:space="preserve">are </w:t>
      </w:r>
      <w:r w:rsidR="00FF1431" w:rsidRPr="002B0A5B">
        <w:rPr>
          <w:rFonts w:ascii="Cambria" w:hAnsi="Cambria"/>
          <w:sz w:val="24"/>
          <w:szCs w:val="24"/>
        </w:rPr>
        <w:t>reminde</w:t>
      </w:r>
      <w:r w:rsidRPr="002B0A5B">
        <w:rPr>
          <w:rFonts w:ascii="Cambria" w:hAnsi="Cambria"/>
          <w:sz w:val="24"/>
          <w:szCs w:val="24"/>
        </w:rPr>
        <w:t xml:space="preserve">d that </w:t>
      </w:r>
      <w:r w:rsidR="00FF1431" w:rsidRPr="002B0A5B">
        <w:rPr>
          <w:rFonts w:ascii="Cambria" w:hAnsi="Cambria"/>
          <w:sz w:val="24"/>
          <w:szCs w:val="24"/>
        </w:rPr>
        <w:t xml:space="preserve">they should comply with the requirements imposed by domestic regulatory authorities </w:t>
      </w:r>
      <w:r w:rsidR="003D3F5C">
        <w:rPr>
          <w:rFonts w:ascii="Cambria" w:hAnsi="Cambria"/>
          <w:sz w:val="24"/>
          <w:szCs w:val="24"/>
        </w:rPr>
        <w:t xml:space="preserve">in relation to client solicitation, </w:t>
      </w:r>
      <w:r w:rsidR="003D3F5C" w:rsidRPr="002B0A5B">
        <w:rPr>
          <w:rFonts w:ascii="Cambria" w:hAnsi="Cambria"/>
          <w:sz w:val="24"/>
          <w:szCs w:val="24"/>
        </w:rPr>
        <w:t xml:space="preserve">opening of client accounts </w:t>
      </w:r>
      <w:r w:rsidR="00514B2B">
        <w:rPr>
          <w:rFonts w:ascii="Cambria" w:hAnsi="Cambria"/>
          <w:sz w:val="24"/>
          <w:szCs w:val="24"/>
        </w:rPr>
        <w:t xml:space="preserve">and fund </w:t>
      </w:r>
      <w:r w:rsidR="003D3F5C" w:rsidRPr="002B0A5B">
        <w:rPr>
          <w:rFonts w:ascii="Cambria" w:hAnsi="Cambria"/>
          <w:sz w:val="24"/>
          <w:szCs w:val="24"/>
        </w:rPr>
        <w:t xml:space="preserve">remittance </w:t>
      </w:r>
      <w:r w:rsidR="003D3F5C">
        <w:rPr>
          <w:rFonts w:ascii="Cambria" w:hAnsi="Cambria"/>
          <w:sz w:val="24"/>
          <w:szCs w:val="24"/>
        </w:rPr>
        <w:t xml:space="preserve">(among others) </w:t>
      </w:r>
      <w:r w:rsidRPr="002B0A5B">
        <w:rPr>
          <w:rFonts w:ascii="Cambria" w:hAnsi="Cambria"/>
          <w:sz w:val="24"/>
          <w:szCs w:val="24"/>
        </w:rPr>
        <w:t>when marketing and providing services through online platforms to overseas investors</w:t>
      </w:r>
      <w:r w:rsidR="00FF1431" w:rsidRPr="002B0A5B">
        <w:rPr>
          <w:rFonts w:ascii="Cambria" w:hAnsi="Cambria"/>
          <w:sz w:val="24"/>
          <w:szCs w:val="24"/>
        </w:rPr>
        <w:t>.</w:t>
      </w:r>
    </w:p>
    <w:p w:rsidR="005A6DA5" w:rsidRPr="003C6966" w:rsidRDefault="005A6DA5" w:rsidP="002446B1">
      <w:pPr>
        <w:jc w:val="both"/>
        <w:rPr>
          <w:rFonts w:ascii="Cambria" w:hAnsi="Cambria"/>
          <w:b/>
          <w:color w:val="FF0000"/>
          <w:sz w:val="24"/>
          <w:szCs w:val="24"/>
        </w:rPr>
      </w:pPr>
      <w:r w:rsidRPr="003C6966">
        <w:rPr>
          <w:rFonts w:ascii="Cambria" w:hAnsi="Cambria"/>
          <w:b/>
          <w:color w:val="FF0000"/>
          <w:sz w:val="24"/>
          <w:szCs w:val="24"/>
        </w:rPr>
        <w:t>Cybersecurity</w:t>
      </w:r>
    </w:p>
    <w:p w:rsidR="00A301BF" w:rsidRPr="00004C23" w:rsidRDefault="00514B2B" w:rsidP="002446B1">
      <w:pPr>
        <w:jc w:val="both"/>
        <w:rPr>
          <w:rFonts w:ascii="Cambria" w:hAnsi="Cambria"/>
          <w:sz w:val="24"/>
          <w:szCs w:val="24"/>
        </w:rPr>
      </w:pPr>
      <w:r>
        <w:rPr>
          <w:rFonts w:ascii="Cambria" w:hAnsi="Cambria"/>
          <w:sz w:val="24"/>
          <w:szCs w:val="24"/>
        </w:rPr>
        <w:t>T</w:t>
      </w:r>
      <w:r w:rsidR="00A83A5B">
        <w:rPr>
          <w:rFonts w:ascii="Cambria" w:hAnsi="Cambria"/>
          <w:sz w:val="24"/>
          <w:szCs w:val="24"/>
        </w:rPr>
        <w:t xml:space="preserve">he </w:t>
      </w:r>
      <w:r>
        <w:rPr>
          <w:rFonts w:ascii="Cambria" w:hAnsi="Cambria"/>
          <w:sz w:val="24"/>
          <w:szCs w:val="24"/>
        </w:rPr>
        <w:t xml:space="preserve">SFC’s review </w:t>
      </w:r>
      <w:r w:rsidR="00A83A5B">
        <w:rPr>
          <w:rFonts w:ascii="Cambria" w:hAnsi="Cambria"/>
          <w:sz w:val="24"/>
          <w:szCs w:val="24"/>
        </w:rPr>
        <w:t>identified that</w:t>
      </w:r>
      <w:r w:rsidR="005A6DA5" w:rsidRPr="002B0A5B">
        <w:rPr>
          <w:rFonts w:ascii="Cambria" w:hAnsi="Cambria"/>
          <w:sz w:val="24"/>
          <w:szCs w:val="24"/>
        </w:rPr>
        <w:t xml:space="preserve"> some </w:t>
      </w:r>
      <w:r>
        <w:rPr>
          <w:rFonts w:ascii="Cambria" w:hAnsi="Cambria"/>
          <w:sz w:val="24"/>
          <w:szCs w:val="24"/>
        </w:rPr>
        <w:t xml:space="preserve">licensed corporations </w:t>
      </w:r>
      <w:r w:rsidR="005A6DA5" w:rsidRPr="002B0A5B">
        <w:rPr>
          <w:rFonts w:ascii="Cambria" w:hAnsi="Cambria"/>
          <w:sz w:val="24"/>
          <w:szCs w:val="24"/>
        </w:rPr>
        <w:t xml:space="preserve">failed to implement adequate mechanisms to mitigate cybersecurity risks, including </w:t>
      </w:r>
      <w:r w:rsidR="00A83A5B">
        <w:rPr>
          <w:rFonts w:ascii="Cambria" w:hAnsi="Cambria"/>
          <w:sz w:val="24"/>
          <w:szCs w:val="24"/>
        </w:rPr>
        <w:t>two-factor authentication</w:t>
      </w:r>
      <w:r w:rsidR="005A6DA5" w:rsidRPr="002B0A5B">
        <w:rPr>
          <w:rFonts w:ascii="Cambria" w:hAnsi="Cambria"/>
          <w:sz w:val="24"/>
          <w:szCs w:val="24"/>
        </w:rPr>
        <w:t xml:space="preserve">, monitoring and surveillance to detect unauthorised access to clients’ internet trading accounts, </w:t>
      </w:r>
      <w:r w:rsidR="00A83A5B">
        <w:rPr>
          <w:rFonts w:ascii="Cambria" w:hAnsi="Cambria"/>
          <w:sz w:val="24"/>
          <w:szCs w:val="24"/>
        </w:rPr>
        <w:t>p</w:t>
      </w:r>
      <w:r w:rsidR="00A83A5B" w:rsidRPr="00A83A5B">
        <w:rPr>
          <w:rFonts w:ascii="Cambria" w:hAnsi="Cambria"/>
          <w:sz w:val="24"/>
          <w:szCs w:val="24"/>
        </w:rPr>
        <w:t>rompt notification</w:t>
      </w:r>
      <w:r w:rsidR="00083490">
        <w:rPr>
          <w:rFonts w:ascii="Cambria" w:hAnsi="Cambria"/>
          <w:sz w:val="24"/>
          <w:szCs w:val="24"/>
        </w:rPr>
        <w:t>s</w:t>
      </w:r>
      <w:r w:rsidR="00A83A5B" w:rsidRPr="00A83A5B">
        <w:rPr>
          <w:rFonts w:ascii="Cambria" w:hAnsi="Cambria"/>
          <w:sz w:val="24"/>
          <w:szCs w:val="24"/>
        </w:rPr>
        <w:t xml:space="preserve"> to clients </w:t>
      </w:r>
      <w:r w:rsidR="005A6DA5" w:rsidRPr="002B0A5B">
        <w:rPr>
          <w:rFonts w:ascii="Cambria" w:hAnsi="Cambria"/>
          <w:sz w:val="24"/>
          <w:szCs w:val="24"/>
        </w:rPr>
        <w:t>after certain client activities, and session timeout</w:t>
      </w:r>
      <w:r w:rsidR="00C0515B">
        <w:rPr>
          <w:rFonts w:ascii="Cambria" w:hAnsi="Cambria"/>
          <w:sz w:val="24"/>
          <w:szCs w:val="24"/>
        </w:rPr>
        <w:t xml:space="preserve"> controls</w:t>
      </w:r>
      <w:r w:rsidR="005A6DA5" w:rsidRPr="002B0A5B">
        <w:rPr>
          <w:rFonts w:ascii="Cambria" w:hAnsi="Cambria"/>
          <w:sz w:val="24"/>
          <w:szCs w:val="24"/>
        </w:rPr>
        <w:t xml:space="preserve">. </w:t>
      </w:r>
      <w:r w:rsidR="00083490">
        <w:rPr>
          <w:rFonts w:ascii="Cambria" w:hAnsi="Cambria"/>
          <w:sz w:val="24"/>
          <w:szCs w:val="24"/>
        </w:rPr>
        <w:t xml:space="preserve">SFC-licensed corporations </w:t>
      </w:r>
      <w:r w:rsidR="005A6DA5" w:rsidRPr="002B0A5B">
        <w:rPr>
          <w:rFonts w:ascii="Cambria" w:hAnsi="Cambria"/>
          <w:sz w:val="24"/>
          <w:szCs w:val="24"/>
        </w:rPr>
        <w:t xml:space="preserve">should be </w:t>
      </w:r>
      <w:r w:rsidR="00A83A5B">
        <w:rPr>
          <w:rFonts w:ascii="Cambria" w:hAnsi="Cambria"/>
          <w:sz w:val="24"/>
          <w:szCs w:val="24"/>
        </w:rPr>
        <w:t>aware</w:t>
      </w:r>
      <w:r w:rsidR="00083490">
        <w:rPr>
          <w:rFonts w:ascii="Cambria" w:hAnsi="Cambria"/>
          <w:sz w:val="24"/>
          <w:szCs w:val="24"/>
        </w:rPr>
        <w:t xml:space="preserve"> </w:t>
      </w:r>
      <w:r w:rsidR="005A6DA5" w:rsidRPr="002B0A5B">
        <w:rPr>
          <w:rFonts w:ascii="Cambria" w:hAnsi="Cambria"/>
          <w:sz w:val="24"/>
          <w:szCs w:val="24"/>
        </w:rPr>
        <w:t xml:space="preserve">of the relevant requirements regarding cybersecurity, in particular </w:t>
      </w:r>
      <w:r w:rsidR="00083490">
        <w:rPr>
          <w:rFonts w:ascii="Cambria" w:hAnsi="Cambria"/>
          <w:sz w:val="24"/>
          <w:szCs w:val="24"/>
        </w:rPr>
        <w:t xml:space="preserve">under </w:t>
      </w:r>
      <w:r w:rsidR="005A6DA5" w:rsidRPr="002B0A5B">
        <w:rPr>
          <w:rFonts w:ascii="Cambria" w:hAnsi="Cambria"/>
          <w:sz w:val="24"/>
          <w:szCs w:val="24"/>
        </w:rPr>
        <w:t xml:space="preserve">the </w:t>
      </w:r>
      <w:hyperlink r:id="rId23" w:history="1">
        <w:r w:rsidR="005A6DA5" w:rsidRPr="00C22C86">
          <w:rPr>
            <w:rStyle w:val="a6"/>
            <w:rFonts w:ascii="Cambria" w:hAnsi="Cambria"/>
            <w:sz w:val="24"/>
            <w:szCs w:val="24"/>
          </w:rPr>
          <w:t>Guidelines for Reducing and Mitigating Hacking Risks Associated with Internet Trading</w:t>
        </w:r>
      </w:hyperlink>
      <w:r w:rsidR="005A6DA5" w:rsidRPr="00C22C86">
        <w:rPr>
          <w:rFonts w:ascii="Cambria" w:hAnsi="Cambria"/>
          <w:sz w:val="24"/>
          <w:szCs w:val="24"/>
        </w:rPr>
        <w:t xml:space="preserve">, </w:t>
      </w:r>
      <w:hyperlink r:id="rId24" w:history="1">
        <w:r w:rsidR="00A83A5B" w:rsidRPr="00C22C86">
          <w:rPr>
            <w:rStyle w:val="a6"/>
            <w:rFonts w:ascii="Cambria" w:hAnsi="Cambria"/>
            <w:sz w:val="24"/>
            <w:szCs w:val="24"/>
          </w:rPr>
          <w:t>FAQs on Cybersecurity</w:t>
        </w:r>
      </w:hyperlink>
      <w:r w:rsidR="00A83A5B" w:rsidRPr="00C22C86">
        <w:rPr>
          <w:rFonts w:ascii="Cambria" w:hAnsi="Cambria"/>
          <w:sz w:val="24"/>
          <w:szCs w:val="24"/>
        </w:rPr>
        <w:t xml:space="preserve">, </w:t>
      </w:r>
      <w:hyperlink r:id="rId25" w:history="1">
        <w:r w:rsidR="005A6DA5" w:rsidRPr="00C22C86">
          <w:rPr>
            <w:rStyle w:val="a6"/>
            <w:rFonts w:ascii="Cambria" w:hAnsi="Cambria"/>
            <w:sz w:val="24"/>
            <w:szCs w:val="24"/>
          </w:rPr>
          <w:t>Circular to licensed corporations on review of internet trading cybersecurity</w:t>
        </w:r>
      </w:hyperlink>
      <w:r w:rsidR="005A6DA5" w:rsidRPr="00C22C86">
        <w:rPr>
          <w:rFonts w:ascii="Cambria" w:hAnsi="Cambria"/>
          <w:sz w:val="24"/>
          <w:szCs w:val="24"/>
        </w:rPr>
        <w:t xml:space="preserve"> and</w:t>
      </w:r>
      <w:r w:rsidR="00083490">
        <w:rPr>
          <w:rFonts w:ascii="Cambria" w:hAnsi="Cambria"/>
          <w:sz w:val="24"/>
          <w:szCs w:val="24"/>
        </w:rPr>
        <w:t xml:space="preserve"> the</w:t>
      </w:r>
      <w:r w:rsidR="005A6DA5" w:rsidRPr="00C22C86">
        <w:rPr>
          <w:rFonts w:ascii="Cambria" w:hAnsi="Cambria"/>
          <w:sz w:val="24"/>
          <w:szCs w:val="24"/>
        </w:rPr>
        <w:t xml:space="preserve"> </w:t>
      </w:r>
      <w:hyperlink r:id="rId26" w:history="1">
        <w:r w:rsidR="005A6DA5" w:rsidRPr="00C22C86">
          <w:rPr>
            <w:rStyle w:val="a6"/>
            <w:rFonts w:ascii="Cambria" w:hAnsi="Cambria"/>
            <w:sz w:val="24"/>
            <w:szCs w:val="24"/>
          </w:rPr>
          <w:t>Report on the 2019-20 thematic cybersecurity review of internet brokers</w:t>
        </w:r>
      </w:hyperlink>
      <w:r w:rsidR="005A6DA5" w:rsidRPr="00C22C86">
        <w:rPr>
          <w:rFonts w:ascii="Cambria" w:hAnsi="Cambria"/>
          <w:sz w:val="24"/>
          <w:szCs w:val="24"/>
        </w:rPr>
        <w:t>.</w:t>
      </w:r>
    </w:p>
    <w:p w:rsidR="005A6DA5" w:rsidRPr="003C6966" w:rsidRDefault="005A6DA5" w:rsidP="002446B1">
      <w:pPr>
        <w:jc w:val="both"/>
        <w:rPr>
          <w:rFonts w:ascii="Cambria" w:hAnsi="Cambria"/>
          <w:b/>
          <w:color w:val="FF0000"/>
          <w:sz w:val="24"/>
          <w:szCs w:val="24"/>
        </w:rPr>
      </w:pPr>
      <w:r w:rsidRPr="003C6966">
        <w:rPr>
          <w:rFonts w:ascii="Cambria" w:hAnsi="Cambria"/>
          <w:b/>
          <w:color w:val="FF0000"/>
          <w:sz w:val="24"/>
          <w:szCs w:val="24"/>
        </w:rPr>
        <w:t>Resources planning and complaint handling</w:t>
      </w:r>
    </w:p>
    <w:p w:rsidR="005A6DA5" w:rsidRDefault="005A6DA5" w:rsidP="002446B1">
      <w:pPr>
        <w:jc w:val="both"/>
        <w:rPr>
          <w:rFonts w:ascii="Cambria" w:hAnsi="Cambria"/>
          <w:sz w:val="24"/>
          <w:szCs w:val="24"/>
        </w:rPr>
      </w:pPr>
      <w:r w:rsidRPr="002B0A5B">
        <w:rPr>
          <w:rFonts w:ascii="Cambria" w:hAnsi="Cambria"/>
          <w:sz w:val="24"/>
          <w:szCs w:val="24"/>
        </w:rPr>
        <w:t>L</w:t>
      </w:r>
      <w:r w:rsidR="00083490">
        <w:rPr>
          <w:rFonts w:ascii="Cambria" w:hAnsi="Cambria"/>
          <w:sz w:val="24"/>
          <w:szCs w:val="24"/>
        </w:rPr>
        <w:t>icensed corporations</w:t>
      </w:r>
      <w:r w:rsidRPr="002B0A5B">
        <w:rPr>
          <w:rFonts w:ascii="Cambria" w:hAnsi="Cambria"/>
          <w:sz w:val="24"/>
          <w:szCs w:val="24"/>
        </w:rPr>
        <w:t xml:space="preserve"> </w:t>
      </w:r>
      <w:r w:rsidR="00083490">
        <w:rPr>
          <w:rFonts w:ascii="Cambria" w:hAnsi="Cambria"/>
          <w:sz w:val="24"/>
          <w:szCs w:val="24"/>
        </w:rPr>
        <w:t xml:space="preserve">are required to have adequate resources and effective procedures to properly carry out their business activities. Licensed corporations </w:t>
      </w:r>
      <w:r w:rsidRPr="002B0A5B">
        <w:rPr>
          <w:rFonts w:ascii="Cambria" w:hAnsi="Cambria"/>
          <w:sz w:val="24"/>
          <w:szCs w:val="24"/>
        </w:rPr>
        <w:t xml:space="preserve">which onboard a large </w:t>
      </w:r>
      <w:r w:rsidRPr="002B0A5B">
        <w:rPr>
          <w:rFonts w:ascii="Cambria" w:hAnsi="Cambria"/>
          <w:sz w:val="24"/>
          <w:szCs w:val="24"/>
        </w:rPr>
        <w:lastRenderedPageBreak/>
        <w:t xml:space="preserve">number of clients </w:t>
      </w:r>
      <w:r w:rsidR="00083490">
        <w:rPr>
          <w:rFonts w:ascii="Cambria" w:hAnsi="Cambria"/>
          <w:sz w:val="24"/>
          <w:szCs w:val="24"/>
        </w:rPr>
        <w:t xml:space="preserve">over </w:t>
      </w:r>
      <w:r w:rsidRPr="002B0A5B">
        <w:rPr>
          <w:rFonts w:ascii="Cambria" w:hAnsi="Cambria"/>
          <w:sz w:val="24"/>
          <w:szCs w:val="24"/>
        </w:rPr>
        <w:t xml:space="preserve">a short period </w:t>
      </w:r>
      <w:r w:rsidR="00083490">
        <w:rPr>
          <w:rFonts w:ascii="Cambria" w:hAnsi="Cambria"/>
          <w:sz w:val="24"/>
          <w:szCs w:val="24"/>
        </w:rPr>
        <w:t>therefore need to</w:t>
      </w:r>
      <w:r w:rsidRPr="002B0A5B">
        <w:rPr>
          <w:rFonts w:ascii="Cambria" w:hAnsi="Cambria"/>
          <w:sz w:val="24"/>
          <w:szCs w:val="24"/>
        </w:rPr>
        <w:t xml:space="preserve"> ensure that they have adequate financial and operational capacity planning to cope with the anticipated increase in client activities. </w:t>
      </w:r>
      <w:r w:rsidR="00083490">
        <w:rPr>
          <w:rFonts w:ascii="Cambria" w:hAnsi="Cambria"/>
          <w:sz w:val="24"/>
          <w:szCs w:val="24"/>
        </w:rPr>
        <w:t>There should, f</w:t>
      </w:r>
      <w:r w:rsidRPr="002B0A5B">
        <w:rPr>
          <w:rFonts w:ascii="Cambria" w:hAnsi="Cambria"/>
          <w:sz w:val="24"/>
          <w:szCs w:val="24"/>
        </w:rPr>
        <w:t xml:space="preserve">or example, be adequate resources to deal with client enquiries and complaints, </w:t>
      </w:r>
      <w:r w:rsidR="007C4D13">
        <w:rPr>
          <w:rFonts w:ascii="Cambria" w:hAnsi="Cambria"/>
          <w:sz w:val="24"/>
          <w:szCs w:val="24"/>
        </w:rPr>
        <w:t xml:space="preserve">and </w:t>
      </w:r>
      <w:r w:rsidRPr="002B0A5B">
        <w:rPr>
          <w:rFonts w:ascii="Cambria" w:hAnsi="Cambria"/>
          <w:sz w:val="24"/>
          <w:szCs w:val="24"/>
        </w:rPr>
        <w:t xml:space="preserve">regular reviews of system capacity and contingency plans to ensure that </w:t>
      </w:r>
      <w:r w:rsidR="007C4D13">
        <w:rPr>
          <w:rFonts w:ascii="Cambria" w:hAnsi="Cambria"/>
          <w:sz w:val="24"/>
          <w:szCs w:val="24"/>
        </w:rPr>
        <w:t xml:space="preserve">client </w:t>
      </w:r>
      <w:r w:rsidRPr="002B0A5B">
        <w:rPr>
          <w:rFonts w:ascii="Cambria" w:hAnsi="Cambria"/>
          <w:sz w:val="24"/>
          <w:szCs w:val="24"/>
        </w:rPr>
        <w:t>services are provided efficiently and uninterruptedly.</w:t>
      </w:r>
      <w:r w:rsidR="00CE7BE3">
        <w:rPr>
          <w:rFonts w:ascii="Cambria" w:hAnsi="Cambria"/>
          <w:sz w:val="24"/>
          <w:szCs w:val="24"/>
        </w:rPr>
        <w:t xml:space="preserve"> </w:t>
      </w:r>
      <w:r w:rsidR="00CE7BE3" w:rsidRPr="00A8648C">
        <w:rPr>
          <w:rFonts w:ascii="Cambria" w:hAnsi="Cambria"/>
          <w:sz w:val="24"/>
          <w:szCs w:val="24"/>
        </w:rPr>
        <w:t xml:space="preserve">The </w:t>
      </w:r>
      <w:r w:rsidR="007C4D13">
        <w:rPr>
          <w:rFonts w:ascii="Cambria" w:hAnsi="Cambria"/>
          <w:sz w:val="24"/>
          <w:szCs w:val="24"/>
        </w:rPr>
        <w:t xml:space="preserve">SFC’s </w:t>
      </w:r>
      <w:r w:rsidR="00232903">
        <w:rPr>
          <w:rFonts w:ascii="Cambria" w:hAnsi="Cambria"/>
          <w:sz w:val="24"/>
          <w:szCs w:val="24"/>
        </w:rPr>
        <w:t>C</w:t>
      </w:r>
      <w:r w:rsidR="007C4D13">
        <w:rPr>
          <w:rFonts w:ascii="Cambria" w:hAnsi="Cambria"/>
          <w:sz w:val="24"/>
          <w:szCs w:val="24"/>
        </w:rPr>
        <w:t xml:space="preserve">ircular </w:t>
      </w:r>
      <w:r w:rsidR="00232903">
        <w:rPr>
          <w:rFonts w:ascii="Cambria" w:hAnsi="Cambria"/>
          <w:sz w:val="24"/>
          <w:szCs w:val="24"/>
        </w:rPr>
        <w:t xml:space="preserve">to licensed corporations </w:t>
      </w:r>
      <w:r w:rsidR="007C4D13">
        <w:rPr>
          <w:rFonts w:ascii="Cambria" w:hAnsi="Cambria"/>
          <w:sz w:val="24"/>
          <w:szCs w:val="24"/>
        </w:rPr>
        <w:t>on</w:t>
      </w:r>
      <w:r w:rsidR="00CE7BE3" w:rsidRPr="002B0A5B">
        <w:rPr>
          <w:rFonts w:ascii="Cambria" w:hAnsi="Cambria"/>
          <w:sz w:val="24"/>
          <w:szCs w:val="24"/>
        </w:rPr>
        <w:t xml:space="preserve"> </w:t>
      </w:r>
      <w:r w:rsidR="00CE7BE3">
        <w:rPr>
          <w:rFonts w:ascii="Cambria" w:hAnsi="Cambria"/>
          <w:sz w:val="24"/>
          <w:szCs w:val="24"/>
        </w:rPr>
        <w:t>h</w:t>
      </w:r>
      <w:r w:rsidR="007C4D13">
        <w:rPr>
          <w:rFonts w:ascii="Cambria" w:hAnsi="Cambria"/>
          <w:sz w:val="24"/>
          <w:szCs w:val="24"/>
        </w:rPr>
        <w:t xml:space="preserve">andling </w:t>
      </w:r>
      <w:r w:rsidR="00CE7BE3" w:rsidRPr="00CE7BE3">
        <w:rPr>
          <w:rFonts w:ascii="Cambria" w:hAnsi="Cambria"/>
          <w:sz w:val="24"/>
          <w:szCs w:val="24"/>
        </w:rPr>
        <w:t xml:space="preserve">client complaints </w:t>
      </w:r>
      <w:r w:rsidR="00CE7BE3" w:rsidRPr="00A8648C">
        <w:rPr>
          <w:rFonts w:ascii="Cambria" w:hAnsi="Cambria"/>
          <w:sz w:val="24"/>
          <w:szCs w:val="24"/>
        </w:rPr>
        <w:t xml:space="preserve">is available </w:t>
      </w:r>
      <w:hyperlink r:id="rId27" w:history="1">
        <w:r w:rsidR="00CE7BE3" w:rsidRPr="00CE7BE3">
          <w:rPr>
            <w:rStyle w:val="a6"/>
            <w:rFonts w:ascii="Cambria" w:hAnsi="Cambria"/>
            <w:sz w:val="24"/>
            <w:szCs w:val="24"/>
          </w:rPr>
          <w:t>here</w:t>
        </w:r>
      </w:hyperlink>
      <w:r w:rsidR="00CE7BE3">
        <w:rPr>
          <w:rFonts w:ascii="Cambria" w:hAnsi="Cambria"/>
          <w:sz w:val="24"/>
          <w:szCs w:val="24"/>
        </w:rPr>
        <w:t>.</w:t>
      </w:r>
    </w:p>
    <w:p w:rsidR="005D3AB7" w:rsidRPr="00A41F57" w:rsidRDefault="005D3AB7" w:rsidP="005D3AB7">
      <w:pPr>
        <w:pStyle w:val="DisclaimerBold"/>
        <w:rPr>
          <w:rFonts w:ascii="Helvetica" w:hAnsi="Helvetica"/>
        </w:rPr>
      </w:pPr>
      <w:r w:rsidRPr="00F05494">
        <w:rPr>
          <w:rFonts w:ascii="Helvetica" w:hAnsi="Helvetica"/>
        </w:rPr>
        <w:t>This newsletter is for information purposes only.</w:t>
      </w:r>
    </w:p>
    <w:p w:rsidR="005D3AB7" w:rsidRPr="00F05494" w:rsidRDefault="005D3AB7" w:rsidP="005D3AB7">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rsidR="005D3AB7" w:rsidRPr="00F05494" w:rsidRDefault="005D3AB7" w:rsidP="005D3AB7">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5D3AB7" w:rsidRPr="00F05494" w:rsidRDefault="005D3AB7" w:rsidP="005D3AB7">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5D3AB7" w:rsidRPr="00F05494" w:rsidRDefault="005D3AB7" w:rsidP="005D3AB7">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28">
        <w:r w:rsidRPr="00F05494">
          <w:rPr>
            <w:rFonts w:ascii="Helvetica" w:hAnsi="Helvetica"/>
          </w:rPr>
          <w:t>unsubscribe@charltonslaw.com</w:t>
        </w:r>
      </w:hyperlink>
    </w:p>
    <w:p w:rsidR="005D3AB7" w:rsidRPr="00CD0DE3" w:rsidRDefault="005D3AB7" w:rsidP="005D3AB7">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10</w:t>
      </w:r>
      <w:r w:rsidRPr="00F05494">
        <w:rPr>
          <w:rFonts w:ascii="Helvetica" w:hAnsi="Helvetica"/>
        </w:rPr>
        <w:t xml:space="preserve"> </w:t>
      </w:r>
      <w:r>
        <w:rPr>
          <w:rFonts w:ascii="Helvetica" w:hAnsi="Helvetica"/>
        </w:rPr>
        <w:t>October</w:t>
      </w:r>
      <w:r w:rsidRPr="00F05494">
        <w:rPr>
          <w:rFonts w:ascii="Helvetica" w:hAnsi="Helvetica"/>
        </w:rPr>
        <w:t xml:space="preserve"> 202</w:t>
      </w:r>
      <w:r>
        <w:rPr>
          <w:rFonts w:ascii="Helvetica" w:hAnsi="Helvetica"/>
        </w:rPr>
        <w:t>2</w:t>
      </w:r>
    </w:p>
    <w:p w:rsidR="005D3AB7" w:rsidRPr="005E36C2" w:rsidRDefault="005D3AB7" w:rsidP="002446B1">
      <w:pPr>
        <w:jc w:val="both"/>
        <w:rPr>
          <w:rFonts w:ascii="Cambria" w:hAnsi="Cambria"/>
          <w:sz w:val="24"/>
          <w:szCs w:val="24"/>
        </w:rPr>
      </w:pPr>
    </w:p>
    <w:sectPr w:rsidR="005D3AB7" w:rsidRPr="005E36C2" w:rsidSect="003D6E92">
      <w:footerReference w:type="default" r:id="rId29"/>
      <w:pgSz w:w="11909" w:h="16834"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0114" w:rsidRDefault="00A70114" w:rsidP="00E106F2">
      <w:pPr>
        <w:spacing w:after="0" w:line="240" w:lineRule="auto"/>
      </w:pPr>
      <w:r>
        <w:separator/>
      </w:r>
    </w:p>
  </w:endnote>
  <w:endnote w:type="continuationSeparator" w:id="0">
    <w:p w:rsidR="00A70114" w:rsidRDefault="00A70114" w:rsidP="00E1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445683"/>
      <w:docPartObj>
        <w:docPartGallery w:val="Page Numbers (Bottom of Page)"/>
        <w:docPartUnique/>
      </w:docPartObj>
    </w:sdtPr>
    <w:sdtEndPr>
      <w:rPr>
        <w:noProof/>
      </w:rPr>
    </w:sdtEndPr>
    <w:sdtContent>
      <w:p w:rsidR="003C6966" w:rsidRDefault="003C6966">
        <w:pPr>
          <w:pStyle w:val="ad"/>
          <w:jc w:val="center"/>
        </w:pPr>
        <w:r>
          <w:fldChar w:fldCharType="begin"/>
        </w:r>
        <w:r>
          <w:instrText xml:space="preserve"> PAGE   \* MERGEFORMAT </w:instrText>
        </w:r>
        <w:r>
          <w:fldChar w:fldCharType="separate"/>
        </w:r>
        <w:r w:rsidR="001A2EC7">
          <w:rPr>
            <w:noProof/>
          </w:rPr>
          <w:t>4</w:t>
        </w:r>
        <w:r>
          <w:rPr>
            <w:noProof/>
          </w:rPr>
          <w:fldChar w:fldCharType="end"/>
        </w:r>
      </w:p>
    </w:sdtContent>
  </w:sdt>
  <w:p w:rsidR="003C6966" w:rsidRDefault="003C696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0114" w:rsidRDefault="00A70114" w:rsidP="00E106F2">
      <w:pPr>
        <w:spacing w:after="0" w:line="240" w:lineRule="auto"/>
      </w:pPr>
      <w:r>
        <w:separator/>
      </w:r>
    </w:p>
  </w:footnote>
  <w:footnote w:type="continuationSeparator" w:id="0">
    <w:p w:rsidR="00A70114" w:rsidRDefault="00A70114" w:rsidP="00E10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5995"/>
    <w:multiLevelType w:val="hybridMultilevel"/>
    <w:tmpl w:val="324E3262"/>
    <w:lvl w:ilvl="0" w:tplc="0F601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5E06D6"/>
    <w:multiLevelType w:val="hybridMultilevel"/>
    <w:tmpl w:val="B43616AC"/>
    <w:lvl w:ilvl="0" w:tplc="3FD412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507C5"/>
    <w:multiLevelType w:val="hybridMultilevel"/>
    <w:tmpl w:val="D5E697A6"/>
    <w:lvl w:ilvl="0" w:tplc="AA286C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41FF3"/>
    <w:multiLevelType w:val="hybridMultilevel"/>
    <w:tmpl w:val="A61AA9DE"/>
    <w:lvl w:ilvl="0" w:tplc="95BA7BB2">
      <w:start w:val="1"/>
      <w:numFmt w:val="bullet"/>
      <w:lvlText w:val="•"/>
      <w:lvlJc w:val="left"/>
      <w:pPr>
        <w:ind w:left="778" w:hanging="360"/>
      </w:pPr>
      <w:rPr>
        <w:rFonts w:ascii="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3B1603AD"/>
    <w:multiLevelType w:val="hybridMultilevel"/>
    <w:tmpl w:val="712C1B86"/>
    <w:lvl w:ilvl="0" w:tplc="84726B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F3792"/>
    <w:multiLevelType w:val="hybridMultilevel"/>
    <w:tmpl w:val="C3007344"/>
    <w:lvl w:ilvl="0" w:tplc="7188EE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A7486"/>
    <w:multiLevelType w:val="hybridMultilevel"/>
    <w:tmpl w:val="29A4D316"/>
    <w:lvl w:ilvl="0" w:tplc="73888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33219"/>
    <w:multiLevelType w:val="hybridMultilevel"/>
    <w:tmpl w:val="238A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5074CE"/>
    <w:multiLevelType w:val="hybridMultilevel"/>
    <w:tmpl w:val="C2BE63C2"/>
    <w:lvl w:ilvl="0" w:tplc="72A8F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2A5371"/>
    <w:multiLevelType w:val="hybridMultilevel"/>
    <w:tmpl w:val="E01E8DB8"/>
    <w:lvl w:ilvl="0" w:tplc="95BA7BB2">
      <w:start w:val="1"/>
      <w:numFmt w:val="bullet"/>
      <w:lvlText w:val="•"/>
      <w:lvlJc w:val="left"/>
      <w:pPr>
        <w:ind w:left="778" w:hanging="360"/>
      </w:pPr>
      <w:rPr>
        <w:rFonts w:ascii="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673D5B41"/>
    <w:multiLevelType w:val="hybridMultilevel"/>
    <w:tmpl w:val="EE0ABA30"/>
    <w:lvl w:ilvl="0" w:tplc="2C145A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0C18C4"/>
    <w:multiLevelType w:val="hybridMultilevel"/>
    <w:tmpl w:val="7706C5DE"/>
    <w:lvl w:ilvl="0" w:tplc="9E42B0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954434">
    <w:abstractNumId w:val="1"/>
  </w:num>
  <w:num w:numId="2" w16cid:durableId="1527599504">
    <w:abstractNumId w:val="10"/>
  </w:num>
  <w:num w:numId="3" w16cid:durableId="128861654">
    <w:abstractNumId w:val="2"/>
  </w:num>
  <w:num w:numId="4" w16cid:durableId="873615974">
    <w:abstractNumId w:val="11"/>
  </w:num>
  <w:num w:numId="5" w16cid:durableId="1394237174">
    <w:abstractNumId w:val="6"/>
  </w:num>
  <w:num w:numId="6" w16cid:durableId="35203321">
    <w:abstractNumId w:val="8"/>
  </w:num>
  <w:num w:numId="7" w16cid:durableId="983774297">
    <w:abstractNumId w:val="5"/>
  </w:num>
  <w:num w:numId="8" w16cid:durableId="532891012">
    <w:abstractNumId w:val="0"/>
  </w:num>
  <w:num w:numId="9" w16cid:durableId="1102459751">
    <w:abstractNumId w:val="4"/>
  </w:num>
  <w:num w:numId="10" w16cid:durableId="1512915819">
    <w:abstractNumId w:val="3"/>
  </w:num>
  <w:num w:numId="11" w16cid:durableId="1185166668">
    <w:abstractNumId w:val="7"/>
  </w:num>
  <w:num w:numId="12" w16cid:durableId="1926911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F4"/>
    <w:rsid w:val="00004390"/>
    <w:rsid w:val="00004C23"/>
    <w:rsid w:val="00005B35"/>
    <w:rsid w:val="00007072"/>
    <w:rsid w:val="00011658"/>
    <w:rsid w:val="0001452A"/>
    <w:rsid w:val="000146CC"/>
    <w:rsid w:val="00014702"/>
    <w:rsid w:val="000250E3"/>
    <w:rsid w:val="00027453"/>
    <w:rsid w:val="000323F6"/>
    <w:rsid w:val="00034731"/>
    <w:rsid w:val="000356BF"/>
    <w:rsid w:val="00035CC7"/>
    <w:rsid w:val="00036DAE"/>
    <w:rsid w:val="0004107C"/>
    <w:rsid w:val="00044A10"/>
    <w:rsid w:val="00045E4F"/>
    <w:rsid w:val="00047319"/>
    <w:rsid w:val="000503E6"/>
    <w:rsid w:val="00056222"/>
    <w:rsid w:val="000575A6"/>
    <w:rsid w:val="00065908"/>
    <w:rsid w:val="000749EE"/>
    <w:rsid w:val="00082C25"/>
    <w:rsid w:val="00083490"/>
    <w:rsid w:val="00086FAD"/>
    <w:rsid w:val="000969E5"/>
    <w:rsid w:val="000D0236"/>
    <w:rsid w:val="000D3920"/>
    <w:rsid w:val="000D5A97"/>
    <w:rsid w:val="000E0CD5"/>
    <w:rsid w:val="000E2620"/>
    <w:rsid w:val="000E3E2E"/>
    <w:rsid w:val="000E4F75"/>
    <w:rsid w:val="000F444F"/>
    <w:rsid w:val="000F4781"/>
    <w:rsid w:val="000F62CE"/>
    <w:rsid w:val="00100069"/>
    <w:rsid w:val="001068CE"/>
    <w:rsid w:val="0010799E"/>
    <w:rsid w:val="00111A0D"/>
    <w:rsid w:val="00112AA1"/>
    <w:rsid w:val="00112FA2"/>
    <w:rsid w:val="0011406C"/>
    <w:rsid w:val="00116D0E"/>
    <w:rsid w:val="00120AEC"/>
    <w:rsid w:val="00124709"/>
    <w:rsid w:val="001300A0"/>
    <w:rsid w:val="00132FE3"/>
    <w:rsid w:val="00140456"/>
    <w:rsid w:val="001419F6"/>
    <w:rsid w:val="001440B7"/>
    <w:rsid w:val="0015102D"/>
    <w:rsid w:val="00160435"/>
    <w:rsid w:val="00164202"/>
    <w:rsid w:val="00164587"/>
    <w:rsid w:val="001650EF"/>
    <w:rsid w:val="00170518"/>
    <w:rsid w:val="001727CD"/>
    <w:rsid w:val="00176295"/>
    <w:rsid w:val="00181A08"/>
    <w:rsid w:val="001865A3"/>
    <w:rsid w:val="00191994"/>
    <w:rsid w:val="00192F0D"/>
    <w:rsid w:val="0019421E"/>
    <w:rsid w:val="00195BB3"/>
    <w:rsid w:val="001961D9"/>
    <w:rsid w:val="001A0977"/>
    <w:rsid w:val="001A16DD"/>
    <w:rsid w:val="001A2A57"/>
    <w:rsid w:val="001A2EC7"/>
    <w:rsid w:val="001A5018"/>
    <w:rsid w:val="001A5D2D"/>
    <w:rsid w:val="001B015C"/>
    <w:rsid w:val="001B19A7"/>
    <w:rsid w:val="001B53E3"/>
    <w:rsid w:val="001B6DB0"/>
    <w:rsid w:val="001B6E8D"/>
    <w:rsid w:val="001C1CA8"/>
    <w:rsid w:val="001C1E94"/>
    <w:rsid w:val="001C341B"/>
    <w:rsid w:val="001C447E"/>
    <w:rsid w:val="001C46E6"/>
    <w:rsid w:val="001D3D48"/>
    <w:rsid w:val="001D41D4"/>
    <w:rsid w:val="001E1E0A"/>
    <w:rsid w:val="001E341F"/>
    <w:rsid w:val="001E739E"/>
    <w:rsid w:val="001F10CE"/>
    <w:rsid w:val="001F2C26"/>
    <w:rsid w:val="001F71ED"/>
    <w:rsid w:val="00202565"/>
    <w:rsid w:val="00202A96"/>
    <w:rsid w:val="00204353"/>
    <w:rsid w:val="00206327"/>
    <w:rsid w:val="002066FC"/>
    <w:rsid w:val="00212B05"/>
    <w:rsid w:val="00215303"/>
    <w:rsid w:val="002169CA"/>
    <w:rsid w:val="00222EDF"/>
    <w:rsid w:val="00226E9B"/>
    <w:rsid w:val="00232903"/>
    <w:rsid w:val="00237F2C"/>
    <w:rsid w:val="002435A8"/>
    <w:rsid w:val="002446B1"/>
    <w:rsid w:val="00244837"/>
    <w:rsid w:val="00244FB8"/>
    <w:rsid w:val="00252958"/>
    <w:rsid w:val="00252F66"/>
    <w:rsid w:val="002548A4"/>
    <w:rsid w:val="00273488"/>
    <w:rsid w:val="00275475"/>
    <w:rsid w:val="0028295B"/>
    <w:rsid w:val="002846B3"/>
    <w:rsid w:val="00284721"/>
    <w:rsid w:val="0028595F"/>
    <w:rsid w:val="002866C7"/>
    <w:rsid w:val="00286F65"/>
    <w:rsid w:val="002A0E5E"/>
    <w:rsid w:val="002A2D57"/>
    <w:rsid w:val="002A2E90"/>
    <w:rsid w:val="002A677E"/>
    <w:rsid w:val="002A68D8"/>
    <w:rsid w:val="002B08FF"/>
    <w:rsid w:val="002B0A5B"/>
    <w:rsid w:val="002B0AB0"/>
    <w:rsid w:val="002B28AE"/>
    <w:rsid w:val="002B4C13"/>
    <w:rsid w:val="002B7067"/>
    <w:rsid w:val="002C0C29"/>
    <w:rsid w:val="002C1105"/>
    <w:rsid w:val="002C598A"/>
    <w:rsid w:val="002D068E"/>
    <w:rsid w:val="002D78D9"/>
    <w:rsid w:val="002E1BD8"/>
    <w:rsid w:val="002E314C"/>
    <w:rsid w:val="002F1455"/>
    <w:rsid w:val="002F224A"/>
    <w:rsid w:val="002F4DC4"/>
    <w:rsid w:val="002F5BC3"/>
    <w:rsid w:val="0030158C"/>
    <w:rsid w:val="00302A14"/>
    <w:rsid w:val="00306A20"/>
    <w:rsid w:val="00307E8A"/>
    <w:rsid w:val="00311FFA"/>
    <w:rsid w:val="003127BE"/>
    <w:rsid w:val="00312E16"/>
    <w:rsid w:val="00315329"/>
    <w:rsid w:val="0031535B"/>
    <w:rsid w:val="003157D8"/>
    <w:rsid w:val="00317A12"/>
    <w:rsid w:val="00320EF8"/>
    <w:rsid w:val="00323C40"/>
    <w:rsid w:val="00324F4D"/>
    <w:rsid w:val="00327D33"/>
    <w:rsid w:val="0033466B"/>
    <w:rsid w:val="00334F79"/>
    <w:rsid w:val="00335A9D"/>
    <w:rsid w:val="00335E1F"/>
    <w:rsid w:val="00337300"/>
    <w:rsid w:val="00340F77"/>
    <w:rsid w:val="00341409"/>
    <w:rsid w:val="00342F48"/>
    <w:rsid w:val="003446D3"/>
    <w:rsid w:val="00346CE3"/>
    <w:rsid w:val="0035600D"/>
    <w:rsid w:val="003563DD"/>
    <w:rsid w:val="0036046A"/>
    <w:rsid w:val="00360CD9"/>
    <w:rsid w:val="00364859"/>
    <w:rsid w:val="003651FA"/>
    <w:rsid w:val="00365379"/>
    <w:rsid w:val="00373D99"/>
    <w:rsid w:val="003743B5"/>
    <w:rsid w:val="003820FA"/>
    <w:rsid w:val="0038551D"/>
    <w:rsid w:val="00390F84"/>
    <w:rsid w:val="00396A0A"/>
    <w:rsid w:val="003A2A7A"/>
    <w:rsid w:val="003B0ACF"/>
    <w:rsid w:val="003B14DF"/>
    <w:rsid w:val="003B2CBD"/>
    <w:rsid w:val="003B5113"/>
    <w:rsid w:val="003B7A90"/>
    <w:rsid w:val="003C0D5F"/>
    <w:rsid w:val="003C6966"/>
    <w:rsid w:val="003C733C"/>
    <w:rsid w:val="003D3002"/>
    <w:rsid w:val="003D3F5C"/>
    <w:rsid w:val="003D6E92"/>
    <w:rsid w:val="003E19ED"/>
    <w:rsid w:val="003F3D5C"/>
    <w:rsid w:val="003F6EDC"/>
    <w:rsid w:val="00401C63"/>
    <w:rsid w:val="0040223A"/>
    <w:rsid w:val="004037C6"/>
    <w:rsid w:val="0040773E"/>
    <w:rsid w:val="00411216"/>
    <w:rsid w:val="0041160D"/>
    <w:rsid w:val="00415109"/>
    <w:rsid w:val="00416EF3"/>
    <w:rsid w:val="00423184"/>
    <w:rsid w:val="00425149"/>
    <w:rsid w:val="004273F7"/>
    <w:rsid w:val="004310BB"/>
    <w:rsid w:val="00431700"/>
    <w:rsid w:val="004324B4"/>
    <w:rsid w:val="0043524B"/>
    <w:rsid w:val="00442F9C"/>
    <w:rsid w:val="00446144"/>
    <w:rsid w:val="00447A73"/>
    <w:rsid w:val="00450475"/>
    <w:rsid w:val="00450686"/>
    <w:rsid w:val="0045107F"/>
    <w:rsid w:val="0045439A"/>
    <w:rsid w:val="00454EB1"/>
    <w:rsid w:val="004579C3"/>
    <w:rsid w:val="00460225"/>
    <w:rsid w:val="00460EBD"/>
    <w:rsid w:val="00462CC0"/>
    <w:rsid w:val="00462FEF"/>
    <w:rsid w:val="00466C1E"/>
    <w:rsid w:val="0047045E"/>
    <w:rsid w:val="00473AD6"/>
    <w:rsid w:val="00482FF9"/>
    <w:rsid w:val="00483D02"/>
    <w:rsid w:val="004840B8"/>
    <w:rsid w:val="00484686"/>
    <w:rsid w:val="004859E3"/>
    <w:rsid w:val="0049176B"/>
    <w:rsid w:val="004917EA"/>
    <w:rsid w:val="00491971"/>
    <w:rsid w:val="004923D9"/>
    <w:rsid w:val="00494309"/>
    <w:rsid w:val="00494593"/>
    <w:rsid w:val="00494B67"/>
    <w:rsid w:val="004A547F"/>
    <w:rsid w:val="004B116F"/>
    <w:rsid w:val="004B20E8"/>
    <w:rsid w:val="004B3F6D"/>
    <w:rsid w:val="004C569B"/>
    <w:rsid w:val="004D70CB"/>
    <w:rsid w:val="004E051D"/>
    <w:rsid w:val="004E3E77"/>
    <w:rsid w:val="004E4E21"/>
    <w:rsid w:val="004E7AEA"/>
    <w:rsid w:val="004F6443"/>
    <w:rsid w:val="004F6CC0"/>
    <w:rsid w:val="0051063E"/>
    <w:rsid w:val="0051105F"/>
    <w:rsid w:val="00514B2B"/>
    <w:rsid w:val="00514BDC"/>
    <w:rsid w:val="00525697"/>
    <w:rsid w:val="00535325"/>
    <w:rsid w:val="00542A5B"/>
    <w:rsid w:val="00543B84"/>
    <w:rsid w:val="0054539C"/>
    <w:rsid w:val="00551FD0"/>
    <w:rsid w:val="005526E3"/>
    <w:rsid w:val="005537EA"/>
    <w:rsid w:val="00562E6A"/>
    <w:rsid w:val="005638D9"/>
    <w:rsid w:val="00564AFF"/>
    <w:rsid w:val="00566DAE"/>
    <w:rsid w:val="00567E9D"/>
    <w:rsid w:val="00571AF0"/>
    <w:rsid w:val="00573068"/>
    <w:rsid w:val="0057541E"/>
    <w:rsid w:val="00581A66"/>
    <w:rsid w:val="00584ED7"/>
    <w:rsid w:val="00594173"/>
    <w:rsid w:val="00597EE4"/>
    <w:rsid w:val="005A0C82"/>
    <w:rsid w:val="005A1AC0"/>
    <w:rsid w:val="005A6CF3"/>
    <w:rsid w:val="005A6DA5"/>
    <w:rsid w:val="005A6EC9"/>
    <w:rsid w:val="005A7229"/>
    <w:rsid w:val="005A774D"/>
    <w:rsid w:val="005B0585"/>
    <w:rsid w:val="005B265D"/>
    <w:rsid w:val="005B78FA"/>
    <w:rsid w:val="005C1479"/>
    <w:rsid w:val="005C3EB5"/>
    <w:rsid w:val="005D02AA"/>
    <w:rsid w:val="005D1FF4"/>
    <w:rsid w:val="005D3AB7"/>
    <w:rsid w:val="005D3E71"/>
    <w:rsid w:val="005E3079"/>
    <w:rsid w:val="005E36C2"/>
    <w:rsid w:val="0061291B"/>
    <w:rsid w:val="00613BDD"/>
    <w:rsid w:val="00614787"/>
    <w:rsid w:val="00615DE4"/>
    <w:rsid w:val="00620923"/>
    <w:rsid w:val="00620D49"/>
    <w:rsid w:val="00625905"/>
    <w:rsid w:val="00635E1E"/>
    <w:rsid w:val="0063672D"/>
    <w:rsid w:val="006406F1"/>
    <w:rsid w:val="00641FE2"/>
    <w:rsid w:val="00646161"/>
    <w:rsid w:val="0064622F"/>
    <w:rsid w:val="006521A0"/>
    <w:rsid w:val="00652C08"/>
    <w:rsid w:val="00653862"/>
    <w:rsid w:val="00660652"/>
    <w:rsid w:val="006628A9"/>
    <w:rsid w:val="00662AD5"/>
    <w:rsid w:val="0067016A"/>
    <w:rsid w:val="006701EC"/>
    <w:rsid w:val="00697E6F"/>
    <w:rsid w:val="006A18A2"/>
    <w:rsid w:val="006A586A"/>
    <w:rsid w:val="006A5F6F"/>
    <w:rsid w:val="006B7864"/>
    <w:rsid w:val="006B7D9A"/>
    <w:rsid w:val="006C32B1"/>
    <w:rsid w:val="006C6349"/>
    <w:rsid w:val="006D5CEA"/>
    <w:rsid w:val="006D6138"/>
    <w:rsid w:val="006F2828"/>
    <w:rsid w:val="0070000C"/>
    <w:rsid w:val="00704783"/>
    <w:rsid w:val="00716D0C"/>
    <w:rsid w:val="00727891"/>
    <w:rsid w:val="0073239B"/>
    <w:rsid w:val="00736918"/>
    <w:rsid w:val="007371B4"/>
    <w:rsid w:val="0074452E"/>
    <w:rsid w:val="00746E1F"/>
    <w:rsid w:val="00756528"/>
    <w:rsid w:val="007631BA"/>
    <w:rsid w:val="00764091"/>
    <w:rsid w:val="00764ED2"/>
    <w:rsid w:val="0077778B"/>
    <w:rsid w:val="00783045"/>
    <w:rsid w:val="007879E6"/>
    <w:rsid w:val="00792EA1"/>
    <w:rsid w:val="00793482"/>
    <w:rsid w:val="00794F5C"/>
    <w:rsid w:val="007A1FB5"/>
    <w:rsid w:val="007A3A85"/>
    <w:rsid w:val="007A3F75"/>
    <w:rsid w:val="007A7731"/>
    <w:rsid w:val="007B2A21"/>
    <w:rsid w:val="007B3B67"/>
    <w:rsid w:val="007C345B"/>
    <w:rsid w:val="007C3DD1"/>
    <w:rsid w:val="007C4D13"/>
    <w:rsid w:val="007C56EB"/>
    <w:rsid w:val="007C618A"/>
    <w:rsid w:val="007C670D"/>
    <w:rsid w:val="007C7401"/>
    <w:rsid w:val="007C7661"/>
    <w:rsid w:val="007D12B6"/>
    <w:rsid w:val="007D2138"/>
    <w:rsid w:val="007D2563"/>
    <w:rsid w:val="007D321E"/>
    <w:rsid w:val="007D4222"/>
    <w:rsid w:val="007E2B1B"/>
    <w:rsid w:val="007E2FAC"/>
    <w:rsid w:val="007E64C8"/>
    <w:rsid w:val="007E7569"/>
    <w:rsid w:val="007F2E00"/>
    <w:rsid w:val="007F3B1F"/>
    <w:rsid w:val="007F632A"/>
    <w:rsid w:val="007F729A"/>
    <w:rsid w:val="008000BB"/>
    <w:rsid w:val="008058E7"/>
    <w:rsid w:val="00806D08"/>
    <w:rsid w:val="00811599"/>
    <w:rsid w:val="0081336F"/>
    <w:rsid w:val="008163CD"/>
    <w:rsid w:val="00820174"/>
    <w:rsid w:val="0082243D"/>
    <w:rsid w:val="00830A02"/>
    <w:rsid w:val="00833655"/>
    <w:rsid w:val="00835702"/>
    <w:rsid w:val="00841944"/>
    <w:rsid w:val="00853E04"/>
    <w:rsid w:val="00855773"/>
    <w:rsid w:val="00856CEC"/>
    <w:rsid w:val="00862BEC"/>
    <w:rsid w:val="00863702"/>
    <w:rsid w:val="008676EE"/>
    <w:rsid w:val="00867943"/>
    <w:rsid w:val="00870812"/>
    <w:rsid w:val="008720F8"/>
    <w:rsid w:val="00881751"/>
    <w:rsid w:val="00892A3E"/>
    <w:rsid w:val="008947F3"/>
    <w:rsid w:val="008A0B75"/>
    <w:rsid w:val="008A0E1C"/>
    <w:rsid w:val="008A4BA3"/>
    <w:rsid w:val="008B1E58"/>
    <w:rsid w:val="008C1A38"/>
    <w:rsid w:val="008C6E0A"/>
    <w:rsid w:val="008D181A"/>
    <w:rsid w:val="008D3CD9"/>
    <w:rsid w:val="008E0395"/>
    <w:rsid w:val="008E3BAA"/>
    <w:rsid w:val="00900DD4"/>
    <w:rsid w:val="00901107"/>
    <w:rsid w:val="00904CE4"/>
    <w:rsid w:val="009109A4"/>
    <w:rsid w:val="00916383"/>
    <w:rsid w:val="009172E7"/>
    <w:rsid w:val="00933F31"/>
    <w:rsid w:val="00946ADF"/>
    <w:rsid w:val="00950E76"/>
    <w:rsid w:val="00954808"/>
    <w:rsid w:val="0095511C"/>
    <w:rsid w:val="00955BC4"/>
    <w:rsid w:val="00957B72"/>
    <w:rsid w:val="009608CC"/>
    <w:rsid w:val="00961E66"/>
    <w:rsid w:val="00962A05"/>
    <w:rsid w:val="00964C39"/>
    <w:rsid w:val="0097105C"/>
    <w:rsid w:val="00971604"/>
    <w:rsid w:val="009727FF"/>
    <w:rsid w:val="00975C9B"/>
    <w:rsid w:val="009766C5"/>
    <w:rsid w:val="009775AA"/>
    <w:rsid w:val="0098231D"/>
    <w:rsid w:val="00986373"/>
    <w:rsid w:val="009871CD"/>
    <w:rsid w:val="00987A03"/>
    <w:rsid w:val="009924D4"/>
    <w:rsid w:val="00993ACE"/>
    <w:rsid w:val="009948F3"/>
    <w:rsid w:val="009950D9"/>
    <w:rsid w:val="0099520C"/>
    <w:rsid w:val="009A0132"/>
    <w:rsid w:val="009A3B3F"/>
    <w:rsid w:val="009A5C86"/>
    <w:rsid w:val="009A60FF"/>
    <w:rsid w:val="009A64E0"/>
    <w:rsid w:val="009A7C5A"/>
    <w:rsid w:val="009B1AAE"/>
    <w:rsid w:val="009B1D77"/>
    <w:rsid w:val="009B5609"/>
    <w:rsid w:val="009B5CAB"/>
    <w:rsid w:val="009B7599"/>
    <w:rsid w:val="009C051B"/>
    <w:rsid w:val="009C5ACE"/>
    <w:rsid w:val="009C6A14"/>
    <w:rsid w:val="009C6D67"/>
    <w:rsid w:val="009D5A5C"/>
    <w:rsid w:val="009E40A9"/>
    <w:rsid w:val="009F0670"/>
    <w:rsid w:val="009F3D25"/>
    <w:rsid w:val="00A04DC4"/>
    <w:rsid w:val="00A0631D"/>
    <w:rsid w:val="00A06C5E"/>
    <w:rsid w:val="00A113F8"/>
    <w:rsid w:val="00A15F40"/>
    <w:rsid w:val="00A17105"/>
    <w:rsid w:val="00A2525A"/>
    <w:rsid w:val="00A252DB"/>
    <w:rsid w:val="00A27A56"/>
    <w:rsid w:val="00A301BF"/>
    <w:rsid w:val="00A30CDA"/>
    <w:rsid w:val="00A329E4"/>
    <w:rsid w:val="00A32C3A"/>
    <w:rsid w:val="00A34051"/>
    <w:rsid w:val="00A34823"/>
    <w:rsid w:val="00A35BAC"/>
    <w:rsid w:val="00A4093B"/>
    <w:rsid w:val="00A47D37"/>
    <w:rsid w:val="00A57307"/>
    <w:rsid w:val="00A609A3"/>
    <w:rsid w:val="00A676FA"/>
    <w:rsid w:val="00A70114"/>
    <w:rsid w:val="00A70DCF"/>
    <w:rsid w:val="00A776D6"/>
    <w:rsid w:val="00A83A5B"/>
    <w:rsid w:val="00A8564D"/>
    <w:rsid w:val="00A8648C"/>
    <w:rsid w:val="00A869B3"/>
    <w:rsid w:val="00A87F35"/>
    <w:rsid w:val="00A92BCE"/>
    <w:rsid w:val="00A95B99"/>
    <w:rsid w:val="00AA3C54"/>
    <w:rsid w:val="00AB115D"/>
    <w:rsid w:val="00AB7055"/>
    <w:rsid w:val="00AC1660"/>
    <w:rsid w:val="00AD0709"/>
    <w:rsid w:val="00AD23A0"/>
    <w:rsid w:val="00AD5E11"/>
    <w:rsid w:val="00AD61B3"/>
    <w:rsid w:val="00AD6CFA"/>
    <w:rsid w:val="00AE35F1"/>
    <w:rsid w:val="00AE706B"/>
    <w:rsid w:val="00AE7646"/>
    <w:rsid w:val="00AF1248"/>
    <w:rsid w:val="00AF3262"/>
    <w:rsid w:val="00B000A8"/>
    <w:rsid w:val="00B013DB"/>
    <w:rsid w:val="00B049E1"/>
    <w:rsid w:val="00B04B53"/>
    <w:rsid w:val="00B1677E"/>
    <w:rsid w:val="00B2767C"/>
    <w:rsid w:val="00B27CA0"/>
    <w:rsid w:val="00B32664"/>
    <w:rsid w:val="00B346C9"/>
    <w:rsid w:val="00B35D84"/>
    <w:rsid w:val="00B62EA6"/>
    <w:rsid w:val="00B65145"/>
    <w:rsid w:val="00B6553E"/>
    <w:rsid w:val="00B66900"/>
    <w:rsid w:val="00B67561"/>
    <w:rsid w:val="00B67569"/>
    <w:rsid w:val="00B7357C"/>
    <w:rsid w:val="00B80AED"/>
    <w:rsid w:val="00B84003"/>
    <w:rsid w:val="00B85C17"/>
    <w:rsid w:val="00B92A71"/>
    <w:rsid w:val="00BA4B41"/>
    <w:rsid w:val="00BA4C64"/>
    <w:rsid w:val="00BA5F6B"/>
    <w:rsid w:val="00BB7EBD"/>
    <w:rsid w:val="00BC047D"/>
    <w:rsid w:val="00BC18FE"/>
    <w:rsid w:val="00BC3390"/>
    <w:rsid w:val="00BC39B8"/>
    <w:rsid w:val="00BC6443"/>
    <w:rsid w:val="00BC73FF"/>
    <w:rsid w:val="00BC7610"/>
    <w:rsid w:val="00BC7FB2"/>
    <w:rsid w:val="00BD3E2F"/>
    <w:rsid w:val="00BD7CA2"/>
    <w:rsid w:val="00BE0D0F"/>
    <w:rsid w:val="00BE23DC"/>
    <w:rsid w:val="00BF786D"/>
    <w:rsid w:val="00C005EC"/>
    <w:rsid w:val="00C0067E"/>
    <w:rsid w:val="00C00F5A"/>
    <w:rsid w:val="00C0515B"/>
    <w:rsid w:val="00C066D8"/>
    <w:rsid w:val="00C10297"/>
    <w:rsid w:val="00C1093D"/>
    <w:rsid w:val="00C22C86"/>
    <w:rsid w:val="00C2408C"/>
    <w:rsid w:val="00C34306"/>
    <w:rsid w:val="00C43054"/>
    <w:rsid w:val="00C445FE"/>
    <w:rsid w:val="00C47C51"/>
    <w:rsid w:val="00C505E1"/>
    <w:rsid w:val="00C53125"/>
    <w:rsid w:val="00C56739"/>
    <w:rsid w:val="00C623FB"/>
    <w:rsid w:val="00C63BBD"/>
    <w:rsid w:val="00C66E64"/>
    <w:rsid w:val="00C71147"/>
    <w:rsid w:val="00C71381"/>
    <w:rsid w:val="00C7286F"/>
    <w:rsid w:val="00C9304F"/>
    <w:rsid w:val="00C954AE"/>
    <w:rsid w:val="00C97A45"/>
    <w:rsid w:val="00CA080C"/>
    <w:rsid w:val="00CA0FB3"/>
    <w:rsid w:val="00CC2CF3"/>
    <w:rsid w:val="00CD00B8"/>
    <w:rsid w:val="00CD5BB5"/>
    <w:rsid w:val="00CE0A89"/>
    <w:rsid w:val="00CE167D"/>
    <w:rsid w:val="00CE66BB"/>
    <w:rsid w:val="00CE6FCC"/>
    <w:rsid w:val="00CE7BE3"/>
    <w:rsid w:val="00CF01D3"/>
    <w:rsid w:val="00CF0B6A"/>
    <w:rsid w:val="00CF23FA"/>
    <w:rsid w:val="00CF750E"/>
    <w:rsid w:val="00D073B7"/>
    <w:rsid w:val="00D1119C"/>
    <w:rsid w:val="00D167B6"/>
    <w:rsid w:val="00D21C38"/>
    <w:rsid w:val="00D245B9"/>
    <w:rsid w:val="00D27DDB"/>
    <w:rsid w:val="00D31085"/>
    <w:rsid w:val="00D3267F"/>
    <w:rsid w:val="00D464DE"/>
    <w:rsid w:val="00D47084"/>
    <w:rsid w:val="00D507A2"/>
    <w:rsid w:val="00D50878"/>
    <w:rsid w:val="00D50BC0"/>
    <w:rsid w:val="00D52A8C"/>
    <w:rsid w:val="00D55A4D"/>
    <w:rsid w:val="00D60195"/>
    <w:rsid w:val="00D73212"/>
    <w:rsid w:val="00D74005"/>
    <w:rsid w:val="00D80D8B"/>
    <w:rsid w:val="00DA126A"/>
    <w:rsid w:val="00DA3458"/>
    <w:rsid w:val="00DA62F5"/>
    <w:rsid w:val="00DA79D0"/>
    <w:rsid w:val="00DC0EA8"/>
    <w:rsid w:val="00DC2B78"/>
    <w:rsid w:val="00DD2D58"/>
    <w:rsid w:val="00DD3E0F"/>
    <w:rsid w:val="00DD40E4"/>
    <w:rsid w:val="00DD4378"/>
    <w:rsid w:val="00DD56EA"/>
    <w:rsid w:val="00DE496B"/>
    <w:rsid w:val="00DE4BD4"/>
    <w:rsid w:val="00DE7CA6"/>
    <w:rsid w:val="00DE7D6E"/>
    <w:rsid w:val="00DF2CFE"/>
    <w:rsid w:val="00DF3B01"/>
    <w:rsid w:val="00DF7612"/>
    <w:rsid w:val="00DF7B78"/>
    <w:rsid w:val="00E04CD7"/>
    <w:rsid w:val="00E106F2"/>
    <w:rsid w:val="00E20C7A"/>
    <w:rsid w:val="00E21619"/>
    <w:rsid w:val="00E24F43"/>
    <w:rsid w:val="00E2534A"/>
    <w:rsid w:val="00E31015"/>
    <w:rsid w:val="00E34330"/>
    <w:rsid w:val="00E44376"/>
    <w:rsid w:val="00E44F65"/>
    <w:rsid w:val="00E45ECB"/>
    <w:rsid w:val="00E50A1A"/>
    <w:rsid w:val="00E52B48"/>
    <w:rsid w:val="00E53B94"/>
    <w:rsid w:val="00E57755"/>
    <w:rsid w:val="00E60A9B"/>
    <w:rsid w:val="00E62143"/>
    <w:rsid w:val="00E66CF7"/>
    <w:rsid w:val="00E66FB5"/>
    <w:rsid w:val="00E70CD7"/>
    <w:rsid w:val="00E723F8"/>
    <w:rsid w:val="00E73256"/>
    <w:rsid w:val="00E740D2"/>
    <w:rsid w:val="00E7569C"/>
    <w:rsid w:val="00E84C97"/>
    <w:rsid w:val="00E84D6D"/>
    <w:rsid w:val="00E94760"/>
    <w:rsid w:val="00EB1ED7"/>
    <w:rsid w:val="00EB2F5E"/>
    <w:rsid w:val="00EB4DB4"/>
    <w:rsid w:val="00EC21F5"/>
    <w:rsid w:val="00EC2C0B"/>
    <w:rsid w:val="00EC65C1"/>
    <w:rsid w:val="00EC6AC9"/>
    <w:rsid w:val="00EC6B8C"/>
    <w:rsid w:val="00ED0BBF"/>
    <w:rsid w:val="00ED1941"/>
    <w:rsid w:val="00ED7E56"/>
    <w:rsid w:val="00EE416C"/>
    <w:rsid w:val="00EF1402"/>
    <w:rsid w:val="00EF1D3F"/>
    <w:rsid w:val="00F01D5E"/>
    <w:rsid w:val="00F10250"/>
    <w:rsid w:val="00F10D2E"/>
    <w:rsid w:val="00F10F85"/>
    <w:rsid w:val="00F14767"/>
    <w:rsid w:val="00F17403"/>
    <w:rsid w:val="00F2006E"/>
    <w:rsid w:val="00F25D08"/>
    <w:rsid w:val="00F341CA"/>
    <w:rsid w:val="00F35DC3"/>
    <w:rsid w:val="00F42249"/>
    <w:rsid w:val="00F4274F"/>
    <w:rsid w:val="00F42972"/>
    <w:rsid w:val="00F43AE2"/>
    <w:rsid w:val="00F45AD5"/>
    <w:rsid w:val="00F504AB"/>
    <w:rsid w:val="00F54010"/>
    <w:rsid w:val="00F55DD5"/>
    <w:rsid w:val="00F612BD"/>
    <w:rsid w:val="00F66096"/>
    <w:rsid w:val="00F734A5"/>
    <w:rsid w:val="00F8547D"/>
    <w:rsid w:val="00F86073"/>
    <w:rsid w:val="00F87E24"/>
    <w:rsid w:val="00F929EB"/>
    <w:rsid w:val="00F92AD1"/>
    <w:rsid w:val="00F95254"/>
    <w:rsid w:val="00FA462C"/>
    <w:rsid w:val="00FA7A4E"/>
    <w:rsid w:val="00FB48D9"/>
    <w:rsid w:val="00FB7460"/>
    <w:rsid w:val="00FC3B2C"/>
    <w:rsid w:val="00FC3F66"/>
    <w:rsid w:val="00FC57D7"/>
    <w:rsid w:val="00FC6029"/>
    <w:rsid w:val="00FD2A44"/>
    <w:rsid w:val="00FE2162"/>
    <w:rsid w:val="00FE4F6E"/>
    <w:rsid w:val="00FF063B"/>
    <w:rsid w:val="00FF1431"/>
    <w:rsid w:val="00FF4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EB107"/>
  <w15:chartTrackingRefBased/>
  <w15:docId w15:val="{A0EBB30E-612A-44EE-8F45-6BA59BE1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29A"/>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106F2"/>
    <w:pPr>
      <w:spacing w:after="0" w:line="240" w:lineRule="auto"/>
    </w:pPr>
    <w:rPr>
      <w:sz w:val="20"/>
      <w:szCs w:val="20"/>
    </w:rPr>
  </w:style>
  <w:style w:type="character" w:customStyle="1" w:styleId="a4">
    <w:name w:val="Текст сноски Знак"/>
    <w:basedOn w:val="a0"/>
    <w:link w:val="a3"/>
    <w:uiPriority w:val="99"/>
    <w:rsid w:val="00E106F2"/>
    <w:rPr>
      <w:sz w:val="20"/>
      <w:szCs w:val="20"/>
      <w:lang w:val="en-GB"/>
    </w:rPr>
  </w:style>
  <w:style w:type="character" w:styleId="a5">
    <w:name w:val="footnote reference"/>
    <w:basedOn w:val="a0"/>
    <w:uiPriority w:val="99"/>
    <w:semiHidden/>
    <w:unhideWhenUsed/>
    <w:rsid w:val="00E106F2"/>
    <w:rPr>
      <w:vertAlign w:val="superscript"/>
    </w:rPr>
  </w:style>
  <w:style w:type="character" w:styleId="a6">
    <w:name w:val="Hyperlink"/>
    <w:basedOn w:val="a0"/>
    <w:uiPriority w:val="99"/>
    <w:unhideWhenUsed/>
    <w:rsid w:val="00C63BBD"/>
    <w:rPr>
      <w:color w:val="0563C1" w:themeColor="hyperlink"/>
      <w:u w:val="single"/>
    </w:rPr>
  </w:style>
  <w:style w:type="paragraph" w:styleId="a7">
    <w:name w:val="List Paragraph"/>
    <w:basedOn w:val="a"/>
    <w:uiPriority w:val="34"/>
    <w:qFormat/>
    <w:rsid w:val="0035600D"/>
    <w:pPr>
      <w:ind w:left="720"/>
      <w:contextualSpacing/>
    </w:pPr>
  </w:style>
  <w:style w:type="paragraph" w:styleId="a8">
    <w:name w:val="Balloon Text"/>
    <w:basedOn w:val="a"/>
    <w:link w:val="a9"/>
    <w:uiPriority w:val="99"/>
    <w:semiHidden/>
    <w:unhideWhenUsed/>
    <w:rsid w:val="0098231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8231D"/>
    <w:rPr>
      <w:rFonts w:ascii="Segoe UI" w:hAnsi="Segoe UI" w:cs="Segoe UI"/>
      <w:sz w:val="18"/>
      <w:szCs w:val="18"/>
      <w:lang w:val="en-GB"/>
    </w:rPr>
  </w:style>
  <w:style w:type="character" w:styleId="aa">
    <w:name w:val="FollowedHyperlink"/>
    <w:basedOn w:val="a0"/>
    <w:uiPriority w:val="99"/>
    <w:semiHidden/>
    <w:unhideWhenUsed/>
    <w:rsid w:val="00F01D5E"/>
    <w:rPr>
      <w:color w:val="954F72" w:themeColor="followedHyperlink"/>
      <w:u w:val="single"/>
    </w:rPr>
  </w:style>
  <w:style w:type="paragraph" w:styleId="ab">
    <w:name w:val="header"/>
    <w:basedOn w:val="a"/>
    <w:link w:val="ac"/>
    <w:uiPriority w:val="99"/>
    <w:unhideWhenUsed/>
    <w:rsid w:val="003C6966"/>
    <w:pPr>
      <w:tabs>
        <w:tab w:val="center" w:pos="4680"/>
        <w:tab w:val="right" w:pos="9360"/>
      </w:tabs>
      <w:spacing w:after="0" w:line="240" w:lineRule="auto"/>
    </w:pPr>
  </w:style>
  <w:style w:type="character" w:customStyle="1" w:styleId="ac">
    <w:name w:val="Верхний колонтитул Знак"/>
    <w:basedOn w:val="a0"/>
    <w:link w:val="ab"/>
    <w:uiPriority w:val="99"/>
    <w:rsid w:val="003C6966"/>
    <w:rPr>
      <w:lang w:val="en-GB"/>
    </w:rPr>
  </w:style>
  <w:style w:type="paragraph" w:styleId="ad">
    <w:name w:val="footer"/>
    <w:basedOn w:val="a"/>
    <w:link w:val="ae"/>
    <w:uiPriority w:val="99"/>
    <w:unhideWhenUsed/>
    <w:rsid w:val="003C6966"/>
    <w:pPr>
      <w:tabs>
        <w:tab w:val="center" w:pos="4680"/>
        <w:tab w:val="right" w:pos="9360"/>
      </w:tabs>
      <w:spacing w:after="0" w:line="240" w:lineRule="auto"/>
    </w:pPr>
  </w:style>
  <w:style w:type="character" w:customStyle="1" w:styleId="ae">
    <w:name w:val="Нижний колонтитул Знак"/>
    <w:basedOn w:val="a0"/>
    <w:link w:val="ad"/>
    <w:uiPriority w:val="99"/>
    <w:rsid w:val="003C6966"/>
    <w:rPr>
      <w:lang w:val="en-GB"/>
    </w:rPr>
  </w:style>
  <w:style w:type="paragraph" w:styleId="af">
    <w:name w:val="Revision"/>
    <w:hidden/>
    <w:uiPriority w:val="99"/>
    <w:semiHidden/>
    <w:rsid w:val="005D3AB7"/>
    <w:pPr>
      <w:spacing w:after="0" w:line="240" w:lineRule="auto"/>
    </w:pPr>
    <w:rPr>
      <w:lang w:val="en-GB"/>
    </w:rPr>
  </w:style>
  <w:style w:type="paragraph" w:customStyle="1" w:styleId="Disclaimer">
    <w:name w:val="Disclaimer"/>
    <w:basedOn w:val="a"/>
    <w:qFormat/>
    <w:rsid w:val="005D3AB7"/>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BlackStrips">
    <w:name w:val="Black Strips"/>
    <w:basedOn w:val="a"/>
    <w:qFormat/>
    <w:rsid w:val="005D3AB7"/>
    <w:pPr>
      <w:shd w:val="clear" w:color="auto" w:fill="000000"/>
      <w:spacing w:after="200" w:line="240" w:lineRule="auto"/>
      <w:jc w:val="center"/>
    </w:pPr>
    <w:rPr>
      <w:rFonts w:eastAsiaTheme="minorHAnsi"/>
      <w:color w:val="FFFFFF"/>
      <w:sz w:val="24"/>
      <w:szCs w:val="24"/>
      <w:lang w:val="en-US" w:eastAsia="en-US"/>
    </w:rPr>
  </w:style>
  <w:style w:type="paragraph" w:customStyle="1" w:styleId="DisclaimerBold">
    <w:name w:val="Disclaimer Bold"/>
    <w:basedOn w:val="Disclaimer"/>
    <w:qFormat/>
    <w:rsid w:val="005D3AB7"/>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75757">
      <w:bodyDiv w:val="1"/>
      <w:marLeft w:val="0"/>
      <w:marRight w:val="0"/>
      <w:marTop w:val="0"/>
      <w:marBottom w:val="0"/>
      <w:divBdr>
        <w:top w:val="none" w:sz="0" w:space="0" w:color="auto"/>
        <w:left w:val="none" w:sz="0" w:space="0" w:color="auto"/>
        <w:bottom w:val="none" w:sz="0" w:space="0" w:color="auto"/>
        <w:right w:val="none" w:sz="0" w:space="0" w:color="auto"/>
      </w:divBdr>
    </w:div>
    <w:div w:id="791752491">
      <w:bodyDiv w:val="1"/>
      <w:marLeft w:val="0"/>
      <w:marRight w:val="0"/>
      <w:marTop w:val="0"/>
      <w:marBottom w:val="0"/>
      <w:divBdr>
        <w:top w:val="none" w:sz="0" w:space="0" w:color="auto"/>
        <w:left w:val="none" w:sz="0" w:space="0" w:color="auto"/>
        <w:bottom w:val="none" w:sz="0" w:space="0" w:color="auto"/>
        <w:right w:val="none" w:sz="0" w:space="0" w:color="auto"/>
      </w:divBdr>
      <w:divsChild>
        <w:div w:id="801120136">
          <w:marLeft w:val="0"/>
          <w:marRight w:val="0"/>
          <w:marTop w:val="360"/>
          <w:marBottom w:val="0"/>
          <w:divBdr>
            <w:top w:val="none" w:sz="0" w:space="0" w:color="auto"/>
            <w:left w:val="none" w:sz="0" w:space="0" w:color="auto"/>
            <w:bottom w:val="none" w:sz="0" w:space="0" w:color="auto"/>
            <w:right w:val="none" w:sz="0" w:space="0" w:color="auto"/>
          </w:divBdr>
        </w:div>
      </w:divsChild>
    </w:div>
    <w:div w:id="1131289092">
      <w:bodyDiv w:val="1"/>
      <w:marLeft w:val="0"/>
      <w:marRight w:val="0"/>
      <w:marTop w:val="0"/>
      <w:marBottom w:val="0"/>
      <w:divBdr>
        <w:top w:val="none" w:sz="0" w:space="0" w:color="auto"/>
        <w:left w:val="none" w:sz="0" w:space="0" w:color="auto"/>
        <w:bottom w:val="none" w:sz="0" w:space="0" w:color="auto"/>
        <w:right w:val="none" w:sz="0" w:space="0" w:color="auto"/>
      </w:divBdr>
    </w:div>
    <w:div w:id="152470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sfc-circular-to-licensed-corporations-on-review-of-online-brokerage-distribution-and-advisory-services-in-hong-kong/" TargetMode="External"/><Relationship Id="rId13" Type="http://schemas.openxmlformats.org/officeDocument/2006/relationships/hyperlink" Target="https://apps.sfc.hk/edistributionWeb/gateway/EN/circular/intermediaries/supervision/doc?refNo=19EC46" TargetMode="External"/><Relationship Id="rId18" Type="http://schemas.openxmlformats.org/officeDocument/2006/relationships/hyperlink" Target="https://apps.sfc.hk/edistributionWeb/gateway/EN/circular/suitability/doc?refNo=22EC10" TargetMode="External"/><Relationship Id="rId26" Type="http://schemas.openxmlformats.org/officeDocument/2006/relationships/hyperlink" Target="https://www.sfc.hk/-/media/EN/files/IS/publications/Cybersecurity-review-report__EN.pdf" TargetMode="External"/><Relationship Id="rId3" Type="http://schemas.openxmlformats.org/officeDocument/2006/relationships/styles" Target="styles.xml"/><Relationship Id="rId21" Type="http://schemas.openxmlformats.org/officeDocument/2006/relationships/hyperlink" Target="https://www.sfc.hk/-/media/EN/assets/components/codes/files-current/web/guidelines/guidelines-on-online-distribution-and-advisory-platforms/guidelines-on-online-distribution-and-advisory-platforms.pdf" TargetMode="External"/><Relationship Id="rId7" Type="http://schemas.openxmlformats.org/officeDocument/2006/relationships/endnotes" Target="endnotes.xml"/><Relationship Id="rId12" Type="http://schemas.openxmlformats.org/officeDocument/2006/relationships/hyperlink" Target="https://www.sfc.hk/en/Rules-and-standards/Account-opening/Acceptable-account-opening-approaches" TargetMode="External"/><Relationship Id="rId17" Type="http://schemas.openxmlformats.org/officeDocument/2006/relationships/hyperlink" Target="https://apps.sfc.hk/edistributionWeb/gateway/EN/circular/suitability/doc?refNo=18EC89" TargetMode="External"/><Relationship Id="rId25" Type="http://schemas.openxmlformats.org/officeDocument/2006/relationships/hyperlink" Target="https://apps.sfc.hk/edistributionWeb/gateway/EN/circular/intermediaries/supervision/doc?refNo=20EC58" TargetMode="External"/><Relationship Id="rId2" Type="http://schemas.openxmlformats.org/officeDocument/2006/relationships/numbering" Target="numbering.xml"/><Relationship Id="rId16" Type="http://schemas.openxmlformats.org/officeDocument/2006/relationships/hyperlink" Target="https://www.sfc.hk/en/faqs/intermediaries/supervision/Compliance-with-Suitability-Obligations/Compliance-with-Suitability-Obligations" TargetMode="External"/><Relationship Id="rId20" Type="http://schemas.openxmlformats.org/officeDocument/2006/relationships/hyperlink" Target="https://www.sfc.hk/en/faqs/intermediaries/supervision/Compliance-with-Suitability-Obligations/Compliance-with-Suitability-Oblig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ma.gov.hk/media/eng/doc/key-information/guidelines-and-circular/2022/20220901e1.pdf" TargetMode="External"/><Relationship Id="rId24" Type="http://schemas.openxmlformats.org/officeDocument/2006/relationships/hyperlink" Target="https://www.sfc.hk/en/faqs/intermediaries/supervision/Cybersecurity/Cybersecurity" TargetMode="External"/><Relationship Id="rId5" Type="http://schemas.openxmlformats.org/officeDocument/2006/relationships/webSettings" Target="webSettings.xml"/><Relationship Id="rId15" Type="http://schemas.openxmlformats.org/officeDocument/2006/relationships/hyperlink" Target="https://www.sfc.hk/-/media/EN/assets/components/codes/files-current/web/guidelines/guidelines-on-online-distribution-and-advisory-platforms/guidelines-on-online-distribution-and-advisory-platforms.pdf" TargetMode="External"/><Relationship Id="rId23" Type="http://schemas.openxmlformats.org/officeDocument/2006/relationships/hyperlink" Target="https://www.sfc.hk/-/media/EN/assets/components/codes/files-current/web/guidelines/guidelines-for-reducing-and-mitigating-hacking-risks-associated-with-internet-trading/guidelines-for-reducing-and-mitigating-hacking-risks-associated-with-internet-trading.pdf" TargetMode="External"/><Relationship Id="rId28" Type="http://schemas.openxmlformats.org/officeDocument/2006/relationships/hyperlink" Target="mailto:unsubscribe@charltonslaw.com?subject=unsubscribe%20-Hong%20Kong%20Law-" TargetMode="External"/><Relationship Id="rId10" Type="http://schemas.openxmlformats.org/officeDocument/2006/relationships/hyperlink" Target="https://apps.sfc.hk/edistributionWeb/api/circular/openAppendix?lang=EN&amp;refNo=22EC52&amp;appendix=0" TargetMode="External"/><Relationship Id="rId19" Type="http://schemas.openxmlformats.org/officeDocument/2006/relationships/hyperlink" Target="https://www.sfc.hk/-/media/EN/assets/components/codes/files-current/web/guidelines/guidelines-on-online-distribution-and-advisory-platforms/guidelines-on-online-distribution-and-advisory-platform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pps.sfc.hk/edistributionWeb/api/circular/openFile?lang=EN&amp;refNo=22EC52" TargetMode="External"/><Relationship Id="rId14" Type="http://schemas.openxmlformats.org/officeDocument/2006/relationships/hyperlink" Target="https://www.sfc.hk/-/media/EN/assets/components/codes/files-current/web/codes/code-of-conduct-for-persons-licensed-by-or-registered-with-the-securities-and-futures-commission/Code_of_conduct_05082022_Eng.pdf" TargetMode="External"/><Relationship Id="rId22" Type="http://schemas.openxmlformats.org/officeDocument/2006/relationships/hyperlink" Target="https://www.sfc.hk/en/faqs/intermediaries/supervision/Guidelines-on-Online-Distribution-and-Advisory-Platforms/Guidelines-on-Online-Distribution-and-Advisory-Platforms" TargetMode="External"/><Relationship Id="rId27" Type="http://schemas.openxmlformats.org/officeDocument/2006/relationships/hyperlink" Target="https://apps.sfc.hk/edistributionWeb/gateway/EN/circular/intermediaries/supervision/doc?refNo=22EC3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7AA0-1247-4A3A-96F7-C324445D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Yuen</dc:creator>
  <cp:keywords/>
  <dc:description/>
  <cp:lastModifiedBy>Александр Пирогов</cp:lastModifiedBy>
  <cp:revision>5</cp:revision>
  <cp:lastPrinted>2022-08-19T06:15:00Z</cp:lastPrinted>
  <dcterms:created xsi:type="dcterms:W3CDTF">2022-10-10T06:19:00Z</dcterms:created>
  <dcterms:modified xsi:type="dcterms:W3CDTF">2022-10-10T08:20:00Z</dcterms:modified>
</cp:coreProperties>
</file>