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4C3" w:rsidRPr="00C13D3D" w:rsidRDefault="00973AC5" w:rsidP="00DA14C3">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- 1</w:t>
      </w:r>
      <w:r w:rsidR="00365171">
        <w:rPr>
          <w:rFonts w:ascii="Cambria" w:eastAsia="Cambria" w:hAnsi="Cambria" w:cs="Times New Roman"/>
          <w:color w:val="FFFFFF"/>
          <w:sz w:val="24"/>
          <w:szCs w:val="24"/>
          <w:lang w:eastAsia="en-US"/>
        </w:rPr>
        <w:t>9</w:t>
      </w:r>
      <w:r w:rsidR="00DA14C3" w:rsidRPr="00C13D3D">
        <w:rPr>
          <w:rFonts w:ascii="Cambria" w:eastAsia="Cambria" w:hAnsi="Cambria" w:cs="Times New Roman"/>
          <w:color w:val="FFFFFF"/>
          <w:sz w:val="24"/>
          <w:szCs w:val="24"/>
          <w:lang w:eastAsia="en-US"/>
        </w:rPr>
        <w:t xml:space="preserve"> </w:t>
      </w:r>
      <w:r w:rsidR="005F7B40">
        <w:rPr>
          <w:rFonts w:ascii="Cambria" w:eastAsia="Cambria" w:hAnsi="Cambria" w:cs="Times New Roman"/>
          <w:color w:val="FFFFFF"/>
          <w:sz w:val="24"/>
          <w:szCs w:val="24"/>
          <w:lang w:eastAsia="en-US"/>
        </w:rPr>
        <w:t>September</w:t>
      </w:r>
      <w:r w:rsidR="00DA14C3">
        <w:rPr>
          <w:rFonts w:ascii="Cambria" w:eastAsia="Cambria" w:hAnsi="Cambria" w:cs="Times New Roman"/>
          <w:color w:val="FFFFFF"/>
          <w:sz w:val="24"/>
          <w:szCs w:val="24"/>
          <w:lang w:eastAsia="en-US"/>
        </w:rPr>
        <w:t xml:space="preserve"> </w:t>
      </w:r>
      <w:r w:rsidR="00DA14C3" w:rsidRPr="00C13D3D">
        <w:rPr>
          <w:rFonts w:ascii="Cambria" w:eastAsia="Cambria" w:hAnsi="Cambria" w:cs="Times New Roman"/>
          <w:color w:val="FFFFFF"/>
          <w:sz w:val="24"/>
          <w:szCs w:val="24"/>
          <w:lang w:eastAsia="en-US"/>
        </w:rPr>
        <w:t>2022</w:t>
      </w:r>
    </w:p>
    <w:p w:rsidR="00DA14C3" w:rsidRPr="00C13D3D" w:rsidRDefault="00000000" w:rsidP="00DA14C3">
      <w:pPr>
        <w:spacing w:after="200" w:line="240" w:lineRule="auto"/>
        <w:jc w:val="center"/>
        <w:rPr>
          <w:rFonts w:ascii="Cambria" w:eastAsia="Cambria" w:hAnsi="Cambria" w:cs="Times New Roman"/>
          <w:color w:val="00000A"/>
          <w:sz w:val="28"/>
          <w:szCs w:val="24"/>
          <w:u w:val="single"/>
          <w:lang w:eastAsia="en-US"/>
        </w:rPr>
      </w:pPr>
      <w:hyperlink r:id="rId8" w:history="1">
        <w:r w:rsidR="00DA14C3" w:rsidRPr="00365171">
          <w:rPr>
            <w:rStyle w:val="a4"/>
            <w:rFonts w:ascii="Cambria" w:eastAsia="Cambria" w:hAnsi="Cambria" w:cs="Times New Roman"/>
            <w:sz w:val="28"/>
            <w:szCs w:val="24"/>
            <w:lang w:eastAsia="en-US"/>
          </w:rPr>
          <w:t>online version</w:t>
        </w:r>
      </w:hyperlink>
    </w:p>
    <w:p w:rsidR="00DA14C3" w:rsidRPr="00C13D3D" w:rsidRDefault="00DA14C3" w:rsidP="00DA14C3">
      <w:pPr>
        <w:keepNext/>
        <w:keepLines/>
        <w:spacing w:before="480" w:after="240" w:line="240" w:lineRule="auto"/>
        <w:jc w:val="center"/>
        <w:rPr>
          <w:rFonts w:ascii="Cambria" w:eastAsia="SimSun" w:hAnsi="Cambria" w:cs="Times New Roman"/>
          <w:b/>
          <w:bCs/>
          <w:color w:val="C0143C"/>
          <w:sz w:val="36"/>
          <w:szCs w:val="36"/>
          <w:lang w:eastAsia="en-US"/>
        </w:rPr>
      </w:pPr>
      <w:proofErr w:type="spellStart"/>
      <w:r w:rsidRPr="00C13D3D">
        <w:rPr>
          <w:rFonts w:ascii="Cambria" w:eastAsia="SimSun" w:hAnsi="Cambria" w:cs="Times New Roman"/>
          <w:b/>
          <w:bCs/>
          <w:color w:val="C0143C"/>
          <w:sz w:val="36"/>
          <w:szCs w:val="36"/>
          <w:lang w:eastAsia="en-US"/>
        </w:rPr>
        <w:t>HKEx</w:t>
      </w:r>
      <w:proofErr w:type="spellEnd"/>
      <w:r w:rsidR="00806A1E">
        <w:rPr>
          <w:rFonts w:ascii="Cambria" w:eastAsia="SimSun" w:hAnsi="Cambria" w:cs="Times New Roman"/>
          <w:b/>
          <w:bCs/>
          <w:color w:val="C0143C"/>
          <w:sz w:val="36"/>
          <w:szCs w:val="36"/>
          <w:lang w:eastAsia="en-US"/>
        </w:rPr>
        <w:t xml:space="preserve">, </w:t>
      </w:r>
      <w:r w:rsidRPr="00C13D3D">
        <w:rPr>
          <w:rFonts w:ascii="Cambria" w:eastAsia="SimSun" w:hAnsi="Cambria" w:cs="Times New Roman"/>
          <w:b/>
          <w:bCs/>
          <w:color w:val="C0143C"/>
          <w:sz w:val="36"/>
          <w:szCs w:val="36"/>
          <w:lang w:eastAsia="en-US"/>
        </w:rPr>
        <w:t>SFC</w:t>
      </w:r>
      <w:r w:rsidR="00806A1E">
        <w:rPr>
          <w:rFonts w:ascii="Cambria" w:eastAsia="SimSun" w:hAnsi="Cambria" w:cs="Times New Roman"/>
          <w:b/>
          <w:bCs/>
          <w:color w:val="C0143C"/>
          <w:sz w:val="36"/>
          <w:szCs w:val="36"/>
          <w:lang w:eastAsia="en-US"/>
        </w:rPr>
        <w:t xml:space="preserve"> &amp; HKMA</w:t>
      </w:r>
      <w:r w:rsidRPr="00C13D3D">
        <w:rPr>
          <w:rFonts w:ascii="Cambria" w:eastAsia="SimSun" w:hAnsi="Cambria" w:cs="Times New Roman"/>
          <w:b/>
          <w:bCs/>
          <w:color w:val="C0143C"/>
          <w:sz w:val="36"/>
          <w:szCs w:val="36"/>
          <w:lang w:eastAsia="en-US"/>
        </w:rPr>
        <w:t xml:space="preserve"> Disciplinary Actions</w:t>
      </w:r>
      <w:r w:rsidR="00913FB2">
        <w:rPr>
          <w:rFonts w:ascii="Cambria" w:eastAsia="SimSun" w:hAnsi="Cambria" w:cs="Times New Roman"/>
          <w:b/>
          <w:bCs/>
          <w:color w:val="C0143C"/>
          <w:sz w:val="36"/>
          <w:szCs w:val="36"/>
          <w:lang w:eastAsia="en-US"/>
        </w:rPr>
        <w:t xml:space="preserve"> of</w:t>
      </w:r>
      <w:r w:rsidRPr="00C13D3D">
        <w:rPr>
          <w:rFonts w:ascii="Cambria" w:eastAsia="SimSun" w:hAnsi="Cambria" w:cs="Times New Roman"/>
          <w:b/>
          <w:bCs/>
          <w:color w:val="C0143C"/>
          <w:sz w:val="36"/>
          <w:szCs w:val="36"/>
          <w:lang w:eastAsia="en-US"/>
        </w:rPr>
        <w:t xml:space="preserve"> </w:t>
      </w:r>
      <w:r w:rsidR="000A3232">
        <w:rPr>
          <w:rFonts w:ascii="Cambria" w:eastAsia="SimSun" w:hAnsi="Cambria" w:cs="Times New Roman"/>
          <w:b/>
          <w:bCs/>
          <w:color w:val="C0143C"/>
          <w:sz w:val="36"/>
          <w:szCs w:val="36"/>
          <w:lang w:eastAsia="en-US"/>
        </w:rPr>
        <w:t>August</w:t>
      </w:r>
      <w:r w:rsidRPr="00C13D3D">
        <w:rPr>
          <w:rFonts w:ascii="Cambria" w:eastAsia="SimSun" w:hAnsi="Cambria" w:cs="Times New Roman"/>
          <w:b/>
          <w:bCs/>
          <w:color w:val="C0143C"/>
          <w:sz w:val="36"/>
          <w:szCs w:val="36"/>
          <w:lang w:eastAsia="en-US"/>
        </w:rPr>
        <w:t xml:space="preserve"> 2022</w:t>
      </w:r>
    </w:p>
    <w:p w:rsidR="00F92E47" w:rsidRDefault="00DA14C3" w:rsidP="001D23C5">
      <w:pPr>
        <w:jc w:val="both"/>
        <w:rPr>
          <w:rFonts w:ascii="Cambria" w:hAnsi="Cambria"/>
          <w:sz w:val="24"/>
          <w:szCs w:val="24"/>
        </w:rPr>
      </w:pPr>
      <w:r w:rsidRPr="00DA14C3">
        <w:rPr>
          <w:rFonts w:ascii="Cambria" w:hAnsi="Cambria"/>
          <w:sz w:val="24"/>
          <w:szCs w:val="24"/>
        </w:rPr>
        <w:t xml:space="preserve">In </w:t>
      </w:r>
      <w:r w:rsidR="000A3232">
        <w:rPr>
          <w:rFonts w:ascii="Cambria" w:hAnsi="Cambria"/>
          <w:sz w:val="24"/>
          <w:szCs w:val="24"/>
        </w:rPr>
        <w:t>August</w:t>
      </w:r>
      <w:r w:rsidRPr="00DA14C3">
        <w:rPr>
          <w:rFonts w:ascii="Cambria" w:hAnsi="Cambria"/>
          <w:sz w:val="24"/>
          <w:szCs w:val="24"/>
        </w:rPr>
        <w:t xml:space="preserve"> 2022, the Stock Exchange of Hong Kong Limited (the </w:t>
      </w:r>
      <w:proofErr w:type="spellStart"/>
      <w:r w:rsidRPr="00DA14C3">
        <w:rPr>
          <w:rFonts w:ascii="Cambria" w:hAnsi="Cambria"/>
          <w:b/>
          <w:sz w:val="24"/>
          <w:szCs w:val="24"/>
        </w:rPr>
        <w:t>HKEx</w:t>
      </w:r>
      <w:proofErr w:type="spellEnd"/>
      <w:r w:rsidRPr="00DA14C3">
        <w:rPr>
          <w:rFonts w:ascii="Cambria" w:hAnsi="Cambria"/>
          <w:sz w:val="24"/>
          <w:szCs w:val="24"/>
        </w:rPr>
        <w:t xml:space="preserve">) published </w:t>
      </w:r>
      <w:r w:rsidR="00405531" w:rsidRPr="00973AC5">
        <w:rPr>
          <w:rFonts w:ascii="Cambria" w:hAnsi="Cambria"/>
          <w:sz w:val="24"/>
          <w:szCs w:val="24"/>
        </w:rPr>
        <w:t>two</w:t>
      </w:r>
      <w:r w:rsidRPr="00DA14C3">
        <w:rPr>
          <w:rFonts w:ascii="Cambria" w:hAnsi="Cambria"/>
          <w:sz w:val="24"/>
          <w:szCs w:val="24"/>
        </w:rPr>
        <w:t xml:space="preserve"> disciplinary actions</w:t>
      </w:r>
      <w:r>
        <w:rPr>
          <w:rFonts w:ascii="Cambria" w:hAnsi="Cambria"/>
          <w:sz w:val="24"/>
          <w:szCs w:val="24"/>
        </w:rPr>
        <w:t xml:space="preserve">. The first </w:t>
      </w:r>
      <w:r w:rsidR="009E533C">
        <w:rPr>
          <w:rFonts w:ascii="Cambria" w:hAnsi="Cambria"/>
          <w:sz w:val="24"/>
          <w:szCs w:val="24"/>
        </w:rPr>
        <w:t xml:space="preserve">involved </w:t>
      </w:r>
      <w:r w:rsidR="00405531">
        <w:rPr>
          <w:rFonts w:ascii="Cambria" w:hAnsi="Cambria"/>
          <w:sz w:val="24"/>
          <w:szCs w:val="24"/>
        </w:rPr>
        <w:t>three</w:t>
      </w:r>
      <w:r w:rsidR="00163FD4">
        <w:rPr>
          <w:rFonts w:ascii="Cambria" w:hAnsi="Cambria"/>
          <w:sz w:val="24"/>
          <w:szCs w:val="24"/>
        </w:rPr>
        <w:t xml:space="preserve"> directors of </w:t>
      </w:r>
      <w:proofErr w:type="spellStart"/>
      <w:r w:rsidR="009E533C">
        <w:rPr>
          <w:rFonts w:ascii="Cambria" w:hAnsi="Cambria"/>
          <w:sz w:val="24"/>
          <w:szCs w:val="24"/>
        </w:rPr>
        <w:t>Inno</w:t>
      </w:r>
      <w:proofErr w:type="spellEnd"/>
      <w:r w:rsidR="009E533C">
        <w:rPr>
          <w:rFonts w:ascii="Cambria" w:hAnsi="Cambria"/>
          <w:sz w:val="24"/>
          <w:szCs w:val="24"/>
        </w:rPr>
        <w:t>-Tech Holdings Limited (now d</w:t>
      </w:r>
      <w:r w:rsidR="00405531">
        <w:rPr>
          <w:rFonts w:ascii="Cambria" w:hAnsi="Cambria"/>
          <w:sz w:val="24"/>
          <w:szCs w:val="24"/>
        </w:rPr>
        <w:t xml:space="preserve">elisted) </w:t>
      </w:r>
      <w:r w:rsidR="00D10B19">
        <w:rPr>
          <w:rFonts w:ascii="Cambria" w:hAnsi="Cambria"/>
          <w:sz w:val="24"/>
          <w:szCs w:val="24"/>
        </w:rPr>
        <w:t xml:space="preserve">which related to </w:t>
      </w:r>
      <w:r w:rsidR="00F92E47">
        <w:rPr>
          <w:rFonts w:ascii="Cambria" w:hAnsi="Cambria"/>
          <w:sz w:val="24"/>
          <w:szCs w:val="24"/>
        </w:rPr>
        <w:t>the c</w:t>
      </w:r>
      <w:r w:rsidR="00D10B19">
        <w:rPr>
          <w:rFonts w:ascii="Cambria" w:hAnsi="Cambria"/>
          <w:sz w:val="24"/>
          <w:szCs w:val="24"/>
        </w:rPr>
        <w:t>ompany’s non-compliance with a GEM Listing Committee</w:t>
      </w:r>
      <w:r w:rsidR="00F92E47">
        <w:rPr>
          <w:rFonts w:ascii="Cambria" w:hAnsi="Cambria"/>
          <w:sz w:val="24"/>
          <w:szCs w:val="24"/>
        </w:rPr>
        <w:t xml:space="preserve"> direction </w:t>
      </w:r>
      <w:r w:rsidR="00D10B19">
        <w:rPr>
          <w:rFonts w:ascii="Cambria" w:hAnsi="Cambria"/>
          <w:sz w:val="24"/>
          <w:szCs w:val="24"/>
        </w:rPr>
        <w:t xml:space="preserve">made </w:t>
      </w:r>
      <w:r w:rsidR="00F92E47">
        <w:rPr>
          <w:rFonts w:ascii="Cambria" w:hAnsi="Cambria"/>
          <w:sz w:val="24"/>
          <w:szCs w:val="24"/>
        </w:rPr>
        <w:t xml:space="preserve">following a previous disciplinary action, </w:t>
      </w:r>
      <w:r w:rsidR="009E533C">
        <w:rPr>
          <w:rFonts w:ascii="Cambria" w:hAnsi="Cambria"/>
          <w:sz w:val="24"/>
          <w:szCs w:val="24"/>
        </w:rPr>
        <w:t xml:space="preserve">and </w:t>
      </w:r>
      <w:r w:rsidR="00F92E47">
        <w:rPr>
          <w:rFonts w:ascii="Cambria" w:hAnsi="Cambria"/>
          <w:sz w:val="24"/>
          <w:szCs w:val="24"/>
        </w:rPr>
        <w:t>the company’s publication of an inaccurate and misleading announcement.</w:t>
      </w:r>
    </w:p>
    <w:p w:rsidR="00163FD4" w:rsidRDefault="00163FD4" w:rsidP="001D23C5">
      <w:pPr>
        <w:jc w:val="both"/>
        <w:rPr>
          <w:rFonts w:ascii="Cambria" w:hAnsi="Cambria"/>
          <w:sz w:val="24"/>
          <w:szCs w:val="24"/>
        </w:rPr>
      </w:pPr>
      <w:r>
        <w:rPr>
          <w:rFonts w:ascii="Cambria" w:hAnsi="Cambria"/>
          <w:sz w:val="24"/>
          <w:szCs w:val="24"/>
        </w:rPr>
        <w:t xml:space="preserve">The second </w:t>
      </w:r>
      <w:proofErr w:type="spellStart"/>
      <w:r>
        <w:rPr>
          <w:rFonts w:ascii="Cambria" w:hAnsi="Cambria"/>
          <w:sz w:val="24"/>
          <w:szCs w:val="24"/>
        </w:rPr>
        <w:t>HKEx</w:t>
      </w:r>
      <w:proofErr w:type="spellEnd"/>
      <w:r>
        <w:rPr>
          <w:rFonts w:ascii="Cambria" w:hAnsi="Cambria"/>
          <w:sz w:val="24"/>
          <w:szCs w:val="24"/>
        </w:rPr>
        <w:t xml:space="preserve"> disciplinary action </w:t>
      </w:r>
      <w:r w:rsidR="00D10B19">
        <w:rPr>
          <w:rFonts w:ascii="Cambria" w:hAnsi="Cambria"/>
          <w:sz w:val="24"/>
          <w:szCs w:val="24"/>
        </w:rPr>
        <w:t xml:space="preserve">related to </w:t>
      </w:r>
      <w:r w:rsidR="007D0A6F">
        <w:rPr>
          <w:rFonts w:ascii="Cambria" w:hAnsi="Cambria"/>
          <w:sz w:val="24"/>
          <w:szCs w:val="24"/>
        </w:rPr>
        <w:t>Ping An Securi</w:t>
      </w:r>
      <w:r w:rsidR="00D10B19">
        <w:rPr>
          <w:rFonts w:ascii="Cambria" w:hAnsi="Cambria"/>
          <w:sz w:val="24"/>
          <w:szCs w:val="24"/>
        </w:rPr>
        <w:t>ties Group (Holdings) Limited (i</w:t>
      </w:r>
      <w:r w:rsidR="007D0A6F">
        <w:rPr>
          <w:rFonts w:ascii="Cambria" w:hAnsi="Cambria"/>
          <w:sz w:val="24"/>
          <w:szCs w:val="24"/>
        </w:rPr>
        <w:t xml:space="preserve">n </w:t>
      </w:r>
      <w:r w:rsidR="00D10B19">
        <w:rPr>
          <w:rFonts w:ascii="Cambria" w:hAnsi="Cambria"/>
          <w:sz w:val="24"/>
          <w:szCs w:val="24"/>
        </w:rPr>
        <w:t>l</w:t>
      </w:r>
      <w:r w:rsidR="00B967B1">
        <w:rPr>
          <w:rFonts w:ascii="Cambria" w:hAnsi="Cambria"/>
          <w:sz w:val="24"/>
          <w:szCs w:val="24"/>
        </w:rPr>
        <w:t>iquidation</w:t>
      </w:r>
      <w:r w:rsidR="007D0A6F">
        <w:rPr>
          <w:rFonts w:ascii="Cambria" w:hAnsi="Cambria"/>
          <w:sz w:val="24"/>
          <w:szCs w:val="24"/>
        </w:rPr>
        <w:t>)</w:t>
      </w:r>
      <w:r w:rsidR="0071499B">
        <w:rPr>
          <w:rFonts w:ascii="Cambria" w:hAnsi="Cambria"/>
          <w:sz w:val="24"/>
          <w:szCs w:val="24"/>
        </w:rPr>
        <w:t xml:space="preserve"> and two </w:t>
      </w:r>
      <w:r w:rsidR="00D10B19">
        <w:rPr>
          <w:rFonts w:ascii="Cambria" w:hAnsi="Cambria"/>
          <w:sz w:val="24"/>
          <w:szCs w:val="24"/>
        </w:rPr>
        <w:t xml:space="preserve">of its former </w:t>
      </w:r>
      <w:r w:rsidR="0071499B">
        <w:rPr>
          <w:rFonts w:ascii="Cambria" w:hAnsi="Cambria"/>
          <w:sz w:val="24"/>
          <w:szCs w:val="24"/>
        </w:rPr>
        <w:t>directors</w:t>
      </w:r>
      <w:r w:rsidR="007D0A6F">
        <w:rPr>
          <w:rFonts w:ascii="Cambria" w:hAnsi="Cambria"/>
          <w:sz w:val="24"/>
          <w:szCs w:val="24"/>
        </w:rPr>
        <w:t xml:space="preserve"> </w:t>
      </w:r>
      <w:r w:rsidR="00BF2DAA">
        <w:rPr>
          <w:rFonts w:ascii="Cambria" w:hAnsi="Cambria"/>
          <w:sz w:val="24"/>
          <w:szCs w:val="24"/>
        </w:rPr>
        <w:t>for</w:t>
      </w:r>
      <w:r w:rsidR="00B967B1">
        <w:rPr>
          <w:rFonts w:ascii="Cambria" w:hAnsi="Cambria"/>
          <w:sz w:val="24"/>
          <w:szCs w:val="24"/>
        </w:rPr>
        <w:t xml:space="preserve"> </w:t>
      </w:r>
      <w:r w:rsidR="00B26513">
        <w:rPr>
          <w:rFonts w:ascii="Cambria" w:hAnsi="Cambria"/>
          <w:sz w:val="24"/>
          <w:szCs w:val="24"/>
        </w:rPr>
        <w:t>causing the company’</w:t>
      </w:r>
      <w:r w:rsidR="00041307">
        <w:rPr>
          <w:rFonts w:ascii="Cambria" w:hAnsi="Cambria"/>
          <w:sz w:val="24"/>
          <w:szCs w:val="24"/>
        </w:rPr>
        <w:t>s subsidiary to grant around HK$274 million</w:t>
      </w:r>
      <w:r w:rsidR="00D10B19">
        <w:rPr>
          <w:rFonts w:ascii="Cambria" w:hAnsi="Cambria"/>
          <w:sz w:val="24"/>
          <w:szCs w:val="24"/>
        </w:rPr>
        <w:t xml:space="preserve"> in</w:t>
      </w:r>
      <w:r w:rsidR="00041307">
        <w:rPr>
          <w:rFonts w:ascii="Cambria" w:hAnsi="Cambria"/>
          <w:sz w:val="24"/>
          <w:szCs w:val="24"/>
        </w:rPr>
        <w:t xml:space="preserve"> loans that were not repaid</w:t>
      </w:r>
      <w:r w:rsidR="008C65F5">
        <w:rPr>
          <w:rFonts w:ascii="Cambria" w:hAnsi="Cambria"/>
          <w:sz w:val="24"/>
          <w:szCs w:val="24"/>
        </w:rPr>
        <w:t xml:space="preserve">, </w:t>
      </w:r>
      <w:r w:rsidR="00D10B19">
        <w:rPr>
          <w:rFonts w:ascii="Cambria" w:hAnsi="Cambria"/>
          <w:sz w:val="24"/>
          <w:szCs w:val="24"/>
        </w:rPr>
        <w:t xml:space="preserve">and </w:t>
      </w:r>
      <w:r w:rsidR="008C65F5">
        <w:rPr>
          <w:rFonts w:ascii="Cambria" w:hAnsi="Cambria"/>
          <w:sz w:val="24"/>
          <w:szCs w:val="24"/>
        </w:rPr>
        <w:t xml:space="preserve">effecting </w:t>
      </w:r>
      <w:r w:rsidR="00AA3E2B">
        <w:rPr>
          <w:rFonts w:ascii="Cambria" w:hAnsi="Cambria"/>
          <w:sz w:val="24"/>
          <w:szCs w:val="24"/>
        </w:rPr>
        <w:t>three disposals of the company’s subsidiaries which resulted in the company losing control of its subsidiaries without receiving any consideration.</w:t>
      </w:r>
    </w:p>
    <w:p w:rsidR="00866D62" w:rsidRDefault="00235A06" w:rsidP="001D23C5">
      <w:pPr>
        <w:jc w:val="both"/>
        <w:rPr>
          <w:rFonts w:ascii="Cambria" w:hAnsi="Cambria"/>
          <w:sz w:val="24"/>
          <w:szCs w:val="24"/>
        </w:rPr>
      </w:pPr>
      <w:r>
        <w:rPr>
          <w:rFonts w:ascii="Cambria" w:hAnsi="Cambria"/>
          <w:sz w:val="24"/>
          <w:szCs w:val="24"/>
        </w:rPr>
        <w:t xml:space="preserve">The Securities and Futures Commission of Hong Kong (the </w:t>
      </w:r>
      <w:r w:rsidRPr="00235A06">
        <w:rPr>
          <w:rFonts w:ascii="Cambria" w:hAnsi="Cambria"/>
          <w:b/>
          <w:sz w:val="24"/>
          <w:szCs w:val="24"/>
        </w:rPr>
        <w:t>SFC</w:t>
      </w:r>
      <w:r w:rsidR="00997320" w:rsidRPr="00997320">
        <w:rPr>
          <w:rFonts w:ascii="Cambria" w:hAnsi="Cambria"/>
          <w:sz w:val="24"/>
          <w:szCs w:val="24"/>
        </w:rPr>
        <w:t>) published</w:t>
      </w:r>
      <w:r w:rsidR="00C12CDD">
        <w:rPr>
          <w:rFonts w:ascii="Cambria" w:hAnsi="Cambria"/>
          <w:sz w:val="24"/>
          <w:szCs w:val="24"/>
        </w:rPr>
        <w:t xml:space="preserve"> </w:t>
      </w:r>
      <w:r w:rsidR="00D10B19">
        <w:rPr>
          <w:rFonts w:ascii="Cambria" w:hAnsi="Cambria"/>
          <w:sz w:val="24"/>
          <w:szCs w:val="24"/>
        </w:rPr>
        <w:t xml:space="preserve">the results of </w:t>
      </w:r>
      <w:r w:rsidR="00814369" w:rsidRPr="00973AC5">
        <w:rPr>
          <w:rFonts w:ascii="Cambria" w:hAnsi="Cambria"/>
          <w:sz w:val="24"/>
          <w:szCs w:val="24"/>
        </w:rPr>
        <w:t>two</w:t>
      </w:r>
      <w:r w:rsidR="00C12CDD">
        <w:rPr>
          <w:rFonts w:ascii="Cambria" w:hAnsi="Cambria"/>
          <w:sz w:val="24"/>
          <w:szCs w:val="24"/>
        </w:rPr>
        <w:t xml:space="preserve"> disciplinary actions </w:t>
      </w:r>
      <w:r w:rsidR="00D10B19">
        <w:rPr>
          <w:rFonts w:ascii="Cambria" w:hAnsi="Cambria"/>
          <w:sz w:val="24"/>
          <w:szCs w:val="24"/>
        </w:rPr>
        <w:t xml:space="preserve">concluded </w:t>
      </w:r>
      <w:r w:rsidR="00C12CDD">
        <w:rPr>
          <w:rFonts w:ascii="Cambria" w:hAnsi="Cambria"/>
          <w:sz w:val="24"/>
          <w:szCs w:val="24"/>
        </w:rPr>
        <w:t xml:space="preserve">in </w:t>
      </w:r>
      <w:r w:rsidR="009A6C59">
        <w:rPr>
          <w:rFonts w:ascii="Cambria" w:hAnsi="Cambria"/>
          <w:sz w:val="24"/>
          <w:szCs w:val="24"/>
        </w:rPr>
        <w:t>August</w:t>
      </w:r>
      <w:r w:rsidR="00C12CDD">
        <w:rPr>
          <w:rFonts w:ascii="Cambria" w:hAnsi="Cambria"/>
          <w:sz w:val="24"/>
          <w:szCs w:val="24"/>
        </w:rPr>
        <w:t xml:space="preserve"> 2022. </w:t>
      </w:r>
      <w:r w:rsidR="003E4B57">
        <w:rPr>
          <w:rFonts w:ascii="Cambria" w:hAnsi="Cambria"/>
          <w:sz w:val="24"/>
          <w:szCs w:val="24"/>
        </w:rPr>
        <w:t xml:space="preserve">The first </w:t>
      </w:r>
      <w:r w:rsidR="001B4E38">
        <w:rPr>
          <w:rFonts w:ascii="Cambria" w:hAnsi="Cambria"/>
          <w:sz w:val="24"/>
          <w:szCs w:val="24"/>
        </w:rPr>
        <w:t xml:space="preserve">involved the </w:t>
      </w:r>
      <w:r w:rsidR="003E4B57">
        <w:rPr>
          <w:rFonts w:ascii="Cambria" w:hAnsi="Cambria"/>
          <w:sz w:val="24"/>
          <w:szCs w:val="24"/>
        </w:rPr>
        <w:t xml:space="preserve">SFC </w:t>
      </w:r>
      <w:r w:rsidR="001B4E38">
        <w:rPr>
          <w:rFonts w:ascii="Cambria" w:hAnsi="Cambria"/>
          <w:sz w:val="24"/>
          <w:szCs w:val="24"/>
        </w:rPr>
        <w:t>fining</w:t>
      </w:r>
      <w:r w:rsidR="003E4B57">
        <w:rPr>
          <w:rFonts w:ascii="Cambria" w:hAnsi="Cambria"/>
          <w:sz w:val="24"/>
          <w:szCs w:val="24"/>
        </w:rPr>
        <w:t xml:space="preserve"> </w:t>
      </w:r>
      <w:r w:rsidR="009A6C59">
        <w:rPr>
          <w:rFonts w:ascii="Cambria" w:hAnsi="Cambria"/>
          <w:sz w:val="24"/>
          <w:szCs w:val="24"/>
        </w:rPr>
        <w:t xml:space="preserve">TC Capital International Limited HK$3 million </w:t>
      </w:r>
      <w:r w:rsidR="00E32539">
        <w:rPr>
          <w:rFonts w:ascii="Cambria" w:hAnsi="Cambria"/>
          <w:sz w:val="24"/>
          <w:szCs w:val="24"/>
        </w:rPr>
        <w:t xml:space="preserve">as IPO sponsor </w:t>
      </w:r>
      <w:r w:rsidR="009A6C59">
        <w:rPr>
          <w:rFonts w:ascii="Cambria" w:hAnsi="Cambria"/>
          <w:sz w:val="24"/>
          <w:szCs w:val="24"/>
        </w:rPr>
        <w:t>for</w:t>
      </w:r>
      <w:r w:rsidR="00DB1F0B">
        <w:rPr>
          <w:rFonts w:ascii="Cambria" w:hAnsi="Cambria"/>
          <w:sz w:val="24"/>
          <w:szCs w:val="24"/>
        </w:rPr>
        <w:t xml:space="preserve"> </w:t>
      </w:r>
      <w:r w:rsidR="0034553F">
        <w:rPr>
          <w:rFonts w:ascii="Cambria" w:hAnsi="Cambria"/>
          <w:sz w:val="24"/>
          <w:szCs w:val="24"/>
        </w:rPr>
        <w:t>failing</w:t>
      </w:r>
      <w:r w:rsidR="00691958">
        <w:rPr>
          <w:rFonts w:ascii="Cambria" w:hAnsi="Cambria"/>
          <w:sz w:val="24"/>
          <w:szCs w:val="24"/>
        </w:rPr>
        <w:t xml:space="preserve"> to conduct reasonable due diligence on third party payments and </w:t>
      </w:r>
      <w:r w:rsidR="00D10B19">
        <w:rPr>
          <w:rFonts w:ascii="Cambria" w:hAnsi="Cambria"/>
          <w:sz w:val="24"/>
          <w:szCs w:val="24"/>
        </w:rPr>
        <w:t>to maintain</w:t>
      </w:r>
      <w:r w:rsidR="00691958">
        <w:rPr>
          <w:rFonts w:ascii="Cambria" w:hAnsi="Cambria"/>
          <w:sz w:val="24"/>
          <w:szCs w:val="24"/>
        </w:rPr>
        <w:t xml:space="preserve"> proper records of the due diligence work allegedly done in relation to the listing application. </w:t>
      </w:r>
    </w:p>
    <w:p w:rsidR="009A6C59" w:rsidRDefault="009A6C59" w:rsidP="001D23C5">
      <w:pPr>
        <w:jc w:val="both"/>
        <w:rPr>
          <w:rFonts w:ascii="Cambria" w:hAnsi="Cambria"/>
          <w:sz w:val="24"/>
          <w:szCs w:val="24"/>
        </w:rPr>
      </w:pPr>
      <w:r>
        <w:rPr>
          <w:rFonts w:ascii="Cambria" w:hAnsi="Cambria"/>
          <w:sz w:val="24"/>
          <w:szCs w:val="24"/>
        </w:rPr>
        <w:t xml:space="preserve">The second action </w:t>
      </w:r>
      <w:r w:rsidR="00E32539">
        <w:rPr>
          <w:rFonts w:ascii="Cambria" w:hAnsi="Cambria"/>
          <w:sz w:val="24"/>
          <w:szCs w:val="24"/>
        </w:rPr>
        <w:t xml:space="preserve">was </w:t>
      </w:r>
      <w:r w:rsidR="004E03F7">
        <w:rPr>
          <w:rFonts w:ascii="Cambria" w:hAnsi="Cambria"/>
          <w:sz w:val="24"/>
          <w:szCs w:val="24"/>
        </w:rPr>
        <w:t xml:space="preserve">initiated </w:t>
      </w:r>
      <w:r>
        <w:rPr>
          <w:rFonts w:ascii="Cambria" w:hAnsi="Cambria"/>
          <w:sz w:val="24"/>
          <w:szCs w:val="24"/>
        </w:rPr>
        <w:t>by the SFC against</w:t>
      </w:r>
      <w:r w:rsidR="007067D7">
        <w:rPr>
          <w:rFonts w:ascii="Cambria" w:hAnsi="Cambria"/>
          <w:sz w:val="24"/>
          <w:szCs w:val="24"/>
        </w:rPr>
        <w:t xml:space="preserve"> </w:t>
      </w:r>
      <w:r w:rsidR="00E32539">
        <w:rPr>
          <w:rFonts w:ascii="Cambria" w:hAnsi="Cambria"/>
          <w:sz w:val="24"/>
          <w:szCs w:val="24"/>
        </w:rPr>
        <w:t xml:space="preserve">two retail investors, </w:t>
      </w:r>
      <w:r w:rsidR="007067D7">
        <w:rPr>
          <w:rFonts w:ascii="Cambria" w:hAnsi="Cambria"/>
          <w:sz w:val="24"/>
          <w:szCs w:val="24"/>
        </w:rPr>
        <w:t>Ms Chan Siu Tai and Ms Janice Chan</w:t>
      </w:r>
      <w:r w:rsidR="00620C2D">
        <w:rPr>
          <w:rFonts w:ascii="Cambria" w:hAnsi="Cambria"/>
          <w:sz w:val="24"/>
          <w:szCs w:val="24"/>
        </w:rPr>
        <w:t xml:space="preserve">, who were convicted </w:t>
      </w:r>
      <w:r w:rsidR="00D10B19">
        <w:rPr>
          <w:rFonts w:ascii="Cambria" w:hAnsi="Cambria"/>
          <w:sz w:val="24"/>
          <w:szCs w:val="24"/>
        </w:rPr>
        <w:t xml:space="preserve">of </w:t>
      </w:r>
      <w:r w:rsidR="00620C2D">
        <w:rPr>
          <w:rFonts w:ascii="Cambria" w:hAnsi="Cambria"/>
          <w:sz w:val="24"/>
          <w:szCs w:val="24"/>
        </w:rPr>
        <w:t>illegal short selling</w:t>
      </w:r>
      <w:r w:rsidR="00D10B19">
        <w:rPr>
          <w:rFonts w:ascii="Cambria" w:hAnsi="Cambria"/>
          <w:sz w:val="24"/>
          <w:szCs w:val="24"/>
        </w:rPr>
        <w:t xml:space="preserve"> by the Eastern Magistrates’ Court</w:t>
      </w:r>
      <w:r w:rsidR="007067D7">
        <w:rPr>
          <w:rFonts w:ascii="Cambria" w:hAnsi="Cambria"/>
          <w:sz w:val="24"/>
          <w:szCs w:val="24"/>
        </w:rPr>
        <w:t xml:space="preserve">. </w:t>
      </w:r>
    </w:p>
    <w:p w:rsidR="00783993" w:rsidRDefault="00783993" w:rsidP="00783993">
      <w:pPr>
        <w:jc w:val="both"/>
        <w:rPr>
          <w:rFonts w:ascii="Cambria" w:hAnsi="Cambria"/>
          <w:sz w:val="24"/>
          <w:szCs w:val="24"/>
        </w:rPr>
      </w:pPr>
      <w:r>
        <w:rPr>
          <w:rFonts w:ascii="Cambria" w:hAnsi="Cambria"/>
          <w:sz w:val="24"/>
          <w:szCs w:val="24"/>
        </w:rPr>
        <w:t>The Hong Kong Monetary Authority (</w:t>
      </w:r>
      <w:r w:rsidRPr="00370B4B">
        <w:rPr>
          <w:rFonts w:ascii="Cambria" w:hAnsi="Cambria"/>
          <w:b/>
          <w:sz w:val="24"/>
          <w:szCs w:val="24"/>
        </w:rPr>
        <w:t>HKMA</w:t>
      </w:r>
      <w:r>
        <w:rPr>
          <w:rFonts w:ascii="Cambria" w:hAnsi="Cambria"/>
          <w:sz w:val="24"/>
          <w:szCs w:val="24"/>
        </w:rPr>
        <w:t xml:space="preserve">) also </w:t>
      </w:r>
      <w:r w:rsidR="00C87B7A">
        <w:rPr>
          <w:rFonts w:ascii="Cambria" w:hAnsi="Cambria"/>
          <w:sz w:val="24"/>
          <w:szCs w:val="24"/>
        </w:rPr>
        <w:t xml:space="preserve">published the result of its </w:t>
      </w:r>
      <w:r>
        <w:rPr>
          <w:rFonts w:ascii="Cambria" w:hAnsi="Cambria"/>
          <w:sz w:val="24"/>
          <w:szCs w:val="24"/>
        </w:rPr>
        <w:t xml:space="preserve">disciplinary </w:t>
      </w:r>
      <w:r w:rsidR="00C87B7A">
        <w:rPr>
          <w:rFonts w:ascii="Cambria" w:hAnsi="Cambria"/>
          <w:sz w:val="24"/>
          <w:szCs w:val="24"/>
        </w:rPr>
        <w:t xml:space="preserve">action </w:t>
      </w:r>
      <w:r>
        <w:rPr>
          <w:rFonts w:ascii="Cambria" w:hAnsi="Cambria"/>
          <w:sz w:val="24"/>
          <w:szCs w:val="24"/>
        </w:rPr>
        <w:t xml:space="preserve">against Commerzbank AG, Hong Kong Branch for contraventions of the Anti-Money Laundering and Counter-Terrorist Financing Ordinance. </w:t>
      </w:r>
    </w:p>
    <w:p w:rsidR="00726409" w:rsidRPr="00726409" w:rsidRDefault="00726409" w:rsidP="00726409">
      <w:pPr>
        <w:jc w:val="both"/>
        <w:rPr>
          <w:rFonts w:ascii="Cambria" w:hAnsi="Cambria"/>
          <w:b/>
          <w:color w:val="FF0000"/>
          <w:sz w:val="24"/>
          <w:szCs w:val="24"/>
        </w:rPr>
      </w:pPr>
      <w:proofErr w:type="spellStart"/>
      <w:r w:rsidRPr="00726409">
        <w:rPr>
          <w:rFonts w:ascii="Cambria" w:hAnsi="Cambria"/>
          <w:b/>
          <w:color w:val="FF0000"/>
          <w:sz w:val="24"/>
          <w:szCs w:val="24"/>
        </w:rPr>
        <w:t>HKEx’s</w:t>
      </w:r>
      <w:proofErr w:type="spellEnd"/>
      <w:r w:rsidRPr="00726409">
        <w:rPr>
          <w:rFonts w:ascii="Cambria" w:hAnsi="Cambria"/>
          <w:b/>
          <w:color w:val="FF0000"/>
          <w:sz w:val="24"/>
          <w:szCs w:val="24"/>
        </w:rPr>
        <w:t xml:space="preserve"> Disciplinary Action</w:t>
      </w:r>
      <w:r w:rsidR="0030561C">
        <w:rPr>
          <w:rFonts w:ascii="Cambria" w:hAnsi="Cambria"/>
          <w:b/>
          <w:color w:val="FF0000"/>
          <w:sz w:val="24"/>
          <w:szCs w:val="24"/>
        </w:rPr>
        <w:t xml:space="preserve"> against</w:t>
      </w:r>
      <w:r w:rsidRPr="00726409">
        <w:rPr>
          <w:rFonts w:ascii="Cambria" w:hAnsi="Cambria"/>
          <w:b/>
          <w:color w:val="FF0000"/>
          <w:sz w:val="24"/>
          <w:szCs w:val="24"/>
        </w:rPr>
        <w:t xml:space="preserve"> </w:t>
      </w:r>
      <w:r w:rsidR="00BB0738">
        <w:rPr>
          <w:rFonts w:ascii="Cambria" w:hAnsi="Cambria"/>
          <w:b/>
          <w:color w:val="FF0000"/>
          <w:sz w:val="24"/>
          <w:szCs w:val="24"/>
        </w:rPr>
        <w:t xml:space="preserve">Three Directors </w:t>
      </w:r>
      <w:r w:rsidR="0034553F">
        <w:rPr>
          <w:rFonts w:ascii="Cambria" w:hAnsi="Cambria"/>
          <w:b/>
          <w:color w:val="FF0000"/>
          <w:sz w:val="24"/>
          <w:szCs w:val="24"/>
        </w:rPr>
        <w:t xml:space="preserve">of </w:t>
      </w:r>
      <w:proofErr w:type="spellStart"/>
      <w:r w:rsidR="0034553F">
        <w:rPr>
          <w:rFonts w:ascii="Cambria" w:hAnsi="Cambria"/>
          <w:b/>
          <w:color w:val="FF0000"/>
          <w:sz w:val="24"/>
          <w:szCs w:val="24"/>
        </w:rPr>
        <w:t>Inno</w:t>
      </w:r>
      <w:proofErr w:type="spellEnd"/>
      <w:r w:rsidR="0034553F">
        <w:rPr>
          <w:rFonts w:ascii="Cambria" w:hAnsi="Cambria"/>
          <w:b/>
          <w:color w:val="FF0000"/>
          <w:sz w:val="24"/>
          <w:szCs w:val="24"/>
        </w:rPr>
        <w:t>-Tech Holdings L</w:t>
      </w:r>
      <w:r w:rsidR="00E32539">
        <w:rPr>
          <w:rFonts w:ascii="Cambria" w:hAnsi="Cambria"/>
          <w:b/>
          <w:color w:val="FF0000"/>
          <w:sz w:val="24"/>
          <w:szCs w:val="24"/>
        </w:rPr>
        <w:t>imited (d</w:t>
      </w:r>
      <w:r w:rsidR="00BB0738">
        <w:rPr>
          <w:rFonts w:ascii="Cambria" w:hAnsi="Cambria"/>
          <w:b/>
          <w:color w:val="FF0000"/>
          <w:sz w:val="24"/>
          <w:szCs w:val="24"/>
        </w:rPr>
        <w:t>elisted)</w:t>
      </w:r>
      <w:r w:rsidRPr="00726409">
        <w:rPr>
          <w:rFonts w:ascii="Cambria" w:hAnsi="Cambria"/>
          <w:b/>
          <w:color w:val="FF0000"/>
          <w:sz w:val="24"/>
          <w:szCs w:val="24"/>
        </w:rPr>
        <w:t xml:space="preserve"> </w:t>
      </w:r>
    </w:p>
    <w:p w:rsidR="0061063F" w:rsidRDefault="00BB0738" w:rsidP="005A0792">
      <w:pPr>
        <w:jc w:val="both"/>
        <w:rPr>
          <w:rFonts w:ascii="Cambria" w:hAnsi="Cambria"/>
          <w:sz w:val="24"/>
          <w:szCs w:val="24"/>
        </w:rPr>
      </w:pPr>
      <w:r>
        <w:rPr>
          <w:rFonts w:ascii="Cambria" w:hAnsi="Cambria"/>
          <w:sz w:val="24"/>
          <w:szCs w:val="24"/>
        </w:rPr>
        <w:t>On 5</w:t>
      </w:r>
      <w:r w:rsidR="00802C07">
        <w:rPr>
          <w:rFonts w:ascii="Cambria" w:hAnsi="Cambria"/>
          <w:sz w:val="24"/>
          <w:szCs w:val="24"/>
        </w:rPr>
        <w:t xml:space="preserve"> </w:t>
      </w:r>
      <w:r>
        <w:rPr>
          <w:rFonts w:ascii="Cambria" w:hAnsi="Cambria"/>
          <w:sz w:val="24"/>
          <w:szCs w:val="24"/>
        </w:rPr>
        <w:t>August</w:t>
      </w:r>
      <w:r w:rsidR="00802C07">
        <w:rPr>
          <w:rFonts w:ascii="Cambria" w:hAnsi="Cambria"/>
          <w:sz w:val="24"/>
          <w:szCs w:val="24"/>
        </w:rPr>
        <w:t xml:space="preserve"> 2022, </w:t>
      </w:r>
      <w:r w:rsidR="001259C9">
        <w:rPr>
          <w:rFonts w:ascii="Cambria" w:hAnsi="Cambria"/>
          <w:sz w:val="24"/>
          <w:szCs w:val="24"/>
        </w:rPr>
        <w:t xml:space="preserve">the </w:t>
      </w:r>
      <w:proofErr w:type="spellStart"/>
      <w:r w:rsidR="001259C9">
        <w:rPr>
          <w:rFonts w:ascii="Cambria" w:hAnsi="Cambria"/>
          <w:sz w:val="24"/>
          <w:szCs w:val="24"/>
        </w:rPr>
        <w:t>HKEx</w:t>
      </w:r>
      <w:proofErr w:type="spellEnd"/>
      <w:r w:rsidR="001259C9">
        <w:rPr>
          <w:rFonts w:ascii="Cambria" w:hAnsi="Cambria"/>
          <w:sz w:val="24"/>
          <w:szCs w:val="24"/>
        </w:rPr>
        <w:t xml:space="preserve"> </w:t>
      </w:r>
      <w:r w:rsidR="00F97D10">
        <w:rPr>
          <w:rFonts w:ascii="Cambria" w:hAnsi="Cambria"/>
          <w:sz w:val="24"/>
          <w:szCs w:val="24"/>
        </w:rPr>
        <w:t>publicly censure</w:t>
      </w:r>
      <w:r w:rsidR="00D40B89">
        <w:rPr>
          <w:rFonts w:ascii="Cambria" w:hAnsi="Cambria"/>
          <w:sz w:val="24"/>
          <w:szCs w:val="24"/>
        </w:rPr>
        <w:t>d</w:t>
      </w:r>
      <w:r w:rsidR="00F97D10">
        <w:rPr>
          <w:rFonts w:ascii="Cambria" w:hAnsi="Cambria"/>
          <w:sz w:val="24"/>
          <w:szCs w:val="24"/>
        </w:rPr>
        <w:t xml:space="preserve"> and </w:t>
      </w:r>
      <w:r w:rsidR="001259C9">
        <w:rPr>
          <w:rFonts w:ascii="Cambria" w:hAnsi="Cambria"/>
          <w:sz w:val="24"/>
          <w:szCs w:val="24"/>
        </w:rPr>
        <w:t xml:space="preserve">imposed a </w:t>
      </w:r>
      <w:r w:rsidR="0034553F">
        <w:rPr>
          <w:rFonts w:ascii="Cambria" w:hAnsi="Cambria"/>
          <w:sz w:val="24"/>
          <w:szCs w:val="24"/>
        </w:rPr>
        <w:t>Prejudice to Investors’ Interests S</w:t>
      </w:r>
      <w:r w:rsidR="009B009B">
        <w:rPr>
          <w:rFonts w:ascii="Cambria" w:hAnsi="Cambria"/>
          <w:sz w:val="24"/>
          <w:szCs w:val="24"/>
        </w:rPr>
        <w:t xml:space="preserve">tatement </w:t>
      </w:r>
      <w:r w:rsidR="001259C9">
        <w:rPr>
          <w:rFonts w:ascii="Cambria" w:hAnsi="Cambria"/>
          <w:sz w:val="24"/>
          <w:szCs w:val="24"/>
        </w:rPr>
        <w:t xml:space="preserve">against </w:t>
      </w:r>
      <w:r w:rsidR="00D40B89">
        <w:rPr>
          <w:rFonts w:ascii="Cambria" w:hAnsi="Cambria"/>
          <w:sz w:val="24"/>
          <w:szCs w:val="24"/>
        </w:rPr>
        <w:t>three</w:t>
      </w:r>
      <w:r w:rsidR="00DB4065">
        <w:rPr>
          <w:rFonts w:ascii="Cambria" w:hAnsi="Cambria"/>
          <w:sz w:val="24"/>
          <w:szCs w:val="24"/>
        </w:rPr>
        <w:t xml:space="preserve"> </w:t>
      </w:r>
      <w:r w:rsidR="00D40B89">
        <w:rPr>
          <w:rFonts w:ascii="Cambria" w:hAnsi="Cambria"/>
          <w:sz w:val="24"/>
          <w:szCs w:val="24"/>
        </w:rPr>
        <w:t xml:space="preserve">directors of </w:t>
      </w:r>
      <w:r w:rsidR="00E32539">
        <w:rPr>
          <w:rFonts w:ascii="Cambria" w:hAnsi="Cambria"/>
          <w:sz w:val="24"/>
          <w:szCs w:val="24"/>
        </w:rPr>
        <w:t xml:space="preserve">now delisted </w:t>
      </w:r>
      <w:proofErr w:type="spellStart"/>
      <w:r w:rsidR="00D40B89">
        <w:rPr>
          <w:rFonts w:ascii="Cambria" w:hAnsi="Cambria"/>
          <w:sz w:val="24"/>
          <w:szCs w:val="24"/>
        </w:rPr>
        <w:t>Inno</w:t>
      </w:r>
      <w:proofErr w:type="spellEnd"/>
      <w:r w:rsidR="00D40B89">
        <w:rPr>
          <w:rFonts w:ascii="Cambria" w:hAnsi="Cambria"/>
          <w:sz w:val="24"/>
          <w:szCs w:val="24"/>
        </w:rPr>
        <w:t xml:space="preserve">-Tech Holdings </w:t>
      </w:r>
      <w:r w:rsidR="00030A8B">
        <w:rPr>
          <w:rFonts w:ascii="Cambria" w:hAnsi="Cambria"/>
          <w:sz w:val="24"/>
          <w:szCs w:val="24"/>
        </w:rPr>
        <w:t xml:space="preserve">Limited </w:t>
      </w:r>
      <w:r w:rsidR="00414076">
        <w:rPr>
          <w:rFonts w:ascii="Cambria" w:hAnsi="Cambria"/>
          <w:sz w:val="24"/>
          <w:szCs w:val="24"/>
        </w:rPr>
        <w:t>(</w:t>
      </w:r>
      <w:proofErr w:type="spellStart"/>
      <w:r w:rsidR="00414076" w:rsidRPr="00414076">
        <w:rPr>
          <w:rFonts w:ascii="Cambria" w:hAnsi="Cambria"/>
          <w:b/>
          <w:sz w:val="24"/>
          <w:szCs w:val="24"/>
        </w:rPr>
        <w:t>Inno</w:t>
      </w:r>
      <w:proofErr w:type="spellEnd"/>
      <w:r w:rsidR="00414076" w:rsidRPr="00414076">
        <w:rPr>
          <w:rFonts w:ascii="Cambria" w:hAnsi="Cambria"/>
          <w:b/>
          <w:sz w:val="24"/>
          <w:szCs w:val="24"/>
        </w:rPr>
        <w:t>-Tech</w:t>
      </w:r>
      <w:r w:rsidR="00E32539">
        <w:rPr>
          <w:rFonts w:ascii="Cambria" w:hAnsi="Cambria"/>
          <w:sz w:val="24"/>
          <w:szCs w:val="24"/>
        </w:rPr>
        <w:t>):</w:t>
      </w:r>
      <w:r w:rsidR="00414076">
        <w:rPr>
          <w:rFonts w:ascii="Cambria" w:hAnsi="Cambria"/>
          <w:sz w:val="24"/>
          <w:szCs w:val="24"/>
        </w:rPr>
        <w:t xml:space="preserve"> Mr Wong Kam Fai Samuel (</w:t>
      </w:r>
      <w:r w:rsidR="00414076" w:rsidRPr="00414076">
        <w:rPr>
          <w:rFonts w:ascii="Cambria" w:hAnsi="Cambria"/>
          <w:b/>
          <w:sz w:val="24"/>
          <w:szCs w:val="24"/>
        </w:rPr>
        <w:t>Mr Wong</w:t>
      </w:r>
      <w:r w:rsidR="00414076">
        <w:rPr>
          <w:rFonts w:ascii="Cambria" w:hAnsi="Cambria"/>
          <w:sz w:val="24"/>
          <w:szCs w:val="24"/>
        </w:rPr>
        <w:t xml:space="preserve">), former </w:t>
      </w:r>
      <w:r w:rsidR="00414076" w:rsidRPr="00414076">
        <w:rPr>
          <w:rFonts w:ascii="Cambria" w:hAnsi="Cambria"/>
          <w:sz w:val="24"/>
          <w:szCs w:val="24"/>
        </w:rPr>
        <w:t>executive director and Chief</w:t>
      </w:r>
      <w:r w:rsidR="00414076">
        <w:rPr>
          <w:rFonts w:ascii="Cambria" w:hAnsi="Cambria"/>
          <w:sz w:val="24"/>
          <w:szCs w:val="24"/>
        </w:rPr>
        <w:t xml:space="preserve"> Executive Officer of </w:t>
      </w:r>
      <w:proofErr w:type="spellStart"/>
      <w:r w:rsidR="00414076">
        <w:rPr>
          <w:rFonts w:ascii="Cambria" w:hAnsi="Cambria"/>
          <w:sz w:val="24"/>
          <w:szCs w:val="24"/>
        </w:rPr>
        <w:t>Inno</w:t>
      </w:r>
      <w:proofErr w:type="spellEnd"/>
      <w:r w:rsidR="00414076">
        <w:rPr>
          <w:rFonts w:ascii="Cambria" w:hAnsi="Cambria"/>
          <w:sz w:val="24"/>
          <w:szCs w:val="24"/>
        </w:rPr>
        <w:t>-Tech; Mr Zheng Pin (</w:t>
      </w:r>
      <w:r w:rsidR="00414076" w:rsidRPr="00414076">
        <w:rPr>
          <w:rFonts w:ascii="Cambria" w:hAnsi="Cambria"/>
          <w:b/>
          <w:sz w:val="24"/>
          <w:szCs w:val="24"/>
        </w:rPr>
        <w:t>Mr Zheng</w:t>
      </w:r>
      <w:r w:rsidR="00414076">
        <w:rPr>
          <w:rFonts w:ascii="Cambria" w:hAnsi="Cambria"/>
          <w:sz w:val="24"/>
          <w:szCs w:val="24"/>
        </w:rPr>
        <w:t>), executive director and Chairman at the time of delisting; and Mr Cao Xinhua (</w:t>
      </w:r>
      <w:r w:rsidR="00414076" w:rsidRPr="00414076">
        <w:rPr>
          <w:rFonts w:ascii="Cambria" w:hAnsi="Cambria"/>
          <w:b/>
          <w:sz w:val="24"/>
          <w:szCs w:val="24"/>
        </w:rPr>
        <w:t>Mr Cao</w:t>
      </w:r>
      <w:r w:rsidR="00414076">
        <w:rPr>
          <w:rFonts w:ascii="Cambria" w:hAnsi="Cambria"/>
          <w:sz w:val="24"/>
          <w:szCs w:val="24"/>
        </w:rPr>
        <w:t xml:space="preserve">), non-executive director at the time of delisting. </w:t>
      </w:r>
      <w:r w:rsidR="00C977B4">
        <w:rPr>
          <w:rFonts w:ascii="Cambria" w:hAnsi="Cambria"/>
          <w:sz w:val="24"/>
          <w:szCs w:val="24"/>
        </w:rPr>
        <w:t xml:space="preserve">The </w:t>
      </w:r>
      <w:r w:rsidR="0061063F">
        <w:rPr>
          <w:rFonts w:ascii="Cambria" w:hAnsi="Cambria"/>
          <w:sz w:val="24"/>
          <w:szCs w:val="24"/>
        </w:rPr>
        <w:t xml:space="preserve">GEM Listing Committee </w:t>
      </w:r>
      <w:r w:rsidR="00C977B4">
        <w:rPr>
          <w:rFonts w:ascii="Cambria" w:hAnsi="Cambria"/>
          <w:sz w:val="24"/>
          <w:szCs w:val="24"/>
        </w:rPr>
        <w:t xml:space="preserve">found that </w:t>
      </w:r>
      <w:proofErr w:type="spellStart"/>
      <w:r w:rsidR="00483CB7">
        <w:rPr>
          <w:rFonts w:ascii="Cambria" w:hAnsi="Cambria"/>
          <w:sz w:val="24"/>
          <w:szCs w:val="24"/>
        </w:rPr>
        <w:t>Inno</w:t>
      </w:r>
      <w:proofErr w:type="spellEnd"/>
      <w:r w:rsidR="00483CB7">
        <w:rPr>
          <w:rFonts w:ascii="Cambria" w:hAnsi="Cambria"/>
          <w:sz w:val="24"/>
          <w:szCs w:val="24"/>
        </w:rPr>
        <w:t>-Tech</w:t>
      </w:r>
      <w:r w:rsidR="0061063F">
        <w:rPr>
          <w:rFonts w:ascii="Cambria" w:hAnsi="Cambria"/>
          <w:sz w:val="24"/>
          <w:szCs w:val="24"/>
        </w:rPr>
        <w:t>:</w:t>
      </w:r>
      <w:r w:rsidR="00483CB7">
        <w:rPr>
          <w:rFonts w:ascii="Cambria" w:hAnsi="Cambria"/>
          <w:sz w:val="24"/>
          <w:szCs w:val="24"/>
        </w:rPr>
        <w:t xml:space="preserve"> </w:t>
      </w:r>
    </w:p>
    <w:p w:rsidR="0061063F" w:rsidRDefault="0061063F" w:rsidP="0061063F">
      <w:pPr>
        <w:pStyle w:val="a3"/>
        <w:numPr>
          <w:ilvl w:val="0"/>
          <w:numId w:val="4"/>
        </w:numPr>
        <w:jc w:val="both"/>
        <w:rPr>
          <w:rFonts w:ascii="Cambria" w:hAnsi="Cambria"/>
          <w:sz w:val="24"/>
          <w:szCs w:val="24"/>
        </w:rPr>
      </w:pPr>
      <w:r>
        <w:rPr>
          <w:rFonts w:ascii="Cambria" w:hAnsi="Cambria"/>
          <w:sz w:val="24"/>
          <w:szCs w:val="24"/>
        </w:rPr>
        <w:t>had failed to comply with a GEM Listing Committee</w:t>
      </w:r>
      <w:r w:rsidR="00483CB7" w:rsidRPr="0061063F">
        <w:rPr>
          <w:rFonts w:ascii="Cambria" w:hAnsi="Cambria"/>
          <w:sz w:val="24"/>
          <w:szCs w:val="24"/>
        </w:rPr>
        <w:t xml:space="preserve"> direction </w:t>
      </w:r>
      <w:r>
        <w:rPr>
          <w:rFonts w:ascii="Cambria" w:hAnsi="Cambria"/>
          <w:sz w:val="24"/>
          <w:szCs w:val="24"/>
        </w:rPr>
        <w:t xml:space="preserve">made </w:t>
      </w:r>
      <w:r w:rsidR="00483CB7" w:rsidRPr="0061063F">
        <w:rPr>
          <w:rFonts w:ascii="Cambria" w:hAnsi="Cambria"/>
          <w:sz w:val="24"/>
          <w:szCs w:val="24"/>
        </w:rPr>
        <w:t>following a prev</w:t>
      </w:r>
      <w:r>
        <w:rPr>
          <w:rFonts w:ascii="Cambria" w:hAnsi="Cambria"/>
          <w:sz w:val="24"/>
          <w:szCs w:val="24"/>
        </w:rPr>
        <w:t>ious disciplinary action;</w:t>
      </w:r>
      <w:r w:rsidR="00483CB7" w:rsidRPr="0061063F">
        <w:rPr>
          <w:rFonts w:ascii="Cambria" w:hAnsi="Cambria"/>
          <w:sz w:val="24"/>
          <w:szCs w:val="24"/>
        </w:rPr>
        <w:t xml:space="preserve"> and </w:t>
      </w:r>
    </w:p>
    <w:p w:rsidR="0061063F" w:rsidRDefault="0061063F" w:rsidP="0061063F">
      <w:pPr>
        <w:pStyle w:val="a3"/>
        <w:jc w:val="both"/>
        <w:rPr>
          <w:rFonts w:ascii="Cambria" w:hAnsi="Cambria"/>
          <w:sz w:val="24"/>
          <w:szCs w:val="24"/>
        </w:rPr>
      </w:pPr>
    </w:p>
    <w:p w:rsidR="0061063F" w:rsidRDefault="00483CB7" w:rsidP="0061063F">
      <w:pPr>
        <w:pStyle w:val="a3"/>
        <w:numPr>
          <w:ilvl w:val="0"/>
          <w:numId w:val="4"/>
        </w:numPr>
        <w:jc w:val="both"/>
        <w:rPr>
          <w:rFonts w:ascii="Cambria" w:hAnsi="Cambria"/>
          <w:sz w:val="24"/>
          <w:szCs w:val="24"/>
        </w:rPr>
      </w:pPr>
      <w:r w:rsidRPr="0061063F">
        <w:rPr>
          <w:rFonts w:ascii="Cambria" w:hAnsi="Cambria"/>
          <w:sz w:val="24"/>
          <w:szCs w:val="24"/>
        </w:rPr>
        <w:t>published an inaccurate and misleading announcement</w:t>
      </w:r>
      <w:r w:rsidR="0061063F">
        <w:rPr>
          <w:rFonts w:ascii="Cambria" w:hAnsi="Cambria"/>
          <w:sz w:val="24"/>
          <w:szCs w:val="24"/>
        </w:rPr>
        <w:t xml:space="preserve"> in breach of the GEM Listing Rule requirements</w:t>
      </w:r>
      <w:r w:rsidRPr="0061063F">
        <w:rPr>
          <w:rFonts w:ascii="Cambria" w:hAnsi="Cambria"/>
          <w:sz w:val="24"/>
          <w:szCs w:val="24"/>
        </w:rPr>
        <w:t xml:space="preserve">. </w:t>
      </w:r>
    </w:p>
    <w:p w:rsidR="00726409" w:rsidRPr="0061063F" w:rsidRDefault="00965C93" w:rsidP="0061063F">
      <w:pPr>
        <w:jc w:val="both"/>
        <w:rPr>
          <w:rFonts w:ascii="Cambria" w:hAnsi="Cambria"/>
          <w:sz w:val="24"/>
          <w:szCs w:val="24"/>
        </w:rPr>
      </w:pPr>
      <w:r w:rsidRPr="0061063F">
        <w:rPr>
          <w:rFonts w:ascii="Cambria" w:hAnsi="Cambria"/>
          <w:sz w:val="24"/>
          <w:szCs w:val="24"/>
        </w:rPr>
        <w:lastRenderedPageBreak/>
        <w:t xml:space="preserve">The </w:t>
      </w:r>
      <w:proofErr w:type="spellStart"/>
      <w:r w:rsidRPr="0061063F">
        <w:rPr>
          <w:rFonts w:ascii="Cambria" w:hAnsi="Cambria"/>
          <w:sz w:val="24"/>
          <w:szCs w:val="24"/>
        </w:rPr>
        <w:t>HKEx’s</w:t>
      </w:r>
      <w:proofErr w:type="spellEnd"/>
      <w:r w:rsidRPr="0061063F">
        <w:rPr>
          <w:rFonts w:ascii="Cambria" w:hAnsi="Cambria"/>
          <w:sz w:val="24"/>
          <w:szCs w:val="24"/>
        </w:rPr>
        <w:t xml:space="preserve"> Statement of Disciplinary Action is available on the </w:t>
      </w:r>
      <w:proofErr w:type="spellStart"/>
      <w:r w:rsidRPr="0061063F">
        <w:rPr>
          <w:rFonts w:ascii="Cambria" w:hAnsi="Cambria"/>
          <w:sz w:val="24"/>
          <w:szCs w:val="24"/>
        </w:rPr>
        <w:t>HKEx’s</w:t>
      </w:r>
      <w:proofErr w:type="spellEnd"/>
      <w:r w:rsidRPr="0061063F">
        <w:rPr>
          <w:rFonts w:ascii="Cambria" w:hAnsi="Cambria"/>
          <w:sz w:val="24"/>
          <w:szCs w:val="24"/>
        </w:rPr>
        <w:t xml:space="preserve"> website </w:t>
      </w:r>
      <w:hyperlink r:id="rId9" w:history="1">
        <w:r w:rsidRPr="0061063F">
          <w:rPr>
            <w:rStyle w:val="a4"/>
            <w:rFonts w:ascii="Cambria" w:hAnsi="Cambria"/>
            <w:sz w:val="24"/>
            <w:szCs w:val="24"/>
          </w:rPr>
          <w:t>here</w:t>
        </w:r>
      </w:hyperlink>
      <w:r w:rsidRPr="0061063F">
        <w:rPr>
          <w:rFonts w:ascii="Cambria" w:hAnsi="Cambria"/>
          <w:sz w:val="24"/>
          <w:szCs w:val="24"/>
        </w:rPr>
        <w:t xml:space="preserve">. </w:t>
      </w:r>
    </w:p>
    <w:p w:rsidR="00075406" w:rsidRPr="00075406" w:rsidRDefault="0034553F" w:rsidP="005A0792">
      <w:pPr>
        <w:jc w:val="both"/>
        <w:rPr>
          <w:rFonts w:ascii="Cambria" w:hAnsi="Cambria"/>
          <w:b/>
          <w:sz w:val="24"/>
          <w:szCs w:val="24"/>
        </w:rPr>
      </w:pPr>
      <w:r>
        <w:rPr>
          <w:rFonts w:ascii="Cambria" w:hAnsi="Cambria"/>
          <w:b/>
          <w:sz w:val="24"/>
          <w:szCs w:val="24"/>
        </w:rPr>
        <w:t xml:space="preserve">Publication of </w:t>
      </w:r>
      <w:r w:rsidR="00BD0A02">
        <w:rPr>
          <w:rFonts w:ascii="Cambria" w:hAnsi="Cambria"/>
          <w:b/>
          <w:sz w:val="24"/>
          <w:szCs w:val="24"/>
        </w:rPr>
        <w:t xml:space="preserve">Announcement in </w:t>
      </w:r>
      <w:r w:rsidR="00075406" w:rsidRPr="00075406">
        <w:rPr>
          <w:rFonts w:ascii="Cambria" w:hAnsi="Cambria"/>
          <w:b/>
          <w:sz w:val="24"/>
          <w:szCs w:val="24"/>
        </w:rPr>
        <w:t xml:space="preserve">Breach of </w:t>
      </w:r>
      <w:proofErr w:type="spellStart"/>
      <w:r w:rsidR="00075406" w:rsidRPr="00075406">
        <w:rPr>
          <w:rFonts w:ascii="Cambria" w:hAnsi="Cambria"/>
          <w:b/>
          <w:sz w:val="24"/>
          <w:szCs w:val="24"/>
        </w:rPr>
        <w:t>HKEx</w:t>
      </w:r>
      <w:proofErr w:type="spellEnd"/>
      <w:r w:rsidR="00075406" w:rsidRPr="00075406">
        <w:rPr>
          <w:rFonts w:ascii="Cambria" w:hAnsi="Cambria"/>
          <w:b/>
          <w:sz w:val="24"/>
          <w:szCs w:val="24"/>
        </w:rPr>
        <w:t xml:space="preserve"> GEM Listing Rules </w:t>
      </w:r>
    </w:p>
    <w:p w:rsidR="00132B52" w:rsidRDefault="00B66AB6" w:rsidP="005A0792">
      <w:pPr>
        <w:jc w:val="both"/>
        <w:rPr>
          <w:rFonts w:ascii="Cambria" w:hAnsi="Cambria"/>
          <w:sz w:val="24"/>
          <w:szCs w:val="24"/>
        </w:rPr>
      </w:pPr>
      <w:r>
        <w:rPr>
          <w:rFonts w:ascii="Cambria" w:hAnsi="Cambria"/>
          <w:sz w:val="24"/>
          <w:szCs w:val="24"/>
        </w:rPr>
        <w:t xml:space="preserve">On 7 January 2020, </w:t>
      </w:r>
      <w:proofErr w:type="spellStart"/>
      <w:r>
        <w:rPr>
          <w:rFonts w:ascii="Cambria" w:hAnsi="Cambria"/>
          <w:sz w:val="24"/>
          <w:szCs w:val="24"/>
        </w:rPr>
        <w:t>Inno</w:t>
      </w:r>
      <w:proofErr w:type="spellEnd"/>
      <w:r>
        <w:rPr>
          <w:rFonts w:ascii="Cambria" w:hAnsi="Cambria"/>
          <w:sz w:val="24"/>
          <w:szCs w:val="24"/>
        </w:rPr>
        <w:t>-Tech publ</w:t>
      </w:r>
      <w:r w:rsidR="00DC773D">
        <w:rPr>
          <w:rFonts w:ascii="Cambria" w:hAnsi="Cambria"/>
          <w:sz w:val="24"/>
          <w:szCs w:val="24"/>
        </w:rPr>
        <w:t>icly</w:t>
      </w:r>
      <w:r>
        <w:rPr>
          <w:rFonts w:ascii="Cambria" w:hAnsi="Cambria"/>
          <w:sz w:val="24"/>
          <w:szCs w:val="24"/>
        </w:rPr>
        <w:t xml:space="preserve"> announce</w:t>
      </w:r>
      <w:r w:rsidR="00DC773D">
        <w:rPr>
          <w:rFonts w:ascii="Cambria" w:hAnsi="Cambria"/>
          <w:sz w:val="24"/>
          <w:szCs w:val="24"/>
        </w:rPr>
        <w:t>d</w:t>
      </w:r>
      <w:r>
        <w:rPr>
          <w:rFonts w:ascii="Cambria" w:hAnsi="Cambria"/>
          <w:sz w:val="24"/>
          <w:szCs w:val="24"/>
        </w:rPr>
        <w:t xml:space="preserve"> </w:t>
      </w:r>
      <w:r w:rsidR="00DC773D">
        <w:rPr>
          <w:rFonts w:ascii="Cambria" w:hAnsi="Cambria"/>
          <w:sz w:val="24"/>
          <w:szCs w:val="24"/>
        </w:rPr>
        <w:t>that it had</w:t>
      </w:r>
      <w:r>
        <w:rPr>
          <w:rFonts w:ascii="Cambria" w:hAnsi="Cambria"/>
          <w:sz w:val="24"/>
          <w:szCs w:val="24"/>
        </w:rPr>
        <w:t xml:space="preserve"> appoint</w:t>
      </w:r>
      <w:r w:rsidR="00DC773D">
        <w:rPr>
          <w:rFonts w:ascii="Cambria" w:hAnsi="Cambria"/>
          <w:sz w:val="24"/>
          <w:szCs w:val="24"/>
        </w:rPr>
        <w:t>ed</w:t>
      </w:r>
      <w:r>
        <w:rPr>
          <w:rFonts w:ascii="Cambria" w:hAnsi="Cambria"/>
          <w:sz w:val="24"/>
          <w:szCs w:val="24"/>
        </w:rPr>
        <w:t xml:space="preserve"> a new auditor </w:t>
      </w:r>
      <w:r w:rsidR="0034553F">
        <w:rPr>
          <w:rFonts w:ascii="Cambria" w:hAnsi="Cambria"/>
          <w:sz w:val="24"/>
          <w:szCs w:val="24"/>
        </w:rPr>
        <w:t xml:space="preserve">to replace </w:t>
      </w:r>
      <w:r w:rsidR="00DC773D">
        <w:rPr>
          <w:rFonts w:ascii="Cambria" w:hAnsi="Cambria"/>
          <w:sz w:val="24"/>
          <w:szCs w:val="24"/>
        </w:rPr>
        <w:t xml:space="preserve">its former auditor, Elite. </w:t>
      </w:r>
      <w:r w:rsidR="00DF4659">
        <w:rPr>
          <w:rFonts w:ascii="Cambria" w:hAnsi="Cambria"/>
          <w:sz w:val="24"/>
          <w:szCs w:val="24"/>
        </w:rPr>
        <w:t xml:space="preserve">The announcement </w:t>
      </w:r>
      <w:r w:rsidR="0034553F">
        <w:rPr>
          <w:rFonts w:ascii="Cambria" w:hAnsi="Cambria"/>
          <w:sz w:val="24"/>
          <w:szCs w:val="24"/>
        </w:rPr>
        <w:t>included a statement</w:t>
      </w:r>
      <w:r w:rsidR="008F0ADA">
        <w:rPr>
          <w:rFonts w:ascii="Cambria" w:hAnsi="Cambria"/>
          <w:sz w:val="24"/>
          <w:szCs w:val="24"/>
        </w:rPr>
        <w:t xml:space="preserve"> that both Elite and the b</w:t>
      </w:r>
      <w:r w:rsidR="00DF4659">
        <w:rPr>
          <w:rFonts w:ascii="Cambria" w:hAnsi="Cambria"/>
          <w:sz w:val="24"/>
          <w:szCs w:val="24"/>
        </w:rPr>
        <w:t xml:space="preserve">oard of </w:t>
      </w:r>
      <w:proofErr w:type="spellStart"/>
      <w:r w:rsidR="00DF4659">
        <w:rPr>
          <w:rFonts w:ascii="Cambria" w:hAnsi="Cambria"/>
          <w:sz w:val="24"/>
          <w:szCs w:val="24"/>
        </w:rPr>
        <w:t>Inno</w:t>
      </w:r>
      <w:proofErr w:type="spellEnd"/>
      <w:r w:rsidR="00DF4659">
        <w:rPr>
          <w:rFonts w:ascii="Cambria" w:hAnsi="Cambria"/>
          <w:sz w:val="24"/>
          <w:szCs w:val="24"/>
        </w:rPr>
        <w:t xml:space="preserve">-Tech </w:t>
      </w:r>
      <w:r w:rsidR="008F0ADA">
        <w:rPr>
          <w:rFonts w:ascii="Cambria" w:hAnsi="Cambria"/>
          <w:sz w:val="24"/>
          <w:szCs w:val="24"/>
        </w:rPr>
        <w:t xml:space="preserve">had </w:t>
      </w:r>
      <w:r w:rsidR="00DF4659">
        <w:rPr>
          <w:rFonts w:ascii="Cambria" w:hAnsi="Cambria"/>
          <w:sz w:val="24"/>
          <w:szCs w:val="24"/>
        </w:rPr>
        <w:t xml:space="preserve">confirmed </w:t>
      </w:r>
      <w:r w:rsidR="008F0ADA">
        <w:rPr>
          <w:rFonts w:ascii="Cambria" w:hAnsi="Cambria"/>
          <w:sz w:val="24"/>
          <w:szCs w:val="24"/>
        </w:rPr>
        <w:t xml:space="preserve">that </w:t>
      </w:r>
      <w:r w:rsidR="00DF4659">
        <w:rPr>
          <w:rFonts w:ascii="Cambria" w:hAnsi="Cambria"/>
          <w:sz w:val="24"/>
          <w:szCs w:val="24"/>
        </w:rPr>
        <w:t>there were no matters surrounding the change that needed to be brought to the</w:t>
      </w:r>
      <w:r w:rsidR="0061063F">
        <w:rPr>
          <w:rFonts w:ascii="Cambria" w:hAnsi="Cambria"/>
          <w:sz w:val="24"/>
          <w:szCs w:val="24"/>
        </w:rPr>
        <w:t xml:space="preserve"> attention of the </w:t>
      </w:r>
      <w:r w:rsidR="00DF4659">
        <w:rPr>
          <w:rFonts w:ascii="Cambria" w:hAnsi="Cambria"/>
          <w:sz w:val="24"/>
          <w:szCs w:val="24"/>
        </w:rPr>
        <w:t xml:space="preserve">company’s shareholders. </w:t>
      </w:r>
    </w:p>
    <w:p w:rsidR="005F1756" w:rsidRDefault="00C1610F" w:rsidP="005A0792">
      <w:pPr>
        <w:jc w:val="both"/>
        <w:rPr>
          <w:rFonts w:ascii="Cambria" w:hAnsi="Cambria"/>
          <w:sz w:val="24"/>
          <w:szCs w:val="24"/>
        </w:rPr>
      </w:pPr>
      <w:r>
        <w:rPr>
          <w:rFonts w:ascii="Cambria" w:hAnsi="Cambria"/>
          <w:sz w:val="24"/>
          <w:szCs w:val="24"/>
        </w:rPr>
        <w:t>Prior to</w:t>
      </w:r>
      <w:r w:rsidR="008F0ADA">
        <w:rPr>
          <w:rFonts w:ascii="Cambria" w:hAnsi="Cambria"/>
          <w:sz w:val="24"/>
          <w:szCs w:val="24"/>
        </w:rPr>
        <w:t xml:space="preserve"> its publication</w:t>
      </w:r>
      <w:r>
        <w:rPr>
          <w:rFonts w:ascii="Cambria" w:hAnsi="Cambria"/>
          <w:sz w:val="24"/>
          <w:szCs w:val="24"/>
        </w:rPr>
        <w:t xml:space="preserve">, the </w:t>
      </w:r>
      <w:r w:rsidR="008F0ADA">
        <w:rPr>
          <w:rFonts w:ascii="Cambria" w:hAnsi="Cambria"/>
          <w:sz w:val="24"/>
          <w:szCs w:val="24"/>
        </w:rPr>
        <w:t>announcement was approved at a b</w:t>
      </w:r>
      <w:r>
        <w:rPr>
          <w:rFonts w:ascii="Cambria" w:hAnsi="Cambria"/>
          <w:sz w:val="24"/>
          <w:szCs w:val="24"/>
        </w:rPr>
        <w:t xml:space="preserve">oard meeting </w:t>
      </w:r>
      <w:r w:rsidR="008F0ADA">
        <w:rPr>
          <w:rFonts w:ascii="Cambria" w:hAnsi="Cambria"/>
          <w:sz w:val="24"/>
          <w:szCs w:val="24"/>
        </w:rPr>
        <w:t xml:space="preserve">at which </w:t>
      </w:r>
      <w:r>
        <w:rPr>
          <w:rFonts w:ascii="Cambria" w:hAnsi="Cambria"/>
          <w:sz w:val="24"/>
          <w:szCs w:val="24"/>
        </w:rPr>
        <w:t>Mr Wong (then executive direct</w:t>
      </w:r>
      <w:r w:rsidR="008F0ADA">
        <w:rPr>
          <w:rFonts w:ascii="Cambria" w:hAnsi="Cambria"/>
          <w:sz w:val="24"/>
          <w:szCs w:val="24"/>
        </w:rPr>
        <w:t>or and CEO) represented to the b</w:t>
      </w:r>
      <w:r>
        <w:rPr>
          <w:rFonts w:ascii="Cambria" w:hAnsi="Cambria"/>
          <w:sz w:val="24"/>
          <w:szCs w:val="24"/>
        </w:rPr>
        <w:t>oard that Elite had given</w:t>
      </w:r>
      <w:r w:rsidR="008F0ADA">
        <w:rPr>
          <w:rFonts w:ascii="Cambria" w:hAnsi="Cambria"/>
          <w:sz w:val="24"/>
          <w:szCs w:val="24"/>
        </w:rPr>
        <w:t xml:space="preserve"> the confirmation referred to in the announcement</w:t>
      </w:r>
      <w:r>
        <w:rPr>
          <w:rFonts w:ascii="Cambria" w:hAnsi="Cambria"/>
          <w:sz w:val="24"/>
          <w:szCs w:val="24"/>
        </w:rPr>
        <w:t>.</w:t>
      </w:r>
      <w:r w:rsidR="00A702AB">
        <w:rPr>
          <w:rFonts w:ascii="Cambria" w:hAnsi="Cambria"/>
          <w:sz w:val="24"/>
          <w:szCs w:val="24"/>
        </w:rPr>
        <w:t xml:space="preserve"> </w:t>
      </w:r>
      <w:r w:rsidR="008F0ADA">
        <w:rPr>
          <w:rFonts w:ascii="Cambria" w:hAnsi="Cambria"/>
          <w:sz w:val="24"/>
          <w:szCs w:val="24"/>
        </w:rPr>
        <w:t xml:space="preserve">In fact, </w:t>
      </w:r>
      <w:r w:rsidR="00605167">
        <w:rPr>
          <w:rFonts w:ascii="Cambria" w:hAnsi="Cambria"/>
          <w:sz w:val="24"/>
          <w:szCs w:val="24"/>
        </w:rPr>
        <w:t xml:space="preserve">Elite had not given </w:t>
      </w:r>
      <w:r w:rsidR="0034553F">
        <w:rPr>
          <w:rFonts w:ascii="Cambria" w:hAnsi="Cambria"/>
          <w:sz w:val="24"/>
          <w:szCs w:val="24"/>
        </w:rPr>
        <w:t xml:space="preserve">the </w:t>
      </w:r>
      <w:r w:rsidR="00605167">
        <w:rPr>
          <w:rFonts w:ascii="Cambria" w:hAnsi="Cambria"/>
          <w:sz w:val="24"/>
          <w:szCs w:val="24"/>
        </w:rPr>
        <w:t>confirmation</w:t>
      </w:r>
      <w:r w:rsidR="0034553F">
        <w:rPr>
          <w:rFonts w:ascii="Cambria" w:hAnsi="Cambria"/>
          <w:sz w:val="24"/>
          <w:szCs w:val="24"/>
        </w:rPr>
        <w:t xml:space="preserve"> making</w:t>
      </w:r>
      <w:r w:rsidR="008F0ADA">
        <w:rPr>
          <w:rFonts w:ascii="Cambria" w:hAnsi="Cambria"/>
          <w:sz w:val="24"/>
          <w:szCs w:val="24"/>
        </w:rPr>
        <w:t xml:space="preserve"> the announcement inaccurate and misleading</w:t>
      </w:r>
      <w:r w:rsidR="00605167">
        <w:rPr>
          <w:rFonts w:ascii="Cambria" w:hAnsi="Cambria"/>
          <w:sz w:val="24"/>
          <w:szCs w:val="24"/>
        </w:rPr>
        <w:t xml:space="preserve">. On 13 January 2020, </w:t>
      </w:r>
      <w:proofErr w:type="spellStart"/>
      <w:r w:rsidR="00605167">
        <w:rPr>
          <w:rFonts w:ascii="Cambria" w:hAnsi="Cambria"/>
          <w:sz w:val="24"/>
          <w:szCs w:val="24"/>
        </w:rPr>
        <w:t>Inno</w:t>
      </w:r>
      <w:proofErr w:type="spellEnd"/>
      <w:r w:rsidR="00605167">
        <w:rPr>
          <w:rFonts w:ascii="Cambria" w:hAnsi="Cambria"/>
          <w:sz w:val="24"/>
          <w:szCs w:val="24"/>
        </w:rPr>
        <w:t>-Tech</w:t>
      </w:r>
      <w:r w:rsidR="00F15795">
        <w:rPr>
          <w:rFonts w:ascii="Cambria" w:hAnsi="Cambria"/>
          <w:sz w:val="24"/>
          <w:szCs w:val="24"/>
        </w:rPr>
        <w:t xml:space="preserve"> published an announcement clarifying that Elite had never given the confirmation and admitted its breach of Rule 17.56(2) of the GEM Listing Rules. </w:t>
      </w:r>
    </w:p>
    <w:p w:rsidR="00BD0A02" w:rsidRDefault="00BD0A02" w:rsidP="005A0792">
      <w:pPr>
        <w:jc w:val="both"/>
        <w:rPr>
          <w:rFonts w:ascii="Cambria" w:hAnsi="Cambria"/>
          <w:sz w:val="24"/>
          <w:szCs w:val="24"/>
        </w:rPr>
      </w:pPr>
      <w:r>
        <w:rPr>
          <w:rFonts w:ascii="Cambria" w:hAnsi="Cambria"/>
          <w:b/>
          <w:sz w:val="24"/>
          <w:szCs w:val="24"/>
        </w:rPr>
        <w:t>Non-compliance with GEM Listing Committee Direction</w:t>
      </w:r>
    </w:p>
    <w:p w:rsidR="005F7B40" w:rsidRDefault="00BD0A02" w:rsidP="008D293E">
      <w:pPr>
        <w:jc w:val="both"/>
        <w:rPr>
          <w:rFonts w:ascii="Cambria" w:hAnsi="Cambria"/>
          <w:sz w:val="24"/>
          <w:szCs w:val="24"/>
        </w:rPr>
      </w:pPr>
      <w:r>
        <w:rPr>
          <w:rFonts w:ascii="Cambria" w:hAnsi="Cambria"/>
          <w:sz w:val="24"/>
          <w:szCs w:val="24"/>
        </w:rPr>
        <w:t>In</w:t>
      </w:r>
      <w:r w:rsidR="00DC0C78">
        <w:rPr>
          <w:rFonts w:ascii="Cambria" w:hAnsi="Cambria"/>
          <w:sz w:val="24"/>
          <w:szCs w:val="24"/>
        </w:rPr>
        <w:t xml:space="preserve"> September 2018, </w:t>
      </w:r>
      <w:r>
        <w:rPr>
          <w:rFonts w:ascii="Cambria" w:hAnsi="Cambria"/>
          <w:sz w:val="24"/>
          <w:szCs w:val="24"/>
        </w:rPr>
        <w:t xml:space="preserve">the GEM Listing Committee directed </w:t>
      </w:r>
      <w:proofErr w:type="spellStart"/>
      <w:r w:rsidR="00F93531">
        <w:rPr>
          <w:rFonts w:ascii="Cambria" w:hAnsi="Cambria"/>
          <w:sz w:val="24"/>
          <w:szCs w:val="24"/>
        </w:rPr>
        <w:t>Inno</w:t>
      </w:r>
      <w:proofErr w:type="spellEnd"/>
      <w:r w:rsidR="00F93531">
        <w:rPr>
          <w:rFonts w:ascii="Cambria" w:hAnsi="Cambria"/>
          <w:sz w:val="24"/>
          <w:szCs w:val="24"/>
        </w:rPr>
        <w:t xml:space="preserve">-Tech to appoint an independent compliance adviser for two years following a previous disciplinary action against the company and its then directors. </w:t>
      </w:r>
      <w:proofErr w:type="spellStart"/>
      <w:r w:rsidR="00ED5A99">
        <w:rPr>
          <w:rFonts w:ascii="Cambria" w:hAnsi="Cambria"/>
          <w:sz w:val="24"/>
          <w:szCs w:val="24"/>
        </w:rPr>
        <w:t>Inno</w:t>
      </w:r>
      <w:proofErr w:type="spellEnd"/>
      <w:r w:rsidR="00ED5A99">
        <w:rPr>
          <w:rFonts w:ascii="Cambria" w:hAnsi="Cambria"/>
          <w:sz w:val="24"/>
          <w:szCs w:val="24"/>
        </w:rPr>
        <w:t xml:space="preserve">-Tech then appointed three compliance advisers but for one year and nine months only. </w:t>
      </w:r>
      <w:r w:rsidR="009E1037">
        <w:rPr>
          <w:rFonts w:ascii="Cambria" w:hAnsi="Cambria"/>
          <w:sz w:val="24"/>
          <w:szCs w:val="24"/>
        </w:rPr>
        <w:t xml:space="preserve">Each of the compliance advisers’ contracts were terminated due to the company’s failure to settle the advisers’ fees. </w:t>
      </w:r>
      <w:r w:rsidR="008D293E">
        <w:rPr>
          <w:rFonts w:ascii="Cambria" w:hAnsi="Cambria"/>
          <w:sz w:val="24"/>
          <w:szCs w:val="24"/>
        </w:rPr>
        <w:t xml:space="preserve">Mr Wong, who was appointed as executive director and CEO of the company in May 2019, persistently withheld payments to its compliance advisers during his tenure. </w:t>
      </w:r>
    </w:p>
    <w:p w:rsidR="008D293E" w:rsidRDefault="00F30DCA" w:rsidP="008D293E">
      <w:pPr>
        <w:jc w:val="both"/>
        <w:rPr>
          <w:rFonts w:ascii="Cambria" w:hAnsi="Cambria"/>
          <w:sz w:val="24"/>
          <w:szCs w:val="24"/>
        </w:rPr>
      </w:pPr>
      <w:r>
        <w:rPr>
          <w:rFonts w:ascii="Cambria" w:hAnsi="Cambria"/>
          <w:sz w:val="24"/>
          <w:szCs w:val="24"/>
        </w:rPr>
        <w:t xml:space="preserve">Between May and November 2020, the </w:t>
      </w:r>
      <w:r w:rsidR="00D1168D">
        <w:rPr>
          <w:rFonts w:ascii="Cambria" w:hAnsi="Cambria"/>
          <w:sz w:val="24"/>
          <w:szCs w:val="24"/>
        </w:rPr>
        <w:t xml:space="preserve">Listing </w:t>
      </w:r>
      <w:r>
        <w:rPr>
          <w:rFonts w:ascii="Cambria" w:hAnsi="Cambria"/>
          <w:sz w:val="24"/>
          <w:szCs w:val="24"/>
        </w:rPr>
        <w:t xml:space="preserve">Division made numerous enquiries </w:t>
      </w:r>
      <w:r w:rsidR="005B13C9">
        <w:rPr>
          <w:rFonts w:ascii="Cambria" w:hAnsi="Cambria"/>
          <w:sz w:val="24"/>
          <w:szCs w:val="24"/>
        </w:rPr>
        <w:t xml:space="preserve">of </w:t>
      </w:r>
      <w:proofErr w:type="spellStart"/>
      <w:r>
        <w:rPr>
          <w:rFonts w:ascii="Cambria" w:hAnsi="Cambria"/>
          <w:sz w:val="24"/>
          <w:szCs w:val="24"/>
        </w:rPr>
        <w:t>Inno</w:t>
      </w:r>
      <w:proofErr w:type="spellEnd"/>
      <w:r>
        <w:rPr>
          <w:rFonts w:ascii="Cambria" w:hAnsi="Cambria"/>
          <w:sz w:val="24"/>
          <w:szCs w:val="24"/>
        </w:rPr>
        <w:t>-Tech</w:t>
      </w:r>
      <w:r w:rsidR="00A33136">
        <w:rPr>
          <w:rFonts w:ascii="Cambria" w:hAnsi="Cambria"/>
          <w:sz w:val="24"/>
          <w:szCs w:val="24"/>
        </w:rPr>
        <w:t xml:space="preserve"> and its directors with regards to the above matters. </w:t>
      </w:r>
      <w:r w:rsidR="00582477">
        <w:rPr>
          <w:rFonts w:ascii="Cambria" w:hAnsi="Cambria"/>
          <w:sz w:val="24"/>
          <w:szCs w:val="24"/>
        </w:rPr>
        <w:t xml:space="preserve">Mr Wong made no substantial response to the </w:t>
      </w:r>
      <w:r w:rsidR="00D1168D">
        <w:rPr>
          <w:rFonts w:ascii="Cambria" w:hAnsi="Cambria"/>
          <w:sz w:val="24"/>
          <w:szCs w:val="24"/>
        </w:rPr>
        <w:t xml:space="preserve">Listing </w:t>
      </w:r>
      <w:r w:rsidR="00582477">
        <w:rPr>
          <w:rFonts w:ascii="Cambria" w:hAnsi="Cambria"/>
          <w:sz w:val="24"/>
          <w:szCs w:val="24"/>
        </w:rPr>
        <w:t xml:space="preserve">Division’s direct enquiries with him. At that time, Mr Zheng was an executive director and Mr Cao was a non-executive director. They were involved with the company’s earlier responses to </w:t>
      </w:r>
      <w:r w:rsidR="00D1168D">
        <w:rPr>
          <w:rFonts w:ascii="Cambria" w:hAnsi="Cambria"/>
          <w:sz w:val="24"/>
          <w:szCs w:val="24"/>
        </w:rPr>
        <w:t>the Listing Division’s enquiries and were therefore aware that</w:t>
      </w:r>
      <w:r w:rsidR="00582477">
        <w:rPr>
          <w:rFonts w:ascii="Cambria" w:hAnsi="Cambria"/>
          <w:sz w:val="24"/>
          <w:szCs w:val="24"/>
        </w:rPr>
        <w:t xml:space="preserve"> </w:t>
      </w:r>
      <w:proofErr w:type="spellStart"/>
      <w:r w:rsidR="00582477">
        <w:rPr>
          <w:rFonts w:ascii="Cambria" w:hAnsi="Cambria"/>
          <w:sz w:val="24"/>
          <w:szCs w:val="24"/>
        </w:rPr>
        <w:t>Inno</w:t>
      </w:r>
      <w:proofErr w:type="spellEnd"/>
      <w:r w:rsidR="00582477">
        <w:rPr>
          <w:rFonts w:ascii="Cambria" w:hAnsi="Cambria"/>
          <w:sz w:val="24"/>
          <w:szCs w:val="24"/>
        </w:rPr>
        <w:t xml:space="preserve">-Tech </w:t>
      </w:r>
      <w:r w:rsidR="00D1168D">
        <w:rPr>
          <w:rFonts w:ascii="Cambria" w:hAnsi="Cambria"/>
          <w:sz w:val="24"/>
          <w:szCs w:val="24"/>
        </w:rPr>
        <w:t xml:space="preserve">was </w:t>
      </w:r>
      <w:r w:rsidR="00582477">
        <w:rPr>
          <w:rFonts w:ascii="Cambria" w:hAnsi="Cambria"/>
          <w:sz w:val="24"/>
          <w:szCs w:val="24"/>
        </w:rPr>
        <w:t xml:space="preserve">being investigated. However, they did not procure the company to respond to the </w:t>
      </w:r>
      <w:r w:rsidR="00D1168D">
        <w:rPr>
          <w:rFonts w:ascii="Cambria" w:hAnsi="Cambria"/>
          <w:sz w:val="24"/>
          <w:szCs w:val="24"/>
        </w:rPr>
        <w:t xml:space="preserve">Listing </w:t>
      </w:r>
      <w:r w:rsidR="00582477">
        <w:rPr>
          <w:rFonts w:ascii="Cambria" w:hAnsi="Cambria"/>
          <w:sz w:val="24"/>
          <w:szCs w:val="24"/>
        </w:rPr>
        <w:t xml:space="preserve">Division’s last enquiry letter. </w:t>
      </w:r>
    </w:p>
    <w:p w:rsidR="00C068F9" w:rsidRPr="00C068F9" w:rsidRDefault="0006102B" w:rsidP="00C144A8">
      <w:pPr>
        <w:jc w:val="both"/>
        <w:rPr>
          <w:rFonts w:ascii="Cambria" w:hAnsi="Cambria"/>
          <w:b/>
          <w:sz w:val="24"/>
          <w:szCs w:val="24"/>
        </w:rPr>
      </w:pPr>
      <w:proofErr w:type="spellStart"/>
      <w:r>
        <w:rPr>
          <w:rFonts w:ascii="Cambria" w:hAnsi="Cambria"/>
          <w:b/>
          <w:sz w:val="24"/>
          <w:szCs w:val="24"/>
        </w:rPr>
        <w:t>HKEx</w:t>
      </w:r>
      <w:proofErr w:type="spellEnd"/>
      <w:r>
        <w:rPr>
          <w:rFonts w:ascii="Cambria" w:hAnsi="Cambria"/>
          <w:b/>
          <w:sz w:val="24"/>
          <w:szCs w:val="24"/>
        </w:rPr>
        <w:t xml:space="preserve"> </w:t>
      </w:r>
      <w:r w:rsidR="00C068F9">
        <w:rPr>
          <w:rFonts w:ascii="Cambria" w:hAnsi="Cambria"/>
          <w:b/>
          <w:sz w:val="24"/>
          <w:szCs w:val="24"/>
        </w:rPr>
        <w:t>Disciplinary Actions</w:t>
      </w:r>
      <w:r w:rsidR="00783993">
        <w:rPr>
          <w:rFonts w:ascii="Cambria" w:hAnsi="Cambria"/>
          <w:b/>
          <w:sz w:val="24"/>
          <w:szCs w:val="24"/>
        </w:rPr>
        <w:t xml:space="preserve"> for Directors’ Breach of Listing Rules and Director’s Undertaking</w:t>
      </w:r>
    </w:p>
    <w:p w:rsidR="00BD1B1E" w:rsidRDefault="005F4C33" w:rsidP="00C144A8">
      <w:pPr>
        <w:jc w:val="both"/>
        <w:rPr>
          <w:rFonts w:ascii="Cambria" w:hAnsi="Cambria"/>
          <w:sz w:val="24"/>
          <w:szCs w:val="24"/>
        </w:rPr>
      </w:pPr>
      <w:r>
        <w:rPr>
          <w:rFonts w:ascii="Cambria" w:hAnsi="Cambria"/>
          <w:sz w:val="24"/>
          <w:szCs w:val="24"/>
        </w:rPr>
        <w:t>The GEM Listing Committee found that Mr</w:t>
      </w:r>
      <w:r w:rsidR="005B13C9">
        <w:rPr>
          <w:rFonts w:ascii="Cambria" w:hAnsi="Cambria"/>
          <w:sz w:val="24"/>
          <w:szCs w:val="24"/>
        </w:rPr>
        <w:t xml:space="preserve"> Wong breached GEM Listing Rule</w:t>
      </w:r>
      <w:r>
        <w:rPr>
          <w:rFonts w:ascii="Cambria" w:hAnsi="Cambria"/>
          <w:sz w:val="24"/>
          <w:szCs w:val="24"/>
        </w:rPr>
        <w:t xml:space="preserve"> </w:t>
      </w:r>
      <w:r w:rsidR="00B25068">
        <w:rPr>
          <w:rFonts w:ascii="Cambria" w:hAnsi="Cambria"/>
          <w:sz w:val="24"/>
          <w:szCs w:val="24"/>
        </w:rPr>
        <w:t>5.01</w:t>
      </w:r>
      <w:r w:rsidR="005B13C9">
        <w:rPr>
          <w:rFonts w:ascii="Cambria" w:hAnsi="Cambria"/>
          <w:sz w:val="24"/>
          <w:szCs w:val="24"/>
        </w:rPr>
        <w:t xml:space="preserve"> </w:t>
      </w:r>
      <w:r w:rsidR="0016260E">
        <w:rPr>
          <w:rFonts w:ascii="Cambria" w:hAnsi="Cambria"/>
          <w:sz w:val="24"/>
          <w:szCs w:val="24"/>
        </w:rPr>
        <w:t xml:space="preserve">and the </w:t>
      </w:r>
      <w:r w:rsidR="00C144A8" w:rsidRPr="00C144A8">
        <w:rPr>
          <w:rFonts w:ascii="Cambria" w:hAnsi="Cambria"/>
          <w:sz w:val="24"/>
          <w:szCs w:val="24"/>
        </w:rPr>
        <w:t>Declaration and Undertaking with regard to Directors in the form of Appendix 6A to the G</w:t>
      </w:r>
      <w:r w:rsidR="00C144A8">
        <w:rPr>
          <w:rFonts w:ascii="Cambria" w:hAnsi="Cambria"/>
          <w:sz w:val="24"/>
          <w:szCs w:val="24"/>
        </w:rPr>
        <w:t>EM Listing Rules</w:t>
      </w:r>
      <w:r w:rsidR="00C144A8" w:rsidRPr="00C144A8">
        <w:rPr>
          <w:rFonts w:ascii="Cambria" w:hAnsi="Cambria"/>
          <w:sz w:val="24"/>
          <w:szCs w:val="24"/>
        </w:rPr>
        <w:t xml:space="preserve"> (</w:t>
      </w:r>
      <w:r w:rsidR="00C144A8" w:rsidRPr="00C144A8">
        <w:rPr>
          <w:rFonts w:ascii="Cambria" w:hAnsi="Cambria"/>
          <w:b/>
          <w:sz w:val="24"/>
          <w:szCs w:val="24"/>
        </w:rPr>
        <w:t>Undertaking</w:t>
      </w:r>
      <w:r w:rsidR="00C144A8" w:rsidRPr="00C144A8">
        <w:rPr>
          <w:rFonts w:ascii="Cambria" w:hAnsi="Cambria"/>
          <w:sz w:val="24"/>
          <w:szCs w:val="24"/>
        </w:rPr>
        <w:t>)</w:t>
      </w:r>
      <w:r w:rsidR="00C144A8">
        <w:rPr>
          <w:rFonts w:ascii="Cambria" w:hAnsi="Cambria"/>
          <w:sz w:val="24"/>
          <w:szCs w:val="24"/>
        </w:rPr>
        <w:t xml:space="preserve"> </w:t>
      </w:r>
      <w:r w:rsidR="007F3C14">
        <w:rPr>
          <w:rFonts w:ascii="Cambria" w:hAnsi="Cambria"/>
          <w:sz w:val="24"/>
          <w:szCs w:val="24"/>
        </w:rPr>
        <w:t xml:space="preserve">in causing the company to publish an inaccurate and misleading </w:t>
      </w:r>
      <w:r w:rsidR="00EA5342">
        <w:rPr>
          <w:rFonts w:ascii="Cambria" w:hAnsi="Cambria"/>
          <w:sz w:val="24"/>
          <w:szCs w:val="24"/>
        </w:rPr>
        <w:t>announcement</w:t>
      </w:r>
      <w:r w:rsidR="007F3C14">
        <w:rPr>
          <w:rFonts w:ascii="Cambria" w:hAnsi="Cambria"/>
          <w:sz w:val="24"/>
          <w:szCs w:val="24"/>
        </w:rPr>
        <w:t xml:space="preserve"> in breach of GEM Listing Rule 17.56(2)</w:t>
      </w:r>
      <w:r w:rsidR="00EA5342">
        <w:rPr>
          <w:rFonts w:ascii="Cambria" w:hAnsi="Cambria"/>
          <w:sz w:val="24"/>
          <w:szCs w:val="24"/>
        </w:rPr>
        <w:t>,</w:t>
      </w:r>
      <w:r w:rsidR="00570AA3">
        <w:rPr>
          <w:rFonts w:ascii="Cambria" w:hAnsi="Cambria"/>
          <w:sz w:val="24"/>
          <w:szCs w:val="24"/>
        </w:rPr>
        <w:t xml:space="preserve"> persistently withholding the company</w:t>
      </w:r>
      <w:r w:rsidR="007F3C14">
        <w:rPr>
          <w:rFonts w:ascii="Cambria" w:hAnsi="Cambria"/>
          <w:sz w:val="24"/>
          <w:szCs w:val="24"/>
        </w:rPr>
        <w:t>’s</w:t>
      </w:r>
      <w:r w:rsidR="00570AA3">
        <w:rPr>
          <w:rFonts w:ascii="Cambria" w:hAnsi="Cambria"/>
          <w:sz w:val="24"/>
          <w:szCs w:val="24"/>
        </w:rPr>
        <w:t xml:space="preserve"> payments </w:t>
      </w:r>
      <w:r w:rsidR="00EA5342">
        <w:rPr>
          <w:rFonts w:ascii="Cambria" w:hAnsi="Cambria"/>
          <w:sz w:val="24"/>
          <w:szCs w:val="24"/>
        </w:rPr>
        <w:t xml:space="preserve">to the compliance advisers, and failing to cooperate in the </w:t>
      </w:r>
      <w:r w:rsidR="007F3C14">
        <w:rPr>
          <w:rFonts w:ascii="Cambria" w:hAnsi="Cambria"/>
          <w:sz w:val="24"/>
          <w:szCs w:val="24"/>
        </w:rPr>
        <w:t xml:space="preserve">Listing </w:t>
      </w:r>
      <w:r w:rsidR="00EA5342">
        <w:rPr>
          <w:rFonts w:ascii="Cambria" w:hAnsi="Cambria"/>
          <w:sz w:val="24"/>
          <w:szCs w:val="24"/>
        </w:rPr>
        <w:t>Division’</w:t>
      </w:r>
      <w:r w:rsidR="005E3A4D">
        <w:rPr>
          <w:rFonts w:ascii="Cambria" w:hAnsi="Cambria"/>
          <w:sz w:val="24"/>
          <w:szCs w:val="24"/>
        </w:rPr>
        <w:t>s investigation.</w:t>
      </w:r>
    </w:p>
    <w:p w:rsidR="005E3A4D" w:rsidRDefault="00062930" w:rsidP="00C144A8">
      <w:pPr>
        <w:jc w:val="both"/>
        <w:rPr>
          <w:rFonts w:ascii="Cambria" w:hAnsi="Cambria"/>
          <w:sz w:val="24"/>
          <w:szCs w:val="24"/>
        </w:rPr>
      </w:pPr>
      <w:r>
        <w:rPr>
          <w:rFonts w:ascii="Cambria" w:hAnsi="Cambria"/>
          <w:sz w:val="24"/>
          <w:szCs w:val="24"/>
        </w:rPr>
        <w:t xml:space="preserve">Mr Zheng and Mr Cao also breached their </w:t>
      </w:r>
      <w:r w:rsidR="007F3C14">
        <w:rPr>
          <w:rFonts w:ascii="Cambria" w:hAnsi="Cambria"/>
          <w:sz w:val="24"/>
          <w:szCs w:val="24"/>
        </w:rPr>
        <w:t>obligations under the Undertaking to use their best endeavours to procure the company’s compliance with</w:t>
      </w:r>
      <w:r>
        <w:rPr>
          <w:rFonts w:ascii="Cambria" w:hAnsi="Cambria"/>
          <w:sz w:val="24"/>
          <w:szCs w:val="24"/>
        </w:rPr>
        <w:t xml:space="preserve"> GEM Listing Rule 17.55A </w:t>
      </w:r>
      <w:r w:rsidR="007F3C14">
        <w:rPr>
          <w:rFonts w:ascii="Cambria" w:hAnsi="Cambria"/>
          <w:sz w:val="24"/>
          <w:szCs w:val="24"/>
        </w:rPr>
        <w:t xml:space="preserve">(to provide information and documents reasonably required for the Listing Division’s investigation) and to cooperate in the Listing </w:t>
      </w:r>
      <w:r>
        <w:rPr>
          <w:rFonts w:ascii="Cambria" w:hAnsi="Cambria"/>
          <w:sz w:val="24"/>
          <w:szCs w:val="24"/>
        </w:rPr>
        <w:t xml:space="preserve">Division’s investigation. </w:t>
      </w:r>
    </w:p>
    <w:p w:rsidR="00C068F9" w:rsidRPr="002D0CB9" w:rsidRDefault="006B09B4" w:rsidP="00C144A8">
      <w:pPr>
        <w:jc w:val="both"/>
        <w:rPr>
          <w:rFonts w:ascii="Cambria" w:hAnsi="Cambria"/>
          <w:sz w:val="24"/>
          <w:szCs w:val="24"/>
        </w:rPr>
      </w:pPr>
      <w:r>
        <w:rPr>
          <w:rFonts w:ascii="Cambria" w:hAnsi="Cambria"/>
          <w:sz w:val="24"/>
          <w:szCs w:val="24"/>
        </w:rPr>
        <w:lastRenderedPageBreak/>
        <w:t xml:space="preserve">The GEM Listing Committee </w:t>
      </w:r>
      <w:r w:rsidR="009574D0">
        <w:rPr>
          <w:rFonts w:ascii="Cambria" w:hAnsi="Cambria"/>
          <w:sz w:val="24"/>
          <w:szCs w:val="24"/>
        </w:rPr>
        <w:t>therefore impose</w:t>
      </w:r>
      <w:r w:rsidR="007F3C14">
        <w:rPr>
          <w:rFonts w:ascii="Cambria" w:hAnsi="Cambria"/>
          <w:sz w:val="24"/>
          <w:szCs w:val="24"/>
        </w:rPr>
        <w:t>d</w:t>
      </w:r>
      <w:r w:rsidR="009574D0">
        <w:rPr>
          <w:rFonts w:ascii="Cambria" w:hAnsi="Cambria"/>
          <w:sz w:val="24"/>
          <w:szCs w:val="24"/>
        </w:rPr>
        <w:t xml:space="preserve"> </w:t>
      </w:r>
      <w:r w:rsidR="001B7E27">
        <w:rPr>
          <w:rFonts w:ascii="Cambria" w:hAnsi="Cambria"/>
          <w:sz w:val="24"/>
          <w:szCs w:val="24"/>
        </w:rPr>
        <w:t>a Prejudice to I</w:t>
      </w:r>
      <w:r w:rsidR="0089221F">
        <w:rPr>
          <w:rFonts w:ascii="Cambria" w:hAnsi="Cambria"/>
          <w:sz w:val="24"/>
          <w:szCs w:val="24"/>
        </w:rPr>
        <w:t>nvest</w:t>
      </w:r>
      <w:r w:rsidR="001B7E27">
        <w:rPr>
          <w:rFonts w:ascii="Cambria" w:hAnsi="Cambria"/>
          <w:sz w:val="24"/>
          <w:szCs w:val="24"/>
        </w:rPr>
        <w:t>ors’ Interests S</w:t>
      </w:r>
      <w:r w:rsidR="0089221F">
        <w:rPr>
          <w:rFonts w:ascii="Cambria" w:hAnsi="Cambria"/>
          <w:sz w:val="24"/>
          <w:szCs w:val="24"/>
        </w:rPr>
        <w:t xml:space="preserve">tatement against the three </w:t>
      </w:r>
      <w:r w:rsidR="00082C92">
        <w:rPr>
          <w:rFonts w:ascii="Cambria" w:hAnsi="Cambria"/>
          <w:sz w:val="24"/>
          <w:szCs w:val="24"/>
        </w:rPr>
        <w:t>directors</w:t>
      </w:r>
      <w:r w:rsidR="001B7E27">
        <w:rPr>
          <w:rFonts w:ascii="Cambria" w:hAnsi="Cambria"/>
          <w:sz w:val="24"/>
          <w:szCs w:val="24"/>
        </w:rPr>
        <w:t xml:space="preserve">, that is a statement that, in the Exchange’s opinion, had they </w:t>
      </w:r>
      <w:r w:rsidR="00082C92">
        <w:rPr>
          <w:rFonts w:ascii="Cambria" w:hAnsi="Cambria"/>
          <w:sz w:val="24"/>
          <w:szCs w:val="24"/>
        </w:rPr>
        <w:t xml:space="preserve">remained on the board of directors of the company, their retention of office would have been prejudicial to the interests of investors. </w:t>
      </w:r>
    </w:p>
    <w:p w:rsidR="005A05FF" w:rsidRPr="00726409" w:rsidRDefault="0006102B" w:rsidP="005A05FF">
      <w:pPr>
        <w:jc w:val="both"/>
        <w:rPr>
          <w:rFonts w:ascii="Cambria" w:hAnsi="Cambria"/>
          <w:b/>
          <w:color w:val="FF0000"/>
          <w:sz w:val="24"/>
          <w:szCs w:val="24"/>
        </w:rPr>
      </w:pPr>
      <w:proofErr w:type="spellStart"/>
      <w:r>
        <w:rPr>
          <w:rFonts w:ascii="Cambria" w:hAnsi="Cambria"/>
          <w:b/>
          <w:color w:val="FF0000"/>
          <w:sz w:val="24"/>
          <w:szCs w:val="24"/>
        </w:rPr>
        <w:t>HKEx</w:t>
      </w:r>
      <w:proofErr w:type="spellEnd"/>
      <w:r>
        <w:rPr>
          <w:rFonts w:ascii="Cambria" w:hAnsi="Cambria"/>
          <w:b/>
          <w:color w:val="FF0000"/>
          <w:sz w:val="24"/>
          <w:szCs w:val="24"/>
        </w:rPr>
        <w:t xml:space="preserve"> Disciplinary Action in relation to </w:t>
      </w:r>
      <w:r w:rsidR="005A05FF">
        <w:rPr>
          <w:rFonts w:ascii="Cambria" w:hAnsi="Cambria"/>
          <w:b/>
          <w:color w:val="FF0000"/>
          <w:sz w:val="24"/>
          <w:szCs w:val="24"/>
        </w:rPr>
        <w:t>Ping An Securi</w:t>
      </w:r>
      <w:r w:rsidR="00075406">
        <w:rPr>
          <w:rFonts w:ascii="Cambria" w:hAnsi="Cambria"/>
          <w:b/>
          <w:color w:val="FF0000"/>
          <w:sz w:val="24"/>
          <w:szCs w:val="24"/>
        </w:rPr>
        <w:t>ties Group (Holdings) Limited (in l</w:t>
      </w:r>
      <w:r w:rsidR="005A05FF">
        <w:rPr>
          <w:rFonts w:ascii="Cambria" w:hAnsi="Cambria"/>
          <w:b/>
          <w:color w:val="FF0000"/>
          <w:sz w:val="24"/>
          <w:szCs w:val="24"/>
        </w:rPr>
        <w:t>iquidation)</w:t>
      </w:r>
      <w:r>
        <w:rPr>
          <w:rFonts w:ascii="Cambria" w:hAnsi="Cambria"/>
          <w:b/>
          <w:color w:val="FF0000"/>
          <w:sz w:val="24"/>
          <w:szCs w:val="24"/>
        </w:rPr>
        <w:t xml:space="preserve"> and Two Former Directors</w:t>
      </w:r>
    </w:p>
    <w:p w:rsidR="005F7B40" w:rsidRDefault="005A05FF" w:rsidP="00737511">
      <w:pPr>
        <w:jc w:val="both"/>
        <w:rPr>
          <w:rFonts w:ascii="Cambria" w:hAnsi="Cambria"/>
          <w:sz w:val="24"/>
          <w:szCs w:val="24"/>
        </w:rPr>
      </w:pPr>
      <w:r>
        <w:rPr>
          <w:rFonts w:ascii="Cambria" w:hAnsi="Cambria"/>
          <w:sz w:val="24"/>
          <w:szCs w:val="24"/>
        </w:rPr>
        <w:t xml:space="preserve">On 10 August 2022, the </w:t>
      </w:r>
      <w:proofErr w:type="spellStart"/>
      <w:r>
        <w:rPr>
          <w:rFonts w:ascii="Cambria" w:hAnsi="Cambria"/>
          <w:sz w:val="24"/>
          <w:szCs w:val="24"/>
        </w:rPr>
        <w:t>HKEx</w:t>
      </w:r>
      <w:proofErr w:type="spellEnd"/>
      <w:r>
        <w:rPr>
          <w:rFonts w:ascii="Cambria" w:hAnsi="Cambria"/>
          <w:sz w:val="24"/>
          <w:szCs w:val="24"/>
        </w:rPr>
        <w:t xml:space="preserve"> publicly censured </w:t>
      </w:r>
      <w:r w:rsidR="0006102B" w:rsidRPr="00951CCC">
        <w:rPr>
          <w:rFonts w:ascii="Cambria" w:hAnsi="Cambria"/>
          <w:sz w:val="24"/>
          <w:szCs w:val="24"/>
        </w:rPr>
        <w:t xml:space="preserve">Ping </w:t>
      </w:r>
      <w:proofErr w:type="gramStart"/>
      <w:r w:rsidR="0006102B" w:rsidRPr="00951CCC">
        <w:rPr>
          <w:rFonts w:ascii="Cambria" w:hAnsi="Cambria"/>
          <w:sz w:val="24"/>
          <w:szCs w:val="24"/>
        </w:rPr>
        <w:t>An</w:t>
      </w:r>
      <w:proofErr w:type="gramEnd"/>
      <w:r w:rsidR="0006102B" w:rsidRPr="00951CCC">
        <w:rPr>
          <w:rFonts w:ascii="Cambria" w:hAnsi="Cambria"/>
          <w:sz w:val="24"/>
          <w:szCs w:val="24"/>
        </w:rPr>
        <w:t xml:space="preserve"> Securities Group (Holdings) Limited </w:t>
      </w:r>
      <w:r w:rsidR="0006102B">
        <w:rPr>
          <w:rFonts w:ascii="Cambria" w:hAnsi="Cambria"/>
          <w:sz w:val="24"/>
          <w:szCs w:val="24"/>
        </w:rPr>
        <w:t>(</w:t>
      </w:r>
      <w:r w:rsidR="0006102B" w:rsidRPr="00951CCC">
        <w:rPr>
          <w:rFonts w:ascii="Cambria" w:hAnsi="Cambria"/>
          <w:b/>
          <w:sz w:val="24"/>
          <w:szCs w:val="24"/>
        </w:rPr>
        <w:t>Ping An Securities</w:t>
      </w:r>
      <w:r w:rsidR="0006102B">
        <w:rPr>
          <w:rFonts w:ascii="Cambria" w:hAnsi="Cambria"/>
          <w:sz w:val="24"/>
          <w:szCs w:val="24"/>
        </w:rPr>
        <w:t xml:space="preserve">) and </w:t>
      </w:r>
      <w:r w:rsidR="00AD1FDF">
        <w:rPr>
          <w:rFonts w:ascii="Cambria" w:hAnsi="Cambria"/>
          <w:sz w:val="24"/>
          <w:szCs w:val="24"/>
        </w:rPr>
        <w:t>two</w:t>
      </w:r>
      <w:r w:rsidR="0006102B">
        <w:rPr>
          <w:rFonts w:ascii="Cambria" w:hAnsi="Cambria"/>
          <w:sz w:val="24"/>
          <w:szCs w:val="24"/>
        </w:rPr>
        <w:t xml:space="preserve"> of its</w:t>
      </w:r>
      <w:r>
        <w:rPr>
          <w:rFonts w:ascii="Cambria" w:hAnsi="Cambria"/>
          <w:sz w:val="24"/>
          <w:szCs w:val="24"/>
        </w:rPr>
        <w:t xml:space="preserve"> </w:t>
      </w:r>
      <w:r w:rsidR="00AD1FDF">
        <w:rPr>
          <w:rFonts w:ascii="Cambria" w:hAnsi="Cambria"/>
          <w:sz w:val="24"/>
          <w:szCs w:val="24"/>
        </w:rPr>
        <w:t xml:space="preserve">former </w:t>
      </w:r>
      <w:r>
        <w:rPr>
          <w:rFonts w:ascii="Cambria" w:hAnsi="Cambria"/>
          <w:sz w:val="24"/>
          <w:szCs w:val="24"/>
        </w:rPr>
        <w:t xml:space="preserve">directors, </w:t>
      </w:r>
      <w:r w:rsidR="00951CCC">
        <w:rPr>
          <w:rFonts w:ascii="Cambria" w:hAnsi="Cambria"/>
          <w:sz w:val="24"/>
          <w:szCs w:val="24"/>
        </w:rPr>
        <w:t xml:space="preserve">Mr Gong Qing Li, a former executive director, and Mr Lin Hong </w:t>
      </w:r>
      <w:proofErr w:type="spellStart"/>
      <w:r w:rsidR="00951CCC">
        <w:rPr>
          <w:rFonts w:ascii="Cambria" w:hAnsi="Cambria"/>
          <w:sz w:val="24"/>
          <w:szCs w:val="24"/>
        </w:rPr>
        <w:t>Qiao</w:t>
      </w:r>
      <w:proofErr w:type="spellEnd"/>
      <w:r w:rsidR="00951CCC">
        <w:rPr>
          <w:rFonts w:ascii="Cambria" w:hAnsi="Cambria"/>
          <w:sz w:val="24"/>
          <w:szCs w:val="24"/>
        </w:rPr>
        <w:t xml:space="preserve">, a former executive director. </w:t>
      </w:r>
      <w:r w:rsidR="00CE4C0C">
        <w:rPr>
          <w:rFonts w:ascii="Cambria" w:hAnsi="Cambria"/>
          <w:sz w:val="24"/>
          <w:szCs w:val="24"/>
        </w:rPr>
        <w:t xml:space="preserve">It also imposed a Prejudice to Investors’ Interests Statement against the two former directors. </w:t>
      </w:r>
      <w:r w:rsidR="0006102B">
        <w:rPr>
          <w:rFonts w:ascii="Cambria" w:hAnsi="Cambria"/>
          <w:sz w:val="24"/>
          <w:szCs w:val="24"/>
        </w:rPr>
        <w:t xml:space="preserve">The sanctions related to the misapplication of the assets of Ping </w:t>
      </w:r>
      <w:proofErr w:type="gramStart"/>
      <w:r w:rsidR="0006102B">
        <w:rPr>
          <w:rFonts w:ascii="Cambria" w:hAnsi="Cambria"/>
          <w:sz w:val="24"/>
          <w:szCs w:val="24"/>
        </w:rPr>
        <w:t>An</w:t>
      </w:r>
      <w:proofErr w:type="gramEnd"/>
      <w:r w:rsidR="0006102B">
        <w:rPr>
          <w:rFonts w:ascii="Cambria" w:hAnsi="Cambria"/>
          <w:sz w:val="24"/>
          <w:szCs w:val="24"/>
        </w:rPr>
        <w:t xml:space="preserve"> Securities: the two former directors were responsible</w:t>
      </w:r>
      <w:r w:rsidR="00D63EB6">
        <w:rPr>
          <w:rFonts w:ascii="Cambria" w:hAnsi="Cambria"/>
          <w:sz w:val="24"/>
          <w:szCs w:val="24"/>
        </w:rPr>
        <w:t xml:space="preserve"> for causing the company’s subsidiary to grant around HK$274 million </w:t>
      </w:r>
      <w:r w:rsidR="0006102B">
        <w:rPr>
          <w:rFonts w:ascii="Cambria" w:hAnsi="Cambria"/>
          <w:sz w:val="24"/>
          <w:szCs w:val="24"/>
        </w:rPr>
        <w:t xml:space="preserve">in </w:t>
      </w:r>
      <w:r w:rsidR="00D63EB6">
        <w:rPr>
          <w:rFonts w:ascii="Cambria" w:hAnsi="Cambria"/>
          <w:sz w:val="24"/>
          <w:szCs w:val="24"/>
        </w:rPr>
        <w:t xml:space="preserve">loans that were not repaid, </w:t>
      </w:r>
      <w:r w:rsidR="0006102B">
        <w:rPr>
          <w:rFonts w:ascii="Cambria" w:hAnsi="Cambria"/>
          <w:sz w:val="24"/>
          <w:szCs w:val="24"/>
        </w:rPr>
        <w:t xml:space="preserve">and </w:t>
      </w:r>
      <w:r w:rsidR="00D63EB6">
        <w:rPr>
          <w:rFonts w:ascii="Cambria" w:hAnsi="Cambria"/>
          <w:sz w:val="24"/>
          <w:szCs w:val="24"/>
        </w:rPr>
        <w:t>effecting three disposals of the company’s subsidiaries which caused th</w:t>
      </w:r>
      <w:r w:rsidR="00A45BCD">
        <w:rPr>
          <w:rFonts w:ascii="Cambria" w:hAnsi="Cambria"/>
          <w:sz w:val="24"/>
          <w:szCs w:val="24"/>
        </w:rPr>
        <w:t>e company to lose control of the</w:t>
      </w:r>
      <w:r w:rsidR="00D63EB6">
        <w:rPr>
          <w:rFonts w:ascii="Cambria" w:hAnsi="Cambria"/>
          <w:sz w:val="24"/>
          <w:szCs w:val="24"/>
        </w:rPr>
        <w:t xml:space="preserve"> subsidiaries without receiving any consideration. The </w:t>
      </w:r>
      <w:proofErr w:type="spellStart"/>
      <w:r w:rsidR="00D63EB6">
        <w:rPr>
          <w:rFonts w:ascii="Cambria" w:hAnsi="Cambria"/>
          <w:sz w:val="24"/>
          <w:szCs w:val="24"/>
        </w:rPr>
        <w:t>HKEx’s</w:t>
      </w:r>
      <w:proofErr w:type="spellEnd"/>
      <w:r w:rsidR="00D63EB6">
        <w:rPr>
          <w:rFonts w:ascii="Cambria" w:hAnsi="Cambria"/>
          <w:sz w:val="24"/>
          <w:szCs w:val="24"/>
        </w:rPr>
        <w:t xml:space="preserve"> </w:t>
      </w:r>
      <w:r w:rsidR="00E43FF3">
        <w:rPr>
          <w:rFonts w:ascii="Cambria" w:hAnsi="Cambria"/>
          <w:sz w:val="24"/>
          <w:szCs w:val="24"/>
        </w:rPr>
        <w:t>S</w:t>
      </w:r>
      <w:r w:rsidR="00D63EB6">
        <w:rPr>
          <w:rFonts w:ascii="Cambria" w:hAnsi="Cambria"/>
          <w:sz w:val="24"/>
          <w:szCs w:val="24"/>
        </w:rPr>
        <w:t xml:space="preserve">tatement of </w:t>
      </w:r>
      <w:r w:rsidR="00E43FF3">
        <w:rPr>
          <w:rFonts w:ascii="Cambria" w:hAnsi="Cambria"/>
          <w:sz w:val="24"/>
          <w:szCs w:val="24"/>
        </w:rPr>
        <w:t>D</w:t>
      </w:r>
      <w:r w:rsidR="00D63EB6">
        <w:rPr>
          <w:rFonts w:ascii="Cambria" w:hAnsi="Cambria"/>
          <w:sz w:val="24"/>
          <w:szCs w:val="24"/>
        </w:rPr>
        <w:t xml:space="preserve">isciplinary </w:t>
      </w:r>
      <w:r w:rsidR="008C1099">
        <w:rPr>
          <w:rFonts w:ascii="Cambria" w:hAnsi="Cambria"/>
          <w:sz w:val="24"/>
          <w:szCs w:val="24"/>
        </w:rPr>
        <w:t>A</w:t>
      </w:r>
      <w:r w:rsidR="00D63EB6">
        <w:rPr>
          <w:rFonts w:ascii="Cambria" w:hAnsi="Cambria"/>
          <w:sz w:val="24"/>
          <w:szCs w:val="24"/>
        </w:rPr>
        <w:t xml:space="preserve">ction is available on the </w:t>
      </w:r>
      <w:proofErr w:type="spellStart"/>
      <w:r w:rsidR="00D63EB6">
        <w:rPr>
          <w:rFonts w:ascii="Cambria" w:hAnsi="Cambria"/>
          <w:sz w:val="24"/>
          <w:szCs w:val="24"/>
        </w:rPr>
        <w:t>HKEx</w:t>
      </w:r>
      <w:proofErr w:type="spellEnd"/>
      <w:r w:rsidR="00D63EB6">
        <w:rPr>
          <w:rFonts w:ascii="Cambria" w:hAnsi="Cambria"/>
          <w:sz w:val="24"/>
          <w:szCs w:val="24"/>
        </w:rPr>
        <w:t xml:space="preserve"> website </w:t>
      </w:r>
      <w:hyperlink r:id="rId10" w:history="1">
        <w:r w:rsidR="0056263F" w:rsidRPr="0056263F">
          <w:rPr>
            <w:rStyle w:val="a4"/>
            <w:rFonts w:ascii="Cambria" w:hAnsi="Cambria"/>
            <w:sz w:val="24"/>
            <w:szCs w:val="24"/>
          </w:rPr>
          <w:t>here</w:t>
        </w:r>
      </w:hyperlink>
      <w:r w:rsidR="00D63EB6">
        <w:rPr>
          <w:rFonts w:ascii="Cambria" w:hAnsi="Cambria"/>
          <w:sz w:val="24"/>
          <w:szCs w:val="24"/>
        </w:rPr>
        <w:t>.</w:t>
      </w:r>
    </w:p>
    <w:p w:rsidR="00A45BCD" w:rsidRDefault="00A45BCD" w:rsidP="00737511">
      <w:pPr>
        <w:jc w:val="both"/>
        <w:rPr>
          <w:rFonts w:ascii="Cambria" w:hAnsi="Cambria"/>
          <w:b/>
          <w:sz w:val="24"/>
          <w:szCs w:val="24"/>
        </w:rPr>
      </w:pPr>
      <w:r>
        <w:rPr>
          <w:rFonts w:ascii="Cambria" w:hAnsi="Cambria"/>
          <w:b/>
          <w:sz w:val="24"/>
          <w:szCs w:val="24"/>
        </w:rPr>
        <w:t xml:space="preserve">Breaches of </w:t>
      </w:r>
      <w:proofErr w:type="spellStart"/>
      <w:r>
        <w:rPr>
          <w:rFonts w:ascii="Cambria" w:hAnsi="Cambria"/>
          <w:b/>
          <w:sz w:val="24"/>
          <w:szCs w:val="24"/>
        </w:rPr>
        <w:t>HKEx</w:t>
      </w:r>
      <w:proofErr w:type="spellEnd"/>
      <w:r>
        <w:rPr>
          <w:rFonts w:ascii="Cambria" w:hAnsi="Cambria"/>
          <w:b/>
          <w:sz w:val="24"/>
          <w:szCs w:val="24"/>
        </w:rPr>
        <w:t xml:space="preserve"> Listing Rules</w:t>
      </w:r>
    </w:p>
    <w:p w:rsidR="009B0AB6" w:rsidRDefault="008D1314" w:rsidP="00737511">
      <w:pPr>
        <w:jc w:val="both"/>
        <w:rPr>
          <w:rFonts w:ascii="Cambria" w:hAnsi="Cambria"/>
          <w:sz w:val="24"/>
          <w:szCs w:val="24"/>
        </w:rPr>
      </w:pPr>
      <w:r>
        <w:rPr>
          <w:rFonts w:ascii="Cambria" w:hAnsi="Cambria"/>
          <w:sz w:val="24"/>
          <w:szCs w:val="24"/>
        </w:rPr>
        <w:t>From July to September 2018, a subsidiary of the company</w:t>
      </w:r>
      <w:r w:rsidR="00925FAD">
        <w:rPr>
          <w:rFonts w:ascii="Cambria" w:hAnsi="Cambria"/>
          <w:sz w:val="24"/>
          <w:szCs w:val="24"/>
        </w:rPr>
        <w:t>,</w:t>
      </w:r>
      <w:r>
        <w:rPr>
          <w:rFonts w:ascii="Cambria" w:hAnsi="Cambria"/>
          <w:sz w:val="24"/>
          <w:szCs w:val="24"/>
        </w:rPr>
        <w:t xml:space="preserve"> </w:t>
      </w:r>
      <w:r w:rsidR="00925FAD">
        <w:rPr>
          <w:rFonts w:ascii="Cambria" w:hAnsi="Cambria"/>
          <w:sz w:val="24"/>
          <w:szCs w:val="24"/>
        </w:rPr>
        <w:t>which held a money lenders lic</w:t>
      </w:r>
      <w:r w:rsidR="00A45BCD">
        <w:rPr>
          <w:rFonts w:ascii="Cambria" w:hAnsi="Cambria"/>
          <w:sz w:val="24"/>
          <w:szCs w:val="24"/>
        </w:rPr>
        <w:t>enc</w:t>
      </w:r>
      <w:r w:rsidR="00925FAD">
        <w:rPr>
          <w:rFonts w:ascii="Cambria" w:hAnsi="Cambria"/>
          <w:sz w:val="24"/>
          <w:szCs w:val="24"/>
        </w:rPr>
        <w:t xml:space="preserve">e in Hong Kong, </w:t>
      </w:r>
      <w:r w:rsidR="00A9293A">
        <w:rPr>
          <w:rFonts w:ascii="Cambria" w:hAnsi="Cambria"/>
          <w:sz w:val="24"/>
          <w:szCs w:val="24"/>
        </w:rPr>
        <w:t xml:space="preserve">granted loans to three independent borrowers totalling approximately HK$273.6 million. </w:t>
      </w:r>
      <w:r w:rsidR="006971CA">
        <w:rPr>
          <w:rFonts w:ascii="Cambria" w:hAnsi="Cambria"/>
          <w:sz w:val="24"/>
          <w:szCs w:val="24"/>
        </w:rPr>
        <w:t xml:space="preserve">Each of the three loans constituted a major transaction under the </w:t>
      </w:r>
      <w:proofErr w:type="spellStart"/>
      <w:r w:rsidR="00A45BCD">
        <w:rPr>
          <w:rFonts w:ascii="Cambria" w:hAnsi="Cambria"/>
          <w:sz w:val="24"/>
          <w:szCs w:val="24"/>
        </w:rPr>
        <w:t>HKEx</w:t>
      </w:r>
      <w:proofErr w:type="spellEnd"/>
      <w:r w:rsidR="00A45BCD">
        <w:rPr>
          <w:rFonts w:ascii="Cambria" w:hAnsi="Cambria"/>
          <w:sz w:val="24"/>
          <w:szCs w:val="24"/>
        </w:rPr>
        <w:t xml:space="preserve"> </w:t>
      </w:r>
      <w:r w:rsidR="006971CA">
        <w:rPr>
          <w:rFonts w:ascii="Cambria" w:hAnsi="Cambria"/>
          <w:sz w:val="24"/>
          <w:szCs w:val="24"/>
        </w:rPr>
        <w:t xml:space="preserve">Listing Rules and </w:t>
      </w:r>
      <w:r w:rsidR="00A45BCD">
        <w:rPr>
          <w:rFonts w:ascii="Cambria" w:hAnsi="Cambria"/>
          <w:sz w:val="24"/>
          <w:szCs w:val="24"/>
        </w:rPr>
        <w:t>was</w:t>
      </w:r>
      <w:r w:rsidR="006971CA">
        <w:rPr>
          <w:rFonts w:ascii="Cambria" w:hAnsi="Cambria"/>
          <w:sz w:val="24"/>
          <w:szCs w:val="24"/>
        </w:rPr>
        <w:t xml:space="preserve"> subject to announcement, circular, and </w:t>
      </w:r>
      <w:r w:rsidR="00A45BCD">
        <w:rPr>
          <w:rFonts w:ascii="Cambria" w:hAnsi="Cambria"/>
          <w:sz w:val="24"/>
          <w:szCs w:val="24"/>
        </w:rPr>
        <w:t xml:space="preserve">independent </w:t>
      </w:r>
      <w:r w:rsidR="006971CA">
        <w:rPr>
          <w:rFonts w:ascii="Cambria" w:hAnsi="Cambria"/>
          <w:sz w:val="24"/>
          <w:szCs w:val="24"/>
        </w:rPr>
        <w:t>shareholders’ approval</w:t>
      </w:r>
      <w:r w:rsidR="00A45BCD">
        <w:rPr>
          <w:rFonts w:ascii="Cambria" w:hAnsi="Cambria"/>
          <w:sz w:val="24"/>
          <w:szCs w:val="24"/>
        </w:rPr>
        <w:t xml:space="preserve"> requirements</w:t>
      </w:r>
      <w:r w:rsidR="006971CA">
        <w:rPr>
          <w:rFonts w:ascii="Cambria" w:hAnsi="Cambria"/>
          <w:sz w:val="24"/>
          <w:szCs w:val="24"/>
        </w:rPr>
        <w:t>.</w:t>
      </w:r>
    </w:p>
    <w:p w:rsidR="00DA44AA" w:rsidRDefault="00675B7F" w:rsidP="00737511">
      <w:pPr>
        <w:jc w:val="both"/>
        <w:rPr>
          <w:rFonts w:ascii="Cambria" w:hAnsi="Cambria"/>
          <w:sz w:val="24"/>
          <w:szCs w:val="24"/>
        </w:rPr>
      </w:pPr>
      <w:r>
        <w:rPr>
          <w:rFonts w:ascii="Cambria" w:hAnsi="Cambria"/>
          <w:sz w:val="24"/>
          <w:szCs w:val="24"/>
        </w:rPr>
        <w:t xml:space="preserve">The loans were executed by </w:t>
      </w:r>
      <w:r w:rsidR="00A17176">
        <w:rPr>
          <w:rFonts w:ascii="Cambria" w:hAnsi="Cambria"/>
          <w:sz w:val="24"/>
          <w:szCs w:val="24"/>
        </w:rPr>
        <w:t>Mr G</w:t>
      </w:r>
      <w:r w:rsidR="00786B8F">
        <w:rPr>
          <w:rFonts w:ascii="Cambria" w:hAnsi="Cambria"/>
          <w:sz w:val="24"/>
          <w:szCs w:val="24"/>
        </w:rPr>
        <w:t>ong and Mr Lin as members of an</w:t>
      </w:r>
      <w:r w:rsidR="00A17176">
        <w:rPr>
          <w:rFonts w:ascii="Cambria" w:hAnsi="Cambria"/>
          <w:sz w:val="24"/>
          <w:szCs w:val="24"/>
        </w:rPr>
        <w:t xml:space="preserve"> Executive Committee. </w:t>
      </w:r>
      <w:r w:rsidR="00786B8F">
        <w:rPr>
          <w:rFonts w:ascii="Cambria" w:hAnsi="Cambria"/>
          <w:sz w:val="24"/>
          <w:szCs w:val="24"/>
        </w:rPr>
        <w:t>Under its</w:t>
      </w:r>
      <w:r w:rsidR="005E1FBE">
        <w:rPr>
          <w:rFonts w:ascii="Cambria" w:hAnsi="Cambria"/>
          <w:sz w:val="24"/>
          <w:szCs w:val="24"/>
        </w:rPr>
        <w:t xml:space="preserve"> </w:t>
      </w:r>
      <w:r w:rsidR="006235BE">
        <w:rPr>
          <w:rFonts w:ascii="Cambria" w:hAnsi="Cambria"/>
          <w:sz w:val="24"/>
          <w:szCs w:val="24"/>
        </w:rPr>
        <w:t>T</w:t>
      </w:r>
      <w:r w:rsidR="005E1FBE">
        <w:rPr>
          <w:rFonts w:ascii="Cambria" w:hAnsi="Cambria"/>
          <w:sz w:val="24"/>
          <w:szCs w:val="24"/>
        </w:rPr>
        <w:t xml:space="preserve">erms of </w:t>
      </w:r>
      <w:r w:rsidR="006235BE">
        <w:rPr>
          <w:rFonts w:ascii="Cambria" w:hAnsi="Cambria"/>
          <w:sz w:val="24"/>
          <w:szCs w:val="24"/>
        </w:rPr>
        <w:t>R</w:t>
      </w:r>
      <w:r w:rsidR="005E1FBE">
        <w:rPr>
          <w:rFonts w:ascii="Cambria" w:hAnsi="Cambria"/>
          <w:sz w:val="24"/>
          <w:szCs w:val="24"/>
        </w:rPr>
        <w:t>eference</w:t>
      </w:r>
      <w:r w:rsidR="006235BE">
        <w:rPr>
          <w:rFonts w:ascii="Cambria" w:hAnsi="Cambria"/>
          <w:sz w:val="24"/>
          <w:szCs w:val="24"/>
        </w:rPr>
        <w:t xml:space="preserve">, the Executive Committee could approve transactions </w:t>
      </w:r>
      <w:r w:rsidR="00786B8F">
        <w:rPr>
          <w:rFonts w:ascii="Cambria" w:hAnsi="Cambria"/>
          <w:sz w:val="24"/>
          <w:szCs w:val="24"/>
        </w:rPr>
        <w:t xml:space="preserve">on the company’s behalf but could not approve transactions subject to the </w:t>
      </w:r>
      <w:proofErr w:type="spellStart"/>
      <w:r w:rsidR="00786B8F">
        <w:rPr>
          <w:rFonts w:ascii="Cambria" w:hAnsi="Cambria"/>
          <w:sz w:val="24"/>
          <w:szCs w:val="24"/>
        </w:rPr>
        <w:t>HKEx</w:t>
      </w:r>
      <w:proofErr w:type="spellEnd"/>
      <w:r w:rsidR="00786B8F">
        <w:rPr>
          <w:rFonts w:ascii="Cambria" w:hAnsi="Cambria"/>
          <w:sz w:val="24"/>
          <w:szCs w:val="24"/>
        </w:rPr>
        <w:t xml:space="preserve"> Listing Rules’ reporting, announcement and/or shareholders’ approval requirements</w:t>
      </w:r>
      <w:r w:rsidR="006235BE">
        <w:rPr>
          <w:rFonts w:ascii="Cambria" w:hAnsi="Cambria"/>
          <w:sz w:val="24"/>
          <w:szCs w:val="24"/>
        </w:rPr>
        <w:t xml:space="preserve">. The Executive Committee </w:t>
      </w:r>
      <w:r w:rsidR="00786B8F">
        <w:rPr>
          <w:rFonts w:ascii="Cambria" w:hAnsi="Cambria"/>
          <w:sz w:val="24"/>
          <w:szCs w:val="24"/>
        </w:rPr>
        <w:t xml:space="preserve">was also required to </w:t>
      </w:r>
      <w:r w:rsidR="00CE4C0C">
        <w:rPr>
          <w:rFonts w:ascii="Cambria" w:hAnsi="Cambria"/>
          <w:sz w:val="24"/>
          <w:szCs w:val="24"/>
        </w:rPr>
        <w:t>report its decisions to the b</w:t>
      </w:r>
      <w:r w:rsidR="006235BE">
        <w:rPr>
          <w:rFonts w:ascii="Cambria" w:hAnsi="Cambria"/>
          <w:sz w:val="24"/>
          <w:szCs w:val="24"/>
        </w:rPr>
        <w:t>oard</w:t>
      </w:r>
      <w:r w:rsidR="00786B8F">
        <w:rPr>
          <w:rFonts w:ascii="Cambria" w:hAnsi="Cambria"/>
          <w:sz w:val="24"/>
          <w:szCs w:val="24"/>
        </w:rPr>
        <w:t>. However, t</w:t>
      </w:r>
      <w:r w:rsidR="006235BE">
        <w:rPr>
          <w:rFonts w:ascii="Cambria" w:hAnsi="Cambria"/>
          <w:sz w:val="24"/>
          <w:szCs w:val="24"/>
        </w:rPr>
        <w:t>he other members of t</w:t>
      </w:r>
      <w:r w:rsidR="00786B8F">
        <w:rPr>
          <w:rFonts w:ascii="Cambria" w:hAnsi="Cambria"/>
          <w:sz w:val="24"/>
          <w:szCs w:val="24"/>
        </w:rPr>
        <w:t>he Executive Committee and the b</w:t>
      </w:r>
      <w:r w:rsidR="006235BE">
        <w:rPr>
          <w:rFonts w:ascii="Cambria" w:hAnsi="Cambria"/>
          <w:sz w:val="24"/>
          <w:szCs w:val="24"/>
        </w:rPr>
        <w:t xml:space="preserve">oard were </w:t>
      </w:r>
      <w:r w:rsidR="00806371">
        <w:rPr>
          <w:rFonts w:ascii="Cambria" w:hAnsi="Cambria"/>
          <w:sz w:val="24"/>
          <w:szCs w:val="24"/>
        </w:rPr>
        <w:t>un</w:t>
      </w:r>
      <w:r w:rsidR="006235BE">
        <w:rPr>
          <w:rFonts w:ascii="Cambria" w:hAnsi="Cambria"/>
          <w:sz w:val="24"/>
          <w:szCs w:val="24"/>
        </w:rPr>
        <w:t>aware</w:t>
      </w:r>
      <w:r w:rsidR="00806371">
        <w:rPr>
          <w:rFonts w:ascii="Cambria" w:hAnsi="Cambria"/>
          <w:sz w:val="24"/>
          <w:szCs w:val="24"/>
        </w:rPr>
        <w:t xml:space="preserve"> of</w:t>
      </w:r>
      <w:r w:rsidR="006235BE">
        <w:rPr>
          <w:rFonts w:ascii="Cambria" w:hAnsi="Cambria"/>
          <w:sz w:val="24"/>
          <w:szCs w:val="24"/>
        </w:rPr>
        <w:t xml:space="preserve"> the loans. </w:t>
      </w:r>
      <w:r w:rsidR="00582032">
        <w:rPr>
          <w:rFonts w:ascii="Cambria" w:hAnsi="Cambria"/>
          <w:sz w:val="24"/>
          <w:szCs w:val="24"/>
        </w:rPr>
        <w:t xml:space="preserve">The loans were </w:t>
      </w:r>
      <w:r w:rsidR="00786B8F">
        <w:rPr>
          <w:rFonts w:ascii="Cambria" w:hAnsi="Cambria"/>
          <w:sz w:val="24"/>
          <w:szCs w:val="24"/>
        </w:rPr>
        <w:t xml:space="preserve">not </w:t>
      </w:r>
      <w:r w:rsidR="00582032">
        <w:rPr>
          <w:rFonts w:ascii="Cambria" w:hAnsi="Cambria"/>
          <w:sz w:val="24"/>
          <w:szCs w:val="24"/>
        </w:rPr>
        <w:t xml:space="preserve">announced </w:t>
      </w:r>
      <w:r w:rsidR="00786B8F">
        <w:rPr>
          <w:rFonts w:ascii="Cambria" w:hAnsi="Cambria"/>
          <w:sz w:val="24"/>
          <w:szCs w:val="24"/>
        </w:rPr>
        <w:t xml:space="preserve">until October 2019, </w:t>
      </w:r>
      <w:r w:rsidR="00582032">
        <w:rPr>
          <w:rFonts w:ascii="Cambria" w:hAnsi="Cambria"/>
          <w:sz w:val="24"/>
          <w:szCs w:val="24"/>
        </w:rPr>
        <w:t xml:space="preserve">over a year </w:t>
      </w:r>
      <w:r w:rsidR="00786B8F">
        <w:rPr>
          <w:rFonts w:ascii="Cambria" w:hAnsi="Cambria"/>
          <w:sz w:val="24"/>
          <w:szCs w:val="24"/>
        </w:rPr>
        <w:t>after they were made. S</w:t>
      </w:r>
      <w:r w:rsidR="00582032">
        <w:rPr>
          <w:rFonts w:ascii="Cambria" w:hAnsi="Cambria"/>
          <w:sz w:val="24"/>
          <w:szCs w:val="24"/>
        </w:rPr>
        <w:t xml:space="preserve">hareholders’ approval </w:t>
      </w:r>
      <w:r w:rsidR="00786B8F">
        <w:rPr>
          <w:rFonts w:ascii="Cambria" w:hAnsi="Cambria"/>
          <w:sz w:val="24"/>
          <w:szCs w:val="24"/>
        </w:rPr>
        <w:t xml:space="preserve">of the loans was not </w:t>
      </w:r>
      <w:r w:rsidR="00582032">
        <w:rPr>
          <w:rFonts w:ascii="Cambria" w:hAnsi="Cambria"/>
          <w:sz w:val="24"/>
          <w:szCs w:val="24"/>
        </w:rPr>
        <w:t>sought. The loans were never repaid and</w:t>
      </w:r>
      <w:r w:rsidR="00DA44AA">
        <w:rPr>
          <w:rFonts w:ascii="Cambria" w:hAnsi="Cambria"/>
          <w:sz w:val="24"/>
          <w:szCs w:val="24"/>
        </w:rPr>
        <w:t xml:space="preserve"> the loss </w:t>
      </w:r>
      <w:r w:rsidR="000E1FF3">
        <w:rPr>
          <w:rFonts w:ascii="Cambria" w:hAnsi="Cambria"/>
          <w:sz w:val="24"/>
          <w:szCs w:val="24"/>
        </w:rPr>
        <w:t xml:space="preserve">suffered by Ping </w:t>
      </w:r>
      <w:proofErr w:type="gramStart"/>
      <w:r w:rsidR="000E1FF3">
        <w:rPr>
          <w:rFonts w:ascii="Cambria" w:hAnsi="Cambria"/>
          <w:sz w:val="24"/>
          <w:szCs w:val="24"/>
        </w:rPr>
        <w:t>An</w:t>
      </w:r>
      <w:proofErr w:type="gramEnd"/>
      <w:r w:rsidR="000E1FF3">
        <w:rPr>
          <w:rFonts w:ascii="Cambria" w:hAnsi="Cambria"/>
          <w:sz w:val="24"/>
          <w:szCs w:val="24"/>
        </w:rPr>
        <w:t xml:space="preserve"> Security </w:t>
      </w:r>
      <w:r w:rsidR="00DA44AA">
        <w:rPr>
          <w:rFonts w:ascii="Cambria" w:hAnsi="Cambria"/>
          <w:sz w:val="24"/>
          <w:szCs w:val="24"/>
        </w:rPr>
        <w:t xml:space="preserve">amounted to 30% of </w:t>
      </w:r>
      <w:r w:rsidR="000E1FF3">
        <w:rPr>
          <w:rFonts w:ascii="Cambria" w:hAnsi="Cambria"/>
          <w:sz w:val="24"/>
          <w:szCs w:val="24"/>
        </w:rPr>
        <w:t xml:space="preserve">its </w:t>
      </w:r>
      <w:r w:rsidR="00DA44AA">
        <w:rPr>
          <w:rFonts w:ascii="Cambria" w:hAnsi="Cambria"/>
          <w:sz w:val="24"/>
          <w:szCs w:val="24"/>
        </w:rPr>
        <w:t>total losses recorded in 2019.</w:t>
      </w:r>
    </w:p>
    <w:p w:rsidR="006971CA" w:rsidRDefault="002421A2" w:rsidP="00737511">
      <w:pPr>
        <w:jc w:val="both"/>
        <w:rPr>
          <w:rFonts w:ascii="Cambria" w:hAnsi="Cambria"/>
          <w:sz w:val="24"/>
          <w:szCs w:val="24"/>
        </w:rPr>
      </w:pPr>
      <w:r>
        <w:rPr>
          <w:rFonts w:ascii="Cambria" w:hAnsi="Cambria"/>
          <w:sz w:val="24"/>
          <w:szCs w:val="24"/>
        </w:rPr>
        <w:t>In</w:t>
      </w:r>
      <w:r w:rsidR="009941C7">
        <w:rPr>
          <w:rFonts w:ascii="Cambria" w:hAnsi="Cambria"/>
          <w:sz w:val="24"/>
          <w:szCs w:val="24"/>
        </w:rPr>
        <w:t xml:space="preserve"> July</w:t>
      </w:r>
      <w:r w:rsidR="00DA44AA">
        <w:rPr>
          <w:rFonts w:ascii="Cambria" w:hAnsi="Cambria"/>
          <w:sz w:val="24"/>
          <w:szCs w:val="24"/>
        </w:rPr>
        <w:t xml:space="preserve"> </w:t>
      </w:r>
      <w:r w:rsidR="00CE4C0C">
        <w:rPr>
          <w:rFonts w:ascii="Cambria" w:hAnsi="Cambria"/>
          <w:sz w:val="24"/>
          <w:szCs w:val="24"/>
        </w:rPr>
        <w:t>2019, the b</w:t>
      </w:r>
      <w:r w:rsidR="009E3F83">
        <w:rPr>
          <w:rFonts w:ascii="Cambria" w:hAnsi="Cambria"/>
          <w:sz w:val="24"/>
          <w:szCs w:val="24"/>
        </w:rPr>
        <w:t xml:space="preserve">oard approved </w:t>
      </w:r>
      <w:r w:rsidR="00CE4C0C">
        <w:rPr>
          <w:rFonts w:ascii="Cambria" w:hAnsi="Cambria"/>
          <w:sz w:val="24"/>
          <w:szCs w:val="24"/>
        </w:rPr>
        <w:t xml:space="preserve">a </w:t>
      </w:r>
      <w:r w:rsidR="009E3F83">
        <w:rPr>
          <w:rFonts w:ascii="Cambria" w:hAnsi="Cambria"/>
          <w:sz w:val="24"/>
          <w:szCs w:val="24"/>
        </w:rPr>
        <w:t>dispos</w:t>
      </w:r>
      <w:r w:rsidR="00CE4C0C">
        <w:rPr>
          <w:rFonts w:ascii="Cambria" w:hAnsi="Cambria"/>
          <w:sz w:val="24"/>
          <w:szCs w:val="24"/>
        </w:rPr>
        <w:t>al</w:t>
      </w:r>
      <w:r w:rsidR="009E3F83">
        <w:rPr>
          <w:rFonts w:ascii="Cambria" w:hAnsi="Cambria"/>
          <w:sz w:val="24"/>
          <w:szCs w:val="24"/>
        </w:rPr>
        <w:t xml:space="preserve"> </w:t>
      </w:r>
      <w:r w:rsidR="00CE4C0C">
        <w:rPr>
          <w:rFonts w:ascii="Cambria" w:hAnsi="Cambria"/>
          <w:sz w:val="24"/>
          <w:szCs w:val="24"/>
        </w:rPr>
        <w:t xml:space="preserve">of </w:t>
      </w:r>
      <w:r w:rsidR="009E3F83">
        <w:rPr>
          <w:rFonts w:ascii="Cambria" w:hAnsi="Cambria"/>
          <w:sz w:val="24"/>
          <w:szCs w:val="24"/>
        </w:rPr>
        <w:t xml:space="preserve">its 60% equity interest in </w:t>
      </w:r>
      <w:proofErr w:type="spellStart"/>
      <w:r w:rsidR="009E3F83">
        <w:rPr>
          <w:rFonts w:ascii="Cambria" w:hAnsi="Cambria"/>
          <w:sz w:val="24"/>
          <w:szCs w:val="24"/>
        </w:rPr>
        <w:t>Lianrun</w:t>
      </w:r>
      <w:proofErr w:type="spellEnd"/>
      <w:r w:rsidR="009E3F83">
        <w:rPr>
          <w:rFonts w:ascii="Cambria" w:hAnsi="Cambria"/>
          <w:sz w:val="24"/>
          <w:szCs w:val="24"/>
        </w:rPr>
        <w:t xml:space="preserve"> Shanghai Information Technology Co., Ltd </w:t>
      </w:r>
      <w:r w:rsidR="00E03A52">
        <w:rPr>
          <w:rFonts w:ascii="Cambria" w:hAnsi="Cambria"/>
          <w:sz w:val="24"/>
          <w:szCs w:val="24"/>
        </w:rPr>
        <w:t>(</w:t>
      </w:r>
      <w:proofErr w:type="spellStart"/>
      <w:r w:rsidR="00E03A52" w:rsidRPr="00E03A52">
        <w:rPr>
          <w:rFonts w:ascii="Cambria" w:hAnsi="Cambria"/>
          <w:b/>
          <w:sz w:val="24"/>
          <w:szCs w:val="24"/>
        </w:rPr>
        <w:t>Lianrun</w:t>
      </w:r>
      <w:proofErr w:type="spellEnd"/>
      <w:r w:rsidR="00E03A52">
        <w:rPr>
          <w:rFonts w:ascii="Cambria" w:hAnsi="Cambria"/>
          <w:sz w:val="24"/>
          <w:szCs w:val="24"/>
        </w:rPr>
        <w:t>)</w:t>
      </w:r>
      <w:r w:rsidR="00D26E3E">
        <w:rPr>
          <w:rFonts w:ascii="Cambria" w:hAnsi="Cambria"/>
          <w:sz w:val="24"/>
          <w:szCs w:val="24"/>
        </w:rPr>
        <w:t xml:space="preserve"> at a consideration of RMB4 million. </w:t>
      </w:r>
      <w:r w:rsidR="004B5D16">
        <w:rPr>
          <w:rFonts w:ascii="Cambria" w:hAnsi="Cambria"/>
          <w:sz w:val="24"/>
          <w:szCs w:val="24"/>
        </w:rPr>
        <w:t xml:space="preserve">In August 2019, Mr Lin </w:t>
      </w:r>
      <w:r w:rsidR="00287257">
        <w:rPr>
          <w:rFonts w:ascii="Cambria" w:hAnsi="Cambria"/>
          <w:sz w:val="24"/>
          <w:szCs w:val="24"/>
        </w:rPr>
        <w:t xml:space="preserve">allegedly effected a trust arrangement whereby the purchaser would hold </w:t>
      </w:r>
      <w:proofErr w:type="spellStart"/>
      <w:r w:rsidR="00287257">
        <w:rPr>
          <w:rFonts w:ascii="Cambria" w:hAnsi="Cambria"/>
          <w:sz w:val="24"/>
          <w:szCs w:val="24"/>
        </w:rPr>
        <w:t>Lianrun</w:t>
      </w:r>
      <w:proofErr w:type="spellEnd"/>
      <w:r w:rsidR="00287257">
        <w:rPr>
          <w:rFonts w:ascii="Cambria" w:hAnsi="Cambria"/>
          <w:sz w:val="24"/>
          <w:szCs w:val="24"/>
        </w:rPr>
        <w:t xml:space="preserve"> on trust for </w:t>
      </w:r>
      <w:r w:rsidR="00826CAD">
        <w:rPr>
          <w:rFonts w:ascii="Cambria" w:hAnsi="Cambria"/>
          <w:sz w:val="24"/>
          <w:szCs w:val="24"/>
        </w:rPr>
        <w:t xml:space="preserve">Ping </w:t>
      </w:r>
      <w:proofErr w:type="gramStart"/>
      <w:r w:rsidR="00826CAD">
        <w:rPr>
          <w:rFonts w:ascii="Cambria" w:hAnsi="Cambria"/>
          <w:sz w:val="24"/>
          <w:szCs w:val="24"/>
        </w:rPr>
        <w:t>An</w:t>
      </w:r>
      <w:proofErr w:type="gramEnd"/>
      <w:r w:rsidR="00826CAD">
        <w:rPr>
          <w:rFonts w:ascii="Cambria" w:hAnsi="Cambria"/>
          <w:sz w:val="24"/>
          <w:szCs w:val="24"/>
        </w:rPr>
        <w:t xml:space="preserve"> Securities</w:t>
      </w:r>
      <w:r w:rsidR="00D73B40">
        <w:rPr>
          <w:rFonts w:ascii="Cambria" w:hAnsi="Cambria"/>
          <w:sz w:val="24"/>
          <w:szCs w:val="24"/>
        </w:rPr>
        <w:t xml:space="preserve"> without paying any consideration.</w:t>
      </w:r>
      <w:r w:rsidR="00DA4646">
        <w:rPr>
          <w:rFonts w:ascii="Cambria" w:hAnsi="Cambria"/>
          <w:sz w:val="24"/>
          <w:szCs w:val="24"/>
        </w:rPr>
        <w:t xml:space="preserve"> However, </w:t>
      </w:r>
      <w:r w:rsidR="000B44AE">
        <w:rPr>
          <w:rFonts w:ascii="Cambria" w:hAnsi="Cambria"/>
          <w:sz w:val="24"/>
          <w:szCs w:val="24"/>
        </w:rPr>
        <w:t xml:space="preserve">Ping </w:t>
      </w:r>
      <w:proofErr w:type="gramStart"/>
      <w:r w:rsidR="000B44AE">
        <w:rPr>
          <w:rFonts w:ascii="Cambria" w:hAnsi="Cambria"/>
          <w:sz w:val="24"/>
          <w:szCs w:val="24"/>
        </w:rPr>
        <w:t>An</w:t>
      </w:r>
      <w:proofErr w:type="gramEnd"/>
      <w:r w:rsidR="000B44AE">
        <w:rPr>
          <w:rFonts w:ascii="Cambria" w:hAnsi="Cambria"/>
          <w:sz w:val="24"/>
          <w:szCs w:val="24"/>
        </w:rPr>
        <w:t xml:space="preserve"> Securities lost control of </w:t>
      </w:r>
      <w:proofErr w:type="spellStart"/>
      <w:r w:rsidR="000B44AE">
        <w:rPr>
          <w:rFonts w:ascii="Cambria" w:hAnsi="Cambria"/>
          <w:sz w:val="24"/>
          <w:szCs w:val="24"/>
        </w:rPr>
        <w:t>Lianrun</w:t>
      </w:r>
      <w:proofErr w:type="spellEnd"/>
      <w:r w:rsidR="00DA4646">
        <w:rPr>
          <w:rFonts w:ascii="Cambria" w:hAnsi="Cambria"/>
          <w:sz w:val="24"/>
          <w:szCs w:val="24"/>
        </w:rPr>
        <w:t xml:space="preserve"> shortly after</w:t>
      </w:r>
      <w:r w:rsidR="000B44AE">
        <w:rPr>
          <w:rFonts w:ascii="Cambria" w:hAnsi="Cambria"/>
          <w:sz w:val="24"/>
          <w:szCs w:val="24"/>
        </w:rPr>
        <w:t xml:space="preserve">. </w:t>
      </w:r>
    </w:p>
    <w:p w:rsidR="000B44AE" w:rsidRDefault="002421A2" w:rsidP="00737511">
      <w:pPr>
        <w:jc w:val="both"/>
        <w:rPr>
          <w:rFonts w:ascii="Cambria" w:hAnsi="Cambria"/>
          <w:sz w:val="24"/>
          <w:szCs w:val="24"/>
        </w:rPr>
      </w:pPr>
      <w:r>
        <w:rPr>
          <w:rFonts w:ascii="Cambria" w:hAnsi="Cambria"/>
          <w:sz w:val="24"/>
          <w:szCs w:val="24"/>
        </w:rPr>
        <w:t xml:space="preserve">In </w:t>
      </w:r>
      <w:r w:rsidR="00A61C4A">
        <w:rPr>
          <w:rFonts w:ascii="Cambria" w:hAnsi="Cambria"/>
          <w:sz w:val="24"/>
          <w:szCs w:val="24"/>
        </w:rPr>
        <w:t xml:space="preserve">September 2019, </w:t>
      </w:r>
      <w:r w:rsidR="00A24F93">
        <w:rPr>
          <w:rFonts w:ascii="Cambria" w:hAnsi="Cambria"/>
          <w:sz w:val="24"/>
          <w:szCs w:val="24"/>
        </w:rPr>
        <w:t xml:space="preserve">Mr Gong and Mr Lin disposed of Ping </w:t>
      </w:r>
      <w:proofErr w:type="gramStart"/>
      <w:r w:rsidR="00A24F93">
        <w:rPr>
          <w:rFonts w:ascii="Cambria" w:hAnsi="Cambria"/>
          <w:sz w:val="24"/>
          <w:szCs w:val="24"/>
        </w:rPr>
        <w:t>An</w:t>
      </w:r>
      <w:proofErr w:type="gramEnd"/>
      <w:r w:rsidR="00A24F93">
        <w:rPr>
          <w:rFonts w:ascii="Cambria" w:hAnsi="Cambria"/>
          <w:sz w:val="24"/>
          <w:szCs w:val="24"/>
        </w:rPr>
        <w:t xml:space="preserve"> Securities’ interest in another subsidiary</w:t>
      </w:r>
      <w:r w:rsidR="00307D4E">
        <w:rPr>
          <w:rFonts w:ascii="Cambria" w:hAnsi="Cambria"/>
          <w:sz w:val="24"/>
          <w:szCs w:val="24"/>
        </w:rPr>
        <w:t>, Super Harvest Asset Management Limited (</w:t>
      </w:r>
      <w:r w:rsidR="00307D4E" w:rsidRPr="00307D4E">
        <w:rPr>
          <w:rFonts w:ascii="Cambria" w:hAnsi="Cambria"/>
          <w:b/>
          <w:sz w:val="24"/>
          <w:szCs w:val="24"/>
        </w:rPr>
        <w:t>SHAM</w:t>
      </w:r>
      <w:r w:rsidR="00307D4E">
        <w:rPr>
          <w:rFonts w:ascii="Cambria" w:hAnsi="Cambria"/>
          <w:sz w:val="24"/>
          <w:szCs w:val="24"/>
        </w:rPr>
        <w:t>)</w:t>
      </w:r>
      <w:r w:rsidR="00A24F93">
        <w:rPr>
          <w:rFonts w:ascii="Cambria" w:hAnsi="Cambria"/>
          <w:sz w:val="24"/>
          <w:szCs w:val="24"/>
        </w:rPr>
        <w:t xml:space="preserve"> for US$1</w:t>
      </w:r>
      <w:r w:rsidR="00307D4E">
        <w:rPr>
          <w:rFonts w:ascii="Cambria" w:hAnsi="Cambria"/>
          <w:sz w:val="24"/>
          <w:szCs w:val="24"/>
        </w:rPr>
        <w:t xml:space="preserve">. Mr Gong and Mr Lin changed their directorships in </w:t>
      </w:r>
      <w:r w:rsidR="004C1F21">
        <w:rPr>
          <w:rFonts w:ascii="Cambria" w:hAnsi="Cambria"/>
          <w:sz w:val="24"/>
          <w:szCs w:val="24"/>
        </w:rPr>
        <w:t xml:space="preserve">SHAM as well as </w:t>
      </w:r>
      <w:r w:rsidR="00307D4E">
        <w:rPr>
          <w:rFonts w:ascii="Cambria" w:hAnsi="Cambria"/>
          <w:sz w:val="24"/>
          <w:szCs w:val="24"/>
        </w:rPr>
        <w:t>in SHAM’s subsidiary, Super Harvest Global Fund SPC (</w:t>
      </w:r>
      <w:r w:rsidR="00307D4E" w:rsidRPr="00307D4E">
        <w:rPr>
          <w:rFonts w:ascii="Cambria" w:hAnsi="Cambria"/>
          <w:b/>
          <w:sz w:val="24"/>
          <w:szCs w:val="24"/>
        </w:rPr>
        <w:t>SHF</w:t>
      </w:r>
      <w:r w:rsidR="00307D4E">
        <w:rPr>
          <w:rFonts w:ascii="Cambria" w:hAnsi="Cambria"/>
          <w:sz w:val="24"/>
          <w:szCs w:val="24"/>
        </w:rPr>
        <w:t>). The disposal was cancelled b</w:t>
      </w:r>
      <w:r w:rsidR="00FB4852">
        <w:rPr>
          <w:rFonts w:ascii="Cambria" w:hAnsi="Cambria"/>
          <w:sz w:val="24"/>
          <w:szCs w:val="24"/>
        </w:rPr>
        <w:t>ut</w:t>
      </w:r>
      <w:r w:rsidR="00307D4E">
        <w:rPr>
          <w:rFonts w:ascii="Cambria" w:hAnsi="Cambria"/>
          <w:sz w:val="24"/>
          <w:szCs w:val="24"/>
        </w:rPr>
        <w:t xml:space="preserve"> the changes in directorships were not reinstated. </w:t>
      </w:r>
      <w:r w:rsidR="00D17C1B">
        <w:rPr>
          <w:rFonts w:ascii="Cambria" w:hAnsi="Cambria"/>
          <w:sz w:val="24"/>
          <w:szCs w:val="24"/>
        </w:rPr>
        <w:t>In November, SHAM transferred the sole management share in SHF to a third party</w:t>
      </w:r>
      <w:r w:rsidR="00CE4C0C">
        <w:rPr>
          <w:rFonts w:ascii="Cambria" w:hAnsi="Cambria"/>
          <w:sz w:val="24"/>
          <w:szCs w:val="24"/>
        </w:rPr>
        <w:t xml:space="preserve"> at a consideration of US$1 under</w:t>
      </w:r>
      <w:r w:rsidR="00D17C1B">
        <w:rPr>
          <w:rFonts w:ascii="Cambria" w:hAnsi="Cambria"/>
          <w:sz w:val="24"/>
          <w:szCs w:val="24"/>
        </w:rPr>
        <w:t xml:space="preserve"> another alleged trust </w:t>
      </w:r>
      <w:r w:rsidR="00D17C1B">
        <w:rPr>
          <w:rFonts w:ascii="Cambria" w:hAnsi="Cambria"/>
          <w:sz w:val="24"/>
          <w:szCs w:val="24"/>
        </w:rPr>
        <w:lastRenderedPageBreak/>
        <w:t xml:space="preserve">arrangement. No consideration was received by Ping </w:t>
      </w:r>
      <w:proofErr w:type="gramStart"/>
      <w:r w:rsidR="00D17C1B">
        <w:rPr>
          <w:rFonts w:ascii="Cambria" w:hAnsi="Cambria"/>
          <w:sz w:val="24"/>
          <w:szCs w:val="24"/>
        </w:rPr>
        <w:t>An</w:t>
      </w:r>
      <w:proofErr w:type="gramEnd"/>
      <w:r w:rsidR="00D17C1B">
        <w:rPr>
          <w:rFonts w:ascii="Cambria" w:hAnsi="Cambria"/>
          <w:sz w:val="24"/>
          <w:szCs w:val="24"/>
        </w:rPr>
        <w:t xml:space="preserve"> Securities and it lost control of SHF shortly after. </w:t>
      </w:r>
    </w:p>
    <w:p w:rsidR="006A410C" w:rsidRDefault="00CE4C0C" w:rsidP="00737511">
      <w:pPr>
        <w:jc w:val="both"/>
        <w:rPr>
          <w:rFonts w:ascii="Cambria" w:hAnsi="Cambria"/>
          <w:sz w:val="24"/>
          <w:szCs w:val="24"/>
        </w:rPr>
      </w:pPr>
      <w:r>
        <w:rPr>
          <w:rFonts w:ascii="Cambria" w:hAnsi="Cambria"/>
          <w:sz w:val="24"/>
          <w:szCs w:val="24"/>
        </w:rPr>
        <w:t xml:space="preserve">Both </w:t>
      </w:r>
      <w:r w:rsidR="006A410C">
        <w:rPr>
          <w:rFonts w:ascii="Cambria" w:hAnsi="Cambria"/>
          <w:sz w:val="24"/>
          <w:szCs w:val="24"/>
        </w:rPr>
        <w:t>transaction</w:t>
      </w:r>
      <w:r>
        <w:rPr>
          <w:rFonts w:ascii="Cambria" w:hAnsi="Cambria"/>
          <w:sz w:val="24"/>
          <w:szCs w:val="24"/>
        </w:rPr>
        <w:t>s</w:t>
      </w:r>
      <w:r w:rsidR="006A410C">
        <w:rPr>
          <w:rFonts w:ascii="Cambria" w:hAnsi="Cambria"/>
          <w:sz w:val="24"/>
          <w:szCs w:val="24"/>
        </w:rPr>
        <w:t xml:space="preserve"> were </w:t>
      </w:r>
      <w:proofErr w:type="spellStart"/>
      <w:r w:rsidR="006A410C">
        <w:rPr>
          <w:rFonts w:ascii="Cambria" w:hAnsi="Cambria"/>
          <w:sz w:val="24"/>
          <w:szCs w:val="24"/>
        </w:rPr>
        <w:t>discloseable</w:t>
      </w:r>
      <w:proofErr w:type="spellEnd"/>
      <w:r w:rsidR="006A410C">
        <w:rPr>
          <w:rFonts w:ascii="Cambria" w:hAnsi="Cambria"/>
          <w:sz w:val="24"/>
          <w:szCs w:val="24"/>
        </w:rPr>
        <w:t xml:space="preserve"> transactions under the Listing Rules</w:t>
      </w:r>
      <w:r w:rsidR="00330798">
        <w:rPr>
          <w:rFonts w:ascii="Cambria" w:hAnsi="Cambria"/>
          <w:sz w:val="24"/>
          <w:szCs w:val="24"/>
        </w:rPr>
        <w:t>. All</w:t>
      </w:r>
      <w:r w:rsidR="006A410C">
        <w:rPr>
          <w:rFonts w:ascii="Cambria" w:hAnsi="Cambria"/>
          <w:sz w:val="24"/>
          <w:szCs w:val="24"/>
        </w:rPr>
        <w:t xml:space="preserve"> the trust arrangements, save for the initial disposal of </w:t>
      </w:r>
      <w:proofErr w:type="spellStart"/>
      <w:r w:rsidR="006A410C">
        <w:rPr>
          <w:rFonts w:ascii="Cambria" w:hAnsi="Cambria"/>
          <w:sz w:val="24"/>
          <w:szCs w:val="24"/>
        </w:rPr>
        <w:t>Lianrun</w:t>
      </w:r>
      <w:proofErr w:type="spellEnd"/>
      <w:r w:rsidR="006A410C">
        <w:rPr>
          <w:rFonts w:ascii="Cambria" w:hAnsi="Cambria"/>
          <w:sz w:val="24"/>
          <w:szCs w:val="24"/>
        </w:rPr>
        <w:t xml:space="preserve">, and the subsequent disposals of SHAM and SHF were not known </w:t>
      </w:r>
      <w:r>
        <w:rPr>
          <w:rFonts w:ascii="Cambria" w:hAnsi="Cambria"/>
          <w:sz w:val="24"/>
          <w:szCs w:val="24"/>
        </w:rPr>
        <w:t xml:space="preserve">to, </w:t>
      </w:r>
      <w:r w:rsidR="006A410C">
        <w:rPr>
          <w:rFonts w:ascii="Cambria" w:hAnsi="Cambria"/>
          <w:sz w:val="24"/>
          <w:szCs w:val="24"/>
        </w:rPr>
        <w:t>or approved by</w:t>
      </w:r>
      <w:r>
        <w:rPr>
          <w:rFonts w:ascii="Cambria" w:hAnsi="Cambria"/>
          <w:sz w:val="24"/>
          <w:szCs w:val="24"/>
        </w:rPr>
        <w:t>, the board. The</w:t>
      </w:r>
      <w:r w:rsidR="006A410C">
        <w:rPr>
          <w:rFonts w:ascii="Cambria" w:hAnsi="Cambria"/>
          <w:sz w:val="24"/>
          <w:szCs w:val="24"/>
        </w:rPr>
        <w:t xml:space="preserve"> disposals were only announced in March and June 2020. </w:t>
      </w:r>
    </w:p>
    <w:p w:rsidR="005E522C" w:rsidRDefault="005E522C" w:rsidP="00737511">
      <w:pPr>
        <w:jc w:val="both"/>
        <w:rPr>
          <w:rFonts w:ascii="Cambria" w:hAnsi="Cambria"/>
          <w:sz w:val="24"/>
          <w:szCs w:val="24"/>
        </w:rPr>
      </w:pPr>
      <w:r>
        <w:rPr>
          <w:rFonts w:ascii="Cambria" w:hAnsi="Cambria"/>
          <w:sz w:val="24"/>
          <w:szCs w:val="24"/>
        </w:rPr>
        <w:t xml:space="preserve">A Special Investigation Committee was established by Ping </w:t>
      </w:r>
      <w:proofErr w:type="gramStart"/>
      <w:r>
        <w:rPr>
          <w:rFonts w:ascii="Cambria" w:hAnsi="Cambria"/>
          <w:sz w:val="24"/>
          <w:szCs w:val="24"/>
        </w:rPr>
        <w:t>An</w:t>
      </w:r>
      <w:proofErr w:type="gramEnd"/>
      <w:r>
        <w:rPr>
          <w:rFonts w:ascii="Cambria" w:hAnsi="Cambria"/>
          <w:sz w:val="24"/>
          <w:szCs w:val="24"/>
        </w:rPr>
        <w:t xml:space="preserve"> Securities to investigate the alleged mis</w:t>
      </w:r>
      <w:r w:rsidR="00E76A5A">
        <w:rPr>
          <w:rFonts w:ascii="Cambria" w:hAnsi="Cambria"/>
          <w:sz w:val="24"/>
          <w:szCs w:val="24"/>
        </w:rPr>
        <w:t>conduct</w:t>
      </w:r>
      <w:r>
        <w:rPr>
          <w:rFonts w:ascii="Cambria" w:hAnsi="Cambria"/>
          <w:sz w:val="24"/>
          <w:szCs w:val="24"/>
        </w:rPr>
        <w:t xml:space="preserve"> and found that Mr Gong was the mastermind who executed the disposals with assistance from Mr Lin and two others. However, the nature, substance, and commercial rationale behind the disposals </w:t>
      </w:r>
      <w:r w:rsidR="002C371B">
        <w:rPr>
          <w:rFonts w:ascii="Cambria" w:hAnsi="Cambria"/>
          <w:sz w:val="24"/>
          <w:szCs w:val="24"/>
        </w:rPr>
        <w:t>remained</w:t>
      </w:r>
      <w:r>
        <w:rPr>
          <w:rFonts w:ascii="Cambria" w:hAnsi="Cambria"/>
          <w:sz w:val="24"/>
          <w:szCs w:val="24"/>
        </w:rPr>
        <w:t xml:space="preserve"> difficult to explain due to insufficient information. Mr Lin later refused to respond to the company and Mr Gong did not respond at all. They also failed to cooperate with the investigation </w:t>
      </w:r>
      <w:r w:rsidR="005D1FC6">
        <w:rPr>
          <w:rFonts w:ascii="Cambria" w:hAnsi="Cambria"/>
          <w:sz w:val="24"/>
          <w:szCs w:val="24"/>
        </w:rPr>
        <w:t>by</w:t>
      </w:r>
      <w:r>
        <w:rPr>
          <w:rFonts w:ascii="Cambria" w:hAnsi="Cambria"/>
          <w:sz w:val="24"/>
          <w:szCs w:val="24"/>
        </w:rPr>
        <w:t xml:space="preserve"> the Listing Division. </w:t>
      </w:r>
    </w:p>
    <w:p w:rsidR="00307D4E" w:rsidRDefault="00C46CD7" w:rsidP="00737511">
      <w:pPr>
        <w:jc w:val="both"/>
        <w:rPr>
          <w:rFonts w:ascii="Cambria" w:hAnsi="Cambria"/>
          <w:sz w:val="24"/>
          <w:szCs w:val="24"/>
        </w:rPr>
      </w:pPr>
      <w:r w:rsidRPr="00C46CD7">
        <w:rPr>
          <w:rFonts w:ascii="Cambria" w:hAnsi="Cambria"/>
          <w:b/>
          <w:sz w:val="24"/>
          <w:szCs w:val="24"/>
        </w:rPr>
        <w:t>Breach</w:t>
      </w:r>
      <w:r w:rsidR="00E76A5A">
        <w:rPr>
          <w:rFonts w:ascii="Cambria" w:hAnsi="Cambria"/>
          <w:b/>
          <w:sz w:val="24"/>
          <w:szCs w:val="24"/>
        </w:rPr>
        <w:t xml:space="preserve"> of </w:t>
      </w:r>
      <w:proofErr w:type="spellStart"/>
      <w:r w:rsidR="00E76A5A">
        <w:rPr>
          <w:rFonts w:ascii="Cambria" w:hAnsi="Cambria"/>
          <w:b/>
          <w:sz w:val="24"/>
          <w:szCs w:val="24"/>
        </w:rPr>
        <w:t>HKEx</w:t>
      </w:r>
      <w:proofErr w:type="spellEnd"/>
      <w:r w:rsidR="00E76A5A">
        <w:rPr>
          <w:rFonts w:ascii="Cambria" w:hAnsi="Cambria"/>
          <w:b/>
          <w:sz w:val="24"/>
          <w:szCs w:val="24"/>
        </w:rPr>
        <w:t xml:space="preserve"> Listing Rules Notifiable Transaction Requirements</w:t>
      </w:r>
    </w:p>
    <w:p w:rsidR="000A7554" w:rsidRPr="00C46CD7" w:rsidRDefault="009E0DA4" w:rsidP="009E0DA4">
      <w:pPr>
        <w:jc w:val="both"/>
        <w:rPr>
          <w:rFonts w:ascii="Cambria" w:hAnsi="Cambria"/>
          <w:sz w:val="24"/>
          <w:szCs w:val="24"/>
        </w:rPr>
      </w:pPr>
      <w:r>
        <w:rPr>
          <w:rFonts w:ascii="Cambria" w:hAnsi="Cambria"/>
          <w:sz w:val="24"/>
          <w:szCs w:val="24"/>
        </w:rPr>
        <w:t xml:space="preserve">Ping </w:t>
      </w:r>
      <w:proofErr w:type="gramStart"/>
      <w:r>
        <w:rPr>
          <w:rFonts w:ascii="Cambria" w:hAnsi="Cambria"/>
          <w:sz w:val="24"/>
          <w:szCs w:val="24"/>
        </w:rPr>
        <w:t>An</w:t>
      </w:r>
      <w:proofErr w:type="gramEnd"/>
      <w:r>
        <w:rPr>
          <w:rFonts w:ascii="Cambria" w:hAnsi="Cambria"/>
          <w:sz w:val="24"/>
          <w:szCs w:val="24"/>
        </w:rPr>
        <w:t xml:space="preserve"> Securities </w:t>
      </w:r>
      <w:r w:rsidR="00E76A5A">
        <w:rPr>
          <w:rFonts w:ascii="Cambria" w:hAnsi="Cambria"/>
          <w:sz w:val="24"/>
          <w:szCs w:val="24"/>
        </w:rPr>
        <w:t xml:space="preserve">was found to have </w:t>
      </w:r>
      <w:r>
        <w:rPr>
          <w:rFonts w:ascii="Cambria" w:hAnsi="Cambria"/>
          <w:sz w:val="24"/>
          <w:szCs w:val="24"/>
        </w:rPr>
        <w:t xml:space="preserve">breached </w:t>
      </w:r>
      <w:r w:rsidR="00E76A5A">
        <w:rPr>
          <w:rFonts w:ascii="Cambria" w:hAnsi="Cambria"/>
          <w:sz w:val="24"/>
          <w:szCs w:val="24"/>
        </w:rPr>
        <w:t xml:space="preserve">the announcement, circular and independent shareholders’ approval requirements of </w:t>
      </w:r>
      <w:proofErr w:type="spellStart"/>
      <w:r w:rsidR="00E76A5A">
        <w:rPr>
          <w:rFonts w:ascii="Cambria" w:hAnsi="Cambria"/>
          <w:sz w:val="24"/>
          <w:szCs w:val="24"/>
        </w:rPr>
        <w:t>HKEx</w:t>
      </w:r>
      <w:proofErr w:type="spellEnd"/>
      <w:r w:rsidR="00E76A5A">
        <w:rPr>
          <w:rFonts w:ascii="Cambria" w:hAnsi="Cambria"/>
          <w:sz w:val="24"/>
          <w:szCs w:val="24"/>
        </w:rPr>
        <w:t xml:space="preserve"> Listing </w:t>
      </w:r>
      <w:r>
        <w:rPr>
          <w:rFonts w:ascii="Cambria" w:hAnsi="Cambria"/>
          <w:sz w:val="24"/>
          <w:szCs w:val="24"/>
        </w:rPr>
        <w:t xml:space="preserve">Rules </w:t>
      </w:r>
      <w:r w:rsidRPr="009E0DA4">
        <w:rPr>
          <w:rFonts w:ascii="Cambria" w:hAnsi="Cambria"/>
          <w:sz w:val="24"/>
          <w:szCs w:val="24"/>
        </w:rPr>
        <w:t xml:space="preserve">14.34, 14.38A, 14.40, and 14.41 in respect of each of the </w:t>
      </w:r>
      <w:r>
        <w:rPr>
          <w:rFonts w:ascii="Cambria" w:hAnsi="Cambria"/>
          <w:sz w:val="24"/>
          <w:szCs w:val="24"/>
        </w:rPr>
        <w:t>l</w:t>
      </w:r>
      <w:r w:rsidRPr="009E0DA4">
        <w:rPr>
          <w:rFonts w:ascii="Cambria" w:hAnsi="Cambria"/>
          <w:sz w:val="24"/>
          <w:szCs w:val="24"/>
        </w:rPr>
        <w:t xml:space="preserve">oans, and </w:t>
      </w:r>
      <w:r w:rsidR="00E76A5A">
        <w:rPr>
          <w:rFonts w:ascii="Cambria" w:hAnsi="Cambria"/>
          <w:sz w:val="24"/>
          <w:szCs w:val="24"/>
        </w:rPr>
        <w:t xml:space="preserve">the announcement requirement of </w:t>
      </w:r>
      <w:proofErr w:type="spellStart"/>
      <w:r w:rsidR="00E76A5A">
        <w:rPr>
          <w:rFonts w:ascii="Cambria" w:hAnsi="Cambria"/>
          <w:sz w:val="24"/>
          <w:szCs w:val="24"/>
        </w:rPr>
        <w:t>HKEx</w:t>
      </w:r>
      <w:proofErr w:type="spellEnd"/>
      <w:r w:rsidR="00E76A5A">
        <w:rPr>
          <w:rFonts w:ascii="Cambria" w:hAnsi="Cambria"/>
          <w:sz w:val="24"/>
          <w:szCs w:val="24"/>
        </w:rPr>
        <w:t xml:space="preserve"> Listing </w:t>
      </w:r>
      <w:r w:rsidRPr="009E0DA4">
        <w:rPr>
          <w:rFonts w:ascii="Cambria" w:hAnsi="Cambria"/>
          <w:sz w:val="24"/>
          <w:szCs w:val="24"/>
        </w:rPr>
        <w:t>Rule 14.34 in respect of each of the disposals.</w:t>
      </w:r>
      <w:r w:rsidR="000A7554">
        <w:rPr>
          <w:rFonts w:ascii="Cambria" w:hAnsi="Cambria"/>
          <w:sz w:val="24"/>
          <w:szCs w:val="24"/>
        </w:rPr>
        <w:t xml:space="preserve"> The loans and disposals were made on behalf of the company; the company delayed in making the announcements and the loans were not approved by the </w:t>
      </w:r>
      <w:r w:rsidR="00E76A5A">
        <w:rPr>
          <w:rFonts w:ascii="Cambria" w:hAnsi="Cambria"/>
          <w:sz w:val="24"/>
          <w:szCs w:val="24"/>
        </w:rPr>
        <w:t xml:space="preserve">company’s </w:t>
      </w:r>
      <w:r w:rsidR="000A7554">
        <w:rPr>
          <w:rFonts w:ascii="Cambria" w:hAnsi="Cambria"/>
          <w:sz w:val="24"/>
          <w:szCs w:val="24"/>
        </w:rPr>
        <w:t>independent shareholders.</w:t>
      </w:r>
      <w:r w:rsidR="00C9250C">
        <w:rPr>
          <w:rFonts w:ascii="Cambria" w:hAnsi="Cambria"/>
          <w:sz w:val="24"/>
          <w:szCs w:val="24"/>
        </w:rPr>
        <w:t xml:space="preserve"> </w:t>
      </w:r>
      <w:r w:rsidR="00D0291F">
        <w:rPr>
          <w:rFonts w:ascii="Cambria" w:hAnsi="Cambria"/>
          <w:sz w:val="24"/>
          <w:szCs w:val="24"/>
        </w:rPr>
        <w:t xml:space="preserve">Mr Gong and Mr Lin breached their director’s duties </w:t>
      </w:r>
      <w:r w:rsidR="00C9250C">
        <w:rPr>
          <w:rFonts w:ascii="Cambria" w:hAnsi="Cambria"/>
          <w:sz w:val="24"/>
          <w:szCs w:val="24"/>
        </w:rPr>
        <w:t xml:space="preserve">under Rule 3.08 and their Undertakings. </w:t>
      </w:r>
    </w:p>
    <w:p w:rsidR="00582032" w:rsidRPr="009B0AB6" w:rsidRDefault="00C9250C" w:rsidP="00737511">
      <w:pPr>
        <w:jc w:val="both"/>
        <w:rPr>
          <w:rFonts w:ascii="Cambria" w:hAnsi="Cambria"/>
          <w:sz w:val="24"/>
          <w:szCs w:val="24"/>
        </w:rPr>
      </w:pPr>
      <w:r>
        <w:rPr>
          <w:rFonts w:ascii="Cambria" w:hAnsi="Cambria"/>
          <w:sz w:val="24"/>
          <w:szCs w:val="24"/>
        </w:rPr>
        <w:t>A</w:t>
      </w:r>
      <w:r w:rsidR="0052751F">
        <w:rPr>
          <w:rFonts w:ascii="Cambria" w:hAnsi="Cambria"/>
          <w:sz w:val="24"/>
          <w:szCs w:val="24"/>
        </w:rPr>
        <w:t xml:space="preserve">s a result, the </w:t>
      </w:r>
      <w:proofErr w:type="spellStart"/>
      <w:r w:rsidR="0052751F">
        <w:rPr>
          <w:rFonts w:ascii="Cambria" w:hAnsi="Cambria"/>
          <w:sz w:val="24"/>
          <w:szCs w:val="24"/>
        </w:rPr>
        <w:t>HKEx</w:t>
      </w:r>
      <w:proofErr w:type="spellEnd"/>
      <w:r w:rsidR="0052751F">
        <w:rPr>
          <w:rFonts w:ascii="Cambria" w:hAnsi="Cambria"/>
          <w:sz w:val="24"/>
          <w:szCs w:val="24"/>
        </w:rPr>
        <w:t xml:space="preserve"> imposed a Prejudice to Investors’ I</w:t>
      </w:r>
      <w:r>
        <w:rPr>
          <w:rFonts w:ascii="Cambria" w:hAnsi="Cambria"/>
          <w:sz w:val="24"/>
          <w:szCs w:val="24"/>
        </w:rPr>
        <w:t>nterests</w:t>
      </w:r>
      <w:r w:rsidR="0052751F">
        <w:rPr>
          <w:rFonts w:ascii="Cambria" w:hAnsi="Cambria"/>
          <w:sz w:val="24"/>
          <w:szCs w:val="24"/>
        </w:rPr>
        <w:t xml:space="preserve"> S</w:t>
      </w:r>
      <w:r>
        <w:rPr>
          <w:rFonts w:ascii="Cambria" w:hAnsi="Cambria"/>
          <w:sz w:val="24"/>
          <w:szCs w:val="24"/>
        </w:rPr>
        <w:t xml:space="preserve">tatement against Mr Gong and Mr Lin, and censured Ping </w:t>
      </w:r>
      <w:proofErr w:type="gramStart"/>
      <w:r>
        <w:rPr>
          <w:rFonts w:ascii="Cambria" w:hAnsi="Cambria"/>
          <w:sz w:val="24"/>
          <w:szCs w:val="24"/>
        </w:rPr>
        <w:t>An</w:t>
      </w:r>
      <w:proofErr w:type="gramEnd"/>
      <w:r>
        <w:rPr>
          <w:rFonts w:ascii="Cambria" w:hAnsi="Cambria"/>
          <w:sz w:val="24"/>
          <w:szCs w:val="24"/>
        </w:rPr>
        <w:t xml:space="preserve"> Securities</w:t>
      </w:r>
      <w:r w:rsidR="002B5993">
        <w:rPr>
          <w:rFonts w:ascii="Cambria" w:hAnsi="Cambria"/>
          <w:sz w:val="24"/>
          <w:szCs w:val="24"/>
        </w:rPr>
        <w:t xml:space="preserve"> and the two former directors</w:t>
      </w:r>
      <w:r>
        <w:rPr>
          <w:rFonts w:ascii="Cambria" w:hAnsi="Cambria"/>
          <w:sz w:val="24"/>
          <w:szCs w:val="24"/>
        </w:rPr>
        <w:t xml:space="preserve">. </w:t>
      </w:r>
    </w:p>
    <w:p w:rsidR="0030561C" w:rsidRDefault="0056215F" w:rsidP="0030561C">
      <w:pPr>
        <w:jc w:val="both"/>
        <w:rPr>
          <w:rFonts w:ascii="Cambria" w:hAnsi="Cambria"/>
          <w:b/>
          <w:color w:val="FF0000"/>
          <w:sz w:val="24"/>
          <w:szCs w:val="24"/>
        </w:rPr>
      </w:pPr>
      <w:r>
        <w:rPr>
          <w:rFonts w:ascii="Cambria" w:hAnsi="Cambria"/>
          <w:b/>
          <w:color w:val="FF0000"/>
          <w:sz w:val="24"/>
          <w:szCs w:val="24"/>
        </w:rPr>
        <w:t>SFC</w:t>
      </w:r>
      <w:r w:rsidR="0030561C">
        <w:rPr>
          <w:rFonts w:ascii="Cambria" w:hAnsi="Cambria"/>
          <w:b/>
          <w:color w:val="FF0000"/>
          <w:sz w:val="24"/>
          <w:szCs w:val="24"/>
        </w:rPr>
        <w:t xml:space="preserve"> Reprimands and Fines TC Capital International Limited HK$3 million </w:t>
      </w:r>
    </w:p>
    <w:p w:rsidR="001D012B" w:rsidRDefault="007F0802" w:rsidP="0030561C">
      <w:pPr>
        <w:jc w:val="both"/>
        <w:rPr>
          <w:rFonts w:ascii="Cambria" w:hAnsi="Cambria"/>
          <w:color w:val="000000" w:themeColor="text1"/>
          <w:sz w:val="24"/>
          <w:szCs w:val="24"/>
        </w:rPr>
      </w:pPr>
      <w:r>
        <w:rPr>
          <w:rFonts w:ascii="Cambria" w:hAnsi="Cambria"/>
          <w:color w:val="000000" w:themeColor="text1"/>
          <w:sz w:val="24"/>
          <w:szCs w:val="24"/>
        </w:rPr>
        <w:t>On 1 August 2022, the SFC reprimanded and fined TC Capital International Limited (</w:t>
      </w:r>
      <w:r w:rsidRPr="007F0802">
        <w:rPr>
          <w:rFonts w:ascii="Cambria" w:hAnsi="Cambria"/>
          <w:b/>
          <w:color w:val="000000" w:themeColor="text1"/>
          <w:sz w:val="24"/>
          <w:szCs w:val="24"/>
        </w:rPr>
        <w:t>TC Capital</w:t>
      </w:r>
      <w:r>
        <w:rPr>
          <w:rFonts w:ascii="Cambria" w:hAnsi="Cambria"/>
          <w:color w:val="000000" w:themeColor="text1"/>
          <w:sz w:val="24"/>
          <w:szCs w:val="24"/>
        </w:rPr>
        <w:t>)</w:t>
      </w:r>
      <w:r w:rsidR="0056215F">
        <w:rPr>
          <w:rFonts w:ascii="Cambria" w:hAnsi="Cambria"/>
          <w:color w:val="000000" w:themeColor="text1"/>
          <w:sz w:val="24"/>
          <w:szCs w:val="24"/>
        </w:rPr>
        <w:t xml:space="preserve"> HK</w:t>
      </w:r>
      <w:r w:rsidR="00085BB7">
        <w:rPr>
          <w:rFonts w:ascii="Cambria" w:hAnsi="Cambria"/>
          <w:color w:val="000000" w:themeColor="text1"/>
          <w:sz w:val="24"/>
          <w:szCs w:val="24"/>
        </w:rPr>
        <w:t>$3 million for failing to discharge its duties</w:t>
      </w:r>
      <w:r w:rsidR="00121517">
        <w:rPr>
          <w:rFonts w:ascii="Cambria" w:hAnsi="Cambria"/>
          <w:color w:val="000000" w:themeColor="text1"/>
          <w:sz w:val="24"/>
          <w:szCs w:val="24"/>
        </w:rPr>
        <w:t xml:space="preserve">, namely to conduct reasonable due diligence and to maintain proper records of </w:t>
      </w:r>
      <w:r w:rsidR="0056215F">
        <w:rPr>
          <w:rFonts w:ascii="Cambria" w:hAnsi="Cambria"/>
          <w:color w:val="000000" w:themeColor="text1"/>
          <w:sz w:val="24"/>
          <w:szCs w:val="24"/>
        </w:rPr>
        <w:t xml:space="preserve">its </w:t>
      </w:r>
      <w:r w:rsidR="00121517">
        <w:rPr>
          <w:rFonts w:ascii="Cambria" w:hAnsi="Cambria"/>
          <w:color w:val="000000" w:themeColor="text1"/>
          <w:sz w:val="24"/>
          <w:szCs w:val="24"/>
        </w:rPr>
        <w:t>due diligence,</w:t>
      </w:r>
      <w:r w:rsidR="00085BB7">
        <w:rPr>
          <w:rFonts w:ascii="Cambria" w:hAnsi="Cambria"/>
          <w:color w:val="000000" w:themeColor="text1"/>
          <w:sz w:val="24"/>
          <w:szCs w:val="24"/>
        </w:rPr>
        <w:t xml:space="preserve"> as the sponsor in the listing application of China Candy Holdings Limited (</w:t>
      </w:r>
      <w:r w:rsidR="00085BB7" w:rsidRPr="00085BB7">
        <w:rPr>
          <w:rFonts w:ascii="Cambria" w:hAnsi="Cambria"/>
          <w:b/>
          <w:color w:val="000000" w:themeColor="text1"/>
          <w:sz w:val="24"/>
          <w:szCs w:val="24"/>
        </w:rPr>
        <w:t>China Candy</w:t>
      </w:r>
      <w:r w:rsidR="00085BB7">
        <w:rPr>
          <w:rFonts w:ascii="Cambria" w:hAnsi="Cambria"/>
          <w:color w:val="000000" w:themeColor="text1"/>
          <w:sz w:val="24"/>
          <w:szCs w:val="24"/>
        </w:rPr>
        <w:t>)</w:t>
      </w:r>
      <w:r>
        <w:rPr>
          <w:rFonts w:ascii="Cambria" w:hAnsi="Cambria"/>
          <w:color w:val="000000" w:themeColor="text1"/>
          <w:sz w:val="24"/>
          <w:szCs w:val="24"/>
        </w:rPr>
        <w:t xml:space="preserve"> </w:t>
      </w:r>
      <w:r w:rsidR="00E908ED">
        <w:rPr>
          <w:rFonts w:ascii="Cambria" w:hAnsi="Cambria"/>
          <w:color w:val="000000" w:themeColor="text1"/>
          <w:sz w:val="24"/>
          <w:szCs w:val="24"/>
        </w:rPr>
        <w:t>on the Growth Enterprise Market (</w:t>
      </w:r>
      <w:r w:rsidR="00E908ED" w:rsidRPr="00E908ED">
        <w:rPr>
          <w:rFonts w:ascii="Cambria" w:hAnsi="Cambria"/>
          <w:b/>
          <w:color w:val="000000" w:themeColor="text1"/>
          <w:sz w:val="24"/>
          <w:szCs w:val="24"/>
        </w:rPr>
        <w:t>GEM</w:t>
      </w:r>
      <w:r w:rsidR="00E908ED">
        <w:rPr>
          <w:rFonts w:ascii="Cambria" w:hAnsi="Cambria"/>
          <w:color w:val="000000" w:themeColor="text1"/>
          <w:sz w:val="24"/>
          <w:szCs w:val="24"/>
        </w:rPr>
        <w:t xml:space="preserve">). </w:t>
      </w:r>
      <w:r w:rsidR="00C619B6">
        <w:rPr>
          <w:rFonts w:ascii="Cambria" w:hAnsi="Cambria"/>
          <w:color w:val="000000" w:themeColor="text1"/>
          <w:sz w:val="24"/>
          <w:szCs w:val="24"/>
        </w:rPr>
        <w:t xml:space="preserve">Mr Edward Wu Wen </w:t>
      </w:r>
      <w:proofErr w:type="spellStart"/>
      <w:r w:rsidR="00C619B6">
        <w:rPr>
          <w:rFonts w:ascii="Cambria" w:hAnsi="Cambria"/>
          <w:color w:val="000000" w:themeColor="text1"/>
          <w:sz w:val="24"/>
          <w:szCs w:val="24"/>
        </w:rPr>
        <w:t>Guang</w:t>
      </w:r>
      <w:proofErr w:type="spellEnd"/>
      <w:r w:rsidR="00C619B6">
        <w:rPr>
          <w:rFonts w:ascii="Cambria" w:hAnsi="Cambria"/>
          <w:color w:val="000000" w:themeColor="text1"/>
          <w:sz w:val="24"/>
          <w:szCs w:val="24"/>
        </w:rPr>
        <w:t xml:space="preserve"> (</w:t>
      </w:r>
      <w:r w:rsidR="00C619B6" w:rsidRPr="00C619B6">
        <w:rPr>
          <w:rFonts w:ascii="Cambria" w:hAnsi="Cambria"/>
          <w:b/>
          <w:color w:val="000000" w:themeColor="text1"/>
          <w:sz w:val="24"/>
          <w:szCs w:val="24"/>
        </w:rPr>
        <w:t>Wu</w:t>
      </w:r>
      <w:r w:rsidR="00C619B6">
        <w:rPr>
          <w:rFonts w:ascii="Cambria" w:hAnsi="Cambria"/>
          <w:color w:val="000000" w:themeColor="text1"/>
          <w:sz w:val="24"/>
          <w:szCs w:val="24"/>
        </w:rPr>
        <w:t>) also had his licence suspended for failure to discharge his duties</w:t>
      </w:r>
      <w:r w:rsidR="0056215F">
        <w:rPr>
          <w:rFonts w:ascii="Cambria" w:hAnsi="Cambria"/>
          <w:color w:val="000000" w:themeColor="text1"/>
          <w:sz w:val="24"/>
          <w:szCs w:val="24"/>
        </w:rPr>
        <w:t xml:space="preserve"> as a responsible officer and sponsor principal in charge of China Candy’s listing application and supervision of the transaction team responsible for the listing application</w:t>
      </w:r>
      <w:r w:rsidR="00C619B6">
        <w:rPr>
          <w:rFonts w:ascii="Cambria" w:hAnsi="Cambria"/>
          <w:color w:val="000000" w:themeColor="text1"/>
          <w:sz w:val="24"/>
          <w:szCs w:val="24"/>
        </w:rPr>
        <w:t xml:space="preserve">. </w:t>
      </w:r>
      <w:r>
        <w:rPr>
          <w:rFonts w:ascii="Cambria" w:hAnsi="Cambria"/>
          <w:sz w:val="24"/>
          <w:szCs w:val="24"/>
        </w:rPr>
        <w:t xml:space="preserve">The </w:t>
      </w:r>
      <w:r w:rsidR="008C1099">
        <w:rPr>
          <w:rFonts w:ascii="Cambria" w:hAnsi="Cambria"/>
          <w:sz w:val="24"/>
          <w:szCs w:val="24"/>
        </w:rPr>
        <w:t>SFC’s</w:t>
      </w:r>
      <w:r>
        <w:rPr>
          <w:rFonts w:ascii="Cambria" w:hAnsi="Cambria"/>
          <w:sz w:val="24"/>
          <w:szCs w:val="24"/>
        </w:rPr>
        <w:t xml:space="preserve"> Statement of Disciplinary </w:t>
      </w:r>
      <w:r w:rsidR="008C1099">
        <w:rPr>
          <w:rFonts w:ascii="Cambria" w:hAnsi="Cambria"/>
          <w:sz w:val="24"/>
          <w:szCs w:val="24"/>
        </w:rPr>
        <w:t>A</w:t>
      </w:r>
      <w:r>
        <w:rPr>
          <w:rFonts w:ascii="Cambria" w:hAnsi="Cambria"/>
          <w:sz w:val="24"/>
          <w:szCs w:val="24"/>
        </w:rPr>
        <w:t xml:space="preserve">ction is available on the </w:t>
      </w:r>
      <w:r w:rsidR="008C1099">
        <w:rPr>
          <w:rFonts w:ascii="Cambria" w:hAnsi="Cambria"/>
          <w:sz w:val="24"/>
          <w:szCs w:val="24"/>
        </w:rPr>
        <w:t xml:space="preserve">SFC website </w:t>
      </w:r>
      <w:hyperlink r:id="rId11" w:history="1">
        <w:r w:rsidR="008C1099">
          <w:rPr>
            <w:rStyle w:val="a4"/>
            <w:rFonts w:ascii="Cambria" w:hAnsi="Cambria"/>
            <w:sz w:val="24"/>
            <w:szCs w:val="24"/>
          </w:rPr>
          <w:t>here</w:t>
        </w:r>
      </w:hyperlink>
      <w:r w:rsidR="001D012B">
        <w:rPr>
          <w:rFonts w:ascii="Cambria" w:hAnsi="Cambria"/>
          <w:color w:val="000000" w:themeColor="text1"/>
          <w:sz w:val="24"/>
          <w:szCs w:val="24"/>
        </w:rPr>
        <w:t>.</w:t>
      </w:r>
    </w:p>
    <w:p w:rsidR="00D27ACD" w:rsidRPr="006C1E38" w:rsidRDefault="0056215F" w:rsidP="0030561C">
      <w:pPr>
        <w:jc w:val="both"/>
        <w:rPr>
          <w:rFonts w:ascii="Cambria" w:hAnsi="Cambria"/>
          <w:b/>
          <w:color w:val="000000" w:themeColor="text1"/>
          <w:sz w:val="24"/>
          <w:szCs w:val="24"/>
        </w:rPr>
      </w:pPr>
      <w:r>
        <w:rPr>
          <w:rFonts w:ascii="Cambria" w:hAnsi="Cambria"/>
          <w:b/>
          <w:color w:val="000000" w:themeColor="text1"/>
          <w:sz w:val="24"/>
          <w:szCs w:val="24"/>
        </w:rPr>
        <w:t>Failure to Conduct</w:t>
      </w:r>
      <w:r w:rsidR="00574FE0">
        <w:rPr>
          <w:rFonts w:ascii="Cambria" w:hAnsi="Cambria"/>
          <w:b/>
          <w:color w:val="000000" w:themeColor="text1"/>
          <w:sz w:val="24"/>
          <w:szCs w:val="24"/>
        </w:rPr>
        <w:t xml:space="preserve"> Reasonable Due Diligence</w:t>
      </w:r>
      <w:r>
        <w:rPr>
          <w:rFonts w:ascii="Cambria" w:hAnsi="Cambria"/>
          <w:b/>
          <w:color w:val="000000" w:themeColor="text1"/>
          <w:sz w:val="24"/>
          <w:szCs w:val="24"/>
        </w:rPr>
        <w:t xml:space="preserve"> on Third Party Payments</w:t>
      </w:r>
    </w:p>
    <w:p w:rsidR="00D27ACD" w:rsidRDefault="003465F6" w:rsidP="0030561C">
      <w:pPr>
        <w:jc w:val="both"/>
        <w:rPr>
          <w:rFonts w:ascii="Cambria" w:hAnsi="Cambria"/>
          <w:color w:val="000000" w:themeColor="text1"/>
          <w:sz w:val="24"/>
          <w:szCs w:val="24"/>
        </w:rPr>
      </w:pPr>
      <w:r>
        <w:rPr>
          <w:rFonts w:ascii="Cambria" w:hAnsi="Cambria"/>
          <w:color w:val="000000" w:themeColor="text1"/>
          <w:sz w:val="24"/>
          <w:szCs w:val="24"/>
        </w:rPr>
        <w:t>China Candy was a manufacturer of candies in Mainland China</w:t>
      </w:r>
      <w:r w:rsidR="0056215F">
        <w:rPr>
          <w:rFonts w:ascii="Cambria" w:hAnsi="Cambria"/>
          <w:color w:val="000000" w:themeColor="text1"/>
          <w:sz w:val="24"/>
          <w:szCs w:val="24"/>
        </w:rPr>
        <w:t xml:space="preserve"> that</w:t>
      </w:r>
      <w:r w:rsidR="00B50594">
        <w:rPr>
          <w:rFonts w:ascii="Cambria" w:hAnsi="Cambria"/>
          <w:color w:val="000000" w:themeColor="text1"/>
          <w:sz w:val="24"/>
          <w:szCs w:val="24"/>
        </w:rPr>
        <w:t xml:space="preserve"> sold candies in Mainland China </w:t>
      </w:r>
      <w:r w:rsidR="0056215F">
        <w:rPr>
          <w:rFonts w:ascii="Cambria" w:hAnsi="Cambria"/>
          <w:color w:val="000000" w:themeColor="text1"/>
          <w:sz w:val="24"/>
          <w:szCs w:val="24"/>
        </w:rPr>
        <w:t xml:space="preserve">and </w:t>
      </w:r>
      <w:r w:rsidR="00B50594">
        <w:rPr>
          <w:rFonts w:ascii="Cambria" w:hAnsi="Cambria"/>
          <w:color w:val="000000" w:themeColor="text1"/>
          <w:sz w:val="24"/>
          <w:szCs w:val="24"/>
        </w:rPr>
        <w:t>overseas</w:t>
      </w:r>
      <w:r>
        <w:rPr>
          <w:rFonts w:ascii="Cambria" w:hAnsi="Cambria"/>
          <w:color w:val="000000" w:themeColor="text1"/>
          <w:sz w:val="24"/>
          <w:szCs w:val="24"/>
        </w:rPr>
        <w:t xml:space="preserve">. </w:t>
      </w:r>
      <w:r w:rsidR="0008651F">
        <w:rPr>
          <w:rFonts w:ascii="Cambria" w:hAnsi="Cambria"/>
          <w:color w:val="000000" w:themeColor="text1"/>
          <w:sz w:val="24"/>
          <w:szCs w:val="24"/>
        </w:rPr>
        <w:t xml:space="preserve">TC Capital, </w:t>
      </w:r>
      <w:r w:rsidR="00BC53B3">
        <w:rPr>
          <w:rFonts w:ascii="Cambria" w:hAnsi="Cambria"/>
          <w:color w:val="000000" w:themeColor="text1"/>
          <w:sz w:val="24"/>
          <w:szCs w:val="24"/>
        </w:rPr>
        <w:t xml:space="preserve">as </w:t>
      </w:r>
      <w:r w:rsidR="0008651F">
        <w:rPr>
          <w:rFonts w:ascii="Cambria" w:hAnsi="Cambria"/>
          <w:color w:val="000000" w:themeColor="text1"/>
          <w:sz w:val="24"/>
          <w:szCs w:val="24"/>
        </w:rPr>
        <w:t xml:space="preserve">the </w:t>
      </w:r>
      <w:r w:rsidR="00BC53B3">
        <w:rPr>
          <w:rFonts w:ascii="Cambria" w:hAnsi="Cambria"/>
          <w:color w:val="000000" w:themeColor="text1"/>
          <w:sz w:val="24"/>
          <w:szCs w:val="24"/>
        </w:rPr>
        <w:t>sole sponsor, re-submitted China Candy’s listing a</w:t>
      </w:r>
      <w:r w:rsidR="0008651F">
        <w:rPr>
          <w:rFonts w:ascii="Cambria" w:hAnsi="Cambria"/>
          <w:color w:val="000000" w:themeColor="text1"/>
          <w:sz w:val="24"/>
          <w:szCs w:val="24"/>
        </w:rPr>
        <w:t xml:space="preserve">pplication in September 2015, due to a lapse of more than six months from its </w:t>
      </w:r>
      <w:r w:rsidR="00BC53B3">
        <w:rPr>
          <w:rFonts w:ascii="Cambria" w:hAnsi="Cambria"/>
          <w:color w:val="000000" w:themeColor="text1"/>
          <w:sz w:val="24"/>
          <w:szCs w:val="24"/>
        </w:rPr>
        <w:t xml:space="preserve">initial </w:t>
      </w:r>
      <w:r w:rsidR="0008651F">
        <w:rPr>
          <w:rFonts w:ascii="Cambria" w:hAnsi="Cambria"/>
          <w:color w:val="000000" w:themeColor="text1"/>
          <w:sz w:val="24"/>
          <w:szCs w:val="24"/>
        </w:rPr>
        <w:t xml:space="preserve">application. In November 2015, China Candy was listed on GEM. </w:t>
      </w:r>
      <w:r w:rsidR="005166F9">
        <w:rPr>
          <w:rFonts w:ascii="Cambria" w:hAnsi="Cambria"/>
          <w:color w:val="000000" w:themeColor="text1"/>
          <w:sz w:val="24"/>
          <w:szCs w:val="24"/>
        </w:rPr>
        <w:t>At China Candy’s request, trading i</w:t>
      </w:r>
      <w:r w:rsidR="00BC53B3">
        <w:rPr>
          <w:rFonts w:ascii="Cambria" w:hAnsi="Cambria"/>
          <w:color w:val="000000" w:themeColor="text1"/>
          <w:sz w:val="24"/>
          <w:szCs w:val="24"/>
        </w:rPr>
        <w:t>n the shares of China Candy was</w:t>
      </w:r>
      <w:r w:rsidR="005166F9">
        <w:rPr>
          <w:rFonts w:ascii="Cambria" w:hAnsi="Cambria"/>
          <w:color w:val="000000" w:themeColor="text1"/>
          <w:sz w:val="24"/>
          <w:szCs w:val="24"/>
        </w:rPr>
        <w:t xml:space="preserve"> suspended in December 2017; with China Candy explaining that it </w:t>
      </w:r>
      <w:r w:rsidR="00BC53B3">
        <w:rPr>
          <w:rFonts w:ascii="Cambria" w:hAnsi="Cambria"/>
          <w:color w:val="000000" w:themeColor="text1"/>
          <w:sz w:val="24"/>
          <w:szCs w:val="24"/>
        </w:rPr>
        <w:t>could not</w:t>
      </w:r>
      <w:r w:rsidR="00721267">
        <w:rPr>
          <w:rFonts w:ascii="Cambria" w:hAnsi="Cambria"/>
          <w:color w:val="000000" w:themeColor="text1"/>
          <w:sz w:val="24"/>
          <w:szCs w:val="24"/>
        </w:rPr>
        <w:t xml:space="preserve"> </w:t>
      </w:r>
      <w:r w:rsidR="005166F9">
        <w:rPr>
          <w:rFonts w:ascii="Cambria" w:hAnsi="Cambria"/>
          <w:color w:val="000000" w:themeColor="text1"/>
          <w:sz w:val="24"/>
          <w:szCs w:val="24"/>
        </w:rPr>
        <w:t xml:space="preserve">confirm the authenticity of certain bank </w:t>
      </w:r>
      <w:r w:rsidR="005166F9">
        <w:rPr>
          <w:rFonts w:ascii="Cambria" w:hAnsi="Cambria"/>
          <w:color w:val="000000" w:themeColor="text1"/>
          <w:sz w:val="24"/>
          <w:szCs w:val="24"/>
        </w:rPr>
        <w:lastRenderedPageBreak/>
        <w:t xml:space="preserve">information. The HKEX </w:t>
      </w:r>
      <w:r w:rsidR="00B17FFE">
        <w:rPr>
          <w:rFonts w:ascii="Cambria" w:hAnsi="Cambria"/>
          <w:color w:val="000000" w:themeColor="text1"/>
          <w:sz w:val="24"/>
          <w:szCs w:val="24"/>
        </w:rPr>
        <w:t xml:space="preserve">subsequently </w:t>
      </w:r>
      <w:r w:rsidR="005166F9">
        <w:rPr>
          <w:rFonts w:ascii="Cambria" w:hAnsi="Cambria"/>
          <w:color w:val="000000" w:themeColor="text1"/>
          <w:sz w:val="24"/>
          <w:szCs w:val="24"/>
        </w:rPr>
        <w:t xml:space="preserve">cancelled China Candy’s listing on 31 December 2019. </w:t>
      </w:r>
    </w:p>
    <w:p w:rsidR="00574FE0" w:rsidRDefault="0010780D" w:rsidP="005A69E9">
      <w:pPr>
        <w:jc w:val="both"/>
        <w:rPr>
          <w:rFonts w:ascii="Cambria" w:hAnsi="Cambria"/>
          <w:color w:val="000000" w:themeColor="text1"/>
          <w:sz w:val="24"/>
          <w:szCs w:val="24"/>
        </w:rPr>
      </w:pPr>
      <w:r>
        <w:rPr>
          <w:rFonts w:ascii="Cambria" w:hAnsi="Cambria"/>
          <w:color w:val="000000" w:themeColor="text1"/>
          <w:sz w:val="24"/>
          <w:szCs w:val="24"/>
        </w:rPr>
        <w:t>Two top customers</w:t>
      </w:r>
      <w:r w:rsidR="00CC0704">
        <w:rPr>
          <w:rFonts w:ascii="Cambria" w:hAnsi="Cambria"/>
          <w:color w:val="000000" w:themeColor="text1"/>
          <w:sz w:val="24"/>
          <w:szCs w:val="24"/>
        </w:rPr>
        <w:t xml:space="preserve"> (</w:t>
      </w:r>
      <w:r w:rsidR="00CC0704" w:rsidRPr="00CC0704">
        <w:rPr>
          <w:rFonts w:ascii="Cambria" w:hAnsi="Cambria"/>
          <w:b/>
          <w:color w:val="000000" w:themeColor="text1"/>
          <w:sz w:val="24"/>
          <w:szCs w:val="24"/>
        </w:rPr>
        <w:t>Customers</w:t>
      </w:r>
      <w:r w:rsidR="00CC0704">
        <w:rPr>
          <w:rFonts w:ascii="Cambria" w:hAnsi="Cambria"/>
          <w:color w:val="000000" w:themeColor="text1"/>
          <w:sz w:val="24"/>
          <w:szCs w:val="24"/>
        </w:rPr>
        <w:t>)</w:t>
      </w:r>
      <w:r>
        <w:rPr>
          <w:rFonts w:ascii="Cambria" w:hAnsi="Cambria"/>
          <w:color w:val="000000" w:themeColor="text1"/>
          <w:sz w:val="24"/>
          <w:szCs w:val="24"/>
        </w:rPr>
        <w:t>, who contributed a significant portion of China Candy’s revenue</w:t>
      </w:r>
      <w:r w:rsidR="002D3696">
        <w:rPr>
          <w:rFonts w:ascii="Cambria" w:hAnsi="Cambria"/>
          <w:color w:val="000000" w:themeColor="text1"/>
          <w:sz w:val="24"/>
          <w:szCs w:val="24"/>
        </w:rPr>
        <w:t xml:space="preserve"> – around 23% and 25% respectively</w:t>
      </w:r>
      <w:r w:rsidR="00CC0704">
        <w:rPr>
          <w:rFonts w:ascii="Cambria" w:hAnsi="Cambria"/>
          <w:color w:val="000000" w:themeColor="text1"/>
          <w:sz w:val="24"/>
          <w:szCs w:val="24"/>
        </w:rPr>
        <w:t>,</w:t>
      </w:r>
      <w:r w:rsidR="00206A0E">
        <w:rPr>
          <w:rFonts w:ascii="Cambria" w:hAnsi="Cambria"/>
          <w:color w:val="000000" w:themeColor="text1"/>
          <w:sz w:val="24"/>
          <w:szCs w:val="24"/>
        </w:rPr>
        <w:t xml:space="preserve"> had </w:t>
      </w:r>
      <w:r w:rsidR="00206A0E" w:rsidRPr="00206A0E">
        <w:rPr>
          <w:rFonts w:ascii="Cambria" w:hAnsi="Cambria"/>
          <w:color w:val="000000" w:themeColor="text1"/>
          <w:sz w:val="24"/>
          <w:szCs w:val="24"/>
        </w:rPr>
        <w:t>settled most of their payments to China Candy through</w:t>
      </w:r>
      <w:r w:rsidR="001E79E1">
        <w:rPr>
          <w:rFonts w:ascii="Cambria" w:hAnsi="Cambria"/>
          <w:color w:val="000000" w:themeColor="text1"/>
          <w:sz w:val="24"/>
          <w:szCs w:val="24"/>
        </w:rPr>
        <w:t xml:space="preserve"> various</w:t>
      </w:r>
      <w:r w:rsidR="00206A0E" w:rsidRPr="00206A0E">
        <w:rPr>
          <w:rFonts w:ascii="Cambria" w:hAnsi="Cambria"/>
          <w:color w:val="000000" w:themeColor="text1"/>
          <w:sz w:val="24"/>
          <w:szCs w:val="24"/>
        </w:rPr>
        <w:t xml:space="preserve"> third party payers</w:t>
      </w:r>
      <w:r w:rsidR="00206A0E">
        <w:rPr>
          <w:rFonts w:ascii="Cambria" w:hAnsi="Cambria"/>
          <w:color w:val="000000" w:themeColor="text1"/>
          <w:sz w:val="24"/>
          <w:szCs w:val="24"/>
        </w:rPr>
        <w:t>.</w:t>
      </w:r>
      <w:r w:rsidR="005A69E9">
        <w:rPr>
          <w:rFonts w:ascii="Cambria" w:hAnsi="Cambria"/>
          <w:color w:val="000000" w:themeColor="text1"/>
          <w:sz w:val="24"/>
          <w:szCs w:val="24"/>
        </w:rPr>
        <w:t xml:space="preserve"> Third party payments are considered a red flag </w:t>
      </w:r>
      <w:r w:rsidR="00BC53B3">
        <w:rPr>
          <w:rFonts w:ascii="Cambria" w:hAnsi="Cambria"/>
          <w:color w:val="000000" w:themeColor="text1"/>
          <w:sz w:val="24"/>
          <w:szCs w:val="24"/>
        </w:rPr>
        <w:t xml:space="preserve">since they can be used to </w:t>
      </w:r>
      <w:r w:rsidR="005A69E9">
        <w:rPr>
          <w:rFonts w:ascii="Cambria" w:hAnsi="Cambria"/>
          <w:color w:val="000000" w:themeColor="text1"/>
          <w:sz w:val="24"/>
          <w:szCs w:val="24"/>
        </w:rPr>
        <w:t xml:space="preserve">disguise </w:t>
      </w:r>
      <w:r w:rsidR="005A69E9" w:rsidRPr="005A69E9">
        <w:rPr>
          <w:rFonts w:ascii="Cambria" w:hAnsi="Cambria"/>
          <w:color w:val="000000" w:themeColor="text1"/>
          <w:sz w:val="24"/>
          <w:szCs w:val="24"/>
        </w:rPr>
        <w:t>the original source of funds and/or facilitate a fraudulent scheme</w:t>
      </w:r>
      <w:r w:rsidR="005A69E9">
        <w:rPr>
          <w:rFonts w:ascii="Cambria" w:hAnsi="Cambria"/>
          <w:color w:val="000000" w:themeColor="text1"/>
          <w:sz w:val="24"/>
          <w:szCs w:val="24"/>
        </w:rPr>
        <w:t xml:space="preserve">. </w:t>
      </w:r>
      <w:r w:rsidR="00AC0426">
        <w:rPr>
          <w:rFonts w:ascii="Cambria" w:hAnsi="Cambria"/>
          <w:color w:val="000000" w:themeColor="text1"/>
          <w:sz w:val="24"/>
          <w:szCs w:val="24"/>
        </w:rPr>
        <w:t xml:space="preserve">It was therefore </w:t>
      </w:r>
      <w:r w:rsidR="00BC53B3">
        <w:rPr>
          <w:rFonts w:ascii="Cambria" w:hAnsi="Cambria"/>
          <w:color w:val="000000" w:themeColor="text1"/>
          <w:sz w:val="24"/>
          <w:szCs w:val="24"/>
        </w:rPr>
        <w:t xml:space="preserve">essential that TC Capital, as sponsor, should </w:t>
      </w:r>
      <w:r w:rsidR="00743818">
        <w:rPr>
          <w:rFonts w:ascii="Cambria" w:hAnsi="Cambria"/>
          <w:color w:val="000000" w:themeColor="text1"/>
          <w:sz w:val="24"/>
          <w:szCs w:val="24"/>
        </w:rPr>
        <w:t xml:space="preserve">conduct proper due diligence to understand the reasons for the third party payments and </w:t>
      </w:r>
      <w:r w:rsidR="00AC0426">
        <w:rPr>
          <w:rFonts w:ascii="Cambria" w:hAnsi="Cambria"/>
          <w:color w:val="000000" w:themeColor="text1"/>
          <w:sz w:val="24"/>
          <w:szCs w:val="24"/>
        </w:rPr>
        <w:t>critically assess the</w:t>
      </w:r>
      <w:r w:rsidR="00743818">
        <w:rPr>
          <w:rFonts w:ascii="Cambria" w:hAnsi="Cambria"/>
          <w:color w:val="000000" w:themeColor="text1"/>
          <w:sz w:val="24"/>
          <w:szCs w:val="24"/>
        </w:rPr>
        <w:t>ir</w:t>
      </w:r>
      <w:r w:rsidR="00AC0426">
        <w:rPr>
          <w:rFonts w:ascii="Cambria" w:hAnsi="Cambria"/>
          <w:color w:val="000000" w:themeColor="text1"/>
          <w:sz w:val="24"/>
          <w:szCs w:val="24"/>
        </w:rPr>
        <w:t xml:space="preserve"> legitimacy and veracity. </w:t>
      </w:r>
    </w:p>
    <w:p w:rsidR="00C53640" w:rsidRDefault="00186662" w:rsidP="00206A0E">
      <w:pPr>
        <w:jc w:val="both"/>
        <w:rPr>
          <w:rFonts w:ascii="Cambria" w:hAnsi="Cambria"/>
          <w:color w:val="000000" w:themeColor="text1"/>
          <w:sz w:val="24"/>
          <w:szCs w:val="24"/>
        </w:rPr>
      </w:pPr>
      <w:r>
        <w:rPr>
          <w:rFonts w:ascii="Cambria" w:hAnsi="Cambria"/>
          <w:color w:val="000000" w:themeColor="text1"/>
          <w:sz w:val="24"/>
          <w:szCs w:val="24"/>
        </w:rPr>
        <w:t>However, t</w:t>
      </w:r>
      <w:r w:rsidR="005E5BB8">
        <w:rPr>
          <w:rFonts w:ascii="Cambria" w:hAnsi="Cambria"/>
          <w:color w:val="000000" w:themeColor="text1"/>
          <w:sz w:val="24"/>
          <w:szCs w:val="24"/>
        </w:rPr>
        <w:t xml:space="preserve">he issue of third party payments was not a matter that TC Capital had considered at the time. Wu claimed that </w:t>
      </w:r>
      <w:r w:rsidR="005B4284">
        <w:rPr>
          <w:rFonts w:ascii="Cambria" w:hAnsi="Cambria"/>
          <w:color w:val="000000" w:themeColor="text1"/>
          <w:sz w:val="24"/>
          <w:szCs w:val="24"/>
        </w:rPr>
        <w:t xml:space="preserve">while </w:t>
      </w:r>
      <w:r w:rsidR="00243351">
        <w:rPr>
          <w:rFonts w:ascii="Cambria" w:hAnsi="Cambria"/>
          <w:color w:val="000000" w:themeColor="text1"/>
          <w:sz w:val="24"/>
          <w:szCs w:val="24"/>
        </w:rPr>
        <w:t>he was</w:t>
      </w:r>
      <w:r w:rsidR="006813C6">
        <w:rPr>
          <w:rFonts w:ascii="Cambria" w:hAnsi="Cambria"/>
          <w:color w:val="000000" w:themeColor="text1"/>
          <w:sz w:val="24"/>
          <w:szCs w:val="24"/>
        </w:rPr>
        <w:t xml:space="preserve"> aware of the third party payments</w:t>
      </w:r>
      <w:r w:rsidR="005B4284">
        <w:rPr>
          <w:rFonts w:ascii="Cambria" w:hAnsi="Cambria"/>
          <w:color w:val="000000" w:themeColor="text1"/>
          <w:sz w:val="24"/>
          <w:szCs w:val="24"/>
        </w:rPr>
        <w:t xml:space="preserve">, </w:t>
      </w:r>
      <w:r w:rsidR="009075A9">
        <w:rPr>
          <w:rFonts w:ascii="Cambria" w:hAnsi="Cambria"/>
          <w:color w:val="000000" w:themeColor="text1"/>
          <w:sz w:val="24"/>
          <w:szCs w:val="24"/>
        </w:rPr>
        <w:t>al</w:t>
      </w:r>
      <w:r w:rsidR="005B4284">
        <w:rPr>
          <w:rFonts w:ascii="Cambria" w:hAnsi="Cambria"/>
          <w:color w:val="000000" w:themeColor="text1"/>
          <w:sz w:val="24"/>
          <w:szCs w:val="24"/>
        </w:rPr>
        <w:t>though not the significant number</w:t>
      </w:r>
      <w:r w:rsidR="006813C6">
        <w:rPr>
          <w:rFonts w:ascii="Cambria" w:hAnsi="Cambria"/>
          <w:color w:val="000000" w:themeColor="text1"/>
          <w:sz w:val="24"/>
          <w:szCs w:val="24"/>
        </w:rPr>
        <w:t xml:space="preserve">, </w:t>
      </w:r>
      <w:r w:rsidR="00C53640">
        <w:rPr>
          <w:rFonts w:ascii="Cambria" w:hAnsi="Cambria"/>
          <w:color w:val="000000" w:themeColor="text1"/>
          <w:sz w:val="24"/>
          <w:szCs w:val="24"/>
        </w:rPr>
        <w:t>he</w:t>
      </w:r>
      <w:r w:rsidR="00733F78">
        <w:rPr>
          <w:rFonts w:ascii="Cambria" w:hAnsi="Cambria"/>
          <w:color w:val="000000" w:themeColor="text1"/>
          <w:sz w:val="24"/>
          <w:szCs w:val="24"/>
        </w:rPr>
        <w:t xml:space="preserve"> </w:t>
      </w:r>
      <w:r w:rsidR="007A5DBB">
        <w:rPr>
          <w:rFonts w:ascii="Cambria" w:hAnsi="Cambria"/>
          <w:color w:val="000000" w:themeColor="text1"/>
          <w:sz w:val="24"/>
          <w:szCs w:val="24"/>
        </w:rPr>
        <w:t xml:space="preserve">saw no reason </w:t>
      </w:r>
      <w:r w:rsidR="00C53640">
        <w:rPr>
          <w:rFonts w:ascii="Cambria" w:hAnsi="Cambria"/>
          <w:color w:val="000000" w:themeColor="text1"/>
          <w:sz w:val="24"/>
          <w:szCs w:val="24"/>
        </w:rPr>
        <w:t>for any follow up due diligence.</w:t>
      </w:r>
      <w:r w:rsidR="007A5DBB">
        <w:rPr>
          <w:rFonts w:ascii="Cambria" w:hAnsi="Cambria"/>
          <w:color w:val="000000" w:themeColor="text1"/>
          <w:sz w:val="24"/>
          <w:szCs w:val="24"/>
        </w:rPr>
        <w:t xml:space="preserve"> </w:t>
      </w:r>
      <w:r w:rsidR="002C17C9">
        <w:rPr>
          <w:rFonts w:ascii="Cambria" w:hAnsi="Cambria"/>
          <w:color w:val="000000" w:themeColor="text1"/>
          <w:sz w:val="24"/>
          <w:szCs w:val="24"/>
        </w:rPr>
        <w:t>TC Capital’s Transactions Team</w:t>
      </w:r>
      <w:r w:rsidR="006B4E1B">
        <w:rPr>
          <w:rFonts w:ascii="Cambria" w:hAnsi="Cambria"/>
          <w:color w:val="000000" w:themeColor="text1"/>
          <w:sz w:val="24"/>
          <w:szCs w:val="24"/>
        </w:rPr>
        <w:t xml:space="preserve"> claimed that they were not</w:t>
      </w:r>
      <w:r w:rsidR="00E64697">
        <w:rPr>
          <w:rFonts w:ascii="Cambria" w:hAnsi="Cambria"/>
          <w:color w:val="000000" w:themeColor="text1"/>
          <w:sz w:val="24"/>
          <w:szCs w:val="24"/>
        </w:rPr>
        <w:t xml:space="preserve"> even</w:t>
      </w:r>
      <w:r w:rsidR="006B4E1B">
        <w:rPr>
          <w:rFonts w:ascii="Cambria" w:hAnsi="Cambria"/>
          <w:color w:val="000000" w:themeColor="text1"/>
          <w:sz w:val="24"/>
          <w:szCs w:val="24"/>
        </w:rPr>
        <w:t xml:space="preserve"> aware of </w:t>
      </w:r>
      <w:r w:rsidR="00C53640">
        <w:rPr>
          <w:rFonts w:ascii="Cambria" w:hAnsi="Cambria"/>
          <w:color w:val="000000" w:themeColor="text1"/>
          <w:sz w:val="24"/>
          <w:szCs w:val="24"/>
        </w:rPr>
        <w:t xml:space="preserve">the third party payments </w:t>
      </w:r>
      <w:r w:rsidR="00B11B26">
        <w:rPr>
          <w:rFonts w:ascii="Cambria" w:hAnsi="Cambria"/>
          <w:color w:val="000000" w:themeColor="text1"/>
          <w:sz w:val="24"/>
          <w:szCs w:val="24"/>
        </w:rPr>
        <w:t xml:space="preserve">and </w:t>
      </w:r>
      <w:r w:rsidR="00E64697">
        <w:rPr>
          <w:rFonts w:ascii="Cambria" w:hAnsi="Cambria"/>
          <w:color w:val="000000" w:themeColor="text1"/>
          <w:sz w:val="24"/>
          <w:szCs w:val="24"/>
        </w:rPr>
        <w:t>therefore did not</w:t>
      </w:r>
      <w:r w:rsidR="00C53640">
        <w:rPr>
          <w:rFonts w:ascii="Cambria" w:hAnsi="Cambria"/>
          <w:color w:val="000000" w:themeColor="text1"/>
          <w:sz w:val="24"/>
          <w:szCs w:val="24"/>
        </w:rPr>
        <w:t xml:space="preserve"> conduct further enquiries and/or assess whether such payment methods were legitimate</w:t>
      </w:r>
      <w:r w:rsidR="00777829">
        <w:rPr>
          <w:rFonts w:ascii="Cambria" w:hAnsi="Cambria"/>
          <w:color w:val="000000" w:themeColor="text1"/>
          <w:sz w:val="24"/>
          <w:szCs w:val="24"/>
        </w:rPr>
        <w:t xml:space="preserve">. </w:t>
      </w:r>
      <w:r w:rsidR="00494966">
        <w:rPr>
          <w:rFonts w:ascii="Cambria" w:hAnsi="Cambria"/>
          <w:color w:val="000000" w:themeColor="text1"/>
          <w:sz w:val="24"/>
          <w:szCs w:val="24"/>
        </w:rPr>
        <w:t xml:space="preserve">TC Capital submitted that there was no basis to conduct rigorous due diligence on the third party payments as it was a common practice for </w:t>
      </w:r>
      <w:r w:rsidR="009075A9">
        <w:rPr>
          <w:rFonts w:ascii="Cambria" w:hAnsi="Cambria"/>
          <w:color w:val="000000" w:themeColor="text1"/>
          <w:sz w:val="24"/>
          <w:szCs w:val="24"/>
        </w:rPr>
        <w:t xml:space="preserve">a </w:t>
      </w:r>
      <w:r w:rsidR="00494966">
        <w:rPr>
          <w:rFonts w:ascii="Cambria" w:hAnsi="Cambria"/>
          <w:color w:val="000000" w:themeColor="text1"/>
          <w:sz w:val="24"/>
          <w:szCs w:val="24"/>
        </w:rPr>
        <w:t xml:space="preserve">Philippines business to use third party payment agents. </w:t>
      </w:r>
      <w:r w:rsidR="009075A9">
        <w:rPr>
          <w:rFonts w:ascii="Cambria" w:hAnsi="Cambria"/>
          <w:color w:val="000000" w:themeColor="text1"/>
          <w:sz w:val="24"/>
          <w:szCs w:val="24"/>
        </w:rPr>
        <w:t xml:space="preserve">There was however no evidence that this was the reason for the decision </w:t>
      </w:r>
      <w:r w:rsidR="000C67D8">
        <w:rPr>
          <w:rFonts w:ascii="Cambria" w:hAnsi="Cambria"/>
          <w:color w:val="000000" w:themeColor="text1"/>
          <w:sz w:val="24"/>
          <w:szCs w:val="24"/>
        </w:rPr>
        <w:t xml:space="preserve">not </w:t>
      </w:r>
      <w:r w:rsidR="009075A9">
        <w:rPr>
          <w:rFonts w:ascii="Cambria" w:hAnsi="Cambria"/>
          <w:color w:val="000000" w:themeColor="text1"/>
          <w:sz w:val="24"/>
          <w:szCs w:val="24"/>
        </w:rPr>
        <w:t xml:space="preserve">to </w:t>
      </w:r>
      <w:r w:rsidR="000C67D8">
        <w:rPr>
          <w:rFonts w:ascii="Cambria" w:hAnsi="Cambria"/>
          <w:color w:val="000000" w:themeColor="text1"/>
          <w:sz w:val="24"/>
          <w:szCs w:val="24"/>
        </w:rPr>
        <w:t>conduct due diligence on the third party payments at the time.</w:t>
      </w:r>
    </w:p>
    <w:p w:rsidR="00D27ACD" w:rsidRDefault="00BA191F" w:rsidP="0030561C">
      <w:pPr>
        <w:jc w:val="both"/>
        <w:rPr>
          <w:rFonts w:ascii="Cambria" w:hAnsi="Cambria"/>
          <w:b/>
          <w:color w:val="000000" w:themeColor="text1"/>
          <w:sz w:val="24"/>
          <w:szCs w:val="24"/>
        </w:rPr>
      </w:pPr>
      <w:r w:rsidRPr="00BA191F">
        <w:rPr>
          <w:rFonts w:ascii="Cambria" w:hAnsi="Cambria"/>
          <w:b/>
          <w:color w:val="000000" w:themeColor="text1"/>
          <w:sz w:val="24"/>
          <w:szCs w:val="24"/>
        </w:rPr>
        <w:t xml:space="preserve">Breach of </w:t>
      </w:r>
      <w:r w:rsidR="000C67D8">
        <w:rPr>
          <w:rFonts w:ascii="Cambria" w:hAnsi="Cambria"/>
          <w:b/>
          <w:color w:val="000000" w:themeColor="text1"/>
          <w:sz w:val="24"/>
          <w:szCs w:val="24"/>
        </w:rPr>
        <w:t xml:space="preserve">SFC </w:t>
      </w:r>
      <w:r w:rsidR="002A7302">
        <w:rPr>
          <w:rFonts w:ascii="Cambria" w:hAnsi="Cambria"/>
          <w:b/>
          <w:color w:val="000000" w:themeColor="text1"/>
          <w:sz w:val="24"/>
          <w:szCs w:val="24"/>
        </w:rPr>
        <w:t>Code of Conduct</w:t>
      </w:r>
      <w:r w:rsidR="000C67D8">
        <w:rPr>
          <w:rFonts w:ascii="Cambria" w:hAnsi="Cambria"/>
          <w:b/>
          <w:color w:val="000000" w:themeColor="text1"/>
          <w:sz w:val="24"/>
          <w:szCs w:val="24"/>
        </w:rPr>
        <w:t xml:space="preserve"> Sponsor Obligations </w:t>
      </w:r>
    </w:p>
    <w:p w:rsidR="00FE16BC" w:rsidRDefault="00E46056" w:rsidP="006D3943">
      <w:pPr>
        <w:jc w:val="both"/>
        <w:rPr>
          <w:rFonts w:ascii="Cambria" w:hAnsi="Cambria"/>
          <w:color w:val="000000" w:themeColor="text1"/>
          <w:sz w:val="24"/>
          <w:szCs w:val="24"/>
        </w:rPr>
      </w:pPr>
      <w:r>
        <w:rPr>
          <w:rFonts w:ascii="Cambria" w:hAnsi="Cambria"/>
          <w:color w:val="000000" w:themeColor="text1"/>
          <w:sz w:val="24"/>
          <w:szCs w:val="24"/>
        </w:rPr>
        <w:t>TC Capital failed to conduct all reasonable due diligence and exercise professional</w:t>
      </w:r>
      <w:r w:rsidR="000C67D8">
        <w:rPr>
          <w:rFonts w:ascii="Cambria" w:hAnsi="Cambria"/>
          <w:color w:val="000000" w:themeColor="text1"/>
          <w:sz w:val="24"/>
          <w:szCs w:val="24"/>
        </w:rPr>
        <w:t xml:space="preserve"> sceptici</w:t>
      </w:r>
      <w:r>
        <w:rPr>
          <w:rFonts w:ascii="Cambria" w:hAnsi="Cambria"/>
          <w:color w:val="000000" w:themeColor="text1"/>
          <w:sz w:val="24"/>
          <w:szCs w:val="24"/>
        </w:rPr>
        <w:t>sm when conducting due diligence work</w:t>
      </w:r>
      <w:r w:rsidR="000C67D8">
        <w:rPr>
          <w:rFonts w:ascii="Cambria" w:hAnsi="Cambria"/>
          <w:color w:val="000000" w:themeColor="text1"/>
          <w:sz w:val="24"/>
          <w:szCs w:val="24"/>
        </w:rPr>
        <w:t xml:space="preserve"> on China Candy</w:t>
      </w:r>
      <w:r>
        <w:rPr>
          <w:rFonts w:ascii="Cambria" w:hAnsi="Cambria"/>
          <w:color w:val="000000" w:themeColor="text1"/>
          <w:sz w:val="24"/>
          <w:szCs w:val="24"/>
        </w:rPr>
        <w:t>. TC Capital</w:t>
      </w:r>
      <w:r w:rsidR="000C67D8">
        <w:rPr>
          <w:rFonts w:ascii="Cambria" w:hAnsi="Cambria"/>
          <w:color w:val="000000" w:themeColor="text1"/>
          <w:sz w:val="24"/>
          <w:szCs w:val="24"/>
        </w:rPr>
        <w:t>’s failure to conduct proper due diligence in relation</w:t>
      </w:r>
      <w:r>
        <w:rPr>
          <w:rFonts w:ascii="Cambria" w:hAnsi="Cambria"/>
          <w:color w:val="000000" w:themeColor="text1"/>
          <w:sz w:val="24"/>
          <w:szCs w:val="24"/>
        </w:rPr>
        <w:t xml:space="preserve"> </w:t>
      </w:r>
      <w:r w:rsidR="000C67D8">
        <w:rPr>
          <w:rFonts w:ascii="Cambria" w:hAnsi="Cambria"/>
          <w:color w:val="000000" w:themeColor="text1"/>
          <w:sz w:val="24"/>
          <w:szCs w:val="24"/>
        </w:rPr>
        <w:t xml:space="preserve">to the third party payments meant that it </w:t>
      </w:r>
      <w:r>
        <w:rPr>
          <w:rFonts w:ascii="Cambria" w:hAnsi="Cambria"/>
          <w:color w:val="000000" w:themeColor="text1"/>
          <w:sz w:val="24"/>
          <w:szCs w:val="24"/>
        </w:rPr>
        <w:t xml:space="preserve">was unable to properly assess whether </w:t>
      </w:r>
      <w:r w:rsidR="006D3943" w:rsidRPr="006D3943">
        <w:rPr>
          <w:rFonts w:ascii="Cambria" w:hAnsi="Cambria"/>
          <w:color w:val="000000" w:themeColor="text1"/>
          <w:sz w:val="24"/>
          <w:szCs w:val="24"/>
        </w:rPr>
        <w:t>the use of third party payers by two top customers was material information that should b</w:t>
      </w:r>
      <w:r w:rsidR="000C67D8">
        <w:rPr>
          <w:rFonts w:ascii="Cambria" w:hAnsi="Cambria"/>
          <w:color w:val="000000" w:themeColor="text1"/>
          <w:sz w:val="24"/>
          <w:szCs w:val="24"/>
        </w:rPr>
        <w:t>e disclosed in the China Candy</w:t>
      </w:r>
      <w:r w:rsidR="006D3943" w:rsidRPr="006D3943">
        <w:rPr>
          <w:rFonts w:ascii="Cambria" w:hAnsi="Cambria"/>
          <w:color w:val="000000" w:themeColor="text1"/>
          <w:sz w:val="24"/>
          <w:szCs w:val="24"/>
        </w:rPr>
        <w:t xml:space="preserve"> prospectus</w:t>
      </w:r>
      <w:r w:rsidR="006D3943">
        <w:rPr>
          <w:rFonts w:ascii="Cambria" w:hAnsi="Cambria"/>
          <w:color w:val="000000" w:themeColor="text1"/>
          <w:sz w:val="24"/>
          <w:szCs w:val="24"/>
        </w:rPr>
        <w:t xml:space="preserve">. TC Capital thus breached General Principle 2, </w:t>
      </w:r>
      <w:r w:rsidR="005F799D">
        <w:rPr>
          <w:rFonts w:ascii="Cambria" w:hAnsi="Cambria"/>
          <w:color w:val="000000" w:themeColor="text1"/>
          <w:sz w:val="24"/>
          <w:szCs w:val="24"/>
        </w:rPr>
        <w:t>Paragraph</w:t>
      </w:r>
      <w:r w:rsidR="00A8349E">
        <w:rPr>
          <w:rFonts w:ascii="Cambria" w:hAnsi="Cambria"/>
          <w:color w:val="000000" w:themeColor="text1"/>
          <w:sz w:val="24"/>
          <w:szCs w:val="24"/>
        </w:rPr>
        <w:t>s</w:t>
      </w:r>
      <w:r w:rsidR="005F799D">
        <w:rPr>
          <w:rFonts w:ascii="Cambria" w:hAnsi="Cambria"/>
          <w:color w:val="000000" w:themeColor="text1"/>
          <w:sz w:val="24"/>
          <w:szCs w:val="24"/>
        </w:rPr>
        <w:t xml:space="preserve"> 17.2(b), </w:t>
      </w:r>
      <w:r w:rsidR="007E3D06" w:rsidRPr="007E3D06">
        <w:rPr>
          <w:rFonts w:ascii="Cambria" w:hAnsi="Cambria"/>
          <w:color w:val="000000" w:themeColor="text1"/>
          <w:sz w:val="24"/>
          <w:szCs w:val="24"/>
        </w:rPr>
        <w:t>17.4(a)</w:t>
      </w:r>
      <w:r w:rsidR="007E3D06">
        <w:rPr>
          <w:rFonts w:ascii="Cambria" w:hAnsi="Cambria"/>
          <w:color w:val="000000" w:themeColor="text1"/>
          <w:sz w:val="24"/>
          <w:szCs w:val="24"/>
        </w:rPr>
        <w:t xml:space="preserve">, </w:t>
      </w:r>
      <w:r w:rsidR="005F799D">
        <w:rPr>
          <w:rFonts w:ascii="Cambria" w:hAnsi="Cambria"/>
          <w:color w:val="000000" w:themeColor="text1"/>
          <w:sz w:val="24"/>
          <w:szCs w:val="24"/>
        </w:rPr>
        <w:t xml:space="preserve">and </w:t>
      </w:r>
      <w:r w:rsidR="007E3D06" w:rsidRPr="007E3D06">
        <w:rPr>
          <w:rFonts w:ascii="Cambria" w:hAnsi="Cambria"/>
          <w:color w:val="000000" w:themeColor="text1"/>
          <w:sz w:val="24"/>
          <w:szCs w:val="24"/>
        </w:rPr>
        <w:t>Paragraph</w:t>
      </w:r>
      <w:r w:rsidR="005F799D">
        <w:rPr>
          <w:rFonts w:ascii="Cambria" w:hAnsi="Cambria"/>
          <w:color w:val="000000" w:themeColor="text1"/>
          <w:sz w:val="24"/>
          <w:szCs w:val="24"/>
        </w:rPr>
        <w:t>s</w:t>
      </w:r>
      <w:r w:rsidR="007E3D06" w:rsidRPr="007E3D06">
        <w:rPr>
          <w:rFonts w:ascii="Cambria" w:hAnsi="Cambria"/>
          <w:color w:val="000000" w:themeColor="text1"/>
          <w:sz w:val="24"/>
          <w:szCs w:val="24"/>
        </w:rPr>
        <w:t xml:space="preserve"> 17.6(a)</w:t>
      </w:r>
      <w:r w:rsidR="007E3D06">
        <w:rPr>
          <w:rFonts w:ascii="Cambria" w:hAnsi="Cambria"/>
          <w:color w:val="000000" w:themeColor="text1"/>
          <w:sz w:val="24"/>
          <w:szCs w:val="24"/>
        </w:rPr>
        <w:t xml:space="preserve">, </w:t>
      </w:r>
      <w:r w:rsidR="007E3D06" w:rsidRPr="007E3D06">
        <w:rPr>
          <w:rFonts w:ascii="Cambria" w:hAnsi="Cambria"/>
          <w:color w:val="000000" w:themeColor="text1"/>
          <w:sz w:val="24"/>
          <w:szCs w:val="24"/>
        </w:rPr>
        <w:t>(b)</w:t>
      </w:r>
      <w:r w:rsidR="007E3D06">
        <w:rPr>
          <w:rFonts w:ascii="Cambria" w:hAnsi="Cambria"/>
          <w:color w:val="000000" w:themeColor="text1"/>
          <w:sz w:val="24"/>
          <w:szCs w:val="24"/>
        </w:rPr>
        <w:t>, and (c)</w:t>
      </w:r>
      <w:r w:rsidR="000C67D8">
        <w:rPr>
          <w:rFonts w:ascii="Cambria" w:hAnsi="Cambria"/>
          <w:color w:val="000000" w:themeColor="text1"/>
          <w:sz w:val="24"/>
          <w:szCs w:val="24"/>
        </w:rPr>
        <w:t xml:space="preserve"> of the SFC’s </w:t>
      </w:r>
      <w:hyperlink r:id="rId12" w:history="1">
        <w:r w:rsidR="000C67D8" w:rsidRPr="00822A21">
          <w:rPr>
            <w:rStyle w:val="a4"/>
            <w:rFonts w:ascii="Cambria" w:hAnsi="Cambria"/>
            <w:sz w:val="24"/>
            <w:szCs w:val="24"/>
          </w:rPr>
          <w:t>Code of Conduct for Persons Licensed by or Registered with the Securities and Futures Commission</w:t>
        </w:r>
      </w:hyperlink>
      <w:r w:rsidR="00822A21">
        <w:rPr>
          <w:rStyle w:val="a7"/>
          <w:rFonts w:ascii="Cambria" w:hAnsi="Cambria"/>
          <w:color w:val="000000" w:themeColor="text1"/>
          <w:sz w:val="24"/>
          <w:szCs w:val="24"/>
        </w:rPr>
        <w:footnoteReference w:id="1"/>
      </w:r>
      <w:r w:rsidR="00822A21">
        <w:rPr>
          <w:rFonts w:ascii="Cambria" w:hAnsi="Cambria"/>
          <w:color w:val="000000" w:themeColor="text1"/>
          <w:sz w:val="24"/>
          <w:szCs w:val="24"/>
        </w:rPr>
        <w:t xml:space="preserve"> (</w:t>
      </w:r>
      <w:r w:rsidR="00822A21" w:rsidRPr="00822A21">
        <w:rPr>
          <w:rFonts w:ascii="Cambria" w:hAnsi="Cambria"/>
          <w:b/>
          <w:color w:val="000000" w:themeColor="text1"/>
          <w:sz w:val="24"/>
          <w:szCs w:val="24"/>
        </w:rPr>
        <w:t>SFC</w:t>
      </w:r>
      <w:r w:rsidR="00822A21">
        <w:rPr>
          <w:rFonts w:ascii="Cambria" w:hAnsi="Cambria"/>
          <w:color w:val="000000" w:themeColor="text1"/>
          <w:sz w:val="24"/>
          <w:szCs w:val="24"/>
        </w:rPr>
        <w:t xml:space="preserve"> </w:t>
      </w:r>
      <w:r w:rsidR="00822A21" w:rsidRPr="00276D41">
        <w:rPr>
          <w:rFonts w:ascii="Cambria" w:hAnsi="Cambria"/>
          <w:b/>
          <w:color w:val="000000" w:themeColor="text1"/>
          <w:sz w:val="24"/>
          <w:szCs w:val="24"/>
        </w:rPr>
        <w:t>Code of Conduct</w:t>
      </w:r>
      <w:r w:rsidR="00822A21">
        <w:rPr>
          <w:rFonts w:ascii="Cambria" w:hAnsi="Cambria"/>
          <w:color w:val="000000" w:themeColor="text1"/>
          <w:sz w:val="24"/>
          <w:szCs w:val="24"/>
        </w:rPr>
        <w:t>)</w:t>
      </w:r>
      <w:r w:rsidR="00A8349E">
        <w:rPr>
          <w:rFonts w:ascii="Cambria" w:hAnsi="Cambria"/>
          <w:color w:val="000000" w:themeColor="text1"/>
          <w:sz w:val="24"/>
          <w:szCs w:val="24"/>
        </w:rPr>
        <w:t xml:space="preserve">. </w:t>
      </w:r>
    </w:p>
    <w:p w:rsidR="00BA191F" w:rsidRPr="00BA191F" w:rsidRDefault="00BA191F" w:rsidP="0030561C">
      <w:pPr>
        <w:jc w:val="both"/>
        <w:rPr>
          <w:rFonts w:ascii="Cambria" w:hAnsi="Cambria"/>
          <w:b/>
          <w:color w:val="000000" w:themeColor="text1"/>
          <w:sz w:val="24"/>
          <w:szCs w:val="24"/>
        </w:rPr>
      </w:pPr>
      <w:r>
        <w:rPr>
          <w:rFonts w:ascii="Cambria" w:hAnsi="Cambria"/>
          <w:b/>
          <w:color w:val="000000" w:themeColor="text1"/>
          <w:sz w:val="24"/>
          <w:szCs w:val="24"/>
        </w:rPr>
        <w:t xml:space="preserve">Failure to Maintain Proper Records </w:t>
      </w:r>
      <w:r w:rsidR="009105DC">
        <w:rPr>
          <w:rFonts w:ascii="Cambria" w:hAnsi="Cambria"/>
          <w:b/>
          <w:color w:val="000000" w:themeColor="text1"/>
          <w:sz w:val="24"/>
          <w:szCs w:val="24"/>
        </w:rPr>
        <w:t>of Sponsor Due Diligence Work</w:t>
      </w:r>
    </w:p>
    <w:p w:rsidR="006E6CC1" w:rsidRPr="006E6CC1" w:rsidRDefault="00360E12" w:rsidP="006E6CC1">
      <w:pPr>
        <w:jc w:val="both"/>
        <w:rPr>
          <w:rFonts w:ascii="Cambria" w:hAnsi="Cambria"/>
          <w:color w:val="000000" w:themeColor="text1"/>
          <w:sz w:val="24"/>
          <w:szCs w:val="24"/>
        </w:rPr>
      </w:pPr>
      <w:r>
        <w:rPr>
          <w:rFonts w:ascii="Cambria" w:hAnsi="Cambria"/>
          <w:color w:val="000000" w:themeColor="text1"/>
          <w:sz w:val="24"/>
          <w:szCs w:val="24"/>
        </w:rPr>
        <w:t xml:space="preserve">A sponsor is required to maintain proper and accurate records and </w:t>
      </w:r>
      <w:r w:rsidR="00D75B29">
        <w:rPr>
          <w:rFonts w:ascii="Cambria" w:hAnsi="Cambria"/>
          <w:color w:val="000000" w:themeColor="text1"/>
          <w:sz w:val="24"/>
          <w:szCs w:val="24"/>
        </w:rPr>
        <w:t xml:space="preserve">to </w:t>
      </w:r>
      <w:r>
        <w:rPr>
          <w:rFonts w:ascii="Cambria" w:hAnsi="Cambria"/>
          <w:color w:val="000000" w:themeColor="text1"/>
          <w:sz w:val="24"/>
          <w:szCs w:val="24"/>
        </w:rPr>
        <w:t xml:space="preserve">be able to provide a proper trail of work done upon request by the SFC. </w:t>
      </w:r>
      <w:r w:rsidR="00783993">
        <w:rPr>
          <w:rFonts w:ascii="Cambria" w:hAnsi="Cambria"/>
          <w:color w:val="000000" w:themeColor="text1"/>
          <w:sz w:val="24"/>
          <w:szCs w:val="24"/>
        </w:rPr>
        <w:t xml:space="preserve">Records </w:t>
      </w:r>
      <w:r w:rsidR="00D75B29">
        <w:rPr>
          <w:rFonts w:ascii="Cambria" w:hAnsi="Cambria"/>
          <w:color w:val="000000" w:themeColor="text1"/>
          <w:sz w:val="24"/>
          <w:szCs w:val="24"/>
        </w:rPr>
        <w:t xml:space="preserve">need to include the results of the sponsor’s due diligence and its assessment of those results. The sponsor must be able to demonstrate that it has turned its mind to the question of what enquiries are necessary and reasonably practicable in the particular context and circumstances. </w:t>
      </w:r>
      <w:r w:rsidR="006E6CC1">
        <w:rPr>
          <w:rFonts w:ascii="Cambria" w:hAnsi="Cambria"/>
          <w:color w:val="000000" w:themeColor="text1"/>
          <w:sz w:val="24"/>
          <w:szCs w:val="24"/>
        </w:rPr>
        <w:t xml:space="preserve">Even where </w:t>
      </w:r>
      <w:r w:rsidR="00D75B29">
        <w:rPr>
          <w:rFonts w:ascii="Cambria" w:hAnsi="Cambria"/>
          <w:color w:val="000000" w:themeColor="text1"/>
          <w:sz w:val="24"/>
          <w:szCs w:val="24"/>
        </w:rPr>
        <w:t>the sponsor concludes that a matter is not sufficiently material to warrant disclosure in the prospectus</w:t>
      </w:r>
      <w:r w:rsidR="006E6CC1">
        <w:rPr>
          <w:rFonts w:ascii="Cambria" w:hAnsi="Cambria"/>
          <w:color w:val="000000" w:themeColor="text1"/>
          <w:sz w:val="24"/>
          <w:szCs w:val="24"/>
        </w:rPr>
        <w:t xml:space="preserve">, </w:t>
      </w:r>
      <w:r w:rsidR="00D75B29">
        <w:rPr>
          <w:rFonts w:ascii="Cambria" w:hAnsi="Cambria"/>
          <w:color w:val="000000" w:themeColor="text1"/>
          <w:sz w:val="24"/>
          <w:szCs w:val="24"/>
        </w:rPr>
        <w:t xml:space="preserve">it </w:t>
      </w:r>
      <w:r w:rsidR="006E6CC1" w:rsidRPr="006E6CC1">
        <w:rPr>
          <w:rFonts w:ascii="Cambria" w:hAnsi="Cambria"/>
          <w:color w:val="000000" w:themeColor="text1"/>
          <w:sz w:val="24"/>
          <w:szCs w:val="24"/>
        </w:rPr>
        <w:t xml:space="preserve">is expected to maintain documentation showing how </w:t>
      </w:r>
      <w:r w:rsidR="00D75B29">
        <w:rPr>
          <w:rFonts w:ascii="Cambria" w:hAnsi="Cambria"/>
          <w:color w:val="000000" w:themeColor="text1"/>
          <w:sz w:val="24"/>
          <w:szCs w:val="24"/>
        </w:rPr>
        <w:t xml:space="preserve">it reached that </w:t>
      </w:r>
      <w:r w:rsidR="006E6CC1" w:rsidRPr="006E6CC1">
        <w:rPr>
          <w:rFonts w:ascii="Cambria" w:hAnsi="Cambria"/>
          <w:color w:val="000000" w:themeColor="text1"/>
          <w:sz w:val="24"/>
          <w:szCs w:val="24"/>
        </w:rPr>
        <w:t>conclusion</w:t>
      </w:r>
      <w:r w:rsidR="006E6CC1">
        <w:rPr>
          <w:rFonts w:ascii="Cambria" w:hAnsi="Cambria"/>
          <w:color w:val="000000" w:themeColor="text1"/>
          <w:sz w:val="24"/>
          <w:szCs w:val="24"/>
        </w:rPr>
        <w:t xml:space="preserve">. The SFC’s </w:t>
      </w:r>
      <w:hyperlink r:id="rId13" w:history="1">
        <w:r w:rsidR="006E6CC1" w:rsidRPr="006E6CC1">
          <w:rPr>
            <w:rStyle w:val="a4"/>
            <w:rFonts w:ascii="Cambria" w:hAnsi="Cambria"/>
            <w:sz w:val="24"/>
            <w:szCs w:val="24"/>
          </w:rPr>
          <w:t>Report on Sponsor Theme Inspection Findings</w:t>
        </w:r>
      </w:hyperlink>
      <w:r w:rsidR="00822A21">
        <w:rPr>
          <w:rStyle w:val="a7"/>
          <w:rFonts w:ascii="Cambria" w:hAnsi="Cambria"/>
          <w:color w:val="0563C1" w:themeColor="hyperlink"/>
          <w:sz w:val="24"/>
          <w:szCs w:val="24"/>
          <w:u w:val="single"/>
        </w:rPr>
        <w:footnoteReference w:id="2"/>
      </w:r>
      <w:r w:rsidR="006E6CC1">
        <w:rPr>
          <w:rFonts w:ascii="Cambria" w:hAnsi="Cambria"/>
          <w:color w:val="000000" w:themeColor="text1"/>
          <w:sz w:val="24"/>
          <w:szCs w:val="24"/>
        </w:rPr>
        <w:t xml:space="preserve"> </w:t>
      </w:r>
      <w:r w:rsidR="006E6CC1">
        <w:rPr>
          <w:rFonts w:ascii="Cambria" w:hAnsi="Cambria"/>
          <w:color w:val="000000" w:themeColor="text1"/>
          <w:sz w:val="24"/>
          <w:szCs w:val="24"/>
        </w:rPr>
        <w:lastRenderedPageBreak/>
        <w:t xml:space="preserve">(March 2011) provides guidance on sponsors’ obligations in the listing application process. </w:t>
      </w:r>
      <w:r w:rsidR="006550D6">
        <w:rPr>
          <w:rFonts w:ascii="Cambria" w:hAnsi="Cambria"/>
          <w:color w:val="000000" w:themeColor="text1"/>
          <w:sz w:val="24"/>
          <w:szCs w:val="24"/>
        </w:rPr>
        <w:t>Paragraphs 59 to 63 of that report cover sponsors’ duty to maintain proper records of due diligence.</w:t>
      </w:r>
    </w:p>
    <w:p w:rsidR="00D27ACD" w:rsidRDefault="006550D6" w:rsidP="006E6CC1">
      <w:pPr>
        <w:jc w:val="both"/>
        <w:rPr>
          <w:rFonts w:ascii="Cambria" w:hAnsi="Cambria"/>
          <w:color w:val="000000" w:themeColor="text1"/>
          <w:sz w:val="24"/>
          <w:szCs w:val="24"/>
        </w:rPr>
      </w:pPr>
      <w:r>
        <w:rPr>
          <w:rFonts w:ascii="Cambria" w:hAnsi="Cambria"/>
          <w:color w:val="000000" w:themeColor="text1"/>
          <w:sz w:val="24"/>
          <w:szCs w:val="24"/>
        </w:rPr>
        <w:t>TC Capital was found to have</w:t>
      </w:r>
      <w:r w:rsidR="00B4108F">
        <w:rPr>
          <w:rFonts w:ascii="Cambria" w:hAnsi="Cambria"/>
          <w:color w:val="000000" w:themeColor="text1"/>
          <w:sz w:val="24"/>
          <w:szCs w:val="24"/>
        </w:rPr>
        <w:t xml:space="preserve"> failed to maintain </w:t>
      </w:r>
      <w:r w:rsidR="00D02582">
        <w:rPr>
          <w:rFonts w:ascii="Cambria" w:hAnsi="Cambria"/>
          <w:color w:val="000000" w:themeColor="text1"/>
          <w:sz w:val="24"/>
          <w:szCs w:val="24"/>
        </w:rPr>
        <w:t>proper records of the due di</w:t>
      </w:r>
      <w:r>
        <w:rPr>
          <w:rFonts w:ascii="Cambria" w:hAnsi="Cambria"/>
          <w:color w:val="000000" w:themeColor="text1"/>
          <w:sz w:val="24"/>
          <w:szCs w:val="24"/>
        </w:rPr>
        <w:t>ligence work which it claimed to have</w:t>
      </w:r>
      <w:r w:rsidR="00D02582">
        <w:rPr>
          <w:rFonts w:ascii="Cambria" w:hAnsi="Cambria"/>
          <w:color w:val="000000" w:themeColor="text1"/>
          <w:sz w:val="24"/>
          <w:szCs w:val="24"/>
        </w:rPr>
        <w:t xml:space="preserve"> performed. </w:t>
      </w:r>
      <w:r w:rsidR="001176E7">
        <w:rPr>
          <w:rFonts w:ascii="Cambria" w:hAnsi="Cambria"/>
          <w:color w:val="000000" w:themeColor="text1"/>
          <w:sz w:val="24"/>
          <w:szCs w:val="24"/>
        </w:rPr>
        <w:t xml:space="preserve">There were no records showing </w:t>
      </w:r>
      <w:r w:rsidR="00E8360C">
        <w:rPr>
          <w:rFonts w:ascii="Cambria" w:hAnsi="Cambria"/>
          <w:color w:val="000000" w:themeColor="text1"/>
          <w:sz w:val="24"/>
          <w:szCs w:val="24"/>
        </w:rPr>
        <w:t xml:space="preserve">that TC Capital had enquired about the third party payments </w:t>
      </w:r>
      <w:r w:rsidR="009B307B">
        <w:rPr>
          <w:rFonts w:ascii="Cambria" w:hAnsi="Cambria"/>
          <w:color w:val="000000" w:themeColor="text1"/>
          <w:sz w:val="24"/>
          <w:szCs w:val="24"/>
        </w:rPr>
        <w:t xml:space="preserve">and/or how </w:t>
      </w:r>
      <w:r>
        <w:rPr>
          <w:rFonts w:ascii="Cambria" w:hAnsi="Cambria"/>
          <w:color w:val="000000" w:themeColor="text1"/>
          <w:sz w:val="24"/>
          <w:szCs w:val="24"/>
        </w:rPr>
        <w:t xml:space="preserve">it reached </w:t>
      </w:r>
      <w:r w:rsidR="009B307B">
        <w:rPr>
          <w:rFonts w:ascii="Cambria" w:hAnsi="Cambria"/>
          <w:color w:val="000000" w:themeColor="text1"/>
          <w:sz w:val="24"/>
          <w:szCs w:val="24"/>
        </w:rPr>
        <w:t>the conclusion that the third party payments were immaterial to warrant</w:t>
      </w:r>
      <w:r>
        <w:rPr>
          <w:rFonts w:ascii="Cambria" w:hAnsi="Cambria"/>
          <w:color w:val="000000" w:themeColor="text1"/>
          <w:sz w:val="24"/>
          <w:szCs w:val="24"/>
        </w:rPr>
        <w:t xml:space="preserve"> disclosure in the prospectus</w:t>
      </w:r>
      <w:r w:rsidR="009B307B">
        <w:rPr>
          <w:rFonts w:ascii="Cambria" w:hAnsi="Cambria"/>
          <w:color w:val="000000" w:themeColor="text1"/>
          <w:sz w:val="24"/>
          <w:szCs w:val="24"/>
        </w:rPr>
        <w:t xml:space="preserve">. </w:t>
      </w:r>
      <w:r w:rsidR="00167243">
        <w:rPr>
          <w:rFonts w:ascii="Cambria" w:hAnsi="Cambria"/>
          <w:color w:val="000000" w:themeColor="text1"/>
          <w:sz w:val="24"/>
          <w:szCs w:val="24"/>
        </w:rPr>
        <w:t xml:space="preserve">There was </w:t>
      </w:r>
      <w:r w:rsidR="00E3011B">
        <w:rPr>
          <w:rFonts w:ascii="Cambria" w:hAnsi="Cambria"/>
          <w:color w:val="000000" w:themeColor="text1"/>
          <w:sz w:val="24"/>
          <w:szCs w:val="24"/>
        </w:rPr>
        <w:t>also inconsistent information as to who owned the Customers</w:t>
      </w:r>
      <w:r>
        <w:rPr>
          <w:rFonts w:ascii="Cambria" w:hAnsi="Cambria"/>
          <w:color w:val="000000" w:themeColor="text1"/>
          <w:sz w:val="24"/>
          <w:szCs w:val="24"/>
        </w:rPr>
        <w:t>. However, despite some Transaction Team members being aware of the discrepancy</w:t>
      </w:r>
      <w:r w:rsidR="00E3011B">
        <w:rPr>
          <w:rFonts w:ascii="Cambria" w:hAnsi="Cambria"/>
          <w:color w:val="000000" w:themeColor="text1"/>
          <w:sz w:val="24"/>
          <w:szCs w:val="24"/>
        </w:rPr>
        <w:t xml:space="preserve">, </w:t>
      </w:r>
      <w:r w:rsidR="006901DB">
        <w:rPr>
          <w:rFonts w:ascii="Cambria" w:hAnsi="Cambria"/>
          <w:color w:val="000000" w:themeColor="text1"/>
          <w:sz w:val="24"/>
          <w:szCs w:val="24"/>
        </w:rPr>
        <w:t xml:space="preserve">there were no records showing that TC Capital had </w:t>
      </w:r>
      <w:r>
        <w:rPr>
          <w:rFonts w:ascii="Cambria" w:hAnsi="Cambria"/>
          <w:color w:val="000000" w:themeColor="text1"/>
          <w:sz w:val="24"/>
          <w:szCs w:val="24"/>
        </w:rPr>
        <w:t>considered, and concluded that it was not concerned</w:t>
      </w:r>
      <w:r w:rsidR="006901DB">
        <w:rPr>
          <w:rFonts w:ascii="Cambria" w:hAnsi="Cambria"/>
          <w:color w:val="000000" w:themeColor="text1"/>
          <w:sz w:val="24"/>
          <w:szCs w:val="24"/>
        </w:rPr>
        <w:t xml:space="preserve"> about</w:t>
      </w:r>
      <w:r>
        <w:rPr>
          <w:rFonts w:ascii="Cambria" w:hAnsi="Cambria"/>
          <w:color w:val="000000" w:themeColor="text1"/>
          <w:sz w:val="24"/>
          <w:szCs w:val="24"/>
        </w:rPr>
        <w:t>, the discrepancy</w:t>
      </w:r>
      <w:r w:rsidR="006901DB">
        <w:rPr>
          <w:rFonts w:ascii="Cambria" w:hAnsi="Cambria"/>
          <w:color w:val="000000" w:themeColor="text1"/>
          <w:sz w:val="24"/>
          <w:szCs w:val="24"/>
        </w:rPr>
        <w:t>.</w:t>
      </w:r>
    </w:p>
    <w:p w:rsidR="00276D41" w:rsidRDefault="00276D41" w:rsidP="006E6CC1">
      <w:pPr>
        <w:jc w:val="both"/>
        <w:rPr>
          <w:rFonts w:ascii="Cambria" w:hAnsi="Cambria"/>
          <w:color w:val="000000" w:themeColor="text1"/>
          <w:sz w:val="24"/>
          <w:szCs w:val="24"/>
        </w:rPr>
      </w:pPr>
      <w:r>
        <w:rPr>
          <w:rFonts w:ascii="Cambria" w:hAnsi="Cambria"/>
          <w:color w:val="000000" w:themeColor="text1"/>
          <w:sz w:val="24"/>
          <w:szCs w:val="24"/>
        </w:rPr>
        <w:t xml:space="preserve">TC Capital </w:t>
      </w:r>
      <w:r w:rsidR="00822A21">
        <w:rPr>
          <w:rFonts w:ascii="Cambria" w:hAnsi="Cambria"/>
          <w:color w:val="000000" w:themeColor="text1"/>
          <w:sz w:val="24"/>
          <w:szCs w:val="24"/>
        </w:rPr>
        <w:t xml:space="preserve">was found to have </w:t>
      </w:r>
      <w:r>
        <w:rPr>
          <w:rFonts w:ascii="Cambria" w:hAnsi="Cambria"/>
          <w:color w:val="000000" w:themeColor="text1"/>
          <w:sz w:val="24"/>
          <w:szCs w:val="24"/>
        </w:rPr>
        <w:t>breached General Principle 2</w:t>
      </w:r>
      <w:r w:rsidR="00720217">
        <w:rPr>
          <w:rFonts w:ascii="Cambria" w:hAnsi="Cambria"/>
          <w:color w:val="000000" w:themeColor="text1"/>
          <w:sz w:val="24"/>
          <w:szCs w:val="24"/>
        </w:rPr>
        <w:t xml:space="preserve">, </w:t>
      </w:r>
      <w:r w:rsidR="00C84CC6">
        <w:rPr>
          <w:rFonts w:ascii="Cambria" w:hAnsi="Cambria"/>
          <w:color w:val="000000" w:themeColor="text1"/>
          <w:sz w:val="24"/>
          <w:szCs w:val="24"/>
        </w:rPr>
        <w:t xml:space="preserve">General Principle 7, </w:t>
      </w:r>
      <w:r w:rsidR="00720217">
        <w:rPr>
          <w:rFonts w:ascii="Cambria" w:hAnsi="Cambria"/>
          <w:color w:val="000000" w:themeColor="text1"/>
          <w:sz w:val="24"/>
          <w:szCs w:val="24"/>
        </w:rPr>
        <w:t>and</w:t>
      </w:r>
      <w:r w:rsidR="0016747C">
        <w:rPr>
          <w:rFonts w:ascii="Cambria" w:hAnsi="Cambria"/>
          <w:color w:val="000000" w:themeColor="text1"/>
          <w:sz w:val="24"/>
          <w:szCs w:val="24"/>
        </w:rPr>
        <w:t xml:space="preserve"> Paragraphs </w:t>
      </w:r>
      <w:r w:rsidR="00C84CC6">
        <w:rPr>
          <w:rFonts w:ascii="Cambria" w:hAnsi="Cambria"/>
          <w:color w:val="000000" w:themeColor="text1"/>
          <w:sz w:val="24"/>
          <w:szCs w:val="24"/>
        </w:rPr>
        <w:t xml:space="preserve">12.1, </w:t>
      </w:r>
      <w:r w:rsidR="0016747C">
        <w:rPr>
          <w:rFonts w:ascii="Cambria" w:hAnsi="Cambria"/>
          <w:color w:val="000000" w:themeColor="text1"/>
          <w:sz w:val="24"/>
          <w:szCs w:val="24"/>
        </w:rPr>
        <w:t xml:space="preserve">17.2(e) </w:t>
      </w:r>
      <w:r w:rsidR="00720217">
        <w:rPr>
          <w:rFonts w:ascii="Cambria" w:hAnsi="Cambria"/>
          <w:color w:val="000000" w:themeColor="text1"/>
          <w:sz w:val="24"/>
          <w:szCs w:val="24"/>
        </w:rPr>
        <w:t xml:space="preserve">and </w:t>
      </w:r>
      <w:r w:rsidR="0016747C">
        <w:rPr>
          <w:rFonts w:ascii="Cambria" w:hAnsi="Cambria"/>
          <w:color w:val="000000" w:themeColor="text1"/>
          <w:sz w:val="24"/>
          <w:szCs w:val="24"/>
        </w:rPr>
        <w:t>17.10</w:t>
      </w:r>
      <w:r w:rsidR="00822A21">
        <w:rPr>
          <w:rFonts w:ascii="Cambria" w:hAnsi="Cambria"/>
          <w:color w:val="000000" w:themeColor="text1"/>
          <w:sz w:val="24"/>
          <w:szCs w:val="24"/>
        </w:rPr>
        <w:t xml:space="preserve"> of the SFC</w:t>
      </w:r>
      <w:r w:rsidR="00720217">
        <w:rPr>
          <w:rFonts w:ascii="Cambria" w:hAnsi="Cambria"/>
          <w:color w:val="000000" w:themeColor="text1"/>
          <w:sz w:val="24"/>
          <w:szCs w:val="24"/>
        </w:rPr>
        <w:t xml:space="preserve"> Code of Conduct.</w:t>
      </w:r>
      <w:r w:rsidR="0016747C">
        <w:rPr>
          <w:rFonts w:ascii="Cambria" w:hAnsi="Cambria"/>
          <w:color w:val="000000" w:themeColor="text1"/>
          <w:sz w:val="24"/>
          <w:szCs w:val="24"/>
        </w:rPr>
        <w:t xml:space="preserve"> </w:t>
      </w:r>
    </w:p>
    <w:p w:rsidR="00360E12" w:rsidRDefault="00822A21" w:rsidP="0030561C">
      <w:pPr>
        <w:jc w:val="both"/>
        <w:rPr>
          <w:rFonts w:ascii="Cambria" w:hAnsi="Cambria"/>
          <w:color w:val="000000" w:themeColor="text1"/>
          <w:sz w:val="24"/>
          <w:szCs w:val="24"/>
        </w:rPr>
      </w:pPr>
      <w:r>
        <w:rPr>
          <w:rFonts w:ascii="Cambria" w:hAnsi="Cambria"/>
          <w:color w:val="000000" w:themeColor="text1"/>
          <w:sz w:val="24"/>
          <w:szCs w:val="24"/>
        </w:rPr>
        <w:t>The SFC considered</w:t>
      </w:r>
      <w:r w:rsidR="007D1ECD">
        <w:rPr>
          <w:rFonts w:ascii="Cambria" w:hAnsi="Cambria"/>
          <w:color w:val="000000" w:themeColor="text1"/>
          <w:sz w:val="24"/>
          <w:szCs w:val="24"/>
        </w:rPr>
        <w:t xml:space="preserve"> </w:t>
      </w:r>
      <w:r w:rsidR="00E47E9A">
        <w:rPr>
          <w:rFonts w:ascii="Cambria" w:hAnsi="Cambria"/>
          <w:color w:val="000000" w:themeColor="text1"/>
          <w:sz w:val="24"/>
          <w:szCs w:val="24"/>
        </w:rPr>
        <w:t>TC Capital’s failures</w:t>
      </w:r>
      <w:r>
        <w:rPr>
          <w:rFonts w:ascii="Cambria" w:hAnsi="Cambria"/>
          <w:color w:val="000000" w:themeColor="text1"/>
          <w:sz w:val="24"/>
          <w:szCs w:val="24"/>
        </w:rPr>
        <w:t xml:space="preserve"> to be</w:t>
      </w:r>
      <w:r w:rsidR="00E47E9A">
        <w:rPr>
          <w:rFonts w:ascii="Cambria" w:hAnsi="Cambria"/>
          <w:color w:val="000000" w:themeColor="text1"/>
          <w:sz w:val="24"/>
          <w:szCs w:val="24"/>
        </w:rPr>
        <w:t xml:space="preserve"> attributable to </w:t>
      </w:r>
      <w:r w:rsidR="00C84CC6">
        <w:rPr>
          <w:rFonts w:ascii="Cambria" w:hAnsi="Cambria"/>
          <w:color w:val="000000" w:themeColor="text1"/>
          <w:sz w:val="24"/>
          <w:szCs w:val="24"/>
        </w:rPr>
        <w:t>Wu</w:t>
      </w:r>
      <w:r w:rsidR="00217959">
        <w:rPr>
          <w:rFonts w:ascii="Cambria" w:hAnsi="Cambria"/>
          <w:color w:val="000000" w:themeColor="text1"/>
          <w:sz w:val="24"/>
          <w:szCs w:val="24"/>
        </w:rPr>
        <w:t>,</w:t>
      </w:r>
      <w:r w:rsidR="00C84CC6">
        <w:rPr>
          <w:rFonts w:ascii="Cambria" w:hAnsi="Cambria"/>
          <w:color w:val="000000" w:themeColor="text1"/>
          <w:sz w:val="24"/>
          <w:szCs w:val="24"/>
        </w:rPr>
        <w:t xml:space="preserve"> </w:t>
      </w:r>
      <w:r w:rsidR="007D1ECD">
        <w:rPr>
          <w:rFonts w:ascii="Cambria" w:hAnsi="Cambria"/>
          <w:color w:val="000000" w:themeColor="text1"/>
          <w:sz w:val="24"/>
          <w:szCs w:val="24"/>
        </w:rPr>
        <w:t>who was</w:t>
      </w:r>
      <w:r w:rsidR="00C84CC6">
        <w:rPr>
          <w:rFonts w:ascii="Cambria" w:hAnsi="Cambria"/>
          <w:color w:val="000000" w:themeColor="text1"/>
          <w:sz w:val="24"/>
          <w:szCs w:val="24"/>
        </w:rPr>
        <w:t xml:space="preserve"> the </w:t>
      </w:r>
      <w:r w:rsidR="007D1ECD">
        <w:rPr>
          <w:rFonts w:ascii="Cambria" w:hAnsi="Cambria"/>
          <w:color w:val="000000" w:themeColor="text1"/>
          <w:sz w:val="24"/>
          <w:szCs w:val="24"/>
        </w:rPr>
        <w:t xml:space="preserve">sponsor </w:t>
      </w:r>
      <w:r>
        <w:rPr>
          <w:rFonts w:ascii="Cambria" w:hAnsi="Cambria"/>
          <w:color w:val="000000" w:themeColor="text1"/>
          <w:sz w:val="24"/>
          <w:szCs w:val="24"/>
        </w:rPr>
        <w:t>principal in charge of the listing a</w:t>
      </w:r>
      <w:r w:rsidR="00C84CC6">
        <w:rPr>
          <w:rFonts w:ascii="Cambria" w:hAnsi="Cambria"/>
          <w:color w:val="000000" w:themeColor="text1"/>
          <w:sz w:val="24"/>
          <w:szCs w:val="24"/>
        </w:rPr>
        <w:t xml:space="preserve">pplication and </w:t>
      </w:r>
      <w:r>
        <w:rPr>
          <w:rFonts w:ascii="Cambria" w:hAnsi="Cambria"/>
          <w:color w:val="000000" w:themeColor="text1"/>
          <w:sz w:val="24"/>
          <w:szCs w:val="24"/>
        </w:rPr>
        <w:t xml:space="preserve">supervisor </w:t>
      </w:r>
      <w:r w:rsidR="00D72300">
        <w:rPr>
          <w:rFonts w:ascii="Cambria" w:hAnsi="Cambria"/>
          <w:color w:val="000000" w:themeColor="text1"/>
          <w:sz w:val="24"/>
          <w:szCs w:val="24"/>
        </w:rPr>
        <w:t>of the</w:t>
      </w:r>
      <w:r>
        <w:rPr>
          <w:rFonts w:ascii="Cambria" w:hAnsi="Cambria"/>
          <w:color w:val="000000" w:themeColor="text1"/>
          <w:sz w:val="24"/>
          <w:szCs w:val="24"/>
        </w:rPr>
        <w:t xml:space="preserve"> t</w:t>
      </w:r>
      <w:r w:rsidR="00C84CC6">
        <w:rPr>
          <w:rFonts w:ascii="Cambria" w:hAnsi="Cambria"/>
          <w:color w:val="000000" w:themeColor="text1"/>
          <w:sz w:val="24"/>
          <w:szCs w:val="24"/>
        </w:rPr>
        <w:t>ransaction</w:t>
      </w:r>
      <w:r w:rsidR="00E47E9A">
        <w:rPr>
          <w:rFonts w:ascii="Cambria" w:hAnsi="Cambria"/>
          <w:color w:val="000000" w:themeColor="text1"/>
          <w:sz w:val="24"/>
          <w:szCs w:val="24"/>
        </w:rPr>
        <w:t>s</w:t>
      </w:r>
      <w:r>
        <w:rPr>
          <w:rFonts w:ascii="Cambria" w:hAnsi="Cambria"/>
          <w:color w:val="000000" w:themeColor="text1"/>
          <w:sz w:val="24"/>
          <w:szCs w:val="24"/>
        </w:rPr>
        <w:t xml:space="preserve"> t</w:t>
      </w:r>
      <w:r w:rsidR="00C84CC6">
        <w:rPr>
          <w:rFonts w:ascii="Cambria" w:hAnsi="Cambria"/>
          <w:color w:val="000000" w:themeColor="text1"/>
          <w:sz w:val="24"/>
          <w:szCs w:val="24"/>
        </w:rPr>
        <w:t>eam</w:t>
      </w:r>
      <w:r w:rsidR="00E83384">
        <w:rPr>
          <w:rFonts w:ascii="Cambria" w:hAnsi="Cambria"/>
          <w:color w:val="000000" w:themeColor="text1"/>
          <w:sz w:val="24"/>
          <w:szCs w:val="24"/>
        </w:rPr>
        <w:t xml:space="preserve">. </w:t>
      </w:r>
      <w:r w:rsidR="00353E0A">
        <w:rPr>
          <w:rFonts w:ascii="Cambria" w:hAnsi="Cambria"/>
          <w:color w:val="000000" w:themeColor="text1"/>
          <w:sz w:val="24"/>
          <w:szCs w:val="24"/>
        </w:rPr>
        <w:t xml:space="preserve">He failed to properly discharge his duties </w:t>
      </w:r>
      <w:r>
        <w:rPr>
          <w:rFonts w:ascii="Cambria" w:hAnsi="Cambria"/>
          <w:color w:val="000000" w:themeColor="text1"/>
          <w:sz w:val="24"/>
          <w:szCs w:val="24"/>
        </w:rPr>
        <w:t>and exercise due skill, care</w:t>
      </w:r>
      <w:r w:rsidR="00AC2B01">
        <w:rPr>
          <w:rFonts w:ascii="Cambria" w:hAnsi="Cambria"/>
          <w:color w:val="000000" w:themeColor="text1"/>
          <w:sz w:val="24"/>
          <w:szCs w:val="24"/>
        </w:rPr>
        <w:t xml:space="preserve"> and diligence in handling his work. </w:t>
      </w:r>
      <w:r w:rsidR="002270C8">
        <w:rPr>
          <w:rFonts w:ascii="Cambria" w:hAnsi="Cambria"/>
          <w:color w:val="000000" w:themeColor="text1"/>
          <w:sz w:val="24"/>
          <w:szCs w:val="24"/>
        </w:rPr>
        <w:t>Wu thus breached General Principal 2</w:t>
      </w:r>
      <w:r w:rsidR="006C09D2">
        <w:rPr>
          <w:rFonts w:ascii="Cambria" w:hAnsi="Cambria"/>
          <w:color w:val="000000" w:themeColor="text1"/>
          <w:sz w:val="24"/>
          <w:szCs w:val="24"/>
        </w:rPr>
        <w:t>, Gen</w:t>
      </w:r>
      <w:r>
        <w:rPr>
          <w:rFonts w:ascii="Cambria" w:hAnsi="Cambria"/>
          <w:color w:val="000000" w:themeColor="text1"/>
          <w:sz w:val="24"/>
          <w:szCs w:val="24"/>
        </w:rPr>
        <w:t>eral Principle 9, Paragraph 4.2</w:t>
      </w:r>
      <w:r w:rsidR="006C09D2">
        <w:rPr>
          <w:rFonts w:ascii="Cambria" w:hAnsi="Cambria"/>
          <w:color w:val="000000" w:themeColor="text1"/>
          <w:sz w:val="24"/>
          <w:szCs w:val="24"/>
        </w:rPr>
        <w:t xml:space="preserve"> and Paragraph 14.1</w:t>
      </w:r>
      <w:r w:rsidR="002270C8">
        <w:rPr>
          <w:rFonts w:ascii="Cambria" w:hAnsi="Cambria"/>
          <w:color w:val="000000" w:themeColor="text1"/>
          <w:sz w:val="24"/>
          <w:szCs w:val="24"/>
        </w:rPr>
        <w:t xml:space="preserve"> of the </w:t>
      </w:r>
      <w:r>
        <w:rPr>
          <w:rFonts w:ascii="Cambria" w:hAnsi="Cambria"/>
          <w:color w:val="000000" w:themeColor="text1"/>
          <w:sz w:val="24"/>
          <w:szCs w:val="24"/>
        </w:rPr>
        <w:t xml:space="preserve">SFC </w:t>
      </w:r>
      <w:r w:rsidR="002270C8">
        <w:rPr>
          <w:rFonts w:ascii="Cambria" w:hAnsi="Cambria"/>
          <w:color w:val="000000" w:themeColor="text1"/>
          <w:sz w:val="24"/>
          <w:szCs w:val="24"/>
        </w:rPr>
        <w:t>Code of Conduct</w:t>
      </w:r>
      <w:r w:rsidR="007A6B84">
        <w:rPr>
          <w:rFonts w:ascii="Cambria" w:hAnsi="Cambria"/>
          <w:color w:val="000000" w:themeColor="text1"/>
          <w:sz w:val="24"/>
          <w:szCs w:val="24"/>
        </w:rPr>
        <w:t xml:space="preserve">. </w:t>
      </w:r>
    </w:p>
    <w:p w:rsidR="0030561C" w:rsidRPr="00726409" w:rsidRDefault="00BE0D79" w:rsidP="0030561C">
      <w:pPr>
        <w:jc w:val="both"/>
        <w:rPr>
          <w:rFonts w:ascii="Cambria" w:hAnsi="Cambria"/>
          <w:b/>
          <w:color w:val="FF0000"/>
          <w:sz w:val="24"/>
          <w:szCs w:val="24"/>
        </w:rPr>
      </w:pPr>
      <w:r>
        <w:rPr>
          <w:rFonts w:ascii="Cambria" w:hAnsi="Cambria"/>
          <w:b/>
          <w:color w:val="FF0000"/>
          <w:sz w:val="24"/>
          <w:szCs w:val="24"/>
        </w:rPr>
        <w:t>Hong Kong Retail</w:t>
      </w:r>
      <w:r w:rsidR="0030561C" w:rsidRPr="00726409">
        <w:rPr>
          <w:rFonts w:ascii="Cambria" w:hAnsi="Cambria"/>
          <w:b/>
          <w:color w:val="FF0000"/>
          <w:sz w:val="24"/>
          <w:szCs w:val="24"/>
        </w:rPr>
        <w:t xml:space="preserve"> </w:t>
      </w:r>
      <w:r>
        <w:rPr>
          <w:rFonts w:ascii="Cambria" w:hAnsi="Cambria"/>
          <w:b/>
          <w:color w:val="FF0000"/>
          <w:sz w:val="24"/>
          <w:szCs w:val="24"/>
        </w:rPr>
        <w:t>Investors Convicted and Fined for Illegal Short Selling</w:t>
      </w:r>
    </w:p>
    <w:p w:rsidR="00992246" w:rsidRDefault="00011612" w:rsidP="00737511">
      <w:pPr>
        <w:jc w:val="both"/>
        <w:rPr>
          <w:rFonts w:ascii="Cambria" w:hAnsi="Cambria"/>
          <w:sz w:val="24"/>
          <w:szCs w:val="24"/>
        </w:rPr>
      </w:pPr>
      <w:r>
        <w:rPr>
          <w:rFonts w:ascii="Cambria" w:hAnsi="Cambria"/>
          <w:sz w:val="24"/>
          <w:szCs w:val="24"/>
        </w:rPr>
        <w:t xml:space="preserve">On 18 August 2022, the Eastern Magistrates’ Court convicted Ms Chan Siu Tai and her sister Ms Janice Chan after they pleaded guilty to illegal short selling. </w:t>
      </w:r>
      <w:r w:rsidR="00992246">
        <w:rPr>
          <w:rFonts w:ascii="Cambria" w:hAnsi="Cambria"/>
          <w:sz w:val="24"/>
          <w:szCs w:val="24"/>
        </w:rPr>
        <w:t xml:space="preserve">They were found to have breached section 170(1) of the Securities and Futures Ordinance which prohibits “naked” or “uncovered” short selling. That is to say it is an offence for a person to sell securities through the </w:t>
      </w:r>
      <w:proofErr w:type="spellStart"/>
      <w:r w:rsidR="002F2E56">
        <w:rPr>
          <w:rFonts w:ascii="Cambria" w:hAnsi="Cambria"/>
          <w:sz w:val="24"/>
          <w:szCs w:val="24"/>
        </w:rPr>
        <w:t>HKEx</w:t>
      </w:r>
      <w:proofErr w:type="spellEnd"/>
      <w:r w:rsidR="002F2E56">
        <w:rPr>
          <w:rFonts w:ascii="Cambria" w:hAnsi="Cambria"/>
          <w:sz w:val="24"/>
          <w:szCs w:val="24"/>
        </w:rPr>
        <w:t xml:space="preserve"> </w:t>
      </w:r>
      <w:r w:rsidR="00992246">
        <w:rPr>
          <w:rFonts w:ascii="Cambria" w:hAnsi="Cambria"/>
          <w:sz w:val="24"/>
          <w:szCs w:val="24"/>
        </w:rPr>
        <w:t xml:space="preserve">unless, at the time of sale, the person (or his client, if he is an agent) has a presently exercisable and unconditional right to vest the securities in the purchaser, or believes and has reasonable grounds to believe that he (or his client) has such a right. Section 170 does not apply to off-exchange short sales. </w:t>
      </w:r>
    </w:p>
    <w:p w:rsidR="006E50D9" w:rsidRDefault="00992246" w:rsidP="00737511">
      <w:pPr>
        <w:jc w:val="both"/>
        <w:rPr>
          <w:rFonts w:ascii="Cambria" w:hAnsi="Cambria"/>
          <w:sz w:val="24"/>
          <w:szCs w:val="24"/>
        </w:rPr>
      </w:pPr>
      <w:r>
        <w:rPr>
          <w:rFonts w:ascii="Cambria" w:hAnsi="Cambria"/>
          <w:sz w:val="24"/>
          <w:szCs w:val="24"/>
        </w:rPr>
        <w:t>The p</w:t>
      </w:r>
      <w:r w:rsidR="00F95B4F">
        <w:rPr>
          <w:rFonts w:ascii="Cambria" w:hAnsi="Cambria"/>
          <w:sz w:val="24"/>
          <w:szCs w:val="24"/>
        </w:rPr>
        <w:t xml:space="preserve">roceedings were </w:t>
      </w:r>
      <w:r>
        <w:rPr>
          <w:rFonts w:ascii="Cambria" w:hAnsi="Cambria"/>
          <w:sz w:val="24"/>
          <w:szCs w:val="24"/>
        </w:rPr>
        <w:t xml:space="preserve">initiated </w:t>
      </w:r>
      <w:r w:rsidR="00F95B4F">
        <w:rPr>
          <w:rFonts w:ascii="Cambria" w:hAnsi="Cambria"/>
          <w:sz w:val="24"/>
          <w:szCs w:val="24"/>
        </w:rPr>
        <w:t>by the SFC</w:t>
      </w:r>
      <w:r w:rsidR="001348B3">
        <w:rPr>
          <w:rFonts w:ascii="Cambria" w:hAnsi="Cambria"/>
          <w:sz w:val="24"/>
          <w:szCs w:val="24"/>
        </w:rPr>
        <w:t xml:space="preserve">. The sisters were fined HK$114,000 and ordered to pay for the SFC’s investigation costs. </w:t>
      </w:r>
    </w:p>
    <w:p w:rsidR="00883A89" w:rsidRDefault="002F2E56" w:rsidP="00737511">
      <w:pPr>
        <w:jc w:val="both"/>
        <w:rPr>
          <w:rFonts w:ascii="Cambria" w:hAnsi="Cambria"/>
          <w:sz w:val="24"/>
          <w:szCs w:val="24"/>
        </w:rPr>
      </w:pPr>
      <w:r>
        <w:rPr>
          <w:rFonts w:ascii="Cambria" w:hAnsi="Cambria"/>
          <w:sz w:val="24"/>
          <w:szCs w:val="24"/>
        </w:rPr>
        <w:t>B</w:t>
      </w:r>
      <w:r w:rsidR="00883A89">
        <w:rPr>
          <w:rFonts w:ascii="Cambria" w:hAnsi="Cambria"/>
          <w:sz w:val="24"/>
          <w:szCs w:val="24"/>
        </w:rPr>
        <w:t xml:space="preserve">etween 19 June 2019 and 5 September 2019, the sisters had on 27 occasions placed orders </w:t>
      </w:r>
      <w:r w:rsidR="00AC0B43">
        <w:rPr>
          <w:rFonts w:ascii="Cambria" w:hAnsi="Cambria"/>
          <w:sz w:val="24"/>
          <w:szCs w:val="24"/>
        </w:rPr>
        <w:t xml:space="preserve">to sell shares of seven listed securities on the </w:t>
      </w:r>
      <w:proofErr w:type="spellStart"/>
      <w:r w:rsidR="00AC0B43">
        <w:rPr>
          <w:rFonts w:ascii="Cambria" w:hAnsi="Cambria"/>
          <w:sz w:val="24"/>
          <w:szCs w:val="24"/>
        </w:rPr>
        <w:t>HKEx</w:t>
      </w:r>
      <w:proofErr w:type="spellEnd"/>
      <w:r w:rsidR="00AC0B43">
        <w:rPr>
          <w:rFonts w:ascii="Cambria" w:hAnsi="Cambria"/>
          <w:sz w:val="24"/>
          <w:szCs w:val="24"/>
        </w:rPr>
        <w:t xml:space="preserve"> when they did not </w:t>
      </w:r>
      <w:r>
        <w:rPr>
          <w:rFonts w:ascii="Cambria" w:hAnsi="Cambria"/>
          <w:sz w:val="24"/>
          <w:szCs w:val="24"/>
        </w:rPr>
        <w:t xml:space="preserve">own </w:t>
      </w:r>
      <w:r w:rsidR="00AC0B43">
        <w:rPr>
          <w:rFonts w:ascii="Cambria" w:hAnsi="Cambria"/>
          <w:sz w:val="24"/>
          <w:szCs w:val="24"/>
        </w:rPr>
        <w:t xml:space="preserve">any of those shares. </w:t>
      </w:r>
      <w:r w:rsidR="00A07AB1">
        <w:rPr>
          <w:rFonts w:ascii="Cambria" w:hAnsi="Cambria"/>
          <w:sz w:val="24"/>
          <w:szCs w:val="24"/>
        </w:rPr>
        <w:t>They later bought back the shares to cover their short sold positions</w:t>
      </w:r>
      <w:r w:rsidR="001D7007">
        <w:rPr>
          <w:rFonts w:ascii="Cambria" w:hAnsi="Cambria"/>
          <w:sz w:val="24"/>
          <w:szCs w:val="24"/>
        </w:rPr>
        <w:t xml:space="preserve">, breaching Section 170(1) of the Securities and Futures Ordinance. </w:t>
      </w:r>
      <w:r w:rsidR="003E30C9">
        <w:rPr>
          <w:rFonts w:ascii="Cambria" w:hAnsi="Cambria"/>
          <w:sz w:val="24"/>
          <w:szCs w:val="24"/>
        </w:rPr>
        <w:t xml:space="preserve">The SFC’s announcement of the </w:t>
      </w:r>
      <w:r>
        <w:rPr>
          <w:rFonts w:ascii="Cambria" w:hAnsi="Cambria"/>
          <w:sz w:val="24"/>
          <w:szCs w:val="24"/>
        </w:rPr>
        <w:t xml:space="preserve">conviction </w:t>
      </w:r>
      <w:r w:rsidR="003E30C9">
        <w:rPr>
          <w:rFonts w:ascii="Cambria" w:hAnsi="Cambria"/>
          <w:sz w:val="24"/>
          <w:szCs w:val="24"/>
        </w:rPr>
        <w:t xml:space="preserve">can be found on the website of the SFC </w:t>
      </w:r>
      <w:hyperlink r:id="rId14" w:history="1">
        <w:r w:rsidR="003E30C9" w:rsidRPr="003E30C9">
          <w:rPr>
            <w:rStyle w:val="a4"/>
            <w:rFonts w:ascii="Cambria" w:hAnsi="Cambria"/>
            <w:i/>
            <w:sz w:val="24"/>
            <w:szCs w:val="24"/>
          </w:rPr>
          <w:t>here</w:t>
        </w:r>
      </w:hyperlink>
      <w:r w:rsidR="003E30C9">
        <w:rPr>
          <w:rFonts w:ascii="Cambria" w:hAnsi="Cambria"/>
          <w:sz w:val="24"/>
          <w:szCs w:val="24"/>
        </w:rPr>
        <w:t>.</w:t>
      </w:r>
    </w:p>
    <w:p w:rsidR="00783993" w:rsidRPr="00726409" w:rsidRDefault="00783993" w:rsidP="00783993">
      <w:pPr>
        <w:jc w:val="both"/>
        <w:rPr>
          <w:rFonts w:ascii="Cambria" w:hAnsi="Cambria"/>
          <w:b/>
          <w:color w:val="FF0000"/>
          <w:sz w:val="24"/>
          <w:szCs w:val="24"/>
        </w:rPr>
      </w:pPr>
      <w:r>
        <w:rPr>
          <w:rFonts w:ascii="Cambria" w:hAnsi="Cambria"/>
          <w:b/>
          <w:color w:val="FF0000"/>
          <w:sz w:val="24"/>
          <w:szCs w:val="24"/>
        </w:rPr>
        <w:t xml:space="preserve">HKMA </w:t>
      </w:r>
      <w:r w:rsidR="00353D76">
        <w:rPr>
          <w:rFonts w:ascii="Cambria" w:hAnsi="Cambria"/>
          <w:b/>
          <w:color w:val="FF0000"/>
          <w:sz w:val="24"/>
          <w:szCs w:val="24"/>
        </w:rPr>
        <w:t xml:space="preserve">Fines </w:t>
      </w:r>
      <w:r>
        <w:rPr>
          <w:rFonts w:ascii="Cambria" w:hAnsi="Cambria"/>
          <w:b/>
          <w:color w:val="FF0000"/>
          <w:sz w:val="24"/>
          <w:szCs w:val="24"/>
        </w:rPr>
        <w:t>Commerzbank AG, Hong Kong Branch</w:t>
      </w:r>
      <w:r w:rsidR="00353D76">
        <w:rPr>
          <w:rFonts w:ascii="Cambria" w:hAnsi="Cambria"/>
          <w:b/>
          <w:color w:val="FF0000"/>
          <w:sz w:val="24"/>
          <w:szCs w:val="24"/>
        </w:rPr>
        <w:t xml:space="preserve"> HK$6 million for Breaches of the</w:t>
      </w:r>
      <w:r w:rsidR="00913FB2">
        <w:rPr>
          <w:rFonts w:ascii="Cambria" w:hAnsi="Cambria"/>
          <w:b/>
          <w:color w:val="FF0000"/>
          <w:sz w:val="24"/>
          <w:szCs w:val="24"/>
        </w:rPr>
        <w:t xml:space="preserve"> </w:t>
      </w:r>
      <w:r w:rsidR="00353D76" w:rsidRPr="00353D76">
        <w:rPr>
          <w:rFonts w:ascii="Cambria" w:hAnsi="Cambria"/>
          <w:b/>
          <w:color w:val="FF0000"/>
          <w:sz w:val="24"/>
          <w:szCs w:val="24"/>
        </w:rPr>
        <w:t>Anti-Money Laundering and Counter-Terrorist Financing Ordinance (AMLO)</w:t>
      </w:r>
    </w:p>
    <w:p w:rsidR="00783993" w:rsidRDefault="00783993" w:rsidP="00783993">
      <w:pPr>
        <w:jc w:val="both"/>
        <w:rPr>
          <w:rFonts w:ascii="Cambria" w:hAnsi="Cambria"/>
          <w:sz w:val="24"/>
          <w:szCs w:val="24"/>
        </w:rPr>
      </w:pPr>
      <w:r>
        <w:rPr>
          <w:rFonts w:ascii="Cambria" w:hAnsi="Cambria"/>
          <w:sz w:val="24"/>
          <w:szCs w:val="24"/>
        </w:rPr>
        <w:t xml:space="preserve">On 26 August 2022, the HKMA announced that it had completed an investigation </w:t>
      </w:r>
      <w:r w:rsidR="00353D76">
        <w:rPr>
          <w:rFonts w:ascii="Cambria" w:hAnsi="Cambria"/>
          <w:sz w:val="24"/>
          <w:szCs w:val="24"/>
        </w:rPr>
        <w:t xml:space="preserve">and disciplinary proceedings </w:t>
      </w:r>
      <w:r>
        <w:rPr>
          <w:rFonts w:ascii="Cambria" w:hAnsi="Cambria"/>
          <w:sz w:val="24"/>
          <w:szCs w:val="24"/>
        </w:rPr>
        <w:t>against Commerzbank AG, Hong Kong Branch (</w:t>
      </w:r>
      <w:r w:rsidRPr="00D0266E">
        <w:rPr>
          <w:rFonts w:ascii="Cambria" w:hAnsi="Cambria"/>
          <w:b/>
          <w:sz w:val="24"/>
          <w:szCs w:val="24"/>
        </w:rPr>
        <w:t>Commerzbank</w:t>
      </w:r>
      <w:r>
        <w:rPr>
          <w:rFonts w:ascii="Cambria" w:hAnsi="Cambria"/>
          <w:sz w:val="24"/>
          <w:szCs w:val="24"/>
        </w:rPr>
        <w:t xml:space="preserve">) for breaching the </w:t>
      </w:r>
      <w:r w:rsidRPr="00012259">
        <w:rPr>
          <w:rFonts w:ascii="Cambria" w:hAnsi="Cambria"/>
          <w:sz w:val="24"/>
          <w:szCs w:val="24"/>
        </w:rPr>
        <w:t>Anti-Money Laundering and Counter-Terrorist Financing Ordinance</w:t>
      </w:r>
      <w:r>
        <w:rPr>
          <w:rFonts w:ascii="Cambria" w:hAnsi="Cambria"/>
          <w:sz w:val="24"/>
          <w:szCs w:val="24"/>
        </w:rPr>
        <w:t xml:space="preserve"> (</w:t>
      </w:r>
      <w:r w:rsidRPr="00012259">
        <w:rPr>
          <w:rFonts w:ascii="Cambria" w:hAnsi="Cambria"/>
          <w:b/>
          <w:sz w:val="24"/>
          <w:szCs w:val="24"/>
        </w:rPr>
        <w:t>AMLO</w:t>
      </w:r>
      <w:r>
        <w:rPr>
          <w:rFonts w:ascii="Cambria" w:hAnsi="Cambria"/>
          <w:sz w:val="24"/>
          <w:szCs w:val="24"/>
        </w:rPr>
        <w:t>) and fine</w:t>
      </w:r>
      <w:r w:rsidR="00353D76">
        <w:rPr>
          <w:rFonts w:ascii="Cambria" w:hAnsi="Cambria"/>
          <w:sz w:val="24"/>
          <w:szCs w:val="24"/>
        </w:rPr>
        <w:t>d</w:t>
      </w:r>
      <w:r>
        <w:rPr>
          <w:rFonts w:ascii="Cambria" w:hAnsi="Cambria"/>
          <w:sz w:val="24"/>
          <w:szCs w:val="24"/>
        </w:rPr>
        <w:t xml:space="preserve"> it HK$6 million. The HKMA’s statement of Disciplinary Action can be found on the HKMA website </w:t>
      </w:r>
      <w:hyperlink r:id="rId15" w:history="1">
        <w:r w:rsidRPr="00D37403">
          <w:rPr>
            <w:rStyle w:val="a4"/>
            <w:rFonts w:ascii="Cambria" w:hAnsi="Cambria"/>
            <w:sz w:val="24"/>
            <w:szCs w:val="24"/>
          </w:rPr>
          <w:t>here</w:t>
        </w:r>
      </w:hyperlink>
      <w:r>
        <w:rPr>
          <w:rFonts w:ascii="Cambria" w:hAnsi="Cambria"/>
          <w:sz w:val="24"/>
          <w:szCs w:val="24"/>
        </w:rPr>
        <w:t>.</w:t>
      </w:r>
    </w:p>
    <w:p w:rsidR="00783993" w:rsidRDefault="00783993" w:rsidP="00783993">
      <w:pPr>
        <w:jc w:val="both"/>
        <w:rPr>
          <w:rFonts w:ascii="Cambria" w:hAnsi="Cambria"/>
          <w:sz w:val="24"/>
          <w:szCs w:val="24"/>
        </w:rPr>
      </w:pPr>
      <w:r>
        <w:rPr>
          <w:rFonts w:ascii="Cambria" w:hAnsi="Cambria"/>
          <w:sz w:val="24"/>
          <w:szCs w:val="24"/>
        </w:rPr>
        <w:lastRenderedPageBreak/>
        <w:t xml:space="preserve">The HKMA had conducted an on-site examination and investigation into </w:t>
      </w:r>
      <w:r w:rsidRPr="00D0266E">
        <w:rPr>
          <w:rFonts w:ascii="Cambria" w:hAnsi="Cambria"/>
          <w:sz w:val="24"/>
          <w:szCs w:val="24"/>
        </w:rPr>
        <w:t>Commerzbank</w:t>
      </w:r>
      <w:r>
        <w:rPr>
          <w:rFonts w:ascii="Cambria" w:hAnsi="Cambria"/>
          <w:sz w:val="24"/>
          <w:szCs w:val="24"/>
        </w:rPr>
        <w:t xml:space="preserve"> and found that </w:t>
      </w:r>
      <w:r w:rsidRPr="00D0266E">
        <w:rPr>
          <w:rFonts w:ascii="Cambria" w:hAnsi="Cambria"/>
          <w:sz w:val="24"/>
          <w:szCs w:val="24"/>
        </w:rPr>
        <w:t>Commerzbank</w:t>
      </w:r>
      <w:r>
        <w:rPr>
          <w:rFonts w:ascii="Cambria" w:hAnsi="Cambria"/>
          <w:sz w:val="24"/>
          <w:szCs w:val="24"/>
        </w:rPr>
        <w:t xml:space="preserve"> contravened four provisions between 1 April 2012 and 30 June 2016 (</w:t>
      </w:r>
      <w:r w:rsidRPr="00C146AA">
        <w:rPr>
          <w:rFonts w:ascii="Cambria" w:hAnsi="Cambria"/>
          <w:b/>
          <w:sz w:val="24"/>
          <w:szCs w:val="24"/>
        </w:rPr>
        <w:t>Relevant Period</w:t>
      </w:r>
      <w:r>
        <w:rPr>
          <w:rFonts w:ascii="Cambria" w:hAnsi="Cambria"/>
          <w:sz w:val="24"/>
          <w:szCs w:val="24"/>
        </w:rPr>
        <w:t>)</w:t>
      </w:r>
      <w:r w:rsidR="00C460A4">
        <w:rPr>
          <w:rFonts w:ascii="Cambria" w:hAnsi="Cambria"/>
          <w:sz w:val="24"/>
          <w:szCs w:val="24"/>
        </w:rPr>
        <w:t>, namely s</w:t>
      </w:r>
      <w:r>
        <w:rPr>
          <w:rFonts w:ascii="Cambria" w:hAnsi="Cambria"/>
          <w:sz w:val="24"/>
          <w:szCs w:val="24"/>
        </w:rPr>
        <w:t>ections 3(1)(a)</w:t>
      </w:r>
      <w:r w:rsidR="00C460A4">
        <w:rPr>
          <w:rFonts w:ascii="Cambria" w:hAnsi="Cambria"/>
          <w:sz w:val="24"/>
          <w:szCs w:val="24"/>
        </w:rPr>
        <w:t xml:space="preserve">, </w:t>
      </w:r>
      <w:r>
        <w:rPr>
          <w:rFonts w:ascii="Cambria" w:hAnsi="Cambria"/>
          <w:sz w:val="24"/>
          <w:szCs w:val="24"/>
        </w:rPr>
        <w:t>3(4)(b)</w:t>
      </w:r>
      <w:r w:rsidR="00C460A4">
        <w:rPr>
          <w:rFonts w:ascii="Cambria" w:hAnsi="Cambria"/>
          <w:sz w:val="24"/>
          <w:szCs w:val="24"/>
        </w:rPr>
        <w:t>,</w:t>
      </w:r>
      <w:r>
        <w:rPr>
          <w:rFonts w:ascii="Cambria" w:hAnsi="Cambria"/>
          <w:sz w:val="24"/>
          <w:szCs w:val="24"/>
        </w:rPr>
        <w:t xml:space="preserve"> </w:t>
      </w:r>
      <w:r w:rsidR="00C460A4">
        <w:rPr>
          <w:rFonts w:ascii="Cambria" w:hAnsi="Cambria"/>
          <w:sz w:val="24"/>
          <w:szCs w:val="24"/>
        </w:rPr>
        <w:t xml:space="preserve">19(1) and </w:t>
      </w:r>
      <w:r w:rsidRPr="00CA5657">
        <w:rPr>
          <w:rFonts w:ascii="Cambria" w:hAnsi="Cambria"/>
          <w:sz w:val="24"/>
          <w:szCs w:val="24"/>
        </w:rPr>
        <w:t>19(3) of Schedule 2 to the AMLO</w:t>
      </w:r>
      <w:r>
        <w:rPr>
          <w:rFonts w:ascii="Cambria" w:hAnsi="Cambria"/>
          <w:sz w:val="24"/>
          <w:szCs w:val="24"/>
        </w:rPr>
        <w:t xml:space="preserve">. </w:t>
      </w:r>
    </w:p>
    <w:p w:rsidR="00783993" w:rsidRPr="00C146AA" w:rsidRDefault="00C460A4" w:rsidP="00783993">
      <w:pPr>
        <w:jc w:val="both"/>
        <w:rPr>
          <w:rFonts w:ascii="Cambria" w:hAnsi="Cambria"/>
          <w:b/>
          <w:sz w:val="24"/>
          <w:szCs w:val="24"/>
        </w:rPr>
      </w:pPr>
      <w:r>
        <w:rPr>
          <w:rFonts w:ascii="Cambria" w:hAnsi="Cambria"/>
          <w:b/>
          <w:sz w:val="24"/>
          <w:szCs w:val="24"/>
        </w:rPr>
        <w:t xml:space="preserve">Breaches of </w:t>
      </w:r>
      <w:r w:rsidR="00783993" w:rsidRPr="00C146AA">
        <w:rPr>
          <w:rFonts w:ascii="Cambria" w:hAnsi="Cambria"/>
          <w:b/>
          <w:sz w:val="24"/>
          <w:szCs w:val="24"/>
        </w:rPr>
        <w:t>Sections 3(1)(a) and 3(4)(b) of Schedule 2 to the AMLO</w:t>
      </w:r>
    </w:p>
    <w:p w:rsidR="00783993" w:rsidRDefault="00C460A4" w:rsidP="00783993">
      <w:pPr>
        <w:jc w:val="both"/>
        <w:rPr>
          <w:rFonts w:ascii="Cambria" w:hAnsi="Cambria"/>
          <w:sz w:val="24"/>
          <w:szCs w:val="24"/>
        </w:rPr>
      </w:pPr>
      <w:r>
        <w:rPr>
          <w:rFonts w:ascii="Cambria" w:hAnsi="Cambria"/>
          <w:sz w:val="24"/>
          <w:szCs w:val="24"/>
        </w:rPr>
        <w:t>T</w:t>
      </w:r>
      <w:r w:rsidR="00783993">
        <w:rPr>
          <w:rFonts w:ascii="Cambria" w:hAnsi="Cambria"/>
          <w:sz w:val="24"/>
          <w:szCs w:val="24"/>
        </w:rPr>
        <w:t xml:space="preserve">he HKMA’s sample review found that </w:t>
      </w:r>
      <w:r w:rsidR="00783993" w:rsidRPr="00D0266E">
        <w:rPr>
          <w:rFonts w:ascii="Cambria" w:hAnsi="Cambria"/>
          <w:sz w:val="24"/>
          <w:szCs w:val="24"/>
        </w:rPr>
        <w:t>Commerzbank</w:t>
      </w:r>
      <w:r w:rsidR="00783993">
        <w:rPr>
          <w:rFonts w:ascii="Cambria" w:hAnsi="Cambria"/>
          <w:sz w:val="24"/>
          <w:szCs w:val="24"/>
        </w:rPr>
        <w:t xml:space="preserve"> failed</w:t>
      </w:r>
      <w:r>
        <w:rPr>
          <w:rFonts w:ascii="Cambria" w:hAnsi="Cambria"/>
          <w:sz w:val="24"/>
          <w:szCs w:val="24"/>
        </w:rPr>
        <w:t xml:space="preserve"> during the Relevant Period</w:t>
      </w:r>
      <w:r w:rsidR="00783993">
        <w:rPr>
          <w:rFonts w:ascii="Cambria" w:hAnsi="Cambria"/>
          <w:sz w:val="24"/>
          <w:szCs w:val="24"/>
        </w:rPr>
        <w:t xml:space="preserve"> to carry out the specified customer due diligence measures with </w:t>
      </w:r>
      <w:r>
        <w:rPr>
          <w:rFonts w:ascii="Cambria" w:hAnsi="Cambria"/>
          <w:sz w:val="24"/>
          <w:szCs w:val="24"/>
        </w:rPr>
        <w:t xml:space="preserve">respect to </w:t>
      </w:r>
      <w:r w:rsidR="00783993">
        <w:rPr>
          <w:rFonts w:ascii="Cambria" w:hAnsi="Cambria"/>
          <w:sz w:val="24"/>
          <w:szCs w:val="24"/>
        </w:rPr>
        <w:t xml:space="preserve">17 customers prior to establishing business relationships with them. The delays </w:t>
      </w:r>
      <w:r>
        <w:rPr>
          <w:rFonts w:ascii="Cambria" w:hAnsi="Cambria"/>
          <w:sz w:val="24"/>
          <w:szCs w:val="24"/>
        </w:rPr>
        <w:t xml:space="preserve">in conducting </w:t>
      </w:r>
      <w:r w:rsidR="00783993">
        <w:rPr>
          <w:rFonts w:ascii="Cambria" w:hAnsi="Cambria"/>
          <w:sz w:val="24"/>
          <w:szCs w:val="24"/>
        </w:rPr>
        <w:t xml:space="preserve">the due diligence measures ranged from 2 to 46 months. Section 3(1)(a) of Schedule 2 </w:t>
      </w:r>
      <w:r w:rsidR="000F67FD">
        <w:rPr>
          <w:rFonts w:ascii="Cambria" w:hAnsi="Cambria"/>
          <w:sz w:val="24"/>
          <w:szCs w:val="24"/>
        </w:rPr>
        <w:t>to</w:t>
      </w:r>
      <w:r w:rsidR="00783993">
        <w:rPr>
          <w:rFonts w:ascii="Cambria" w:hAnsi="Cambria"/>
          <w:sz w:val="24"/>
          <w:szCs w:val="24"/>
        </w:rPr>
        <w:t xml:space="preserve"> the AMLO was therefore contravened. </w:t>
      </w:r>
    </w:p>
    <w:p w:rsidR="00783993" w:rsidRDefault="000F67FD" w:rsidP="00783993">
      <w:pPr>
        <w:jc w:val="both"/>
        <w:rPr>
          <w:rFonts w:ascii="Cambria" w:hAnsi="Cambria"/>
          <w:sz w:val="24"/>
          <w:szCs w:val="24"/>
        </w:rPr>
      </w:pPr>
      <w:r>
        <w:rPr>
          <w:rFonts w:ascii="Cambria" w:hAnsi="Cambria"/>
          <w:sz w:val="24"/>
          <w:szCs w:val="24"/>
        </w:rPr>
        <w:t xml:space="preserve">Having been </w:t>
      </w:r>
      <w:r w:rsidR="00783993">
        <w:rPr>
          <w:rFonts w:ascii="Cambria" w:hAnsi="Cambria"/>
          <w:sz w:val="24"/>
          <w:szCs w:val="24"/>
        </w:rPr>
        <w:t xml:space="preserve">unable to comply with section 3(1)(a) of Schedule 2 </w:t>
      </w:r>
      <w:r>
        <w:rPr>
          <w:rFonts w:ascii="Cambria" w:hAnsi="Cambria"/>
          <w:sz w:val="24"/>
          <w:szCs w:val="24"/>
        </w:rPr>
        <w:t>to</w:t>
      </w:r>
      <w:r w:rsidR="00783993">
        <w:rPr>
          <w:rFonts w:ascii="Cambria" w:hAnsi="Cambria"/>
          <w:sz w:val="24"/>
          <w:szCs w:val="24"/>
        </w:rPr>
        <w:t xml:space="preserve"> the AMLO, </w:t>
      </w:r>
      <w:r w:rsidR="00783993" w:rsidRPr="00D0266E">
        <w:rPr>
          <w:rFonts w:ascii="Cambria" w:hAnsi="Cambria"/>
          <w:sz w:val="24"/>
          <w:szCs w:val="24"/>
        </w:rPr>
        <w:t>Commerzbank</w:t>
      </w:r>
      <w:r w:rsidR="00783993">
        <w:rPr>
          <w:rFonts w:ascii="Cambria" w:hAnsi="Cambria"/>
          <w:sz w:val="24"/>
          <w:szCs w:val="24"/>
        </w:rPr>
        <w:t xml:space="preserve"> did not terminate the business relationship with 12 customers for periods ranging from 6 to 46 months. </w:t>
      </w:r>
      <w:r w:rsidR="00783993" w:rsidRPr="00D0266E">
        <w:rPr>
          <w:rFonts w:ascii="Cambria" w:hAnsi="Cambria"/>
          <w:sz w:val="24"/>
          <w:szCs w:val="24"/>
        </w:rPr>
        <w:t>Commerzbank</w:t>
      </w:r>
      <w:r w:rsidR="00783993">
        <w:rPr>
          <w:rFonts w:ascii="Cambria" w:hAnsi="Cambria"/>
          <w:sz w:val="24"/>
          <w:szCs w:val="24"/>
        </w:rPr>
        <w:t xml:space="preserve"> thus contravened section 3(4)(b) of Schedule 2 </w:t>
      </w:r>
      <w:r>
        <w:rPr>
          <w:rFonts w:ascii="Cambria" w:hAnsi="Cambria"/>
          <w:sz w:val="24"/>
          <w:szCs w:val="24"/>
        </w:rPr>
        <w:t>to</w:t>
      </w:r>
      <w:r w:rsidR="00783993">
        <w:rPr>
          <w:rFonts w:ascii="Cambria" w:hAnsi="Cambria"/>
          <w:sz w:val="24"/>
          <w:szCs w:val="24"/>
        </w:rPr>
        <w:t xml:space="preserve"> the AMLO</w:t>
      </w:r>
    </w:p>
    <w:p w:rsidR="00783993" w:rsidRDefault="006C281F" w:rsidP="00783993">
      <w:pPr>
        <w:jc w:val="both"/>
        <w:rPr>
          <w:rFonts w:ascii="Cambria" w:hAnsi="Cambria"/>
          <w:b/>
          <w:sz w:val="24"/>
          <w:szCs w:val="24"/>
        </w:rPr>
      </w:pPr>
      <w:r>
        <w:rPr>
          <w:rFonts w:ascii="Cambria" w:hAnsi="Cambria"/>
          <w:b/>
          <w:sz w:val="24"/>
          <w:szCs w:val="24"/>
        </w:rPr>
        <w:t>Breach</w:t>
      </w:r>
      <w:r w:rsidR="000F67FD">
        <w:rPr>
          <w:rFonts w:ascii="Cambria" w:hAnsi="Cambria"/>
          <w:b/>
          <w:sz w:val="24"/>
          <w:szCs w:val="24"/>
        </w:rPr>
        <w:t xml:space="preserve"> of </w:t>
      </w:r>
      <w:r w:rsidR="00783993">
        <w:rPr>
          <w:rFonts w:ascii="Cambria" w:hAnsi="Cambria"/>
          <w:b/>
          <w:sz w:val="24"/>
          <w:szCs w:val="24"/>
        </w:rPr>
        <w:t>Section 19(1) of Schedule 2 to the AMLO</w:t>
      </w:r>
    </w:p>
    <w:p w:rsidR="00783993" w:rsidRDefault="00783993" w:rsidP="00783993">
      <w:pPr>
        <w:jc w:val="both"/>
        <w:rPr>
          <w:rFonts w:ascii="Cambria" w:hAnsi="Cambria"/>
          <w:sz w:val="24"/>
          <w:szCs w:val="24"/>
        </w:rPr>
      </w:pPr>
      <w:r w:rsidRPr="00D0266E">
        <w:rPr>
          <w:rFonts w:ascii="Cambria" w:hAnsi="Cambria"/>
          <w:sz w:val="24"/>
          <w:szCs w:val="24"/>
        </w:rPr>
        <w:t>Commerzbank</w:t>
      </w:r>
      <w:r>
        <w:rPr>
          <w:rFonts w:ascii="Cambria" w:hAnsi="Cambria"/>
          <w:sz w:val="24"/>
          <w:szCs w:val="24"/>
        </w:rPr>
        <w:t xml:space="preserve"> contravened section 19(1) of Schedule 2 to the AMLO as it failed to establish and maintain effective procedures for determining whether a customer or a beneficial owner of a customer is a politically exposed person. Before August 2015, Commerzbank conducted automated screenings for whether a customer was a politically exposed person, but not </w:t>
      </w:r>
      <w:r w:rsidR="00E83AFD">
        <w:rPr>
          <w:rFonts w:ascii="Cambria" w:hAnsi="Cambria"/>
          <w:sz w:val="24"/>
          <w:szCs w:val="24"/>
        </w:rPr>
        <w:t xml:space="preserve">for </w:t>
      </w:r>
      <w:r>
        <w:rPr>
          <w:rFonts w:ascii="Cambria" w:hAnsi="Cambria"/>
          <w:sz w:val="24"/>
          <w:szCs w:val="24"/>
        </w:rPr>
        <w:t xml:space="preserve">whether the beneficial owner of a customer was a politically exposed person. </w:t>
      </w:r>
      <w:r w:rsidR="00E83AFD">
        <w:rPr>
          <w:rFonts w:ascii="Cambria" w:hAnsi="Cambria"/>
          <w:sz w:val="24"/>
          <w:szCs w:val="24"/>
        </w:rPr>
        <w:t>Further, m</w:t>
      </w:r>
      <w:r>
        <w:rPr>
          <w:rFonts w:ascii="Cambria" w:hAnsi="Cambria"/>
          <w:sz w:val="24"/>
          <w:szCs w:val="24"/>
        </w:rPr>
        <w:t xml:space="preserve">anual screenings </w:t>
      </w:r>
      <w:r w:rsidR="00E83AFD">
        <w:rPr>
          <w:rFonts w:ascii="Cambria" w:hAnsi="Cambria"/>
          <w:sz w:val="24"/>
          <w:szCs w:val="24"/>
        </w:rPr>
        <w:t xml:space="preserve">to determine whether customers’ </w:t>
      </w:r>
      <w:r>
        <w:rPr>
          <w:rFonts w:ascii="Cambria" w:hAnsi="Cambria"/>
          <w:sz w:val="24"/>
          <w:szCs w:val="24"/>
        </w:rPr>
        <w:t>beneficial owner</w:t>
      </w:r>
      <w:r w:rsidR="00E83AFD">
        <w:rPr>
          <w:rFonts w:ascii="Cambria" w:hAnsi="Cambria"/>
          <w:sz w:val="24"/>
          <w:szCs w:val="24"/>
        </w:rPr>
        <w:t>s</w:t>
      </w:r>
      <w:r>
        <w:rPr>
          <w:rFonts w:ascii="Cambria" w:hAnsi="Cambria"/>
          <w:sz w:val="24"/>
          <w:szCs w:val="24"/>
        </w:rPr>
        <w:t xml:space="preserve"> </w:t>
      </w:r>
      <w:r w:rsidR="00E83AFD">
        <w:rPr>
          <w:rFonts w:ascii="Cambria" w:hAnsi="Cambria"/>
          <w:sz w:val="24"/>
          <w:szCs w:val="24"/>
        </w:rPr>
        <w:t xml:space="preserve">were </w:t>
      </w:r>
      <w:r>
        <w:rPr>
          <w:rFonts w:ascii="Cambria" w:hAnsi="Cambria"/>
          <w:sz w:val="24"/>
          <w:szCs w:val="24"/>
        </w:rPr>
        <w:t>politically exposed person</w:t>
      </w:r>
      <w:r w:rsidR="00E83AFD">
        <w:rPr>
          <w:rFonts w:ascii="Cambria" w:hAnsi="Cambria"/>
          <w:sz w:val="24"/>
          <w:szCs w:val="24"/>
        </w:rPr>
        <w:t>s were not conducted effectively, involving</w:t>
      </w:r>
      <w:r>
        <w:rPr>
          <w:rFonts w:ascii="Cambria" w:hAnsi="Cambria"/>
          <w:sz w:val="24"/>
          <w:szCs w:val="24"/>
        </w:rPr>
        <w:t xml:space="preserve"> delays and </w:t>
      </w:r>
      <w:r w:rsidR="00E83AFD">
        <w:rPr>
          <w:rFonts w:ascii="Cambria" w:hAnsi="Cambria"/>
          <w:sz w:val="24"/>
          <w:szCs w:val="24"/>
        </w:rPr>
        <w:t xml:space="preserve">failures to identify the beneficial owners of customers related to politically exposed persons. </w:t>
      </w:r>
    </w:p>
    <w:p w:rsidR="00783993" w:rsidRDefault="00783993" w:rsidP="00783993">
      <w:pPr>
        <w:jc w:val="both"/>
        <w:rPr>
          <w:rFonts w:ascii="Cambria" w:hAnsi="Cambria"/>
          <w:b/>
          <w:sz w:val="24"/>
          <w:szCs w:val="24"/>
          <w:lang w:val="en-US"/>
        </w:rPr>
      </w:pPr>
      <w:r w:rsidRPr="00F86E04">
        <w:rPr>
          <w:rFonts w:ascii="Cambria" w:hAnsi="Cambria"/>
          <w:b/>
          <w:sz w:val="24"/>
          <w:szCs w:val="24"/>
          <w:lang w:val="en-US"/>
        </w:rPr>
        <w:t>Section 19(3) of Schedule 2 to the AMLO</w:t>
      </w:r>
    </w:p>
    <w:p w:rsidR="00783993" w:rsidRDefault="00783993" w:rsidP="00783993">
      <w:pPr>
        <w:jc w:val="both"/>
        <w:rPr>
          <w:rFonts w:ascii="Cambria" w:hAnsi="Cambria"/>
          <w:sz w:val="24"/>
          <w:szCs w:val="24"/>
        </w:rPr>
      </w:pPr>
      <w:r>
        <w:rPr>
          <w:rFonts w:ascii="Cambria" w:hAnsi="Cambria"/>
          <w:sz w:val="24"/>
          <w:szCs w:val="24"/>
          <w:lang w:val="en-US"/>
        </w:rPr>
        <w:t xml:space="preserve">In the Relevant Period, </w:t>
      </w:r>
      <w:r w:rsidRPr="00D0266E">
        <w:rPr>
          <w:rFonts w:ascii="Cambria" w:hAnsi="Cambria"/>
          <w:sz w:val="24"/>
          <w:szCs w:val="24"/>
        </w:rPr>
        <w:t>Commerzbank</w:t>
      </w:r>
      <w:r>
        <w:rPr>
          <w:rFonts w:ascii="Cambria" w:hAnsi="Cambria"/>
          <w:sz w:val="24"/>
          <w:szCs w:val="24"/>
        </w:rPr>
        <w:t xml:space="preserve">’s standards regarding customer due diligence fell short of the standards described under the AMLO and the HKMA’s Guideline on Anti-Money Laundering and Counter-Terrorist Financing for Authorised Institutions. The business procedures were allowed to go ahead when the approval from a line manager was obtained, even when proper </w:t>
      </w:r>
      <w:r w:rsidR="006C281F">
        <w:rPr>
          <w:rFonts w:ascii="Cambria" w:hAnsi="Cambria"/>
          <w:sz w:val="24"/>
          <w:szCs w:val="24"/>
        </w:rPr>
        <w:t xml:space="preserve">customer </w:t>
      </w:r>
      <w:r>
        <w:rPr>
          <w:rFonts w:ascii="Cambria" w:hAnsi="Cambria"/>
          <w:sz w:val="24"/>
          <w:szCs w:val="24"/>
        </w:rPr>
        <w:t xml:space="preserve">due diligence </w:t>
      </w:r>
      <w:r w:rsidR="006C281F">
        <w:rPr>
          <w:rFonts w:ascii="Cambria" w:hAnsi="Cambria"/>
          <w:sz w:val="24"/>
          <w:szCs w:val="24"/>
        </w:rPr>
        <w:t xml:space="preserve">had </w:t>
      </w:r>
      <w:r>
        <w:rPr>
          <w:rFonts w:ascii="Cambria" w:hAnsi="Cambria"/>
          <w:sz w:val="24"/>
          <w:szCs w:val="24"/>
        </w:rPr>
        <w:t xml:space="preserve">not </w:t>
      </w:r>
      <w:r w:rsidR="006C281F">
        <w:rPr>
          <w:rFonts w:ascii="Cambria" w:hAnsi="Cambria"/>
          <w:sz w:val="24"/>
          <w:szCs w:val="24"/>
        </w:rPr>
        <w:t xml:space="preserve">been </w:t>
      </w:r>
      <w:r>
        <w:rPr>
          <w:rFonts w:ascii="Cambria" w:hAnsi="Cambria"/>
          <w:sz w:val="24"/>
          <w:szCs w:val="24"/>
        </w:rPr>
        <w:t xml:space="preserve">carried out. Furthermore, no requirements were established or maintained in any of </w:t>
      </w:r>
      <w:r w:rsidRPr="00D0266E">
        <w:rPr>
          <w:rFonts w:ascii="Cambria" w:hAnsi="Cambria"/>
          <w:sz w:val="24"/>
          <w:szCs w:val="24"/>
        </w:rPr>
        <w:t>Commerzbank</w:t>
      </w:r>
      <w:r>
        <w:rPr>
          <w:rFonts w:ascii="Cambria" w:hAnsi="Cambria"/>
          <w:sz w:val="24"/>
          <w:szCs w:val="24"/>
        </w:rPr>
        <w:t xml:space="preserve">’s procedures or manuals for checking the completeness of customer due diligence before establishing a business relationship. </w:t>
      </w:r>
      <w:r w:rsidRPr="00D0266E">
        <w:rPr>
          <w:rFonts w:ascii="Cambria" w:hAnsi="Cambria"/>
          <w:sz w:val="24"/>
          <w:szCs w:val="24"/>
        </w:rPr>
        <w:t>Commerzbank</w:t>
      </w:r>
      <w:r>
        <w:rPr>
          <w:rFonts w:ascii="Cambria" w:hAnsi="Cambria"/>
          <w:sz w:val="24"/>
          <w:szCs w:val="24"/>
        </w:rPr>
        <w:t xml:space="preserve"> therefore contravened section 19(3) of Schedule 2 to the AMLO. </w:t>
      </w:r>
    </w:p>
    <w:p w:rsidR="00783993" w:rsidRDefault="006C281F" w:rsidP="00783993">
      <w:pPr>
        <w:jc w:val="both"/>
        <w:rPr>
          <w:rFonts w:ascii="Cambria" w:hAnsi="Cambria"/>
          <w:sz w:val="24"/>
          <w:szCs w:val="24"/>
          <w:lang w:val="en-US"/>
        </w:rPr>
      </w:pPr>
      <w:r>
        <w:rPr>
          <w:rFonts w:ascii="Cambria" w:hAnsi="Cambria"/>
          <w:sz w:val="24"/>
          <w:szCs w:val="24"/>
          <w:lang w:val="en-US"/>
        </w:rPr>
        <w:t>T</w:t>
      </w:r>
      <w:r w:rsidR="00783993">
        <w:rPr>
          <w:rFonts w:ascii="Cambria" w:hAnsi="Cambria"/>
          <w:sz w:val="24"/>
          <w:szCs w:val="24"/>
          <w:lang w:val="en-US"/>
        </w:rPr>
        <w:t xml:space="preserve">he HKMA </w:t>
      </w:r>
      <w:r>
        <w:rPr>
          <w:rFonts w:ascii="Cambria" w:hAnsi="Cambria"/>
          <w:sz w:val="24"/>
          <w:szCs w:val="24"/>
          <w:lang w:val="en-US"/>
        </w:rPr>
        <w:t xml:space="preserve">therefore </w:t>
      </w:r>
      <w:r w:rsidR="00783993">
        <w:rPr>
          <w:rFonts w:ascii="Cambria" w:hAnsi="Cambria"/>
          <w:sz w:val="24"/>
          <w:szCs w:val="24"/>
          <w:lang w:val="en-US"/>
        </w:rPr>
        <w:t xml:space="preserve">fined Commerzbank HK$6 million for contraventions </w:t>
      </w:r>
      <w:r>
        <w:rPr>
          <w:rFonts w:ascii="Cambria" w:hAnsi="Cambria"/>
          <w:sz w:val="24"/>
          <w:szCs w:val="24"/>
          <w:lang w:val="en-US"/>
        </w:rPr>
        <w:t xml:space="preserve">of </w:t>
      </w:r>
      <w:r w:rsidR="00783993">
        <w:rPr>
          <w:rFonts w:ascii="Cambria" w:hAnsi="Cambria"/>
          <w:sz w:val="24"/>
          <w:szCs w:val="24"/>
          <w:lang w:val="en-US"/>
        </w:rPr>
        <w:t xml:space="preserve">the AMLO. </w:t>
      </w:r>
    </w:p>
    <w:p w:rsidR="00365171" w:rsidRPr="00A41F57" w:rsidRDefault="00365171" w:rsidP="00365171">
      <w:pPr>
        <w:pStyle w:val="DisclaimerBold"/>
        <w:rPr>
          <w:rFonts w:ascii="Helvetica" w:hAnsi="Helvetica"/>
        </w:rPr>
      </w:pPr>
      <w:r w:rsidRPr="00F05494">
        <w:rPr>
          <w:rFonts w:ascii="Helvetica" w:hAnsi="Helvetica"/>
        </w:rPr>
        <w:t>This newsletter is for information purposes only.</w:t>
      </w:r>
    </w:p>
    <w:p w:rsidR="00365171" w:rsidRPr="00F05494" w:rsidRDefault="00365171" w:rsidP="00365171">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365171" w:rsidRPr="00F05494" w:rsidRDefault="00365171" w:rsidP="00365171">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365171" w:rsidRPr="00F05494" w:rsidRDefault="00365171" w:rsidP="00365171">
      <w:pPr>
        <w:pStyle w:val="Disclaimer"/>
        <w:rPr>
          <w:rFonts w:ascii="Helvetica" w:hAnsi="Helvetica"/>
        </w:rPr>
      </w:pPr>
      <w:proofErr w:type="spellStart"/>
      <w:r w:rsidRPr="00F05494">
        <w:rPr>
          <w:rFonts w:ascii="Helvetica" w:hAnsi="Helvetica"/>
        </w:rPr>
        <w:lastRenderedPageBreak/>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365171" w:rsidRPr="00F05494" w:rsidRDefault="00365171" w:rsidP="00365171">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6">
        <w:r w:rsidRPr="00F05494">
          <w:rPr>
            <w:rFonts w:ascii="Helvetica" w:hAnsi="Helvetica"/>
          </w:rPr>
          <w:t>unsubscribe@charltonslaw.com</w:t>
        </w:r>
      </w:hyperlink>
    </w:p>
    <w:p w:rsidR="00365171" w:rsidRPr="00CD0DE3" w:rsidRDefault="00365171" w:rsidP="00365171">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19</w:t>
      </w:r>
      <w:r w:rsidRPr="00F05494">
        <w:rPr>
          <w:rFonts w:ascii="Helvetica" w:hAnsi="Helvetica"/>
        </w:rPr>
        <w:t xml:space="preserve"> </w:t>
      </w:r>
      <w:r>
        <w:rPr>
          <w:rFonts w:ascii="Helvetica" w:hAnsi="Helvetica"/>
        </w:rPr>
        <w:t>September</w:t>
      </w:r>
      <w:r w:rsidRPr="00F05494">
        <w:rPr>
          <w:rFonts w:ascii="Helvetica" w:hAnsi="Helvetica"/>
        </w:rPr>
        <w:t xml:space="preserve"> 202</w:t>
      </w:r>
      <w:r>
        <w:rPr>
          <w:rFonts w:ascii="Helvetica" w:hAnsi="Helvetica"/>
        </w:rPr>
        <w:t>2</w:t>
      </w:r>
    </w:p>
    <w:p w:rsidR="00365171" w:rsidRDefault="00365171" w:rsidP="00783993">
      <w:pPr>
        <w:jc w:val="both"/>
        <w:rPr>
          <w:rFonts w:ascii="Cambria" w:hAnsi="Cambria"/>
          <w:sz w:val="24"/>
          <w:szCs w:val="24"/>
          <w:lang w:val="en-US"/>
        </w:rPr>
      </w:pPr>
    </w:p>
    <w:p w:rsidR="00783993" w:rsidRPr="0030561C" w:rsidRDefault="00783993" w:rsidP="00737511">
      <w:pPr>
        <w:jc w:val="both"/>
        <w:rPr>
          <w:rFonts w:ascii="Cambria" w:hAnsi="Cambria"/>
          <w:sz w:val="24"/>
          <w:szCs w:val="24"/>
        </w:rPr>
      </w:pPr>
    </w:p>
    <w:sectPr w:rsidR="00783993" w:rsidRPr="0030561C" w:rsidSect="00BE23D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105" w:rsidRDefault="00681105" w:rsidP="00ED412C">
      <w:pPr>
        <w:spacing w:after="0" w:line="240" w:lineRule="auto"/>
      </w:pPr>
      <w:r>
        <w:separator/>
      </w:r>
    </w:p>
  </w:endnote>
  <w:endnote w:type="continuationSeparator" w:id="0">
    <w:p w:rsidR="00681105" w:rsidRDefault="00681105" w:rsidP="00ED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105" w:rsidRDefault="00681105" w:rsidP="00ED412C">
      <w:pPr>
        <w:spacing w:after="0" w:line="240" w:lineRule="auto"/>
      </w:pPr>
      <w:r>
        <w:separator/>
      </w:r>
    </w:p>
  </w:footnote>
  <w:footnote w:type="continuationSeparator" w:id="0">
    <w:p w:rsidR="00681105" w:rsidRDefault="00681105" w:rsidP="00ED412C">
      <w:pPr>
        <w:spacing w:after="0" w:line="240" w:lineRule="auto"/>
      </w:pPr>
      <w:r>
        <w:continuationSeparator/>
      </w:r>
    </w:p>
  </w:footnote>
  <w:footnote w:id="1">
    <w:p w:rsidR="00822A21" w:rsidRPr="00822A21" w:rsidRDefault="00822A21">
      <w:pPr>
        <w:pStyle w:val="a5"/>
        <w:rPr>
          <w:lang w:val="en-US"/>
        </w:rPr>
      </w:pPr>
      <w:r>
        <w:rPr>
          <w:rStyle w:val="a7"/>
        </w:rPr>
        <w:footnoteRef/>
      </w:r>
      <w:r>
        <w:t xml:space="preserve"> </w:t>
      </w:r>
      <w:hyperlink r:id="rId1" w:history="1">
        <w:r w:rsidRPr="0016747C">
          <w:rPr>
            <w:rStyle w:val="a4"/>
            <w:rFonts w:ascii="Cambria" w:hAnsi="Cambria"/>
          </w:rPr>
          <w:t>https://www.sfc.hk/-/media/EN/assets/components/codes/files-current/web/codes/code-of-conduct-for-persons-licensed-by-or-registered-with-the-securities-and-futures-commission/Code_of_conduct_05082022_Eng.pdf</w:t>
        </w:r>
      </w:hyperlink>
    </w:p>
  </w:footnote>
  <w:footnote w:id="2">
    <w:p w:rsidR="00822A21" w:rsidRDefault="00822A21">
      <w:pPr>
        <w:pStyle w:val="a5"/>
      </w:pPr>
      <w:r>
        <w:rPr>
          <w:rStyle w:val="a7"/>
        </w:rPr>
        <w:footnoteRef/>
      </w:r>
      <w:r>
        <w:t xml:space="preserve"> </w:t>
      </w:r>
      <w:hyperlink r:id="rId2" w:history="1">
        <w:r w:rsidRPr="006A61EA">
          <w:rPr>
            <w:rStyle w:val="a4"/>
          </w:rPr>
          <w:t>https://www.sfc.hk/-/media/EN/files/ER/PDF/Sponsor-report_FINAL.pdf</w:t>
        </w:r>
      </w:hyperlink>
    </w:p>
    <w:p w:rsidR="00822A21" w:rsidRPr="00822A21" w:rsidRDefault="00822A21">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096B"/>
    <w:multiLevelType w:val="hybridMultilevel"/>
    <w:tmpl w:val="34DEB800"/>
    <w:lvl w:ilvl="0" w:tplc="F5EE4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826C0"/>
    <w:multiLevelType w:val="hybridMultilevel"/>
    <w:tmpl w:val="823CC1CC"/>
    <w:lvl w:ilvl="0" w:tplc="DA64B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D12E4"/>
    <w:multiLevelType w:val="hybridMultilevel"/>
    <w:tmpl w:val="C50C00A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05805"/>
    <w:multiLevelType w:val="hybridMultilevel"/>
    <w:tmpl w:val="79ECE9B6"/>
    <w:lvl w:ilvl="0" w:tplc="D6B0D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230023">
    <w:abstractNumId w:val="0"/>
  </w:num>
  <w:num w:numId="2" w16cid:durableId="849023740">
    <w:abstractNumId w:val="3"/>
  </w:num>
  <w:num w:numId="3" w16cid:durableId="168562294">
    <w:abstractNumId w:val="1"/>
  </w:num>
  <w:num w:numId="4" w16cid:durableId="71993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C3"/>
    <w:rsid w:val="00011612"/>
    <w:rsid w:val="000141CD"/>
    <w:rsid w:val="000268BF"/>
    <w:rsid w:val="00030A8B"/>
    <w:rsid w:val="00041307"/>
    <w:rsid w:val="0006102B"/>
    <w:rsid w:val="00062930"/>
    <w:rsid w:val="00070663"/>
    <w:rsid w:val="00074054"/>
    <w:rsid w:val="00075406"/>
    <w:rsid w:val="00077056"/>
    <w:rsid w:val="00082C92"/>
    <w:rsid w:val="00085BB7"/>
    <w:rsid w:val="0008651F"/>
    <w:rsid w:val="00087C95"/>
    <w:rsid w:val="0009002B"/>
    <w:rsid w:val="000A3232"/>
    <w:rsid w:val="000A5FE8"/>
    <w:rsid w:val="000A7554"/>
    <w:rsid w:val="000B0703"/>
    <w:rsid w:val="000B16B0"/>
    <w:rsid w:val="000B1F9D"/>
    <w:rsid w:val="000B2CB3"/>
    <w:rsid w:val="000B44AE"/>
    <w:rsid w:val="000B531F"/>
    <w:rsid w:val="000C2256"/>
    <w:rsid w:val="000C3558"/>
    <w:rsid w:val="000C5FEC"/>
    <w:rsid w:val="000C67D8"/>
    <w:rsid w:val="000D0E06"/>
    <w:rsid w:val="000E1FF3"/>
    <w:rsid w:val="000E70DC"/>
    <w:rsid w:val="000F4B2F"/>
    <w:rsid w:val="000F64C1"/>
    <w:rsid w:val="000F67FD"/>
    <w:rsid w:val="00100A16"/>
    <w:rsid w:val="0010243F"/>
    <w:rsid w:val="00104924"/>
    <w:rsid w:val="0010780D"/>
    <w:rsid w:val="0011767E"/>
    <w:rsid w:val="001176E7"/>
    <w:rsid w:val="00117847"/>
    <w:rsid w:val="00121517"/>
    <w:rsid w:val="00122C93"/>
    <w:rsid w:val="001249FD"/>
    <w:rsid w:val="001259C9"/>
    <w:rsid w:val="00127B5C"/>
    <w:rsid w:val="0013027C"/>
    <w:rsid w:val="00132B52"/>
    <w:rsid w:val="0013335A"/>
    <w:rsid w:val="001348B3"/>
    <w:rsid w:val="00150F0A"/>
    <w:rsid w:val="001520BE"/>
    <w:rsid w:val="0016260E"/>
    <w:rsid w:val="00163FD4"/>
    <w:rsid w:val="0016721D"/>
    <w:rsid w:val="00167243"/>
    <w:rsid w:val="0016747C"/>
    <w:rsid w:val="00173542"/>
    <w:rsid w:val="00180846"/>
    <w:rsid w:val="00186662"/>
    <w:rsid w:val="00190CF3"/>
    <w:rsid w:val="001B3BF9"/>
    <w:rsid w:val="001B4E38"/>
    <w:rsid w:val="001B7E27"/>
    <w:rsid w:val="001D012B"/>
    <w:rsid w:val="001D1239"/>
    <w:rsid w:val="001D23C5"/>
    <w:rsid w:val="001D7007"/>
    <w:rsid w:val="001E24F7"/>
    <w:rsid w:val="001E450F"/>
    <w:rsid w:val="001E45E7"/>
    <w:rsid w:val="001E79E1"/>
    <w:rsid w:val="001F16EE"/>
    <w:rsid w:val="001F669D"/>
    <w:rsid w:val="002061D5"/>
    <w:rsid w:val="00206A0E"/>
    <w:rsid w:val="00213265"/>
    <w:rsid w:val="002133FC"/>
    <w:rsid w:val="00214F59"/>
    <w:rsid w:val="00215FA1"/>
    <w:rsid w:val="00216675"/>
    <w:rsid w:val="00217959"/>
    <w:rsid w:val="00224090"/>
    <w:rsid w:val="002264D3"/>
    <w:rsid w:val="002270C8"/>
    <w:rsid w:val="0023575D"/>
    <w:rsid w:val="00235A06"/>
    <w:rsid w:val="0023719E"/>
    <w:rsid w:val="002421A2"/>
    <w:rsid w:val="00243351"/>
    <w:rsid w:val="002433E4"/>
    <w:rsid w:val="00253C0C"/>
    <w:rsid w:val="0025455D"/>
    <w:rsid w:val="0027223C"/>
    <w:rsid w:val="002723B3"/>
    <w:rsid w:val="00274472"/>
    <w:rsid w:val="00276454"/>
    <w:rsid w:val="00276D41"/>
    <w:rsid w:val="00287257"/>
    <w:rsid w:val="002A5169"/>
    <w:rsid w:val="002A7302"/>
    <w:rsid w:val="002B5993"/>
    <w:rsid w:val="002C17C9"/>
    <w:rsid w:val="002C1D43"/>
    <w:rsid w:val="002C2473"/>
    <w:rsid w:val="002C371B"/>
    <w:rsid w:val="002C55E7"/>
    <w:rsid w:val="002D0CB9"/>
    <w:rsid w:val="002D3696"/>
    <w:rsid w:val="002D44B6"/>
    <w:rsid w:val="002D7585"/>
    <w:rsid w:val="002E62CF"/>
    <w:rsid w:val="002F2E56"/>
    <w:rsid w:val="0030054F"/>
    <w:rsid w:val="00302844"/>
    <w:rsid w:val="0030561C"/>
    <w:rsid w:val="00307D4E"/>
    <w:rsid w:val="00310D13"/>
    <w:rsid w:val="00317028"/>
    <w:rsid w:val="0031751A"/>
    <w:rsid w:val="00323EB3"/>
    <w:rsid w:val="00330798"/>
    <w:rsid w:val="00330D9C"/>
    <w:rsid w:val="00336043"/>
    <w:rsid w:val="00345046"/>
    <w:rsid w:val="0034553F"/>
    <w:rsid w:val="003465F6"/>
    <w:rsid w:val="003471A3"/>
    <w:rsid w:val="00347B4B"/>
    <w:rsid w:val="00350035"/>
    <w:rsid w:val="00352929"/>
    <w:rsid w:val="00353D76"/>
    <w:rsid w:val="00353E0A"/>
    <w:rsid w:val="00360E12"/>
    <w:rsid w:val="00365171"/>
    <w:rsid w:val="00367F2C"/>
    <w:rsid w:val="00374E38"/>
    <w:rsid w:val="0037502F"/>
    <w:rsid w:val="00376094"/>
    <w:rsid w:val="00385982"/>
    <w:rsid w:val="003909B4"/>
    <w:rsid w:val="00395E25"/>
    <w:rsid w:val="00397CBC"/>
    <w:rsid w:val="003A4BC2"/>
    <w:rsid w:val="003A64F1"/>
    <w:rsid w:val="003B0C1C"/>
    <w:rsid w:val="003B5D17"/>
    <w:rsid w:val="003D3EA9"/>
    <w:rsid w:val="003E226F"/>
    <w:rsid w:val="003E30C9"/>
    <w:rsid w:val="003E4B57"/>
    <w:rsid w:val="003E5267"/>
    <w:rsid w:val="003F10F9"/>
    <w:rsid w:val="003F6FBC"/>
    <w:rsid w:val="00400337"/>
    <w:rsid w:val="00405531"/>
    <w:rsid w:val="00414076"/>
    <w:rsid w:val="00426FDD"/>
    <w:rsid w:val="00430674"/>
    <w:rsid w:val="004365BB"/>
    <w:rsid w:val="00447829"/>
    <w:rsid w:val="00460A46"/>
    <w:rsid w:val="004617B6"/>
    <w:rsid w:val="004620F3"/>
    <w:rsid w:val="0046797E"/>
    <w:rsid w:val="00477B66"/>
    <w:rsid w:val="00483CB7"/>
    <w:rsid w:val="00490B78"/>
    <w:rsid w:val="00491FF3"/>
    <w:rsid w:val="00494966"/>
    <w:rsid w:val="00495FF7"/>
    <w:rsid w:val="004A338C"/>
    <w:rsid w:val="004B1651"/>
    <w:rsid w:val="004B5D16"/>
    <w:rsid w:val="004C1F21"/>
    <w:rsid w:val="004C6364"/>
    <w:rsid w:val="004D0EF2"/>
    <w:rsid w:val="004D25BE"/>
    <w:rsid w:val="004D3F90"/>
    <w:rsid w:val="004E03F7"/>
    <w:rsid w:val="004E0C3E"/>
    <w:rsid w:val="004F0CC9"/>
    <w:rsid w:val="005128FE"/>
    <w:rsid w:val="005166F9"/>
    <w:rsid w:val="005273D4"/>
    <w:rsid w:val="0052751F"/>
    <w:rsid w:val="00531B01"/>
    <w:rsid w:val="005537FD"/>
    <w:rsid w:val="00557B37"/>
    <w:rsid w:val="0056215F"/>
    <w:rsid w:val="0056263F"/>
    <w:rsid w:val="005675B8"/>
    <w:rsid w:val="00570AA3"/>
    <w:rsid w:val="005741B7"/>
    <w:rsid w:val="00574FE0"/>
    <w:rsid w:val="00576A49"/>
    <w:rsid w:val="00581FCE"/>
    <w:rsid w:val="00582032"/>
    <w:rsid w:val="00582477"/>
    <w:rsid w:val="005947A0"/>
    <w:rsid w:val="005A05FF"/>
    <w:rsid w:val="005A0792"/>
    <w:rsid w:val="005A0CE1"/>
    <w:rsid w:val="005A69E9"/>
    <w:rsid w:val="005B13C9"/>
    <w:rsid w:val="005B4284"/>
    <w:rsid w:val="005C4692"/>
    <w:rsid w:val="005D14E1"/>
    <w:rsid w:val="005D1FC6"/>
    <w:rsid w:val="005D3E71"/>
    <w:rsid w:val="005D44BF"/>
    <w:rsid w:val="005E1FBE"/>
    <w:rsid w:val="005E3A4D"/>
    <w:rsid w:val="005E522C"/>
    <w:rsid w:val="005E5BB8"/>
    <w:rsid w:val="005E79A1"/>
    <w:rsid w:val="005E7A9F"/>
    <w:rsid w:val="005F1756"/>
    <w:rsid w:val="005F4C33"/>
    <w:rsid w:val="005F7113"/>
    <w:rsid w:val="005F799D"/>
    <w:rsid w:val="005F7B40"/>
    <w:rsid w:val="00603E86"/>
    <w:rsid w:val="00605167"/>
    <w:rsid w:val="0061063F"/>
    <w:rsid w:val="00611E0C"/>
    <w:rsid w:val="00616EF5"/>
    <w:rsid w:val="00620A84"/>
    <w:rsid w:val="00620C2D"/>
    <w:rsid w:val="0062232B"/>
    <w:rsid w:val="006235BE"/>
    <w:rsid w:val="006238C9"/>
    <w:rsid w:val="006371BF"/>
    <w:rsid w:val="00643044"/>
    <w:rsid w:val="00646CB4"/>
    <w:rsid w:val="0065128F"/>
    <w:rsid w:val="00651570"/>
    <w:rsid w:val="006550D6"/>
    <w:rsid w:val="006751C0"/>
    <w:rsid w:val="00675B7F"/>
    <w:rsid w:val="00681105"/>
    <w:rsid w:val="006813C6"/>
    <w:rsid w:val="006901DB"/>
    <w:rsid w:val="0069081B"/>
    <w:rsid w:val="00691958"/>
    <w:rsid w:val="0069222A"/>
    <w:rsid w:val="006971CA"/>
    <w:rsid w:val="006A410C"/>
    <w:rsid w:val="006B09B4"/>
    <w:rsid w:val="006B4E1B"/>
    <w:rsid w:val="006C0852"/>
    <w:rsid w:val="006C09D2"/>
    <w:rsid w:val="006C1E38"/>
    <w:rsid w:val="006C281F"/>
    <w:rsid w:val="006C41D9"/>
    <w:rsid w:val="006D3648"/>
    <w:rsid w:val="006D3943"/>
    <w:rsid w:val="006E0041"/>
    <w:rsid w:val="006E149C"/>
    <w:rsid w:val="006E50D9"/>
    <w:rsid w:val="006E6CC1"/>
    <w:rsid w:val="006F51A6"/>
    <w:rsid w:val="00705AF2"/>
    <w:rsid w:val="00705C93"/>
    <w:rsid w:val="007067D7"/>
    <w:rsid w:val="00713CA6"/>
    <w:rsid w:val="0071499B"/>
    <w:rsid w:val="00716B43"/>
    <w:rsid w:val="00720217"/>
    <w:rsid w:val="00721267"/>
    <w:rsid w:val="00726126"/>
    <w:rsid w:val="00726409"/>
    <w:rsid w:val="00733F78"/>
    <w:rsid w:val="00737511"/>
    <w:rsid w:val="00740808"/>
    <w:rsid w:val="00743818"/>
    <w:rsid w:val="00745270"/>
    <w:rsid w:val="00745FB1"/>
    <w:rsid w:val="00753BD2"/>
    <w:rsid w:val="007551AE"/>
    <w:rsid w:val="00755E41"/>
    <w:rsid w:val="0076112B"/>
    <w:rsid w:val="00761FC9"/>
    <w:rsid w:val="00774A74"/>
    <w:rsid w:val="0077772B"/>
    <w:rsid w:val="00777829"/>
    <w:rsid w:val="00783993"/>
    <w:rsid w:val="00786B8F"/>
    <w:rsid w:val="00787594"/>
    <w:rsid w:val="00790DCD"/>
    <w:rsid w:val="00795D97"/>
    <w:rsid w:val="00796084"/>
    <w:rsid w:val="007A5DBB"/>
    <w:rsid w:val="007A6B84"/>
    <w:rsid w:val="007B59DD"/>
    <w:rsid w:val="007B7BD4"/>
    <w:rsid w:val="007C6245"/>
    <w:rsid w:val="007D0534"/>
    <w:rsid w:val="007D0A6F"/>
    <w:rsid w:val="007D1ECD"/>
    <w:rsid w:val="007E3D06"/>
    <w:rsid w:val="007F0802"/>
    <w:rsid w:val="007F1A29"/>
    <w:rsid w:val="007F3C14"/>
    <w:rsid w:val="008013A0"/>
    <w:rsid w:val="00802C07"/>
    <w:rsid w:val="00806371"/>
    <w:rsid w:val="00806A1E"/>
    <w:rsid w:val="00814369"/>
    <w:rsid w:val="00822A21"/>
    <w:rsid w:val="00826CAD"/>
    <w:rsid w:val="00830F3A"/>
    <w:rsid w:val="00832315"/>
    <w:rsid w:val="00853D36"/>
    <w:rsid w:val="0086094E"/>
    <w:rsid w:val="00861869"/>
    <w:rsid w:val="00866D62"/>
    <w:rsid w:val="0087697B"/>
    <w:rsid w:val="00883A89"/>
    <w:rsid w:val="00891F86"/>
    <w:rsid w:val="0089221F"/>
    <w:rsid w:val="0089493F"/>
    <w:rsid w:val="008A291F"/>
    <w:rsid w:val="008B111A"/>
    <w:rsid w:val="008C1099"/>
    <w:rsid w:val="008C65F5"/>
    <w:rsid w:val="008D1314"/>
    <w:rsid w:val="008D293E"/>
    <w:rsid w:val="008D3212"/>
    <w:rsid w:val="008D7BCB"/>
    <w:rsid w:val="008F0ADA"/>
    <w:rsid w:val="009011DC"/>
    <w:rsid w:val="0090506D"/>
    <w:rsid w:val="00905653"/>
    <w:rsid w:val="009075A9"/>
    <w:rsid w:val="00907689"/>
    <w:rsid w:val="009105DC"/>
    <w:rsid w:val="00912887"/>
    <w:rsid w:val="00913FB2"/>
    <w:rsid w:val="009178E8"/>
    <w:rsid w:val="00925FAD"/>
    <w:rsid w:val="00930B3E"/>
    <w:rsid w:val="00933130"/>
    <w:rsid w:val="00942343"/>
    <w:rsid w:val="00944653"/>
    <w:rsid w:val="00946516"/>
    <w:rsid w:val="00950895"/>
    <w:rsid w:val="00951CCC"/>
    <w:rsid w:val="009574D0"/>
    <w:rsid w:val="00965C93"/>
    <w:rsid w:val="00971CFE"/>
    <w:rsid w:val="00973AC5"/>
    <w:rsid w:val="009776FB"/>
    <w:rsid w:val="00992246"/>
    <w:rsid w:val="009941C7"/>
    <w:rsid w:val="00997320"/>
    <w:rsid w:val="009A0150"/>
    <w:rsid w:val="009A5953"/>
    <w:rsid w:val="009A6C59"/>
    <w:rsid w:val="009B009B"/>
    <w:rsid w:val="009B0AB6"/>
    <w:rsid w:val="009B10C1"/>
    <w:rsid w:val="009B13D0"/>
    <w:rsid w:val="009B307B"/>
    <w:rsid w:val="009C0122"/>
    <w:rsid w:val="009C0D4A"/>
    <w:rsid w:val="009C6D67"/>
    <w:rsid w:val="009D45E3"/>
    <w:rsid w:val="009E0DA4"/>
    <w:rsid w:val="009E1037"/>
    <w:rsid w:val="009E3F83"/>
    <w:rsid w:val="009E533C"/>
    <w:rsid w:val="009F6228"/>
    <w:rsid w:val="00A07AB1"/>
    <w:rsid w:val="00A133B3"/>
    <w:rsid w:val="00A13FA6"/>
    <w:rsid w:val="00A17176"/>
    <w:rsid w:val="00A22160"/>
    <w:rsid w:val="00A24F93"/>
    <w:rsid w:val="00A33136"/>
    <w:rsid w:val="00A44551"/>
    <w:rsid w:val="00A45BCD"/>
    <w:rsid w:val="00A51985"/>
    <w:rsid w:val="00A53D53"/>
    <w:rsid w:val="00A56439"/>
    <w:rsid w:val="00A61C4A"/>
    <w:rsid w:val="00A64066"/>
    <w:rsid w:val="00A702AB"/>
    <w:rsid w:val="00A72D1D"/>
    <w:rsid w:val="00A8349E"/>
    <w:rsid w:val="00A9293A"/>
    <w:rsid w:val="00A94D2C"/>
    <w:rsid w:val="00A9702D"/>
    <w:rsid w:val="00A97524"/>
    <w:rsid w:val="00AA3DE9"/>
    <w:rsid w:val="00AA3E2B"/>
    <w:rsid w:val="00AC0426"/>
    <w:rsid w:val="00AC0B43"/>
    <w:rsid w:val="00AC2B01"/>
    <w:rsid w:val="00AD1FDF"/>
    <w:rsid w:val="00AD2507"/>
    <w:rsid w:val="00AE4555"/>
    <w:rsid w:val="00AE494B"/>
    <w:rsid w:val="00AF795E"/>
    <w:rsid w:val="00B02CF7"/>
    <w:rsid w:val="00B1102C"/>
    <w:rsid w:val="00B113EF"/>
    <w:rsid w:val="00B11B26"/>
    <w:rsid w:val="00B17FFE"/>
    <w:rsid w:val="00B21B02"/>
    <w:rsid w:val="00B22905"/>
    <w:rsid w:val="00B25068"/>
    <w:rsid w:val="00B2637A"/>
    <w:rsid w:val="00B263B9"/>
    <w:rsid w:val="00B26513"/>
    <w:rsid w:val="00B274E4"/>
    <w:rsid w:val="00B27C0A"/>
    <w:rsid w:val="00B30847"/>
    <w:rsid w:val="00B4108F"/>
    <w:rsid w:val="00B46B3C"/>
    <w:rsid w:val="00B47E31"/>
    <w:rsid w:val="00B50594"/>
    <w:rsid w:val="00B560FE"/>
    <w:rsid w:val="00B57DB5"/>
    <w:rsid w:val="00B6272C"/>
    <w:rsid w:val="00B66AB6"/>
    <w:rsid w:val="00B72E13"/>
    <w:rsid w:val="00B74A67"/>
    <w:rsid w:val="00B8101B"/>
    <w:rsid w:val="00B82412"/>
    <w:rsid w:val="00B967B1"/>
    <w:rsid w:val="00BA191F"/>
    <w:rsid w:val="00BA716F"/>
    <w:rsid w:val="00BA7841"/>
    <w:rsid w:val="00BB0738"/>
    <w:rsid w:val="00BB2D91"/>
    <w:rsid w:val="00BB62B1"/>
    <w:rsid w:val="00BB794C"/>
    <w:rsid w:val="00BC00FC"/>
    <w:rsid w:val="00BC53B3"/>
    <w:rsid w:val="00BD0A02"/>
    <w:rsid w:val="00BD1B1E"/>
    <w:rsid w:val="00BD2AC2"/>
    <w:rsid w:val="00BE06ED"/>
    <w:rsid w:val="00BE0B00"/>
    <w:rsid w:val="00BE0D79"/>
    <w:rsid w:val="00BE1384"/>
    <w:rsid w:val="00BE23DC"/>
    <w:rsid w:val="00BE31DF"/>
    <w:rsid w:val="00BF2DAA"/>
    <w:rsid w:val="00BF4AEE"/>
    <w:rsid w:val="00BF539B"/>
    <w:rsid w:val="00C02E5E"/>
    <w:rsid w:val="00C05CB1"/>
    <w:rsid w:val="00C061DF"/>
    <w:rsid w:val="00C068F9"/>
    <w:rsid w:val="00C07F3F"/>
    <w:rsid w:val="00C12CDD"/>
    <w:rsid w:val="00C144A8"/>
    <w:rsid w:val="00C1610F"/>
    <w:rsid w:val="00C16F98"/>
    <w:rsid w:val="00C17413"/>
    <w:rsid w:val="00C33291"/>
    <w:rsid w:val="00C413B8"/>
    <w:rsid w:val="00C44247"/>
    <w:rsid w:val="00C460A4"/>
    <w:rsid w:val="00C46207"/>
    <w:rsid w:val="00C46CD7"/>
    <w:rsid w:val="00C505EE"/>
    <w:rsid w:val="00C53512"/>
    <w:rsid w:val="00C53640"/>
    <w:rsid w:val="00C54C35"/>
    <w:rsid w:val="00C619B6"/>
    <w:rsid w:val="00C71125"/>
    <w:rsid w:val="00C72006"/>
    <w:rsid w:val="00C74F04"/>
    <w:rsid w:val="00C800EF"/>
    <w:rsid w:val="00C846D1"/>
    <w:rsid w:val="00C84CC6"/>
    <w:rsid w:val="00C8714A"/>
    <w:rsid w:val="00C87B7A"/>
    <w:rsid w:val="00C91DDB"/>
    <w:rsid w:val="00C9250C"/>
    <w:rsid w:val="00C977B4"/>
    <w:rsid w:val="00C97D16"/>
    <w:rsid w:val="00CA3B85"/>
    <w:rsid w:val="00CA7778"/>
    <w:rsid w:val="00CC0704"/>
    <w:rsid w:val="00CC5B44"/>
    <w:rsid w:val="00CD0776"/>
    <w:rsid w:val="00CD192C"/>
    <w:rsid w:val="00CD20AB"/>
    <w:rsid w:val="00CD2379"/>
    <w:rsid w:val="00CD7342"/>
    <w:rsid w:val="00CD7FFD"/>
    <w:rsid w:val="00CE040F"/>
    <w:rsid w:val="00CE4C0C"/>
    <w:rsid w:val="00CE7E61"/>
    <w:rsid w:val="00CF5104"/>
    <w:rsid w:val="00D00701"/>
    <w:rsid w:val="00D02041"/>
    <w:rsid w:val="00D020C7"/>
    <w:rsid w:val="00D02582"/>
    <w:rsid w:val="00D0291F"/>
    <w:rsid w:val="00D10B19"/>
    <w:rsid w:val="00D1168D"/>
    <w:rsid w:val="00D17C1B"/>
    <w:rsid w:val="00D20294"/>
    <w:rsid w:val="00D21A4C"/>
    <w:rsid w:val="00D23B7C"/>
    <w:rsid w:val="00D26E3E"/>
    <w:rsid w:val="00D27ACD"/>
    <w:rsid w:val="00D36CB2"/>
    <w:rsid w:val="00D40B89"/>
    <w:rsid w:val="00D455F5"/>
    <w:rsid w:val="00D57201"/>
    <w:rsid w:val="00D605D6"/>
    <w:rsid w:val="00D63EB6"/>
    <w:rsid w:val="00D72300"/>
    <w:rsid w:val="00D73B40"/>
    <w:rsid w:val="00D75B29"/>
    <w:rsid w:val="00D837E0"/>
    <w:rsid w:val="00D91DB5"/>
    <w:rsid w:val="00DA14C3"/>
    <w:rsid w:val="00DA1A7C"/>
    <w:rsid w:val="00DA44AA"/>
    <w:rsid w:val="00DA4646"/>
    <w:rsid w:val="00DA47E5"/>
    <w:rsid w:val="00DA69D6"/>
    <w:rsid w:val="00DB1F0B"/>
    <w:rsid w:val="00DB2CE5"/>
    <w:rsid w:val="00DB4065"/>
    <w:rsid w:val="00DB4B41"/>
    <w:rsid w:val="00DC0C78"/>
    <w:rsid w:val="00DC7368"/>
    <w:rsid w:val="00DC773D"/>
    <w:rsid w:val="00DC7F4D"/>
    <w:rsid w:val="00DD2FFF"/>
    <w:rsid w:val="00DD6678"/>
    <w:rsid w:val="00DE74F7"/>
    <w:rsid w:val="00DF2856"/>
    <w:rsid w:val="00DF4659"/>
    <w:rsid w:val="00E03A52"/>
    <w:rsid w:val="00E03B81"/>
    <w:rsid w:val="00E060D8"/>
    <w:rsid w:val="00E3011B"/>
    <w:rsid w:val="00E32539"/>
    <w:rsid w:val="00E43FF3"/>
    <w:rsid w:val="00E46056"/>
    <w:rsid w:val="00E47E9A"/>
    <w:rsid w:val="00E53184"/>
    <w:rsid w:val="00E5469F"/>
    <w:rsid w:val="00E55B45"/>
    <w:rsid w:val="00E64697"/>
    <w:rsid w:val="00E73709"/>
    <w:rsid w:val="00E74A59"/>
    <w:rsid w:val="00E76A5A"/>
    <w:rsid w:val="00E83384"/>
    <w:rsid w:val="00E8360C"/>
    <w:rsid w:val="00E83AFD"/>
    <w:rsid w:val="00E84B38"/>
    <w:rsid w:val="00E908ED"/>
    <w:rsid w:val="00E935A8"/>
    <w:rsid w:val="00E97D7A"/>
    <w:rsid w:val="00EA024B"/>
    <w:rsid w:val="00EA5342"/>
    <w:rsid w:val="00EA7584"/>
    <w:rsid w:val="00EB50BF"/>
    <w:rsid w:val="00EC0867"/>
    <w:rsid w:val="00EC22DE"/>
    <w:rsid w:val="00ED412C"/>
    <w:rsid w:val="00ED5A99"/>
    <w:rsid w:val="00EE5766"/>
    <w:rsid w:val="00EF5AE5"/>
    <w:rsid w:val="00EF773A"/>
    <w:rsid w:val="00F03DC3"/>
    <w:rsid w:val="00F0704C"/>
    <w:rsid w:val="00F15795"/>
    <w:rsid w:val="00F30DCA"/>
    <w:rsid w:val="00F4071B"/>
    <w:rsid w:val="00F45FA1"/>
    <w:rsid w:val="00F47006"/>
    <w:rsid w:val="00F475DA"/>
    <w:rsid w:val="00F722F8"/>
    <w:rsid w:val="00F834BC"/>
    <w:rsid w:val="00F90E9C"/>
    <w:rsid w:val="00F92E47"/>
    <w:rsid w:val="00F93531"/>
    <w:rsid w:val="00F93B98"/>
    <w:rsid w:val="00F95B4F"/>
    <w:rsid w:val="00F97D10"/>
    <w:rsid w:val="00FA2C2F"/>
    <w:rsid w:val="00FB012F"/>
    <w:rsid w:val="00FB04BB"/>
    <w:rsid w:val="00FB0525"/>
    <w:rsid w:val="00FB09B6"/>
    <w:rsid w:val="00FB4852"/>
    <w:rsid w:val="00FD232B"/>
    <w:rsid w:val="00FD2339"/>
    <w:rsid w:val="00FD4265"/>
    <w:rsid w:val="00FE16BC"/>
    <w:rsid w:val="00FF0139"/>
    <w:rsid w:val="00FF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5E71"/>
  <w15:chartTrackingRefBased/>
  <w15:docId w15:val="{38EE7334-F965-4DA1-BCED-84F43E21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C3"/>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A49"/>
    <w:pPr>
      <w:ind w:left="720"/>
      <w:contextualSpacing/>
    </w:pPr>
  </w:style>
  <w:style w:type="character" w:styleId="a4">
    <w:name w:val="Hyperlink"/>
    <w:basedOn w:val="a0"/>
    <w:uiPriority w:val="99"/>
    <w:unhideWhenUsed/>
    <w:rsid w:val="00DB4B41"/>
    <w:rPr>
      <w:color w:val="0563C1" w:themeColor="hyperlink"/>
      <w:u w:val="single"/>
    </w:rPr>
  </w:style>
  <w:style w:type="paragraph" w:styleId="a5">
    <w:name w:val="footnote text"/>
    <w:basedOn w:val="a"/>
    <w:link w:val="a6"/>
    <w:uiPriority w:val="99"/>
    <w:semiHidden/>
    <w:unhideWhenUsed/>
    <w:rsid w:val="00ED412C"/>
    <w:pPr>
      <w:spacing w:after="0" w:line="240" w:lineRule="auto"/>
    </w:pPr>
    <w:rPr>
      <w:sz w:val="20"/>
      <w:szCs w:val="20"/>
    </w:rPr>
  </w:style>
  <w:style w:type="character" w:customStyle="1" w:styleId="a6">
    <w:name w:val="Текст сноски Знак"/>
    <w:basedOn w:val="a0"/>
    <w:link w:val="a5"/>
    <w:uiPriority w:val="99"/>
    <w:semiHidden/>
    <w:rsid w:val="00ED412C"/>
    <w:rPr>
      <w:sz w:val="20"/>
      <w:szCs w:val="20"/>
      <w:lang w:val="en-GB"/>
    </w:rPr>
  </w:style>
  <w:style w:type="character" w:styleId="a7">
    <w:name w:val="footnote reference"/>
    <w:basedOn w:val="a0"/>
    <w:uiPriority w:val="99"/>
    <w:semiHidden/>
    <w:unhideWhenUsed/>
    <w:rsid w:val="00ED412C"/>
    <w:rPr>
      <w:vertAlign w:val="superscript"/>
    </w:rPr>
  </w:style>
  <w:style w:type="character" w:styleId="a8">
    <w:name w:val="FollowedHyperlink"/>
    <w:basedOn w:val="a0"/>
    <w:uiPriority w:val="99"/>
    <w:semiHidden/>
    <w:unhideWhenUsed/>
    <w:rsid w:val="0056215F"/>
    <w:rPr>
      <w:color w:val="954F72" w:themeColor="followedHyperlink"/>
      <w:u w:val="single"/>
    </w:rPr>
  </w:style>
  <w:style w:type="paragraph" w:styleId="a9">
    <w:name w:val="header"/>
    <w:basedOn w:val="a"/>
    <w:link w:val="aa"/>
    <w:uiPriority w:val="99"/>
    <w:unhideWhenUsed/>
    <w:rsid w:val="000F67F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0F67FD"/>
    <w:rPr>
      <w:lang w:val="en-GB"/>
    </w:rPr>
  </w:style>
  <w:style w:type="paragraph" w:styleId="ab">
    <w:name w:val="footer"/>
    <w:basedOn w:val="a"/>
    <w:link w:val="ac"/>
    <w:uiPriority w:val="99"/>
    <w:unhideWhenUsed/>
    <w:rsid w:val="000F67F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0F67FD"/>
    <w:rPr>
      <w:lang w:val="en-GB"/>
    </w:rPr>
  </w:style>
  <w:style w:type="character" w:styleId="ad">
    <w:name w:val="Unresolved Mention"/>
    <w:basedOn w:val="a0"/>
    <w:uiPriority w:val="99"/>
    <w:semiHidden/>
    <w:unhideWhenUsed/>
    <w:rsid w:val="00365171"/>
    <w:rPr>
      <w:color w:val="605E5C"/>
      <w:shd w:val="clear" w:color="auto" w:fill="E1DFDD"/>
    </w:rPr>
  </w:style>
  <w:style w:type="paragraph" w:customStyle="1" w:styleId="Disclaimer">
    <w:name w:val="Disclaimer"/>
    <w:basedOn w:val="a"/>
    <w:qFormat/>
    <w:rsid w:val="00365171"/>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365171"/>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365171"/>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sfc-hkma-disciplinary-actions-august-2022/" TargetMode="External"/><Relationship Id="rId13" Type="http://schemas.openxmlformats.org/officeDocument/2006/relationships/hyperlink" Target="https://www.sfc.hk/-/media/EN/files/ER/PDF/Sponsor-report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sfc.hk/edistributionWeb/api/news/openAppendix?lang=EN&amp;refNo=22PR58&amp;appendix=0" TargetMode="External"/><Relationship Id="rId5" Type="http://schemas.openxmlformats.org/officeDocument/2006/relationships/webSettings" Target="webSettings.xml"/><Relationship Id="rId15" Type="http://schemas.openxmlformats.org/officeDocument/2006/relationships/hyperlink" Target="https://www.hkma.gov.hk/media/eng/doc/key-information/press-release/2022/20220826e6a1.pdf" TargetMode="External"/><Relationship Id="rId10" Type="http://schemas.openxmlformats.org/officeDocument/2006/relationships/hyperlink" Target="https://www.hkex.com.hk/-/media/HKEX-Market/Listing/Rules-and-Guidance/Disciplinary-and-Enforcement/Disciplinary-Sanctions/2022/220810_SoDA.pdf" TargetMode="External"/><Relationship Id="rId4" Type="http://schemas.openxmlformats.org/officeDocument/2006/relationships/settings" Target="settings.xml"/><Relationship Id="rId9" Type="http://schemas.openxmlformats.org/officeDocument/2006/relationships/hyperlink" Target="https://www.hkex.com.hk/-/media/HKEX-Market/Listing/Rules-and-Guidance/Disciplinary-and-Enforcement/Disciplinary-Sanctions/2022/220805_SoDA.pdf" TargetMode="External"/><Relationship Id="rId14" Type="http://schemas.openxmlformats.org/officeDocument/2006/relationships/hyperlink" Target="https://apps.sfc.hk/edistributionWeb/gateway/EN/news-and-announcements/news/doc?refNo=22PR6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fc.hk/-/media/EN/files/ER/PDF/Sponsor-report_FINAL.pdf" TargetMode="External"/><Relationship Id="rId1"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825B-BF97-48A3-AC7F-FCA43F3D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3349</Words>
  <Characters>19092</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Александр Пирогов</cp:lastModifiedBy>
  <cp:revision>19</cp:revision>
  <dcterms:created xsi:type="dcterms:W3CDTF">2022-09-14T09:05:00Z</dcterms:created>
  <dcterms:modified xsi:type="dcterms:W3CDTF">2022-09-21T08:29:00Z</dcterms:modified>
</cp:coreProperties>
</file>