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46B7" w14:textId="215412DB" w:rsidR="00CC0E79" w:rsidRPr="00567E9D" w:rsidRDefault="00CC0E79" w:rsidP="00CC0E79">
      <w:pPr>
        <w:shd w:val="clear" w:color="auto" w:fill="000000"/>
        <w:spacing w:after="200" w:line="240" w:lineRule="auto"/>
        <w:jc w:val="center"/>
        <w:rPr>
          <w:rFonts w:ascii="Cambria" w:eastAsia="Cambria" w:hAnsi="Cambria" w:cs="Times New Roman"/>
          <w:color w:val="FFFFFF"/>
          <w:sz w:val="24"/>
          <w:szCs w:val="24"/>
          <w:lang w:eastAsia="en-US"/>
        </w:rPr>
      </w:pPr>
      <w:r>
        <w:rPr>
          <w:rFonts w:ascii="Cambria" w:eastAsia="Cambria" w:hAnsi="Cambria" w:cs="Times New Roman"/>
          <w:color w:val="FFFFFF"/>
          <w:sz w:val="24"/>
          <w:szCs w:val="24"/>
          <w:lang w:eastAsia="en-US"/>
        </w:rPr>
        <w:t xml:space="preserve">Charltons - Hong Kong Law - </w:t>
      </w:r>
      <w:r w:rsidRPr="008A0244">
        <w:rPr>
          <w:rFonts w:ascii="Cambria" w:eastAsia="Cambria" w:hAnsi="Cambria" w:cs="Times New Roman"/>
          <w:color w:val="FFFFFF"/>
          <w:sz w:val="24"/>
          <w:szCs w:val="24"/>
          <w:lang w:eastAsia="en-US"/>
        </w:rPr>
        <w:t>0</w:t>
      </w:r>
      <w:r w:rsidR="007304C4">
        <w:rPr>
          <w:rFonts w:ascii="Cambria" w:eastAsia="Cambria" w:hAnsi="Cambria" w:cs="Times New Roman"/>
          <w:color w:val="FFFFFF"/>
          <w:sz w:val="24"/>
          <w:szCs w:val="24"/>
          <w:lang w:eastAsia="en-US"/>
        </w:rPr>
        <w:t>7</w:t>
      </w:r>
      <w:r>
        <w:rPr>
          <w:rFonts w:ascii="Cambria" w:eastAsia="Cambria" w:hAnsi="Cambria" w:cs="Times New Roman"/>
          <w:color w:val="FFFFFF"/>
          <w:sz w:val="24"/>
          <w:szCs w:val="24"/>
          <w:lang w:eastAsia="en-US"/>
        </w:rPr>
        <w:t xml:space="preserve"> September</w:t>
      </w:r>
      <w:r w:rsidRPr="00567E9D">
        <w:rPr>
          <w:rFonts w:ascii="Cambria" w:eastAsia="Cambria" w:hAnsi="Cambria" w:cs="Times New Roman"/>
          <w:color w:val="FFFFFF"/>
          <w:sz w:val="24"/>
          <w:szCs w:val="24"/>
          <w:lang w:eastAsia="en-US"/>
        </w:rPr>
        <w:t xml:space="preserve"> 2022</w:t>
      </w:r>
    </w:p>
    <w:p w14:paraId="72E49FBF" w14:textId="688F1A2D" w:rsidR="00CC0E79" w:rsidRPr="00CC0E79" w:rsidRDefault="00000000" w:rsidP="00CC0E79">
      <w:pPr>
        <w:spacing w:after="200" w:line="240" w:lineRule="auto"/>
        <w:jc w:val="center"/>
        <w:rPr>
          <w:rFonts w:ascii="Cambria" w:eastAsia="Cambria" w:hAnsi="Cambria" w:cs="Times New Roman"/>
          <w:color w:val="00000A"/>
          <w:sz w:val="28"/>
          <w:szCs w:val="24"/>
          <w:u w:val="single"/>
          <w:lang w:eastAsia="en-US"/>
        </w:rPr>
      </w:pPr>
      <w:hyperlink r:id="rId8" w:history="1">
        <w:r w:rsidR="00CC0E79" w:rsidRPr="003D6684">
          <w:rPr>
            <w:rStyle w:val="a3"/>
            <w:rFonts w:ascii="Cambria" w:eastAsia="Cambria" w:hAnsi="Cambria" w:cs="Times New Roman"/>
            <w:sz w:val="28"/>
            <w:szCs w:val="24"/>
            <w:lang w:eastAsia="en-US"/>
          </w:rPr>
          <w:t>online version</w:t>
        </w:r>
      </w:hyperlink>
    </w:p>
    <w:p w14:paraId="2971E6C4" w14:textId="6DB9259B" w:rsidR="0087755E" w:rsidRPr="00B7584B" w:rsidRDefault="00BA27B6" w:rsidP="00CC0E79">
      <w:pPr>
        <w:spacing w:after="0"/>
        <w:jc w:val="center"/>
        <w:rPr>
          <w:b/>
          <w:color w:val="C00000"/>
          <w:sz w:val="40"/>
          <w:szCs w:val="40"/>
        </w:rPr>
      </w:pPr>
      <w:r w:rsidRPr="00B7584B">
        <w:rPr>
          <w:b/>
          <w:color w:val="C00000"/>
          <w:sz w:val="40"/>
          <w:szCs w:val="40"/>
        </w:rPr>
        <w:t xml:space="preserve">Hong Kong’s </w:t>
      </w:r>
      <w:r w:rsidR="0050235D">
        <w:rPr>
          <w:b/>
          <w:color w:val="C00000"/>
          <w:sz w:val="40"/>
          <w:szCs w:val="40"/>
        </w:rPr>
        <w:t>p</w:t>
      </w:r>
      <w:r w:rsidR="0050235D" w:rsidRPr="00B7584B">
        <w:rPr>
          <w:b/>
          <w:color w:val="C00000"/>
          <w:sz w:val="40"/>
          <w:szCs w:val="40"/>
        </w:rPr>
        <w:t xml:space="preserve">roposed </w:t>
      </w:r>
      <w:r w:rsidRPr="00B7584B">
        <w:rPr>
          <w:b/>
          <w:color w:val="C00000"/>
          <w:sz w:val="40"/>
          <w:szCs w:val="40"/>
        </w:rPr>
        <w:t>foreign source income exemption regime for passive income</w:t>
      </w:r>
    </w:p>
    <w:p w14:paraId="11AEB37D" w14:textId="77777777" w:rsidR="00BA27B6" w:rsidRDefault="00BA27B6" w:rsidP="009B1861">
      <w:pPr>
        <w:spacing w:after="0"/>
        <w:jc w:val="both"/>
      </w:pPr>
    </w:p>
    <w:p w14:paraId="2181D9E9" w14:textId="444561B1" w:rsidR="00D34BCD" w:rsidRDefault="00D34BCD" w:rsidP="000870CF">
      <w:pPr>
        <w:spacing w:after="0"/>
        <w:jc w:val="both"/>
      </w:pPr>
      <w:r>
        <w:t>Under Hong Kong’s Proposed FSIE Regime, offshore passive income will be deemed to be sourced from Hong Kong and subject to Hong Kong tax if certain requirements are met. The Hong Kong government plans to introduce an amendment bill on Hong Kong’s Proposed</w:t>
      </w:r>
      <w:r w:rsidRPr="00EB62F3">
        <w:t xml:space="preserve"> FSIE Regime</w:t>
      </w:r>
      <w:r>
        <w:t xml:space="preserve"> in October 2022 in order to bring the Proposed</w:t>
      </w:r>
      <w:r w:rsidRPr="00EB62F3">
        <w:t xml:space="preserve"> FSIE Regime</w:t>
      </w:r>
      <w:r>
        <w:t xml:space="preserve"> into effect from 1 January 2023.</w:t>
      </w:r>
    </w:p>
    <w:p w14:paraId="7BAB4041" w14:textId="1C3C913E" w:rsidR="00D34BCD" w:rsidRDefault="00D34BCD" w:rsidP="000870CF">
      <w:pPr>
        <w:spacing w:after="0"/>
        <w:jc w:val="both"/>
      </w:pPr>
    </w:p>
    <w:p w14:paraId="5A9CB87C" w14:textId="581EDFB4" w:rsidR="00D34BCD" w:rsidRPr="000D1B0A" w:rsidRDefault="00D34BCD" w:rsidP="000870CF">
      <w:pPr>
        <w:spacing w:after="0"/>
        <w:jc w:val="both"/>
        <w:rPr>
          <w:b/>
        </w:rPr>
      </w:pPr>
      <w:r w:rsidRPr="000D1B0A">
        <w:rPr>
          <w:b/>
        </w:rPr>
        <w:t>Hong Kong on EU “</w:t>
      </w:r>
      <w:r w:rsidRPr="00D34BCD">
        <w:rPr>
          <w:b/>
        </w:rPr>
        <w:t>Watchlist”</w:t>
      </w:r>
    </w:p>
    <w:p w14:paraId="60E96973" w14:textId="77777777" w:rsidR="00D34BCD" w:rsidRDefault="00D34BCD" w:rsidP="000870CF">
      <w:pPr>
        <w:spacing w:after="0"/>
        <w:jc w:val="both"/>
      </w:pPr>
    </w:p>
    <w:p w14:paraId="43CAFF6A" w14:textId="2EAB460E" w:rsidR="000870CF" w:rsidRDefault="000870CF" w:rsidP="000870CF">
      <w:pPr>
        <w:spacing w:after="0"/>
        <w:jc w:val="both"/>
      </w:pPr>
      <w:r w:rsidRPr="00987900">
        <w:t>On 5 December 2017, the Council of the European Unio</w:t>
      </w:r>
      <w:r>
        <w:t>n (</w:t>
      </w:r>
      <w:r w:rsidRPr="00C43F87">
        <w:rPr>
          <w:b/>
        </w:rPr>
        <w:t>EU</w:t>
      </w:r>
      <w:r w:rsidRPr="00987900">
        <w:t xml:space="preserve">) established </w:t>
      </w:r>
      <w:r>
        <w:t xml:space="preserve">the </w:t>
      </w:r>
      <w:r w:rsidRPr="00987900">
        <w:t>EU list of non-cooperative jurisdictions for tax purposes</w:t>
      </w:r>
      <w:r>
        <w:t>.</w:t>
      </w:r>
      <w:r w:rsidR="00BF0C34">
        <w:rPr>
          <w:rStyle w:val="a6"/>
        </w:rPr>
        <w:footnoteReference w:id="1"/>
      </w:r>
      <w:r>
        <w:t xml:space="preserve"> The criteria adopted for including a jurisdiction on the list are based on what the EU considers are recognised international tax standards with a focus on transparency, fair taxation and the implementation of the OECD Base Erosion and Profit Shifting (</w:t>
      </w:r>
      <w:r w:rsidRPr="0022281F">
        <w:rPr>
          <w:b/>
        </w:rPr>
        <w:t>BEPS</w:t>
      </w:r>
      <w:r>
        <w:t xml:space="preserve">) minimum standards. The list comprises </w:t>
      </w:r>
      <w:r w:rsidRPr="00987900">
        <w:t>two annexes</w:t>
      </w:r>
      <w:r>
        <w:t xml:space="preserve"> with</w:t>
      </w:r>
      <w:r w:rsidRPr="00987900">
        <w:t xml:space="preserve"> Annex I includ</w:t>
      </w:r>
      <w:r>
        <w:t xml:space="preserve">ing </w:t>
      </w:r>
      <w:r w:rsidRPr="00987900">
        <w:t xml:space="preserve">jurisdictions that fail to meet the EU’s criteria by </w:t>
      </w:r>
      <w:r>
        <w:t>specified deadlines</w:t>
      </w:r>
      <w:r w:rsidRPr="00987900">
        <w:t xml:space="preserve">, and Annex II </w:t>
      </w:r>
      <w:r>
        <w:t>(</w:t>
      </w:r>
      <w:r w:rsidRPr="006D3E42">
        <w:rPr>
          <w:b/>
        </w:rPr>
        <w:t xml:space="preserve">commonly known as the </w:t>
      </w:r>
      <w:r>
        <w:rPr>
          <w:b/>
        </w:rPr>
        <w:t>W</w:t>
      </w:r>
      <w:r w:rsidRPr="006D3E42">
        <w:rPr>
          <w:b/>
        </w:rPr>
        <w:t>atchlist</w:t>
      </w:r>
      <w:r>
        <w:t xml:space="preserve">) which </w:t>
      </w:r>
      <w:r w:rsidRPr="00987900">
        <w:t xml:space="preserve">includes jurisdictions </w:t>
      </w:r>
      <w:r>
        <w:t xml:space="preserve">that </w:t>
      </w:r>
      <w:r w:rsidRPr="00C43F87">
        <w:t>have not yet complied with all international tax standards but</w:t>
      </w:r>
      <w:r>
        <w:t xml:space="preserve"> are </w:t>
      </w:r>
      <w:r w:rsidRPr="00D0335D">
        <w:t>committed to implementing reforms</w:t>
      </w:r>
      <w:r w:rsidRPr="00987900">
        <w:t xml:space="preserve">. Once a jurisdiction </w:t>
      </w:r>
      <w:r>
        <w:t>meets</w:t>
      </w:r>
      <w:r w:rsidRPr="00987900">
        <w:t xml:space="preserve"> all of its commitme</w:t>
      </w:r>
      <w:r>
        <w:t>nts, its name is removed from the annex</w:t>
      </w:r>
      <w:r w:rsidRPr="00987900">
        <w:t>.</w:t>
      </w:r>
    </w:p>
    <w:p w14:paraId="5DB552AF" w14:textId="77777777" w:rsidR="000870CF" w:rsidRDefault="000870CF" w:rsidP="000870CF">
      <w:pPr>
        <w:spacing w:after="0"/>
        <w:jc w:val="both"/>
      </w:pPr>
    </w:p>
    <w:p w14:paraId="78C48DA9" w14:textId="76AFD0C3" w:rsidR="000870CF" w:rsidRDefault="000870CF" w:rsidP="000870CF">
      <w:pPr>
        <w:spacing w:after="0"/>
        <w:jc w:val="both"/>
      </w:pPr>
      <w:r>
        <w:t>On 5 October 2021, the</w:t>
      </w:r>
      <w:r w:rsidRPr="003028E9">
        <w:t xml:space="preserve"> EU</w:t>
      </w:r>
      <w:r>
        <w:t xml:space="preserve"> placed Hong Kong on its W</w:t>
      </w:r>
      <w:r w:rsidRPr="00627314">
        <w:t xml:space="preserve">atchlist </w:t>
      </w:r>
      <w:r>
        <w:t>because of its foreign-source income exemption regime.</w:t>
      </w:r>
      <w:r>
        <w:rPr>
          <w:rStyle w:val="a6"/>
        </w:rPr>
        <w:footnoteReference w:id="2"/>
      </w:r>
      <w:r>
        <w:t xml:space="preserve"> In response </w:t>
      </w:r>
      <w:r w:rsidRPr="00306B30">
        <w:t>to the EU's concerns</w:t>
      </w:r>
      <w:r>
        <w:t xml:space="preserve">, the </w:t>
      </w:r>
      <w:r w:rsidRPr="00264D3C">
        <w:t>Financial Services and Treasury Bureau</w:t>
      </w:r>
      <w:r>
        <w:t xml:space="preserve"> has issued a </w:t>
      </w:r>
      <w:r w:rsidR="00662F6D" w:rsidRPr="00694EA7">
        <w:t>Legislative Council Paper</w:t>
      </w:r>
      <w:r w:rsidR="00662F6D">
        <w:rPr>
          <w:rStyle w:val="a6"/>
          <w:color w:val="0563C1" w:themeColor="hyperlink"/>
          <w:u w:val="single"/>
        </w:rPr>
        <w:footnoteReference w:id="3"/>
      </w:r>
      <w:r>
        <w:t xml:space="preserve"> briefing its members on </w:t>
      </w:r>
      <w:r w:rsidR="00FB3095">
        <w:t xml:space="preserve">Hong Kong’s </w:t>
      </w:r>
      <w:r>
        <w:t>proposed foreign source income exemption regime for passive income (</w:t>
      </w:r>
      <w:r w:rsidRPr="00D072F2">
        <w:rPr>
          <w:b/>
        </w:rPr>
        <w:t>Proposed FSIE Regime</w:t>
      </w:r>
      <w:r>
        <w:t xml:space="preserve">). The </w:t>
      </w:r>
      <w:r w:rsidRPr="00B352C1">
        <w:t>legislative council meeting was held on 4 July 2022 (</w:t>
      </w:r>
      <w:r w:rsidR="00D34BCD">
        <w:rPr>
          <w:b/>
        </w:rPr>
        <w:t>Hong Kong Legco</w:t>
      </w:r>
      <w:r w:rsidRPr="007C6A42">
        <w:rPr>
          <w:b/>
        </w:rPr>
        <w:t xml:space="preserve"> Meeting</w:t>
      </w:r>
      <w:r w:rsidRPr="00B352C1">
        <w:t>)</w:t>
      </w:r>
      <w:r w:rsidRPr="00B352C1">
        <w:rPr>
          <w:rStyle w:val="a6"/>
        </w:rPr>
        <w:t xml:space="preserve"> </w:t>
      </w:r>
      <w:r w:rsidRPr="007D3177">
        <w:rPr>
          <w:rStyle w:val="a6"/>
        </w:rPr>
        <w:footnoteReference w:id="4"/>
      </w:r>
      <w:r w:rsidRPr="00B352C1">
        <w:t>.</w:t>
      </w:r>
    </w:p>
    <w:p w14:paraId="09D240FB" w14:textId="77777777" w:rsidR="000870CF" w:rsidRDefault="000870CF" w:rsidP="000870CF">
      <w:pPr>
        <w:spacing w:after="0"/>
        <w:jc w:val="both"/>
      </w:pPr>
    </w:p>
    <w:p w14:paraId="0B3AB0FF" w14:textId="423E4E21" w:rsidR="000870CF" w:rsidRDefault="000870CF" w:rsidP="000870CF">
      <w:pPr>
        <w:spacing w:after="0"/>
        <w:jc w:val="both"/>
      </w:pPr>
      <w:r>
        <w:t>The Hong Kong government has indicated its commitment to amend or abolish its foreign-source income exemption regime. It</w:t>
      </w:r>
      <w:r w:rsidRPr="000B0475">
        <w:t xml:space="preserve"> has been granted until 31 December 2022 to adapt its legislation</w:t>
      </w:r>
      <w:r>
        <w:t xml:space="preserve"> and to the extent this has not been implemented or </w:t>
      </w:r>
      <w:r w:rsidRPr="000870CF">
        <w:t xml:space="preserve">does not adequately </w:t>
      </w:r>
      <w:r>
        <w:t xml:space="preserve">address EU concerns, the EU may include Hong Kong in Annex I and/or impose defensive measures (e.g. higher withholding tax) </w:t>
      </w:r>
      <w:r w:rsidR="00D34BCD">
        <w:t xml:space="preserve">in respect of </w:t>
      </w:r>
      <w:r>
        <w:t xml:space="preserve"> business entities from Hong Kong.  </w:t>
      </w:r>
    </w:p>
    <w:p w14:paraId="6718CA5C" w14:textId="1A0C010D" w:rsidR="000870CF" w:rsidRDefault="000870CF" w:rsidP="000870CF">
      <w:pPr>
        <w:spacing w:after="0"/>
        <w:jc w:val="both"/>
      </w:pPr>
    </w:p>
    <w:p w14:paraId="59910D16" w14:textId="33DB68E0" w:rsidR="000870CF" w:rsidRDefault="0050235D" w:rsidP="000870CF">
      <w:pPr>
        <w:spacing w:after="0"/>
        <w:jc w:val="both"/>
        <w:rPr>
          <w:b/>
        </w:rPr>
      </w:pPr>
      <w:r>
        <w:rPr>
          <w:b/>
        </w:rPr>
        <w:t>Hong Kong’s t</w:t>
      </w:r>
      <w:r w:rsidR="000870CF" w:rsidRPr="0022281F">
        <w:rPr>
          <w:b/>
        </w:rPr>
        <w:t>erritorial source principle</w:t>
      </w:r>
    </w:p>
    <w:p w14:paraId="52F4DB53" w14:textId="77777777" w:rsidR="000870CF" w:rsidRPr="0022281F" w:rsidRDefault="000870CF" w:rsidP="000870CF">
      <w:pPr>
        <w:spacing w:after="0"/>
        <w:jc w:val="both"/>
        <w:rPr>
          <w:b/>
        </w:rPr>
      </w:pPr>
    </w:p>
    <w:p w14:paraId="7628846B" w14:textId="7CA8170A" w:rsidR="00E07409" w:rsidRDefault="00800AB2" w:rsidP="000870CF">
      <w:pPr>
        <w:spacing w:after="0"/>
        <w:jc w:val="both"/>
      </w:pPr>
      <w:r>
        <w:lastRenderedPageBreak/>
        <w:t xml:space="preserve">Hong Kong </w:t>
      </w:r>
      <w:r w:rsidRPr="00E93391">
        <w:t>adopts a territorial source principle of taxation</w:t>
      </w:r>
      <w:r>
        <w:t xml:space="preserve">. </w:t>
      </w:r>
      <w:r w:rsidR="00CA0C8B">
        <w:t>Pursuant to s</w:t>
      </w:r>
      <w:r w:rsidR="00A25C01">
        <w:t>ection 14</w:t>
      </w:r>
      <w:r w:rsidR="007B4F09">
        <w:t>(1)</w:t>
      </w:r>
      <w:r w:rsidR="00A25C01">
        <w:t xml:space="preserve"> </w:t>
      </w:r>
      <w:r w:rsidR="00A0097A" w:rsidRPr="00A0097A">
        <w:t>Inland Revenue Ordinance (Cap. 112)</w:t>
      </w:r>
      <w:r w:rsidR="00A0097A">
        <w:rPr>
          <w:rStyle w:val="a6"/>
        </w:rPr>
        <w:footnoteReference w:id="5"/>
      </w:r>
      <w:r w:rsidR="006A5CB5">
        <w:t xml:space="preserve"> (</w:t>
      </w:r>
      <w:r w:rsidR="00D34BCD" w:rsidRPr="00B65620">
        <w:rPr>
          <w:b/>
          <w:bCs/>
        </w:rPr>
        <w:t>Hong Kong</w:t>
      </w:r>
      <w:r w:rsidR="00D34BCD">
        <w:t xml:space="preserve"> </w:t>
      </w:r>
      <w:r w:rsidR="006A5CB5" w:rsidRPr="00AD5D27">
        <w:rPr>
          <w:b/>
        </w:rPr>
        <w:t>IRO</w:t>
      </w:r>
      <w:r w:rsidR="006A5CB5">
        <w:t>)</w:t>
      </w:r>
      <w:r w:rsidR="00CA0C8B">
        <w:t>,</w:t>
      </w:r>
      <w:r w:rsidR="00A25C01">
        <w:t xml:space="preserve"> </w:t>
      </w:r>
      <w:r w:rsidR="00CA0C8B">
        <w:t>only profits arising in or derived from Hong Kong are chargeable to profits tax</w:t>
      </w:r>
      <w:r>
        <w:t>. Therefore, p</w:t>
      </w:r>
      <w:r w:rsidR="00E93391">
        <w:t xml:space="preserve">assive income </w:t>
      </w:r>
      <w:r w:rsidR="003637DC">
        <w:t>(i.e.</w:t>
      </w:r>
      <w:r w:rsidR="001F53B4">
        <w:t>,</w:t>
      </w:r>
      <w:r w:rsidR="003637DC">
        <w:t xml:space="preserve"> interest, inc</w:t>
      </w:r>
      <w:r>
        <w:t>ome from intellectual property</w:t>
      </w:r>
      <w:r w:rsidR="00020A06">
        <w:t xml:space="preserve"> (</w:t>
      </w:r>
      <w:r w:rsidR="008A23F9">
        <w:rPr>
          <w:b/>
        </w:rPr>
        <w:t>IP</w:t>
      </w:r>
      <w:r w:rsidR="00020A06">
        <w:t>)</w:t>
      </w:r>
      <w:r w:rsidR="003637DC">
        <w:t>, dividends, and disposal gains in relation to shares or equity interest</w:t>
      </w:r>
      <w:r w:rsidR="00D34BCD">
        <w:t>s</w:t>
      </w:r>
      <w:r w:rsidR="0028091A">
        <w:t xml:space="preserve">) </w:t>
      </w:r>
      <w:r w:rsidR="00234F0B">
        <w:t xml:space="preserve">which is </w:t>
      </w:r>
      <w:r w:rsidR="0028091A" w:rsidRPr="0028091A">
        <w:t xml:space="preserve">sourced </w:t>
      </w:r>
      <w:r w:rsidR="0028091A">
        <w:t>outside Hong Kong</w:t>
      </w:r>
      <w:r w:rsidR="00C82E56">
        <w:t xml:space="preserve"> </w:t>
      </w:r>
      <w:r w:rsidR="00C74ED4">
        <w:t>is</w:t>
      </w:r>
      <w:r w:rsidR="0028091A" w:rsidRPr="0028091A">
        <w:t xml:space="preserve"> </w:t>
      </w:r>
      <w:r w:rsidR="0028091A">
        <w:t>generally not subject to ta</w:t>
      </w:r>
      <w:r w:rsidR="0028091A" w:rsidRPr="0028091A">
        <w:t>x</w:t>
      </w:r>
      <w:r w:rsidR="0028091A">
        <w:t xml:space="preserve"> in Hong Kong.</w:t>
      </w:r>
      <w:r w:rsidR="004A053C">
        <w:t xml:space="preserve"> </w:t>
      </w:r>
      <w:r w:rsidR="000870CF">
        <w:t>Further, d</w:t>
      </w:r>
      <w:r w:rsidR="006A5CB5">
        <w:t xml:space="preserve">ividends </w:t>
      </w:r>
      <w:r w:rsidR="00E94103" w:rsidRPr="00E94103">
        <w:t xml:space="preserve">received from a </w:t>
      </w:r>
      <w:r w:rsidR="00E94103">
        <w:t>corporation</w:t>
      </w:r>
      <w:r w:rsidR="00E94103" w:rsidRPr="00E94103">
        <w:t xml:space="preserve"> which </w:t>
      </w:r>
      <w:r w:rsidR="00E94103">
        <w:t xml:space="preserve">is </w:t>
      </w:r>
      <w:r w:rsidR="00E94103" w:rsidRPr="00E94103">
        <w:t>chargeable to profits tax</w:t>
      </w:r>
      <w:r w:rsidR="006A5CB5">
        <w:t xml:space="preserve"> </w:t>
      </w:r>
      <w:r w:rsidR="00AB68EF">
        <w:t xml:space="preserve">in Hong Kong </w:t>
      </w:r>
      <w:r w:rsidR="006A5CB5">
        <w:t xml:space="preserve">are exempt from </w:t>
      </w:r>
      <w:r w:rsidR="004A053C">
        <w:t xml:space="preserve">tax </w:t>
      </w:r>
      <w:r w:rsidR="006A5CB5">
        <w:t xml:space="preserve">and </w:t>
      </w:r>
      <w:r w:rsidR="007B4F09" w:rsidRPr="007B4F09">
        <w:t>disposal gains in relation to shares or equity interest</w:t>
      </w:r>
      <w:r w:rsidR="005135F5">
        <w:t>s</w:t>
      </w:r>
      <w:r w:rsidR="009079E4">
        <w:t xml:space="preserve"> in Hong Kong</w:t>
      </w:r>
      <w:r w:rsidR="007B4F09">
        <w:t xml:space="preserve"> </w:t>
      </w:r>
      <w:r w:rsidR="007B4F09" w:rsidRPr="007B4F09">
        <w:t>that are capital in nature are not subject to tax</w:t>
      </w:r>
      <w:r w:rsidR="007B4F09">
        <w:t xml:space="preserve"> in Hong Kong </w:t>
      </w:r>
      <w:r w:rsidR="00AD5D27">
        <w:t xml:space="preserve">under </w:t>
      </w:r>
      <w:r w:rsidR="007B4F09">
        <w:t xml:space="preserve">section 26 </w:t>
      </w:r>
      <w:r w:rsidR="00AD5D27">
        <w:t xml:space="preserve">and section 14(1) </w:t>
      </w:r>
      <w:r w:rsidR="00D34BCD">
        <w:t xml:space="preserve"> Hong Kong</w:t>
      </w:r>
      <w:r w:rsidR="005135F5">
        <w:t xml:space="preserve"> </w:t>
      </w:r>
      <w:r w:rsidR="007B4F09">
        <w:t>IRO</w:t>
      </w:r>
      <w:r w:rsidR="00AD5D27">
        <w:t xml:space="preserve"> respectively. </w:t>
      </w:r>
    </w:p>
    <w:p w14:paraId="0B6CFE0D" w14:textId="77777777" w:rsidR="00E07409" w:rsidRDefault="00E07409" w:rsidP="009B1861">
      <w:pPr>
        <w:spacing w:after="0"/>
        <w:jc w:val="both"/>
      </w:pPr>
    </w:p>
    <w:p w14:paraId="6C92FF8E" w14:textId="5788D0DE" w:rsidR="00C1285A" w:rsidRDefault="00E005A0" w:rsidP="009B1861">
      <w:pPr>
        <w:spacing w:after="0"/>
        <w:jc w:val="both"/>
      </w:pPr>
      <w:r>
        <w:t>The adoption of the</w:t>
      </w:r>
      <w:r w:rsidR="00425219">
        <w:t xml:space="preserve"> </w:t>
      </w:r>
      <w:r w:rsidRPr="00E93391">
        <w:t>territorial source principle of taxation</w:t>
      </w:r>
      <w:r>
        <w:t xml:space="preserve"> </w:t>
      </w:r>
      <w:r w:rsidR="00425219">
        <w:t>may result in</w:t>
      </w:r>
      <w:r w:rsidR="00221630">
        <w:t xml:space="preserve"> </w:t>
      </w:r>
      <w:r w:rsidR="000870CF">
        <w:t>‘</w:t>
      </w:r>
      <w:r w:rsidR="00221630">
        <w:t>double non-taxation</w:t>
      </w:r>
      <w:r w:rsidR="000870CF">
        <w:t>’</w:t>
      </w:r>
      <w:r w:rsidR="00221630">
        <w:t xml:space="preserve"> </w:t>
      </w:r>
      <w:r w:rsidR="00613D60">
        <w:t>(i.e. cases where the tax rules of two countries combined lead to non-taxation</w:t>
      </w:r>
      <w:r w:rsidR="000C0C35">
        <w:t xml:space="preserve"> in both countries</w:t>
      </w:r>
      <w:r w:rsidR="00613D60">
        <w:t>) on passive</w:t>
      </w:r>
      <w:r w:rsidR="00412DD7">
        <w:t xml:space="preserve"> income in the absence of any requirement for recipient companies to have a substantial economic presence in Hong Kong. </w:t>
      </w:r>
    </w:p>
    <w:p w14:paraId="6083EBE3" w14:textId="77777777" w:rsidR="000B71EA" w:rsidRDefault="000B71EA" w:rsidP="009B1861">
      <w:pPr>
        <w:spacing w:after="0"/>
        <w:jc w:val="both"/>
        <w:rPr>
          <w:b/>
          <w:color w:val="C00000"/>
        </w:rPr>
      </w:pPr>
    </w:p>
    <w:p w14:paraId="5E62CCD1" w14:textId="03531A6B" w:rsidR="002E2476" w:rsidRPr="00CF23DD" w:rsidRDefault="000B71EA" w:rsidP="009B1861">
      <w:pPr>
        <w:spacing w:after="0"/>
        <w:jc w:val="both"/>
        <w:rPr>
          <w:b/>
          <w:color w:val="C00000"/>
        </w:rPr>
      </w:pPr>
      <w:r>
        <w:rPr>
          <w:b/>
          <w:color w:val="C00000"/>
        </w:rPr>
        <w:t xml:space="preserve">Hong Kong’s </w:t>
      </w:r>
      <w:r w:rsidR="0066677C">
        <w:rPr>
          <w:b/>
          <w:color w:val="C00000"/>
        </w:rPr>
        <w:t>P</w:t>
      </w:r>
      <w:r w:rsidR="002E2476" w:rsidRPr="00CF23DD">
        <w:rPr>
          <w:b/>
          <w:color w:val="C00000"/>
        </w:rPr>
        <w:t>roposed FSIE Regime</w:t>
      </w:r>
    </w:p>
    <w:p w14:paraId="24313B6C" w14:textId="77777777" w:rsidR="000870CF" w:rsidRDefault="000870CF" w:rsidP="000870CF">
      <w:pPr>
        <w:spacing w:after="0"/>
        <w:jc w:val="both"/>
      </w:pPr>
    </w:p>
    <w:p w14:paraId="2474C964" w14:textId="42F3192E" w:rsidR="000870CF" w:rsidRDefault="000870CF" w:rsidP="000870CF">
      <w:pPr>
        <w:spacing w:after="0"/>
        <w:jc w:val="both"/>
      </w:pPr>
      <w:r>
        <w:t xml:space="preserve">Under </w:t>
      </w:r>
      <w:r w:rsidR="0066677C">
        <w:t>Hong Kong’s</w:t>
      </w:r>
      <w:r>
        <w:t xml:space="preserve"> Proposed FSIE Regime, offshore passive income will be deemed to be sourced from Hong Kong and subject to Hong Kong tax if certain requirements are met.  </w:t>
      </w:r>
    </w:p>
    <w:p w14:paraId="0F584CDD" w14:textId="77777777" w:rsidR="0024606F" w:rsidRDefault="0024606F" w:rsidP="009B1861">
      <w:pPr>
        <w:spacing w:after="0"/>
        <w:jc w:val="both"/>
      </w:pPr>
    </w:p>
    <w:p w14:paraId="7191D36C" w14:textId="13351DB8" w:rsidR="000303CC" w:rsidRDefault="00D34BCD" w:rsidP="009B1861">
      <w:pPr>
        <w:spacing w:after="0"/>
        <w:jc w:val="both"/>
        <w:rPr>
          <w:b/>
        </w:rPr>
      </w:pPr>
      <w:r>
        <w:rPr>
          <w:b/>
        </w:rPr>
        <w:t>T</w:t>
      </w:r>
      <w:r w:rsidR="00C24C80">
        <w:rPr>
          <w:b/>
        </w:rPr>
        <w:t>axpayers</w:t>
      </w:r>
      <w:r>
        <w:rPr>
          <w:b/>
        </w:rPr>
        <w:t xml:space="preserve"> subject to</w:t>
      </w:r>
      <w:r w:rsidR="00694EA7">
        <w:rPr>
          <w:b/>
        </w:rPr>
        <w:t xml:space="preserve"> Hong Kong</w:t>
      </w:r>
      <w:r w:rsidR="00B65FDF">
        <w:rPr>
          <w:b/>
        </w:rPr>
        <w:t>’s</w:t>
      </w:r>
      <w:r w:rsidR="00694EA7">
        <w:rPr>
          <w:b/>
        </w:rPr>
        <w:t xml:space="preserve"> Proposed FSIE Regime</w:t>
      </w:r>
    </w:p>
    <w:p w14:paraId="09454BE4" w14:textId="77777777" w:rsidR="000303CC" w:rsidRDefault="000303CC" w:rsidP="009B1861">
      <w:pPr>
        <w:spacing w:after="0"/>
        <w:jc w:val="both"/>
        <w:rPr>
          <w:b/>
        </w:rPr>
      </w:pPr>
    </w:p>
    <w:p w14:paraId="3910BA55" w14:textId="52ADD359" w:rsidR="00AD01BD" w:rsidRDefault="00763F11" w:rsidP="009B1861">
      <w:pPr>
        <w:spacing w:after="0"/>
        <w:jc w:val="both"/>
      </w:pPr>
      <w:r>
        <w:t xml:space="preserve">Hong Kong’s </w:t>
      </w:r>
      <w:r w:rsidR="003F0878">
        <w:t xml:space="preserve">Proposed FSIE Regime will only apply to </w:t>
      </w:r>
      <w:r w:rsidR="00C82E56">
        <w:rPr>
          <w:rFonts w:hint="eastAsia"/>
        </w:rPr>
        <w:t xml:space="preserve">passive </w:t>
      </w:r>
      <w:r w:rsidR="00C82E56">
        <w:t>i</w:t>
      </w:r>
      <w:r w:rsidR="003C78F1">
        <w:t xml:space="preserve">ncome </w:t>
      </w:r>
      <w:r w:rsidR="007C4035">
        <w:t xml:space="preserve">which </w:t>
      </w:r>
      <w:r w:rsidR="003C78F1">
        <w:t>is received in Hong Kong b</w:t>
      </w:r>
      <w:r w:rsidR="00C12AC0">
        <w:t xml:space="preserve">y a constituent entity of an </w:t>
      </w:r>
      <w:r w:rsidR="003F0878">
        <w:t>multinational enterprise (</w:t>
      </w:r>
      <w:r w:rsidR="003F0878" w:rsidRPr="003F0878">
        <w:rPr>
          <w:b/>
        </w:rPr>
        <w:t>MNE</w:t>
      </w:r>
      <w:r w:rsidR="003F0878">
        <w:t xml:space="preserve">) </w:t>
      </w:r>
      <w:r w:rsidR="003F0878" w:rsidRPr="007D3177">
        <w:rPr>
          <w:rFonts w:hint="eastAsia"/>
        </w:rPr>
        <w:t>g</w:t>
      </w:r>
      <w:r w:rsidR="003F0878" w:rsidRPr="007D3177">
        <w:t>roup</w:t>
      </w:r>
      <w:r w:rsidR="002D08AC">
        <w:t xml:space="preserve"> (</w:t>
      </w:r>
      <w:r w:rsidR="002D08AC" w:rsidRPr="002D08AC">
        <w:rPr>
          <w:b/>
        </w:rPr>
        <w:t>Covered Income</w:t>
      </w:r>
      <w:r w:rsidR="002D08AC">
        <w:t>)</w:t>
      </w:r>
      <w:r w:rsidR="00C12AC0" w:rsidRPr="007D3177">
        <w:t xml:space="preserve">. </w:t>
      </w:r>
      <w:r w:rsidR="002E2F1B" w:rsidRPr="007D3177">
        <w:t>The definition</w:t>
      </w:r>
      <w:r w:rsidR="00F53DCE" w:rsidRPr="007D3177">
        <w:t>s</w:t>
      </w:r>
      <w:r w:rsidR="002E2F1B" w:rsidRPr="007D3177">
        <w:t xml:space="preserve"> of</w:t>
      </w:r>
      <w:r w:rsidR="001B44C7">
        <w:t xml:space="preserve"> an</w:t>
      </w:r>
      <w:r w:rsidR="002E2F1B" w:rsidRPr="007D3177">
        <w:t xml:space="preserve"> MNE group </w:t>
      </w:r>
      <w:r w:rsidR="00F53DCE" w:rsidRPr="007D3177">
        <w:t xml:space="preserve">and related terms </w:t>
      </w:r>
      <w:r w:rsidR="002E2F1B" w:rsidRPr="007D3177">
        <w:t xml:space="preserve">will follow those under </w:t>
      </w:r>
      <w:r w:rsidR="002E6F7B">
        <w:t>a</w:t>
      </w:r>
      <w:r w:rsidR="002E6F7B" w:rsidRPr="002E6F7B">
        <w:t xml:space="preserve">rticle 1.2.1 of </w:t>
      </w:r>
      <w:r w:rsidR="002E2F1B" w:rsidRPr="007D3177">
        <w:t xml:space="preserve">the </w:t>
      </w:r>
      <w:r w:rsidR="00AD01BD" w:rsidRPr="007D3177">
        <w:t>Global Anti-Base Erosion (</w:t>
      </w:r>
      <w:r w:rsidR="00AD01BD" w:rsidRPr="007D3177">
        <w:rPr>
          <w:b/>
        </w:rPr>
        <w:t>GloBE</w:t>
      </w:r>
      <w:r w:rsidR="00AD01BD" w:rsidRPr="007D3177">
        <w:t>) Rules</w:t>
      </w:r>
      <w:r w:rsidR="002E6F7B" w:rsidRPr="007D3177">
        <w:rPr>
          <w:rStyle w:val="a6"/>
        </w:rPr>
        <w:footnoteReference w:id="6"/>
      </w:r>
      <w:r w:rsidR="00AD01BD" w:rsidRPr="007D3177">
        <w:t xml:space="preserve"> issued by the Organisation for Economic Co-operation and Development (</w:t>
      </w:r>
      <w:r w:rsidR="00AD01BD" w:rsidRPr="007D3177">
        <w:rPr>
          <w:b/>
        </w:rPr>
        <w:t>OECD</w:t>
      </w:r>
      <w:r w:rsidR="00AD01BD" w:rsidRPr="007D3177">
        <w:t xml:space="preserve">) which </w:t>
      </w:r>
      <w:r w:rsidR="00BB3FF3" w:rsidRPr="007D3177">
        <w:t>means any group that includes at least one entity or permanent establishment that is not located in the jurisdiction of the ultimate parent entity.</w:t>
      </w:r>
      <w:r w:rsidR="00793557" w:rsidRPr="007D3177">
        <w:t xml:space="preserve"> </w:t>
      </w:r>
    </w:p>
    <w:p w14:paraId="51C91037" w14:textId="77777777" w:rsidR="003318CD" w:rsidRDefault="003318CD" w:rsidP="009B1861">
      <w:pPr>
        <w:spacing w:after="0"/>
        <w:jc w:val="both"/>
      </w:pPr>
    </w:p>
    <w:p w14:paraId="297FF6CF" w14:textId="0C76AEF8" w:rsidR="003318CD" w:rsidRDefault="003318CD" w:rsidP="009B1861">
      <w:pPr>
        <w:spacing w:after="0"/>
        <w:jc w:val="both"/>
        <w:rPr>
          <w:i/>
        </w:rPr>
      </w:pPr>
      <w:r w:rsidRPr="0022281F">
        <w:rPr>
          <w:i/>
        </w:rPr>
        <w:t xml:space="preserve">Investment funds </w:t>
      </w:r>
      <w:r w:rsidR="00ED58DF">
        <w:rPr>
          <w:i/>
        </w:rPr>
        <w:t>in Hong Kong</w:t>
      </w:r>
    </w:p>
    <w:p w14:paraId="40231837" w14:textId="77777777" w:rsidR="000303CC" w:rsidRPr="0022281F" w:rsidRDefault="000303CC" w:rsidP="009B1861">
      <w:pPr>
        <w:spacing w:after="0"/>
        <w:jc w:val="both"/>
        <w:rPr>
          <w:i/>
        </w:rPr>
      </w:pPr>
    </w:p>
    <w:p w14:paraId="2D2C1B19" w14:textId="4DE567AC" w:rsidR="003318CD" w:rsidRDefault="00867FEB" w:rsidP="0053043E">
      <w:pPr>
        <w:spacing w:after="0"/>
        <w:jc w:val="both"/>
      </w:pPr>
      <w:r>
        <w:t>Whether investment f</w:t>
      </w:r>
      <w:r w:rsidR="003318CD">
        <w:t xml:space="preserve">unds </w:t>
      </w:r>
      <w:r w:rsidR="00941A32">
        <w:t xml:space="preserve">in Hong Kong </w:t>
      </w:r>
      <w:r>
        <w:t xml:space="preserve">are carved out </w:t>
      </w:r>
      <w:r w:rsidR="000870CF">
        <w:t xml:space="preserve">from being covered is </w:t>
      </w:r>
      <w:r>
        <w:t xml:space="preserve">not specifically addressed in </w:t>
      </w:r>
      <w:r w:rsidR="00763F11">
        <w:t xml:space="preserve">Hong Kong’s </w:t>
      </w:r>
      <w:r w:rsidRPr="00867FEB">
        <w:t>Proposed FSIE Regime</w:t>
      </w:r>
      <w:r w:rsidR="002E6F7B">
        <w:t xml:space="preserve">. </w:t>
      </w:r>
      <w:r w:rsidR="004C4B98">
        <w:t>U</w:t>
      </w:r>
      <w:r w:rsidR="006C6189">
        <w:t>nder article 1.5.1 of the</w:t>
      </w:r>
      <w:r w:rsidR="002E6F7B">
        <w:t xml:space="preserve"> </w:t>
      </w:r>
      <w:r w:rsidR="006C6189" w:rsidRPr="006C6189">
        <w:t>GloBE</w:t>
      </w:r>
      <w:r w:rsidR="006C6189">
        <w:t xml:space="preserve"> Rules</w:t>
      </w:r>
      <w:r w:rsidR="006C6189">
        <w:rPr>
          <w:rStyle w:val="a6"/>
        </w:rPr>
        <w:footnoteReference w:id="7"/>
      </w:r>
      <w:r w:rsidR="006C6189">
        <w:t xml:space="preserve">, excluded entities include </w:t>
      </w:r>
      <w:r w:rsidR="001B445E">
        <w:t>pension f</w:t>
      </w:r>
      <w:r w:rsidR="006C6189" w:rsidRPr="006C6189">
        <w:t>und</w:t>
      </w:r>
      <w:r w:rsidR="000870CF">
        <w:t>s</w:t>
      </w:r>
      <w:r w:rsidR="006C6189">
        <w:t xml:space="preserve"> and </w:t>
      </w:r>
      <w:r w:rsidR="001B445E">
        <w:t>investment f</w:t>
      </w:r>
      <w:r w:rsidR="001B445E" w:rsidRPr="001B445E">
        <w:t>und</w:t>
      </w:r>
      <w:r w:rsidR="000870CF">
        <w:t>s</w:t>
      </w:r>
      <w:r w:rsidR="001B445E">
        <w:t xml:space="preserve"> or real estate investment v</w:t>
      </w:r>
      <w:r w:rsidR="001B445E" w:rsidRPr="001B445E">
        <w:t>ehicle</w:t>
      </w:r>
      <w:r w:rsidR="000870CF">
        <w:t>s</w:t>
      </w:r>
      <w:r w:rsidR="003847A9">
        <w:t>.</w:t>
      </w:r>
      <w:r w:rsidR="001B445E">
        <w:t xml:space="preserve"> </w:t>
      </w:r>
      <w:r w:rsidR="008B06F1">
        <w:t xml:space="preserve">The excluded </w:t>
      </w:r>
      <w:r w:rsidR="003847A9">
        <w:t xml:space="preserve">entities also include </w:t>
      </w:r>
      <w:r w:rsidR="0053043E">
        <w:t>some entities owned by excluded entities and that hold assets or invest funds and only carry out ancillary activities, or that mostly derive income that is excluded from the GloBE tax base</w:t>
      </w:r>
      <w:r w:rsidR="00A113A1">
        <w:t xml:space="preserve"> under</w:t>
      </w:r>
      <w:r w:rsidR="00A113A1" w:rsidRPr="00A113A1">
        <w:t xml:space="preserve"> </w:t>
      </w:r>
      <w:r w:rsidR="00A113A1">
        <w:t xml:space="preserve">article 1.5.2 of the </w:t>
      </w:r>
      <w:r w:rsidR="00A113A1" w:rsidRPr="006C6189">
        <w:t>GloBE</w:t>
      </w:r>
      <w:r w:rsidR="00A113A1">
        <w:t xml:space="preserve"> Rules</w:t>
      </w:r>
      <w:r w:rsidR="00A113A1">
        <w:rPr>
          <w:rStyle w:val="a6"/>
        </w:rPr>
        <w:footnoteReference w:id="8"/>
      </w:r>
      <w:r w:rsidR="00A113A1">
        <w:t xml:space="preserve"> </w:t>
      </w:r>
      <w:r w:rsidR="00F66B92">
        <w:t>.</w:t>
      </w:r>
      <w:r w:rsidR="0053043E">
        <w:t xml:space="preserve"> </w:t>
      </w:r>
      <w:r w:rsidR="00B15C20">
        <w:t>Therefore</w:t>
      </w:r>
      <w:r w:rsidR="002216F1">
        <w:t xml:space="preserve">, </w:t>
      </w:r>
      <w:r w:rsidR="002216F1" w:rsidRPr="002216F1">
        <w:t>most funds</w:t>
      </w:r>
      <w:r w:rsidR="00941A32">
        <w:t xml:space="preserve"> in Hong Kong</w:t>
      </w:r>
      <w:r w:rsidR="002216F1" w:rsidRPr="002216F1">
        <w:t xml:space="preserve"> should be carved out</w:t>
      </w:r>
      <w:r w:rsidR="00B15C20">
        <w:t xml:space="preserve"> from </w:t>
      </w:r>
      <w:r w:rsidR="00763F11">
        <w:t xml:space="preserve">Hong Kong’s </w:t>
      </w:r>
      <w:r w:rsidR="00B15C20" w:rsidRPr="00867FEB">
        <w:t>Proposed FSIE Regime</w:t>
      </w:r>
      <w:r w:rsidR="00B15C20">
        <w:t xml:space="preserve">. </w:t>
      </w:r>
      <w:r w:rsidR="0011036D">
        <w:t xml:space="preserve">However, certain types of funds </w:t>
      </w:r>
      <w:r w:rsidR="00941A32">
        <w:t xml:space="preserve">in Hong Kong </w:t>
      </w:r>
      <w:r w:rsidR="0011036D">
        <w:t>may not b</w:t>
      </w:r>
      <w:r w:rsidR="00A113A1">
        <w:t>e carved out. For example,</w:t>
      </w:r>
      <w:r w:rsidR="00D34BCD">
        <w:t xml:space="preserve"> a</w:t>
      </w:r>
      <w:r w:rsidR="00A113A1">
        <w:t xml:space="preserve"> fund-of-</w:t>
      </w:r>
      <w:r w:rsidR="0011036D">
        <w:t xml:space="preserve">one which </w:t>
      </w:r>
      <w:r w:rsidR="009C2F7D">
        <w:t>is not designed to pool assets from a number of investors</w:t>
      </w:r>
      <w:r w:rsidR="0011036D">
        <w:t xml:space="preserve"> </w:t>
      </w:r>
      <w:r w:rsidR="000870CF">
        <w:t xml:space="preserve">may </w:t>
      </w:r>
      <w:r w:rsidR="009C2F7D">
        <w:t xml:space="preserve">not be regarded as an investment fund under the GloBE rules. </w:t>
      </w:r>
    </w:p>
    <w:p w14:paraId="101854E4" w14:textId="15EB4FE5" w:rsidR="00310DA5" w:rsidRDefault="00310DA5" w:rsidP="009B1861">
      <w:pPr>
        <w:spacing w:after="0"/>
        <w:jc w:val="both"/>
      </w:pPr>
    </w:p>
    <w:p w14:paraId="107D7B42" w14:textId="14B58CFC" w:rsidR="000922BF" w:rsidRDefault="000922BF" w:rsidP="009B1861">
      <w:pPr>
        <w:spacing w:after="0"/>
        <w:jc w:val="both"/>
        <w:rPr>
          <w:b/>
        </w:rPr>
      </w:pPr>
      <w:r w:rsidRPr="009F18F2">
        <w:rPr>
          <w:b/>
        </w:rPr>
        <w:t xml:space="preserve">Scope of charge </w:t>
      </w:r>
      <w:r w:rsidR="00B65FDF">
        <w:rPr>
          <w:b/>
        </w:rPr>
        <w:t>under Hong Kong’s Proposed FSIE Regime</w:t>
      </w:r>
    </w:p>
    <w:p w14:paraId="13EE62FC" w14:textId="77777777" w:rsidR="000303CC" w:rsidRPr="009F18F2" w:rsidRDefault="000303CC" w:rsidP="009B1861">
      <w:pPr>
        <w:spacing w:after="0"/>
        <w:jc w:val="both"/>
        <w:rPr>
          <w:b/>
        </w:rPr>
      </w:pPr>
    </w:p>
    <w:p w14:paraId="38EE50F1" w14:textId="162C3CBF" w:rsidR="000922BF" w:rsidRDefault="002D08AC" w:rsidP="009B1861">
      <w:pPr>
        <w:spacing w:after="0"/>
        <w:jc w:val="both"/>
      </w:pPr>
      <w:r>
        <w:t xml:space="preserve">Under </w:t>
      </w:r>
      <w:r w:rsidR="00763F11">
        <w:t xml:space="preserve">Hong Kong’s </w:t>
      </w:r>
      <w:r>
        <w:t xml:space="preserve">Proposed FSIE Regime, </w:t>
      </w:r>
      <w:r w:rsidR="00955926">
        <w:t>Covered Income</w:t>
      </w:r>
      <w:r w:rsidR="00985F37">
        <w:t xml:space="preserve"> </w:t>
      </w:r>
      <w:r w:rsidR="000870CF">
        <w:t xml:space="preserve">may </w:t>
      </w:r>
      <w:r w:rsidR="00985F37">
        <w:t xml:space="preserve">be deemed to be sourced from Hong Kong and subject to Hong Kong profits tax </w:t>
      </w:r>
      <w:r w:rsidR="000870CF">
        <w:t xml:space="preserve">if such Covered Income is received by a constituent of a MNE in Hong Kong and such constituent fails to meet </w:t>
      </w:r>
      <w:r w:rsidR="00020A06">
        <w:t>the economic substance requirement</w:t>
      </w:r>
      <w:r w:rsidR="008A23F9">
        <w:t>s</w:t>
      </w:r>
      <w:r w:rsidR="00020A06">
        <w:t xml:space="preserve"> (for non-IP </w:t>
      </w:r>
      <w:r w:rsidR="00C24C80">
        <w:t xml:space="preserve">passive </w:t>
      </w:r>
      <w:r w:rsidR="00020A06">
        <w:t xml:space="preserve">income), </w:t>
      </w:r>
      <w:r w:rsidR="00020A06" w:rsidRPr="00020A06">
        <w:t>the nexus approach</w:t>
      </w:r>
      <w:r w:rsidR="00020A06">
        <w:t xml:space="preserve"> (for IP income) o</w:t>
      </w:r>
      <w:r w:rsidR="00020A06" w:rsidRPr="00020A06">
        <w:t>r the participation exemption</w:t>
      </w:r>
      <w:r w:rsidR="00E35A9E">
        <w:t xml:space="preserve"> (for dividends and equity disposal gains). </w:t>
      </w:r>
    </w:p>
    <w:p w14:paraId="29A40FB5" w14:textId="77777777" w:rsidR="000922BF" w:rsidRDefault="000922BF" w:rsidP="009B1861">
      <w:pPr>
        <w:spacing w:after="0"/>
        <w:jc w:val="both"/>
      </w:pPr>
    </w:p>
    <w:p w14:paraId="15FB6AA6" w14:textId="40E0B231" w:rsidR="00355CD1" w:rsidRDefault="00376B54" w:rsidP="009B1861">
      <w:pPr>
        <w:spacing w:after="0"/>
        <w:jc w:val="both"/>
        <w:rPr>
          <w:b/>
        </w:rPr>
      </w:pPr>
      <w:r w:rsidRPr="009F18F2">
        <w:rPr>
          <w:b/>
        </w:rPr>
        <w:t>Economic substance requirement</w:t>
      </w:r>
      <w:r w:rsidR="00FE2F25">
        <w:rPr>
          <w:b/>
        </w:rPr>
        <w:t>s</w:t>
      </w:r>
      <w:r w:rsidR="0066170E" w:rsidRPr="0066170E">
        <w:rPr>
          <w:b/>
        </w:rPr>
        <w:t xml:space="preserve"> </w:t>
      </w:r>
      <w:r w:rsidR="0066170E">
        <w:rPr>
          <w:b/>
        </w:rPr>
        <w:t>under Hong Kong’s Proposed FSIE Regime</w:t>
      </w:r>
    </w:p>
    <w:p w14:paraId="0720E4A3" w14:textId="77777777" w:rsidR="000303CC" w:rsidRPr="009F18F2" w:rsidRDefault="000303CC" w:rsidP="009B1861">
      <w:pPr>
        <w:spacing w:after="0"/>
        <w:jc w:val="both"/>
        <w:rPr>
          <w:b/>
        </w:rPr>
      </w:pPr>
    </w:p>
    <w:p w14:paraId="69371840" w14:textId="1811A8E7" w:rsidR="00376B54" w:rsidRDefault="0009400B" w:rsidP="009B1861">
      <w:pPr>
        <w:spacing w:after="0"/>
        <w:jc w:val="both"/>
      </w:pPr>
      <w:r>
        <w:t xml:space="preserve">Non-IP </w:t>
      </w:r>
      <w:r w:rsidR="008A23F9">
        <w:t>Covered</w:t>
      </w:r>
      <w:r>
        <w:t xml:space="preserve"> </w:t>
      </w:r>
      <w:r w:rsidR="008A23F9">
        <w:t>I</w:t>
      </w:r>
      <w:r>
        <w:t xml:space="preserve">ncome </w:t>
      </w:r>
      <w:r w:rsidR="007C7CCD">
        <w:t xml:space="preserve">may </w:t>
      </w:r>
      <w:r w:rsidR="001F7C7F">
        <w:t xml:space="preserve">be </w:t>
      </w:r>
      <w:r w:rsidR="008A23F9">
        <w:t>exempt from profits tax if the following economic substance requirements are met:</w:t>
      </w:r>
    </w:p>
    <w:p w14:paraId="01AA4711" w14:textId="77777777" w:rsidR="008A23F9" w:rsidRDefault="008A23F9" w:rsidP="009B1861">
      <w:pPr>
        <w:spacing w:after="0"/>
        <w:jc w:val="both"/>
      </w:pPr>
    </w:p>
    <w:p w14:paraId="7C74F54B" w14:textId="2DEA89BA" w:rsidR="008A23F9" w:rsidRDefault="00EC5135" w:rsidP="009B1861">
      <w:pPr>
        <w:pStyle w:val="a7"/>
        <w:numPr>
          <w:ilvl w:val="0"/>
          <w:numId w:val="1"/>
        </w:numPr>
        <w:spacing w:after="0"/>
        <w:jc w:val="both"/>
      </w:pPr>
      <w:r>
        <w:t xml:space="preserve">The </w:t>
      </w:r>
      <w:r w:rsidR="007636CF">
        <w:t>taxpayer conducts substantial economic activities with regard to the relevant passive income (</w:t>
      </w:r>
      <w:r w:rsidR="007636CF" w:rsidRPr="0022281F">
        <w:rPr>
          <w:b/>
        </w:rPr>
        <w:t>Relevant Activities</w:t>
      </w:r>
      <w:r w:rsidR="007636CF">
        <w:t>) in Hong Kong</w:t>
      </w:r>
      <w:r w:rsidR="007C7CCD">
        <w:t xml:space="preserve"> including</w:t>
      </w:r>
      <w:r w:rsidR="001925D1">
        <w:t>:</w:t>
      </w:r>
    </w:p>
    <w:p w14:paraId="2DF33F33" w14:textId="01A26512" w:rsidR="00BB5965" w:rsidRDefault="00DA5A49" w:rsidP="009B1861">
      <w:pPr>
        <w:pStyle w:val="a7"/>
        <w:numPr>
          <w:ilvl w:val="1"/>
          <w:numId w:val="1"/>
        </w:numPr>
        <w:spacing w:after="0"/>
        <w:jc w:val="both"/>
      </w:pPr>
      <w:r>
        <w:t>f</w:t>
      </w:r>
      <w:r w:rsidR="00BB5965">
        <w:t xml:space="preserve">or </w:t>
      </w:r>
      <w:r w:rsidR="001925D1" w:rsidRPr="001925D1">
        <w:t xml:space="preserve">not a </w:t>
      </w:r>
      <w:r w:rsidR="00BB5965">
        <w:t xml:space="preserve">pure equity holding company, </w:t>
      </w:r>
      <w:r w:rsidR="00F40B8E">
        <w:t>the Relevant Activities include necessary strategic decision</w:t>
      </w:r>
      <w:r w:rsidR="001F53B4">
        <w:t>s</w:t>
      </w:r>
      <w:r w:rsidR="00F40B8E">
        <w:t xml:space="preserve">, and managing and assuming principal risks in respect of any assets it acquires, holds or disposes of; and </w:t>
      </w:r>
    </w:p>
    <w:p w14:paraId="67CC5DC5" w14:textId="2326B1F5" w:rsidR="00F40B8E" w:rsidRDefault="00DA5A49" w:rsidP="009B1861">
      <w:pPr>
        <w:pStyle w:val="a7"/>
        <w:numPr>
          <w:ilvl w:val="1"/>
          <w:numId w:val="1"/>
        </w:numPr>
        <w:spacing w:after="0"/>
        <w:jc w:val="both"/>
      </w:pPr>
      <w:r>
        <w:t>f</w:t>
      </w:r>
      <w:r w:rsidR="00F40B8E">
        <w:t xml:space="preserve">or </w:t>
      </w:r>
      <w:r w:rsidR="001925D1" w:rsidRPr="001925D1">
        <w:t>a pure equity holding company</w:t>
      </w:r>
      <w:r w:rsidR="001925D1">
        <w:t>, the Relevant Activities include holding and managing its equity participation</w:t>
      </w:r>
      <w:r w:rsidR="001F53B4">
        <w:t>s</w:t>
      </w:r>
      <w:r w:rsidR="001925D1">
        <w:t>, and complying with the corporate law filing requirements in Hong Kong</w:t>
      </w:r>
      <w:r w:rsidR="00564B97">
        <w:t>.</w:t>
      </w:r>
    </w:p>
    <w:p w14:paraId="26362B08" w14:textId="759EBD0F" w:rsidR="00DA5A49" w:rsidRDefault="00267F15" w:rsidP="009B1861">
      <w:pPr>
        <w:pStyle w:val="a7"/>
        <w:numPr>
          <w:ilvl w:val="0"/>
          <w:numId w:val="1"/>
        </w:numPr>
        <w:spacing w:after="0"/>
        <w:jc w:val="both"/>
      </w:pPr>
      <w:r>
        <w:t xml:space="preserve">Adequacy </w:t>
      </w:r>
      <w:r w:rsidR="00DA5A49">
        <w:t>test that</w:t>
      </w:r>
      <w:r w:rsidR="007C7CCD">
        <w:t xml:space="preserve"> includes</w:t>
      </w:r>
      <w:r w:rsidR="00DA5A49">
        <w:t>:</w:t>
      </w:r>
    </w:p>
    <w:p w14:paraId="071D8AEE" w14:textId="77777777" w:rsidR="00DA5A49" w:rsidRDefault="00BB0BF9" w:rsidP="009B1861">
      <w:pPr>
        <w:pStyle w:val="a7"/>
        <w:numPr>
          <w:ilvl w:val="1"/>
          <w:numId w:val="1"/>
        </w:numPr>
        <w:spacing w:after="0"/>
        <w:jc w:val="both"/>
      </w:pPr>
      <w:r>
        <w:t xml:space="preserve">employing </w:t>
      </w:r>
      <w:r w:rsidR="00267F15">
        <w:t>an adequate number of qualified employees</w:t>
      </w:r>
      <w:r w:rsidR="00DA5A49">
        <w:t>;</w:t>
      </w:r>
      <w:r w:rsidR="00267F15">
        <w:t xml:space="preserve"> and </w:t>
      </w:r>
    </w:p>
    <w:p w14:paraId="136788B5" w14:textId="708094A9" w:rsidR="001E213A" w:rsidRDefault="00267F15" w:rsidP="009B1861">
      <w:pPr>
        <w:pStyle w:val="a7"/>
        <w:numPr>
          <w:ilvl w:val="1"/>
          <w:numId w:val="1"/>
        </w:numPr>
        <w:spacing w:after="0"/>
        <w:jc w:val="both"/>
      </w:pPr>
      <w:r>
        <w:t>incurring an adequate amount of operating expenditure in Hong Kong for the Relevant Activities.</w:t>
      </w:r>
    </w:p>
    <w:p w14:paraId="05F43CBB" w14:textId="77777777" w:rsidR="00BB0BF9" w:rsidRDefault="00BB0BF9" w:rsidP="009B1861">
      <w:pPr>
        <w:spacing w:after="0"/>
        <w:jc w:val="both"/>
      </w:pPr>
    </w:p>
    <w:p w14:paraId="05CA9586" w14:textId="7A549CD4" w:rsidR="00BB0BF9" w:rsidRDefault="00814892" w:rsidP="009B1861">
      <w:pPr>
        <w:spacing w:after="0"/>
        <w:jc w:val="both"/>
      </w:pPr>
      <w:r w:rsidRPr="00FE39A7">
        <w:t>During the</w:t>
      </w:r>
      <w:r w:rsidR="001F53B4">
        <w:t xml:space="preserve"> Hong Kong Legco </w:t>
      </w:r>
      <w:r w:rsidRPr="00FE39A7">
        <w:t>Meeting</w:t>
      </w:r>
      <w:r w:rsidR="00C472D0" w:rsidRPr="00FE39A7">
        <w:t xml:space="preserve">, </w:t>
      </w:r>
      <w:r w:rsidRPr="00FE39A7">
        <w:t xml:space="preserve">concerns </w:t>
      </w:r>
      <w:r w:rsidR="007C7CCD">
        <w:t>were raise</w:t>
      </w:r>
      <w:r w:rsidR="001F53B4">
        <w:t>d</w:t>
      </w:r>
      <w:r w:rsidR="007C7CCD">
        <w:t xml:space="preserve"> as to </w:t>
      </w:r>
      <w:r w:rsidR="00495AF9" w:rsidRPr="00FE39A7">
        <w:t xml:space="preserve">how to fulfil the </w:t>
      </w:r>
      <w:r w:rsidR="0075114B" w:rsidRPr="00FE39A7">
        <w:t>adequacy test</w:t>
      </w:r>
      <w:r w:rsidR="00495AF9" w:rsidRPr="00FE39A7">
        <w:t xml:space="preserve"> </w:t>
      </w:r>
      <w:r w:rsidR="00D47611" w:rsidRPr="00FE39A7">
        <w:t>such as</w:t>
      </w:r>
      <w:r w:rsidR="00495AF9" w:rsidRPr="00FE39A7">
        <w:t xml:space="preserve"> how many qualified employees should be employed and how much operati</w:t>
      </w:r>
      <w:r w:rsidR="00D47611" w:rsidRPr="00FE39A7">
        <w:t xml:space="preserve">ng expenditure should be </w:t>
      </w:r>
      <w:r w:rsidR="001F53B4">
        <w:t>incurred</w:t>
      </w:r>
      <w:r w:rsidR="0075114B" w:rsidRPr="00FE39A7">
        <w:t xml:space="preserve">. </w:t>
      </w:r>
      <w:r w:rsidR="006C2602" w:rsidRPr="00FE39A7">
        <w:t xml:space="preserve">The </w:t>
      </w:r>
      <w:r w:rsidR="00564B97" w:rsidRPr="00FE39A7">
        <w:t xml:space="preserve">Hong Kong </w:t>
      </w:r>
      <w:r w:rsidR="006C2602" w:rsidRPr="00FE39A7">
        <w:t xml:space="preserve">government </w:t>
      </w:r>
      <w:r w:rsidR="007C7CCD">
        <w:t xml:space="preserve">has indicated </w:t>
      </w:r>
      <w:r w:rsidR="006C2602" w:rsidRPr="00FE39A7">
        <w:t>that it is very difficu</w:t>
      </w:r>
      <w:r w:rsidR="006F6C01" w:rsidRPr="00FE39A7">
        <w:t xml:space="preserve">lt </w:t>
      </w:r>
      <w:r w:rsidR="006C2602" w:rsidRPr="00FE39A7">
        <w:t xml:space="preserve">to set </w:t>
      </w:r>
      <w:r w:rsidR="007C7CCD">
        <w:t xml:space="preserve">definitive </w:t>
      </w:r>
      <w:r w:rsidR="00D00BD6" w:rsidRPr="00D00BD6">
        <w:t>figures</w:t>
      </w:r>
      <w:r w:rsidR="00A04B09">
        <w:t xml:space="preserve"> </w:t>
      </w:r>
      <w:r w:rsidR="006C2602" w:rsidRPr="00FE39A7">
        <w:t xml:space="preserve">for </w:t>
      </w:r>
      <w:r w:rsidR="00044B0C">
        <w:t xml:space="preserve">Hong Kong’s </w:t>
      </w:r>
      <w:r w:rsidR="00564B97" w:rsidRPr="00FE39A7">
        <w:t>Proposed FSIE Regime</w:t>
      </w:r>
      <w:r w:rsidR="006C2602" w:rsidRPr="00FE39A7">
        <w:t xml:space="preserve"> because it would cover companies in different trades and of different natures. </w:t>
      </w:r>
      <w:r w:rsidR="00832E92" w:rsidRPr="00FE39A7">
        <w:t>G</w:t>
      </w:r>
      <w:r w:rsidR="0075114B" w:rsidRPr="00FE39A7">
        <w:t>uideline</w:t>
      </w:r>
      <w:r w:rsidR="00B17F81" w:rsidRPr="00FE39A7">
        <w:t>s</w:t>
      </w:r>
      <w:r w:rsidR="0075114B" w:rsidRPr="00FE39A7">
        <w:t xml:space="preserve"> </w:t>
      </w:r>
      <w:r w:rsidR="00C472D0" w:rsidRPr="00FE39A7">
        <w:t>would</w:t>
      </w:r>
      <w:r w:rsidR="00090B9F" w:rsidRPr="00FE39A7">
        <w:t xml:space="preserve"> be issued to</w:t>
      </w:r>
      <w:r w:rsidR="00360BE4" w:rsidRPr="00FE39A7">
        <w:t xml:space="preserve"> explain the </w:t>
      </w:r>
      <w:r w:rsidR="00832E92" w:rsidRPr="00FE39A7">
        <w:t>adequacy test (e.g.</w:t>
      </w:r>
      <w:r w:rsidR="001F53B4">
        <w:t>,</w:t>
      </w:r>
      <w:r w:rsidR="00832E92" w:rsidRPr="00FE39A7">
        <w:t xml:space="preserve"> </w:t>
      </w:r>
      <w:r w:rsidR="00360BE4" w:rsidRPr="00FE39A7">
        <w:t xml:space="preserve">average number of employees should be employed </w:t>
      </w:r>
      <w:r w:rsidR="00561C7B" w:rsidRPr="00FE39A7">
        <w:t>based on the nature of business activities engaged by different trades</w:t>
      </w:r>
      <w:r w:rsidR="00832E92" w:rsidRPr="00FE39A7">
        <w:t>), which would be in line with international standards adopted by the OECD and the EU</w:t>
      </w:r>
      <w:r w:rsidR="00360BE4" w:rsidRPr="00FE39A7">
        <w:t>.</w:t>
      </w:r>
      <w:r w:rsidR="009D5E85" w:rsidRPr="00FE39A7">
        <w:t xml:space="preserve"> </w:t>
      </w:r>
      <w:r w:rsidR="001F53B4">
        <w:t>Many</w:t>
      </w:r>
      <w:r w:rsidR="009A72EF" w:rsidRPr="00FE39A7">
        <w:t xml:space="preserve"> factors</w:t>
      </w:r>
      <w:r w:rsidR="00FD3807" w:rsidRPr="00FE39A7">
        <w:t xml:space="preserve"> (e.g. operation, nature, scale and the turnover of a company)</w:t>
      </w:r>
      <w:r w:rsidR="009A72EF" w:rsidRPr="00FE39A7">
        <w:t xml:space="preserve"> would be considered before deciding</w:t>
      </w:r>
      <w:r w:rsidR="00FD3807" w:rsidRPr="00FE39A7">
        <w:t xml:space="preserve"> whether a company</w:t>
      </w:r>
      <w:r w:rsidR="003A38B5" w:rsidRPr="00FE39A7">
        <w:t xml:space="preserve"> can</w:t>
      </w:r>
      <w:r w:rsidR="009A72EF" w:rsidRPr="00FE39A7">
        <w:t xml:space="preserve"> fulfil the adequacy test.</w:t>
      </w:r>
      <w:r w:rsidR="00D33087">
        <w:t xml:space="preserve"> The Hong Kong government </w:t>
      </w:r>
      <w:r w:rsidR="007C7CCD">
        <w:t xml:space="preserve">has indicated that it </w:t>
      </w:r>
      <w:r w:rsidR="00D33087">
        <w:t>will consider the totality of facts.</w:t>
      </w:r>
      <w:r w:rsidR="009A72EF" w:rsidRPr="00FE39A7">
        <w:t xml:space="preserve"> </w:t>
      </w:r>
    </w:p>
    <w:p w14:paraId="47D6E303" w14:textId="77777777" w:rsidR="00BE6084" w:rsidRDefault="00BE6084" w:rsidP="009B1861">
      <w:pPr>
        <w:spacing w:after="0"/>
        <w:jc w:val="both"/>
      </w:pPr>
    </w:p>
    <w:p w14:paraId="19CFBFCF" w14:textId="77777777" w:rsidR="00BE6084" w:rsidRDefault="00BE6084" w:rsidP="009B1861">
      <w:pPr>
        <w:spacing w:after="0"/>
        <w:jc w:val="both"/>
      </w:pPr>
      <w:r>
        <w:t>Outsourcing of the Relevant Activities will be permitted if there is adequate monitoring of the Relevant Activities which are conducted in Hong Kong.</w:t>
      </w:r>
    </w:p>
    <w:p w14:paraId="51FE3A3F" w14:textId="77777777" w:rsidR="00F877C4" w:rsidRDefault="00F877C4" w:rsidP="009B1861">
      <w:pPr>
        <w:spacing w:after="0"/>
        <w:jc w:val="both"/>
      </w:pPr>
    </w:p>
    <w:p w14:paraId="210D58C2" w14:textId="7ECDABB2" w:rsidR="00360BE4" w:rsidRPr="009F18F2" w:rsidRDefault="00C80A29" w:rsidP="009B1861">
      <w:pPr>
        <w:spacing w:after="0"/>
        <w:jc w:val="both"/>
        <w:rPr>
          <w:b/>
        </w:rPr>
      </w:pPr>
      <w:r w:rsidRPr="009F18F2">
        <w:rPr>
          <w:b/>
        </w:rPr>
        <w:t>Nexus approach</w:t>
      </w:r>
      <w:r w:rsidR="00044B0C">
        <w:rPr>
          <w:b/>
        </w:rPr>
        <w:t xml:space="preserve"> for IP income under Hong Kong’s Proposed FSIE Regime</w:t>
      </w:r>
    </w:p>
    <w:p w14:paraId="1812C419" w14:textId="24B85518" w:rsidR="00C80A29" w:rsidRDefault="00C82DA0" w:rsidP="009B1861">
      <w:pPr>
        <w:spacing w:after="0"/>
        <w:jc w:val="both"/>
      </w:pPr>
      <w:r>
        <w:lastRenderedPageBreak/>
        <w:t xml:space="preserve">The nexus approach will apply in determining the extent </w:t>
      </w:r>
      <w:r w:rsidR="007C7CCD">
        <w:t xml:space="preserve">to which </w:t>
      </w:r>
      <w:r>
        <w:t xml:space="preserve">offshore IP </w:t>
      </w:r>
      <w:r w:rsidR="006358B0">
        <w:t xml:space="preserve">income </w:t>
      </w:r>
      <w:r w:rsidR="007C7CCD">
        <w:t xml:space="preserve">is </w:t>
      </w:r>
      <w:r w:rsidR="006358B0">
        <w:t xml:space="preserve">to be exempted. </w:t>
      </w:r>
      <w:r w:rsidR="005D3F2F">
        <w:t xml:space="preserve">The purpose of this approach is to ensure that there is a direct nexus between the income and the expenditure contributing to that income. The </w:t>
      </w:r>
      <w:r w:rsidR="000C36BC">
        <w:t xml:space="preserve">key </w:t>
      </w:r>
      <w:r w:rsidR="00B75ABC">
        <w:t xml:space="preserve">features of the nexus approach </w:t>
      </w:r>
      <w:r w:rsidR="007C7CCD">
        <w:t>include</w:t>
      </w:r>
      <w:r w:rsidR="00B75ABC">
        <w:t>:</w:t>
      </w:r>
    </w:p>
    <w:p w14:paraId="4EA530B7" w14:textId="77777777" w:rsidR="000303CC" w:rsidRDefault="000303CC" w:rsidP="009B1861">
      <w:pPr>
        <w:spacing w:after="0"/>
        <w:jc w:val="both"/>
      </w:pPr>
    </w:p>
    <w:p w14:paraId="22F9C0B6" w14:textId="594D3A50" w:rsidR="00B75ABC" w:rsidRDefault="000C36BC" w:rsidP="009B1861">
      <w:pPr>
        <w:pStyle w:val="a7"/>
        <w:numPr>
          <w:ilvl w:val="0"/>
          <w:numId w:val="2"/>
        </w:numPr>
        <w:spacing w:after="0"/>
        <w:jc w:val="both"/>
      </w:pPr>
      <w:r>
        <w:t>o</w:t>
      </w:r>
      <w:r w:rsidR="00B94BD2">
        <w:t xml:space="preserve">nly income from patents </w:t>
      </w:r>
      <w:r w:rsidR="00341066">
        <w:t>and other IP assets which are functionally equivalent to patent</w:t>
      </w:r>
      <w:r w:rsidR="001F53B4">
        <w:t>s</w:t>
      </w:r>
      <w:r w:rsidR="00341066">
        <w:t xml:space="preserve"> (e.g</w:t>
      </w:r>
      <w:r w:rsidR="001F53B4">
        <w:t>.,</w:t>
      </w:r>
      <w:r w:rsidR="00341066">
        <w:t xml:space="preserve"> copyrighted software) </w:t>
      </w:r>
      <w:r w:rsidR="00B94BD2">
        <w:t>can qualify for preferential tax treatment</w:t>
      </w:r>
      <w:r w:rsidR="00341066">
        <w:t>. Income from marketing-related IP assets (e.g. trade</w:t>
      </w:r>
      <w:r w:rsidR="00DA5A49">
        <w:t>mark and copyright) is excluded;</w:t>
      </w:r>
    </w:p>
    <w:p w14:paraId="6262C07C" w14:textId="77777777" w:rsidR="00341066" w:rsidRDefault="00026E11" w:rsidP="009B1861">
      <w:pPr>
        <w:pStyle w:val="a7"/>
        <w:numPr>
          <w:ilvl w:val="0"/>
          <w:numId w:val="2"/>
        </w:numPr>
        <w:spacing w:after="0"/>
        <w:jc w:val="both"/>
      </w:pPr>
      <w:r>
        <w:t>t</w:t>
      </w:r>
      <w:r w:rsidR="007912ED">
        <w:t>he exten</w:t>
      </w:r>
      <w:r w:rsidR="000B692A">
        <w:t xml:space="preserve">t of the </w:t>
      </w:r>
      <w:r w:rsidR="0012021E">
        <w:t xml:space="preserve">offshore IP income to be exempted is based on a nexus ratio which </w:t>
      </w:r>
      <w:r w:rsidR="00652B22">
        <w:t xml:space="preserve">is defined as the qualifying </w:t>
      </w:r>
      <w:r w:rsidR="00DA5A49">
        <w:t>expenditures as a proportion of the overall expenditures that have been incurred by the taxpayer to develop the IP asset;</w:t>
      </w:r>
      <w:r w:rsidR="001665E4">
        <w:t xml:space="preserve"> and </w:t>
      </w:r>
    </w:p>
    <w:p w14:paraId="017F41FF" w14:textId="54FFB63E" w:rsidR="00DA5A49" w:rsidRDefault="000C36BC" w:rsidP="009B1861">
      <w:pPr>
        <w:pStyle w:val="a7"/>
        <w:numPr>
          <w:ilvl w:val="0"/>
          <w:numId w:val="2"/>
        </w:numPr>
        <w:spacing w:after="0"/>
        <w:jc w:val="both"/>
      </w:pPr>
      <w:r>
        <w:t>t</w:t>
      </w:r>
      <w:r w:rsidR="001665E4">
        <w:t xml:space="preserve">he 30% uplift on the qualifying expenditures subject to the extent </w:t>
      </w:r>
      <w:r w:rsidR="001F53B4">
        <w:t>to which</w:t>
      </w:r>
      <w:r w:rsidR="001665E4">
        <w:t xml:space="preserve"> the taxpayer has incurred non-qualifying expenditures</w:t>
      </w:r>
      <w:r w:rsidR="00581BE5">
        <w:t>.</w:t>
      </w:r>
      <w:r w:rsidR="001665E4">
        <w:t xml:space="preserve"> </w:t>
      </w:r>
    </w:p>
    <w:p w14:paraId="0A138B2A" w14:textId="77777777" w:rsidR="00267F15" w:rsidRPr="009F18F2" w:rsidRDefault="00267F15" w:rsidP="009B1861">
      <w:pPr>
        <w:spacing w:after="0"/>
        <w:jc w:val="both"/>
        <w:rPr>
          <w:b/>
        </w:rPr>
      </w:pPr>
    </w:p>
    <w:p w14:paraId="2ACE6E3A" w14:textId="324AC2C2" w:rsidR="00267F15" w:rsidRDefault="001C70E6" w:rsidP="009B1861">
      <w:pPr>
        <w:spacing w:after="0"/>
        <w:jc w:val="both"/>
        <w:rPr>
          <w:b/>
        </w:rPr>
      </w:pPr>
      <w:r w:rsidRPr="009F18F2">
        <w:rPr>
          <w:b/>
        </w:rPr>
        <w:t>Participation exemption</w:t>
      </w:r>
      <w:r w:rsidR="003C20FB">
        <w:rPr>
          <w:b/>
        </w:rPr>
        <w:t xml:space="preserve"> for dividends and disposal gains under Hong Kong’s Proposed FSIE Regime</w:t>
      </w:r>
    </w:p>
    <w:p w14:paraId="791E63FD" w14:textId="77777777" w:rsidR="000303CC" w:rsidRPr="009F18F2" w:rsidRDefault="000303CC" w:rsidP="009B1861">
      <w:pPr>
        <w:spacing w:after="0"/>
        <w:jc w:val="both"/>
        <w:rPr>
          <w:b/>
        </w:rPr>
      </w:pPr>
    </w:p>
    <w:p w14:paraId="4C676D3D" w14:textId="1DEEE71C" w:rsidR="00A45E02" w:rsidRDefault="001C70E6" w:rsidP="009B1861">
      <w:pPr>
        <w:spacing w:after="0"/>
        <w:jc w:val="both"/>
      </w:pPr>
      <w:r>
        <w:t xml:space="preserve">Offshore dividends and disposal gains </w:t>
      </w:r>
      <w:r w:rsidR="00A45E02">
        <w:t>would</w:t>
      </w:r>
      <w:r w:rsidR="00A25C01">
        <w:t xml:space="preserve"> be</w:t>
      </w:r>
      <w:r w:rsidR="00A45E02">
        <w:t xml:space="preserve"> exempt from</w:t>
      </w:r>
      <w:r w:rsidR="00A45E02" w:rsidRPr="00A45E02">
        <w:t xml:space="preserve"> </w:t>
      </w:r>
      <w:r w:rsidR="00A45E02">
        <w:t xml:space="preserve">tax if the following </w:t>
      </w:r>
      <w:r w:rsidR="00A45E02" w:rsidRPr="00A45E02">
        <w:t>criteria are met</w:t>
      </w:r>
      <w:r w:rsidR="00A45E02">
        <w:t>:</w:t>
      </w:r>
    </w:p>
    <w:p w14:paraId="7124DCEF" w14:textId="77777777" w:rsidR="000303CC" w:rsidRDefault="000303CC" w:rsidP="009B1861">
      <w:pPr>
        <w:spacing w:after="0"/>
        <w:jc w:val="both"/>
      </w:pPr>
    </w:p>
    <w:p w14:paraId="36D6AE44" w14:textId="71824173" w:rsidR="00A02391" w:rsidRDefault="00A02391" w:rsidP="009B1861">
      <w:pPr>
        <w:pStyle w:val="a7"/>
        <w:numPr>
          <w:ilvl w:val="0"/>
          <w:numId w:val="2"/>
        </w:numPr>
        <w:spacing w:after="0"/>
        <w:jc w:val="both"/>
      </w:pPr>
      <w:r>
        <w:t>the investor company is a Hong Kong resident person (i.e.</w:t>
      </w:r>
      <w:r w:rsidR="001F53B4">
        <w:t>,</w:t>
      </w:r>
      <w:r>
        <w:t xml:space="preserve"> a company incorporated in Hong Kong, or if incorporated outside of Hong Kong, normally managed or controlled in Hong Kong), or a non-Hong Kong resident person that has a permanent establishment in Hong Kong;</w:t>
      </w:r>
    </w:p>
    <w:p w14:paraId="64E8347A" w14:textId="77777777" w:rsidR="00A02391" w:rsidRDefault="00A02391" w:rsidP="009B1861">
      <w:pPr>
        <w:pStyle w:val="a7"/>
        <w:numPr>
          <w:ilvl w:val="0"/>
          <w:numId w:val="2"/>
        </w:numPr>
        <w:spacing w:after="0"/>
        <w:jc w:val="both"/>
      </w:pPr>
      <w:r>
        <w:t>the investor company holds at least 5% of the shares or equity interest in the investee company; and</w:t>
      </w:r>
    </w:p>
    <w:p w14:paraId="3B321AFD" w14:textId="77777777" w:rsidR="001F2775" w:rsidRDefault="00A02391" w:rsidP="009B1861">
      <w:pPr>
        <w:pStyle w:val="a7"/>
        <w:numPr>
          <w:ilvl w:val="0"/>
          <w:numId w:val="2"/>
        </w:numPr>
        <w:spacing w:after="0"/>
        <w:jc w:val="both"/>
      </w:pPr>
      <w:r>
        <w:t>no more than 50% of the income derived by the investe</w:t>
      </w:r>
      <w:r w:rsidR="001F2775">
        <w:t>e company is</w:t>
      </w:r>
      <w:r w:rsidR="00B27ED6">
        <w:t xml:space="preserve"> passive income</w:t>
      </w:r>
      <w:r>
        <w:t>.</w:t>
      </w:r>
    </w:p>
    <w:p w14:paraId="0C42409E" w14:textId="77777777" w:rsidR="001F2775" w:rsidRDefault="001F2775" w:rsidP="009B1861">
      <w:pPr>
        <w:spacing w:after="0"/>
        <w:jc w:val="both"/>
      </w:pPr>
    </w:p>
    <w:p w14:paraId="64B5A5AB" w14:textId="2E3CACC5" w:rsidR="001F2775" w:rsidRDefault="001F2775" w:rsidP="009B1861">
      <w:pPr>
        <w:spacing w:after="0"/>
        <w:jc w:val="both"/>
      </w:pPr>
      <w:r>
        <w:t>The above participation exemption is subject to the following anti-abuse rules:</w:t>
      </w:r>
    </w:p>
    <w:p w14:paraId="68BCC36D" w14:textId="77777777" w:rsidR="000303CC" w:rsidRDefault="000303CC" w:rsidP="009B1861">
      <w:pPr>
        <w:spacing w:after="0"/>
        <w:jc w:val="both"/>
      </w:pPr>
    </w:p>
    <w:p w14:paraId="27A17AC6" w14:textId="217F583A" w:rsidR="00BA27B6" w:rsidRDefault="001F2775" w:rsidP="009B1861">
      <w:pPr>
        <w:pStyle w:val="a7"/>
        <w:numPr>
          <w:ilvl w:val="0"/>
          <w:numId w:val="4"/>
        </w:numPr>
        <w:spacing w:after="0"/>
        <w:ind w:left="720"/>
        <w:jc w:val="both"/>
      </w:pPr>
      <w:r>
        <w:t xml:space="preserve">switch-over rule: if </w:t>
      </w:r>
      <w:r w:rsidR="004D21FE">
        <w:t xml:space="preserve">the headline tax rate of </w:t>
      </w:r>
      <w:r w:rsidR="001120EA">
        <w:t>the income concerned or the pro</w:t>
      </w:r>
      <w:r w:rsidR="004D21FE">
        <w:t>fits that</w:t>
      </w:r>
      <w:r w:rsidR="001120EA">
        <w:t xml:space="preserve"> the investee company is</w:t>
      </w:r>
      <w:r w:rsidR="001B44C7">
        <w:t xml:space="preserve"> subject to</w:t>
      </w:r>
      <w:r w:rsidR="004D21FE">
        <w:t xml:space="preserve"> </w:t>
      </w:r>
      <w:r w:rsidR="007C7CCD">
        <w:t xml:space="preserve">is </w:t>
      </w:r>
      <w:r w:rsidR="004D21FE">
        <w:t>below 15%, the tax relief would be switched over from participation exemption to foreign tax credit (i.e.</w:t>
      </w:r>
      <w:r w:rsidR="001F53B4">
        <w:t>,</w:t>
      </w:r>
      <w:r w:rsidR="004D21FE">
        <w:t xml:space="preserve"> </w:t>
      </w:r>
      <w:r w:rsidR="00DD6820">
        <w:t xml:space="preserve">the investor company will </w:t>
      </w:r>
      <w:r w:rsidR="00B81834">
        <w:t xml:space="preserve">remain </w:t>
      </w:r>
      <w:r w:rsidR="00DD6820">
        <w:t>subject</w:t>
      </w:r>
      <w:r w:rsidR="00C849E2">
        <w:t xml:space="preserve"> to Hong Kong profits tax but can deduct the foreign tax paid in respect to the income concerned)</w:t>
      </w:r>
      <w:r w:rsidR="00716097">
        <w:t>;</w:t>
      </w:r>
    </w:p>
    <w:p w14:paraId="78EFB5C0" w14:textId="77777777" w:rsidR="00C849E2" w:rsidRDefault="00B7584B" w:rsidP="009B1861">
      <w:pPr>
        <w:pStyle w:val="a7"/>
        <w:numPr>
          <w:ilvl w:val="0"/>
          <w:numId w:val="4"/>
        </w:numPr>
        <w:spacing w:after="0"/>
        <w:ind w:left="720"/>
        <w:jc w:val="both"/>
      </w:pPr>
      <w:r>
        <w:t xml:space="preserve">main purpose rule: if the main purpose of any arrangement or series of arrangements </w:t>
      </w:r>
      <w:r w:rsidR="00720DE7">
        <w:t xml:space="preserve">is to obtain a tax advantage </w:t>
      </w:r>
      <w:r w:rsidR="00644B85">
        <w:t xml:space="preserve">that defeats the object or purpose of the exemption or </w:t>
      </w:r>
      <w:r w:rsidR="00147AAD">
        <w:t>that</w:t>
      </w:r>
      <w:r w:rsidR="00147AAD" w:rsidRPr="00147AAD">
        <w:t xml:space="preserve"> </w:t>
      </w:r>
      <w:r w:rsidR="00147AAD">
        <w:t>arrangement or series of arrangements is</w:t>
      </w:r>
      <w:r w:rsidR="00716097">
        <w:t>/are</w:t>
      </w:r>
      <w:r w:rsidR="00147AAD">
        <w:t xml:space="preserve"> </w:t>
      </w:r>
      <w:r w:rsidR="00644B85" w:rsidRPr="00644B85">
        <w:t>non-genuine</w:t>
      </w:r>
      <w:r w:rsidR="00147AAD">
        <w:t xml:space="preserve">, </w:t>
      </w:r>
      <w:r w:rsidR="00716097">
        <w:t xml:space="preserve">participation exemption will not be available; and </w:t>
      </w:r>
    </w:p>
    <w:p w14:paraId="1F1C6CF4" w14:textId="77777777" w:rsidR="00716097" w:rsidRDefault="00716097" w:rsidP="009B1861">
      <w:pPr>
        <w:pStyle w:val="a7"/>
        <w:numPr>
          <w:ilvl w:val="0"/>
          <w:numId w:val="4"/>
        </w:numPr>
        <w:spacing w:after="0"/>
        <w:ind w:left="720"/>
        <w:jc w:val="both"/>
      </w:pPr>
      <w:r>
        <w:t>anti-hybrid mismatch rule</w:t>
      </w:r>
      <w:r w:rsidR="009C1DA9">
        <w:t xml:space="preserve">: if the dividend payment is deductible by the investee company, </w:t>
      </w:r>
      <w:r w:rsidR="009C1DA9" w:rsidRPr="009C1DA9">
        <w:t xml:space="preserve">participation </w:t>
      </w:r>
      <w:r w:rsidR="009C1DA9">
        <w:t>exemption would not apply to that</w:t>
      </w:r>
      <w:r w:rsidR="009C1DA9" w:rsidRPr="009C1DA9">
        <w:t xml:space="preserve"> extent</w:t>
      </w:r>
      <w:r w:rsidR="009C1DA9">
        <w:t>.</w:t>
      </w:r>
    </w:p>
    <w:p w14:paraId="208C9D31" w14:textId="77777777" w:rsidR="009C1DA9" w:rsidRDefault="009C1DA9" w:rsidP="009B1861">
      <w:pPr>
        <w:spacing w:after="0"/>
        <w:jc w:val="both"/>
      </w:pPr>
    </w:p>
    <w:p w14:paraId="4D771E64" w14:textId="2CA21FD7" w:rsidR="009C1DA9" w:rsidRDefault="009C1DA9" w:rsidP="009B1861">
      <w:pPr>
        <w:spacing w:after="0"/>
        <w:jc w:val="both"/>
        <w:rPr>
          <w:b/>
        </w:rPr>
      </w:pPr>
      <w:r w:rsidRPr="009C1DA9">
        <w:rPr>
          <w:b/>
        </w:rPr>
        <w:t>Unilateral tax credit</w:t>
      </w:r>
      <w:r w:rsidR="00B7769A">
        <w:rPr>
          <w:b/>
        </w:rPr>
        <w:t xml:space="preserve"> under Hong Kong’s Proposed FSIE Regime</w:t>
      </w:r>
    </w:p>
    <w:p w14:paraId="62AC3C84" w14:textId="77777777" w:rsidR="000303CC" w:rsidRDefault="000303CC" w:rsidP="009B1861">
      <w:pPr>
        <w:spacing w:after="0"/>
        <w:jc w:val="both"/>
        <w:rPr>
          <w:b/>
        </w:rPr>
      </w:pPr>
    </w:p>
    <w:p w14:paraId="6DD5C801" w14:textId="34B7B17E" w:rsidR="008A7FD1" w:rsidRDefault="008A7FD1" w:rsidP="008A7FD1">
      <w:pPr>
        <w:spacing w:after="0"/>
        <w:jc w:val="both"/>
      </w:pPr>
      <w:r>
        <w:t xml:space="preserve">Under the current tax regime, tax credits would only be given to </w:t>
      </w:r>
      <w:r w:rsidRPr="00124285">
        <w:t>jurisdictions which have entered into comprehensive double taxation agreements with Hong Kong</w:t>
      </w:r>
      <w:r w:rsidR="00B95E34">
        <w:t>.</w:t>
      </w:r>
    </w:p>
    <w:p w14:paraId="3D66BADC" w14:textId="77777777" w:rsidR="008A7FD1" w:rsidRDefault="008A7FD1" w:rsidP="009B1861">
      <w:pPr>
        <w:spacing w:after="0"/>
        <w:jc w:val="both"/>
      </w:pPr>
    </w:p>
    <w:p w14:paraId="291B645D" w14:textId="034B41B0" w:rsidR="009C1DA9" w:rsidRDefault="00E45AEA" w:rsidP="009B1861">
      <w:pPr>
        <w:spacing w:after="0"/>
        <w:jc w:val="both"/>
      </w:pPr>
      <w:r>
        <w:t>To avoid double taxation</w:t>
      </w:r>
      <w:r w:rsidR="00992F68">
        <w:t xml:space="preserve"> (i.e.</w:t>
      </w:r>
      <w:r w:rsidR="001F53B4">
        <w:t>,</w:t>
      </w:r>
      <w:r w:rsidR="00992F68" w:rsidRPr="00992F68">
        <w:t xml:space="preserve"> two or more tax jurisdictions overlap, such that the same item of income or profit is subject to tax in each</w:t>
      </w:r>
      <w:r w:rsidR="00992F68">
        <w:t>)</w:t>
      </w:r>
      <w:r>
        <w:t xml:space="preserve"> for in-scope offshore passive income that is chargeable to profits tax in </w:t>
      </w:r>
      <w:r>
        <w:lastRenderedPageBreak/>
        <w:t>Hong Kong</w:t>
      </w:r>
      <w:r w:rsidR="007C7CCD">
        <w:t xml:space="preserve"> and in a jurisdiction </w:t>
      </w:r>
      <w:r>
        <w:t xml:space="preserve">which has not entered into a comprehensive avoidance of double taxation arrangement with Hong Kong, </w:t>
      </w:r>
      <w:r w:rsidRPr="00E45AEA">
        <w:t xml:space="preserve">a unilateral tax credit </w:t>
      </w:r>
      <w:r w:rsidR="007C7CCD">
        <w:t>has been proposed</w:t>
      </w:r>
      <w:r w:rsidRPr="00E45AEA">
        <w:t>.</w:t>
      </w:r>
      <w:r w:rsidR="00665FF9">
        <w:t xml:space="preserve"> </w:t>
      </w:r>
    </w:p>
    <w:p w14:paraId="1AE6007B" w14:textId="77777777" w:rsidR="00BC7621" w:rsidRDefault="00BC7621" w:rsidP="009B1861">
      <w:pPr>
        <w:spacing w:after="0"/>
        <w:jc w:val="both"/>
      </w:pPr>
    </w:p>
    <w:p w14:paraId="04AD271C" w14:textId="049A83C0" w:rsidR="00BC7621" w:rsidRDefault="00CA1E9A" w:rsidP="009B1861">
      <w:pPr>
        <w:spacing w:after="0"/>
        <w:jc w:val="both"/>
        <w:rPr>
          <w:b/>
          <w:color w:val="C00000"/>
        </w:rPr>
      </w:pPr>
      <w:r w:rsidRPr="00CA1E9A">
        <w:rPr>
          <w:b/>
          <w:color w:val="C00000"/>
        </w:rPr>
        <w:t>Timeline and i</w:t>
      </w:r>
      <w:r w:rsidR="00BC7621" w:rsidRPr="00CA1E9A">
        <w:rPr>
          <w:b/>
          <w:color w:val="C00000"/>
        </w:rPr>
        <w:t>mplementation</w:t>
      </w:r>
      <w:r w:rsidR="00247FD0">
        <w:rPr>
          <w:b/>
          <w:color w:val="C00000"/>
        </w:rPr>
        <w:t xml:space="preserve"> for </w:t>
      </w:r>
      <w:r w:rsidR="00247FD0" w:rsidRPr="00DD261E">
        <w:rPr>
          <w:b/>
          <w:color w:val="C00000"/>
        </w:rPr>
        <w:t>Hong Kong’s Proposed FSIE Regime</w:t>
      </w:r>
    </w:p>
    <w:p w14:paraId="36BD1087" w14:textId="77777777" w:rsidR="000303CC" w:rsidRPr="00CA1E9A" w:rsidRDefault="000303CC" w:rsidP="009B1861">
      <w:pPr>
        <w:spacing w:after="0"/>
        <w:jc w:val="both"/>
        <w:rPr>
          <w:b/>
          <w:color w:val="C00000"/>
        </w:rPr>
      </w:pPr>
    </w:p>
    <w:p w14:paraId="01C20809" w14:textId="2820C6AD" w:rsidR="00404423" w:rsidRDefault="00EB62F3" w:rsidP="009B1861">
      <w:pPr>
        <w:spacing w:after="0"/>
        <w:jc w:val="both"/>
      </w:pPr>
      <w:r>
        <w:t xml:space="preserve">The Hong Kong government plans to introduce an amendment bill on </w:t>
      </w:r>
      <w:r w:rsidR="00B7769A">
        <w:t xml:space="preserve">Hong Kong’s </w:t>
      </w:r>
      <w:r>
        <w:t>Proposed</w:t>
      </w:r>
      <w:r w:rsidRPr="00EB62F3">
        <w:t xml:space="preserve"> FSIE Regime</w:t>
      </w:r>
      <w:r>
        <w:t xml:space="preserve"> in October 2022 </w:t>
      </w:r>
      <w:r w:rsidR="00B840A4">
        <w:t>i</w:t>
      </w:r>
      <w:r w:rsidR="001B44C7">
        <w:t xml:space="preserve">n order </w:t>
      </w:r>
      <w:r w:rsidR="005F13C5">
        <w:t>to bring the Proposed</w:t>
      </w:r>
      <w:r w:rsidR="005F13C5" w:rsidRPr="00EB62F3">
        <w:t xml:space="preserve"> FSIE Regime</w:t>
      </w:r>
      <w:r w:rsidR="00596057">
        <w:t xml:space="preserve"> i</w:t>
      </w:r>
      <w:r w:rsidR="005F13C5">
        <w:t>nto effect from 1 January 2023.</w:t>
      </w:r>
      <w:r w:rsidR="00F634E4">
        <w:t xml:space="preserve"> The Inland Revenue Department will issue </w:t>
      </w:r>
      <w:r w:rsidR="00B840A4" w:rsidRPr="00B840A4">
        <w:t>guidelines</w:t>
      </w:r>
      <w:r w:rsidR="00F634E4">
        <w:t xml:space="preserve"> to explain the </w:t>
      </w:r>
      <w:r w:rsidR="00CA1E9A">
        <w:t xml:space="preserve">changes. The government will set up </w:t>
      </w:r>
      <w:r w:rsidR="00012D6E">
        <w:t xml:space="preserve">task forces </w:t>
      </w:r>
      <w:r w:rsidR="00CA1E9A">
        <w:t xml:space="preserve">to handle enquiries regarding such changes after implementing </w:t>
      </w:r>
      <w:r w:rsidR="00B7769A">
        <w:t xml:space="preserve">Hong Kong’s </w:t>
      </w:r>
      <w:r w:rsidR="00CA1E9A">
        <w:t>Proposed</w:t>
      </w:r>
      <w:r w:rsidR="00CA1E9A" w:rsidRPr="00EB62F3">
        <w:t xml:space="preserve"> FSIE Regime</w:t>
      </w:r>
      <w:r w:rsidR="00CA1E9A">
        <w:t>.</w:t>
      </w:r>
      <w:r w:rsidR="00404423">
        <w:t xml:space="preserve"> </w:t>
      </w:r>
    </w:p>
    <w:p w14:paraId="0BBAF0DA" w14:textId="4BF33B9B" w:rsidR="00B840A4" w:rsidRDefault="00B840A4" w:rsidP="009B1861">
      <w:pPr>
        <w:spacing w:after="0"/>
        <w:jc w:val="both"/>
      </w:pPr>
    </w:p>
    <w:p w14:paraId="0DDEA143" w14:textId="77777777" w:rsidR="00CC0E79" w:rsidRPr="00A41F57" w:rsidRDefault="00CC0E79" w:rsidP="00CC0E79">
      <w:pPr>
        <w:pStyle w:val="DisclaimerBold"/>
        <w:rPr>
          <w:rFonts w:ascii="Helvetica" w:hAnsi="Helvetica"/>
        </w:rPr>
      </w:pPr>
      <w:r w:rsidRPr="00F05494">
        <w:rPr>
          <w:rFonts w:ascii="Helvetica" w:hAnsi="Helvetica"/>
        </w:rPr>
        <w:t>This newsletter is for information purposes only.</w:t>
      </w:r>
    </w:p>
    <w:p w14:paraId="30DD3C64" w14:textId="77777777" w:rsidR="00CC0E79" w:rsidRPr="00F05494" w:rsidRDefault="00CC0E79" w:rsidP="00CC0E79">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14:paraId="326292E2" w14:textId="77777777" w:rsidR="00CC0E79" w:rsidRPr="00F05494" w:rsidRDefault="00CC0E79" w:rsidP="00CC0E79">
      <w:pPr>
        <w:pStyle w:val="Disclaimer"/>
        <w:rPr>
          <w:rFonts w:ascii="Helvetica" w:hAnsi="Helvetica"/>
        </w:rPr>
      </w:pPr>
      <w:r w:rsidRPr="00F05494">
        <w:rPr>
          <w:rFonts w:ascii="Helvetica" w:hAnsi="Helvetica"/>
        </w:rPr>
        <w:t>Transmission of this information is not intended to create and receipt does not constitute a lawyer-client relationship between Charltons and the user or browser.</w:t>
      </w:r>
    </w:p>
    <w:p w14:paraId="0AA9B7AE" w14:textId="77777777" w:rsidR="00CC0E79" w:rsidRPr="00F05494" w:rsidRDefault="00CC0E79" w:rsidP="00CC0E79">
      <w:pPr>
        <w:pStyle w:val="Disclaimer"/>
        <w:rPr>
          <w:rFonts w:ascii="Helvetica" w:hAnsi="Helvetica"/>
        </w:rPr>
      </w:pPr>
      <w:r w:rsidRPr="00F05494">
        <w:rPr>
          <w:rFonts w:ascii="Helvetica" w:hAnsi="Helvetica"/>
        </w:rPr>
        <w:t>Charltons is not responsible for any third</w:t>
      </w:r>
      <w:r w:rsidRPr="00A41F57">
        <w:rPr>
          <w:rFonts w:ascii="Helvetica" w:hAnsi="Helvetica"/>
        </w:rPr>
        <w:t xml:space="preserve"> </w:t>
      </w:r>
      <w:r w:rsidRPr="00F05494">
        <w:rPr>
          <w:rFonts w:ascii="Helvetica" w:hAnsi="Helvetica"/>
        </w:rPr>
        <w:t>party content which can be accessed through the website.</w:t>
      </w:r>
    </w:p>
    <w:p w14:paraId="2BF83DF1" w14:textId="77777777" w:rsidR="00CC0E79" w:rsidRPr="00F05494" w:rsidRDefault="00CC0E79" w:rsidP="00CC0E79">
      <w:pPr>
        <w:pStyle w:val="Disclaimer"/>
        <w:rPr>
          <w:rFonts w:ascii="Helvetica" w:hAnsi="Helvetica"/>
        </w:rPr>
      </w:pPr>
      <w:r w:rsidRPr="00F05494">
        <w:rPr>
          <w:rFonts w:ascii="Helvetica" w:hAnsi="Helvetica"/>
        </w:rPr>
        <w:t xml:space="preserve">If you do not wish to receive this newsletter please let us know by emailing us at  </w:t>
      </w:r>
      <w:hyperlink r:id="rId9">
        <w:r w:rsidRPr="00F05494">
          <w:rPr>
            <w:rFonts w:ascii="Helvetica" w:hAnsi="Helvetica"/>
          </w:rPr>
          <w:t>unsubscribe@charltonslaw.com</w:t>
        </w:r>
      </w:hyperlink>
    </w:p>
    <w:p w14:paraId="6D6D1513" w14:textId="67C6D0BF" w:rsidR="00CC0E79" w:rsidRPr="009E31B3" w:rsidRDefault="00CC0E79" w:rsidP="00CC0E79">
      <w:pPr>
        <w:pStyle w:val="BlackStrips"/>
        <w:rPr>
          <w:rFonts w:ascii="Helvetica" w:hAnsi="Helvetica"/>
        </w:rPr>
      </w:pPr>
      <w:r w:rsidRPr="00F05494">
        <w:rPr>
          <w:rFonts w:ascii="Helvetica" w:hAnsi="Helvetica"/>
        </w:rPr>
        <w:t xml:space="preserve">Charltons - Hong Kong Law - </w:t>
      </w:r>
      <w:r>
        <w:rPr>
          <w:rFonts w:ascii="Helvetica" w:hAnsi="Helvetica"/>
        </w:rPr>
        <w:t>0</w:t>
      </w:r>
      <w:r w:rsidR="007304C4">
        <w:rPr>
          <w:rFonts w:ascii="Helvetica" w:hAnsi="Helvetica"/>
        </w:rPr>
        <w:t>7</w:t>
      </w:r>
      <w:r w:rsidRPr="00F05494">
        <w:rPr>
          <w:rFonts w:ascii="Helvetica" w:hAnsi="Helvetica"/>
        </w:rPr>
        <w:t xml:space="preserve"> </w:t>
      </w:r>
      <w:r>
        <w:rPr>
          <w:rFonts w:ascii="Helvetica" w:hAnsi="Helvetica"/>
        </w:rPr>
        <w:t>September</w:t>
      </w:r>
      <w:r w:rsidRPr="00F05494">
        <w:rPr>
          <w:rFonts w:ascii="Helvetica" w:hAnsi="Helvetica"/>
        </w:rPr>
        <w:t xml:space="preserve"> 202</w:t>
      </w:r>
      <w:r>
        <w:rPr>
          <w:rFonts w:ascii="Helvetica" w:hAnsi="Helvetica"/>
        </w:rPr>
        <w:t>2</w:t>
      </w:r>
    </w:p>
    <w:p w14:paraId="4D4291C2" w14:textId="77777777" w:rsidR="00CC0E79" w:rsidRDefault="00CC0E79" w:rsidP="009B1861">
      <w:pPr>
        <w:spacing w:after="0"/>
        <w:jc w:val="both"/>
      </w:pPr>
    </w:p>
    <w:p w14:paraId="01834E86" w14:textId="77777777" w:rsidR="00BC7621" w:rsidRDefault="00BC7621" w:rsidP="009B1861">
      <w:pPr>
        <w:spacing w:after="0"/>
        <w:jc w:val="both"/>
      </w:pPr>
    </w:p>
    <w:p w14:paraId="16B5D4F7" w14:textId="77777777" w:rsidR="002200AB" w:rsidRPr="009C1DA9" w:rsidRDefault="002200AB" w:rsidP="009B1861">
      <w:pPr>
        <w:spacing w:after="0"/>
        <w:jc w:val="both"/>
      </w:pPr>
    </w:p>
    <w:sectPr w:rsidR="002200AB" w:rsidRPr="009C1DA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44BAD" w14:textId="77777777" w:rsidR="008B7E8B" w:rsidRDefault="008B7E8B" w:rsidP="00BB3FF3">
      <w:pPr>
        <w:spacing w:after="0" w:line="240" w:lineRule="auto"/>
      </w:pPr>
      <w:r>
        <w:separator/>
      </w:r>
    </w:p>
  </w:endnote>
  <w:endnote w:type="continuationSeparator" w:id="0">
    <w:p w14:paraId="23C33E90" w14:textId="77777777" w:rsidR="008B7E8B" w:rsidRDefault="008B7E8B" w:rsidP="00BB3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731785"/>
      <w:docPartObj>
        <w:docPartGallery w:val="Page Numbers (Bottom of Page)"/>
        <w:docPartUnique/>
      </w:docPartObj>
    </w:sdtPr>
    <w:sdtEndPr>
      <w:rPr>
        <w:noProof/>
      </w:rPr>
    </w:sdtEndPr>
    <w:sdtContent>
      <w:p w14:paraId="1763D4B9" w14:textId="70597122" w:rsidR="00D03B01" w:rsidRDefault="00D03B01">
        <w:pPr>
          <w:pStyle w:val="ac"/>
          <w:jc w:val="center"/>
        </w:pPr>
        <w:r>
          <w:fldChar w:fldCharType="begin"/>
        </w:r>
        <w:r>
          <w:instrText xml:space="preserve"> PAGE   \* MERGEFORMAT </w:instrText>
        </w:r>
        <w:r>
          <w:fldChar w:fldCharType="separate"/>
        </w:r>
        <w:r w:rsidR="0008066D">
          <w:rPr>
            <w:noProof/>
          </w:rPr>
          <w:t>4</w:t>
        </w:r>
        <w:r>
          <w:rPr>
            <w:noProof/>
          </w:rPr>
          <w:fldChar w:fldCharType="end"/>
        </w:r>
      </w:p>
    </w:sdtContent>
  </w:sdt>
  <w:p w14:paraId="6BE47C98" w14:textId="77777777" w:rsidR="00D03B01" w:rsidRDefault="00D03B0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2C81" w14:textId="77777777" w:rsidR="008B7E8B" w:rsidRDefault="008B7E8B" w:rsidP="00BB3FF3">
      <w:pPr>
        <w:spacing w:after="0" w:line="240" w:lineRule="auto"/>
      </w:pPr>
      <w:r>
        <w:separator/>
      </w:r>
    </w:p>
  </w:footnote>
  <w:footnote w:type="continuationSeparator" w:id="0">
    <w:p w14:paraId="1870EE1A" w14:textId="77777777" w:rsidR="008B7E8B" w:rsidRDefault="008B7E8B" w:rsidP="00BB3FF3">
      <w:pPr>
        <w:spacing w:after="0" w:line="240" w:lineRule="auto"/>
      </w:pPr>
      <w:r>
        <w:continuationSeparator/>
      </w:r>
    </w:p>
  </w:footnote>
  <w:footnote w:id="1">
    <w:p w14:paraId="4C652BDB" w14:textId="77777777" w:rsidR="00BF0C34" w:rsidRDefault="00BF0C34" w:rsidP="00BF0C34">
      <w:pPr>
        <w:pStyle w:val="a4"/>
      </w:pPr>
      <w:r>
        <w:rPr>
          <w:rStyle w:val="a6"/>
        </w:rPr>
        <w:footnoteRef/>
      </w:r>
      <w:r>
        <w:t xml:space="preserve"> </w:t>
      </w:r>
      <w:hyperlink r:id="rId1" w:history="1">
        <w:r w:rsidRPr="00FC57C9">
          <w:rPr>
            <w:rStyle w:val="a3"/>
          </w:rPr>
          <w:t>https://www.consilium.europa.eu/en/policies/eu-list-of-non-cooperative-jurisdictions/</w:t>
        </w:r>
      </w:hyperlink>
    </w:p>
  </w:footnote>
  <w:footnote w:id="2">
    <w:p w14:paraId="722FAE11" w14:textId="77777777" w:rsidR="000870CF" w:rsidRDefault="000870CF" w:rsidP="000870CF">
      <w:pPr>
        <w:pStyle w:val="a4"/>
      </w:pPr>
      <w:r>
        <w:rPr>
          <w:rStyle w:val="a6"/>
        </w:rPr>
        <w:footnoteRef/>
      </w:r>
      <w:r>
        <w:t xml:space="preserve"> </w:t>
      </w:r>
      <w:hyperlink r:id="rId2" w:history="1">
        <w:r w:rsidRPr="00821732">
          <w:rPr>
            <w:rStyle w:val="a3"/>
          </w:rPr>
          <w:t>https://data.consilium.europa.eu/doc/document/ST-12519-2021-INIT/en/pdf</w:t>
        </w:r>
      </w:hyperlink>
    </w:p>
  </w:footnote>
  <w:footnote w:id="3">
    <w:p w14:paraId="17CF349D" w14:textId="77777777" w:rsidR="00662F6D" w:rsidRDefault="00662F6D" w:rsidP="00662F6D">
      <w:pPr>
        <w:pStyle w:val="a4"/>
      </w:pPr>
      <w:r>
        <w:rPr>
          <w:rStyle w:val="a6"/>
        </w:rPr>
        <w:footnoteRef/>
      </w:r>
      <w:r>
        <w:t xml:space="preserve"> </w:t>
      </w:r>
      <w:hyperlink r:id="rId3" w:history="1">
        <w:r w:rsidRPr="00662F6D">
          <w:rPr>
            <w:rStyle w:val="a3"/>
          </w:rPr>
          <w:t>https://www.legco.gov.hk/yr2022/english/panels/fa/papers/fa20220704cb1-411-2-e.pdf</w:t>
        </w:r>
      </w:hyperlink>
    </w:p>
  </w:footnote>
  <w:footnote w:id="4">
    <w:p w14:paraId="277B900C" w14:textId="7FD01C73" w:rsidR="000870CF" w:rsidRDefault="000870CF" w:rsidP="000870CF">
      <w:pPr>
        <w:pStyle w:val="a4"/>
      </w:pPr>
      <w:r>
        <w:rPr>
          <w:rStyle w:val="a6"/>
        </w:rPr>
        <w:footnoteRef/>
      </w:r>
      <w:r>
        <w:t xml:space="preserve"> </w:t>
      </w:r>
      <w:hyperlink r:id="rId4" w:history="1">
        <w:r w:rsidR="00034B15" w:rsidRPr="00034B15">
          <w:rPr>
            <w:rStyle w:val="a3"/>
          </w:rPr>
          <w:t>https://www.legco.gov.hk/yr2022/english/panels/fa/agenda/fa20220704.htm</w:t>
        </w:r>
      </w:hyperlink>
    </w:p>
  </w:footnote>
  <w:footnote w:id="5">
    <w:p w14:paraId="7DEB8B40" w14:textId="3B78496C" w:rsidR="00A0097A" w:rsidRDefault="00A0097A">
      <w:pPr>
        <w:pStyle w:val="a4"/>
      </w:pPr>
      <w:r>
        <w:rPr>
          <w:rStyle w:val="a6"/>
        </w:rPr>
        <w:footnoteRef/>
      </w:r>
      <w:r>
        <w:t xml:space="preserve"> </w:t>
      </w:r>
      <w:hyperlink r:id="rId5" w:history="1">
        <w:r w:rsidRPr="00A0097A">
          <w:rPr>
            <w:rStyle w:val="a3"/>
          </w:rPr>
          <w:t>https://www.elegislation.gov.hk/hk/cap112</w:t>
        </w:r>
      </w:hyperlink>
    </w:p>
  </w:footnote>
  <w:footnote w:id="6">
    <w:p w14:paraId="43A6D30A" w14:textId="67A45A60" w:rsidR="002E6F7B" w:rsidRDefault="002E6F7B" w:rsidP="002E6F7B">
      <w:pPr>
        <w:pStyle w:val="a4"/>
      </w:pPr>
      <w:r>
        <w:rPr>
          <w:rStyle w:val="a6"/>
        </w:rPr>
        <w:footnoteRef/>
      </w:r>
      <w:r>
        <w:t xml:space="preserve"> </w:t>
      </w:r>
      <w:hyperlink r:id="rId6" w:history="1">
        <w:r w:rsidR="00A81C85" w:rsidRPr="009C7563">
          <w:rPr>
            <w:rStyle w:val="a3"/>
          </w:rPr>
          <w:t>https://www.oecd.org/tax/beps/tax-challenges-arising-from-the-digitalisation-of-the-economy-global-anti-base-erosion-model-rules-pillar-two.pdf</w:t>
        </w:r>
      </w:hyperlink>
    </w:p>
  </w:footnote>
  <w:footnote w:id="7">
    <w:p w14:paraId="17B6742D" w14:textId="3EFF95DA" w:rsidR="006C6189" w:rsidRDefault="006C6189">
      <w:pPr>
        <w:pStyle w:val="a4"/>
      </w:pPr>
      <w:r>
        <w:rPr>
          <w:rStyle w:val="a6"/>
        </w:rPr>
        <w:footnoteRef/>
      </w:r>
      <w:r>
        <w:t xml:space="preserve"> </w:t>
      </w:r>
      <w:r w:rsidRPr="006C6189">
        <w:t>Ibid</w:t>
      </w:r>
    </w:p>
  </w:footnote>
  <w:footnote w:id="8">
    <w:p w14:paraId="32ACF535" w14:textId="77777777" w:rsidR="00A113A1" w:rsidRDefault="00A113A1" w:rsidP="00A113A1">
      <w:pPr>
        <w:pStyle w:val="a4"/>
      </w:pPr>
      <w:r>
        <w:rPr>
          <w:rStyle w:val="a6"/>
        </w:rPr>
        <w:footnoteRef/>
      </w:r>
      <w:r>
        <w:t xml:space="preserve"> </w:t>
      </w:r>
      <w:r w:rsidRPr="006C6189">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C03F7"/>
    <w:multiLevelType w:val="hybridMultilevel"/>
    <w:tmpl w:val="B378A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65223"/>
    <w:multiLevelType w:val="hybridMultilevel"/>
    <w:tmpl w:val="84726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912CEF"/>
    <w:multiLevelType w:val="hybridMultilevel"/>
    <w:tmpl w:val="F7A8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AA29DC"/>
    <w:multiLevelType w:val="hybridMultilevel"/>
    <w:tmpl w:val="332C68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58612418">
    <w:abstractNumId w:val="0"/>
  </w:num>
  <w:num w:numId="2" w16cid:durableId="908270210">
    <w:abstractNumId w:val="2"/>
  </w:num>
  <w:num w:numId="3" w16cid:durableId="386296190">
    <w:abstractNumId w:val="1"/>
  </w:num>
  <w:num w:numId="4" w16cid:durableId="1299453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7B6"/>
    <w:rsid w:val="00011468"/>
    <w:rsid w:val="00012D6E"/>
    <w:rsid w:val="00020A06"/>
    <w:rsid w:val="00026E11"/>
    <w:rsid w:val="000303CC"/>
    <w:rsid w:val="00034B15"/>
    <w:rsid w:val="00044B0C"/>
    <w:rsid w:val="000477EE"/>
    <w:rsid w:val="00055E61"/>
    <w:rsid w:val="00075D5C"/>
    <w:rsid w:val="0008066D"/>
    <w:rsid w:val="000870CF"/>
    <w:rsid w:val="00090B9F"/>
    <w:rsid w:val="000922BF"/>
    <w:rsid w:val="0009400B"/>
    <w:rsid w:val="000948BB"/>
    <w:rsid w:val="000949F2"/>
    <w:rsid w:val="000B0475"/>
    <w:rsid w:val="000B4B4B"/>
    <w:rsid w:val="000B692A"/>
    <w:rsid w:val="000B71EA"/>
    <w:rsid w:val="000C0C35"/>
    <w:rsid w:val="000C36BC"/>
    <w:rsid w:val="000D1B0A"/>
    <w:rsid w:val="0011036D"/>
    <w:rsid w:val="001120EA"/>
    <w:rsid w:val="0012021E"/>
    <w:rsid w:val="00124285"/>
    <w:rsid w:val="00147AAD"/>
    <w:rsid w:val="001665E4"/>
    <w:rsid w:val="001777E7"/>
    <w:rsid w:val="001925D1"/>
    <w:rsid w:val="001B445E"/>
    <w:rsid w:val="001B44C7"/>
    <w:rsid w:val="001C2DEE"/>
    <w:rsid w:val="001C70E6"/>
    <w:rsid w:val="001D0EA3"/>
    <w:rsid w:val="001D6E21"/>
    <w:rsid w:val="001E09B1"/>
    <w:rsid w:val="001E1333"/>
    <w:rsid w:val="001E1F77"/>
    <w:rsid w:val="001E213A"/>
    <w:rsid w:val="001F1DED"/>
    <w:rsid w:val="001F2775"/>
    <w:rsid w:val="001F53B4"/>
    <w:rsid w:val="001F7C7F"/>
    <w:rsid w:val="002200AB"/>
    <w:rsid w:val="00221630"/>
    <w:rsid w:val="002216F1"/>
    <w:rsid w:val="0022281F"/>
    <w:rsid w:val="00233E7F"/>
    <w:rsid w:val="00234F0B"/>
    <w:rsid w:val="0024606F"/>
    <w:rsid w:val="00247FD0"/>
    <w:rsid w:val="00264D3C"/>
    <w:rsid w:val="00267F15"/>
    <w:rsid w:val="00273085"/>
    <w:rsid w:val="0028091A"/>
    <w:rsid w:val="00291DCE"/>
    <w:rsid w:val="0029475B"/>
    <w:rsid w:val="002B2703"/>
    <w:rsid w:val="002B2BDC"/>
    <w:rsid w:val="002C3DFA"/>
    <w:rsid w:val="002C5543"/>
    <w:rsid w:val="002D08AC"/>
    <w:rsid w:val="002E2476"/>
    <w:rsid w:val="002E2F1B"/>
    <w:rsid w:val="002E4A1C"/>
    <w:rsid w:val="002E6F7B"/>
    <w:rsid w:val="003028E9"/>
    <w:rsid w:val="00306B30"/>
    <w:rsid w:val="0031060E"/>
    <w:rsid w:val="00310DA5"/>
    <w:rsid w:val="00325403"/>
    <w:rsid w:val="003318CD"/>
    <w:rsid w:val="00341066"/>
    <w:rsid w:val="003454E0"/>
    <w:rsid w:val="00352B98"/>
    <w:rsid w:val="00355CD1"/>
    <w:rsid w:val="00360BE4"/>
    <w:rsid w:val="003637DC"/>
    <w:rsid w:val="0037556F"/>
    <w:rsid w:val="00376B54"/>
    <w:rsid w:val="003847A9"/>
    <w:rsid w:val="003A29FC"/>
    <w:rsid w:val="003A38B5"/>
    <w:rsid w:val="003C20FB"/>
    <w:rsid w:val="003C78F1"/>
    <w:rsid w:val="003D4DEE"/>
    <w:rsid w:val="003F0878"/>
    <w:rsid w:val="003F56D8"/>
    <w:rsid w:val="004001E7"/>
    <w:rsid w:val="00404423"/>
    <w:rsid w:val="004124D3"/>
    <w:rsid w:val="00412DD7"/>
    <w:rsid w:val="00425219"/>
    <w:rsid w:val="004779EE"/>
    <w:rsid w:val="00495AF9"/>
    <w:rsid w:val="004A053C"/>
    <w:rsid w:val="004B2908"/>
    <w:rsid w:val="004B4C63"/>
    <w:rsid w:val="004C4B98"/>
    <w:rsid w:val="004C6D31"/>
    <w:rsid w:val="004D21FE"/>
    <w:rsid w:val="004F212C"/>
    <w:rsid w:val="004F6231"/>
    <w:rsid w:val="005015CE"/>
    <w:rsid w:val="0050235D"/>
    <w:rsid w:val="005135F5"/>
    <w:rsid w:val="0053043E"/>
    <w:rsid w:val="0054485A"/>
    <w:rsid w:val="00561C7B"/>
    <w:rsid w:val="00564B97"/>
    <w:rsid w:val="00581BE5"/>
    <w:rsid w:val="00596057"/>
    <w:rsid w:val="005D3F2F"/>
    <w:rsid w:val="005F13C5"/>
    <w:rsid w:val="00613D60"/>
    <w:rsid w:val="0062172E"/>
    <w:rsid w:val="00627314"/>
    <w:rsid w:val="0063374A"/>
    <w:rsid w:val="006358B0"/>
    <w:rsid w:val="00644B85"/>
    <w:rsid w:val="00652B22"/>
    <w:rsid w:val="00653273"/>
    <w:rsid w:val="0066170E"/>
    <w:rsid w:val="00662F6D"/>
    <w:rsid w:val="00665FF9"/>
    <w:rsid w:val="0066677C"/>
    <w:rsid w:val="00694EA7"/>
    <w:rsid w:val="006A5CB5"/>
    <w:rsid w:val="006B1D62"/>
    <w:rsid w:val="006C2602"/>
    <w:rsid w:val="006C6189"/>
    <w:rsid w:val="006D3E42"/>
    <w:rsid w:val="006F6C01"/>
    <w:rsid w:val="00716097"/>
    <w:rsid w:val="00720DE7"/>
    <w:rsid w:val="007304C4"/>
    <w:rsid w:val="007431F2"/>
    <w:rsid w:val="0075114B"/>
    <w:rsid w:val="007579D6"/>
    <w:rsid w:val="007636CF"/>
    <w:rsid w:val="00763F11"/>
    <w:rsid w:val="007912ED"/>
    <w:rsid w:val="00793557"/>
    <w:rsid w:val="007B4F09"/>
    <w:rsid w:val="007C4035"/>
    <w:rsid w:val="007C6A42"/>
    <w:rsid w:val="007C7CCD"/>
    <w:rsid w:val="007D3177"/>
    <w:rsid w:val="007F357D"/>
    <w:rsid w:val="00800AB2"/>
    <w:rsid w:val="0081280A"/>
    <w:rsid w:val="00814892"/>
    <w:rsid w:val="00821732"/>
    <w:rsid w:val="00823FB8"/>
    <w:rsid w:val="00832E92"/>
    <w:rsid w:val="00844C12"/>
    <w:rsid w:val="00867D55"/>
    <w:rsid w:val="00867FEB"/>
    <w:rsid w:val="0087755E"/>
    <w:rsid w:val="008A23F9"/>
    <w:rsid w:val="008A7FD1"/>
    <w:rsid w:val="008B06F1"/>
    <w:rsid w:val="008B2AB6"/>
    <w:rsid w:val="008B7E8B"/>
    <w:rsid w:val="008E0E7F"/>
    <w:rsid w:val="00901B1F"/>
    <w:rsid w:val="009079E4"/>
    <w:rsid w:val="00934241"/>
    <w:rsid w:val="00941A32"/>
    <w:rsid w:val="00955926"/>
    <w:rsid w:val="009646FD"/>
    <w:rsid w:val="00985F37"/>
    <w:rsid w:val="00987900"/>
    <w:rsid w:val="00992F68"/>
    <w:rsid w:val="009A72EF"/>
    <w:rsid w:val="009B0D01"/>
    <w:rsid w:val="009B1861"/>
    <w:rsid w:val="009B1B65"/>
    <w:rsid w:val="009C1DA9"/>
    <w:rsid w:val="009C2F7D"/>
    <w:rsid w:val="009D5E85"/>
    <w:rsid w:val="009E3B46"/>
    <w:rsid w:val="009F18F2"/>
    <w:rsid w:val="00A0097A"/>
    <w:rsid w:val="00A02391"/>
    <w:rsid w:val="00A04B09"/>
    <w:rsid w:val="00A113A1"/>
    <w:rsid w:val="00A11C91"/>
    <w:rsid w:val="00A1269E"/>
    <w:rsid w:val="00A16985"/>
    <w:rsid w:val="00A24DE8"/>
    <w:rsid w:val="00A25C01"/>
    <w:rsid w:val="00A3534B"/>
    <w:rsid w:val="00A45E02"/>
    <w:rsid w:val="00A50D13"/>
    <w:rsid w:val="00A81C85"/>
    <w:rsid w:val="00A94B00"/>
    <w:rsid w:val="00AB0A13"/>
    <w:rsid w:val="00AB68EF"/>
    <w:rsid w:val="00AC5FB5"/>
    <w:rsid w:val="00AD00A0"/>
    <w:rsid w:val="00AD014A"/>
    <w:rsid w:val="00AD01BD"/>
    <w:rsid w:val="00AD5D27"/>
    <w:rsid w:val="00AE1C9A"/>
    <w:rsid w:val="00AF78BC"/>
    <w:rsid w:val="00B15C20"/>
    <w:rsid w:val="00B17F81"/>
    <w:rsid w:val="00B25ACB"/>
    <w:rsid w:val="00B27ED6"/>
    <w:rsid w:val="00B352C1"/>
    <w:rsid w:val="00B6551E"/>
    <w:rsid w:val="00B65620"/>
    <w:rsid w:val="00B65FDF"/>
    <w:rsid w:val="00B67F59"/>
    <w:rsid w:val="00B7584B"/>
    <w:rsid w:val="00B75ABC"/>
    <w:rsid w:val="00B7769A"/>
    <w:rsid w:val="00B80591"/>
    <w:rsid w:val="00B81834"/>
    <w:rsid w:val="00B840A4"/>
    <w:rsid w:val="00B94BD2"/>
    <w:rsid w:val="00B95E34"/>
    <w:rsid w:val="00BA27B6"/>
    <w:rsid w:val="00BB0BF9"/>
    <w:rsid w:val="00BB3FF3"/>
    <w:rsid w:val="00BB5965"/>
    <w:rsid w:val="00BC36FF"/>
    <w:rsid w:val="00BC7621"/>
    <w:rsid w:val="00BE0D2E"/>
    <w:rsid w:val="00BE1419"/>
    <w:rsid w:val="00BE6084"/>
    <w:rsid w:val="00BF0C34"/>
    <w:rsid w:val="00BF5874"/>
    <w:rsid w:val="00C1285A"/>
    <w:rsid w:val="00C12AC0"/>
    <w:rsid w:val="00C13269"/>
    <w:rsid w:val="00C23BB0"/>
    <w:rsid w:val="00C24C80"/>
    <w:rsid w:val="00C40351"/>
    <w:rsid w:val="00C43A1F"/>
    <w:rsid w:val="00C43F87"/>
    <w:rsid w:val="00C45B7E"/>
    <w:rsid w:val="00C472D0"/>
    <w:rsid w:val="00C47D90"/>
    <w:rsid w:val="00C65842"/>
    <w:rsid w:val="00C67309"/>
    <w:rsid w:val="00C74ED4"/>
    <w:rsid w:val="00C80A29"/>
    <w:rsid w:val="00C82DA0"/>
    <w:rsid w:val="00C82E56"/>
    <w:rsid w:val="00C849E2"/>
    <w:rsid w:val="00CA0C8B"/>
    <w:rsid w:val="00CA1E9A"/>
    <w:rsid w:val="00CB7D9A"/>
    <w:rsid w:val="00CC0E79"/>
    <w:rsid w:val="00CE18BD"/>
    <w:rsid w:val="00CF23DD"/>
    <w:rsid w:val="00D00BD6"/>
    <w:rsid w:val="00D0335D"/>
    <w:rsid w:val="00D03B01"/>
    <w:rsid w:val="00D072F2"/>
    <w:rsid w:val="00D33087"/>
    <w:rsid w:val="00D34BCD"/>
    <w:rsid w:val="00D4061D"/>
    <w:rsid w:val="00D47611"/>
    <w:rsid w:val="00D55709"/>
    <w:rsid w:val="00D85310"/>
    <w:rsid w:val="00DA5A49"/>
    <w:rsid w:val="00DD261E"/>
    <w:rsid w:val="00DD2674"/>
    <w:rsid w:val="00DD6820"/>
    <w:rsid w:val="00E005A0"/>
    <w:rsid w:val="00E07409"/>
    <w:rsid w:val="00E35A9E"/>
    <w:rsid w:val="00E45AEA"/>
    <w:rsid w:val="00E56BAB"/>
    <w:rsid w:val="00E66653"/>
    <w:rsid w:val="00E67E2F"/>
    <w:rsid w:val="00E73C0F"/>
    <w:rsid w:val="00E93391"/>
    <w:rsid w:val="00E94103"/>
    <w:rsid w:val="00E9763B"/>
    <w:rsid w:val="00EB62F3"/>
    <w:rsid w:val="00EC5135"/>
    <w:rsid w:val="00ED58DF"/>
    <w:rsid w:val="00F12DE9"/>
    <w:rsid w:val="00F16F37"/>
    <w:rsid w:val="00F241C9"/>
    <w:rsid w:val="00F40B8E"/>
    <w:rsid w:val="00F53DCE"/>
    <w:rsid w:val="00F634E4"/>
    <w:rsid w:val="00F66B92"/>
    <w:rsid w:val="00F877C4"/>
    <w:rsid w:val="00FB3095"/>
    <w:rsid w:val="00FC2EF7"/>
    <w:rsid w:val="00FC57C9"/>
    <w:rsid w:val="00FD3807"/>
    <w:rsid w:val="00FE2F25"/>
    <w:rsid w:val="00FE39A7"/>
    <w:rsid w:val="00FE44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0076"/>
  <w15:chartTrackingRefBased/>
  <w15:docId w15:val="{FE4611F5-9D67-4877-A7EB-9C3C7086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4D3C"/>
    <w:rPr>
      <w:color w:val="0563C1" w:themeColor="hyperlink"/>
      <w:u w:val="single"/>
    </w:rPr>
  </w:style>
  <w:style w:type="paragraph" w:styleId="a4">
    <w:name w:val="footnote text"/>
    <w:basedOn w:val="a"/>
    <w:link w:val="a5"/>
    <w:uiPriority w:val="99"/>
    <w:semiHidden/>
    <w:unhideWhenUsed/>
    <w:rsid w:val="00BB3FF3"/>
    <w:pPr>
      <w:spacing w:after="0" w:line="240" w:lineRule="auto"/>
    </w:pPr>
    <w:rPr>
      <w:sz w:val="20"/>
      <w:szCs w:val="20"/>
    </w:rPr>
  </w:style>
  <w:style w:type="character" w:customStyle="1" w:styleId="a5">
    <w:name w:val="Текст сноски Знак"/>
    <w:basedOn w:val="a0"/>
    <w:link w:val="a4"/>
    <w:uiPriority w:val="99"/>
    <w:semiHidden/>
    <w:rsid w:val="00BB3FF3"/>
    <w:rPr>
      <w:sz w:val="20"/>
      <w:szCs w:val="20"/>
    </w:rPr>
  </w:style>
  <w:style w:type="character" w:styleId="a6">
    <w:name w:val="footnote reference"/>
    <w:basedOn w:val="a0"/>
    <w:uiPriority w:val="99"/>
    <w:semiHidden/>
    <w:unhideWhenUsed/>
    <w:rsid w:val="00BB3FF3"/>
    <w:rPr>
      <w:vertAlign w:val="superscript"/>
    </w:rPr>
  </w:style>
  <w:style w:type="paragraph" w:styleId="a7">
    <w:name w:val="List Paragraph"/>
    <w:basedOn w:val="a"/>
    <w:uiPriority w:val="34"/>
    <w:qFormat/>
    <w:rsid w:val="008A23F9"/>
    <w:pPr>
      <w:ind w:left="720"/>
      <w:contextualSpacing/>
    </w:pPr>
  </w:style>
  <w:style w:type="paragraph" w:styleId="a8">
    <w:name w:val="Balloon Text"/>
    <w:basedOn w:val="a"/>
    <w:link w:val="a9"/>
    <w:uiPriority w:val="99"/>
    <w:semiHidden/>
    <w:unhideWhenUsed/>
    <w:rsid w:val="00A25C0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25C01"/>
    <w:rPr>
      <w:rFonts w:ascii="Segoe UI" w:hAnsi="Segoe UI" w:cs="Segoe UI"/>
      <w:sz w:val="18"/>
      <w:szCs w:val="18"/>
    </w:rPr>
  </w:style>
  <w:style w:type="paragraph" w:styleId="aa">
    <w:name w:val="header"/>
    <w:basedOn w:val="a"/>
    <w:link w:val="ab"/>
    <w:uiPriority w:val="99"/>
    <w:unhideWhenUsed/>
    <w:rsid w:val="00D03B01"/>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03B01"/>
  </w:style>
  <w:style w:type="paragraph" w:styleId="ac">
    <w:name w:val="footer"/>
    <w:basedOn w:val="a"/>
    <w:link w:val="ad"/>
    <w:uiPriority w:val="99"/>
    <w:unhideWhenUsed/>
    <w:rsid w:val="00D03B01"/>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03B01"/>
  </w:style>
  <w:style w:type="character" w:styleId="ae">
    <w:name w:val="annotation reference"/>
    <w:basedOn w:val="a0"/>
    <w:uiPriority w:val="99"/>
    <w:semiHidden/>
    <w:unhideWhenUsed/>
    <w:rsid w:val="00867FEB"/>
    <w:rPr>
      <w:sz w:val="16"/>
      <w:szCs w:val="16"/>
    </w:rPr>
  </w:style>
  <w:style w:type="paragraph" w:styleId="af">
    <w:name w:val="annotation text"/>
    <w:basedOn w:val="a"/>
    <w:link w:val="af0"/>
    <w:uiPriority w:val="99"/>
    <w:semiHidden/>
    <w:unhideWhenUsed/>
    <w:rsid w:val="00867FEB"/>
    <w:pPr>
      <w:spacing w:line="240" w:lineRule="auto"/>
    </w:pPr>
    <w:rPr>
      <w:sz w:val="20"/>
      <w:szCs w:val="20"/>
    </w:rPr>
  </w:style>
  <w:style w:type="character" w:customStyle="1" w:styleId="af0">
    <w:name w:val="Текст примечания Знак"/>
    <w:basedOn w:val="a0"/>
    <w:link w:val="af"/>
    <w:uiPriority w:val="99"/>
    <w:semiHidden/>
    <w:rsid w:val="00867FEB"/>
    <w:rPr>
      <w:sz w:val="20"/>
      <w:szCs w:val="20"/>
    </w:rPr>
  </w:style>
  <w:style w:type="paragraph" w:styleId="af1">
    <w:name w:val="annotation subject"/>
    <w:basedOn w:val="af"/>
    <w:next w:val="af"/>
    <w:link w:val="af2"/>
    <w:uiPriority w:val="99"/>
    <w:semiHidden/>
    <w:unhideWhenUsed/>
    <w:rsid w:val="00867FEB"/>
    <w:rPr>
      <w:b/>
      <w:bCs/>
    </w:rPr>
  </w:style>
  <w:style w:type="character" w:customStyle="1" w:styleId="af2">
    <w:name w:val="Тема примечания Знак"/>
    <w:basedOn w:val="af0"/>
    <w:link w:val="af1"/>
    <w:uiPriority w:val="99"/>
    <w:semiHidden/>
    <w:rsid w:val="00867FEB"/>
    <w:rPr>
      <w:b/>
      <w:bCs/>
      <w:sz w:val="20"/>
      <w:szCs w:val="20"/>
    </w:rPr>
  </w:style>
  <w:style w:type="paragraph" w:styleId="af3">
    <w:name w:val="endnote text"/>
    <w:basedOn w:val="a"/>
    <w:link w:val="af4"/>
    <w:uiPriority w:val="99"/>
    <w:semiHidden/>
    <w:unhideWhenUsed/>
    <w:rsid w:val="006C6189"/>
    <w:pPr>
      <w:spacing w:after="0" w:line="240" w:lineRule="auto"/>
    </w:pPr>
    <w:rPr>
      <w:sz w:val="20"/>
      <w:szCs w:val="20"/>
    </w:rPr>
  </w:style>
  <w:style w:type="character" w:customStyle="1" w:styleId="af4">
    <w:name w:val="Текст концевой сноски Знак"/>
    <w:basedOn w:val="a0"/>
    <w:link w:val="af3"/>
    <w:uiPriority w:val="99"/>
    <w:semiHidden/>
    <w:rsid w:val="006C6189"/>
    <w:rPr>
      <w:sz w:val="20"/>
      <w:szCs w:val="20"/>
    </w:rPr>
  </w:style>
  <w:style w:type="character" w:styleId="af5">
    <w:name w:val="endnote reference"/>
    <w:basedOn w:val="a0"/>
    <w:uiPriority w:val="99"/>
    <w:semiHidden/>
    <w:unhideWhenUsed/>
    <w:rsid w:val="006C6189"/>
    <w:rPr>
      <w:vertAlign w:val="superscript"/>
    </w:rPr>
  </w:style>
  <w:style w:type="character" w:styleId="af6">
    <w:name w:val="FollowedHyperlink"/>
    <w:basedOn w:val="a0"/>
    <w:uiPriority w:val="99"/>
    <w:semiHidden/>
    <w:unhideWhenUsed/>
    <w:rsid w:val="00034B15"/>
    <w:rPr>
      <w:color w:val="954F72" w:themeColor="followedHyperlink"/>
      <w:u w:val="single"/>
    </w:rPr>
  </w:style>
  <w:style w:type="paragraph" w:styleId="af7">
    <w:name w:val="Revision"/>
    <w:hidden/>
    <w:uiPriority w:val="99"/>
    <w:semiHidden/>
    <w:rsid w:val="00CC0E79"/>
    <w:pPr>
      <w:spacing w:after="0" w:line="240" w:lineRule="auto"/>
    </w:pPr>
  </w:style>
  <w:style w:type="paragraph" w:customStyle="1" w:styleId="Disclaimer">
    <w:name w:val="Disclaimer"/>
    <w:basedOn w:val="a"/>
    <w:qFormat/>
    <w:rsid w:val="00CC0E79"/>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CC0E79"/>
    <w:pPr>
      <w:shd w:val="clear" w:color="auto" w:fill="000000"/>
      <w:spacing w:after="200" w:line="240" w:lineRule="auto"/>
      <w:jc w:val="center"/>
    </w:pPr>
    <w:rPr>
      <w:rFonts w:eastAsiaTheme="minorHAnsi"/>
      <w:color w:val="FFFFFF"/>
      <w:sz w:val="24"/>
      <w:szCs w:val="24"/>
      <w:lang w:eastAsia="en-US"/>
    </w:rPr>
  </w:style>
  <w:style w:type="paragraph" w:customStyle="1" w:styleId="DisclaimerBold">
    <w:name w:val="Disclaimer Bold"/>
    <w:basedOn w:val="Disclaimer"/>
    <w:qFormat/>
    <w:rsid w:val="00CC0E79"/>
    <w:pPr>
      <w:jc w:val="left"/>
    </w:pPr>
    <w:rPr>
      <w:b/>
    </w:rPr>
  </w:style>
  <w:style w:type="character" w:styleId="af8">
    <w:name w:val="Unresolved Mention"/>
    <w:basedOn w:val="a0"/>
    <w:uiPriority w:val="99"/>
    <w:semiHidden/>
    <w:unhideWhenUsed/>
    <w:rsid w:val="00A81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ong-kongs-proposed-foreign-source-income-exemption-regime-for-passive-inc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nsubscribe@charltonslaw.com?subject=unsubscribe%20-Hong%20Kong%20Law-"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legco.gov.hk/yr2022/english/panels/fa/papers/fa20220704cb1-411-2-e.pdf" TargetMode="External"/><Relationship Id="rId2" Type="http://schemas.openxmlformats.org/officeDocument/2006/relationships/hyperlink" Target="https://data.consilium.europa.eu/doc/document/ST-12519-2021-INIT/en/pdf" TargetMode="External"/><Relationship Id="rId1" Type="http://schemas.openxmlformats.org/officeDocument/2006/relationships/hyperlink" Target="https://www.consilium.europa.eu/en/policies/eu-list-of-non-cooperative-jurisdictions/" TargetMode="External"/><Relationship Id="rId6" Type="http://schemas.openxmlformats.org/officeDocument/2006/relationships/hyperlink" Target="https://www.oecd.org/tax/beps/tax-challenges-arising-from-the-digitalisation-of-the-economy-global-anti-base-erosion-model-rules-pillar-two.pdf" TargetMode="External"/><Relationship Id="rId5" Type="http://schemas.openxmlformats.org/officeDocument/2006/relationships/hyperlink" Target="https://www.elegislation.gov.hk/hk/cap112" TargetMode="External"/><Relationship Id="rId4" Type="http://schemas.openxmlformats.org/officeDocument/2006/relationships/hyperlink" Target="https://www.legco.gov.hk/yr2022/english/panels/fa/agenda/fa202207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371A4-4A88-45D5-B922-8CFD3BA4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1784</Words>
  <Characters>10169</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Александр Пирогов</cp:lastModifiedBy>
  <cp:revision>14</cp:revision>
  <cp:lastPrinted>2022-09-02T10:26:00Z</cp:lastPrinted>
  <dcterms:created xsi:type="dcterms:W3CDTF">2022-09-02T08:55:00Z</dcterms:created>
  <dcterms:modified xsi:type="dcterms:W3CDTF">2022-09-07T10:30:00Z</dcterms:modified>
</cp:coreProperties>
</file>