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29A" w:rsidRPr="00567E9D" w:rsidRDefault="00955BC4" w:rsidP="007F729A">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w:t>
      </w:r>
      <w:r w:rsidR="008A0244" w:rsidRPr="008A0244">
        <w:rPr>
          <w:rFonts w:ascii="Cambria" w:eastAsia="Cambria" w:hAnsi="Cambria" w:cs="Times New Roman"/>
          <w:color w:val="FFFFFF"/>
          <w:sz w:val="24"/>
          <w:szCs w:val="24"/>
          <w:lang w:val="en-US" w:eastAsia="en-US"/>
        </w:rPr>
        <w:t>05</w:t>
      </w:r>
      <w:r w:rsidR="00A17105">
        <w:rPr>
          <w:rFonts w:ascii="Cambria" w:eastAsia="Cambria" w:hAnsi="Cambria" w:cs="Times New Roman"/>
          <w:color w:val="FFFFFF"/>
          <w:sz w:val="24"/>
          <w:szCs w:val="24"/>
          <w:lang w:eastAsia="en-US"/>
        </w:rPr>
        <w:t xml:space="preserve"> September</w:t>
      </w:r>
      <w:r w:rsidR="00A17105" w:rsidRPr="00567E9D">
        <w:rPr>
          <w:rFonts w:ascii="Cambria" w:eastAsia="Cambria" w:hAnsi="Cambria" w:cs="Times New Roman"/>
          <w:color w:val="FFFFFF"/>
          <w:sz w:val="24"/>
          <w:szCs w:val="24"/>
          <w:lang w:eastAsia="en-US"/>
        </w:rPr>
        <w:t xml:space="preserve"> </w:t>
      </w:r>
      <w:r w:rsidR="007F729A" w:rsidRPr="00567E9D">
        <w:rPr>
          <w:rFonts w:ascii="Cambria" w:eastAsia="Cambria" w:hAnsi="Cambria" w:cs="Times New Roman"/>
          <w:color w:val="FFFFFF"/>
          <w:sz w:val="24"/>
          <w:szCs w:val="24"/>
          <w:lang w:eastAsia="en-US"/>
        </w:rPr>
        <w:t>2022</w:t>
      </w:r>
    </w:p>
    <w:p w:rsidR="007F729A" w:rsidRPr="00567E9D" w:rsidRDefault="00000000" w:rsidP="007F729A">
      <w:pPr>
        <w:spacing w:after="200" w:line="240" w:lineRule="auto"/>
        <w:jc w:val="center"/>
        <w:rPr>
          <w:rFonts w:ascii="Cambria" w:eastAsia="Cambria" w:hAnsi="Cambria" w:cs="Times New Roman"/>
          <w:color w:val="00000A"/>
          <w:sz w:val="28"/>
          <w:szCs w:val="24"/>
          <w:u w:val="single"/>
          <w:lang w:eastAsia="en-US"/>
        </w:rPr>
      </w:pPr>
      <w:hyperlink r:id="rId8" w:history="1">
        <w:r w:rsidR="007F729A" w:rsidRPr="003D6684">
          <w:rPr>
            <w:rStyle w:val="a6"/>
            <w:rFonts w:ascii="Cambria" w:eastAsia="Cambria" w:hAnsi="Cambria" w:cs="Times New Roman"/>
            <w:sz w:val="28"/>
            <w:szCs w:val="24"/>
            <w:lang w:eastAsia="en-US"/>
          </w:rPr>
          <w:t>online version</w:t>
        </w:r>
      </w:hyperlink>
    </w:p>
    <w:p w:rsidR="007F729A" w:rsidRPr="00567E9D" w:rsidRDefault="00446144" w:rsidP="007F729A">
      <w:pPr>
        <w:keepNext/>
        <w:keepLines/>
        <w:spacing w:before="480" w:after="240" w:line="240" w:lineRule="auto"/>
        <w:jc w:val="center"/>
        <w:rPr>
          <w:rFonts w:ascii="Cambria" w:eastAsia="SimSun" w:hAnsi="Cambria" w:cs="Times New Roman"/>
          <w:b/>
          <w:bCs/>
          <w:color w:val="C0143C"/>
          <w:sz w:val="36"/>
          <w:szCs w:val="36"/>
          <w:lang w:eastAsia="en-US"/>
        </w:rPr>
      </w:pPr>
      <w:r>
        <w:rPr>
          <w:rFonts w:ascii="Cambria" w:eastAsia="SimSun" w:hAnsi="Cambria" w:cs="Times New Roman"/>
          <w:b/>
          <w:bCs/>
          <w:color w:val="C0143C"/>
          <w:sz w:val="36"/>
          <w:szCs w:val="36"/>
          <w:lang w:eastAsia="en-US"/>
        </w:rPr>
        <w:t>Swap Connect</w:t>
      </w:r>
      <w:r w:rsidR="00F95254">
        <w:rPr>
          <w:rFonts w:ascii="Cambria" w:eastAsia="SimSun" w:hAnsi="Cambria" w:cs="Times New Roman"/>
          <w:b/>
          <w:bCs/>
          <w:color w:val="C0143C"/>
          <w:sz w:val="36"/>
          <w:szCs w:val="36"/>
          <w:lang w:eastAsia="en-US"/>
        </w:rPr>
        <w:t xml:space="preserve"> Development</w:t>
      </w:r>
      <w:r w:rsidR="00176295">
        <w:rPr>
          <w:rFonts w:ascii="Cambria" w:eastAsia="SimSun" w:hAnsi="Cambria" w:cs="Times New Roman"/>
          <w:b/>
          <w:bCs/>
          <w:color w:val="C0143C"/>
          <w:sz w:val="36"/>
          <w:szCs w:val="36"/>
          <w:lang w:eastAsia="en-US"/>
        </w:rPr>
        <w:t xml:space="preserve"> Jointly Announced by</w:t>
      </w:r>
      <w:r w:rsidR="00176295" w:rsidRPr="00176295">
        <w:rPr>
          <w:rFonts w:ascii="Cambria" w:eastAsia="SimSun" w:hAnsi="Cambria" w:cs="Times New Roman"/>
          <w:b/>
          <w:bCs/>
          <w:color w:val="C0143C"/>
          <w:sz w:val="36"/>
          <w:szCs w:val="36"/>
          <w:lang w:eastAsia="en-US"/>
        </w:rPr>
        <w:t xml:space="preserve"> </w:t>
      </w:r>
      <w:r w:rsidR="00176295">
        <w:rPr>
          <w:rFonts w:ascii="Cambria" w:eastAsia="SimSun" w:hAnsi="Cambria" w:cs="Times New Roman"/>
          <w:b/>
          <w:bCs/>
          <w:color w:val="C0143C"/>
          <w:sz w:val="36"/>
          <w:szCs w:val="36"/>
          <w:lang w:eastAsia="en-US"/>
        </w:rPr>
        <w:t>People’s Bank of China, Hong Kong Securities and Futures Commission, and Hong Kong Monetary Authority</w:t>
      </w:r>
    </w:p>
    <w:p w:rsidR="00707328" w:rsidRPr="00027453" w:rsidRDefault="00707328" w:rsidP="00707328">
      <w:pPr>
        <w:jc w:val="both"/>
        <w:rPr>
          <w:rFonts w:ascii="Cambria" w:hAnsi="Cambria"/>
          <w:sz w:val="24"/>
          <w:szCs w:val="24"/>
        </w:rPr>
      </w:pPr>
      <w:r>
        <w:rPr>
          <w:rFonts w:ascii="Cambria" w:hAnsi="Cambria"/>
          <w:sz w:val="24"/>
          <w:szCs w:val="24"/>
        </w:rPr>
        <w:t>On 4</w:t>
      </w:r>
      <w:r w:rsidRPr="00567E9D">
        <w:rPr>
          <w:rFonts w:ascii="Cambria" w:hAnsi="Cambria"/>
          <w:sz w:val="24"/>
          <w:szCs w:val="24"/>
        </w:rPr>
        <w:t xml:space="preserve"> </w:t>
      </w:r>
      <w:r>
        <w:rPr>
          <w:rFonts w:ascii="Cambria" w:hAnsi="Cambria"/>
          <w:sz w:val="24"/>
          <w:szCs w:val="24"/>
        </w:rPr>
        <w:t>July</w:t>
      </w:r>
      <w:r w:rsidRPr="00567E9D">
        <w:rPr>
          <w:rFonts w:ascii="Cambria" w:hAnsi="Cambria"/>
          <w:sz w:val="24"/>
          <w:szCs w:val="24"/>
        </w:rPr>
        <w:t xml:space="preserve"> 2022, </w:t>
      </w:r>
      <w:r>
        <w:rPr>
          <w:rFonts w:ascii="Cambria" w:hAnsi="Cambria"/>
          <w:sz w:val="24"/>
          <w:szCs w:val="24"/>
        </w:rPr>
        <w:t xml:space="preserve">the </w:t>
      </w:r>
      <w:r w:rsidRPr="00EE416C">
        <w:rPr>
          <w:rFonts w:ascii="Cambria" w:hAnsi="Cambria"/>
          <w:sz w:val="24"/>
          <w:szCs w:val="24"/>
        </w:rPr>
        <w:t>People’s Bank of China</w:t>
      </w:r>
      <w:r>
        <w:rPr>
          <w:rFonts w:ascii="Cambria" w:hAnsi="Cambria"/>
          <w:sz w:val="24"/>
          <w:szCs w:val="24"/>
        </w:rPr>
        <w:t xml:space="preserve"> (the </w:t>
      </w:r>
      <w:r>
        <w:rPr>
          <w:rFonts w:ascii="Cambria" w:hAnsi="Cambria"/>
          <w:b/>
          <w:sz w:val="24"/>
          <w:szCs w:val="24"/>
        </w:rPr>
        <w:t>PBO</w:t>
      </w:r>
      <w:r w:rsidRPr="008D3CD9">
        <w:rPr>
          <w:rFonts w:ascii="Cambria" w:hAnsi="Cambria"/>
          <w:b/>
          <w:sz w:val="24"/>
          <w:szCs w:val="24"/>
        </w:rPr>
        <w:t>C</w:t>
      </w:r>
      <w:r>
        <w:rPr>
          <w:rFonts w:ascii="Cambria" w:hAnsi="Cambria"/>
          <w:sz w:val="24"/>
          <w:szCs w:val="24"/>
        </w:rPr>
        <w:t>)</w:t>
      </w:r>
      <w:r w:rsidRPr="00EE416C">
        <w:rPr>
          <w:rFonts w:ascii="Cambria" w:hAnsi="Cambria"/>
          <w:sz w:val="24"/>
          <w:szCs w:val="24"/>
        </w:rPr>
        <w:t xml:space="preserve">, </w:t>
      </w:r>
      <w:r>
        <w:rPr>
          <w:rFonts w:ascii="Cambria" w:hAnsi="Cambria"/>
          <w:sz w:val="24"/>
          <w:szCs w:val="24"/>
        </w:rPr>
        <w:t xml:space="preserve">the </w:t>
      </w:r>
      <w:r w:rsidRPr="00EE416C">
        <w:rPr>
          <w:rFonts w:ascii="Cambria" w:hAnsi="Cambria"/>
          <w:sz w:val="24"/>
          <w:szCs w:val="24"/>
        </w:rPr>
        <w:t>Hong Kong Securities and Futures Commission</w:t>
      </w:r>
      <w:r>
        <w:rPr>
          <w:rFonts w:ascii="Cambria" w:hAnsi="Cambria"/>
          <w:sz w:val="24"/>
          <w:szCs w:val="24"/>
        </w:rPr>
        <w:t xml:space="preserve"> (</w:t>
      </w:r>
      <w:r w:rsidRPr="008D3CD9">
        <w:rPr>
          <w:rFonts w:ascii="Cambria" w:hAnsi="Cambria"/>
          <w:b/>
          <w:sz w:val="24"/>
          <w:szCs w:val="24"/>
        </w:rPr>
        <w:t>SFC</w:t>
      </w:r>
      <w:r>
        <w:rPr>
          <w:rFonts w:ascii="Cambria" w:hAnsi="Cambria"/>
          <w:sz w:val="24"/>
          <w:szCs w:val="24"/>
        </w:rPr>
        <w:t>)</w:t>
      </w:r>
      <w:r w:rsidRPr="00EE416C">
        <w:rPr>
          <w:rFonts w:ascii="Cambria" w:hAnsi="Cambria"/>
          <w:sz w:val="24"/>
          <w:szCs w:val="24"/>
        </w:rPr>
        <w:t xml:space="preserve">, </w:t>
      </w:r>
      <w:r>
        <w:rPr>
          <w:rFonts w:ascii="Cambria" w:hAnsi="Cambria"/>
          <w:sz w:val="24"/>
          <w:szCs w:val="24"/>
        </w:rPr>
        <w:t xml:space="preserve">and the </w:t>
      </w:r>
      <w:r w:rsidRPr="00EE416C">
        <w:rPr>
          <w:rFonts w:ascii="Cambria" w:hAnsi="Cambria"/>
          <w:sz w:val="24"/>
          <w:szCs w:val="24"/>
        </w:rPr>
        <w:t xml:space="preserve">Hong Kong Monetary Authority </w:t>
      </w:r>
      <w:r>
        <w:rPr>
          <w:rFonts w:ascii="Cambria" w:hAnsi="Cambria"/>
          <w:sz w:val="24"/>
          <w:szCs w:val="24"/>
        </w:rPr>
        <w:t>(</w:t>
      </w:r>
      <w:r w:rsidRPr="008D3CD9">
        <w:rPr>
          <w:rFonts w:ascii="Cambria" w:hAnsi="Cambria"/>
          <w:b/>
          <w:sz w:val="24"/>
          <w:szCs w:val="24"/>
        </w:rPr>
        <w:t>HKMA</w:t>
      </w:r>
      <w:r>
        <w:rPr>
          <w:rFonts w:ascii="Cambria" w:hAnsi="Cambria"/>
          <w:sz w:val="24"/>
          <w:szCs w:val="24"/>
        </w:rPr>
        <w:t xml:space="preserve">) jointly announced that the </w:t>
      </w:r>
      <w:r w:rsidRPr="008D3CD9">
        <w:rPr>
          <w:rFonts w:ascii="Cambria" w:hAnsi="Cambria"/>
          <w:sz w:val="24"/>
          <w:szCs w:val="24"/>
        </w:rPr>
        <w:t>China</w:t>
      </w:r>
      <w:r>
        <w:rPr>
          <w:rFonts w:ascii="Cambria" w:hAnsi="Cambria"/>
          <w:sz w:val="24"/>
          <w:szCs w:val="24"/>
        </w:rPr>
        <w:t xml:space="preserve"> Foreign Exchange Trade System (also known as the National Interbank Funding Cent</w:t>
      </w:r>
      <w:r w:rsidRPr="008D3CD9">
        <w:rPr>
          <w:rFonts w:ascii="Cambria" w:hAnsi="Cambria"/>
          <w:sz w:val="24"/>
          <w:szCs w:val="24"/>
        </w:rPr>
        <w:t>r</w:t>
      </w:r>
      <w:r>
        <w:rPr>
          <w:rFonts w:ascii="Cambria" w:hAnsi="Cambria"/>
          <w:sz w:val="24"/>
          <w:szCs w:val="24"/>
        </w:rPr>
        <w:t>e) (</w:t>
      </w:r>
      <w:r w:rsidRPr="00494B67">
        <w:rPr>
          <w:rFonts w:ascii="Cambria" w:hAnsi="Cambria"/>
          <w:b/>
          <w:sz w:val="24"/>
          <w:szCs w:val="24"/>
        </w:rPr>
        <w:t>CFETS</w:t>
      </w:r>
      <w:r>
        <w:rPr>
          <w:rFonts w:ascii="Cambria" w:hAnsi="Cambria"/>
          <w:sz w:val="24"/>
          <w:szCs w:val="24"/>
        </w:rPr>
        <w:t>),</w:t>
      </w:r>
      <w:r w:rsidRPr="008D3CD9">
        <w:rPr>
          <w:rFonts w:ascii="Cambria" w:hAnsi="Cambria"/>
          <w:sz w:val="24"/>
          <w:szCs w:val="24"/>
        </w:rPr>
        <w:t xml:space="preserve"> and Shangha</w:t>
      </w:r>
      <w:r>
        <w:rPr>
          <w:rFonts w:ascii="Cambria" w:hAnsi="Cambria"/>
          <w:sz w:val="24"/>
          <w:szCs w:val="24"/>
        </w:rPr>
        <w:t>i Clearing House (</w:t>
      </w:r>
      <w:r w:rsidRPr="00494B67">
        <w:rPr>
          <w:rFonts w:ascii="Cambria" w:hAnsi="Cambria"/>
          <w:b/>
          <w:sz w:val="24"/>
          <w:szCs w:val="24"/>
        </w:rPr>
        <w:t>SHCH</w:t>
      </w:r>
      <w:r>
        <w:rPr>
          <w:rFonts w:ascii="Cambria" w:hAnsi="Cambria"/>
          <w:sz w:val="24"/>
          <w:szCs w:val="24"/>
        </w:rPr>
        <w:t>)</w:t>
      </w:r>
      <w:r w:rsidRPr="008D3CD9">
        <w:rPr>
          <w:rFonts w:ascii="Cambria" w:hAnsi="Cambria"/>
          <w:sz w:val="24"/>
          <w:szCs w:val="24"/>
        </w:rPr>
        <w:t>, together with OTC Clear</w:t>
      </w:r>
      <w:r>
        <w:rPr>
          <w:rFonts w:ascii="Cambria" w:hAnsi="Cambria"/>
          <w:sz w:val="24"/>
          <w:szCs w:val="24"/>
        </w:rPr>
        <w:t>ing Hong Kong Limited (</w:t>
      </w:r>
      <w:r w:rsidRPr="00A30CDA">
        <w:rPr>
          <w:rFonts w:ascii="Cambria" w:hAnsi="Cambria"/>
          <w:b/>
          <w:sz w:val="24"/>
          <w:szCs w:val="24"/>
        </w:rPr>
        <w:t>OTC Clear</w:t>
      </w:r>
      <w:r>
        <w:rPr>
          <w:rFonts w:ascii="Cambria" w:hAnsi="Cambria"/>
          <w:sz w:val="24"/>
          <w:szCs w:val="24"/>
        </w:rPr>
        <w:t xml:space="preserve">)(collectively </w:t>
      </w:r>
      <w:r w:rsidRPr="00460225">
        <w:rPr>
          <w:rFonts w:ascii="Cambria" w:hAnsi="Cambria"/>
          <w:b/>
          <w:sz w:val="24"/>
          <w:szCs w:val="24"/>
        </w:rPr>
        <w:t>Infrastructure Institutions</w:t>
      </w:r>
      <w:r w:rsidRPr="008D3CD9">
        <w:rPr>
          <w:rFonts w:ascii="Cambria" w:hAnsi="Cambria"/>
          <w:sz w:val="24"/>
          <w:szCs w:val="24"/>
        </w:rPr>
        <w:t>)</w:t>
      </w:r>
      <w:r>
        <w:rPr>
          <w:rFonts w:ascii="Cambria" w:hAnsi="Cambria"/>
          <w:sz w:val="24"/>
          <w:szCs w:val="24"/>
        </w:rPr>
        <w:t xml:space="preserve">, </w:t>
      </w:r>
      <w:r w:rsidRPr="00D941A8">
        <w:rPr>
          <w:rFonts w:ascii="Cambria" w:hAnsi="Cambria"/>
          <w:sz w:val="24"/>
          <w:szCs w:val="24"/>
        </w:rPr>
        <w:t xml:space="preserve">will collaborate to develop a mutual access mechanism between the Hong Kong and Mainland interest rate swap markets </w:t>
      </w:r>
      <w:r w:rsidRPr="008D3CD9">
        <w:rPr>
          <w:rFonts w:ascii="Cambria" w:hAnsi="Cambria"/>
          <w:sz w:val="24"/>
          <w:szCs w:val="24"/>
        </w:rPr>
        <w:t>(</w:t>
      </w:r>
      <w:r>
        <w:rPr>
          <w:rFonts w:ascii="Cambria" w:hAnsi="Cambria"/>
          <w:sz w:val="24"/>
          <w:szCs w:val="24"/>
        </w:rPr>
        <w:t xml:space="preserve">known as </w:t>
      </w:r>
      <w:r w:rsidRPr="008D3CD9">
        <w:rPr>
          <w:rFonts w:ascii="Cambria" w:hAnsi="Cambria"/>
          <w:b/>
          <w:sz w:val="24"/>
          <w:szCs w:val="24"/>
        </w:rPr>
        <w:t>Swap Connect</w:t>
      </w:r>
      <w:r w:rsidRPr="008D3CD9">
        <w:rPr>
          <w:rFonts w:ascii="Cambria" w:hAnsi="Cambria"/>
          <w:sz w:val="24"/>
          <w:szCs w:val="24"/>
        </w:rPr>
        <w:t>)</w:t>
      </w:r>
      <w:r>
        <w:rPr>
          <w:rFonts w:ascii="Cambria" w:hAnsi="Cambria"/>
          <w:sz w:val="24"/>
          <w:szCs w:val="24"/>
        </w:rPr>
        <w:t xml:space="preserve"> in order to promote the development of financial derivatives markets in both Mainland China and in Hong Kong. The Joint Announcement is available </w:t>
      </w:r>
      <w:hyperlink r:id="rId9" w:history="1">
        <w:r w:rsidRPr="00027453">
          <w:rPr>
            <w:rStyle w:val="a6"/>
            <w:rFonts w:ascii="Cambria" w:hAnsi="Cambria"/>
            <w:i/>
            <w:sz w:val="24"/>
            <w:szCs w:val="24"/>
          </w:rPr>
          <w:t>here</w:t>
        </w:r>
      </w:hyperlink>
      <w:r>
        <w:rPr>
          <w:rFonts w:ascii="Cambria" w:hAnsi="Cambria"/>
          <w:sz w:val="24"/>
          <w:szCs w:val="24"/>
        </w:rPr>
        <w:t xml:space="preserve">. </w:t>
      </w:r>
    </w:p>
    <w:p w:rsidR="00707328" w:rsidRPr="00B013DB" w:rsidRDefault="00707328" w:rsidP="00707328">
      <w:pPr>
        <w:jc w:val="both"/>
        <w:rPr>
          <w:rFonts w:ascii="Cambria" w:hAnsi="Cambria"/>
          <w:b/>
          <w:sz w:val="24"/>
          <w:szCs w:val="24"/>
        </w:rPr>
      </w:pPr>
      <w:r>
        <w:rPr>
          <w:rFonts w:ascii="Cambria" w:hAnsi="Cambria"/>
          <w:b/>
          <w:sz w:val="24"/>
          <w:szCs w:val="24"/>
        </w:rPr>
        <w:t xml:space="preserve">China-Hong Kong </w:t>
      </w:r>
      <w:r w:rsidRPr="00B013DB">
        <w:rPr>
          <w:rFonts w:ascii="Cambria" w:hAnsi="Cambria"/>
          <w:b/>
          <w:sz w:val="24"/>
          <w:szCs w:val="24"/>
        </w:rPr>
        <w:t>Swap Connect</w:t>
      </w:r>
    </w:p>
    <w:p w:rsidR="00707328" w:rsidRDefault="00707328" w:rsidP="00707328">
      <w:pPr>
        <w:jc w:val="both"/>
        <w:rPr>
          <w:rFonts w:ascii="Cambria" w:hAnsi="Cambria"/>
          <w:sz w:val="24"/>
          <w:szCs w:val="24"/>
        </w:rPr>
      </w:pPr>
      <w:r>
        <w:rPr>
          <w:rFonts w:ascii="Cambria" w:hAnsi="Cambria"/>
          <w:sz w:val="24"/>
          <w:szCs w:val="24"/>
        </w:rPr>
        <w:t>Swap Connect will be an arrangement where investors are able to participate in the financial derivatives markets in the Mainland and Hong Kong through a connection between Infrastructure Institutions in both places. The Hong Kong Exchanges and Clearing Limited (</w:t>
      </w:r>
      <w:proofErr w:type="spellStart"/>
      <w:r w:rsidRPr="00494B67">
        <w:rPr>
          <w:rFonts w:ascii="Cambria" w:hAnsi="Cambria"/>
          <w:b/>
          <w:sz w:val="24"/>
          <w:szCs w:val="24"/>
        </w:rPr>
        <w:t>HKEx</w:t>
      </w:r>
      <w:proofErr w:type="spellEnd"/>
      <w:r>
        <w:rPr>
          <w:rFonts w:ascii="Cambria" w:hAnsi="Cambria"/>
          <w:sz w:val="24"/>
          <w:szCs w:val="24"/>
        </w:rPr>
        <w:t>)</w:t>
      </w:r>
      <w:r w:rsidRPr="00494B67">
        <w:rPr>
          <w:rFonts w:ascii="Cambria" w:hAnsi="Cambria"/>
          <w:sz w:val="24"/>
          <w:szCs w:val="24"/>
        </w:rPr>
        <w:t xml:space="preserve">, through its clearing subsidiary </w:t>
      </w:r>
      <w:r w:rsidRPr="008D3CD9">
        <w:rPr>
          <w:rFonts w:ascii="Cambria" w:hAnsi="Cambria"/>
          <w:sz w:val="24"/>
          <w:szCs w:val="24"/>
        </w:rPr>
        <w:t>OTC Clear</w:t>
      </w:r>
      <w:r w:rsidRPr="00494B67">
        <w:rPr>
          <w:rFonts w:ascii="Cambria" w:hAnsi="Cambria"/>
          <w:sz w:val="24"/>
          <w:szCs w:val="24"/>
        </w:rPr>
        <w:t xml:space="preserve">, is working in partnership with CFETS and SHCH to build </w:t>
      </w:r>
      <w:r>
        <w:rPr>
          <w:rFonts w:ascii="Cambria" w:hAnsi="Cambria"/>
          <w:sz w:val="24"/>
          <w:szCs w:val="24"/>
        </w:rPr>
        <w:t>the infrastructure</w:t>
      </w:r>
      <w:r w:rsidRPr="00494B67">
        <w:rPr>
          <w:rFonts w:ascii="Cambria" w:hAnsi="Cambria"/>
          <w:sz w:val="24"/>
          <w:szCs w:val="24"/>
        </w:rPr>
        <w:t>, which will provide trading and clearing services for Hong Kong and international investors to access Mainland China’s financial derivatives market, and for investors in Mainland China to access Hong Kong’s financial derivatives market.</w:t>
      </w:r>
      <w:r w:rsidRPr="00CF01D3">
        <w:t xml:space="preserve"> </w:t>
      </w:r>
      <w:r w:rsidRPr="00CF01D3">
        <w:rPr>
          <w:rFonts w:ascii="Cambria" w:hAnsi="Cambria"/>
          <w:sz w:val="24"/>
          <w:szCs w:val="24"/>
        </w:rPr>
        <w:t>Swap Connect will allow Hong Kong and international investors to participate in Mainland China’s interbank interest rate swap market, without changing their existing trading and settlement practices.</w:t>
      </w:r>
    </w:p>
    <w:p w:rsidR="00707328" w:rsidRDefault="00707328" w:rsidP="00707328">
      <w:pPr>
        <w:jc w:val="both"/>
        <w:rPr>
          <w:rFonts w:ascii="Cambria" w:hAnsi="Cambria"/>
          <w:sz w:val="24"/>
          <w:szCs w:val="24"/>
        </w:rPr>
      </w:pPr>
      <w:r>
        <w:rPr>
          <w:rFonts w:ascii="Cambria" w:hAnsi="Cambria"/>
          <w:sz w:val="24"/>
          <w:szCs w:val="24"/>
        </w:rPr>
        <w:t>Under Swap Connect, CFETS will provide trading services for investors, allowing Hong Kong and international investors to access Mainland China’s interbank derivatives market through overseas third-party trading platforms recognised by the PBOC without changing their trading practices. CFETS will transmit real-time transactions information to OTC Clear and SHCH to support the efficient clearing of these transactions.</w:t>
      </w:r>
      <w:r w:rsidRPr="00AD23A0">
        <w:t xml:space="preserve"> </w:t>
      </w:r>
      <w:r w:rsidRPr="00AD23A0">
        <w:rPr>
          <w:rFonts w:ascii="Cambria" w:hAnsi="Cambria"/>
          <w:sz w:val="24"/>
          <w:szCs w:val="24"/>
        </w:rPr>
        <w:t xml:space="preserve">OTC Clear and SHCH </w:t>
      </w:r>
      <w:r>
        <w:rPr>
          <w:rFonts w:ascii="Cambria" w:hAnsi="Cambria"/>
          <w:sz w:val="24"/>
          <w:szCs w:val="24"/>
        </w:rPr>
        <w:t>is tasked with</w:t>
      </w:r>
      <w:r w:rsidRPr="00AD23A0">
        <w:rPr>
          <w:rFonts w:ascii="Cambria" w:hAnsi="Cambria"/>
          <w:sz w:val="24"/>
          <w:szCs w:val="24"/>
        </w:rPr>
        <w:t xml:space="preserve"> build</w:t>
      </w:r>
      <w:r>
        <w:rPr>
          <w:rFonts w:ascii="Cambria" w:hAnsi="Cambria"/>
          <w:sz w:val="24"/>
          <w:szCs w:val="24"/>
        </w:rPr>
        <w:t>ing</w:t>
      </w:r>
      <w:r w:rsidRPr="00AD23A0">
        <w:rPr>
          <w:rFonts w:ascii="Cambria" w:hAnsi="Cambria"/>
          <w:sz w:val="24"/>
          <w:szCs w:val="24"/>
        </w:rPr>
        <w:t xml:space="preserve"> a clearing link</w:t>
      </w:r>
      <w:r>
        <w:rPr>
          <w:rFonts w:ascii="Cambria" w:hAnsi="Cambria"/>
          <w:sz w:val="24"/>
          <w:szCs w:val="24"/>
        </w:rPr>
        <w:t xml:space="preserve">, </w:t>
      </w:r>
      <w:r w:rsidRPr="00B1677E">
        <w:rPr>
          <w:rFonts w:ascii="Cambria" w:hAnsi="Cambria"/>
          <w:sz w:val="24"/>
          <w:szCs w:val="24"/>
        </w:rPr>
        <w:t>with OTC Clear providing central clearing services for Hong Kong and international investors, while SHCH will provide central clearing services for investors in Mainland China.</w:t>
      </w:r>
      <w:r w:rsidRPr="00867943">
        <w:t xml:space="preserve"> </w:t>
      </w:r>
      <w:r w:rsidRPr="00867943">
        <w:rPr>
          <w:rFonts w:ascii="Cambria" w:hAnsi="Cambria"/>
          <w:sz w:val="24"/>
          <w:szCs w:val="24"/>
        </w:rPr>
        <w:t>The two clearing houses will handle daily margin management and settlement payments with each other, and will establish a central counterparty margin fund to manage default risk.</w:t>
      </w:r>
    </w:p>
    <w:p w:rsidR="00707328" w:rsidRDefault="00707328" w:rsidP="00707328">
      <w:pPr>
        <w:jc w:val="both"/>
        <w:rPr>
          <w:rFonts w:ascii="Cambria" w:hAnsi="Cambria"/>
          <w:sz w:val="24"/>
          <w:szCs w:val="24"/>
        </w:rPr>
      </w:pPr>
      <w:r>
        <w:rPr>
          <w:rFonts w:ascii="Cambria" w:hAnsi="Cambria"/>
          <w:sz w:val="24"/>
          <w:szCs w:val="24"/>
        </w:rPr>
        <w:t xml:space="preserve">It is planned that in the initial stage, </w:t>
      </w:r>
      <w:r w:rsidR="008A0244" w:rsidRPr="008A0244">
        <w:rPr>
          <w:rFonts w:ascii="Cambria" w:hAnsi="Cambria"/>
          <w:sz w:val="24"/>
          <w:szCs w:val="24"/>
        </w:rPr>
        <w:t xml:space="preserve">China-Hong Kong </w:t>
      </w:r>
      <w:r>
        <w:rPr>
          <w:rFonts w:ascii="Cambria" w:hAnsi="Cambria"/>
          <w:sz w:val="24"/>
          <w:szCs w:val="24"/>
        </w:rPr>
        <w:t>Northbound trading (</w:t>
      </w:r>
      <w:proofErr w:type="gramStart"/>
      <w:r>
        <w:rPr>
          <w:rFonts w:ascii="Cambria" w:hAnsi="Cambria"/>
          <w:sz w:val="24"/>
          <w:szCs w:val="24"/>
        </w:rPr>
        <w:t>i.e.</w:t>
      </w:r>
      <w:proofErr w:type="gramEnd"/>
      <w:r>
        <w:rPr>
          <w:rFonts w:ascii="Cambria" w:hAnsi="Cambria"/>
          <w:sz w:val="24"/>
          <w:szCs w:val="24"/>
        </w:rPr>
        <w:t xml:space="preserve"> investors from Hong Kong and other overseas investors participating in the Mainland financial derivatives market) will commence first while Southbound trading (i.e. investors from Mainland China participating in Hong Kong’s financial derivatives market) will only be explored further in due course. </w:t>
      </w:r>
    </w:p>
    <w:p w:rsidR="00707328" w:rsidRDefault="00707328" w:rsidP="00707328">
      <w:pPr>
        <w:jc w:val="both"/>
        <w:rPr>
          <w:rFonts w:ascii="Cambria" w:hAnsi="Cambria"/>
          <w:sz w:val="24"/>
          <w:szCs w:val="24"/>
        </w:rPr>
      </w:pPr>
      <w:r>
        <w:rPr>
          <w:rFonts w:ascii="Cambria" w:hAnsi="Cambria"/>
          <w:sz w:val="24"/>
          <w:szCs w:val="24"/>
        </w:rPr>
        <w:t xml:space="preserve">Swap Connect will be subject to the relevant laws and regulations of both markets. The planned Northbound trading will be following the existing policy framework for the </w:t>
      </w:r>
      <w:r w:rsidRPr="00746E1F">
        <w:rPr>
          <w:rFonts w:ascii="Cambria" w:hAnsi="Cambria"/>
          <w:sz w:val="24"/>
          <w:szCs w:val="24"/>
        </w:rPr>
        <w:t xml:space="preserve">opening-up of the </w:t>
      </w:r>
      <w:proofErr w:type="gramStart"/>
      <w:r w:rsidRPr="00746E1F">
        <w:rPr>
          <w:rFonts w:ascii="Cambria" w:hAnsi="Cambria"/>
          <w:sz w:val="24"/>
          <w:szCs w:val="24"/>
        </w:rPr>
        <w:lastRenderedPageBreak/>
        <w:t>Mainland</w:t>
      </w:r>
      <w:proofErr w:type="gramEnd"/>
      <w:r w:rsidRPr="00746E1F">
        <w:rPr>
          <w:rFonts w:ascii="Cambria" w:hAnsi="Cambria"/>
          <w:sz w:val="24"/>
          <w:szCs w:val="24"/>
        </w:rPr>
        <w:t xml:space="preserve"> interbank financial derivatives market</w:t>
      </w:r>
      <w:r>
        <w:rPr>
          <w:rFonts w:ascii="Cambria" w:hAnsi="Cambria"/>
          <w:sz w:val="24"/>
          <w:szCs w:val="24"/>
        </w:rPr>
        <w:t xml:space="preserve"> and international practices in order to facilitate overseas investors to trade in the Mainland interbank financial derivatives market and hedge their risks. Interest rate swaps will be eligible initially with other products to be included in due course depending on market conditions. </w:t>
      </w:r>
    </w:p>
    <w:p w:rsidR="00707328" w:rsidRDefault="00707328" w:rsidP="00707328">
      <w:pPr>
        <w:jc w:val="both"/>
        <w:rPr>
          <w:rFonts w:ascii="Cambria" w:hAnsi="Cambria"/>
          <w:sz w:val="24"/>
          <w:szCs w:val="24"/>
        </w:rPr>
      </w:pPr>
      <w:r>
        <w:rPr>
          <w:rFonts w:ascii="Cambria" w:hAnsi="Cambria"/>
          <w:sz w:val="24"/>
          <w:szCs w:val="24"/>
        </w:rPr>
        <w:t>According to the</w:t>
      </w:r>
      <w:r w:rsidR="008A0244" w:rsidRPr="008A0244">
        <w:rPr>
          <w:rFonts w:ascii="Cambria" w:hAnsi="Cambria"/>
          <w:sz w:val="24"/>
          <w:szCs w:val="24"/>
          <w:lang w:val="en-US"/>
        </w:rPr>
        <w:t xml:space="preserve"> </w:t>
      </w:r>
      <w:r w:rsidR="008A0244" w:rsidRPr="008A0244">
        <w:rPr>
          <w:rFonts w:ascii="Cambria" w:hAnsi="Cambria"/>
          <w:sz w:val="24"/>
          <w:szCs w:val="24"/>
          <w:lang w:val="en-US"/>
        </w:rPr>
        <w:t>PBOC, SFC, HKMA</w:t>
      </w:r>
      <w:r w:rsidR="008A0244" w:rsidRPr="008A0244">
        <w:rPr>
          <w:rFonts w:ascii="Cambria" w:hAnsi="Cambria"/>
          <w:sz w:val="24"/>
          <w:szCs w:val="24"/>
          <w:lang w:val="en-US"/>
        </w:rPr>
        <w:t xml:space="preserve"> </w:t>
      </w:r>
      <w:r>
        <w:rPr>
          <w:rFonts w:ascii="Cambria" w:hAnsi="Cambria"/>
          <w:sz w:val="24"/>
          <w:szCs w:val="24"/>
        </w:rPr>
        <w:t>Joint Announcement, the regulators of the financial derivatives markets in Hong Kong and the Mainland will enter into a memorandum of understanding on supervisory cooperation to establish regulatory collaboration arrangements and liaison mechanisms and to establish an effective mechanism to handle any misconduct in a timely manner with the aim of</w:t>
      </w:r>
      <w:r w:rsidR="00EB180D">
        <w:rPr>
          <w:rFonts w:ascii="Cambria" w:hAnsi="Cambria"/>
          <w:sz w:val="24"/>
          <w:szCs w:val="24"/>
        </w:rPr>
        <w:t xml:space="preserve"> </w:t>
      </w:r>
      <w:r>
        <w:rPr>
          <w:rFonts w:ascii="Cambria" w:hAnsi="Cambria"/>
          <w:sz w:val="24"/>
          <w:szCs w:val="24"/>
        </w:rPr>
        <w:t xml:space="preserve">maintaining the stability, fairness, and orderly trading of financial markets.  </w:t>
      </w:r>
    </w:p>
    <w:p w:rsidR="00707328" w:rsidRDefault="00707328" w:rsidP="00707328">
      <w:pPr>
        <w:jc w:val="both"/>
        <w:rPr>
          <w:rFonts w:ascii="Cambria" w:hAnsi="Cambria"/>
          <w:sz w:val="24"/>
          <w:szCs w:val="24"/>
        </w:rPr>
      </w:pPr>
      <w:r>
        <w:rPr>
          <w:rFonts w:ascii="Cambria" w:hAnsi="Cambria"/>
          <w:sz w:val="24"/>
          <w:szCs w:val="24"/>
        </w:rPr>
        <w:t xml:space="preserve">Swap Connect is expected to be launched in early January 2023 </w:t>
      </w:r>
      <w:r w:rsidRPr="004B3F6D">
        <w:rPr>
          <w:rFonts w:ascii="Cambria" w:hAnsi="Cambria"/>
          <w:sz w:val="24"/>
          <w:szCs w:val="24"/>
        </w:rPr>
        <w:t xml:space="preserve">after the completion of </w:t>
      </w:r>
      <w:r>
        <w:rPr>
          <w:rFonts w:ascii="Cambria" w:hAnsi="Cambria"/>
          <w:sz w:val="24"/>
          <w:szCs w:val="24"/>
        </w:rPr>
        <w:t xml:space="preserve">all </w:t>
      </w:r>
      <w:r w:rsidRPr="004B3F6D">
        <w:rPr>
          <w:rFonts w:ascii="Cambria" w:hAnsi="Cambria"/>
          <w:sz w:val="24"/>
          <w:szCs w:val="24"/>
        </w:rPr>
        <w:t xml:space="preserve">the necessary preparatory work, including finalising the relevant rules and system development </w:t>
      </w:r>
      <w:r>
        <w:rPr>
          <w:rFonts w:ascii="Cambria" w:hAnsi="Cambria"/>
          <w:sz w:val="24"/>
          <w:szCs w:val="24"/>
        </w:rPr>
        <w:t>to address the practical needs of market participants</w:t>
      </w:r>
      <w:r w:rsidRPr="003743B5">
        <w:rPr>
          <w:rFonts w:ascii="Cambria" w:hAnsi="Cambria"/>
          <w:sz w:val="24"/>
          <w:szCs w:val="24"/>
        </w:rPr>
        <w:t xml:space="preserve"> </w:t>
      </w:r>
      <w:r w:rsidRPr="004B3F6D">
        <w:rPr>
          <w:rFonts w:ascii="Cambria" w:hAnsi="Cambria"/>
          <w:sz w:val="24"/>
          <w:szCs w:val="24"/>
        </w:rPr>
        <w:t>as well as obtaining relevant regulatory approvals</w:t>
      </w:r>
      <w:r>
        <w:rPr>
          <w:rFonts w:ascii="Cambria" w:hAnsi="Cambria"/>
          <w:sz w:val="24"/>
          <w:szCs w:val="24"/>
        </w:rPr>
        <w:t>.</w:t>
      </w:r>
    </w:p>
    <w:p w:rsidR="00707328" w:rsidRPr="007C618A" w:rsidRDefault="00707328" w:rsidP="00707328">
      <w:pPr>
        <w:jc w:val="both"/>
        <w:rPr>
          <w:rFonts w:ascii="Cambria" w:hAnsi="Cambria"/>
          <w:b/>
          <w:sz w:val="24"/>
          <w:szCs w:val="24"/>
        </w:rPr>
      </w:pPr>
      <w:r w:rsidRPr="007C618A">
        <w:rPr>
          <w:rFonts w:ascii="Cambria" w:hAnsi="Cambria"/>
          <w:b/>
          <w:sz w:val="24"/>
          <w:szCs w:val="24"/>
        </w:rPr>
        <w:t xml:space="preserve">Other </w:t>
      </w:r>
      <w:r>
        <w:rPr>
          <w:rFonts w:ascii="Cambria" w:hAnsi="Cambria"/>
          <w:b/>
          <w:sz w:val="24"/>
          <w:szCs w:val="24"/>
        </w:rPr>
        <w:t>China-Hong Kong Connect Schemes</w:t>
      </w:r>
    </w:p>
    <w:p w:rsidR="00707328" w:rsidRDefault="00707328" w:rsidP="00707328">
      <w:pPr>
        <w:jc w:val="both"/>
        <w:rPr>
          <w:rFonts w:ascii="Cambria" w:hAnsi="Cambria"/>
          <w:sz w:val="24"/>
          <w:szCs w:val="24"/>
        </w:rPr>
      </w:pPr>
      <w:r>
        <w:rPr>
          <w:rFonts w:ascii="Cambria" w:hAnsi="Cambria"/>
          <w:sz w:val="24"/>
          <w:szCs w:val="24"/>
        </w:rPr>
        <w:t xml:space="preserve">Other Connect schemes were previously launched between Hong Kong and China. The Stock Connect launched in 2014 enabled </w:t>
      </w:r>
      <w:r w:rsidRPr="00491971">
        <w:rPr>
          <w:rFonts w:ascii="Cambria" w:hAnsi="Cambria"/>
          <w:sz w:val="24"/>
          <w:szCs w:val="24"/>
        </w:rPr>
        <w:t>investors in each market to trade shares on the other market using their local brokers and clearing houses</w:t>
      </w:r>
      <w:r>
        <w:rPr>
          <w:rFonts w:ascii="Cambria" w:hAnsi="Cambria"/>
          <w:sz w:val="24"/>
          <w:szCs w:val="24"/>
        </w:rPr>
        <w:t xml:space="preserve">. The Bond Connect launched in 2017 allowing investors to trade in each other’s bond market. The latest addition to the Connect scheme was the ETF Connect, newly launched on 4 July 2022, which allows certain eligible exchange traded funds to be traded on each other’s markets. </w:t>
      </w:r>
    </w:p>
    <w:p w:rsidR="00707328" w:rsidRDefault="00707328" w:rsidP="00707328">
      <w:pPr>
        <w:jc w:val="both"/>
        <w:rPr>
          <w:rFonts w:ascii="Cambria" w:hAnsi="Cambria"/>
          <w:sz w:val="24"/>
          <w:szCs w:val="24"/>
        </w:rPr>
      </w:pPr>
      <w:r w:rsidRPr="00AB115D">
        <w:rPr>
          <w:rFonts w:ascii="Cambria" w:hAnsi="Cambria"/>
          <w:sz w:val="24"/>
          <w:szCs w:val="24"/>
        </w:rPr>
        <w:t xml:space="preserve">The </w:t>
      </w:r>
      <w:r>
        <w:rPr>
          <w:rFonts w:ascii="Cambria" w:hAnsi="Cambria"/>
          <w:sz w:val="24"/>
          <w:szCs w:val="24"/>
        </w:rPr>
        <w:t>PBOC, China’s central bank,</w:t>
      </w:r>
      <w:r w:rsidRPr="00AB115D">
        <w:rPr>
          <w:rFonts w:ascii="Cambria" w:hAnsi="Cambria"/>
          <w:sz w:val="24"/>
          <w:szCs w:val="24"/>
        </w:rPr>
        <w:t xml:space="preserve"> also said on </w:t>
      </w:r>
      <w:r>
        <w:rPr>
          <w:rFonts w:ascii="Cambria" w:hAnsi="Cambria"/>
          <w:sz w:val="24"/>
          <w:szCs w:val="24"/>
        </w:rPr>
        <w:t>4 July 2022 that</w:t>
      </w:r>
      <w:r w:rsidRPr="00AB115D">
        <w:rPr>
          <w:rFonts w:ascii="Cambria" w:hAnsi="Cambria"/>
          <w:sz w:val="24"/>
          <w:szCs w:val="24"/>
        </w:rPr>
        <w:t xml:space="preserve"> it has upgraded a currency swap facility with Hong Kong to a permanent agreement</w:t>
      </w:r>
      <w:r>
        <w:rPr>
          <w:rFonts w:ascii="Cambria" w:hAnsi="Cambria"/>
          <w:sz w:val="24"/>
          <w:szCs w:val="24"/>
        </w:rPr>
        <w:t>, which is</w:t>
      </w:r>
      <w:r w:rsidRPr="00311FFA">
        <w:rPr>
          <w:rFonts w:ascii="Cambria" w:hAnsi="Cambria"/>
          <w:sz w:val="24"/>
          <w:szCs w:val="24"/>
        </w:rPr>
        <w:t xml:space="preserve"> </w:t>
      </w:r>
      <w:r w:rsidRPr="00AB115D">
        <w:rPr>
          <w:rFonts w:ascii="Cambria" w:hAnsi="Cambria"/>
          <w:sz w:val="24"/>
          <w:szCs w:val="24"/>
        </w:rPr>
        <w:t>it</w:t>
      </w:r>
      <w:r>
        <w:rPr>
          <w:rFonts w:ascii="Cambria" w:hAnsi="Cambria"/>
          <w:sz w:val="24"/>
          <w:szCs w:val="24"/>
        </w:rPr>
        <w:t>s first standing swap agreement.  Its size has also been expanded from RMB 500 billion (approximately HKD 590 billion) to RMB 800 billion (approximately HKD 940 billion). The PBOC said that that the upgrade could provide long-term liquidity support to the Hong Kong market, help stabilise market expectations, and promote the development of Hong Kong’s offshore RMB market.</w:t>
      </w:r>
    </w:p>
    <w:p w:rsidR="00A45BEF" w:rsidRPr="00A41F57" w:rsidRDefault="00A45BEF" w:rsidP="00A45BEF">
      <w:pPr>
        <w:pStyle w:val="DisclaimerBold"/>
        <w:rPr>
          <w:rFonts w:ascii="Helvetica" w:hAnsi="Helvetica"/>
        </w:rPr>
      </w:pPr>
      <w:r w:rsidRPr="00F05494">
        <w:rPr>
          <w:rFonts w:ascii="Helvetica" w:hAnsi="Helvetica"/>
        </w:rPr>
        <w:t>This newsletter is for information purposes only.</w:t>
      </w:r>
    </w:p>
    <w:p w:rsidR="00A45BEF" w:rsidRPr="00F05494" w:rsidRDefault="00A45BEF" w:rsidP="00A45BEF">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A45BEF" w:rsidRPr="00F05494" w:rsidRDefault="00A45BEF" w:rsidP="00A45BEF">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A45BEF" w:rsidRPr="00F05494" w:rsidRDefault="00A45BEF" w:rsidP="00A45BEF">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A45BEF" w:rsidRPr="00F05494" w:rsidRDefault="00A45BEF" w:rsidP="00A45BEF">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0">
        <w:r w:rsidRPr="00F05494">
          <w:rPr>
            <w:rFonts w:ascii="Helvetica" w:hAnsi="Helvetica"/>
          </w:rPr>
          <w:t>unsubscribe@charltonslaw.com</w:t>
        </w:r>
      </w:hyperlink>
    </w:p>
    <w:p w:rsidR="00A45BEF" w:rsidRPr="009E31B3" w:rsidRDefault="00A45BEF" w:rsidP="00A45BEF">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w:t>
      </w:r>
      <w:r w:rsidR="008A0244" w:rsidRPr="008A0244">
        <w:rPr>
          <w:rFonts w:ascii="Helvetica" w:hAnsi="Helvetica"/>
        </w:rPr>
        <w:t>5</w:t>
      </w:r>
      <w:r w:rsidRPr="00F05494">
        <w:rPr>
          <w:rFonts w:ascii="Helvetica" w:hAnsi="Helvetica"/>
        </w:rPr>
        <w:t xml:space="preserve"> </w:t>
      </w:r>
      <w:r>
        <w:rPr>
          <w:rFonts w:ascii="Helvetica" w:hAnsi="Helvetica"/>
        </w:rPr>
        <w:t>September</w:t>
      </w:r>
      <w:r w:rsidRPr="00F05494">
        <w:rPr>
          <w:rFonts w:ascii="Helvetica" w:hAnsi="Helvetica"/>
        </w:rPr>
        <w:t xml:space="preserve"> 202</w:t>
      </w:r>
      <w:r>
        <w:rPr>
          <w:rFonts w:ascii="Helvetica" w:hAnsi="Helvetica"/>
        </w:rPr>
        <w:t>2</w:t>
      </w:r>
    </w:p>
    <w:p w:rsidR="00A45BEF" w:rsidRPr="00A45BEF" w:rsidRDefault="00A45BEF" w:rsidP="002446B1">
      <w:pPr>
        <w:jc w:val="both"/>
        <w:rPr>
          <w:rFonts w:ascii="Cambria" w:hAnsi="Cambria"/>
          <w:sz w:val="24"/>
          <w:szCs w:val="24"/>
          <w:lang w:val="en-US"/>
        </w:rPr>
      </w:pPr>
    </w:p>
    <w:sectPr w:rsidR="00A45BEF" w:rsidRPr="00A45BEF" w:rsidSect="003D6E92">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3A95" w:rsidRDefault="008D3A95" w:rsidP="00E106F2">
      <w:pPr>
        <w:spacing w:after="0" w:line="240" w:lineRule="auto"/>
      </w:pPr>
      <w:r>
        <w:separator/>
      </w:r>
    </w:p>
  </w:endnote>
  <w:endnote w:type="continuationSeparator" w:id="0">
    <w:p w:rsidR="008D3A95" w:rsidRDefault="008D3A95" w:rsidP="00E1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3A95" w:rsidRDefault="008D3A95" w:rsidP="00E106F2">
      <w:pPr>
        <w:spacing w:after="0" w:line="240" w:lineRule="auto"/>
      </w:pPr>
      <w:r>
        <w:separator/>
      </w:r>
    </w:p>
  </w:footnote>
  <w:footnote w:type="continuationSeparator" w:id="0">
    <w:p w:rsidR="008D3A95" w:rsidRDefault="008D3A95" w:rsidP="00E1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995"/>
    <w:multiLevelType w:val="hybridMultilevel"/>
    <w:tmpl w:val="324E3262"/>
    <w:lvl w:ilvl="0" w:tplc="0F601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E06D6"/>
    <w:multiLevelType w:val="hybridMultilevel"/>
    <w:tmpl w:val="B43616AC"/>
    <w:lvl w:ilvl="0" w:tplc="3FD41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507C5"/>
    <w:multiLevelType w:val="hybridMultilevel"/>
    <w:tmpl w:val="D5E697A6"/>
    <w:lvl w:ilvl="0" w:tplc="AA286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603AD"/>
    <w:multiLevelType w:val="hybridMultilevel"/>
    <w:tmpl w:val="712C1B86"/>
    <w:lvl w:ilvl="0" w:tplc="84726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F3792"/>
    <w:multiLevelType w:val="hybridMultilevel"/>
    <w:tmpl w:val="C3007344"/>
    <w:lvl w:ilvl="0" w:tplc="7188E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A7486"/>
    <w:multiLevelType w:val="hybridMultilevel"/>
    <w:tmpl w:val="29A4D316"/>
    <w:lvl w:ilvl="0" w:tplc="73888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074CE"/>
    <w:multiLevelType w:val="hybridMultilevel"/>
    <w:tmpl w:val="C2BE63C2"/>
    <w:lvl w:ilvl="0" w:tplc="72A8F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3D5B41"/>
    <w:multiLevelType w:val="hybridMultilevel"/>
    <w:tmpl w:val="EE0ABA30"/>
    <w:lvl w:ilvl="0" w:tplc="2C145A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C18C4"/>
    <w:multiLevelType w:val="hybridMultilevel"/>
    <w:tmpl w:val="7706C5DE"/>
    <w:lvl w:ilvl="0" w:tplc="9E42B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1753529">
    <w:abstractNumId w:val="1"/>
  </w:num>
  <w:num w:numId="2" w16cid:durableId="1808009446">
    <w:abstractNumId w:val="7"/>
  </w:num>
  <w:num w:numId="3" w16cid:durableId="533885394">
    <w:abstractNumId w:val="2"/>
  </w:num>
  <w:num w:numId="4" w16cid:durableId="2096826038">
    <w:abstractNumId w:val="8"/>
  </w:num>
  <w:num w:numId="5" w16cid:durableId="385766272">
    <w:abstractNumId w:val="5"/>
  </w:num>
  <w:num w:numId="6" w16cid:durableId="917137241">
    <w:abstractNumId w:val="6"/>
  </w:num>
  <w:num w:numId="7" w16cid:durableId="1237351464">
    <w:abstractNumId w:val="4"/>
  </w:num>
  <w:num w:numId="8" w16cid:durableId="1131558437">
    <w:abstractNumId w:val="0"/>
  </w:num>
  <w:num w:numId="9" w16cid:durableId="373237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4"/>
    <w:rsid w:val="00004390"/>
    <w:rsid w:val="00005B35"/>
    <w:rsid w:val="00007072"/>
    <w:rsid w:val="00011658"/>
    <w:rsid w:val="0001452A"/>
    <w:rsid w:val="000146CC"/>
    <w:rsid w:val="00014702"/>
    <w:rsid w:val="000250E3"/>
    <w:rsid w:val="00027453"/>
    <w:rsid w:val="000323F6"/>
    <w:rsid w:val="00034731"/>
    <w:rsid w:val="000356BF"/>
    <w:rsid w:val="00035CC7"/>
    <w:rsid w:val="0004107C"/>
    <w:rsid w:val="00044A10"/>
    <w:rsid w:val="00045E4F"/>
    <w:rsid w:val="00047319"/>
    <w:rsid w:val="000503E6"/>
    <w:rsid w:val="00056222"/>
    <w:rsid w:val="000575A6"/>
    <w:rsid w:val="00065908"/>
    <w:rsid w:val="000749EE"/>
    <w:rsid w:val="00082C25"/>
    <w:rsid w:val="00086FAD"/>
    <w:rsid w:val="000969E5"/>
    <w:rsid w:val="000D0236"/>
    <w:rsid w:val="000D3920"/>
    <w:rsid w:val="000D5A97"/>
    <w:rsid w:val="000E0CD5"/>
    <w:rsid w:val="000E2620"/>
    <w:rsid w:val="000E3E2E"/>
    <w:rsid w:val="000E4F75"/>
    <w:rsid w:val="000F444F"/>
    <w:rsid w:val="000F4781"/>
    <w:rsid w:val="000F62CE"/>
    <w:rsid w:val="00100069"/>
    <w:rsid w:val="001068CE"/>
    <w:rsid w:val="0010799E"/>
    <w:rsid w:val="00111A0D"/>
    <w:rsid w:val="00112FA2"/>
    <w:rsid w:val="0011406C"/>
    <w:rsid w:val="00120AEC"/>
    <w:rsid w:val="00124709"/>
    <w:rsid w:val="001300A0"/>
    <w:rsid w:val="00132FE3"/>
    <w:rsid w:val="00140456"/>
    <w:rsid w:val="001419F6"/>
    <w:rsid w:val="001440B7"/>
    <w:rsid w:val="0015102D"/>
    <w:rsid w:val="00160435"/>
    <w:rsid w:val="00164202"/>
    <w:rsid w:val="00164587"/>
    <w:rsid w:val="001650EF"/>
    <w:rsid w:val="00170518"/>
    <w:rsid w:val="001727CD"/>
    <w:rsid w:val="00176295"/>
    <w:rsid w:val="00181A08"/>
    <w:rsid w:val="001865A3"/>
    <w:rsid w:val="00191994"/>
    <w:rsid w:val="00192F0D"/>
    <w:rsid w:val="0019421E"/>
    <w:rsid w:val="00195BB3"/>
    <w:rsid w:val="001961D9"/>
    <w:rsid w:val="001A0977"/>
    <w:rsid w:val="001A16DD"/>
    <w:rsid w:val="001A2A57"/>
    <w:rsid w:val="001A5018"/>
    <w:rsid w:val="001A5D2D"/>
    <w:rsid w:val="001B015C"/>
    <w:rsid w:val="001B19A7"/>
    <w:rsid w:val="001B53E3"/>
    <w:rsid w:val="001B6DB0"/>
    <w:rsid w:val="001B6E8D"/>
    <w:rsid w:val="001C1CA8"/>
    <w:rsid w:val="001C341B"/>
    <w:rsid w:val="001C447E"/>
    <w:rsid w:val="001C46E6"/>
    <w:rsid w:val="001D3D48"/>
    <w:rsid w:val="001D41D4"/>
    <w:rsid w:val="001E1E0A"/>
    <w:rsid w:val="001E341F"/>
    <w:rsid w:val="001E739E"/>
    <w:rsid w:val="001F10CE"/>
    <w:rsid w:val="001F2C26"/>
    <w:rsid w:val="00202565"/>
    <w:rsid w:val="00202A96"/>
    <w:rsid w:val="00204353"/>
    <w:rsid w:val="00206327"/>
    <w:rsid w:val="002066FC"/>
    <w:rsid w:val="00212B05"/>
    <w:rsid w:val="00215303"/>
    <w:rsid w:val="00226E9B"/>
    <w:rsid w:val="00237F2C"/>
    <w:rsid w:val="002435A8"/>
    <w:rsid w:val="002446B1"/>
    <w:rsid w:val="00244837"/>
    <w:rsid w:val="00244FB8"/>
    <w:rsid w:val="00252958"/>
    <w:rsid w:val="00252F66"/>
    <w:rsid w:val="002548A4"/>
    <w:rsid w:val="00273488"/>
    <w:rsid w:val="00275475"/>
    <w:rsid w:val="0028295B"/>
    <w:rsid w:val="00284721"/>
    <w:rsid w:val="0028595F"/>
    <w:rsid w:val="002866C7"/>
    <w:rsid w:val="00286F65"/>
    <w:rsid w:val="00296EE6"/>
    <w:rsid w:val="002A0E5E"/>
    <w:rsid w:val="002A2D57"/>
    <w:rsid w:val="002A2E90"/>
    <w:rsid w:val="002A677E"/>
    <w:rsid w:val="002A68D8"/>
    <w:rsid w:val="002B08FF"/>
    <w:rsid w:val="002B0AB0"/>
    <w:rsid w:val="002B28AE"/>
    <w:rsid w:val="002B4C13"/>
    <w:rsid w:val="002B7067"/>
    <w:rsid w:val="002C0C29"/>
    <w:rsid w:val="002C1105"/>
    <w:rsid w:val="002C598A"/>
    <w:rsid w:val="002D068E"/>
    <w:rsid w:val="002E1BD8"/>
    <w:rsid w:val="002E314C"/>
    <w:rsid w:val="002F1455"/>
    <w:rsid w:val="002F224A"/>
    <w:rsid w:val="002F4DC4"/>
    <w:rsid w:val="002F5BC3"/>
    <w:rsid w:val="0030158C"/>
    <w:rsid w:val="00306A20"/>
    <w:rsid w:val="00307E8A"/>
    <w:rsid w:val="00311FFA"/>
    <w:rsid w:val="003127BE"/>
    <w:rsid w:val="00312E16"/>
    <w:rsid w:val="00315329"/>
    <w:rsid w:val="003157D8"/>
    <w:rsid w:val="00317A12"/>
    <w:rsid w:val="00320EF8"/>
    <w:rsid w:val="00323C40"/>
    <w:rsid w:val="00324F4D"/>
    <w:rsid w:val="00327D33"/>
    <w:rsid w:val="0033466B"/>
    <w:rsid w:val="00335A9D"/>
    <w:rsid w:val="00335E1F"/>
    <w:rsid w:val="00337300"/>
    <w:rsid w:val="00340F77"/>
    <w:rsid w:val="00341409"/>
    <w:rsid w:val="00342F48"/>
    <w:rsid w:val="003446D3"/>
    <w:rsid w:val="0035600D"/>
    <w:rsid w:val="00360CD9"/>
    <w:rsid w:val="003651FA"/>
    <w:rsid w:val="00365379"/>
    <w:rsid w:val="00373D99"/>
    <w:rsid w:val="003743B5"/>
    <w:rsid w:val="003820FA"/>
    <w:rsid w:val="0038551D"/>
    <w:rsid w:val="00390F84"/>
    <w:rsid w:val="00396A0A"/>
    <w:rsid w:val="003A2A7A"/>
    <w:rsid w:val="003B0ACF"/>
    <w:rsid w:val="003B14DF"/>
    <w:rsid w:val="003B2CBD"/>
    <w:rsid w:val="003B5113"/>
    <w:rsid w:val="003B7A90"/>
    <w:rsid w:val="003C0D5F"/>
    <w:rsid w:val="003C733C"/>
    <w:rsid w:val="003D3002"/>
    <w:rsid w:val="003D6684"/>
    <w:rsid w:val="003D6E92"/>
    <w:rsid w:val="003E19ED"/>
    <w:rsid w:val="003F3D5C"/>
    <w:rsid w:val="003F6EDC"/>
    <w:rsid w:val="00401C63"/>
    <w:rsid w:val="0040223A"/>
    <w:rsid w:val="004037C6"/>
    <w:rsid w:val="0040773E"/>
    <w:rsid w:val="00411216"/>
    <w:rsid w:val="0041160D"/>
    <w:rsid w:val="00415109"/>
    <w:rsid w:val="00416B57"/>
    <w:rsid w:val="00416EF3"/>
    <w:rsid w:val="00423184"/>
    <w:rsid w:val="00425149"/>
    <w:rsid w:val="004273F7"/>
    <w:rsid w:val="004310BB"/>
    <w:rsid w:val="00431700"/>
    <w:rsid w:val="004324B4"/>
    <w:rsid w:val="0043524B"/>
    <w:rsid w:val="00442F9C"/>
    <w:rsid w:val="00446144"/>
    <w:rsid w:val="00447A73"/>
    <w:rsid w:val="00450475"/>
    <w:rsid w:val="00450686"/>
    <w:rsid w:val="0045107F"/>
    <w:rsid w:val="0045439A"/>
    <w:rsid w:val="00454EB1"/>
    <w:rsid w:val="004579C3"/>
    <w:rsid w:val="00460225"/>
    <w:rsid w:val="00460EBD"/>
    <w:rsid w:val="00462CC0"/>
    <w:rsid w:val="00462FEF"/>
    <w:rsid w:val="00466C1E"/>
    <w:rsid w:val="0047045E"/>
    <w:rsid w:val="00473AD6"/>
    <w:rsid w:val="00482FF9"/>
    <w:rsid w:val="00483D02"/>
    <w:rsid w:val="004840B8"/>
    <w:rsid w:val="004859E3"/>
    <w:rsid w:val="004917EA"/>
    <w:rsid w:val="00491971"/>
    <w:rsid w:val="004923D9"/>
    <w:rsid w:val="00494309"/>
    <w:rsid w:val="00494593"/>
    <w:rsid w:val="00494B67"/>
    <w:rsid w:val="004A547F"/>
    <w:rsid w:val="004B116F"/>
    <w:rsid w:val="004B20E8"/>
    <w:rsid w:val="004B3F6D"/>
    <w:rsid w:val="004C569B"/>
    <w:rsid w:val="004D70CB"/>
    <w:rsid w:val="004E051D"/>
    <w:rsid w:val="004E4E21"/>
    <w:rsid w:val="004E7AEA"/>
    <w:rsid w:val="004F6443"/>
    <w:rsid w:val="004F6CC0"/>
    <w:rsid w:val="0051063E"/>
    <w:rsid w:val="0051105F"/>
    <w:rsid w:val="00514BDC"/>
    <w:rsid w:val="00525697"/>
    <w:rsid w:val="00535325"/>
    <w:rsid w:val="00542A5B"/>
    <w:rsid w:val="00543B84"/>
    <w:rsid w:val="0054539C"/>
    <w:rsid w:val="00551FD0"/>
    <w:rsid w:val="005526E3"/>
    <w:rsid w:val="005537EA"/>
    <w:rsid w:val="00562E6A"/>
    <w:rsid w:val="005638D9"/>
    <w:rsid w:val="00564AFF"/>
    <w:rsid w:val="00566DAE"/>
    <w:rsid w:val="00567E9D"/>
    <w:rsid w:val="00571AF0"/>
    <w:rsid w:val="00573068"/>
    <w:rsid w:val="0057541E"/>
    <w:rsid w:val="00576496"/>
    <w:rsid w:val="00581A66"/>
    <w:rsid w:val="00584ED7"/>
    <w:rsid w:val="00594173"/>
    <w:rsid w:val="00597EE4"/>
    <w:rsid w:val="005A0C82"/>
    <w:rsid w:val="005A1AC0"/>
    <w:rsid w:val="005A6CF3"/>
    <w:rsid w:val="005A6EC9"/>
    <w:rsid w:val="005A7229"/>
    <w:rsid w:val="005A774D"/>
    <w:rsid w:val="005B0585"/>
    <w:rsid w:val="005B265D"/>
    <w:rsid w:val="005B78FA"/>
    <w:rsid w:val="005C1479"/>
    <w:rsid w:val="005C3EB5"/>
    <w:rsid w:val="005D02AA"/>
    <w:rsid w:val="005D1FF4"/>
    <w:rsid w:val="005D3E71"/>
    <w:rsid w:val="005E3079"/>
    <w:rsid w:val="0061291B"/>
    <w:rsid w:val="00613BDD"/>
    <w:rsid w:val="00614787"/>
    <w:rsid w:val="00615DE4"/>
    <w:rsid w:val="00620923"/>
    <w:rsid w:val="00620D49"/>
    <w:rsid w:val="00625905"/>
    <w:rsid w:val="00635E1E"/>
    <w:rsid w:val="0063672D"/>
    <w:rsid w:val="006406F1"/>
    <w:rsid w:val="00641FE2"/>
    <w:rsid w:val="00646161"/>
    <w:rsid w:val="0064622F"/>
    <w:rsid w:val="00652C08"/>
    <w:rsid w:val="00653862"/>
    <w:rsid w:val="00660652"/>
    <w:rsid w:val="006628A9"/>
    <w:rsid w:val="0067016A"/>
    <w:rsid w:val="006701EC"/>
    <w:rsid w:val="00697E6F"/>
    <w:rsid w:val="006A18A2"/>
    <w:rsid w:val="006A586A"/>
    <w:rsid w:val="006A5F6F"/>
    <w:rsid w:val="006B7864"/>
    <w:rsid w:val="006B7D9A"/>
    <w:rsid w:val="006C32B1"/>
    <w:rsid w:val="006C6349"/>
    <w:rsid w:val="006D5CEA"/>
    <w:rsid w:val="006D6138"/>
    <w:rsid w:val="006F2828"/>
    <w:rsid w:val="0070000C"/>
    <w:rsid w:val="00704783"/>
    <w:rsid w:val="00707328"/>
    <w:rsid w:val="00716D0C"/>
    <w:rsid w:val="00727891"/>
    <w:rsid w:val="0073239B"/>
    <w:rsid w:val="00736918"/>
    <w:rsid w:val="007371B4"/>
    <w:rsid w:val="0074452E"/>
    <w:rsid w:val="00746E1F"/>
    <w:rsid w:val="00756528"/>
    <w:rsid w:val="007631BA"/>
    <w:rsid w:val="00764091"/>
    <w:rsid w:val="00764ED2"/>
    <w:rsid w:val="0077778B"/>
    <w:rsid w:val="00783045"/>
    <w:rsid w:val="007879E6"/>
    <w:rsid w:val="00792EA1"/>
    <w:rsid w:val="00793482"/>
    <w:rsid w:val="00794F5C"/>
    <w:rsid w:val="007A1FB5"/>
    <w:rsid w:val="007A3A85"/>
    <w:rsid w:val="007A3F75"/>
    <w:rsid w:val="007A7731"/>
    <w:rsid w:val="007B2A21"/>
    <w:rsid w:val="007B3B67"/>
    <w:rsid w:val="007C345B"/>
    <w:rsid w:val="007C3DD1"/>
    <w:rsid w:val="007C56EB"/>
    <w:rsid w:val="007C618A"/>
    <w:rsid w:val="007C670D"/>
    <w:rsid w:val="007C7661"/>
    <w:rsid w:val="007D12B6"/>
    <w:rsid w:val="007D2138"/>
    <w:rsid w:val="007D2563"/>
    <w:rsid w:val="007D321E"/>
    <w:rsid w:val="007D4222"/>
    <w:rsid w:val="007E2B1B"/>
    <w:rsid w:val="007E2FAC"/>
    <w:rsid w:val="007E64C8"/>
    <w:rsid w:val="007E7569"/>
    <w:rsid w:val="007F2E00"/>
    <w:rsid w:val="007F3B1F"/>
    <w:rsid w:val="007F632A"/>
    <w:rsid w:val="007F729A"/>
    <w:rsid w:val="008000BB"/>
    <w:rsid w:val="008058E7"/>
    <w:rsid w:val="00806D08"/>
    <w:rsid w:val="00811599"/>
    <w:rsid w:val="0081336F"/>
    <w:rsid w:val="00820174"/>
    <w:rsid w:val="0082243D"/>
    <w:rsid w:val="00830A02"/>
    <w:rsid w:val="00833655"/>
    <w:rsid w:val="00835702"/>
    <w:rsid w:val="00841944"/>
    <w:rsid w:val="00853E04"/>
    <w:rsid w:val="00855773"/>
    <w:rsid w:val="00856CEC"/>
    <w:rsid w:val="00862BEC"/>
    <w:rsid w:val="00863702"/>
    <w:rsid w:val="008676EE"/>
    <w:rsid w:val="00867943"/>
    <w:rsid w:val="00881751"/>
    <w:rsid w:val="00892A3E"/>
    <w:rsid w:val="008947F3"/>
    <w:rsid w:val="008A0244"/>
    <w:rsid w:val="008A0B75"/>
    <w:rsid w:val="008A0E1C"/>
    <w:rsid w:val="008A4BA3"/>
    <w:rsid w:val="008B1E58"/>
    <w:rsid w:val="008C1A38"/>
    <w:rsid w:val="008C6E0A"/>
    <w:rsid w:val="008D181A"/>
    <w:rsid w:val="008D3A95"/>
    <w:rsid w:val="008D3CD9"/>
    <w:rsid w:val="008E0395"/>
    <w:rsid w:val="008E3BAA"/>
    <w:rsid w:val="00900DD4"/>
    <w:rsid w:val="00901107"/>
    <w:rsid w:val="00904CE4"/>
    <w:rsid w:val="00905BBF"/>
    <w:rsid w:val="009109A4"/>
    <w:rsid w:val="00916383"/>
    <w:rsid w:val="009172E7"/>
    <w:rsid w:val="00933F31"/>
    <w:rsid w:val="00946ADF"/>
    <w:rsid w:val="00950E76"/>
    <w:rsid w:val="00954808"/>
    <w:rsid w:val="0095511C"/>
    <w:rsid w:val="00955BC4"/>
    <w:rsid w:val="00957B72"/>
    <w:rsid w:val="009608CC"/>
    <w:rsid w:val="00961E66"/>
    <w:rsid w:val="00964C39"/>
    <w:rsid w:val="0097105C"/>
    <w:rsid w:val="00971604"/>
    <w:rsid w:val="009727FF"/>
    <w:rsid w:val="009766C5"/>
    <w:rsid w:val="009775AA"/>
    <w:rsid w:val="0098231D"/>
    <w:rsid w:val="00986373"/>
    <w:rsid w:val="009871CD"/>
    <w:rsid w:val="00987A03"/>
    <w:rsid w:val="009924D4"/>
    <w:rsid w:val="00993ACE"/>
    <w:rsid w:val="009948F3"/>
    <w:rsid w:val="009950D9"/>
    <w:rsid w:val="0099520C"/>
    <w:rsid w:val="009A0132"/>
    <w:rsid w:val="009A3B3F"/>
    <w:rsid w:val="009A5C86"/>
    <w:rsid w:val="009A60FF"/>
    <w:rsid w:val="009A64E0"/>
    <w:rsid w:val="009A7C5A"/>
    <w:rsid w:val="009B1AAE"/>
    <w:rsid w:val="009B1D77"/>
    <w:rsid w:val="009B5609"/>
    <w:rsid w:val="009B5CAB"/>
    <w:rsid w:val="009B7599"/>
    <w:rsid w:val="009C051B"/>
    <w:rsid w:val="009C5ACE"/>
    <w:rsid w:val="009C6A14"/>
    <w:rsid w:val="009C6D67"/>
    <w:rsid w:val="009D5A5C"/>
    <w:rsid w:val="009E40A9"/>
    <w:rsid w:val="00A04DC4"/>
    <w:rsid w:val="00A0631D"/>
    <w:rsid w:val="00A06C5E"/>
    <w:rsid w:val="00A113F8"/>
    <w:rsid w:val="00A17105"/>
    <w:rsid w:val="00A2525A"/>
    <w:rsid w:val="00A252DB"/>
    <w:rsid w:val="00A27A56"/>
    <w:rsid w:val="00A30CDA"/>
    <w:rsid w:val="00A329E4"/>
    <w:rsid w:val="00A32C3A"/>
    <w:rsid w:val="00A34051"/>
    <w:rsid w:val="00A4093B"/>
    <w:rsid w:val="00A45BEF"/>
    <w:rsid w:val="00A47D37"/>
    <w:rsid w:val="00A57307"/>
    <w:rsid w:val="00A609A3"/>
    <w:rsid w:val="00A70DCF"/>
    <w:rsid w:val="00A776D6"/>
    <w:rsid w:val="00A8564D"/>
    <w:rsid w:val="00A869B3"/>
    <w:rsid w:val="00A87F35"/>
    <w:rsid w:val="00A92BCE"/>
    <w:rsid w:val="00A95B99"/>
    <w:rsid w:val="00AB115D"/>
    <w:rsid w:val="00AB7055"/>
    <w:rsid w:val="00AC1660"/>
    <w:rsid w:val="00AD0709"/>
    <w:rsid w:val="00AD23A0"/>
    <w:rsid w:val="00AD61B3"/>
    <w:rsid w:val="00AD6CFA"/>
    <w:rsid w:val="00AE35F1"/>
    <w:rsid w:val="00AE706B"/>
    <w:rsid w:val="00AE7646"/>
    <w:rsid w:val="00AF3262"/>
    <w:rsid w:val="00B000A8"/>
    <w:rsid w:val="00B013DB"/>
    <w:rsid w:val="00B049E1"/>
    <w:rsid w:val="00B04B53"/>
    <w:rsid w:val="00B1677E"/>
    <w:rsid w:val="00B2767C"/>
    <w:rsid w:val="00B27CA0"/>
    <w:rsid w:val="00B32664"/>
    <w:rsid w:val="00B35D84"/>
    <w:rsid w:val="00B62EA6"/>
    <w:rsid w:val="00B65145"/>
    <w:rsid w:val="00B6553E"/>
    <w:rsid w:val="00B67561"/>
    <w:rsid w:val="00B67569"/>
    <w:rsid w:val="00B7357C"/>
    <w:rsid w:val="00B80AED"/>
    <w:rsid w:val="00B84003"/>
    <w:rsid w:val="00B85C17"/>
    <w:rsid w:val="00B92A71"/>
    <w:rsid w:val="00BA4B41"/>
    <w:rsid w:val="00BA4C64"/>
    <w:rsid w:val="00BA5F6B"/>
    <w:rsid w:val="00BB7EBD"/>
    <w:rsid w:val="00BC047D"/>
    <w:rsid w:val="00BC18FE"/>
    <w:rsid w:val="00BC3390"/>
    <w:rsid w:val="00BC39B8"/>
    <w:rsid w:val="00BC6443"/>
    <w:rsid w:val="00BC73FF"/>
    <w:rsid w:val="00BC7610"/>
    <w:rsid w:val="00BC7FB2"/>
    <w:rsid w:val="00BD3E2F"/>
    <w:rsid w:val="00BD7CA2"/>
    <w:rsid w:val="00BE0D0F"/>
    <w:rsid w:val="00BE23DC"/>
    <w:rsid w:val="00BF786D"/>
    <w:rsid w:val="00C005EC"/>
    <w:rsid w:val="00C0067E"/>
    <w:rsid w:val="00C00F5A"/>
    <w:rsid w:val="00C066D8"/>
    <w:rsid w:val="00C10297"/>
    <w:rsid w:val="00C1093D"/>
    <w:rsid w:val="00C2408C"/>
    <w:rsid w:val="00C43054"/>
    <w:rsid w:val="00C445FE"/>
    <w:rsid w:val="00C47C51"/>
    <w:rsid w:val="00C505E1"/>
    <w:rsid w:val="00C53125"/>
    <w:rsid w:val="00C56739"/>
    <w:rsid w:val="00C623FB"/>
    <w:rsid w:val="00C63BBD"/>
    <w:rsid w:val="00C66E64"/>
    <w:rsid w:val="00C71147"/>
    <w:rsid w:val="00C7286F"/>
    <w:rsid w:val="00C9304F"/>
    <w:rsid w:val="00C954AE"/>
    <w:rsid w:val="00C97A45"/>
    <w:rsid w:val="00CA0FB3"/>
    <w:rsid w:val="00CC2CF3"/>
    <w:rsid w:val="00CD00B8"/>
    <w:rsid w:val="00CD5BB5"/>
    <w:rsid w:val="00CE0A89"/>
    <w:rsid w:val="00CE167D"/>
    <w:rsid w:val="00CE66BB"/>
    <w:rsid w:val="00CE6FCC"/>
    <w:rsid w:val="00CF01D3"/>
    <w:rsid w:val="00CF0B6A"/>
    <w:rsid w:val="00CF23FA"/>
    <w:rsid w:val="00CF750E"/>
    <w:rsid w:val="00D073B7"/>
    <w:rsid w:val="00D1119C"/>
    <w:rsid w:val="00D167B6"/>
    <w:rsid w:val="00D21C38"/>
    <w:rsid w:val="00D245B9"/>
    <w:rsid w:val="00D31085"/>
    <w:rsid w:val="00D3267F"/>
    <w:rsid w:val="00D47084"/>
    <w:rsid w:val="00D507A2"/>
    <w:rsid w:val="00D50BC0"/>
    <w:rsid w:val="00D52A8C"/>
    <w:rsid w:val="00D55A4D"/>
    <w:rsid w:val="00D60195"/>
    <w:rsid w:val="00D73212"/>
    <w:rsid w:val="00D74005"/>
    <w:rsid w:val="00D80D8B"/>
    <w:rsid w:val="00D941A8"/>
    <w:rsid w:val="00DA126A"/>
    <w:rsid w:val="00DA3458"/>
    <w:rsid w:val="00DA62F5"/>
    <w:rsid w:val="00DA79D0"/>
    <w:rsid w:val="00DC0EA8"/>
    <w:rsid w:val="00DC2B78"/>
    <w:rsid w:val="00DD2D58"/>
    <w:rsid w:val="00DD3E0F"/>
    <w:rsid w:val="00DD40E4"/>
    <w:rsid w:val="00DD4378"/>
    <w:rsid w:val="00DD56EA"/>
    <w:rsid w:val="00DE08E4"/>
    <w:rsid w:val="00DE4BD4"/>
    <w:rsid w:val="00DE7CA6"/>
    <w:rsid w:val="00DE7D6E"/>
    <w:rsid w:val="00DF2CFE"/>
    <w:rsid w:val="00DF3B01"/>
    <w:rsid w:val="00DF7612"/>
    <w:rsid w:val="00DF7B78"/>
    <w:rsid w:val="00E04CD7"/>
    <w:rsid w:val="00E106F2"/>
    <w:rsid w:val="00E21619"/>
    <w:rsid w:val="00E24F43"/>
    <w:rsid w:val="00E31015"/>
    <w:rsid w:val="00E34330"/>
    <w:rsid w:val="00E44376"/>
    <w:rsid w:val="00E44F65"/>
    <w:rsid w:val="00E45ECB"/>
    <w:rsid w:val="00E52B48"/>
    <w:rsid w:val="00E53B94"/>
    <w:rsid w:val="00E57755"/>
    <w:rsid w:val="00E60A9B"/>
    <w:rsid w:val="00E62143"/>
    <w:rsid w:val="00E66CF7"/>
    <w:rsid w:val="00E66FB5"/>
    <w:rsid w:val="00E70CD7"/>
    <w:rsid w:val="00E723F8"/>
    <w:rsid w:val="00E73256"/>
    <w:rsid w:val="00E740D2"/>
    <w:rsid w:val="00E7569C"/>
    <w:rsid w:val="00E84D6D"/>
    <w:rsid w:val="00E94760"/>
    <w:rsid w:val="00EB180D"/>
    <w:rsid w:val="00EB1ED7"/>
    <w:rsid w:val="00EB2F5E"/>
    <w:rsid w:val="00EB4DB4"/>
    <w:rsid w:val="00EC21F5"/>
    <w:rsid w:val="00EC2C0B"/>
    <w:rsid w:val="00EC65C1"/>
    <w:rsid w:val="00EC6AC9"/>
    <w:rsid w:val="00EC6B8C"/>
    <w:rsid w:val="00ED0BBF"/>
    <w:rsid w:val="00ED1941"/>
    <w:rsid w:val="00ED7E56"/>
    <w:rsid w:val="00EE416C"/>
    <w:rsid w:val="00EF1402"/>
    <w:rsid w:val="00EF1D3F"/>
    <w:rsid w:val="00F01D5E"/>
    <w:rsid w:val="00F10250"/>
    <w:rsid w:val="00F10D2E"/>
    <w:rsid w:val="00F10F85"/>
    <w:rsid w:val="00F14767"/>
    <w:rsid w:val="00F17403"/>
    <w:rsid w:val="00F2006E"/>
    <w:rsid w:val="00F25D08"/>
    <w:rsid w:val="00F341CA"/>
    <w:rsid w:val="00F35DC3"/>
    <w:rsid w:val="00F42249"/>
    <w:rsid w:val="00F4274F"/>
    <w:rsid w:val="00F43AE2"/>
    <w:rsid w:val="00F45AD5"/>
    <w:rsid w:val="00F504AB"/>
    <w:rsid w:val="00F54010"/>
    <w:rsid w:val="00F55DD5"/>
    <w:rsid w:val="00F612BD"/>
    <w:rsid w:val="00F66096"/>
    <w:rsid w:val="00F734A5"/>
    <w:rsid w:val="00F8547D"/>
    <w:rsid w:val="00F86073"/>
    <w:rsid w:val="00F87E24"/>
    <w:rsid w:val="00F929EB"/>
    <w:rsid w:val="00F92AD1"/>
    <w:rsid w:val="00F95254"/>
    <w:rsid w:val="00FA462C"/>
    <w:rsid w:val="00FA7A4E"/>
    <w:rsid w:val="00FB48D9"/>
    <w:rsid w:val="00FB7460"/>
    <w:rsid w:val="00FC3B2C"/>
    <w:rsid w:val="00FC3F66"/>
    <w:rsid w:val="00FC57D7"/>
    <w:rsid w:val="00FC6029"/>
    <w:rsid w:val="00FD2A44"/>
    <w:rsid w:val="00FE2162"/>
    <w:rsid w:val="00FE4F6E"/>
    <w:rsid w:val="00FF063B"/>
    <w:rsid w:val="00FF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1AED"/>
  <w15:chartTrackingRefBased/>
  <w15:docId w15:val="{A0EBB30E-612A-44EE-8F45-6BA59BE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9A"/>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106F2"/>
    <w:pPr>
      <w:spacing w:after="0" w:line="240" w:lineRule="auto"/>
    </w:pPr>
    <w:rPr>
      <w:sz w:val="20"/>
      <w:szCs w:val="20"/>
    </w:rPr>
  </w:style>
  <w:style w:type="character" w:customStyle="1" w:styleId="a4">
    <w:name w:val="Текст сноски Знак"/>
    <w:basedOn w:val="a0"/>
    <w:link w:val="a3"/>
    <w:uiPriority w:val="99"/>
    <w:rsid w:val="00E106F2"/>
    <w:rPr>
      <w:sz w:val="20"/>
      <w:szCs w:val="20"/>
      <w:lang w:val="en-GB"/>
    </w:rPr>
  </w:style>
  <w:style w:type="character" w:styleId="a5">
    <w:name w:val="footnote reference"/>
    <w:basedOn w:val="a0"/>
    <w:uiPriority w:val="99"/>
    <w:semiHidden/>
    <w:unhideWhenUsed/>
    <w:rsid w:val="00E106F2"/>
    <w:rPr>
      <w:vertAlign w:val="superscript"/>
    </w:rPr>
  </w:style>
  <w:style w:type="character" w:styleId="a6">
    <w:name w:val="Hyperlink"/>
    <w:basedOn w:val="a0"/>
    <w:uiPriority w:val="99"/>
    <w:unhideWhenUsed/>
    <w:rsid w:val="00C63BBD"/>
    <w:rPr>
      <w:color w:val="0563C1" w:themeColor="hyperlink"/>
      <w:u w:val="single"/>
    </w:rPr>
  </w:style>
  <w:style w:type="paragraph" w:styleId="a7">
    <w:name w:val="List Paragraph"/>
    <w:basedOn w:val="a"/>
    <w:uiPriority w:val="34"/>
    <w:qFormat/>
    <w:rsid w:val="0035600D"/>
    <w:pPr>
      <w:ind w:left="720"/>
      <w:contextualSpacing/>
    </w:pPr>
  </w:style>
  <w:style w:type="paragraph" w:styleId="a8">
    <w:name w:val="Balloon Text"/>
    <w:basedOn w:val="a"/>
    <w:link w:val="a9"/>
    <w:uiPriority w:val="99"/>
    <w:semiHidden/>
    <w:unhideWhenUsed/>
    <w:rsid w:val="009823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231D"/>
    <w:rPr>
      <w:rFonts w:ascii="Segoe UI" w:hAnsi="Segoe UI" w:cs="Segoe UI"/>
      <w:sz w:val="18"/>
      <w:szCs w:val="18"/>
      <w:lang w:val="en-GB"/>
    </w:rPr>
  </w:style>
  <w:style w:type="character" w:styleId="aa">
    <w:name w:val="FollowedHyperlink"/>
    <w:basedOn w:val="a0"/>
    <w:uiPriority w:val="99"/>
    <w:semiHidden/>
    <w:unhideWhenUsed/>
    <w:rsid w:val="00F01D5E"/>
    <w:rPr>
      <w:color w:val="954F72" w:themeColor="followedHyperlink"/>
      <w:u w:val="single"/>
    </w:rPr>
  </w:style>
  <w:style w:type="paragraph" w:styleId="ab">
    <w:name w:val="Revision"/>
    <w:hidden/>
    <w:uiPriority w:val="99"/>
    <w:semiHidden/>
    <w:rsid w:val="00416B57"/>
    <w:pPr>
      <w:spacing w:after="0" w:line="240" w:lineRule="auto"/>
    </w:pPr>
    <w:rPr>
      <w:lang w:val="en-GB"/>
    </w:rPr>
  </w:style>
  <w:style w:type="character" w:styleId="ac">
    <w:name w:val="Unresolved Mention"/>
    <w:basedOn w:val="a0"/>
    <w:uiPriority w:val="99"/>
    <w:semiHidden/>
    <w:unhideWhenUsed/>
    <w:rsid w:val="003D6684"/>
    <w:rPr>
      <w:color w:val="605E5C"/>
      <w:shd w:val="clear" w:color="auto" w:fill="E1DFDD"/>
    </w:rPr>
  </w:style>
  <w:style w:type="paragraph" w:customStyle="1" w:styleId="Disclaimer">
    <w:name w:val="Disclaimer"/>
    <w:basedOn w:val="a"/>
    <w:qFormat/>
    <w:rsid w:val="00A45BEF"/>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A45BEF"/>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A45BEF"/>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52491">
      <w:bodyDiv w:val="1"/>
      <w:marLeft w:val="0"/>
      <w:marRight w:val="0"/>
      <w:marTop w:val="0"/>
      <w:marBottom w:val="0"/>
      <w:divBdr>
        <w:top w:val="none" w:sz="0" w:space="0" w:color="auto"/>
        <w:left w:val="none" w:sz="0" w:space="0" w:color="auto"/>
        <w:bottom w:val="none" w:sz="0" w:space="0" w:color="auto"/>
        <w:right w:val="none" w:sz="0" w:space="0" w:color="auto"/>
      </w:divBdr>
      <w:divsChild>
        <w:div w:id="801120136">
          <w:marLeft w:val="0"/>
          <w:marRight w:val="0"/>
          <w:marTop w:val="360"/>
          <w:marBottom w:val="0"/>
          <w:divBdr>
            <w:top w:val="none" w:sz="0" w:space="0" w:color="auto"/>
            <w:left w:val="none" w:sz="0" w:space="0" w:color="auto"/>
            <w:bottom w:val="none" w:sz="0" w:space="0" w:color="auto"/>
            <w:right w:val="none" w:sz="0" w:space="0" w:color="auto"/>
          </w:divBdr>
        </w:div>
      </w:divsChild>
    </w:div>
    <w:div w:id="1131289092">
      <w:bodyDiv w:val="1"/>
      <w:marLeft w:val="0"/>
      <w:marRight w:val="0"/>
      <w:marTop w:val="0"/>
      <w:marBottom w:val="0"/>
      <w:divBdr>
        <w:top w:val="none" w:sz="0" w:space="0" w:color="auto"/>
        <w:left w:val="none" w:sz="0" w:space="0" w:color="auto"/>
        <w:bottom w:val="none" w:sz="0" w:space="0" w:color="auto"/>
        <w:right w:val="none" w:sz="0" w:space="0" w:color="auto"/>
      </w:divBdr>
    </w:div>
    <w:div w:id="155087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wap-connect-development-jointly-announced-by-peoples-bank-of-china-hong-kong-securities-and-futures-commission-and-hong-kong-monetary-autho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www.sfc.hk/en/News-and-announcements/Policy-statements-and-announcements/Joint-Announcement-of-the-PBoC-the-SFC-and-the-HK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E4F5-5952-4A4B-A07C-0F4AF936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951</Words>
  <Characters>5424</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Александр Пирогов</cp:lastModifiedBy>
  <cp:revision>9</cp:revision>
  <cp:lastPrinted>2022-08-19T06:15:00Z</cp:lastPrinted>
  <dcterms:created xsi:type="dcterms:W3CDTF">2022-09-01T11:04:00Z</dcterms:created>
  <dcterms:modified xsi:type="dcterms:W3CDTF">2022-09-05T07:03:00Z</dcterms:modified>
</cp:coreProperties>
</file>