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93FC90" w14:textId="3D23AABF" w:rsidR="00035661" w:rsidRPr="00C13D3D" w:rsidRDefault="00035661" w:rsidP="00035661">
      <w:pPr>
        <w:shd w:val="clear" w:color="auto" w:fill="000000"/>
        <w:jc w:val="center"/>
        <w:rPr>
          <w:rFonts w:ascii="Cambria" w:eastAsia="Cambria" w:hAnsi="Cambria" w:cs="Times New Roman"/>
          <w:color w:val="FFFFFF"/>
        </w:rPr>
      </w:pPr>
      <w:proofErr w:type="spellStart"/>
      <w:r w:rsidRPr="00C13D3D">
        <w:rPr>
          <w:rFonts w:ascii="Cambria" w:eastAsia="Cambria" w:hAnsi="Cambria" w:cs="Times New Roman"/>
          <w:color w:val="FFFFFF"/>
        </w:rPr>
        <w:t>Charltons</w:t>
      </w:r>
      <w:proofErr w:type="spellEnd"/>
      <w:r w:rsidRPr="00C13D3D">
        <w:rPr>
          <w:rFonts w:ascii="Cambria" w:eastAsia="Cambria" w:hAnsi="Cambria" w:cs="Times New Roman"/>
          <w:color w:val="FFFFFF"/>
        </w:rPr>
        <w:t xml:space="preserve"> - Hong Kong Law - </w:t>
      </w:r>
      <w:r>
        <w:rPr>
          <w:rFonts w:ascii="Cambria" w:eastAsia="Cambria" w:hAnsi="Cambria" w:cs="Times New Roman"/>
          <w:color w:val="FFFFFF"/>
        </w:rPr>
        <w:t>23</w:t>
      </w:r>
      <w:r w:rsidRPr="00C13D3D">
        <w:rPr>
          <w:rFonts w:ascii="Cambria" w:eastAsia="Cambria" w:hAnsi="Cambria" w:cs="Times New Roman"/>
          <w:color w:val="FFFFFF"/>
        </w:rPr>
        <w:t xml:space="preserve"> June 2022</w:t>
      </w:r>
    </w:p>
    <w:p w14:paraId="0CB4364E" w14:textId="4064FB36" w:rsidR="00035661" w:rsidRPr="00035661" w:rsidRDefault="00141E20" w:rsidP="00035661">
      <w:pPr>
        <w:jc w:val="center"/>
        <w:rPr>
          <w:rFonts w:ascii="Cambria" w:eastAsia="Cambria" w:hAnsi="Cambria" w:cs="Times New Roman"/>
          <w:sz w:val="28"/>
          <w:u w:val="single"/>
        </w:rPr>
      </w:pPr>
      <w:hyperlink r:id="rId8" w:history="1">
        <w:r w:rsidR="00035661" w:rsidRPr="00E27F77">
          <w:rPr>
            <w:rStyle w:val="af"/>
            <w:rFonts w:ascii="Cambria" w:eastAsia="Cambria" w:hAnsi="Cambria" w:cs="Times New Roman"/>
            <w:sz w:val="28"/>
          </w:rPr>
          <w:t>online version</w:t>
        </w:r>
      </w:hyperlink>
    </w:p>
    <w:p w14:paraId="6612B9D7" w14:textId="21170F57" w:rsidR="000329F5" w:rsidRPr="00771927" w:rsidRDefault="00C91FA2" w:rsidP="00771927">
      <w:pPr>
        <w:pStyle w:val="a8"/>
        <w:jc w:val="center"/>
        <w:rPr>
          <w:rFonts w:asciiTheme="minorHAnsi" w:eastAsiaTheme="minorHAnsi" w:hAnsiTheme="minorHAnsi" w:cstheme="minorBidi"/>
          <w:bCs w:val="0"/>
          <w:color w:val="FF0000"/>
          <w:sz w:val="28"/>
          <w:szCs w:val="28"/>
          <w:lang w:val="en-GB"/>
        </w:rPr>
      </w:pPr>
      <w:r w:rsidRPr="00771927">
        <w:rPr>
          <w:rFonts w:asciiTheme="minorHAnsi" w:eastAsiaTheme="minorHAnsi" w:hAnsiTheme="minorHAnsi" w:cstheme="minorBidi"/>
          <w:bCs w:val="0"/>
          <w:color w:val="FF0000"/>
          <w:sz w:val="28"/>
          <w:szCs w:val="28"/>
          <w:lang w:val="en-GB"/>
        </w:rPr>
        <w:t xml:space="preserve">SFC </w:t>
      </w:r>
      <w:r w:rsidR="003919D3" w:rsidRPr="00771927">
        <w:rPr>
          <w:rFonts w:asciiTheme="minorHAnsi" w:eastAsiaTheme="minorHAnsi" w:hAnsiTheme="minorHAnsi" w:cstheme="minorBidi"/>
          <w:bCs w:val="0"/>
          <w:color w:val="FF0000"/>
          <w:sz w:val="28"/>
          <w:szCs w:val="28"/>
          <w:lang w:val="en-GB"/>
        </w:rPr>
        <w:t xml:space="preserve">and </w:t>
      </w:r>
      <w:proofErr w:type="spellStart"/>
      <w:r w:rsidR="003919D3" w:rsidRPr="00771927">
        <w:rPr>
          <w:rFonts w:asciiTheme="minorHAnsi" w:eastAsiaTheme="minorHAnsi" w:hAnsiTheme="minorHAnsi" w:cstheme="minorBidi"/>
          <w:bCs w:val="0"/>
          <w:color w:val="FF0000"/>
          <w:sz w:val="28"/>
          <w:szCs w:val="28"/>
          <w:lang w:val="en-GB"/>
        </w:rPr>
        <w:t>HKEx</w:t>
      </w:r>
      <w:proofErr w:type="spellEnd"/>
      <w:r w:rsidR="003919D3" w:rsidRPr="00771927">
        <w:rPr>
          <w:rFonts w:asciiTheme="minorHAnsi" w:eastAsiaTheme="minorHAnsi" w:hAnsiTheme="minorHAnsi" w:cstheme="minorBidi"/>
          <w:bCs w:val="0"/>
          <w:color w:val="FF0000"/>
          <w:sz w:val="28"/>
          <w:szCs w:val="28"/>
          <w:lang w:val="en-GB"/>
        </w:rPr>
        <w:t xml:space="preserve"> </w:t>
      </w:r>
      <w:r w:rsidRPr="00771927">
        <w:rPr>
          <w:rFonts w:asciiTheme="minorHAnsi" w:eastAsiaTheme="minorHAnsi" w:hAnsiTheme="minorHAnsi" w:cstheme="minorBidi"/>
          <w:bCs w:val="0"/>
          <w:color w:val="FF0000"/>
          <w:sz w:val="28"/>
          <w:szCs w:val="28"/>
          <w:lang w:val="en-GB"/>
        </w:rPr>
        <w:t xml:space="preserve">Disciplinary Actions </w:t>
      </w:r>
      <w:r w:rsidR="003919D3" w:rsidRPr="00771927">
        <w:rPr>
          <w:rFonts w:asciiTheme="minorHAnsi" w:eastAsiaTheme="minorHAnsi" w:hAnsiTheme="minorHAnsi" w:cstheme="minorBidi"/>
          <w:bCs w:val="0"/>
          <w:color w:val="FF0000"/>
          <w:sz w:val="28"/>
          <w:szCs w:val="28"/>
          <w:lang w:val="en-GB"/>
        </w:rPr>
        <w:t>in</w:t>
      </w:r>
      <w:r w:rsidR="00743B03" w:rsidRPr="00771927">
        <w:rPr>
          <w:rFonts w:asciiTheme="minorHAnsi" w:eastAsiaTheme="minorHAnsi" w:hAnsiTheme="minorHAnsi" w:cstheme="minorBidi"/>
          <w:bCs w:val="0"/>
          <w:color w:val="FF0000"/>
          <w:sz w:val="28"/>
          <w:szCs w:val="28"/>
          <w:lang w:val="en-GB"/>
        </w:rPr>
        <w:t xml:space="preserve"> </w:t>
      </w:r>
      <w:r w:rsidR="00FF16B9" w:rsidRPr="00771927">
        <w:rPr>
          <w:rFonts w:asciiTheme="minorHAnsi" w:eastAsiaTheme="minorHAnsi" w:hAnsiTheme="minorHAnsi" w:cstheme="minorBidi"/>
          <w:bCs w:val="0"/>
          <w:color w:val="FF0000"/>
          <w:sz w:val="28"/>
          <w:szCs w:val="28"/>
          <w:lang w:val="en-GB"/>
        </w:rPr>
        <w:t>April</w:t>
      </w:r>
      <w:r w:rsidR="00743B03" w:rsidRPr="00771927">
        <w:rPr>
          <w:rFonts w:asciiTheme="minorHAnsi" w:eastAsiaTheme="minorHAnsi" w:hAnsiTheme="minorHAnsi" w:cstheme="minorBidi"/>
          <w:bCs w:val="0"/>
          <w:color w:val="FF0000"/>
          <w:sz w:val="28"/>
          <w:szCs w:val="28"/>
          <w:lang w:val="en-GB"/>
        </w:rPr>
        <w:t xml:space="preserve"> 2022</w:t>
      </w:r>
    </w:p>
    <w:p w14:paraId="77705554" w14:textId="77777777" w:rsidR="007F553B" w:rsidRPr="00771927" w:rsidRDefault="006D2FF5" w:rsidP="00771927">
      <w:pPr>
        <w:pStyle w:val="FirstParagraph"/>
        <w:rPr>
          <w:b/>
          <w:color w:val="FF0000"/>
          <w:lang w:val="en-GB"/>
        </w:rPr>
      </w:pPr>
      <w:r>
        <w:rPr>
          <w:lang w:val="en-GB"/>
        </w:rPr>
        <w:t xml:space="preserve">The </w:t>
      </w:r>
      <w:r w:rsidR="00D310B9">
        <w:rPr>
          <w:lang w:val="en-GB"/>
        </w:rPr>
        <w:t xml:space="preserve">Hong Kong </w:t>
      </w:r>
      <w:r>
        <w:rPr>
          <w:lang w:val="en-GB"/>
        </w:rPr>
        <w:t>regulatory enforcement actions concluded i</w:t>
      </w:r>
      <w:r w:rsidR="00F40CF6">
        <w:rPr>
          <w:lang w:val="en-GB"/>
        </w:rPr>
        <w:t xml:space="preserve">n </w:t>
      </w:r>
      <w:r w:rsidR="00F40CF6" w:rsidRPr="00A9499E">
        <w:rPr>
          <w:lang w:val="en-GB"/>
        </w:rPr>
        <w:t>April 2022</w:t>
      </w:r>
      <w:r>
        <w:rPr>
          <w:lang w:val="en-GB"/>
        </w:rPr>
        <w:t xml:space="preserve"> includ</w:t>
      </w:r>
      <w:r w:rsidR="00DE344B">
        <w:rPr>
          <w:lang w:val="en-GB"/>
        </w:rPr>
        <w:t>ed the Takeovers Executive’s</w:t>
      </w:r>
      <w:r>
        <w:rPr>
          <w:lang w:val="en-GB"/>
        </w:rPr>
        <w:t xml:space="preserve"> public criticism</w:t>
      </w:r>
      <w:r w:rsidR="007F553B">
        <w:rPr>
          <w:lang w:val="en-GB"/>
        </w:rPr>
        <w:t xml:space="preserve"> of</w:t>
      </w:r>
      <w:r>
        <w:rPr>
          <w:lang w:val="en-GB"/>
        </w:rPr>
        <w:t xml:space="preserve"> two former directors </w:t>
      </w:r>
      <w:r w:rsidR="007F553B">
        <w:rPr>
          <w:lang w:val="en-GB"/>
        </w:rPr>
        <w:t xml:space="preserve">for </w:t>
      </w:r>
      <w:r w:rsidR="00BF1B5A">
        <w:rPr>
          <w:lang w:val="en-GB"/>
        </w:rPr>
        <w:t xml:space="preserve">breach of the </w:t>
      </w:r>
      <w:r w:rsidR="00562F0F">
        <w:rPr>
          <w:lang w:val="en-GB"/>
        </w:rPr>
        <w:t xml:space="preserve">SFC Takeovers Code’s </w:t>
      </w:r>
      <w:r w:rsidR="00BF1B5A">
        <w:rPr>
          <w:lang w:val="en-GB"/>
        </w:rPr>
        <w:t>n</w:t>
      </w:r>
      <w:r w:rsidR="00DE344B">
        <w:rPr>
          <w:lang w:val="en-GB"/>
        </w:rPr>
        <w:t>o</w:t>
      </w:r>
      <w:r w:rsidR="00BF1B5A">
        <w:rPr>
          <w:lang w:val="en-GB"/>
        </w:rPr>
        <w:t xml:space="preserve"> </w:t>
      </w:r>
      <w:r w:rsidR="007F553B">
        <w:rPr>
          <w:lang w:val="en-GB"/>
        </w:rPr>
        <w:t>frustrating action</w:t>
      </w:r>
      <w:r w:rsidR="00BF1B5A">
        <w:rPr>
          <w:lang w:val="en-GB"/>
        </w:rPr>
        <w:t>s</w:t>
      </w:r>
      <w:r w:rsidR="00DE344B">
        <w:rPr>
          <w:lang w:val="en-GB"/>
        </w:rPr>
        <w:t xml:space="preserve"> rule</w:t>
      </w:r>
      <w:r w:rsidR="007F553B">
        <w:rPr>
          <w:lang w:val="en-GB"/>
        </w:rPr>
        <w:t>.</w:t>
      </w:r>
      <w:r>
        <w:rPr>
          <w:lang w:val="en-GB"/>
        </w:rPr>
        <w:t xml:space="preserve"> </w:t>
      </w:r>
      <w:r w:rsidR="00A31617">
        <w:rPr>
          <w:lang w:val="en-GB"/>
        </w:rPr>
        <w:t>In a separate action, t</w:t>
      </w:r>
      <w:r w:rsidR="007F553B">
        <w:rPr>
          <w:lang w:val="en-GB"/>
        </w:rPr>
        <w:t>h</w:t>
      </w:r>
      <w:r w:rsidR="00A31617">
        <w:rPr>
          <w:lang w:val="en-GB"/>
        </w:rPr>
        <w:t xml:space="preserve">e SFC </w:t>
      </w:r>
      <w:r w:rsidR="007F553B">
        <w:rPr>
          <w:lang w:val="en-GB"/>
        </w:rPr>
        <w:t>banned</w:t>
      </w:r>
      <w:r w:rsidR="007F553B" w:rsidRPr="003C425B">
        <w:rPr>
          <w:lang w:val="en-GB"/>
        </w:rPr>
        <w:t xml:space="preserve"> </w:t>
      </w:r>
      <w:r w:rsidR="007F553B">
        <w:rPr>
          <w:lang w:val="en-GB"/>
        </w:rPr>
        <w:t xml:space="preserve">a licensed representative </w:t>
      </w:r>
      <w:r w:rsidR="007F553B" w:rsidRPr="003C425B">
        <w:rPr>
          <w:lang w:val="en-GB"/>
        </w:rPr>
        <w:t xml:space="preserve">for 20 months for </w:t>
      </w:r>
      <w:r w:rsidR="00BF1B5A">
        <w:rPr>
          <w:lang w:val="en-GB"/>
        </w:rPr>
        <w:t>trades conducted</w:t>
      </w:r>
      <w:r w:rsidR="007F553B">
        <w:rPr>
          <w:lang w:val="en-GB"/>
        </w:rPr>
        <w:t xml:space="preserve"> </w:t>
      </w:r>
      <w:r w:rsidR="00BF1B5A">
        <w:rPr>
          <w:lang w:val="en-GB"/>
        </w:rPr>
        <w:t>without client</w:t>
      </w:r>
      <w:r w:rsidR="00A31617">
        <w:rPr>
          <w:lang w:val="en-GB"/>
        </w:rPr>
        <w:t xml:space="preserve"> authorisation and </w:t>
      </w:r>
      <w:r w:rsidR="00BF1B5A">
        <w:rPr>
          <w:lang w:val="en-GB"/>
        </w:rPr>
        <w:t>non-</w:t>
      </w:r>
      <w:r w:rsidR="001920C8">
        <w:rPr>
          <w:lang w:val="en-GB"/>
        </w:rPr>
        <w:t>compliance</w:t>
      </w:r>
      <w:r w:rsidR="00BF1B5A">
        <w:rPr>
          <w:lang w:val="en-GB"/>
        </w:rPr>
        <w:t xml:space="preserve"> with client account </w:t>
      </w:r>
      <w:r w:rsidR="007F553B" w:rsidRPr="003C425B">
        <w:rPr>
          <w:lang w:val="en-GB"/>
        </w:rPr>
        <w:t>opening</w:t>
      </w:r>
      <w:r w:rsidR="00BF1B5A">
        <w:rPr>
          <w:lang w:val="en-GB"/>
        </w:rPr>
        <w:t xml:space="preserve"> requirements</w:t>
      </w:r>
      <w:r w:rsidR="007F553B" w:rsidRPr="003C425B">
        <w:rPr>
          <w:lang w:val="en-GB"/>
        </w:rPr>
        <w:t>.</w:t>
      </w:r>
      <w:r w:rsidR="007F553B">
        <w:rPr>
          <w:lang w:val="en-GB"/>
        </w:rPr>
        <w:t xml:space="preserve"> </w:t>
      </w:r>
    </w:p>
    <w:p w14:paraId="2B866AC2" w14:textId="77777777" w:rsidR="00F40CF6" w:rsidRDefault="007F553B" w:rsidP="00771927">
      <w:pPr>
        <w:pStyle w:val="FirstParagraph"/>
        <w:rPr>
          <w:b/>
          <w:color w:val="FF0000"/>
          <w:lang w:val="en-GB"/>
        </w:rPr>
      </w:pPr>
      <w:r>
        <w:rPr>
          <w:lang w:val="en-GB"/>
        </w:rPr>
        <w:t>T</w:t>
      </w:r>
      <w:r w:rsidR="00C91FA2" w:rsidRPr="003C425B">
        <w:rPr>
          <w:lang w:val="en-GB"/>
        </w:rPr>
        <w:t xml:space="preserve">he Stock Exchange of Hong Kong </w:t>
      </w:r>
      <w:r w:rsidR="00C4250A" w:rsidRPr="003C425B">
        <w:rPr>
          <w:lang w:val="en-GB"/>
        </w:rPr>
        <w:t xml:space="preserve">Limited </w:t>
      </w:r>
      <w:r w:rsidR="00C91FA2" w:rsidRPr="003C425B">
        <w:rPr>
          <w:lang w:val="en-GB"/>
        </w:rPr>
        <w:t>(</w:t>
      </w:r>
      <w:r w:rsidR="00F40CF6">
        <w:rPr>
          <w:lang w:val="en-GB"/>
        </w:rPr>
        <w:t xml:space="preserve">the </w:t>
      </w:r>
      <w:proofErr w:type="spellStart"/>
      <w:r w:rsidR="00C91FA2" w:rsidRPr="003C425B">
        <w:rPr>
          <w:b/>
          <w:lang w:val="en-GB"/>
        </w:rPr>
        <w:t>HKEx</w:t>
      </w:r>
      <w:proofErr w:type="spellEnd"/>
      <w:r w:rsidR="00C91FA2" w:rsidRPr="003C425B">
        <w:rPr>
          <w:lang w:val="en-GB"/>
        </w:rPr>
        <w:t>)</w:t>
      </w:r>
      <w:r w:rsidR="00BA21E5">
        <w:rPr>
          <w:lang w:val="en-GB"/>
        </w:rPr>
        <w:t xml:space="preserve"> </w:t>
      </w:r>
      <w:r w:rsidR="00F40CF6">
        <w:rPr>
          <w:lang w:val="en-GB"/>
        </w:rPr>
        <w:t>disciplin</w:t>
      </w:r>
      <w:r w:rsidR="00BA21E5">
        <w:rPr>
          <w:lang w:val="en-GB"/>
        </w:rPr>
        <w:t>ed</w:t>
      </w:r>
      <w:r w:rsidR="00CC7585">
        <w:rPr>
          <w:lang w:val="en-GB"/>
        </w:rPr>
        <w:t xml:space="preserve"> </w:t>
      </w:r>
      <w:proofErr w:type="spellStart"/>
      <w:r w:rsidR="006C5F59" w:rsidRPr="003C425B">
        <w:rPr>
          <w:lang w:val="en-GB"/>
        </w:rPr>
        <w:t>Hsin</w:t>
      </w:r>
      <w:proofErr w:type="spellEnd"/>
      <w:r w:rsidR="006C5F59" w:rsidRPr="003C425B">
        <w:rPr>
          <w:lang w:val="en-GB"/>
        </w:rPr>
        <w:t xml:space="preserve"> Chong Group Holdings Limited </w:t>
      </w:r>
      <w:r w:rsidR="00AA4182">
        <w:rPr>
          <w:lang w:val="en-GB"/>
        </w:rPr>
        <w:t>(</w:t>
      </w:r>
      <w:proofErr w:type="spellStart"/>
      <w:r w:rsidR="00AA4182" w:rsidRPr="00470726">
        <w:rPr>
          <w:b/>
          <w:lang w:val="en-GB"/>
        </w:rPr>
        <w:t>H</w:t>
      </w:r>
      <w:r w:rsidR="00AA4182">
        <w:rPr>
          <w:b/>
          <w:lang w:val="en-GB"/>
        </w:rPr>
        <w:t>s</w:t>
      </w:r>
      <w:r w:rsidR="00AA4182" w:rsidRPr="00470726">
        <w:rPr>
          <w:b/>
          <w:lang w:val="en-GB"/>
        </w:rPr>
        <w:t>in</w:t>
      </w:r>
      <w:proofErr w:type="spellEnd"/>
      <w:r w:rsidR="00AA4182" w:rsidRPr="00470726">
        <w:rPr>
          <w:b/>
          <w:lang w:val="en-GB"/>
        </w:rPr>
        <w:t xml:space="preserve"> Chong</w:t>
      </w:r>
      <w:r w:rsidR="00AA4182">
        <w:rPr>
          <w:lang w:val="en-GB"/>
        </w:rPr>
        <w:t xml:space="preserve">) </w:t>
      </w:r>
      <w:r w:rsidR="006C5F59" w:rsidRPr="003C425B">
        <w:rPr>
          <w:lang w:val="en-GB"/>
        </w:rPr>
        <w:t xml:space="preserve">and </w:t>
      </w:r>
      <w:r w:rsidR="002E5216" w:rsidRPr="003C425B">
        <w:rPr>
          <w:lang w:val="en-GB"/>
        </w:rPr>
        <w:t xml:space="preserve">seven of </w:t>
      </w:r>
      <w:r w:rsidR="006C5F59" w:rsidRPr="003C425B">
        <w:rPr>
          <w:lang w:val="en-GB"/>
        </w:rPr>
        <w:t>its former directors</w:t>
      </w:r>
      <w:r w:rsidR="00BA21E5">
        <w:rPr>
          <w:lang w:val="en-GB"/>
        </w:rPr>
        <w:t xml:space="preserve"> </w:t>
      </w:r>
      <w:r w:rsidR="00AA4182">
        <w:rPr>
          <w:lang w:val="en-GB"/>
        </w:rPr>
        <w:t xml:space="preserve">in relation to agreements entered into between the company and related companies of an executive director of </w:t>
      </w:r>
      <w:proofErr w:type="spellStart"/>
      <w:r w:rsidR="00AA4182">
        <w:rPr>
          <w:lang w:val="en-GB"/>
        </w:rPr>
        <w:t>Hsin</w:t>
      </w:r>
      <w:proofErr w:type="spellEnd"/>
      <w:r w:rsidR="00AA4182">
        <w:rPr>
          <w:lang w:val="en-GB"/>
        </w:rPr>
        <w:t xml:space="preserve"> Chong. </w:t>
      </w:r>
    </w:p>
    <w:p w14:paraId="5EBA560A" w14:textId="2AA67026" w:rsidR="000562E9" w:rsidRPr="009D6AAE" w:rsidRDefault="00932251" w:rsidP="000562E9">
      <w:pPr>
        <w:pStyle w:val="a5"/>
        <w:rPr>
          <w:b/>
          <w:color w:val="FF0000"/>
          <w:lang w:val="en-GB"/>
        </w:rPr>
      </w:pPr>
      <w:r>
        <w:rPr>
          <w:b/>
          <w:color w:val="FF0000"/>
          <w:lang w:val="en-GB"/>
        </w:rPr>
        <w:t xml:space="preserve">Directors </w:t>
      </w:r>
      <w:r w:rsidR="001920C8">
        <w:rPr>
          <w:b/>
          <w:color w:val="FF0000"/>
          <w:lang w:val="en-GB"/>
        </w:rPr>
        <w:t>Public Criticism of Directors</w:t>
      </w:r>
      <w:r>
        <w:rPr>
          <w:b/>
          <w:color w:val="FF0000"/>
          <w:lang w:val="en-GB"/>
        </w:rPr>
        <w:t xml:space="preserve"> for B</w:t>
      </w:r>
      <w:r w:rsidR="00BC7B69">
        <w:rPr>
          <w:b/>
          <w:color w:val="FF0000"/>
        </w:rPr>
        <w:t>r</w:t>
      </w:r>
      <w:r>
        <w:rPr>
          <w:b/>
          <w:color w:val="FF0000"/>
          <w:lang w:val="en-GB"/>
        </w:rPr>
        <w:t xml:space="preserve">each of the </w:t>
      </w:r>
      <w:r w:rsidR="001920C8">
        <w:rPr>
          <w:b/>
          <w:color w:val="FF0000"/>
          <w:lang w:val="en-GB"/>
        </w:rPr>
        <w:t xml:space="preserve">SFC </w:t>
      </w:r>
      <w:r>
        <w:rPr>
          <w:b/>
          <w:color w:val="FF0000"/>
          <w:lang w:val="en-GB"/>
        </w:rPr>
        <w:t xml:space="preserve">Takeovers Code’s No Frustrating Action </w:t>
      </w:r>
      <w:r w:rsidR="001920C8">
        <w:rPr>
          <w:b/>
          <w:color w:val="FF0000"/>
          <w:lang w:val="en-GB"/>
        </w:rPr>
        <w:t>Rule</w:t>
      </w:r>
      <w:r>
        <w:rPr>
          <w:b/>
          <w:color w:val="FF0000"/>
          <w:lang w:val="en-GB"/>
        </w:rPr>
        <w:t xml:space="preserve"> </w:t>
      </w:r>
      <w:r w:rsidR="001920C8">
        <w:rPr>
          <w:b/>
          <w:color w:val="FF0000"/>
          <w:lang w:val="en-GB"/>
        </w:rPr>
        <w:t>4</w:t>
      </w:r>
    </w:p>
    <w:p w14:paraId="2D839500" w14:textId="77777777" w:rsidR="00771927" w:rsidRDefault="00932251" w:rsidP="00771927">
      <w:pPr>
        <w:pStyle w:val="a5"/>
        <w:rPr>
          <w:lang w:val="en-GB"/>
        </w:rPr>
        <w:sectPr w:rsidR="00771927" w:rsidSect="00771927">
          <w:footnotePr>
            <w:numStart w:val="2"/>
          </w:footnotePr>
          <w:type w:val="continuous"/>
          <w:pgSz w:w="11906" w:h="16838"/>
          <w:pgMar w:top="864" w:right="864" w:bottom="864" w:left="864" w:header="0" w:footer="0" w:gutter="0"/>
          <w:cols w:space="720"/>
          <w:formProt w:val="0"/>
          <w:docGrid w:linePitch="240" w:charSpace="-6145"/>
        </w:sectPr>
      </w:pPr>
      <w:r>
        <w:rPr>
          <w:lang w:val="en-GB"/>
        </w:rPr>
        <w:t>T</w:t>
      </w:r>
      <w:r w:rsidR="007F4554">
        <w:rPr>
          <w:lang w:val="en-GB"/>
        </w:rPr>
        <w:t>he</w:t>
      </w:r>
      <w:r w:rsidR="00D73458">
        <w:rPr>
          <w:lang w:val="en-GB"/>
        </w:rPr>
        <w:t xml:space="preserve"> Takeovers Executive of the</w:t>
      </w:r>
      <w:r w:rsidR="007F4554">
        <w:rPr>
          <w:lang w:val="en-GB"/>
        </w:rPr>
        <w:t xml:space="preserve"> </w:t>
      </w:r>
      <w:r w:rsidR="007F4554" w:rsidRPr="00771927">
        <w:rPr>
          <w:lang w:val="en-GB"/>
        </w:rPr>
        <w:t>SFC</w:t>
      </w:r>
      <w:r w:rsidR="007F4554">
        <w:rPr>
          <w:lang w:val="en-GB"/>
        </w:rPr>
        <w:t xml:space="preserve"> </w:t>
      </w:r>
      <w:r>
        <w:rPr>
          <w:lang w:val="en-GB"/>
        </w:rPr>
        <w:t xml:space="preserve">has </w:t>
      </w:r>
      <w:r w:rsidR="007F4554">
        <w:rPr>
          <w:lang w:val="en-GB"/>
        </w:rPr>
        <w:t>publicly criticised</w:t>
      </w:r>
      <w:r w:rsidR="00D73458">
        <w:rPr>
          <w:lang w:val="en-GB"/>
        </w:rPr>
        <w:t xml:space="preserve"> </w:t>
      </w:r>
      <w:r>
        <w:rPr>
          <w:lang w:val="en-GB"/>
        </w:rPr>
        <w:t xml:space="preserve">two directors, </w:t>
      </w:r>
      <w:r w:rsidR="00D73458">
        <w:rPr>
          <w:lang w:val="en-GB"/>
        </w:rPr>
        <w:t>Mr</w:t>
      </w:r>
      <w:r w:rsidR="007F4554">
        <w:rPr>
          <w:lang w:val="en-GB"/>
        </w:rPr>
        <w:t xml:space="preserve"> </w:t>
      </w:r>
      <w:r w:rsidR="007F4554" w:rsidRPr="007F4554">
        <w:rPr>
          <w:lang w:val="en-GB"/>
        </w:rPr>
        <w:t xml:space="preserve">Gao </w:t>
      </w:r>
      <w:proofErr w:type="spellStart"/>
      <w:r w:rsidR="007F4554" w:rsidRPr="007F4554">
        <w:rPr>
          <w:lang w:val="en-GB"/>
        </w:rPr>
        <w:t>Yunhong</w:t>
      </w:r>
      <w:proofErr w:type="spellEnd"/>
      <w:r w:rsidR="007F4554" w:rsidRPr="007F4554">
        <w:rPr>
          <w:lang w:val="en-GB"/>
        </w:rPr>
        <w:t xml:space="preserve"> </w:t>
      </w:r>
      <w:r w:rsidR="00A94B20">
        <w:rPr>
          <w:lang w:val="en-GB"/>
        </w:rPr>
        <w:t>(</w:t>
      </w:r>
      <w:r w:rsidR="00A94B20" w:rsidRPr="00A94B20">
        <w:rPr>
          <w:b/>
          <w:lang w:val="en-GB"/>
        </w:rPr>
        <w:t>Mr Gao</w:t>
      </w:r>
      <w:r w:rsidR="00A94B20">
        <w:rPr>
          <w:lang w:val="en-GB"/>
        </w:rPr>
        <w:t xml:space="preserve">) </w:t>
      </w:r>
      <w:r w:rsidR="007F4554" w:rsidRPr="007F4554">
        <w:rPr>
          <w:lang w:val="en-GB"/>
        </w:rPr>
        <w:t xml:space="preserve">and </w:t>
      </w:r>
      <w:r w:rsidR="00D73458">
        <w:rPr>
          <w:lang w:val="en-GB"/>
        </w:rPr>
        <w:t xml:space="preserve">Ms </w:t>
      </w:r>
      <w:r w:rsidR="007F4554" w:rsidRPr="007F4554">
        <w:rPr>
          <w:lang w:val="en-GB"/>
        </w:rPr>
        <w:t xml:space="preserve">Feng </w:t>
      </w:r>
      <w:proofErr w:type="spellStart"/>
      <w:r w:rsidR="007F4554" w:rsidRPr="007F4554">
        <w:rPr>
          <w:lang w:val="en-GB"/>
        </w:rPr>
        <w:t>Xuelian</w:t>
      </w:r>
      <w:proofErr w:type="spellEnd"/>
      <w:r w:rsidR="007F4554">
        <w:rPr>
          <w:lang w:val="en-GB"/>
        </w:rPr>
        <w:t xml:space="preserve"> </w:t>
      </w:r>
      <w:r w:rsidR="00A94B20">
        <w:rPr>
          <w:lang w:val="en-GB"/>
        </w:rPr>
        <w:t>(</w:t>
      </w:r>
      <w:r w:rsidR="00A94B20" w:rsidRPr="00A94B20">
        <w:rPr>
          <w:b/>
          <w:lang w:val="en-GB"/>
        </w:rPr>
        <w:t>Ms Feng</w:t>
      </w:r>
      <w:r w:rsidR="00A94B20">
        <w:rPr>
          <w:lang w:val="en-GB"/>
        </w:rPr>
        <w:t xml:space="preserve">) </w:t>
      </w:r>
      <w:r>
        <w:rPr>
          <w:lang w:val="en-GB"/>
        </w:rPr>
        <w:t xml:space="preserve">for </w:t>
      </w:r>
      <w:r w:rsidR="00D73458">
        <w:rPr>
          <w:lang w:val="en-GB"/>
        </w:rPr>
        <w:t>dispos</w:t>
      </w:r>
      <w:r>
        <w:rPr>
          <w:lang w:val="en-GB"/>
        </w:rPr>
        <w:t>ing</w:t>
      </w:r>
      <w:r w:rsidR="00D73458">
        <w:rPr>
          <w:lang w:val="en-GB"/>
        </w:rPr>
        <w:t xml:space="preserve"> of</w:t>
      </w:r>
      <w:r w:rsidR="00780E0D">
        <w:rPr>
          <w:lang w:val="en-GB"/>
        </w:rPr>
        <w:t xml:space="preserve"> material assets of Steering Holdings Limited (</w:t>
      </w:r>
      <w:r w:rsidR="00780E0D" w:rsidRPr="00780E0D">
        <w:rPr>
          <w:b/>
          <w:lang w:val="en-GB"/>
        </w:rPr>
        <w:t>Steering</w:t>
      </w:r>
      <w:r w:rsidR="00780E0D">
        <w:rPr>
          <w:lang w:val="en-GB"/>
        </w:rPr>
        <w:t xml:space="preserve">) </w:t>
      </w:r>
      <w:r w:rsidR="000B7F88">
        <w:rPr>
          <w:lang w:val="en-GB"/>
        </w:rPr>
        <w:t>during an offer period</w:t>
      </w:r>
      <w:r w:rsidR="00DD28CE">
        <w:rPr>
          <w:lang w:val="en-GB"/>
        </w:rPr>
        <w:t xml:space="preserve"> in respect of the company</w:t>
      </w:r>
      <w:r w:rsidR="00D73458">
        <w:rPr>
          <w:lang w:val="en-GB"/>
        </w:rPr>
        <w:t>,</w:t>
      </w:r>
      <w:r w:rsidR="000B7F88">
        <w:rPr>
          <w:lang w:val="en-GB"/>
        </w:rPr>
        <w:t xml:space="preserve"> </w:t>
      </w:r>
      <w:r w:rsidR="00D73458">
        <w:rPr>
          <w:lang w:val="en-GB"/>
        </w:rPr>
        <w:t xml:space="preserve">in breach of </w:t>
      </w:r>
      <w:r w:rsidR="002D7BE3">
        <w:rPr>
          <w:lang w:val="en-GB"/>
        </w:rPr>
        <w:t>Rule 4</w:t>
      </w:r>
      <w:r w:rsidR="00D73458">
        <w:rPr>
          <w:lang w:val="en-GB"/>
        </w:rPr>
        <w:t xml:space="preserve"> </w:t>
      </w:r>
      <w:r w:rsidR="006D1B7D">
        <w:rPr>
          <w:lang w:val="en-GB"/>
        </w:rPr>
        <w:t xml:space="preserve">of the </w:t>
      </w:r>
      <w:r w:rsidR="00562F0F">
        <w:rPr>
          <w:lang w:val="en-GB"/>
        </w:rPr>
        <w:t xml:space="preserve">SFC’s </w:t>
      </w:r>
      <w:hyperlink r:id="rId9" w:history="1">
        <w:r w:rsidR="00562F0F" w:rsidRPr="00B977B0">
          <w:rPr>
            <w:rStyle w:val="af"/>
            <w:lang w:val="en-GB"/>
          </w:rPr>
          <w:t>Code on Takeovers and Mergers</w:t>
        </w:r>
      </w:hyperlink>
      <w:r w:rsidR="00562F0F">
        <w:rPr>
          <w:lang w:val="en-GB"/>
        </w:rPr>
        <w:t xml:space="preserve"> (the </w:t>
      </w:r>
      <w:r w:rsidR="00562F0F" w:rsidRPr="00771927">
        <w:rPr>
          <w:b/>
          <w:lang w:val="en-GB"/>
        </w:rPr>
        <w:t>SFC</w:t>
      </w:r>
      <w:r w:rsidR="00562F0F">
        <w:rPr>
          <w:lang w:val="en-GB"/>
        </w:rPr>
        <w:t xml:space="preserve"> </w:t>
      </w:r>
      <w:r w:rsidR="00562F0F" w:rsidRPr="002D7BE3">
        <w:rPr>
          <w:b/>
          <w:lang w:val="en-GB"/>
        </w:rPr>
        <w:t>Takeovers Code</w:t>
      </w:r>
      <w:r w:rsidR="00562F0F">
        <w:rPr>
          <w:lang w:val="en-GB"/>
        </w:rPr>
        <w:t>)</w:t>
      </w:r>
      <w:r w:rsidR="006D1B7D">
        <w:rPr>
          <w:lang w:val="en-GB"/>
        </w:rPr>
        <w:t xml:space="preserve"> </w:t>
      </w:r>
      <w:r w:rsidR="00DD28CE">
        <w:rPr>
          <w:lang w:val="en-GB"/>
        </w:rPr>
        <w:t xml:space="preserve">- </w:t>
      </w:r>
      <w:r w:rsidR="008828FB">
        <w:rPr>
          <w:lang w:val="en-GB"/>
        </w:rPr>
        <w:t>the no frustratin</w:t>
      </w:r>
      <w:r w:rsidR="0006760E">
        <w:rPr>
          <w:lang w:val="en-GB"/>
        </w:rPr>
        <w:t>g</w:t>
      </w:r>
      <w:r w:rsidR="008828FB">
        <w:rPr>
          <w:lang w:val="en-GB"/>
        </w:rPr>
        <w:t xml:space="preserve"> action rule</w:t>
      </w:r>
      <w:r w:rsidR="0030765C">
        <w:rPr>
          <w:lang w:val="en-GB"/>
        </w:rPr>
        <w:t>.</w:t>
      </w:r>
      <w:r w:rsidR="003D4680">
        <w:rPr>
          <w:lang w:val="en-GB"/>
        </w:rPr>
        <w:t xml:space="preserve"> The SFC’s Executive Statement</w:t>
      </w:r>
      <w:r w:rsidR="005C2376">
        <w:rPr>
          <w:lang w:val="en-GB"/>
        </w:rPr>
        <w:t xml:space="preserve"> of 7 April 2022</w:t>
      </w:r>
      <w:r w:rsidR="003D4680">
        <w:rPr>
          <w:lang w:val="en-GB"/>
        </w:rPr>
        <w:t xml:space="preserve"> </w:t>
      </w:r>
      <w:r w:rsidR="00D73458">
        <w:rPr>
          <w:lang w:val="en-GB"/>
        </w:rPr>
        <w:t>is available</w:t>
      </w:r>
      <w:r w:rsidR="00D73458" w:rsidDel="00D73458">
        <w:rPr>
          <w:lang w:val="en-GB"/>
        </w:rPr>
        <w:t xml:space="preserve"> </w:t>
      </w:r>
      <w:hyperlink r:id="rId10" w:history="1">
        <w:r w:rsidR="008268D9" w:rsidRPr="008268D9">
          <w:rPr>
            <w:rStyle w:val="af"/>
            <w:i/>
            <w:lang w:val="en-GB"/>
          </w:rPr>
          <w:t>here</w:t>
        </w:r>
      </w:hyperlink>
      <w:r w:rsidR="003D4680">
        <w:rPr>
          <w:lang w:val="en-GB"/>
        </w:rPr>
        <w:t>.</w:t>
      </w:r>
      <w:r w:rsidR="00771927">
        <w:rPr>
          <w:lang w:val="en-GB"/>
        </w:rPr>
        <w:t xml:space="preserve"> </w:t>
      </w:r>
    </w:p>
    <w:p w14:paraId="2BF7F2E6" w14:textId="77777777" w:rsidR="005A02CE" w:rsidRDefault="00A32A57" w:rsidP="002D7BE3">
      <w:pPr>
        <w:jc w:val="both"/>
        <w:rPr>
          <w:lang w:val="en-GB"/>
        </w:rPr>
      </w:pPr>
      <w:r>
        <w:rPr>
          <w:b/>
          <w:lang w:val="en-GB"/>
        </w:rPr>
        <w:t>Frustratin</w:t>
      </w:r>
      <w:r w:rsidR="005C2376">
        <w:rPr>
          <w:b/>
          <w:lang w:val="en-GB"/>
        </w:rPr>
        <w:t>g</w:t>
      </w:r>
      <w:r>
        <w:rPr>
          <w:b/>
          <w:lang w:val="en-GB"/>
        </w:rPr>
        <w:t xml:space="preserve"> </w:t>
      </w:r>
      <w:r w:rsidR="005C2376">
        <w:rPr>
          <w:b/>
          <w:lang w:val="en-GB"/>
        </w:rPr>
        <w:t>Action</w:t>
      </w:r>
      <w:r w:rsidR="003F1B45">
        <w:rPr>
          <w:b/>
          <w:lang w:val="en-GB"/>
        </w:rPr>
        <w:t xml:space="preserve"> in Breach of </w:t>
      </w:r>
      <w:r w:rsidR="00EA3BBA">
        <w:rPr>
          <w:b/>
          <w:lang w:val="en-GB"/>
        </w:rPr>
        <w:t xml:space="preserve">Rule 4 of </w:t>
      </w:r>
      <w:r w:rsidR="003F1B45">
        <w:rPr>
          <w:b/>
          <w:lang w:val="en-GB"/>
        </w:rPr>
        <w:t>the SFC Takeovers Code</w:t>
      </w:r>
    </w:p>
    <w:p w14:paraId="622E297C" w14:textId="77777777" w:rsidR="00CF74E4" w:rsidRDefault="00FC4D64" w:rsidP="007B3557">
      <w:pPr>
        <w:jc w:val="both"/>
        <w:rPr>
          <w:lang w:val="en-GB"/>
        </w:rPr>
      </w:pPr>
      <w:proofErr w:type="spellStart"/>
      <w:r>
        <w:rPr>
          <w:lang w:val="en-GB"/>
        </w:rPr>
        <w:t>Masterveyor</w:t>
      </w:r>
      <w:proofErr w:type="spellEnd"/>
      <w:r>
        <w:rPr>
          <w:lang w:val="en-GB"/>
        </w:rPr>
        <w:t xml:space="preserve"> Holdings Limited (</w:t>
      </w:r>
      <w:r w:rsidR="00BF43E2">
        <w:rPr>
          <w:lang w:val="en-GB"/>
        </w:rPr>
        <w:t xml:space="preserve">the </w:t>
      </w:r>
      <w:r w:rsidRPr="00FC4D64">
        <w:rPr>
          <w:b/>
          <w:lang w:val="en-GB"/>
        </w:rPr>
        <w:t>O</w:t>
      </w:r>
      <w:r w:rsidR="00973950" w:rsidRPr="00FC4D64">
        <w:rPr>
          <w:b/>
          <w:lang w:val="en-GB"/>
        </w:rPr>
        <w:t>fferor</w:t>
      </w:r>
      <w:r>
        <w:rPr>
          <w:lang w:val="en-GB"/>
        </w:rPr>
        <w:t>)</w:t>
      </w:r>
      <w:r w:rsidR="00973950">
        <w:rPr>
          <w:lang w:val="en-GB"/>
        </w:rPr>
        <w:t>, a company wholly-owned by Mr Ng</w:t>
      </w:r>
      <w:r w:rsidR="00107022">
        <w:rPr>
          <w:lang w:val="en-GB"/>
        </w:rPr>
        <w:t>,</w:t>
      </w:r>
      <w:r w:rsidR="00973950">
        <w:rPr>
          <w:lang w:val="en-GB"/>
        </w:rPr>
        <w:t xml:space="preserve"> </w:t>
      </w:r>
      <w:r w:rsidR="00E33720">
        <w:rPr>
          <w:lang w:val="en-GB"/>
        </w:rPr>
        <w:t xml:space="preserve">an executive director of Steering, </w:t>
      </w:r>
      <w:r w:rsidR="00973950">
        <w:rPr>
          <w:lang w:val="en-GB"/>
        </w:rPr>
        <w:t>acqui</w:t>
      </w:r>
      <w:r w:rsidR="00E33720">
        <w:rPr>
          <w:lang w:val="en-GB"/>
        </w:rPr>
        <w:t>red</w:t>
      </w:r>
      <w:r w:rsidR="00973950">
        <w:rPr>
          <w:lang w:val="en-GB"/>
        </w:rPr>
        <w:t xml:space="preserve"> </w:t>
      </w:r>
      <w:r w:rsidR="00DA7978">
        <w:rPr>
          <w:lang w:val="en-GB"/>
        </w:rPr>
        <w:t xml:space="preserve">49% </w:t>
      </w:r>
      <w:r w:rsidR="00E33720">
        <w:rPr>
          <w:lang w:val="en-GB"/>
        </w:rPr>
        <w:t xml:space="preserve">of </w:t>
      </w:r>
      <w:r w:rsidR="00DA7978">
        <w:rPr>
          <w:lang w:val="en-GB"/>
        </w:rPr>
        <w:t>Steering</w:t>
      </w:r>
      <w:r w:rsidR="00E33720">
        <w:rPr>
          <w:lang w:val="en-GB"/>
        </w:rPr>
        <w:t>’s shares</w:t>
      </w:r>
      <w:r w:rsidR="005C2376">
        <w:rPr>
          <w:lang w:val="en-GB"/>
        </w:rPr>
        <w:t xml:space="preserve"> in April 2021</w:t>
      </w:r>
      <w:r w:rsidR="00A665DC">
        <w:rPr>
          <w:lang w:val="en-GB"/>
        </w:rPr>
        <w:t xml:space="preserve"> from CMBC Capital Finance Limited (</w:t>
      </w:r>
      <w:r w:rsidR="00A665DC" w:rsidRPr="00771927">
        <w:rPr>
          <w:b/>
          <w:lang w:val="en-GB"/>
        </w:rPr>
        <w:t>CMBC</w:t>
      </w:r>
      <w:r w:rsidR="00A665DC">
        <w:rPr>
          <w:lang w:val="en-GB"/>
        </w:rPr>
        <w:t>)</w:t>
      </w:r>
      <w:r w:rsidR="00A31617">
        <w:rPr>
          <w:lang w:val="en-GB"/>
        </w:rPr>
        <w:t xml:space="preserve">. </w:t>
      </w:r>
      <w:r w:rsidR="002F5ABB">
        <w:rPr>
          <w:lang w:val="en-GB"/>
        </w:rPr>
        <w:t xml:space="preserve">The CMBC </w:t>
      </w:r>
      <w:r w:rsidR="00A31617">
        <w:rPr>
          <w:lang w:val="en-GB"/>
        </w:rPr>
        <w:t>shares had been provided</w:t>
      </w:r>
      <w:r w:rsidR="00A665DC">
        <w:rPr>
          <w:lang w:val="en-GB"/>
        </w:rPr>
        <w:t xml:space="preserve"> as security for a loan made </w:t>
      </w:r>
      <w:r w:rsidR="00A31617">
        <w:rPr>
          <w:lang w:val="en-GB"/>
        </w:rPr>
        <w:t xml:space="preserve">by CMBC </w:t>
      </w:r>
      <w:r w:rsidR="00A665DC">
        <w:rPr>
          <w:lang w:val="en-GB"/>
        </w:rPr>
        <w:t xml:space="preserve">to </w:t>
      </w:r>
      <w:r w:rsidR="00E82F00">
        <w:rPr>
          <w:lang w:val="en-GB"/>
        </w:rPr>
        <w:t>Gentle Soar Limited (</w:t>
      </w:r>
      <w:r w:rsidR="00E82F00">
        <w:rPr>
          <w:b/>
          <w:lang w:val="en-GB"/>
        </w:rPr>
        <w:t xml:space="preserve">Gentle </w:t>
      </w:r>
      <w:r w:rsidR="00E82F00" w:rsidRPr="00E82F00">
        <w:rPr>
          <w:b/>
          <w:lang w:val="en-GB"/>
        </w:rPr>
        <w:t>Soar</w:t>
      </w:r>
      <w:r w:rsidR="00E82F00">
        <w:rPr>
          <w:lang w:val="en-GB"/>
        </w:rPr>
        <w:t xml:space="preserve">), </w:t>
      </w:r>
      <w:r w:rsidR="00A665DC" w:rsidRPr="00E82F00">
        <w:rPr>
          <w:lang w:val="en-GB"/>
        </w:rPr>
        <w:t>a</w:t>
      </w:r>
      <w:r w:rsidR="00A665DC">
        <w:rPr>
          <w:lang w:val="en-GB"/>
        </w:rPr>
        <w:t xml:space="preserve"> company wholly-owned by a non-executive director of Steering, Mr Gao</w:t>
      </w:r>
      <w:r w:rsidR="00CA2E14">
        <w:rPr>
          <w:lang w:val="en-GB"/>
        </w:rPr>
        <w:t xml:space="preserve">. </w:t>
      </w:r>
      <w:r w:rsidR="00A31617">
        <w:rPr>
          <w:lang w:val="en-GB"/>
        </w:rPr>
        <w:t>CMBC sold the shares in</w:t>
      </w:r>
      <w:r w:rsidR="00771927">
        <w:rPr>
          <w:lang w:val="en-GB"/>
        </w:rPr>
        <w:t xml:space="preserve"> enforcing the security for </w:t>
      </w:r>
      <w:r w:rsidR="002F4E58">
        <w:rPr>
          <w:lang w:val="en-GB"/>
        </w:rPr>
        <w:t>the loan</w:t>
      </w:r>
      <w:r w:rsidR="00A31617">
        <w:rPr>
          <w:lang w:val="en-GB"/>
        </w:rPr>
        <w:t xml:space="preserve">. </w:t>
      </w:r>
      <w:r w:rsidR="00E33720">
        <w:rPr>
          <w:lang w:val="en-GB"/>
        </w:rPr>
        <w:t>T</w:t>
      </w:r>
      <w:r w:rsidRPr="00FC4D64">
        <w:rPr>
          <w:lang w:val="en-GB"/>
        </w:rPr>
        <w:t xml:space="preserve">he </w:t>
      </w:r>
      <w:r w:rsidR="00491823">
        <w:rPr>
          <w:lang w:val="en-GB"/>
        </w:rPr>
        <w:t xml:space="preserve">share </w:t>
      </w:r>
      <w:r w:rsidRPr="00FC4D64">
        <w:rPr>
          <w:lang w:val="en-GB"/>
        </w:rPr>
        <w:t>acquisition</w:t>
      </w:r>
      <w:r w:rsidR="00E33720">
        <w:rPr>
          <w:lang w:val="en-GB"/>
        </w:rPr>
        <w:t xml:space="preserve"> resulted in</w:t>
      </w:r>
      <w:r w:rsidRPr="00FC4D64">
        <w:rPr>
          <w:lang w:val="en-GB"/>
        </w:rPr>
        <w:t xml:space="preserve"> </w:t>
      </w:r>
      <w:r w:rsidR="00E33720">
        <w:rPr>
          <w:lang w:val="en-GB"/>
        </w:rPr>
        <w:t xml:space="preserve">the interest </w:t>
      </w:r>
      <w:r w:rsidR="00491823">
        <w:rPr>
          <w:lang w:val="en-GB"/>
        </w:rPr>
        <w:t xml:space="preserve">in Steering </w:t>
      </w:r>
      <w:r w:rsidR="00E33720">
        <w:rPr>
          <w:lang w:val="en-GB"/>
        </w:rPr>
        <w:t xml:space="preserve">of </w:t>
      </w:r>
      <w:r w:rsidR="00E33720" w:rsidRPr="00FC4D64">
        <w:rPr>
          <w:lang w:val="en-GB"/>
        </w:rPr>
        <w:t>Mr</w:t>
      </w:r>
      <w:r w:rsidR="00E33720">
        <w:rPr>
          <w:lang w:val="en-GB"/>
        </w:rPr>
        <w:t xml:space="preserve"> Ng and parties acting in concert with him increasing from</w:t>
      </w:r>
      <w:r w:rsidRPr="00FC4D64">
        <w:rPr>
          <w:lang w:val="en-GB"/>
        </w:rPr>
        <w:t xml:space="preserve"> 4.62% to 53.62%</w:t>
      </w:r>
      <w:r w:rsidR="00E82F00">
        <w:rPr>
          <w:lang w:val="en-GB"/>
        </w:rPr>
        <w:t>,</w:t>
      </w:r>
      <w:r w:rsidR="00E33720">
        <w:rPr>
          <w:lang w:val="en-GB"/>
        </w:rPr>
        <w:t xml:space="preserve"> triggering an obligation on the part of the Offeror </w:t>
      </w:r>
      <w:r w:rsidRPr="00FC4D64">
        <w:rPr>
          <w:lang w:val="en-GB"/>
        </w:rPr>
        <w:t xml:space="preserve">to make an unconditional mandatory offer for </w:t>
      </w:r>
      <w:r w:rsidR="00B80843">
        <w:rPr>
          <w:lang w:val="en-GB"/>
        </w:rPr>
        <w:t xml:space="preserve">Steering </w:t>
      </w:r>
      <w:r w:rsidR="00E33720">
        <w:rPr>
          <w:lang w:val="en-GB"/>
        </w:rPr>
        <w:t xml:space="preserve">under </w:t>
      </w:r>
      <w:r w:rsidR="00CF74E4">
        <w:rPr>
          <w:lang w:val="en-GB"/>
        </w:rPr>
        <w:t>Rule 26.1 of the Takeovers Code</w:t>
      </w:r>
      <w:r w:rsidR="00107022">
        <w:rPr>
          <w:lang w:val="en-GB"/>
        </w:rPr>
        <w:t xml:space="preserve">. </w:t>
      </w:r>
    </w:p>
    <w:p w14:paraId="1FFA6246" w14:textId="77777777" w:rsidR="007A378E" w:rsidRPr="000E78A4" w:rsidRDefault="003F1B45" w:rsidP="00B80843">
      <w:pPr>
        <w:jc w:val="both"/>
      </w:pPr>
      <w:r>
        <w:t xml:space="preserve">Following the acquisition, and </w:t>
      </w:r>
      <w:r w:rsidR="002979F2">
        <w:t xml:space="preserve">while the </w:t>
      </w:r>
      <w:r w:rsidR="00C507F8">
        <w:t xml:space="preserve">SFC’s Takeovers Executive </w:t>
      </w:r>
      <w:r w:rsidR="002979F2">
        <w:t xml:space="preserve">was vetting the </w:t>
      </w:r>
      <w:r>
        <w:t xml:space="preserve">Offeror’s </w:t>
      </w:r>
      <w:r w:rsidR="002979F2">
        <w:t xml:space="preserve">draft offer announcement, Steering announced that </w:t>
      </w:r>
      <w:proofErr w:type="spellStart"/>
      <w:r w:rsidR="002979F2">
        <w:t>Mr</w:t>
      </w:r>
      <w:proofErr w:type="spellEnd"/>
      <w:r w:rsidR="002979F2">
        <w:t xml:space="preserve"> Ng and all the independent non-executive directors </w:t>
      </w:r>
      <w:r w:rsidR="00481637">
        <w:t>(</w:t>
      </w:r>
      <w:r w:rsidR="00481637" w:rsidRPr="00771927">
        <w:rPr>
          <w:b/>
        </w:rPr>
        <w:t>INEDs</w:t>
      </w:r>
      <w:r w:rsidR="00481637">
        <w:t xml:space="preserve">) </w:t>
      </w:r>
      <w:r w:rsidR="002979F2">
        <w:t xml:space="preserve">had been removed from </w:t>
      </w:r>
      <w:r w:rsidR="00C507F8">
        <w:t xml:space="preserve">Steering’s </w:t>
      </w:r>
      <w:r w:rsidR="002979F2">
        <w:t>board</w:t>
      </w:r>
      <w:r>
        <w:t xml:space="preserve">. </w:t>
      </w:r>
      <w:r w:rsidR="007F556D">
        <w:t>O</w:t>
      </w:r>
      <w:r>
        <w:t xml:space="preserve">nly </w:t>
      </w:r>
      <w:proofErr w:type="spellStart"/>
      <w:r w:rsidR="002979F2">
        <w:t>Mr</w:t>
      </w:r>
      <w:proofErr w:type="spellEnd"/>
      <w:r w:rsidR="002979F2">
        <w:t xml:space="preserve"> Gao and </w:t>
      </w:r>
      <w:proofErr w:type="spellStart"/>
      <w:r w:rsidR="002979F2">
        <w:t>Ms</w:t>
      </w:r>
      <w:proofErr w:type="spellEnd"/>
      <w:r w:rsidR="002979F2">
        <w:t xml:space="preserve"> Feng remained </w:t>
      </w:r>
      <w:r w:rsidR="002F5ABB">
        <w:t>as directors</w:t>
      </w:r>
      <w:r w:rsidR="002979F2">
        <w:t xml:space="preserve">. </w:t>
      </w:r>
      <w:r>
        <w:t xml:space="preserve">On the day </w:t>
      </w:r>
      <w:r w:rsidR="00E82F00">
        <w:t xml:space="preserve">after </w:t>
      </w:r>
      <w:r w:rsidR="007F556D">
        <w:t>the</w:t>
      </w:r>
      <w:r>
        <w:t xml:space="preserve"> announcement, </w:t>
      </w:r>
      <w:r w:rsidR="00F50B3E">
        <w:t>Steering announced that</w:t>
      </w:r>
      <w:r w:rsidR="007F556D">
        <w:t xml:space="preserve"> </w:t>
      </w:r>
      <w:proofErr w:type="spellStart"/>
      <w:r w:rsidR="007F556D">
        <w:t>Mr</w:t>
      </w:r>
      <w:proofErr w:type="spellEnd"/>
      <w:r w:rsidR="007F556D">
        <w:t xml:space="preserve"> Gao had informed the</w:t>
      </w:r>
      <w:r>
        <w:t xml:space="preserve"> board</w:t>
      </w:r>
      <w:r w:rsidR="00E82F00">
        <w:t xml:space="preserve"> </w:t>
      </w:r>
      <w:r w:rsidR="007F556D">
        <w:t xml:space="preserve">that Gentle Soar had commenced legal proceedings against the Offeror, CMBC and </w:t>
      </w:r>
      <w:proofErr w:type="spellStart"/>
      <w:r w:rsidR="007F556D">
        <w:t>Mr</w:t>
      </w:r>
      <w:proofErr w:type="spellEnd"/>
      <w:r w:rsidR="007F556D">
        <w:t xml:space="preserve"> Ng in relation </w:t>
      </w:r>
      <w:r w:rsidR="00A672C2">
        <w:t xml:space="preserve">to CMBC’s enforcement of its security over the Steering shares and the sale of those </w:t>
      </w:r>
      <w:r w:rsidR="000217E9">
        <w:t>shares to the Offeror</w:t>
      </w:r>
      <w:r w:rsidR="00303948">
        <w:t>.</w:t>
      </w:r>
      <w:r w:rsidR="000E126A">
        <w:t xml:space="preserve"> </w:t>
      </w:r>
    </w:p>
    <w:p w14:paraId="6398E44E" w14:textId="77777777" w:rsidR="00FE65B7" w:rsidRDefault="002B1624" w:rsidP="002D7BE3">
      <w:pPr>
        <w:jc w:val="both"/>
      </w:pPr>
      <w:r>
        <w:t xml:space="preserve">Two days later, </w:t>
      </w:r>
      <w:r w:rsidR="007446BE" w:rsidRPr="009F3878">
        <w:t>Steering announced that</w:t>
      </w:r>
      <w:r w:rsidR="007446BE">
        <w:t xml:space="preserve"> a new executive director and three new </w:t>
      </w:r>
      <w:r w:rsidR="00481637">
        <w:t>INEDs</w:t>
      </w:r>
      <w:r w:rsidR="007446BE">
        <w:t xml:space="preserve"> had been appointed </w:t>
      </w:r>
      <w:r w:rsidR="00350774">
        <w:t>to its board of directors</w:t>
      </w:r>
      <w:r w:rsidR="002F5ABB">
        <w:t>,</w:t>
      </w:r>
      <w:r>
        <w:t xml:space="preserve"> which </w:t>
      </w:r>
      <w:r w:rsidR="0015051D">
        <w:t>then</w:t>
      </w:r>
      <w:r>
        <w:t xml:space="preserve"> </w:t>
      </w:r>
      <w:r w:rsidR="00DC4802">
        <w:t xml:space="preserve">consisted </w:t>
      </w:r>
      <w:r w:rsidR="00350774">
        <w:t xml:space="preserve">of </w:t>
      </w:r>
      <w:proofErr w:type="spellStart"/>
      <w:r w:rsidR="00350774">
        <w:t>Mr</w:t>
      </w:r>
      <w:proofErr w:type="spellEnd"/>
      <w:r w:rsidR="00350774">
        <w:t xml:space="preserve"> Gao, </w:t>
      </w:r>
      <w:proofErr w:type="spellStart"/>
      <w:r w:rsidR="00350774">
        <w:t>Ms</w:t>
      </w:r>
      <w:proofErr w:type="spellEnd"/>
      <w:r w:rsidR="00350774">
        <w:t xml:space="preserve"> Feng and the new direct</w:t>
      </w:r>
      <w:r>
        <w:t>ors</w:t>
      </w:r>
      <w:r w:rsidR="00350774">
        <w:t>.</w:t>
      </w:r>
      <w:r w:rsidR="00240D9C">
        <w:t xml:space="preserve"> T</w:t>
      </w:r>
      <w:r w:rsidR="00D56653">
        <w:t xml:space="preserve">he </w:t>
      </w:r>
      <w:r w:rsidR="00240D9C">
        <w:t>n</w:t>
      </w:r>
      <w:r w:rsidR="00D56653">
        <w:t xml:space="preserve">ew </w:t>
      </w:r>
      <w:r w:rsidR="00240D9C">
        <w:t>b</w:t>
      </w:r>
      <w:r w:rsidR="00D56653">
        <w:t xml:space="preserve">oard </w:t>
      </w:r>
      <w:r w:rsidR="00240D9C">
        <w:t xml:space="preserve">met the next day </w:t>
      </w:r>
      <w:r w:rsidR="00D70C6E">
        <w:t xml:space="preserve">and approved </w:t>
      </w:r>
      <w:r w:rsidR="00240D9C">
        <w:t xml:space="preserve">the </w:t>
      </w:r>
      <w:r w:rsidR="00D70C6E">
        <w:t>dispos</w:t>
      </w:r>
      <w:r w:rsidR="00240D9C">
        <w:t>al</w:t>
      </w:r>
      <w:r w:rsidR="008C1432">
        <w:t xml:space="preserve"> </w:t>
      </w:r>
      <w:r w:rsidR="00D70C6E">
        <w:t>of 137,740,00</w:t>
      </w:r>
      <w:r w:rsidR="00A57C55">
        <w:t>0</w:t>
      </w:r>
      <w:r w:rsidR="00D70C6E">
        <w:t xml:space="preserve"> shares in CMBC </w:t>
      </w:r>
      <w:r w:rsidR="00C0002D">
        <w:t>Capital Holdings Limited (</w:t>
      </w:r>
      <w:r w:rsidR="00DC4802">
        <w:t xml:space="preserve">the </w:t>
      </w:r>
      <w:r w:rsidR="00C0002D" w:rsidRPr="00C0002D">
        <w:rPr>
          <w:b/>
        </w:rPr>
        <w:t>CMBCCH Shares</w:t>
      </w:r>
      <w:r w:rsidR="00240D9C">
        <w:t>)</w:t>
      </w:r>
      <w:r w:rsidR="00C0002D">
        <w:t xml:space="preserve"> </w:t>
      </w:r>
      <w:r w:rsidR="00240D9C">
        <w:t xml:space="preserve">held </w:t>
      </w:r>
      <w:r w:rsidR="00C0002D">
        <w:t xml:space="preserve">by </w:t>
      </w:r>
      <w:r w:rsidR="00240D9C">
        <w:t xml:space="preserve">a wholly-owned subsidiary of Steering, </w:t>
      </w:r>
      <w:r w:rsidR="00C0002D">
        <w:t>Jet Speed Asia Pacific Limited (</w:t>
      </w:r>
      <w:r w:rsidR="00C0002D" w:rsidRPr="00C0002D">
        <w:rPr>
          <w:b/>
        </w:rPr>
        <w:t>Jet Speed</w:t>
      </w:r>
      <w:r w:rsidR="00C0002D">
        <w:t>)</w:t>
      </w:r>
      <w:r w:rsidR="002F5ABB">
        <w:t>,</w:t>
      </w:r>
      <w:r w:rsidR="00C0002D">
        <w:t xml:space="preserve"> </w:t>
      </w:r>
      <w:r w:rsidR="00240D9C">
        <w:t xml:space="preserve">of which </w:t>
      </w:r>
      <w:proofErr w:type="spellStart"/>
      <w:r w:rsidR="00C0002D">
        <w:t>Ms</w:t>
      </w:r>
      <w:proofErr w:type="spellEnd"/>
      <w:r w:rsidR="00C0002D">
        <w:t xml:space="preserve"> Feng was the sole director. </w:t>
      </w:r>
    </w:p>
    <w:p w14:paraId="7B7B6C1C" w14:textId="77777777" w:rsidR="00B47FE8" w:rsidRDefault="00111554" w:rsidP="00CE7BBF">
      <w:pPr>
        <w:jc w:val="both"/>
      </w:pPr>
      <w:r>
        <w:t>One week later, o</w:t>
      </w:r>
      <w:r w:rsidR="00B47FE8">
        <w:t xml:space="preserve">n 13 May 2021, </w:t>
      </w:r>
      <w:r w:rsidR="00DA676E">
        <w:t xml:space="preserve">the Offeror announced its firm intention to make an offer for the shares of Steering </w:t>
      </w:r>
      <w:r w:rsidR="009962E9">
        <w:t xml:space="preserve">under </w:t>
      </w:r>
      <w:r w:rsidR="00E875C4">
        <w:t>Rule 3.5 of the Takeovers Code</w:t>
      </w:r>
      <w:r w:rsidR="0044461E">
        <w:t>,</w:t>
      </w:r>
      <w:r w:rsidR="00E875C4">
        <w:t xml:space="preserve"> and an offer period </w:t>
      </w:r>
      <w:r w:rsidR="009962E9">
        <w:t xml:space="preserve">in respect of Steering </w:t>
      </w:r>
      <w:r w:rsidR="00E875C4">
        <w:t>commenced on the same day.</w:t>
      </w:r>
      <w:r w:rsidR="007E3B19">
        <w:t xml:space="preserve"> On 14 May 2021, </w:t>
      </w:r>
      <w:r w:rsidR="007B7A3F">
        <w:t xml:space="preserve">the Offeror’s legal </w:t>
      </w:r>
      <w:r w:rsidR="0044461E">
        <w:t xml:space="preserve">advisers </w:t>
      </w:r>
      <w:r w:rsidR="007B7A3F">
        <w:t xml:space="preserve">wrote to the legal </w:t>
      </w:r>
      <w:r w:rsidR="0044461E">
        <w:t xml:space="preserve">advisers </w:t>
      </w:r>
      <w:r w:rsidR="007B7A3F">
        <w:t xml:space="preserve">of Gentle Soar, </w:t>
      </w:r>
      <w:proofErr w:type="spellStart"/>
      <w:r w:rsidR="007B7A3F">
        <w:t>Mr</w:t>
      </w:r>
      <w:proofErr w:type="spellEnd"/>
      <w:r w:rsidR="007B7A3F">
        <w:t xml:space="preserve"> Gao </w:t>
      </w:r>
      <w:r w:rsidR="00A2207A">
        <w:t xml:space="preserve">and </w:t>
      </w:r>
      <w:proofErr w:type="spellStart"/>
      <w:r w:rsidR="007B7A3F">
        <w:t>Ms</w:t>
      </w:r>
      <w:proofErr w:type="spellEnd"/>
      <w:r w:rsidR="007B7A3F">
        <w:t xml:space="preserve"> Feng remind</w:t>
      </w:r>
      <w:r w:rsidR="0044461E">
        <w:t>ing</w:t>
      </w:r>
      <w:r w:rsidR="007B7A3F">
        <w:t xml:space="preserve"> them that any disposal of Steering’s assets (including </w:t>
      </w:r>
      <w:r w:rsidR="003E15B5">
        <w:lastRenderedPageBreak/>
        <w:t xml:space="preserve">the </w:t>
      </w:r>
      <w:r w:rsidR="00491823">
        <w:t>d</w:t>
      </w:r>
      <w:r w:rsidR="008C1432">
        <w:t xml:space="preserve">isposal </w:t>
      </w:r>
      <w:r w:rsidR="003E15B5">
        <w:t xml:space="preserve">of the CMBCCH </w:t>
      </w:r>
      <w:r w:rsidR="00DF7435">
        <w:t>S</w:t>
      </w:r>
      <w:r w:rsidR="003E15B5">
        <w:t>hares</w:t>
      </w:r>
      <w:r w:rsidR="0044461E">
        <w:t>)</w:t>
      </w:r>
      <w:r w:rsidR="00CE7BBF">
        <w:t xml:space="preserve"> may result in a breach of </w:t>
      </w:r>
      <w:r w:rsidR="00CE7BBF" w:rsidRPr="000E78A4">
        <w:t xml:space="preserve">the frustrating action </w:t>
      </w:r>
      <w:r w:rsidR="00E767EF">
        <w:t>provision</w:t>
      </w:r>
      <w:r w:rsidR="00CE7BBF" w:rsidRPr="000E78A4">
        <w:t xml:space="preserve">s </w:t>
      </w:r>
      <w:r w:rsidR="00E767EF">
        <w:t>of</w:t>
      </w:r>
      <w:r w:rsidR="00CE7BBF" w:rsidRPr="000E78A4">
        <w:t xml:space="preserve"> Rule 4 of the Takeovers Code.</w:t>
      </w:r>
      <w:r w:rsidR="00E875C4">
        <w:t xml:space="preserve"> </w:t>
      </w:r>
    </w:p>
    <w:p w14:paraId="48EF5DF7" w14:textId="77777777" w:rsidR="00CE7BBF" w:rsidRDefault="00052505" w:rsidP="00CE7BBF">
      <w:pPr>
        <w:jc w:val="both"/>
      </w:pPr>
      <w:r>
        <w:t xml:space="preserve">On 17 May 2021, </w:t>
      </w:r>
      <w:r w:rsidR="00D86C95">
        <w:t>Gentle Soar</w:t>
      </w:r>
      <w:r w:rsidR="0044461E">
        <w:t>’s legal advisers</w:t>
      </w:r>
      <w:r w:rsidR="00D86C95">
        <w:t xml:space="preserve"> wrote to the </w:t>
      </w:r>
      <w:r w:rsidR="0044461E">
        <w:t xml:space="preserve">Takeovers Executive </w:t>
      </w:r>
      <w:r w:rsidR="00D86C95">
        <w:t xml:space="preserve">to consult on whether a general offer obligation </w:t>
      </w:r>
      <w:r w:rsidR="005222EA">
        <w:t xml:space="preserve">under </w:t>
      </w:r>
      <w:r w:rsidR="005222EA" w:rsidRPr="000E78A4">
        <w:t>Rule 26.1 of the Takeovers Code</w:t>
      </w:r>
      <w:r w:rsidR="005222EA">
        <w:t xml:space="preserve"> </w:t>
      </w:r>
      <w:r w:rsidR="00D86C95">
        <w:t xml:space="preserve">was in fact triggered by the Offeror </w:t>
      </w:r>
      <w:r w:rsidR="007F556D">
        <w:t xml:space="preserve">given </w:t>
      </w:r>
      <w:r w:rsidR="00F36659">
        <w:t>the dispute</w:t>
      </w:r>
      <w:r w:rsidR="007F556D">
        <w:t xml:space="preserve"> over the share sale</w:t>
      </w:r>
      <w:r w:rsidR="00F36659">
        <w:t xml:space="preserve">. </w:t>
      </w:r>
      <w:r w:rsidR="0044461E">
        <w:t xml:space="preserve">The Takeovers Executive </w:t>
      </w:r>
      <w:r w:rsidR="00F36659">
        <w:t>replied that</w:t>
      </w:r>
      <w:r w:rsidR="00F504E0">
        <w:t xml:space="preserve"> regardless of </w:t>
      </w:r>
      <w:r w:rsidR="00F36659">
        <w:t>the dispute, s</w:t>
      </w:r>
      <w:r w:rsidR="007F556D">
        <w:t>ince</w:t>
      </w:r>
      <w:r w:rsidR="00F36659">
        <w:t xml:space="preserve"> the </w:t>
      </w:r>
      <w:r w:rsidR="007F556D">
        <w:t>transfer of the Steering</w:t>
      </w:r>
      <w:r w:rsidR="00F36659">
        <w:t xml:space="preserve"> shares</w:t>
      </w:r>
      <w:r w:rsidR="007F556D">
        <w:t xml:space="preserve"> </w:t>
      </w:r>
      <w:r w:rsidR="00F36659">
        <w:t xml:space="preserve">to the Offeror had </w:t>
      </w:r>
      <w:r w:rsidR="00F504E0">
        <w:t xml:space="preserve">been </w:t>
      </w:r>
      <w:r w:rsidR="00F36659">
        <w:t xml:space="preserve">completed, </w:t>
      </w:r>
      <w:r w:rsidR="00F504E0">
        <w:t xml:space="preserve">the Offeror’s </w:t>
      </w:r>
      <w:r w:rsidR="00F36659">
        <w:t xml:space="preserve">obligation to make a general offer had been triggered </w:t>
      </w:r>
      <w:r w:rsidR="003E1251">
        <w:t>under</w:t>
      </w:r>
      <w:r w:rsidR="003E0B5C">
        <w:t xml:space="preserve"> </w:t>
      </w:r>
      <w:r w:rsidR="00F36659">
        <w:t>the Takeovers Code.</w:t>
      </w:r>
      <w:r w:rsidR="002E73D1">
        <w:t xml:space="preserve"> </w:t>
      </w:r>
      <w:r w:rsidR="00ED7165">
        <w:t>Four days later o</w:t>
      </w:r>
      <w:r w:rsidR="002E73D1">
        <w:t>n 21 May 2021, Steering published an announcement in response to the offer announcement in compliance with Rule 3.2 of the Takeovers Code. Th</w:t>
      </w:r>
      <w:r w:rsidR="00F504E0">
        <w:t>e</w:t>
      </w:r>
      <w:r w:rsidR="002E73D1">
        <w:t xml:space="preserve"> announcement was issued under the authority </w:t>
      </w:r>
      <w:r w:rsidR="00481637">
        <w:t xml:space="preserve">of </w:t>
      </w:r>
      <w:r w:rsidR="002E73D1">
        <w:t xml:space="preserve">the </w:t>
      </w:r>
      <w:r w:rsidR="00F504E0">
        <w:t>n</w:t>
      </w:r>
      <w:r w:rsidR="002E73D1">
        <w:t xml:space="preserve">ew </w:t>
      </w:r>
      <w:r w:rsidR="00F504E0">
        <w:t>b</w:t>
      </w:r>
      <w:r w:rsidR="002E73D1">
        <w:t xml:space="preserve">oard. </w:t>
      </w:r>
    </w:p>
    <w:p w14:paraId="21F4A6DF" w14:textId="77777777" w:rsidR="002E73D1" w:rsidRDefault="007767B4" w:rsidP="00CE7BBF">
      <w:pPr>
        <w:jc w:val="both"/>
      </w:pPr>
      <w:r>
        <w:t xml:space="preserve">On 1 June 2021, Steering </w:t>
      </w:r>
      <w:r w:rsidR="00C01E62">
        <w:t>announced</w:t>
      </w:r>
      <w:r>
        <w:t xml:space="preserve"> that the CMBCCH Shares had </w:t>
      </w:r>
      <w:r w:rsidR="00FC3210">
        <w:t>been disposed of</w:t>
      </w:r>
      <w:r>
        <w:t xml:space="preserve"> </w:t>
      </w:r>
      <w:r w:rsidR="00A53814">
        <w:t xml:space="preserve">between 27 </w:t>
      </w:r>
      <w:r w:rsidR="002A433D">
        <w:t>M</w:t>
      </w:r>
      <w:r w:rsidR="00A53814">
        <w:t xml:space="preserve">ay and 1 June </w:t>
      </w:r>
      <w:r w:rsidR="002A433D">
        <w:t>20</w:t>
      </w:r>
      <w:r w:rsidR="003E1251">
        <w:t>2</w:t>
      </w:r>
      <w:r w:rsidR="002A433D">
        <w:t xml:space="preserve">1 and that the </w:t>
      </w:r>
      <w:r w:rsidR="00FC3210">
        <w:t>d</w:t>
      </w:r>
      <w:r w:rsidR="008C1432" w:rsidRPr="00A9499E">
        <w:t>isposal</w:t>
      </w:r>
      <w:r w:rsidR="008C1432">
        <w:t xml:space="preserve"> </w:t>
      </w:r>
      <w:r w:rsidR="002A433D">
        <w:t xml:space="preserve">constituted a </w:t>
      </w:r>
      <w:proofErr w:type="spellStart"/>
      <w:r w:rsidR="002A433D">
        <w:t>discloseable</w:t>
      </w:r>
      <w:proofErr w:type="spellEnd"/>
      <w:r w:rsidR="002A433D">
        <w:t xml:space="preserve"> transaction under the </w:t>
      </w:r>
      <w:proofErr w:type="spellStart"/>
      <w:r w:rsidR="002F5ABB">
        <w:t>HKEx</w:t>
      </w:r>
      <w:proofErr w:type="spellEnd"/>
      <w:r w:rsidR="002F5ABB">
        <w:t xml:space="preserve"> </w:t>
      </w:r>
      <w:r w:rsidR="002A433D" w:rsidRPr="00360882">
        <w:t>Listing Rules</w:t>
      </w:r>
      <w:r w:rsidR="002A433D">
        <w:t xml:space="preserve">. </w:t>
      </w:r>
      <w:proofErr w:type="spellStart"/>
      <w:r w:rsidR="00590B20">
        <w:t>Ms</w:t>
      </w:r>
      <w:proofErr w:type="spellEnd"/>
      <w:r w:rsidR="00590B20">
        <w:t xml:space="preserve"> Feng</w:t>
      </w:r>
      <w:r w:rsidR="00B603B8">
        <w:t xml:space="preserve"> </w:t>
      </w:r>
      <w:r w:rsidR="00590B20">
        <w:t>instruct</w:t>
      </w:r>
      <w:r w:rsidR="00FC3210">
        <w:t>ed a</w:t>
      </w:r>
      <w:r w:rsidR="00590B20">
        <w:t xml:space="preserve"> broker </w:t>
      </w:r>
      <w:r w:rsidR="00FC3210">
        <w:t>to sell the CMBCCH Shares</w:t>
      </w:r>
      <w:r w:rsidR="00FC3210" w:rsidDel="00FC3210">
        <w:t xml:space="preserve"> </w:t>
      </w:r>
      <w:r w:rsidR="00590B20">
        <w:t>on-market</w:t>
      </w:r>
      <w:r w:rsidR="00B603B8">
        <w:t xml:space="preserve"> and </w:t>
      </w:r>
      <w:r w:rsidR="00FC3210">
        <w:t xml:space="preserve">informed </w:t>
      </w:r>
      <w:proofErr w:type="spellStart"/>
      <w:r w:rsidR="00B603B8">
        <w:t>Mr</w:t>
      </w:r>
      <w:proofErr w:type="spellEnd"/>
      <w:r w:rsidR="00B603B8">
        <w:t xml:space="preserve"> Gao </w:t>
      </w:r>
      <w:r w:rsidR="00FC3210">
        <w:t xml:space="preserve">of the </w:t>
      </w:r>
      <w:r w:rsidR="00B603B8">
        <w:t>sale</w:t>
      </w:r>
      <w:r w:rsidR="00211C36">
        <w:t>.</w:t>
      </w:r>
      <w:r w:rsidR="00590B20">
        <w:t xml:space="preserve"> </w:t>
      </w:r>
    </w:p>
    <w:p w14:paraId="41B28032" w14:textId="77777777" w:rsidR="00211C36" w:rsidRDefault="00874FAF" w:rsidP="00CE7BBF">
      <w:pPr>
        <w:jc w:val="both"/>
      </w:pPr>
      <w:r>
        <w:t xml:space="preserve">On 15 June 2021, Steering </w:t>
      </w:r>
      <w:r w:rsidR="00B603B8">
        <w:t xml:space="preserve">announced </w:t>
      </w:r>
      <w:r>
        <w:t xml:space="preserve">the </w:t>
      </w:r>
      <w:r w:rsidR="00FC3210">
        <w:t>n</w:t>
      </w:r>
      <w:r>
        <w:t xml:space="preserve">ew </w:t>
      </w:r>
      <w:r w:rsidR="00FC3210">
        <w:t>b</w:t>
      </w:r>
      <w:r>
        <w:t>oard</w:t>
      </w:r>
      <w:r w:rsidR="00F747E7">
        <w:t>’s</w:t>
      </w:r>
      <w:r>
        <w:t xml:space="preserve"> </w:t>
      </w:r>
      <w:r w:rsidR="00F747E7">
        <w:t>resolutions</w:t>
      </w:r>
      <w:r>
        <w:t xml:space="preserve"> </w:t>
      </w:r>
      <w:r w:rsidR="00481637">
        <w:t xml:space="preserve">that </w:t>
      </w:r>
      <w:r>
        <w:t>the previous resolutions approving the</w:t>
      </w:r>
      <w:r w:rsidR="00DB5FE2">
        <w:t xml:space="preserve"> </w:t>
      </w:r>
      <w:r w:rsidRPr="000E78A4">
        <w:t>removal</w:t>
      </w:r>
      <w:r>
        <w:t xml:space="preserve"> </w:t>
      </w:r>
      <w:r w:rsidR="00CB03DB">
        <w:t>of</w:t>
      </w:r>
      <w:r w:rsidR="00481637">
        <w:t xml:space="preserve"> </w:t>
      </w:r>
      <w:proofErr w:type="spellStart"/>
      <w:r w:rsidR="00481637">
        <w:t>Mr</w:t>
      </w:r>
      <w:proofErr w:type="spellEnd"/>
      <w:r w:rsidR="00481637">
        <w:t xml:space="preserve"> Ng and the</w:t>
      </w:r>
      <w:r w:rsidR="00CB03DB">
        <w:t xml:space="preserve"> previous </w:t>
      </w:r>
      <w:r w:rsidR="00481637">
        <w:t>INEDs</w:t>
      </w:r>
      <w:r w:rsidR="00CB03DB">
        <w:t xml:space="preserve"> </w:t>
      </w:r>
      <w:r w:rsidR="00441895">
        <w:t>and</w:t>
      </w:r>
      <w:r w:rsidR="00B603B8">
        <w:t xml:space="preserve"> </w:t>
      </w:r>
      <w:r w:rsidR="00441895">
        <w:t xml:space="preserve">the appointment </w:t>
      </w:r>
      <w:r w:rsidR="00F747E7">
        <w:t>of a new executive director and INEDs</w:t>
      </w:r>
      <w:r w:rsidR="00B603B8">
        <w:t xml:space="preserve"> </w:t>
      </w:r>
      <w:r w:rsidR="00441895">
        <w:t xml:space="preserve">were suspended as if they had </w:t>
      </w:r>
      <w:r w:rsidR="00FC3210">
        <w:t xml:space="preserve">not </w:t>
      </w:r>
      <w:r w:rsidR="00441895">
        <w:t xml:space="preserve">been </w:t>
      </w:r>
      <w:proofErr w:type="gramStart"/>
      <w:r w:rsidR="00441895">
        <w:t>effected</w:t>
      </w:r>
      <w:proofErr w:type="gramEnd"/>
      <w:r w:rsidR="00441895">
        <w:t xml:space="preserve">. </w:t>
      </w:r>
      <w:r w:rsidR="00481637">
        <w:t>Consequently</w:t>
      </w:r>
      <w:r w:rsidR="00CC4CF2">
        <w:t>,</w:t>
      </w:r>
      <w:r w:rsidR="00441895">
        <w:t xml:space="preserve"> </w:t>
      </w:r>
      <w:proofErr w:type="spellStart"/>
      <w:r w:rsidR="00441895">
        <w:t>Mr</w:t>
      </w:r>
      <w:proofErr w:type="spellEnd"/>
      <w:r w:rsidR="00441895">
        <w:t xml:space="preserve"> Ng and the original three </w:t>
      </w:r>
      <w:r w:rsidR="00481637">
        <w:t>INEDs</w:t>
      </w:r>
      <w:r w:rsidR="000B2848">
        <w:t xml:space="preserve"> </w:t>
      </w:r>
      <w:r w:rsidR="00441895">
        <w:t xml:space="preserve">of Steering were reinstated to </w:t>
      </w:r>
      <w:r w:rsidR="00F747E7">
        <w:t xml:space="preserve">its </w:t>
      </w:r>
      <w:r w:rsidR="00441895">
        <w:t xml:space="preserve">board. </w:t>
      </w:r>
    </w:p>
    <w:p w14:paraId="77ECC711" w14:textId="77777777" w:rsidR="00D21DFB" w:rsidRPr="00F723E2" w:rsidRDefault="00C76A12" w:rsidP="00CE7BBF">
      <w:pPr>
        <w:jc w:val="both"/>
        <w:rPr>
          <w:b/>
        </w:rPr>
      </w:pPr>
      <w:r>
        <w:rPr>
          <w:b/>
        </w:rPr>
        <w:t xml:space="preserve">Rule 4 of </w:t>
      </w:r>
      <w:r w:rsidR="00F723E2" w:rsidRPr="00F723E2">
        <w:rPr>
          <w:b/>
        </w:rPr>
        <w:t xml:space="preserve">the </w:t>
      </w:r>
      <w:r>
        <w:rPr>
          <w:b/>
        </w:rPr>
        <w:t xml:space="preserve">SFC </w:t>
      </w:r>
      <w:r w:rsidR="00F723E2" w:rsidRPr="00F723E2">
        <w:rPr>
          <w:b/>
        </w:rPr>
        <w:t>Takeovers Code</w:t>
      </w:r>
      <w:r w:rsidR="00D21DFB" w:rsidRPr="00F723E2">
        <w:rPr>
          <w:b/>
        </w:rPr>
        <w:t xml:space="preserve"> </w:t>
      </w:r>
    </w:p>
    <w:p w14:paraId="519DCD43" w14:textId="731F5591" w:rsidR="00414118" w:rsidRPr="00771927" w:rsidRDefault="00414118" w:rsidP="00771927">
      <w:pPr>
        <w:jc w:val="both"/>
        <w:rPr>
          <w:lang w:val="en-GB"/>
        </w:rPr>
      </w:pPr>
      <w:r>
        <w:rPr>
          <w:lang w:val="en-GB"/>
        </w:rPr>
        <w:t>Rule 4 of the Takeovers Code aims to prevent an offeree company from taking any action which could result in an offer being frustrated or its shareholders being denied an opportunity to decide on the merits of an offer from the time when a bona fide offer has been made to the board of the offeree or the offeree’s board has reason to believe that a bona fid</w:t>
      </w:r>
      <w:r w:rsidR="00763F46">
        <w:rPr>
          <w:lang w:val="en-GB"/>
        </w:rPr>
        <w:t>e</w:t>
      </w:r>
      <w:r>
        <w:rPr>
          <w:lang w:val="en-GB"/>
        </w:rPr>
        <w:t xml:space="preserve"> offer may be imminent. The Rule applies irrespective of whether the offer is welcomed by the offeree. Rule 4 also serves to provide a level playing field for parties in an offer. </w:t>
      </w:r>
    </w:p>
    <w:p w14:paraId="2DD8675F" w14:textId="77777777" w:rsidR="002E73D1" w:rsidRDefault="00A27FDA" w:rsidP="00A27FDA">
      <w:r>
        <w:t xml:space="preserve">Rule 4 of the Takeovers Code </w:t>
      </w:r>
      <w:r w:rsidR="00C76A12">
        <w:t>provide</w:t>
      </w:r>
      <w:r>
        <w:t>s that</w:t>
      </w:r>
      <w:r w:rsidR="0053609F">
        <w:t>:</w:t>
      </w:r>
      <w:r>
        <w:t xml:space="preserve"> </w:t>
      </w:r>
    </w:p>
    <w:p w14:paraId="62026DCB" w14:textId="77777777" w:rsidR="00FF3649" w:rsidRDefault="00FF3649" w:rsidP="004106A5">
      <w:pPr>
        <w:ind w:left="720" w:right="680"/>
        <w:jc w:val="both"/>
        <w:rPr>
          <w:i/>
        </w:rPr>
      </w:pPr>
      <w:r>
        <w:rPr>
          <w:i/>
        </w:rPr>
        <w:t>“</w:t>
      </w:r>
      <w:r w:rsidR="004106A5">
        <w:rPr>
          <w:i/>
        </w:rPr>
        <w:t>O</w:t>
      </w:r>
      <w:r w:rsidRPr="00FF3649">
        <w:rPr>
          <w:i/>
        </w:rPr>
        <w:t>nce a bona fide offer has been communicated to the board of an offeree company or the board of an offeree company has reason to believe that a bona fide offer may be imminent, no action which could effectively result in an offer being frustrated, or in the shareholders of the offeree company being denied an opportunity to decide on the merits of an offer, shall be taken by the board of the offeree company in relation to the affairs of the company without the approval of the shareholders of the offeree company in general meeting. In particular the offeree company’s board must not, without such approval, do or agree to…</w:t>
      </w:r>
      <w:r w:rsidR="00355A44">
        <w:rPr>
          <w:i/>
        </w:rPr>
        <w:t xml:space="preserve"> </w:t>
      </w:r>
      <w:r w:rsidRPr="00FF3649">
        <w:rPr>
          <w:i/>
        </w:rPr>
        <w:t xml:space="preserve">(c) sell, dispose of or acquire assets of a material </w:t>
      </w:r>
      <w:r>
        <w:rPr>
          <w:i/>
        </w:rPr>
        <w:t>amount…”</w:t>
      </w:r>
    </w:p>
    <w:p w14:paraId="123AED20" w14:textId="77777777" w:rsidR="0053609F" w:rsidRPr="0053609F" w:rsidRDefault="0053609F" w:rsidP="004106A5">
      <w:pPr>
        <w:ind w:right="680"/>
        <w:jc w:val="both"/>
      </w:pPr>
      <w:r>
        <w:t>Note 1 to Rule 4 provides that:</w:t>
      </w:r>
    </w:p>
    <w:p w14:paraId="79A79912" w14:textId="77777777" w:rsidR="00C0002D" w:rsidRPr="007E3B19" w:rsidRDefault="005F501C" w:rsidP="00771927">
      <w:pPr>
        <w:ind w:left="720" w:right="964"/>
        <w:jc w:val="both"/>
        <w:rPr>
          <w:lang w:val="en-HK"/>
        </w:rPr>
      </w:pPr>
      <w:r>
        <w:rPr>
          <w:i/>
        </w:rPr>
        <w:t>“</w:t>
      </w:r>
      <w:r w:rsidR="0053609F">
        <w:rPr>
          <w:i/>
        </w:rPr>
        <w:t>The requirement of a shareholders’ meeting may be waived by the Executive if the</w:t>
      </w:r>
      <w:r w:rsidR="00414118">
        <w:rPr>
          <w:i/>
        </w:rPr>
        <w:t xml:space="preserve"> </w:t>
      </w:r>
      <w:r w:rsidR="0053609F">
        <w:rPr>
          <w:i/>
        </w:rPr>
        <w:t>offeror</w:t>
      </w:r>
      <w:r w:rsidR="00C76A12">
        <w:rPr>
          <w:i/>
        </w:rPr>
        <w:t xml:space="preserve"> </w:t>
      </w:r>
      <w:r w:rsidR="0053609F">
        <w:rPr>
          <w:i/>
        </w:rPr>
        <w:t>…</w:t>
      </w:r>
      <w:r w:rsidR="003553ED">
        <w:rPr>
          <w:i/>
        </w:rPr>
        <w:t xml:space="preserve"> </w:t>
      </w:r>
      <w:r w:rsidR="0053609F">
        <w:rPr>
          <w:i/>
        </w:rPr>
        <w:t>agrees</w:t>
      </w:r>
      <w:r w:rsidR="00AB2D1A">
        <w:rPr>
          <w:i/>
        </w:rPr>
        <w:t>.</w:t>
      </w:r>
      <w:r w:rsidR="0053609F">
        <w:rPr>
          <w:i/>
        </w:rPr>
        <w:t>”</w:t>
      </w:r>
    </w:p>
    <w:p w14:paraId="2DA84D70" w14:textId="77777777" w:rsidR="0045089C" w:rsidRPr="0053609F" w:rsidRDefault="0045089C" w:rsidP="004106A5">
      <w:pPr>
        <w:ind w:right="680"/>
        <w:jc w:val="both"/>
      </w:pPr>
      <w:r>
        <w:t>Note 6 to Rule 4 further provides that:</w:t>
      </w:r>
    </w:p>
    <w:p w14:paraId="2CAF8BF1" w14:textId="77777777" w:rsidR="00D60FE4" w:rsidRDefault="0045089C" w:rsidP="004106A5">
      <w:pPr>
        <w:ind w:left="720" w:right="680"/>
        <w:jc w:val="both"/>
        <w:rPr>
          <w:i/>
        </w:rPr>
      </w:pPr>
      <w:r>
        <w:rPr>
          <w:i/>
        </w:rPr>
        <w:t xml:space="preserve">“For the purpose of determining whether a disposal or acquisition is of a “material amount” the Executive will, in general, apply the same tests as those set out in the Listing Rules to determine whether a transaction is a </w:t>
      </w:r>
      <w:r w:rsidR="00D60FE4">
        <w:rPr>
          <w:i/>
        </w:rPr>
        <w:t>“</w:t>
      </w:r>
      <w:proofErr w:type="spellStart"/>
      <w:r>
        <w:rPr>
          <w:i/>
        </w:rPr>
        <w:t>discloseable</w:t>
      </w:r>
      <w:proofErr w:type="spellEnd"/>
      <w:r>
        <w:rPr>
          <w:i/>
        </w:rPr>
        <w:t xml:space="preserve"> transaction</w:t>
      </w:r>
      <w:r w:rsidR="00D60FE4">
        <w:rPr>
          <w:i/>
        </w:rPr>
        <w:t>”</w:t>
      </w:r>
      <w:r>
        <w:rPr>
          <w:i/>
        </w:rPr>
        <w:t>.</w:t>
      </w:r>
    </w:p>
    <w:p w14:paraId="6598769D" w14:textId="77777777" w:rsidR="00D60FE4" w:rsidRDefault="00514F69" w:rsidP="004106A5">
      <w:pPr>
        <w:ind w:left="720" w:right="680"/>
        <w:jc w:val="both"/>
        <w:rPr>
          <w:i/>
          <w:lang w:val="en-HK"/>
        </w:rPr>
      </w:pPr>
      <w:r w:rsidRPr="00514F69">
        <w:rPr>
          <w:i/>
          <w:lang w:val="en-HK"/>
        </w:rPr>
        <w:t xml:space="preserve">If several </w:t>
      </w:r>
      <w:r w:rsidR="00C76A12">
        <w:rPr>
          <w:i/>
          <w:lang w:val="en-HK"/>
        </w:rPr>
        <w:t>t</w:t>
      </w:r>
      <w:r w:rsidR="00D60FE4" w:rsidRPr="00514F69">
        <w:rPr>
          <w:i/>
          <w:lang w:val="en-HK"/>
        </w:rPr>
        <w:t>ransaction</w:t>
      </w:r>
      <w:r w:rsidRPr="00514F69">
        <w:rPr>
          <w:i/>
          <w:lang w:val="en-HK"/>
        </w:rPr>
        <w:t xml:space="preserve">s relevant to this Rule 4, but not individually material, occur or are intended, the Executive will aggregate such </w:t>
      </w:r>
      <w:r w:rsidR="00C76A12">
        <w:rPr>
          <w:i/>
          <w:lang w:val="en-HK"/>
        </w:rPr>
        <w:t>t</w:t>
      </w:r>
      <w:r w:rsidR="00D60FE4" w:rsidRPr="00514F69">
        <w:rPr>
          <w:i/>
          <w:lang w:val="en-HK"/>
        </w:rPr>
        <w:t>ransaction</w:t>
      </w:r>
      <w:r w:rsidRPr="00514F69">
        <w:rPr>
          <w:i/>
          <w:lang w:val="en-HK"/>
        </w:rPr>
        <w:t>s to determine whether the requirements of this Rule 4 are applicable to any of them.</w:t>
      </w:r>
    </w:p>
    <w:p w14:paraId="250B4B9D" w14:textId="77777777" w:rsidR="00514F69" w:rsidRPr="00514F69" w:rsidRDefault="00514F69" w:rsidP="004106A5">
      <w:pPr>
        <w:ind w:left="720" w:right="680"/>
        <w:jc w:val="both"/>
        <w:rPr>
          <w:i/>
          <w:lang w:val="en-HK"/>
        </w:rPr>
      </w:pPr>
      <w:r w:rsidRPr="00514F69">
        <w:rPr>
          <w:i/>
          <w:lang w:val="en-HK"/>
        </w:rPr>
        <w:lastRenderedPageBreak/>
        <w:t>The Executive should be consulted in advance where there may be any doubt as to the application of the above.</w:t>
      </w:r>
      <w:r w:rsidR="00EF3BEE">
        <w:rPr>
          <w:i/>
          <w:lang w:val="en-HK"/>
        </w:rPr>
        <w:t>”</w:t>
      </w:r>
    </w:p>
    <w:p w14:paraId="3D609310" w14:textId="77777777" w:rsidR="001E3F4D" w:rsidRDefault="001E3F4D" w:rsidP="002D7BE3">
      <w:pPr>
        <w:jc w:val="both"/>
        <w:rPr>
          <w:lang w:val="en-GB"/>
        </w:rPr>
      </w:pPr>
    </w:p>
    <w:p w14:paraId="3CF69C29" w14:textId="77777777" w:rsidR="00EA3BBA" w:rsidRDefault="00EA3BBA" w:rsidP="00706C21">
      <w:pPr>
        <w:jc w:val="both"/>
        <w:rPr>
          <w:b/>
          <w:lang w:val="en-GB"/>
        </w:rPr>
      </w:pPr>
      <w:r>
        <w:rPr>
          <w:b/>
          <w:lang w:val="en-GB"/>
        </w:rPr>
        <w:t xml:space="preserve">SFC Disciplinary Action: Public Criticism of Directors </w:t>
      </w:r>
    </w:p>
    <w:p w14:paraId="5BD1B872" w14:textId="77777777" w:rsidR="00F3486B" w:rsidRDefault="003747BD" w:rsidP="00706C21">
      <w:pPr>
        <w:jc w:val="both"/>
        <w:rPr>
          <w:lang w:val="en-HK"/>
        </w:rPr>
      </w:pPr>
      <w:r>
        <w:rPr>
          <w:lang w:val="en-GB"/>
        </w:rPr>
        <w:t>Since</w:t>
      </w:r>
      <w:r w:rsidR="00AE2C23">
        <w:rPr>
          <w:lang w:val="en-HK"/>
        </w:rPr>
        <w:t xml:space="preserve"> the</w:t>
      </w:r>
      <w:r w:rsidR="00444EE4">
        <w:rPr>
          <w:lang w:val="en-HK"/>
        </w:rPr>
        <w:t xml:space="preserve"> </w:t>
      </w:r>
      <w:r>
        <w:rPr>
          <w:lang w:val="en-HK"/>
        </w:rPr>
        <w:t>d</w:t>
      </w:r>
      <w:r w:rsidR="00A00803">
        <w:rPr>
          <w:lang w:val="en-HK"/>
        </w:rPr>
        <w:t xml:space="preserve">isposal </w:t>
      </w:r>
      <w:r>
        <w:rPr>
          <w:lang w:val="en-HK"/>
        </w:rPr>
        <w:t xml:space="preserve">of </w:t>
      </w:r>
      <w:r w:rsidR="00C01E62">
        <w:rPr>
          <w:lang w:val="en-HK"/>
        </w:rPr>
        <w:t xml:space="preserve">the </w:t>
      </w:r>
      <w:r w:rsidRPr="00771927">
        <w:t>CMBCCH Shares</w:t>
      </w:r>
      <w:r>
        <w:rPr>
          <w:lang w:val="en-HK"/>
        </w:rPr>
        <w:t xml:space="preserve"> was </w:t>
      </w:r>
      <w:r w:rsidR="00444EE4">
        <w:rPr>
          <w:lang w:val="en-HK"/>
        </w:rPr>
        <w:t xml:space="preserve">a </w:t>
      </w:r>
      <w:proofErr w:type="spellStart"/>
      <w:r w:rsidR="00444EE4">
        <w:rPr>
          <w:lang w:val="en-HK"/>
        </w:rPr>
        <w:t>discloseable</w:t>
      </w:r>
      <w:proofErr w:type="spellEnd"/>
      <w:r w:rsidR="00444EE4">
        <w:rPr>
          <w:lang w:val="en-HK"/>
        </w:rPr>
        <w:t xml:space="preserve"> transaction under the</w:t>
      </w:r>
      <w:r w:rsidR="00C01E62">
        <w:rPr>
          <w:lang w:val="en-HK"/>
        </w:rPr>
        <w:t xml:space="preserve"> </w:t>
      </w:r>
      <w:proofErr w:type="spellStart"/>
      <w:r w:rsidR="00C01E62">
        <w:rPr>
          <w:lang w:val="en-HK"/>
        </w:rPr>
        <w:t>HKEx</w:t>
      </w:r>
      <w:proofErr w:type="spellEnd"/>
      <w:r w:rsidR="00444EE4">
        <w:rPr>
          <w:lang w:val="en-HK"/>
        </w:rPr>
        <w:t xml:space="preserve"> Listing Rules carried out during an offer period, </w:t>
      </w:r>
      <w:r w:rsidR="00706C21">
        <w:rPr>
          <w:lang w:val="en-HK"/>
        </w:rPr>
        <w:t>it</w:t>
      </w:r>
      <w:r w:rsidR="00706C21" w:rsidRPr="006B4B79">
        <w:rPr>
          <w:lang w:val="en-HK"/>
        </w:rPr>
        <w:t xml:space="preserve"> </w:t>
      </w:r>
      <w:r w:rsidR="00444EE4" w:rsidRPr="006B4B79">
        <w:rPr>
          <w:lang w:val="en-HK"/>
        </w:rPr>
        <w:t xml:space="preserve">constituted a frustrating action subject to the requirements </w:t>
      </w:r>
      <w:r>
        <w:rPr>
          <w:lang w:val="en-HK"/>
        </w:rPr>
        <w:t xml:space="preserve">of </w:t>
      </w:r>
      <w:r w:rsidR="00444EE4" w:rsidRPr="006B4B79">
        <w:rPr>
          <w:lang w:val="en-HK"/>
        </w:rPr>
        <w:t xml:space="preserve">Rule 4 of the </w:t>
      </w:r>
      <w:r>
        <w:rPr>
          <w:lang w:val="en-HK"/>
        </w:rPr>
        <w:t xml:space="preserve">SFC </w:t>
      </w:r>
      <w:r w:rsidR="00444EE4" w:rsidRPr="006B4B79">
        <w:rPr>
          <w:lang w:val="en-HK"/>
        </w:rPr>
        <w:t>Takeovers Code</w:t>
      </w:r>
      <w:r w:rsidR="00444EE4">
        <w:rPr>
          <w:lang w:val="en-HK"/>
        </w:rPr>
        <w:t xml:space="preserve">. </w:t>
      </w:r>
      <w:r w:rsidR="006738F7">
        <w:rPr>
          <w:lang w:val="en-HK"/>
        </w:rPr>
        <w:t xml:space="preserve">However, Steering </w:t>
      </w:r>
      <w:r w:rsidR="00EA3BBA">
        <w:rPr>
          <w:lang w:val="en-HK"/>
        </w:rPr>
        <w:t xml:space="preserve">had </w:t>
      </w:r>
      <w:r w:rsidR="006738F7">
        <w:rPr>
          <w:lang w:val="en-HK"/>
        </w:rPr>
        <w:t xml:space="preserve">failed to obtain its shareholders’ </w:t>
      </w:r>
      <w:r w:rsidR="00444EE4">
        <w:rPr>
          <w:lang w:val="en-HK"/>
        </w:rPr>
        <w:t xml:space="preserve">approval of </w:t>
      </w:r>
      <w:r w:rsidR="00C01E62">
        <w:rPr>
          <w:lang w:val="en-HK"/>
        </w:rPr>
        <w:t xml:space="preserve">the frustrating action as required by Rule 4, </w:t>
      </w:r>
      <w:r w:rsidR="00444EE4">
        <w:rPr>
          <w:lang w:val="en-HK"/>
        </w:rPr>
        <w:t xml:space="preserve">nor </w:t>
      </w:r>
      <w:r w:rsidR="00C01E62">
        <w:rPr>
          <w:lang w:val="en-HK"/>
        </w:rPr>
        <w:t>did it seek</w:t>
      </w:r>
      <w:r w:rsidR="00444EE4">
        <w:rPr>
          <w:lang w:val="en-HK"/>
        </w:rPr>
        <w:t xml:space="preserve"> a waiver of the </w:t>
      </w:r>
      <w:r w:rsidR="00C01E62">
        <w:rPr>
          <w:lang w:val="en-HK"/>
        </w:rPr>
        <w:t>requirement</w:t>
      </w:r>
      <w:r w:rsidR="00444EE4">
        <w:rPr>
          <w:lang w:val="en-HK"/>
        </w:rPr>
        <w:t xml:space="preserve"> from the </w:t>
      </w:r>
      <w:r w:rsidR="00A00803">
        <w:rPr>
          <w:lang w:val="en-HK"/>
        </w:rPr>
        <w:t>Takeovers Executive</w:t>
      </w:r>
      <w:r w:rsidR="00444EE4">
        <w:rPr>
          <w:lang w:val="en-HK"/>
        </w:rPr>
        <w:t xml:space="preserve">. </w:t>
      </w:r>
      <w:r w:rsidR="00F3486B">
        <w:rPr>
          <w:lang w:val="en-HK"/>
        </w:rPr>
        <w:t>This was</w:t>
      </w:r>
      <w:r w:rsidR="00444EE4">
        <w:rPr>
          <w:lang w:val="en-HK"/>
        </w:rPr>
        <w:t xml:space="preserve"> a clear breach of the</w:t>
      </w:r>
      <w:r w:rsidR="00AB2D1A">
        <w:rPr>
          <w:lang w:val="en-HK"/>
        </w:rPr>
        <w:t xml:space="preserve"> </w:t>
      </w:r>
      <w:r w:rsidR="00F3486B">
        <w:rPr>
          <w:lang w:val="en-HK"/>
        </w:rPr>
        <w:t xml:space="preserve">requirements of </w:t>
      </w:r>
      <w:r w:rsidR="00444EE4">
        <w:rPr>
          <w:lang w:val="en-HK"/>
        </w:rPr>
        <w:t>Rule 4</w:t>
      </w:r>
      <w:r w:rsidR="00F3486B">
        <w:rPr>
          <w:lang w:val="en-HK"/>
        </w:rPr>
        <w:t>.</w:t>
      </w:r>
    </w:p>
    <w:p w14:paraId="179DC84E" w14:textId="77777777" w:rsidR="003A646F" w:rsidRDefault="001332A4" w:rsidP="00706C21">
      <w:pPr>
        <w:jc w:val="both"/>
        <w:rPr>
          <w:lang w:val="en-GB"/>
        </w:rPr>
      </w:pPr>
      <w:r>
        <w:rPr>
          <w:lang w:val="en-HK"/>
        </w:rPr>
        <w:t xml:space="preserve">The SFC </w:t>
      </w:r>
      <w:r w:rsidR="00912F33">
        <w:rPr>
          <w:lang w:val="en-HK"/>
        </w:rPr>
        <w:t xml:space="preserve">viewed </w:t>
      </w:r>
      <w:r>
        <w:rPr>
          <w:lang w:val="en-HK"/>
        </w:rPr>
        <w:t>the failure to comply with the fun</w:t>
      </w:r>
      <w:r w:rsidR="008B327A" w:rsidRPr="008B327A">
        <w:rPr>
          <w:lang w:val="en-HK"/>
        </w:rPr>
        <w:t xml:space="preserve">damental principle </w:t>
      </w:r>
      <w:r>
        <w:rPr>
          <w:lang w:val="en-HK"/>
        </w:rPr>
        <w:t xml:space="preserve">represented by Rule 4 </w:t>
      </w:r>
      <w:r w:rsidR="008B327A" w:rsidRPr="008B327A">
        <w:rPr>
          <w:lang w:val="en-HK"/>
        </w:rPr>
        <w:t>of the</w:t>
      </w:r>
      <w:r w:rsidR="008B327A">
        <w:rPr>
          <w:lang w:val="en-HK"/>
        </w:rPr>
        <w:t xml:space="preserve"> </w:t>
      </w:r>
      <w:r w:rsidR="00912F33">
        <w:rPr>
          <w:lang w:val="en-HK"/>
        </w:rPr>
        <w:t xml:space="preserve">SFC </w:t>
      </w:r>
      <w:r w:rsidR="008B327A" w:rsidRPr="008B327A">
        <w:rPr>
          <w:lang w:val="en-HK"/>
        </w:rPr>
        <w:t xml:space="preserve">Takeovers Code </w:t>
      </w:r>
      <w:r w:rsidR="00912F33">
        <w:rPr>
          <w:lang w:val="en-HK"/>
        </w:rPr>
        <w:t xml:space="preserve">as </w:t>
      </w:r>
      <w:r w:rsidR="008B327A" w:rsidRPr="008B327A">
        <w:rPr>
          <w:lang w:val="en-HK"/>
        </w:rPr>
        <w:t>merit</w:t>
      </w:r>
      <w:r w:rsidR="00912F33">
        <w:rPr>
          <w:lang w:val="en-HK"/>
        </w:rPr>
        <w:t>ing</w:t>
      </w:r>
      <w:r w:rsidR="008B327A" w:rsidRPr="008B327A">
        <w:rPr>
          <w:lang w:val="en-HK"/>
        </w:rPr>
        <w:t xml:space="preserve"> disciplinary action.</w:t>
      </w:r>
      <w:r w:rsidR="008B327A">
        <w:rPr>
          <w:lang w:val="en-HK"/>
        </w:rPr>
        <w:t xml:space="preserve"> </w:t>
      </w:r>
      <w:r w:rsidR="00351069">
        <w:rPr>
          <w:lang w:val="en-HK"/>
        </w:rPr>
        <w:t xml:space="preserve">It took into account that </w:t>
      </w:r>
      <w:r w:rsidR="00706C21">
        <w:rPr>
          <w:lang w:val="en-GB"/>
        </w:rPr>
        <w:t>Mr Gao and Ms Feng were</w:t>
      </w:r>
      <w:r w:rsidR="00351069">
        <w:rPr>
          <w:lang w:val="en-GB"/>
        </w:rPr>
        <w:t xml:space="preserve"> the only directors on the board throughout the relevant period</w:t>
      </w:r>
      <w:r w:rsidR="00706C21">
        <w:rPr>
          <w:lang w:val="en-GB"/>
        </w:rPr>
        <w:t xml:space="preserve"> </w:t>
      </w:r>
      <w:r w:rsidR="00EB7CA5">
        <w:rPr>
          <w:lang w:val="en-GB"/>
        </w:rPr>
        <w:t xml:space="preserve">and that Ms Feng was the sole director of Jet Speed. The Takeovers Executive took disciplinary action against each of Mr Gao and Ms Feng because </w:t>
      </w:r>
      <w:r w:rsidR="00912F33">
        <w:rPr>
          <w:lang w:val="en-GB"/>
        </w:rPr>
        <w:t xml:space="preserve">of their </w:t>
      </w:r>
      <w:r w:rsidR="00706C21">
        <w:rPr>
          <w:lang w:val="en-GB"/>
        </w:rPr>
        <w:t>substantial involve</w:t>
      </w:r>
      <w:r w:rsidR="00912F33">
        <w:rPr>
          <w:lang w:val="en-GB"/>
        </w:rPr>
        <w:t>ment</w:t>
      </w:r>
      <w:r w:rsidR="00706C21">
        <w:rPr>
          <w:lang w:val="en-GB"/>
        </w:rPr>
        <w:t xml:space="preserve"> in the </w:t>
      </w:r>
      <w:r w:rsidR="00EB7CA5">
        <w:rPr>
          <w:lang w:val="en-GB"/>
        </w:rPr>
        <w:t>share d</w:t>
      </w:r>
      <w:r w:rsidR="00706C21">
        <w:rPr>
          <w:lang w:val="en-GB"/>
        </w:rPr>
        <w:t>isposal and</w:t>
      </w:r>
      <w:r w:rsidR="00A377B1">
        <w:rPr>
          <w:lang w:val="en-GB"/>
        </w:rPr>
        <w:t xml:space="preserve"> their position</w:t>
      </w:r>
      <w:r w:rsidR="00706C21">
        <w:rPr>
          <w:lang w:val="en-GB"/>
        </w:rPr>
        <w:t xml:space="preserve"> as directors </w:t>
      </w:r>
      <w:r w:rsidR="00A377B1">
        <w:rPr>
          <w:lang w:val="en-GB"/>
        </w:rPr>
        <w:t xml:space="preserve">who </w:t>
      </w:r>
      <w:r w:rsidR="00706C21">
        <w:rPr>
          <w:lang w:val="en-GB"/>
        </w:rPr>
        <w:t>ow</w:t>
      </w:r>
      <w:r w:rsidR="00A377B1">
        <w:rPr>
          <w:lang w:val="en-GB"/>
        </w:rPr>
        <w:t xml:space="preserve">ed </w:t>
      </w:r>
      <w:r w:rsidR="00706C21">
        <w:rPr>
          <w:lang w:val="en-GB"/>
        </w:rPr>
        <w:t>duties</w:t>
      </w:r>
      <w:r w:rsidR="008B327A">
        <w:rPr>
          <w:lang w:val="en-GB"/>
        </w:rPr>
        <w:t xml:space="preserve"> to Steering</w:t>
      </w:r>
      <w:r w:rsidR="006D2FF5">
        <w:rPr>
          <w:lang w:val="en-GB"/>
        </w:rPr>
        <w:t>.</w:t>
      </w:r>
    </w:p>
    <w:p w14:paraId="1B1A187A" w14:textId="77777777" w:rsidR="00706C21" w:rsidRDefault="003A646F" w:rsidP="00706C21">
      <w:pPr>
        <w:jc w:val="both"/>
        <w:rPr>
          <w:lang w:val="en-GB"/>
        </w:rPr>
      </w:pPr>
      <w:r>
        <w:rPr>
          <w:lang w:val="en-GB"/>
        </w:rPr>
        <w:t xml:space="preserve">Mr Gao and Ms Feng admitted the </w:t>
      </w:r>
      <w:r w:rsidR="00D276E5">
        <w:rPr>
          <w:lang w:val="en-GB"/>
        </w:rPr>
        <w:t>breaches of</w:t>
      </w:r>
      <w:r>
        <w:rPr>
          <w:lang w:val="en-GB"/>
        </w:rPr>
        <w:t xml:space="preserve"> the requirements of Rule 4 of the SFC Takeovers Code, which they said were due to </w:t>
      </w:r>
      <w:r w:rsidR="008268D9">
        <w:rPr>
          <w:lang w:val="en-GB"/>
        </w:rPr>
        <w:t xml:space="preserve">oversight and </w:t>
      </w:r>
      <w:r>
        <w:rPr>
          <w:lang w:val="en-GB"/>
        </w:rPr>
        <w:t>their</w:t>
      </w:r>
      <w:r w:rsidR="008268D9">
        <w:rPr>
          <w:lang w:val="en-GB"/>
        </w:rPr>
        <w:t xml:space="preserve"> misunderstanding of the </w:t>
      </w:r>
      <w:r w:rsidR="00DB3C16">
        <w:rPr>
          <w:lang w:val="en-GB"/>
        </w:rPr>
        <w:t>SFC Takeovers Code requirements.</w:t>
      </w:r>
      <w:r>
        <w:rPr>
          <w:lang w:val="en-GB"/>
        </w:rPr>
        <w:t xml:space="preserve"> </w:t>
      </w:r>
      <w:r w:rsidR="00DB3C16">
        <w:rPr>
          <w:lang w:val="en-GB"/>
        </w:rPr>
        <w:t>As noted in the Takeovers Executive’s disciplinary statement, the case illustrates the importance of listed company directors seeking professional advice where their actions may have implications under the SFC Takeovers Code. If there is uncertainty as to the Takeovers Code’s application, the Takeovers Executive should be consulted at the earliest opportunity.</w:t>
      </w:r>
    </w:p>
    <w:p w14:paraId="5329C661" w14:textId="77777777" w:rsidR="00505DBB" w:rsidRPr="009D6AAE" w:rsidRDefault="00505DBB" w:rsidP="00505DBB">
      <w:pPr>
        <w:pStyle w:val="a5"/>
        <w:rPr>
          <w:b/>
          <w:color w:val="FF0000"/>
          <w:lang w:val="en-GB"/>
        </w:rPr>
      </w:pPr>
      <w:r>
        <w:rPr>
          <w:b/>
          <w:color w:val="FF0000"/>
          <w:lang w:val="en-GB"/>
        </w:rPr>
        <w:t xml:space="preserve">SFC </w:t>
      </w:r>
      <w:r w:rsidR="00EA10FC">
        <w:rPr>
          <w:b/>
          <w:color w:val="FF0000"/>
          <w:lang w:val="en-GB"/>
        </w:rPr>
        <w:t>Ban</w:t>
      </w:r>
      <w:r w:rsidR="0068097B">
        <w:rPr>
          <w:b/>
          <w:color w:val="FF0000"/>
          <w:lang w:val="en-GB"/>
        </w:rPr>
        <w:t xml:space="preserve">s </w:t>
      </w:r>
      <w:r w:rsidR="00EA10FC">
        <w:rPr>
          <w:b/>
          <w:color w:val="FF0000"/>
          <w:lang w:val="en-GB"/>
        </w:rPr>
        <w:t xml:space="preserve">Licensed Representative for </w:t>
      </w:r>
      <w:r w:rsidR="0068097B">
        <w:rPr>
          <w:b/>
          <w:color w:val="FF0000"/>
          <w:lang w:val="en-GB"/>
        </w:rPr>
        <w:t xml:space="preserve">20 Months for </w:t>
      </w:r>
      <w:r w:rsidR="00DB79EE">
        <w:rPr>
          <w:b/>
          <w:color w:val="FF0000"/>
          <w:lang w:val="en-GB"/>
        </w:rPr>
        <w:t>Trading with</w:t>
      </w:r>
      <w:r w:rsidR="00E72596">
        <w:rPr>
          <w:b/>
          <w:color w:val="FF0000"/>
          <w:lang w:val="en-GB"/>
        </w:rPr>
        <w:t>out</w:t>
      </w:r>
      <w:r w:rsidR="00DB79EE">
        <w:rPr>
          <w:b/>
          <w:color w:val="FF0000"/>
          <w:lang w:val="en-GB"/>
        </w:rPr>
        <w:t xml:space="preserve"> Client Authorisation</w:t>
      </w:r>
    </w:p>
    <w:p w14:paraId="04AC4AB6" w14:textId="14229849" w:rsidR="00155ADA" w:rsidRDefault="00505DBB" w:rsidP="00DB79EE">
      <w:pPr>
        <w:jc w:val="both"/>
        <w:rPr>
          <w:lang w:val="en-GB"/>
        </w:rPr>
      </w:pPr>
      <w:r>
        <w:rPr>
          <w:lang w:val="en-GB"/>
        </w:rPr>
        <w:t xml:space="preserve">On 12 April 2022, </w:t>
      </w:r>
      <w:r w:rsidR="002B4A4E">
        <w:rPr>
          <w:lang w:val="en-GB"/>
        </w:rPr>
        <w:t xml:space="preserve">the </w:t>
      </w:r>
      <w:r w:rsidR="002B4A4E" w:rsidRPr="00771927">
        <w:rPr>
          <w:lang w:val="en-GB"/>
        </w:rPr>
        <w:t>SFC</w:t>
      </w:r>
      <w:r w:rsidR="002B4A4E">
        <w:rPr>
          <w:lang w:val="en-GB"/>
        </w:rPr>
        <w:t xml:space="preserve"> </w:t>
      </w:r>
      <w:r w:rsidR="0095309E">
        <w:rPr>
          <w:lang w:val="en-GB"/>
        </w:rPr>
        <w:t xml:space="preserve">banned </w:t>
      </w:r>
      <w:r w:rsidR="0068097B">
        <w:rPr>
          <w:lang w:val="en-GB"/>
        </w:rPr>
        <w:t xml:space="preserve">licensed representative Mr </w:t>
      </w:r>
      <w:r w:rsidR="0095309E">
        <w:rPr>
          <w:lang w:val="en-GB"/>
        </w:rPr>
        <w:t>Poon Choi Yung (</w:t>
      </w:r>
      <w:r w:rsidR="000E78A4" w:rsidRPr="00771927">
        <w:rPr>
          <w:b/>
          <w:lang w:val="en-GB"/>
        </w:rPr>
        <w:t>Mr</w:t>
      </w:r>
      <w:r w:rsidR="000E78A4">
        <w:rPr>
          <w:lang w:val="en-GB"/>
        </w:rPr>
        <w:t xml:space="preserve"> </w:t>
      </w:r>
      <w:r w:rsidR="00E72596">
        <w:rPr>
          <w:b/>
          <w:lang w:val="en-GB"/>
        </w:rPr>
        <w:t>Poo</w:t>
      </w:r>
      <w:r w:rsidR="00763F46">
        <w:rPr>
          <w:b/>
          <w:lang w:val="en-GB"/>
        </w:rPr>
        <w:t>n</w:t>
      </w:r>
      <w:r w:rsidR="0095309E">
        <w:rPr>
          <w:lang w:val="en-GB"/>
        </w:rPr>
        <w:t xml:space="preserve">) </w:t>
      </w:r>
      <w:r w:rsidR="00BA3B9A">
        <w:rPr>
          <w:lang w:val="en-GB"/>
        </w:rPr>
        <w:t>from re-entering the industry for 20 months</w:t>
      </w:r>
      <w:r w:rsidR="0068097B">
        <w:rPr>
          <w:lang w:val="en-GB"/>
        </w:rPr>
        <w:t xml:space="preserve"> in disciplinary proceedings under section 194 of the Securities and Futures Ordinance</w:t>
      </w:r>
      <w:r w:rsidR="0094537E">
        <w:rPr>
          <w:lang w:val="en-GB"/>
        </w:rPr>
        <w:t xml:space="preserve">. The </w:t>
      </w:r>
      <w:r w:rsidR="0068097B">
        <w:rPr>
          <w:lang w:val="en-GB"/>
        </w:rPr>
        <w:t xml:space="preserve">ban was imposed </w:t>
      </w:r>
      <w:r w:rsidR="00155ADA">
        <w:rPr>
          <w:lang w:val="en-GB"/>
        </w:rPr>
        <w:t xml:space="preserve">for breaches of the SFC’s </w:t>
      </w:r>
      <w:hyperlink r:id="rId11" w:history="1">
        <w:r w:rsidR="00155ADA" w:rsidRPr="00AB2D1A">
          <w:rPr>
            <w:rStyle w:val="af"/>
            <w:lang w:val="en-GB"/>
          </w:rPr>
          <w:t>Code of Conduct for Persons Licensed by or Registered with the SFC</w:t>
        </w:r>
      </w:hyperlink>
      <w:r w:rsidR="00155ADA" w:rsidRPr="0094537E">
        <w:rPr>
          <w:lang w:val="en-GB"/>
        </w:rPr>
        <w:t xml:space="preserve"> (</w:t>
      </w:r>
      <w:r w:rsidR="00155ADA">
        <w:rPr>
          <w:lang w:val="en-GB"/>
        </w:rPr>
        <w:t xml:space="preserve">the </w:t>
      </w:r>
      <w:r w:rsidR="00155ADA" w:rsidRPr="005D1CEF">
        <w:rPr>
          <w:b/>
          <w:lang w:val="en-GB"/>
        </w:rPr>
        <w:t>SFC Code of Conduct</w:t>
      </w:r>
      <w:r w:rsidR="00155ADA" w:rsidRPr="0094537E">
        <w:rPr>
          <w:lang w:val="en-GB"/>
        </w:rPr>
        <w:t>)</w:t>
      </w:r>
      <w:r w:rsidR="00155ADA">
        <w:rPr>
          <w:lang w:val="en-GB"/>
        </w:rPr>
        <w:t xml:space="preserve"> committed when Mr Poon:</w:t>
      </w:r>
    </w:p>
    <w:p w14:paraId="60BAE8EE" w14:textId="77777777" w:rsidR="00155ADA" w:rsidRDefault="00155ADA" w:rsidP="00212808">
      <w:pPr>
        <w:pStyle w:val="af0"/>
        <w:numPr>
          <w:ilvl w:val="0"/>
          <w:numId w:val="23"/>
        </w:numPr>
        <w:jc w:val="both"/>
        <w:rPr>
          <w:color w:val="000000" w:themeColor="text1"/>
          <w:lang w:val="en-GB"/>
        </w:rPr>
      </w:pPr>
      <w:r w:rsidRPr="00155ADA">
        <w:rPr>
          <w:lang w:val="en-GB"/>
        </w:rPr>
        <w:t xml:space="preserve">traded </w:t>
      </w:r>
      <w:r w:rsidR="003D5E5F" w:rsidRPr="00155ADA">
        <w:rPr>
          <w:lang w:val="en-GB"/>
        </w:rPr>
        <w:t>in clients’ accounts without their specific authorisation</w:t>
      </w:r>
      <w:r w:rsidR="0004051D">
        <w:rPr>
          <w:lang w:val="en-GB"/>
        </w:rPr>
        <w:t xml:space="preserve"> of the trades</w:t>
      </w:r>
      <w:r w:rsidR="0068097B" w:rsidRPr="00155ADA">
        <w:rPr>
          <w:lang w:val="en-GB"/>
        </w:rPr>
        <w:t xml:space="preserve"> and/</w:t>
      </w:r>
      <w:r w:rsidR="0094537E" w:rsidRPr="00155ADA">
        <w:rPr>
          <w:lang w:val="en-GB"/>
        </w:rPr>
        <w:t xml:space="preserve">or </w:t>
      </w:r>
      <w:r w:rsidR="0004051D">
        <w:rPr>
          <w:lang w:val="en-GB"/>
        </w:rPr>
        <w:t xml:space="preserve">their </w:t>
      </w:r>
      <w:r w:rsidR="0094537E" w:rsidRPr="00155ADA">
        <w:rPr>
          <w:lang w:val="en-GB"/>
        </w:rPr>
        <w:t xml:space="preserve">written authorisation to </w:t>
      </w:r>
      <w:proofErr w:type="gramStart"/>
      <w:r w:rsidR="0094537E" w:rsidRPr="00155ADA">
        <w:rPr>
          <w:lang w:val="en-GB"/>
        </w:rPr>
        <w:t>effect</w:t>
      </w:r>
      <w:proofErr w:type="gramEnd"/>
      <w:r w:rsidR="0094537E" w:rsidRPr="00155ADA">
        <w:rPr>
          <w:lang w:val="en-GB"/>
        </w:rPr>
        <w:t xml:space="preserve"> the trades on a discretionary basis</w:t>
      </w:r>
      <w:r w:rsidRPr="00155ADA">
        <w:rPr>
          <w:lang w:val="en-GB"/>
        </w:rPr>
        <w:t>; and</w:t>
      </w:r>
    </w:p>
    <w:p w14:paraId="7D86D0DE" w14:textId="77777777" w:rsidR="00155ADA" w:rsidRDefault="00155ADA" w:rsidP="00155ADA">
      <w:pPr>
        <w:pStyle w:val="af0"/>
        <w:ind w:left="884"/>
        <w:jc w:val="both"/>
        <w:rPr>
          <w:color w:val="000000" w:themeColor="text1"/>
          <w:lang w:val="en-GB"/>
        </w:rPr>
      </w:pPr>
    </w:p>
    <w:p w14:paraId="3807CFC2" w14:textId="77777777" w:rsidR="00155ADA" w:rsidRPr="00155ADA" w:rsidRDefault="0094537E" w:rsidP="00155ADA">
      <w:pPr>
        <w:pStyle w:val="af0"/>
        <w:numPr>
          <w:ilvl w:val="0"/>
          <w:numId w:val="23"/>
        </w:numPr>
        <w:jc w:val="both"/>
        <w:rPr>
          <w:color w:val="000000" w:themeColor="text1"/>
          <w:lang w:val="en-GB"/>
        </w:rPr>
      </w:pPr>
      <w:r w:rsidRPr="00155ADA">
        <w:rPr>
          <w:lang w:val="en-GB"/>
        </w:rPr>
        <w:t>failed to exercise du</w:t>
      </w:r>
      <w:r w:rsidR="00155ADA">
        <w:rPr>
          <w:lang w:val="en-GB"/>
        </w:rPr>
        <w:t>e skill, care and diligence in</w:t>
      </w:r>
      <w:r w:rsidRPr="00155ADA">
        <w:rPr>
          <w:lang w:val="en-GB"/>
        </w:rPr>
        <w:t xml:space="preserve"> assisting clients to complete their account opening forms, and failed to take reasonable steps to establish their financial situations and investment experience during account opening</w:t>
      </w:r>
      <w:r w:rsidR="00F10CA0" w:rsidRPr="00155ADA">
        <w:rPr>
          <w:lang w:val="en-GB"/>
        </w:rPr>
        <w:t>.</w:t>
      </w:r>
      <w:r w:rsidR="0004391C" w:rsidRPr="00155ADA">
        <w:rPr>
          <w:lang w:val="en-GB"/>
        </w:rPr>
        <w:t xml:space="preserve"> </w:t>
      </w:r>
    </w:p>
    <w:p w14:paraId="1EBA09BD" w14:textId="77777777" w:rsidR="005A6032" w:rsidRDefault="0004391C" w:rsidP="00155ADA">
      <w:pPr>
        <w:jc w:val="both"/>
        <w:rPr>
          <w:rStyle w:val="af"/>
          <w:color w:val="000000" w:themeColor="text1"/>
          <w:u w:val="none"/>
          <w:lang w:val="en-GB"/>
        </w:rPr>
      </w:pPr>
      <w:r w:rsidRPr="00155ADA">
        <w:rPr>
          <w:lang w:val="en-GB"/>
        </w:rPr>
        <w:t xml:space="preserve">The SFC’s </w:t>
      </w:r>
      <w:r w:rsidR="004002F2" w:rsidRPr="00155ADA">
        <w:rPr>
          <w:lang w:val="en-GB"/>
        </w:rPr>
        <w:t xml:space="preserve">Statement of Disciplinary Action is available </w:t>
      </w:r>
      <w:hyperlink r:id="rId12" w:history="1">
        <w:r w:rsidR="004002F2" w:rsidRPr="00155ADA">
          <w:rPr>
            <w:rStyle w:val="af"/>
            <w:i/>
            <w:lang w:val="en-GB"/>
          </w:rPr>
          <w:t>he</w:t>
        </w:r>
        <w:r w:rsidR="0068097B" w:rsidRPr="00155ADA">
          <w:rPr>
            <w:rStyle w:val="af"/>
            <w:i/>
            <w:lang w:val="en-GB"/>
          </w:rPr>
          <w:t>re</w:t>
        </w:r>
      </w:hyperlink>
      <w:r w:rsidR="005A6032" w:rsidRPr="00155ADA">
        <w:rPr>
          <w:rStyle w:val="af"/>
          <w:color w:val="000000" w:themeColor="text1"/>
          <w:u w:val="none"/>
          <w:lang w:val="en-GB"/>
        </w:rPr>
        <w:t>.</w:t>
      </w:r>
    </w:p>
    <w:p w14:paraId="62145D57" w14:textId="77777777" w:rsidR="005A6032" w:rsidRDefault="005A6032" w:rsidP="00B724FE">
      <w:pPr>
        <w:jc w:val="both"/>
        <w:rPr>
          <w:lang w:val="en-GB"/>
        </w:rPr>
      </w:pPr>
      <w:r>
        <w:rPr>
          <w:lang w:val="en-GB"/>
        </w:rPr>
        <w:t xml:space="preserve">Mr Poon was a licensed representative of China </w:t>
      </w:r>
      <w:proofErr w:type="spellStart"/>
      <w:r>
        <w:rPr>
          <w:lang w:val="en-GB"/>
        </w:rPr>
        <w:t>Tonghai</w:t>
      </w:r>
      <w:proofErr w:type="spellEnd"/>
      <w:r>
        <w:rPr>
          <w:lang w:val="en-GB"/>
        </w:rPr>
        <w:t xml:space="preserve"> Securities Limited (</w:t>
      </w:r>
      <w:r w:rsidRPr="002C7E39">
        <w:rPr>
          <w:b/>
          <w:lang w:val="en-GB"/>
        </w:rPr>
        <w:t>CTSL</w:t>
      </w:r>
      <w:r>
        <w:rPr>
          <w:lang w:val="en-GB"/>
        </w:rPr>
        <w:t xml:space="preserve">) </w:t>
      </w:r>
      <w:r w:rsidR="00B724FE">
        <w:rPr>
          <w:lang w:val="en-GB"/>
        </w:rPr>
        <w:t xml:space="preserve">where he was responsible for </w:t>
      </w:r>
      <w:r>
        <w:rPr>
          <w:lang w:val="en-GB"/>
        </w:rPr>
        <w:t xml:space="preserve">client account opening and placing orders for clients. </w:t>
      </w:r>
      <w:r w:rsidR="00B724FE">
        <w:rPr>
          <w:lang w:val="en-GB"/>
        </w:rPr>
        <w:t>The SFC investigated Mr Poon after receiving</w:t>
      </w:r>
      <w:r>
        <w:rPr>
          <w:lang w:val="en-GB"/>
        </w:rPr>
        <w:t xml:space="preserve"> a complaint from a </w:t>
      </w:r>
      <w:r w:rsidR="00B724FE">
        <w:rPr>
          <w:lang w:val="en-GB"/>
        </w:rPr>
        <w:t>CTSL client who claim</w:t>
      </w:r>
      <w:r>
        <w:rPr>
          <w:lang w:val="en-GB"/>
        </w:rPr>
        <w:t xml:space="preserve">ed that Mr </w:t>
      </w:r>
      <w:r w:rsidR="00B724FE">
        <w:rPr>
          <w:lang w:val="en-GB"/>
        </w:rPr>
        <w:t>Poon had been irresponsible in</w:t>
      </w:r>
      <w:r>
        <w:rPr>
          <w:lang w:val="en-GB"/>
        </w:rPr>
        <w:t xml:space="preserve"> operating her accounts</w:t>
      </w:r>
      <w:r w:rsidR="00B724FE">
        <w:rPr>
          <w:lang w:val="en-GB"/>
        </w:rPr>
        <w:t xml:space="preserve">. </w:t>
      </w:r>
      <w:r>
        <w:rPr>
          <w:lang w:val="en-GB"/>
        </w:rPr>
        <w:t xml:space="preserve"> </w:t>
      </w:r>
    </w:p>
    <w:p w14:paraId="424DCFF6" w14:textId="77777777" w:rsidR="00F67C81" w:rsidRPr="00A9499E" w:rsidRDefault="001D6CAD" w:rsidP="00F67C81">
      <w:pPr>
        <w:jc w:val="both"/>
        <w:rPr>
          <w:b/>
          <w:lang w:val="en-GB"/>
        </w:rPr>
      </w:pPr>
      <w:r>
        <w:rPr>
          <w:b/>
          <w:lang w:val="en-GB"/>
        </w:rPr>
        <w:t xml:space="preserve">Breach of </w:t>
      </w:r>
      <w:r w:rsidR="00F67C81" w:rsidRPr="00A9499E">
        <w:rPr>
          <w:b/>
          <w:lang w:val="en-GB"/>
        </w:rPr>
        <w:t>SFC Code of Conduct Requirements</w:t>
      </w:r>
    </w:p>
    <w:p w14:paraId="3E2FE5C9" w14:textId="77777777" w:rsidR="0094537E" w:rsidRDefault="0094537E" w:rsidP="0094537E">
      <w:pPr>
        <w:jc w:val="both"/>
        <w:rPr>
          <w:lang w:val="en-GB"/>
        </w:rPr>
      </w:pPr>
      <w:r>
        <w:rPr>
          <w:lang w:val="en-GB"/>
        </w:rPr>
        <w:t xml:space="preserve">The SFC found that Mr </w:t>
      </w:r>
      <w:r w:rsidRPr="0094537E">
        <w:rPr>
          <w:lang w:val="en-GB"/>
        </w:rPr>
        <w:t>Poon</w:t>
      </w:r>
      <w:r>
        <w:rPr>
          <w:lang w:val="en-GB"/>
        </w:rPr>
        <w:t xml:space="preserve"> </w:t>
      </w:r>
      <w:r w:rsidR="001D6CAD">
        <w:rPr>
          <w:lang w:val="en-GB"/>
        </w:rPr>
        <w:t xml:space="preserve">had </w:t>
      </w:r>
      <w:r>
        <w:rPr>
          <w:lang w:val="en-GB"/>
        </w:rPr>
        <w:t xml:space="preserve">breached </w:t>
      </w:r>
      <w:r w:rsidR="001D6CAD">
        <w:rPr>
          <w:lang w:val="en-GB"/>
        </w:rPr>
        <w:t>General Principle 2 and</w:t>
      </w:r>
      <w:r w:rsidRPr="0094537E">
        <w:rPr>
          <w:lang w:val="en-GB"/>
        </w:rPr>
        <w:t xml:space="preserve"> paragraphs 5.1(a) and</w:t>
      </w:r>
      <w:r>
        <w:rPr>
          <w:lang w:val="en-GB"/>
        </w:rPr>
        <w:t xml:space="preserve"> </w:t>
      </w:r>
      <w:r w:rsidRPr="0094537E">
        <w:rPr>
          <w:lang w:val="en-GB"/>
        </w:rPr>
        <w:t xml:space="preserve">7.1(a) of </w:t>
      </w:r>
      <w:r w:rsidR="00B87679">
        <w:rPr>
          <w:lang w:val="en-GB"/>
        </w:rPr>
        <w:t>the SFC</w:t>
      </w:r>
      <w:r w:rsidR="005A6032">
        <w:rPr>
          <w:lang w:val="en-GB"/>
        </w:rPr>
        <w:t xml:space="preserve"> Code of Conduct</w:t>
      </w:r>
      <w:r w:rsidRPr="0094537E">
        <w:rPr>
          <w:lang w:val="en-GB"/>
        </w:rPr>
        <w:t>.</w:t>
      </w:r>
    </w:p>
    <w:p w14:paraId="4E8F2C8E" w14:textId="77777777" w:rsidR="0094537E" w:rsidRDefault="0094537E" w:rsidP="0094537E">
      <w:pPr>
        <w:jc w:val="both"/>
        <w:rPr>
          <w:lang w:val="en-GB"/>
        </w:rPr>
      </w:pPr>
      <w:r w:rsidRPr="00DB79EE">
        <w:rPr>
          <w:b/>
          <w:lang w:val="en-GB"/>
        </w:rPr>
        <w:t>General Principle 2</w:t>
      </w:r>
      <w:r>
        <w:rPr>
          <w:lang w:val="en-GB"/>
        </w:rPr>
        <w:t xml:space="preserve"> </w:t>
      </w:r>
      <w:r w:rsidR="005A6032">
        <w:rPr>
          <w:lang w:val="en-GB"/>
        </w:rPr>
        <w:t>requires</w:t>
      </w:r>
      <w:r>
        <w:rPr>
          <w:lang w:val="en-GB"/>
        </w:rPr>
        <w:t xml:space="preserve"> </w:t>
      </w:r>
      <w:r w:rsidRPr="009D5F7F">
        <w:rPr>
          <w:lang w:val="en-GB"/>
        </w:rPr>
        <w:t>licensed person</w:t>
      </w:r>
      <w:r w:rsidR="005A6032">
        <w:rPr>
          <w:lang w:val="en-GB"/>
        </w:rPr>
        <w:t>s</w:t>
      </w:r>
      <w:r>
        <w:rPr>
          <w:lang w:val="en-GB"/>
        </w:rPr>
        <w:t xml:space="preserve"> </w:t>
      </w:r>
      <w:r w:rsidR="005A6032">
        <w:rPr>
          <w:lang w:val="en-GB"/>
        </w:rPr>
        <w:t>to</w:t>
      </w:r>
      <w:r w:rsidRPr="009D5F7F">
        <w:rPr>
          <w:lang w:val="en-GB"/>
        </w:rPr>
        <w:t xml:space="preserve"> act with due skill, care and diligence,</w:t>
      </w:r>
      <w:r w:rsidRPr="009D5F7F">
        <w:t xml:space="preserve"> </w:t>
      </w:r>
      <w:r w:rsidRPr="009D5F7F">
        <w:rPr>
          <w:lang w:val="en-GB"/>
        </w:rPr>
        <w:t>in the best interests of</w:t>
      </w:r>
      <w:r w:rsidR="005A6032">
        <w:rPr>
          <w:lang w:val="en-GB"/>
        </w:rPr>
        <w:t xml:space="preserve"> their </w:t>
      </w:r>
      <w:r w:rsidRPr="009D5F7F">
        <w:rPr>
          <w:lang w:val="en-GB"/>
        </w:rPr>
        <w:t>clients and the integrity of the market.</w:t>
      </w:r>
    </w:p>
    <w:p w14:paraId="65AD29F0" w14:textId="77777777" w:rsidR="0094537E" w:rsidRDefault="0094537E" w:rsidP="002D7BE3">
      <w:pPr>
        <w:jc w:val="both"/>
        <w:rPr>
          <w:lang w:val="en-GB"/>
        </w:rPr>
      </w:pPr>
      <w:r w:rsidRPr="00DB79EE">
        <w:rPr>
          <w:b/>
          <w:lang w:val="en-GB"/>
        </w:rPr>
        <w:lastRenderedPageBreak/>
        <w:t>Paragraph 7.1(a)</w:t>
      </w:r>
      <w:r>
        <w:rPr>
          <w:lang w:val="en-GB"/>
        </w:rPr>
        <w:t xml:space="preserve"> </w:t>
      </w:r>
      <w:r w:rsidR="005A6032">
        <w:rPr>
          <w:lang w:val="en-GB"/>
        </w:rPr>
        <w:t>provid</w:t>
      </w:r>
      <w:r>
        <w:rPr>
          <w:lang w:val="en-GB"/>
        </w:rPr>
        <w:t>es that a</w:t>
      </w:r>
      <w:r w:rsidRPr="00124FB6">
        <w:rPr>
          <w:lang w:val="en-GB"/>
        </w:rPr>
        <w:t xml:space="preserve"> licensed person should not </w:t>
      </w:r>
      <w:proofErr w:type="gramStart"/>
      <w:r w:rsidRPr="00124FB6">
        <w:rPr>
          <w:lang w:val="en-GB"/>
        </w:rPr>
        <w:t>effect</w:t>
      </w:r>
      <w:proofErr w:type="gramEnd"/>
      <w:r w:rsidRPr="00124FB6">
        <w:rPr>
          <w:lang w:val="en-GB"/>
        </w:rPr>
        <w:t xml:space="preserve"> a transaction for a client unless before the transaction is effected: (</w:t>
      </w:r>
      <w:proofErr w:type="spellStart"/>
      <w:r w:rsidRPr="00124FB6">
        <w:rPr>
          <w:lang w:val="en-GB"/>
        </w:rPr>
        <w:t>i</w:t>
      </w:r>
      <w:proofErr w:type="spellEnd"/>
      <w:r w:rsidRPr="00124FB6">
        <w:rPr>
          <w:lang w:val="en-GB"/>
        </w:rPr>
        <w:t>) the client (or a person designated in writing by the client) has specifically authorised the transaction; or (ii) the client has authorised in writing the licensed person (or any person employed by the licensed person, who must in turn be a licensed person) to effect transactions for the client without the client’s specific authorisation</w:t>
      </w:r>
      <w:r>
        <w:rPr>
          <w:lang w:val="en-GB"/>
        </w:rPr>
        <w:t>.</w:t>
      </w:r>
    </w:p>
    <w:p w14:paraId="3F2EBAAC" w14:textId="77777777" w:rsidR="0094537E" w:rsidRPr="00A9499E" w:rsidRDefault="0094537E" w:rsidP="0094537E">
      <w:pPr>
        <w:jc w:val="both"/>
      </w:pPr>
      <w:r w:rsidRPr="00DB79EE">
        <w:rPr>
          <w:b/>
          <w:lang w:val="en-GB"/>
        </w:rPr>
        <w:t>Paragraph 5.1(a)</w:t>
      </w:r>
      <w:r>
        <w:rPr>
          <w:lang w:val="en-GB"/>
        </w:rPr>
        <w:t xml:space="preserve"> </w:t>
      </w:r>
      <w:r w:rsidR="00DB79EE">
        <w:rPr>
          <w:lang w:val="en-GB"/>
        </w:rPr>
        <w:t xml:space="preserve">requires </w:t>
      </w:r>
      <w:r>
        <w:rPr>
          <w:lang w:val="en-GB"/>
        </w:rPr>
        <w:t>a</w:t>
      </w:r>
      <w:r w:rsidR="00DB79EE">
        <w:t xml:space="preserve"> licensed person to</w:t>
      </w:r>
      <w:r>
        <w:t xml:space="preserve"> take all reasonable steps to establish the true and full identity of each of its clients, and each client's financial s</w:t>
      </w:r>
      <w:r w:rsidR="00F707B1">
        <w:t>ituation, investment experience</w:t>
      </w:r>
      <w:r>
        <w:t xml:space="preserve"> and investment objectives. Where an account opening procedure other than a face-to-face approach is used, it should be one that satisfactorily ensures the identity of the client.</w:t>
      </w:r>
    </w:p>
    <w:p w14:paraId="7EBC3431" w14:textId="77777777" w:rsidR="00FB3416" w:rsidRPr="00771927" w:rsidRDefault="009F3878" w:rsidP="002D7BE3">
      <w:pPr>
        <w:jc w:val="both"/>
        <w:rPr>
          <w:b/>
          <w:lang w:val="en-GB"/>
        </w:rPr>
      </w:pPr>
      <w:r w:rsidRPr="00A9499E">
        <w:rPr>
          <w:b/>
          <w:lang w:val="en-GB"/>
        </w:rPr>
        <w:t xml:space="preserve">Conducting </w:t>
      </w:r>
      <w:r>
        <w:rPr>
          <w:b/>
          <w:lang w:val="en-GB"/>
        </w:rPr>
        <w:t>D</w:t>
      </w:r>
      <w:r w:rsidRPr="00A9499E">
        <w:rPr>
          <w:b/>
          <w:lang w:val="en-GB"/>
        </w:rPr>
        <w:t xml:space="preserve">iscretionary </w:t>
      </w:r>
      <w:r>
        <w:rPr>
          <w:b/>
          <w:lang w:val="en-GB"/>
        </w:rPr>
        <w:t>T</w:t>
      </w:r>
      <w:r w:rsidRPr="00A9499E">
        <w:rPr>
          <w:b/>
          <w:lang w:val="en-GB"/>
        </w:rPr>
        <w:t xml:space="preserve">rades without </w:t>
      </w:r>
      <w:r>
        <w:rPr>
          <w:b/>
          <w:lang w:val="en-GB"/>
        </w:rPr>
        <w:t>C</w:t>
      </w:r>
      <w:r w:rsidRPr="00A9499E">
        <w:rPr>
          <w:b/>
          <w:lang w:val="en-GB"/>
        </w:rPr>
        <w:t xml:space="preserve">lients’ </w:t>
      </w:r>
      <w:r>
        <w:rPr>
          <w:b/>
          <w:lang w:val="en-GB"/>
        </w:rPr>
        <w:t>W</w:t>
      </w:r>
      <w:r w:rsidRPr="00A9499E">
        <w:rPr>
          <w:b/>
          <w:lang w:val="en-GB"/>
        </w:rPr>
        <w:t xml:space="preserve">ritten </w:t>
      </w:r>
      <w:r>
        <w:rPr>
          <w:b/>
          <w:lang w:val="en-GB"/>
        </w:rPr>
        <w:t>A</w:t>
      </w:r>
      <w:r w:rsidR="00E73844">
        <w:rPr>
          <w:b/>
          <w:lang w:val="en-GB"/>
        </w:rPr>
        <w:t>uthorisation</w:t>
      </w:r>
    </w:p>
    <w:p w14:paraId="152B4898" w14:textId="77777777" w:rsidR="00540905" w:rsidRDefault="00E73844" w:rsidP="002D7BE3">
      <w:pPr>
        <w:jc w:val="both"/>
        <w:rPr>
          <w:lang w:val="en-GB"/>
        </w:rPr>
      </w:pPr>
      <w:r>
        <w:rPr>
          <w:lang w:val="en-GB"/>
        </w:rPr>
        <w:t>The SFC</w:t>
      </w:r>
      <w:r w:rsidR="00012597">
        <w:rPr>
          <w:lang w:val="en-GB"/>
        </w:rPr>
        <w:t xml:space="preserve"> investigation </w:t>
      </w:r>
      <w:r w:rsidR="005A6032">
        <w:rPr>
          <w:lang w:val="en-GB"/>
        </w:rPr>
        <w:t xml:space="preserve">found </w:t>
      </w:r>
      <w:r w:rsidR="00E71068">
        <w:rPr>
          <w:lang w:val="en-GB"/>
        </w:rPr>
        <w:t xml:space="preserve">that </w:t>
      </w:r>
      <w:r w:rsidR="005D1D5D" w:rsidRPr="005D1D5D">
        <w:rPr>
          <w:lang w:val="en-GB"/>
        </w:rPr>
        <w:t>between June 2019 and March 2020</w:t>
      </w:r>
      <w:r w:rsidR="005D1D5D">
        <w:rPr>
          <w:lang w:val="en-GB"/>
        </w:rPr>
        <w:t xml:space="preserve">, </w:t>
      </w:r>
      <w:r w:rsidR="000E78A4">
        <w:rPr>
          <w:lang w:val="en-GB"/>
        </w:rPr>
        <w:t xml:space="preserve">Mr </w:t>
      </w:r>
      <w:r w:rsidR="005D1D5D">
        <w:rPr>
          <w:lang w:val="en-GB"/>
        </w:rPr>
        <w:t>Poon conducted 1</w:t>
      </w:r>
      <w:r w:rsidR="00F549FB">
        <w:rPr>
          <w:lang w:val="en-GB"/>
        </w:rPr>
        <w:t>,</w:t>
      </w:r>
      <w:r w:rsidR="005D1D5D">
        <w:rPr>
          <w:lang w:val="en-GB"/>
        </w:rPr>
        <w:t xml:space="preserve">089 trades in </w:t>
      </w:r>
      <w:r w:rsidR="00F549FB">
        <w:rPr>
          <w:lang w:val="en-GB"/>
        </w:rPr>
        <w:t xml:space="preserve">six </w:t>
      </w:r>
      <w:r w:rsidR="005D1D5D">
        <w:rPr>
          <w:lang w:val="en-GB"/>
        </w:rPr>
        <w:t xml:space="preserve">clients’ stock options accounts at CTSL. </w:t>
      </w:r>
      <w:r w:rsidR="00F549FB">
        <w:rPr>
          <w:lang w:val="en-GB"/>
        </w:rPr>
        <w:t xml:space="preserve">The six </w:t>
      </w:r>
      <w:r w:rsidR="005D1D5D">
        <w:rPr>
          <w:lang w:val="en-GB"/>
        </w:rPr>
        <w:t xml:space="preserve">clients </w:t>
      </w:r>
      <w:r w:rsidR="00C77420">
        <w:rPr>
          <w:lang w:val="en-GB"/>
        </w:rPr>
        <w:t>had</w:t>
      </w:r>
      <w:r w:rsidR="005D1D5D">
        <w:rPr>
          <w:lang w:val="en-GB"/>
        </w:rPr>
        <w:t xml:space="preserve"> only agreed for </w:t>
      </w:r>
      <w:r w:rsidR="000E78A4">
        <w:rPr>
          <w:lang w:val="en-GB"/>
        </w:rPr>
        <w:t xml:space="preserve">Mr </w:t>
      </w:r>
      <w:r w:rsidR="005D1D5D">
        <w:rPr>
          <w:lang w:val="en-GB"/>
        </w:rPr>
        <w:t>Poon to conduct 87 trades (</w:t>
      </w:r>
      <w:r w:rsidR="00F549FB">
        <w:rPr>
          <w:lang w:val="en-GB"/>
        </w:rPr>
        <w:t xml:space="preserve">approximately </w:t>
      </w:r>
      <w:r w:rsidR="00A97EC7">
        <w:rPr>
          <w:lang w:val="en-GB"/>
        </w:rPr>
        <w:t xml:space="preserve">8% of </w:t>
      </w:r>
      <w:r w:rsidR="004F583F">
        <w:rPr>
          <w:lang w:val="en-GB"/>
        </w:rPr>
        <w:t>the</w:t>
      </w:r>
      <w:r>
        <w:rPr>
          <w:lang w:val="en-GB"/>
        </w:rPr>
        <w:t xml:space="preserve"> total number of</w:t>
      </w:r>
      <w:r w:rsidR="004F583F">
        <w:rPr>
          <w:lang w:val="en-GB"/>
        </w:rPr>
        <w:t xml:space="preserve"> </w:t>
      </w:r>
      <w:r w:rsidR="00DB79EE">
        <w:rPr>
          <w:lang w:val="en-GB"/>
        </w:rPr>
        <w:t>trades).</w:t>
      </w:r>
      <w:r w:rsidR="00A97EC7">
        <w:rPr>
          <w:lang w:val="en-GB"/>
        </w:rPr>
        <w:t xml:space="preserve"> </w:t>
      </w:r>
      <w:r w:rsidR="00DB79EE">
        <w:rPr>
          <w:lang w:val="en-GB"/>
        </w:rPr>
        <w:t>H</w:t>
      </w:r>
      <w:r>
        <w:rPr>
          <w:lang w:val="en-GB"/>
        </w:rPr>
        <w:t xml:space="preserve">e had </w:t>
      </w:r>
      <w:r w:rsidR="00A97EC7">
        <w:rPr>
          <w:lang w:val="en-GB"/>
        </w:rPr>
        <w:t xml:space="preserve">no </w:t>
      </w:r>
      <w:r w:rsidR="00DB79EE">
        <w:rPr>
          <w:lang w:val="en-GB"/>
        </w:rPr>
        <w:t xml:space="preserve">specific </w:t>
      </w:r>
      <w:r w:rsidR="00A97EC7">
        <w:rPr>
          <w:lang w:val="en-GB"/>
        </w:rPr>
        <w:t>authorisation</w:t>
      </w:r>
      <w:r w:rsidR="00DB79EE">
        <w:rPr>
          <w:lang w:val="en-GB"/>
        </w:rPr>
        <w:t>s</w:t>
      </w:r>
      <w:r w:rsidR="00A97EC7">
        <w:rPr>
          <w:lang w:val="en-GB"/>
        </w:rPr>
        <w:t xml:space="preserve"> for the other 1</w:t>
      </w:r>
      <w:r w:rsidR="00447879">
        <w:rPr>
          <w:lang w:val="en-GB"/>
        </w:rPr>
        <w:t>,</w:t>
      </w:r>
      <w:r w:rsidR="00A97EC7">
        <w:rPr>
          <w:lang w:val="en-GB"/>
        </w:rPr>
        <w:t>002 trades</w:t>
      </w:r>
      <w:r>
        <w:rPr>
          <w:lang w:val="en-GB"/>
        </w:rPr>
        <w:t xml:space="preserve"> (around 92% of the total trades)</w:t>
      </w:r>
      <w:r w:rsidR="00DB79EE">
        <w:rPr>
          <w:lang w:val="en-GB"/>
        </w:rPr>
        <w:t xml:space="preserve">, nor </w:t>
      </w:r>
      <w:r w:rsidR="001D6CAD">
        <w:rPr>
          <w:lang w:val="en-GB"/>
        </w:rPr>
        <w:t>had the clients authorised him in writing</w:t>
      </w:r>
      <w:r w:rsidR="006803C5">
        <w:rPr>
          <w:lang w:val="en-GB"/>
        </w:rPr>
        <w:t xml:space="preserve"> to </w:t>
      </w:r>
      <w:proofErr w:type="gramStart"/>
      <w:r w:rsidR="006803C5">
        <w:rPr>
          <w:lang w:val="en-GB"/>
        </w:rPr>
        <w:t>effect</w:t>
      </w:r>
      <w:proofErr w:type="gramEnd"/>
      <w:r w:rsidR="006803C5">
        <w:rPr>
          <w:lang w:val="en-GB"/>
        </w:rPr>
        <w:t xml:space="preserve"> the trades on a discretionary basis</w:t>
      </w:r>
      <w:r w:rsidR="00540905">
        <w:rPr>
          <w:lang w:val="en-GB"/>
        </w:rPr>
        <w:t>.</w:t>
      </w:r>
    </w:p>
    <w:p w14:paraId="388CAE62" w14:textId="77777777" w:rsidR="009B7BCA" w:rsidRDefault="009B7BCA" w:rsidP="002D7BE3">
      <w:pPr>
        <w:jc w:val="both"/>
        <w:rPr>
          <w:lang w:val="en-GB"/>
        </w:rPr>
      </w:pPr>
      <w:r>
        <w:rPr>
          <w:lang w:val="en-GB"/>
        </w:rPr>
        <w:t xml:space="preserve">The </w:t>
      </w:r>
      <w:r w:rsidR="00E73844">
        <w:rPr>
          <w:lang w:val="en-GB"/>
        </w:rPr>
        <w:t xml:space="preserve">SFC </w:t>
      </w:r>
      <w:r>
        <w:rPr>
          <w:lang w:val="en-GB"/>
        </w:rPr>
        <w:t>investigation</w:t>
      </w:r>
      <w:r w:rsidR="00E73844">
        <w:rPr>
          <w:lang w:val="en-GB"/>
        </w:rPr>
        <w:t xml:space="preserve"> revealed</w:t>
      </w:r>
      <w:r w:rsidR="00F549FB">
        <w:rPr>
          <w:lang w:val="en-GB"/>
        </w:rPr>
        <w:t xml:space="preserve"> </w:t>
      </w:r>
      <w:r>
        <w:rPr>
          <w:lang w:val="en-GB"/>
        </w:rPr>
        <w:t>that:</w:t>
      </w:r>
    </w:p>
    <w:p w14:paraId="080AC42A" w14:textId="77777777" w:rsidR="00AD3F66" w:rsidRDefault="000E78A4" w:rsidP="009B7BCA">
      <w:pPr>
        <w:pStyle w:val="af0"/>
        <w:numPr>
          <w:ilvl w:val="0"/>
          <w:numId w:val="19"/>
        </w:numPr>
        <w:jc w:val="both"/>
        <w:rPr>
          <w:lang w:val="en-GB"/>
        </w:rPr>
      </w:pPr>
      <w:r>
        <w:rPr>
          <w:lang w:val="en-GB"/>
        </w:rPr>
        <w:t xml:space="preserve">Mr </w:t>
      </w:r>
      <w:r w:rsidR="009B7BCA">
        <w:rPr>
          <w:lang w:val="en-GB"/>
        </w:rPr>
        <w:t xml:space="preserve">Poon </w:t>
      </w:r>
      <w:r w:rsidR="00E73844">
        <w:rPr>
          <w:lang w:val="en-GB"/>
        </w:rPr>
        <w:t xml:space="preserve">generally </w:t>
      </w:r>
      <w:r w:rsidR="009B7BCA">
        <w:rPr>
          <w:lang w:val="en-GB"/>
        </w:rPr>
        <w:t>use</w:t>
      </w:r>
      <w:r w:rsidR="001D6CAD">
        <w:rPr>
          <w:lang w:val="en-GB"/>
        </w:rPr>
        <w:t>d</w:t>
      </w:r>
      <w:r w:rsidR="009B7BCA">
        <w:rPr>
          <w:lang w:val="en-GB"/>
        </w:rPr>
        <w:t xml:space="preserve"> CTSL’s recorded telephone line to call </w:t>
      </w:r>
      <w:r w:rsidR="0004051D">
        <w:rPr>
          <w:lang w:val="en-GB"/>
        </w:rPr>
        <w:t xml:space="preserve">each of </w:t>
      </w:r>
      <w:r w:rsidR="00447879">
        <w:rPr>
          <w:lang w:val="en-GB"/>
        </w:rPr>
        <w:t xml:space="preserve">the six </w:t>
      </w:r>
      <w:r w:rsidR="009B7BCA">
        <w:rPr>
          <w:lang w:val="en-GB"/>
        </w:rPr>
        <w:t>client</w:t>
      </w:r>
      <w:r w:rsidR="00447879">
        <w:rPr>
          <w:lang w:val="en-GB"/>
        </w:rPr>
        <w:t>s</w:t>
      </w:r>
      <w:r w:rsidR="009B7BCA">
        <w:rPr>
          <w:lang w:val="en-GB"/>
        </w:rPr>
        <w:t xml:space="preserve"> once </w:t>
      </w:r>
      <w:r w:rsidR="0004051D">
        <w:rPr>
          <w:lang w:val="en-GB"/>
        </w:rPr>
        <w:t>on each trading</w:t>
      </w:r>
      <w:r w:rsidR="009B7BCA">
        <w:rPr>
          <w:lang w:val="en-GB"/>
        </w:rPr>
        <w:t xml:space="preserve"> day to indicate </w:t>
      </w:r>
      <w:r w:rsidR="00F64F31">
        <w:rPr>
          <w:lang w:val="en-GB"/>
        </w:rPr>
        <w:t>th</w:t>
      </w:r>
      <w:r w:rsidR="0004051D">
        <w:rPr>
          <w:lang w:val="en-GB"/>
        </w:rPr>
        <w:t>at he would trade in the client’</w:t>
      </w:r>
      <w:r w:rsidR="00F64F31">
        <w:rPr>
          <w:lang w:val="en-GB"/>
        </w:rPr>
        <w:t xml:space="preserve">s stock </w:t>
      </w:r>
      <w:r w:rsidR="00AD3F66">
        <w:rPr>
          <w:lang w:val="en-GB"/>
        </w:rPr>
        <w:t>options account later that day;</w:t>
      </w:r>
    </w:p>
    <w:p w14:paraId="20143B94" w14:textId="77777777" w:rsidR="00F64296" w:rsidRDefault="00F64296" w:rsidP="00F64296">
      <w:pPr>
        <w:pStyle w:val="af0"/>
        <w:ind w:left="1080"/>
        <w:jc w:val="both"/>
        <w:rPr>
          <w:lang w:val="en-GB"/>
        </w:rPr>
      </w:pPr>
    </w:p>
    <w:p w14:paraId="433E58B5" w14:textId="77777777" w:rsidR="002C7E39" w:rsidRDefault="00154FB5" w:rsidP="009B7BCA">
      <w:pPr>
        <w:pStyle w:val="af0"/>
        <w:numPr>
          <w:ilvl w:val="0"/>
          <w:numId w:val="19"/>
        </w:numPr>
        <w:jc w:val="both"/>
        <w:rPr>
          <w:lang w:val="en-GB"/>
        </w:rPr>
      </w:pPr>
      <w:r>
        <w:rPr>
          <w:lang w:val="en-GB"/>
        </w:rPr>
        <w:t xml:space="preserve">Mr Poon initiated </w:t>
      </w:r>
      <w:r w:rsidR="00F549FB">
        <w:rPr>
          <w:lang w:val="en-GB"/>
        </w:rPr>
        <w:t xml:space="preserve">all </w:t>
      </w:r>
      <w:r w:rsidR="00AD3F66">
        <w:rPr>
          <w:lang w:val="en-GB"/>
        </w:rPr>
        <w:t xml:space="preserve">the recorded calls </w:t>
      </w:r>
      <w:r>
        <w:rPr>
          <w:lang w:val="en-GB"/>
        </w:rPr>
        <w:t>and t</w:t>
      </w:r>
      <w:r w:rsidR="00112A71">
        <w:rPr>
          <w:lang w:val="en-GB"/>
        </w:rPr>
        <w:t>he clients always agree</w:t>
      </w:r>
      <w:r w:rsidR="00F64296">
        <w:rPr>
          <w:lang w:val="en-GB"/>
        </w:rPr>
        <w:t>d</w:t>
      </w:r>
      <w:r w:rsidR="00112A71">
        <w:rPr>
          <w:lang w:val="en-GB"/>
        </w:rPr>
        <w:t xml:space="preserve"> with </w:t>
      </w:r>
      <w:r>
        <w:rPr>
          <w:lang w:val="en-GB"/>
        </w:rPr>
        <w:t xml:space="preserve">his </w:t>
      </w:r>
      <w:r w:rsidR="00112A71">
        <w:rPr>
          <w:lang w:val="en-GB"/>
        </w:rPr>
        <w:t>trading suggestions</w:t>
      </w:r>
      <w:r>
        <w:rPr>
          <w:lang w:val="en-GB"/>
        </w:rPr>
        <w:t>. The clients</w:t>
      </w:r>
      <w:r w:rsidR="00112A71">
        <w:rPr>
          <w:lang w:val="en-GB"/>
        </w:rPr>
        <w:t xml:space="preserve"> never </w:t>
      </w:r>
      <w:r w:rsidR="00F64296">
        <w:rPr>
          <w:lang w:val="en-GB"/>
        </w:rPr>
        <w:t xml:space="preserve">initiated </w:t>
      </w:r>
      <w:r w:rsidR="00112A71">
        <w:rPr>
          <w:lang w:val="en-GB"/>
        </w:rPr>
        <w:t>or</w:t>
      </w:r>
      <w:r w:rsidR="00F64296">
        <w:rPr>
          <w:lang w:val="en-GB"/>
        </w:rPr>
        <w:t>der instructions</w:t>
      </w:r>
      <w:r w:rsidR="00E21258">
        <w:rPr>
          <w:lang w:val="en-GB"/>
        </w:rPr>
        <w:t xml:space="preserve"> themselves;</w:t>
      </w:r>
    </w:p>
    <w:p w14:paraId="49DDFD95" w14:textId="77777777" w:rsidR="00694E72" w:rsidRDefault="00694E72" w:rsidP="00694E72">
      <w:pPr>
        <w:pStyle w:val="af0"/>
        <w:ind w:left="1080"/>
        <w:jc w:val="both"/>
        <w:rPr>
          <w:lang w:val="en-GB"/>
        </w:rPr>
      </w:pPr>
    </w:p>
    <w:p w14:paraId="64561132" w14:textId="77777777" w:rsidR="00D01D88" w:rsidRDefault="000E78A4" w:rsidP="00D01D88">
      <w:pPr>
        <w:pStyle w:val="af0"/>
        <w:numPr>
          <w:ilvl w:val="0"/>
          <w:numId w:val="19"/>
        </w:numPr>
        <w:jc w:val="both"/>
        <w:rPr>
          <w:lang w:val="en-GB"/>
        </w:rPr>
      </w:pPr>
      <w:r>
        <w:rPr>
          <w:lang w:val="en-GB"/>
        </w:rPr>
        <w:t xml:space="preserve">Mr </w:t>
      </w:r>
      <w:r w:rsidR="00E21258">
        <w:rPr>
          <w:lang w:val="en-GB"/>
        </w:rPr>
        <w:t xml:space="preserve">Poon </w:t>
      </w:r>
      <w:r w:rsidR="00694E72">
        <w:rPr>
          <w:lang w:val="en-GB"/>
        </w:rPr>
        <w:t xml:space="preserve">gave </w:t>
      </w:r>
      <w:r w:rsidR="00E21258">
        <w:rPr>
          <w:lang w:val="en-GB"/>
        </w:rPr>
        <w:t xml:space="preserve">details </w:t>
      </w:r>
      <w:r w:rsidR="00694E72">
        <w:rPr>
          <w:lang w:val="en-GB"/>
        </w:rPr>
        <w:t xml:space="preserve">of the 87 trades agreed to by clients </w:t>
      </w:r>
      <w:r w:rsidR="00E21258">
        <w:rPr>
          <w:lang w:val="en-GB"/>
        </w:rPr>
        <w:t xml:space="preserve">during </w:t>
      </w:r>
      <w:r w:rsidR="00447879">
        <w:rPr>
          <w:lang w:val="en-GB"/>
        </w:rPr>
        <w:t xml:space="preserve">the </w:t>
      </w:r>
      <w:r w:rsidR="00E21258">
        <w:rPr>
          <w:lang w:val="en-GB"/>
        </w:rPr>
        <w:t>recorded calls</w:t>
      </w:r>
      <w:r w:rsidR="00694E72">
        <w:rPr>
          <w:lang w:val="en-GB"/>
        </w:rPr>
        <w:t>,</w:t>
      </w:r>
      <w:r w:rsidR="00F93CB9">
        <w:rPr>
          <w:lang w:val="en-GB"/>
        </w:rPr>
        <w:t xml:space="preserve"> </w:t>
      </w:r>
      <w:r w:rsidR="00694E72">
        <w:rPr>
          <w:lang w:val="en-GB"/>
        </w:rPr>
        <w:t xml:space="preserve">but never specified </w:t>
      </w:r>
      <w:r w:rsidR="000F6AA5">
        <w:rPr>
          <w:lang w:val="en-GB"/>
        </w:rPr>
        <w:t>any</w:t>
      </w:r>
      <w:r w:rsidR="00E21258">
        <w:rPr>
          <w:lang w:val="en-GB"/>
        </w:rPr>
        <w:t xml:space="preserve"> details </w:t>
      </w:r>
      <w:r w:rsidR="00694E72">
        <w:rPr>
          <w:lang w:val="en-GB"/>
        </w:rPr>
        <w:t>(</w:t>
      </w:r>
      <w:proofErr w:type="gramStart"/>
      <w:r w:rsidR="00694E72">
        <w:rPr>
          <w:lang w:val="en-GB"/>
        </w:rPr>
        <w:t>e.g.</w:t>
      </w:r>
      <w:proofErr w:type="gramEnd"/>
      <w:r w:rsidR="00694E72">
        <w:rPr>
          <w:lang w:val="en-GB"/>
        </w:rPr>
        <w:t xml:space="preserve"> order size and price) </w:t>
      </w:r>
      <w:r w:rsidR="000F6AA5">
        <w:rPr>
          <w:lang w:val="en-GB"/>
        </w:rPr>
        <w:t>of</w:t>
      </w:r>
      <w:r w:rsidR="00E21258">
        <w:rPr>
          <w:lang w:val="en-GB"/>
        </w:rPr>
        <w:t xml:space="preserve"> the </w:t>
      </w:r>
      <w:r w:rsidR="001D6CAD">
        <w:rPr>
          <w:lang w:val="en-GB"/>
        </w:rPr>
        <w:t xml:space="preserve">other </w:t>
      </w:r>
      <w:r w:rsidR="00E21258">
        <w:rPr>
          <w:lang w:val="en-GB"/>
        </w:rPr>
        <w:t>1</w:t>
      </w:r>
      <w:r w:rsidR="00447879">
        <w:rPr>
          <w:lang w:val="en-GB"/>
        </w:rPr>
        <w:t>,</w:t>
      </w:r>
      <w:r w:rsidR="00694E72">
        <w:rPr>
          <w:lang w:val="en-GB"/>
        </w:rPr>
        <w:t>002 trades;</w:t>
      </w:r>
    </w:p>
    <w:p w14:paraId="54DEA3B9" w14:textId="77777777" w:rsidR="00D01D88" w:rsidRPr="00D01D88" w:rsidRDefault="00D01D88" w:rsidP="00D01D88">
      <w:pPr>
        <w:pStyle w:val="af0"/>
        <w:rPr>
          <w:lang w:val="en-GB"/>
        </w:rPr>
      </w:pPr>
    </w:p>
    <w:p w14:paraId="7C3BD402" w14:textId="77777777" w:rsidR="003A4F2B" w:rsidRPr="00D01D88" w:rsidRDefault="00F549FB" w:rsidP="00C15131">
      <w:pPr>
        <w:pStyle w:val="af0"/>
        <w:numPr>
          <w:ilvl w:val="0"/>
          <w:numId w:val="19"/>
        </w:numPr>
        <w:jc w:val="both"/>
        <w:rPr>
          <w:lang w:val="en-GB"/>
        </w:rPr>
      </w:pPr>
      <w:r w:rsidRPr="00D01D88">
        <w:rPr>
          <w:lang w:val="en-GB"/>
        </w:rPr>
        <w:t xml:space="preserve">although </w:t>
      </w:r>
      <w:r w:rsidR="005A0FCA" w:rsidRPr="00D01D88">
        <w:rPr>
          <w:lang w:val="en-GB"/>
        </w:rPr>
        <w:t xml:space="preserve">the </w:t>
      </w:r>
      <w:r w:rsidR="00447879" w:rsidRPr="00D01D88">
        <w:rPr>
          <w:lang w:val="en-GB"/>
        </w:rPr>
        <w:t xml:space="preserve">six </w:t>
      </w:r>
      <w:r w:rsidR="005A0FCA" w:rsidRPr="00D01D88">
        <w:rPr>
          <w:lang w:val="en-GB"/>
        </w:rPr>
        <w:t xml:space="preserve">clients had agreed that </w:t>
      </w:r>
      <w:r w:rsidR="000E78A4" w:rsidRPr="00D01D88">
        <w:rPr>
          <w:lang w:val="en-GB"/>
        </w:rPr>
        <w:t xml:space="preserve">Mr </w:t>
      </w:r>
      <w:r w:rsidR="005A0FCA" w:rsidRPr="00D01D88">
        <w:rPr>
          <w:lang w:val="en-GB"/>
        </w:rPr>
        <w:t>Poon could trade in their stock option</w:t>
      </w:r>
      <w:r w:rsidR="00694E72" w:rsidRPr="00D01D88">
        <w:rPr>
          <w:lang w:val="en-GB"/>
        </w:rPr>
        <w:t>s</w:t>
      </w:r>
      <w:r w:rsidR="005A0FCA" w:rsidRPr="00D01D88">
        <w:rPr>
          <w:lang w:val="en-GB"/>
        </w:rPr>
        <w:t xml:space="preserve"> </w:t>
      </w:r>
      <w:r w:rsidR="00694E72" w:rsidRPr="00D01D88">
        <w:rPr>
          <w:lang w:val="en-GB"/>
        </w:rPr>
        <w:t>a</w:t>
      </w:r>
      <w:r w:rsidR="000F6AA5">
        <w:rPr>
          <w:lang w:val="en-GB"/>
        </w:rPr>
        <w:t>ccounts at his discretion, the</w:t>
      </w:r>
      <w:r w:rsidR="00694E72" w:rsidRPr="00D01D88">
        <w:rPr>
          <w:lang w:val="en-GB"/>
        </w:rPr>
        <w:t xml:space="preserve"> arrangement</w:t>
      </w:r>
      <w:r w:rsidR="005A0FCA" w:rsidRPr="00D01D88">
        <w:rPr>
          <w:lang w:val="en-GB"/>
        </w:rPr>
        <w:t>s were never put</w:t>
      </w:r>
      <w:r w:rsidR="000F6AA5">
        <w:rPr>
          <w:lang w:val="en-GB"/>
        </w:rPr>
        <w:t xml:space="preserve"> into writing and CTSL was not</w:t>
      </w:r>
      <w:r w:rsidR="005A0FCA" w:rsidRPr="00D01D88">
        <w:rPr>
          <w:lang w:val="en-GB"/>
        </w:rPr>
        <w:t xml:space="preserve"> informed </w:t>
      </w:r>
      <w:r w:rsidR="00694E72" w:rsidRPr="00D01D88">
        <w:rPr>
          <w:lang w:val="en-GB"/>
        </w:rPr>
        <w:t>of the discretionary</w:t>
      </w:r>
      <w:r w:rsidR="005A0FCA" w:rsidRPr="00D01D88">
        <w:rPr>
          <w:lang w:val="en-GB"/>
        </w:rPr>
        <w:t xml:space="preserve"> trading arrangements. </w:t>
      </w:r>
      <w:r w:rsidR="009C71DF" w:rsidRPr="00D01D88">
        <w:rPr>
          <w:lang w:val="en-GB"/>
        </w:rPr>
        <w:t>This breach</w:t>
      </w:r>
      <w:r w:rsidR="000F6AA5">
        <w:rPr>
          <w:lang w:val="en-GB"/>
        </w:rPr>
        <w:t xml:space="preserve">ed </w:t>
      </w:r>
      <w:r w:rsidR="009C71DF" w:rsidRPr="00D01D88">
        <w:rPr>
          <w:lang w:val="en-GB"/>
        </w:rPr>
        <w:t>CTSL’s internal policies which</w:t>
      </w:r>
      <w:r w:rsidR="002D46F6" w:rsidRPr="00D01D88">
        <w:rPr>
          <w:lang w:val="en-GB"/>
        </w:rPr>
        <w:t xml:space="preserve"> required</w:t>
      </w:r>
      <w:r w:rsidR="009C71DF" w:rsidRPr="00D01D88">
        <w:rPr>
          <w:lang w:val="en-GB"/>
        </w:rPr>
        <w:t>: (</w:t>
      </w:r>
      <w:proofErr w:type="spellStart"/>
      <w:r w:rsidR="009C71DF" w:rsidRPr="00D01D88">
        <w:rPr>
          <w:lang w:val="en-GB"/>
        </w:rPr>
        <w:t>i</w:t>
      </w:r>
      <w:proofErr w:type="spellEnd"/>
      <w:r w:rsidR="009C71DF" w:rsidRPr="00D01D88">
        <w:rPr>
          <w:lang w:val="en-GB"/>
        </w:rPr>
        <w:t>)</w:t>
      </w:r>
      <w:r w:rsidR="002D46F6" w:rsidRPr="00D01D88">
        <w:rPr>
          <w:lang w:val="en-GB"/>
        </w:rPr>
        <w:t xml:space="preserve"> </w:t>
      </w:r>
      <w:r w:rsidR="00447879" w:rsidRPr="00D01D88">
        <w:rPr>
          <w:lang w:val="en-GB"/>
        </w:rPr>
        <w:t xml:space="preserve">clients </w:t>
      </w:r>
      <w:r w:rsidR="0043362B" w:rsidRPr="00D01D88">
        <w:rPr>
          <w:lang w:val="en-GB"/>
        </w:rPr>
        <w:t xml:space="preserve">authorising CTSL and/or </w:t>
      </w:r>
      <w:r w:rsidR="003673DD" w:rsidRPr="00D01D88">
        <w:rPr>
          <w:lang w:val="en-GB"/>
        </w:rPr>
        <w:t xml:space="preserve">its representatives to effect transactions on their behalf on a discretionary basis </w:t>
      </w:r>
      <w:r w:rsidR="00D01D88" w:rsidRPr="00D01D88">
        <w:rPr>
          <w:lang w:val="en-GB"/>
        </w:rPr>
        <w:t xml:space="preserve">to </w:t>
      </w:r>
      <w:r w:rsidR="003673DD" w:rsidRPr="00D01D88">
        <w:rPr>
          <w:lang w:val="en-GB"/>
        </w:rPr>
        <w:t>enter into a discretionary client mandate</w:t>
      </w:r>
      <w:r w:rsidR="000D6191" w:rsidRPr="00D01D88">
        <w:rPr>
          <w:lang w:val="en-GB"/>
        </w:rPr>
        <w:t>; and</w:t>
      </w:r>
      <w:r w:rsidR="006B2F1D" w:rsidRPr="00D01D88">
        <w:rPr>
          <w:lang w:val="en-GB"/>
        </w:rPr>
        <w:t xml:space="preserve"> </w:t>
      </w:r>
      <w:r w:rsidR="00D01D88" w:rsidRPr="00D01D88">
        <w:rPr>
          <w:lang w:val="en-GB"/>
        </w:rPr>
        <w:t xml:space="preserve">(ii) CTSL’s senior management to approve the opening of a discretionary account by signing off on the discretionary client mandate. </w:t>
      </w:r>
      <w:r w:rsidR="00D01D88">
        <w:rPr>
          <w:lang w:val="en-GB"/>
        </w:rPr>
        <w:t>N</w:t>
      </w:r>
      <w:r w:rsidR="00C15131" w:rsidRPr="00D01D88">
        <w:rPr>
          <w:lang w:val="en-GB"/>
        </w:rPr>
        <w:t xml:space="preserve">one of the clients had signed </w:t>
      </w:r>
      <w:r w:rsidR="00D01D88">
        <w:rPr>
          <w:lang w:val="en-GB"/>
        </w:rPr>
        <w:t xml:space="preserve">a </w:t>
      </w:r>
      <w:r w:rsidR="00C15131" w:rsidRPr="00D01D88">
        <w:rPr>
          <w:lang w:val="en-GB"/>
        </w:rPr>
        <w:t>discretionary client mandate.</w:t>
      </w:r>
    </w:p>
    <w:p w14:paraId="1E414ED5" w14:textId="77777777" w:rsidR="00C15131" w:rsidRDefault="000E78A4" w:rsidP="003A4F2B">
      <w:pPr>
        <w:jc w:val="both"/>
        <w:rPr>
          <w:lang w:val="en-GB"/>
        </w:rPr>
      </w:pPr>
      <w:r>
        <w:rPr>
          <w:lang w:val="en-GB"/>
        </w:rPr>
        <w:t xml:space="preserve">Mr </w:t>
      </w:r>
      <w:r w:rsidR="001C1222">
        <w:rPr>
          <w:lang w:val="en-GB"/>
        </w:rPr>
        <w:t xml:space="preserve">Poon </w:t>
      </w:r>
      <w:r w:rsidR="00580C01">
        <w:rPr>
          <w:lang w:val="en-GB"/>
        </w:rPr>
        <w:t xml:space="preserve">clearly </w:t>
      </w:r>
      <w:r w:rsidR="001C1222">
        <w:rPr>
          <w:lang w:val="en-GB"/>
        </w:rPr>
        <w:t xml:space="preserve">effected </w:t>
      </w:r>
      <w:r w:rsidR="007A62EF">
        <w:rPr>
          <w:lang w:val="en-GB"/>
        </w:rPr>
        <w:t xml:space="preserve">the 1,002 discretionary </w:t>
      </w:r>
      <w:r w:rsidR="00CA7145">
        <w:rPr>
          <w:lang w:val="en-GB"/>
        </w:rPr>
        <w:t>trades without the clients’ specific auth</w:t>
      </w:r>
      <w:r w:rsidR="00861764">
        <w:rPr>
          <w:lang w:val="en-GB"/>
        </w:rPr>
        <w:t>orisati</w:t>
      </w:r>
      <w:r w:rsidR="0004051D">
        <w:rPr>
          <w:lang w:val="en-GB"/>
        </w:rPr>
        <w:t>on</w:t>
      </w:r>
      <w:r w:rsidR="00351668">
        <w:rPr>
          <w:lang w:val="en-GB"/>
        </w:rPr>
        <w:t xml:space="preserve"> for the trades</w:t>
      </w:r>
      <w:r w:rsidR="003A4F2B" w:rsidRPr="003A4F2B">
        <w:t xml:space="preserve"> </w:t>
      </w:r>
      <w:r w:rsidR="003A4F2B" w:rsidRPr="003A4F2B">
        <w:rPr>
          <w:lang w:val="en-GB"/>
        </w:rPr>
        <w:t>and/or</w:t>
      </w:r>
      <w:r w:rsidR="005666D8">
        <w:rPr>
          <w:lang w:val="en-GB"/>
        </w:rPr>
        <w:t xml:space="preserve"> </w:t>
      </w:r>
      <w:r w:rsidR="0004051D">
        <w:rPr>
          <w:lang w:val="en-GB"/>
        </w:rPr>
        <w:t>their written authorisation</w:t>
      </w:r>
      <w:r w:rsidR="003A4F2B" w:rsidRPr="003A4F2B">
        <w:rPr>
          <w:lang w:val="en-GB"/>
        </w:rPr>
        <w:t xml:space="preserve"> for him</w:t>
      </w:r>
      <w:r w:rsidR="003A4F2B">
        <w:rPr>
          <w:lang w:val="en-GB"/>
        </w:rPr>
        <w:t xml:space="preserve"> </w:t>
      </w:r>
      <w:r w:rsidR="003A4F2B" w:rsidRPr="003A4F2B">
        <w:rPr>
          <w:lang w:val="en-GB"/>
        </w:rPr>
        <w:t xml:space="preserve">to </w:t>
      </w:r>
      <w:proofErr w:type="gramStart"/>
      <w:r w:rsidR="003A4F2B" w:rsidRPr="003A4F2B">
        <w:rPr>
          <w:lang w:val="en-GB"/>
        </w:rPr>
        <w:t>effect</w:t>
      </w:r>
      <w:proofErr w:type="gramEnd"/>
      <w:r w:rsidR="003A4F2B" w:rsidRPr="003A4F2B">
        <w:rPr>
          <w:lang w:val="en-GB"/>
        </w:rPr>
        <w:t xml:space="preserve"> the trades on a discretionary basis</w:t>
      </w:r>
      <w:r w:rsidR="00C006B6">
        <w:rPr>
          <w:lang w:val="en-GB"/>
        </w:rPr>
        <w:t xml:space="preserve">. </w:t>
      </w:r>
      <w:r w:rsidR="009A039E">
        <w:rPr>
          <w:lang w:val="en-GB"/>
        </w:rPr>
        <w:t>This breach</w:t>
      </w:r>
      <w:r w:rsidR="00580C01">
        <w:rPr>
          <w:lang w:val="en-GB"/>
        </w:rPr>
        <w:t xml:space="preserve">ed </w:t>
      </w:r>
      <w:r w:rsidR="00EC39A1">
        <w:rPr>
          <w:lang w:val="en-GB"/>
        </w:rPr>
        <w:t>the requirements of</w:t>
      </w:r>
      <w:r w:rsidR="009A039E">
        <w:rPr>
          <w:lang w:val="en-GB"/>
        </w:rPr>
        <w:t xml:space="preserve"> paragraph 7.1(a) of the SFC Code of Conduct.</w:t>
      </w:r>
      <w:r w:rsidR="00124FB6">
        <w:rPr>
          <w:lang w:val="en-GB"/>
        </w:rPr>
        <w:t xml:space="preserve"> </w:t>
      </w:r>
    </w:p>
    <w:p w14:paraId="4A7A0FD4" w14:textId="77777777" w:rsidR="00A97EC7" w:rsidRDefault="007F61BE" w:rsidP="009D5F7F">
      <w:pPr>
        <w:jc w:val="both"/>
        <w:rPr>
          <w:lang w:val="en-GB"/>
        </w:rPr>
      </w:pPr>
      <w:r>
        <w:rPr>
          <w:lang w:val="en-GB"/>
        </w:rPr>
        <w:t xml:space="preserve">CTSL was not aware </w:t>
      </w:r>
      <w:r w:rsidR="006C4D22">
        <w:rPr>
          <w:lang w:val="en-GB"/>
        </w:rPr>
        <w:t xml:space="preserve">that </w:t>
      </w:r>
      <w:r w:rsidR="00175A2D">
        <w:rPr>
          <w:lang w:val="en-GB"/>
        </w:rPr>
        <w:t xml:space="preserve">the clients had </w:t>
      </w:r>
      <w:r w:rsidR="000F6AA5">
        <w:rPr>
          <w:lang w:val="en-GB"/>
        </w:rPr>
        <w:t>agreed that</w:t>
      </w:r>
      <w:r w:rsidR="00175A2D" w:rsidRPr="00175A2D">
        <w:rPr>
          <w:lang w:val="en-GB"/>
        </w:rPr>
        <w:t xml:space="preserve"> </w:t>
      </w:r>
      <w:r w:rsidR="00175A2D">
        <w:rPr>
          <w:lang w:val="en-GB"/>
        </w:rPr>
        <w:t xml:space="preserve">Mr </w:t>
      </w:r>
      <w:r w:rsidR="00175A2D" w:rsidRPr="00175A2D">
        <w:rPr>
          <w:lang w:val="en-GB"/>
        </w:rPr>
        <w:t>Poon could trade in their stock</w:t>
      </w:r>
      <w:r w:rsidR="00175A2D">
        <w:rPr>
          <w:lang w:val="en-GB"/>
        </w:rPr>
        <w:t xml:space="preserve"> </w:t>
      </w:r>
      <w:r w:rsidR="00175A2D" w:rsidRPr="00175A2D">
        <w:rPr>
          <w:lang w:val="en-GB"/>
        </w:rPr>
        <w:t>options accounts at his discretion</w:t>
      </w:r>
      <w:r w:rsidR="005D3F0D">
        <w:rPr>
          <w:lang w:val="en-GB"/>
        </w:rPr>
        <w:t>, and t</w:t>
      </w:r>
      <w:r>
        <w:rPr>
          <w:lang w:val="en-GB"/>
        </w:rPr>
        <w:t>he</w:t>
      </w:r>
      <w:r w:rsidR="005D3F0D">
        <w:rPr>
          <w:lang w:val="en-GB"/>
        </w:rPr>
        <w:t xml:space="preserve"> </w:t>
      </w:r>
      <w:r>
        <w:rPr>
          <w:lang w:val="en-GB"/>
        </w:rPr>
        <w:t>clients’ stock options accounts were not designated as discretionary accounts</w:t>
      </w:r>
      <w:r w:rsidR="005D3F0D">
        <w:rPr>
          <w:lang w:val="en-GB"/>
        </w:rPr>
        <w:t xml:space="preserve"> by CSTL. </w:t>
      </w:r>
      <w:r w:rsidR="008A6834">
        <w:rPr>
          <w:lang w:val="en-GB"/>
        </w:rPr>
        <w:t xml:space="preserve">The SFC considered this to be prejudicial to the clients’ interests since </w:t>
      </w:r>
      <w:r w:rsidR="00FA36DF">
        <w:rPr>
          <w:lang w:val="en-GB"/>
        </w:rPr>
        <w:t>CTSL was prevented from monitoring and supervising</w:t>
      </w:r>
      <w:r w:rsidR="002C14DF">
        <w:rPr>
          <w:lang w:val="en-GB"/>
        </w:rPr>
        <w:t xml:space="preserve"> the operation of the accounts</w:t>
      </w:r>
      <w:r w:rsidR="008A6834">
        <w:rPr>
          <w:lang w:val="en-GB"/>
        </w:rPr>
        <w:t xml:space="preserve"> and</w:t>
      </w:r>
      <w:r w:rsidR="002C14DF">
        <w:rPr>
          <w:lang w:val="en-GB"/>
        </w:rPr>
        <w:t xml:space="preserve"> clients were </w:t>
      </w:r>
      <w:r w:rsidR="00B864C9">
        <w:rPr>
          <w:lang w:val="en-GB"/>
        </w:rPr>
        <w:t>thus</w:t>
      </w:r>
      <w:r w:rsidR="002C14DF">
        <w:rPr>
          <w:lang w:val="en-GB"/>
        </w:rPr>
        <w:t xml:space="preserve"> deprived of protection against the risk of unauthorised trades bein</w:t>
      </w:r>
      <w:r w:rsidR="00E02377">
        <w:rPr>
          <w:lang w:val="en-GB"/>
        </w:rPr>
        <w:t>g carried out in their accounts.</w:t>
      </w:r>
      <w:r w:rsidR="008A6834">
        <w:rPr>
          <w:lang w:val="en-GB"/>
        </w:rPr>
        <w:t xml:space="preserve"> </w:t>
      </w:r>
      <w:r w:rsidR="000E78A4">
        <w:rPr>
          <w:lang w:val="en-GB"/>
        </w:rPr>
        <w:t xml:space="preserve">Mr </w:t>
      </w:r>
      <w:r w:rsidR="00185B59">
        <w:rPr>
          <w:lang w:val="en-GB"/>
        </w:rPr>
        <w:t xml:space="preserve">Poon </w:t>
      </w:r>
      <w:r w:rsidR="008A6834">
        <w:rPr>
          <w:lang w:val="en-GB"/>
        </w:rPr>
        <w:t xml:space="preserve">was found to have </w:t>
      </w:r>
      <w:r w:rsidR="00185B59">
        <w:rPr>
          <w:lang w:val="en-GB"/>
        </w:rPr>
        <w:t>failed to act wit</w:t>
      </w:r>
      <w:r w:rsidR="007A62EF">
        <w:rPr>
          <w:lang w:val="en-GB"/>
        </w:rPr>
        <w:t>h due skill, care and diligence</w:t>
      </w:r>
      <w:r w:rsidR="00185B59">
        <w:rPr>
          <w:lang w:val="en-GB"/>
        </w:rPr>
        <w:t xml:space="preserve"> and in the best interests of the clients when conducting business activities</w:t>
      </w:r>
      <w:r w:rsidR="008A6834">
        <w:rPr>
          <w:lang w:val="en-GB"/>
        </w:rPr>
        <w:t>,</w:t>
      </w:r>
      <w:r w:rsidR="00185B59">
        <w:rPr>
          <w:lang w:val="en-GB"/>
        </w:rPr>
        <w:t xml:space="preserve"> in breach of General Principle 2 of the</w:t>
      </w:r>
      <w:r w:rsidR="00032978">
        <w:rPr>
          <w:lang w:val="en-GB"/>
        </w:rPr>
        <w:t xml:space="preserve"> SFC</w:t>
      </w:r>
      <w:r w:rsidR="00185B59">
        <w:rPr>
          <w:lang w:val="en-GB"/>
        </w:rPr>
        <w:t xml:space="preserve"> Code of Conduct.</w:t>
      </w:r>
    </w:p>
    <w:p w14:paraId="47BE18AC" w14:textId="77777777" w:rsidR="00E624FB" w:rsidRDefault="00E624FB" w:rsidP="002D7BE3">
      <w:pPr>
        <w:jc w:val="both"/>
        <w:rPr>
          <w:lang w:val="en-GB"/>
        </w:rPr>
      </w:pPr>
      <w:r w:rsidRPr="00E624FB">
        <w:rPr>
          <w:b/>
          <w:lang w:val="en-GB"/>
        </w:rPr>
        <w:t>Incorrect Information on Clients’ Account Opening Forms</w:t>
      </w:r>
    </w:p>
    <w:p w14:paraId="62C56476" w14:textId="77777777" w:rsidR="00E624FB" w:rsidRDefault="000E78A4" w:rsidP="003A5664">
      <w:pPr>
        <w:jc w:val="both"/>
        <w:rPr>
          <w:lang w:val="en-GB"/>
        </w:rPr>
      </w:pPr>
      <w:r>
        <w:rPr>
          <w:lang w:val="en-GB"/>
        </w:rPr>
        <w:lastRenderedPageBreak/>
        <w:t xml:space="preserve">Mr </w:t>
      </w:r>
      <w:r w:rsidR="000F10A1">
        <w:rPr>
          <w:lang w:val="en-GB"/>
        </w:rPr>
        <w:t xml:space="preserve">Poon assisted three </w:t>
      </w:r>
      <w:r w:rsidR="00501E7D">
        <w:rPr>
          <w:lang w:val="en-GB"/>
        </w:rPr>
        <w:t>clients in completing</w:t>
      </w:r>
      <w:r w:rsidR="000F10A1">
        <w:rPr>
          <w:lang w:val="en-GB"/>
        </w:rPr>
        <w:t xml:space="preserve"> their account opening forms </w:t>
      </w:r>
      <w:r w:rsidR="00887095">
        <w:rPr>
          <w:lang w:val="en-GB"/>
        </w:rPr>
        <w:t xml:space="preserve">between </w:t>
      </w:r>
      <w:r w:rsidR="003A5664" w:rsidRPr="003A5664">
        <w:rPr>
          <w:lang w:val="en-GB"/>
        </w:rPr>
        <w:t xml:space="preserve">May 2019 </w:t>
      </w:r>
      <w:r w:rsidR="00887095">
        <w:rPr>
          <w:lang w:val="en-GB"/>
        </w:rPr>
        <w:t>and</w:t>
      </w:r>
      <w:r w:rsidR="003A5664" w:rsidRPr="003A5664">
        <w:rPr>
          <w:lang w:val="en-GB"/>
        </w:rPr>
        <w:t xml:space="preserve"> February</w:t>
      </w:r>
      <w:r w:rsidR="003A5664">
        <w:rPr>
          <w:lang w:val="en-GB"/>
        </w:rPr>
        <w:t xml:space="preserve"> </w:t>
      </w:r>
      <w:r w:rsidR="003A5664" w:rsidRPr="003A5664">
        <w:rPr>
          <w:lang w:val="en-GB"/>
        </w:rPr>
        <w:t>2020</w:t>
      </w:r>
      <w:r w:rsidR="000F10A1">
        <w:rPr>
          <w:lang w:val="en-GB"/>
        </w:rPr>
        <w:t xml:space="preserve">. </w:t>
      </w:r>
      <w:r w:rsidR="005B0706">
        <w:rPr>
          <w:lang w:val="en-GB"/>
        </w:rPr>
        <w:t xml:space="preserve">However, he </w:t>
      </w:r>
      <w:r w:rsidR="0041294D">
        <w:rPr>
          <w:lang w:val="en-GB"/>
        </w:rPr>
        <w:t xml:space="preserve">took no steps to </w:t>
      </w:r>
      <w:r w:rsidR="005B0706">
        <w:rPr>
          <w:lang w:val="en-GB"/>
        </w:rPr>
        <w:t>establish and</w:t>
      </w:r>
      <w:r w:rsidR="003A5664">
        <w:rPr>
          <w:lang w:val="en-GB"/>
        </w:rPr>
        <w:t>/or</w:t>
      </w:r>
      <w:r w:rsidR="005B0706">
        <w:rPr>
          <w:lang w:val="en-GB"/>
        </w:rPr>
        <w:t xml:space="preserve"> verify their financial situations and investment experience. </w:t>
      </w:r>
      <w:r w:rsidR="00887095">
        <w:rPr>
          <w:lang w:val="en-GB"/>
        </w:rPr>
        <w:t xml:space="preserve">This resulted in </w:t>
      </w:r>
      <w:r w:rsidR="005B0706">
        <w:rPr>
          <w:lang w:val="en-GB"/>
        </w:rPr>
        <w:t xml:space="preserve">some of the answers </w:t>
      </w:r>
      <w:r w:rsidR="00AA271D">
        <w:rPr>
          <w:lang w:val="en-GB"/>
        </w:rPr>
        <w:t>relating</w:t>
      </w:r>
      <w:r w:rsidR="005B0706">
        <w:rPr>
          <w:lang w:val="en-GB"/>
        </w:rPr>
        <w:t xml:space="preserve"> to three clients’ financial situations and investment experience</w:t>
      </w:r>
      <w:r w:rsidR="00AA271D">
        <w:rPr>
          <w:lang w:val="en-GB"/>
        </w:rPr>
        <w:t xml:space="preserve"> in the account opening forms being</w:t>
      </w:r>
      <w:r w:rsidR="005B0706">
        <w:rPr>
          <w:lang w:val="en-GB"/>
        </w:rPr>
        <w:t xml:space="preserve"> </w:t>
      </w:r>
      <w:r w:rsidR="003A5664">
        <w:rPr>
          <w:lang w:val="en-GB"/>
        </w:rPr>
        <w:t>incorrect</w:t>
      </w:r>
      <w:r w:rsidR="005B0706">
        <w:rPr>
          <w:lang w:val="en-GB"/>
        </w:rPr>
        <w:t xml:space="preserve">. </w:t>
      </w:r>
    </w:p>
    <w:p w14:paraId="49ABE4E0" w14:textId="77777777" w:rsidR="00FA08D4" w:rsidRDefault="000E78A4" w:rsidP="002D7BE3">
      <w:pPr>
        <w:jc w:val="both"/>
        <w:rPr>
          <w:lang w:val="en-GB"/>
        </w:rPr>
      </w:pPr>
      <w:r>
        <w:rPr>
          <w:lang w:val="en-GB"/>
        </w:rPr>
        <w:t xml:space="preserve">Mr </w:t>
      </w:r>
      <w:r w:rsidR="00FA08D4">
        <w:rPr>
          <w:lang w:val="en-GB"/>
        </w:rPr>
        <w:t xml:space="preserve">Poon also </w:t>
      </w:r>
      <w:r w:rsidR="003A5664">
        <w:rPr>
          <w:lang w:val="en-GB"/>
        </w:rPr>
        <w:t xml:space="preserve">failed to </w:t>
      </w:r>
      <w:r w:rsidR="0041294D">
        <w:rPr>
          <w:lang w:val="en-GB"/>
        </w:rPr>
        <w:t xml:space="preserve">properly </w:t>
      </w:r>
      <w:r w:rsidR="00FA08D4">
        <w:rPr>
          <w:lang w:val="en-GB"/>
        </w:rPr>
        <w:t xml:space="preserve">conduct </w:t>
      </w:r>
      <w:r w:rsidR="0041294D">
        <w:rPr>
          <w:lang w:val="en-GB"/>
        </w:rPr>
        <w:t xml:space="preserve">the </w:t>
      </w:r>
      <w:r w:rsidR="00FA08D4">
        <w:rPr>
          <w:lang w:val="en-GB"/>
        </w:rPr>
        <w:t>risk disclosure procedures</w:t>
      </w:r>
      <w:r w:rsidR="0041294D">
        <w:rPr>
          <w:lang w:val="en-GB"/>
        </w:rPr>
        <w:t xml:space="preserve"> required</w:t>
      </w:r>
      <w:r w:rsidR="00501E7D">
        <w:rPr>
          <w:lang w:val="en-GB"/>
        </w:rPr>
        <w:t xml:space="preserve"> by</w:t>
      </w:r>
      <w:r w:rsidR="00977E35">
        <w:rPr>
          <w:lang w:val="en-GB"/>
        </w:rPr>
        <w:t xml:space="preserve"> the account opening forms. </w:t>
      </w:r>
      <w:r w:rsidR="001403F5">
        <w:rPr>
          <w:lang w:val="en-GB"/>
        </w:rPr>
        <w:t xml:space="preserve">He </w:t>
      </w:r>
      <w:r w:rsidR="00C56F6F">
        <w:rPr>
          <w:lang w:val="en-GB"/>
        </w:rPr>
        <w:t>nevertheless</w:t>
      </w:r>
      <w:r w:rsidR="001403F5">
        <w:rPr>
          <w:lang w:val="en-GB"/>
        </w:rPr>
        <w:t xml:space="preserve"> </w:t>
      </w:r>
      <w:r w:rsidR="00732527">
        <w:rPr>
          <w:lang w:val="en-GB"/>
        </w:rPr>
        <w:t>sign</w:t>
      </w:r>
      <w:r w:rsidR="00C56F6F">
        <w:rPr>
          <w:lang w:val="en-GB"/>
        </w:rPr>
        <w:t>ed</w:t>
      </w:r>
      <w:r w:rsidR="00732527">
        <w:rPr>
          <w:lang w:val="en-GB"/>
        </w:rPr>
        <w:t xml:space="preserve"> the account opening forms</w:t>
      </w:r>
      <w:r w:rsidR="00C56F6F">
        <w:rPr>
          <w:lang w:val="en-GB"/>
        </w:rPr>
        <w:t>, confirming</w:t>
      </w:r>
      <w:r w:rsidR="00732527">
        <w:rPr>
          <w:lang w:val="en-GB"/>
        </w:rPr>
        <w:t xml:space="preserve"> that he had completed the relevant procedures for two of the three clients. It appeared that </w:t>
      </w:r>
      <w:r>
        <w:rPr>
          <w:lang w:val="en-GB"/>
        </w:rPr>
        <w:t xml:space="preserve">Mr </w:t>
      </w:r>
      <w:r w:rsidR="00732527">
        <w:rPr>
          <w:lang w:val="en-GB"/>
        </w:rPr>
        <w:t>Poon’s only concern was to ensure that the account opening forms were completed in a way</w:t>
      </w:r>
      <w:r w:rsidR="003F1343">
        <w:rPr>
          <w:lang w:val="en-GB"/>
        </w:rPr>
        <w:t xml:space="preserve"> that woul</w:t>
      </w:r>
      <w:r w:rsidR="00732527">
        <w:rPr>
          <w:lang w:val="en-GB"/>
        </w:rPr>
        <w:t xml:space="preserve">d enable the clients to </w:t>
      </w:r>
      <w:r w:rsidR="00C56F6F">
        <w:rPr>
          <w:lang w:val="en-GB"/>
        </w:rPr>
        <w:t xml:space="preserve">satisfy </w:t>
      </w:r>
      <w:r w:rsidR="00732527">
        <w:rPr>
          <w:lang w:val="en-GB"/>
        </w:rPr>
        <w:t xml:space="preserve">CTSL’s suitability requirements for clients who wished to invest in its equity-linked notes. </w:t>
      </w:r>
    </w:p>
    <w:p w14:paraId="62782F54" w14:textId="77777777" w:rsidR="003919D3" w:rsidRDefault="003F1343" w:rsidP="002D7BE3">
      <w:pPr>
        <w:jc w:val="both"/>
        <w:rPr>
          <w:lang w:val="en-GB"/>
        </w:rPr>
      </w:pPr>
      <w:r>
        <w:rPr>
          <w:lang w:val="en-GB"/>
        </w:rPr>
        <w:t xml:space="preserve">It was therefore the SFC’s view that </w:t>
      </w:r>
      <w:r w:rsidR="000E78A4">
        <w:rPr>
          <w:lang w:val="en-GB"/>
        </w:rPr>
        <w:t xml:space="preserve">Mr </w:t>
      </w:r>
      <w:r>
        <w:rPr>
          <w:lang w:val="en-GB"/>
        </w:rPr>
        <w:t>Poon</w:t>
      </w:r>
      <w:r w:rsidR="009D5F7F">
        <w:rPr>
          <w:lang w:val="en-GB"/>
        </w:rPr>
        <w:t xml:space="preserve"> had</w:t>
      </w:r>
      <w:r>
        <w:rPr>
          <w:lang w:val="en-GB"/>
        </w:rPr>
        <w:t xml:space="preserve"> failed to act wit</w:t>
      </w:r>
      <w:r w:rsidR="007C5127">
        <w:rPr>
          <w:lang w:val="en-GB"/>
        </w:rPr>
        <w:t>h due skill, care and diligence</w:t>
      </w:r>
      <w:r w:rsidR="00112639">
        <w:rPr>
          <w:lang w:val="en-GB"/>
        </w:rPr>
        <w:t>, and had failed</w:t>
      </w:r>
      <w:r w:rsidR="007C5127">
        <w:rPr>
          <w:lang w:val="en-GB"/>
        </w:rPr>
        <w:t xml:space="preserve"> to take</w:t>
      </w:r>
      <w:r>
        <w:rPr>
          <w:lang w:val="en-GB"/>
        </w:rPr>
        <w:t xml:space="preserve"> all reasonable steps to establish the true and full identity of the three clients and their financial situations and investment experience</w:t>
      </w:r>
      <w:r w:rsidR="002955FC">
        <w:rPr>
          <w:lang w:val="en-GB"/>
        </w:rPr>
        <w:t xml:space="preserve">. </w:t>
      </w:r>
      <w:r w:rsidR="00E250E9">
        <w:rPr>
          <w:lang w:val="en-GB"/>
        </w:rPr>
        <w:t xml:space="preserve">His conduct </w:t>
      </w:r>
      <w:r>
        <w:rPr>
          <w:lang w:val="en-GB"/>
        </w:rPr>
        <w:t>breach</w:t>
      </w:r>
      <w:r w:rsidR="00E250E9">
        <w:rPr>
          <w:lang w:val="en-GB"/>
        </w:rPr>
        <w:t xml:space="preserve">ed </w:t>
      </w:r>
      <w:r>
        <w:rPr>
          <w:lang w:val="en-GB"/>
        </w:rPr>
        <w:t xml:space="preserve">paragraph 5.1(a) and General </w:t>
      </w:r>
      <w:r w:rsidR="002955FC">
        <w:rPr>
          <w:lang w:val="en-GB"/>
        </w:rPr>
        <w:t xml:space="preserve">Principle </w:t>
      </w:r>
      <w:r>
        <w:rPr>
          <w:lang w:val="en-GB"/>
        </w:rPr>
        <w:t xml:space="preserve">2 of the </w:t>
      </w:r>
      <w:r w:rsidR="0094537E">
        <w:rPr>
          <w:lang w:val="en-GB"/>
        </w:rPr>
        <w:t xml:space="preserve">SFC </w:t>
      </w:r>
      <w:r>
        <w:rPr>
          <w:lang w:val="en-GB"/>
        </w:rPr>
        <w:t xml:space="preserve">Code of Conduct. </w:t>
      </w:r>
    </w:p>
    <w:p w14:paraId="37BC8E12" w14:textId="77777777" w:rsidR="003919D3" w:rsidRPr="009D6AAE" w:rsidRDefault="003919D3" w:rsidP="003919D3">
      <w:pPr>
        <w:pStyle w:val="a5"/>
        <w:rPr>
          <w:b/>
          <w:color w:val="FF0000"/>
          <w:lang w:val="en-GB"/>
        </w:rPr>
      </w:pPr>
      <w:proofErr w:type="spellStart"/>
      <w:r w:rsidRPr="009D6AAE">
        <w:rPr>
          <w:b/>
          <w:color w:val="FF0000"/>
          <w:lang w:val="en-GB"/>
        </w:rPr>
        <w:t>HKEx</w:t>
      </w:r>
      <w:proofErr w:type="spellEnd"/>
      <w:r w:rsidR="00E062F0">
        <w:rPr>
          <w:b/>
          <w:color w:val="FF0000"/>
          <w:lang w:val="en-GB"/>
        </w:rPr>
        <w:t xml:space="preserve"> Disciplinary Action a</w:t>
      </w:r>
      <w:r>
        <w:rPr>
          <w:b/>
          <w:color w:val="FF0000"/>
          <w:lang w:val="en-GB"/>
        </w:rPr>
        <w:t xml:space="preserve">gainst </w:t>
      </w:r>
      <w:proofErr w:type="spellStart"/>
      <w:r>
        <w:rPr>
          <w:b/>
          <w:color w:val="FF0000"/>
          <w:lang w:val="en-GB"/>
        </w:rPr>
        <w:t>Hsin</w:t>
      </w:r>
      <w:proofErr w:type="spellEnd"/>
      <w:r>
        <w:rPr>
          <w:b/>
          <w:color w:val="FF0000"/>
          <w:lang w:val="en-GB"/>
        </w:rPr>
        <w:t xml:space="preserve"> Chong and </w:t>
      </w:r>
      <w:r w:rsidR="00225535">
        <w:rPr>
          <w:b/>
          <w:color w:val="FF0000"/>
          <w:lang w:val="en-GB"/>
        </w:rPr>
        <w:t xml:space="preserve">seven </w:t>
      </w:r>
      <w:r w:rsidR="00CA2293">
        <w:rPr>
          <w:b/>
          <w:color w:val="FF0000"/>
          <w:lang w:val="en-GB"/>
        </w:rPr>
        <w:t>f</w:t>
      </w:r>
      <w:r>
        <w:rPr>
          <w:b/>
          <w:color w:val="FF0000"/>
          <w:lang w:val="en-GB"/>
        </w:rPr>
        <w:t xml:space="preserve">ormer Directors </w:t>
      </w:r>
    </w:p>
    <w:p w14:paraId="57A3193C" w14:textId="77777777" w:rsidR="001B6728" w:rsidRDefault="003919D3" w:rsidP="003919D3">
      <w:pPr>
        <w:pStyle w:val="a5"/>
        <w:rPr>
          <w:lang w:val="en-GB"/>
        </w:rPr>
      </w:pPr>
      <w:r>
        <w:rPr>
          <w:lang w:val="en-GB"/>
        </w:rPr>
        <w:t xml:space="preserve">On 11 April 2022, the </w:t>
      </w:r>
      <w:proofErr w:type="spellStart"/>
      <w:r w:rsidRPr="00101C5A">
        <w:rPr>
          <w:bCs/>
          <w:lang w:val="en-GB"/>
        </w:rPr>
        <w:t>HKEx</w:t>
      </w:r>
      <w:proofErr w:type="spellEnd"/>
      <w:r w:rsidR="001B6728">
        <w:rPr>
          <w:bCs/>
          <w:lang w:val="en-GB"/>
        </w:rPr>
        <w:t xml:space="preserve"> sanctioned</w:t>
      </w:r>
      <w:r>
        <w:rPr>
          <w:lang w:val="en-GB"/>
        </w:rPr>
        <w:t xml:space="preserve"> </w:t>
      </w:r>
      <w:r w:rsidR="002C36C2">
        <w:rPr>
          <w:lang w:val="en-GB"/>
        </w:rPr>
        <w:t xml:space="preserve">de-listed </w:t>
      </w:r>
      <w:proofErr w:type="spellStart"/>
      <w:r>
        <w:rPr>
          <w:lang w:val="en-GB"/>
        </w:rPr>
        <w:t>Hsin</w:t>
      </w:r>
      <w:proofErr w:type="spellEnd"/>
      <w:r>
        <w:rPr>
          <w:lang w:val="en-GB"/>
        </w:rPr>
        <w:t xml:space="preserve"> Chong and seven of its former directors</w:t>
      </w:r>
      <w:r w:rsidR="001B6728">
        <w:rPr>
          <w:lang w:val="en-GB"/>
        </w:rPr>
        <w:t xml:space="preserve"> for various breaches of the </w:t>
      </w:r>
      <w:proofErr w:type="spellStart"/>
      <w:r w:rsidR="001B6728">
        <w:rPr>
          <w:lang w:val="en-GB"/>
        </w:rPr>
        <w:t>HKEx</w:t>
      </w:r>
      <w:proofErr w:type="spellEnd"/>
      <w:r w:rsidR="001B6728">
        <w:rPr>
          <w:lang w:val="en-GB"/>
        </w:rPr>
        <w:t xml:space="preserve"> Listing Rules, including the requirements for notifiable and connected transactions, and of the directors’ undertakings, including the undertaking to avoid conflicts of interest</w:t>
      </w:r>
      <w:r>
        <w:rPr>
          <w:lang w:val="en-GB"/>
        </w:rPr>
        <w:t xml:space="preserve">. </w:t>
      </w:r>
    </w:p>
    <w:p w14:paraId="270C04B1" w14:textId="77777777" w:rsidR="001B6728" w:rsidRDefault="001B6728" w:rsidP="003919D3">
      <w:pPr>
        <w:pStyle w:val="a5"/>
        <w:rPr>
          <w:lang w:val="en-GB"/>
        </w:rPr>
      </w:pPr>
      <w:r>
        <w:rPr>
          <w:lang w:val="en-GB"/>
        </w:rPr>
        <w:t xml:space="preserve">The </w:t>
      </w:r>
      <w:proofErr w:type="spellStart"/>
      <w:r>
        <w:rPr>
          <w:lang w:val="en-GB"/>
        </w:rPr>
        <w:t>HKEx</w:t>
      </w:r>
      <w:proofErr w:type="spellEnd"/>
      <w:r>
        <w:rPr>
          <w:lang w:val="en-GB"/>
        </w:rPr>
        <w:t>:</w:t>
      </w:r>
    </w:p>
    <w:p w14:paraId="131CB160" w14:textId="77777777" w:rsidR="007E1F88" w:rsidRDefault="007E1F88" w:rsidP="001B6728">
      <w:pPr>
        <w:pStyle w:val="a5"/>
        <w:numPr>
          <w:ilvl w:val="0"/>
          <w:numId w:val="24"/>
        </w:numPr>
        <w:rPr>
          <w:lang w:val="en-GB"/>
        </w:rPr>
      </w:pPr>
      <w:r>
        <w:rPr>
          <w:lang w:val="en-GB"/>
        </w:rPr>
        <w:t>censured</w:t>
      </w:r>
      <w:r w:rsidR="003919D3" w:rsidRPr="00FA1D65">
        <w:rPr>
          <w:lang w:val="en-GB"/>
        </w:rPr>
        <w:t xml:space="preserve"> </w:t>
      </w:r>
      <w:proofErr w:type="spellStart"/>
      <w:r w:rsidR="003919D3" w:rsidRPr="00FA1D65">
        <w:rPr>
          <w:lang w:val="en-GB"/>
        </w:rPr>
        <w:t>Hsin</w:t>
      </w:r>
      <w:proofErr w:type="spellEnd"/>
      <w:r w:rsidR="003919D3" w:rsidRPr="00FA1D65">
        <w:rPr>
          <w:lang w:val="en-GB"/>
        </w:rPr>
        <w:t xml:space="preserve"> Chong</w:t>
      </w:r>
      <w:r w:rsidR="003919D3">
        <w:rPr>
          <w:lang w:val="en-GB"/>
        </w:rPr>
        <w:t xml:space="preserve"> and</w:t>
      </w:r>
      <w:r w:rsidR="003919D3" w:rsidRPr="00FA1D65">
        <w:rPr>
          <w:lang w:val="en-GB"/>
        </w:rPr>
        <w:t xml:space="preserve"> </w:t>
      </w:r>
      <w:r w:rsidR="003919D3" w:rsidRPr="00A9499E">
        <w:rPr>
          <w:lang w:val="en-GB"/>
        </w:rPr>
        <w:t>Mr Zhou Wei (</w:t>
      </w:r>
      <w:r w:rsidR="003919D3" w:rsidRPr="00A9499E">
        <w:rPr>
          <w:b/>
          <w:lang w:val="en-GB"/>
        </w:rPr>
        <w:t>Mr Zhou</w:t>
      </w:r>
      <w:r w:rsidR="003919D3" w:rsidRPr="00A9499E">
        <w:rPr>
          <w:lang w:val="en-GB"/>
        </w:rPr>
        <w:t>), a former executive director of</w:t>
      </w:r>
      <w:r>
        <w:rPr>
          <w:lang w:val="en-GB"/>
        </w:rPr>
        <w:t xml:space="preserve"> the company</w:t>
      </w:r>
      <w:r w:rsidR="003919D3">
        <w:rPr>
          <w:lang w:val="en-GB"/>
        </w:rPr>
        <w:t xml:space="preserve">; </w:t>
      </w:r>
    </w:p>
    <w:p w14:paraId="4ECD76C2" w14:textId="77777777" w:rsidR="007E1F88" w:rsidRPr="00212808" w:rsidRDefault="007E1F88" w:rsidP="00212808">
      <w:pPr>
        <w:pStyle w:val="a5"/>
        <w:numPr>
          <w:ilvl w:val="0"/>
          <w:numId w:val="24"/>
        </w:numPr>
        <w:rPr>
          <w:lang w:val="en-GB"/>
        </w:rPr>
      </w:pPr>
      <w:r>
        <w:rPr>
          <w:lang w:val="en-GB"/>
        </w:rPr>
        <w:t xml:space="preserve">criticised </w:t>
      </w:r>
      <w:r w:rsidR="00212808">
        <w:rPr>
          <w:lang w:val="en-GB"/>
        </w:rPr>
        <w:t xml:space="preserve">the other six </w:t>
      </w:r>
      <w:proofErr w:type="spellStart"/>
      <w:r w:rsidR="00212808">
        <w:rPr>
          <w:lang w:val="en-GB"/>
        </w:rPr>
        <w:t>Hsin</w:t>
      </w:r>
      <w:proofErr w:type="spellEnd"/>
      <w:r w:rsidR="00212808">
        <w:rPr>
          <w:lang w:val="en-GB"/>
        </w:rPr>
        <w:t xml:space="preserve"> Chong directors and directed them to attend directors’ training; and</w:t>
      </w:r>
    </w:p>
    <w:p w14:paraId="3B51C3DF" w14:textId="77777777" w:rsidR="002C36C2" w:rsidRPr="002C36C2" w:rsidRDefault="00212808" w:rsidP="00212808">
      <w:pPr>
        <w:pStyle w:val="a5"/>
        <w:numPr>
          <w:ilvl w:val="0"/>
          <w:numId w:val="24"/>
        </w:numPr>
        <w:rPr>
          <w:lang w:val="en-GB"/>
        </w:rPr>
      </w:pPr>
      <w:r w:rsidRPr="00212808">
        <w:rPr>
          <w:lang w:val="en-GB"/>
        </w:rPr>
        <w:t>made</w:t>
      </w:r>
      <w:r w:rsidR="003919D3" w:rsidRPr="00212808">
        <w:rPr>
          <w:lang w:val="en-GB"/>
        </w:rPr>
        <w:t xml:space="preserve"> a prejudice to investors’ </w:t>
      </w:r>
      <w:proofErr w:type="gramStart"/>
      <w:r w:rsidR="003919D3" w:rsidRPr="00212808">
        <w:rPr>
          <w:lang w:val="en-GB"/>
        </w:rPr>
        <w:t>interests</w:t>
      </w:r>
      <w:proofErr w:type="gramEnd"/>
      <w:r w:rsidR="003919D3" w:rsidRPr="00212808">
        <w:rPr>
          <w:lang w:val="en-GB"/>
        </w:rPr>
        <w:t xml:space="preserve"> statement against Mr Zhou</w:t>
      </w:r>
      <w:r w:rsidRPr="00212808">
        <w:rPr>
          <w:lang w:val="en-GB"/>
        </w:rPr>
        <w:t xml:space="preserve"> – due to his </w:t>
      </w:r>
      <w:proofErr w:type="spellStart"/>
      <w:r>
        <w:t>wilful</w:t>
      </w:r>
      <w:proofErr w:type="spellEnd"/>
      <w:r>
        <w:t xml:space="preserve"> failure to discharge his responsibilities under the </w:t>
      </w:r>
      <w:proofErr w:type="spellStart"/>
      <w:r>
        <w:t>HKEx</w:t>
      </w:r>
      <w:proofErr w:type="spellEnd"/>
      <w:r>
        <w:t xml:space="preserve"> Listing Rules, the </w:t>
      </w:r>
      <w:proofErr w:type="spellStart"/>
      <w:r>
        <w:t>HKEx</w:t>
      </w:r>
      <w:proofErr w:type="spellEnd"/>
      <w:r>
        <w:t xml:space="preserve"> issued a statement that if he had remained in office and </w:t>
      </w:r>
      <w:proofErr w:type="spellStart"/>
      <w:r w:rsidRPr="00FA1D65">
        <w:rPr>
          <w:lang w:val="en-GB"/>
        </w:rPr>
        <w:t>Hsin</w:t>
      </w:r>
      <w:proofErr w:type="spellEnd"/>
      <w:r w:rsidRPr="00FA1D65">
        <w:rPr>
          <w:lang w:val="en-GB"/>
        </w:rPr>
        <w:t xml:space="preserve"> Chong</w:t>
      </w:r>
      <w:r>
        <w:rPr>
          <w:lang w:val="en-GB"/>
        </w:rPr>
        <w:t xml:space="preserve"> had </w:t>
      </w:r>
      <w:r>
        <w:t xml:space="preserve">remained listed, his retention of office would have been prejudicial to the interests of investors. </w:t>
      </w:r>
    </w:p>
    <w:p w14:paraId="4AD42238" w14:textId="77777777" w:rsidR="003919D3" w:rsidRPr="00212808" w:rsidRDefault="00EC42EB" w:rsidP="002C36C2">
      <w:pPr>
        <w:pStyle w:val="a5"/>
        <w:rPr>
          <w:lang w:val="en-GB"/>
        </w:rPr>
      </w:pPr>
      <w:r>
        <w:rPr>
          <w:lang w:val="en-GB"/>
        </w:rPr>
        <w:t xml:space="preserve">The </w:t>
      </w:r>
      <w:proofErr w:type="spellStart"/>
      <w:r>
        <w:rPr>
          <w:lang w:val="en-GB"/>
        </w:rPr>
        <w:t>HKEx</w:t>
      </w:r>
      <w:proofErr w:type="spellEnd"/>
      <w:r>
        <w:rPr>
          <w:lang w:val="en-GB"/>
        </w:rPr>
        <w:t xml:space="preserve"> suspended trading in </w:t>
      </w:r>
      <w:proofErr w:type="spellStart"/>
      <w:r>
        <w:rPr>
          <w:lang w:val="en-GB"/>
        </w:rPr>
        <w:t>Hsin</w:t>
      </w:r>
      <w:proofErr w:type="spellEnd"/>
      <w:r>
        <w:rPr>
          <w:lang w:val="en-GB"/>
        </w:rPr>
        <w:t xml:space="preserve"> Chong’s shares in </w:t>
      </w:r>
      <w:r w:rsidRPr="00212808">
        <w:rPr>
          <w:lang w:val="en-GB"/>
        </w:rPr>
        <w:t>April 2017</w:t>
      </w:r>
      <w:r>
        <w:rPr>
          <w:lang w:val="en-GB"/>
        </w:rPr>
        <w:t xml:space="preserve"> and </w:t>
      </w:r>
      <w:hyperlink r:id="rId13" w:history="1">
        <w:r w:rsidR="002C36C2" w:rsidRPr="003B513A">
          <w:rPr>
            <w:rStyle w:val="af"/>
            <w:lang w:val="en-GB"/>
          </w:rPr>
          <w:t xml:space="preserve">delisted </w:t>
        </w:r>
        <w:proofErr w:type="spellStart"/>
        <w:r w:rsidR="002C36C2" w:rsidRPr="003B513A">
          <w:rPr>
            <w:rStyle w:val="af"/>
            <w:lang w:val="en-GB"/>
          </w:rPr>
          <w:t>Hsin</w:t>
        </w:r>
        <w:proofErr w:type="spellEnd"/>
        <w:r w:rsidR="002C36C2" w:rsidRPr="003B513A">
          <w:rPr>
            <w:rStyle w:val="af"/>
            <w:lang w:val="en-GB"/>
          </w:rPr>
          <w:t xml:space="preserve"> Chong</w:t>
        </w:r>
      </w:hyperlink>
      <w:r w:rsidR="002C36C2">
        <w:rPr>
          <w:lang w:val="en-GB"/>
        </w:rPr>
        <w:t xml:space="preserve"> under </w:t>
      </w:r>
      <w:proofErr w:type="spellStart"/>
      <w:r w:rsidR="002C36C2">
        <w:rPr>
          <w:lang w:val="en-GB"/>
        </w:rPr>
        <w:t>HKEx</w:t>
      </w:r>
      <w:proofErr w:type="spellEnd"/>
      <w:r w:rsidR="002C36C2">
        <w:rPr>
          <w:lang w:val="en-GB"/>
        </w:rPr>
        <w:t xml:space="preserve"> Listing Rule 6.01A on </w:t>
      </w:r>
      <w:r w:rsidR="002C36C2" w:rsidRPr="002C36C2">
        <w:rPr>
          <w:lang w:val="en-GB"/>
        </w:rPr>
        <w:t>31 December 2019</w:t>
      </w:r>
      <w:r>
        <w:rPr>
          <w:lang w:val="en-GB"/>
        </w:rPr>
        <w:t>,</w:t>
      </w:r>
      <w:r w:rsidR="002C36C2">
        <w:rPr>
          <w:lang w:val="en-GB"/>
        </w:rPr>
        <w:t xml:space="preserve"> </w:t>
      </w:r>
      <w:r w:rsidR="003B513A">
        <w:rPr>
          <w:lang w:val="en-GB"/>
        </w:rPr>
        <w:t>after</w:t>
      </w:r>
      <w:r w:rsidR="003919D3" w:rsidRPr="00212808">
        <w:rPr>
          <w:lang w:val="en-GB"/>
        </w:rPr>
        <w:t xml:space="preserve"> the </w:t>
      </w:r>
      <w:r w:rsidR="003B513A">
        <w:rPr>
          <w:lang w:val="en-GB"/>
        </w:rPr>
        <w:t xml:space="preserve">company failed to resume trading by the </w:t>
      </w:r>
      <w:r w:rsidR="00F12D45">
        <w:rPr>
          <w:lang w:val="en-GB"/>
        </w:rPr>
        <w:t>required</w:t>
      </w:r>
      <w:r>
        <w:rPr>
          <w:lang w:val="en-GB"/>
        </w:rPr>
        <w:t xml:space="preserve"> </w:t>
      </w:r>
      <w:r w:rsidR="003B513A">
        <w:rPr>
          <w:lang w:val="en-GB"/>
        </w:rPr>
        <w:t>date</w:t>
      </w:r>
      <w:r>
        <w:rPr>
          <w:lang w:val="en-GB"/>
        </w:rPr>
        <w:t xml:space="preserve">. </w:t>
      </w:r>
    </w:p>
    <w:p w14:paraId="4731A0E0" w14:textId="77777777" w:rsidR="003919D3" w:rsidRDefault="003919D3" w:rsidP="003919D3">
      <w:pPr>
        <w:pStyle w:val="a5"/>
        <w:rPr>
          <w:lang w:val="en-GB"/>
        </w:rPr>
      </w:pPr>
      <w:r>
        <w:rPr>
          <w:lang w:val="en-GB"/>
        </w:rPr>
        <w:t xml:space="preserve">The </w:t>
      </w:r>
      <w:proofErr w:type="spellStart"/>
      <w:r>
        <w:rPr>
          <w:lang w:val="en-GB"/>
        </w:rPr>
        <w:t>HKEx’s</w:t>
      </w:r>
      <w:proofErr w:type="spellEnd"/>
      <w:r>
        <w:rPr>
          <w:lang w:val="en-GB"/>
        </w:rPr>
        <w:t xml:space="preserve"> Statement of Dis</w:t>
      </w:r>
      <w:r w:rsidR="00EC42EB">
        <w:rPr>
          <w:lang w:val="en-GB"/>
        </w:rPr>
        <w:t>ciplinary Action is available</w:t>
      </w:r>
      <w:r>
        <w:rPr>
          <w:lang w:val="en-GB"/>
        </w:rPr>
        <w:t xml:space="preserve"> </w:t>
      </w:r>
      <w:hyperlink r:id="rId14" w:history="1">
        <w:r w:rsidRPr="00EC42EB">
          <w:rPr>
            <w:rStyle w:val="af"/>
            <w:i/>
            <w:lang w:val="en-GB"/>
          </w:rPr>
          <w:t>he</w:t>
        </w:r>
        <w:r w:rsidR="00EC42EB" w:rsidRPr="00EC42EB">
          <w:rPr>
            <w:rStyle w:val="af"/>
            <w:i/>
            <w:lang w:val="en-GB"/>
          </w:rPr>
          <w:t>re</w:t>
        </w:r>
      </w:hyperlink>
      <w:r>
        <w:rPr>
          <w:lang w:val="en-GB"/>
        </w:rPr>
        <w:t>.</w:t>
      </w:r>
    </w:p>
    <w:p w14:paraId="55F585BE" w14:textId="77777777" w:rsidR="003E63F7" w:rsidRDefault="003E63F7" w:rsidP="003919D3">
      <w:pPr>
        <w:pStyle w:val="a5"/>
        <w:rPr>
          <w:b/>
          <w:lang w:val="en-GB"/>
        </w:rPr>
      </w:pPr>
      <w:proofErr w:type="spellStart"/>
      <w:r>
        <w:rPr>
          <w:b/>
          <w:lang w:val="en-GB"/>
        </w:rPr>
        <w:t>Discloseable</w:t>
      </w:r>
      <w:proofErr w:type="spellEnd"/>
      <w:r>
        <w:rPr>
          <w:b/>
          <w:lang w:val="en-GB"/>
        </w:rPr>
        <w:t xml:space="preserve"> and Connected Transaction</w:t>
      </w:r>
      <w:r w:rsidR="00E90B43">
        <w:rPr>
          <w:b/>
          <w:lang w:val="en-GB"/>
        </w:rPr>
        <w:t>s</w:t>
      </w:r>
      <w:r>
        <w:rPr>
          <w:b/>
          <w:lang w:val="en-GB"/>
        </w:rPr>
        <w:t xml:space="preserve"> </w:t>
      </w:r>
    </w:p>
    <w:p w14:paraId="4718B818" w14:textId="7040BE7B" w:rsidR="003919D3" w:rsidRDefault="00B35C72" w:rsidP="00630DAA">
      <w:pPr>
        <w:pStyle w:val="a5"/>
        <w:rPr>
          <w:lang w:val="en-GB"/>
        </w:rPr>
      </w:pPr>
      <w:r>
        <w:rPr>
          <w:lang w:val="en-GB"/>
        </w:rPr>
        <w:t xml:space="preserve">In </w:t>
      </w:r>
      <w:r w:rsidR="003919D3">
        <w:rPr>
          <w:lang w:val="en-GB"/>
        </w:rPr>
        <w:t xml:space="preserve">2016, </w:t>
      </w:r>
      <w:proofErr w:type="spellStart"/>
      <w:r w:rsidR="003919D3">
        <w:rPr>
          <w:lang w:val="en-GB"/>
        </w:rPr>
        <w:t>Hsin</w:t>
      </w:r>
      <w:proofErr w:type="spellEnd"/>
      <w:r w:rsidR="003919D3">
        <w:rPr>
          <w:lang w:val="en-GB"/>
        </w:rPr>
        <w:t xml:space="preserve"> Chong entered into</w:t>
      </w:r>
      <w:r w:rsidR="00D31D09">
        <w:rPr>
          <w:lang w:val="en-GB"/>
        </w:rPr>
        <w:t>:</w:t>
      </w:r>
      <w:r w:rsidR="003919D3">
        <w:rPr>
          <w:lang w:val="en-GB"/>
        </w:rPr>
        <w:t xml:space="preserve"> </w:t>
      </w:r>
      <w:r w:rsidR="00630DAA">
        <w:rPr>
          <w:lang w:val="en-GB"/>
        </w:rPr>
        <w:t>(</w:t>
      </w:r>
      <w:proofErr w:type="spellStart"/>
      <w:r w:rsidR="00630DAA">
        <w:rPr>
          <w:lang w:val="en-GB"/>
        </w:rPr>
        <w:t>i</w:t>
      </w:r>
      <w:proofErr w:type="spellEnd"/>
      <w:r w:rsidR="00630DAA">
        <w:rPr>
          <w:lang w:val="en-GB"/>
        </w:rPr>
        <w:t>)</w:t>
      </w:r>
      <w:r>
        <w:rPr>
          <w:lang w:val="en-GB"/>
        </w:rPr>
        <w:t xml:space="preserve"> </w:t>
      </w:r>
      <w:r w:rsidR="003919D3">
        <w:rPr>
          <w:lang w:val="en-GB"/>
        </w:rPr>
        <w:t xml:space="preserve">a sale and leaseback agreement to acquire two properties for RMB500 million from a </w:t>
      </w:r>
      <w:r w:rsidR="00630DAA">
        <w:rPr>
          <w:lang w:val="en-GB"/>
        </w:rPr>
        <w:t xml:space="preserve">related </w:t>
      </w:r>
      <w:r w:rsidR="003919D3">
        <w:rPr>
          <w:lang w:val="en-GB"/>
        </w:rPr>
        <w:t>company of Mr Zhou</w:t>
      </w:r>
      <w:r w:rsidR="00630DAA">
        <w:rPr>
          <w:lang w:val="en-GB"/>
        </w:rPr>
        <w:t xml:space="preserve"> under which </w:t>
      </w:r>
      <w:proofErr w:type="spellStart"/>
      <w:r w:rsidR="00630DAA">
        <w:rPr>
          <w:lang w:val="en-GB"/>
        </w:rPr>
        <w:t>Hsin</w:t>
      </w:r>
      <w:proofErr w:type="spellEnd"/>
      <w:r w:rsidR="00630DAA">
        <w:rPr>
          <w:lang w:val="en-GB"/>
        </w:rPr>
        <w:t xml:space="preserve"> Chong</w:t>
      </w:r>
      <w:r w:rsidR="003919D3">
        <w:rPr>
          <w:lang w:val="en-GB"/>
        </w:rPr>
        <w:t xml:space="preserve"> paid RMB129 m</w:t>
      </w:r>
      <w:r w:rsidR="00630DAA">
        <w:rPr>
          <w:lang w:val="en-GB"/>
        </w:rPr>
        <w:t xml:space="preserve">illion as the first instalment; </w:t>
      </w:r>
      <w:r w:rsidR="00D31D09">
        <w:rPr>
          <w:lang w:val="en-GB"/>
        </w:rPr>
        <w:t xml:space="preserve">and </w:t>
      </w:r>
      <w:r w:rsidR="00630DAA">
        <w:rPr>
          <w:lang w:val="en-GB"/>
        </w:rPr>
        <w:t xml:space="preserve">(ii) </w:t>
      </w:r>
      <w:r w:rsidR="003919D3">
        <w:rPr>
          <w:lang w:val="en-GB"/>
        </w:rPr>
        <w:t>a renovation cooperation agreement with another related company of Mr Zhou to renovate the properties</w:t>
      </w:r>
      <w:r w:rsidR="00630DAA">
        <w:rPr>
          <w:lang w:val="en-GB"/>
        </w:rPr>
        <w:t xml:space="preserve"> under which </w:t>
      </w:r>
      <w:proofErr w:type="spellStart"/>
      <w:r w:rsidR="00630DAA">
        <w:rPr>
          <w:lang w:val="en-GB"/>
        </w:rPr>
        <w:t>Hsin</w:t>
      </w:r>
      <w:proofErr w:type="spellEnd"/>
      <w:r w:rsidR="00630DAA">
        <w:rPr>
          <w:lang w:val="en-GB"/>
        </w:rPr>
        <w:t xml:space="preserve"> Chong</w:t>
      </w:r>
      <w:r w:rsidR="003919D3">
        <w:rPr>
          <w:lang w:val="en-GB"/>
        </w:rPr>
        <w:t xml:space="preserve"> </w:t>
      </w:r>
      <w:r w:rsidR="00D31D09">
        <w:rPr>
          <w:lang w:val="en-GB"/>
        </w:rPr>
        <w:t xml:space="preserve">would </w:t>
      </w:r>
      <w:r w:rsidR="003919D3">
        <w:rPr>
          <w:lang w:val="en-GB"/>
        </w:rPr>
        <w:t xml:space="preserve">pay </w:t>
      </w:r>
      <w:r w:rsidR="00D31D09">
        <w:rPr>
          <w:lang w:val="en-GB"/>
        </w:rPr>
        <w:t>consideration of RMB247.5</w:t>
      </w:r>
      <w:r w:rsidR="00C716BC">
        <w:rPr>
          <w:lang w:val="en-GB"/>
        </w:rPr>
        <w:t xml:space="preserve"> million</w:t>
      </w:r>
      <w:r w:rsidR="00D31D09">
        <w:rPr>
          <w:lang w:val="en-GB"/>
        </w:rPr>
        <w:t xml:space="preserve">. Both agreements were subsequently terminated and the sums paid by </w:t>
      </w:r>
      <w:proofErr w:type="spellStart"/>
      <w:r w:rsidR="00D31D09">
        <w:rPr>
          <w:lang w:val="en-GB"/>
        </w:rPr>
        <w:t>Hsin</w:t>
      </w:r>
      <w:proofErr w:type="spellEnd"/>
      <w:r w:rsidR="00D31D09">
        <w:rPr>
          <w:lang w:val="en-GB"/>
        </w:rPr>
        <w:t xml:space="preserve"> Chong were then treated as loans to Mr Zhou’s</w:t>
      </w:r>
      <w:r w:rsidR="00D31D09" w:rsidDel="00464576">
        <w:rPr>
          <w:lang w:val="en-GB"/>
        </w:rPr>
        <w:t xml:space="preserve"> </w:t>
      </w:r>
      <w:r w:rsidR="00D31D09">
        <w:rPr>
          <w:lang w:val="en-GB"/>
        </w:rPr>
        <w:t xml:space="preserve">related companies. </w:t>
      </w:r>
    </w:p>
    <w:p w14:paraId="1A5B440B" w14:textId="77777777" w:rsidR="003919D3" w:rsidRDefault="003919D3" w:rsidP="003919D3">
      <w:pPr>
        <w:pStyle w:val="a5"/>
        <w:rPr>
          <w:lang w:val="en-GB"/>
        </w:rPr>
      </w:pPr>
      <w:r>
        <w:rPr>
          <w:lang w:val="en-GB"/>
        </w:rPr>
        <w:t>The</w:t>
      </w:r>
      <w:r w:rsidR="00896AB2">
        <w:rPr>
          <w:lang w:val="en-GB"/>
        </w:rPr>
        <w:t>se transactions constituted</w:t>
      </w:r>
      <w:r>
        <w:rPr>
          <w:lang w:val="en-GB"/>
        </w:rPr>
        <w:t xml:space="preserve"> </w:t>
      </w:r>
      <w:proofErr w:type="spellStart"/>
      <w:r>
        <w:rPr>
          <w:lang w:val="en-GB"/>
        </w:rPr>
        <w:t>discloseable</w:t>
      </w:r>
      <w:proofErr w:type="spellEnd"/>
      <w:r>
        <w:rPr>
          <w:lang w:val="en-GB"/>
        </w:rPr>
        <w:t xml:space="preserve"> and connected transactions under the </w:t>
      </w:r>
      <w:proofErr w:type="spellStart"/>
      <w:r w:rsidR="00896AB2">
        <w:rPr>
          <w:lang w:val="en-GB"/>
        </w:rPr>
        <w:t>HKEx</w:t>
      </w:r>
      <w:proofErr w:type="spellEnd"/>
      <w:r w:rsidR="00896AB2">
        <w:rPr>
          <w:lang w:val="en-GB"/>
        </w:rPr>
        <w:t xml:space="preserve"> </w:t>
      </w:r>
      <w:r>
        <w:rPr>
          <w:lang w:val="en-GB"/>
        </w:rPr>
        <w:t xml:space="preserve">Listing Rules. However, </w:t>
      </w:r>
      <w:proofErr w:type="spellStart"/>
      <w:r>
        <w:rPr>
          <w:lang w:val="en-GB"/>
        </w:rPr>
        <w:t>Hsin</w:t>
      </w:r>
      <w:proofErr w:type="spellEnd"/>
      <w:r>
        <w:rPr>
          <w:lang w:val="en-GB"/>
        </w:rPr>
        <w:t xml:space="preserve"> Chong did not comply with the applicable reporting, announcement, circular and shareholde</w:t>
      </w:r>
      <w:r w:rsidR="00896AB2">
        <w:rPr>
          <w:lang w:val="en-GB"/>
        </w:rPr>
        <w:t>rs’ approval requirements. The t</w:t>
      </w:r>
      <w:r>
        <w:rPr>
          <w:lang w:val="en-GB"/>
        </w:rPr>
        <w:t xml:space="preserve">ransactions were not announced until 31 March 2017, and as at 31 December 2019 (when the company was delisted), </w:t>
      </w:r>
      <w:proofErr w:type="spellStart"/>
      <w:r>
        <w:rPr>
          <w:lang w:val="en-GB"/>
        </w:rPr>
        <w:t>Hsin</w:t>
      </w:r>
      <w:proofErr w:type="spellEnd"/>
      <w:r>
        <w:rPr>
          <w:lang w:val="en-GB"/>
        </w:rPr>
        <w:t xml:space="preserve"> Chong had not despatched a circular to its shareholders. </w:t>
      </w:r>
      <w:r w:rsidR="00896AB2">
        <w:rPr>
          <w:lang w:val="en-GB"/>
        </w:rPr>
        <w:t>T</w:t>
      </w:r>
      <w:r>
        <w:rPr>
          <w:lang w:val="en-GB"/>
        </w:rPr>
        <w:t xml:space="preserve">he </w:t>
      </w:r>
      <w:proofErr w:type="spellStart"/>
      <w:r>
        <w:rPr>
          <w:lang w:val="en-GB"/>
        </w:rPr>
        <w:t>HKEx’s</w:t>
      </w:r>
      <w:proofErr w:type="spellEnd"/>
      <w:r>
        <w:rPr>
          <w:lang w:val="en-GB"/>
        </w:rPr>
        <w:t xml:space="preserve"> </w:t>
      </w:r>
      <w:r w:rsidR="00896AB2">
        <w:rPr>
          <w:lang w:val="en-GB"/>
        </w:rPr>
        <w:t xml:space="preserve">Disciplinary Statement noted that there was no </w:t>
      </w:r>
      <w:r>
        <w:rPr>
          <w:lang w:val="en-GB"/>
        </w:rPr>
        <w:t>commercial rationale for the sale and leaseback agreement.</w:t>
      </w:r>
      <w:r w:rsidR="00896AB2">
        <w:rPr>
          <w:lang w:val="en-GB"/>
        </w:rPr>
        <w:t xml:space="preserve"> In particular: (</w:t>
      </w:r>
      <w:proofErr w:type="spellStart"/>
      <w:r w:rsidR="00896AB2">
        <w:rPr>
          <w:lang w:val="en-GB"/>
        </w:rPr>
        <w:t>i</w:t>
      </w:r>
      <w:proofErr w:type="spellEnd"/>
      <w:r w:rsidR="00896AB2">
        <w:rPr>
          <w:lang w:val="en-GB"/>
        </w:rPr>
        <w:t xml:space="preserve">) the </w:t>
      </w:r>
      <w:r w:rsidR="00230508">
        <w:rPr>
          <w:lang w:val="en-GB"/>
        </w:rPr>
        <w:t>eight-</w:t>
      </w:r>
      <w:r w:rsidR="00896AB2">
        <w:rPr>
          <w:lang w:val="en-GB"/>
        </w:rPr>
        <w:t xml:space="preserve">year leaseback allowed Mr Zhou’s related company to lease the properties for an aggregate rent of RMB203.5 million (less than </w:t>
      </w:r>
      <w:r w:rsidR="00896AB2">
        <w:rPr>
          <w:lang w:val="en-GB"/>
        </w:rPr>
        <w:lastRenderedPageBreak/>
        <w:t xml:space="preserve">half the purchase price paid by </w:t>
      </w:r>
      <w:proofErr w:type="spellStart"/>
      <w:r w:rsidR="00896AB2">
        <w:rPr>
          <w:lang w:val="en-GB"/>
        </w:rPr>
        <w:t>Hsin</w:t>
      </w:r>
      <w:proofErr w:type="spellEnd"/>
      <w:r w:rsidR="00896AB2">
        <w:rPr>
          <w:lang w:val="en-GB"/>
        </w:rPr>
        <w:t xml:space="preserve"> Chong)</w:t>
      </w:r>
      <w:r w:rsidR="00230508">
        <w:rPr>
          <w:lang w:val="en-GB"/>
        </w:rPr>
        <w:t xml:space="preserve">; and (ii) </w:t>
      </w:r>
      <w:proofErr w:type="spellStart"/>
      <w:r w:rsidR="00230508">
        <w:rPr>
          <w:lang w:val="en-GB"/>
        </w:rPr>
        <w:t>Hsin</w:t>
      </w:r>
      <w:proofErr w:type="spellEnd"/>
      <w:r w:rsidR="00230508">
        <w:rPr>
          <w:lang w:val="en-GB"/>
        </w:rPr>
        <w:t xml:space="preserve"> Chong was subject to a buy-back provision requiring </w:t>
      </w:r>
      <w:r w:rsidR="00247D8B">
        <w:rPr>
          <w:lang w:val="en-GB"/>
        </w:rPr>
        <w:t>it to sell</w:t>
      </w:r>
      <w:r w:rsidR="00230508">
        <w:rPr>
          <w:lang w:val="en-GB"/>
        </w:rPr>
        <w:t xml:space="preserve"> the properties back to Mr Zhou’s rela</w:t>
      </w:r>
      <w:r w:rsidR="00247D8B">
        <w:rPr>
          <w:lang w:val="en-GB"/>
        </w:rPr>
        <w:t>ted company for</w:t>
      </w:r>
      <w:r w:rsidR="00230508">
        <w:rPr>
          <w:lang w:val="en-GB"/>
        </w:rPr>
        <w:t xml:space="preserve"> RMB100 at the end of the eight-year lease. </w:t>
      </w:r>
    </w:p>
    <w:p w14:paraId="3A4E0CE0" w14:textId="77777777" w:rsidR="00761166" w:rsidRDefault="003919D3" w:rsidP="003919D3">
      <w:pPr>
        <w:pStyle w:val="a5"/>
        <w:rPr>
          <w:lang w:val="en-GB"/>
        </w:rPr>
      </w:pPr>
      <w:r>
        <w:rPr>
          <w:lang w:val="en-GB"/>
        </w:rPr>
        <w:t xml:space="preserve">Mr Zhou was the sole </w:t>
      </w:r>
      <w:r w:rsidR="009B77B6">
        <w:rPr>
          <w:lang w:val="en-GB"/>
        </w:rPr>
        <w:t>approver of t</w:t>
      </w:r>
      <w:r w:rsidR="00761166">
        <w:rPr>
          <w:lang w:val="en-GB"/>
        </w:rPr>
        <w:t>he transactions. H</w:t>
      </w:r>
      <w:r>
        <w:rPr>
          <w:lang w:val="en-GB"/>
        </w:rPr>
        <w:t xml:space="preserve">e did not notify </w:t>
      </w:r>
      <w:proofErr w:type="spellStart"/>
      <w:r w:rsidRPr="005F0693">
        <w:rPr>
          <w:lang w:val="en-GB"/>
        </w:rPr>
        <w:t>Hsin</w:t>
      </w:r>
      <w:proofErr w:type="spellEnd"/>
      <w:r w:rsidRPr="005F0693">
        <w:rPr>
          <w:lang w:val="en-GB"/>
        </w:rPr>
        <w:t xml:space="preserve"> Chong</w:t>
      </w:r>
      <w:r>
        <w:rPr>
          <w:lang w:val="en-GB"/>
        </w:rPr>
        <w:t>’s board of directors, seek the board’s approval</w:t>
      </w:r>
      <w:r w:rsidR="00761166">
        <w:rPr>
          <w:lang w:val="en-GB"/>
        </w:rPr>
        <w:t xml:space="preserve"> of the transactions, </w:t>
      </w:r>
      <w:r>
        <w:rPr>
          <w:lang w:val="en-GB"/>
        </w:rPr>
        <w:t>or disclose</w:t>
      </w:r>
      <w:r w:rsidR="00761166">
        <w:rPr>
          <w:lang w:val="en-GB"/>
        </w:rPr>
        <w:t xml:space="preserve"> his personal interests in </w:t>
      </w:r>
      <w:r w:rsidR="009B77B6">
        <w:rPr>
          <w:lang w:val="en-GB"/>
        </w:rPr>
        <w:t xml:space="preserve">them </w:t>
      </w:r>
      <w:r w:rsidR="00761166">
        <w:rPr>
          <w:lang w:val="en-GB"/>
        </w:rPr>
        <w:t xml:space="preserve">before </w:t>
      </w:r>
      <w:r w:rsidR="009B77B6">
        <w:rPr>
          <w:lang w:val="en-GB"/>
        </w:rPr>
        <w:t>the company</w:t>
      </w:r>
      <w:r w:rsidR="00761166">
        <w:rPr>
          <w:lang w:val="en-GB"/>
        </w:rPr>
        <w:t xml:space="preserve"> entered into the t</w:t>
      </w:r>
      <w:r>
        <w:rPr>
          <w:lang w:val="en-GB"/>
        </w:rPr>
        <w:t>ransactions. The other six directors clai</w:t>
      </w:r>
      <w:r w:rsidR="00761166">
        <w:rPr>
          <w:lang w:val="en-GB"/>
        </w:rPr>
        <w:t>med they were not aware of the t</w:t>
      </w:r>
      <w:r>
        <w:rPr>
          <w:lang w:val="en-GB"/>
        </w:rPr>
        <w:t xml:space="preserve">ransactions until they were discovered by </w:t>
      </w:r>
      <w:proofErr w:type="spellStart"/>
      <w:r>
        <w:rPr>
          <w:lang w:val="en-GB"/>
        </w:rPr>
        <w:t>Hsin</w:t>
      </w:r>
      <w:proofErr w:type="spellEnd"/>
      <w:r>
        <w:rPr>
          <w:lang w:val="en-GB"/>
        </w:rPr>
        <w:t xml:space="preserve"> Chong’s auditors when preparing its 2016 annual results. </w:t>
      </w:r>
      <w:r w:rsidR="00761166">
        <w:rPr>
          <w:lang w:val="en-GB"/>
        </w:rPr>
        <w:t>The transactions were raised as an audit issue and the annual reports for the three years ended 31 December 2016 were consequently subject to disclaimer opinions.</w:t>
      </w:r>
    </w:p>
    <w:p w14:paraId="5F50ADA9" w14:textId="77777777" w:rsidR="00761166" w:rsidRDefault="00761166" w:rsidP="003919D3">
      <w:pPr>
        <w:pStyle w:val="a5"/>
        <w:rPr>
          <w:lang w:val="en-GB"/>
        </w:rPr>
      </w:pPr>
      <w:r>
        <w:rPr>
          <w:lang w:val="en-GB"/>
        </w:rPr>
        <w:t>The loans remained outstanding as at the date of the 2017 Annual Report (23 March 2018).</w:t>
      </w:r>
    </w:p>
    <w:p w14:paraId="352326C1" w14:textId="77777777" w:rsidR="009B77B6" w:rsidRPr="009B77B6" w:rsidRDefault="009B77B6" w:rsidP="003919D3">
      <w:pPr>
        <w:pStyle w:val="a5"/>
        <w:rPr>
          <w:b/>
          <w:lang w:val="en-GB"/>
        </w:rPr>
      </w:pPr>
      <w:r>
        <w:rPr>
          <w:b/>
          <w:lang w:val="en-GB"/>
        </w:rPr>
        <w:t>Delays in Financial Reporting</w:t>
      </w:r>
    </w:p>
    <w:p w14:paraId="20928558" w14:textId="77777777" w:rsidR="003919D3" w:rsidRDefault="003919D3" w:rsidP="003919D3">
      <w:pPr>
        <w:pStyle w:val="a5"/>
        <w:rPr>
          <w:lang w:val="en-GB"/>
        </w:rPr>
      </w:pPr>
      <w:proofErr w:type="spellStart"/>
      <w:r>
        <w:rPr>
          <w:lang w:val="en-GB"/>
        </w:rPr>
        <w:t>Hsin</w:t>
      </w:r>
      <w:proofErr w:type="spellEnd"/>
      <w:r>
        <w:rPr>
          <w:lang w:val="en-GB"/>
        </w:rPr>
        <w:t xml:space="preserve"> Chong </w:t>
      </w:r>
      <w:r w:rsidR="009B77B6">
        <w:rPr>
          <w:lang w:val="en-GB"/>
        </w:rPr>
        <w:t xml:space="preserve">also </w:t>
      </w:r>
      <w:r>
        <w:rPr>
          <w:lang w:val="en-GB"/>
        </w:rPr>
        <w:t xml:space="preserve">failed to timely </w:t>
      </w:r>
      <w:r w:rsidR="009B77B6">
        <w:rPr>
          <w:lang w:val="en-GB"/>
        </w:rPr>
        <w:t xml:space="preserve">publish </w:t>
      </w:r>
      <w:r>
        <w:rPr>
          <w:lang w:val="en-GB"/>
        </w:rPr>
        <w:t xml:space="preserve">and/or </w:t>
      </w:r>
      <w:r w:rsidR="009B77B6">
        <w:rPr>
          <w:lang w:val="en-GB"/>
        </w:rPr>
        <w:t xml:space="preserve">despatch </w:t>
      </w:r>
      <w:r>
        <w:rPr>
          <w:lang w:val="en-GB"/>
        </w:rPr>
        <w:t>its 2016 annual results</w:t>
      </w:r>
      <w:r w:rsidDel="00BE2271">
        <w:rPr>
          <w:lang w:val="en-GB"/>
        </w:rPr>
        <w:t xml:space="preserve"> </w:t>
      </w:r>
      <w:r>
        <w:rPr>
          <w:lang w:val="en-GB"/>
        </w:rPr>
        <w:t xml:space="preserve">and 2017 annual report </w:t>
      </w:r>
      <w:r w:rsidR="009B77B6">
        <w:rPr>
          <w:lang w:val="en-GB"/>
        </w:rPr>
        <w:t xml:space="preserve">as </w:t>
      </w:r>
      <w:r>
        <w:rPr>
          <w:lang w:val="en-GB"/>
        </w:rPr>
        <w:t>require</w:t>
      </w:r>
      <w:r w:rsidR="009B77B6">
        <w:rPr>
          <w:lang w:val="en-GB"/>
        </w:rPr>
        <w:t xml:space="preserve">d by the </w:t>
      </w:r>
      <w:proofErr w:type="spellStart"/>
      <w:r w:rsidR="009B77B6">
        <w:rPr>
          <w:lang w:val="en-GB"/>
        </w:rPr>
        <w:t>HKE</w:t>
      </w:r>
      <w:r w:rsidR="009601E9">
        <w:rPr>
          <w:lang w:val="en-GB"/>
        </w:rPr>
        <w:t>x</w:t>
      </w:r>
      <w:proofErr w:type="spellEnd"/>
      <w:r w:rsidR="009601E9">
        <w:rPr>
          <w:lang w:val="en-GB"/>
        </w:rPr>
        <w:t xml:space="preserve"> Listing Rules, with delays of</w:t>
      </w:r>
      <w:r>
        <w:rPr>
          <w:lang w:val="en-GB"/>
        </w:rPr>
        <w:t xml:space="preserve"> </w:t>
      </w:r>
      <w:r w:rsidR="009601E9">
        <w:rPr>
          <w:lang w:val="en-GB"/>
        </w:rPr>
        <w:t>18 and 17 days, respectively.</w:t>
      </w:r>
    </w:p>
    <w:p w14:paraId="30124288" w14:textId="77777777" w:rsidR="009601E9" w:rsidRPr="009601E9" w:rsidRDefault="009601E9" w:rsidP="003919D3">
      <w:pPr>
        <w:pStyle w:val="a5"/>
        <w:rPr>
          <w:b/>
          <w:lang w:val="en-GB"/>
        </w:rPr>
      </w:pPr>
      <w:r w:rsidRPr="009601E9">
        <w:rPr>
          <w:b/>
          <w:lang w:val="en-GB"/>
        </w:rPr>
        <w:t>Deficiencies in Listed Company’s Internal Controls</w:t>
      </w:r>
    </w:p>
    <w:p w14:paraId="478F32C6" w14:textId="77777777" w:rsidR="003919D3" w:rsidRDefault="003919D3" w:rsidP="003919D3">
      <w:pPr>
        <w:pStyle w:val="a5"/>
        <w:rPr>
          <w:lang w:val="en-GB"/>
        </w:rPr>
      </w:pPr>
      <w:proofErr w:type="spellStart"/>
      <w:r>
        <w:rPr>
          <w:lang w:val="en-GB"/>
        </w:rPr>
        <w:t>Hsin</w:t>
      </w:r>
      <w:proofErr w:type="spellEnd"/>
      <w:r>
        <w:rPr>
          <w:lang w:val="en-GB"/>
        </w:rPr>
        <w:t xml:space="preserve"> Chong admitted that it lacked internal controls for, among other things, financial reporting, </w:t>
      </w:r>
      <w:proofErr w:type="spellStart"/>
      <w:r w:rsidR="009601E9">
        <w:rPr>
          <w:lang w:val="en-GB"/>
        </w:rPr>
        <w:t>HKEx</w:t>
      </w:r>
      <w:proofErr w:type="spellEnd"/>
      <w:r w:rsidR="009601E9">
        <w:rPr>
          <w:lang w:val="en-GB"/>
        </w:rPr>
        <w:t xml:space="preserve"> </w:t>
      </w:r>
      <w:r>
        <w:rPr>
          <w:lang w:val="en-GB"/>
        </w:rPr>
        <w:t xml:space="preserve">Listing Rule compliance </w:t>
      </w:r>
      <w:r w:rsidR="009601E9">
        <w:rPr>
          <w:lang w:val="en-GB"/>
        </w:rPr>
        <w:t xml:space="preserve">for </w:t>
      </w:r>
      <w:r>
        <w:rPr>
          <w:lang w:val="en-GB"/>
        </w:rPr>
        <w:t>notifiable and connected transactions, approval and reporting of transactions, and avoidance of conflict of int</w:t>
      </w:r>
      <w:r w:rsidR="009601E9">
        <w:rPr>
          <w:lang w:val="en-GB"/>
        </w:rPr>
        <w:t>erest when it entered into the t</w:t>
      </w:r>
      <w:r>
        <w:rPr>
          <w:lang w:val="en-GB"/>
        </w:rPr>
        <w:t xml:space="preserve">ransactions. It admitted </w:t>
      </w:r>
      <w:r w:rsidR="008C4915">
        <w:rPr>
          <w:lang w:val="en-GB"/>
        </w:rPr>
        <w:t>that the failure to report the t</w:t>
      </w:r>
      <w:r>
        <w:rPr>
          <w:lang w:val="en-GB"/>
        </w:rPr>
        <w:t xml:space="preserve">ransactions to the board of directors </w:t>
      </w:r>
      <w:r w:rsidR="008C4915">
        <w:rPr>
          <w:lang w:val="en-GB"/>
        </w:rPr>
        <w:t xml:space="preserve">resulted from deficiencies in its </w:t>
      </w:r>
      <w:r>
        <w:rPr>
          <w:lang w:val="en-GB"/>
        </w:rPr>
        <w:t>internal controls</w:t>
      </w:r>
      <w:r w:rsidR="008C4915">
        <w:rPr>
          <w:lang w:val="en-GB"/>
        </w:rPr>
        <w:t xml:space="preserve"> at the time</w:t>
      </w:r>
      <w:r>
        <w:rPr>
          <w:lang w:val="en-GB"/>
        </w:rPr>
        <w:t xml:space="preserve">. </w:t>
      </w:r>
    </w:p>
    <w:p w14:paraId="5B9BA7D3" w14:textId="77777777" w:rsidR="00980E5E" w:rsidRPr="001353CC" w:rsidRDefault="00F70C08" w:rsidP="003919D3">
      <w:pPr>
        <w:pStyle w:val="a5"/>
        <w:rPr>
          <w:b/>
          <w:lang w:val="en-GB"/>
        </w:rPr>
      </w:pPr>
      <w:proofErr w:type="spellStart"/>
      <w:r w:rsidRPr="00F70C08">
        <w:rPr>
          <w:b/>
          <w:lang w:val="en-GB"/>
        </w:rPr>
        <w:t>Hsin</w:t>
      </w:r>
      <w:proofErr w:type="spellEnd"/>
      <w:r w:rsidRPr="00F70C08">
        <w:rPr>
          <w:b/>
          <w:lang w:val="en-GB"/>
        </w:rPr>
        <w:t xml:space="preserve"> Chong</w:t>
      </w:r>
      <w:r>
        <w:rPr>
          <w:b/>
          <w:lang w:val="en-GB"/>
        </w:rPr>
        <w:t>’s</w:t>
      </w:r>
      <w:r>
        <w:rPr>
          <w:lang w:val="en-GB"/>
        </w:rPr>
        <w:t xml:space="preserve"> </w:t>
      </w:r>
      <w:r w:rsidR="001353CC">
        <w:rPr>
          <w:b/>
          <w:lang w:val="en-GB"/>
        </w:rPr>
        <w:t>Listing Rule Breaches</w:t>
      </w:r>
    </w:p>
    <w:p w14:paraId="7D8237F1" w14:textId="77777777" w:rsidR="00941DE4" w:rsidRDefault="00941DE4" w:rsidP="003919D3">
      <w:pPr>
        <w:pStyle w:val="a5"/>
        <w:rPr>
          <w:lang w:val="en-GB"/>
        </w:rPr>
      </w:pPr>
      <w:r>
        <w:rPr>
          <w:lang w:val="en-GB"/>
        </w:rPr>
        <w:t xml:space="preserve">The </w:t>
      </w:r>
      <w:proofErr w:type="spellStart"/>
      <w:r>
        <w:rPr>
          <w:lang w:val="en-GB"/>
        </w:rPr>
        <w:t>HKEx</w:t>
      </w:r>
      <w:proofErr w:type="spellEnd"/>
      <w:r>
        <w:rPr>
          <w:lang w:val="en-GB"/>
        </w:rPr>
        <w:t xml:space="preserve"> Listing Committee found that </w:t>
      </w:r>
      <w:proofErr w:type="spellStart"/>
      <w:r>
        <w:rPr>
          <w:lang w:val="en-GB"/>
        </w:rPr>
        <w:t>Hsin</w:t>
      </w:r>
      <w:proofErr w:type="spellEnd"/>
      <w:r>
        <w:rPr>
          <w:lang w:val="en-GB"/>
        </w:rPr>
        <w:t xml:space="preserve"> Chong had breached:</w:t>
      </w:r>
    </w:p>
    <w:p w14:paraId="07A92725" w14:textId="77777777" w:rsidR="00941DE4" w:rsidRDefault="00941DE4" w:rsidP="00941DE4">
      <w:pPr>
        <w:pStyle w:val="a5"/>
        <w:numPr>
          <w:ilvl w:val="0"/>
          <w:numId w:val="25"/>
        </w:numPr>
        <w:rPr>
          <w:lang w:val="en-GB"/>
        </w:rPr>
      </w:pPr>
      <w:proofErr w:type="spellStart"/>
      <w:r>
        <w:rPr>
          <w:lang w:val="en-GB"/>
        </w:rPr>
        <w:t>HKEx</w:t>
      </w:r>
      <w:proofErr w:type="spellEnd"/>
      <w:r>
        <w:rPr>
          <w:lang w:val="en-GB"/>
        </w:rPr>
        <w:t xml:space="preserve"> Listing </w:t>
      </w:r>
      <w:r w:rsidR="003919D3">
        <w:rPr>
          <w:lang w:val="en-GB"/>
        </w:rPr>
        <w:t xml:space="preserve">Rules 13.46(2) and 13.49(1) </w:t>
      </w:r>
      <w:r>
        <w:rPr>
          <w:lang w:val="en-GB"/>
        </w:rPr>
        <w:t xml:space="preserve">which set out </w:t>
      </w:r>
      <w:r w:rsidR="003919D3">
        <w:rPr>
          <w:lang w:val="en-GB"/>
        </w:rPr>
        <w:t>the timing for the publication or despatch of a listed company’s preliminary announcement of annual</w:t>
      </w:r>
      <w:r w:rsidR="00AA4CBD">
        <w:rPr>
          <w:lang w:val="en-GB"/>
        </w:rPr>
        <w:t xml:space="preserve"> results and its annual reports; and</w:t>
      </w:r>
      <w:r w:rsidR="003919D3">
        <w:rPr>
          <w:lang w:val="en-GB"/>
        </w:rPr>
        <w:t xml:space="preserve"> </w:t>
      </w:r>
    </w:p>
    <w:p w14:paraId="7F4F5D07" w14:textId="77777777" w:rsidR="003919D3" w:rsidRDefault="00941DE4" w:rsidP="00941DE4">
      <w:pPr>
        <w:pStyle w:val="a5"/>
        <w:numPr>
          <w:ilvl w:val="0"/>
          <w:numId w:val="25"/>
        </w:numPr>
        <w:rPr>
          <w:lang w:val="en-GB"/>
        </w:rPr>
      </w:pPr>
      <w:proofErr w:type="spellStart"/>
      <w:r>
        <w:rPr>
          <w:lang w:val="en-GB"/>
        </w:rPr>
        <w:t>HKEx</w:t>
      </w:r>
      <w:proofErr w:type="spellEnd"/>
      <w:r>
        <w:rPr>
          <w:lang w:val="en-GB"/>
        </w:rPr>
        <w:t xml:space="preserve"> </w:t>
      </w:r>
      <w:r w:rsidR="003919D3">
        <w:rPr>
          <w:lang w:val="en-GB"/>
        </w:rPr>
        <w:t xml:space="preserve">Listing </w:t>
      </w:r>
      <w:r w:rsidR="003919D3" w:rsidRPr="001D48AD">
        <w:rPr>
          <w:lang w:val="en-GB"/>
        </w:rPr>
        <w:t xml:space="preserve">Rules 14.34, 14A.35, 14A.36 and 14A.46 </w:t>
      </w:r>
      <w:r w:rsidR="006A19C4">
        <w:rPr>
          <w:lang w:val="en-GB"/>
        </w:rPr>
        <w:t xml:space="preserve">which </w:t>
      </w:r>
      <w:r w:rsidR="003919D3" w:rsidRPr="001D48AD">
        <w:rPr>
          <w:lang w:val="en-GB"/>
        </w:rPr>
        <w:t xml:space="preserve">require </w:t>
      </w:r>
      <w:r w:rsidR="003919D3">
        <w:rPr>
          <w:lang w:val="en-GB"/>
        </w:rPr>
        <w:t>a listed company</w:t>
      </w:r>
      <w:r w:rsidR="003919D3" w:rsidRPr="001D48AD">
        <w:rPr>
          <w:lang w:val="en-GB"/>
        </w:rPr>
        <w:t xml:space="preserve"> to comply with the announcement, circular and/or independent shareholder</w:t>
      </w:r>
      <w:r w:rsidR="003919D3">
        <w:rPr>
          <w:lang w:val="en-GB"/>
        </w:rPr>
        <w:t>s’</w:t>
      </w:r>
      <w:r w:rsidR="003919D3" w:rsidRPr="001D48AD">
        <w:rPr>
          <w:lang w:val="en-GB"/>
        </w:rPr>
        <w:t xml:space="preserve"> approval requirements for </w:t>
      </w:r>
      <w:proofErr w:type="spellStart"/>
      <w:r w:rsidR="003919D3" w:rsidRPr="001D48AD">
        <w:rPr>
          <w:lang w:val="en-GB"/>
        </w:rPr>
        <w:t>discloseable</w:t>
      </w:r>
      <w:proofErr w:type="spellEnd"/>
      <w:r w:rsidR="003919D3">
        <w:rPr>
          <w:lang w:val="en-GB"/>
        </w:rPr>
        <w:t xml:space="preserve"> transactions</w:t>
      </w:r>
      <w:r w:rsidR="003919D3" w:rsidRPr="001D48AD">
        <w:rPr>
          <w:lang w:val="en-GB"/>
        </w:rPr>
        <w:t xml:space="preserve"> and connected transactions.</w:t>
      </w:r>
    </w:p>
    <w:p w14:paraId="22B0C44A" w14:textId="77777777" w:rsidR="00F70C08" w:rsidRPr="00F70C08" w:rsidRDefault="00F70C08" w:rsidP="00F70C08">
      <w:pPr>
        <w:pStyle w:val="a5"/>
        <w:rPr>
          <w:b/>
          <w:lang w:val="en-GB"/>
        </w:rPr>
      </w:pPr>
      <w:r w:rsidRPr="00F70C08">
        <w:rPr>
          <w:b/>
          <w:lang w:val="en-GB"/>
        </w:rPr>
        <w:t>Directors’ Breaches</w:t>
      </w:r>
      <w:r w:rsidR="000D693D">
        <w:rPr>
          <w:b/>
          <w:lang w:val="en-GB"/>
        </w:rPr>
        <w:t xml:space="preserve"> of </w:t>
      </w:r>
      <w:proofErr w:type="spellStart"/>
      <w:r w:rsidR="000D693D">
        <w:rPr>
          <w:b/>
          <w:lang w:val="en-GB"/>
        </w:rPr>
        <w:t>HKEx</w:t>
      </w:r>
      <w:proofErr w:type="spellEnd"/>
      <w:r w:rsidR="000D693D">
        <w:rPr>
          <w:b/>
          <w:lang w:val="en-GB"/>
        </w:rPr>
        <w:t xml:space="preserve"> </w:t>
      </w:r>
      <w:r w:rsidR="000D693D" w:rsidRPr="00F70C08">
        <w:rPr>
          <w:b/>
          <w:lang w:val="en-GB"/>
        </w:rPr>
        <w:t>Listing Rule</w:t>
      </w:r>
      <w:r w:rsidR="000D693D">
        <w:rPr>
          <w:b/>
          <w:lang w:val="en-GB"/>
        </w:rPr>
        <w:t>s and Undertakings</w:t>
      </w:r>
    </w:p>
    <w:p w14:paraId="72671057" w14:textId="77777777" w:rsidR="00AE1B80" w:rsidRDefault="003919D3" w:rsidP="003919D3">
      <w:pPr>
        <w:jc w:val="both"/>
        <w:rPr>
          <w:lang w:val="en-GB"/>
        </w:rPr>
      </w:pPr>
      <w:r>
        <w:rPr>
          <w:lang w:val="en-GB"/>
        </w:rPr>
        <w:t xml:space="preserve">Under </w:t>
      </w:r>
      <w:proofErr w:type="spellStart"/>
      <w:r w:rsidR="00CC22C0">
        <w:rPr>
          <w:lang w:val="en-GB"/>
        </w:rPr>
        <w:t>HKEx</w:t>
      </w:r>
      <w:proofErr w:type="spellEnd"/>
      <w:r w:rsidR="00CC22C0">
        <w:rPr>
          <w:lang w:val="en-GB"/>
        </w:rPr>
        <w:t xml:space="preserve"> </w:t>
      </w:r>
      <w:r>
        <w:rPr>
          <w:lang w:val="en-GB"/>
        </w:rPr>
        <w:t xml:space="preserve">Listing Rules 3.08, 3.16, and 13.04, the board of directors is </w:t>
      </w:r>
      <w:r w:rsidR="00CC22C0">
        <w:rPr>
          <w:lang w:val="en-GB"/>
        </w:rPr>
        <w:t>collectively responsible for a listed</w:t>
      </w:r>
      <w:r>
        <w:rPr>
          <w:lang w:val="en-GB"/>
        </w:rPr>
        <w:t xml:space="preserve"> company’s management and operations. In particular, Listing Rule 3.08 pr</w:t>
      </w:r>
      <w:r w:rsidR="00CC22C0">
        <w:rPr>
          <w:lang w:val="en-GB"/>
        </w:rPr>
        <w:t>ovides that the directors must (among others)</w:t>
      </w:r>
      <w:r>
        <w:rPr>
          <w:lang w:val="en-GB"/>
        </w:rPr>
        <w:t xml:space="preserve"> avoid potential and actual conflicts of interest and duty</w:t>
      </w:r>
      <w:r w:rsidR="00CC22C0">
        <w:rPr>
          <w:lang w:val="en-GB"/>
        </w:rPr>
        <w:t xml:space="preserve"> (</w:t>
      </w:r>
      <w:proofErr w:type="spellStart"/>
      <w:r w:rsidR="00CC22C0">
        <w:rPr>
          <w:lang w:val="en-GB"/>
        </w:rPr>
        <w:t>HKEx</w:t>
      </w:r>
      <w:proofErr w:type="spellEnd"/>
      <w:r w:rsidR="00CC22C0">
        <w:rPr>
          <w:lang w:val="en-GB"/>
        </w:rPr>
        <w:t xml:space="preserve"> Listing Rule 3.08(d)), and </w:t>
      </w:r>
      <w:r w:rsidR="00F03525">
        <w:rPr>
          <w:lang w:val="en-GB"/>
        </w:rPr>
        <w:t>apply the d</w:t>
      </w:r>
      <w:r>
        <w:rPr>
          <w:lang w:val="en-GB"/>
        </w:rPr>
        <w:t>egree</w:t>
      </w:r>
      <w:r w:rsidR="00F03525">
        <w:rPr>
          <w:lang w:val="en-GB"/>
        </w:rPr>
        <w:t xml:space="preserve"> of skill, care and diligence that</w:t>
      </w:r>
      <w:r>
        <w:rPr>
          <w:lang w:val="en-GB"/>
        </w:rPr>
        <w:t xml:space="preserve"> may reaso</w:t>
      </w:r>
      <w:r w:rsidR="00F03525">
        <w:rPr>
          <w:lang w:val="en-GB"/>
        </w:rPr>
        <w:t>nably be expected of a person with</w:t>
      </w:r>
      <w:r>
        <w:rPr>
          <w:lang w:val="en-GB"/>
        </w:rPr>
        <w:t xml:space="preserve"> his/her knowledge and experience and </w:t>
      </w:r>
      <w:r w:rsidRPr="000941A5">
        <w:rPr>
          <w:lang w:val="en-GB"/>
        </w:rPr>
        <w:t>holding his</w:t>
      </w:r>
      <w:r>
        <w:rPr>
          <w:lang w:val="en-GB"/>
        </w:rPr>
        <w:t>/her</w:t>
      </w:r>
      <w:r w:rsidRPr="000941A5">
        <w:rPr>
          <w:lang w:val="en-GB"/>
        </w:rPr>
        <w:t xml:space="preserve"> office within the </w:t>
      </w:r>
      <w:r>
        <w:rPr>
          <w:lang w:val="en-GB"/>
        </w:rPr>
        <w:t>company</w:t>
      </w:r>
      <w:r w:rsidR="00CC22C0">
        <w:rPr>
          <w:lang w:val="en-GB"/>
        </w:rPr>
        <w:t xml:space="preserve"> (</w:t>
      </w:r>
      <w:proofErr w:type="spellStart"/>
      <w:r w:rsidR="00CC22C0">
        <w:rPr>
          <w:lang w:val="en-GB"/>
        </w:rPr>
        <w:t>HKEx</w:t>
      </w:r>
      <w:proofErr w:type="spellEnd"/>
      <w:r w:rsidR="00CC22C0">
        <w:rPr>
          <w:lang w:val="en-GB"/>
        </w:rPr>
        <w:t xml:space="preserve"> Listing Rule 3.08(f))</w:t>
      </w:r>
      <w:r>
        <w:rPr>
          <w:lang w:val="en-GB"/>
        </w:rPr>
        <w:t xml:space="preserve">. </w:t>
      </w:r>
      <w:proofErr w:type="spellStart"/>
      <w:r w:rsidR="001E4432">
        <w:rPr>
          <w:lang w:val="en-GB"/>
        </w:rPr>
        <w:t>HKEx</w:t>
      </w:r>
      <w:proofErr w:type="spellEnd"/>
      <w:r w:rsidR="001E4432">
        <w:rPr>
          <w:lang w:val="en-GB"/>
        </w:rPr>
        <w:t xml:space="preserve"> </w:t>
      </w:r>
      <w:r>
        <w:rPr>
          <w:lang w:val="en-GB"/>
        </w:rPr>
        <w:t>Listing Rule 3.08</w:t>
      </w:r>
      <w:r w:rsidR="00CA1D71">
        <w:rPr>
          <w:lang w:val="en-GB"/>
        </w:rPr>
        <w:t xml:space="preserve"> also requires listed company </w:t>
      </w:r>
      <w:r w:rsidR="00F03525">
        <w:rPr>
          <w:lang w:val="en-GB"/>
        </w:rPr>
        <w:t>directors</w:t>
      </w:r>
      <w:r w:rsidR="00CA1D71">
        <w:rPr>
          <w:lang w:val="en-GB"/>
        </w:rPr>
        <w:t xml:space="preserve"> to take</w:t>
      </w:r>
      <w:r>
        <w:rPr>
          <w:lang w:val="en-GB"/>
        </w:rPr>
        <w:t xml:space="preserve"> an active interest in the company’s affairs and </w:t>
      </w:r>
      <w:r w:rsidR="00AE1B80">
        <w:rPr>
          <w:lang w:val="en-GB"/>
        </w:rPr>
        <w:t>acquire a general understanding of its business.</w:t>
      </w:r>
      <w:r w:rsidR="00F03525">
        <w:rPr>
          <w:lang w:val="en-GB"/>
        </w:rPr>
        <w:t xml:space="preserve"> </w:t>
      </w:r>
      <w:r w:rsidR="00AE1B80">
        <w:t>They</w:t>
      </w:r>
      <w:r w:rsidR="00F03525">
        <w:t xml:space="preserve"> </w:t>
      </w:r>
      <w:r w:rsidR="00AE1B80">
        <w:t xml:space="preserve">are also required to </w:t>
      </w:r>
      <w:r w:rsidR="00F03525">
        <w:t>follow up anything untoward that comes to their attention.</w:t>
      </w:r>
      <w:r>
        <w:rPr>
          <w:lang w:val="en-GB"/>
        </w:rPr>
        <w:t xml:space="preserve"> </w:t>
      </w:r>
    </w:p>
    <w:p w14:paraId="76EAC20D" w14:textId="77777777" w:rsidR="003919D3" w:rsidRDefault="000D693D" w:rsidP="003919D3">
      <w:pPr>
        <w:jc w:val="both"/>
        <w:rPr>
          <w:lang w:val="en-GB"/>
        </w:rPr>
      </w:pPr>
      <w:r>
        <w:rPr>
          <w:lang w:val="en-GB"/>
        </w:rPr>
        <w:t xml:space="preserve">Listed company </w:t>
      </w:r>
      <w:r w:rsidR="003919D3">
        <w:rPr>
          <w:lang w:val="en-GB"/>
        </w:rPr>
        <w:t>director</w:t>
      </w:r>
      <w:r>
        <w:rPr>
          <w:lang w:val="en-GB"/>
        </w:rPr>
        <w:t>s are also</w:t>
      </w:r>
      <w:r w:rsidR="003919D3">
        <w:rPr>
          <w:lang w:val="en-GB"/>
        </w:rPr>
        <w:t xml:space="preserve"> under an obligation under the </w:t>
      </w:r>
      <w:r>
        <w:rPr>
          <w:lang w:val="en-GB"/>
        </w:rPr>
        <w:t>d</w:t>
      </w:r>
      <w:r w:rsidR="003919D3" w:rsidRPr="000D693D">
        <w:rPr>
          <w:lang w:val="en-GB"/>
        </w:rPr>
        <w:t xml:space="preserve">eclaration </w:t>
      </w:r>
      <w:r>
        <w:rPr>
          <w:lang w:val="en-GB"/>
        </w:rPr>
        <w:t>and u</w:t>
      </w:r>
      <w:r w:rsidR="003919D3" w:rsidRPr="000D693D">
        <w:rPr>
          <w:lang w:val="en-GB"/>
        </w:rPr>
        <w:t>ndertaking</w:t>
      </w:r>
      <w:r w:rsidR="00542D7B">
        <w:rPr>
          <w:lang w:val="en-GB"/>
        </w:rPr>
        <w:t xml:space="preserve"> they give to the </w:t>
      </w:r>
      <w:proofErr w:type="spellStart"/>
      <w:r w:rsidR="00542D7B">
        <w:rPr>
          <w:lang w:val="en-GB"/>
        </w:rPr>
        <w:t>HKEx</w:t>
      </w:r>
      <w:proofErr w:type="spellEnd"/>
      <w:r w:rsidR="003919D3" w:rsidRPr="00542D7B">
        <w:rPr>
          <w:rStyle w:val="af3"/>
          <w:lang w:val="en-GB"/>
        </w:rPr>
        <w:footnoteReference w:id="1"/>
      </w:r>
      <w:r w:rsidR="003919D3" w:rsidRPr="00542D7B">
        <w:rPr>
          <w:lang w:val="en-GB"/>
        </w:rPr>
        <w:t xml:space="preserve"> </w:t>
      </w:r>
      <w:r w:rsidR="003919D3">
        <w:rPr>
          <w:lang w:val="en-GB"/>
        </w:rPr>
        <w:t xml:space="preserve">to comply with the </w:t>
      </w:r>
      <w:proofErr w:type="spellStart"/>
      <w:r w:rsidR="00542D7B">
        <w:rPr>
          <w:lang w:val="en-GB"/>
        </w:rPr>
        <w:t>HKEx</w:t>
      </w:r>
      <w:proofErr w:type="spellEnd"/>
      <w:r w:rsidR="00542D7B">
        <w:rPr>
          <w:lang w:val="en-GB"/>
        </w:rPr>
        <w:t xml:space="preserve"> </w:t>
      </w:r>
      <w:r w:rsidR="003919D3">
        <w:rPr>
          <w:lang w:val="en-GB"/>
        </w:rPr>
        <w:t xml:space="preserve">Listing Rules to the best of </w:t>
      </w:r>
      <w:r w:rsidR="00762DE9">
        <w:rPr>
          <w:lang w:val="en-GB"/>
        </w:rPr>
        <w:t xml:space="preserve">their </w:t>
      </w:r>
      <w:r w:rsidR="003919D3">
        <w:rPr>
          <w:lang w:val="en-GB"/>
        </w:rPr>
        <w:t xml:space="preserve">ability and </w:t>
      </w:r>
      <w:r w:rsidR="00542D7B">
        <w:rPr>
          <w:lang w:val="en-GB"/>
        </w:rPr>
        <w:t xml:space="preserve">to </w:t>
      </w:r>
      <w:r w:rsidR="003919D3">
        <w:rPr>
          <w:lang w:val="en-GB"/>
        </w:rPr>
        <w:t>use best endeavours to procure the compa</w:t>
      </w:r>
      <w:r w:rsidR="00542D7B">
        <w:rPr>
          <w:lang w:val="en-GB"/>
        </w:rPr>
        <w:t>ny’s compliance</w:t>
      </w:r>
      <w:r w:rsidR="00762DE9">
        <w:rPr>
          <w:lang w:val="en-GB"/>
        </w:rPr>
        <w:t xml:space="preserve"> with the Listing Rules</w:t>
      </w:r>
      <w:r w:rsidR="003919D3">
        <w:rPr>
          <w:lang w:val="en-GB"/>
        </w:rPr>
        <w:t xml:space="preserve">. </w:t>
      </w:r>
    </w:p>
    <w:p w14:paraId="27237505" w14:textId="77777777" w:rsidR="006604C2" w:rsidRDefault="00ED2551" w:rsidP="003919D3">
      <w:pPr>
        <w:jc w:val="both"/>
        <w:rPr>
          <w:lang w:val="en-GB"/>
        </w:rPr>
      </w:pPr>
      <w:r>
        <w:rPr>
          <w:lang w:val="en-GB"/>
        </w:rPr>
        <w:lastRenderedPageBreak/>
        <w:t>The Listing C</w:t>
      </w:r>
      <w:r w:rsidR="006604C2">
        <w:rPr>
          <w:lang w:val="en-GB"/>
        </w:rPr>
        <w:t xml:space="preserve">ommittee found that </w:t>
      </w:r>
      <w:r w:rsidR="003919D3">
        <w:rPr>
          <w:lang w:val="en-GB"/>
        </w:rPr>
        <w:t xml:space="preserve">Mr Zhou </w:t>
      </w:r>
      <w:r w:rsidR="006604C2">
        <w:rPr>
          <w:lang w:val="en-GB"/>
        </w:rPr>
        <w:t xml:space="preserve">had </w:t>
      </w:r>
      <w:r w:rsidR="003919D3">
        <w:rPr>
          <w:lang w:val="en-GB"/>
        </w:rPr>
        <w:t xml:space="preserve">breached </w:t>
      </w:r>
      <w:proofErr w:type="spellStart"/>
      <w:r w:rsidR="006604C2">
        <w:rPr>
          <w:lang w:val="en-GB"/>
        </w:rPr>
        <w:t>HKEx</w:t>
      </w:r>
      <w:proofErr w:type="spellEnd"/>
      <w:r w:rsidR="006604C2">
        <w:rPr>
          <w:lang w:val="en-GB"/>
        </w:rPr>
        <w:t xml:space="preserve"> </w:t>
      </w:r>
      <w:r w:rsidR="003919D3">
        <w:rPr>
          <w:lang w:val="en-GB"/>
        </w:rPr>
        <w:t>Listing Rule</w:t>
      </w:r>
      <w:r w:rsidR="006604C2">
        <w:rPr>
          <w:lang w:val="en-GB"/>
        </w:rPr>
        <w:t>s 3.08(a), (b), (e)</w:t>
      </w:r>
      <w:r w:rsidR="003919D3">
        <w:rPr>
          <w:lang w:val="en-GB"/>
        </w:rPr>
        <w:t xml:space="preserve"> and (f) and </w:t>
      </w:r>
      <w:r w:rsidR="006604C2">
        <w:rPr>
          <w:lang w:val="en-GB"/>
        </w:rPr>
        <w:t>his declaration and undertaking in:</w:t>
      </w:r>
    </w:p>
    <w:p w14:paraId="164D03E1" w14:textId="77777777" w:rsidR="006604C2" w:rsidRDefault="006604C2" w:rsidP="006604C2">
      <w:pPr>
        <w:pStyle w:val="af0"/>
        <w:numPr>
          <w:ilvl w:val="0"/>
          <w:numId w:val="26"/>
        </w:numPr>
        <w:jc w:val="both"/>
        <w:rPr>
          <w:lang w:val="en-GB"/>
        </w:rPr>
      </w:pPr>
      <w:r>
        <w:rPr>
          <w:lang w:val="en-GB"/>
        </w:rPr>
        <w:t>failing</w:t>
      </w:r>
      <w:r w:rsidRPr="006604C2">
        <w:rPr>
          <w:lang w:val="en-GB"/>
        </w:rPr>
        <w:t xml:space="preserve"> to </w:t>
      </w:r>
      <w:r w:rsidR="003919D3" w:rsidRPr="006604C2">
        <w:rPr>
          <w:lang w:val="en-GB"/>
        </w:rPr>
        <w:t xml:space="preserve">avoid </w:t>
      </w:r>
      <w:r>
        <w:rPr>
          <w:lang w:val="en-GB"/>
        </w:rPr>
        <w:t xml:space="preserve">an </w:t>
      </w:r>
      <w:r w:rsidR="003919D3" w:rsidRPr="006604C2">
        <w:rPr>
          <w:lang w:val="en-GB"/>
        </w:rPr>
        <w:t xml:space="preserve">actual conflict of interest; </w:t>
      </w:r>
    </w:p>
    <w:p w14:paraId="239A9805" w14:textId="77777777" w:rsidR="00ED2551" w:rsidRDefault="00ED2551" w:rsidP="00ED2551">
      <w:pPr>
        <w:pStyle w:val="af0"/>
        <w:jc w:val="both"/>
        <w:rPr>
          <w:lang w:val="en-GB"/>
        </w:rPr>
      </w:pPr>
    </w:p>
    <w:p w14:paraId="7CC6C404" w14:textId="77777777" w:rsidR="00ED2551" w:rsidRDefault="006604C2" w:rsidP="006604C2">
      <w:pPr>
        <w:pStyle w:val="af0"/>
        <w:numPr>
          <w:ilvl w:val="0"/>
          <w:numId w:val="26"/>
        </w:numPr>
        <w:jc w:val="both"/>
        <w:rPr>
          <w:lang w:val="en-GB"/>
        </w:rPr>
      </w:pPr>
      <w:r>
        <w:rPr>
          <w:lang w:val="en-GB"/>
        </w:rPr>
        <w:t>failing</w:t>
      </w:r>
      <w:r w:rsidR="003919D3" w:rsidRPr="006604C2">
        <w:rPr>
          <w:lang w:val="en-GB"/>
        </w:rPr>
        <w:t xml:space="preserve"> to disclose to </w:t>
      </w:r>
      <w:proofErr w:type="spellStart"/>
      <w:r w:rsidR="003919D3" w:rsidRPr="006604C2">
        <w:rPr>
          <w:lang w:val="en-GB"/>
        </w:rPr>
        <w:t>Hsin</w:t>
      </w:r>
      <w:proofErr w:type="spellEnd"/>
      <w:r w:rsidR="003919D3" w:rsidRPr="006604C2">
        <w:rPr>
          <w:lang w:val="en-GB"/>
        </w:rPr>
        <w:t xml:space="preserve"> Chong</w:t>
      </w:r>
      <w:r w:rsidR="000B465B">
        <w:rPr>
          <w:lang w:val="en-GB"/>
        </w:rPr>
        <w:t xml:space="preserve"> his personal interests in the t</w:t>
      </w:r>
      <w:r w:rsidR="003919D3" w:rsidRPr="006604C2">
        <w:rPr>
          <w:lang w:val="en-GB"/>
        </w:rPr>
        <w:t>ransactions</w:t>
      </w:r>
      <w:r w:rsidR="000B465B">
        <w:rPr>
          <w:lang w:val="en-GB"/>
        </w:rPr>
        <w:t xml:space="preserve"> between his related companies and </w:t>
      </w:r>
      <w:proofErr w:type="spellStart"/>
      <w:r w:rsidR="000B465B">
        <w:rPr>
          <w:lang w:val="en-GB"/>
        </w:rPr>
        <w:t>Hsin</w:t>
      </w:r>
      <w:proofErr w:type="spellEnd"/>
      <w:r w:rsidR="000B465B">
        <w:rPr>
          <w:lang w:val="en-GB"/>
        </w:rPr>
        <w:t xml:space="preserve"> Chong</w:t>
      </w:r>
      <w:r w:rsidR="00ED2551">
        <w:rPr>
          <w:lang w:val="en-GB"/>
        </w:rPr>
        <w:t>;</w:t>
      </w:r>
    </w:p>
    <w:p w14:paraId="705AC33D" w14:textId="77777777" w:rsidR="00ED2551" w:rsidRPr="00ED2551" w:rsidRDefault="00ED2551" w:rsidP="00ED2551">
      <w:pPr>
        <w:pStyle w:val="af0"/>
        <w:rPr>
          <w:lang w:val="en-GB"/>
        </w:rPr>
      </w:pPr>
    </w:p>
    <w:p w14:paraId="6500E9AD" w14:textId="77777777" w:rsidR="000B465B" w:rsidRDefault="003919D3" w:rsidP="006604C2">
      <w:pPr>
        <w:pStyle w:val="af0"/>
        <w:numPr>
          <w:ilvl w:val="0"/>
          <w:numId w:val="26"/>
        </w:numPr>
        <w:jc w:val="both"/>
        <w:rPr>
          <w:lang w:val="en-GB"/>
        </w:rPr>
      </w:pPr>
      <w:r w:rsidRPr="006604C2">
        <w:rPr>
          <w:lang w:val="en-GB"/>
        </w:rPr>
        <w:t>not act</w:t>
      </w:r>
      <w:r w:rsidR="000B465B">
        <w:rPr>
          <w:lang w:val="en-GB"/>
        </w:rPr>
        <w:t>ing</w:t>
      </w:r>
      <w:r w:rsidRPr="006604C2">
        <w:rPr>
          <w:lang w:val="en-GB"/>
        </w:rPr>
        <w:t xml:space="preserve"> honestly and in good faith in the interests of </w:t>
      </w:r>
      <w:proofErr w:type="spellStart"/>
      <w:r w:rsidRPr="006604C2">
        <w:rPr>
          <w:lang w:val="en-GB"/>
        </w:rPr>
        <w:t>Hsin</w:t>
      </w:r>
      <w:proofErr w:type="spellEnd"/>
      <w:r w:rsidRPr="006604C2">
        <w:rPr>
          <w:lang w:val="en-GB"/>
        </w:rPr>
        <w:t xml:space="preserve"> Chong and its shareholders; </w:t>
      </w:r>
    </w:p>
    <w:p w14:paraId="6F118F0D" w14:textId="77777777" w:rsidR="00ED2551" w:rsidRPr="00ED2551" w:rsidRDefault="00ED2551" w:rsidP="00ED2551">
      <w:pPr>
        <w:pStyle w:val="af0"/>
        <w:rPr>
          <w:lang w:val="en-GB"/>
        </w:rPr>
      </w:pPr>
    </w:p>
    <w:p w14:paraId="0FA9D392" w14:textId="77777777" w:rsidR="000B465B" w:rsidRDefault="000B465B" w:rsidP="006604C2">
      <w:pPr>
        <w:pStyle w:val="af0"/>
        <w:numPr>
          <w:ilvl w:val="0"/>
          <w:numId w:val="26"/>
        </w:numPr>
        <w:jc w:val="both"/>
        <w:rPr>
          <w:lang w:val="en-GB"/>
        </w:rPr>
      </w:pPr>
      <w:r>
        <w:rPr>
          <w:lang w:val="en-GB"/>
        </w:rPr>
        <w:t>failing</w:t>
      </w:r>
      <w:r w:rsidR="003919D3" w:rsidRPr="006604C2">
        <w:rPr>
          <w:lang w:val="en-GB"/>
        </w:rPr>
        <w:t xml:space="preserve"> to conduct the business of </w:t>
      </w:r>
      <w:proofErr w:type="spellStart"/>
      <w:r w:rsidR="003919D3" w:rsidRPr="006604C2">
        <w:rPr>
          <w:lang w:val="en-GB"/>
        </w:rPr>
        <w:t>Hsin</w:t>
      </w:r>
      <w:proofErr w:type="spellEnd"/>
      <w:r w:rsidR="003919D3" w:rsidRPr="006604C2">
        <w:rPr>
          <w:lang w:val="en-GB"/>
        </w:rPr>
        <w:t xml:space="preserve"> Chong in accordance with applicable laws, </w:t>
      </w:r>
      <w:r>
        <w:rPr>
          <w:lang w:val="en-GB"/>
        </w:rPr>
        <w:t xml:space="preserve">rules and </w:t>
      </w:r>
      <w:r w:rsidR="003919D3" w:rsidRPr="006604C2">
        <w:rPr>
          <w:lang w:val="en-GB"/>
        </w:rPr>
        <w:t xml:space="preserve">regulations, including the </w:t>
      </w:r>
      <w:proofErr w:type="spellStart"/>
      <w:r>
        <w:rPr>
          <w:lang w:val="en-GB"/>
        </w:rPr>
        <w:t>HKEx</w:t>
      </w:r>
      <w:proofErr w:type="spellEnd"/>
      <w:r>
        <w:rPr>
          <w:lang w:val="en-GB"/>
        </w:rPr>
        <w:t xml:space="preserve"> </w:t>
      </w:r>
      <w:r w:rsidR="003919D3" w:rsidRPr="006604C2">
        <w:rPr>
          <w:lang w:val="en-GB"/>
        </w:rPr>
        <w:t xml:space="preserve">Listing Rules; and </w:t>
      </w:r>
    </w:p>
    <w:p w14:paraId="0126469C" w14:textId="77777777" w:rsidR="00ED2551" w:rsidRPr="00ED2551" w:rsidRDefault="00ED2551" w:rsidP="00ED2551">
      <w:pPr>
        <w:pStyle w:val="af0"/>
        <w:rPr>
          <w:lang w:val="en-GB"/>
        </w:rPr>
      </w:pPr>
    </w:p>
    <w:p w14:paraId="346F757C" w14:textId="77777777" w:rsidR="003919D3" w:rsidRPr="006604C2" w:rsidRDefault="000B465B" w:rsidP="006604C2">
      <w:pPr>
        <w:pStyle w:val="af0"/>
        <w:numPr>
          <w:ilvl w:val="0"/>
          <w:numId w:val="26"/>
        </w:numPr>
        <w:jc w:val="both"/>
        <w:rPr>
          <w:lang w:val="en-GB"/>
        </w:rPr>
      </w:pPr>
      <w:r>
        <w:rPr>
          <w:lang w:val="en-GB"/>
        </w:rPr>
        <w:t>wilfully failing</w:t>
      </w:r>
      <w:r w:rsidR="003919D3" w:rsidRPr="006604C2">
        <w:rPr>
          <w:lang w:val="en-GB"/>
        </w:rPr>
        <w:t xml:space="preserve"> to exercise due skill, care and diligence in discharging his director’s duties</w:t>
      </w:r>
      <w:r>
        <w:rPr>
          <w:lang w:val="en-GB"/>
        </w:rPr>
        <w:t xml:space="preserve"> as i</w:t>
      </w:r>
      <w:r w:rsidR="00ED2551">
        <w:rPr>
          <w:lang w:val="en-GB"/>
        </w:rPr>
        <w:t>ndicated by the seriousness of the</w:t>
      </w:r>
      <w:r>
        <w:rPr>
          <w:lang w:val="en-GB"/>
        </w:rPr>
        <w:t xml:space="preserve"> Li</w:t>
      </w:r>
      <w:r w:rsidR="00ED2551">
        <w:rPr>
          <w:lang w:val="en-GB"/>
        </w:rPr>
        <w:t>sting Rule breaches</w:t>
      </w:r>
      <w:r w:rsidR="003919D3" w:rsidRPr="006604C2">
        <w:rPr>
          <w:lang w:val="en-GB"/>
        </w:rPr>
        <w:t xml:space="preserve">. </w:t>
      </w:r>
    </w:p>
    <w:p w14:paraId="32FAF356" w14:textId="77777777" w:rsidR="0072102F" w:rsidRDefault="003919D3" w:rsidP="003919D3">
      <w:pPr>
        <w:jc w:val="both"/>
        <w:rPr>
          <w:lang w:val="en-GB"/>
        </w:rPr>
      </w:pPr>
      <w:r>
        <w:rPr>
          <w:lang w:val="en-GB"/>
        </w:rPr>
        <w:t xml:space="preserve">The other six directors </w:t>
      </w:r>
      <w:r w:rsidR="0072102F">
        <w:rPr>
          <w:lang w:val="en-GB"/>
        </w:rPr>
        <w:t xml:space="preserve">were found to have </w:t>
      </w:r>
      <w:r>
        <w:rPr>
          <w:lang w:val="en-GB"/>
        </w:rPr>
        <w:t>breached their duties of skill, care and dilige</w:t>
      </w:r>
      <w:r w:rsidR="0072102F">
        <w:rPr>
          <w:lang w:val="en-GB"/>
        </w:rPr>
        <w:t>nce under Listing Rule 3.08(f) and their u</w:t>
      </w:r>
      <w:r>
        <w:rPr>
          <w:lang w:val="en-GB"/>
        </w:rPr>
        <w:t xml:space="preserve">ndertakings to comply with the </w:t>
      </w:r>
      <w:proofErr w:type="spellStart"/>
      <w:r w:rsidR="0072102F">
        <w:rPr>
          <w:lang w:val="en-GB"/>
        </w:rPr>
        <w:t>HKEx</w:t>
      </w:r>
      <w:proofErr w:type="spellEnd"/>
      <w:r w:rsidR="0072102F">
        <w:rPr>
          <w:lang w:val="en-GB"/>
        </w:rPr>
        <w:t xml:space="preserve"> </w:t>
      </w:r>
      <w:r>
        <w:rPr>
          <w:lang w:val="en-GB"/>
        </w:rPr>
        <w:t>Listing Rules to the best of their ability and to use their best endeavours to procu</w:t>
      </w:r>
      <w:r w:rsidR="0072102F">
        <w:rPr>
          <w:lang w:val="en-GB"/>
        </w:rPr>
        <w:t>re the company</w:t>
      </w:r>
      <w:r>
        <w:rPr>
          <w:lang w:val="en-GB"/>
        </w:rPr>
        <w:t xml:space="preserve">’s compliance with the </w:t>
      </w:r>
      <w:proofErr w:type="spellStart"/>
      <w:r w:rsidR="0072102F">
        <w:rPr>
          <w:lang w:val="en-GB"/>
        </w:rPr>
        <w:t>HKEx</w:t>
      </w:r>
      <w:proofErr w:type="spellEnd"/>
      <w:r w:rsidR="0072102F">
        <w:rPr>
          <w:lang w:val="en-GB"/>
        </w:rPr>
        <w:t xml:space="preserve"> </w:t>
      </w:r>
      <w:r>
        <w:rPr>
          <w:lang w:val="en-GB"/>
        </w:rPr>
        <w:t>Listing Rules. The directors</w:t>
      </w:r>
      <w:r w:rsidR="0072102F">
        <w:rPr>
          <w:lang w:val="en-GB"/>
        </w:rPr>
        <w:t xml:space="preserve"> </w:t>
      </w:r>
      <w:r w:rsidR="00171EF8" w:rsidRPr="0072102F">
        <w:rPr>
          <w:lang w:val="en-GB"/>
        </w:rPr>
        <w:t>failed to</w:t>
      </w:r>
      <w:r w:rsidR="0072102F">
        <w:rPr>
          <w:lang w:val="en-GB"/>
        </w:rPr>
        <w:t>:</w:t>
      </w:r>
      <w:r>
        <w:rPr>
          <w:lang w:val="en-GB"/>
        </w:rPr>
        <w:t xml:space="preserve"> </w:t>
      </w:r>
    </w:p>
    <w:p w14:paraId="6055EEB0" w14:textId="77777777" w:rsidR="0072102F" w:rsidRDefault="003919D3" w:rsidP="0072102F">
      <w:pPr>
        <w:pStyle w:val="af0"/>
        <w:numPr>
          <w:ilvl w:val="0"/>
          <w:numId w:val="27"/>
        </w:numPr>
        <w:jc w:val="both"/>
        <w:rPr>
          <w:lang w:val="en-GB"/>
        </w:rPr>
      </w:pPr>
      <w:r w:rsidRPr="0072102F">
        <w:rPr>
          <w:lang w:val="en-GB"/>
        </w:rPr>
        <w:t xml:space="preserve">take an active interest in </w:t>
      </w:r>
      <w:proofErr w:type="spellStart"/>
      <w:r w:rsidRPr="0072102F">
        <w:rPr>
          <w:lang w:val="en-GB"/>
        </w:rPr>
        <w:t>Hsin</w:t>
      </w:r>
      <w:proofErr w:type="spellEnd"/>
      <w:r w:rsidRPr="0072102F">
        <w:rPr>
          <w:lang w:val="en-GB"/>
        </w:rPr>
        <w:t xml:space="preserve"> Chong’s operations and use of its financial assets; </w:t>
      </w:r>
    </w:p>
    <w:p w14:paraId="5BB2C039" w14:textId="77777777" w:rsidR="00171EF8" w:rsidRDefault="00171EF8" w:rsidP="00171EF8">
      <w:pPr>
        <w:pStyle w:val="af0"/>
        <w:jc w:val="both"/>
        <w:rPr>
          <w:lang w:val="en-GB"/>
        </w:rPr>
      </w:pPr>
    </w:p>
    <w:p w14:paraId="73852A9D" w14:textId="77777777" w:rsidR="0072102F" w:rsidRDefault="003919D3" w:rsidP="0072102F">
      <w:pPr>
        <w:pStyle w:val="af0"/>
        <w:numPr>
          <w:ilvl w:val="0"/>
          <w:numId w:val="27"/>
        </w:numPr>
        <w:jc w:val="both"/>
        <w:rPr>
          <w:lang w:val="en-GB"/>
        </w:rPr>
      </w:pPr>
      <w:r w:rsidRPr="0072102F">
        <w:rPr>
          <w:lang w:val="en-GB"/>
        </w:rPr>
        <w:t>ensure that adequate and effective internal controls were in place to safeguard the</w:t>
      </w:r>
      <w:r w:rsidR="00334281">
        <w:rPr>
          <w:lang w:val="en-GB"/>
        </w:rPr>
        <w:t xml:space="preserve"> </w:t>
      </w:r>
      <w:r w:rsidR="00334281" w:rsidRPr="0072102F">
        <w:rPr>
          <w:lang w:val="en-GB"/>
        </w:rPr>
        <w:t>company</w:t>
      </w:r>
      <w:r w:rsidR="00334281">
        <w:rPr>
          <w:lang w:val="en-GB"/>
        </w:rPr>
        <w:t>’s</w:t>
      </w:r>
      <w:r w:rsidRPr="0072102F">
        <w:rPr>
          <w:lang w:val="en-GB"/>
        </w:rPr>
        <w:t xml:space="preserve"> assets in relation to identifying and reporting material transactions and proce</w:t>
      </w:r>
      <w:r w:rsidR="0072102F">
        <w:rPr>
          <w:lang w:val="en-GB"/>
        </w:rPr>
        <w:t xml:space="preserve">ssing significant payments; </w:t>
      </w:r>
      <w:r w:rsidR="00171EF8" w:rsidRPr="0072102F">
        <w:rPr>
          <w:lang w:val="en-GB"/>
        </w:rPr>
        <w:t>and</w:t>
      </w:r>
    </w:p>
    <w:p w14:paraId="56C0B60E" w14:textId="77777777" w:rsidR="00171EF8" w:rsidRDefault="00171EF8" w:rsidP="00171EF8">
      <w:pPr>
        <w:pStyle w:val="af0"/>
        <w:jc w:val="both"/>
        <w:rPr>
          <w:lang w:val="en-GB"/>
        </w:rPr>
      </w:pPr>
    </w:p>
    <w:p w14:paraId="3A151C04" w14:textId="77777777" w:rsidR="0072102F" w:rsidRDefault="003919D3" w:rsidP="0072102F">
      <w:pPr>
        <w:pStyle w:val="af0"/>
        <w:numPr>
          <w:ilvl w:val="0"/>
          <w:numId w:val="27"/>
        </w:numPr>
        <w:jc w:val="both"/>
        <w:rPr>
          <w:lang w:val="en-GB"/>
        </w:rPr>
      </w:pPr>
      <w:r w:rsidRPr="0072102F">
        <w:rPr>
          <w:lang w:val="en-GB"/>
        </w:rPr>
        <w:t xml:space="preserve">ensure that the company had adequate and effective internal controls for compliance </w:t>
      </w:r>
      <w:r w:rsidR="0072102F">
        <w:rPr>
          <w:lang w:val="en-GB"/>
        </w:rPr>
        <w:t xml:space="preserve">with the </w:t>
      </w:r>
      <w:proofErr w:type="spellStart"/>
      <w:r w:rsidR="0072102F">
        <w:rPr>
          <w:lang w:val="en-GB"/>
        </w:rPr>
        <w:t>HKEx</w:t>
      </w:r>
      <w:proofErr w:type="spellEnd"/>
      <w:r w:rsidR="0072102F">
        <w:rPr>
          <w:lang w:val="en-GB"/>
        </w:rPr>
        <w:t xml:space="preserve"> Listing Rules’ requirements for</w:t>
      </w:r>
      <w:r w:rsidRPr="0072102F">
        <w:rPr>
          <w:lang w:val="en-GB"/>
        </w:rPr>
        <w:t xml:space="preserve"> financial reporting </w:t>
      </w:r>
      <w:r w:rsidR="0072102F">
        <w:rPr>
          <w:lang w:val="en-GB"/>
        </w:rPr>
        <w:t xml:space="preserve">and </w:t>
      </w:r>
      <w:r w:rsidRPr="0072102F">
        <w:rPr>
          <w:lang w:val="en-GB"/>
        </w:rPr>
        <w:t>connec</w:t>
      </w:r>
      <w:r w:rsidR="00171EF8">
        <w:rPr>
          <w:lang w:val="en-GB"/>
        </w:rPr>
        <w:t>ted and notifiable transactions.</w:t>
      </w:r>
      <w:r w:rsidRPr="0072102F">
        <w:rPr>
          <w:lang w:val="en-GB"/>
        </w:rPr>
        <w:t xml:space="preserve"> </w:t>
      </w:r>
    </w:p>
    <w:p w14:paraId="56E092A1" w14:textId="77777777" w:rsidR="003919D3" w:rsidRPr="00171EF8" w:rsidRDefault="00334F7D" w:rsidP="00171EF8">
      <w:pPr>
        <w:jc w:val="both"/>
        <w:rPr>
          <w:lang w:val="en-GB"/>
        </w:rPr>
      </w:pPr>
      <w:r>
        <w:rPr>
          <w:lang w:val="en-GB"/>
        </w:rPr>
        <w:t>Where the company claimed that policies were in place, these were not properly implemented and</w:t>
      </w:r>
      <w:r w:rsidR="003919D3" w:rsidRPr="00171EF8">
        <w:rPr>
          <w:lang w:val="en-GB"/>
        </w:rPr>
        <w:t xml:space="preserve"> </w:t>
      </w:r>
      <w:r>
        <w:rPr>
          <w:lang w:val="en-GB"/>
        </w:rPr>
        <w:t>no training was provided to</w:t>
      </w:r>
      <w:r w:rsidR="003919D3" w:rsidRPr="00171EF8">
        <w:rPr>
          <w:lang w:val="en-GB"/>
        </w:rPr>
        <w:t xml:space="preserve"> the relevant staff. </w:t>
      </w:r>
    </w:p>
    <w:p w14:paraId="006607C7" w14:textId="77777777" w:rsidR="002E1D5A" w:rsidRPr="00B86227" w:rsidRDefault="00DE464D" w:rsidP="003919D3">
      <w:pPr>
        <w:jc w:val="both"/>
        <w:rPr>
          <w:lang w:val="en-GB"/>
        </w:rPr>
      </w:pPr>
      <w:r>
        <w:rPr>
          <w:lang w:val="en-GB"/>
        </w:rPr>
        <w:t>The case acts as</w:t>
      </w:r>
      <w:r w:rsidR="00B86227">
        <w:rPr>
          <w:lang w:val="en-GB"/>
        </w:rPr>
        <w:t xml:space="preserve"> a reminder to directors of their obligation</w:t>
      </w:r>
      <w:r>
        <w:rPr>
          <w:lang w:val="en-GB"/>
        </w:rPr>
        <w:t>s</w:t>
      </w:r>
      <w:r w:rsidR="00B86227">
        <w:rPr>
          <w:lang w:val="en-GB"/>
        </w:rPr>
        <w:t xml:space="preserve"> to </w:t>
      </w:r>
      <w:r w:rsidRPr="00B86227">
        <w:rPr>
          <w:bCs/>
          <w:lang w:val="en-GB"/>
        </w:rPr>
        <w:t xml:space="preserve">take an active interest in the company’s operations and </w:t>
      </w:r>
      <w:r>
        <w:rPr>
          <w:bCs/>
          <w:lang w:val="en-GB"/>
        </w:rPr>
        <w:t xml:space="preserve">the </w:t>
      </w:r>
      <w:r w:rsidRPr="00B86227">
        <w:rPr>
          <w:bCs/>
          <w:lang w:val="en-GB"/>
        </w:rPr>
        <w:t>use of its financial assets</w:t>
      </w:r>
      <w:r>
        <w:rPr>
          <w:bCs/>
          <w:lang w:val="en-GB"/>
        </w:rPr>
        <w:t>, to</w:t>
      </w:r>
      <w:r w:rsidRPr="00B86227">
        <w:rPr>
          <w:bCs/>
          <w:lang w:val="en-GB"/>
        </w:rPr>
        <w:t xml:space="preserve"> </w:t>
      </w:r>
      <w:r w:rsidR="002E1D5A" w:rsidRPr="00B86227">
        <w:rPr>
          <w:bCs/>
          <w:lang w:val="en-GB"/>
        </w:rPr>
        <w:t xml:space="preserve">safeguard </w:t>
      </w:r>
      <w:r w:rsidR="00B86227">
        <w:rPr>
          <w:bCs/>
          <w:lang w:val="en-GB"/>
        </w:rPr>
        <w:t xml:space="preserve">company </w:t>
      </w:r>
      <w:r w:rsidR="002E1D5A" w:rsidRPr="00B86227">
        <w:rPr>
          <w:bCs/>
          <w:lang w:val="en-GB"/>
        </w:rPr>
        <w:t>assets</w:t>
      </w:r>
      <w:r>
        <w:rPr>
          <w:bCs/>
          <w:lang w:val="en-GB"/>
        </w:rPr>
        <w:t xml:space="preserve"> and </w:t>
      </w:r>
      <w:r w:rsidR="002E1D5A" w:rsidRPr="00B86227">
        <w:rPr>
          <w:bCs/>
          <w:lang w:val="en-GB"/>
        </w:rPr>
        <w:t>ensure the company’s compliance</w:t>
      </w:r>
      <w:r w:rsidR="00B86227">
        <w:rPr>
          <w:bCs/>
          <w:lang w:val="en-GB"/>
        </w:rPr>
        <w:t xml:space="preserve"> with the </w:t>
      </w:r>
      <w:proofErr w:type="spellStart"/>
      <w:r w:rsidR="00B86227">
        <w:rPr>
          <w:bCs/>
          <w:lang w:val="en-GB"/>
        </w:rPr>
        <w:t>HKEx</w:t>
      </w:r>
      <w:proofErr w:type="spellEnd"/>
      <w:r w:rsidR="00B86227">
        <w:rPr>
          <w:bCs/>
          <w:lang w:val="en-GB"/>
        </w:rPr>
        <w:t xml:space="preserve"> Listing Rules</w:t>
      </w:r>
      <w:r>
        <w:rPr>
          <w:bCs/>
          <w:lang w:val="en-GB"/>
        </w:rPr>
        <w:t xml:space="preserve">, and of their </w:t>
      </w:r>
      <w:r w:rsidR="00B86227">
        <w:rPr>
          <w:bCs/>
          <w:lang w:val="en-GB"/>
        </w:rPr>
        <w:t>responsib</w:t>
      </w:r>
      <w:r>
        <w:rPr>
          <w:bCs/>
          <w:lang w:val="en-GB"/>
        </w:rPr>
        <w:t>ility</w:t>
      </w:r>
      <w:r w:rsidR="00B86227">
        <w:rPr>
          <w:bCs/>
          <w:lang w:val="en-GB"/>
        </w:rPr>
        <w:t xml:space="preserve"> for </w:t>
      </w:r>
      <w:r w:rsidR="002E1D5A" w:rsidRPr="00B86227">
        <w:rPr>
          <w:bCs/>
          <w:lang w:val="en-GB"/>
        </w:rPr>
        <w:t>implement</w:t>
      </w:r>
      <w:r w:rsidR="00B86227">
        <w:rPr>
          <w:bCs/>
          <w:lang w:val="en-GB"/>
        </w:rPr>
        <w:t>ing</w:t>
      </w:r>
      <w:r w:rsidR="002E1D5A" w:rsidRPr="00B86227">
        <w:rPr>
          <w:bCs/>
          <w:lang w:val="en-GB"/>
        </w:rPr>
        <w:t xml:space="preserve"> an appropriate control and risk management framework.</w:t>
      </w:r>
    </w:p>
    <w:p w14:paraId="5B393500" w14:textId="77777777" w:rsidR="00035661" w:rsidRPr="00A41F57" w:rsidRDefault="00035661" w:rsidP="00035661">
      <w:pPr>
        <w:pStyle w:val="DisclaimerBold"/>
        <w:rPr>
          <w:rFonts w:ascii="Helvetica" w:hAnsi="Helvetica"/>
        </w:rPr>
      </w:pPr>
      <w:r w:rsidRPr="00F05494">
        <w:rPr>
          <w:rFonts w:ascii="Helvetica" w:hAnsi="Helvetica"/>
        </w:rPr>
        <w:t>This newsletter is for information purposes only.</w:t>
      </w:r>
    </w:p>
    <w:p w14:paraId="3CB336CA" w14:textId="77777777" w:rsidR="00035661" w:rsidRPr="00F05494" w:rsidRDefault="00035661" w:rsidP="00035661">
      <w:pPr>
        <w:pStyle w:val="Disclaimer"/>
        <w:rPr>
          <w:rFonts w:ascii="Helvetica" w:hAnsi="Helvetica"/>
        </w:rPr>
      </w:pPr>
      <w:r w:rsidRPr="00F05494">
        <w:rPr>
          <w:rFonts w:ascii="Helvetica" w:hAnsi="Helvetica"/>
        </w:rPr>
        <w:t>Its contents do not constitute legal advice and it should not be regarded as a substitute for detailed advice in individual cases.</w:t>
      </w:r>
    </w:p>
    <w:p w14:paraId="4249AB8A" w14:textId="77777777" w:rsidR="00035661" w:rsidRPr="00F05494" w:rsidRDefault="00035661" w:rsidP="00035661">
      <w:pPr>
        <w:pStyle w:val="Disclaimer"/>
        <w:rPr>
          <w:rFonts w:ascii="Helvetica" w:hAnsi="Helvetica"/>
        </w:rPr>
      </w:pPr>
      <w:r w:rsidRPr="00F05494">
        <w:rPr>
          <w:rFonts w:ascii="Helvetica" w:hAnsi="Helvetica"/>
        </w:rPr>
        <w:t xml:space="preserve">Transmission of this information is not intended to create and receipt does not constitute a lawyer-client relationship between </w:t>
      </w:r>
      <w:proofErr w:type="spellStart"/>
      <w:r w:rsidRPr="00F05494">
        <w:rPr>
          <w:rFonts w:ascii="Helvetica" w:hAnsi="Helvetica"/>
        </w:rPr>
        <w:t>Charltons</w:t>
      </w:r>
      <w:proofErr w:type="spellEnd"/>
      <w:r w:rsidRPr="00F05494">
        <w:rPr>
          <w:rFonts w:ascii="Helvetica" w:hAnsi="Helvetica"/>
        </w:rPr>
        <w:t xml:space="preserve"> and the user or browser.</w:t>
      </w:r>
    </w:p>
    <w:p w14:paraId="1F46A3E7" w14:textId="77777777" w:rsidR="00035661" w:rsidRPr="00F05494" w:rsidRDefault="00035661" w:rsidP="00035661">
      <w:pPr>
        <w:pStyle w:val="Disclaimer"/>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is not responsible for any </w:t>
      </w:r>
      <w:proofErr w:type="gramStart"/>
      <w:r w:rsidRPr="00F05494">
        <w:rPr>
          <w:rFonts w:ascii="Helvetica" w:hAnsi="Helvetica"/>
        </w:rPr>
        <w:t>third</w:t>
      </w:r>
      <w:r w:rsidRPr="00A41F57">
        <w:rPr>
          <w:rFonts w:ascii="Helvetica" w:hAnsi="Helvetica"/>
        </w:rPr>
        <w:t xml:space="preserve"> </w:t>
      </w:r>
      <w:r w:rsidRPr="00F05494">
        <w:rPr>
          <w:rFonts w:ascii="Helvetica" w:hAnsi="Helvetica"/>
        </w:rPr>
        <w:t>party</w:t>
      </w:r>
      <w:proofErr w:type="gramEnd"/>
      <w:r w:rsidRPr="00F05494">
        <w:rPr>
          <w:rFonts w:ascii="Helvetica" w:hAnsi="Helvetica"/>
        </w:rPr>
        <w:t xml:space="preserve"> content which can be accessed through the website.</w:t>
      </w:r>
    </w:p>
    <w:p w14:paraId="740A956E" w14:textId="77777777" w:rsidR="00035661" w:rsidRPr="00F05494" w:rsidRDefault="00035661" w:rsidP="00035661">
      <w:pPr>
        <w:pStyle w:val="Disclaimer"/>
        <w:rPr>
          <w:rFonts w:ascii="Helvetica" w:hAnsi="Helvetica"/>
        </w:rPr>
      </w:pPr>
      <w:r w:rsidRPr="00F05494">
        <w:rPr>
          <w:rFonts w:ascii="Helvetica" w:hAnsi="Helvetica"/>
        </w:rPr>
        <w:t xml:space="preserve">If you do not wish to receive this </w:t>
      </w:r>
      <w:proofErr w:type="gramStart"/>
      <w:r w:rsidRPr="00F05494">
        <w:rPr>
          <w:rFonts w:ascii="Helvetica" w:hAnsi="Helvetica"/>
        </w:rPr>
        <w:t>newsletter</w:t>
      </w:r>
      <w:proofErr w:type="gramEnd"/>
      <w:r w:rsidRPr="00F05494">
        <w:rPr>
          <w:rFonts w:ascii="Helvetica" w:hAnsi="Helvetica"/>
        </w:rPr>
        <w:t xml:space="preserve"> please let us know by emailing us at  </w:t>
      </w:r>
      <w:hyperlink r:id="rId15">
        <w:r w:rsidRPr="00F05494">
          <w:rPr>
            <w:rFonts w:ascii="Helvetica" w:hAnsi="Helvetica"/>
          </w:rPr>
          <w:t>unsubscribe@charltonslaw.com</w:t>
        </w:r>
      </w:hyperlink>
    </w:p>
    <w:p w14:paraId="551385DC" w14:textId="166DE03B" w:rsidR="00035661" w:rsidRPr="002530D7" w:rsidRDefault="00035661" w:rsidP="00035661">
      <w:pPr>
        <w:pStyle w:val="BlackStrips"/>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 Hong Kong Law - </w:t>
      </w:r>
      <w:r>
        <w:rPr>
          <w:rFonts w:ascii="Helvetica" w:hAnsi="Helvetica"/>
        </w:rPr>
        <w:t>23</w:t>
      </w:r>
      <w:r w:rsidRPr="00F05494">
        <w:rPr>
          <w:rFonts w:ascii="Helvetica" w:hAnsi="Helvetica"/>
        </w:rPr>
        <w:t xml:space="preserve"> </w:t>
      </w:r>
      <w:r>
        <w:rPr>
          <w:rFonts w:ascii="Helvetica" w:hAnsi="Helvetica"/>
        </w:rPr>
        <w:t>June</w:t>
      </w:r>
      <w:r w:rsidRPr="00F05494">
        <w:rPr>
          <w:rFonts w:ascii="Helvetica" w:hAnsi="Helvetica"/>
        </w:rPr>
        <w:t xml:space="preserve"> 202</w:t>
      </w:r>
      <w:r>
        <w:rPr>
          <w:rFonts w:ascii="Helvetica" w:hAnsi="Helvetica"/>
        </w:rPr>
        <w:t>2</w:t>
      </w:r>
    </w:p>
    <w:p w14:paraId="6545163D" w14:textId="77777777" w:rsidR="003919D3" w:rsidRPr="00035661" w:rsidRDefault="003919D3" w:rsidP="003919D3">
      <w:pPr>
        <w:jc w:val="both"/>
      </w:pPr>
    </w:p>
    <w:p w14:paraId="2672FDCD" w14:textId="77777777" w:rsidR="00E02377" w:rsidRPr="00B86227" w:rsidRDefault="00E02377">
      <w:pPr>
        <w:jc w:val="both"/>
        <w:rPr>
          <w:lang w:val="en-GB"/>
        </w:rPr>
      </w:pPr>
    </w:p>
    <w:sectPr w:rsidR="00E02377" w:rsidRPr="00B86227" w:rsidSect="00771927">
      <w:type w:val="continuous"/>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F4DC5" w14:textId="77777777" w:rsidR="00141E20" w:rsidRDefault="00141E20">
      <w:pPr>
        <w:spacing w:after="0"/>
      </w:pPr>
      <w:r>
        <w:separator/>
      </w:r>
    </w:p>
  </w:endnote>
  <w:endnote w:type="continuationSeparator" w:id="0">
    <w:p w14:paraId="78D584A4" w14:textId="77777777" w:rsidR="00141E20" w:rsidRDefault="00141E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6FF" w:usb1="4000FCFF" w:usb2="00000009" w:usb3="00000000" w:csb0="0000019F" w:csb1="00000000"/>
  </w:font>
  <w:font w:name="Liberation Sans">
    <w:altName w:val="Arial"/>
    <w:panose1 w:val="020B0604020202020204"/>
    <w:charset w:val="01"/>
    <w:family w:val="roman"/>
    <w:pitch w:val="variable"/>
  </w:font>
  <w:font w:name="Microsoft YaHei">
    <w:panose1 w:val="020B0503020204020204"/>
    <w:charset w:val="86"/>
    <w:family w:val="swiss"/>
    <w:pitch w:val="variable"/>
    <w:sig w:usb0="80000287" w:usb1="2AC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05E13" w14:textId="77777777" w:rsidR="00141E20" w:rsidRDefault="00141E20">
      <w:r>
        <w:separator/>
      </w:r>
    </w:p>
  </w:footnote>
  <w:footnote w:type="continuationSeparator" w:id="0">
    <w:p w14:paraId="68744CBA" w14:textId="77777777" w:rsidR="00141E20" w:rsidRDefault="00141E20">
      <w:r>
        <w:continuationSeparator/>
      </w:r>
    </w:p>
  </w:footnote>
  <w:footnote w:id="1">
    <w:p w14:paraId="7BF6AA76" w14:textId="77777777" w:rsidR="00212808" w:rsidRPr="00FD5702" w:rsidRDefault="00212808" w:rsidP="003919D3">
      <w:pPr>
        <w:pStyle w:val="ad"/>
        <w:rPr>
          <w:sz w:val="20"/>
          <w:szCs w:val="20"/>
        </w:rPr>
      </w:pPr>
      <w:r w:rsidRPr="00FD5702">
        <w:rPr>
          <w:rStyle w:val="af3"/>
          <w:sz w:val="20"/>
          <w:szCs w:val="20"/>
        </w:rPr>
        <w:footnoteRef/>
      </w:r>
      <w:r w:rsidRPr="00FD5702">
        <w:rPr>
          <w:sz w:val="20"/>
          <w:szCs w:val="20"/>
        </w:rPr>
        <w:t xml:space="preserve"> in the form set out in Appendix 5B to the HKEx Listing Rules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3CBBDEE"/>
    <w:multiLevelType w:val="multilevel"/>
    <w:tmpl w:val="33D289E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EA454B4C"/>
    <w:multiLevelType w:val="multilevel"/>
    <w:tmpl w:val="15E449F6"/>
    <w:lvl w:ilvl="0">
      <w:start w:val="1"/>
      <w:numFmt w:val="lowerRoman"/>
      <w:lvlText w:val="(%1)"/>
      <w:lvlJc w:val="left"/>
      <w:pPr>
        <w:tabs>
          <w:tab w:val="num" w:pos="0"/>
        </w:tabs>
        <w:ind w:left="480" w:hanging="480"/>
      </w:pPr>
      <w:rPr>
        <w:rFonts w:hint="default"/>
      </w:r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2" w15:restartNumberingAfterBreak="0">
    <w:nsid w:val="170CD2DE"/>
    <w:multiLevelType w:val="multilevel"/>
    <w:tmpl w:val="F4F2834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17A37442"/>
    <w:multiLevelType w:val="hybridMultilevel"/>
    <w:tmpl w:val="A4D85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D26DD"/>
    <w:multiLevelType w:val="hybridMultilevel"/>
    <w:tmpl w:val="590EF05A"/>
    <w:lvl w:ilvl="0" w:tplc="981019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1956DF"/>
    <w:multiLevelType w:val="hybridMultilevel"/>
    <w:tmpl w:val="BDFAA4C6"/>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AE401"/>
    <w:multiLevelType w:val="multilevel"/>
    <w:tmpl w:val="2206C4D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7" w15:restartNumberingAfterBreak="0">
    <w:nsid w:val="2D6E7FB9"/>
    <w:multiLevelType w:val="hybridMultilevel"/>
    <w:tmpl w:val="7B5CFA90"/>
    <w:lvl w:ilvl="0" w:tplc="95BA7BB2">
      <w:start w:val="1"/>
      <w:numFmt w:val="bullet"/>
      <w:lvlText w:val="•"/>
      <w:lvlJc w:val="left"/>
      <w:pPr>
        <w:ind w:left="774" w:hanging="360"/>
      </w:pPr>
      <w:rPr>
        <w:rFonts w:ascii="Times New Roman" w:hAnsi="Times New Roman" w:cs="Times New Roman"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 w15:restartNumberingAfterBreak="0">
    <w:nsid w:val="36FB6B0B"/>
    <w:multiLevelType w:val="hybridMultilevel"/>
    <w:tmpl w:val="A7669676"/>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672644"/>
    <w:multiLevelType w:val="hybridMultilevel"/>
    <w:tmpl w:val="DA128C76"/>
    <w:lvl w:ilvl="0" w:tplc="878EDFA2">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B306D4"/>
    <w:multiLevelType w:val="hybridMultilevel"/>
    <w:tmpl w:val="33D625D8"/>
    <w:lvl w:ilvl="0" w:tplc="95BA7BB2">
      <w:start w:val="1"/>
      <w:numFmt w:val="bullet"/>
      <w:lvlText w:val="•"/>
      <w:lvlJc w:val="left"/>
      <w:pPr>
        <w:ind w:left="884" w:hanging="360"/>
      </w:pPr>
      <w:rPr>
        <w:rFonts w:ascii="Times New Roman" w:hAnsi="Times New Roman" w:cs="Times New Roman" w:hint="default"/>
      </w:rPr>
    </w:lvl>
    <w:lvl w:ilvl="1" w:tplc="04090003" w:tentative="1">
      <w:start w:val="1"/>
      <w:numFmt w:val="bullet"/>
      <w:lvlText w:val="o"/>
      <w:lvlJc w:val="left"/>
      <w:pPr>
        <w:ind w:left="1604" w:hanging="360"/>
      </w:pPr>
      <w:rPr>
        <w:rFonts w:ascii="Courier New" w:hAnsi="Courier New" w:cs="Courier New" w:hint="default"/>
      </w:rPr>
    </w:lvl>
    <w:lvl w:ilvl="2" w:tplc="04090005" w:tentative="1">
      <w:start w:val="1"/>
      <w:numFmt w:val="bullet"/>
      <w:lvlText w:val=""/>
      <w:lvlJc w:val="left"/>
      <w:pPr>
        <w:ind w:left="2324" w:hanging="360"/>
      </w:pPr>
      <w:rPr>
        <w:rFonts w:ascii="Wingdings" w:hAnsi="Wingdings" w:hint="default"/>
      </w:rPr>
    </w:lvl>
    <w:lvl w:ilvl="3" w:tplc="04090001" w:tentative="1">
      <w:start w:val="1"/>
      <w:numFmt w:val="bullet"/>
      <w:lvlText w:val=""/>
      <w:lvlJc w:val="left"/>
      <w:pPr>
        <w:ind w:left="3044" w:hanging="360"/>
      </w:pPr>
      <w:rPr>
        <w:rFonts w:ascii="Symbol" w:hAnsi="Symbol" w:hint="default"/>
      </w:rPr>
    </w:lvl>
    <w:lvl w:ilvl="4" w:tplc="04090003" w:tentative="1">
      <w:start w:val="1"/>
      <w:numFmt w:val="bullet"/>
      <w:lvlText w:val="o"/>
      <w:lvlJc w:val="left"/>
      <w:pPr>
        <w:ind w:left="3764" w:hanging="360"/>
      </w:pPr>
      <w:rPr>
        <w:rFonts w:ascii="Courier New" w:hAnsi="Courier New" w:cs="Courier New" w:hint="default"/>
      </w:rPr>
    </w:lvl>
    <w:lvl w:ilvl="5" w:tplc="04090005" w:tentative="1">
      <w:start w:val="1"/>
      <w:numFmt w:val="bullet"/>
      <w:lvlText w:val=""/>
      <w:lvlJc w:val="left"/>
      <w:pPr>
        <w:ind w:left="4484" w:hanging="360"/>
      </w:pPr>
      <w:rPr>
        <w:rFonts w:ascii="Wingdings" w:hAnsi="Wingdings" w:hint="default"/>
      </w:rPr>
    </w:lvl>
    <w:lvl w:ilvl="6" w:tplc="04090001" w:tentative="1">
      <w:start w:val="1"/>
      <w:numFmt w:val="bullet"/>
      <w:lvlText w:val=""/>
      <w:lvlJc w:val="left"/>
      <w:pPr>
        <w:ind w:left="5204" w:hanging="360"/>
      </w:pPr>
      <w:rPr>
        <w:rFonts w:ascii="Symbol" w:hAnsi="Symbol" w:hint="default"/>
      </w:rPr>
    </w:lvl>
    <w:lvl w:ilvl="7" w:tplc="04090003" w:tentative="1">
      <w:start w:val="1"/>
      <w:numFmt w:val="bullet"/>
      <w:lvlText w:val="o"/>
      <w:lvlJc w:val="left"/>
      <w:pPr>
        <w:ind w:left="5924" w:hanging="360"/>
      </w:pPr>
      <w:rPr>
        <w:rFonts w:ascii="Courier New" w:hAnsi="Courier New" w:cs="Courier New" w:hint="default"/>
      </w:rPr>
    </w:lvl>
    <w:lvl w:ilvl="8" w:tplc="04090005" w:tentative="1">
      <w:start w:val="1"/>
      <w:numFmt w:val="bullet"/>
      <w:lvlText w:val=""/>
      <w:lvlJc w:val="left"/>
      <w:pPr>
        <w:ind w:left="6644" w:hanging="360"/>
      </w:pPr>
      <w:rPr>
        <w:rFonts w:ascii="Wingdings" w:hAnsi="Wingdings" w:hint="default"/>
      </w:rPr>
    </w:lvl>
  </w:abstractNum>
  <w:abstractNum w:abstractNumId="11" w15:restartNumberingAfterBreak="0">
    <w:nsid w:val="43F24BA0"/>
    <w:multiLevelType w:val="hybridMultilevel"/>
    <w:tmpl w:val="B742DD98"/>
    <w:lvl w:ilvl="0" w:tplc="D8BC30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261BAD"/>
    <w:multiLevelType w:val="multilevel"/>
    <w:tmpl w:val="2A80ED42"/>
    <w:lvl w:ilvl="0">
      <w:start w:val="1"/>
      <w:numFmt w:val="lowerRoman"/>
      <w:lvlText w:val="(%1)"/>
      <w:lvlJc w:val="left"/>
      <w:pPr>
        <w:tabs>
          <w:tab w:val="num" w:pos="0"/>
        </w:tabs>
        <w:ind w:left="480" w:hanging="480"/>
      </w:pPr>
      <w:rPr>
        <w:rFonts w:hint="default"/>
      </w:r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3" w15:restartNumberingAfterBreak="0">
    <w:nsid w:val="4C493F2E"/>
    <w:multiLevelType w:val="hybridMultilevel"/>
    <w:tmpl w:val="35C67C54"/>
    <w:lvl w:ilvl="0" w:tplc="707823F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47534F"/>
    <w:multiLevelType w:val="hybridMultilevel"/>
    <w:tmpl w:val="055C0618"/>
    <w:lvl w:ilvl="0" w:tplc="5310E7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C07514"/>
    <w:multiLevelType w:val="hybridMultilevel"/>
    <w:tmpl w:val="8014110C"/>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C80145"/>
    <w:multiLevelType w:val="hybridMultilevel"/>
    <w:tmpl w:val="AC4EC196"/>
    <w:lvl w:ilvl="0" w:tplc="04090017">
      <w:start w:val="1"/>
      <w:numFmt w:val="lowerLetter"/>
      <w:lvlText w:val="%1)"/>
      <w:lvlJc w:val="left"/>
      <w:pPr>
        <w:ind w:left="2193" w:hanging="360"/>
      </w:pPr>
      <w:rPr>
        <w:rFonts w:hint="default"/>
      </w:rPr>
    </w:lvl>
    <w:lvl w:ilvl="1" w:tplc="04090019" w:tentative="1">
      <w:start w:val="1"/>
      <w:numFmt w:val="lowerLetter"/>
      <w:lvlText w:val="%2."/>
      <w:lvlJc w:val="left"/>
      <w:pPr>
        <w:ind w:left="2913" w:hanging="360"/>
      </w:pPr>
    </w:lvl>
    <w:lvl w:ilvl="2" w:tplc="0409001B" w:tentative="1">
      <w:start w:val="1"/>
      <w:numFmt w:val="lowerRoman"/>
      <w:lvlText w:val="%3."/>
      <w:lvlJc w:val="right"/>
      <w:pPr>
        <w:ind w:left="3633" w:hanging="180"/>
      </w:pPr>
    </w:lvl>
    <w:lvl w:ilvl="3" w:tplc="0409000F" w:tentative="1">
      <w:start w:val="1"/>
      <w:numFmt w:val="decimal"/>
      <w:lvlText w:val="%4."/>
      <w:lvlJc w:val="left"/>
      <w:pPr>
        <w:ind w:left="4353" w:hanging="360"/>
      </w:pPr>
    </w:lvl>
    <w:lvl w:ilvl="4" w:tplc="04090019" w:tentative="1">
      <w:start w:val="1"/>
      <w:numFmt w:val="lowerLetter"/>
      <w:lvlText w:val="%5."/>
      <w:lvlJc w:val="left"/>
      <w:pPr>
        <w:ind w:left="5073" w:hanging="360"/>
      </w:pPr>
    </w:lvl>
    <w:lvl w:ilvl="5" w:tplc="0409001B" w:tentative="1">
      <w:start w:val="1"/>
      <w:numFmt w:val="lowerRoman"/>
      <w:lvlText w:val="%6."/>
      <w:lvlJc w:val="right"/>
      <w:pPr>
        <w:ind w:left="5793" w:hanging="180"/>
      </w:pPr>
    </w:lvl>
    <w:lvl w:ilvl="6" w:tplc="0409000F" w:tentative="1">
      <w:start w:val="1"/>
      <w:numFmt w:val="decimal"/>
      <w:lvlText w:val="%7."/>
      <w:lvlJc w:val="left"/>
      <w:pPr>
        <w:ind w:left="6513" w:hanging="360"/>
      </w:pPr>
    </w:lvl>
    <w:lvl w:ilvl="7" w:tplc="04090019" w:tentative="1">
      <w:start w:val="1"/>
      <w:numFmt w:val="lowerLetter"/>
      <w:lvlText w:val="%8."/>
      <w:lvlJc w:val="left"/>
      <w:pPr>
        <w:ind w:left="7233" w:hanging="360"/>
      </w:pPr>
    </w:lvl>
    <w:lvl w:ilvl="8" w:tplc="0409001B" w:tentative="1">
      <w:start w:val="1"/>
      <w:numFmt w:val="lowerRoman"/>
      <w:lvlText w:val="%9."/>
      <w:lvlJc w:val="right"/>
      <w:pPr>
        <w:ind w:left="7953" w:hanging="180"/>
      </w:pPr>
    </w:lvl>
  </w:abstractNum>
  <w:abstractNum w:abstractNumId="17" w15:restartNumberingAfterBreak="0">
    <w:nsid w:val="63101E2A"/>
    <w:multiLevelType w:val="hybridMultilevel"/>
    <w:tmpl w:val="C1989F6C"/>
    <w:lvl w:ilvl="0" w:tplc="7CDECF6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A5A4B30"/>
    <w:multiLevelType w:val="hybridMultilevel"/>
    <w:tmpl w:val="0360E8BC"/>
    <w:lvl w:ilvl="0" w:tplc="04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6E75D3"/>
    <w:multiLevelType w:val="multilevel"/>
    <w:tmpl w:val="0B4CC13E"/>
    <w:lvl w:ilvl="0">
      <w:start w:val="1"/>
      <w:numFmt w:val="lowerRoman"/>
      <w:lvlText w:val="%1i."/>
      <w:lvlJc w:val="left"/>
      <w:pPr>
        <w:tabs>
          <w:tab w:val="num" w:pos="0"/>
        </w:tabs>
        <w:ind w:left="480" w:hanging="480"/>
      </w:pPr>
      <w:rPr>
        <w:rFonts w:hint="eastAsia"/>
      </w:rPr>
    </w:lvl>
    <w:lvl w:ilvl="1">
      <w:start w:val="1"/>
      <w:numFmt w:val="lowerRoman"/>
      <w:lvlText w:val="%2."/>
      <w:lvlJc w:val="left"/>
      <w:pPr>
        <w:tabs>
          <w:tab w:val="num" w:pos="720"/>
        </w:tabs>
        <w:ind w:left="1200" w:hanging="480"/>
      </w:pPr>
      <w:rPr>
        <w:rFonts w:hint="default"/>
      </w:rPr>
    </w:lvl>
    <w:lvl w:ilvl="2">
      <w:start w:val="1"/>
      <w:numFmt w:val="lowerRoman"/>
      <w:lvlText w:val="%3."/>
      <w:lvlJc w:val="left"/>
      <w:pPr>
        <w:tabs>
          <w:tab w:val="num" w:pos="1440"/>
        </w:tabs>
        <w:ind w:left="1920" w:hanging="480"/>
      </w:pPr>
      <w:rPr>
        <w:rFonts w:hint="default"/>
      </w:rPr>
    </w:lvl>
    <w:lvl w:ilvl="3">
      <w:start w:val="1"/>
      <w:numFmt w:val="lowerRoman"/>
      <w:lvlText w:val="%4."/>
      <w:lvlJc w:val="left"/>
      <w:pPr>
        <w:tabs>
          <w:tab w:val="num" w:pos="2160"/>
        </w:tabs>
        <w:ind w:left="2640" w:hanging="480"/>
      </w:pPr>
      <w:rPr>
        <w:rFonts w:hint="default"/>
      </w:rPr>
    </w:lvl>
    <w:lvl w:ilvl="4">
      <w:start w:val="1"/>
      <w:numFmt w:val="lowerRoman"/>
      <w:lvlText w:val="%5."/>
      <w:lvlJc w:val="left"/>
      <w:pPr>
        <w:tabs>
          <w:tab w:val="num" w:pos="2880"/>
        </w:tabs>
        <w:ind w:left="3360" w:hanging="480"/>
      </w:pPr>
      <w:rPr>
        <w:rFonts w:hint="default"/>
      </w:rPr>
    </w:lvl>
    <w:lvl w:ilvl="5">
      <w:start w:val="1"/>
      <w:numFmt w:val="lowerRoman"/>
      <w:lvlText w:val="%6."/>
      <w:lvlJc w:val="left"/>
      <w:pPr>
        <w:tabs>
          <w:tab w:val="num" w:pos="3600"/>
        </w:tabs>
        <w:ind w:left="4080" w:hanging="480"/>
      </w:pPr>
      <w:rPr>
        <w:rFonts w:hint="default"/>
      </w:rPr>
    </w:lvl>
    <w:lvl w:ilvl="6">
      <w:start w:val="1"/>
      <w:numFmt w:val="lowerRoman"/>
      <w:lvlText w:val="%7."/>
      <w:lvlJc w:val="left"/>
      <w:pPr>
        <w:tabs>
          <w:tab w:val="num" w:pos="4320"/>
        </w:tabs>
        <w:ind w:left="4800" w:hanging="480"/>
      </w:pPr>
      <w:rPr>
        <w:rFonts w:hint="default"/>
      </w:rPr>
    </w:lvl>
    <w:lvl w:ilvl="7">
      <w:start w:val="1"/>
      <w:numFmt w:val="lowerRoman"/>
      <w:lvlText w:val="%8."/>
      <w:lvlJc w:val="left"/>
      <w:pPr>
        <w:tabs>
          <w:tab w:val="num" w:pos="5040"/>
        </w:tabs>
        <w:ind w:left="5520" w:hanging="480"/>
      </w:pPr>
      <w:rPr>
        <w:rFonts w:hint="default"/>
      </w:rPr>
    </w:lvl>
    <w:lvl w:ilvl="8">
      <w:start w:val="1"/>
      <w:numFmt w:val="lowerRoman"/>
      <w:lvlText w:val="%9."/>
      <w:lvlJc w:val="left"/>
      <w:pPr>
        <w:tabs>
          <w:tab w:val="num" w:pos="5760"/>
        </w:tabs>
        <w:ind w:left="6240" w:hanging="480"/>
      </w:pPr>
      <w:rPr>
        <w:rFonts w:hint="default"/>
      </w:rPr>
    </w:lvl>
  </w:abstractNum>
  <w:abstractNum w:abstractNumId="20" w15:restartNumberingAfterBreak="0">
    <w:nsid w:val="71315DCA"/>
    <w:multiLevelType w:val="multilevel"/>
    <w:tmpl w:val="C694BB8A"/>
    <w:lvl w:ilvl="0">
      <w:start w:val="1"/>
      <w:numFmt w:val="lowerLetter"/>
      <w:lvlText w:val="%1."/>
      <w:lvlJc w:val="left"/>
      <w:pPr>
        <w:tabs>
          <w:tab w:val="num" w:pos="0"/>
        </w:tabs>
        <w:ind w:left="480" w:hanging="480"/>
      </w:pPr>
    </w:lvl>
    <w:lvl w:ilvl="1">
      <w:start w:val="1"/>
      <w:numFmt w:val="bullet"/>
      <w:lvlText w:val="•"/>
      <w:lvlJc w:val="left"/>
      <w:pPr>
        <w:tabs>
          <w:tab w:val="num" w:pos="720"/>
        </w:tabs>
        <w:ind w:left="1200" w:hanging="480"/>
      </w:pPr>
      <w:rPr>
        <w:rFonts w:ascii="Times New Roman" w:hAnsi="Times New Roman" w:cs="Times New Roman" w:hint="default"/>
      </w:r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21" w15:restartNumberingAfterBreak="0">
    <w:nsid w:val="7DCE2517"/>
    <w:multiLevelType w:val="hybridMultilevel"/>
    <w:tmpl w:val="918A0828"/>
    <w:lvl w:ilvl="0" w:tplc="273A3318">
      <w:start w:val="2"/>
      <w:numFmt w:val="lowerRoman"/>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abstractNumId w:val="2"/>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2"/>
  </w:num>
  <w:num w:numId="6">
    <w:abstractNumId w:val="12"/>
  </w:num>
  <w:num w:numId="7">
    <w:abstractNumId w:val="1"/>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num>
  <w:num w:numId="11">
    <w:abstractNumId w:val="0"/>
  </w:num>
  <w:num w:numId="12">
    <w:abstractNumId w:val="19"/>
  </w:num>
  <w:num w:numId="13">
    <w:abstractNumId w:val="21"/>
  </w:num>
  <w:num w:numId="14">
    <w:abstractNumId w:val="13"/>
  </w:num>
  <w:num w:numId="15">
    <w:abstractNumId w:val="11"/>
  </w:num>
  <w:num w:numId="16">
    <w:abstractNumId w:val="4"/>
  </w:num>
  <w:num w:numId="17">
    <w:abstractNumId w:val="9"/>
  </w:num>
  <w:num w:numId="18">
    <w:abstractNumId w:val="17"/>
  </w:num>
  <w:num w:numId="19">
    <w:abstractNumId w:val="18"/>
  </w:num>
  <w:num w:numId="20">
    <w:abstractNumId w:val="16"/>
  </w:num>
  <w:num w:numId="21">
    <w:abstractNumId w:val="3"/>
  </w:num>
  <w:num w:numId="22">
    <w:abstractNumId w:val="14"/>
  </w:num>
  <w:num w:numId="23">
    <w:abstractNumId w:val="10"/>
  </w:num>
  <w:num w:numId="24">
    <w:abstractNumId w:val="8"/>
  </w:num>
  <w:num w:numId="25">
    <w:abstractNumId w:val="7"/>
  </w:num>
  <w:num w:numId="26">
    <w:abstractNumId w:val="5"/>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02E1D"/>
    <w:rsid w:val="000070D4"/>
    <w:rsid w:val="00011C8B"/>
    <w:rsid w:val="00012597"/>
    <w:rsid w:val="00014429"/>
    <w:rsid w:val="000217E9"/>
    <w:rsid w:val="00022FFB"/>
    <w:rsid w:val="00026C09"/>
    <w:rsid w:val="00027868"/>
    <w:rsid w:val="000300B6"/>
    <w:rsid w:val="00032978"/>
    <w:rsid w:val="000329F5"/>
    <w:rsid w:val="000330F6"/>
    <w:rsid w:val="00033C3D"/>
    <w:rsid w:val="00035661"/>
    <w:rsid w:val="0004051D"/>
    <w:rsid w:val="0004391C"/>
    <w:rsid w:val="00052505"/>
    <w:rsid w:val="000562E9"/>
    <w:rsid w:val="00056712"/>
    <w:rsid w:val="0006760E"/>
    <w:rsid w:val="00075513"/>
    <w:rsid w:val="00086894"/>
    <w:rsid w:val="00087286"/>
    <w:rsid w:val="000878E6"/>
    <w:rsid w:val="000941A5"/>
    <w:rsid w:val="000A190C"/>
    <w:rsid w:val="000A62F7"/>
    <w:rsid w:val="000B1FEE"/>
    <w:rsid w:val="000B2848"/>
    <w:rsid w:val="000B339B"/>
    <w:rsid w:val="000B465B"/>
    <w:rsid w:val="000B7F88"/>
    <w:rsid w:val="000C606C"/>
    <w:rsid w:val="000D5F90"/>
    <w:rsid w:val="000D6191"/>
    <w:rsid w:val="000D693D"/>
    <w:rsid w:val="000E126A"/>
    <w:rsid w:val="000E61B2"/>
    <w:rsid w:val="000E78A4"/>
    <w:rsid w:val="000F10A1"/>
    <w:rsid w:val="000F6121"/>
    <w:rsid w:val="000F6AA5"/>
    <w:rsid w:val="000F6F6F"/>
    <w:rsid w:val="00107022"/>
    <w:rsid w:val="001113F9"/>
    <w:rsid w:val="00111554"/>
    <w:rsid w:val="00112639"/>
    <w:rsid w:val="00112755"/>
    <w:rsid w:val="00112A71"/>
    <w:rsid w:val="00113156"/>
    <w:rsid w:val="00115464"/>
    <w:rsid w:val="00124FB6"/>
    <w:rsid w:val="001276E2"/>
    <w:rsid w:val="00131D08"/>
    <w:rsid w:val="001332A4"/>
    <w:rsid w:val="001353CC"/>
    <w:rsid w:val="001403F5"/>
    <w:rsid w:val="0014121F"/>
    <w:rsid w:val="00141E20"/>
    <w:rsid w:val="001424A8"/>
    <w:rsid w:val="00143D6B"/>
    <w:rsid w:val="00147ABC"/>
    <w:rsid w:val="0015051D"/>
    <w:rsid w:val="00151A91"/>
    <w:rsid w:val="00154FB5"/>
    <w:rsid w:val="00155ADA"/>
    <w:rsid w:val="00171EF8"/>
    <w:rsid w:val="00173A19"/>
    <w:rsid w:val="00175A2D"/>
    <w:rsid w:val="00182F64"/>
    <w:rsid w:val="001835D2"/>
    <w:rsid w:val="00185B59"/>
    <w:rsid w:val="001920C8"/>
    <w:rsid w:val="001930F9"/>
    <w:rsid w:val="001933C3"/>
    <w:rsid w:val="001A5848"/>
    <w:rsid w:val="001B5E07"/>
    <w:rsid w:val="001B6728"/>
    <w:rsid w:val="001C1222"/>
    <w:rsid w:val="001C19CB"/>
    <w:rsid w:val="001C2389"/>
    <w:rsid w:val="001C3E6E"/>
    <w:rsid w:val="001C5122"/>
    <w:rsid w:val="001C5DE9"/>
    <w:rsid w:val="001C7B07"/>
    <w:rsid w:val="001D48AD"/>
    <w:rsid w:val="001D6CAD"/>
    <w:rsid w:val="001D72EA"/>
    <w:rsid w:val="001E2404"/>
    <w:rsid w:val="001E3F4D"/>
    <w:rsid w:val="001E4432"/>
    <w:rsid w:val="001E5BC3"/>
    <w:rsid w:val="001F1CF4"/>
    <w:rsid w:val="002052C3"/>
    <w:rsid w:val="00211C36"/>
    <w:rsid w:val="00212808"/>
    <w:rsid w:val="002221D0"/>
    <w:rsid w:val="00225535"/>
    <w:rsid w:val="00225717"/>
    <w:rsid w:val="00230508"/>
    <w:rsid w:val="00240D9C"/>
    <w:rsid w:val="00247D8B"/>
    <w:rsid w:val="0025092A"/>
    <w:rsid w:val="00266991"/>
    <w:rsid w:val="00267F20"/>
    <w:rsid w:val="002705DE"/>
    <w:rsid w:val="002813E7"/>
    <w:rsid w:val="002826ED"/>
    <w:rsid w:val="002839FC"/>
    <w:rsid w:val="00292DDA"/>
    <w:rsid w:val="002955FC"/>
    <w:rsid w:val="002979F2"/>
    <w:rsid w:val="002A2689"/>
    <w:rsid w:val="002A41FA"/>
    <w:rsid w:val="002A433D"/>
    <w:rsid w:val="002B0980"/>
    <w:rsid w:val="002B1624"/>
    <w:rsid w:val="002B4A4E"/>
    <w:rsid w:val="002C14DF"/>
    <w:rsid w:val="002C36C2"/>
    <w:rsid w:val="002C4807"/>
    <w:rsid w:val="002C7E39"/>
    <w:rsid w:val="002D46F6"/>
    <w:rsid w:val="002D67AC"/>
    <w:rsid w:val="002D7BE3"/>
    <w:rsid w:val="002E118C"/>
    <w:rsid w:val="002E1D5A"/>
    <w:rsid w:val="002E5216"/>
    <w:rsid w:val="002E6B81"/>
    <w:rsid w:val="002E73D1"/>
    <w:rsid w:val="002F4E58"/>
    <w:rsid w:val="002F537B"/>
    <w:rsid w:val="002F5ABB"/>
    <w:rsid w:val="00302608"/>
    <w:rsid w:val="00302D46"/>
    <w:rsid w:val="00303948"/>
    <w:rsid w:val="00305401"/>
    <w:rsid w:val="00306857"/>
    <w:rsid w:val="0030765C"/>
    <w:rsid w:val="00317323"/>
    <w:rsid w:val="0032494B"/>
    <w:rsid w:val="00334281"/>
    <w:rsid w:val="0033479E"/>
    <w:rsid w:val="00334996"/>
    <w:rsid w:val="00334F7D"/>
    <w:rsid w:val="00335D4C"/>
    <w:rsid w:val="00335D64"/>
    <w:rsid w:val="0034245E"/>
    <w:rsid w:val="00350774"/>
    <w:rsid w:val="00351069"/>
    <w:rsid w:val="00351668"/>
    <w:rsid w:val="003553ED"/>
    <w:rsid w:val="0035570E"/>
    <w:rsid w:val="00355A44"/>
    <w:rsid w:val="0035773E"/>
    <w:rsid w:val="00360882"/>
    <w:rsid w:val="00366D0E"/>
    <w:rsid w:val="003673DD"/>
    <w:rsid w:val="00372DAC"/>
    <w:rsid w:val="003747BD"/>
    <w:rsid w:val="00375B5F"/>
    <w:rsid w:val="00390740"/>
    <w:rsid w:val="003919D3"/>
    <w:rsid w:val="0039608F"/>
    <w:rsid w:val="003A4F2B"/>
    <w:rsid w:val="003A5664"/>
    <w:rsid w:val="003A5FDC"/>
    <w:rsid w:val="003A646F"/>
    <w:rsid w:val="003B213C"/>
    <w:rsid w:val="003B390A"/>
    <w:rsid w:val="003B3F52"/>
    <w:rsid w:val="003B513A"/>
    <w:rsid w:val="003C15BE"/>
    <w:rsid w:val="003C425B"/>
    <w:rsid w:val="003C6782"/>
    <w:rsid w:val="003C6911"/>
    <w:rsid w:val="003D2979"/>
    <w:rsid w:val="003D4680"/>
    <w:rsid w:val="003D5E5F"/>
    <w:rsid w:val="003E0B5C"/>
    <w:rsid w:val="003E1251"/>
    <w:rsid w:val="003E15B5"/>
    <w:rsid w:val="003E63F7"/>
    <w:rsid w:val="003E75BD"/>
    <w:rsid w:val="003F1343"/>
    <w:rsid w:val="003F1B45"/>
    <w:rsid w:val="003F40F5"/>
    <w:rsid w:val="003F5C4B"/>
    <w:rsid w:val="004002F2"/>
    <w:rsid w:val="004106A5"/>
    <w:rsid w:val="0041149E"/>
    <w:rsid w:val="0041294D"/>
    <w:rsid w:val="00414118"/>
    <w:rsid w:val="00415590"/>
    <w:rsid w:val="00421CAB"/>
    <w:rsid w:val="0043113B"/>
    <w:rsid w:val="0043315B"/>
    <w:rsid w:val="0043362B"/>
    <w:rsid w:val="00434B92"/>
    <w:rsid w:val="00441895"/>
    <w:rsid w:val="0044461E"/>
    <w:rsid w:val="00444EE4"/>
    <w:rsid w:val="00446989"/>
    <w:rsid w:val="00447879"/>
    <w:rsid w:val="0045089C"/>
    <w:rsid w:val="0045614A"/>
    <w:rsid w:val="00464576"/>
    <w:rsid w:val="00467CE6"/>
    <w:rsid w:val="0047043F"/>
    <w:rsid w:val="004705D1"/>
    <w:rsid w:val="00470726"/>
    <w:rsid w:val="00473441"/>
    <w:rsid w:val="004760F1"/>
    <w:rsid w:val="00481637"/>
    <w:rsid w:val="00482F41"/>
    <w:rsid w:val="00491823"/>
    <w:rsid w:val="004927B9"/>
    <w:rsid w:val="004A5715"/>
    <w:rsid w:val="004A5A06"/>
    <w:rsid w:val="004B1ADE"/>
    <w:rsid w:val="004B4CF7"/>
    <w:rsid w:val="004C354F"/>
    <w:rsid w:val="004C4D02"/>
    <w:rsid w:val="004E29B3"/>
    <w:rsid w:val="004E5806"/>
    <w:rsid w:val="004F2985"/>
    <w:rsid w:val="004F583F"/>
    <w:rsid w:val="004F6B86"/>
    <w:rsid w:val="00501447"/>
    <w:rsid w:val="00501E7D"/>
    <w:rsid w:val="00505DBB"/>
    <w:rsid w:val="00514F69"/>
    <w:rsid w:val="00520CB6"/>
    <w:rsid w:val="00522020"/>
    <w:rsid w:val="005222EA"/>
    <w:rsid w:val="005325B6"/>
    <w:rsid w:val="0053609F"/>
    <w:rsid w:val="00540905"/>
    <w:rsid w:val="00542D7B"/>
    <w:rsid w:val="00545939"/>
    <w:rsid w:val="00550F36"/>
    <w:rsid w:val="00555B3F"/>
    <w:rsid w:val="00556EE5"/>
    <w:rsid w:val="00556F8A"/>
    <w:rsid w:val="00557554"/>
    <w:rsid w:val="005629AB"/>
    <w:rsid w:val="00562F0F"/>
    <w:rsid w:val="005666D8"/>
    <w:rsid w:val="00571E3E"/>
    <w:rsid w:val="00580C01"/>
    <w:rsid w:val="00586C75"/>
    <w:rsid w:val="00590B20"/>
    <w:rsid w:val="00590D07"/>
    <w:rsid w:val="00591A8D"/>
    <w:rsid w:val="0059257D"/>
    <w:rsid w:val="005A02CE"/>
    <w:rsid w:val="005A0FCA"/>
    <w:rsid w:val="005A6032"/>
    <w:rsid w:val="005B0706"/>
    <w:rsid w:val="005B5003"/>
    <w:rsid w:val="005B5040"/>
    <w:rsid w:val="005C2376"/>
    <w:rsid w:val="005C6D4B"/>
    <w:rsid w:val="005D1D5D"/>
    <w:rsid w:val="005D21B9"/>
    <w:rsid w:val="005D3F0D"/>
    <w:rsid w:val="005E63C1"/>
    <w:rsid w:val="005F0693"/>
    <w:rsid w:val="005F501C"/>
    <w:rsid w:val="00603674"/>
    <w:rsid w:val="00604743"/>
    <w:rsid w:val="00610E9F"/>
    <w:rsid w:val="00630DAA"/>
    <w:rsid w:val="0063667F"/>
    <w:rsid w:val="00640BF1"/>
    <w:rsid w:val="00642EA6"/>
    <w:rsid w:val="00643718"/>
    <w:rsid w:val="00644689"/>
    <w:rsid w:val="006604C2"/>
    <w:rsid w:val="00660683"/>
    <w:rsid w:val="00661AA7"/>
    <w:rsid w:val="00665BD0"/>
    <w:rsid w:val="00667FC1"/>
    <w:rsid w:val="006709C5"/>
    <w:rsid w:val="006738F7"/>
    <w:rsid w:val="00677113"/>
    <w:rsid w:val="006803C5"/>
    <w:rsid w:val="0068097B"/>
    <w:rsid w:val="00681D29"/>
    <w:rsid w:val="00683AA4"/>
    <w:rsid w:val="00686510"/>
    <w:rsid w:val="00690409"/>
    <w:rsid w:val="00693D00"/>
    <w:rsid w:val="00694E72"/>
    <w:rsid w:val="006A19C4"/>
    <w:rsid w:val="006B12E4"/>
    <w:rsid w:val="006B2F1D"/>
    <w:rsid w:val="006B4B79"/>
    <w:rsid w:val="006C0861"/>
    <w:rsid w:val="006C0D59"/>
    <w:rsid w:val="006C4D22"/>
    <w:rsid w:val="006C5F59"/>
    <w:rsid w:val="006C61CF"/>
    <w:rsid w:val="006C724A"/>
    <w:rsid w:val="006D1B7D"/>
    <w:rsid w:val="006D2FF5"/>
    <w:rsid w:val="006D349D"/>
    <w:rsid w:val="006E06EA"/>
    <w:rsid w:val="006E6D08"/>
    <w:rsid w:val="006F6ABC"/>
    <w:rsid w:val="006F7CEB"/>
    <w:rsid w:val="00704D3B"/>
    <w:rsid w:val="00706C21"/>
    <w:rsid w:val="0072102F"/>
    <w:rsid w:val="007240A6"/>
    <w:rsid w:val="00732527"/>
    <w:rsid w:val="00735A9C"/>
    <w:rsid w:val="00743B03"/>
    <w:rsid w:val="007446BE"/>
    <w:rsid w:val="00746558"/>
    <w:rsid w:val="0075014A"/>
    <w:rsid w:val="00761166"/>
    <w:rsid w:val="00762DE9"/>
    <w:rsid w:val="00763F46"/>
    <w:rsid w:val="0076506A"/>
    <w:rsid w:val="00771927"/>
    <w:rsid w:val="0077386F"/>
    <w:rsid w:val="007767B4"/>
    <w:rsid w:val="0077687F"/>
    <w:rsid w:val="00780E0D"/>
    <w:rsid w:val="00782120"/>
    <w:rsid w:val="00784D58"/>
    <w:rsid w:val="00787B8D"/>
    <w:rsid w:val="00797F44"/>
    <w:rsid w:val="007A378E"/>
    <w:rsid w:val="007A3B69"/>
    <w:rsid w:val="007A62EF"/>
    <w:rsid w:val="007A7051"/>
    <w:rsid w:val="007B3557"/>
    <w:rsid w:val="007B4606"/>
    <w:rsid w:val="007B6DB5"/>
    <w:rsid w:val="007B7A3F"/>
    <w:rsid w:val="007C5127"/>
    <w:rsid w:val="007C54BE"/>
    <w:rsid w:val="007D1F7A"/>
    <w:rsid w:val="007E1F88"/>
    <w:rsid w:val="007E3B19"/>
    <w:rsid w:val="007E5AE4"/>
    <w:rsid w:val="007F2631"/>
    <w:rsid w:val="007F4554"/>
    <w:rsid w:val="007F553B"/>
    <w:rsid w:val="007F556D"/>
    <w:rsid w:val="007F61BE"/>
    <w:rsid w:val="00803D3F"/>
    <w:rsid w:val="00803E8C"/>
    <w:rsid w:val="00806DBE"/>
    <w:rsid w:val="00810C65"/>
    <w:rsid w:val="00815B38"/>
    <w:rsid w:val="00816785"/>
    <w:rsid w:val="00817544"/>
    <w:rsid w:val="0082051A"/>
    <w:rsid w:val="008205FD"/>
    <w:rsid w:val="00820BF7"/>
    <w:rsid w:val="00823FE9"/>
    <w:rsid w:val="008268D9"/>
    <w:rsid w:val="00834C55"/>
    <w:rsid w:val="00842DD0"/>
    <w:rsid w:val="008478EE"/>
    <w:rsid w:val="00850E3E"/>
    <w:rsid w:val="0085672B"/>
    <w:rsid w:val="00861764"/>
    <w:rsid w:val="008661CF"/>
    <w:rsid w:val="00870FFB"/>
    <w:rsid w:val="008740AB"/>
    <w:rsid w:val="00874FAF"/>
    <w:rsid w:val="008828FB"/>
    <w:rsid w:val="00887095"/>
    <w:rsid w:val="00891C74"/>
    <w:rsid w:val="00892674"/>
    <w:rsid w:val="00892782"/>
    <w:rsid w:val="00896AB2"/>
    <w:rsid w:val="008A0D6F"/>
    <w:rsid w:val="008A60B0"/>
    <w:rsid w:val="008A6834"/>
    <w:rsid w:val="008B23E6"/>
    <w:rsid w:val="008B327A"/>
    <w:rsid w:val="008C1432"/>
    <w:rsid w:val="008C2F5D"/>
    <w:rsid w:val="008C42A0"/>
    <w:rsid w:val="008C4915"/>
    <w:rsid w:val="008D0ACC"/>
    <w:rsid w:val="008D65C9"/>
    <w:rsid w:val="008D6863"/>
    <w:rsid w:val="008E2E11"/>
    <w:rsid w:val="008E4BF3"/>
    <w:rsid w:val="00910D49"/>
    <w:rsid w:val="00912F33"/>
    <w:rsid w:val="00912F44"/>
    <w:rsid w:val="009170FC"/>
    <w:rsid w:val="00922BAE"/>
    <w:rsid w:val="00923D3D"/>
    <w:rsid w:val="009276A0"/>
    <w:rsid w:val="00932251"/>
    <w:rsid w:val="00941DE4"/>
    <w:rsid w:val="0094537E"/>
    <w:rsid w:val="00952C07"/>
    <w:rsid w:val="0095309E"/>
    <w:rsid w:val="009601E9"/>
    <w:rsid w:val="00967544"/>
    <w:rsid w:val="0097185D"/>
    <w:rsid w:val="0097203B"/>
    <w:rsid w:val="00973950"/>
    <w:rsid w:val="00977E35"/>
    <w:rsid w:val="00980744"/>
    <w:rsid w:val="00980E5E"/>
    <w:rsid w:val="00994F08"/>
    <w:rsid w:val="009962E9"/>
    <w:rsid w:val="009A039E"/>
    <w:rsid w:val="009A1CD5"/>
    <w:rsid w:val="009A5D47"/>
    <w:rsid w:val="009A6F42"/>
    <w:rsid w:val="009B5F01"/>
    <w:rsid w:val="009B601C"/>
    <w:rsid w:val="009B77B6"/>
    <w:rsid w:val="009B7BCA"/>
    <w:rsid w:val="009C0629"/>
    <w:rsid w:val="009C5713"/>
    <w:rsid w:val="009C71DF"/>
    <w:rsid w:val="009D5F7F"/>
    <w:rsid w:val="009D6AAE"/>
    <w:rsid w:val="009E4D2D"/>
    <w:rsid w:val="009F3878"/>
    <w:rsid w:val="009F53C1"/>
    <w:rsid w:val="009F61B1"/>
    <w:rsid w:val="00A00803"/>
    <w:rsid w:val="00A0452B"/>
    <w:rsid w:val="00A06A7D"/>
    <w:rsid w:val="00A07768"/>
    <w:rsid w:val="00A10FFD"/>
    <w:rsid w:val="00A15B63"/>
    <w:rsid w:val="00A160D9"/>
    <w:rsid w:val="00A21E1F"/>
    <w:rsid w:val="00A2207A"/>
    <w:rsid w:val="00A27FDA"/>
    <w:rsid w:val="00A31089"/>
    <w:rsid w:val="00A31617"/>
    <w:rsid w:val="00A32A57"/>
    <w:rsid w:val="00A377B1"/>
    <w:rsid w:val="00A53814"/>
    <w:rsid w:val="00A57C55"/>
    <w:rsid w:val="00A63348"/>
    <w:rsid w:val="00A665DC"/>
    <w:rsid w:val="00A672C2"/>
    <w:rsid w:val="00A67551"/>
    <w:rsid w:val="00A71D5E"/>
    <w:rsid w:val="00A723F2"/>
    <w:rsid w:val="00A80CD3"/>
    <w:rsid w:val="00A90E8B"/>
    <w:rsid w:val="00A94B20"/>
    <w:rsid w:val="00A95E77"/>
    <w:rsid w:val="00A961BA"/>
    <w:rsid w:val="00A96B32"/>
    <w:rsid w:val="00A97EC7"/>
    <w:rsid w:val="00AA0F50"/>
    <w:rsid w:val="00AA1B63"/>
    <w:rsid w:val="00AA271D"/>
    <w:rsid w:val="00AA4182"/>
    <w:rsid w:val="00AA4A19"/>
    <w:rsid w:val="00AA4CBD"/>
    <w:rsid w:val="00AB2D1A"/>
    <w:rsid w:val="00AC7018"/>
    <w:rsid w:val="00AC7179"/>
    <w:rsid w:val="00AD3F66"/>
    <w:rsid w:val="00AE1B80"/>
    <w:rsid w:val="00AE2C23"/>
    <w:rsid w:val="00AE4133"/>
    <w:rsid w:val="00AF18A8"/>
    <w:rsid w:val="00AF6C6E"/>
    <w:rsid w:val="00B00615"/>
    <w:rsid w:val="00B14E68"/>
    <w:rsid w:val="00B217F5"/>
    <w:rsid w:val="00B3271C"/>
    <w:rsid w:val="00B35C72"/>
    <w:rsid w:val="00B41A72"/>
    <w:rsid w:val="00B47A07"/>
    <w:rsid w:val="00B47FE8"/>
    <w:rsid w:val="00B53FE5"/>
    <w:rsid w:val="00B55350"/>
    <w:rsid w:val="00B603B8"/>
    <w:rsid w:val="00B60C66"/>
    <w:rsid w:val="00B62888"/>
    <w:rsid w:val="00B634F6"/>
    <w:rsid w:val="00B704F5"/>
    <w:rsid w:val="00B706C0"/>
    <w:rsid w:val="00B724FE"/>
    <w:rsid w:val="00B77DA6"/>
    <w:rsid w:val="00B80843"/>
    <w:rsid w:val="00B86227"/>
    <w:rsid w:val="00B864C9"/>
    <w:rsid w:val="00B86B75"/>
    <w:rsid w:val="00B87679"/>
    <w:rsid w:val="00B965E0"/>
    <w:rsid w:val="00B977B0"/>
    <w:rsid w:val="00B978F2"/>
    <w:rsid w:val="00BA001D"/>
    <w:rsid w:val="00BA21E5"/>
    <w:rsid w:val="00BA3B9A"/>
    <w:rsid w:val="00BB0F08"/>
    <w:rsid w:val="00BB36E0"/>
    <w:rsid w:val="00BB36E8"/>
    <w:rsid w:val="00BC48D5"/>
    <w:rsid w:val="00BC7B69"/>
    <w:rsid w:val="00BE2271"/>
    <w:rsid w:val="00BF1AC6"/>
    <w:rsid w:val="00BF1B5A"/>
    <w:rsid w:val="00BF4060"/>
    <w:rsid w:val="00BF43E2"/>
    <w:rsid w:val="00BF4FF9"/>
    <w:rsid w:val="00C0002D"/>
    <w:rsid w:val="00C006B6"/>
    <w:rsid w:val="00C0114E"/>
    <w:rsid w:val="00C01E62"/>
    <w:rsid w:val="00C137CF"/>
    <w:rsid w:val="00C15131"/>
    <w:rsid w:val="00C16E28"/>
    <w:rsid w:val="00C17377"/>
    <w:rsid w:val="00C23411"/>
    <w:rsid w:val="00C24CF4"/>
    <w:rsid w:val="00C272CE"/>
    <w:rsid w:val="00C276C0"/>
    <w:rsid w:val="00C346E6"/>
    <w:rsid w:val="00C34E80"/>
    <w:rsid w:val="00C36279"/>
    <w:rsid w:val="00C4250A"/>
    <w:rsid w:val="00C44D10"/>
    <w:rsid w:val="00C47A77"/>
    <w:rsid w:val="00C507F8"/>
    <w:rsid w:val="00C56F6F"/>
    <w:rsid w:val="00C60229"/>
    <w:rsid w:val="00C640EA"/>
    <w:rsid w:val="00C716BC"/>
    <w:rsid w:val="00C72DB0"/>
    <w:rsid w:val="00C74AEE"/>
    <w:rsid w:val="00C76A12"/>
    <w:rsid w:val="00C77420"/>
    <w:rsid w:val="00C8505B"/>
    <w:rsid w:val="00C865D7"/>
    <w:rsid w:val="00C86BA7"/>
    <w:rsid w:val="00C91FA2"/>
    <w:rsid w:val="00C958B1"/>
    <w:rsid w:val="00CA1D71"/>
    <w:rsid w:val="00CA2293"/>
    <w:rsid w:val="00CA2E14"/>
    <w:rsid w:val="00CA3783"/>
    <w:rsid w:val="00CA6D93"/>
    <w:rsid w:val="00CA7145"/>
    <w:rsid w:val="00CB03DB"/>
    <w:rsid w:val="00CB082E"/>
    <w:rsid w:val="00CB246B"/>
    <w:rsid w:val="00CB544C"/>
    <w:rsid w:val="00CB636F"/>
    <w:rsid w:val="00CB7798"/>
    <w:rsid w:val="00CC22C0"/>
    <w:rsid w:val="00CC2DF3"/>
    <w:rsid w:val="00CC4581"/>
    <w:rsid w:val="00CC4CF2"/>
    <w:rsid w:val="00CC7585"/>
    <w:rsid w:val="00CD527D"/>
    <w:rsid w:val="00CE01B4"/>
    <w:rsid w:val="00CE1C21"/>
    <w:rsid w:val="00CE2A3B"/>
    <w:rsid w:val="00CE6473"/>
    <w:rsid w:val="00CE6A86"/>
    <w:rsid w:val="00CE7BBF"/>
    <w:rsid w:val="00CF3879"/>
    <w:rsid w:val="00CF45E5"/>
    <w:rsid w:val="00CF67C0"/>
    <w:rsid w:val="00CF74E4"/>
    <w:rsid w:val="00D01D88"/>
    <w:rsid w:val="00D12A1B"/>
    <w:rsid w:val="00D12A8B"/>
    <w:rsid w:val="00D21DFB"/>
    <w:rsid w:val="00D276E5"/>
    <w:rsid w:val="00D310B9"/>
    <w:rsid w:val="00D31D09"/>
    <w:rsid w:val="00D33321"/>
    <w:rsid w:val="00D41096"/>
    <w:rsid w:val="00D42DE1"/>
    <w:rsid w:val="00D50887"/>
    <w:rsid w:val="00D511DC"/>
    <w:rsid w:val="00D56653"/>
    <w:rsid w:val="00D60FE4"/>
    <w:rsid w:val="00D635B9"/>
    <w:rsid w:val="00D6661F"/>
    <w:rsid w:val="00D7060B"/>
    <w:rsid w:val="00D70C6E"/>
    <w:rsid w:val="00D72003"/>
    <w:rsid w:val="00D73458"/>
    <w:rsid w:val="00D7550D"/>
    <w:rsid w:val="00D81552"/>
    <w:rsid w:val="00D86C95"/>
    <w:rsid w:val="00D90C0D"/>
    <w:rsid w:val="00D95367"/>
    <w:rsid w:val="00DA676E"/>
    <w:rsid w:val="00DA791A"/>
    <w:rsid w:val="00DA7978"/>
    <w:rsid w:val="00DB1212"/>
    <w:rsid w:val="00DB3C16"/>
    <w:rsid w:val="00DB5FE2"/>
    <w:rsid w:val="00DB79EE"/>
    <w:rsid w:val="00DC0B88"/>
    <w:rsid w:val="00DC3850"/>
    <w:rsid w:val="00DC4802"/>
    <w:rsid w:val="00DD28CE"/>
    <w:rsid w:val="00DE036C"/>
    <w:rsid w:val="00DE0411"/>
    <w:rsid w:val="00DE0F8B"/>
    <w:rsid w:val="00DE344B"/>
    <w:rsid w:val="00DE464D"/>
    <w:rsid w:val="00DF175E"/>
    <w:rsid w:val="00DF7435"/>
    <w:rsid w:val="00E0007E"/>
    <w:rsid w:val="00E02377"/>
    <w:rsid w:val="00E02CE6"/>
    <w:rsid w:val="00E043F8"/>
    <w:rsid w:val="00E062F0"/>
    <w:rsid w:val="00E13831"/>
    <w:rsid w:val="00E153A5"/>
    <w:rsid w:val="00E204F3"/>
    <w:rsid w:val="00E21258"/>
    <w:rsid w:val="00E23C35"/>
    <w:rsid w:val="00E250E9"/>
    <w:rsid w:val="00E272FB"/>
    <w:rsid w:val="00E315A3"/>
    <w:rsid w:val="00E33720"/>
    <w:rsid w:val="00E33ADA"/>
    <w:rsid w:val="00E432D8"/>
    <w:rsid w:val="00E55845"/>
    <w:rsid w:val="00E60815"/>
    <w:rsid w:val="00E624FB"/>
    <w:rsid w:val="00E62C49"/>
    <w:rsid w:val="00E6313D"/>
    <w:rsid w:val="00E71068"/>
    <w:rsid w:val="00E7258A"/>
    <w:rsid w:val="00E72596"/>
    <w:rsid w:val="00E72BFB"/>
    <w:rsid w:val="00E73844"/>
    <w:rsid w:val="00E767EF"/>
    <w:rsid w:val="00E82F00"/>
    <w:rsid w:val="00E875C4"/>
    <w:rsid w:val="00E90B43"/>
    <w:rsid w:val="00E93457"/>
    <w:rsid w:val="00E95184"/>
    <w:rsid w:val="00EA0F77"/>
    <w:rsid w:val="00EA10FC"/>
    <w:rsid w:val="00EA3BBA"/>
    <w:rsid w:val="00EA5AB7"/>
    <w:rsid w:val="00EB2D5A"/>
    <w:rsid w:val="00EB7CA5"/>
    <w:rsid w:val="00EC2501"/>
    <w:rsid w:val="00EC39A1"/>
    <w:rsid w:val="00EC3CEB"/>
    <w:rsid w:val="00EC42EB"/>
    <w:rsid w:val="00ED2551"/>
    <w:rsid w:val="00ED7165"/>
    <w:rsid w:val="00EE351D"/>
    <w:rsid w:val="00EE3D6A"/>
    <w:rsid w:val="00EE5769"/>
    <w:rsid w:val="00EE6329"/>
    <w:rsid w:val="00EF3BEE"/>
    <w:rsid w:val="00EF5B90"/>
    <w:rsid w:val="00F03525"/>
    <w:rsid w:val="00F05CEF"/>
    <w:rsid w:val="00F10CA0"/>
    <w:rsid w:val="00F12D45"/>
    <w:rsid w:val="00F13B6D"/>
    <w:rsid w:val="00F21D03"/>
    <w:rsid w:val="00F22C01"/>
    <w:rsid w:val="00F269DF"/>
    <w:rsid w:val="00F3262C"/>
    <w:rsid w:val="00F34239"/>
    <w:rsid w:val="00F3486B"/>
    <w:rsid w:val="00F36659"/>
    <w:rsid w:val="00F40CF6"/>
    <w:rsid w:val="00F504E0"/>
    <w:rsid w:val="00F50B3E"/>
    <w:rsid w:val="00F548E3"/>
    <w:rsid w:val="00F549FB"/>
    <w:rsid w:val="00F56A1B"/>
    <w:rsid w:val="00F60D21"/>
    <w:rsid w:val="00F61645"/>
    <w:rsid w:val="00F61DEA"/>
    <w:rsid w:val="00F64296"/>
    <w:rsid w:val="00F647EE"/>
    <w:rsid w:val="00F6491A"/>
    <w:rsid w:val="00F64E5A"/>
    <w:rsid w:val="00F64F31"/>
    <w:rsid w:val="00F64FC9"/>
    <w:rsid w:val="00F6703E"/>
    <w:rsid w:val="00F67C81"/>
    <w:rsid w:val="00F707B1"/>
    <w:rsid w:val="00F7084E"/>
    <w:rsid w:val="00F70C08"/>
    <w:rsid w:val="00F723E2"/>
    <w:rsid w:val="00F747E7"/>
    <w:rsid w:val="00F80FFE"/>
    <w:rsid w:val="00F81D93"/>
    <w:rsid w:val="00F926E4"/>
    <w:rsid w:val="00F93CB9"/>
    <w:rsid w:val="00FA08D4"/>
    <w:rsid w:val="00FA1D65"/>
    <w:rsid w:val="00FA36DF"/>
    <w:rsid w:val="00FB23C5"/>
    <w:rsid w:val="00FB3416"/>
    <w:rsid w:val="00FB4F1D"/>
    <w:rsid w:val="00FC3210"/>
    <w:rsid w:val="00FC4D64"/>
    <w:rsid w:val="00FC7E36"/>
    <w:rsid w:val="00FD035A"/>
    <w:rsid w:val="00FD1C10"/>
    <w:rsid w:val="00FD36E5"/>
    <w:rsid w:val="00FD5702"/>
    <w:rsid w:val="00FE383C"/>
    <w:rsid w:val="00FE65B7"/>
    <w:rsid w:val="00FE6A35"/>
    <w:rsid w:val="00FF16B9"/>
    <w:rsid w:val="00FF1D96"/>
    <w:rsid w:val="00FF2400"/>
    <w:rsid w:val="00FF3649"/>
    <w:rsid w:val="00FF4B03"/>
    <w:rsid w:val="00FF69EF"/>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6107A"/>
  <w15:docId w15:val="{6319F03A-0850-4C1F-9C55-BDC26DE1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200"/>
    </w:pPr>
    <w:rPr>
      <w:color w:val="00000A"/>
      <w:sz w:val="24"/>
    </w:rPr>
  </w:style>
  <w:style w:type="paragraph" w:styleId="1">
    <w:name w:val="heading 1"/>
    <w:basedOn w:val="a"/>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2">
    <w:name w:val="heading 2"/>
    <w:basedOn w:val="a"/>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3">
    <w:name w:val="heading 3"/>
    <w:basedOn w:val="a"/>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4">
    <w:name w:val="heading 4"/>
    <w:basedOn w:val="a"/>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5">
    <w:name w:val="heading 5"/>
    <w:basedOn w:val="a"/>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6">
    <w:name w:val="heading 6"/>
    <w:basedOn w:val="a"/>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объекта Знак"/>
    <w:basedOn w:val="a0"/>
    <w:link w:val="a4"/>
    <w:qFormat/>
  </w:style>
  <w:style w:type="character" w:customStyle="1" w:styleId="VerbatimChar">
    <w:name w:val="Verbatim Char"/>
    <w:basedOn w:val="a3"/>
    <w:link w:val="SourceCode"/>
    <w:qFormat/>
    <w:rPr>
      <w:rFonts w:ascii="Consolas" w:hAnsi="Consolas"/>
      <w:sz w:val="22"/>
    </w:rPr>
  </w:style>
  <w:style w:type="character" w:customStyle="1" w:styleId="FootnoteAnchor">
    <w:name w:val="Footnote Anchor"/>
    <w:basedOn w:val="a3"/>
    <w:rPr>
      <w:vertAlign w:val="superscript"/>
    </w:rPr>
  </w:style>
  <w:style w:type="character" w:customStyle="1" w:styleId="InternetLink">
    <w:name w:val="Internet Link"/>
    <w:basedOn w:val="a3"/>
    <w:rPr>
      <w:color w:val="C0143C"/>
    </w:rPr>
  </w:style>
  <w:style w:type="paragraph" w:customStyle="1" w:styleId="Heading">
    <w:name w:val="Heading"/>
    <w:basedOn w:val="a"/>
    <w:next w:val="a5"/>
    <w:qFormat/>
    <w:pPr>
      <w:keepNext/>
      <w:spacing w:before="240" w:after="120"/>
    </w:pPr>
    <w:rPr>
      <w:rFonts w:ascii="Liberation Sans" w:eastAsia="Microsoft YaHei" w:hAnsi="Liberation Sans" w:cs="Arial Unicode MS"/>
      <w:sz w:val="28"/>
      <w:szCs w:val="28"/>
    </w:rPr>
  </w:style>
  <w:style w:type="paragraph" w:styleId="a5">
    <w:name w:val="Body Text"/>
    <w:basedOn w:val="a"/>
    <w:link w:val="a6"/>
    <w:qFormat/>
    <w:pPr>
      <w:spacing w:before="180" w:after="180"/>
      <w:jc w:val="both"/>
    </w:pPr>
  </w:style>
  <w:style w:type="paragraph" w:styleId="a7">
    <w:name w:val="List"/>
    <w:basedOn w:val="a5"/>
    <w:rPr>
      <w:rFonts w:cs="Arial Unicode MS"/>
    </w:rPr>
  </w:style>
  <w:style w:type="paragraph" w:styleId="a4">
    <w:name w:val="caption"/>
    <w:basedOn w:val="a"/>
    <w:link w:val="a3"/>
    <w:qFormat/>
    <w:pPr>
      <w:spacing w:after="120"/>
    </w:pPr>
    <w:rPr>
      <w:i/>
    </w:rPr>
  </w:style>
  <w:style w:type="paragraph" w:customStyle="1" w:styleId="Index">
    <w:name w:val="Index"/>
    <w:basedOn w:val="a"/>
    <w:qFormat/>
    <w:pPr>
      <w:suppressLineNumbers/>
    </w:pPr>
    <w:rPr>
      <w:rFonts w:cs="Arial Unicode MS"/>
    </w:rPr>
  </w:style>
  <w:style w:type="paragraph" w:customStyle="1" w:styleId="FirstParagraph">
    <w:name w:val="First Paragraph"/>
    <w:basedOn w:val="a5"/>
    <w:qFormat/>
  </w:style>
  <w:style w:type="paragraph" w:customStyle="1" w:styleId="Compact">
    <w:name w:val="Compact"/>
    <w:basedOn w:val="a5"/>
    <w:qFormat/>
    <w:pPr>
      <w:spacing w:before="36" w:after="36"/>
    </w:pPr>
  </w:style>
  <w:style w:type="paragraph" w:styleId="a8">
    <w:name w:val="Title"/>
    <w:basedOn w:val="a"/>
    <w:qFormat/>
    <w:pPr>
      <w:keepNext/>
      <w:keepLines/>
      <w:spacing w:before="480" w:after="240"/>
    </w:pPr>
    <w:rPr>
      <w:rFonts w:asciiTheme="majorHAnsi" w:eastAsiaTheme="majorEastAsia" w:hAnsiTheme="majorHAnsi" w:cstheme="majorBidi"/>
      <w:b/>
      <w:bCs/>
      <w:color w:val="C0143C"/>
      <w:sz w:val="36"/>
      <w:szCs w:val="36"/>
    </w:rPr>
  </w:style>
  <w:style w:type="paragraph" w:styleId="a9">
    <w:name w:val="Subtitle"/>
    <w:basedOn w:val="a8"/>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aa">
    <w:name w:val="Date"/>
    <w:qFormat/>
    <w:pPr>
      <w:keepNext/>
      <w:keepLines/>
      <w:jc w:val="center"/>
    </w:pPr>
    <w:rPr>
      <w:color w:val="00000A"/>
      <w:sz w:val="24"/>
    </w:rPr>
  </w:style>
  <w:style w:type="paragraph" w:customStyle="1" w:styleId="Abstract">
    <w:name w:val="Abstract"/>
    <w:basedOn w:val="a"/>
    <w:qFormat/>
    <w:pPr>
      <w:keepNext/>
      <w:keepLines/>
      <w:spacing w:before="300" w:after="300"/>
    </w:pPr>
    <w:rPr>
      <w:sz w:val="20"/>
      <w:szCs w:val="20"/>
    </w:rPr>
  </w:style>
  <w:style w:type="paragraph" w:styleId="ab">
    <w:name w:val="Bibliography"/>
    <w:basedOn w:val="a"/>
    <w:qFormat/>
  </w:style>
  <w:style w:type="paragraph" w:styleId="ac">
    <w:name w:val="Block Text"/>
    <w:basedOn w:val="a5"/>
    <w:uiPriority w:val="9"/>
    <w:unhideWhenUsed/>
    <w:qFormat/>
    <w:pPr>
      <w:spacing w:before="100" w:after="100"/>
    </w:pPr>
    <w:rPr>
      <w:rFonts w:asciiTheme="majorHAnsi" w:eastAsiaTheme="majorEastAsia" w:hAnsiTheme="majorHAnsi" w:cstheme="majorBidi"/>
      <w:bCs/>
      <w:sz w:val="20"/>
      <w:szCs w:val="20"/>
    </w:rPr>
  </w:style>
  <w:style w:type="paragraph" w:styleId="ad">
    <w:name w:val="footnote text"/>
    <w:basedOn w:val="a"/>
    <w:uiPriority w:val="9"/>
    <w:unhideWhenUsed/>
    <w:qFormat/>
  </w:style>
  <w:style w:type="paragraph" w:customStyle="1" w:styleId="DefinitionTerm">
    <w:name w:val="Definition Term"/>
    <w:basedOn w:val="a"/>
    <w:qFormat/>
    <w:pPr>
      <w:keepNext/>
      <w:keepLines/>
      <w:spacing w:after="0"/>
    </w:pPr>
    <w:rPr>
      <w:b/>
    </w:rPr>
  </w:style>
  <w:style w:type="paragraph" w:customStyle="1" w:styleId="Definition">
    <w:name w:val="Definition"/>
    <w:basedOn w:val="a"/>
    <w:qFormat/>
  </w:style>
  <w:style w:type="paragraph" w:customStyle="1" w:styleId="TableCaption">
    <w:name w:val="Table Caption"/>
    <w:basedOn w:val="a4"/>
    <w:qFormat/>
    <w:pPr>
      <w:keepNext/>
    </w:pPr>
  </w:style>
  <w:style w:type="paragraph" w:customStyle="1" w:styleId="ImageCaption">
    <w:name w:val="Image Caption"/>
    <w:basedOn w:val="a4"/>
    <w:qFormat/>
  </w:style>
  <w:style w:type="paragraph" w:customStyle="1" w:styleId="Figure">
    <w:name w:val="Figure"/>
    <w:basedOn w:val="a"/>
    <w:qFormat/>
  </w:style>
  <w:style w:type="paragraph" w:customStyle="1" w:styleId="FigurewithCaption">
    <w:name w:val="Figure with Caption"/>
    <w:basedOn w:val="Figure"/>
    <w:qFormat/>
    <w:pPr>
      <w:keepNext/>
    </w:pPr>
  </w:style>
  <w:style w:type="paragraph" w:styleId="ae">
    <w:name w:val="TOC Heading"/>
    <w:basedOn w:val="1"/>
    <w:uiPriority w:val="39"/>
    <w:unhideWhenUsed/>
    <w:qFormat/>
    <w:pPr>
      <w:spacing w:before="240" w:line="259" w:lineRule="auto"/>
    </w:pPr>
    <w:rPr>
      <w:b w:val="0"/>
      <w:bCs w:val="0"/>
    </w:rPr>
  </w:style>
  <w:style w:type="paragraph" w:customStyle="1" w:styleId="Disclaimer">
    <w:name w:val="Disclaimer"/>
    <w:basedOn w:val="a"/>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a"/>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a"/>
    <w:qFormat/>
    <w:pPr>
      <w:jc w:val="center"/>
    </w:pPr>
    <w:rPr>
      <w:sz w:val="28"/>
      <w:u w:val="single"/>
    </w:rPr>
  </w:style>
  <w:style w:type="paragraph" w:customStyle="1" w:styleId="SourceCode">
    <w:name w:val="Source Code"/>
    <w:basedOn w:val="a"/>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af">
    <w:name w:val="Hyperlink"/>
    <w:basedOn w:val="a0"/>
    <w:uiPriority w:val="99"/>
    <w:rsid w:val="00F3262C"/>
    <w:rPr>
      <w:color w:val="0000FF" w:themeColor="hyperlink"/>
      <w:u w:val="single"/>
    </w:rPr>
  </w:style>
  <w:style w:type="paragraph" w:styleId="af0">
    <w:name w:val="List Paragraph"/>
    <w:basedOn w:val="a"/>
    <w:rsid w:val="00EF5B90"/>
    <w:pPr>
      <w:ind w:left="720"/>
      <w:contextualSpacing/>
    </w:pPr>
  </w:style>
  <w:style w:type="character" w:styleId="af1">
    <w:name w:val="FollowedHyperlink"/>
    <w:basedOn w:val="a0"/>
    <w:rsid w:val="009276A0"/>
    <w:rPr>
      <w:color w:val="800080" w:themeColor="followedHyperlink"/>
      <w:u w:val="single"/>
    </w:rPr>
  </w:style>
  <w:style w:type="paragraph" w:styleId="af2">
    <w:name w:val="Revision"/>
    <w:hidden/>
    <w:semiHidden/>
    <w:rsid w:val="009D6AAE"/>
    <w:rPr>
      <w:color w:val="00000A"/>
      <w:sz w:val="24"/>
    </w:rPr>
  </w:style>
  <w:style w:type="character" w:customStyle="1" w:styleId="a6">
    <w:name w:val="Основной текст Знак"/>
    <w:basedOn w:val="a0"/>
    <w:link w:val="a5"/>
    <w:rsid w:val="005E63C1"/>
    <w:rPr>
      <w:color w:val="00000A"/>
      <w:sz w:val="24"/>
    </w:rPr>
  </w:style>
  <w:style w:type="character" w:customStyle="1" w:styleId="10">
    <w:name w:val="Неразрешенное упоминание1"/>
    <w:basedOn w:val="a0"/>
    <w:uiPriority w:val="99"/>
    <w:semiHidden/>
    <w:unhideWhenUsed/>
    <w:rsid w:val="00677113"/>
    <w:rPr>
      <w:color w:val="605E5C"/>
      <w:shd w:val="clear" w:color="auto" w:fill="E1DFDD"/>
    </w:rPr>
  </w:style>
  <w:style w:type="character" w:styleId="af3">
    <w:name w:val="footnote reference"/>
    <w:basedOn w:val="a0"/>
    <w:semiHidden/>
    <w:unhideWhenUsed/>
    <w:rsid w:val="00820BF7"/>
    <w:rPr>
      <w:vertAlign w:val="superscript"/>
    </w:rPr>
  </w:style>
  <w:style w:type="paragraph" w:styleId="af4">
    <w:name w:val="Balloon Text"/>
    <w:basedOn w:val="a"/>
    <w:link w:val="af5"/>
    <w:semiHidden/>
    <w:unhideWhenUsed/>
    <w:rsid w:val="005F0693"/>
    <w:pPr>
      <w:spacing w:after="0"/>
    </w:pPr>
    <w:rPr>
      <w:rFonts w:ascii="Segoe UI" w:hAnsi="Segoe UI" w:cs="Segoe UI"/>
      <w:sz w:val="18"/>
      <w:szCs w:val="18"/>
    </w:rPr>
  </w:style>
  <w:style w:type="character" w:customStyle="1" w:styleId="af5">
    <w:name w:val="Текст выноски Знак"/>
    <w:basedOn w:val="a0"/>
    <w:link w:val="af4"/>
    <w:semiHidden/>
    <w:rsid w:val="005F0693"/>
    <w:rPr>
      <w:rFonts w:ascii="Segoe UI" w:hAnsi="Segoe UI" w:cs="Segoe UI"/>
      <w:color w:val="00000A"/>
      <w:sz w:val="18"/>
      <w:szCs w:val="18"/>
    </w:rPr>
  </w:style>
  <w:style w:type="paragraph" w:styleId="af6">
    <w:name w:val="header"/>
    <w:basedOn w:val="a"/>
    <w:link w:val="af7"/>
    <w:unhideWhenUsed/>
    <w:rsid w:val="003919D3"/>
    <w:pPr>
      <w:tabs>
        <w:tab w:val="center" w:pos="4680"/>
        <w:tab w:val="right" w:pos="9360"/>
      </w:tabs>
      <w:spacing w:after="0"/>
    </w:pPr>
  </w:style>
  <w:style w:type="character" w:customStyle="1" w:styleId="af7">
    <w:name w:val="Верхний колонтитул Знак"/>
    <w:basedOn w:val="a0"/>
    <w:link w:val="af6"/>
    <w:rsid w:val="003919D3"/>
    <w:rPr>
      <w:color w:val="00000A"/>
      <w:sz w:val="24"/>
    </w:rPr>
  </w:style>
  <w:style w:type="paragraph" w:styleId="af8">
    <w:name w:val="footer"/>
    <w:basedOn w:val="a"/>
    <w:link w:val="af9"/>
    <w:unhideWhenUsed/>
    <w:rsid w:val="003919D3"/>
    <w:pPr>
      <w:tabs>
        <w:tab w:val="center" w:pos="4680"/>
        <w:tab w:val="right" w:pos="9360"/>
      </w:tabs>
      <w:spacing w:after="0"/>
    </w:pPr>
  </w:style>
  <w:style w:type="character" w:customStyle="1" w:styleId="af9">
    <w:name w:val="Нижний колонтитул Знак"/>
    <w:basedOn w:val="a0"/>
    <w:link w:val="af8"/>
    <w:rsid w:val="003919D3"/>
    <w:rPr>
      <w:color w:val="00000A"/>
      <w:sz w:val="24"/>
    </w:rPr>
  </w:style>
  <w:style w:type="character" w:styleId="afa">
    <w:name w:val="annotation reference"/>
    <w:basedOn w:val="a0"/>
    <w:semiHidden/>
    <w:unhideWhenUsed/>
    <w:rsid w:val="00771927"/>
    <w:rPr>
      <w:sz w:val="16"/>
      <w:szCs w:val="16"/>
    </w:rPr>
  </w:style>
  <w:style w:type="paragraph" w:styleId="afb">
    <w:name w:val="annotation text"/>
    <w:basedOn w:val="a"/>
    <w:link w:val="afc"/>
    <w:semiHidden/>
    <w:unhideWhenUsed/>
    <w:rsid w:val="00771927"/>
    <w:rPr>
      <w:sz w:val="20"/>
      <w:szCs w:val="20"/>
    </w:rPr>
  </w:style>
  <w:style w:type="character" w:customStyle="1" w:styleId="afc">
    <w:name w:val="Текст примечания Знак"/>
    <w:basedOn w:val="a0"/>
    <w:link w:val="afb"/>
    <w:semiHidden/>
    <w:rsid w:val="00771927"/>
    <w:rPr>
      <w:color w:val="00000A"/>
      <w:szCs w:val="20"/>
    </w:rPr>
  </w:style>
  <w:style w:type="paragraph" w:styleId="afd">
    <w:name w:val="annotation subject"/>
    <w:basedOn w:val="afb"/>
    <w:next w:val="afb"/>
    <w:link w:val="afe"/>
    <w:semiHidden/>
    <w:unhideWhenUsed/>
    <w:rsid w:val="00771927"/>
    <w:rPr>
      <w:b/>
      <w:bCs/>
    </w:rPr>
  </w:style>
  <w:style w:type="character" w:customStyle="1" w:styleId="afe">
    <w:name w:val="Тема примечания Знак"/>
    <w:basedOn w:val="afc"/>
    <w:link w:val="afd"/>
    <w:semiHidden/>
    <w:rsid w:val="00771927"/>
    <w:rPr>
      <w:b/>
      <w:bCs/>
      <w:color w:val="00000A"/>
      <w:szCs w:val="20"/>
    </w:rPr>
  </w:style>
  <w:style w:type="character" w:styleId="aff">
    <w:name w:val="Strong"/>
    <w:basedOn w:val="a0"/>
    <w:uiPriority w:val="22"/>
    <w:qFormat/>
    <w:rsid w:val="002E1D5A"/>
    <w:rPr>
      <w:b/>
      <w:bCs/>
    </w:rPr>
  </w:style>
  <w:style w:type="paragraph" w:customStyle="1" w:styleId="spanheading">
    <w:name w:val="spanheading"/>
    <w:basedOn w:val="a"/>
    <w:rsid w:val="00EC42EB"/>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7708309">
      <w:bodyDiv w:val="1"/>
      <w:marLeft w:val="0"/>
      <w:marRight w:val="0"/>
      <w:marTop w:val="0"/>
      <w:marBottom w:val="0"/>
      <w:divBdr>
        <w:top w:val="none" w:sz="0" w:space="0" w:color="auto"/>
        <w:left w:val="none" w:sz="0" w:space="0" w:color="auto"/>
        <w:bottom w:val="none" w:sz="0" w:space="0" w:color="auto"/>
        <w:right w:val="none" w:sz="0" w:space="0" w:color="auto"/>
      </w:divBdr>
    </w:div>
    <w:div w:id="97074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sfc-and-hkex-disciplinary-actions-in-april-2022/" TargetMode="External"/><Relationship Id="rId13" Type="http://schemas.openxmlformats.org/officeDocument/2006/relationships/hyperlink" Target="https://www.hkex.com.hk/News/Regulatory-Announcements/2019/191227news?sc_lang=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s.sfc.hk/edistributionWeb/api/news/openAppendix?lang=EN&amp;refNo=22PR25&amp;appendix=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fc.hk/-/media/EN/assets/components/codes/files-current/web/codes/code-of-conduct-for-persons-licensed-by-or-registered-with-the-securities-and-futures-commission/Code_of_conduct-Dec-2020_Eng.pdf" TargetMode="External"/><Relationship Id="rId5" Type="http://schemas.openxmlformats.org/officeDocument/2006/relationships/webSettings" Target="webSettings.xml"/><Relationship Id="rId15" Type="http://schemas.openxmlformats.org/officeDocument/2006/relationships/hyperlink" Target="mailto:unsubscribe@charltonslaw.com?subject=unsubscribe%20-Hong%20Kong%20Law-" TargetMode="External"/><Relationship Id="rId10" Type="http://schemas.openxmlformats.org/officeDocument/2006/relationships/hyperlink" Target="https://www.sfc.hk/-/media/EN/files/CF/pdf/Public_censure/Executive-statement_ENG-20220407.pdf" TargetMode="External"/><Relationship Id="rId4" Type="http://schemas.openxmlformats.org/officeDocument/2006/relationships/settings" Target="settings.xml"/><Relationship Id="rId9" Type="http://schemas.openxmlformats.org/officeDocument/2006/relationships/hyperlink" Target="https://www.sfc.hk/-/media/EN/assets/components/codes/files-current/web/codes/the-codes-on-takeovers-and-mergers-and-share-buy-backs/the-codes-on-takeovers-and-mergers-and-share-buy-backs.pdf" TargetMode="External"/><Relationship Id="rId14" Type="http://schemas.openxmlformats.org/officeDocument/2006/relationships/hyperlink" Target="https://www.hkex.com.hk/-/media/HKEX-Market/Listing/Rules-and-Guidance/Disciplinary-and-Enforcement/Disciplinary-Sanctions/2022/220411_SoD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17F79-59CE-49FA-B2AE-C083CB0FE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3664</Words>
  <Characters>20889</Characters>
  <Application>Microsoft Office Word</Application>
  <DocSecurity>0</DocSecurity>
  <Lines>174</Lines>
  <Paragraphs>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Charltons</Company>
  <LinksUpToDate>false</LinksUpToDate>
  <CharactersWithSpaces>24504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Charlton</dc:creator>
  <cp:keywords/>
  <cp:lastModifiedBy>Пирогов Александр</cp:lastModifiedBy>
  <cp:revision>7</cp:revision>
  <cp:lastPrinted>2022-06-01T07:41:00Z</cp:lastPrinted>
  <dcterms:created xsi:type="dcterms:W3CDTF">2022-06-22T13:50:00Z</dcterms:created>
  <dcterms:modified xsi:type="dcterms:W3CDTF">2022-06-27T06:34:00Z</dcterms:modified>
</cp:coreProperties>
</file>