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81A89" w14:textId="77777777" w:rsidR="001D12A3" w:rsidRDefault="001D12A3" w:rsidP="001D12A3">
      <w:pPr>
        <w:pStyle w:val="BlackStrips"/>
      </w:pPr>
      <w:proofErr w:type="spellStart"/>
      <w:r>
        <w:t>Charltons</w:t>
      </w:r>
      <w:proofErr w:type="spellEnd"/>
      <w:r>
        <w:t xml:space="preserve"> - Hong Kong Law - 2</w:t>
      </w:r>
      <w:r w:rsidRPr="006151E8">
        <w:t>8</w:t>
      </w:r>
      <w:r>
        <w:t xml:space="preserve"> April 2022</w:t>
      </w:r>
    </w:p>
    <w:p w14:paraId="33B4A3AE" w14:textId="5AC02073" w:rsidR="001D12A3" w:rsidRPr="001D12A3" w:rsidRDefault="00216A41" w:rsidP="001D12A3">
      <w:pPr>
        <w:pStyle w:val="ReadOnline"/>
        <w:rPr>
          <w:b/>
          <w:color w:val="FF0000"/>
        </w:rPr>
      </w:pPr>
      <w:hyperlink r:id="rId8">
        <w:r w:rsidR="001D12A3">
          <w:t>online version</w:t>
        </w:r>
      </w:hyperlink>
    </w:p>
    <w:p w14:paraId="2DE7FCFA" w14:textId="13D6D4F6" w:rsidR="000329F5" w:rsidRPr="00ED1BC7" w:rsidRDefault="00806FC1" w:rsidP="00ED1BC7">
      <w:pPr>
        <w:pStyle w:val="a8"/>
        <w:jc w:val="center"/>
        <w:rPr>
          <w:color w:val="FF0000"/>
          <w:lang w:val="en-GB"/>
        </w:rPr>
      </w:pPr>
      <w:r w:rsidRPr="00ED1BC7">
        <w:rPr>
          <w:color w:val="FF0000"/>
          <w:lang w:val="en-GB"/>
        </w:rPr>
        <w:t xml:space="preserve">SFC Releases End-To-End Test Packages and File Transfer Connectivity Guide for </w:t>
      </w:r>
      <w:r w:rsidR="00ED4059">
        <w:rPr>
          <w:color w:val="FF0000"/>
          <w:lang w:val="en-GB"/>
        </w:rPr>
        <w:t xml:space="preserve">new </w:t>
      </w:r>
      <w:r w:rsidRPr="00ED1BC7">
        <w:rPr>
          <w:color w:val="FF0000"/>
          <w:lang w:val="en-GB"/>
        </w:rPr>
        <w:t>Hong Kong Investor Identification Regime</w:t>
      </w:r>
    </w:p>
    <w:p w14:paraId="37E0DD8F" w14:textId="21088F89" w:rsidR="00806FC1" w:rsidRDefault="00747FFE" w:rsidP="00113156">
      <w:pPr>
        <w:pStyle w:val="FirstParagraph"/>
        <w:rPr>
          <w:lang w:val="en-GB"/>
        </w:rPr>
      </w:pPr>
      <w:r>
        <w:rPr>
          <w:lang w:val="en-GB"/>
        </w:rPr>
        <w:t>On 31 March 2022, t</w:t>
      </w:r>
      <w:r w:rsidR="007F2668">
        <w:rPr>
          <w:lang w:val="en-GB"/>
        </w:rPr>
        <w:t>he Securities and Futures Commission of Hong Kong (</w:t>
      </w:r>
      <w:r w:rsidR="007F2668" w:rsidRPr="007F2668">
        <w:rPr>
          <w:b/>
          <w:bCs/>
          <w:lang w:val="en-GB"/>
        </w:rPr>
        <w:t>SFC</w:t>
      </w:r>
      <w:r w:rsidR="007F2668">
        <w:rPr>
          <w:lang w:val="en-GB"/>
        </w:rPr>
        <w:t xml:space="preserve">) </w:t>
      </w:r>
      <w:r w:rsidR="00ED1BC7">
        <w:rPr>
          <w:lang w:val="en-GB"/>
        </w:rPr>
        <w:t>issu</w:t>
      </w:r>
      <w:r w:rsidR="007F2668">
        <w:rPr>
          <w:lang w:val="en-GB"/>
        </w:rPr>
        <w:t xml:space="preserve">ed a </w:t>
      </w:r>
      <w:hyperlink r:id="rId9" w:history="1">
        <w:r w:rsidR="007F2668" w:rsidRPr="00341C27">
          <w:rPr>
            <w:rStyle w:val="af"/>
            <w:lang w:val="en-GB"/>
          </w:rPr>
          <w:t>circular</w:t>
        </w:r>
      </w:hyperlink>
      <w:r w:rsidR="007F2668">
        <w:rPr>
          <w:lang w:val="en-GB"/>
        </w:rPr>
        <w:t xml:space="preserve"> regarding the</w:t>
      </w:r>
      <w:r w:rsidR="00ED4059">
        <w:rPr>
          <w:lang w:val="en-GB"/>
        </w:rPr>
        <w:t xml:space="preserve"> mandatory</w:t>
      </w:r>
      <w:r w:rsidR="007F2668">
        <w:rPr>
          <w:lang w:val="en-GB"/>
        </w:rPr>
        <w:t xml:space="preserve"> </w:t>
      </w:r>
      <w:r w:rsidR="0040010E">
        <w:rPr>
          <w:lang w:val="en-GB"/>
        </w:rPr>
        <w:t>e</w:t>
      </w:r>
      <w:r w:rsidR="007F2668">
        <w:rPr>
          <w:lang w:val="en-GB"/>
        </w:rPr>
        <w:t xml:space="preserve">nd-to-end </w:t>
      </w:r>
      <w:r w:rsidR="0040010E">
        <w:rPr>
          <w:lang w:val="en-GB"/>
        </w:rPr>
        <w:t>(</w:t>
      </w:r>
      <w:r w:rsidR="0040010E" w:rsidRPr="0040010E">
        <w:rPr>
          <w:b/>
          <w:bCs/>
          <w:lang w:val="en-GB"/>
        </w:rPr>
        <w:t>E2E</w:t>
      </w:r>
      <w:r w:rsidR="0040010E">
        <w:rPr>
          <w:lang w:val="en-GB"/>
        </w:rPr>
        <w:t xml:space="preserve">) test for systems </w:t>
      </w:r>
      <w:r w:rsidR="00ED1BC7">
        <w:rPr>
          <w:lang w:val="en-GB"/>
        </w:rPr>
        <w:t xml:space="preserve">for </w:t>
      </w:r>
      <w:r w:rsidR="0040010E">
        <w:rPr>
          <w:lang w:val="en-GB"/>
        </w:rPr>
        <w:t>the Hong Kong Investor Identification Regime</w:t>
      </w:r>
      <w:r w:rsidR="009C15B0">
        <w:rPr>
          <w:lang w:val="en-GB"/>
        </w:rPr>
        <w:t xml:space="preserve"> (</w:t>
      </w:r>
      <w:r w:rsidR="009C15B0" w:rsidRPr="0040010E">
        <w:rPr>
          <w:b/>
          <w:bCs/>
          <w:lang w:val="en-GB"/>
        </w:rPr>
        <w:t>HKIDR</w:t>
      </w:r>
      <w:r w:rsidR="009C15B0">
        <w:rPr>
          <w:lang w:val="en-GB"/>
        </w:rPr>
        <w:t>)</w:t>
      </w:r>
      <w:r>
        <w:rPr>
          <w:lang w:val="en-GB"/>
        </w:rPr>
        <w:t xml:space="preserve">. </w:t>
      </w:r>
      <w:r w:rsidR="00632C29">
        <w:rPr>
          <w:lang w:val="en-GB"/>
        </w:rPr>
        <w:t xml:space="preserve">The circular </w:t>
      </w:r>
      <w:r w:rsidR="00ED1BC7">
        <w:rPr>
          <w:lang w:val="en-GB"/>
        </w:rPr>
        <w:t>provide</w:t>
      </w:r>
      <w:r w:rsidR="00632C29">
        <w:rPr>
          <w:lang w:val="en-GB"/>
        </w:rPr>
        <w:t xml:space="preserve">s a </w:t>
      </w:r>
      <w:r w:rsidR="00ED1BC7">
        <w:rPr>
          <w:lang w:val="en-GB"/>
        </w:rPr>
        <w:t>summary of</w:t>
      </w:r>
      <w:r w:rsidR="006F6BF3">
        <w:rPr>
          <w:lang w:val="en-GB"/>
        </w:rPr>
        <w:t xml:space="preserve"> the preparation work </w:t>
      </w:r>
      <w:r w:rsidR="00ED1BC7">
        <w:rPr>
          <w:lang w:val="en-GB"/>
        </w:rPr>
        <w:t xml:space="preserve">necessary for </w:t>
      </w:r>
      <w:r w:rsidR="006F6BF3">
        <w:rPr>
          <w:lang w:val="en-GB"/>
        </w:rPr>
        <w:t>implement</w:t>
      </w:r>
      <w:r w:rsidR="00ED1BC7">
        <w:rPr>
          <w:lang w:val="en-GB"/>
        </w:rPr>
        <w:t>ing</w:t>
      </w:r>
      <w:r w:rsidR="006F6BF3">
        <w:rPr>
          <w:lang w:val="en-GB"/>
        </w:rPr>
        <w:t xml:space="preserve"> the mandatory E2E test which </w:t>
      </w:r>
      <w:r w:rsidR="009C15B0">
        <w:rPr>
          <w:lang w:val="en-GB"/>
        </w:rPr>
        <w:t xml:space="preserve">licensed and registered intermediaries must complete </w:t>
      </w:r>
      <w:r w:rsidR="006F6BF3">
        <w:rPr>
          <w:lang w:val="en-GB"/>
        </w:rPr>
        <w:t>between mid-May and June 2022</w:t>
      </w:r>
      <w:r w:rsidR="009C15B0">
        <w:rPr>
          <w:lang w:val="en-GB"/>
        </w:rPr>
        <w:t>.</w:t>
      </w:r>
      <w:r w:rsidR="009C15B0">
        <w:rPr>
          <w:rFonts w:hint="eastAsia"/>
          <w:lang w:val="en-GB"/>
        </w:rPr>
        <w:t xml:space="preserve"> </w:t>
      </w:r>
      <w:r w:rsidR="009C15B0">
        <w:rPr>
          <w:lang w:val="en-GB"/>
        </w:rPr>
        <w:t xml:space="preserve">The circular sets out information on how to </w:t>
      </w:r>
      <w:r w:rsidR="009C15B0">
        <w:rPr>
          <w:rFonts w:hint="eastAsia"/>
          <w:lang w:val="en-GB"/>
        </w:rPr>
        <w:t>download</w:t>
      </w:r>
      <w:r w:rsidR="009C15B0" w:rsidRPr="009C15B0">
        <w:rPr>
          <w:rFonts w:hint="eastAsia"/>
          <w:lang w:val="en-GB"/>
        </w:rPr>
        <w:t xml:space="preserve"> the HKIDR File Transfer Connectivity Guide and relevant E2E test package published by the Stock Exchange of Hong Kong </w:t>
      </w:r>
      <w:r w:rsidR="00ED4059" w:rsidRPr="00910045">
        <w:rPr>
          <w:rFonts w:hint="eastAsia"/>
          <w:bCs/>
          <w:lang w:val="en-GB"/>
        </w:rPr>
        <w:t>(</w:t>
      </w:r>
      <w:r w:rsidR="00ED4059" w:rsidRPr="00E627DA">
        <w:rPr>
          <w:rFonts w:hint="eastAsia"/>
          <w:b/>
          <w:bCs/>
          <w:lang w:val="en-GB"/>
        </w:rPr>
        <w:t>HK</w:t>
      </w:r>
      <w:r w:rsidR="00ED4059">
        <w:rPr>
          <w:b/>
          <w:bCs/>
          <w:lang w:val="en-GB"/>
        </w:rPr>
        <w:t>EX</w:t>
      </w:r>
      <w:r w:rsidR="00ED4059" w:rsidRPr="00910045">
        <w:rPr>
          <w:rFonts w:hint="eastAsia"/>
          <w:bCs/>
          <w:lang w:val="en-GB"/>
        </w:rPr>
        <w:t>)</w:t>
      </w:r>
      <w:r w:rsidR="00ED4059">
        <w:rPr>
          <w:bCs/>
          <w:lang w:val="en-GB"/>
        </w:rPr>
        <w:t xml:space="preserve"> </w:t>
      </w:r>
      <w:r w:rsidR="009C15B0" w:rsidRPr="009C15B0">
        <w:rPr>
          <w:rFonts w:hint="eastAsia"/>
          <w:lang w:val="en-GB"/>
        </w:rPr>
        <w:t>in order to get ready for the mandatory E2E Test.</w:t>
      </w:r>
    </w:p>
    <w:p w14:paraId="48A08F84" w14:textId="77777777" w:rsidR="00210A1B" w:rsidRDefault="00210A1B" w:rsidP="00210A1B">
      <w:pPr>
        <w:pStyle w:val="FirstParagraph"/>
        <w:rPr>
          <w:lang w:val="en-GB"/>
        </w:rPr>
      </w:pPr>
      <w:r>
        <w:rPr>
          <w:lang w:val="en-GB"/>
        </w:rPr>
        <w:t xml:space="preserve">As outlined in the SFC’s </w:t>
      </w:r>
      <w:hyperlink r:id="rId10" w:history="1">
        <w:r w:rsidRPr="00360B4F">
          <w:rPr>
            <w:rStyle w:val="af"/>
            <w:lang w:val="en-GB"/>
          </w:rPr>
          <w:t>circular</w:t>
        </w:r>
      </w:hyperlink>
      <w:r>
        <w:rPr>
          <w:lang w:val="en-GB"/>
        </w:rPr>
        <w:t xml:space="preserve"> of 18 March 2022, the E2E Test will cover: </w:t>
      </w:r>
    </w:p>
    <w:p w14:paraId="52AE8941" w14:textId="77777777" w:rsidR="00210A1B" w:rsidRDefault="00210A1B" w:rsidP="00210A1B">
      <w:pPr>
        <w:pStyle w:val="FirstParagraph"/>
        <w:numPr>
          <w:ilvl w:val="0"/>
          <w:numId w:val="20"/>
        </w:numPr>
        <w:rPr>
          <w:lang w:val="en-GB"/>
        </w:rPr>
      </w:pPr>
      <w:r>
        <w:rPr>
          <w:lang w:val="en-GB"/>
        </w:rPr>
        <w:t>the submission of the BCAN-CID Mapping File and Reporting Forms to the HKEX’s data repository; and</w:t>
      </w:r>
    </w:p>
    <w:p w14:paraId="0CD45556" w14:textId="77777777" w:rsidR="00210A1B" w:rsidRPr="00210A1B" w:rsidRDefault="00210A1B" w:rsidP="00113156">
      <w:pPr>
        <w:pStyle w:val="FirstParagraph"/>
        <w:numPr>
          <w:ilvl w:val="0"/>
          <w:numId w:val="20"/>
        </w:numPr>
        <w:rPr>
          <w:lang w:val="en-GB"/>
        </w:rPr>
      </w:pPr>
      <w:r>
        <w:rPr>
          <w:lang w:val="en-GB"/>
        </w:rPr>
        <w:t xml:space="preserve">the test on BCAN tagging for order submission to the HKEX trading system, which will apply only to intermediaries who are Exchange Participants. </w:t>
      </w:r>
    </w:p>
    <w:p w14:paraId="48DA8C19" w14:textId="77777777" w:rsidR="00F72232" w:rsidRPr="00210A1B" w:rsidRDefault="00E16EF9" w:rsidP="00113156">
      <w:pPr>
        <w:pStyle w:val="FirstParagraph"/>
        <w:rPr>
          <w:b/>
          <w:bCs/>
          <w:color w:val="FF0000"/>
          <w:lang w:val="en-GB"/>
        </w:rPr>
      </w:pPr>
      <w:r w:rsidRPr="00210A1B">
        <w:rPr>
          <w:b/>
          <w:bCs/>
          <w:color w:val="FF0000"/>
          <w:lang w:val="en-GB"/>
        </w:rPr>
        <w:t xml:space="preserve">The </w:t>
      </w:r>
      <w:r w:rsidR="00ED1BC7" w:rsidRPr="00210A1B">
        <w:rPr>
          <w:b/>
          <w:color w:val="FF0000"/>
          <w:lang w:val="en-GB"/>
        </w:rPr>
        <w:t>Hong Kong Investor Identification Regime</w:t>
      </w:r>
      <w:r w:rsidR="00ED1BC7" w:rsidRPr="00210A1B">
        <w:rPr>
          <w:b/>
          <w:bCs/>
          <w:color w:val="FF0000"/>
          <w:lang w:val="en-GB"/>
        </w:rPr>
        <w:t xml:space="preserve"> </w:t>
      </w:r>
    </w:p>
    <w:p w14:paraId="033D7C58" w14:textId="0F245C3E" w:rsidR="00E627DA" w:rsidRPr="0046647E" w:rsidRDefault="00AF772E" w:rsidP="00E627DA">
      <w:pPr>
        <w:pStyle w:val="normal1"/>
        <w:shd w:val="clear" w:color="auto" w:fill="FFFFFF"/>
        <w:spacing w:before="0" w:beforeAutospacing="0" w:after="0" w:afterAutospacing="0"/>
        <w:contextualSpacing/>
        <w:jc w:val="both"/>
        <w:rPr>
          <w:rFonts w:ascii="Microsoft JhengHei" w:eastAsia="Microsoft JhengHei" w:hAnsi="Microsoft JhengHei"/>
          <w:color w:val="262626"/>
          <w:sz w:val="27"/>
          <w:szCs w:val="27"/>
        </w:rPr>
      </w:pPr>
      <w:r>
        <w:rPr>
          <w:bCs/>
          <w:lang w:val="en-GB"/>
        </w:rPr>
        <w:t xml:space="preserve">The SFC </w:t>
      </w:r>
      <w:r w:rsidR="000244FC">
        <w:rPr>
          <w:bCs/>
          <w:lang w:val="en-GB"/>
        </w:rPr>
        <w:t>published its</w:t>
      </w:r>
      <w:r w:rsidR="00ED1BC7">
        <w:rPr>
          <w:bCs/>
          <w:lang w:val="en-GB"/>
        </w:rPr>
        <w:t xml:space="preserve"> decision to proceed with the implementation of a Hong Kong Investor Identification Regime </w:t>
      </w:r>
      <w:r w:rsidR="00910045">
        <w:rPr>
          <w:bCs/>
          <w:lang w:val="en-GB"/>
        </w:rPr>
        <w:t xml:space="preserve">for Hong Kong’s securities market at the trading level </w:t>
      </w:r>
      <w:r w:rsidR="00E627DA" w:rsidRPr="00910045">
        <w:rPr>
          <w:rFonts w:asciiTheme="minorHAnsi" w:eastAsiaTheme="minorHAnsi" w:hAnsiTheme="minorHAnsi" w:cstheme="minorBidi" w:hint="eastAsia"/>
          <w:bCs/>
          <w:color w:val="00000A"/>
          <w:lang w:val="en-GB"/>
        </w:rPr>
        <w:t>and an over-the-counter securities transaction reporting regime (</w:t>
      </w:r>
      <w:r w:rsidR="00E627DA" w:rsidRPr="00E627DA">
        <w:rPr>
          <w:rFonts w:asciiTheme="minorHAnsi" w:eastAsiaTheme="minorHAnsi" w:hAnsiTheme="minorHAnsi" w:cstheme="minorBidi" w:hint="eastAsia"/>
          <w:b/>
          <w:bCs/>
          <w:color w:val="00000A"/>
          <w:lang w:val="en-GB"/>
        </w:rPr>
        <w:t>OTCR</w:t>
      </w:r>
      <w:r w:rsidR="00E627DA" w:rsidRPr="00910045">
        <w:rPr>
          <w:rFonts w:asciiTheme="minorHAnsi" w:eastAsiaTheme="minorHAnsi" w:hAnsiTheme="minorHAnsi" w:cstheme="minorBidi" w:hint="eastAsia"/>
          <w:bCs/>
          <w:color w:val="00000A"/>
          <w:lang w:val="en-GB"/>
        </w:rPr>
        <w:t xml:space="preserve">) for shares listed on </w:t>
      </w:r>
      <w:r w:rsidR="00E627DA">
        <w:rPr>
          <w:rFonts w:asciiTheme="minorHAnsi" w:eastAsiaTheme="minorHAnsi" w:hAnsiTheme="minorHAnsi" w:cstheme="minorBidi" w:hint="eastAsia"/>
          <w:bCs/>
          <w:color w:val="00000A"/>
          <w:lang w:val="en-GB"/>
        </w:rPr>
        <w:t xml:space="preserve">the </w:t>
      </w:r>
      <w:r w:rsidR="00E627DA" w:rsidRPr="001D12A3">
        <w:rPr>
          <w:rFonts w:asciiTheme="minorHAnsi" w:eastAsiaTheme="minorHAnsi" w:hAnsiTheme="minorHAnsi" w:cstheme="minorBidi" w:hint="eastAsia"/>
          <w:color w:val="00000A"/>
          <w:lang w:val="en-GB"/>
        </w:rPr>
        <w:t>HK</w:t>
      </w:r>
      <w:r w:rsidR="004B0094" w:rsidRPr="001D12A3">
        <w:rPr>
          <w:rFonts w:asciiTheme="minorHAnsi" w:eastAsiaTheme="minorHAnsi" w:hAnsiTheme="minorHAnsi" w:cstheme="minorBidi"/>
          <w:color w:val="00000A"/>
          <w:lang w:val="en-GB"/>
        </w:rPr>
        <w:t>EX</w:t>
      </w:r>
      <w:r w:rsidR="009C15B0">
        <w:rPr>
          <w:rFonts w:asciiTheme="minorHAnsi" w:eastAsiaTheme="minorHAnsi" w:hAnsiTheme="minorHAnsi" w:cstheme="minorBidi"/>
          <w:bCs/>
          <w:color w:val="00000A"/>
          <w:lang w:val="en-GB"/>
        </w:rPr>
        <w:t xml:space="preserve"> </w:t>
      </w:r>
      <w:r w:rsidR="00E627DA" w:rsidRPr="00210A1B">
        <w:rPr>
          <w:rFonts w:asciiTheme="minorHAnsi" w:hAnsiTheme="minorHAnsi"/>
          <w:bCs/>
          <w:lang w:val="en-GB"/>
        </w:rPr>
        <w:t xml:space="preserve">in its </w:t>
      </w:r>
      <w:hyperlink r:id="rId11" w:history="1">
        <w:r w:rsidR="00E627DA" w:rsidRPr="00210A1B">
          <w:rPr>
            <w:rStyle w:val="af"/>
            <w:rFonts w:asciiTheme="minorHAnsi" w:hAnsiTheme="minorHAnsi"/>
            <w:bCs/>
            <w:lang w:val="en-GB"/>
          </w:rPr>
          <w:t>consultation conclusions</w:t>
        </w:r>
      </w:hyperlink>
      <w:r w:rsidR="00E627DA" w:rsidRPr="00210A1B">
        <w:rPr>
          <w:rFonts w:asciiTheme="minorHAnsi" w:hAnsiTheme="minorHAnsi"/>
          <w:bCs/>
          <w:lang w:val="en-GB"/>
        </w:rPr>
        <w:t xml:space="preserve"> issued on 10 August 2021. </w:t>
      </w:r>
      <w:r w:rsidR="00E627DA" w:rsidRPr="00210A1B">
        <w:rPr>
          <w:rFonts w:asciiTheme="minorHAnsi" w:eastAsia="Microsoft JhengHei" w:hAnsiTheme="minorHAnsi"/>
          <w:color w:val="262626"/>
          <w:sz w:val="27"/>
          <w:szCs w:val="27"/>
        </w:rPr>
        <w:t> </w:t>
      </w:r>
    </w:p>
    <w:p w14:paraId="68D7E69A" w14:textId="77777777" w:rsidR="00E627DA" w:rsidRDefault="00910045" w:rsidP="00E627DA">
      <w:pPr>
        <w:pStyle w:val="FirstParagraph"/>
        <w:rPr>
          <w:rFonts w:ascii="Times New Roman" w:eastAsia="Times New Roman" w:hAnsi="Times New Roman" w:cs="Times New Roman"/>
          <w:bCs/>
          <w:color w:val="auto"/>
          <w:lang w:val="en-GB"/>
        </w:rPr>
      </w:pPr>
      <w:r w:rsidRPr="00E627DA">
        <w:rPr>
          <w:rFonts w:ascii="Times New Roman" w:eastAsia="Times New Roman" w:hAnsi="Times New Roman" w:cs="Times New Roman" w:hint="eastAsia"/>
          <w:bCs/>
          <w:color w:val="auto"/>
          <w:lang w:val="en-GB"/>
        </w:rPr>
        <w:t>Under the HKIDR, licensed corporati</w:t>
      </w:r>
      <w:r w:rsidR="00E627DA">
        <w:rPr>
          <w:rFonts w:hint="eastAsia"/>
          <w:bCs/>
          <w:lang w:val="en-GB"/>
        </w:rPr>
        <w:t>ons and registered institutions</w:t>
      </w:r>
      <w:r w:rsidRPr="00E627DA">
        <w:rPr>
          <w:rFonts w:ascii="Times New Roman" w:eastAsia="Times New Roman" w:hAnsi="Times New Roman" w:cs="Times New Roman" w:hint="eastAsia"/>
          <w:bCs/>
          <w:color w:val="auto"/>
          <w:lang w:val="en-GB"/>
        </w:rPr>
        <w:t xml:space="preserve"> will </w:t>
      </w:r>
      <w:r w:rsidR="00E627DA">
        <w:rPr>
          <w:bCs/>
          <w:lang w:val="en-GB"/>
        </w:rPr>
        <w:t xml:space="preserve">need </w:t>
      </w:r>
      <w:r w:rsidRPr="00E627DA">
        <w:rPr>
          <w:rFonts w:ascii="Times New Roman" w:eastAsia="Times New Roman" w:hAnsi="Times New Roman" w:cs="Times New Roman" w:hint="eastAsia"/>
          <w:bCs/>
          <w:color w:val="auto"/>
          <w:lang w:val="en-GB"/>
        </w:rPr>
        <w:t>to</w:t>
      </w:r>
    </w:p>
    <w:p w14:paraId="3DB68959" w14:textId="77777777" w:rsidR="00E627DA" w:rsidRDefault="0046647E" w:rsidP="00E627DA">
      <w:pPr>
        <w:pStyle w:val="FirstParagraph"/>
        <w:numPr>
          <w:ilvl w:val="0"/>
          <w:numId w:val="21"/>
        </w:numPr>
        <w:rPr>
          <w:lang w:val="en-GB"/>
        </w:rPr>
      </w:pPr>
      <w:r>
        <w:rPr>
          <w:lang w:val="en-GB"/>
        </w:rPr>
        <w:t>a</w:t>
      </w:r>
      <w:r w:rsidR="00E627DA">
        <w:rPr>
          <w:lang w:val="en-GB"/>
        </w:rPr>
        <w:t xml:space="preserve">ssign </w:t>
      </w:r>
      <w:r w:rsidR="00E627DA" w:rsidRPr="002967E4">
        <w:rPr>
          <w:lang w:val="en-GB"/>
        </w:rPr>
        <w:t>a unique identification code</w:t>
      </w:r>
      <w:r w:rsidR="004B0094">
        <w:rPr>
          <w:lang w:val="en-GB"/>
        </w:rPr>
        <w:t xml:space="preserve"> -</w:t>
      </w:r>
      <w:r w:rsidR="00E627DA" w:rsidRPr="002967E4">
        <w:rPr>
          <w:lang w:val="en-GB"/>
        </w:rPr>
        <w:t xml:space="preserve"> “Broker-to-Client Assigned Number” (</w:t>
      </w:r>
      <w:r w:rsidR="00E627DA" w:rsidRPr="00573733">
        <w:rPr>
          <w:b/>
          <w:bCs/>
          <w:lang w:val="en-GB"/>
        </w:rPr>
        <w:t>BCAN</w:t>
      </w:r>
      <w:r w:rsidR="004B0094">
        <w:rPr>
          <w:lang w:val="en-GB"/>
        </w:rPr>
        <w:t xml:space="preserve">) </w:t>
      </w:r>
      <w:r w:rsidR="00E627DA" w:rsidRPr="002967E4">
        <w:rPr>
          <w:lang w:val="en-GB"/>
        </w:rPr>
        <w:t xml:space="preserve">to </w:t>
      </w:r>
      <w:r w:rsidR="004B0094">
        <w:rPr>
          <w:lang w:val="en-GB"/>
        </w:rPr>
        <w:t xml:space="preserve">clients placing securities orders on the HKEX </w:t>
      </w:r>
      <w:r w:rsidR="004B0094" w:rsidRPr="002967E4">
        <w:rPr>
          <w:lang w:val="en-GB"/>
        </w:rPr>
        <w:t>(</w:t>
      </w:r>
      <w:r w:rsidR="004B0094">
        <w:rPr>
          <w:lang w:val="en-GB"/>
        </w:rPr>
        <w:t xml:space="preserve">other than for </w:t>
      </w:r>
      <w:r w:rsidR="004B0094" w:rsidRPr="002967E4">
        <w:rPr>
          <w:lang w:val="en-GB"/>
        </w:rPr>
        <w:t xml:space="preserve">odd lots traded on </w:t>
      </w:r>
      <w:r w:rsidR="004B0094">
        <w:rPr>
          <w:lang w:val="en-GB"/>
        </w:rPr>
        <w:t xml:space="preserve">the HKEX’s </w:t>
      </w:r>
      <w:r w:rsidR="004B0094" w:rsidRPr="002967E4">
        <w:rPr>
          <w:lang w:val="en-GB"/>
        </w:rPr>
        <w:t>odd lot/special lot market)</w:t>
      </w:r>
      <w:r w:rsidR="004B0094">
        <w:rPr>
          <w:lang w:val="en-GB"/>
        </w:rPr>
        <w:t xml:space="preserve"> or conducting </w:t>
      </w:r>
      <w:r w:rsidR="00E627DA" w:rsidRPr="002967E4">
        <w:rPr>
          <w:lang w:val="en-GB"/>
        </w:rPr>
        <w:t>off-exchange trade</w:t>
      </w:r>
      <w:r w:rsidR="004B0094">
        <w:rPr>
          <w:lang w:val="en-GB"/>
        </w:rPr>
        <w:t>s</w:t>
      </w:r>
      <w:r w:rsidR="00E627DA" w:rsidRPr="002967E4">
        <w:rPr>
          <w:lang w:val="en-GB"/>
        </w:rPr>
        <w:t xml:space="preserve"> reportable to the </w:t>
      </w:r>
      <w:r w:rsidR="00E627DA">
        <w:rPr>
          <w:lang w:val="en-GB"/>
        </w:rPr>
        <w:t>HKE</w:t>
      </w:r>
      <w:r w:rsidR="004B0094">
        <w:rPr>
          <w:lang w:val="en-GB"/>
        </w:rPr>
        <w:t>X</w:t>
      </w:r>
      <w:r w:rsidR="00E627DA" w:rsidRPr="002967E4">
        <w:rPr>
          <w:lang w:val="en-GB"/>
        </w:rPr>
        <w:t xml:space="preserve"> under its rules;</w:t>
      </w:r>
    </w:p>
    <w:p w14:paraId="1EBFFF4A" w14:textId="5449969D" w:rsidR="0046647E" w:rsidRDefault="0046647E" w:rsidP="0046647E">
      <w:pPr>
        <w:pStyle w:val="FirstParagraph"/>
        <w:numPr>
          <w:ilvl w:val="0"/>
          <w:numId w:val="21"/>
        </w:numPr>
        <w:rPr>
          <w:lang w:val="en-GB"/>
        </w:rPr>
      </w:pPr>
      <w:r>
        <w:rPr>
          <w:lang w:val="en-GB"/>
        </w:rPr>
        <w:t xml:space="preserve">submit </w:t>
      </w:r>
      <w:r w:rsidRPr="00910045">
        <w:rPr>
          <w:rFonts w:hint="eastAsia"/>
          <w:bCs/>
          <w:lang w:val="en-GB"/>
        </w:rPr>
        <w:t xml:space="preserve">to </w:t>
      </w:r>
      <w:r w:rsidR="001D12A3" w:rsidRPr="001D12A3">
        <w:rPr>
          <w:rFonts w:hint="eastAsia"/>
          <w:lang w:val="en-GB"/>
        </w:rPr>
        <w:t>HK</w:t>
      </w:r>
      <w:r w:rsidR="001D12A3" w:rsidRPr="001D12A3">
        <w:rPr>
          <w:lang w:val="en-GB"/>
        </w:rPr>
        <w:t>EX</w:t>
      </w:r>
      <w:r w:rsidR="00327632">
        <w:rPr>
          <w:bCs/>
          <w:lang w:val="en-GB"/>
        </w:rPr>
        <w:t>’</w:t>
      </w:r>
      <w:r w:rsidRPr="00910045">
        <w:rPr>
          <w:rFonts w:hint="eastAsia"/>
          <w:bCs/>
          <w:lang w:val="en-GB"/>
        </w:rPr>
        <w:t xml:space="preserve">s data repository </w:t>
      </w:r>
      <w:r>
        <w:rPr>
          <w:lang w:val="en-GB"/>
        </w:rPr>
        <w:t>up-to-date client identification data (</w:t>
      </w:r>
      <w:r>
        <w:rPr>
          <w:b/>
          <w:bCs/>
          <w:lang w:val="en-GB"/>
        </w:rPr>
        <w:t>CID</w:t>
      </w:r>
      <w:r>
        <w:rPr>
          <w:lang w:val="en-GB"/>
        </w:rPr>
        <w:t xml:space="preserve">) </w:t>
      </w:r>
      <w:r w:rsidRPr="00910045">
        <w:rPr>
          <w:rFonts w:hint="eastAsia"/>
          <w:bCs/>
          <w:lang w:val="en-GB"/>
        </w:rPr>
        <w:t>(i</w:t>
      </w:r>
      <w:r>
        <w:rPr>
          <w:bCs/>
          <w:lang w:val="en-GB"/>
        </w:rPr>
        <w:t>.</w:t>
      </w:r>
      <w:r>
        <w:rPr>
          <w:rFonts w:hint="eastAsia"/>
          <w:bCs/>
          <w:lang w:val="en-GB"/>
        </w:rPr>
        <w:t>e.</w:t>
      </w:r>
      <w:r w:rsidRPr="00910045">
        <w:rPr>
          <w:rFonts w:hint="eastAsia"/>
          <w:bCs/>
          <w:lang w:val="en-GB"/>
        </w:rPr>
        <w:t xml:space="preserve"> names and</w:t>
      </w:r>
      <w:r>
        <w:rPr>
          <w:rFonts w:hint="eastAsia"/>
          <w:bCs/>
          <w:lang w:val="en-GB"/>
        </w:rPr>
        <w:t xml:space="preserve"> identity document information)</w:t>
      </w:r>
      <w:r>
        <w:rPr>
          <w:lang w:val="en-GB"/>
        </w:rPr>
        <w:t xml:space="preserve"> along with the client’s BCAN (by putting the BCAN and CID into a “BCAN-CID Mapping File”);</w:t>
      </w:r>
    </w:p>
    <w:p w14:paraId="46B17932" w14:textId="77777777" w:rsidR="0046647E" w:rsidRDefault="0046647E" w:rsidP="0046647E">
      <w:pPr>
        <w:pStyle w:val="FirstParagraph"/>
        <w:numPr>
          <w:ilvl w:val="0"/>
          <w:numId w:val="21"/>
        </w:numPr>
        <w:rPr>
          <w:lang w:val="en-GB"/>
        </w:rPr>
      </w:pPr>
      <w:r>
        <w:rPr>
          <w:lang w:val="en-GB"/>
        </w:rPr>
        <w:t xml:space="preserve">include clients’ BCAN in the order information for each on-exchange and off-exchange order and in the reports of off-exchange trades to the </w:t>
      </w:r>
      <w:r w:rsidR="00210A1B">
        <w:rPr>
          <w:lang w:val="en-GB"/>
        </w:rPr>
        <w:t>HKEX</w:t>
      </w:r>
      <w:r>
        <w:rPr>
          <w:lang w:val="en-GB"/>
        </w:rPr>
        <w:t>, and report any BCAN error of a matched and executed t</w:t>
      </w:r>
      <w:r w:rsidR="00210A1B">
        <w:rPr>
          <w:lang w:val="en-GB"/>
        </w:rPr>
        <w:t>rade as soon as possible to HKEX</w:t>
      </w:r>
      <w:r>
        <w:rPr>
          <w:lang w:val="en-GB"/>
        </w:rPr>
        <w:t xml:space="preserve"> by submitting a prescribed error notification form; and</w:t>
      </w:r>
    </w:p>
    <w:p w14:paraId="21835FAA" w14:textId="77777777" w:rsidR="0046647E" w:rsidRDefault="0046647E" w:rsidP="0046647E">
      <w:pPr>
        <w:pStyle w:val="FirstParagraph"/>
        <w:numPr>
          <w:ilvl w:val="0"/>
          <w:numId w:val="21"/>
        </w:numPr>
        <w:rPr>
          <w:lang w:val="en-GB"/>
        </w:rPr>
      </w:pPr>
      <w:r>
        <w:rPr>
          <w:lang w:val="en-GB"/>
        </w:rPr>
        <w:t>adopt relevant data privacy and security measures to safeguard the data collected, transmitted and stored, and obtain express consent from clients for the collection and handling of their personal data in compliance with data privacy laws.</w:t>
      </w:r>
    </w:p>
    <w:p w14:paraId="47F9B0D5" w14:textId="77777777" w:rsidR="00993177" w:rsidRPr="0046647E" w:rsidRDefault="00ED1BC7" w:rsidP="00210A1B">
      <w:pPr>
        <w:pStyle w:val="1"/>
        <w:shd w:val="clear" w:color="auto" w:fill="FFFFFF"/>
        <w:spacing w:before="0" w:after="150" w:line="360" w:lineRule="atLeast"/>
        <w:jc w:val="both"/>
        <w:textAlignment w:val="baseline"/>
        <w:rPr>
          <w:rFonts w:asciiTheme="minorHAnsi" w:eastAsiaTheme="minorHAnsi" w:hAnsiTheme="minorHAnsi" w:cstheme="minorBidi"/>
          <w:b w:val="0"/>
          <w:bCs w:val="0"/>
          <w:color w:val="00000A"/>
          <w:sz w:val="24"/>
          <w:szCs w:val="24"/>
          <w:lang w:val="en-GB"/>
        </w:rPr>
      </w:pPr>
      <w:r w:rsidRPr="0046647E">
        <w:rPr>
          <w:rFonts w:asciiTheme="minorHAnsi" w:eastAsiaTheme="minorHAnsi" w:hAnsiTheme="minorHAnsi" w:cstheme="minorBidi"/>
          <w:b w:val="0"/>
          <w:bCs w:val="0"/>
          <w:color w:val="00000A"/>
          <w:sz w:val="24"/>
          <w:szCs w:val="24"/>
          <w:lang w:val="en-GB"/>
        </w:rPr>
        <w:lastRenderedPageBreak/>
        <w:t>For m</w:t>
      </w:r>
      <w:r w:rsidR="00993177" w:rsidRPr="0046647E">
        <w:rPr>
          <w:rFonts w:asciiTheme="minorHAnsi" w:eastAsiaTheme="minorHAnsi" w:hAnsiTheme="minorHAnsi" w:cstheme="minorBidi"/>
          <w:b w:val="0"/>
          <w:bCs w:val="0"/>
          <w:color w:val="00000A"/>
          <w:sz w:val="24"/>
          <w:szCs w:val="24"/>
          <w:lang w:val="en-GB"/>
        </w:rPr>
        <w:t>ore information</w:t>
      </w:r>
      <w:r w:rsidR="00DD7CF8" w:rsidRPr="0046647E">
        <w:rPr>
          <w:rFonts w:asciiTheme="minorHAnsi" w:eastAsiaTheme="minorHAnsi" w:hAnsiTheme="minorHAnsi" w:cstheme="minorBidi"/>
          <w:b w:val="0"/>
          <w:bCs w:val="0"/>
          <w:color w:val="00000A"/>
          <w:sz w:val="24"/>
          <w:szCs w:val="24"/>
          <w:lang w:val="en-GB"/>
        </w:rPr>
        <w:t xml:space="preserve"> about the HKIDR</w:t>
      </w:r>
      <w:r w:rsidRPr="0046647E">
        <w:rPr>
          <w:rFonts w:asciiTheme="minorHAnsi" w:eastAsiaTheme="minorHAnsi" w:hAnsiTheme="minorHAnsi" w:cstheme="minorBidi"/>
          <w:b w:val="0"/>
          <w:bCs w:val="0"/>
          <w:color w:val="00000A"/>
          <w:sz w:val="24"/>
          <w:szCs w:val="24"/>
          <w:lang w:val="en-GB"/>
        </w:rPr>
        <w:t>, please see</w:t>
      </w:r>
      <w:r w:rsidR="00993177" w:rsidRPr="0046647E">
        <w:rPr>
          <w:rFonts w:asciiTheme="minorHAnsi" w:eastAsiaTheme="minorHAnsi" w:hAnsiTheme="minorHAnsi" w:cstheme="minorBidi"/>
          <w:b w:val="0"/>
          <w:bCs w:val="0"/>
          <w:color w:val="00000A"/>
          <w:sz w:val="24"/>
          <w:szCs w:val="24"/>
          <w:lang w:val="en-GB"/>
        </w:rPr>
        <w:t xml:space="preserve"> </w:t>
      </w:r>
      <w:proofErr w:type="spellStart"/>
      <w:r w:rsidR="00993177" w:rsidRPr="0046647E">
        <w:rPr>
          <w:rFonts w:asciiTheme="minorHAnsi" w:eastAsiaTheme="minorHAnsi" w:hAnsiTheme="minorHAnsi" w:cstheme="minorBidi"/>
          <w:b w:val="0"/>
          <w:bCs w:val="0"/>
          <w:color w:val="00000A"/>
          <w:sz w:val="24"/>
          <w:szCs w:val="24"/>
          <w:lang w:val="en-GB"/>
        </w:rPr>
        <w:t>Charltons</w:t>
      </w:r>
      <w:proofErr w:type="spellEnd"/>
      <w:r w:rsidR="0046647E" w:rsidRPr="0046647E">
        <w:rPr>
          <w:rFonts w:asciiTheme="minorHAnsi" w:eastAsiaTheme="minorHAnsi" w:hAnsiTheme="minorHAnsi" w:cstheme="minorBidi"/>
          <w:b w:val="0"/>
          <w:bCs w:val="0"/>
          <w:color w:val="00000A"/>
          <w:sz w:val="24"/>
          <w:szCs w:val="24"/>
          <w:lang w:val="en-GB"/>
        </w:rPr>
        <w:t>’</w:t>
      </w:r>
      <w:r w:rsidR="00993177" w:rsidRPr="0046647E">
        <w:rPr>
          <w:rFonts w:asciiTheme="minorHAnsi" w:eastAsiaTheme="minorHAnsi" w:hAnsiTheme="minorHAnsi" w:cstheme="minorBidi"/>
          <w:b w:val="0"/>
          <w:bCs w:val="0"/>
          <w:color w:val="00000A"/>
          <w:sz w:val="24"/>
          <w:szCs w:val="24"/>
          <w:lang w:val="en-GB"/>
        </w:rPr>
        <w:t xml:space="preserve"> </w:t>
      </w:r>
      <w:r w:rsidRPr="0046647E">
        <w:rPr>
          <w:rFonts w:asciiTheme="minorHAnsi" w:eastAsiaTheme="minorHAnsi" w:hAnsiTheme="minorHAnsi" w:cstheme="minorBidi"/>
          <w:b w:val="0"/>
          <w:bCs w:val="0"/>
          <w:color w:val="00000A"/>
          <w:sz w:val="24"/>
          <w:szCs w:val="24"/>
          <w:lang w:val="en-GB"/>
        </w:rPr>
        <w:t xml:space="preserve">newsletter </w:t>
      </w:r>
      <w:r w:rsidR="0046647E" w:rsidRPr="0046647E">
        <w:rPr>
          <w:rFonts w:asciiTheme="minorHAnsi" w:eastAsiaTheme="minorHAnsi" w:hAnsiTheme="minorHAnsi" w:cstheme="minorBidi"/>
          <w:b w:val="0"/>
          <w:bCs w:val="0"/>
          <w:color w:val="00000A"/>
          <w:sz w:val="24"/>
          <w:szCs w:val="24"/>
          <w:lang w:val="en-GB"/>
        </w:rPr>
        <w:t xml:space="preserve">on the </w:t>
      </w:r>
      <w:r w:rsidR="0046647E">
        <w:rPr>
          <w:rFonts w:asciiTheme="minorHAnsi" w:eastAsiaTheme="minorHAnsi" w:hAnsiTheme="minorHAnsi" w:cstheme="minorBidi"/>
          <w:b w:val="0"/>
          <w:bCs w:val="0"/>
          <w:color w:val="00000A"/>
          <w:sz w:val="24"/>
          <w:szCs w:val="24"/>
          <w:lang w:val="en-GB"/>
        </w:rPr>
        <w:t>conclusion of the SFC’s consultation on proposals to introduce a Hong Kong investor i</w:t>
      </w:r>
      <w:r w:rsidR="0046647E" w:rsidRPr="0046647E">
        <w:rPr>
          <w:rFonts w:asciiTheme="minorHAnsi" w:eastAsiaTheme="minorHAnsi" w:hAnsiTheme="minorHAnsi" w:cstheme="minorBidi"/>
          <w:b w:val="0"/>
          <w:bCs w:val="0"/>
          <w:color w:val="00000A"/>
          <w:sz w:val="24"/>
          <w:szCs w:val="24"/>
          <w:lang w:val="en-GB"/>
        </w:rPr>
        <w:t>dent</w:t>
      </w:r>
      <w:r w:rsidR="0046647E">
        <w:rPr>
          <w:rFonts w:asciiTheme="minorHAnsi" w:eastAsiaTheme="minorHAnsi" w:hAnsiTheme="minorHAnsi" w:cstheme="minorBidi"/>
          <w:b w:val="0"/>
          <w:bCs w:val="0"/>
          <w:color w:val="00000A"/>
          <w:sz w:val="24"/>
          <w:szCs w:val="24"/>
          <w:lang w:val="en-GB"/>
        </w:rPr>
        <w:t>ification regime and OTC securities transactions reporting r</w:t>
      </w:r>
      <w:r w:rsidR="0046647E" w:rsidRPr="0046647E">
        <w:rPr>
          <w:rFonts w:asciiTheme="minorHAnsi" w:eastAsiaTheme="minorHAnsi" w:hAnsiTheme="minorHAnsi" w:cstheme="minorBidi"/>
          <w:b w:val="0"/>
          <w:bCs w:val="0"/>
          <w:color w:val="00000A"/>
          <w:sz w:val="24"/>
          <w:szCs w:val="24"/>
          <w:lang w:val="en-GB"/>
        </w:rPr>
        <w:t>egime</w:t>
      </w:r>
      <w:r w:rsidR="0046647E">
        <w:rPr>
          <w:rFonts w:asciiTheme="minorHAnsi" w:eastAsiaTheme="minorHAnsi" w:hAnsiTheme="minorHAnsi" w:cstheme="minorBidi"/>
          <w:b w:val="0"/>
          <w:bCs w:val="0"/>
          <w:color w:val="00000A"/>
          <w:sz w:val="24"/>
          <w:szCs w:val="24"/>
          <w:lang w:val="en-GB"/>
        </w:rPr>
        <w:t xml:space="preserve">, </w:t>
      </w:r>
      <w:r w:rsidRPr="0046647E">
        <w:rPr>
          <w:rFonts w:asciiTheme="minorHAnsi" w:eastAsiaTheme="minorHAnsi" w:hAnsiTheme="minorHAnsi" w:cstheme="minorBidi"/>
          <w:b w:val="0"/>
          <w:bCs w:val="0"/>
          <w:color w:val="00000A"/>
          <w:sz w:val="24"/>
          <w:szCs w:val="24"/>
          <w:lang w:val="en-GB"/>
        </w:rPr>
        <w:t>which is available</w:t>
      </w:r>
      <w:r w:rsidR="00993177" w:rsidRPr="0046647E">
        <w:rPr>
          <w:rFonts w:asciiTheme="minorHAnsi" w:eastAsiaTheme="minorHAnsi" w:hAnsiTheme="minorHAnsi" w:cstheme="minorBidi"/>
          <w:b w:val="0"/>
          <w:bCs w:val="0"/>
          <w:color w:val="00000A"/>
          <w:sz w:val="24"/>
          <w:szCs w:val="24"/>
          <w:lang w:val="en-GB"/>
        </w:rPr>
        <w:t xml:space="preserve"> </w:t>
      </w:r>
      <w:hyperlink r:id="rId12" w:history="1">
        <w:r w:rsidR="00993177" w:rsidRPr="0046647E">
          <w:rPr>
            <w:rFonts w:asciiTheme="minorHAnsi" w:eastAsiaTheme="minorHAnsi" w:hAnsiTheme="minorHAnsi" w:cstheme="minorBidi"/>
            <w:b w:val="0"/>
            <w:bCs w:val="0"/>
            <w:i/>
            <w:color w:val="FF0000"/>
            <w:sz w:val="24"/>
            <w:szCs w:val="24"/>
          </w:rPr>
          <w:t>here</w:t>
        </w:r>
      </w:hyperlink>
      <w:r w:rsidR="00993177" w:rsidRPr="0046647E">
        <w:rPr>
          <w:rFonts w:asciiTheme="minorHAnsi" w:eastAsiaTheme="minorHAnsi" w:hAnsiTheme="minorHAnsi" w:cstheme="minorBidi"/>
          <w:b w:val="0"/>
          <w:bCs w:val="0"/>
          <w:color w:val="00000A"/>
          <w:sz w:val="24"/>
          <w:szCs w:val="24"/>
          <w:lang w:val="en-GB"/>
        </w:rPr>
        <w:t>.</w:t>
      </w:r>
    </w:p>
    <w:p w14:paraId="5101BE6F" w14:textId="77777777" w:rsidR="00806FC1" w:rsidRPr="0046647E" w:rsidRDefault="001648B5" w:rsidP="00113156">
      <w:pPr>
        <w:pStyle w:val="FirstParagraph"/>
        <w:rPr>
          <w:color w:val="FF0000"/>
          <w:lang w:val="en-GB"/>
        </w:rPr>
      </w:pPr>
      <w:r w:rsidRPr="0046647E">
        <w:rPr>
          <w:b/>
          <w:bCs/>
          <w:color w:val="FF0000"/>
          <w:lang w:val="en-GB"/>
        </w:rPr>
        <w:t>HKIDR End-To-End Test</w:t>
      </w:r>
    </w:p>
    <w:p w14:paraId="28982BF5" w14:textId="1E898F7F" w:rsidR="00341C27" w:rsidRDefault="005A5C72" w:rsidP="00113156">
      <w:pPr>
        <w:pStyle w:val="FirstParagraph"/>
        <w:rPr>
          <w:color w:val="auto"/>
        </w:rPr>
      </w:pPr>
      <w:r w:rsidRPr="005A5C72">
        <w:rPr>
          <w:color w:val="auto"/>
        </w:rPr>
        <w:t>The HKEX published three documents to help SFC-licensed corporations and registered institutions subject to the HKIDR</w:t>
      </w:r>
      <w:r>
        <w:rPr>
          <w:rStyle w:val="af3"/>
          <w:color w:val="auto"/>
        </w:rPr>
        <w:footnoteReference w:id="1"/>
      </w:r>
      <w:r w:rsidRPr="005A5C72">
        <w:rPr>
          <w:color w:val="auto"/>
        </w:rPr>
        <w:t xml:space="preserve"> to prepare for the mandatory E2E Test. </w:t>
      </w:r>
      <w:r w:rsidR="00341C27" w:rsidRPr="00341C27">
        <w:rPr>
          <w:color w:val="auto"/>
        </w:rPr>
        <w:t xml:space="preserve">The E2E Test Package for Exchange Participants (the download procedure for which is available </w:t>
      </w:r>
      <w:hyperlink r:id="rId13" w:history="1">
        <w:r w:rsidR="00341C27" w:rsidRPr="00341C27">
          <w:rPr>
            <w:rStyle w:val="af"/>
          </w:rPr>
          <w:t>here</w:t>
        </w:r>
      </w:hyperlink>
      <w:r w:rsidR="00341C27" w:rsidRPr="00341C27">
        <w:rPr>
          <w:color w:val="auto"/>
        </w:rPr>
        <w:t>), contains the testing guidelines, details of two new features of HKEX’s Orion Central gateway – Securities Market that will be implemented with the HKIDR, and other relevant information. A separate E2E Test Package has been prepared for intermediaries which are not</w:t>
      </w:r>
      <w:r w:rsidR="00D00094" w:rsidRPr="00D00094">
        <w:rPr>
          <w:color w:val="auto"/>
        </w:rPr>
        <w:t xml:space="preserve"> </w:t>
      </w:r>
      <w:r w:rsidR="00341C27" w:rsidRPr="00341C27">
        <w:rPr>
          <w:color w:val="auto"/>
        </w:rPr>
        <w:t xml:space="preserve">Exchange Participants containing the testing guidelines and relevant information and is available at the </w:t>
      </w:r>
      <w:hyperlink r:id="rId14" w:history="1">
        <w:r w:rsidR="00341C27" w:rsidRPr="00341C27">
          <w:rPr>
            <w:rStyle w:val="af"/>
          </w:rPr>
          <w:t>HKIDR web corner.</w:t>
        </w:r>
      </w:hyperlink>
      <w:r w:rsidR="00341C27" w:rsidRPr="00341C27">
        <w:rPr>
          <w:color w:val="auto"/>
        </w:rPr>
        <w:t xml:space="preserve"> The </w:t>
      </w:r>
      <w:hyperlink r:id="rId15" w:history="1">
        <w:r w:rsidR="00341C27" w:rsidRPr="00101E76">
          <w:rPr>
            <w:rStyle w:val="af"/>
          </w:rPr>
          <w:t>HKIDR File Transfer Connectivity Guide</w:t>
        </w:r>
      </w:hyperlink>
      <w:r w:rsidR="00341C27" w:rsidRPr="00341C27">
        <w:rPr>
          <w:color w:val="auto"/>
        </w:rPr>
        <w:t xml:space="preserve"> is a technical guide for HKIDR interface files exchange through the HKEX’s electronic communication platform covering both the platform’s web interface and the platform’s interface.</w:t>
      </w:r>
    </w:p>
    <w:p w14:paraId="7B930E64" w14:textId="6A465E2F" w:rsidR="001648B5" w:rsidRDefault="0008539F" w:rsidP="00113156">
      <w:pPr>
        <w:pStyle w:val="FirstParagraph"/>
        <w:rPr>
          <w:lang w:val="en-GB"/>
        </w:rPr>
      </w:pPr>
      <w:r>
        <w:rPr>
          <w:lang w:val="en-GB"/>
        </w:rPr>
        <w:t xml:space="preserve">The exact test period </w:t>
      </w:r>
      <w:r w:rsidR="008757E8">
        <w:rPr>
          <w:lang w:val="en-GB"/>
        </w:rPr>
        <w:t>f</w:t>
      </w:r>
      <w:r>
        <w:rPr>
          <w:lang w:val="en-GB"/>
        </w:rPr>
        <w:t>or</w:t>
      </w:r>
      <w:r w:rsidR="008757E8">
        <w:rPr>
          <w:lang w:val="en-GB"/>
        </w:rPr>
        <w:t xml:space="preserve"> the E2E Test</w:t>
      </w:r>
      <w:r w:rsidR="000D2AAC">
        <w:rPr>
          <w:lang w:val="en-GB"/>
        </w:rPr>
        <w:t xml:space="preserve"> </w:t>
      </w:r>
      <w:r w:rsidR="00C46FFB">
        <w:rPr>
          <w:lang w:val="en-GB"/>
        </w:rPr>
        <w:t>will be announced in mid-April 2022</w:t>
      </w:r>
      <w:r w:rsidR="000D2AAC">
        <w:rPr>
          <w:lang w:val="en-GB"/>
        </w:rPr>
        <w:t xml:space="preserve">. Responsible Officers of relevant licensed corporations and Executive Officers of relevant registered institutions </w:t>
      </w:r>
      <w:r>
        <w:rPr>
          <w:lang w:val="en-GB"/>
        </w:rPr>
        <w:t xml:space="preserve">will need to </w:t>
      </w:r>
      <w:r w:rsidR="000D2AAC">
        <w:rPr>
          <w:lang w:val="en-GB"/>
        </w:rPr>
        <w:t>apply for a test account via the SFC’s WINGS platform</w:t>
      </w:r>
      <w:r w:rsidR="00DA5A94">
        <w:rPr>
          <w:lang w:val="en-GB"/>
        </w:rPr>
        <w:t xml:space="preserve"> in order to participate in the mandatory E2E Test for submitting the BCAN-CID Mapping </w:t>
      </w:r>
      <w:r w:rsidR="00210A1B">
        <w:rPr>
          <w:lang w:val="en-GB"/>
        </w:rPr>
        <w:t>File and Reporting Forms to HKEX</w:t>
      </w:r>
      <w:r w:rsidR="00DA5A94">
        <w:rPr>
          <w:lang w:val="en-GB"/>
        </w:rPr>
        <w:t xml:space="preserve">’s data repository. Details for this will also be announced in mid-April 2022. </w:t>
      </w:r>
    </w:p>
    <w:p w14:paraId="539C0EA2" w14:textId="77777777" w:rsidR="00DA5A94" w:rsidRDefault="0008539F" w:rsidP="00113156">
      <w:pPr>
        <w:pStyle w:val="FirstParagraph"/>
        <w:rPr>
          <w:lang w:val="en-GB"/>
        </w:rPr>
      </w:pPr>
      <w:r>
        <w:rPr>
          <w:lang w:val="en-GB"/>
        </w:rPr>
        <w:t>T</w:t>
      </w:r>
      <w:r w:rsidR="00210A1B">
        <w:rPr>
          <w:lang w:val="en-GB"/>
        </w:rPr>
        <w:t>he HKEX</w:t>
      </w:r>
      <w:r>
        <w:rPr>
          <w:lang w:val="en-GB"/>
        </w:rPr>
        <w:t xml:space="preserve"> will publish f</w:t>
      </w:r>
      <w:r w:rsidR="00C73F00">
        <w:rPr>
          <w:lang w:val="en-GB"/>
        </w:rPr>
        <w:t xml:space="preserve">ive templates of the Reporting Forms in mid-April 2022 to facilitate </w:t>
      </w:r>
      <w:r w:rsidR="00640382">
        <w:rPr>
          <w:lang w:val="en-GB"/>
        </w:rPr>
        <w:t xml:space="preserve">the E2E Test. </w:t>
      </w:r>
      <w:r>
        <w:rPr>
          <w:lang w:val="en-GB"/>
        </w:rPr>
        <w:t>A</w:t>
      </w:r>
      <w:r w:rsidR="0042770F">
        <w:rPr>
          <w:lang w:val="en-GB"/>
        </w:rPr>
        <w:t xml:space="preserve"> template for</w:t>
      </w:r>
      <w:r>
        <w:rPr>
          <w:lang w:val="en-GB"/>
        </w:rPr>
        <w:t xml:space="preserve"> the BCAN-CID Mapping File will</w:t>
      </w:r>
      <w:r w:rsidR="0042770F">
        <w:rPr>
          <w:lang w:val="en-GB"/>
        </w:rPr>
        <w:t xml:space="preserve"> not be provided </w:t>
      </w:r>
      <w:r>
        <w:rPr>
          <w:lang w:val="en-GB"/>
        </w:rPr>
        <w:t xml:space="preserve">and intermediaries </w:t>
      </w:r>
      <w:r w:rsidR="0042770F">
        <w:rPr>
          <w:lang w:val="en-GB"/>
        </w:rPr>
        <w:t>shoul</w:t>
      </w:r>
      <w:r w:rsidR="00210A1B">
        <w:rPr>
          <w:lang w:val="en-GB"/>
        </w:rPr>
        <w:t>d refer to Section 2 of the HKEX</w:t>
      </w:r>
      <w:r w:rsidR="0042770F">
        <w:rPr>
          <w:lang w:val="en-GB"/>
        </w:rPr>
        <w:t xml:space="preserve">’s File Interface Specifications when preparing the BCAN-CID Mapping File. </w:t>
      </w:r>
    </w:p>
    <w:p w14:paraId="24EA43E1" w14:textId="4796D297" w:rsidR="000360E2" w:rsidRDefault="000360E2" w:rsidP="00113156">
      <w:pPr>
        <w:pStyle w:val="FirstParagraph"/>
        <w:rPr>
          <w:lang w:val="en-GB"/>
        </w:rPr>
      </w:pPr>
      <w:r>
        <w:rPr>
          <w:lang w:val="en-GB"/>
        </w:rPr>
        <w:t xml:space="preserve">During the E2E Test, </w:t>
      </w:r>
      <w:r w:rsidR="0008539F">
        <w:rPr>
          <w:lang w:val="en-GB"/>
        </w:rPr>
        <w:t>i</w:t>
      </w:r>
      <w:r>
        <w:rPr>
          <w:lang w:val="en-GB"/>
        </w:rPr>
        <w:t xml:space="preserve">ntermediaries can submit the BCAN-CID Mapping </w:t>
      </w:r>
      <w:r w:rsidR="00210A1B">
        <w:rPr>
          <w:lang w:val="en-GB"/>
        </w:rPr>
        <w:t>File and Reporting Forms to HKEX</w:t>
      </w:r>
      <w:r>
        <w:rPr>
          <w:lang w:val="en-GB"/>
        </w:rPr>
        <w:t xml:space="preserve">’s </w:t>
      </w:r>
      <w:r w:rsidR="00210A1B">
        <w:rPr>
          <w:lang w:val="en-GB"/>
        </w:rPr>
        <w:t>data repository via the HKEX</w:t>
      </w:r>
      <w:r w:rsidR="00FC3641">
        <w:rPr>
          <w:lang w:val="en-GB"/>
        </w:rPr>
        <w:t xml:space="preserve">’s Electronic Communication Platform web interface and/or the Electronic Communication Platform </w:t>
      </w:r>
      <w:r w:rsidR="008C4BCB">
        <w:rPr>
          <w:lang w:val="en-GB"/>
        </w:rPr>
        <w:t xml:space="preserve">SFTP (Secure file transfer protocol) interface. </w:t>
      </w:r>
      <w:r w:rsidR="00E21BDB">
        <w:rPr>
          <w:lang w:val="en-GB"/>
        </w:rPr>
        <w:t>Non-</w:t>
      </w:r>
      <w:r w:rsidR="00DB587A">
        <w:rPr>
          <w:lang w:val="en-GB"/>
        </w:rPr>
        <w:t>E</w:t>
      </w:r>
      <w:r w:rsidR="00E21BDB">
        <w:rPr>
          <w:lang w:val="en-GB"/>
        </w:rPr>
        <w:t xml:space="preserve">xchange Participant </w:t>
      </w:r>
      <w:r w:rsidR="0008539F">
        <w:rPr>
          <w:lang w:val="en-GB"/>
        </w:rPr>
        <w:t>i</w:t>
      </w:r>
      <w:r w:rsidR="00701B33">
        <w:rPr>
          <w:lang w:val="en-GB"/>
        </w:rPr>
        <w:t xml:space="preserve">ntermediaries who intend to </w:t>
      </w:r>
      <w:r w:rsidR="00E7197B">
        <w:rPr>
          <w:lang w:val="en-GB"/>
        </w:rPr>
        <w:t>leverage on the Electronic Communication Platform (SFT</w:t>
      </w:r>
      <w:r w:rsidR="00210A1B">
        <w:rPr>
          <w:lang w:val="en-GB"/>
        </w:rPr>
        <w:t>P) interface should install HKEX</w:t>
      </w:r>
      <w:r w:rsidR="00E7197B">
        <w:rPr>
          <w:lang w:val="en-GB"/>
        </w:rPr>
        <w:t>’s Securities and Derivatives Network (</w:t>
      </w:r>
      <w:proofErr w:type="spellStart"/>
      <w:r w:rsidR="00E7197B">
        <w:rPr>
          <w:lang w:val="en-GB"/>
        </w:rPr>
        <w:t>SDNet</w:t>
      </w:r>
      <w:proofErr w:type="spellEnd"/>
      <w:r w:rsidR="00E7197B">
        <w:rPr>
          <w:lang w:val="en-GB"/>
        </w:rPr>
        <w:t xml:space="preserve">/2) testing line before the start of the E2E Test. </w:t>
      </w:r>
    </w:p>
    <w:p w14:paraId="7D0BE23E" w14:textId="77777777" w:rsidR="001D12A3" w:rsidRPr="00A41F57" w:rsidRDefault="001D12A3" w:rsidP="001D12A3">
      <w:pPr>
        <w:pStyle w:val="DisclaimerBold"/>
        <w:rPr>
          <w:rFonts w:ascii="Helvetica" w:hAnsi="Helvetica"/>
        </w:rPr>
      </w:pPr>
      <w:r w:rsidRPr="00F05494">
        <w:rPr>
          <w:rFonts w:ascii="Helvetica" w:hAnsi="Helvetica"/>
        </w:rPr>
        <w:t>This newsletter is for information purposes only.</w:t>
      </w:r>
    </w:p>
    <w:p w14:paraId="4BF36181" w14:textId="77777777" w:rsidR="001D12A3" w:rsidRPr="00F05494" w:rsidRDefault="001D12A3" w:rsidP="001D12A3">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52F06ACD" w14:textId="77777777" w:rsidR="001D12A3" w:rsidRPr="00F05494" w:rsidRDefault="001D12A3" w:rsidP="001D12A3">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6C3E2B9D" w14:textId="77777777" w:rsidR="001D12A3" w:rsidRPr="00F05494" w:rsidRDefault="001D12A3" w:rsidP="001D12A3">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14:paraId="281C0A84" w14:textId="77777777" w:rsidR="001D12A3" w:rsidRPr="00F05494" w:rsidRDefault="001D12A3" w:rsidP="001D12A3">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6">
        <w:r w:rsidRPr="00F05494">
          <w:rPr>
            <w:rFonts w:ascii="Helvetica" w:hAnsi="Helvetica"/>
          </w:rPr>
          <w:t>unsubscribe@charltonslaw.com</w:t>
        </w:r>
      </w:hyperlink>
    </w:p>
    <w:p w14:paraId="56CC33C2" w14:textId="77777777" w:rsidR="001D12A3" w:rsidRPr="002530D7" w:rsidRDefault="001D12A3" w:rsidP="001D12A3">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2</w:t>
      </w:r>
      <w:r w:rsidRPr="006151E8">
        <w:rPr>
          <w:rFonts w:ascii="Helvetica" w:hAnsi="Helvetica"/>
        </w:rPr>
        <w:t>8</w:t>
      </w:r>
      <w:r w:rsidRPr="00F05494">
        <w:rPr>
          <w:rFonts w:ascii="Helvetica" w:hAnsi="Helvetica"/>
        </w:rPr>
        <w:t xml:space="preserve"> </w:t>
      </w:r>
      <w:r>
        <w:rPr>
          <w:rFonts w:ascii="Helvetica" w:hAnsi="Helvetica"/>
        </w:rPr>
        <w:t>April</w:t>
      </w:r>
      <w:r w:rsidRPr="00F05494">
        <w:rPr>
          <w:rFonts w:ascii="Helvetica" w:hAnsi="Helvetica"/>
        </w:rPr>
        <w:t xml:space="preserve"> 202</w:t>
      </w:r>
      <w:r>
        <w:rPr>
          <w:rFonts w:ascii="Helvetica" w:hAnsi="Helvetica"/>
        </w:rPr>
        <w:t>2</w:t>
      </w:r>
    </w:p>
    <w:p w14:paraId="1F8CF125" w14:textId="049FC4B2" w:rsidR="001D12A3" w:rsidRPr="001D12A3" w:rsidRDefault="001D12A3" w:rsidP="00113156">
      <w:pPr>
        <w:pStyle w:val="FirstParagraph"/>
      </w:pPr>
    </w:p>
    <w:sectPr w:rsidR="001D12A3" w:rsidRPr="001D12A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9DAFD" w14:textId="77777777" w:rsidR="00216A41" w:rsidRDefault="00216A41">
      <w:pPr>
        <w:spacing w:after="0"/>
      </w:pPr>
      <w:r>
        <w:separator/>
      </w:r>
    </w:p>
  </w:endnote>
  <w:endnote w:type="continuationSeparator" w:id="0">
    <w:p w14:paraId="0476B9A5" w14:textId="77777777" w:rsidR="00216A41" w:rsidRDefault="00216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781BE" w14:textId="77777777" w:rsidR="00216A41" w:rsidRDefault="00216A41">
      <w:r>
        <w:separator/>
      </w:r>
    </w:p>
  </w:footnote>
  <w:footnote w:type="continuationSeparator" w:id="0">
    <w:p w14:paraId="358AD238" w14:textId="77777777" w:rsidR="00216A41" w:rsidRDefault="00216A41">
      <w:r>
        <w:continuationSeparator/>
      </w:r>
    </w:p>
  </w:footnote>
  <w:footnote w:id="1">
    <w:p w14:paraId="060BF8C2" w14:textId="41E7D910" w:rsidR="005A5C72" w:rsidRDefault="005A5C72">
      <w:pPr>
        <w:pStyle w:val="ad"/>
      </w:pPr>
      <w:r w:rsidRPr="005A5C72">
        <w:rPr>
          <w:rStyle w:val="af3"/>
          <w:sz w:val="20"/>
          <w:szCs w:val="20"/>
        </w:rPr>
        <w:footnoteRef/>
      </w:r>
      <w:r>
        <w:t xml:space="preserve"> </w:t>
      </w:r>
      <w:r w:rsidRPr="00CF0D9C">
        <w:rPr>
          <w:sz w:val="16"/>
          <w:szCs w:val="16"/>
        </w:rPr>
        <w:t xml:space="preserve">Specifically, SFC-licensed corporations and registered institutions subject to the HKIDR pursuant to the </w:t>
      </w:r>
      <w:hyperlink r:id="rId1" w:history="1">
        <w:r w:rsidRPr="00CF0D9C">
          <w:rPr>
            <w:rStyle w:val="af"/>
            <w:sz w:val="16"/>
            <w:szCs w:val="16"/>
          </w:rPr>
          <w:t>proposed paragraph 5.6</w:t>
        </w:r>
      </w:hyperlink>
      <w:r w:rsidRPr="00CF0D9C">
        <w:rPr>
          <w:sz w:val="16"/>
          <w:szCs w:val="16"/>
        </w:rPr>
        <w:t xml:space="preserve"> of the SFC’s Code of Conduct for Persons Licensed by or Registered with the SFC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CBBDEE"/>
    <w:multiLevelType w:val="multilevel"/>
    <w:tmpl w:val="33D289E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EA454B4C"/>
    <w:multiLevelType w:val="multilevel"/>
    <w:tmpl w:val="15E449F6"/>
    <w:lvl w:ilvl="0">
      <w:start w:val="1"/>
      <w:numFmt w:val="lowerRoman"/>
      <w:lvlText w:val="(%1)"/>
      <w:lvlJc w:val="left"/>
      <w:pPr>
        <w:tabs>
          <w:tab w:val="num" w:pos="0"/>
        </w:tabs>
        <w:ind w:left="480" w:hanging="480"/>
      </w:pPr>
      <w:rPr>
        <w:rFonts w:hint="default"/>
      </w:r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 w15:restartNumberingAfterBreak="0">
    <w:nsid w:val="170CD2DE"/>
    <w:multiLevelType w:val="multilevel"/>
    <w:tmpl w:val="F4F283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7DD26DD"/>
    <w:multiLevelType w:val="hybridMultilevel"/>
    <w:tmpl w:val="590EF05A"/>
    <w:lvl w:ilvl="0" w:tplc="98101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20940"/>
    <w:multiLevelType w:val="hybridMultilevel"/>
    <w:tmpl w:val="185E5306"/>
    <w:lvl w:ilvl="0" w:tplc="95BA7BB2">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C151F"/>
    <w:multiLevelType w:val="hybridMultilevel"/>
    <w:tmpl w:val="211A5690"/>
    <w:lvl w:ilvl="0" w:tplc="F5847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AE401"/>
    <w:multiLevelType w:val="multilevel"/>
    <w:tmpl w:val="2206C4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3E672644"/>
    <w:multiLevelType w:val="hybridMultilevel"/>
    <w:tmpl w:val="DA128C76"/>
    <w:lvl w:ilvl="0" w:tplc="878EDFA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24BA0"/>
    <w:multiLevelType w:val="hybridMultilevel"/>
    <w:tmpl w:val="B742DD98"/>
    <w:lvl w:ilvl="0" w:tplc="D8BC3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61BAD"/>
    <w:multiLevelType w:val="multilevel"/>
    <w:tmpl w:val="2A80ED42"/>
    <w:lvl w:ilvl="0">
      <w:start w:val="1"/>
      <w:numFmt w:val="lowerRoman"/>
      <w:lvlText w:val="(%1)"/>
      <w:lvlJc w:val="left"/>
      <w:pPr>
        <w:tabs>
          <w:tab w:val="num" w:pos="0"/>
        </w:tabs>
        <w:ind w:left="480" w:hanging="480"/>
      </w:pPr>
      <w:rPr>
        <w:rFonts w:hint="default"/>
      </w:r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0" w15:restartNumberingAfterBreak="0">
    <w:nsid w:val="497842A4"/>
    <w:multiLevelType w:val="hybridMultilevel"/>
    <w:tmpl w:val="188E57A0"/>
    <w:lvl w:ilvl="0" w:tplc="95BA7BB2">
      <w:start w:val="1"/>
      <w:numFmt w:val="bullet"/>
      <w:lvlText w:val="•"/>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493F2E"/>
    <w:multiLevelType w:val="hybridMultilevel"/>
    <w:tmpl w:val="35C67C54"/>
    <w:lvl w:ilvl="0" w:tplc="707823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01E2A"/>
    <w:multiLevelType w:val="hybridMultilevel"/>
    <w:tmpl w:val="C1989F6C"/>
    <w:lvl w:ilvl="0" w:tplc="7CDECF6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6E75D3"/>
    <w:multiLevelType w:val="multilevel"/>
    <w:tmpl w:val="0B4CC13E"/>
    <w:lvl w:ilvl="0">
      <w:start w:val="1"/>
      <w:numFmt w:val="lowerRoman"/>
      <w:lvlText w:val="%1i."/>
      <w:lvlJc w:val="left"/>
      <w:pPr>
        <w:tabs>
          <w:tab w:val="num" w:pos="0"/>
        </w:tabs>
        <w:ind w:left="480" w:hanging="480"/>
      </w:pPr>
      <w:rPr>
        <w:rFonts w:hint="eastAsia"/>
      </w:rPr>
    </w:lvl>
    <w:lvl w:ilvl="1">
      <w:start w:val="1"/>
      <w:numFmt w:val="lowerRoman"/>
      <w:lvlText w:val="%2."/>
      <w:lvlJc w:val="left"/>
      <w:pPr>
        <w:tabs>
          <w:tab w:val="num" w:pos="720"/>
        </w:tabs>
        <w:ind w:left="1200" w:hanging="480"/>
      </w:pPr>
      <w:rPr>
        <w:rFonts w:hint="default"/>
      </w:rPr>
    </w:lvl>
    <w:lvl w:ilvl="2">
      <w:start w:val="1"/>
      <w:numFmt w:val="lowerRoman"/>
      <w:lvlText w:val="%3."/>
      <w:lvlJc w:val="left"/>
      <w:pPr>
        <w:tabs>
          <w:tab w:val="num" w:pos="1440"/>
        </w:tabs>
        <w:ind w:left="1920" w:hanging="480"/>
      </w:pPr>
      <w:rPr>
        <w:rFonts w:hint="default"/>
      </w:rPr>
    </w:lvl>
    <w:lvl w:ilvl="3">
      <w:start w:val="1"/>
      <w:numFmt w:val="lowerRoman"/>
      <w:lvlText w:val="%4."/>
      <w:lvlJc w:val="left"/>
      <w:pPr>
        <w:tabs>
          <w:tab w:val="num" w:pos="2160"/>
        </w:tabs>
        <w:ind w:left="2640" w:hanging="480"/>
      </w:pPr>
      <w:rPr>
        <w:rFonts w:hint="default"/>
      </w:rPr>
    </w:lvl>
    <w:lvl w:ilvl="4">
      <w:start w:val="1"/>
      <w:numFmt w:val="lowerRoman"/>
      <w:lvlText w:val="%5."/>
      <w:lvlJc w:val="left"/>
      <w:pPr>
        <w:tabs>
          <w:tab w:val="num" w:pos="2880"/>
        </w:tabs>
        <w:ind w:left="3360" w:hanging="480"/>
      </w:pPr>
      <w:rPr>
        <w:rFonts w:hint="default"/>
      </w:rPr>
    </w:lvl>
    <w:lvl w:ilvl="5">
      <w:start w:val="1"/>
      <w:numFmt w:val="lowerRoman"/>
      <w:lvlText w:val="%6."/>
      <w:lvlJc w:val="left"/>
      <w:pPr>
        <w:tabs>
          <w:tab w:val="num" w:pos="3600"/>
        </w:tabs>
        <w:ind w:left="4080" w:hanging="480"/>
      </w:pPr>
      <w:rPr>
        <w:rFonts w:hint="default"/>
      </w:rPr>
    </w:lvl>
    <w:lvl w:ilvl="6">
      <w:start w:val="1"/>
      <w:numFmt w:val="lowerRoman"/>
      <w:lvlText w:val="%7."/>
      <w:lvlJc w:val="left"/>
      <w:pPr>
        <w:tabs>
          <w:tab w:val="num" w:pos="4320"/>
        </w:tabs>
        <w:ind w:left="4800" w:hanging="480"/>
      </w:pPr>
      <w:rPr>
        <w:rFonts w:hint="default"/>
      </w:rPr>
    </w:lvl>
    <w:lvl w:ilvl="7">
      <w:start w:val="1"/>
      <w:numFmt w:val="lowerRoman"/>
      <w:lvlText w:val="%8."/>
      <w:lvlJc w:val="left"/>
      <w:pPr>
        <w:tabs>
          <w:tab w:val="num" w:pos="5040"/>
        </w:tabs>
        <w:ind w:left="5520" w:hanging="480"/>
      </w:pPr>
      <w:rPr>
        <w:rFonts w:hint="default"/>
      </w:rPr>
    </w:lvl>
    <w:lvl w:ilvl="8">
      <w:start w:val="1"/>
      <w:numFmt w:val="lowerRoman"/>
      <w:lvlText w:val="%9."/>
      <w:lvlJc w:val="left"/>
      <w:pPr>
        <w:tabs>
          <w:tab w:val="num" w:pos="5760"/>
        </w:tabs>
        <w:ind w:left="6240" w:hanging="480"/>
      </w:pPr>
      <w:rPr>
        <w:rFonts w:hint="default"/>
      </w:rPr>
    </w:lvl>
  </w:abstractNum>
  <w:abstractNum w:abstractNumId="14" w15:restartNumberingAfterBreak="0">
    <w:nsid w:val="71315DCA"/>
    <w:multiLevelType w:val="multilevel"/>
    <w:tmpl w:val="C694BB8A"/>
    <w:lvl w:ilvl="0">
      <w:start w:val="1"/>
      <w:numFmt w:val="lowerLetter"/>
      <w:lvlText w:val="%1."/>
      <w:lvlJc w:val="left"/>
      <w:pPr>
        <w:tabs>
          <w:tab w:val="num" w:pos="0"/>
        </w:tabs>
        <w:ind w:left="480" w:hanging="480"/>
      </w:pPr>
    </w:lvl>
    <w:lvl w:ilvl="1">
      <w:start w:val="1"/>
      <w:numFmt w:val="bullet"/>
      <w:lvlText w:val="•"/>
      <w:lvlJc w:val="left"/>
      <w:pPr>
        <w:tabs>
          <w:tab w:val="num" w:pos="720"/>
        </w:tabs>
        <w:ind w:left="1200" w:hanging="480"/>
      </w:pPr>
      <w:rPr>
        <w:rFonts w:ascii="Times New Roman" w:hAnsi="Times New Roman" w:cs="Times New Roman" w:hint="default"/>
      </w:r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5" w15:restartNumberingAfterBreak="0">
    <w:nsid w:val="7DCE2517"/>
    <w:multiLevelType w:val="hybridMultilevel"/>
    <w:tmpl w:val="918A0828"/>
    <w:lvl w:ilvl="0" w:tplc="273A3318">
      <w:start w:val="2"/>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9"/>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13"/>
  </w:num>
  <w:num w:numId="13">
    <w:abstractNumId w:val="15"/>
  </w:num>
  <w:num w:numId="14">
    <w:abstractNumId w:val="11"/>
  </w:num>
  <w:num w:numId="15">
    <w:abstractNumId w:val="8"/>
  </w:num>
  <w:num w:numId="16">
    <w:abstractNumId w:val="3"/>
  </w:num>
  <w:num w:numId="17">
    <w:abstractNumId w:val="7"/>
  </w:num>
  <w:num w:numId="18">
    <w:abstractNumId w:val="12"/>
  </w:num>
  <w:num w:numId="19">
    <w:abstractNumId w:val="5"/>
  </w:num>
  <w:num w:numId="20">
    <w:abstractNumId w:val="10"/>
  </w:num>
  <w:num w:numId="21">
    <w:abstractNumId w:val="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2E1D"/>
    <w:rsid w:val="000070D4"/>
    <w:rsid w:val="00011C8B"/>
    <w:rsid w:val="00014429"/>
    <w:rsid w:val="000244FC"/>
    <w:rsid w:val="00026C09"/>
    <w:rsid w:val="000329F5"/>
    <w:rsid w:val="000330F6"/>
    <w:rsid w:val="000360E2"/>
    <w:rsid w:val="000667F5"/>
    <w:rsid w:val="0008539F"/>
    <w:rsid w:val="000941A5"/>
    <w:rsid w:val="000A190C"/>
    <w:rsid w:val="000A62F7"/>
    <w:rsid w:val="000B339B"/>
    <w:rsid w:val="000C38B6"/>
    <w:rsid w:val="000D2AAC"/>
    <w:rsid w:val="000D5F90"/>
    <w:rsid w:val="000E4BDA"/>
    <w:rsid w:val="000F6121"/>
    <w:rsid w:val="000F6F6F"/>
    <w:rsid w:val="00101E76"/>
    <w:rsid w:val="00112755"/>
    <w:rsid w:val="00113156"/>
    <w:rsid w:val="00115464"/>
    <w:rsid w:val="001276E2"/>
    <w:rsid w:val="001321ED"/>
    <w:rsid w:val="0014121F"/>
    <w:rsid w:val="00143D6B"/>
    <w:rsid w:val="00147ABC"/>
    <w:rsid w:val="001648B5"/>
    <w:rsid w:val="00173A19"/>
    <w:rsid w:val="00182F64"/>
    <w:rsid w:val="001835D2"/>
    <w:rsid w:val="001930F9"/>
    <w:rsid w:val="001933C3"/>
    <w:rsid w:val="001A5848"/>
    <w:rsid w:val="001A6794"/>
    <w:rsid w:val="001B5E07"/>
    <w:rsid w:val="001C19CB"/>
    <w:rsid w:val="001C2389"/>
    <w:rsid w:val="001C5122"/>
    <w:rsid w:val="001D12A3"/>
    <w:rsid w:val="001E5BC3"/>
    <w:rsid w:val="001F1CF4"/>
    <w:rsid w:val="00210A1B"/>
    <w:rsid w:val="00216A41"/>
    <w:rsid w:val="002221D0"/>
    <w:rsid w:val="0025092A"/>
    <w:rsid w:val="002560B4"/>
    <w:rsid w:val="00266991"/>
    <w:rsid w:val="00267F20"/>
    <w:rsid w:val="002705DE"/>
    <w:rsid w:val="002967E4"/>
    <w:rsid w:val="002A2689"/>
    <w:rsid w:val="002B0980"/>
    <w:rsid w:val="002B6FD5"/>
    <w:rsid w:val="002C4807"/>
    <w:rsid w:val="002D67AC"/>
    <w:rsid w:val="002E118C"/>
    <w:rsid w:val="00302608"/>
    <w:rsid w:val="00302D46"/>
    <w:rsid w:val="00305401"/>
    <w:rsid w:val="00317323"/>
    <w:rsid w:val="0032494B"/>
    <w:rsid w:val="00327632"/>
    <w:rsid w:val="0033479E"/>
    <w:rsid w:val="00334996"/>
    <w:rsid w:val="00341C27"/>
    <w:rsid w:val="0034245E"/>
    <w:rsid w:val="00345EE1"/>
    <w:rsid w:val="0035570E"/>
    <w:rsid w:val="0035773E"/>
    <w:rsid w:val="00360B4F"/>
    <w:rsid w:val="00390740"/>
    <w:rsid w:val="003A5FDC"/>
    <w:rsid w:val="003B213C"/>
    <w:rsid w:val="003C6782"/>
    <w:rsid w:val="003C6911"/>
    <w:rsid w:val="003E75BD"/>
    <w:rsid w:val="003F5C4B"/>
    <w:rsid w:val="0040010E"/>
    <w:rsid w:val="00415590"/>
    <w:rsid w:val="0042770F"/>
    <w:rsid w:val="00434B92"/>
    <w:rsid w:val="00446989"/>
    <w:rsid w:val="0046647E"/>
    <w:rsid w:val="0047043F"/>
    <w:rsid w:val="00474CDC"/>
    <w:rsid w:val="00482F41"/>
    <w:rsid w:val="004927B9"/>
    <w:rsid w:val="004A5A06"/>
    <w:rsid w:val="004B0094"/>
    <w:rsid w:val="004B4CF7"/>
    <w:rsid w:val="004C354F"/>
    <w:rsid w:val="004E29B3"/>
    <w:rsid w:val="004E5806"/>
    <w:rsid w:val="004F6B86"/>
    <w:rsid w:val="00501447"/>
    <w:rsid w:val="00520CB6"/>
    <w:rsid w:val="00520E0D"/>
    <w:rsid w:val="00522020"/>
    <w:rsid w:val="005325B6"/>
    <w:rsid w:val="00545939"/>
    <w:rsid w:val="00550F36"/>
    <w:rsid w:val="00555B3F"/>
    <w:rsid w:val="00556EE5"/>
    <w:rsid w:val="00557554"/>
    <w:rsid w:val="005629AB"/>
    <w:rsid w:val="00571E3E"/>
    <w:rsid w:val="00573733"/>
    <w:rsid w:val="00586C75"/>
    <w:rsid w:val="00590D07"/>
    <w:rsid w:val="00591A8D"/>
    <w:rsid w:val="0059257D"/>
    <w:rsid w:val="005A5C72"/>
    <w:rsid w:val="005B14A2"/>
    <w:rsid w:val="005B5040"/>
    <w:rsid w:val="005C6D4B"/>
    <w:rsid w:val="005D21B9"/>
    <w:rsid w:val="005E63C1"/>
    <w:rsid w:val="005F73E6"/>
    <w:rsid w:val="00604743"/>
    <w:rsid w:val="00632C29"/>
    <w:rsid w:val="0063667F"/>
    <w:rsid w:val="00640382"/>
    <w:rsid w:val="00642EA6"/>
    <w:rsid w:val="00644689"/>
    <w:rsid w:val="00655CE7"/>
    <w:rsid w:val="00660683"/>
    <w:rsid w:val="00661AA7"/>
    <w:rsid w:val="00665BD0"/>
    <w:rsid w:val="00677113"/>
    <w:rsid w:val="00683AA4"/>
    <w:rsid w:val="00686510"/>
    <w:rsid w:val="00693D00"/>
    <w:rsid w:val="006A046E"/>
    <w:rsid w:val="006C0861"/>
    <w:rsid w:val="006C0D59"/>
    <w:rsid w:val="006C61CF"/>
    <w:rsid w:val="006D349D"/>
    <w:rsid w:val="006E06EA"/>
    <w:rsid w:val="006E6D08"/>
    <w:rsid w:val="006F6ABC"/>
    <w:rsid w:val="006F6BF3"/>
    <w:rsid w:val="006F7CEB"/>
    <w:rsid w:val="00701B33"/>
    <w:rsid w:val="00704D3B"/>
    <w:rsid w:val="007240A6"/>
    <w:rsid w:val="00743B03"/>
    <w:rsid w:val="00746558"/>
    <w:rsid w:val="00747FFE"/>
    <w:rsid w:val="0075014A"/>
    <w:rsid w:val="0076506A"/>
    <w:rsid w:val="0077687F"/>
    <w:rsid w:val="00782120"/>
    <w:rsid w:val="00784D58"/>
    <w:rsid w:val="00785409"/>
    <w:rsid w:val="007E758E"/>
    <w:rsid w:val="007F2668"/>
    <w:rsid w:val="007F27F3"/>
    <w:rsid w:val="00800DC6"/>
    <w:rsid w:val="00803E8C"/>
    <w:rsid w:val="00806DBE"/>
    <w:rsid w:val="00806FC1"/>
    <w:rsid w:val="00810C65"/>
    <w:rsid w:val="00816785"/>
    <w:rsid w:val="00817544"/>
    <w:rsid w:val="0082051A"/>
    <w:rsid w:val="008205FD"/>
    <w:rsid w:val="00820BF7"/>
    <w:rsid w:val="00823FE9"/>
    <w:rsid w:val="00834C55"/>
    <w:rsid w:val="00842DD0"/>
    <w:rsid w:val="008478EE"/>
    <w:rsid w:val="00850E3E"/>
    <w:rsid w:val="00862D7A"/>
    <w:rsid w:val="008661CF"/>
    <w:rsid w:val="00870FFB"/>
    <w:rsid w:val="008740AB"/>
    <w:rsid w:val="008757E8"/>
    <w:rsid w:val="008B23E6"/>
    <w:rsid w:val="008B7D62"/>
    <w:rsid w:val="008C2F5D"/>
    <w:rsid w:val="008C42A0"/>
    <w:rsid w:val="008C4BCB"/>
    <w:rsid w:val="008D0ACC"/>
    <w:rsid w:val="008D6863"/>
    <w:rsid w:val="008E2E11"/>
    <w:rsid w:val="008E4BF3"/>
    <w:rsid w:val="008F7E03"/>
    <w:rsid w:val="00910045"/>
    <w:rsid w:val="00912EFB"/>
    <w:rsid w:val="00912F44"/>
    <w:rsid w:val="00912FE6"/>
    <w:rsid w:val="009170FC"/>
    <w:rsid w:val="00923D3D"/>
    <w:rsid w:val="009276A0"/>
    <w:rsid w:val="009326D7"/>
    <w:rsid w:val="00952C07"/>
    <w:rsid w:val="00967544"/>
    <w:rsid w:val="00980744"/>
    <w:rsid w:val="00993177"/>
    <w:rsid w:val="009A5D47"/>
    <w:rsid w:val="009B5526"/>
    <w:rsid w:val="009B5F01"/>
    <w:rsid w:val="009B601C"/>
    <w:rsid w:val="009C0629"/>
    <w:rsid w:val="009C15B0"/>
    <w:rsid w:val="009D6AAE"/>
    <w:rsid w:val="009E1863"/>
    <w:rsid w:val="009E4D2D"/>
    <w:rsid w:val="009F53C1"/>
    <w:rsid w:val="009F61B1"/>
    <w:rsid w:val="00A10FFD"/>
    <w:rsid w:val="00A15B63"/>
    <w:rsid w:val="00A160D9"/>
    <w:rsid w:val="00A21E1F"/>
    <w:rsid w:val="00A31089"/>
    <w:rsid w:val="00A36F04"/>
    <w:rsid w:val="00A54E3F"/>
    <w:rsid w:val="00A604F2"/>
    <w:rsid w:val="00A67551"/>
    <w:rsid w:val="00A71C74"/>
    <w:rsid w:val="00A80CD3"/>
    <w:rsid w:val="00A90E8B"/>
    <w:rsid w:val="00AA0F50"/>
    <w:rsid w:val="00AA4A19"/>
    <w:rsid w:val="00AC2D69"/>
    <w:rsid w:val="00AC7018"/>
    <w:rsid w:val="00AC7179"/>
    <w:rsid w:val="00AD332E"/>
    <w:rsid w:val="00AE3D0D"/>
    <w:rsid w:val="00AE4133"/>
    <w:rsid w:val="00AF18A8"/>
    <w:rsid w:val="00AF772E"/>
    <w:rsid w:val="00B00615"/>
    <w:rsid w:val="00B14E68"/>
    <w:rsid w:val="00B47A07"/>
    <w:rsid w:val="00B60C66"/>
    <w:rsid w:val="00B62888"/>
    <w:rsid w:val="00B634F6"/>
    <w:rsid w:val="00B66FC6"/>
    <w:rsid w:val="00B706C0"/>
    <w:rsid w:val="00B75BC7"/>
    <w:rsid w:val="00B86B75"/>
    <w:rsid w:val="00B965E0"/>
    <w:rsid w:val="00B978F2"/>
    <w:rsid w:val="00BA001D"/>
    <w:rsid w:val="00BB0F08"/>
    <w:rsid w:val="00BB36E0"/>
    <w:rsid w:val="00BC48D5"/>
    <w:rsid w:val="00BF1AC6"/>
    <w:rsid w:val="00C10E32"/>
    <w:rsid w:val="00C137CF"/>
    <w:rsid w:val="00C16E28"/>
    <w:rsid w:val="00C17377"/>
    <w:rsid w:val="00C272CE"/>
    <w:rsid w:val="00C276C0"/>
    <w:rsid w:val="00C346E6"/>
    <w:rsid w:val="00C34E80"/>
    <w:rsid w:val="00C36279"/>
    <w:rsid w:val="00C4250A"/>
    <w:rsid w:val="00C44D10"/>
    <w:rsid w:val="00C45247"/>
    <w:rsid w:val="00C46FFB"/>
    <w:rsid w:val="00C47A77"/>
    <w:rsid w:val="00C640EA"/>
    <w:rsid w:val="00C72DB0"/>
    <w:rsid w:val="00C73F00"/>
    <w:rsid w:val="00C8505B"/>
    <w:rsid w:val="00C865D7"/>
    <w:rsid w:val="00C91FA2"/>
    <w:rsid w:val="00C958B1"/>
    <w:rsid w:val="00CA3783"/>
    <w:rsid w:val="00CA6D93"/>
    <w:rsid w:val="00CB246B"/>
    <w:rsid w:val="00CB544C"/>
    <w:rsid w:val="00CD0EDD"/>
    <w:rsid w:val="00CD527D"/>
    <w:rsid w:val="00CE01B4"/>
    <w:rsid w:val="00CE2A3B"/>
    <w:rsid w:val="00CE6473"/>
    <w:rsid w:val="00CF0D9C"/>
    <w:rsid w:val="00CF3879"/>
    <w:rsid w:val="00CF45E5"/>
    <w:rsid w:val="00D00094"/>
    <w:rsid w:val="00D12A1B"/>
    <w:rsid w:val="00D12A8B"/>
    <w:rsid w:val="00D33321"/>
    <w:rsid w:val="00D41096"/>
    <w:rsid w:val="00D42DE1"/>
    <w:rsid w:val="00D50887"/>
    <w:rsid w:val="00D635B9"/>
    <w:rsid w:val="00D63C0B"/>
    <w:rsid w:val="00D6661F"/>
    <w:rsid w:val="00D72003"/>
    <w:rsid w:val="00D95367"/>
    <w:rsid w:val="00DA5A94"/>
    <w:rsid w:val="00DA791A"/>
    <w:rsid w:val="00DB1212"/>
    <w:rsid w:val="00DB587A"/>
    <w:rsid w:val="00DD7CF8"/>
    <w:rsid w:val="00DE036C"/>
    <w:rsid w:val="00DE68B4"/>
    <w:rsid w:val="00DF175E"/>
    <w:rsid w:val="00E0007E"/>
    <w:rsid w:val="00E043F8"/>
    <w:rsid w:val="00E10A6A"/>
    <w:rsid w:val="00E13831"/>
    <w:rsid w:val="00E16EF9"/>
    <w:rsid w:val="00E21BDB"/>
    <w:rsid w:val="00E272FB"/>
    <w:rsid w:val="00E315A3"/>
    <w:rsid w:val="00E432D8"/>
    <w:rsid w:val="00E55845"/>
    <w:rsid w:val="00E627DA"/>
    <w:rsid w:val="00E62C49"/>
    <w:rsid w:val="00E6313D"/>
    <w:rsid w:val="00E7197B"/>
    <w:rsid w:val="00E72BFB"/>
    <w:rsid w:val="00E93457"/>
    <w:rsid w:val="00EA0F77"/>
    <w:rsid w:val="00EA5AB7"/>
    <w:rsid w:val="00EB2D5A"/>
    <w:rsid w:val="00EB4CD2"/>
    <w:rsid w:val="00EC3CEB"/>
    <w:rsid w:val="00ED1BC7"/>
    <w:rsid w:val="00ED4059"/>
    <w:rsid w:val="00EE351D"/>
    <w:rsid w:val="00EE6329"/>
    <w:rsid w:val="00EF5B90"/>
    <w:rsid w:val="00F05CEF"/>
    <w:rsid w:val="00F10607"/>
    <w:rsid w:val="00F21D03"/>
    <w:rsid w:val="00F269DF"/>
    <w:rsid w:val="00F3262C"/>
    <w:rsid w:val="00F35B74"/>
    <w:rsid w:val="00F5256B"/>
    <w:rsid w:val="00F56A1B"/>
    <w:rsid w:val="00F60D21"/>
    <w:rsid w:val="00F61645"/>
    <w:rsid w:val="00F61DEA"/>
    <w:rsid w:val="00F6491A"/>
    <w:rsid w:val="00F72232"/>
    <w:rsid w:val="00F80FFE"/>
    <w:rsid w:val="00F81D93"/>
    <w:rsid w:val="00F848E9"/>
    <w:rsid w:val="00F926E4"/>
    <w:rsid w:val="00FB23C5"/>
    <w:rsid w:val="00FC3641"/>
    <w:rsid w:val="00FC7E36"/>
    <w:rsid w:val="00FD035A"/>
    <w:rsid w:val="00FE6A35"/>
    <w:rsid w:val="00FF1D96"/>
    <w:rsid w:val="00FF4B03"/>
    <w:rsid w:val="00FF69E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6EF3"/>
  <w15:docId w15:val="{6319F03A-0850-4C1F-9C55-BDC26DE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pPr>
    <w:rPr>
      <w:color w:val="00000A"/>
      <w:sz w:val="24"/>
    </w:rPr>
  </w:style>
  <w:style w:type="paragraph" w:styleId="1">
    <w:name w:val="heading 1"/>
    <w:basedOn w:val="a"/>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2">
    <w:name w:val="heading 2"/>
    <w:basedOn w:val="a"/>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3">
    <w:name w:val="heading 3"/>
    <w:basedOn w:val="a"/>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4">
    <w:name w:val="heading 4"/>
    <w:basedOn w:val="a"/>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5">
    <w:name w:val="heading 5"/>
    <w:basedOn w:val="a"/>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6">
    <w:name w:val="heading 6"/>
    <w:basedOn w:val="a"/>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basedOn w:val="a0"/>
    <w:link w:val="a4"/>
    <w:qFormat/>
  </w:style>
  <w:style w:type="character" w:customStyle="1" w:styleId="VerbatimChar">
    <w:name w:val="Verbatim Char"/>
    <w:basedOn w:val="a3"/>
    <w:link w:val="SourceCode"/>
    <w:qFormat/>
    <w:rPr>
      <w:rFonts w:ascii="Consolas" w:hAnsi="Consolas"/>
      <w:sz w:val="22"/>
    </w:rPr>
  </w:style>
  <w:style w:type="character" w:customStyle="1" w:styleId="FootnoteAnchor">
    <w:name w:val="Footnote Anchor"/>
    <w:basedOn w:val="a3"/>
    <w:rPr>
      <w:vertAlign w:val="superscript"/>
    </w:rPr>
  </w:style>
  <w:style w:type="character" w:customStyle="1" w:styleId="InternetLink">
    <w:name w:val="Internet Link"/>
    <w:basedOn w:val="a3"/>
    <w:rPr>
      <w:color w:val="C0143C"/>
    </w:rPr>
  </w:style>
  <w:style w:type="paragraph" w:customStyle="1" w:styleId="Heading">
    <w:name w:val="Heading"/>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link w:val="a6"/>
    <w:qFormat/>
    <w:pPr>
      <w:spacing w:before="180" w:after="180"/>
      <w:jc w:val="both"/>
    </w:pPr>
  </w:style>
  <w:style w:type="paragraph" w:styleId="a7">
    <w:name w:val="List"/>
    <w:basedOn w:val="a5"/>
    <w:rPr>
      <w:rFonts w:cs="Arial Unicode MS"/>
    </w:rPr>
  </w:style>
  <w:style w:type="paragraph" w:styleId="a4">
    <w:name w:val="caption"/>
    <w:basedOn w:val="a"/>
    <w:link w:val="a3"/>
    <w:qFormat/>
    <w:pPr>
      <w:spacing w:after="120"/>
    </w:pPr>
    <w:rPr>
      <w:i/>
    </w:rPr>
  </w:style>
  <w:style w:type="paragraph" w:customStyle="1" w:styleId="Index">
    <w:name w:val="Index"/>
    <w:basedOn w:val="a"/>
    <w:qFormat/>
    <w:pPr>
      <w:suppressLineNumbers/>
    </w:pPr>
    <w:rPr>
      <w:rFonts w:cs="Arial Unicode MS"/>
    </w:rPr>
  </w:style>
  <w:style w:type="paragraph" w:customStyle="1" w:styleId="FirstParagraph">
    <w:name w:val="First Paragraph"/>
    <w:basedOn w:val="a5"/>
    <w:qFormat/>
  </w:style>
  <w:style w:type="paragraph" w:customStyle="1" w:styleId="Compact">
    <w:name w:val="Compact"/>
    <w:basedOn w:val="a5"/>
    <w:qFormat/>
    <w:pPr>
      <w:spacing w:before="36" w:after="36"/>
    </w:pPr>
  </w:style>
  <w:style w:type="paragraph" w:styleId="a8">
    <w:name w:val="Title"/>
    <w:basedOn w:val="a"/>
    <w:qFormat/>
    <w:pPr>
      <w:keepNext/>
      <w:keepLines/>
      <w:spacing w:before="480" w:after="240"/>
    </w:pPr>
    <w:rPr>
      <w:rFonts w:asciiTheme="majorHAnsi" w:eastAsiaTheme="majorEastAsia" w:hAnsiTheme="majorHAnsi" w:cstheme="majorBidi"/>
      <w:b/>
      <w:bCs/>
      <w:color w:val="C0143C"/>
      <w:sz w:val="36"/>
      <w:szCs w:val="36"/>
    </w:rPr>
  </w:style>
  <w:style w:type="paragraph" w:styleId="a9">
    <w:name w:val="Subtitle"/>
    <w:basedOn w:val="a8"/>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aa">
    <w:name w:val="Date"/>
    <w:qFormat/>
    <w:pPr>
      <w:keepNext/>
      <w:keepLines/>
      <w:jc w:val="center"/>
    </w:pPr>
    <w:rPr>
      <w:color w:val="00000A"/>
      <w:sz w:val="24"/>
    </w:rPr>
  </w:style>
  <w:style w:type="paragraph" w:customStyle="1" w:styleId="Abstract">
    <w:name w:val="Abstract"/>
    <w:basedOn w:val="a"/>
    <w:qFormat/>
    <w:pPr>
      <w:keepNext/>
      <w:keepLines/>
      <w:spacing w:before="300" w:after="300"/>
    </w:pPr>
    <w:rPr>
      <w:sz w:val="20"/>
      <w:szCs w:val="20"/>
    </w:rPr>
  </w:style>
  <w:style w:type="paragraph" w:styleId="ab">
    <w:name w:val="Bibliography"/>
    <w:basedOn w:val="a"/>
    <w:qFormat/>
  </w:style>
  <w:style w:type="paragraph" w:styleId="ac">
    <w:name w:val="Block Text"/>
    <w:basedOn w:val="a5"/>
    <w:uiPriority w:val="9"/>
    <w:unhideWhenUsed/>
    <w:qFormat/>
    <w:pPr>
      <w:spacing w:before="100" w:after="100"/>
    </w:pPr>
    <w:rPr>
      <w:rFonts w:asciiTheme="majorHAnsi" w:eastAsiaTheme="majorEastAsia" w:hAnsiTheme="majorHAnsi" w:cstheme="majorBidi"/>
      <w:bCs/>
      <w:sz w:val="20"/>
      <w:szCs w:val="20"/>
    </w:rPr>
  </w:style>
  <w:style w:type="paragraph" w:styleId="ad">
    <w:name w:val="footnote text"/>
    <w:basedOn w:val="a"/>
    <w:uiPriority w:val="9"/>
    <w:unhideWhenUsed/>
    <w:qFormat/>
  </w:style>
  <w:style w:type="paragraph" w:customStyle="1" w:styleId="DefinitionTerm">
    <w:name w:val="Definition Term"/>
    <w:basedOn w:val="a"/>
    <w:qFormat/>
    <w:pPr>
      <w:keepNext/>
      <w:keepLines/>
      <w:spacing w:after="0"/>
    </w:pPr>
    <w:rPr>
      <w:b/>
    </w:rPr>
  </w:style>
  <w:style w:type="paragraph" w:customStyle="1" w:styleId="Definition">
    <w:name w:val="Definition"/>
    <w:basedOn w:val="a"/>
    <w:qFormat/>
  </w:style>
  <w:style w:type="paragraph" w:customStyle="1" w:styleId="TableCaption">
    <w:name w:val="Table Caption"/>
    <w:basedOn w:val="a4"/>
    <w:qFormat/>
    <w:pPr>
      <w:keepNext/>
    </w:pPr>
  </w:style>
  <w:style w:type="paragraph" w:customStyle="1" w:styleId="ImageCaption">
    <w:name w:val="Image Caption"/>
    <w:basedOn w:val="a4"/>
    <w:qFormat/>
  </w:style>
  <w:style w:type="paragraph" w:customStyle="1" w:styleId="Figure">
    <w:name w:val="Figure"/>
    <w:basedOn w:val="a"/>
    <w:qFormat/>
  </w:style>
  <w:style w:type="paragraph" w:customStyle="1" w:styleId="FigurewithCaption">
    <w:name w:val="Figure with Caption"/>
    <w:basedOn w:val="Figure"/>
    <w:qFormat/>
    <w:pPr>
      <w:keepNext/>
    </w:pPr>
  </w:style>
  <w:style w:type="paragraph" w:styleId="ae">
    <w:name w:val="TOC Heading"/>
    <w:basedOn w:val="1"/>
    <w:uiPriority w:val="39"/>
    <w:unhideWhenUsed/>
    <w:qFormat/>
    <w:pPr>
      <w:spacing w:before="240" w:line="259" w:lineRule="auto"/>
    </w:pPr>
    <w:rPr>
      <w:b w:val="0"/>
      <w:bCs w:val="0"/>
    </w:rPr>
  </w:style>
  <w:style w:type="paragraph" w:customStyle="1" w:styleId="Disclaimer">
    <w:name w:val="Disclaimer"/>
    <w:basedOn w:val="a"/>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a"/>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a"/>
    <w:qFormat/>
    <w:pPr>
      <w:jc w:val="center"/>
    </w:pPr>
    <w:rPr>
      <w:sz w:val="28"/>
      <w:u w:val="single"/>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af">
    <w:name w:val="Hyperlink"/>
    <w:basedOn w:val="a0"/>
    <w:rsid w:val="00F3262C"/>
    <w:rPr>
      <w:color w:val="0000FF" w:themeColor="hyperlink"/>
      <w:u w:val="single"/>
    </w:rPr>
  </w:style>
  <w:style w:type="paragraph" w:styleId="af0">
    <w:name w:val="List Paragraph"/>
    <w:basedOn w:val="a"/>
    <w:rsid w:val="00EF5B90"/>
    <w:pPr>
      <w:ind w:left="720"/>
      <w:contextualSpacing/>
    </w:pPr>
  </w:style>
  <w:style w:type="character" w:styleId="af1">
    <w:name w:val="FollowedHyperlink"/>
    <w:basedOn w:val="a0"/>
    <w:rsid w:val="009276A0"/>
    <w:rPr>
      <w:color w:val="800080" w:themeColor="followedHyperlink"/>
      <w:u w:val="single"/>
    </w:rPr>
  </w:style>
  <w:style w:type="paragraph" w:styleId="af2">
    <w:name w:val="Revision"/>
    <w:hidden/>
    <w:semiHidden/>
    <w:rsid w:val="009D6AAE"/>
    <w:rPr>
      <w:color w:val="00000A"/>
      <w:sz w:val="24"/>
    </w:rPr>
  </w:style>
  <w:style w:type="character" w:customStyle="1" w:styleId="a6">
    <w:name w:val="Основной текст Знак"/>
    <w:basedOn w:val="a0"/>
    <w:link w:val="a5"/>
    <w:rsid w:val="005E63C1"/>
    <w:rPr>
      <w:color w:val="00000A"/>
      <w:sz w:val="24"/>
    </w:rPr>
  </w:style>
  <w:style w:type="character" w:customStyle="1" w:styleId="10">
    <w:name w:val="Неразрешенное упоминание1"/>
    <w:basedOn w:val="a0"/>
    <w:uiPriority w:val="99"/>
    <w:semiHidden/>
    <w:unhideWhenUsed/>
    <w:rsid w:val="00677113"/>
    <w:rPr>
      <w:color w:val="605E5C"/>
      <w:shd w:val="clear" w:color="auto" w:fill="E1DFDD"/>
    </w:rPr>
  </w:style>
  <w:style w:type="character" w:styleId="af3">
    <w:name w:val="footnote reference"/>
    <w:basedOn w:val="a0"/>
    <w:semiHidden/>
    <w:unhideWhenUsed/>
    <w:rsid w:val="00820BF7"/>
    <w:rPr>
      <w:vertAlign w:val="superscript"/>
    </w:rPr>
  </w:style>
  <w:style w:type="paragraph" w:customStyle="1" w:styleId="normal1">
    <w:name w:val="normal1"/>
    <w:basedOn w:val="a"/>
    <w:rsid w:val="00910045"/>
    <w:pPr>
      <w:spacing w:before="100" w:beforeAutospacing="1" w:after="100" w:afterAutospacing="1"/>
    </w:pPr>
    <w:rPr>
      <w:rFonts w:ascii="Times New Roman" w:eastAsia="Times New Roman" w:hAnsi="Times New Roman" w:cs="Times New Roman"/>
      <w:color w:val="auto"/>
    </w:rPr>
  </w:style>
  <w:style w:type="character" w:styleId="af4">
    <w:name w:val="Strong"/>
    <w:basedOn w:val="a0"/>
    <w:uiPriority w:val="22"/>
    <w:qFormat/>
    <w:rsid w:val="009C15B0"/>
    <w:rPr>
      <w:b/>
      <w:bCs/>
    </w:rPr>
  </w:style>
  <w:style w:type="character" w:styleId="af5">
    <w:name w:val="Unresolved Mention"/>
    <w:basedOn w:val="a0"/>
    <w:uiPriority w:val="99"/>
    <w:semiHidden/>
    <w:unhideWhenUsed/>
    <w:rsid w:val="00341C27"/>
    <w:rPr>
      <w:color w:val="605E5C"/>
      <w:shd w:val="clear" w:color="auto" w:fill="E1DFDD"/>
    </w:rPr>
  </w:style>
  <w:style w:type="paragraph" w:styleId="af6">
    <w:name w:val="header"/>
    <w:basedOn w:val="a"/>
    <w:link w:val="af7"/>
    <w:unhideWhenUsed/>
    <w:rsid w:val="005A5C72"/>
    <w:pPr>
      <w:tabs>
        <w:tab w:val="center" w:pos="4677"/>
        <w:tab w:val="right" w:pos="9355"/>
      </w:tabs>
      <w:spacing w:after="0"/>
    </w:pPr>
  </w:style>
  <w:style w:type="character" w:customStyle="1" w:styleId="af7">
    <w:name w:val="Верхний колонтитул Знак"/>
    <w:basedOn w:val="a0"/>
    <w:link w:val="af6"/>
    <w:rsid w:val="005A5C72"/>
    <w:rPr>
      <w:color w:val="00000A"/>
      <w:sz w:val="24"/>
    </w:rPr>
  </w:style>
  <w:style w:type="paragraph" w:styleId="af8">
    <w:name w:val="footer"/>
    <w:basedOn w:val="a"/>
    <w:link w:val="af9"/>
    <w:unhideWhenUsed/>
    <w:rsid w:val="005A5C72"/>
    <w:pPr>
      <w:tabs>
        <w:tab w:val="center" w:pos="4677"/>
        <w:tab w:val="right" w:pos="9355"/>
      </w:tabs>
      <w:spacing w:after="0"/>
    </w:pPr>
  </w:style>
  <w:style w:type="character" w:customStyle="1" w:styleId="af9">
    <w:name w:val="Нижний колонтитул Знак"/>
    <w:basedOn w:val="a0"/>
    <w:link w:val="af8"/>
    <w:rsid w:val="005A5C72"/>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103782">
      <w:bodyDiv w:val="1"/>
      <w:marLeft w:val="0"/>
      <w:marRight w:val="0"/>
      <w:marTop w:val="0"/>
      <w:marBottom w:val="0"/>
      <w:divBdr>
        <w:top w:val="none" w:sz="0" w:space="0" w:color="auto"/>
        <w:left w:val="none" w:sz="0" w:space="0" w:color="auto"/>
        <w:bottom w:val="none" w:sz="0" w:space="0" w:color="auto"/>
        <w:right w:val="none" w:sz="0" w:space="0" w:color="auto"/>
      </w:divBdr>
    </w:div>
    <w:div w:id="967708309">
      <w:bodyDiv w:val="1"/>
      <w:marLeft w:val="0"/>
      <w:marRight w:val="0"/>
      <w:marTop w:val="0"/>
      <w:marBottom w:val="0"/>
      <w:divBdr>
        <w:top w:val="none" w:sz="0" w:space="0" w:color="auto"/>
        <w:left w:val="none" w:sz="0" w:space="0" w:color="auto"/>
        <w:bottom w:val="none" w:sz="0" w:space="0" w:color="auto"/>
        <w:right w:val="none" w:sz="0" w:space="0" w:color="auto"/>
      </w:divBdr>
    </w:div>
    <w:div w:id="1110512905">
      <w:bodyDiv w:val="1"/>
      <w:marLeft w:val="0"/>
      <w:marRight w:val="0"/>
      <w:marTop w:val="0"/>
      <w:marBottom w:val="0"/>
      <w:divBdr>
        <w:top w:val="none" w:sz="0" w:space="0" w:color="auto"/>
        <w:left w:val="none" w:sz="0" w:space="0" w:color="auto"/>
        <w:bottom w:val="none" w:sz="0" w:space="0" w:color="auto"/>
        <w:right w:val="none" w:sz="0" w:space="0" w:color="auto"/>
      </w:divBdr>
    </w:div>
    <w:div w:id="1179007481">
      <w:bodyDiv w:val="1"/>
      <w:marLeft w:val="0"/>
      <w:marRight w:val="0"/>
      <w:marTop w:val="0"/>
      <w:marBottom w:val="0"/>
      <w:divBdr>
        <w:top w:val="none" w:sz="0" w:space="0" w:color="auto"/>
        <w:left w:val="none" w:sz="0" w:space="0" w:color="auto"/>
        <w:bottom w:val="none" w:sz="0" w:space="0" w:color="auto"/>
        <w:right w:val="none" w:sz="0" w:space="0" w:color="auto"/>
      </w:divBdr>
    </w:div>
    <w:div w:id="1343359304">
      <w:bodyDiv w:val="1"/>
      <w:marLeft w:val="0"/>
      <w:marRight w:val="0"/>
      <w:marTop w:val="0"/>
      <w:marBottom w:val="0"/>
      <w:divBdr>
        <w:top w:val="none" w:sz="0" w:space="0" w:color="auto"/>
        <w:left w:val="none" w:sz="0" w:space="0" w:color="auto"/>
        <w:bottom w:val="none" w:sz="0" w:space="0" w:color="auto"/>
        <w:right w:val="none" w:sz="0" w:space="0" w:color="auto"/>
      </w:divBdr>
    </w:div>
    <w:div w:id="1571765199">
      <w:bodyDiv w:val="1"/>
      <w:marLeft w:val="0"/>
      <w:marRight w:val="0"/>
      <w:marTop w:val="0"/>
      <w:marBottom w:val="0"/>
      <w:divBdr>
        <w:top w:val="none" w:sz="0" w:space="0" w:color="auto"/>
        <w:left w:val="none" w:sz="0" w:space="0" w:color="auto"/>
        <w:bottom w:val="none" w:sz="0" w:space="0" w:color="auto"/>
        <w:right w:val="none" w:sz="0" w:space="0" w:color="auto"/>
      </w:divBdr>
    </w:div>
    <w:div w:id="1705327493">
      <w:bodyDiv w:val="1"/>
      <w:marLeft w:val="0"/>
      <w:marRight w:val="0"/>
      <w:marTop w:val="0"/>
      <w:marBottom w:val="0"/>
      <w:divBdr>
        <w:top w:val="none" w:sz="0" w:space="0" w:color="auto"/>
        <w:left w:val="none" w:sz="0" w:space="0" w:color="auto"/>
        <w:bottom w:val="none" w:sz="0" w:space="0" w:color="auto"/>
        <w:right w:val="none" w:sz="0" w:space="0" w:color="auto"/>
      </w:divBdr>
      <w:divsChild>
        <w:div w:id="157383117">
          <w:marLeft w:val="0"/>
          <w:marRight w:val="0"/>
          <w:marTop w:val="0"/>
          <w:marBottom w:val="0"/>
          <w:divBdr>
            <w:top w:val="none" w:sz="0" w:space="0" w:color="auto"/>
            <w:left w:val="none" w:sz="0" w:space="0" w:color="auto"/>
            <w:bottom w:val="none" w:sz="0" w:space="0" w:color="auto"/>
            <w:right w:val="none" w:sz="0" w:space="0" w:color="auto"/>
          </w:divBdr>
          <w:divsChild>
            <w:div w:id="19238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releases-end-to-end-test-packages-and-file-transfer-connectivity-guide-for-the-hong-kong-investor-identification-regime/" TargetMode="External"/><Relationship Id="rId13" Type="http://schemas.openxmlformats.org/officeDocument/2006/relationships/hyperlink" Target="https://www.hkex.com.hk/-/media/HKEX-Market/Services/Circulars-and-Notices/Participant-and-Members-Circulars/SEHK/2022/CT02622E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rltonslaw.com/sfc-concludes-on-hong-kong-investor-identification-regime-and-otc-securities-transactions-reporting-regi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sfc.hk/edistributionWeb/api/consultation/conclusion?lang=EN&amp;refNo=20CP7" TargetMode="External"/><Relationship Id="rId5" Type="http://schemas.openxmlformats.org/officeDocument/2006/relationships/webSettings" Target="webSettings.xml"/><Relationship Id="rId15" Type="http://schemas.openxmlformats.org/officeDocument/2006/relationships/hyperlink" Target="https://www.hkex.com.hk/-/media/HKEX-Market/Services/Trading/Securities/Overview/Trading-Mechanism/HKIDR/HKIDR-File-Transfer-Connectivity-Guide.pdf?la=en" TargetMode="External"/><Relationship Id="rId10" Type="http://schemas.openxmlformats.org/officeDocument/2006/relationships/hyperlink" Target="https://apps.sfc.hk/edistributionWeb/gateway/EN/circular/doc?refNo=22EC26" TargetMode="External"/><Relationship Id="rId4" Type="http://schemas.openxmlformats.org/officeDocument/2006/relationships/settings" Target="settings.xml"/><Relationship Id="rId9" Type="http://schemas.openxmlformats.org/officeDocument/2006/relationships/hyperlink" Target="https://apps.sfc.hk/edistributionWeb/gateway/EN/circular/doc?refNo=22EC33" TargetMode="External"/><Relationship Id="rId14" Type="http://schemas.openxmlformats.org/officeDocument/2006/relationships/hyperlink" Target="https://www.hkex.com.hk/Services/Trading/Securities/Overview/Trading-Mechanism/HKIDR?sc_la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c.sfc.hk/TuniS/apps.sfc.hk/edistributionWeb/api/circular/openAppendix?lang=EN&amp;refNo=21EC37&amp;appendi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2500-2414-4B8A-B089-15C77D8B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1009</Words>
  <Characters>5756</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keywords/>
  <cp:lastModifiedBy>Microsoft Office User</cp:lastModifiedBy>
  <cp:revision>14</cp:revision>
  <dcterms:created xsi:type="dcterms:W3CDTF">2022-04-27T10:15:00Z</dcterms:created>
  <dcterms:modified xsi:type="dcterms:W3CDTF">2022-05-02T07:18:00Z</dcterms:modified>
</cp:coreProperties>
</file>