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363D4" w14:textId="0BEC4681" w:rsidR="008E7155" w:rsidRDefault="008E7155" w:rsidP="008E7155">
      <w:pPr>
        <w:pStyle w:val="BlackStrips"/>
      </w:pPr>
      <w:proofErr w:type="spellStart"/>
      <w:r>
        <w:t>Charltons</w:t>
      </w:r>
      <w:proofErr w:type="spellEnd"/>
      <w:r>
        <w:t xml:space="preserve"> - Hong Kong Law - 21 April 2022</w:t>
      </w:r>
    </w:p>
    <w:p w14:paraId="32BD8927" w14:textId="5E86D2D4" w:rsidR="008E7155" w:rsidRPr="008E7155" w:rsidRDefault="005D0378" w:rsidP="008E7155">
      <w:pPr>
        <w:pStyle w:val="ReadOnline"/>
        <w:rPr>
          <w:b/>
          <w:color w:val="FF0000"/>
        </w:rPr>
      </w:pPr>
      <w:hyperlink r:id="rId8">
        <w:r w:rsidR="008E7155">
          <w:t>online version</w:t>
        </w:r>
      </w:hyperlink>
    </w:p>
    <w:p w14:paraId="09A7E473" w14:textId="07AA7E57" w:rsidR="000329F5" w:rsidRPr="009D4685" w:rsidRDefault="00C91FA2" w:rsidP="009D4685">
      <w:pPr>
        <w:pStyle w:val="a8"/>
        <w:jc w:val="center"/>
        <w:rPr>
          <w:color w:val="FF0000"/>
          <w:lang w:val="en-GB"/>
        </w:rPr>
      </w:pPr>
      <w:proofErr w:type="spellStart"/>
      <w:r w:rsidRPr="009D4685">
        <w:rPr>
          <w:color w:val="FF0000"/>
          <w:lang w:val="en-GB"/>
        </w:rPr>
        <w:t>HKEx</w:t>
      </w:r>
      <w:proofErr w:type="spellEnd"/>
      <w:r w:rsidRPr="009D4685">
        <w:rPr>
          <w:color w:val="FF0000"/>
          <w:lang w:val="en-GB"/>
        </w:rPr>
        <w:t xml:space="preserve"> and SFC Disciplinary Actions </w:t>
      </w:r>
      <w:r w:rsidR="00377B5E" w:rsidRPr="009D4685">
        <w:rPr>
          <w:color w:val="FF0000"/>
          <w:lang w:val="en-GB"/>
        </w:rPr>
        <w:t xml:space="preserve">in </w:t>
      </w:r>
      <w:r w:rsidR="00743B03" w:rsidRPr="009D4685">
        <w:rPr>
          <w:color w:val="FF0000"/>
          <w:lang w:val="en-GB"/>
        </w:rPr>
        <w:t>March 2022</w:t>
      </w:r>
    </w:p>
    <w:p w14:paraId="08F3BDB6" w14:textId="77777777" w:rsidR="00743B03" w:rsidRDefault="00377B5E" w:rsidP="00113156">
      <w:pPr>
        <w:pStyle w:val="FirstParagraph"/>
        <w:rPr>
          <w:lang w:val="en-GB"/>
        </w:rPr>
      </w:pPr>
      <w:r>
        <w:rPr>
          <w:lang w:val="en-GB"/>
        </w:rPr>
        <w:t>I</w:t>
      </w:r>
      <w:r w:rsidR="006F3AE4">
        <w:rPr>
          <w:lang w:val="en-GB"/>
        </w:rPr>
        <w:t>n March 2022, t</w:t>
      </w:r>
      <w:r w:rsidR="00C91FA2" w:rsidRPr="009D6AAE">
        <w:rPr>
          <w:lang w:val="en-GB"/>
        </w:rPr>
        <w:t xml:space="preserve">he Stock Exchange of Hong Kong </w:t>
      </w:r>
      <w:r w:rsidR="00C4250A">
        <w:rPr>
          <w:lang w:val="en-GB"/>
        </w:rPr>
        <w:t xml:space="preserve">Limited </w:t>
      </w:r>
      <w:r w:rsidR="00C91FA2" w:rsidRPr="009D6AAE">
        <w:rPr>
          <w:lang w:val="en-GB"/>
        </w:rPr>
        <w:t>(</w:t>
      </w:r>
      <w:r>
        <w:rPr>
          <w:lang w:val="en-GB"/>
        </w:rPr>
        <w:t xml:space="preserve">the </w:t>
      </w:r>
      <w:r w:rsidR="00C91FA2" w:rsidRPr="009D6AAE">
        <w:rPr>
          <w:b/>
          <w:lang w:val="en-GB"/>
        </w:rPr>
        <w:t>HKEx</w:t>
      </w:r>
      <w:r w:rsidR="00C91FA2" w:rsidRPr="009D6AAE">
        <w:rPr>
          <w:lang w:val="en-GB"/>
        </w:rPr>
        <w:t xml:space="preserve">) </w:t>
      </w:r>
      <w:r w:rsidR="006F3AE4">
        <w:rPr>
          <w:lang w:val="en-GB"/>
        </w:rPr>
        <w:t>announced the results of its</w:t>
      </w:r>
      <w:r w:rsidR="006F3AE4" w:rsidRPr="009D6AAE">
        <w:rPr>
          <w:lang w:val="en-GB"/>
        </w:rPr>
        <w:t xml:space="preserve"> disciplinary action </w:t>
      </w:r>
      <w:r>
        <w:rPr>
          <w:lang w:val="en-GB"/>
        </w:rPr>
        <w:t xml:space="preserve">against </w:t>
      </w:r>
      <w:r w:rsidR="009D4685">
        <w:rPr>
          <w:lang w:val="en-GB"/>
        </w:rPr>
        <w:t>former directors of a Chapter 21-listed investment company for misuse of the company’s funds</w:t>
      </w:r>
      <w:r w:rsidR="006F3AE4">
        <w:rPr>
          <w:lang w:val="en-GB"/>
        </w:rPr>
        <w:t>, while</w:t>
      </w:r>
      <w:r w:rsidR="00113156">
        <w:rPr>
          <w:lang w:val="en-GB"/>
        </w:rPr>
        <w:t xml:space="preserve"> </w:t>
      </w:r>
      <w:r w:rsidR="006F3AE4">
        <w:rPr>
          <w:lang w:val="en-GB"/>
        </w:rPr>
        <w:t>t</w:t>
      </w:r>
      <w:r w:rsidR="00C91FA2" w:rsidRPr="009D6AAE">
        <w:rPr>
          <w:lang w:val="en-GB"/>
        </w:rPr>
        <w:t>he Securities and</w:t>
      </w:r>
      <w:r w:rsidR="006F3AE4">
        <w:rPr>
          <w:lang w:val="en-GB"/>
        </w:rPr>
        <w:t xml:space="preserve"> Futures Commission</w:t>
      </w:r>
      <w:r w:rsidR="00C91FA2" w:rsidRPr="009D6AAE">
        <w:rPr>
          <w:lang w:val="en-GB"/>
        </w:rPr>
        <w:t xml:space="preserve"> (</w:t>
      </w:r>
      <w:r w:rsidR="007F1E15">
        <w:rPr>
          <w:lang w:val="en-GB"/>
        </w:rPr>
        <w:t xml:space="preserve">the </w:t>
      </w:r>
      <w:r w:rsidR="00C91FA2" w:rsidRPr="009D6AAE">
        <w:rPr>
          <w:b/>
          <w:lang w:val="en-GB"/>
        </w:rPr>
        <w:t>SFC</w:t>
      </w:r>
      <w:r w:rsidR="00C91FA2" w:rsidRPr="009D6AAE">
        <w:rPr>
          <w:lang w:val="en-GB"/>
        </w:rPr>
        <w:t xml:space="preserve">) </w:t>
      </w:r>
      <w:r w:rsidR="006F3AE4">
        <w:rPr>
          <w:lang w:val="en-GB"/>
        </w:rPr>
        <w:t xml:space="preserve">published the </w:t>
      </w:r>
      <w:r>
        <w:rPr>
          <w:lang w:val="en-GB"/>
        </w:rPr>
        <w:t>outcome</w:t>
      </w:r>
      <w:r w:rsidR="007F1E15">
        <w:rPr>
          <w:lang w:val="en-GB"/>
        </w:rPr>
        <w:t>s</w:t>
      </w:r>
      <w:r>
        <w:rPr>
          <w:lang w:val="en-GB"/>
        </w:rPr>
        <w:t xml:space="preserve"> </w:t>
      </w:r>
      <w:r w:rsidR="006F3AE4">
        <w:rPr>
          <w:lang w:val="en-GB"/>
        </w:rPr>
        <w:t xml:space="preserve">of </w:t>
      </w:r>
      <w:r w:rsidR="008205FD">
        <w:rPr>
          <w:lang w:val="en-GB"/>
        </w:rPr>
        <w:t>four</w:t>
      </w:r>
      <w:r w:rsidR="00743B03">
        <w:rPr>
          <w:lang w:val="en-GB"/>
        </w:rPr>
        <w:t xml:space="preserve"> </w:t>
      </w:r>
      <w:r w:rsidR="00C91FA2" w:rsidRPr="009D6AAE">
        <w:rPr>
          <w:lang w:val="en-GB"/>
        </w:rPr>
        <w:t>disciplinary actions</w:t>
      </w:r>
      <w:r w:rsidR="006F3AE4">
        <w:rPr>
          <w:lang w:val="en-GB"/>
        </w:rPr>
        <w:t xml:space="preserve">. The SFC enforcement actions were instituted </w:t>
      </w:r>
      <w:r w:rsidR="008205FD">
        <w:rPr>
          <w:lang w:val="en-GB"/>
        </w:rPr>
        <w:t>against</w:t>
      </w:r>
      <w:r w:rsidR="00C91FA2" w:rsidRPr="009D6AAE">
        <w:rPr>
          <w:lang w:val="en-GB"/>
        </w:rPr>
        <w:t xml:space="preserve"> </w:t>
      </w:r>
      <w:r w:rsidR="005E63C1">
        <w:rPr>
          <w:lang w:val="en-GB"/>
        </w:rPr>
        <w:t>former directors of DBA Telecommunications (Asia) Holdings Limited, Emperor Securities Limited and Emperor Futures Limited, Wonderful Sky Financial Group Holdings Limited</w:t>
      </w:r>
      <w:r w:rsidR="008205FD">
        <w:rPr>
          <w:lang w:val="en-GB"/>
        </w:rPr>
        <w:t xml:space="preserve"> and </w:t>
      </w:r>
      <w:r w:rsidR="00F21D03">
        <w:rPr>
          <w:lang w:val="en-GB"/>
        </w:rPr>
        <w:t xml:space="preserve">against </w:t>
      </w:r>
      <w:r w:rsidR="007F1E15">
        <w:rPr>
          <w:lang w:val="en-GB"/>
        </w:rPr>
        <w:t xml:space="preserve">Mr </w:t>
      </w:r>
      <w:r w:rsidR="008205FD">
        <w:rPr>
          <w:lang w:val="en-GB"/>
        </w:rPr>
        <w:t xml:space="preserve">Kim Bum Suk. </w:t>
      </w:r>
    </w:p>
    <w:p w14:paraId="09C1AFDC" w14:textId="77777777" w:rsidR="000329F5" w:rsidRPr="009D6AAE" w:rsidRDefault="00C91FA2">
      <w:pPr>
        <w:pStyle w:val="a5"/>
        <w:rPr>
          <w:b/>
          <w:color w:val="FF0000"/>
          <w:lang w:val="en-GB"/>
        </w:rPr>
      </w:pPr>
      <w:r w:rsidRPr="009D6AAE">
        <w:rPr>
          <w:b/>
          <w:color w:val="FF0000"/>
          <w:lang w:val="en-GB"/>
        </w:rPr>
        <w:t>HKEx</w:t>
      </w:r>
      <w:r w:rsidR="00377B5E">
        <w:rPr>
          <w:b/>
          <w:color w:val="FF0000"/>
          <w:lang w:val="en-GB"/>
        </w:rPr>
        <w:t>’s Disciplinary Action Against S</w:t>
      </w:r>
      <w:r w:rsidR="00743B03">
        <w:rPr>
          <w:b/>
          <w:color w:val="FF0000"/>
          <w:lang w:val="en-GB"/>
        </w:rPr>
        <w:t xml:space="preserve">ix Former Directors of National Investments Fund Limited </w:t>
      </w:r>
    </w:p>
    <w:p w14:paraId="66843BFF" w14:textId="77777777" w:rsidR="00FF69EF" w:rsidRDefault="00743B03">
      <w:pPr>
        <w:pStyle w:val="a5"/>
        <w:rPr>
          <w:lang w:val="en-GB"/>
        </w:rPr>
      </w:pPr>
      <w:r>
        <w:rPr>
          <w:lang w:val="en-GB"/>
        </w:rPr>
        <w:t>On 17 March</w:t>
      </w:r>
      <w:r w:rsidR="004A5A06">
        <w:rPr>
          <w:lang w:val="en-GB"/>
        </w:rPr>
        <w:t xml:space="preserve"> 2022</w:t>
      </w:r>
      <w:r>
        <w:rPr>
          <w:lang w:val="en-GB"/>
        </w:rPr>
        <w:t xml:space="preserve">, the </w:t>
      </w:r>
      <w:r w:rsidRPr="006F3AE4">
        <w:rPr>
          <w:bCs/>
          <w:lang w:val="en-GB"/>
        </w:rPr>
        <w:t>HKEx</w:t>
      </w:r>
      <w:r>
        <w:rPr>
          <w:lang w:val="en-GB"/>
        </w:rPr>
        <w:t xml:space="preserve"> </w:t>
      </w:r>
      <w:r w:rsidR="006F3AE4">
        <w:rPr>
          <w:lang w:val="en-GB"/>
        </w:rPr>
        <w:t>s</w:t>
      </w:r>
      <w:r w:rsidR="00CB544C">
        <w:rPr>
          <w:lang w:val="en-GB"/>
        </w:rPr>
        <w:t>a</w:t>
      </w:r>
      <w:r w:rsidR="00377B5E">
        <w:rPr>
          <w:lang w:val="en-GB"/>
        </w:rPr>
        <w:t xml:space="preserve">nctioned </w:t>
      </w:r>
      <w:r w:rsidR="00CB544C">
        <w:rPr>
          <w:lang w:val="en-GB"/>
        </w:rPr>
        <w:t>six former directors of National Investments Fund Limited (</w:t>
      </w:r>
      <w:r w:rsidR="00CB544C" w:rsidRPr="00CB544C">
        <w:rPr>
          <w:b/>
          <w:bCs/>
          <w:lang w:val="en-GB"/>
        </w:rPr>
        <w:t>NIFL</w:t>
      </w:r>
      <w:r w:rsidR="00CB544C">
        <w:rPr>
          <w:lang w:val="en-GB"/>
        </w:rPr>
        <w:t>)</w:t>
      </w:r>
      <w:r w:rsidR="00EE7375">
        <w:rPr>
          <w:lang w:val="en-GB"/>
        </w:rPr>
        <w:t>, an investment company listed under Chapter 21 of the HKEx’s Main Board Listing Rules</w:t>
      </w:r>
      <w:r w:rsidR="004A5A06">
        <w:rPr>
          <w:lang w:val="en-GB"/>
        </w:rPr>
        <w:t xml:space="preserve">. </w:t>
      </w:r>
      <w:r w:rsidR="00EE7375">
        <w:rPr>
          <w:lang w:val="en-GB"/>
        </w:rPr>
        <w:t>The HKEx</w:t>
      </w:r>
      <w:r w:rsidR="00002EF3">
        <w:rPr>
          <w:lang w:val="en-GB"/>
        </w:rPr>
        <w:t xml:space="preserve"> </w:t>
      </w:r>
      <w:r w:rsidR="00377B5E">
        <w:rPr>
          <w:lang w:val="en-GB"/>
        </w:rPr>
        <w:t>public</w:t>
      </w:r>
      <w:r w:rsidR="00002EF3">
        <w:rPr>
          <w:lang w:val="en-GB"/>
        </w:rPr>
        <w:t>ly</w:t>
      </w:r>
      <w:r w:rsidR="00377B5E">
        <w:rPr>
          <w:lang w:val="en-GB"/>
        </w:rPr>
        <w:t xml:space="preserve"> censure</w:t>
      </w:r>
      <w:r w:rsidR="00002EF3">
        <w:rPr>
          <w:lang w:val="en-GB"/>
        </w:rPr>
        <w:t>d</w:t>
      </w:r>
      <w:r w:rsidR="004A5A06">
        <w:rPr>
          <w:lang w:val="en-GB"/>
        </w:rPr>
        <w:t xml:space="preserve"> and </w:t>
      </w:r>
      <w:r w:rsidR="00002EF3">
        <w:rPr>
          <w:lang w:val="en-GB"/>
        </w:rPr>
        <w:t>imposed</w:t>
      </w:r>
      <w:r w:rsidR="00CB544C">
        <w:rPr>
          <w:lang w:val="en-GB"/>
        </w:rPr>
        <w:t xml:space="preserve"> </w:t>
      </w:r>
      <w:r w:rsidR="009170FC">
        <w:rPr>
          <w:lang w:val="en-GB"/>
        </w:rPr>
        <w:t>prejudice to investors’ interests statement</w:t>
      </w:r>
      <w:r w:rsidR="00002EF3">
        <w:rPr>
          <w:lang w:val="en-GB"/>
        </w:rPr>
        <w:t>s</w:t>
      </w:r>
      <w:r w:rsidR="009170FC">
        <w:rPr>
          <w:lang w:val="en-GB"/>
        </w:rPr>
        <w:t xml:space="preserve"> against </w:t>
      </w:r>
      <w:r w:rsidR="00002EF3">
        <w:rPr>
          <w:lang w:val="en-GB"/>
        </w:rPr>
        <w:t xml:space="preserve">Mr </w:t>
      </w:r>
      <w:r w:rsidR="009170FC">
        <w:rPr>
          <w:lang w:val="en-GB"/>
        </w:rPr>
        <w:t xml:space="preserve">Wong, </w:t>
      </w:r>
      <w:r w:rsidR="00002EF3">
        <w:rPr>
          <w:lang w:val="en-GB"/>
        </w:rPr>
        <w:t xml:space="preserve">the company’s </w:t>
      </w:r>
      <w:r w:rsidR="009170FC">
        <w:rPr>
          <w:lang w:val="en-GB"/>
        </w:rPr>
        <w:t xml:space="preserve">former Chairman and </w:t>
      </w:r>
      <w:r w:rsidR="00377B5E">
        <w:rPr>
          <w:lang w:val="en-GB"/>
        </w:rPr>
        <w:t>executive director</w:t>
      </w:r>
      <w:r w:rsidR="00CB544C">
        <w:rPr>
          <w:lang w:val="en-GB"/>
        </w:rPr>
        <w:t>, and Mr Liu, a former independent non-executive director o</w:t>
      </w:r>
      <w:r w:rsidR="00002EF3">
        <w:rPr>
          <w:lang w:val="en-GB"/>
        </w:rPr>
        <w:t xml:space="preserve">f NIFL, for their role in </w:t>
      </w:r>
      <w:r w:rsidR="00EE7375">
        <w:rPr>
          <w:lang w:val="en-GB"/>
        </w:rPr>
        <w:t>the misuse of the company’s funds</w:t>
      </w:r>
      <w:r w:rsidR="00002EF3">
        <w:rPr>
          <w:lang w:val="en-GB"/>
        </w:rPr>
        <w:t xml:space="preserve">. The HKEx also censured two other </w:t>
      </w:r>
      <w:r w:rsidR="00CB544C">
        <w:rPr>
          <w:lang w:val="en-GB"/>
        </w:rPr>
        <w:t>former executive director</w:t>
      </w:r>
      <w:r w:rsidR="00F81D93">
        <w:rPr>
          <w:lang w:val="en-GB"/>
        </w:rPr>
        <w:t>s</w:t>
      </w:r>
      <w:r w:rsidR="00CB544C">
        <w:rPr>
          <w:lang w:val="en-GB"/>
        </w:rPr>
        <w:t xml:space="preserve"> </w:t>
      </w:r>
      <w:r w:rsidR="00F81D93">
        <w:rPr>
          <w:lang w:val="en-GB"/>
        </w:rPr>
        <w:t xml:space="preserve">and </w:t>
      </w:r>
      <w:r w:rsidR="00002EF3">
        <w:rPr>
          <w:lang w:val="en-GB"/>
        </w:rPr>
        <w:t xml:space="preserve">two </w:t>
      </w:r>
      <w:r w:rsidR="00F81D93">
        <w:rPr>
          <w:lang w:val="en-GB"/>
        </w:rPr>
        <w:t>former independent non-executive direc</w:t>
      </w:r>
      <w:r w:rsidR="00377B5E">
        <w:rPr>
          <w:lang w:val="en-GB"/>
        </w:rPr>
        <w:t>tors of the company</w:t>
      </w:r>
      <w:r w:rsidR="00002EF3">
        <w:rPr>
          <w:lang w:val="en-GB"/>
        </w:rPr>
        <w:t xml:space="preserve"> for </w:t>
      </w:r>
      <w:r w:rsidR="00EE7375">
        <w:rPr>
          <w:lang w:val="en-GB"/>
        </w:rPr>
        <w:t>breach of their duties as directors under HKEx Listing Rule 3.08</w:t>
      </w:r>
      <w:r w:rsidR="00F81D93">
        <w:rPr>
          <w:lang w:val="en-GB"/>
        </w:rPr>
        <w:t xml:space="preserve">. </w:t>
      </w:r>
      <w:r w:rsidR="00EE7375">
        <w:rPr>
          <w:lang w:val="en-GB"/>
        </w:rPr>
        <w:t xml:space="preserve">Three of these individuals </w:t>
      </w:r>
      <w:r w:rsidR="006F3AE4">
        <w:rPr>
          <w:lang w:val="en-GB"/>
        </w:rPr>
        <w:t>were</w:t>
      </w:r>
      <w:r w:rsidR="004A5A06">
        <w:rPr>
          <w:lang w:val="en-GB"/>
        </w:rPr>
        <w:t xml:space="preserve"> </w:t>
      </w:r>
      <w:r w:rsidR="00377B5E">
        <w:rPr>
          <w:lang w:val="en-GB"/>
        </w:rPr>
        <w:t xml:space="preserve">also </w:t>
      </w:r>
      <w:r w:rsidR="004A5A06">
        <w:rPr>
          <w:lang w:val="en-GB"/>
        </w:rPr>
        <w:t xml:space="preserve">directed to attend </w:t>
      </w:r>
      <w:r w:rsidR="00377B5E">
        <w:rPr>
          <w:lang w:val="en-GB"/>
        </w:rPr>
        <w:t>directors’</w:t>
      </w:r>
      <w:r w:rsidR="006F3AE4">
        <w:rPr>
          <w:lang w:val="en-GB"/>
        </w:rPr>
        <w:t xml:space="preserve"> </w:t>
      </w:r>
      <w:r w:rsidR="004A5A06">
        <w:rPr>
          <w:lang w:val="en-GB"/>
        </w:rPr>
        <w:t>training. T</w:t>
      </w:r>
      <w:r w:rsidR="00F3262C" w:rsidRPr="009D6AAE">
        <w:rPr>
          <w:lang w:val="en-GB"/>
        </w:rPr>
        <w:t xml:space="preserve">he </w:t>
      </w:r>
      <w:r w:rsidR="00B97E68">
        <w:rPr>
          <w:lang w:val="en-GB"/>
        </w:rPr>
        <w:t xml:space="preserve">HKEx’s </w:t>
      </w:r>
      <w:r w:rsidR="00F3262C" w:rsidRPr="009D6AAE">
        <w:rPr>
          <w:lang w:val="en-GB"/>
        </w:rPr>
        <w:t xml:space="preserve">Statement of Disciplinary Action is available </w:t>
      </w:r>
      <w:hyperlink r:id="rId9" w:history="1">
        <w:r w:rsidR="00F3262C" w:rsidRPr="009D6AAE">
          <w:rPr>
            <w:rStyle w:val="af"/>
            <w:i/>
            <w:color w:val="0070C0"/>
            <w:lang w:val="en-GB"/>
          </w:rPr>
          <w:t>here</w:t>
        </w:r>
      </w:hyperlink>
      <w:r w:rsidR="00F3262C" w:rsidRPr="009D6AAE">
        <w:rPr>
          <w:lang w:val="en-GB"/>
        </w:rPr>
        <w:t>.</w:t>
      </w:r>
    </w:p>
    <w:p w14:paraId="79FEA4DD" w14:textId="77777777" w:rsidR="00002EF3" w:rsidRPr="00002EF3" w:rsidRDefault="00002EF3">
      <w:pPr>
        <w:pStyle w:val="a5"/>
        <w:rPr>
          <w:b/>
          <w:lang w:val="en-GB"/>
        </w:rPr>
      </w:pPr>
      <w:r>
        <w:rPr>
          <w:b/>
          <w:lang w:val="en-GB"/>
        </w:rPr>
        <w:t xml:space="preserve">Misuse of </w:t>
      </w:r>
      <w:r w:rsidR="007F1E15">
        <w:rPr>
          <w:b/>
          <w:lang w:val="en-GB"/>
        </w:rPr>
        <w:t>C</w:t>
      </w:r>
      <w:r>
        <w:rPr>
          <w:b/>
          <w:lang w:val="en-GB"/>
        </w:rPr>
        <w:t>ompan</w:t>
      </w:r>
      <w:r w:rsidR="007F1E15">
        <w:rPr>
          <w:b/>
          <w:lang w:val="en-GB"/>
        </w:rPr>
        <w:t>y Funds and Breach of HKEx D</w:t>
      </w:r>
      <w:r>
        <w:rPr>
          <w:b/>
          <w:lang w:val="en-GB"/>
        </w:rPr>
        <w:t>irectors’</w:t>
      </w:r>
      <w:r w:rsidR="007F1E15">
        <w:rPr>
          <w:b/>
          <w:lang w:val="en-GB"/>
        </w:rPr>
        <w:t xml:space="preserve"> D</w:t>
      </w:r>
      <w:r>
        <w:rPr>
          <w:b/>
          <w:lang w:val="en-GB"/>
        </w:rPr>
        <w:t>uties</w:t>
      </w:r>
    </w:p>
    <w:p w14:paraId="39079C76" w14:textId="77777777" w:rsidR="00D41096" w:rsidRDefault="00EE7375" w:rsidP="00E6313D">
      <w:pPr>
        <w:pStyle w:val="a5"/>
        <w:rPr>
          <w:lang w:val="en-GB"/>
        </w:rPr>
      </w:pPr>
      <w:r>
        <w:rPr>
          <w:lang w:val="en-GB"/>
        </w:rPr>
        <w:t xml:space="preserve">As a Chapter 21-listed company, </w:t>
      </w:r>
      <w:r w:rsidR="00B97E68">
        <w:rPr>
          <w:lang w:val="en-GB"/>
        </w:rPr>
        <w:t>NIFL</w:t>
      </w:r>
      <w:r>
        <w:rPr>
          <w:lang w:val="en-GB"/>
        </w:rPr>
        <w:t>’s</w:t>
      </w:r>
      <w:r w:rsidR="00B97E68">
        <w:rPr>
          <w:lang w:val="en-GB"/>
        </w:rPr>
        <w:t xml:space="preserve"> primary investment objective is achieving</w:t>
      </w:r>
      <w:r w:rsidR="00642EA6" w:rsidRPr="00642EA6">
        <w:rPr>
          <w:lang w:val="en-GB"/>
        </w:rPr>
        <w:t xml:space="preserve"> short to medium term </w:t>
      </w:r>
      <w:r w:rsidR="002705DE">
        <w:rPr>
          <w:lang w:val="en-GB"/>
        </w:rPr>
        <w:t xml:space="preserve">(one to five years) </w:t>
      </w:r>
      <w:r w:rsidR="00642EA6" w:rsidRPr="00642EA6">
        <w:rPr>
          <w:lang w:val="en-GB"/>
        </w:rPr>
        <w:t xml:space="preserve">capital appreciation by investing in listed and unlisted companies, mainly in Hong Kong and the PRC.  The </w:t>
      </w:r>
      <w:r>
        <w:rPr>
          <w:lang w:val="en-GB"/>
        </w:rPr>
        <w:t>company’s board is</w:t>
      </w:r>
      <w:r w:rsidR="00642EA6" w:rsidRPr="00642EA6">
        <w:rPr>
          <w:lang w:val="en-GB"/>
        </w:rPr>
        <w:t xml:space="preserve"> responsible for approving investment decisions</w:t>
      </w:r>
      <w:r w:rsidR="002705DE">
        <w:rPr>
          <w:lang w:val="en-GB"/>
        </w:rPr>
        <w:t xml:space="preserve">, formulating the company’s </w:t>
      </w:r>
      <w:r w:rsidR="007F1E15">
        <w:rPr>
          <w:lang w:val="en-GB"/>
        </w:rPr>
        <w:t xml:space="preserve">investment </w:t>
      </w:r>
      <w:r w:rsidR="002705DE">
        <w:rPr>
          <w:lang w:val="en-GB"/>
        </w:rPr>
        <w:t>objectives and policies,</w:t>
      </w:r>
      <w:r w:rsidR="00642EA6" w:rsidRPr="00642EA6">
        <w:rPr>
          <w:lang w:val="en-GB"/>
        </w:rPr>
        <w:t xml:space="preserve"> and supervising the</w:t>
      </w:r>
      <w:r w:rsidR="00B97E68">
        <w:rPr>
          <w:lang w:val="en-GB"/>
        </w:rPr>
        <w:t xml:space="preserve"> company’s</w:t>
      </w:r>
      <w:r w:rsidR="00642EA6" w:rsidRPr="00642EA6">
        <w:rPr>
          <w:lang w:val="en-GB"/>
        </w:rPr>
        <w:t xml:space="preserve"> investment manager</w:t>
      </w:r>
      <w:r w:rsidR="002E1C15">
        <w:rPr>
          <w:lang w:val="en-GB"/>
        </w:rPr>
        <w:t xml:space="preserve"> </w:t>
      </w:r>
      <w:r w:rsidR="007F1E15">
        <w:t>which</w:t>
      </w:r>
      <w:r w:rsidR="002E1C15">
        <w:t xml:space="preserve"> undertook all investment and management duties subject to the investment policies devised by the board. </w:t>
      </w:r>
    </w:p>
    <w:p w14:paraId="740A1D2D" w14:textId="77777777" w:rsidR="00CD527D" w:rsidRDefault="00CF45E5" w:rsidP="00267F20">
      <w:pPr>
        <w:pStyle w:val="a5"/>
        <w:rPr>
          <w:lang w:val="en-GB"/>
        </w:rPr>
      </w:pPr>
      <w:r>
        <w:rPr>
          <w:lang w:val="en-GB"/>
        </w:rPr>
        <w:t xml:space="preserve">NIFL </w:t>
      </w:r>
      <w:r w:rsidR="007F1E15">
        <w:rPr>
          <w:lang w:val="en-GB"/>
        </w:rPr>
        <w:t>recorded a loss in each of</w:t>
      </w:r>
      <w:r w:rsidR="00B97E68">
        <w:rPr>
          <w:lang w:val="en-GB"/>
        </w:rPr>
        <w:t xml:space="preserve"> the years </w:t>
      </w:r>
      <w:r>
        <w:rPr>
          <w:lang w:val="en-GB"/>
        </w:rPr>
        <w:t xml:space="preserve">2011 to 2018, </w:t>
      </w:r>
      <w:r w:rsidR="00B97E68">
        <w:rPr>
          <w:lang w:val="en-GB"/>
        </w:rPr>
        <w:t xml:space="preserve">with the </w:t>
      </w:r>
      <w:r>
        <w:rPr>
          <w:lang w:val="en-GB"/>
        </w:rPr>
        <w:t>except</w:t>
      </w:r>
      <w:r w:rsidR="00B97E68">
        <w:rPr>
          <w:lang w:val="en-GB"/>
        </w:rPr>
        <w:t>ion of 2012</w:t>
      </w:r>
      <w:r w:rsidR="00EE7375">
        <w:rPr>
          <w:lang w:val="en-GB"/>
        </w:rPr>
        <w:t>,</w:t>
      </w:r>
      <w:r w:rsidR="00163065">
        <w:rPr>
          <w:lang w:val="en-GB"/>
        </w:rPr>
        <w:t xml:space="preserve"> and </w:t>
      </w:r>
      <w:r w:rsidR="00163065">
        <w:t xml:space="preserve">incurred net operating cash outflows from 2012 to 2018 (except 2013), and net investing cash outflows from 2011 to 2017. The </w:t>
      </w:r>
      <w:r w:rsidR="00112755">
        <w:rPr>
          <w:lang w:val="en-GB"/>
        </w:rPr>
        <w:t xml:space="preserve">company’s </w:t>
      </w:r>
      <w:r w:rsidR="00507364">
        <w:rPr>
          <w:lang w:val="en-GB"/>
        </w:rPr>
        <w:t xml:space="preserve">cash and bank </w:t>
      </w:r>
      <w:r w:rsidR="00112755">
        <w:rPr>
          <w:lang w:val="en-GB"/>
        </w:rPr>
        <w:t xml:space="preserve">balance dropped from </w:t>
      </w:r>
      <w:r w:rsidR="00B97E68">
        <w:rPr>
          <w:lang w:val="en-GB"/>
        </w:rPr>
        <w:t>HK$59 million in 2011 to just</w:t>
      </w:r>
      <w:r w:rsidR="00112755">
        <w:rPr>
          <w:lang w:val="en-GB"/>
        </w:rPr>
        <w:t xml:space="preserve"> </w:t>
      </w:r>
      <w:r w:rsidR="00B97E68">
        <w:rPr>
          <w:lang w:val="en-GB"/>
        </w:rPr>
        <w:t>HK</w:t>
      </w:r>
      <w:r w:rsidR="00112755">
        <w:rPr>
          <w:lang w:val="en-GB"/>
        </w:rPr>
        <w:t xml:space="preserve">$0.1 million in 2018. </w:t>
      </w:r>
      <w:r w:rsidR="00163065">
        <w:rPr>
          <w:lang w:val="en-GB"/>
        </w:rPr>
        <w:t>B</w:t>
      </w:r>
      <w:r w:rsidR="00B97E68">
        <w:rPr>
          <w:lang w:val="en-GB"/>
        </w:rPr>
        <w:t>etween 2011 and</w:t>
      </w:r>
      <w:r w:rsidR="00746558">
        <w:rPr>
          <w:lang w:val="en-GB"/>
        </w:rPr>
        <w:t xml:space="preserve"> 2015</w:t>
      </w:r>
      <w:r w:rsidR="00E6313D">
        <w:rPr>
          <w:lang w:val="en-GB"/>
        </w:rPr>
        <w:t xml:space="preserve">, NIFL </w:t>
      </w:r>
      <w:r w:rsidR="00B97E68">
        <w:rPr>
          <w:lang w:val="en-GB"/>
        </w:rPr>
        <w:t xml:space="preserve">spent </w:t>
      </w:r>
      <w:r w:rsidR="00B97E68" w:rsidRPr="00E6313D">
        <w:rPr>
          <w:lang w:val="en-GB"/>
        </w:rPr>
        <w:t xml:space="preserve">over </w:t>
      </w:r>
      <w:r w:rsidR="00B97E68">
        <w:rPr>
          <w:lang w:val="en-GB"/>
        </w:rPr>
        <w:t>HK</w:t>
      </w:r>
      <w:r w:rsidR="00B97E68" w:rsidRPr="00E6313D">
        <w:rPr>
          <w:lang w:val="en-GB"/>
        </w:rPr>
        <w:t>$61 million</w:t>
      </w:r>
      <w:r w:rsidR="00B97E68">
        <w:rPr>
          <w:lang w:val="en-GB"/>
        </w:rPr>
        <w:t xml:space="preserve"> acquiring </w:t>
      </w:r>
      <w:r w:rsidR="00E6313D">
        <w:rPr>
          <w:lang w:val="en-GB"/>
        </w:rPr>
        <w:t>luxury assets</w:t>
      </w:r>
      <w:r w:rsidR="007F1E15">
        <w:rPr>
          <w:lang w:val="en-GB"/>
        </w:rPr>
        <w:t>,</w:t>
      </w:r>
      <w:r w:rsidR="00E6313D">
        <w:rPr>
          <w:lang w:val="en-GB"/>
        </w:rPr>
        <w:t xml:space="preserve"> </w:t>
      </w:r>
      <w:r w:rsidR="00B97E68">
        <w:rPr>
          <w:lang w:val="en-GB"/>
        </w:rPr>
        <w:t xml:space="preserve">including </w:t>
      </w:r>
      <w:r w:rsidR="00E6313D">
        <w:rPr>
          <w:lang w:val="en-GB"/>
        </w:rPr>
        <w:t xml:space="preserve">a </w:t>
      </w:r>
      <w:r w:rsidR="00B97E68">
        <w:rPr>
          <w:lang w:val="en-GB"/>
        </w:rPr>
        <w:t xml:space="preserve">HK$24.5 million </w:t>
      </w:r>
      <w:r w:rsidR="00E6313D">
        <w:rPr>
          <w:lang w:val="en-GB"/>
        </w:rPr>
        <w:t xml:space="preserve">yacht, </w:t>
      </w:r>
      <w:r w:rsidR="00B97E68">
        <w:rPr>
          <w:lang w:val="en-GB"/>
        </w:rPr>
        <w:t>a HK</w:t>
      </w:r>
      <w:r w:rsidR="00E6313D" w:rsidRPr="00E6313D">
        <w:rPr>
          <w:lang w:val="en-GB"/>
        </w:rPr>
        <w:t>$20 million</w:t>
      </w:r>
      <w:r w:rsidR="00EE7375">
        <w:rPr>
          <w:lang w:val="en-GB"/>
        </w:rPr>
        <w:t xml:space="preserve"> diamond</w:t>
      </w:r>
      <w:r w:rsidR="00E6313D" w:rsidRPr="00E6313D">
        <w:rPr>
          <w:lang w:val="en-GB"/>
        </w:rPr>
        <w:t>,</w:t>
      </w:r>
      <w:r w:rsidR="00E6313D">
        <w:rPr>
          <w:lang w:val="en-GB"/>
        </w:rPr>
        <w:t xml:space="preserve"> </w:t>
      </w:r>
      <w:r w:rsidR="00B97E68" w:rsidRPr="00E6313D">
        <w:rPr>
          <w:lang w:val="en-GB"/>
        </w:rPr>
        <w:t>cars</w:t>
      </w:r>
      <w:r w:rsidR="00B97E68">
        <w:rPr>
          <w:lang w:val="en-GB"/>
        </w:rPr>
        <w:t xml:space="preserve"> </w:t>
      </w:r>
      <w:r w:rsidR="00EE7375">
        <w:rPr>
          <w:lang w:val="en-GB"/>
        </w:rPr>
        <w:t xml:space="preserve">worth </w:t>
      </w:r>
      <w:r w:rsidR="00B97E68">
        <w:rPr>
          <w:lang w:val="en-GB"/>
        </w:rPr>
        <w:t>HK</w:t>
      </w:r>
      <w:r w:rsidR="00B97E68" w:rsidRPr="00E6313D">
        <w:rPr>
          <w:lang w:val="en-GB"/>
        </w:rPr>
        <w:t>$8.48 million</w:t>
      </w:r>
      <w:r w:rsidR="00B97E68">
        <w:rPr>
          <w:lang w:val="en-GB"/>
        </w:rPr>
        <w:t>,</w:t>
      </w:r>
      <w:r w:rsidR="00B97E68" w:rsidRPr="00E6313D">
        <w:rPr>
          <w:lang w:val="en-GB"/>
        </w:rPr>
        <w:t xml:space="preserve"> </w:t>
      </w:r>
      <w:r w:rsidR="00E6313D" w:rsidRPr="00E6313D">
        <w:rPr>
          <w:lang w:val="en-GB"/>
        </w:rPr>
        <w:t>furniture</w:t>
      </w:r>
      <w:r w:rsidR="00B97E68">
        <w:rPr>
          <w:lang w:val="en-GB"/>
        </w:rPr>
        <w:t>, paintings</w:t>
      </w:r>
      <w:r w:rsidR="00E6313D" w:rsidRPr="00E6313D">
        <w:rPr>
          <w:lang w:val="en-GB"/>
        </w:rPr>
        <w:t>, a club</w:t>
      </w:r>
      <w:r w:rsidR="0075014A">
        <w:rPr>
          <w:lang w:val="en-GB"/>
        </w:rPr>
        <w:t xml:space="preserve"> </w:t>
      </w:r>
      <w:r w:rsidR="00E6313D" w:rsidRPr="00E6313D">
        <w:rPr>
          <w:lang w:val="en-GB"/>
        </w:rPr>
        <w:t>membership</w:t>
      </w:r>
      <w:r w:rsidR="00F9066B">
        <w:rPr>
          <w:lang w:val="en-GB"/>
        </w:rPr>
        <w:t xml:space="preserve"> and </w:t>
      </w:r>
      <w:r w:rsidR="009B0706">
        <w:rPr>
          <w:lang w:val="en-GB"/>
        </w:rPr>
        <w:t xml:space="preserve">a </w:t>
      </w:r>
      <w:r w:rsidR="00E6313D" w:rsidRPr="00E6313D">
        <w:rPr>
          <w:lang w:val="en-GB"/>
        </w:rPr>
        <w:t>diamond ring</w:t>
      </w:r>
      <w:r w:rsidR="0075014A">
        <w:rPr>
          <w:lang w:val="en-GB"/>
        </w:rPr>
        <w:t xml:space="preserve">. </w:t>
      </w:r>
      <w:r w:rsidR="00EE7375">
        <w:rPr>
          <w:lang w:val="en-GB"/>
        </w:rPr>
        <w:t>The</w:t>
      </w:r>
      <w:r w:rsidR="00604743">
        <w:rPr>
          <w:lang w:val="en-GB"/>
        </w:rPr>
        <w:t xml:space="preserve"> acquisitions were </w:t>
      </w:r>
      <w:r w:rsidR="00507364">
        <w:rPr>
          <w:lang w:val="en-GB"/>
        </w:rPr>
        <w:t>made at a time when</w:t>
      </w:r>
      <w:r w:rsidR="00604743">
        <w:rPr>
          <w:lang w:val="en-GB"/>
        </w:rPr>
        <w:t xml:space="preserve"> the company’s financial position was significantly deteriorating</w:t>
      </w:r>
      <w:r w:rsidR="00507364">
        <w:rPr>
          <w:lang w:val="en-GB"/>
        </w:rPr>
        <w:t xml:space="preserve"> and were</w:t>
      </w:r>
      <w:r w:rsidR="00817544">
        <w:rPr>
          <w:lang w:val="en-GB"/>
        </w:rPr>
        <w:t xml:space="preserve"> not in </w:t>
      </w:r>
      <w:r w:rsidR="00507364">
        <w:rPr>
          <w:lang w:val="en-GB"/>
        </w:rPr>
        <w:t xml:space="preserve">line </w:t>
      </w:r>
      <w:r w:rsidR="00817544">
        <w:rPr>
          <w:lang w:val="en-GB"/>
        </w:rPr>
        <w:t xml:space="preserve">with the company’s investment objectives. </w:t>
      </w:r>
      <w:r w:rsidR="006C1DE6">
        <w:rPr>
          <w:lang w:val="en-GB"/>
        </w:rPr>
        <w:t xml:space="preserve">The acquisitions of the luxury assets were approved by </w:t>
      </w:r>
      <w:r w:rsidR="00CA6D93">
        <w:rPr>
          <w:lang w:val="en-GB"/>
        </w:rPr>
        <w:t>Mr Wong</w:t>
      </w:r>
      <w:r w:rsidR="006C1DE6">
        <w:rPr>
          <w:lang w:val="en-GB"/>
        </w:rPr>
        <w:t>, the company’s Chairman and sole substantial shareholder from 2010 to 2018</w:t>
      </w:r>
      <w:r w:rsidR="00806894">
        <w:rPr>
          <w:lang w:val="en-GB"/>
        </w:rPr>
        <w:t>, without convening a board meeting</w:t>
      </w:r>
      <w:r w:rsidR="006C1DE6">
        <w:rPr>
          <w:lang w:val="en-GB"/>
        </w:rPr>
        <w:t xml:space="preserve">. </w:t>
      </w:r>
      <w:r w:rsidR="00806894">
        <w:rPr>
          <w:lang w:val="en-GB"/>
        </w:rPr>
        <w:t>He also approved the</w:t>
      </w:r>
      <w:r w:rsidR="00EE7375">
        <w:rPr>
          <w:lang w:val="en-GB"/>
        </w:rPr>
        <w:t xml:space="preserve"> monthly financial updates sent</w:t>
      </w:r>
      <w:r w:rsidR="00806894">
        <w:rPr>
          <w:lang w:val="en-GB"/>
        </w:rPr>
        <w:t xml:space="preserve"> by the company’s chief financial officer to its directors.</w:t>
      </w:r>
      <w:r w:rsidR="00CA6D93">
        <w:rPr>
          <w:lang w:val="en-GB"/>
        </w:rPr>
        <w:t xml:space="preserve"> </w:t>
      </w:r>
      <w:r w:rsidR="00C276C0">
        <w:rPr>
          <w:lang w:val="en-GB"/>
        </w:rPr>
        <w:t xml:space="preserve">He submitted that these investments were </w:t>
      </w:r>
      <w:r w:rsidR="00806894">
        <w:rPr>
          <w:lang w:val="en-GB"/>
        </w:rPr>
        <w:t xml:space="preserve">needed </w:t>
      </w:r>
      <w:r w:rsidR="00C276C0">
        <w:rPr>
          <w:lang w:val="en-GB"/>
        </w:rPr>
        <w:t>for</w:t>
      </w:r>
      <w:r w:rsidR="00806894">
        <w:rPr>
          <w:lang w:val="en-GB"/>
        </w:rPr>
        <w:t xml:space="preserve"> meeting</w:t>
      </w:r>
      <w:r w:rsidR="00C276C0">
        <w:rPr>
          <w:lang w:val="en-GB"/>
        </w:rPr>
        <w:t xml:space="preserve"> </w:t>
      </w:r>
      <w:r w:rsidR="00806894">
        <w:rPr>
          <w:lang w:val="en-GB"/>
        </w:rPr>
        <w:t xml:space="preserve">investors, as </w:t>
      </w:r>
      <w:r w:rsidR="00C276C0">
        <w:rPr>
          <w:lang w:val="en-GB"/>
        </w:rPr>
        <w:t xml:space="preserve">alternate investment opportunities and to enhance the company’s image and reputation. </w:t>
      </w:r>
    </w:p>
    <w:p w14:paraId="430E3E09" w14:textId="77777777" w:rsidR="00267F20" w:rsidRDefault="00AB031A" w:rsidP="00267F20">
      <w:pPr>
        <w:pStyle w:val="a5"/>
        <w:rPr>
          <w:lang w:val="en-GB"/>
        </w:rPr>
      </w:pPr>
      <w:r>
        <w:rPr>
          <w:lang w:val="en-GB"/>
        </w:rPr>
        <w:t xml:space="preserve">The company disposed of the yacht in 2014 and the diamond in 2018 incurring losses of HK$4.5 million and HK$4 million, respectively. In 2019, NIFL announced a connected transaction involving a disposal of luxury assets to Mr Wong who had resigned a few days prior to the announcement. The company claimed that the disposal was made in settlement of a loan it owed to Mr Wong and it booked a loss of almost HK$6.2 million in respect of the assets/purported investments. </w:t>
      </w:r>
      <w:r w:rsidR="006F7CEB">
        <w:rPr>
          <w:lang w:val="en-GB"/>
        </w:rPr>
        <w:t xml:space="preserve">Mr Liu failed </w:t>
      </w:r>
      <w:r w:rsidR="006F7CEB">
        <w:rPr>
          <w:lang w:val="en-GB"/>
        </w:rPr>
        <w:lastRenderedPageBreak/>
        <w:t>to respond to the Listing Division’s enquiries and inform the HKEx in writing</w:t>
      </w:r>
      <w:r w:rsidR="00CD527D">
        <w:rPr>
          <w:lang w:val="en-GB"/>
        </w:rPr>
        <w:t xml:space="preserve"> of</w:t>
      </w:r>
      <w:r w:rsidR="006F7CEB">
        <w:rPr>
          <w:lang w:val="en-GB"/>
        </w:rPr>
        <w:t xml:space="preserve"> his up-to-date contact details. </w:t>
      </w:r>
    </w:p>
    <w:p w14:paraId="146EAE52" w14:textId="77777777" w:rsidR="00267F20" w:rsidRDefault="00267F20" w:rsidP="00267F20">
      <w:pPr>
        <w:pStyle w:val="a5"/>
        <w:rPr>
          <w:lang w:val="en-GB"/>
        </w:rPr>
      </w:pPr>
      <w:r w:rsidRPr="00EA0F77">
        <w:rPr>
          <w:lang w:val="en-GB"/>
        </w:rPr>
        <w:t xml:space="preserve">The other directors approved </w:t>
      </w:r>
      <w:r w:rsidR="00AB031A">
        <w:rPr>
          <w:lang w:val="en-GB"/>
        </w:rPr>
        <w:t xml:space="preserve">NIFL’s </w:t>
      </w:r>
      <w:r w:rsidRPr="00EA0F77">
        <w:rPr>
          <w:lang w:val="en-GB"/>
        </w:rPr>
        <w:t xml:space="preserve">monthly announcements of </w:t>
      </w:r>
      <w:r w:rsidR="00AB031A">
        <w:rPr>
          <w:lang w:val="en-GB"/>
        </w:rPr>
        <w:t>its</w:t>
      </w:r>
      <w:r w:rsidRPr="00EA0F77">
        <w:rPr>
          <w:lang w:val="en-GB"/>
        </w:rPr>
        <w:t xml:space="preserve"> net assets value per share</w:t>
      </w:r>
      <w:r w:rsidR="00AB031A">
        <w:rPr>
          <w:lang w:val="en-GB"/>
        </w:rPr>
        <w:t xml:space="preserve"> required under HKEx Listing Rule 21.12(3)</w:t>
      </w:r>
      <w:r w:rsidR="007F1E15">
        <w:rPr>
          <w:lang w:val="en-GB"/>
        </w:rPr>
        <w:t>.</w:t>
      </w:r>
      <w:r w:rsidRPr="00EA0F77">
        <w:rPr>
          <w:lang w:val="en-GB"/>
        </w:rPr>
        <w:t xml:space="preserve"> </w:t>
      </w:r>
      <w:r w:rsidR="00755B9C">
        <w:rPr>
          <w:lang w:val="en-GB"/>
        </w:rPr>
        <w:t xml:space="preserve">Their approval was given by written resolution following their receipt of monthly financial updates from the chief financial officer which set out, among others, the value of non-current assets, a breakdown of individual asset items, payments made and the total value of other tangible assets. </w:t>
      </w:r>
    </w:p>
    <w:p w14:paraId="75224B77" w14:textId="77777777" w:rsidR="00267F20" w:rsidRDefault="00755B9C" w:rsidP="00267F20">
      <w:pPr>
        <w:pStyle w:val="a5"/>
        <w:rPr>
          <w:lang w:val="en-GB"/>
        </w:rPr>
      </w:pPr>
      <w:r>
        <w:rPr>
          <w:b/>
          <w:bCs/>
          <w:lang w:val="en-GB"/>
        </w:rPr>
        <w:t xml:space="preserve">Directors’ </w:t>
      </w:r>
      <w:r w:rsidR="00002EF3">
        <w:rPr>
          <w:b/>
          <w:bCs/>
          <w:lang w:val="en-GB"/>
        </w:rPr>
        <w:t>Breach</w:t>
      </w:r>
      <w:r>
        <w:rPr>
          <w:b/>
          <w:bCs/>
          <w:lang w:val="en-GB"/>
        </w:rPr>
        <w:t>es</w:t>
      </w:r>
      <w:r w:rsidR="00002EF3">
        <w:rPr>
          <w:b/>
          <w:bCs/>
          <w:lang w:val="en-GB"/>
        </w:rPr>
        <w:t xml:space="preserve"> of </w:t>
      </w:r>
      <w:r w:rsidR="005D0DB7">
        <w:rPr>
          <w:b/>
          <w:bCs/>
          <w:lang w:val="en-GB"/>
        </w:rPr>
        <w:t xml:space="preserve">HKEx Listing </w:t>
      </w:r>
      <w:r w:rsidR="00267F20" w:rsidRPr="00267F20">
        <w:rPr>
          <w:b/>
          <w:bCs/>
          <w:lang w:val="en-GB"/>
        </w:rPr>
        <w:t xml:space="preserve">Rule Requirements </w:t>
      </w:r>
    </w:p>
    <w:p w14:paraId="3FB5FF9A" w14:textId="77777777" w:rsidR="00267F20" w:rsidRDefault="00E00B24" w:rsidP="000941A5">
      <w:pPr>
        <w:pStyle w:val="a5"/>
        <w:rPr>
          <w:lang w:val="en-GB"/>
        </w:rPr>
      </w:pPr>
      <w:r>
        <w:rPr>
          <w:lang w:val="en-GB"/>
        </w:rPr>
        <w:t xml:space="preserve">HKEx Listing </w:t>
      </w:r>
      <w:r w:rsidR="008740AB" w:rsidRPr="008740AB">
        <w:rPr>
          <w:lang w:val="en-GB"/>
        </w:rPr>
        <w:t xml:space="preserve">Rule 3.08 </w:t>
      </w:r>
      <w:r>
        <w:rPr>
          <w:lang w:val="en-GB"/>
        </w:rPr>
        <w:t>requires listed company</w:t>
      </w:r>
      <w:r w:rsidR="008740AB" w:rsidRPr="008740AB">
        <w:rPr>
          <w:lang w:val="en-GB"/>
        </w:rPr>
        <w:t xml:space="preserve"> directors</w:t>
      </w:r>
      <w:r w:rsidR="008740AB">
        <w:rPr>
          <w:lang w:val="en-GB"/>
        </w:rPr>
        <w:t xml:space="preserve"> </w:t>
      </w:r>
      <w:r w:rsidR="008740AB" w:rsidRPr="008740AB">
        <w:rPr>
          <w:lang w:val="en-GB"/>
        </w:rPr>
        <w:t>to fulfil fiduciary</w:t>
      </w:r>
      <w:r w:rsidR="008740AB">
        <w:rPr>
          <w:lang w:val="en-GB"/>
        </w:rPr>
        <w:t xml:space="preserve"> </w:t>
      </w:r>
      <w:r w:rsidR="008740AB" w:rsidRPr="008740AB">
        <w:rPr>
          <w:lang w:val="en-GB"/>
        </w:rPr>
        <w:t>duties and duties of skill, care and diligence to a standard at least commensurate with the standard</w:t>
      </w:r>
      <w:r w:rsidR="008740AB">
        <w:rPr>
          <w:lang w:val="en-GB"/>
        </w:rPr>
        <w:t xml:space="preserve"> </w:t>
      </w:r>
      <w:r w:rsidR="008740AB" w:rsidRPr="008740AB">
        <w:rPr>
          <w:lang w:val="en-GB"/>
        </w:rPr>
        <w:t>established by Hong Kong law</w:t>
      </w:r>
      <w:r w:rsidR="008740AB">
        <w:rPr>
          <w:lang w:val="en-GB"/>
        </w:rPr>
        <w:t xml:space="preserve">. </w:t>
      </w:r>
      <w:r>
        <w:rPr>
          <w:lang w:val="en-GB"/>
        </w:rPr>
        <w:t xml:space="preserve">They are also required to </w:t>
      </w:r>
      <w:r w:rsidR="000941A5" w:rsidRPr="000941A5">
        <w:rPr>
          <w:lang w:val="en-GB"/>
        </w:rPr>
        <w:t xml:space="preserve">act honestly and in good faith in the interests of the </w:t>
      </w:r>
      <w:r w:rsidR="000941A5">
        <w:rPr>
          <w:lang w:val="en-GB"/>
        </w:rPr>
        <w:t xml:space="preserve">company </w:t>
      </w:r>
      <w:r w:rsidR="000941A5" w:rsidRPr="000941A5">
        <w:rPr>
          <w:lang w:val="en-GB"/>
        </w:rPr>
        <w:t>as a whole, act for proper purpose, be</w:t>
      </w:r>
      <w:r w:rsidR="000941A5">
        <w:rPr>
          <w:lang w:val="en-GB"/>
        </w:rPr>
        <w:t xml:space="preserve"> </w:t>
      </w:r>
      <w:r w:rsidR="000941A5" w:rsidRPr="000941A5">
        <w:rPr>
          <w:lang w:val="en-GB"/>
        </w:rPr>
        <w:t xml:space="preserve">answerable to the company for the application or misapplication of its assets, and apply </w:t>
      </w:r>
      <w:r>
        <w:rPr>
          <w:lang w:val="en-GB"/>
        </w:rPr>
        <w:t xml:space="preserve">the </w:t>
      </w:r>
      <w:r w:rsidR="000941A5" w:rsidRPr="000941A5">
        <w:rPr>
          <w:lang w:val="en-GB"/>
        </w:rPr>
        <w:t>degree of skill, care and diligence as may reasonably be expected of a person of his knowledge</w:t>
      </w:r>
      <w:r w:rsidR="000941A5">
        <w:rPr>
          <w:lang w:val="en-GB"/>
        </w:rPr>
        <w:t xml:space="preserve"> </w:t>
      </w:r>
      <w:r w:rsidR="000941A5" w:rsidRPr="000941A5">
        <w:rPr>
          <w:lang w:val="en-GB"/>
        </w:rPr>
        <w:t xml:space="preserve">and experience and holding his office within the </w:t>
      </w:r>
      <w:r w:rsidR="000941A5">
        <w:rPr>
          <w:lang w:val="en-GB"/>
        </w:rPr>
        <w:t>company.</w:t>
      </w:r>
      <w:r w:rsidR="00AC7179">
        <w:rPr>
          <w:lang w:val="en-GB"/>
        </w:rPr>
        <w:t xml:space="preserve"> </w:t>
      </w:r>
      <w:r>
        <w:rPr>
          <w:lang w:val="en-GB"/>
        </w:rPr>
        <w:t xml:space="preserve">Directors also undertake, in their undertaking to the </w:t>
      </w:r>
      <w:r w:rsidR="00137454">
        <w:rPr>
          <w:lang w:val="en-GB"/>
        </w:rPr>
        <w:t>HKEx</w:t>
      </w:r>
      <w:r>
        <w:rPr>
          <w:lang w:val="en-GB"/>
        </w:rPr>
        <w:t xml:space="preserve"> (as set out at</w:t>
      </w:r>
      <w:r w:rsidR="00AC7179">
        <w:rPr>
          <w:lang w:val="en-GB"/>
        </w:rPr>
        <w:t xml:space="preserve"> Appendix 5B to the </w:t>
      </w:r>
      <w:r>
        <w:rPr>
          <w:lang w:val="en-GB"/>
        </w:rPr>
        <w:t xml:space="preserve">HKEx </w:t>
      </w:r>
      <w:r w:rsidR="00AC7179">
        <w:rPr>
          <w:lang w:val="en-GB"/>
        </w:rPr>
        <w:t>Listing Rules</w:t>
      </w:r>
      <w:r>
        <w:rPr>
          <w:lang w:val="en-GB"/>
        </w:rPr>
        <w:t>),</w:t>
      </w:r>
      <w:r w:rsidR="00AC7179">
        <w:rPr>
          <w:lang w:val="en-GB"/>
        </w:rPr>
        <w:t xml:space="preserve"> </w:t>
      </w:r>
      <w:r>
        <w:rPr>
          <w:lang w:val="en-GB"/>
        </w:rPr>
        <w:t>to comply to the best of their</w:t>
      </w:r>
      <w:r w:rsidR="00AC7179">
        <w:rPr>
          <w:lang w:val="en-GB"/>
        </w:rPr>
        <w:t xml:space="preserve"> ability with the </w:t>
      </w:r>
      <w:r>
        <w:rPr>
          <w:lang w:val="en-GB"/>
        </w:rPr>
        <w:t xml:space="preserve">HKEx </w:t>
      </w:r>
      <w:r w:rsidR="00AC7179">
        <w:rPr>
          <w:lang w:val="en-GB"/>
        </w:rPr>
        <w:t xml:space="preserve">Listing Rules, cooperate with any investigation conducted by the HKEx, and update </w:t>
      </w:r>
      <w:r>
        <w:rPr>
          <w:lang w:val="en-GB"/>
        </w:rPr>
        <w:t xml:space="preserve">their </w:t>
      </w:r>
      <w:r w:rsidR="00AC7179">
        <w:rPr>
          <w:lang w:val="en-GB"/>
        </w:rPr>
        <w:t xml:space="preserve">contact details in a timely manner. </w:t>
      </w:r>
    </w:p>
    <w:p w14:paraId="441B9C06" w14:textId="77777777" w:rsidR="0033479E" w:rsidRDefault="0033479E" w:rsidP="00267F20">
      <w:pPr>
        <w:pStyle w:val="a5"/>
        <w:rPr>
          <w:lang w:val="en-GB"/>
        </w:rPr>
      </w:pPr>
      <w:r>
        <w:rPr>
          <w:lang w:val="en-GB"/>
        </w:rPr>
        <w:t xml:space="preserve">The </w:t>
      </w:r>
      <w:r w:rsidR="007F1E15">
        <w:rPr>
          <w:lang w:val="en-GB"/>
        </w:rPr>
        <w:t xml:space="preserve">HKEx </w:t>
      </w:r>
      <w:r>
        <w:rPr>
          <w:lang w:val="en-GB"/>
        </w:rPr>
        <w:t xml:space="preserve">Listing Committee found that Mr Wong breached his fiduciary duties and </w:t>
      </w:r>
      <w:r w:rsidRPr="0033479E">
        <w:rPr>
          <w:lang w:val="en-GB"/>
        </w:rPr>
        <w:t xml:space="preserve">duties of skill, care and diligence under </w:t>
      </w:r>
      <w:r w:rsidR="00E00B24">
        <w:rPr>
          <w:lang w:val="en-GB"/>
        </w:rPr>
        <w:t xml:space="preserve">HKEx Listing </w:t>
      </w:r>
      <w:r w:rsidRPr="0033479E">
        <w:rPr>
          <w:lang w:val="en-GB"/>
        </w:rPr>
        <w:t>Rule</w:t>
      </w:r>
      <w:r>
        <w:rPr>
          <w:lang w:val="en-GB"/>
        </w:rPr>
        <w:t xml:space="preserve"> </w:t>
      </w:r>
      <w:r w:rsidRPr="0033479E">
        <w:rPr>
          <w:lang w:val="en-GB"/>
        </w:rPr>
        <w:t xml:space="preserve">3.08 in </w:t>
      </w:r>
      <w:r w:rsidR="00E00B24">
        <w:rPr>
          <w:lang w:val="en-GB"/>
        </w:rPr>
        <w:t>approving NIFL</w:t>
      </w:r>
      <w:r w:rsidRPr="0033479E">
        <w:rPr>
          <w:lang w:val="en-GB"/>
        </w:rPr>
        <w:t xml:space="preserve">’s acquisition of </w:t>
      </w:r>
      <w:r>
        <w:rPr>
          <w:lang w:val="en-GB"/>
        </w:rPr>
        <w:t xml:space="preserve">luxury </w:t>
      </w:r>
      <w:r w:rsidRPr="0033479E">
        <w:rPr>
          <w:lang w:val="en-GB"/>
        </w:rPr>
        <w:t>assets</w:t>
      </w:r>
      <w:r>
        <w:rPr>
          <w:lang w:val="en-GB"/>
        </w:rPr>
        <w:t xml:space="preserve">. </w:t>
      </w:r>
      <w:r w:rsidRPr="0033479E">
        <w:rPr>
          <w:lang w:val="en-GB"/>
        </w:rPr>
        <w:t>He failed to address, or did not care about, their suitability, necessity and</w:t>
      </w:r>
      <w:r>
        <w:rPr>
          <w:lang w:val="en-GB"/>
        </w:rPr>
        <w:t xml:space="preserve"> </w:t>
      </w:r>
      <w:r w:rsidRPr="0033479E">
        <w:rPr>
          <w:lang w:val="en-GB"/>
        </w:rPr>
        <w:t xml:space="preserve">benefits </w:t>
      </w:r>
      <w:r>
        <w:rPr>
          <w:lang w:val="en-GB"/>
        </w:rPr>
        <w:t xml:space="preserve">to NIFL </w:t>
      </w:r>
      <w:r w:rsidRPr="0033479E">
        <w:rPr>
          <w:lang w:val="en-GB"/>
        </w:rPr>
        <w:t xml:space="preserve">as a whole, with regard to at least </w:t>
      </w:r>
      <w:r>
        <w:rPr>
          <w:lang w:val="en-GB"/>
        </w:rPr>
        <w:t>its</w:t>
      </w:r>
      <w:r w:rsidRPr="0033479E">
        <w:rPr>
          <w:lang w:val="en-GB"/>
        </w:rPr>
        <w:t xml:space="preserve"> business</w:t>
      </w:r>
      <w:r>
        <w:rPr>
          <w:lang w:val="en-GB"/>
        </w:rPr>
        <w:t xml:space="preserve"> </w:t>
      </w:r>
      <w:r w:rsidRPr="0033479E">
        <w:rPr>
          <w:lang w:val="en-GB"/>
        </w:rPr>
        <w:t>nature, its investment objectives and policies, the utili</w:t>
      </w:r>
      <w:r>
        <w:rPr>
          <w:lang w:val="en-GB"/>
        </w:rPr>
        <w:t>s</w:t>
      </w:r>
      <w:r w:rsidRPr="0033479E">
        <w:rPr>
          <w:lang w:val="en-GB"/>
        </w:rPr>
        <w:t>ation of the assets by its employees,</w:t>
      </w:r>
      <w:r>
        <w:rPr>
          <w:lang w:val="en-GB"/>
        </w:rPr>
        <w:t xml:space="preserve"> </w:t>
      </w:r>
      <w:r w:rsidRPr="0033479E">
        <w:rPr>
          <w:lang w:val="en-GB"/>
        </w:rPr>
        <w:t xml:space="preserve">the </w:t>
      </w:r>
      <w:r w:rsidR="00E00B24">
        <w:rPr>
          <w:lang w:val="en-GB"/>
        </w:rPr>
        <w:t xml:space="preserve">company’s </w:t>
      </w:r>
      <w:r w:rsidRPr="0033479E">
        <w:rPr>
          <w:lang w:val="en-GB"/>
        </w:rPr>
        <w:t>financial performance at the material</w:t>
      </w:r>
      <w:r w:rsidR="00E00B24">
        <w:rPr>
          <w:lang w:val="en-GB"/>
        </w:rPr>
        <w:t xml:space="preserve"> time</w:t>
      </w:r>
      <w:r w:rsidRPr="0033479E">
        <w:rPr>
          <w:lang w:val="en-GB"/>
        </w:rPr>
        <w:t>, the estimated market value of the ring and</w:t>
      </w:r>
      <w:r>
        <w:rPr>
          <w:lang w:val="en-GB"/>
        </w:rPr>
        <w:t xml:space="preserve"> </w:t>
      </w:r>
      <w:r w:rsidR="00E00B24">
        <w:rPr>
          <w:lang w:val="en-GB"/>
        </w:rPr>
        <w:t>the p</w:t>
      </w:r>
      <w:r w:rsidRPr="0033479E">
        <w:rPr>
          <w:lang w:val="en-GB"/>
        </w:rPr>
        <w:t>ainting</w:t>
      </w:r>
      <w:r w:rsidR="00E00B24">
        <w:rPr>
          <w:lang w:val="en-GB"/>
        </w:rPr>
        <w:t>s</w:t>
      </w:r>
      <w:r w:rsidRPr="0033479E">
        <w:rPr>
          <w:lang w:val="en-GB"/>
        </w:rPr>
        <w:t xml:space="preserve">, and the benefit </w:t>
      </w:r>
      <w:r w:rsidR="00E00B24" w:rsidRPr="0033479E">
        <w:rPr>
          <w:lang w:val="en-GB"/>
        </w:rPr>
        <w:t xml:space="preserve">the </w:t>
      </w:r>
      <w:r w:rsidR="00E00B24">
        <w:rPr>
          <w:lang w:val="en-GB"/>
        </w:rPr>
        <w:t>c</w:t>
      </w:r>
      <w:r w:rsidR="00E00B24" w:rsidRPr="0033479E">
        <w:rPr>
          <w:lang w:val="en-GB"/>
        </w:rPr>
        <w:t xml:space="preserve">ompany </w:t>
      </w:r>
      <w:r w:rsidR="007F1E15">
        <w:rPr>
          <w:lang w:val="en-GB"/>
        </w:rPr>
        <w:t>would derive</w:t>
      </w:r>
      <w:r w:rsidR="00E00B24">
        <w:rPr>
          <w:lang w:val="en-GB"/>
        </w:rPr>
        <w:t xml:space="preserve"> from the assets</w:t>
      </w:r>
      <w:r w:rsidRPr="0033479E">
        <w:rPr>
          <w:lang w:val="en-GB"/>
        </w:rPr>
        <w:t xml:space="preserve">. </w:t>
      </w:r>
      <w:r w:rsidR="008B00FE">
        <w:rPr>
          <w:lang w:val="en-GB"/>
        </w:rPr>
        <w:t>H</w:t>
      </w:r>
      <w:r w:rsidRPr="0033479E">
        <w:rPr>
          <w:lang w:val="en-GB"/>
        </w:rPr>
        <w:t xml:space="preserve">e </w:t>
      </w:r>
      <w:r w:rsidR="008B00FE">
        <w:rPr>
          <w:lang w:val="en-GB"/>
        </w:rPr>
        <w:t>also breached his u</w:t>
      </w:r>
      <w:r w:rsidRPr="0033479E">
        <w:rPr>
          <w:lang w:val="en-GB"/>
        </w:rPr>
        <w:t>ndertaking to comply with the</w:t>
      </w:r>
      <w:r w:rsidR="008B00FE">
        <w:rPr>
          <w:lang w:val="en-GB"/>
        </w:rPr>
        <w:t xml:space="preserve"> HKEx</w:t>
      </w:r>
      <w:r w:rsidRPr="0033479E">
        <w:rPr>
          <w:lang w:val="en-GB"/>
        </w:rPr>
        <w:t xml:space="preserve"> Listing Rules to the best of his</w:t>
      </w:r>
      <w:r>
        <w:rPr>
          <w:lang w:val="en-GB"/>
        </w:rPr>
        <w:t xml:space="preserve"> </w:t>
      </w:r>
      <w:r w:rsidRPr="0033479E">
        <w:rPr>
          <w:lang w:val="en-GB"/>
        </w:rPr>
        <w:t>ability</w:t>
      </w:r>
      <w:r w:rsidR="00E62C49">
        <w:rPr>
          <w:lang w:val="en-GB"/>
        </w:rPr>
        <w:t>.</w:t>
      </w:r>
    </w:p>
    <w:p w14:paraId="723D6D4A" w14:textId="77777777" w:rsidR="00E62C49" w:rsidRDefault="00550F36" w:rsidP="00550F36">
      <w:pPr>
        <w:pStyle w:val="a5"/>
        <w:rPr>
          <w:lang w:val="en-GB"/>
        </w:rPr>
      </w:pPr>
      <w:r>
        <w:rPr>
          <w:lang w:val="en-GB"/>
        </w:rPr>
        <w:t xml:space="preserve">Although the other directors claimed that they were not involved </w:t>
      </w:r>
      <w:r w:rsidR="008B00FE">
        <w:rPr>
          <w:lang w:val="en-GB"/>
        </w:rPr>
        <w:t xml:space="preserve">in </w:t>
      </w:r>
      <w:r>
        <w:rPr>
          <w:lang w:val="en-GB"/>
        </w:rPr>
        <w:t>the acquisition of the</w:t>
      </w:r>
      <w:r w:rsidR="008B00FE">
        <w:rPr>
          <w:lang w:val="en-GB"/>
        </w:rPr>
        <w:t xml:space="preserve"> various</w:t>
      </w:r>
      <w:r>
        <w:rPr>
          <w:lang w:val="en-GB"/>
        </w:rPr>
        <w:t xml:space="preserve"> luxury items, they </w:t>
      </w:r>
      <w:r w:rsidR="008B00FE">
        <w:rPr>
          <w:lang w:val="en-GB"/>
        </w:rPr>
        <w:t xml:space="preserve">were found to have </w:t>
      </w:r>
      <w:r>
        <w:rPr>
          <w:lang w:val="en-GB"/>
        </w:rPr>
        <w:t>breached their</w:t>
      </w:r>
      <w:r w:rsidRPr="00550F36">
        <w:rPr>
          <w:lang w:val="en-GB"/>
        </w:rPr>
        <w:t xml:space="preserve"> fidu</w:t>
      </w:r>
      <w:r w:rsidR="00137454">
        <w:rPr>
          <w:lang w:val="en-GB"/>
        </w:rPr>
        <w:t>ciary and director</w:t>
      </w:r>
      <w:r w:rsidRPr="00550F36">
        <w:rPr>
          <w:lang w:val="en-GB"/>
        </w:rPr>
        <w:t>s</w:t>
      </w:r>
      <w:r w:rsidR="00137454">
        <w:rPr>
          <w:lang w:val="en-GB"/>
        </w:rPr>
        <w:t>’</w:t>
      </w:r>
      <w:r w:rsidRPr="00550F36">
        <w:rPr>
          <w:lang w:val="en-GB"/>
        </w:rPr>
        <w:t xml:space="preserve"> duties under </w:t>
      </w:r>
      <w:r w:rsidR="008B00FE">
        <w:rPr>
          <w:lang w:val="en-GB"/>
        </w:rPr>
        <w:t xml:space="preserve">HKEx Listing </w:t>
      </w:r>
      <w:r w:rsidRPr="00550F36">
        <w:rPr>
          <w:lang w:val="en-GB"/>
        </w:rPr>
        <w:t>Rule 3.08</w:t>
      </w:r>
      <w:r>
        <w:rPr>
          <w:lang w:val="en-GB"/>
        </w:rPr>
        <w:t xml:space="preserve"> </w:t>
      </w:r>
      <w:r w:rsidR="008B00FE">
        <w:rPr>
          <w:lang w:val="en-GB"/>
        </w:rPr>
        <w:t xml:space="preserve">in failing </w:t>
      </w:r>
      <w:r w:rsidRPr="00550F36">
        <w:rPr>
          <w:lang w:val="en-GB"/>
        </w:rPr>
        <w:t xml:space="preserve">to take an active interest in </w:t>
      </w:r>
      <w:r>
        <w:rPr>
          <w:lang w:val="en-GB"/>
        </w:rPr>
        <w:t xml:space="preserve">NIFL’s </w:t>
      </w:r>
      <w:r w:rsidRPr="00550F36">
        <w:rPr>
          <w:lang w:val="en-GB"/>
        </w:rPr>
        <w:t xml:space="preserve">affairs and </w:t>
      </w:r>
      <w:r w:rsidR="008B00FE">
        <w:rPr>
          <w:lang w:val="en-GB"/>
        </w:rPr>
        <w:t xml:space="preserve">to </w:t>
      </w:r>
      <w:r w:rsidRPr="00550F36">
        <w:rPr>
          <w:lang w:val="en-GB"/>
        </w:rPr>
        <w:t xml:space="preserve">follow up </w:t>
      </w:r>
      <w:r w:rsidR="008B00FE">
        <w:rPr>
          <w:lang w:val="en-GB"/>
        </w:rPr>
        <w:t xml:space="preserve">on </w:t>
      </w:r>
      <w:r w:rsidRPr="00550F36">
        <w:rPr>
          <w:lang w:val="en-GB"/>
        </w:rPr>
        <w:t xml:space="preserve">untoward </w:t>
      </w:r>
      <w:r w:rsidR="008B00FE">
        <w:rPr>
          <w:lang w:val="en-GB"/>
        </w:rPr>
        <w:t xml:space="preserve">matters coming </w:t>
      </w:r>
      <w:r w:rsidRPr="00550F36">
        <w:rPr>
          <w:lang w:val="en-GB"/>
        </w:rPr>
        <w:t xml:space="preserve">to their attention </w:t>
      </w:r>
      <w:r w:rsidR="008B00FE">
        <w:rPr>
          <w:lang w:val="en-GB"/>
        </w:rPr>
        <w:t xml:space="preserve">in relation to NIFL’s purchase of luxury </w:t>
      </w:r>
      <w:r w:rsidRPr="00550F36">
        <w:rPr>
          <w:lang w:val="en-GB"/>
        </w:rPr>
        <w:t xml:space="preserve">assets </w:t>
      </w:r>
      <w:r w:rsidR="008B00FE">
        <w:rPr>
          <w:lang w:val="en-GB"/>
        </w:rPr>
        <w:t xml:space="preserve">given the </w:t>
      </w:r>
      <w:r>
        <w:rPr>
          <w:lang w:val="en-GB"/>
        </w:rPr>
        <w:t>company’s financial s</w:t>
      </w:r>
      <w:r w:rsidR="008B00FE">
        <w:rPr>
          <w:lang w:val="en-GB"/>
        </w:rPr>
        <w:t>ituation. They also breach</w:t>
      </w:r>
      <w:r w:rsidR="00137454">
        <w:rPr>
          <w:lang w:val="en-GB"/>
        </w:rPr>
        <w:t xml:space="preserve">ed </w:t>
      </w:r>
      <w:r w:rsidR="008B00FE">
        <w:rPr>
          <w:lang w:val="en-GB"/>
        </w:rPr>
        <w:t>their u</w:t>
      </w:r>
      <w:r w:rsidRPr="00550F36">
        <w:rPr>
          <w:lang w:val="en-GB"/>
        </w:rPr>
        <w:t xml:space="preserve">ndertakings to comply with the </w:t>
      </w:r>
      <w:r w:rsidR="008B00FE">
        <w:rPr>
          <w:lang w:val="en-GB"/>
        </w:rPr>
        <w:t xml:space="preserve">HKEx </w:t>
      </w:r>
      <w:r w:rsidRPr="00550F36">
        <w:rPr>
          <w:lang w:val="en-GB"/>
        </w:rPr>
        <w:t>Listing</w:t>
      </w:r>
      <w:r>
        <w:rPr>
          <w:lang w:val="en-GB"/>
        </w:rPr>
        <w:t xml:space="preserve"> </w:t>
      </w:r>
      <w:r w:rsidRPr="00550F36">
        <w:rPr>
          <w:lang w:val="en-GB"/>
        </w:rPr>
        <w:t>Rules to the best of their ability.</w:t>
      </w:r>
    </w:p>
    <w:p w14:paraId="3996AB4A" w14:textId="77777777" w:rsidR="00AC7179" w:rsidRPr="00AC7179" w:rsidRDefault="00AC7179" w:rsidP="00AC7179">
      <w:pPr>
        <w:pStyle w:val="a5"/>
        <w:rPr>
          <w:lang w:val="en-GB"/>
        </w:rPr>
      </w:pPr>
      <w:r w:rsidRPr="00AC7179">
        <w:rPr>
          <w:lang w:val="en-GB"/>
        </w:rPr>
        <w:t xml:space="preserve">Mr Liu </w:t>
      </w:r>
      <w:r w:rsidR="008B00FE">
        <w:rPr>
          <w:lang w:val="en-GB"/>
        </w:rPr>
        <w:t>also breached his u</w:t>
      </w:r>
      <w:r w:rsidRPr="00AC7179">
        <w:rPr>
          <w:lang w:val="en-GB"/>
        </w:rPr>
        <w:t>ndertaking to cooperate in</w:t>
      </w:r>
      <w:r w:rsidR="008B00FE">
        <w:rPr>
          <w:lang w:val="en-GB"/>
        </w:rPr>
        <w:t xml:space="preserve"> any</w:t>
      </w:r>
      <w:r w:rsidRPr="00AC7179">
        <w:rPr>
          <w:lang w:val="en-GB"/>
        </w:rPr>
        <w:t xml:space="preserve"> </w:t>
      </w:r>
      <w:r w:rsidR="008B00FE">
        <w:rPr>
          <w:lang w:val="en-GB"/>
        </w:rPr>
        <w:t>HKEx</w:t>
      </w:r>
      <w:r w:rsidRPr="00AC7179">
        <w:rPr>
          <w:lang w:val="en-GB"/>
        </w:rPr>
        <w:t xml:space="preserve"> investigation by failing to</w:t>
      </w:r>
      <w:r w:rsidR="00D72003">
        <w:rPr>
          <w:lang w:val="en-GB"/>
        </w:rPr>
        <w:t xml:space="preserve"> </w:t>
      </w:r>
      <w:r w:rsidRPr="00AC7179">
        <w:rPr>
          <w:lang w:val="en-GB"/>
        </w:rPr>
        <w:t>respond to the Listing Division’s enquiry letter and reminder. H</w:t>
      </w:r>
      <w:r w:rsidR="008B00FE">
        <w:rPr>
          <w:lang w:val="en-GB"/>
        </w:rPr>
        <w:t>e also breached his</w:t>
      </w:r>
      <w:r w:rsidR="00D72003">
        <w:rPr>
          <w:lang w:val="en-GB"/>
        </w:rPr>
        <w:t xml:space="preserve"> </w:t>
      </w:r>
      <w:r w:rsidR="008B00FE">
        <w:rPr>
          <w:lang w:val="en-GB"/>
        </w:rPr>
        <w:t>u</w:t>
      </w:r>
      <w:r w:rsidRPr="00AC7179">
        <w:rPr>
          <w:lang w:val="en-GB"/>
        </w:rPr>
        <w:t>ndertaking to</w:t>
      </w:r>
      <w:r w:rsidR="00137454">
        <w:rPr>
          <w:lang w:val="en-GB"/>
        </w:rPr>
        <w:t xml:space="preserve"> inform the HKEx</w:t>
      </w:r>
      <w:r w:rsidR="008B00FE">
        <w:rPr>
          <w:lang w:val="en-GB"/>
        </w:rPr>
        <w:t xml:space="preserve"> of his</w:t>
      </w:r>
      <w:r w:rsidRPr="00AC7179">
        <w:rPr>
          <w:lang w:val="en-GB"/>
        </w:rPr>
        <w:t xml:space="preserve"> update</w:t>
      </w:r>
      <w:r w:rsidR="008B00FE">
        <w:rPr>
          <w:lang w:val="en-GB"/>
        </w:rPr>
        <w:t xml:space="preserve">d </w:t>
      </w:r>
      <w:r w:rsidRPr="00AC7179">
        <w:rPr>
          <w:lang w:val="en-GB"/>
        </w:rPr>
        <w:t>contact details.</w:t>
      </w:r>
    </w:p>
    <w:p w14:paraId="64361604" w14:textId="77777777" w:rsidR="00E93457" w:rsidRPr="00016656" w:rsidRDefault="008B00FE">
      <w:pPr>
        <w:pStyle w:val="a5"/>
        <w:rPr>
          <w:lang w:val="en-GB"/>
        </w:rPr>
      </w:pPr>
      <w:r>
        <w:rPr>
          <w:lang w:val="en-GB"/>
        </w:rPr>
        <w:t>Given the failure</w:t>
      </w:r>
      <w:r w:rsidR="00137454">
        <w:rPr>
          <w:lang w:val="en-GB"/>
        </w:rPr>
        <w:t>s</w:t>
      </w:r>
      <w:r>
        <w:rPr>
          <w:lang w:val="en-GB"/>
        </w:rPr>
        <w:t xml:space="preserve"> of</w:t>
      </w:r>
      <w:r w:rsidR="00E93457">
        <w:rPr>
          <w:lang w:val="en-GB"/>
        </w:rPr>
        <w:t xml:space="preserve"> </w:t>
      </w:r>
      <w:r w:rsidR="00AC7179" w:rsidRPr="00AC7179">
        <w:rPr>
          <w:lang w:val="en-GB"/>
        </w:rPr>
        <w:t xml:space="preserve">Mr Wong and Mr Liu to discharge their responsibilities under the </w:t>
      </w:r>
      <w:r>
        <w:rPr>
          <w:lang w:val="en-GB"/>
        </w:rPr>
        <w:t xml:space="preserve">HKEx </w:t>
      </w:r>
      <w:r w:rsidR="00AC7179" w:rsidRPr="00AC7179">
        <w:rPr>
          <w:lang w:val="en-GB"/>
        </w:rPr>
        <w:t>Listing Rules</w:t>
      </w:r>
      <w:r w:rsidR="00E93457">
        <w:rPr>
          <w:lang w:val="en-GB"/>
        </w:rPr>
        <w:t xml:space="preserve">, the HKEx issued </w:t>
      </w:r>
      <w:r w:rsidR="00AC7179" w:rsidRPr="00AC7179">
        <w:rPr>
          <w:lang w:val="en-GB"/>
        </w:rPr>
        <w:t>a public statement that</w:t>
      </w:r>
      <w:r>
        <w:rPr>
          <w:lang w:val="en-GB"/>
        </w:rPr>
        <w:t>,</w:t>
      </w:r>
      <w:r w:rsidR="00AC7179" w:rsidRPr="00AC7179">
        <w:rPr>
          <w:lang w:val="en-GB"/>
        </w:rPr>
        <w:t xml:space="preserve"> had </w:t>
      </w:r>
      <w:r w:rsidR="00E93457">
        <w:rPr>
          <w:lang w:val="en-GB"/>
        </w:rPr>
        <w:t>t</w:t>
      </w:r>
      <w:r w:rsidR="00AC7179" w:rsidRPr="00AC7179">
        <w:rPr>
          <w:lang w:val="en-GB"/>
        </w:rPr>
        <w:t>he</w:t>
      </w:r>
      <w:r w:rsidR="00E93457">
        <w:rPr>
          <w:lang w:val="en-GB"/>
        </w:rPr>
        <w:t>y</w:t>
      </w:r>
      <w:r w:rsidR="00AC7179" w:rsidRPr="00AC7179">
        <w:rPr>
          <w:lang w:val="en-GB"/>
        </w:rPr>
        <w:t xml:space="preserve"> remained on the</w:t>
      </w:r>
      <w:r>
        <w:rPr>
          <w:lang w:val="en-GB"/>
        </w:rPr>
        <w:t xml:space="preserve"> company’s</w:t>
      </w:r>
      <w:r w:rsidR="00AC7179" w:rsidRPr="00AC7179">
        <w:rPr>
          <w:lang w:val="en-GB"/>
        </w:rPr>
        <w:t xml:space="preserve"> </w:t>
      </w:r>
      <w:r w:rsidR="00E93457">
        <w:rPr>
          <w:lang w:val="en-GB"/>
        </w:rPr>
        <w:t>b</w:t>
      </w:r>
      <w:r w:rsidR="00AC7179" w:rsidRPr="00AC7179">
        <w:rPr>
          <w:lang w:val="en-GB"/>
        </w:rPr>
        <w:t>oard, the</w:t>
      </w:r>
      <w:r>
        <w:rPr>
          <w:lang w:val="en-GB"/>
        </w:rPr>
        <w:t>ir</w:t>
      </w:r>
      <w:r w:rsidR="00AC7179" w:rsidRPr="00AC7179">
        <w:rPr>
          <w:lang w:val="en-GB"/>
        </w:rPr>
        <w:t xml:space="preserve"> retention of office would have been prejudicial to the interests of</w:t>
      </w:r>
      <w:r w:rsidR="00D72003">
        <w:rPr>
          <w:lang w:val="en-GB"/>
        </w:rPr>
        <w:t xml:space="preserve"> </w:t>
      </w:r>
      <w:r w:rsidR="00AC7179" w:rsidRPr="00AC7179">
        <w:rPr>
          <w:lang w:val="en-GB"/>
        </w:rPr>
        <w:t>investors.</w:t>
      </w:r>
    </w:p>
    <w:p w14:paraId="09F77305" w14:textId="77777777" w:rsidR="005E63C1" w:rsidRPr="009D6AAE" w:rsidRDefault="00F61645" w:rsidP="005E63C1">
      <w:pPr>
        <w:pStyle w:val="a5"/>
        <w:rPr>
          <w:b/>
          <w:color w:val="FF0000"/>
          <w:lang w:val="en-GB"/>
        </w:rPr>
      </w:pPr>
      <w:r>
        <w:rPr>
          <w:b/>
          <w:color w:val="FF0000"/>
          <w:lang w:val="en-GB"/>
        </w:rPr>
        <w:t>SFC Obtains Court Order to Disqualify Former Directors of DBA Telecommunications (Asia) Holdings Limited</w:t>
      </w:r>
      <w:r w:rsidR="005E63C1">
        <w:rPr>
          <w:b/>
          <w:color w:val="FF0000"/>
          <w:lang w:val="en-GB"/>
        </w:rPr>
        <w:t xml:space="preserve"> </w:t>
      </w:r>
    </w:p>
    <w:p w14:paraId="750438F1" w14:textId="77777777" w:rsidR="00716ACD" w:rsidRPr="00716ACD" w:rsidRDefault="00A90E8B" w:rsidP="007F1E15">
      <w:pPr>
        <w:pStyle w:val="af4"/>
        <w:tabs>
          <w:tab w:val="left" w:pos="9923"/>
        </w:tabs>
        <w:spacing w:before="180" w:beforeAutospacing="0" w:after="180" w:afterAutospacing="0"/>
        <w:ind w:right="180"/>
        <w:jc w:val="both"/>
        <w:rPr>
          <w:rFonts w:asciiTheme="minorHAnsi" w:eastAsiaTheme="minorHAnsi" w:hAnsiTheme="minorHAnsi" w:cstheme="minorBidi"/>
          <w:color w:val="00000A"/>
          <w:lang w:val="en-GB"/>
        </w:rPr>
      </w:pPr>
      <w:r w:rsidRPr="00716ACD">
        <w:rPr>
          <w:rFonts w:asciiTheme="minorHAnsi" w:eastAsiaTheme="minorHAnsi" w:hAnsiTheme="minorHAnsi" w:cstheme="minorBidi"/>
          <w:color w:val="00000A"/>
          <w:lang w:val="en-GB"/>
        </w:rPr>
        <w:t>On</w:t>
      </w:r>
      <w:r w:rsidR="00016656" w:rsidRPr="00716ACD">
        <w:rPr>
          <w:rFonts w:asciiTheme="minorHAnsi" w:eastAsiaTheme="minorHAnsi" w:hAnsiTheme="minorHAnsi" w:cstheme="minorBidi"/>
          <w:color w:val="00000A"/>
          <w:lang w:val="en-GB"/>
        </w:rPr>
        <w:t xml:space="preserve"> 9 March 2022, t</w:t>
      </w:r>
      <w:r w:rsidRPr="00716ACD">
        <w:rPr>
          <w:rFonts w:asciiTheme="minorHAnsi" w:eastAsiaTheme="minorHAnsi" w:hAnsiTheme="minorHAnsi" w:cstheme="minorBidi"/>
          <w:color w:val="00000A"/>
          <w:lang w:val="en-GB"/>
        </w:rPr>
        <w:t>he SFC</w:t>
      </w:r>
      <w:r w:rsidR="00586C75" w:rsidRPr="00716ACD">
        <w:rPr>
          <w:rFonts w:asciiTheme="minorHAnsi" w:eastAsiaTheme="minorHAnsi" w:hAnsiTheme="minorHAnsi" w:cstheme="minorBidi"/>
          <w:color w:val="00000A"/>
          <w:lang w:val="en-GB"/>
        </w:rPr>
        <w:t xml:space="preserve"> obtained disqualification orders from the Court of First Instance </w:t>
      </w:r>
      <w:r w:rsidR="00016656" w:rsidRPr="00716ACD">
        <w:rPr>
          <w:rFonts w:asciiTheme="minorHAnsi" w:eastAsiaTheme="minorHAnsi" w:hAnsiTheme="minorHAnsi" w:cstheme="minorBidi"/>
          <w:color w:val="00000A"/>
          <w:lang w:val="en-GB"/>
        </w:rPr>
        <w:t xml:space="preserve">(the </w:t>
      </w:r>
      <w:r w:rsidR="00016656" w:rsidRPr="00716ACD">
        <w:rPr>
          <w:rFonts w:asciiTheme="minorHAnsi" w:eastAsiaTheme="minorHAnsi" w:hAnsiTheme="minorHAnsi" w:cstheme="minorBidi"/>
          <w:b/>
          <w:color w:val="00000A"/>
          <w:lang w:val="en-GB"/>
        </w:rPr>
        <w:t>CFI</w:t>
      </w:r>
      <w:r w:rsidR="00016656" w:rsidRPr="00716ACD">
        <w:rPr>
          <w:rFonts w:asciiTheme="minorHAnsi" w:eastAsiaTheme="minorHAnsi" w:hAnsiTheme="minorHAnsi" w:cstheme="minorBidi"/>
          <w:color w:val="00000A"/>
          <w:lang w:val="en-GB"/>
        </w:rPr>
        <w:t xml:space="preserve">) </w:t>
      </w:r>
      <w:r w:rsidR="00823FE9" w:rsidRPr="00716ACD">
        <w:rPr>
          <w:rFonts w:asciiTheme="minorHAnsi" w:eastAsiaTheme="minorHAnsi" w:hAnsiTheme="minorHAnsi" w:cstheme="minorBidi"/>
          <w:color w:val="00000A"/>
          <w:lang w:val="en-GB"/>
        </w:rPr>
        <w:t>against DBA Telecommunications (Asia) Holdings Limited’s (</w:t>
      </w:r>
      <w:r w:rsidR="00823FE9" w:rsidRPr="00716ACD">
        <w:rPr>
          <w:rFonts w:asciiTheme="minorHAnsi" w:eastAsiaTheme="minorHAnsi" w:hAnsiTheme="minorHAnsi" w:cstheme="minorBidi"/>
          <w:b/>
          <w:color w:val="00000A"/>
          <w:lang w:val="en-GB"/>
        </w:rPr>
        <w:t>DBA</w:t>
      </w:r>
      <w:r w:rsidR="00823FE9" w:rsidRPr="00716ACD">
        <w:rPr>
          <w:rFonts w:asciiTheme="minorHAnsi" w:eastAsiaTheme="minorHAnsi" w:hAnsiTheme="minorHAnsi" w:cstheme="minorBidi"/>
          <w:color w:val="00000A"/>
          <w:lang w:val="en-GB"/>
        </w:rPr>
        <w:t>) former executive director</w:t>
      </w:r>
      <w:r w:rsidR="00E4747F" w:rsidRPr="00716ACD">
        <w:rPr>
          <w:rFonts w:asciiTheme="minorHAnsi" w:eastAsiaTheme="minorHAnsi" w:hAnsiTheme="minorHAnsi" w:cstheme="minorBidi"/>
          <w:color w:val="00000A"/>
          <w:lang w:val="en-GB"/>
        </w:rPr>
        <w:t>,</w:t>
      </w:r>
      <w:r w:rsidR="00823FE9" w:rsidRPr="00716ACD">
        <w:rPr>
          <w:rFonts w:asciiTheme="minorHAnsi" w:eastAsiaTheme="minorHAnsi" w:hAnsiTheme="minorHAnsi" w:cstheme="minorBidi"/>
          <w:color w:val="00000A"/>
          <w:lang w:val="en-GB"/>
        </w:rPr>
        <w:t xml:space="preserve"> Mr Chan Wai Chuen</w:t>
      </w:r>
      <w:r w:rsidR="00E4747F" w:rsidRPr="00716ACD">
        <w:rPr>
          <w:rFonts w:asciiTheme="minorHAnsi" w:eastAsiaTheme="minorHAnsi" w:hAnsiTheme="minorHAnsi" w:cstheme="minorBidi"/>
          <w:color w:val="00000A"/>
          <w:lang w:val="en-GB"/>
        </w:rPr>
        <w:t>,</w:t>
      </w:r>
      <w:r w:rsidR="00823FE9" w:rsidRPr="00716ACD">
        <w:rPr>
          <w:rFonts w:asciiTheme="minorHAnsi" w:eastAsiaTheme="minorHAnsi" w:hAnsiTheme="minorHAnsi" w:cstheme="minorBidi"/>
          <w:color w:val="00000A"/>
          <w:lang w:val="en-GB"/>
        </w:rPr>
        <w:t xml:space="preserve"> and </w:t>
      </w:r>
      <w:r w:rsidR="00E4747F" w:rsidRPr="00716ACD">
        <w:rPr>
          <w:rFonts w:asciiTheme="minorHAnsi" w:eastAsiaTheme="minorHAnsi" w:hAnsiTheme="minorHAnsi" w:cstheme="minorBidi"/>
          <w:color w:val="00000A"/>
          <w:lang w:val="en-GB"/>
        </w:rPr>
        <w:t xml:space="preserve">its </w:t>
      </w:r>
      <w:r w:rsidR="00823FE9" w:rsidRPr="00716ACD">
        <w:rPr>
          <w:rFonts w:asciiTheme="minorHAnsi" w:eastAsiaTheme="minorHAnsi" w:hAnsiTheme="minorHAnsi" w:cstheme="minorBidi"/>
          <w:color w:val="00000A"/>
          <w:lang w:val="en-GB"/>
        </w:rPr>
        <w:t>former independent non-executive director</w:t>
      </w:r>
      <w:r w:rsidR="00E4747F" w:rsidRPr="00716ACD">
        <w:rPr>
          <w:rFonts w:asciiTheme="minorHAnsi" w:eastAsiaTheme="minorHAnsi" w:hAnsiTheme="minorHAnsi" w:cstheme="minorBidi"/>
          <w:color w:val="00000A"/>
          <w:lang w:val="en-GB"/>
        </w:rPr>
        <w:t>,</w:t>
      </w:r>
      <w:r w:rsidR="00823FE9" w:rsidRPr="00716ACD">
        <w:rPr>
          <w:rFonts w:asciiTheme="minorHAnsi" w:eastAsiaTheme="minorHAnsi" w:hAnsiTheme="minorHAnsi" w:cstheme="minorBidi"/>
          <w:color w:val="00000A"/>
          <w:lang w:val="en-GB"/>
        </w:rPr>
        <w:t xml:space="preserve"> Mr Yun Lok Ming. </w:t>
      </w:r>
      <w:r w:rsidR="008A3A7E" w:rsidRPr="00716ACD">
        <w:rPr>
          <w:rFonts w:asciiTheme="minorHAnsi" w:eastAsiaTheme="minorHAnsi" w:hAnsiTheme="minorHAnsi" w:cstheme="minorBidi"/>
          <w:color w:val="00000A"/>
          <w:lang w:val="en-GB"/>
        </w:rPr>
        <w:t xml:space="preserve">The CFI granted the disqualification orders under section 214 of the </w:t>
      </w:r>
      <w:r w:rsidR="00DA5EAE" w:rsidRPr="00716ACD">
        <w:rPr>
          <w:rFonts w:asciiTheme="minorHAnsi" w:eastAsiaTheme="minorHAnsi" w:hAnsiTheme="minorHAnsi" w:cstheme="minorBidi"/>
          <w:color w:val="00000A"/>
          <w:lang w:val="en-GB"/>
        </w:rPr>
        <w:t>Securities and Futures Ordinan</w:t>
      </w:r>
      <w:r w:rsidR="008A3A7E" w:rsidRPr="00716ACD">
        <w:rPr>
          <w:rFonts w:asciiTheme="minorHAnsi" w:eastAsiaTheme="minorHAnsi" w:hAnsiTheme="minorHAnsi" w:cstheme="minorBidi"/>
          <w:color w:val="00000A"/>
          <w:lang w:val="en-GB"/>
        </w:rPr>
        <w:t xml:space="preserve">ce (the </w:t>
      </w:r>
      <w:r w:rsidR="008A3A7E" w:rsidRPr="007F1E15">
        <w:rPr>
          <w:rFonts w:asciiTheme="minorHAnsi" w:eastAsiaTheme="minorHAnsi" w:hAnsiTheme="minorHAnsi" w:cstheme="minorBidi"/>
          <w:b/>
          <w:color w:val="00000A"/>
          <w:lang w:val="en-GB"/>
        </w:rPr>
        <w:t>SFO</w:t>
      </w:r>
      <w:r w:rsidR="008A3A7E" w:rsidRPr="00716ACD">
        <w:rPr>
          <w:rFonts w:asciiTheme="minorHAnsi" w:eastAsiaTheme="minorHAnsi" w:hAnsiTheme="minorHAnsi" w:cstheme="minorBidi"/>
          <w:color w:val="00000A"/>
          <w:lang w:val="en-GB"/>
        </w:rPr>
        <w:t xml:space="preserve">). </w:t>
      </w:r>
      <w:r w:rsidR="00E4747F" w:rsidRPr="00716ACD">
        <w:rPr>
          <w:rFonts w:asciiTheme="minorHAnsi" w:eastAsiaTheme="minorHAnsi" w:hAnsiTheme="minorHAnsi" w:cstheme="minorBidi"/>
          <w:color w:val="00000A"/>
          <w:lang w:val="en-GB"/>
        </w:rPr>
        <w:t> </w:t>
      </w:r>
      <w:r w:rsidR="00716ACD">
        <w:rPr>
          <w:rFonts w:asciiTheme="minorHAnsi" w:eastAsiaTheme="minorHAnsi" w:hAnsiTheme="minorHAnsi" w:cstheme="minorBidi"/>
          <w:color w:val="00000A"/>
          <w:lang w:val="en-GB"/>
        </w:rPr>
        <w:t>Section 214 allows the SFC to petition the CFI for various types of order specified in the section where</w:t>
      </w:r>
      <w:r w:rsidR="00E4747F" w:rsidRPr="00716ACD">
        <w:rPr>
          <w:rFonts w:asciiTheme="minorHAnsi" w:eastAsiaTheme="minorHAnsi" w:hAnsiTheme="minorHAnsi" w:cstheme="minorBidi"/>
          <w:color w:val="00000A"/>
          <w:lang w:val="en-GB"/>
        </w:rPr>
        <w:t xml:space="preserve"> the </w:t>
      </w:r>
      <w:r w:rsidR="00716ACD">
        <w:rPr>
          <w:rFonts w:asciiTheme="minorHAnsi" w:eastAsiaTheme="minorHAnsi" w:hAnsiTheme="minorHAnsi" w:cstheme="minorBidi"/>
          <w:color w:val="00000A"/>
          <w:lang w:val="en-GB"/>
        </w:rPr>
        <w:t xml:space="preserve">SFC considers that a listed company’s </w:t>
      </w:r>
      <w:r w:rsidR="00E4747F" w:rsidRPr="00716ACD">
        <w:rPr>
          <w:rFonts w:asciiTheme="minorHAnsi" w:eastAsiaTheme="minorHAnsi" w:hAnsiTheme="minorHAnsi" w:cstheme="minorBidi"/>
          <w:color w:val="00000A"/>
          <w:lang w:val="en-GB"/>
        </w:rPr>
        <w:t>business or affairs have been conducted in a manner</w:t>
      </w:r>
      <w:r w:rsidR="00716ACD">
        <w:rPr>
          <w:rFonts w:asciiTheme="minorHAnsi" w:eastAsiaTheme="minorHAnsi" w:hAnsiTheme="minorHAnsi" w:cstheme="minorBidi"/>
          <w:color w:val="00000A"/>
          <w:lang w:val="en-GB"/>
        </w:rPr>
        <w:t>:</w:t>
      </w:r>
      <w:r w:rsidR="00E4747F" w:rsidRPr="00716ACD">
        <w:rPr>
          <w:rFonts w:asciiTheme="minorHAnsi" w:eastAsiaTheme="minorHAnsi" w:hAnsiTheme="minorHAnsi" w:cstheme="minorBidi"/>
          <w:color w:val="00000A"/>
          <w:lang w:val="en-GB"/>
        </w:rPr>
        <w:t> </w:t>
      </w:r>
    </w:p>
    <w:p w14:paraId="3E09633F" w14:textId="77777777" w:rsidR="00716ACD" w:rsidRDefault="00716ACD" w:rsidP="00716ACD">
      <w:pPr>
        <w:pStyle w:val="af0"/>
        <w:numPr>
          <w:ilvl w:val="0"/>
          <w:numId w:val="19"/>
        </w:numPr>
        <w:shd w:val="clear" w:color="auto" w:fill="FFFFFF"/>
        <w:spacing w:after="80" w:line="260" w:lineRule="atLeast"/>
        <w:jc w:val="both"/>
        <w:rPr>
          <w:lang w:val="en-GB"/>
        </w:rPr>
      </w:pPr>
      <w:r w:rsidRPr="00716ACD">
        <w:rPr>
          <w:lang w:val="en-GB"/>
        </w:rPr>
        <w:t>oppressive to its members or any part of its members;</w:t>
      </w:r>
    </w:p>
    <w:p w14:paraId="09313EBB" w14:textId="77777777" w:rsidR="00716ACD" w:rsidRDefault="00716ACD" w:rsidP="00716ACD">
      <w:pPr>
        <w:pStyle w:val="af0"/>
        <w:shd w:val="clear" w:color="auto" w:fill="FFFFFF"/>
        <w:spacing w:after="80" w:line="260" w:lineRule="atLeast"/>
        <w:jc w:val="both"/>
        <w:rPr>
          <w:lang w:val="en-GB"/>
        </w:rPr>
      </w:pPr>
    </w:p>
    <w:p w14:paraId="4140536A" w14:textId="77777777" w:rsidR="00716ACD" w:rsidRPr="00716ACD" w:rsidRDefault="00716ACD" w:rsidP="00716ACD">
      <w:pPr>
        <w:pStyle w:val="af0"/>
        <w:numPr>
          <w:ilvl w:val="0"/>
          <w:numId w:val="19"/>
        </w:numPr>
        <w:shd w:val="clear" w:color="auto" w:fill="FFFFFF"/>
        <w:spacing w:after="80" w:line="260" w:lineRule="atLeast"/>
        <w:jc w:val="both"/>
        <w:rPr>
          <w:lang w:val="en-GB"/>
        </w:rPr>
      </w:pPr>
      <w:r w:rsidRPr="00716ACD">
        <w:rPr>
          <w:lang w:val="en-GB"/>
        </w:rPr>
        <w:lastRenderedPageBreak/>
        <w:t>involving defalcation, fraud, misfeasance or other misconduct towards it or its members or any part of its members;</w:t>
      </w:r>
    </w:p>
    <w:p w14:paraId="5BCCEE49" w14:textId="77777777" w:rsidR="00716ACD" w:rsidRDefault="00716ACD" w:rsidP="00716ACD">
      <w:pPr>
        <w:pStyle w:val="af0"/>
        <w:shd w:val="clear" w:color="auto" w:fill="FFFFFF"/>
        <w:spacing w:after="80" w:line="260" w:lineRule="atLeast"/>
        <w:jc w:val="both"/>
        <w:rPr>
          <w:lang w:val="en-GB"/>
        </w:rPr>
      </w:pPr>
    </w:p>
    <w:p w14:paraId="5FDE4C1F" w14:textId="77777777" w:rsidR="00716ACD" w:rsidRPr="00716ACD" w:rsidRDefault="00716ACD" w:rsidP="00716ACD">
      <w:pPr>
        <w:pStyle w:val="af0"/>
        <w:numPr>
          <w:ilvl w:val="0"/>
          <w:numId w:val="19"/>
        </w:numPr>
        <w:shd w:val="clear" w:color="auto" w:fill="FFFFFF"/>
        <w:spacing w:after="80" w:line="260" w:lineRule="atLeast"/>
        <w:jc w:val="both"/>
        <w:rPr>
          <w:lang w:val="en-GB"/>
        </w:rPr>
      </w:pPr>
      <w:r w:rsidRPr="00716ACD">
        <w:rPr>
          <w:lang w:val="en-GB"/>
        </w:rPr>
        <w:t xml:space="preserve">resulting in its members or any part of its members not </w:t>
      </w:r>
      <w:r>
        <w:rPr>
          <w:lang w:val="en-GB"/>
        </w:rPr>
        <w:t xml:space="preserve">being </w:t>
      </w:r>
      <w:r w:rsidRPr="00716ACD">
        <w:rPr>
          <w:lang w:val="en-GB"/>
        </w:rPr>
        <w:t>given all the information with respect to its business or affairs that they might reasonably expect; or</w:t>
      </w:r>
    </w:p>
    <w:p w14:paraId="6E1B26C9" w14:textId="77777777" w:rsidR="00716ACD" w:rsidRDefault="00716ACD" w:rsidP="00716ACD">
      <w:pPr>
        <w:pStyle w:val="af0"/>
        <w:shd w:val="clear" w:color="auto" w:fill="FFFFFF"/>
        <w:spacing w:after="80" w:line="260" w:lineRule="atLeast"/>
        <w:jc w:val="both"/>
        <w:rPr>
          <w:lang w:val="en-GB"/>
        </w:rPr>
      </w:pPr>
    </w:p>
    <w:p w14:paraId="22ABF1F2" w14:textId="77777777" w:rsidR="00716ACD" w:rsidRPr="00716ACD" w:rsidRDefault="00716ACD" w:rsidP="00716ACD">
      <w:pPr>
        <w:pStyle w:val="af0"/>
        <w:numPr>
          <w:ilvl w:val="0"/>
          <w:numId w:val="19"/>
        </w:numPr>
        <w:shd w:val="clear" w:color="auto" w:fill="FFFFFF"/>
        <w:spacing w:after="80" w:line="260" w:lineRule="atLeast"/>
        <w:jc w:val="both"/>
        <w:rPr>
          <w:lang w:val="en-GB"/>
        </w:rPr>
      </w:pPr>
      <w:r w:rsidRPr="00716ACD">
        <w:rPr>
          <w:lang w:val="en-GB"/>
        </w:rPr>
        <w:t>unfairly prejudicial to its mem</w:t>
      </w:r>
      <w:r>
        <w:rPr>
          <w:lang w:val="en-GB"/>
        </w:rPr>
        <w:t>bers or any part of its members.</w:t>
      </w:r>
    </w:p>
    <w:p w14:paraId="396D8D62" w14:textId="77777777" w:rsidR="00E93457" w:rsidRDefault="00EE6329" w:rsidP="00E4747F">
      <w:pPr>
        <w:pStyle w:val="a5"/>
        <w:rPr>
          <w:bCs/>
          <w:color w:val="000000" w:themeColor="text1"/>
          <w:lang w:val="en-GB"/>
        </w:rPr>
      </w:pPr>
      <w:r>
        <w:rPr>
          <w:bCs/>
          <w:color w:val="000000" w:themeColor="text1"/>
          <w:lang w:val="en-GB"/>
        </w:rPr>
        <w:t xml:space="preserve">The </w:t>
      </w:r>
      <w:r w:rsidR="008A3A7E">
        <w:rPr>
          <w:bCs/>
          <w:color w:val="000000" w:themeColor="text1"/>
          <w:lang w:val="en-GB"/>
        </w:rPr>
        <w:t xml:space="preserve">CFI’s </w:t>
      </w:r>
      <w:r>
        <w:rPr>
          <w:bCs/>
          <w:color w:val="000000" w:themeColor="text1"/>
          <w:lang w:val="en-GB"/>
        </w:rPr>
        <w:t>j</w:t>
      </w:r>
      <w:r w:rsidR="008A3A7E">
        <w:rPr>
          <w:bCs/>
          <w:color w:val="000000" w:themeColor="text1"/>
          <w:lang w:val="en-GB"/>
        </w:rPr>
        <w:t>udg</w:t>
      </w:r>
      <w:r w:rsidR="00677113" w:rsidRPr="00677113">
        <w:rPr>
          <w:bCs/>
          <w:color w:val="000000" w:themeColor="text1"/>
          <w:lang w:val="en-GB"/>
        </w:rPr>
        <w:t>ment</w:t>
      </w:r>
      <w:r w:rsidR="008A3A7E">
        <w:rPr>
          <w:bCs/>
          <w:color w:val="000000" w:themeColor="text1"/>
          <w:lang w:val="en-GB"/>
        </w:rPr>
        <w:t xml:space="preserve"> is available</w:t>
      </w:r>
      <w:r w:rsidR="00677113" w:rsidRPr="00677113">
        <w:rPr>
          <w:bCs/>
          <w:color w:val="000000" w:themeColor="text1"/>
          <w:lang w:val="en-GB"/>
        </w:rPr>
        <w:t xml:space="preserve"> </w:t>
      </w:r>
      <w:hyperlink r:id="rId10" w:history="1">
        <w:r w:rsidR="00677113" w:rsidRPr="00677113">
          <w:rPr>
            <w:rStyle w:val="af"/>
            <w:bCs/>
            <w:i/>
            <w:iCs/>
            <w:lang w:val="en-GB"/>
          </w:rPr>
          <w:t>here</w:t>
        </w:r>
      </w:hyperlink>
      <w:r w:rsidR="00677113" w:rsidRPr="00677113">
        <w:rPr>
          <w:bCs/>
          <w:color w:val="000000" w:themeColor="text1"/>
          <w:lang w:val="en-GB"/>
        </w:rPr>
        <w:t>.</w:t>
      </w:r>
    </w:p>
    <w:p w14:paraId="3AD5B27B" w14:textId="77777777" w:rsidR="00BE2BC8" w:rsidRDefault="0058748E" w:rsidP="00390740">
      <w:pPr>
        <w:pStyle w:val="a5"/>
        <w:rPr>
          <w:b/>
          <w:color w:val="000000" w:themeColor="text1"/>
          <w:lang w:val="en-GB"/>
        </w:rPr>
      </w:pPr>
      <w:r>
        <w:rPr>
          <w:b/>
          <w:color w:val="000000" w:themeColor="text1"/>
          <w:lang w:val="en-GB"/>
        </w:rPr>
        <w:t>Misstatement</w:t>
      </w:r>
      <w:r w:rsidR="00BE2BC8">
        <w:rPr>
          <w:b/>
          <w:color w:val="000000" w:themeColor="text1"/>
          <w:lang w:val="en-GB"/>
        </w:rPr>
        <w:t xml:space="preserve"> </w:t>
      </w:r>
      <w:r w:rsidR="002137B7">
        <w:rPr>
          <w:b/>
          <w:color w:val="000000" w:themeColor="text1"/>
          <w:lang w:val="en-GB"/>
        </w:rPr>
        <w:t>of Listed</w:t>
      </w:r>
      <w:r w:rsidR="00BE2BC8">
        <w:rPr>
          <w:b/>
          <w:color w:val="000000" w:themeColor="text1"/>
          <w:lang w:val="en-GB"/>
        </w:rPr>
        <w:t xml:space="preserve"> Company’s Financial Position</w:t>
      </w:r>
    </w:p>
    <w:p w14:paraId="332CF645" w14:textId="77777777" w:rsidR="00BB36E0" w:rsidRDefault="00EE6329" w:rsidP="00390740">
      <w:pPr>
        <w:pStyle w:val="a5"/>
        <w:rPr>
          <w:bCs/>
          <w:color w:val="000000" w:themeColor="text1"/>
          <w:lang w:val="en-GB"/>
        </w:rPr>
      </w:pPr>
      <w:r>
        <w:rPr>
          <w:bCs/>
          <w:color w:val="000000" w:themeColor="text1"/>
          <w:lang w:val="en-GB"/>
        </w:rPr>
        <w:t>DBA</w:t>
      </w:r>
      <w:r w:rsidR="001930F9">
        <w:rPr>
          <w:bCs/>
          <w:color w:val="000000" w:themeColor="text1"/>
          <w:lang w:val="en-GB"/>
        </w:rPr>
        <w:t xml:space="preserve"> </w:t>
      </w:r>
      <w:r w:rsidR="00BE2BC8">
        <w:rPr>
          <w:bCs/>
          <w:color w:val="000000" w:themeColor="text1"/>
          <w:lang w:val="en-GB"/>
        </w:rPr>
        <w:t xml:space="preserve">had been </w:t>
      </w:r>
      <w:r w:rsidR="00716ACD">
        <w:rPr>
          <w:bCs/>
          <w:color w:val="000000" w:themeColor="text1"/>
          <w:lang w:val="en-GB"/>
        </w:rPr>
        <w:t xml:space="preserve">listed on the Main Board of the HKEx </w:t>
      </w:r>
      <w:r w:rsidR="00BE2BC8">
        <w:rPr>
          <w:bCs/>
          <w:color w:val="000000" w:themeColor="text1"/>
          <w:lang w:val="en-GB"/>
        </w:rPr>
        <w:t>s</w:t>
      </w:r>
      <w:r w:rsidR="00716ACD">
        <w:rPr>
          <w:bCs/>
          <w:color w:val="000000" w:themeColor="text1"/>
          <w:lang w:val="en-GB"/>
        </w:rPr>
        <w:t>in</w:t>
      </w:r>
      <w:r w:rsidR="00BE2BC8">
        <w:rPr>
          <w:bCs/>
          <w:color w:val="000000" w:themeColor="text1"/>
          <w:lang w:val="en-GB"/>
        </w:rPr>
        <w:t>ce</w:t>
      </w:r>
      <w:r w:rsidR="00716ACD">
        <w:rPr>
          <w:bCs/>
          <w:color w:val="000000" w:themeColor="text1"/>
          <w:lang w:val="en-GB"/>
        </w:rPr>
        <w:t xml:space="preserve"> May 2006</w:t>
      </w:r>
      <w:r w:rsidR="00BE2BC8">
        <w:rPr>
          <w:bCs/>
          <w:color w:val="000000" w:themeColor="text1"/>
          <w:lang w:val="en-GB"/>
        </w:rPr>
        <w:t xml:space="preserve"> and </w:t>
      </w:r>
      <w:r w:rsidR="001930F9">
        <w:rPr>
          <w:bCs/>
          <w:color w:val="000000" w:themeColor="text1"/>
          <w:lang w:val="en-GB"/>
        </w:rPr>
        <w:t xml:space="preserve">was </w:t>
      </w:r>
      <w:r w:rsidR="008A3A7E">
        <w:rPr>
          <w:bCs/>
          <w:color w:val="000000" w:themeColor="text1"/>
          <w:lang w:val="en-GB"/>
        </w:rPr>
        <w:t>primarily engaged</w:t>
      </w:r>
      <w:r w:rsidR="001930F9">
        <w:rPr>
          <w:bCs/>
          <w:color w:val="000000" w:themeColor="text1"/>
          <w:lang w:val="en-GB"/>
        </w:rPr>
        <w:t xml:space="preserve"> in </w:t>
      </w:r>
      <w:r w:rsidR="00390740">
        <w:rPr>
          <w:bCs/>
          <w:color w:val="000000" w:themeColor="text1"/>
          <w:lang w:val="en-GB"/>
        </w:rPr>
        <w:t>the manuf</w:t>
      </w:r>
      <w:r w:rsidR="008A3A7E">
        <w:rPr>
          <w:bCs/>
          <w:color w:val="000000" w:themeColor="text1"/>
          <w:lang w:val="en-GB"/>
        </w:rPr>
        <w:t>acture and sale</w:t>
      </w:r>
      <w:r w:rsidR="00390740">
        <w:rPr>
          <w:bCs/>
          <w:color w:val="000000" w:themeColor="text1"/>
          <w:lang w:val="en-GB"/>
        </w:rPr>
        <w:t xml:space="preserve"> of telecommunications equipment and in payment services </w:t>
      </w:r>
      <w:r w:rsidR="008A3A7E">
        <w:rPr>
          <w:bCs/>
          <w:color w:val="000000" w:themeColor="text1"/>
          <w:lang w:val="en-GB"/>
        </w:rPr>
        <w:t xml:space="preserve">for </w:t>
      </w:r>
      <w:r w:rsidR="00390740">
        <w:rPr>
          <w:bCs/>
          <w:color w:val="000000" w:themeColor="text1"/>
          <w:lang w:val="en-GB"/>
        </w:rPr>
        <w:t>public utilit</w:t>
      </w:r>
      <w:r w:rsidR="008C2F5D">
        <w:rPr>
          <w:bCs/>
          <w:color w:val="000000" w:themeColor="text1"/>
          <w:lang w:val="en-GB"/>
        </w:rPr>
        <w:t>ies</w:t>
      </w:r>
      <w:r w:rsidR="008A3A7E">
        <w:rPr>
          <w:bCs/>
          <w:color w:val="000000" w:themeColor="text1"/>
          <w:lang w:val="en-GB"/>
        </w:rPr>
        <w:t>,</w:t>
      </w:r>
      <w:r w:rsidR="00390740">
        <w:rPr>
          <w:bCs/>
          <w:color w:val="000000" w:themeColor="text1"/>
          <w:lang w:val="en-GB"/>
        </w:rPr>
        <w:t xml:space="preserve"> such as pre-paid phone cards. </w:t>
      </w:r>
    </w:p>
    <w:p w14:paraId="5EF089E2" w14:textId="77777777" w:rsidR="00354BE9" w:rsidRPr="007F1E15" w:rsidRDefault="0082051A" w:rsidP="00354BE9">
      <w:pPr>
        <w:pStyle w:val="af4"/>
        <w:spacing w:before="180" w:beforeAutospacing="0" w:after="180" w:afterAutospacing="0"/>
        <w:ind w:right="180"/>
        <w:jc w:val="both"/>
        <w:rPr>
          <w:rFonts w:asciiTheme="minorHAnsi" w:eastAsiaTheme="minorHAnsi" w:hAnsiTheme="minorHAnsi" w:cstheme="minorBidi"/>
          <w:bCs/>
          <w:color w:val="000000" w:themeColor="text1"/>
          <w:lang w:val="en-GB"/>
        </w:rPr>
      </w:pPr>
      <w:r w:rsidRPr="007F1E15">
        <w:rPr>
          <w:rFonts w:asciiTheme="minorHAnsi" w:eastAsiaTheme="minorHAnsi" w:hAnsiTheme="minorHAnsi" w:cstheme="minorBidi"/>
          <w:bCs/>
          <w:color w:val="000000" w:themeColor="text1"/>
          <w:lang w:val="en-GB"/>
        </w:rPr>
        <w:t xml:space="preserve">The SFC found </w:t>
      </w:r>
      <w:r w:rsidR="008A3A7E" w:rsidRPr="007F1E15">
        <w:rPr>
          <w:rFonts w:asciiTheme="minorHAnsi" w:eastAsiaTheme="minorHAnsi" w:hAnsiTheme="minorHAnsi" w:cstheme="minorBidi"/>
          <w:bCs/>
          <w:color w:val="000000" w:themeColor="text1"/>
          <w:lang w:val="en-GB"/>
        </w:rPr>
        <w:t xml:space="preserve">that </w:t>
      </w:r>
      <w:r w:rsidRPr="007F1E15">
        <w:rPr>
          <w:rFonts w:asciiTheme="minorHAnsi" w:eastAsiaTheme="minorHAnsi" w:hAnsiTheme="minorHAnsi" w:cstheme="minorBidi"/>
          <w:bCs/>
          <w:color w:val="000000" w:themeColor="text1"/>
          <w:lang w:val="en-GB"/>
        </w:rPr>
        <w:t xml:space="preserve">DBA’s financial statements </w:t>
      </w:r>
      <w:r w:rsidR="008A3A7E" w:rsidRPr="007F1E15">
        <w:rPr>
          <w:rFonts w:asciiTheme="minorHAnsi" w:eastAsiaTheme="minorHAnsi" w:hAnsiTheme="minorHAnsi" w:cstheme="minorBidi"/>
          <w:bCs/>
          <w:color w:val="000000" w:themeColor="text1"/>
          <w:lang w:val="en-GB"/>
        </w:rPr>
        <w:t xml:space="preserve">for the years ended 31 December 2010 to 2012 </w:t>
      </w:r>
      <w:r w:rsidR="00354BE9" w:rsidRPr="007F1E15">
        <w:rPr>
          <w:rFonts w:asciiTheme="minorHAnsi" w:eastAsiaTheme="minorHAnsi" w:hAnsiTheme="minorHAnsi" w:cstheme="minorBidi"/>
          <w:bCs/>
          <w:color w:val="000000" w:themeColor="text1"/>
          <w:lang w:val="en-GB"/>
        </w:rPr>
        <w:t xml:space="preserve">significantly </w:t>
      </w:r>
      <w:r w:rsidR="008A3A7E" w:rsidRPr="007F1E15">
        <w:rPr>
          <w:rFonts w:asciiTheme="minorHAnsi" w:eastAsiaTheme="minorHAnsi" w:hAnsiTheme="minorHAnsi" w:cstheme="minorBidi"/>
          <w:bCs/>
          <w:color w:val="000000" w:themeColor="text1"/>
          <w:lang w:val="en-GB"/>
        </w:rPr>
        <w:t>misstate</w:t>
      </w:r>
      <w:r w:rsidR="00BE2BC8" w:rsidRPr="007F1E15">
        <w:rPr>
          <w:rFonts w:asciiTheme="minorHAnsi" w:eastAsiaTheme="minorHAnsi" w:hAnsiTheme="minorHAnsi" w:cstheme="minorBidi"/>
          <w:bCs/>
          <w:color w:val="000000" w:themeColor="text1"/>
          <w:lang w:val="en-GB"/>
        </w:rPr>
        <w:t xml:space="preserve">d </w:t>
      </w:r>
      <w:r w:rsidR="008A3A7E" w:rsidRPr="007F1E15">
        <w:rPr>
          <w:rFonts w:asciiTheme="minorHAnsi" w:eastAsiaTheme="minorHAnsi" w:hAnsiTheme="minorHAnsi" w:cstheme="minorBidi"/>
          <w:bCs/>
          <w:color w:val="000000" w:themeColor="text1"/>
          <w:lang w:val="en-GB"/>
        </w:rPr>
        <w:t>its</w:t>
      </w:r>
      <w:r w:rsidRPr="007F1E15">
        <w:rPr>
          <w:rFonts w:asciiTheme="minorHAnsi" w:eastAsiaTheme="minorHAnsi" w:hAnsiTheme="minorHAnsi" w:cstheme="minorBidi"/>
          <w:bCs/>
          <w:color w:val="000000" w:themeColor="text1"/>
          <w:lang w:val="en-GB"/>
        </w:rPr>
        <w:t xml:space="preserve"> financial position</w:t>
      </w:r>
      <w:r w:rsidR="00BE2BC8" w:rsidRPr="007F1E15">
        <w:rPr>
          <w:rFonts w:asciiTheme="minorHAnsi" w:eastAsiaTheme="minorHAnsi" w:hAnsiTheme="minorHAnsi" w:cstheme="minorBidi"/>
          <w:bCs/>
          <w:color w:val="000000" w:themeColor="text1"/>
          <w:lang w:val="en-GB"/>
        </w:rPr>
        <w:t>, presenting it as</w:t>
      </w:r>
      <w:r w:rsidRPr="007F1E15">
        <w:rPr>
          <w:rFonts w:asciiTheme="minorHAnsi" w:eastAsiaTheme="minorHAnsi" w:hAnsiTheme="minorHAnsi" w:cstheme="minorBidi"/>
          <w:bCs/>
          <w:color w:val="000000" w:themeColor="text1"/>
          <w:lang w:val="en-GB"/>
        </w:rPr>
        <w:t xml:space="preserve"> </w:t>
      </w:r>
      <w:r w:rsidR="00BE2BC8" w:rsidRPr="007F1E15">
        <w:rPr>
          <w:rFonts w:asciiTheme="minorHAnsi" w:eastAsiaTheme="minorHAnsi" w:hAnsiTheme="minorHAnsi" w:cstheme="minorBidi"/>
          <w:bCs/>
          <w:color w:val="000000" w:themeColor="text1"/>
          <w:lang w:val="en-GB"/>
        </w:rPr>
        <w:t xml:space="preserve">much </w:t>
      </w:r>
      <w:r w:rsidR="008A3A7E" w:rsidRPr="007F1E15">
        <w:rPr>
          <w:rFonts w:asciiTheme="minorHAnsi" w:eastAsiaTheme="minorHAnsi" w:hAnsiTheme="minorHAnsi" w:cstheme="minorBidi"/>
          <w:bCs/>
          <w:color w:val="000000" w:themeColor="text1"/>
          <w:lang w:val="en-GB"/>
        </w:rPr>
        <w:t xml:space="preserve">more favourable than was </w:t>
      </w:r>
      <w:r w:rsidR="00BE2BC8" w:rsidRPr="007F1E15">
        <w:rPr>
          <w:rFonts w:asciiTheme="minorHAnsi" w:eastAsiaTheme="minorHAnsi" w:hAnsiTheme="minorHAnsi" w:cstheme="minorBidi"/>
          <w:bCs/>
          <w:color w:val="000000" w:themeColor="text1"/>
          <w:lang w:val="en-GB"/>
        </w:rPr>
        <w:t xml:space="preserve">in fact </w:t>
      </w:r>
      <w:r w:rsidR="008A3A7E" w:rsidRPr="007F1E15">
        <w:rPr>
          <w:rFonts w:asciiTheme="minorHAnsi" w:eastAsiaTheme="minorHAnsi" w:hAnsiTheme="minorHAnsi" w:cstheme="minorBidi"/>
          <w:bCs/>
          <w:color w:val="000000" w:themeColor="text1"/>
          <w:lang w:val="en-GB"/>
        </w:rPr>
        <w:t>the case.</w:t>
      </w:r>
      <w:r w:rsidRPr="007F1E15">
        <w:rPr>
          <w:rFonts w:asciiTheme="minorHAnsi" w:eastAsiaTheme="minorHAnsi" w:hAnsiTheme="minorHAnsi" w:cstheme="minorBidi"/>
          <w:bCs/>
          <w:color w:val="000000" w:themeColor="text1"/>
          <w:lang w:val="en-GB"/>
        </w:rPr>
        <w:t xml:space="preserve"> </w:t>
      </w:r>
      <w:r w:rsidR="00390740" w:rsidRPr="007F1E15">
        <w:rPr>
          <w:rFonts w:asciiTheme="minorHAnsi" w:eastAsiaTheme="minorHAnsi" w:hAnsiTheme="minorHAnsi" w:cstheme="minorBidi"/>
          <w:bCs/>
          <w:color w:val="000000" w:themeColor="text1"/>
          <w:lang w:val="en-GB"/>
        </w:rPr>
        <w:t xml:space="preserve">On 28 </w:t>
      </w:r>
      <w:r w:rsidR="009E4D2D" w:rsidRPr="007F1E15">
        <w:rPr>
          <w:rFonts w:asciiTheme="minorHAnsi" w:eastAsiaTheme="minorHAnsi" w:hAnsiTheme="minorHAnsi" w:cstheme="minorBidi"/>
          <w:bCs/>
          <w:color w:val="000000" w:themeColor="text1"/>
          <w:lang w:val="en-GB"/>
        </w:rPr>
        <w:t>M</w:t>
      </w:r>
      <w:r w:rsidR="00390740" w:rsidRPr="007F1E15">
        <w:rPr>
          <w:rFonts w:asciiTheme="minorHAnsi" w:eastAsiaTheme="minorHAnsi" w:hAnsiTheme="minorHAnsi" w:cstheme="minorBidi"/>
          <w:bCs/>
          <w:color w:val="000000" w:themeColor="text1"/>
          <w:lang w:val="en-GB"/>
        </w:rPr>
        <w:t xml:space="preserve">arch 2013, DBA published </w:t>
      </w:r>
      <w:r w:rsidR="00147ABC" w:rsidRPr="007F1E15">
        <w:rPr>
          <w:rFonts w:asciiTheme="minorHAnsi" w:eastAsiaTheme="minorHAnsi" w:hAnsiTheme="minorHAnsi" w:cstheme="minorBidi"/>
          <w:bCs/>
          <w:color w:val="000000" w:themeColor="text1"/>
          <w:lang w:val="en-GB"/>
        </w:rPr>
        <w:t xml:space="preserve">its </w:t>
      </w:r>
      <w:r w:rsidR="00390740" w:rsidRPr="007F1E15">
        <w:rPr>
          <w:rFonts w:asciiTheme="minorHAnsi" w:eastAsiaTheme="minorHAnsi" w:hAnsiTheme="minorHAnsi" w:cstheme="minorBidi"/>
          <w:bCs/>
          <w:color w:val="000000" w:themeColor="text1"/>
          <w:lang w:val="en-GB"/>
        </w:rPr>
        <w:t>results announcement for the year ended 31 December 201</w:t>
      </w:r>
      <w:r w:rsidR="00147ABC" w:rsidRPr="007F1E15">
        <w:rPr>
          <w:rFonts w:asciiTheme="minorHAnsi" w:eastAsiaTheme="minorHAnsi" w:hAnsiTheme="minorHAnsi" w:cstheme="minorBidi"/>
          <w:bCs/>
          <w:color w:val="000000" w:themeColor="text1"/>
          <w:lang w:val="en-GB"/>
        </w:rPr>
        <w:t>2</w:t>
      </w:r>
      <w:r w:rsidR="00390740" w:rsidRPr="007F1E15">
        <w:rPr>
          <w:rFonts w:asciiTheme="minorHAnsi" w:eastAsiaTheme="minorHAnsi" w:hAnsiTheme="minorHAnsi" w:cstheme="minorBidi"/>
          <w:bCs/>
          <w:color w:val="000000" w:themeColor="text1"/>
          <w:lang w:val="en-GB"/>
        </w:rPr>
        <w:t xml:space="preserve"> on the HKEx website </w:t>
      </w:r>
      <w:r w:rsidR="00354BE9" w:rsidRPr="007F1E15">
        <w:rPr>
          <w:rFonts w:asciiTheme="minorHAnsi" w:eastAsiaTheme="minorHAnsi" w:hAnsiTheme="minorHAnsi" w:cstheme="minorBidi"/>
          <w:bCs/>
          <w:color w:val="000000" w:themeColor="text1"/>
          <w:lang w:val="en-GB"/>
        </w:rPr>
        <w:t>including an express statement that “</w:t>
      </w:r>
      <w:r w:rsidR="00354BE9" w:rsidRPr="00ED7786">
        <w:rPr>
          <w:rFonts w:asciiTheme="minorHAnsi" w:eastAsiaTheme="minorHAnsi" w:hAnsiTheme="minorHAnsi" w:cstheme="minorBidi"/>
          <w:bCs/>
          <w:i/>
          <w:color w:val="000000" w:themeColor="text1"/>
          <w:lang w:val="en-GB"/>
        </w:rPr>
        <w:t>These financial statements also comply with the applicable disclosure provisions of the</w:t>
      </w:r>
      <w:r w:rsidR="00354BE9" w:rsidRPr="007F1E15">
        <w:rPr>
          <w:rFonts w:asciiTheme="minorHAnsi" w:eastAsiaTheme="minorHAnsi" w:hAnsiTheme="minorHAnsi" w:cstheme="minorBidi"/>
          <w:bCs/>
          <w:color w:val="000000" w:themeColor="text1"/>
          <w:lang w:val="en-GB"/>
        </w:rPr>
        <w:t>” HKEx Listing Rules. Read in the light of Listing Rule 13.49 and Appendix 16 of the HKEx Listing Rules, the announcement was found to impliedly represent that the financial statements disclosed had been “</w:t>
      </w:r>
      <w:r w:rsidR="00354BE9" w:rsidRPr="00ED7786">
        <w:rPr>
          <w:rFonts w:asciiTheme="minorHAnsi" w:eastAsiaTheme="minorHAnsi" w:hAnsiTheme="minorHAnsi" w:cstheme="minorBidi"/>
          <w:bCs/>
          <w:i/>
          <w:color w:val="000000" w:themeColor="text1"/>
          <w:lang w:val="en-GB"/>
        </w:rPr>
        <w:t>agreed with the auditors</w:t>
      </w:r>
      <w:r w:rsidR="00354BE9" w:rsidRPr="007F1E15">
        <w:rPr>
          <w:rFonts w:asciiTheme="minorHAnsi" w:eastAsiaTheme="minorHAnsi" w:hAnsiTheme="minorHAnsi" w:cstheme="minorBidi"/>
          <w:bCs/>
          <w:color w:val="000000" w:themeColor="text1"/>
          <w:lang w:val="en-GB"/>
        </w:rPr>
        <w:t>” of the company. This was not true. The company subsequently issued a clarification announcement admitting that the consolidated financial statement set out in the results announcement had not been audited or agreed to by its auditors. The company’s board knew that the auditors had not agreed the financial statements at the time the company announced its results. The auditors had made clear that the financial statements purportedly disclosed in the results announcement were not agreed and that further audit procedures had to be carried out before they could complete their audit work</w:t>
      </w:r>
      <w:r w:rsidR="00EE5B19" w:rsidRPr="007F1E15">
        <w:rPr>
          <w:rFonts w:asciiTheme="minorHAnsi" w:eastAsiaTheme="minorHAnsi" w:hAnsiTheme="minorHAnsi" w:cstheme="minorBidi"/>
          <w:bCs/>
          <w:color w:val="000000" w:themeColor="text1"/>
          <w:lang w:val="en-GB"/>
        </w:rPr>
        <w:t xml:space="preserve">. </w:t>
      </w:r>
    </w:p>
    <w:p w14:paraId="4CE6949E" w14:textId="77777777" w:rsidR="00147ABC" w:rsidRPr="007F1E15" w:rsidRDefault="008A3A7E" w:rsidP="00390740">
      <w:pPr>
        <w:pStyle w:val="a5"/>
        <w:rPr>
          <w:bCs/>
          <w:color w:val="000000" w:themeColor="text1"/>
          <w:lang w:val="en-GB"/>
        </w:rPr>
      </w:pPr>
      <w:r w:rsidRPr="007F1E15">
        <w:rPr>
          <w:bCs/>
          <w:color w:val="000000" w:themeColor="text1"/>
          <w:lang w:val="en-GB"/>
        </w:rPr>
        <w:t>T</w:t>
      </w:r>
      <w:r w:rsidR="00B00615" w:rsidRPr="007F1E15">
        <w:rPr>
          <w:bCs/>
          <w:color w:val="000000" w:themeColor="text1"/>
          <w:lang w:val="en-GB"/>
        </w:rPr>
        <w:t xml:space="preserve">he announcement </w:t>
      </w:r>
      <w:r w:rsidRPr="007F1E15">
        <w:rPr>
          <w:bCs/>
          <w:color w:val="000000" w:themeColor="text1"/>
          <w:lang w:val="en-GB"/>
        </w:rPr>
        <w:t xml:space="preserve">breached the requirements of the HKEx </w:t>
      </w:r>
      <w:r w:rsidR="00B00615" w:rsidRPr="007F1E15">
        <w:rPr>
          <w:bCs/>
          <w:color w:val="000000" w:themeColor="text1"/>
          <w:lang w:val="en-GB"/>
        </w:rPr>
        <w:t>Listing Rules,</w:t>
      </w:r>
      <w:r w:rsidR="00BE2BC8" w:rsidRPr="007F1E15">
        <w:rPr>
          <w:bCs/>
          <w:color w:val="000000" w:themeColor="text1"/>
          <w:lang w:val="en-GB"/>
        </w:rPr>
        <w:t xml:space="preserve"> and its</w:t>
      </w:r>
      <w:r w:rsidR="00B00615" w:rsidRPr="007F1E15">
        <w:rPr>
          <w:bCs/>
          <w:color w:val="000000" w:themeColor="text1"/>
          <w:lang w:val="en-GB"/>
        </w:rPr>
        <w:t xml:space="preserve"> </w:t>
      </w:r>
      <w:r w:rsidR="00E55845" w:rsidRPr="007F1E15">
        <w:rPr>
          <w:bCs/>
          <w:color w:val="000000" w:themeColor="text1"/>
          <w:lang w:val="en-GB"/>
        </w:rPr>
        <w:t>p</w:t>
      </w:r>
      <w:r w:rsidRPr="007F1E15">
        <w:rPr>
          <w:bCs/>
          <w:color w:val="000000" w:themeColor="text1"/>
          <w:lang w:val="en-GB"/>
        </w:rPr>
        <w:t>rovision of</w:t>
      </w:r>
      <w:r w:rsidR="00E55845" w:rsidRPr="007F1E15">
        <w:rPr>
          <w:bCs/>
          <w:color w:val="000000" w:themeColor="text1"/>
          <w:lang w:val="en-GB"/>
        </w:rPr>
        <w:t xml:space="preserve"> information </w:t>
      </w:r>
      <w:r w:rsidRPr="007F1E15">
        <w:rPr>
          <w:bCs/>
          <w:color w:val="000000" w:themeColor="text1"/>
          <w:lang w:val="en-GB"/>
        </w:rPr>
        <w:t xml:space="preserve">that was false or misleading </w:t>
      </w:r>
      <w:r w:rsidR="00E55845" w:rsidRPr="007F1E15">
        <w:rPr>
          <w:bCs/>
          <w:color w:val="000000" w:themeColor="text1"/>
          <w:lang w:val="en-GB"/>
        </w:rPr>
        <w:t xml:space="preserve">in a material particular to the SFC </w:t>
      </w:r>
      <w:r w:rsidR="00CA4EF3" w:rsidRPr="007F1E15">
        <w:rPr>
          <w:bCs/>
          <w:color w:val="000000" w:themeColor="text1"/>
          <w:lang w:val="en-GB"/>
        </w:rPr>
        <w:t xml:space="preserve">also amounted to a criminal offence </w:t>
      </w:r>
      <w:r w:rsidRPr="007F1E15">
        <w:rPr>
          <w:bCs/>
          <w:color w:val="000000" w:themeColor="text1"/>
          <w:lang w:val="en-GB"/>
        </w:rPr>
        <w:t xml:space="preserve">under </w:t>
      </w:r>
      <w:r w:rsidR="00870FFB" w:rsidRPr="007F1E15">
        <w:rPr>
          <w:bCs/>
          <w:color w:val="000000" w:themeColor="text1"/>
          <w:lang w:val="en-GB"/>
        </w:rPr>
        <w:t>section 384 of the S</w:t>
      </w:r>
      <w:r w:rsidRPr="007F1E15">
        <w:rPr>
          <w:bCs/>
          <w:color w:val="000000" w:themeColor="text1"/>
          <w:lang w:val="en-GB"/>
        </w:rPr>
        <w:t>FO</w:t>
      </w:r>
      <w:r w:rsidR="00F61DEA" w:rsidRPr="007F1E15">
        <w:rPr>
          <w:bCs/>
          <w:color w:val="000000" w:themeColor="text1"/>
          <w:lang w:val="en-GB"/>
        </w:rPr>
        <w:t>. DBA made no attempt to correct or clarify the situation</w:t>
      </w:r>
      <w:r w:rsidR="00CA4EF3" w:rsidRPr="007F1E15">
        <w:rPr>
          <w:bCs/>
          <w:color w:val="000000" w:themeColor="text1"/>
          <w:lang w:val="en-GB"/>
        </w:rPr>
        <w:t xml:space="preserve">. </w:t>
      </w:r>
      <w:r w:rsidR="00870FFB" w:rsidRPr="007F1E15">
        <w:rPr>
          <w:bCs/>
          <w:color w:val="000000" w:themeColor="text1"/>
          <w:lang w:val="en-GB"/>
        </w:rPr>
        <w:t>Mr Chan</w:t>
      </w:r>
      <w:r w:rsidR="00BB36E0" w:rsidRPr="007F1E15">
        <w:rPr>
          <w:bCs/>
          <w:color w:val="000000" w:themeColor="text1"/>
          <w:lang w:val="en-GB"/>
        </w:rPr>
        <w:t>, who was involved in the publication and preparation process</w:t>
      </w:r>
      <w:r w:rsidR="00693D00" w:rsidRPr="007F1E15">
        <w:rPr>
          <w:bCs/>
          <w:color w:val="000000" w:themeColor="text1"/>
          <w:lang w:val="en-GB"/>
        </w:rPr>
        <w:t xml:space="preserve"> </w:t>
      </w:r>
      <w:r w:rsidR="00CA4EF3" w:rsidRPr="007F1E15">
        <w:rPr>
          <w:bCs/>
          <w:color w:val="000000" w:themeColor="text1"/>
          <w:lang w:val="en-GB"/>
        </w:rPr>
        <w:t xml:space="preserve">and </w:t>
      </w:r>
      <w:r w:rsidR="00693D00" w:rsidRPr="007F1E15">
        <w:rPr>
          <w:bCs/>
          <w:color w:val="000000" w:themeColor="text1"/>
          <w:lang w:val="en-GB"/>
        </w:rPr>
        <w:t xml:space="preserve">knew </w:t>
      </w:r>
      <w:r w:rsidR="00CA4EF3" w:rsidRPr="007F1E15">
        <w:rPr>
          <w:bCs/>
          <w:color w:val="000000" w:themeColor="text1"/>
          <w:lang w:val="en-GB"/>
        </w:rPr>
        <w:t xml:space="preserve">that </w:t>
      </w:r>
      <w:r w:rsidR="00693D00" w:rsidRPr="007F1E15">
        <w:rPr>
          <w:bCs/>
          <w:color w:val="000000" w:themeColor="text1"/>
          <w:lang w:val="en-GB"/>
        </w:rPr>
        <w:t xml:space="preserve">the </w:t>
      </w:r>
      <w:r w:rsidR="00CA4EF3" w:rsidRPr="007F1E15">
        <w:rPr>
          <w:bCs/>
          <w:color w:val="000000" w:themeColor="text1"/>
          <w:lang w:val="en-GB"/>
        </w:rPr>
        <w:t xml:space="preserve">financial statements were not </w:t>
      </w:r>
      <w:r w:rsidR="00693D00" w:rsidRPr="007F1E15">
        <w:rPr>
          <w:bCs/>
          <w:color w:val="000000" w:themeColor="text1"/>
          <w:lang w:val="en-GB"/>
        </w:rPr>
        <w:t>agree</w:t>
      </w:r>
      <w:r w:rsidR="00CA4EF3" w:rsidRPr="007F1E15">
        <w:rPr>
          <w:bCs/>
          <w:color w:val="000000" w:themeColor="text1"/>
          <w:lang w:val="en-GB"/>
        </w:rPr>
        <w:t>d</w:t>
      </w:r>
      <w:r w:rsidR="00693D00" w:rsidRPr="007F1E15">
        <w:rPr>
          <w:bCs/>
          <w:color w:val="000000" w:themeColor="text1"/>
          <w:lang w:val="en-GB"/>
        </w:rPr>
        <w:t xml:space="preserve"> by the auditors</w:t>
      </w:r>
      <w:r w:rsidR="00BB36E0" w:rsidRPr="007F1E15">
        <w:rPr>
          <w:bCs/>
          <w:color w:val="000000" w:themeColor="text1"/>
          <w:lang w:val="en-GB"/>
        </w:rPr>
        <w:t>,</w:t>
      </w:r>
      <w:r w:rsidR="00870FFB" w:rsidRPr="007F1E15">
        <w:rPr>
          <w:bCs/>
          <w:color w:val="000000" w:themeColor="text1"/>
          <w:lang w:val="en-GB"/>
        </w:rPr>
        <w:t xml:space="preserve"> </w:t>
      </w:r>
      <w:r w:rsidR="00F61DEA" w:rsidRPr="007F1E15">
        <w:rPr>
          <w:bCs/>
          <w:color w:val="000000" w:themeColor="text1"/>
          <w:lang w:val="en-GB"/>
        </w:rPr>
        <w:t xml:space="preserve">was </w:t>
      </w:r>
      <w:r w:rsidR="00E13831" w:rsidRPr="007F1E15">
        <w:rPr>
          <w:bCs/>
          <w:color w:val="000000" w:themeColor="text1"/>
          <w:lang w:val="en-GB"/>
        </w:rPr>
        <w:t>convicted</w:t>
      </w:r>
      <w:r w:rsidR="008C2F5D" w:rsidRPr="007F1E15">
        <w:rPr>
          <w:bCs/>
          <w:color w:val="000000" w:themeColor="text1"/>
          <w:lang w:val="en-GB"/>
        </w:rPr>
        <w:t xml:space="preserve"> and fined</w:t>
      </w:r>
      <w:r w:rsidR="003C6782" w:rsidRPr="007F1E15">
        <w:rPr>
          <w:bCs/>
          <w:color w:val="000000" w:themeColor="text1"/>
          <w:lang w:val="en-GB"/>
        </w:rPr>
        <w:t xml:space="preserve"> </w:t>
      </w:r>
      <w:r w:rsidR="00CA4EF3" w:rsidRPr="007F1E15">
        <w:rPr>
          <w:bCs/>
          <w:color w:val="000000" w:themeColor="text1"/>
          <w:lang w:val="en-GB"/>
        </w:rPr>
        <w:t>HK</w:t>
      </w:r>
      <w:r w:rsidR="003C6782" w:rsidRPr="007F1E15">
        <w:rPr>
          <w:bCs/>
          <w:color w:val="000000" w:themeColor="text1"/>
          <w:lang w:val="en-GB"/>
        </w:rPr>
        <w:t>$60,000</w:t>
      </w:r>
      <w:r w:rsidR="008C2F5D" w:rsidRPr="007F1E15">
        <w:rPr>
          <w:bCs/>
          <w:color w:val="000000" w:themeColor="text1"/>
          <w:lang w:val="en-GB"/>
        </w:rPr>
        <w:t xml:space="preserve">. </w:t>
      </w:r>
    </w:p>
    <w:p w14:paraId="44E0525B" w14:textId="77777777" w:rsidR="00EE6329" w:rsidRPr="007F1E15" w:rsidRDefault="00CA4EF3">
      <w:pPr>
        <w:pStyle w:val="a5"/>
        <w:rPr>
          <w:bCs/>
          <w:color w:val="000000" w:themeColor="text1"/>
          <w:lang w:val="en-GB"/>
        </w:rPr>
      </w:pPr>
      <w:r w:rsidRPr="007F1E15">
        <w:rPr>
          <w:bCs/>
          <w:color w:val="000000" w:themeColor="text1"/>
          <w:lang w:val="en-GB"/>
        </w:rPr>
        <w:t>T</w:t>
      </w:r>
      <w:r w:rsidR="00317323" w:rsidRPr="007F1E15">
        <w:rPr>
          <w:bCs/>
          <w:color w:val="000000" w:themeColor="text1"/>
          <w:lang w:val="en-GB"/>
        </w:rPr>
        <w:t xml:space="preserve">rading in the </w:t>
      </w:r>
      <w:r w:rsidRPr="007F1E15">
        <w:rPr>
          <w:bCs/>
          <w:color w:val="000000" w:themeColor="text1"/>
          <w:lang w:val="en-GB"/>
        </w:rPr>
        <w:t xml:space="preserve">company’s </w:t>
      </w:r>
      <w:r w:rsidR="00317323" w:rsidRPr="007F1E15">
        <w:rPr>
          <w:bCs/>
          <w:color w:val="000000" w:themeColor="text1"/>
          <w:lang w:val="en-GB"/>
        </w:rPr>
        <w:t>shares was suspended</w:t>
      </w:r>
      <w:r w:rsidR="0025092A" w:rsidRPr="007F1E15">
        <w:rPr>
          <w:bCs/>
          <w:color w:val="000000" w:themeColor="text1"/>
          <w:lang w:val="en-GB"/>
        </w:rPr>
        <w:t xml:space="preserve"> </w:t>
      </w:r>
      <w:r w:rsidRPr="007F1E15">
        <w:rPr>
          <w:bCs/>
          <w:color w:val="000000" w:themeColor="text1"/>
          <w:lang w:val="en-GB"/>
        </w:rPr>
        <w:t xml:space="preserve">in June 2013 </w:t>
      </w:r>
      <w:r w:rsidR="0025092A" w:rsidRPr="007F1E15">
        <w:rPr>
          <w:bCs/>
          <w:color w:val="000000" w:themeColor="text1"/>
          <w:lang w:val="en-GB"/>
        </w:rPr>
        <w:t xml:space="preserve">and </w:t>
      </w:r>
      <w:r w:rsidRPr="007F1E15">
        <w:rPr>
          <w:bCs/>
          <w:color w:val="000000" w:themeColor="text1"/>
          <w:lang w:val="en-GB"/>
        </w:rPr>
        <w:t xml:space="preserve">DBA was delisted </w:t>
      </w:r>
      <w:r w:rsidR="0025092A" w:rsidRPr="007F1E15">
        <w:rPr>
          <w:bCs/>
          <w:color w:val="000000" w:themeColor="text1"/>
          <w:lang w:val="en-GB"/>
        </w:rPr>
        <w:t xml:space="preserve">on 30 November 2020. </w:t>
      </w:r>
    </w:p>
    <w:p w14:paraId="6CC4488B" w14:textId="77777777" w:rsidR="001F2196" w:rsidRPr="007F1E15" w:rsidRDefault="0025092A" w:rsidP="001F2196">
      <w:pPr>
        <w:pStyle w:val="af4"/>
        <w:spacing w:before="180" w:beforeAutospacing="0" w:after="180" w:afterAutospacing="0"/>
        <w:ind w:right="180"/>
        <w:jc w:val="both"/>
        <w:rPr>
          <w:rFonts w:asciiTheme="minorHAnsi" w:eastAsiaTheme="minorHAnsi" w:hAnsiTheme="minorHAnsi" w:cstheme="minorBidi"/>
          <w:bCs/>
          <w:color w:val="000000" w:themeColor="text1"/>
          <w:lang w:val="en-GB"/>
        </w:rPr>
      </w:pPr>
      <w:r w:rsidRPr="007F1E15">
        <w:rPr>
          <w:rFonts w:asciiTheme="minorHAnsi" w:eastAsiaTheme="minorHAnsi" w:hAnsiTheme="minorHAnsi" w:cstheme="minorBidi"/>
          <w:bCs/>
          <w:color w:val="000000" w:themeColor="text1"/>
          <w:lang w:val="en-GB"/>
        </w:rPr>
        <w:t xml:space="preserve">On 9 March 2022, the Court of First Instance </w:t>
      </w:r>
      <w:r w:rsidR="00D12A8B" w:rsidRPr="007F1E15">
        <w:rPr>
          <w:rFonts w:asciiTheme="minorHAnsi" w:eastAsiaTheme="minorHAnsi" w:hAnsiTheme="minorHAnsi" w:cstheme="minorBidi"/>
          <w:bCs/>
          <w:color w:val="000000" w:themeColor="text1"/>
          <w:lang w:val="en-GB"/>
        </w:rPr>
        <w:t xml:space="preserve">ordered the disqualification of Mr Chan for </w:t>
      </w:r>
      <w:r w:rsidR="00182F64" w:rsidRPr="007F1E15">
        <w:rPr>
          <w:rFonts w:asciiTheme="minorHAnsi" w:eastAsiaTheme="minorHAnsi" w:hAnsiTheme="minorHAnsi" w:cstheme="minorBidi"/>
          <w:bCs/>
          <w:color w:val="000000" w:themeColor="text1"/>
          <w:lang w:val="en-GB"/>
        </w:rPr>
        <w:t>6</w:t>
      </w:r>
      <w:r w:rsidR="00D12A8B" w:rsidRPr="007F1E15">
        <w:rPr>
          <w:rFonts w:asciiTheme="minorHAnsi" w:eastAsiaTheme="minorHAnsi" w:hAnsiTheme="minorHAnsi" w:cstheme="minorBidi"/>
          <w:bCs/>
          <w:color w:val="000000" w:themeColor="text1"/>
          <w:lang w:val="en-GB"/>
        </w:rPr>
        <w:t xml:space="preserve"> years and </w:t>
      </w:r>
      <w:r w:rsidR="00CA4EF3" w:rsidRPr="007F1E15">
        <w:rPr>
          <w:rFonts w:asciiTheme="minorHAnsi" w:eastAsiaTheme="minorHAnsi" w:hAnsiTheme="minorHAnsi" w:cstheme="minorBidi"/>
          <w:bCs/>
          <w:color w:val="000000" w:themeColor="text1"/>
          <w:lang w:val="en-GB"/>
        </w:rPr>
        <w:t xml:space="preserve">of </w:t>
      </w:r>
      <w:r w:rsidR="00D12A8B" w:rsidRPr="007F1E15">
        <w:rPr>
          <w:rFonts w:asciiTheme="minorHAnsi" w:eastAsiaTheme="minorHAnsi" w:hAnsiTheme="minorHAnsi" w:cstheme="minorBidi"/>
          <w:bCs/>
          <w:color w:val="000000" w:themeColor="text1"/>
          <w:lang w:val="en-GB"/>
        </w:rPr>
        <w:t xml:space="preserve">Mr Yun for </w:t>
      </w:r>
      <w:r w:rsidR="00182F64" w:rsidRPr="007F1E15">
        <w:rPr>
          <w:rFonts w:asciiTheme="minorHAnsi" w:eastAsiaTheme="minorHAnsi" w:hAnsiTheme="minorHAnsi" w:cstheme="minorBidi"/>
          <w:bCs/>
          <w:color w:val="000000" w:themeColor="text1"/>
          <w:lang w:val="en-GB"/>
        </w:rPr>
        <w:t>18</w:t>
      </w:r>
      <w:r w:rsidR="00D12A8B" w:rsidRPr="007F1E15">
        <w:rPr>
          <w:rFonts w:asciiTheme="minorHAnsi" w:eastAsiaTheme="minorHAnsi" w:hAnsiTheme="minorHAnsi" w:cstheme="minorBidi"/>
          <w:bCs/>
          <w:color w:val="000000" w:themeColor="text1"/>
          <w:lang w:val="en-GB"/>
        </w:rPr>
        <w:t xml:space="preserve"> months. </w:t>
      </w:r>
      <w:r w:rsidR="00E432D8" w:rsidRPr="007F1E15">
        <w:rPr>
          <w:rFonts w:asciiTheme="minorHAnsi" w:eastAsiaTheme="minorHAnsi" w:hAnsiTheme="minorHAnsi" w:cstheme="minorBidi"/>
          <w:bCs/>
          <w:color w:val="000000" w:themeColor="text1"/>
          <w:lang w:val="en-GB"/>
        </w:rPr>
        <w:t>The</w:t>
      </w:r>
      <w:r w:rsidR="00CA4EF3" w:rsidRPr="007F1E15">
        <w:rPr>
          <w:rFonts w:asciiTheme="minorHAnsi" w:eastAsiaTheme="minorHAnsi" w:hAnsiTheme="minorHAnsi" w:cstheme="minorBidi"/>
          <w:bCs/>
          <w:color w:val="000000" w:themeColor="text1"/>
          <w:lang w:val="en-GB"/>
        </w:rPr>
        <w:t>y were disqualified</w:t>
      </w:r>
      <w:r w:rsidR="00E432D8" w:rsidRPr="007F1E15">
        <w:rPr>
          <w:rFonts w:asciiTheme="minorHAnsi" w:eastAsiaTheme="minorHAnsi" w:hAnsiTheme="minorHAnsi" w:cstheme="minorBidi"/>
          <w:bCs/>
          <w:color w:val="000000" w:themeColor="text1"/>
          <w:lang w:val="en-GB"/>
        </w:rPr>
        <w:t xml:space="preserve"> </w:t>
      </w:r>
      <w:r w:rsidR="00CA4EF3" w:rsidRPr="007F1E15">
        <w:rPr>
          <w:rFonts w:asciiTheme="minorHAnsi" w:eastAsiaTheme="minorHAnsi" w:hAnsiTheme="minorHAnsi" w:cstheme="minorBidi"/>
          <w:bCs/>
          <w:color w:val="000000" w:themeColor="text1"/>
          <w:lang w:val="en-GB"/>
        </w:rPr>
        <w:t>after admitting that they failed to exercise</w:t>
      </w:r>
      <w:r w:rsidR="005C6D4B" w:rsidRPr="007F1E15">
        <w:rPr>
          <w:rFonts w:asciiTheme="minorHAnsi" w:eastAsiaTheme="minorHAnsi" w:hAnsiTheme="minorHAnsi" w:cstheme="minorBidi"/>
          <w:bCs/>
          <w:color w:val="000000" w:themeColor="text1"/>
          <w:lang w:val="en-GB"/>
        </w:rPr>
        <w:t xml:space="preserve"> the degree of skill and care </w:t>
      </w:r>
      <w:r w:rsidR="00CA4EF3" w:rsidRPr="007F1E15">
        <w:rPr>
          <w:rFonts w:asciiTheme="minorHAnsi" w:eastAsiaTheme="minorHAnsi" w:hAnsiTheme="minorHAnsi" w:cstheme="minorBidi"/>
          <w:bCs/>
          <w:color w:val="000000" w:themeColor="text1"/>
          <w:lang w:val="en-GB"/>
        </w:rPr>
        <w:t xml:space="preserve">that </w:t>
      </w:r>
      <w:r w:rsidR="005C6D4B" w:rsidRPr="007F1E15">
        <w:rPr>
          <w:rFonts w:asciiTheme="minorHAnsi" w:eastAsiaTheme="minorHAnsi" w:hAnsiTheme="minorHAnsi" w:cstheme="minorBidi"/>
          <w:bCs/>
          <w:color w:val="000000" w:themeColor="text1"/>
          <w:lang w:val="en-GB"/>
        </w:rPr>
        <w:t>may reas</w:t>
      </w:r>
      <w:r w:rsidR="00BE2BC8" w:rsidRPr="007F1E15">
        <w:rPr>
          <w:rFonts w:asciiTheme="minorHAnsi" w:eastAsiaTheme="minorHAnsi" w:hAnsiTheme="minorHAnsi" w:cstheme="minorBidi"/>
          <w:bCs/>
          <w:color w:val="000000" w:themeColor="text1"/>
          <w:lang w:val="en-GB"/>
        </w:rPr>
        <w:t>onably be expected of a person with</w:t>
      </w:r>
      <w:r w:rsidR="00CA4EF3" w:rsidRPr="007F1E15">
        <w:rPr>
          <w:rFonts w:asciiTheme="minorHAnsi" w:eastAsiaTheme="minorHAnsi" w:hAnsiTheme="minorHAnsi" w:cstheme="minorBidi"/>
          <w:bCs/>
          <w:color w:val="000000" w:themeColor="text1"/>
          <w:lang w:val="en-GB"/>
        </w:rPr>
        <w:t xml:space="preserve"> their knowledge and expertise</w:t>
      </w:r>
      <w:r w:rsidR="005C6D4B" w:rsidRPr="007F1E15">
        <w:rPr>
          <w:rFonts w:asciiTheme="minorHAnsi" w:eastAsiaTheme="minorHAnsi" w:hAnsiTheme="minorHAnsi" w:cstheme="minorBidi"/>
          <w:bCs/>
          <w:color w:val="000000" w:themeColor="text1"/>
          <w:lang w:val="en-GB"/>
        </w:rPr>
        <w:t xml:space="preserve"> and </w:t>
      </w:r>
      <w:r w:rsidR="00CA4EF3" w:rsidRPr="007F1E15">
        <w:rPr>
          <w:rFonts w:asciiTheme="minorHAnsi" w:eastAsiaTheme="minorHAnsi" w:hAnsiTheme="minorHAnsi" w:cstheme="minorBidi"/>
          <w:bCs/>
          <w:color w:val="000000" w:themeColor="text1"/>
          <w:lang w:val="en-GB"/>
        </w:rPr>
        <w:t xml:space="preserve">had </w:t>
      </w:r>
      <w:r w:rsidR="00BE2BC8" w:rsidRPr="007F1E15">
        <w:rPr>
          <w:rFonts w:asciiTheme="minorHAnsi" w:eastAsiaTheme="minorHAnsi" w:hAnsiTheme="minorHAnsi" w:cstheme="minorBidi"/>
          <w:bCs/>
          <w:color w:val="000000" w:themeColor="text1"/>
          <w:lang w:val="en-GB"/>
        </w:rPr>
        <w:t>breached the</w:t>
      </w:r>
      <w:r w:rsidR="005C6D4B" w:rsidRPr="007F1E15">
        <w:rPr>
          <w:rFonts w:asciiTheme="minorHAnsi" w:eastAsiaTheme="minorHAnsi" w:hAnsiTheme="minorHAnsi" w:cstheme="minorBidi"/>
          <w:bCs/>
          <w:color w:val="000000" w:themeColor="text1"/>
          <w:lang w:val="en-GB"/>
        </w:rPr>
        <w:t xml:space="preserve"> duties </w:t>
      </w:r>
      <w:r w:rsidR="00BE2BC8" w:rsidRPr="007F1E15">
        <w:rPr>
          <w:rFonts w:asciiTheme="minorHAnsi" w:eastAsiaTheme="minorHAnsi" w:hAnsiTheme="minorHAnsi" w:cstheme="minorBidi"/>
          <w:bCs/>
          <w:color w:val="000000" w:themeColor="text1"/>
          <w:lang w:val="en-GB"/>
        </w:rPr>
        <w:t xml:space="preserve">they </w:t>
      </w:r>
      <w:r w:rsidR="005C6D4B" w:rsidRPr="007F1E15">
        <w:rPr>
          <w:rFonts w:asciiTheme="minorHAnsi" w:eastAsiaTheme="minorHAnsi" w:hAnsiTheme="minorHAnsi" w:cstheme="minorBidi"/>
          <w:bCs/>
          <w:color w:val="000000" w:themeColor="text1"/>
          <w:lang w:val="en-GB"/>
        </w:rPr>
        <w:t>owed to DBA.</w:t>
      </w:r>
      <w:r w:rsidR="00665BD0" w:rsidRPr="007F1E15">
        <w:rPr>
          <w:rFonts w:asciiTheme="minorHAnsi" w:eastAsiaTheme="minorHAnsi" w:hAnsiTheme="minorHAnsi" w:cstheme="minorBidi"/>
          <w:bCs/>
          <w:color w:val="000000" w:themeColor="text1"/>
          <w:lang w:val="en-GB"/>
        </w:rPr>
        <w:t xml:space="preserve"> Mr Chan</w:t>
      </w:r>
      <w:r w:rsidR="001F2196" w:rsidRPr="007F1E15">
        <w:rPr>
          <w:rFonts w:asciiTheme="minorHAnsi" w:eastAsiaTheme="minorHAnsi" w:hAnsiTheme="minorHAnsi" w:cstheme="minorBidi"/>
          <w:bCs/>
          <w:color w:val="000000" w:themeColor="text1"/>
          <w:lang w:val="en-GB"/>
        </w:rPr>
        <w:t xml:space="preserve"> was found to have acted in a grossly incompetent or negligent manner</w:t>
      </w:r>
      <w:r w:rsidR="00522020" w:rsidRPr="007F1E15">
        <w:rPr>
          <w:rFonts w:asciiTheme="minorHAnsi" w:eastAsiaTheme="minorHAnsi" w:hAnsiTheme="minorHAnsi" w:cstheme="minorBidi"/>
          <w:bCs/>
          <w:color w:val="000000" w:themeColor="text1"/>
          <w:lang w:val="en-GB"/>
        </w:rPr>
        <w:t xml:space="preserve"> </w:t>
      </w:r>
      <w:r w:rsidR="00CA4EF3" w:rsidRPr="007F1E15">
        <w:rPr>
          <w:rFonts w:asciiTheme="minorHAnsi" w:eastAsiaTheme="minorHAnsi" w:hAnsiTheme="minorHAnsi" w:cstheme="minorBidi"/>
          <w:bCs/>
          <w:color w:val="000000" w:themeColor="text1"/>
          <w:lang w:val="en-GB"/>
        </w:rPr>
        <w:t>s</w:t>
      </w:r>
      <w:r w:rsidR="00522020" w:rsidRPr="007F1E15">
        <w:rPr>
          <w:rFonts w:asciiTheme="minorHAnsi" w:eastAsiaTheme="minorHAnsi" w:hAnsiTheme="minorHAnsi" w:cstheme="minorBidi"/>
          <w:bCs/>
          <w:color w:val="000000" w:themeColor="text1"/>
          <w:lang w:val="en-GB"/>
        </w:rPr>
        <w:t>in</w:t>
      </w:r>
      <w:r w:rsidR="00CA4EF3" w:rsidRPr="007F1E15">
        <w:rPr>
          <w:rFonts w:asciiTheme="minorHAnsi" w:eastAsiaTheme="minorHAnsi" w:hAnsiTheme="minorHAnsi" w:cstheme="minorBidi"/>
          <w:bCs/>
          <w:color w:val="000000" w:themeColor="text1"/>
          <w:lang w:val="en-GB"/>
        </w:rPr>
        <w:t>ce</w:t>
      </w:r>
      <w:r w:rsidR="00522020" w:rsidRPr="007F1E15">
        <w:rPr>
          <w:rFonts w:asciiTheme="minorHAnsi" w:eastAsiaTheme="minorHAnsi" w:hAnsiTheme="minorHAnsi" w:cstheme="minorBidi"/>
          <w:bCs/>
          <w:color w:val="000000" w:themeColor="text1"/>
          <w:lang w:val="en-GB"/>
        </w:rPr>
        <w:t xml:space="preserve"> </w:t>
      </w:r>
      <w:r w:rsidR="00665BD0" w:rsidRPr="007F1E15">
        <w:rPr>
          <w:rFonts w:asciiTheme="minorHAnsi" w:eastAsiaTheme="minorHAnsi" w:hAnsiTheme="minorHAnsi" w:cstheme="minorBidi"/>
          <w:bCs/>
          <w:color w:val="000000" w:themeColor="text1"/>
          <w:lang w:val="en-GB"/>
        </w:rPr>
        <w:t xml:space="preserve">the </w:t>
      </w:r>
      <w:r w:rsidR="00CA4EF3" w:rsidRPr="007F1E15">
        <w:rPr>
          <w:rFonts w:asciiTheme="minorHAnsi" w:eastAsiaTheme="minorHAnsi" w:hAnsiTheme="minorHAnsi" w:cstheme="minorBidi"/>
          <w:bCs/>
          <w:color w:val="000000" w:themeColor="text1"/>
          <w:lang w:val="en-GB"/>
        </w:rPr>
        <w:t xml:space="preserve">company’s </w:t>
      </w:r>
      <w:r w:rsidR="00665BD0" w:rsidRPr="007F1E15">
        <w:rPr>
          <w:rFonts w:asciiTheme="minorHAnsi" w:eastAsiaTheme="minorHAnsi" w:hAnsiTheme="minorHAnsi" w:cstheme="minorBidi"/>
          <w:bCs/>
          <w:color w:val="000000" w:themeColor="text1"/>
          <w:lang w:val="en-GB"/>
        </w:rPr>
        <w:t>financial position was seriously misrepresented</w:t>
      </w:r>
      <w:r w:rsidR="008661CF" w:rsidRPr="007F1E15">
        <w:rPr>
          <w:rFonts w:asciiTheme="minorHAnsi" w:eastAsiaTheme="minorHAnsi" w:hAnsiTheme="minorHAnsi" w:cstheme="minorBidi"/>
          <w:bCs/>
          <w:color w:val="000000" w:themeColor="text1"/>
          <w:lang w:val="en-GB"/>
        </w:rPr>
        <w:t>; the misstatements resulted in prejudice to the company</w:t>
      </w:r>
      <w:r w:rsidR="00CA4EF3" w:rsidRPr="007F1E15">
        <w:rPr>
          <w:rFonts w:asciiTheme="minorHAnsi" w:eastAsiaTheme="minorHAnsi" w:hAnsiTheme="minorHAnsi" w:cstheme="minorBidi"/>
          <w:bCs/>
          <w:color w:val="000000" w:themeColor="text1"/>
          <w:lang w:val="en-GB"/>
        </w:rPr>
        <w:t>’s shareholders</w:t>
      </w:r>
      <w:r w:rsidR="008661CF" w:rsidRPr="007F1E15">
        <w:rPr>
          <w:rFonts w:asciiTheme="minorHAnsi" w:eastAsiaTheme="minorHAnsi" w:hAnsiTheme="minorHAnsi" w:cstheme="minorBidi"/>
          <w:bCs/>
          <w:color w:val="000000" w:themeColor="text1"/>
          <w:lang w:val="en-GB"/>
        </w:rPr>
        <w:t xml:space="preserve"> and the investing public; </w:t>
      </w:r>
      <w:r w:rsidR="00522020" w:rsidRPr="007F1E15">
        <w:rPr>
          <w:rFonts w:asciiTheme="minorHAnsi" w:eastAsiaTheme="minorHAnsi" w:hAnsiTheme="minorHAnsi" w:cstheme="minorBidi"/>
          <w:bCs/>
          <w:color w:val="000000" w:themeColor="text1"/>
          <w:lang w:val="en-GB"/>
        </w:rPr>
        <w:t xml:space="preserve">fraud was involved; </w:t>
      </w:r>
      <w:r w:rsidR="00810C65" w:rsidRPr="007F1E15">
        <w:rPr>
          <w:rFonts w:asciiTheme="minorHAnsi" w:eastAsiaTheme="minorHAnsi" w:hAnsiTheme="minorHAnsi" w:cstheme="minorBidi"/>
          <w:bCs/>
          <w:color w:val="000000" w:themeColor="text1"/>
          <w:lang w:val="en-GB"/>
        </w:rPr>
        <w:t>and the misstatements lasted for at least three years</w:t>
      </w:r>
      <w:r w:rsidR="00A160D9" w:rsidRPr="007F1E15">
        <w:rPr>
          <w:rFonts w:asciiTheme="minorHAnsi" w:eastAsiaTheme="minorHAnsi" w:hAnsiTheme="minorHAnsi" w:cstheme="minorBidi"/>
          <w:bCs/>
          <w:color w:val="000000" w:themeColor="text1"/>
          <w:lang w:val="en-GB"/>
        </w:rPr>
        <w:t xml:space="preserve"> (from 2010 till 2012)</w:t>
      </w:r>
      <w:r w:rsidR="00810C65" w:rsidRPr="007F1E15">
        <w:rPr>
          <w:rFonts w:asciiTheme="minorHAnsi" w:eastAsiaTheme="minorHAnsi" w:hAnsiTheme="minorHAnsi" w:cstheme="minorBidi"/>
          <w:bCs/>
          <w:color w:val="000000" w:themeColor="text1"/>
          <w:lang w:val="en-GB"/>
        </w:rPr>
        <w:t xml:space="preserve">. </w:t>
      </w:r>
      <w:r w:rsidR="001F2196" w:rsidRPr="007F1E15">
        <w:rPr>
          <w:rFonts w:asciiTheme="minorHAnsi" w:eastAsiaTheme="minorHAnsi" w:hAnsiTheme="minorHAnsi" w:cstheme="minorBidi"/>
          <w:bCs/>
          <w:color w:val="000000" w:themeColor="text1"/>
          <w:lang w:val="en-GB"/>
        </w:rPr>
        <w:t>He was found responsible for the company’s business or affairs having been conducted in the manner described under section 214(b)–(d) of the SFO.</w:t>
      </w:r>
    </w:p>
    <w:p w14:paraId="411FF462" w14:textId="77777777" w:rsidR="0058748E" w:rsidRPr="007F1E15" w:rsidRDefault="0058748E" w:rsidP="0058748E">
      <w:pPr>
        <w:pStyle w:val="af4"/>
        <w:spacing w:before="180" w:beforeAutospacing="0" w:after="180" w:afterAutospacing="0"/>
        <w:ind w:right="180"/>
        <w:jc w:val="both"/>
        <w:rPr>
          <w:rFonts w:asciiTheme="minorHAnsi" w:eastAsiaTheme="minorHAnsi" w:hAnsiTheme="minorHAnsi" w:cstheme="minorBidi"/>
          <w:bCs/>
          <w:color w:val="000000" w:themeColor="text1"/>
          <w:lang w:val="en-GB"/>
        </w:rPr>
      </w:pPr>
      <w:r w:rsidRPr="007F1E15">
        <w:rPr>
          <w:rFonts w:asciiTheme="minorHAnsi" w:eastAsiaTheme="minorHAnsi" w:hAnsiTheme="minorHAnsi" w:cstheme="minorBidi"/>
          <w:bCs/>
          <w:color w:val="000000" w:themeColor="text1"/>
          <w:lang w:val="en-GB"/>
        </w:rPr>
        <w:t>Mr Yun was an independent non-executive director of the company and a member of its audit committee. As a member of the company’s audit committee, he was fully aware that the financial statements had not be</w:t>
      </w:r>
      <w:r w:rsidR="00ED7786">
        <w:rPr>
          <w:rFonts w:asciiTheme="minorHAnsi" w:eastAsiaTheme="minorHAnsi" w:hAnsiTheme="minorHAnsi" w:cstheme="minorBidi"/>
          <w:bCs/>
          <w:color w:val="000000" w:themeColor="text1"/>
          <w:lang w:val="en-GB"/>
        </w:rPr>
        <w:t>en</w:t>
      </w:r>
      <w:r w:rsidRPr="007F1E15">
        <w:rPr>
          <w:rFonts w:asciiTheme="minorHAnsi" w:eastAsiaTheme="minorHAnsi" w:hAnsiTheme="minorHAnsi" w:cstheme="minorBidi"/>
          <w:bCs/>
          <w:color w:val="000000" w:themeColor="text1"/>
          <w:lang w:val="en-GB"/>
        </w:rPr>
        <w:t xml:space="preserve"> agreed by the company’s auditors. Although, he was not responsible for the publication of the results announcement, he permitted or allowed the company to continue to perpetrate the misrepresentation for almost three months, and failed to cause the company to timely correct or clarify the same between 28 March 2013 and 18 June 2013.</w:t>
      </w:r>
    </w:p>
    <w:p w14:paraId="01EF1F0F" w14:textId="77777777" w:rsidR="00677113" w:rsidRPr="004A0A68" w:rsidRDefault="0058748E" w:rsidP="0058748E">
      <w:pPr>
        <w:pStyle w:val="af4"/>
        <w:spacing w:before="180" w:beforeAutospacing="0" w:after="180" w:afterAutospacing="0"/>
        <w:ind w:right="180"/>
        <w:jc w:val="both"/>
        <w:rPr>
          <w:rFonts w:asciiTheme="minorHAnsi" w:eastAsiaTheme="minorHAnsi" w:hAnsiTheme="minorHAnsi" w:cstheme="minorBidi"/>
          <w:bCs/>
          <w:color w:val="000000" w:themeColor="text1"/>
          <w:lang w:val="en-GB"/>
        </w:rPr>
      </w:pPr>
      <w:r w:rsidRPr="004A0A68">
        <w:rPr>
          <w:rFonts w:asciiTheme="minorHAnsi" w:eastAsiaTheme="minorHAnsi" w:hAnsiTheme="minorHAnsi" w:cstheme="minorBidi"/>
          <w:bCs/>
          <w:color w:val="000000" w:themeColor="text1"/>
          <w:lang w:val="en-GB"/>
        </w:rPr>
        <w:lastRenderedPageBreak/>
        <w:t>He was found to have failed to exercise the degree of skill and care that may reasonably be expected of a person with his knowledge and experience and holding his office</w:t>
      </w:r>
      <w:r w:rsidR="00ED7786">
        <w:rPr>
          <w:rFonts w:asciiTheme="minorHAnsi" w:eastAsiaTheme="minorHAnsi" w:hAnsiTheme="minorHAnsi" w:cstheme="minorBidi"/>
          <w:bCs/>
          <w:color w:val="000000" w:themeColor="text1"/>
          <w:lang w:val="en-GB"/>
        </w:rPr>
        <w:t xml:space="preserve"> or functions within the c</w:t>
      </w:r>
      <w:r w:rsidRPr="004A0A68">
        <w:rPr>
          <w:rFonts w:asciiTheme="minorHAnsi" w:eastAsiaTheme="minorHAnsi" w:hAnsiTheme="minorHAnsi" w:cstheme="minorBidi"/>
          <w:bCs/>
          <w:color w:val="000000" w:themeColor="text1"/>
          <w:lang w:val="en-GB"/>
        </w:rPr>
        <w:t xml:space="preserve">ompany and to have breached his fiduciary duties owed to the company. He was found to be responsible for the company’s business or affairs having been conducted in the manner described under section 214(b)–(d) of the SFO. </w:t>
      </w:r>
    </w:p>
    <w:p w14:paraId="4D87328D" w14:textId="77777777" w:rsidR="00F926E4" w:rsidRPr="009D6AAE" w:rsidRDefault="00C44D10" w:rsidP="00F926E4">
      <w:pPr>
        <w:pStyle w:val="a5"/>
        <w:rPr>
          <w:b/>
          <w:color w:val="FF0000"/>
          <w:lang w:val="en-GB"/>
        </w:rPr>
      </w:pPr>
      <w:r w:rsidRPr="00ED7786">
        <w:rPr>
          <w:b/>
          <w:color w:val="FF0000"/>
          <w:lang w:val="en-GB"/>
        </w:rPr>
        <w:t>SFC Reprimands and Fines Emperor Securities Limited and Emperor Futures Limited for Breaches of Anti-money Launde</w:t>
      </w:r>
      <w:r>
        <w:rPr>
          <w:b/>
          <w:color w:val="FF0000"/>
          <w:lang w:val="en-GB"/>
        </w:rPr>
        <w:t>ring Regulatory Requirements</w:t>
      </w:r>
    </w:p>
    <w:p w14:paraId="56AB3C97" w14:textId="77777777" w:rsidR="00677113" w:rsidRPr="00026C09" w:rsidRDefault="007240A6">
      <w:pPr>
        <w:pStyle w:val="a5"/>
        <w:rPr>
          <w:bCs/>
          <w:color w:val="000000" w:themeColor="text1"/>
          <w:lang w:val="en-GB"/>
        </w:rPr>
      </w:pPr>
      <w:r>
        <w:rPr>
          <w:bCs/>
          <w:color w:val="000000" w:themeColor="text1"/>
          <w:lang w:val="en-GB"/>
        </w:rPr>
        <w:t xml:space="preserve">On 16 March 2022, the </w:t>
      </w:r>
      <w:r w:rsidR="00DA5EAE">
        <w:rPr>
          <w:color w:val="000000" w:themeColor="text1"/>
          <w:lang w:val="en-GB"/>
        </w:rPr>
        <w:t xml:space="preserve">SFC </w:t>
      </w:r>
      <w:r w:rsidR="00501447">
        <w:rPr>
          <w:bCs/>
          <w:color w:val="000000" w:themeColor="text1"/>
          <w:lang w:val="en-GB"/>
        </w:rPr>
        <w:t xml:space="preserve">reprimanded and fined </w:t>
      </w:r>
      <w:r w:rsidR="00501447" w:rsidRPr="00501447">
        <w:rPr>
          <w:bCs/>
          <w:color w:val="000000" w:themeColor="text1"/>
          <w:lang w:val="en-GB"/>
        </w:rPr>
        <w:t xml:space="preserve">Emperor Securities Limited </w:t>
      </w:r>
      <w:r w:rsidR="00C2654E">
        <w:rPr>
          <w:bCs/>
          <w:color w:val="000000" w:themeColor="text1"/>
          <w:lang w:val="en-GB"/>
        </w:rPr>
        <w:t>(</w:t>
      </w:r>
      <w:r w:rsidR="00C2654E" w:rsidRPr="00C2654E">
        <w:rPr>
          <w:b/>
          <w:bCs/>
          <w:color w:val="000000" w:themeColor="text1"/>
          <w:lang w:val="en-GB"/>
        </w:rPr>
        <w:t>ESL</w:t>
      </w:r>
      <w:r w:rsidR="00C2654E">
        <w:rPr>
          <w:bCs/>
          <w:color w:val="000000" w:themeColor="text1"/>
          <w:lang w:val="en-GB"/>
        </w:rPr>
        <w:t xml:space="preserve">) </w:t>
      </w:r>
      <w:r w:rsidR="00501447" w:rsidRPr="00501447">
        <w:rPr>
          <w:bCs/>
          <w:color w:val="000000" w:themeColor="text1"/>
          <w:lang w:val="en-GB"/>
        </w:rPr>
        <w:t>and Emperor Futures Limited</w:t>
      </w:r>
      <w:r w:rsidR="00C2654E">
        <w:rPr>
          <w:bCs/>
          <w:color w:val="000000" w:themeColor="text1"/>
          <w:lang w:val="en-GB"/>
        </w:rPr>
        <w:t xml:space="preserve"> (</w:t>
      </w:r>
      <w:r w:rsidR="00C2654E" w:rsidRPr="00C2654E">
        <w:rPr>
          <w:b/>
          <w:bCs/>
          <w:color w:val="000000" w:themeColor="text1"/>
          <w:lang w:val="en-GB"/>
        </w:rPr>
        <w:t>EFL</w:t>
      </w:r>
      <w:r w:rsidR="00C2654E">
        <w:rPr>
          <w:bCs/>
          <w:color w:val="000000" w:themeColor="text1"/>
          <w:lang w:val="en-GB"/>
        </w:rPr>
        <w:t>)</w:t>
      </w:r>
      <w:r w:rsidR="00501447" w:rsidRPr="00501447">
        <w:rPr>
          <w:bCs/>
          <w:color w:val="000000" w:themeColor="text1"/>
          <w:lang w:val="en-GB"/>
        </w:rPr>
        <w:t xml:space="preserve"> (</w:t>
      </w:r>
      <w:r w:rsidR="00501447">
        <w:rPr>
          <w:bCs/>
          <w:color w:val="000000" w:themeColor="text1"/>
          <w:lang w:val="en-GB"/>
        </w:rPr>
        <w:t>together</w:t>
      </w:r>
      <w:r w:rsidR="00501447" w:rsidRPr="00501447">
        <w:rPr>
          <w:bCs/>
          <w:color w:val="000000" w:themeColor="text1"/>
          <w:lang w:val="en-GB"/>
        </w:rPr>
        <w:t xml:space="preserve">, </w:t>
      </w:r>
      <w:r w:rsidR="00501447" w:rsidRPr="00501447">
        <w:rPr>
          <w:b/>
          <w:color w:val="000000" w:themeColor="text1"/>
          <w:lang w:val="en-GB"/>
        </w:rPr>
        <w:t>Emperor</w:t>
      </w:r>
      <w:r w:rsidR="00501447" w:rsidRPr="00501447">
        <w:rPr>
          <w:bCs/>
          <w:color w:val="000000" w:themeColor="text1"/>
          <w:lang w:val="en-GB"/>
        </w:rPr>
        <w:t xml:space="preserve">) </w:t>
      </w:r>
      <w:r w:rsidR="00DA5EAE">
        <w:rPr>
          <w:bCs/>
          <w:color w:val="000000" w:themeColor="text1"/>
          <w:lang w:val="en-GB"/>
        </w:rPr>
        <w:t>HK</w:t>
      </w:r>
      <w:r w:rsidR="00501447" w:rsidRPr="00501447">
        <w:rPr>
          <w:bCs/>
          <w:color w:val="000000" w:themeColor="text1"/>
          <w:lang w:val="en-GB"/>
        </w:rPr>
        <w:t>$5.4 million for failures in complying with anti-money laundering and counter-terrorist financing (</w:t>
      </w:r>
      <w:r w:rsidR="00501447" w:rsidRPr="00CB246B">
        <w:rPr>
          <w:b/>
          <w:color w:val="000000" w:themeColor="text1"/>
          <w:lang w:val="en-GB"/>
        </w:rPr>
        <w:t>AML/CFT</w:t>
      </w:r>
      <w:r w:rsidR="00501447" w:rsidRPr="00501447">
        <w:rPr>
          <w:bCs/>
          <w:color w:val="000000" w:themeColor="text1"/>
          <w:lang w:val="en-GB"/>
        </w:rPr>
        <w:t>) regulatory requirements.</w:t>
      </w:r>
      <w:r w:rsidR="006C0861">
        <w:rPr>
          <w:bCs/>
          <w:color w:val="000000" w:themeColor="text1"/>
          <w:lang w:val="en-GB"/>
        </w:rPr>
        <w:t xml:space="preserve"> </w:t>
      </w:r>
      <w:r w:rsidR="00DA5EAE">
        <w:rPr>
          <w:bCs/>
          <w:color w:val="000000" w:themeColor="text1"/>
          <w:lang w:val="en-GB"/>
        </w:rPr>
        <w:t xml:space="preserve">The action was brought by the </w:t>
      </w:r>
      <w:r w:rsidR="0058748E">
        <w:rPr>
          <w:bCs/>
          <w:color w:val="000000" w:themeColor="text1"/>
          <w:lang w:val="en-GB"/>
        </w:rPr>
        <w:t>SFC under section 194</w:t>
      </w:r>
      <w:r w:rsidR="00DA5EAE">
        <w:rPr>
          <w:bCs/>
          <w:color w:val="000000" w:themeColor="text1"/>
          <w:lang w:val="en-GB"/>
        </w:rPr>
        <w:t xml:space="preserve"> of the SFO. The SF</w:t>
      </w:r>
      <w:r w:rsidR="006C0861">
        <w:rPr>
          <w:bCs/>
          <w:color w:val="000000" w:themeColor="text1"/>
          <w:lang w:val="en-GB"/>
        </w:rPr>
        <w:t xml:space="preserve">C found that Emperor had failed to implement adequate and effective policies and procedures to mitigate any risk of money laundering and terrorist financing associated with third party deposits and payments. </w:t>
      </w:r>
      <w:r w:rsidR="00DA5EAE">
        <w:rPr>
          <w:bCs/>
          <w:color w:val="000000" w:themeColor="text1"/>
          <w:lang w:val="en-GB"/>
        </w:rPr>
        <w:t>The SFC’s Statement of Disciplinary Action</w:t>
      </w:r>
      <w:r w:rsidR="00026C09">
        <w:rPr>
          <w:bCs/>
          <w:color w:val="000000" w:themeColor="text1"/>
          <w:lang w:val="en-GB"/>
        </w:rPr>
        <w:t xml:space="preserve"> is available </w:t>
      </w:r>
      <w:hyperlink r:id="rId11" w:history="1">
        <w:r w:rsidR="00026C09" w:rsidRPr="00026C09">
          <w:rPr>
            <w:rStyle w:val="af"/>
            <w:bCs/>
            <w:i/>
            <w:iCs/>
            <w:lang w:val="en-GB"/>
          </w:rPr>
          <w:t>here</w:t>
        </w:r>
      </w:hyperlink>
      <w:r w:rsidR="00026C09">
        <w:rPr>
          <w:bCs/>
          <w:color w:val="000000" w:themeColor="text1"/>
          <w:lang w:val="en-GB"/>
        </w:rPr>
        <w:t xml:space="preserve">. </w:t>
      </w:r>
    </w:p>
    <w:p w14:paraId="024056E2" w14:textId="77777777" w:rsidR="006C0861" w:rsidRPr="00F269DF" w:rsidRDefault="00F269DF">
      <w:pPr>
        <w:pStyle w:val="a5"/>
        <w:rPr>
          <w:bCs/>
          <w:color w:val="000000" w:themeColor="text1"/>
          <w:lang w:val="en-GB"/>
        </w:rPr>
      </w:pPr>
      <w:r w:rsidRPr="00F269DF">
        <w:rPr>
          <w:b/>
          <w:color w:val="000000" w:themeColor="text1"/>
          <w:lang w:val="en-GB"/>
        </w:rPr>
        <w:t>The SFC’s Findings</w:t>
      </w:r>
      <w:r w:rsidR="009D406E">
        <w:rPr>
          <w:b/>
          <w:color w:val="000000" w:themeColor="text1"/>
          <w:lang w:val="en-GB"/>
        </w:rPr>
        <w:t xml:space="preserve"> of Breach of AML/CTF Requirements</w:t>
      </w:r>
    </w:p>
    <w:p w14:paraId="7951D066" w14:textId="77777777" w:rsidR="00F269DF" w:rsidRDefault="00C2654E">
      <w:pPr>
        <w:pStyle w:val="a5"/>
        <w:rPr>
          <w:bCs/>
          <w:color w:val="000000" w:themeColor="text1"/>
          <w:lang w:val="en-GB"/>
        </w:rPr>
      </w:pPr>
      <w:r>
        <w:rPr>
          <w:bCs/>
          <w:color w:val="000000" w:themeColor="text1"/>
          <w:lang w:val="en-GB"/>
        </w:rPr>
        <w:t>The</w:t>
      </w:r>
      <w:r w:rsidR="00F269DF">
        <w:rPr>
          <w:bCs/>
          <w:color w:val="000000" w:themeColor="text1"/>
          <w:lang w:val="en-GB"/>
        </w:rPr>
        <w:t xml:space="preserve"> SFC</w:t>
      </w:r>
      <w:r>
        <w:rPr>
          <w:bCs/>
          <w:color w:val="000000" w:themeColor="text1"/>
          <w:lang w:val="en-GB"/>
        </w:rPr>
        <w:t>’s</w:t>
      </w:r>
      <w:r w:rsidR="00F269DF">
        <w:rPr>
          <w:bCs/>
          <w:color w:val="000000" w:themeColor="text1"/>
          <w:lang w:val="en-GB"/>
        </w:rPr>
        <w:t xml:space="preserve"> investigation </w:t>
      </w:r>
      <w:r>
        <w:rPr>
          <w:bCs/>
          <w:color w:val="000000" w:themeColor="text1"/>
          <w:lang w:val="en-GB"/>
        </w:rPr>
        <w:t xml:space="preserve">found </w:t>
      </w:r>
      <w:r w:rsidR="00F269DF">
        <w:rPr>
          <w:bCs/>
          <w:color w:val="000000" w:themeColor="text1"/>
          <w:lang w:val="en-GB"/>
        </w:rPr>
        <w:t>that Emperor failed to take all reasonable measures to ensure that proper safeguards exist</w:t>
      </w:r>
      <w:r w:rsidR="008E4BF3">
        <w:rPr>
          <w:bCs/>
          <w:color w:val="000000" w:themeColor="text1"/>
          <w:lang w:val="en-GB"/>
        </w:rPr>
        <w:t>ed</w:t>
      </w:r>
      <w:r w:rsidR="00F269DF">
        <w:rPr>
          <w:bCs/>
          <w:color w:val="000000" w:themeColor="text1"/>
          <w:lang w:val="en-GB"/>
        </w:rPr>
        <w:t xml:space="preserve"> to mitigate the risks of money laundering and terrorist financing associated with third party deposits and payments</w:t>
      </w:r>
      <w:r>
        <w:rPr>
          <w:bCs/>
          <w:color w:val="000000" w:themeColor="text1"/>
          <w:lang w:val="en-GB"/>
        </w:rPr>
        <w:t xml:space="preserve"> between 1 December 2016 and 10 December 2017</w:t>
      </w:r>
      <w:r w:rsidR="009D406E">
        <w:rPr>
          <w:bCs/>
          <w:color w:val="000000" w:themeColor="text1"/>
          <w:lang w:val="en-GB"/>
        </w:rPr>
        <w:t>. In particular, Emperor</w:t>
      </w:r>
      <w:r w:rsidR="00F269DF">
        <w:rPr>
          <w:bCs/>
          <w:color w:val="000000" w:themeColor="text1"/>
          <w:lang w:val="en-GB"/>
        </w:rPr>
        <w:t xml:space="preserve"> failed to:</w:t>
      </w:r>
    </w:p>
    <w:p w14:paraId="52B4D104" w14:textId="77777777" w:rsidR="00F269DF" w:rsidRDefault="001E4304" w:rsidP="00F269DF">
      <w:pPr>
        <w:pStyle w:val="a5"/>
        <w:numPr>
          <w:ilvl w:val="0"/>
          <w:numId w:val="15"/>
        </w:numPr>
        <w:rPr>
          <w:bCs/>
          <w:color w:val="000000" w:themeColor="text1"/>
          <w:lang w:val="en-GB"/>
        </w:rPr>
      </w:pPr>
      <w:r>
        <w:rPr>
          <w:bCs/>
          <w:color w:val="000000" w:themeColor="text1"/>
          <w:lang w:val="en-GB"/>
        </w:rPr>
        <w:t>i</w:t>
      </w:r>
      <w:r w:rsidR="00F269DF">
        <w:rPr>
          <w:bCs/>
          <w:color w:val="000000" w:themeColor="text1"/>
          <w:lang w:val="en-GB"/>
        </w:rPr>
        <w:t xml:space="preserve">mplement adequate and effective policies and procedures for handling third party fund transfers; and </w:t>
      </w:r>
    </w:p>
    <w:p w14:paraId="7DC36FE0" w14:textId="77777777" w:rsidR="00F269DF" w:rsidRDefault="001E4304" w:rsidP="00F269DF">
      <w:pPr>
        <w:pStyle w:val="a5"/>
        <w:numPr>
          <w:ilvl w:val="0"/>
          <w:numId w:val="15"/>
        </w:numPr>
        <w:rPr>
          <w:bCs/>
          <w:color w:val="000000" w:themeColor="text1"/>
          <w:lang w:val="en-GB"/>
        </w:rPr>
      </w:pPr>
      <w:r>
        <w:rPr>
          <w:bCs/>
          <w:color w:val="000000" w:themeColor="text1"/>
          <w:lang w:val="en-GB"/>
        </w:rPr>
        <w:t>c</w:t>
      </w:r>
      <w:r w:rsidR="00F269DF">
        <w:rPr>
          <w:bCs/>
          <w:color w:val="000000" w:themeColor="text1"/>
          <w:lang w:val="en-GB"/>
        </w:rPr>
        <w:t xml:space="preserve">onduct appropriate enquiries before approving third party fund transfers. </w:t>
      </w:r>
    </w:p>
    <w:p w14:paraId="4DA7D405" w14:textId="77777777" w:rsidR="006C0861" w:rsidRDefault="001E4304" w:rsidP="00520CB6">
      <w:pPr>
        <w:pStyle w:val="a5"/>
        <w:rPr>
          <w:bCs/>
          <w:color w:val="000000" w:themeColor="text1"/>
          <w:lang w:val="en-GB"/>
        </w:rPr>
      </w:pPr>
      <w:r>
        <w:rPr>
          <w:bCs/>
          <w:color w:val="000000" w:themeColor="text1"/>
          <w:lang w:val="en-GB"/>
        </w:rPr>
        <w:t>During the relevant</w:t>
      </w:r>
      <w:r w:rsidR="00C640EA">
        <w:rPr>
          <w:bCs/>
          <w:color w:val="000000" w:themeColor="text1"/>
          <w:lang w:val="en-GB"/>
        </w:rPr>
        <w:t xml:space="preserve"> period, E</w:t>
      </w:r>
      <w:r w:rsidR="00777680">
        <w:rPr>
          <w:bCs/>
          <w:color w:val="000000" w:themeColor="text1"/>
          <w:lang w:val="en-GB"/>
        </w:rPr>
        <w:t>SL</w:t>
      </w:r>
      <w:r w:rsidR="00C640EA">
        <w:rPr>
          <w:bCs/>
          <w:color w:val="000000" w:themeColor="text1"/>
          <w:lang w:val="en-GB"/>
        </w:rPr>
        <w:t xml:space="preserve"> processed and approved 732</w:t>
      </w:r>
      <w:r w:rsidR="00820BF7">
        <w:rPr>
          <w:bCs/>
          <w:color w:val="000000" w:themeColor="text1"/>
          <w:lang w:val="en-GB"/>
        </w:rPr>
        <w:t xml:space="preserve"> </w:t>
      </w:r>
      <w:r w:rsidR="00C2654E">
        <w:rPr>
          <w:bCs/>
          <w:color w:val="000000" w:themeColor="text1"/>
          <w:lang w:val="en-GB"/>
        </w:rPr>
        <w:t xml:space="preserve">third party fund transfers </w:t>
      </w:r>
      <w:r w:rsidR="00820BF7">
        <w:rPr>
          <w:bCs/>
          <w:color w:val="000000" w:themeColor="text1"/>
          <w:lang w:val="en-GB"/>
        </w:rPr>
        <w:t>(</w:t>
      </w:r>
      <w:r w:rsidR="00777680">
        <w:rPr>
          <w:bCs/>
          <w:color w:val="000000" w:themeColor="text1"/>
          <w:lang w:val="en-GB"/>
        </w:rPr>
        <w:t xml:space="preserve">in </w:t>
      </w:r>
      <w:r w:rsidR="00820BF7">
        <w:rPr>
          <w:bCs/>
          <w:color w:val="000000" w:themeColor="text1"/>
          <w:lang w:val="en-GB"/>
        </w:rPr>
        <w:t xml:space="preserve">an aggregate </w:t>
      </w:r>
      <w:r w:rsidR="00777680">
        <w:rPr>
          <w:bCs/>
          <w:color w:val="000000" w:themeColor="text1"/>
          <w:lang w:val="en-GB"/>
        </w:rPr>
        <w:t xml:space="preserve">amount </w:t>
      </w:r>
      <w:r w:rsidR="00820BF7">
        <w:rPr>
          <w:bCs/>
          <w:color w:val="000000" w:themeColor="text1"/>
          <w:lang w:val="en-GB"/>
        </w:rPr>
        <w:t xml:space="preserve">of around </w:t>
      </w:r>
      <w:r>
        <w:rPr>
          <w:bCs/>
          <w:color w:val="000000" w:themeColor="text1"/>
          <w:lang w:val="en-GB"/>
        </w:rPr>
        <w:t>HK</w:t>
      </w:r>
      <w:r w:rsidR="00820BF7">
        <w:rPr>
          <w:bCs/>
          <w:color w:val="000000" w:themeColor="text1"/>
          <w:lang w:val="en-GB"/>
        </w:rPr>
        <w:t>$1.05 billion)</w:t>
      </w:r>
      <w:r w:rsidR="00C640EA">
        <w:rPr>
          <w:bCs/>
          <w:color w:val="000000" w:themeColor="text1"/>
          <w:lang w:val="en-GB"/>
        </w:rPr>
        <w:t xml:space="preserve"> </w:t>
      </w:r>
      <w:r w:rsidR="00820BF7">
        <w:rPr>
          <w:bCs/>
          <w:color w:val="000000" w:themeColor="text1"/>
          <w:lang w:val="en-GB"/>
        </w:rPr>
        <w:t xml:space="preserve">and </w:t>
      </w:r>
      <w:r w:rsidR="00777680">
        <w:rPr>
          <w:bCs/>
          <w:color w:val="000000" w:themeColor="text1"/>
          <w:lang w:val="en-GB"/>
        </w:rPr>
        <w:t xml:space="preserve">EFL processed and approved </w:t>
      </w:r>
      <w:r w:rsidR="00820BF7">
        <w:rPr>
          <w:bCs/>
          <w:color w:val="000000" w:themeColor="text1"/>
          <w:lang w:val="en-GB"/>
        </w:rPr>
        <w:t>32</w:t>
      </w:r>
      <w:r w:rsidR="00777680">
        <w:rPr>
          <w:bCs/>
          <w:color w:val="000000" w:themeColor="text1"/>
          <w:lang w:val="en-GB"/>
        </w:rPr>
        <w:t xml:space="preserve"> third party fund transfers</w:t>
      </w:r>
      <w:r w:rsidR="00820BF7">
        <w:rPr>
          <w:bCs/>
          <w:color w:val="000000" w:themeColor="text1"/>
          <w:lang w:val="en-GB"/>
        </w:rPr>
        <w:t xml:space="preserve"> (</w:t>
      </w:r>
      <w:r w:rsidR="00777680">
        <w:rPr>
          <w:bCs/>
          <w:color w:val="000000" w:themeColor="text1"/>
          <w:lang w:val="en-GB"/>
        </w:rPr>
        <w:t>amounting in aggregate to around HK$</w:t>
      </w:r>
      <w:r w:rsidR="00820BF7">
        <w:rPr>
          <w:bCs/>
          <w:color w:val="000000" w:themeColor="text1"/>
          <w:lang w:val="en-GB"/>
        </w:rPr>
        <w:t>17.6 million)</w:t>
      </w:r>
      <w:r w:rsidR="00ED7786">
        <w:rPr>
          <w:bCs/>
          <w:color w:val="000000" w:themeColor="text1"/>
          <w:lang w:val="en-GB"/>
        </w:rPr>
        <w:t>, in each case</w:t>
      </w:r>
      <w:r w:rsidR="00820BF7">
        <w:rPr>
          <w:bCs/>
          <w:color w:val="000000" w:themeColor="text1"/>
          <w:lang w:val="en-GB"/>
        </w:rPr>
        <w:t xml:space="preserve"> </w:t>
      </w:r>
      <w:r w:rsidR="00777680">
        <w:rPr>
          <w:bCs/>
          <w:color w:val="000000" w:themeColor="text1"/>
          <w:lang w:val="en-GB"/>
        </w:rPr>
        <w:t>without conduct</w:t>
      </w:r>
      <w:r w:rsidR="00820BF7">
        <w:rPr>
          <w:bCs/>
          <w:color w:val="000000" w:themeColor="text1"/>
          <w:lang w:val="en-GB"/>
        </w:rPr>
        <w:t xml:space="preserve">ing sufficient due diligence to validate the relationship </w:t>
      </w:r>
      <w:r w:rsidR="00520CB6" w:rsidRPr="00520CB6">
        <w:rPr>
          <w:bCs/>
          <w:color w:val="000000" w:themeColor="text1"/>
          <w:lang w:val="en-GB"/>
        </w:rPr>
        <w:t>between the</w:t>
      </w:r>
      <w:r w:rsidR="00520CB6">
        <w:rPr>
          <w:bCs/>
          <w:color w:val="000000" w:themeColor="text1"/>
          <w:lang w:val="en-GB"/>
        </w:rPr>
        <w:t xml:space="preserve"> </w:t>
      </w:r>
      <w:r w:rsidR="00520CB6" w:rsidRPr="00520CB6">
        <w:rPr>
          <w:bCs/>
          <w:color w:val="000000" w:themeColor="text1"/>
          <w:lang w:val="en-GB"/>
        </w:rPr>
        <w:t>clients and third parties, and/or the reason for the third</w:t>
      </w:r>
      <w:r w:rsidR="00BA001D">
        <w:rPr>
          <w:bCs/>
          <w:color w:val="000000" w:themeColor="text1"/>
          <w:lang w:val="en-GB"/>
        </w:rPr>
        <w:t>-</w:t>
      </w:r>
      <w:r w:rsidR="00520CB6" w:rsidRPr="00520CB6">
        <w:rPr>
          <w:bCs/>
          <w:color w:val="000000" w:themeColor="text1"/>
          <w:lang w:val="en-GB"/>
        </w:rPr>
        <w:t>party fund</w:t>
      </w:r>
      <w:r w:rsidR="00520CB6">
        <w:rPr>
          <w:bCs/>
          <w:color w:val="000000" w:themeColor="text1"/>
          <w:lang w:val="en-GB"/>
        </w:rPr>
        <w:t xml:space="preserve"> </w:t>
      </w:r>
      <w:r w:rsidR="00520CB6" w:rsidRPr="00520CB6">
        <w:rPr>
          <w:bCs/>
          <w:color w:val="000000" w:themeColor="text1"/>
          <w:lang w:val="en-GB"/>
        </w:rPr>
        <w:t>transfers.</w:t>
      </w:r>
      <w:r w:rsidR="00520CB6">
        <w:rPr>
          <w:bCs/>
          <w:color w:val="000000" w:themeColor="text1"/>
          <w:lang w:val="en-GB"/>
        </w:rPr>
        <w:t xml:space="preserve"> </w:t>
      </w:r>
      <w:r w:rsidR="00777680">
        <w:rPr>
          <w:bCs/>
          <w:color w:val="000000" w:themeColor="text1"/>
          <w:lang w:val="en-GB"/>
        </w:rPr>
        <w:t>The</w:t>
      </w:r>
      <w:r w:rsidR="00BA001D">
        <w:rPr>
          <w:bCs/>
          <w:color w:val="000000" w:themeColor="text1"/>
          <w:lang w:val="en-GB"/>
        </w:rPr>
        <w:t xml:space="preserve"> transfers involved unverified relationship</w:t>
      </w:r>
      <w:r w:rsidR="008C42A0">
        <w:rPr>
          <w:bCs/>
          <w:color w:val="000000" w:themeColor="text1"/>
          <w:lang w:val="en-GB"/>
        </w:rPr>
        <w:t>s</w:t>
      </w:r>
      <w:r w:rsidR="00BA001D">
        <w:rPr>
          <w:bCs/>
          <w:color w:val="000000" w:themeColor="text1"/>
          <w:lang w:val="en-GB"/>
        </w:rPr>
        <w:t xml:space="preserve"> and/or situation</w:t>
      </w:r>
      <w:r w:rsidR="008C42A0">
        <w:rPr>
          <w:bCs/>
          <w:color w:val="000000" w:themeColor="text1"/>
          <w:lang w:val="en-GB"/>
        </w:rPr>
        <w:t>s</w:t>
      </w:r>
      <w:r w:rsidR="00BA001D">
        <w:rPr>
          <w:bCs/>
          <w:color w:val="000000" w:themeColor="text1"/>
          <w:lang w:val="en-GB"/>
        </w:rPr>
        <w:t xml:space="preserve"> that might </w:t>
      </w:r>
      <w:r w:rsidR="008C42A0">
        <w:rPr>
          <w:bCs/>
          <w:color w:val="000000" w:themeColor="text1"/>
          <w:lang w:val="en-GB"/>
        </w:rPr>
        <w:t xml:space="preserve">have </w:t>
      </w:r>
      <w:r w:rsidR="00BA001D">
        <w:rPr>
          <w:bCs/>
          <w:color w:val="000000" w:themeColor="text1"/>
          <w:lang w:val="en-GB"/>
        </w:rPr>
        <w:t>give</w:t>
      </w:r>
      <w:r w:rsidR="008C42A0">
        <w:rPr>
          <w:bCs/>
          <w:color w:val="000000" w:themeColor="text1"/>
          <w:lang w:val="en-GB"/>
        </w:rPr>
        <w:t>n</w:t>
      </w:r>
      <w:r w:rsidR="00BA001D">
        <w:rPr>
          <w:bCs/>
          <w:color w:val="000000" w:themeColor="text1"/>
          <w:lang w:val="en-GB"/>
        </w:rPr>
        <w:t xml:space="preserve"> rise to suspicion under the </w:t>
      </w:r>
      <w:r w:rsidR="008C42A0">
        <w:rPr>
          <w:bCs/>
          <w:color w:val="000000" w:themeColor="text1"/>
          <w:lang w:val="en-GB"/>
        </w:rPr>
        <w:t>Anti-Money Laundering and Counter-Terrorist Financing Ordinance (</w:t>
      </w:r>
      <w:r w:rsidR="00777680">
        <w:rPr>
          <w:bCs/>
          <w:color w:val="000000" w:themeColor="text1"/>
          <w:lang w:val="en-GB"/>
        </w:rPr>
        <w:t xml:space="preserve">the </w:t>
      </w:r>
      <w:r w:rsidR="008C42A0" w:rsidRPr="008C42A0">
        <w:rPr>
          <w:b/>
          <w:color w:val="000000" w:themeColor="text1"/>
          <w:lang w:val="en-GB"/>
        </w:rPr>
        <w:t>AMLO</w:t>
      </w:r>
      <w:r w:rsidR="008C42A0">
        <w:rPr>
          <w:bCs/>
          <w:color w:val="000000" w:themeColor="text1"/>
          <w:lang w:val="en-GB"/>
        </w:rPr>
        <w:t>) and the Guideline on Anti-Money Laundering and Counter-Terrorist Financing (</w:t>
      </w:r>
      <w:r w:rsidR="00777680">
        <w:rPr>
          <w:bCs/>
          <w:color w:val="000000" w:themeColor="text1"/>
          <w:lang w:val="en-GB"/>
        </w:rPr>
        <w:t xml:space="preserve">the </w:t>
      </w:r>
      <w:r w:rsidR="008C42A0" w:rsidRPr="008C42A0">
        <w:rPr>
          <w:b/>
          <w:color w:val="000000" w:themeColor="text1"/>
          <w:lang w:val="en-GB"/>
        </w:rPr>
        <w:t>AML Guideline</w:t>
      </w:r>
      <w:r w:rsidR="008C42A0">
        <w:rPr>
          <w:bCs/>
          <w:color w:val="000000" w:themeColor="text1"/>
          <w:lang w:val="en-GB"/>
        </w:rPr>
        <w:t xml:space="preserve">). </w:t>
      </w:r>
    </w:p>
    <w:p w14:paraId="3A7D902B" w14:textId="77777777" w:rsidR="008E2E11" w:rsidRDefault="00777680" w:rsidP="00C34E80">
      <w:pPr>
        <w:pStyle w:val="a5"/>
        <w:rPr>
          <w:bCs/>
          <w:color w:val="000000" w:themeColor="text1"/>
          <w:lang w:val="en-GB"/>
        </w:rPr>
      </w:pPr>
      <w:r>
        <w:rPr>
          <w:bCs/>
          <w:color w:val="000000" w:themeColor="text1"/>
          <w:lang w:val="en-GB"/>
        </w:rPr>
        <w:t xml:space="preserve">The transfers were all made to or </w:t>
      </w:r>
      <w:r w:rsidR="008E2E11">
        <w:rPr>
          <w:bCs/>
          <w:color w:val="000000" w:themeColor="text1"/>
          <w:lang w:val="en-GB"/>
        </w:rPr>
        <w:t>from third parties whose relationships with the clients were unverified or difficult to verify</w:t>
      </w:r>
      <w:r w:rsidR="006F6ABC">
        <w:rPr>
          <w:bCs/>
          <w:color w:val="000000" w:themeColor="text1"/>
          <w:lang w:val="en-GB"/>
        </w:rPr>
        <w:t>,</w:t>
      </w:r>
      <w:r w:rsidR="008E2E11">
        <w:rPr>
          <w:bCs/>
          <w:color w:val="000000" w:themeColor="text1"/>
          <w:lang w:val="en-GB"/>
        </w:rPr>
        <w:t xml:space="preserve"> </w:t>
      </w:r>
      <w:r w:rsidR="00C34E80">
        <w:rPr>
          <w:bCs/>
          <w:color w:val="000000" w:themeColor="text1"/>
          <w:lang w:val="en-GB"/>
        </w:rPr>
        <w:t>includ</w:t>
      </w:r>
      <w:r w:rsidR="00683AA4">
        <w:rPr>
          <w:bCs/>
          <w:color w:val="000000" w:themeColor="text1"/>
          <w:lang w:val="en-GB"/>
        </w:rPr>
        <w:t>ing</w:t>
      </w:r>
      <w:r w:rsidR="006F6ABC">
        <w:rPr>
          <w:bCs/>
          <w:color w:val="000000" w:themeColor="text1"/>
          <w:lang w:val="en-GB"/>
        </w:rPr>
        <w:t xml:space="preserve"> </w:t>
      </w:r>
      <w:r w:rsidR="0063667F">
        <w:rPr>
          <w:bCs/>
          <w:color w:val="000000" w:themeColor="text1"/>
          <w:lang w:val="en-GB"/>
        </w:rPr>
        <w:t xml:space="preserve">transfers </w:t>
      </w:r>
      <w:r w:rsidR="006F6ABC">
        <w:rPr>
          <w:bCs/>
          <w:color w:val="000000" w:themeColor="text1"/>
          <w:lang w:val="en-GB"/>
        </w:rPr>
        <w:t>to</w:t>
      </w:r>
      <w:r w:rsidR="00C34E80">
        <w:rPr>
          <w:bCs/>
          <w:color w:val="000000" w:themeColor="text1"/>
          <w:lang w:val="en-GB"/>
        </w:rPr>
        <w:t xml:space="preserve"> spouse</w:t>
      </w:r>
      <w:r w:rsidR="006F6ABC">
        <w:rPr>
          <w:bCs/>
          <w:color w:val="000000" w:themeColor="text1"/>
          <w:lang w:val="en-GB"/>
        </w:rPr>
        <w:t>s</w:t>
      </w:r>
      <w:r>
        <w:rPr>
          <w:bCs/>
          <w:color w:val="000000" w:themeColor="text1"/>
          <w:lang w:val="en-GB"/>
        </w:rPr>
        <w:t xml:space="preserve"> and relatives,</w:t>
      </w:r>
      <w:r w:rsidR="00C34E80">
        <w:rPr>
          <w:bCs/>
          <w:color w:val="000000" w:themeColor="text1"/>
          <w:lang w:val="en-GB"/>
        </w:rPr>
        <w:t xml:space="preserve"> </w:t>
      </w:r>
      <w:r w:rsidR="00C34E80" w:rsidRPr="00C34E80">
        <w:rPr>
          <w:bCs/>
          <w:color w:val="000000" w:themeColor="text1"/>
          <w:lang w:val="en-GB"/>
        </w:rPr>
        <w:t>director</w:t>
      </w:r>
      <w:r w:rsidR="00C34E80">
        <w:rPr>
          <w:bCs/>
          <w:color w:val="000000" w:themeColor="text1"/>
          <w:lang w:val="en-GB"/>
        </w:rPr>
        <w:t>s</w:t>
      </w:r>
      <w:r w:rsidR="00C34E80" w:rsidRPr="00C34E80">
        <w:rPr>
          <w:bCs/>
          <w:color w:val="000000" w:themeColor="text1"/>
          <w:lang w:val="en-GB"/>
        </w:rPr>
        <w:t>, shareholder</w:t>
      </w:r>
      <w:r w:rsidR="00C34E80">
        <w:rPr>
          <w:bCs/>
          <w:color w:val="000000" w:themeColor="text1"/>
          <w:lang w:val="en-GB"/>
        </w:rPr>
        <w:t>s</w:t>
      </w:r>
      <w:r w:rsidR="00C34E80" w:rsidRPr="00C34E80">
        <w:rPr>
          <w:bCs/>
          <w:color w:val="000000" w:themeColor="text1"/>
          <w:lang w:val="en-GB"/>
        </w:rPr>
        <w:t>, business partner</w:t>
      </w:r>
      <w:r w:rsidR="00C34E80">
        <w:rPr>
          <w:bCs/>
          <w:color w:val="000000" w:themeColor="text1"/>
          <w:lang w:val="en-GB"/>
        </w:rPr>
        <w:t>s</w:t>
      </w:r>
      <w:r w:rsidR="00C34E80" w:rsidRPr="00C34E80">
        <w:rPr>
          <w:bCs/>
          <w:color w:val="000000" w:themeColor="text1"/>
          <w:lang w:val="en-GB"/>
        </w:rPr>
        <w:t xml:space="preserve"> and money lender</w:t>
      </w:r>
      <w:r w:rsidR="00C34E80">
        <w:rPr>
          <w:bCs/>
          <w:color w:val="000000" w:themeColor="text1"/>
          <w:lang w:val="en-GB"/>
        </w:rPr>
        <w:t>s</w:t>
      </w:r>
      <w:r>
        <w:rPr>
          <w:bCs/>
          <w:color w:val="000000" w:themeColor="text1"/>
          <w:lang w:val="en-GB"/>
        </w:rPr>
        <w:t>,</w:t>
      </w:r>
      <w:r w:rsidR="00C34E80" w:rsidRPr="00C34E80">
        <w:rPr>
          <w:bCs/>
          <w:color w:val="000000" w:themeColor="text1"/>
          <w:lang w:val="en-GB"/>
        </w:rPr>
        <w:t xml:space="preserve"> and</w:t>
      </w:r>
      <w:r>
        <w:rPr>
          <w:bCs/>
          <w:color w:val="000000" w:themeColor="text1"/>
          <w:lang w:val="en-GB"/>
        </w:rPr>
        <w:t xml:space="preserve"> to</w:t>
      </w:r>
      <w:r w:rsidR="00C34E80" w:rsidRPr="00C34E80">
        <w:rPr>
          <w:bCs/>
          <w:color w:val="000000" w:themeColor="text1"/>
          <w:lang w:val="en-GB"/>
        </w:rPr>
        <w:t xml:space="preserve"> friend</w:t>
      </w:r>
      <w:r w:rsidR="00C34E80">
        <w:rPr>
          <w:bCs/>
          <w:color w:val="000000" w:themeColor="text1"/>
          <w:lang w:val="en-GB"/>
        </w:rPr>
        <w:t xml:space="preserve">s or </w:t>
      </w:r>
      <w:r w:rsidR="00C34E80" w:rsidRPr="00C34E80">
        <w:rPr>
          <w:bCs/>
          <w:color w:val="000000" w:themeColor="text1"/>
          <w:lang w:val="en-GB"/>
        </w:rPr>
        <w:t>colleague</w:t>
      </w:r>
      <w:r w:rsidR="00C34E80">
        <w:rPr>
          <w:bCs/>
          <w:color w:val="000000" w:themeColor="text1"/>
          <w:lang w:val="en-GB"/>
        </w:rPr>
        <w:t xml:space="preserve">s. </w:t>
      </w:r>
    </w:p>
    <w:p w14:paraId="7E109EFA" w14:textId="77777777" w:rsidR="00B60C66" w:rsidRDefault="00B60C66" w:rsidP="00C34E80">
      <w:pPr>
        <w:pStyle w:val="a5"/>
        <w:rPr>
          <w:bCs/>
          <w:color w:val="000000" w:themeColor="text1"/>
          <w:lang w:val="en-GB"/>
        </w:rPr>
      </w:pPr>
      <w:r>
        <w:rPr>
          <w:bCs/>
          <w:color w:val="000000" w:themeColor="text1"/>
          <w:lang w:val="en-GB"/>
        </w:rPr>
        <w:t>The transfers raised red flags</w:t>
      </w:r>
      <w:r w:rsidR="00777680">
        <w:rPr>
          <w:bCs/>
          <w:color w:val="000000" w:themeColor="text1"/>
          <w:lang w:val="en-GB"/>
        </w:rPr>
        <w:t xml:space="preserve"> because they</w:t>
      </w:r>
      <w:r w:rsidR="006F6ABC">
        <w:rPr>
          <w:bCs/>
          <w:color w:val="000000" w:themeColor="text1"/>
          <w:lang w:val="en-GB"/>
        </w:rPr>
        <w:t xml:space="preserve"> </w:t>
      </w:r>
      <w:r w:rsidR="00777680">
        <w:rPr>
          <w:bCs/>
          <w:color w:val="000000" w:themeColor="text1"/>
          <w:lang w:val="en-GB"/>
        </w:rPr>
        <w:t xml:space="preserve">had </w:t>
      </w:r>
      <w:r>
        <w:rPr>
          <w:bCs/>
          <w:color w:val="000000" w:themeColor="text1"/>
          <w:lang w:val="en-GB"/>
        </w:rPr>
        <w:t>no apparent economic or lawful purpose and were out</w:t>
      </w:r>
      <w:r w:rsidR="00ED7786">
        <w:rPr>
          <w:bCs/>
          <w:color w:val="000000" w:themeColor="text1"/>
          <w:lang w:val="en-GB"/>
        </w:rPr>
        <w:t xml:space="preserve">side </w:t>
      </w:r>
      <w:r>
        <w:rPr>
          <w:bCs/>
          <w:color w:val="000000" w:themeColor="text1"/>
          <w:lang w:val="en-GB"/>
        </w:rPr>
        <w:t>the ordinary range of s</w:t>
      </w:r>
      <w:r w:rsidR="00ED7786">
        <w:rPr>
          <w:bCs/>
          <w:color w:val="000000" w:themeColor="text1"/>
          <w:lang w:val="en-GB"/>
        </w:rPr>
        <w:t xml:space="preserve">ervices normally requested by </w:t>
      </w:r>
      <w:r>
        <w:rPr>
          <w:bCs/>
          <w:color w:val="000000" w:themeColor="text1"/>
          <w:lang w:val="en-GB"/>
        </w:rPr>
        <w:t>client</w:t>
      </w:r>
      <w:r w:rsidR="00ED7786">
        <w:rPr>
          <w:bCs/>
          <w:color w:val="000000" w:themeColor="text1"/>
          <w:lang w:val="en-GB"/>
        </w:rPr>
        <w:t>s</w:t>
      </w:r>
      <w:r w:rsidR="006F6ABC">
        <w:rPr>
          <w:bCs/>
          <w:color w:val="000000" w:themeColor="text1"/>
          <w:lang w:val="en-GB"/>
        </w:rPr>
        <w:t xml:space="preserve">. </w:t>
      </w:r>
      <w:r w:rsidR="00777680">
        <w:rPr>
          <w:bCs/>
          <w:color w:val="000000" w:themeColor="text1"/>
          <w:lang w:val="en-GB"/>
        </w:rPr>
        <w:t>The SFC noted that:</w:t>
      </w:r>
      <w:r w:rsidR="00E272FB">
        <w:rPr>
          <w:bCs/>
          <w:color w:val="000000" w:themeColor="text1"/>
          <w:lang w:val="en-GB"/>
        </w:rPr>
        <w:t xml:space="preserve"> </w:t>
      </w:r>
    </w:p>
    <w:p w14:paraId="5EAFE976" w14:textId="77777777" w:rsidR="0063667F" w:rsidRDefault="0063667F" w:rsidP="0063667F">
      <w:pPr>
        <w:pStyle w:val="a5"/>
        <w:numPr>
          <w:ilvl w:val="0"/>
          <w:numId w:val="16"/>
        </w:numPr>
        <w:rPr>
          <w:bCs/>
          <w:color w:val="000000" w:themeColor="text1"/>
          <w:lang w:val="en-GB"/>
        </w:rPr>
      </w:pPr>
      <w:r w:rsidRPr="0063667F">
        <w:rPr>
          <w:bCs/>
          <w:color w:val="000000" w:themeColor="text1"/>
          <w:lang w:val="en-GB"/>
        </w:rPr>
        <w:t>the reasons for 25% of the transfers were not provided in the third</w:t>
      </w:r>
      <w:r w:rsidR="00AA4A19">
        <w:rPr>
          <w:bCs/>
          <w:color w:val="000000" w:themeColor="text1"/>
          <w:lang w:val="en-GB"/>
        </w:rPr>
        <w:t>-</w:t>
      </w:r>
      <w:r w:rsidRPr="0063667F">
        <w:rPr>
          <w:bCs/>
          <w:color w:val="000000" w:themeColor="text1"/>
          <w:lang w:val="en-GB"/>
        </w:rPr>
        <w:t>party fund transfer request forms and were therefore unknown;</w:t>
      </w:r>
    </w:p>
    <w:p w14:paraId="1D9C2B76" w14:textId="77777777" w:rsidR="0063667F" w:rsidRDefault="0063667F" w:rsidP="0063667F">
      <w:pPr>
        <w:pStyle w:val="a5"/>
        <w:numPr>
          <w:ilvl w:val="0"/>
          <w:numId w:val="16"/>
        </w:numPr>
        <w:rPr>
          <w:bCs/>
          <w:color w:val="000000" w:themeColor="text1"/>
          <w:lang w:val="en-GB"/>
        </w:rPr>
      </w:pPr>
      <w:r w:rsidRPr="0063667F">
        <w:rPr>
          <w:bCs/>
          <w:color w:val="000000" w:themeColor="text1"/>
          <w:lang w:val="en-GB"/>
        </w:rPr>
        <w:t>the reasons for 40% of the transfers were stated to be loan, loan repayment, fund allocation, and business development/arrangement, which were not supported by any relevant documents that could meaningfully explain whether the transfers had any apparent economic or lawful purpose, and why the clients had to use their securities accounts for</w:t>
      </w:r>
      <w:r>
        <w:rPr>
          <w:bCs/>
          <w:color w:val="000000" w:themeColor="text1"/>
          <w:lang w:val="en-GB"/>
        </w:rPr>
        <w:t xml:space="preserve"> </w:t>
      </w:r>
      <w:r w:rsidRPr="0063667F">
        <w:rPr>
          <w:bCs/>
          <w:color w:val="000000" w:themeColor="text1"/>
          <w:lang w:val="en-GB"/>
        </w:rPr>
        <w:t>conducting those transfers to/from the third parties; and</w:t>
      </w:r>
    </w:p>
    <w:p w14:paraId="0B3C0E4F" w14:textId="77777777" w:rsidR="0063667F" w:rsidRPr="0063667F" w:rsidRDefault="0063667F" w:rsidP="0063667F">
      <w:pPr>
        <w:pStyle w:val="a5"/>
        <w:numPr>
          <w:ilvl w:val="0"/>
          <w:numId w:val="16"/>
        </w:numPr>
        <w:rPr>
          <w:bCs/>
          <w:color w:val="000000" w:themeColor="text1"/>
          <w:lang w:val="en-GB"/>
        </w:rPr>
      </w:pPr>
      <w:r w:rsidRPr="0063667F">
        <w:rPr>
          <w:bCs/>
          <w:color w:val="000000" w:themeColor="text1"/>
          <w:lang w:val="en-GB"/>
        </w:rPr>
        <w:t>the reasons for 26% of the transfers were stated to be not being in Hong Kong, not having a Hong Kong bank account, payment of living expenses, and not convenient to get around or handle financial matters, which were not satisfactory explanation</w:t>
      </w:r>
      <w:r w:rsidR="00ED71F0">
        <w:rPr>
          <w:bCs/>
          <w:color w:val="000000" w:themeColor="text1"/>
          <w:lang w:val="en-GB"/>
        </w:rPr>
        <w:t>s</w:t>
      </w:r>
      <w:r w:rsidRPr="0063667F">
        <w:rPr>
          <w:bCs/>
          <w:color w:val="000000" w:themeColor="text1"/>
          <w:lang w:val="en-GB"/>
        </w:rPr>
        <w:t xml:space="preserve"> for the third</w:t>
      </w:r>
      <w:r w:rsidR="00AA4A19">
        <w:rPr>
          <w:bCs/>
          <w:color w:val="000000" w:themeColor="text1"/>
          <w:lang w:val="en-GB"/>
        </w:rPr>
        <w:t>-</w:t>
      </w:r>
      <w:r w:rsidRPr="0063667F">
        <w:rPr>
          <w:bCs/>
          <w:color w:val="000000" w:themeColor="text1"/>
          <w:lang w:val="en-GB"/>
        </w:rPr>
        <w:t xml:space="preserve">party </w:t>
      </w:r>
      <w:r w:rsidRPr="0063667F">
        <w:rPr>
          <w:bCs/>
          <w:color w:val="000000" w:themeColor="text1"/>
          <w:lang w:val="en-GB"/>
        </w:rPr>
        <w:lastRenderedPageBreak/>
        <w:t>fund transfers, and/or were out of the ordinary</w:t>
      </w:r>
      <w:r>
        <w:rPr>
          <w:bCs/>
          <w:color w:val="000000" w:themeColor="text1"/>
          <w:lang w:val="en-GB"/>
        </w:rPr>
        <w:t xml:space="preserve"> </w:t>
      </w:r>
      <w:r w:rsidRPr="0063667F">
        <w:rPr>
          <w:bCs/>
          <w:color w:val="000000" w:themeColor="text1"/>
          <w:lang w:val="en-GB"/>
        </w:rPr>
        <w:t>range of services normally requested by a client.</w:t>
      </w:r>
    </w:p>
    <w:p w14:paraId="19FDA845" w14:textId="77777777" w:rsidR="00B60C66" w:rsidRDefault="00305401" w:rsidP="00842DD0">
      <w:pPr>
        <w:pStyle w:val="a5"/>
        <w:rPr>
          <w:bCs/>
          <w:color w:val="000000" w:themeColor="text1"/>
          <w:lang w:val="en-GB"/>
        </w:rPr>
      </w:pPr>
      <w:r>
        <w:rPr>
          <w:bCs/>
          <w:color w:val="000000" w:themeColor="text1"/>
          <w:lang w:val="en-GB"/>
        </w:rPr>
        <w:t xml:space="preserve">Other examples of unusual </w:t>
      </w:r>
      <w:r w:rsidRPr="00305401">
        <w:rPr>
          <w:bCs/>
          <w:color w:val="000000" w:themeColor="text1"/>
          <w:lang w:val="en-GB"/>
        </w:rPr>
        <w:t>transfers involve</w:t>
      </w:r>
      <w:r>
        <w:rPr>
          <w:bCs/>
          <w:color w:val="000000" w:themeColor="text1"/>
          <w:lang w:val="en-GB"/>
        </w:rPr>
        <w:t>d</w:t>
      </w:r>
      <w:r w:rsidRPr="00305401">
        <w:rPr>
          <w:bCs/>
          <w:color w:val="000000" w:themeColor="text1"/>
          <w:lang w:val="en-GB"/>
        </w:rPr>
        <w:t xml:space="preserve"> frequent</w:t>
      </w:r>
      <w:r>
        <w:rPr>
          <w:bCs/>
          <w:color w:val="000000" w:themeColor="text1"/>
          <w:lang w:val="en-GB"/>
        </w:rPr>
        <w:t xml:space="preserve"> </w:t>
      </w:r>
      <w:r w:rsidR="00ED7786">
        <w:rPr>
          <w:bCs/>
          <w:color w:val="000000" w:themeColor="text1"/>
          <w:lang w:val="en-GB"/>
        </w:rPr>
        <w:t xml:space="preserve">transfers to or </w:t>
      </w:r>
      <w:r w:rsidRPr="00305401">
        <w:rPr>
          <w:bCs/>
          <w:color w:val="000000" w:themeColor="text1"/>
          <w:lang w:val="en-GB"/>
        </w:rPr>
        <w:t>from the same third party</w:t>
      </w:r>
      <w:r w:rsidR="00EE351D">
        <w:rPr>
          <w:bCs/>
          <w:color w:val="000000" w:themeColor="text1"/>
          <w:lang w:val="en-GB"/>
        </w:rPr>
        <w:t xml:space="preserve">. There was also a case of </w:t>
      </w:r>
      <w:r w:rsidR="00ED71F0">
        <w:rPr>
          <w:bCs/>
          <w:color w:val="000000" w:themeColor="text1"/>
          <w:lang w:val="en-GB"/>
        </w:rPr>
        <w:t>HK</w:t>
      </w:r>
      <w:r w:rsidR="00EE351D">
        <w:rPr>
          <w:bCs/>
          <w:color w:val="000000" w:themeColor="text1"/>
          <w:lang w:val="en-GB"/>
        </w:rPr>
        <w:t xml:space="preserve">$160 million being transferred </w:t>
      </w:r>
      <w:r w:rsidR="00850E3E" w:rsidRPr="00850E3E">
        <w:rPr>
          <w:bCs/>
          <w:color w:val="000000" w:themeColor="text1"/>
          <w:lang w:val="en-GB"/>
        </w:rPr>
        <w:t>among three clients on the same</w:t>
      </w:r>
      <w:r w:rsidR="00850E3E">
        <w:rPr>
          <w:bCs/>
          <w:color w:val="000000" w:themeColor="text1"/>
          <w:lang w:val="en-GB"/>
        </w:rPr>
        <w:t xml:space="preserve"> </w:t>
      </w:r>
      <w:r w:rsidR="00850E3E" w:rsidRPr="00850E3E">
        <w:rPr>
          <w:bCs/>
          <w:color w:val="000000" w:themeColor="text1"/>
          <w:lang w:val="en-GB"/>
        </w:rPr>
        <w:t xml:space="preserve">day, from Company </w:t>
      </w:r>
      <w:r w:rsidR="00803E8C">
        <w:rPr>
          <w:bCs/>
          <w:color w:val="000000" w:themeColor="text1"/>
          <w:lang w:val="en-GB"/>
        </w:rPr>
        <w:t>A</w:t>
      </w:r>
      <w:r w:rsidR="00850E3E" w:rsidRPr="00850E3E">
        <w:rPr>
          <w:bCs/>
          <w:color w:val="000000" w:themeColor="text1"/>
          <w:lang w:val="en-GB"/>
        </w:rPr>
        <w:t xml:space="preserve"> to Client </w:t>
      </w:r>
      <w:r w:rsidR="00803E8C">
        <w:rPr>
          <w:bCs/>
          <w:color w:val="000000" w:themeColor="text1"/>
          <w:lang w:val="en-GB"/>
        </w:rPr>
        <w:t>B</w:t>
      </w:r>
      <w:r w:rsidR="00850E3E" w:rsidRPr="00850E3E">
        <w:rPr>
          <w:bCs/>
          <w:color w:val="000000" w:themeColor="text1"/>
          <w:lang w:val="en-GB"/>
        </w:rPr>
        <w:t>,</w:t>
      </w:r>
      <w:r w:rsidR="00850E3E">
        <w:rPr>
          <w:bCs/>
          <w:color w:val="000000" w:themeColor="text1"/>
          <w:lang w:val="en-GB"/>
        </w:rPr>
        <w:t xml:space="preserve"> </w:t>
      </w:r>
      <w:r w:rsidR="00850E3E" w:rsidRPr="00850E3E">
        <w:rPr>
          <w:bCs/>
          <w:color w:val="000000" w:themeColor="text1"/>
          <w:lang w:val="en-GB"/>
        </w:rPr>
        <w:t xml:space="preserve">and then from Client </w:t>
      </w:r>
      <w:r w:rsidR="00803E8C">
        <w:rPr>
          <w:bCs/>
          <w:color w:val="000000" w:themeColor="text1"/>
          <w:lang w:val="en-GB"/>
        </w:rPr>
        <w:t>B</w:t>
      </w:r>
      <w:r w:rsidR="00850E3E" w:rsidRPr="00850E3E">
        <w:rPr>
          <w:bCs/>
          <w:color w:val="000000" w:themeColor="text1"/>
          <w:lang w:val="en-GB"/>
        </w:rPr>
        <w:t xml:space="preserve"> to Company </w:t>
      </w:r>
      <w:r w:rsidR="00803E8C">
        <w:rPr>
          <w:bCs/>
          <w:color w:val="000000" w:themeColor="text1"/>
          <w:lang w:val="en-GB"/>
        </w:rPr>
        <w:t>C</w:t>
      </w:r>
      <w:r w:rsidR="00850E3E" w:rsidRPr="00850E3E">
        <w:rPr>
          <w:bCs/>
          <w:color w:val="000000" w:themeColor="text1"/>
          <w:lang w:val="en-GB"/>
        </w:rPr>
        <w:t>. However, the</w:t>
      </w:r>
      <w:r w:rsidR="00850E3E">
        <w:rPr>
          <w:bCs/>
          <w:color w:val="000000" w:themeColor="text1"/>
          <w:lang w:val="en-GB"/>
        </w:rPr>
        <w:t xml:space="preserve"> </w:t>
      </w:r>
      <w:r w:rsidR="00850E3E" w:rsidRPr="00850E3E">
        <w:rPr>
          <w:bCs/>
          <w:color w:val="000000" w:themeColor="text1"/>
          <w:lang w:val="en-GB"/>
        </w:rPr>
        <w:t xml:space="preserve">corporate documents of Company </w:t>
      </w:r>
      <w:r w:rsidR="00803E8C">
        <w:rPr>
          <w:bCs/>
          <w:color w:val="000000" w:themeColor="text1"/>
          <w:lang w:val="en-GB"/>
        </w:rPr>
        <w:t>A</w:t>
      </w:r>
      <w:r w:rsidR="00850E3E" w:rsidRPr="00850E3E">
        <w:rPr>
          <w:bCs/>
          <w:color w:val="000000" w:themeColor="text1"/>
          <w:lang w:val="en-GB"/>
        </w:rPr>
        <w:t xml:space="preserve"> and Company </w:t>
      </w:r>
      <w:r w:rsidR="00803E8C">
        <w:rPr>
          <w:bCs/>
          <w:color w:val="000000" w:themeColor="text1"/>
          <w:lang w:val="en-GB"/>
        </w:rPr>
        <w:t>C</w:t>
      </w:r>
      <w:r w:rsidR="00850E3E" w:rsidRPr="00850E3E">
        <w:rPr>
          <w:bCs/>
          <w:color w:val="000000" w:themeColor="text1"/>
          <w:lang w:val="en-GB"/>
        </w:rPr>
        <w:t xml:space="preserve"> provided</w:t>
      </w:r>
      <w:r w:rsidR="00850E3E">
        <w:rPr>
          <w:bCs/>
          <w:color w:val="000000" w:themeColor="text1"/>
          <w:lang w:val="en-GB"/>
        </w:rPr>
        <w:t xml:space="preserve"> </w:t>
      </w:r>
      <w:r w:rsidR="00415590">
        <w:rPr>
          <w:bCs/>
          <w:color w:val="000000" w:themeColor="text1"/>
          <w:lang w:val="en-GB"/>
        </w:rPr>
        <w:t xml:space="preserve">no information on </w:t>
      </w:r>
      <w:r w:rsidR="00850E3E" w:rsidRPr="00850E3E">
        <w:rPr>
          <w:bCs/>
          <w:color w:val="000000" w:themeColor="text1"/>
          <w:lang w:val="en-GB"/>
        </w:rPr>
        <w:t>the transfers</w:t>
      </w:r>
      <w:r w:rsidR="00415590">
        <w:rPr>
          <w:bCs/>
          <w:color w:val="000000" w:themeColor="text1"/>
          <w:lang w:val="en-GB"/>
        </w:rPr>
        <w:t>,</w:t>
      </w:r>
      <w:r w:rsidR="00850E3E" w:rsidRPr="00850E3E">
        <w:rPr>
          <w:bCs/>
          <w:color w:val="000000" w:themeColor="text1"/>
          <w:lang w:val="en-GB"/>
        </w:rPr>
        <w:t xml:space="preserve"> on the alleged</w:t>
      </w:r>
      <w:r w:rsidR="00842DD0">
        <w:rPr>
          <w:bCs/>
          <w:color w:val="000000" w:themeColor="text1"/>
          <w:lang w:val="en-GB"/>
        </w:rPr>
        <w:t xml:space="preserve"> </w:t>
      </w:r>
      <w:r w:rsidR="00842DD0" w:rsidRPr="00842DD0">
        <w:rPr>
          <w:bCs/>
          <w:color w:val="000000" w:themeColor="text1"/>
          <w:lang w:val="en-GB"/>
        </w:rPr>
        <w:t>relationship</w:t>
      </w:r>
      <w:r w:rsidR="00415590">
        <w:rPr>
          <w:bCs/>
          <w:color w:val="000000" w:themeColor="text1"/>
          <w:lang w:val="en-GB"/>
        </w:rPr>
        <w:t xml:space="preserve">, or </w:t>
      </w:r>
      <w:r w:rsidR="00ED71F0">
        <w:rPr>
          <w:bCs/>
          <w:color w:val="000000" w:themeColor="text1"/>
          <w:lang w:val="en-GB"/>
        </w:rPr>
        <w:t>failed to provide a</w:t>
      </w:r>
      <w:r w:rsidR="00842DD0" w:rsidRPr="00842DD0">
        <w:rPr>
          <w:bCs/>
          <w:color w:val="000000" w:themeColor="text1"/>
          <w:lang w:val="en-GB"/>
        </w:rPr>
        <w:t xml:space="preserve"> reason for the transfers. E</w:t>
      </w:r>
      <w:r w:rsidR="00415590">
        <w:rPr>
          <w:bCs/>
          <w:color w:val="000000" w:themeColor="text1"/>
          <w:lang w:val="en-GB"/>
        </w:rPr>
        <w:t>mperor</w:t>
      </w:r>
      <w:r w:rsidR="00842DD0" w:rsidRPr="00842DD0">
        <w:rPr>
          <w:bCs/>
          <w:color w:val="000000" w:themeColor="text1"/>
          <w:lang w:val="en-GB"/>
        </w:rPr>
        <w:t xml:space="preserve"> made no</w:t>
      </w:r>
      <w:r w:rsidR="00842DD0">
        <w:rPr>
          <w:bCs/>
          <w:color w:val="000000" w:themeColor="text1"/>
          <w:lang w:val="en-GB"/>
        </w:rPr>
        <w:t xml:space="preserve"> </w:t>
      </w:r>
      <w:r w:rsidR="00842DD0" w:rsidRPr="00842DD0">
        <w:rPr>
          <w:bCs/>
          <w:color w:val="000000" w:themeColor="text1"/>
          <w:lang w:val="en-GB"/>
        </w:rPr>
        <w:t xml:space="preserve">enquiry as to why the transfer from Company </w:t>
      </w:r>
      <w:r w:rsidR="00415590">
        <w:rPr>
          <w:bCs/>
          <w:color w:val="000000" w:themeColor="text1"/>
          <w:lang w:val="en-GB"/>
        </w:rPr>
        <w:t>A</w:t>
      </w:r>
      <w:r w:rsidR="00842DD0" w:rsidRPr="00842DD0">
        <w:rPr>
          <w:bCs/>
          <w:color w:val="000000" w:themeColor="text1"/>
          <w:lang w:val="en-GB"/>
        </w:rPr>
        <w:t xml:space="preserve"> to Company </w:t>
      </w:r>
      <w:r w:rsidR="00415590">
        <w:rPr>
          <w:bCs/>
          <w:color w:val="000000" w:themeColor="text1"/>
          <w:lang w:val="en-GB"/>
        </w:rPr>
        <w:t>C</w:t>
      </w:r>
      <w:r w:rsidR="00842DD0">
        <w:rPr>
          <w:bCs/>
          <w:color w:val="000000" w:themeColor="text1"/>
          <w:lang w:val="en-GB"/>
        </w:rPr>
        <w:t xml:space="preserve"> </w:t>
      </w:r>
      <w:r w:rsidR="00842DD0" w:rsidRPr="00842DD0">
        <w:rPr>
          <w:bCs/>
          <w:color w:val="000000" w:themeColor="text1"/>
          <w:lang w:val="en-GB"/>
        </w:rPr>
        <w:t xml:space="preserve">had to be routed via Client </w:t>
      </w:r>
      <w:r w:rsidR="00415590">
        <w:rPr>
          <w:bCs/>
          <w:color w:val="000000" w:themeColor="text1"/>
          <w:lang w:val="en-GB"/>
        </w:rPr>
        <w:t>B</w:t>
      </w:r>
      <w:r w:rsidR="00842DD0" w:rsidRPr="00842DD0">
        <w:rPr>
          <w:bCs/>
          <w:color w:val="000000" w:themeColor="text1"/>
          <w:lang w:val="en-GB"/>
        </w:rPr>
        <w:t>’s account</w:t>
      </w:r>
      <w:r w:rsidR="00415590">
        <w:rPr>
          <w:bCs/>
          <w:color w:val="000000" w:themeColor="text1"/>
          <w:lang w:val="en-GB"/>
        </w:rPr>
        <w:t xml:space="preserve">. </w:t>
      </w:r>
    </w:p>
    <w:p w14:paraId="332D220E" w14:textId="77777777" w:rsidR="00704D3B" w:rsidRDefault="001C19CB" w:rsidP="00F6491A">
      <w:pPr>
        <w:pStyle w:val="a5"/>
        <w:rPr>
          <w:bCs/>
          <w:color w:val="000000" w:themeColor="text1"/>
          <w:lang w:val="en-GB"/>
        </w:rPr>
      </w:pPr>
      <w:r>
        <w:rPr>
          <w:bCs/>
          <w:color w:val="000000" w:themeColor="text1"/>
          <w:lang w:val="en-GB"/>
        </w:rPr>
        <w:t xml:space="preserve">Emperor adopted a box-ticking approach </w:t>
      </w:r>
      <w:r w:rsidR="00F6491A" w:rsidRPr="00F6491A">
        <w:rPr>
          <w:bCs/>
          <w:color w:val="000000" w:themeColor="text1"/>
          <w:lang w:val="en-GB"/>
        </w:rPr>
        <w:t>and routinely processed third party</w:t>
      </w:r>
      <w:r w:rsidR="00F6491A">
        <w:rPr>
          <w:bCs/>
          <w:color w:val="000000" w:themeColor="text1"/>
          <w:lang w:val="en-GB"/>
        </w:rPr>
        <w:t xml:space="preserve"> </w:t>
      </w:r>
      <w:r w:rsidR="00F6491A" w:rsidRPr="00F6491A">
        <w:rPr>
          <w:bCs/>
          <w:color w:val="000000" w:themeColor="text1"/>
          <w:lang w:val="en-GB"/>
        </w:rPr>
        <w:t>fund transfers in reliance on the information provided by the clients, without</w:t>
      </w:r>
      <w:r w:rsidR="00F6491A">
        <w:rPr>
          <w:bCs/>
          <w:color w:val="000000" w:themeColor="text1"/>
          <w:lang w:val="en-GB"/>
        </w:rPr>
        <w:t xml:space="preserve"> </w:t>
      </w:r>
      <w:r w:rsidR="00F6491A" w:rsidRPr="00F6491A">
        <w:rPr>
          <w:bCs/>
          <w:color w:val="000000" w:themeColor="text1"/>
          <w:lang w:val="en-GB"/>
        </w:rPr>
        <w:t>properly scrutini</w:t>
      </w:r>
      <w:r w:rsidR="00F6491A">
        <w:rPr>
          <w:bCs/>
          <w:color w:val="000000" w:themeColor="text1"/>
          <w:lang w:val="en-GB"/>
        </w:rPr>
        <w:t>s</w:t>
      </w:r>
      <w:r w:rsidR="00ED71F0">
        <w:rPr>
          <w:bCs/>
          <w:color w:val="000000" w:themeColor="text1"/>
          <w:lang w:val="en-GB"/>
        </w:rPr>
        <w:t>ing whether the</w:t>
      </w:r>
      <w:r w:rsidR="00F6491A" w:rsidRPr="00F6491A">
        <w:rPr>
          <w:bCs/>
          <w:color w:val="000000" w:themeColor="text1"/>
          <w:lang w:val="en-GB"/>
        </w:rPr>
        <w:t xml:space="preserve"> transfers were reasonable. Emperor’s</w:t>
      </w:r>
      <w:r w:rsidR="00F6491A">
        <w:rPr>
          <w:bCs/>
          <w:color w:val="000000" w:themeColor="text1"/>
          <w:lang w:val="en-GB"/>
        </w:rPr>
        <w:t xml:space="preserve"> </w:t>
      </w:r>
      <w:r w:rsidR="00F6491A" w:rsidRPr="00F6491A">
        <w:rPr>
          <w:bCs/>
          <w:color w:val="000000" w:themeColor="text1"/>
          <w:lang w:val="en-GB"/>
        </w:rPr>
        <w:t>procedures and controls were not effective in enabling their staff to detect red</w:t>
      </w:r>
      <w:r w:rsidR="00F6491A">
        <w:rPr>
          <w:bCs/>
          <w:color w:val="000000" w:themeColor="text1"/>
          <w:lang w:val="en-GB"/>
        </w:rPr>
        <w:t xml:space="preserve"> </w:t>
      </w:r>
      <w:r w:rsidR="00F6491A" w:rsidRPr="00F6491A">
        <w:rPr>
          <w:bCs/>
          <w:color w:val="000000" w:themeColor="text1"/>
          <w:lang w:val="en-GB"/>
        </w:rPr>
        <w:t>flags and ensure that suspicious transactions were properly monitored and</w:t>
      </w:r>
      <w:r w:rsidR="00F6491A">
        <w:rPr>
          <w:bCs/>
          <w:color w:val="000000" w:themeColor="text1"/>
          <w:lang w:val="en-GB"/>
        </w:rPr>
        <w:t xml:space="preserve"> </w:t>
      </w:r>
      <w:r w:rsidR="00F6491A" w:rsidRPr="00F6491A">
        <w:rPr>
          <w:bCs/>
          <w:color w:val="000000" w:themeColor="text1"/>
          <w:lang w:val="en-GB"/>
        </w:rPr>
        <w:t xml:space="preserve">reported to the Joint Financial Intelligence Unit. </w:t>
      </w:r>
    </w:p>
    <w:p w14:paraId="65803565" w14:textId="77777777" w:rsidR="001C19CB" w:rsidRDefault="001933C3" w:rsidP="00F6491A">
      <w:pPr>
        <w:pStyle w:val="a5"/>
        <w:rPr>
          <w:bCs/>
          <w:color w:val="000000" w:themeColor="text1"/>
          <w:lang w:val="en-GB"/>
        </w:rPr>
      </w:pPr>
      <w:r>
        <w:rPr>
          <w:bCs/>
          <w:color w:val="000000" w:themeColor="text1"/>
          <w:lang w:val="en-GB"/>
        </w:rPr>
        <w:t xml:space="preserve">It was noted that although Emperor’s policy required staff to make telephone confirmations with clients for third-party payments, there were no such requirements for third-party deposits. Further, Emperor </w:t>
      </w:r>
      <w:r w:rsidR="00ED71F0">
        <w:rPr>
          <w:bCs/>
          <w:color w:val="000000" w:themeColor="text1"/>
          <w:lang w:val="en-GB"/>
        </w:rPr>
        <w:t xml:space="preserve">failed to provide staff with </w:t>
      </w:r>
      <w:r>
        <w:rPr>
          <w:bCs/>
          <w:color w:val="000000" w:themeColor="text1"/>
          <w:lang w:val="en-GB"/>
        </w:rPr>
        <w:t xml:space="preserve">guidance on </w:t>
      </w:r>
      <w:r w:rsidR="003A0607">
        <w:rPr>
          <w:bCs/>
          <w:color w:val="000000" w:themeColor="text1"/>
          <w:lang w:val="en-GB"/>
        </w:rPr>
        <w:t>the enquiries they should conduct</w:t>
      </w:r>
      <w:r>
        <w:rPr>
          <w:bCs/>
          <w:color w:val="000000" w:themeColor="text1"/>
          <w:lang w:val="en-GB"/>
        </w:rPr>
        <w:t xml:space="preserve"> when making telephone confirmations. </w:t>
      </w:r>
      <w:r w:rsidR="005D21B9">
        <w:rPr>
          <w:bCs/>
          <w:color w:val="000000" w:themeColor="text1"/>
          <w:lang w:val="en-GB"/>
        </w:rPr>
        <w:t>Emperor staff admitted that they would simply reconfirm</w:t>
      </w:r>
      <w:r w:rsidR="00B47A07">
        <w:rPr>
          <w:bCs/>
          <w:color w:val="000000" w:themeColor="text1"/>
          <w:lang w:val="en-GB"/>
        </w:rPr>
        <w:t xml:space="preserve"> the transaction</w:t>
      </w:r>
      <w:r w:rsidR="005D21B9">
        <w:rPr>
          <w:bCs/>
          <w:color w:val="000000" w:themeColor="text1"/>
          <w:lang w:val="en-GB"/>
        </w:rPr>
        <w:t xml:space="preserve"> with clients without making further enquiries to verify the information. </w:t>
      </w:r>
    </w:p>
    <w:p w14:paraId="028D5A62" w14:textId="77777777" w:rsidR="00644689" w:rsidRDefault="003A0607" w:rsidP="00F6491A">
      <w:pPr>
        <w:pStyle w:val="a5"/>
        <w:rPr>
          <w:bCs/>
          <w:color w:val="000000" w:themeColor="text1"/>
          <w:lang w:val="en-GB"/>
        </w:rPr>
      </w:pPr>
      <w:r>
        <w:rPr>
          <w:bCs/>
          <w:color w:val="000000" w:themeColor="text1"/>
          <w:lang w:val="en-GB"/>
        </w:rPr>
        <w:t>W</w:t>
      </w:r>
      <w:r w:rsidR="00704D3B">
        <w:rPr>
          <w:bCs/>
          <w:color w:val="000000" w:themeColor="text1"/>
          <w:lang w:val="en-GB"/>
        </w:rPr>
        <w:t xml:space="preserve">hile Emperor’s policy stated that </w:t>
      </w:r>
      <w:r w:rsidR="001C2389">
        <w:rPr>
          <w:bCs/>
          <w:color w:val="000000" w:themeColor="text1"/>
          <w:lang w:val="en-GB"/>
        </w:rPr>
        <w:t>clients’</w:t>
      </w:r>
      <w:r w:rsidR="00704D3B">
        <w:rPr>
          <w:bCs/>
          <w:color w:val="000000" w:themeColor="text1"/>
          <w:lang w:val="en-GB"/>
        </w:rPr>
        <w:t xml:space="preserve"> requests for third-party fund transfers were subject to special approval by management</w:t>
      </w:r>
      <w:r>
        <w:rPr>
          <w:bCs/>
          <w:color w:val="000000" w:themeColor="text1"/>
          <w:lang w:val="en-GB"/>
        </w:rPr>
        <w:t>,</w:t>
      </w:r>
      <w:r w:rsidR="00704D3B">
        <w:rPr>
          <w:bCs/>
          <w:color w:val="000000" w:themeColor="text1"/>
          <w:lang w:val="en-GB"/>
        </w:rPr>
        <w:t xml:space="preserve"> and that clients needed to provide a justifiable reason for requests, not all version</w:t>
      </w:r>
      <w:r>
        <w:rPr>
          <w:bCs/>
          <w:color w:val="000000" w:themeColor="text1"/>
          <w:lang w:val="en-GB"/>
        </w:rPr>
        <w:t>s</w:t>
      </w:r>
      <w:r w:rsidR="00704D3B">
        <w:rPr>
          <w:bCs/>
          <w:color w:val="000000" w:themeColor="text1"/>
          <w:lang w:val="en-GB"/>
        </w:rPr>
        <w:t xml:space="preserve"> of the forms required clients to state reasons for the transfers</w:t>
      </w:r>
      <w:r w:rsidR="00806DBE">
        <w:rPr>
          <w:bCs/>
          <w:color w:val="000000" w:themeColor="text1"/>
          <w:lang w:val="en-GB"/>
        </w:rPr>
        <w:t xml:space="preserve">. </w:t>
      </w:r>
      <w:r w:rsidR="0035773E">
        <w:rPr>
          <w:bCs/>
          <w:color w:val="000000" w:themeColor="text1"/>
          <w:lang w:val="en-GB"/>
        </w:rPr>
        <w:t xml:space="preserve">It was also apparent that staff and management lacked understanding </w:t>
      </w:r>
      <w:r>
        <w:rPr>
          <w:bCs/>
          <w:color w:val="000000" w:themeColor="text1"/>
          <w:lang w:val="en-GB"/>
        </w:rPr>
        <w:t>since</w:t>
      </w:r>
      <w:r w:rsidR="0035773E">
        <w:rPr>
          <w:bCs/>
          <w:color w:val="000000" w:themeColor="text1"/>
          <w:lang w:val="en-GB"/>
        </w:rPr>
        <w:t xml:space="preserve"> Emperor approved transfers </w:t>
      </w:r>
      <w:r>
        <w:rPr>
          <w:bCs/>
          <w:color w:val="000000" w:themeColor="text1"/>
          <w:lang w:val="en-GB"/>
        </w:rPr>
        <w:t xml:space="preserve">for which </w:t>
      </w:r>
      <w:r w:rsidR="0035773E">
        <w:rPr>
          <w:bCs/>
          <w:color w:val="000000" w:themeColor="text1"/>
          <w:lang w:val="en-GB"/>
        </w:rPr>
        <w:t xml:space="preserve">no reasons were given. </w:t>
      </w:r>
      <w:r w:rsidR="00AA0F50">
        <w:rPr>
          <w:bCs/>
          <w:color w:val="000000" w:themeColor="text1"/>
          <w:lang w:val="en-GB"/>
        </w:rPr>
        <w:t xml:space="preserve">Even when reasons </w:t>
      </w:r>
      <w:r>
        <w:rPr>
          <w:bCs/>
          <w:color w:val="000000" w:themeColor="text1"/>
          <w:lang w:val="en-GB"/>
        </w:rPr>
        <w:t xml:space="preserve">were </w:t>
      </w:r>
      <w:r w:rsidR="00AA0F50">
        <w:rPr>
          <w:bCs/>
          <w:color w:val="000000" w:themeColor="text1"/>
          <w:lang w:val="en-GB"/>
        </w:rPr>
        <w:t xml:space="preserve">stated in the </w:t>
      </w:r>
      <w:r>
        <w:rPr>
          <w:bCs/>
          <w:color w:val="000000" w:themeColor="text1"/>
          <w:lang w:val="en-GB"/>
        </w:rPr>
        <w:t>relevant f</w:t>
      </w:r>
      <w:r w:rsidR="00AA0F50">
        <w:rPr>
          <w:bCs/>
          <w:color w:val="000000" w:themeColor="text1"/>
          <w:lang w:val="en-GB"/>
        </w:rPr>
        <w:t>orms, Emperor’s policy did not require staff to make further enquiries or require clients to prov</w:t>
      </w:r>
      <w:r>
        <w:rPr>
          <w:bCs/>
          <w:color w:val="000000" w:themeColor="text1"/>
          <w:lang w:val="en-GB"/>
        </w:rPr>
        <w:t>ide any supporting documents to verify</w:t>
      </w:r>
      <w:r w:rsidR="00AA0F50">
        <w:rPr>
          <w:bCs/>
          <w:color w:val="000000" w:themeColor="text1"/>
          <w:lang w:val="en-GB"/>
        </w:rPr>
        <w:t xml:space="preserve"> the reasons. As a result, Emperor approved transfers </w:t>
      </w:r>
      <w:r>
        <w:rPr>
          <w:bCs/>
          <w:color w:val="000000" w:themeColor="text1"/>
          <w:lang w:val="en-GB"/>
        </w:rPr>
        <w:t>involving</w:t>
      </w:r>
      <w:r w:rsidR="00AA0F50">
        <w:rPr>
          <w:bCs/>
          <w:color w:val="000000" w:themeColor="text1"/>
          <w:lang w:val="en-GB"/>
        </w:rPr>
        <w:t xml:space="preserve"> apparent red flags.</w:t>
      </w:r>
    </w:p>
    <w:p w14:paraId="03D10A4B" w14:textId="77777777" w:rsidR="006C0861" w:rsidRDefault="003A0607">
      <w:pPr>
        <w:pStyle w:val="a5"/>
        <w:rPr>
          <w:bCs/>
          <w:color w:val="000000" w:themeColor="text1"/>
          <w:lang w:val="en-GB"/>
        </w:rPr>
      </w:pPr>
      <w:r>
        <w:rPr>
          <w:bCs/>
          <w:color w:val="000000" w:themeColor="text1"/>
          <w:lang w:val="en-GB"/>
        </w:rPr>
        <w:t>The SFC found</w:t>
      </w:r>
      <w:r w:rsidR="00644689">
        <w:rPr>
          <w:bCs/>
          <w:color w:val="000000" w:themeColor="text1"/>
          <w:lang w:val="en-GB"/>
        </w:rPr>
        <w:t xml:space="preserve"> that </w:t>
      </w:r>
      <w:r>
        <w:rPr>
          <w:bCs/>
          <w:color w:val="000000" w:themeColor="text1"/>
          <w:lang w:val="en-GB"/>
        </w:rPr>
        <w:t>despite Emperor’s policy requiring</w:t>
      </w:r>
      <w:r w:rsidR="00644689" w:rsidRPr="00644689">
        <w:rPr>
          <w:bCs/>
          <w:color w:val="000000" w:themeColor="text1"/>
          <w:lang w:val="en-GB"/>
        </w:rPr>
        <w:t xml:space="preserve"> clients to provide justifiable reasons for third</w:t>
      </w:r>
      <w:r w:rsidR="00686510">
        <w:rPr>
          <w:bCs/>
          <w:color w:val="000000" w:themeColor="text1"/>
          <w:lang w:val="en-GB"/>
        </w:rPr>
        <w:t>-</w:t>
      </w:r>
      <w:r w:rsidR="00644689" w:rsidRPr="00644689">
        <w:rPr>
          <w:bCs/>
          <w:color w:val="000000" w:themeColor="text1"/>
          <w:lang w:val="en-GB"/>
        </w:rPr>
        <w:t xml:space="preserve">party fund transfers, </w:t>
      </w:r>
      <w:r>
        <w:rPr>
          <w:bCs/>
          <w:color w:val="000000" w:themeColor="text1"/>
          <w:lang w:val="en-GB"/>
        </w:rPr>
        <w:t xml:space="preserve">Emperor in fact approved some third-party transfers for which no reasons were given. </w:t>
      </w:r>
      <w:r w:rsidR="00686510">
        <w:rPr>
          <w:bCs/>
          <w:color w:val="000000" w:themeColor="text1"/>
          <w:lang w:val="en-GB"/>
        </w:rPr>
        <w:t>I</w:t>
      </w:r>
      <w:r w:rsidR="00644689" w:rsidRPr="00644689">
        <w:rPr>
          <w:bCs/>
          <w:color w:val="000000" w:themeColor="text1"/>
          <w:lang w:val="en-GB"/>
        </w:rPr>
        <w:t>n cases where reasons for the transfers were provided, Emperor staff relied on information provided by the clients without making enquiries or requiring them to provide supporting documents for verification</w:t>
      </w:r>
      <w:r>
        <w:rPr>
          <w:bCs/>
          <w:color w:val="000000" w:themeColor="text1"/>
          <w:lang w:val="en-GB"/>
        </w:rPr>
        <w:t>. Further,</w:t>
      </w:r>
      <w:r w:rsidR="00CE6473">
        <w:rPr>
          <w:bCs/>
          <w:color w:val="000000" w:themeColor="text1"/>
          <w:lang w:val="en-GB"/>
        </w:rPr>
        <w:t xml:space="preserve"> </w:t>
      </w:r>
      <w:r w:rsidR="00644689" w:rsidRPr="00644689">
        <w:rPr>
          <w:bCs/>
          <w:color w:val="000000" w:themeColor="text1"/>
          <w:lang w:val="en-GB"/>
        </w:rPr>
        <w:t xml:space="preserve">while clients </w:t>
      </w:r>
      <w:r>
        <w:rPr>
          <w:bCs/>
          <w:color w:val="000000" w:themeColor="text1"/>
          <w:lang w:val="en-GB"/>
        </w:rPr>
        <w:t xml:space="preserve">had </w:t>
      </w:r>
      <w:r w:rsidR="00644689" w:rsidRPr="00644689">
        <w:rPr>
          <w:bCs/>
          <w:color w:val="000000" w:themeColor="text1"/>
          <w:lang w:val="en-GB"/>
        </w:rPr>
        <w:t>to explain their relationship with third parties, Emperor’s policy did not require them to provide documents to support their explanations.</w:t>
      </w:r>
    </w:p>
    <w:p w14:paraId="05848491" w14:textId="77777777" w:rsidR="00C770BF" w:rsidRPr="009A2034" w:rsidRDefault="004A0A68">
      <w:pPr>
        <w:pStyle w:val="a5"/>
        <w:rPr>
          <w:b/>
        </w:rPr>
      </w:pPr>
      <w:r>
        <w:rPr>
          <w:b/>
        </w:rPr>
        <w:t>B</w:t>
      </w:r>
      <w:r w:rsidR="00C770BF" w:rsidRPr="00C770BF">
        <w:rPr>
          <w:b/>
        </w:rPr>
        <w:t>reaches</w:t>
      </w:r>
      <w:r>
        <w:rPr>
          <w:b/>
        </w:rPr>
        <w:t xml:space="preserve"> of the </w:t>
      </w:r>
      <w:r w:rsidR="009A2034" w:rsidRPr="009A2034">
        <w:rPr>
          <w:b/>
          <w:bCs/>
          <w:color w:val="000000" w:themeColor="text1"/>
          <w:lang w:val="en-GB"/>
        </w:rPr>
        <w:t>Anti-Money Laundering and Counter-Terrorist Financing Ordinance</w:t>
      </w:r>
    </w:p>
    <w:p w14:paraId="47DE6451" w14:textId="77777777" w:rsidR="00C770BF" w:rsidRDefault="00C770BF">
      <w:pPr>
        <w:pStyle w:val="a5"/>
        <w:rPr>
          <w:bCs/>
          <w:color w:val="000000" w:themeColor="text1"/>
          <w:lang w:val="en-GB"/>
        </w:rPr>
      </w:pPr>
      <w:r>
        <w:t>Emperor was found to have breached the requirement to take all reasonable measures to ensure that proper safeguards exist to mitigate the risks of ML/TF associated with third party fund transfers under Section 23 of Schedule 2 to the AMLO and paragraph 2.1 of the AML Guideline. It had also breached Section 5(1) of Schedule 2 to the AMLO and paragraphs 5.1, 5.10 and 5.11 of the AML Guideline by failing to conduct appropriate scrutiny when processing third party fund transfers and diligently monitor the activities of its clients for mitigating any possible ML/TF risks. Additionally, the SFC found that Emperor had breached General Principle 3 of the Code of Conduct by failing to have and employ effectively the resources and procedures which are needed for the proper performance of its business activities and General Principle 7 and paragraph 12.1 of the Code of Conduct by failing to comply with, and implement and maintain measures appropriate to ensuring compliance with, the</w:t>
      </w:r>
      <w:r w:rsidR="004A0A68">
        <w:t xml:space="preserve"> requirements under the AMLO and AML Guideline</w:t>
      </w:r>
      <w:r>
        <w:t>.</w:t>
      </w:r>
    </w:p>
    <w:p w14:paraId="39BB441B" w14:textId="77777777" w:rsidR="00E93457" w:rsidRPr="009A2034" w:rsidRDefault="00C93CD0">
      <w:pPr>
        <w:pStyle w:val="a5"/>
        <w:rPr>
          <w:bCs/>
          <w:color w:val="000000" w:themeColor="text1"/>
          <w:lang w:val="en-GB"/>
        </w:rPr>
      </w:pPr>
      <w:r>
        <w:rPr>
          <w:bCs/>
          <w:color w:val="000000" w:themeColor="text1"/>
          <w:lang w:val="en-GB"/>
        </w:rPr>
        <w:t xml:space="preserve">The SFC </w:t>
      </w:r>
      <w:r w:rsidR="004A0A68">
        <w:rPr>
          <w:bCs/>
          <w:color w:val="000000" w:themeColor="text1"/>
          <w:lang w:val="en-GB"/>
        </w:rPr>
        <w:t>found Emperor to be</w:t>
      </w:r>
      <w:r w:rsidR="00CE6473">
        <w:rPr>
          <w:bCs/>
          <w:color w:val="000000" w:themeColor="text1"/>
          <w:lang w:val="en-GB"/>
        </w:rPr>
        <w:t xml:space="preserve"> guilty of misconduct and </w:t>
      </w:r>
      <w:r w:rsidR="00ED7786">
        <w:rPr>
          <w:bCs/>
          <w:color w:val="000000" w:themeColor="text1"/>
          <w:lang w:val="en-GB"/>
        </w:rPr>
        <w:t xml:space="preserve">called </w:t>
      </w:r>
      <w:r w:rsidR="004A0A68">
        <w:rPr>
          <w:bCs/>
          <w:color w:val="000000" w:themeColor="text1"/>
          <w:lang w:val="en-GB"/>
        </w:rPr>
        <w:t xml:space="preserve">its </w:t>
      </w:r>
      <w:r w:rsidR="00CE6473">
        <w:rPr>
          <w:bCs/>
          <w:color w:val="000000" w:themeColor="text1"/>
          <w:lang w:val="en-GB"/>
        </w:rPr>
        <w:t>fitness and properness to carry on regulated ac</w:t>
      </w:r>
      <w:r w:rsidR="004A0A68">
        <w:rPr>
          <w:bCs/>
          <w:color w:val="000000" w:themeColor="text1"/>
          <w:lang w:val="en-GB"/>
        </w:rPr>
        <w:t xml:space="preserve">tivities </w:t>
      </w:r>
      <w:r w:rsidR="00CE6473">
        <w:rPr>
          <w:bCs/>
          <w:color w:val="000000" w:themeColor="text1"/>
          <w:lang w:val="en-GB"/>
        </w:rPr>
        <w:t xml:space="preserve">into question. </w:t>
      </w:r>
    </w:p>
    <w:p w14:paraId="60309A18" w14:textId="77777777" w:rsidR="000329F5" w:rsidRPr="009D6AAE" w:rsidRDefault="00C44D10">
      <w:pPr>
        <w:pStyle w:val="a5"/>
        <w:rPr>
          <w:b/>
          <w:color w:val="FF0000"/>
          <w:lang w:val="en-GB"/>
        </w:rPr>
      </w:pPr>
      <w:r>
        <w:rPr>
          <w:b/>
          <w:color w:val="FF0000"/>
          <w:lang w:val="en-GB"/>
        </w:rPr>
        <w:t xml:space="preserve">SFC Publicly Censures Wonderful Sky Financial Group Holdings Limited and Liu </w:t>
      </w:r>
      <w:proofErr w:type="spellStart"/>
      <w:r>
        <w:rPr>
          <w:b/>
          <w:color w:val="FF0000"/>
          <w:lang w:val="en-GB"/>
        </w:rPr>
        <w:t>Tianni</w:t>
      </w:r>
      <w:proofErr w:type="spellEnd"/>
      <w:r>
        <w:rPr>
          <w:b/>
          <w:color w:val="FF0000"/>
          <w:lang w:val="en-GB"/>
        </w:rPr>
        <w:t xml:space="preserve"> and Publicly </w:t>
      </w:r>
      <w:r w:rsidR="003A5FDC">
        <w:rPr>
          <w:b/>
          <w:color w:val="FF0000"/>
          <w:lang w:val="en-GB"/>
        </w:rPr>
        <w:t xml:space="preserve">Criticises Liu Kiki Ching Tung for Breaching the </w:t>
      </w:r>
      <w:r w:rsidR="00ED7786">
        <w:rPr>
          <w:b/>
          <w:color w:val="FF0000"/>
          <w:lang w:val="en-GB"/>
        </w:rPr>
        <w:t xml:space="preserve">SFC </w:t>
      </w:r>
      <w:r w:rsidR="003A5FDC">
        <w:rPr>
          <w:b/>
          <w:color w:val="FF0000"/>
          <w:lang w:val="en-GB"/>
        </w:rPr>
        <w:t>Code on Share Buy-backs</w:t>
      </w:r>
    </w:p>
    <w:p w14:paraId="43948633" w14:textId="77777777" w:rsidR="000329F5" w:rsidRPr="006E6D08" w:rsidRDefault="00C91FA2" w:rsidP="00912F44">
      <w:pPr>
        <w:pStyle w:val="a5"/>
        <w:rPr>
          <w:lang w:val="en-GB"/>
        </w:rPr>
      </w:pPr>
      <w:r w:rsidRPr="009D6AAE">
        <w:rPr>
          <w:lang w:val="en-GB"/>
        </w:rPr>
        <w:lastRenderedPageBreak/>
        <w:t>On 1</w:t>
      </w:r>
      <w:r w:rsidR="00912F44">
        <w:rPr>
          <w:lang w:val="en-GB"/>
        </w:rPr>
        <w:t>7 March</w:t>
      </w:r>
      <w:r w:rsidRPr="009D6AAE">
        <w:rPr>
          <w:lang w:val="en-GB"/>
        </w:rPr>
        <w:t xml:space="preserve"> 2022, </w:t>
      </w:r>
      <w:r w:rsidR="001A5848">
        <w:rPr>
          <w:lang w:val="en-GB"/>
        </w:rPr>
        <w:t>t</w:t>
      </w:r>
      <w:r w:rsidR="001A5848" w:rsidRPr="001A5848">
        <w:rPr>
          <w:lang w:val="en-GB"/>
        </w:rPr>
        <w:t>he Securities and Futures Commission</w:t>
      </w:r>
      <w:r w:rsidR="001A5848">
        <w:rPr>
          <w:lang w:val="en-GB"/>
        </w:rPr>
        <w:t xml:space="preserve"> of Hong Kong</w:t>
      </w:r>
      <w:r w:rsidR="001A5848" w:rsidRPr="001A5848">
        <w:rPr>
          <w:lang w:val="en-GB"/>
        </w:rPr>
        <w:t xml:space="preserve"> (</w:t>
      </w:r>
      <w:r w:rsidR="001A5848" w:rsidRPr="001A5848">
        <w:rPr>
          <w:b/>
          <w:bCs/>
          <w:lang w:val="en-GB"/>
        </w:rPr>
        <w:t>SFC</w:t>
      </w:r>
      <w:r w:rsidR="001A5848" w:rsidRPr="001A5848">
        <w:rPr>
          <w:lang w:val="en-GB"/>
        </w:rPr>
        <w:t>) publicly censured Wonderful Sky Financial Group Holdings Limited (</w:t>
      </w:r>
      <w:r w:rsidR="001A5848" w:rsidRPr="001A5848">
        <w:rPr>
          <w:b/>
          <w:bCs/>
          <w:lang w:val="en-GB"/>
        </w:rPr>
        <w:t>Wonderful Sky</w:t>
      </w:r>
      <w:r w:rsidR="001A5848" w:rsidRPr="001A5848">
        <w:rPr>
          <w:lang w:val="en-GB"/>
        </w:rPr>
        <w:t>) and Liu Tianni</w:t>
      </w:r>
      <w:r w:rsidR="006E6D08">
        <w:rPr>
          <w:lang w:val="en-GB"/>
        </w:rPr>
        <w:t xml:space="preserve"> (</w:t>
      </w:r>
      <w:r w:rsidR="006E6D08" w:rsidRPr="006E6D08">
        <w:rPr>
          <w:b/>
          <w:bCs/>
          <w:lang w:val="en-GB"/>
        </w:rPr>
        <w:t>Chairman Liu</w:t>
      </w:r>
      <w:r w:rsidR="006E6D08">
        <w:rPr>
          <w:lang w:val="en-GB"/>
        </w:rPr>
        <w:t>),</w:t>
      </w:r>
      <w:r w:rsidR="001A5848">
        <w:rPr>
          <w:lang w:val="en-GB"/>
        </w:rPr>
        <w:t xml:space="preserve"> </w:t>
      </w:r>
      <w:r w:rsidR="001A5848" w:rsidRPr="001A5848">
        <w:rPr>
          <w:lang w:val="en-GB"/>
        </w:rPr>
        <w:t xml:space="preserve">and publicly criticised Liu Kiki Ching Tung </w:t>
      </w:r>
      <w:r w:rsidR="006E6D08">
        <w:rPr>
          <w:lang w:val="en-GB"/>
        </w:rPr>
        <w:t>(</w:t>
      </w:r>
      <w:r w:rsidR="006E6D08" w:rsidRPr="006E6D08">
        <w:rPr>
          <w:b/>
          <w:bCs/>
          <w:lang w:val="en-GB"/>
        </w:rPr>
        <w:t>Kiki Liu</w:t>
      </w:r>
      <w:r w:rsidR="006E6D08">
        <w:rPr>
          <w:lang w:val="en-GB"/>
        </w:rPr>
        <w:t xml:space="preserve">) </w:t>
      </w:r>
      <w:r w:rsidR="001A5848" w:rsidRPr="001A5848">
        <w:rPr>
          <w:lang w:val="en-GB"/>
        </w:rPr>
        <w:t xml:space="preserve">for breaching the </w:t>
      </w:r>
      <w:r w:rsidR="00ED7786">
        <w:rPr>
          <w:lang w:val="en-GB"/>
        </w:rPr>
        <w:t xml:space="preserve">SFC </w:t>
      </w:r>
      <w:r w:rsidR="001A5848" w:rsidRPr="001A5848">
        <w:rPr>
          <w:lang w:val="en-GB"/>
        </w:rPr>
        <w:t>Code on Share Buy-backs</w:t>
      </w:r>
      <w:r w:rsidR="00A31089">
        <w:rPr>
          <w:lang w:val="en-GB"/>
        </w:rPr>
        <w:t xml:space="preserve"> with regards to a buy-back transaction in the shares of the company conducted on 27 March 2020</w:t>
      </w:r>
      <w:r w:rsidR="001A5848" w:rsidRPr="001A5848">
        <w:rPr>
          <w:lang w:val="en-GB"/>
        </w:rPr>
        <w:t>.</w:t>
      </w:r>
      <w:r w:rsidR="006E6D08">
        <w:rPr>
          <w:lang w:val="en-GB"/>
        </w:rPr>
        <w:t xml:space="preserve"> The SFC’s Executive Statement can be found </w:t>
      </w:r>
      <w:hyperlink r:id="rId12" w:history="1">
        <w:r w:rsidR="006E6D08" w:rsidRPr="006E6D08">
          <w:rPr>
            <w:rStyle w:val="af"/>
            <w:i/>
            <w:iCs/>
            <w:lang w:val="en-GB"/>
          </w:rPr>
          <w:t>here</w:t>
        </w:r>
      </w:hyperlink>
      <w:r w:rsidR="006E6D08">
        <w:rPr>
          <w:lang w:val="en-GB"/>
        </w:rPr>
        <w:t xml:space="preserve">. </w:t>
      </w:r>
    </w:p>
    <w:p w14:paraId="33ED398E" w14:textId="77777777" w:rsidR="00DB1212" w:rsidRPr="00DB1212" w:rsidRDefault="00DB1212" w:rsidP="00912F44">
      <w:pPr>
        <w:pStyle w:val="a5"/>
        <w:rPr>
          <w:b/>
          <w:bCs/>
          <w:lang w:val="en-GB"/>
        </w:rPr>
      </w:pPr>
      <w:r w:rsidRPr="00DB1212">
        <w:rPr>
          <w:b/>
          <w:bCs/>
          <w:lang w:val="en-GB"/>
        </w:rPr>
        <w:t xml:space="preserve">Background Information </w:t>
      </w:r>
    </w:p>
    <w:p w14:paraId="2EC5CD0F" w14:textId="77777777" w:rsidR="003F5C4B" w:rsidRDefault="00A31089" w:rsidP="00912F44">
      <w:pPr>
        <w:pStyle w:val="a5"/>
        <w:rPr>
          <w:lang w:val="en-GB"/>
        </w:rPr>
      </w:pPr>
      <w:r>
        <w:rPr>
          <w:lang w:val="en-GB"/>
        </w:rPr>
        <w:t xml:space="preserve">The shares of Wonderful Sky had been listed on the Main Board of the HKEx since 2012. The company is an investment holding company and its subsidiaries are principally engaged in the provision of financial public relations services and the organisation and coordination of international roadshow services. Chairman Liu is the Chairman of the board, Chief Executive Officer, Executive Director, </w:t>
      </w:r>
      <w:r w:rsidR="009C0629">
        <w:rPr>
          <w:lang w:val="en-GB"/>
        </w:rPr>
        <w:t>and is the</w:t>
      </w:r>
      <w:r>
        <w:rPr>
          <w:lang w:val="en-GB"/>
        </w:rPr>
        <w:t xml:space="preserve"> controlling shareholder</w:t>
      </w:r>
      <w:r w:rsidR="009C0629">
        <w:rPr>
          <w:lang w:val="en-GB"/>
        </w:rPr>
        <w:t xml:space="preserve">, </w:t>
      </w:r>
      <w:r>
        <w:rPr>
          <w:lang w:val="en-GB"/>
        </w:rPr>
        <w:t>together with his wife</w:t>
      </w:r>
      <w:r w:rsidR="009C0629">
        <w:rPr>
          <w:lang w:val="en-GB"/>
        </w:rPr>
        <w:t>,</w:t>
      </w:r>
      <w:r>
        <w:rPr>
          <w:lang w:val="en-GB"/>
        </w:rPr>
        <w:t xml:space="preserve"> of the company</w:t>
      </w:r>
      <w:r w:rsidR="00B96A54">
        <w:rPr>
          <w:lang w:val="en-GB"/>
        </w:rPr>
        <w:t>. H</w:t>
      </w:r>
      <w:r>
        <w:rPr>
          <w:lang w:val="en-GB"/>
        </w:rPr>
        <w:t>is daughter</w:t>
      </w:r>
      <w:r w:rsidR="00B96A54">
        <w:rPr>
          <w:lang w:val="en-GB"/>
        </w:rPr>
        <w:t>,</w:t>
      </w:r>
      <w:r>
        <w:rPr>
          <w:lang w:val="en-GB"/>
        </w:rPr>
        <w:t xml:space="preserve"> Kiki Liu</w:t>
      </w:r>
      <w:r w:rsidR="00B96A54">
        <w:rPr>
          <w:lang w:val="en-GB"/>
        </w:rPr>
        <w:t>,</w:t>
      </w:r>
      <w:r>
        <w:rPr>
          <w:lang w:val="en-GB"/>
        </w:rPr>
        <w:t xml:space="preserve"> was a deputy general manager of the company at that time. </w:t>
      </w:r>
    </w:p>
    <w:p w14:paraId="7558956F" w14:textId="77777777" w:rsidR="00A31089" w:rsidRDefault="002E118C" w:rsidP="00912F44">
      <w:pPr>
        <w:pStyle w:val="a5"/>
        <w:rPr>
          <w:lang w:val="en-GB"/>
        </w:rPr>
      </w:pPr>
      <w:r>
        <w:rPr>
          <w:lang w:val="en-GB"/>
        </w:rPr>
        <w:t>On 27 March 2020, Wonderful Sky bought back 42</w:t>
      </w:r>
      <w:r w:rsidR="00B96A54">
        <w:rPr>
          <w:lang w:val="en-GB"/>
        </w:rPr>
        <w:t>.5 million</w:t>
      </w:r>
      <w:r>
        <w:rPr>
          <w:lang w:val="en-GB"/>
        </w:rPr>
        <w:t xml:space="preserve"> shares at </w:t>
      </w:r>
      <w:r w:rsidR="00B96A54">
        <w:rPr>
          <w:lang w:val="en-GB"/>
        </w:rPr>
        <w:t>HK</w:t>
      </w:r>
      <w:r>
        <w:rPr>
          <w:lang w:val="en-GB"/>
        </w:rPr>
        <w:t xml:space="preserve">$0.4 per share which represented approximately 3.56% of the then issued share capital of the company. </w:t>
      </w:r>
      <w:r w:rsidR="00B96A54">
        <w:rPr>
          <w:lang w:val="en-GB"/>
        </w:rPr>
        <w:t>The</w:t>
      </w:r>
      <w:r w:rsidR="00A67551">
        <w:rPr>
          <w:lang w:val="en-GB"/>
        </w:rPr>
        <w:t xml:space="preserve"> buy-back was not conducted in the open market in the HKEx but via a block trade, a type of manual trade which is pre-arranged and privately negotiated and executed. </w:t>
      </w:r>
    </w:p>
    <w:p w14:paraId="6269AD1F" w14:textId="77777777" w:rsidR="002C4807" w:rsidRDefault="00A67551" w:rsidP="00302608">
      <w:pPr>
        <w:pStyle w:val="a5"/>
        <w:rPr>
          <w:i/>
          <w:iCs/>
          <w:lang w:val="en-GB"/>
        </w:rPr>
      </w:pPr>
      <w:r>
        <w:rPr>
          <w:lang w:val="en-GB"/>
        </w:rPr>
        <w:t>This kind of share buy-back is allowed under Rule 2 of the Code on Share Buy-backs</w:t>
      </w:r>
      <w:r w:rsidR="00302608">
        <w:rPr>
          <w:lang w:val="en-GB"/>
        </w:rPr>
        <w:t xml:space="preserve"> which states that </w:t>
      </w:r>
      <w:r w:rsidR="00302608" w:rsidRPr="00302608">
        <w:rPr>
          <w:lang w:val="en-GB"/>
        </w:rPr>
        <w:t>“</w:t>
      </w:r>
      <w:r w:rsidR="00302608" w:rsidRPr="00302608">
        <w:rPr>
          <w:i/>
          <w:iCs/>
          <w:lang w:val="en-GB"/>
        </w:rPr>
        <w:t>[o]ff-market share buybacks must be approved by the Executive before a repurchasing company acquires any shares pursuant to such share buy-back. Such approval will normally be conditional upon the following:</w:t>
      </w:r>
    </w:p>
    <w:p w14:paraId="0B236A63" w14:textId="77777777" w:rsidR="00A31089" w:rsidRDefault="00302608" w:rsidP="00DB1212">
      <w:pPr>
        <w:pStyle w:val="a5"/>
        <w:numPr>
          <w:ilvl w:val="0"/>
          <w:numId w:val="17"/>
        </w:numPr>
        <w:rPr>
          <w:lang w:val="en-GB"/>
        </w:rPr>
      </w:pPr>
      <w:r w:rsidRPr="00302608">
        <w:rPr>
          <w:i/>
          <w:iCs/>
          <w:lang w:val="en-GB"/>
        </w:rPr>
        <w:t>approval of the proposed off-market share buy-back by at least three-fourths</w:t>
      </w:r>
      <w:r>
        <w:rPr>
          <w:i/>
          <w:iCs/>
          <w:lang w:val="en-GB"/>
        </w:rPr>
        <w:t xml:space="preserve"> </w:t>
      </w:r>
      <w:r w:rsidRPr="00302608">
        <w:rPr>
          <w:i/>
          <w:iCs/>
          <w:lang w:val="en-GB"/>
        </w:rPr>
        <w:t>of the votes cast on a poll by disinterested shareholders in attendance in</w:t>
      </w:r>
      <w:r>
        <w:rPr>
          <w:i/>
          <w:iCs/>
          <w:lang w:val="en-GB"/>
        </w:rPr>
        <w:t xml:space="preserve"> </w:t>
      </w:r>
      <w:r w:rsidRPr="00302608">
        <w:rPr>
          <w:i/>
          <w:iCs/>
          <w:lang w:val="en-GB"/>
        </w:rPr>
        <w:t>person or by proxy at a general meeting of shareholders duly convened and</w:t>
      </w:r>
      <w:r>
        <w:rPr>
          <w:i/>
          <w:iCs/>
          <w:lang w:val="en-GB"/>
        </w:rPr>
        <w:t xml:space="preserve"> </w:t>
      </w:r>
      <w:r w:rsidRPr="00302608">
        <w:rPr>
          <w:i/>
          <w:iCs/>
          <w:lang w:val="en-GB"/>
        </w:rPr>
        <w:t>held to consider the proposed transaction...</w:t>
      </w:r>
      <w:r w:rsidRPr="00302608">
        <w:rPr>
          <w:lang w:val="en-GB"/>
        </w:rPr>
        <w:t>”</w:t>
      </w:r>
    </w:p>
    <w:p w14:paraId="68B50F8F" w14:textId="77777777" w:rsidR="00DB1212" w:rsidRDefault="00DB1212" w:rsidP="00DB1212">
      <w:pPr>
        <w:pStyle w:val="a5"/>
        <w:rPr>
          <w:lang w:val="en-GB"/>
        </w:rPr>
      </w:pPr>
      <w:r w:rsidRPr="00DB1212">
        <w:rPr>
          <w:b/>
          <w:bCs/>
          <w:lang w:val="en-GB"/>
        </w:rPr>
        <w:t>Breach of the Code on Share Buy-backs</w:t>
      </w:r>
    </w:p>
    <w:p w14:paraId="0522D89D" w14:textId="77777777" w:rsidR="00557554" w:rsidRDefault="00173A19" w:rsidP="00AE4133">
      <w:pPr>
        <w:pStyle w:val="a5"/>
        <w:rPr>
          <w:lang w:val="en-GB"/>
        </w:rPr>
      </w:pPr>
      <w:r>
        <w:rPr>
          <w:lang w:val="en-GB"/>
        </w:rPr>
        <w:t>An on-market share buy-back would not normally ha</w:t>
      </w:r>
      <w:r w:rsidR="00B96A54">
        <w:rPr>
          <w:lang w:val="en-GB"/>
        </w:rPr>
        <w:t>ve</w:t>
      </w:r>
      <w:r>
        <w:rPr>
          <w:lang w:val="en-GB"/>
        </w:rPr>
        <w:t xml:space="preserve"> implications for being unfair as all shareholders would have access to on-market trading and </w:t>
      </w:r>
      <w:r w:rsidR="00AE4133">
        <w:rPr>
          <w:lang w:val="en-GB"/>
        </w:rPr>
        <w:t>would</w:t>
      </w:r>
      <w:r>
        <w:rPr>
          <w:lang w:val="en-GB"/>
        </w:rPr>
        <w:t xml:space="preserve"> therefore </w:t>
      </w:r>
      <w:r w:rsidR="00AE4133">
        <w:rPr>
          <w:lang w:val="en-GB"/>
        </w:rPr>
        <w:t xml:space="preserve">be </w:t>
      </w:r>
      <w:r>
        <w:rPr>
          <w:lang w:val="en-GB"/>
        </w:rPr>
        <w:t xml:space="preserve">provided with an equal opportunity to participate in the buy-back. </w:t>
      </w:r>
      <w:r w:rsidR="00AE4133" w:rsidRPr="00AE4133">
        <w:rPr>
          <w:lang w:val="en-GB"/>
        </w:rPr>
        <w:t>In an</w:t>
      </w:r>
      <w:r w:rsidR="00AE4133">
        <w:rPr>
          <w:lang w:val="en-GB"/>
        </w:rPr>
        <w:t xml:space="preserve"> </w:t>
      </w:r>
      <w:r w:rsidR="00AE4133" w:rsidRPr="00AE4133">
        <w:rPr>
          <w:lang w:val="en-GB"/>
        </w:rPr>
        <w:t>off-market share buy-back, however, the offer to buy back shares is only available</w:t>
      </w:r>
      <w:r w:rsidR="00AE4133">
        <w:rPr>
          <w:lang w:val="en-GB"/>
        </w:rPr>
        <w:t xml:space="preserve"> </w:t>
      </w:r>
      <w:r w:rsidR="00AE4133" w:rsidRPr="00AE4133">
        <w:rPr>
          <w:lang w:val="en-GB"/>
        </w:rPr>
        <w:t xml:space="preserve">to a limited number of shareholders. </w:t>
      </w:r>
      <w:r w:rsidR="00AE4133">
        <w:rPr>
          <w:lang w:val="en-GB"/>
        </w:rPr>
        <w:t>T</w:t>
      </w:r>
      <w:r w:rsidR="00AE4133" w:rsidRPr="00AE4133">
        <w:rPr>
          <w:lang w:val="en-GB"/>
        </w:rPr>
        <w:t xml:space="preserve">he offer is </w:t>
      </w:r>
      <w:r w:rsidR="00AE4133">
        <w:rPr>
          <w:lang w:val="en-GB"/>
        </w:rPr>
        <w:t xml:space="preserve">therefore </w:t>
      </w:r>
      <w:r w:rsidR="00AE4133" w:rsidRPr="00AE4133">
        <w:rPr>
          <w:lang w:val="en-GB"/>
        </w:rPr>
        <w:t>not available to all</w:t>
      </w:r>
      <w:r w:rsidR="00AE4133">
        <w:rPr>
          <w:lang w:val="en-GB"/>
        </w:rPr>
        <w:t xml:space="preserve"> </w:t>
      </w:r>
      <w:r w:rsidR="00AE4133" w:rsidRPr="00AE4133">
        <w:rPr>
          <w:lang w:val="en-GB"/>
        </w:rPr>
        <w:t>shareholders and hence shareholders are not treated equally</w:t>
      </w:r>
      <w:r w:rsidR="00AE4133">
        <w:rPr>
          <w:lang w:val="en-GB"/>
        </w:rPr>
        <w:t xml:space="preserve">. </w:t>
      </w:r>
      <w:r w:rsidR="006D349D">
        <w:rPr>
          <w:lang w:val="en-GB"/>
        </w:rPr>
        <w:t xml:space="preserve">The </w:t>
      </w:r>
      <w:r w:rsidR="00C272CE">
        <w:rPr>
          <w:lang w:val="en-GB"/>
        </w:rPr>
        <w:t xml:space="preserve">off-market </w:t>
      </w:r>
      <w:r w:rsidR="006D349D">
        <w:rPr>
          <w:lang w:val="en-GB"/>
        </w:rPr>
        <w:t xml:space="preserve">buy-back of the shares was </w:t>
      </w:r>
      <w:r w:rsidR="00C272CE">
        <w:rPr>
          <w:lang w:val="en-GB"/>
        </w:rPr>
        <w:t xml:space="preserve">therefore </w:t>
      </w:r>
      <w:r w:rsidR="006D349D">
        <w:rPr>
          <w:lang w:val="en-GB"/>
        </w:rPr>
        <w:t>in clear breach of Rule</w:t>
      </w:r>
      <w:r w:rsidR="0035570E">
        <w:rPr>
          <w:lang w:val="en-GB"/>
        </w:rPr>
        <w:t xml:space="preserve"> 2 </w:t>
      </w:r>
      <w:r w:rsidR="00C272CE">
        <w:rPr>
          <w:lang w:val="en-GB"/>
        </w:rPr>
        <w:t>as it had</w:t>
      </w:r>
      <w:r w:rsidR="0035570E">
        <w:rPr>
          <w:lang w:val="en-GB"/>
        </w:rPr>
        <w:t xml:space="preserve"> not been previously approved by the </w:t>
      </w:r>
      <w:r w:rsidR="00D33321">
        <w:rPr>
          <w:lang w:val="en-GB"/>
        </w:rPr>
        <w:t xml:space="preserve">Takeovers </w:t>
      </w:r>
      <w:r w:rsidR="0035570E">
        <w:rPr>
          <w:lang w:val="en-GB"/>
        </w:rPr>
        <w:t>Executive</w:t>
      </w:r>
      <w:r w:rsidR="0047043F">
        <w:rPr>
          <w:lang w:val="en-GB"/>
        </w:rPr>
        <w:t>.</w:t>
      </w:r>
      <w:r w:rsidR="00CA3783">
        <w:rPr>
          <w:rStyle w:val="af3"/>
          <w:lang w:val="en-GB"/>
        </w:rPr>
        <w:footnoteReference w:id="1"/>
      </w:r>
      <w:r w:rsidR="0035570E">
        <w:rPr>
          <w:lang w:val="en-GB"/>
        </w:rPr>
        <w:t xml:space="preserve"> </w:t>
      </w:r>
    </w:p>
    <w:p w14:paraId="24DCB596" w14:textId="77777777" w:rsidR="003F5C4B" w:rsidRDefault="00B96A54" w:rsidP="00912F44">
      <w:pPr>
        <w:pStyle w:val="a5"/>
        <w:rPr>
          <w:lang w:val="en-GB"/>
        </w:rPr>
      </w:pPr>
      <w:r>
        <w:rPr>
          <w:lang w:val="en-GB"/>
        </w:rPr>
        <w:t xml:space="preserve">The SFC </w:t>
      </w:r>
      <w:r w:rsidRPr="001A5848">
        <w:rPr>
          <w:lang w:val="en-GB"/>
        </w:rPr>
        <w:t xml:space="preserve">publicly censured Wonderful Sky </w:t>
      </w:r>
      <w:r>
        <w:rPr>
          <w:lang w:val="en-GB"/>
        </w:rPr>
        <w:t xml:space="preserve">and </w:t>
      </w:r>
      <w:r w:rsidRPr="00C137CF">
        <w:rPr>
          <w:lang w:val="en-GB"/>
        </w:rPr>
        <w:t>Chairman Liu</w:t>
      </w:r>
      <w:r>
        <w:rPr>
          <w:lang w:val="en-GB"/>
        </w:rPr>
        <w:t xml:space="preserve">, </w:t>
      </w:r>
      <w:r w:rsidRPr="001A5848">
        <w:rPr>
          <w:lang w:val="en-GB"/>
        </w:rPr>
        <w:t xml:space="preserve">and publicly criticised </w:t>
      </w:r>
      <w:r>
        <w:rPr>
          <w:lang w:val="en-GB"/>
        </w:rPr>
        <w:t xml:space="preserve">Kiki </w:t>
      </w:r>
      <w:r w:rsidRPr="001A5848">
        <w:rPr>
          <w:lang w:val="en-GB"/>
        </w:rPr>
        <w:t>Liu</w:t>
      </w:r>
      <w:r>
        <w:rPr>
          <w:lang w:val="en-GB"/>
        </w:rPr>
        <w:t xml:space="preserve"> on the basis </w:t>
      </w:r>
      <w:r w:rsidR="00557554">
        <w:rPr>
          <w:lang w:val="en-GB"/>
        </w:rPr>
        <w:t>that</w:t>
      </w:r>
      <w:r w:rsidR="0047043F">
        <w:rPr>
          <w:lang w:val="en-GB"/>
        </w:rPr>
        <w:t xml:space="preserve"> shareholders of the company were prejudiced</w:t>
      </w:r>
      <w:r w:rsidR="00302D46">
        <w:rPr>
          <w:lang w:val="en-GB"/>
        </w:rPr>
        <w:t xml:space="preserve"> and received unequal or unfair treatment from the company</w:t>
      </w:r>
      <w:r w:rsidR="00BF1AC6">
        <w:rPr>
          <w:lang w:val="en-GB"/>
        </w:rPr>
        <w:t xml:space="preserve"> and</w:t>
      </w:r>
      <w:r w:rsidR="00302D46">
        <w:rPr>
          <w:lang w:val="en-GB"/>
        </w:rPr>
        <w:t xml:space="preserve"> </w:t>
      </w:r>
      <w:r w:rsidR="00557554">
        <w:rPr>
          <w:lang w:val="en-GB"/>
        </w:rPr>
        <w:t xml:space="preserve">that Chairman Liu was the main decision maker </w:t>
      </w:r>
      <w:r>
        <w:rPr>
          <w:lang w:val="en-GB"/>
        </w:rPr>
        <w:t xml:space="preserve">in </w:t>
      </w:r>
      <w:r w:rsidR="00557554">
        <w:rPr>
          <w:lang w:val="en-GB"/>
        </w:rPr>
        <w:t>the off-market share buy-back</w:t>
      </w:r>
      <w:r>
        <w:rPr>
          <w:lang w:val="en-GB"/>
        </w:rPr>
        <w:t xml:space="preserve"> and </w:t>
      </w:r>
      <w:r w:rsidR="004C354F">
        <w:rPr>
          <w:lang w:val="en-GB"/>
        </w:rPr>
        <w:t xml:space="preserve">Kiki Liu participated in </w:t>
      </w:r>
      <w:r>
        <w:rPr>
          <w:lang w:val="en-GB"/>
        </w:rPr>
        <w:t>its implementation</w:t>
      </w:r>
      <w:r w:rsidR="00C137CF">
        <w:rPr>
          <w:lang w:val="en-GB"/>
        </w:rPr>
        <w:t>.</w:t>
      </w:r>
    </w:p>
    <w:p w14:paraId="422EF7F6" w14:textId="77777777" w:rsidR="003F5C4B" w:rsidRDefault="003F5C4B" w:rsidP="00912F44">
      <w:pPr>
        <w:pStyle w:val="a5"/>
        <w:rPr>
          <w:b/>
          <w:color w:val="FF0000"/>
          <w:lang w:val="en-GB"/>
        </w:rPr>
      </w:pPr>
      <w:r>
        <w:rPr>
          <w:b/>
          <w:color w:val="FF0000"/>
          <w:lang w:val="en-GB"/>
        </w:rPr>
        <w:t xml:space="preserve">SFC Bans Kim Bum Suk for </w:t>
      </w:r>
      <w:r w:rsidR="002D67AC">
        <w:rPr>
          <w:b/>
          <w:color w:val="FF0000"/>
          <w:lang w:val="en-GB"/>
        </w:rPr>
        <w:t>27 Months</w:t>
      </w:r>
    </w:p>
    <w:p w14:paraId="1EEB6240" w14:textId="77777777" w:rsidR="000F6121" w:rsidRDefault="00B62888" w:rsidP="001B5E07">
      <w:pPr>
        <w:pStyle w:val="a5"/>
        <w:rPr>
          <w:bCs/>
          <w:color w:val="000000" w:themeColor="text1"/>
          <w:lang w:val="en-GB"/>
        </w:rPr>
      </w:pPr>
      <w:r>
        <w:rPr>
          <w:bCs/>
          <w:color w:val="000000" w:themeColor="text1"/>
          <w:lang w:val="en-GB"/>
        </w:rPr>
        <w:t xml:space="preserve">On 29 </w:t>
      </w:r>
      <w:r w:rsidR="00334996">
        <w:rPr>
          <w:bCs/>
          <w:color w:val="000000" w:themeColor="text1"/>
          <w:lang w:val="en-GB"/>
        </w:rPr>
        <w:t>M</w:t>
      </w:r>
      <w:r>
        <w:rPr>
          <w:bCs/>
          <w:color w:val="000000" w:themeColor="text1"/>
          <w:lang w:val="en-GB"/>
        </w:rPr>
        <w:t>arch</w:t>
      </w:r>
      <w:r w:rsidR="001C2389">
        <w:rPr>
          <w:bCs/>
          <w:color w:val="000000" w:themeColor="text1"/>
          <w:lang w:val="en-GB"/>
        </w:rPr>
        <w:t xml:space="preserve"> 2022</w:t>
      </w:r>
      <w:r>
        <w:rPr>
          <w:bCs/>
          <w:color w:val="000000" w:themeColor="text1"/>
          <w:lang w:val="en-GB"/>
        </w:rPr>
        <w:t xml:space="preserve">, the </w:t>
      </w:r>
      <w:r w:rsidRPr="00E7150D">
        <w:rPr>
          <w:color w:val="000000" w:themeColor="text1"/>
          <w:lang w:val="en-GB"/>
        </w:rPr>
        <w:t>SFC</w:t>
      </w:r>
      <w:r>
        <w:rPr>
          <w:bCs/>
          <w:color w:val="000000" w:themeColor="text1"/>
          <w:lang w:val="en-GB"/>
        </w:rPr>
        <w:t xml:space="preserve"> banned </w:t>
      </w:r>
      <w:r w:rsidR="00E7150D">
        <w:rPr>
          <w:bCs/>
          <w:color w:val="000000" w:themeColor="text1"/>
          <w:lang w:val="en-GB"/>
        </w:rPr>
        <w:t xml:space="preserve">Mr </w:t>
      </w:r>
      <w:r>
        <w:rPr>
          <w:bCs/>
          <w:color w:val="000000" w:themeColor="text1"/>
          <w:lang w:val="en-GB"/>
        </w:rPr>
        <w:t>Kim Bum Suk</w:t>
      </w:r>
      <w:r w:rsidR="00D12A1B">
        <w:rPr>
          <w:bCs/>
          <w:color w:val="000000" w:themeColor="text1"/>
          <w:lang w:val="en-GB"/>
        </w:rPr>
        <w:t xml:space="preserve"> (</w:t>
      </w:r>
      <w:r w:rsidR="00D12A1B" w:rsidRPr="00446989">
        <w:rPr>
          <w:b/>
          <w:color w:val="000000" w:themeColor="text1"/>
          <w:lang w:val="en-GB"/>
        </w:rPr>
        <w:t>Kim</w:t>
      </w:r>
      <w:r w:rsidR="00D12A1B">
        <w:rPr>
          <w:bCs/>
          <w:color w:val="000000" w:themeColor="text1"/>
          <w:lang w:val="en-GB"/>
        </w:rPr>
        <w:t>)</w:t>
      </w:r>
      <w:r>
        <w:rPr>
          <w:bCs/>
          <w:color w:val="000000" w:themeColor="text1"/>
          <w:lang w:val="en-GB"/>
        </w:rPr>
        <w:t>, a former relevant individual of BNP Paribas We</w:t>
      </w:r>
      <w:r w:rsidR="00E7150D">
        <w:rPr>
          <w:bCs/>
          <w:color w:val="000000" w:themeColor="text1"/>
          <w:lang w:val="en-GB"/>
        </w:rPr>
        <w:t>alth Management and BNP Paribas</w:t>
      </w:r>
      <w:r>
        <w:rPr>
          <w:bCs/>
          <w:color w:val="000000" w:themeColor="text1"/>
          <w:lang w:val="en-GB"/>
        </w:rPr>
        <w:t xml:space="preserve"> (together, </w:t>
      </w:r>
      <w:r w:rsidRPr="00B62888">
        <w:rPr>
          <w:b/>
          <w:color w:val="000000" w:themeColor="text1"/>
          <w:lang w:val="en-GB"/>
        </w:rPr>
        <w:t>BNP</w:t>
      </w:r>
      <w:r w:rsidRPr="00B62888">
        <w:rPr>
          <w:bCs/>
          <w:color w:val="000000" w:themeColor="text1"/>
          <w:lang w:val="en-GB"/>
        </w:rPr>
        <w:t>)</w:t>
      </w:r>
      <w:r w:rsidR="00E7150D">
        <w:rPr>
          <w:bCs/>
          <w:color w:val="000000" w:themeColor="text1"/>
          <w:lang w:val="en-GB"/>
        </w:rPr>
        <w:t>,</w:t>
      </w:r>
      <w:r>
        <w:rPr>
          <w:bCs/>
          <w:color w:val="000000" w:themeColor="text1"/>
          <w:lang w:val="en-GB"/>
        </w:rPr>
        <w:t xml:space="preserve"> from re-entering the industry</w:t>
      </w:r>
      <w:r w:rsidR="00E7150D">
        <w:rPr>
          <w:bCs/>
          <w:color w:val="000000" w:themeColor="text1"/>
          <w:lang w:val="en-GB"/>
        </w:rPr>
        <w:t xml:space="preserve"> for 27 months</w:t>
      </w:r>
      <w:r>
        <w:rPr>
          <w:bCs/>
          <w:color w:val="000000" w:themeColor="text1"/>
          <w:lang w:val="en-GB"/>
        </w:rPr>
        <w:t xml:space="preserve">. </w:t>
      </w:r>
      <w:r w:rsidR="00E7150D">
        <w:rPr>
          <w:bCs/>
          <w:color w:val="000000" w:themeColor="text1"/>
          <w:lang w:val="en-GB"/>
        </w:rPr>
        <w:t>The ban was imposed due to</w:t>
      </w:r>
      <w:r w:rsidR="002B0980" w:rsidRPr="002B0980">
        <w:rPr>
          <w:bCs/>
          <w:color w:val="000000" w:themeColor="text1"/>
          <w:lang w:val="en-GB"/>
        </w:rPr>
        <w:t xml:space="preserve"> Kim</w:t>
      </w:r>
      <w:r w:rsidR="00E7150D">
        <w:rPr>
          <w:bCs/>
          <w:color w:val="000000" w:themeColor="text1"/>
          <w:lang w:val="en-GB"/>
        </w:rPr>
        <w:t xml:space="preserve"> having knowingly circumvented BNP’s internal requirements by operating </w:t>
      </w:r>
      <w:r w:rsidR="001B5E07">
        <w:rPr>
          <w:bCs/>
          <w:color w:val="000000" w:themeColor="text1"/>
          <w:lang w:val="en-GB"/>
        </w:rPr>
        <w:t>his</w:t>
      </w:r>
      <w:r w:rsidR="002B0980" w:rsidRPr="002B0980">
        <w:rPr>
          <w:bCs/>
          <w:color w:val="000000" w:themeColor="text1"/>
          <w:lang w:val="en-GB"/>
        </w:rPr>
        <w:t xml:space="preserve"> client</w:t>
      </w:r>
      <w:r w:rsidR="001B5E07">
        <w:rPr>
          <w:bCs/>
          <w:color w:val="000000" w:themeColor="text1"/>
          <w:lang w:val="en-GB"/>
        </w:rPr>
        <w:t>s’</w:t>
      </w:r>
      <w:r w:rsidR="002B0980" w:rsidRPr="002B0980">
        <w:rPr>
          <w:bCs/>
          <w:color w:val="000000" w:themeColor="text1"/>
          <w:lang w:val="en-GB"/>
        </w:rPr>
        <w:t xml:space="preserve"> account</w:t>
      </w:r>
      <w:r w:rsidR="001B5E07">
        <w:rPr>
          <w:bCs/>
          <w:color w:val="000000" w:themeColor="text1"/>
          <w:lang w:val="en-GB"/>
        </w:rPr>
        <w:t>s</w:t>
      </w:r>
      <w:r w:rsidR="002B0980" w:rsidRPr="002B0980">
        <w:rPr>
          <w:bCs/>
          <w:color w:val="000000" w:themeColor="text1"/>
          <w:lang w:val="en-GB"/>
        </w:rPr>
        <w:t xml:space="preserve"> discretionarily without obtaining </w:t>
      </w:r>
      <w:r w:rsidR="001B5E07">
        <w:rPr>
          <w:bCs/>
          <w:color w:val="000000" w:themeColor="text1"/>
          <w:lang w:val="en-GB"/>
        </w:rPr>
        <w:t xml:space="preserve">their </w:t>
      </w:r>
      <w:r w:rsidR="002B0980" w:rsidRPr="002B0980">
        <w:rPr>
          <w:bCs/>
          <w:color w:val="000000" w:themeColor="text1"/>
          <w:lang w:val="en-GB"/>
        </w:rPr>
        <w:t>written authori</w:t>
      </w:r>
      <w:r w:rsidR="000A190C">
        <w:rPr>
          <w:bCs/>
          <w:color w:val="000000" w:themeColor="text1"/>
          <w:lang w:val="en-GB"/>
        </w:rPr>
        <w:t>s</w:t>
      </w:r>
      <w:r w:rsidR="002B0980" w:rsidRPr="002B0980">
        <w:rPr>
          <w:bCs/>
          <w:color w:val="000000" w:themeColor="text1"/>
          <w:lang w:val="en-GB"/>
        </w:rPr>
        <w:t>ation under the guise of pre-signed client instruction forms</w:t>
      </w:r>
      <w:r w:rsidR="00E7150D">
        <w:rPr>
          <w:bCs/>
          <w:color w:val="000000" w:themeColor="text1"/>
          <w:lang w:val="en-GB"/>
        </w:rPr>
        <w:t xml:space="preserve"> between </w:t>
      </w:r>
      <w:r w:rsidR="002137B7">
        <w:rPr>
          <w:bCs/>
          <w:color w:val="000000" w:themeColor="text1"/>
          <w:lang w:val="en-GB"/>
        </w:rPr>
        <w:t>March 2015 and</w:t>
      </w:r>
      <w:r w:rsidR="00E7150D" w:rsidRPr="002B0980">
        <w:rPr>
          <w:bCs/>
          <w:color w:val="000000" w:themeColor="text1"/>
          <w:lang w:val="en-GB"/>
        </w:rPr>
        <w:t xml:space="preserve"> August 2017</w:t>
      </w:r>
      <w:r w:rsidR="002B0980" w:rsidRPr="002B0980">
        <w:rPr>
          <w:bCs/>
          <w:color w:val="000000" w:themeColor="text1"/>
          <w:lang w:val="en-GB"/>
        </w:rPr>
        <w:t>.</w:t>
      </w:r>
      <w:r w:rsidR="000A190C">
        <w:rPr>
          <w:bCs/>
          <w:color w:val="000000" w:themeColor="text1"/>
          <w:lang w:val="en-GB"/>
        </w:rPr>
        <w:t xml:space="preserve"> </w:t>
      </w:r>
      <w:r w:rsidR="001B5E07">
        <w:rPr>
          <w:bCs/>
          <w:color w:val="000000" w:themeColor="text1"/>
          <w:lang w:val="en-GB"/>
        </w:rPr>
        <w:t xml:space="preserve">He also created a false appearance that the instructions originated from his clients by arranging for them to pre-sign blank client </w:t>
      </w:r>
      <w:r w:rsidR="001B5E07" w:rsidRPr="001B5E07">
        <w:rPr>
          <w:bCs/>
          <w:color w:val="000000" w:themeColor="text1"/>
          <w:lang w:val="en-GB"/>
        </w:rPr>
        <w:t>instruction forms and risk</w:t>
      </w:r>
      <w:r w:rsidR="001B5E07">
        <w:rPr>
          <w:bCs/>
          <w:color w:val="000000" w:themeColor="text1"/>
          <w:lang w:val="en-GB"/>
        </w:rPr>
        <w:t xml:space="preserve"> </w:t>
      </w:r>
      <w:r w:rsidR="001B5E07" w:rsidRPr="001B5E07">
        <w:rPr>
          <w:bCs/>
          <w:color w:val="000000" w:themeColor="text1"/>
          <w:lang w:val="en-GB"/>
        </w:rPr>
        <w:t xml:space="preserve">mismatch acknowledgement </w:t>
      </w:r>
      <w:r w:rsidR="001B5E07" w:rsidRPr="001B5E07">
        <w:rPr>
          <w:bCs/>
          <w:color w:val="000000" w:themeColor="text1"/>
          <w:lang w:val="en-GB"/>
        </w:rPr>
        <w:lastRenderedPageBreak/>
        <w:t>letters</w:t>
      </w:r>
      <w:r w:rsidR="00FE6A35">
        <w:rPr>
          <w:bCs/>
          <w:color w:val="000000" w:themeColor="text1"/>
          <w:lang w:val="en-GB"/>
        </w:rPr>
        <w:t>,</w:t>
      </w:r>
      <w:r w:rsidR="00A23437">
        <w:rPr>
          <w:bCs/>
          <w:color w:val="000000" w:themeColor="text1"/>
          <w:lang w:val="en-GB"/>
        </w:rPr>
        <w:t xml:space="preserve"> when he was in fact operating their accounts discretionarily. He also caused the</w:t>
      </w:r>
      <w:r w:rsidR="00FE6A35">
        <w:rPr>
          <w:bCs/>
          <w:color w:val="000000" w:themeColor="text1"/>
          <w:lang w:val="en-GB"/>
        </w:rPr>
        <w:t xml:space="preserve"> production of false call reports to BNP. </w:t>
      </w:r>
    </w:p>
    <w:p w14:paraId="4724E879" w14:textId="77777777" w:rsidR="00FE6A35" w:rsidRDefault="00A23437" w:rsidP="001B5E07">
      <w:pPr>
        <w:pStyle w:val="a5"/>
        <w:rPr>
          <w:bCs/>
          <w:color w:val="000000" w:themeColor="text1"/>
          <w:lang w:val="en-GB"/>
        </w:rPr>
      </w:pPr>
      <w:r>
        <w:rPr>
          <w:b/>
          <w:color w:val="000000" w:themeColor="text1"/>
          <w:lang w:val="en-GB"/>
        </w:rPr>
        <w:t xml:space="preserve">Facts </w:t>
      </w:r>
      <w:r w:rsidR="00EC3CEB" w:rsidRPr="00EC3CEB">
        <w:rPr>
          <w:b/>
          <w:color w:val="000000" w:themeColor="text1"/>
          <w:lang w:val="en-GB"/>
        </w:rPr>
        <w:t xml:space="preserve">and </w:t>
      </w:r>
      <w:r>
        <w:rPr>
          <w:b/>
          <w:color w:val="000000" w:themeColor="text1"/>
          <w:lang w:val="en-GB"/>
        </w:rPr>
        <w:t xml:space="preserve">Regulatory </w:t>
      </w:r>
      <w:r w:rsidR="00EC3CEB" w:rsidRPr="00EC3CEB">
        <w:rPr>
          <w:b/>
          <w:color w:val="000000" w:themeColor="text1"/>
          <w:lang w:val="en-GB"/>
        </w:rPr>
        <w:t>Breaches</w:t>
      </w:r>
    </w:p>
    <w:p w14:paraId="6DF73EC6" w14:textId="77777777" w:rsidR="00A80CD3" w:rsidRDefault="00EC3CEB" w:rsidP="00A80CD3">
      <w:pPr>
        <w:pStyle w:val="a5"/>
        <w:rPr>
          <w:bCs/>
          <w:color w:val="000000" w:themeColor="text1"/>
          <w:lang w:val="en-GB"/>
        </w:rPr>
      </w:pPr>
      <w:r>
        <w:rPr>
          <w:bCs/>
          <w:color w:val="000000" w:themeColor="text1"/>
          <w:lang w:val="en-GB"/>
        </w:rPr>
        <w:t xml:space="preserve">Kim was a relevant </w:t>
      </w:r>
      <w:r w:rsidRPr="00EC3CEB">
        <w:rPr>
          <w:bCs/>
          <w:color w:val="000000" w:themeColor="text1"/>
          <w:lang w:val="en-GB"/>
        </w:rPr>
        <w:t>individual engaged by BNP from 4 December 2014 to 29 March 2018</w:t>
      </w:r>
      <w:r w:rsidR="00B14E68">
        <w:rPr>
          <w:bCs/>
          <w:color w:val="000000" w:themeColor="text1"/>
          <w:lang w:val="en-GB"/>
        </w:rPr>
        <w:t xml:space="preserve">. He is </w:t>
      </w:r>
      <w:r w:rsidR="00A23437" w:rsidRPr="00AC7018">
        <w:rPr>
          <w:bCs/>
          <w:color w:val="000000" w:themeColor="text1"/>
          <w:lang w:val="en-GB"/>
        </w:rPr>
        <w:t xml:space="preserve">not </w:t>
      </w:r>
      <w:r w:rsidR="00AC7018" w:rsidRPr="00AC7018">
        <w:rPr>
          <w:bCs/>
          <w:color w:val="000000" w:themeColor="text1"/>
          <w:lang w:val="en-GB"/>
        </w:rPr>
        <w:t xml:space="preserve">currently licensed by the SFC or registered with </w:t>
      </w:r>
      <w:r w:rsidR="00AC7018">
        <w:rPr>
          <w:bCs/>
          <w:color w:val="000000" w:themeColor="text1"/>
          <w:lang w:val="en-GB"/>
        </w:rPr>
        <w:t xml:space="preserve">the </w:t>
      </w:r>
      <w:r w:rsidR="00AC7018" w:rsidRPr="00AC7018">
        <w:rPr>
          <w:bCs/>
          <w:color w:val="000000" w:themeColor="text1"/>
          <w:lang w:val="en-GB"/>
        </w:rPr>
        <w:t>HKMA.</w:t>
      </w:r>
      <w:r>
        <w:rPr>
          <w:bCs/>
          <w:color w:val="000000" w:themeColor="text1"/>
          <w:lang w:val="en-GB"/>
        </w:rPr>
        <w:t xml:space="preserve"> </w:t>
      </w:r>
      <w:r w:rsidR="001C5122">
        <w:rPr>
          <w:bCs/>
          <w:color w:val="000000" w:themeColor="text1"/>
          <w:lang w:val="en-GB"/>
        </w:rPr>
        <w:t>In January 2018, BNP self-reported to the Hong Kong Monetary Authority (</w:t>
      </w:r>
      <w:r w:rsidR="001C5122" w:rsidRPr="001C5122">
        <w:rPr>
          <w:b/>
          <w:color w:val="000000" w:themeColor="text1"/>
          <w:lang w:val="en-GB"/>
        </w:rPr>
        <w:t>HKMA</w:t>
      </w:r>
      <w:r w:rsidR="001C5122">
        <w:rPr>
          <w:bCs/>
          <w:color w:val="000000" w:themeColor="text1"/>
          <w:lang w:val="en-GB"/>
        </w:rPr>
        <w:t>)</w:t>
      </w:r>
      <w:r w:rsidR="00AF18A8">
        <w:rPr>
          <w:bCs/>
          <w:color w:val="000000" w:themeColor="text1"/>
          <w:lang w:val="en-GB"/>
        </w:rPr>
        <w:t xml:space="preserve"> and to the SFC that a client complained </w:t>
      </w:r>
      <w:r w:rsidR="00A23437">
        <w:rPr>
          <w:bCs/>
          <w:color w:val="000000" w:themeColor="text1"/>
          <w:lang w:val="en-GB"/>
        </w:rPr>
        <w:t xml:space="preserve">about </w:t>
      </w:r>
      <w:r w:rsidR="00AF18A8">
        <w:rPr>
          <w:bCs/>
          <w:color w:val="000000" w:themeColor="text1"/>
          <w:lang w:val="en-GB"/>
        </w:rPr>
        <w:t xml:space="preserve">his relationship manager, Kim, </w:t>
      </w:r>
      <w:r w:rsidR="00A23437">
        <w:rPr>
          <w:bCs/>
          <w:color w:val="000000" w:themeColor="text1"/>
          <w:lang w:val="en-GB"/>
        </w:rPr>
        <w:t>due to investment losses incurred on</w:t>
      </w:r>
      <w:r w:rsidR="00AF18A8">
        <w:rPr>
          <w:bCs/>
          <w:color w:val="000000" w:themeColor="text1"/>
          <w:lang w:val="en-GB"/>
        </w:rPr>
        <w:t xml:space="preserve"> his BNP account.</w:t>
      </w:r>
      <w:r w:rsidR="00B96A54">
        <w:rPr>
          <w:bCs/>
          <w:color w:val="000000" w:themeColor="text1"/>
          <w:lang w:val="en-GB"/>
        </w:rPr>
        <w:t xml:space="preserve"> T</w:t>
      </w:r>
      <w:r w:rsidR="000070D4">
        <w:rPr>
          <w:bCs/>
          <w:color w:val="000000" w:themeColor="text1"/>
          <w:lang w:val="en-GB"/>
        </w:rPr>
        <w:t>he SFC conducted an investigation and found that Kim</w:t>
      </w:r>
      <w:r w:rsidR="00EB2D5A">
        <w:rPr>
          <w:bCs/>
          <w:color w:val="000000" w:themeColor="text1"/>
          <w:lang w:val="en-GB"/>
        </w:rPr>
        <w:t xml:space="preserve">, </w:t>
      </w:r>
      <w:r w:rsidR="00A23437">
        <w:rPr>
          <w:bCs/>
          <w:color w:val="000000" w:themeColor="text1"/>
          <w:lang w:val="en-GB"/>
        </w:rPr>
        <w:t xml:space="preserve">on the basis of his client’s </w:t>
      </w:r>
      <w:r w:rsidR="00EB2D5A">
        <w:rPr>
          <w:bCs/>
          <w:color w:val="000000" w:themeColor="text1"/>
          <w:lang w:val="en-GB"/>
        </w:rPr>
        <w:t xml:space="preserve">verbal </w:t>
      </w:r>
      <w:r w:rsidR="00B706C0">
        <w:rPr>
          <w:bCs/>
          <w:color w:val="000000" w:themeColor="text1"/>
          <w:lang w:val="en-GB"/>
        </w:rPr>
        <w:t>authorisation</w:t>
      </w:r>
      <w:r w:rsidR="00EB2D5A">
        <w:rPr>
          <w:bCs/>
          <w:color w:val="000000" w:themeColor="text1"/>
          <w:lang w:val="en-GB"/>
        </w:rPr>
        <w:t xml:space="preserve"> </w:t>
      </w:r>
      <w:r w:rsidR="00B706C0">
        <w:rPr>
          <w:bCs/>
          <w:color w:val="000000" w:themeColor="text1"/>
          <w:lang w:val="en-GB"/>
        </w:rPr>
        <w:t>to trade on a discretionary basis on his non-discretionary account</w:t>
      </w:r>
      <w:r w:rsidR="00EB2D5A">
        <w:rPr>
          <w:bCs/>
          <w:color w:val="000000" w:themeColor="text1"/>
          <w:lang w:val="en-GB"/>
        </w:rPr>
        <w:t xml:space="preserve">, asked his client to pre-sign blank instruction forms in order to trade discretionarily on </w:t>
      </w:r>
      <w:r w:rsidR="00A23437">
        <w:rPr>
          <w:bCs/>
          <w:color w:val="000000" w:themeColor="text1"/>
          <w:lang w:val="en-GB"/>
        </w:rPr>
        <w:t xml:space="preserve">the </w:t>
      </w:r>
      <w:r w:rsidR="00EB2D5A">
        <w:rPr>
          <w:bCs/>
          <w:color w:val="000000" w:themeColor="text1"/>
          <w:lang w:val="en-GB"/>
        </w:rPr>
        <w:t>client’s non-discretionary account</w:t>
      </w:r>
      <w:r w:rsidR="00B706C0">
        <w:rPr>
          <w:bCs/>
          <w:color w:val="000000" w:themeColor="text1"/>
          <w:lang w:val="en-GB"/>
        </w:rPr>
        <w:t xml:space="preserve"> for the sake of convenience. </w:t>
      </w:r>
      <w:r w:rsidR="00A80CD3">
        <w:rPr>
          <w:bCs/>
          <w:color w:val="000000" w:themeColor="text1"/>
          <w:lang w:val="en-GB"/>
        </w:rPr>
        <w:t xml:space="preserve">He then asked his assistant to </w:t>
      </w:r>
      <w:r w:rsidR="00A80CD3" w:rsidRPr="00A80CD3">
        <w:rPr>
          <w:bCs/>
          <w:color w:val="000000" w:themeColor="text1"/>
          <w:lang w:val="en-GB"/>
        </w:rPr>
        <w:t xml:space="preserve">complete the pre-signed </w:t>
      </w:r>
      <w:r w:rsidR="00A80CD3">
        <w:rPr>
          <w:bCs/>
          <w:color w:val="000000" w:themeColor="text1"/>
          <w:lang w:val="en-GB"/>
        </w:rPr>
        <w:t>b</w:t>
      </w:r>
      <w:r w:rsidR="00A80CD3" w:rsidRPr="00A80CD3">
        <w:rPr>
          <w:bCs/>
          <w:color w:val="000000" w:themeColor="text1"/>
          <w:lang w:val="en-GB"/>
        </w:rPr>
        <w:t xml:space="preserve">lank </w:t>
      </w:r>
      <w:r w:rsidR="00A80CD3">
        <w:rPr>
          <w:bCs/>
          <w:color w:val="000000" w:themeColor="text1"/>
          <w:lang w:val="en-GB"/>
        </w:rPr>
        <w:t>d</w:t>
      </w:r>
      <w:r w:rsidR="00A80CD3" w:rsidRPr="00A80CD3">
        <w:rPr>
          <w:bCs/>
          <w:color w:val="000000" w:themeColor="text1"/>
          <w:lang w:val="en-GB"/>
        </w:rPr>
        <w:t>ocuments with trade</w:t>
      </w:r>
      <w:r w:rsidR="00A80CD3">
        <w:rPr>
          <w:bCs/>
          <w:color w:val="000000" w:themeColor="text1"/>
          <w:lang w:val="en-GB"/>
        </w:rPr>
        <w:t xml:space="preserve"> </w:t>
      </w:r>
      <w:r w:rsidR="00A80CD3" w:rsidRPr="00A80CD3">
        <w:rPr>
          <w:bCs/>
          <w:color w:val="000000" w:themeColor="text1"/>
          <w:lang w:val="en-GB"/>
        </w:rPr>
        <w:t>details for execution, and produce false call reports stating that he had met or</w:t>
      </w:r>
      <w:r w:rsidR="00A80CD3">
        <w:rPr>
          <w:bCs/>
          <w:color w:val="000000" w:themeColor="text1"/>
          <w:lang w:val="en-GB"/>
        </w:rPr>
        <w:t xml:space="preserve"> </w:t>
      </w:r>
      <w:r w:rsidR="00A80CD3" w:rsidRPr="00A80CD3">
        <w:rPr>
          <w:bCs/>
          <w:color w:val="000000" w:themeColor="text1"/>
          <w:lang w:val="en-GB"/>
        </w:rPr>
        <w:t>contacted the client to give investment advice and/or take order instructions from</w:t>
      </w:r>
      <w:r w:rsidR="00A80CD3">
        <w:rPr>
          <w:bCs/>
          <w:color w:val="000000" w:themeColor="text1"/>
          <w:lang w:val="en-GB"/>
        </w:rPr>
        <w:t xml:space="preserve"> </w:t>
      </w:r>
      <w:r w:rsidR="00A80CD3" w:rsidRPr="00A80CD3">
        <w:rPr>
          <w:bCs/>
          <w:color w:val="000000" w:themeColor="text1"/>
          <w:lang w:val="en-GB"/>
        </w:rPr>
        <w:t>the client when he had not.</w:t>
      </w:r>
      <w:r w:rsidR="00B96A54">
        <w:rPr>
          <w:bCs/>
          <w:color w:val="000000" w:themeColor="text1"/>
          <w:lang w:val="en-GB"/>
        </w:rPr>
        <w:t xml:space="preserve"> </w:t>
      </w:r>
      <w:r w:rsidR="009F53C1">
        <w:rPr>
          <w:bCs/>
          <w:color w:val="000000" w:themeColor="text1"/>
          <w:lang w:val="en-GB"/>
        </w:rPr>
        <w:t xml:space="preserve">Kim adopted a similar practice with three other clients, asking them to pre-sign blank documents so </w:t>
      </w:r>
      <w:r w:rsidR="00A23437">
        <w:rPr>
          <w:bCs/>
          <w:color w:val="000000" w:themeColor="text1"/>
          <w:lang w:val="en-GB"/>
        </w:rPr>
        <w:t xml:space="preserve">that </w:t>
      </w:r>
      <w:r w:rsidR="009F53C1">
        <w:rPr>
          <w:bCs/>
          <w:color w:val="000000" w:themeColor="text1"/>
          <w:lang w:val="en-GB"/>
        </w:rPr>
        <w:t xml:space="preserve">he could place trades for their accounts without informing them in advance. </w:t>
      </w:r>
    </w:p>
    <w:p w14:paraId="41302372" w14:textId="77777777" w:rsidR="00556EE5" w:rsidRPr="00C50CDD" w:rsidRDefault="00A23437" w:rsidP="00C50CDD">
      <w:pPr>
        <w:pStyle w:val="a5"/>
        <w:spacing w:before="0" w:after="0"/>
        <w:contextualSpacing/>
        <w:rPr>
          <w:bCs/>
          <w:color w:val="000000" w:themeColor="text1"/>
          <w:lang w:val="en-GB"/>
        </w:rPr>
      </w:pPr>
      <w:r>
        <w:rPr>
          <w:bCs/>
          <w:color w:val="000000" w:themeColor="text1"/>
          <w:lang w:val="en-GB"/>
        </w:rPr>
        <w:t xml:space="preserve">The SFC found that </w:t>
      </w:r>
      <w:r w:rsidR="001F1CF4">
        <w:rPr>
          <w:bCs/>
          <w:color w:val="000000" w:themeColor="text1"/>
          <w:lang w:val="en-GB"/>
        </w:rPr>
        <w:t>Kim</w:t>
      </w:r>
      <w:r>
        <w:rPr>
          <w:bCs/>
          <w:color w:val="000000" w:themeColor="text1"/>
          <w:lang w:val="en-GB"/>
        </w:rPr>
        <w:t>’s claims that</w:t>
      </w:r>
      <w:r w:rsidR="001F1CF4">
        <w:rPr>
          <w:bCs/>
          <w:color w:val="000000" w:themeColor="text1"/>
          <w:lang w:val="en-GB"/>
        </w:rPr>
        <w:t xml:space="preserve"> he </w:t>
      </w:r>
      <w:r w:rsidR="00967544">
        <w:rPr>
          <w:bCs/>
          <w:color w:val="000000" w:themeColor="text1"/>
          <w:lang w:val="en-GB"/>
        </w:rPr>
        <w:t>had</w:t>
      </w:r>
      <w:r w:rsidR="001F1CF4">
        <w:rPr>
          <w:bCs/>
          <w:color w:val="000000" w:themeColor="text1"/>
          <w:lang w:val="en-GB"/>
        </w:rPr>
        <w:t xml:space="preserve"> </w:t>
      </w:r>
      <w:r>
        <w:rPr>
          <w:bCs/>
          <w:color w:val="000000" w:themeColor="text1"/>
          <w:lang w:val="en-GB"/>
        </w:rPr>
        <w:t xml:space="preserve">client </w:t>
      </w:r>
      <w:r w:rsidR="001F1CF4">
        <w:rPr>
          <w:bCs/>
          <w:color w:val="000000" w:themeColor="text1"/>
          <w:lang w:val="en-GB"/>
        </w:rPr>
        <w:t>authoris</w:t>
      </w:r>
      <w:r w:rsidR="00967544">
        <w:rPr>
          <w:bCs/>
          <w:color w:val="000000" w:themeColor="text1"/>
          <w:lang w:val="en-GB"/>
        </w:rPr>
        <w:t>ation</w:t>
      </w:r>
      <w:r>
        <w:rPr>
          <w:bCs/>
          <w:color w:val="000000" w:themeColor="text1"/>
          <w:lang w:val="en-GB"/>
        </w:rPr>
        <w:t>s</w:t>
      </w:r>
      <w:r w:rsidR="00967544">
        <w:rPr>
          <w:bCs/>
          <w:color w:val="000000" w:themeColor="text1"/>
          <w:lang w:val="en-GB"/>
        </w:rPr>
        <w:t xml:space="preserve"> </w:t>
      </w:r>
      <w:r w:rsidR="001F1CF4">
        <w:rPr>
          <w:bCs/>
          <w:color w:val="000000" w:themeColor="text1"/>
          <w:lang w:val="en-GB"/>
        </w:rPr>
        <w:t xml:space="preserve">to trade for </w:t>
      </w:r>
      <w:r w:rsidR="0059257D">
        <w:rPr>
          <w:bCs/>
          <w:color w:val="000000" w:themeColor="text1"/>
          <w:lang w:val="en-GB"/>
        </w:rPr>
        <w:t xml:space="preserve">them </w:t>
      </w:r>
      <w:r w:rsidR="001F1CF4">
        <w:rPr>
          <w:bCs/>
          <w:color w:val="000000" w:themeColor="text1"/>
          <w:lang w:val="en-GB"/>
        </w:rPr>
        <w:t>discretionarily</w:t>
      </w:r>
      <w:r w:rsidR="00B965E0">
        <w:rPr>
          <w:bCs/>
          <w:color w:val="000000" w:themeColor="text1"/>
          <w:lang w:val="en-GB"/>
        </w:rPr>
        <w:t xml:space="preserve"> </w:t>
      </w:r>
      <w:r w:rsidR="00B965E0" w:rsidRPr="00B965E0">
        <w:rPr>
          <w:bCs/>
          <w:color w:val="000000" w:themeColor="text1"/>
          <w:lang w:val="en-GB"/>
        </w:rPr>
        <w:t>through pre-sign</w:t>
      </w:r>
      <w:r>
        <w:rPr>
          <w:bCs/>
          <w:color w:val="000000" w:themeColor="text1"/>
          <w:lang w:val="en-GB"/>
        </w:rPr>
        <w:t>ed blank instruction forms could not substitute</w:t>
      </w:r>
      <w:r w:rsidR="00B965E0" w:rsidRPr="00B965E0">
        <w:rPr>
          <w:bCs/>
          <w:color w:val="000000" w:themeColor="text1"/>
          <w:lang w:val="en-GB"/>
        </w:rPr>
        <w:t xml:space="preserve"> for the</w:t>
      </w:r>
      <w:r w:rsidR="00B965E0">
        <w:rPr>
          <w:bCs/>
          <w:color w:val="000000" w:themeColor="text1"/>
          <w:lang w:val="en-GB"/>
        </w:rPr>
        <w:t xml:space="preserve"> </w:t>
      </w:r>
      <w:r w:rsidR="00B965E0" w:rsidRPr="00B965E0">
        <w:rPr>
          <w:bCs/>
          <w:color w:val="000000" w:themeColor="text1"/>
          <w:lang w:val="en-GB"/>
        </w:rPr>
        <w:t>authori</w:t>
      </w:r>
      <w:r w:rsidR="00B965E0">
        <w:rPr>
          <w:bCs/>
          <w:color w:val="000000" w:themeColor="text1"/>
          <w:lang w:val="en-GB"/>
        </w:rPr>
        <w:t>s</w:t>
      </w:r>
      <w:r w:rsidR="00B965E0" w:rsidRPr="00B965E0">
        <w:rPr>
          <w:bCs/>
          <w:color w:val="000000" w:themeColor="text1"/>
          <w:lang w:val="en-GB"/>
        </w:rPr>
        <w:t>ations required for operating discretionary accounts under paragraph 7.1</w:t>
      </w:r>
      <w:r w:rsidR="00B965E0">
        <w:rPr>
          <w:bCs/>
          <w:color w:val="000000" w:themeColor="text1"/>
          <w:lang w:val="en-GB"/>
        </w:rPr>
        <w:t xml:space="preserve"> </w:t>
      </w:r>
      <w:r w:rsidR="00B965E0" w:rsidRPr="00B965E0">
        <w:rPr>
          <w:bCs/>
          <w:color w:val="000000" w:themeColor="text1"/>
          <w:lang w:val="en-GB"/>
        </w:rPr>
        <w:t xml:space="preserve">of the </w:t>
      </w:r>
      <w:r w:rsidR="00B96A54">
        <w:rPr>
          <w:bCs/>
          <w:color w:val="000000" w:themeColor="text1"/>
          <w:lang w:val="en-GB"/>
        </w:rPr>
        <w:t xml:space="preserve">SFC </w:t>
      </w:r>
      <w:r w:rsidR="00B965E0" w:rsidRPr="00B965E0">
        <w:rPr>
          <w:bCs/>
          <w:color w:val="000000" w:themeColor="text1"/>
          <w:lang w:val="en-GB"/>
        </w:rPr>
        <w:t>Code of Conduct</w:t>
      </w:r>
      <w:r w:rsidR="00556EE5">
        <w:rPr>
          <w:bCs/>
          <w:color w:val="000000" w:themeColor="text1"/>
          <w:lang w:val="en-GB"/>
        </w:rPr>
        <w:t xml:space="preserve">. </w:t>
      </w:r>
      <w:r w:rsidRPr="00A23437">
        <w:rPr>
          <w:bCs/>
          <w:color w:val="000000" w:themeColor="text1"/>
          <w:lang w:val="en-GB"/>
        </w:rPr>
        <w:t xml:space="preserve">Paragraph 7.1 of the </w:t>
      </w:r>
      <w:r w:rsidR="00B96A54">
        <w:rPr>
          <w:bCs/>
          <w:color w:val="000000" w:themeColor="text1"/>
          <w:lang w:val="en-GB"/>
        </w:rPr>
        <w:t xml:space="preserve">SFC </w:t>
      </w:r>
      <w:r w:rsidRPr="00A23437">
        <w:rPr>
          <w:bCs/>
          <w:color w:val="000000" w:themeColor="text1"/>
          <w:lang w:val="en-GB"/>
        </w:rPr>
        <w:t>Code of Conduct provides that a registered person should not effect a transaction for a client unless</w:t>
      </w:r>
      <w:r w:rsidR="00137C71">
        <w:rPr>
          <w:bCs/>
          <w:color w:val="000000" w:themeColor="text1"/>
          <w:lang w:val="en-GB"/>
        </w:rPr>
        <w:t>,</w:t>
      </w:r>
      <w:r w:rsidRPr="00A23437">
        <w:rPr>
          <w:bCs/>
          <w:color w:val="000000" w:themeColor="text1"/>
          <w:lang w:val="en-GB"/>
        </w:rPr>
        <w:t xml:space="preserve"> before the transaction is effected, the client</w:t>
      </w:r>
      <w:r w:rsidR="00C50CDD">
        <w:rPr>
          <w:bCs/>
          <w:color w:val="000000" w:themeColor="text1"/>
          <w:lang w:val="en-GB"/>
        </w:rPr>
        <w:t xml:space="preserve"> </w:t>
      </w:r>
      <w:r w:rsidRPr="00A23437">
        <w:rPr>
          <w:bCs/>
          <w:color w:val="000000" w:themeColor="text1"/>
          <w:lang w:val="en-GB"/>
        </w:rPr>
        <w:t xml:space="preserve">has specifically authorised the transaction or </w:t>
      </w:r>
      <w:r w:rsidR="00C50CDD">
        <w:rPr>
          <w:bCs/>
          <w:color w:val="000000" w:themeColor="text1"/>
          <w:lang w:val="en-GB"/>
        </w:rPr>
        <w:t>given written authorisation for</w:t>
      </w:r>
      <w:r w:rsidRPr="00A23437">
        <w:rPr>
          <w:bCs/>
          <w:color w:val="000000" w:themeColor="text1"/>
          <w:lang w:val="en-GB"/>
        </w:rPr>
        <w:t xml:space="preserve"> the registered person to effect transactions for the client without the client’s specific authorisation.</w:t>
      </w:r>
      <w:r w:rsidRPr="005B5040">
        <w:rPr>
          <w:bCs/>
          <w:color w:val="000000" w:themeColor="text1"/>
          <w:sz w:val="20"/>
          <w:szCs w:val="20"/>
          <w:lang w:val="en-GB"/>
        </w:rPr>
        <w:t xml:space="preserve"> </w:t>
      </w:r>
      <w:r w:rsidR="00482F41" w:rsidRPr="00482F41">
        <w:rPr>
          <w:bCs/>
          <w:color w:val="000000" w:themeColor="text1"/>
          <w:lang w:val="en-GB"/>
        </w:rPr>
        <w:t xml:space="preserve">Kim </w:t>
      </w:r>
      <w:r w:rsidR="00C50CDD">
        <w:rPr>
          <w:bCs/>
          <w:color w:val="000000" w:themeColor="text1"/>
          <w:lang w:val="en-GB"/>
        </w:rPr>
        <w:t xml:space="preserve">also </w:t>
      </w:r>
      <w:r w:rsidR="00482F41" w:rsidRPr="00482F41">
        <w:rPr>
          <w:bCs/>
          <w:color w:val="000000" w:themeColor="text1"/>
          <w:lang w:val="en-GB"/>
        </w:rPr>
        <w:t>fail</w:t>
      </w:r>
      <w:r w:rsidR="00482F41">
        <w:rPr>
          <w:bCs/>
          <w:color w:val="000000" w:themeColor="text1"/>
          <w:lang w:val="en-GB"/>
        </w:rPr>
        <w:t>ed</w:t>
      </w:r>
      <w:r w:rsidR="00482F41" w:rsidRPr="00482F41">
        <w:rPr>
          <w:bCs/>
          <w:color w:val="000000" w:themeColor="text1"/>
          <w:lang w:val="en-GB"/>
        </w:rPr>
        <w:t xml:space="preserve"> to designate his clients’</w:t>
      </w:r>
      <w:r w:rsidR="00482F41">
        <w:rPr>
          <w:bCs/>
          <w:color w:val="000000" w:themeColor="text1"/>
          <w:lang w:val="en-GB"/>
        </w:rPr>
        <w:t xml:space="preserve"> </w:t>
      </w:r>
      <w:r w:rsidR="00482F41" w:rsidRPr="00482F41">
        <w:rPr>
          <w:bCs/>
          <w:color w:val="000000" w:themeColor="text1"/>
          <w:lang w:val="en-GB"/>
        </w:rPr>
        <w:t>accounts as discretionary accounts and obtain senior management’s approval</w:t>
      </w:r>
      <w:r w:rsidR="00482F41">
        <w:rPr>
          <w:bCs/>
          <w:color w:val="000000" w:themeColor="text1"/>
          <w:lang w:val="en-GB"/>
        </w:rPr>
        <w:t xml:space="preserve"> </w:t>
      </w:r>
      <w:r w:rsidR="00C50CDD">
        <w:rPr>
          <w:bCs/>
          <w:color w:val="000000" w:themeColor="text1"/>
          <w:lang w:val="en-GB"/>
        </w:rPr>
        <w:t>to open the</w:t>
      </w:r>
      <w:r w:rsidR="00137C71">
        <w:rPr>
          <w:bCs/>
          <w:color w:val="000000" w:themeColor="text1"/>
          <w:lang w:val="en-GB"/>
        </w:rPr>
        <w:t>m</w:t>
      </w:r>
      <w:r w:rsidR="00C50CDD">
        <w:rPr>
          <w:bCs/>
          <w:color w:val="000000" w:themeColor="text1"/>
          <w:lang w:val="en-GB"/>
        </w:rPr>
        <w:t xml:space="preserve"> as is </w:t>
      </w:r>
      <w:r w:rsidR="00482F41" w:rsidRPr="00482F41">
        <w:rPr>
          <w:bCs/>
          <w:color w:val="000000" w:themeColor="text1"/>
          <w:lang w:val="en-GB"/>
        </w:rPr>
        <w:t xml:space="preserve">required </w:t>
      </w:r>
      <w:r w:rsidR="00137C71">
        <w:rPr>
          <w:bCs/>
          <w:color w:val="000000" w:themeColor="text1"/>
          <w:lang w:val="en-GB"/>
        </w:rPr>
        <w:t xml:space="preserve">by </w:t>
      </w:r>
      <w:r w:rsidR="00482F41" w:rsidRPr="00482F41">
        <w:rPr>
          <w:bCs/>
          <w:color w:val="000000" w:themeColor="text1"/>
          <w:lang w:val="en-GB"/>
        </w:rPr>
        <w:t xml:space="preserve">paragraphs 7.1(c) and (d) of the </w:t>
      </w:r>
      <w:r w:rsidR="00137C71">
        <w:rPr>
          <w:bCs/>
          <w:color w:val="000000" w:themeColor="text1"/>
          <w:lang w:val="en-GB"/>
        </w:rPr>
        <w:t xml:space="preserve">SFC </w:t>
      </w:r>
      <w:r w:rsidR="00482F41" w:rsidRPr="00482F41">
        <w:rPr>
          <w:bCs/>
          <w:color w:val="000000" w:themeColor="text1"/>
          <w:lang w:val="en-GB"/>
        </w:rPr>
        <w:t>Code of Conduct</w:t>
      </w:r>
      <w:r w:rsidR="00C50CDD">
        <w:rPr>
          <w:bCs/>
          <w:color w:val="000000" w:themeColor="text1"/>
          <w:lang w:val="en-GB"/>
        </w:rPr>
        <w:t>. As a result,</w:t>
      </w:r>
      <w:r w:rsidR="00482F41">
        <w:rPr>
          <w:bCs/>
          <w:color w:val="000000" w:themeColor="text1"/>
          <w:lang w:val="en-GB"/>
        </w:rPr>
        <w:t xml:space="preserve"> </w:t>
      </w:r>
      <w:r w:rsidR="00482F41" w:rsidRPr="00482F41">
        <w:rPr>
          <w:bCs/>
          <w:color w:val="000000" w:themeColor="text1"/>
          <w:lang w:val="en-GB"/>
        </w:rPr>
        <w:t>BNP and its sen</w:t>
      </w:r>
      <w:r w:rsidR="00C50CDD">
        <w:rPr>
          <w:bCs/>
          <w:color w:val="000000" w:themeColor="text1"/>
          <w:lang w:val="en-GB"/>
        </w:rPr>
        <w:t>ior management had no knowledge of</w:t>
      </w:r>
      <w:r w:rsidR="00482F41" w:rsidRPr="00482F41">
        <w:rPr>
          <w:bCs/>
          <w:color w:val="000000" w:themeColor="text1"/>
          <w:lang w:val="en-GB"/>
        </w:rPr>
        <w:t xml:space="preserve"> his discretionary operation of</w:t>
      </w:r>
      <w:r w:rsidR="00482F41">
        <w:rPr>
          <w:bCs/>
          <w:color w:val="000000" w:themeColor="text1"/>
          <w:lang w:val="en-GB"/>
        </w:rPr>
        <w:t xml:space="preserve"> </w:t>
      </w:r>
      <w:r w:rsidR="00482F41" w:rsidRPr="00482F41">
        <w:rPr>
          <w:bCs/>
          <w:color w:val="000000" w:themeColor="text1"/>
          <w:lang w:val="en-GB"/>
        </w:rPr>
        <w:t>these accounts</w:t>
      </w:r>
      <w:r w:rsidR="00482F41">
        <w:rPr>
          <w:bCs/>
          <w:color w:val="000000" w:themeColor="text1"/>
          <w:lang w:val="en-GB"/>
        </w:rPr>
        <w:t xml:space="preserve"> </w:t>
      </w:r>
      <w:r w:rsidR="00C50CDD">
        <w:rPr>
          <w:bCs/>
          <w:color w:val="000000" w:themeColor="text1"/>
          <w:lang w:val="en-GB"/>
        </w:rPr>
        <w:t xml:space="preserve">which </w:t>
      </w:r>
      <w:r w:rsidR="00482F41" w:rsidRPr="00482F41">
        <w:rPr>
          <w:bCs/>
          <w:color w:val="000000" w:themeColor="text1"/>
          <w:lang w:val="en-GB"/>
        </w:rPr>
        <w:t xml:space="preserve">deprived BNP </w:t>
      </w:r>
      <w:r w:rsidR="00C50CDD">
        <w:rPr>
          <w:bCs/>
          <w:color w:val="000000" w:themeColor="text1"/>
          <w:lang w:val="en-GB"/>
        </w:rPr>
        <w:t xml:space="preserve">of </w:t>
      </w:r>
      <w:r w:rsidR="00482F41" w:rsidRPr="00482F41">
        <w:rPr>
          <w:bCs/>
          <w:color w:val="000000" w:themeColor="text1"/>
          <w:lang w:val="en-GB"/>
        </w:rPr>
        <w:t>the opportunity to supervise his</w:t>
      </w:r>
      <w:r w:rsidR="00482F41">
        <w:rPr>
          <w:bCs/>
          <w:color w:val="000000" w:themeColor="text1"/>
          <w:lang w:val="en-GB"/>
        </w:rPr>
        <w:t xml:space="preserve"> </w:t>
      </w:r>
      <w:r w:rsidR="00482F41" w:rsidRPr="00482F41">
        <w:rPr>
          <w:bCs/>
          <w:color w:val="000000" w:themeColor="text1"/>
          <w:lang w:val="en-GB"/>
        </w:rPr>
        <w:t>discretionary trading activities in the client accounts</w:t>
      </w:r>
      <w:r w:rsidR="00482F41">
        <w:rPr>
          <w:bCs/>
          <w:color w:val="000000" w:themeColor="text1"/>
          <w:lang w:val="en-GB"/>
        </w:rPr>
        <w:t xml:space="preserve"> </w:t>
      </w:r>
      <w:r w:rsidR="00C50CDD">
        <w:rPr>
          <w:bCs/>
          <w:color w:val="000000" w:themeColor="text1"/>
          <w:lang w:val="en-GB"/>
        </w:rPr>
        <w:t xml:space="preserve">contrary to the </w:t>
      </w:r>
      <w:r w:rsidR="00482F41">
        <w:rPr>
          <w:bCs/>
          <w:color w:val="000000" w:themeColor="text1"/>
          <w:lang w:val="en-GB"/>
        </w:rPr>
        <w:t>clients’ best interest</w:t>
      </w:r>
      <w:r w:rsidR="0076506A">
        <w:rPr>
          <w:bCs/>
          <w:color w:val="000000" w:themeColor="text1"/>
          <w:lang w:val="en-GB"/>
        </w:rPr>
        <w:t>s</w:t>
      </w:r>
      <w:r w:rsidR="00482F41">
        <w:rPr>
          <w:bCs/>
          <w:color w:val="000000" w:themeColor="text1"/>
          <w:lang w:val="en-GB"/>
        </w:rPr>
        <w:t>.</w:t>
      </w:r>
      <w:r w:rsidR="00F05CEF">
        <w:rPr>
          <w:bCs/>
          <w:color w:val="000000" w:themeColor="text1"/>
          <w:lang w:val="en-GB"/>
        </w:rPr>
        <w:t xml:space="preserve"> </w:t>
      </w:r>
      <w:r w:rsidR="00F80FFE">
        <w:rPr>
          <w:bCs/>
          <w:color w:val="000000" w:themeColor="text1"/>
          <w:lang w:val="en-GB"/>
        </w:rPr>
        <w:t xml:space="preserve">Further, Kim misled BNP into believing that the order instructions </w:t>
      </w:r>
      <w:r w:rsidR="00137C71">
        <w:rPr>
          <w:bCs/>
          <w:color w:val="000000" w:themeColor="text1"/>
          <w:lang w:val="en-GB"/>
        </w:rPr>
        <w:t xml:space="preserve">given </w:t>
      </w:r>
      <w:r w:rsidR="00F80FFE">
        <w:rPr>
          <w:bCs/>
          <w:color w:val="000000" w:themeColor="text1"/>
          <w:lang w:val="en-GB"/>
        </w:rPr>
        <w:t>in the pre-signed blank instruction forms came from his clients</w:t>
      </w:r>
      <w:r w:rsidR="00137C71">
        <w:rPr>
          <w:bCs/>
          <w:color w:val="000000" w:themeColor="text1"/>
          <w:lang w:val="en-GB"/>
        </w:rPr>
        <w:t>,</w:t>
      </w:r>
      <w:r w:rsidR="00F80FFE">
        <w:rPr>
          <w:bCs/>
          <w:color w:val="000000" w:themeColor="text1"/>
          <w:lang w:val="en-GB"/>
        </w:rPr>
        <w:t xml:space="preserve"> when they </w:t>
      </w:r>
      <w:r w:rsidR="00137C71">
        <w:rPr>
          <w:bCs/>
          <w:color w:val="000000" w:themeColor="text1"/>
          <w:lang w:val="en-GB"/>
        </w:rPr>
        <w:t xml:space="preserve">were </w:t>
      </w:r>
      <w:r w:rsidR="00B80A59">
        <w:rPr>
          <w:bCs/>
          <w:color w:val="000000" w:themeColor="text1"/>
          <w:lang w:val="en-GB"/>
        </w:rPr>
        <w:t>made</w:t>
      </w:r>
      <w:r w:rsidR="00F80FFE">
        <w:rPr>
          <w:bCs/>
          <w:color w:val="000000" w:themeColor="text1"/>
          <w:lang w:val="en-GB"/>
        </w:rPr>
        <w:t xml:space="preserve"> by him </w:t>
      </w:r>
      <w:r w:rsidR="00137C71">
        <w:rPr>
          <w:bCs/>
          <w:color w:val="000000" w:themeColor="text1"/>
          <w:lang w:val="en-GB"/>
        </w:rPr>
        <w:t xml:space="preserve">acting </w:t>
      </w:r>
      <w:r w:rsidR="00F80FFE">
        <w:rPr>
          <w:bCs/>
          <w:color w:val="000000" w:themeColor="text1"/>
          <w:lang w:val="en-GB"/>
        </w:rPr>
        <w:t>discretionarily</w:t>
      </w:r>
      <w:r w:rsidR="00C50CDD">
        <w:rPr>
          <w:bCs/>
          <w:color w:val="000000" w:themeColor="text1"/>
          <w:lang w:val="en-GB"/>
        </w:rPr>
        <w:t>. He also deceived</w:t>
      </w:r>
      <w:r w:rsidR="000D7383">
        <w:rPr>
          <w:bCs/>
          <w:color w:val="000000" w:themeColor="text1"/>
          <w:lang w:val="en-GB"/>
        </w:rPr>
        <w:t xml:space="preserve"> BNP in</w:t>
      </w:r>
      <w:r w:rsidR="00F80FFE">
        <w:rPr>
          <w:bCs/>
          <w:color w:val="000000" w:themeColor="text1"/>
          <w:lang w:val="en-GB"/>
        </w:rPr>
        <w:t xml:space="preserve"> causing false call reports to be produced to BNP stating that he had met with clients when he had not. Kim’s deceptive and dishonest conduct breached General Pri</w:t>
      </w:r>
      <w:r w:rsidR="00C50CDD">
        <w:rPr>
          <w:bCs/>
          <w:color w:val="000000" w:themeColor="text1"/>
          <w:lang w:val="en-GB"/>
        </w:rPr>
        <w:t xml:space="preserve">nciple 1 of the </w:t>
      </w:r>
      <w:r w:rsidR="000D7383">
        <w:rPr>
          <w:bCs/>
          <w:color w:val="000000" w:themeColor="text1"/>
          <w:lang w:val="en-GB"/>
        </w:rPr>
        <w:t xml:space="preserve">SFC </w:t>
      </w:r>
      <w:r w:rsidR="00C50CDD">
        <w:rPr>
          <w:bCs/>
          <w:color w:val="000000" w:themeColor="text1"/>
          <w:lang w:val="en-GB"/>
        </w:rPr>
        <w:t xml:space="preserve">Code of Conduct which </w:t>
      </w:r>
      <w:r w:rsidR="00C50CDD" w:rsidRPr="00C50CDD">
        <w:rPr>
          <w:bCs/>
          <w:color w:val="000000" w:themeColor="text1"/>
          <w:lang w:val="en-GB"/>
        </w:rPr>
        <w:t>requires registered persons to act honestly, fairly, and in the best interests of their clients and the integrity of the market, in conducting business activities.</w:t>
      </w:r>
    </w:p>
    <w:p w14:paraId="6ECCAD72" w14:textId="77777777" w:rsidR="002221D0" w:rsidRDefault="000D7383" w:rsidP="00EC3CEB">
      <w:pPr>
        <w:pStyle w:val="a5"/>
        <w:rPr>
          <w:bCs/>
          <w:color w:val="000000" w:themeColor="text1"/>
          <w:lang w:val="en-GB"/>
        </w:rPr>
      </w:pPr>
      <w:r>
        <w:rPr>
          <w:bCs/>
          <w:color w:val="000000" w:themeColor="text1"/>
          <w:lang w:val="en-GB"/>
        </w:rPr>
        <w:t>Kim also failed to follow BNP’s</w:t>
      </w:r>
      <w:r w:rsidR="00002E1D">
        <w:rPr>
          <w:bCs/>
          <w:color w:val="000000" w:themeColor="text1"/>
          <w:lang w:val="en-GB"/>
        </w:rPr>
        <w:t xml:space="preserve"> risk mismatch handling process </w:t>
      </w:r>
      <w:r>
        <w:rPr>
          <w:bCs/>
          <w:color w:val="000000" w:themeColor="text1"/>
          <w:lang w:val="en-GB"/>
        </w:rPr>
        <w:t xml:space="preserve">which </w:t>
      </w:r>
      <w:r w:rsidR="00002E1D">
        <w:rPr>
          <w:bCs/>
          <w:color w:val="000000" w:themeColor="text1"/>
          <w:lang w:val="en-GB"/>
        </w:rPr>
        <w:t xml:space="preserve">required </w:t>
      </w:r>
      <w:r>
        <w:rPr>
          <w:bCs/>
          <w:color w:val="000000" w:themeColor="text1"/>
          <w:lang w:val="en-GB"/>
        </w:rPr>
        <w:t xml:space="preserve">him, before executing the transaction, </w:t>
      </w:r>
      <w:r w:rsidR="00002E1D">
        <w:rPr>
          <w:bCs/>
          <w:color w:val="000000" w:themeColor="text1"/>
          <w:lang w:val="en-GB"/>
        </w:rPr>
        <w:t>to</w:t>
      </w:r>
      <w:r>
        <w:rPr>
          <w:bCs/>
          <w:color w:val="000000" w:themeColor="text1"/>
          <w:lang w:val="en-GB"/>
        </w:rPr>
        <w:t xml:space="preserve"> </w:t>
      </w:r>
      <w:r w:rsidR="00002E1D" w:rsidRPr="00002E1D">
        <w:rPr>
          <w:bCs/>
          <w:color w:val="000000" w:themeColor="text1"/>
          <w:lang w:val="en-GB"/>
        </w:rPr>
        <w:t>explain to the client</w:t>
      </w:r>
      <w:r w:rsidR="00002E1D">
        <w:rPr>
          <w:bCs/>
          <w:color w:val="000000" w:themeColor="text1"/>
          <w:lang w:val="en-GB"/>
        </w:rPr>
        <w:t xml:space="preserve"> </w:t>
      </w:r>
      <w:r w:rsidR="00002E1D" w:rsidRPr="00002E1D">
        <w:rPr>
          <w:bCs/>
          <w:color w:val="000000" w:themeColor="text1"/>
          <w:lang w:val="en-GB"/>
        </w:rPr>
        <w:t>that the relevan</w:t>
      </w:r>
      <w:r>
        <w:rPr>
          <w:bCs/>
          <w:color w:val="000000" w:themeColor="text1"/>
          <w:lang w:val="en-GB"/>
        </w:rPr>
        <w:t>t transaction was not suitable f</w:t>
      </w:r>
      <w:r w:rsidR="00002E1D" w:rsidRPr="00002E1D">
        <w:rPr>
          <w:bCs/>
          <w:color w:val="000000" w:themeColor="text1"/>
          <w:lang w:val="en-GB"/>
        </w:rPr>
        <w:t>o</w:t>
      </w:r>
      <w:r>
        <w:rPr>
          <w:bCs/>
          <w:color w:val="000000" w:themeColor="text1"/>
          <w:lang w:val="en-GB"/>
        </w:rPr>
        <w:t>r</w:t>
      </w:r>
      <w:r w:rsidR="00002E1D" w:rsidRPr="00002E1D">
        <w:rPr>
          <w:bCs/>
          <w:color w:val="000000" w:themeColor="text1"/>
          <w:lang w:val="en-GB"/>
        </w:rPr>
        <w:t xml:space="preserve"> the client’s investment profile,</w:t>
      </w:r>
      <w:r w:rsidR="00002E1D">
        <w:rPr>
          <w:bCs/>
          <w:color w:val="000000" w:themeColor="text1"/>
          <w:lang w:val="en-GB"/>
        </w:rPr>
        <w:t xml:space="preserve"> </w:t>
      </w:r>
      <w:r>
        <w:rPr>
          <w:bCs/>
          <w:color w:val="000000" w:themeColor="text1"/>
          <w:lang w:val="en-GB"/>
        </w:rPr>
        <w:t xml:space="preserve">and to </w:t>
      </w:r>
      <w:r w:rsidR="00002E1D" w:rsidRPr="00002E1D">
        <w:rPr>
          <w:bCs/>
          <w:color w:val="000000" w:themeColor="text1"/>
          <w:lang w:val="en-GB"/>
        </w:rPr>
        <w:t>confirm with the client that he/she had made the investment decision based on</w:t>
      </w:r>
      <w:r w:rsidR="00002E1D">
        <w:rPr>
          <w:bCs/>
          <w:color w:val="000000" w:themeColor="text1"/>
          <w:lang w:val="en-GB"/>
        </w:rPr>
        <w:t xml:space="preserve"> </w:t>
      </w:r>
      <w:r w:rsidR="00002E1D" w:rsidRPr="00002E1D">
        <w:rPr>
          <w:bCs/>
          <w:color w:val="000000" w:themeColor="text1"/>
          <w:lang w:val="en-GB"/>
        </w:rPr>
        <w:t>his/her own evaluati</w:t>
      </w:r>
      <w:r>
        <w:rPr>
          <w:bCs/>
          <w:color w:val="000000" w:themeColor="text1"/>
          <w:lang w:val="en-GB"/>
        </w:rPr>
        <w:t>on without BNP’s recommendation,</w:t>
      </w:r>
      <w:r w:rsidR="00002E1D" w:rsidRPr="00002E1D">
        <w:rPr>
          <w:bCs/>
          <w:color w:val="000000" w:themeColor="text1"/>
          <w:lang w:val="en-GB"/>
        </w:rPr>
        <w:t xml:space="preserve"> understood the risks</w:t>
      </w:r>
      <w:r w:rsidR="00002E1D">
        <w:rPr>
          <w:bCs/>
          <w:color w:val="000000" w:themeColor="text1"/>
          <w:lang w:val="en-GB"/>
        </w:rPr>
        <w:t xml:space="preserve"> </w:t>
      </w:r>
      <w:r w:rsidR="00002E1D" w:rsidRPr="00002E1D">
        <w:rPr>
          <w:bCs/>
          <w:color w:val="000000" w:themeColor="text1"/>
          <w:lang w:val="en-GB"/>
        </w:rPr>
        <w:t>involved</w:t>
      </w:r>
      <w:r w:rsidR="00002E1D">
        <w:rPr>
          <w:bCs/>
          <w:color w:val="000000" w:themeColor="text1"/>
          <w:lang w:val="en-GB"/>
        </w:rPr>
        <w:t>,</w:t>
      </w:r>
      <w:r w:rsidR="00002E1D" w:rsidRPr="00002E1D">
        <w:rPr>
          <w:bCs/>
          <w:color w:val="000000" w:themeColor="text1"/>
          <w:lang w:val="en-GB"/>
        </w:rPr>
        <w:t xml:space="preserve"> and </w:t>
      </w:r>
      <w:r>
        <w:rPr>
          <w:bCs/>
          <w:color w:val="000000" w:themeColor="text1"/>
          <w:lang w:val="en-GB"/>
        </w:rPr>
        <w:t xml:space="preserve">wanted </w:t>
      </w:r>
      <w:r w:rsidR="00002E1D" w:rsidRPr="00002E1D">
        <w:rPr>
          <w:bCs/>
          <w:color w:val="000000" w:themeColor="text1"/>
          <w:lang w:val="en-GB"/>
        </w:rPr>
        <w:t>to proceed with the trade</w:t>
      </w:r>
      <w:r w:rsidR="005B5040">
        <w:rPr>
          <w:bCs/>
          <w:color w:val="000000" w:themeColor="text1"/>
          <w:lang w:val="en-GB"/>
        </w:rPr>
        <w:t xml:space="preserve">. </w:t>
      </w:r>
      <w:r>
        <w:rPr>
          <w:bCs/>
          <w:color w:val="000000" w:themeColor="text1"/>
          <w:lang w:val="en-GB"/>
        </w:rPr>
        <w:t xml:space="preserve">Instead, Kim </w:t>
      </w:r>
      <w:r>
        <w:t>deceived BNP by asking clients to pre-sign risk mismatch acknowledgement letters, creating the false appearance that the clients agreed to trade in products with risks which did not match their investment profiles, contrary to General Principle 1 and paragraph 5.2 of the SFC Code of Conduct.</w:t>
      </w:r>
      <w:r>
        <w:rPr>
          <w:bCs/>
          <w:color w:val="000000" w:themeColor="text1"/>
          <w:lang w:val="en-GB"/>
        </w:rPr>
        <w:t xml:space="preserve"> </w:t>
      </w:r>
    </w:p>
    <w:p w14:paraId="3D26D0DF" w14:textId="0BFA0B00" w:rsidR="00930E4A" w:rsidRDefault="00930E4A" w:rsidP="00EC3CEB">
      <w:pPr>
        <w:pStyle w:val="a5"/>
      </w:pPr>
      <w:r>
        <w:t>The SFC concluded that Kim was not fit and proper to be a regulated person since his conduct was de</w:t>
      </w:r>
      <w:r w:rsidR="00B47B4B">
        <w:t>ceptive and dishonest, and casted</w:t>
      </w:r>
      <w:r>
        <w:t xml:space="preserve"> doubt on his character and reliability and his ability to carry on regulated activities competently and honestly.</w:t>
      </w:r>
    </w:p>
    <w:p w14:paraId="1284B913" w14:textId="08BCB89D" w:rsidR="008E7155" w:rsidRDefault="008E7155" w:rsidP="00EC3CEB">
      <w:pPr>
        <w:pStyle w:val="a5"/>
      </w:pPr>
    </w:p>
    <w:p w14:paraId="4B03270A" w14:textId="52FD99D3" w:rsidR="008E7155" w:rsidRDefault="008E7155" w:rsidP="00EC3CEB">
      <w:pPr>
        <w:pStyle w:val="a5"/>
      </w:pPr>
    </w:p>
    <w:p w14:paraId="660322C5" w14:textId="77777777" w:rsidR="008E7155" w:rsidRDefault="008E7155" w:rsidP="00EC3CEB">
      <w:pPr>
        <w:pStyle w:val="a5"/>
      </w:pPr>
    </w:p>
    <w:p w14:paraId="6B5D86C0" w14:textId="7E077346" w:rsidR="008E7155" w:rsidRDefault="008E7155" w:rsidP="00EC3CEB">
      <w:pPr>
        <w:pStyle w:val="a5"/>
      </w:pPr>
    </w:p>
    <w:p w14:paraId="30E1C241" w14:textId="77777777" w:rsidR="008E7155" w:rsidRPr="00A41F57" w:rsidRDefault="008E7155" w:rsidP="008E7155">
      <w:pPr>
        <w:pStyle w:val="DisclaimerBold"/>
        <w:rPr>
          <w:rFonts w:ascii="Helvetica" w:hAnsi="Helvetica"/>
        </w:rPr>
      </w:pPr>
      <w:r w:rsidRPr="00F05494">
        <w:rPr>
          <w:rFonts w:ascii="Helvetica" w:hAnsi="Helvetica"/>
        </w:rPr>
        <w:lastRenderedPageBreak/>
        <w:t>This newsletter is for information purposes only.</w:t>
      </w:r>
    </w:p>
    <w:p w14:paraId="5FE60144" w14:textId="5FDE90DB" w:rsidR="008E7155" w:rsidRPr="00F05494" w:rsidRDefault="008E7155" w:rsidP="008E7155">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15CB7CC0" w14:textId="77777777" w:rsidR="008E7155" w:rsidRPr="00F05494" w:rsidRDefault="008E7155" w:rsidP="008E7155">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3A7D8C92" w14:textId="4BD03F70" w:rsidR="008E7155" w:rsidRPr="00F05494" w:rsidRDefault="008E7155" w:rsidP="008E7155">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00A41F57"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7D868711" w14:textId="77777777" w:rsidR="008E7155" w:rsidRPr="00F05494" w:rsidRDefault="008E7155" w:rsidP="008E7155">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3">
        <w:r w:rsidRPr="00F05494">
          <w:rPr>
            <w:rFonts w:ascii="Helvetica" w:hAnsi="Helvetica"/>
          </w:rPr>
          <w:t>unsubscribe@charltonslaw.com</w:t>
        </w:r>
      </w:hyperlink>
    </w:p>
    <w:p w14:paraId="2CF882B3" w14:textId="6EB40A3F" w:rsidR="008E7155" w:rsidRPr="002530D7" w:rsidRDefault="008E7155" w:rsidP="008E7155">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21</w:t>
      </w:r>
      <w:r w:rsidRPr="00F05494">
        <w:rPr>
          <w:rFonts w:ascii="Helvetica" w:hAnsi="Helvetica"/>
        </w:rPr>
        <w:t xml:space="preserve"> </w:t>
      </w:r>
      <w:r>
        <w:rPr>
          <w:rFonts w:ascii="Helvetica" w:hAnsi="Helvetica"/>
        </w:rPr>
        <w:t>April</w:t>
      </w:r>
      <w:r w:rsidRPr="00F05494">
        <w:rPr>
          <w:rFonts w:ascii="Helvetica" w:hAnsi="Helvetica"/>
        </w:rPr>
        <w:t xml:space="preserve"> 202</w:t>
      </w:r>
      <w:r>
        <w:rPr>
          <w:rFonts w:ascii="Helvetica" w:hAnsi="Helvetica"/>
        </w:rPr>
        <w:t>2</w:t>
      </w:r>
    </w:p>
    <w:p w14:paraId="7EDE4A9F" w14:textId="77777777" w:rsidR="008E7155" w:rsidRDefault="008E7155" w:rsidP="00EC3CEB">
      <w:pPr>
        <w:pStyle w:val="a5"/>
        <w:rPr>
          <w:bCs/>
          <w:color w:val="000000" w:themeColor="text1"/>
          <w:lang w:val="en-GB"/>
        </w:rPr>
      </w:pPr>
    </w:p>
    <w:p w14:paraId="1527C891" w14:textId="77777777" w:rsidR="00930E4A" w:rsidRPr="00EC3CEB" w:rsidRDefault="00930E4A" w:rsidP="00EC3CEB">
      <w:pPr>
        <w:pStyle w:val="a5"/>
        <w:rPr>
          <w:bCs/>
          <w:color w:val="000000" w:themeColor="text1"/>
          <w:lang w:val="en-GB"/>
        </w:rPr>
      </w:pPr>
    </w:p>
    <w:sectPr w:rsidR="00930E4A" w:rsidRPr="00EC3CE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B20AF" w14:textId="77777777" w:rsidR="005D0378" w:rsidRDefault="005D0378">
      <w:pPr>
        <w:spacing w:after="0"/>
      </w:pPr>
      <w:r>
        <w:separator/>
      </w:r>
    </w:p>
  </w:endnote>
  <w:endnote w:type="continuationSeparator" w:id="0">
    <w:p w14:paraId="02ABB1DF" w14:textId="77777777" w:rsidR="005D0378" w:rsidRDefault="005D0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177D" w14:textId="77777777" w:rsidR="005D0378" w:rsidRDefault="005D0378">
      <w:r>
        <w:separator/>
      </w:r>
    </w:p>
  </w:footnote>
  <w:footnote w:type="continuationSeparator" w:id="0">
    <w:p w14:paraId="4FBB20AE" w14:textId="77777777" w:rsidR="005D0378" w:rsidRDefault="005D0378">
      <w:r>
        <w:continuationSeparator/>
      </w:r>
    </w:p>
  </w:footnote>
  <w:footnote w:id="1">
    <w:p w14:paraId="738F813E" w14:textId="77777777" w:rsidR="00CA3783" w:rsidRPr="005B5040" w:rsidRDefault="00CA3783" w:rsidP="003B213C">
      <w:pPr>
        <w:pStyle w:val="ad"/>
        <w:spacing w:after="0"/>
        <w:rPr>
          <w:sz w:val="20"/>
          <w:szCs w:val="20"/>
          <w:lang w:val="en-HK"/>
        </w:rPr>
      </w:pPr>
      <w:r w:rsidRPr="005B5040">
        <w:rPr>
          <w:rStyle w:val="af3"/>
          <w:sz w:val="20"/>
          <w:szCs w:val="20"/>
        </w:rPr>
        <w:footnoteRef/>
      </w:r>
      <w:r w:rsidRPr="005B5040">
        <w:rPr>
          <w:sz w:val="20"/>
          <w:szCs w:val="20"/>
        </w:rPr>
        <w:t xml:space="preserve"> </w:t>
      </w:r>
      <w:r w:rsidRPr="005B5040">
        <w:rPr>
          <w:sz w:val="20"/>
          <w:szCs w:val="20"/>
          <w:lang w:val="en-HK"/>
        </w:rPr>
        <w:t>The Takeovers Executive refers to the Executive Director of the Corporate Finance Division of the SFC or any delegate of the Executive Director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33D289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15E449F6"/>
    <w:lvl w:ilvl="0">
      <w:start w:val="1"/>
      <w:numFmt w:val="lowerRoman"/>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170CD2DE"/>
    <w:multiLevelType w:val="multilevel"/>
    <w:tmpl w:val="F4F283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7DD26DD"/>
    <w:multiLevelType w:val="hybridMultilevel"/>
    <w:tmpl w:val="590EF05A"/>
    <w:lvl w:ilvl="0" w:tplc="98101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2007D"/>
    <w:multiLevelType w:val="hybridMultilevel"/>
    <w:tmpl w:val="C7B0288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E401"/>
    <w:multiLevelType w:val="multilevel"/>
    <w:tmpl w:val="2206C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6" w15:restartNumberingAfterBreak="0">
    <w:nsid w:val="3E672644"/>
    <w:multiLevelType w:val="hybridMultilevel"/>
    <w:tmpl w:val="DA128C76"/>
    <w:lvl w:ilvl="0" w:tplc="878EDFA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24BA0"/>
    <w:multiLevelType w:val="hybridMultilevel"/>
    <w:tmpl w:val="892CE782"/>
    <w:lvl w:ilvl="0" w:tplc="95BA7BB2">
      <w:start w:val="1"/>
      <w:numFmt w:val="bullet"/>
      <w:lvlText w:val="•"/>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61BAD"/>
    <w:multiLevelType w:val="multilevel"/>
    <w:tmpl w:val="2A80ED42"/>
    <w:lvl w:ilvl="0">
      <w:start w:val="1"/>
      <w:numFmt w:val="lowerRoman"/>
      <w:lvlText w:val="(%1)"/>
      <w:lvlJc w:val="left"/>
      <w:pPr>
        <w:tabs>
          <w:tab w:val="num" w:pos="0"/>
        </w:tabs>
        <w:ind w:left="480" w:hanging="480"/>
      </w:pPr>
      <w:rPr>
        <w:rFonts w:hint="default"/>
      </w:r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 w15:restartNumberingAfterBreak="0">
    <w:nsid w:val="4C493F2E"/>
    <w:multiLevelType w:val="hybridMultilevel"/>
    <w:tmpl w:val="35C67C54"/>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01E2A"/>
    <w:multiLevelType w:val="hybridMultilevel"/>
    <w:tmpl w:val="C1989F6C"/>
    <w:lvl w:ilvl="0" w:tplc="7CDECF6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6E75D3"/>
    <w:multiLevelType w:val="multilevel"/>
    <w:tmpl w:val="0B4CC13E"/>
    <w:lvl w:ilvl="0">
      <w:start w:val="1"/>
      <w:numFmt w:val="lowerRoman"/>
      <w:lvlText w:val="%1i."/>
      <w:lvlJc w:val="left"/>
      <w:pPr>
        <w:tabs>
          <w:tab w:val="num" w:pos="0"/>
        </w:tabs>
        <w:ind w:left="480" w:hanging="480"/>
      </w:pPr>
      <w:rPr>
        <w:rFonts w:hint="eastAsia"/>
      </w:rPr>
    </w:lvl>
    <w:lvl w:ilvl="1">
      <w:start w:val="1"/>
      <w:numFmt w:val="lowerRoman"/>
      <w:lvlText w:val="%2."/>
      <w:lvlJc w:val="left"/>
      <w:pPr>
        <w:tabs>
          <w:tab w:val="num" w:pos="720"/>
        </w:tabs>
        <w:ind w:left="1200" w:hanging="480"/>
      </w:pPr>
      <w:rPr>
        <w:rFonts w:hint="default"/>
      </w:rPr>
    </w:lvl>
    <w:lvl w:ilvl="2">
      <w:start w:val="1"/>
      <w:numFmt w:val="lowerRoman"/>
      <w:lvlText w:val="%3."/>
      <w:lvlJc w:val="left"/>
      <w:pPr>
        <w:tabs>
          <w:tab w:val="num" w:pos="1440"/>
        </w:tabs>
        <w:ind w:left="1920" w:hanging="480"/>
      </w:pPr>
      <w:rPr>
        <w:rFonts w:hint="default"/>
      </w:rPr>
    </w:lvl>
    <w:lvl w:ilvl="3">
      <w:start w:val="1"/>
      <w:numFmt w:val="lowerRoman"/>
      <w:lvlText w:val="%4."/>
      <w:lvlJc w:val="left"/>
      <w:pPr>
        <w:tabs>
          <w:tab w:val="num" w:pos="2160"/>
        </w:tabs>
        <w:ind w:left="2640" w:hanging="480"/>
      </w:pPr>
      <w:rPr>
        <w:rFonts w:hint="default"/>
      </w:rPr>
    </w:lvl>
    <w:lvl w:ilvl="4">
      <w:start w:val="1"/>
      <w:numFmt w:val="lowerRoman"/>
      <w:lvlText w:val="%5."/>
      <w:lvlJc w:val="left"/>
      <w:pPr>
        <w:tabs>
          <w:tab w:val="num" w:pos="2880"/>
        </w:tabs>
        <w:ind w:left="3360" w:hanging="480"/>
      </w:pPr>
      <w:rPr>
        <w:rFonts w:hint="default"/>
      </w:rPr>
    </w:lvl>
    <w:lvl w:ilvl="5">
      <w:start w:val="1"/>
      <w:numFmt w:val="lowerRoman"/>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lowerRoman"/>
      <w:lvlText w:val="%8."/>
      <w:lvlJc w:val="left"/>
      <w:pPr>
        <w:tabs>
          <w:tab w:val="num" w:pos="5040"/>
        </w:tabs>
        <w:ind w:left="5520" w:hanging="480"/>
      </w:pPr>
      <w:rPr>
        <w:rFonts w:hint="default"/>
      </w:rPr>
    </w:lvl>
    <w:lvl w:ilvl="8">
      <w:start w:val="1"/>
      <w:numFmt w:val="lowerRoman"/>
      <w:lvlText w:val="%9."/>
      <w:lvlJc w:val="left"/>
      <w:pPr>
        <w:tabs>
          <w:tab w:val="num" w:pos="5760"/>
        </w:tabs>
        <w:ind w:left="6240" w:hanging="480"/>
      </w:pPr>
      <w:rPr>
        <w:rFonts w:hint="default"/>
      </w:rPr>
    </w:lvl>
  </w:abstractNum>
  <w:abstractNum w:abstractNumId="12" w15:restartNumberingAfterBreak="0">
    <w:nsid w:val="71315DCA"/>
    <w:multiLevelType w:val="multilevel"/>
    <w:tmpl w:val="C694BB8A"/>
    <w:lvl w:ilvl="0">
      <w:start w:val="1"/>
      <w:numFmt w:val="lowerLetter"/>
      <w:lvlText w:val="%1."/>
      <w:lvlJc w:val="left"/>
      <w:pPr>
        <w:tabs>
          <w:tab w:val="num" w:pos="0"/>
        </w:tabs>
        <w:ind w:left="480" w:hanging="480"/>
      </w:pPr>
    </w:lvl>
    <w:lvl w:ilvl="1">
      <w:start w:val="1"/>
      <w:numFmt w:val="bullet"/>
      <w:lvlText w:val="•"/>
      <w:lvlJc w:val="left"/>
      <w:pPr>
        <w:tabs>
          <w:tab w:val="num" w:pos="720"/>
        </w:tabs>
        <w:ind w:left="1200" w:hanging="480"/>
      </w:pPr>
      <w:rPr>
        <w:rFonts w:ascii="Times New Roman" w:hAnsi="Times New Roman" w:cs="Times New Roman" w:hint="default"/>
      </w:r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3" w15:restartNumberingAfterBreak="0">
    <w:nsid w:val="7DCE2517"/>
    <w:multiLevelType w:val="hybridMultilevel"/>
    <w:tmpl w:val="918A0828"/>
    <w:lvl w:ilvl="0" w:tplc="273A3318">
      <w:start w:val="2"/>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8"/>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1"/>
  </w:num>
  <w:num w:numId="13">
    <w:abstractNumId w:val="13"/>
  </w:num>
  <w:num w:numId="14">
    <w:abstractNumId w:val="9"/>
  </w:num>
  <w:num w:numId="15">
    <w:abstractNumId w:val="7"/>
  </w:num>
  <w:num w:numId="16">
    <w:abstractNumId w:val="3"/>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E1D"/>
    <w:rsid w:val="00002EF3"/>
    <w:rsid w:val="000070D4"/>
    <w:rsid w:val="00011C8B"/>
    <w:rsid w:val="00014429"/>
    <w:rsid w:val="00016656"/>
    <w:rsid w:val="00026C09"/>
    <w:rsid w:val="000329F5"/>
    <w:rsid w:val="000330F6"/>
    <w:rsid w:val="000941A5"/>
    <w:rsid w:val="000A190C"/>
    <w:rsid w:val="000A62F7"/>
    <w:rsid w:val="000B339B"/>
    <w:rsid w:val="000D5F90"/>
    <w:rsid w:val="000D7383"/>
    <w:rsid w:val="000F6121"/>
    <w:rsid w:val="000F6F6F"/>
    <w:rsid w:val="00112755"/>
    <w:rsid w:val="00113156"/>
    <w:rsid w:val="00115464"/>
    <w:rsid w:val="001276E2"/>
    <w:rsid w:val="00137454"/>
    <w:rsid w:val="00137C71"/>
    <w:rsid w:val="0014121F"/>
    <w:rsid w:val="00143D6B"/>
    <w:rsid w:val="00147ABC"/>
    <w:rsid w:val="00163065"/>
    <w:rsid w:val="00173A19"/>
    <w:rsid w:val="00182F64"/>
    <w:rsid w:val="001835D2"/>
    <w:rsid w:val="001930F9"/>
    <w:rsid w:val="001933C3"/>
    <w:rsid w:val="001A5848"/>
    <w:rsid w:val="001B5E07"/>
    <w:rsid w:val="001C19CB"/>
    <w:rsid w:val="001C2389"/>
    <w:rsid w:val="001C5122"/>
    <w:rsid w:val="001E4304"/>
    <w:rsid w:val="001E5BC3"/>
    <w:rsid w:val="001F1CF4"/>
    <w:rsid w:val="001F2196"/>
    <w:rsid w:val="002137B7"/>
    <w:rsid w:val="002221D0"/>
    <w:rsid w:val="0025092A"/>
    <w:rsid w:val="00266991"/>
    <w:rsid w:val="00267F20"/>
    <w:rsid w:val="002705DE"/>
    <w:rsid w:val="002A2689"/>
    <w:rsid w:val="002B0980"/>
    <w:rsid w:val="002C4807"/>
    <w:rsid w:val="002D67AC"/>
    <w:rsid w:val="002E118C"/>
    <w:rsid w:val="002E1290"/>
    <w:rsid w:val="002E1C15"/>
    <w:rsid w:val="00302608"/>
    <w:rsid w:val="00302D46"/>
    <w:rsid w:val="00305401"/>
    <w:rsid w:val="00317323"/>
    <w:rsid w:val="0032494B"/>
    <w:rsid w:val="0033479E"/>
    <w:rsid w:val="00334996"/>
    <w:rsid w:val="0034245E"/>
    <w:rsid w:val="00354BE9"/>
    <w:rsid w:val="0035570E"/>
    <w:rsid w:val="0035773E"/>
    <w:rsid w:val="00377B5E"/>
    <w:rsid w:val="00390740"/>
    <w:rsid w:val="003A0607"/>
    <w:rsid w:val="003A5FDC"/>
    <w:rsid w:val="003B213C"/>
    <w:rsid w:val="003C6782"/>
    <w:rsid w:val="003C6911"/>
    <w:rsid w:val="003E75BD"/>
    <w:rsid w:val="003F5C4B"/>
    <w:rsid w:val="00415590"/>
    <w:rsid w:val="00434B92"/>
    <w:rsid w:val="00446989"/>
    <w:rsid w:val="00467387"/>
    <w:rsid w:val="0047043F"/>
    <w:rsid w:val="00482F41"/>
    <w:rsid w:val="004927B9"/>
    <w:rsid w:val="004A0A68"/>
    <w:rsid w:val="004A5A06"/>
    <w:rsid w:val="004B4CF7"/>
    <w:rsid w:val="004C354F"/>
    <w:rsid w:val="004E29B3"/>
    <w:rsid w:val="004E5806"/>
    <w:rsid w:val="004F6B86"/>
    <w:rsid w:val="00501447"/>
    <w:rsid w:val="00507364"/>
    <w:rsid w:val="00520CB6"/>
    <w:rsid w:val="00522020"/>
    <w:rsid w:val="005325B6"/>
    <w:rsid w:val="00545939"/>
    <w:rsid w:val="00550F36"/>
    <w:rsid w:val="00555B3F"/>
    <w:rsid w:val="00556EE5"/>
    <w:rsid w:val="00557554"/>
    <w:rsid w:val="005629AB"/>
    <w:rsid w:val="00571E3E"/>
    <w:rsid w:val="00586C75"/>
    <w:rsid w:val="0058748E"/>
    <w:rsid w:val="00590D07"/>
    <w:rsid w:val="00591A8D"/>
    <w:rsid w:val="0059257D"/>
    <w:rsid w:val="005B5040"/>
    <w:rsid w:val="005C6D4B"/>
    <w:rsid w:val="005D0378"/>
    <w:rsid w:val="005D0DB7"/>
    <w:rsid w:val="005D21B9"/>
    <w:rsid w:val="005E63C1"/>
    <w:rsid w:val="00604743"/>
    <w:rsid w:val="0063667F"/>
    <w:rsid w:val="00642EA6"/>
    <w:rsid w:val="00644689"/>
    <w:rsid w:val="00660683"/>
    <w:rsid w:val="00661AA7"/>
    <w:rsid w:val="00665BD0"/>
    <w:rsid w:val="00677113"/>
    <w:rsid w:val="00683AA4"/>
    <w:rsid w:val="00686510"/>
    <w:rsid w:val="00693D00"/>
    <w:rsid w:val="006C0861"/>
    <w:rsid w:val="006C0D59"/>
    <w:rsid w:val="006C1DE6"/>
    <w:rsid w:val="006C61CF"/>
    <w:rsid w:val="006D349D"/>
    <w:rsid w:val="006E06EA"/>
    <w:rsid w:val="006E6D08"/>
    <w:rsid w:val="006F3AE4"/>
    <w:rsid w:val="006F6ABC"/>
    <w:rsid w:val="006F7CEB"/>
    <w:rsid w:val="00704D3B"/>
    <w:rsid w:val="00716ACD"/>
    <w:rsid w:val="007240A6"/>
    <w:rsid w:val="00743B03"/>
    <w:rsid w:val="00746558"/>
    <w:rsid w:val="0075014A"/>
    <w:rsid w:val="00755B9C"/>
    <w:rsid w:val="0076506A"/>
    <w:rsid w:val="0077687F"/>
    <w:rsid w:val="00777680"/>
    <w:rsid w:val="00782120"/>
    <w:rsid w:val="00784D58"/>
    <w:rsid w:val="007F1E15"/>
    <w:rsid w:val="00803E8C"/>
    <w:rsid w:val="00806894"/>
    <w:rsid w:val="00806DBE"/>
    <w:rsid w:val="00810C65"/>
    <w:rsid w:val="00816785"/>
    <w:rsid w:val="00817544"/>
    <w:rsid w:val="0082051A"/>
    <w:rsid w:val="008205FD"/>
    <w:rsid w:val="00820BF7"/>
    <w:rsid w:val="00823FE9"/>
    <w:rsid w:val="00834C55"/>
    <w:rsid w:val="00842DD0"/>
    <w:rsid w:val="008478EE"/>
    <w:rsid w:val="00850E3E"/>
    <w:rsid w:val="008661CF"/>
    <w:rsid w:val="00870FFB"/>
    <w:rsid w:val="008740AB"/>
    <w:rsid w:val="008A3A7E"/>
    <w:rsid w:val="008B00FE"/>
    <w:rsid w:val="008B23E6"/>
    <w:rsid w:val="008C2F5D"/>
    <w:rsid w:val="008C42A0"/>
    <w:rsid w:val="008D0ACC"/>
    <w:rsid w:val="008D6863"/>
    <w:rsid w:val="008E2E11"/>
    <w:rsid w:val="008E4BF3"/>
    <w:rsid w:val="008E7155"/>
    <w:rsid w:val="00912F44"/>
    <w:rsid w:val="009170FC"/>
    <w:rsid w:val="00923D3D"/>
    <w:rsid w:val="009276A0"/>
    <w:rsid w:val="00930E4A"/>
    <w:rsid w:val="00952C07"/>
    <w:rsid w:val="00967544"/>
    <w:rsid w:val="00980744"/>
    <w:rsid w:val="009A2034"/>
    <w:rsid w:val="009A5D47"/>
    <w:rsid w:val="009B0706"/>
    <w:rsid w:val="009B5F01"/>
    <w:rsid w:val="009B601C"/>
    <w:rsid w:val="009C0629"/>
    <w:rsid w:val="009D406E"/>
    <w:rsid w:val="009D4685"/>
    <w:rsid w:val="009D6AAE"/>
    <w:rsid w:val="009E4D2D"/>
    <w:rsid w:val="009F53C1"/>
    <w:rsid w:val="009F61B1"/>
    <w:rsid w:val="00A10FFD"/>
    <w:rsid w:val="00A15B63"/>
    <w:rsid w:val="00A160D9"/>
    <w:rsid w:val="00A21E1F"/>
    <w:rsid w:val="00A23437"/>
    <w:rsid w:val="00A31089"/>
    <w:rsid w:val="00A41F57"/>
    <w:rsid w:val="00A6004A"/>
    <w:rsid w:val="00A67002"/>
    <w:rsid w:val="00A67551"/>
    <w:rsid w:val="00A80CD3"/>
    <w:rsid w:val="00A90E8B"/>
    <w:rsid w:val="00AA0F50"/>
    <w:rsid w:val="00AA4A19"/>
    <w:rsid w:val="00AB031A"/>
    <w:rsid w:val="00AC7018"/>
    <w:rsid w:val="00AC7179"/>
    <w:rsid w:val="00AE4133"/>
    <w:rsid w:val="00AF18A8"/>
    <w:rsid w:val="00B00615"/>
    <w:rsid w:val="00B14E68"/>
    <w:rsid w:val="00B47A07"/>
    <w:rsid w:val="00B47B4B"/>
    <w:rsid w:val="00B60314"/>
    <w:rsid w:val="00B60C66"/>
    <w:rsid w:val="00B62888"/>
    <w:rsid w:val="00B634F6"/>
    <w:rsid w:val="00B706C0"/>
    <w:rsid w:val="00B80A59"/>
    <w:rsid w:val="00B86B75"/>
    <w:rsid w:val="00B965E0"/>
    <w:rsid w:val="00B96A54"/>
    <w:rsid w:val="00B978F2"/>
    <w:rsid w:val="00B97E68"/>
    <w:rsid w:val="00BA001D"/>
    <w:rsid w:val="00BB0F08"/>
    <w:rsid w:val="00BB36E0"/>
    <w:rsid w:val="00BC48D5"/>
    <w:rsid w:val="00BE2BC8"/>
    <w:rsid w:val="00BF1AC6"/>
    <w:rsid w:val="00C137CF"/>
    <w:rsid w:val="00C16E28"/>
    <w:rsid w:val="00C17377"/>
    <w:rsid w:val="00C2654E"/>
    <w:rsid w:val="00C272CE"/>
    <w:rsid w:val="00C276C0"/>
    <w:rsid w:val="00C346E6"/>
    <w:rsid w:val="00C34E80"/>
    <w:rsid w:val="00C36279"/>
    <w:rsid w:val="00C4250A"/>
    <w:rsid w:val="00C44D10"/>
    <w:rsid w:val="00C47A77"/>
    <w:rsid w:val="00C50CDD"/>
    <w:rsid w:val="00C640EA"/>
    <w:rsid w:val="00C72DB0"/>
    <w:rsid w:val="00C770BF"/>
    <w:rsid w:val="00C8505B"/>
    <w:rsid w:val="00C865D7"/>
    <w:rsid w:val="00C91FA2"/>
    <w:rsid w:val="00C93CD0"/>
    <w:rsid w:val="00C958B1"/>
    <w:rsid w:val="00CA3783"/>
    <w:rsid w:val="00CA4EF3"/>
    <w:rsid w:val="00CA6D93"/>
    <w:rsid w:val="00CB246B"/>
    <w:rsid w:val="00CB544C"/>
    <w:rsid w:val="00CD527D"/>
    <w:rsid w:val="00CD5C68"/>
    <w:rsid w:val="00CE01B4"/>
    <w:rsid w:val="00CE2A3B"/>
    <w:rsid w:val="00CE6473"/>
    <w:rsid w:val="00CF3879"/>
    <w:rsid w:val="00CF45E5"/>
    <w:rsid w:val="00D12A1B"/>
    <w:rsid w:val="00D12A8B"/>
    <w:rsid w:val="00D33321"/>
    <w:rsid w:val="00D41096"/>
    <w:rsid w:val="00D42DE1"/>
    <w:rsid w:val="00D45554"/>
    <w:rsid w:val="00D50887"/>
    <w:rsid w:val="00D635B9"/>
    <w:rsid w:val="00D6661F"/>
    <w:rsid w:val="00D72003"/>
    <w:rsid w:val="00D95367"/>
    <w:rsid w:val="00DA5EAE"/>
    <w:rsid w:val="00DA791A"/>
    <w:rsid w:val="00DB1212"/>
    <w:rsid w:val="00DE036C"/>
    <w:rsid w:val="00DF175E"/>
    <w:rsid w:val="00E0007E"/>
    <w:rsid w:val="00E00B24"/>
    <w:rsid w:val="00E043F8"/>
    <w:rsid w:val="00E13831"/>
    <w:rsid w:val="00E272FB"/>
    <w:rsid w:val="00E315A3"/>
    <w:rsid w:val="00E432D8"/>
    <w:rsid w:val="00E4747F"/>
    <w:rsid w:val="00E55845"/>
    <w:rsid w:val="00E62C49"/>
    <w:rsid w:val="00E6313D"/>
    <w:rsid w:val="00E7150D"/>
    <w:rsid w:val="00E72BFB"/>
    <w:rsid w:val="00E93457"/>
    <w:rsid w:val="00EA0F77"/>
    <w:rsid w:val="00EA5AB7"/>
    <w:rsid w:val="00EB2D5A"/>
    <w:rsid w:val="00EC3CEB"/>
    <w:rsid w:val="00ED71F0"/>
    <w:rsid w:val="00ED7786"/>
    <w:rsid w:val="00EE351D"/>
    <w:rsid w:val="00EE5B19"/>
    <w:rsid w:val="00EE6329"/>
    <w:rsid w:val="00EE7375"/>
    <w:rsid w:val="00EF5B90"/>
    <w:rsid w:val="00F05CEF"/>
    <w:rsid w:val="00F21D03"/>
    <w:rsid w:val="00F269DF"/>
    <w:rsid w:val="00F3262C"/>
    <w:rsid w:val="00F56A1B"/>
    <w:rsid w:val="00F60D21"/>
    <w:rsid w:val="00F61645"/>
    <w:rsid w:val="00F61DEA"/>
    <w:rsid w:val="00F6491A"/>
    <w:rsid w:val="00F80FFE"/>
    <w:rsid w:val="00F81D93"/>
    <w:rsid w:val="00F9066B"/>
    <w:rsid w:val="00F926E4"/>
    <w:rsid w:val="00FB23C5"/>
    <w:rsid w:val="00FC7E36"/>
    <w:rsid w:val="00FD035A"/>
    <w:rsid w:val="00FE6A35"/>
    <w:rsid w:val="00FF1D96"/>
    <w:rsid w:val="00FF4B03"/>
    <w:rsid w:val="00FF69E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E956"/>
  <w15:docId w15:val="{6319F03A-0850-4C1F-9C55-BDC26DE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a6"/>
    <w:qFormat/>
    <w:pPr>
      <w:spacing w:before="180" w:after="180"/>
      <w:jc w:val="both"/>
    </w:pPr>
  </w:style>
  <w:style w:type="paragraph" w:styleId="a7">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8">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9">
    <w:name w:val="Subtitle"/>
    <w:basedOn w:val="a8"/>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a">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b">
    <w:name w:val="Bibliography"/>
    <w:basedOn w:val="a"/>
    <w:qFormat/>
  </w:style>
  <w:style w:type="paragraph" w:styleId="ac">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d">
    <w:name w:val="footnote text"/>
    <w:basedOn w:val="a"/>
    <w:uiPriority w:val="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e">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
    <w:name w:val="Hyperlink"/>
    <w:basedOn w:val="a0"/>
    <w:rsid w:val="00F3262C"/>
    <w:rPr>
      <w:color w:val="0000FF" w:themeColor="hyperlink"/>
      <w:u w:val="single"/>
    </w:rPr>
  </w:style>
  <w:style w:type="paragraph" w:styleId="af0">
    <w:name w:val="List Paragraph"/>
    <w:basedOn w:val="a"/>
    <w:rsid w:val="00EF5B90"/>
    <w:pPr>
      <w:ind w:left="720"/>
      <w:contextualSpacing/>
    </w:pPr>
  </w:style>
  <w:style w:type="character" w:styleId="af1">
    <w:name w:val="FollowedHyperlink"/>
    <w:basedOn w:val="a0"/>
    <w:rsid w:val="009276A0"/>
    <w:rPr>
      <w:color w:val="800080" w:themeColor="followedHyperlink"/>
      <w:u w:val="single"/>
    </w:rPr>
  </w:style>
  <w:style w:type="paragraph" w:styleId="af2">
    <w:name w:val="Revision"/>
    <w:hidden/>
    <w:semiHidden/>
    <w:rsid w:val="009D6AAE"/>
    <w:rPr>
      <w:color w:val="00000A"/>
      <w:sz w:val="24"/>
    </w:rPr>
  </w:style>
  <w:style w:type="character" w:customStyle="1" w:styleId="a6">
    <w:name w:val="Основной текст Знак"/>
    <w:basedOn w:val="a0"/>
    <w:link w:val="a5"/>
    <w:rsid w:val="005E63C1"/>
    <w:rPr>
      <w:color w:val="00000A"/>
      <w:sz w:val="24"/>
    </w:rPr>
  </w:style>
  <w:style w:type="character" w:customStyle="1" w:styleId="10">
    <w:name w:val="Неразрешенное упоминание1"/>
    <w:basedOn w:val="a0"/>
    <w:uiPriority w:val="99"/>
    <w:semiHidden/>
    <w:unhideWhenUsed/>
    <w:rsid w:val="00677113"/>
    <w:rPr>
      <w:color w:val="605E5C"/>
      <w:shd w:val="clear" w:color="auto" w:fill="E1DFDD"/>
    </w:rPr>
  </w:style>
  <w:style w:type="character" w:styleId="af3">
    <w:name w:val="footnote reference"/>
    <w:basedOn w:val="a0"/>
    <w:semiHidden/>
    <w:unhideWhenUsed/>
    <w:rsid w:val="00820BF7"/>
    <w:rPr>
      <w:vertAlign w:val="superscript"/>
    </w:rPr>
  </w:style>
  <w:style w:type="paragraph" w:styleId="af4">
    <w:name w:val="Normal (Web)"/>
    <w:basedOn w:val="a"/>
    <w:uiPriority w:val="99"/>
    <w:unhideWhenUsed/>
    <w:rsid w:val="00E4747F"/>
    <w:pPr>
      <w:spacing w:before="100" w:beforeAutospacing="1" w:after="100" w:afterAutospacing="1"/>
    </w:pPr>
    <w:rPr>
      <w:rFonts w:ascii="Times New Roman" w:eastAsia="Times New Roman" w:hAnsi="Times New Roman" w:cs="Times New Roman"/>
      <w:color w:val="auto"/>
    </w:rPr>
  </w:style>
  <w:style w:type="paragraph" w:customStyle="1" w:styleId="heading0">
    <w:name w:val="heading"/>
    <w:basedOn w:val="a"/>
    <w:rsid w:val="0058748E"/>
    <w:pPr>
      <w:spacing w:before="100" w:beforeAutospacing="1" w:after="100" w:afterAutospacing="1"/>
    </w:pPr>
    <w:rPr>
      <w:rFonts w:ascii="Times New Roman" w:eastAsia="Times New Roman" w:hAnsi="Times New Roman" w:cs="Times New Roman"/>
      <w:color w:val="auto"/>
    </w:rPr>
  </w:style>
  <w:style w:type="paragraph" w:customStyle="1" w:styleId="21">
    <w:name w:val="Цитата 21"/>
    <w:basedOn w:val="a"/>
    <w:rsid w:val="0058748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5344">
      <w:bodyDiv w:val="1"/>
      <w:marLeft w:val="0"/>
      <w:marRight w:val="0"/>
      <w:marTop w:val="0"/>
      <w:marBottom w:val="0"/>
      <w:divBdr>
        <w:top w:val="none" w:sz="0" w:space="0" w:color="auto"/>
        <w:left w:val="none" w:sz="0" w:space="0" w:color="auto"/>
        <w:bottom w:val="none" w:sz="0" w:space="0" w:color="auto"/>
        <w:right w:val="none" w:sz="0" w:space="0" w:color="auto"/>
      </w:divBdr>
      <w:divsChild>
        <w:div w:id="30230487">
          <w:blockQuote w:val="1"/>
          <w:marLeft w:val="567"/>
          <w:marRight w:val="567"/>
          <w:marTop w:val="100"/>
          <w:marBottom w:val="100"/>
          <w:divBdr>
            <w:top w:val="none" w:sz="0" w:space="0" w:color="auto"/>
            <w:left w:val="none" w:sz="0" w:space="0" w:color="auto"/>
            <w:bottom w:val="none" w:sz="0" w:space="0" w:color="auto"/>
            <w:right w:val="none" w:sz="0" w:space="0" w:color="auto"/>
          </w:divBdr>
        </w:div>
        <w:div w:id="57208170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13272409">
      <w:bodyDiv w:val="1"/>
      <w:marLeft w:val="0"/>
      <w:marRight w:val="0"/>
      <w:marTop w:val="0"/>
      <w:marBottom w:val="0"/>
      <w:divBdr>
        <w:top w:val="none" w:sz="0" w:space="0" w:color="auto"/>
        <w:left w:val="none" w:sz="0" w:space="0" w:color="auto"/>
        <w:bottom w:val="none" w:sz="0" w:space="0" w:color="auto"/>
        <w:right w:val="none" w:sz="0" w:space="0" w:color="auto"/>
      </w:divBdr>
      <w:divsChild>
        <w:div w:id="167335662">
          <w:blockQuote w:val="1"/>
          <w:marLeft w:val="567"/>
          <w:marRight w:val="567"/>
          <w:marTop w:val="100"/>
          <w:marBottom w:val="100"/>
          <w:divBdr>
            <w:top w:val="none" w:sz="0" w:space="0" w:color="auto"/>
            <w:left w:val="none" w:sz="0" w:space="0" w:color="auto"/>
            <w:bottom w:val="none" w:sz="0" w:space="0" w:color="auto"/>
            <w:right w:val="none" w:sz="0" w:space="0" w:color="auto"/>
          </w:divBdr>
        </w:div>
        <w:div w:id="466246516">
          <w:blockQuote w:val="1"/>
          <w:marLeft w:val="567"/>
          <w:marRight w:val="567"/>
          <w:marTop w:val="100"/>
          <w:marBottom w:val="100"/>
          <w:divBdr>
            <w:top w:val="none" w:sz="0" w:space="0" w:color="auto"/>
            <w:left w:val="none" w:sz="0" w:space="0" w:color="auto"/>
            <w:bottom w:val="none" w:sz="0" w:space="0" w:color="auto"/>
            <w:right w:val="none" w:sz="0" w:space="0" w:color="auto"/>
          </w:divBdr>
          <w:divsChild>
            <w:div w:id="390737124">
              <w:blockQuote w:val="1"/>
              <w:marLeft w:val="567"/>
              <w:marRight w:val="567"/>
              <w:marTop w:val="100"/>
              <w:marBottom w:val="100"/>
              <w:divBdr>
                <w:top w:val="none" w:sz="0" w:space="0" w:color="auto"/>
                <w:left w:val="none" w:sz="0" w:space="0" w:color="auto"/>
                <w:bottom w:val="none" w:sz="0" w:space="0" w:color="auto"/>
                <w:right w:val="none" w:sz="0" w:space="0" w:color="auto"/>
              </w:divBdr>
            </w:div>
            <w:div w:id="1160461867">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387463720">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967708309">
      <w:bodyDiv w:val="1"/>
      <w:marLeft w:val="0"/>
      <w:marRight w:val="0"/>
      <w:marTop w:val="0"/>
      <w:marBottom w:val="0"/>
      <w:divBdr>
        <w:top w:val="none" w:sz="0" w:space="0" w:color="auto"/>
        <w:left w:val="none" w:sz="0" w:space="0" w:color="auto"/>
        <w:bottom w:val="none" w:sz="0" w:space="0" w:color="auto"/>
        <w:right w:val="none" w:sz="0" w:space="0" w:color="auto"/>
      </w:divBdr>
    </w:div>
    <w:div w:id="1110245674">
      <w:bodyDiv w:val="1"/>
      <w:marLeft w:val="0"/>
      <w:marRight w:val="0"/>
      <w:marTop w:val="0"/>
      <w:marBottom w:val="0"/>
      <w:divBdr>
        <w:top w:val="none" w:sz="0" w:space="0" w:color="auto"/>
        <w:left w:val="none" w:sz="0" w:space="0" w:color="auto"/>
        <w:bottom w:val="none" w:sz="0" w:space="0" w:color="auto"/>
        <w:right w:val="none" w:sz="0" w:space="0" w:color="auto"/>
      </w:divBdr>
    </w:div>
    <w:div w:id="1283614309">
      <w:bodyDiv w:val="1"/>
      <w:marLeft w:val="0"/>
      <w:marRight w:val="0"/>
      <w:marTop w:val="0"/>
      <w:marBottom w:val="0"/>
      <w:divBdr>
        <w:top w:val="none" w:sz="0" w:space="0" w:color="auto"/>
        <w:left w:val="none" w:sz="0" w:space="0" w:color="auto"/>
        <w:bottom w:val="none" w:sz="0" w:space="0" w:color="auto"/>
        <w:right w:val="none" w:sz="0" w:space="0" w:color="auto"/>
      </w:divBdr>
      <w:divsChild>
        <w:div w:id="2077970319">
          <w:blockQuote w:val="1"/>
          <w:marLeft w:val="567"/>
          <w:marRight w:val="567"/>
          <w:marTop w:val="100"/>
          <w:marBottom w:val="100"/>
          <w:divBdr>
            <w:top w:val="none" w:sz="0" w:space="0" w:color="auto"/>
            <w:left w:val="none" w:sz="0" w:space="0" w:color="auto"/>
            <w:bottom w:val="none" w:sz="0" w:space="0" w:color="auto"/>
            <w:right w:val="none" w:sz="0" w:space="0" w:color="auto"/>
          </w:divBdr>
        </w:div>
      </w:divsChild>
    </w:div>
    <w:div w:id="1708293281">
      <w:bodyDiv w:val="1"/>
      <w:marLeft w:val="0"/>
      <w:marRight w:val="0"/>
      <w:marTop w:val="0"/>
      <w:marBottom w:val="0"/>
      <w:divBdr>
        <w:top w:val="none" w:sz="0" w:space="0" w:color="auto"/>
        <w:left w:val="none" w:sz="0" w:space="0" w:color="auto"/>
        <w:bottom w:val="none" w:sz="0" w:space="0" w:color="auto"/>
        <w:right w:val="none" w:sz="0" w:space="0" w:color="auto"/>
      </w:divBdr>
      <w:divsChild>
        <w:div w:id="432019929">
          <w:marLeft w:val="480"/>
          <w:marRight w:val="0"/>
          <w:marTop w:val="0"/>
          <w:marBottom w:val="80"/>
          <w:divBdr>
            <w:top w:val="none" w:sz="0" w:space="0" w:color="auto"/>
            <w:left w:val="none" w:sz="0" w:space="0" w:color="auto"/>
            <w:bottom w:val="none" w:sz="0" w:space="0" w:color="auto"/>
            <w:right w:val="none" w:sz="0" w:space="0" w:color="auto"/>
          </w:divBdr>
          <w:divsChild>
            <w:div w:id="1447113822">
              <w:marLeft w:val="0"/>
              <w:marRight w:val="0"/>
              <w:marTop w:val="0"/>
              <w:marBottom w:val="0"/>
              <w:divBdr>
                <w:top w:val="none" w:sz="0" w:space="0" w:color="auto"/>
                <w:left w:val="none" w:sz="0" w:space="0" w:color="auto"/>
                <w:bottom w:val="none" w:sz="0" w:space="0" w:color="auto"/>
                <w:right w:val="none" w:sz="0" w:space="0" w:color="auto"/>
              </w:divBdr>
            </w:div>
          </w:divsChild>
        </w:div>
        <w:div w:id="1852718700">
          <w:marLeft w:val="480"/>
          <w:marRight w:val="0"/>
          <w:marTop w:val="0"/>
          <w:marBottom w:val="80"/>
          <w:divBdr>
            <w:top w:val="none" w:sz="0" w:space="0" w:color="auto"/>
            <w:left w:val="none" w:sz="0" w:space="0" w:color="auto"/>
            <w:bottom w:val="none" w:sz="0" w:space="0" w:color="auto"/>
            <w:right w:val="none" w:sz="0" w:space="0" w:color="auto"/>
          </w:divBdr>
          <w:divsChild>
            <w:div w:id="778766019">
              <w:marLeft w:val="0"/>
              <w:marRight w:val="0"/>
              <w:marTop w:val="0"/>
              <w:marBottom w:val="0"/>
              <w:divBdr>
                <w:top w:val="none" w:sz="0" w:space="0" w:color="auto"/>
                <w:left w:val="none" w:sz="0" w:space="0" w:color="auto"/>
                <w:bottom w:val="none" w:sz="0" w:space="0" w:color="auto"/>
                <w:right w:val="none" w:sz="0" w:space="0" w:color="auto"/>
              </w:divBdr>
            </w:div>
          </w:divsChild>
        </w:div>
        <w:div w:id="1390765696">
          <w:marLeft w:val="480"/>
          <w:marRight w:val="0"/>
          <w:marTop w:val="0"/>
          <w:marBottom w:val="80"/>
          <w:divBdr>
            <w:top w:val="none" w:sz="0" w:space="0" w:color="auto"/>
            <w:left w:val="none" w:sz="0" w:space="0" w:color="auto"/>
            <w:bottom w:val="none" w:sz="0" w:space="0" w:color="auto"/>
            <w:right w:val="none" w:sz="0" w:space="0" w:color="auto"/>
          </w:divBdr>
          <w:divsChild>
            <w:div w:id="1619483937">
              <w:marLeft w:val="0"/>
              <w:marRight w:val="0"/>
              <w:marTop w:val="0"/>
              <w:marBottom w:val="0"/>
              <w:divBdr>
                <w:top w:val="none" w:sz="0" w:space="0" w:color="auto"/>
                <w:left w:val="none" w:sz="0" w:space="0" w:color="auto"/>
                <w:bottom w:val="none" w:sz="0" w:space="0" w:color="auto"/>
                <w:right w:val="none" w:sz="0" w:space="0" w:color="auto"/>
              </w:divBdr>
            </w:div>
          </w:divsChild>
        </w:div>
        <w:div w:id="1749035047">
          <w:marLeft w:val="480"/>
          <w:marRight w:val="0"/>
          <w:marTop w:val="0"/>
          <w:marBottom w:val="80"/>
          <w:divBdr>
            <w:top w:val="none" w:sz="0" w:space="0" w:color="auto"/>
            <w:left w:val="none" w:sz="0" w:space="0" w:color="auto"/>
            <w:bottom w:val="none" w:sz="0" w:space="0" w:color="auto"/>
            <w:right w:val="none" w:sz="0" w:space="0" w:color="auto"/>
          </w:divBdr>
          <w:divsChild>
            <w:div w:id="1705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and-sfc-disciplinary-actions-in-march-2022/"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c.hk/-/media/EN/files/CF/pdf/Public_censure/Executive-statement-ENG-202203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sfc.hk/TuniS/apps.sfc.hk/edistributionWeb/gateway/EN/news-and-announcements/news/openAppendix?refNo=22PR14&amp;appendix=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alref.judiciary.hk/lrs/common/search/search_result_detail_frame.jsp?DIS=142828&amp;QS=%2B&amp;TP=JU" TargetMode="External"/><Relationship Id="rId4" Type="http://schemas.openxmlformats.org/officeDocument/2006/relationships/settings" Target="settings.xml"/><Relationship Id="rId9" Type="http://schemas.openxmlformats.org/officeDocument/2006/relationships/hyperlink" Target="https://www.hkex.com.hk/-/media/HKEX-Market/Listing/Rules-and-Guidance/Disciplinary-and-Enforcement/Disciplinary-Sanctions/2022/220317_SoDa.pdf?la=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0847-705D-492D-9D8E-116A7CBF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8</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keywords/>
  <cp:lastModifiedBy>Microsoft Office User</cp:lastModifiedBy>
  <cp:revision>29</cp:revision>
  <dcterms:created xsi:type="dcterms:W3CDTF">2022-04-19T14:44:00Z</dcterms:created>
  <dcterms:modified xsi:type="dcterms:W3CDTF">2022-04-22T12:02:00Z</dcterms:modified>
</cp:coreProperties>
</file>