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A5C7A" w14:textId="2A88BAFF" w:rsidR="007E0105" w:rsidRDefault="007E0105" w:rsidP="007E0105">
      <w:pPr>
        <w:pStyle w:val="BlackStrips"/>
      </w:pPr>
      <w:proofErr w:type="spellStart"/>
      <w:r>
        <w:t>Charltons</w:t>
      </w:r>
      <w:proofErr w:type="spellEnd"/>
      <w:r>
        <w:t xml:space="preserve"> - Hong Kong Law - 01 April 2022</w:t>
      </w:r>
    </w:p>
    <w:p w14:paraId="62461617" w14:textId="4716EC6E" w:rsidR="007E0105" w:rsidRPr="007E0105" w:rsidRDefault="007338D7" w:rsidP="007E0105">
      <w:pPr>
        <w:pStyle w:val="ReadOnline"/>
        <w:rPr>
          <w:b/>
          <w:color w:val="FF0000"/>
        </w:rPr>
      </w:pPr>
      <w:hyperlink r:id="rId7">
        <w:r w:rsidR="007E0105">
          <w:t>online version</w:t>
        </w:r>
      </w:hyperlink>
    </w:p>
    <w:p w14:paraId="575CC603" w14:textId="7D8B40E9" w:rsidR="002D2B8D" w:rsidRPr="008350AE" w:rsidRDefault="00D927D8" w:rsidP="002D2B8D">
      <w:pPr>
        <w:jc w:val="center"/>
        <w:rPr>
          <w:rFonts w:ascii="Arial" w:hAnsi="Arial" w:cs="Arial"/>
          <w:b/>
          <w:color w:val="FF0000"/>
          <w:sz w:val="24"/>
          <w:szCs w:val="24"/>
        </w:rPr>
      </w:pPr>
      <w:r w:rsidRPr="008350AE">
        <w:rPr>
          <w:rFonts w:ascii="Arial" w:hAnsi="Arial" w:cs="Arial"/>
          <w:b/>
          <w:color w:val="FF0000"/>
          <w:sz w:val="24"/>
          <w:szCs w:val="24"/>
        </w:rPr>
        <w:t xml:space="preserve">HKEX </w:t>
      </w:r>
      <w:r w:rsidR="001A1DA9" w:rsidRPr="008350AE">
        <w:rPr>
          <w:rFonts w:ascii="Arial" w:hAnsi="Arial" w:cs="Arial"/>
          <w:b/>
          <w:color w:val="FF0000"/>
          <w:sz w:val="24"/>
          <w:szCs w:val="24"/>
        </w:rPr>
        <w:t>SPAC</w:t>
      </w:r>
      <w:r w:rsidR="00C03BCF">
        <w:rPr>
          <w:rFonts w:ascii="Arial" w:hAnsi="Arial" w:cs="Arial"/>
          <w:b/>
          <w:color w:val="FF0000"/>
          <w:sz w:val="24"/>
          <w:szCs w:val="24"/>
        </w:rPr>
        <w:t xml:space="preserve"> LISTING</w:t>
      </w:r>
      <w:r w:rsidR="001A1DA9" w:rsidRPr="008350AE">
        <w:rPr>
          <w:rFonts w:ascii="Arial" w:hAnsi="Arial" w:cs="Arial"/>
          <w:b/>
          <w:color w:val="FF0000"/>
          <w:sz w:val="24"/>
          <w:szCs w:val="24"/>
        </w:rPr>
        <w:t xml:space="preserve"> </w:t>
      </w:r>
      <w:r w:rsidR="002D2B8D" w:rsidRPr="008350AE">
        <w:rPr>
          <w:rFonts w:ascii="Arial" w:hAnsi="Arial" w:cs="Arial"/>
          <w:b/>
          <w:color w:val="FF0000"/>
          <w:sz w:val="24"/>
          <w:szCs w:val="24"/>
        </w:rPr>
        <w:t>UPDATE</w:t>
      </w:r>
    </w:p>
    <w:p w14:paraId="1D254DBD" w14:textId="77777777" w:rsidR="00C03BCF" w:rsidRDefault="002D2B8D" w:rsidP="001A1DA9">
      <w:pPr>
        <w:spacing w:after="0"/>
        <w:jc w:val="both"/>
        <w:rPr>
          <w:b/>
          <w:color w:val="FF0000"/>
        </w:rPr>
      </w:pPr>
      <w:r>
        <w:rPr>
          <w:b/>
          <w:color w:val="FF0000"/>
        </w:rPr>
        <w:t>First SPAC Lists on HKE</w:t>
      </w:r>
      <w:r w:rsidR="00C03BCF">
        <w:rPr>
          <w:b/>
          <w:color w:val="FF0000"/>
        </w:rPr>
        <w:t>X under New SPAC Listing Regime</w:t>
      </w:r>
    </w:p>
    <w:p w14:paraId="3B241923" w14:textId="77777777" w:rsidR="00C03BCF" w:rsidRDefault="00C03BCF" w:rsidP="001A1DA9">
      <w:pPr>
        <w:spacing w:after="0"/>
        <w:jc w:val="both"/>
        <w:rPr>
          <w:b/>
          <w:color w:val="FF0000"/>
        </w:rPr>
      </w:pPr>
    </w:p>
    <w:p w14:paraId="72E52682" w14:textId="77777777" w:rsidR="001A1DA9" w:rsidRPr="00C03BCF" w:rsidRDefault="001A1DA9" w:rsidP="001A1DA9">
      <w:pPr>
        <w:spacing w:after="0"/>
        <w:jc w:val="both"/>
        <w:rPr>
          <w:b/>
          <w:color w:val="FF0000"/>
        </w:rPr>
      </w:pPr>
      <w:r>
        <w:t>The Hong Kong Stock Exchange (</w:t>
      </w:r>
      <w:r w:rsidRPr="001A1DA9">
        <w:rPr>
          <w:b/>
        </w:rPr>
        <w:t>HKEX</w:t>
      </w:r>
      <w:r w:rsidR="002D2B8D">
        <w:t>) listed the first special purpose acquisition c</w:t>
      </w:r>
      <w:r>
        <w:t>ompany (</w:t>
      </w:r>
      <w:r w:rsidRPr="001A1DA9">
        <w:rPr>
          <w:b/>
        </w:rPr>
        <w:t>SPAC</w:t>
      </w:r>
      <w:r>
        <w:t xml:space="preserve">) on </w:t>
      </w:r>
      <w:r w:rsidR="00C03BCF">
        <w:t>its Main</w:t>
      </w:r>
      <w:r>
        <w:t xml:space="preserve"> Board on 18 March 2022 following its introduction of</w:t>
      </w:r>
      <w:r w:rsidR="000C738F">
        <w:t xml:space="preserve"> a</w:t>
      </w:r>
      <w:r>
        <w:t xml:space="preserve"> </w:t>
      </w:r>
      <w:r w:rsidR="000C738F">
        <w:t xml:space="preserve">listing regime for </w:t>
      </w:r>
      <w:r>
        <w:t>SPAC</w:t>
      </w:r>
      <w:r w:rsidR="000C738F">
        <w:t>s</w:t>
      </w:r>
      <w:r>
        <w:t xml:space="preserve"> </w:t>
      </w:r>
      <w:r w:rsidR="002D2B8D">
        <w:t>o</w:t>
      </w:r>
      <w:r>
        <w:t xml:space="preserve">n </w:t>
      </w:r>
      <w:r w:rsidR="002D2B8D">
        <w:t xml:space="preserve">1 </w:t>
      </w:r>
      <w:r>
        <w:t xml:space="preserve">January 2022. For details of the </w:t>
      </w:r>
      <w:r w:rsidR="000C738F">
        <w:t>HKEX</w:t>
      </w:r>
      <w:r w:rsidR="0099434A">
        <w:t xml:space="preserve"> </w:t>
      </w:r>
      <w:r>
        <w:t>SPAC Listing Regime, please see Charltons’ December 2021 newsletter</w:t>
      </w:r>
      <w:r w:rsidR="002D2B8D">
        <w:t>,</w:t>
      </w:r>
      <w:r>
        <w:t xml:space="preserve"> </w:t>
      </w:r>
      <w:hyperlink r:id="rId8" w:history="1">
        <w:r w:rsidRPr="00D927D8">
          <w:rPr>
            <w:rStyle w:val="a9"/>
          </w:rPr>
          <w:t>Overview of HKEX’s New SPAC Listing Regime</w:t>
        </w:r>
      </w:hyperlink>
      <w:r>
        <w:t>.</w:t>
      </w:r>
      <w:r>
        <w:rPr>
          <w:rStyle w:val="a8"/>
        </w:rPr>
        <w:footnoteReference w:id="1"/>
      </w:r>
      <w:r>
        <w:t xml:space="preserve">  </w:t>
      </w:r>
    </w:p>
    <w:p w14:paraId="5C033E6A" w14:textId="77777777" w:rsidR="00D927D8" w:rsidRDefault="00D927D8" w:rsidP="001A1DA9">
      <w:pPr>
        <w:spacing w:after="0"/>
        <w:jc w:val="both"/>
      </w:pPr>
    </w:p>
    <w:p w14:paraId="037E45A6" w14:textId="77777777" w:rsidR="00D927D8" w:rsidRDefault="00D927D8" w:rsidP="001A1DA9">
      <w:pPr>
        <w:spacing w:after="0"/>
        <w:jc w:val="both"/>
      </w:pPr>
      <w:r>
        <w:t xml:space="preserve">The first </w:t>
      </w:r>
      <w:r w:rsidR="0099434A">
        <w:t xml:space="preserve">SPAC </w:t>
      </w:r>
      <w:r>
        <w:t>to list under the HKEX Listing Rules’ new Chapter 18B</w:t>
      </w:r>
      <w:r w:rsidR="00315368">
        <w:t xml:space="preserve"> </w:t>
      </w:r>
      <w:r w:rsidR="00E95735">
        <w:t xml:space="preserve">for SPACs </w:t>
      </w:r>
      <w:r w:rsidR="0099434A">
        <w:t>wa</w:t>
      </w:r>
      <w:r w:rsidR="00315368">
        <w:t>s Aquila Acquisition Corporation</w:t>
      </w:r>
      <w:r>
        <w:t xml:space="preserve"> </w:t>
      </w:r>
      <w:r w:rsidR="00315368">
        <w:t>(</w:t>
      </w:r>
      <w:r w:rsidR="00315368" w:rsidRPr="00315368">
        <w:rPr>
          <w:b/>
        </w:rPr>
        <w:t>Aquila</w:t>
      </w:r>
      <w:r w:rsidR="00315368">
        <w:t>) which reportedly raised HK$1 billion (US$127.8 million) on its IPO,</w:t>
      </w:r>
      <w:r w:rsidR="00315368">
        <w:rPr>
          <w:rStyle w:val="a8"/>
        </w:rPr>
        <w:footnoteReference w:id="2"/>
      </w:r>
      <w:r w:rsidR="00315368">
        <w:t xml:space="preserve"> this being the minimum amount required under the HKEX Listing Rules, but marginally less than the funds raised by </w:t>
      </w:r>
      <w:r w:rsidR="00315368" w:rsidRPr="00315368">
        <w:t>Vertex Technology Acquisition</w:t>
      </w:r>
      <w:r w:rsidR="00315368">
        <w:t>’s first SPAC on the Singapore Stock Exchange in January 2022.</w:t>
      </w:r>
      <w:r w:rsidR="00315368" w:rsidRPr="00315368">
        <w:t> </w:t>
      </w:r>
      <w:r w:rsidR="004C29A9">
        <w:t xml:space="preserve">According to its prospectus, Aquila intends to </w:t>
      </w:r>
      <w:r w:rsidR="0099434A">
        <w:t xml:space="preserve">acquire </w:t>
      </w:r>
      <w:r w:rsidR="004C29A9">
        <w:t xml:space="preserve">“technology enabled companies in new economy sectors (such as green energy, life sciences, advanced technology and manufacturing) in Asia, with a focus on China”. </w:t>
      </w:r>
    </w:p>
    <w:p w14:paraId="1E429C51" w14:textId="77777777" w:rsidR="00BE694E" w:rsidRDefault="00BE694E" w:rsidP="001A1DA9">
      <w:pPr>
        <w:spacing w:after="0"/>
        <w:jc w:val="both"/>
      </w:pPr>
    </w:p>
    <w:p w14:paraId="7C738CF0" w14:textId="77777777" w:rsidR="00015C1A" w:rsidRDefault="0099434A" w:rsidP="001A1DA9">
      <w:pPr>
        <w:spacing w:after="0"/>
        <w:jc w:val="both"/>
      </w:pPr>
      <w:r>
        <w:t xml:space="preserve">However, </w:t>
      </w:r>
      <w:r w:rsidR="00BE694E">
        <w:t>Aquila</w:t>
      </w:r>
      <w:r w:rsidR="00DB1A3B">
        <w:t>’</w:t>
      </w:r>
      <w:r w:rsidR="008350AE">
        <w:t>s</w:t>
      </w:r>
      <w:r w:rsidR="00DB1A3B">
        <w:t xml:space="preserve"> stock price </w:t>
      </w:r>
      <w:r w:rsidR="00DB1A3B" w:rsidRPr="00DB1A3B">
        <w:t xml:space="preserve">dropped </w:t>
      </w:r>
      <w:r>
        <w:t>o</w:t>
      </w:r>
      <w:r w:rsidRPr="00DA1BAE">
        <w:t xml:space="preserve">n </w:t>
      </w:r>
      <w:r>
        <w:t>its</w:t>
      </w:r>
      <w:r w:rsidRPr="00DA1BAE">
        <w:t xml:space="preserve"> first trading day</w:t>
      </w:r>
      <w:r>
        <w:t xml:space="preserve"> </w:t>
      </w:r>
      <w:r w:rsidR="00DB1A3B" w:rsidRPr="00DB1A3B">
        <w:t>to</w:t>
      </w:r>
      <w:r w:rsidR="00DB1A3B">
        <w:t xml:space="preserve"> </w:t>
      </w:r>
      <w:r w:rsidR="00DB1A3B" w:rsidRPr="00DB1A3B">
        <w:t>HK$9.70</w:t>
      </w:r>
      <w:r>
        <w:t xml:space="preserve"> -</w:t>
      </w:r>
      <w:r w:rsidR="00073135">
        <w:t xml:space="preserve"> 3% lower than </w:t>
      </w:r>
      <w:r w:rsidR="008350AE">
        <w:t xml:space="preserve">its </w:t>
      </w:r>
      <w:r w:rsidR="00073135">
        <w:t>HK$10</w:t>
      </w:r>
      <w:r w:rsidRPr="0099434A">
        <w:t xml:space="preserve"> </w:t>
      </w:r>
      <w:r>
        <w:t xml:space="preserve">offer price and recorded </w:t>
      </w:r>
      <w:r w:rsidR="00027998">
        <w:t>only one live trade during the session</w:t>
      </w:r>
      <w:r w:rsidR="00073135">
        <w:t>.</w:t>
      </w:r>
      <w:r w:rsidR="00073135">
        <w:rPr>
          <w:rStyle w:val="a8"/>
        </w:rPr>
        <w:footnoteReference w:id="3"/>
      </w:r>
      <w:r w:rsidR="00073135">
        <w:t xml:space="preserve"> </w:t>
      </w:r>
      <w:r w:rsidR="00F60D44">
        <w:t xml:space="preserve">Under new </w:t>
      </w:r>
      <w:hyperlink r:id="rId9" w:history="1">
        <w:r w:rsidR="00F60D44" w:rsidRPr="00E90F69">
          <w:rPr>
            <w:rStyle w:val="a9"/>
          </w:rPr>
          <w:t>Chapter 18B</w:t>
        </w:r>
      </w:hyperlink>
      <w:r w:rsidR="005F278D">
        <w:t>,</w:t>
      </w:r>
      <w:r w:rsidR="00295215">
        <w:rPr>
          <w:rStyle w:val="a8"/>
        </w:rPr>
        <w:footnoteReference w:id="4"/>
      </w:r>
      <w:r w:rsidR="005F278D">
        <w:t xml:space="preserve"> </w:t>
      </w:r>
      <w:r w:rsidR="00F60D44" w:rsidRPr="00F60D44">
        <w:t>only professional investors are allowed to subscribe for and trade SPAC securities</w:t>
      </w:r>
      <w:r>
        <w:t xml:space="preserve"> b</w:t>
      </w:r>
      <w:r w:rsidRPr="00F60D44">
        <w:t xml:space="preserve">efore </w:t>
      </w:r>
      <w:r>
        <w:t>completion of the De-SPAC Transaction - the SPAC’s acquisition of</w:t>
      </w:r>
      <w:r w:rsidR="00996193">
        <w:t xml:space="preserve"> or merger with</w:t>
      </w:r>
      <w:r>
        <w:t xml:space="preserve"> a </w:t>
      </w:r>
      <w:r w:rsidR="00996193">
        <w:t xml:space="preserve">target operating company </w:t>
      </w:r>
      <w:r w:rsidR="008350AE">
        <w:t xml:space="preserve">or companies </w:t>
      </w:r>
      <w:r w:rsidR="00996193">
        <w:t>which meets the HKEX’s requirements for new listing applicants</w:t>
      </w:r>
      <w:r>
        <w:t>. R</w:t>
      </w:r>
      <w:r w:rsidR="00F60D44" w:rsidRPr="00F60D44">
        <w:t>etail investors are allowed to subscribe for and trade the shares of the successor company.</w:t>
      </w:r>
      <w:r w:rsidR="001812CA">
        <w:t xml:space="preserve"> </w:t>
      </w:r>
      <w:r w:rsidR="008350AE">
        <w:t>Market commentators speculated that the muted interest in Aquila’s first day trading may have been attributable to the prohibition on retail trades and lack of familiarity with SPACs.</w:t>
      </w:r>
      <w:r w:rsidR="008350AE">
        <w:rPr>
          <w:rStyle w:val="a8"/>
        </w:rPr>
        <w:footnoteReference w:id="5"/>
      </w:r>
      <w:r w:rsidR="008350AE">
        <w:t xml:space="preserve"> </w:t>
      </w:r>
      <w:r w:rsidR="00517CC8">
        <w:t>The HKEX rejected calls to allow retail participation in SPAC IPOs from a minority of respondents to its consultation proposals noting recent developments in the US</w:t>
      </w:r>
      <w:r w:rsidR="008350AE">
        <w:t>,</w:t>
      </w:r>
      <w:r w:rsidR="00517CC8">
        <w:t xml:space="preserve"> where concerns on retail participation resulted in the US House Committee on Financial Services passing a proposal in November 2021 to prohibit brokers from facilitating the transaction of, or recommending SPAC securities to</w:t>
      </w:r>
      <w:r w:rsidR="008350AE">
        <w:t>,</w:t>
      </w:r>
      <w:r w:rsidR="00517CC8">
        <w:t xml:space="preserve"> persons </w:t>
      </w:r>
      <w:r w:rsidR="008350AE">
        <w:t xml:space="preserve">other than </w:t>
      </w:r>
      <w:r w:rsidR="00517CC8">
        <w:t>“accredited investors” (essentially, professional investors), subject to limited exceptions.</w:t>
      </w:r>
      <w:r w:rsidR="00517CC8">
        <w:rPr>
          <w:rStyle w:val="a8"/>
        </w:rPr>
        <w:footnoteReference w:id="6"/>
      </w:r>
      <w:r w:rsidR="00517CC8">
        <w:t xml:space="preserve"> </w:t>
      </w:r>
    </w:p>
    <w:p w14:paraId="77F2D842" w14:textId="77777777" w:rsidR="008350AE" w:rsidRPr="008350AE" w:rsidRDefault="008350AE" w:rsidP="001A1DA9">
      <w:pPr>
        <w:spacing w:after="0"/>
        <w:jc w:val="both"/>
      </w:pPr>
    </w:p>
    <w:p w14:paraId="3A5F4C98" w14:textId="77777777" w:rsidR="008350AE" w:rsidRDefault="00575B5A" w:rsidP="001A1DA9">
      <w:pPr>
        <w:spacing w:after="0"/>
        <w:jc w:val="both"/>
        <w:rPr>
          <w:b/>
          <w:color w:val="FF0000"/>
        </w:rPr>
      </w:pPr>
      <w:r w:rsidRPr="00575B5A">
        <w:rPr>
          <w:b/>
          <w:color w:val="FF0000"/>
        </w:rPr>
        <w:t>Hon</w:t>
      </w:r>
      <w:r w:rsidR="008350AE">
        <w:rPr>
          <w:b/>
          <w:color w:val="FF0000"/>
        </w:rPr>
        <w:t>g Kong SPACs vs Singapore SPACs</w:t>
      </w:r>
    </w:p>
    <w:p w14:paraId="750A3D5B" w14:textId="77777777" w:rsidR="008350AE" w:rsidRDefault="008350AE" w:rsidP="001A1DA9">
      <w:pPr>
        <w:spacing w:after="0"/>
        <w:jc w:val="both"/>
        <w:rPr>
          <w:b/>
          <w:color w:val="FF0000"/>
        </w:rPr>
      </w:pPr>
    </w:p>
    <w:p w14:paraId="24E0B99B" w14:textId="77777777" w:rsidR="00575B5A" w:rsidRPr="008350AE" w:rsidRDefault="00575B5A" w:rsidP="001A1DA9">
      <w:pPr>
        <w:spacing w:after="0"/>
        <w:jc w:val="both"/>
        <w:rPr>
          <w:b/>
          <w:color w:val="FF0000"/>
        </w:rPr>
      </w:pPr>
      <w:r>
        <w:lastRenderedPageBreak/>
        <w:t>Hong Kong and Singapore raced last year to ad</w:t>
      </w:r>
      <w:r w:rsidR="00790177">
        <w:t xml:space="preserve">opt a SPAC listing regime in a bid to replicate New York’s  success in listing the so-called blank cheque companies and to avoid losing lucrative Asian listings </w:t>
      </w:r>
      <w:r w:rsidR="008350AE">
        <w:t xml:space="preserve">to </w:t>
      </w:r>
      <w:r w:rsidR="00790177">
        <w:t>New</w:t>
      </w:r>
      <w:r w:rsidR="008350AE">
        <w:t xml:space="preserve"> York</w:t>
      </w:r>
      <w:r w:rsidR="00790177">
        <w:t xml:space="preserve"> SPACs. Singapore’s SPAC listing regime took effect on 3 March 2021, 10 months before HKEX launched its SPAC regime.</w:t>
      </w:r>
    </w:p>
    <w:p w14:paraId="5C3D385D" w14:textId="77777777" w:rsidR="00790177" w:rsidRDefault="00790177" w:rsidP="001A1DA9">
      <w:pPr>
        <w:spacing w:after="0"/>
        <w:jc w:val="both"/>
      </w:pPr>
    </w:p>
    <w:p w14:paraId="33A82572" w14:textId="61C38697" w:rsidR="00790177" w:rsidRDefault="00790177" w:rsidP="001A1DA9">
      <w:pPr>
        <w:spacing w:after="0"/>
        <w:jc w:val="both"/>
      </w:pPr>
      <w:r>
        <w:t>Singapore’s SPAC listing regime is less restrictive than the Hong Kong regime, particularly in that it allows retail investors to participate in SPAC IPOs. Hong Kong also requires at least one of the SPAC promoters to be an SFC-licensed firm (licensed as a corporate finance adviser (Type 6) or fund manager (Type 9)</w:t>
      </w:r>
      <w:r w:rsidR="001D0A24">
        <w:t>)</w:t>
      </w:r>
      <w:r>
        <w:t xml:space="preserve">, while there is no comparable requirement for Singapore SPAC promoters. However, the deadline for completion of a De-SPAC transaction (i.e. the acquisition of a target) in Singapore is tighter at 24 months after the IPO with a possible extension of up to 12 months on meeting prescribed conditions. In Hong Kong, the deadline for completion of the De-SPAC transaction is 36 months from the SPAC IPO, which may be extended by six months with shareholders’ approval. </w:t>
      </w:r>
      <w:r w:rsidR="00293A5E">
        <w:t xml:space="preserve">Hong Kong’s relatively more stringent regime is aimed at ensuring the listing of quality companies by promoters with experience of Hong Kong’s securities market. </w:t>
      </w:r>
      <w:r>
        <w:t xml:space="preserve">  </w:t>
      </w:r>
    </w:p>
    <w:p w14:paraId="54B16233" w14:textId="77777777" w:rsidR="00790177" w:rsidRDefault="00790177" w:rsidP="00790177">
      <w:pPr>
        <w:spacing w:after="0"/>
        <w:jc w:val="both"/>
      </w:pPr>
    </w:p>
    <w:p w14:paraId="34112BEC" w14:textId="77777777" w:rsidR="00790177" w:rsidRDefault="00790177" w:rsidP="00790177">
      <w:pPr>
        <w:spacing w:after="0"/>
        <w:jc w:val="both"/>
      </w:pPr>
      <w:r>
        <w:t xml:space="preserve">There have been three SPAC IPOs on the </w:t>
      </w:r>
      <w:r w:rsidR="00293A5E">
        <w:t>Singapore Stock Exchange: t</w:t>
      </w:r>
      <w:r>
        <w:t>hese all occurred in January 2022 and no further applications to list SPACs have been filed since.</w:t>
      </w:r>
      <w:r>
        <w:rPr>
          <w:rStyle w:val="a8"/>
        </w:rPr>
        <w:footnoteReference w:id="7"/>
      </w:r>
      <w:r>
        <w:t xml:space="preserve">  </w:t>
      </w:r>
    </w:p>
    <w:p w14:paraId="11CEDE12" w14:textId="77777777" w:rsidR="00790177" w:rsidRDefault="00790177" w:rsidP="001A1DA9">
      <w:pPr>
        <w:spacing w:after="0"/>
        <w:jc w:val="both"/>
      </w:pPr>
    </w:p>
    <w:p w14:paraId="482A0A24" w14:textId="77777777" w:rsidR="00575B5A" w:rsidRDefault="00575B5A" w:rsidP="00575B5A">
      <w:pPr>
        <w:spacing w:after="0"/>
        <w:jc w:val="both"/>
      </w:pPr>
      <w:r>
        <w:t xml:space="preserve">The HKEX </w:t>
      </w:r>
      <w:r w:rsidR="00790177">
        <w:t xml:space="preserve">has seen just one completed SPAC IPO, but </w:t>
      </w:r>
      <w:r>
        <w:t xml:space="preserve">is </w:t>
      </w:r>
      <w:hyperlink r:id="rId10" w:history="1">
        <w:r w:rsidRPr="002D2B8D">
          <w:rPr>
            <w:rStyle w:val="a9"/>
          </w:rPr>
          <w:t>reportedly</w:t>
        </w:r>
      </w:hyperlink>
      <w:r>
        <w:rPr>
          <w:rStyle w:val="a8"/>
        </w:rPr>
        <w:footnoteReference w:id="8"/>
      </w:r>
      <w:r>
        <w:t xml:space="preserve"> seeing considerable interest in the new listing route and had received 10 SPAC listing applications</w:t>
      </w:r>
      <w:r w:rsidR="00293A5E">
        <w:t xml:space="preserve"> (including Aquila’s)</w:t>
      </w:r>
      <w:r>
        <w:t xml:space="preserve"> as at 17 March 2022</w:t>
      </w:r>
      <w:r w:rsidR="00293A5E">
        <w:t>.</w:t>
      </w:r>
      <w:r>
        <w:t xml:space="preserve"> </w:t>
      </w:r>
    </w:p>
    <w:p w14:paraId="0FD3EA5D" w14:textId="77777777" w:rsidR="000878C3" w:rsidRDefault="000878C3" w:rsidP="001A1DA9">
      <w:pPr>
        <w:spacing w:after="0"/>
        <w:jc w:val="both"/>
      </w:pPr>
    </w:p>
    <w:p w14:paraId="4FD298BF" w14:textId="77777777" w:rsidR="00983355" w:rsidRDefault="00293A5E" w:rsidP="001A1DA9">
      <w:pPr>
        <w:spacing w:after="0"/>
        <w:jc w:val="both"/>
      </w:pPr>
      <w:r>
        <w:t>D</w:t>
      </w:r>
      <w:r w:rsidR="000878C3">
        <w:t xml:space="preserve">espite Hong Kong’s more </w:t>
      </w:r>
      <w:r>
        <w:t xml:space="preserve">stringent </w:t>
      </w:r>
      <w:r w:rsidR="000878C3">
        <w:t>listing regime, analysts are predicting that Hong Kong will be more popular for SPAC listings than Singapore because of its proximity to mainland China and deeper liquidity.</w:t>
      </w:r>
      <w:r w:rsidR="000878C3">
        <w:rPr>
          <w:rStyle w:val="a8"/>
        </w:rPr>
        <w:footnoteReference w:id="9"/>
      </w:r>
      <w:r w:rsidR="000878C3">
        <w:t xml:space="preserve"> With around 300 private companies valued at over US$1 billion, </w:t>
      </w:r>
      <w:r>
        <w:t>more than any</w:t>
      </w:r>
      <w:r w:rsidR="008350AE">
        <w:t xml:space="preserve"> other country other than the US</w:t>
      </w:r>
      <w:r>
        <w:t xml:space="preserve">, </w:t>
      </w:r>
      <w:r w:rsidR="000878C3">
        <w:t xml:space="preserve">China </w:t>
      </w:r>
      <w:r>
        <w:t xml:space="preserve">is seen as offering an </w:t>
      </w:r>
      <w:r w:rsidR="000878C3">
        <w:t>ample supply of potential acquisition targets for Hong Kong SPACs.</w:t>
      </w:r>
      <w:r w:rsidR="000878C3">
        <w:rPr>
          <w:rStyle w:val="a8"/>
        </w:rPr>
        <w:footnoteReference w:id="10"/>
      </w:r>
      <w:r w:rsidR="000878C3">
        <w:t xml:space="preserve"> </w:t>
      </w:r>
    </w:p>
    <w:p w14:paraId="5D3AC29C" w14:textId="77777777" w:rsidR="00A418F5" w:rsidRDefault="00A418F5" w:rsidP="001A1DA9">
      <w:pPr>
        <w:spacing w:after="0"/>
        <w:jc w:val="both"/>
      </w:pPr>
    </w:p>
    <w:p w14:paraId="3248B1BD" w14:textId="77777777" w:rsidR="00D54C58" w:rsidRPr="00293A5E" w:rsidRDefault="00A418F5" w:rsidP="00293A5E">
      <w:pPr>
        <w:rPr>
          <w:rFonts w:ascii="Arial" w:hAnsi="Arial" w:cs="Arial"/>
          <w:b/>
          <w:color w:val="FF0000"/>
          <w:sz w:val="24"/>
          <w:szCs w:val="24"/>
        </w:rPr>
      </w:pPr>
      <w:r w:rsidRPr="002D2B8D">
        <w:rPr>
          <w:rFonts w:ascii="Arial" w:hAnsi="Arial" w:cs="Arial"/>
          <w:b/>
          <w:color w:val="FF0000"/>
          <w:sz w:val="24"/>
          <w:szCs w:val="24"/>
        </w:rPr>
        <w:t xml:space="preserve">CSRC Bans Chinese Banks Promoting HKEX SPACs </w:t>
      </w:r>
    </w:p>
    <w:p w14:paraId="29D77C0C" w14:textId="77777777" w:rsidR="002D2B8D" w:rsidRDefault="00293A5E" w:rsidP="001A1DA9">
      <w:pPr>
        <w:spacing w:after="0"/>
        <w:jc w:val="both"/>
      </w:pPr>
      <w:r>
        <w:t>A further indication of the risks associated with SPACs is t</w:t>
      </w:r>
      <w:r w:rsidR="00AB6F81" w:rsidRPr="00D54C58">
        <w:t>he China Securities and Regulatory Commission</w:t>
      </w:r>
      <w:r w:rsidR="00A418F5">
        <w:t>’s</w:t>
      </w:r>
      <w:r w:rsidR="005C1FA4">
        <w:t xml:space="preserve"> (</w:t>
      </w:r>
      <w:r w:rsidR="00AB6F81" w:rsidRPr="00D54C58">
        <w:rPr>
          <w:b/>
        </w:rPr>
        <w:t>CSRC</w:t>
      </w:r>
      <w:r w:rsidR="00AB6F81">
        <w:t>)</w:t>
      </w:r>
      <w:r w:rsidR="00AB6F81" w:rsidRPr="00D54C58">
        <w:t xml:space="preserve"> </w:t>
      </w:r>
      <w:r w:rsidR="00A418F5">
        <w:t xml:space="preserve">reported </w:t>
      </w:r>
      <w:r w:rsidR="00AB6F81" w:rsidRPr="001D0B3C">
        <w:t>ba</w:t>
      </w:r>
      <w:r w:rsidR="00A418F5">
        <w:t>n</w:t>
      </w:r>
      <w:r w:rsidR="00AB6F81" w:rsidRPr="001D0B3C">
        <w:t xml:space="preserve"> </w:t>
      </w:r>
      <w:r w:rsidR="00A418F5">
        <w:t xml:space="preserve">on </w:t>
      </w:r>
      <w:r w:rsidR="00AB6F81">
        <w:t>Chinese investment banks</w:t>
      </w:r>
      <w:r w:rsidR="00AB6F81" w:rsidRPr="001D0B3C">
        <w:t xml:space="preserve"> acting as promoters of</w:t>
      </w:r>
      <w:r w:rsidR="00A418F5">
        <w:t xml:space="preserve"> Hong Kong SPACs</w:t>
      </w:r>
      <w:r w:rsidR="00AB6F81">
        <w:t xml:space="preserve">. </w:t>
      </w:r>
      <w:r w:rsidR="001E2BE5">
        <w:t xml:space="preserve">Reuters </w:t>
      </w:r>
      <w:r w:rsidR="00A418F5">
        <w:t>report</w:t>
      </w:r>
      <w:r w:rsidR="001E2BE5">
        <w:t>ed</w:t>
      </w:r>
      <w:r w:rsidR="00A418F5">
        <w:t xml:space="preserve"> on 10 March 2022</w:t>
      </w:r>
      <w:r w:rsidR="00A418F5">
        <w:rPr>
          <w:rStyle w:val="a8"/>
        </w:rPr>
        <w:footnoteReference w:id="11"/>
      </w:r>
      <w:r w:rsidR="00A418F5" w:rsidRPr="00A16899">
        <w:t xml:space="preserve"> </w:t>
      </w:r>
      <w:r w:rsidR="001E2BE5">
        <w:t xml:space="preserve">that sources familiar with the matter claimed </w:t>
      </w:r>
      <w:r w:rsidR="00A418F5">
        <w:t>t</w:t>
      </w:r>
      <w:r w:rsidR="00C90B4E">
        <w:t xml:space="preserve">he </w:t>
      </w:r>
      <w:r w:rsidR="00D54C58" w:rsidRPr="00682673">
        <w:t>CSRC</w:t>
      </w:r>
      <w:r w:rsidR="00D54C58" w:rsidRPr="00D54C58">
        <w:t xml:space="preserve"> </w:t>
      </w:r>
      <w:r w:rsidR="00E72127">
        <w:t>notified Chinese</w:t>
      </w:r>
      <w:r w:rsidR="00D54C58">
        <w:t xml:space="preserve"> </w:t>
      </w:r>
      <w:r w:rsidR="00D54C58" w:rsidRPr="00D54C58">
        <w:t xml:space="preserve">investment banks </w:t>
      </w:r>
      <w:r w:rsidR="001E2BE5">
        <w:t xml:space="preserve">of the ban </w:t>
      </w:r>
      <w:r w:rsidR="00D54C58" w:rsidRPr="00D54C58">
        <w:t xml:space="preserve">earlier this year, </w:t>
      </w:r>
      <w:r>
        <w:t xml:space="preserve">a move triggered by </w:t>
      </w:r>
      <w:r w:rsidR="00D54C58" w:rsidRPr="00D54C58">
        <w:t xml:space="preserve">concerns over </w:t>
      </w:r>
      <w:r w:rsidR="001E2BE5">
        <w:t xml:space="preserve">SPAC-related </w:t>
      </w:r>
      <w:r w:rsidR="00D54C58" w:rsidRPr="00D54C58">
        <w:t>risks.</w:t>
      </w:r>
      <w:r w:rsidR="00C90B4E">
        <w:t xml:space="preserve"> </w:t>
      </w:r>
      <w:r w:rsidR="00E611CC">
        <w:t xml:space="preserve">However, according to the same sources, </w:t>
      </w:r>
      <w:r w:rsidR="004E67A5">
        <w:t xml:space="preserve">Chinese </w:t>
      </w:r>
      <w:r w:rsidR="004E67A5" w:rsidRPr="004E67A5">
        <w:t xml:space="preserve">investment banks </w:t>
      </w:r>
      <w:r w:rsidR="00E611CC">
        <w:t xml:space="preserve">are </w:t>
      </w:r>
      <w:r w:rsidR="004E67A5" w:rsidRPr="004E67A5">
        <w:t xml:space="preserve">allowed to act as advisers </w:t>
      </w:r>
      <w:r w:rsidR="00E611CC">
        <w:t>on Hong Kong SPACs, while institutions affiliated with Chinese</w:t>
      </w:r>
      <w:r w:rsidR="00620277" w:rsidRPr="00620277">
        <w:t xml:space="preserve"> commercial b</w:t>
      </w:r>
      <w:r w:rsidR="00620277">
        <w:t>anks which are</w:t>
      </w:r>
      <w:r w:rsidR="00620277" w:rsidRPr="00620277">
        <w:t xml:space="preserve"> regulated by the China Banking and Insurance Regulatory Commission </w:t>
      </w:r>
      <w:r w:rsidR="00B448AA">
        <w:t>are</w:t>
      </w:r>
      <w:r>
        <w:t xml:space="preserve"> permitt</w:t>
      </w:r>
      <w:r w:rsidR="00B448AA">
        <w:t xml:space="preserve">ed </w:t>
      </w:r>
      <w:r w:rsidR="00620277" w:rsidRPr="00620277">
        <w:t xml:space="preserve">to </w:t>
      </w:r>
      <w:r w:rsidR="00B448AA">
        <w:t xml:space="preserve">act as </w:t>
      </w:r>
      <w:r w:rsidR="00620277">
        <w:t>promoters</w:t>
      </w:r>
      <w:r w:rsidR="00E611CC" w:rsidDel="00E611CC">
        <w:t xml:space="preserve"> </w:t>
      </w:r>
      <w:r w:rsidR="00B448AA">
        <w:t>of SPACs listing on the Hong Kong Stock Exchange</w:t>
      </w:r>
      <w:r w:rsidR="00620277">
        <w:t xml:space="preserve">. </w:t>
      </w:r>
    </w:p>
    <w:p w14:paraId="4ABEB0C6" w14:textId="77777777" w:rsidR="00620277" w:rsidRDefault="00620277" w:rsidP="001A1DA9">
      <w:pPr>
        <w:spacing w:after="0"/>
        <w:jc w:val="both"/>
      </w:pPr>
    </w:p>
    <w:p w14:paraId="109082A9" w14:textId="7EDDE029" w:rsidR="0069639D" w:rsidRDefault="004860E5" w:rsidP="001A1DA9">
      <w:pPr>
        <w:spacing w:after="0"/>
        <w:jc w:val="both"/>
      </w:pPr>
      <w:r>
        <w:lastRenderedPageBreak/>
        <w:t xml:space="preserve">Chinese </w:t>
      </w:r>
      <w:r w:rsidR="004B197B" w:rsidRPr="004B197B">
        <w:t xml:space="preserve">brokerage firms have </w:t>
      </w:r>
      <w:r w:rsidR="00B448AA">
        <w:t xml:space="preserve">also </w:t>
      </w:r>
      <w:r w:rsidR="004B197B" w:rsidRPr="004B197B">
        <w:t xml:space="preserve">been lobbying the </w:t>
      </w:r>
      <w:r w:rsidR="004B197B">
        <w:t xml:space="preserve">CSRC to </w:t>
      </w:r>
      <w:r w:rsidR="00B448AA">
        <w:t xml:space="preserve">revise its </w:t>
      </w:r>
      <w:r w:rsidR="004B197B">
        <w:t>rules to allow them to act as promoters,</w:t>
      </w:r>
      <w:r w:rsidR="00735094">
        <w:t xml:space="preserve"> </w:t>
      </w:r>
      <w:r w:rsidR="00327655">
        <w:t>according to</w:t>
      </w:r>
      <w:r w:rsidR="00C60077">
        <w:t xml:space="preserve"> </w:t>
      </w:r>
      <w:r w:rsidR="00B637F8">
        <w:t>one of Reuters sources</w:t>
      </w:r>
      <w:r w:rsidR="00431622">
        <w:t>.</w:t>
      </w:r>
    </w:p>
    <w:p w14:paraId="12F141FF" w14:textId="77777777" w:rsidR="00015C1A" w:rsidRDefault="00015C1A" w:rsidP="001A1DA9">
      <w:pPr>
        <w:spacing w:after="0"/>
        <w:jc w:val="both"/>
      </w:pPr>
    </w:p>
    <w:p w14:paraId="08E1E506" w14:textId="77777777" w:rsidR="007E0105" w:rsidRPr="00F05494" w:rsidRDefault="007E0105" w:rsidP="007E0105">
      <w:pPr>
        <w:pStyle w:val="DisclaimerBold"/>
        <w:rPr>
          <w:rFonts w:ascii="Helvetica" w:hAnsi="Helvetica"/>
        </w:rPr>
      </w:pPr>
      <w:r w:rsidRPr="00F05494">
        <w:rPr>
          <w:rFonts w:ascii="Helvetica" w:hAnsi="Helvetica"/>
        </w:rPr>
        <w:t>This newsletter is for information purposes only.</w:t>
      </w:r>
    </w:p>
    <w:p w14:paraId="5D1BCC61" w14:textId="77777777" w:rsidR="007E0105" w:rsidRPr="00F05494" w:rsidRDefault="007E0105" w:rsidP="007E0105">
      <w:pPr>
        <w:pStyle w:val="Disclaimer"/>
        <w:rPr>
          <w:rFonts w:ascii="Helvetica" w:hAnsi="Helvetica"/>
        </w:rPr>
      </w:pPr>
      <w:r w:rsidRPr="00F05494">
        <w:rPr>
          <w:rFonts w:ascii="Helvetica" w:hAnsi="Helvetica"/>
        </w:rPr>
        <w:t xml:space="preserve">Its contents do not constitute legal advice and it </w:t>
      </w:r>
      <w:proofErr w:type="gramStart"/>
      <w:r w:rsidRPr="00F05494">
        <w:rPr>
          <w:rFonts w:ascii="Helvetica" w:hAnsi="Helvetica"/>
        </w:rPr>
        <w:t>should  not</w:t>
      </w:r>
      <w:proofErr w:type="gramEnd"/>
      <w:r w:rsidRPr="00F05494">
        <w:rPr>
          <w:rFonts w:ascii="Helvetica" w:hAnsi="Helvetica"/>
        </w:rPr>
        <w:t xml:space="preserve"> be regarded as a substitute for detailed advice  in individual cases.</w:t>
      </w:r>
    </w:p>
    <w:p w14:paraId="0E7C7DBB" w14:textId="77777777" w:rsidR="007E0105" w:rsidRPr="00F05494" w:rsidRDefault="007E0105" w:rsidP="007E0105">
      <w:pPr>
        <w:pStyle w:val="Disclaimer"/>
        <w:rPr>
          <w:rFonts w:ascii="Helvetica" w:hAnsi="Helvetica"/>
        </w:rPr>
      </w:pPr>
      <w:r w:rsidRPr="00F05494">
        <w:rPr>
          <w:rFonts w:ascii="Helvetica" w:hAnsi="Helvetica"/>
        </w:rPr>
        <w:t xml:space="preserve">Transmission of this information is not intended to create and receipt does not constitute a lawyer-client relationship between </w:t>
      </w:r>
      <w:proofErr w:type="spellStart"/>
      <w:r w:rsidRPr="00F05494">
        <w:rPr>
          <w:rFonts w:ascii="Helvetica" w:hAnsi="Helvetica"/>
        </w:rPr>
        <w:t>Charltons</w:t>
      </w:r>
      <w:proofErr w:type="spellEnd"/>
      <w:r w:rsidRPr="00F05494">
        <w:rPr>
          <w:rFonts w:ascii="Helvetica" w:hAnsi="Helvetica"/>
        </w:rPr>
        <w:t xml:space="preserve"> and the user or browser.</w:t>
      </w:r>
    </w:p>
    <w:p w14:paraId="58F03644" w14:textId="77777777" w:rsidR="007E0105" w:rsidRPr="00F05494" w:rsidRDefault="007E0105" w:rsidP="007E0105">
      <w:pPr>
        <w:pStyle w:val="Disclaimer"/>
        <w:rPr>
          <w:rFonts w:ascii="Helvetica" w:hAnsi="Helvetica"/>
        </w:rPr>
      </w:pPr>
      <w:proofErr w:type="spellStart"/>
      <w:r w:rsidRPr="00F05494">
        <w:rPr>
          <w:rFonts w:ascii="Helvetica" w:hAnsi="Helvetica"/>
        </w:rPr>
        <w:t>Charltons</w:t>
      </w:r>
      <w:proofErr w:type="spellEnd"/>
      <w:r w:rsidRPr="00F05494">
        <w:rPr>
          <w:rFonts w:ascii="Helvetica" w:hAnsi="Helvetica"/>
        </w:rPr>
        <w:t xml:space="preserve"> is not responsible for any </w:t>
      </w:r>
      <w:proofErr w:type="gramStart"/>
      <w:r w:rsidRPr="00F05494">
        <w:rPr>
          <w:rFonts w:ascii="Helvetica" w:hAnsi="Helvetica"/>
        </w:rPr>
        <w:t>third party</w:t>
      </w:r>
      <w:proofErr w:type="gramEnd"/>
      <w:r w:rsidRPr="00F05494">
        <w:rPr>
          <w:rFonts w:ascii="Helvetica" w:hAnsi="Helvetica"/>
        </w:rPr>
        <w:t xml:space="preserve"> content which can be accessed through the website.</w:t>
      </w:r>
    </w:p>
    <w:p w14:paraId="125EA58C" w14:textId="77777777" w:rsidR="007E0105" w:rsidRPr="00F05494" w:rsidRDefault="007E0105" w:rsidP="007E0105">
      <w:pPr>
        <w:pStyle w:val="Disclaimer"/>
        <w:rPr>
          <w:rFonts w:ascii="Helvetica" w:hAnsi="Helvetica"/>
        </w:rPr>
      </w:pPr>
      <w:r w:rsidRPr="00F05494">
        <w:rPr>
          <w:rFonts w:ascii="Helvetica" w:hAnsi="Helvetica"/>
        </w:rPr>
        <w:t xml:space="preserve">If you do not wish to receive this </w:t>
      </w:r>
      <w:proofErr w:type="gramStart"/>
      <w:r w:rsidRPr="00F05494">
        <w:rPr>
          <w:rFonts w:ascii="Helvetica" w:hAnsi="Helvetica"/>
        </w:rPr>
        <w:t>newsletter</w:t>
      </w:r>
      <w:proofErr w:type="gramEnd"/>
      <w:r w:rsidRPr="00F05494">
        <w:rPr>
          <w:rFonts w:ascii="Helvetica" w:hAnsi="Helvetica"/>
        </w:rPr>
        <w:t xml:space="preserve"> please let us know by emailing us at  </w:t>
      </w:r>
      <w:hyperlink r:id="rId11">
        <w:r w:rsidRPr="00F05494">
          <w:rPr>
            <w:rFonts w:ascii="Helvetica" w:hAnsi="Helvetica"/>
          </w:rPr>
          <w:t>unsubscribe@charltonslaw.com</w:t>
        </w:r>
      </w:hyperlink>
    </w:p>
    <w:p w14:paraId="5401B357" w14:textId="607E86C4" w:rsidR="007E0105" w:rsidRPr="002530D7" w:rsidRDefault="007E0105" w:rsidP="007E0105">
      <w:pPr>
        <w:pStyle w:val="BlackStrips"/>
        <w:rPr>
          <w:rFonts w:ascii="Helvetica" w:hAnsi="Helvetica"/>
        </w:rPr>
      </w:pPr>
      <w:proofErr w:type="spellStart"/>
      <w:r w:rsidRPr="00F05494">
        <w:rPr>
          <w:rFonts w:ascii="Helvetica" w:hAnsi="Helvetica"/>
        </w:rPr>
        <w:t>Charltons</w:t>
      </w:r>
      <w:proofErr w:type="spellEnd"/>
      <w:r w:rsidRPr="00F05494">
        <w:rPr>
          <w:rFonts w:ascii="Helvetica" w:hAnsi="Helvetica"/>
        </w:rPr>
        <w:t xml:space="preserve"> - Hong Kong Law - </w:t>
      </w:r>
      <w:r>
        <w:rPr>
          <w:rFonts w:ascii="Helvetica" w:hAnsi="Helvetica"/>
        </w:rPr>
        <w:t>01</w:t>
      </w:r>
      <w:r w:rsidRPr="00F05494">
        <w:rPr>
          <w:rFonts w:ascii="Helvetica" w:hAnsi="Helvetica"/>
        </w:rPr>
        <w:t xml:space="preserve"> </w:t>
      </w:r>
      <w:r>
        <w:rPr>
          <w:rFonts w:ascii="Helvetica" w:hAnsi="Helvetica"/>
        </w:rPr>
        <w:t>April</w:t>
      </w:r>
      <w:r w:rsidRPr="00F05494">
        <w:rPr>
          <w:rFonts w:ascii="Helvetica" w:hAnsi="Helvetica"/>
        </w:rPr>
        <w:t xml:space="preserve"> 202</w:t>
      </w:r>
      <w:r>
        <w:rPr>
          <w:rFonts w:ascii="Helvetica" w:hAnsi="Helvetica"/>
        </w:rPr>
        <w:t>2</w:t>
      </w:r>
    </w:p>
    <w:p w14:paraId="09A65354" w14:textId="77777777" w:rsidR="0069639D" w:rsidRDefault="0069639D" w:rsidP="001A1DA9">
      <w:pPr>
        <w:jc w:val="both"/>
      </w:pPr>
    </w:p>
    <w:sectPr w:rsidR="006963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24744" w14:textId="77777777" w:rsidR="007338D7" w:rsidRDefault="007338D7" w:rsidP="0069639D">
      <w:pPr>
        <w:spacing w:after="0" w:line="240" w:lineRule="auto"/>
      </w:pPr>
      <w:r>
        <w:separator/>
      </w:r>
    </w:p>
  </w:endnote>
  <w:endnote w:type="continuationSeparator" w:id="0">
    <w:p w14:paraId="609DC19F" w14:textId="77777777" w:rsidR="007338D7" w:rsidRDefault="007338D7" w:rsidP="0069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E39EA" w14:textId="77777777" w:rsidR="007338D7" w:rsidRDefault="007338D7" w:rsidP="0069639D">
      <w:pPr>
        <w:spacing w:after="0" w:line="240" w:lineRule="auto"/>
      </w:pPr>
      <w:r>
        <w:separator/>
      </w:r>
    </w:p>
  </w:footnote>
  <w:footnote w:type="continuationSeparator" w:id="0">
    <w:p w14:paraId="0C9A2B18" w14:textId="77777777" w:rsidR="007338D7" w:rsidRDefault="007338D7" w:rsidP="0069639D">
      <w:pPr>
        <w:spacing w:after="0" w:line="240" w:lineRule="auto"/>
      </w:pPr>
      <w:r>
        <w:continuationSeparator/>
      </w:r>
    </w:p>
  </w:footnote>
  <w:footnote w:id="1">
    <w:p w14:paraId="0C362AD3" w14:textId="77777777" w:rsidR="001A1DA9" w:rsidRPr="008350AE" w:rsidRDefault="001A1DA9" w:rsidP="001A1DA9">
      <w:pPr>
        <w:pStyle w:val="a6"/>
        <w:rPr>
          <w:rFonts w:ascii="Arial" w:hAnsi="Arial" w:cs="Arial"/>
        </w:rPr>
      </w:pPr>
      <w:r>
        <w:rPr>
          <w:rStyle w:val="a8"/>
        </w:rPr>
        <w:footnoteRef/>
      </w:r>
      <w:r>
        <w:t xml:space="preserve"> </w:t>
      </w:r>
      <w:r w:rsidR="00D927D8" w:rsidRPr="008350AE">
        <w:rPr>
          <w:rFonts w:ascii="Arial" w:hAnsi="Arial" w:cs="Arial"/>
        </w:rPr>
        <w:t xml:space="preserve">Charltons’ Overview of HKEX’s New SPAC Listing Regime at </w:t>
      </w:r>
      <w:hyperlink r:id="rId1" w:history="1">
        <w:r w:rsidRPr="008350AE">
          <w:rPr>
            <w:rStyle w:val="a9"/>
            <w:rFonts w:ascii="Arial" w:hAnsi="Arial" w:cs="Arial"/>
          </w:rPr>
          <w:t>https://www.charltonslaw.com/overview-of-hkex-new-spac-listing-regime/</w:t>
        </w:r>
      </w:hyperlink>
    </w:p>
  </w:footnote>
  <w:footnote w:id="2">
    <w:p w14:paraId="15159973" w14:textId="77777777" w:rsidR="00315368" w:rsidRPr="008350AE" w:rsidRDefault="00315368">
      <w:pPr>
        <w:pStyle w:val="a6"/>
        <w:rPr>
          <w:rFonts w:ascii="Arial" w:hAnsi="Arial" w:cs="Arial"/>
        </w:rPr>
      </w:pPr>
      <w:r w:rsidRPr="008350AE">
        <w:rPr>
          <w:rStyle w:val="a8"/>
          <w:rFonts w:ascii="Arial" w:hAnsi="Arial" w:cs="Arial"/>
        </w:rPr>
        <w:footnoteRef/>
      </w:r>
      <w:r w:rsidRPr="008350AE">
        <w:rPr>
          <w:rFonts w:ascii="Arial" w:hAnsi="Arial" w:cs="Arial"/>
        </w:rPr>
        <w:t xml:space="preserve"> Nikkei Asia at https://asia.nikkei.com/Business/Markets/IPO/Hong-Kong-s-first-SPAC-gets-tepid-welcome-from-investors</w:t>
      </w:r>
    </w:p>
  </w:footnote>
  <w:footnote w:id="3">
    <w:p w14:paraId="78AC9E7A" w14:textId="77777777" w:rsidR="00073135" w:rsidRDefault="00073135">
      <w:pPr>
        <w:pStyle w:val="a6"/>
      </w:pPr>
      <w:r>
        <w:rPr>
          <w:rStyle w:val="a8"/>
        </w:rPr>
        <w:footnoteRef/>
      </w:r>
      <w:r>
        <w:t xml:space="preserve"> </w:t>
      </w:r>
      <w:r w:rsidRPr="008350AE">
        <w:rPr>
          <w:rFonts w:ascii="Arial" w:hAnsi="Arial" w:cs="Arial"/>
        </w:rPr>
        <w:t xml:space="preserve">Reuters at </w:t>
      </w:r>
      <w:hyperlink r:id="rId2" w:history="1">
        <w:r w:rsidRPr="008350AE">
          <w:rPr>
            <w:rStyle w:val="a9"/>
            <w:rFonts w:ascii="Arial" w:hAnsi="Arial" w:cs="Arial"/>
          </w:rPr>
          <w:t>https://www.reuters.com/world/asia-pacific/hong-kongs-first-spac-listing-sees-aquila-shares-slip-2022-03-18/</w:t>
        </w:r>
      </w:hyperlink>
    </w:p>
  </w:footnote>
  <w:footnote w:id="4">
    <w:p w14:paraId="11489606" w14:textId="77777777" w:rsidR="00295215" w:rsidRDefault="00295215">
      <w:pPr>
        <w:pStyle w:val="a6"/>
      </w:pPr>
      <w:r>
        <w:rPr>
          <w:rStyle w:val="a8"/>
        </w:rPr>
        <w:footnoteRef/>
      </w:r>
      <w:r>
        <w:t xml:space="preserve"> </w:t>
      </w:r>
      <w:r w:rsidRPr="008350AE">
        <w:rPr>
          <w:rFonts w:ascii="Arial" w:hAnsi="Arial" w:cs="Arial"/>
        </w:rPr>
        <w:t xml:space="preserve">HKEX Listing Rules’ new Chapter 18B at </w:t>
      </w:r>
      <w:hyperlink r:id="rId3" w:history="1">
        <w:r w:rsidRPr="008350AE">
          <w:rPr>
            <w:rStyle w:val="a9"/>
            <w:rFonts w:ascii="Arial" w:hAnsi="Arial" w:cs="Arial"/>
          </w:rPr>
          <w:t>https://en-rules.hkex.com.hk/sites/default/files/net_file_store/HKEX4476_5770_VER18989.pdf</w:t>
        </w:r>
      </w:hyperlink>
    </w:p>
  </w:footnote>
  <w:footnote w:id="5">
    <w:p w14:paraId="28B026A5" w14:textId="082C59FE" w:rsidR="008350AE" w:rsidRDefault="008350AE" w:rsidP="008350AE">
      <w:pPr>
        <w:pStyle w:val="a6"/>
      </w:pPr>
      <w:r>
        <w:rPr>
          <w:rStyle w:val="a8"/>
        </w:rPr>
        <w:footnoteRef/>
      </w:r>
      <w:r>
        <w:t xml:space="preserve"> </w:t>
      </w:r>
      <w:r w:rsidRPr="008350AE">
        <w:rPr>
          <w:rFonts w:ascii="Arial" w:hAnsi="Arial" w:cs="Arial"/>
        </w:rPr>
        <w:t xml:space="preserve">Reuters at note </w:t>
      </w:r>
      <w:r w:rsidR="000662E3">
        <w:rPr>
          <w:rFonts w:ascii="Arial" w:hAnsi="Arial" w:cs="Arial"/>
          <w:lang w:val="ru-RU"/>
        </w:rPr>
        <w:t>3</w:t>
      </w:r>
      <w:r w:rsidRPr="008350AE">
        <w:rPr>
          <w:rFonts w:ascii="Arial" w:hAnsi="Arial" w:cs="Arial"/>
        </w:rPr>
        <w:t xml:space="preserve"> supra</w:t>
      </w:r>
    </w:p>
  </w:footnote>
  <w:footnote w:id="6">
    <w:p w14:paraId="08C73FD7" w14:textId="77777777" w:rsidR="00517CC8" w:rsidRDefault="00517CC8">
      <w:pPr>
        <w:pStyle w:val="a6"/>
      </w:pPr>
      <w:r>
        <w:rPr>
          <w:rStyle w:val="a8"/>
        </w:rPr>
        <w:footnoteRef/>
      </w:r>
      <w:r>
        <w:t xml:space="preserve"> </w:t>
      </w:r>
      <w:r w:rsidRPr="008350AE">
        <w:rPr>
          <w:rFonts w:ascii="Arial" w:hAnsi="Arial" w:cs="Arial"/>
        </w:rPr>
        <w:t xml:space="preserve">HKEX Consultation Conclusions </w:t>
      </w:r>
      <w:r w:rsidR="008350AE" w:rsidRPr="008350AE">
        <w:rPr>
          <w:rFonts w:ascii="Arial" w:hAnsi="Arial" w:cs="Arial"/>
        </w:rPr>
        <w:t>on Special Purpose Acquisition Companies at para 18</w:t>
      </w:r>
    </w:p>
  </w:footnote>
  <w:footnote w:id="7">
    <w:p w14:paraId="5EE8E1E9" w14:textId="77777777" w:rsidR="00790177" w:rsidRDefault="00790177" w:rsidP="00790177">
      <w:pPr>
        <w:pStyle w:val="a6"/>
      </w:pPr>
      <w:r>
        <w:rPr>
          <w:rStyle w:val="a8"/>
        </w:rPr>
        <w:footnoteRef/>
      </w:r>
      <w:r>
        <w:t xml:space="preserve"> </w:t>
      </w:r>
      <w:r w:rsidRPr="008350AE">
        <w:rPr>
          <w:rFonts w:ascii="Arial" w:hAnsi="Arial" w:cs="Arial"/>
        </w:rPr>
        <w:t>Financial Times at https://www.ft.com/content/620945a2-301f-44bc-9096-a8317a4b4a5e</w:t>
      </w:r>
    </w:p>
  </w:footnote>
  <w:footnote w:id="8">
    <w:p w14:paraId="272F9A70" w14:textId="77777777" w:rsidR="00575B5A" w:rsidRPr="008350AE" w:rsidRDefault="00575B5A" w:rsidP="00575B5A">
      <w:pPr>
        <w:pStyle w:val="a6"/>
        <w:rPr>
          <w:rFonts w:ascii="Arial" w:hAnsi="Arial" w:cs="Arial"/>
        </w:rPr>
      </w:pPr>
      <w:r>
        <w:rPr>
          <w:rStyle w:val="a8"/>
        </w:rPr>
        <w:footnoteRef/>
      </w:r>
      <w:r>
        <w:t xml:space="preserve"> </w:t>
      </w:r>
      <w:r w:rsidRPr="008350AE">
        <w:rPr>
          <w:rFonts w:ascii="Arial" w:hAnsi="Arial" w:cs="Arial"/>
        </w:rPr>
        <w:t>HKEX Welcomes First SPAC Listing at https://www.hkex.com.hk/News/News-Release/2022/220318news?sc_lang=en</w:t>
      </w:r>
    </w:p>
  </w:footnote>
  <w:footnote w:id="9">
    <w:p w14:paraId="684478A7" w14:textId="77777777" w:rsidR="000878C3" w:rsidRDefault="000878C3">
      <w:pPr>
        <w:pStyle w:val="a6"/>
      </w:pPr>
      <w:r>
        <w:rPr>
          <w:rStyle w:val="a8"/>
        </w:rPr>
        <w:footnoteRef/>
      </w:r>
      <w:r>
        <w:t xml:space="preserve"> </w:t>
      </w:r>
      <w:r w:rsidRPr="008350AE">
        <w:rPr>
          <w:rFonts w:ascii="Arial" w:hAnsi="Arial" w:cs="Arial"/>
        </w:rPr>
        <w:t>Ibid.</w:t>
      </w:r>
    </w:p>
  </w:footnote>
  <w:footnote w:id="10">
    <w:p w14:paraId="25D580D3" w14:textId="77777777" w:rsidR="000878C3" w:rsidRDefault="000878C3">
      <w:pPr>
        <w:pStyle w:val="a6"/>
      </w:pPr>
      <w:r>
        <w:rPr>
          <w:rStyle w:val="a8"/>
        </w:rPr>
        <w:footnoteRef/>
      </w:r>
      <w:r>
        <w:t xml:space="preserve"> </w:t>
      </w:r>
      <w:r w:rsidRPr="008350AE">
        <w:rPr>
          <w:rFonts w:ascii="Arial" w:hAnsi="Arial" w:cs="Arial"/>
        </w:rPr>
        <w:t>Ibid.</w:t>
      </w:r>
    </w:p>
  </w:footnote>
  <w:footnote w:id="11">
    <w:p w14:paraId="0ABBF68C" w14:textId="77777777" w:rsidR="00A418F5" w:rsidRDefault="00A418F5" w:rsidP="00A418F5">
      <w:pPr>
        <w:pStyle w:val="a6"/>
      </w:pPr>
      <w:r>
        <w:rPr>
          <w:rStyle w:val="a8"/>
        </w:rPr>
        <w:footnoteRef/>
      </w:r>
      <w:r w:rsidR="008350AE">
        <w:rPr>
          <w:rFonts w:ascii="Arial" w:hAnsi="Arial" w:cs="Arial"/>
        </w:rPr>
        <w:t xml:space="preserve"> </w:t>
      </w:r>
      <w:r w:rsidRPr="008350AE">
        <w:rPr>
          <w:rFonts w:ascii="Arial" w:hAnsi="Arial" w:cs="Arial"/>
        </w:rPr>
        <w:t xml:space="preserve">Reuters at </w:t>
      </w:r>
      <w:hyperlink r:id="rId4" w:history="1">
        <w:r w:rsidRPr="008350AE">
          <w:rPr>
            <w:rStyle w:val="a9"/>
            <w:rFonts w:ascii="Arial" w:hAnsi="Arial" w:cs="Arial"/>
          </w:rPr>
          <w:t>https://www.reuters.com/markets/us/china-bars-mainland-brokers-promoting-spac-deals-hong-kong-sources-2022-03-10/</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5A"/>
    <w:rsid w:val="00015C1A"/>
    <w:rsid w:val="00027998"/>
    <w:rsid w:val="00044D23"/>
    <w:rsid w:val="000662E3"/>
    <w:rsid w:val="00071073"/>
    <w:rsid w:val="00073135"/>
    <w:rsid w:val="000878C3"/>
    <w:rsid w:val="000C738F"/>
    <w:rsid w:val="000E6910"/>
    <w:rsid w:val="0010220D"/>
    <w:rsid w:val="001812CA"/>
    <w:rsid w:val="001A1DA9"/>
    <w:rsid w:val="001B101A"/>
    <w:rsid w:val="001D0A24"/>
    <w:rsid w:val="001D0B3C"/>
    <w:rsid w:val="001E2BE5"/>
    <w:rsid w:val="00260ACE"/>
    <w:rsid w:val="00293A5E"/>
    <w:rsid w:val="00295215"/>
    <w:rsid w:val="002D2B8D"/>
    <w:rsid w:val="00315368"/>
    <w:rsid w:val="00327655"/>
    <w:rsid w:val="003877BA"/>
    <w:rsid w:val="00431622"/>
    <w:rsid w:val="00431821"/>
    <w:rsid w:val="004733C5"/>
    <w:rsid w:val="004860E5"/>
    <w:rsid w:val="004B197B"/>
    <w:rsid w:val="004C29A9"/>
    <w:rsid w:val="004C3F5D"/>
    <w:rsid w:val="004E67A5"/>
    <w:rsid w:val="004F3623"/>
    <w:rsid w:val="00517CC8"/>
    <w:rsid w:val="00535949"/>
    <w:rsid w:val="00575B5A"/>
    <w:rsid w:val="005C1FA4"/>
    <w:rsid w:val="005F278D"/>
    <w:rsid w:val="00620277"/>
    <w:rsid w:val="006654C8"/>
    <w:rsid w:val="00682673"/>
    <w:rsid w:val="0068700B"/>
    <w:rsid w:val="006916B0"/>
    <w:rsid w:val="0069639D"/>
    <w:rsid w:val="007338D7"/>
    <w:rsid w:val="00735094"/>
    <w:rsid w:val="00790177"/>
    <w:rsid w:val="007A731A"/>
    <w:rsid w:val="007E0105"/>
    <w:rsid w:val="008025A1"/>
    <w:rsid w:val="008350AE"/>
    <w:rsid w:val="00856D2C"/>
    <w:rsid w:val="0087755E"/>
    <w:rsid w:val="008A5424"/>
    <w:rsid w:val="00953BEC"/>
    <w:rsid w:val="009774CE"/>
    <w:rsid w:val="00983355"/>
    <w:rsid w:val="0099434A"/>
    <w:rsid w:val="00996193"/>
    <w:rsid w:val="009C6DFC"/>
    <w:rsid w:val="009D0244"/>
    <w:rsid w:val="00A16899"/>
    <w:rsid w:val="00A418F5"/>
    <w:rsid w:val="00A8135A"/>
    <w:rsid w:val="00AB6F81"/>
    <w:rsid w:val="00AC5609"/>
    <w:rsid w:val="00AD1C7C"/>
    <w:rsid w:val="00B1557B"/>
    <w:rsid w:val="00B448AA"/>
    <w:rsid w:val="00B637F8"/>
    <w:rsid w:val="00B77FF4"/>
    <w:rsid w:val="00BD6F4E"/>
    <w:rsid w:val="00BE694E"/>
    <w:rsid w:val="00C03BCF"/>
    <w:rsid w:val="00C60077"/>
    <w:rsid w:val="00C605B4"/>
    <w:rsid w:val="00C90B4E"/>
    <w:rsid w:val="00C9347D"/>
    <w:rsid w:val="00D53161"/>
    <w:rsid w:val="00D54C58"/>
    <w:rsid w:val="00D927D8"/>
    <w:rsid w:val="00DA1BAE"/>
    <w:rsid w:val="00DB01E4"/>
    <w:rsid w:val="00DB1A3B"/>
    <w:rsid w:val="00E611CC"/>
    <w:rsid w:val="00E72127"/>
    <w:rsid w:val="00E90F69"/>
    <w:rsid w:val="00E95735"/>
    <w:rsid w:val="00E968A4"/>
    <w:rsid w:val="00F15113"/>
    <w:rsid w:val="00F60D44"/>
    <w:rsid w:val="00F706E5"/>
    <w:rsid w:val="00FF5D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60CA"/>
  <w15:chartTrackingRefBased/>
  <w15:docId w15:val="{F9ABCF70-FD1F-4DBC-B7CC-9CB06A80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9639D"/>
    <w:pPr>
      <w:spacing w:after="0" w:line="240" w:lineRule="auto"/>
    </w:pPr>
    <w:rPr>
      <w:sz w:val="20"/>
      <w:szCs w:val="20"/>
    </w:rPr>
  </w:style>
  <w:style w:type="character" w:customStyle="1" w:styleId="a4">
    <w:name w:val="Текст концевой сноски Знак"/>
    <w:basedOn w:val="a0"/>
    <w:link w:val="a3"/>
    <w:uiPriority w:val="99"/>
    <w:semiHidden/>
    <w:rsid w:val="0069639D"/>
    <w:rPr>
      <w:sz w:val="20"/>
      <w:szCs w:val="20"/>
    </w:rPr>
  </w:style>
  <w:style w:type="character" w:styleId="a5">
    <w:name w:val="endnote reference"/>
    <w:basedOn w:val="a0"/>
    <w:uiPriority w:val="99"/>
    <w:semiHidden/>
    <w:unhideWhenUsed/>
    <w:rsid w:val="0069639D"/>
    <w:rPr>
      <w:vertAlign w:val="superscript"/>
    </w:rPr>
  </w:style>
  <w:style w:type="paragraph" w:styleId="a6">
    <w:name w:val="footnote text"/>
    <w:basedOn w:val="a"/>
    <w:link w:val="a7"/>
    <w:uiPriority w:val="99"/>
    <w:semiHidden/>
    <w:unhideWhenUsed/>
    <w:rsid w:val="0069639D"/>
    <w:pPr>
      <w:spacing w:after="0" w:line="240" w:lineRule="auto"/>
    </w:pPr>
    <w:rPr>
      <w:sz w:val="20"/>
      <w:szCs w:val="20"/>
    </w:rPr>
  </w:style>
  <w:style w:type="character" w:customStyle="1" w:styleId="a7">
    <w:name w:val="Текст сноски Знак"/>
    <w:basedOn w:val="a0"/>
    <w:link w:val="a6"/>
    <w:uiPriority w:val="99"/>
    <w:semiHidden/>
    <w:rsid w:val="0069639D"/>
    <w:rPr>
      <w:sz w:val="20"/>
      <w:szCs w:val="20"/>
    </w:rPr>
  </w:style>
  <w:style w:type="character" w:styleId="a8">
    <w:name w:val="footnote reference"/>
    <w:basedOn w:val="a0"/>
    <w:uiPriority w:val="99"/>
    <w:semiHidden/>
    <w:unhideWhenUsed/>
    <w:rsid w:val="0069639D"/>
    <w:rPr>
      <w:vertAlign w:val="superscript"/>
    </w:rPr>
  </w:style>
  <w:style w:type="character" w:styleId="a9">
    <w:name w:val="Hyperlink"/>
    <w:basedOn w:val="a0"/>
    <w:uiPriority w:val="99"/>
    <w:unhideWhenUsed/>
    <w:rsid w:val="0069639D"/>
    <w:rPr>
      <w:color w:val="0563C1" w:themeColor="hyperlink"/>
      <w:u w:val="single"/>
    </w:rPr>
  </w:style>
  <w:style w:type="character" w:styleId="aa">
    <w:name w:val="FollowedHyperlink"/>
    <w:basedOn w:val="a0"/>
    <w:uiPriority w:val="99"/>
    <w:semiHidden/>
    <w:unhideWhenUsed/>
    <w:rsid w:val="001A1DA9"/>
    <w:rPr>
      <w:color w:val="954F72" w:themeColor="followedHyperlink"/>
      <w:u w:val="single"/>
    </w:rPr>
  </w:style>
  <w:style w:type="paragraph" w:styleId="ab">
    <w:name w:val="Balloon Text"/>
    <w:basedOn w:val="a"/>
    <w:link w:val="ac"/>
    <w:uiPriority w:val="99"/>
    <w:semiHidden/>
    <w:unhideWhenUsed/>
    <w:rsid w:val="003877B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877BA"/>
    <w:rPr>
      <w:rFonts w:ascii="Segoe UI" w:hAnsi="Segoe UI" w:cs="Segoe UI"/>
      <w:sz w:val="18"/>
      <w:szCs w:val="18"/>
    </w:rPr>
  </w:style>
  <w:style w:type="paragraph" w:customStyle="1" w:styleId="BlackStrips">
    <w:name w:val="Black Strips"/>
    <w:basedOn w:val="a"/>
    <w:qFormat/>
    <w:rsid w:val="007E0105"/>
    <w:pPr>
      <w:shd w:val="clear" w:color="auto" w:fill="000000"/>
      <w:spacing w:after="200" w:line="240" w:lineRule="auto"/>
      <w:jc w:val="center"/>
    </w:pPr>
    <w:rPr>
      <w:rFonts w:eastAsiaTheme="minorHAnsi"/>
      <w:color w:val="FFFFFF"/>
      <w:sz w:val="24"/>
      <w:szCs w:val="24"/>
      <w:lang w:eastAsia="en-US"/>
    </w:rPr>
  </w:style>
  <w:style w:type="paragraph" w:customStyle="1" w:styleId="ReadOnline">
    <w:name w:val="Read Online"/>
    <w:basedOn w:val="a"/>
    <w:qFormat/>
    <w:rsid w:val="007E0105"/>
    <w:pPr>
      <w:spacing w:after="200" w:line="240" w:lineRule="auto"/>
      <w:jc w:val="center"/>
    </w:pPr>
    <w:rPr>
      <w:rFonts w:eastAsiaTheme="minorHAnsi"/>
      <w:color w:val="00000A"/>
      <w:sz w:val="28"/>
      <w:szCs w:val="24"/>
      <w:u w:val="single"/>
      <w:lang w:eastAsia="en-US"/>
    </w:rPr>
  </w:style>
  <w:style w:type="paragraph" w:customStyle="1" w:styleId="Disclaimer">
    <w:name w:val="Disclaimer"/>
    <w:basedOn w:val="a"/>
    <w:qFormat/>
    <w:rsid w:val="007E0105"/>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DisclaimerBold">
    <w:name w:val="Disclaimer Bold"/>
    <w:basedOn w:val="Disclaimer"/>
    <w:qFormat/>
    <w:rsid w:val="007E0105"/>
    <w:pPr>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overview-of-hkex-new-spac-listing-regi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arltonslaw.com/first-spac-lists-on-hkex-under-new-spac-listing-regi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hkex.com.hk/News/News-Release/2022/220318news?sc_lang=en" TargetMode="External"/><Relationship Id="rId4" Type="http://schemas.openxmlformats.org/officeDocument/2006/relationships/webSettings" Target="webSettings.xml"/><Relationship Id="rId9" Type="http://schemas.openxmlformats.org/officeDocument/2006/relationships/hyperlink" Target="https://en-rules.hkex.com.hk/sites/default/files/net_file_store/HKEX4476_5770_VER18989.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rules.hkex.com.hk/sites/default/files/net_file_store/HKEX4476_5770_VER18989.pdf" TargetMode="External"/><Relationship Id="rId2" Type="http://schemas.openxmlformats.org/officeDocument/2006/relationships/hyperlink" Target="https://www.reuters.com/world/asia-pacific/hong-kongs-first-spac-listing-sees-aquila-shares-slip-2022-03-18/" TargetMode="External"/><Relationship Id="rId1" Type="http://schemas.openxmlformats.org/officeDocument/2006/relationships/hyperlink" Target="https://www.charltonslaw.com/overview-of-hkex-new-spac-listing-regime/" TargetMode="External"/><Relationship Id="rId4" Type="http://schemas.openxmlformats.org/officeDocument/2006/relationships/hyperlink" Target="https://www.reuters.com/markets/us/china-bars-mainland-brokers-promoting-spac-deals-hong-kong-sources-2022-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38F7A-0AB2-4C20-ADFB-C0FB540B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Microsoft Office User</cp:lastModifiedBy>
  <cp:revision>18</cp:revision>
  <dcterms:created xsi:type="dcterms:W3CDTF">2022-04-01T06:45:00Z</dcterms:created>
  <dcterms:modified xsi:type="dcterms:W3CDTF">2022-04-04T17:01:00Z</dcterms:modified>
</cp:coreProperties>
</file>