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9064A" w14:textId="56BDE703" w:rsidR="002B6C46" w:rsidRPr="00221724" w:rsidRDefault="002B6C46" w:rsidP="00761E50">
      <w:pPr>
        <w:pStyle w:val="BlackStrips"/>
        <w:jc w:val="left"/>
        <w:rPr>
          <w:rFonts w:ascii="Calibri" w:hAnsi="Calibri" w:cs="Calibri"/>
        </w:rPr>
      </w:pPr>
      <w:proofErr w:type="spellStart"/>
      <w:r w:rsidRPr="00221724">
        <w:rPr>
          <w:rFonts w:ascii="Calibri" w:hAnsi="Calibri" w:cs="Calibri"/>
        </w:rPr>
        <w:t>Charltons</w:t>
      </w:r>
      <w:proofErr w:type="spellEnd"/>
      <w:r w:rsidRPr="00221724">
        <w:rPr>
          <w:rFonts w:ascii="Calibri" w:hAnsi="Calibri" w:cs="Calibri"/>
        </w:rPr>
        <w:t xml:space="preserve"> - Hong Kong Law - </w:t>
      </w:r>
      <w:r>
        <w:rPr>
          <w:rFonts w:ascii="Calibri" w:hAnsi="Calibri" w:cs="Calibri"/>
        </w:rPr>
        <w:t>03</w:t>
      </w:r>
      <w:r w:rsidRPr="00221724">
        <w:rPr>
          <w:rFonts w:ascii="Calibri" w:hAnsi="Calibri" w:cs="Calibri"/>
        </w:rPr>
        <w:t xml:space="preserve"> </w:t>
      </w:r>
      <w:r>
        <w:rPr>
          <w:rFonts w:ascii="Calibri" w:hAnsi="Calibri" w:cs="Calibri"/>
        </w:rPr>
        <w:t>March</w:t>
      </w:r>
      <w:r w:rsidRPr="00221724">
        <w:rPr>
          <w:rFonts w:ascii="Calibri" w:hAnsi="Calibri" w:cs="Calibri"/>
        </w:rPr>
        <w:t xml:space="preserve"> 2021</w:t>
      </w:r>
    </w:p>
    <w:p w14:paraId="052A75E2" w14:textId="41020499" w:rsidR="002B6C46" w:rsidRPr="002B6C46" w:rsidRDefault="004E4D04" w:rsidP="002B6C46">
      <w:pPr>
        <w:pStyle w:val="ReadOnline"/>
        <w:rPr>
          <w:rFonts w:ascii="Calibri" w:hAnsi="Calibri" w:cs="Calibri"/>
        </w:rPr>
      </w:pPr>
      <w:hyperlink r:id="rId8">
        <w:r w:rsidR="002B6C46" w:rsidRPr="00221724">
          <w:rPr>
            <w:rFonts w:ascii="Calibri" w:hAnsi="Calibri" w:cs="Calibri"/>
          </w:rPr>
          <w:t>online version</w:t>
        </w:r>
      </w:hyperlink>
    </w:p>
    <w:p w14:paraId="19898305" w14:textId="72D23439" w:rsidR="0087755E" w:rsidRPr="00F81500" w:rsidRDefault="00C360B8" w:rsidP="00F81500">
      <w:pPr>
        <w:spacing w:after="0"/>
        <w:jc w:val="both"/>
        <w:rPr>
          <w:rFonts w:ascii="Arial" w:hAnsi="Arial" w:cs="Arial"/>
          <w:b/>
          <w:color w:val="C00000"/>
          <w:sz w:val="36"/>
          <w:szCs w:val="36"/>
        </w:rPr>
      </w:pPr>
      <w:r w:rsidRPr="00F81500">
        <w:rPr>
          <w:rFonts w:ascii="Arial" w:hAnsi="Arial" w:cs="Arial"/>
          <w:b/>
          <w:color w:val="C00000"/>
          <w:sz w:val="36"/>
          <w:szCs w:val="36"/>
        </w:rPr>
        <w:t xml:space="preserve">SFC Enforcement Actions </w:t>
      </w:r>
      <w:r w:rsidR="003D1DDB">
        <w:rPr>
          <w:rFonts w:ascii="Arial" w:hAnsi="Arial" w:cs="Arial"/>
          <w:b/>
          <w:color w:val="C00000"/>
          <w:sz w:val="36"/>
          <w:szCs w:val="36"/>
        </w:rPr>
        <w:t>in January</w:t>
      </w:r>
      <w:r w:rsidRPr="00F81500">
        <w:rPr>
          <w:rFonts w:ascii="Arial" w:hAnsi="Arial" w:cs="Arial"/>
          <w:b/>
          <w:color w:val="C00000"/>
          <w:sz w:val="36"/>
          <w:szCs w:val="36"/>
        </w:rPr>
        <w:t xml:space="preserve"> </w:t>
      </w:r>
      <w:r w:rsidR="003915E0">
        <w:rPr>
          <w:rFonts w:ascii="Arial" w:hAnsi="Arial" w:cs="Arial"/>
          <w:b/>
          <w:color w:val="C00000"/>
          <w:sz w:val="36"/>
          <w:szCs w:val="36"/>
        </w:rPr>
        <w:t>and</w:t>
      </w:r>
      <w:r w:rsidRPr="00F81500">
        <w:rPr>
          <w:rFonts w:ascii="Arial" w:hAnsi="Arial" w:cs="Arial"/>
          <w:b/>
          <w:color w:val="C00000"/>
          <w:sz w:val="36"/>
          <w:szCs w:val="36"/>
        </w:rPr>
        <w:t xml:space="preserve"> February 2022</w:t>
      </w:r>
    </w:p>
    <w:p w14:paraId="4B7427AA" w14:textId="77777777" w:rsidR="00C450DE" w:rsidRPr="00F81500" w:rsidRDefault="00C450DE" w:rsidP="00F81500">
      <w:pPr>
        <w:spacing w:after="0"/>
        <w:jc w:val="both"/>
        <w:rPr>
          <w:rFonts w:ascii="Arial" w:hAnsi="Arial" w:cs="Arial"/>
        </w:rPr>
      </w:pPr>
    </w:p>
    <w:p w14:paraId="42227E39" w14:textId="33B02904" w:rsidR="00322DE6" w:rsidRPr="00F81500" w:rsidRDefault="008A7BEE" w:rsidP="00F81500">
      <w:pPr>
        <w:spacing w:after="0"/>
        <w:jc w:val="both"/>
        <w:rPr>
          <w:rFonts w:ascii="Arial" w:hAnsi="Arial" w:cs="Arial"/>
          <w:sz w:val="20"/>
          <w:szCs w:val="20"/>
        </w:rPr>
      </w:pPr>
      <w:r w:rsidRPr="00F81500">
        <w:rPr>
          <w:rFonts w:ascii="Arial" w:hAnsi="Arial" w:cs="Arial"/>
          <w:sz w:val="20"/>
          <w:szCs w:val="20"/>
        </w:rPr>
        <w:t>Hong Kong’s Securities and Futu</w:t>
      </w:r>
      <w:r w:rsidRPr="00F81500">
        <w:rPr>
          <w:rFonts w:ascii="Arial" w:hAnsi="Arial" w:cs="Arial"/>
          <w:color w:val="000000" w:themeColor="text1"/>
          <w:sz w:val="20"/>
          <w:szCs w:val="20"/>
        </w:rPr>
        <w:t>res Commission (</w:t>
      </w:r>
      <w:r w:rsidRPr="00F81500">
        <w:rPr>
          <w:rFonts w:ascii="Arial" w:hAnsi="Arial" w:cs="Arial"/>
          <w:b/>
          <w:color w:val="000000" w:themeColor="text1"/>
          <w:sz w:val="20"/>
          <w:szCs w:val="20"/>
        </w:rPr>
        <w:t>SFC</w:t>
      </w:r>
      <w:r w:rsidRPr="00F81500">
        <w:rPr>
          <w:rFonts w:ascii="Arial" w:hAnsi="Arial" w:cs="Arial"/>
          <w:color w:val="000000" w:themeColor="text1"/>
          <w:sz w:val="20"/>
          <w:szCs w:val="20"/>
        </w:rPr>
        <w:t>)</w:t>
      </w:r>
      <w:r w:rsidR="00143E38" w:rsidRPr="00F81500">
        <w:rPr>
          <w:rFonts w:ascii="Arial" w:hAnsi="Arial" w:cs="Arial"/>
          <w:color w:val="000000" w:themeColor="text1"/>
          <w:sz w:val="20"/>
          <w:szCs w:val="20"/>
        </w:rPr>
        <w:t xml:space="preserve"> brought a number of disciplinary actions for regulatory breaches in the first two months of 2022</w:t>
      </w:r>
      <w:r w:rsidR="00322DE6" w:rsidRPr="00F81500">
        <w:rPr>
          <w:rFonts w:ascii="Arial" w:hAnsi="Arial" w:cs="Arial"/>
          <w:color w:val="000000" w:themeColor="text1"/>
          <w:sz w:val="20"/>
          <w:szCs w:val="20"/>
        </w:rPr>
        <w:t xml:space="preserve"> which</w:t>
      </w:r>
      <w:r w:rsidR="00C1236B">
        <w:rPr>
          <w:rFonts w:ascii="Arial" w:hAnsi="Arial" w:cs="Arial"/>
          <w:color w:val="000000" w:themeColor="text1"/>
          <w:sz w:val="20"/>
          <w:szCs w:val="20"/>
        </w:rPr>
        <w:t xml:space="preserve"> resulted in</w:t>
      </w:r>
      <w:r w:rsidR="00322DE6" w:rsidRPr="00F81500">
        <w:rPr>
          <w:rFonts w:ascii="Arial" w:hAnsi="Arial" w:cs="Arial"/>
          <w:color w:val="000000" w:themeColor="text1"/>
          <w:sz w:val="20"/>
          <w:szCs w:val="20"/>
        </w:rPr>
        <w:t xml:space="preserve">: </w:t>
      </w:r>
    </w:p>
    <w:p w14:paraId="405125E7" w14:textId="77777777" w:rsidR="00322DE6" w:rsidRPr="00F81500" w:rsidRDefault="00322DE6" w:rsidP="00F81500">
      <w:pPr>
        <w:spacing w:after="0"/>
        <w:jc w:val="both"/>
        <w:rPr>
          <w:rFonts w:ascii="Arial" w:hAnsi="Arial" w:cs="Arial"/>
          <w:sz w:val="20"/>
          <w:szCs w:val="20"/>
        </w:rPr>
      </w:pPr>
    </w:p>
    <w:p w14:paraId="0427D68E" w14:textId="77777777" w:rsidR="0006763F" w:rsidRDefault="0006763F" w:rsidP="00F81500">
      <w:pPr>
        <w:pStyle w:val="a4"/>
        <w:numPr>
          <w:ilvl w:val="0"/>
          <w:numId w:val="2"/>
        </w:numPr>
        <w:spacing w:after="0"/>
        <w:ind w:left="360"/>
        <w:jc w:val="both"/>
        <w:rPr>
          <w:rFonts w:ascii="Arial" w:hAnsi="Arial" w:cs="Arial"/>
          <w:sz w:val="20"/>
          <w:szCs w:val="20"/>
        </w:rPr>
      </w:pPr>
      <w:r>
        <w:rPr>
          <w:rFonts w:ascii="Arial" w:hAnsi="Arial" w:cs="Arial"/>
          <w:sz w:val="20"/>
          <w:szCs w:val="20"/>
        </w:rPr>
        <w:t>the reprimanding of a licensed intermediary and the imposition of a</w:t>
      </w:r>
      <w:r w:rsidR="00940260">
        <w:rPr>
          <w:rFonts w:ascii="Arial" w:hAnsi="Arial" w:cs="Arial"/>
          <w:sz w:val="20"/>
          <w:szCs w:val="20"/>
        </w:rPr>
        <w:t xml:space="preserve"> </w:t>
      </w:r>
      <w:r>
        <w:rPr>
          <w:rFonts w:ascii="Arial" w:hAnsi="Arial" w:cs="Arial"/>
          <w:sz w:val="20"/>
          <w:szCs w:val="20"/>
        </w:rPr>
        <w:t>HK$8 million fine for its failure to comply with AML/CTF and other regulatory requirements</w:t>
      </w:r>
      <w:r w:rsidR="00C1236B">
        <w:rPr>
          <w:rFonts w:ascii="Arial" w:hAnsi="Arial" w:cs="Arial"/>
          <w:sz w:val="20"/>
          <w:szCs w:val="20"/>
        </w:rPr>
        <w:t>;</w:t>
      </w:r>
      <w:r>
        <w:rPr>
          <w:rFonts w:ascii="Arial" w:hAnsi="Arial" w:cs="Arial"/>
          <w:sz w:val="20"/>
          <w:szCs w:val="20"/>
        </w:rPr>
        <w:t xml:space="preserve"> </w:t>
      </w:r>
    </w:p>
    <w:p w14:paraId="075EAB94" w14:textId="77777777" w:rsidR="00C93578" w:rsidRPr="00F81500" w:rsidRDefault="00C93578" w:rsidP="00F81500">
      <w:pPr>
        <w:pStyle w:val="a4"/>
        <w:spacing w:after="0"/>
        <w:ind w:left="360"/>
        <w:jc w:val="both"/>
        <w:rPr>
          <w:rFonts w:ascii="Arial" w:hAnsi="Arial" w:cs="Arial"/>
          <w:sz w:val="20"/>
          <w:szCs w:val="20"/>
        </w:rPr>
      </w:pPr>
    </w:p>
    <w:p w14:paraId="55E903C3" w14:textId="77777777" w:rsidR="0006763F" w:rsidRDefault="0006763F" w:rsidP="00F81500">
      <w:pPr>
        <w:pStyle w:val="a4"/>
        <w:numPr>
          <w:ilvl w:val="0"/>
          <w:numId w:val="2"/>
        </w:numPr>
        <w:spacing w:after="0"/>
        <w:ind w:left="360"/>
        <w:jc w:val="both"/>
        <w:rPr>
          <w:rFonts w:ascii="Arial" w:hAnsi="Arial" w:cs="Arial"/>
          <w:sz w:val="20"/>
          <w:szCs w:val="20"/>
        </w:rPr>
      </w:pPr>
      <w:r>
        <w:rPr>
          <w:rFonts w:ascii="Arial" w:hAnsi="Arial" w:cs="Arial"/>
          <w:sz w:val="20"/>
          <w:szCs w:val="20"/>
        </w:rPr>
        <w:t xml:space="preserve">the imposition of a HK$348.25 million fine on a licensed intermediary for serious regulatory breaches and internal control failures; and </w:t>
      </w:r>
    </w:p>
    <w:p w14:paraId="6742361D" w14:textId="77777777" w:rsidR="00C93578" w:rsidRPr="00F81500" w:rsidRDefault="00C93578" w:rsidP="00F81500">
      <w:pPr>
        <w:spacing w:after="0"/>
        <w:jc w:val="both"/>
        <w:rPr>
          <w:rFonts w:ascii="Arial" w:hAnsi="Arial" w:cs="Arial"/>
          <w:sz w:val="20"/>
          <w:szCs w:val="20"/>
        </w:rPr>
      </w:pPr>
    </w:p>
    <w:p w14:paraId="7222F469" w14:textId="2779F43E" w:rsidR="0006763F" w:rsidRDefault="0006763F" w:rsidP="00F81500">
      <w:pPr>
        <w:pStyle w:val="a4"/>
        <w:numPr>
          <w:ilvl w:val="0"/>
          <w:numId w:val="2"/>
        </w:numPr>
        <w:spacing w:after="0"/>
        <w:ind w:left="360"/>
        <w:jc w:val="both"/>
        <w:rPr>
          <w:rFonts w:ascii="Arial" w:hAnsi="Arial" w:cs="Arial"/>
          <w:sz w:val="20"/>
          <w:szCs w:val="20"/>
        </w:rPr>
      </w:pPr>
      <w:r>
        <w:rPr>
          <w:rFonts w:ascii="Arial" w:hAnsi="Arial" w:cs="Arial"/>
          <w:sz w:val="20"/>
          <w:szCs w:val="20"/>
        </w:rPr>
        <w:t xml:space="preserve">a </w:t>
      </w:r>
      <w:r w:rsidR="0032746B">
        <w:rPr>
          <w:rFonts w:ascii="Arial" w:hAnsi="Arial" w:cs="Arial"/>
          <w:sz w:val="20"/>
          <w:szCs w:val="20"/>
        </w:rPr>
        <w:t xml:space="preserve">restoration </w:t>
      </w:r>
      <w:r>
        <w:rPr>
          <w:rFonts w:ascii="Arial" w:hAnsi="Arial" w:cs="Arial"/>
          <w:sz w:val="20"/>
          <w:szCs w:val="20"/>
        </w:rPr>
        <w:t>order for insider dealers to pay HK$12.9 million to innocent investors</w:t>
      </w:r>
      <w:r w:rsidR="00C93578">
        <w:rPr>
          <w:rFonts w:ascii="Arial" w:hAnsi="Arial" w:cs="Arial"/>
          <w:sz w:val="20"/>
          <w:szCs w:val="20"/>
        </w:rPr>
        <w:t xml:space="preserve">. </w:t>
      </w:r>
      <w:r>
        <w:rPr>
          <w:rFonts w:ascii="Arial" w:hAnsi="Arial" w:cs="Arial"/>
          <w:sz w:val="20"/>
          <w:szCs w:val="20"/>
        </w:rPr>
        <w:t xml:space="preserve"> </w:t>
      </w:r>
    </w:p>
    <w:p w14:paraId="42076657" w14:textId="77777777" w:rsidR="0091716F" w:rsidRPr="00F81500" w:rsidRDefault="0091716F" w:rsidP="00F81500">
      <w:pPr>
        <w:spacing w:after="0"/>
        <w:jc w:val="both"/>
        <w:rPr>
          <w:rFonts w:ascii="Arial" w:hAnsi="Arial" w:cs="Arial"/>
          <w:sz w:val="20"/>
          <w:szCs w:val="20"/>
        </w:rPr>
      </w:pPr>
    </w:p>
    <w:p w14:paraId="30EDFDBC" w14:textId="77777777" w:rsidR="00C667A2" w:rsidRPr="00F81500" w:rsidRDefault="00516564" w:rsidP="00F81500">
      <w:pPr>
        <w:spacing w:after="0"/>
        <w:jc w:val="both"/>
        <w:rPr>
          <w:rFonts w:ascii="Arial" w:hAnsi="Arial" w:cs="Arial"/>
          <w:b/>
          <w:color w:val="FF0000"/>
          <w:sz w:val="20"/>
          <w:szCs w:val="20"/>
        </w:rPr>
      </w:pPr>
      <w:r w:rsidRPr="00F81500">
        <w:rPr>
          <w:rFonts w:ascii="Arial" w:hAnsi="Arial" w:cs="Arial"/>
          <w:b/>
          <w:color w:val="FF0000"/>
          <w:sz w:val="20"/>
          <w:szCs w:val="20"/>
        </w:rPr>
        <w:t xml:space="preserve">SFC reprimands and fines Zhonghui International Futures Company Limited </w:t>
      </w:r>
      <w:r w:rsidR="001C2C36" w:rsidRPr="00F81500">
        <w:rPr>
          <w:rFonts w:ascii="Arial" w:hAnsi="Arial" w:cs="Arial"/>
          <w:b/>
          <w:color w:val="FF0000"/>
          <w:sz w:val="20"/>
          <w:szCs w:val="20"/>
        </w:rPr>
        <w:t>HK$5 million for regulatory breaches</w:t>
      </w:r>
      <w:r w:rsidR="001C2C36" w:rsidRPr="00F81500">
        <w:rPr>
          <w:rStyle w:val="aa"/>
          <w:rFonts w:ascii="Arial" w:hAnsi="Arial" w:cs="Arial"/>
          <w:b/>
          <w:color w:val="FF0000"/>
          <w:sz w:val="20"/>
          <w:szCs w:val="20"/>
        </w:rPr>
        <w:footnoteReference w:id="1"/>
      </w:r>
    </w:p>
    <w:p w14:paraId="352BDEE1" w14:textId="77777777" w:rsidR="00516564" w:rsidRPr="00F81500" w:rsidRDefault="00516564" w:rsidP="00F81500">
      <w:pPr>
        <w:spacing w:after="0"/>
        <w:jc w:val="both"/>
        <w:rPr>
          <w:rFonts w:ascii="Arial" w:hAnsi="Arial" w:cs="Arial"/>
          <w:color w:val="FF0000"/>
          <w:sz w:val="20"/>
          <w:szCs w:val="20"/>
        </w:rPr>
      </w:pPr>
    </w:p>
    <w:p w14:paraId="6F121F73" w14:textId="77777777" w:rsidR="0091716F" w:rsidRPr="00F81500" w:rsidRDefault="00A25ADC"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Failure to comply with anti-money laundering &amp; counter-terrorist financing requirements</w:t>
      </w:r>
    </w:p>
    <w:p w14:paraId="254D6415" w14:textId="77777777" w:rsidR="008C16C7" w:rsidRPr="00F81500" w:rsidRDefault="008C16C7" w:rsidP="00F81500">
      <w:pPr>
        <w:spacing w:after="0"/>
        <w:jc w:val="both"/>
        <w:rPr>
          <w:rFonts w:ascii="Arial" w:hAnsi="Arial" w:cs="Arial"/>
          <w:b/>
          <w:sz w:val="20"/>
          <w:szCs w:val="20"/>
        </w:rPr>
      </w:pPr>
    </w:p>
    <w:p w14:paraId="25054349" w14:textId="77777777" w:rsidR="003D1DDB" w:rsidRPr="00F81500" w:rsidRDefault="00A25ADC" w:rsidP="00F81500">
      <w:pPr>
        <w:spacing w:after="0"/>
        <w:jc w:val="both"/>
        <w:rPr>
          <w:rFonts w:ascii="Arial" w:hAnsi="Arial" w:cs="Arial"/>
          <w:sz w:val="20"/>
          <w:szCs w:val="20"/>
        </w:rPr>
      </w:pPr>
      <w:r w:rsidRPr="00F81500">
        <w:rPr>
          <w:rFonts w:ascii="Arial" w:hAnsi="Arial" w:cs="Arial"/>
          <w:sz w:val="20"/>
          <w:szCs w:val="20"/>
        </w:rPr>
        <w:t>The SFC’s investigation found that</w:t>
      </w:r>
      <w:r w:rsidR="00117BF1" w:rsidRPr="00F81500">
        <w:rPr>
          <w:rFonts w:ascii="Arial" w:hAnsi="Arial" w:cs="Arial"/>
          <w:sz w:val="20"/>
          <w:szCs w:val="20"/>
        </w:rPr>
        <w:t xml:space="preserve"> between May 2017 and July 2018,</w:t>
      </w:r>
      <w:r w:rsidR="00527B7A" w:rsidRPr="00F81500">
        <w:rPr>
          <w:rFonts w:ascii="Arial" w:hAnsi="Arial" w:cs="Arial"/>
          <w:sz w:val="20"/>
          <w:szCs w:val="20"/>
        </w:rPr>
        <w:t xml:space="preserve"> Zhonghui International Futures Company Limited (</w:t>
      </w:r>
      <w:r w:rsidR="00527B7A" w:rsidRPr="00F81500">
        <w:rPr>
          <w:rFonts w:ascii="Arial" w:hAnsi="Arial" w:cs="Arial"/>
          <w:b/>
          <w:sz w:val="20"/>
          <w:szCs w:val="20"/>
        </w:rPr>
        <w:t>ZIFC</w:t>
      </w:r>
      <w:r w:rsidR="00527B7A" w:rsidRPr="00F81500">
        <w:rPr>
          <w:rFonts w:ascii="Arial" w:hAnsi="Arial" w:cs="Arial"/>
          <w:sz w:val="20"/>
          <w:szCs w:val="20"/>
        </w:rPr>
        <w:t>)</w:t>
      </w:r>
      <w:r w:rsidR="00F2703D" w:rsidRPr="00F81500">
        <w:rPr>
          <w:rFonts w:ascii="Arial" w:hAnsi="Arial" w:cs="Arial"/>
          <w:sz w:val="20"/>
          <w:szCs w:val="20"/>
        </w:rPr>
        <w:t xml:space="preserve">, a company licensed under the </w:t>
      </w:r>
      <w:r w:rsidR="00C667A2" w:rsidRPr="00F81500">
        <w:rPr>
          <w:rFonts w:ascii="Arial" w:hAnsi="Arial" w:cs="Arial"/>
          <w:sz w:val="20"/>
          <w:szCs w:val="20"/>
        </w:rPr>
        <w:t>Securities and Futures Ordinance (</w:t>
      </w:r>
      <w:r w:rsidR="00F2703D" w:rsidRPr="00F81500">
        <w:rPr>
          <w:rFonts w:ascii="Arial" w:hAnsi="Arial" w:cs="Arial"/>
          <w:b/>
          <w:sz w:val="20"/>
          <w:szCs w:val="20"/>
        </w:rPr>
        <w:t>SFO</w:t>
      </w:r>
      <w:r w:rsidR="00C667A2" w:rsidRPr="00F81500">
        <w:rPr>
          <w:rFonts w:ascii="Arial" w:hAnsi="Arial" w:cs="Arial"/>
          <w:sz w:val="20"/>
          <w:szCs w:val="20"/>
        </w:rPr>
        <w:t>)</w:t>
      </w:r>
      <w:r w:rsidR="00F2703D" w:rsidRPr="00F81500">
        <w:rPr>
          <w:rFonts w:ascii="Arial" w:hAnsi="Arial" w:cs="Arial"/>
          <w:sz w:val="20"/>
          <w:szCs w:val="20"/>
        </w:rPr>
        <w:t xml:space="preserve"> to carry on Type 2 (dealing in futures contracts) regulated activity, </w:t>
      </w:r>
      <w:r w:rsidR="00235386" w:rsidRPr="00F81500">
        <w:rPr>
          <w:rFonts w:ascii="Arial" w:hAnsi="Arial" w:cs="Arial"/>
          <w:sz w:val="20"/>
          <w:szCs w:val="20"/>
        </w:rPr>
        <w:t>had failed to conduct</w:t>
      </w:r>
      <w:r w:rsidR="009A6F24" w:rsidRPr="00F81500">
        <w:rPr>
          <w:rFonts w:ascii="Arial" w:hAnsi="Arial" w:cs="Arial"/>
          <w:sz w:val="20"/>
          <w:szCs w:val="20"/>
        </w:rPr>
        <w:t xml:space="preserve"> adequate due diligence</w:t>
      </w:r>
      <w:r w:rsidR="008321DB" w:rsidRPr="00F81500">
        <w:rPr>
          <w:rFonts w:ascii="Arial" w:hAnsi="Arial" w:cs="Arial"/>
          <w:sz w:val="20"/>
          <w:szCs w:val="20"/>
        </w:rPr>
        <w:t xml:space="preserve"> on the customer supplied systems </w:t>
      </w:r>
      <w:r w:rsidR="008C16C7" w:rsidRPr="00F81500">
        <w:rPr>
          <w:rFonts w:ascii="Arial" w:hAnsi="Arial" w:cs="Arial"/>
          <w:sz w:val="20"/>
          <w:szCs w:val="20"/>
        </w:rPr>
        <w:t>(</w:t>
      </w:r>
      <w:r w:rsidR="008C16C7" w:rsidRPr="00F81500">
        <w:rPr>
          <w:rFonts w:ascii="Arial" w:hAnsi="Arial" w:cs="Arial"/>
          <w:b/>
          <w:sz w:val="20"/>
          <w:szCs w:val="20"/>
        </w:rPr>
        <w:t>CSSs</w:t>
      </w:r>
      <w:r w:rsidR="008C16C7" w:rsidRPr="00F81500">
        <w:rPr>
          <w:rFonts w:ascii="Arial" w:hAnsi="Arial" w:cs="Arial"/>
          <w:sz w:val="20"/>
          <w:szCs w:val="20"/>
        </w:rPr>
        <w:t xml:space="preserve">) </w:t>
      </w:r>
      <w:r w:rsidR="008321DB" w:rsidRPr="00F81500">
        <w:rPr>
          <w:rFonts w:ascii="Arial" w:hAnsi="Arial" w:cs="Arial"/>
          <w:sz w:val="20"/>
          <w:szCs w:val="20"/>
        </w:rPr>
        <w:t xml:space="preserve">used </w:t>
      </w:r>
      <w:r w:rsidR="00525AB9" w:rsidRPr="006B03BB">
        <w:rPr>
          <w:rFonts w:ascii="Arial" w:hAnsi="Arial" w:cs="Arial"/>
          <w:sz w:val="20"/>
          <w:szCs w:val="20"/>
        </w:rPr>
        <w:t xml:space="preserve">by 26 </w:t>
      </w:r>
      <w:r w:rsidR="00525AB9">
        <w:rPr>
          <w:rFonts w:ascii="Arial" w:hAnsi="Arial" w:cs="Arial"/>
          <w:sz w:val="20"/>
          <w:szCs w:val="20"/>
        </w:rPr>
        <w:t xml:space="preserve">of its </w:t>
      </w:r>
      <w:r w:rsidR="00525AB9" w:rsidRPr="006B03BB">
        <w:rPr>
          <w:rFonts w:ascii="Arial" w:hAnsi="Arial" w:cs="Arial"/>
          <w:sz w:val="20"/>
          <w:szCs w:val="20"/>
        </w:rPr>
        <w:t>clients</w:t>
      </w:r>
      <w:r w:rsidR="00525AB9" w:rsidRPr="00B91675">
        <w:rPr>
          <w:rFonts w:ascii="Arial" w:hAnsi="Arial" w:cs="Arial"/>
          <w:sz w:val="20"/>
          <w:szCs w:val="20"/>
        </w:rPr>
        <w:t xml:space="preserve"> </w:t>
      </w:r>
      <w:r w:rsidR="001D0BEE" w:rsidRPr="00B91675">
        <w:rPr>
          <w:rFonts w:ascii="Arial" w:hAnsi="Arial" w:cs="Arial"/>
          <w:sz w:val="20"/>
          <w:szCs w:val="20"/>
        </w:rPr>
        <w:t>for placing orders</w:t>
      </w:r>
      <w:r w:rsidR="008321DB" w:rsidRPr="00F81500">
        <w:rPr>
          <w:rFonts w:ascii="Arial" w:hAnsi="Arial" w:cs="Arial"/>
          <w:sz w:val="20"/>
          <w:szCs w:val="20"/>
        </w:rPr>
        <w:t xml:space="preserve">. </w:t>
      </w:r>
      <w:r w:rsidR="00A52243" w:rsidRPr="00F81500">
        <w:rPr>
          <w:rFonts w:ascii="Arial" w:hAnsi="Arial" w:cs="Arial"/>
          <w:sz w:val="20"/>
          <w:szCs w:val="20"/>
        </w:rPr>
        <w:t xml:space="preserve">CSSs </w:t>
      </w:r>
      <w:r w:rsidR="00147285" w:rsidRPr="00F81500">
        <w:rPr>
          <w:rFonts w:ascii="Arial" w:hAnsi="Arial" w:cs="Arial"/>
          <w:sz w:val="20"/>
          <w:szCs w:val="20"/>
        </w:rPr>
        <w:t>are trading software platforms developed for use by clients to conduct electronic trading through the internet, on mobile phones and other electronic channels.</w:t>
      </w:r>
      <w:r w:rsidR="00C1236B">
        <w:rPr>
          <w:rFonts w:ascii="Arial" w:hAnsi="Arial" w:cs="Arial"/>
          <w:sz w:val="20"/>
          <w:szCs w:val="20"/>
        </w:rPr>
        <w:t xml:space="preserve"> ZIFC thus failed to properly assess </w:t>
      </w:r>
      <w:r w:rsidR="00A375D1">
        <w:rPr>
          <w:rFonts w:ascii="Arial" w:hAnsi="Arial" w:cs="Arial"/>
          <w:sz w:val="20"/>
          <w:szCs w:val="20"/>
        </w:rPr>
        <w:t>and manage the money laundering</w:t>
      </w:r>
      <w:r w:rsidR="00C1236B">
        <w:rPr>
          <w:rFonts w:ascii="Arial" w:hAnsi="Arial" w:cs="Arial"/>
          <w:sz w:val="20"/>
          <w:szCs w:val="20"/>
        </w:rPr>
        <w:t xml:space="preserve">, terrorist financing and other risks associated with clients’ use of CSSs </w:t>
      </w:r>
      <w:r w:rsidR="003826E6">
        <w:rPr>
          <w:rFonts w:ascii="Arial" w:hAnsi="Arial" w:cs="Arial"/>
          <w:sz w:val="20"/>
          <w:szCs w:val="20"/>
        </w:rPr>
        <w:t xml:space="preserve">before allowing them to connect with its broker supplied system. </w:t>
      </w:r>
    </w:p>
    <w:p w14:paraId="55F31033" w14:textId="77777777" w:rsidR="00614007" w:rsidRPr="00F81500" w:rsidRDefault="00614007" w:rsidP="00F81500">
      <w:pPr>
        <w:spacing w:after="0"/>
        <w:jc w:val="both"/>
        <w:rPr>
          <w:rFonts w:ascii="Arial" w:hAnsi="Arial" w:cs="Arial"/>
          <w:sz w:val="20"/>
          <w:szCs w:val="20"/>
        </w:rPr>
      </w:pPr>
    </w:p>
    <w:p w14:paraId="68C155B5" w14:textId="59C66536" w:rsidR="009B3A50" w:rsidRPr="00F81500" w:rsidRDefault="00614007" w:rsidP="00F81500">
      <w:pPr>
        <w:spacing w:after="0"/>
        <w:jc w:val="both"/>
        <w:rPr>
          <w:rFonts w:ascii="Arial" w:hAnsi="Arial" w:cs="Arial"/>
          <w:sz w:val="20"/>
          <w:szCs w:val="20"/>
        </w:rPr>
      </w:pPr>
      <w:r w:rsidRPr="00F81500">
        <w:rPr>
          <w:rFonts w:ascii="Arial" w:hAnsi="Arial" w:cs="Arial"/>
          <w:sz w:val="20"/>
          <w:szCs w:val="20"/>
        </w:rPr>
        <w:t>The SFC also identified that</w:t>
      </w:r>
      <w:r w:rsidR="006B3C3E" w:rsidRPr="00F81500">
        <w:rPr>
          <w:rFonts w:ascii="Arial" w:hAnsi="Arial" w:cs="Arial"/>
          <w:sz w:val="20"/>
          <w:szCs w:val="20"/>
        </w:rPr>
        <w:t xml:space="preserve"> ZIFC </w:t>
      </w:r>
      <w:r w:rsidR="00C76ED2" w:rsidRPr="00F81500">
        <w:rPr>
          <w:rFonts w:ascii="Arial" w:hAnsi="Arial" w:cs="Arial"/>
          <w:sz w:val="20"/>
          <w:szCs w:val="20"/>
        </w:rPr>
        <w:t xml:space="preserve">had failed to take reasonable steps to establish the true and full identity </w:t>
      </w:r>
      <w:r w:rsidR="0032746B">
        <w:rPr>
          <w:rFonts w:ascii="Arial" w:hAnsi="Arial" w:cs="Arial"/>
          <w:sz w:val="20"/>
          <w:szCs w:val="20"/>
        </w:rPr>
        <w:t xml:space="preserve">and </w:t>
      </w:r>
      <w:r w:rsidR="0032746B" w:rsidRPr="00F81500">
        <w:rPr>
          <w:rFonts w:ascii="Arial" w:hAnsi="Arial" w:cs="Arial"/>
          <w:sz w:val="20"/>
          <w:szCs w:val="20"/>
        </w:rPr>
        <w:t xml:space="preserve">ultimate beneficial owners </w:t>
      </w:r>
      <w:r w:rsidR="00C76ED2" w:rsidRPr="00F81500">
        <w:rPr>
          <w:rFonts w:ascii="Arial" w:hAnsi="Arial" w:cs="Arial"/>
          <w:sz w:val="20"/>
          <w:szCs w:val="20"/>
        </w:rPr>
        <w:t>of</w:t>
      </w:r>
      <w:r w:rsidR="002F3F9B" w:rsidRPr="00F81500">
        <w:rPr>
          <w:rFonts w:ascii="Arial" w:hAnsi="Arial" w:cs="Arial"/>
          <w:sz w:val="20"/>
          <w:szCs w:val="20"/>
        </w:rPr>
        <w:t xml:space="preserve"> </w:t>
      </w:r>
      <w:r w:rsidR="003826E6">
        <w:rPr>
          <w:rFonts w:ascii="Arial" w:hAnsi="Arial" w:cs="Arial"/>
          <w:sz w:val="20"/>
          <w:szCs w:val="20"/>
        </w:rPr>
        <w:t>eight clients who authorised multiple third parties t</w:t>
      </w:r>
      <w:r w:rsidR="002F3F9B" w:rsidRPr="00F81500">
        <w:rPr>
          <w:rFonts w:ascii="Arial" w:hAnsi="Arial" w:cs="Arial"/>
          <w:sz w:val="20"/>
          <w:szCs w:val="20"/>
        </w:rPr>
        <w:t xml:space="preserve">o place orders </w:t>
      </w:r>
      <w:r w:rsidR="003826E6">
        <w:rPr>
          <w:rFonts w:ascii="Arial" w:hAnsi="Arial" w:cs="Arial"/>
          <w:sz w:val="20"/>
          <w:szCs w:val="20"/>
        </w:rPr>
        <w:t xml:space="preserve">for their accounts. </w:t>
      </w:r>
      <w:r w:rsidR="002F3F9B" w:rsidRPr="00F81500">
        <w:rPr>
          <w:rFonts w:ascii="Arial" w:hAnsi="Arial" w:cs="Arial"/>
          <w:sz w:val="20"/>
          <w:szCs w:val="20"/>
        </w:rPr>
        <w:t xml:space="preserve">ZIFC </w:t>
      </w:r>
      <w:r w:rsidR="003826E6">
        <w:rPr>
          <w:rFonts w:ascii="Arial" w:hAnsi="Arial" w:cs="Arial"/>
          <w:sz w:val="20"/>
          <w:szCs w:val="20"/>
        </w:rPr>
        <w:t xml:space="preserve">also </w:t>
      </w:r>
      <w:r w:rsidR="002F3F9B" w:rsidRPr="00F81500">
        <w:rPr>
          <w:rFonts w:ascii="Arial" w:hAnsi="Arial" w:cs="Arial"/>
          <w:sz w:val="20"/>
          <w:szCs w:val="20"/>
        </w:rPr>
        <w:t xml:space="preserve">failed </w:t>
      </w:r>
      <w:r w:rsidR="002F3F9B">
        <w:rPr>
          <w:rFonts w:ascii="Arial" w:hAnsi="Arial" w:cs="Arial"/>
          <w:sz w:val="20"/>
          <w:szCs w:val="20"/>
        </w:rPr>
        <w:t xml:space="preserve">to </w:t>
      </w:r>
      <w:r w:rsidR="002F3F9B" w:rsidRPr="00572DDB">
        <w:rPr>
          <w:rFonts w:ascii="Arial" w:hAnsi="Arial" w:cs="Arial"/>
          <w:sz w:val="20"/>
          <w:szCs w:val="20"/>
        </w:rPr>
        <w:t xml:space="preserve">make proper enquiries </w:t>
      </w:r>
      <w:r w:rsidR="00C76ED2" w:rsidRPr="00F81500">
        <w:rPr>
          <w:rFonts w:ascii="Arial" w:hAnsi="Arial" w:cs="Arial"/>
          <w:sz w:val="20"/>
          <w:szCs w:val="20"/>
        </w:rPr>
        <w:t xml:space="preserve">before approving </w:t>
      </w:r>
      <w:r w:rsidR="00372847" w:rsidRPr="00F81500">
        <w:rPr>
          <w:rFonts w:ascii="Arial" w:hAnsi="Arial" w:cs="Arial"/>
          <w:sz w:val="20"/>
          <w:szCs w:val="20"/>
        </w:rPr>
        <w:t xml:space="preserve">the </w:t>
      </w:r>
      <w:r w:rsidR="002F3F9B" w:rsidRPr="00F81500">
        <w:rPr>
          <w:rFonts w:ascii="Arial" w:hAnsi="Arial" w:cs="Arial"/>
          <w:sz w:val="20"/>
          <w:szCs w:val="20"/>
        </w:rPr>
        <w:t xml:space="preserve">relevant </w:t>
      </w:r>
      <w:r w:rsidR="00C76ED2" w:rsidRPr="00F81500">
        <w:rPr>
          <w:rFonts w:ascii="Arial" w:hAnsi="Arial" w:cs="Arial"/>
          <w:sz w:val="20"/>
          <w:szCs w:val="20"/>
        </w:rPr>
        <w:t xml:space="preserve">client requests to set up third party operated accounts. </w:t>
      </w:r>
    </w:p>
    <w:p w14:paraId="5C01F125" w14:textId="77777777" w:rsidR="009B3A50" w:rsidRPr="00F81500" w:rsidRDefault="009B3A50" w:rsidP="00F81500">
      <w:pPr>
        <w:spacing w:after="0"/>
        <w:jc w:val="both"/>
        <w:rPr>
          <w:rFonts w:ascii="Arial" w:hAnsi="Arial" w:cs="Arial"/>
          <w:sz w:val="20"/>
          <w:szCs w:val="20"/>
        </w:rPr>
      </w:pPr>
    </w:p>
    <w:p w14:paraId="518D03F6" w14:textId="77777777" w:rsidR="004160CC" w:rsidRPr="00F81500" w:rsidRDefault="00906D57" w:rsidP="00F81500">
      <w:pPr>
        <w:spacing w:after="0"/>
        <w:jc w:val="both"/>
        <w:rPr>
          <w:rFonts w:ascii="Arial" w:hAnsi="Arial" w:cs="Arial"/>
          <w:sz w:val="20"/>
          <w:szCs w:val="20"/>
        </w:rPr>
      </w:pPr>
      <w:r w:rsidRPr="00F81500">
        <w:rPr>
          <w:rFonts w:ascii="Arial" w:hAnsi="Arial" w:cs="Arial"/>
          <w:sz w:val="20"/>
          <w:szCs w:val="20"/>
        </w:rPr>
        <w:t xml:space="preserve">The SFC </w:t>
      </w:r>
      <w:r w:rsidR="00E72674" w:rsidRPr="00F81500">
        <w:rPr>
          <w:rFonts w:ascii="Arial" w:hAnsi="Arial" w:cs="Arial"/>
          <w:sz w:val="20"/>
          <w:szCs w:val="20"/>
        </w:rPr>
        <w:t>further found that ZIFC had failed to</w:t>
      </w:r>
      <w:r w:rsidR="00D52D91" w:rsidRPr="00F81500">
        <w:rPr>
          <w:rFonts w:ascii="Arial" w:hAnsi="Arial" w:cs="Arial"/>
          <w:sz w:val="20"/>
          <w:szCs w:val="20"/>
        </w:rPr>
        <w:t xml:space="preserve"> </w:t>
      </w:r>
      <w:r w:rsidR="000D6D66">
        <w:rPr>
          <w:rFonts w:ascii="Arial" w:hAnsi="Arial" w:cs="Arial"/>
          <w:sz w:val="20"/>
          <w:szCs w:val="20"/>
        </w:rPr>
        <w:t>put</w:t>
      </w:r>
      <w:r w:rsidR="000D6D66" w:rsidRPr="00F81500">
        <w:rPr>
          <w:rFonts w:ascii="Arial" w:hAnsi="Arial" w:cs="Arial"/>
          <w:sz w:val="20"/>
          <w:szCs w:val="20"/>
        </w:rPr>
        <w:t xml:space="preserve"> </w:t>
      </w:r>
      <w:r w:rsidR="00D52D91" w:rsidRPr="00F81500">
        <w:rPr>
          <w:rFonts w:ascii="Arial" w:hAnsi="Arial" w:cs="Arial"/>
          <w:sz w:val="20"/>
          <w:szCs w:val="20"/>
        </w:rPr>
        <w:t>in place an effective ongoing monitoring system</w:t>
      </w:r>
      <w:r w:rsidR="000D6D66">
        <w:rPr>
          <w:rFonts w:ascii="Arial" w:hAnsi="Arial" w:cs="Arial"/>
          <w:sz w:val="20"/>
          <w:szCs w:val="20"/>
        </w:rPr>
        <w:t xml:space="preserve">, which led to its failure </w:t>
      </w:r>
      <w:r w:rsidR="004160CC" w:rsidRPr="00F81500">
        <w:rPr>
          <w:rFonts w:ascii="Arial" w:hAnsi="Arial" w:cs="Arial"/>
          <w:sz w:val="20"/>
          <w:szCs w:val="20"/>
        </w:rPr>
        <w:t>to detect:</w:t>
      </w:r>
    </w:p>
    <w:p w14:paraId="29DDE74F" w14:textId="77777777" w:rsidR="00B62232" w:rsidRPr="00F81500" w:rsidRDefault="00B62232" w:rsidP="00F81500">
      <w:pPr>
        <w:spacing w:after="0"/>
        <w:jc w:val="both"/>
        <w:rPr>
          <w:rFonts w:ascii="Arial" w:hAnsi="Arial" w:cs="Arial"/>
          <w:sz w:val="20"/>
          <w:szCs w:val="20"/>
        </w:rPr>
      </w:pPr>
    </w:p>
    <w:p w14:paraId="40FF8D9A" w14:textId="77777777" w:rsidR="004160CC" w:rsidRPr="00F81500" w:rsidRDefault="004160CC"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unusual money movements in three client accounts between January and August 2018</w:t>
      </w:r>
      <w:r w:rsidR="00B62232" w:rsidRPr="00F81500">
        <w:rPr>
          <w:rFonts w:ascii="Arial" w:hAnsi="Arial" w:cs="Arial"/>
          <w:sz w:val="20"/>
          <w:szCs w:val="20"/>
        </w:rPr>
        <w:t>; and</w:t>
      </w:r>
    </w:p>
    <w:p w14:paraId="26E826DC" w14:textId="77777777" w:rsidR="00B62232" w:rsidRPr="00F81500" w:rsidRDefault="00B62232" w:rsidP="00F81500">
      <w:pPr>
        <w:pStyle w:val="a4"/>
        <w:spacing w:after="0"/>
        <w:ind w:left="360" w:hanging="360"/>
        <w:jc w:val="both"/>
        <w:rPr>
          <w:rFonts w:ascii="Arial" w:hAnsi="Arial" w:cs="Arial"/>
          <w:sz w:val="20"/>
          <w:szCs w:val="20"/>
        </w:rPr>
      </w:pPr>
    </w:p>
    <w:p w14:paraId="33279E90" w14:textId="47CCDE75" w:rsidR="008309A9" w:rsidRPr="00F81500" w:rsidRDefault="004160CC"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1,052 instances of self-matched trades in two client accounts between March and May 2018</w:t>
      </w:r>
      <w:r w:rsidR="0032746B">
        <w:rPr>
          <w:rFonts w:ascii="Arial" w:hAnsi="Arial" w:cs="Arial"/>
          <w:sz w:val="20"/>
          <w:szCs w:val="20"/>
        </w:rPr>
        <w:t>.</w:t>
      </w:r>
      <w:r w:rsidR="000D6D66" w:rsidRPr="00F81500">
        <w:rPr>
          <w:rFonts w:ascii="Arial" w:hAnsi="Arial" w:cs="Arial"/>
          <w:sz w:val="20"/>
          <w:szCs w:val="20"/>
        </w:rPr>
        <w:t xml:space="preserve"> </w:t>
      </w:r>
      <w:r w:rsidR="0032746B">
        <w:rPr>
          <w:rFonts w:ascii="Arial" w:hAnsi="Arial" w:cs="Arial"/>
          <w:sz w:val="20"/>
          <w:szCs w:val="20"/>
        </w:rPr>
        <w:t>In s</w:t>
      </w:r>
      <w:r w:rsidR="008309A9" w:rsidRPr="00F81500">
        <w:rPr>
          <w:rFonts w:ascii="Arial" w:hAnsi="Arial" w:cs="Arial"/>
          <w:sz w:val="20"/>
          <w:szCs w:val="20"/>
        </w:rPr>
        <w:t>elf-matched trades</w:t>
      </w:r>
      <w:r w:rsidR="0032746B">
        <w:rPr>
          <w:rFonts w:ascii="Arial" w:hAnsi="Arial" w:cs="Arial"/>
          <w:sz w:val="20"/>
          <w:szCs w:val="20"/>
        </w:rPr>
        <w:t>,</w:t>
      </w:r>
      <w:r w:rsidR="008309A9" w:rsidRPr="00F81500">
        <w:rPr>
          <w:rFonts w:ascii="Arial" w:hAnsi="Arial" w:cs="Arial"/>
          <w:sz w:val="20"/>
          <w:szCs w:val="20"/>
        </w:rPr>
        <w:t xml:space="preserve"> clients’ orders are matched with their own orders in the opposite direction</w:t>
      </w:r>
      <w:r w:rsidR="000D6D66">
        <w:rPr>
          <w:rFonts w:ascii="Arial" w:hAnsi="Arial" w:cs="Arial"/>
          <w:sz w:val="20"/>
          <w:szCs w:val="20"/>
        </w:rPr>
        <w:t>, creating t</w:t>
      </w:r>
      <w:r w:rsidR="00906CFA">
        <w:rPr>
          <w:rFonts w:ascii="Arial" w:hAnsi="Arial" w:cs="Arial"/>
          <w:sz w:val="20"/>
          <w:szCs w:val="20"/>
        </w:rPr>
        <w:t>he illusion of trading and thus indicating market manipulation</w:t>
      </w:r>
      <w:r w:rsidR="008309A9" w:rsidRPr="00F81500">
        <w:rPr>
          <w:rFonts w:ascii="Arial" w:hAnsi="Arial" w:cs="Arial"/>
          <w:sz w:val="20"/>
          <w:szCs w:val="20"/>
        </w:rPr>
        <w:t>.</w:t>
      </w:r>
    </w:p>
    <w:p w14:paraId="11FACF96" w14:textId="77777777" w:rsidR="008309A9" w:rsidRPr="00F81500" w:rsidRDefault="008309A9" w:rsidP="00F81500">
      <w:pPr>
        <w:spacing w:after="0"/>
        <w:jc w:val="both"/>
        <w:rPr>
          <w:rFonts w:ascii="Arial" w:hAnsi="Arial" w:cs="Arial"/>
          <w:sz w:val="20"/>
          <w:szCs w:val="20"/>
        </w:rPr>
      </w:pPr>
    </w:p>
    <w:p w14:paraId="5DFA55BA" w14:textId="77777777" w:rsidR="006D2CC7" w:rsidRDefault="006D2CC7" w:rsidP="00F81500">
      <w:pPr>
        <w:spacing w:after="0"/>
        <w:jc w:val="both"/>
        <w:rPr>
          <w:rFonts w:ascii="Arial" w:hAnsi="Arial" w:cs="Arial"/>
          <w:sz w:val="20"/>
          <w:szCs w:val="20"/>
        </w:rPr>
      </w:pPr>
      <w:r w:rsidRPr="00F81500">
        <w:rPr>
          <w:rFonts w:ascii="Arial" w:hAnsi="Arial" w:cs="Arial"/>
          <w:sz w:val="20"/>
          <w:szCs w:val="20"/>
        </w:rPr>
        <w:lastRenderedPageBreak/>
        <w:t xml:space="preserve">The SFC considered that </w:t>
      </w:r>
      <w:r w:rsidR="00A375D1">
        <w:rPr>
          <w:rFonts w:ascii="Arial" w:hAnsi="Arial" w:cs="Arial"/>
          <w:sz w:val="20"/>
          <w:szCs w:val="20"/>
        </w:rPr>
        <w:t xml:space="preserve">ZIFC’s conduct breached the </w:t>
      </w:r>
      <w:r w:rsidRPr="00F81500">
        <w:rPr>
          <w:rFonts w:ascii="Arial" w:hAnsi="Arial" w:cs="Arial"/>
          <w:sz w:val="20"/>
          <w:szCs w:val="20"/>
        </w:rPr>
        <w:t>Anti-Money Laundering and Counter-Terrorist Financing Ordinance (</w:t>
      </w:r>
      <w:r w:rsidRPr="00F81500">
        <w:rPr>
          <w:rFonts w:ascii="Arial" w:hAnsi="Arial" w:cs="Arial"/>
          <w:b/>
          <w:sz w:val="20"/>
          <w:szCs w:val="20"/>
        </w:rPr>
        <w:t>AML/CTF Ordinance</w:t>
      </w:r>
      <w:r w:rsidRPr="00F81500">
        <w:rPr>
          <w:rFonts w:ascii="Arial" w:hAnsi="Arial" w:cs="Arial"/>
          <w:sz w:val="20"/>
          <w:szCs w:val="20"/>
        </w:rPr>
        <w:t>), the SFC’s Guideline on Anti-Money Laundering and Counter</w:t>
      </w:r>
      <w:r w:rsidR="00641B12">
        <w:rPr>
          <w:rFonts w:ascii="Arial" w:hAnsi="Arial" w:cs="Arial"/>
          <w:sz w:val="20"/>
          <w:szCs w:val="20"/>
        </w:rPr>
        <w:t>-Terrorist</w:t>
      </w:r>
      <w:r w:rsidRPr="00F81500">
        <w:rPr>
          <w:rFonts w:ascii="Arial" w:hAnsi="Arial" w:cs="Arial"/>
          <w:sz w:val="20"/>
          <w:szCs w:val="20"/>
        </w:rPr>
        <w:t xml:space="preserve"> Financing (</w:t>
      </w:r>
      <w:r w:rsidRPr="00F81500">
        <w:rPr>
          <w:rFonts w:ascii="Arial" w:hAnsi="Arial" w:cs="Arial"/>
          <w:b/>
          <w:sz w:val="20"/>
          <w:szCs w:val="20"/>
        </w:rPr>
        <w:t>AML/CTF Guideline</w:t>
      </w:r>
      <w:r w:rsidRPr="00F81500">
        <w:rPr>
          <w:rFonts w:ascii="Arial" w:hAnsi="Arial" w:cs="Arial"/>
          <w:sz w:val="20"/>
          <w:szCs w:val="20"/>
        </w:rPr>
        <w:t>) and the SFC Code of Conduct.</w:t>
      </w:r>
    </w:p>
    <w:p w14:paraId="67B7AF2A" w14:textId="77777777" w:rsidR="008C16C7" w:rsidRPr="00F81500" w:rsidRDefault="008C16C7" w:rsidP="00F81500">
      <w:pPr>
        <w:spacing w:after="0"/>
        <w:jc w:val="both"/>
        <w:rPr>
          <w:rFonts w:ascii="Arial" w:hAnsi="Arial" w:cs="Arial"/>
          <w:sz w:val="20"/>
          <w:szCs w:val="20"/>
        </w:rPr>
      </w:pPr>
    </w:p>
    <w:p w14:paraId="0CC7BBFF" w14:textId="4911666E" w:rsidR="00B60965" w:rsidRPr="00F81500" w:rsidRDefault="001D626B" w:rsidP="00F81500">
      <w:pPr>
        <w:spacing w:after="0"/>
        <w:jc w:val="both"/>
        <w:rPr>
          <w:rFonts w:ascii="Arial" w:hAnsi="Arial" w:cs="Arial"/>
          <w:b/>
          <w:color w:val="000000" w:themeColor="text1"/>
          <w:sz w:val="20"/>
          <w:szCs w:val="20"/>
        </w:rPr>
      </w:pPr>
      <w:r>
        <w:rPr>
          <w:rFonts w:ascii="Arial" w:hAnsi="Arial" w:cs="Arial"/>
          <w:b/>
          <w:color w:val="000000" w:themeColor="text1"/>
          <w:sz w:val="20"/>
          <w:szCs w:val="20"/>
        </w:rPr>
        <w:t>Breach of</w:t>
      </w:r>
      <w:r w:rsidR="00B60965" w:rsidRPr="00F81500">
        <w:rPr>
          <w:rFonts w:ascii="Arial" w:hAnsi="Arial" w:cs="Arial"/>
          <w:b/>
          <w:color w:val="000000" w:themeColor="text1"/>
          <w:sz w:val="20"/>
          <w:szCs w:val="20"/>
        </w:rPr>
        <w:t xml:space="preserve"> </w:t>
      </w:r>
      <w:r w:rsidR="00F52F5C" w:rsidRPr="00F81500">
        <w:rPr>
          <w:rFonts w:ascii="Arial" w:hAnsi="Arial" w:cs="Arial"/>
          <w:b/>
          <w:color w:val="000000" w:themeColor="text1"/>
          <w:sz w:val="20"/>
          <w:szCs w:val="20"/>
        </w:rPr>
        <w:t xml:space="preserve">Cybersecurity </w:t>
      </w:r>
      <w:r w:rsidR="00B60965" w:rsidRPr="00F81500">
        <w:rPr>
          <w:rFonts w:ascii="Arial" w:hAnsi="Arial" w:cs="Arial"/>
          <w:b/>
          <w:color w:val="000000" w:themeColor="text1"/>
          <w:sz w:val="20"/>
          <w:szCs w:val="20"/>
        </w:rPr>
        <w:t>Guidelines</w:t>
      </w:r>
    </w:p>
    <w:p w14:paraId="6583E207" w14:textId="77777777" w:rsidR="00B60965" w:rsidRPr="00F81500" w:rsidRDefault="00B60965" w:rsidP="00F81500">
      <w:pPr>
        <w:spacing w:after="0"/>
        <w:jc w:val="both"/>
        <w:rPr>
          <w:rFonts w:ascii="Arial" w:hAnsi="Arial" w:cs="Arial"/>
          <w:b/>
          <w:sz w:val="20"/>
          <w:szCs w:val="20"/>
        </w:rPr>
      </w:pPr>
    </w:p>
    <w:p w14:paraId="0F830FD2" w14:textId="1D2E31C3" w:rsidR="0079152B" w:rsidRDefault="00614007" w:rsidP="00F81500">
      <w:pPr>
        <w:spacing w:after="0"/>
        <w:jc w:val="both"/>
        <w:rPr>
          <w:rFonts w:ascii="Arial" w:hAnsi="Arial" w:cs="Arial"/>
          <w:sz w:val="20"/>
          <w:szCs w:val="20"/>
        </w:rPr>
      </w:pPr>
      <w:r w:rsidRPr="00F81500">
        <w:rPr>
          <w:rFonts w:ascii="Arial" w:hAnsi="Arial" w:cs="Arial"/>
          <w:sz w:val="20"/>
          <w:szCs w:val="20"/>
        </w:rPr>
        <w:t>In addition, the SFC found</w:t>
      </w:r>
      <w:r w:rsidR="008C16C7" w:rsidRPr="00F81500">
        <w:rPr>
          <w:rFonts w:ascii="Arial" w:hAnsi="Arial" w:cs="Arial"/>
          <w:sz w:val="20"/>
          <w:szCs w:val="20"/>
        </w:rPr>
        <w:t xml:space="preserve"> that </w:t>
      </w:r>
      <w:r w:rsidR="00147285" w:rsidRPr="00F81500">
        <w:rPr>
          <w:rFonts w:ascii="Arial" w:hAnsi="Arial" w:cs="Arial"/>
          <w:sz w:val="20"/>
          <w:szCs w:val="20"/>
        </w:rPr>
        <w:t>ZIFC</w:t>
      </w:r>
      <w:r w:rsidR="00101D5A">
        <w:rPr>
          <w:rFonts w:ascii="Arial" w:hAnsi="Arial" w:cs="Arial"/>
          <w:sz w:val="20"/>
          <w:szCs w:val="20"/>
        </w:rPr>
        <w:t>, as a licensed corporation,</w:t>
      </w:r>
      <w:r w:rsidR="00147285" w:rsidRPr="00F81500">
        <w:rPr>
          <w:rFonts w:ascii="Arial" w:hAnsi="Arial" w:cs="Arial"/>
          <w:sz w:val="20"/>
          <w:szCs w:val="20"/>
        </w:rPr>
        <w:t xml:space="preserve"> ha</w:t>
      </w:r>
      <w:r w:rsidR="001C2C36">
        <w:rPr>
          <w:rFonts w:ascii="Arial" w:hAnsi="Arial" w:cs="Arial"/>
          <w:sz w:val="20"/>
          <w:szCs w:val="20"/>
        </w:rPr>
        <w:t>d</w:t>
      </w:r>
      <w:r w:rsidR="00147285" w:rsidRPr="00F81500">
        <w:rPr>
          <w:rFonts w:ascii="Arial" w:hAnsi="Arial" w:cs="Arial"/>
          <w:sz w:val="20"/>
          <w:szCs w:val="20"/>
        </w:rPr>
        <w:t xml:space="preserve"> fai</w:t>
      </w:r>
      <w:r w:rsidR="00B60965" w:rsidRPr="00F81500">
        <w:rPr>
          <w:rFonts w:ascii="Arial" w:hAnsi="Arial" w:cs="Arial"/>
          <w:sz w:val="20"/>
          <w:szCs w:val="20"/>
        </w:rPr>
        <w:t>led to implement two-factor authentication (</w:t>
      </w:r>
      <w:r w:rsidR="00B60965" w:rsidRPr="00F81500">
        <w:rPr>
          <w:rFonts w:ascii="Arial" w:hAnsi="Arial" w:cs="Arial"/>
          <w:b/>
          <w:sz w:val="20"/>
          <w:szCs w:val="20"/>
        </w:rPr>
        <w:t>2FA</w:t>
      </w:r>
      <w:r w:rsidR="00B60965" w:rsidRPr="00F81500">
        <w:rPr>
          <w:rFonts w:ascii="Arial" w:hAnsi="Arial" w:cs="Arial"/>
          <w:sz w:val="20"/>
          <w:szCs w:val="20"/>
        </w:rPr>
        <w:t xml:space="preserve">) for clients </w:t>
      </w:r>
      <w:r w:rsidR="001C2C36">
        <w:rPr>
          <w:rFonts w:ascii="Arial" w:hAnsi="Arial" w:cs="Arial"/>
          <w:sz w:val="20"/>
          <w:szCs w:val="20"/>
        </w:rPr>
        <w:t xml:space="preserve">to </w:t>
      </w:r>
      <w:r w:rsidR="00B60965" w:rsidRPr="00F81500">
        <w:rPr>
          <w:rFonts w:ascii="Arial" w:hAnsi="Arial" w:cs="Arial"/>
          <w:sz w:val="20"/>
          <w:szCs w:val="20"/>
        </w:rPr>
        <w:t xml:space="preserve">log into their internet trading accounts </w:t>
      </w:r>
      <w:r w:rsidR="00101D5A">
        <w:rPr>
          <w:rFonts w:ascii="Arial" w:hAnsi="Arial" w:cs="Arial"/>
          <w:sz w:val="20"/>
          <w:szCs w:val="20"/>
        </w:rPr>
        <w:t>using</w:t>
      </w:r>
      <w:r w:rsidR="00101D5A" w:rsidRPr="00F81500">
        <w:rPr>
          <w:rFonts w:ascii="Arial" w:hAnsi="Arial" w:cs="Arial"/>
          <w:sz w:val="20"/>
          <w:szCs w:val="20"/>
        </w:rPr>
        <w:t xml:space="preserve"> </w:t>
      </w:r>
      <w:r w:rsidR="001C2C36">
        <w:rPr>
          <w:rFonts w:ascii="Arial" w:hAnsi="Arial" w:cs="Arial"/>
          <w:sz w:val="20"/>
          <w:szCs w:val="20"/>
        </w:rPr>
        <w:t xml:space="preserve">its </w:t>
      </w:r>
      <w:r w:rsidR="00B60965" w:rsidRPr="00F81500">
        <w:rPr>
          <w:rFonts w:ascii="Arial" w:hAnsi="Arial" w:cs="Arial"/>
          <w:sz w:val="20"/>
          <w:szCs w:val="20"/>
        </w:rPr>
        <w:t>CSSs</w:t>
      </w:r>
      <w:r w:rsidR="00101D5A">
        <w:rPr>
          <w:rFonts w:ascii="Arial" w:hAnsi="Arial" w:cs="Arial"/>
          <w:sz w:val="20"/>
          <w:szCs w:val="20"/>
        </w:rPr>
        <w:t xml:space="preserve"> for a period of six months in 2018, in breach of </w:t>
      </w:r>
      <w:r w:rsidR="00A375D1">
        <w:rPr>
          <w:rFonts w:ascii="Arial" w:hAnsi="Arial" w:cs="Arial"/>
          <w:sz w:val="20"/>
          <w:szCs w:val="20"/>
        </w:rPr>
        <w:t xml:space="preserve">the </w:t>
      </w:r>
      <w:r w:rsidR="00101D5A">
        <w:rPr>
          <w:rFonts w:ascii="Arial" w:hAnsi="Arial" w:cs="Arial"/>
          <w:sz w:val="20"/>
          <w:szCs w:val="20"/>
        </w:rPr>
        <w:t xml:space="preserve">SFC’s </w:t>
      </w:r>
      <w:r w:rsidR="00101D5A" w:rsidRPr="00E16826">
        <w:rPr>
          <w:rFonts w:ascii="Arial" w:hAnsi="Arial" w:cs="Arial"/>
          <w:sz w:val="20"/>
          <w:szCs w:val="20"/>
        </w:rPr>
        <w:t>Cybersecurity Guidelines</w:t>
      </w:r>
      <w:r w:rsidR="00101D5A">
        <w:rPr>
          <w:rFonts w:ascii="Arial" w:hAnsi="Arial" w:cs="Arial"/>
          <w:sz w:val="20"/>
          <w:szCs w:val="20"/>
        </w:rPr>
        <w:t xml:space="preserve"> on 2FA requirements which took effect in April 2018.</w:t>
      </w:r>
    </w:p>
    <w:p w14:paraId="3202A6A2" w14:textId="77777777" w:rsidR="0079152B" w:rsidRDefault="0079152B" w:rsidP="00F81500">
      <w:pPr>
        <w:spacing w:after="0"/>
        <w:jc w:val="both"/>
        <w:rPr>
          <w:rFonts w:ascii="Arial" w:hAnsi="Arial" w:cs="Arial"/>
          <w:sz w:val="20"/>
          <w:szCs w:val="20"/>
        </w:rPr>
      </w:pPr>
    </w:p>
    <w:p w14:paraId="2ABF694C" w14:textId="77777777" w:rsidR="0079152B" w:rsidRPr="00F81500" w:rsidRDefault="0079152B" w:rsidP="0079152B">
      <w:pPr>
        <w:spacing w:after="0"/>
        <w:jc w:val="both"/>
        <w:rPr>
          <w:rFonts w:ascii="Arial" w:hAnsi="Arial" w:cs="Arial"/>
          <w:b/>
          <w:sz w:val="20"/>
          <w:szCs w:val="20"/>
        </w:rPr>
      </w:pPr>
      <w:r w:rsidRPr="00F81500">
        <w:rPr>
          <w:rFonts w:ascii="Arial" w:hAnsi="Arial" w:cs="Arial"/>
          <w:b/>
          <w:sz w:val="20"/>
          <w:szCs w:val="20"/>
        </w:rPr>
        <w:t>SFC disciplinary action for misconduct and breach of SFC and AML/CFT rules</w:t>
      </w:r>
      <w:r w:rsidR="008E134F">
        <w:rPr>
          <w:rFonts w:ascii="Arial" w:hAnsi="Arial" w:cs="Arial"/>
          <w:b/>
          <w:sz w:val="20"/>
          <w:szCs w:val="20"/>
        </w:rPr>
        <w:t xml:space="preserve"> and Cybersecurity Guidelines</w:t>
      </w:r>
      <w:r w:rsidR="00B4371A" w:rsidRPr="00F81500">
        <w:rPr>
          <w:rStyle w:val="aa"/>
          <w:rFonts w:ascii="Arial" w:hAnsi="Arial" w:cs="Arial"/>
          <w:b/>
          <w:color w:val="000000" w:themeColor="text1"/>
          <w:sz w:val="20"/>
          <w:szCs w:val="20"/>
        </w:rPr>
        <w:footnoteReference w:id="2"/>
      </w:r>
      <w:r w:rsidRPr="00F81500">
        <w:rPr>
          <w:rFonts w:ascii="Arial" w:hAnsi="Arial" w:cs="Arial"/>
          <w:b/>
          <w:color w:val="000000" w:themeColor="text1"/>
          <w:sz w:val="20"/>
          <w:szCs w:val="20"/>
        </w:rPr>
        <w:t xml:space="preserve"> </w:t>
      </w:r>
    </w:p>
    <w:p w14:paraId="0C37574A" w14:textId="77777777" w:rsidR="0079152B" w:rsidRDefault="0079152B" w:rsidP="0079152B">
      <w:pPr>
        <w:spacing w:after="0"/>
        <w:jc w:val="both"/>
        <w:rPr>
          <w:rFonts w:ascii="Arial" w:hAnsi="Arial" w:cs="Arial"/>
          <w:sz w:val="20"/>
          <w:szCs w:val="20"/>
        </w:rPr>
      </w:pPr>
    </w:p>
    <w:p w14:paraId="421C5AB8" w14:textId="046DE010" w:rsidR="0079152B" w:rsidRPr="00501ACE" w:rsidRDefault="0079152B" w:rsidP="0079152B">
      <w:pPr>
        <w:spacing w:after="0"/>
        <w:jc w:val="both"/>
        <w:rPr>
          <w:rFonts w:ascii="Arial" w:hAnsi="Arial" w:cs="Arial"/>
          <w:sz w:val="20"/>
          <w:szCs w:val="20"/>
        </w:rPr>
      </w:pPr>
      <w:r>
        <w:rPr>
          <w:rFonts w:ascii="Arial" w:hAnsi="Arial" w:cs="Arial"/>
          <w:sz w:val="20"/>
          <w:szCs w:val="20"/>
        </w:rPr>
        <w:t xml:space="preserve">To send a strong deterrent message, the </w:t>
      </w:r>
      <w:r w:rsidR="00075932">
        <w:rPr>
          <w:rFonts w:ascii="Arial" w:hAnsi="Arial" w:cs="Arial"/>
          <w:sz w:val="20"/>
          <w:szCs w:val="20"/>
        </w:rPr>
        <w:t xml:space="preserve">SFC </w:t>
      </w:r>
      <w:r>
        <w:rPr>
          <w:rFonts w:ascii="Arial" w:hAnsi="Arial" w:cs="Arial"/>
          <w:sz w:val="20"/>
          <w:szCs w:val="20"/>
        </w:rPr>
        <w:t>reprimanded and fined ZIFC HK$5 million</w:t>
      </w:r>
      <w:r w:rsidR="008E134F">
        <w:rPr>
          <w:rFonts w:ascii="Arial" w:hAnsi="Arial" w:cs="Arial"/>
          <w:sz w:val="20"/>
          <w:szCs w:val="20"/>
        </w:rPr>
        <w:t xml:space="preserve"> under </w:t>
      </w:r>
      <w:r w:rsidR="008E134F" w:rsidRPr="00FB1E84">
        <w:rPr>
          <w:rFonts w:ascii="Arial" w:hAnsi="Arial" w:cs="Arial"/>
          <w:sz w:val="20"/>
          <w:szCs w:val="20"/>
        </w:rPr>
        <w:t xml:space="preserve">section 194 of the SFO for its failures to comply with AML/CTF and other regulatory requirements </w:t>
      </w:r>
      <w:r>
        <w:rPr>
          <w:rFonts w:ascii="Arial" w:hAnsi="Arial" w:cs="Arial"/>
          <w:sz w:val="20"/>
          <w:szCs w:val="20"/>
        </w:rPr>
        <w:t xml:space="preserve">and </w:t>
      </w:r>
      <w:r w:rsidR="008E134F">
        <w:rPr>
          <w:rFonts w:ascii="Arial" w:hAnsi="Arial" w:cs="Arial"/>
          <w:sz w:val="20"/>
          <w:szCs w:val="20"/>
        </w:rPr>
        <w:t>suspended</w:t>
      </w:r>
      <w:r>
        <w:rPr>
          <w:rFonts w:ascii="Arial" w:hAnsi="Arial" w:cs="Arial"/>
          <w:sz w:val="20"/>
          <w:szCs w:val="20"/>
        </w:rPr>
        <w:t xml:space="preserve"> the company’s responsible officer and executive director at the material time for seven months</w:t>
      </w:r>
      <w:r w:rsidR="00B4371A">
        <w:rPr>
          <w:rFonts w:ascii="Arial" w:hAnsi="Arial" w:cs="Arial"/>
          <w:sz w:val="20"/>
          <w:szCs w:val="20"/>
        </w:rPr>
        <w:t xml:space="preserve"> for his failure to discharge his duties as a </w:t>
      </w:r>
      <w:r w:rsidR="00A375D1">
        <w:rPr>
          <w:rFonts w:ascii="Arial" w:hAnsi="Arial" w:cs="Arial"/>
          <w:sz w:val="20"/>
          <w:szCs w:val="20"/>
        </w:rPr>
        <w:t>responsible officer</w:t>
      </w:r>
      <w:r w:rsidR="006F5A6D">
        <w:rPr>
          <w:rFonts w:ascii="Arial" w:hAnsi="Arial" w:cs="Arial"/>
          <w:sz w:val="20"/>
          <w:szCs w:val="20"/>
        </w:rPr>
        <w:t xml:space="preserve"> and</w:t>
      </w:r>
      <w:r w:rsidR="00B4371A">
        <w:rPr>
          <w:rFonts w:ascii="Arial" w:hAnsi="Arial" w:cs="Arial"/>
          <w:sz w:val="20"/>
          <w:szCs w:val="20"/>
        </w:rPr>
        <w:t xml:space="preserve"> ensuring that the company maintained appropriate standards of conduct and procedures to properly manage the risks associated with its business operations</w:t>
      </w:r>
      <w:r w:rsidR="004E314B">
        <w:rPr>
          <w:rFonts w:ascii="Arial" w:hAnsi="Arial" w:cs="Arial"/>
          <w:sz w:val="20"/>
          <w:szCs w:val="20"/>
        </w:rPr>
        <w:t xml:space="preserve">. </w:t>
      </w:r>
      <w:r>
        <w:rPr>
          <w:rFonts w:ascii="Arial" w:hAnsi="Arial" w:cs="Arial"/>
          <w:sz w:val="20"/>
          <w:szCs w:val="20"/>
        </w:rPr>
        <w:t xml:space="preserve"> </w:t>
      </w:r>
    </w:p>
    <w:p w14:paraId="54D11E75" w14:textId="77777777" w:rsidR="00D2075C" w:rsidRDefault="00D2075C" w:rsidP="00F81500">
      <w:pPr>
        <w:spacing w:after="0"/>
        <w:jc w:val="both"/>
        <w:rPr>
          <w:rFonts w:ascii="Arial" w:hAnsi="Arial" w:cs="Arial"/>
          <w:color w:val="FF0000"/>
          <w:sz w:val="20"/>
          <w:szCs w:val="20"/>
        </w:rPr>
      </w:pPr>
    </w:p>
    <w:p w14:paraId="758A51A2" w14:textId="77777777" w:rsidR="008E134F" w:rsidRPr="00F81500" w:rsidRDefault="00D057BE" w:rsidP="00F81500">
      <w:pPr>
        <w:spacing w:after="0"/>
        <w:jc w:val="both"/>
        <w:rPr>
          <w:rFonts w:ascii="Arial" w:hAnsi="Arial" w:cs="Arial"/>
          <w:b/>
          <w:color w:val="FF0000"/>
          <w:sz w:val="20"/>
          <w:szCs w:val="20"/>
        </w:rPr>
      </w:pPr>
      <w:r>
        <w:rPr>
          <w:rFonts w:ascii="Arial" w:hAnsi="Arial" w:cs="Arial"/>
          <w:b/>
          <w:color w:val="FF0000"/>
          <w:sz w:val="20"/>
          <w:szCs w:val="20"/>
        </w:rPr>
        <w:t xml:space="preserve">Hong Kong </w:t>
      </w:r>
      <w:r w:rsidR="00C21D36" w:rsidRPr="00F81500">
        <w:rPr>
          <w:rFonts w:ascii="Arial" w:hAnsi="Arial" w:cs="Arial"/>
          <w:b/>
          <w:color w:val="FF0000"/>
          <w:sz w:val="20"/>
          <w:szCs w:val="20"/>
        </w:rPr>
        <w:t xml:space="preserve">Market Misconduct Tribunal sanctions Tianhe Chemicals Group Limited and its executive director for </w:t>
      </w:r>
      <w:r w:rsidR="007A390E">
        <w:rPr>
          <w:rFonts w:ascii="Arial" w:hAnsi="Arial" w:cs="Arial"/>
          <w:b/>
          <w:color w:val="FF0000"/>
          <w:sz w:val="20"/>
          <w:szCs w:val="20"/>
        </w:rPr>
        <w:t>false or misleading</w:t>
      </w:r>
      <w:r>
        <w:rPr>
          <w:rFonts w:ascii="Arial" w:hAnsi="Arial" w:cs="Arial"/>
          <w:b/>
          <w:color w:val="FF0000"/>
          <w:sz w:val="20"/>
          <w:szCs w:val="20"/>
        </w:rPr>
        <w:t xml:space="preserve"> IPO</w:t>
      </w:r>
      <w:r w:rsidR="00C21D36" w:rsidRPr="00F81500">
        <w:rPr>
          <w:rFonts w:ascii="Arial" w:hAnsi="Arial" w:cs="Arial"/>
          <w:b/>
          <w:color w:val="FF0000"/>
          <w:sz w:val="20"/>
          <w:szCs w:val="20"/>
        </w:rPr>
        <w:t xml:space="preserve"> prospectus</w:t>
      </w:r>
      <w:r w:rsidR="00C21D36">
        <w:rPr>
          <w:rStyle w:val="aa"/>
          <w:rFonts w:ascii="Arial" w:hAnsi="Arial" w:cs="Arial"/>
          <w:b/>
          <w:color w:val="FF0000"/>
          <w:sz w:val="20"/>
          <w:szCs w:val="20"/>
        </w:rPr>
        <w:footnoteReference w:id="3"/>
      </w:r>
      <w:r w:rsidR="00C21D36" w:rsidRPr="00F81500">
        <w:rPr>
          <w:rFonts w:ascii="Arial" w:hAnsi="Arial" w:cs="Arial"/>
          <w:b/>
          <w:color w:val="FF0000"/>
          <w:sz w:val="20"/>
          <w:szCs w:val="20"/>
        </w:rPr>
        <w:t xml:space="preserve"> </w:t>
      </w:r>
    </w:p>
    <w:p w14:paraId="566A999A" w14:textId="77777777" w:rsidR="008E134F" w:rsidRPr="00F81500" w:rsidRDefault="008E134F" w:rsidP="00F81500">
      <w:pPr>
        <w:spacing w:after="0"/>
        <w:jc w:val="both"/>
        <w:rPr>
          <w:rFonts w:ascii="Arial" w:hAnsi="Arial" w:cs="Arial"/>
          <w:b/>
          <w:color w:val="000000" w:themeColor="text1"/>
          <w:sz w:val="20"/>
          <w:szCs w:val="20"/>
        </w:rPr>
      </w:pPr>
    </w:p>
    <w:p w14:paraId="52939C8F" w14:textId="77777777" w:rsidR="00D2075C" w:rsidRPr="00F81500" w:rsidRDefault="00B504C7"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 xml:space="preserve">Issuing false or misleading </w:t>
      </w:r>
      <w:r w:rsidR="004770A0">
        <w:rPr>
          <w:rFonts w:ascii="Arial" w:hAnsi="Arial" w:cs="Arial"/>
          <w:b/>
          <w:color w:val="000000" w:themeColor="text1"/>
          <w:sz w:val="20"/>
          <w:szCs w:val="20"/>
        </w:rPr>
        <w:t xml:space="preserve">HKEX </w:t>
      </w:r>
      <w:r w:rsidRPr="00F81500">
        <w:rPr>
          <w:rFonts w:ascii="Arial" w:hAnsi="Arial" w:cs="Arial"/>
          <w:b/>
          <w:color w:val="000000" w:themeColor="text1"/>
          <w:sz w:val="20"/>
          <w:szCs w:val="20"/>
        </w:rPr>
        <w:t>IPO prospectus</w:t>
      </w:r>
    </w:p>
    <w:p w14:paraId="03E9FE35" w14:textId="77777777" w:rsidR="00B504C7" w:rsidRPr="00F81500" w:rsidRDefault="00B504C7" w:rsidP="00F81500">
      <w:pPr>
        <w:spacing w:after="0"/>
        <w:jc w:val="both"/>
        <w:rPr>
          <w:rFonts w:ascii="Arial" w:hAnsi="Arial" w:cs="Arial"/>
          <w:b/>
          <w:sz w:val="20"/>
          <w:szCs w:val="20"/>
        </w:rPr>
      </w:pPr>
    </w:p>
    <w:p w14:paraId="42C9EC14" w14:textId="4895E015" w:rsidR="00B504C7" w:rsidRPr="00F81500" w:rsidRDefault="001917D5" w:rsidP="00F81500">
      <w:pPr>
        <w:spacing w:after="0"/>
        <w:jc w:val="both"/>
        <w:rPr>
          <w:rFonts w:ascii="Arial" w:hAnsi="Arial" w:cs="Arial"/>
          <w:sz w:val="20"/>
          <w:szCs w:val="20"/>
        </w:rPr>
      </w:pPr>
      <w:r w:rsidRPr="00F81500">
        <w:rPr>
          <w:rFonts w:ascii="Arial" w:hAnsi="Arial" w:cs="Arial"/>
          <w:sz w:val="20"/>
          <w:szCs w:val="20"/>
        </w:rPr>
        <w:t>On 9 June 2014, Tianhe Chemicals Group Limited (</w:t>
      </w:r>
      <w:r w:rsidRPr="00F81500">
        <w:rPr>
          <w:rFonts w:ascii="Arial" w:hAnsi="Arial" w:cs="Arial"/>
          <w:b/>
          <w:sz w:val="20"/>
          <w:szCs w:val="20"/>
        </w:rPr>
        <w:t>Tianhe</w:t>
      </w:r>
      <w:r w:rsidRPr="00F81500">
        <w:rPr>
          <w:rFonts w:ascii="Arial" w:hAnsi="Arial" w:cs="Arial"/>
          <w:sz w:val="20"/>
          <w:szCs w:val="20"/>
        </w:rPr>
        <w:t xml:space="preserve">) issued the prospectus for its initial public offering </w:t>
      </w:r>
      <w:r w:rsidR="004770A0">
        <w:rPr>
          <w:rFonts w:ascii="Arial" w:hAnsi="Arial" w:cs="Arial"/>
          <w:sz w:val="20"/>
          <w:szCs w:val="20"/>
        </w:rPr>
        <w:t>o</w:t>
      </w:r>
      <w:r w:rsidRPr="00F81500">
        <w:rPr>
          <w:rFonts w:ascii="Arial" w:hAnsi="Arial" w:cs="Arial"/>
          <w:sz w:val="20"/>
          <w:szCs w:val="20"/>
        </w:rPr>
        <w:t xml:space="preserve">n </w:t>
      </w:r>
      <w:r w:rsidR="004770A0">
        <w:rPr>
          <w:rFonts w:ascii="Arial" w:hAnsi="Arial" w:cs="Arial"/>
          <w:sz w:val="20"/>
          <w:szCs w:val="20"/>
        </w:rPr>
        <w:t xml:space="preserve">the </w:t>
      </w:r>
      <w:r w:rsidRPr="00F81500">
        <w:rPr>
          <w:rFonts w:ascii="Arial" w:hAnsi="Arial" w:cs="Arial"/>
          <w:sz w:val="20"/>
          <w:szCs w:val="20"/>
        </w:rPr>
        <w:t xml:space="preserve">Hong Kong </w:t>
      </w:r>
      <w:r w:rsidR="004770A0">
        <w:rPr>
          <w:rFonts w:ascii="Arial" w:hAnsi="Arial" w:cs="Arial"/>
          <w:sz w:val="20"/>
          <w:szCs w:val="20"/>
        </w:rPr>
        <w:t xml:space="preserve">Stock Exchange </w:t>
      </w:r>
      <w:r w:rsidR="00405FA8" w:rsidRPr="00F81500">
        <w:rPr>
          <w:rFonts w:ascii="Arial" w:hAnsi="Arial" w:cs="Arial"/>
          <w:sz w:val="20"/>
          <w:szCs w:val="20"/>
        </w:rPr>
        <w:t>(</w:t>
      </w:r>
      <w:r w:rsidR="00405FA8" w:rsidRPr="00F81500">
        <w:rPr>
          <w:rFonts w:ascii="Arial" w:hAnsi="Arial" w:cs="Arial"/>
          <w:b/>
          <w:sz w:val="20"/>
          <w:szCs w:val="20"/>
        </w:rPr>
        <w:t>Prospectus</w:t>
      </w:r>
      <w:r w:rsidR="00405FA8" w:rsidRPr="00F81500">
        <w:rPr>
          <w:rFonts w:ascii="Arial" w:hAnsi="Arial" w:cs="Arial"/>
          <w:sz w:val="20"/>
          <w:szCs w:val="20"/>
        </w:rPr>
        <w:t xml:space="preserve">) </w:t>
      </w:r>
      <w:r w:rsidR="004770A0">
        <w:rPr>
          <w:rFonts w:ascii="Arial" w:hAnsi="Arial" w:cs="Arial"/>
          <w:sz w:val="20"/>
          <w:szCs w:val="20"/>
        </w:rPr>
        <w:t xml:space="preserve">which </w:t>
      </w:r>
      <w:r w:rsidRPr="00F81500">
        <w:rPr>
          <w:rFonts w:ascii="Arial" w:hAnsi="Arial" w:cs="Arial"/>
          <w:sz w:val="20"/>
          <w:szCs w:val="20"/>
        </w:rPr>
        <w:t xml:space="preserve">raised net proceeds of approximately HK$3.52 billion. </w:t>
      </w:r>
      <w:r w:rsidR="00C01821">
        <w:rPr>
          <w:rFonts w:ascii="Arial" w:hAnsi="Arial" w:cs="Arial"/>
          <w:sz w:val="20"/>
          <w:szCs w:val="20"/>
        </w:rPr>
        <w:t>F</w:t>
      </w:r>
      <w:r w:rsidR="00C01821" w:rsidRPr="006F40A2">
        <w:rPr>
          <w:rFonts w:ascii="Arial" w:hAnsi="Arial" w:cs="Arial"/>
          <w:sz w:val="20"/>
          <w:szCs w:val="20"/>
        </w:rPr>
        <w:t>ollowing proceedings brought by the SFC</w:t>
      </w:r>
      <w:r w:rsidR="006F5A6D">
        <w:rPr>
          <w:rFonts w:ascii="Arial" w:hAnsi="Arial" w:cs="Arial"/>
          <w:sz w:val="20"/>
          <w:szCs w:val="20"/>
        </w:rPr>
        <w:t xml:space="preserve"> against Tianhe</w:t>
      </w:r>
      <w:r w:rsidR="00C01821" w:rsidRPr="006F40A2">
        <w:rPr>
          <w:rFonts w:ascii="Arial" w:hAnsi="Arial" w:cs="Arial"/>
          <w:sz w:val="20"/>
          <w:szCs w:val="20"/>
        </w:rPr>
        <w:t xml:space="preserve"> for market misconduct under section 277 of the SFO</w:t>
      </w:r>
      <w:r w:rsidR="00C01821">
        <w:rPr>
          <w:rFonts w:ascii="Arial" w:hAnsi="Arial" w:cs="Arial"/>
          <w:sz w:val="20"/>
          <w:szCs w:val="20"/>
        </w:rPr>
        <w:t>,</w:t>
      </w:r>
      <w:r w:rsidR="00C01821" w:rsidRPr="00F81500">
        <w:rPr>
          <w:rFonts w:ascii="Arial" w:hAnsi="Arial" w:cs="Arial"/>
          <w:sz w:val="20"/>
          <w:szCs w:val="20"/>
        </w:rPr>
        <w:t xml:space="preserve"> </w:t>
      </w:r>
      <w:r w:rsidR="00C01821">
        <w:rPr>
          <w:rFonts w:ascii="Arial" w:hAnsi="Arial" w:cs="Arial"/>
          <w:sz w:val="20"/>
          <w:szCs w:val="20"/>
        </w:rPr>
        <w:t>t</w:t>
      </w:r>
      <w:r w:rsidRPr="00F81500">
        <w:rPr>
          <w:rFonts w:ascii="Arial" w:hAnsi="Arial" w:cs="Arial"/>
          <w:sz w:val="20"/>
          <w:szCs w:val="20"/>
        </w:rPr>
        <w:t>he Market Misconduct Tribunal (</w:t>
      </w:r>
      <w:r w:rsidRPr="00F81500">
        <w:rPr>
          <w:rFonts w:ascii="Arial" w:hAnsi="Arial" w:cs="Arial"/>
          <w:b/>
          <w:sz w:val="20"/>
          <w:szCs w:val="20"/>
        </w:rPr>
        <w:t>MMT</w:t>
      </w:r>
      <w:r w:rsidRPr="00F81500">
        <w:rPr>
          <w:rFonts w:ascii="Arial" w:hAnsi="Arial" w:cs="Arial"/>
          <w:sz w:val="20"/>
          <w:szCs w:val="20"/>
        </w:rPr>
        <w:t>)</w:t>
      </w:r>
      <w:r w:rsidR="00713370" w:rsidRPr="00F81500">
        <w:rPr>
          <w:rFonts w:ascii="Arial" w:hAnsi="Arial" w:cs="Arial"/>
          <w:sz w:val="20"/>
          <w:szCs w:val="20"/>
        </w:rPr>
        <w:t xml:space="preserve"> found that </w:t>
      </w:r>
      <w:r w:rsidR="006F5A6D">
        <w:rPr>
          <w:rFonts w:ascii="Arial" w:hAnsi="Arial" w:cs="Arial"/>
          <w:sz w:val="20"/>
          <w:szCs w:val="20"/>
        </w:rPr>
        <w:t>the company</w:t>
      </w:r>
      <w:r w:rsidR="0036222E">
        <w:rPr>
          <w:rFonts w:ascii="Arial" w:hAnsi="Arial" w:cs="Arial"/>
          <w:sz w:val="20"/>
          <w:szCs w:val="20"/>
        </w:rPr>
        <w:t xml:space="preserve">’s </w:t>
      </w:r>
      <w:r w:rsidR="00761E50">
        <w:rPr>
          <w:rFonts w:ascii="Arial" w:hAnsi="Arial" w:cs="Arial"/>
          <w:sz w:val="20"/>
          <w:szCs w:val="20"/>
        </w:rPr>
        <w:t>P</w:t>
      </w:r>
      <w:r w:rsidR="0036222E">
        <w:rPr>
          <w:rFonts w:ascii="Arial" w:hAnsi="Arial" w:cs="Arial"/>
          <w:sz w:val="20"/>
          <w:szCs w:val="20"/>
        </w:rPr>
        <w:t>rospectus</w:t>
      </w:r>
      <w:r w:rsidR="00713370" w:rsidRPr="00F81500">
        <w:rPr>
          <w:rFonts w:ascii="Arial" w:hAnsi="Arial" w:cs="Arial"/>
          <w:sz w:val="20"/>
          <w:szCs w:val="20"/>
        </w:rPr>
        <w:t xml:space="preserve"> </w:t>
      </w:r>
      <w:r w:rsidR="00405FA8" w:rsidRPr="00F81500">
        <w:rPr>
          <w:rFonts w:ascii="Arial" w:hAnsi="Arial" w:cs="Arial"/>
          <w:sz w:val="20"/>
          <w:szCs w:val="20"/>
        </w:rPr>
        <w:t xml:space="preserve">overstated its revenue </w:t>
      </w:r>
      <w:r w:rsidR="0036222E">
        <w:rPr>
          <w:rFonts w:ascii="Arial" w:hAnsi="Arial" w:cs="Arial"/>
          <w:sz w:val="20"/>
          <w:szCs w:val="20"/>
        </w:rPr>
        <w:t xml:space="preserve">for </w:t>
      </w:r>
      <w:r w:rsidR="00694F3C" w:rsidRPr="00F81500">
        <w:rPr>
          <w:rFonts w:ascii="Arial" w:hAnsi="Arial" w:cs="Arial"/>
          <w:sz w:val="20"/>
          <w:szCs w:val="20"/>
        </w:rPr>
        <w:t xml:space="preserve">its track record period </w:t>
      </w:r>
      <w:r w:rsidR="0036222E">
        <w:rPr>
          <w:rFonts w:ascii="Arial" w:hAnsi="Arial" w:cs="Arial"/>
          <w:sz w:val="20"/>
          <w:szCs w:val="20"/>
        </w:rPr>
        <w:t>(</w:t>
      </w:r>
      <w:r w:rsidR="00694F3C" w:rsidRPr="00F81500">
        <w:rPr>
          <w:rFonts w:ascii="Arial" w:hAnsi="Arial" w:cs="Arial"/>
          <w:sz w:val="20"/>
          <w:szCs w:val="20"/>
        </w:rPr>
        <w:t>the financial years from 2011 to 2013</w:t>
      </w:r>
      <w:r w:rsidR="0036222E">
        <w:rPr>
          <w:rFonts w:ascii="Arial" w:hAnsi="Arial" w:cs="Arial"/>
          <w:sz w:val="20"/>
          <w:szCs w:val="20"/>
        </w:rPr>
        <w:t>)</w:t>
      </w:r>
      <w:r w:rsidR="00694F3C" w:rsidRPr="00F81500">
        <w:rPr>
          <w:rFonts w:ascii="Arial" w:hAnsi="Arial" w:cs="Arial"/>
          <w:sz w:val="20"/>
          <w:szCs w:val="20"/>
        </w:rPr>
        <w:t xml:space="preserve"> </w:t>
      </w:r>
      <w:r w:rsidR="00405FA8" w:rsidRPr="00F81500">
        <w:rPr>
          <w:rFonts w:ascii="Arial" w:hAnsi="Arial" w:cs="Arial"/>
          <w:sz w:val="20"/>
          <w:szCs w:val="20"/>
        </w:rPr>
        <w:t xml:space="preserve">by over RMB6.7 billion. </w:t>
      </w:r>
    </w:p>
    <w:p w14:paraId="57729747" w14:textId="77777777" w:rsidR="00BB06D0" w:rsidRPr="00F81500" w:rsidRDefault="00BB06D0" w:rsidP="00F81500">
      <w:pPr>
        <w:spacing w:after="0"/>
        <w:jc w:val="both"/>
        <w:rPr>
          <w:rFonts w:ascii="Arial" w:hAnsi="Arial" w:cs="Arial"/>
          <w:sz w:val="20"/>
          <w:szCs w:val="20"/>
        </w:rPr>
      </w:pPr>
    </w:p>
    <w:p w14:paraId="62225ABA" w14:textId="77777777" w:rsidR="00BB06D0" w:rsidRDefault="004770A0" w:rsidP="00F81500">
      <w:pPr>
        <w:spacing w:after="0"/>
        <w:jc w:val="both"/>
        <w:rPr>
          <w:rFonts w:ascii="Arial" w:hAnsi="Arial" w:cs="Arial"/>
          <w:sz w:val="20"/>
          <w:szCs w:val="20"/>
        </w:rPr>
      </w:pPr>
      <w:r>
        <w:rPr>
          <w:rFonts w:ascii="Arial" w:hAnsi="Arial" w:cs="Arial"/>
          <w:sz w:val="20"/>
          <w:szCs w:val="20"/>
        </w:rPr>
        <w:t xml:space="preserve">The </w:t>
      </w:r>
      <w:r w:rsidR="00BB06D0" w:rsidRPr="00F81500">
        <w:rPr>
          <w:rFonts w:ascii="Arial" w:hAnsi="Arial" w:cs="Arial"/>
          <w:sz w:val="20"/>
          <w:szCs w:val="20"/>
        </w:rPr>
        <w:t>MMT also identified that 53% of Tianhe’s total track record revenue of RMB12.6 billion disclosed in the Prospectus was overstated</w:t>
      </w:r>
      <w:r w:rsidR="00C01821">
        <w:rPr>
          <w:rFonts w:ascii="Arial" w:hAnsi="Arial" w:cs="Arial"/>
          <w:sz w:val="20"/>
          <w:szCs w:val="20"/>
        </w:rPr>
        <w:t xml:space="preserve">, which was likely done to induce subscriptions for </w:t>
      </w:r>
      <w:r w:rsidR="006F5A6D">
        <w:rPr>
          <w:rFonts w:ascii="Arial" w:hAnsi="Arial" w:cs="Arial"/>
          <w:sz w:val="20"/>
          <w:szCs w:val="20"/>
        </w:rPr>
        <w:t xml:space="preserve">shares </w:t>
      </w:r>
      <w:r w:rsidR="00C01821">
        <w:rPr>
          <w:rFonts w:ascii="Arial" w:hAnsi="Arial" w:cs="Arial"/>
          <w:sz w:val="20"/>
          <w:szCs w:val="20"/>
        </w:rPr>
        <w:t xml:space="preserve">or to increase the share price of </w:t>
      </w:r>
      <w:r w:rsidR="006F5A6D">
        <w:rPr>
          <w:rFonts w:ascii="Arial" w:hAnsi="Arial" w:cs="Arial"/>
          <w:sz w:val="20"/>
          <w:szCs w:val="20"/>
        </w:rPr>
        <w:t>the company</w:t>
      </w:r>
      <w:r w:rsidR="00C01821">
        <w:rPr>
          <w:rFonts w:ascii="Arial" w:hAnsi="Arial" w:cs="Arial"/>
          <w:sz w:val="20"/>
          <w:szCs w:val="20"/>
        </w:rPr>
        <w:t xml:space="preserve"> in Hong Kong</w:t>
      </w:r>
      <w:r w:rsidR="00BB06D0" w:rsidRPr="00F81500">
        <w:rPr>
          <w:rFonts w:ascii="Arial" w:hAnsi="Arial" w:cs="Arial"/>
          <w:sz w:val="20"/>
          <w:szCs w:val="20"/>
        </w:rPr>
        <w:t xml:space="preserve">. </w:t>
      </w:r>
    </w:p>
    <w:p w14:paraId="5AFF8CE7" w14:textId="77777777" w:rsidR="007A390E" w:rsidRDefault="007A390E" w:rsidP="00F81500">
      <w:pPr>
        <w:spacing w:after="0"/>
        <w:jc w:val="both"/>
        <w:rPr>
          <w:rFonts w:ascii="Arial" w:hAnsi="Arial" w:cs="Arial"/>
          <w:sz w:val="20"/>
          <w:szCs w:val="20"/>
        </w:rPr>
      </w:pPr>
    </w:p>
    <w:p w14:paraId="18CD5303" w14:textId="77777777" w:rsidR="007A390E" w:rsidRPr="00F81500" w:rsidRDefault="007A390E" w:rsidP="00F81500">
      <w:pPr>
        <w:spacing w:after="0"/>
        <w:jc w:val="both"/>
        <w:rPr>
          <w:rFonts w:ascii="Arial" w:hAnsi="Arial" w:cs="Arial"/>
          <w:sz w:val="20"/>
          <w:szCs w:val="20"/>
        </w:rPr>
      </w:pPr>
      <w:r>
        <w:rPr>
          <w:rFonts w:ascii="Arial" w:hAnsi="Arial" w:cs="Arial"/>
          <w:sz w:val="20"/>
          <w:szCs w:val="20"/>
        </w:rPr>
        <w:t>The SFC suspended trading in</w:t>
      </w:r>
      <w:r w:rsidRPr="007A390E">
        <w:rPr>
          <w:rFonts w:ascii="Arial" w:hAnsi="Arial" w:cs="Arial"/>
          <w:sz w:val="20"/>
          <w:szCs w:val="20"/>
        </w:rPr>
        <w:t xml:space="preserve"> Tianhe</w:t>
      </w:r>
      <w:r>
        <w:rPr>
          <w:rFonts w:ascii="Arial" w:hAnsi="Arial" w:cs="Arial"/>
          <w:sz w:val="20"/>
          <w:szCs w:val="20"/>
        </w:rPr>
        <w:t>’s</w:t>
      </w:r>
      <w:r w:rsidRPr="007A390E">
        <w:rPr>
          <w:rFonts w:ascii="Arial" w:hAnsi="Arial" w:cs="Arial"/>
          <w:sz w:val="20"/>
          <w:szCs w:val="20"/>
        </w:rPr>
        <w:t xml:space="preserve"> </w:t>
      </w:r>
      <w:r>
        <w:rPr>
          <w:rFonts w:ascii="Arial" w:hAnsi="Arial" w:cs="Arial"/>
          <w:sz w:val="20"/>
          <w:szCs w:val="20"/>
        </w:rPr>
        <w:t xml:space="preserve">shares </w:t>
      </w:r>
      <w:r w:rsidRPr="007A390E">
        <w:rPr>
          <w:rFonts w:ascii="Arial" w:hAnsi="Arial" w:cs="Arial"/>
          <w:sz w:val="20"/>
          <w:szCs w:val="20"/>
        </w:rPr>
        <w:t>on 25 May 2017 under Section 8 of the Securities and Futures (Stock Market Listing) Rules</w:t>
      </w:r>
      <w:r>
        <w:rPr>
          <w:rFonts w:ascii="Arial" w:hAnsi="Arial" w:cs="Arial"/>
          <w:sz w:val="20"/>
          <w:szCs w:val="20"/>
        </w:rPr>
        <w:t xml:space="preserve"> and t</w:t>
      </w:r>
      <w:r w:rsidRPr="007A390E">
        <w:rPr>
          <w:rFonts w:ascii="Arial" w:hAnsi="Arial" w:cs="Arial"/>
          <w:sz w:val="20"/>
          <w:szCs w:val="20"/>
        </w:rPr>
        <w:t xml:space="preserve">he shares were delisted by the </w:t>
      </w:r>
      <w:r>
        <w:rPr>
          <w:rFonts w:ascii="Arial" w:hAnsi="Arial" w:cs="Arial"/>
          <w:sz w:val="20"/>
          <w:szCs w:val="20"/>
        </w:rPr>
        <w:t>HKEX on</w:t>
      </w:r>
      <w:r w:rsidRPr="007A390E">
        <w:rPr>
          <w:rFonts w:ascii="Arial" w:hAnsi="Arial" w:cs="Arial"/>
          <w:sz w:val="20"/>
          <w:szCs w:val="20"/>
        </w:rPr>
        <w:t xml:space="preserve"> 11 June 2020</w:t>
      </w:r>
      <w:r w:rsidR="00B665D3">
        <w:rPr>
          <w:rFonts w:ascii="Arial" w:hAnsi="Arial" w:cs="Arial"/>
          <w:sz w:val="20"/>
          <w:szCs w:val="20"/>
        </w:rPr>
        <w:t xml:space="preserve"> following delay in the publication of Tianhe’s results and the subsequent resignation of its auditors</w:t>
      </w:r>
      <w:r w:rsidRPr="007A390E">
        <w:rPr>
          <w:rFonts w:ascii="Arial" w:hAnsi="Arial" w:cs="Arial"/>
          <w:sz w:val="20"/>
          <w:szCs w:val="20"/>
        </w:rPr>
        <w:t>.</w:t>
      </w:r>
      <w:r w:rsidR="0037030C">
        <w:rPr>
          <w:rFonts w:ascii="Arial" w:hAnsi="Arial" w:cs="Arial"/>
          <w:sz w:val="20"/>
          <w:szCs w:val="20"/>
        </w:rPr>
        <w:t xml:space="preserve"> </w:t>
      </w:r>
      <w:r w:rsidR="0037030C" w:rsidRPr="0037030C">
        <w:rPr>
          <w:rFonts w:ascii="Arial" w:hAnsi="Arial" w:cs="Arial"/>
          <w:sz w:val="20"/>
          <w:szCs w:val="20"/>
        </w:rPr>
        <w:t>The SFC is also seeking orders from the Court of First Instance under section 213 of the SFO to restore all public shareholders of the company to the position before their subscriptions or purchases of Tianhe’s shares.</w:t>
      </w:r>
    </w:p>
    <w:p w14:paraId="17F64C72" w14:textId="77777777" w:rsidR="00824D40" w:rsidRPr="00F81500" w:rsidRDefault="00824D40" w:rsidP="00F81500">
      <w:pPr>
        <w:spacing w:after="0"/>
        <w:jc w:val="both"/>
        <w:rPr>
          <w:rFonts w:ascii="Arial" w:hAnsi="Arial" w:cs="Arial"/>
          <w:color w:val="000000" w:themeColor="text1"/>
          <w:sz w:val="20"/>
          <w:szCs w:val="20"/>
        </w:rPr>
      </w:pPr>
    </w:p>
    <w:p w14:paraId="5EDF6749" w14:textId="77777777" w:rsidR="00824D40" w:rsidRPr="00F81500" w:rsidRDefault="00A6418C"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Order</w:t>
      </w:r>
      <w:r w:rsidR="00824D40" w:rsidRPr="00F81500">
        <w:rPr>
          <w:rFonts w:ascii="Arial" w:hAnsi="Arial" w:cs="Arial"/>
          <w:b/>
          <w:color w:val="000000" w:themeColor="text1"/>
          <w:sz w:val="20"/>
          <w:szCs w:val="20"/>
        </w:rPr>
        <w:t xml:space="preserve"> for issuing materially false or misleading information in the Prospectus</w:t>
      </w:r>
    </w:p>
    <w:p w14:paraId="3B8A4C5D" w14:textId="77777777" w:rsidR="00C57AA0" w:rsidRPr="00F81500" w:rsidRDefault="00C57AA0" w:rsidP="00F81500">
      <w:pPr>
        <w:spacing w:after="0"/>
        <w:jc w:val="both"/>
        <w:rPr>
          <w:rFonts w:ascii="Arial" w:hAnsi="Arial" w:cs="Arial"/>
          <w:sz w:val="20"/>
          <w:szCs w:val="20"/>
        </w:rPr>
      </w:pPr>
    </w:p>
    <w:p w14:paraId="43A05464" w14:textId="77777777" w:rsidR="00A6418C" w:rsidRPr="00F81500" w:rsidRDefault="00A6418C" w:rsidP="00F81500">
      <w:pPr>
        <w:spacing w:after="0"/>
        <w:jc w:val="both"/>
        <w:rPr>
          <w:rFonts w:ascii="Arial" w:hAnsi="Arial" w:cs="Arial"/>
          <w:sz w:val="20"/>
          <w:szCs w:val="20"/>
        </w:rPr>
      </w:pPr>
      <w:r w:rsidRPr="00F81500">
        <w:rPr>
          <w:rFonts w:ascii="Arial" w:hAnsi="Arial" w:cs="Arial"/>
          <w:sz w:val="20"/>
          <w:szCs w:val="20"/>
        </w:rPr>
        <w:t xml:space="preserve">The MMT made the following order </w:t>
      </w:r>
      <w:r w:rsidR="00942517">
        <w:rPr>
          <w:rFonts w:ascii="Arial" w:hAnsi="Arial" w:cs="Arial"/>
          <w:sz w:val="20"/>
          <w:szCs w:val="20"/>
        </w:rPr>
        <w:t>against</w:t>
      </w:r>
      <w:r w:rsidR="00942517" w:rsidRPr="00F81500">
        <w:rPr>
          <w:rFonts w:ascii="Arial" w:hAnsi="Arial" w:cs="Arial"/>
          <w:sz w:val="20"/>
          <w:szCs w:val="20"/>
        </w:rPr>
        <w:t xml:space="preserve"> </w:t>
      </w:r>
      <w:r w:rsidRPr="00F81500">
        <w:rPr>
          <w:rFonts w:ascii="Arial" w:hAnsi="Arial" w:cs="Arial"/>
          <w:sz w:val="20"/>
          <w:szCs w:val="20"/>
        </w:rPr>
        <w:t xml:space="preserve">Tianhe </w:t>
      </w:r>
      <w:r w:rsidR="00942517">
        <w:rPr>
          <w:rFonts w:ascii="Arial" w:hAnsi="Arial" w:cs="Arial"/>
          <w:sz w:val="20"/>
          <w:szCs w:val="20"/>
        </w:rPr>
        <w:t xml:space="preserve">for </w:t>
      </w:r>
      <w:r w:rsidRPr="00F81500">
        <w:rPr>
          <w:rFonts w:ascii="Arial" w:hAnsi="Arial" w:cs="Arial"/>
          <w:sz w:val="20"/>
          <w:szCs w:val="20"/>
        </w:rPr>
        <w:t>provid</w:t>
      </w:r>
      <w:r w:rsidR="00942517">
        <w:rPr>
          <w:rFonts w:ascii="Arial" w:hAnsi="Arial" w:cs="Arial"/>
          <w:sz w:val="20"/>
          <w:szCs w:val="20"/>
        </w:rPr>
        <w:t>ing</w:t>
      </w:r>
      <w:r w:rsidRPr="00F81500">
        <w:rPr>
          <w:rFonts w:ascii="Arial" w:hAnsi="Arial" w:cs="Arial"/>
          <w:sz w:val="20"/>
          <w:szCs w:val="20"/>
        </w:rPr>
        <w:t xml:space="preserve"> </w:t>
      </w:r>
      <w:r w:rsidR="003C3C3F" w:rsidRPr="00F81500">
        <w:rPr>
          <w:rFonts w:ascii="Arial" w:hAnsi="Arial" w:cs="Arial"/>
          <w:sz w:val="20"/>
          <w:szCs w:val="20"/>
        </w:rPr>
        <w:t>materially false or misleading information in respect of its revenues and profits in the Prospectus:</w:t>
      </w:r>
    </w:p>
    <w:p w14:paraId="78D25A8A" w14:textId="77777777" w:rsidR="00A6418C" w:rsidRPr="00F81500" w:rsidRDefault="00A6418C" w:rsidP="00F81500">
      <w:pPr>
        <w:spacing w:after="0"/>
        <w:jc w:val="both"/>
        <w:rPr>
          <w:rFonts w:ascii="Arial" w:hAnsi="Arial" w:cs="Arial"/>
          <w:sz w:val="20"/>
          <w:szCs w:val="20"/>
        </w:rPr>
      </w:pPr>
    </w:p>
    <w:p w14:paraId="38E854A6" w14:textId="77777777" w:rsidR="00824D40" w:rsidRPr="00F81500" w:rsidRDefault="00A44806"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Mr</w:t>
      </w:r>
      <w:r w:rsidR="00BC1D20">
        <w:rPr>
          <w:rFonts w:ascii="Arial" w:hAnsi="Arial" w:cs="Arial"/>
          <w:sz w:val="20"/>
          <w:szCs w:val="20"/>
        </w:rPr>
        <w:t>.</w:t>
      </w:r>
      <w:r w:rsidRPr="00F81500">
        <w:rPr>
          <w:rFonts w:ascii="Arial" w:hAnsi="Arial" w:cs="Arial"/>
          <w:sz w:val="20"/>
          <w:szCs w:val="20"/>
        </w:rPr>
        <w:t xml:space="preserve"> Wei Xuan (</w:t>
      </w:r>
      <w:r w:rsidRPr="00F81500">
        <w:rPr>
          <w:rFonts w:ascii="Arial" w:hAnsi="Arial" w:cs="Arial"/>
          <w:b/>
          <w:sz w:val="20"/>
          <w:szCs w:val="20"/>
        </w:rPr>
        <w:t>Mr</w:t>
      </w:r>
      <w:r w:rsidR="00BC1D20">
        <w:rPr>
          <w:rFonts w:ascii="Arial" w:hAnsi="Arial" w:cs="Arial"/>
          <w:b/>
          <w:sz w:val="20"/>
          <w:szCs w:val="20"/>
        </w:rPr>
        <w:t>.</w:t>
      </w:r>
      <w:r w:rsidRPr="00F81500">
        <w:rPr>
          <w:rFonts w:ascii="Arial" w:hAnsi="Arial" w:cs="Arial"/>
          <w:b/>
          <w:sz w:val="20"/>
          <w:szCs w:val="20"/>
        </w:rPr>
        <w:t xml:space="preserve"> Wei</w:t>
      </w:r>
      <w:r w:rsidRPr="00F81500">
        <w:rPr>
          <w:rFonts w:ascii="Arial" w:hAnsi="Arial" w:cs="Arial"/>
          <w:sz w:val="20"/>
          <w:szCs w:val="20"/>
        </w:rPr>
        <w:t xml:space="preserve">), a former </w:t>
      </w:r>
      <w:r w:rsidR="00E12C26" w:rsidRPr="00F81500">
        <w:rPr>
          <w:rFonts w:ascii="Arial" w:hAnsi="Arial" w:cs="Arial"/>
          <w:sz w:val="20"/>
          <w:szCs w:val="20"/>
        </w:rPr>
        <w:t>substantial indirect shareholder and chief executive officer</w:t>
      </w:r>
      <w:r w:rsidRPr="00F81500">
        <w:rPr>
          <w:rFonts w:ascii="Arial" w:hAnsi="Arial" w:cs="Arial"/>
          <w:sz w:val="20"/>
          <w:szCs w:val="20"/>
        </w:rPr>
        <w:t xml:space="preserve"> of Tianhe</w:t>
      </w:r>
      <w:r w:rsidR="00A6418C" w:rsidRPr="00F81500">
        <w:rPr>
          <w:rFonts w:ascii="Arial" w:hAnsi="Arial" w:cs="Arial"/>
          <w:sz w:val="20"/>
          <w:szCs w:val="20"/>
        </w:rPr>
        <w:t xml:space="preserve">, </w:t>
      </w:r>
      <w:r w:rsidR="00E12C26" w:rsidRPr="00F81500">
        <w:rPr>
          <w:rFonts w:ascii="Arial" w:hAnsi="Arial" w:cs="Arial"/>
          <w:sz w:val="20"/>
          <w:szCs w:val="20"/>
        </w:rPr>
        <w:t>was disqualified from being a director and being involved in the management of a listed company for four years;</w:t>
      </w:r>
    </w:p>
    <w:p w14:paraId="4404292A" w14:textId="77777777" w:rsidR="00B62232" w:rsidRPr="00F81500" w:rsidRDefault="00B62232" w:rsidP="00F81500">
      <w:pPr>
        <w:pStyle w:val="a4"/>
        <w:spacing w:after="0"/>
        <w:ind w:left="360"/>
        <w:jc w:val="both"/>
        <w:rPr>
          <w:rFonts w:ascii="Arial" w:hAnsi="Arial" w:cs="Arial"/>
          <w:sz w:val="20"/>
          <w:szCs w:val="20"/>
        </w:rPr>
      </w:pPr>
    </w:p>
    <w:p w14:paraId="6EAC0752" w14:textId="77777777" w:rsidR="00942517" w:rsidRDefault="00E12C26"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 xml:space="preserve">Tianhe and </w:t>
      </w:r>
      <w:r w:rsidR="00942517">
        <w:rPr>
          <w:rFonts w:ascii="Arial" w:hAnsi="Arial" w:cs="Arial"/>
          <w:sz w:val="20"/>
          <w:szCs w:val="20"/>
        </w:rPr>
        <w:t xml:space="preserve">Mr. Wei were ordered </w:t>
      </w:r>
      <w:r w:rsidR="00942517" w:rsidRPr="00EA4423">
        <w:rPr>
          <w:rFonts w:ascii="Arial" w:hAnsi="Arial" w:cs="Arial"/>
          <w:sz w:val="20"/>
          <w:szCs w:val="20"/>
        </w:rPr>
        <w:t>to pay the Government and SFC</w:t>
      </w:r>
      <w:r w:rsidR="004770A0">
        <w:rPr>
          <w:rFonts w:ascii="Arial" w:hAnsi="Arial" w:cs="Arial"/>
          <w:sz w:val="20"/>
          <w:szCs w:val="20"/>
        </w:rPr>
        <w:t xml:space="preserve"> costs</w:t>
      </w:r>
      <w:r w:rsidR="002D6E1B">
        <w:rPr>
          <w:rFonts w:ascii="Arial" w:hAnsi="Arial" w:cs="Arial"/>
          <w:sz w:val="20"/>
          <w:szCs w:val="20"/>
        </w:rPr>
        <w:t xml:space="preserve">; </w:t>
      </w:r>
      <w:r w:rsidR="00BA33AE">
        <w:rPr>
          <w:rFonts w:ascii="Arial" w:hAnsi="Arial" w:cs="Arial"/>
          <w:sz w:val="20"/>
          <w:szCs w:val="20"/>
        </w:rPr>
        <w:t xml:space="preserve">and </w:t>
      </w:r>
    </w:p>
    <w:p w14:paraId="58A1D78A" w14:textId="77777777" w:rsidR="00942517" w:rsidRPr="00F81500" w:rsidRDefault="00942517" w:rsidP="00F81500">
      <w:pPr>
        <w:pStyle w:val="a4"/>
        <w:rPr>
          <w:rFonts w:ascii="Arial" w:hAnsi="Arial" w:cs="Arial"/>
          <w:sz w:val="20"/>
          <w:szCs w:val="20"/>
        </w:rPr>
      </w:pPr>
    </w:p>
    <w:p w14:paraId="53D6A19F" w14:textId="77777777" w:rsidR="00E12C26" w:rsidRPr="00F81500" w:rsidRDefault="00E12C26"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Mr</w:t>
      </w:r>
      <w:r w:rsidR="002D6E1B">
        <w:rPr>
          <w:rFonts w:ascii="Arial" w:hAnsi="Arial" w:cs="Arial"/>
          <w:sz w:val="20"/>
          <w:szCs w:val="20"/>
        </w:rPr>
        <w:t>.</w:t>
      </w:r>
      <w:r w:rsidRPr="00F81500">
        <w:rPr>
          <w:rFonts w:ascii="Arial" w:hAnsi="Arial" w:cs="Arial"/>
          <w:sz w:val="20"/>
          <w:szCs w:val="20"/>
        </w:rPr>
        <w:t xml:space="preserve"> Wei </w:t>
      </w:r>
      <w:r w:rsidR="00942517">
        <w:rPr>
          <w:rFonts w:ascii="Arial" w:hAnsi="Arial" w:cs="Arial"/>
          <w:sz w:val="20"/>
          <w:szCs w:val="20"/>
        </w:rPr>
        <w:t xml:space="preserve">was </w:t>
      </w:r>
      <w:r w:rsidR="00BA33AE">
        <w:rPr>
          <w:rFonts w:ascii="Arial" w:hAnsi="Arial" w:cs="Arial"/>
          <w:sz w:val="20"/>
          <w:szCs w:val="20"/>
        </w:rPr>
        <w:t xml:space="preserve">further </w:t>
      </w:r>
      <w:r w:rsidR="00942517">
        <w:rPr>
          <w:rFonts w:ascii="Arial" w:hAnsi="Arial" w:cs="Arial"/>
          <w:sz w:val="20"/>
          <w:szCs w:val="20"/>
        </w:rPr>
        <w:t>ordered not to engage</w:t>
      </w:r>
      <w:r w:rsidR="002D6E1B">
        <w:rPr>
          <w:rFonts w:ascii="Arial" w:hAnsi="Arial" w:cs="Arial"/>
          <w:sz w:val="20"/>
          <w:szCs w:val="20"/>
        </w:rPr>
        <w:t xml:space="preserve"> in any conduct which would constitute market misconduct</w:t>
      </w:r>
      <w:r w:rsidR="00BA33AE">
        <w:rPr>
          <w:rFonts w:ascii="Arial" w:hAnsi="Arial" w:cs="Arial"/>
          <w:sz w:val="20"/>
          <w:szCs w:val="20"/>
        </w:rPr>
        <w:t xml:space="preserve">. </w:t>
      </w:r>
    </w:p>
    <w:p w14:paraId="6C033E74" w14:textId="77777777" w:rsidR="001C027F" w:rsidRPr="00F81500" w:rsidRDefault="001C027F" w:rsidP="00F81500">
      <w:pPr>
        <w:spacing w:after="0"/>
        <w:jc w:val="both"/>
        <w:rPr>
          <w:rFonts w:ascii="Arial" w:hAnsi="Arial" w:cs="Arial"/>
          <w:color w:val="FF0000"/>
          <w:sz w:val="20"/>
          <w:szCs w:val="20"/>
        </w:rPr>
      </w:pPr>
    </w:p>
    <w:p w14:paraId="537FE558" w14:textId="77777777" w:rsidR="00AA0567" w:rsidRPr="00F81500" w:rsidRDefault="00BA33AE" w:rsidP="00F81500">
      <w:pPr>
        <w:spacing w:after="0"/>
        <w:jc w:val="both"/>
        <w:rPr>
          <w:rFonts w:ascii="Arial" w:hAnsi="Arial" w:cs="Arial"/>
          <w:b/>
          <w:color w:val="FF0000"/>
          <w:sz w:val="20"/>
          <w:szCs w:val="20"/>
        </w:rPr>
      </w:pPr>
      <w:r w:rsidRPr="00F81500">
        <w:rPr>
          <w:rFonts w:ascii="Arial" w:hAnsi="Arial" w:cs="Arial"/>
          <w:b/>
          <w:color w:val="FF0000"/>
          <w:sz w:val="20"/>
          <w:szCs w:val="20"/>
        </w:rPr>
        <w:t>SFC reprimands and fines Cit</w:t>
      </w:r>
      <w:r w:rsidR="005545D1" w:rsidRPr="00F81500">
        <w:rPr>
          <w:rFonts w:ascii="Arial" w:hAnsi="Arial" w:cs="Arial"/>
          <w:b/>
          <w:color w:val="FF0000"/>
          <w:sz w:val="20"/>
          <w:szCs w:val="20"/>
        </w:rPr>
        <w:t>igroup Markets Asia Limited HK$</w:t>
      </w:r>
      <w:r w:rsidRPr="00F81500">
        <w:rPr>
          <w:rFonts w:ascii="Arial" w:hAnsi="Arial" w:cs="Arial"/>
          <w:b/>
          <w:color w:val="FF0000"/>
          <w:sz w:val="20"/>
          <w:szCs w:val="20"/>
        </w:rPr>
        <w:t>348.25 million for serious regulatory breach</w:t>
      </w:r>
      <w:r w:rsidR="002B2BF9">
        <w:rPr>
          <w:rFonts w:ascii="Arial" w:hAnsi="Arial" w:cs="Arial"/>
          <w:b/>
          <w:color w:val="FF0000"/>
          <w:sz w:val="20"/>
          <w:szCs w:val="20"/>
        </w:rPr>
        <w:t>es</w:t>
      </w:r>
      <w:r w:rsidRPr="00F81500">
        <w:rPr>
          <w:rFonts w:ascii="Arial" w:hAnsi="Arial" w:cs="Arial"/>
          <w:b/>
          <w:color w:val="FF0000"/>
          <w:sz w:val="20"/>
          <w:szCs w:val="20"/>
        </w:rPr>
        <w:t xml:space="preserve"> </w:t>
      </w:r>
      <w:r w:rsidR="00E11914" w:rsidRPr="00F81500">
        <w:rPr>
          <w:rFonts w:ascii="Arial" w:hAnsi="Arial" w:cs="Arial"/>
          <w:b/>
          <w:color w:val="FF0000"/>
          <w:sz w:val="20"/>
          <w:szCs w:val="20"/>
        </w:rPr>
        <w:t>over client facilitation activities</w:t>
      </w:r>
      <w:r w:rsidR="00E11914">
        <w:rPr>
          <w:rStyle w:val="aa"/>
          <w:rFonts w:ascii="Arial" w:hAnsi="Arial" w:cs="Arial"/>
          <w:b/>
          <w:color w:val="FF0000"/>
          <w:sz w:val="20"/>
          <w:szCs w:val="20"/>
        </w:rPr>
        <w:footnoteReference w:id="4"/>
      </w:r>
      <w:r w:rsidR="00E11914" w:rsidRPr="00F81500">
        <w:rPr>
          <w:rFonts w:ascii="Arial" w:hAnsi="Arial" w:cs="Arial"/>
          <w:b/>
          <w:color w:val="FF0000"/>
          <w:sz w:val="20"/>
          <w:szCs w:val="20"/>
        </w:rPr>
        <w:t xml:space="preserve"> </w:t>
      </w:r>
    </w:p>
    <w:p w14:paraId="6C8E4EE3" w14:textId="77777777" w:rsidR="00BA33AE" w:rsidRDefault="00BA33AE" w:rsidP="00F81500">
      <w:pPr>
        <w:spacing w:after="0"/>
        <w:jc w:val="both"/>
        <w:rPr>
          <w:rFonts w:ascii="Arial" w:hAnsi="Arial" w:cs="Arial"/>
          <w:b/>
          <w:color w:val="000000" w:themeColor="text1"/>
          <w:sz w:val="20"/>
          <w:szCs w:val="20"/>
        </w:rPr>
      </w:pPr>
    </w:p>
    <w:p w14:paraId="2A754637" w14:textId="77777777" w:rsidR="001C027F" w:rsidRPr="00F81500" w:rsidRDefault="00821389"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Mislabelled Indications of Interest (IOIs)</w:t>
      </w:r>
    </w:p>
    <w:p w14:paraId="7013673F" w14:textId="77777777" w:rsidR="00821389" w:rsidRPr="00F81500" w:rsidRDefault="00821389" w:rsidP="00F81500">
      <w:pPr>
        <w:spacing w:after="0"/>
        <w:jc w:val="both"/>
        <w:rPr>
          <w:rFonts w:ascii="Arial" w:hAnsi="Arial" w:cs="Arial"/>
          <w:sz w:val="20"/>
          <w:szCs w:val="20"/>
        </w:rPr>
      </w:pPr>
    </w:p>
    <w:p w14:paraId="336CCFBA" w14:textId="77777777" w:rsidR="00E92B37" w:rsidRPr="00F81500" w:rsidRDefault="00C50D0D" w:rsidP="00F81500">
      <w:pPr>
        <w:spacing w:after="0"/>
        <w:jc w:val="both"/>
        <w:rPr>
          <w:rFonts w:ascii="Arial" w:hAnsi="Arial" w:cs="Arial"/>
          <w:sz w:val="20"/>
          <w:szCs w:val="20"/>
        </w:rPr>
      </w:pPr>
      <w:r w:rsidRPr="00F81500">
        <w:rPr>
          <w:rFonts w:ascii="Arial" w:hAnsi="Arial" w:cs="Arial"/>
          <w:sz w:val="20"/>
          <w:szCs w:val="20"/>
        </w:rPr>
        <w:t>Citigroup Global Markets Asia Limited (</w:t>
      </w:r>
      <w:r w:rsidR="009F732F" w:rsidRPr="00F81500">
        <w:rPr>
          <w:rFonts w:ascii="Arial" w:hAnsi="Arial" w:cs="Arial"/>
          <w:b/>
          <w:sz w:val="20"/>
          <w:szCs w:val="20"/>
        </w:rPr>
        <w:t>C</w:t>
      </w:r>
      <w:r w:rsidR="009F732F">
        <w:rPr>
          <w:rFonts w:ascii="Arial" w:hAnsi="Arial" w:cs="Arial"/>
          <w:b/>
          <w:sz w:val="20"/>
          <w:szCs w:val="20"/>
        </w:rPr>
        <w:t>itigroup</w:t>
      </w:r>
      <w:r w:rsidRPr="00F81500">
        <w:rPr>
          <w:rFonts w:ascii="Arial" w:hAnsi="Arial" w:cs="Arial"/>
          <w:sz w:val="20"/>
          <w:szCs w:val="20"/>
        </w:rPr>
        <w:t xml:space="preserve">) </w:t>
      </w:r>
      <w:r w:rsidR="002E525B">
        <w:rPr>
          <w:rFonts w:ascii="Arial" w:hAnsi="Arial" w:cs="Arial"/>
          <w:sz w:val="20"/>
          <w:szCs w:val="20"/>
        </w:rPr>
        <w:t xml:space="preserve">which is </w:t>
      </w:r>
      <w:r w:rsidRPr="00F81500">
        <w:rPr>
          <w:rFonts w:ascii="Arial" w:hAnsi="Arial" w:cs="Arial"/>
          <w:sz w:val="20"/>
          <w:szCs w:val="20"/>
        </w:rPr>
        <w:t xml:space="preserve">licensed under the SFO </w:t>
      </w:r>
      <w:r w:rsidR="002E525B">
        <w:rPr>
          <w:rFonts w:ascii="Arial" w:hAnsi="Arial" w:cs="Arial"/>
          <w:sz w:val="20"/>
          <w:szCs w:val="20"/>
        </w:rPr>
        <w:t xml:space="preserve">for </w:t>
      </w:r>
      <w:r w:rsidR="002E525B" w:rsidRPr="00F81500">
        <w:rPr>
          <w:rFonts w:ascii="Arial" w:hAnsi="Arial" w:cs="Arial"/>
          <w:sz w:val="20"/>
          <w:szCs w:val="20"/>
        </w:rPr>
        <w:t>regulated activities</w:t>
      </w:r>
      <w:r w:rsidRPr="00F81500">
        <w:rPr>
          <w:rFonts w:ascii="Arial" w:hAnsi="Arial" w:cs="Arial"/>
          <w:sz w:val="20"/>
          <w:szCs w:val="20"/>
        </w:rPr>
        <w:t xml:space="preserve"> Type 1 (dealing in securities), Type 2 (dealing  in futures contracts), Type 4 (advising on securities), Type 5 (advising on futures contracts), Type 6 (advising on corporate finance) and Type 7 (providing automated trading services),</w:t>
      </w:r>
      <w:r w:rsidR="001F67FE">
        <w:rPr>
          <w:rFonts w:ascii="Arial" w:hAnsi="Arial" w:cs="Arial"/>
          <w:sz w:val="20"/>
          <w:szCs w:val="20"/>
        </w:rPr>
        <w:t xml:space="preserve"> was found by the SFC to have allowed </w:t>
      </w:r>
      <w:r w:rsidR="007B383B">
        <w:rPr>
          <w:rFonts w:ascii="Arial" w:hAnsi="Arial" w:cs="Arial"/>
          <w:sz w:val="20"/>
          <w:szCs w:val="20"/>
        </w:rPr>
        <w:t>various trading</w:t>
      </w:r>
      <w:r w:rsidR="00F46248">
        <w:rPr>
          <w:rFonts w:ascii="Arial" w:hAnsi="Arial" w:cs="Arial"/>
          <w:sz w:val="20"/>
          <w:szCs w:val="20"/>
        </w:rPr>
        <w:t xml:space="preserve"> desks under its Cash Equities b</w:t>
      </w:r>
      <w:r w:rsidR="007B383B">
        <w:rPr>
          <w:rFonts w:ascii="Arial" w:hAnsi="Arial" w:cs="Arial"/>
          <w:sz w:val="20"/>
          <w:szCs w:val="20"/>
        </w:rPr>
        <w:t xml:space="preserve">usiness </w:t>
      </w:r>
      <w:r w:rsidR="001F67FE">
        <w:rPr>
          <w:rFonts w:ascii="Arial" w:hAnsi="Arial" w:cs="Arial"/>
          <w:sz w:val="20"/>
          <w:szCs w:val="20"/>
        </w:rPr>
        <w:t>to send</w:t>
      </w:r>
      <w:r w:rsidR="004C51EA" w:rsidRPr="00F81500">
        <w:rPr>
          <w:rFonts w:ascii="Arial" w:hAnsi="Arial" w:cs="Arial"/>
          <w:sz w:val="20"/>
          <w:szCs w:val="20"/>
        </w:rPr>
        <w:t xml:space="preserve"> </w:t>
      </w:r>
      <w:proofErr w:type="spellStart"/>
      <w:r w:rsidR="001F67FE">
        <w:rPr>
          <w:rFonts w:ascii="Arial" w:hAnsi="Arial" w:cs="Arial"/>
          <w:sz w:val="20"/>
          <w:szCs w:val="20"/>
        </w:rPr>
        <w:t>mislabel</w:t>
      </w:r>
      <w:r w:rsidR="00F46248">
        <w:rPr>
          <w:rFonts w:ascii="Arial" w:hAnsi="Arial" w:cs="Arial"/>
          <w:sz w:val="20"/>
          <w:szCs w:val="20"/>
        </w:rPr>
        <w:t>l</w:t>
      </w:r>
      <w:r w:rsidR="001F67FE">
        <w:rPr>
          <w:rFonts w:ascii="Arial" w:hAnsi="Arial" w:cs="Arial"/>
          <w:sz w:val="20"/>
          <w:szCs w:val="20"/>
        </w:rPr>
        <w:t>ed</w:t>
      </w:r>
      <w:proofErr w:type="spellEnd"/>
      <w:r w:rsidR="001F67FE">
        <w:rPr>
          <w:rFonts w:ascii="Arial" w:hAnsi="Arial" w:cs="Arial"/>
          <w:sz w:val="20"/>
          <w:szCs w:val="20"/>
        </w:rPr>
        <w:t xml:space="preserve"> IOIs (a form of advertisement or representation made by licensed corporations to clients to source potential clients with an interest in trading)</w:t>
      </w:r>
      <w:r w:rsidR="004C51EA" w:rsidRPr="00F81500">
        <w:rPr>
          <w:rFonts w:ascii="Arial" w:hAnsi="Arial" w:cs="Arial"/>
          <w:sz w:val="20"/>
          <w:szCs w:val="20"/>
        </w:rPr>
        <w:t xml:space="preserve"> tagged as “Natural”, “In Touch With” and / or “P:1” to clients when there was no </w:t>
      </w:r>
      <w:r w:rsidR="001F67FE">
        <w:rPr>
          <w:rFonts w:ascii="Arial" w:hAnsi="Arial" w:cs="Arial"/>
          <w:sz w:val="20"/>
          <w:szCs w:val="20"/>
        </w:rPr>
        <w:t xml:space="preserve">actual </w:t>
      </w:r>
      <w:r w:rsidR="004C51EA" w:rsidRPr="00F81500">
        <w:rPr>
          <w:rFonts w:ascii="Arial" w:hAnsi="Arial" w:cs="Arial"/>
          <w:sz w:val="20"/>
          <w:szCs w:val="20"/>
        </w:rPr>
        <w:t>genuine client interest or specific client that C</w:t>
      </w:r>
      <w:r w:rsidR="001F67FE">
        <w:rPr>
          <w:rFonts w:ascii="Arial" w:hAnsi="Arial" w:cs="Arial"/>
          <w:sz w:val="20"/>
          <w:szCs w:val="20"/>
        </w:rPr>
        <w:t>itigroup</w:t>
      </w:r>
      <w:r w:rsidR="004C51EA" w:rsidRPr="00F81500">
        <w:rPr>
          <w:rFonts w:ascii="Arial" w:hAnsi="Arial" w:cs="Arial"/>
          <w:sz w:val="20"/>
          <w:szCs w:val="20"/>
        </w:rPr>
        <w:t xml:space="preserve"> was in touch with.</w:t>
      </w:r>
      <w:r w:rsidR="00FA47B1" w:rsidRPr="00F81500">
        <w:rPr>
          <w:rFonts w:ascii="Arial" w:hAnsi="Arial" w:cs="Arial"/>
          <w:sz w:val="20"/>
          <w:szCs w:val="20"/>
        </w:rPr>
        <w:t xml:space="preserve"> </w:t>
      </w:r>
    </w:p>
    <w:p w14:paraId="7069E583" w14:textId="77777777" w:rsidR="00E92B37" w:rsidRPr="00F81500" w:rsidRDefault="00E92B37" w:rsidP="00F81500">
      <w:pPr>
        <w:spacing w:after="0"/>
        <w:jc w:val="both"/>
        <w:rPr>
          <w:rFonts w:ascii="Arial" w:hAnsi="Arial" w:cs="Arial"/>
          <w:sz w:val="20"/>
          <w:szCs w:val="20"/>
        </w:rPr>
      </w:pPr>
    </w:p>
    <w:p w14:paraId="2996D5B7" w14:textId="77777777" w:rsidR="00C50D0D" w:rsidRPr="00F81500" w:rsidRDefault="00FA47B1" w:rsidP="00F81500">
      <w:pPr>
        <w:spacing w:after="0"/>
        <w:jc w:val="both"/>
        <w:rPr>
          <w:rFonts w:ascii="Arial" w:hAnsi="Arial" w:cs="Arial"/>
          <w:sz w:val="20"/>
          <w:szCs w:val="20"/>
        </w:rPr>
      </w:pPr>
      <w:r w:rsidRPr="00F81500">
        <w:rPr>
          <w:rFonts w:ascii="Arial" w:hAnsi="Arial" w:cs="Arial"/>
          <w:sz w:val="20"/>
          <w:szCs w:val="20"/>
        </w:rPr>
        <w:t>C</w:t>
      </w:r>
      <w:r w:rsidR="00360265">
        <w:rPr>
          <w:rFonts w:ascii="Arial" w:hAnsi="Arial" w:cs="Arial"/>
          <w:sz w:val="20"/>
          <w:szCs w:val="20"/>
        </w:rPr>
        <w:t>itigroup</w:t>
      </w:r>
      <w:r w:rsidRPr="00F81500">
        <w:rPr>
          <w:rFonts w:ascii="Arial" w:hAnsi="Arial" w:cs="Arial"/>
          <w:sz w:val="20"/>
          <w:szCs w:val="20"/>
        </w:rPr>
        <w:t xml:space="preserve"> represented to its clients that it adopted the AFME/IA Framework for Indications of Interest (</w:t>
      </w:r>
      <w:r w:rsidRPr="00F81500">
        <w:rPr>
          <w:rFonts w:ascii="Arial" w:hAnsi="Arial" w:cs="Arial"/>
          <w:b/>
          <w:sz w:val="20"/>
          <w:szCs w:val="20"/>
        </w:rPr>
        <w:t>AFME Framework</w:t>
      </w:r>
      <w:r w:rsidRPr="00097DA6">
        <w:rPr>
          <w:rFonts w:ascii="Arial" w:hAnsi="Arial" w:cs="Arial"/>
          <w:sz w:val="20"/>
          <w:szCs w:val="20"/>
        </w:rPr>
        <w:t>)</w:t>
      </w:r>
      <w:r w:rsidRPr="00F81500">
        <w:rPr>
          <w:rFonts w:ascii="Arial" w:hAnsi="Arial" w:cs="Arial"/>
          <w:b/>
          <w:sz w:val="20"/>
          <w:szCs w:val="20"/>
        </w:rPr>
        <w:t xml:space="preserve"> </w:t>
      </w:r>
      <w:r w:rsidRPr="00F81500">
        <w:rPr>
          <w:rFonts w:ascii="Arial" w:hAnsi="Arial" w:cs="Arial"/>
          <w:sz w:val="20"/>
          <w:szCs w:val="20"/>
        </w:rPr>
        <w:t xml:space="preserve">issued by the Association for Financial Markets in Europe and the Investment Association </w:t>
      </w:r>
      <w:r w:rsidR="00157939">
        <w:rPr>
          <w:rFonts w:ascii="Arial" w:hAnsi="Arial" w:cs="Arial"/>
          <w:sz w:val="20"/>
          <w:szCs w:val="20"/>
        </w:rPr>
        <w:t>for</w:t>
      </w:r>
      <w:r w:rsidR="00157939" w:rsidRPr="00F81500">
        <w:rPr>
          <w:rFonts w:ascii="Arial" w:hAnsi="Arial" w:cs="Arial"/>
          <w:sz w:val="20"/>
          <w:szCs w:val="20"/>
        </w:rPr>
        <w:t xml:space="preserve"> </w:t>
      </w:r>
      <w:r w:rsidRPr="00F81500">
        <w:rPr>
          <w:rFonts w:ascii="Arial" w:hAnsi="Arial" w:cs="Arial"/>
          <w:sz w:val="20"/>
          <w:szCs w:val="20"/>
        </w:rPr>
        <w:t xml:space="preserve">classifying IOIs. </w:t>
      </w:r>
      <w:r w:rsidR="00E92B37" w:rsidRPr="00F81500">
        <w:rPr>
          <w:rFonts w:ascii="Arial" w:hAnsi="Arial" w:cs="Arial"/>
          <w:sz w:val="20"/>
          <w:szCs w:val="20"/>
        </w:rPr>
        <w:t xml:space="preserve">Under the AFME Framework, “P:1” or “In Touch With” IOIs can be issued where there is a reasonable expectation of interest from a specific client and </w:t>
      </w:r>
      <w:r w:rsidR="00157939">
        <w:rPr>
          <w:rFonts w:ascii="Arial" w:hAnsi="Arial" w:cs="Arial"/>
          <w:sz w:val="20"/>
          <w:szCs w:val="20"/>
        </w:rPr>
        <w:t xml:space="preserve">the </w:t>
      </w:r>
      <w:r w:rsidR="00E92B37" w:rsidRPr="00F81500">
        <w:rPr>
          <w:rFonts w:ascii="Arial" w:hAnsi="Arial" w:cs="Arial"/>
          <w:sz w:val="20"/>
          <w:szCs w:val="20"/>
        </w:rPr>
        <w:t>resulting trades are expected to be of a riskless nature.</w:t>
      </w:r>
    </w:p>
    <w:p w14:paraId="1A91A287" w14:textId="77777777" w:rsidR="007D532D" w:rsidRPr="00F81500" w:rsidRDefault="007D532D" w:rsidP="00F81500">
      <w:pPr>
        <w:spacing w:after="0"/>
        <w:jc w:val="both"/>
        <w:rPr>
          <w:rFonts w:ascii="Arial" w:hAnsi="Arial" w:cs="Arial"/>
          <w:sz w:val="20"/>
          <w:szCs w:val="20"/>
        </w:rPr>
      </w:pPr>
    </w:p>
    <w:p w14:paraId="6014CEBC" w14:textId="77777777" w:rsidR="007D532D" w:rsidRPr="00F81500" w:rsidRDefault="007D532D" w:rsidP="00F81500">
      <w:pPr>
        <w:spacing w:after="0"/>
        <w:jc w:val="both"/>
        <w:rPr>
          <w:rFonts w:ascii="Arial" w:hAnsi="Arial" w:cs="Arial"/>
          <w:sz w:val="20"/>
          <w:szCs w:val="20"/>
        </w:rPr>
      </w:pPr>
      <w:r w:rsidRPr="00F81500">
        <w:rPr>
          <w:rFonts w:ascii="Arial" w:hAnsi="Arial" w:cs="Arial"/>
          <w:sz w:val="20"/>
          <w:szCs w:val="20"/>
        </w:rPr>
        <w:t xml:space="preserve">The SFC considered that the </w:t>
      </w:r>
      <w:proofErr w:type="spellStart"/>
      <w:r w:rsidRPr="00F81500">
        <w:rPr>
          <w:rFonts w:ascii="Arial" w:hAnsi="Arial" w:cs="Arial"/>
          <w:sz w:val="20"/>
          <w:szCs w:val="20"/>
        </w:rPr>
        <w:t>mislabel</w:t>
      </w:r>
      <w:r w:rsidR="002B2BF9">
        <w:rPr>
          <w:rFonts w:ascii="Arial" w:hAnsi="Arial" w:cs="Arial"/>
          <w:sz w:val="20"/>
          <w:szCs w:val="20"/>
        </w:rPr>
        <w:t>l</w:t>
      </w:r>
      <w:r w:rsidRPr="00F81500">
        <w:rPr>
          <w:rFonts w:ascii="Arial" w:hAnsi="Arial" w:cs="Arial"/>
          <w:sz w:val="20"/>
          <w:szCs w:val="20"/>
        </w:rPr>
        <w:t>ing</w:t>
      </w:r>
      <w:proofErr w:type="spellEnd"/>
      <w:r w:rsidRPr="00F81500">
        <w:rPr>
          <w:rFonts w:ascii="Arial" w:hAnsi="Arial" w:cs="Arial"/>
          <w:sz w:val="20"/>
          <w:szCs w:val="20"/>
        </w:rPr>
        <w:t xml:space="preserve"> of IOIs breached</w:t>
      </w:r>
      <w:r w:rsidR="00545043">
        <w:rPr>
          <w:rFonts w:ascii="Arial" w:hAnsi="Arial" w:cs="Arial"/>
          <w:sz w:val="20"/>
          <w:szCs w:val="20"/>
        </w:rPr>
        <w:t xml:space="preserve"> </w:t>
      </w:r>
      <w:r w:rsidRPr="00F81500">
        <w:rPr>
          <w:rFonts w:ascii="Arial" w:hAnsi="Arial" w:cs="Arial"/>
          <w:sz w:val="20"/>
          <w:szCs w:val="20"/>
        </w:rPr>
        <w:t xml:space="preserve">the AFME Framework and </w:t>
      </w:r>
      <w:r w:rsidR="005135EF">
        <w:rPr>
          <w:rFonts w:ascii="Arial" w:hAnsi="Arial" w:cs="Arial"/>
          <w:sz w:val="20"/>
          <w:szCs w:val="20"/>
        </w:rPr>
        <w:t xml:space="preserve">were inconsistent with </w:t>
      </w:r>
      <w:r w:rsidRPr="00F81500">
        <w:rPr>
          <w:rFonts w:ascii="Arial" w:hAnsi="Arial" w:cs="Arial"/>
          <w:sz w:val="20"/>
          <w:szCs w:val="20"/>
        </w:rPr>
        <w:t>the fundamental principles of being honest with clients and treating them fairly.</w:t>
      </w:r>
    </w:p>
    <w:p w14:paraId="194BFD42" w14:textId="77777777" w:rsidR="003D0AEA" w:rsidRPr="00F81500" w:rsidRDefault="003D0AEA" w:rsidP="00F81500">
      <w:pPr>
        <w:spacing w:after="0"/>
        <w:jc w:val="both"/>
        <w:rPr>
          <w:rFonts w:ascii="Arial" w:hAnsi="Arial" w:cs="Arial"/>
          <w:sz w:val="20"/>
          <w:szCs w:val="20"/>
        </w:rPr>
      </w:pPr>
    </w:p>
    <w:p w14:paraId="133F833A" w14:textId="77777777" w:rsidR="003D0AEA" w:rsidRPr="00F81500" w:rsidRDefault="00275472"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Misrepresentation and non-disclosure to conceal the principal nature of facilitation trades</w:t>
      </w:r>
    </w:p>
    <w:p w14:paraId="069A0F08" w14:textId="77777777" w:rsidR="007D532D" w:rsidRPr="00F81500" w:rsidRDefault="007D532D" w:rsidP="00F81500">
      <w:pPr>
        <w:spacing w:after="0"/>
        <w:jc w:val="both"/>
        <w:rPr>
          <w:rFonts w:ascii="Arial" w:hAnsi="Arial" w:cs="Arial"/>
          <w:b/>
          <w:sz w:val="20"/>
          <w:szCs w:val="20"/>
        </w:rPr>
      </w:pPr>
    </w:p>
    <w:p w14:paraId="5F3F59E8" w14:textId="77777777" w:rsidR="005A0A7E" w:rsidRPr="00F81500" w:rsidRDefault="005A0A7E" w:rsidP="00F81500">
      <w:pPr>
        <w:spacing w:after="0"/>
        <w:jc w:val="both"/>
        <w:rPr>
          <w:rFonts w:ascii="Arial" w:hAnsi="Arial" w:cs="Arial"/>
          <w:sz w:val="20"/>
          <w:szCs w:val="20"/>
        </w:rPr>
      </w:pPr>
      <w:r w:rsidRPr="00F81500">
        <w:rPr>
          <w:rFonts w:ascii="Arial" w:hAnsi="Arial" w:cs="Arial"/>
          <w:sz w:val="20"/>
          <w:szCs w:val="20"/>
        </w:rPr>
        <w:t xml:space="preserve">During the investigation, the SFC reviewed 174 sample facilitation trades executed by </w:t>
      </w:r>
      <w:r w:rsidR="007B383B" w:rsidRPr="00F81500">
        <w:rPr>
          <w:rFonts w:ascii="Arial" w:hAnsi="Arial" w:cs="Arial"/>
          <w:sz w:val="20"/>
          <w:szCs w:val="20"/>
        </w:rPr>
        <w:t>C</w:t>
      </w:r>
      <w:r w:rsidR="007B383B">
        <w:rPr>
          <w:rFonts w:ascii="Arial" w:hAnsi="Arial" w:cs="Arial"/>
          <w:sz w:val="20"/>
          <w:szCs w:val="20"/>
        </w:rPr>
        <w:t>itigroup</w:t>
      </w:r>
      <w:r w:rsidR="007B383B" w:rsidRPr="00F81500">
        <w:rPr>
          <w:rFonts w:ascii="Arial" w:hAnsi="Arial" w:cs="Arial"/>
          <w:sz w:val="20"/>
          <w:szCs w:val="20"/>
        </w:rPr>
        <w:t xml:space="preserve">’s </w:t>
      </w:r>
      <w:r w:rsidR="002E525B">
        <w:rPr>
          <w:rFonts w:ascii="Arial" w:hAnsi="Arial" w:cs="Arial"/>
          <w:sz w:val="20"/>
          <w:szCs w:val="20"/>
        </w:rPr>
        <w:t>trading d</w:t>
      </w:r>
      <w:r w:rsidR="00046751">
        <w:rPr>
          <w:rFonts w:ascii="Arial" w:hAnsi="Arial" w:cs="Arial"/>
          <w:sz w:val="20"/>
          <w:szCs w:val="20"/>
        </w:rPr>
        <w:t>esks</w:t>
      </w:r>
      <w:r w:rsidRPr="00F81500">
        <w:rPr>
          <w:rFonts w:ascii="Arial" w:hAnsi="Arial" w:cs="Arial"/>
          <w:sz w:val="20"/>
          <w:szCs w:val="20"/>
        </w:rPr>
        <w:t xml:space="preserve"> </w:t>
      </w:r>
      <w:r w:rsidR="00046751">
        <w:rPr>
          <w:rFonts w:ascii="Arial" w:hAnsi="Arial" w:cs="Arial"/>
          <w:sz w:val="20"/>
          <w:szCs w:val="20"/>
        </w:rPr>
        <w:t>between</w:t>
      </w:r>
      <w:r w:rsidR="00046751" w:rsidRPr="00F81500">
        <w:rPr>
          <w:rFonts w:ascii="Arial" w:hAnsi="Arial" w:cs="Arial"/>
          <w:sz w:val="20"/>
          <w:szCs w:val="20"/>
        </w:rPr>
        <w:t xml:space="preserve"> </w:t>
      </w:r>
      <w:r w:rsidRPr="00F81500">
        <w:rPr>
          <w:rFonts w:ascii="Arial" w:hAnsi="Arial" w:cs="Arial"/>
          <w:sz w:val="20"/>
          <w:szCs w:val="20"/>
        </w:rPr>
        <w:t xml:space="preserve">January 2014 </w:t>
      </w:r>
      <w:r w:rsidR="00046751">
        <w:rPr>
          <w:rFonts w:ascii="Arial" w:hAnsi="Arial" w:cs="Arial"/>
          <w:sz w:val="20"/>
          <w:szCs w:val="20"/>
        </w:rPr>
        <w:t>and</w:t>
      </w:r>
      <w:r w:rsidRPr="00F81500">
        <w:rPr>
          <w:rFonts w:ascii="Arial" w:hAnsi="Arial" w:cs="Arial"/>
          <w:sz w:val="20"/>
          <w:szCs w:val="20"/>
        </w:rPr>
        <w:t xml:space="preserve"> December 2018 and found that the </w:t>
      </w:r>
      <w:r w:rsidR="002E525B">
        <w:rPr>
          <w:rFonts w:ascii="Arial" w:hAnsi="Arial" w:cs="Arial"/>
          <w:sz w:val="20"/>
          <w:szCs w:val="20"/>
        </w:rPr>
        <w:t xml:space="preserve">desk </w:t>
      </w:r>
      <w:r w:rsidRPr="00F81500">
        <w:rPr>
          <w:rFonts w:ascii="Arial" w:hAnsi="Arial" w:cs="Arial"/>
          <w:sz w:val="20"/>
          <w:szCs w:val="20"/>
        </w:rPr>
        <w:t>heads and traders:</w:t>
      </w:r>
    </w:p>
    <w:p w14:paraId="1C68F55F" w14:textId="77777777" w:rsidR="00B62232" w:rsidRPr="00F81500" w:rsidRDefault="00B62232" w:rsidP="00F81500">
      <w:pPr>
        <w:spacing w:after="0"/>
        <w:jc w:val="both"/>
        <w:rPr>
          <w:rFonts w:ascii="Arial" w:hAnsi="Arial" w:cs="Arial"/>
          <w:sz w:val="20"/>
          <w:szCs w:val="20"/>
        </w:rPr>
      </w:pPr>
    </w:p>
    <w:p w14:paraId="0199FA0F" w14:textId="77777777" w:rsidR="005A0A7E" w:rsidRPr="00F81500" w:rsidRDefault="00A14817"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 xml:space="preserve">made </w:t>
      </w:r>
      <w:r w:rsidR="00CA2C6A" w:rsidRPr="00F81500">
        <w:rPr>
          <w:rFonts w:ascii="Arial" w:hAnsi="Arial" w:cs="Arial"/>
          <w:sz w:val="20"/>
          <w:szCs w:val="20"/>
        </w:rPr>
        <w:t xml:space="preserve">express </w:t>
      </w:r>
      <w:r w:rsidRPr="00F81500">
        <w:rPr>
          <w:rFonts w:ascii="Arial" w:hAnsi="Arial" w:cs="Arial"/>
          <w:sz w:val="20"/>
          <w:szCs w:val="20"/>
        </w:rPr>
        <w:t>misrepresentat</w:t>
      </w:r>
      <w:r w:rsidR="00CA2C6A" w:rsidRPr="00F81500">
        <w:rPr>
          <w:rFonts w:ascii="Arial" w:hAnsi="Arial" w:cs="Arial"/>
          <w:sz w:val="20"/>
          <w:szCs w:val="20"/>
        </w:rPr>
        <w:t>ion</w:t>
      </w:r>
      <w:r w:rsidRPr="00F81500">
        <w:rPr>
          <w:rFonts w:ascii="Arial" w:hAnsi="Arial" w:cs="Arial"/>
          <w:sz w:val="20"/>
          <w:szCs w:val="20"/>
        </w:rPr>
        <w:t xml:space="preserve"> to client</w:t>
      </w:r>
      <w:r w:rsidR="00F70E6E">
        <w:rPr>
          <w:rFonts w:ascii="Arial" w:hAnsi="Arial" w:cs="Arial"/>
          <w:sz w:val="20"/>
          <w:szCs w:val="20"/>
        </w:rPr>
        <w:t>s</w:t>
      </w:r>
      <w:r w:rsidRPr="00F81500">
        <w:rPr>
          <w:rFonts w:ascii="Arial" w:hAnsi="Arial" w:cs="Arial"/>
          <w:sz w:val="20"/>
          <w:szCs w:val="20"/>
        </w:rPr>
        <w:t xml:space="preserve"> by giving factually incorrect information or conceal</w:t>
      </w:r>
      <w:r w:rsidR="00BE199F">
        <w:rPr>
          <w:rFonts w:ascii="Arial" w:hAnsi="Arial" w:cs="Arial"/>
          <w:sz w:val="20"/>
          <w:szCs w:val="20"/>
        </w:rPr>
        <w:t>ed</w:t>
      </w:r>
      <w:r w:rsidRPr="00F81500">
        <w:rPr>
          <w:rFonts w:ascii="Arial" w:hAnsi="Arial" w:cs="Arial"/>
          <w:sz w:val="20"/>
          <w:szCs w:val="20"/>
        </w:rPr>
        <w:t xml:space="preserve"> the principal nature of the trade</w:t>
      </w:r>
      <w:r w:rsidR="00F70E6E">
        <w:rPr>
          <w:rFonts w:ascii="Arial" w:hAnsi="Arial" w:cs="Arial"/>
          <w:sz w:val="20"/>
          <w:szCs w:val="20"/>
        </w:rPr>
        <w:t>s</w:t>
      </w:r>
      <w:r w:rsidR="00CA2C6A" w:rsidRPr="00F81500">
        <w:rPr>
          <w:rFonts w:ascii="Arial" w:hAnsi="Arial" w:cs="Arial"/>
          <w:sz w:val="20"/>
          <w:szCs w:val="20"/>
        </w:rPr>
        <w:t>;</w:t>
      </w:r>
    </w:p>
    <w:p w14:paraId="0B1ABBF0" w14:textId="77777777" w:rsidR="00B62232" w:rsidRPr="00F81500" w:rsidRDefault="00B62232" w:rsidP="00F81500">
      <w:pPr>
        <w:pStyle w:val="a4"/>
        <w:spacing w:after="0"/>
        <w:ind w:left="360"/>
        <w:jc w:val="both"/>
        <w:rPr>
          <w:rFonts w:ascii="Arial" w:hAnsi="Arial" w:cs="Arial"/>
          <w:sz w:val="20"/>
          <w:szCs w:val="20"/>
        </w:rPr>
      </w:pPr>
    </w:p>
    <w:p w14:paraId="1BA8994B" w14:textId="77777777" w:rsidR="00A14817" w:rsidRPr="00F81500" w:rsidRDefault="00CA2C6A"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 xml:space="preserve">made misleading statements that </w:t>
      </w:r>
      <w:r w:rsidR="00F70E6E">
        <w:rPr>
          <w:rFonts w:ascii="Arial" w:hAnsi="Arial" w:cs="Arial"/>
          <w:sz w:val="20"/>
          <w:szCs w:val="20"/>
        </w:rPr>
        <w:t>led clients to</w:t>
      </w:r>
      <w:r w:rsidRPr="00F81500">
        <w:rPr>
          <w:rFonts w:ascii="Arial" w:hAnsi="Arial" w:cs="Arial"/>
          <w:sz w:val="20"/>
          <w:szCs w:val="20"/>
        </w:rPr>
        <w:t xml:space="preserve"> </w:t>
      </w:r>
      <w:r w:rsidR="00F70E6E">
        <w:rPr>
          <w:rFonts w:ascii="Arial" w:hAnsi="Arial" w:cs="Arial"/>
          <w:sz w:val="20"/>
          <w:szCs w:val="20"/>
        </w:rPr>
        <w:t>mis</w:t>
      </w:r>
      <w:r w:rsidR="00F70E6E" w:rsidRPr="00F81500">
        <w:rPr>
          <w:rFonts w:ascii="Arial" w:hAnsi="Arial" w:cs="Arial"/>
          <w:sz w:val="20"/>
          <w:szCs w:val="20"/>
        </w:rPr>
        <w:t>interpret</w:t>
      </w:r>
      <w:r w:rsidR="00F70E6E">
        <w:rPr>
          <w:rFonts w:ascii="Arial" w:hAnsi="Arial" w:cs="Arial"/>
          <w:sz w:val="20"/>
          <w:szCs w:val="20"/>
        </w:rPr>
        <w:t xml:space="preserve"> trades as being </w:t>
      </w:r>
      <w:r w:rsidRPr="00F81500">
        <w:rPr>
          <w:rFonts w:ascii="Arial" w:hAnsi="Arial" w:cs="Arial"/>
          <w:sz w:val="20"/>
          <w:szCs w:val="20"/>
        </w:rPr>
        <w:t xml:space="preserve">executed on an agency basis, or </w:t>
      </w:r>
      <w:r w:rsidR="00F70E6E">
        <w:rPr>
          <w:rFonts w:ascii="Arial" w:hAnsi="Arial" w:cs="Arial"/>
          <w:sz w:val="20"/>
          <w:szCs w:val="20"/>
        </w:rPr>
        <w:t>in some cases,</w:t>
      </w:r>
      <w:r w:rsidR="00F70E6E" w:rsidRPr="00F81500">
        <w:rPr>
          <w:rFonts w:ascii="Arial" w:hAnsi="Arial" w:cs="Arial"/>
          <w:sz w:val="20"/>
          <w:szCs w:val="20"/>
        </w:rPr>
        <w:t xml:space="preserve"> </w:t>
      </w:r>
      <w:r w:rsidRPr="00F81500">
        <w:rPr>
          <w:rFonts w:ascii="Arial" w:hAnsi="Arial" w:cs="Arial"/>
          <w:sz w:val="20"/>
          <w:szCs w:val="20"/>
        </w:rPr>
        <w:t xml:space="preserve">remained silent notwithstanding some indication of the client’s </w:t>
      </w:r>
      <w:r w:rsidR="00F70E6E">
        <w:rPr>
          <w:rFonts w:ascii="Arial" w:hAnsi="Arial" w:cs="Arial"/>
          <w:sz w:val="20"/>
          <w:szCs w:val="20"/>
        </w:rPr>
        <w:t xml:space="preserve">incorrect </w:t>
      </w:r>
      <w:r w:rsidRPr="00F81500">
        <w:rPr>
          <w:rFonts w:ascii="Arial" w:hAnsi="Arial" w:cs="Arial"/>
          <w:sz w:val="20"/>
          <w:szCs w:val="20"/>
        </w:rPr>
        <w:t>belief that the trade</w:t>
      </w:r>
      <w:r w:rsidR="00F70E6E">
        <w:rPr>
          <w:rFonts w:ascii="Arial" w:hAnsi="Arial" w:cs="Arial"/>
          <w:sz w:val="20"/>
          <w:szCs w:val="20"/>
        </w:rPr>
        <w:t>s</w:t>
      </w:r>
      <w:r w:rsidRPr="00F81500">
        <w:rPr>
          <w:rFonts w:ascii="Arial" w:hAnsi="Arial" w:cs="Arial"/>
          <w:sz w:val="20"/>
          <w:szCs w:val="20"/>
        </w:rPr>
        <w:t xml:space="preserve"> w</w:t>
      </w:r>
      <w:r w:rsidR="00F70E6E">
        <w:rPr>
          <w:rFonts w:ascii="Arial" w:hAnsi="Arial" w:cs="Arial"/>
          <w:sz w:val="20"/>
          <w:szCs w:val="20"/>
        </w:rPr>
        <w:t xml:space="preserve">ere </w:t>
      </w:r>
      <w:r w:rsidRPr="00F81500">
        <w:rPr>
          <w:rFonts w:ascii="Arial" w:hAnsi="Arial" w:cs="Arial"/>
          <w:sz w:val="20"/>
          <w:szCs w:val="20"/>
        </w:rPr>
        <w:t>agency trade</w:t>
      </w:r>
      <w:r w:rsidR="00F70E6E">
        <w:rPr>
          <w:rFonts w:ascii="Arial" w:hAnsi="Arial" w:cs="Arial"/>
          <w:sz w:val="20"/>
          <w:szCs w:val="20"/>
        </w:rPr>
        <w:t>s</w:t>
      </w:r>
      <w:r w:rsidRPr="00F81500">
        <w:rPr>
          <w:rFonts w:ascii="Arial" w:hAnsi="Arial" w:cs="Arial"/>
          <w:sz w:val="20"/>
          <w:szCs w:val="20"/>
        </w:rPr>
        <w:t>; and/or</w:t>
      </w:r>
    </w:p>
    <w:p w14:paraId="2E0D8C94" w14:textId="77777777" w:rsidR="00B62232" w:rsidRPr="00F81500" w:rsidRDefault="00B62232" w:rsidP="00F81500">
      <w:pPr>
        <w:pStyle w:val="a4"/>
        <w:spacing w:after="0"/>
        <w:ind w:left="360"/>
        <w:jc w:val="both"/>
        <w:rPr>
          <w:rFonts w:ascii="Arial" w:hAnsi="Arial" w:cs="Arial"/>
          <w:sz w:val="20"/>
          <w:szCs w:val="20"/>
        </w:rPr>
      </w:pPr>
    </w:p>
    <w:p w14:paraId="58D6E00B" w14:textId="77777777" w:rsidR="00CA2C6A" w:rsidRPr="00F81500" w:rsidRDefault="00CA2C6A"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remained silent or were not explicit</w:t>
      </w:r>
      <w:r w:rsidR="00552597" w:rsidRPr="00F81500">
        <w:rPr>
          <w:rFonts w:ascii="Arial" w:hAnsi="Arial" w:cs="Arial"/>
          <w:sz w:val="20"/>
          <w:szCs w:val="20"/>
        </w:rPr>
        <w:t xml:space="preserve"> (</w:t>
      </w:r>
      <w:proofErr w:type="gramStart"/>
      <w:r w:rsidR="00552597" w:rsidRPr="00F81500">
        <w:rPr>
          <w:rFonts w:ascii="Arial" w:hAnsi="Arial" w:cs="Arial"/>
          <w:sz w:val="20"/>
          <w:szCs w:val="20"/>
        </w:rPr>
        <w:t>i.e.</w:t>
      </w:r>
      <w:proofErr w:type="gramEnd"/>
      <w:r w:rsidR="00552597" w:rsidRPr="00F81500">
        <w:rPr>
          <w:rFonts w:ascii="Arial" w:hAnsi="Arial" w:cs="Arial"/>
          <w:sz w:val="20"/>
          <w:szCs w:val="20"/>
        </w:rPr>
        <w:t xml:space="preserve"> non-disclosure)</w:t>
      </w:r>
      <w:r w:rsidRPr="00F81500">
        <w:rPr>
          <w:rFonts w:ascii="Arial" w:hAnsi="Arial" w:cs="Arial"/>
          <w:sz w:val="20"/>
          <w:szCs w:val="20"/>
        </w:rPr>
        <w:t xml:space="preserve"> with client</w:t>
      </w:r>
      <w:r w:rsidR="006D6E23">
        <w:rPr>
          <w:rFonts w:ascii="Arial" w:hAnsi="Arial" w:cs="Arial"/>
          <w:sz w:val="20"/>
          <w:szCs w:val="20"/>
        </w:rPr>
        <w:t>s</w:t>
      </w:r>
      <w:r w:rsidRPr="00F81500">
        <w:rPr>
          <w:rFonts w:ascii="Arial" w:hAnsi="Arial" w:cs="Arial"/>
          <w:sz w:val="20"/>
          <w:szCs w:val="20"/>
        </w:rPr>
        <w:t xml:space="preserve"> about the involvement of the </w:t>
      </w:r>
      <w:r w:rsidR="002E525B">
        <w:rPr>
          <w:rFonts w:ascii="Arial" w:hAnsi="Arial" w:cs="Arial"/>
          <w:sz w:val="20"/>
          <w:szCs w:val="20"/>
        </w:rPr>
        <w:t>f</w:t>
      </w:r>
      <w:r w:rsidRPr="00F81500">
        <w:rPr>
          <w:rFonts w:ascii="Arial" w:hAnsi="Arial" w:cs="Arial"/>
          <w:sz w:val="20"/>
          <w:szCs w:val="20"/>
        </w:rPr>
        <w:t xml:space="preserve">acilitation </w:t>
      </w:r>
      <w:r w:rsidR="002E525B">
        <w:rPr>
          <w:rFonts w:ascii="Arial" w:hAnsi="Arial" w:cs="Arial"/>
          <w:sz w:val="20"/>
          <w:szCs w:val="20"/>
        </w:rPr>
        <w:t>d</w:t>
      </w:r>
      <w:r w:rsidRPr="00F81500">
        <w:rPr>
          <w:rFonts w:ascii="Arial" w:hAnsi="Arial" w:cs="Arial"/>
          <w:sz w:val="20"/>
          <w:szCs w:val="20"/>
        </w:rPr>
        <w:t xml:space="preserve">esk </w:t>
      </w:r>
      <w:r w:rsidR="006D6E23">
        <w:rPr>
          <w:rFonts w:ascii="Arial" w:hAnsi="Arial" w:cs="Arial"/>
          <w:sz w:val="20"/>
          <w:szCs w:val="20"/>
        </w:rPr>
        <w:t xml:space="preserve">(being one of the trading </w:t>
      </w:r>
      <w:r w:rsidR="002E525B">
        <w:rPr>
          <w:rFonts w:ascii="Arial" w:hAnsi="Arial" w:cs="Arial"/>
          <w:sz w:val="20"/>
          <w:szCs w:val="20"/>
        </w:rPr>
        <w:t>d</w:t>
      </w:r>
      <w:r w:rsidR="006D6E23">
        <w:rPr>
          <w:rFonts w:ascii="Arial" w:hAnsi="Arial" w:cs="Arial"/>
          <w:sz w:val="20"/>
          <w:szCs w:val="20"/>
        </w:rPr>
        <w:t xml:space="preserve">esks) </w:t>
      </w:r>
      <w:r w:rsidRPr="00F81500">
        <w:rPr>
          <w:rFonts w:ascii="Arial" w:hAnsi="Arial" w:cs="Arial"/>
          <w:sz w:val="20"/>
          <w:szCs w:val="20"/>
        </w:rPr>
        <w:t>and failed to obtain clients</w:t>
      </w:r>
      <w:r w:rsidR="006D6E23">
        <w:rPr>
          <w:rFonts w:ascii="Arial" w:hAnsi="Arial" w:cs="Arial"/>
          <w:sz w:val="20"/>
          <w:szCs w:val="20"/>
        </w:rPr>
        <w:t>’</w:t>
      </w:r>
      <w:r w:rsidRPr="00F81500">
        <w:rPr>
          <w:rFonts w:ascii="Arial" w:hAnsi="Arial" w:cs="Arial"/>
          <w:sz w:val="20"/>
          <w:szCs w:val="20"/>
        </w:rPr>
        <w:t xml:space="preserve"> consent before routing the clients</w:t>
      </w:r>
      <w:r w:rsidR="006D6E23">
        <w:rPr>
          <w:rFonts w:ascii="Arial" w:hAnsi="Arial" w:cs="Arial"/>
          <w:sz w:val="20"/>
          <w:szCs w:val="20"/>
        </w:rPr>
        <w:t>’</w:t>
      </w:r>
      <w:r w:rsidRPr="00F81500">
        <w:rPr>
          <w:rFonts w:ascii="Arial" w:hAnsi="Arial" w:cs="Arial"/>
          <w:sz w:val="20"/>
          <w:szCs w:val="20"/>
        </w:rPr>
        <w:t xml:space="preserve"> order</w:t>
      </w:r>
      <w:r w:rsidR="006D6E23">
        <w:rPr>
          <w:rFonts w:ascii="Arial" w:hAnsi="Arial" w:cs="Arial"/>
          <w:sz w:val="20"/>
          <w:szCs w:val="20"/>
        </w:rPr>
        <w:t>s</w:t>
      </w:r>
      <w:r w:rsidRPr="00F81500">
        <w:rPr>
          <w:rFonts w:ascii="Arial" w:hAnsi="Arial" w:cs="Arial"/>
          <w:sz w:val="20"/>
          <w:szCs w:val="20"/>
        </w:rPr>
        <w:t xml:space="preserve"> to the </w:t>
      </w:r>
      <w:r w:rsidR="002E525B">
        <w:rPr>
          <w:rFonts w:ascii="Arial" w:hAnsi="Arial" w:cs="Arial"/>
          <w:sz w:val="20"/>
          <w:szCs w:val="20"/>
        </w:rPr>
        <w:t>f</w:t>
      </w:r>
      <w:r w:rsidRPr="00F81500">
        <w:rPr>
          <w:rFonts w:ascii="Arial" w:hAnsi="Arial" w:cs="Arial"/>
          <w:sz w:val="20"/>
          <w:szCs w:val="20"/>
        </w:rPr>
        <w:t xml:space="preserve">acilitation </w:t>
      </w:r>
      <w:r w:rsidR="002E525B">
        <w:rPr>
          <w:rFonts w:ascii="Arial" w:hAnsi="Arial" w:cs="Arial"/>
          <w:sz w:val="20"/>
          <w:szCs w:val="20"/>
        </w:rPr>
        <w:t>d</w:t>
      </w:r>
      <w:r w:rsidRPr="00F81500">
        <w:rPr>
          <w:rFonts w:ascii="Arial" w:hAnsi="Arial" w:cs="Arial"/>
          <w:sz w:val="20"/>
          <w:szCs w:val="20"/>
        </w:rPr>
        <w:t>esk for execution</w:t>
      </w:r>
      <w:r w:rsidR="00561A6D" w:rsidRPr="00F81500">
        <w:rPr>
          <w:rFonts w:ascii="Arial" w:hAnsi="Arial" w:cs="Arial"/>
          <w:sz w:val="20"/>
          <w:szCs w:val="20"/>
        </w:rPr>
        <w:t>.</w:t>
      </w:r>
    </w:p>
    <w:p w14:paraId="465DF920" w14:textId="77777777" w:rsidR="0059383D" w:rsidRPr="00F81500" w:rsidRDefault="0059383D" w:rsidP="00F81500">
      <w:pPr>
        <w:pStyle w:val="a4"/>
        <w:spacing w:after="0"/>
        <w:jc w:val="both"/>
        <w:rPr>
          <w:rFonts w:ascii="Arial" w:hAnsi="Arial" w:cs="Arial"/>
          <w:sz w:val="20"/>
          <w:szCs w:val="20"/>
        </w:rPr>
      </w:pPr>
    </w:p>
    <w:p w14:paraId="1E2B0ACE" w14:textId="77777777" w:rsidR="0059383D" w:rsidRPr="00F81500" w:rsidRDefault="0059383D" w:rsidP="00F81500">
      <w:pPr>
        <w:spacing w:after="0"/>
        <w:jc w:val="both"/>
        <w:rPr>
          <w:rFonts w:ascii="Arial" w:hAnsi="Arial" w:cs="Arial"/>
          <w:sz w:val="20"/>
          <w:szCs w:val="20"/>
        </w:rPr>
      </w:pPr>
      <w:r w:rsidRPr="00F81500">
        <w:rPr>
          <w:rFonts w:ascii="Arial" w:hAnsi="Arial" w:cs="Arial"/>
          <w:sz w:val="20"/>
          <w:szCs w:val="20"/>
        </w:rPr>
        <w:t xml:space="preserve">The SFC found that </w:t>
      </w:r>
      <w:r w:rsidR="006D6E23">
        <w:rPr>
          <w:rFonts w:ascii="Arial" w:hAnsi="Arial" w:cs="Arial"/>
          <w:sz w:val="20"/>
          <w:szCs w:val="20"/>
        </w:rPr>
        <w:t xml:space="preserve">Citigroup’s </w:t>
      </w:r>
      <w:r w:rsidRPr="00F81500">
        <w:rPr>
          <w:rFonts w:ascii="Arial" w:hAnsi="Arial" w:cs="Arial"/>
          <w:sz w:val="20"/>
          <w:szCs w:val="20"/>
        </w:rPr>
        <w:t>misrepresentation and non-disclosure breached the SFC Code of Conduct.</w:t>
      </w:r>
    </w:p>
    <w:p w14:paraId="744A53EE" w14:textId="77777777" w:rsidR="007D532D" w:rsidRPr="00F81500" w:rsidRDefault="007D532D" w:rsidP="00F81500">
      <w:pPr>
        <w:spacing w:after="0"/>
        <w:jc w:val="both"/>
        <w:rPr>
          <w:rFonts w:ascii="Arial" w:hAnsi="Arial" w:cs="Arial"/>
          <w:b/>
          <w:sz w:val="20"/>
          <w:szCs w:val="20"/>
        </w:rPr>
      </w:pPr>
    </w:p>
    <w:p w14:paraId="6282BC28" w14:textId="77777777" w:rsidR="00134DD5" w:rsidRPr="00F81500" w:rsidRDefault="00134DD5"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Internal control failures</w:t>
      </w:r>
    </w:p>
    <w:p w14:paraId="4C793D8C" w14:textId="77777777" w:rsidR="00134DD5" w:rsidRPr="00F81500" w:rsidRDefault="00134DD5" w:rsidP="00F81500">
      <w:pPr>
        <w:spacing w:after="0"/>
        <w:jc w:val="both"/>
        <w:rPr>
          <w:rFonts w:ascii="Arial" w:hAnsi="Arial" w:cs="Arial"/>
          <w:b/>
          <w:sz w:val="20"/>
          <w:szCs w:val="20"/>
        </w:rPr>
      </w:pPr>
    </w:p>
    <w:p w14:paraId="623AF6BA" w14:textId="77777777" w:rsidR="00134DD5" w:rsidRPr="00F81500" w:rsidRDefault="00134DD5" w:rsidP="00F81500">
      <w:pPr>
        <w:spacing w:after="0"/>
        <w:jc w:val="both"/>
        <w:rPr>
          <w:rFonts w:ascii="Arial" w:hAnsi="Arial" w:cs="Arial"/>
          <w:sz w:val="20"/>
          <w:szCs w:val="20"/>
        </w:rPr>
      </w:pPr>
      <w:r w:rsidRPr="00F81500">
        <w:rPr>
          <w:rFonts w:ascii="Arial" w:hAnsi="Arial" w:cs="Arial"/>
          <w:sz w:val="20"/>
          <w:szCs w:val="20"/>
        </w:rPr>
        <w:t>The SFC found that the prevalence of the dishonest behavio</w:t>
      </w:r>
      <w:r w:rsidR="002E525B">
        <w:rPr>
          <w:rFonts w:ascii="Arial" w:hAnsi="Arial" w:cs="Arial"/>
          <w:sz w:val="20"/>
          <w:szCs w:val="20"/>
        </w:rPr>
        <w:t>u</w:t>
      </w:r>
      <w:r w:rsidRPr="00F81500">
        <w:rPr>
          <w:rFonts w:ascii="Arial" w:hAnsi="Arial" w:cs="Arial"/>
          <w:sz w:val="20"/>
          <w:szCs w:val="20"/>
        </w:rPr>
        <w:t xml:space="preserve">r among the </w:t>
      </w:r>
      <w:r w:rsidR="002E525B">
        <w:rPr>
          <w:rFonts w:ascii="Arial" w:hAnsi="Arial" w:cs="Arial"/>
          <w:sz w:val="20"/>
          <w:szCs w:val="20"/>
        </w:rPr>
        <w:t>trading d</w:t>
      </w:r>
      <w:r w:rsidR="005D3BC6" w:rsidRPr="00F81500">
        <w:rPr>
          <w:rFonts w:ascii="Arial" w:hAnsi="Arial" w:cs="Arial"/>
          <w:sz w:val="20"/>
          <w:szCs w:val="20"/>
        </w:rPr>
        <w:t xml:space="preserve">esks </w:t>
      </w:r>
      <w:r w:rsidRPr="00F81500">
        <w:rPr>
          <w:rFonts w:ascii="Arial" w:hAnsi="Arial" w:cs="Arial"/>
          <w:sz w:val="20"/>
          <w:szCs w:val="20"/>
        </w:rPr>
        <w:t>ove</w:t>
      </w:r>
      <w:r w:rsidR="00B750F4" w:rsidRPr="00F81500">
        <w:rPr>
          <w:rFonts w:ascii="Arial" w:hAnsi="Arial" w:cs="Arial"/>
          <w:sz w:val="20"/>
          <w:szCs w:val="20"/>
        </w:rPr>
        <w:t xml:space="preserve">r </w:t>
      </w:r>
      <w:r w:rsidR="002E525B">
        <w:rPr>
          <w:rFonts w:ascii="Arial" w:hAnsi="Arial" w:cs="Arial"/>
          <w:sz w:val="20"/>
          <w:szCs w:val="20"/>
        </w:rPr>
        <w:t>more than</w:t>
      </w:r>
      <w:r w:rsidRPr="00F81500">
        <w:rPr>
          <w:rFonts w:ascii="Arial" w:hAnsi="Arial" w:cs="Arial"/>
          <w:sz w:val="20"/>
          <w:szCs w:val="20"/>
        </w:rPr>
        <w:t xml:space="preserve"> 10 years</w:t>
      </w:r>
      <w:r w:rsidR="00540413">
        <w:rPr>
          <w:rFonts w:ascii="Arial" w:hAnsi="Arial" w:cs="Arial"/>
          <w:sz w:val="20"/>
          <w:szCs w:val="20"/>
        </w:rPr>
        <w:t xml:space="preserve"> </w:t>
      </w:r>
      <w:r w:rsidR="00FD4D47" w:rsidRPr="00F81500">
        <w:rPr>
          <w:rFonts w:ascii="Arial" w:hAnsi="Arial" w:cs="Arial"/>
          <w:sz w:val="20"/>
          <w:szCs w:val="20"/>
        </w:rPr>
        <w:t>indicate</w:t>
      </w:r>
      <w:r w:rsidR="00540413">
        <w:rPr>
          <w:rFonts w:ascii="Arial" w:hAnsi="Arial" w:cs="Arial"/>
          <w:sz w:val="20"/>
          <w:szCs w:val="20"/>
        </w:rPr>
        <w:t>d</w:t>
      </w:r>
      <w:r w:rsidR="00FD4D47" w:rsidRPr="00F81500">
        <w:rPr>
          <w:rFonts w:ascii="Arial" w:hAnsi="Arial" w:cs="Arial"/>
          <w:sz w:val="20"/>
          <w:szCs w:val="20"/>
        </w:rPr>
        <w:t xml:space="preserve"> serious and systemic lapses across </w:t>
      </w:r>
      <w:r w:rsidR="00540413">
        <w:rPr>
          <w:rFonts w:ascii="Arial" w:hAnsi="Arial" w:cs="Arial"/>
          <w:sz w:val="20"/>
          <w:szCs w:val="20"/>
        </w:rPr>
        <w:t>Citigroup’s governance and</w:t>
      </w:r>
      <w:r w:rsidR="00FD4D47" w:rsidRPr="00F81500">
        <w:rPr>
          <w:rFonts w:ascii="Arial" w:hAnsi="Arial" w:cs="Arial"/>
          <w:sz w:val="20"/>
          <w:szCs w:val="20"/>
        </w:rPr>
        <w:t xml:space="preserve"> controls framework</w:t>
      </w:r>
      <w:r w:rsidR="00540413">
        <w:rPr>
          <w:rFonts w:ascii="Arial" w:hAnsi="Arial" w:cs="Arial"/>
          <w:sz w:val="20"/>
          <w:szCs w:val="20"/>
        </w:rPr>
        <w:t xml:space="preserve">, which </w:t>
      </w:r>
      <w:r w:rsidR="00B750F4" w:rsidRPr="00F81500">
        <w:rPr>
          <w:rFonts w:ascii="Arial" w:hAnsi="Arial" w:cs="Arial"/>
          <w:sz w:val="20"/>
          <w:szCs w:val="20"/>
        </w:rPr>
        <w:t xml:space="preserve">until </w:t>
      </w:r>
      <w:r w:rsidR="00540413">
        <w:rPr>
          <w:rFonts w:ascii="Arial" w:hAnsi="Arial" w:cs="Arial"/>
          <w:sz w:val="20"/>
          <w:szCs w:val="20"/>
        </w:rPr>
        <w:t>its</w:t>
      </w:r>
      <w:r w:rsidR="00B750F4" w:rsidRPr="00F81500">
        <w:rPr>
          <w:rFonts w:ascii="Arial" w:hAnsi="Arial" w:cs="Arial"/>
          <w:sz w:val="20"/>
          <w:szCs w:val="20"/>
        </w:rPr>
        <w:t xml:space="preserve"> internal investigation following </w:t>
      </w:r>
      <w:r w:rsidR="00540413">
        <w:rPr>
          <w:rFonts w:ascii="Arial" w:hAnsi="Arial" w:cs="Arial"/>
          <w:sz w:val="20"/>
          <w:szCs w:val="20"/>
        </w:rPr>
        <w:t>SFC’s</w:t>
      </w:r>
      <w:r w:rsidR="00540413" w:rsidRPr="00F81500">
        <w:rPr>
          <w:rFonts w:ascii="Arial" w:hAnsi="Arial" w:cs="Arial"/>
          <w:sz w:val="20"/>
          <w:szCs w:val="20"/>
        </w:rPr>
        <w:t xml:space="preserve"> </w:t>
      </w:r>
      <w:r w:rsidR="00B750F4" w:rsidRPr="00F81500">
        <w:rPr>
          <w:rFonts w:ascii="Arial" w:hAnsi="Arial" w:cs="Arial"/>
          <w:sz w:val="20"/>
          <w:szCs w:val="20"/>
        </w:rPr>
        <w:t>on-site inspection</w:t>
      </w:r>
      <w:r w:rsidR="00540413">
        <w:rPr>
          <w:rFonts w:ascii="Arial" w:hAnsi="Arial" w:cs="Arial"/>
          <w:sz w:val="20"/>
          <w:szCs w:val="20"/>
        </w:rPr>
        <w:t xml:space="preserve">, had </w:t>
      </w:r>
      <w:r w:rsidR="00E942D8" w:rsidRPr="00F81500">
        <w:rPr>
          <w:rFonts w:ascii="Arial" w:hAnsi="Arial" w:cs="Arial"/>
          <w:sz w:val="20"/>
          <w:szCs w:val="20"/>
        </w:rPr>
        <w:t xml:space="preserve">failed to: </w:t>
      </w:r>
    </w:p>
    <w:p w14:paraId="0B1839BB" w14:textId="77777777" w:rsidR="00E942D8" w:rsidRPr="00F81500" w:rsidRDefault="00E942D8" w:rsidP="00F81500">
      <w:pPr>
        <w:spacing w:after="0"/>
        <w:jc w:val="both"/>
        <w:rPr>
          <w:rFonts w:ascii="Arial" w:hAnsi="Arial" w:cs="Arial"/>
          <w:sz w:val="20"/>
          <w:szCs w:val="20"/>
        </w:rPr>
      </w:pPr>
    </w:p>
    <w:p w14:paraId="3B6B6D96" w14:textId="77777777" w:rsidR="00561A6D" w:rsidRPr="00F81500" w:rsidRDefault="00561A6D"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 xml:space="preserve">put </w:t>
      </w:r>
      <w:r w:rsidR="00064942">
        <w:rPr>
          <w:rFonts w:ascii="Arial" w:hAnsi="Arial" w:cs="Arial"/>
          <w:sz w:val="20"/>
          <w:szCs w:val="20"/>
        </w:rPr>
        <w:t>i</w:t>
      </w:r>
      <w:r w:rsidRPr="00F81500">
        <w:rPr>
          <w:rFonts w:ascii="Arial" w:hAnsi="Arial" w:cs="Arial"/>
          <w:sz w:val="20"/>
          <w:szCs w:val="20"/>
        </w:rPr>
        <w:t xml:space="preserve">n place any policies or controls to guide and monitor the issuance of “In Touch With” and “P:1” IOIs and ensure that </w:t>
      </w:r>
      <w:r w:rsidR="002E525B">
        <w:rPr>
          <w:rFonts w:ascii="Arial" w:hAnsi="Arial" w:cs="Arial"/>
          <w:sz w:val="20"/>
          <w:szCs w:val="20"/>
        </w:rPr>
        <w:t>these</w:t>
      </w:r>
      <w:r w:rsidRPr="00F81500">
        <w:rPr>
          <w:rFonts w:ascii="Arial" w:hAnsi="Arial" w:cs="Arial"/>
          <w:sz w:val="20"/>
          <w:szCs w:val="20"/>
        </w:rPr>
        <w:t xml:space="preserve"> IOIs were backed by specific client interest </w:t>
      </w:r>
      <w:r w:rsidR="00FE46A2">
        <w:rPr>
          <w:rFonts w:ascii="Arial" w:hAnsi="Arial" w:cs="Arial"/>
          <w:sz w:val="20"/>
          <w:szCs w:val="20"/>
        </w:rPr>
        <w:t>and</w:t>
      </w:r>
      <w:r w:rsidRPr="00F81500">
        <w:rPr>
          <w:rFonts w:ascii="Arial" w:hAnsi="Arial" w:cs="Arial"/>
          <w:sz w:val="20"/>
          <w:szCs w:val="20"/>
        </w:rPr>
        <w:t xml:space="preserve"> that </w:t>
      </w:r>
      <w:r w:rsidR="00FE46A2">
        <w:rPr>
          <w:rFonts w:ascii="Arial" w:hAnsi="Arial" w:cs="Arial"/>
          <w:sz w:val="20"/>
          <w:szCs w:val="20"/>
        </w:rPr>
        <w:t>Citigroup’s</w:t>
      </w:r>
      <w:r w:rsidRPr="00F81500">
        <w:rPr>
          <w:rFonts w:ascii="Arial" w:hAnsi="Arial" w:cs="Arial"/>
          <w:sz w:val="20"/>
          <w:szCs w:val="20"/>
        </w:rPr>
        <w:t xml:space="preserve"> traders properly understood and followed the AFME Framework;</w:t>
      </w:r>
    </w:p>
    <w:p w14:paraId="2357E53E" w14:textId="77777777" w:rsidR="007A49E9" w:rsidRPr="00F81500" w:rsidRDefault="007A49E9" w:rsidP="00F81500">
      <w:pPr>
        <w:pStyle w:val="a4"/>
        <w:spacing w:after="0"/>
        <w:ind w:left="360"/>
        <w:jc w:val="both"/>
        <w:rPr>
          <w:rFonts w:ascii="Arial" w:hAnsi="Arial" w:cs="Arial"/>
          <w:sz w:val="20"/>
          <w:szCs w:val="20"/>
        </w:rPr>
      </w:pPr>
    </w:p>
    <w:p w14:paraId="7E023584" w14:textId="77777777" w:rsidR="00561A6D" w:rsidRPr="00F81500" w:rsidRDefault="00561A6D"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 xml:space="preserve">have </w:t>
      </w:r>
      <w:r w:rsidR="002E525B">
        <w:rPr>
          <w:rFonts w:ascii="Arial" w:hAnsi="Arial" w:cs="Arial"/>
          <w:sz w:val="20"/>
          <w:szCs w:val="20"/>
        </w:rPr>
        <w:t xml:space="preserve">and enforce </w:t>
      </w:r>
      <w:r w:rsidRPr="00F81500">
        <w:rPr>
          <w:rFonts w:ascii="Arial" w:hAnsi="Arial" w:cs="Arial"/>
          <w:sz w:val="20"/>
          <w:szCs w:val="20"/>
        </w:rPr>
        <w:t xml:space="preserve">adequate internal guidelines </w:t>
      </w:r>
      <w:r w:rsidR="002E525B">
        <w:rPr>
          <w:rFonts w:ascii="Arial" w:hAnsi="Arial" w:cs="Arial"/>
          <w:sz w:val="20"/>
          <w:szCs w:val="20"/>
        </w:rPr>
        <w:t xml:space="preserve">on </w:t>
      </w:r>
      <w:r w:rsidRPr="00F81500">
        <w:rPr>
          <w:rFonts w:ascii="Arial" w:hAnsi="Arial" w:cs="Arial"/>
          <w:sz w:val="20"/>
          <w:szCs w:val="20"/>
        </w:rPr>
        <w:t>pre-trade disclosure of</w:t>
      </w:r>
      <w:r w:rsidR="002E525B">
        <w:rPr>
          <w:rFonts w:ascii="Arial" w:hAnsi="Arial" w:cs="Arial"/>
          <w:sz w:val="20"/>
          <w:szCs w:val="20"/>
        </w:rPr>
        <w:t>,</w:t>
      </w:r>
      <w:r w:rsidRPr="00F81500">
        <w:rPr>
          <w:rFonts w:ascii="Arial" w:hAnsi="Arial" w:cs="Arial"/>
          <w:sz w:val="20"/>
          <w:szCs w:val="20"/>
        </w:rPr>
        <w:t xml:space="preserve"> and obtaining client consent for</w:t>
      </w:r>
      <w:r w:rsidR="002E525B">
        <w:rPr>
          <w:rFonts w:ascii="Arial" w:hAnsi="Arial" w:cs="Arial"/>
          <w:sz w:val="20"/>
          <w:szCs w:val="20"/>
        </w:rPr>
        <w:t>,</w:t>
      </w:r>
      <w:r w:rsidRPr="00F81500">
        <w:rPr>
          <w:rFonts w:ascii="Arial" w:hAnsi="Arial" w:cs="Arial"/>
          <w:sz w:val="20"/>
          <w:szCs w:val="20"/>
        </w:rPr>
        <w:t xml:space="preserve"> facilitation trades;</w:t>
      </w:r>
    </w:p>
    <w:p w14:paraId="35CBF96C" w14:textId="77777777" w:rsidR="007A49E9" w:rsidRPr="00F81500" w:rsidRDefault="007A49E9" w:rsidP="00F81500">
      <w:pPr>
        <w:spacing w:after="0"/>
        <w:jc w:val="both"/>
        <w:rPr>
          <w:rFonts w:ascii="Arial" w:hAnsi="Arial" w:cs="Arial"/>
          <w:sz w:val="20"/>
          <w:szCs w:val="20"/>
        </w:rPr>
      </w:pPr>
    </w:p>
    <w:p w14:paraId="6D2C706F" w14:textId="77777777" w:rsidR="00561A6D" w:rsidRPr="00F81500" w:rsidRDefault="00561A6D"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 xml:space="preserve">implement effective compliance monitoring in respect of its facilitation activities to ensure that traders made pre-trade disclosure of </w:t>
      </w:r>
      <w:r w:rsidR="00FE46A2" w:rsidRPr="00F81500">
        <w:rPr>
          <w:rFonts w:ascii="Arial" w:hAnsi="Arial" w:cs="Arial"/>
          <w:sz w:val="20"/>
          <w:szCs w:val="20"/>
        </w:rPr>
        <w:t>C</w:t>
      </w:r>
      <w:r w:rsidR="00FE46A2">
        <w:rPr>
          <w:rFonts w:ascii="Arial" w:hAnsi="Arial" w:cs="Arial"/>
          <w:sz w:val="20"/>
          <w:szCs w:val="20"/>
        </w:rPr>
        <w:t>itigroup</w:t>
      </w:r>
      <w:r w:rsidR="00FE46A2" w:rsidRPr="00F81500">
        <w:rPr>
          <w:rFonts w:ascii="Arial" w:hAnsi="Arial" w:cs="Arial"/>
          <w:sz w:val="20"/>
          <w:szCs w:val="20"/>
        </w:rPr>
        <w:t xml:space="preserve">’s </w:t>
      </w:r>
      <w:r w:rsidRPr="00F81500">
        <w:rPr>
          <w:rFonts w:ascii="Arial" w:hAnsi="Arial" w:cs="Arial"/>
          <w:sz w:val="20"/>
          <w:szCs w:val="20"/>
        </w:rPr>
        <w:t>principal capacity and obtained clients’ prior consent;</w:t>
      </w:r>
    </w:p>
    <w:p w14:paraId="5CE2481C" w14:textId="77777777" w:rsidR="007A49E9" w:rsidRPr="00F81500" w:rsidRDefault="007A49E9" w:rsidP="00F81500">
      <w:pPr>
        <w:pStyle w:val="a4"/>
        <w:spacing w:after="0"/>
        <w:ind w:left="360"/>
        <w:jc w:val="both"/>
        <w:rPr>
          <w:rFonts w:ascii="Arial" w:hAnsi="Arial" w:cs="Arial"/>
          <w:sz w:val="20"/>
          <w:szCs w:val="20"/>
        </w:rPr>
      </w:pPr>
    </w:p>
    <w:p w14:paraId="6FF548B0" w14:textId="77777777" w:rsidR="007A49E9" w:rsidRPr="00F81500" w:rsidRDefault="00561A6D"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provide training to traders on IOIs</w:t>
      </w:r>
      <w:r w:rsidR="005D78DF">
        <w:rPr>
          <w:rFonts w:ascii="Arial" w:hAnsi="Arial" w:cs="Arial"/>
          <w:sz w:val="20"/>
          <w:szCs w:val="20"/>
        </w:rPr>
        <w:t xml:space="preserve">, how to communicate with clients on IOIs and </w:t>
      </w:r>
      <w:r w:rsidRPr="00F81500">
        <w:rPr>
          <w:rFonts w:ascii="Arial" w:hAnsi="Arial" w:cs="Arial"/>
          <w:sz w:val="20"/>
          <w:szCs w:val="20"/>
        </w:rPr>
        <w:t xml:space="preserve">pre-trade consent </w:t>
      </w:r>
      <w:r w:rsidR="005D78DF">
        <w:rPr>
          <w:rFonts w:ascii="Arial" w:hAnsi="Arial" w:cs="Arial"/>
          <w:sz w:val="20"/>
          <w:szCs w:val="20"/>
        </w:rPr>
        <w:t xml:space="preserve">requirements </w:t>
      </w:r>
      <w:r w:rsidRPr="00F81500">
        <w:rPr>
          <w:rFonts w:ascii="Arial" w:hAnsi="Arial" w:cs="Arial"/>
          <w:sz w:val="20"/>
          <w:szCs w:val="20"/>
        </w:rPr>
        <w:t>for facilitation activities;</w:t>
      </w:r>
    </w:p>
    <w:p w14:paraId="2FF28512" w14:textId="77777777" w:rsidR="007A49E9" w:rsidRPr="00F81500" w:rsidRDefault="007A49E9" w:rsidP="00F81500">
      <w:pPr>
        <w:pStyle w:val="a4"/>
        <w:spacing w:after="0"/>
        <w:ind w:left="360"/>
        <w:jc w:val="both"/>
        <w:rPr>
          <w:rFonts w:ascii="Arial" w:hAnsi="Arial" w:cs="Arial"/>
          <w:sz w:val="20"/>
          <w:szCs w:val="20"/>
        </w:rPr>
      </w:pPr>
    </w:p>
    <w:p w14:paraId="05E7C435" w14:textId="77777777" w:rsidR="007A49E9" w:rsidRPr="00F81500" w:rsidRDefault="00561A6D"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record and monitor communications and ensure sufficient segregation between agency and facilitation desks; and</w:t>
      </w:r>
    </w:p>
    <w:p w14:paraId="275ECF5E" w14:textId="77777777" w:rsidR="007A49E9" w:rsidRPr="00F81500" w:rsidRDefault="007A49E9" w:rsidP="00F81500">
      <w:pPr>
        <w:pStyle w:val="a4"/>
        <w:spacing w:after="0"/>
        <w:ind w:left="360"/>
        <w:jc w:val="both"/>
        <w:rPr>
          <w:rFonts w:ascii="Arial" w:hAnsi="Arial" w:cs="Arial"/>
          <w:sz w:val="20"/>
          <w:szCs w:val="20"/>
        </w:rPr>
      </w:pPr>
    </w:p>
    <w:p w14:paraId="7B45FFC5" w14:textId="77777777" w:rsidR="00561A6D" w:rsidRPr="00F81500" w:rsidRDefault="00561A6D"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identify and rectify system errors that had led to erroneous post-trade messages</w:t>
      </w:r>
      <w:r w:rsidR="005D78DF">
        <w:rPr>
          <w:rFonts w:ascii="Arial" w:hAnsi="Arial" w:cs="Arial"/>
          <w:sz w:val="20"/>
          <w:szCs w:val="20"/>
        </w:rPr>
        <w:t xml:space="preserve"> being sent</w:t>
      </w:r>
      <w:r w:rsidRPr="00F81500">
        <w:rPr>
          <w:rFonts w:ascii="Arial" w:hAnsi="Arial" w:cs="Arial"/>
          <w:sz w:val="20"/>
          <w:szCs w:val="20"/>
        </w:rPr>
        <w:t xml:space="preserve"> to clients, which incorrectly indicated that C</w:t>
      </w:r>
      <w:r w:rsidR="005D78DF">
        <w:rPr>
          <w:rFonts w:ascii="Arial" w:hAnsi="Arial" w:cs="Arial"/>
          <w:sz w:val="20"/>
          <w:szCs w:val="20"/>
        </w:rPr>
        <w:t>itigroup</w:t>
      </w:r>
      <w:r w:rsidRPr="00F81500">
        <w:rPr>
          <w:rFonts w:ascii="Arial" w:hAnsi="Arial" w:cs="Arial"/>
          <w:sz w:val="20"/>
          <w:szCs w:val="20"/>
        </w:rPr>
        <w:t xml:space="preserve"> acted in an agency capacity when in fact it acted as principal.</w:t>
      </w:r>
    </w:p>
    <w:p w14:paraId="4772125D" w14:textId="77777777" w:rsidR="00C301FE" w:rsidRPr="00F81500" w:rsidRDefault="00C301FE" w:rsidP="00F81500">
      <w:pPr>
        <w:pStyle w:val="a4"/>
        <w:spacing w:after="0"/>
        <w:jc w:val="both"/>
        <w:rPr>
          <w:rFonts w:ascii="Arial" w:hAnsi="Arial" w:cs="Arial"/>
          <w:sz w:val="20"/>
          <w:szCs w:val="20"/>
        </w:rPr>
      </w:pPr>
    </w:p>
    <w:p w14:paraId="7E3765E7" w14:textId="77777777" w:rsidR="00C301FE" w:rsidRPr="00F81500" w:rsidRDefault="00C301FE" w:rsidP="009179FA">
      <w:pPr>
        <w:spacing w:after="0"/>
        <w:jc w:val="both"/>
        <w:rPr>
          <w:rFonts w:ascii="Arial" w:hAnsi="Arial" w:cs="Arial"/>
          <w:sz w:val="20"/>
          <w:szCs w:val="20"/>
        </w:rPr>
      </w:pPr>
      <w:r w:rsidRPr="00F81500">
        <w:rPr>
          <w:rFonts w:ascii="Arial" w:hAnsi="Arial" w:cs="Arial"/>
          <w:sz w:val="20"/>
          <w:szCs w:val="20"/>
        </w:rPr>
        <w:t xml:space="preserve">The SFC considered that the internal control failures breached </w:t>
      </w:r>
      <w:r w:rsidR="00FA2983">
        <w:rPr>
          <w:rFonts w:ascii="Arial" w:hAnsi="Arial" w:cs="Arial"/>
          <w:sz w:val="20"/>
          <w:szCs w:val="20"/>
        </w:rPr>
        <w:t xml:space="preserve">the </w:t>
      </w:r>
      <w:r w:rsidRPr="00F81500">
        <w:rPr>
          <w:rFonts w:ascii="Arial" w:hAnsi="Arial" w:cs="Arial"/>
          <w:sz w:val="20"/>
          <w:szCs w:val="20"/>
        </w:rPr>
        <w:t xml:space="preserve">SFC </w:t>
      </w:r>
      <w:r w:rsidR="003D314A" w:rsidRPr="00F81500">
        <w:rPr>
          <w:rFonts w:ascii="Arial" w:hAnsi="Arial" w:cs="Arial"/>
          <w:sz w:val="20"/>
          <w:szCs w:val="20"/>
        </w:rPr>
        <w:t xml:space="preserve">Code of Conduct </w:t>
      </w:r>
      <w:r w:rsidR="00FA2983">
        <w:rPr>
          <w:rFonts w:ascii="Arial" w:hAnsi="Arial" w:cs="Arial"/>
          <w:sz w:val="20"/>
          <w:szCs w:val="20"/>
        </w:rPr>
        <w:t>as well as</w:t>
      </w:r>
      <w:r w:rsidR="003D314A" w:rsidRPr="00F81500">
        <w:rPr>
          <w:rFonts w:ascii="Arial" w:hAnsi="Arial" w:cs="Arial"/>
          <w:sz w:val="20"/>
          <w:szCs w:val="20"/>
        </w:rPr>
        <w:t xml:space="preserve"> the</w:t>
      </w:r>
      <w:r w:rsidR="00D057BE">
        <w:rPr>
          <w:rFonts w:ascii="Arial" w:hAnsi="Arial" w:cs="Arial"/>
          <w:sz w:val="20"/>
          <w:szCs w:val="20"/>
        </w:rPr>
        <w:t xml:space="preserve"> </w:t>
      </w:r>
      <w:r w:rsidR="003D314A" w:rsidRPr="00F81500">
        <w:rPr>
          <w:rFonts w:ascii="Arial" w:hAnsi="Arial" w:cs="Arial"/>
          <w:sz w:val="20"/>
          <w:szCs w:val="20"/>
        </w:rPr>
        <w:t>Management, Supervision and Internal Control Guidelines for Persons Licensed by or Registered with the SFC</w:t>
      </w:r>
      <w:r w:rsidR="00E57464">
        <w:rPr>
          <w:rFonts w:ascii="Arial" w:hAnsi="Arial" w:cs="Arial"/>
          <w:sz w:val="20"/>
          <w:szCs w:val="20"/>
        </w:rPr>
        <w:t xml:space="preserve"> (</w:t>
      </w:r>
      <w:r w:rsidR="00E57464" w:rsidRPr="00F81500">
        <w:rPr>
          <w:rFonts w:ascii="Arial" w:hAnsi="Arial" w:cs="Arial"/>
          <w:b/>
          <w:sz w:val="20"/>
          <w:szCs w:val="20"/>
        </w:rPr>
        <w:t>MSIC Guidelines</w:t>
      </w:r>
      <w:r w:rsidR="00E57464">
        <w:rPr>
          <w:rFonts w:ascii="Arial" w:hAnsi="Arial" w:cs="Arial"/>
          <w:sz w:val="20"/>
          <w:szCs w:val="20"/>
        </w:rPr>
        <w:t>)</w:t>
      </w:r>
      <w:r w:rsidR="003D314A" w:rsidRPr="00F81500">
        <w:rPr>
          <w:rFonts w:ascii="Arial" w:hAnsi="Arial" w:cs="Arial"/>
          <w:sz w:val="20"/>
          <w:szCs w:val="20"/>
        </w:rPr>
        <w:t>.</w:t>
      </w:r>
    </w:p>
    <w:p w14:paraId="2E4D533E" w14:textId="77777777" w:rsidR="00E64AC3" w:rsidRPr="00F81500" w:rsidRDefault="00E64AC3" w:rsidP="00F81500">
      <w:pPr>
        <w:spacing w:after="0"/>
        <w:jc w:val="both"/>
        <w:rPr>
          <w:rFonts w:ascii="Arial" w:hAnsi="Arial" w:cs="Arial"/>
          <w:sz w:val="20"/>
          <w:szCs w:val="20"/>
        </w:rPr>
      </w:pPr>
    </w:p>
    <w:p w14:paraId="677F42F8" w14:textId="77777777" w:rsidR="00E64AC3" w:rsidRPr="00F81500" w:rsidRDefault="00B653FE"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 xml:space="preserve">SFC disciplinary sanction for </w:t>
      </w:r>
      <w:r w:rsidR="00E57464">
        <w:rPr>
          <w:rFonts w:ascii="Arial" w:hAnsi="Arial" w:cs="Arial"/>
          <w:b/>
          <w:color w:val="000000" w:themeColor="text1"/>
          <w:sz w:val="20"/>
          <w:szCs w:val="20"/>
        </w:rPr>
        <w:t xml:space="preserve">Citigroup’s breaches of </w:t>
      </w:r>
      <w:r w:rsidR="00B27540" w:rsidRPr="00F81500">
        <w:rPr>
          <w:rFonts w:ascii="Arial" w:hAnsi="Arial" w:cs="Arial"/>
          <w:b/>
          <w:color w:val="000000" w:themeColor="text1"/>
          <w:sz w:val="20"/>
          <w:szCs w:val="20"/>
        </w:rPr>
        <w:t>the SFC Code of Conduct</w:t>
      </w:r>
      <w:r w:rsidR="00B27540" w:rsidRPr="00F81500">
        <w:rPr>
          <w:rFonts w:ascii="Arial" w:hAnsi="Arial" w:cs="Arial"/>
          <w:color w:val="000000" w:themeColor="text1"/>
          <w:sz w:val="20"/>
          <w:szCs w:val="20"/>
        </w:rPr>
        <w:t xml:space="preserve"> </w:t>
      </w:r>
      <w:r w:rsidR="00B27540" w:rsidRPr="00F81500">
        <w:rPr>
          <w:rFonts w:ascii="Arial" w:hAnsi="Arial" w:cs="Arial"/>
          <w:b/>
          <w:color w:val="000000" w:themeColor="text1"/>
          <w:sz w:val="20"/>
          <w:szCs w:val="20"/>
        </w:rPr>
        <w:t>and the M</w:t>
      </w:r>
      <w:r w:rsidR="00E57464">
        <w:rPr>
          <w:rFonts w:ascii="Arial" w:hAnsi="Arial" w:cs="Arial"/>
          <w:b/>
          <w:color w:val="000000" w:themeColor="text1"/>
          <w:sz w:val="20"/>
          <w:szCs w:val="20"/>
        </w:rPr>
        <w:t xml:space="preserve">SIC Guidelines </w:t>
      </w:r>
    </w:p>
    <w:p w14:paraId="18390EF2" w14:textId="77777777" w:rsidR="00B27540" w:rsidRPr="00F81500" w:rsidRDefault="00B27540" w:rsidP="00F81500">
      <w:pPr>
        <w:spacing w:after="0"/>
        <w:jc w:val="both"/>
        <w:rPr>
          <w:rFonts w:ascii="Arial" w:hAnsi="Arial" w:cs="Arial"/>
          <w:b/>
          <w:sz w:val="20"/>
          <w:szCs w:val="20"/>
        </w:rPr>
      </w:pPr>
    </w:p>
    <w:p w14:paraId="5FFF0E23" w14:textId="77777777" w:rsidR="00B07C51" w:rsidRPr="00F81500" w:rsidRDefault="00140BD3" w:rsidP="00F81500">
      <w:pPr>
        <w:spacing w:after="0"/>
        <w:jc w:val="both"/>
        <w:rPr>
          <w:rFonts w:ascii="Arial" w:hAnsi="Arial" w:cs="Arial"/>
          <w:sz w:val="20"/>
          <w:szCs w:val="20"/>
        </w:rPr>
      </w:pPr>
      <w:r w:rsidRPr="00F81500">
        <w:rPr>
          <w:rFonts w:ascii="Arial" w:hAnsi="Arial" w:cs="Arial"/>
          <w:sz w:val="20"/>
          <w:szCs w:val="20"/>
        </w:rPr>
        <w:t xml:space="preserve">The SFC reprimanded </w:t>
      </w:r>
      <w:r w:rsidR="00F439BC" w:rsidRPr="00F81500">
        <w:rPr>
          <w:rFonts w:ascii="Arial" w:hAnsi="Arial" w:cs="Arial"/>
          <w:sz w:val="20"/>
          <w:szCs w:val="20"/>
        </w:rPr>
        <w:t>C</w:t>
      </w:r>
      <w:r w:rsidR="00F439BC">
        <w:rPr>
          <w:rFonts w:ascii="Arial" w:hAnsi="Arial" w:cs="Arial"/>
          <w:sz w:val="20"/>
          <w:szCs w:val="20"/>
        </w:rPr>
        <w:t>itigroup</w:t>
      </w:r>
      <w:r w:rsidR="00F439BC" w:rsidRPr="00F81500">
        <w:rPr>
          <w:rFonts w:ascii="Arial" w:hAnsi="Arial" w:cs="Arial"/>
          <w:sz w:val="20"/>
          <w:szCs w:val="20"/>
        </w:rPr>
        <w:t xml:space="preserve"> </w:t>
      </w:r>
      <w:r w:rsidRPr="00F81500">
        <w:rPr>
          <w:rFonts w:ascii="Arial" w:hAnsi="Arial" w:cs="Arial"/>
          <w:sz w:val="20"/>
          <w:szCs w:val="20"/>
        </w:rPr>
        <w:t xml:space="preserve">and fined it </w:t>
      </w:r>
      <w:r w:rsidR="00FA333A">
        <w:rPr>
          <w:rFonts w:ascii="Arial" w:hAnsi="Arial" w:cs="Arial"/>
          <w:sz w:val="20"/>
          <w:szCs w:val="20"/>
        </w:rPr>
        <w:t>HK</w:t>
      </w:r>
      <w:r w:rsidRPr="00F81500">
        <w:rPr>
          <w:rFonts w:ascii="Arial" w:hAnsi="Arial" w:cs="Arial"/>
          <w:sz w:val="20"/>
          <w:szCs w:val="20"/>
        </w:rPr>
        <w:t xml:space="preserve">$348.25 million under section 194 of the SFO for its serious regulatory breaches and internal control failures and will </w:t>
      </w:r>
      <w:r w:rsidR="00F439BC" w:rsidRPr="006F7724">
        <w:rPr>
          <w:rFonts w:ascii="Arial" w:hAnsi="Arial" w:cs="Arial"/>
          <w:sz w:val="20"/>
          <w:szCs w:val="20"/>
        </w:rPr>
        <w:t>also</w:t>
      </w:r>
      <w:r w:rsidR="00F439BC" w:rsidRPr="00F81500">
        <w:rPr>
          <w:rFonts w:ascii="Arial" w:hAnsi="Arial" w:cs="Arial"/>
          <w:sz w:val="20"/>
          <w:szCs w:val="20"/>
        </w:rPr>
        <w:t xml:space="preserve"> </w:t>
      </w:r>
      <w:r w:rsidRPr="00F81500">
        <w:rPr>
          <w:rFonts w:ascii="Arial" w:hAnsi="Arial" w:cs="Arial"/>
          <w:sz w:val="20"/>
          <w:szCs w:val="20"/>
        </w:rPr>
        <w:t xml:space="preserve">commence disciplinary proceedings against </w:t>
      </w:r>
      <w:r w:rsidR="00F439BC">
        <w:rPr>
          <w:rFonts w:ascii="Arial" w:hAnsi="Arial" w:cs="Arial"/>
          <w:sz w:val="20"/>
          <w:szCs w:val="20"/>
        </w:rPr>
        <w:t>its</w:t>
      </w:r>
      <w:r w:rsidR="00F439BC" w:rsidRPr="00F81500">
        <w:rPr>
          <w:rFonts w:ascii="Arial" w:hAnsi="Arial" w:cs="Arial"/>
          <w:sz w:val="20"/>
          <w:szCs w:val="20"/>
        </w:rPr>
        <w:t xml:space="preserve"> </w:t>
      </w:r>
      <w:r w:rsidRPr="00F81500">
        <w:rPr>
          <w:rFonts w:ascii="Arial" w:hAnsi="Arial" w:cs="Arial"/>
          <w:sz w:val="20"/>
          <w:szCs w:val="20"/>
        </w:rPr>
        <w:t>former senior management in due course.</w:t>
      </w:r>
    </w:p>
    <w:p w14:paraId="56CE45B5" w14:textId="77777777" w:rsidR="00793157" w:rsidRPr="00F81500" w:rsidRDefault="00793157" w:rsidP="00F81500">
      <w:pPr>
        <w:spacing w:after="0"/>
        <w:jc w:val="both"/>
        <w:rPr>
          <w:rFonts w:ascii="Arial" w:hAnsi="Arial" w:cs="Arial"/>
          <w:color w:val="FF0000"/>
          <w:sz w:val="20"/>
          <w:szCs w:val="20"/>
        </w:rPr>
      </w:pPr>
    </w:p>
    <w:p w14:paraId="4255074C" w14:textId="77777777" w:rsidR="00C21D36" w:rsidRPr="00F81500" w:rsidRDefault="00DC0B16" w:rsidP="00F81500">
      <w:pPr>
        <w:spacing w:after="0"/>
        <w:jc w:val="both"/>
        <w:rPr>
          <w:rFonts w:ascii="Arial" w:hAnsi="Arial" w:cs="Arial"/>
          <w:b/>
          <w:color w:val="FF0000"/>
          <w:sz w:val="20"/>
          <w:szCs w:val="20"/>
        </w:rPr>
      </w:pPr>
      <w:r w:rsidRPr="00F81500">
        <w:rPr>
          <w:rFonts w:ascii="Arial" w:hAnsi="Arial" w:cs="Arial"/>
          <w:b/>
          <w:color w:val="FF0000"/>
          <w:sz w:val="20"/>
          <w:szCs w:val="20"/>
        </w:rPr>
        <w:t>SFC reprimands and fines South China Commodities Limited HK$8 million for regulatory breaches</w:t>
      </w:r>
      <w:r w:rsidRPr="00F81500">
        <w:rPr>
          <w:rStyle w:val="aa"/>
          <w:rFonts w:ascii="Arial" w:hAnsi="Arial" w:cs="Arial"/>
          <w:b/>
          <w:color w:val="FF0000"/>
          <w:sz w:val="20"/>
          <w:szCs w:val="20"/>
        </w:rPr>
        <w:footnoteReference w:id="5"/>
      </w:r>
    </w:p>
    <w:p w14:paraId="5305C095" w14:textId="77777777" w:rsidR="004812AE" w:rsidRPr="00F81500" w:rsidRDefault="004812AE" w:rsidP="00F81500">
      <w:pPr>
        <w:spacing w:after="0"/>
        <w:jc w:val="both"/>
        <w:rPr>
          <w:rFonts w:ascii="Arial" w:hAnsi="Arial" w:cs="Arial"/>
          <w:b/>
          <w:color w:val="FF0000"/>
          <w:sz w:val="20"/>
          <w:szCs w:val="20"/>
        </w:rPr>
      </w:pPr>
    </w:p>
    <w:p w14:paraId="1EB9E308" w14:textId="77777777" w:rsidR="00DF2169" w:rsidRPr="00F81500" w:rsidRDefault="00DF2169"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Failure to comply with anti-money laundering &amp; counter-terrorist financing requirements</w:t>
      </w:r>
    </w:p>
    <w:p w14:paraId="5C4767A5" w14:textId="77777777" w:rsidR="00793157" w:rsidRPr="00F81500" w:rsidRDefault="00793157" w:rsidP="00F81500">
      <w:pPr>
        <w:spacing w:after="0"/>
        <w:jc w:val="both"/>
        <w:rPr>
          <w:rFonts w:ascii="Arial" w:hAnsi="Arial" w:cs="Arial"/>
          <w:color w:val="000000" w:themeColor="text1"/>
          <w:sz w:val="20"/>
          <w:szCs w:val="20"/>
        </w:rPr>
      </w:pPr>
    </w:p>
    <w:p w14:paraId="3A60188E" w14:textId="77777777" w:rsidR="00B40587" w:rsidRPr="00F81500" w:rsidRDefault="00B40587" w:rsidP="00F81500">
      <w:pPr>
        <w:spacing w:after="0"/>
        <w:jc w:val="both"/>
        <w:rPr>
          <w:rFonts w:ascii="Arial" w:hAnsi="Arial" w:cs="Arial"/>
          <w:sz w:val="20"/>
          <w:szCs w:val="20"/>
        </w:rPr>
      </w:pPr>
      <w:r w:rsidRPr="00F81500">
        <w:rPr>
          <w:rFonts w:ascii="Arial" w:hAnsi="Arial" w:cs="Arial"/>
          <w:sz w:val="20"/>
          <w:szCs w:val="20"/>
        </w:rPr>
        <w:t>The SFC’s investigation found that South China Commodities Limited (</w:t>
      </w:r>
      <w:r w:rsidRPr="00F81500">
        <w:rPr>
          <w:rFonts w:ascii="Arial" w:hAnsi="Arial" w:cs="Arial"/>
          <w:b/>
          <w:sz w:val="20"/>
          <w:szCs w:val="20"/>
        </w:rPr>
        <w:t>SCCL</w:t>
      </w:r>
      <w:r w:rsidRPr="00F81500">
        <w:rPr>
          <w:rFonts w:ascii="Arial" w:hAnsi="Arial" w:cs="Arial"/>
          <w:sz w:val="20"/>
          <w:szCs w:val="20"/>
        </w:rPr>
        <w:t>), a company licensed under the SFO to carry on Type 2 (dealing in futures contracts) regulated activity, between June 2017 and October 2018</w:t>
      </w:r>
      <w:r w:rsidR="00750DD9">
        <w:rPr>
          <w:rFonts w:ascii="Arial" w:hAnsi="Arial" w:cs="Arial"/>
          <w:sz w:val="20"/>
          <w:szCs w:val="20"/>
        </w:rPr>
        <w:t>,</w:t>
      </w:r>
      <w:r w:rsidRPr="00F81500">
        <w:rPr>
          <w:rFonts w:ascii="Arial" w:hAnsi="Arial" w:cs="Arial"/>
          <w:sz w:val="20"/>
          <w:szCs w:val="20"/>
        </w:rPr>
        <w:t xml:space="preserve"> had failed to:</w:t>
      </w:r>
    </w:p>
    <w:p w14:paraId="139AE3D8" w14:textId="77777777" w:rsidR="00B40587" w:rsidRPr="00F81500" w:rsidRDefault="00B40587" w:rsidP="00F81500">
      <w:pPr>
        <w:spacing w:after="0"/>
        <w:jc w:val="both"/>
        <w:rPr>
          <w:rFonts w:ascii="Arial" w:hAnsi="Arial" w:cs="Arial"/>
          <w:sz w:val="20"/>
          <w:szCs w:val="20"/>
        </w:rPr>
      </w:pPr>
    </w:p>
    <w:p w14:paraId="38238A4B" w14:textId="77777777" w:rsidR="00395F1E" w:rsidRPr="00F81500" w:rsidRDefault="00395F1E"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conduct any due diligence on the CSSs used by 19 clients for placing orders;</w:t>
      </w:r>
    </w:p>
    <w:p w14:paraId="467D3B42" w14:textId="77777777" w:rsidR="00395F1E" w:rsidRPr="00F81500" w:rsidRDefault="00395F1E" w:rsidP="00F81500">
      <w:pPr>
        <w:pStyle w:val="a4"/>
        <w:spacing w:after="0"/>
        <w:ind w:left="360"/>
        <w:jc w:val="both"/>
        <w:rPr>
          <w:rFonts w:ascii="Arial" w:hAnsi="Arial" w:cs="Arial"/>
          <w:sz w:val="20"/>
          <w:szCs w:val="20"/>
        </w:rPr>
      </w:pPr>
    </w:p>
    <w:p w14:paraId="4D572EEA" w14:textId="77777777" w:rsidR="00B40587" w:rsidRPr="00F81500" w:rsidRDefault="00395F1E"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conduct proper enquiries</w:t>
      </w:r>
      <w:r w:rsidR="00750DD9">
        <w:rPr>
          <w:rFonts w:ascii="Arial" w:hAnsi="Arial" w:cs="Arial"/>
          <w:sz w:val="20"/>
          <w:szCs w:val="20"/>
        </w:rPr>
        <w:t xml:space="preserve"> and assessments of</w:t>
      </w:r>
      <w:r w:rsidRPr="00F81500">
        <w:rPr>
          <w:rFonts w:ascii="Arial" w:hAnsi="Arial" w:cs="Arial"/>
          <w:sz w:val="20"/>
          <w:szCs w:val="20"/>
        </w:rPr>
        <w:t xml:space="preserve"> deposits </w:t>
      </w:r>
      <w:r w:rsidR="00750DD9">
        <w:rPr>
          <w:rFonts w:ascii="Arial" w:hAnsi="Arial" w:cs="Arial"/>
          <w:sz w:val="20"/>
          <w:szCs w:val="20"/>
        </w:rPr>
        <w:t xml:space="preserve">made into various client accounts, </w:t>
      </w:r>
      <w:r w:rsidRPr="00F81500">
        <w:rPr>
          <w:rFonts w:ascii="Arial" w:hAnsi="Arial" w:cs="Arial"/>
          <w:sz w:val="20"/>
          <w:szCs w:val="20"/>
        </w:rPr>
        <w:t xml:space="preserve">which were incommensurate with the </w:t>
      </w:r>
      <w:r w:rsidR="00750DD9">
        <w:rPr>
          <w:rFonts w:ascii="Arial" w:hAnsi="Arial" w:cs="Arial"/>
          <w:sz w:val="20"/>
          <w:szCs w:val="20"/>
        </w:rPr>
        <w:t xml:space="preserve">relevant </w:t>
      </w:r>
      <w:r w:rsidRPr="00F81500">
        <w:rPr>
          <w:rFonts w:ascii="Arial" w:hAnsi="Arial" w:cs="Arial"/>
          <w:sz w:val="20"/>
          <w:szCs w:val="20"/>
        </w:rPr>
        <w:t xml:space="preserve">clients’ </w:t>
      </w:r>
      <w:r w:rsidR="00750DD9">
        <w:rPr>
          <w:rFonts w:ascii="Arial" w:hAnsi="Arial" w:cs="Arial"/>
          <w:sz w:val="20"/>
          <w:szCs w:val="20"/>
        </w:rPr>
        <w:t xml:space="preserve">declared </w:t>
      </w:r>
      <w:r w:rsidRPr="00F81500">
        <w:rPr>
          <w:rFonts w:ascii="Arial" w:hAnsi="Arial" w:cs="Arial"/>
          <w:sz w:val="20"/>
          <w:szCs w:val="20"/>
        </w:rPr>
        <w:t>financial profiles; and</w:t>
      </w:r>
    </w:p>
    <w:p w14:paraId="24AF9BFA" w14:textId="77777777" w:rsidR="00395F1E" w:rsidRPr="00F81500" w:rsidRDefault="00395F1E" w:rsidP="00F81500">
      <w:pPr>
        <w:pStyle w:val="a4"/>
        <w:spacing w:after="0"/>
        <w:ind w:left="360"/>
        <w:jc w:val="both"/>
        <w:rPr>
          <w:rFonts w:ascii="Arial" w:hAnsi="Arial" w:cs="Arial"/>
          <w:sz w:val="20"/>
          <w:szCs w:val="20"/>
        </w:rPr>
      </w:pPr>
    </w:p>
    <w:p w14:paraId="7FFF9EE8" w14:textId="77777777" w:rsidR="00395F1E" w:rsidRPr="00F81500" w:rsidRDefault="008309A9" w:rsidP="00F81500">
      <w:pPr>
        <w:pStyle w:val="a4"/>
        <w:numPr>
          <w:ilvl w:val="0"/>
          <w:numId w:val="2"/>
        </w:numPr>
        <w:spacing w:after="0"/>
        <w:ind w:left="360"/>
        <w:jc w:val="both"/>
        <w:rPr>
          <w:rFonts w:ascii="Arial" w:hAnsi="Arial" w:cs="Arial"/>
          <w:sz w:val="20"/>
          <w:szCs w:val="20"/>
        </w:rPr>
      </w:pPr>
      <w:r w:rsidRPr="00F81500">
        <w:rPr>
          <w:rFonts w:ascii="Arial" w:hAnsi="Arial" w:cs="Arial"/>
          <w:sz w:val="20"/>
          <w:szCs w:val="20"/>
        </w:rPr>
        <w:t>put in place an effective ongoing monitoring system to detect suspicious trading patterns in client accounts</w:t>
      </w:r>
      <w:r w:rsidR="00A25F53">
        <w:rPr>
          <w:rFonts w:ascii="Arial" w:hAnsi="Arial" w:cs="Arial"/>
          <w:sz w:val="20"/>
          <w:szCs w:val="20"/>
        </w:rPr>
        <w:t>, which resulted in the compa</w:t>
      </w:r>
      <w:r w:rsidR="002A6C31">
        <w:rPr>
          <w:rFonts w:ascii="Arial" w:hAnsi="Arial" w:cs="Arial"/>
          <w:sz w:val="20"/>
          <w:szCs w:val="20"/>
        </w:rPr>
        <w:t>ny’s failure to detect 3,783 sel</w:t>
      </w:r>
      <w:r w:rsidR="00A25F53">
        <w:rPr>
          <w:rFonts w:ascii="Arial" w:hAnsi="Arial" w:cs="Arial"/>
          <w:sz w:val="20"/>
          <w:szCs w:val="20"/>
        </w:rPr>
        <w:t>f-matched trades in nine client accounts</w:t>
      </w:r>
      <w:r w:rsidRPr="00F81500">
        <w:rPr>
          <w:rFonts w:ascii="Arial" w:hAnsi="Arial" w:cs="Arial"/>
          <w:sz w:val="20"/>
          <w:szCs w:val="20"/>
        </w:rPr>
        <w:t>.</w:t>
      </w:r>
    </w:p>
    <w:p w14:paraId="0C80295D" w14:textId="77777777" w:rsidR="00DF2169" w:rsidRPr="00F81500" w:rsidRDefault="00DF2169" w:rsidP="00F81500">
      <w:pPr>
        <w:spacing w:after="0"/>
        <w:jc w:val="both"/>
        <w:rPr>
          <w:rFonts w:ascii="Arial" w:hAnsi="Arial" w:cs="Arial"/>
          <w:color w:val="FF0000"/>
          <w:sz w:val="20"/>
          <w:szCs w:val="20"/>
        </w:rPr>
      </w:pPr>
    </w:p>
    <w:p w14:paraId="2BBF8AA9" w14:textId="77777777" w:rsidR="008309A9" w:rsidRPr="00F81500" w:rsidRDefault="008309A9" w:rsidP="00F81500">
      <w:pPr>
        <w:spacing w:after="0"/>
        <w:jc w:val="both"/>
        <w:rPr>
          <w:rFonts w:ascii="Arial" w:hAnsi="Arial" w:cs="Arial"/>
          <w:sz w:val="20"/>
          <w:szCs w:val="20"/>
        </w:rPr>
      </w:pPr>
      <w:r w:rsidRPr="00F81500">
        <w:rPr>
          <w:rFonts w:ascii="Arial" w:hAnsi="Arial" w:cs="Arial"/>
          <w:sz w:val="20"/>
          <w:szCs w:val="20"/>
        </w:rPr>
        <w:t>The SFC considered that these failures indicated the inadequacy and ineffectiveness of SCCL’s systems and controls for ensuring compliance with the</w:t>
      </w:r>
      <w:r w:rsidR="0026678B" w:rsidRPr="00F81500">
        <w:rPr>
          <w:rFonts w:ascii="Arial" w:hAnsi="Arial" w:cs="Arial"/>
          <w:sz w:val="20"/>
          <w:szCs w:val="20"/>
        </w:rPr>
        <w:t xml:space="preserve"> AML/CTF Ordinance</w:t>
      </w:r>
      <w:r w:rsidR="0026678B" w:rsidRPr="00F81500">
        <w:rPr>
          <w:rFonts w:ascii="Arial" w:hAnsi="Arial" w:cs="Arial"/>
          <w:b/>
          <w:sz w:val="20"/>
          <w:szCs w:val="20"/>
        </w:rPr>
        <w:t>,</w:t>
      </w:r>
      <w:r w:rsidRPr="00F81500">
        <w:rPr>
          <w:rFonts w:ascii="Arial" w:hAnsi="Arial" w:cs="Arial"/>
          <w:sz w:val="20"/>
          <w:szCs w:val="20"/>
        </w:rPr>
        <w:t xml:space="preserve"> AML/CTF Guideline and the SFC Code of Conduct.</w:t>
      </w:r>
    </w:p>
    <w:p w14:paraId="6E373FDF" w14:textId="77777777" w:rsidR="00B27540" w:rsidRPr="00F81500" w:rsidRDefault="00B27540" w:rsidP="00F81500">
      <w:pPr>
        <w:spacing w:after="0"/>
        <w:jc w:val="both"/>
        <w:rPr>
          <w:rFonts w:ascii="Arial" w:hAnsi="Arial" w:cs="Arial"/>
          <w:b/>
          <w:sz w:val="20"/>
          <w:szCs w:val="20"/>
        </w:rPr>
      </w:pPr>
    </w:p>
    <w:p w14:paraId="589A3CFB" w14:textId="77777777" w:rsidR="00E6634D" w:rsidRPr="00F81500" w:rsidRDefault="00E6634D" w:rsidP="00F81500">
      <w:pPr>
        <w:spacing w:after="0"/>
        <w:jc w:val="both"/>
        <w:rPr>
          <w:rFonts w:ascii="Arial" w:hAnsi="Arial" w:cs="Arial"/>
          <w:b/>
          <w:color w:val="000000" w:themeColor="text1"/>
          <w:sz w:val="20"/>
          <w:szCs w:val="20"/>
        </w:rPr>
      </w:pPr>
      <w:r w:rsidRPr="00F81500">
        <w:rPr>
          <w:rFonts w:ascii="Arial" w:hAnsi="Arial" w:cs="Arial"/>
          <w:b/>
          <w:color w:val="000000" w:themeColor="text1"/>
          <w:sz w:val="20"/>
          <w:szCs w:val="20"/>
        </w:rPr>
        <w:t xml:space="preserve">SFC disciplinary sanction for </w:t>
      </w:r>
      <w:r w:rsidR="0012427A">
        <w:rPr>
          <w:rFonts w:ascii="Arial" w:hAnsi="Arial" w:cs="Arial"/>
          <w:b/>
          <w:color w:val="000000" w:themeColor="text1"/>
          <w:sz w:val="20"/>
          <w:szCs w:val="20"/>
        </w:rPr>
        <w:t>breach of</w:t>
      </w:r>
      <w:r w:rsidRPr="00F81500">
        <w:rPr>
          <w:rFonts w:ascii="Arial" w:hAnsi="Arial" w:cs="Arial"/>
          <w:b/>
          <w:color w:val="000000" w:themeColor="text1"/>
          <w:sz w:val="20"/>
          <w:szCs w:val="20"/>
        </w:rPr>
        <w:t xml:space="preserve"> AML/CTF requirements and SFC Code of Conduct</w:t>
      </w:r>
    </w:p>
    <w:p w14:paraId="30224379" w14:textId="77777777" w:rsidR="00B27540" w:rsidRPr="00F81500" w:rsidRDefault="00B27540" w:rsidP="00F81500">
      <w:pPr>
        <w:spacing w:after="0"/>
        <w:jc w:val="both"/>
        <w:rPr>
          <w:rFonts w:ascii="Arial" w:hAnsi="Arial" w:cs="Arial"/>
          <w:sz w:val="20"/>
          <w:szCs w:val="20"/>
        </w:rPr>
      </w:pPr>
    </w:p>
    <w:p w14:paraId="2D834E14" w14:textId="77777777" w:rsidR="006A7326" w:rsidRDefault="00F721FD" w:rsidP="00F81500">
      <w:pPr>
        <w:spacing w:after="0"/>
        <w:jc w:val="both"/>
        <w:rPr>
          <w:rFonts w:ascii="Arial" w:hAnsi="Arial" w:cs="Arial"/>
          <w:sz w:val="20"/>
          <w:szCs w:val="20"/>
        </w:rPr>
      </w:pPr>
      <w:r w:rsidRPr="00F81500">
        <w:rPr>
          <w:rFonts w:ascii="Arial" w:hAnsi="Arial" w:cs="Arial"/>
          <w:sz w:val="20"/>
          <w:szCs w:val="20"/>
        </w:rPr>
        <w:t>The SFC reprimanded SCCL</w:t>
      </w:r>
      <w:r w:rsidRPr="00F81500">
        <w:rPr>
          <w:rFonts w:ascii="Arial" w:hAnsi="Arial" w:cs="Arial"/>
          <w:color w:val="2B2B2B"/>
          <w:sz w:val="20"/>
          <w:szCs w:val="20"/>
          <w:shd w:val="clear" w:color="auto" w:fill="FFFFFF"/>
        </w:rPr>
        <w:t xml:space="preserve"> </w:t>
      </w:r>
      <w:r w:rsidRPr="00F81500">
        <w:rPr>
          <w:rFonts w:ascii="Arial" w:hAnsi="Arial" w:cs="Arial"/>
          <w:sz w:val="20"/>
          <w:szCs w:val="20"/>
        </w:rPr>
        <w:t>and fined it </w:t>
      </w:r>
      <w:r w:rsidR="0031512B">
        <w:rPr>
          <w:rFonts w:ascii="Arial" w:hAnsi="Arial" w:cs="Arial"/>
          <w:sz w:val="20"/>
          <w:szCs w:val="20"/>
        </w:rPr>
        <w:t>HK</w:t>
      </w:r>
      <w:r w:rsidRPr="00F81500">
        <w:rPr>
          <w:rFonts w:ascii="Arial" w:hAnsi="Arial" w:cs="Arial"/>
          <w:sz w:val="20"/>
          <w:szCs w:val="20"/>
        </w:rPr>
        <w:t>$4.8 million under section 194 of the SFO for its failures to comply with AML/CTF and other regulatory requirements.</w:t>
      </w:r>
    </w:p>
    <w:p w14:paraId="215715EE" w14:textId="77777777" w:rsidR="0006763F" w:rsidRPr="00F81500" w:rsidRDefault="0006763F" w:rsidP="00F81500">
      <w:pPr>
        <w:spacing w:after="0"/>
        <w:jc w:val="both"/>
        <w:rPr>
          <w:rFonts w:ascii="Arial" w:hAnsi="Arial" w:cs="Arial"/>
          <w:sz w:val="20"/>
          <w:szCs w:val="20"/>
        </w:rPr>
      </w:pPr>
    </w:p>
    <w:p w14:paraId="24F11BF0" w14:textId="03C1B42A" w:rsidR="00775332" w:rsidRPr="00F81500" w:rsidRDefault="00005230" w:rsidP="00F81500">
      <w:pPr>
        <w:spacing w:after="0"/>
        <w:jc w:val="both"/>
        <w:rPr>
          <w:rFonts w:ascii="Arial" w:hAnsi="Arial" w:cs="Arial"/>
          <w:b/>
          <w:color w:val="FF0000"/>
          <w:sz w:val="20"/>
          <w:szCs w:val="20"/>
        </w:rPr>
      </w:pPr>
      <w:r w:rsidRPr="00F81500">
        <w:rPr>
          <w:rFonts w:ascii="Arial" w:hAnsi="Arial" w:cs="Arial"/>
          <w:b/>
          <w:color w:val="FF0000"/>
          <w:sz w:val="20"/>
          <w:szCs w:val="20"/>
        </w:rPr>
        <w:t xml:space="preserve">Court orders insider dealers to pay HK$12.9 million to investors in </w:t>
      </w:r>
      <w:proofErr w:type="spellStart"/>
      <w:r w:rsidRPr="00F81500">
        <w:rPr>
          <w:rFonts w:ascii="Arial" w:hAnsi="Arial" w:cs="Arial"/>
          <w:b/>
          <w:color w:val="FF0000"/>
          <w:sz w:val="20"/>
          <w:szCs w:val="20"/>
        </w:rPr>
        <w:t>TeleEye</w:t>
      </w:r>
      <w:proofErr w:type="spellEnd"/>
      <w:r w:rsidRPr="00F81500">
        <w:rPr>
          <w:rFonts w:ascii="Arial" w:hAnsi="Arial" w:cs="Arial"/>
          <w:b/>
          <w:color w:val="FF0000"/>
          <w:sz w:val="20"/>
          <w:szCs w:val="20"/>
        </w:rPr>
        <w:t xml:space="preserve"> shares</w:t>
      </w:r>
      <w:r w:rsidRPr="00F81500">
        <w:rPr>
          <w:rStyle w:val="aa"/>
          <w:rFonts w:ascii="Arial" w:hAnsi="Arial" w:cs="Arial"/>
          <w:b/>
          <w:color w:val="FF0000"/>
          <w:sz w:val="20"/>
          <w:szCs w:val="20"/>
        </w:rPr>
        <w:footnoteReference w:id="6"/>
      </w:r>
      <w:r w:rsidR="002B6C46">
        <w:rPr>
          <w:rFonts w:ascii="Arial" w:hAnsi="Arial" w:cs="Arial"/>
          <w:b/>
          <w:color w:val="FF0000"/>
          <w:sz w:val="20"/>
          <w:szCs w:val="20"/>
        </w:rPr>
        <w:t xml:space="preserve"> </w:t>
      </w:r>
      <w:r w:rsidRPr="00F81500">
        <w:rPr>
          <w:rStyle w:val="aa"/>
          <w:rFonts w:ascii="Arial" w:hAnsi="Arial" w:cs="Arial"/>
          <w:b/>
          <w:color w:val="FF0000"/>
          <w:sz w:val="20"/>
          <w:szCs w:val="20"/>
        </w:rPr>
        <w:footnoteReference w:id="7"/>
      </w:r>
      <w:r w:rsidRPr="00F81500">
        <w:rPr>
          <w:rFonts w:ascii="Arial" w:hAnsi="Arial" w:cs="Arial"/>
          <w:b/>
          <w:color w:val="FF0000"/>
          <w:sz w:val="20"/>
          <w:szCs w:val="20"/>
        </w:rPr>
        <w:t xml:space="preserve"> </w:t>
      </w:r>
    </w:p>
    <w:p w14:paraId="50C97CCF" w14:textId="77777777" w:rsidR="00005230" w:rsidRDefault="00005230" w:rsidP="00F81500">
      <w:pPr>
        <w:spacing w:after="0"/>
        <w:jc w:val="both"/>
        <w:rPr>
          <w:rFonts w:ascii="Arial" w:hAnsi="Arial" w:cs="Arial"/>
          <w:sz w:val="20"/>
          <w:szCs w:val="20"/>
        </w:rPr>
      </w:pPr>
    </w:p>
    <w:p w14:paraId="5CC5FAFF" w14:textId="197D2615" w:rsidR="006E39E1" w:rsidRPr="00F81500" w:rsidRDefault="00770B36" w:rsidP="00F81500">
      <w:pPr>
        <w:spacing w:after="0"/>
        <w:jc w:val="both"/>
        <w:rPr>
          <w:rFonts w:ascii="Arial" w:hAnsi="Arial" w:cs="Arial"/>
          <w:sz w:val="20"/>
          <w:szCs w:val="20"/>
        </w:rPr>
      </w:pPr>
      <w:r>
        <w:rPr>
          <w:rFonts w:ascii="Arial" w:hAnsi="Arial" w:cs="Arial"/>
          <w:sz w:val="20"/>
          <w:szCs w:val="20"/>
        </w:rPr>
        <w:t>In September 2016</w:t>
      </w:r>
      <w:r w:rsidRPr="00685F2A">
        <w:rPr>
          <w:rFonts w:ascii="Arial" w:hAnsi="Arial" w:cs="Arial"/>
          <w:sz w:val="20"/>
          <w:szCs w:val="20"/>
        </w:rPr>
        <w:t xml:space="preserve"> </w:t>
      </w:r>
      <w:r>
        <w:rPr>
          <w:rFonts w:ascii="Arial" w:hAnsi="Arial" w:cs="Arial"/>
          <w:sz w:val="20"/>
          <w:szCs w:val="20"/>
        </w:rPr>
        <w:t>t</w:t>
      </w:r>
      <w:r w:rsidR="00B67C9C" w:rsidRPr="00F81500">
        <w:rPr>
          <w:rFonts w:ascii="Arial" w:hAnsi="Arial" w:cs="Arial"/>
          <w:sz w:val="20"/>
          <w:szCs w:val="20"/>
        </w:rPr>
        <w:t>he SFC</w:t>
      </w:r>
      <w:r w:rsidR="00BA45AD">
        <w:rPr>
          <w:rFonts w:ascii="Arial" w:hAnsi="Arial" w:cs="Arial"/>
          <w:sz w:val="20"/>
          <w:szCs w:val="20"/>
        </w:rPr>
        <w:t xml:space="preserve"> commenced civil proceedings</w:t>
      </w:r>
      <w:r w:rsidR="00B67C9C" w:rsidRPr="00F81500">
        <w:rPr>
          <w:rFonts w:ascii="Arial" w:hAnsi="Arial" w:cs="Arial"/>
          <w:sz w:val="20"/>
          <w:szCs w:val="20"/>
        </w:rPr>
        <w:t xml:space="preserve"> </w:t>
      </w:r>
      <w:r w:rsidR="00FA333A">
        <w:rPr>
          <w:rFonts w:ascii="Arial" w:hAnsi="Arial" w:cs="Arial"/>
          <w:sz w:val="20"/>
          <w:szCs w:val="20"/>
        </w:rPr>
        <w:t xml:space="preserve">under </w:t>
      </w:r>
      <w:r w:rsidR="00FA333A" w:rsidRPr="00685F2A">
        <w:rPr>
          <w:rFonts w:ascii="Arial" w:hAnsi="Arial" w:cs="Arial"/>
          <w:sz w:val="20"/>
          <w:szCs w:val="20"/>
        </w:rPr>
        <w:t>section 213 of the SFO</w:t>
      </w:r>
      <w:r w:rsidR="00FA333A" w:rsidRPr="00F81500">
        <w:rPr>
          <w:rFonts w:ascii="Arial" w:hAnsi="Arial" w:cs="Arial"/>
          <w:sz w:val="20"/>
          <w:szCs w:val="20"/>
        </w:rPr>
        <w:t xml:space="preserve"> </w:t>
      </w:r>
      <w:r w:rsidR="00EA42A2" w:rsidRPr="00F81500">
        <w:rPr>
          <w:rFonts w:ascii="Arial" w:hAnsi="Arial" w:cs="Arial"/>
          <w:sz w:val="20"/>
          <w:szCs w:val="20"/>
        </w:rPr>
        <w:t>against Ms</w:t>
      </w:r>
      <w:r w:rsidR="00BA45AD">
        <w:rPr>
          <w:rFonts w:ascii="Arial" w:hAnsi="Arial" w:cs="Arial"/>
          <w:sz w:val="20"/>
          <w:szCs w:val="20"/>
        </w:rPr>
        <w:t>.</w:t>
      </w:r>
      <w:r w:rsidR="00EA42A2" w:rsidRPr="00F81500">
        <w:rPr>
          <w:rFonts w:ascii="Arial" w:hAnsi="Arial" w:cs="Arial"/>
          <w:sz w:val="20"/>
          <w:szCs w:val="20"/>
        </w:rPr>
        <w:t xml:space="preserve"> Yik Fong Fong</w:t>
      </w:r>
      <w:r w:rsidR="00BA45AD">
        <w:rPr>
          <w:rFonts w:ascii="Arial" w:hAnsi="Arial" w:cs="Arial"/>
          <w:sz w:val="20"/>
          <w:szCs w:val="20"/>
        </w:rPr>
        <w:t xml:space="preserve"> </w:t>
      </w:r>
      <w:r w:rsidR="00BA45AD" w:rsidRPr="00725E22">
        <w:rPr>
          <w:rFonts w:ascii="Arial" w:hAnsi="Arial" w:cs="Arial"/>
          <w:sz w:val="20"/>
          <w:szCs w:val="20"/>
        </w:rPr>
        <w:t>(</w:t>
      </w:r>
      <w:r w:rsidR="00BA45AD" w:rsidRPr="00725E22">
        <w:rPr>
          <w:rFonts w:ascii="Arial" w:hAnsi="Arial" w:cs="Arial"/>
          <w:b/>
          <w:sz w:val="20"/>
          <w:szCs w:val="20"/>
        </w:rPr>
        <w:t>Ms</w:t>
      </w:r>
      <w:r w:rsidR="00BA45AD">
        <w:rPr>
          <w:rFonts w:ascii="Arial" w:hAnsi="Arial" w:cs="Arial"/>
          <w:b/>
          <w:sz w:val="20"/>
          <w:szCs w:val="20"/>
        </w:rPr>
        <w:t>.</w:t>
      </w:r>
      <w:r w:rsidR="00BA45AD" w:rsidRPr="00725E22">
        <w:rPr>
          <w:rFonts w:ascii="Arial" w:hAnsi="Arial" w:cs="Arial"/>
          <w:sz w:val="20"/>
          <w:szCs w:val="20"/>
        </w:rPr>
        <w:t xml:space="preserve"> </w:t>
      </w:r>
      <w:r w:rsidR="00BA45AD" w:rsidRPr="00725E22">
        <w:rPr>
          <w:rFonts w:ascii="Arial" w:hAnsi="Arial" w:cs="Arial"/>
          <w:b/>
          <w:sz w:val="20"/>
          <w:szCs w:val="20"/>
        </w:rPr>
        <w:t>Yik</w:t>
      </w:r>
      <w:r w:rsidR="00BA45AD" w:rsidRPr="00725E22">
        <w:rPr>
          <w:rFonts w:ascii="Arial" w:hAnsi="Arial" w:cs="Arial"/>
          <w:sz w:val="20"/>
          <w:szCs w:val="20"/>
        </w:rPr>
        <w:t>)</w:t>
      </w:r>
      <w:r w:rsidR="00BA45AD">
        <w:rPr>
          <w:rFonts w:ascii="Arial" w:hAnsi="Arial" w:cs="Arial"/>
          <w:sz w:val="20"/>
          <w:szCs w:val="20"/>
        </w:rPr>
        <w:t xml:space="preserve"> (who acted as </w:t>
      </w:r>
      <w:r w:rsidR="00E117FD" w:rsidRPr="00F81500">
        <w:rPr>
          <w:rFonts w:ascii="Arial" w:hAnsi="Arial" w:cs="Arial"/>
          <w:sz w:val="20"/>
          <w:szCs w:val="20"/>
        </w:rPr>
        <w:t xml:space="preserve">executive director and chief executive officer of </w:t>
      </w:r>
      <w:r w:rsidR="00BA45AD">
        <w:rPr>
          <w:rFonts w:ascii="Arial" w:hAnsi="Arial" w:cs="Arial"/>
          <w:sz w:val="20"/>
          <w:szCs w:val="20"/>
        </w:rPr>
        <w:t xml:space="preserve">the </w:t>
      </w:r>
      <w:r w:rsidR="00E117FD" w:rsidRPr="00F81500">
        <w:rPr>
          <w:rFonts w:ascii="Arial" w:hAnsi="Arial" w:cs="Arial"/>
          <w:sz w:val="20"/>
          <w:szCs w:val="20"/>
        </w:rPr>
        <w:t>Hong Kong listed company, Chinese Energy Holdings Limited until 12 August 2016</w:t>
      </w:r>
      <w:r w:rsidR="00BA45AD">
        <w:rPr>
          <w:rFonts w:ascii="Arial" w:hAnsi="Arial" w:cs="Arial"/>
          <w:sz w:val="20"/>
          <w:szCs w:val="20"/>
        </w:rPr>
        <w:t>)</w:t>
      </w:r>
      <w:r w:rsidR="00E117FD" w:rsidRPr="00F81500">
        <w:rPr>
          <w:rFonts w:ascii="Arial" w:hAnsi="Arial" w:cs="Arial"/>
          <w:sz w:val="20"/>
          <w:szCs w:val="20"/>
        </w:rPr>
        <w:t xml:space="preserve"> </w:t>
      </w:r>
      <w:r w:rsidR="00EA42A2" w:rsidRPr="00F81500">
        <w:rPr>
          <w:rFonts w:ascii="Arial" w:hAnsi="Arial" w:cs="Arial"/>
          <w:sz w:val="20"/>
          <w:szCs w:val="20"/>
        </w:rPr>
        <w:t>and her two associates, Ms</w:t>
      </w:r>
      <w:r w:rsidR="00BA45AD">
        <w:rPr>
          <w:rFonts w:ascii="Arial" w:hAnsi="Arial" w:cs="Arial"/>
          <w:sz w:val="20"/>
          <w:szCs w:val="20"/>
        </w:rPr>
        <w:t>.</w:t>
      </w:r>
      <w:r w:rsidR="00EA42A2" w:rsidRPr="00F81500">
        <w:rPr>
          <w:rFonts w:ascii="Arial" w:hAnsi="Arial" w:cs="Arial"/>
          <w:sz w:val="20"/>
          <w:szCs w:val="20"/>
        </w:rPr>
        <w:t xml:space="preserve"> Wei Juan</w:t>
      </w:r>
      <w:r>
        <w:rPr>
          <w:rFonts w:ascii="Arial" w:hAnsi="Arial" w:cs="Arial"/>
          <w:sz w:val="20"/>
          <w:szCs w:val="20"/>
        </w:rPr>
        <w:t xml:space="preserve"> </w:t>
      </w:r>
      <w:r w:rsidR="00BA45AD" w:rsidRPr="00A86B38">
        <w:rPr>
          <w:rFonts w:ascii="Arial" w:hAnsi="Arial" w:cs="Arial"/>
          <w:sz w:val="20"/>
          <w:szCs w:val="20"/>
        </w:rPr>
        <w:t>(</w:t>
      </w:r>
      <w:r w:rsidR="00BA45AD" w:rsidRPr="00A86B38">
        <w:rPr>
          <w:rFonts w:ascii="Arial" w:hAnsi="Arial" w:cs="Arial"/>
          <w:b/>
          <w:sz w:val="20"/>
          <w:szCs w:val="20"/>
        </w:rPr>
        <w:t>Ms</w:t>
      </w:r>
      <w:r w:rsidR="00BA45AD">
        <w:rPr>
          <w:rFonts w:ascii="Arial" w:hAnsi="Arial" w:cs="Arial"/>
          <w:b/>
          <w:sz w:val="20"/>
          <w:szCs w:val="20"/>
        </w:rPr>
        <w:t xml:space="preserve">. </w:t>
      </w:r>
      <w:r w:rsidR="00BA45AD" w:rsidRPr="00A86B38">
        <w:rPr>
          <w:rFonts w:ascii="Arial" w:hAnsi="Arial" w:cs="Arial"/>
          <w:b/>
          <w:sz w:val="20"/>
          <w:szCs w:val="20"/>
        </w:rPr>
        <w:t>Wei</w:t>
      </w:r>
      <w:r w:rsidR="00BA45AD" w:rsidRPr="00A86B38">
        <w:rPr>
          <w:rFonts w:ascii="Arial" w:hAnsi="Arial" w:cs="Arial"/>
          <w:sz w:val="20"/>
          <w:szCs w:val="20"/>
        </w:rPr>
        <w:t>)</w:t>
      </w:r>
      <w:r w:rsidR="00BA45AD">
        <w:rPr>
          <w:rFonts w:ascii="Arial" w:hAnsi="Arial" w:cs="Arial"/>
          <w:sz w:val="20"/>
          <w:szCs w:val="20"/>
        </w:rPr>
        <w:t xml:space="preserve">, being </w:t>
      </w:r>
      <w:r w:rsidR="00E117FD" w:rsidRPr="00F81500">
        <w:rPr>
          <w:rFonts w:ascii="Arial" w:hAnsi="Arial" w:cs="Arial"/>
          <w:sz w:val="20"/>
          <w:szCs w:val="20"/>
        </w:rPr>
        <w:t>Ms</w:t>
      </w:r>
      <w:r w:rsidR="00BA45AD">
        <w:rPr>
          <w:rFonts w:ascii="Arial" w:hAnsi="Arial" w:cs="Arial"/>
          <w:sz w:val="20"/>
          <w:szCs w:val="20"/>
        </w:rPr>
        <w:t>.</w:t>
      </w:r>
      <w:r w:rsidR="00E117FD" w:rsidRPr="00F81500">
        <w:rPr>
          <w:rFonts w:ascii="Arial" w:hAnsi="Arial" w:cs="Arial"/>
          <w:sz w:val="20"/>
          <w:szCs w:val="20"/>
        </w:rPr>
        <w:t xml:space="preserve"> Yik’s niece, </w:t>
      </w:r>
      <w:r w:rsidR="00EA42A2" w:rsidRPr="00F81500">
        <w:rPr>
          <w:rFonts w:ascii="Arial" w:hAnsi="Arial" w:cs="Arial"/>
          <w:sz w:val="20"/>
          <w:szCs w:val="20"/>
        </w:rPr>
        <w:t>and Mr</w:t>
      </w:r>
      <w:r w:rsidR="00BA45AD">
        <w:rPr>
          <w:rFonts w:ascii="Arial" w:hAnsi="Arial" w:cs="Arial"/>
          <w:sz w:val="20"/>
          <w:szCs w:val="20"/>
        </w:rPr>
        <w:t>.</w:t>
      </w:r>
      <w:r w:rsidR="00EA42A2" w:rsidRPr="00F81500">
        <w:rPr>
          <w:rFonts w:ascii="Arial" w:hAnsi="Arial" w:cs="Arial"/>
          <w:sz w:val="20"/>
          <w:szCs w:val="20"/>
        </w:rPr>
        <w:t xml:space="preserve"> Huang Yi</w:t>
      </w:r>
      <w:r w:rsidR="00BA45AD">
        <w:rPr>
          <w:rFonts w:ascii="Arial" w:hAnsi="Arial" w:cs="Arial"/>
          <w:sz w:val="20"/>
          <w:szCs w:val="20"/>
        </w:rPr>
        <w:t xml:space="preserve"> (</w:t>
      </w:r>
      <w:r w:rsidR="00BA45AD" w:rsidRPr="00F81500">
        <w:rPr>
          <w:rFonts w:ascii="Arial" w:hAnsi="Arial" w:cs="Arial"/>
          <w:b/>
          <w:sz w:val="20"/>
          <w:szCs w:val="20"/>
        </w:rPr>
        <w:t>Mr. Huang</w:t>
      </w:r>
      <w:r w:rsidR="00BA45AD">
        <w:rPr>
          <w:rFonts w:ascii="Arial" w:hAnsi="Arial" w:cs="Arial"/>
          <w:sz w:val="20"/>
          <w:szCs w:val="20"/>
        </w:rPr>
        <w:t>)</w:t>
      </w:r>
      <w:r w:rsidR="00E117FD" w:rsidRPr="00F81500">
        <w:rPr>
          <w:rFonts w:ascii="Arial" w:hAnsi="Arial" w:cs="Arial"/>
          <w:sz w:val="20"/>
          <w:szCs w:val="20"/>
        </w:rPr>
        <w:t xml:space="preserve">, </w:t>
      </w:r>
      <w:r w:rsidR="002A6C31">
        <w:rPr>
          <w:rFonts w:ascii="Arial" w:hAnsi="Arial" w:cs="Arial"/>
          <w:sz w:val="20"/>
          <w:szCs w:val="20"/>
        </w:rPr>
        <w:t xml:space="preserve">being </w:t>
      </w:r>
      <w:r w:rsidR="00BA45AD">
        <w:rPr>
          <w:rFonts w:ascii="Arial" w:hAnsi="Arial" w:cs="Arial"/>
          <w:sz w:val="20"/>
          <w:szCs w:val="20"/>
        </w:rPr>
        <w:t>the h</w:t>
      </w:r>
      <w:r w:rsidR="00E117FD" w:rsidRPr="00F81500">
        <w:rPr>
          <w:rFonts w:ascii="Arial" w:hAnsi="Arial" w:cs="Arial"/>
          <w:sz w:val="20"/>
          <w:szCs w:val="20"/>
        </w:rPr>
        <w:t>usband of Ms</w:t>
      </w:r>
      <w:r w:rsidR="00BA45AD">
        <w:rPr>
          <w:rFonts w:ascii="Arial" w:hAnsi="Arial" w:cs="Arial"/>
          <w:sz w:val="20"/>
          <w:szCs w:val="20"/>
        </w:rPr>
        <w:t>.</w:t>
      </w:r>
      <w:r w:rsidR="00E117FD" w:rsidRPr="00F81500">
        <w:rPr>
          <w:rFonts w:ascii="Arial" w:hAnsi="Arial" w:cs="Arial"/>
          <w:sz w:val="20"/>
          <w:szCs w:val="20"/>
        </w:rPr>
        <w:t xml:space="preserve"> Wei</w:t>
      </w:r>
      <w:r w:rsidR="00FA333A">
        <w:rPr>
          <w:rFonts w:ascii="Arial" w:hAnsi="Arial" w:cs="Arial"/>
          <w:sz w:val="20"/>
          <w:szCs w:val="20"/>
        </w:rPr>
        <w:t>.</w:t>
      </w:r>
      <w:r w:rsidR="002D4817">
        <w:rPr>
          <w:rFonts w:ascii="Arial" w:hAnsi="Arial" w:cs="Arial"/>
          <w:sz w:val="20"/>
          <w:szCs w:val="20"/>
        </w:rPr>
        <w:t xml:space="preserve"> </w:t>
      </w:r>
      <w:r w:rsidR="00FA333A">
        <w:rPr>
          <w:rFonts w:ascii="Arial" w:hAnsi="Arial" w:cs="Arial"/>
          <w:sz w:val="20"/>
          <w:szCs w:val="20"/>
        </w:rPr>
        <w:t>Mr. Huang</w:t>
      </w:r>
      <w:r w:rsidR="002D4817">
        <w:rPr>
          <w:rFonts w:ascii="Arial" w:hAnsi="Arial" w:cs="Arial"/>
          <w:sz w:val="20"/>
          <w:szCs w:val="20"/>
        </w:rPr>
        <w:t xml:space="preserve"> </w:t>
      </w:r>
      <w:r w:rsidR="00851927">
        <w:rPr>
          <w:rFonts w:ascii="Arial" w:hAnsi="Arial" w:cs="Arial"/>
          <w:sz w:val="20"/>
          <w:szCs w:val="20"/>
        </w:rPr>
        <w:t xml:space="preserve">falsely </w:t>
      </w:r>
      <w:r w:rsidR="002D4817">
        <w:rPr>
          <w:rFonts w:ascii="Arial" w:hAnsi="Arial" w:cs="Arial"/>
          <w:sz w:val="20"/>
          <w:szCs w:val="20"/>
        </w:rPr>
        <w:t>claimed</w:t>
      </w:r>
      <w:r w:rsidR="00E117FD" w:rsidRPr="00F81500">
        <w:rPr>
          <w:rFonts w:ascii="Arial" w:hAnsi="Arial" w:cs="Arial"/>
          <w:sz w:val="20"/>
          <w:szCs w:val="20"/>
        </w:rPr>
        <w:t xml:space="preserve"> to be an investment consultant of a securities investment firm in China</w:t>
      </w:r>
      <w:r w:rsidR="002D4817">
        <w:rPr>
          <w:rFonts w:ascii="Arial" w:hAnsi="Arial" w:cs="Arial"/>
          <w:sz w:val="20"/>
          <w:szCs w:val="20"/>
        </w:rPr>
        <w:t xml:space="preserve"> </w:t>
      </w:r>
      <w:r w:rsidR="00FA333A">
        <w:rPr>
          <w:rFonts w:ascii="Arial" w:hAnsi="Arial" w:cs="Arial"/>
          <w:sz w:val="20"/>
          <w:szCs w:val="20"/>
        </w:rPr>
        <w:t xml:space="preserve">and the trio </w:t>
      </w:r>
      <w:r w:rsidR="00EA42A2" w:rsidRPr="00F81500">
        <w:rPr>
          <w:rFonts w:ascii="Arial" w:hAnsi="Arial" w:cs="Arial"/>
          <w:sz w:val="20"/>
          <w:szCs w:val="20"/>
        </w:rPr>
        <w:t>engag</w:t>
      </w:r>
      <w:r w:rsidR="002D4817">
        <w:rPr>
          <w:rFonts w:ascii="Arial" w:hAnsi="Arial" w:cs="Arial"/>
          <w:sz w:val="20"/>
          <w:szCs w:val="20"/>
        </w:rPr>
        <w:t>ed</w:t>
      </w:r>
      <w:r w:rsidR="00EA42A2" w:rsidRPr="00F81500">
        <w:rPr>
          <w:rFonts w:ascii="Arial" w:hAnsi="Arial" w:cs="Arial"/>
          <w:sz w:val="20"/>
          <w:szCs w:val="20"/>
        </w:rPr>
        <w:t xml:space="preserve"> in inside</w:t>
      </w:r>
      <w:r w:rsidR="002D4817">
        <w:rPr>
          <w:rFonts w:ascii="Arial" w:hAnsi="Arial" w:cs="Arial"/>
          <w:sz w:val="20"/>
          <w:szCs w:val="20"/>
        </w:rPr>
        <w:t>r</w:t>
      </w:r>
      <w:r w:rsidR="00EA42A2" w:rsidRPr="00F81500">
        <w:rPr>
          <w:rFonts w:ascii="Arial" w:hAnsi="Arial" w:cs="Arial"/>
          <w:sz w:val="20"/>
          <w:szCs w:val="20"/>
        </w:rPr>
        <w:t xml:space="preserve"> dealing</w:t>
      </w:r>
      <w:r w:rsidR="00851927">
        <w:rPr>
          <w:rFonts w:ascii="Arial" w:hAnsi="Arial" w:cs="Arial"/>
          <w:sz w:val="20"/>
          <w:szCs w:val="20"/>
        </w:rPr>
        <w:t xml:space="preserve"> </w:t>
      </w:r>
      <w:r w:rsidR="00EA42A2" w:rsidRPr="00F81500">
        <w:rPr>
          <w:rFonts w:ascii="Arial" w:hAnsi="Arial" w:cs="Arial"/>
          <w:sz w:val="20"/>
          <w:szCs w:val="20"/>
        </w:rPr>
        <w:t xml:space="preserve">in the shares of TeleEye Holdings Limited </w:t>
      </w:r>
      <w:r w:rsidR="002D4817" w:rsidRPr="001B7E2E">
        <w:rPr>
          <w:rFonts w:ascii="Arial" w:hAnsi="Arial" w:cs="Arial"/>
          <w:sz w:val="20"/>
          <w:szCs w:val="20"/>
        </w:rPr>
        <w:t>(</w:t>
      </w:r>
      <w:r w:rsidR="002D4817" w:rsidRPr="001B7E2E">
        <w:rPr>
          <w:rFonts w:ascii="Arial" w:hAnsi="Arial" w:cs="Arial"/>
          <w:b/>
          <w:sz w:val="20"/>
          <w:szCs w:val="20"/>
        </w:rPr>
        <w:t>TeleEye</w:t>
      </w:r>
      <w:r w:rsidR="002D4817" w:rsidRPr="001B7E2E">
        <w:rPr>
          <w:rFonts w:ascii="Arial" w:hAnsi="Arial" w:cs="Arial"/>
          <w:sz w:val="20"/>
          <w:szCs w:val="20"/>
        </w:rPr>
        <w:t xml:space="preserve">) </w:t>
      </w:r>
      <w:r w:rsidR="00EA42A2" w:rsidRPr="00F81500">
        <w:rPr>
          <w:rFonts w:ascii="Arial" w:hAnsi="Arial" w:cs="Arial"/>
          <w:sz w:val="20"/>
          <w:szCs w:val="20"/>
        </w:rPr>
        <w:t>(</w:t>
      </w:r>
      <w:r w:rsidR="002D4817">
        <w:rPr>
          <w:rFonts w:ascii="Arial" w:hAnsi="Arial" w:cs="Arial"/>
          <w:sz w:val="20"/>
          <w:szCs w:val="20"/>
        </w:rPr>
        <w:t>now</w:t>
      </w:r>
      <w:r w:rsidR="002D4817" w:rsidRPr="00F81500">
        <w:rPr>
          <w:rFonts w:ascii="Arial" w:hAnsi="Arial" w:cs="Arial"/>
          <w:sz w:val="20"/>
          <w:szCs w:val="20"/>
        </w:rPr>
        <w:t xml:space="preserve"> </w:t>
      </w:r>
      <w:r w:rsidR="00EA42A2" w:rsidRPr="00F81500">
        <w:rPr>
          <w:rFonts w:ascii="Arial" w:hAnsi="Arial" w:cs="Arial"/>
          <w:sz w:val="20"/>
          <w:szCs w:val="20"/>
        </w:rPr>
        <w:t>known as CircuTech International Holdings Limited)</w:t>
      </w:r>
      <w:r>
        <w:rPr>
          <w:rFonts w:ascii="Arial" w:hAnsi="Arial" w:cs="Arial"/>
          <w:sz w:val="20"/>
          <w:szCs w:val="20"/>
        </w:rPr>
        <w:t xml:space="preserve">, </w:t>
      </w:r>
      <w:r w:rsidR="00FA333A">
        <w:rPr>
          <w:rFonts w:ascii="Arial" w:hAnsi="Arial" w:cs="Arial"/>
          <w:sz w:val="20"/>
          <w:szCs w:val="20"/>
        </w:rPr>
        <w:t xml:space="preserve">earning a </w:t>
      </w:r>
      <w:r>
        <w:rPr>
          <w:rFonts w:ascii="Arial" w:hAnsi="Arial" w:cs="Arial"/>
          <w:sz w:val="20"/>
          <w:szCs w:val="20"/>
        </w:rPr>
        <w:t>profit</w:t>
      </w:r>
      <w:r w:rsidR="00FA333A">
        <w:rPr>
          <w:rFonts w:ascii="Arial" w:hAnsi="Arial" w:cs="Arial"/>
          <w:sz w:val="20"/>
          <w:szCs w:val="20"/>
        </w:rPr>
        <w:t xml:space="preserve"> of</w:t>
      </w:r>
      <w:r>
        <w:rPr>
          <w:rFonts w:ascii="Arial" w:hAnsi="Arial" w:cs="Arial"/>
          <w:sz w:val="20"/>
          <w:szCs w:val="20"/>
        </w:rPr>
        <w:t xml:space="preserve"> HK$12.9 million </w:t>
      </w:r>
      <w:r w:rsidR="00B04560">
        <w:rPr>
          <w:rFonts w:ascii="Arial" w:hAnsi="Arial" w:cs="Arial"/>
          <w:sz w:val="20"/>
          <w:szCs w:val="20"/>
        </w:rPr>
        <w:t xml:space="preserve">from innocent investors. </w:t>
      </w:r>
      <w:r w:rsidR="00EA42A2" w:rsidRPr="00F81500">
        <w:rPr>
          <w:rFonts w:ascii="Arial" w:hAnsi="Arial" w:cs="Arial"/>
          <w:sz w:val="20"/>
          <w:szCs w:val="20"/>
        </w:rPr>
        <w:t xml:space="preserve"> </w:t>
      </w:r>
    </w:p>
    <w:p w14:paraId="323AF4C2" w14:textId="77777777" w:rsidR="00E1681E" w:rsidRPr="00F81500" w:rsidRDefault="00E1681E" w:rsidP="00F81500">
      <w:pPr>
        <w:spacing w:after="0"/>
        <w:jc w:val="both"/>
        <w:rPr>
          <w:rFonts w:ascii="Arial" w:hAnsi="Arial" w:cs="Arial"/>
          <w:sz w:val="20"/>
          <w:szCs w:val="20"/>
        </w:rPr>
      </w:pPr>
    </w:p>
    <w:p w14:paraId="1ACC9470" w14:textId="77777777" w:rsidR="0038783F" w:rsidRPr="00F81500" w:rsidRDefault="002A6C31" w:rsidP="00F81500">
      <w:pPr>
        <w:spacing w:after="0"/>
        <w:jc w:val="both"/>
        <w:rPr>
          <w:rFonts w:ascii="Arial" w:hAnsi="Arial" w:cs="Arial"/>
          <w:b/>
          <w:color w:val="000000" w:themeColor="text1"/>
          <w:sz w:val="20"/>
          <w:szCs w:val="20"/>
        </w:rPr>
      </w:pPr>
      <w:r>
        <w:rPr>
          <w:rFonts w:ascii="Arial" w:hAnsi="Arial" w:cs="Arial"/>
          <w:b/>
          <w:color w:val="000000" w:themeColor="text1"/>
          <w:sz w:val="20"/>
          <w:szCs w:val="20"/>
        </w:rPr>
        <w:t>Court o</w:t>
      </w:r>
      <w:r w:rsidR="000531D1" w:rsidRPr="00F81500">
        <w:rPr>
          <w:rFonts w:ascii="Arial" w:hAnsi="Arial" w:cs="Arial"/>
          <w:b/>
          <w:color w:val="000000" w:themeColor="text1"/>
          <w:sz w:val="20"/>
          <w:szCs w:val="20"/>
        </w:rPr>
        <w:t>rder</w:t>
      </w:r>
      <w:r>
        <w:rPr>
          <w:rFonts w:ascii="Arial" w:hAnsi="Arial" w:cs="Arial"/>
          <w:b/>
          <w:color w:val="000000" w:themeColor="text1"/>
          <w:sz w:val="20"/>
          <w:szCs w:val="20"/>
        </w:rPr>
        <w:t>s</w:t>
      </w:r>
      <w:r w:rsidR="000531D1" w:rsidRPr="00F81500">
        <w:rPr>
          <w:rFonts w:ascii="Arial" w:hAnsi="Arial" w:cs="Arial"/>
          <w:b/>
          <w:color w:val="000000" w:themeColor="text1"/>
          <w:sz w:val="20"/>
          <w:szCs w:val="20"/>
        </w:rPr>
        <w:t xml:space="preserve"> for engaging in inside</w:t>
      </w:r>
      <w:r w:rsidR="00D51369">
        <w:rPr>
          <w:rFonts w:ascii="Arial" w:hAnsi="Arial" w:cs="Arial"/>
          <w:b/>
          <w:color w:val="000000" w:themeColor="text1"/>
          <w:sz w:val="20"/>
          <w:szCs w:val="20"/>
        </w:rPr>
        <w:t>r</w:t>
      </w:r>
      <w:r w:rsidR="000531D1" w:rsidRPr="00F81500">
        <w:rPr>
          <w:rFonts w:ascii="Arial" w:hAnsi="Arial" w:cs="Arial"/>
          <w:b/>
          <w:color w:val="000000" w:themeColor="text1"/>
          <w:sz w:val="20"/>
          <w:szCs w:val="20"/>
        </w:rPr>
        <w:t xml:space="preserve"> dealing </w:t>
      </w:r>
    </w:p>
    <w:p w14:paraId="35675DFC" w14:textId="77777777" w:rsidR="00E1681E" w:rsidRPr="00F81500" w:rsidRDefault="00E1681E" w:rsidP="00F81500">
      <w:pPr>
        <w:spacing w:after="0"/>
        <w:jc w:val="both"/>
        <w:rPr>
          <w:rFonts w:ascii="Arial" w:hAnsi="Arial" w:cs="Arial"/>
          <w:sz w:val="20"/>
          <w:szCs w:val="20"/>
        </w:rPr>
      </w:pPr>
    </w:p>
    <w:p w14:paraId="598D6975" w14:textId="77777777" w:rsidR="00D51369" w:rsidRPr="000411D8" w:rsidRDefault="00D51369" w:rsidP="00D51369">
      <w:pPr>
        <w:spacing w:after="0"/>
        <w:jc w:val="both"/>
        <w:rPr>
          <w:rFonts w:ascii="Arial" w:hAnsi="Arial" w:cs="Arial"/>
          <w:sz w:val="20"/>
          <w:szCs w:val="20"/>
        </w:rPr>
      </w:pPr>
      <w:r>
        <w:rPr>
          <w:rFonts w:ascii="Arial" w:hAnsi="Arial" w:cs="Arial"/>
          <w:sz w:val="20"/>
          <w:szCs w:val="20"/>
        </w:rPr>
        <w:t>In January 2017, whilst the SFC’s investigations were still on-going, t</w:t>
      </w:r>
      <w:r w:rsidRPr="000411D8">
        <w:rPr>
          <w:rFonts w:ascii="Arial" w:hAnsi="Arial" w:cs="Arial"/>
          <w:sz w:val="20"/>
          <w:szCs w:val="20"/>
        </w:rPr>
        <w:t>he Court of First Instance</w:t>
      </w:r>
      <w:r w:rsidR="0081611F">
        <w:rPr>
          <w:rFonts w:ascii="Arial" w:hAnsi="Arial" w:cs="Arial"/>
          <w:sz w:val="20"/>
          <w:szCs w:val="20"/>
        </w:rPr>
        <w:t xml:space="preserve"> (</w:t>
      </w:r>
      <w:r w:rsidR="0081611F" w:rsidRPr="00F81500">
        <w:rPr>
          <w:rFonts w:ascii="Arial" w:hAnsi="Arial" w:cs="Arial"/>
          <w:b/>
          <w:sz w:val="20"/>
          <w:szCs w:val="20"/>
        </w:rPr>
        <w:t>CFI</w:t>
      </w:r>
      <w:r w:rsidR="0081611F">
        <w:rPr>
          <w:rFonts w:ascii="Arial" w:hAnsi="Arial" w:cs="Arial"/>
          <w:sz w:val="20"/>
          <w:szCs w:val="20"/>
        </w:rPr>
        <w:t>)</w:t>
      </w:r>
      <w:r w:rsidRPr="000411D8">
        <w:rPr>
          <w:rFonts w:ascii="Arial" w:hAnsi="Arial" w:cs="Arial"/>
          <w:sz w:val="20"/>
          <w:szCs w:val="20"/>
        </w:rPr>
        <w:t xml:space="preserve"> granted an interim </w:t>
      </w:r>
      <w:r>
        <w:rPr>
          <w:rFonts w:ascii="Arial" w:hAnsi="Arial" w:cs="Arial"/>
          <w:sz w:val="20"/>
          <w:szCs w:val="20"/>
        </w:rPr>
        <w:t xml:space="preserve">injunction </w:t>
      </w:r>
      <w:r w:rsidRPr="000411D8">
        <w:rPr>
          <w:rFonts w:ascii="Arial" w:hAnsi="Arial" w:cs="Arial"/>
          <w:sz w:val="20"/>
          <w:szCs w:val="20"/>
        </w:rPr>
        <w:t>order against Ms</w:t>
      </w:r>
      <w:r>
        <w:rPr>
          <w:rFonts w:ascii="Arial" w:hAnsi="Arial" w:cs="Arial"/>
          <w:sz w:val="20"/>
          <w:szCs w:val="20"/>
        </w:rPr>
        <w:t>.</w:t>
      </w:r>
      <w:r w:rsidRPr="000411D8">
        <w:rPr>
          <w:rFonts w:ascii="Arial" w:hAnsi="Arial" w:cs="Arial"/>
          <w:sz w:val="20"/>
          <w:szCs w:val="20"/>
        </w:rPr>
        <w:t xml:space="preserve"> Yik </w:t>
      </w:r>
      <w:r>
        <w:rPr>
          <w:rFonts w:ascii="Arial" w:hAnsi="Arial" w:cs="Arial"/>
          <w:sz w:val="20"/>
          <w:szCs w:val="20"/>
        </w:rPr>
        <w:t xml:space="preserve">to freeze </w:t>
      </w:r>
      <w:r w:rsidRPr="000411D8">
        <w:rPr>
          <w:rFonts w:ascii="Arial" w:hAnsi="Arial" w:cs="Arial"/>
          <w:sz w:val="20"/>
          <w:szCs w:val="20"/>
        </w:rPr>
        <w:t>her assets</w:t>
      </w:r>
      <w:r>
        <w:rPr>
          <w:rFonts w:ascii="Arial" w:hAnsi="Arial" w:cs="Arial"/>
          <w:sz w:val="20"/>
          <w:szCs w:val="20"/>
        </w:rPr>
        <w:t xml:space="preserve"> </w:t>
      </w:r>
      <w:r w:rsidRPr="000411D8">
        <w:rPr>
          <w:rFonts w:ascii="Arial" w:hAnsi="Arial" w:cs="Arial"/>
          <w:sz w:val="20"/>
          <w:szCs w:val="20"/>
        </w:rPr>
        <w:t xml:space="preserve">up to the value of </w:t>
      </w:r>
      <w:r w:rsidR="00FA333A">
        <w:rPr>
          <w:rFonts w:ascii="Arial" w:hAnsi="Arial" w:cs="Arial"/>
          <w:sz w:val="20"/>
          <w:szCs w:val="20"/>
        </w:rPr>
        <w:t>HK</w:t>
      </w:r>
      <w:r w:rsidRPr="000411D8">
        <w:rPr>
          <w:rFonts w:ascii="Arial" w:hAnsi="Arial" w:cs="Arial"/>
          <w:sz w:val="20"/>
          <w:szCs w:val="20"/>
        </w:rPr>
        <w:t>$25</w:t>
      </w:r>
      <w:r>
        <w:rPr>
          <w:rFonts w:ascii="Arial" w:hAnsi="Arial" w:cs="Arial"/>
          <w:sz w:val="20"/>
          <w:szCs w:val="20"/>
        </w:rPr>
        <w:t xml:space="preserve">.9 million and also </w:t>
      </w:r>
      <w:r w:rsidRPr="000411D8">
        <w:rPr>
          <w:rFonts w:ascii="Arial" w:hAnsi="Arial" w:cs="Arial"/>
          <w:sz w:val="20"/>
          <w:szCs w:val="20"/>
        </w:rPr>
        <w:t>order</w:t>
      </w:r>
      <w:r>
        <w:rPr>
          <w:rFonts w:ascii="Arial" w:hAnsi="Arial" w:cs="Arial"/>
          <w:sz w:val="20"/>
          <w:szCs w:val="20"/>
        </w:rPr>
        <w:t>ed</w:t>
      </w:r>
      <w:r w:rsidRPr="000411D8">
        <w:rPr>
          <w:rFonts w:ascii="Arial" w:hAnsi="Arial" w:cs="Arial"/>
          <w:sz w:val="20"/>
          <w:szCs w:val="20"/>
        </w:rPr>
        <w:t xml:space="preserve"> Ms</w:t>
      </w:r>
      <w:r>
        <w:rPr>
          <w:rFonts w:ascii="Arial" w:hAnsi="Arial" w:cs="Arial"/>
          <w:sz w:val="20"/>
          <w:szCs w:val="20"/>
        </w:rPr>
        <w:t>.</w:t>
      </w:r>
      <w:r w:rsidRPr="000411D8">
        <w:rPr>
          <w:rFonts w:ascii="Arial" w:hAnsi="Arial" w:cs="Arial"/>
          <w:sz w:val="20"/>
          <w:szCs w:val="20"/>
        </w:rPr>
        <w:t xml:space="preserve"> Wei and Mr</w:t>
      </w:r>
      <w:r>
        <w:rPr>
          <w:rFonts w:ascii="Arial" w:hAnsi="Arial" w:cs="Arial"/>
          <w:sz w:val="20"/>
          <w:szCs w:val="20"/>
        </w:rPr>
        <w:t>.</w:t>
      </w:r>
      <w:r w:rsidRPr="000411D8">
        <w:rPr>
          <w:rFonts w:ascii="Arial" w:hAnsi="Arial" w:cs="Arial"/>
          <w:sz w:val="20"/>
          <w:szCs w:val="20"/>
        </w:rPr>
        <w:t xml:space="preserve"> Huang to pay</w:t>
      </w:r>
      <w:r>
        <w:rPr>
          <w:rFonts w:ascii="Arial" w:hAnsi="Arial" w:cs="Arial"/>
          <w:sz w:val="20"/>
          <w:szCs w:val="20"/>
        </w:rPr>
        <w:t xml:space="preserve"> a total of HK$12.9 million</w:t>
      </w:r>
      <w:r w:rsidRPr="000411D8">
        <w:rPr>
          <w:rFonts w:ascii="Arial" w:hAnsi="Arial" w:cs="Arial"/>
          <w:sz w:val="20"/>
          <w:szCs w:val="20"/>
        </w:rPr>
        <w:t xml:space="preserve"> into court</w:t>
      </w:r>
      <w:r>
        <w:rPr>
          <w:rFonts w:ascii="Arial" w:hAnsi="Arial" w:cs="Arial"/>
          <w:sz w:val="20"/>
          <w:szCs w:val="20"/>
        </w:rPr>
        <w:t xml:space="preserve"> for the purposes of </w:t>
      </w:r>
      <w:r w:rsidR="0081611F">
        <w:rPr>
          <w:rFonts w:ascii="Arial" w:hAnsi="Arial" w:cs="Arial"/>
          <w:sz w:val="20"/>
          <w:szCs w:val="20"/>
        </w:rPr>
        <w:t xml:space="preserve">preventing the disposal of assets until judgment could be obtained. </w:t>
      </w:r>
    </w:p>
    <w:p w14:paraId="21139056" w14:textId="77777777" w:rsidR="00D51369" w:rsidRDefault="00D51369" w:rsidP="00F81500">
      <w:pPr>
        <w:spacing w:after="0"/>
        <w:jc w:val="both"/>
        <w:rPr>
          <w:rFonts w:ascii="Arial" w:hAnsi="Arial" w:cs="Arial"/>
          <w:sz w:val="20"/>
          <w:szCs w:val="20"/>
        </w:rPr>
      </w:pPr>
    </w:p>
    <w:p w14:paraId="0694FD20" w14:textId="0A91517E" w:rsidR="00F023CC" w:rsidRPr="00F81500" w:rsidRDefault="00851927" w:rsidP="00F81500">
      <w:pPr>
        <w:spacing w:after="0"/>
        <w:jc w:val="both"/>
        <w:rPr>
          <w:rFonts w:ascii="Arial" w:hAnsi="Arial" w:cs="Arial"/>
          <w:sz w:val="20"/>
          <w:szCs w:val="20"/>
        </w:rPr>
      </w:pPr>
      <w:r>
        <w:rPr>
          <w:rFonts w:ascii="Arial" w:hAnsi="Arial" w:cs="Arial"/>
          <w:sz w:val="20"/>
          <w:szCs w:val="20"/>
        </w:rPr>
        <w:t>In February 2022, t</w:t>
      </w:r>
      <w:r w:rsidR="00E1681E" w:rsidRPr="00F81500">
        <w:rPr>
          <w:rFonts w:ascii="Arial" w:hAnsi="Arial" w:cs="Arial"/>
          <w:sz w:val="20"/>
          <w:szCs w:val="20"/>
        </w:rPr>
        <w:t xml:space="preserve">he CFI </w:t>
      </w:r>
      <w:r w:rsidR="003915E0">
        <w:rPr>
          <w:rFonts w:ascii="Arial" w:hAnsi="Arial" w:cs="Arial"/>
          <w:sz w:val="20"/>
          <w:szCs w:val="20"/>
        </w:rPr>
        <w:t xml:space="preserve">finally </w:t>
      </w:r>
      <w:r w:rsidR="00E1681E" w:rsidRPr="00F81500">
        <w:rPr>
          <w:rFonts w:ascii="Arial" w:hAnsi="Arial" w:cs="Arial"/>
          <w:sz w:val="20"/>
          <w:szCs w:val="20"/>
        </w:rPr>
        <w:t xml:space="preserve">ordered </w:t>
      </w:r>
      <w:r>
        <w:rPr>
          <w:rFonts w:ascii="Arial" w:hAnsi="Arial" w:cs="Arial"/>
          <w:sz w:val="20"/>
          <w:szCs w:val="20"/>
        </w:rPr>
        <w:t>Ms. Yik, Ms. Wei and Mr</w:t>
      </w:r>
      <w:r w:rsidR="00BC1D20">
        <w:rPr>
          <w:rFonts w:ascii="Arial" w:hAnsi="Arial" w:cs="Arial"/>
          <w:sz w:val="20"/>
          <w:szCs w:val="20"/>
        </w:rPr>
        <w:t>.</w:t>
      </w:r>
      <w:r>
        <w:rPr>
          <w:rFonts w:ascii="Arial" w:hAnsi="Arial" w:cs="Arial"/>
          <w:sz w:val="20"/>
          <w:szCs w:val="20"/>
        </w:rPr>
        <w:t xml:space="preserve"> Huang to </w:t>
      </w:r>
      <w:r w:rsidR="0081611F">
        <w:rPr>
          <w:rFonts w:ascii="Arial" w:hAnsi="Arial" w:cs="Arial"/>
          <w:sz w:val="20"/>
          <w:szCs w:val="20"/>
        </w:rPr>
        <w:t xml:space="preserve">collectively </w:t>
      </w:r>
      <w:r>
        <w:rPr>
          <w:rFonts w:ascii="Arial" w:hAnsi="Arial" w:cs="Arial"/>
          <w:sz w:val="20"/>
          <w:szCs w:val="20"/>
        </w:rPr>
        <w:t>pay HK$12.9 million,</w:t>
      </w:r>
      <w:r w:rsidR="0032746B">
        <w:rPr>
          <w:rFonts w:ascii="Arial" w:hAnsi="Arial" w:cs="Arial"/>
          <w:sz w:val="20"/>
          <w:szCs w:val="20"/>
        </w:rPr>
        <w:t xml:space="preserve"> </w:t>
      </w:r>
      <w:r>
        <w:rPr>
          <w:rFonts w:ascii="Arial" w:hAnsi="Arial" w:cs="Arial"/>
          <w:sz w:val="20"/>
          <w:szCs w:val="20"/>
        </w:rPr>
        <w:t xml:space="preserve">the </w:t>
      </w:r>
      <w:r w:rsidR="00E1681E" w:rsidRPr="00F81500">
        <w:rPr>
          <w:rFonts w:ascii="Arial" w:hAnsi="Arial" w:cs="Arial"/>
          <w:sz w:val="20"/>
          <w:szCs w:val="20"/>
        </w:rPr>
        <w:t xml:space="preserve">illicit profits of </w:t>
      </w:r>
      <w:r>
        <w:rPr>
          <w:rFonts w:ascii="Arial" w:hAnsi="Arial" w:cs="Arial"/>
          <w:sz w:val="20"/>
          <w:szCs w:val="20"/>
        </w:rPr>
        <w:t xml:space="preserve">their </w:t>
      </w:r>
      <w:r w:rsidR="00E1681E" w:rsidRPr="00F81500">
        <w:rPr>
          <w:rFonts w:ascii="Arial" w:hAnsi="Arial" w:cs="Arial"/>
          <w:sz w:val="20"/>
          <w:szCs w:val="20"/>
        </w:rPr>
        <w:t>insider dealin</w:t>
      </w:r>
      <w:r>
        <w:rPr>
          <w:rFonts w:ascii="Arial" w:hAnsi="Arial" w:cs="Arial"/>
          <w:sz w:val="20"/>
          <w:szCs w:val="20"/>
        </w:rPr>
        <w:t>g</w:t>
      </w:r>
      <w:r w:rsidR="00E1681E" w:rsidRPr="00F81500">
        <w:rPr>
          <w:rFonts w:ascii="Arial" w:hAnsi="Arial" w:cs="Arial"/>
          <w:sz w:val="20"/>
          <w:szCs w:val="20"/>
        </w:rPr>
        <w:t xml:space="preserve"> in </w:t>
      </w:r>
      <w:r>
        <w:rPr>
          <w:rFonts w:ascii="Arial" w:hAnsi="Arial" w:cs="Arial"/>
          <w:sz w:val="20"/>
          <w:szCs w:val="20"/>
        </w:rPr>
        <w:t xml:space="preserve">the </w:t>
      </w:r>
      <w:r w:rsidR="00E1681E" w:rsidRPr="00F81500">
        <w:rPr>
          <w:rFonts w:ascii="Arial" w:hAnsi="Arial" w:cs="Arial"/>
          <w:sz w:val="20"/>
          <w:szCs w:val="20"/>
        </w:rPr>
        <w:t>shares of TeleEye, to 63 investors</w:t>
      </w:r>
      <w:r w:rsidR="00D51369">
        <w:rPr>
          <w:rFonts w:ascii="Arial" w:hAnsi="Arial" w:cs="Arial"/>
          <w:sz w:val="20"/>
          <w:szCs w:val="20"/>
        </w:rPr>
        <w:t xml:space="preserve">, </w:t>
      </w:r>
      <w:r w:rsidR="00FA333A">
        <w:rPr>
          <w:rFonts w:ascii="Arial" w:hAnsi="Arial" w:cs="Arial"/>
          <w:sz w:val="20"/>
          <w:szCs w:val="20"/>
        </w:rPr>
        <w:t>to restore</w:t>
      </w:r>
      <w:r w:rsidR="00D51369">
        <w:rPr>
          <w:rFonts w:ascii="Arial" w:hAnsi="Arial" w:cs="Arial"/>
          <w:sz w:val="20"/>
          <w:szCs w:val="20"/>
        </w:rPr>
        <w:t xml:space="preserve"> the</w:t>
      </w:r>
      <w:r w:rsidR="0032746B">
        <w:rPr>
          <w:rFonts w:ascii="Arial" w:hAnsi="Arial" w:cs="Arial"/>
          <w:sz w:val="20"/>
          <w:szCs w:val="20"/>
        </w:rPr>
        <w:t>m</w:t>
      </w:r>
      <w:r w:rsidR="00D51369">
        <w:rPr>
          <w:rFonts w:ascii="Arial" w:hAnsi="Arial" w:cs="Arial"/>
          <w:sz w:val="20"/>
          <w:szCs w:val="20"/>
        </w:rPr>
        <w:t xml:space="preserve">, as </w:t>
      </w:r>
      <w:r w:rsidR="00FA333A">
        <w:rPr>
          <w:rFonts w:ascii="Arial" w:hAnsi="Arial" w:cs="Arial"/>
          <w:sz w:val="20"/>
          <w:szCs w:val="20"/>
        </w:rPr>
        <w:t xml:space="preserve">far </w:t>
      </w:r>
      <w:r w:rsidR="00D51369">
        <w:rPr>
          <w:rFonts w:ascii="Arial" w:hAnsi="Arial" w:cs="Arial"/>
          <w:sz w:val="20"/>
          <w:szCs w:val="20"/>
        </w:rPr>
        <w:t>as possible,</w:t>
      </w:r>
      <w:r w:rsidR="0081611F">
        <w:rPr>
          <w:rFonts w:ascii="Arial" w:hAnsi="Arial" w:cs="Arial"/>
          <w:sz w:val="20"/>
          <w:szCs w:val="20"/>
        </w:rPr>
        <w:t xml:space="preserve"> to the position they</w:t>
      </w:r>
      <w:r w:rsidR="00D51369">
        <w:rPr>
          <w:rFonts w:ascii="Arial" w:hAnsi="Arial" w:cs="Arial"/>
          <w:sz w:val="20"/>
          <w:szCs w:val="20"/>
        </w:rPr>
        <w:t xml:space="preserve"> </w:t>
      </w:r>
      <w:r w:rsidR="00FA333A">
        <w:rPr>
          <w:rFonts w:ascii="Arial" w:hAnsi="Arial" w:cs="Arial"/>
          <w:sz w:val="20"/>
          <w:szCs w:val="20"/>
        </w:rPr>
        <w:t xml:space="preserve">would have been </w:t>
      </w:r>
      <w:r w:rsidR="00D51369">
        <w:rPr>
          <w:rFonts w:ascii="Arial" w:hAnsi="Arial" w:cs="Arial"/>
          <w:sz w:val="20"/>
          <w:szCs w:val="20"/>
        </w:rPr>
        <w:t xml:space="preserve">in had the illicit transactions not taken place.  </w:t>
      </w:r>
    </w:p>
    <w:p w14:paraId="13131457" w14:textId="77777777" w:rsidR="00AD3146" w:rsidRDefault="00AD3146" w:rsidP="00AD3146">
      <w:pPr>
        <w:jc w:val="both"/>
        <w:rPr>
          <w:rFonts w:ascii="Inter" w:hAnsi="Inter" w:hint="eastAsia"/>
          <w:color w:val="2B2B2B"/>
          <w:sz w:val="21"/>
          <w:szCs w:val="21"/>
          <w:shd w:val="clear" w:color="auto" w:fill="FFFFFF"/>
        </w:rPr>
      </w:pPr>
    </w:p>
    <w:p w14:paraId="5DFFFA1D" w14:textId="77777777" w:rsidR="00AD3146" w:rsidRPr="00F05494" w:rsidRDefault="00AD3146" w:rsidP="00AD3146">
      <w:pPr>
        <w:pStyle w:val="DisclaimerBold"/>
        <w:rPr>
          <w:rFonts w:ascii="Helvetica" w:hAnsi="Helvetica"/>
        </w:rPr>
      </w:pPr>
      <w:r w:rsidRPr="00F05494">
        <w:rPr>
          <w:rFonts w:ascii="Helvetica" w:hAnsi="Helvetica"/>
        </w:rPr>
        <w:t>This newsletter is for information purposes only.</w:t>
      </w:r>
    </w:p>
    <w:p w14:paraId="402B0054" w14:textId="77777777" w:rsidR="00AD3146" w:rsidRPr="00F05494" w:rsidRDefault="00AD3146" w:rsidP="00AD3146">
      <w:pPr>
        <w:pStyle w:val="Disclaimer"/>
        <w:rPr>
          <w:rFonts w:ascii="Helvetica" w:hAnsi="Helvetica"/>
        </w:rPr>
      </w:pPr>
      <w:r w:rsidRPr="00F05494">
        <w:rPr>
          <w:rFonts w:ascii="Helvetica" w:hAnsi="Helvetica"/>
        </w:rPr>
        <w:t xml:space="preserve">Its contents do not constitute legal advice and it </w:t>
      </w:r>
      <w:proofErr w:type="gramStart"/>
      <w:r w:rsidRPr="00F05494">
        <w:rPr>
          <w:rFonts w:ascii="Helvetica" w:hAnsi="Helvetica"/>
        </w:rPr>
        <w:t>should  not</w:t>
      </w:r>
      <w:proofErr w:type="gramEnd"/>
      <w:r w:rsidRPr="00F05494">
        <w:rPr>
          <w:rFonts w:ascii="Helvetica" w:hAnsi="Helvetica"/>
        </w:rPr>
        <w:t xml:space="preserve"> be regarded as a substitute for detailed advice  in individual cases.</w:t>
      </w:r>
    </w:p>
    <w:p w14:paraId="4CB86F88" w14:textId="77777777" w:rsidR="00AD3146" w:rsidRPr="00F05494" w:rsidRDefault="00AD3146" w:rsidP="00AD3146">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5A9B8627" w14:textId="77777777" w:rsidR="00AD3146" w:rsidRPr="00F05494" w:rsidRDefault="00AD3146" w:rsidP="00AD3146">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 party</w:t>
      </w:r>
      <w:proofErr w:type="gramEnd"/>
      <w:r w:rsidRPr="00F05494">
        <w:rPr>
          <w:rFonts w:ascii="Helvetica" w:hAnsi="Helvetica"/>
        </w:rPr>
        <w:t xml:space="preserve"> content which can be accessed through the website.</w:t>
      </w:r>
    </w:p>
    <w:p w14:paraId="1B766687" w14:textId="77777777" w:rsidR="00AD3146" w:rsidRPr="00F05494" w:rsidRDefault="00AD3146" w:rsidP="00AD3146">
      <w:pPr>
        <w:pStyle w:val="Disclaimer"/>
        <w:rPr>
          <w:rFonts w:ascii="Helvetica" w:hAnsi="Helvetica"/>
        </w:rPr>
      </w:pPr>
      <w:r w:rsidRPr="00F05494">
        <w:rPr>
          <w:rFonts w:ascii="Helvetica" w:hAnsi="Helvetica"/>
        </w:rPr>
        <w:lastRenderedPageBreak/>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9">
        <w:r w:rsidRPr="00F05494">
          <w:rPr>
            <w:rFonts w:ascii="Helvetica" w:hAnsi="Helvetica"/>
          </w:rPr>
          <w:t>unsubscribe@charltonslaw.com</w:t>
        </w:r>
      </w:hyperlink>
    </w:p>
    <w:p w14:paraId="28481326" w14:textId="3A0D7138" w:rsidR="00AD3146" w:rsidRPr="002530D7" w:rsidRDefault="00AD3146" w:rsidP="00AD3146">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03</w:t>
      </w:r>
      <w:r w:rsidRPr="00F05494">
        <w:rPr>
          <w:rFonts w:ascii="Helvetica" w:hAnsi="Helvetica"/>
        </w:rPr>
        <w:t xml:space="preserve"> </w:t>
      </w:r>
      <w:r>
        <w:rPr>
          <w:rFonts w:ascii="Helvetica" w:hAnsi="Helvetica"/>
        </w:rPr>
        <w:t>March</w:t>
      </w:r>
      <w:r w:rsidRPr="00F05494">
        <w:rPr>
          <w:rFonts w:ascii="Helvetica" w:hAnsi="Helvetica"/>
        </w:rPr>
        <w:t xml:space="preserve"> 2021</w:t>
      </w:r>
    </w:p>
    <w:p w14:paraId="6F1F29D2" w14:textId="77777777" w:rsidR="0049393C" w:rsidRPr="00AD3146" w:rsidRDefault="0049393C" w:rsidP="00F81500">
      <w:pPr>
        <w:spacing w:after="0"/>
        <w:jc w:val="both"/>
        <w:rPr>
          <w:rFonts w:ascii="Arial" w:hAnsi="Arial" w:cs="Arial"/>
          <w:sz w:val="20"/>
          <w:szCs w:val="20"/>
          <w:lang w:val="en-GB"/>
        </w:rPr>
      </w:pPr>
    </w:p>
    <w:p w14:paraId="19943E53" w14:textId="77777777" w:rsidR="00B846E1" w:rsidRPr="00F81500" w:rsidRDefault="00B846E1" w:rsidP="00F81500">
      <w:pPr>
        <w:spacing w:after="0"/>
        <w:jc w:val="both"/>
        <w:rPr>
          <w:rFonts w:ascii="Arial" w:hAnsi="Arial" w:cs="Arial"/>
          <w:sz w:val="20"/>
          <w:szCs w:val="20"/>
        </w:rPr>
      </w:pPr>
    </w:p>
    <w:p w14:paraId="6727B251" w14:textId="77777777" w:rsidR="00B846E1" w:rsidRPr="00F81500" w:rsidRDefault="00B846E1" w:rsidP="00F81500">
      <w:pPr>
        <w:spacing w:after="0"/>
        <w:jc w:val="both"/>
        <w:rPr>
          <w:rFonts w:ascii="Arial" w:hAnsi="Arial" w:cs="Arial"/>
          <w:sz w:val="20"/>
          <w:szCs w:val="20"/>
        </w:rPr>
      </w:pPr>
    </w:p>
    <w:sectPr w:rsidR="00B846E1" w:rsidRPr="00F81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4799" w14:textId="77777777" w:rsidR="004E4D04" w:rsidRDefault="004E4D04" w:rsidP="001C2C36">
      <w:pPr>
        <w:spacing w:after="0" w:line="240" w:lineRule="auto"/>
      </w:pPr>
      <w:r>
        <w:separator/>
      </w:r>
    </w:p>
  </w:endnote>
  <w:endnote w:type="continuationSeparator" w:id="0">
    <w:p w14:paraId="258C7DDD" w14:textId="77777777" w:rsidR="004E4D04" w:rsidRDefault="004E4D04" w:rsidP="001C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ter">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8F61" w14:textId="77777777" w:rsidR="004E4D04" w:rsidRDefault="004E4D04" w:rsidP="001C2C36">
      <w:pPr>
        <w:spacing w:after="0" w:line="240" w:lineRule="auto"/>
      </w:pPr>
      <w:r>
        <w:separator/>
      </w:r>
    </w:p>
  </w:footnote>
  <w:footnote w:type="continuationSeparator" w:id="0">
    <w:p w14:paraId="3656BC0F" w14:textId="77777777" w:rsidR="004E4D04" w:rsidRDefault="004E4D04" w:rsidP="001C2C36">
      <w:pPr>
        <w:spacing w:after="0" w:line="240" w:lineRule="auto"/>
      </w:pPr>
      <w:r>
        <w:continuationSeparator/>
      </w:r>
    </w:p>
  </w:footnote>
  <w:footnote w:id="1">
    <w:p w14:paraId="2ED7B282" w14:textId="77777777" w:rsidR="00770B36" w:rsidRPr="00F81500" w:rsidRDefault="00770B36">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1" w:history="1">
        <w:r w:rsidRPr="00F81500">
          <w:rPr>
            <w:rFonts w:ascii="Arial" w:hAnsi="Arial" w:cs="Arial"/>
            <w:color w:val="0000FF"/>
            <w:sz w:val="18"/>
            <w:szCs w:val="18"/>
            <w:u w:val="single"/>
          </w:rPr>
          <w:t>SFC reprimands and fines Zhonghui International Futures Company Limited $5 million for regulatory breaches | Securities &amp; Futures Commission of Hong Kong</w:t>
        </w:r>
      </w:hyperlink>
    </w:p>
  </w:footnote>
  <w:footnote w:id="2">
    <w:p w14:paraId="23E7F939" w14:textId="77777777" w:rsidR="00770B36" w:rsidRPr="00F81500" w:rsidRDefault="00770B36" w:rsidP="00B4371A">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2" w:history="1">
        <w:r w:rsidRPr="00F81500">
          <w:rPr>
            <w:rFonts w:ascii="Arial" w:hAnsi="Arial" w:cs="Arial"/>
            <w:color w:val="0000FF"/>
            <w:sz w:val="18"/>
            <w:szCs w:val="18"/>
            <w:u w:val="single"/>
          </w:rPr>
          <w:t>SFC bans Chu Chun Wai for seven months for supervisory failures | Securities &amp; Futures Commission of Hong Kong</w:t>
        </w:r>
      </w:hyperlink>
    </w:p>
  </w:footnote>
  <w:footnote w:id="3">
    <w:p w14:paraId="1550CAF0" w14:textId="77777777" w:rsidR="00770B36" w:rsidRPr="00F81500" w:rsidRDefault="00770B36">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3" w:history="1">
        <w:r w:rsidRPr="00F81500">
          <w:rPr>
            <w:rFonts w:ascii="Arial" w:hAnsi="Arial" w:cs="Arial"/>
            <w:color w:val="0000FF"/>
            <w:sz w:val="18"/>
            <w:szCs w:val="18"/>
            <w:u w:val="single"/>
          </w:rPr>
          <w:t>Market Misconduct Tribunal sanctions Tianhe Chemicals Group Limited and its executive director for issuing false or misleading information in the company’s listing prospectus | Securities &amp; Futures Commission of Hong Kong (sfc.hk)</w:t>
        </w:r>
      </w:hyperlink>
    </w:p>
  </w:footnote>
  <w:footnote w:id="4">
    <w:p w14:paraId="57861AC0" w14:textId="77777777" w:rsidR="00770B36" w:rsidRPr="00F81500" w:rsidRDefault="00770B36">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4" w:history="1">
        <w:r w:rsidRPr="00F81500">
          <w:rPr>
            <w:rFonts w:ascii="Arial" w:hAnsi="Arial" w:cs="Arial"/>
            <w:color w:val="0000FF"/>
            <w:sz w:val="18"/>
            <w:szCs w:val="18"/>
            <w:u w:val="single"/>
          </w:rPr>
          <w:t>SFC reprimands and fines Citigroup Global Markets Asia Limited $348.25 million for serious regulatory failures over client facilitation activities | Securities &amp; Futures Commission of Hong Kong</w:t>
        </w:r>
      </w:hyperlink>
    </w:p>
  </w:footnote>
  <w:footnote w:id="5">
    <w:p w14:paraId="4EBD0F1E" w14:textId="77777777" w:rsidR="00770B36" w:rsidRPr="00F81500" w:rsidRDefault="00770B36">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5" w:history="1">
        <w:r w:rsidRPr="00F81500">
          <w:rPr>
            <w:rFonts w:ascii="Arial" w:hAnsi="Arial" w:cs="Arial"/>
            <w:color w:val="0000FF"/>
            <w:sz w:val="18"/>
            <w:szCs w:val="18"/>
            <w:u w:val="single"/>
          </w:rPr>
          <w:t>SFC reprimands and fines South China Commodities Limited $4.8 million for regulatory breaches | Securities &amp; Futures Commission of Hong Kong</w:t>
        </w:r>
      </w:hyperlink>
    </w:p>
  </w:footnote>
  <w:footnote w:id="6">
    <w:p w14:paraId="45F9C3CC" w14:textId="77777777" w:rsidR="00770B36" w:rsidRPr="00F81500" w:rsidRDefault="00770B36">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6" w:history="1">
        <w:r w:rsidRPr="00F81500">
          <w:rPr>
            <w:rFonts w:ascii="Arial" w:hAnsi="Arial" w:cs="Arial"/>
            <w:color w:val="0000FF"/>
            <w:sz w:val="18"/>
            <w:szCs w:val="18"/>
            <w:u w:val="single"/>
          </w:rPr>
          <w:t>Court orders insider dealers to pay $12.9 million to investors | Securities &amp; Futures Commission of Hong Kong (sfc.hk)</w:t>
        </w:r>
      </w:hyperlink>
    </w:p>
  </w:footnote>
  <w:footnote w:id="7">
    <w:p w14:paraId="19D9310B" w14:textId="77777777" w:rsidR="00770B36" w:rsidRPr="00F81500" w:rsidRDefault="00770B36">
      <w:pPr>
        <w:pStyle w:val="a8"/>
        <w:rPr>
          <w:rFonts w:ascii="Arial" w:hAnsi="Arial" w:cs="Arial"/>
          <w:sz w:val="18"/>
          <w:szCs w:val="18"/>
          <w:lang w:val="en-GB"/>
        </w:rPr>
      </w:pPr>
      <w:r w:rsidRPr="00F81500">
        <w:rPr>
          <w:rStyle w:val="aa"/>
          <w:rFonts w:ascii="Arial" w:hAnsi="Arial" w:cs="Arial"/>
          <w:sz w:val="18"/>
          <w:szCs w:val="18"/>
        </w:rPr>
        <w:footnoteRef/>
      </w:r>
      <w:r w:rsidRPr="00F81500">
        <w:rPr>
          <w:rFonts w:ascii="Arial" w:hAnsi="Arial" w:cs="Arial"/>
          <w:sz w:val="18"/>
          <w:szCs w:val="18"/>
        </w:rPr>
        <w:t xml:space="preserve"> </w:t>
      </w:r>
      <w:hyperlink r:id="rId7" w:history="1">
        <w:r w:rsidRPr="00F81500">
          <w:rPr>
            <w:rFonts w:ascii="Arial" w:hAnsi="Arial" w:cs="Arial"/>
            <w:color w:val="0000FF"/>
            <w:sz w:val="18"/>
            <w:szCs w:val="18"/>
            <w:u w:val="single"/>
          </w:rPr>
          <w:t>Court finds trio engaged in insider dealing in TeleEye shares | Securities &amp; Futures Commission of Hong Kong (sfc.hk)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0F2F"/>
    <w:multiLevelType w:val="hybridMultilevel"/>
    <w:tmpl w:val="3D80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76BC"/>
    <w:multiLevelType w:val="hybridMultilevel"/>
    <w:tmpl w:val="BFD0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9531D"/>
    <w:multiLevelType w:val="hybridMultilevel"/>
    <w:tmpl w:val="6BD2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27BE3"/>
    <w:multiLevelType w:val="hybridMultilevel"/>
    <w:tmpl w:val="09C4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03DC9"/>
    <w:multiLevelType w:val="hybridMultilevel"/>
    <w:tmpl w:val="362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846BF"/>
    <w:multiLevelType w:val="hybridMultilevel"/>
    <w:tmpl w:val="A12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45DBA"/>
    <w:multiLevelType w:val="hybridMultilevel"/>
    <w:tmpl w:val="0BCE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B8"/>
    <w:rsid w:val="000035F4"/>
    <w:rsid w:val="00005230"/>
    <w:rsid w:val="000069F3"/>
    <w:rsid w:val="0003513C"/>
    <w:rsid w:val="00044DD9"/>
    <w:rsid w:val="00046751"/>
    <w:rsid w:val="000531D1"/>
    <w:rsid w:val="00064942"/>
    <w:rsid w:val="0006763F"/>
    <w:rsid w:val="00075932"/>
    <w:rsid w:val="00097DA6"/>
    <w:rsid w:val="000B53C6"/>
    <w:rsid w:val="000D3600"/>
    <w:rsid w:val="000D6D66"/>
    <w:rsid w:val="00101D5A"/>
    <w:rsid w:val="00117BF1"/>
    <w:rsid w:val="0012427A"/>
    <w:rsid w:val="00134DD5"/>
    <w:rsid w:val="00140BD3"/>
    <w:rsid w:val="00143E38"/>
    <w:rsid w:val="00147285"/>
    <w:rsid w:val="00157939"/>
    <w:rsid w:val="0017161D"/>
    <w:rsid w:val="00176D68"/>
    <w:rsid w:val="00177BE4"/>
    <w:rsid w:val="001917D5"/>
    <w:rsid w:val="001C027F"/>
    <w:rsid w:val="001C2C36"/>
    <w:rsid w:val="001C4590"/>
    <w:rsid w:val="001D0BEE"/>
    <w:rsid w:val="001D626B"/>
    <w:rsid w:val="001F67FE"/>
    <w:rsid w:val="0020795B"/>
    <w:rsid w:val="00233C9A"/>
    <w:rsid w:val="00235386"/>
    <w:rsid w:val="00240032"/>
    <w:rsid w:val="002628B0"/>
    <w:rsid w:val="0026678B"/>
    <w:rsid w:val="00275472"/>
    <w:rsid w:val="002A6C31"/>
    <w:rsid w:val="002B2BF9"/>
    <w:rsid w:val="002B6C46"/>
    <w:rsid w:val="002D4817"/>
    <w:rsid w:val="002D6E1B"/>
    <w:rsid w:val="002E525B"/>
    <w:rsid w:val="002F3F9B"/>
    <w:rsid w:val="0031512B"/>
    <w:rsid w:val="00322DE6"/>
    <w:rsid w:val="0032746B"/>
    <w:rsid w:val="00360265"/>
    <w:rsid w:val="0036222E"/>
    <w:rsid w:val="0037030C"/>
    <w:rsid w:val="00372847"/>
    <w:rsid w:val="003826E6"/>
    <w:rsid w:val="0038783F"/>
    <w:rsid w:val="003915E0"/>
    <w:rsid w:val="00395F1E"/>
    <w:rsid w:val="00396C39"/>
    <w:rsid w:val="003C3C3F"/>
    <w:rsid w:val="003D0AEA"/>
    <w:rsid w:val="003D1DDB"/>
    <w:rsid w:val="003D314A"/>
    <w:rsid w:val="00405FA8"/>
    <w:rsid w:val="0041374A"/>
    <w:rsid w:val="004160CC"/>
    <w:rsid w:val="0042048E"/>
    <w:rsid w:val="004770A0"/>
    <w:rsid w:val="004812AE"/>
    <w:rsid w:val="004833C7"/>
    <w:rsid w:val="0049393C"/>
    <w:rsid w:val="004B02A6"/>
    <w:rsid w:val="004C51EA"/>
    <w:rsid w:val="004E314B"/>
    <w:rsid w:val="004E4D04"/>
    <w:rsid w:val="00505016"/>
    <w:rsid w:val="005135EF"/>
    <w:rsid w:val="00516564"/>
    <w:rsid w:val="00525AB9"/>
    <w:rsid w:val="00527B7A"/>
    <w:rsid w:val="00540413"/>
    <w:rsid w:val="00545043"/>
    <w:rsid w:val="005514BE"/>
    <w:rsid w:val="00552597"/>
    <w:rsid w:val="005545D1"/>
    <w:rsid w:val="00561A6D"/>
    <w:rsid w:val="00585E5A"/>
    <w:rsid w:val="0059383D"/>
    <w:rsid w:val="005A0A7E"/>
    <w:rsid w:val="005D3BC6"/>
    <w:rsid w:val="005D78DF"/>
    <w:rsid w:val="00614007"/>
    <w:rsid w:val="00641B12"/>
    <w:rsid w:val="00694F3C"/>
    <w:rsid w:val="006A7326"/>
    <w:rsid w:val="006B3C3E"/>
    <w:rsid w:val="006D2CC7"/>
    <w:rsid w:val="006D6E23"/>
    <w:rsid w:val="006E39E1"/>
    <w:rsid w:val="006F5A6D"/>
    <w:rsid w:val="00713370"/>
    <w:rsid w:val="00750DD9"/>
    <w:rsid w:val="00761E50"/>
    <w:rsid w:val="00770B36"/>
    <w:rsid w:val="00775332"/>
    <w:rsid w:val="00775CBA"/>
    <w:rsid w:val="0079152B"/>
    <w:rsid w:val="00793157"/>
    <w:rsid w:val="007A390E"/>
    <w:rsid w:val="007A49E9"/>
    <w:rsid w:val="007B383B"/>
    <w:rsid w:val="007B6967"/>
    <w:rsid w:val="007B6DE2"/>
    <w:rsid w:val="007D532D"/>
    <w:rsid w:val="007E60FF"/>
    <w:rsid w:val="007E7420"/>
    <w:rsid w:val="0081611F"/>
    <w:rsid w:val="00821389"/>
    <w:rsid w:val="00822A74"/>
    <w:rsid w:val="00824D40"/>
    <w:rsid w:val="008309A9"/>
    <w:rsid w:val="008321DB"/>
    <w:rsid w:val="00834631"/>
    <w:rsid w:val="00851927"/>
    <w:rsid w:val="0087755E"/>
    <w:rsid w:val="00885CBF"/>
    <w:rsid w:val="008A7BEE"/>
    <w:rsid w:val="008C16C7"/>
    <w:rsid w:val="008D067F"/>
    <w:rsid w:val="008E134F"/>
    <w:rsid w:val="008F67F8"/>
    <w:rsid w:val="00906CFA"/>
    <w:rsid w:val="00906D57"/>
    <w:rsid w:val="0091716F"/>
    <w:rsid w:val="009179FA"/>
    <w:rsid w:val="00940260"/>
    <w:rsid w:val="00942517"/>
    <w:rsid w:val="009A6F24"/>
    <w:rsid w:val="009B3A50"/>
    <w:rsid w:val="009E495E"/>
    <w:rsid w:val="009F732F"/>
    <w:rsid w:val="00A14817"/>
    <w:rsid w:val="00A25166"/>
    <w:rsid w:val="00A25ADC"/>
    <w:rsid w:val="00A25F53"/>
    <w:rsid w:val="00A375D1"/>
    <w:rsid w:val="00A44806"/>
    <w:rsid w:val="00A52243"/>
    <w:rsid w:val="00A6418C"/>
    <w:rsid w:val="00A673D1"/>
    <w:rsid w:val="00AA0567"/>
    <w:rsid w:val="00AD3146"/>
    <w:rsid w:val="00B04560"/>
    <w:rsid w:val="00B07C51"/>
    <w:rsid w:val="00B27540"/>
    <w:rsid w:val="00B40587"/>
    <w:rsid w:val="00B4371A"/>
    <w:rsid w:val="00B504C7"/>
    <w:rsid w:val="00B60965"/>
    <w:rsid w:val="00B62232"/>
    <w:rsid w:val="00B63C4F"/>
    <w:rsid w:val="00B653FE"/>
    <w:rsid w:val="00B665D3"/>
    <w:rsid w:val="00B67C9C"/>
    <w:rsid w:val="00B750F4"/>
    <w:rsid w:val="00B846E1"/>
    <w:rsid w:val="00BA33AE"/>
    <w:rsid w:val="00BA45AD"/>
    <w:rsid w:val="00BB06D0"/>
    <w:rsid w:val="00BC1D20"/>
    <w:rsid w:val="00BE199F"/>
    <w:rsid w:val="00C01821"/>
    <w:rsid w:val="00C1236B"/>
    <w:rsid w:val="00C21D36"/>
    <w:rsid w:val="00C301FE"/>
    <w:rsid w:val="00C360B8"/>
    <w:rsid w:val="00C450DE"/>
    <w:rsid w:val="00C50D0D"/>
    <w:rsid w:val="00C57AA0"/>
    <w:rsid w:val="00C667A2"/>
    <w:rsid w:val="00C76ED2"/>
    <w:rsid w:val="00C93578"/>
    <w:rsid w:val="00CA2C6A"/>
    <w:rsid w:val="00CB0C2D"/>
    <w:rsid w:val="00D057BE"/>
    <w:rsid w:val="00D06E98"/>
    <w:rsid w:val="00D2075C"/>
    <w:rsid w:val="00D51369"/>
    <w:rsid w:val="00D52D91"/>
    <w:rsid w:val="00DC0B16"/>
    <w:rsid w:val="00DF2169"/>
    <w:rsid w:val="00E117FD"/>
    <w:rsid w:val="00E11914"/>
    <w:rsid w:val="00E12C26"/>
    <w:rsid w:val="00E1681E"/>
    <w:rsid w:val="00E50FAB"/>
    <w:rsid w:val="00E57464"/>
    <w:rsid w:val="00E64AC3"/>
    <w:rsid w:val="00E6634D"/>
    <w:rsid w:val="00E72674"/>
    <w:rsid w:val="00E92B37"/>
    <w:rsid w:val="00E942D8"/>
    <w:rsid w:val="00EA42A2"/>
    <w:rsid w:val="00EB6FD9"/>
    <w:rsid w:val="00F022E0"/>
    <w:rsid w:val="00F023CC"/>
    <w:rsid w:val="00F105A7"/>
    <w:rsid w:val="00F114CF"/>
    <w:rsid w:val="00F2703D"/>
    <w:rsid w:val="00F439BC"/>
    <w:rsid w:val="00F46248"/>
    <w:rsid w:val="00F52F5C"/>
    <w:rsid w:val="00F70E6E"/>
    <w:rsid w:val="00F721FD"/>
    <w:rsid w:val="00F81500"/>
    <w:rsid w:val="00FA2983"/>
    <w:rsid w:val="00FA333A"/>
    <w:rsid w:val="00FA47B1"/>
    <w:rsid w:val="00FD4D47"/>
    <w:rsid w:val="00FE46A2"/>
    <w:rsid w:val="00FF2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81E3"/>
  <w15:chartTrackingRefBased/>
  <w15:docId w15:val="{49481F0B-7B07-426E-921A-6668DF43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16F"/>
    <w:rPr>
      <w:color w:val="0563C1" w:themeColor="hyperlink"/>
      <w:u w:val="single"/>
    </w:rPr>
  </w:style>
  <w:style w:type="paragraph" w:styleId="a4">
    <w:name w:val="List Paragraph"/>
    <w:basedOn w:val="a"/>
    <w:uiPriority w:val="34"/>
    <w:qFormat/>
    <w:rsid w:val="004160CC"/>
    <w:pPr>
      <w:ind w:left="720"/>
      <w:contextualSpacing/>
    </w:pPr>
  </w:style>
  <w:style w:type="character" w:styleId="a5">
    <w:name w:val="FollowedHyperlink"/>
    <w:basedOn w:val="a0"/>
    <w:uiPriority w:val="99"/>
    <w:semiHidden/>
    <w:unhideWhenUsed/>
    <w:rsid w:val="00821389"/>
    <w:rPr>
      <w:color w:val="954F72" w:themeColor="followedHyperlink"/>
      <w:u w:val="single"/>
    </w:rPr>
  </w:style>
  <w:style w:type="paragraph" w:styleId="a6">
    <w:name w:val="Balloon Text"/>
    <w:basedOn w:val="a"/>
    <w:link w:val="a7"/>
    <w:uiPriority w:val="99"/>
    <w:semiHidden/>
    <w:unhideWhenUsed/>
    <w:rsid w:val="00322D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2DE6"/>
    <w:rPr>
      <w:rFonts w:ascii="Segoe UI" w:hAnsi="Segoe UI" w:cs="Segoe UI"/>
      <w:sz w:val="18"/>
      <w:szCs w:val="18"/>
    </w:rPr>
  </w:style>
  <w:style w:type="paragraph" w:styleId="a8">
    <w:name w:val="footnote text"/>
    <w:basedOn w:val="a"/>
    <w:link w:val="a9"/>
    <w:uiPriority w:val="99"/>
    <w:semiHidden/>
    <w:unhideWhenUsed/>
    <w:rsid w:val="001C2C36"/>
    <w:pPr>
      <w:spacing w:after="0" w:line="240" w:lineRule="auto"/>
    </w:pPr>
    <w:rPr>
      <w:sz w:val="20"/>
      <w:szCs w:val="20"/>
    </w:rPr>
  </w:style>
  <w:style w:type="character" w:customStyle="1" w:styleId="a9">
    <w:name w:val="Текст сноски Знак"/>
    <w:basedOn w:val="a0"/>
    <w:link w:val="a8"/>
    <w:uiPriority w:val="99"/>
    <w:semiHidden/>
    <w:rsid w:val="001C2C36"/>
    <w:rPr>
      <w:sz w:val="20"/>
      <w:szCs w:val="20"/>
    </w:rPr>
  </w:style>
  <w:style w:type="character" w:styleId="aa">
    <w:name w:val="footnote reference"/>
    <w:basedOn w:val="a0"/>
    <w:uiPriority w:val="99"/>
    <w:semiHidden/>
    <w:unhideWhenUsed/>
    <w:rsid w:val="001C2C36"/>
    <w:rPr>
      <w:vertAlign w:val="superscript"/>
    </w:rPr>
  </w:style>
  <w:style w:type="paragraph" w:customStyle="1" w:styleId="BlackStrips">
    <w:name w:val="Black Strips"/>
    <w:basedOn w:val="a"/>
    <w:qFormat/>
    <w:rsid w:val="002B6C46"/>
    <w:pPr>
      <w:shd w:val="clear" w:color="auto" w:fill="000000"/>
      <w:spacing w:after="200" w:line="240" w:lineRule="auto"/>
      <w:jc w:val="center"/>
    </w:pPr>
    <w:rPr>
      <w:rFonts w:eastAsia="SimSun"/>
      <w:color w:val="FFFFFF"/>
      <w:sz w:val="24"/>
      <w:szCs w:val="24"/>
      <w:lang w:val="en-GB" w:eastAsia="en-US"/>
    </w:rPr>
  </w:style>
  <w:style w:type="paragraph" w:customStyle="1" w:styleId="ReadOnline">
    <w:name w:val="Read Online"/>
    <w:basedOn w:val="a"/>
    <w:qFormat/>
    <w:rsid w:val="002B6C46"/>
    <w:pPr>
      <w:spacing w:after="200" w:line="240" w:lineRule="auto"/>
      <w:jc w:val="center"/>
    </w:pPr>
    <w:rPr>
      <w:rFonts w:eastAsia="SimSun"/>
      <w:color w:val="00000A"/>
      <w:sz w:val="28"/>
      <w:szCs w:val="24"/>
      <w:u w:val="single"/>
      <w:lang w:val="en-GB" w:eastAsia="en-US"/>
    </w:rPr>
  </w:style>
  <w:style w:type="paragraph" w:customStyle="1" w:styleId="Disclaimer">
    <w:name w:val="Disclaimer"/>
    <w:basedOn w:val="a"/>
    <w:qFormat/>
    <w:rsid w:val="00AD3146"/>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SimSun"/>
      <w:color w:val="00000A"/>
      <w:sz w:val="24"/>
      <w:szCs w:val="24"/>
      <w:lang w:val="en-GB" w:eastAsia="en-US"/>
    </w:rPr>
  </w:style>
  <w:style w:type="paragraph" w:customStyle="1" w:styleId="DisclaimerBold">
    <w:name w:val="Disclaimer Bold"/>
    <w:basedOn w:val="Disclaimer"/>
    <w:qFormat/>
    <w:rsid w:val="00AD3146"/>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28479">
      <w:bodyDiv w:val="1"/>
      <w:marLeft w:val="0"/>
      <w:marRight w:val="0"/>
      <w:marTop w:val="0"/>
      <w:marBottom w:val="0"/>
      <w:divBdr>
        <w:top w:val="none" w:sz="0" w:space="0" w:color="auto"/>
        <w:left w:val="none" w:sz="0" w:space="0" w:color="auto"/>
        <w:bottom w:val="none" w:sz="0" w:space="0" w:color="auto"/>
        <w:right w:val="none" w:sz="0" w:space="0" w:color="auto"/>
      </w:divBdr>
    </w:div>
    <w:div w:id="468132149">
      <w:bodyDiv w:val="1"/>
      <w:marLeft w:val="0"/>
      <w:marRight w:val="0"/>
      <w:marTop w:val="0"/>
      <w:marBottom w:val="0"/>
      <w:divBdr>
        <w:top w:val="none" w:sz="0" w:space="0" w:color="auto"/>
        <w:left w:val="none" w:sz="0" w:space="0" w:color="auto"/>
        <w:bottom w:val="none" w:sz="0" w:space="0" w:color="auto"/>
        <w:right w:val="none" w:sz="0" w:space="0" w:color="auto"/>
      </w:divBdr>
    </w:div>
    <w:div w:id="6000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enforcement-actions-in-january-and-february-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sfc.hk/edistributionWeb/gateway/EN/news-and-announcements/news/enforcement-news/doc?refNo=22PR4" TargetMode="External"/><Relationship Id="rId7" Type="http://schemas.openxmlformats.org/officeDocument/2006/relationships/hyperlink" Target="https://apps.sfc.hk/edistributionWeb/gateway/EN/news-and-announcements/news/doc?refNo=21PR114" TargetMode="External"/><Relationship Id="rId2" Type="http://schemas.openxmlformats.org/officeDocument/2006/relationships/hyperlink" Target="https://apps.sfc.hk/edistributionWeb/gateway/EN/news-and-announcements/news/doc?refNo=21PR129" TargetMode="External"/><Relationship Id="rId1" Type="http://schemas.openxmlformats.org/officeDocument/2006/relationships/hyperlink" Target="https://apps.sfc.hk/edistributionWeb/gateway/EN/news-and-announcements/news/enforcement-news/doc?refNo=22PR2" TargetMode="External"/><Relationship Id="rId6" Type="http://schemas.openxmlformats.org/officeDocument/2006/relationships/hyperlink" Target="https://apps.sfc.hk/edistributionWeb/gateway/EN/news-and-announcements/news/enforcement-news/doc?refNo=22PR8" TargetMode="External"/><Relationship Id="rId5" Type="http://schemas.openxmlformats.org/officeDocument/2006/relationships/hyperlink" Target="https://apps.sfc.hk/edistributionWeb/gateway/EN/news-and-announcements/news/enforcement-news/doc?refNo=22PR7" TargetMode="External"/><Relationship Id="rId4" Type="http://schemas.openxmlformats.org/officeDocument/2006/relationships/hyperlink" Target="https://apps.sfc.hk/edistributionWeb/gateway/EN/news-and-announcements/news/enforcement-news/doc?refNo=22P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608B-C0FA-47CB-AE6A-5A11F0E0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2112</Words>
  <Characters>12040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Microsoft Office User</cp:lastModifiedBy>
  <cp:revision>8</cp:revision>
  <dcterms:created xsi:type="dcterms:W3CDTF">2022-03-03T08:54:00Z</dcterms:created>
  <dcterms:modified xsi:type="dcterms:W3CDTF">2022-03-04T07:52:00Z</dcterms:modified>
</cp:coreProperties>
</file>